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0029F" w14:textId="29DE42D2" w:rsidR="00D258CF" w:rsidRPr="00877BAC" w:rsidRDefault="00116527" w:rsidP="00C86892">
      <w:pPr>
        <w:spacing w:before="100" w:beforeAutospacing="1" w:after="100" w:afterAutospacing="1" w:line="240" w:lineRule="auto"/>
        <w:jc w:val="center"/>
        <w:rPr>
          <w:rFonts w:ascii="Times New Roman" w:eastAsia="Times New Roman" w:hAnsi="Times New Roman" w:cs="Times New Roman"/>
          <w:b/>
          <w:bCs/>
          <w:sz w:val="24"/>
          <w:szCs w:val="24"/>
          <w:lang w:val="en-US" w:eastAsia="nl-BE"/>
        </w:rPr>
      </w:pPr>
      <w:bookmarkStart w:id="0" w:name="_GoBack"/>
      <w:bookmarkEnd w:id="0"/>
      <w:r w:rsidRPr="00877BAC">
        <w:rPr>
          <w:rFonts w:ascii="Times New Roman" w:eastAsia="Times New Roman" w:hAnsi="Times New Roman" w:cs="Times New Roman"/>
          <w:b/>
          <w:bCs/>
          <w:sz w:val="24"/>
          <w:szCs w:val="24"/>
          <w:lang w:val="en-US" w:eastAsia="nl-BE"/>
        </w:rPr>
        <w:t>Submission of comments to the Committee on the Rights of the Child</w:t>
      </w:r>
    </w:p>
    <w:p w14:paraId="37A77501" w14:textId="4EB64DDA" w:rsidR="00E71E21" w:rsidRPr="00877BAC" w:rsidRDefault="005D1355" w:rsidP="00C86892">
      <w:pPr>
        <w:spacing w:before="100" w:beforeAutospacing="1" w:after="100" w:afterAutospacing="1" w:line="240" w:lineRule="auto"/>
        <w:jc w:val="center"/>
        <w:rPr>
          <w:rFonts w:ascii="Times New Roman" w:eastAsia="Times New Roman" w:hAnsi="Times New Roman" w:cs="Times New Roman"/>
          <w:b/>
          <w:bCs/>
          <w:sz w:val="24"/>
          <w:szCs w:val="24"/>
          <w:lang w:val="en-US" w:eastAsia="nl-BE"/>
        </w:rPr>
      </w:pPr>
      <w:r w:rsidRPr="00877BAC">
        <w:rPr>
          <w:rFonts w:ascii="Times New Roman" w:eastAsia="Times New Roman" w:hAnsi="Times New Roman" w:cs="Times New Roman"/>
          <w:b/>
          <w:bCs/>
          <w:sz w:val="24"/>
          <w:szCs w:val="24"/>
          <w:lang w:val="en-US" w:eastAsia="nl-BE"/>
        </w:rPr>
        <w:t xml:space="preserve">on the draft General Comment No. 26 on </w:t>
      </w:r>
      <w:r w:rsidR="00D258CF" w:rsidRPr="00877BAC">
        <w:rPr>
          <w:rFonts w:ascii="Times New Roman" w:eastAsia="Times New Roman" w:hAnsi="Times New Roman" w:cs="Times New Roman"/>
          <w:b/>
          <w:bCs/>
          <w:sz w:val="24"/>
          <w:szCs w:val="24"/>
          <w:lang w:val="en-US" w:eastAsia="nl-BE"/>
        </w:rPr>
        <w:t>children's rights and the environment with a special focus on climate change</w:t>
      </w:r>
    </w:p>
    <w:p w14:paraId="351ED298" w14:textId="35D9D8D1" w:rsidR="00EA1116" w:rsidRPr="00C86892" w:rsidRDefault="007900DC" w:rsidP="00877BAC">
      <w:pPr>
        <w:spacing w:after="0" w:line="240" w:lineRule="auto"/>
        <w:jc w:val="both"/>
        <w:rPr>
          <w:rFonts w:ascii="Times New Roman" w:eastAsia="Times New Roman" w:hAnsi="Times New Roman" w:cs="Times New Roman"/>
          <w:lang w:val="en-US" w:eastAsia="nl-BE"/>
        </w:rPr>
      </w:pPr>
      <w:r w:rsidRPr="00C86892">
        <w:rPr>
          <w:rFonts w:ascii="Times New Roman" w:eastAsia="Times New Roman" w:hAnsi="Times New Roman" w:cs="Times New Roman"/>
          <w:lang w:val="en-US" w:eastAsia="nl-BE"/>
        </w:rPr>
        <w:t xml:space="preserve">On behalf of </w:t>
      </w:r>
      <w:hyperlink r:id="rId8" w:history="1">
        <w:r w:rsidRPr="00C86892">
          <w:rPr>
            <w:rStyle w:val="Hyperlink"/>
            <w:rFonts w:ascii="Times New Roman" w:eastAsia="Times New Roman" w:hAnsi="Times New Roman" w:cs="Times New Roman"/>
            <w:lang w:val="en-US" w:eastAsia="nl-BE"/>
          </w:rPr>
          <w:t>University of Antwerp, Law and Development Research Group</w:t>
        </w:r>
      </w:hyperlink>
      <w:r w:rsidRPr="00C86892">
        <w:rPr>
          <w:rFonts w:ascii="Times New Roman" w:eastAsia="Times New Roman" w:hAnsi="Times New Roman" w:cs="Times New Roman"/>
          <w:lang w:val="en-US" w:eastAsia="nl-BE"/>
        </w:rPr>
        <w:t>,</w:t>
      </w:r>
      <w:r w:rsidR="00D258CF" w:rsidRPr="00C86892">
        <w:rPr>
          <w:rFonts w:ascii="Times New Roman" w:eastAsia="Times New Roman" w:hAnsi="Times New Roman" w:cs="Times New Roman"/>
          <w:lang w:val="en-US" w:eastAsia="nl-BE"/>
        </w:rPr>
        <w:t xml:space="preserve"> we</w:t>
      </w:r>
      <w:r w:rsidRPr="00C86892">
        <w:rPr>
          <w:rFonts w:ascii="Times New Roman" w:eastAsia="Times New Roman" w:hAnsi="Times New Roman" w:cs="Times New Roman"/>
          <w:lang w:val="en-US" w:eastAsia="nl-BE"/>
        </w:rPr>
        <w:t xml:space="preserve"> hereby submit </w:t>
      </w:r>
      <w:r w:rsidR="0094773B">
        <w:rPr>
          <w:rFonts w:ascii="Times New Roman" w:eastAsia="Times New Roman" w:hAnsi="Times New Roman" w:cs="Times New Roman"/>
          <w:lang w:val="en-US" w:eastAsia="nl-BE"/>
        </w:rPr>
        <w:t>our</w:t>
      </w:r>
      <w:r w:rsidR="00E85BC4" w:rsidRPr="00C86892">
        <w:rPr>
          <w:rFonts w:ascii="Times New Roman" w:eastAsia="Times New Roman" w:hAnsi="Times New Roman" w:cs="Times New Roman"/>
          <w:lang w:val="en-US" w:eastAsia="nl-BE"/>
        </w:rPr>
        <w:t xml:space="preserve"> </w:t>
      </w:r>
      <w:r w:rsidR="00484769" w:rsidRPr="00C86892">
        <w:rPr>
          <w:rFonts w:ascii="Times New Roman" w:eastAsia="Times New Roman" w:hAnsi="Times New Roman" w:cs="Times New Roman"/>
          <w:lang w:val="en-US" w:eastAsia="nl-BE"/>
        </w:rPr>
        <w:t>contribution to the Draft General Comment No. 26</w:t>
      </w:r>
      <w:r w:rsidR="00C24774" w:rsidRPr="00C86892">
        <w:rPr>
          <w:rFonts w:ascii="Times New Roman" w:eastAsia="Times New Roman" w:hAnsi="Times New Roman" w:cs="Times New Roman"/>
          <w:lang w:val="en-US" w:eastAsia="nl-BE"/>
        </w:rPr>
        <w:t xml:space="preserve"> (hereinafter: GC)</w:t>
      </w:r>
      <w:r w:rsidR="00AC404A" w:rsidRPr="00C86892">
        <w:rPr>
          <w:rFonts w:ascii="Times New Roman" w:eastAsia="Times New Roman" w:hAnsi="Times New Roman" w:cs="Times New Roman"/>
          <w:lang w:val="en-US" w:eastAsia="nl-BE"/>
        </w:rPr>
        <w:t>.</w:t>
      </w:r>
    </w:p>
    <w:p w14:paraId="2E2E2A00" w14:textId="2D2B95C8" w:rsidR="00E85BC4" w:rsidRPr="00C86892" w:rsidRDefault="00E85BC4" w:rsidP="00877BAC">
      <w:pPr>
        <w:spacing w:after="0" w:line="240" w:lineRule="auto"/>
        <w:jc w:val="both"/>
        <w:rPr>
          <w:rFonts w:ascii="Times New Roman" w:eastAsia="Times New Roman" w:hAnsi="Times New Roman" w:cs="Times New Roman"/>
          <w:lang w:val="en-US" w:eastAsia="nl-BE"/>
        </w:rPr>
      </w:pPr>
      <w:r w:rsidRPr="00C86892">
        <w:rPr>
          <w:rFonts w:ascii="Times New Roman" w:eastAsia="Times New Roman" w:hAnsi="Times New Roman" w:cs="Times New Roman"/>
          <w:lang w:val="en-US" w:eastAsia="nl-BE"/>
        </w:rPr>
        <w:t xml:space="preserve">The present contribution is </w:t>
      </w:r>
      <w:r w:rsidR="004154D0" w:rsidRPr="00C86892">
        <w:rPr>
          <w:rFonts w:ascii="Times New Roman" w:eastAsia="Times New Roman" w:hAnsi="Times New Roman" w:cs="Times New Roman"/>
          <w:lang w:val="en-US" w:eastAsia="nl-BE"/>
        </w:rPr>
        <w:t xml:space="preserve">concerned with and </w:t>
      </w:r>
      <w:r w:rsidRPr="00762FF5">
        <w:rPr>
          <w:rFonts w:ascii="Times New Roman" w:eastAsia="Times New Roman" w:hAnsi="Times New Roman" w:cs="Times New Roman"/>
          <w:u w:val="single"/>
          <w:lang w:val="en-US" w:eastAsia="nl-BE"/>
        </w:rPr>
        <w:t xml:space="preserve">limited to the following </w:t>
      </w:r>
      <w:r w:rsidR="006C1C49" w:rsidRPr="00762FF5">
        <w:rPr>
          <w:rFonts w:ascii="Times New Roman" w:eastAsia="Times New Roman" w:hAnsi="Times New Roman" w:cs="Times New Roman"/>
          <w:u w:val="single"/>
          <w:lang w:val="en-US" w:eastAsia="nl-BE"/>
        </w:rPr>
        <w:t>point</w:t>
      </w:r>
      <w:r w:rsidR="004154D0" w:rsidRPr="00762FF5">
        <w:rPr>
          <w:rFonts w:ascii="Times New Roman" w:eastAsia="Times New Roman" w:hAnsi="Times New Roman" w:cs="Times New Roman"/>
          <w:u w:val="single"/>
          <w:lang w:val="en-US" w:eastAsia="nl-BE"/>
        </w:rPr>
        <w:t>s</w:t>
      </w:r>
      <w:r w:rsidR="006C1C49" w:rsidRPr="00C86892">
        <w:rPr>
          <w:rFonts w:ascii="Times New Roman" w:eastAsia="Times New Roman" w:hAnsi="Times New Roman" w:cs="Times New Roman"/>
          <w:lang w:val="en-US" w:eastAsia="nl-BE"/>
        </w:rPr>
        <w:t xml:space="preserve"> of the Draft G</w:t>
      </w:r>
      <w:r w:rsidR="004154D0" w:rsidRPr="00C86892">
        <w:rPr>
          <w:rFonts w:ascii="Times New Roman" w:eastAsia="Times New Roman" w:hAnsi="Times New Roman" w:cs="Times New Roman"/>
          <w:lang w:val="en-US" w:eastAsia="nl-BE"/>
        </w:rPr>
        <w:t>C:</w:t>
      </w:r>
    </w:p>
    <w:p w14:paraId="7C1DD885" w14:textId="77777777" w:rsidR="00877BAC" w:rsidRPr="00C86892" w:rsidRDefault="00877BAC" w:rsidP="00877BAC">
      <w:pPr>
        <w:spacing w:after="0" w:line="240" w:lineRule="auto"/>
        <w:rPr>
          <w:rFonts w:ascii="Times New Roman" w:eastAsia="Times New Roman" w:hAnsi="Times New Roman" w:cs="Times New Roman"/>
          <w:lang w:val="en-US" w:eastAsia="nl-BE"/>
        </w:rPr>
      </w:pPr>
    </w:p>
    <w:p w14:paraId="5F34CD47" w14:textId="085AB657" w:rsidR="004154D0" w:rsidRPr="00061652" w:rsidRDefault="004154D0" w:rsidP="00061652">
      <w:pPr>
        <w:spacing w:before="60" w:after="60" w:line="240" w:lineRule="auto"/>
        <w:rPr>
          <w:rFonts w:ascii="Times New Roman" w:hAnsi="Times New Roman" w:cs="Times New Roman"/>
          <w:lang w:val="en-US"/>
        </w:rPr>
      </w:pPr>
      <w:r w:rsidRPr="00C86892">
        <w:rPr>
          <w:rFonts w:ascii="Times New Roman" w:eastAsia="Times New Roman" w:hAnsi="Times New Roman" w:cs="Times New Roman"/>
          <w:b/>
          <w:bCs/>
          <w:lang w:val="en-US" w:eastAsia="nl-BE"/>
        </w:rPr>
        <w:t>II.</w:t>
      </w:r>
      <w:r w:rsidR="00273D89" w:rsidRPr="00C86892">
        <w:rPr>
          <w:rFonts w:ascii="Times New Roman" w:eastAsia="Times New Roman" w:hAnsi="Times New Roman" w:cs="Times New Roman"/>
          <w:b/>
          <w:bCs/>
          <w:lang w:val="en-US" w:eastAsia="nl-BE"/>
        </w:rPr>
        <w:t xml:space="preserve"> </w:t>
      </w:r>
      <w:r w:rsidR="002C2B2A" w:rsidRPr="00C86892">
        <w:rPr>
          <w:rFonts w:ascii="Times New Roman" w:eastAsia="Times New Roman" w:hAnsi="Times New Roman" w:cs="Times New Roman"/>
          <w:b/>
          <w:bCs/>
          <w:lang w:val="en-US" w:eastAsia="nl-BE"/>
        </w:rPr>
        <w:t xml:space="preserve"> </w:t>
      </w:r>
      <w:r w:rsidRPr="00C86892">
        <w:rPr>
          <w:rFonts w:ascii="Times New Roman" w:eastAsia="Times New Roman" w:hAnsi="Times New Roman" w:cs="Times New Roman"/>
          <w:b/>
          <w:bCs/>
          <w:lang w:val="en-US" w:eastAsia="nl-BE"/>
        </w:rPr>
        <w:t>B</w:t>
      </w:r>
      <w:r w:rsidR="00734F55" w:rsidRPr="00C86892">
        <w:rPr>
          <w:rFonts w:ascii="Times New Roman" w:eastAsia="Times New Roman" w:hAnsi="Times New Roman" w:cs="Times New Roman"/>
          <w:b/>
          <w:bCs/>
          <w:lang w:val="en-US" w:eastAsia="nl-BE"/>
        </w:rPr>
        <w:t>.</w:t>
      </w:r>
      <w:r w:rsidR="00570DBC" w:rsidRPr="00C86892">
        <w:rPr>
          <w:rFonts w:ascii="Times New Roman" w:eastAsia="Times New Roman" w:hAnsi="Times New Roman" w:cs="Times New Roman"/>
          <w:b/>
          <w:bCs/>
          <w:lang w:val="en-US" w:eastAsia="nl-BE"/>
        </w:rPr>
        <w:t xml:space="preserve"> </w:t>
      </w:r>
      <w:r w:rsidR="008F352E" w:rsidRPr="00C86892">
        <w:rPr>
          <w:rFonts w:ascii="Times New Roman" w:eastAsia="Times New Roman" w:hAnsi="Times New Roman" w:cs="Times New Roman"/>
          <w:b/>
          <w:bCs/>
          <w:lang w:val="en-US" w:eastAsia="nl-BE"/>
        </w:rPr>
        <w:t xml:space="preserve"> </w:t>
      </w:r>
      <w:hyperlink w:anchor="Intergenerational" w:history="1">
        <w:r w:rsidR="00570DBC" w:rsidRPr="00061652">
          <w:rPr>
            <w:rStyle w:val="Hyperlink"/>
            <w:rFonts w:ascii="Times New Roman" w:hAnsi="Times New Roman" w:cs="Times New Roman"/>
            <w:lang w:val="en-US"/>
          </w:rPr>
          <w:t>Intergenerational equity and future generations</w:t>
        </w:r>
      </w:hyperlink>
    </w:p>
    <w:p w14:paraId="7E80DCB3" w14:textId="77777777" w:rsidR="002C2B2A" w:rsidRPr="00C86892" w:rsidRDefault="002C2B2A" w:rsidP="00061652">
      <w:pPr>
        <w:spacing w:before="60" w:after="60" w:line="240" w:lineRule="auto"/>
        <w:ind w:left="284"/>
        <w:rPr>
          <w:rFonts w:ascii="Times New Roman" w:hAnsi="Times New Roman" w:cs="Times New Roman"/>
          <w:b/>
          <w:bCs/>
          <w:lang w:val="en-US"/>
        </w:rPr>
      </w:pPr>
    </w:p>
    <w:p w14:paraId="042891AF" w14:textId="356C7C92" w:rsidR="00A76F49" w:rsidRPr="006C3F5E" w:rsidRDefault="007E341E" w:rsidP="00061652">
      <w:pPr>
        <w:spacing w:before="60" w:after="60" w:line="240" w:lineRule="auto"/>
        <w:rPr>
          <w:rFonts w:ascii="Times New Roman" w:hAnsi="Times New Roman" w:cs="Times New Roman"/>
          <w:lang w:val="en-US"/>
        </w:rPr>
      </w:pPr>
      <w:r w:rsidRPr="00C86892">
        <w:rPr>
          <w:rFonts w:ascii="Times New Roman" w:eastAsia="Times New Roman" w:hAnsi="Times New Roman" w:cs="Times New Roman"/>
          <w:b/>
          <w:bCs/>
          <w:lang w:val="en-US" w:eastAsia="nl-BE"/>
        </w:rPr>
        <w:t>III.</w:t>
      </w:r>
      <w:r w:rsidR="00CD0763" w:rsidRPr="00C86892">
        <w:rPr>
          <w:rFonts w:ascii="Times New Roman" w:eastAsia="Times New Roman" w:hAnsi="Times New Roman" w:cs="Times New Roman"/>
          <w:b/>
          <w:bCs/>
          <w:lang w:val="en-US" w:eastAsia="nl-BE"/>
        </w:rPr>
        <w:t xml:space="preserve"> </w:t>
      </w:r>
      <w:r w:rsidR="00A76F49" w:rsidRPr="00C86892">
        <w:rPr>
          <w:rFonts w:ascii="Times New Roman" w:eastAsia="Times New Roman" w:hAnsi="Times New Roman" w:cs="Times New Roman"/>
          <w:b/>
          <w:bCs/>
          <w:lang w:val="en-US" w:eastAsia="nl-BE"/>
        </w:rPr>
        <w:t>C</w:t>
      </w:r>
      <w:r w:rsidR="00CD0763" w:rsidRPr="00C86892">
        <w:rPr>
          <w:rFonts w:ascii="Times New Roman" w:eastAsia="Times New Roman" w:hAnsi="Times New Roman" w:cs="Times New Roman"/>
          <w:b/>
          <w:bCs/>
          <w:lang w:val="en-US" w:eastAsia="nl-BE"/>
        </w:rPr>
        <w:t>.</w:t>
      </w:r>
      <w:r w:rsidR="00CD0763" w:rsidRPr="00C86892">
        <w:rPr>
          <w:rFonts w:ascii="Times New Roman" w:hAnsi="Times New Roman" w:cs="Times New Roman"/>
          <w:b/>
          <w:bCs/>
          <w:lang w:val="en-US"/>
        </w:rPr>
        <w:t xml:space="preserve"> </w:t>
      </w:r>
      <w:r w:rsidR="00061652">
        <w:rPr>
          <w:rFonts w:ascii="Times New Roman" w:hAnsi="Times New Roman" w:cs="Times New Roman"/>
          <w:b/>
          <w:bCs/>
          <w:lang w:val="en-US"/>
        </w:rPr>
        <w:t xml:space="preserve"> </w:t>
      </w:r>
      <w:hyperlink w:anchor="Education" w:history="1">
        <w:r w:rsidR="00E66899" w:rsidRPr="006C3F5E">
          <w:rPr>
            <w:rStyle w:val="Hyperlink"/>
            <w:rFonts w:ascii="Times New Roman" w:hAnsi="Times New Roman" w:cs="Times New Roman"/>
            <w:lang w:val="en-US"/>
          </w:rPr>
          <w:t xml:space="preserve">The right to education </w:t>
        </w:r>
        <w:r w:rsidR="00C74DFB" w:rsidRPr="006C3F5E">
          <w:rPr>
            <w:rStyle w:val="Hyperlink"/>
            <w:rFonts w:ascii="Times New Roman" w:hAnsi="Times New Roman" w:cs="Times New Roman"/>
            <w:lang w:val="en-US"/>
          </w:rPr>
          <w:t>(arts. 28 and 29 (1) (e))</w:t>
        </w:r>
      </w:hyperlink>
    </w:p>
    <w:p w14:paraId="15926575" w14:textId="361A0E53" w:rsidR="001210E0" w:rsidRPr="006C3F5E" w:rsidRDefault="0002589F" w:rsidP="00061652">
      <w:pPr>
        <w:pStyle w:val="ListParagraph"/>
        <w:numPr>
          <w:ilvl w:val="0"/>
          <w:numId w:val="9"/>
        </w:numPr>
        <w:spacing w:before="60" w:after="60" w:line="240" w:lineRule="auto"/>
        <w:ind w:left="425" w:hanging="11"/>
        <w:contextualSpacing w:val="0"/>
        <w:rPr>
          <w:rFonts w:ascii="Times New Roman" w:hAnsi="Times New Roman" w:cs="Times New Roman"/>
          <w:lang w:val="en-US"/>
        </w:rPr>
      </w:pPr>
      <w:hyperlink w:anchor="Art12" w:history="1">
        <w:r w:rsidR="00D032F7" w:rsidRPr="006C3F5E">
          <w:rPr>
            <w:rStyle w:val="Hyperlink"/>
            <w:rFonts w:ascii="Times New Roman" w:hAnsi="Times New Roman" w:cs="Times New Roman"/>
            <w:lang w:val="en-US"/>
          </w:rPr>
          <w:t xml:space="preserve">The right </w:t>
        </w:r>
        <w:r w:rsidR="0073018D" w:rsidRPr="006C3F5E">
          <w:rPr>
            <w:rStyle w:val="Hyperlink"/>
            <w:rFonts w:ascii="Times New Roman" w:hAnsi="Times New Roman" w:cs="Times New Roman"/>
            <w:lang w:val="en-US"/>
          </w:rPr>
          <w:t xml:space="preserve">of the child </w:t>
        </w:r>
        <w:r w:rsidR="00D032F7" w:rsidRPr="006C3F5E">
          <w:rPr>
            <w:rStyle w:val="Hyperlink"/>
            <w:rFonts w:ascii="Times New Roman" w:hAnsi="Times New Roman" w:cs="Times New Roman"/>
            <w:lang w:val="en-US"/>
          </w:rPr>
          <w:t>to be heard</w:t>
        </w:r>
        <w:r w:rsidR="005F0A11" w:rsidRPr="006C3F5E">
          <w:rPr>
            <w:rStyle w:val="Hyperlink"/>
            <w:rFonts w:ascii="Times New Roman" w:hAnsi="Times New Roman" w:cs="Times New Roman"/>
            <w:lang w:val="en-US"/>
          </w:rPr>
          <w:t xml:space="preserve"> (art. 12)</w:t>
        </w:r>
      </w:hyperlink>
    </w:p>
    <w:p w14:paraId="7258DA87" w14:textId="5B17B1B7" w:rsidR="00CD0763" w:rsidRPr="006C3F5E" w:rsidRDefault="0002589F" w:rsidP="00061652">
      <w:pPr>
        <w:pStyle w:val="ListParagraph"/>
        <w:numPr>
          <w:ilvl w:val="0"/>
          <w:numId w:val="9"/>
        </w:numPr>
        <w:spacing w:before="60" w:after="60" w:line="240" w:lineRule="auto"/>
        <w:ind w:left="425" w:hanging="11"/>
        <w:contextualSpacing w:val="0"/>
        <w:rPr>
          <w:rFonts w:ascii="Times New Roman" w:hAnsi="Times New Roman" w:cs="Times New Roman"/>
          <w:lang w:val="en-US"/>
        </w:rPr>
      </w:pPr>
      <w:hyperlink w:anchor="Freedomofexp" w:history="1">
        <w:r w:rsidR="00200DFA" w:rsidRPr="006C3F5E">
          <w:rPr>
            <w:rStyle w:val="Hyperlink"/>
            <w:rFonts w:ascii="Times New Roman" w:hAnsi="Times New Roman" w:cs="Times New Roman"/>
            <w:lang w:val="en-US"/>
          </w:rPr>
          <w:t>Freedom of expression, association and peaceful assembly (arts. 13 and 15)</w:t>
        </w:r>
      </w:hyperlink>
    </w:p>
    <w:p w14:paraId="1EF2E775" w14:textId="77777777" w:rsidR="002C2B2A" w:rsidRPr="00C86892" w:rsidRDefault="002C2B2A" w:rsidP="00061652">
      <w:pPr>
        <w:pStyle w:val="ListParagraph"/>
        <w:spacing w:before="60" w:after="60" w:line="240" w:lineRule="auto"/>
        <w:rPr>
          <w:rFonts w:ascii="Times New Roman" w:hAnsi="Times New Roman" w:cs="Times New Roman"/>
          <w:b/>
          <w:bCs/>
          <w:lang w:val="en-US"/>
        </w:rPr>
      </w:pPr>
    </w:p>
    <w:p w14:paraId="35B068AD" w14:textId="01016096" w:rsidR="00F43788" w:rsidRPr="006C3F5E" w:rsidRDefault="00F43788" w:rsidP="00061652">
      <w:pPr>
        <w:spacing w:before="60" w:after="60" w:line="240" w:lineRule="auto"/>
        <w:rPr>
          <w:rFonts w:ascii="Times New Roman" w:hAnsi="Times New Roman" w:cs="Times New Roman"/>
          <w:lang w:val="en-US"/>
        </w:rPr>
      </w:pPr>
      <w:r w:rsidRPr="00C86892">
        <w:rPr>
          <w:rFonts w:ascii="Times New Roman" w:hAnsi="Times New Roman" w:cs="Times New Roman"/>
          <w:b/>
          <w:bCs/>
          <w:lang w:val="en-US"/>
        </w:rPr>
        <w:t xml:space="preserve">V. C. </w:t>
      </w:r>
      <w:r w:rsidR="002C2B2A" w:rsidRPr="00C86892">
        <w:rPr>
          <w:rFonts w:ascii="Times New Roman" w:hAnsi="Times New Roman" w:cs="Times New Roman"/>
          <w:b/>
          <w:bCs/>
          <w:lang w:val="en-US"/>
        </w:rPr>
        <w:t xml:space="preserve">  </w:t>
      </w:r>
      <w:hyperlink w:anchor="Accesstoinfo" w:history="1">
        <w:r w:rsidRPr="006C3F5E">
          <w:rPr>
            <w:rStyle w:val="Hyperlink"/>
            <w:rFonts w:ascii="Times New Roman" w:hAnsi="Times New Roman" w:cs="Times New Roman"/>
            <w:lang w:val="en-US"/>
          </w:rPr>
          <w:t>Access to information</w:t>
        </w:r>
        <w:r w:rsidR="00A42A45" w:rsidRPr="006C3F5E">
          <w:rPr>
            <w:rStyle w:val="Hyperlink"/>
            <w:rFonts w:ascii="Times New Roman" w:hAnsi="Times New Roman" w:cs="Times New Roman"/>
            <w:lang w:val="en-US"/>
          </w:rPr>
          <w:t xml:space="preserve"> (arts. 13 and 17)</w:t>
        </w:r>
      </w:hyperlink>
    </w:p>
    <w:p w14:paraId="32BF9CBA" w14:textId="77777777" w:rsidR="00CA5F28" w:rsidRDefault="00CA5F28" w:rsidP="00061652">
      <w:pPr>
        <w:spacing w:before="60" w:after="60" w:line="240" w:lineRule="auto"/>
        <w:rPr>
          <w:rFonts w:ascii="Times New Roman" w:hAnsi="Times New Roman" w:cs="Times New Roman"/>
          <w:b/>
          <w:bCs/>
          <w:lang w:val="en-GB"/>
        </w:rPr>
      </w:pPr>
    </w:p>
    <w:p w14:paraId="37A65D7E" w14:textId="70061BFC" w:rsidR="00CA5F28" w:rsidRDefault="00CA5F28" w:rsidP="00061652">
      <w:pPr>
        <w:spacing w:before="60" w:after="60" w:line="240" w:lineRule="auto"/>
        <w:rPr>
          <w:rFonts w:ascii="Times New Roman" w:hAnsi="Times New Roman" w:cs="Times New Roman"/>
          <w:b/>
          <w:bCs/>
          <w:lang w:val="en-GB"/>
        </w:rPr>
      </w:pPr>
      <w:r w:rsidRPr="007F70DF">
        <w:rPr>
          <w:rFonts w:ascii="Times New Roman" w:hAnsi="Times New Roman" w:cs="Times New Roman"/>
          <w:b/>
          <w:bCs/>
          <w:lang w:val="en-GB"/>
        </w:rPr>
        <w:t>VI. D</w:t>
      </w:r>
      <w:r>
        <w:rPr>
          <w:rFonts w:ascii="Times New Roman" w:hAnsi="Times New Roman" w:cs="Times New Roman"/>
          <w:b/>
          <w:bCs/>
          <w:lang w:val="en-GB"/>
        </w:rPr>
        <w:t xml:space="preserve">.  </w:t>
      </w:r>
      <w:hyperlink w:anchor="Business" w:history="1">
        <w:r w:rsidRPr="006C3F5E">
          <w:rPr>
            <w:rStyle w:val="Hyperlink"/>
            <w:rFonts w:ascii="Times New Roman" w:hAnsi="Times New Roman" w:cs="Times New Roman"/>
            <w:lang w:val="en-GB"/>
          </w:rPr>
          <w:t>Business and climate change</w:t>
        </w:r>
      </w:hyperlink>
    </w:p>
    <w:p w14:paraId="717B5279" w14:textId="77777777" w:rsidR="00CA5F28" w:rsidRPr="00CA5F28" w:rsidRDefault="00CA5F28" w:rsidP="005112D5">
      <w:pPr>
        <w:spacing w:after="0" w:line="240" w:lineRule="auto"/>
        <w:rPr>
          <w:rFonts w:ascii="Times New Roman" w:hAnsi="Times New Roman" w:cs="Times New Roman"/>
          <w:b/>
          <w:bCs/>
          <w:lang w:val="en-GB"/>
        </w:rPr>
      </w:pPr>
    </w:p>
    <w:p w14:paraId="5B26E8DA" w14:textId="74E91FD5" w:rsidR="00EA1116" w:rsidRPr="00C86892" w:rsidRDefault="009B47FC" w:rsidP="0098661F">
      <w:pPr>
        <w:spacing w:before="100" w:beforeAutospacing="1" w:after="100" w:afterAutospacing="1" w:line="240" w:lineRule="auto"/>
        <w:jc w:val="both"/>
        <w:rPr>
          <w:rFonts w:ascii="Times New Roman" w:eastAsia="Times New Roman" w:hAnsi="Times New Roman" w:cs="Times New Roman"/>
          <w:lang w:val="en-US" w:eastAsia="nl-BE"/>
        </w:rPr>
      </w:pPr>
      <w:r w:rsidRPr="00C86892">
        <w:rPr>
          <w:rFonts w:ascii="Times New Roman" w:eastAsia="Times New Roman" w:hAnsi="Times New Roman" w:cs="Times New Roman"/>
          <w:lang w:val="en-US" w:eastAsia="nl-BE"/>
        </w:rPr>
        <w:t xml:space="preserve">In the following, </w:t>
      </w:r>
      <w:r w:rsidR="00570DBC" w:rsidRPr="00C86892">
        <w:rPr>
          <w:rFonts w:ascii="Times New Roman" w:eastAsia="Times New Roman" w:hAnsi="Times New Roman" w:cs="Times New Roman"/>
          <w:lang w:val="en-US" w:eastAsia="nl-BE"/>
        </w:rPr>
        <w:t xml:space="preserve">the </w:t>
      </w:r>
      <w:r w:rsidRPr="00C86892">
        <w:rPr>
          <w:rFonts w:ascii="Times New Roman" w:eastAsia="Times New Roman" w:hAnsi="Times New Roman" w:cs="Times New Roman"/>
          <w:lang w:val="en-US" w:eastAsia="nl-BE"/>
        </w:rPr>
        <w:t xml:space="preserve">contribution with provide a short </w:t>
      </w:r>
      <w:r w:rsidR="00F96EA9" w:rsidRPr="00C86892">
        <w:rPr>
          <w:rFonts w:ascii="Times New Roman" w:eastAsia="Times New Roman" w:hAnsi="Times New Roman" w:cs="Times New Roman"/>
          <w:lang w:val="en-US" w:eastAsia="nl-BE"/>
        </w:rPr>
        <w:t>argumentation for amendments or comple</w:t>
      </w:r>
      <w:r w:rsidR="001B355C" w:rsidRPr="00C86892">
        <w:rPr>
          <w:rFonts w:ascii="Times New Roman" w:eastAsia="Times New Roman" w:hAnsi="Times New Roman" w:cs="Times New Roman"/>
          <w:lang w:val="en-US" w:eastAsia="nl-BE"/>
        </w:rPr>
        <w:t xml:space="preserve">tion </w:t>
      </w:r>
      <w:r w:rsidR="00F96EA9" w:rsidRPr="00C86892">
        <w:rPr>
          <w:rFonts w:ascii="Times New Roman" w:eastAsia="Times New Roman" w:hAnsi="Times New Roman" w:cs="Times New Roman"/>
          <w:lang w:val="en-US" w:eastAsia="nl-BE"/>
        </w:rPr>
        <w:t>of the GC’s text</w:t>
      </w:r>
      <w:r w:rsidR="001B355C" w:rsidRPr="00C86892">
        <w:rPr>
          <w:rFonts w:ascii="Times New Roman" w:eastAsia="Times New Roman" w:hAnsi="Times New Roman" w:cs="Times New Roman"/>
          <w:lang w:val="en-US" w:eastAsia="nl-BE"/>
        </w:rPr>
        <w:t xml:space="preserve"> for each point</w:t>
      </w:r>
      <w:r w:rsidR="001210E0" w:rsidRPr="00C86892">
        <w:rPr>
          <w:rFonts w:ascii="Times New Roman" w:eastAsia="Times New Roman" w:hAnsi="Times New Roman" w:cs="Times New Roman"/>
          <w:lang w:val="en-US" w:eastAsia="nl-BE"/>
        </w:rPr>
        <w:t xml:space="preserve"> listed above</w:t>
      </w:r>
      <w:r w:rsidR="001B355C" w:rsidRPr="00C86892">
        <w:rPr>
          <w:rFonts w:ascii="Times New Roman" w:eastAsia="Times New Roman" w:hAnsi="Times New Roman" w:cs="Times New Roman"/>
          <w:lang w:val="en-US" w:eastAsia="nl-BE"/>
        </w:rPr>
        <w:t xml:space="preserve">. </w:t>
      </w:r>
      <w:r w:rsidR="000A0129" w:rsidRPr="00C86892">
        <w:rPr>
          <w:rFonts w:ascii="Times New Roman" w:eastAsia="Times New Roman" w:hAnsi="Times New Roman" w:cs="Times New Roman"/>
          <w:lang w:val="en-US" w:eastAsia="nl-BE"/>
        </w:rPr>
        <w:t xml:space="preserve">Then it will provide the recommended amendments to the text. These </w:t>
      </w:r>
      <w:r w:rsidR="000A0129" w:rsidRPr="00C86892">
        <w:rPr>
          <w:rFonts w:ascii="Times New Roman" w:eastAsia="Times New Roman" w:hAnsi="Times New Roman" w:cs="Times New Roman"/>
          <w:highlight w:val="yellow"/>
          <w:lang w:val="en-US" w:eastAsia="nl-BE"/>
        </w:rPr>
        <w:t>modifications are highlighted in yellow</w:t>
      </w:r>
      <w:r w:rsidR="000A0129" w:rsidRPr="00C86892">
        <w:rPr>
          <w:rFonts w:ascii="Times New Roman" w:eastAsia="Times New Roman" w:hAnsi="Times New Roman" w:cs="Times New Roman"/>
          <w:lang w:val="en-US" w:eastAsia="nl-BE"/>
        </w:rPr>
        <w:t xml:space="preserve"> for an ease of reference.</w:t>
      </w:r>
    </w:p>
    <w:p w14:paraId="2F3411DC" w14:textId="77777777" w:rsidR="00CA5F28" w:rsidRDefault="00CA5F28" w:rsidP="00333A74">
      <w:pPr>
        <w:spacing w:after="0" w:line="240" w:lineRule="auto"/>
        <w:rPr>
          <w:rFonts w:ascii="Times New Roman" w:eastAsia="Times New Roman" w:hAnsi="Times New Roman" w:cs="Times New Roman"/>
          <w:b/>
          <w:bCs/>
          <w:sz w:val="24"/>
          <w:szCs w:val="24"/>
          <w:lang w:val="en-US" w:eastAsia="nl-BE"/>
        </w:rPr>
      </w:pPr>
    </w:p>
    <w:p w14:paraId="4F7A813D" w14:textId="2846A54E" w:rsidR="00E7084B" w:rsidRPr="000F5BFA" w:rsidRDefault="00E7084B" w:rsidP="00E433CC">
      <w:pPr>
        <w:spacing w:after="0" w:line="240" w:lineRule="auto"/>
        <w:rPr>
          <w:rFonts w:ascii="Times New Roman" w:hAnsi="Times New Roman" w:cs="Times New Roman"/>
          <w:b/>
          <w:bCs/>
          <w:sz w:val="24"/>
          <w:szCs w:val="24"/>
          <w:lang w:val="en-US"/>
        </w:rPr>
      </w:pPr>
      <w:r w:rsidRPr="00E7084B">
        <w:rPr>
          <w:rFonts w:ascii="Times New Roman" w:eastAsia="Times New Roman" w:hAnsi="Times New Roman" w:cs="Times New Roman"/>
          <w:b/>
          <w:bCs/>
          <w:sz w:val="24"/>
          <w:szCs w:val="24"/>
          <w:lang w:val="en-US" w:eastAsia="nl-BE"/>
        </w:rPr>
        <w:t>II.</w:t>
      </w:r>
      <w:r w:rsidR="00E433CC">
        <w:rPr>
          <w:rFonts w:ascii="Times New Roman" w:eastAsia="Times New Roman" w:hAnsi="Times New Roman" w:cs="Times New Roman"/>
          <w:b/>
          <w:bCs/>
          <w:sz w:val="24"/>
          <w:szCs w:val="24"/>
          <w:lang w:val="en-US" w:eastAsia="nl-BE"/>
        </w:rPr>
        <w:t xml:space="preserve"> </w:t>
      </w:r>
      <w:r w:rsidRPr="000F5BFA">
        <w:rPr>
          <w:rFonts w:ascii="Times New Roman" w:hAnsi="Times New Roman" w:cs="Times New Roman"/>
          <w:b/>
          <w:bCs/>
          <w:sz w:val="24"/>
          <w:szCs w:val="24"/>
          <w:lang w:val="en-US"/>
        </w:rPr>
        <w:t>B.</w:t>
      </w:r>
      <w:r w:rsidRPr="000F5BFA">
        <w:rPr>
          <w:rFonts w:ascii="Times New Roman" w:hAnsi="Times New Roman" w:cs="Times New Roman"/>
          <w:b/>
          <w:bCs/>
          <w:sz w:val="24"/>
          <w:szCs w:val="24"/>
          <w:lang w:val="en-US"/>
        </w:rPr>
        <w:tab/>
      </w:r>
      <w:r w:rsidRPr="000F5BFA">
        <w:rPr>
          <w:rFonts w:ascii="Times New Roman" w:hAnsi="Times New Roman" w:cs="Times New Roman"/>
          <w:b/>
          <w:bCs/>
          <w:sz w:val="24"/>
          <w:szCs w:val="24"/>
          <w:lang w:val="en-US"/>
        </w:rPr>
        <w:tab/>
      </w:r>
      <w:bookmarkStart w:id="1" w:name="Intergenerational"/>
      <w:r w:rsidRPr="000F5BFA">
        <w:rPr>
          <w:rFonts w:ascii="Times New Roman" w:hAnsi="Times New Roman" w:cs="Times New Roman"/>
          <w:b/>
          <w:bCs/>
          <w:sz w:val="24"/>
          <w:szCs w:val="24"/>
          <w:lang w:val="en-US"/>
        </w:rPr>
        <w:t xml:space="preserve">Intergenerational equity and future generations </w:t>
      </w:r>
      <w:bookmarkEnd w:id="1"/>
    </w:p>
    <w:p w14:paraId="365BBC6E" w14:textId="77777777" w:rsidR="00333A74" w:rsidRPr="00333A74" w:rsidRDefault="00333A74" w:rsidP="00333A74">
      <w:pPr>
        <w:rPr>
          <w:lang w:val="en-GB"/>
        </w:rPr>
      </w:pPr>
    </w:p>
    <w:p w14:paraId="78966152" w14:textId="2DF3BDAB" w:rsidR="00375CF4" w:rsidRDefault="00F5075D" w:rsidP="0011575C">
      <w:pPr>
        <w:jc w:val="both"/>
        <w:rPr>
          <w:rFonts w:ascii="Times New Roman" w:hAnsi="Times New Roman" w:cs="Times New Roman"/>
          <w:lang w:val="en-GB"/>
        </w:rPr>
      </w:pPr>
      <w:r w:rsidRPr="007461A5">
        <w:rPr>
          <w:rFonts w:ascii="Times New Roman" w:hAnsi="Times New Roman" w:cs="Times New Roman"/>
          <w:b/>
          <w:bCs/>
          <w:u w:val="single"/>
          <w:lang w:val="en-GB"/>
        </w:rPr>
        <w:t>Argument for amendment:</w:t>
      </w:r>
      <w:r w:rsidRPr="0011575C">
        <w:rPr>
          <w:rFonts w:ascii="Times New Roman" w:hAnsi="Times New Roman" w:cs="Times New Roman"/>
          <w:lang w:val="en-GB"/>
        </w:rPr>
        <w:t xml:space="preserve"> </w:t>
      </w:r>
      <w:r w:rsidR="001E20C8" w:rsidRPr="0011575C">
        <w:rPr>
          <w:rFonts w:ascii="Times New Roman" w:hAnsi="Times New Roman" w:cs="Times New Roman"/>
          <w:lang w:val="en-GB"/>
        </w:rPr>
        <w:t xml:space="preserve">The </w:t>
      </w:r>
      <w:r w:rsidR="007F4547" w:rsidRPr="0011575C">
        <w:rPr>
          <w:rFonts w:ascii="Times New Roman" w:hAnsi="Times New Roman" w:cs="Times New Roman"/>
          <w:lang w:val="en-GB"/>
        </w:rPr>
        <w:t>Sustainable Development Goals (SDGs)</w:t>
      </w:r>
      <w:r w:rsidR="001E20C8" w:rsidRPr="0011575C">
        <w:rPr>
          <w:rFonts w:ascii="Times New Roman" w:hAnsi="Times New Roman" w:cs="Times New Roman"/>
          <w:lang w:val="en-GB"/>
        </w:rPr>
        <w:t xml:space="preserve"> </w:t>
      </w:r>
      <w:r w:rsidR="0032403D" w:rsidRPr="0011575C">
        <w:rPr>
          <w:rFonts w:ascii="Times New Roman" w:hAnsi="Times New Roman" w:cs="Times New Roman"/>
          <w:lang w:val="en-GB"/>
        </w:rPr>
        <w:t>states that</w:t>
      </w:r>
      <w:r w:rsidR="00047E49" w:rsidRPr="0011575C">
        <w:rPr>
          <w:rFonts w:ascii="Times New Roman" w:hAnsi="Times New Roman" w:cs="Times New Roman"/>
          <w:lang w:val="en-GB"/>
        </w:rPr>
        <w:t xml:space="preserve"> e</w:t>
      </w:r>
      <w:r w:rsidR="000F6917" w:rsidRPr="0011575C">
        <w:rPr>
          <w:rFonts w:ascii="Times New Roman" w:hAnsi="Times New Roman" w:cs="Times New Roman"/>
          <w:lang w:val="en-GB"/>
        </w:rPr>
        <w:t>nsuring intergenerational</w:t>
      </w:r>
      <w:r w:rsidR="00FF25C8" w:rsidRPr="0011575C">
        <w:rPr>
          <w:rFonts w:ascii="Times New Roman" w:hAnsi="Times New Roman" w:cs="Times New Roman"/>
          <w:lang w:val="en-GB"/>
        </w:rPr>
        <w:t xml:space="preserve"> equity is a </w:t>
      </w:r>
      <w:r w:rsidR="00047E49" w:rsidRPr="0011575C">
        <w:rPr>
          <w:rFonts w:ascii="Times New Roman" w:hAnsi="Times New Roman" w:cs="Times New Roman"/>
          <w:lang w:val="en-GB"/>
        </w:rPr>
        <w:t>shared/collective respo</w:t>
      </w:r>
      <w:r w:rsidR="000D72A8" w:rsidRPr="0011575C">
        <w:rPr>
          <w:rFonts w:ascii="Times New Roman" w:hAnsi="Times New Roman" w:cs="Times New Roman"/>
          <w:lang w:val="en-GB"/>
        </w:rPr>
        <w:t>n</w:t>
      </w:r>
      <w:r w:rsidR="00047E49" w:rsidRPr="0011575C">
        <w:rPr>
          <w:rFonts w:ascii="Times New Roman" w:hAnsi="Times New Roman" w:cs="Times New Roman"/>
          <w:lang w:val="en-GB"/>
        </w:rPr>
        <w:t xml:space="preserve">sibility of </w:t>
      </w:r>
      <w:r w:rsidR="00047E49" w:rsidRPr="0011575C">
        <w:rPr>
          <w:rFonts w:ascii="Times New Roman" w:hAnsi="Times New Roman" w:cs="Times New Roman"/>
          <w:i/>
          <w:iCs/>
          <w:lang w:val="en-GB"/>
        </w:rPr>
        <w:t xml:space="preserve">all </w:t>
      </w:r>
      <w:r w:rsidR="00047E49" w:rsidRPr="0011575C">
        <w:rPr>
          <w:rFonts w:ascii="Times New Roman" w:hAnsi="Times New Roman" w:cs="Times New Roman"/>
          <w:lang w:val="en-GB"/>
        </w:rPr>
        <w:t>persons</w:t>
      </w:r>
      <w:r w:rsidR="001E20C8" w:rsidRPr="0011575C">
        <w:rPr>
          <w:rFonts w:ascii="Times New Roman" w:hAnsi="Times New Roman" w:cs="Times New Roman"/>
          <w:lang w:val="en-GB"/>
        </w:rPr>
        <w:t>, including the younger generations</w:t>
      </w:r>
      <w:r w:rsidR="0032403D" w:rsidRPr="0011575C">
        <w:rPr>
          <w:rFonts w:ascii="Times New Roman" w:hAnsi="Times New Roman" w:cs="Times New Roman"/>
          <w:lang w:val="en-GB"/>
        </w:rPr>
        <w:t xml:space="preserve"> living today (para 53, SDGs)</w:t>
      </w:r>
      <w:r w:rsidR="001E20C8" w:rsidRPr="0011575C">
        <w:rPr>
          <w:rFonts w:ascii="Times New Roman" w:hAnsi="Times New Roman" w:cs="Times New Roman"/>
          <w:lang w:val="en-GB"/>
        </w:rPr>
        <w:t>.</w:t>
      </w:r>
      <w:r w:rsidR="0032403D" w:rsidRPr="0011575C">
        <w:rPr>
          <w:rFonts w:ascii="Times New Roman" w:hAnsi="Times New Roman" w:cs="Times New Roman"/>
          <w:lang w:val="en-GB"/>
        </w:rPr>
        <w:t xml:space="preserve"> </w:t>
      </w:r>
      <w:r w:rsidR="0011575C" w:rsidRPr="0011575C">
        <w:rPr>
          <w:rFonts w:ascii="Times New Roman" w:hAnsi="Times New Roman" w:cs="Times New Roman"/>
          <w:lang w:val="en-GB"/>
        </w:rPr>
        <w:t>C</w:t>
      </w:r>
      <w:r w:rsidR="00E65E38" w:rsidRPr="0011575C">
        <w:rPr>
          <w:rFonts w:ascii="Times New Roman" w:hAnsi="Times New Roman" w:cs="Times New Roman"/>
          <w:lang w:val="en-GB"/>
        </w:rPr>
        <w:t>onsidering that intergenerational equity is a responsibility of children</w:t>
      </w:r>
      <w:r w:rsidR="00F4059C" w:rsidRPr="0011575C">
        <w:rPr>
          <w:rFonts w:ascii="Times New Roman" w:hAnsi="Times New Roman" w:cs="Times New Roman"/>
          <w:lang w:val="en-GB"/>
        </w:rPr>
        <w:t xml:space="preserve"> </w:t>
      </w:r>
      <w:r w:rsidR="00E65E38" w:rsidRPr="0011575C">
        <w:rPr>
          <w:rFonts w:ascii="Times New Roman" w:hAnsi="Times New Roman" w:cs="Times New Roman"/>
          <w:lang w:val="en-GB"/>
        </w:rPr>
        <w:t xml:space="preserve">too, </w:t>
      </w:r>
      <w:r w:rsidR="00F4059C" w:rsidRPr="0011575C">
        <w:rPr>
          <w:rFonts w:ascii="Times New Roman" w:hAnsi="Times New Roman" w:cs="Times New Roman"/>
          <w:lang w:val="en-GB"/>
        </w:rPr>
        <w:t xml:space="preserve">States should provide </w:t>
      </w:r>
      <w:r w:rsidR="001E4909" w:rsidRPr="0011575C">
        <w:rPr>
          <w:rFonts w:ascii="Times New Roman" w:hAnsi="Times New Roman" w:cs="Times New Roman"/>
          <w:lang w:val="en-GB"/>
        </w:rPr>
        <w:t xml:space="preserve">adequate skills, opportunities and conditions for children to fulfil this duty. </w:t>
      </w:r>
      <w:r w:rsidR="0011575C" w:rsidRPr="005061FC">
        <w:rPr>
          <w:rFonts w:ascii="Times New Roman" w:hAnsi="Times New Roman" w:cs="Times New Roman"/>
          <w:b/>
          <w:bCs/>
          <w:highlight w:val="yellow"/>
          <w:lang w:val="en-GB"/>
        </w:rPr>
        <w:t>Therefore, w</w:t>
      </w:r>
      <w:r w:rsidR="00B93E68" w:rsidRPr="005061FC">
        <w:rPr>
          <w:rFonts w:ascii="Times New Roman" w:hAnsi="Times New Roman" w:cs="Times New Roman"/>
          <w:b/>
          <w:bCs/>
          <w:highlight w:val="yellow"/>
          <w:lang w:val="en-GB"/>
        </w:rPr>
        <w:t xml:space="preserve">e recommend </w:t>
      </w:r>
      <w:r w:rsidR="0011575C" w:rsidRPr="005061FC">
        <w:rPr>
          <w:rFonts w:ascii="Times New Roman" w:hAnsi="Times New Roman" w:cs="Times New Roman"/>
          <w:b/>
          <w:bCs/>
          <w:highlight w:val="yellow"/>
          <w:lang w:val="en-GB"/>
        </w:rPr>
        <w:t xml:space="preserve">the following </w:t>
      </w:r>
      <w:r w:rsidR="004605B5">
        <w:rPr>
          <w:rFonts w:ascii="Times New Roman" w:hAnsi="Times New Roman" w:cs="Times New Roman"/>
          <w:b/>
          <w:bCs/>
          <w:highlight w:val="yellow"/>
          <w:lang w:val="en-GB"/>
        </w:rPr>
        <w:t xml:space="preserve">additional </w:t>
      </w:r>
      <w:r w:rsidR="0011575C" w:rsidRPr="005061FC">
        <w:rPr>
          <w:rFonts w:ascii="Times New Roman" w:hAnsi="Times New Roman" w:cs="Times New Roman"/>
          <w:b/>
          <w:bCs/>
          <w:highlight w:val="yellow"/>
          <w:lang w:val="en-GB"/>
        </w:rPr>
        <w:t>point to</w:t>
      </w:r>
      <w:r w:rsidR="00B93E68" w:rsidRPr="005061FC">
        <w:rPr>
          <w:rFonts w:ascii="Times New Roman" w:hAnsi="Times New Roman" w:cs="Times New Roman"/>
          <w:b/>
          <w:bCs/>
          <w:highlight w:val="yellow"/>
          <w:lang w:val="en-GB"/>
        </w:rPr>
        <w:t xml:space="preserve"> point II. B:</w:t>
      </w:r>
    </w:p>
    <w:p w14:paraId="06C964C6" w14:textId="3991D62A" w:rsidR="009C748E" w:rsidRDefault="009C748E" w:rsidP="00316119">
      <w:pPr>
        <w:pStyle w:val="SingleTxtG"/>
        <w:numPr>
          <w:ilvl w:val="0"/>
          <w:numId w:val="10"/>
        </w:numPr>
        <w:tabs>
          <w:tab w:val="clear" w:pos="1701"/>
          <w:tab w:val="clear" w:pos="2268"/>
          <w:tab w:val="clear" w:pos="2835"/>
        </w:tabs>
        <w:suppressAutoHyphens w:val="0"/>
        <w:kinsoku/>
        <w:overflowPunct/>
        <w:autoSpaceDE/>
        <w:autoSpaceDN/>
        <w:adjustRightInd/>
        <w:snapToGrid/>
        <w:ind w:left="851" w:firstLine="0"/>
        <w:rPr>
          <w:color w:val="FF0000"/>
          <w:highlight w:val="yellow"/>
        </w:rPr>
      </w:pPr>
      <w:r w:rsidRPr="0011575C">
        <w:rPr>
          <w:color w:val="FF0000"/>
          <w:highlight w:val="yellow"/>
        </w:rPr>
        <w:t xml:space="preserve">Intergenerational equity is a primary consideration in sustainable development, environmental and climate change matters. </w:t>
      </w:r>
      <w:r w:rsidR="00582181">
        <w:rPr>
          <w:color w:val="FF0000"/>
          <w:highlight w:val="yellow"/>
        </w:rPr>
        <w:t>Paragraph</w:t>
      </w:r>
      <w:r w:rsidRPr="0011575C">
        <w:rPr>
          <w:color w:val="FF0000"/>
          <w:highlight w:val="yellow"/>
        </w:rPr>
        <w:t xml:space="preserve"> 53 of the Sustainable Development Goals confirms that it is a shared/collective duty of all persons (including children) to ensure the future of humanity.</w:t>
      </w:r>
      <w:r w:rsidR="00582181">
        <w:rPr>
          <w:rStyle w:val="FootnoteReference"/>
          <w:color w:val="FF0000"/>
          <w:highlight w:val="yellow"/>
        </w:rPr>
        <w:footnoteReference w:id="1"/>
      </w:r>
      <w:r w:rsidRPr="0011575C">
        <w:rPr>
          <w:color w:val="FF0000"/>
          <w:highlight w:val="yellow"/>
        </w:rPr>
        <w:t xml:space="preserve"> States should enhance the fulfilment of this collective duty through respecting the rights of children living today. States should empower children to live up to their share of intergenerational responsibility through access to information, education, the involvement of children in mitigation and adaptation policy-planning and </w:t>
      </w:r>
      <w:r w:rsidRPr="0011575C">
        <w:rPr>
          <w:color w:val="FF0000"/>
          <w:highlight w:val="yellow"/>
        </w:rPr>
        <w:lastRenderedPageBreak/>
        <w:t>implementation as well as securing their right to access to justice in environmental/climate change matters.</w:t>
      </w:r>
    </w:p>
    <w:p w14:paraId="2B654E89" w14:textId="77777777" w:rsidR="00AC404A" w:rsidRPr="0011575C" w:rsidRDefault="00AC404A" w:rsidP="00AC404A">
      <w:pPr>
        <w:pStyle w:val="SingleTxtG"/>
        <w:tabs>
          <w:tab w:val="clear" w:pos="1701"/>
          <w:tab w:val="clear" w:pos="2268"/>
          <w:tab w:val="clear" w:pos="2835"/>
        </w:tabs>
        <w:suppressAutoHyphens w:val="0"/>
        <w:kinsoku/>
        <w:overflowPunct/>
        <w:autoSpaceDE/>
        <w:autoSpaceDN/>
        <w:adjustRightInd/>
        <w:snapToGrid/>
        <w:ind w:left="1418"/>
        <w:rPr>
          <w:color w:val="FF0000"/>
          <w:highlight w:val="yellow"/>
        </w:rPr>
      </w:pPr>
    </w:p>
    <w:p w14:paraId="58B2C694" w14:textId="5A156F79" w:rsidR="00C1418D" w:rsidRDefault="00C1418D" w:rsidP="00333A74">
      <w:pPr>
        <w:pStyle w:val="H1G"/>
        <w:spacing w:before="0" w:after="0" w:line="240" w:lineRule="auto"/>
      </w:pPr>
      <w:r>
        <w:t>III.</w:t>
      </w:r>
      <w:r w:rsidR="00182E24">
        <w:t xml:space="preserve"> </w:t>
      </w:r>
      <w:r>
        <w:t>C.</w:t>
      </w:r>
      <w:r>
        <w:tab/>
      </w:r>
      <w:r>
        <w:tab/>
      </w:r>
      <w:bookmarkStart w:id="2" w:name="Education"/>
      <w:r w:rsidRPr="00CC25B8">
        <w:t>The right to education (arts. 28 and 29 (1) (e))</w:t>
      </w:r>
    </w:p>
    <w:bookmarkEnd w:id="2"/>
    <w:p w14:paraId="775E4450" w14:textId="77777777" w:rsidR="00333A74" w:rsidRPr="00333A74" w:rsidRDefault="00333A74" w:rsidP="00333A74">
      <w:pPr>
        <w:rPr>
          <w:lang w:val="en-GB"/>
        </w:rPr>
      </w:pPr>
    </w:p>
    <w:p w14:paraId="056CE09D" w14:textId="256C329E" w:rsidR="00F13960" w:rsidRPr="00D97AA6" w:rsidRDefault="007461A5" w:rsidP="00F13960">
      <w:pPr>
        <w:pStyle w:val="SingleTxtG"/>
        <w:tabs>
          <w:tab w:val="clear" w:pos="1701"/>
          <w:tab w:val="clear" w:pos="2268"/>
          <w:tab w:val="clear" w:pos="2835"/>
        </w:tabs>
        <w:suppressAutoHyphens w:val="0"/>
        <w:kinsoku/>
        <w:overflowPunct/>
        <w:autoSpaceDE/>
        <w:autoSpaceDN/>
        <w:adjustRightInd/>
        <w:snapToGrid/>
        <w:spacing w:after="0" w:line="240" w:lineRule="auto"/>
        <w:ind w:left="0" w:right="-46"/>
        <w:rPr>
          <w:b/>
          <w:bCs/>
          <w:sz w:val="22"/>
          <w:szCs w:val="22"/>
        </w:rPr>
      </w:pPr>
      <w:r w:rsidRPr="007461A5">
        <w:rPr>
          <w:b/>
          <w:bCs/>
          <w:u w:val="single"/>
        </w:rPr>
        <w:t>Argument for amendment:</w:t>
      </w:r>
      <w:r w:rsidRPr="0011575C">
        <w:t xml:space="preserve"> </w:t>
      </w:r>
      <w:r w:rsidR="00F13960" w:rsidRPr="007461A5">
        <w:rPr>
          <w:bCs/>
          <w:sz w:val="22"/>
          <w:szCs w:val="22"/>
        </w:rPr>
        <w:t xml:space="preserve">The Draft </w:t>
      </w:r>
      <w:r>
        <w:rPr>
          <w:bCs/>
          <w:sz w:val="22"/>
          <w:szCs w:val="22"/>
        </w:rPr>
        <w:t>GC</w:t>
      </w:r>
      <w:r w:rsidR="00F13960" w:rsidRPr="007461A5">
        <w:rPr>
          <w:bCs/>
          <w:sz w:val="22"/>
          <w:szCs w:val="22"/>
        </w:rPr>
        <w:t xml:space="preserve"> devotes </w:t>
      </w:r>
      <w:r w:rsidR="00FB4C87" w:rsidRPr="007461A5">
        <w:rPr>
          <w:bCs/>
          <w:sz w:val="22"/>
          <w:szCs w:val="22"/>
        </w:rPr>
        <w:t xml:space="preserve">detailed </w:t>
      </w:r>
      <w:r w:rsidR="00F13960" w:rsidRPr="007461A5">
        <w:rPr>
          <w:bCs/>
          <w:sz w:val="22"/>
          <w:szCs w:val="22"/>
        </w:rPr>
        <w:t xml:space="preserve">attention to the right of education in the environmental/climate change context, and although not explicitly, it contains the requirement for environmental education for </w:t>
      </w:r>
      <w:r w:rsidR="00F13960" w:rsidRPr="007461A5">
        <w:rPr>
          <w:bCs/>
          <w:i/>
          <w:iCs/>
          <w:sz w:val="22"/>
          <w:szCs w:val="22"/>
        </w:rPr>
        <w:t>all</w:t>
      </w:r>
      <w:r w:rsidR="00F13960" w:rsidRPr="007461A5">
        <w:rPr>
          <w:bCs/>
          <w:sz w:val="22"/>
          <w:szCs w:val="22"/>
        </w:rPr>
        <w:t xml:space="preserve"> (children) when it states that:</w:t>
      </w:r>
      <w:r w:rsidR="00F13960" w:rsidRPr="007461A5">
        <w:rPr>
          <w:bCs/>
          <w:i/>
          <w:iCs/>
          <w:sz w:val="22"/>
          <w:szCs w:val="22"/>
        </w:rPr>
        <w:t xml:space="preserve"> ‘</w:t>
      </w:r>
      <w:r w:rsidR="00F13960" w:rsidRPr="007461A5">
        <w:rPr>
          <w:i/>
          <w:iCs/>
          <w:sz w:val="22"/>
          <w:szCs w:val="22"/>
        </w:rPr>
        <w:t>All children should be equipped with the skills necessary to face expected environmental challenges in life such as disaster risks, including the ability to critically reflect upon such challenges, solve problems, make well-balanced decisions and assume environmental responsibility in accordance with their evolving capacities.’</w:t>
      </w:r>
      <w:r w:rsidR="00F13960" w:rsidRPr="007461A5">
        <w:rPr>
          <w:rStyle w:val="FootnoteReference"/>
          <w:rFonts w:ascii="Times New Roman" w:hAnsi="Times New Roman" w:cs="Times New Roman"/>
          <w:sz w:val="22"/>
          <w:szCs w:val="22"/>
        </w:rPr>
        <w:footnoteReference w:id="2"/>
      </w:r>
      <w:r w:rsidR="00F13960" w:rsidRPr="007461A5">
        <w:rPr>
          <w:sz w:val="22"/>
          <w:szCs w:val="22"/>
        </w:rPr>
        <w:t xml:space="preserve"> This type of </w:t>
      </w:r>
      <w:r w:rsidR="00E34D12">
        <w:rPr>
          <w:sz w:val="22"/>
          <w:szCs w:val="22"/>
        </w:rPr>
        <w:t xml:space="preserve">(environmental) </w:t>
      </w:r>
      <w:r w:rsidR="00F13960" w:rsidRPr="007461A5">
        <w:rPr>
          <w:sz w:val="22"/>
          <w:szCs w:val="22"/>
        </w:rPr>
        <w:t xml:space="preserve">education </w:t>
      </w:r>
      <w:r w:rsidR="00D97AA6">
        <w:rPr>
          <w:sz w:val="22"/>
          <w:szCs w:val="22"/>
        </w:rPr>
        <w:t xml:space="preserve">should </w:t>
      </w:r>
      <w:r w:rsidR="00F13960" w:rsidRPr="007461A5">
        <w:rPr>
          <w:sz w:val="22"/>
          <w:szCs w:val="22"/>
        </w:rPr>
        <w:t xml:space="preserve">contain elements of environmental citizenship education </w:t>
      </w:r>
      <w:r w:rsidR="00D97AA6">
        <w:rPr>
          <w:sz w:val="22"/>
          <w:szCs w:val="22"/>
        </w:rPr>
        <w:t>and a</w:t>
      </w:r>
      <w:r w:rsidR="00F13960" w:rsidRPr="007461A5">
        <w:rPr>
          <w:sz w:val="22"/>
          <w:szCs w:val="22"/>
        </w:rPr>
        <w:t xml:space="preserve"> holistic integration of environmental/climate change education into the overall citizenship education curriculum. </w:t>
      </w:r>
      <w:r w:rsidR="00F13960" w:rsidRPr="00D97AA6">
        <w:rPr>
          <w:b/>
          <w:bCs/>
          <w:sz w:val="22"/>
          <w:szCs w:val="22"/>
        </w:rPr>
        <w:t>Therefore</w:t>
      </w:r>
      <w:r w:rsidR="00C92ED8" w:rsidRPr="00D97AA6">
        <w:rPr>
          <w:b/>
          <w:bCs/>
          <w:sz w:val="22"/>
          <w:szCs w:val="22"/>
        </w:rPr>
        <w:t>,</w:t>
      </w:r>
      <w:r w:rsidR="00F13960" w:rsidRPr="00D97AA6">
        <w:rPr>
          <w:b/>
          <w:bCs/>
          <w:sz w:val="22"/>
          <w:szCs w:val="22"/>
        </w:rPr>
        <w:t xml:space="preserve"> </w:t>
      </w:r>
      <w:r w:rsidR="00F13960" w:rsidRPr="00D97AA6">
        <w:rPr>
          <w:b/>
          <w:bCs/>
          <w:sz w:val="22"/>
          <w:szCs w:val="22"/>
          <w:highlight w:val="yellow"/>
        </w:rPr>
        <w:t xml:space="preserve">we recommend the following amendments to </w:t>
      </w:r>
      <w:r w:rsidR="00C92ED8" w:rsidRPr="00D97AA6">
        <w:rPr>
          <w:b/>
          <w:bCs/>
          <w:sz w:val="22"/>
          <w:szCs w:val="22"/>
          <w:highlight w:val="yellow"/>
        </w:rPr>
        <w:t>point III. C:</w:t>
      </w:r>
    </w:p>
    <w:p w14:paraId="236F19A9" w14:textId="3CF1975D" w:rsidR="0035065B" w:rsidRPr="007461A5" w:rsidRDefault="0035065B" w:rsidP="0035065B">
      <w:pPr>
        <w:pStyle w:val="SingleTxtG"/>
        <w:tabs>
          <w:tab w:val="clear" w:pos="1701"/>
          <w:tab w:val="clear" w:pos="2268"/>
          <w:tab w:val="clear" w:pos="2835"/>
        </w:tabs>
        <w:suppressAutoHyphens w:val="0"/>
        <w:kinsoku/>
        <w:overflowPunct/>
        <w:autoSpaceDE/>
        <w:autoSpaceDN/>
        <w:adjustRightInd/>
        <w:snapToGrid/>
        <w:spacing w:after="0" w:line="240" w:lineRule="auto"/>
        <w:ind w:left="0" w:right="-46"/>
        <w:rPr>
          <w:sz w:val="22"/>
          <w:szCs w:val="22"/>
        </w:rPr>
      </w:pPr>
    </w:p>
    <w:p w14:paraId="17138AB0" w14:textId="56CF1608" w:rsidR="00310E2E" w:rsidRPr="00295F17" w:rsidRDefault="001C15AE" w:rsidP="00BE05F0">
      <w:pPr>
        <w:pStyle w:val="SingleTxtG"/>
        <w:numPr>
          <w:ilvl w:val="0"/>
          <w:numId w:val="11"/>
        </w:numPr>
        <w:tabs>
          <w:tab w:val="clear" w:pos="1701"/>
          <w:tab w:val="clear" w:pos="2268"/>
          <w:tab w:val="clear" w:pos="2835"/>
        </w:tabs>
        <w:suppressAutoHyphens w:val="0"/>
        <w:kinsoku/>
        <w:overflowPunct/>
        <w:autoSpaceDE/>
        <w:autoSpaceDN/>
        <w:adjustRightInd/>
        <w:snapToGrid/>
        <w:ind w:left="851" w:hanging="11"/>
        <w:rPr>
          <w:color w:val="FF0000"/>
          <w:highlight w:val="yellow"/>
        </w:rPr>
      </w:pPr>
      <w:r w:rsidRPr="00295F17">
        <w:rPr>
          <w:color w:val="FF0000"/>
          <w:highlight w:val="yellow"/>
        </w:rPr>
        <w:t>A rights-based environmental education</w:t>
      </w:r>
      <w:r w:rsidR="002A391F" w:rsidRPr="00295F17">
        <w:rPr>
          <w:color w:val="FF0000"/>
          <w:highlight w:val="yellow"/>
        </w:rPr>
        <w:t xml:space="preserve"> </w:t>
      </w:r>
      <w:r w:rsidR="00A475EC" w:rsidRPr="00295F17">
        <w:rPr>
          <w:color w:val="FF0000"/>
          <w:highlight w:val="yellow"/>
        </w:rPr>
        <w:t xml:space="preserve">should be ensured </w:t>
      </w:r>
      <w:r w:rsidR="002A391F" w:rsidRPr="00295F17">
        <w:rPr>
          <w:color w:val="FF0000"/>
          <w:highlight w:val="yellow"/>
        </w:rPr>
        <w:t>at all levels</w:t>
      </w:r>
      <w:r w:rsidR="00A475EC" w:rsidRPr="00295F17">
        <w:rPr>
          <w:color w:val="FF0000"/>
          <w:highlight w:val="yellow"/>
        </w:rPr>
        <w:t xml:space="preserve">, </w:t>
      </w:r>
      <w:r w:rsidR="006C15A4" w:rsidRPr="00295F17">
        <w:rPr>
          <w:color w:val="FF0000"/>
          <w:highlight w:val="yellow"/>
        </w:rPr>
        <w:t xml:space="preserve">throughout the </w:t>
      </w:r>
      <w:r w:rsidR="00741497" w:rsidRPr="00295F17">
        <w:rPr>
          <w:color w:val="FF0000"/>
          <w:highlight w:val="yellow"/>
        </w:rPr>
        <w:t xml:space="preserve">entire period of </w:t>
      </w:r>
      <w:r w:rsidR="006C15A4" w:rsidRPr="00295F17">
        <w:rPr>
          <w:color w:val="FF0000"/>
          <w:highlight w:val="yellow"/>
        </w:rPr>
        <w:t>schooling. It</w:t>
      </w:r>
      <w:r w:rsidR="006C15A4" w:rsidRPr="00295F17">
        <w:rPr>
          <w:color w:val="FF0000"/>
        </w:rPr>
        <w:t xml:space="preserve"> </w:t>
      </w:r>
      <w:r w:rsidRPr="00CC25B8">
        <w:t xml:space="preserve">should be child-centred, child-friendly and empowering and pursue the development of the child’s personality, talents and abilities, in line with article 29(1) (a) of the Convention. School curricula should be tailored to children’s specific environmental, social, economic, and cultural contexts and promote understanding of the contexts of other children affected by environmental impacts. Curricula should reflect changing environments and new environmental science. Teaching materials should provide accurate, updated and age- and developmentally-appropriate environmental information. </w:t>
      </w:r>
      <w:r w:rsidR="00310E2E" w:rsidRPr="00295F17">
        <w:rPr>
          <w:color w:val="FF0000"/>
          <w:highlight w:val="yellow"/>
        </w:rPr>
        <w:t>To be effective, environmental education should deal with the dynamics of both the physical/biological and socio-economic environment and human development, should be integrated holistically in all disciplines.</w:t>
      </w:r>
    </w:p>
    <w:p w14:paraId="3C46A520" w14:textId="77777777" w:rsidR="000C1454" w:rsidRPr="00BE05F0" w:rsidRDefault="001F3CC8" w:rsidP="00BE05F0">
      <w:pPr>
        <w:pStyle w:val="SingleTxtG"/>
        <w:numPr>
          <w:ilvl w:val="0"/>
          <w:numId w:val="11"/>
        </w:numPr>
        <w:tabs>
          <w:tab w:val="clear" w:pos="1701"/>
          <w:tab w:val="clear" w:pos="2268"/>
          <w:tab w:val="clear" w:pos="2835"/>
        </w:tabs>
        <w:suppressAutoHyphens w:val="0"/>
        <w:kinsoku/>
        <w:overflowPunct/>
        <w:autoSpaceDE/>
        <w:autoSpaceDN/>
        <w:adjustRightInd/>
        <w:snapToGrid/>
        <w:ind w:left="851" w:firstLine="0"/>
        <w:rPr>
          <w:color w:val="FF0000"/>
        </w:rPr>
      </w:pPr>
      <w:r w:rsidRPr="00295F17">
        <w:rPr>
          <w:color w:val="FF0000"/>
          <w:highlight w:val="yellow"/>
        </w:rPr>
        <w:t xml:space="preserve">With regard to </w:t>
      </w:r>
      <w:r w:rsidR="00CE5097" w:rsidRPr="00295F17">
        <w:rPr>
          <w:color w:val="FF0000"/>
          <w:highlight w:val="yellow"/>
        </w:rPr>
        <w:t>climate change</w:t>
      </w:r>
      <w:r w:rsidR="003D21FC" w:rsidRPr="00295F17">
        <w:rPr>
          <w:color w:val="FF0000"/>
          <w:highlight w:val="yellow"/>
        </w:rPr>
        <w:t xml:space="preserve"> in particular</w:t>
      </w:r>
      <w:r w:rsidR="00CE5097" w:rsidRPr="00295F17">
        <w:rPr>
          <w:color w:val="FF0000"/>
          <w:highlight w:val="yellow"/>
        </w:rPr>
        <w:t>, al</w:t>
      </w:r>
      <w:r w:rsidR="003B66CF" w:rsidRPr="00295F17">
        <w:rPr>
          <w:color w:val="FF0000"/>
          <w:highlight w:val="yellow"/>
        </w:rPr>
        <w:t xml:space="preserve">l children should be provided </w:t>
      </w:r>
      <w:r w:rsidR="00CE5097" w:rsidRPr="00295F17">
        <w:rPr>
          <w:color w:val="FF0000"/>
          <w:highlight w:val="yellow"/>
        </w:rPr>
        <w:t xml:space="preserve">age-appropriate </w:t>
      </w:r>
      <w:r w:rsidR="001D09A0" w:rsidRPr="00295F17">
        <w:rPr>
          <w:color w:val="FF0000"/>
          <w:highlight w:val="yellow"/>
        </w:rPr>
        <w:t xml:space="preserve">skills to </w:t>
      </w:r>
      <w:r w:rsidR="00467B29" w:rsidRPr="00295F17">
        <w:rPr>
          <w:color w:val="FF0000"/>
          <w:highlight w:val="yellow"/>
        </w:rPr>
        <w:t xml:space="preserve">use </w:t>
      </w:r>
      <w:r w:rsidR="003217C5" w:rsidRPr="00295F17">
        <w:rPr>
          <w:color w:val="FF0000"/>
          <w:highlight w:val="yellow"/>
        </w:rPr>
        <w:t xml:space="preserve">and develop </w:t>
      </w:r>
      <w:r w:rsidR="00467B29" w:rsidRPr="00295F17">
        <w:rPr>
          <w:color w:val="FF0000"/>
          <w:highlight w:val="yellow"/>
        </w:rPr>
        <w:t>individual and group coping mechanisms to</w:t>
      </w:r>
      <w:r w:rsidR="00CE5097" w:rsidRPr="00295F17">
        <w:rPr>
          <w:color w:val="FF0000"/>
          <w:highlight w:val="yellow"/>
        </w:rPr>
        <w:t xml:space="preserve"> </w:t>
      </w:r>
      <w:r w:rsidR="000738FC" w:rsidRPr="00295F17">
        <w:rPr>
          <w:color w:val="FF0000"/>
          <w:highlight w:val="yellow"/>
        </w:rPr>
        <w:t xml:space="preserve">acquire, </w:t>
      </w:r>
      <w:r w:rsidR="00957051" w:rsidRPr="00295F17">
        <w:rPr>
          <w:color w:val="FF0000"/>
          <w:highlight w:val="yellow"/>
        </w:rPr>
        <w:t>endure and process</w:t>
      </w:r>
      <w:r w:rsidR="000738FC" w:rsidRPr="00295F17">
        <w:rPr>
          <w:color w:val="FF0000"/>
          <w:highlight w:val="yellow"/>
        </w:rPr>
        <w:t xml:space="preserve"> </w:t>
      </w:r>
      <w:r w:rsidR="00154B4A" w:rsidRPr="00295F17">
        <w:rPr>
          <w:color w:val="FF0000"/>
          <w:highlight w:val="yellow"/>
        </w:rPr>
        <w:t xml:space="preserve">the </w:t>
      </w:r>
      <w:r w:rsidR="003D21FC" w:rsidRPr="00295F17">
        <w:rPr>
          <w:color w:val="FF0000"/>
          <w:highlight w:val="yellow"/>
        </w:rPr>
        <w:t>information received</w:t>
      </w:r>
      <w:r w:rsidR="00154B4A" w:rsidRPr="00295F17">
        <w:rPr>
          <w:color w:val="FF0000"/>
          <w:highlight w:val="yellow"/>
        </w:rPr>
        <w:t>.</w:t>
      </w:r>
      <w:r w:rsidR="00467B29" w:rsidRPr="00295F17">
        <w:rPr>
          <w:color w:val="FF0000"/>
        </w:rPr>
        <w:t xml:space="preserve"> </w:t>
      </w:r>
      <w:r w:rsidR="001D09A0" w:rsidRPr="00295F17">
        <w:rPr>
          <w:color w:val="FF0000"/>
        </w:rPr>
        <w:t xml:space="preserve"> </w:t>
      </w:r>
      <w:r w:rsidR="001C15AE" w:rsidRPr="00BE05F0">
        <w:rPr>
          <w:color w:val="FF0000"/>
        </w:rPr>
        <w:t>All children should be equipped with the skills necessary to face expected environmental challenges in life such as disaster risks, including the ability to critically reflect upon such challenges, solve problems, make well-balanced decisions and assume environmental responsibility in accordance with their evolving capacities.</w:t>
      </w:r>
      <w:r w:rsidR="00D34DE1" w:rsidRPr="00BE05F0">
        <w:rPr>
          <w:color w:val="FF0000"/>
        </w:rPr>
        <w:t xml:space="preserve"> </w:t>
      </w:r>
    </w:p>
    <w:p w14:paraId="1B539BA9" w14:textId="64CE9A42" w:rsidR="001C15AE" w:rsidRPr="00CC25B8" w:rsidRDefault="00D34DE1" w:rsidP="00BE05F0">
      <w:pPr>
        <w:pStyle w:val="SingleTxtG"/>
        <w:numPr>
          <w:ilvl w:val="0"/>
          <w:numId w:val="11"/>
        </w:numPr>
        <w:tabs>
          <w:tab w:val="clear" w:pos="1701"/>
          <w:tab w:val="clear" w:pos="2268"/>
          <w:tab w:val="clear" w:pos="2835"/>
        </w:tabs>
        <w:suppressAutoHyphens w:val="0"/>
        <w:kinsoku/>
        <w:overflowPunct/>
        <w:autoSpaceDE/>
        <w:autoSpaceDN/>
        <w:adjustRightInd/>
        <w:snapToGrid/>
        <w:ind w:left="851" w:firstLine="0"/>
      </w:pPr>
      <w:r w:rsidRPr="00295F17">
        <w:rPr>
          <w:color w:val="FF0000"/>
          <w:highlight w:val="yellow"/>
        </w:rPr>
        <w:t xml:space="preserve">Environmental education </w:t>
      </w:r>
      <w:r w:rsidR="005669A0" w:rsidRPr="00295F17">
        <w:rPr>
          <w:color w:val="FF0000"/>
          <w:highlight w:val="yellow"/>
        </w:rPr>
        <w:t xml:space="preserve">is a primary source of </w:t>
      </w:r>
      <w:r w:rsidR="00CB3DE8" w:rsidRPr="00295F17">
        <w:rPr>
          <w:color w:val="FF0000"/>
          <w:highlight w:val="yellow"/>
        </w:rPr>
        <w:t>access</w:t>
      </w:r>
      <w:r w:rsidR="00F04FB4" w:rsidRPr="00295F17">
        <w:rPr>
          <w:color w:val="FF0000"/>
          <w:highlight w:val="yellow"/>
        </w:rPr>
        <w:t>ing environmental information.</w:t>
      </w:r>
      <w:r w:rsidR="00335604" w:rsidRPr="00295F17">
        <w:rPr>
          <w:color w:val="FF0000"/>
          <w:highlight w:val="yellow"/>
        </w:rPr>
        <w:t xml:space="preserve"> This includes </w:t>
      </w:r>
      <w:r w:rsidR="00514007" w:rsidRPr="00295F17">
        <w:rPr>
          <w:color w:val="FF0000"/>
          <w:highlight w:val="yellow"/>
        </w:rPr>
        <w:t xml:space="preserve">knowledge about </w:t>
      </w:r>
      <w:r w:rsidR="00077A57" w:rsidRPr="00295F17">
        <w:rPr>
          <w:color w:val="FF0000"/>
          <w:highlight w:val="yellow"/>
        </w:rPr>
        <w:t xml:space="preserve">children’s </w:t>
      </w:r>
      <w:r w:rsidR="00D64D98" w:rsidRPr="00295F17">
        <w:rPr>
          <w:color w:val="FF0000"/>
          <w:highlight w:val="yellow"/>
        </w:rPr>
        <w:t>right to</w:t>
      </w:r>
      <w:r w:rsidR="0072507B" w:rsidRPr="00295F17">
        <w:rPr>
          <w:color w:val="FF0000"/>
          <w:highlight w:val="yellow"/>
        </w:rPr>
        <w:t xml:space="preserve"> be heard, and to effective remedy</w:t>
      </w:r>
      <w:r w:rsidR="00D64D98" w:rsidRPr="00295F17">
        <w:rPr>
          <w:color w:val="FF0000"/>
          <w:highlight w:val="yellow"/>
        </w:rPr>
        <w:t xml:space="preserve"> </w:t>
      </w:r>
      <w:r w:rsidR="00383704" w:rsidRPr="00295F17">
        <w:rPr>
          <w:color w:val="FF0000"/>
          <w:highlight w:val="yellow"/>
        </w:rPr>
        <w:t>in environmental or climate change-related matters</w:t>
      </w:r>
      <w:r w:rsidR="0072507B" w:rsidRPr="00295F17">
        <w:rPr>
          <w:color w:val="FF0000"/>
          <w:highlight w:val="yellow"/>
        </w:rPr>
        <w:t xml:space="preserve"> through  public participation</w:t>
      </w:r>
      <w:r w:rsidR="00F3424D" w:rsidRPr="00295F17">
        <w:rPr>
          <w:color w:val="FF0000"/>
          <w:highlight w:val="yellow"/>
        </w:rPr>
        <w:t>/the right to be heard</w:t>
      </w:r>
      <w:r w:rsidR="0072507B" w:rsidRPr="00295F17">
        <w:rPr>
          <w:color w:val="FF0000"/>
          <w:highlight w:val="yellow"/>
        </w:rPr>
        <w:t xml:space="preserve"> and access to justice</w:t>
      </w:r>
      <w:r w:rsidR="00383704" w:rsidRPr="00295F17">
        <w:rPr>
          <w:color w:val="FF0000"/>
          <w:highlight w:val="yellow"/>
        </w:rPr>
        <w:t>. Environmental education</w:t>
      </w:r>
      <w:r w:rsidR="00A515B0" w:rsidRPr="00295F17">
        <w:rPr>
          <w:color w:val="FF0000"/>
          <w:highlight w:val="yellow"/>
        </w:rPr>
        <w:t xml:space="preserve"> </w:t>
      </w:r>
      <w:r w:rsidRPr="00295F17">
        <w:rPr>
          <w:color w:val="FF0000"/>
          <w:highlight w:val="yellow"/>
        </w:rPr>
        <w:t xml:space="preserve">should </w:t>
      </w:r>
      <w:r w:rsidR="00A63984" w:rsidRPr="00295F17">
        <w:rPr>
          <w:color w:val="FF0000"/>
          <w:highlight w:val="yellow"/>
        </w:rPr>
        <w:t xml:space="preserve">be </w:t>
      </w:r>
      <w:r w:rsidR="00F3424D" w:rsidRPr="00295F17">
        <w:rPr>
          <w:color w:val="FF0000"/>
          <w:highlight w:val="yellow"/>
        </w:rPr>
        <w:t xml:space="preserve">therefore </w:t>
      </w:r>
      <w:r w:rsidR="00A63984" w:rsidRPr="00295F17">
        <w:rPr>
          <w:color w:val="FF0000"/>
          <w:highlight w:val="yellow"/>
        </w:rPr>
        <w:t xml:space="preserve">integrated </w:t>
      </w:r>
      <w:r w:rsidR="00D327CE" w:rsidRPr="00295F17">
        <w:rPr>
          <w:color w:val="FF0000"/>
          <w:highlight w:val="yellow"/>
        </w:rPr>
        <w:t xml:space="preserve">in particular </w:t>
      </w:r>
      <w:r w:rsidR="004C3E02" w:rsidRPr="00295F17">
        <w:rPr>
          <w:color w:val="FF0000"/>
          <w:highlight w:val="yellow"/>
        </w:rPr>
        <w:t xml:space="preserve">within the system of </w:t>
      </w:r>
      <w:r w:rsidR="00D327CE" w:rsidRPr="00295F17">
        <w:rPr>
          <w:color w:val="FF0000"/>
          <w:highlight w:val="yellow"/>
        </w:rPr>
        <w:t>education on democratic values</w:t>
      </w:r>
      <w:r w:rsidR="00077A57" w:rsidRPr="00295F17">
        <w:rPr>
          <w:color w:val="FF0000"/>
          <w:highlight w:val="yellow"/>
        </w:rPr>
        <w:t>, human rights</w:t>
      </w:r>
      <w:r w:rsidR="00D327CE" w:rsidRPr="00295F17">
        <w:rPr>
          <w:color w:val="FF0000"/>
          <w:highlight w:val="yellow"/>
        </w:rPr>
        <w:t xml:space="preserve"> and </w:t>
      </w:r>
      <w:r w:rsidR="004C3E02" w:rsidRPr="00295F17">
        <w:rPr>
          <w:color w:val="FF0000"/>
          <w:highlight w:val="yellow"/>
        </w:rPr>
        <w:t>citizenship</w:t>
      </w:r>
      <w:r w:rsidR="001801CA" w:rsidRPr="00295F17">
        <w:rPr>
          <w:color w:val="FF0000"/>
          <w:highlight w:val="yellow"/>
        </w:rPr>
        <w:t>.</w:t>
      </w:r>
      <w:r w:rsidR="001801CA" w:rsidRPr="00295F17">
        <w:rPr>
          <w:color w:val="FF0000"/>
        </w:rPr>
        <w:t xml:space="preserve"> </w:t>
      </w:r>
      <w:r w:rsidR="001801CA" w:rsidRPr="00295F17">
        <w:rPr>
          <w:color w:val="FF0000"/>
          <w:highlight w:val="yellow"/>
        </w:rPr>
        <w:t xml:space="preserve">To ensure sustainability, States </w:t>
      </w:r>
      <w:r w:rsidR="00B6236C" w:rsidRPr="00295F17">
        <w:rPr>
          <w:color w:val="FF0000"/>
          <w:highlight w:val="yellow"/>
        </w:rPr>
        <w:t xml:space="preserve">should enhance </w:t>
      </w:r>
      <w:r w:rsidR="001801CA" w:rsidRPr="00295F17">
        <w:rPr>
          <w:color w:val="FF0000"/>
          <w:highlight w:val="yellow"/>
        </w:rPr>
        <w:t xml:space="preserve">the active engagement of the child or children in environmental/climate change </w:t>
      </w:r>
      <w:r w:rsidR="002D5B66" w:rsidRPr="00295F17">
        <w:rPr>
          <w:color w:val="FF0000"/>
          <w:highlight w:val="yellow"/>
        </w:rPr>
        <w:t>matters, policy planning and implementation.</w:t>
      </w:r>
      <w:r w:rsidR="002D5B66" w:rsidRPr="00295F17">
        <w:rPr>
          <w:color w:val="FF0000"/>
        </w:rPr>
        <w:t xml:space="preserve"> </w:t>
      </w:r>
      <w:r w:rsidR="001C15AE" w:rsidRPr="00CC25B8">
        <w:t xml:space="preserve">Educational measures should acknowledge the close interrelationship between respect for the natural environment and other ethical values enshrined in article 29 (1) of the Convention, including respect for human rights and the preparation for responsible life in a free society, and promote the positive roles of girls and children with disabilities in environmental protection and respect for the values and </w:t>
      </w:r>
      <w:r w:rsidR="001C15AE" w:rsidRPr="00CC25B8">
        <w:lastRenderedPageBreak/>
        <w:t xml:space="preserve">traditional lifestyles of </w:t>
      </w:r>
      <w:r w:rsidR="001C15AE">
        <w:t>I</w:t>
      </w:r>
      <w:r w:rsidR="001C15AE" w:rsidRPr="00CC25B8">
        <w:t>ndigenous children. Moreover, they should link environmental with social, cultural and economic aspects, and have both a local and global orientation.</w:t>
      </w:r>
      <w:r w:rsidR="001C15AE" w:rsidRPr="00CC25B8">
        <w:rPr>
          <w:rStyle w:val="FootnoteReference"/>
        </w:rPr>
        <w:footnoteReference w:id="3"/>
      </w:r>
      <w:r w:rsidR="001C15AE" w:rsidRPr="00CC25B8">
        <w:t xml:space="preserve"> Environmental education extends beyond formal schooling to embrace the broad range of lived experiences and learning.</w:t>
      </w:r>
    </w:p>
    <w:p w14:paraId="0AC5A08E" w14:textId="6500D43B" w:rsidR="001C15AE" w:rsidRPr="00CC25B8" w:rsidRDefault="001C15AE" w:rsidP="00BE05F0">
      <w:pPr>
        <w:pStyle w:val="SingleTxtG"/>
        <w:numPr>
          <w:ilvl w:val="0"/>
          <w:numId w:val="12"/>
        </w:numPr>
        <w:tabs>
          <w:tab w:val="clear" w:pos="1701"/>
          <w:tab w:val="clear" w:pos="2268"/>
          <w:tab w:val="clear" w:pos="2835"/>
        </w:tabs>
        <w:suppressAutoHyphens w:val="0"/>
        <w:kinsoku/>
        <w:overflowPunct/>
        <w:autoSpaceDE/>
        <w:autoSpaceDN/>
        <w:adjustRightInd/>
        <w:snapToGrid/>
        <w:ind w:left="851" w:hanging="11"/>
      </w:pPr>
      <w:r w:rsidRPr="00CC25B8">
        <w:t>States should also address the knock-on effects resulting from environmental impacts on children, such as the need for girls to leave school</w:t>
      </w:r>
      <w:r w:rsidR="00EE7126" w:rsidRPr="00295F17">
        <w:rPr>
          <w:color w:val="FF0000"/>
          <w:highlight w:val="yellow"/>
        </w:rPr>
        <w:t xml:space="preserve">, to </w:t>
      </w:r>
      <w:r w:rsidR="0059136F" w:rsidRPr="00295F17">
        <w:rPr>
          <w:color w:val="FF0000"/>
          <w:highlight w:val="yellow"/>
        </w:rPr>
        <w:t xml:space="preserve">be victims of child marriage </w:t>
      </w:r>
      <w:r w:rsidR="0061147D" w:rsidRPr="00295F17">
        <w:rPr>
          <w:color w:val="FF0000"/>
          <w:highlight w:val="yellow"/>
        </w:rPr>
        <w:t xml:space="preserve">or to face consequences of early marriage </w:t>
      </w:r>
      <w:r w:rsidRPr="00295F17">
        <w:rPr>
          <w:color w:val="FF0000"/>
          <w:highlight w:val="yellow"/>
        </w:rPr>
        <w:t>due to</w:t>
      </w:r>
      <w:r w:rsidRPr="00295F17">
        <w:rPr>
          <w:color w:val="FF0000"/>
        </w:rPr>
        <w:t xml:space="preserve"> </w:t>
      </w:r>
      <w:r w:rsidRPr="00CC25B8">
        <w:t xml:space="preserve">the additional domestic and economic burdens in households facing environment-related shocks and stress. </w:t>
      </w:r>
    </w:p>
    <w:p w14:paraId="19CCFAD9" w14:textId="77777777" w:rsidR="00D3295B" w:rsidRPr="00D3295B" w:rsidRDefault="00D3295B" w:rsidP="00D3295B">
      <w:pPr>
        <w:rPr>
          <w:lang w:val="en-GB"/>
        </w:rPr>
      </w:pPr>
    </w:p>
    <w:p w14:paraId="7435F487" w14:textId="6A40BEAE" w:rsidR="00A90FD1" w:rsidRDefault="00D771F8" w:rsidP="00182E24">
      <w:pPr>
        <w:pStyle w:val="H1G"/>
      </w:pPr>
      <w:r>
        <w:t>III.</w:t>
      </w:r>
      <w:r w:rsidR="00182E24">
        <w:t xml:space="preserve"> I. </w:t>
      </w:r>
      <w:bookmarkStart w:id="3" w:name="Art12"/>
      <w:r w:rsidR="00A90FD1" w:rsidRPr="00CC25B8">
        <w:t>The right of the child to be heard (art. 12)</w:t>
      </w:r>
    </w:p>
    <w:bookmarkEnd w:id="3"/>
    <w:p w14:paraId="4127E197" w14:textId="1BBAE84E" w:rsidR="005B47FE" w:rsidRPr="003E1E15" w:rsidRDefault="00FB339E" w:rsidP="005B47FE">
      <w:pPr>
        <w:spacing w:line="240" w:lineRule="auto"/>
        <w:jc w:val="both"/>
        <w:rPr>
          <w:rFonts w:ascii="Times New Roman" w:hAnsi="Times New Roman" w:cs="Times New Roman"/>
          <w:b/>
          <w:lang w:val="en-US"/>
        </w:rPr>
      </w:pPr>
      <w:r w:rsidRPr="0081334A">
        <w:rPr>
          <w:rFonts w:ascii="Times New Roman" w:hAnsi="Times New Roman" w:cs="Times New Roman"/>
          <w:b/>
          <w:bCs/>
          <w:u w:val="single"/>
          <w:lang w:val="en-GB"/>
        </w:rPr>
        <w:t xml:space="preserve">Argument for amendment: </w:t>
      </w:r>
      <w:r w:rsidR="005B47FE" w:rsidRPr="00FB339E">
        <w:rPr>
          <w:rFonts w:ascii="Times New Roman" w:hAnsi="Times New Roman" w:cs="Times New Roman"/>
          <w:color w:val="000000"/>
          <w:lang w:val="en-US"/>
        </w:rPr>
        <w:t xml:space="preserve">A significant novelty of the </w:t>
      </w:r>
      <w:r>
        <w:rPr>
          <w:rFonts w:ascii="Times New Roman" w:hAnsi="Times New Roman" w:cs="Times New Roman"/>
          <w:color w:val="000000"/>
          <w:lang w:val="en-US"/>
        </w:rPr>
        <w:t>GC</w:t>
      </w:r>
      <w:r w:rsidR="005B47FE" w:rsidRPr="00FB339E">
        <w:rPr>
          <w:rFonts w:ascii="Times New Roman" w:hAnsi="Times New Roman" w:cs="Times New Roman"/>
          <w:color w:val="000000"/>
          <w:lang w:val="en-US"/>
        </w:rPr>
        <w:t xml:space="preserve"> is that it considers children as </w:t>
      </w:r>
      <w:r w:rsidR="005B47FE" w:rsidRPr="00FB339E">
        <w:rPr>
          <w:rFonts w:ascii="Times New Roman" w:hAnsi="Times New Roman" w:cs="Times New Roman"/>
          <w:i/>
          <w:iCs/>
          <w:color w:val="000000"/>
          <w:lang w:val="en-US"/>
        </w:rPr>
        <w:t>active environmental citizens</w:t>
      </w:r>
      <w:r w:rsidR="005B47FE" w:rsidRPr="00FB339E">
        <w:rPr>
          <w:rFonts w:ascii="Times New Roman" w:hAnsi="Times New Roman" w:cs="Times New Roman"/>
          <w:color w:val="000000"/>
          <w:lang w:val="en-US"/>
        </w:rPr>
        <w:t xml:space="preserve">. </w:t>
      </w:r>
      <w:r w:rsidR="00D4642E">
        <w:rPr>
          <w:rFonts w:ascii="Times New Roman" w:hAnsi="Times New Roman" w:cs="Times New Roman"/>
          <w:color w:val="000000"/>
          <w:lang w:val="en-US"/>
        </w:rPr>
        <w:t xml:space="preserve"> </w:t>
      </w:r>
      <w:r w:rsidR="00995592">
        <w:rPr>
          <w:rFonts w:ascii="Times New Roman" w:hAnsi="Times New Roman" w:cs="Times New Roman"/>
          <w:color w:val="000000"/>
          <w:lang w:val="en-US"/>
        </w:rPr>
        <w:t>Active c</w:t>
      </w:r>
      <w:r w:rsidR="00D4642E">
        <w:rPr>
          <w:rFonts w:ascii="Times New Roman" w:hAnsi="Times New Roman" w:cs="Times New Roman"/>
          <w:color w:val="000000"/>
          <w:lang w:val="en-US"/>
        </w:rPr>
        <w:t xml:space="preserve">itizenship </w:t>
      </w:r>
      <w:r w:rsidR="00A82779">
        <w:rPr>
          <w:rFonts w:ascii="Times New Roman" w:hAnsi="Times New Roman" w:cs="Times New Roman"/>
          <w:color w:val="000000"/>
          <w:lang w:val="en-US"/>
        </w:rPr>
        <w:t>e</w:t>
      </w:r>
      <w:r w:rsidR="00995592">
        <w:rPr>
          <w:rFonts w:ascii="Times New Roman" w:hAnsi="Times New Roman" w:cs="Times New Roman"/>
          <w:color w:val="000000"/>
          <w:lang w:val="en-US"/>
        </w:rPr>
        <w:t xml:space="preserve">ncompasses the (active) involvement in matters of public concern, in this case in environmental/climate change matters. </w:t>
      </w:r>
      <w:r w:rsidR="00514E8A">
        <w:rPr>
          <w:rFonts w:ascii="Times New Roman" w:hAnsi="Times New Roman" w:cs="Times New Roman"/>
          <w:color w:val="000000"/>
          <w:lang w:val="en-US"/>
        </w:rPr>
        <w:t>In addition, t</w:t>
      </w:r>
      <w:r w:rsidR="005B47FE" w:rsidRPr="00FB339E">
        <w:rPr>
          <w:rFonts w:ascii="Times New Roman" w:hAnsi="Times New Roman" w:cs="Times New Roman"/>
          <w:color w:val="000000"/>
          <w:lang w:val="en-US"/>
        </w:rPr>
        <w:t xml:space="preserve">he Aarhus Convention declares that public participation in environmental matters is a human right. </w:t>
      </w:r>
      <w:r w:rsidR="005B47FE" w:rsidRPr="00FB339E">
        <w:rPr>
          <w:rFonts w:ascii="Times New Roman" w:hAnsi="Times New Roman" w:cs="Times New Roman"/>
          <w:bCs/>
          <w:lang w:val="en-US"/>
        </w:rPr>
        <w:t>It is regrettable that the G</w:t>
      </w:r>
      <w:r w:rsidR="001909FD">
        <w:rPr>
          <w:rFonts w:ascii="Times New Roman" w:hAnsi="Times New Roman" w:cs="Times New Roman"/>
          <w:bCs/>
          <w:lang w:val="en-US"/>
        </w:rPr>
        <w:t>C</w:t>
      </w:r>
      <w:r w:rsidR="005B47FE" w:rsidRPr="00FB339E">
        <w:rPr>
          <w:rFonts w:ascii="Times New Roman" w:hAnsi="Times New Roman" w:cs="Times New Roman"/>
          <w:bCs/>
          <w:lang w:val="en-US"/>
        </w:rPr>
        <w:t xml:space="preserve"> in its current </w:t>
      </w:r>
      <w:r w:rsidR="001909FD">
        <w:rPr>
          <w:rFonts w:ascii="Times New Roman" w:hAnsi="Times New Roman" w:cs="Times New Roman"/>
          <w:bCs/>
          <w:lang w:val="en-US"/>
        </w:rPr>
        <w:t>draft</w:t>
      </w:r>
      <w:r w:rsidR="005B47FE" w:rsidRPr="00FB339E">
        <w:rPr>
          <w:rFonts w:ascii="Times New Roman" w:hAnsi="Times New Roman" w:cs="Times New Roman"/>
          <w:bCs/>
          <w:lang w:val="en-US"/>
        </w:rPr>
        <w:t xml:space="preserve"> does not establish </w:t>
      </w:r>
      <w:r w:rsidR="005B47FE" w:rsidRPr="00B46ECB">
        <w:rPr>
          <w:rFonts w:ascii="Times New Roman" w:hAnsi="Times New Roman" w:cs="Times New Roman"/>
          <w:b/>
          <w:i/>
          <w:iCs/>
          <w:lang w:val="en-US"/>
        </w:rPr>
        <w:t>public participation</w:t>
      </w:r>
      <w:r w:rsidR="005B47FE" w:rsidRPr="00FB339E">
        <w:rPr>
          <w:rFonts w:ascii="Times New Roman" w:hAnsi="Times New Roman" w:cs="Times New Roman"/>
          <w:bCs/>
          <w:lang w:val="en-US"/>
        </w:rPr>
        <w:t xml:space="preserve"> as an environmental human right of children, as it would have </w:t>
      </w:r>
      <w:r w:rsidR="0025515F">
        <w:rPr>
          <w:rFonts w:ascii="Times New Roman" w:hAnsi="Times New Roman" w:cs="Times New Roman"/>
          <w:bCs/>
          <w:lang w:val="en-US"/>
        </w:rPr>
        <w:t xml:space="preserve">clarified and </w:t>
      </w:r>
      <w:r w:rsidR="005B47FE" w:rsidRPr="00FB339E">
        <w:rPr>
          <w:rFonts w:ascii="Times New Roman" w:hAnsi="Times New Roman" w:cs="Times New Roman"/>
          <w:bCs/>
          <w:lang w:val="en-US"/>
        </w:rPr>
        <w:t xml:space="preserve">filled a much debated hiatus in the children’s rights framework as well as in environmental law instruments. The Committee has an enormous opportunity and role to set the ground for </w:t>
      </w:r>
      <w:r w:rsidR="005B47FE" w:rsidRPr="00FB339E">
        <w:rPr>
          <w:rFonts w:ascii="Times New Roman" w:hAnsi="Times New Roman" w:cs="Times New Roman"/>
          <w:b/>
          <w:lang w:val="en-US"/>
        </w:rPr>
        <w:t xml:space="preserve">children’s right to public participation </w:t>
      </w:r>
      <w:r w:rsidR="005B47FE" w:rsidRPr="00FB339E">
        <w:rPr>
          <w:rFonts w:ascii="Times New Roman" w:hAnsi="Times New Roman" w:cs="Times New Roman"/>
          <w:bCs/>
          <w:lang w:val="en-US"/>
        </w:rPr>
        <w:t>in all matters</w:t>
      </w:r>
      <w:r w:rsidR="00F91F7E">
        <w:rPr>
          <w:rFonts w:ascii="Times New Roman" w:hAnsi="Times New Roman" w:cs="Times New Roman"/>
          <w:bCs/>
          <w:lang w:val="en-US"/>
        </w:rPr>
        <w:t xml:space="preserve"> of public concern</w:t>
      </w:r>
      <w:r w:rsidR="005B47FE" w:rsidRPr="00FB339E">
        <w:rPr>
          <w:rFonts w:ascii="Times New Roman" w:hAnsi="Times New Roman" w:cs="Times New Roman"/>
          <w:bCs/>
          <w:lang w:val="en-US"/>
        </w:rPr>
        <w:t xml:space="preserve"> affecting the child/children. </w:t>
      </w:r>
      <w:r w:rsidR="003D29DD">
        <w:rPr>
          <w:rFonts w:ascii="Times New Roman" w:hAnsi="Times New Roman" w:cs="Times New Roman"/>
          <w:bCs/>
          <w:lang w:val="en-US"/>
        </w:rPr>
        <w:t xml:space="preserve">Climate change and environmental degradation </w:t>
      </w:r>
      <w:r w:rsidR="00D938F9">
        <w:rPr>
          <w:rFonts w:ascii="Times New Roman" w:hAnsi="Times New Roman" w:cs="Times New Roman"/>
          <w:bCs/>
          <w:lang w:val="en-US"/>
        </w:rPr>
        <w:t xml:space="preserve">are matters that </w:t>
      </w:r>
      <w:r w:rsidR="003D29DD">
        <w:rPr>
          <w:rFonts w:ascii="Times New Roman" w:hAnsi="Times New Roman" w:cs="Times New Roman"/>
          <w:bCs/>
          <w:lang w:val="en-US"/>
        </w:rPr>
        <w:t xml:space="preserve">unquestionably </w:t>
      </w:r>
      <w:r w:rsidR="00977752">
        <w:rPr>
          <w:rFonts w:ascii="Times New Roman" w:hAnsi="Times New Roman" w:cs="Times New Roman"/>
          <w:bCs/>
          <w:lang w:val="en-US"/>
        </w:rPr>
        <w:t>affect children.</w:t>
      </w:r>
      <w:r w:rsidR="00C74277">
        <w:rPr>
          <w:rFonts w:ascii="Times New Roman" w:hAnsi="Times New Roman" w:cs="Times New Roman"/>
          <w:bCs/>
          <w:lang w:val="en-US"/>
        </w:rPr>
        <w:t xml:space="preserve"> </w:t>
      </w:r>
      <w:r w:rsidR="005B47FE" w:rsidRPr="00FB339E">
        <w:rPr>
          <w:rFonts w:ascii="Times New Roman" w:hAnsi="Times New Roman" w:cs="Times New Roman"/>
          <w:bCs/>
          <w:lang w:val="en-US"/>
        </w:rPr>
        <w:t>In the current text, the G</w:t>
      </w:r>
      <w:r w:rsidR="001909FD">
        <w:rPr>
          <w:rFonts w:ascii="Times New Roman" w:hAnsi="Times New Roman" w:cs="Times New Roman"/>
          <w:bCs/>
          <w:lang w:val="en-US"/>
        </w:rPr>
        <w:t xml:space="preserve">C </w:t>
      </w:r>
      <w:r w:rsidR="005B47FE" w:rsidRPr="00FB339E">
        <w:rPr>
          <w:rFonts w:ascii="Times New Roman" w:hAnsi="Times New Roman" w:cs="Times New Roman"/>
          <w:bCs/>
          <w:lang w:val="en-US"/>
        </w:rPr>
        <w:t xml:space="preserve">consistently refers to Article 12 as ‘the right to be heard’, and avoids to define public participation as an environmental human right of the child/children. </w:t>
      </w:r>
      <w:r w:rsidR="005B47FE" w:rsidRPr="003E1E15">
        <w:rPr>
          <w:rFonts w:ascii="Times New Roman" w:hAnsi="Times New Roman" w:cs="Times New Roman"/>
          <w:b/>
          <w:highlight w:val="yellow"/>
          <w:lang w:val="en-US"/>
        </w:rPr>
        <w:t>We strongly recommend that the Committee consider</w:t>
      </w:r>
      <w:r w:rsidR="003E1E15" w:rsidRPr="003E1E15">
        <w:rPr>
          <w:rFonts w:ascii="Times New Roman" w:hAnsi="Times New Roman" w:cs="Times New Roman"/>
          <w:b/>
          <w:highlight w:val="yellow"/>
          <w:lang w:val="en-US"/>
        </w:rPr>
        <w:t>s</w:t>
      </w:r>
      <w:r w:rsidR="005B47FE" w:rsidRPr="003E1E15">
        <w:rPr>
          <w:rFonts w:ascii="Times New Roman" w:hAnsi="Times New Roman" w:cs="Times New Roman"/>
          <w:b/>
          <w:highlight w:val="yellow"/>
          <w:lang w:val="en-US"/>
        </w:rPr>
        <w:t xml:space="preserve"> the use of the term </w:t>
      </w:r>
      <w:r w:rsidR="005B47FE" w:rsidRPr="003E1E15">
        <w:rPr>
          <w:rFonts w:ascii="Times New Roman" w:hAnsi="Times New Roman" w:cs="Times New Roman"/>
          <w:b/>
          <w:i/>
          <w:iCs/>
          <w:highlight w:val="yellow"/>
          <w:lang w:val="en-US"/>
        </w:rPr>
        <w:t>public participation</w:t>
      </w:r>
      <w:r w:rsidR="005B47FE" w:rsidRPr="003E1E15">
        <w:rPr>
          <w:rFonts w:ascii="Times New Roman" w:hAnsi="Times New Roman" w:cs="Times New Roman"/>
          <w:b/>
          <w:highlight w:val="yellow"/>
          <w:lang w:val="en-US"/>
        </w:rPr>
        <w:t xml:space="preserve"> and its forms specific to children with accepting the following amendments to the text:</w:t>
      </w:r>
    </w:p>
    <w:p w14:paraId="1F23A08B" w14:textId="5833FE3B" w:rsidR="00B00705" w:rsidRPr="00B00705" w:rsidRDefault="00B00705" w:rsidP="00B00705">
      <w:pPr>
        <w:rPr>
          <w:lang w:val="en-US"/>
        </w:rPr>
      </w:pPr>
    </w:p>
    <w:p w14:paraId="54F2C8D7" w14:textId="23138846" w:rsidR="00A90FD1" w:rsidRPr="00CC25B8" w:rsidRDefault="00A90FD1" w:rsidP="0057083E">
      <w:pPr>
        <w:pStyle w:val="SingleTxtG"/>
        <w:numPr>
          <w:ilvl w:val="0"/>
          <w:numId w:val="6"/>
        </w:numPr>
        <w:tabs>
          <w:tab w:val="clear" w:pos="1701"/>
          <w:tab w:val="clear" w:pos="2268"/>
          <w:tab w:val="clear" w:pos="2835"/>
        </w:tabs>
        <w:suppressAutoHyphens w:val="0"/>
        <w:kinsoku/>
        <w:overflowPunct/>
        <w:autoSpaceDE/>
        <w:autoSpaceDN/>
        <w:adjustRightInd/>
        <w:snapToGrid/>
        <w:ind w:hanging="11"/>
        <w:rPr>
          <w:bCs/>
        </w:rPr>
      </w:pPr>
      <w:r w:rsidRPr="00CC25B8">
        <w:rPr>
          <w:bCs/>
          <w:noProof/>
          <w:lang w:eastAsia="ko-KR"/>
        </w:rPr>
        <mc:AlternateContent>
          <mc:Choice Requires="wpi">
            <w:drawing>
              <wp:anchor distT="0" distB="0" distL="114300" distR="114300" simplePos="0" relativeHeight="251659264" behindDoc="0" locked="0" layoutInCell="1" allowOverlap="1" wp14:anchorId="488DE597" wp14:editId="06ADA4F4">
                <wp:simplePos x="0" y="0"/>
                <wp:positionH relativeFrom="column">
                  <wp:posOffset>3101055</wp:posOffset>
                </wp:positionH>
                <wp:positionV relativeFrom="paragraph">
                  <wp:posOffset>1356727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32A7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43.5pt;margin-top:106.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">
                <v:imagedata r:id="rId10" o:title=""/>
              </v:shape>
            </w:pict>
          </mc:Fallback>
        </mc:AlternateContent>
      </w:r>
      <w:r w:rsidRPr="00CC25B8">
        <w:rPr>
          <w:bCs/>
        </w:rPr>
        <w:t xml:space="preserve">Children identify environmental issues as highly relevant and important to their lives. Children’s voices have become a powerful global force for environmental protection and their views add relevant perspectives and experience with respect to environmental matters at all levels. Even from an early age, children can enhance the quality of environmental solutions, for example by providing invaluable insights into issues such as the effectiveness of early warning systems for environmental hazards. Children’s views should be considered in the design and implementation of measures aimed at addressing the significant and long-term environmental challenges that are fundamentally shaping their lives. </w:t>
      </w:r>
      <w:r w:rsidR="009125A5" w:rsidRPr="008C0C03">
        <w:rPr>
          <w:bCs/>
          <w:color w:val="FF0000"/>
          <w:highlight w:val="yellow"/>
        </w:rPr>
        <w:t>The s</w:t>
      </w:r>
      <w:r w:rsidR="00DC3676" w:rsidRPr="008C0C03">
        <w:rPr>
          <w:bCs/>
          <w:color w:val="FF0000"/>
          <w:highlight w:val="yellow"/>
        </w:rPr>
        <w:t xml:space="preserve">ustainability of </w:t>
      </w:r>
      <w:r w:rsidR="002F497E" w:rsidRPr="008C0C03">
        <w:rPr>
          <w:bCs/>
          <w:color w:val="FF0000"/>
          <w:highlight w:val="yellow"/>
        </w:rPr>
        <w:t xml:space="preserve">measures that aim to protect the </w:t>
      </w:r>
      <w:r w:rsidR="00DC3676" w:rsidRPr="008C0C03">
        <w:rPr>
          <w:bCs/>
          <w:color w:val="FF0000"/>
          <w:highlight w:val="yellow"/>
        </w:rPr>
        <w:t>environm</w:t>
      </w:r>
      <w:r w:rsidR="002F497E" w:rsidRPr="008C0C03">
        <w:rPr>
          <w:bCs/>
          <w:color w:val="FF0000"/>
          <w:highlight w:val="yellow"/>
        </w:rPr>
        <w:t>ent</w:t>
      </w:r>
      <w:r w:rsidR="00DC3676" w:rsidRPr="008C0C03">
        <w:rPr>
          <w:bCs/>
          <w:color w:val="FF0000"/>
          <w:highlight w:val="yellow"/>
        </w:rPr>
        <w:t xml:space="preserve"> and </w:t>
      </w:r>
      <w:r w:rsidR="002F497E" w:rsidRPr="008C0C03">
        <w:rPr>
          <w:bCs/>
          <w:color w:val="FF0000"/>
          <w:highlight w:val="yellow"/>
        </w:rPr>
        <w:t xml:space="preserve">the </w:t>
      </w:r>
      <w:r w:rsidR="00DC3676" w:rsidRPr="008C0C03">
        <w:rPr>
          <w:bCs/>
          <w:color w:val="FF0000"/>
          <w:highlight w:val="yellow"/>
        </w:rPr>
        <w:t>climate</w:t>
      </w:r>
      <w:r w:rsidR="002F497E" w:rsidRPr="008C0C03">
        <w:rPr>
          <w:bCs/>
          <w:color w:val="FF0000"/>
          <w:highlight w:val="yellow"/>
        </w:rPr>
        <w:t xml:space="preserve"> cannot be achieved without the active involvement of children.</w:t>
      </w:r>
      <w:r w:rsidR="00DC3676" w:rsidRPr="008C0C03">
        <w:rPr>
          <w:bCs/>
          <w:color w:val="FF0000"/>
        </w:rPr>
        <w:t xml:space="preserve"> </w:t>
      </w:r>
      <w:r w:rsidRPr="008C0C03">
        <w:rPr>
          <w:bCs/>
        </w:rPr>
        <w:t>Additional support and special</w:t>
      </w:r>
      <w:r w:rsidRPr="00CC25B8">
        <w:rPr>
          <w:bCs/>
        </w:rPr>
        <w:t xml:space="preserve"> strategies may be required to empower children in disadvantaged situations, such as children with disabilities, children belonging to minority groups and children living in vulnerable areas, to exercise their right to be heard. The digital environment has potential for consulting with children and expanding their capacity and opportunities to effectively engage on environmental matters, including through collective advocacy</w:t>
      </w:r>
      <w:r>
        <w:rPr>
          <w:bCs/>
        </w:rPr>
        <w:t xml:space="preserve"> </w:t>
      </w:r>
      <w:r w:rsidRPr="00FE354B">
        <w:rPr>
          <w:bCs/>
        </w:rPr>
        <w:t>if carefully used paying attention to the challenges for many children to access the digital environment</w:t>
      </w:r>
      <w:r w:rsidRPr="00CC25B8">
        <w:rPr>
          <w:bCs/>
        </w:rPr>
        <w:t>.</w:t>
      </w:r>
      <w:r w:rsidRPr="00CC25B8">
        <w:rPr>
          <w:rStyle w:val="FootnoteReference"/>
        </w:rPr>
        <w:footnoteReference w:id="4"/>
      </w:r>
    </w:p>
    <w:p w14:paraId="010FCC3B" w14:textId="6EA46FD8" w:rsidR="00A90FD1" w:rsidRDefault="00A90FD1" w:rsidP="0057083E">
      <w:pPr>
        <w:pStyle w:val="SingleTxtG"/>
        <w:numPr>
          <w:ilvl w:val="0"/>
          <w:numId w:val="6"/>
        </w:numPr>
        <w:tabs>
          <w:tab w:val="clear" w:pos="1701"/>
          <w:tab w:val="clear" w:pos="2268"/>
          <w:tab w:val="clear" w:pos="2835"/>
        </w:tabs>
        <w:suppressAutoHyphens w:val="0"/>
        <w:kinsoku/>
        <w:overflowPunct/>
        <w:autoSpaceDE/>
        <w:autoSpaceDN/>
        <w:adjustRightInd/>
        <w:snapToGrid/>
        <w:ind w:left="709" w:firstLine="0"/>
        <w:rPr>
          <w:bCs/>
        </w:rPr>
      </w:pPr>
      <w:r w:rsidRPr="00CC25B8">
        <w:rPr>
          <w:bCs/>
        </w:rPr>
        <w:lastRenderedPageBreak/>
        <w:t xml:space="preserve">States should ensure that age-appropriate </w:t>
      </w:r>
      <w:r w:rsidRPr="00E046BE">
        <w:rPr>
          <w:bCs/>
          <w:color w:val="FF0000"/>
          <w:highlight w:val="yellow"/>
        </w:rPr>
        <w:t xml:space="preserve">mechanisms are in place for </w:t>
      </w:r>
      <w:r w:rsidR="00362D73" w:rsidRPr="00E046BE">
        <w:rPr>
          <w:bCs/>
          <w:color w:val="FF0000"/>
          <w:highlight w:val="yellow"/>
        </w:rPr>
        <w:t xml:space="preserve">public participation of </w:t>
      </w:r>
      <w:r w:rsidRPr="00E046BE">
        <w:rPr>
          <w:bCs/>
          <w:color w:val="FF0000"/>
          <w:highlight w:val="yellow"/>
        </w:rPr>
        <w:t>children</w:t>
      </w:r>
      <w:r w:rsidR="00C26F70" w:rsidRPr="00E046BE">
        <w:rPr>
          <w:bCs/>
          <w:color w:val="FF0000"/>
          <w:highlight w:val="yellow"/>
        </w:rPr>
        <w:t>,</w:t>
      </w:r>
      <w:r w:rsidR="008C0C03">
        <w:rPr>
          <w:bCs/>
          <w:color w:val="FF0000"/>
          <w:highlight w:val="yellow"/>
        </w:rPr>
        <w:t xml:space="preserve"> </w:t>
      </w:r>
      <w:r w:rsidR="0039049F" w:rsidRPr="00E046BE">
        <w:rPr>
          <w:bCs/>
          <w:color w:val="FF0000"/>
          <w:highlight w:val="yellow"/>
        </w:rPr>
        <w:t xml:space="preserve">with the minimum requirement that their </w:t>
      </w:r>
      <w:r w:rsidRPr="00E046BE">
        <w:rPr>
          <w:bCs/>
          <w:color w:val="FF0000"/>
          <w:highlight w:val="yellow"/>
        </w:rPr>
        <w:t xml:space="preserve">views </w:t>
      </w:r>
      <w:r w:rsidR="0039049F" w:rsidRPr="00E046BE">
        <w:rPr>
          <w:bCs/>
          <w:color w:val="FF0000"/>
          <w:highlight w:val="yellow"/>
        </w:rPr>
        <w:t>are</w:t>
      </w:r>
      <w:r w:rsidRPr="00E046BE">
        <w:rPr>
          <w:bCs/>
          <w:color w:val="FF0000"/>
        </w:rPr>
        <w:t xml:space="preserve"> </w:t>
      </w:r>
      <w:r w:rsidRPr="00CC25B8">
        <w:rPr>
          <w:bCs/>
        </w:rPr>
        <w:t xml:space="preserve">heard regularly and at all stages of the environmental decision-making process for legislation, policies, regulations, projects and activities that may affect them at sub-national, national and international levels. For voluntary, respectful and transparent </w:t>
      </w:r>
      <w:r w:rsidR="009D0B4D" w:rsidRPr="009D0B4D">
        <w:rPr>
          <w:bCs/>
          <w:color w:val="FF0000"/>
          <w:highlight w:val="yellow"/>
        </w:rPr>
        <w:t xml:space="preserve">public </w:t>
      </w:r>
      <w:r w:rsidRPr="009D0B4D">
        <w:rPr>
          <w:bCs/>
          <w:color w:val="FF0000"/>
          <w:highlight w:val="yellow"/>
        </w:rPr>
        <w:t>participation</w:t>
      </w:r>
      <w:r w:rsidRPr="009D0B4D">
        <w:rPr>
          <w:bCs/>
          <w:color w:val="FF0000"/>
        </w:rPr>
        <w:t xml:space="preserve">, </w:t>
      </w:r>
      <w:r w:rsidRPr="00CC25B8">
        <w:rPr>
          <w:bCs/>
        </w:rPr>
        <w:t>children should be provided with environmental and human rights education, age-appropriate information, adequate time and resources and a supportive and enabling environment.</w:t>
      </w:r>
      <w:r w:rsidRPr="00CC25B8" w:rsidDel="00B623C2">
        <w:rPr>
          <w:bCs/>
        </w:rPr>
        <w:t xml:space="preserve"> </w:t>
      </w:r>
      <w:r w:rsidRPr="00CC25B8">
        <w:rPr>
          <w:bCs/>
        </w:rPr>
        <w:t>They should receive information about outcomes of environment-related consultations and feedback on how their views were considered and have access to complaints procedures and remedies when their right to be heard in the environmental context is disregarded.</w:t>
      </w:r>
    </w:p>
    <w:p w14:paraId="02492862" w14:textId="77777777" w:rsidR="00E046BE" w:rsidRPr="00CC25B8" w:rsidRDefault="00E046BE" w:rsidP="00E046BE">
      <w:pPr>
        <w:pStyle w:val="SingleTxtG"/>
        <w:tabs>
          <w:tab w:val="clear" w:pos="1701"/>
          <w:tab w:val="clear" w:pos="2268"/>
          <w:tab w:val="clear" w:pos="2835"/>
        </w:tabs>
        <w:suppressAutoHyphens w:val="0"/>
        <w:kinsoku/>
        <w:overflowPunct/>
        <w:autoSpaceDE/>
        <w:autoSpaceDN/>
        <w:adjustRightInd/>
        <w:snapToGrid/>
        <w:ind w:left="709"/>
        <w:rPr>
          <w:bCs/>
        </w:rPr>
      </w:pPr>
    </w:p>
    <w:p w14:paraId="323817B6" w14:textId="64D3CD0B" w:rsidR="00C371B7" w:rsidRDefault="00C371B7" w:rsidP="003D3FD3">
      <w:pPr>
        <w:pStyle w:val="SingleTxtG"/>
        <w:tabs>
          <w:tab w:val="clear" w:pos="1701"/>
          <w:tab w:val="clear" w:pos="2268"/>
          <w:tab w:val="clear" w:pos="2835"/>
        </w:tabs>
        <w:suppressAutoHyphens w:val="0"/>
        <w:kinsoku/>
        <w:overflowPunct/>
        <w:autoSpaceDE/>
        <w:autoSpaceDN/>
        <w:adjustRightInd/>
        <w:snapToGrid/>
        <w:spacing w:after="0" w:line="240" w:lineRule="auto"/>
        <w:ind w:left="0" w:right="95"/>
        <w:rPr>
          <w:b/>
          <w:bCs/>
          <w:sz w:val="22"/>
          <w:szCs w:val="22"/>
          <w:u w:val="single"/>
        </w:rPr>
      </w:pPr>
      <w:r>
        <w:rPr>
          <w:b/>
          <w:bCs/>
          <w:sz w:val="22"/>
          <w:szCs w:val="22"/>
          <w:u w:val="single"/>
        </w:rPr>
        <w:t>The right to be heard through youth participation?</w:t>
      </w:r>
    </w:p>
    <w:p w14:paraId="2C6DFCBC" w14:textId="77777777" w:rsidR="00C371B7" w:rsidRDefault="00C371B7" w:rsidP="003D3FD3">
      <w:pPr>
        <w:pStyle w:val="SingleTxtG"/>
        <w:tabs>
          <w:tab w:val="clear" w:pos="1701"/>
          <w:tab w:val="clear" w:pos="2268"/>
          <w:tab w:val="clear" w:pos="2835"/>
        </w:tabs>
        <w:suppressAutoHyphens w:val="0"/>
        <w:kinsoku/>
        <w:overflowPunct/>
        <w:autoSpaceDE/>
        <w:autoSpaceDN/>
        <w:adjustRightInd/>
        <w:snapToGrid/>
        <w:spacing w:after="0" w:line="240" w:lineRule="auto"/>
        <w:ind w:left="0" w:right="95"/>
        <w:rPr>
          <w:b/>
          <w:bCs/>
          <w:sz w:val="22"/>
          <w:szCs w:val="22"/>
          <w:u w:val="single"/>
        </w:rPr>
      </w:pPr>
    </w:p>
    <w:p w14:paraId="5FDDB7F0" w14:textId="371B6D2D" w:rsidR="0046019D" w:rsidRPr="00E046BE" w:rsidRDefault="00E046BE" w:rsidP="003D3FD3">
      <w:pPr>
        <w:pStyle w:val="SingleTxtG"/>
        <w:tabs>
          <w:tab w:val="clear" w:pos="1701"/>
          <w:tab w:val="clear" w:pos="2268"/>
          <w:tab w:val="clear" w:pos="2835"/>
        </w:tabs>
        <w:suppressAutoHyphens w:val="0"/>
        <w:kinsoku/>
        <w:overflowPunct/>
        <w:autoSpaceDE/>
        <w:autoSpaceDN/>
        <w:adjustRightInd/>
        <w:snapToGrid/>
        <w:spacing w:after="0" w:line="240" w:lineRule="auto"/>
        <w:ind w:left="0" w:right="95"/>
        <w:rPr>
          <w:bCs/>
          <w:sz w:val="22"/>
          <w:szCs w:val="22"/>
        </w:rPr>
      </w:pPr>
      <w:r w:rsidRPr="00E046BE">
        <w:rPr>
          <w:b/>
          <w:bCs/>
          <w:sz w:val="22"/>
          <w:szCs w:val="22"/>
          <w:u w:val="single"/>
        </w:rPr>
        <w:t xml:space="preserve">Argument for amendment: </w:t>
      </w:r>
      <w:r w:rsidR="003D3FD3" w:rsidRPr="00E046BE">
        <w:rPr>
          <w:bCs/>
          <w:sz w:val="22"/>
          <w:szCs w:val="22"/>
        </w:rPr>
        <w:t xml:space="preserve">In the context of art. 12, the The Committee seems to recognise the </w:t>
      </w:r>
      <w:r w:rsidR="006C5223" w:rsidRPr="00E046BE">
        <w:rPr>
          <w:bCs/>
          <w:sz w:val="22"/>
          <w:szCs w:val="22"/>
        </w:rPr>
        <w:t>hardships</w:t>
      </w:r>
      <w:r w:rsidR="003D3FD3" w:rsidRPr="00E046BE">
        <w:rPr>
          <w:bCs/>
          <w:sz w:val="22"/>
          <w:szCs w:val="22"/>
        </w:rPr>
        <w:t xml:space="preserve"> </w:t>
      </w:r>
      <w:r w:rsidR="006C5223" w:rsidRPr="00E046BE">
        <w:rPr>
          <w:bCs/>
          <w:sz w:val="22"/>
          <w:szCs w:val="22"/>
        </w:rPr>
        <w:t xml:space="preserve">which </w:t>
      </w:r>
      <w:r w:rsidR="003D3FD3" w:rsidRPr="00E046BE">
        <w:rPr>
          <w:bCs/>
          <w:sz w:val="22"/>
          <w:szCs w:val="22"/>
        </w:rPr>
        <w:t>children as individuals</w:t>
      </w:r>
      <w:r w:rsidR="003D3FD3" w:rsidRPr="00E046BE">
        <w:rPr>
          <w:bCs/>
          <w:sz w:val="22"/>
          <w:szCs w:val="22"/>
          <w:lang w:val="en-US"/>
        </w:rPr>
        <w:t xml:space="preserve"> or as a group may face with regard to </w:t>
      </w:r>
      <w:r w:rsidR="006C5223" w:rsidRPr="00E046BE">
        <w:rPr>
          <w:bCs/>
          <w:sz w:val="22"/>
          <w:szCs w:val="22"/>
          <w:lang w:val="en-US"/>
        </w:rPr>
        <w:t>‘the</w:t>
      </w:r>
      <w:r w:rsidR="007D0C0A" w:rsidRPr="00E046BE">
        <w:rPr>
          <w:bCs/>
          <w:sz w:val="22"/>
          <w:szCs w:val="22"/>
          <w:lang w:val="en-US"/>
        </w:rPr>
        <w:t xml:space="preserve"> right to be heard’ or </w:t>
      </w:r>
      <w:r w:rsidR="007D0C0A" w:rsidRPr="00E046BE">
        <w:rPr>
          <w:bCs/>
          <w:i/>
          <w:iCs/>
          <w:sz w:val="22"/>
          <w:szCs w:val="22"/>
          <w:lang w:val="en-US"/>
        </w:rPr>
        <w:t xml:space="preserve">public </w:t>
      </w:r>
      <w:r w:rsidR="003D3FD3" w:rsidRPr="00E046BE">
        <w:rPr>
          <w:bCs/>
          <w:i/>
          <w:iCs/>
          <w:sz w:val="22"/>
          <w:szCs w:val="22"/>
          <w:lang w:val="en-US"/>
        </w:rPr>
        <w:t>participation</w:t>
      </w:r>
      <w:r w:rsidR="003D3FD3" w:rsidRPr="00E046BE">
        <w:rPr>
          <w:bCs/>
          <w:sz w:val="22"/>
          <w:szCs w:val="22"/>
          <w:lang w:val="en-US"/>
        </w:rPr>
        <w:t xml:space="preserve"> in governance settings. </w:t>
      </w:r>
      <w:r w:rsidR="003D3FD3" w:rsidRPr="00E046BE">
        <w:rPr>
          <w:bCs/>
          <w:sz w:val="22"/>
          <w:szCs w:val="22"/>
        </w:rPr>
        <w:t>In addition, the Committee refers to the practice in international governance to enhance youth participation instead of children’s involvement in international negotiations (e.g. United Nations conferences, COP meetings, youth conferences, etc.)  In this regard, the Committee seems to accept the marginalisation of children</w:t>
      </w:r>
      <w:r w:rsidR="0046019D" w:rsidRPr="00E046BE">
        <w:rPr>
          <w:bCs/>
          <w:sz w:val="22"/>
          <w:szCs w:val="22"/>
        </w:rPr>
        <w:t xml:space="preserve">, and at the same time abandons the notion of children </w:t>
      </w:r>
      <w:r w:rsidR="003D3FD3" w:rsidRPr="00E046BE">
        <w:rPr>
          <w:bCs/>
          <w:sz w:val="22"/>
          <w:szCs w:val="22"/>
        </w:rPr>
        <w:t>as</w:t>
      </w:r>
      <w:r w:rsidR="003D3FD3" w:rsidRPr="00E046BE">
        <w:rPr>
          <w:bCs/>
          <w:i/>
          <w:iCs/>
          <w:sz w:val="22"/>
          <w:szCs w:val="22"/>
        </w:rPr>
        <w:t xml:space="preserve"> active participants </w:t>
      </w:r>
      <w:r w:rsidR="003D3FD3" w:rsidRPr="00E046BE">
        <w:rPr>
          <w:bCs/>
          <w:sz w:val="22"/>
          <w:szCs w:val="22"/>
        </w:rPr>
        <w:t xml:space="preserve">when it writes: </w:t>
      </w:r>
      <w:r w:rsidR="003D3FD3" w:rsidRPr="00E046BE">
        <w:rPr>
          <w:bCs/>
          <w:i/>
          <w:iCs/>
          <w:sz w:val="22"/>
          <w:szCs w:val="22"/>
        </w:rPr>
        <w:t>‘States should also ensure that their obligations concerning children’s right to be heard are reflected in negotiations and implementation of instruments of international environmental law. Youth participation should be used to enhance child participation in environmental decision-making.’</w:t>
      </w:r>
      <w:r w:rsidR="003D3FD3" w:rsidRPr="00E046BE">
        <w:rPr>
          <w:bCs/>
          <w:sz w:val="22"/>
          <w:szCs w:val="22"/>
        </w:rPr>
        <w:t xml:space="preserve"> </w:t>
      </w:r>
    </w:p>
    <w:p w14:paraId="520FE3FB" w14:textId="45FE49C9" w:rsidR="003D3FD3" w:rsidRPr="00A01463" w:rsidRDefault="003D3FD3" w:rsidP="003D3FD3">
      <w:pPr>
        <w:pStyle w:val="SingleTxtG"/>
        <w:tabs>
          <w:tab w:val="clear" w:pos="1701"/>
          <w:tab w:val="clear" w:pos="2268"/>
          <w:tab w:val="clear" w:pos="2835"/>
        </w:tabs>
        <w:suppressAutoHyphens w:val="0"/>
        <w:kinsoku/>
        <w:overflowPunct/>
        <w:autoSpaceDE/>
        <w:autoSpaceDN/>
        <w:adjustRightInd/>
        <w:snapToGrid/>
        <w:spacing w:after="0" w:line="240" w:lineRule="auto"/>
        <w:ind w:left="0" w:right="95"/>
        <w:rPr>
          <w:b/>
          <w:sz w:val="22"/>
          <w:szCs w:val="22"/>
        </w:rPr>
      </w:pPr>
      <w:r w:rsidRPr="00E046BE">
        <w:rPr>
          <w:bCs/>
          <w:sz w:val="22"/>
          <w:szCs w:val="22"/>
        </w:rPr>
        <w:t xml:space="preserve">It is not clear whether the Committee intends to identify older </w:t>
      </w:r>
      <w:r w:rsidRPr="00E046BE">
        <w:rPr>
          <w:bCs/>
          <w:i/>
          <w:iCs/>
          <w:sz w:val="22"/>
          <w:szCs w:val="22"/>
        </w:rPr>
        <w:t>youth</w:t>
      </w:r>
      <w:r w:rsidRPr="00E046BE">
        <w:rPr>
          <w:bCs/>
          <w:sz w:val="22"/>
          <w:szCs w:val="22"/>
        </w:rPr>
        <w:t xml:space="preserve"> participants (</w:t>
      </w:r>
      <w:r w:rsidR="008A54DC" w:rsidRPr="00E046BE">
        <w:rPr>
          <w:bCs/>
          <w:sz w:val="22"/>
          <w:szCs w:val="22"/>
        </w:rPr>
        <w:t xml:space="preserve">typically </w:t>
      </w:r>
      <w:r w:rsidRPr="00E046BE">
        <w:rPr>
          <w:bCs/>
          <w:sz w:val="22"/>
          <w:szCs w:val="22"/>
        </w:rPr>
        <w:t xml:space="preserve">young adults) in international participatory processes as </w:t>
      </w:r>
      <w:r w:rsidRPr="00E046BE">
        <w:rPr>
          <w:bCs/>
          <w:i/>
          <w:iCs/>
          <w:sz w:val="22"/>
          <w:szCs w:val="22"/>
        </w:rPr>
        <w:t xml:space="preserve">representatives </w:t>
      </w:r>
      <w:r w:rsidRPr="00E046BE">
        <w:rPr>
          <w:bCs/>
          <w:sz w:val="22"/>
          <w:szCs w:val="22"/>
        </w:rPr>
        <w:t>of children, and if so, on what grounds</w:t>
      </w:r>
      <w:r w:rsidR="008A54DC" w:rsidRPr="00E046BE">
        <w:rPr>
          <w:bCs/>
          <w:sz w:val="22"/>
          <w:szCs w:val="22"/>
        </w:rPr>
        <w:t>. I</w:t>
      </w:r>
      <w:r w:rsidRPr="00E046BE">
        <w:rPr>
          <w:bCs/>
          <w:sz w:val="22"/>
          <w:szCs w:val="22"/>
        </w:rPr>
        <w:t>t can be assumed that the current general political practice, which regards youth as proxy representatives of children and the future generations, is adopted by the Committee without examining the consequences of such representation on both children and youth</w:t>
      </w:r>
      <w:r w:rsidR="008A54DC" w:rsidRPr="00E046BE">
        <w:rPr>
          <w:bCs/>
          <w:sz w:val="22"/>
          <w:szCs w:val="22"/>
        </w:rPr>
        <w:t xml:space="preserve">. </w:t>
      </w:r>
      <w:r w:rsidR="000B2F8A" w:rsidRPr="00E046BE">
        <w:rPr>
          <w:bCs/>
          <w:sz w:val="22"/>
          <w:szCs w:val="22"/>
        </w:rPr>
        <w:t>For example, priorities in youth policies and interests (such as employment</w:t>
      </w:r>
      <w:r w:rsidR="00F01BCA" w:rsidRPr="00E046BE">
        <w:rPr>
          <w:bCs/>
          <w:sz w:val="22"/>
          <w:szCs w:val="22"/>
        </w:rPr>
        <w:t>; reproductive health issues, family and career support, etc.)</w:t>
      </w:r>
      <w:r w:rsidR="000B2F8A" w:rsidRPr="00E046BE">
        <w:rPr>
          <w:bCs/>
          <w:sz w:val="22"/>
          <w:szCs w:val="22"/>
        </w:rPr>
        <w:t xml:space="preserve"> may significantly </w:t>
      </w:r>
      <w:r w:rsidR="00334E89" w:rsidRPr="00E046BE">
        <w:rPr>
          <w:bCs/>
          <w:sz w:val="22"/>
          <w:szCs w:val="22"/>
        </w:rPr>
        <w:t xml:space="preserve">differ </w:t>
      </w:r>
      <w:r w:rsidR="000B2F8A" w:rsidRPr="00E046BE">
        <w:rPr>
          <w:bCs/>
          <w:sz w:val="22"/>
          <w:szCs w:val="22"/>
        </w:rPr>
        <w:t xml:space="preserve">from those of children. </w:t>
      </w:r>
      <w:r w:rsidR="00365971" w:rsidRPr="00E046BE">
        <w:rPr>
          <w:bCs/>
          <w:sz w:val="22"/>
          <w:szCs w:val="22"/>
        </w:rPr>
        <w:t xml:space="preserve">The Committee </w:t>
      </w:r>
      <w:r w:rsidR="00737E52">
        <w:rPr>
          <w:bCs/>
          <w:sz w:val="22"/>
          <w:szCs w:val="22"/>
        </w:rPr>
        <w:t>should</w:t>
      </w:r>
      <w:r w:rsidR="00A713CE" w:rsidRPr="00E046BE">
        <w:rPr>
          <w:bCs/>
          <w:sz w:val="22"/>
          <w:szCs w:val="22"/>
        </w:rPr>
        <w:t xml:space="preserve"> be careful when suggest</w:t>
      </w:r>
      <w:r w:rsidR="00613E44">
        <w:rPr>
          <w:bCs/>
          <w:sz w:val="22"/>
          <w:szCs w:val="22"/>
        </w:rPr>
        <w:t>ing</w:t>
      </w:r>
      <w:r w:rsidR="00A713CE" w:rsidRPr="00E046BE">
        <w:rPr>
          <w:bCs/>
          <w:sz w:val="22"/>
          <w:szCs w:val="22"/>
        </w:rPr>
        <w:t xml:space="preserve"> that </w:t>
      </w:r>
      <w:r w:rsidR="00737E52">
        <w:rPr>
          <w:bCs/>
          <w:sz w:val="22"/>
          <w:szCs w:val="22"/>
        </w:rPr>
        <w:t>‘</w:t>
      </w:r>
      <w:r w:rsidR="00A713CE" w:rsidRPr="00E046BE">
        <w:rPr>
          <w:bCs/>
          <w:sz w:val="22"/>
          <w:szCs w:val="22"/>
        </w:rPr>
        <w:t xml:space="preserve">youth </w:t>
      </w:r>
      <w:r w:rsidR="00DF3EEE" w:rsidRPr="00E046BE">
        <w:rPr>
          <w:bCs/>
          <w:sz w:val="22"/>
          <w:szCs w:val="22"/>
        </w:rPr>
        <w:t>participation should be used to enhance child participation</w:t>
      </w:r>
      <w:r w:rsidR="00737E52">
        <w:rPr>
          <w:bCs/>
          <w:sz w:val="22"/>
          <w:szCs w:val="22"/>
        </w:rPr>
        <w:t>’</w:t>
      </w:r>
      <w:r w:rsidR="00DF3EEE" w:rsidRPr="00E046BE">
        <w:rPr>
          <w:bCs/>
          <w:sz w:val="22"/>
          <w:szCs w:val="22"/>
        </w:rPr>
        <w:t xml:space="preserve">. </w:t>
      </w:r>
      <w:r w:rsidR="000E0BB5">
        <w:rPr>
          <w:bCs/>
          <w:sz w:val="22"/>
          <w:szCs w:val="22"/>
        </w:rPr>
        <w:t xml:space="preserve">This approach may result in further marginalisation of children in governance processes. </w:t>
      </w:r>
      <w:r w:rsidR="00737E52">
        <w:rPr>
          <w:bCs/>
          <w:sz w:val="22"/>
          <w:szCs w:val="22"/>
        </w:rPr>
        <w:t>Such</w:t>
      </w:r>
      <w:r w:rsidR="000E0BB5">
        <w:rPr>
          <w:bCs/>
          <w:sz w:val="22"/>
          <w:szCs w:val="22"/>
        </w:rPr>
        <w:t xml:space="preserve"> </w:t>
      </w:r>
      <w:r w:rsidR="00737E52">
        <w:rPr>
          <w:bCs/>
          <w:sz w:val="22"/>
          <w:szCs w:val="22"/>
        </w:rPr>
        <w:t>recommendation should be preceded by a</w:t>
      </w:r>
      <w:r w:rsidR="00073804" w:rsidRPr="00E046BE">
        <w:rPr>
          <w:bCs/>
          <w:sz w:val="22"/>
          <w:szCs w:val="22"/>
        </w:rPr>
        <w:t xml:space="preserve">n </w:t>
      </w:r>
      <w:r w:rsidR="00073804" w:rsidRPr="00E5277D">
        <w:rPr>
          <w:b/>
          <w:sz w:val="22"/>
          <w:szCs w:val="22"/>
        </w:rPr>
        <w:t>impact assessment</w:t>
      </w:r>
      <w:r w:rsidR="00073804" w:rsidRPr="00E046BE">
        <w:rPr>
          <w:bCs/>
          <w:sz w:val="22"/>
          <w:szCs w:val="22"/>
        </w:rPr>
        <w:t xml:space="preserve"> to assess whether youth </w:t>
      </w:r>
      <w:r w:rsidR="00FF5566" w:rsidRPr="00E046BE">
        <w:rPr>
          <w:bCs/>
          <w:sz w:val="22"/>
          <w:szCs w:val="22"/>
        </w:rPr>
        <w:t xml:space="preserve">representatives and youth constituencies in the international sustainable development, environment and climate change governance (e.g. UN MGCY or YOUNGO) </w:t>
      </w:r>
      <w:r w:rsidR="00E12370" w:rsidRPr="00E046BE">
        <w:rPr>
          <w:bCs/>
          <w:sz w:val="22"/>
          <w:szCs w:val="22"/>
        </w:rPr>
        <w:t>provide a suitable child-rights agenda and effectively represent children’s rights</w:t>
      </w:r>
      <w:r w:rsidR="002449EC" w:rsidRPr="00E046BE">
        <w:rPr>
          <w:bCs/>
          <w:sz w:val="22"/>
          <w:szCs w:val="22"/>
        </w:rPr>
        <w:t xml:space="preserve"> in participatory processes</w:t>
      </w:r>
      <w:r w:rsidR="00900ADD" w:rsidRPr="00E046BE">
        <w:rPr>
          <w:bCs/>
          <w:sz w:val="22"/>
          <w:szCs w:val="22"/>
        </w:rPr>
        <w:t>.</w:t>
      </w:r>
      <w:r w:rsidR="004B100D">
        <w:rPr>
          <w:rStyle w:val="FootnoteReference"/>
          <w:bCs/>
          <w:sz w:val="22"/>
          <w:szCs w:val="22"/>
        </w:rPr>
        <w:footnoteReference w:id="5"/>
      </w:r>
      <w:r w:rsidR="00900ADD" w:rsidRPr="00E046BE">
        <w:rPr>
          <w:bCs/>
          <w:sz w:val="22"/>
          <w:szCs w:val="22"/>
        </w:rPr>
        <w:t xml:space="preserve"> Other </w:t>
      </w:r>
      <w:r w:rsidR="00334E89" w:rsidRPr="00E046BE">
        <w:rPr>
          <w:bCs/>
          <w:sz w:val="22"/>
          <w:szCs w:val="22"/>
        </w:rPr>
        <w:t>form</w:t>
      </w:r>
      <w:r w:rsidR="00CE67F3" w:rsidRPr="00E046BE">
        <w:rPr>
          <w:bCs/>
          <w:sz w:val="22"/>
          <w:szCs w:val="22"/>
        </w:rPr>
        <w:t>s</w:t>
      </w:r>
      <w:r w:rsidR="00334E89" w:rsidRPr="00E046BE">
        <w:rPr>
          <w:bCs/>
          <w:sz w:val="22"/>
          <w:szCs w:val="22"/>
        </w:rPr>
        <w:t xml:space="preserve"> of representative participation</w:t>
      </w:r>
      <w:r w:rsidR="0070512E" w:rsidRPr="00E046BE">
        <w:rPr>
          <w:bCs/>
          <w:sz w:val="22"/>
          <w:szCs w:val="22"/>
        </w:rPr>
        <w:t xml:space="preserve"> </w:t>
      </w:r>
      <w:r w:rsidR="00F16A74">
        <w:rPr>
          <w:bCs/>
          <w:sz w:val="22"/>
          <w:szCs w:val="22"/>
        </w:rPr>
        <w:t>may</w:t>
      </w:r>
      <w:r w:rsidR="0070512E" w:rsidRPr="00E046BE">
        <w:rPr>
          <w:bCs/>
          <w:sz w:val="22"/>
          <w:szCs w:val="22"/>
        </w:rPr>
        <w:t xml:space="preserve"> be considered, for example</w:t>
      </w:r>
      <w:r w:rsidR="00900ADD" w:rsidRPr="00E046BE">
        <w:rPr>
          <w:bCs/>
          <w:sz w:val="22"/>
          <w:szCs w:val="22"/>
        </w:rPr>
        <w:t xml:space="preserve"> through </w:t>
      </w:r>
      <w:r w:rsidR="0070512E" w:rsidRPr="00E046BE">
        <w:rPr>
          <w:bCs/>
          <w:sz w:val="22"/>
          <w:szCs w:val="22"/>
        </w:rPr>
        <w:t xml:space="preserve">international safeguarding mechanisms such as child-rights </w:t>
      </w:r>
      <w:r w:rsidR="003C1898" w:rsidRPr="00E046BE">
        <w:rPr>
          <w:bCs/>
          <w:sz w:val="22"/>
          <w:szCs w:val="22"/>
        </w:rPr>
        <w:t xml:space="preserve">envoy or ombudspersons. </w:t>
      </w:r>
      <w:r w:rsidR="0043030A" w:rsidRPr="00E046BE">
        <w:rPr>
          <w:bCs/>
          <w:sz w:val="22"/>
          <w:szCs w:val="22"/>
        </w:rPr>
        <w:t xml:space="preserve">As </w:t>
      </w:r>
      <w:r w:rsidR="0043030A" w:rsidRPr="00A01463">
        <w:rPr>
          <w:b/>
          <w:sz w:val="22"/>
          <w:szCs w:val="22"/>
        </w:rPr>
        <w:t>climate change</w:t>
      </w:r>
      <w:r w:rsidR="0043030A" w:rsidRPr="00E046BE">
        <w:rPr>
          <w:bCs/>
          <w:sz w:val="22"/>
          <w:szCs w:val="22"/>
        </w:rPr>
        <w:t xml:space="preserve"> is a matter </w:t>
      </w:r>
      <w:r w:rsidR="007E7C8C" w:rsidRPr="00E046BE">
        <w:rPr>
          <w:bCs/>
          <w:sz w:val="22"/>
          <w:szCs w:val="22"/>
        </w:rPr>
        <w:t>which particular</w:t>
      </w:r>
      <w:r w:rsidR="00C63FEC" w:rsidRPr="00E046BE">
        <w:rPr>
          <w:bCs/>
          <w:sz w:val="22"/>
          <w:szCs w:val="22"/>
        </w:rPr>
        <w:t>ly affects</w:t>
      </w:r>
      <w:r w:rsidR="00144C90" w:rsidRPr="00E046BE">
        <w:rPr>
          <w:bCs/>
          <w:sz w:val="22"/>
          <w:szCs w:val="22"/>
        </w:rPr>
        <w:t xml:space="preserve"> and concern</w:t>
      </w:r>
      <w:r w:rsidR="00A63741" w:rsidRPr="00E046BE">
        <w:rPr>
          <w:bCs/>
          <w:sz w:val="22"/>
          <w:szCs w:val="22"/>
        </w:rPr>
        <w:t>s</w:t>
      </w:r>
      <w:r w:rsidR="00C63FEC" w:rsidRPr="00E046BE">
        <w:rPr>
          <w:bCs/>
          <w:sz w:val="22"/>
          <w:szCs w:val="22"/>
        </w:rPr>
        <w:t xml:space="preserve"> children</w:t>
      </w:r>
      <w:r w:rsidR="00DD6AB8">
        <w:rPr>
          <w:bCs/>
          <w:sz w:val="22"/>
          <w:szCs w:val="22"/>
        </w:rPr>
        <w:t xml:space="preserve"> </w:t>
      </w:r>
      <w:r w:rsidR="00DD6AB8" w:rsidRPr="00DD6AB8">
        <w:rPr>
          <w:b/>
          <w:sz w:val="22"/>
          <w:szCs w:val="22"/>
        </w:rPr>
        <w:t>globally</w:t>
      </w:r>
      <w:r w:rsidR="007E7C8C" w:rsidRPr="00DD6AB8">
        <w:rPr>
          <w:b/>
          <w:sz w:val="22"/>
          <w:szCs w:val="22"/>
        </w:rPr>
        <w:t>,</w:t>
      </w:r>
      <w:r w:rsidR="007E7C8C" w:rsidRPr="00E046BE">
        <w:rPr>
          <w:bCs/>
          <w:sz w:val="22"/>
          <w:szCs w:val="22"/>
        </w:rPr>
        <w:t xml:space="preserve"> </w:t>
      </w:r>
      <w:r w:rsidR="00A86CB8" w:rsidRPr="00E046BE">
        <w:rPr>
          <w:bCs/>
          <w:sz w:val="22"/>
          <w:szCs w:val="22"/>
        </w:rPr>
        <w:t>spaces</w:t>
      </w:r>
      <w:r w:rsidR="0021515B" w:rsidRPr="00E046BE">
        <w:rPr>
          <w:bCs/>
          <w:sz w:val="22"/>
          <w:szCs w:val="22"/>
        </w:rPr>
        <w:t xml:space="preserve"> (digital or physical)</w:t>
      </w:r>
      <w:r w:rsidR="00F3687C" w:rsidRPr="00E046BE">
        <w:rPr>
          <w:bCs/>
          <w:sz w:val="22"/>
          <w:szCs w:val="22"/>
        </w:rPr>
        <w:t>,</w:t>
      </w:r>
      <w:r w:rsidR="00A86CB8" w:rsidRPr="00E046BE">
        <w:rPr>
          <w:bCs/>
          <w:sz w:val="22"/>
          <w:szCs w:val="22"/>
        </w:rPr>
        <w:t xml:space="preserve"> </w:t>
      </w:r>
      <w:r w:rsidR="00526DDD" w:rsidRPr="00E046BE">
        <w:rPr>
          <w:bCs/>
          <w:sz w:val="22"/>
          <w:szCs w:val="22"/>
        </w:rPr>
        <w:t xml:space="preserve">processes </w:t>
      </w:r>
      <w:r w:rsidR="00F3687C" w:rsidRPr="00E046BE">
        <w:rPr>
          <w:bCs/>
          <w:sz w:val="22"/>
          <w:szCs w:val="22"/>
        </w:rPr>
        <w:t xml:space="preserve">and conditions of </w:t>
      </w:r>
      <w:r w:rsidR="00F3687C" w:rsidRPr="00E046BE">
        <w:rPr>
          <w:b/>
          <w:i/>
          <w:iCs/>
          <w:sz w:val="22"/>
          <w:szCs w:val="22"/>
        </w:rPr>
        <w:t>active and meaningful</w:t>
      </w:r>
      <w:r w:rsidR="00A01463">
        <w:rPr>
          <w:b/>
          <w:i/>
          <w:iCs/>
          <w:sz w:val="22"/>
          <w:szCs w:val="22"/>
        </w:rPr>
        <w:t xml:space="preserve"> </w:t>
      </w:r>
      <w:r w:rsidR="00F3687C" w:rsidRPr="00E046BE">
        <w:rPr>
          <w:b/>
          <w:i/>
          <w:iCs/>
          <w:sz w:val="22"/>
          <w:szCs w:val="22"/>
        </w:rPr>
        <w:t>participat</w:t>
      </w:r>
      <w:r w:rsidR="0021515B" w:rsidRPr="00E046BE">
        <w:rPr>
          <w:b/>
          <w:i/>
          <w:iCs/>
          <w:sz w:val="22"/>
          <w:szCs w:val="22"/>
        </w:rPr>
        <w:t>ion</w:t>
      </w:r>
      <w:r w:rsidR="0021515B" w:rsidRPr="00E046BE">
        <w:rPr>
          <w:bCs/>
          <w:i/>
          <w:iCs/>
          <w:sz w:val="22"/>
          <w:szCs w:val="22"/>
        </w:rPr>
        <w:t xml:space="preserve"> </w:t>
      </w:r>
      <w:r w:rsidR="0021515B" w:rsidRPr="00E046BE">
        <w:rPr>
          <w:bCs/>
          <w:sz w:val="22"/>
          <w:szCs w:val="22"/>
        </w:rPr>
        <w:t>of</w:t>
      </w:r>
      <w:r w:rsidR="0021515B" w:rsidRPr="00E046BE">
        <w:rPr>
          <w:bCs/>
          <w:i/>
          <w:iCs/>
          <w:sz w:val="22"/>
          <w:szCs w:val="22"/>
        </w:rPr>
        <w:t xml:space="preserve"> </w:t>
      </w:r>
      <w:r w:rsidR="005611C5" w:rsidRPr="00E046BE">
        <w:rPr>
          <w:bCs/>
          <w:sz w:val="22"/>
          <w:szCs w:val="22"/>
        </w:rPr>
        <w:t xml:space="preserve">children </w:t>
      </w:r>
      <w:r w:rsidR="00526DDD" w:rsidRPr="00E046BE">
        <w:rPr>
          <w:bCs/>
          <w:sz w:val="22"/>
          <w:szCs w:val="22"/>
        </w:rPr>
        <w:t xml:space="preserve">should </w:t>
      </w:r>
      <w:r w:rsidR="009F24D2" w:rsidRPr="00E046BE">
        <w:rPr>
          <w:bCs/>
          <w:sz w:val="22"/>
          <w:szCs w:val="22"/>
        </w:rPr>
        <w:t xml:space="preserve">be also ensured at </w:t>
      </w:r>
      <w:r w:rsidR="007E7C8C" w:rsidRPr="00E046BE">
        <w:rPr>
          <w:bCs/>
          <w:sz w:val="22"/>
          <w:szCs w:val="22"/>
        </w:rPr>
        <w:t>all levels of governance</w:t>
      </w:r>
      <w:r w:rsidR="00144C90" w:rsidRPr="00E046BE">
        <w:rPr>
          <w:bCs/>
          <w:sz w:val="22"/>
          <w:szCs w:val="22"/>
        </w:rPr>
        <w:t xml:space="preserve">, including </w:t>
      </w:r>
      <w:r w:rsidR="00051256" w:rsidRPr="00E046BE">
        <w:rPr>
          <w:bCs/>
          <w:sz w:val="22"/>
          <w:szCs w:val="22"/>
        </w:rPr>
        <w:t>in the United Nations</w:t>
      </w:r>
      <w:r w:rsidR="00CE4509" w:rsidRPr="00E046BE">
        <w:rPr>
          <w:bCs/>
          <w:sz w:val="22"/>
          <w:szCs w:val="22"/>
        </w:rPr>
        <w:t xml:space="preserve">. </w:t>
      </w:r>
      <w:r w:rsidR="00186BF0" w:rsidRPr="00A01463">
        <w:rPr>
          <w:b/>
          <w:sz w:val="22"/>
          <w:szCs w:val="22"/>
          <w:highlight w:val="yellow"/>
        </w:rPr>
        <w:t>We recommend th</w:t>
      </w:r>
      <w:r w:rsidR="00F16A74">
        <w:rPr>
          <w:b/>
          <w:sz w:val="22"/>
          <w:szCs w:val="22"/>
          <w:highlight w:val="yellow"/>
        </w:rPr>
        <w:t>at the</w:t>
      </w:r>
      <w:r w:rsidR="00186BF0" w:rsidRPr="00A01463">
        <w:rPr>
          <w:b/>
          <w:sz w:val="22"/>
          <w:szCs w:val="22"/>
          <w:highlight w:val="yellow"/>
        </w:rPr>
        <w:t xml:space="preserve"> following amendments</w:t>
      </w:r>
      <w:r w:rsidR="00F16A74">
        <w:rPr>
          <w:b/>
          <w:sz w:val="22"/>
          <w:szCs w:val="22"/>
          <w:highlight w:val="yellow"/>
        </w:rPr>
        <w:t xml:space="preserve"> are made</w:t>
      </w:r>
      <w:r w:rsidR="00186BF0" w:rsidRPr="00A01463">
        <w:rPr>
          <w:b/>
          <w:sz w:val="22"/>
          <w:szCs w:val="22"/>
          <w:highlight w:val="yellow"/>
        </w:rPr>
        <w:t xml:space="preserve"> to the </w:t>
      </w:r>
      <w:r w:rsidR="00365971" w:rsidRPr="00A01463">
        <w:rPr>
          <w:b/>
          <w:sz w:val="22"/>
          <w:szCs w:val="22"/>
          <w:highlight w:val="yellow"/>
        </w:rPr>
        <w:t>text:</w:t>
      </w:r>
    </w:p>
    <w:p w14:paraId="6D6A07F8" w14:textId="46AA0074" w:rsidR="00D00C8F" w:rsidRDefault="00D00C8F" w:rsidP="008C0C03">
      <w:pPr>
        <w:pStyle w:val="SingleTxtG"/>
        <w:tabs>
          <w:tab w:val="clear" w:pos="1701"/>
          <w:tab w:val="clear" w:pos="2268"/>
          <w:tab w:val="clear" w:pos="2835"/>
        </w:tabs>
        <w:suppressAutoHyphens w:val="0"/>
        <w:kinsoku/>
        <w:overflowPunct/>
        <w:autoSpaceDE/>
        <w:autoSpaceDN/>
        <w:adjustRightInd/>
        <w:snapToGrid/>
        <w:ind w:left="709"/>
        <w:rPr>
          <w:bCs/>
        </w:rPr>
      </w:pPr>
    </w:p>
    <w:p w14:paraId="563D070E" w14:textId="02DC4171" w:rsidR="005A0E93" w:rsidRDefault="00A90FD1" w:rsidP="008C0C03">
      <w:pPr>
        <w:pStyle w:val="SingleTxtG"/>
        <w:numPr>
          <w:ilvl w:val="0"/>
          <w:numId w:val="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lastRenderedPageBreak/>
        <w:t xml:space="preserve">At the international level, States and international organizations should facilitate the involvement of children’s associations and child-led organizations or groups, in decision-making processes relating to the environment. States should also ensure that their obligations concerning children’s right to be heard are reflected in </w:t>
      </w:r>
      <w:r>
        <w:rPr>
          <w:bCs/>
        </w:rPr>
        <w:t xml:space="preserve">negotiations and implementation of </w:t>
      </w:r>
      <w:r w:rsidRPr="00CC25B8">
        <w:rPr>
          <w:bCs/>
        </w:rPr>
        <w:t>instruments of international environmental law.</w:t>
      </w:r>
    </w:p>
    <w:p w14:paraId="34EF8B8B" w14:textId="14DF3978" w:rsidR="00864F89" w:rsidRPr="00D37B85" w:rsidRDefault="00056203" w:rsidP="00864F89">
      <w:pPr>
        <w:pStyle w:val="paragraph"/>
        <w:numPr>
          <w:ilvl w:val="0"/>
          <w:numId w:val="6"/>
        </w:numPr>
        <w:spacing w:before="0" w:beforeAutospacing="0" w:after="0" w:afterAutospacing="0"/>
        <w:ind w:left="1134" w:right="1112" w:hanging="2"/>
        <w:jc w:val="both"/>
        <w:textAlignment w:val="baseline"/>
        <w:rPr>
          <w:rStyle w:val="eop"/>
          <w:bCs/>
          <w:color w:val="FF0000"/>
          <w:sz w:val="20"/>
          <w:szCs w:val="20"/>
          <w:highlight w:val="yellow"/>
          <w:lang w:val="en-US"/>
        </w:rPr>
      </w:pPr>
      <w:r w:rsidRPr="00864F89">
        <w:rPr>
          <w:rStyle w:val="normaltextrun"/>
          <w:color w:val="FF0000"/>
          <w:sz w:val="20"/>
          <w:szCs w:val="20"/>
          <w:shd w:val="clear" w:color="auto" w:fill="FFFF00"/>
          <w:lang w:val="en-GB"/>
        </w:rPr>
        <w:t xml:space="preserve">The international organizations should guarantee the representation of children’s views and interests in international environmental and climate change governance processes through safeguarding mechanisms (such as child-rights envoy, commissioners or ombudspersons) that are not identical to those of youth representation or youth constituencies in the international </w:t>
      </w:r>
      <w:r w:rsidR="00D37B85">
        <w:rPr>
          <w:rStyle w:val="normaltextrun"/>
          <w:color w:val="FF0000"/>
          <w:sz w:val="20"/>
          <w:szCs w:val="20"/>
          <w:shd w:val="clear" w:color="auto" w:fill="FFFF00"/>
          <w:lang w:val="en-GB"/>
        </w:rPr>
        <w:t xml:space="preserve">environmental/climate change </w:t>
      </w:r>
      <w:r w:rsidRPr="00864F89">
        <w:rPr>
          <w:rStyle w:val="normaltextrun"/>
          <w:color w:val="FF0000"/>
          <w:sz w:val="20"/>
          <w:szCs w:val="20"/>
          <w:shd w:val="clear" w:color="auto" w:fill="FFFF00"/>
          <w:lang w:val="en-GB"/>
        </w:rPr>
        <w:t xml:space="preserve">governance system. </w:t>
      </w:r>
      <w:r w:rsidRPr="00864F89">
        <w:rPr>
          <w:rStyle w:val="eop"/>
          <w:color w:val="FF0000"/>
          <w:sz w:val="20"/>
          <w:szCs w:val="20"/>
          <w:lang w:val="en-US"/>
        </w:rPr>
        <w:t> </w:t>
      </w:r>
    </w:p>
    <w:p w14:paraId="3939A5F6" w14:textId="77777777" w:rsidR="00864F89" w:rsidRPr="00D37B85" w:rsidRDefault="00864F89" w:rsidP="00864F89">
      <w:pPr>
        <w:pStyle w:val="paragraph"/>
        <w:spacing w:before="0" w:beforeAutospacing="0" w:after="0" w:afterAutospacing="0"/>
        <w:ind w:left="1134" w:right="1112"/>
        <w:jc w:val="both"/>
        <w:textAlignment w:val="baseline"/>
        <w:rPr>
          <w:rStyle w:val="eop"/>
          <w:bCs/>
          <w:color w:val="FF0000"/>
          <w:sz w:val="20"/>
          <w:szCs w:val="20"/>
          <w:highlight w:val="yellow"/>
          <w:lang w:val="en-US"/>
        </w:rPr>
      </w:pPr>
    </w:p>
    <w:p w14:paraId="41BE12CB" w14:textId="688AEE94" w:rsidR="00A63741" w:rsidRPr="00582181" w:rsidRDefault="00A63741" w:rsidP="00864F89">
      <w:pPr>
        <w:pStyle w:val="paragraph"/>
        <w:numPr>
          <w:ilvl w:val="0"/>
          <w:numId w:val="6"/>
        </w:numPr>
        <w:spacing w:before="0" w:beforeAutospacing="0" w:after="0" w:afterAutospacing="0"/>
        <w:ind w:left="1134" w:right="1112" w:hanging="2"/>
        <w:jc w:val="both"/>
        <w:textAlignment w:val="baseline"/>
        <w:rPr>
          <w:bCs/>
          <w:color w:val="FF0000"/>
          <w:sz w:val="20"/>
          <w:szCs w:val="20"/>
          <w:highlight w:val="yellow"/>
          <w:lang w:val="en-US"/>
        </w:rPr>
      </w:pPr>
      <w:r w:rsidRPr="00864F89">
        <w:rPr>
          <w:bCs/>
          <w:color w:val="FF0000"/>
          <w:sz w:val="20"/>
          <w:szCs w:val="20"/>
          <w:highlight w:val="yellow"/>
          <w:lang w:val="en-US"/>
        </w:rPr>
        <w:t>Climate change is a matter which particul</w:t>
      </w:r>
      <w:r w:rsidR="0031585C" w:rsidRPr="00864F89">
        <w:rPr>
          <w:bCs/>
          <w:color w:val="FF0000"/>
          <w:sz w:val="20"/>
          <w:szCs w:val="20"/>
          <w:highlight w:val="yellow"/>
          <w:lang w:val="en-US"/>
        </w:rPr>
        <w:t>arly</w:t>
      </w:r>
      <w:r w:rsidRPr="00864F89">
        <w:rPr>
          <w:bCs/>
          <w:color w:val="FF0000"/>
          <w:sz w:val="20"/>
          <w:szCs w:val="20"/>
          <w:highlight w:val="yellow"/>
          <w:lang w:val="en-US"/>
        </w:rPr>
        <w:t xml:space="preserve"> affects and concerns </w:t>
      </w:r>
      <w:r w:rsidR="0031585C" w:rsidRPr="00864F89">
        <w:rPr>
          <w:bCs/>
          <w:color w:val="FF0000"/>
          <w:sz w:val="20"/>
          <w:szCs w:val="20"/>
          <w:highlight w:val="yellow"/>
          <w:lang w:val="en-US"/>
        </w:rPr>
        <w:t xml:space="preserve">all </w:t>
      </w:r>
      <w:r w:rsidRPr="00864F89">
        <w:rPr>
          <w:bCs/>
          <w:color w:val="FF0000"/>
          <w:sz w:val="20"/>
          <w:szCs w:val="20"/>
          <w:highlight w:val="yellow"/>
          <w:lang w:val="en-US"/>
        </w:rPr>
        <w:t>children</w:t>
      </w:r>
      <w:r w:rsidR="004B1EEA" w:rsidRPr="00864F89">
        <w:rPr>
          <w:bCs/>
          <w:color w:val="FF0000"/>
          <w:sz w:val="20"/>
          <w:szCs w:val="20"/>
          <w:highlight w:val="yellow"/>
          <w:lang w:val="en-US"/>
        </w:rPr>
        <w:t xml:space="preserve"> across borders.</w:t>
      </w:r>
      <w:r w:rsidR="0031585C" w:rsidRPr="00864F89">
        <w:rPr>
          <w:bCs/>
          <w:color w:val="FF0000"/>
          <w:sz w:val="20"/>
          <w:szCs w:val="20"/>
          <w:highlight w:val="yellow"/>
          <w:lang w:val="en-US"/>
        </w:rPr>
        <w:t xml:space="preserve"> </w:t>
      </w:r>
      <w:r w:rsidR="0031585C" w:rsidRPr="00582181">
        <w:rPr>
          <w:bCs/>
          <w:color w:val="FF0000"/>
          <w:sz w:val="20"/>
          <w:szCs w:val="20"/>
          <w:highlight w:val="yellow"/>
          <w:lang w:val="en-US"/>
        </w:rPr>
        <w:t xml:space="preserve">States and transnational organizations should </w:t>
      </w:r>
      <w:r w:rsidR="00044438" w:rsidRPr="00582181">
        <w:rPr>
          <w:bCs/>
          <w:color w:val="FF0000"/>
          <w:sz w:val="20"/>
          <w:szCs w:val="20"/>
          <w:highlight w:val="yellow"/>
          <w:lang w:val="en-US"/>
        </w:rPr>
        <w:t>ensure</w:t>
      </w:r>
      <w:r w:rsidRPr="00582181">
        <w:rPr>
          <w:bCs/>
          <w:color w:val="FF0000"/>
          <w:sz w:val="20"/>
          <w:szCs w:val="20"/>
          <w:highlight w:val="yellow"/>
          <w:lang w:val="en-US"/>
        </w:rPr>
        <w:t xml:space="preserve"> spaces (digital or physical), processes and conditions of </w:t>
      </w:r>
      <w:r w:rsidRPr="00582181">
        <w:rPr>
          <w:bCs/>
          <w:i/>
          <w:iCs/>
          <w:color w:val="FF0000"/>
          <w:sz w:val="20"/>
          <w:szCs w:val="20"/>
          <w:highlight w:val="yellow"/>
          <w:lang w:val="en-US"/>
        </w:rPr>
        <w:t xml:space="preserve">active </w:t>
      </w:r>
      <w:r w:rsidRPr="00582181">
        <w:rPr>
          <w:bCs/>
          <w:color w:val="FF0000"/>
          <w:sz w:val="20"/>
          <w:szCs w:val="20"/>
          <w:highlight w:val="yellow"/>
          <w:lang w:val="en-US"/>
        </w:rPr>
        <w:t>and</w:t>
      </w:r>
      <w:r w:rsidRPr="00582181">
        <w:rPr>
          <w:bCs/>
          <w:i/>
          <w:iCs/>
          <w:color w:val="FF0000"/>
          <w:sz w:val="20"/>
          <w:szCs w:val="20"/>
          <w:highlight w:val="yellow"/>
          <w:lang w:val="en-US"/>
        </w:rPr>
        <w:t xml:space="preserve"> meaningful</w:t>
      </w:r>
      <w:r w:rsidRPr="00582181">
        <w:rPr>
          <w:bCs/>
          <w:color w:val="FF0000"/>
          <w:sz w:val="20"/>
          <w:szCs w:val="20"/>
          <w:highlight w:val="yellow"/>
          <w:lang w:val="en-US"/>
        </w:rPr>
        <w:t xml:space="preserve"> participation of children at all levels of governance, including in the United Nations.</w:t>
      </w:r>
    </w:p>
    <w:p w14:paraId="027BB9F4" w14:textId="77777777" w:rsidR="009D0B4D" w:rsidRPr="008C0C03" w:rsidRDefault="009D0B4D" w:rsidP="009D0B4D">
      <w:pPr>
        <w:pStyle w:val="SingleTxtG"/>
        <w:tabs>
          <w:tab w:val="clear" w:pos="1701"/>
          <w:tab w:val="clear" w:pos="2268"/>
          <w:tab w:val="clear" w:pos="2835"/>
        </w:tabs>
        <w:suppressAutoHyphens w:val="0"/>
        <w:kinsoku/>
        <w:overflowPunct/>
        <w:autoSpaceDE/>
        <w:autoSpaceDN/>
        <w:adjustRightInd/>
        <w:snapToGrid/>
        <w:rPr>
          <w:bCs/>
          <w:color w:val="FF0000"/>
          <w:highlight w:val="yellow"/>
        </w:rPr>
      </w:pPr>
    </w:p>
    <w:p w14:paraId="58202334" w14:textId="4CF0CFA0" w:rsidR="00A90FD1" w:rsidRDefault="00182E24" w:rsidP="00B62848">
      <w:pPr>
        <w:pStyle w:val="H1G"/>
        <w:spacing w:before="0" w:after="0" w:line="240" w:lineRule="auto"/>
        <w:ind w:right="120"/>
      </w:pPr>
      <w:bookmarkStart w:id="4" w:name="_Toc115681970"/>
      <w:r>
        <w:t xml:space="preserve">III. </w:t>
      </w:r>
      <w:r w:rsidR="00A90FD1" w:rsidRPr="00CC25B8">
        <w:t>J.</w:t>
      </w:r>
      <w:r w:rsidR="00A90FD1" w:rsidRPr="00CC25B8">
        <w:tab/>
      </w:r>
      <w:r w:rsidR="00A079F1">
        <w:t xml:space="preserve">  </w:t>
      </w:r>
      <w:bookmarkStart w:id="5" w:name="Freedomofexp"/>
      <w:r w:rsidR="00A90FD1" w:rsidRPr="00CC25B8">
        <w:t>Freedom of expression, association and peaceful assembly</w:t>
      </w:r>
      <w:bookmarkEnd w:id="4"/>
      <w:r w:rsidR="00A90FD1" w:rsidRPr="00CC25B8">
        <w:t xml:space="preserve"> (arts. 13 </w:t>
      </w:r>
      <w:r w:rsidR="00B62848">
        <w:t>a</w:t>
      </w:r>
      <w:r w:rsidR="00A90FD1" w:rsidRPr="00CC25B8">
        <w:t>nd 15)</w:t>
      </w:r>
    </w:p>
    <w:bookmarkEnd w:id="5"/>
    <w:p w14:paraId="59409585" w14:textId="77777777" w:rsidR="00AB5D8E" w:rsidRDefault="00AB5D8E" w:rsidP="00AB5D8E">
      <w:pPr>
        <w:pStyle w:val="SingleTxtG"/>
        <w:tabs>
          <w:tab w:val="clear" w:pos="1701"/>
          <w:tab w:val="clear" w:pos="2268"/>
          <w:tab w:val="clear" w:pos="2835"/>
        </w:tabs>
        <w:suppressAutoHyphens w:val="0"/>
        <w:kinsoku/>
        <w:overflowPunct/>
        <w:autoSpaceDE/>
        <w:autoSpaceDN/>
        <w:adjustRightInd/>
        <w:snapToGrid/>
        <w:spacing w:after="0" w:line="240" w:lineRule="auto"/>
        <w:ind w:left="0" w:right="95"/>
        <w:rPr>
          <w:b/>
          <w:bCs/>
          <w:sz w:val="22"/>
          <w:szCs w:val="22"/>
          <w:u w:val="single"/>
        </w:rPr>
      </w:pPr>
    </w:p>
    <w:p w14:paraId="0B5DAE95" w14:textId="33C38E2D" w:rsidR="009D0B4D" w:rsidRPr="00A01463" w:rsidRDefault="00AB5D8E" w:rsidP="009D0B4D">
      <w:pPr>
        <w:pStyle w:val="SingleTxtG"/>
        <w:tabs>
          <w:tab w:val="clear" w:pos="1701"/>
          <w:tab w:val="clear" w:pos="2268"/>
          <w:tab w:val="clear" w:pos="2835"/>
        </w:tabs>
        <w:suppressAutoHyphens w:val="0"/>
        <w:kinsoku/>
        <w:overflowPunct/>
        <w:autoSpaceDE/>
        <w:autoSpaceDN/>
        <w:adjustRightInd/>
        <w:snapToGrid/>
        <w:spacing w:after="0" w:line="240" w:lineRule="auto"/>
        <w:ind w:left="0" w:right="95"/>
        <w:rPr>
          <w:b/>
          <w:sz w:val="22"/>
          <w:szCs w:val="22"/>
        </w:rPr>
      </w:pPr>
      <w:r w:rsidRPr="00E046BE">
        <w:rPr>
          <w:b/>
          <w:bCs/>
          <w:sz w:val="22"/>
          <w:szCs w:val="22"/>
          <w:u w:val="single"/>
        </w:rPr>
        <w:t xml:space="preserve">Argument for amendment: </w:t>
      </w:r>
      <w:r w:rsidR="00523351">
        <w:rPr>
          <w:bCs/>
          <w:sz w:val="22"/>
          <w:szCs w:val="22"/>
        </w:rPr>
        <w:t>R</w:t>
      </w:r>
      <w:r>
        <w:rPr>
          <w:bCs/>
          <w:sz w:val="22"/>
          <w:szCs w:val="22"/>
        </w:rPr>
        <w:t>ecent developments of grassroots environmental/climate change (but also other areas of) social movement activism of children world-wide</w:t>
      </w:r>
      <w:r w:rsidR="00523351">
        <w:rPr>
          <w:bCs/>
          <w:sz w:val="22"/>
          <w:szCs w:val="22"/>
        </w:rPr>
        <w:t xml:space="preserve"> </w:t>
      </w:r>
      <w:r>
        <w:rPr>
          <w:bCs/>
          <w:sz w:val="22"/>
          <w:szCs w:val="22"/>
        </w:rPr>
        <w:t xml:space="preserve">suggest that children employ various means and forms of activities through which they practice their freedom of association and the right to peaceful assembly. These activities are often </w:t>
      </w:r>
      <w:r w:rsidRPr="00AB5D8E">
        <w:rPr>
          <w:b/>
          <w:sz w:val="22"/>
          <w:szCs w:val="22"/>
        </w:rPr>
        <w:t xml:space="preserve">child-specific </w:t>
      </w:r>
      <w:r>
        <w:rPr>
          <w:bCs/>
          <w:sz w:val="22"/>
          <w:szCs w:val="22"/>
        </w:rPr>
        <w:t xml:space="preserve">which the GC considers, however, it would be of use to expressly refer to </w:t>
      </w:r>
      <w:r w:rsidRPr="00E5456A">
        <w:rPr>
          <w:b/>
          <w:sz w:val="22"/>
          <w:szCs w:val="22"/>
        </w:rPr>
        <w:t>school strikes and school walk-outs</w:t>
      </w:r>
      <w:r>
        <w:rPr>
          <w:bCs/>
          <w:sz w:val="22"/>
          <w:szCs w:val="22"/>
        </w:rPr>
        <w:t xml:space="preserve"> (or sit-in protests in schools, etc.) that require a child-rights approach in conjunction with the right to education. States should ensure that when children practice their environmental activism, these freedom rights are not violated or abused with reference to the duty of States to fulfil the right to education or protecting the child’s/children’s best interests.</w:t>
      </w:r>
      <w:r w:rsidR="009D0B4D">
        <w:rPr>
          <w:bCs/>
          <w:sz w:val="22"/>
          <w:szCs w:val="22"/>
        </w:rPr>
        <w:t xml:space="preserve"> Therefore, </w:t>
      </w:r>
      <w:r w:rsidR="009D0B4D" w:rsidRPr="009D0B4D">
        <w:rPr>
          <w:b/>
          <w:sz w:val="22"/>
          <w:szCs w:val="22"/>
          <w:highlight w:val="yellow"/>
        </w:rPr>
        <w:t>we</w:t>
      </w:r>
      <w:r w:rsidR="009D0B4D" w:rsidRPr="00A01463">
        <w:rPr>
          <w:b/>
          <w:sz w:val="22"/>
          <w:szCs w:val="22"/>
          <w:highlight w:val="yellow"/>
        </w:rPr>
        <w:t xml:space="preserve"> recommend the following amendments to the text:</w:t>
      </w:r>
    </w:p>
    <w:p w14:paraId="7C7E8A24" w14:textId="23FF3584" w:rsidR="00AB5D8E" w:rsidRDefault="00AB5D8E" w:rsidP="00AB5D8E">
      <w:pPr>
        <w:pStyle w:val="SingleTxtG"/>
        <w:tabs>
          <w:tab w:val="clear" w:pos="1701"/>
          <w:tab w:val="clear" w:pos="2268"/>
          <w:tab w:val="clear" w:pos="2835"/>
        </w:tabs>
        <w:suppressAutoHyphens w:val="0"/>
        <w:kinsoku/>
        <w:overflowPunct/>
        <w:autoSpaceDE/>
        <w:autoSpaceDN/>
        <w:adjustRightInd/>
        <w:snapToGrid/>
        <w:spacing w:after="0" w:line="240" w:lineRule="auto"/>
        <w:ind w:left="0" w:right="95"/>
        <w:rPr>
          <w:bCs/>
          <w:sz w:val="22"/>
          <w:szCs w:val="22"/>
        </w:rPr>
      </w:pPr>
    </w:p>
    <w:p w14:paraId="63F36A44" w14:textId="77777777" w:rsidR="00A90FD1" w:rsidRPr="00CC25B8" w:rsidRDefault="00A90FD1" w:rsidP="004A0F8F">
      <w:pPr>
        <w:pStyle w:val="SingleTxtG"/>
        <w:numPr>
          <w:ilvl w:val="0"/>
          <w:numId w:val="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Children’s rights to freedom of expression, association and peaceful assembly should not be subjected to restrictions other than those that are lawful, necessary and proportionate. </w:t>
      </w:r>
    </w:p>
    <w:p w14:paraId="0C408D85" w14:textId="568F8B1E" w:rsidR="00A90FD1" w:rsidRPr="00CC25B8" w:rsidRDefault="00A90FD1" w:rsidP="004A0F8F">
      <w:pPr>
        <w:pStyle w:val="SingleTxtG"/>
        <w:numPr>
          <w:ilvl w:val="0"/>
          <w:numId w:val="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Children who express their views or engage in public protests on environmental degradation, climate change and climate-related projects may face threats, intimidation, harassment or other serious reprisals. </w:t>
      </w:r>
      <w:r w:rsidR="001A7798" w:rsidRPr="008C0C03">
        <w:rPr>
          <w:bCs/>
          <w:color w:val="FF0000"/>
          <w:highlight w:val="yellow"/>
        </w:rPr>
        <w:t xml:space="preserve">School strikes and school walk-out actions </w:t>
      </w:r>
      <w:r w:rsidR="00131AC9" w:rsidRPr="008C0C03">
        <w:rPr>
          <w:bCs/>
          <w:color w:val="FF0000"/>
          <w:highlight w:val="yellow"/>
        </w:rPr>
        <w:t>should be recognised as a form</w:t>
      </w:r>
      <w:r w:rsidR="00B75B35" w:rsidRPr="008C0C03">
        <w:rPr>
          <w:bCs/>
          <w:color w:val="FF0000"/>
          <w:highlight w:val="yellow"/>
        </w:rPr>
        <w:t xml:space="preserve"> of practicing </w:t>
      </w:r>
      <w:r w:rsidR="00131AC9" w:rsidRPr="008C0C03">
        <w:rPr>
          <w:bCs/>
          <w:color w:val="FF0000"/>
          <w:highlight w:val="yellow"/>
        </w:rPr>
        <w:t>freedom of expression, association and peaceful assembly</w:t>
      </w:r>
      <w:r w:rsidR="00B75B35" w:rsidRPr="008C0C03">
        <w:rPr>
          <w:bCs/>
          <w:color w:val="FF0000"/>
          <w:highlight w:val="yellow"/>
        </w:rPr>
        <w:t>.</w:t>
      </w:r>
      <w:r w:rsidR="00131AC9" w:rsidRPr="008C0C03">
        <w:rPr>
          <w:bCs/>
          <w:color w:val="FF0000"/>
          <w:highlight w:val="yellow"/>
        </w:rPr>
        <w:t xml:space="preserve"> </w:t>
      </w:r>
      <w:r w:rsidRPr="008C0C03">
        <w:rPr>
          <w:bCs/>
          <w:color w:val="FF0000"/>
          <w:highlight w:val="yellow"/>
        </w:rPr>
        <w:t>States</w:t>
      </w:r>
      <w:r w:rsidRPr="008C0C03">
        <w:rPr>
          <w:bCs/>
          <w:color w:val="FF0000"/>
        </w:rPr>
        <w:t xml:space="preserve"> </w:t>
      </w:r>
      <w:r w:rsidRPr="00CC25B8">
        <w:rPr>
          <w:bCs/>
        </w:rPr>
        <w:t xml:space="preserve">are required to protect the rights of environmental child rights defenders, including through the provision of a safe and empowering context for initiatives organized by children to defend human rights. States should undertake all appropriate measures to ensure that laws relating to defamation and libel are not abused by third </w:t>
      </w:r>
      <w:bookmarkStart w:id="6" w:name="_Hlk116819113"/>
      <w:r w:rsidRPr="00CC25B8">
        <w:rPr>
          <w:bCs/>
        </w:rPr>
        <w:t>parties to repress those children’s rights, including through adoption and implementation of laws to protect child rights defenders in accordance with international human rights standards, raise awareness against stigmatization of activities and provide effective remedies for violations of their rights to freedom of expression, peaceful assembly and association.</w:t>
      </w:r>
    </w:p>
    <w:bookmarkEnd w:id="6"/>
    <w:p w14:paraId="149361B5" w14:textId="51E91DF0" w:rsidR="006654ED" w:rsidRPr="00A90FD1" w:rsidRDefault="006654ED">
      <w:pPr>
        <w:rPr>
          <w:highlight w:val="yellow"/>
          <w:lang w:val="en-GB"/>
        </w:rPr>
      </w:pPr>
    </w:p>
    <w:p w14:paraId="6A754E7E" w14:textId="77777777" w:rsidR="00613E44" w:rsidRDefault="00613E44" w:rsidP="00613E44">
      <w:pPr>
        <w:pStyle w:val="H1G"/>
        <w:spacing w:before="0" w:after="0" w:line="240" w:lineRule="auto"/>
      </w:pPr>
    </w:p>
    <w:p w14:paraId="3151247F" w14:textId="506F24D8" w:rsidR="00613E44" w:rsidRDefault="00182E24" w:rsidP="00613E44">
      <w:pPr>
        <w:pStyle w:val="H1G"/>
        <w:spacing w:before="0" w:after="0" w:line="240" w:lineRule="auto"/>
      </w:pPr>
      <w:r>
        <w:t>V</w:t>
      </w:r>
      <w:r w:rsidR="00613E44">
        <w:t>. C.</w:t>
      </w:r>
      <w:r w:rsidR="00613E44">
        <w:tab/>
      </w:r>
      <w:r w:rsidR="00613E44">
        <w:tab/>
      </w:r>
      <w:bookmarkStart w:id="7" w:name="Accesstoinfo"/>
      <w:r w:rsidR="00613E44" w:rsidRPr="00CC25B8">
        <w:t xml:space="preserve">Access to information </w:t>
      </w:r>
    </w:p>
    <w:bookmarkEnd w:id="7"/>
    <w:p w14:paraId="10F1E51F" w14:textId="77777777" w:rsidR="00613E44" w:rsidRPr="00333A74" w:rsidRDefault="00613E44" w:rsidP="00613E44">
      <w:pPr>
        <w:rPr>
          <w:lang w:val="en-GB"/>
        </w:rPr>
      </w:pPr>
    </w:p>
    <w:p w14:paraId="2AEF8698" w14:textId="77777777" w:rsidR="00613E44" w:rsidRPr="00AB17E1" w:rsidRDefault="00613E44" w:rsidP="00613E44">
      <w:pPr>
        <w:jc w:val="both"/>
        <w:rPr>
          <w:b/>
          <w:bCs/>
          <w:lang w:val="en-GB"/>
        </w:rPr>
      </w:pPr>
      <w:r w:rsidRPr="0081334A">
        <w:rPr>
          <w:rFonts w:ascii="Times New Roman" w:hAnsi="Times New Roman" w:cs="Times New Roman"/>
          <w:b/>
          <w:bCs/>
          <w:u w:val="single"/>
          <w:lang w:val="en-GB"/>
        </w:rPr>
        <w:t xml:space="preserve">Argument for amendment: </w:t>
      </w:r>
      <w:r w:rsidRPr="0081334A">
        <w:rPr>
          <w:rFonts w:ascii="Times New Roman" w:hAnsi="Times New Roman" w:cs="Times New Roman"/>
          <w:lang w:val="en-GB"/>
        </w:rPr>
        <w:t>Access to information is a pillar of environmental human rights (as set forth in the Aarhus Convention).</w:t>
      </w:r>
      <w:r w:rsidRPr="0081334A">
        <w:rPr>
          <w:rStyle w:val="FootnoteReference"/>
          <w:rFonts w:ascii="Times New Roman" w:hAnsi="Times New Roman" w:cs="Times New Roman"/>
          <w:lang w:val="en-GB"/>
        </w:rPr>
        <w:footnoteReference w:id="6"/>
      </w:r>
      <w:r w:rsidRPr="0081334A">
        <w:rPr>
          <w:rFonts w:ascii="Times New Roman" w:hAnsi="Times New Roman" w:cs="Times New Roman"/>
          <w:lang w:val="en-GB"/>
        </w:rPr>
        <w:t xml:space="preserve"> I</w:t>
      </w:r>
      <w:r w:rsidRPr="0081334A">
        <w:rPr>
          <w:rFonts w:ascii="Times New Roman" w:hAnsi="Times New Roman" w:cs="Times New Roman"/>
          <w:lang w:val="en-US"/>
        </w:rPr>
        <w:t xml:space="preserve">t serves as a precondition of </w:t>
      </w:r>
      <w:r w:rsidRPr="0081334A">
        <w:rPr>
          <w:rFonts w:ascii="Times New Roman" w:hAnsi="Times New Roman" w:cs="Times New Roman"/>
          <w:i/>
          <w:iCs/>
          <w:lang w:val="en-US"/>
        </w:rPr>
        <w:t>effective</w:t>
      </w:r>
      <w:r w:rsidRPr="0081334A">
        <w:rPr>
          <w:rFonts w:ascii="Times New Roman" w:hAnsi="Times New Roman" w:cs="Times New Roman"/>
          <w:lang w:val="en-US"/>
        </w:rPr>
        <w:t xml:space="preserve"> public participation and access to justice in environmental matters. The right to environmental information relates to the possibilities of citizens, including children to act responsibly on behalf of the environment. Citizens with effective access to information in the environmental field have the power to act on possible breaches of environmental law resulting from activities harming our environment (through public participation and access to justice). </w:t>
      </w:r>
      <w:r>
        <w:rPr>
          <w:rFonts w:ascii="Times New Roman" w:hAnsi="Times New Roman" w:cs="Times New Roman"/>
          <w:lang w:val="en-US"/>
        </w:rPr>
        <w:t>E</w:t>
      </w:r>
      <w:r w:rsidRPr="0081334A">
        <w:rPr>
          <w:rFonts w:ascii="Times New Roman" w:eastAsia="Times New Roman" w:hAnsi="Times New Roman" w:cs="Times New Roman"/>
          <w:lang w:val="en-US" w:eastAsia="nl-BE"/>
        </w:rPr>
        <w:t xml:space="preserve">ducation and information provide the scaffolding for effective and sustainable child participation, building their capacity to innovate and adapt to environmental changes, such as the impacts of climate change. Considering the intersectionality between access to information and the right to environmental education, as well as the inseparable link between access to information and participation and access to justice in environmental matters, </w:t>
      </w:r>
      <w:r w:rsidRPr="00AB17E1">
        <w:rPr>
          <w:rFonts w:ascii="Times New Roman" w:eastAsia="Times New Roman" w:hAnsi="Times New Roman" w:cs="Times New Roman"/>
          <w:b/>
          <w:bCs/>
          <w:highlight w:val="yellow"/>
          <w:lang w:val="en-US" w:eastAsia="nl-BE"/>
        </w:rPr>
        <w:t>the following additional point</w:t>
      </w:r>
      <w:r>
        <w:rPr>
          <w:rFonts w:ascii="Times New Roman" w:eastAsia="Times New Roman" w:hAnsi="Times New Roman" w:cs="Times New Roman"/>
          <w:b/>
          <w:bCs/>
          <w:highlight w:val="yellow"/>
          <w:lang w:val="en-US" w:eastAsia="nl-BE"/>
        </w:rPr>
        <w:t>s</w:t>
      </w:r>
      <w:r w:rsidRPr="00AB17E1">
        <w:rPr>
          <w:rFonts w:ascii="Times New Roman" w:eastAsia="Times New Roman" w:hAnsi="Times New Roman" w:cs="Times New Roman"/>
          <w:b/>
          <w:bCs/>
          <w:highlight w:val="yellow"/>
          <w:lang w:val="en-US" w:eastAsia="nl-BE"/>
        </w:rPr>
        <w:t xml:space="preserve"> are recommended to include in the GC, in point </w:t>
      </w:r>
      <w:r>
        <w:rPr>
          <w:rFonts w:ascii="Times New Roman" w:eastAsia="Times New Roman" w:hAnsi="Times New Roman" w:cs="Times New Roman"/>
          <w:b/>
          <w:bCs/>
          <w:highlight w:val="yellow"/>
          <w:lang w:val="en-US" w:eastAsia="nl-BE"/>
        </w:rPr>
        <w:t>V</w:t>
      </w:r>
      <w:r w:rsidRPr="00AB17E1">
        <w:rPr>
          <w:rFonts w:ascii="Times New Roman" w:eastAsia="Times New Roman" w:hAnsi="Times New Roman" w:cs="Times New Roman"/>
          <w:b/>
          <w:bCs/>
          <w:highlight w:val="yellow"/>
          <w:lang w:val="en-US" w:eastAsia="nl-BE"/>
        </w:rPr>
        <w:t>. C.</w:t>
      </w:r>
    </w:p>
    <w:p w14:paraId="420B2EC4" w14:textId="77777777" w:rsidR="00613E44" w:rsidRPr="00CA4030" w:rsidRDefault="00613E44" w:rsidP="00613E44">
      <w:pPr>
        <w:pStyle w:val="ListParagraph"/>
        <w:numPr>
          <w:ilvl w:val="0"/>
          <w:numId w:val="4"/>
        </w:numPr>
        <w:ind w:left="851" w:right="1112" w:firstLine="0"/>
        <w:jc w:val="both"/>
        <w:rPr>
          <w:rFonts w:ascii="Times New Roman" w:hAnsi="Times New Roman" w:cs="Times New Roman"/>
          <w:bCs/>
          <w:color w:val="FF0000"/>
          <w:sz w:val="20"/>
          <w:szCs w:val="20"/>
          <w:highlight w:val="yellow"/>
          <w:lang w:val="en-GB"/>
        </w:rPr>
      </w:pPr>
      <w:r w:rsidRPr="00CA4030">
        <w:rPr>
          <w:rFonts w:ascii="Times New Roman" w:hAnsi="Times New Roman" w:cs="Times New Roman"/>
          <w:bCs/>
          <w:color w:val="FF0000"/>
          <w:sz w:val="20"/>
          <w:szCs w:val="20"/>
          <w:highlight w:val="yellow"/>
          <w:lang w:val="en-GB"/>
        </w:rPr>
        <w:t xml:space="preserve">Information should extend to information on the right to public participation/the right to be heard in institutionalised or empowered legislative and policy-making processes, public consultations and litigation as well as through initiatives and activities of the child or children as a group. </w:t>
      </w:r>
    </w:p>
    <w:p w14:paraId="420DDBDC" w14:textId="77777777" w:rsidR="00613E44" w:rsidRPr="00CA4030" w:rsidRDefault="00613E44" w:rsidP="00613E44">
      <w:pPr>
        <w:pStyle w:val="ListParagraph"/>
        <w:ind w:right="1112" w:hanging="11"/>
        <w:jc w:val="both"/>
        <w:rPr>
          <w:rFonts w:ascii="Times New Roman" w:hAnsi="Times New Roman" w:cs="Times New Roman"/>
          <w:bCs/>
          <w:color w:val="FF0000"/>
          <w:sz w:val="20"/>
          <w:szCs w:val="20"/>
          <w:highlight w:val="yellow"/>
          <w:lang w:val="en-GB"/>
        </w:rPr>
      </w:pPr>
    </w:p>
    <w:p w14:paraId="28B86BC7" w14:textId="77777777" w:rsidR="00613E44" w:rsidRPr="00CA4030" w:rsidRDefault="00613E44" w:rsidP="00613E44">
      <w:pPr>
        <w:pStyle w:val="ListParagraph"/>
        <w:numPr>
          <w:ilvl w:val="0"/>
          <w:numId w:val="4"/>
        </w:numPr>
        <w:ind w:left="851" w:right="1112" w:hanging="11"/>
        <w:jc w:val="both"/>
        <w:rPr>
          <w:rFonts w:ascii="Times New Roman" w:hAnsi="Times New Roman" w:cs="Times New Roman"/>
          <w:bCs/>
          <w:color w:val="FF0000"/>
          <w:sz w:val="20"/>
          <w:szCs w:val="20"/>
          <w:highlight w:val="yellow"/>
          <w:lang w:val="en-GB"/>
        </w:rPr>
      </w:pPr>
      <w:r w:rsidRPr="00CA4030">
        <w:rPr>
          <w:rFonts w:ascii="Times New Roman" w:hAnsi="Times New Roman" w:cs="Times New Roman"/>
          <w:bCs/>
          <w:color w:val="FF0000"/>
          <w:sz w:val="20"/>
          <w:szCs w:val="20"/>
          <w:highlight w:val="yellow"/>
          <w:lang w:val="en-GB"/>
        </w:rPr>
        <w:t xml:space="preserve">Information should entail knowledge about accountability of duty-bearers, to access to justice and to effective remedy in environmental/climate change matters that affect the child or children as a group. </w:t>
      </w:r>
    </w:p>
    <w:p w14:paraId="7EA0509E" w14:textId="76D90B8B" w:rsidR="0035065B" w:rsidRDefault="0035065B">
      <w:pPr>
        <w:rPr>
          <w:lang w:val="en-GB"/>
        </w:rPr>
      </w:pPr>
    </w:p>
    <w:p w14:paraId="0EE049EA" w14:textId="77777777" w:rsidR="007F70DF" w:rsidRDefault="007F70DF" w:rsidP="007F70DF">
      <w:pPr>
        <w:spacing w:after="0" w:line="240" w:lineRule="auto"/>
        <w:rPr>
          <w:rFonts w:ascii="Times New Roman" w:hAnsi="Times New Roman" w:cs="Times New Roman"/>
          <w:b/>
          <w:bCs/>
          <w:lang w:val="en-GB"/>
        </w:rPr>
      </w:pPr>
    </w:p>
    <w:p w14:paraId="7F9CBFEA" w14:textId="30047F36" w:rsidR="00336FB0" w:rsidRPr="00B62848" w:rsidRDefault="00E35DF0" w:rsidP="007F70DF">
      <w:pPr>
        <w:spacing w:after="0" w:line="240" w:lineRule="auto"/>
        <w:rPr>
          <w:rFonts w:ascii="Times New Roman" w:hAnsi="Times New Roman" w:cs="Times New Roman"/>
          <w:b/>
          <w:bCs/>
          <w:sz w:val="24"/>
          <w:szCs w:val="24"/>
          <w:lang w:val="en-GB"/>
        </w:rPr>
      </w:pPr>
      <w:r w:rsidRPr="00B62848">
        <w:rPr>
          <w:rFonts w:ascii="Times New Roman" w:hAnsi="Times New Roman" w:cs="Times New Roman"/>
          <w:b/>
          <w:bCs/>
          <w:sz w:val="24"/>
          <w:szCs w:val="24"/>
          <w:lang w:val="en-GB"/>
        </w:rPr>
        <w:t>VI. D</w:t>
      </w:r>
      <w:r w:rsidR="007F70DF" w:rsidRPr="00B62848">
        <w:rPr>
          <w:rFonts w:ascii="Times New Roman" w:hAnsi="Times New Roman" w:cs="Times New Roman"/>
          <w:b/>
          <w:bCs/>
          <w:sz w:val="24"/>
          <w:szCs w:val="24"/>
          <w:lang w:val="en-GB"/>
        </w:rPr>
        <w:t>.</w:t>
      </w:r>
      <w:r w:rsidR="0065185A" w:rsidRPr="00B62848">
        <w:rPr>
          <w:rFonts w:ascii="Times New Roman" w:hAnsi="Times New Roman" w:cs="Times New Roman"/>
          <w:b/>
          <w:bCs/>
          <w:sz w:val="24"/>
          <w:szCs w:val="24"/>
          <w:lang w:val="en-GB"/>
        </w:rPr>
        <w:t xml:space="preserve">  </w:t>
      </w:r>
      <w:bookmarkStart w:id="8" w:name="Business"/>
      <w:r w:rsidR="0065185A" w:rsidRPr="00B62848">
        <w:rPr>
          <w:rFonts w:ascii="Times New Roman" w:hAnsi="Times New Roman" w:cs="Times New Roman"/>
          <w:b/>
          <w:bCs/>
          <w:sz w:val="24"/>
          <w:szCs w:val="24"/>
          <w:lang w:val="en-GB"/>
        </w:rPr>
        <w:t>Business and climate change</w:t>
      </w:r>
      <w:bookmarkEnd w:id="8"/>
    </w:p>
    <w:p w14:paraId="575483BC" w14:textId="604E980A" w:rsidR="0065185A" w:rsidRDefault="0065185A" w:rsidP="007F70DF">
      <w:pPr>
        <w:spacing w:after="0" w:line="240" w:lineRule="auto"/>
        <w:rPr>
          <w:rFonts w:ascii="Times New Roman" w:hAnsi="Times New Roman" w:cs="Times New Roman"/>
          <w:b/>
          <w:bCs/>
          <w:lang w:val="en-GB"/>
        </w:rPr>
      </w:pPr>
    </w:p>
    <w:p w14:paraId="422BA22E" w14:textId="77777777" w:rsidR="0065185A" w:rsidRDefault="0065185A" w:rsidP="007F70DF">
      <w:pPr>
        <w:spacing w:after="0" w:line="240" w:lineRule="auto"/>
        <w:rPr>
          <w:rFonts w:ascii="Times New Roman" w:hAnsi="Times New Roman" w:cs="Times New Roman"/>
          <w:b/>
          <w:bCs/>
          <w:lang w:val="en-GB"/>
        </w:rPr>
      </w:pPr>
    </w:p>
    <w:p w14:paraId="502ACDB7" w14:textId="37E8C786" w:rsidR="007F70DF" w:rsidRPr="00182E24" w:rsidRDefault="00776A3B" w:rsidP="007F70DF">
      <w:pPr>
        <w:spacing w:after="0" w:line="240" w:lineRule="auto"/>
        <w:rPr>
          <w:rFonts w:ascii="Times New Roman" w:hAnsi="Times New Roman" w:cs="Times New Roman"/>
          <w:b/>
          <w:bCs/>
          <w:lang w:val="en-GB"/>
        </w:rPr>
      </w:pPr>
      <w:r w:rsidRPr="0081334A">
        <w:rPr>
          <w:rFonts w:ascii="Times New Roman" w:hAnsi="Times New Roman" w:cs="Times New Roman"/>
          <w:b/>
          <w:bCs/>
          <w:u w:val="single"/>
          <w:lang w:val="en-GB"/>
        </w:rPr>
        <w:t>Argument for amendment:</w:t>
      </w:r>
      <w:r>
        <w:rPr>
          <w:rFonts w:ascii="Times New Roman" w:hAnsi="Times New Roman" w:cs="Times New Roman"/>
          <w:b/>
          <w:bCs/>
          <w:u w:val="single"/>
          <w:lang w:val="en-GB"/>
        </w:rPr>
        <w:t xml:space="preserve"> </w:t>
      </w:r>
      <w:r w:rsidRPr="00C168AA">
        <w:rPr>
          <w:rFonts w:ascii="Times New Roman" w:hAnsi="Times New Roman" w:cs="Times New Roman"/>
          <w:lang w:val="en-GB"/>
        </w:rPr>
        <w:t xml:space="preserve">The </w:t>
      </w:r>
      <w:r w:rsidR="001F4D73" w:rsidRPr="00C168AA">
        <w:rPr>
          <w:rFonts w:ascii="Times New Roman" w:hAnsi="Times New Roman" w:cs="Times New Roman"/>
          <w:lang w:val="en-GB"/>
        </w:rPr>
        <w:t xml:space="preserve">Third Revised </w:t>
      </w:r>
      <w:r w:rsidRPr="00C168AA">
        <w:rPr>
          <w:rFonts w:ascii="Times New Roman" w:hAnsi="Times New Roman" w:cs="Times New Roman"/>
          <w:lang w:val="en-GB"/>
        </w:rPr>
        <w:t>Draft Treaty</w:t>
      </w:r>
      <w:r w:rsidR="001F4D73" w:rsidRPr="00C168AA">
        <w:rPr>
          <w:rFonts w:ascii="Times New Roman" w:hAnsi="Times New Roman" w:cs="Times New Roman"/>
          <w:lang w:val="en-GB"/>
        </w:rPr>
        <w:t xml:space="preserve"> on Business and Human Rights </w:t>
      </w:r>
      <w:r w:rsidR="00F8762E" w:rsidRPr="00C168AA">
        <w:rPr>
          <w:rFonts w:ascii="Times New Roman" w:hAnsi="Times New Roman" w:cs="Times New Roman"/>
          <w:lang w:val="en-GB"/>
        </w:rPr>
        <w:t xml:space="preserve">entails provisions for the duty of Home States to </w:t>
      </w:r>
      <w:r w:rsidR="001E49E4" w:rsidRPr="00C168AA">
        <w:rPr>
          <w:rFonts w:ascii="Times New Roman" w:hAnsi="Times New Roman" w:cs="Times New Roman"/>
          <w:lang w:val="en-GB"/>
        </w:rPr>
        <w:t>‘</w:t>
      </w:r>
      <w:r w:rsidR="00F8762E" w:rsidRPr="00C168AA">
        <w:rPr>
          <w:rFonts w:ascii="Times New Roman" w:hAnsi="Times New Roman" w:cs="Times New Roman"/>
          <w:lang w:val="en-GB"/>
        </w:rPr>
        <w:t>make available to one another, mutual legal assistance and international judicial cooperation to the fullest extent possible</w:t>
      </w:r>
      <w:r w:rsidR="001E49E4" w:rsidRPr="00C168AA">
        <w:rPr>
          <w:rFonts w:ascii="Times New Roman" w:hAnsi="Times New Roman" w:cs="Times New Roman"/>
          <w:lang w:val="en-GB"/>
        </w:rPr>
        <w:t>’ (see art. 12 Draft Treaty)</w:t>
      </w:r>
      <w:r w:rsidR="00F454BE">
        <w:rPr>
          <w:rStyle w:val="FootnoteReference"/>
          <w:lang w:val="en-GB"/>
        </w:rPr>
        <w:footnoteReference w:id="7"/>
      </w:r>
      <w:r w:rsidR="00F8762E" w:rsidRPr="00C168AA">
        <w:rPr>
          <w:rFonts w:ascii="Times New Roman" w:hAnsi="Times New Roman" w:cs="Times New Roman"/>
          <w:lang w:val="en-GB"/>
        </w:rPr>
        <w:t>.</w:t>
      </w:r>
      <w:r w:rsidR="001E49E4" w:rsidRPr="00C168AA">
        <w:rPr>
          <w:rFonts w:ascii="Times New Roman" w:hAnsi="Times New Roman" w:cs="Times New Roman"/>
          <w:lang w:val="en-GB"/>
        </w:rPr>
        <w:t xml:space="preserve"> Based on the wording of the Draft Treaty, </w:t>
      </w:r>
      <w:r w:rsidR="001E49E4" w:rsidRPr="00182E24">
        <w:rPr>
          <w:rFonts w:ascii="Times New Roman" w:hAnsi="Times New Roman" w:cs="Times New Roman"/>
          <w:b/>
          <w:bCs/>
          <w:highlight w:val="yellow"/>
          <w:lang w:val="en-GB"/>
        </w:rPr>
        <w:t xml:space="preserve">we recommend the following additional text to </w:t>
      </w:r>
      <w:r w:rsidR="00C168AA" w:rsidRPr="00182E24">
        <w:rPr>
          <w:rFonts w:ascii="Times New Roman" w:hAnsi="Times New Roman" w:cs="Times New Roman"/>
          <w:b/>
          <w:bCs/>
          <w:highlight w:val="yellow"/>
          <w:lang w:val="en-GB"/>
        </w:rPr>
        <w:t>complement point VI. D of the GC:</w:t>
      </w:r>
    </w:p>
    <w:p w14:paraId="3126D684" w14:textId="3A0058C0" w:rsidR="00D407F9" w:rsidRDefault="00D407F9" w:rsidP="007F70DF">
      <w:pPr>
        <w:spacing w:after="0" w:line="240" w:lineRule="auto"/>
        <w:rPr>
          <w:rFonts w:ascii="Times New Roman" w:hAnsi="Times New Roman" w:cs="Times New Roman"/>
          <w:b/>
          <w:bCs/>
          <w:u w:val="single"/>
          <w:lang w:val="en-GB"/>
        </w:rPr>
      </w:pPr>
    </w:p>
    <w:p w14:paraId="08D7748C" w14:textId="1FFDA1E0" w:rsidR="00D407F9" w:rsidRPr="000F5BFA" w:rsidRDefault="00D407F9" w:rsidP="0052279E">
      <w:pPr>
        <w:pStyle w:val="SingleTxtG"/>
        <w:numPr>
          <w:ilvl w:val="0"/>
          <w:numId w:val="15"/>
        </w:numPr>
        <w:tabs>
          <w:tab w:val="clear" w:pos="1701"/>
          <w:tab w:val="clear" w:pos="2268"/>
          <w:tab w:val="clear" w:pos="2835"/>
        </w:tabs>
        <w:suppressAutoHyphens w:val="0"/>
        <w:kinsoku/>
        <w:overflowPunct/>
        <w:autoSpaceDE/>
        <w:autoSpaceDN/>
        <w:adjustRightInd/>
        <w:snapToGrid/>
        <w:spacing w:after="0" w:line="240" w:lineRule="auto"/>
        <w:ind w:left="851" w:firstLine="0"/>
        <w:rPr>
          <w:b/>
          <w:bCs/>
        </w:rPr>
      </w:pPr>
      <w:r w:rsidRPr="00C168AA">
        <w:rPr>
          <w:bCs/>
        </w:rPr>
        <w:t>Home States should adopt measures to address current harm and foreseeable climate-related risks to children’s rights posed by business enterprises that have transboundary effects when there is a reasonable link between the State and the conduct concerned and should provide effective remedies for infringements.</w:t>
      </w:r>
      <w:r w:rsidRPr="00CC25B8">
        <w:rPr>
          <w:rStyle w:val="FootnoteReference"/>
        </w:rPr>
        <w:footnoteReference w:id="8"/>
      </w:r>
      <w:r w:rsidRPr="00C168AA">
        <w:rPr>
          <w:bCs/>
        </w:rPr>
        <w:t xml:space="preserve"> States should cooperate to ensure that business enterprises operating transnationally comply with applicable environmental standards aimed at protecting children’s rights from climate-related harm. Home States should provide international assistance and cooperation with investigations</w:t>
      </w:r>
      <w:r w:rsidR="003F3018">
        <w:rPr>
          <w:bCs/>
        </w:rPr>
        <w:t>,</w:t>
      </w:r>
      <w:r w:rsidRPr="00C168AA">
        <w:rPr>
          <w:bCs/>
        </w:rPr>
        <w:t xml:space="preserve"> </w:t>
      </w:r>
      <w:r w:rsidR="003F3018" w:rsidRPr="00762DDD">
        <w:rPr>
          <w:color w:val="FF0000"/>
          <w:highlight w:val="yellow"/>
        </w:rPr>
        <w:t>judicial and other criminal, civil or administrative proceedings</w:t>
      </w:r>
      <w:r w:rsidR="003F3018" w:rsidRPr="00C168AA">
        <w:rPr>
          <w:bCs/>
        </w:rPr>
        <w:t xml:space="preserve"> </w:t>
      </w:r>
      <w:r w:rsidRPr="00C168AA">
        <w:rPr>
          <w:bCs/>
        </w:rPr>
        <w:t>and enforcement of proceedings in other States.</w:t>
      </w:r>
      <w:r w:rsidRPr="00CC25B8">
        <w:rPr>
          <w:rStyle w:val="FootnoteReference"/>
        </w:rPr>
        <w:footnoteReference w:id="9"/>
      </w:r>
      <w:r w:rsidR="009031AA" w:rsidRPr="00C168AA">
        <w:rPr>
          <w:bCs/>
        </w:rPr>
        <w:t xml:space="preserve"> </w:t>
      </w:r>
      <w:r w:rsidR="009031AA" w:rsidRPr="00C168AA">
        <w:rPr>
          <w:bCs/>
          <w:color w:val="FF0000"/>
          <w:highlight w:val="yellow"/>
        </w:rPr>
        <w:t xml:space="preserve">This should include accepting </w:t>
      </w:r>
      <w:r w:rsidR="005B27E0">
        <w:rPr>
          <w:bCs/>
          <w:color w:val="FF0000"/>
          <w:highlight w:val="yellow"/>
        </w:rPr>
        <w:t>‘</w:t>
      </w:r>
      <w:r w:rsidR="009031AA" w:rsidRPr="00C168AA">
        <w:rPr>
          <w:bCs/>
          <w:color w:val="FF0000"/>
          <w:highlight w:val="yellow"/>
        </w:rPr>
        <w:t>adjudicative jurisdiction against legal persons conducting business activities of a transnational character, including through their business relationships, if they are domiciled in the forum state</w:t>
      </w:r>
      <w:r w:rsidR="005B27E0">
        <w:rPr>
          <w:bCs/>
          <w:color w:val="FF0000"/>
          <w:highlight w:val="yellow"/>
        </w:rPr>
        <w:t>’</w:t>
      </w:r>
      <w:r w:rsidR="00571FED" w:rsidRPr="00C168AA">
        <w:rPr>
          <w:bCs/>
          <w:color w:val="FF0000"/>
          <w:highlight w:val="yellow"/>
        </w:rPr>
        <w:t>.</w:t>
      </w:r>
      <w:r w:rsidR="00571FED">
        <w:rPr>
          <w:rStyle w:val="FootnoteReference"/>
          <w:bCs/>
          <w:color w:val="FF0000"/>
          <w:highlight w:val="yellow"/>
        </w:rPr>
        <w:footnoteReference w:id="10"/>
      </w:r>
      <w:r w:rsidR="009031AA" w:rsidRPr="00C168AA">
        <w:rPr>
          <w:bCs/>
          <w:color w:val="FF0000"/>
          <w:highlight w:val="yellow"/>
        </w:rPr>
        <w:t xml:space="preserve"> </w:t>
      </w:r>
    </w:p>
    <w:p w14:paraId="6037CD63" w14:textId="57CF45F3" w:rsidR="000F5BFA" w:rsidRDefault="000F5BFA" w:rsidP="000F5BFA">
      <w:pPr>
        <w:pStyle w:val="SingleTxtG"/>
        <w:tabs>
          <w:tab w:val="clear" w:pos="1701"/>
          <w:tab w:val="clear" w:pos="2268"/>
          <w:tab w:val="clear" w:pos="2835"/>
        </w:tabs>
        <w:suppressAutoHyphens w:val="0"/>
        <w:kinsoku/>
        <w:overflowPunct/>
        <w:autoSpaceDE/>
        <w:autoSpaceDN/>
        <w:adjustRightInd/>
        <w:snapToGrid/>
        <w:spacing w:after="0" w:line="240" w:lineRule="auto"/>
        <w:rPr>
          <w:b/>
          <w:bCs/>
        </w:rPr>
      </w:pPr>
    </w:p>
    <w:p w14:paraId="45BB6633" w14:textId="414C9416" w:rsidR="000F5BFA" w:rsidRDefault="000F5BFA" w:rsidP="000F5BFA">
      <w:pPr>
        <w:pStyle w:val="SingleTxtG"/>
        <w:tabs>
          <w:tab w:val="clear" w:pos="1701"/>
          <w:tab w:val="clear" w:pos="2268"/>
          <w:tab w:val="clear" w:pos="2835"/>
        </w:tabs>
        <w:suppressAutoHyphens w:val="0"/>
        <w:kinsoku/>
        <w:overflowPunct/>
        <w:autoSpaceDE/>
        <w:autoSpaceDN/>
        <w:adjustRightInd/>
        <w:snapToGrid/>
        <w:spacing w:after="0" w:line="240" w:lineRule="auto"/>
        <w:rPr>
          <w:b/>
          <w:bCs/>
        </w:rPr>
      </w:pPr>
    </w:p>
    <w:p w14:paraId="5783AE52" w14:textId="18886D69" w:rsidR="000F5BFA" w:rsidRDefault="000F5BFA" w:rsidP="000F5BFA">
      <w:pPr>
        <w:pStyle w:val="SingleTxtG"/>
        <w:tabs>
          <w:tab w:val="clear" w:pos="1701"/>
          <w:tab w:val="clear" w:pos="2268"/>
          <w:tab w:val="clear" w:pos="2835"/>
        </w:tabs>
        <w:suppressAutoHyphens w:val="0"/>
        <w:kinsoku/>
        <w:overflowPunct/>
        <w:autoSpaceDE/>
        <w:autoSpaceDN/>
        <w:adjustRightInd/>
        <w:snapToGrid/>
        <w:spacing w:after="0" w:line="240" w:lineRule="auto"/>
        <w:ind w:left="0"/>
        <w:rPr>
          <w:b/>
          <w:bCs/>
        </w:rPr>
      </w:pPr>
    </w:p>
    <w:p w14:paraId="44DA2624" w14:textId="0619B821" w:rsidR="000F5BFA" w:rsidRDefault="000F5BFA" w:rsidP="000F5BFA">
      <w:pPr>
        <w:pStyle w:val="SingleTxtG"/>
        <w:tabs>
          <w:tab w:val="clear" w:pos="1701"/>
          <w:tab w:val="clear" w:pos="2268"/>
          <w:tab w:val="clear" w:pos="2835"/>
        </w:tabs>
        <w:suppressAutoHyphens w:val="0"/>
        <w:kinsoku/>
        <w:overflowPunct/>
        <w:autoSpaceDE/>
        <w:autoSpaceDN/>
        <w:adjustRightInd/>
        <w:snapToGrid/>
        <w:spacing w:after="0" w:line="240" w:lineRule="auto"/>
        <w:ind w:left="0"/>
        <w:rPr>
          <w:b/>
          <w:bCs/>
        </w:rPr>
      </w:pPr>
    </w:p>
    <w:p w14:paraId="23B97347" w14:textId="1C88217E" w:rsidR="000F5BFA" w:rsidRDefault="000F5BFA" w:rsidP="000F5BFA">
      <w:pPr>
        <w:pStyle w:val="SingleTxtG"/>
        <w:tabs>
          <w:tab w:val="clear" w:pos="1701"/>
          <w:tab w:val="clear" w:pos="2268"/>
          <w:tab w:val="clear" w:pos="2835"/>
        </w:tabs>
        <w:suppressAutoHyphens w:val="0"/>
        <w:kinsoku/>
        <w:overflowPunct/>
        <w:autoSpaceDE/>
        <w:autoSpaceDN/>
        <w:adjustRightInd/>
        <w:snapToGrid/>
        <w:spacing w:after="0" w:line="240" w:lineRule="auto"/>
        <w:ind w:left="0"/>
        <w:rPr>
          <w:b/>
          <w:bCs/>
        </w:rPr>
      </w:pPr>
    </w:p>
    <w:p w14:paraId="2D79A92E" w14:textId="2F5C0B59" w:rsidR="000F5BFA" w:rsidRDefault="000F5BFA" w:rsidP="000F5BFA">
      <w:pPr>
        <w:pStyle w:val="SingleTxtG"/>
        <w:tabs>
          <w:tab w:val="clear" w:pos="1701"/>
          <w:tab w:val="clear" w:pos="2268"/>
          <w:tab w:val="clear" w:pos="2835"/>
        </w:tabs>
        <w:suppressAutoHyphens w:val="0"/>
        <w:kinsoku/>
        <w:overflowPunct/>
        <w:autoSpaceDE/>
        <w:autoSpaceDN/>
        <w:adjustRightInd/>
        <w:snapToGrid/>
        <w:spacing w:after="0" w:line="240" w:lineRule="auto"/>
        <w:ind w:left="0"/>
        <w:rPr>
          <w:b/>
          <w:bCs/>
        </w:rPr>
      </w:pPr>
    </w:p>
    <w:p w14:paraId="792C33AA" w14:textId="331FFBD8" w:rsidR="000F5BFA" w:rsidRPr="006E7381" w:rsidRDefault="000F5BFA" w:rsidP="006E7381">
      <w:pPr>
        <w:pStyle w:val="SingleTxtG"/>
        <w:tabs>
          <w:tab w:val="clear" w:pos="1701"/>
          <w:tab w:val="clear" w:pos="2268"/>
          <w:tab w:val="clear" w:pos="2835"/>
          <w:tab w:val="left" w:pos="7230"/>
        </w:tabs>
        <w:suppressAutoHyphens w:val="0"/>
        <w:kinsoku/>
        <w:overflowPunct/>
        <w:autoSpaceDE/>
        <w:autoSpaceDN/>
        <w:adjustRightInd/>
        <w:snapToGrid/>
        <w:spacing w:after="0" w:line="240" w:lineRule="auto"/>
        <w:ind w:left="0" w:right="120"/>
        <w:rPr>
          <w:sz w:val="22"/>
          <w:szCs w:val="22"/>
        </w:rPr>
      </w:pPr>
      <w:r w:rsidRPr="006E7381">
        <w:rPr>
          <w:sz w:val="22"/>
          <w:szCs w:val="22"/>
        </w:rPr>
        <w:t xml:space="preserve">We hope </w:t>
      </w:r>
      <w:r w:rsidR="006E7381">
        <w:rPr>
          <w:sz w:val="22"/>
          <w:szCs w:val="22"/>
        </w:rPr>
        <w:t>the Committee</w:t>
      </w:r>
      <w:r w:rsidR="00C9739B" w:rsidRPr="006E7381">
        <w:rPr>
          <w:sz w:val="22"/>
          <w:szCs w:val="22"/>
        </w:rPr>
        <w:t xml:space="preserve"> find</w:t>
      </w:r>
      <w:r w:rsidR="006E7381">
        <w:rPr>
          <w:sz w:val="22"/>
          <w:szCs w:val="22"/>
        </w:rPr>
        <w:t>s</w:t>
      </w:r>
      <w:r w:rsidR="00C9739B" w:rsidRPr="006E7381">
        <w:rPr>
          <w:sz w:val="22"/>
          <w:szCs w:val="22"/>
        </w:rPr>
        <w:t xml:space="preserve"> </w:t>
      </w:r>
      <w:r w:rsidRPr="006E7381">
        <w:rPr>
          <w:sz w:val="22"/>
          <w:szCs w:val="22"/>
        </w:rPr>
        <w:t>our co</w:t>
      </w:r>
      <w:r w:rsidR="00FF1300">
        <w:rPr>
          <w:sz w:val="22"/>
          <w:szCs w:val="22"/>
        </w:rPr>
        <w:t>ntribution</w:t>
      </w:r>
      <w:r w:rsidRPr="006E7381">
        <w:rPr>
          <w:sz w:val="22"/>
          <w:szCs w:val="22"/>
        </w:rPr>
        <w:t xml:space="preserve"> </w:t>
      </w:r>
      <w:r w:rsidR="00C9739B" w:rsidRPr="006E7381">
        <w:rPr>
          <w:sz w:val="22"/>
          <w:szCs w:val="22"/>
        </w:rPr>
        <w:t xml:space="preserve">useful and </w:t>
      </w:r>
      <w:r w:rsidR="00FF1300">
        <w:rPr>
          <w:sz w:val="22"/>
          <w:szCs w:val="22"/>
        </w:rPr>
        <w:t xml:space="preserve">our comments </w:t>
      </w:r>
      <w:r w:rsidR="00C9739B" w:rsidRPr="006E7381">
        <w:rPr>
          <w:sz w:val="22"/>
          <w:szCs w:val="22"/>
        </w:rPr>
        <w:t>will be taken into account when finalising the text of the General Comment.</w:t>
      </w:r>
    </w:p>
    <w:p w14:paraId="1F62ADA3" w14:textId="6D0D62A9" w:rsidR="000F5BFA" w:rsidRDefault="000F5BFA" w:rsidP="000F5BFA">
      <w:pPr>
        <w:pStyle w:val="SingleTxtG"/>
        <w:tabs>
          <w:tab w:val="clear" w:pos="1701"/>
          <w:tab w:val="clear" w:pos="2268"/>
          <w:tab w:val="clear" w:pos="2835"/>
        </w:tabs>
        <w:suppressAutoHyphens w:val="0"/>
        <w:kinsoku/>
        <w:overflowPunct/>
        <w:autoSpaceDE/>
        <w:autoSpaceDN/>
        <w:adjustRightInd/>
        <w:snapToGrid/>
        <w:spacing w:after="0" w:line="240" w:lineRule="auto"/>
        <w:ind w:left="0"/>
        <w:rPr>
          <w:b/>
          <w:bCs/>
        </w:rPr>
      </w:pPr>
    </w:p>
    <w:p w14:paraId="358EDB64" w14:textId="5CBFB081" w:rsidR="00FF1300" w:rsidRPr="00FF1300" w:rsidRDefault="00FF1300" w:rsidP="000F5BFA">
      <w:pPr>
        <w:pStyle w:val="SingleTxtG"/>
        <w:tabs>
          <w:tab w:val="clear" w:pos="1701"/>
          <w:tab w:val="clear" w:pos="2268"/>
          <w:tab w:val="clear" w:pos="2835"/>
        </w:tabs>
        <w:suppressAutoHyphens w:val="0"/>
        <w:kinsoku/>
        <w:overflowPunct/>
        <w:autoSpaceDE/>
        <w:autoSpaceDN/>
        <w:adjustRightInd/>
        <w:snapToGrid/>
        <w:spacing w:after="0" w:line="240" w:lineRule="auto"/>
        <w:ind w:left="0"/>
        <w:rPr>
          <w:sz w:val="24"/>
          <w:szCs w:val="24"/>
        </w:rPr>
      </w:pPr>
      <w:r w:rsidRPr="00FF1300">
        <w:rPr>
          <w:sz w:val="24"/>
          <w:szCs w:val="24"/>
        </w:rPr>
        <w:t>Kind regards,</w:t>
      </w:r>
    </w:p>
    <w:p w14:paraId="40E32645" w14:textId="77777777" w:rsidR="00FF1300" w:rsidRPr="00FF1300" w:rsidRDefault="00FF1300" w:rsidP="000F5BFA">
      <w:pPr>
        <w:pStyle w:val="SingleTxtG"/>
        <w:tabs>
          <w:tab w:val="clear" w:pos="1701"/>
          <w:tab w:val="clear" w:pos="2268"/>
          <w:tab w:val="clear" w:pos="2835"/>
        </w:tabs>
        <w:suppressAutoHyphens w:val="0"/>
        <w:kinsoku/>
        <w:overflowPunct/>
        <w:autoSpaceDE/>
        <w:autoSpaceDN/>
        <w:adjustRightInd/>
        <w:snapToGrid/>
        <w:spacing w:after="0" w:line="240" w:lineRule="auto"/>
        <w:ind w:left="0"/>
        <w:rPr>
          <w:b/>
          <w:bCs/>
          <w:sz w:val="24"/>
          <w:szCs w:val="24"/>
        </w:rPr>
      </w:pPr>
    </w:p>
    <w:p w14:paraId="0EBBA8C4" w14:textId="5046173B" w:rsidR="000F5BFA" w:rsidRDefault="000F5BFA" w:rsidP="000F5BFA">
      <w:pPr>
        <w:pStyle w:val="SingleTxtG"/>
        <w:tabs>
          <w:tab w:val="clear" w:pos="1701"/>
          <w:tab w:val="clear" w:pos="2268"/>
          <w:tab w:val="clear" w:pos="2835"/>
        </w:tabs>
        <w:suppressAutoHyphens w:val="0"/>
        <w:kinsoku/>
        <w:overflowPunct/>
        <w:autoSpaceDE/>
        <w:autoSpaceDN/>
        <w:adjustRightInd/>
        <w:snapToGrid/>
        <w:spacing w:after="0" w:line="240" w:lineRule="auto"/>
        <w:ind w:left="0"/>
        <w:rPr>
          <w:b/>
          <w:bCs/>
        </w:rPr>
      </w:pPr>
    </w:p>
    <w:p w14:paraId="1BBCEE86" w14:textId="77777777" w:rsidR="000F5BFA" w:rsidRPr="00074B74" w:rsidRDefault="000F5BFA" w:rsidP="000F5BFA">
      <w:pPr>
        <w:spacing w:after="0" w:line="240" w:lineRule="auto"/>
        <w:ind w:left="142"/>
        <w:rPr>
          <w:rFonts w:ascii="Calibri" w:eastAsiaTheme="minorEastAsia" w:hAnsi="Calibri"/>
          <w:b/>
          <w:bCs/>
          <w:noProof/>
          <w:lang w:val="en-US" w:eastAsia="nl-BE"/>
        </w:rPr>
      </w:pPr>
      <w:r w:rsidRPr="00C748F7">
        <w:rPr>
          <w:rFonts w:eastAsiaTheme="minorEastAsia"/>
          <w:b/>
          <w:bCs/>
          <w:noProof/>
          <w:lang w:val="en-US" w:eastAsia="nl-BE"/>
        </w:rPr>
        <w:t xml:space="preserve">Dr. </w:t>
      </w:r>
      <w:r w:rsidRPr="00074B74">
        <w:rPr>
          <w:rFonts w:eastAsiaTheme="minorEastAsia"/>
          <w:b/>
          <w:bCs/>
          <w:noProof/>
          <w:lang w:val="en-US" w:eastAsia="nl-BE"/>
        </w:rPr>
        <w:t xml:space="preserve">Kata Dozsa </w:t>
      </w:r>
      <w:r w:rsidRPr="00C748F7">
        <w:rPr>
          <w:rFonts w:eastAsiaTheme="minorEastAsia"/>
          <w:b/>
          <w:bCs/>
          <w:noProof/>
          <w:color w:val="2F5597"/>
          <w:bdr w:val="none" w:sz="0" w:space="0" w:color="auto" w:frame="1"/>
          <w:lang w:val="en-US" w:eastAsia="nl-BE"/>
        </w:rPr>
        <w:t>(</w:t>
      </w:r>
      <w:hyperlink r:id="rId11" w:history="1">
        <w:r w:rsidRPr="00C748F7">
          <w:rPr>
            <w:rStyle w:val="Hyperlink"/>
            <w:rFonts w:eastAsiaTheme="minorEastAsia"/>
            <w:b/>
            <w:bCs/>
            <w:noProof/>
            <w:color w:val="2F5597"/>
            <w:bdr w:val="none" w:sz="0" w:space="0" w:color="auto" w:frame="1"/>
            <w:lang w:val="en-US" w:eastAsia="nl-BE"/>
          </w:rPr>
          <w:t>she/her</w:t>
        </w:r>
      </w:hyperlink>
      <w:r w:rsidRPr="00C748F7">
        <w:rPr>
          <w:rFonts w:eastAsiaTheme="minorEastAsia"/>
          <w:b/>
          <w:bCs/>
          <w:noProof/>
          <w:color w:val="2F5597"/>
          <w:bdr w:val="none" w:sz="0" w:space="0" w:color="auto" w:frame="1"/>
          <w:lang w:val="en-US" w:eastAsia="nl-BE"/>
        </w:rPr>
        <w:t>)</w:t>
      </w:r>
    </w:p>
    <w:p w14:paraId="3A1747AC" w14:textId="77777777" w:rsidR="000F5BFA" w:rsidRDefault="000F5BFA" w:rsidP="000F5BFA">
      <w:pPr>
        <w:spacing w:after="0" w:line="240" w:lineRule="auto"/>
        <w:ind w:left="142"/>
        <w:rPr>
          <w:rFonts w:eastAsiaTheme="minorEastAsia"/>
          <w:noProof/>
          <w:lang w:val="en-US" w:eastAsia="nl-BE"/>
        </w:rPr>
      </w:pPr>
      <w:r>
        <w:rPr>
          <w:rFonts w:eastAsiaTheme="minorEastAsia"/>
          <w:noProof/>
          <w:lang w:val="en-US" w:eastAsia="nl-BE"/>
        </w:rPr>
        <w:t>Post-doctoral research associate</w:t>
      </w:r>
    </w:p>
    <w:p w14:paraId="2A2565C8" w14:textId="77777777" w:rsidR="000F5BFA" w:rsidRDefault="000F5BFA" w:rsidP="000F5BFA">
      <w:pPr>
        <w:spacing w:after="0" w:line="240" w:lineRule="auto"/>
        <w:ind w:left="142"/>
        <w:rPr>
          <w:rFonts w:eastAsiaTheme="minorEastAsia"/>
          <w:noProof/>
          <w:lang w:eastAsia="nl-BE"/>
        </w:rPr>
      </w:pPr>
      <w:r>
        <w:rPr>
          <w:noProof/>
          <w:color w:val="000000"/>
          <w:lang w:val="en-GB" w:eastAsia="ko-KR"/>
        </w:rPr>
        <w:drawing>
          <wp:inline distT="0" distB="0" distL="0" distR="0" wp14:anchorId="0873F107" wp14:editId="62F257A8">
            <wp:extent cx="1647825" cy="419100"/>
            <wp:effectExtent l="0" t="0" r="9525"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47825" cy="41910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123"/>
        <w:gridCol w:w="7919"/>
      </w:tblGrid>
      <w:tr w:rsidR="000F5BFA" w:rsidRPr="00FF1300" w14:paraId="4A1AFD4B" w14:textId="77777777" w:rsidTr="00746715">
        <w:trPr>
          <w:trHeight w:val="176"/>
        </w:trPr>
        <w:tc>
          <w:tcPr>
            <w:tcW w:w="123" w:type="dxa"/>
            <w:tcBorders>
              <w:top w:val="nil"/>
              <w:left w:val="single" w:sz="8" w:space="0" w:color="FFFFFF"/>
              <w:bottom w:val="single" w:sz="8" w:space="0" w:color="FFFFFF"/>
              <w:right w:val="single" w:sz="8" w:space="0" w:color="FFFFFF"/>
            </w:tcBorders>
            <w:hideMark/>
          </w:tcPr>
          <w:p w14:paraId="77BE6A64" w14:textId="77777777" w:rsidR="000F5BFA" w:rsidRDefault="000F5BFA" w:rsidP="00746715">
            <w:pPr>
              <w:ind w:left="142"/>
              <w:rPr>
                <w:rFonts w:eastAsiaTheme="minorEastAsia"/>
                <w:noProof/>
                <w:lang w:eastAsia="nl-BE"/>
              </w:rPr>
            </w:pPr>
          </w:p>
        </w:tc>
        <w:tc>
          <w:tcPr>
            <w:tcW w:w="7919" w:type="dxa"/>
            <w:tcBorders>
              <w:top w:val="nil"/>
              <w:left w:val="nil"/>
              <w:bottom w:val="single" w:sz="8" w:space="0" w:color="FFFFFF"/>
              <w:right w:val="single" w:sz="8" w:space="0" w:color="FFFFFF"/>
            </w:tcBorders>
            <w:hideMark/>
          </w:tcPr>
          <w:p w14:paraId="5F047C22" w14:textId="4189049D" w:rsidR="000F5BFA" w:rsidRPr="00FF1300" w:rsidRDefault="0002589F" w:rsidP="00746715">
            <w:pPr>
              <w:rPr>
                <w:rFonts w:eastAsiaTheme="minorEastAsia"/>
                <w:noProof/>
                <w:color w:val="0070C0"/>
                <w:sz w:val="20"/>
                <w:szCs w:val="20"/>
                <w:lang w:val="fr-FR" w:eastAsia="nl-BE"/>
              </w:rPr>
            </w:pPr>
            <w:hyperlink r:id="rId14" w:history="1">
              <w:r w:rsidR="000F5BFA" w:rsidRPr="00FF1300">
                <w:rPr>
                  <w:rStyle w:val="Hyperlink"/>
                  <w:rFonts w:eastAsiaTheme="minorEastAsia"/>
                  <w:noProof/>
                  <w:sz w:val="20"/>
                  <w:szCs w:val="20"/>
                  <w:lang w:val="fr-FR" w:eastAsia="nl-BE"/>
                </w:rPr>
                <w:t>kata.dozsa@uantwerpen.be</w:t>
              </w:r>
            </w:hyperlink>
            <w:r w:rsidR="000F5BFA" w:rsidRPr="00FF1300">
              <w:rPr>
                <w:rFonts w:eastAsiaTheme="minorEastAsia"/>
                <w:noProof/>
                <w:color w:val="000000"/>
                <w:sz w:val="20"/>
                <w:szCs w:val="20"/>
                <w:lang w:val="fr-FR" w:eastAsia="nl-BE"/>
              </w:rPr>
              <w:t xml:space="preserve">  </w:t>
            </w:r>
          </w:p>
        </w:tc>
      </w:tr>
    </w:tbl>
    <w:p w14:paraId="2BF61CD5" w14:textId="77777777" w:rsidR="000F5BFA" w:rsidRPr="00FF1300" w:rsidRDefault="000F5BFA" w:rsidP="000F5BFA">
      <w:pPr>
        <w:pStyle w:val="SingleTxtG"/>
        <w:tabs>
          <w:tab w:val="clear" w:pos="1701"/>
          <w:tab w:val="clear" w:pos="2268"/>
          <w:tab w:val="clear" w:pos="2835"/>
        </w:tabs>
        <w:suppressAutoHyphens w:val="0"/>
        <w:kinsoku/>
        <w:overflowPunct/>
        <w:autoSpaceDE/>
        <w:autoSpaceDN/>
        <w:adjustRightInd/>
        <w:snapToGrid/>
        <w:spacing w:after="0" w:line="240" w:lineRule="auto"/>
        <w:ind w:left="0"/>
        <w:rPr>
          <w:b/>
          <w:bCs/>
          <w:lang w:val="fr-FR"/>
        </w:rPr>
      </w:pPr>
    </w:p>
    <w:p w14:paraId="776CA808" w14:textId="77777777" w:rsidR="007F70DF" w:rsidRPr="00FF1300" w:rsidRDefault="007F70DF" w:rsidP="007F70DF">
      <w:pPr>
        <w:spacing w:after="0" w:line="240" w:lineRule="auto"/>
        <w:rPr>
          <w:rFonts w:ascii="Times New Roman" w:hAnsi="Times New Roman" w:cs="Times New Roman"/>
          <w:b/>
          <w:bCs/>
          <w:lang w:val="fr-FR"/>
        </w:rPr>
      </w:pPr>
    </w:p>
    <w:sectPr w:rsidR="007F70DF" w:rsidRPr="00FF1300" w:rsidSect="00CC1FA0">
      <w:headerReference w:type="default" r:id="rId15"/>
      <w:footerReference w:type="default" r:id="rId16"/>
      <w:pgSz w:w="11906" w:h="16838"/>
      <w:pgMar w:top="1440" w:right="18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F94C4" w14:textId="77777777" w:rsidR="0028764C" w:rsidRDefault="0028764C" w:rsidP="0035065B">
      <w:pPr>
        <w:spacing w:after="0" w:line="240" w:lineRule="auto"/>
      </w:pPr>
      <w:r>
        <w:separator/>
      </w:r>
    </w:p>
  </w:endnote>
  <w:endnote w:type="continuationSeparator" w:id="0">
    <w:p w14:paraId="3736B7E0" w14:textId="77777777" w:rsidR="0028764C" w:rsidRDefault="0028764C" w:rsidP="0035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33072177"/>
      <w:docPartObj>
        <w:docPartGallery w:val="Page Numbers (Bottom of Page)"/>
        <w:docPartUnique/>
      </w:docPartObj>
    </w:sdtPr>
    <w:sdtEndPr>
      <w:rPr>
        <w:noProof/>
      </w:rPr>
    </w:sdtEndPr>
    <w:sdtContent>
      <w:p w14:paraId="291AB906" w14:textId="2C5FA491" w:rsidR="00850DF6" w:rsidRPr="00850DF6" w:rsidRDefault="00850DF6">
        <w:pPr>
          <w:pStyle w:val="Footer"/>
          <w:jc w:val="right"/>
          <w:rPr>
            <w:rFonts w:ascii="Times New Roman" w:hAnsi="Times New Roman" w:cs="Times New Roman"/>
          </w:rPr>
        </w:pPr>
        <w:r w:rsidRPr="00850DF6">
          <w:rPr>
            <w:rFonts w:ascii="Times New Roman" w:hAnsi="Times New Roman" w:cs="Times New Roman"/>
          </w:rPr>
          <w:fldChar w:fldCharType="begin"/>
        </w:r>
        <w:r w:rsidRPr="00850DF6">
          <w:rPr>
            <w:rFonts w:ascii="Times New Roman" w:hAnsi="Times New Roman" w:cs="Times New Roman"/>
          </w:rPr>
          <w:instrText xml:space="preserve"> PAGE   \* MERGEFORMAT </w:instrText>
        </w:r>
        <w:r w:rsidRPr="00850DF6">
          <w:rPr>
            <w:rFonts w:ascii="Times New Roman" w:hAnsi="Times New Roman" w:cs="Times New Roman"/>
          </w:rPr>
          <w:fldChar w:fldCharType="separate"/>
        </w:r>
        <w:r w:rsidR="0002589F">
          <w:rPr>
            <w:rFonts w:ascii="Times New Roman" w:hAnsi="Times New Roman" w:cs="Times New Roman"/>
            <w:noProof/>
          </w:rPr>
          <w:t>2</w:t>
        </w:r>
        <w:r w:rsidRPr="00850DF6">
          <w:rPr>
            <w:rFonts w:ascii="Times New Roman" w:hAnsi="Times New Roman" w:cs="Times New Roman"/>
            <w:noProof/>
          </w:rPr>
          <w:fldChar w:fldCharType="end"/>
        </w:r>
      </w:p>
    </w:sdtContent>
  </w:sdt>
  <w:p w14:paraId="7EAC45FC" w14:textId="77777777" w:rsidR="00850DF6" w:rsidRDefault="00850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8934" w14:textId="77777777" w:rsidR="0028764C" w:rsidRDefault="0028764C" w:rsidP="0035065B">
      <w:pPr>
        <w:spacing w:after="0" w:line="240" w:lineRule="auto"/>
      </w:pPr>
      <w:r>
        <w:separator/>
      </w:r>
    </w:p>
  </w:footnote>
  <w:footnote w:type="continuationSeparator" w:id="0">
    <w:p w14:paraId="15CE2F4E" w14:textId="77777777" w:rsidR="0028764C" w:rsidRDefault="0028764C" w:rsidP="0035065B">
      <w:pPr>
        <w:spacing w:after="0" w:line="240" w:lineRule="auto"/>
      </w:pPr>
      <w:r>
        <w:continuationSeparator/>
      </w:r>
    </w:p>
  </w:footnote>
  <w:footnote w:id="1">
    <w:p w14:paraId="2AD1ECC4" w14:textId="276D0BEC" w:rsidR="00582181" w:rsidRPr="00582181" w:rsidRDefault="00582181" w:rsidP="00571FED">
      <w:pPr>
        <w:pStyle w:val="FootnoteText"/>
        <w:rPr>
          <w:lang w:val="en-US"/>
        </w:rPr>
      </w:pPr>
      <w:r w:rsidRPr="00582181">
        <w:rPr>
          <w:rStyle w:val="FootnoteReference"/>
          <w:rFonts w:ascii="Times New Roman" w:hAnsi="Times New Roman" w:cs="Times New Roman"/>
        </w:rPr>
        <w:footnoteRef/>
      </w:r>
      <w:r w:rsidRPr="00582181">
        <w:t xml:space="preserve"> “The future of humanity and of our planet lies in our hands. It lies also in the hands of today’s younger generation who will pass the torch to future generations” (para. 53). In United Nations General Assembly. Transforming our World: The 2030 Agenda for Sustainable Development, Resolution 70/1, Adopted 25 September 2015; United Nations: New York, NY, USA, 2015</w:t>
      </w:r>
    </w:p>
  </w:footnote>
  <w:footnote w:id="2">
    <w:p w14:paraId="1B48AAB2" w14:textId="77777777" w:rsidR="00F13960" w:rsidRPr="0002589F" w:rsidRDefault="00F13960" w:rsidP="00571FED">
      <w:pPr>
        <w:pStyle w:val="FOOTNOTE"/>
        <w:rPr>
          <w:lang w:val="es-ES"/>
        </w:rPr>
      </w:pPr>
      <w:r w:rsidRPr="0056225D">
        <w:rPr>
          <w:rStyle w:val="FootnoteReference"/>
          <w:rFonts w:ascii="Times New Roman" w:hAnsi="Times New Roman" w:cs="Times New Roman"/>
        </w:rPr>
        <w:footnoteRef/>
      </w:r>
      <w:r w:rsidRPr="0056225D">
        <w:rPr>
          <w:rStyle w:val="FootnoteReference"/>
          <w:rFonts w:ascii="Times New Roman" w:hAnsi="Times New Roman" w:cs="Times New Roman"/>
        </w:rPr>
        <w:t xml:space="preserve"> </w:t>
      </w:r>
      <w:r w:rsidRPr="0056225D">
        <w:rPr>
          <w:rStyle w:val="FOOTNOTEChar"/>
          <w:rFonts w:ascii="Times New Roman" w:hAnsi="Times New Roman"/>
        </w:rPr>
        <w:t>GC No. 26. III.C.</w:t>
      </w:r>
    </w:p>
  </w:footnote>
  <w:footnote w:id="3">
    <w:p w14:paraId="0EA426E5" w14:textId="265162CC" w:rsidR="001C15AE" w:rsidRPr="0056225D" w:rsidRDefault="001C15AE" w:rsidP="00571FED">
      <w:pPr>
        <w:pStyle w:val="FOOTNOTE"/>
      </w:pPr>
      <w:r w:rsidRPr="0056225D">
        <w:tab/>
      </w:r>
      <w:r w:rsidRPr="0056225D">
        <w:rPr>
          <w:rStyle w:val="FootnoteReference"/>
          <w:rFonts w:ascii="Times New Roman" w:hAnsi="Times New Roman" w:cs="Times New Roman"/>
        </w:rPr>
        <w:footnoteRef/>
      </w:r>
      <w:r w:rsidR="0056225D" w:rsidRPr="0002589F">
        <w:rPr>
          <w:lang w:val="es-ES"/>
        </w:rPr>
        <w:t xml:space="preserve">  </w:t>
      </w:r>
      <w:r w:rsidRPr="0056225D">
        <w:t>Ibid., paras. 12-13.</w:t>
      </w:r>
    </w:p>
  </w:footnote>
  <w:footnote w:id="4">
    <w:p w14:paraId="4E9DE8FA" w14:textId="1629A3C3" w:rsidR="00A90FD1" w:rsidRPr="0056225D" w:rsidRDefault="00A90FD1" w:rsidP="00571FED">
      <w:pPr>
        <w:pStyle w:val="FOOTNOTE"/>
      </w:pPr>
      <w:r w:rsidRPr="0056225D">
        <w:tab/>
      </w:r>
      <w:r w:rsidRPr="0056225D">
        <w:rPr>
          <w:rStyle w:val="FootnoteReference"/>
          <w:rFonts w:ascii="Times New Roman" w:hAnsi="Times New Roman" w:cs="Times New Roman"/>
        </w:rPr>
        <w:footnoteRef/>
      </w:r>
      <w:r w:rsidR="003721D8">
        <w:rPr>
          <w:lang w:val="en-US"/>
        </w:rPr>
        <w:t xml:space="preserve"> </w:t>
      </w:r>
      <w:r w:rsidRPr="0056225D">
        <w:t>CRC/C/GC/25, paras. 16, 18.</w:t>
      </w:r>
    </w:p>
  </w:footnote>
  <w:footnote w:id="5">
    <w:p w14:paraId="78CDF1DC" w14:textId="4FA9345B" w:rsidR="004F6233" w:rsidRPr="00C13570" w:rsidRDefault="004B100D" w:rsidP="00541269">
      <w:pPr>
        <w:pStyle w:val="CVNormal-FirstLine"/>
        <w:spacing w:before="120" w:after="120"/>
        <w:ind w:left="426"/>
        <w:jc w:val="both"/>
        <w:rPr>
          <w:rFonts w:asciiTheme="minorHAnsi" w:hAnsiTheme="minorHAnsi" w:cstheme="minorHAnsi"/>
          <w:sz w:val="24"/>
          <w:szCs w:val="24"/>
          <w:lang w:val="en-US" w:eastAsia="x-none"/>
        </w:rPr>
      </w:pPr>
      <w:r>
        <w:rPr>
          <w:rStyle w:val="FootnoteReference"/>
        </w:rPr>
        <w:footnoteRef/>
      </w:r>
      <w:r>
        <w:t xml:space="preserve"> </w:t>
      </w:r>
      <w:r w:rsidRPr="004F6233">
        <w:rPr>
          <w:rFonts w:ascii="Times New Roman" w:hAnsi="Times New Roman"/>
          <w:szCs w:val="22"/>
          <w:lang w:val="x-none" w:eastAsia="x-none"/>
        </w:rPr>
        <w:t xml:space="preserve">See </w:t>
      </w:r>
      <w:r w:rsidR="004F6233" w:rsidRPr="004F6233">
        <w:rPr>
          <w:rFonts w:ascii="Times New Roman" w:hAnsi="Times New Roman"/>
          <w:szCs w:val="22"/>
          <w:lang w:val="x-none" w:eastAsia="x-none"/>
        </w:rPr>
        <w:t xml:space="preserve">Dozsa, K. (2020) ‘The inconvenient truths of the eco-generation - Mapping the Role of Children (and Youth) in the Global Climate Change Governance, in Czech, P., Heschl, L. et al. (eds) European Yearbook on Human Rights 2020. Available at: </w:t>
      </w:r>
      <w:hyperlink r:id="rId1" w:history="1">
        <w:r w:rsidR="004F6233" w:rsidRPr="004F6233">
          <w:rPr>
            <w:rFonts w:ascii="Times New Roman" w:hAnsi="Times New Roman"/>
            <w:szCs w:val="22"/>
            <w:lang w:val="x-none" w:eastAsia="x-none"/>
          </w:rPr>
          <w:t>https://intersentia.com/en/european-yearbook-on-human-rights-2020-45635.html</w:t>
        </w:r>
      </w:hyperlink>
    </w:p>
    <w:p w14:paraId="6EFAB5FC" w14:textId="0FC47C79" w:rsidR="004B100D" w:rsidRPr="004B100D" w:rsidRDefault="004B100D" w:rsidP="00571FED">
      <w:pPr>
        <w:pStyle w:val="FootnoteText"/>
      </w:pPr>
    </w:p>
  </w:footnote>
  <w:footnote w:id="6">
    <w:p w14:paraId="460B7780" w14:textId="77777777" w:rsidR="00613E44" w:rsidRPr="00CA5F28" w:rsidRDefault="00613E44" w:rsidP="00571FED">
      <w:pPr>
        <w:pStyle w:val="FOOTNOTE"/>
        <w:rPr>
          <w:rFonts w:ascii="Times New Roman" w:hAnsi="Times New Roman"/>
          <w:lang w:val="en-US"/>
        </w:rPr>
      </w:pPr>
      <w:r w:rsidRPr="00CA5F28">
        <w:rPr>
          <w:rStyle w:val="FootnoteReference"/>
          <w:rFonts w:ascii="Times New Roman" w:hAnsi="Times New Roman" w:cs="Times New Roman"/>
        </w:rPr>
        <w:footnoteRef/>
      </w:r>
      <w:r w:rsidRPr="00CA5F28">
        <w:rPr>
          <w:rFonts w:ascii="Times New Roman" w:hAnsi="Times New Roman"/>
        </w:rPr>
        <w:t xml:space="preserve"> UNECE Convention on Access to Information, Public Participation in Decision-making and Access to Justice in Environmental Matters (Aarhus Convention), 1998.</w:t>
      </w:r>
      <w:r w:rsidRPr="00CA5F28">
        <w:rPr>
          <w:rFonts w:ascii="Times New Roman" w:hAnsi="Times New Roman"/>
          <w:lang w:val="en-US"/>
        </w:rPr>
        <w:t xml:space="preserve"> Art. 2. Access to information.</w:t>
      </w:r>
    </w:p>
  </w:footnote>
  <w:footnote w:id="7">
    <w:p w14:paraId="783B2582" w14:textId="7A49A68B" w:rsidR="00F454BE" w:rsidRPr="008E33B1" w:rsidRDefault="00F454BE" w:rsidP="00C22762">
      <w:pPr>
        <w:pStyle w:val="FootnoteText"/>
        <w:ind w:firstLine="0"/>
        <w:jc w:val="left"/>
        <w:rPr>
          <w:lang w:val="en-US"/>
        </w:rPr>
      </w:pPr>
      <w:r>
        <w:rPr>
          <w:rStyle w:val="FootnoteReference"/>
        </w:rPr>
        <w:footnoteRef/>
      </w:r>
      <w:r w:rsidR="00C22762">
        <w:rPr>
          <w:lang w:val="en-US"/>
        </w:rPr>
        <w:t xml:space="preserve"> </w:t>
      </w:r>
      <w:r w:rsidR="00F05E23">
        <w:rPr>
          <w:lang w:val="en-US"/>
        </w:rPr>
        <w:t xml:space="preserve">The Daft Treaty on Business and human Rights. </w:t>
      </w:r>
      <w:r w:rsidR="00F05E23" w:rsidRPr="00F05E23">
        <w:rPr>
          <w:lang w:val="en-US"/>
        </w:rPr>
        <w:t>https://www.ohchr.org/sites/default/files/Documents/HRBodies/HRCouncil/WGTransCorp/Session6/LBI3rdDRAFT.pdf</w:t>
      </w:r>
    </w:p>
  </w:footnote>
  <w:footnote w:id="8">
    <w:p w14:paraId="044E3B0A" w14:textId="77777777" w:rsidR="00D407F9" w:rsidRPr="00257F2E" w:rsidRDefault="00D407F9" w:rsidP="00571FED">
      <w:pPr>
        <w:pStyle w:val="FootnoteText"/>
        <w:rPr>
          <w:lang w:val="es-ES"/>
        </w:rPr>
      </w:pPr>
      <w:r w:rsidRPr="00390FB6">
        <w:tab/>
      </w:r>
      <w:r w:rsidRPr="00945E55">
        <w:rPr>
          <w:rStyle w:val="FootnoteReference"/>
        </w:rPr>
        <w:footnoteRef/>
      </w:r>
      <w:r w:rsidRPr="00390FB6">
        <w:tab/>
      </w:r>
      <w:r w:rsidRPr="00BC10D5">
        <w:t>CRC/C/GC/16</w:t>
      </w:r>
      <w:r w:rsidRPr="00390FB6">
        <w:t>, para</w:t>
      </w:r>
      <w:r w:rsidRPr="00BC10D5">
        <w:t>.</w:t>
      </w:r>
      <w:r w:rsidRPr="00390FB6">
        <w:t xml:space="preserve"> </w:t>
      </w:r>
      <w:r w:rsidRPr="00257F2E">
        <w:rPr>
          <w:lang w:val="es-ES"/>
        </w:rPr>
        <w:t>38</w:t>
      </w:r>
      <w:r w:rsidRPr="00257F2E">
        <w:rPr>
          <w:highlight w:val="white"/>
          <w:lang w:val="es-ES"/>
        </w:rPr>
        <w:t>.</w:t>
      </w:r>
    </w:p>
  </w:footnote>
  <w:footnote w:id="9">
    <w:p w14:paraId="483B991E" w14:textId="77777777" w:rsidR="00D407F9" w:rsidRPr="00257F2E" w:rsidRDefault="00D407F9" w:rsidP="00571FED">
      <w:pPr>
        <w:pStyle w:val="FootnoteText"/>
      </w:pPr>
      <w:r w:rsidRPr="00257F2E">
        <w:tab/>
      </w:r>
      <w:r w:rsidRPr="00945E55">
        <w:rPr>
          <w:rStyle w:val="FootnoteReference"/>
        </w:rPr>
        <w:footnoteRef/>
      </w:r>
      <w:r w:rsidRPr="00257F2E">
        <w:tab/>
        <w:t>Ibid., para. 44.</w:t>
      </w:r>
    </w:p>
  </w:footnote>
  <w:footnote w:id="10">
    <w:p w14:paraId="309AB6B5" w14:textId="50B46386" w:rsidR="00571FED" w:rsidRPr="00571FED" w:rsidRDefault="00571FED" w:rsidP="00571FED">
      <w:pPr>
        <w:pStyle w:val="FootnoteText"/>
        <w:rPr>
          <w:lang w:val="en-US"/>
        </w:rPr>
      </w:pPr>
      <w:r>
        <w:rPr>
          <w:lang w:val="en-US"/>
        </w:rPr>
        <w:t xml:space="preserve">   </w:t>
      </w:r>
      <w:r>
        <w:rPr>
          <w:rStyle w:val="FootnoteReference"/>
        </w:rPr>
        <w:footnoteRef/>
      </w:r>
      <w:r>
        <w:t xml:space="preserve"> </w:t>
      </w:r>
      <w:r>
        <w:tab/>
      </w:r>
      <w:r w:rsidR="002745EC">
        <w:rPr>
          <w:lang w:val="en-US"/>
        </w:rPr>
        <w:t xml:space="preserve">Art. 12.3 of </w:t>
      </w:r>
      <w:r>
        <w:rPr>
          <w:lang w:val="en-US"/>
        </w:rPr>
        <w:t xml:space="preserve">Third </w:t>
      </w:r>
      <w:r w:rsidR="003E24B1">
        <w:rPr>
          <w:lang w:val="en-US"/>
        </w:rPr>
        <w:t xml:space="preserve">Revised </w:t>
      </w:r>
      <w:r>
        <w:rPr>
          <w:lang w:val="en-US"/>
        </w:rPr>
        <w:t xml:space="preserve">Draft Treaty </w:t>
      </w:r>
      <w:r w:rsidR="003E24B1">
        <w:rPr>
          <w:lang w:val="en-US"/>
        </w:rPr>
        <w:t>on Business and Human Rights</w:t>
      </w:r>
      <w:r w:rsidR="002745EC">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7CC9" w14:textId="77777777" w:rsidR="00C748F7" w:rsidRDefault="00C748F7" w:rsidP="00C748F7">
    <w:pPr>
      <w:spacing w:after="0" w:line="240" w:lineRule="auto"/>
      <w:ind w:left="142"/>
      <w:rPr>
        <w:rFonts w:eastAsiaTheme="minorEastAsia"/>
        <w:noProof/>
        <w:lang w:eastAsia="nl-BE"/>
      </w:rPr>
    </w:pPr>
    <w:r>
      <w:rPr>
        <w:noProof/>
        <w:color w:val="000000"/>
        <w:lang w:val="en-GB" w:eastAsia="ko-KR"/>
      </w:rPr>
      <w:drawing>
        <wp:inline distT="0" distB="0" distL="0" distR="0" wp14:anchorId="54CC8379" wp14:editId="44DC8B4E">
          <wp:extent cx="1647825" cy="419100"/>
          <wp:effectExtent l="0" t="0" r="9525"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7825" cy="41910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124"/>
      <w:gridCol w:w="8022"/>
    </w:tblGrid>
    <w:tr w:rsidR="00C748F7" w:rsidRPr="000F5BFA" w14:paraId="5275FEB8" w14:textId="77777777" w:rsidTr="00FF1300">
      <w:trPr>
        <w:trHeight w:val="157"/>
      </w:trPr>
      <w:tc>
        <w:tcPr>
          <w:tcW w:w="124" w:type="dxa"/>
          <w:tcBorders>
            <w:top w:val="nil"/>
            <w:left w:val="single" w:sz="8" w:space="0" w:color="FFFFFF"/>
            <w:bottom w:val="single" w:sz="8" w:space="0" w:color="FFFFFF"/>
            <w:right w:val="single" w:sz="8" w:space="0" w:color="FFFFFF"/>
          </w:tcBorders>
          <w:hideMark/>
        </w:tcPr>
        <w:p w14:paraId="1898E984" w14:textId="77777777" w:rsidR="00C748F7" w:rsidRDefault="00C748F7" w:rsidP="00C748F7">
          <w:pPr>
            <w:ind w:left="142"/>
            <w:rPr>
              <w:rFonts w:eastAsiaTheme="minorEastAsia"/>
              <w:noProof/>
              <w:lang w:eastAsia="nl-BE"/>
            </w:rPr>
          </w:pPr>
        </w:p>
      </w:tc>
      <w:tc>
        <w:tcPr>
          <w:tcW w:w="8022" w:type="dxa"/>
          <w:tcBorders>
            <w:top w:val="nil"/>
            <w:left w:val="nil"/>
            <w:bottom w:val="single" w:sz="8" w:space="0" w:color="FFFFFF"/>
            <w:right w:val="single" w:sz="8" w:space="0" w:color="FFFFFF"/>
          </w:tcBorders>
          <w:hideMark/>
        </w:tcPr>
        <w:p w14:paraId="3D431B2A" w14:textId="5B7CBA01" w:rsidR="00C748F7" w:rsidRPr="00C748F7" w:rsidRDefault="000F5BFA" w:rsidP="00C748F7">
          <w:pPr>
            <w:rPr>
              <w:rFonts w:eastAsiaTheme="minorEastAsia"/>
              <w:noProof/>
              <w:color w:val="0070C0"/>
              <w:sz w:val="20"/>
              <w:szCs w:val="20"/>
              <w:lang w:val="fr-FR" w:eastAsia="nl-BE"/>
            </w:rPr>
          </w:pPr>
          <w:r w:rsidRPr="00FF1300">
            <w:rPr>
              <w:sz w:val="20"/>
              <w:szCs w:val="20"/>
              <w:lang w:val="fr-FR"/>
            </w:rPr>
            <w:t>Contact:</w:t>
          </w:r>
          <w:r>
            <w:rPr>
              <w:lang w:val="fr-FR"/>
            </w:rPr>
            <w:t xml:space="preserve"> </w:t>
          </w:r>
          <w:hyperlink r:id="rId3" w:history="1">
            <w:r w:rsidRPr="00E00FF0">
              <w:rPr>
                <w:rStyle w:val="Hyperlink"/>
                <w:rFonts w:eastAsiaTheme="minorEastAsia"/>
                <w:noProof/>
                <w:sz w:val="20"/>
                <w:szCs w:val="20"/>
                <w:lang w:val="fr-FR" w:eastAsia="nl-BE"/>
              </w:rPr>
              <w:t>kata.dozsa@uantwerpen.be</w:t>
            </w:r>
          </w:hyperlink>
          <w:r w:rsidR="00C748F7" w:rsidRPr="00C748F7">
            <w:rPr>
              <w:rFonts w:eastAsiaTheme="minorEastAsia"/>
              <w:noProof/>
              <w:color w:val="000000"/>
              <w:sz w:val="20"/>
              <w:szCs w:val="20"/>
              <w:lang w:val="fr-FR" w:eastAsia="nl-BE"/>
            </w:rPr>
            <w:t xml:space="preserve">  </w:t>
          </w:r>
        </w:p>
      </w:tc>
    </w:tr>
  </w:tbl>
  <w:p w14:paraId="0F596477" w14:textId="66F748FE" w:rsidR="00C748F7" w:rsidRPr="00C748F7" w:rsidRDefault="00C748F7">
    <w:pPr>
      <w:pStyle w:val="Header"/>
      <w:rPr>
        <w:lang w:val="fr-FR"/>
      </w:rPr>
    </w:pPr>
  </w:p>
  <w:p w14:paraId="0D5E5B08" w14:textId="77777777" w:rsidR="00C748F7" w:rsidRPr="00C748F7" w:rsidRDefault="00C748F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3B9"/>
    <w:multiLevelType w:val="multilevel"/>
    <w:tmpl w:val="3388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97A8F"/>
    <w:multiLevelType w:val="hybridMultilevel"/>
    <w:tmpl w:val="8704096C"/>
    <w:lvl w:ilvl="0" w:tplc="FFFFFFFF">
      <w:start w:val="1"/>
      <w:numFmt w:val="decimal"/>
      <w:lvlText w:val="%1."/>
      <w:lvlJc w:val="left"/>
      <w:pPr>
        <w:ind w:left="1440" w:hanging="360"/>
      </w:pPr>
      <w:rPr>
        <w:b w:val="0"/>
        <w:vertAlign w:val="baseline"/>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 w15:restartNumberingAfterBreak="0">
    <w:nsid w:val="09971127"/>
    <w:multiLevelType w:val="hybridMultilevel"/>
    <w:tmpl w:val="8704096C"/>
    <w:lvl w:ilvl="0" w:tplc="FFFFFFFF">
      <w:start w:val="1"/>
      <w:numFmt w:val="decimal"/>
      <w:lvlText w:val="%1."/>
      <w:lvlJc w:val="left"/>
      <w:pPr>
        <w:ind w:left="1440" w:hanging="360"/>
      </w:pPr>
      <w:rPr>
        <w:b w:val="0"/>
        <w:vertAlign w:val="baseline"/>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 w15:restartNumberingAfterBreak="0">
    <w:nsid w:val="1004258C"/>
    <w:multiLevelType w:val="hybridMultilevel"/>
    <w:tmpl w:val="F224FF6A"/>
    <w:lvl w:ilvl="0" w:tplc="1DBC1074">
      <w:start w:val="56"/>
      <w:numFmt w:val="decimal"/>
      <w:lvlText w:val="%1."/>
      <w:lvlJc w:val="left"/>
      <w:pPr>
        <w:ind w:left="720" w:hanging="360"/>
      </w:pPr>
      <w:rPr>
        <w:rFonts w:hint="default"/>
        <w:b w:val="0"/>
        <w:color w:val="FF0000"/>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0C21AC2"/>
    <w:multiLevelType w:val="hybridMultilevel"/>
    <w:tmpl w:val="73A03EBE"/>
    <w:lvl w:ilvl="0" w:tplc="9CE461E2">
      <w:start w:val="33"/>
      <w:numFmt w:val="decimal"/>
      <w:lvlText w:val="%1."/>
      <w:lvlJc w:val="left"/>
      <w:pPr>
        <w:ind w:left="720" w:hanging="360"/>
      </w:pPr>
      <w:rPr>
        <w:rFonts w:hint="default"/>
        <w:b w:val="0"/>
        <w:color w:val="FF0000"/>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9823409"/>
    <w:multiLevelType w:val="hybridMultilevel"/>
    <w:tmpl w:val="2DAC7770"/>
    <w:lvl w:ilvl="0" w:tplc="8A96407E">
      <w:start w:val="13"/>
      <w:numFmt w:val="decimal"/>
      <w:lvlText w:val="%1."/>
      <w:lvlJc w:val="left"/>
      <w:pPr>
        <w:ind w:left="1495" w:hanging="360"/>
      </w:pPr>
      <w:rPr>
        <w:rFonts w:hint="default"/>
        <w:b w:val="0"/>
        <w:color w:val="FF0000"/>
        <w:vertAlign w:val="baseline"/>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313A3B37"/>
    <w:multiLevelType w:val="hybridMultilevel"/>
    <w:tmpl w:val="EABA9AF0"/>
    <w:lvl w:ilvl="0" w:tplc="A4BC35FC">
      <w:start w:val="116"/>
      <w:numFmt w:val="decimal"/>
      <w:lvlText w:val="%1."/>
      <w:lvlJc w:val="left"/>
      <w:pPr>
        <w:ind w:left="720" w:hanging="360"/>
      </w:pPr>
      <w:rPr>
        <w:rFonts w:hint="default"/>
        <w:b w:val="0"/>
        <w:color w:val="FF0000"/>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4E20C77"/>
    <w:multiLevelType w:val="hybridMultilevel"/>
    <w:tmpl w:val="FD2293E2"/>
    <w:lvl w:ilvl="0" w:tplc="42CCF9D4">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D4679D6"/>
    <w:multiLevelType w:val="hybridMultilevel"/>
    <w:tmpl w:val="ED521538"/>
    <w:lvl w:ilvl="0" w:tplc="08CA8B38">
      <w:start w:val="8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F4C089E"/>
    <w:multiLevelType w:val="hybridMultilevel"/>
    <w:tmpl w:val="9D66D6D4"/>
    <w:lvl w:ilvl="0" w:tplc="29808B2C">
      <w:start w:val="14"/>
      <w:numFmt w:val="decimal"/>
      <w:lvlText w:val="%1."/>
      <w:lvlJc w:val="left"/>
      <w:pPr>
        <w:ind w:left="720" w:hanging="360"/>
      </w:pPr>
      <w:rPr>
        <w:rFonts w:hint="default"/>
        <w:b w:val="0"/>
        <w:color w:val="FF0000"/>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B2A59C3"/>
    <w:multiLevelType w:val="multilevel"/>
    <w:tmpl w:val="AE1E5DB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4940FF"/>
    <w:multiLevelType w:val="hybridMultilevel"/>
    <w:tmpl w:val="96CA5034"/>
    <w:lvl w:ilvl="0" w:tplc="B0B48E34">
      <w:start w:val="39"/>
      <w:numFmt w:val="decimal"/>
      <w:lvlText w:val="%1."/>
      <w:lvlJc w:val="left"/>
      <w:pPr>
        <w:ind w:left="720" w:hanging="360"/>
      </w:pPr>
      <w:rPr>
        <w:rFonts w:hint="default"/>
        <w:b w:val="0"/>
        <w:color w:val="FF0000"/>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8626E2F"/>
    <w:multiLevelType w:val="hybridMultilevel"/>
    <w:tmpl w:val="0BC871CE"/>
    <w:lvl w:ilvl="0" w:tplc="5A782A6C">
      <w:start w:val="1"/>
      <w:numFmt w:val="upperRoman"/>
      <w:lvlText w:val="%1."/>
      <w:lvlJc w:val="left"/>
      <w:pPr>
        <w:ind w:left="1080" w:hanging="72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F206907"/>
    <w:multiLevelType w:val="multilevel"/>
    <w:tmpl w:val="165879B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D4528C"/>
    <w:multiLevelType w:val="hybridMultilevel"/>
    <w:tmpl w:val="80E8E38A"/>
    <w:lvl w:ilvl="0" w:tplc="E836E5D8">
      <w:start w:val="9"/>
      <w:numFmt w:val="upperLetter"/>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1"/>
  </w:num>
  <w:num w:numId="6">
    <w:abstractNumId w:val="3"/>
  </w:num>
  <w:num w:numId="7">
    <w:abstractNumId w:val="7"/>
  </w:num>
  <w:num w:numId="8">
    <w:abstractNumId w:val="12"/>
  </w:num>
  <w:num w:numId="9">
    <w:abstractNumId w:val="14"/>
  </w:num>
  <w:num w:numId="10">
    <w:abstractNumId w:val="9"/>
  </w:num>
  <w:num w:numId="11">
    <w:abstractNumId w:val="4"/>
  </w:num>
  <w:num w:numId="12">
    <w:abstractNumId w:val="11"/>
  </w:num>
  <w:num w:numId="13">
    <w:abstractNumId w:val="1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5B"/>
    <w:rsid w:val="00014DD4"/>
    <w:rsid w:val="00024CF6"/>
    <w:rsid w:val="0002589F"/>
    <w:rsid w:val="000330E1"/>
    <w:rsid w:val="000409D2"/>
    <w:rsid w:val="00044438"/>
    <w:rsid w:val="00047E49"/>
    <w:rsid w:val="00051256"/>
    <w:rsid w:val="00056203"/>
    <w:rsid w:val="00057851"/>
    <w:rsid w:val="00061652"/>
    <w:rsid w:val="00065714"/>
    <w:rsid w:val="00072F06"/>
    <w:rsid w:val="00073804"/>
    <w:rsid w:val="000738FC"/>
    <w:rsid w:val="00077A57"/>
    <w:rsid w:val="00096C44"/>
    <w:rsid w:val="000A0129"/>
    <w:rsid w:val="000B2F8A"/>
    <w:rsid w:val="000C1454"/>
    <w:rsid w:val="000C7EA2"/>
    <w:rsid w:val="000D72A8"/>
    <w:rsid w:val="000E0BB5"/>
    <w:rsid w:val="000F5BFA"/>
    <w:rsid w:val="000F6917"/>
    <w:rsid w:val="0011575C"/>
    <w:rsid w:val="00116527"/>
    <w:rsid w:val="001210E0"/>
    <w:rsid w:val="00131AC9"/>
    <w:rsid w:val="00144C90"/>
    <w:rsid w:val="00154B4A"/>
    <w:rsid w:val="001771D1"/>
    <w:rsid w:val="001801CA"/>
    <w:rsid w:val="00182E24"/>
    <w:rsid w:val="001867D2"/>
    <w:rsid w:val="00186BF0"/>
    <w:rsid w:val="001909FD"/>
    <w:rsid w:val="00193B42"/>
    <w:rsid w:val="001A5541"/>
    <w:rsid w:val="001A7798"/>
    <w:rsid w:val="001B355C"/>
    <w:rsid w:val="001B6745"/>
    <w:rsid w:val="001C15AE"/>
    <w:rsid w:val="001C4F6D"/>
    <w:rsid w:val="001D09A0"/>
    <w:rsid w:val="001E0A21"/>
    <w:rsid w:val="001E20C8"/>
    <w:rsid w:val="001E4909"/>
    <w:rsid w:val="001E49E4"/>
    <w:rsid w:val="001F3CC8"/>
    <w:rsid w:val="001F4D73"/>
    <w:rsid w:val="00200DFA"/>
    <w:rsid w:val="00213E83"/>
    <w:rsid w:val="00214FCE"/>
    <w:rsid w:val="0021515B"/>
    <w:rsid w:val="00222082"/>
    <w:rsid w:val="00225282"/>
    <w:rsid w:val="002275F3"/>
    <w:rsid w:val="002449EC"/>
    <w:rsid w:val="0025293E"/>
    <w:rsid w:val="0025515F"/>
    <w:rsid w:val="00273D89"/>
    <w:rsid w:val="002745EC"/>
    <w:rsid w:val="00281081"/>
    <w:rsid w:val="0028764C"/>
    <w:rsid w:val="00287FEE"/>
    <w:rsid w:val="00295F17"/>
    <w:rsid w:val="002A391F"/>
    <w:rsid w:val="002C2B2A"/>
    <w:rsid w:val="002D5B66"/>
    <w:rsid w:val="002F497E"/>
    <w:rsid w:val="00304050"/>
    <w:rsid w:val="00310E2E"/>
    <w:rsid w:val="0031585C"/>
    <w:rsid w:val="00316119"/>
    <w:rsid w:val="003217C5"/>
    <w:rsid w:val="0032403D"/>
    <w:rsid w:val="00333A74"/>
    <w:rsid w:val="00334E89"/>
    <w:rsid w:val="00335604"/>
    <w:rsid w:val="00336FB0"/>
    <w:rsid w:val="0035065B"/>
    <w:rsid w:val="00362D73"/>
    <w:rsid w:val="00364C71"/>
    <w:rsid w:val="00365971"/>
    <w:rsid w:val="003721D8"/>
    <w:rsid w:val="00375958"/>
    <w:rsid w:val="00375CF4"/>
    <w:rsid w:val="00383704"/>
    <w:rsid w:val="00383E7B"/>
    <w:rsid w:val="0039049F"/>
    <w:rsid w:val="00392386"/>
    <w:rsid w:val="003B15C3"/>
    <w:rsid w:val="003B66CF"/>
    <w:rsid w:val="003C1898"/>
    <w:rsid w:val="003D21FC"/>
    <w:rsid w:val="003D29DD"/>
    <w:rsid w:val="003D3FD3"/>
    <w:rsid w:val="003E1E15"/>
    <w:rsid w:val="003E24B1"/>
    <w:rsid w:val="003E79B7"/>
    <w:rsid w:val="003F3018"/>
    <w:rsid w:val="004154D0"/>
    <w:rsid w:val="00416995"/>
    <w:rsid w:val="0043030A"/>
    <w:rsid w:val="004331D6"/>
    <w:rsid w:val="0043657C"/>
    <w:rsid w:val="0046019D"/>
    <w:rsid w:val="004605B5"/>
    <w:rsid w:val="00463B20"/>
    <w:rsid w:val="00467B29"/>
    <w:rsid w:val="00480308"/>
    <w:rsid w:val="00484769"/>
    <w:rsid w:val="004976E3"/>
    <w:rsid w:val="004A0F8F"/>
    <w:rsid w:val="004B100D"/>
    <w:rsid w:val="004B1EEA"/>
    <w:rsid w:val="004C3E02"/>
    <w:rsid w:val="004E08E1"/>
    <w:rsid w:val="004F6233"/>
    <w:rsid w:val="005061FC"/>
    <w:rsid w:val="0051056F"/>
    <w:rsid w:val="005112D5"/>
    <w:rsid w:val="00514007"/>
    <w:rsid w:val="00514E8A"/>
    <w:rsid w:val="00515A09"/>
    <w:rsid w:val="00523351"/>
    <w:rsid w:val="00526DDD"/>
    <w:rsid w:val="00530441"/>
    <w:rsid w:val="00541269"/>
    <w:rsid w:val="0054328B"/>
    <w:rsid w:val="00550D09"/>
    <w:rsid w:val="00553590"/>
    <w:rsid w:val="005611C5"/>
    <w:rsid w:val="0056225D"/>
    <w:rsid w:val="005669A0"/>
    <w:rsid w:val="0057083E"/>
    <w:rsid w:val="00570DBC"/>
    <w:rsid w:val="00571FED"/>
    <w:rsid w:val="005725B2"/>
    <w:rsid w:val="005740F1"/>
    <w:rsid w:val="00582181"/>
    <w:rsid w:val="00590DFC"/>
    <w:rsid w:val="0059136F"/>
    <w:rsid w:val="005A0E93"/>
    <w:rsid w:val="005A755E"/>
    <w:rsid w:val="005B27E0"/>
    <w:rsid w:val="005B47FE"/>
    <w:rsid w:val="005C6A7E"/>
    <w:rsid w:val="005D1355"/>
    <w:rsid w:val="005F0A11"/>
    <w:rsid w:val="0061147D"/>
    <w:rsid w:val="0061221D"/>
    <w:rsid w:val="00613E44"/>
    <w:rsid w:val="00634C4F"/>
    <w:rsid w:val="0065185A"/>
    <w:rsid w:val="006528B5"/>
    <w:rsid w:val="006654ED"/>
    <w:rsid w:val="00673916"/>
    <w:rsid w:val="00676B23"/>
    <w:rsid w:val="006B476C"/>
    <w:rsid w:val="006C15A4"/>
    <w:rsid w:val="006C1C49"/>
    <w:rsid w:val="006C3F5E"/>
    <w:rsid w:val="006C5223"/>
    <w:rsid w:val="006C5B65"/>
    <w:rsid w:val="006E3284"/>
    <w:rsid w:val="006E7381"/>
    <w:rsid w:val="006E7449"/>
    <w:rsid w:val="006F1AB0"/>
    <w:rsid w:val="0070512E"/>
    <w:rsid w:val="00714088"/>
    <w:rsid w:val="0072507B"/>
    <w:rsid w:val="0073018D"/>
    <w:rsid w:val="00734F55"/>
    <w:rsid w:val="007364F9"/>
    <w:rsid w:val="00737E52"/>
    <w:rsid w:val="00740EF7"/>
    <w:rsid w:val="00741497"/>
    <w:rsid w:val="00741D77"/>
    <w:rsid w:val="007461A5"/>
    <w:rsid w:val="00752DAC"/>
    <w:rsid w:val="00762DDD"/>
    <w:rsid w:val="00762FF5"/>
    <w:rsid w:val="00771161"/>
    <w:rsid w:val="00776A3B"/>
    <w:rsid w:val="0077705E"/>
    <w:rsid w:val="00785286"/>
    <w:rsid w:val="007900DC"/>
    <w:rsid w:val="00791D1D"/>
    <w:rsid w:val="007B301E"/>
    <w:rsid w:val="007D0C0A"/>
    <w:rsid w:val="007E341E"/>
    <w:rsid w:val="007E7C8C"/>
    <w:rsid w:val="007F4547"/>
    <w:rsid w:val="007F70DF"/>
    <w:rsid w:val="0081334A"/>
    <w:rsid w:val="00846DC2"/>
    <w:rsid w:val="00850DF6"/>
    <w:rsid w:val="00864F89"/>
    <w:rsid w:val="00871AF3"/>
    <w:rsid w:val="00877BAC"/>
    <w:rsid w:val="008875D0"/>
    <w:rsid w:val="008A45D5"/>
    <w:rsid w:val="008A51CD"/>
    <w:rsid w:val="008A54DC"/>
    <w:rsid w:val="008A6828"/>
    <w:rsid w:val="008B3A4E"/>
    <w:rsid w:val="008B68C8"/>
    <w:rsid w:val="008C0C03"/>
    <w:rsid w:val="008C704B"/>
    <w:rsid w:val="008E33B1"/>
    <w:rsid w:val="008F352E"/>
    <w:rsid w:val="008F4F8E"/>
    <w:rsid w:val="00900ADD"/>
    <w:rsid w:val="009031AA"/>
    <w:rsid w:val="00907E87"/>
    <w:rsid w:val="009125A5"/>
    <w:rsid w:val="0091474D"/>
    <w:rsid w:val="00936766"/>
    <w:rsid w:val="0094773B"/>
    <w:rsid w:val="00957051"/>
    <w:rsid w:val="009748D3"/>
    <w:rsid w:val="00977752"/>
    <w:rsid w:val="0098661F"/>
    <w:rsid w:val="00995592"/>
    <w:rsid w:val="009B47FC"/>
    <w:rsid w:val="009C748E"/>
    <w:rsid w:val="009D0B4D"/>
    <w:rsid w:val="009F24D2"/>
    <w:rsid w:val="009F4A04"/>
    <w:rsid w:val="009F75B3"/>
    <w:rsid w:val="00A00982"/>
    <w:rsid w:val="00A01463"/>
    <w:rsid w:val="00A079F1"/>
    <w:rsid w:val="00A25BBA"/>
    <w:rsid w:val="00A42A45"/>
    <w:rsid w:val="00A475EC"/>
    <w:rsid w:val="00A47E78"/>
    <w:rsid w:val="00A515B0"/>
    <w:rsid w:val="00A6142A"/>
    <w:rsid w:val="00A63741"/>
    <w:rsid w:val="00A63984"/>
    <w:rsid w:val="00A713CE"/>
    <w:rsid w:val="00A76F49"/>
    <w:rsid w:val="00A82779"/>
    <w:rsid w:val="00A8296F"/>
    <w:rsid w:val="00A86CB8"/>
    <w:rsid w:val="00A86CF8"/>
    <w:rsid w:val="00A90C39"/>
    <w:rsid w:val="00A90FD1"/>
    <w:rsid w:val="00A925F5"/>
    <w:rsid w:val="00A939A0"/>
    <w:rsid w:val="00AB17E1"/>
    <w:rsid w:val="00AB459E"/>
    <w:rsid w:val="00AB5D8E"/>
    <w:rsid w:val="00AC0423"/>
    <w:rsid w:val="00AC404A"/>
    <w:rsid w:val="00AD4B01"/>
    <w:rsid w:val="00AE739A"/>
    <w:rsid w:val="00B00705"/>
    <w:rsid w:val="00B276C8"/>
    <w:rsid w:val="00B46ECB"/>
    <w:rsid w:val="00B523BB"/>
    <w:rsid w:val="00B60879"/>
    <w:rsid w:val="00B6236C"/>
    <w:rsid w:val="00B62848"/>
    <w:rsid w:val="00B62E4F"/>
    <w:rsid w:val="00B72FFE"/>
    <w:rsid w:val="00B73EC7"/>
    <w:rsid w:val="00B75B35"/>
    <w:rsid w:val="00B93E68"/>
    <w:rsid w:val="00BC79BD"/>
    <w:rsid w:val="00BE05F0"/>
    <w:rsid w:val="00BE26F5"/>
    <w:rsid w:val="00BE2E49"/>
    <w:rsid w:val="00BE54E8"/>
    <w:rsid w:val="00BF368A"/>
    <w:rsid w:val="00C1418D"/>
    <w:rsid w:val="00C168AA"/>
    <w:rsid w:val="00C22762"/>
    <w:rsid w:val="00C24774"/>
    <w:rsid w:val="00C26F70"/>
    <w:rsid w:val="00C33A05"/>
    <w:rsid w:val="00C349B1"/>
    <w:rsid w:val="00C371B7"/>
    <w:rsid w:val="00C60DB2"/>
    <w:rsid w:val="00C63143"/>
    <w:rsid w:val="00C63FEC"/>
    <w:rsid w:val="00C74277"/>
    <w:rsid w:val="00C748F7"/>
    <w:rsid w:val="00C74DFB"/>
    <w:rsid w:val="00C86892"/>
    <w:rsid w:val="00C92ED8"/>
    <w:rsid w:val="00C9739B"/>
    <w:rsid w:val="00CA0725"/>
    <w:rsid w:val="00CA4030"/>
    <w:rsid w:val="00CA5F28"/>
    <w:rsid w:val="00CB3DE8"/>
    <w:rsid w:val="00CC1FA0"/>
    <w:rsid w:val="00CD0763"/>
    <w:rsid w:val="00CE4509"/>
    <w:rsid w:val="00CE5097"/>
    <w:rsid w:val="00CE67F3"/>
    <w:rsid w:val="00D00C8F"/>
    <w:rsid w:val="00D017AC"/>
    <w:rsid w:val="00D0220E"/>
    <w:rsid w:val="00D032F7"/>
    <w:rsid w:val="00D03C55"/>
    <w:rsid w:val="00D258CF"/>
    <w:rsid w:val="00D32183"/>
    <w:rsid w:val="00D327CE"/>
    <w:rsid w:val="00D3295B"/>
    <w:rsid w:val="00D34DE1"/>
    <w:rsid w:val="00D37B85"/>
    <w:rsid w:val="00D407F9"/>
    <w:rsid w:val="00D4642E"/>
    <w:rsid w:val="00D57944"/>
    <w:rsid w:val="00D62946"/>
    <w:rsid w:val="00D64D98"/>
    <w:rsid w:val="00D7458E"/>
    <w:rsid w:val="00D771F8"/>
    <w:rsid w:val="00D938F9"/>
    <w:rsid w:val="00D97AA6"/>
    <w:rsid w:val="00DA3377"/>
    <w:rsid w:val="00DC3676"/>
    <w:rsid w:val="00DD6AB8"/>
    <w:rsid w:val="00DF3EEE"/>
    <w:rsid w:val="00E046BE"/>
    <w:rsid w:val="00E12370"/>
    <w:rsid w:val="00E1371D"/>
    <w:rsid w:val="00E143FA"/>
    <w:rsid w:val="00E1576B"/>
    <w:rsid w:val="00E3170B"/>
    <w:rsid w:val="00E33900"/>
    <w:rsid w:val="00E34D12"/>
    <w:rsid w:val="00E35DF0"/>
    <w:rsid w:val="00E433CC"/>
    <w:rsid w:val="00E509AA"/>
    <w:rsid w:val="00E5277D"/>
    <w:rsid w:val="00E5456A"/>
    <w:rsid w:val="00E65E38"/>
    <w:rsid w:val="00E66899"/>
    <w:rsid w:val="00E7084B"/>
    <w:rsid w:val="00E71E21"/>
    <w:rsid w:val="00E85BC4"/>
    <w:rsid w:val="00EA1116"/>
    <w:rsid w:val="00EA56AB"/>
    <w:rsid w:val="00EA6B92"/>
    <w:rsid w:val="00EB0488"/>
    <w:rsid w:val="00EC09A9"/>
    <w:rsid w:val="00ED6F4B"/>
    <w:rsid w:val="00EE7126"/>
    <w:rsid w:val="00F01BCA"/>
    <w:rsid w:val="00F04FB4"/>
    <w:rsid w:val="00F05E23"/>
    <w:rsid w:val="00F112D6"/>
    <w:rsid w:val="00F12D7C"/>
    <w:rsid w:val="00F13960"/>
    <w:rsid w:val="00F16A74"/>
    <w:rsid w:val="00F1780B"/>
    <w:rsid w:val="00F17946"/>
    <w:rsid w:val="00F311CF"/>
    <w:rsid w:val="00F3424D"/>
    <w:rsid w:val="00F3687C"/>
    <w:rsid w:val="00F4059C"/>
    <w:rsid w:val="00F43788"/>
    <w:rsid w:val="00F454BE"/>
    <w:rsid w:val="00F5075D"/>
    <w:rsid w:val="00F516CB"/>
    <w:rsid w:val="00F637D9"/>
    <w:rsid w:val="00F75A59"/>
    <w:rsid w:val="00F8762E"/>
    <w:rsid w:val="00F91F7E"/>
    <w:rsid w:val="00F96EA9"/>
    <w:rsid w:val="00FA4372"/>
    <w:rsid w:val="00FB339E"/>
    <w:rsid w:val="00FB4C87"/>
    <w:rsid w:val="00FF1300"/>
    <w:rsid w:val="00FF25C8"/>
    <w:rsid w:val="00FF5566"/>
  </w:rsids>
  <m:mathPr>
    <m:mathFont m:val="Cambria Math"/>
    <m:brkBin m:val="before"/>
    <m:brkBinSub m:val="--"/>
    <m:smallFrac m:val="0"/>
    <m:dispDef/>
    <m:lMargin m:val="0"/>
    <m:rMargin m:val="0"/>
    <m:defJc m:val="centerGroup"/>
    <m:wrapIndent m:val="1440"/>
    <m:intLim m:val="subSup"/>
    <m:naryLim m:val="undOvr"/>
  </m:mathPr>
  <w:themeFontLang w:val="nl-B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107D2"/>
  <w15:chartTrackingRefBased/>
  <w15:docId w15:val="{5BBC701F-CDD4-4C79-9B1D-624AC9E0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65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35065B"/>
    <w:rPr>
      <w:b/>
      <w:bCs/>
    </w:rPr>
  </w:style>
  <w:style w:type="character" w:styleId="Hyperlink">
    <w:name w:val="Hyperlink"/>
    <w:basedOn w:val="DefaultParagraphFont"/>
    <w:uiPriority w:val="99"/>
    <w:unhideWhenUsed/>
    <w:rsid w:val="0035065B"/>
    <w:rPr>
      <w:color w:val="0000FF"/>
      <w:u w:val="single"/>
    </w:rPr>
  </w:style>
  <w:style w:type="paragraph" w:styleId="FootnoteText">
    <w:name w:val="footnote text"/>
    <w:aliases w:val="fn,5_G,Footnote Text Char1,Footnote Text Char Char,Footnote Text Char1 Char Char,Footnote Text Char Char Char Char,Footnote Text Char1 Char Char1 Char Char,Footnote Text Char Char Char Char1 Char Char,ft Char Char Char Char Char Char"/>
    <w:basedOn w:val="Normal"/>
    <w:link w:val="FootnoteTextChar"/>
    <w:autoRedefine/>
    <w:uiPriority w:val="99"/>
    <w:qFormat/>
    <w:rsid w:val="00571FED"/>
    <w:pPr>
      <w:spacing w:before="120" w:after="120" w:line="240" w:lineRule="auto"/>
      <w:ind w:left="284" w:hanging="141"/>
      <w:jc w:val="both"/>
    </w:pPr>
    <w:rPr>
      <w:rFonts w:ascii="Times New Roman" w:eastAsia="Times New Roman" w:hAnsi="Times New Roman" w:cs="Times New Roman"/>
      <w:sz w:val="20"/>
      <w:szCs w:val="20"/>
      <w:lang w:val="x-none" w:eastAsia="x-none"/>
    </w:rPr>
  </w:style>
  <w:style w:type="character" w:customStyle="1" w:styleId="FootnoteTextChar">
    <w:name w:val="Footnote Text Char"/>
    <w:aliases w:val="fn Char,5_G Char,Footnote Text Char1 Char,Footnote Text Char Char Char,Footnote Text Char1 Char Char Char,Footnote Text Char Char Char Char Char,Footnote Text Char1 Char Char1 Char Char Char,ft Char Char Char Char Char Char Char"/>
    <w:basedOn w:val="DefaultParagraphFont"/>
    <w:link w:val="FootnoteText"/>
    <w:uiPriority w:val="99"/>
    <w:rsid w:val="00571FED"/>
    <w:rPr>
      <w:rFonts w:ascii="Times New Roman" w:eastAsia="Times New Roman" w:hAnsi="Times New Roman" w:cs="Times New Roman"/>
      <w:sz w:val="20"/>
      <w:szCs w:val="20"/>
      <w:lang w:val="x-none" w:eastAsia="x-none"/>
    </w:rPr>
  </w:style>
  <w:style w:type="character" w:styleId="FootnoteReference">
    <w:name w:val="footnote reference"/>
    <w:aliases w:val="Footnote reference Char,Ref,de nota al pie,4_G Char Char Char Char,Footnotes refss Char Char Char Char,ftref Char Char Char Char,BVI fnr Char Char Char Char,BVI fnr Car Car Char Char Char Char,BVI fnr Car Char Char Char Char,BVI fnr"/>
    <w:link w:val="FootnoteReference1"/>
    <w:qFormat/>
    <w:rsid w:val="0035065B"/>
    <w:rPr>
      <w:rFonts w:ascii="Calibri" w:hAnsi="Calibri" w:cs="Arial"/>
      <w:vertAlign w:val="superscript"/>
    </w:rPr>
  </w:style>
  <w:style w:type="paragraph" w:customStyle="1" w:styleId="FootnoteReference1">
    <w:name w:val="Footnote Reference1"/>
    <w:basedOn w:val="Normal"/>
    <w:link w:val="FootnoteReference"/>
    <w:autoRedefine/>
    <w:qFormat/>
    <w:rsid w:val="0035065B"/>
    <w:pPr>
      <w:spacing w:after="0" w:line="240" w:lineRule="exact"/>
      <w:jc w:val="both"/>
    </w:pPr>
    <w:rPr>
      <w:rFonts w:ascii="Calibri" w:hAnsi="Calibri" w:cs="Arial"/>
      <w:vertAlign w:val="superscript"/>
    </w:rPr>
  </w:style>
  <w:style w:type="paragraph" w:customStyle="1" w:styleId="FOOTNOTE">
    <w:name w:val="FOOTNOTE"/>
    <w:basedOn w:val="FootnoteText"/>
    <w:link w:val="FOOTNOTEChar"/>
    <w:qFormat/>
    <w:rsid w:val="0035065B"/>
    <w:pPr>
      <w:jc w:val="left"/>
    </w:pPr>
    <w:rPr>
      <w:rFonts w:ascii="Calibri" w:hAnsi="Calibri"/>
    </w:rPr>
  </w:style>
  <w:style w:type="character" w:customStyle="1" w:styleId="FOOTNOTEChar">
    <w:name w:val="FOOTNOTE Char"/>
    <w:basedOn w:val="FootnoteTextChar"/>
    <w:link w:val="FOOTNOTE"/>
    <w:rsid w:val="0035065B"/>
    <w:rPr>
      <w:rFonts w:ascii="Calibri" w:eastAsia="Times New Roman" w:hAnsi="Calibri" w:cs="Times New Roman"/>
      <w:sz w:val="20"/>
      <w:szCs w:val="20"/>
      <w:lang w:val="x-none" w:eastAsia="x-none"/>
    </w:rPr>
  </w:style>
  <w:style w:type="paragraph" w:customStyle="1" w:styleId="SingleTxtG">
    <w:name w:val="_ Single Txt_G"/>
    <w:basedOn w:val="Normal"/>
    <w:link w:val="SingleTxtGChar"/>
    <w:qFormat/>
    <w:rsid w:val="0035065B"/>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locked/>
    <w:rsid w:val="0035065B"/>
    <w:rPr>
      <w:rFonts w:ascii="Times New Roman" w:hAnsi="Times New Roman" w:cs="Times New Roman"/>
      <w:sz w:val="20"/>
      <w:szCs w:val="20"/>
      <w:lang w:val="en-GB"/>
    </w:rPr>
  </w:style>
  <w:style w:type="paragraph" w:customStyle="1" w:styleId="H1G">
    <w:name w:val="_ H_1_G"/>
    <w:basedOn w:val="Normal"/>
    <w:next w:val="Normal"/>
    <w:qFormat/>
    <w:rsid w:val="00D3295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 w:val="24"/>
      <w:szCs w:val="20"/>
      <w:lang w:val="en-GB"/>
    </w:rPr>
  </w:style>
  <w:style w:type="paragraph" w:customStyle="1" w:styleId="BVIfnrCarCar">
    <w:name w:val="BVI fnr Car Car"/>
    <w:aliases w:val="BVI fnr Car,BVI fnr Car Car Car Car,BVI fnr Char Car Car Car,BVI fnr Car Car Car Car Char Char,BVI fnr Car Car Car Car Char Char Char Char Char"/>
    <w:basedOn w:val="Normal"/>
    <w:rsid w:val="001C15AE"/>
    <w:pPr>
      <w:spacing w:line="240" w:lineRule="exact"/>
      <w:jc w:val="both"/>
    </w:pPr>
    <w:rPr>
      <w:rFonts w:ascii="Times New Roman" w:hAnsi="Times New Roman"/>
      <w:sz w:val="18"/>
      <w:vertAlign w:val="superscript"/>
      <w:lang w:val="en-GB"/>
    </w:rPr>
  </w:style>
  <w:style w:type="character" w:styleId="CommentReference">
    <w:name w:val="annotation reference"/>
    <w:basedOn w:val="DefaultParagraphFont"/>
    <w:uiPriority w:val="99"/>
    <w:semiHidden/>
    <w:unhideWhenUsed/>
    <w:rsid w:val="00A86CF8"/>
    <w:rPr>
      <w:sz w:val="16"/>
      <w:szCs w:val="16"/>
    </w:rPr>
  </w:style>
  <w:style w:type="paragraph" w:styleId="CommentText">
    <w:name w:val="annotation text"/>
    <w:basedOn w:val="Normal"/>
    <w:link w:val="CommentTextChar"/>
    <w:uiPriority w:val="99"/>
    <w:semiHidden/>
    <w:unhideWhenUsed/>
    <w:rsid w:val="00A86CF8"/>
    <w:pPr>
      <w:spacing w:line="240" w:lineRule="auto"/>
    </w:pPr>
    <w:rPr>
      <w:sz w:val="20"/>
      <w:szCs w:val="20"/>
    </w:rPr>
  </w:style>
  <w:style w:type="character" w:customStyle="1" w:styleId="CommentTextChar">
    <w:name w:val="Comment Text Char"/>
    <w:basedOn w:val="DefaultParagraphFont"/>
    <w:link w:val="CommentText"/>
    <w:uiPriority w:val="99"/>
    <w:semiHidden/>
    <w:rsid w:val="00A86CF8"/>
    <w:rPr>
      <w:sz w:val="20"/>
      <w:szCs w:val="20"/>
    </w:rPr>
  </w:style>
  <w:style w:type="paragraph" w:styleId="CommentSubject">
    <w:name w:val="annotation subject"/>
    <w:basedOn w:val="CommentText"/>
    <w:next w:val="CommentText"/>
    <w:link w:val="CommentSubjectChar"/>
    <w:uiPriority w:val="99"/>
    <w:semiHidden/>
    <w:unhideWhenUsed/>
    <w:rsid w:val="00A86CF8"/>
    <w:rPr>
      <w:b/>
      <w:bCs/>
    </w:rPr>
  </w:style>
  <w:style w:type="character" w:customStyle="1" w:styleId="CommentSubjectChar">
    <w:name w:val="Comment Subject Char"/>
    <w:basedOn w:val="CommentTextChar"/>
    <w:link w:val="CommentSubject"/>
    <w:uiPriority w:val="99"/>
    <w:semiHidden/>
    <w:rsid w:val="00A86CF8"/>
    <w:rPr>
      <w:b/>
      <w:bCs/>
      <w:sz w:val="20"/>
      <w:szCs w:val="20"/>
    </w:rPr>
  </w:style>
  <w:style w:type="paragraph" w:styleId="Revision">
    <w:name w:val="Revision"/>
    <w:hidden/>
    <w:uiPriority w:val="99"/>
    <w:semiHidden/>
    <w:rsid w:val="002A391F"/>
    <w:pPr>
      <w:spacing w:after="0" w:line="240" w:lineRule="auto"/>
    </w:pPr>
  </w:style>
  <w:style w:type="paragraph" w:customStyle="1" w:styleId="Footnoteindex">
    <w:name w:val="Footnote index"/>
    <w:basedOn w:val="Normal"/>
    <w:link w:val="FootnoteindexChar"/>
    <w:autoRedefine/>
    <w:qFormat/>
    <w:rsid w:val="0072507B"/>
    <w:pPr>
      <w:autoSpaceDE w:val="0"/>
      <w:autoSpaceDN w:val="0"/>
      <w:adjustRightInd w:val="0"/>
      <w:spacing w:after="0" w:line="360" w:lineRule="auto"/>
      <w:ind w:left="709"/>
      <w:jc w:val="both"/>
    </w:pPr>
    <w:rPr>
      <w:rFonts w:ascii="Calibri" w:hAnsi="Calibri"/>
      <w:position w:val="2"/>
      <w:vertAlign w:val="superscript"/>
      <w:lang w:val="en-GB"/>
    </w:rPr>
  </w:style>
  <w:style w:type="character" w:customStyle="1" w:styleId="FootnoteindexChar">
    <w:name w:val="Footnote index Char"/>
    <w:basedOn w:val="DefaultParagraphFont"/>
    <w:link w:val="Footnoteindex"/>
    <w:rsid w:val="0072507B"/>
    <w:rPr>
      <w:rFonts w:ascii="Calibri" w:hAnsi="Calibri"/>
      <w:position w:val="2"/>
      <w:vertAlign w:val="superscript"/>
      <w:lang w:val="en-GB"/>
    </w:rPr>
  </w:style>
  <w:style w:type="paragraph" w:styleId="ListParagraph">
    <w:name w:val="List Paragraph"/>
    <w:basedOn w:val="Normal"/>
    <w:uiPriority w:val="34"/>
    <w:qFormat/>
    <w:rsid w:val="00D57944"/>
    <w:pPr>
      <w:ind w:left="720"/>
      <w:contextualSpacing/>
    </w:pPr>
  </w:style>
  <w:style w:type="paragraph" w:styleId="Header">
    <w:name w:val="header"/>
    <w:basedOn w:val="Normal"/>
    <w:link w:val="HeaderChar"/>
    <w:uiPriority w:val="99"/>
    <w:unhideWhenUsed/>
    <w:rsid w:val="00C7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8F7"/>
  </w:style>
  <w:style w:type="paragraph" w:styleId="Footer">
    <w:name w:val="footer"/>
    <w:basedOn w:val="Normal"/>
    <w:link w:val="FooterChar"/>
    <w:uiPriority w:val="99"/>
    <w:unhideWhenUsed/>
    <w:rsid w:val="00C7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8F7"/>
  </w:style>
  <w:style w:type="character" w:customStyle="1" w:styleId="UnresolvedMention">
    <w:name w:val="Unresolved Mention"/>
    <w:basedOn w:val="DefaultParagraphFont"/>
    <w:uiPriority w:val="99"/>
    <w:semiHidden/>
    <w:unhideWhenUsed/>
    <w:rsid w:val="00C86892"/>
    <w:rPr>
      <w:color w:val="605E5C"/>
      <w:shd w:val="clear" w:color="auto" w:fill="E1DFDD"/>
    </w:rPr>
  </w:style>
  <w:style w:type="paragraph" w:customStyle="1" w:styleId="CVNormal-FirstLine">
    <w:name w:val="CV Normal - First Line"/>
    <w:basedOn w:val="Normal"/>
    <w:next w:val="Normal"/>
    <w:rsid w:val="004F6233"/>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customStyle="1" w:styleId="paragraph">
    <w:name w:val="paragraph"/>
    <w:basedOn w:val="Normal"/>
    <w:rsid w:val="0005620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DefaultParagraphFont"/>
    <w:rsid w:val="00056203"/>
  </w:style>
  <w:style w:type="character" w:customStyle="1" w:styleId="eop">
    <w:name w:val="eop"/>
    <w:basedOn w:val="DefaultParagraphFont"/>
    <w:rsid w:val="0005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870">
      <w:bodyDiv w:val="1"/>
      <w:marLeft w:val="0"/>
      <w:marRight w:val="0"/>
      <w:marTop w:val="0"/>
      <w:marBottom w:val="0"/>
      <w:divBdr>
        <w:top w:val="none" w:sz="0" w:space="0" w:color="auto"/>
        <w:left w:val="none" w:sz="0" w:space="0" w:color="auto"/>
        <w:bottom w:val="none" w:sz="0" w:space="0" w:color="auto"/>
        <w:right w:val="none" w:sz="0" w:space="0" w:color="auto"/>
      </w:divBdr>
      <w:divsChild>
        <w:div w:id="388501555">
          <w:marLeft w:val="0"/>
          <w:marRight w:val="0"/>
          <w:marTop w:val="0"/>
          <w:marBottom w:val="0"/>
          <w:divBdr>
            <w:top w:val="none" w:sz="0" w:space="0" w:color="auto"/>
            <w:left w:val="none" w:sz="0" w:space="0" w:color="auto"/>
            <w:bottom w:val="none" w:sz="0" w:space="0" w:color="auto"/>
            <w:right w:val="none" w:sz="0" w:space="0" w:color="auto"/>
          </w:divBdr>
        </w:div>
      </w:divsChild>
    </w:div>
    <w:div w:id="160583474">
      <w:bodyDiv w:val="1"/>
      <w:marLeft w:val="0"/>
      <w:marRight w:val="0"/>
      <w:marTop w:val="0"/>
      <w:marBottom w:val="0"/>
      <w:divBdr>
        <w:top w:val="none" w:sz="0" w:space="0" w:color="auto"/>
        <w:left w:val="none" w:sz="0" w:space="0" w:color="auto"/>
        <w:bottom w:val="none" w:sz="0" w:space="0" w:color="auto"/>
        <w:right w:val="none" w:sz="0" w:space="0" w:color="auto"/>
      </w:divBdr>
    </w:div>
    <w:div w:id="444034648">
      <w:bodyDiv w:val="1"/>
      <w:marLeft w:val="0"/>
      <w:marRight w:val="0"/>
      <w:marTop w:val="0"/>
      <w:marBottom w:val="0"/>
      <w:divBdr>
        <w:top w:val="none" w:sz="0" w:space="0" w:color="auto"/>
        <w:left w:val="none" w:sz="0" w:space="0" w:color="auto"/>
        <w:bottom w:val="none" w:sz="0" w:space="0" w:color="auto"/>
        <w:right w:val="none" w:sz="0" w:space="0" w:color="auto"/>
      </w:divBdr>
    </w:div>
    <w:div w:id="10954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ntwerpen.be/en/research-groups/law-and-development/" TargetMode="External"/><Relationship Id="rId13" Type="http://schemas.openxmlformats.org/officeDocument/2006/relationships/image" Target="cid:image002.png@01D7BE9D.A1FACC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ntwerpen.be/nl/overuantwerpen/organisatie/missie-en-visie/diversiteit/oproepen/zij-haar-haar--hij-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mailto:kata.dozsa@uantwerpen.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tersentia.com/en/european-yearbook-on-human-rights-2020-45635.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kata.dozsa@uantwerpen.be" TargetMode="External"/><Relationship Id="rId2" Type="http://schemas.openxmlformats.org/officeDocument/2006/relationships/image" Target="cid:image002.png@01D7BE9D.A1FACC70" TargetMode="External"/><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4:55:37.126"/>
    </inkml:context>
    <inkml:brush xml:id="br0">
      <inkml:brushProperty name="width" value="0.05" units="cm"/>
      <inkml:brushProperty name="height" value="0.05" units="cm"/>
    </inkml:brush>
  </inkml:definitions>
  <inkml:trace contextRef="#ctx0" brushRef="#br0">0 0 32767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8DA7-2BA9-4E7A-B012-6D07A2BA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2971</Words>
  <Characters>16939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 Dozsa</dc:creator>
  <cp:keywords/>
  <dc:description/>
  <cp:lastModifiedBy>KIM Chanmi</cp:lastModifiedBy>
  <cp:revision>2</cp:revision>
  <dcterms:created xsi:type="dcterms:W3CDTF">2023-02-15T07:25:00Z</dcterms:created>
  <dcterms:modified xsi:type="dcterms:W3CDTF">2023-02-15T07:25:00Z</dcterms:modified>
</cp:coreProperties>
</file>