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8"/>
        <w:gridCol w:w="1559"/>
        <w:gridCol w:w="1683"/>
      </w:tblGrid>
      <w:tr w:rsidR="009A6303" w:rsidRPr="00E71E85" w14:paraId="688C41A5" w14:textId="77777777" w:rsidTr="00F7015A">
        <w:trPr>
          <w:trHeight w:hRule="exact" w:val="94"/>
        </w:trPr>
        <w:tc>
          <w:tcPr>
            <w:tcW w:w="4678" w:type="dxa"/>
          </w:tcPr>
          <w:p w14:paraId="54FE8973" w14:textId="77777777" w:rsidR="008F48D5" w:rsidRPr="00E71E85" w:rsidRDefault="008F48D5" w:rsidP="00423011">
            <w:pPr>
              <w:rPr>
                <w:lang w:val="en-US"/>
              </w:rPr>
            </w:pPr>
          </w:p>
        </w:tc>
        <w:tc>
          <w:tcPr>
            <w:tcW w:w="1559" w:type="dxa"/>
            <w:tcBorders>
              <w:left w:val="nil"/>
            </w:tcBorders>
          </w:tcPr>
          <w:p w14:paraId="43EBDCDD" w14:textId="77777777" w:rsidR="008F48D5" w:rsidRPr="00E71E85" w:rsidRDefault="008F48D5" w:rsidP="00F53676">
            <w:pPr>
              <w:pStyle w:val="Topptekst"/>
              <w:rPr>
                <w:lang w:val="en-US"/>
              </w:rPr>
            </w:pPr>
          </w:p>
        </w:tc>
        <w:tc>
          <w:tcPr>
            <w:tcW w:w="1683" w:type="dxa"/>
          </w:tcPr>
          <w:p w14:paraId="4A84ED31" w14:textId="77777777" w:rsidR="008F48D5" w:rsidRPr="00E71E85" w:rsidRDefault="008F48D5" w:rsidP="00F53676">
            <w:pPr>
              <w:pStyle w:val="Topptekst"/>
              <w:rPr>
                <w:lang w:val="en-US"/>
              </w:rPr>
            </w:pPr>
          </w:p>
        </w:tc>
      </w:tr>
      <w:tr w:rsidR="009A6303" w:rsidRPr="00E71E85" w14:paraId="5800464F" w14:textId="77777777" w:rsidTr="00F7015A">
        <w:trPr>
          <w:trHeight w:hRule="exact" w:val="266"/>
        </w:trPr>
        <w:tc>
          <w:tcPr>
            <w:tcW w:w="4678" w:type="dxa"/>
          </w:tcPr>
          <w:p w14:paraId="0727DD58" w14:textId="77777777" w:rsidR="003E4D20" w:rsidRPr="003E4D20" w:rsidRDefault="003E4D20" w:rsidP="003E4D20">
            <w:pPr>
              <w:spacing w:after="0" w:line="240" w:lineRule="auto"/>
              <w:rPr>
                <w:lang w:val="en-US"/>
              </w:rPr>
            </w:pPr>
            <w:r w:rsidRPr="003E4D20">
              <w:rPr>
                <w:lang w:val="en-US"/>
              </w:rPr>
              <w:t>The Committee on the Rights of the Child</w:t>
            </w:r>
          </w:p>
          <w:p w14:paraId="1F633597" w14:textId="77777777" w:rsidR="003E4D20" w:rsidRPr="003E4D20" w:rsidRDefault="003E4D20" w:rsidP="003E4D20">
            <w:pPr>
              <w:spacing w:after="0" w:line="240" w:lineRule="auto"/>
              <w:rPr>
                <w:lang w:val="nb-NO"/>
              </w:rPr>
            </w:pPr>
            <w:r w:rsidRPr="003E4D20">
              <w:rPr>
                <w:lang w:val="nb-NO"/>
              </w:rPr>
              <w:t>Via Jonas Schubert at Terre des Hommes</w:t>
            </w:r>
          </w:p>
          <w:p w14:paraId="67BF56C4" w14:textId="730E5034" w:rsidR="00C10EF4" w:rsidRPr="003E4D20" w:rsidRDefault="00C10EF4" w:rsidP="00C10EF4">
            <w:pPr>
              <w:pStyle w:val="Ingenmellomrom"/>
            </w:pPr>
          </w:p>
        </w:tc>
        <w:tc>
          <w:tcPr>
            <w:tcW w:w="1559" w:type="dxa"/>
          </w:tcPr>
          <w:p w14:paraId="327098C3" w14:textId="612141E3" w:rsidR="00C10EF4" w:rsidRPr="00E71E85" w:rsidRDefault="00165167" w:rsidP="00F53676">
            <w:pPr>
              <w:pStyle w:val="Topptekst"/>
              <w:rPr>
                <w:rStyle w:val="uthevet"/>
                <w:lang w:val="en-US"/>
              </w:rPr>
            </w:pPr>
            <w:r>
              <w:rPr>
                <w:rStyle w:val="uthevet"/>
                <w:lang w:val="en-US"/>
              </w:rPr>
              <w:t>Our</w:t>
            </w:r>
            <w:r w:rsidR="008B4C98" w:rsidRPr="00E71E85">
              <w:rPr>
                <w:rStyle w:val="uthevet"/>
                <w:lang w:val="en-US"/>
              </w:rPr>
              <w:t xml:space="preserve"> reference: </w:t>
            </w:r>
            <w:proofErr w:type="spellStart"/>
            <w:proofErr w:type="gramStart"/>
            <w:r w:rsidR="008B4C98" w:rsidRPr="00E71E85">
              <w:rPr>
                <w:rStyle w:val="uthevet"/>
                <w:lang w:val="en-US"/>
              </w:rPr>
              <w:t>reference:</w:t>
            </w:r>
            <w:r w:rsidR="00C10EF4" w:rsidRPr="00E71E85">
              <w:rPr>
                <w:rStyle w:val="uthevet"/>
                <w:lang w:val="en-US"/>
              </w:rPr>
              <w:t>ranse</w:t>
            </w:r>
            <w:proofErr w:type="spellEnd"/>
            <w:proofErr w:type="gramEnd"/>
            <w:r w:rsidR="00C10EF4" w:rsidRPr="00E71E85">
              <w:rPr>
                <w:rStyle w:val="uthevet"/>
                <w:lang w:val="en-US"/>
              </w:rPr>
              <w:t>:</w:t>
            </w:r>
          </w:p>
        </w:tc>
        <w:tc>
          <w:tcPr>
            <w:tcW w:w="1683" w:type="dxa"/>
          </w:tcPr>
          <w:p w14:paraId="24A13879" w14:textId="543A2A85" w:rsidR="00C10EF4" w:rsidRPr="00E71E85" w:rsidRDefault="00165167" w:rsidP="00F53676">
            <w:pPr>
              <w:pStyle w:val="Topptekst"/>
              <w:rPr>
                <w:lang w:val="en-US"/>
              </w:rPr>
            </w:pPr>
            <w:r w:rsidRPr="00941858">
              <w:rPr>
                <w:lang w:val="en-US"/>
              </w:rPr>
              <w:t>2022/49</w:t>
            </w:r>
          </w:p>
        </w:tc>
      </w:tr>
      <w:tr w:rsidR="009A6303" w:rsidRPr="00E71E85" w14:paraId="70B85DD3" w14:textId="77777777" w:rsidTr="00F7015A">
        <w:trPr>
          <w:trHeight w:hRule="exact" w:val="266"/>
        </w:trPr>
        <w:tc>
          <w:tcPr>
            <w:tcW w:w="4678" w:type="dxa"/>
            <w:vMerge w:val="restart"/>
          </w:tcPr>
          <w:p w14:paraId="1D962210" w14:textId="30A2C822" w:rsidR="009552E6" w:rsidRPr="00E71E85" w:rsidRDefault="00000000" w:rsidP="00C10EF4">
            <w:pPr>
              <w:pStyle w:val="Ingenmellomrom"/>
              <w:rPr>
                <w:lang w:val="en-US"/>
              </w:rPr>
            </w:pPr>
            <w:hyperlink r:id="rId11" w:history="1">
              <w:r w:rsidR="003E4D20">
                <w:rPr>
                  <w:rStyle w:val="Hyperkobling"/>
                  <w:lang w:val="en-US"/>
                </w:rPr>
                <w:t>ohchr-crc@un.org</w:t>
              </w:r>
            </w:hyperlink>
          </w:p>
        </w:tc>
        <w:tc>
          <w:tcPr>
            <w:tcW w:w="1559" w:type="dxa"/>
          </w:tcPr>
          <w:p w14:paraId="23A57FBA" w14:textId="1094AE5B" w:rsidR="00C10EF4" w:rsidRPr="00E71E85" w:rsidRDefault="00165167" w:rsidP="00F53676">
            <w:pPr>
              <w:pStyle w:val="Topptekst"/>
              <w:rPr>
                <w:rStyle w:val="uthevet"/>
                <w:lang w:val="en-US"/>
              </w:rPr>
            </w:pPr>
            <w:r>
              <w:rPr>
                <w:rStyle w:val="uthevet"/>
                <w:lang w:val="en-US"/>
              </w:rPr>
              <w:t>Date</w:t>
            </w:r>
            <w:r w:rsidR="00C10EF4" w:rsidRPr="00E71E85">
              <w:rPr>
                <w:rStyle w:val="uthevet"/>
                <w:lang w:val="en-US"/>
              </w:rPr>
              <w:t>:</w:t>
            </w:r>
          </w:p>
        </w:tc>
        <w:tc>
          <w:tcPr>
            <w:tcW w:w="1683" w:type="dxa"/>
          </w:tcPr>
          <w:p w14:paraId="1F21DA17" w14:textId="427D7D8D" w:rsidR="00C10EF4" w:rsidRPr="00E71E85" w:rsidRDefault="00A2184C" w:rsidP="00F53676">
            <w:pPr>
              <w:pStyle w:val="Topptekst"/>
              <w:rPr>
                <w:lang w:val="en-US"/>
              </w:rPr>
            </w:pPr>
            <w:r>
              <w:rPr>
                <w:lang w:val="en-US"/>
              </w:rPr>
              <w:t>28.02.2023</w:t>
            </w:r>
          </w:p>
        </w:tc>
      </w:tr>
      <w:tr w:rsidR="009A6303" w:rsidRPr="00E71E85" w14:paraId="1E1DB7C4" w14:textId="77777777" w:rsidTr="00F7015A">
        <w:trPr>
          <w:trHeight w:hRule="exact" w:val="1134"/>
        </w:trPr>
        <w:tc>
          <w:tcPr>
            <w:tcW w:w="4678" w:type="dxa"/>
            <w:vMerge/>
          </w:tcPr>
          <w:p w14:paraId="6BF44DB4" w14:textId="77777777" w:rsidR="00C10EF4" w:rsidRPr="00E71E85" w:rsidRDefault="00C10EF4" w:rsidP="00C10EF4">
            <w:pPr>
              <w:pStyle w:val="Ingenmellomrom"/>
              <w:rPr>
                <w:lang w:val="en-US"/>
              </w:rPr>
            </w:pPr>
          </w:p>
        </w:tc>
        <w:tc>
          <w:tcPr>
            <w:tcW w:w="1559" w:type="dxa"/>
          </w:tcPr>
          <w:p w14:paraId="1655DB85" w14:textId="2F2B5E93" w:rsidR="00C10EF4" w:rsidRPr="00E71E85" w:rsidRDefault="00165167" w:rsidP="00F53676">
            <w:pPr>
              <w:pStyle w:val="Topptekst"/>
              <w:rPr>
                <w:rStyle w:val="uthevet"/>
                <w:lang w:val="en-US"/>
              </w:rPr>
            </w:pPr>
            <w:r>
              <w:rPr>
                <w:rStyle w:val="uthevet"/>
                <w:lang w:val="en-US"/>
              </w:rPr>
              <w:t>Publication no.</w:t>
            </w:r>
            <w:r w:rsidR="00C10EF4" w:rsidRPr="00E71E85">
              <w:rPr>
                <w:rStyle w:val="uthevet"/>
                <w:lang w:val="en-US"/>
              </w:rPr>
              <w:t>:</w:t>
            </w:r>
          </w:p>
        </w:tc>
        <w:tc>
          <w:tcPr>
            <w:tcW w:w="1683" w:type="dxa"/>
          </w:tcPr>
          <w:p w14:paraId="76D32ACB" w14:textId="3172D3C7" w:rsidR="00C10EF4" w:rsidRPr="00E71E85" w:rsidRDefault="00092CBA" w:rsidP="00F53676">
            <w:pPr>
              <w:pStyle w:val="Topptekst"/>
              <w:rPr>
                <w:lang w:val="en-US"/>
              </w:rPr>
            </w:pPr>
            <w:r w:rsidRPr="00092CBA">
              <w:rPr>
                <w:lang w:val="en-US"/>
              </w:rPr>
              <w:t>NIM-</w:t>
            </w:r>
            <w:r w:rsidR="003D7FE3">
              <w:rPr>
                <w:lang w:val="en-US"/>
              </w:rPr>
              <w:t>H</w:t>
            </w:r>
            <w:r w:rsidRPr="00092CBA">
              <w:rPr>
                <w:lang w:val="en-US"/>
              </w:rPr>
              <w:t>-2023-0</w:t>
            </w:r>
            <w:r w:rsidR="003D7FE3">
              <w:rPr>
                <w:lang w:val="en-US"/>
              </w:rPr>
              <w:t>12</w:t>
            </w:r>
            <w:r w:rsidRPr="00092CBA">
              <w:rPr>
                <w:lang w:val="en-US"/>
              </w:rPr>
              <w:t>-EN</w:t>
            </w:r>
          </w:p>
        </w:tc>
      </w:tr>
    </w:tbl>
    <w:p w14:paraId="59E97715" w14:textId="1EDE3022" w:rsidR="008908B5" w:rsidRDefault="003E4D20" w:rsidP="001468BD">
      <w:pPr>
        <w:pStyle w:val="NIMTittel1"/>
        <w:rPr>
          <w:lang w:val="en-US"/>
        </w:rPr>
      </w:pPr>
      <w:r>
        <w:rPr>
          <w:lang w:val="en-US"/>
        </w:rPr>
        <w:t>Submission to the Committee on the Rights of the Child on its Draft General Comment no. 26</w:t>
      </w:r>
    </w:p>
    <w:p w14:paraId="4CE9462B" w14:textId="546C971B" w:rsidR="003E4D20" w:rsidRDefault="003E4D20" w:rsidP="00F06D43">
      <w:pPr>
        <w:pStyle w:val="Overskriftniv1"/>
        <w:rPr>
          <w:lang w:val="en-US"/>
        </w:rPr>
      </w:pPr>
      <w:r>
        <w:rPr>
          <w:lang w:val="en-US"/>
        </w:rPr>
        <w:t>Introduction</w:t>
      </w:r>
    </w:p>
    <w:p w14:paraId="228A6FE2" w14:textId="3219BA52" w:rsidR="003E4D20" w:rsidRDefault="003E4D20" w:rsidP="003E4D20">
      <w:r>
        <w:t xml:space="preserve">The Norwegian National Human Rights Institution (NIM) </w:t>
      </w:r>
      <w:r w:rsidR="000A0BC1">
        <w:t>is grateful for</w:t>
      </w:r>
      <w:r w:rsidRPr="001D2C4A">
        <w:t xml:space="preserve"> the opportunity to provide input on the</w:t>
      </w:r>
      <w:r w:rsidRPr="003E4D20">
        <w:rPr>
          <w:lang w:val="en-US"/>
        </w:rPr>
        <w:t xml:space="preserve"> </w:t>
      </w:r>
      <w:r>
        <w:rPr>
          <w:lang w:val="en-US"/>
        </w:rPr>
        <w:t>Draft General Comment no. 26</w:t>
      </w:r>
      <w:r w:rsidRPr="001D2C4A">
        <w:t xml:space="preserve"> on Children’s Rights and the Environment with a Special Focus on Climate Change (</w:t>
      </w:r>
      <w:r w:rsidR="00B622DE">
        <w:t>GC</w:t>
      </w:r>
      <w:r w:rsidRPr="001D2C4A">
        <w:t>)</w:t>
      </w:r>
      <w:r>
        <w:t>. We refer to the</w:t>
      </w:r>
      <w:r w:rsidRPr="006244D9">
        <w:t xml:space="preserve"> </w:t>
      </w:r>
      <w:r>
        <w:t xml:space="preserve">extension </w:t>
      </w:r>
      <w:r w:rsidR="00DB7372">
        <w:t>kindly</w:t>
      </w:r>
      <w:r>
        <w:t xml:space="preserve"> granted by </w:t>
      </w:r>
      <w:r>
        <w:rPr>
          <w:lang w:eastAsia="nb-NO"/>
        </w:rPr>
        <w:t xml:space="preserve">Chanmi Kim </w:t>
      </w:r>
      <w:r>
        <w:t>at</w:t>
      </w:r>
      <w:r w:rsidR="00B0613F">
        <w:t xml:space="preserve"> the</w:t>
      </w:r>
      <w:r>
        <w:t xml:space="preserve"> UN via e-mail 15.02.2023</w:t>
      </w:r>
      <w:r w:rsidR="00D66A38">
        <w:t>, and our previous submission t</w:t>
      </w:r>
      <w:r w:rsidR="00EA1F34">
        <w:t xml:space="preserve">o the </w:t>
      </w:r>
      <w:r w:rsidR="00EA1F34">
        <w:rPr>
          <w:lang w:val="en-US"/>
        </w:rPr>
        <w:t>Committee on the Rights of the Child (</w:t>
      </w:r>
      <w:proofErr w:type="spellStart"/>
      <w:r w:rsidR="00EA1F34">
        <w:rPr>
          <w:lang w:val="en-US"/>
        </w:rPr>
        <w:t>CRCt</w:t>
      </w:r>
      <w:proofErr w:type="spellEnd"/>
      <w:r w:rsidR="00EA1F34">
        <w:rPr>
          <w:lang w:val="en-US"/>
        </w:rPr>
        <w:t>)</w:t>
      </w:r>
      <w:r w:rsidR="00EA1F34">
        <w:rPr>
          <w:lang w:val="en-US"/>
        </w:rPr>
        <w:t>.</w:t>
      </w:r>
      <w:r w:rsidR="00EA1F34">
        <w:rPr>
          <w:rStyle w:val="Fotnotereferanse"/>
          <w:lang w:val="en-US"/>
        </w:rPr>
        <w:footnoteReference w:id="1"/>
      </w:r>
    </w:p>
    <w:p w14:paraId="64EDB7F4" w14:textId="355F5495" w:rsidR="003E4D20" w:rsidRDefault="003E4D20" w:rsidP="003E4D20">
      <w:r w:rsidRPr="00FB1A56">
        <w:t>NIM is an independent public body established by the Norwegian Parliament to strengthen the implementation of human rights in Norway</w:t>
      </w:r>
      <w:r>
        <w:t>.</w:t>
      </w:r>
      <w:r>
        <w:rPr>
          <w:rStyle w:val="Fotnotereferanse"/>
        </w:rPr>
        <w:footnoteReference w:id="2"/>
      </w:r>
      <w:r w:rsidRPr="00FB1A56">
        <w:t xml:space="preserve"> </w:t>
      </w:r>
      <w:r w:rsidRPr="00D15CBD">
        <w:t xml:space="preserve">We have a legislative mandate to, </w:t>
      </w:r>
      <w:r w:rsidRPr="00D15CBD">
        <w:rPr>
          <w:i/>
          <w:iCs/>
        </w:rPr>
        <w:t xml:space="preserve">inter alia, </w:t>
      </w:r>
      <w:r w:rsidRPr="00D15CBD">
        <w:t>participate in international cooperation to promote a</w:t>
      </w:r>
      <w:r>
        <w:t>nd protect human rights.</w:t>
      </w:r>
      <w:r w:rsidR="00D90337">
        <w:t xml:space="preserve"> </w:t>
      </w:r>
      <w:r>
        <w:t xml:space="preserve">Climate change, one of the most pressing and serious threats to human rights, is highly prioritized by NIM. </w:t>
      </w:r>
      <w:r w:rsidRPr="00304C36">
        <w:t xml:space="preserve">In 2020, </w:t>
      </w:r>
      <w:r>
        <w:t>NIM</w:t>
      </w:r>
      <w:r w:rsidRPr="00304C36">
        <w:t xml:space="preserve"> </w:t>
      </w:r>
      <w:r>
        <w:t xml:space="preserve">wrote a report on climate and human rights and </w:t>
      </w:r>
      <w:r w:rsidRPr="00304C36">
        <w:t xml:space="preserve">intervened as </w:t>
      </w:r>
      <w:r w:rsidRPr="00825B49">
        <w:rPr>
          <w:i/>
          <w:iCs/>
        </w:rPr>
        <w:t>amicus curiae</w:t>
      </w:r>
      <w:r w:rsidRPr="00304C36">
        <w:t xml:space="preserve"> in the Arctic Oil case before the Norwegian Supreme Court</w:t>
      </w:r>
      <w:r>
        <w:t>.</w:t>
      </w:r>
      <w:r w:rsidRPr="00304C36">
        <w:t xml:space="preserve"> </w:t>
      </w:r>
      <w:r>
        <w:t>Together with t</w:t>
      </w:r>
      <w:r w:rsidRPr="00135770">
        <w:t>he European Network of National Human Rights Institutions (ENNHRI)</w:t>
      </w:r>
      <w:r>
        <w:t xml:space="preserve">, NIM has also </w:t>
      </w:r>
      <w:r w:rsidRPr="00304C36">
        <w:t xml:space="preserve">submitted </w:t>
      </w:r>
      <w:r>
        <w:t>several</w:t>
      </w:r>
      <w:r w:rsidRPr="00304C36">
        <w:t xml:space="preserve"> third-party interventions to the </w:t>
      </w:r>
      <w:r>
        <w:t xml:space="preserve">European Court of Human Rights </w:t>
      </w:r>
      <w:r w:rsidRPr="00304C36">
        <w:t xml:space="preserve">in </w:t>
      </w:r>
      <w:r w:rsidR="007479E6">
        <w:t>pending</w:t>
      </w:r>
      <w:r w:rsidRPr="00304C36">
        <w:t xml:space="preserve"> climate cases</w:t>
      </w:r>
      <w:r>
        <w:t>.</w:t>
      </w:r>
      <w:r>
        <w:rPr>
          <w:rStyle w:val="Fotnotereferanse"/>
        </w:rPr>
        <w:footnoteReference w:id="3"/>
      </w:r>
      <w:r>
        <w:t xml:space="preserve"> Throughout our work, NIM has acquired special e</w:t>
      </w:r>
      <w:r w:rsidRPr="001D5781">
        <w:t xml:space="preserve">xpertise </w:t>
      </w:r>
      <w:r>
        <w:t>in this area.</w:t>
      </w:r>
    </w:p>
    <w:p w14:paraId="3C2392E7" w14:textId="7D182DD7" w:rsidR="000A0BC1" w:rsidRPr="003E4D20" w:rsidRDefault="000A0BC1" w:rsidP="003E4D20">
      <w:r>
        <w:t xml:space="preserve">NIM welcomes the </w:t>
      </w:r>
      <w:r w:rsidR="001D6C23">
        <w:t>d</w:t>
      </w:r>
      <w:r>
        <w:t>raft, and believes it provides important guidance</w:t>
      </w:r>
      <w:r w:rsidR="00DB3BF7">
        <w:t xml:space="preserve"> to the interpretation of the </w:t>
      </w:r>
      <w:r w:rsidR="00DB3BF7">
        <w:rPr>
          <w:lang w:val="en-US"/>
        </w:rPr>
        <w:t>UN Convention on the Rights of the Child (CRC)</w:t>
      </w:r>
      <w:r w:rsidR="00DB3BF7">
        <w:t xml:space="preserve">. Our </w:t>
      </w:r>
      <w:r w:rsidR="0077747E">
        <w:t xml:space="preserve">following </w:t>
      </w:r>
      <w:r w:rsidR="00DB3BF7">
        <w:t>comment</w:t>
      </w:r>
      <w:r w:rsidR="0077747E">
        <w:t xml:space="preserve"> </w:t>
      </w:r>
      <w:r w:rsidR="00DB3BF7">
        <w:t>will focus on the elements that</w:t>
      </w:r>
      <w:r w:rsidR="0077747E">
        <w:t>,</w:t>
      </w:r>
      <w:r w:rsidR="00DB3BF7">
        <w:t xml:space="preserve"> in our view</w:t>
      </w:r>
      <w:r w:rsidR="0077747E">
        <w:t>,</w:t>
      </w:r>
      <w:r w:rsidR="00DB3BF7">
        <w:t xml:space="preserve"> could </w:t>
      </w:r>
      <w:r w:rsidR="0077747E">
        <w:t xml:space="preserve">be </w:t>
      </w:r>
      <w:r w:rsidR="000D22EC">
        <w:t>improved</w:t>
      </w:r>
      <w:r w:rsidR="0077747E">
        <w:t xml:space="preserve">. </w:t>
      </w:r>
    </w:p>
    <w:p w14:paraId="2352FF6F" w14:textId="2B0BFE7B" w:rsidR="003E4D20" w:rsidRDefault="008A66ED" w:rsidP="00F06D43">
      <w:pPr>
        <w:pStyle w:val="Overskriftniv1"/>
        <w:rPr>
          <w:lang w:val="en-US"/>
        </w:rPr>
      </w:pPr>
      <w:r>
        <w:rPr>
          <w:lang w:val="en-US"/>
        </w:rPr>
        <w:t>Interpretations and the l</w:t>
      </w:r>
      <w:r w:rsidR="00145C2F">
        <w:rPr>
          <w:lang w:val="en-US"/>
        </w:rPr>
        <w:t>egal weight of General Comments</w:t>
      </w:r>
      <w:r w:rsidR="00397340">
        <w:rPr>
          <w:lang w:val="en-US"/>
        </w:rPr>
        <w:t xml:space="preserve"> (paras 9-10)</w:t>
      </w:r>
    </w:p>
    <w:p w14:paraId="4F1301F1" w14:textId="7C188722" w:rsidR="00ED517E" w:rsidRDefault="0007657D" w:rsidP="00EC452F">
      <w:r>
        <w:rPr>
          <w:lang w:val="en-US"/>
        </w:rPr>
        <w:t xml:space="preserve">Treaties like the </w:t>
      </w:r>
      <w:r w:rsidR="00DB3BF7">
        <w:rPr>
          <w:lang w:val="en-US"/>
        </w:rPr>
        <w:t>CRC</w:t>
      </w:r>
      <w:r>
        <w:rPr>
          <w:lang w:val="en-US"/>
        </w:rPr>
        <w:t xml:space="preserve"> </w:t>
      </w:r>
      <w:r w:rsidR="001B1463">
        <w:rPr>
          <w:lang w:val="en-US"/>
        </w:rPr>
        <w:t>are</w:t>
      </w:r>
      <w:r>
        <w:rPr>
          <w:lang w:val="en-US"/>
        </w:rPr>
        <w:t xml:space="preserve"> interpreted in accordance with the Vienna Convention on the Law of Treaties (</w:t>
      </w:r>
      <w:proofErr w:type="spellStart"/>
      <w:r>
        <w:rPr>
          <w:lang w:val="en-US"/>
        </w:rPr>
        <w:t>VCLT</w:t>
      </w:r>
      <w:proofErr w:type="spellEnd"/>
      <w:r>
        <w:rPr>
          <w:lang w:val="en-US"/>
        </w:rPr>
        <w:t>)</w:t>
      </w:r>
      <w:r w:rsidR="00CB253B">
        <w:rPr>
          <w:lang w:val="en-US"/>
        </w:rPr>
        <w:t xml:space="preserve"> Articles 31-33</w:t>
      </w:r>
      <w:r w:rsidR="00F53C43">
        <w:rPr>
          <w:lang w:val="en-US"/>
        </w:rPr>
        <w:t>, where g</w:t>
      </w:r>
      <w:r w:rsidR="005556A9">
        <w:rPr>
          <w:lang w:val="en-US"/>
        </w:rPr>
        <w:t xml:space="preserve">eneral comments </w:t>
      </w:r>
      <w:r w:rsidR="003C44A3">
        <w:rPr>
          <w:lang w:val="en-US"/>
        </w:rPr>
        <w:t>are</w:t>
      </w:r>
      <w:r w:rsidR="005556A9">
        <w:rPr>
          <w:lang w:val="en-US"/>
        </w:rPr>
        <w:t xml:space="preserve"> no</w:t>
      </w:r>
      <w:r w:rsidR="003C44A3">
        <w:rPr>
          <w:lang w:val="en-US"/>
        </w:rPr>
        <w:t>t</w:t>
      </w:r>
      <w:r w:rsidR="005556A9">
        <w:rPr>
          <w:lang w:val="en-US"/>
        </w:rPr>
        <w:t xml:space="preserve"> </w:t>
      </w:r>
      <w:r w:rsidR="008A66ED">
        <w:rPr>
          <w:lang w:val="en-US"/>
        </w:rPr>
        <w:t>explicitly</w:t>
      </w:r>
      <w:r w:rsidR="005556A9">
        <w:rPr>
          <w:lang w:val="en-US"/>
        </w:rPr>
        <w:t xml:space="preserve"> mentioned. However, the International Court of Justice</w:t>
      </w:r>
      <w:r w:rsidR="00231E86">
        <w:rPr>
          <w:lang w:val="en-US"/>
        </w:rPr>
        <w:t xml:space="preserve"> (ICJ)</w:t>
      </w:r>
      <w:r w:rsidR="005556A9">
        <w:rPr>
          <w:lang w:val="en-US"/>
        </w:rPr>
        <w:t xml:space="preserve"> has held the </w:t>
      </w:r>
      <w:r w:rsidR="00EC452F">
        <w:rPr>
          <w:lang w:val="en-US"/>
        </w:rPr>
        <w:t>“[a]</w:t>
      </w:r>
      <w:proofErr w:type="spellStart"/>
      <w:r w:rsidR="004117ED" w:rsidRPr="00B925AF">
        <w:t>lthough</w:t>
      </w:r>
      <w:proofErr w:type="spellEnd"/>
      <w:r w:rsidR="004117ED" w:rsidRPr="00B925AF">
        <w:t xml:space="preserve"> </w:t>
      </w:r>
      <w:r w:rsidR="004117ED" w:rsidRPr="00B925AF">
        <w:lastRenderedPageBreak/>
        <w:t>the Court is in no way obliged, in the exercise of its judicial functions, to model its own interpretation of</w:t>
      </w:r>
      <w:r w:rsidR="00EC452F">
        <w:t>” the UN Human Rights Committee, “</w:t>
      </w:r>
      <w:r w:rsidR="004117ED" w:rsidRPr="00B925AF">
        <w:t>it believes that it should ascribe great weight to the interpretation adopted by this independent body that was established specifically to supervise the application of that treaty</w:t>
      </w:r>
      <w:r w:rsidR="00ED517E" w:rsidRPr="00B925AF">
        <w:t>.</w:t>
      </w:r>
      <w:r w:rsidR="00CF1D33" w:rsidRPr="00B925AF">
        <w:rPr>
          <w:vertAlign w:val="superscript"/>
        </w:rPr>
        <w:footnoteReference w:id="4"/>
      </w:r>
      <w:r w:rsidR="00ED517E" w:rsidRPr="00B925AF">
        <w:t xml:space="preserve"> </w:t>
      </w:r>
      <w:r w:rsidR="00231E86">
        <w:t xml:space="preserve">More recently, </w:t>
      </w:r>
      <w:r w:rsidR="00EC452F">
        <w:t>the ICJ held</w:t>
      </w:r>
      <w:r w:rsidR="002B20AB" w:rsidRPr="002B20AB">
        <w:t xml:space="preserve"> </w:t>
      </w:r>
      <w:r w:rsidR="002B20AB">
        <w:t xml:space="preserve">that </w:t>
      </w:r>
      <w:r w:rsidR="005A508B">
        <w:t xml:space="preserve">“the Court has carefully considered the position taken by the </w:t>
      </w:r>
      <w:r w:rsidR="00EC452F">
        <w:t>[</w:t>
      </w:r>
      <w:r w:rsidR="00EC452F" w:rsidRPr="002B20AB">
        <w:t>Committee on the Elimination of Racial Discrimination</w:t>
      </w:r>
      <w:r w:rsidR="00EC452F">
        <w:t>]</w:t>
      </w:r>
      <w:r w:rsidR="005A508B">
        <w:t>”, but came to another result by “applying, as it is required to do … the relevant customary rules on treaty interpretation”.</w:t>
      </w:r>
      <w:r w:rsidR="005A508B">
        <w:rPr>
          <w:rStyle w:val="Fotnotereferanse"/>
        </w:rPr>
        <w:footnoteReference w:id="5"/>
      </w:r>
    </w:p>
    <w:p w14:paraId="50DC78DB" w14:textId="1CBA3B26" w:rsidR="002039D6" w:rsidRPr="00FD0EAE" w:rsidRDefault="003D2E8B" w:rsidP="002E4548">
      <w:r>
        <w:rPr>
          <w:lang w:val="en-US"/>
        </w:rPr>
        <w:t>Similarly, under Norwegian law,</w:t>
      </w:r>
      <w:r w:rsidR="002E4548">
        <w:rPr>
          <w:lang w:val="en-US"/>
        </w:rPr>
        <w:t xml:space="preserve"> statements in</w:t>
      </w:r>
      <w:r>
        <w:rPr>
          <w:lang w:val="en-US"/>
        </w:rPr>
        <w:t xml:space="preserve"> </w:t>
      </w:r>
      <w:r w:rsidR="0082103B">
        <w:rPr>
          <w:lang w:val="en-US"/>
        </w:rPr>
        <w:t>G</w:t>
      </w:r>
      <w:r>
        <w:rPr>
          <w:lang w:val="en-US"/>
        </w:rPr>
        <w:t xml:space="preserve">eneral </w:t>
      </w:r>
      <w:r w:rsidR="0082103B">
        <w:rPr>
          <w:lang w:val="en-US"/>
        </w:rPr>
        <w:t>C</w:t>
      </w:r>
      <w:r>
        <w:rPr>
          <w:lang w:val="en-US"/>
        </w:rPr>
        <w:t>omments</w:t>
      </w:r>
      <w:r w:rsidR="00134D2A">
        <w:rPr>
          <w:lang w:val="en-US"/>
        </w:rPr>
        <w:t xml:space="preserve"> from the </w:t>
      </w:r>
      <w:proofErr w:type="spellStart"/>
      <w:r w:rsidR="00134D2A">
        <w:rPr>
          <w:lang w:val="en-US"/>
        </w:rPr>
        <w:t>CRCt</w:t>
      </w:r>
      <w:proofErr w:type="spellEnd"/>
      <w:r>
        <w:rPr>
          <w:lang w:val="en-US"/>
        </w:rPr>
        <w:t xml:space="preserve"> are generally afforded weight </w:t>
      </w:r>
      <w:r w:rsidR="002E4548">
        <w:rPr>
          <w:lang w:val="en-US"/>
        </w:rPr>
        <w:t>according to</w:t>
      </w:r>
      <w:r>
        <w:rPr>
          <w:lang w:val="en-US"/>
        </w:rPr>
        <w:t xml:space="preserve"> </w:t>
      </w:r>
      <w:r w:rsidR="002E4548" w:rsidRPr="002E4548">
        <w:rPr>
          <w:i/>
          <w:iCs/>
          <w:lang w:val="en-US"/>
        </w:rPr>
        <w:t>how well they are anchored in the text of the convention</w:t>
      </w:r>
      <w:r w:rsidR="002E4548">
        <w:rPr>
          <w:i/>
          <w:iCs/>
          <w:lang w:val="en-US"/>
        </w:rPr>
        <w:t xml:space="preserve"> </w:t>
      </w:r>
      <w:r w:rsidR="0017777D">
        <w:rPr>
          <w:lang w:val="en-US"/>
        </w:rPr>
        <w:t>based on</w:t>
      </w:r>
      <w:r w:rsidR="002E4548">
        <w:rPr>
          <w:lang w:val="en-US"/>
        </w:rPr>
        <w:t xml:space="preserve"> the interpretative methods as described in the </w:t>
      </w:r>
      <w:proofErr w:type="spellStart"/>
      <w:r w:rsidR="002E4548">
        <w:rPr>
          <w:lang w:val="en-US"/>
        </w:rPr>
        <w:t>VCLT</w:t>
      </w:r>
      <w:proofErr w:type="spellEnd"/>
      <w:r w:rsidR="007A4467">
        <w:rPr>
          <w:lang w:val="en-US"/>
        </w:rPr>
        <w:t>.</w:t>
      </w:r>
      <w:r w:rsidR="00C6460A" w:rsidRPr="00C12265">
        <w:rPr>
          <w:rStyle w:val="Fotnotereferanse"/>
          <w:lang w:val="en-US"/>
        </w:rPr>
        <w:footnoteReference w:id="6"/>
      </w:r>
      <w:r w:rsidR="007A4467">
        <w:rPr>
          <w:lang w:val="en-US"/>
        </w:rPr>
        <w:t xml:space="preserve"> </w:t>
      </w:r>
      <w:r w:rsidR="002E4548" w:rsidRPr="002E4548">
        <w:rPr>
          <w:lang w:val="en-US"/>
        </w:rPr>
        <w:t xml:space="preserve">Another key point is whether </w:t>
      </w:r>
      <w:r w:rsidR="007A4467">
        <w:rPr>
          <w:lang w:val="en-US"/>
        </w:rPr>
        <w:t>the statement</w:t>
      </w:r>
      <w:r w:rsidR="002E4548" w:rsidRPr="002E4548">
        <w:rPr>
          <w:lang w:val="en-US"/>
        </w:rPr>
        <w:t xml:space="preserve"> </w:t>
      </w:r>
      <w:r w:rsidR="007A4467">
        <w:rPr>
          <w:lang w:val="en-US"/>
        </w:rPr>
        <w:t>is</w:t>
      </w:r>
      <w:r w:rsidR="002E4548" w:rsidRPr="002E4548">
        <w:rPr>
          <w:lang w:val="en-US"/>
        </w:rPr>
        <w:t xml:space="preserve"> </w:t>
      </w:r>
      <w:r w:rsidR="002E4548" w:rsidRPr="002E4548">
        <w:rPr>
          <w:i/>
          <w:iCs/>
          <w:lang w:val="en-US"/>
        </w:rPr>
        <w:t>interpretive</w:t>
      </w:r>
      <w:r w:rsidR="002E4548" w:rsidRPr="002E4548">
        <w:rPr>
          <w:lang w:val="en-US"/>
        </w:rPr>
        <w:t xml:space="preserve">, or whether </w:t>
      </w:r>
      <w:r w:rsidR="007A4467">
        <w:rPr>
          <w:lang w:val="en-US"/>
        </w:rPr>
        <w:t>it</w:t>
      </w:r>
      <w:r w:rsidR="002E4548" w:rsidRPr="002E4548">
        <w:rPr>
          <w:lang w:val="en-US"/>
        </w:rPr>
        <w:t xml:space="preserve"> must be seen more as a </w:t>
      </w:r>
      <w:r w:rsidR="002E4548" w:rsidRPr="002E4548">
        <w:rPr>
          <w:i/>
          <w:iCs/>
          <w:lang w:val="en-US"/>
        </w:rPr>
        <w:t>recommendation on optimal practice</w:t>
      </w:r>
      <w:r w:rsidR="002E4548">
        <w:rPr>
          <w:lang w:val="en-US"/>
        </w:rPr>
        <w:t>.</w:t>
      </w:r>
      <w:r w:rsidR="00312C9C">
        <w:rPr>
          <w:i/>
          <w:iCs/>
          <w:lang w:val="en-US"/>
        </w:rPr>
        <w:t xml:space="preserve"> </w:t>
      </w:r>
    </w:p>
    <w:p w14:paraId="7B45BAFD" w14:textId="451D4161" w:rsidR="00397340" w:rsidRDefault="001B1463" w:rsidP="000B031E">
      <w:pPr>
        <w:rPr>
          <w:lang w:val="en-US"/>
        </w:rPr>
      </w:pPr>
      <w:r>
        <w:rPr>
          <w:lang w:val="en-US"/>
        </w:rPr>
        <w:t>To ensure that the</w:t>
      </w:r>
      <w:r w:rsidR="00C6460A">
        <w:rPr>
          <w:lang w:val="en-US"/>
        </w:rPr>
        <w:t xml:space="preserve"> </w:t>
      </w:r>
      <w:r w:rsidR="00E86B9E">
        <w:t>GC</w:t>
      </w:r>
      <w:r w:rsidR="00E86B9E">
        <w:rPr>
          <w:lang w:val="en-US"/>
        </w:rPr>
        <w:t xml:space="preserve"> </w:t>
      </w:r>
      <w:r>
        <w:rPr>
          <w:lang w:val="en-US"/>
        </w:rPr>
        <w:t>provides</w:t>
      </w:r>
      <w:r w:rsidR="00C6460A">
        <w:rPr>
          <w:lang w:val="en-US"/>
        </w:rPr>
        <w:t xml:space="preserve"> </w:t>
      </w:r>
      <w:r w:rsidR="00C6460A">
        <w:rPr>
          <w:i/>
          <w:iCs/>
          <w:lang w:val="en-US"/>
        </w:rPr>
        <w:t xml:space="preserve">authoritative </w:t>
      </w:r>
      <w:r w:rsidR="00CD7D6C">
        <w:rPr>
          <w:i/>
          <w:iCs/>
          <w:lang w:val="en-US"/>
        </w:rPr>
        <w:t xml:space="preserve">legal </w:t>
      </w:r>
      <w:r w:rsidR="00C6460A">
        <w:rPr>
          <w:i/>
          <w:iCs/>
          <w:lang w:val="en-US"/>
        </w:rPr>
        <w:t>interpretations</w:t>
      </w:r>
      <w:r>
        <w:rPr>
          <w:i/>
          <w:iCs/>
          <w:lang w:val="en-US"/>
        </w:rPr>
        <w:t xml:space="preserve"> </w:t>
      </w:r>
      <w:r>
        <w:rPr>
          <w:lang w:val="en-US"/>
        </w:rPr>
        <w:t>that will be relied upon by courts</w:t>
      </w:r>
      <w:r w:rsidR="00C6460A">
        <w:rPr>
          <w:i/>
          <w:iCs/>
          <w:lang w:val="en-US"/>
        </w:rPr>
        <w:t xml:space="preserve">, </w:t>
      </w:r>
      <w:r w:rsidR="00CD7D6C">
        <w:rPr>
          <w:lang w:val="en-US"/>
        </w:rPr>
        <w:t xml:space="preserve">the method applied throughout the text should be more stringent and </w:t>
      </w:r>
      <w:r w:rsidR="00397340">
        <w:rPr>
          <w:lang w:val="en-US"/>
        </w:rPr>
        <w:t>described further in</w:t>
      </w:r>
      <w:r w:rsidR="007479E6">
        <w:rPr>
          <w:lang w:val="en-US"/>
        </w:rPr>
        <w:t xml:space="preserve"> the draft</w:t>
      </w:r>
      <w:r w:rsidR="00397340">
        <w:rPr>
          <w:lang w:val="en-US"/>
        </w:rPr>
        <w:t xml:space="preserve"> paras. 9-10.</w:t>
      </w:r>
      <w:r w:rsidR="008A66ED" w:rsidRPr="008A66ED">
        <w:rPr>
          <w:lang w:val="en-US"/>
        </w:rPr>
        <w:t xml:space="preserve"> </w:t>
      </w:r>
      <w:r w:rsidR="008D5694">
        <w:rPr>
          <w:lang w:val="en-US"/>
        </w:rPr>
        <w:t>T</w:t>
      </w:r>
      <w:r w:rsidR="008A66ED">
        <w:rPr>
          <w:lang w:val="en-US"/>
        </w:rPr>
        <w:t>he</w:t>
      </w:r>
      <w:r w:rsidR="008D5694">
        <w:rPr>
          <w:lang w:val="en-US"/>
        </w:rPr>
        <w:t xml:space="preserve"> </w:t>
      </w:r>
      <w:proofErr w:type="spellStart"/>
      <w:r w:rsidR="006F2CE5">
        <w:rPr>
          <w:lang w:val="en-US"/>
        </w:rPr>
        <w:t>CRCt</w:t>
      </w:r>
      <w:proofErr w:type="spellEnd"/>
      <w:r w:rsidR="006F2CE5">
        <w:rPr>
          <w:lang w:val="en-US"/>
        </w:rPr>
        <w:t xml:space="preserve"> </w:t>
      </w:r>
      <w:r w:rsidR="008D5694">
        <w:rPr>
          <w:lang w:val="en-US"/>
        </w:rPr>
        <w:t>should</w:t>
      </w:r>
      <w:r w:rsidR="008A66ED">
        <w:rPr>
          <w:lang w:val="en-US"/>
        </w:rPr>
        <w:t xml:space="preserve"> formulate </w:t>
      </w:r>
      <w:r w:rsidR="008D5694">
        <w:rPr>
          <w:lang w:val="en-US"/>
        </w:rPr>
        <w:t>the GC</w:t>
      </w:r>
      <w:r w:rsidR="008A66ED">
        <w:rPr>
          <w:lang w:val="en-US"/>
        </w:rPr>
        <w:t xml:space="preserve"> in a way that (i) makes it clear what </w:t>
      </w:r>
      <w:r w:rsidR="007479E6">
        <w:rPr>
          <w:lang w:val="en-US"/>
        </w:rPr>
        <w:t>statements are</w:t>
      </w:r>
      <w:r w:rsidR="008A66ED">
        <w:rPr>
          <w:lang w:val="en-US"/>
        </w:rPr>
        <w:t xml:space="preserve"> interpretative (</w:t>
      </w:r>
      <w:proofErr w:type="gramStart"/>
      <w:r w:rsidR="008A66ED">
        <w:rPr>
          <w:lang w:val="en-US"/>
        </w:rPr>
        <w:t>e.g.</w:t>
      </w:r>
      <w:proofErr w:type="gramEnd"/>
      <w:r w:rsidR="008A66ED">
        <w:rPr>
          <w:lang w:val="en-US"/>
        </w:rPr>
        <w:t xml:space="preserve"> “must”) and </w:t>
      </w:r>
      <w:r w:rsidR="007479E6">
        <w:rPr>
          <w:lang w:val="en-US"/>
        </w:rPr>
        <w:t xml:space="preserve">what are </w:t>
      </w:r>
      <w:r w:rsidR="008A66ED">
        <w:rPr>
          <w:lang w:val="en-US"/>
        </w:rPr>
        <w:t xml:space="preserve">recommendations (e.g. “should”), and (ii) </w:t>
      </w:r>
      <w:r w:rsidR="00B94609">
        <w:rPr>
          <w:lang w:val="en-US"/>
        </w:rPr>
        <w:t xml:space="preserve">explicitly </w:t>
      </w:r>
      <w:r w:rsidR="008A66ED">
        <w:rPr>
          <w:lang w:val="en-US"/>
        </w:rPr>
        <w:t xml:space="preserve">anchors its interpretations in the text of the CRC, </w:t>
      </w:r>
      <w:r w:rsidR="00E108D5">
        <w:rPr>
          <w:lang w:val="en-US"/>
        </w:rPr>
        <w:t xml:space="preserve">in accordance with </w:t>
      </w:r>
      <w:r w:rsidR="006F2CE5">
        <w:rPr>
          <w:lang w:val="en-US"/>
        </w:rPr>
        <w:t xml:space="preserve">the method described in </w:t>
      </w:r>
      <w:proofErr w:type="spellStart"/>
      <w:r w:rsidR="008A66ED">
        <w:rPr>
          <w:lang w:val="en-US"/>
        </w:rPr>
        <w:t>VCLT</w:t>
      </w:r>
      <w:proofErr w:type="spellEnd"/>
      <w:r w:rsidR="008A66ED">
        <w:rPr>
          <w:lang w:val="en-US"/>
        </w:rPr>
        <w:t xml:space="preserve"> Articles 31-33.</w:t>
      </w:r>
    </w:p>
    <w:p w14:paraId="2D4A9DFE" w14:textId="0F0EAD6E" w:rsidR="00574D10" w:rsidRDefault="006C6D38" w:rsidP="00F06D43">
      <w:pPr>
        <w:pStyle w:val="Overskriftniv1"/>
        <w:rPr>
          <w:lang w:val="en-US"/>
        </w:rPr>
      </w:pPr>
      <w:r>
        <w:rPr>
          <w:lang w:val="en-US"/>
        </w:rPr>
        <w:t>The right to life</w:t>
      </w:r>
      <w:r w:rsidR="00AE62D8">
        <w:rPr>
          <w:lang w:val="en-US"/>
        </w:rPr>
        <w:t xml:space="preserve"> </w:t>
      </w:r>
      <w:r w:rsidR="00540CEE">
        <w:rPr>
          <w:lang w:val="en-US"/>
        </w:rPr>
        <w:t>and the</w:t>
      </w:r>
      <w:r w:rsidR="004164D0">
        <w:rPr>
          <w:lang w:val="en-US"/>
        </w:rPr>
        <w:t xml:space="preserve"> right to the highest attainable standard of health</w:t>
      </w:r>
      <w:r>
        <w:rPr>
          <w:lang w:val="en-US"/>
        </w:rPr>
        <w:t xml:space="preserve"> (para</w:t>
      </w:r>
      <w:r w:rsidR="004164D0">
        <w:rPr>
          <w:lang w:val="en-US"/>
        </w:rPr>
        <w:t>s</w:t>
      </w:r>
      <w:r w:rsidR="00575023">
        <w:rPr>
          <w:lang w:val="en-US"/>
        </w:rPr>
        <w:t>.</w:t>
      </w:r>
      <w:r>
        <w:rPr>
          <w:lang w:val="en-US"/>
        </w:rPr>
        <w:t xml:space="preserve"> 16</w:t>
      </w:r>
      <w:r w:rsidR="00575023">
        <w:rPr>
          <w:lang w:val="en-US"/>
        </w:rPr>
        <w:t xml:space="preserve">, </w:t>
      </w:r>
      <w:r w:rsidR="004164D0">
        <w:rPr>
          <w:lang w:val="en-US"/>
        </w:rPr>
        <w:t>28</w:t>
      </w:r>
      <w:r>
        <w:rPr>
          <w:lang w:val="en-US"/>
        </w:rPr>
        <w:t>)</w:t>
      </w:r>
    </w:p>
    <w:p w14:paraId="71173ED5" w14:textId="38BF7F0C" w:rsidR="007759D2" w:rsidRDefault="003B35C0" w:rsidP="007759D2">
      <w:r>
        <w:rPr>
          <w:lang w:val="en-US"/>
        </w:rPr>
        <w:t>T</w:t>
      </w:r>
      <w:r w:rsidR="00BC1050">
        <w:rPr>
          <w:lang w:val="en-US"/>
        </w:rPr>
        <w:t xml:space="preserve">he draft </w:t>
      </w:r>
      <w:r>
        <w:rPr>
          <w:lang w:val="en-US"/>
        </w:rPr>
        <w:t xml:space="preserve">para 16 </w:t>
      </w:r>
      <w:r w:rsidR="007759D2">
        <w:rPr>
          <w:lang w:val="en-US"/>
        </w:rPr>
        <w:t>reads that “</w:t>
      </w:r>
      <w:r w:rsidR="007759D2">
        <w:t xml:space="preserve">States </w:t>
      </w:r>
      <w:r w:rsidR="007759D2" w:rsidRPr="007759D2">
        <w:rPr>
          <w:i/>
          <w:iCs/>
        </w:rPr>
        <w:t>should</w:t>
      </w:r>
      <w:r w:rsidR="007759D2">
        <w:t xml:space="preserve"> take positive action to ensure that children are free from acts and omissions intended or expected to cause their premature or unnatural death” and “</w:t>
      </w:r>
      <w:r w:rsidR="007759D2" w:rsidRPr="007759D2">
        <w:rPr>
          <w:i/>
          <w:iCs/>
        </w:rPr>
        <w:t>should</w:t>
      </w:r>
      <w:r w:rsidR="007759D2">
        <w:t xml:space="preserve"> adopt environmental standards that are protective of children’s right to life” (our emphasis).</w:t>
      </w:r>
      <w:r w:rsidR="004164D0">
        <w:t xml:space="preserve"> Similarly, para 28 reads that </w:t>
      </w:r>
      <w:r w:rsidR="00540CEE">
        <w:t>“</w:t>
      </w:r>
      <w:r w:rsidR="00540CEE" w:rsidRPr="00540CEE">
        <w:t xml:space="preserve">States </w:t>
      </w:r>
      <w:r w:rsidR="00540CEE" w:rsidRPr="00540CEE">
        <w:rPr>
          <w:i/>
          <w:iCs/>
        </w:rPr>
        <w:t>should</w:t>
      </w:r>
      <w:r w:rsidR="00540CEE" w:rsidRPr="00540CEE">
        <w:t xml:space="preserve"> adopt a comprehensive process for identifying and addressing environmental health concerns relevant to children within their national plan, </w:t>
      </w:r>
      <w:proofErr w:type="gramStart"/>
      <w:r w:rsidR="00540CEE" w:rsidRPr="00540CEE">
        <w:t>policy</w:t>
      </w:r>
      <w:proofErr w:type="gramEnd"/>
      <w:r w:rsidR="00540CEE" w:rsidRPr="00540CEE">
        <w:t xml:space="preserve"> or strategy. Legislative and institutional frameworks, including regulation dealing with the business sector, </w:t>
      </w:r>
      <w:r w:rsidR="00540CEE" w:rsidRPr="00540CEE">
        <w:rPr>
          <w:i/>
          <w:iCs/>
        </w:rPr>
        <w:t>should</w:t>
      </w:r>
      <w:r w:rsidR="00540CEE" w:rsidRPr="00540CEE">
        <w:t xml:space="preserve"> effectively protect children’s environmental health in all relevant setting</w:t>
      </w:r>
      <w:r w:rsidR="00DB3BA8">
        <w:t>s</w:t>
      </w:r>
      <w:r w:rsidR="00540CEE">
        <w:t>”</w:t>
      </w:r>
      <w:r w:rsidR="00540CEE" w:rsidRPr="00540CEE">
        <w:t xml:space="preserve"> </w:t>
      </w:r>
      <w:r w:rsidR="00540CEE">
        <w:t>(our emphasis).</w:t>
      </w:r>
    </w:p>
    <w:p w14:paraId="316853AA" w14:textId="373D0409" w:rsidR="003E3F8B" w:rsidRDefault="004933B8" w:rsidP="007759D2">
      <w:pPr>
        <w:rPr>
          <w:bCs/>
        </w:rPr>
      </w:pPr>
      <w:r>
        <w:t>However,</w:t>
      </w:r>
      <w:r w:rsidR="003238AF">
        <w:t xml:space="preserve"> </w:t>
      </w:r>
      <w:r w:rsidR="003E3F8B">
        <w:t xml:space="preserve">in </w:t>
      </w:r>
      <w:r w:rsidR="007479E6">
        <w:t xml:space="preserve">the </w:t>
      </w:r>
      <w:r w:rsidR="00D2482A">
        <w:t>draft</w:t>
      </w:r>
      <w:r w:rsidR="00E86B9E">
        <w:t xml:space="preserve"> </w:t>
      </w:r>
      <w:r w:rsidR="003E3F8B">
        <w:t xml:space="preserve">para 76, </w:t>
      </w:r>
      <w:r w:rsidR="00AC7035">
        <w:t>reference is made to a</w:t>
      </w:r>
      <w:r w:rsidR="003E3F8B">
        <w:t xml:space="preserve"> </w:t>
      </w:r>
      <w:r w:rsidR="00AC7035">
        <w:t xml:space="preserve">legally binding </w:t>
      </w:r>
      <w:r w:rsidR="003E3F8B">
        <w:t>due diligence obligation to “</w:t>
      </w:r>
      <w:r w:rsidR="003E3F8B">
        <w:rPr>
          <w:bCs/>
        </w:rPr>
        <w:t>to take appropriate measures to protect children against reasonably foreseeable environmental harm and violations of their rights”.</w:t>
      </w:r>
    </w:p>
    <w:p w14:paraId="0FFFA1B0" w14:textId="76D80837" w:rsidR="00D63955" w:rsidRPr="00D35F4D" w:rsidRDefault="00D35F4D" w:rsidP="00E108D5">
      <w:r>
        <w:rPr>
          <w:bCs/>
        </w:rPr>
        <w:lastRenderedPageBreak/>
        <w:t xml:space="preserve">In our view, the </w:t>
      </w:r>
      <w:r>
        <w:t xml:space="preserve">wording in paras 16 and 28 should </w:t>
      </w:r>
      <w:r w:rsidR="003B35C0">
        <w:t>be changed to</w:t>
      </w:r>
      <w:r>
        <w:t xml:space="preserve"> “shall” or “must”</w:t>
      </w:r>
      <w:r w:rsidR="003B35C0">
        <w:t xml:space="preserve"> to reflect that this is a legal obligation. When </w:t>
      </w:r>
      <w:r w:rsidR="003B35C0" w:rsidRPr="003B35C0">
        <w:t>environmental</w:t>
      </w:r>
      <w:r w:rsidR="003B35C0">
        <w:t xml:space="preserve"> issues like climate change threatens the right to life or health of children, States are legally </w:t>
      </w:r>
      <w:r w:rsidR="006D3DC4">
        <w:t>obliged</w:t>
      </w:r>
      <w:r w:rsidR="003B35C0">
        <w:t xml:space="preserve"> to take preventive measures to protect them from such risks. </w:t>
      </w:r>
      <w:r w:rsidR="006D3DC4">
        <w:t xml:space="preserve">The </w:t>
      </w:r>
      <w:proofErr w:type="spellStart"/>
      <w:r w:rsidR="00E108D5">
        <w:t>CRCt</w:t>
      </w:r>
      <w:proofErr w:type="spellEnd"/>
      <w:r w:rsidR="00E108D5">
        <w:t xml:space="preserve"> itself has already held that “[d]</w:t>
      </w:r>
      <w:proofErr w:type="spellStart"/>
      <w:r w:rsidR="00E108D5">
        <w:t>ue</w:t>
      </w:r>
      <w:proofErr w:type="spellEnd"/>
      <w:r w:rsidR="00E108D5">
        <w:t xml:space="preserve"> to the particular impact on children, and the recognition by States parties to the Convention that children are entitled to special safeguards, including appropriate legal protection, states have heightened obligations to protect children from foreseeable harm”.</w:t>
      </w:r>
      <w:r w:rsidR="008926D6">
        <w:t xml:space="preserve"> </w:t>
      </w:r>
      <w:r w:rsidR="00E108D5">
        <w:t>Moreover, a</w:t>
      </w:r>
      <w:r w:rsidR="004A2235">
        <w:t xml:space="preserve">pex courts in the Netherlands, Ireland, Norway, Germany, France, the US, Canada, Colombia, </w:t>
      </w:r>
      <w:proofErr w:type="gramStart"/>
      <w:r w:rsidR="004A2235">
        <w:t>Nepal</w:t>
      </w:r>
      <w:proofErr w:type="gramEnd"/>
      <w:r w:rsidR="004A2235">
        <w:t xml:space="preserve"> and Australia consider climate change a real and serious threat to human lives, </w:t>
      </w:r>
      <w:r w:rsidR="003D47C2">
        <w:t xml:space="preserve">in </w:t>
      </w:r>
      <w:r w:rsidR="006D3DC4">
        <w:t>several</w:t>
      </w:r>
      <w:r w:rsidR="003D47C2">
        <w:t xml:space="preserve"> cases </w:t>
      </w:r>
      <w:r w:rsidR="003D47C2" w:rsidRPr="003D47C2">
        <w:rPr>
          <w:i/>
          <w:iCs/>
        </w:rPr>
        <w:t>obliging</w:t>
      </w:r>
      <w:r w:rsidR="003D47C2">
        <w:t xml:space="preserve"> States to mitigate climate change to protect life or the right to life under different </w:t>
      </w:r>
      <w:r w:rsidR="00267D16">
        <w:t>conventions.</w:t>
      </w:r>
      <w:r w:rsidR="003D47C2">
        <w:rPr>
          <w:rStyle w:val="Fotnotereferanse"/>
        </w:rPr>
        <w:footnoteReference w:id="7"/>
      </w:r>
      <w:r w:rsidR="004933B8">
        <w:rPr>
          <w:rStyle w:val="Fotnotereferanse"/>
        </w:rPr>
        <w:footnoteReference w:id="8"/>
      </w:r>
      <w:r w:rsidR="008926D6">
        <w:t xml:space="preserve"> </w:t>
      </w:r>
    </w:p>
    <w:p w14:paraId="388EFD7D" w14:textId="2086A71E" w:rsidR="002912FD" w:rsidRDefault="002912FD" w:rsidP="007759D2">
      <w:r>
        <w:t xml:space="preserve">In view of </w:t>
      </w:r>
      <w:r w:rsidR="008974F8">
        <w:t>the rel</w:t>
      </w:r>
      <w:r w:rsidR="006730EC">
        <w:t xml:space="preserve">ative elements of Article 24 (“highest attainable standard of health”), the </w:t>
      </w:r>
      <w:r w:rsidR="006730EC" w:rsidRPr="00BC6724">
        <w:rPr>
          <w:i/>
          <w:iCs/>
        </w:rPr>
        <w:t xml:space="preserve">minimum legal obligation </w:t>
      </w:r>
      <w:r w:rsidR="006730EC">
        <w:t>that should be addressed is the obligation to refrain from retrogressive measures. The draft para 76 already mentions this</w:t>
      </w:r>
      <w:r w:rsidR="00BC6724">
        <w:t xml:space="preserve"> element</w:t>
      </w:r>
      <w:r w:rsidR="006730EC">
        <w:t xml:space="preserve">. </w:t>
      </w:r>
    </w:p>
    <w:p w14:paraId="4A25692E" w14:textId="52143479" w:rsidR="00FD7AC9" w:rsidRPr="00F06D43" w:rsidRDefault="00325B68" w:rsidP="00F06D43">
      <w:pPr>
        <w:pStyle w:val="Overskriftniv1"/>
      </w:pPr>
      <w:r w:rsidRPr="00F06D43">
        <w:t>Best interest of the child (paras</w:t>
      </w:r>
      <w:r w:rsidR="00575023">
        <w:t>.</w:t>
      </w:r>
      <w:r w:rsidRPr="00F06D43">
        <w:t xml:space="preserve"> 52-</w:t>
      </w:r>
      <w:r w:rsidR="003464EF" w:rsidRPr="00F06D43">
        <w:t>55</w:t>
      </w:r>
      <w:r w:rsidR="00965B15" w:rsidRPr="00F06D43">
        <w:t>, 87-89</w:t>
      </w:r>
      <w:r w:rsidR="003464EF" w:rsidRPr="00F06D43">
        <w:t>)</w:t>
      </w:r>
    </w:p>
    <w:p w14:paraId="03FBFE76" w14:textId="77777777" w:rsidR="00C113BD" w:rsidRDefault="005C7BA0" w:rsidP="00181AD8">
      <w:pPr>
        <w:rPr>
          <w:bCs/>
        </w:rPr>
      </w:pPr>
      <w:r>
        <w:t>T</w:t>
      </w:r>
      <w:r w:rsidR="00F67C70" w:rsidRPr="005C7BA0">
        <w:t xml:space="preserve">he </w:t>
      </w:r>
      <w:r w:rsidR="004E6FD5">
        <w:t xml:space="preserve">draft </w:t>
      </w:r>
      <w:r w:rsidR="00F67C70" w:rsidRPr="005C7BA0">
        <w:t xml:space="preserve">para </w:t>
      </w:r>
      <w:r w:rsidRPr="005C7BA0">
        <w:t>52</w:t>
      </w:r>
      <w:r>
        <w:t xml:space="preserve"> reads </w:t>
      </w:r>
      <w:r w:rsidR="009312FD">
        <w:t xml:space="preserve">that </w:t>
      </w:r>
      <w:r w:rsidR="00E77F9A">
        <w:t>“</w:t>
      </w:r>
      <w:r w:rsidR="00E77F9A">
        <w:rPr>
          <w:bCs/>
        </w:rPr>
        <w:t xml:space="preserve">Where a decision may have a major environmental impact on children, a more detailed procedure to consider their best interests is appropriate.” However, there is little guidance </w:t>
      </w:r>
      <w:r w:rsidR="004E6FD5">
        <w:rPr>
          <w:bCs/>
        </w:rPr>
        <w:t>on how to decide what decisions have a “major” impact on children.</w:t>
      </w:r>
      <w:r w:rsidR="00E77F9A">
        <w:rPr>
          <w:bCs/>
        </w:rPr>
        <w:t xml:space="preserve"> </w:t>
      </w:r>
    </w:p>
    <w:p w14:paraId="7B3C260E" w14:textId="600D9172" w:rsidR="002C1194" w:rsidRDefault="004E6FD5" w:rsidP="00181AD8">
      <w:r>
        <w:rPr>
          <w:bCs/>
        </w:rPr>
        <w:t xml:space="preserve">The </w:t>
      </w:r>
      <w:proofErr w:type="spellStart"/>
      <w:r>
        <w:rPr>
          <w:bCs/>
        </w:rPr>
        <w:t>CRCt</w:t>
      </w:r>
      <w:proofErr w:type="spellEnd"/>
      <w:r>
        <w:rPr>
          <w:bCs/>
        </w:rPr>
        <w:t xml:space="preserve"> could </w:t>
      </w:r>
      <w:r w:rsidR="000F640F">
        <w:rPr>
          <w:bCs/>
        </w:rPr>
        <w:t>include an example in the climate change context,</w:t>
      </w:r>
      <w:r w:rsidR="007B6A1B">
        <w:rPr>
          <w:bCs/>
        </w:rPr>
        <w:t xml:space="preserve"> where</w:t>
      </w:r>
      <w:r w:rsidR="000F640F">
        <w:rPr>
          <w:bCs/>
        </w:rPr>
        <w:t xml:space="preserve"> </w:t>
      </w:r>
      <w:r w:rsidR="000F5956" w:rsidRPr="007B6A1B">
        <w:t xml:space="preserve">decisions to </w:t>
      </w:r>
      <w:r w:rsidR="007B6A1B" w:rsidRPr="007B6A1B">
        <w:t xml:space="preserve">permit </w:t>
      </w:r>
      <w:r w:rsidR="000F5956" w:rsidRPr="007B6A1B">
        <w:t>fossil fuels</w:t>
      </w:r>
      <w:r w:rsidR="007B6A1B">
        <w:rPr>
          <w:i/>
          <w:iCs/>
        </w:rPr>
        <w:t xml:space="preserve"> </w:t>
      </w:r>
      <w:r w:rsidR="007B6A1B">
        <w:t xml:space="preserve">extraction </w:t>
      </w:r>
      <w:r w:rsidR="000F5956">
        <w:t>will have a “major impact” on children as a group</w:t>
      </w:r>
      <w:r w:rsidR="00BC6724">
        <w:t>.</w:t>
      </w:r>
      <w:r w:rsidR="000348D6">
        <w:t xml:space="preserve"> </w:t>
      </w:r>
      <w:r w:rsidR="00C113BD">
        <w:t>For example, t</w:t>
      </w:r>
      <w:r w:rsidR="00286FD1">
        <w:t xml:space="preserve">he Full Federal Court of Australia has accepted that the </w:t>
      </w:r>
      <w:r w:rsidR="00C113BD">
        <w:t>permitting coal extraction which will lead to</w:t>
      </w:r>
      <w:r w:rsidR="00286FD1">
        <w:t xml:space="preserve"> 100 </w:t>
      </w:r>
      <w:r w:rsidR="00C113BD">
        <w:t>million tons</w:t>
      </w:r>
      <w:r w:rsidR="00286FD1">
        <w:t xml:space="preserve"> of CO2 emissions constitutes a “reasonably foreseeable” risk of death or personal injury to Australian children alive today, since “even an infinitesimal increase in global average surface</w:t>
      </w:r>
      <w:r w:rsidR="00C113BD" w:rsidRPr="00C113BD">
        <w:t xml:space="preserve"> </w:t>
      </w:r>
      <w:r w:rsidR="00C113BD">
        <w:t>temperature” above 2°C could set off a catastrophic “tipping cascade” triggering a 4°C warmer “hothouse Earth”.</w:t>
      </w:r>
      <w:r w:rsidR="00C113BD">
        <w:rPr>
          <w:rStyle w:val="Fotnotereferanse"/>
        </w:rPr>
        <w:footnoteReference w:id="9"/>
      </w:r>
    </w:p>
    <w:p w14:paraId="2CC35AAB" w14:textId="6150875A" w:rsidR="00DB3F00" w:rsidRPr="005C7BA0" w:rsidRDefault="001A68FC" w:rsidP="00DB3F00">
      <w:r>
        <w:t>What is in “</w:t>
      </w:r>
      <w:r w:rsidRPr="00BE7DF2">
        <w:t>the best interest</w:t>
      </w:r>
      <w:r>
        <w:rPr>
          <w:b/>
          <w:bCs/>
        </w:rPr>
        <w:t xml:space="preserve">” </w:t>
      </w:r>
      <w:r>
        <w:t>of children must be “assessed and determined in light of the circumstances” of children in general, with full respect to all rights in the CRC.</w:t>
      </w:r>
      <w:r>
        <w:rPr>
          <w:rStyle w:val="Fotnotereferanse"/>
        </w:rPr>
        <w:footnoteReference w:id="10"/>
      </w:r>
      <w:r>
        <w:t xml:space="preserve"> States are under an obligation “to clarify the best interests of all children” and ensure “a child rights impact assessment (</w:t>
      </w:r>
      <w:proofErr w:type="spellStart"/>
      <w:r>
        <w:t>CRIA</w:t>
      </w:r>
      <w:proofErr w:type="spellEnd"/>
      <w:r>
        <w:t xml:space="preserve">) to predict the impact” the action will have on </w:t>
      </w:r>
      <w:r>
        <w:lastRenderedPageBreak/>
        <w:t>children.</w:t>
      </w:r>
      <w:r>
        <w:rPr>
          <w:rStyle w:val="Fotnotereferanse"/>
        </w:rPr>
        <w:footnoteReference w:id="11"/>
      </w:r>
      <w:r>
        <w:t xml:space="preserve"> </w:t>
      </w:r>
      <w:r w:rsidR="00DB3F00">
        <w:t xml:space="preserve">Currently, child rights impact assessments are discussed in paras. 87-89. The </w:t>
      </w:r>
      <w:proofErr w:type="spellStart"/>
      <w:r w:rsidR="00DB3F00">
        <w:t>CRCt</w:t>
      </w:r>
      <w:proofErr w:type="spellEnd"/>
      <w:r w:rsidR="00DB3F00">
        <w:t xml:space="preserve"> should consider keeping </w:t>
      </w:r>
      <w:r w:rsidR="002810CA">
        <w:t xml:space="preserve">paras 52-55 and 87-89 </w:t>
      </w:r>
      <w:r w:rsidR="00B612EF">
        <w:t>together</w:t>
      </w:r>
      <w:r w:rsidR="002810CA">
        <w:t>.</w:t>
      </w:r>
    </w:p>
    <w:p w14:paraId="1D0663B6" w14:textId="1144EB30" w:rsidR="0064614E" w:rsidRDefault="001A68FC" w:rsidP="00515D0E">
      <w:r>
        <w:t xml:space="preserve">The </w:t>
      </w:r>
      <w:proofErr w:type="spellStart"/>
      <w:r w:rsidR="00D35F4D">
        <w:t>CRCt</w:t>
      </w:r>
      <w:proofErr w:type="spellEnd"/>
      <w:r w:rsidR="00D35F4D">
        <w:t xml:space="preserve"> </w:t>
      </w:r>
      <w:r>
        <w:t xml:space="preserve">has previously underlined that the flexibility of the concept “best interests” </w:t>
      </w:r>
      <w:r w:rsidR="00916230">
        <w:t>has</w:t>
      </w:r>
      <w:r>
        <w:t xml:space="preserve"> been manipulated and abused by States to justify </w:t>
      </w:r>
      <w:proofErr w:type="gramStart"/>
      <w:r>
        <w:t>e.g.</w:t>
      </w:r>
      <w:proofErr w:type="gramEnd"/>
      <w:r>
        <w:t xml:space="preserve"> racist policies.</w:t>
      </w:r>
      <w:r>
        <w:rPr>
          <w:rStyle w:val="Fotnotereferanse"/>
        </w:rPr>
        <w:footnoteReference w:id="12"/>
      </w:r>
      <w:r>
        <w:t xml:space="preserve"> </w:t>
      </w:r>
      <w:r w:rsidR="00515D0E">
        <w:t>T</w:t>
      </w:r>
      <w:r w:rsidR="00E152DC">
        <w:t xml:space="preserve">he </w:t>
      </w:r>
      <w:proofErr w:type="spellStart"/>
      <w:r w:rsidR="00E152DC">
        <w:t>CRCt</w:t>
      </w:r>
      <w:proofErr w:type="spellEnd"/>
      <w:r w:rsidR="00E152DC">
        <w:t xml:space="preserve"> </w:t>
      </w:r>
      <w:r w:rsidR="00E152DC" w:rsidRPr="00367685">
        <w:t>should thus</w:t>
      </w:r>
      <w:r w:rsidR="00E152DC">
        <w:t xml:space="preserve"> provide more</w:t>
      </w:r>
      <w:r w:rsidR="002D0615">
        <w:t xml:space="preserve"> authoritative </w:t>
      </w:r>
      <w:r w:rsidR="00E152DC">
        <w:t xml:space="preserve">guidance on how to determine what is in the best interest of children in </w:t>
      </w:r>
      <w:r w:rsidR="00515D0E">
        <w:t>the environmental context</w:t>
      </w:r>
      <w:r w:rsidR="00E152DC">
        <w:t xml:space="preserve">. At a minimum, a long-term assessment of the environmental impact of the decision on the </w:t>
      </w:r>
      <w:r w:rsidR="00162D2F">
        <w:t>right to life for children</w:t>
      </w:r>
      <w:r w:rsidR="009F6BE0">
        <w:t xml:space="preserve"> and the </w:t>
      </w:r>
      <w:r w:rsidR="00FF2902">
        <w:t xml:space="preserve">key concepts in </w:t>
      </w:r>
      <w:r w:rsidR="00F06D43">
        <w:t xml:space="preserve">the draft </w:t>
      </w:r>
      <w:r w:rsidR="00FF2902">
        <w:t>part II (</w:t>
      </w:r>
      <w:r w:rsidR="009F6BE0">
        <w:t xml:space="preserve">sustainable development, </w:t>
      </w:r>
      <w:r w:rsidR="00AE6B26">
        <w:t xml:space="preserve">intergenerational equity, the best </w:t>
      </w:r>
      <w:r w:rsidR="00FF2902">
        <w:t>a</w:t>
      </w:r>
      <w:r w:rsidR="00AE6B26">
        <w:t xml:space="preserve">vailable </w:t>
      </w:r>
      <w:proofErr w:type="gramStart"/>
      <w:r w:rsidR="00AE6B26">
        <w:t>science</w:t>
      </w:r>
      <w:proofErr w:type="gramEnd"/>
      <w:r w:rsidR="00AE6B26">
        <w:t xml:space="preserve"> and the precautionary principle</w:t>
      </w:r>
      <w:r w:rsidR="00FF2902">
        <w:t>)</w:t>
      </w:r>
      <w:r w:rsidR="00B925AF">
        <w:t xml:space="preserve"> should be obligatory.</w:t>
      </w:r>
    </w:p>
    <w:p w14:paraId="64282B0A" w14:textId="3B0249B6" w:rsidR="00CB5FED" w:rsidRDefault="00FF54D8" w:rsidP="001A402A">
      <w:pPr>
        <w:pStyle w:val="Overskriftniv1"/>
      </w:pPr>
      <w:r>
        <w:t>Access to justic</w:t>
      </w:r>
      <w:r w:rsidR="00CB5FED">
        <w:t>e (paras. 62-70)</w:t>
      </w:r>
    </w:p>
    <w:p w14:paraId="3DDE0261" w14:textId="0CAB93C3" w:rsidR="003523C8" w:rsidRDefault="002F324B" w:rsidP="002F324B">
      <w:r>
        <w:t xml:space="preserve">As the draft para 62 mentions, a barrier </w:t>
      </w:r>
      <w:r w:rsidR="00742CF9">
        <w:t>for children to access justice is</w:t>
      </w:r>
      <w:r>
        <w:t xml:space="preserve"> </w:t>
      </w:r>
      <w:r w:rsidR="00742CF9">
        <w:t xml:space="preserve">the issue of </w:t>
      </w:r>
      <w:r>
        <w:t>legal standing.</w:t>
      </w:r>
      <w:r w:rsidR="00270F63" w:rsidRPr="00270F63">
        <w:t xml:space="preserve"> </w:t>
      </w:r>
      <w:r w:rsidR="006A4483">
        <w:t>In political and economic terms, c</w:t>
      </w:r>
      <w:r w:rsidR="00D31A7F">
        <w:t>hildren have “less possibility than adults to make a strong case for their interests”</w:t>
      </w:r>
      <w:r w:rsidR="00AC4EB4">
        <w:rPr>
          <w:rStyle w:val="Fotnotereferanse"/>
        </w:rPr>
        <w:footnoteReference w:id="13"/>
      </w:r>
      <w:r w:rsidR="00D31A7F">
        <w:t xml:space="preserve"> within the “rapidly closing window of opportunity” remaining to secure “a </w:t>
      </w:r>
      <w:proofErr w:type="spellStart"/>
      <w:r w:rsidR="00D31A7F">
        <w:t>livable</w:t>
      </w:r>
      <w:proofErr w:type="spellEnd"/>
      <w:r w:rsidR="00D31A7F">
        <w:t xml:space="preserve"> future” for themselves.</w:t>
      </w:r>
      <w:r w:rsidR="00AC4EB4">
        <w:rPr>
          <w:rStyle w:val="Fotnotereferanse"/>
        </w:rPr>
        <w:footnoteReference w:id="14"/>
      </w:r>
      <w:r w:rsidR="00D31A7F">
        <w:t xml:space="preserve"> Hence, to safeguard their rights before the finite carbon budget is exhausted, children and youth are particularly reliant on rights enforcement in courts</w:t>
      </w:r>
      <w:r w:rsidR="00AC4EB4">
        <w:t>. For children,</w:t>
      </w:r>
      <w:r w:rsidR="00A722D6">
        <w:t xml:space="preserve"> recourse to associations is one of the accessible means, sometimes the only means, for children to defend their interests in courts. The draft should thus reflect that </w:t>
      </w:r>
      <w:r w:rsidR="00C50836">
        <w:t>environmental associations should have standing to represent the individual</w:t>
      </w:r>
      <w:r w:rsidR="00A722D6">
        <w:t xml:space="preserve"> rights </w:t>
      </w:r>
      <w:r w:rsidR="00C50836">
        <w:t xml:space="preserve">for children. </w:t>
      </w:r>
    </w:p>
    <w:p w14:paraId="0A7DBFE2" w14:textId="75371506" w:rsidR="00FD7AC9" w:rsidRDefault="0064614E" w:rsidP="00F06D43">
      <w:pPr>
        <w:pStyle w:val="Overskriftniv1"/>
      </w:pPr>
      <w:r>
        <w:t xml:space="preserve">The right to a clean, </w:t>
      </w:r>
      <w:proofErr w:type="gramStart"/>
      <w:r>
        <w:t>healthy</w:t>
      </w:r>
      <w:proofErr w:type="gramEnd"/>
      <w:r>
        <w:t xml:space="preserve"> and sustainable environment</w:t>
      </w:r>
      <w:r w:rsidR="007D249B">
        <w:t xml:space="preserve"> (part IV)</w:t>
      </w:r>
    </w:p>
    <w:p w14:paraId="744CE2D1" w14:textId="07C6377E" w:rsidR="00345F09" w:rsidRDefault="0027660D" w:rsidP="0064614E">
      <w:r>
        <w:t xml:space="preserve">NIM </w:t>
      </w:r>
      <w:r w:rsidR="00FD2EE9">
        <w:t>agrees</w:t>
      </w:r>
      <w:r>
        <w:t xml:space="preserve"> </w:t>
      </w:r>
      <w:r w:rsidR="00E07E72">
        <w:t xml:space="preserve">that </w:t>
      </w:r>
      <w:r>
        <w:t>the</w:t>
      </w:r>
      <w:r w:rsidRPr="0027660D">
        <w:t xml:space="preserve"> right to a clean, </w:t>
      </w:r>
      <w:proofErr w:type="gramStart"/>
      <w:r w:rsidRPr="0027660D">
        <w:t>healthy</w:t>
      </w:r>
      <w:proofErr w:type="gramEnd"/>
      <w:r w:rsidRPr="0027660D">
        <w:t xml:space="preserve"> and sustainable environment</w:t>
      </w:r>
      <w:r w:rsidR="007479E6">
        <w:t xml:space="preserve"> </w:t>
      </w:r>
      <w:r w:rsidR="00BE7BF4">
        <w:t xml:space="preserve">is implicit in, and directly linked to, many rights under the CRC. </w:t>
      </w:r>
      <w:r w:rsidR="00345F09">
        <w:t>H</w:t>
      </w:r>
      <w:r w:rsidR="00BE7BF4">
        <w:t xml:space="preserve">owever, the elements in </w:t>
      </w:r>
      <w:r w:rsidR="00E86B9E">
        <w:t xml:space="preserve">the </w:t>
      </w:r>
      <w:r w:rsidR="002F324B">
        <w:t>draft</w:t>
      </w:r>
      <w:r w:rsidR="00E86B9E">
        <w:t xml:space="preserve"> </w:t>
      </w:r>
      <w:r w:rsidR="00BE7BF4">
        <w:t>paras. 72-</w:t>
      </w:r>
      <w:r w:rsidR="002A7DE4">
        <w:t xml:space="preserve">74 </w:t>
      </w:r>
      <w:r w:rsidR="00345F09">
        <w:t>can also be said to flowing</w:t>
      </w:r>
      <w:r w:rsidR="0036694A">
        <w:t xml:space="preserve"> </w:t>
      </w:r>
      <w:r w:rsidR="0036694A" w:rsidRPr="00345F09">
        <w:rPr>
          <w:i/>
          <w:iCs/>
        </w:rPr>
        <w:t>directly</w:t>
      </w:r>
      <w:r w:rsidR="0036694A">
        <w:t xml:space="preserve"> </w:t>
      </w:r>
      <w:r w:rsidR="002A7DE4">
        <w:t>from other rights</w:t>
      </w:r>
      <w:r w:rsidR="0036694A">
        <w:t>, under which they may also be addressed</w:t>
      </w:r>
      <w:r w:rsidR="002A7DE4">
        <w:t xml:space="preserve">. This might give the important paragraphs </w:t>
      </w:r>
      <w:r w:rsidR="007479E6">
        <w:t xml:space="preserve">on obligations </w:t>
      </w:r>
      <w:r w:rsidR="002A7DE4">
        <w:t xml:space="preserve">a greater legal weight, as </w:t>
      </w:r>
      <w:r w:rsidR="00D35F4D">
        <w:t>a</w:t>
      </w:r>
      <w:r w:rsidR="002A7DE4">
        <w:t xml:space="preserve"> </w:t>
      </w:r>
      <w:r w:rsidR="00ED4128">
        <w:rPr>
          <w:i/>
          <w:iCs/>
        </w:rPr>
        <w:t>self-standing</w:t>
      </w:r>
      <w:r w:rsidR="002A7DE4">
        <w:t xml:space="preserve"> right to a clean, </w:t>
      </w:r>
      <w:proofErr w:type="gramStart"/>
      <w:r w:rsidR="002A7DE4">
        <w:t>healthy</w:t>
      </w:r>
      <w:proofErr w:type="gramEnd"/>
      <w:r w:rsidR="002A7DE4">
        <w:t xml:space="preserve"> and sustainable environment might </w:t>
      </w:r>
      <w:r w:rsidR="00B9171C">
        <w:t>be perceived by some as not being</w:t>
      </w:r>
      <w:r w:rsidR="00777989">
        <w:t xml:space="preserve"> directly anchored in the text</w:t>
      </w:r>
      <w:r w:rsidR="00B9171C">
        <w:t xml:space="preserve"> of the CRC</w:t>
      </w:r>
      <w:r w:rsidR="00777989">
        <w:t xml:space="preserve">. </w:t>
      </w:r>
      <w:r w:rsidR="007479E6">
        <w:t>Di</w:t>
      </w:r>
      <w:r w:rsidR="00CA3510">
        <w:t>scussing the obligations under other rights</w:t>
      </w:r>
      <w:r w:rsidR="00D2040F">
        <w:t xml:space="preserve"> </w:t>
      </w:r>
      <w:r w:rsidR="00E21601">
        <w:t xml:space="preserve">in this context </w:t>
      </w:r>
      <w:r w:rsidR="006A1275">
        <w:t>does not seem like</w:t>
      </w:r>
      <w:r w:rsidR="00D2040F">
        <w:t xml:space="preserve"> a </w:t>
      </w:r>
      <w:r w:rsidR="00690C34">
        <w:t>difference</w:t>
      </w:r>
      <w:r w:rsidR="00E07E72">
        <w:t xml:space="preserve"> in the level of protection</w:t>
      </w:r>
      <w:r w:rsidR="00D2040F">
        <w:t xml:space="preserve">, but rather </w:t>
      </w:r>
      <w:r w:rsidR="00690C34">
        <w:t>a difference in</w:t>
      </w:r>
      <w:r w:rsidR="00D2040F">
        <w:t xml:space="preserve"> terminology</w:t>
      </w:r>
      <w:r w:rsidR="00E07E72">
        <w:t xml:space="preserve"> or classification. </w:t>
      </w:r>
    </w:p>
    <w:p w14:paraId="0B5A852B" w14:textId="2DBBFF8E" w:rsidR="00863B22" w:rsidRDefault="003E3F8B" w:rsidP="00F06D43">
      <w:pPr>
        <w:pStyle w:val="Overskriftniv1"/>
      </w:pPr>
      <w:r>
        <w:t xml:space="preserve">Climate change </w:t>
      </w:r>
      <w:r w:rsidR="00A10BA6">
        <w:t>(part VI)</w:t>
      </w:r>
      <w:r w:rsidR="00676DED">
        <w:t>, paras. 98-103</w:t>
      </w:r>
      <w:r w:rsidR="00B549D6">
        <w:t xml:space="preserve"> (state obligations)</w:t>
      </w:r>
      <w:r w:rsidR="00676DED">
        <w:t xml:space="preserve"> and </w:t>
      </w:r>
      <w:r w:rsidR="00B549D6">
        <w:t>108-113 (mitigation)</w:t>
      </w:r>
    </w:p>
    <w:p w14:paraId="21321F8F" w14:textId="40F69CBE" w:rsidR="00E248AC" w:rsidRDefault="00076636" w:rsidP="007C15BD">
      <w:r w:rsidRPr="00076636">
        <w:rPr>
          <w:b/>
          <w:bCs/>
        </w:rPr>
        <w:lastRenderedPageBreak/>
        <w:t xml:space="preserve">The </w:t>
      </w:r>
      <w:r>
        <w:rPr>
          <w:b/>
          <w:bCs/>
        </w:rPr>
        <w:t>draft</w:t>
      </w:r>
      <w:r w:rsidRPr="00076636">
        <w:rPr>
          <w:b/>
          <w:bCs/>
        </w:rPr>
        <w:t xml:space="preserve"> should underline </w:t>
      </w:r>
      <w:r w:rsidR="006A0080">
        <w:rPr>
          <w:b/>
          <w:bCs/>
        </w:rPr>
        <w:t xml:space="preserve">highlight the obligation do mitigate climate change as </w:t>
      </w:r>
      <w:r w:rsidR="00E248AC" w:rsidRPr="00076636">
        <w:rPr>
          <w:b/>
          <w:bCs/>
        </w:rPr>
        <w:t xml:space="preserve">the most fundamental. </w:t>
      </w:r>
      <w:r w:rsidR="00E248AC">
        <w:t xml:space="preserve">This is because a) </w:t>
      </w:r>
      <w:r w:rsidR="007B2854">
        <w:t>loss and damage from climate change</w:t>
      </w:r>
      <w:r w:rsidR="00FD7A60">
        <w:t xml:space="preserve"> will increase with increased emissions, b) </w:t>
      </w:r>
      <w:r w:rsidR="00E248AC">
        <w:t xml:space="preserve">adaption measures are not sufficient to contain the risks climate change poses to life over time and </w:t>
      </w:r>
      <w:r w:rsidR="008D040B">
        <w:t>“widespread breaching of adaptation limits is expected” if the planet warms beyond 1.5°C or even 2°C,</w:t>
      </w:r>
      <w:r w:rsidR="00E248AC">
        <w:rPr>
          <w:rStyle w:val="Fotnotereferanse"/>
        </w:rPr>
        <w:footnoteReference w:id="15"/>
      </w:r>
      <w:r w:rsidR="00E248AC">
        <w:t xml:space="preserve"> </w:t>
      </w:r>
      <w:r w:rsidR="00FD7A60">
        <w:t>c</w:t>
      </w:r>
      <w:r w:rsidR="00E248AC">
        <w:t>) successful mitigation measures today may limit the need for drastic reduction measures extensively interfering with human rights tomorrow, which will likely be justified in the future if climate change remain largely unmitigated this decade.</w:t>
      </w:r>
      <w:r w:rsidR="00E248AC">
        <w:rPr>
          <w:rStyle w:val="Fotnotereferanse"/>
        </w:rPr>
        <w:footnoteReference w:id="16"/>
      </w:r>
      <w:r w:rsidR="00E248AC">
        <w:t xml:space="preserve"> </w:t>
      </w:r>
    </w:p>
    <w:p w14:paraId="23365109" w14:textId="47AC3E6C" w:rsidR="00E05EC3" w:rsidRDefault="0012669F" w:rsidP="007C15BD">
      <w:r>
        <w:rPr>
          <w:b/>
          <w:bCs/>
        </w:rPr>
        <w:t>The 1,5</w:t>
      </w:r>
      <w:r w:rsidR="00351757" w:rsidRPr="00351757">
        <w:rPr>
          <w:b/>
          <w:bCs/>
        </w:rPr>
        <w:t>°C</w:t>
      </w:r>
      <w:r w:rsidR="00351757">
        <w:rPr>
          <w:b/>
          <w:bCs/>
        </w:rPr>
        <w:t xml:space="preserve">, a planetary boundary, should be </w:t>
      </w:r>
      <w:r w:rsidR="006D12DF">
        <w:rPr>
          <w:b/>
          <w:bCs/>
        </w:rPr>
        <w:t>the point of reference</w:t>
      </w:r>
      <w:r w:rsidR="00BD3F32">
        <w:rPr>
          <w:b/>
          <w:bCs/>
        </w:rPr>
        <w:t xml:space="preserve"> for de</w:t>
      </w:r>
      <w:r w:rsidR="00872ABB">
        <w:rPr>
          <w:b/>
          <w:bCs/>
        </w:rPr>
        <w:t>termining the appropriateness of States mitigation measures</w:t>
      </w:r>
      <w:r w:rsidR="00133B16">
        <w:rPr>
          <w:b/>
          <w:bCs/>
        </w:rPr>
        <w:t xml:space="preserve">. </w:t>
      </w:r>
      <w:r w:rsidR="00710657">
        <w:t xml:space="preserve">In </w:t>
      </w:r>
      <w:r w:rsidR="00331C91">
        <w:t xml:space="preserve">Article 2.1a of the </w:t>
      </w:r>
      <w:r w:rsidR="00710657">
        <w:t xml:space="preserve">2015 </w:t>
      </w:r>
      <w:r w:rsidR="00331C91">
        <w:t>Paris Agreement, States Parties agreed to “pursue efforts to limit” the global temperature increase to 1.5°C, with a maximum increase to “well below 2°C”</w:t>
      </w:r>
      <w:r w:rsidR="00710657">
        <w:t>.</w:t>
      </w:r>
    </w:p>
    <w:p w14:paraId="378307B2" w14:textId="77777777" w:rsidR="005C59A1" w:rsidRDefault="00331C91" w:rsidP="007C15BD">
      <w:r>
        <w:t>However, new insights in the IPCC 2018 report, confirmed in the IPCC 2021 and 2022 reports, establish that limiting the temperature increase to 1.5°C instead of 2°C would substantially reduce the risks for humans.</w:t>
      </w:r>
      <w:r>
        <w:rPr>
          <w:rStyle w:val="Fotnotereferanse"/>
        </w:rPr>
        <w:footnoteReference w:id="17"/>
      </w:r>
      <w:r w:rsidR="00364947">
        <w:t xml:space="preserve"> </w:t>
      </w:r>
      <w:r w:rsidR="00BD45F3">
        <w:t>Moreover, a recent study establishes that e</w:t>
      </w:r>
      <w:r w:rsidR="00BD45F3" w:rsidRPr="00BD45F3">
        <w:t>xceeding 1.5°C global warming could trigger multiple climate tipping points</w:t>
      </w:r>
      <w:r w:rsidR="00BD45F3">
        <w:t>.</w:t>
      </w:r>
      <w:r w:rsidR="00BD45F3">
        <w:rPr>
          <w:rStyle w:val="Fotnotereferanse"/>
        </w:rPr>
        <w:footnoteReference w:id="18"/>
      </w:r>
      <w:r w:rsidR="00364947">
        <w:t xml:space="preserve"> </w:t>
      </w:r>
      <w:r>
        <w:t xml:space="preserve">These </w:t>
      </w:r>
      <w:r w:rsidR="00364947">
        <w:t>scientific insights</w:t>
      </w:r>
      <w:r>
        <w:t xml:space="preserve"> are shifting the political and legal consensus.</w:t>
      </w:r>
      <w:r w:rsidR="00364947">
        <w:rPr>
          <w:rStyle w:val="Fotnotereferanse"/>
        </w:rPr>
        <w:footnoteReference w:id="19"/>
      </w:r>
      <w:r>
        <w:t xml:space="preserve"> Hence, in the 2021 Glasgow Climate Pact, the Parties to the Paris Agreement resolved “to pursue efforts to limit the temperature increase to 1.5°C”.</w:t>
      </w:r>
      <w:r w:rsidR="00364947">
        <w:rPr>
          <w:rStyle w:val="Fotnotereferanse"/>
        </w:rPr>
        <w:footnoteReference w:id="20"/>
      </w:r>
      <w:r>
        <w:t xml:space="preserve"> The 1.5°C target thus reflects updated scientific consensus to prevent “dangerous” climate change having “significant deleterious effects” on humankind</w:t>
      </w:r>
      <w:r w:rsidR="00364947">
        <w:t xml:space="preserve">. </w:t>
      </w:r>
    </w:p>
    <w:p w14:paraId="18795405" w14:textId="06020325" w:rsidR="00B2132E" w:rsidRPr="00BF1A0C" w:rsidRDefault="006C35F7" w:rsidP="007C15BD">
      <w:r>
        <w:t xml:space="preserve">Accordingly, the draft </w:t>
      </w:r>
      <w:r w:rsidR="00BD3F32">
        <w:t xml:space="preserve">paras. </w:t>
      </w:r>
      <w:r w:rsidR="00710657">
        <w:t xml:space="preserve">102, </w:t>
      </w:r>
      <w:r w:rsidR="00BD3F32">
        <w:t xml:space="preserve">110 and 111 </w:t>
      </w:r>
      <w:r>
        <w:t>should refer to the need to limit global warming to 1.5°C to appropriately protect the rights of children.</w:t>
      </w:r>
      <w:r w:rsidR="00E05EC3">
        <w:t xml:space="preserve"> </w:t>
      </w:r>
      <w:r w:rsidR="00825EF8">
        <w:t>T</w:t>
      </w:r>
      <w:r w:rsidR="00BD3F32">
        <w:t xml:space="preserve">he draft should read that States are </w:t>
      </w:r>
      <w:r w:rsidR="00EE682C">
        <w:t xml:space="preserve">required to adopt and implement an ambitious, </w:t>
      </w:r>
      <w:proofErr w:type="gramStart"/>
      <w:r w:rsidR="00EE682C">
        <w:t>realistic</w:t>
      </w:r>
      <w:proofErr w:type="gramEnd"/>
      <w:r w:rsidR="00EE682C">
        <w:t xml:space="preserve"> and specified reduction pathway to limit global warming to 1.5°C, with interim targets in accordance </w:t>
      </w:r>
      <w:r w:rsidR="00EE682C">
        <w:lastRenderedPageBreak/>
        <w:t>with the IPCC’s reduction rates, reaching carbon neutrality as soon as possible, and no later than 2050.</w:t>
      </w:r>
    </w:p>
    <w:p w14:paraId="20D4E5A6" w14:textId="68C4A352" w:rsidR="00FD7A60" w:rsidRDefault="00076636" w:rsidP="007C15BD">
      <w:r>
        <w:rPr>
          <w:b/>
          <w:bCs/>
        </w:rPr>
        <w:t xml:space="preserve">The draft should explicitly </w:t>
      </w:r>
      <w:r w:rsidR="009F0AC5">
        <w:rPr>
          <w:b/>
          <w:bCs/>
        </w:rPr>
        <w:t>address</w:t>
      </w:r>
      <w:r w:rsidR="008E0A0F">
        <w:rPr>
          <w:b/>
          <w:bCs/>
        </w:rPr>
        <w:t xml:space="preserve"> </w:t>
      </w:r>
      <w:r w:rsidR="0012367F">
        <w:rPr>
          <w:b/>
          <w:bCs/>
        </w:rPr>
        <w:t xml:space="preserve">the need to protect children from the harmful effects of </w:t>
      </w:r>
      <w:r>
        <w:rPr>
          <w:b/>
          <w:bCs/>
        </w:rPr>
        <w:t xml:space="preserve">fossil fuels. </w:t>
      </w:r>
      <w:r w:rsidR="00023640">
        <w:t>In paras 99 and 101, the draft refers to obligations concerning “acts or omissions in relation to the</w:t>
      </w:r>
      <w:r w:rsidR="00E9304D">
        <w:t xml:space="preserve"> causes and effects of climate change”, and an obligation to refrain from adopting “measures that could worsen the cause and effect of climate change”. </w:t>
      </w:r>
      <w:r w:rsidR="00E62844">
        <w:t xml:space="preserve">Although a phase-out of fossil fuels is briefly mentioned in para 73d), </w:t>
      </w:r>
      <w:r w:rsidR="00B2132E">
        <w:t xml:space="preserve">the </w:t>
      </w:r>
      <w:r w:rsidR="00E9304D">
        <w:t xml:space="preserve">following section on mitigation </w:t>
      </w:r>
      <w:r w:rsidR="00872ABB">
        <w:t>paras. 108</w:t>
      </w:r>
      <w:r w:rsidR="00863B22">
        <w:t xml:space="preserve">–113 </w:t>
      </w:r>
      <w:r w:rsidR="00E9304D">
        <w:t xml:space="preserve">does not explicitly mention </w:t>
      </w:r>
      <w:r w:rsidR="00B2132E">
        <w:t xml:space="preserve">an obligation to protect children from </w:t>
      </w:r>
      <w:r w:rsidR="00E9304D">
        <w:t xml:space="preserve">the core cause of climate change, namely fossil fuel extraction. </w:t>
      </w:r>
    </w:p>
    <w:p w14:paraId="24484D50" w14:textId="308F665C" w:rsidR="0041361E" w:rsidRPr="00076636" w:rsidRDefault="00D93BC3" w:rsidP="007C15BD">
      <w:r>
        <w:t xml:space="preserve">This is problematic, as climate change </w:t>
      </w:r>
      <w:r w:rsidR="0076607A">
        <w:t>is primarily caused by the extraction and ultimate combustion of fossil fuels, which account for 81-91% of the anthropogenic CO2 emissions,</w:t>
      </w:r>
      <w:r w:rsidR="0041361E">
        <w:rPr>
          <w:rStyle w:val="Fotnotereferanse"/>
        </w:rPr>
        <w:footnoteReference w:id="21"/>
      </w:r>
      <w:r w:rsidR="0076607A">
        <w:t xml:space="preserve">  and mostly since 1990.</w:t>
      </w:r>
      <w:r w:rsidR="0041361E">
        <w:rPr>
          <w:rStyle w:val="Fotnotereferanse"/>
        </w:rPr>
        <w:footnoteReference w:id="22"/>
      </w:r>
      <w:r w:rsidR="0076607A">
        <w:t xml:space="preserve"> These emissions may be traced back to specific decisions allowing exploration and extraction</w:t>
      </w:r>
      <w:r w:rsidR="0041361E">
        <w:t>.</w:t>
      </w:r>
      <w:r>
        <w:t xml:space="preserve"> </w:t>
      </w:r>
      <w:r w:rsidR="0041361E">
        <w:t xml:space="preserve">Moreover, </w:t>
      </w:r>
      <w:r w:rsidR="006C35F7">
        <w:t>t</w:t>
      </w:r>
      <w:r w:rsidR="009F0AC5">
        <w:t xml:space="preserve">he </w:t>
      </w:r>
      <w:r>
        <w:t>IPCC</w:t>
      </w:r>
      <w:r w:rsidR="009F0AC5">
        <w:t xml:space="preserve"> warns that the 1.5°C and well below 2°C targets “could move out of reach” unless there are “dedicated efforts to early decommissioning”, “reduced utilization of existing fossil fuel infrastructures” and “cancellation of plans for new fossil fuel infrastructure”.</w:t>
      </w:r>
      <w:r w:rsidR="009F0AC5">
        <w:rPr>
          <w:rStyle w:val="Fotnotereferanse"/>
        </w:rPr>
        <w:footnoteReference w:id="23"/>
      </w:r>
      <w:r w:rsidR="009F0AC5">
        <w:t xml:space="preserve"> This is because the estimated future emissions from existing fossil fuel infrastructure already exhaust the remaining carbon budget to limit warming to 1.5°C, with planned fossil fuel infrastructure set to exhaust the 2°C budget.</w:t>
      </w:r>
      <w:r w:rsidR="009F0AC5">
        <w:rPr>
          <w:rStyle w:val="Fotnotereferanse"/>
        </w:rPr>
        <w:footnoteReference w:id="24"/>
      </w:r>
      <w:r w:rsidR="006C35F7">
        <w:t xml:space="preserve"> A recent </w:t>
      </w:r>
      <w:r w:rsidR="00875DB2">
        <w:t>study</w:t>
      </w:r>
      <w:r w:rsidR="006C35F7">
        <w:t xml:space="preserve"> also concludes that </w:t>
      </w:r>
      <w:r w:rsidR="001C40AE">
        <w:t>“[a]</w:t>
      </w:r>
      <w:proofErr w:type="spellStart"/>
      <w:r w:rsidR="001C40AE">
        <w:t>ccording</w:t>
      </w:r>
      <w:proofErr w:type="spellEnd"/>
      <w:r w:rsidR="001C40AE">
        <w:t xml:space="preserve"> to a large consensus across multiple modelled climate and energy pathways, developing any new oil and gas fields is incompatible with limiting warming to 1.5°C.”</w:t>
      </w:r>
      <w:r w:rsidR="00875DB2">
        <w:rPr>
          <w:rStyle w:val="Fotnotereferanse"/>
        </w:rPr>
        <w:footnoteReference w:id="25"/>
      </w:r>
    </w:p>
    <w:p w14:paraId="2B0F0082" w14:textId="3E6FF489" w:rsidR="00FD7A60" w:rsidRDefault="00863B22" w:rsidP="00C705A5">
      <w:r>
        <w:t xml:space="preserve">The draft para. 111 should thus include a criterion on </w:t>
      </w:r>
      <w:r w:rsidR="00034B03">
        <w:t xml:space="preserve">how to protect children from the harmful effects of </w:t>
      </w:r>
      <w:r>
        <w:t>fossil fuel</w:t>
      </w:r>
      <w:r w:rsidR="00C705A5">
        <w:t xml:space="preserve"> extraction</w:t>
      </w:r>
      <w:r w:rsidR="00A00CC2">
        <w:t>, in line with previous concluding observations to different states.</w:t>
      </w:r>
      <w:r w:rsidR="00A00CC2">
        <w:rPr>
          <w:rStyle w:val="Fotnotereferanse"/>
        </w:rPr>
        <w:footnoteReference w:id="26"/>
      </w:r>
      <w:r w:rsidR="00457CA9">
        <w:t xml:space="preserve"> </w:t>
      </w:r>
      <w:r w:rsidR="00C705A5">
        <w:t xml:space="preserve">One example could be an obligation </w:t>
      </w:r>
      <w:r w:rsidR="00424286">
        <w:t xml:space="preserve">to </w:t>
      </w:r>
      <w:r w:rsidR="0070069B">
        <w:t>refrain from</w:t>
      </w:r>
      <w:r w:rsidR="00424286">
        <w:t xml:space="preserve"> any new fossil fuel extraction incompatible with </w:t>
      </w:r>
      <w:r w:rsidR="00034B03">
        <w:t>limiting warming to 1.5°C</w:t>
      </w:r>
      <w:r w:rsidR="00D93BC3">
        <w:t>.</w:t>
      </w:r>
      <w:r w:rsidR="00034B03">
        <w:t xml:space="preserve"> </w:t>
      </w:r>
    </w:p>
    <w:p w14:paraId="2519734F" w14:textId="77777777" w:rsidR="00416EFC" w:rsidRDefault="00416EFC" w:rsidP="00416EFC">
      <w:r w:rsidRPr="00416EFC">
        <w:rPr>
          <w:b/>
          <w:bCs/>
          <w:lang w:val="en-US"/>
        </w:rPr>
        <w:lastRenderedPageBreak/>
        <w:t>The obligation to mitigate climate change extends to all emissions under effective control.</w:t>
      </w:r>
      <w:r>
        <w:rPr>
          <w:lang w:val="en-US"/>
        </w:rPr>
        <w:t xml:space="preserve"> The </w:t>
      </w:r>
      <w:proofErr w:type="spellStart"/>
      <w:r>
        <w:rPr>
          <w:lang w:val="en-US"/>
        </w:rPr>
        <w:t>CRCt</w:t>
      </w:r>
      <w:proofErr w:type="spellEnd"/>
      <w:r>
        <w:rPr>
          <w:lang w:val="en-US"/>
        </w:rPr>
        <w:t xml:space="preserve"> </w:t>
      </w:r>
      <w:r>
        <w:t xml:space="preserve">held in the case </w:t>
      </w:r>
      <w:proofErr w:type="spellStart"/>
      <w:r>
        <w:rPr>
          <w:i/>
          <w:iCs/>
        </w:rPr>
        <w:t>Sacchi</w:t>
      </w:r>
      <w:proofErr w:type="spellEnd"/>
      <w:r>
        <w:rPr>
          <w:i/>
          <w:iCs/>
        </w:rPr>
        <w:t xml:space="preserve"> et al. v. Germany </w:t>
      </w:r>
      <w:r>
        <w:t xml:space="preserve">that </w:t>
      </w:r>
    </w:p>
    <w:p w14:paraId="5C696ACD" w14:textId="77777777" w:rsidR="00416EFC" w:rsidRPr="007A3449" w:rsidRDefault="00416EFC" w:rsidP="00416EFC">
      <w:pPr>
        <w:pStyle w:val="langtsitat"/>
      </w:pPr>
      <w:r>
        <w:t xml:space="preserve">it is generally accepted and corroborated by scientific evidence that the carbon emissions originating in the State party contribute to the worsening of climate change, and that climate change has an adverse effect over the enjoyment of </w:t>
      </w:r>
      <w:r w:rsidRPr="00465DD1">
        <w:t xml:space="preserve">rights by individuals both within as well as beyond the territory of the State party. </w:t>
      </w:r>
      <w:r w:rsidRPr="00465DD1">
        <w:rPr>
          <w:i/>
        </w:rPr>
        <w:t>The Committee considers that, through its ability to regulate activities that are the source of these emissions and to enforce such regulations, the State party has effective control over the emissions</w:t>
      </w:r>
      <w:r w:rsidRPr="00465DD1">
        <w:t>.</w:t>
      </w:r>
      <w:r w:rsidRPr="00465DD1">
        <w:rPr>
          <w:rStyle w:val="Fotnotereferanse"/>
        </w:rPr>
        <w:footnoteReference w:id="27"/>
      </w:r>
      <w:r>
        <w:t xml:space="preserve"> (emphasis added)</w:t>
      </w:r>
    </w:p>
    <w:p w14:paraId="68050EE6" w14:textId="1A95A275" w:rsidR="00416EFC" w:rsidRDefault="00416EFC" w:rsidP="00C705A5">
      <w:r>
        <w:t xml:space="preserve">The </w:t>
      </w:r>
      <w:r w:rsidR="00866806">
        <w:t xml:space="preserve">GC </w:t>
      </w:r>
      <w:r>
        <w:t xml:space="preserve">could </w:t>
      </w:r>
      <w:r w:rsidR="001A402A">
        <w:t xml:space="preserve">echo this finding by explicitly spelling </w:t>
      </w:r>
      <w:r>
        <w:t>out that States have “effective control” over emissions originating from the production of oil and gas (so-called “scope 3” or combustion emissions) by controlling whether the reserves will be exploited or not. This would be consistent with the UN climate regime, subsequent state practice and judicial findings from domestic courts in Europe, the US and Australia.</w:t>
      </w:r>
      <w:r>
        <w:rPr>
          <w:rStyle w:val="Fotnotereferanse"/>
        </w:rPr>
        <w:footnoteReference w:id="28"/>
      </w:r>
    </w:p>
    <w:p w14:paraId="5CAB1344" w14:textId="5FC295B8" w:rsidR="007759D2" w:rsidRDefault="003B464B" w:rsidP="000B031E">
      <w:r>
        <w:rPr>
          <w:b/>
          <w:bCs/>
        </w:rPr>
        <w:t xml:space="preserve">Emission reductions today cannot be substituted by reliance on technologies </w:t>
      </w:r>
      <w:r w:rsidR="00A05C56">
        <w:rPr>
          <w:b/>
          <w:bCs/>
        </w:rPr>
        <w:t>that are unproven a</w:t>
      </w:r>
      <w:r w:rsidR="009B653E">
        <w:rPr>
          <w:b/>
          <w:bCs/>
        </w:rPr>
        <w:t xml:space="preserve">t scale. </w:t>
      </w:r>
      <w:r w:rsidR="00461F13">
        <w:t>As of 2022, there are no “substitute[s] for deep emission reductions”.</w:t>
      </w:r>
      <w:r w:rsidR="00461F13">
        <w:rPr>
          <w:rStyle w:val="Fotnotereferanse"/>
        </w:rPr>
        <w:footnoteReference w:id="29"/>
      </w:r>
      <w:r w:rsidR="00461F13">
        <w:t xml:space="preserve"> </w:t>
      </w:r>
      <w:r w:rsidR="006A70F2">
        <w:t>The precautionary principle, as noted by the Dutch Supreme Court and the German Constitutional Court, implies that States cannot rely on negative-emission technologies to remove CO2 from the atmosphere, many of which do not yet exist or are still at early stages of development.</w:t>
      </w:r>
      <w:r w:rsidR="006A70F2">
        <w:rPr>
          <w:rStyle w:val="Fotnotereferanse"/>
        </w:rPr>
        <w:footnoteReference w:id="30"/>
      </w:r>
      <w:r w:rsidR="006A70F2">
        <w:t xml:space="preserve"> Reliance on these technologies “is a major risk in the ability to limit warming to 1.5°C”, and a “dangerous, high-risk approach”</w:t>
      </w:r>
      <w:r w:rsidR="00461F13">
        <w:t xml:space="preserve">, </w:t>
      </w:r>
      <w:r w:rsidR="00744548">
        <w:t>as implementation of these technologies “currently faces technological, economic, institutional, ecological-environmental and sociocultural barriers”</w:t>
      </w:r>
      <w:r w:rsidR="00D554DA">
        <w:t>.</w:t>
      </w:r>
      <w:r w:rsidR="00D554DA">
        <w:rPr>
          <w:rStyle w:val="Fotnotereferanse"/>
        </w:rPr>
        <w:footnoteReference w:id="31"/>
      </w:r>
      <w:r w:rsidR="00551300">
        <w:t xml:space="preserve"> In light of this,</w:t>
      </w:r>
      <w:r w:rsidR="009B653E" w:rsidRPr="009B653E">
        <w:rPr>
          <w:b/>
          <w:bCs/>
        </w:rPr>
        <w:t xml:space="preserve"> </w:t>
      </w:r>
      <w:r w:rsidR="009B653E">
        <w:t>the language on negative emissions in para 111 e) should be enhanced</w:t>
      </w:r>
      <w:r w:rsidR="0039111E">
        <w:t xml:space="preserve">, for example “cannot rely” and changing the order of the two sentences. </w:t>
      </w:r>
    </w:p>
    <w:p w14:paraId="3A294F39" w14:textId="7DA711F6" w:rsidR="00D66A38" w:rsidRPr="007759D2" w:rsidRDefault="00D66A38" w:rsidP="000B031E">
      <w:r>
        <w:rPr>
          <w:rStyle w:val="normaltextrun"/>
          <w:rFonts w:cs="Calibri"/>
          <w:color w:val="151643"/>
          <w:szCs w:val="22"/>
          <w:shd w:val="clear" w:color="auto" w:fill="FFFFFF"/>
        </w:rPr>
        <w:t>We would be very happy to elaborate further on any of the matters below via further correspondence with the Committee.</w:t>
      </w:r>
    </w:p>
    <w:tbl>
      <w:tblPr>
        <w:tblStyle w:val="Tabellrutenett"/>
        <w:tblpPr w:leftFromText="141" w:rightFromText="141" w:vertAnchor="text" w:tblpY="118"/>
        <w:tblW w:w="7938" w:type="dxa"/>
        <w:tblCellMar>
          <w:left w:w="0" w:type="dxa"/>
          <w:right w:w="0" w:type="dxa"/>
        </w:tblCellMar>
        <w:tblLook w:val="04A0" w:firstRow="1" w:lastRow="0" w:firstColumn="1" w:lastColumn="0" w:noHBand="0" w:noVBand="1"/>
      </w:tblPr>
      <w:tblGrid>
        <w:gridCol w:w="3983"/>
        <w:gridCol w:w="3955"/>
      </w:tblGrid>
      <w:tr w:rsidR="007F2229" w:rsidRPr="00E71E85" w14:paraId="0D59BFF6" w14:textId="77777777" w:rsidTr="00734383">
        <w:trPr>
          <w:trHeight w:val="643"/>
        </w:trPr>
        <w:tc>
          <w:tcPr>
            <w:tcW w:w="7938" w:type="dxa"/>
            <w:gridSpan w:val="2"/>
            <w:tcBorders>
              <w:top w:val="nil"/>
              <w:left w:val="nil"/>
              <w:bottom w:val="nil"/>
              <w:right w:val="nil"/>
            </w:tcBorders>
          </w:tcPr>
          <w:p w14:paraId="55D8F968" w14:textId="77777777" w:rsidR="00D52AC4" w:rsidRPr="00E71E85" w:rsidRDefault="00E509E6" w:rsidP="00734383">
            <w:pPr>
              <w:pStyle w:val="Ingenmellomrom"/>
              <w:rPr>
                <w:lang w:val="en-US"/>
              </w:rPr>
            </w:pPr>
            <w:r w:rsidRPr="00E71E85">
              <w:rPr>
                <w:lang w:val="en-US"/>
              </w:rPr>
              <w:t>Best regards</w:t>
            </w:r>
          </w:p>
          <w:p w14:paraId="7FE4F361" w14:textId="77777777" w:rsidR="00D52AC4" w:rsidRPr="00E71E85" w:rsidRDefault="00D52AC4" w:rsidP="00734383">
            <w:pPr>
              <w:pStyle w:val="Ingenmellomrom"/>
              <w:rPr>
                <w:lang w:val="en-US"/>
              </w:rPr>
            </w:pPr>
            <w:r w:rsidRPr="00E71E85">
              <w:rPr>
                <w:lang w:val="en-US"/>
              </w:rPr>
              <w:t>Nor</w:t>
            </w:r>
            <w:r w:rsidR="00E509E6" w:rsidRPr="00E71E85">
              <w:rPr>
                <w:lang w:val="en-US"/>
              </w:rPr>
              <w:t>wegian National Human Rights Institution</w:t>
            </w:r>
          </w:p>
        </w:tc>
      </w:tr>
      <w:tr w:rsidR="007F2229" w:rsidRPr="00E71E85" w14:paraId="150B8286" w14:textId="77777777" w:rsidTr="008746C6">
        <w:trPr>
          <w:trHeight w:val="1205"/>
        </w:trPr>
        <w:tc>
          <w:tcPr>
            <w:tcW w:w="7938" w:type="dxa"/>
            <w:gridSpan w:val="2"/>
            <w:tcBorders>
              <w:top w:val="nil"/>
              <w:left w:val="nil"/>
              <w:bottom w:val="nil"/>
              <w:right w:val="nil"/>
            </w:tcBorders>
          </w:tcPr>
          <w:p w14:paraId="4725ED40" w14:textId="77777777" w:rsidR="00D52AC4" w:rsidRPr="00E71E85" w:rsidRDefault="00D52AC4" w:rsidP="00F53676">
            <w:pPr>
              <w:rPr>
                <w:lang w:val="en-US"/>
              </w:rPr>
            </w:pPr>
          </w:p>
        </w:tc>
      </w:tr>
      <w:tr w:rsidR="00F53676" w:rsidRPr="00E71E85" w14:paraId="74BD4ABF" w14:textId="77777777" w:rsidTr="00734383">
        <w:trPr>
          <w:trHeight w:val="789"/>
        </w:trPr>
        <w:tc>
          <w:tcPr>
            <w:tcW w:w="3983" w:type="dxa"/>
            <w:tcBorders>
              <w:top w:val="nil"/>
              <w:left w:val="nil"/>
              <w:bottom w:val="nil"/>
              <w:right w:val="nil"/>
            </w:tcBorders>
          </w:tcPr>
          <w:p w14:paraId="759B1316" w14:textId="43EA7E43" w:rsidR="00152E3A" w:rsidRPr="00E71E85" w:rsidRDefault="00B24079" w:rsidP="00F53676">
            <w:pPr>
              <w:rPr>
                <w:lang w:val="en-US"/>
              </w:rPr>
            </w:pPr>
            <w:r>
              <w:rPr>
                <w:lang w:val="en-US"/>
              </w:rPr>
              <w:t>Jenny Sandvig</w:t>
            </w:r>
          </w:p>
          <w:p w14:paraId="59382CF9" w14:textId="044DA8EE" w:rsidR="00152E3A" w:rsidRPr="00E71E85" w:rsidRDefault="00B24079" w:rsidP="00F53676">
            <w:pPr>
              <w:rPr>
                <w:lang w:val="en-US"/>
              </w:rPr>
            </w:pPr>
            <w:r>
              <w:rPr>
                <w:lang w:val="en-US"/>
              </w:rPr>
              <w:t xml:space="preserve">Policy director </w:t>
            </w:r>
          </w:p>
        </w:tc>
        <w:tc>
          <w:tcPr>
            <w:tcW w:w="3955" w:type="dxa"/>
            <w:tcBorders>
              <w:top w:val="nil"/>
              <w:left w:val="nil"/>
              <w:bottom w:val="nil"/>
              <w:right w:val="nil"/>
            </w:tcBorders>
          </w:tcPr>
          <w:p w14:paraId="5B224192" w14:textId="7B3A2A40" w:rsidR="00152E3A" w:rsidRPr="00E71E85" w:rsidRDefault="00BB0D8C" w:rsidP="00F53676">
            <w:pPr>
              <w:rPr>
                <w:lang w:val="en-US"/>
              </w:rPr>
            </w:pPr>
            <w:r>
              <w:rPr>
                <w:lang w:val="en-US"/>
              </w:rPr>
              <w:t>Hannah C. Brænden</w:t>
            </w:r>
          </w:p>
          <w:p w14:paraId="4C3A5435" w14:textId="1CE6740F" w:rsidR="00152E3A" w:rsidRPr="00E71E85" w:rsidRDefault="00BB0D8C" w:rsidP="00F53676">
            <w:pPr>
              <w:rPr>
                <w:lang w:val="en-US"/>
              </w:rPr>
            </w:pPr>
            <w:r>
              <w:rPr>
                <w:lang w:val="en-US"/>
              </w:rPr>
              <w:t>Legal advisor</w:t>
            </w:r>
          </w:p>
        </w:tc>
      </w:tr>
    </w:tbl>
    <w:p w14:paraId="40D0610F" w14:textId="77777777" w:rsidR="0021739E" w:rsidRPr="00E71E85" w:rsidRDefault="0021739E" w:rsidP="00EC452F">
      <w:pPr>
        <w:rPr>
          <w:lang w:val="en-US"/>
        </w:rPr>
      </w:pPr>
    </w:p>
    <w:sectPr w:rsidR="0021739E" w:rsidRPr="00E71E85" w:rsidSect="008F10A7">
      <w:headerReference w:type="even" r:id="rId12"/>
      <w:headerReference w:type="default" r:id="rId13"/>
      <w:footerReference w:type="even" r:id="rId14"/>
      <w:footerReference w:type="default" r:id="rId15"/>
      <w:headerReference w:type="first" r:id="rId16"/>
      <w:footerReference w:type="first" r:id="rId17"/>
      <w:pgSz w:w="11900" w:h="16840" w:code="9"/>
      <w:pgMar w:top="2268"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6145" w14:textId="77777777" w:rsidR="003737C4" w:rsidRDefault="003737C4" w:rsidP="00F53676">
      <w:r>
        <w:separator/>
      </w:r>
    </w:p>
    <w:p w14:paraId="0BA45A94" w14:textId="77777777" w:rsidR="003737C4" w:rsidRDefault="003737C4" w:rsidP="00F53676"/>
    <w:p w14:paraId="3B339052" w14:textId="77777777" w:rsidR="003737C4" w:rsidRDefault="003737C4" w:rsidP="00F53676"/>
  </w:endnote>
  <w:endnote w:type="continuationSeparator" w:id="0">
    <w:p w14:paraId="298FCCD2" w14:textId="77777777" w:rsidR="003737C4" w:rsidRDefault="003737C4" w:rsidP="00F53676">
      <w:r>
        <w:continuationSeparator/>
      </w:r>
    </w:p>
    <w:p w14:paraId="0CB153E8" w14:textId="77777777" w:rsidR="003737C4" w:rsidRDefault="003737C4" w:rsidP="00F53676"/>
    <w:p w14:paraId="09ECA6EE" w14:textId="77777777" w:rsidR="003737C4" w:rsidRDefault="003737C4" w:rsidP="00F53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2542" w14:textId="77777777" w:rsidR="007F2229" w:rsidRDefault="007F2229" w:rsidP="00F53676">
    <w:pPr>
      <w:pStyle w:val="Bunntekst"/>
      <w:rPr>
        <w:rStyle w:val="Sidetall"/>
      </w:rPr>
    </w:pPr>
    <w:r>
      <w:rPr>
        <w:rStyle w:val="Sidetall"/>
      </w:rPr>
      <w:fldChar w:fldCharType="begin"/>
    </w:r>
    <w:r>
      <w:rPr>
        <w:rStyle w:val="Sidetall"/>
      </w:rPr>
      <w:instrText xml:space="preserve">PAGE  </w:instrText>
    </w:r>
    <w:r>
      <w:rPr>
        <w:rStyle w:val="Sidetall"/>
      </w:rPr>
      <w:fldChar w:fldCharType="end"/>
    </w:r>
  </w:p>
  <w:p w14:paraId="1FA91F4F" w14:textId="77777777" w:rsidR="001414FD" w:rsidRDefault="001414FD" w:rsidP="00F53676">
    <w:pPr>
      <w:pStyle w:val="Bunntekst"/>
      <w:rPr>
        <w:rStyle w:val="Sidetall"/>
      </w:rPr>
    </w:pPr>
  </w:p>
  <w:p w14:paraId="3622D45E" w14:textId="77777777" w:rsidR="009856E2" w:rsidRDefault="009856E2" w:rsidP="00F53676">
    <w:pPr>
      <w:pStyle w:val="Bunntekst"/>
      <w:rPr>
        <w:rStyle w:val="Sidetall"/>
      </w:rPr>
    </w:pPr>
    <w:r>
      <w:rPr>
        <w:rStyle w:val="Sidetall"/>
      </w:rPr>
      <w:fldChar w:fldCharType="begin"/>
    </w:r>
    <w:r>
      <w:rPr>
        <w:rStyle w:val="Sidetall"/>
      </w:rPr>
      <w:instrText xml:space="preserve">PAGE  </w:instrText>
    </w:r>
    <w:r>
      <w:rPr>
        <w:rStyle w:val="Sidetall"/>
      </w:rPr>
      <w:fldChar w:fldCharType="end"/>
    </w:r>
  </w:p>
  <w:p w14:paraId="7139FC9A" w14:textId="77777777" w:rsidR="009856E2" w:rsidRDefault="009856E2" w:rsidP="00F53676">
    <w:pPr>
      <w:pStyle w:val="Bunntekst"/>
    </w:pPr>
  </w:p>
  <w:p w14:paraId="589C93B5" w14:textId="77777777" w:rsidR="00F125FC" w:rsidRDefault="00F125FC" w:rsidP="00F53676"/>
  <w:p w14:paraId="09DB7906" w14:textId="77777777" w:rsidR="00F125FC" w:rsidRDefault="00F125FC" w:rsidP="00F536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7494" w14:textId="77777777" w:rsidR="007F2229" w:rsidRDefault="007F2229" w:rsidP="00F53676">
    <w:pPr>
      <w:pStyle w:val="Bunntekst"/>
    </w:pPr>
    <w:r>
      <w:rPr>
        <w:noProof/>
        <w:lang w:val="nb-NO" w:eastAsia="nb-NO"/>
      </w:rPr>
      <mc:AlternateContent>
        <mc:Choice Requires="wps">
          <w:drawing>
            <wp:inline distT="0" distB="0" distL="0" distR="0" wp14:anchorId="7F769116" wp14:editId="02A8F5E7">
              <wp:extent cx="5040000" cy="2540"/>
              <wp:effectExtent l="0" t="0" r="40005" b="48260"/>
              <wp:docPr id="2" name="Rett linje 16"/>
              <wp:cNvGraphicFramePr/>
              <a:graphic xmlns:a="http://schemas.openxmlformats.org/drawingml/2006/main">
                <a:graphicData uri="http://schemas.microsoft.com/office/word/2010/wordprocessingShape">
                  <wps:wsp>
                    <wps:cNvCnPr/>
                    <wps:spPr>
                      <a:xfrm>
                        <a:off x="0" y="0"/>
                        <a:ext cx="504000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89FAAD" id="Rett linje 16" o:spid="_x0000_s1026" style="visibility:visible;mso-wrap-style:square;mso-left-percent:-10001;mso-top-percent:-10001;mso-position-horizontal:absolute;mso-position-horizontal-relative:char;mso-position-vertical:absolute;mso-position-vertical-relative:line;mso-left-percent:-10001;mso-top-percent:-10001" from="0,0" to="39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" strokecolor="#151643 [3213]" strokeweight=".5pt">
              <v:stroke joinstyle="miter"/>
              <w10:anchorlock/>
            </v:line>
          </w:pict>
        </mc:Fallback>
      </mc:AlternateContent>
    </w:r>
  </w:p>
  <w:tbl>
    <w:tblPr>
      <w:tblStyle w:val="Tabellrutenet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7938"/>
    </w:tblGrid>
    <w:tr w:rsidR="007F2229" w14:paraId="001D9517" w14:textId="77777777" w:rsidTr="008746C6">
      <w:trPr>
        <w:trHeight w:hRule="exact" w:val="397"/>
      </w:trPr>
      <w:tc>
        <w:tcPr>
          <w:tcW w:w="8953" w:type="dxa"/>
        </w:tcPr>
        <w:p w14:paraId="5B6300AB" w14:textId="77777777" w:rsidR="007F2229" w:rsidRPr="003272E4" w:rsidRDefault="007F2229" w:rsidP="000B031E">
          <w:pPr>
            <w:pStyle w:val="Bunntekst"/>
            <w:jc w:val="right"/>
          </w:pPr>
          <w:r>
            <w:rPr>
              <w:rStyle w:val="Sidetall"/>
            </w:rPr>
            <w:fldChar w:fldCharType="begin"/>
          </w:r>
          <w:r>
            <w:rPr>
              <w:rStyle w:val="Sidetall"/>
            </w:rPr>
            <w:instrText xml:space="preserve">PAGE  </w:instrText>
          </w:r>
          <w:r>
            <w:rPr>
              <w:rStyle w:val="Sidetall"/>
            </w:rPr>
            <w:fldChar w:fldCharType="separate"/>
          </w:r>
          <w:r w:rsidR="00F7015A">
            <w:rPr>
              <w:rStyle w:val="Sidetall"/>
              <w:noProof/>
            </w:rPr>
            <w:t>2</w:t>
          </w:r>
          <w:r>
            <w:rPr>
              <w:rStyle w:val="Sidetall"/>
            </w:rPr>
            <w:fldChar w:fldCharType="end"/>
          </w:r>
        </w:p>
      </w:tc>
    </w:tr>
  </w:tbl>
  <w:p w14:paraId="09ED40B1" w14:textId="77777777" w:rsidR="007F2229" w:rsidRDefault="007F2229" w:rsidP="00F53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4319" w14:textId="77777777" w:rsidR="00A976FC" w:rsidRDefault="001301B2" w:rsidP="00F53676">
    <w:pPr>
      <w:pStyle w:val="Bunntekst"/>
    </w:pPr>
    <w:r>
      <w:rPr>
        <w:noProof/>
        <w:lang w:val="nb-NO" w:eastAsia="nb-NO"/>
      </w:rPr>
      <mc:AlternateContent>
        <mc:Choice Requires="wps">
          <w:drawing>
            <wp:inline distT="0" distB="0" distL="0" distR="0" wp14:anchorId="7F87E18C" wp14:editId="1AE4A2C9">
              <wp:extent cx="5040000" cy="2540"/>
              <wp:effectExtent l="0" t="0" r="40005" b="48260"/>
              <wp:docPr id="16" name="Rett linje 16"/>
              <wp:cNvGraphicFramePr/>
              <a:graphic xmlns:a="http://schemas.openxmlformats.org/drawingml/2006/main">
                <a:graphicData uri="http://schemas.microsoft.com/office/word/2010/wordprocessingShape">
                  <wps:wsp>
                    <wps:cNvCnPr/>
                    <wps:spPr>
                      <a:xfrm>
                        <a:off x="0" y="0"/>
                        <a:ext cx="5040000"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F29F568" id="Rett linje 16" o:spid="_x0000_s1026" style="visibility:visible;mso-wrap-style:square;mso-left-percent:-10001;mso-top-percent:-10001;mso-position-horizontal:absolute;mso-position-horizontal-relative:char;mso-position-vertical:absolute;mso-position-vertical-relative:line;mso-left-percent:-10001;mso-top-percent:-10001" from="0,0" to="396.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" strokecolor="#151643 [3213]" strokeweight=".5pt">
              <v:stroke joinstyle="miter"/>
              <w10:anchorlock/>
            </v:line>
          </w:pict>
        </mc:Fallback>
      </mc:AlternateContent>
    </w:r>
  </w:p>
  <w:tbl>
    <w:tblPr>
      <w:tblStyle w:val="Tabellrutenett"/>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7938"/>
    </w:tblGrid>
    <w:tr w:rsidR="008746C6" w:rsidRPr="008B4C98" w14:paraId="21B2FE7A" w14:textId="77777777" w:rsidTr="008746C6">
      <w:trPr>
        <w:trHeight w:val="1"/>
      </w:trPr>
      <w:tc>
        <w:tcPr>
          <w:tcW w:w="7969" w:type="dxa"/>
        </w:tcPr>
        <w:p w14:paraId="44D104D3" w14:textId="77777777" w:rsidR="002F60C4" w:rsidRPr="00AC1A8E" w:rsidRDefault="005422A1" w:rsidP="00761B05">
          <w:pPr>
            <w:pStyle w:val="Bunntekst"/>
            <w:tabs>
              <w:tab w:val="clear" w:pos="3261"/>
              <w:tab w:val="clear" w:pos="3686"/>
              <w:tab w:val="clear" w:pos="5387"/>
              <w:tab w:val="clear" w:pos="5812"/>
              <w:tab w:val="left" w:pos="3508"/>
              <w:tab w:val="left" w:pos="4081"/>
              <w:tab w:val="left" w:pos="5870"/>
              <w:tab w:val="left" w:pos="6379"/>
            </w:tabs>
            <w:rPr>
              <w:lang w:val="nb-NO"/>
            </w:rPr>
          </w:pPr>
          <w:r w:rsidRPr="00721718">
            <w:rPr>
              <w:rStyle w:val="uthevet"/>
              <w:lang w:val="nb-NO"/>
            </w:rPr>
            <w:t>Post</w:t>
          </w:r>
          <w:r w:rsidR="008B4C98">
            <w:rPr>
              <w:rStyle w:val="uthevet"/>
              <w:lang w:val="nb-NO"/>
            </w:rPr>
            <w:t xml:space="preserve">al </w:t>
          </w:r>
          <w:proofErr w:type="spellStart"/>
          <w:r w:rsidRPr="00721718">
            <w:rPr>
              <w:rStyle w:val="uthevet"/>
              <w:lang w:val="nb-NO"/>
            </w:rPr>
            <w:t>ad</w:t>
          </w:r>
          <w:r w:rsidR="004A1FD9">
            <w:rPr>
              <w:rStyle w:val="uthevet"/>
              <w:lang w:val="nb-NO"/>
            </w:rPr>
            <w:t>d</w:t>
          </w:r>
          <w:r w:rsidRPr="00721718">
            <w:rPr>
              <w:rStyle w:val="uthevet"/>
              <w:lang w:val="nb-NO"/>
            </w:rPr>
            <w:t>ress</w:t>
          </w:r>
          <w:proofErr w:type="spellEnd"/>
          <w:r w:rsidRPr="00721718">
            <w:rPr>
              <w:rStyle w:val="uthevet"/>
              <w:lang w:val="nb-NO"/>
            </w:rPr>
            <w:t>:</w:t>
          </w:r>
          <w:r w:rsidRPr="00721718">
            <w:rPr>
              <w:lang w:val="nb-NO"/>
            </w:rPr>
            <w:t xml:space="preserve"> </w:t>
          </w:r>
          <w:proofErr w:type="spellStart"/>
          <w:r w:rsidRPr="00721718">
            <w:rPr>
              <w:lang w:val="nb-NO"/>
            </w:rPr>
            <w:t>P</w:t>
          </w:r>
          <w:r w:rsidR="004A1FD9">
            <w:rPr>
              <w:lang w:val="nb-NO"/>
            </w:rPr>
            <w:t>.</w:t>
          </w:r>
          <w:r w:rsidR="008B4C98">
            <w:rPr>
              <w:lang w:val="nb-NO"/>
            </w:rPr>
            <w:t>O</w:t>
          </w:r>
          <w:proofErr w:type="spellEnd"/>
          <w:r w:rsidR="008B4C98">
            <w:rPr>
              <w:lang w:val="nb-NO"/>
            </w:rPr>
            <w:t xml:space="preserve">. </w:t>
          </w:r>
          <w:r w:rsidR="004A1FD9">
            <w:rPr>
              <w:lang w:val="nb-NO"/>
            </w:rPr>
            <w:t xml:space="preserve">Box </w:t>
          </w:r>
          <w:r w:rsidRPr="00721718">
            <w:rPr>
              <w:lang w:val="nb-NO"/>
            </w:rPr>
            <w:t xml:space="preserve">299 Sentrum, 0103 Oslo </w:t>
          </w:r>
          <w:r w:rsidRPr="00721718">
            <w:rPr>
              <w:lang w:val="nb-NO"/>
            </w:rPr>
            <w:tab/>
            <w:t xml:space="preserve">– </w:t>
          </w:r>
          <w:r w:rsidRPr="00721718">
            <w:rPr>
              <w:lang w:val="nb-NO"/>
            </w:rPr>
            <w:tab/>
          </w:r>
          <w:r w:rsidR="008B4C98">
            <w:rPr>
              <w:rStyle w:val="uthevet"/>
              <w:lang w:val="nb-NO"/>
            </w:rPr>
            <w:t>Tel</w:t>
          </w:r>
          <w:r w:rsidRPr="00721718">
            <w:rPr>
              <w:rStyle w:val="uthevet"/>
              <w:lang w:val="nb-NO"/>
            </w:rPr>
            <w:t>:</w:t>
          </w:r>
          <w:r w:rsidRPr="00721718">
            <w:rPr>
              <w:lang w:val="nb-NO"/>
            </w:rPr>
            <w:t xml:space="preserve"> (+47) 23 31 69 70 </w:t>
          </w:r>
          <w:r w:rsidRPr="00721718">
            <w:rPr>
              <w:lang w:val="nb-NO"/>
            </w:rPr>
            <w:tab/>
            <w:t xml:space="preserve">– </w:t>
          </w:r>
          <w:r w:rsidRPr="00721718">
            <w:rPr>
              <w:lang w:val="nb-NO"/>
            </w:rPr>
            <w:tab/>
          </w:r>
          <w:r w:rsidRPr="00721718">
            <w:rPr>
              <w:rStyle w:val="uthevet"/>
              <w:lang w:val="nb-NO"/>
            </w:rPr>
            <w:t>Websi</w:t>
          </w:r>
          <w:r w:rsidR="008B4C98">
            <w:rPr>
              <w:rStyle w:val="uthevet"/>
              <w:lang w:val="nb-NO"/>
            </w:rPr>
            <w:t>te</w:t>
          </w:r>
          <w:r w:rsidRPr="00721718">
            <w:rPr>
              <w:rStyle w:val="uthevet"/>
              <w:lang w:val="nb-NO"/>
            </w:rPr>
            <w:t>:</w:t>
          </w:r>
          <w:r w:rsidRPr="00721718">
            <w:rPr>
              <w:lang w:val="nb-NO"/>
            </w:rPr>
            <w:t xml:space="preserve"> www.nhri.no</w:t>
          </w:r>
        </w:p>
      </w:tc>
    </w:tr>
  </w:tbl>
  <w:p w14:paraId="6AD95068" w14:textId="77777777" w:rsidR="001301B2" w:rsidRPr="00AC1A8E" w:rsidRDefault="001301B2" w:rsidP="00F53676">
    <w:pP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79E7F" w14:textId="77777777" w:rsidR="003737C4" w:rsidRDefault="003737C4" w:rsidP="00F53676">
      <w:pPr>
        <w:pStyle w:val="Fotnotetekst"/>
      </w:pPr>
      <w:r>
        <w:separator/>
      </w:r>
    </w:p>
  </w:footnote>
  <w:footnote w:type="continuationSeparator" w:id="0">
    <w:p w14:paraId="5BF44535" w14:textId="77777777" w:rsidR="003737C4" w:rsidRDefault="003737C4" w:rsidP="00F53676">
      <w:r>
        <w:continuationSeparator/>
      </w:r>
    </w:p>
    <w:p w14:paraId="450FF724" w14:textId="77777777" w:rsidR="003737C4" w:rsidRDefault="003737C4" w:rsidP="00F53676"/>
    <w:p w14:paraId="108907B5" w14:textId="77777777" w:rsidR="003737C4" w:rsidRDefault="003737C4" w:rsidP="00F53676"/>
  </w:footnote>
  <w:footnote w:id="1">
    <w:p w14:paraId="200DA1D9" w14:textId="0DC1E76B" w:rsidR="00EA1F34" w:rsidRPr="00EA1F34" w:rsidRDefault="00EA1F34">
      <w:pPr>
        <w:pStyle w:val="Fotnotetekst"/>
      </w:pPr>
      <w:r>
        <w:rPr>
          <w:rStyle w:val="Fotnotereferanse"/>
        </w:rPr>
        <w:footnoteRef/>
      </w:r>
      <w:r>
        <w:t xml:space="preserve"> </w:t>
      </w:r>
      <w:hyperlink r:id="rId1" w:history="1">
        <w:r w:rsidR="00D3517D" w:rsidRPr="000F6FB9">
          <w:rPr>
            <w:rStyle w:val="Hyperkobling"/>
          </w:rPr>
          <w:t>https://www.nhri.no/wp-content/uploads/2022/03/NIM_Sumbission-to-CRC-General-Comment-no.-26-.pdf</w:t>
        </w:r>
      </w:hyperlink>
      <w:r w:rsidR="00D3517D">
        <w:t xml:space="preserve"> </w:t>
      </w:r>
    </w:p>
  </w:footnote>
  <w:footnote w:id="2">
    <w:p w14:paraId="0AE9B467" w14:textId="77777777" w:rsidR="003E4D20" w:rsidRPr="00367FFD" w:rsidRDefault="003E4D20" w:rsidP="003E4D20">
      <w:pPr>
        <w:pStyle w:val="Fotnotetekst"/>
        <w:rPr>
          <w:lang w:val="en-US"/>
        </w:rPr>
      </w:pPr>
      <w:r>
        <w:rPr>
          <w:rStyle w:val="Fotnotereferanse"/>
        </w:rPr>
        <w:footnoteRef/>
      </w:r>
      <w:r>
        <w:t xml:space="preserve"> </w:t>
      </w:r>
      <w:r w:rsidRPr="00367FFD">
        <w:rPr>
          <w:lang w:val="en-US"/>
        </w:rPr>
        <w:t>NIM has ‘A status’ accreditation with the Global Alliance of National Human Rights Institutions (</w:t>
      </w:r>
      <w:hyperlink r:id="rId2" w:history="1">
        <w:r w:rsidRPr="00367FFD">
          <w:rPr>
            <w:rStyle w:val="Hyperkobling"/>
            <w:lang w:val="en-US"/>
          </w:rPr>
          <w:t>GANHRI</w:t>
        </w:r>
      </w:hyperlink>
      <w:r w:rsidRPr="00367FFD">
        <w:rPr>
          <w:lang w:val="en-US"/>
        </w:rPr>
        <w:t>), which means we comply with the requirements of independence, impartiality and integrity under the </w:t>
      </w:r>
      <w:hyperlink r:id="rId3" w:history="1">
        <w:r w:rsidRPr="00367FFD">
          <w:rPr>
            <w:rStyle w:val="Hyperkobling"/>
            <w:lang w:val="en-US"/>
          </w:rPr>
          <w:t>Paris Principles</w:t>
        </w:r>
      </w:hyperlink>
      <w:r w:rsidRPr="00367FFD">
        <w:rPr>
          <w:lang w:val="en-US"/>
        </w:rPr>
        <w:t>.</w:t>
      </w:r>
    </w:p>
  </w:footnote>
  <w:footnote w:id="3">
    <w:p w14:paraId="0A068329" w14:textId="5B7EF6D1" w:rsidR="003E4D20" w:rsidRPr="00135770" w:rsidRDefault="003E4D20" w:rsidP="003E4D20">
      <w:pPr>
        <w:pStyle w:val="Fotnotetekst"/>
        <w:rPr>
          <w:lang w:val="en-US"/>
        </w:rPr>
      </w:pPr>
      <w:r>
        <w:rPr>
          <w:rStyle w:val="Fotnotereferanse"/>
        </w:rPr>
        <w:footnoteRef/>
      </w:r>
      <w:r>
        <w:t xml:space="preserve"> Available here: </w:t>
      </w:r>
      <w:hyperlink r:id="rId4" w:history="1">
        <w:r w:rsidRPr="00135BC1">
          <w:rPr>
            <w:rStyle w:val="Hyperkobling"/>
          </w:rPr>
          <w:t>https://ennhri.org/news-and-blog/ennhri-intervenes-before-the-grand-chamber-of-the-european-court-of-human-rights-in-three-historic-climate-cases/</w:t>
        </w:r>
      </w:hyperlink>
      <w:r>
        <w:t xml:space="preserve"> and here: </w:t>
      </w:r>
      <w:hyperlink r:id="rId5" w:history="1">
        <w:r w:rsidRPr="00135BC1">
          <w:rPr>
            <w:rStyle w:val="Hyperkobling"/>
          </w:rPr>
          <w:t>https://ennhri.org/news-and-blog/third-party-intervention-potential-impact-climate-case-arctic-oil-exploration/</w:t>
        </w:r>
      </w:hyperlink>
      <w:r>
        <w:t xml:space="preserve"> </w:t>
      </w:r>
    </w:p>
  </w:footnote>
  <w:footnote w:id="4">
    <w:p w14:paraId="6FDD3795" w14:textId="113D757E" w:rsidR="00CF1D33" w:rsidRDefault="00CF1D33" w:rsidP="00CF1D33">
      <w:pPr>
        <w:pStyle w:val="Fotnotetekst"/>
        <w:rPr>
          <w:lang w:val="en-US"/>
        </w:rPr>
      </w:pPr>
      <w:r>
        <w:rPr>
          <w:rStyle w:val="Fotnotereferanse"/>
        </w:rPr>
        <w:footnoteRef/>
      </w:r>
      <w:r>
        <w:rPr>
          <w:lang w:val="en-US"/>
        </w:rPr>
        <w:t xml:space="preserve"> </w:t>
      </w:r>
      <w:proofErr w:type="spellStart"/>
      <w:r>
        <w:rPr>
          <w:i/>
          <w:iCs/>
          <w:lang w:val="en-US"/>
        </w:rPr>
        <w:t>Ahmadou</w:t>
      </w:r>
      <w:proofErr w:type="spellEnd"/>
      <w:r>
        <w:rPr>
          <w:i/>
          <w:iCs/>
          <w:lang w:val="en-US"/>
        </w:rPr>
        <w:t xml:space="preserve"> Sadio Diallo (Republic of Guinea </w:t>
      </w:r>
      <w:r>
        <w:rPr>
          <w:iCs/>
          <w:lang w:val="en-US"/>
        </w:rPr>
        <w:t xml:space="preserve">v. </w:t>
      </w:r>
      <w:r>
        <w:rPr>
          <w:i/>
          <w:iCs/>
          <w:lang w:val="en-US"/>
        </w:rPr>
        <w:t xml:space="preserve">Democratic Republic of the Congo), Merits, Judgment, </w:t>
      </w:r>
      <w:proofErr w:type="spellStart"/>
      <w:r>
        <w:rPr>
          <w:i/>
          <w:iCs/>
          <w:lang w:val="en-US"/>
        </w:rPr>
        <w:t>I.C.J</w:t>
      </w:r>
      <w:proofErr w:type="spellEnd"/>
      <w:r>
        <w:rPr>
          <w:i/>
          <w:iCs/>
          <w:lang w:val="en-US"/>
        </w:rPr>
        <w:t>. Report 2010</w:t>
      </w:r>
      <w:r>
        <w:rPr>
          <w:iCs/>
          <w:lang w:val="en-US"/>
        </w:rPr>
        <w:t>, p. 369,</w:t>
      </w:r>
      <w:r>
        <w:rPr>
          <w:lang w:val="en-US"/>
        </w:rPr>
        <w:t xml:space="preserve"> </w:t>
      </w:r>
      <w:r w:rsidR="005A508B">
        <w:rPr>
          <w:lang w:val="en-US"/>
        </w:rPr>
        <w:t>para</w:t>
      </w:r>
      <w:r>
        <w:rPr>
          <w:lang w:val="en-US"/>
        </w:rPr>
        <w:t xml:space="preserve"> 66</w:t>
      </w:r>
      <w:r w:rsidR="005A508B">
        <w:rPr>
          <w:lang w:val="en-US"/>
        </w:rPr>
        <w:t>.</w:t>
      </w:r>
    </w:p>
  </w:footnote>
  <w:footnote w:id="5">
    <w:p w14:paraId="23F8DBF9" w14:textId="35203199" w:rsidR="005A508B" w:rsidRPr="000B40F9" w:rsidRDefault="005A508B">
      <w:pPr>
        <w:pStyle w:val="Fotnotetekst"/>
        <w:rPr>
          <w:lang w:val="en-US"/>
        </w:rPr>
      </w:pPr>
      <w:r>
        <w:rPr>
          <w:rStyle w:val="Fotnotereferanse"/>
        </w:rPr>
        <w:footnoteRef/>
      </w:r>
      <w:r>
        <w:t xml:space="preserve"> </w:t>
      </w:r>
      <w:r w:rsidR="000B40F9" w:rsidRPr="004C231D">
        <w:rPr>
          <w:i/>
          <w:lang w:val="en-US"/>
        </w:rPr>
        <w:t>Application of the International Convention on the Elimination of All Forms of Racial Discrimination (Qatar v. United Arab Emirates),</w:t>
      </w:r>
      <w:r w:rsidR="000B40F9" w:rsidRPr="004C231D">
        <w:rPr>
          <w:lang w:val="en-US"/>
        </w:rPr>
        <w:t xml:space="preserve"> Preliminary Objections, Judgment, </w:t>
      </w:r>
      <w:proofErr w:type="spellStart"/>
      <w:r w:rsidR="000B40F9" w:rsidRPr="004C231D">
        <w:rPr>
          <w:lang w:val="en-US"/>
        </w:rPr>
        <w:t>I.C.J</w:t>
      </w:r>
      <w:proofErr w:type="spellEnd"/>
      <w:r w:rsidR="000B40F9" w:rsidRPr="004C231D">
        <w:rPr>
          <w:lang w:val="en-US"/>
        </w:rPr>
        <w:t>. Reports 2021, p. 71</w:t>
      </w:r>
      <w:r w:rsidR="000B40F9">
        <w:rPr>
          <w:lang w:val="en-US"/>
        </w:rPr>
        <w:t>, para 101.</w:t>
      </w:r>
    </w:p>
  </w:footnote>
  <w:footnote w:id="6">
    <w:p w14:paraId="035FBCEE" w14:textId="77777777" w:rsidR="00C6460A" w:rsidRPr="00312C9C" w:rsidRDefault="00C6460A" w:rsidP="00C6460A">
      <w:pPr>
        <w:pStyle w:val="Fotnotetekst"/>
        <w:rPr>
          <w:lang w:val="en-US"/>
        </w:rPr>
      </w:pPr>
      <w:r>
        <w:rPr>
          <w:rStyle w:val="Fotnotereferanse"/>
        </w:rPr>
        <w:footnoteRef/>
      </w:r>
      <w:r w:rsidRPr="00312C9C">
        <w:rPr>
          <w:lang w:val="en-US"/>
        </w:rPr>
        <w:t xml:space="preserve"> Rt. 2015 s. 193 para 42</w:t>
      </w:r>
      <w:r>
        <w:rPr>
          <w:lang w:val="en-US"/>
        </w:rPr>
        <w:t xml:space="preserve">; </w:t>
      </w:r>
      <w:r w:rsidRPr="00312C9C">
        <w:rPr>
          <w:lang w:val="en-US"/>
        </w:rPr>
        <w:t>HR-2018-2096-A, para 14.</w:t>
      </w:r>
    </w:p>
  </w:footnote>
  <w:footnote w:id="7">
    <w:p w14:paraId="131F8DB0" w14:textId="4540396F" w:rsidR="003D47C2" w:rsidRPr="00575023" w:rsidRDefault="003D47C2">
      <w:pPr>
        <w:pStyle w:val="Fotnotetekst"/>
      </w:pPr>
      <w:r>
        <w:rPr>
          <w:rStyle w:val="Fotnotereferanse"/>
        </w:rPr>
        <w:footnoteRef/>
      </w:r>
      <w:r>
        <w:t xml:space="preserve"> </w:t>
      </w:r>
      <w:r w:rsidR="00EC452F">
        <w:t xml:space="preserve">See references to several court cases in </w:t>
      </w:r>
      <w:r w:rsidR="00575023">
        <w:t xml:space="preserve">ENNHRI, </w:t>
      </w:r>
      <w:hyperlink r:id="rId6" w:history="1">
        <w:r w:rsidR="00575023" w:rsidRPr="00575023">
          <w:rPr>
            <w:rStyle w:val="Hyperkobling"/>
            <w:i/>
            <w:iCs/>
          </w:rPr>
          <w:t xml:space="preserve">Written observations in application no. 53600/20 Verein </w:t>
        </w:r>
        <w:proofErr w:type="spellStart"/>
        <w:r w:rsidR="00575023" w:rsidRPr="00575023">
          <w:rPr>
            <w:rStyle w:val="Hyperkobling"/>
            <w:i/>
            <w:iCs/>
          </w:rPr>
          <w:t>Klimaseniorinnen</w:t>
        </w:r>
        <w:proofErr w:type="spellEnd"/>
        <w:r w:rsidR="00575023" w:rsidRPr="00575023">
          <w:rPr>
            <w:rStyle w:val="Hyperkobling"/>
            <w:i/>
            <w:iCs/>
          </w:rPr>
          <w:t xml:space="preserve"> Schweiz et </w:t>
        </w:r>
        <w:proofErr w:type="spellStart"/>
        <w:r w:rsidR="00575023" w:rsidRPr="00575023">
          <w:rPr>
            <w:rStyle w:val="Hyperkobling"/>
            <w:i/>
            <w:iCs/>
          </w:rPr>
          <w:t>autres</w:t>
        </w:r>
        <w:proofErr w:type="spellEnd"/>
        <w:r w:rsidR="00575023" w:rsidRPr="00575023">
          <w:rPr>
            <w:rStyle w:val="Hyperkobling"/>
            <w:i/>
            <w:iCs/>
          </w:rPr>
          <w:t xml:space="preserve"> c. la Suisse</w:t>
        </w:r>
      </w:hyperlink>
      <w:r w:rsidR="00575023">
        <w:rPr>
          <w:i/>
          <w:iCs/>
        </w:rPr>
        <w:t xml:space="preserve">, </w:t>
      </w:r>
      <w:r w:rsidR="00575023">
        <w:t>footnote 65.</w:t>
      </w:r>
    </w:p>
  </w:footnote>
  <w:footnote w:id="8">
    <w:p w14:paraId="12BDA59A" w14:textId="77777777" w:rsidR="004933B8" w:rsidRPr="00D03BAA" w:rsidRDefault="004933B8" w:rsidP="004933B8">
      <w:pPr>
        <w:pStyle w:val="Fotnotetekst"/>
      </w:pPr>
      <w:r>
        <w:rPr>
          <w:rStyle w:val="Fotnotereferanse"/>
        </w:rPr>
        <w:footnoteRef/>
      </w:r>
      <w:r>
        <w:t xml:space="preserve"> </w:t>
      </w:r>
      <w:r w:rsidRPr="00F66954">
        <w:t>UN Doc CRC/C/88/D/10</w:t>
      </w:r>
      <w:r>
        <w:t>7</w:t>
      </w:r>
      <w:r w:rsidRPr="00F66954">
        <w:t>/2019</w:t>
      </w:r>
      <w:r>
        <w:t xml:space="preserve"> </w:t>
      </w:r>
      <w:r w:rsidRPr="00CC2ACE">
        <w:rPr>
          <w:lang w:val="en-US"/>
        </w:rPr>
        <w:t>para</w:t>
      </w:r>
      <w:r>
        <w:rPr>
          <w:lang w:val="en-US"/>
        </w:rPr>
        <w:t xml:space="preserve"> 9.13.</w:t>
      </w:r>
    </w:p>
  </w:footnote>
  <w:footnote w:id="9">
    <w:p w14:paraId="09086A75" w14:textId="3CC236D6" w:rsidR="00C113BD" w:rsidRPr="00C113BD" w:rsidRDefault="00C113BD">
      <w:pPr>
        <w:pStyle w:val="Fotnotetekst"/>
      </w:pPr>
      <w:r>
        <w:rPr>
          <w:rStyle w:val="Fotnotereferanse"/>
        </w:rPr>
        <w:footnoteRef/>
      </w:r>
      <w:r>
        <w:t xml:space="preserve"> </w:t>
      </w:r>
      <w:r w:rsidRPr="00134694">
        <w:rPr>
          <w:i/>
          <w:iCs/>
        </w:rPr>
        <w:t>Minister for the Environment v. Sharma et al.</w:t>
      </w:r>
      <w:r>
        <w:t xml:space="preserve"> [2022] </w:t>
      </w:r>
      <w:proofErr w:type="spellStart"/>
      <w:r>
        <w:t>FCAFC</w:t>
      </w:r>
      <w:proofErr w:type="spellEnd"/>
      <w:r>
        <w:t xml:space="preserve"> 35, paras. 293, 332, 403 and 423. While the majority of the Full Federal Court upheld the findings on foreseeability in </w:t>
      </w:r>
      <w:r w:rsidRPr="00134694">
        <w:rPr>
          <w:i/>
          <w:iCs/>
        </w:rPr>
        <w:t>Sharma et al. v. Minister for the Environment</w:t>
      </w:r>
      <w:r>
        <w:t xml:space="preserve"> (Federal Court of Australia) </w:t>
      </w:r>
      <w:proofErr w:type="spellStart"/>
      <w:r>
        <w:t>FCA</w:t>
      </w:r>
      <w:proofErr w:type="spellEnd"/>
      <w:r>
        <w:t xml:space="preserve"> 774, 08.07.2021 paras. 84, 88, 247, 253, 257, it disagreed that tort law absent confirmation by the Supreme Court, establishes a novel duty of care for children. </w:t>
      </w:r>
    </w:p>
  </w:footnote>
  <w:footnote w:id="10">
    <w:p w14:paraId="7D2531A3" w14:textId="2C048FF4" w:rsidR="001A68FC" w:rsidRPr="00C368E0" w:rsidRDefault="001A68FC" w:rsidP="001A68FC">
      <w:pPr>
        <w:pStyle w:val="Fotnotetekst"/>
      </w:pPr>
      <w:r>
        <w:rPr>
          <w:rStyle w:val="Fotnotereferanse"/>
        </w:rPr>
        <w:footnoteRef/>
      </w:r>
      <w:r>
        <w:t xml:space="preserve"> </w:t>
      </w:r>
      <w:proofErr w:type="spellStart"/>
      <w:r w:rsidR="009F73DC">
        <w:t>CRCt</w:t>
      </w:r>
      <w:proofErr w:type="spellEnd"/>
      <w:r w:rsidR="00CC4728">
        <w:t xml:space="preserve">, General comment No. 14, UN Doc. CRC/C/GC/14, 2013, </w:t>
      </w:r>
      <w:r>
        <w:rPr>
          <w:lang w:val="en-US"/>
        </w:rPr>
        <w:t>para 32.</w:t>
      </w:r>
    </w:p>
  </w:footnote>
  <w:footnote w:id="11">
    <w:p w14:paraId="16EE46DC" w14:textId="0EC24FB2" w:rsidR="001A68FC" w:rsidRPr="00C130EA" w:rsidRDefault="001A68FC" w:rsidP="001A68FC">
      <w:pPr>
        <w:pStyle w:val="Fotnotetekst"/>
      </w:pPr>
      <w:r>
        <w:rPr>
          <w:rStyle w:val="Fotnotereferanse"/>
        </w:rPr>
        <w:footnoteRef/>
      </w:r>
      <w:r>
        <w:t xml:space="preserve"> </w:t>
      </w:r>
      <w:r w:rsidR="00CC4728" w:rsidRPr="00E70654">
        <w:t>CRC/C/GC/14</w:t>
      </w:r>
      <w:r w:rsidR="00CC4728">
        <w:t xml:space="preserve"> </w:t>
      </w:r>
      <w:r>
        <w:t>para 35.</w:t>
      </w:r>
    </w:p>
  </w:footnote>
  <w:footnote w:id="12">
    <w:p w14:paraId="4E211726" w14:textId="3BBEBD4C" w:rsidR="001A68FC" w:rsidRPr="00407F35" w:rsidRDefault="001A68FC" w:rsidP="001A68FC">
      <w:pPr>
        <w:pStyle w:val="Fotnotetekst"/>
      </w:pPr>
      <w:r>
        <w:rPr>
          <w:rStyle w:val="Fotnotereferanse"/>
        </w:rPr>
        <w:footnoteRef/>
      </w:r>
      <w:r>
        <w:t xml:space="preserve"> </w:t>
      </w:r>
      <w:r w:rsidR="00CC4728" w:rsidRPr="00E70654">
        <w:t>CRC/C/GC/14</w:t>
      </w:r>
      <w:r w:rsidR="00CC4728">
        <w:t xml:space="preserve"> </w:t>
      </w:r>
      <w:r>
        <w:t>para 34.</w:t>
      </w:r>
    </w:p>
  </w:footnote>
  <w:footnote w:id="13">
    <w:p w14:paraId="4731B231" w14:textId="6A78AFD9" w:rsidR="00AC4EB4" w:rsidRPr="00AC4EB4" w:rsidRDefault="00AC4EB4">
      <w:pPr>
        <w:pStyle w:val="Fotnotetekst"/>
      </w:pPr>
      <w:r>
        <w:rPr>
          <w:rStyle w:val="Fotnotereferanse"/>
        </w:rPr>
        <w:footnoteRef/>
      </w:r>
      <w:r>
        <w:t xml:space="preserve"> CRC/C/GC/14 para. 37</w:t>
      </w:r>
    </w:p>
  </w:footnote>
  <w:footnote w:id="14">
    <w:p w14:paraId="788DCF1B" w14:textId="0F759A5F" w:rsidR="00AC4EB4" w:rsidRPr="00AC4EB4" w:rsidRDefault="00AC4EB4">
      <w:pPr>
        <w:pStyle w:val="Fotnotetekst"/>
      </w:pPr>
      <w:r>
        <w:rPr>
          <w:rStyle w:val="Fotnotereferanse"/>
        </w:rPr>
        <w:footnoteRef/>
      </w:r>
      <w:r>
        <w:t xml:space="preserve"> IPCC, Climate Change 2022: Impacts, Adaptation and Vulnerability, 2022, p. SPM-35.</w:t>
      </w:r>
    </w:p>
  </w:footnote>
  <w:footnote w:id="15">
    <w:p w14:paraId="2AF07F01" w14:textId="779024ED" w:rsidR="00E248AC" w:rsidRPr="00ED682D" w:rsidRDefault="00E248AC" w:rsidP="00E248AC">
      <w:pPr>
        <w:pStyle w:val="Fotnotetekst"/>
      </w:pPr>
      <w:r>
        <w:rPr>
          <w:rStyle w:val="Fotnotereferanse"/>
        </w:rPr>
        <w:footnoteRef/>
      </w:r>
      <w:r>
        <w:t xml:space="preserve"> </w:t>
      </w:r>
      <w:r w:rsidR="004A5AD5">
        <w:t>World Climate Research Programme et al. 10 New Insights in Climate Science, 10.11.2022, pp. 13–17</w:t>
      </w:r>
      <w:r w:rsidR="004A5AD5">
        <w:rPr>
          <w:lang w:val="en-US"/>
        </w:rPr>
        <w:t xml:space="preserve">; </w:t>
      </w:r>
      <w:r w:rsidRPr="00D40444">
        <w:rPr>
          <w:lang w:val="en-US"/>
        </w:rPr>
        <w:t>I</w:t>
      </w:r>
      <w:r>
        <w:rPr>
          <w:lang w:val="en-US"/>
        </w:rPr>
        <w:t xml:space="preserve">PCC, </w:t>
      </w:r>
      <w:r>
        <w:rPr>
          <w:i/>
          <w:iCs/>
          <w:lang w:val="en-US"/>
        </w:rPr>
        <w:t xml:space="preserve">Climate Change 2022; Impacts, Adaptation and Vulnerability, Summary for Policymakers, </w:t>
      </w:r>
      <w:r>
        <w:rPr>
          <w:lang w:val="en-US"/>
        </w:rPr>
        <w:t>p. 23.</w:t>
      </w:r>
      <w:r w:rsidR="009D2ED1">
        <w:rPr>
          <w:lang w:val="en-US"/>
        </w:rPr>
        <w:t xml:space="preserve"> See the dismissal of adaptation a</w:t>
      </w:r>
      <w:r w:rsidR="00AB54E4">
        <w:rPr>
          <w:lang w:val="en-US"/>
        </w:rPr>
        <w:t xml:space="preserve">lone </w:t>
      </w:r>
      <w:r w:rsidR="006272BC">
        <w:rPr>
          <w:lang w:val="en-US"/>
        </w:rPr>
        <w:t xml:space="preserve">by the </w:t>
      </w:r>
      <w:r w:rsidR="006272BC">
        <w:t>German Constitutional Court (</w:t>
      </w:r>
      <w:r w:rsidR="00AB54E4" w:rsidRPr="006272BC">
        <w:rPr>
          <w:i/>
          <w:iCs/>
        </w:rPr>
        <w:t>Neubauer</w:t>
      </w:r>
      <w:r w:rsidR="00AB54E4">
        <w:t>, para. 157</w:t>
      </w:r>
      <w:r w:rsidR="006272BC">
        <w:t>)</w:t>
      </w:r>
      <w:r w:rsidR="00AB54E4">
        <w:t xml:space="preserve"> and the Dutch Supreme Court (</w:t>
      </w:r>
      <w:r w:rsidR="00AB54E4" w:rsidRPr="00AB54E4">
        <w:rPr>
          <w:i/>
          <w:iCs/>
        </w:rPr>
        <w:t>Urgenda</w:t>
      </w:r>
      <w:r w:rsidR="00AB54E4">
        <w:t>, para. 7.5.2.)</w:t>
      </w:r>
    </w:p>
  </w:footnote>
  <w:footnote w:id="16">
    <w:p w14:paraId="6745066E" w14:textId="77777777" w:rsidR="00E248AC" w:rsidRPr="0012437E" w:rsidRDefault="00E248AC" w:rsidP="00E248AC">
      <w:pPr>
        <w:pStyle w:val="Fotnotetekst"/>
        <w:rPr>
          <w:i/>
          <w:iCs/>
        </w:rPr>
      </w:pPr>
      <w:r>
        <w:rPr>
          <w:rStyle w:val="Fotnotereferanse"/>
        </w:rPr>
        <w:footnoteRef/>
      </w:r>
      <w:r>
        <w:t xml:space="preserve"> See </w:t>
      </w:r>
      <w:r w:rsidRPr="002D574E">
        <w:rPr>
          <w:i/>
          <w:iCs/>
        </w:rPr>
        <w:t>Neubauer and others v. Germany</w:t>
      </w:r>
      <w:r>
        <w:t xml:space="preserve">, </w:t>
      </w:r>
      <w:proofErr w:type="spellStart"/>
      <w:r>
        <w:t>BvR</w:t>
      </w:r>
      <w:proofErr w:type="spellEnd"/>
      <w:r>
        <w:t xml:space="preserve"> 2656/18 (Federal Constitutional Court of Germany), 24.03.2021 para 157 (on adaptation) and 186, 192 ff. (on the need for a proportionate distribution of the reduction burden between generations as to prevent future fundamental losses of freedom).</w:t>
      </w:r>
    </w:p>
  </w:footnote>
  <w:footnote w:id="17">
    <w:p w14:paraId="00D0BBDE" w14:textId="058A784F" w:rsidR="00331C91" w:rsidRPr="00331C91" w:rsidRDefault="00331C91">
      <w:pPr>
        <w:pStyle w:val="Fotnotetekst"/>
      </w:pPr>
      <w:r>
        <w:rPr>
          <w:rStyle w:val="Fotnotereferanse"/>
        </w:rPr>
        <w:footnoteRef/>
      </w:r>
      <w:r>
        <w:t xml:space="preserve"> </w:t>
      </w:r>
      <w:r w:rsidR="00364947">
        <w:t>IPCC, Climate change 2022: Mitigation of climate change, 04.04.2022, pp. 2-72, TS-26; IPCC, 1.5°C Report, 2018, pp. 177–181; IPCC, AR6 Climate Change 2021 The Physical Science Basis, 2021, pp. SPM-19 to SPM-24.</w:t>
      </w:r>
    </w:p>
  </w:footnote>
  <w:footnote w:id="18">
    <w:p w14:paraId="0E72B938" w14:textId="36F60093" w:rsidR="00BD45F3" w:rsidRPr="00BD45F3" w:rsidRDefault="00BD45F3">
      <w:pPr>
        <w:pStyle w:val="Fotnotetekst"/>
      </w:pPr>
      <w:r>
        <w:rPr>
          <w:rStyle w:val="Fotnotereferanse"/>
        </w:rPr>
        <w:footnoteRef/>
      </w:r>
      <w:r>
        <w:t xml:space="preserve"> </w:t>
      </w:r>
      <w:proofErr w:type="spellStart"/>
      <w:r w:rsidR="006C35F7">
        <w:t>Mckay</w:t>
      </w:r>
      <w:proofErr w:type="spellEnd"/>
      <w:r w:rsidR="006C35F7">
        <w:t xml:space="preserve"> et al., “Exceeding 1.5°C global warming could trigger multiple climate tipping points,” Science 377, no. 6611 (2022</w:t>
      </w:r>
      <w:proofErr w:type="gramStart"/>
      <w:r w:rsidR="006C35F7">
        <w:t>);</w:t>
      </w:r>
      <w:proofErr w:type="gramEnd"/>
    </w:p>
  </w:footnote>
  <w:footnote w:id="19">
    <w:p w14:paraId="6E235D06" w14:textId="4F74FC23" w:rsidR="00364947" w:rsidRPr="00364947" w:rsidRDefault="00364947">
      <w:pPr>
        <w:pStyle w:val="Fotnotetekst"/>
      </w:pPr>
      <w:r>
        <w:rPr>
          <w:rStyle w:val="Fotnotereferanse"/>
        </w:rPr>
        <w:footnoteRef/>
      </w:r>
      <w:r>
        <w:t xml:space="preserve"> Regulation (EU) 2021/1119, 09.07.2021 (European Climate Law), Preamble rec. 3; Climate Change Act (2020) [Denmark], art. 1.2; Prop. 182 L (2020–2021) [Norway], p. 3., Proposal for a Directive of the European Parliament and of the Council on Corporate Sustainability Due Diligence and amending Directive (EU) 2019/1937), art. 15; Shell, ECLI:</w:t>
      </w:r>
      <w:proofErr w:type="gramStart"/>
      <w:r>
        <w:t>NL:RBDHA</w:t>
      </w:r>
      <w:proofErr w:type="gramEnd"/>
      <w:r>
        <w:t>:2021:5339 (The Hague District Court), 26.05.2021 (appealed), paras. 2.3.3, 4.4.27; Urgenda, para. 4.3; Friends of the Irish Environment, para. 3.4.</w:t>
      </w:r>
    </w:p>
  </w:footnote>
  <w:footnote w:id="20">
    <w:p w14:paraId="7B2D626D" w14:textId="08FF75BC" w:rsidR="00364947" w:rsidRPr="00364947" w:rsidRDefault="00364947">
      <w:pPr>
        <w:pStyle w:val="Fotnotetekst"/>
      </w:pPr>
      <w:r>
        <w:rPr>
          <w:rStyle w:val="Fotnotereferanse"/>
        </w:rPr>
        <w:footnoteRef/>
      </w:r>
      <w:r>
        <w:t xml:space="preserve"> Conference of the Parties serving as the meeting of the Parties to the Paris Agreement (CMA), Draft decision -/CMA.3 Glasgow Climate Pact, 13.12.2021, paras. 20–22.</w:t>
      </w:r>
    </w:p>
  </w:footnote>
  <w:footnote w:id="21">
    <w:p w14:paraId="72F6407C" w14:textId="65121653" w:rsidR="0041361E" w:rsidRPr="0041361E" w:rsidRDefault="0041361E">
      <w:pPr>
        <w:pStyle w:val="Fotnotetekst"/>
        <w:rPr>
          <w:lang w:val="en-US"/>
        </w:rPr>
      </w:pPr>
      <w:r>
        <w:rPr>
          <w:rStyle w:val="Fotnotereferanse"/>
        </w:rPr>
        <w:footnoteRef/>
      </w:r>
      <w:r>
        <w:t xml:space="preserve"> IPCC, AR6 Climate Change 2021 The Physical Science Basis, 09.08.2021, pp. 676, 687, 688.</w:t>
      </w:r>
    </w:p>
  </w:footnote>
  <w:footnote w:id="22">
    <w:p w14:paraId="1B0304A6" w14:textId="2C5E57FD" w:rsidR="0041361E" w:rsidRPr="0041361E" w:rsidRDefault="0041361E">
      <w:pPr>
        <w:pStyle w:val="Fotnotetekst"/>
        <w:rPr>
          <w:lang w:val="en-US"/>
        </w:rPr>
      </w:pPr>
      <w:r>
        <w:rPr>
          <w:rStyle w:val="Fotnotereferanse"/>
        </w:rPr>
        <w:footnoteRef/>
      </w:r>
      <w:r>
        <w:t xml:space="preserve"> </w:t>
      </w:r>
      <w:proofErr w:type="spellStart"/>
      <w:r>
        <w:t>Stainforth</w:t>
      </w:r>
      <w:proofErr w:type="spellEnd"/>
      <w:r>
        <w:t xml:space="preserve"> et al., “More than half of all CO2 emissions since 1751 emitted in the last 30 years”, Institute for European Environmental Policy, 29.04.2020</w:t>
      </w:r>
    </w:p>
  </w:footnote>
  <w:footnote w:id="23">
    <w:p w14:paraId="3E76AE1C" w14:textId="3C703FCF" w:rsidR="009F0AC5" w:rsidRPr="009F0AC5" w:rsidRDefault="009F0AC5">
      <w:pPr>
        <w:pStyle w:val="Fotnotetekst"/>
        <w:rPr>
          <w:lang w:val="en-US"/>
        </w:rPr>
      </w:pPr>
      <w:r>
        <w:rPr>
          <w:rStyle w:val="Fotnotereferanse"/>
        </w:rPr>
        <w:footnoteRef/>
      </w:r>
      <w:r>
        <w:t xml:space="preserve"> IPCC, Climate change 2022: Mitigation of climate change, 04.04.2022, p. 2-72</w:t>
      </w:r>
    </w:p>
  </w:footnote>
  <w:footnote w:id="24">
    <w:p w14:paraId="7FD247A5" w14:textId="403186CC" w:rsidR="009F0AC5" w:rsidRPr="009F0AC5" w:rsidRDefault="009F0AC5">
      <w:pPr>
        <w:pStyle w:val="Fotnotetekst"/>
        <w:rPr>
          <w:lang w:val="en-US"/>
        </w:rPr>
      </w:pPr>
      <w:r>
        <w:rPr>
          <w:rStyle w:val="Fotnotereferanse"/>
        </w:rPr>
        <w:footnoteRef/>
      </w:r>
      <w:r>
        <w:t xml:space="preserve"> Ibid, p. TS-26 ("existing fossil fuel infrastructure alone are 660 (460-890) GtCO2 and from existing and currently planned infrastructure 850 (600-1100) GtCO2").</w:t>
      </w:r>
    </w:p>
  </w:footnote>
  <w:footnote w:id="25">
    <w:p w14:paraId="0BDB32EF" w14:textId="13E761C6" w:rsidR="00875DB2" w:rsidRPr="00875DB2" w:rsidRDefault="00875DB2">
      <w:pPr>
        <w:pStyle w:val="Fotnotetekst"/>
        <w:rPr>
          <w:lang w:val="en-US"/>
        </w:rPr>
      </w:pPr>
      <w:r>
        <w:rPr>
          <w:rStyle w:val="Fotnotereferanse"/>
        </w:rPr>
        <w:footnoteRef/>
      </w:r>
      <w:r>
        <w:t xml:space="preserve"> </w:t>
      </w:r>
      <w:r w:rsidR="006F7E73">
        <w:t>The</w:t>
      </w:r>
      <w:r>
        <w:t xml:space="preserve"> International Institute for Sustainable Development (</w:t>
      </w:r>
      <w:proofErr w:type="spellStart"/>
      <w:r>
        <w:t>IISD</w:t>
      </w:r>
      <w:proofErr w:type="spellEnd"/>
      <w:r>
        <w:t>), Navigating Energy Transitions: Mapping the road to 1.5°C, 21.10.2022 p. 14 ff., referring inter alia to reports from the IPCC (see below) and IEA, World Energy Outlook 2021, 2021, p. 112; IEA, Net Zero by 2050, 2021, pp. 23, 99.</w:t>
      </w:r>
    </w:p>
  </w:footnote>
  <w:footnote w:id="26">
    <w:p w14:paraId="71872F0C" w14:textId="7240CE8A" w:rsidR="00A00CC2" w:rsidRPr="00A00CC2" w:rsidRDefault="00A00CC2">
      <w:pPr>
        <w:pStyle w:val="Fotnotetekst"/>
      </w:pPr>
      <w:r>
        <w:rPr>
          <w:rStyle w:val="Fotnotereferanse"/>
        </w:rPr>
        <w:footnoteRef/>
      </w:r>
      <w:r>
        <w:t xml:space="preserve"> </w:t>
      </w:r>
      <w:proofErr w:type="gramStart"/>
      <w:r w:rsidR="00F20083">
        <w:t>E.g.</w:t>
      </w:r>
      <w:proofErr w:type="gramEnd"/>
      <w:r w:rsidR="00F20083">
        <w:t xml:space="preserve"> </w:t>
      </w:r>
      <w:proofErr w:type="spellStart"/>
      <w:r w:rsidR="00F20083">
        <w:t>CRCt</w:t>
      </w:r>
      <w:proofErr w:type="spellEnd"/>
      <w:r w:rsidR="00F20083">
        <w:t xml:space="preserve">, </w:t>
      </w:r>
      <w:r w:rsidR="00F20083" w:rsidRPr="00F20083">
        <w:rPr>
          <w:i/>
          <w:iCs/>
        </w:rPr>
        <w:t>Concluding observations on the combined fifth and sixth periodic reports of Norway</w:t>
      </w:r>
      <w:r w:rsidR="00F20083">
        <w:t>, Report No. CRC/C/NOR/CO/5-6, 4 July 2018</w:t>
      </w:r>
      <w:r w:rsidR="006C0E8E">
        <w:t xml:space="preserve"> para 11</w:t>
      </w:r>
      <w:r w:rsidR="00F20083">
        <w:t xml:space="preserve">; </w:t>
      </w:r>
      <w:proofErr w:type="spellStart"/>
      <w:r w:rsidR="006C0E8E">
        <w:t>CRCt</w:t>
      </w:r>
      <w:proofErr w:type="spellEnd"/>
      <w:r w:rsidR="00F20083">
        <w:t xml:space="preserve">, </w:t>
      </w:r>
      <w:r w:rsidR="00F20083" w:rsidRPr="006C0E8E">
        <w:rPr>
          <w:i/>
          <w:iCs/>
        </w:rPr>
        <w:t>Concluding observations on the combined fifth and sixth periodic reports of Canada</w:t>
      </w:r>
      <w:r w:rsidR="00F20083">
        <w:t>, Report No. CRC/C/CAN/CO/5-6, 23 June 2022</w:t>
      </w:r>
      <w:r w:rsidR="00D7135A">
        <w:t xml:space="preserve"> para 16a).</w:t>
      </w:r>
    </w:p>
  </w:footnote>
  <w:footnote w:id="27">
    <w:p w14:paraId="6917F8CF" w14:textId="77777777" w:rsidR="00416EFC" w:rsidRPr="00767AAE" w:rsidRDefault="00416EFC" w:rsidP="00416EFC">
      <w:pPr>
        <w:pStyle w:val="Fotnotetekst"/>
        <w:rPr>
          <w:lang w:val="en-US"/>
        </w:rPr>
      </w:pPr>
      <w:r>
        <w:rPr>
          <w:rStyle w:val="Fotnotereferanse"/>
        </w:rPr>
        <w:footnoteRef/>
      </w:r>
      <w:r w:rsidRPr="00767AAE">
        <w:rPr>
          <w:lang w:val="en-US"/>
        </w:rPr>
        <w:t xml:space="preserve"> </w:t>
      </w:r>
      <w:r w:rsidRPr="00F66954">
        <w:t>UN Doc CRC/C/88/D/104-108/2019</w:t>
      </w:r>
      <w:r>
        <w:t xml:space="preserve">, the view concerning Germany referred to here (no. 107) </w:t>
      </w:r>
      <w:r w:rsidRPr="00767AAE">
        <w:rPr>
          <w:lang w:val="en-US"/>
        </w:rPr>
        <w:t>para 9.7 and 9.9.</w:t>
      </w:r>
    </w:p>
  </w:footnote>
  <w:footnote w:id="28">
    <w:p w14:paraId="57B11ED3" w14:textId="77777777" w:rsidR="00416EFC" w:rsidRPr="00465DD1" w:rsidRDefault="00416EFC" w:rsidP="00416EFC">
      <w:pPr>
        <w:pStyle w:val="Fotnotetekst"/>
        <w:rPr>
          <w:lang w:val="en-US"/>
        </w:rPr>
      </w:pPr>
      <w:r>
        <w:rPr>
          <w:rStyle w:val="Fotnotereferanse"/>
        </w:rPr>
        <w:footnoteRef/>
      </w:r>
      <w:r>
        <w:t xml:space="preserve"> </w:t>
      </w:r>
      <w:r w:rsidRPr="006912D0">
        <w:rPr>
          <w:lang w:val="en-US"/>
        </w:rPr>
        <w:t>See more on this issue i</w:t>
      </w:r>
      <w:r>
        <w:rPr>
          <w:lang w:val="en-US"/>
        </w:rPr>
        <w:t xml:space="preserve">n ENNHRI, </w:t>
      </w:r>
      <w:r w:rsidRPr="00465DD1">
        <w:rPr>
          <w:i/>
          <w:iCs/>
        </w:rPr>
        <w:t xml:space="preserve">Written observations in application no. 39371/20 Duarte Agostinho et </w:t>
      </w:r>
      <w:proofErr w:type="spellStart"/>
      <w:r w:rsidRPr="00465DD1">
        <w:rPr>
          <w:i/>
          <w:iCs/>
        </w:rPr>
        <w:t>autres</w:t>
      </w:r>
      <w:proofErr w:type="spellEnd"/>
      <w:r w:rsidRPr="00465DD1">
        <w:rPr>
          <w:i/>
          <w:iCs/>
        </w:rPr>
        <w:t xml:space="preserve"> c. Portugal et 32 </w:t>
      </w:r>
      <w:proofErr w:type="spellStart"/>
      <w:r w:rsidRPr="00465DD1">
        <w:rPr>
          <w:i/>
          <w:iCs/>
        </w:rPr>
        <w:t>autres</w:t>
      </w:r>
      <w:proofErr w:type="spellEnd"/>
      <w:r>
        <w:rPr>
          <w:i/>
          <w:iCs/>
        </w:rPr>
        <w:t xml:space="preserve">, </w:t>
      </w:r>
      <w:r>
        <w:t xml:space="preserve">paras 7–10, available here: </w:t>
      </w:r>
      <w:hyperlink r:id="rId7" w:history="1">
        <w:r w:rsidRPr="00135BC1">
          <w:rPr>
            <w:rStyle w:val="Hyperkobling"/>
          </w:rPr>
          <w:t>https://ennhri.org/wp-content/uploads/2022/12/ENNHRI-3rd-party-intervention-Duarte-v.-Portugal-others.pdf</w:t>
        </w:r>
      </w:hyperlink>
      <w:r>
        <w:t xml:space="preserve"> </w:t>
      </w:r>
    </w:p>
  </w:footnote>
  <w:footnote w:id="29">
    <w:p w14:paraId="39BE6A07" w14:textId="5FAF64FA" w:rsidR="00461F13" w:rsidRPr="00461F13" w:rsidRDefault="00461F13">
      <w:pPr>
        <w:pStyle w:val="Fotnotetekst"/>
        <w:rPr>
          <w:lang w:val="en-US"/>
        </w:rPr>
      </w:pPr>
      <w:r>
        <w:rPr>
          <w:rStyle w:val="Fotnotereferanse"/>
        </w:rPr>
        <w:footnoteRef/>
      </w:r>
      <w:r>
        <w:t xml:space="preserve"> IPCC, Climate change 2022: Mitigation of climate change, p. SPM-37 (C.4.6), 6-118 and 12-38.</w:t>
      </w:r>
    </w:p>
  </w:footnote>
  <w:footnote w:id="30">
    <w:p w14:paraId="0E72999B" w14:textId="338A0411" w:rsidR="006A70F2" w:rsidRPr="00CA3510" w:rsidRDefault="006A70F2">
      <w:pPr>
        <w:pStyle w:val="Fotnotetekst"/>
        <w:rPr>
          <w:lang w:val="en-US"/>
        </w:rPr>
      </w:pPr>
      <w:r>
        <w:rPr>
          <w:rStyle w:val="Fotnotereferanse"/>
        </w:rPr>
        <w:footnoteRef/>
      </w:r>
      <w:r>
        <w:t xml:space="preserve"> </w:t>
      </w:r>
      <w:r w:rsidR="007C03F2">
        <w:t xml:space="preserve">Neubauer, para. 33 and Urgenda, para. 7.2.5. </w:t>
      </w:r>
    </w:p>
  </w:footnote>
  <w:footnote w:id="31">
    <w:p w14:paraId="54702A9F" w14:textId="17FF02AA" w:rsidR="00D554DA" w:rsidRPr="00D554DA" w:rsidRDefault="00D554DA">
      <w:pPr>
        <w:pStyle w:val="Fotnotetekst"/>
        <w:rPr>
          <w:lang w:val="en-US"/>
        </w:rPr>
      </w:pPr>
      <w:r>
        <w:rPr>
          <w:rStyle w:val="Fotnotereferanse"/>
        </w:rPr>
        <w:footnoteRef/>
      </w:r>
      <w:r>
        <w:t xml:space="preserve"> </w:t>
      </w:r>
      <w:r w:rsidR="0012367F">
        <w:t xml:space="preserve">IPCC, Climate change 2022: Mitigation of climate change, p. SPM-37 (C.4.6), 6-118 and 12-38; </w:t>
      </w:r>
      <w:r>
        <w:t xml:space="preserve">IPCC, 1.5°C Report (2018) pp. 96, 121; IPCC, AR6 </w:t>
      </w:r>
      <w:proofErr w:type="spellStart"/>
      <w:r>
        <w:t>WGI</w:t>
      </w:r>
      <w:proofErr w:type="spellEnd"/>
      <w:r>
        <w:t xml:space="preserve"> (2021) FAQ 5.3, </w:t>
      </w:r>
      <w:proofErr w:type="spellStart"/>
      <w:r>
        <w:t>DNV</w:t>
      </w:r>
      <w:proofErr w:type="spellEnd"/>
      <w:r>
        <w:t>, Energy Transition Outlook 2021 (ES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2BE3" w14:textId="77777777" w:rsidR="00886557" w:rsidRDefault="00000000" w:rsidP="00F53676">
    <w:pPr>
      <w:pStyle w:val="Topptekst"/>
    </w:pPr>
    <w:r>
      <w:rPr>
        <w:noProof/>
        <w:lang w:eastAsia="en-GB"/>
      </w:rPr>
      <w:pict w14:anchorId="761ADB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453pt;height:640.65pt;z-index:-251658240;mso-wrap-edited:f;mso-width-percent:0;mso-height-percent:0;mso-position-horizontal:center;mso-position-horizontal-relative:margin;mso-position-vertical:center;mso-position-vertical-relative:margin;mso-width-percent:0;mso-height-percent:0" o:allowincell="f">
          <v:imagedata r:id="rId1" o:title="NIM-brevma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A24D" w14:textId="77777777" w:rsidR="00942AFA" w:rsidRDefault="00942AF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8E73" w14:textId="77777777" w:rsidR="009856E2" w:rsidRDefault="001E36E0" w:rsidP="00F53676">
    <w:pPr>
      <w:pStyle w:val="Topptekst"/>
    </w:pPr>
    <w:r>
      <w:rPr>
        <w:noProof/>
      </w:rPr>
      <w:drawing>
        <wp:anchor distT="0" distB="0" distL="114300" distR="114300" simplePos="0" relativeHeight="251657216" behindDoc="0" locked="0" layoutInCell="1" allowOverlap="1" wp14:anchorId="26EE4A9A" wp14:editId="1EB0CBD1">
          <wp:simplePos x="0" y="0"/>
          <wp:positionH relativeFrom="column">
            <wp:posOffset>-873760</wp:posOffset>
          </wp:positionH>
          <wp:positionV relativeFrom="paragraph">
            <wp:posOffset>241300</wp:posOffset>
          </wp:positionV>
          <wp:extent cx="2404110" cy="469900"/>
          <wp:effectExtent l="0" t="0" r="0" b="0"/>
          <wp:wrapSquare wrapText="bothSides"/>
          <wp:docPr id="4" name="Grafik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k 4"/>
                  <pic:cNvPicPr/>
                </pic:nvPicPr>
                <pic:blipFill>
                  <a:blip r:embed="rId1">
                    <a:extLst>
                      <a:ext uri="{96DAC541-7B7A-43D3-8B79-37D633B846F1}">
                        <asvg:svgBlip xmlns:asvg="http://schemas.microsoft.com/office/drawing/2016/SVG/main" r:embed="rId2"/>
                      </a:ext>
                    </a:extLst>
                  </a:blip>
                  <a:stretch>
                    <a:fillRect/>
                  </a:stretch>
                </pic:blipFill>
                <pic:spPr>
                  <a:xfrm>
                    <a:off x="0" y="0"/>
                    <a:ext cx="2404110" cy="46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AAA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96CF1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4639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908495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BEC78E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E4AB0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C679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6643B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A486B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56F3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D288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0A105B"/>
    <w:multiLevelType w:val="multilevel"/>
    <w:tmpl w:val="5E90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3" w15:restartNumberingAfterBreak="0">
    <w:nsid w:val="1E457B8C"/>
    <w:multiLevelType w:val="multilevel"/>
    <w:tmpl w:val="16C00D4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BB3EC9"/>
    <w:multiLevelType w:val="multilevel"/>
    <w:tmpl w:val="29005F12"/>
    <w:lvl w:ilvl="0">
      <w:start w:val="1"/>
      <w:numFmt w:val="decimal"/>
      <w:lvlText w:val="%1"/>
      <w:lvlJc w:val="left"/>
      <w:pPr>
        <w:ind w:left="792" w:hanging="432"/>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36FE7CB1"/>
    <w:multiLevelType w:val="hybridMultilevel"/>
    <w:tmpl w:val="E552265A"/>
    <w:lvl w:ilvl="0" w:tplc="041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7C5826"/>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C42E36"/>
    <w:multiLevelType w:val="hybridMultilevel"/>
    <w:tmpl w:val="218EAEE6"/>
    <w:lvl w:ilvl="0" w:tplc="544A04E0">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655625F"/>
    <w:multiLevelType w:val="hybridMultilevel"/>
    <w:tmpl w:val="D40424F4"/>
    <w:lvl w:ilvl="0" w:tplc="11425996">
      <w:start w:val="1"/>
      <w:numFmt w:val="lowerRoman"/>
      <w:pStyle w:val="Listeavsnitt"/>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A167E93"/>
    <w:multiLevelType w:val="hybridMultilevel"/>
    <w:tmpl w:val="260626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CBC690B"/>
    <w:multiLevelType w:val="hybridMultilevel"/>
    <w:tmpl w:val="2CA4DB7C"/>
    <w:lvl w:ilvl="0" w:tplc="0414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9B0636"/>
    <w:multiLevelType w:val="multilevel"/>
    <w:tmpl w:val="E396B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8583CA5"/>
    <w:multiLevelType w:val="multilevel"/>
    <w:tmpl w:val="CAB28A08"/>
    <w:lvl w:ilvl="0">
      <w:start w:val="1"/>
      <w:numFmt w:val="decimal"/>
      <w:pStyle w:val="Overskriftniv1"/>
      <w:lvlText w:val="%1."/>
      <w:lvlJc w:val="left"/>
      <w:pPr>
        <w:ind w:left="360" w:hanging="360"/>
      </w:pPr>
      <w:rPr>
        <w:rFonts w:hint="default"/>
      </w:rPr>
    </w:lvl>
    <w:lvl w:ilvl="1">
      <w:start w:val="1"/>
      <w:numFmt w:val="decimal"/>
      <w:pStyle w:val="Overskrift2"/>
      <w:lvlText w:val="%1.%2."/>
      <w:lvlJc w:val="left"/>
      <w:pPr>
        <w:ind w:left="792" w:hanging="792"/>
      </w:pPr>
      <w:rPr>
        <w:rFonts w:hint="default"/>
      </w:rPr>
    </w:lvl>
    <w:lvl w:ilvl="2">
      <w:start w:val="1"/>
      <w:numFmt w:val="decimal"/>
      <w:pStyle w:val="NIMoverskriftniv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7E700D"/>
    <w:multiLevelType w:val="hybridMultilevel"/>
    <w:tmpl w:val="E0048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49893384">
    <w:abstractNumId w:val="14"/>
  </w:num>
  <w:num w:numId="2" w16cid:durableId="448087722">
    <w:abstractNumId w:val="21"/>
  </w:num>
  <w:num w:numId="3" w16cid:durableId="2076782591">
    <w:abstractNumId w:val="16"/>
  </w:num>
  <w:num w:numId="4" w16cid:durableId="1904826448">
    <w:abstractNumId w:val="19"/>
  </w:num>
  <w:num w:numId="5" w16cid:durableId="1788504403">
    <w:abstractNumId w:val="17"/>
  </w:num>
  <w:num w:numId="6" w16cid:durableId="591740104">
    <w:abstractNumId w:val="22"/>
  </w:num>
  <w:num w:numId="7" w16cid:durableId="2112502534">
    <w:abstractNumId w:val="13"/>
  </w:num>
  <w:num w:numId="8" w16cid:durableId="7713612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209547">
    <w:abstractNumId w:val="18"/>
  </w:num>
  <w:num w:numId="10" w16cid:durableId="1579554241">
    <w:abstractNumId w:val="0"/>
  </w:num>
  <w:num w:numId="11" w16cid:durableId="1005668130">
    <w:abstractNumId w:val="1"/>
  </w:num>
  <w:num w:numId="12" w16cid:durableId="540870214">
    <w:abstractNumId w:val="2"/>
  </w:num>
  <w:num w:numId="13" w16cid:durableId="1596749271">
    <w:abstractNumId w:val="3"/>
  </w:num>
  <w:num w:numId="14" w16cid:durableId="701710358">
    <w:abstractNumId w:val="4"/>
  </w:num>
  <w:num w:numId="15" w16cid:durableId="1821575505">
    <w:abstractNumId w:val="9"/>
  </w:num>
  <w:num w:numId="16" w16cid:durableId="1065566694">
    <w:abstractNumId w:val="5"/>
  </w:num>
  <w:num w:numId="17" w16cid:durableId="869537583">
    <w:abstractNumId w:val="6"/>
  </w:num>
  <w:num w:numId="18" w16cid:durableId="803698138">
    <w:abstractNumId w:val="7"/>
  </w:num>
  <w:num w:numId="19" w16cid:durableId="365448510">
    <w:abstractNumId w:val="8"/>
  </w:num>
  <w:num w:numId="20" w16cid:durableId="1586837049">
    <w:abstractNumId w:val="10"/>
  </w:num>
  <w:num w:numId="21" w16cid:durableId="1526555903">
    <w:abstractNumId w:val="23"/>
  </w:num>
  <w:num w:numId="22" w16cid:durableId="1523544322">
    <w:abstractNumId w:val="20"/>
  </w:num>
  <w:num w:numId="23" w16cid:durableId="335420705">
    <w:abstractNumId w:val="18"/>
    <w:lvlOverride w:ilvl="0">
      <w:startOverride w:val="1"/>
    </w:lvlOverride>
  </w:num>
  <w:num w:numId="24" w16cid:durableId="620383589">
    <w:abstractNumId w:val="15"/>
  </w:num>
  <w:num w:numId="25" w16cid:durableId="2023435635">
    <w:abstractNumId w:val="11"/>
  </w:num>
  <w:num w:numId="26" w16cid:durableId="161355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D20"/>
    <w:rsid w:val="000076E2"/>
    <w:rsid w:val="00023640"/>
    <w:rsid w:val="00031BB3"/>
    <w:rsid w:val="000348D6"/>
    <w:rsid w:val="00034B03"/>
    <w:rsid w:val="00055165"/>
    <w:rsid w:val="00056F42"/>
    <w:rsid w:val="000570A3"/>
    <w:rsid w:val="0007657D"/>
    <w:rsid w:val="00076636"/>
    <w:rsid w:val="00092CBA"/>
    <w:rsid w:val="00092D5D"/>
    <w:rsid w:val="00096082"/>
    <w:rsid w:val="000A0BC1"/>
    <w:rsid w:val="000A1BFE"/>
    <w:rsid w:val="000B031E"/>
    <w:rsid w:val="000B40F9"/>
    <w:rsid w:val="000C450F"/>
    <w:rsid w:val="000D0C5F"/>
    <w:rsid w:val="000D22EC"/>
    <w:rsid w:val="000D70A4"/>
    <w:rsid w:val="000E01EE"/>
    <w:rsid w:val="000E0E5D"/>
    <w:rsid w:val="000E2127"/>
    <w:rsid w:val="000E385A"/>
    <w:rsid w:val="000E68B5"/>
    <w:rsid w:val="000F5956"/>
    <w:rsid w:val="000F640F"/>
    <w:rsid w:val="00103CDA"/>
    <w:rsid w:val="001116CA"/>
    <w:rsid w:val="00117233"/>
    <w:rsid w:val="001210E2"/>
    <w:rsid w:val="0012367F"/>
    <w:rsid w:val="00123FA7"/>
    <w:rsid w:val="00125902"/>
    <w:rsid w:val="0012669F"/>
    <w:rsid w:val="001301B2"/>
    <w:rsid w:val="0013329F"/>
    <w:rsid w:val="00133B16"/>
    <w:rsid w:val="00134694"/>
    <w:rsid w:val="00134D2A"/>
    <w:rsid w:val="001414FD"/>
    <w:rsid w:val="00145C2F"/>
    <w:rsid w:val="001468BD"/>
    <w:rsid w:val="00152E3A"/>
    <w:rsid w:val="00162D2F"/>
    <w:rsid w:val="00165167"/>
    <w:rsid w:val="00166EC2"/>
    <w:rsid w:val="001721D8"/>
    <w:rsid w:val="00172C41"/>
    <w:rsid w:val="0017777D"/>
    <w:rsid w:val="00181AD8"/>
    <w:rsid w:val="001910FB"/>
    <w:rsid w:val="00197337"/>
    <w:rsid w:val="001A402A"/>
    <w:rsid w:val="001A68FC"/>
    <w:rsid w:val="001B029A"/>
    <w:rsid w:val="001B1463"/>
    <w:rsid w:val="001B6E74"/>
    <w:rsid w:val="001C1484"/>
    <w:rsid w:val="001C40AE"/>
    <w:rsid w:val="001D029A"/>
    <w:rsid w:val="001D6C23"/>
    <w:rsid w:val="001E36E0"/>
    <w:rsid w:val="001E5BA2"/>
    <w:rsid w:val="001F3D38"/>
    <w:rsid w:val="002039D6"/>
    <w:rsid w:val="00211789"/>
    <w:rsid w:val="0021590D"/>
    <w:rsid w:val="00216026"/>
    <w:rsid w:val="0021739E"/>
    <w:rsid w:val="0022201D"/>
    <w:rsid w:val="002265AF"/>
    <w:rsid w:val="00231BD7"/>
    <w:rsid w:val="00231E86"/>
    <w:rsid w:val="002324AD"/>
    <w:rsid w:val="00243E70"/>
    <w:rsid w:val="00260666"/>
    <w:rsid w:val="00267D16"/>
    <w:rsid w:val="00270F63"/>
    <w:rsid w:val="0027660D"/>
    <w:rsid w:val="002810CA"/>
    <w:rsid w:val="00286FD1"/>
    <w:rsid w:val="0029093B"/>
    <w:rsid w:val="002912FD"/>
    <w:rsid w:val="002A7DE4"/>
    <w:rsid w:val="002B20AB"/>
    <w:rsid w:val="002B21D5"/>
    <w:rsid w:val="002C1194"/>
    <w:rsid w:val="002C33F2"/>
    <w:rsid w:val="002D0615"/>
    <w:rsid w:val="002E4548"/>
    <w:rsid w:val="002F324B"/>
    <w:rsid w:val="002F3ED5"/>
    <w:rsid w:val="002F60C4"/>
    <w:rsid w:val="00312C9C"/>
    <w:rsid w:val="003238AF"/>
    <w:rsid w:val="00325B68"/>
    <w:rsid w:val="003272E4"/>
    <w:rsid w:val="00330F0D"/>
    <w:rsid w:val="00331C91"/>
    <w:rsid w:val="00335388"/>
    <w:rsid w:val="00345F09"/>
    <w:rsid w:val="003464EF"/>
    <w:rsid w:val="00351757"/>
    <w:rsid w:val="003523C8"/>
    <w:rsid w:val="00364947"/>
    <w:rsid w:val="0036694A"/>
    <w:rsid w:val="003737C4"/>
    <w:rsid w:val="00377238"/>
    <w:rsid w:val="00377645"/>
    <w:rsid w:val="00390AA2"/>
    <w:rsid w:val="0039111E"/>
    <w:rsid w:val="00396949"/>
    <w:rsid w:val="00397340"/>
    <w:rsid w:val="003A5F9B"/>
    <w:rsid w:val="003B35C0"/>
    <w:rsid w:val="003B464B"/>
    <w:rsid w:val="003C44A3"/>
    <w:rsid w:val="003C72F9"/>
    <w:rsid w:val="003D2E8B"/>
    <w:rsid w:val="003D47C2"/>
    <w:rsid w:val="003D7FE3"/>
    <w:rsid w:val="003E2F17"/>
    <w:rsid w:val="003E3F8B"/>
    <w:rsid w:val="003E4D20"/>
    <w:rsid w:val="003F4580"/>
    <w:rsid w:val="003F519C"/>
    <w:rsid w:val="003F71E4"/>
    <w:rsid w:val="004117ED"/>
    <w:rsid w:val="0041361E"/>
    <w:rsid w:val="004164D0"/>
    <w:rsid w:val="00416EFC"/>
    <w:rsid w:val="004177E4"/>
    <w:rsid w:val="00423011"/>
    <w:rsid w:val="00424286"/>
    <w:rsid w:val="0043550D"/>
    <w:rsid w:val="00437E12"/>
    <w:rsid w:val="0044015B"/>
    <w:rsid w:val="00445FC6"/>
    <w:rsid w:val="00457CA9"/>
    <w:rsid w:val="00461F13"/>
    <w:rsid w:val="0046220A"/>
    <w:rsid w:val="00465DD1"/>
    <w:rsid w:val="004818D6"/>
    <w:rsid w:val="004933B8"/>
    <w:rsid w:val="00495045"/>
    <w:rsid w:val="0049761D"/>
    <w:rsid w:val="00497F9C"/>
    <w:rsid w:val="004A1FD9"/>
    <w:rsid w:val="004A2235"/>
    <w:rsid w:val="004A5AD5"/>
    <w:rsid w:val="004A7E3D"/>
    <w:rsid w:val="004B3DCB"/>
    <w:rsid w:val="004B508E"/>
    <w:rsid w:val="004C1E4F"/>
    <w:rsid w:val="004D579D"/>
    <w:rsid w:val="004D64D4"/>
    <w:rsid w:val="004E6DC0"/>
    <w:rsid w:val="004E6FD5"/>
    <w:rsid w:val="004F18DE"/>
    <w:rsid w:val="004F1D0C"/>
    <w:rsid w:val="005077F8"/>
    <w:rsid w:val="0051212B"/>
    <w:rsid w:val="00515D0E"/>
    <w:rsid w:val="005342A0"/>
    <w:rsid w:val="00540CEE"/>
    <w:rsid w:val="005422A1"/>
    <w:rsid w:val="00551300"/>
    <w:rsid w:val="0055523C"/>
    <w:rsid w:val="005556A9"/>
    <w:rsid w:val="00566B63"/>
    <w:rsid w:val="00574D10"/>
    <w:rsid w:val="00575023"/>
    <w:rsid w:val="00576507"/>
    <w:rsid w:val="00583194"/>
    <w:rsid w:val="0059212A"/>
    <w:rsid w:val="00592E52"/>
    <w:rsid w:val="00594785"/>
    <w:rsid w:val="00597999"/>
    <w:rsid w:val="005A25E5"/>
    <w:rsid w:val="005A508B"/>
    <w:rsid w:val="005B2CA6"/>
    <w:rsid w:val="005B5A32"/>
    <w:rsid w:val="005B634D"/>
    <w:rsid w:val="005B73A2"/>
    <w:rsid w:val="005C59A1"/>
    <w:rsid w:val="005C7BA0"/>
    <w:rsid w:val="005D6279"/>
    <w:rsid w:val="005D6F12"/>
    <w:rsid w:val="005E243E"/>
    <w:rsid w:val="00614B0C"/>
    <w:rsid w:val="00623286"/>
    <w:rsid w:val="006272BC"/>
    <w:rsid w:val="0063038F"/>
    <w:rsid w:val="00633E59"/>
    <w:rsid w:val="00633FDB"/>
    <w:rsid w:val="00641704"/>
    <w:rsid w:val="0064614E"/>
    <w:rsid w:val="0065172B"/>
    <w:rsid w:val="00655D6F"/>
    <w:rsid w:val="00667458"/>
    <w:rsid w:val="00671844"/>
    <w:rsid w:val="006730EC"/>
    <w:rsid w:val="00676DED"/>
    <w:rsid w:val="00677618"/>
    <w:rsid w:val="00690C34"/>
    <w:rsid w:val="006912D0"/>
    <w:rsid w:val="006A0080"/>
    <w:rsid w:val="006A1275"/>
    <w:rsid w:val="006A4483"/>
    <w:rsid w:val="006A70F2"/>
    <w:rsid w:val="006C0E8E"/>
    <w:rsid w:val="006C1C89"/>
    <w:rsid w:val="006C35F7"/>
    <w:rsid w:val="006C4DB7"/>
    <w:rsid w:val="006C6AA2"/>
    <w:rsid w:val="006C6D38"/>
    <w:rsid w:val="006D12DF"/>
    <w:rsid w:val="006D1E77"/>
    <w:rsid w:val="006D3DC4"/>
    <w:rsid w:val="006E42FA"/>
    <w:rsid w:val="006E6923"/>
    <w:rsid w:val="006F0541"/>
    <w:rsid w:val="006F2CE5"/>
    <w:rsid w:val="006F7E73"/>
    <w:rsid w:val="0070069B"/>
    <w:rsid w:val="00703A9C"/>
    <w:rsid w:val="00710657"/>
    <w:rsid w:val="007126CD"/>
    <w:rsid w:val="00712D01"/>
    <w:rsid w:val="00715BB4"/>
    <w:rsid w:val="00734383"/>
    <w:rsid w:val="00742CF9"/>
    <w:rsid w:val="00743668"/>
    <w:rsid w:val="00744548"/>
    <w:rsid w:val="007479E6"/>
    <w:rsid w:val="00752579"/>
    <w:rsid w:val="00761B05"/>
    <w:rsid w:val="00765208"/>
    <w:rsid w:val="00765F2E"/>
    <w:rsid w:val="0076607A"/>
    <w:rsid w:val="007759D2"/>
    <w:rsid w:val="00775C33"/>
    <w:rsid w:val="00775EFA"/>
    <w:rsid w:val="0077747E"/>
    <w:rsid w:val="00777989"/>
    <w:rsid w:val="007A3449"/>
    <w:rsid w:val="007A4467"/>
    <w:rsid w:val="007B2854"/>
    <w:rsid w:val="007B6A1B"/>
    <w:rsid w:val="007B6B7B"/>
    <w:rsid w:val="007C03F2"/>
    <w:rsid w:val="007C15BD"/>
    <w:rsid w:val="007C3873"/>
    <w:rsid w:val="007C66B0"/>
    <w:rsid w:val="007D249B"/>
    <w:rsid w:val="007D2785"/>
    <w:rsid w:val="007F2229"/>
    <w:rsid w:val="007F3997"/>
    <w:rsid w:val="007F5D94"/>
    <w:rsid w:val="00802E52"/>
    <w:rsid w:val="00810C47"/>
    <w:rsid w:val="0082103B"/>
    <w:rsid w:val="00825EF8"/>
    <w:rsid w:val="0083012D"/>
    <w:rsid w:val="00836BB5"/>
    <w:rsid w:val="00841B5B"/>
    <w:rsid w:val="00843D40"/>
    <w:rsid w:val="00854414"/>
    <w:rsid w:val="0086235B"/>
    <w:rsid w:val="00863975"/>
    <w:rsid w:val="00863B22"/>
    <w:rsid w:val="008643BD"/>
    <w:rsid w:val="00866806"/>
    <w:rsid w:val="00870DFD"/>
    <w:rsid w:val="00872ABB"/>
    <w:rsid w:val="008746C6"/>
    <w:rsid w:val="00875D2C"/>
    <w:rsid w:val="00875DB2"/>
    <w:rsid w:val="00881E9C"/>
    <w:rsid w:val="00886557"/>
    <w:rsid w:val="008901D3"/>
    <w:rsid w:val="008908B5"/>
    <w:rsid w:val="008926D6"/>
    <w:rsid w:val="00893485"/>
    <w:rsid w:val="008974F8"/>
    <w:rsid w:val="008A2059"/>
    <w:rsid w:val="008A2858"/>
    <w:rsid w:val="008A3B12"/>
    <w:rsid w:val="008A66ED"/>
    <w:rsid w:val="008B4C98"/>
    <w:rsid w:val="008C5D66"/>
    <w:rsid w:val="008C5E5D"/>
    <w:rsid w:val="008D040B"/>
    <w:rsid w:val="008D5694"/>
    <w:rsid w:val="008E0A0F"/>
    <w:rsid w:val="008E6D30"/>
    <w:rsid w:val="008F10A7"/>
    <w:rsid w:val="008F41AF"/>
    <w:rsid w:val="008F48D5"/>
    <w:rsid w:val="008F6F78"/>
    <w:rsid w:val="00906459"/>
    <w:rsid w:val="00916230"/>
    <w:rsid w:val="00920D29"/>
    <w:rsid w:val="009312FD"/>
    <w:rsid w:val="00935F9C"/>
    <w:rsid w:val="00941858"/>
    <w:rsid w:val="00942AFA"/>
    <w:rsid w:val="00953901"/>
    <w:rsid w:val="00953C7C"/>
    <w:rsid w:val="009552E6"/>
    <w:rsid w:val="00965B15"/>
    <w:rsid w:val="0096713B"/>
    <w:rsid w:val="00976E0B"/>
    <w:rsid w:val="009856E2"/>
    <w:rsid w:val="009921A2"/>
    <w:rsid w:val="00992255"/>
    <w:rsid w:val="009945DD"/>
    <w:rsid w:val="009A6303"/>
    <w:rsid w:val="009B345D"/>
    <w:rsid w:val="009B5D9C"/>
    <w:rsid w:val="009B653E"/>
    <w:rsid w:val="009C108F"/>
    <w:rsid w:val="009C262D"/>
    <w:rsid w:val="009C3395"/>
    <w:rsid w:val="009C62DA"/>
    <w:rsid w:val="009C7DC0"/>
    <w:rsid w:val="009D2ED1"/>
    <w:rsid w:val="009E2EDF"/>
    <w:rsid w:val="009F0AC5"/>
    <w:rsid w:val="009F6BE0"/>
    <w:rsid w:val="009F73DC"/>
    <w:rsid w:val="00A00CC2"/>
    <w:rsid w:val="00A01C23"/>
    <w:rsid w:val="00A05C56"/>
    <w:rsid w:val="00A10BA6"/>
    <w:rsid w:val="00A110D3"/>
    <w:rsid w:val="00A13251"/>
    <w:rsid w:val="00A172AD"/>
    <w:rsid w:val="00A2184C"/>
    <w:rsid w:val="00A229B6"/>
    <w:rsid w:val="00A273AB"/>
    <w:rsid w:val="00A34559"/>
    <w:rsid w:val="00A6205D"/>
    <w:rsid w:val="00A722D6"/>
    <w:rsid w:val="00A976FC"/>
    <w:rsid w:val="00AA1061"/>
    <w:rsid w:val="00AB54E4"/>
    <w:rsid w:val="00AC1A8E"/>
    <w:rsid w:val="00AC4568"/>
    <w:rsid w:val="00AC4EB4"/>
    <w:rsid w:val="00AC7035"/>
    <w:rsid w:val="00AE62D8"/>
    <w:rsid w:val="00AE69F2"/>
    <w:rsid w:val="00AE6B26"/>
    <w:rsid w:val="00AF0263"/>
    <w:rsid w:val="00B0126B"/>
    <w:rsid w:val="00B02BAE"/>
    <w:rsid w:val="00B0613F"/>
    <w:rsid w:val="00B13392"/>
    <w:rsid w:val="00B2132E"/>
    <w:rsid w:val="00B24079"/>
    <w:rsid w:val="00B31EAA"/>
    <w:rsid w:val="00B36384"/>
    <w:rsid w:val="00B42932"/>
    <w:rsid w:val="00B549D6"/>
    <w:rsid w:val="00B57C8C"/>
    <w:rsid w:val="00B612EF"/>
    <w:rsid w:val="00B622DE"/>
    <w:rsid w:val="00B63804"/>
    <w:rsid w:val="00B726E6"/>
    <w:rsid w:val="00B9171C"/>
    <w:rsid w:val="00B925AF"/>
    <w:rsid w:val="00B932BD"/>
    <w:rsid w:val="00B939AF"/>
    <w:rsid w:val="00B94609"/>
    <w:rsid w:val="00BA06B9"/>
    <w:rsid w:val="00BA25F8"/>
    <w:rsid w:val="00BA3744"/>
    <w:rsid w:val="00BB0D8C"/>
    <w:rsid w:val="00BC1050"/>
    <w:rsid w:val="00BC6724"/>
    <w:rsid w:val="00BD3F32"/>
    <w:rsid w:val="00BD45F3"/>
    <w:rsid w:val="00BE4014"/>
    <w:rsid w:val="00BE7BF4"/>
    <w:rsid w:val="00BF1A0C"/>
    <w:rsid w:val="00BF506B"/>
    <w:rsid w:val="00C10EF4"/>
    <w:rsid w:val="00C113BD"/>
    <w:rsid w:val="00C12265"/>
    <w:rsid w:val="00C224B5"/>
    <w:rsid w:val="00C25A1E"/>
    <w:rsid w:val="00C37C2F"/>
    <w:rsid w:val="00C4179A"/>
    <w:rsid w:val="00C41B21"/>
    <w:rsid w:val="00C46CD9"/>
    <w:rsid w:val="00C50836"/>
    <w:rsid w:val="00C55B57"/>
    <w:rsid w:val="00C6460A"/>
    <w:rsid w:val="00C705A5"/>
    <w:rsid w:val="00C74890"/>
    <w:rsid w:val="00CA2B71"/>
    <w:rsid w:val="00CA2C60"/>
    <w:rsid w:val="00CA3510"/>
    <w:rsid w:val="00CB253B"/>
    <w:rsid w:val="00CB4285"/>
    <w:rsid w:val="00CB5FED"/>
    <w:rsid w:val="00CC2DFE"/>
    <w:rsid w:val="00CC4728"/>
    <w:rsid w:val="00CD0489"/>
    <w:rsid w:val="00CD0586"/>
    <w:rsid w:val="00CD7D6C"/>
    <w:rsid w:val="00CE41C2"/>
    <w:rsid w:val="00CE681F"/>
    <w:rsid w:val="00CF1D33"/>
    <w:rsid w:val="00D07206"/>
    <w:rsid w:val="00D10C37"/>
    <w:rsid w:val="00D12F80"/>
    <w:rsid w:val="00D2040F"/>
    <w:rsid w:val="00D218CF"/>
    <w:rsid w:val="00D2482A"/>
    <w:rsid w:val="00D31A7F"/>
    <w:rsid w:val="00D31B63"/>
    <w:rsid w:val="00D33052"/>
    <w:rsid w:val="00D3517D"/>
    <w:rsid w:val="00D35F4D"/>
    <w:rsid w:val="00D36331"/>
    <w:rsid w:val="00D370C3"/>
    <w:rsid w:val="00D378C9"/>
    <w:rsid w:val="00D52AC4"/>
    <w:rsid w:val="00D538EB"/>
    <w:rsid w:val="00D554DA"/>
    <w:rsid w:val="00D57917"/>
    <w:rsid w:val="00D6210E"/>
    <w:rsid w:val="00D62B1D"/>
    <w:rsid w:val="00D63955"/>
    <w:rsid w:val="00D64B2C"/>
    <w:rsid w:val="00D66A38"/>
    <w:rsid w:val="00D7135A"/>
    <w:rsid w:val="00D71700"/>
    <w:rsid w:val="00D74843"/>
    <w:rsid w:val="00D756BB"/>
    <w:rsid w:val="00D84666"/>
    <w:rsid w:val="00D90337"/>
    <w:rsid w:val="00D93BC3"/>
    <w:rsid w:val="00DB3BA8"/>
    <w:rsid w:val="00DB3BF7"/>
    <w:rsid w:val="00DB3F00"/>
    <w:rsid w:val="00DB7372"/>
    <w:rsid w:val="00DC5DF7"/>
    <w:rsid w:val="00E01DB2"/>
    <w:rsid w:val="00E04066"/>
    <w:rsid w:val="00E05EC3"/>
    <w:rsid w:val="00E07037"/>
    <w:rsid w:val="00E07E72"/>
    <w:rsid w:val="00E108D5"/>
    <w:rsid w:val="00E152DC"/>
    <w:rsid w:val="00E21601"/>
    <w:rsid w:val="00E21BE7"/>
    <w:rsid w:val="00E248AC"/>
    <w:rsid w:val="00E25885"/>
    <w:rsid w:val="00E4767B"/>
    <w:rsid w:val="00E509E6"/>
    <w:rsid w:val="00E62844"/>
    <w:rsid w:val="00E71E85"/>
    <w:rsid w:val="00E72F74"/>
    <w:rsid w:val="00E7772B"/>
    <w:rsid w:val="00E77F9A"/>
    <w:rsid w:val="00E8036F"/>
    <w:rsid w:val="00E82ABC"/>
    <w:rsid w:val="00E8407B"/>
    <w:rsid w:val="00E85559"/>
    <w:rsid w:val="00E86B9E"/>
    <w:rsid w:val="00E9304D"/>
    <w:rsid w:val="00E9710A"/>
    <w:rsid w:val="00EA1F34"/>
    <w:rsid w:val="00EB5A8A"/>
    <w:rsid w:val="00EC0FC5"/>
    <w:rsid w:val="00EC29C4"/>
    <w:rsid w:val="00EC452F"/>
    <w:rsid w:val="00ED4128"/>
    <w:rsid w:val="00ED517E"/>
    <w:rsid w:val="00ED777D"/>
    <w:rsid w:val="00EE682C"/>
    <w:rsid w:val="00EF1A9B"/>
    <w:rsid w:val="00F06D43"/>
    <w:rsid w:val="00F125FC"/>
    <w:rsid w:val="00F20083"/>
    <w:rsid w:val="00F259E0"/>
    <w:rsid w:val="00F50F05"/>
    <w:rsid w:val="00F53676"/>
    <w:rsid w:val="00F53C43"/>
    <w:rsid w:val="00F65307"/>
    <w:rsid w:val="00F67C70"/>
    <w:rsid w:val="00F7015A"/>
    <w:rsid w:val="00F94E76"/>
    <w:rsid w:val="00FA23BA"/>
    <w:rsid w:val="00FB113A"/>
    <w:rsid w:val="00FC5BED"/>
    <w:rsid w:val="00FD2EE9"/>
    <w:rsid w:val="00FD7A60"/>
    <w:rsid w:val="00FD7AC9"/>
    <w:rsid w:val="00FE1E7F"/>
    <w:rsid w:val="00FF2902"/>
    <w:rsid w:val="00FF54D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54B9C2"/>
  <w14:defaultImageDpi w14:val="300"/>
  <w15:chartTrackingRefBased/>
  <w15:docId w15:val="{0AF39D96-3829-454B-A28E-7DA7DD59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68BD"/>
    <w:pPr>
      <w:spacing w:after="120" w:line="276" w:lineRule="auto"/>
    </w:pPr>
    <w:rPr>
      <w:rFonts w:ascii="Calibri" w:hAnsi="Calibri"/>
      <w:color w:val="151643" w:themeColor="text1"/>
      <w:sz w:val="22"/>
      <w:lang w:val="en-GB"/>
    </w:rPr>
  </w:style>
  <w:style w:type="paragraph" w:styleId="Overskrift1">
    <w:name w:val="heading 1"/>
    <w:aliases w:val="NIM Overskrift 1"/>
    <w:basedOn w:val="Overskriftniv1"/>
    <w:next w:val="Normal"/>
    <w:link w:val="Overskrift1Tegn"/>
    <w:uiPriority w:val="9"/>
    <w:qFormat/>
    <w:rsid w:val="00CD0586"/>
    <w:pPr>
      <w:contextualSpacing/>
    </w:pPr>
  </w:style>
  <w:style w:type="paragraph" w:styleId="Overskrift2">
    <w:name w:val="heading 2"/>
    <w:aliases w:val="NIM Underoverskrift 1"/>
    <w:basedOn w:val="Normal"/>
    <w:next w:val="Normal"/>
    <w:link w:val="Overskrift2Tegn"/>
    <w:uiPriority w:val="9"/>
    <w:unhideWhenUsed/>
    <w:qFormat/>
    <w:rsid w:val="005342A0"/>
    <w:pPr>
      <w:numPr>
        <w:ilvl w:val="1"/>
        <w:numId w:val="6"/>
      </w:numPr>
      <w:spacing w:before="240" w:after="80"/>
      <w:outlineLvl w:val="1"/>
    </w:pPr>
    <w:rPr>
      <w:iCs/>
      <w:sz w:val="24"/>
      <w:lang w:val="nb-NO"/>
    </w:rPr>
  </w:style>
  <w:style w:type="paragraph" w:styleId="Overskrift3">
    <w:name w:val="heading 3"/>
    <w:basedOn w:val="Normal"/>
    <w:next w:val="Normal"/>
    <w:link w:val="Overskrift3Tegn"/>
    <w:uiPriority w:val="9"/>
    <w:unhideWhenUsed/>
    <w:rsid w:val="004D579D"/>
    <w:pPr>
      <w:keepNext/>
      <w:keepLines/>
      <w:spacing w:after="60"/>
      <w:outlineLvl w:val="2"/>
    </w:pPr>
    <w:rPr>
      <w:rFonts w:asciiTheme="majorHAnsi" w:eastAsiaTheme="majorEastAsia" w:hAnsiTheme="majorHAnsi" w:cstheme="majorBidi"/>
      <w:color w:val="696583" w:themeColor="accent5"/>
    </w:rPr>
  </w:style>
  <w:style w:type="paragraph" w:styleId="Overskrift4">
    <w:name w:val="heading 4"/>
    <w:basedOn w:val="Normal"/>
    <w:next w:val="Normal"/>
    <w:link w:val="Overskrift4Tegn"/>
    <w:uiPriority w:val="9"/>
    <w:unhideWhenUsed/>
    <w:rsid w:val="00A976FC"/>
    <w:pPr>
      <w:keepNext/>
      <w:keepLines/>
      <w:spacing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semiHidden/>
    <w:unhideWhenUsed/>
    <w:rsid w:val="003E4D2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aliases w:val="INNHOLDSFORTEGNELSE"/>
    <w:basedOn w:val="Normal"/>
    <w:next w:val="Normal"/>
    <w:autoRedefine/>
    <w:uiPriority w:val="39"/>
    <w:unhideWhenUsed/>
    <w:rsid w:val="0086235B"/>
    <w:pPr>
      <w:tabs>
        <w:tab w:val="right" w:leader="dot" w:pos="9338"/>
      </w:tabs>
      <w:spacing w:after="100"/>
    </w:pPr>
    <w:rPr>
      <w:rFonts w:eastAsiaTheme="minorEastAsia"/>
      <w:caps/>
      <w:noProof/>
      <w:szCs w:val="22"/>
    </w:rPr>
  </w:style>
  <w:style w:type="table" w:customStyle="1" w:styleId="NIBIOvenstrejustert">
    <w:name w:val="NIBIO venstre justert"/>
    <w:basedOn w:val="Vanligtabell"/>
    <w:uiPriority w:val="99"/>
    <w:rsid w:val="008F6F78"/>
    <w:rPr>
      <w:rFonts w:ascii="Calibri" w:eastAsiaTheme="minorEastAsia" w:hAnsi="Calibri"/>
      <w:color w:val="151643" w:themeColor="text1"/>
      <w:sz w:val="18"/>
      <w:lang w:val="en-GB"/>
    </w:rPr>
    <w:tblPr>
      <w:tblBorders>
        <w:bottom w:val="single" w:sz="4" w:space="0" w:color="E7E6E6" w:themeColor="background2"/>
        <w:insideH w:val="single" w:sz="4" w:space="0" w:color="E7E6E6" w:themeColor="background2"/>
      </w:tblBorders>
    </w:tblPr>
    <w:tcPr>
      <w:shd w:val="clear" w:color="auto" w:fill="FFFFFF" w:themeFill="background1"/>
      <w:tcMar>
        <w:top w:w="6" w:type="dxa"/>
        <w:bottom w:w="6" w:type="dxa"/>
      </w:tcMar>
      <w:vAlign w:val="center"/>
    </w:tcPr>
    <w:tblStylePr w:type="firstRow">
      <w:pPr>
        <w:jc w:val="left"/>
      </w:pPr>
      <w:rPr>
        <w:b/>
      </w:rPr>
      <w:tblPr/>
      <w:tcPr>
        <w:shd w:val="clear" w:color="auto" w:fill="E7E6E6" w:themeFill="background2"/>
      </w:tcPr>
    </w:tblStylePr>
    <w:tblStylePr w:type="firstCol">
      <w:pPr>
        <w:jc w:val="left"/>
      </w:pPr>
      <w:rPr>
        <w:b/>
      </w:rPr>
    </w:tblStylePr>
  </w:style>
  <w:style w:type="table" w:styleId="Rutenettabell1lys">
    <w:name w:val="Grid Table 1 Light"/>
    <w:aliases w:val="GIEK tabell"/>
    <w:basedOn w:val="Vanligtabell"/>
    <w:uiPriority w:val="46"/>
    <w:rsid w:val="00243E70"/>
    <w:rPr>
      <w:rFonts w:asciiTheme="majorHAnsi" w:eastAsia="Times New Roman" w:hAnsiTheme="majorHAnsi" w:cs="Times New Roman"/>
      <w:color w:val="151643" w:themeColor="text1"/>
      <w:sz w:val="20"/>
      <w:szCs w:val="20"/>
      <w:lang w:eastAsia="nb-NO"/>
    </w:rPr>
    <w:tblPr>
      <w:tblStyleRowBandSize w:val="1"/>
      <w:tblStyleColBandSize w:val="1"/>
      <w:tblBorders>
        <w:top w:val="dotted" w:sz="4" w:space="0" w:color="151643" w:themeColor="text1"/>
        <w:left w:val="dotted" w:sz="4" w:space="0" w:color="151643" w:themeColor="text1"/>
        <w:bottom w:val="dotted" w:sz="4" w:space="0" w:color="151643" w:themeColor="text1"/>
        <w:right w:val="dotted" w:sz="4" w:space="0" w:color="151643" w:themeColor="text1"/>
        <w:insideH w:val="dotted" w:sz="4" w:space="0" w:color="151643" w:themeColor="text1"/>
        <w:insideV w:val="dotted" w:sz="4" w:space="0" w:color="151643" w:themeColor="text1"/>
      </w:tblBorders>
    </w:tblPr>
    <w:tcPr>
      <w:shd w:val="clear" w:color="auto" w:fill="auto"/>
      <w:vAlign w:val="center"/>
    </w:tcPr>
    <w:tblStylePr w:type="firstRow">
      <w:pPr>
        <w:wordWrap/>
      </w:pPr>
      <w:rPr>
        <w:rFonts w:asciiTheme="majorHAnsi" w:hAnsiTheme="majorHAnsi"/>
        <w:b/>
        <w:bCs/>
        <w:i w:val="0"/>
        <w:color w:val="FFFFFF" w:themeColor="background1"/>
        <w:sz w:val="20"/>
      </w:rPr>
      <w:tblPr/>
      <w:tcPr>
        <w:shd w:val="clear" w:color="auto" w:fill="151643" w:themeFill="text1"/>
      </w:tcPr>
    </w:tblStylePr>
    <w:tblStylePr w:type="lastRow">
      <w:rPr>
        <w:b/>
        <w:bCs/>
      </w:rPr>
      <w:tblPr/>
      <w:tcPr>
        <w:tcBorders>
          <w:top w:val="double" w:sz="4" w:space="0" w:color="151643" w:themeColor="text1"/>
        </w:tcBorders>
        <w:shd w:val="clear" w:color="auto" w:fill="auto"/>
      </w:tcPr>
    </w:tblStylePr>
    <w:tblStylePr w:type="firstCol">
      <w:rPr>
        <w:b/>
        <w:bCs/>
      </w:rPr>
      <w:tblPr/>
      <w:tcPr>
        <w:shd w:val="clear" w:color="auto" w:fill="BEBFEA" w:themeFill="text1" w:themeFillTint="33"/>
      </w:tcPr>
    </w:tblStylePr>
    <w:tblStylePr w:type="lastCol">
      <w:rPr>
        <w:b/>
        <w:bCs/>
      </w:rPr>
    </w:tblStylePr>
  </w:style>
  <w:style w:type="character" w:customStyle="1" w:styleId="Overskrift2Tegn">
    <w:name w:val="Overskrift 2 Tegn"/>
    <w:aliases w:val="NIM Underoverskrift 1 Tegn"/>
    <w:basedOn w:val="Standardskriftforavsnitt"/>
    <w:link w:val="Overskrift2"/>
    <w:uiPriority w:val="9"/>
    <w:rsid w:val="00597999"/>
    <w:rPr>
      <w:rFonts w:ascii="Calibri" w:hAnsi="Calibri"/>
      <w:i/>
      <w:color w:val="151643" w:themeColor="text1"/>
    </w:rPr>
  </w:style>
  <w:style w:type="table" w:customStyle="1" w:styleId="GIEK">
    <w:name w:val="GIEK"/>
    <w:basedOn w:val="Vanligtabell"/>
    <w:uiPriority w:val="99"/>
    <w:rsid w:val="00E82ABC"/>
    <w:pPr>
      <w:jc w:val="right"/>
    </w:pPr>
    <w:rPr>
      <w:rFonts w:asciiTheme="majorHAnsi" w:eastAsia="Times New Roman" w:hAnsiTheme="majorHAnsi" w:cs="Times New Roman"/>
      <w:color w:val="151643" w:themeColor="text1"/>
      <w:sz w:val="20"/>
      <w:szCs w:val="20"/>
      <w:lang w:eastAsia="nb-NO"/>
    </w:rPr>
    <w:tblPr>
      <w:tblBorders>
        <w:top w:val="dotted" w:sz="4" w:space="0" w:color="151643" w:themeColor="text1"/>
        <w:left w:val="dotted" w:sz="4" w:space="0" w:color="151643" w:themeColor="text1"/>
        <w:bottom w:val="dotted" w:sz="4" w:space="0" w:color="151643" w:themeColor="text1"/>
        <w:right w:val="dotted" w:sz="4" w:space="0" w:color="151643" w:themeColor="text1"/>
        <w:insideH w:val="dotted" w:sz="4" w:space="0" w:color="151643" w:themeColor="text1"/>
        <w:insideV w:val="dotted" w:sz="4" w:space="0" w:color="151643" w:themeColor="text1"/>
      </w:tblBorders>
    </w:tblPr>
    <w:tcPr>
      <w:shd w:val="clear" w:color="auto" w:fill="FFFFFF" w:themeFill="background1"/>
    </w:tcPr>
    <w:tblStylePr w:type="firstRow">
      <w:rPr>
        <w:rFonts w:asciiTheme="majorHAnsi" w:hAnsiTheme="majorHAnsi"/>
        <w:b/>
        <w:bCs/>
        <w:i w:val="0"/>
        <w:color w:val="FFFFFF" w:themeColor="background1"/>
        <w:sz w:val="20"/>
      </w:rPr>
      <w:tblPr/>
      <w:tcPr>
        <w:tcBorders>
          <w:top w:val="nil"/>
          <w:left w:val="nil"/>
          <w:bottom w:val="nil"/>
          <w:right w:val="nil"/>
        </w:tcBorders>
        <w:shd w:val="clear" w:color="auto" w:fill="151643" w:themeFill="text1"/>
      </w:tcPr>
    </w:tblStylePr>
    <w:tblStylePr w:type="lastRow">
      <w:rPr>
        <w:b/>
        <w:bCs/>
        <w:color w:val="151643" w:themeColor="text1"/>
      </w:rPr>
      <w:tblPr/>
      <w:tcPr>
        <w:tcBorders>
          <w:top w:val="dotted" w:sz="4" w:space="0" w:color="151643" w:themeColor="text1"/>
          <w:left w:val="dotted" w:sz="4" w:space="0" w:color="151643" w:themeColor="text1"/>
          <w:bottom w:val="dotted" w:sz="4" w:space="0" w:color="151643" w:themeColor="text1"/>
          <w:right w:val="dotted" w:sz="4" w:space="0" w:color="151643" w:themeColor="text1"/>
        </w:tcBorders>
        <w:shd w:val="clear" w:color="auto" w:fill="FFFFFF" w:themeFill="background1"/>
      </w:tcPr>
    </w:tblStylePr>
    <w:tblStylePr w:type="firstCol">
      <w:pPr>
        <w:wordWrap/>
        <w:jc w:val="left"/>
      </w:pPr>
      <w:rPr>
        <w:rFonts w:asciiTheme="minorHAnsi" w:hAnsiTheme="minorHAnsi"/>
        <w:b/>
        <w:bCs/>
        <w:color w:val="151643" w:themeColor="text1"/>
        <w:sz w:val="20"/>
      </w:rPr>
      <w:tblPr/>
      <w:tcPr>
        <w:shd w:val="clear" w:color="auto" w:fill="BEBFEA" w:themeFill="text1" w:themeFillTint="33"/>
      </w:tcPr>
    </w:tblStylePr>
    <w:tblStylePr w:type="lastCol">
      <w:rPr>
        <w:b/>
        <w:bCs/>
      </w:rPr>
    </w:tblStylePr>
  </w:style>
  <w:style w:type="character" w:customStyle="1" w:styleId="Overskrift3Tegn">
    <w:name w:val="Overskrift 3 Tegn"/>
    <w:basedOn w:val="Standardskriftforavsnitt"/>
    <w:link w:val="Overskrift3"/>
    <w:uiPriority w:val="9"/>
    <w:rsid w:val="004D579D"/>
    <w:rPr>
      <w:rFonts w:asciiTheme="majorHAnsi" w:eastAsiaTheme="majorEastAsia" w:hAnsiTheme="majorHAnsi" w:cstheme="majorBidi"/>
      <w:color w:val="696583" w:themeColor="accent5"/>
      <w:sz w:val="20"/>
    </w:rPr>
  </w:style>
  <w:style w:type="paragraph" w:styleId="Topptekst">
    <w:name w:val="header"/>
    <w:basedOn w:val="Normal"/>
    <w:link w:val="TopptekstTegn"/>
    <w:uiPriority w:val="99"/>
    <w:unhideWhenUsed/>
    <w:rsid w:val="00641704"/>
    <w:pPr>
      <w:tabs>
        <w:tab w:val="center" w:pos="4536"/>
        <w:tab w:val="right" w:pos="9072"/>
      </w:tabs>
      <w:spacing w:after="0"/>
    </w:pPr>
    <w:rPr>
      <w:sz w:val="18"/>
    </w:rPr>
  </w:style>
  <w:style w:type="character" w:customStyle="1" w:styleId="TopptekstTegn">
    <w:name w:val="Topptekst Tegn"/>
    <w:basedOn w:val="Standardskriftforavsnitt"/>
    <w:link w:val="Topptekst"/>
    <w:uiPriority w:val="99"/>
    <w:rsid w:val="00641704"/>
    <w:rPr>
      <w:rFonts w:ascii="Calibri" w:hAnsi="Calibri"/>
      <w:sz w:val="18"/>
    </w:rPr>
  </w:style>
  <w:style w:type="paragraph" w:styleId="Bunntekst">
    <w:name w:val="footer"/>
    <w:basedOn w:val="Normal"/>
    <w:link w:val="BunntekstTegn"/>
    <w:uiPriority w:val="99"/>
    <w:unhideWhenUsed/>
    <w:rsid w:val="001B6E74"/>
    <w:pPr>
      <w:tabs>
        <w:tab w:val="left" w:pos="3261"/>
        <w:tab w:val="left" w:pos="3686"/>
        <w:tab w:val="left" w:pos="5387"/>
        <w:tab w:val="left" w:pos="5812"/>
      </w:tabs>
      <w:spacing w:after="0"/>
    </w:pPr>
    <w:rPr>
      <w:rFonts w:ascii="Calibri Light" w:hAnsi="Calibri Light"/>
      <w:sz w:val="16"/>
    </w:rPr>
  </w:style>
  <w:style w:type="character" w:customStyle="1" w:styleId="BunntekstTegn">
    <w:name w:val="Bunntekst Tegn"/>
    <w:basedOn w:val="Standardskriftforavsnitt"/>
    <w:link w:val="Bunntekst"/>
    <w:uiPriority w:val="99"/>
    <w:rsid w:val="001B6E74"/>
    <w:rPr>
      <w:rFonts w:ascii="Calibri Light" w:hAnsi="Calibri Light"/>
      <w:color w:val="151643" w:themeColor="text1"/>
      <w:sz w:val="16"/>
    </w:rPr>
  </w:style>
  <w:style w:type="table" w:styleId="Tabellrutenett">
    <w:name w:val="Table Grid"/>
    <w:basedOn w:val="Vanligtabell"/>
    <w:uiPriority w:val="39"/>
    <w:rsid w:val="0098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uiPriority w:val="99"/>
    <w:semiHidden/>
    <w:unhideWhenUsed/>
    <w:rsid w:val="009856E2"/>
  </w:style>
  <w:style w:type="character" w:customStyle="1" w:styleId="Overskrift1Tegn">
    <w:name w:val="Overskrift 1 Tegn"/>
    <w:aliases w:val="NIM Overskrift 1 Tegn"/>
    <w:basedOn w:val="Standardskriftforavsnitt"/>
    <w:link w:val="Overskrift1"/>
    <w:uiPriority w:val="9"/>
    <w:rsid w:val="00CD0586"/>
    <w:rPr>
      <w:rFonts w:ascii="Calibri" w:hAnsi="Calibri"/>
      <w:b/>
      <w:sz w:val="22"/>
    </w:rPr>
  </w:style>
  <w:style w:type="character" w:customStyle="1" w:styleId="Overskrift4Tegn">
    <w:name w:val="Overskrift 4 Tegn"/>
    <w:basedOn w:val="Standardskriftforavsnitt"/>
    <w:link w:val="Overskrift4"/>
    <w:uiPriority w:val="9"/>
    <w:rsid w:val="00A976FC"/>
    <w:rPr>
      <w:rFonts w:asciiTheme="majorHAnsi" w:eastAsiaTheme="majorEastAsia" w:hAnsiTheme="majorHAnsi" w:cstheme="majorBidi"/>
      <w:i/>
      <w:iCs/>
      <w:color w:val="151643" w:themeColor="text1"/>
      <w:sz w:val="20"/>
    </w:rPr>
  </w:style>
  <w:style w:type="paragraph" w:styleId="Listeavsnitt">
    <w:name w:val="List Paragraph"/>
    <w:basedOn w:val="Normal"/>
    <w:uiPriority w:val="34"/>
    <w:qFormat/>
    <w:rsid w:val="00802E52"/>
    <w:pPr>
      <w:numPr>
        <w:numId w:val="9"/>
      </w:numPr>
      <w:spacing w:before="120"/>
      <w:ind w:left="1276" w:hanging="709"/>
      <w:contextualSpacing/>
    </w:pPr>
  </w:style>
  <w:style w:type="paragraph" w:styleId="Bobletekst">
    <w:name w:val="Balloon Text"/>
    <w:basedOn w:val="Normal"/>
    <w:link w:val="BobletekstTegn"/>
    <w:uiPriority w:val="99"/>
    <w:semiHidden/>
    <w:unhideWhenUsed/>
    <w:rsid w:val="001301B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301B2"/>
    <w:rPr>
      <w:rFonts w:ascii="Segoe UI" w:hAnsi="Segoe UI" w:cs="Segoe UI"/>
      <w:sz w:val="18"/>
      <w:szCs w:val="18"/>
    </w:rPr>
  </w:style>
  <w:style w:type="paragraph" w:styleId="Ingenmellomrom">
    <w:name w:val="No Spacing"/>
    <w:uiPriority w:val="1"/>
    <w:rsid w:val="000B031E"/>
    <w:pPr>
      <w:spacing w:line="276" w:lineRule="auto"/>
      <w:jc w:val="both"/>
    </w:pPr>
    <w:rPr>
      <w:rFonts w:ascii="Calibri" w:hAnsi="Calibri"/>
      <w:color w:val="151643" w:themeColor="text1"/>
      <w:sz w:val="22"/>
    </w:rPr>
  </w:style>
  <w:style w:type="paragraph" w:customStyle="1" w:styleId="Overskriftniv1">
    <w:name w:val="Overskrift nivå 1"/>
    <w:basedOn w:val="Normal"/>
    <w:link w:val="Overskriftniv1Tegn"/>
    <w:autoRedefine/>
    <w:qFormat/>
    <w:rsid w:val="00F06D43"/>
    <w:pPr>
      <w:numPr>
        <w:numId w:val="6"/>
      </w:numPr>
      <w:spacing w:before="300" w:after="60"/>
      <w:outlineLvl w:val="0"/>
    </w:pPr>
    <w:rPr>
      <w:b/>
      <w:sz w:val="24"/>
    </w:rPr>
  </w:style>
  <w:style w:type="character" w:customStyle="1" w:styleId="Overskriftniv1Tegn">
    <w:name w:val="Overskrift nivå 1 Tegn"/>
    <w:basedOn w:val="Standardskriftforavsnitt"/>
    <w:link w:val="Overskriftniv1"/>
    <w:rsid w:val="00F06D43"/>
    <w:rPr>
      <w:rFonts w:ascii="Calibri" w:hAnsi="Calibri"/>
      <w:b/>
      <w:color w:val="151643" w:themeColor="text1"/>
      <w:lang w:val="en-GB"/>
    </w:rPr>
  </w:style>
  <w:style w:type="paragraph" w:customStyle="1" w:styleId="NIMTittel1">
    <w:name w:val="NIM Tittel 1"/>
    <w:basedOn w:val="Tittel"/>
    <w:link w:val="NIMTittel1Tegn"/>
    <w:qFormat/>
    <w:rsid w:val="00576507"/>
    <w:pPr>
      <w:spacing w:after="240"/>
    </w:pPr>
    <w:rPr>
      <w:rFonts w:ascii="Calibri" w:hAnsi="Calibri"/>
      <w:b/>
      <w:spacing w:val="0"/>
      <w:kern w:val="0"/>
      <w:sz w:val="30"/>
      <w:szCs w:val="30"/>
    </w:rPr>
  </w:style>
  <w:style w:type="paragraph" w:styleId="Tittel">
    <w:name w:val="Title"/>
    <w:basedOn w:val="Normal"/>
    <w:next w:val="Normal"/>
    <w:link w:val="TittelTegn"/>
    <w:uiPriority w:val="10"/>
    <w:rsid w:val="008908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908B5"/>
    <w:rPr>
      <w:rFonts w:asciiTheme="majorHAnsi" w:eastAsiaTheme="majorEastAsia" w:hAnsiTheme="majorHAnsi" w:cstheme="majorBidi"/>
      <w:spacing w:val="-10"/>
      <w:kern w:val="28"/>
      <w:sz w:val="56"/>
      <w:szCs w:val="56"/>
    </w:rPr>
  </w:style>
  <w:style w:type="character" w:customStyle="1" w:styleId="NIMTittel1Tegn">
    <w:name w:val="NIM Tittel 1 Tegn"/>
    <w:basedOn w:val="TittelTegn"/>
    <w:link w:val="NIMTittel1"/>
    <w:rsid w:val="00576507"/>
    <w:rPr>
      <w:rFonts w:ascii="Calibri" w:eastAsiaTheme="majorEastAsia" w:hAnsi="Calibri" w:cstheme="majorBidi"/>
      <w:b/>
      <w:color w:val="151643" w:themeColor="text1"/>
      <w:spacing w:val="-10"/>
      <w:kern w:val="28"/>
      <w:sz w:val="30"/>
      <w:szCs w:val="30"/>
    </w:rPr>
  </w:style>
  <w:style w:type="paragraph" w:styleId="Fotnotetekst">
    <w:name w:val="footnote text"/>
    <w:aliases w:val="5_G,Footnote Text Char1,Footnote Text Char Char,Footnote Text Char1 Char Char,Footnote Text Char Char Char Char,Footnote Text Char1 Char Char Char Char,Footnote Char Char Char Char Char,Footnote Text Char Char Char Char Char Char,Footnot"/>
    <w:basedOn w:val="Normal"/>
    <w:link w:val="FotnotetekstTegn"/>
    <w:uiPriority w:val="99"/>
    <w:unhideWhenUsed/>
    <w:qFormat/>
    <w:rsid w:val="006C4DB7"/>
    <w:pPr>
      <w:spacing w:after="60"/>
    </w:pPr>
    <w:rPr>
      <w:color w:val="696583" w:themeColor="accent5"/>
      <w:sz w:val="16"/>
      <w:szCs w:val="16"/>
    </w:rPr>
  </w:style>
  <w:style w:type="character" w:customStyle="1" w:styleId="FotnotetekstTegn">
    <w:name w:val="Fotnotetekst Tegn"/>
    <w:aliases w:val="5_G Tegn,Footnote Text Char1 Tegn,Footnote Text Char Char Tegn,Footnote Text Char1 Char Char Tegn,Footnote Text Char Char Char Char Tegn,Footnote Text Char1 Char Char Char Char Tegn,Footnote Char Char Char Char Char Tegn,Footnot Tegn"/>
    <w:basedOn w:val="Standardskriftforavsnitt"/>
    <w:link w:val="Fotnotetekst"/>
    <w:uiPriority w:val="99"/>
    <w:qFormat/>
    <w:rsid w:val="006C4DB7"/>
    <w:rPr>
      <w:rFonts w:ascii="Calibri" w:hAnsi="Calibri"/>
      <w:color w:val="696583" w:themeColor="accent5"/>
      <w:sz w:val="16"/>
      <w:szCs w:val="16"/>
    </w:rPr>
  </w:style>
  <w:style w:type="character" w:styleId="Fotnotereferanse">
    <w:name w:val="footnote reference"/>
    <w:aliases w:val="4_G,Footnotes refss,Texto de nota al pie,referencia nota al pie,BVI fnr,Appel note de bas de page,Footnote symbol,Footnote,Footnote number,Ref. de nota al pie.,Ref,de nota al pie,number,SUPERS,(Diplomarbeit FZ),fr,Footnote Ref,16 Point"/>
    <w:basedOn w:val="Standardskriftforavsnitt"/>
    <w:link w:val="BVIfnrCarCar"/>
    <w:uiPriority w:val="99"/>
    <w:unhideWhenUsed/>
    <w:qFormat/>
    <w:rsid w:val="00C37C2F"/>
    <w:rPr>
      <w:vertAlign w:val="superscript"/>
    </w:rPr>
  </w:style>
  <w:style w:type="paragraph" w:customStyle="1" w:styleId="langtsitat">
    <w:name w:val="langt sitat"/>
    <w:basedOn w:val="Normal"/>
    <w:qFormat/>
    <w:rsid w:val="00D62B1D"/>
    <w:pPr>
      <w:ind w:left="567"/>
    </w:pPr>
    <w:rPr>
      <w:iCs/>
      <w:lang w:val="en-US"/>
    </w:rPr>
  </w:style>
  <w:style w:type="paragraph" w:styleId="Dokumentkart">
    <w:name w:val="Document Map"/>
    <w:basedOn w:val="Normal"/>
    <w:link w:val="DokumentkartTegn"/>
    <w:uiPriority w:val="99"/>
    <w:semiHidden/>
    <w:unhideWhenUsed/>
    <w:rsid w:val="00802E52"/>
    <w:pPr>
      <w:spacing w:after="0" w:line="240" w:lineRule="auto"/>
    </w:pPr>
    <w:rPr>
      <w:rFonts w:ascii="Times New Roman" w:hAnsi="Times New Roman" w:cs="Times New Roman"/>
      <w:sz w:val="24"/>
    </w:rPr>
  </w:style>
  <w:style w:type="character" w:customStyle="1" w:styleId="DokumentkartTegn">
    <w:name w:val="Dokumentkart Tegn"/>
    <w:basedOn w:val="Standardskriftforavsnitt"/>
    <w:link w:val="Dokumentkart"/>
    <w:uiPriority w:val="99"/>
    <w:semiHidden/>
    <w:rsid w:val="00802E52"/>
    <w:rPr>
      <w:rFonts w:ascii="Times New Roman" w:hAnsi="Times New Roman" w:cs="Times New Roman"/>
      <w:color w:val="151643" w:themeColor="text1"/>
    </w:rPr>
  </w:style>
  <w:style w:type="paragraph" w:customStyle="1" w:styleId="Stikktittel">
    <w:name w:val="Stikktittel"/>
    <w:basedOn w:val="Ingenmellomrom"/>
    <w:qFormat/>
    <w:rsid w:val="000B031E"/>
    <w:rPr>
      <w:b/>
      <w:lang w:val="en-GB"/>
    </w:rPr>
  </w:style>
  <w:style w:type="character" w:customStyle="1" w:styleId="uthevet">
    <w:name w:val="uthevet"/>
    <w:basedOn w:val="Standardskriftforavsnitt"/>
    <w:uiPriority w:val="1"/>
    <w:qFormat/>
    <w:rsid w:val="00761B05"/>
    <w:rPr>
      <w:rFonts w:ascii="Calibri" w:hAnsi="Calibri"/>
      <w:b/>
      <w:bCs/>
      <w:i w:val="0"/>
      <w:iCs w:val="0"/>
    </w:rPr>
  </w:style>
  <w:style w:type="paragraph" w:customStyle="1" w:styleId="NIMoverskriftniv3">
    <w:name w:val="NIM overskrift nivå 3"/>
    <w:basedOn w:val="Overskrift3"/>
    <w:qFormat/>
    <w:rsid w:val="00216026"/>
    <w:pPr>
      <w:numPr>
        <w:ilvl w:val="2"/>
        <w:numId w:val="6"/>
      </w:numPr>
    </w:pPr>
    <w:rPr>
      <w:i/>
      <w:iCs/>
      <w:color w:val="151643" w:themeColor="text1"/>
    </w:rPr>
  </w:style>
  <w:style w:type="paragraph" w:styleId="Revisjon">
    <w:name w:val="Revision"/>
    <w:hidden/>
    <w:uiPriority w:val="99"/>
    <w:semiHidden/>
    <w:rsid w:val="003F71E4"/>
    <w:rPr>
      <w:rFonts w:ascii="Calibri" w:hAnsi="Calibri"/>
      <w:color w:val="151643" w:themeColor="text1"/>
      <w:sz w:val="22"/>
      <w:lang w:val="en-GB"/>
    </w:rPr>
  </w:style>
  <w:style w:type="paragraph" w:customStyle="1" w:styleId="Overkriftniv2">
    <w:name w:val="Overkrift nivå 2"/>
    <w:basedOn w:val="Overskrift2"/>
    <w:next w:val="Overskrift2"/>
    <w:link w:val="Overkriftniv2Tegn"/>
    <w:qFormat/>
    <w:rsid w:val="005342A0"/>
  </w:style>
  <w:style w:type="character" w:customStyle="1" w:styleId="Overkriftniv2Tegn">
    <w:name w:val="Overkrift nivå 2 Tegn"/>
    <w:basedOn w:val="Overskrift2Tegn"/>
    <w:link w:val="Overkriftniv2"/>
    <w:rsid w:val="005342A0"/>
    <w:rPr>
      <w:rFonts w:ascii="Calibri" w:hAnsi="Calibri"/>
      <w:i w:val="0"/>
      <w:iCs/>
      <w:color w:val="151643" w:themeColor="text1"/>
    </w:rPr>
  </w:style>
  <w:style w:type="character" w:customStyle="1" w:styleId="Overskrift5Tegn">
    <w:name w:val="Overskrift 5 Tegn"/>
    <w:basedOn w:val="Standardskriftforavsnitt"/>
    <w:link w:val="Overskrift5"/>
    <w:uiPriority w:val="9"/>
    <w:semiHidden/>
    <w:rsid w:val="003E4D20"/>
    <w:rPr>
      <w:rFonts w:asciiTheme="majorHAnsi" w:eastAsiaTheme="majorEastAsia" w:hAnsiTheme="majorHAnsi" w:cstheme="majorBidi"/>
      <w:color w:val="2F5496" w:themeColor="accent1" w:themeShade="BF"/>
      <w:sz w:val="22"/>
      <w:lang w:val="en-GB"/>
    </w:rPr>
  </w:style>
  <w:style w:type="character" w:styleId="Hyperkobling">
    <w:name w:val="Hyperlink"/>
    <w:basedOn w:val="Standardskriftforavsnitt"/>
    <w:uiPriority w:val="99"/>
    <w:unhideWhenUsed/>
    <w:rsid w:val="003E4D20"/>
    <w:rPr>
      <w:color w:val="0563C1" w:themeColor="hyperlink"/>
      <w:u w:val="single"/>
    </w:rPr>
  </w:style>
  <w:style w:type="character" w:styleId="Ulstomtale">
    <w:name w:val="Unresolved Mention"/>
    <w:basedOn w:val="Standardskriftforavsnitt"/>
    <w:uiPriority w:val="99"/>
    <w:rsid w:val="003E4D20"/>
    <w:rPr>
      <w:color w:val="605E5C"/>
      <w:shd w:val="clear" w:color="auto" w:fill="E1DFDD"/>
    </w:rPr>
  </w:style>
  <w:style w:type="paragraph" w:styleId="Sitat">
    <w:name w:val="Quote"/>
    <w:aliases w:val="Langt sitat"/>
    <w:basedOn w:val="Normal"/>
    <w:next w:val="Normal"/>
    <w:link w:val="SitatTegn"/>
    <w:uiPriority w:val="29"/>
    <w:qFormat/>
    <w:rsid w:val="002039D6"/>
    <w:pPr>
      <w:ind w:left="567" w:right="567"/>
    </w:pPr>
    <w:rPr>
      <w:rFonts w:asciiTheme="minorHAnsi" w:hAnsiTheme="minorHAnsi"/>
      <w:iCs/>
      <w:color w:val="1D1D1D"/>
      <w:szCs w:val="22"/>
      <w:lang w:val="nb-NO"/>
    </w:rPr>
  </w:style>
  <w:style w:type="character" w:customStyle="1" w:styleId="SitatTegn">
    <w:name w:val="Sitat Tegn"/>
    <w:aliases w:val="Langt sitat Tegn"/>
    <w:basedOn w:val="Standardskriftforavsnitt"/>
    <w:link w:val="Sitat"/>
    <w:uiPriority w:val="29"/>
    <w:rsid w:val="002039D6"/>
    <w:rPr>
      <w:iCs/>
      <w:color w:val="1D1D1D"/>
      <w:sz w:val="22"/>
      <w:szCs w:val="22"/>
    </w:rPr>
  </w:style>
  <w:style w:type="character" w:customStyle="1" w:styleId="SingleTxtGChar">
    <w:name w:val="_ Single Txt_G Char"/>
    <w:link w:val="SingleTxtG"/>
    <w:locked/>
    <w:rsid w:val="007759D2"/>
    <w:rPr>
      <w:rFonts w:ascii="Times New Roman" w:hAnsi="Times New Roman" w:cs="Times New Roman"/>
      <w:sz w:val="20"/>
      <w:szCs w:val="20"/>
      <w:lang w:val="en-GB"/>
    </w:rPr>
  </w:style>
  <w:style w:type="paragraph" w:customStyle="1" w:styleId="SingleTxtG">
    <w:name w:val="_ Single Txt_G"/>
    <w:basedOn w:val="Normal"/>
    <w:link w:val="SingleTxtGChar"/>
    <w:qFormat/>
    <w:rsid w:val="007759D2"/>
    <w:pPr>
      <w:tabs>
        <w:tab w:val="left" w:pos="1701"/>
        <w:tab w:val="left" w:pos="2268"/>
        <w:tab w:val="left" w:pos="2835"/>
      </w:tabs>
      <w:suppressAutoHyphens/>
      <w:kinsoku w:val="0"/>
      <w:overflowPunct w:val="0"/>
      <w:autoSpaceDE w:val="0"/>
      <w:autoSpaceDN w:val="0"/>
      <w:adjustRightInd w:val="0"/>
      <w:snapToGrid w:val="0"/>
      <w:spacing w:line="240" w:lineRule="atLeast"/>
      <w:ind w:left="1134" w:right="1134"/>
      <w:jc w:val="both"/>
    </w:pPr>
    <w:rPr>
      <w:rFonts w:ascii="Times New Roman" w:hAnsi="Times New Roman" w:cs="Times New Roman"/>
      <w:color w:val="auto"/>
      <w:sz w:val="20"/>
      <w:szCs w:val="20"/>
    </w:rPr>
  </w:style>
  <w:style w:type="paragraph" w:customStyle="1" w:styleId="BVIfnrCarCar">
    <w:name w:val="BVI fnr Car Car"/>
    <w:aliases w:val="BVI fnr Car,BVI fnr Car Car Car Car,BVI fnr Char Car Car Car,BVI fnr Car Car Car Car Char Char,BVI fnr Car Car Car Car Char Char Char Char Char"/>
    <w:basedOn w:val="Normal"/>
    <w:link w:val="Fotnotereferanse"/>
    <w:rsid w:val="007759D2"/>
    <w:pPr>
      <w:spacing w:after="160" w:line="240" w:lineRule="exact"/>
      <w:jc w:val="both"/>
    </w:pPr>
    <w:rPr>
      <w:rFonts w:asciiTheme="minorHAnsi" w:hAnsiTheme="minorHAnsi"/>
      <w:color w:val="auto"/>
      <w:sz w:val="24"/>
      <w:vertAlign w:val="superscript"/>
      <w:lang w:val="nb-NO"/>
    </w:rPr>
  </w:style>
  <w:style w:type="character" w:styleId="Fulgthyperkobling">
    <w:name w:val="FollowedHyperlink"/>
    <w:basedOn w:val="Standardskriftforavsnitt"/>
    <w:uiPriority w:val="99"/>
    <w:semiHidden/>
    <w:unhideWhenUsed/>
    <w:rsid w:val="00EC452F"/>
    <w:rPr>
      <w:color w:val="954F72" w:themeColor="followedHyperlink"/>
      <w:u w:val="single"/>
    </w:rPr>
  </w:style>
  <w:style w:type="character" w:customStyle="1" w:styleId="normaltextrun">
    <w:name w:val="normaltextrun"/>
    <w:basedOn w:val="Standardskriftforavsnitt"/>
    <w:rsid w:val="00D6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0570">
      <w:bodyDiv w:val="1"/>
      <w:marLeft w:val="0"/>
      <w:marRight w:val="0"/>
      <w:marTop w:val="0"/>
      <w:marBottom w:val="0"/>
      <w:divBdr>
        <w:top w:val="none" w:sz="0" w:space="0" w:color="auto"/>
        <w:left w:val="none" w:sz="0" w:space="0" w:color="auto"/>
        <w:bottom w:val="none" w:sz="0" w:space="0" w:color="auto"/>
        <w:right w:val="none" w:sz="0" w:space="0" w:color="auto"/>
      </w:divBdr>
    </w:div>
    <w:div w:id="549272099">
      <w:bodyDiv w:val="1"/>
      <w:marLeft w:val="0"/>
      <w:marRight w:val="0"/>
      <w:marTop w:val="0"/>
      <w:marBottom w:val="0"/>
      <w:divBdr>
        <w:top w:val="none" w:sz="0" w:space="0" w:color="auto"/>
        <w:left w:val="none" w:sz="0" w:space="0" w:color="auto"/>
        <w:bottom w:val="none" w:sz="0" w:space="0" w:color="auto"/>
        <w:right w:val="none" w:sz="0" w:space="0" w:color="auto"/>
      </w:divBdr>
      <w:divsChild>
        <w:div w:id="70664521">
          <w:marLeft w:val="0"/>
          <w:marRight w:val="0"/>
          <w:marTop w:val="0"/>
          <w:marBottom w:val="0"/>
          <w:divBdr>
            <w:top w:val="none" w:sz="0" w:space="0" w:color="auto"/>
            <w:left w:val="none" w:sz="0" w:space="0" w:color="auto"/>
            <w:bottom w:val="none" w:sz="0" w:space="0" w:color="auto"/>
            <w:right w:val="none" w:sz="0" w:space="0" w:color="auto"/>
          </w:divBdr>
        </w:div>
      </w:divsChild>
    </w:div>
    <w:div w:id="734857018">
      <w:bodyDiv w:val="1"/>
      <w:marLeft w:val="0"/>
      <w:marRight w:val="0"/>
      <w:marTop w:val="0"/>
      <w:marBottom w:val="0"/>
      <w:divBdr>
        <w:top w:val="none" w:sz="0" w:space="0" w:color="auto"/>
        <w:left w:val="none" w:sz="0" w:space="0" w:color="auto"/>
        <w:bottom w:val="none" w:sz="0" w:space="0" w:color="auto"/>
        <w:right w:val="none" w:sz="0" w:space="0" w:color="auto"/>
      </w:divBdr>
      <w:divsChild>
        <w:div w:id="1600289905">
          <w:marLeft w:val="0"/>
          <w:marRight w:val="0"/>
          <w:marTop w:val="0"/>
          <w:marBottom w:val="0"/>
          <w:divBdr>
            <w:top w:val="none" w:sz="0" w:space="0" w:color="auto"/>
            <w:left w:val="none" w:sz="0" w:space="0" w:color="auto"/>
            <w:bottom w:val="none" w:sz="0" w:space="0" w:color="auto"/>
            <w:right w:val="none" w:sz="0" w:space="0" w:color="auto"/>
          </w:divBdr>
        </w:div>
      </w:divsChild>
    </w:div>
    <w:div w:id="1108238602">
      <w:bodyDiv w:val="1"/>
      <w:marLeft w:val="0"/>
      <w:marRight w:val="0"/>
      <w:marTop w:val="0"/>
      <w:marBottom w:val="0"/>
      <w:divBdr>
        <w:top w:val="none" w:sz="0" w:space="0" w:color="auto"/>
        <w:left w:val="none" w:sz="0" w:space="0" w:color="auto"/>
        <w:bottom w:val="none" w:sz="0" w:space="0" w:color="auto"/>
        <w:right w:val="none" w:sz="0" w:space="0" w:color="auto"/>
      </w:divBdr>
    </w:div>
    <w:div w:id="1808544647">
      <w:bodyDiv w:val="1"/>
      <w:marLeft w:val="0"/>
      <w:marRight w:val="0"/>
      <w:marTop w:val="0"/>
      <w:marBottom w:val="0"/>
      <w:divBdr>
        <w:top w:val="none" w:sz="0" w:space="0" w:color="auto"/>
        <w:left w:val="none" w:sz="0" w:space="0" w:color="auto"/>
        <w:bottom w:val="none" w:sz="0" w:space="0" w:color="auto"/>
        <w:right w:val="none" w:sz="0" w:space="0" w:color="auto"/>
      </w:divBdr>
    </w:div>
    <w:div w:id="1913198622">
      <w:bodyDiv w:val="1"/>
      <w:marLeft w:val="0"/>
      <w:marRight w:val="0"/>
      <w:marTop w:val="0"/>
      <w:marBottom w:val="0"/>
      <w:divBdr>
        <w:top w:val="none" w:sz="0" w:space="0" w:color="auto"/>
        <w:left w:val="none" w:sz="0" w:space="0" w:color="auto"/>
        <w:bottom w:val="none" w:sz="0" w:space="0" w:color="auto"/>
        <w:right w:val="none" w:sz="0" w:space="0" w:color="auto"/>
      </w:divBdr>
    </w:div>
    <w:div w:id="2111124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crc@u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hri.ohchr.org/EN/AboutUs/Pages/ParisPrinciples.aspx" TargetMode="External"/><Relationship Id="rId7" Type="http://schemas.openxmlformats.org/officeDocument/2006/relationships/hyperlink" Target="https://ennhri.org/wp-content/uploads/2022/12/ENNHRI-3rd-party-intervention-Duarte-v.-Portugal-others.pdf" TargetMode="External"/><Relationship Id="rId2" Type="http://schemas.openxmlformats.org/officeDocument/2006/relationships/hyperlink" Target="https://nhri.ohchr.org/EN/Pages/default.aspx" TargetMode="External"/><Relationship Id="rId1" Type="http://schemas.openxmlformats.org/officeDocument/2006/relationships/hyperlink" Target="https://www.nhri.no/wp-content/uploads/2022/03/NIM_Sumbission-to-CRC-General-Comment-no.-26-.pdf" TargetMode="External"/><Relationship Id="rId6" Type="http://schemas.openxmlformats.org/officeDocument/2006/relationships/hyperlink" Target="https://ennhri.org/wp-content/uploads/2022/12/ENNHRI-3rd-party-intervention-_Klimaseniorinnen-v.-Switzerland.pdf" TargetMode="External"/><Relationship Id="rId5" Type="http://schemas.openxmlformats.org/officeDocument/2006/relationships/hyperlink" Target="https://ennhri.org/news-and-blog/third-party-intervention-potential-impact-climate-case-arctic-oil-exploration/" TargetMode="External"/><Relationship Id="rId4" Type="http://schemas.openxmlformats.org/officeDocument/2006/relationships/hyperlink" Target="https://ennhri.org/news-and-blog/ennhri-intervenes-before-the-grand-chamber-of-the-european-court-of-human-rights-in-three-historic-climate-c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NIM-brevmal-engelsk.dotx" TargetMode="External"/></Relationships>
</file>

<file path=word/theme/theme1.xml><?xml version="1.0" encoding="utf-8"?>
<a:theme xmlns:a="http://schemas.openxmlformats.org/drawingml/2006/main" name="NIM4">
  <a:themeElements>
    <a:clrScheme name="NIM4">
      <a:dk1>
        <a:srgbClr val="151643"/>
      </a:dk1>
      <a:lt1>
        <a:srgbClr val="FFFFFF"/>
      </a:lt1>
      <a:dk2>
        <a:srgbClr val="6D8CB2"/>
      </a:dk2>
      <a:lt2>
        <a:srgbClr val="E7E6E6"/>
      </a:lt2>
      <a:accent1>
        <a:srgbClr val="4472C4"/>
      </a:accent1>
      <a:accent2>
        <a:srgbClr val="ED7D31"/>
      </a:accent2>
      <a:accent3>
        <a:srgbClr val="A5A5A5"/>
      </a:accent3>
      <a:accent4>
        <a:srgbClr val="FFC000"/>
      </a:accent4>
      <a:accent5>
        <a:srgbClr val="696583"/>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IM4" id="{7A2BB9AD-5335-F34A-A0EF-878885FBD7C5}" vid="{FE2ED192-9817-154A-9ED1-8C4D227DEC4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1591E85E706904B9D83058DF7A76FB1" ma:contentTypeVersion="13" ma:contentTypeDescription="Opprett et nytt dokument." ma:contentTypeScope="" ma:versionID="d8504c84558e3b542226ad6fd2814755">
  <xsd:schema xmlns:xsd="http://www.w3.org/2001/XMLSchema" xmlns:xs="http://www.w3.org/2001/XMLSchema" xmlns:p="http://schemas.microsoft.com/office/2006/metadata/properties" xmlns:ns2="ac342661-09c9-4ebc-a145-b1eb8e26ef1e" xmlns:ns3="4ca80fd2-48e7-4f87-b160-4d722197502b" targetNamespace="http://schemas.microsoft.com/office/2006/metadata/properties" ma:root="true" ma:fieldsID="e45edd68595f4fc8407f0274507e3839" ns2:_="" ns3:_="">
    <xsd:import namespace="ac342661-09c9-4ebc-a145-b1eb8e26ef1e"/>
    <xsd:import namespace="4ca80fd2-48e7-4f87-b160-4d7221975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42661-09c9-4ebc-a145-b1eb8e26e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a80fd2-48e7-4f87-b160-4d722197502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078AE-DD23-463D-AE77-9A8A9A2ED0F4}">
  <ds:schemaRefs>
    <ds:schemaRef ds:uri="http://schemas.openxmlformats.org/officeDocument/2006/bibliography"/>
  </ds:schemaRefs>
</ds:datastoreItem>
</file>

<file path=customXml/itemProps2.xml><?xml version="1.0" encoding="utf-8"?>
<ds:datastoreItem xmlns:ds="http://schemas.openxmlformats.org/officeDocument/2006/customXml" ds:itemID="{0E3BDF90-4D92-42C0-AF5B-DDA6511AF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20170E-2BE3-4924-B032-292841C1B6CC}">
  <ds:schemaRefs>
    <ds:schemaRef ds:uri="http://schemas.microsoft.com/sharepoint/v3/contenttype/forms"/>
  </ds:schemaRefs>
</ds:datastoreItem>
</file>

<file path=customXml/itemProps4.xml><?xml version="1.0" encoding="utf-8"?>
<ds:datastoreItem xmlns:ds="http://schemas.openxmlformats.org/officeDocument/2006/customXml" ds:itemID="{015F9CA4-7461-4439-B452-71F95CD9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42661-09c9-4ebc-a145-b1eb8e26ef1e"/>
    <ds:schemaRef ds:uri="4ca80fd2-48e7-4f87-b160-4d7221975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NIM-brevmal-engelsk</Template>
  <TotalTime>550</TotalTime>
  <Pages>8</Pages>
  <Words>2512</Words>
  <Characters>13319</Characters>
  <Application>Microsoft Office Word</Application>
  <DocSecurity>0</DocSecurity>
  <Lines>110</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NIM brev</vt:lpstr>
      <vt:lpstr>NIM brev</vt:lpstr>
    </vt:vector>
  </TitlesOfParts>
  <Manager/>
  <Company>NIM</Company>
  <LinksUpToDate>false</LinksUpToDate>
  <CharactersWithSpaces>15800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NIM brev</dc:title>
  <dc:subject/>
  <dc:creator>Hannah Cecilie Brænden</dc:creator>
  <cp:keywords/>
  <dc:description/>
  <cp:lastModifiedBy>Hannah Cecilie Brænden</cp:lastModifiedBy>
  <cp:revision>295</cp:revision>
  <cp:lastPrinted>2023-02-27T08:13:00Z</cp:lastPrinted>
  <dcterms:created xsi:type="dcterms:W3CDTF">2023-02-20T11:22:00Z</dcterms:created>
  <dcterms:modified xsi:type="dcterms:W3CDTF">2023-02-28T20:33:00Z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0x01010091591E85E706904B9D83058DF7A76FB1</vt:lpwstr>
  </property>
</Properties>
</file>