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FCB2" w14:textId="77777777" w:rsidR="003F1438" w:rsidRPr="003F1438" w:rsidRDefault="003F1438" w:rsidP="003F1438">
      <w:pPr>
        <w:jc w:val="right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F1438">
        <w:rPr>
          <w:rFonts w:ascii="Times New Roman" w:hAnsi="Times New Roman" w:cs="Times New Roman"/>
          <w:i/>
          <w:lang w:val="uk-UA"/>
        </w:rPr>
        <w:t xml:space="preserve">Неофіційний </w:t>
      </w:r>
      <w:r w:rsidR="00AD0658">
        <w:rPr>
          <w:rFonts w:ascii="Times New Roman" w:hAnsi="Times New Roman" w:cs="Times New Roman"/>
          <w:i/>
          <w:lang w:val="uk-UA"/>
        </w:rPr>
        <w:t>переклад.</w:t>
      </w:r>
    </w:p>
    <w:p w14:paraId="5415FCB3" w14:textId="77777777" w:rsidR="003F1438" w:rsidRPr="003F1438" w:rsidRDefault="003F1438" w:rsidP="003F1438">
      <w:pPr>
        <w:jc w:val="right"/>
        <w:rPr>
          <w:rFonts w:ascii="Times New Roman" w:hAnsi="Times New Roman" w:cs="Times New Roman"/>
          <w:i/>
          <w:lang w:val="uk-UA"/>
        </w:rPr>
      </w:pPr>
      <w:r w:rsidRPr="003F1438">
        <w:rPr>
          <w:rFonts w:ascii="Times New Roman" w:hAnsi="Times New Roman" w:cs="Times New Roman"/>
          <w:i/>
          <w:lang w:val="uk-UA"/>
        </w:rPr>
        <w:t xml:space="preserve">Здійснено ВГО </w:t>
      </w:r>
      <w:r w:rsidR="00AD0658">
        <w:rPr>
          <w:rFonts w:ascii="Times New Roman" w:hAnsi="Times New Roman" w:cs="Times New Roman"/>
          <w:i/>
          <w:lang w:val="uk-UA"/>
        </w:rPr>
        <w:t>«</w:t>
      </w:r>
      <w:r w:rsidRPr="003F1438">
        <w:rPr>
          <w:rFonts w:ascii="Times New Roman" w:hAnsi="Times New Roman" w:cs="Times New Roman"/>
          <w:i/>
          <w:lang w:val="uk-UA"/>
        </w:rPr>
        <w:t>Національна Асамблея людей з інвалідністю України</w:t>
      </w:r>
      <w:r w:rsidR="00AD0658">
        <w:rPr>
          <w:rFonts w:ascii="Times New Roman" w:hAnsi="Times New Roman" w:cs="Times New Roman"/>
          <w:i/>
          <w:lang w:val="uk-UA"/>
        </w:rPr>
        <w:t>»</w:t>
      </w:r>
      <w:r w:rsidRPr="003F1438">
        <w:rPr>
          <w:rFonts w:ascii="Times New Roman" w:hAnsi="Times New Roman" w:cs="Times New Roman"/>
          <w:i/>
          <w:lang w:val="uk-UA"/>
        </w:rPr>
        <w:t xml:space="preserve"> </w:t>
      </w:r>
    </w:p>
    <w:p w14:paraId="5415FCB4" w14:textId="77777777" w:rsidR="003F1438" w:rsidRDefault="003F1438" w:rsidP="003F1438">
      <w:pPr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p w14:paraId="5415FCB5" w14:textId="77777777" w:rsidR="003F1438" w:rsidRDefault="003F1438" w:rsidP="003F1438">
      <w:pPr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p w14:paraId="5415FCB6" w14:textId="77777777" w:rsidR="003F1438" w:rsidRPr="00AD0658" w:rsidRDefault="00AD0658" w:rsidP="003F1438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Комітет ООН з</w:t>
      </w:r>
      <w:r w:rsidR="003F1438" w:rsidRPr="00AD06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3F1438" w:rsidRPr="00AD06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рав осіб з інвалідністю </w:t>
      </w:r>
    </w:p>
    <w:p w14:paraId="5415FCB7" w14:textId="77777777" w:rsidR="003F1438" w:rsidRDefault="003F1438" w:rsidP="003F1438">
      <w:pPr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p w14:paraId="5415FCB8" w14:textId="77777777" w:rsidR="003F1438" w:rsidRDefault="003F1438" w:rsidP="003F1438">
      <w:pPr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p w14:paraId="5415FCB9" w14:textId="77777777" w:rsidR="003F1438" w:rsidRPr="003F1438" w:rsidRDefault="003F1438" w:rsidP="003F1438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415FCBA" w14:textId="77777777" w:rsidR="008B31B4" w:rsidRPr="003F1438" w:rsidRDefault="007E44CF" w:rsidP="008B31B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1438">
        <w:rPr>
          <w:rFonts w:ascii="Times New Roman" w:hAnsi="Times New Roman" w:cs="Times New Roman"/>
          <w:sz w:val="28"/>
          <w:szCs w:val="28"/>
          <w:lang w:val="uk-UA"/>
        </w:rPr>
        <w:t>Звіт про роботу сесії</w:t>
      </w:r>
    </w:p>
    <w:p w14:paraId="5415FCBB" w14:textId="77777777" w:rsidR="005A12F6" w:rsidRPr="0007549F" w:rsidRDefault="009461A4" w:rsidP="009461A4">
      <w:pPr>
        <w:pStyle w:val="HChG"/>
        <w:rPr>
          <w:lang w:val="uk-UA"/>
        </w:rPr>
      </w:pPr>
      <w:r w:rsidRPr="003F1438">
        <w:rPr>
          <w:lang w:val="uk-UA"/>
        </w:rPr>
        <w:tab/>
      </w:r>
      <w:r w:rsidRPr="003F1438">
        <w:rPr>
          <w:lang w:val="uk-UA"/>
        </w:rPr>
        <w:tab/>
      </w:r>
      <w:r w:rsidR="007E44CF">
        <w:rPr>
          <w:lang w:val="uk-UA"/>
        </w:rPr>
        <w:t>Розділ про ситуацію осіб з інвалідністю в Україні і країнах, куди вони виїхали після 24 лютого 2022 року в результаті агресії проти України з боку російської федерації – буде долучено до Звіту про роботу 27-</w:t>
      </w:r>
      <w:r w:rsidR="006F5F30">
        <w:rPr>
          <w:lang w:val="uk-UA"/>
        </w:rPr>
        <w:t>о</w:t>
      </w:r>
      <w:r w:rsidR="007E44CF">
        <w:rPr>
          <w:lang w:val="uk-UA"/>
        </w:rPr>
        <w:t>ї сесії</w:t>
      </w:r>
      <w:r w:rsidR="007E44CF">
        <w:rPr>
          <w:lang w:val="uk-UA"/>
        </w:rPr>
        <w:br/>
      </w:r>
    </w:p>
    <w:p w14:paraId="5415FCBC" w14:textId="77777777" w:rsidR="00907AD8" w:rsidRPr="002711EC" w:rsidRDefault="00A8744A" w:rsidP="003C3A8C">
      <w:pPr>
        <w:pStyle w:val="SingleTxtG"/>
        <w:ind w:left="720"/>
        <w:rPr>
          <w:lang w:val="uk-UA"/>
        </w:rPr>
      </w:pPr>
      <w:r w:rsidRPr="0007549F">
        <w:rPr>
          <w:lang w:val="uk-UA"/>
        </w:rPr>
        <w:t>1.</w:t>
      </w:r>
      <w:r w:rsidRPr="0007549F">
        <w:rPr>
          <w:lang w:val="uk-UA"/>
        </w:rPr>
        <w:tab/>
      </w:r>
      <w:r w:rsidR="00907AD8">
        <w:rPr>
          <w:lang w:val="uk-UA"/>
        </w:rPr>
        <w:t xml:space="preserve">Починаючи з 24 лютого 2022 року, Комітет </w:t>
      </w:r>
      <w:r w:rsidR="00907AD8" w:rsidRPr="002711EC">
        <w:rPr>
          <w:lang w:val="uk-UA"/>
        </w:rPr>
        <w:t>отримував інформацію, що вказує на стверджувані серйозні порушення прав людини осіб з інвалідністю в умовах агресії проти України з боку російської федерації</w:t>
      </w:r>
      <w:r w:rsidR="00FC152B" w:rsidRPr="002711EC">
        <w:rPr>
          <w:rStyle w:val="FootnoteReference"/>
        </w:rPr>
        <w:footnoteReference w:id="1"/>
      </w:r>
      <w:r w:rsidR="00907AD8" w:rsidRPr="002711EC">
        <w:rPr>
          <w:lang w:val="uk-UA"/>
        </w:rPr>
        <w:t>.</w:t>
      </w:r>
    </w:p>
    <w:p w14:paraId="5415FCBD" w14:textId="77777777" w:rsidR="001F0489" w:rsidRPr="00FC152B" w:rsidRDefault="00A8744A" w:rsidP="003C3A8C">
      <w:pPr>
        <w:pStyle w:val="SingleTxtG"/>
        <w:ind w:left="720"/>
        <w:rPr>
          <w:lang w:val="ru-RU"/>
        </w:rPr>
      </w:pPr>
      <w:r w:rsidRPr="00907AD8">
        <w:rPr>
          <w:lang w:val="ru-RU"/>
        </w:rPr>
        <w:t>2.</w:t>
      </w:r>
      <w:r w:rsidRPr="00907AD8">
        <w:rPr>
          <w:lang w:val="ru-RU"/>
        </w:rPr>
        <w:tab/>
      </w:r>
      <w:r w:rsidR="00907AD8">
        <w:rPr>
          <w:lang w:val="uk-UA"/>
        </w:rPr>
        <w:t xml:space="preserve">Відповідно до параграфу 1 статті 36 Конвенції про права осіб з інвалідністю Комітет з прав осіб з інвалідністю може в будь-який час запросити </w:t>
      </w:r>
      <w:r w:rsidR="00323968">
        <w:rPr>
          <w:lang w:val="uk-UA"/>
        </w:rPr>
        <w:t xml:space="preserve">в Держав-учасниць </w:t>
      </w:r>
      <w:r w:rsidR="00FC152B">
        <w:rPr>
          <w:lang w:val="uk-UA"/>
        </w:rPr>
        <w:t>додаткову</w:t>
      </w:r>
      <w:r w:rsidR="00323968">
        <w:rPr>
          <w:lang w:val="uk-UA"/>
        </w:rPr>
        <w:t xml:space="preserve"> інформацію, яка стосується впровадження Конвенції.</w:t>
      </w:r>
    </w:p>
    <w:p w14:paraId="5415FCBE" w14:textId="77777777" w:rsidR="001F0489" w:rsidRPr="00FC152B" w:rsidRDefault="001F0489" w:rsidP="003C3A8C">
      <w:pPr>
        <w:pStyle w:val="SingleTxtG"/>
        <w:ind w:left="720"/>
        <w:rPr>
          <w:lang w:val="uk-UA"/>
        </w:rPr>
      </w:pPr>
      <w:r w:rsidRPr="003F1438">
        <w:rPr>
          <w:lang w:val="ru-RU"/>
        </w:rPr>
        <w:t>3.</w:t>
      </w:r>
      <w:r w:rsidRPr="003F1438">
        <w:rPr>
          <w:lang w:val="ru-RU"/>
        </w:rPr>
        <w:tab/>
      </w:r>
      <w:r w:rsidR="00323968">
        <w:rPr>
          <w:lang w:val="uk-UA"/>
        </w:rPr>
        <w:t>Комітет запросив письмові матеріали у відповідних країн</w:t>
      </w:r>
      <w:r w:rsidR="002B3E99">
        <w:rPr>
          <w:lang w:val="uk-UA"/>
        </w:rPr>
        <w:t xml:space="preserve">, у тому числі тих, які за даними Верховного комісара Організації Об’єднаних Націй у справах біженців прийняли велику кількість українських шукачів притулку. Комітет запросив інформацію </w:t>
      </w:r>
      <w:r w:rsidR="00FC152B">
        <w:rPr>
          <w:lang w:val="uk-UA"/>
        </w:rPr>
        <w:t>в</w:t>
      </w:r>
      <w:r w:rsidR="002B3E99">
        <w:rPr>
          <w:lang w:val="uk-UA"/>
        </w:rPr>
        <w:t xml:space="preserve"> таких Держав-учасниць: </w:t>
      </w:r>
      <w:r w:rsidR="002B3E99" w:rsidRPr="002B3E99">
        <w:rPr>
          <w:lang w:val="uk-UA"/>
        </w:rPr>
        <w:t>Білорусь, Болгарія, Есто</w:t>
      </w:r>
      <w:r w:rsidR="00A6363C">
        <w:rPr>
          <w:lang w:val="uk-UA"/>
        </w:rPr>
        <w:t>н</w:t>
      </w:r>
      <w:r w:rsidR="002B3E99" w:rsidRPr="002B3E99">
        <w:rPr>
          <w:lang w:val="uk-UA"/>
        </w:rPr>
        <w:t>ія, Європейський союз, Італія, Латвія, Литва, Німеччина, Польща, Республіка Молдова, російська федерація, Румунія, Словаччина, Тур</w:t>
      </w:r>
      <w:r w:rsidR="004679E1">
        <w:rPr>
          <w:lang w:val="uk-UA"/>
        </w:rPr>
        <w:t>еччина</w:t>
      </w:r>
      <w:r w:rsidR="002B3E99" w:rsidRPr="002B3E99">
        <w:rPr>
          <w:lang w:val="uk-UA"/>
        </w:rPr>
        <w:t>, Угорщина, Україна, Фінляндія, Чеська Республіка і Швеція</w:t>
      </w:r>
      <w:r w:rsidR="002B3E99">
        <w:rPr>
          <w:lang w:val="uk-UA"/>
        </w:rPr>
        <w:t xml:space="preserve">. </w:t>
      </w:r>
      <w:r w:rsidR="004679E1">
        <w:rPr>
          <w:lang w:val="uk-UA"/>
        </w:rPr>
        <w:t>Було отримано письмові подання від таких</w:t>
      </w:r>
      <w:r w:rsidR="00A6363C">
        <w:rPr>
          <w:lang w:val="uk-UA"/>
        </w:rPr>
        <w:t xml:space="preserve"> учасниць: Білорусь, Болгарія, Італія, Латвія, Литва, Республіка Молдова, Угорщина, Україна і Фінляндія.</w:t>
      </w:r>
    </w:p>
    <w:p w14:paraId="5415FCBF" w14:textId="77777777" w:rsidR="00A8744A" w:rsidRPr="00FC152B" w:rsidRDefault="00CF13C7" w:rsidP="003C3A8C">
      <w:pPr>
        <w:pStyle w:val="SingleTxtG"/>
        <w:ind w:left="720"/>
        <w:rPr>
          <w:lang w:val="uk-UA"/>
        </w:rPr>
      </w:pPr>
      <w:r w:rsidRPr="00FC152B">
        <w:rPr>
          <w:lang w:val="uk-UA"/>
        </w:rPr>
        <w:t>4.</w:t>
      </w:r>
      <w:r w:rsidRPr="00FC152B">
        <w:rPr>
          <w:lang w:val="uk-UA"/>
        </w:rPr>
        <w:tab/>
      </w:r>
      <w:r w:rsidR="00A6363C">
        <w:rPr>
          <w:lang w:val="uk-UA"/>
        </w:rPr>
        <w:t xml:space="preserve">Комітет провів два закриті засідання з українськими організаціями осіб з інвалідністю, організаціями громадянського суспільства і структурами Організації Об’єднаних Націй 15 і 16 серпня 2022 року. </w:t>
      </w:r>
      <w:r w:rsidR="00FC152B">
        <w:rPr>
          <w:lang w:val="uk-UA"/>
        </w:rPr>
        <w:t xml:space="preserve">Комітет </w:t>
      </w:r>
      <w:r w:rsidR="00A6363C">
        <w:rPr>
          <w:lang w:val="uk-UA"/>
        </w:rPr>
        <w:t xml:space="preserve">17 серпня 2022 року провів публічний діалог із Державами-учасницями, які виявили зацікавленість  тому, щоб надати останню оновлену інформацію про ситуацію осіб з інвалідністю, </w:t>
      </w:r>
      <w:r w:rsidR="00FC152B">
        <w:rPr>
          <w:lang w:val="uk-UA"/>
        </w:rPr>
        <w:t>що</w:t>
      </w:r>
      <w:r w:rsidR="00A6363C">
        <w:rPr>
          <w:lang w:val="uk-UA"/>
        </w:rPr>
        <w:t xml:space="preserve"> постраждали від збройного конфлікту. Цими Державами-учасницями були: Європейський союз, Латвія, Литва,  Республіка Молдова, Туреччина та Україна</w:t>
      </w:r>
      <w:r w:rsidR="00FC152B">
        <w:rPr>
          <w:lang w:val="uk-UA"/>
        </w:rPr>
        <w:t>.</w:t>
      </w:r>
    </w:p>
    <w:p w14:paraId="5415FCC0" w14:textId="77777777" w:rsidR="00A8744A" w:rsidRPr="00FC152B" w:rsidRDefault="00481320" w:rsidP="003C3A8C">
      <w:pPr>
        <w:pStyle w:val="SingleTxtG"/>
        <w:ind w:left="720"/>
        <w:rPr>
          <w:lang w:val="uk-UA"/>
        </w:rPr>
      </w:pPr>
      <w:r w:rsidRPr="00A6363C">
        <w:rPr>
          <w:lang w:val="ru-RU"/>
        </w:rPr>
        <w:t>5</w:t>
      </w:r>
      <w:r w:rsidR="00A8744A" w:rsidRPr="00A6363C">
        <w:rPr>
          <w:lang w:val="ru-RU"/>
        </w:rPr>
        <w:t>.</w:t>
      </w:r>
      <w:r w:rsidR="00A8744A" w:rsidRPr="00A6363C">
        <w:rPr>
          <w:lang w:val="ru-RU"/>
        </w:rPr>
        <w:tab/>
      </w:r>
      <w:r w:rsidR="00FC152B">
        <w:rPr>
          <w:lang w:val="uk-UA"/>
        </w:rPr>
        <w:t>Відповідно до статті </w:t>
      </w:r>
      <w:r w:rsidR="00A6363C">
        <w:rPr>
          <w:lang w:val="uk-UA"/>
        </w:rPr>
        <w:t>11 Конвенції про права осіб з інвалідністю «</w:t>
      </w:r>
      <w:r w:rsidR="00927C80" w:rsidRPr="00927C80">
        <w:rPr>
          <w:lang w:val="uk-UA"/>
        </w:rPr>
        <w:t>Держави-учасниці вживають відповідно до своїх зобов’язань за міжнародним правом, в тому числі міжнародним гуманітарним правом і міжнародним правом у галузі прав людини, всіх необхідних заходів для забезпечення захисту і безпеки осіб з інвалідністю в ситуаціях ризику, в тому числі збройних конфліктів, надзвичайних гуманітарних ситуацій і стихійних лих</w:t>
      </w:r>
      <w:r w:rsidR="00927C80">
        <w:rPr>
          <w:lang w:val="uk-UA"/>
        </w:rPr>
        <w:t>»</w:t>
      </w:r>
      <w:r w:rsidR="00927C80" w:rsidRPr="00927C80">
        <w:rPr>
          <w:lang w:val="uk-UA"/>
        </w:rPr>
        <w:t>.</w:t>
      </w:r>
    </w:p>
    <w:p w14:paraId="5415FCC1" w14:textId="77777777" w:rsidR="00A8744A" w:rsidRPr="00FC152B" w:rsidRDefault="00481320" w:rsidP="003C3A8C">
      <w:pPr>
        <w:pStyle w:val="SingleTxtG"/>
        <w:ind w:left="720"/>
        <w:rPr>
          <w:lang w:val="uk-UA"/>
        </w:rPr>
      </w:pPr>
      <w:r w:rsidRPr="00FC152B">
        <w:rPr>
          <w:lang w:val="uk-UA"/>
        </w:rPr>
        <w:t>6</w:t>
      </w:r>
      <w:r w:rsidR="00A8744A" w:rsidRPr="00FC152B">
        <w:rPr>
          <w:lang w:val="uk-UA"/>
        </w:rPr>
        <w:t>.</w:t>
      </w:r>
      <w:r w:rsidR="00A8744A" w:rsidRPr="00FC152B">
        <w:rPr>
          <w:lang w:val="uk-UA"/>
        </w:rPr>
        <w:tab/>
      </w:r>
      <w:r w:rsidR="00927C80">
        <w:rPr>
          <w:lang w:val="uk-UA"/>
        </w:rPr>
        <w:t>Особи з інвалідністю є «особами, які перебувають під захистом» відповідно до Женевської конвенції (</w:t>
      </w:r>
      <w:r w:rsidR="00927C80" w:rsidRPr="009F7B6D">
        <w:t>IV</w:t>
      </w:r>
      <w:r w:rsidR="00927C80">
        <w:rPr>
          <w:lang w:val="uk-UA"/>
        </w:rPr>
        <w:t xml:space="preserve">) про захист цивільного населення під час війни, яку було ратифіковано всіма відповідними Державами-учасницями. </w:t>
      </w:r>
      <w:r w:rsidR="00927C80">
        <w:rPr>
          <w:lang w:val="uk-UA"/>
        </w:rPr>
        <w:lastRenderedPageBreak/>
        <w:t xml:space="preserve">Четверта Женевська конвенція визначає зобов’язання відповідних Держав-учасниць забезпечувати захист і безпеку осіб з інвалідністю, виходячи з принципу </w:t>
      </w:r>
      <w:r w:rsidR="00FC2E08">
        <w:rPr>
          <w:lang w:val="uk-UA"/>
        </w:rPr>
        <w:t xml:space="preserve">відсутності несприятливого розрізнення, який забороняє дискримінацію в поводженні з цивільним населенням та особами, </w:t>
      </w:r>
      <w:r w:rsidR="00FC2E08" w:rsidRPr="00FC152B">
        <w:rPr>
          <w:lang w:val="uk-UA"/>
        </w:rPr>
        <w:t xml:space="preserve">які </w:t>
      </w:r>
      <w:r w:rsidR="00FC2E08" w:rsidRPr="00FC152B">
        <w:rPr>
          <w:i/>
          <w:iCs/>
        </w:rPr>
        <w:t>hors</w:t>
      </w:r>
      <w:r w:rsidR="00FC2E08" w:rsidRPr="00FC152B">
        <w:rPr>
          <w:i/>
          <w:iCs/>
          <w:lang w:val="uk-UA"/>
        </w:rPr>
        <w:t xml:space="preserve"> </w:t>
      </w:r>
      <w:r w:rsidR="00FC2E08" w:rsidRPr="00FC152B">
        <w:rPr>
          <w:i/>
          <w:iCs/>
        </w:rPr>
        <w:t>de</w:t>
      </w:r>
      <w:r w:rsidR="00FC2E08" w:rsidRPr="00FC152B">
        <w:rPr>
          <w:i/>
          <w:iCs/>
          <w:lang w:val="uk-UA"/>
        </w:rPr>
        <w:t xml:space="preserve"> </w:t>
      </w:r>
      <w:r w:rsidR="00FC2E08" w:rsidRPr="00FC152B">
        <w:rPr>
          <w:i/>
          <w:iCs/>
        </w:rPr>
        <w:t>combat</w:t>
      </w:r>
      <w:r w:rsidR="00FC152B">
        <w:rPr>
          <w:i/>
          <w:iCs/>
          <w:lang w:val="uk-UA"/>
        </w:rPr>
        <w:t xml:space="preserve"> </w:t>
      </w:r>
      <w:r w:rsidR="00FC152B">
        <w:rPr>
          <w:iCs/>
          <w:lang w:val="uk-UA"/>
        </w:rPr>
        <w:t>(</w:t>
      </w:r>
      <w:r w:rsidR="00FC152B" w:rsidRPr="00FC152B">
        <w:rPr>
          <w:i/>
          <w:iCs/>
          <w:lang w:val="uk-UA"/>
        </w:rPr>
        <w:t>фр</w:t>
      </w:r>
      <w:r w:rsidR="00FC152B">
        <w:rPr>
          <w:iCs/>
          <w:lang w:val="uk-UA"/>
        </w:rPr>
        <w:t xml:space="preserve">. перестають брати участь у бойових діях – </w:t>
      </w:r>
      <w:r w:rsidR="00FC152B" w:rsidRPr="00FC152B">
        <w:rPr>
          <w:i/>
          <w:iCs/>
          <w:lang w:val="uk-UA"/>
        </w:rPr>
        <w:t>прим. перекл.</w:t>
      </w:r>
      <w:r w:rsidR="00FC152B">
        <w:rPr>
          <w:iCs/>
          <w:lang w:val="uk-UA"/>
        </w:rPr>
        <w:t>)</w:t>
      </w:r>
      <w:r w:rsidR="00FC2E08">
        <w:rPr>
          <w:iCs/>
          <w:lang w:val="uk-UA"/>
        </w:rPr>
        <w:t>, на будь-яких підставах, крім медичних. Відповідно до статті 27, усі сторони конфлікту мають поводитися з особами, які перебувають під захистом, гуманно і захищати їх від будь-яких актів насильства чи загроз. Особи, які перебувають під захистом, мають право, за будь-яких обставин і в будь-який час, на особисту повагу, повагу до своєї честі, права на сім</w:t>
      </w:r>
      <w:r w:rsidR="00FC2E08" w:rsidRPr="00927C80">
        <w:rPr>
          <w:lang w:val="uk-UA"/>
        </w:rPr>
        <w:t>’</w:t>
      </w:r>
      <w:r w:rsidR="00FC2E08">
        <w:rPr>
          <w:iCs/>
          <w:lang w:val="uk-UA"/>
        </w:rPr>
        <w:t xml:space="preserve">ю, своїх релігійних переконань та обрядів, а також своїх </w:t>
      </w:r>
      <w:r w:rsidR="0052785A">
        <w:rPr>
          <w:iCs/>
          <w:lang w:val="uk-UA"/>
        </w:rPr>
        <w:t>звичок і звичаїв. Відповідно до статей 31–34 сторони конфлікту також мають утримуватися від застосування щодо осіб, які перебувають під захистом, примусу, тортур, колективного покарання; їм також забороняється захоплювати їх в заручники.</w:t>
      </w:r>
    </w:p>
    <w:p w14:paraId="5415FCC2" w14:textId="77777777" w:rsidR="00F93ACA" w:rsidRPr="00FD0AC8" w:rsidRDefault="00FD0AC8" w:rsidP="003C3A8C">
      <w:pPr>
        <w:pStyle w:val="SingleTxtG"/>
        <w:ind w:left="720"/>
        <w:rPr>
          <w:b/>
          <w:bCs/>
          <w:lang w:val="uk-UA"/>
        </w:rPr>
      </w:pPr>
      <w:r>
        <w:rPr>
          <w:b/>
          <w:bCs/>
          <w:lang w:val="uk-UA"/>
        </w:rPr>
        <w:t>Позитивні заходи</w:t>
      </w:r>
    </w:p>
    <w:p w14:paraId="5415FCC3" w14:textId="77777777" w:rsidR="00A8744A" w:rsidRPr="00FC152B" w:rsidRDefault="00A61747" w:rsidP="003C3A8C">
      <w:pPr>
        <w:pStyle w:val="SingleTxtG"/>
        <w:ind w:left="720"/>
        <w:rPr>
          <w:lang w:val="uk-UA"/>
        </w:rPr>
      </w:pPr>
      <w:r w:rsidRPr="00FD0AC8">
        <w:rPr>
          <w:lang w:val="ru-RU"/>
        </w:rPr>
        <w:t>7</w:t>
      </w:r>
      <w:r w:rsidR="00A8744A" w:rsidRPr="00FD0AC8">
        <w:rPr>
          <w:lang w:val="ru-RU"/>
        </w:rPr>
        <w:t>.</w:t>
      </w:r>
      <w:r w:rsidR="00A8744A" w:rsidRPr="00FD0AC8">
        <w:rPr>
          <w:lang w:val="ru-RU"/>
        </w:rPr>
        <w:tab/>
      </w:r>
      <w:r w:rsidR="00FD0AC8">
        <w:rPr>
          <w:lang w:val="uk-UA"/>
        </w:rPr>
        <w:t>Комітет вітає низку заходів, вжитих Державами-учасницями для захисту прав осіб з інвалідністю</w:t>
      </w:r>
      <w:r w:rsidR="00FC152B">
        <w:rPr>
          <w:lang w:val="uk-UA"/>
        </w:rPr>
        <w:t xml:space="preserve"> в умовах збройного конфлікту.</w:t>
      </w:r>
    </w:p>
    <w:p w14:paraId="5415FCC4" w14:textId="77777777" w:rsidR="00C44D90" w:rsidRPr="00FC152B" w:rsidRDefault="005727A7" w:rsidP="003C3A8C">
      <w:pPr>
        <w:pStyle w:val="SingleTxtG"/>
        <w:ind w:left="720"/>
        <w:rPr>
          <w:lang w:val="uk-UA"/>
        </w:rPr>
      </w:pPr>
      <w:r w:rsidRPr="00FC152B">
        <w:rPr>
          <w:lang w:val="ru-RU"/>
        </w:rPr>
        <w:tab/>
      </w:r>
      <w:r w:rsidR="009D2DCC" w:rsidRPr="00FC152B">
        <w:rPr>
          <w:lang w:val="ru-RU"/>
        </w:rPr>
        <w:t>(</w:t>
      </w:r>
      <w:r w:rsidR="009D2DCC" w:rsidRPr="005727A7">
        <w:t>a</w:t>
      </w:r>
      <w:r w:rsidR="009D2DCC" w:rsidRPr="00FC152B">
        <w:rPr>
          <w:lang w:val="ru-RU"/>
        </w:rPr>
        <w:t>)</w:t>
      </w:r>
      <w:r w:rsidR="00C44D90" w:rsidRPr="00FC152B">
        <w:rPr>
          <w:lang w:val="ru-RU"/>
        </w:rPr>
        <w:tab/>
      </w:r>
      <w:r w:rsidR="00FD0AC8">
        <w:rPr>
          <w:lang w:val="uk-UA"/>
        </w:rPr>
        <w:t xml:space="preserve">Україна повідомила про здійснені заходи щодо включення осіб з інвалідністю, зокрема дітей з інвалідністю, які проживають в інституційних закладах, до планів евакуації, і </w:t>
      </w:r>
      <w:r w:rsidR="00FC152B">
        <w:rPr>
          <w:lang w:val="uk-UA"/>
        </w:rPr>
        <w:t xml:space="preserve">про </w:t>
      </w:r>
      <w:r w:rsidR="00FD0AC8">
        <w:rPr>
          <w:lang w:val="uk-UA"/>
        </w:rPr>
        <w:t>заходи щодо систематичної реєстрації внутрішньо переміщених осіб з інвалідністю і забезпечення їм достатнього рівня життя, в тому числі шляхом забезпечення їм доступу до програм соціальног</w:t>
      </w:r>
      <w:r w:rsidR="00FC152B">
        <w:rPr>
          <w:lang w:val="uk-UA"/>
        </w:rPr>
        <w:t>о захисту, на період конфлікту;</w:t>
      </w:r>
    </w:p>
    <w:p w14:paraId="5415FCC5" w14:textId="77777777" w:rsidR="00C44D90" w:rsidRPr="00FC152B" w:rsidRDefault="005727A7" w:rsidP="003C3A8C">
      <w:pPr>
        <w:pStyle w:val="SingleTxtG"/>
        <w:ind w:left="720"/>
        <w:rPr>
          <w:lang w:val="uk-UA"/>
        </w:rPr>
      </w:pPr>
      <w:r w:rsidRPr="00FC152B">
        <w:rPr>
          <w:lang w:val="ru-RU"/>
        </w:rPr>
        <w:tab/>
      </w:r>
      <w:r w:rsidR="009D2DCC" w:rsidRPr="00FC152B">
        <w:rPr>
          <w:lang w:val="ru-RU"/>
        </w:rPr>
        <w:t>(</w:t>
      </w:r>
      <w:r w:rsidR="00CB5907">
        <w:t>b</w:t>
      </w:r>
      <w:r w:rsidR="009D2DCC" w:rsidRPr="00FC152B">
        <w:rPr>
          <w:lang w:val="ru-RU"/>
        </w:rPr>
        <w:t>)</w:t>
      </w:r>
      <w:r w:rsidR="00C44D90" w:rsidRPr="00FC152B">
        <w:rPr>
          <w:lang w:val="ru-RU"/>
        </w:rPr>
        <w:tab/>
      </w:r>
      <w:r w:rsidR="00FD0AC8">
        <w:rPr>
          <w:lang w:val="uk-UA"/>
        </w:rPr>
        <w:t xml:space="preserve">Генеральний директорат </w:t>
      </w:r>
      <w:r w:rsidR="00096866">
        <w:rPr>
          <w:lang w:val="uk-UA"/>
        </w:rPr>
        <w:t xml:space="preserve">Європейської комісії з питань європейського цивільного захисту та операцій з надання гуманітарної допомоги коротко поінформував Комітет про вжиті заходи щодо інтеграції питань інвалідності в стратегії надання гуманітарної допомоги і програми, </w:t>
      </w:r>
      <w:r w:rsidR="00FC152B">
        <w:rPr>
          <w:lang w:val="uk-UA"/>
        </w:rPr>
        <w:t>які</w:t>
      </w:r>
      <w:r w:rsidR="00096866">
        <w:rPr>
          <w:lang w:val="uk-UA"/>
        </w:rPr>
        <w:t xml:space="preserve"> здійснюються за фінансування ЄС в Україні і Державах-членах ЄС; щодо сприяння медичній евакуації критично хворих чи поранених громадян України до Держав-членів ЄС в межах механізму цивільного захисту, а також щодо сприяння доступу до допоміжних засобів й обладнання для осіб з інвалідністю;</w:t>
      </w:r>
    </w:p>
    <w:p w14:paraId="5415FCC6" w14:textId="77777777" w:rsidR="009D2DCC" w:rsidRPr="00FC152B" w:rsidRDefault="005727A7" w:rsidP="003C3A8C">
      <w:pPr>
        <w:pStyle w:val="SingleTxtG"/>
        <w:ind w:left="720"/>
        <w:rPr>
          <w:lang w:val="uk-UA"/>
        </w:rPr>
      </w:pPr>
      <w:r w:rsidRPr="00FC152B">
        <w:rPr>
          <w:lang w:val="ru-RU"/>
        </w:rPr>
        <w:tab/>
      </w:r>
      <w:r w:rsidR="00BF4BF2" w:rsidRPr="00FC152B">
        <w:rPr>
          <w:lang w:val="ru-RU"/>
        </w:rPr>
        <w:t>(</w:t>
      </w:r>
      <w:r w:rsidR="00A61747">
        <w:t>c</w:t>
      </w:r>
      <w:r w:rsidR="00A61747" w:rsidRPr="00FC152B">
        <w:rPr>
          <w:lang w:val="ru-RU"/>
        </w:rPr>
        <w:t>)</w:t>
      </w:r>
      <w:r w:rsidR="00BF4BF2" w:rsidRPr="00FC152B">
        <w:rPr>
          <w:lang w:val="ru-RU"/>
        </w:rPr>
        <w:tab/>
      </w:r>
      <w:r w:rsidR="00096866">
        <w:rPr>
          <w:lang w:val="uk-UA"/>
        </w:rPr>
        <w:t>Генеральний директорат Європейського союзу з питань міграції і внутрішніх справ поділився інформацією про вжиті заходи щодо інтеграції питань інвалідності в загальноєвропейську систему надання притулку, зокрема в Директиву про тимчасовий захист, Директиву про процедуру надання притулку, Директиву про умови прийом</w:t>
      </w:r>
      <w:r w:rsidR="00FC152B">
        <w:rPr>
          <w:lang w:val="uk-UA"/>
        </w:rPr>
        <w:t>у і Директиву про кваліфікацію;</w:t>
      </w:r>
    </w:p>
    <w:p w14:paraId="5415FCC7" w14:textId="77777777" w:rsidR="0031704D" w:rsidRPr="003F1438" w:rsidRDefault="005727A7" w:rsidP="003C3A8C">
      <w:pPr>
        <w:pStyle w:val="SingleTxtG"/>
        <w:ind w:left="720"/>
        <w:rPr>
          <w:lang w:val="ru-RU"/>
        </w:rPr>
      </w:pPr>
      <w:r w:rsidRPr="00FC152B">
        <w:rPr>
          <w:lang w:val="ru-RU"/>
        </w:rPr>
        <w:tab/>
      </w:r>
      <w:r w:rsidR="0031704D" w:rsidRPr="00FC152B">
        <w:rPr>
          <w:lang w:val="ru-RU"/>
        </w:rPr>
        <w:t>(</w:t>
      </w:r>
      <w:r w:rsidR="00CB5907">
        <w:t>d</w:t>
      </w:r>
      <w:r w:rsidR="00CB5907" w:rsidRPr="00FC152B">
        <w:rPr>
          <w:lang w:val="ru-RU"/>
        </w:rPr>
        <w:t>)</w:t>
      </w:r>
      <w:r w:rsidR="0031704D" w:rsidRPr="00FC152B">
        <w:rPr>
          <w:lang w:val="ru-RU"/>
        </w:rPr>
        <w:tab/>
      </w:r>
      <w:r w:rsidR="00375A86">
        <w:rPr>
          <w:lang w:val="uk-UA"/>
        </w:rPr>
        <w:t xml:space="preserve">Інші Держави-учасниці повідомили про здійснені заходи щодо забезпечення захисту і безпеки українських осіб з інвалідністю, які шукають міжнародного захисту на їхніх територіях, в тому числі заходи щодо забезпечення </w:t>
      </w:r>
      <w:r w:rsidR="00375A86" w:rsidRPr="002711EC">
        <w:rPr>
          <w:lang w:val="uk-UA"/>
        </w:rPr>
        <w:t>житлом і забезпечення достатнього рівня життя нарівні з громадянами приймаючої країни</w:t>
      </w:r>
      <w:r w:rsidR="00FC152B" w:rsidRPr="002711EC">
        <w:rPr>
          <w:rStyle w:val="FootnoteReference"/>
        </w:rPr>
        <w:footnoteReference w:id="2"/>
      </w:r>
      <w:r w:rsidR="00375A86" w:rsidRPr="002711EC">
        <w:rPr>
          <w:lang w:val="uk-UA"/>
        </w:rPr>
        <w:t>; заходи щодо забезпечення доступних послуг охорони здоров’я і реабілітації з урахуванням культурних особливостей, в тому числі психологічних послуг</w:t>
      </w:r>
      <w:r w:rsidR="00FC152B" w:rsidRPr="002711EC">
        <w:rPr>
          <w:rStyle w:val="FootnoteReference"/>
        </w:rPr>
        <w:footnoteReference w:id="3"/>
      </w:r>
      <w:r w:rsidR="00375A86" w:rsidRPr="002711EC">
        <w:rPr>
          <w:lang w:val="uk-UA"/>
        </w:rPr>
        <w:t>; заходи щодо забезпечення надання або технічного обслуговування і ремонту допоміжних засобів й обладнання</w:t>
      </w:r>
      <w:r w:rsidR="00FC152B" w:rsidRPr="002711EC">
        <w:rPr>
          <w:rStyle w:val="FootnoteReference"/>
        </w:rPr>
        <w:footnoteReference w:id="4"/>
      </w:r>
      <w:r w:rsidR="00375A86" w:rsidRPr="002711EC">
        <w:rPr>
          <w:lang w:val="uk-UA"/>
        </w:rPr>
        <w:t xml:space="preserve">; заходи щодо забезпечення </w:t>
      </w:r>
      <w:r w:rsidR="00FC152B" w:rsidRPr="002711EC">
        <w:rPr>
          <w:lang w:val="uk-UA"/>
        </w:rPr>
        <w:t>самостійного</w:t>
      </w:r>
      <w:r w:rsidR="00375A86" w:rsidRPr="002711EC">
        <w:rPr>
          <w:lang w:val="uk-UA"/>
        </w:rPr>
        <w:t xml:space="preserve"> проживання осіб з інвалідністю і їхньої повноцінної участі в усіх сферах життя приймаючої країни, в тому числі освіти і працевлаштування</w:t>
      </w:r>
      <w:r w:rsidR="00375A86" w:rsidRPr="002711EC">
        <w:rPr>
          <w:rStyle w:val="FootnoteReference"/>
        </w:rPr>
        <w:footnoteReference w:id="5"/>
      </w:r>
      <w:r w:rsidR="00375A86" w:rsidRPr="002711EC">
        <w:rPr>
          <w:lang w:val="uk-UA"/>
        </w:rPr>
        <w:t xml:space="preserve">; заходи щодо зниження ризику експлуатації переміщених осіб з інвалідністю, зокрема </w:t>
      </w:r>
      <w:r w:rsidR="00375A86" w:rsidRPr="002711EC">
        <w:rPr>
          <w:lang w:val="uk-UA"/>
        </w:rPr>
        <w:lastRenderedPageBreak/>
        <w:t>дітей з інвалідністю без супроводу</w:t>
      </w:r>
      <w:r w:rsidR="00375A86" w:rsidRPr="002711EC">
        <w:rPr>
          <w:rStyle w:val="FootnoteReference"/>
        </w:rPr>
        <w:footnoteReference w:id="6"/>
      </w:r>
      <w:r w:rsidR="00375A86" w:rsidRPr="002711EC">
        <w:rPr>
          <w:lang w:val="uk-UA"/>
        </w:rPr>
        <w:t>.</w:t>
      </w:r>
      <w:r w:rsidR="00096866" w:rsidRPr="002711EC">
        <w:rPr>
          <w:lang w:val="uk-UA"/>
        </w:rPr>
        <w:br/>
      </w:r>
    </w:p>
    <w:p w14:paraId="5415FCC8" w14:textId="77777777" w:rsidR="009F18AB" w:rsidRPr="003F1438" w:rsidRDefault="00DC1904" w:rsidP="003C3A8C">
      <w:pPr>
        <w:pStyle w:val="SingleTxtG"/>
        <w:ind w:left="720"/>
        <w:rPr>
          <w:b/>
          <w:bCs/>
          <w:lang w:val="ru-RU"/>
        </w:rPr>
      </w:pPr>
      <w:r w:rsidRPr="00FC152B">
        <w:rPr>
          <w:b/>
          <w:bCs/>
          <w:lang w:val="uk-UA"/>
        </w:rPr>
        <w:t>Відмова від співпраці з Комітетом</w:t>
      </w:r>
    </w:p>
    <w:p w14:paraId="5415FCC9" w14:textId="77777777" w:rsidR="00C63CFF" w:rsidRDefault="00A61747" w:rsidP="003C3A8C">
      <w:pPr>
        <w:pStyle w:val="SingleTxtG"/>
        <w:ind w:left="720"/>
        <w:rPr>
          <w:lang w:val="uk-UA"/>
        </w:rPr>
      </w:pPr>
      <w:r w:rsidRPr="00FC152B">
        <w:rPr>
          <w:lang w:val="ru-RU"/>
        </w:rPr>
        <w:t>8.</w:t>
      </w:r>
      <w:r w:rsidRPr="00FC152B">
        <w:rPr>
          <w:lang w:val="ru-RU"/>
        </w:rPr>
        <w:tab/>
      </w:r>
      <w:r w:rsidR="00DC1904">
        <w:rPr>
          <w:lang w:val="uk-UA"/>
        </w:rPr>
        <w:t>Російська федерація не надала інформацію про ситуацію осіб з інвалідністю на територіях України, що перебува</w:t>
      </w:r>
      <w:r w:rsidR="00FC152B">
        <w:rPr>
          <w:lang w:val="uk-UA"/>
        </w:rPr>
        <w:t>ють</w:t>
      </w:r>
      <w:r w:rsidR="00DC1904">
        <w:rPr>
          <w:lang w:val="uk-UA"/>
        </w:rPr>
        <w:t xml:space="preserve"> під її контролем, і заперечила компетенцію К</w:t>
      </w:r>
      <w:r w:rsidR="00FC152B">
        <w:rPr>
          <w:lang w:val="uk-UA"/>
        </w:rPr>
        <w:t>омітету розглядати цю ситуацію.</w:t>
      </w:r>
    </w:p>
    <w:p w14:paraId="5415FCCA" w14:textId="77777777" w:rsidR="00FC152B" w:rsidRDefault="00FC152B" w:rsidP="003C3A8C">
      <w:pPr>
        <w:pStyle w:val="SingleTxtG"/>
        <w:ind w:left="720"/>
        <w:rPr>
          <w:lang w:val="uk-UA"/>
        </w:rPr>
      </w:pPr>
    </w:p>
    <w:p w14:paraId="5415FCCB" w14:textId="77777777" w:rsidR="00FC152B" w:rsidRPr="00FC152B" w:rsidRDefault="00FC152B" w:rsidP="003C3A8C">
      <w:pPr>
        <w:pStyle w:val="SingleTxtG"/>
        <w:ind w:left="720"/>
        <w:rPr>
          <w:lang w:val="uk-UA"/>
        </w:rPr>
      </w:pPr>
    </w:p>
    <w:p w14:paraId="5415FCCC" w14:textId="77777777" w:rsidR="00F93ACA" w:rsidRPr="00FC152B" w:rsidRDefault="00DC1904" w:rsidP="003C3A8C">
      <w:pPr>
        <w:pStyle w:val="SingleTxtG"/>
        <w:ind w:left="720"/>
        <w:rPr>
          <w:b/>
          <w:bCs/>
          <w:lang w:val="ru-RU"/>
        </w:rPr>
      </w:pPr>
      <w:r w:rsidRPr="00FC152B">
        <w:rPr>
          <w:b/>
          <w:bCs/>
          <w:lang w:val="uk-UA"/>
        </w:rPr>
        <w:t>Правова практика</w:t>
      </w:r>
      <w:r>
        <w:rPr>
          <w:b/>
          <w:bCs/>
          <w:lang w:val="uk-UA"/>
        </w:rPr>
        <w:t xml:space="preserve"> Комітету за статтею 11 Конвенції </w:t>
      </w:r>
    </w:p>
    <w:p w14:paraId="5415FCCD" w14:textId="77777777" w:rsidR="00F67D9E" w:rsidRPr="003F1438" w:rsidRDefault="00F93ACA" w:rsidP="003C3A8C">
      <w:pPr>
        <w:pStyle w:val="SingleTxtG"/>
        <w:ind w:left="720"/>
        <w:rPr>
          <w:lang w:val="ru-RU"/>
        </w:rPr>
      </w:pPr>
      <w:r w:rsidRPr="003F1438">
        <w:rPr>
          <w:lang w:val="ru-RU"/>
        </w:rPr>
        <w:t>9</w:t>
      </w:r>
      <w:r w:rsidR="00843BA2" w:rsidRPr="003F1438">
        <w:rPr>
          <w:lang w:val="ru-RU"/>
        </w:rPr>
        <w:t>.</w:t>
      </w:r>
      <w:r w:rsidR="00843BA2" w:rsidRPr="003F1438">
        <w:rPr>
          <w:lang w:val="ru-RU"/>
        </w:rPr>
        <w:tab/>
      </w:r>
      <w:r w:rsidR="00DC1904">
        <w:rPr>
          <w:lang w:val="uk-UA"/>
        </w:rPr>
        <w:t xml:space="preserve">Відповідно до правової практики Комітету, Держави-учасниці мають, </w:t>
      </w:r>
      <w:r w:rsidR="00DC1904" w:rsidRPr="007355F1">
        <w:rPr>
          <w:i/>
          <w:iCs/>
        </w:rPr>
        <w:t>inter</w:t>
      </w:r>
      <w:r w:rsidR="00DC1904" w:rsidRPr="003F1438">
        <w:rPr>
          <w:i/>
          <w:iCs/>
          <w:lang w:val="ru-RU"/>
        </w:rPr>
        <w:t xml:space="preserve"> </w:t>
      </w:r>
      <w:r w:rsidR="00DC1904" w:rsidRPr="007355F1">
        <w:rPr>
          <w:i/>
          <w:iCs/>
        </w:rPr>
        <w:t>alia</w:t>
      </w:r>
      <w:r w:rsidR="00DC1904">
        <w:rPr>
          <w:lang w:val="uk-UA"/>
        </w:rPr>
        <w:t xml:space="preserve">: </w:t>
      </w:r>
    </w:p>
    <w:p w14:paraId="5415FCCE" w14:textId="77777777" w:rsidR="00F67D9E" w:rsidRPr="002711EC" w:rsidRDefault="00F67D9E" w:rsidP="003C3A8C">
      <w:pPr>
        <w:pStyle w:val="SingleTxtG"/>
        <w:ind w:left="720"/>
        <w:rPr>
          <w:lang w:val="uk-UA"/>
        </w:rPr>
      </w:pPr>
      <w:r w:rsidRPr="003F1438">
        <w:rPr>
          <w:lang w:val="ru-RU"/>
        </w:rPr>
        <w:tab/>
        <w:t>(</w:t>
      </w:r>
      <w:r w:rsidRPr="002711EC">
        <w:t>a</w:t>
      </w:r>
      <w:r w:rsidRPr="003F1438">
        <w:rPr>
          <w:lang w:val="ru-RU"/>
        </w:rPr>
        <w:t>)</w:t>
      </w:r>
      <w:r w:rsidRPr="003F1438">
        <w:rPr>
          <w:lang w:val="ru-RU"/>
        </w:rPr>
        <w:tab/>
      </w:r>
      <w:r w:rsidR="00B131F4" w:rsidRPr="002711EC">
        <w:rPr>
          <w:lang w:val="uk-UA"/>
        </w:rPr>
        <w:t>ухвалити</w:t>
      </w:r>
      <w:r w:rsidR="00DC1904" w:rsidRPr="002711EC">
        <w:rPr>
          <w:lang w:val="uk-UA"/>
        </w:rPr>
        <w:t xml:space="preserve"> чи реформувати національні стратегії реагування </w:t>
      </w:r>
      <w:r w:rsidR="00B131F4" w:rsidRPr="002711EC">
        <w:rPr>
          <w:lang w:val="uk-UA"/>
        </w:rPr>
        <w:t>в</w:t>
      </w:r>
      <w:r w:rsidR="00DC1904" w:rsidRPr="002711EC">
        <w:rPr>
          <w:lang w:val="uk-UA"/>
        </w:rPr>
        <w:t xml:space="preserve"> надзвичайн</w:t>
      </w:r>
      <w:r w:rsidR="00B131F4" w:rsidRPr="002711EC">
        <w:rPr>
          <w:lang w:val="uk-UA"/>
        </w:rPr>
        <w:t>их ситуаціях</w:t>
      </w:r>
      <w:r w:rsidR="00DC1904" w:rsidRPr="002711EC">
        <w:rPr>
          <w:lang w:val="uk-UA"/>
        </w:rPr>
        <w:t xml:space="preserve">, в тому числі плани евакуації, з метою зробити їх інклюзивними і доступними для всіх осіб з інвалідністю на рівні їх </w:t>
      </w:r>
      <w:r w:rsidR="00B131F4" w:rsidRPr="002711EC">
        <w:rPr>
          <w:lang w:val="uk-UA"/>
        </w:rPr>
        <w:t>розроблення</w:t>
      </w:r>
      <w:r w:rsidR="00DC1904" w:rsidRPr="002711EC">
        <w:rPr>
          <w:lang w:val="uk-UA"/>
        </w:rPr>
        <w:t xml:space="preserve"> і впровадження</w:t>
      </w:r>
      <w:r w:rsidR="00DC1904" w:rsidRPr="002711EC">
        <w:rPr>
          <w:rStyle w:val="FootnoteReference"/>
        </w:rPr>
        <w:footnoteReference w:id="7"/>
      </w:r>
      <w:r w:rsidR="00DC1904" w:rsidRPr="002711EC">
        <w:rPr>
          <w:lang w:val="uk-UA"/>
        </w:rPr>
        <w:t>;</w:t>
      </w:r>
    </w:p>
    <w:p w14:paraId="5415FCCF" w14:textId="77777777" w:rsidR="00460870" w:rsidRPr="002711EC" w:rsidRDefault="00460870" w:rsidP="003C3A8C">
      <w:pPr>
        <w:pStyle w:val="SingleTxtG"/>
        <w:ind w:left="720"/>
        <w:rPr>
          <w:lang w:val="uk-UA"/>
        </w:rPr>
      </w:pPr>
      <w:r w:rsidRPr="003F1438">
        <w:rPr>
          <w:lang w:val="ru-RU"/>
        </w:rPr>
        <w:tab/>
        <w:t>(</w:t>
      </w:r>
      <w:r w:rsidRPr="002711EC">
        <w:t>b</w:t>
      </w:r>
      <w:r w:rsidRPr="003F1438">
        <w:rPr>
          <w:lang w:val="ru-RU"/>
        </w:rPr>
        <w:t>)</w:t>
      </w:r>
      <w:r w:rsidRPr="003F1438">
        <w:rPr>
          <w:lang w:val="ru-RU"/>
        </w:rPr>
        <w:tab/>
        <w:t xml:space="preserve"> </w:t>
      </w:r>
      <w:r w:rsidR="00196B23" w:rsidRPr="002711EC">
        <w:rPr>
          <w:lang w:val="uk-UA"/>
        </w:rPr>
        <w:t>забезпечити наявність усієї інформації стосовно надзвичайної ситуації в форматах, доступних для осіб з різними видами порушень, в тому числі для глухих осіб за допомогою жестової мови</w:t>
      </w:r>
      <w:r w:rsidR="00196B23" w:rsidRPr="002711EC">
        <w:rPr>
          <w:rStyle w:val="FootnoteReference"/>
        </w:rPr>
        <w:footnoteReference w:id="8"/>
      </w:r>
      <w:r w:rsidR="00196B23" w:rsidRPr="002711EC">
        <w:rPr>
          <w:lang w:val="uk-UA"/>
        </w:rPr>
        <w:t xml:space="preserve"> і для осіб з психосоціальн</w:t>
      </w:r>
      <w:r w:rsidR="00B131F4" w:rsidRPr="002711EC">
        <w:rPr>
          <w:lang w:val="uk-UA"/>
        </w:rPr>
        <w:t>ою</w:t>
      </w:r>
      <w:r w:rsidR="00196B23" w:rsidRPr="002711EC">
        <w:rPr>
          <w:lang w:val="uk-UA"/>
        </w:rPr>
        <w:t xml:space="preserve"> та/або інтелектуальн</w:t>
      </w:r>
      <w:r w:rsidR="00B131F4" w:rsidRPr="002711EC">
        <w:rPr>
          <w:lang w:val="uk-UA"/>
        </w:rPr>
        <w:t>ою інвалідністю</w:t>
      </w:r>
      <w:r w:rsidR="00196B23" w:rsidRPr="002711EC">
        <w:rPr>
          <w:lang w:val="uk-UA"/>
        </w:rPr>
        <w:t xml:space="preserve"> шляхом використання </w:t>
      </w:r>
      <w:r w:rsidR="00B131F4" w:rsidRPr="002711EC">
        <w:rPr>
          <w:lang w:val="uk-UA"/>
        </w:rPr>
        <w:t>зручної для читання та/або простої мови;</w:t>
      </w:r>
    </w:p>
    <w:p w14:paraId="5415FCD0" w14:textId="77777777" w:rsidR="00196B23" w:rsidRPr="002711EC" w:rsidRDefault="00F67D9E" w:rsidP="003C3A8C">
      <w:pPr>
        <w:pStyle w:val="SingleTxtG"/>
        <w:ind w:left="720"/>
        <w:rPr>
          <w:lang w:val="uk-UA"/>
        </w:rPr>
      </w:pPr>
      <w:r w:rsidRPr="003F1438">
        <w:rPr>
          <w:lang w:val="ru-RU"/>
        </w:rPr>
        <w:tab/>
        <w:t>(</w:t>
      </w:r>
      <w:r w:rsidR="00460870" w:rsidRPr="002711EC">
        <w:t>c</w:t>
      </w:r>
      <w:r w:rsidRPr="003F1438">
        <w:rPr>
          <w:lang w:val="ru-RU"/>
        </w:rPr>
        <w:t>)</w:t>
      </w:r>
      <w:r w:rsidRPr="003F1438">
        <w:rPr>
          <w:lang w:val="ru-RU"/>
        </w:rPr>
        <w:tab/>
      </w:r>
      <w:r w:rsidR="00196B23" w:rsidRPr="002711EC">
        <w:rPr>
          <w:lang w:val="uk-UA"/>
        </w:rPr>
        <w:t xml:space="preserve">забезпечити </w:t>
      </w:r>
      <w:r w:rsidR="00B131F4" w:rsidRPr="002711EC">
        <w:rPr>
          <w:lang w:val="uk-UA"/>
        </w:rPr>
        <w:t>дотримання</w:t>
      </w:r>
      <w:r w:rsidR="00196B23" w:rsidRPr="002711EC">
        <w:rPr>
          <w:lang w:val="uk-UA"/>
        </w:rPr>
        <w:t xml:space="preserve"> принципу недискримінації «в усіх ситуаціях ризику і надзвичайної гуманітарної ситуації, зокрема стосовно рівноправного доступу до базових предметів першої необхідності, таких як вода, санітарія, медична допомога, їжа і при</w:t>
      </w:r>
      <w:r w:rsidR="00AD2438" w:rsidRPr="002711EC">
        <w:rPr>
          <w:lang w:val="uk-UA"/>
        </w:rPr>
        <w:t>хисток</w:t>
      </w:r>
      <w:r w:rsidR="00196B23" w:rsidRPr="002711EC">
        <w:rPr>
          <w:lang w:val="uk-UA"/>
        </w:rPr>
        <w:t>»</w:t>
      </w:r>
      <w:r w:rsidR="00196B23" w:rsidRPr="002711EC">
        <w:rPr>
          <w:rStyle w:val="FootnoteReference"/>
        </w:rPr>
        <w:footnoteReference w:id="9"/>
      </w:r>
      <w:r w:rsidR="00196B23" w:rsidRPr="002711EC">
        <w:rPr>
          <w:lang w:val="uk-UA"/>
        </w:rPr>
        <w:t>;</w:t>
      </w:r>
    </w:p>
    <w:p w14:paraId="5415FCD1" w14:textId="77777777" w:rsidR="00196B23" w:rsidRPr="002711EC" w:rsidRDefault="003F2C5A" w:rsidP="003C3A8C">
      <w:pPr>
        <w:pStyle w:val="SingleTxtG"/>
        <w:ind w:left="720"/>
        <w:rPr>
          <w:lang w:val="uk-UA"/>
        </w:rPr>
      </w:pPr>
      <w:r w:rsidRPr="003F1438">
        <w:rPr>
          <w:lang w:val="ru-RU"/>
        </w:rPr>
        <w:tab/>
        <w:t>(</w:t>
      </w:r>
      <w:r w:rsidR="00460870" w:rsidRPr="002711EC">
        <w:t>d</w:t>
      </w:r>
      <w:r w:rsidR="00460870" w:rsidRPr="003F1438">
        <w:rPr>
          <w:lang w:val="ru-RU"/>
        </w:rPr>
        <w:t>)</w:t>
      </w:r>
      <w:r w:rsidRPr="003F1438">
        <w:rPr>
          <w:lang w:val="ru-RU"/>
        </w:rPr>
        <w:tab/>
      </w:r>
      <w:r w:rsidR="00196B23" w:rsidRPr="002711EC">
        <w:rPr>
          <w:lang w:val="uk-UA"/>
        </w:rPr>
        <w:t xml:space="preserve">забезпечити участь організацій осіб з інвалідністю в стратегіях реагування на надзвичайні ситуації </w:t>
      </w:r>
      <w:r w:rsidR="00B131F4" w:rsidRPr="002711EC">
        <w:rPr>
          <w:lang w:val="uk-UA"/>
        </w:rPr>
        <w:t>із належним врахуванням їхніх</w:t>
      </w:r>
      <w:r w:rsidR="00196B23" w:rsidRPr="002711EC">
        <w:rPr>
          <w:lang w:val="uk-UA"/>
        </w:rPr>
        <w:t xml:space="preserve"> дум</w:t>
      </w:r>
      <w:r w:rsidR="00B131F4" w:rsidRPr="002711EC">
        <w:rPr>
          <w:lang w:val="uk-UA"/>
        </w:rPr>
        <w:t>ок</w:t>
      </w:r>
      <w:r w:rsidR="00196B23" w:rsidRPr="002711EC">
        <w:rPr>
          <w:lang w:val="uk-UA"/>
        </w:rPr>
        <w:t xml:space="preserve"> і рекомендаці</w:t>
      </w:r>
      <w:r w:rsidR="00B131F4" w:rsidRPr="002711EC">
        <w:rPr>
          <w:lang w:val="uk-UA"/>
        </w:rPr>
        <w:t>й</w:t>
      </w:r>
      <w:r w:rsidR="00196B23" w:rsidRPr="002711EC">
        <w:rPr>
          <w:lang w:val="uk-UA"/>
        </w:rPr>
        <w:t xml:space="preserve">, в тому числі </w:t>
      </w:r>
      <w:r w:rsidR="00B131F4" w:rsidRPr="002711EC">
        <w:rPr>
          <w:lang w:val="uk-UA"/>
        </w:rPr>
        <w:t>у</w:t>
      </w:r>
      <w:r w:rsidR="00196B23" w:rsidRPr="002711EC">
        <w:rPr>
          <w:lang w:val="uk-UA"/>
        </w:rPr>
        <w:t xml:space="preserve"> визначенні порядку пріоритетності </w:t>
      </w:r>
      <w:r w:rsidR="00B131F4" w:rsidRPr="002711EC">
        <w:rPr>
          <w:lang w:val="uk-UA"/>
        </w:rPr>
        <w:t>в питанні</w:t>
      </w:r>
      <w:r w:rsidR="00196B23" w:rsidRPr="002711EC">
        <w:rPr>
          <w:lang w:val="uk-UA"/>
        </w:rPr>
        <w:t xml:space="preserve"> евакуації і розподіл</w:t>
      </w:r>
      <w:r w:rsidR="00B131F4" w:rsidRPr="002711EC">
        <w:rPr>
          <w:lang w:val="uk-UA"/>
        </w:rPr>
        <w:t>і</w:t>
      </w:r>
      <w:r w:rsidR="00196B23" w:rsidRPr="002711EC">
        <w:rPr>
          <w:lang w:val="uk-UA"/>
        </w:rPr>
        <w:t xml:space="preserve"> допомоги</w:t>
      </w:r>
      <w:r w:rsidR="00196B23" w:rsidRPr="002711EC">
        <w:rPr>
          <w:rStyle w:val="FootnoteReference"/>
        </w:rPr>
        <w:footnoteReference w:id="10"/>
      </w:r>
      <w:r w:rsidR="00196B23" w:rsidRPr="002711EC">
        <w:rPr>
          <w:lang w:val="uk-UA"/>
        </w:rPr>
        <w:t>;</w:t>
      </w:r>
    </w:p>
    <w:p w14:paraId="5415FCD2" w14:textId="77777777" w:rsidR="00196B23" w:rsidRPr="002711EC" w:rsidRDefault="007355F1" w:rsidP="003C3A8C">
      <w:pPr>
        <w:pStyle w:val="SingleTxtG"/>
        <w:ind w:left="720"/>
        <w:rPr>
          <w:lang w:val="uk-UA"/>
        </w:rPr>
      </w:pPr>
      <w:r w:rsidRPr="003F1438">
        <w:rPr>
          <w:lang w:val="ru-RU"/>
        </w:rPr>
        <w:tab/>
      </w:r>
      <w:r w:rsidR="001B5126" w:rsidRPr="003F1438">
        <w:rPr>
          <w:lang w:val="ru-RU"/>
        </w:rPr>
        <w:t>(</w:t>
      </w:r>
      <w:r w:rsidR="00B22557">
        <w:t>e</w:t>
      </w:r>
      <w:r w:rsidR="001B5126" w:rsidRPr="003F1438">
        <w:rPr>
          <w:lang w:val="ru-RU"/>
        </w:rPr>
        <w:t>)</w:t>
      </w:r>
      <w:r w:rsidRPr="003F1438">
        <w:rPr>
          <w:lang w:val="ru-RU"/>
        </w:rPr>
        <w:tab/>
      </w:r>
      <w:r w:rsidR="00196B23">
        <w:rPr>
          <w:lang w:val="uk-UA"/>
        </w:rPr>
        <w:t>інтегрувати питання інвалідності в політику міграції і роботи з біженцями та в діяльність усіх каналів надання гуманітарної допомоги</w:t>
      </w:r>
      <w:r w:rsidR="00BA4BAC">
        <w:rPr>
          <w:lang w:val="uk-UA"/>
        </w:rPr>
        <w:t xml:space="preserve">, а також </w:t>
      </w:r>
      <w:r w:rsidR="00B131F4">
        <w:rPr>
          <w:lang w:val="uk-UA"/>
        </w:rPr>
        <w:t>проводити</w:t>
      </w:r>
      <w:r w:rsidR="00BA4BAC">
        <w:rPr>
          <w:lang w:val="uk-UA"/>
        </w:rPr>
        <w:t xml:space="preserve"> навчальн</w:t>
      </w:r>
      <w:r w:rsidR="00B131F4">
        <w:rPr>
          <w:lang w:val="uk-UA"/>
        </w:rPr>
        <w:t>у</w:t>
      </w:r>
      <w:r w:rsidR="00BA4BAC">
        <w:rPr>
          <w:lang w:val="uk-UA"/>
        </w:rPr>
        <w:t xml:space="preserve"> підготовк</w:t>
      </w:r>
      <w:r w:rsidR="00B131F4">
        <w:rPr>
          <w:lang w:val="uk-UA"/>
        </w:rPr>
        <w:t>у</w:t>
      </w:r>
      <w:r w:rsidR="00BA4BAC">
        <w:rPr>
          <w:lang w:val="uk-UA"/>
        </w:rPr>
        <w:t xml:space="preserve"> </w:t>
      </w:r>
      <w:r w:rsidR="00BA4BAC" w:rsidRPr="002711EC">
        <w:rPr>
          <w:lang w:val="uk-UA"/>
        </w:rPr>
        <w:t>для підвищення поінформованості з питань інвалідності для всіх працівників цивільного захисту, персоналу служб порятунку та екстреного реагування, а також всіх потенційних суб’єктів, залучених до роботи в умовах надзвичайних гуманітарних ситуацій</w:t>
      </w:r>
      <w:r w:rsidR="00BA4BAC" w:rsidRPr="002711EC">
        <w:rPr>
          <w:rStyle w:val="FootnoteReference"/>
        </w:rPr>
        <w:footnoteReference w:id="11"/>
      </w:r>
      <w:r w:rsidR="00BA4BAC" w:rsidRPr="002711EC">
        <w:rPr>
          <w:lang w:val="uk-UA"/>
        </w:rPr>
        <w:t>;</w:t>
      </w:r>
    </w:p>
    <w:p w14:paraId="5415FCD3" w14:textId="77777777" w:rsidR="008C2C75" w:rsidRPr="002711EC" w:rsidRDefault="008C2C75" w:rsidP="003C3A8C">
      <w:pPr>
        <w:pStyle w:val="SingleTxtG"/>
        <w:ind w:left="720"/>
        <w:rPr>
          <w:lang w:val="uk-UA"/>
        </w:rPr>
      </w:pPr>
      <w:r w:rsidRPr="003F1438">
        <w:rPr>
          <w:lang w:val="ru-RU"/>
        </w:rPr>
        <w:tab/>
        <w:t>(</w:t>
      </w:r>
      <w:r w:rsidR="00B22557" w:rsidRPr="002711EC">
        <w:t>f</w:t>
      </w:r>
      <w:r w:rsidRPr="003F1438">
        <w:rPr>
          <w:lang w:val="ru-RU"/>
        </w:rPr>
        <w:t>)</w:t>
      </w:r>
      <w:r w:rsidRPr="003F1438">
        <w:rPr>
          <w:lang w:val="ru-RU"/>
        </w:rPr>
        <w:tab/>
      </w:r>
      <w:r w:rsidR="00B131F4" w:rsidRPr="002711EC">
        <w:rPr>
          <w:lang w:val="uk-UA"/>
        </w:rPr>
        <w:t>з</w:t>
      </w:r>
      <w:r w:rsidR="00BA4BAC" w:rsidRPr="002711EC">
        <w:rPr>
          <w:lang w:val="uk-UA"/>
        </w:rPr>
        <w:t>абезпечити і приділяти пріоритетну увагу безпеці всіх дітей з інвалідністю в районах, що постраждали від конфлікту, зокрема тих, які досі проживають у закладах інтернатного типу</w:t>
      </w:r>
      <w:r w:rsidR="00BA4BAC" w:rsidRPr="002711EC">
        <w:rPr>
          <w:rStyle w:val="FootnoteReference"/>
        </w:rPr>
        <w:footnoteReference w:id="12"/>
      </w:r>
      <w:r w:rsidR="00BA4BAC" w:rsidRPr="002711EC">
        <w:rPr>
          <w:lang w:val="uk-UA"/>
        </w:rPr>
        <w:t>;</w:t>
      </w:r>
    </w:p>
    <w:p w14:paraId="5415FCD4" w14:textId="77777777" w:rsidR="003C3A8C" w:rsidRPr="003F1438" w:rsidRDefault="00DF7030" w:rsidP="003C3A8C">
      <w:pPr>
        <w:pStyle w:val="SingleTxtG"/>
        <w:ind w:left="720"/>
        <w:rPr>
          <w:lang w:val="ru-RU"/>
        </w:rPr>
      </w:pPr>
      <w:r w:rsidRPr="003F1438">
        <w:rPr>
          <w:lang w:val="ru-RU"/>
        </w:rPr>
        <w:tab/>
        <w:t>(</w:t>
      </w:r>
      <w:r w:rsidR="00B22557" w:rsidRPr="002711EC">
        <w:t>g</w:t>
      </w:r>
      <w:r w:rsidRPr="003F1438">
        <w:rPr>
          <w:lang w:val="ru-RU"/>
        </w:rPr>
        <w:t>)</w:t>
      </w:r>
      <w:r w:rsidRPr="003F1438">
        <w:rPr>
          <w:lang w:val="ru-RU"/>
        </w:rPr>
        <w:tab/>
      </w:r>
      <w:r w:rsidR="00BA4BAC" w:rsidRPr="002711EC">
        <w:rPr>
          <w:lang w:val="uk-UA"/>
        </w:rPr>
        <w:t>здійснювати систематичну реєстрацію внутрішньо переміщених осіб з інвалідністю</w:t>
      </w:r>
      <w:r w:rsidR="00BA4BAC" w:rsidRPr="002711EC">
        <w:rPr>
          <w:rStyle w:val="FootnoteReference"/>
        </w:rPr>
        <w:footnoteReference w:id="13"/>
      </w:r>
      <w:r w:rsidR="00BA4BAC" w:rsidRPr="002711EC">
        <w:rPr>
          <w:lang w:val="uk-UA"/>
        </w:rPr>
        <w:t xml:space="preserve"> і відстежувати їх ситуацію з метою забезпечувати достатній рівень життя</w:t>
      </w:r>
      <w:r w:rsidR="00BA4BAC" w:rsidRPr="002711EC">
        <w:rPr>
          <w:rStyle w:val="FootnoteReference"/>
        </w:rPr>
        <w:footnoteReference w:id="14"/>
      </w:r>
      <w:r w:rsidR="00BA4BAC" w:rsidRPr="002711EC">
        <w:rPr>
          <w:lang w:val="uk-UA"/>
        </w:rPr>
        <w:t xml:space="preserve">. </w:t>
      </w:r>
    </w:p>
    <w:p w14:paraId="5415FCD5" w14:textId="77777777" w:rsidR="00F93ACA" w:rsidRPr="0007549F" w:rsidRDefault="00BA4BAC" w:rsidP="003C3A8C">
      <w:pPr>
        <w:pStyle w:val="SingleTxtG"/>
        <w:ind w:left="720"/>
        <w:rPr>
          <w:b/>
          <w:bCs/>
          <w:lang w:val="ru-RU"/>
        </w:rPr>
      </w:pPr>
      <w:r>
        <w:rPr>
          <w:b/>
          <w:bCs/>
          <w:lang w:val="uk-UA"/>
        </w:rPr>
        <w:t>Занепокоєння і рекомендації</w:t>
      </w:r>
    </w:p>
    <w:p w14:paraId="5415FCD6" w14:textId="77777777" w:rsidR="00F93ACA" w:rsidRPr="00B131F4" w:rsidRDefault="00F93ACA" w:rsidP="00F93ACA">
      <w:pPr>
        <w:pStyle w:val="SingleTxtG"/>
        <w:ind w:left="720"/>
        <w:rPr>
          <w:lang w:val="uk-UA"/>
        </w:rPr>
      </w:pPr>
      <w:r w:rsidRPr="0007549F">
        <w:rPr>
          <w:lang w:val="ru-RU"/>
        </w:rPr>
        <w:lastRenderedPageBreak/>
        <w:t>10.</w:t>
      </w:r>
      <w:r w:rsidRPr="0007549F">
        <w:rPr>
          <w:lang w:val="ru-RU"/>
        </w:rPr>
        <w:tab/>
      </w:r>
      <w:r w:rsidR="00B131F4">
        <w:rPr>
          <w:lang w:val="uk-UA"/>
        </w:rPr>
        <w:t>За підсумками консультацій</w:t>
      </w:r>
      <w:r w:rsidR="00BF1BBC">
        <w:rPr>
          <w:lang w:val="uk-UA"/>
        </w:rPr>
        <w:t xml:space="preserve"> з Державами-учасницями та іншими зацікавленими сторонами, в тому числі організаціями осіб з інвалідністю, організаціями громадянського суспільства і структурами Організації Об’єднаних Націй, Комітет наводить перелік занепокоєнь і формулює низку попередніх рекомендаці</w:t>
      </w:r>
      <w:r w:rsidR="00B131F4">
        <w:rPr>
          <w:lang w:val="uk-UA"/>
        </w:rPr>
        <w:t>й стосовно осіб з інвалідністю:</w:t>
      </w:r>
    </w:p>
    <w:p w14:paraId="5415FCD7" w14:textId="77777777" w:rsidR="00F93ACA" w:rsidRPr="00B131F4" w:rsidRDefault="00F93ACA" w:rsidP="00F93ACA">
      <w:pPr>
        <w:pStyle w:val="SingleTxtG"/>
        <w:ind w:left="720"/>
        <w:rPr>
          <w:lang w:val="uk-UA"/>
        </w:rPr>
      </w:pPr>
      <w:r w:rsidRPr="0007549F">
        <w:rPr>
          <w:lang w:val="ru-RU"/>
        </w:rPr>
        <w:tab/>
      </w:r>
      <w:r w:rsidRPr="00B131F4">
        <w:rPr>
          <w:lang w:val="ru-RU"/>
        </w:rPr>
        <w:t>(</w:t>
      </w:r>
      <w:r w:rsidRPr="00F93ACA">
        <w:t>a</w:t>
      </w:r>
      <w:r w:rsidRPr="00B131F4">
        <w:rPr>
          <w:lang w:val="ru-RU"/>
        </w:rPr>
        <w:t>)</w:t>
      </w:r>
      <w:r w:rsidRPr="00B131F4">
        <w:rPr>
          <w:lang w:val="ru-RU"/>
        </w:rPr>
        <w:tab/>
      </w:r>
      <w:r w:rsidR="00BF1BBC">
        <w:rPr>
          <w:lang w:val="uk-UA"/>
        </w:rPr>
        <w:t>які проживають на терито</w:t>
      </w:r>
      <w:r w:rsidR="00B131F4">
        <w:rPr>
          <w:lang w:val="uk-UA"/>
        </w:rPr>
        <w:t>рії та під юрисдикцією України;</w:t>
      </w:r>
    </w:p>
    <w:p w14:paraId="5415FCD8" w14:textId="77777777" w:rsidR="00F93ACA" w:rsidRPr="00B131F4" w:rsidRDefault="00F93ACA" w:rsidP="00F93ACA">
      <w:pPr>
        <w:pStyle w:val="SingleTxtG"/>
        <w:ind w:left="720"/>
        <w:rPr>
          <w:lang w:val="ru-RU"/>
        </w:rPr>
      </w:pPr>
      <w:r w:rsidRPr="00B131F4">
        <w:rPr>
          <w:lang w:val="ru-RU"/>
        </w:rPr>
        <w:tab/>
        <w:t>(</w:t>
      </w:r>
      <w:r w:rsidRPr="00F93ACA">
        <w:t>b</w:t>
      </w:r>
      <w:r w:rsidRPr="00B131F4">
        <w:rPr>
          <w:lang w:val="ru-RU"/>
        </w:rPr>
        <w:t>)</w:t>
      </w:r>
      <w:r w:rsidRPr="00B131F4">
        <w:rPr>
          <w:lang w:val="ru-RU"/>
        </w:rPr>
        <w:tab/>
      </w:r>
      <w:r w:rsidR="00BF1BBC">
        <w:rPr>
          <w:lang w:val="uk-UA"/>
        </w:rPr>
        <w:t>які проживають на території України, окупованій російською федерацією;</w:t>
      </w:r>
    </w:p>
    <w:p w14:paraId="5415FCD9" w14:textId="77777777" w:rsidR="00F93ACA" w:rsidRPr="00B131F4" w:rsidRDefault="00F93ACA" w:rsidP="00F93ACA">
      <w:pPr>
        <w:pStyle w:val="SingleTxtG"/>
        <w:ind w:left="720"/>
        <w:rPr>
          <w:lang w:val="uk-UA"/>
        </w:rPr>
      </w:pPr>
      <w:r w:rsidRPr="00B131F4">
        <w:rPr>
          <w:lang w:val="ru-RU"/>
        </w:rPr>
        <w:tab/>
        <w:t>(</w:t>
      </w:r>
      <w:r w:rsidRPr="00F93ACA">
        <w:t>c</w:t>
      </w:r>
      <w:r w:rsidRPr="00B131F4">
        <w:rPr>
          <w:lang w:val="ru-RU"/>
        </w:rPr>
        <w:t>)</w:t>
      </w:r>
      <w:r w:rsidRPr="00B131F4">
        <w:rPr>
          <w:lang w:val="ru-RU"/>
        </w:rPr>
        <w:tab/>
      </w:r>
      <w:r w:rsidR="00BF1BBC">
        <w:rPr>
          <w:lang w:val="uk-UA"/>
        </w:rPr>
        <w:t>які були примусово пере</w:t>
      </w:r>
      <w:r w:rsidR="00B131F4">
        <w:rPr>
          <w:lang w:val="uk-UA"/>
        </w:rPr>
        <w:t>везені до російської федерації;</w:t>
      </w:r>
    </w:p>
    <w:p w14:paraId="5415FCDA" w14:textId="77777777" w:rsidR="00DE51C4" w:rsidRPr="00B131F4" w:rsidRDefault="00FC33B0" w:rsidP="00DE51C4">
      <w:pPr>
        <w:pStyle w:val="SingleTxtG"/>
        <w:ind w:left="720"/>
        <w:rPr>
          <w:lang w:val="uk-UA"/>
        </w:rPr>
      </w:pPr>
      <w:r w:rsidRPr="00B131F4">
        <w:rPr>
          <w:lang w:val="ru-RU"/>
        </w:rPr>
        <w:tab/>
      </w:r>
      <w:r w:rsidR="00DE51C4" w:rsidRPr="00B131F4">
        <w:rPr>
          <w:color w:val="000000" w:themeColor="text1"/>
          <w:lang w:val="ru-RU"/>
        </w:rPr>
        <w:t>(</w:t>
      </w:r>
      <w:r w:rsidR="00DE51C4" w:rsidRPr="00FC33B0">
        <w:rPr>
          <w:color w:val="000000" w:themeColor="text1"/>
        </w:rPr>
        <w:t>d</w:t>
      </w:r>
      <w:r w:rsidR="00DE51C4" w:rsidRPr="00B131F4">
        <w:rPr>
          <w:color w:val="000000" w:themeColor="text1"/>
          <w:lang w:val="ru-RU"/>
        </w:rPr>
        <w:t>)</w:t>
      </w:r>
      <w:r w:rsidRPr="00B131F4">
        <w:rPr>
          <w:color w:val="000000" w:themeColor="text1"/>
          <w:lang w:val="ru-RU"/>
        </w:rPr>
        <w:tab/>
      </w:r>
      <w:r w:rsidR="00BF1BBC">
        <w:rPr>
          <w:color w:val="000000" w:themeColor="text1"/>
          <w:lang w:val="uk-UA"/>
        </w:rPr>
        <w:t>які перебувають у країнах, куди вони виїхали в пошуках міжнародного захисту.</w:t>
      </w:r>
    </w:p>
    <w:p w14:paraId="5415FCDB" w14:textId="77777777" w:rsidR="00BF1BBC" w:rsidRDefault="00BF1BBC" w:rsidP="00F93ACA">
      <w:pPr>
        <w:pStyle w:val="SingleTxtG"/>
        <w:ind w:left="720"/>
        <w:rPr>
          <w:lang w:val="uk-UA"/>
        </w:rPr>
      </w:pPr>
      <w:r>
        <w:rPr>
          <w:lang w:val="uk-UA"/>
        </w:rPr>
        <w:t xml:space="preserve">Ці рекомендації адресовані </w:t>
      </w:r>
      <w:r w:rsidRPr="00BF1BBC">
        <w:rPr>
          <w:i/>
          <w:lang w:val="uk-UA"/>
        </w:rPr>
        <w:t>всім відповідним сторонам</w:t>
      </w:r>
      <w:r>
        <w:rPr>
          <w:lang w:val="uk-UA"/>
        </w:rPr>
        <w:t xml:space="preserve">, а саме Україні; російській федерації щодо осіб з інвалідністю, які проживають на українських територіях, що перебувають під її окупацією; і зазначеним вище Державам-учасницям, до яких виїхали особи з інвалідністю в пошуках міжнародного захисту. Деякі рекомендації стосуються тільки України або російської федерації щодо осіб з інвалідністю, які проживають на українських територіях, </w:t>
      </w:r>
      <w:r w:rsidR="00B131F4">
        <w:rPr>
          <w:lang w:val="uk-UA"/>
        </w:rPr>
        <w:t>що</w:t>
      </w:r>
      <w:r>
        <w:rPr>
          <w:lang w:val="uk-UA"/>
        </w:rPr>
        <w:t xml:space="preserve"> перебувають під її окупацією.</w:t>
      </w:r>
    </w:p>
    <w:p w14:paraId="5415FCDC" w14:textId="77777777" w:rsidR="00BF1BBC" w:rsidRPr="00BF1BBC" w:rsidRDefault="003016D0" w:rsidP="00F93ACA">
      <w:pPr>
        <w:pStyle w:val="SingleTxtG"/>
        <w:ind w:left="720"/>
        <w:rPr>
          <w:lang w:val="uk-UA"/>
        </w:rPr>
      </w:pPr>
      <w:r w:rsidRPr="00B131F4">
        <w:rPr>
          <w:lang w:val="uk-UA"/>
        </w:rPr>
        <w:t>11.</w:t>
      </w:r>
      <w:r w:rsidRPr="00B131F4">
        <w:rPr>
          <w:lang w:val="uk-UA"/>
        </w:rPr>
        <w:tab/>
      </w:r>
      <w:r w:rsidR="00BF1BBC">
        <w:rPr>
          <w:lang w:val="uk-UA"/>
        </w:rPr>
        <w:t xml:space="preserve">Комітет глибоко занепокоєний непропорційним ризиком смерті чи травмування, якому піддаються особи з інвалідністю, внаслідок невибіркових нападів проти цивільного населення у зв’язку з не-інклюзивними і недоступними протоколами готовності </w:t>
      </w:r>
      <w:r w:rsidR="00C90752">
        <w:rPr>
          <w:lang w:val="uk-UA"/>
        </w:rPr>
        <w:t>до надзвичайних ситуацій і реагування на них</w:t>
      </w:r>
      <w:r w:rsidR="00BF1BBC">
        <w:rPr>
          <w:lang w:val="uk-UA"/>
        </w:rPr>
        <w:t>.</w:t>
      </w:r>
    </w:p>
    <w:p w14:paraId="5415FCDD" w14:textId="77777777" w:rsidR="001C0BCC" w:rsidRPr="00B131F4" w:rsidRDefault="001C0BCC" w:rsidP="00F93ACA">
      <w:pPr>
        <w:pStyle w:val="SingleTxtG"/>
        <w:ind w:left="720"/>
        <w:rPr>
          <w:b/>
          <w:bCs/>
          <w:lang w:val="uk-UA"/>
        </w:rPr>
      </w:pPr>
      <w:r w:rsidRPr="00B131F4">
        <w:rPr>
          <w:b/>
          <w:bCs/>
          <w:lang w:val="uk-UA"/>
        </w:rPr>
        <w:t>12.</w:t>
      </w:r>
      <w:r w:rsidRPr="00B131F4">
        <w:rPr>
          <w:b/>
          <w:bCs/>
          <w:lang w:val="uk-UA"/>
        </w:rPr>
        <w:tab/>
      </w:r>
      <w:r w:rsidR="00C90752">
        <w:rPr>
          <w:b/>
          <w:bCs/>
          <w:lang w:val="uk-UA"/>
        </w:rPr>
        <w:t xml:space="preserve">Комітет </w:t>
      </w:r>
      <w:r w:rsidR="00B131F4">
        <w:rPr>
          <w:b/>
          <w:bCs/>
          <w:lang w:val="uk-UA"/>
        </w:rPr>
        <w:t xml:space="preserve">настійно </w:t>
      </w:r>
      <w:r w:rsidR="00C90752">
        <w:rPr>
          <w:b/>
          <w:bCs/>
          <w:lang w:val="uk-UA"/>
        </w:rPr>
        <w:t>закликає відповідні Держави-учасниці реформувати пла</w:t>
      </w:r>
      <w:r w:rsidR="00B131F4">
        <w:rPr>
          <w:b/>
          <w:bCs/>
          <w:lang w:val="uk-UA"/>
        </w:rPr>
        <w:t>н</w:t>
      </w:r>
      <w:r w:rsidR="00C90752">
        <w:rPr>
          <w:b/>
          <w:bCs/>
          <w:lang w:val="uk-UA"/>
        </w:rPr>
        <w:t xml:space="preserve">и і протоколи готовності до надзвичайних ситуацій у консультаціях з організаціями осіб з інвалідністю з метою зробити їх інклюзивними і доступними </w:t>
      </w:r>
      <w:r w:rsidR="00B131F4">
        <w:rPr>
          <w:b/>
          <w:bCs/>
          <w:lang w:val="uk-UA"/>
        </w:rPr>
        <w:t>д</w:t>
      </w:r>
      <w:r w:rsidR="00C90752">
        <w:rPr>
          <w:b/>
          <w:bCs/>
          <w:lang w:val="uk-UA"/>
        </w:rPr>
        <w:t xml:space="preserve">ля осіб з інвалідністю на рівні їх </w:t>
      </w:r>
      <w:r w:rsidR="00B131F4">
        <w:rPr>
          <w:b/>
          <w:bCs/>
          <w:lang w:val="uk-UA"/>
        </w:rPr>
        <w:t>розроблення і впровадження.</w:t>
      </w:r>
    </w:p>
    <w:p w14:paraId="5415FCDE" w14:textId="77777777" w:rsidR="00C90752" w:rsidRPr="00C90752" w:rsidRDefault="00843BA2" w:rsidP="003C3A8C">
      <w:pPr>
        <w:pStyle w:val="SingleTxtG"/>
        <w:ind w:left="720"/>
        <w:rPr>
          <w:lang w:val="uk-UA"/>
        </w:rPr>
      </w:pPr>
      <w:r w:rsidRPr="00B131F4">
        <w:rPr>
          <w:lang w:val="uk-UA"/>
        </w:rPr>
        <w:t>1</w:t>
      </w:r>
      <w:r w:rsidR="00F05FBB" w:rsidRPr="00B131F4">
        <w:rPr>
          <w:lang w:val="uk-UA"/>
        </w:rPr>
        <w:t>3</w:t>
      </w:r>
      <w:r w:rsidR="00A8744A" w:rsidRPr="00B131F4">
        <w:rPr>
          <w:lang w:val="uk-UA"/>
        </w:rPr>
        <w:t>.</w:t>
      </w:r>
      <w:r w:rsidR="00A8744A" w:rsidRPr="00B131F4">
        <w:rPr>
          <w:lang w:val="uk-UA"/>
        </w:rPr>
        <w:tab/>
      </w:r>
      <w:r w:rsidR="00C90752">
        <w:rPr>
          <w:lang w:val="uk-UA"/>
        </w:rPr>
        <w:t>Комітет із занепокоєнням відзначає брак залучення і значимої участі осіб з інвалідністю в заходах готовності до надзвичайних ситуацій і реагування на них, в тому числі у визначенні порядку пріоритетності для стратегій евакуації і розподілу допомоги.</w:t>
      </w:r>
    </w:p>
    <w:p w14:paraId="5415FCDF" w14:textId="77777777" w:rsidR="00C90752" w:rsidRPr="00C90752" w:rsidRDefault="005754FC" w:rsidP="00C90752">
      <w:pPr>
        <w:pStyle w:val="SingleTxtG"/>
        <w:ind w:left="720"/>
        <w:rPr>
          <w:b/>
          <w:bCs/>
          <w:lang w:val="uk-UA"/>
        </w:rPr>
      </w:pPr>
      <w:r w:rsidRPr="00B131F4">
        <w:rPr>
          <w:b/>
          <w:bCs/>
          <w:lang w:val="uk-UA"/>
        </w:rPr>
        <w:t>1</w:t>
      </w:r>
      <w:r w:rsidR="00F05FBB" w:rsidRPr="00B131F4">
        <w:rPr>
          <w:b/>
          <w:bCs/>
          <w:lang w:val="uk-UA"/>
        </w:rPr>
        <w:t>4</w:t>
      </w:r>
      <w:r w:rsidR="00A8744A" w:rsidRPr="00B131F4">
        <w:rPr>
          <w:b/>
          <w:bCs/>
          <w:lang w:val="uk-UA"/>
        </w:rPr>
        <w:t>.</w:t>
      </w:r>
      <w:r w:rsidR="00A8744A" w:rsidRPr="00B131F4">
        <w:rPr>
          <w:b/>
          <w:bCs/>
          <w:lang w:val="uk-UA"/>
        </w:rPr>
        <w:tab/>
      </w:r>
      <w:r w:rsidR="00C90752">
        <w:rPr>
          <w:b/>
          <w:bCs/>
          <w:lang w:val="uk-UA"/>
        </w:rPr>
        <w:t>Комітет рекомендує всім відповідним Державам-учасницям і гуманітарним суб’єктам забезпечити активну участь осіб з інвалідністю і їхніх представницьких організацій, в тому числі організацій жінок і дітей з інвалідністю, координацію і значимі консультації з ними.</w:t>
      </w:r>
    </w:p>
    <w:p w14:paraId="5415FCE0" w14:textId="77777777" w:rsidR="00C90752" w:rsidRPr="00C90752" w:rsidRDefault="00276848" w:rsidP="003C3A8C">
      <w:pPr>
        <w:pStyle w:val="SingleTxtG"/>
        <w:ind w:left="720"/>
        <w:rPr>
          <w:lang w:val="uk-UA"/>
        </w:rPr>
      </w:pPr>
      <w:r w:rsidRPr="00C90752">
        <w:rPr>
          <w:lang w:val="ru-RU"/>
        </w:rPr>
        <w:t>15</w:t>
      </w:r>
      <w:r w:rsidR="00680748" w:rsidRPr="00C90752">
        <w:rPr>
          <w:lang w:val="ru-RU"/>
        </w:rPr>
        <w:t>.</w:t>
      </w:r>
      <w:r w:rsidR="00680748" w:rsidRPr="00C90752">
        <w:rPr>
          <w:lang w:val="ru-RU"/>
        </w:rPr>
        <w:tab/>
      </w:r>
      <w:r w:rsidR="00C90752">
        <w:rPr>
          <w:lang w:val="uk-UA"/>
        </w:rPr>
        <w:t>Комітет занепокоєний браком доступності механізмів інформування і тривожного оповіщення в евакуаційних процедурах, зокрема для:</w:t>
      </w:r>
    </w:p>
    <w:p w14:paraId="5415FCE1" w14:textId="77777777" w:rsidR="00E03935" w:rsidRPr="003B1FEF" w:rsidRDefault="00E03935" w:rsidP="003C3A8C">
      <w:pPr>
        <w:pStyle w:val="SingleTxtG"/>
        <w:ind w:left="720"/>
        <w:rPr>
          <w:lang w:val="uk-UA"/>
        </w:rPr>
      </w:pPr>
      <w:r w:rsidRPr="003F1438">
        <w:rPr>
          <w:lang w:val="ru-RU"/>
        </w:rPr>
        <w:tab/>
        <w:t>(</w:t>
      </w:r>
      <w:r w:rsidRPr="005727A7">
        <w:t>a</w:t>
      </w:r>
      <w:r w:rsidRPr="003F1438">
        <w:rPr>
          <w:lang w:val="ru-RU"/>
        </w:rPr>
        <w:t>)</w:t>
      </w:r>
      <w:r w:rsidRPr="003F1438">
        <w:rPr>
          <w:lang w:val="ru-RU"/>
        </w:rPr>
        <w:tab/>
      </w:r>
      <w:r w:rsidR="00C90752">
        <w:rPr>
          <w:lang w:val="uk-UA"/>
        </w:rPr>
        <w:t>осіб із психосоціальною та/або інтелектуальною інвалідністю, які проживають</w:t>
      </w:r>
      <w:r w:rsidR="003B1FEF">
        <w:rPr>
          <w:lang w:val="uk-UA"/>
        </w:rPr>
        <w:t xml:space="preserve"> в інституційних закладах;</w:t>
      </w:r>
    </w:p>
    <w:p w14:paraId="5415FCE2" w14:textId="77777777" w:rsidR="00226547" w:rsidRPr="003B1FEF" w:rsidRDefault="00226547" w:rsidP="003C3A8C">
      <w:pPr>
        <w:pStyle w:val="SingleTxtG"/>
        <w:ind w:left="720"/>
        <w:rPr>
          <w:lang w:val="uk-UA"/>
        </w:rPr>
      </w:pPr>
      <w:r w:rsidRPr="003F1438">
        <w:rPr>
          <w:lang w:val="ru-RU"/>
        </w:rPr>
        <w:tab/>
      </w:r>
      <w:r w:rsidRPr="003B1FEF">
        <w:rPr>
          <w:lang w:val="ru-RU"/>
        </w:rPr>
        <w:t>(</w:t>
      </w:r>
      <w:r>
        <w:t>b</w:t>
      </w:r>
      <w:r w:rsidRPr="003B1FEF">
        <w:rPr>
          <w:lang w:val="ru-RU"/>
        </w:rPr>
        <w:t>)</w:t>
      </w:r>
      <w:r w:rsidRPr="003B1FEF">
        <w:rPr>
          <w:lang w:val="ru-RU"/>
        </w:rPr>
        <w:tab/>
      </w:r>
      <w:r w:rsidR="00C90752">
        <w:rPr>
          <w:lang w:val="uk-UA"/>
        </w:rPr>
        <w:t>осіб з порушеннями слуху</w:t>
      </w:r>
      <w:r w:rsidR="003B1FEF">
        <w:rPr>
          <w:lang w:val="uk-UA"/>
        </w:rPr>
        <w:t xml:space="preserve"> і зору;</w:t>
      </w:r>
    </w:p>
    <w:p w14:paraId="5415FCE3" w14:textId="77777777" w:rsidR="00E03935" w:rsidRPr="003B1FEF" w:rsidRDefault="00E03935" w:rsidP="003C3A8C">
      <w:pPr>
        <w:pStyle w:val="SingleTxtG"/>
        <w:ind w:left="720"/>
        <w:rPr>
          <w:lang w:val="ru-RU"/>
        </w:rPr>
      </w:pPr>
      <w:r w:rsidRPr="003B1FEF">
        <w:rPr>
          <w:lang w:val="ru-RU"/>
        </w:rPr>
        <w:tab/>
        <w:t>(</w:t>
      </w:r>
      <w:r w:rsidR="00226547">
        <w:t>c</w:t>
      </w:r>
      <w:r w:rsidRPr="003B1FEF">
        <w:rPr>
          <w:lang w:val="ru-RU"/>
        </w:rPr>
        <w:t>)</w:t>
      </w:r>
      <w:r w:rsidRPr="003B1FEF">
        <w:rPr>
          <w:lang w:val="ru-RU"/>
        </w:rPr>
        <w:tab/>
      </w:r>
      <w:r w:rsidR="00C90752">
        <w:rPr>
          <w:lang w:val="uk-UA"/>
        </w:rPr>
        <w:t xml:space="preserve">осіб з обмеженою мобільністю, в тому числі тих, </w:t>
      </w:r>
      <w:r w:rsidR="003B1FEF">
        <w:rPr>
          <w:lang w:val="uk-UA"/>
        </w:rPr>
        <w:t>хто може подорожувати</w:t>
      </w:r>
      <w:r w:rsidR="00C90752">
        <w:rPr>
          <w:lang w:val="uk-UA"/>
        </w:rPr>
        <w:t xml:space="preserve"> тільки в лежачому положенні; </w:t>
      </w:r>
    </w:p>
    <w:p w14:paraId="5415FCE4" w14:textId="77777777" w:rsidR="00C90752" w:rsidRDefault="00E03935" w:rsidP="003C3A8C">
      <w:pPr>
        <w:pStyle w:val="SingleTxtG"/>
        <w:ind w:left="720"/>
        <w:rPr>
          <w:lang w:val="uk-UA"/>
        </w:rPr>
      </w:pPr>
      <w:r w:rsidRPr="003B1FEF">
        <w:rPr>
          <w:lang w:val="ru-RU"/>
        </w:rPr>
        <w:tab/>
      </w:r>
      <w:r w:rsidRPr="003F1438">
        <w:rPr>
          <w:lang w:val="ru-RU"/>
        </w:rPr>
        <w:t>(</w:t>
      </w:r>
      <w:r w:rsidR="00226547">
        <w:t>d</w:t>
      </w:r>
      <w:r w:rsidRPr="003F1438">
        <w:rPr>
          <w:lang w:val="ru-RU"/>
        </w:rPr>
        <w:t>)</w:t>
      </w:r>
      <w:r w:rsidRPr="003F1438">
        <w:rPr>
          <w:lang w:val="ru-RU"/>
        </w:rPr>
        <w:tab/>
      </w:r>
      <w:r w:rsidR="00C90752">
        <w:rPr>
          <w:lang w:val="uk-UA"/>
        </w:rPr>
        <w:t>чоловіків з інвалідністю і чоловіків-піклувальників їхніх близьких родичів з інвалідністю, які бажають виїхати з України і шукати міжнародного захисту в іншій країні.</w:t>
      </w:r>
    </w:p>
    <w:p w14:paraId="5415FCE5" w14:textId="77777777" w:rsidR="00C90752" w:rsidRPr="00C90752" w:rsidRDefault="00276848" w:rsidP="003C3A8C">
      <w:pPr>
        <w:pStyle w:val="SingleTxtG"/>
        <w:ind w:left="720"/>
        <w:rPr>
          <w:b/>
          <w:bCs/>
          <w:lang w:val="uk-UA"/>
        </w:rPr>
      </w:pPr>
      <w:r w:rsidRPr="003B1FEF">
        <w:rPr>
          <w:b/>
          <w:bCs/>
          <w:lang w:val="uk-UA"/>
        </w:rPr>
        <w:t>16</w:t>
      </w:r>
      <w:r w:rsidR="00680748" w:rsidRPr="003B1FEF">
        <w:rPr>
          <w:b/>
          <w:bCs/>
          <w:lang w:val="uk-UA"/>
        </w:rPr>
        <w:t>.</w:t>
      </w:r>
      <w:r w:rsidR="00680748" w:rsidRPr="003B1FEF">
        <w:rPr>
          <w:b/>
          <w:bCs/>
          <w:lang w:val="uk-UA"/>
        </w:rPr>
        <w:tab/>
      </w:r>
      <w:r w:rsidR="00C90752">
        <w:rPr>
          <w:b/>
          <w:bCs/>
          <w:lang w:val="uk-UA"/>
        </w:rPr>
        <w:t>Комітет</w:t>
      </w:r>
      <w:r w:rsidR="003B1FEF">
        <w:rPr>
          <w:b/>
          <w:bCs/>
          <w:lang w:val="uk-UA"/>
        </w:rPr>
        <w:t xml:space="preserve"> настійно</w:t>
      </w:r>
      <w:r w:rsidR="00C90752">
        <w:rPr>
          <w:b/>
          <w:bCs/>
          <w:lang w:val="uk-UA"/>
        </w:rPr>
        <w:t xml:space="preserve"> закликає всі відповідні Держави-учасниці забезпечити, щоб </w:t>
      </w:r>
      <w:r w:rsidR="002E0643">
        <w:rPr>
          <w:b/>
          <w:bCs/>
          <w:lang w:val="uk-UA"/>
        </w:rPr>
        <w:t>уся інформація, пов’язана із надзвичайною ситуацією, надавалася в форматах, які є доступними для всіх осіб з інвалідністю незалежно від виду порушення відповідно до зауваження Комітету загального порядку №</w:t>
      </w:r>
      <w:r w:rsidR="003B1FEF">
        <w:rPr>
          <w:b/>
          <w:bCs/>
          <w:lang w:val="uk-UA"/>
        </w:rPr>
        <w:t> </w:t>
      </w:r>
      <w:r w:rsidR="002E0643">
        <w:rPr>
          <w:b/>
          <w:bCs/>
          <w:lang w:val="uk-UA"/>
        </w:rPr>
        <w:t>2 (2014).</w:t>
      </w:r>
    </w:p>
    <w:p w14:paraId="5415FCE6" w14:textId="77777777" w:rsidR="002E0643" w:rsidRPr="002E0643" w:rsidRDefault="0039193A" w:rsidP="003C3A8C">
      <w:pPr>
        <w:pStyle w:val="SingleTxtG"/>
        <w:ind w:left="720"/>
        <w:rPr>
          <w:lang w:val="uk-UA"/>
        </w:rPr>
      </w:pPr>
      <w:r w:rsidRPr="002E0643">
        <w:rPr>
          <w:lang w:val="ru-RU"/>
        </w:rPr>
        <w:lastRenderedPageBreak/>
        <w:t>1</w:t>
      </w:r>
      <w:r w:rsidR="005754FC" w:rsidRPr="002E0643">
        <w:rPr>
          <w:lang w:val="ru-RU"/>
        </w:rPr>
        <w:t>7</w:t>
      </w:r>
      <w:r w:rsidRPr="002E0643">
        <w:rPr>
          <w:lang w:val="ru-RU"/>
        </w:rPr>
        <w:t>.</w:t>
      </w:r>
      <w:r w:rsidRPr="002E0643">
        <w:rPr>
          <w:lang w:val="ru-RU"/>
        </w:rPr>
        <w:tab/>
      </w:r>
      <w:r w:rsidR="002E0643">
        <w:rPr>
          <w:lang w:val="uk-UA"/>
        </w:rPr>
        <w:t xml:space="preserve">Комітет висловлює жаль з </w:t>
      </w:r>
      <w:r w:rsidR="002E0643" w:rsidRPr="002711EC">
        <w:rPr>
          <w:lang w:val="uk-UA"/>
        </w:rPr>
        <w:t>приводу недостатнього впровадження Україною попередніх рекомендацій</w:t>
      </w:r>
      <w:r w:rsidR="002E0643" w:rsidRPr="002711EC">
        <w:rPr>
          <w:rStyle w:val="FootnoteReference"/>
        </w:rPr>
        <w:footnoteReference w:id="15"/>
      </w:r>
      <w:r w:rsidR="002E0643" w:rsidRPr="002711EC">
        <w:rPr>
          <w:lang w:val="uk-UA"/>
        </w:rPr>
        <w:t xml:space="preserve"> Комітету</w:t>
      </w:r>
      <w:r w:rsidR="002E0643">
        <w:rPr>
          <w:lang w:val="uk-UA"/>
        </w:rPr>
        <w:t xml:space="preserve"> і глибоко занепокоєний такими питаннями:</w:t>
      </w:r>
    </w:p>
    <w:p w14:paraId="5415FCE7" w14:textId="77777777" w:rsidR="002E0643" w:rsidRPr="002E0643" w:rsidRDefault="00696DAB" w:rsidP="003C3A8C">
      <w:pPr>
        <w:pStyle w:val="SingleTxtG"/>
        <w:ind w:left="720"/>
        <w:rPr>
          <w:lang w:val="uk-UA"/>
        </w:rPr>
      </w:pPr>
      <w:r w:rsidRPr="003F1438">
        <w:rPr>
          <w:lang w:val="ru-RU"/>
        </w:rPr>
        <w:tab/>
        <w:t>(</w:t>
      </w:r>
      <w:r>
        <w:t>a</w:t>
      </w:r>
      <w:r w:rsidRPr="003F1438">
        <w:rPr>
          <w:lang w:val="ru-RU"/>
        </w:rPr>
        <w:t>)</w:t>
      </w:r>
      <w:r w:rsidRPr="003F1438">
        <w:rPr>
          <w:lang w:val="ru-RU"/>
        </w:rPr>
        <w:tab/>
      </w:r>
      <w:r w:rsidR="002E0643">
        <w:rPr>
          <w:lang w:val="uk-UA"/>
        </w:rPr>
        <w:t>широко розповсюдженою інститу</w:t>
      </w:r>
      <w:r w:rsidR="00060AE5">
        <w:rPr>
          <w:lang w:val="uk-UA"/>
        </w:rPr>
        <w:t>ціон</w:t>
      </w:r>
      <w:r w:rsidR="002E0643">
        <w:rPr>
          <w:lang w:val="uk-UA"/>
        </w:rPr>
        <w:t>алізацією осіб з інвалідністю, зокрема з інтелектуальною та/або психосоціальною інвалідністю, в закладах інтернатного типу в Україні;</w:t>
      </w:r>
    </w:p>
    <w:p w14:paraId="5415FCE8" w14:textId="77777777" w:rsidR="002E0643" w:rsidRPr="002E0643" w:rsidRDefault="00696DAB" w:rsidP="003C3A8C">
      <w:pPr>
        <w:pStyle w:val="SingleTxtG"/>
        <w:ind w:left="720"/>
        <w:rPr>
          <w:lang w:val="uk-UA"/>
        </w:rPr>
      </w:pPr>
      <w:r w:rsidRPr="003F1438">
        <w:rPr>
          <w:lang w:val="ru-RU"/>
        </w:rPr>
        <w:tab/>
        <w:t>(</w:t>
      </w:r>
      <w:r>
        <w:t>b</w:t>
      </w:r>
      <w:r w:rsidRPr="003F1438">
        <w:rPr>
          <w:lang w:val="ru-RU"/>
        </w:rPr>
        <w:t>)</w:t>
      </w:r>
      <w:r w:rsidRPr="003F1438">
        <w:rPr>
          <w:lang w:val="ru-RU"/>
        </w:rPr>
        <w:tab/>
      </w:r>
      <w:r w:rsidR="002E0643">
        <w:rPr>
          <w:lang w:val="uk-UA"/>
        </w:rPr>
        <w:t xml:space="preserve">державними нормативними положеннями, які не дають змогу забезпечувати дітям з інвалідністю альтернативний догляд на рівні громади в родинному середовищі, коли їх евакуюють із закладів інтернатного типу, розташованих у зонах </w:t>
      </w:r>
      <w:r w:rsidR="003B1FEF">
        <w:rPr>
          <w:lang w:val="uk-UA"/>
        </w:rPr>
        <w:t xml:space="preserve">збройних </w:t>
      </w:r>
      <w:r w:rsidR="002E0643">
        <w:rPr>
          <w:lang w:val="uk-UA"/>
        </w:rPr>
        <w:t>бойових дій, що призводить до повторної інституціоналізації дітей з інвалідністю в інституційні заклади в Україні і країнах, які приймають біженців;</w:t>
      </w:r>
    </w:p>
    <w:p w14:paraId="5415FCE9" w14:textId="77777777" w:rsidR="002071BC" w:rsidRPr="002071BC" w:rsidRDefault="00696DAB" w:rsidP="003C3A8C">
      <w:pPr>
        <w:pStyle w:val="SingleTxtG"/>
        <w:ind w:left="720"/>
        <w:rPr>
          <w:lang w:val="uk-UA"/>
        </w:rPr>
      </w:pPr>
      <w:r w:rsidRPr="003F1438">
        <w:rPr>
          <w:lang w:val="ru-RU"/>
        </w:rPr>
        <w:tab/>
        <w:t>(</w:t>
      </w:r>
      <w:r w:rsidRPr="000A1D6C">
        <w:t>c</w:t>
      </w:r>
      <w:r w:rsidRPr="003F1438">
        <w:rPr>
          <w:lang w:val="ru-RU"/>
        </w:rPr>
        <w:t>)</w:t>
      </w:r>
      <w:r w:rsidRPr="003F1438">
        <w:rPr>
          <w:lang w:val="ru-RU"/>
        </w:rPr>
        <w:tab/>
      </w:r>
      <w:r w:rsidR="002071BC">
        <w:rPr>
          <w:lang w:val="uk-UA"/>
        </w:rPr>
        <w:t xml:space="preserve">евакуацією інституційних закладів, розташованих у районах конфлікту, якій </w:t>
      </w:r>
      <w:r w:rsidR="003B1FEF">
        <w:rPr>
          <w:lang w:val="uk-UA"/>
        </w:rPr>
        <w:t>жодна зі сторін конфлікту</w:t>
      </w:r>
      <w:r w:rsidR="002071BC">
        <w:rPr>
          <w:lang w:val="uk-UA"/>
        </w:rPr>
        <w:t xml:space="preserve"> не </w:t>
      </w:r>
      <w:r w:rsidR="003B1FEF">
        <w:rPr>
          <w:lang w:val="uk-UA"/>
        </w:rPr>
        <w:t>приділяє</w:t>
      </w:r>
      <w:r w:rsidR="002071BC">
        <w:rPr>
          <w:lang w:val="uk-UA"/>
        </w:rPr>
        <w:t xml:space="preserve"> </w:t>
      </w:r>
      <w:r w:rsidR="003B1FEF">
        <w:rPr>
          <w:lang w:val="uk-UA"/>
        </w:rPr>
        <w:t>пріоритетної</w:t>
      </w:r>
      <w:r w:rsidR="002071BC">
        <w:rPr>
          <w:lang w:val="uk-UA"/>
        </w:rPr>
        <w:t xml:space="preserve"> уваги</w:t>
      </w:r>
      <w:r w:rsidR="003B1FEF">
        <w:rPr>
          <w:lang w:val="uk-UA"/>
        </w:rPr>
        <w:t xml:space="preserve"> в дієвий спосіб</w:t>
      </w:r>
      <w:r w:rsidR="002071BC">
        <w:rPr>
          <w:lang w:val="uk-UA"/>
        </w:rPr>
        <w:t>.</w:t>
      </w:r>
    </w:p>
    <w:p w14:paraId="5415FCEA" w14:textId="77777777" w:rsidR="002071BC" w:rsidRPr="002071BC" w:rsidRDefault="0039193A" w:rsidP="003C3A8C">
      <w:pPr>
        <w:pStyle w:val="SingleTxtG"/>
        <w:ind w:left="720"/>
        <w:rPr>
          <w:b/>
          <w:bCs/>
          <w:lang w:val="uk-UA"/>
        </w:rPr>
      </w:pPr>
      <w:r w:rsidRPr="003B1FEF">
        <w:rPr>
          <w:b/>
          <w:bCs/>
          <w:lang w:val="uk-UA"/>
        </w:rPr>
        <w:t>1</w:t>
      </w:r>
      <w:r w:rsidR="005754FC" w:rsidRPr="003B1FEF">
        <w:rPr>
          <w:b/>
          <w:bCs/>
          <w:lang w:val="uk-UA"/>
        </w:rPr>
        <w:t>8</w:t>
      </w:r>
      <w:r w:rsidRPr="003B1FEF">
        <w:rPr>
          <w:b/>
          <w:bCs/>
          <w:lang w:val="uk-UA"/>
        </w:rPr>
        <w:t>.</w:t>
      </w:r>
      <w:r w:rsidRPr="003B1FEF">
        <w:rPr>
          <w:b/>
          <w:bCs/>
          <w:lang w:val="uk-UA"/>
        </w:rPr>
        <w:tab/>
      </w:r>
      <w:r w:rsidR="002071BC">
        <w:rPr>
          <w:b/>
          <w:bCs/>
          <w:lang w:val="uk-UA"/>
        </w:rPr>
        <w:t>Комітет закликає Україну і російську федерацію щодо українських територій, які перебувають під її окупацією:</w:t>
      </w:r>
    </w:p>
    <w:p w14:paraId="5415FCEB" w14:textId="77777777" w:rsidR="002071BC" w:rsidRPr="002071BC" w:rsidRDefault="007859B1" w:rsidP="003C3A8C">
      <w:pPr>
        <w:pStyle w:val="SingleTxtG"/>
        <w:ind w:left="720"/>
        <w:rPr>
          <w:b/>
          <w:bCs/>
          <w:lang w:val="uk-UA"/>
        </w:rPr>
      </w:pPr>
      <w:r w:rsidRPr="003F1438">
        <w:rPr>
          <w:b/>
          <w:bCs/>
          <w:lang w:val="uk-UA"/>
        </w:rPr>
        <w:tab/>
        <w:t>(</w:t>
      </w:r>
      <w:r>
        <w:rPr>
          <w:b/>
          <w:bCs/>
        </w:rPr>
        <w:t>a</w:t>
      </w:r>
      <w:r w:rsidRPr="003F1438">
        <w:rPr>
          <w:b/>
          <w:bCs/>
          <w:lang w:val="uk-UA"/>
        </w:rPr>
        <w:t>)</w:t>
      </w:r>
      <w:r w:rsidRPr="003F1438">
        <w:rPr>
          <w:b/>
          <w:bCs/>
          <w:lang w:val="uk-UA"/>
        </w:rPr>
        <w:tab/>
      </w:r>
      <w:r w:rsidR="002071BC">
        <w:rPr>
          <w:b/>
          <w:bCs/>
          <w:lang w:val="uk-UA"/>
        </w:rPr>
        <w:t xml:space="preserve">пришвидшити </w:t>
      </w:r>
      <w:r w:rsidR="003B1FEF">
        <w:rPr>
          <w:b/>
          <w:bCs/>
          <w:lang w:val="uk-UA"/>
        </w:rPr>
        <w:t>де</w:t>
      </w:r>
      <w:r w:rsidR="002071BC">
        <w:rPr>
          <w:b/>
          <w:bCs/>
          <w:lang w:val="uk-UA"/>
        </w:rPr>
        <w:t>інститу</w:t>
      </w:r>
      <w:r w:rsidR="00060AE5">
        <w:rPr>
          <w:b/>
          <w:bCs/>
          <w:lang w:val="uk-UA"/>
        </w:rPr>
        <w:t>ціон</w:t>
      </w:r>
      <w:r w:rsidR="002071BC">
        <w:rPr>
          <w:b/>
          <w:bCs/>
          <w:lang w:val="uk-UA"/>
        </w:rPr>
        <w:t>алізацію всіх осіб з інвалідністю, які залишаються в закладах інтернатного типу для осіб з інвалідністю на території України, і забезпечити незалежний моніторинг цього процесу з активним залученням організацій осіб з інвалідністю;</w:t>
      </w:r>
    </w:p>
    <w:p w14:paraId="5415FCEC" w14:textId="77777777" w:rsidR="002071BC" w:rsidRPr="002071BC" w:rsidRDefault="00690D57" w:rsidP="003C3A8C">
      <w:pPr>
        <w:pStyle w:val="SingleTxtG"/>
        <w:ind w:left="720"/>
        <w:rPr>
          <w:b/>
          <w:bCs/>
          <w:lang w:val="uk-UA"/>
        </w:rPr>
      </w:pPr>
      <w:r w:rsidRPr="003F1438">
        <w:rPr>
          <w:b/>
          <w:bCs/>
          <w:lang w:val="uk-UA"/>
        </w:rPr>
        <w:tab/>
        <w:t>(</w:t>
      </w:r>
      <w:r>
        <w:rPr>
          <w:b/>
          <w:bCs/>
        </w:rPr>
        <w:t>b</w:t>
      </w:r>
      <w:r w:rsidRPr="003F1438">
        <w:rPr>
          <w:b/>
          <w:bCs/>
          <w:lang w:val="uk-UA"/>
        </w:rPr>
        <w:t>)</w:t>
      </w:r>
      <w:r w:rsidRPr="003F1438">
        <w:rPr>
          <w:b/>
          <w:bCs/>
          <w:lang w:val="uk-UA"/>
        </w:rPr>
        <w:tab/>
      </w:r>
      <w:r w:rsidR="002071BC">
        <w:rPr>
          <w:b/>
          <w:bCs/>
          <w:lang w:val="uk-UA"/>
        </w:rPr>
        <w:t xml:space="preserve">з метою забезпечити реалізацію прав дітей з інвалідністю на родинне життя, скасувати державні нормативні положення, які не дають змоги надавати дітям з інвалідністю підтримку на рівні громади після евакуації із закладів інтернатного типу; забезпечити їм альтернативний догляд у громаді в родинному середовищі; запровадити заходи підтримки для жінок, які піклуються про дітей і членів родини з інвалідністю, для зменшення обсягу неоплачуваної роботи по догляду і створення можливостей для їх професійної </w:t>
      </w:r>
      <w:r w:rsidR="003B1FEF">
        <w:rPr>
          <w:b/>
          <w:bCs/>
          <w:lang w:val="uk-UA"/>
        </w:rPr>
        <w:t>та</w:t>
      </w:r>
      <w:r w:rsidR="002071BC">
        <w:rPr>
          <w:b/>
          <w:bCs/>
          <w:lang w:val="uk-UA"/>
        </w:rPr>
        <w:t xml:space="preserve"> особистої самореалізації; а також інвестувати в широкий діапазон послуг, у тому числі послуг на дому, особист</w:t>
      </w:r>
      <w:r w:rsidR="003B1FEF">
        <w:rPr>
          <w:b/>
          <w:bCs/>
          <w:lang w:val="uk-UA"/>
        </w:rPr>
        <w:t>ого асистування</w:t>
      </w:r>
      <w:r w:rsidR="002071BC">
        <w:rPr>
          <w:b/>
          <w:bCs/>
          <w:lang w:val="uk-UA"/>
        </w:rPr>
        <w:t>, ранн</w:t>
      </w:r>
      <w:r w:rsidR="003B1FEF">
        <w:rPr>
          <w:b/>
          <w:bCs/>
          <w:lang w:val="uk-UA"/>
        </w:rPr>
        <w:t>ього</w:t>
      </w:r>
      <w:r w:rsidR="002071BC">
        <w:rPr>
          <w:b/>
          <w:bCs/>
          <w:lang w:val="uk-UA"/>
        </w:rPr>
        <w:t xml:space="preserve"> втручання і реабілітаці</w:t>
      </w:r>
      <w:r w:rsidR="003B1FEF">
        <w:rPr>
          <w:b/>
          <w:bCs/>
          <w:lang w:val="uk-UA"/>
        </w:rPr>
        <w:t>ї</w:t>
      </w:r>
      <w:r w:rsidR="002071BC">
        <w:rPr>
          <w:b/>
          <w:bCs/>
          <w:lang w:val="uk-UA"/>
        </w:rPr>
        <w:t xml:space="preserve"> в Україні і країнах, які приймають біженців;</w:t>
      </w:r>
    </w:p>
    <w:p w14:paraId="5415FCED" w14:textId="77777777" w:rsidR="002071BC" w:rsidRPr="002071BC" w:rsidRDefault="00466AEE" w:rsidP="003C3A8C">
      <w:pPr>
        <w:pStyle w:val="SingleTxtG"/>
        <w:ind w:left="720"/>
        <w:rPr>
          <w:b/>
          <w:bCs/>
          <w:lang w:val="uk-UA"/>
        </w:rPr>
      </w:pPr>
      <w:r w:rsidRPr="003F1438">
        <w:rPr>
          <w:b/>
          <w:bCs/>
          <w:lang w:val="uk-UA"/>
        </w:rPr>
        <w:tab/>
        <w:t>(</w:t>
      </w:r>
      <w:r w:rsidR="007F08BB">
        <w:rPr>
          <w:b/>
          <w:bCs/>
        </w:rPr>
        <w:t>c</w:t>
      </w:r>
      <w:r w:rsidRPr="003F1438">
        <w:rPr>
          <w:b/>
          <w:bCs/>
          <w:lang w:val="uk-UA"/>
        </w:rPr>
        <w:t>)</w:t>
      </w:r>
      <w:r w:rsidRPr="003F1438">
        <w:rPr>
          <w:b/>
          <w:bCs/>
          <w:lang w:val="uk-UA"/>
        </w:rPr>
        <w:tab/>
      </w:r>
      <w:r w:rsidR="002071BC">
        <w:rPr>
          <w:b/>
          <w:bCs/>
          <w:lang w:val="uk-UA"/>
        </w:rPr>
        <w:t>забезпечити облік усіх осіб з інвалідністю, які проживають у закладах інтернартного типу для осіб з інвалідністю</w:t>
      </w:r>
      <w:r w:rsidR="00376AA9">
        <w:rPr>
          <w:b/>
          <w:bCs/>
          <w:lang w:val="uk-UA"/>
        </w:rPr>
        <w:t xml:space="preserve">, і приділяти пріоритетну увагу їх евакуації з інституційних закладів, розташованих в місцях </w:t>
      </w:r>
      <w:r w:rsidR="003B1FEF">
        <w:rPr>
          <w:b/>
          <w:bCs/>
          <w:lang w:val="uk-UA"/>
        </w:rPr>
        <w:t xml:space="preserve">збройних </w:t>
      </w:r>
      <w:r w:rsidR="00376AA9">
        <w:rPr>
          <w:b/>
          <w:bCs/>
          <w:lang w:val="uk-UA"/>
        </w:rPr>
        <w:t>бойових дій;</w:t>
      </w:r>
    </w:p>
    <w:p w14:paraId="5415FCEE" w14:textId="77777777" w:rsidR="00376AA9" w:rsidRPr="00376AA9" w:rsidRDefault="009F18AB" w:rsidP="003C3A8C">
      <w:pPr>
        <w:pStyle w:val="SingleTxtG"/>
        <w:ind w:left="720"/>
        <w:rPr>
          <w:b/>
          <w:bCs/>
          <w:lang w:val="uk-UA"/>
        </w:rPr>
      </w:pPr>
      <w:r w:rsidRPr="003F1438">
        <w:rPr>
          <w:b/>
          <w:bCs/>
          <w:lang w:val="uk-UA"/>
        </w:rPr>
        <w:tab/>
        <w:t>(</w:t>
      </w:r>
      <w:r>
        <w:rPr>
          <w:b/>
          <w:bCs/>
        </w:rPr>
        <w:t>d</w:t>
      </w:r>
      <w:r w:rsidRPr="003F1438">
        <w:rPr>
          <w:b/>
          <w:bCs/>
          <w:lang w:val="uk-UA"/>
        </w:rPr>
        <w:t>)</w:t>
      </w:r>
      <w:r w:rsidRPr="003F1438">
        <w:rPr>
          <w:b/>
          <w:bCs/>
          <w:lang w:val="uk-UA"/>
        </w:rPr>
        <w:tab/>
      </w:r>
      <w:r w:rsidR="00376AA9">
        <w:rPr>
          <w:b/>
          <w:bCs/>
          <w:lang w:val="uk-UA"/>
        </w:rPr>
        <w:t>започаткувати відкритий державний діалог з іншими урядами з метою надання інтегрованої допомоги людям з інвалідністю, які можуть бути переміщені за межі України. В цьому діалозі також потрібно приділяти увагу ризикам торгівлі людьми і методам боротьби з нею;</w:t>
      </w:r>
    </w:p>
    <w:p w14:paraId="5415FCEF" w14:textId="77777777" w:rsidR="00376AA9" w:rsidRPr="00376AA9" w:rsidRDefault="00CE162B" w:rsidP="003C3A8C">
      <w:pPr>
        <w:pStyle w:val="SingleTxtG"/>
        <w:ind w:left="720"/>
        <w:rPr>
          <w:b/>
          <w:bCs/>
          <w:lang w:val="uk-UA"/>
        </w:rPr>
      </w:pPr>
      <w:r w:rsidRPr="003F1438">
        <w:rPr>
          <w:b/>
          <w:bCs/>
          <w:lang w:val="ru-RU"/>
        </w:rPr>
        <w:tab/>
        <w:t>(</w:t>
      </w:r>
      <w:r w:rsidR="002402A9">
        <w:rPr>
          <w:b/>
          <w:bCs/>
        </w:rPr>
        <w:t>e</w:t>
      </w:r>
      <w:r w:rsidR="007F08BB" w:rsidRPr="003F1438">
        <w:rPr>
          <w:b/>
          <w:bCs/>
          <w:lang w:val="ru-RU"/>
        </w:rPr>
        <w:t>)</w:t>
      </w:r>
      <w:r w:rsidRPr="003F1438">
        <w:rPr>
          <w:b/>
          <w:bCs/>
          <w:lang w:val="ru-RU"/>
        </w:rPr>
        <w:tab/>
      </w:r>
      <w:r w:rsidR="00376AA9">
        <w:rPr>
          <w:b/>
          <w:bCs/>
          <w:lang w:val="uk-UA"/>
        </w:rPr>
        <w:t>пам’ятаючи про свої зобов’язання за міжнародним гуманітарним правом, утримуватися від облаштування військових позицій у жи</w:t>
      </w:r>
      <w:r w:rsidR="003B1FEF">
        <w:rPr>
          <w:b/>
          <w:bCs/>
          <w:lang w:val="uk-UA"/>
        </w:rPr>
        <w:t>тлових</w:t>
      </w:r>
      <w:r w:rsidR="00376AA9">
        <w:rPr>
          <w:b/>
          <w:bCs/>
          <w:lang w:val="uk-UA"/>
        </w:rPr>
        <w:t xml:space="preserve"> районах або поблизу цивільних об’єктів, а також від залучення осіб з інвалідністю до воєнних операцій.</w:t>
      </w:r>
    </w:p>
    <w:p w14:paraId="5415FCF0" w14:textId="77777777" w:rsidR="00376AA9" w:rsidRPr="00376AA9" w:rsidRDefault="00F05FBB" w:rsidP="003C3A8C">
      <w:pPr>
        <w:pStyle w:val="SingleTxtG"/>
        <w:ind w:left="720"/>
        <w:rPr>
          <w:lang w:val="uk-UA"/>
        </w:rPr>
      </w:pPr>
      <w:r w:rsidRPr="003B1FEF">
        <w:rPr>
          <w:lang w:val="uk-UA"/>
        </w:rPr>
        <w:t>19.</w:t>
      </w:r>
      <w:r w:rsidRPr="003B1FEF">
        <w:rPr>
          <w:lang w:val="uk-UA"/>
        </w:rPr>
        <w:tab/>
      </w:r>
      <w:r w:rsidR="00376AA9">
        <w:rPr>
          <w:lang w:val="uk-UA"/>
        </w:rPr>
        <w:t xml:space="preserve">Комітет із занепокоєнням зазначає, що Україна не приділяє пріоритетної уваги евакуації осіб з інвалідністю </w:t>
      </w:r>
      <w:r w:rsidR="00611F5C">
        <w:rPr>
          <w:lang w:val="uk-UA"/>
        </w:rPr>
        <w:t xml:space="preserve">з районів </w:t>
      </w:r>
      <w:r w:rsidR="003B1FEF">
        <w:rPr>
          <w:lang w:val="uk-UA"/>
        </w:rPr>
        <w:t xml:space="preserve">збройних </w:t>
      </w:r>
      <w:r w:rsidR="00611F5C">
        <w:rPr>
          <w:lang w:val="uk-UA"/>
        </w:rPr>
        <w:t>бойових дій до безпечних районів країни або за кордон.</w:t>
      </w:r>
    </w:p>
    <w:p w14:paraId="5415FCF1" w14:textId="77777777" w:rsidR="00611F5C" w:rsidRPr="00611F5C" w:rsidRDefault="00065318" w:rsidP="003C3A8C">
      <w:pPr>
        <w:pStyle w:val="SingleTxtG"/>
        <w:ind w:left="720"/>
        <w:rPr>
          <w:b/>
          <w:bCs/>
          <w:lang w:val="uk-UA"/>
        </w:rPr>
      </w:pPr>
      <w:r w:rsidRPr="003B1FEF">
        <w:rPr>
          <w:b/>
          <w:bCs/>
          <w:lang w:val="uk-UA"/>
        </w:rPr>
        <w:t>20.</w:t>
      </w:r>
      <w:r w:rsidRPr="003B1FEF">
        <w:rPr>
          <w:b/>
          <w:bCs/>
          <w:lang w:val="uk-UA"/>
        </w:rPr>
        <w:tab/>
      </w:r>
      <w:r w:rsidR="00611F5C">
        <w:rPr>
          <w:b/>
          <w:bCs/>
          <w:lang w:val="uk-UA"/>
        </w:rPr>
        <w:t>Комітет рекомендує цій Державі-учасниці реформувати протоколи евакуації, щоб забезпечити надання адекватної підтримки осіб</w:t>
      </w:r>
      <w:r w:rsidR="003B1FEF">
        <w:rPr>
          <w:b/>
          <w:bCs/>
          <w:lang w:val="uk-UA"/>
        </w:rPr>
        <w:t>ам</w:t>
      </w:r>
      <w:r w:rsidR="00611F5C">
        <w:rPr>
          <w:b/>
          <w:bCs/>
          <w:lang w:val="uk-UA"/>
        </w:rPr>
        <w:t xml:space="preserve"> з інвалідністю, яка має бути доступною до всіх осіб з інвалідністю, нарівні з </w:t>
      </w:r>
      <w:r w:rsidR="00611F5C">
        <w:rPr>
          <w:b/>
          <w:bCs/>
          <w:lang w:val="uk-UA"/>
        </w:rPr>
        <w:lastRenderedPageBreak/>
        <w:t>іншими. Протоколи евакуації мають передбачати приділення першочергової уваги особам з інвалідністю під час екстреної евакуації; заходи щодо допоміжних засобів й обладнання з тим, щоб забезпечити особам з інвалідністю можливість взяти з собою свої допоміжні засоби під час евакуації або, якщо це неможливо, отримати заміну.</w:t>
      </w:r>
    </w:p>
    <w:p w14:paraId="5415FCF2" w14:textId="77777777" w:rsidR="00611F5C" w:rsidRPr="00611F5C" w:rsidRDefault="00276848" w:rsidP="00C80174">
      <w:pPr>
        <w:pStyle w:val="SingleTxtG"/>
        <w:ind w:left="720"/>
        <w:rPr>
          <w:lang w:val="uk-UA"/>
        </w:rPr>
      </w:pPr>
      <w:r w:rsidRPr="00060AE5">
        <w:rPr>
          <w:lang w:val="uk-UA"/>
        </w:rPr>
        <w:t>21</w:t>
      </w:r>
      <w:r w:rsidR="00C80174" w:rsidRPr="00060AE5">
        <w:rPr>
          <w:lang w:val="uk-UA"/>
        </w:rPr>
        <w:t>.</w:t>
      </w:r>
      <w:r w:rsidR="00C80174" w:rsidRPr="00060AE5">
        <w:rPr>
          <w:lang w:val="uk-UA"/>
        </w:rPr>
        <w:tab/>
      </w:r>
      <w:r w:rsidR="00611F5C">
        <w:rPr>
          <w:lang w:val="uk-UA"/>
        </w:rPr>
        <w:t xml:space="preserve">Комітет зі занепокоєнням зазначає постійну відсутність послуг на рівні громади і соціального житла для осіб з інвалідністю, які проживають в Україні, зокрема для осіб з інтелектуальною та/або психосоціальною інвалідністю, та осіб з аутизмом, і ця ситуація погіршилася в результаті агресії проти України з боку російської федерації. Це негативно впливає на їхні права проживати </w:t>
      </w:r>
      <w:r w:rsidR="00060AE5">
        <w:rPr>
          <w:lang w:val="uk-UA"/>
        </w:rPr>
        <w:t>самостійно</w:t>
      </w:r>
      <w:r w:rsidR="00611F5C">
        <w:rPr>
          <w:lang w:val="uk-UA"/>
        </w:rPr>
        <w:t xml:space="preserve"> і бути включеними в життя громади. </w:t>
      </w:r>
    </w:p>
    <w:p w14:paraId="5415FCF3" w14:textId="77777777" w:rsidR="00611F5C" w:rsidRPr="00611F5C" w:rsidRDefault="00276848" w:rsidP="003C3A8C">
      <w:pPr>
        <w:pStyle w:val="SingleTxtG"/>
        <w:ind w:left="720"/>
        <w:rPr>
          <w:b/>
          <w:bCs/>
          <w:lang w:val="uk-UA"/>
        </w:rPr>
      </w:pPr>
      <w:r w:rsidRPr="00060AE5">
        <w:rPr>
          <w:b/>
          <w:bCs/>
          <w:lang w:val="uk-UA"/>
        </w:rPr>
        <w:t>22</w:t>
      </w:r>
      <w:r w:rsidR="00C80174" w:rsidRPr="00060AE5">
        <w:rPr>
          <w:b/>
          <w:bCs/>
          <w:lang w:val="uk-UA"/>
        </w:rPr>
        <w:t>.</w:t>
      </w:r>
      <w:r w:rsidR="00C80174" w:rsidRPr="00060AE5">
        <w:rPr>
          <w:b/>
          <w:bCs/>
          <w:lang w:val="uk-UA"/>
        </w:rPr>
        <w:tab/>
      </w:r>
      <w:r w:rsidR="00611F5C">
        <w:rPr>
          <w:b/>
          <w:bCs/>
          <w:lang w:val="uk-UA"/>
        </w:rPr>
        <w:t>Комітет закликає відповідні Держави-учасниці забезпечити, щоб усі особи з інвалідністю мали доступ до захисту і послуг підтримки, які надаються з урахуванням гендерних особли</w:t>
      </w:r>
      <w:r w:rsidR="00065D18">
        <w:rPr>
          <w:b/>
          <w:bCs/>
          <w:lang w:val="uk-UA"/>
        </w:rPr>
        <w:t xml:space="preserve">востей на рівні громади, в тому </w:t>
      </w:r>
      <w:r w:rsidR="00611F5C">
        <w:rPr>
          <w:b/>
          <w:bCs/>
          <w:lang w:val="uk-UA"/>
        </w:rPr>
        <w:t xml:space="preserve">числі </w:t>
      </w:r>
      <w:r w:rsidR="00065D18">
        <w:rPr>
          <w:b/>
          <w:bCs/>
          <w:lang w:val="uk-UA"/>
        </w:rPr>
        <w:t xml:space="preserve">послуг </w:t>
      </w:r>
      <w:r w:rsidR="00611F5C">
        <w:rPr>
          <w:b/>
          <w:bCs/>
          <w:lang w:val="uk-UA"/>
        </w:rPr>
        <w:t xml:space="preserve">на дому, </w:t>
      </w:r>
      <w:r w:rsidR="00065D18">
        <w:rPr>
          <w:b/>
          <w:bCs/>
          <w:lang w:val="uk-UA"/>
        </w:rPr>
        <w:t>житлових послуг та інших послуг підтримки.</w:t>
      </w:r>
    </w:p>
    <w:p w14:paraId="5415FCF4" w14:textId="77777777" w:rsidR="00065D18" w:rsidRPr="00065D18" w:rsidRDefault="00276848" w:rsidP="003C3A8C">
      <w:pPr>
        <w:pStyle w:val="SingleTxtG"/>
        <w:ind w:left="720"/>
        <w:rPr>
          <w:lang w:val="uk-UA"/>
        </w:rPr>
      </w:pPr>
      <w:r w:rsidRPr="00060AE5">
        <w:rPr>
          <w:lang w:val="uk-UA"/>
        </w:rPr>
        <w:t>23</w:t>
      </w:r>
      <w:r w:rsidR="0085469D" w:rsidRPr="00060AE5">
        <w:rPr>
          <w:lang w:val="uk-UA"/>
        </w:rPr>
        <w:t>.</w:t>
      </w:r>
      <w:r w:rsidR="0085469D" w:rsidRPr="00060AE5">
        <w:rPr>
          <w:lang w:val="uk-UA"/>
        </w:rPr>
        <w:tab/>
      </w:r>
      <w:r w:rsidR="00065D18">
        <w:rPr>
          <w:lang w:val="uk-UA"/>
        </w:rPr>
        <w:t>Комітет занепокоєний браком доступних суспільних послуг, в тому числі програмної допомоги, адекватного прихистку, комунікації і транспортних засобів, що непропорційно позначається на внутрішньо переміщених особах з інвалідністю і створює для них додаткові ризики бідності, соціального виключення та інститу</w:t>
      </w:r>
      <w:r w:rsidR="00060AE5">
        <w:rPr>
          <w:lang w:val="uk-UA"/>
        </w:rPr>
        <w:t>ціон</w:t>
      </w:r>
      <w:r w:rsidR="00065D18">
        <w:rPr>
          <w:lang w:val="uk-UA"/>
        </w:rPr>
        <w:t>алізації.</w:t>
      </w:r>
    </w:p>
    <w:p w14:paraId="5415FCF5" w14:textId="77777777" w:rsidR="00065D18" w:rsidRPr="00065D18" w:rsidRDefault="00276848" w:rsidP="003C3A8C">
      <w:pPr>
        <w:pStyle w:val="SingleTxtG"/>
        <w:ind w:left="720"/>
        <w:rPr>
          <w:b/>
          <w:bCs/>
          <w:lang w:val="uk-UA"/>
        </w:rPr>
      </w:pPr>
      <w:r w:rsidRPr="00060AE5">
        <w:rPr>
          <w:b/>
          <w:bCs/>
          <w:lang w:val="uk-UA"/>
        </w:rPr>
        <w:t>24</w:t>
      </w:r>
      <w:r w:rsidR="00C54EDD" w:rsidRPr="00060AE5">
        <w:rPr>
          <w:b/>
          <w:bCs/>
          <w:lang w:val="uk-UA"/>
        </w:rPr>
        <w:t>.</w:t>
      </w:r>
      <w:r w:rsidR="00C54EDD" w:rsidRPr="00060AE5">
        <w:rPr>
          <w:b/>
          <w:bCs/>
          <w:lang w:val="uk-UA"/>
        </w:rPr>
        <w:tab/>
      </w:r>
      <w:r w:rsidR="00065D18" w:rsidRPr="002711EC">
        <w:rPr>
          <w:b/>
          <w:bCs/>
          <w:lang w:val="uk-UA"/>
        </w:rPr>
        <w:t>Пам’ятаючи про Керівні принципи з питання переміщення осіб у межах країни</w:t>
      </w:r>
      <w:r w:rsidR="00060AE5" w:rsidRPr="002711EC">
        <w:rPr>
          <w:rStyle w:val="FootnoteReference"/>
          <w:b/>
          <w:bCs/>
        </w:rPr>
        <w:footnoteReference w:id="16"/>
      </w:r>
      <w:r w:rsidR="00065D18" w:rsidRPr="002711EC">
        <w:rPr>
          <w:b/>
          <w:bCs/>
          <w:lang w:val="uk-UA"/>
        </w:rPr>
        <w:t>, Комітет закликає відповідні Держави-учасниці забезпечити, щоб внутрішньо переміщеним</w:t>
      </w:r>
      <w:r w:rsidR="00065D18">
        <w:rPr>
          <w:b/>
          <w:bCs/>
          <w:lang w:val="uk-UA"/>
        </w:rPr>
        <w:t xml:space="preserve"> особам з інвалідністю надавалися доступні суспільні послуги, в тому числі доступний прихисток.</w:t>
      </w:r>
    </w:p>
    <w:p w14:paraId="5415FCF6" w14:textId="77777777" w:rsidR="0074128F" w:rsidRPr="00060AE5" w:rsidRDefault="00276848" w:rsidP="003C3A8C">
      <w:pPr>
        <w:pStyle w:val="SingleTxtG"/>
        <w:ind w:left="720"/>
        <w:rPr>
          <w:lang w:val="uk-UA"/>
        </w:rPr>
      </w:pPr>
      <w:r w:rsidRPr="00060AE5">
        <w:rPr>
          <w:lang w:val="uk-UA"/>
        </w:rPr>
        <w:t>25</w:t>
      </w:r>
      <w:r w:rsidR="00BF0640" w:rsidRPr="00060AE5">
        <w:rPr>
          <w:lang w:val="uk-UA"/>
        </w:rPr>
        <w:t>.</w:t>
      </w:r>
      <w:r w:rsidR="00BF0640" w:rsidRPr="00060AE5">
        <w:rPr>
          <w:lang w:val="uk-UA"/>
        </w:rPr>
        <w:tab/>
      </w:r>
      <w:r w:rsidR="00060AE5">
        <w:rPr>
          <w:lang w:val="uk-UA"/>
        </w:rPr>
        <w:t>Комітет серйозно занепокоєний:</w:t>
      </w:r>
    </w:p>
    <w:p w14:paraId="5415FCF7" w14:textId="77777777" w:rsidR="0074128F" w:rsidRPr="002711EC" w:rsidRDefault="0074128F" w:rsidP="003C3A8C">
      <w:pPr>
        <w:pStyle w:val="SingleTxtG"/>
        <w:ind w:left="720"/>
        <w:rPr>
          <w:lang w:val="uk-UA"/>
        </w:rPr>
      </w:pPr>
      <w:r w:rsidRPr="00060AE5">
        <w:rPr>
          <w:lang w:val="uk-UA"/>
        </w:rPr>
        <w:tab/>
        <w:t>(</w:t>
      </w:r>
      <w:r>
        <w:t>a</w:t>
      </w:r>
      <w:r w:rsidRPr="00060AE5">
        <w:rPr>
          <w:lang w:val="uk-UA"/>
        </w:rPr>
        <w:t>)</w:t>
      </w:r>
      <w:r w:rsidRPr="00060AE5">
        <w:rPr>
          <w:lang w:val="uk-UA"/>
        </w:rPr>
        <w:tab/>
      </w:r>
      <w:r w:rsidR="00065D18">
        <w:rPr>
          <w:lang w:val="uk-UA"/>
        </w:rPr>
        <w:t xml:space="preserve">повідомленнями про те, що особам з інвалідністю, які проживають у закладах інтернатного типу для осіб з інвалідністю на територіях, </w:t>
      </w:r>
      <w:r w:rsidR="00060AE5">
        <w:rPr>
          <w:lang w:val="uk-UA"/>
        </w:rPr>
        <w:t>що</w:t>
      </w:r>
      <w:r w:rsidR="00065D18">
        <w:rPr>
          <w:lang w:val="uk-UA"/>
        </w:rPr>
        <w:t xml:space="preserve"> перебувають під контролем російської федерації, відмовляють в евакуації і доступі </w:t>
      </w:r>
      <w:r w:rsidR="00DE356E">
        <w:rPr>
          <w:lang w:val="uk-UA"/>
        </w:rPr>
        <w:t xml:space="preserve">до базових послуг, що, за </w:t>
      </w:r>
      <w:r w:rsidR="00DE356E" w:rsidRPr="002711EC">
        <w:rPr>
          <w:lang w:val="uk-UA"/>
        </w:rPr>
        <w:t>початковими повідомленнями, призвело до смерті щонайменше 12 осіб з інвалідністю</w:t>
      </w:r>
      <w:r w:rsidR="00DE356E" w:rsidRPr="002711EC">
        <w:rPr>
          <w:rStyle w:val="FootnoteReference"/>
        </w:rPr>
        <w:footnoteReference w:id="17"/>
      </w:r>
      <w:r w:rsidR="00DE356E" w:rsidRPr="002711EC">
        <w:rPr>
          <w:lang w:val="uk-UA"/>
        </w:rPr>
        <w:t>;</w:t>
      </w:r>
    </w:p>
    <w:p w14:paraId="5415FCF8" w14:textId="77777777" w:rsidR="00BF0640" w:rsidRPr="00060AE5" w:rsidRDefault="0074128F" w:rsidP="003C3A8C">
      <w:pPr>
        <w:pStyle w:val="SingleTxtG"/>
        <w:ind w:left="720"/>
        <w:rPr>
          <w:lang w:val="uk-UA"/>
        </w:rPr>
      </w:pPr>
      <w:r w:rsidRPr="00060AE5">
        <w:rPr>
          <w:lang w:val="uk-UA"/>
        </w:rPr>
        <w:tab/>
        <w:t>(</w:t>
      </w:r>
      <w:r>
        <w:t>b</w:t>
      </w:r>
      <w:r w:rsidRPr="00060AE5">
        <w:rPr>
          <w:lang w:val="uk-UA"/>
        </w:rPr>
        <w:t>)</w:t>
      </w:r>
      <w:r w:rsidRPr="00060AE5">
        <w:rPr>
          <w:lang w:val="uk-UA"/>
        </w:rPr>
        <w:tab/>
      </w:r>
      <w:r w:rsidR="007244E2">
        <w:rPr>
          <w:lang w:val="uk-UA"/>
        </w:rPr>
        <w:t xml:space="preserve">повідомленнями про те, що російська федерація утримує осіб з інвалідністю в нелюдських умовах під час </w:t>
      </w:r>
      <w:r w:rsidR="00060AE5">
        <w:rPr>
          <w:lang w:val="uk-UA"/>
        </w:rPr>
        <w:t xml:space="preserve">збройних </w:t>
      </w:r>
      <w:r w:rsidR="007244E2">
        <w:rPr>
          <w:lang w:val="uk-UA"/>
        </w:rPr>
        <w:t>бойових дій</w:t>
      </w:r>
      <w:r w:rsidR="00060AE5" w:rsidRPr="007F1FD2">
        <w:rPr>
          <w:rStyle w:val="FootnoteReference"/>
        </w:rPr>
        <w:footnoteReference w:id="18"/>
      </w:r>
      <w:r w:rsidR="007244E2">
        <w:rPr>
          <w:lang w:val="uk-UA"/>
        </w:rPr>
        <w:t>;</w:t>
      </w:r>
    </w:p>
    <w:p w14:paraId="5415FCF9" w14:textId="77777777" w:rsidR="007244E2" w:rsidRPr="007244E2" w:rsidRDefault="0074128F" w:rsidP="003C3A8C">
      <w:pPr>
        <w:pStyle w:val="SingleTxtG"/>
        <w:ind w:left="720"/>
        <w:rPr>
          <w:lang w:val="uk-UA"/>
        </w:rPr>
      </w:pPr>
      <w:r w:rsidRPr="00060AE5">
        <w:rPr>
          <w:lang w:val="uk-UA"/>
        </w:rPr>
        <w:tab/>
      </w:r>
      <w:r w:rsidR="00313404" w:rsidRPr="00060AE5">
        <w:rPr>
          <w:lang w:val="uk-UA"/>
        </w:rPr>
        <w:t>(</w:t>
      </w:r>
      <w:r w:rsidR="00313404">
        <w:t>c</w:t>
      </w:r>
      <w:r w:rsidR="00313404" w:rsidRPr="00060AE5">
        <w:rPr>
          <w:lang w:val="uk-UA"/>
        </w:rPr>
        <w:t>)</w:t>
      </w:r>
      <w:r w:rsidRPr="00060AE5">
        <w:rPr>
          <w:lang w:val="uk-UA"/>
        </w:rPr>
        <w:tab/>
      </w:r>
      <w:r w:rsidR="007244E2">
        <w:rPr>
          <w:lang w:val="uk-UA"/>
        </w:rPr>
        <w:t xml:space="preserve">повідомленнями про те, що осіб з інвалідністю утримують без можливості зв’язку із зовнішнім світом в режимі </w:t>
      </w:r>
      <w:r w:rsidR="007244E2" w:rsidRPr="00F85EB3">
        <w:rPr>
          <w:i/>
          <w:iCs/>
        </w:rPr>
        <w:t>incommunicado</w:t>
      </w:r>
      <w:r w:rsidR="007244E2">
        <w:rPr>
          <w:i/>
          <w:iCs/>
          <w:lang w:val="uk-UA"/>
        </w:rPr>
        <w:t xml:space="preserve"> </w:t>
      </w:r>
      <w:r w:rsidR="007244E2">
        <w:rPr>
          <w:iCs/>
          <w:lang w:val="uk-UA"/>
        </w:rPr>
        <w:t>або примусово вивозять до російської федерації або на українські території, які перебувають під контролем російської федерації.</w:t>
      </w:r>
    </w:p>
    <w:p w14:paraId="5415FCFA" w14:textId="77777777" w:rsidR="007F1FD2" w:rsidRPr="00060AE5" w:rsidRDefault="00276848" w:rsidP="003C3A8C">
      <w:pPr>
        <w:pStyle w:val="SingleTxtG"/>
        <w:ind w:left="720"/>
        <w:rPr>
          <w:b/>
          <w:bCs/>
          <w:lang w:val="uk-UA"/>
        </w:rPr>
      </w:pPr>
      <w:r w:rsidRPr="00060AE5">
        <w:rPr>
          <w:b/>
          <w:bCs/>
          <w:lang w:val="uk-UA"/>
        </w:rPr>
        <w:t>26</w:t>
      </w:r>
      <w:r w:rsidR="007F1FD2" w:rsidRPr="00060AE5">
        <w:rPr>
          <w:b/>
          <w:bCs/>
          <w:lang w:val="uk-UA"/>
        </w:rPr>
        <w:t>.</w:t>
      </w:r>
      <w:r w:rsidR="007F1FD2" w:rsidRPr="00060AE5">
        <w:rPr>
          <w:b/>
          <w:bCs/>
          <w:lang w:val="uk-UA"/>
        </w:rPr>
        <w:tab/>
      </w:r>
      <w:r w:rsidR="007244E2">
        <w:rPr>
          <w:b/>
          <w:bCs/>
          <w:lang w:val="uk-UA"/>
        </w:rPr>
        <w:t>Нагадуючи цій Державі-учасниці про її зобов’язання за міжнародним гуманітарним правом, Коміте</w:t>
      </w:r>
      <w:r w:rsidR="00060AE5">
        <w:rPr>
          <w:b/>
          <w:bCs/>
          <w:lang w:val="uk-UA"/>
        </w:rPr>
        <w:t>т настійно закликає російську федерацію:</w:t>
      </w:r>
    </w:p>
    <w:p w14:paraId="5415FCFB" w14:textId="77777777" w:rsidR="00C90E37" w:rsidRPr="00C90E37" w:rsidRDefault="00560380" w:rsidP="003C3A8C">
      <w:pPr>
        <w:pStyle w:val="SingleTxtG"/>
        <w:ind w:left="720"/>
        <w:rPr>
          <w:b/>
          <w:bCs/>
          <w:lang w:val="uk-UA"/>
        </w:rPr>
      </w:pPr>
      <w:r w:rsidRPr="00060AE5">
        <w:rPr>
          <w:b/>
          <w:bCs/>
          <w:lang w:val="uk-UA"/>
        </w:rPr>
        <w:tab/>
        <w:t>(</w:t>
      </w:r>
      <w:r w:rsidR="00A25C87">
        <w:rPr>
          <w:b/>
          <w:bCs/>
        </w:rPr>
        <w:t>a</w:t>
      </w:r>
      <w:r w:rsidRPr="00060AE5">
        <w:rPr>
          <w:b/>
          <w:bCs/>
          <w:lang w:val="uk-UA"/>
        </w:rPr>
        <w:t>)</w:t>
      </w:r>
      <w:r w:rsidRPr="00060AE5">
        <w:rPr>
          <w:b/>
          <w:bCs/>
          <w:lang w:val="uk-UA"/>
        </w:rPr>
        <w:tab/>
      </w:r>
      <w:r w:rsidR="00C90E37">
        <w:rPr>
          <w:b/>
          <w:bCs/>
          <w:lang w:val="uk-UA"/>
        </w:rPr>
        <w:t xml:space="preserve">забезпечити, щоб усі особи з інвалідністю, які проживають на територіях, що перебувають під її окупацією, мали доступ до безпечної добровільної евакуації до місцевості за </w:t>
      </w:r>
      <w:r w:rsidR="00060AE5">
        <w:rPr>
          <w:b/>
          <w:bCs/>
          <w:lang w:val="uk-UA"/>
        </w:rPr>
        <w:t>своїм</w:t>
      </w:r>
      <w:r w:rsidR="00C90E37">
        <w:rPr>
          <w:b/>
          <w:bCs/>
          <w:lang w:val="uk-UA"/>
        </w:rPr>
        <w:t xml:space="preserve"> вибором, були захищені від насильства, наруги і жорстокого </w:t>
      </w:r>
      <w:r w:rsidR="00060AE5">
        <w:rPr>
          <w:b/>
          <w:bCs/>
          <w:lang w:val="uk-UA"/>
        </w:rPr>
        <w:t>поводження</w:t>
      </w:r>
      <w:r w:rsidR="00C90E37">
        <w:rPr>
          <w:b/>
          <w:bCs/>
          <w:lang w:val="uk-UA"/>
        </w:rPr>
        <w:t>; і мали повний доступ до базових послуг, в тому числі води і санітарії, соціальної підтримки, освіти, медичного обслуговування, транспорту та інформації;</w:t>
      </w:r>
    </w:p>
    <w:p w14:paraId="5415FCFC" w14:textId="77777777" w:rsidR="00C90E37" w:rsidRPr="00C90E37" w:rsidRDefault="00560380" w:rsidP="003C3A8C">
      <w:pPr>
        <w:pStyle w:val="SingleTxtG"/>
        <w:ind w:left="720"/>
        <w:rPr>
          <w:b/>
          <w:bCs/>
          <w:lang w:val="uk-UA"/>
        </w:rPr>
      </w:pPr>
      <w:r w:rsidRPr="003F1438">
        <w:rPr>
          <w:b/>
          <w:bCs/>
          <w:lang w:val="uk-UA"/>
        </w:rPr>
        <w:tab/>
      </w:r>
      <w:r w:rsidR="007F1FD2" w:rsidRPr="003F1438">
        <w:rPr>
          <w:b/>
          <w:bCs/>
          <w:lang w:val="uk-UA"/>
        </w:rPr>
        <w:t>(</w:t>
      </w:r>
      <w:r w:rsidR="00A25C87">
        <w:rPr>
          <w:b/>
          <w:bCs/>
        </w:rPr>
        <w:t>b</w:t>
      </w:r>
      <w:r w:rsidR="007F1FD2" w:rsidRPr="003F1438">
        <w:rPr>
          <w:b/>
          <w:bCs/>
          <w:lang w:val="uk-UA"/>
        </w:rPr>
        <w:t>)</w:t>
      </w:r>
      <w:r w:rsidR="007F1FD2" w:rsidRPr="003F1438">
        <w:rPr>
          <w:b/>
          <w:bCs/>
          <w:lang w:val="uk-UA"/>
        </w:rPr>
        <w:tab/>
      </w:r>
      <w:r w:rsidR="00C90E37">
        <w:rPr>
          <w:b/>
          <w:bCs/>
          <w:lang w:val="uk-UA"/>
        </w:rPr>
        <w:t xml:space="preserve">надавати представникам і персоналу міжнародних правозахисних і гуманітарних інституцій, в тому числі спеціалізованих </w:t>
      </w:r>
      <w:r w:rsidR="00C90E37">
        <w:rPr>
          <w:b/>
          <w:bCs/>
          <w:lang w:val="uk-UA"/>
        </w:rPr>
        <w:lastRenderedPageBreak/>
        <w:t>установ Організації Об’єднаних Націй, своєчасний, необмежений і безпечний доступ до осіб з інвалідністю, яких утримують на території російської федерації або районах, окупованих російською федерацією, і надавати відповідним зацікавленим сторонам всеосяжний перелік таких переміщених осіб із зазначенням їх місцезнаходження.</w:t>
      </w:r>
    </w:p>
    <w:p w14:paraId="5415FCFD" w14:textId="77777777" w:rsidR="00C90E37" w:rsidRPr="002711EC" w:rsidRDefault="00276848" w:rsidP="003C3A8C">
      <w:pPr>
        <w:pStyle w:val="SingleTxtG"/>
        <w:ind w:left="720"/>
        <w:rPr>
          <w:lang w:val="uk-UA"/>
        </w:rPr>
      </w:pPr>
      <w:r w:rsidRPr="00060AE5">
        <w:rPr>
          <w:lang w:val="uk-UA"/>
        </w:rPr>
        <w:t>27</w:t>
      </w:r>
      <w:r w:rsidR="00E60B15" w:rsidRPr="00060AE5">
        <w:rPr>
          <w:lang w:val="uk-UA"/>
        </w:rPr>
        <w:t>.</w:t>
      </w:r>
      <w:r w:rsidR="00E60B15" w:rsidRPr="00060AE5">
        <w:rPr>
          <w:lang w:val="uk-UA"/>
        </w:rPr>
        <w:tab/>
      </w:r>
      <w:r w:rsidR="00C90E37">
        <w:rPr>
          <w:lang w:val="uk-UA"/>
        </w:rPr>
        <w:t xml:space="preserve">Комітет занепокоєний тим, що </w:t>
      </w:r>
      <w:r w:rsidR="005072AC">
        <w:rPr>
          <w:lang w:val="uk-UA"/>
        </w:rPr>
        <w:t>внаслідок збройного конфлікту</w:t>
      </w:r>
      <w:r w:rsidR="00C90E37">
        <w:rPr>
          <w:lang w:val="uk-UA"/>
        </w:rPr>
        <w:t xml:space="preserve"> жінки і діти з ін</w:t>
      </w:r>
      <w:r w:rsidR="00FA18F6">
        <w:rPr>
          <w:lang w:val="uk-UA"/>
        </w:rPr>
        <w:t xml:space="preserve">валідністю ще більше стикаються із недбалим ставленням, домашнім насильством, пов’язаним з конфліктом сексуальним насильством, торгівлею людьми і сексуальною </w:t>
      </w:r>
      <w:r w:rsidR="00FA18F6" w:rsidRPr="002711EC">
        <w:rPr>
          <w:lang w:val="uk-UA"/>
        </w:rPr>
        <w:t>експлуатацією</w:t>
      </w:r>
      <w:r w:rsidR="005072AC" w:rsidRPr="002711EC">
        <w:rPr>
          <w:lang w:val="uk-UA"/>
        </w:rPr>
        <w:t xml:space="preserve">, </w:t>
      </w:r>
      <w:r w:rsidR="00060AE5" w:rsidRPr="002711EC">
        <w:rPr>
          <w:lang w:val="uk-UA"/>
        </w:rPr>
        <w:t>при чому</w:t>
      </w:r>
      <w:r w:rsidR="005072AC" w:rsidRPr="002711EC">
        <w:rPr>
          <w:lang w:val="uk-UA"/>
        </w:rPr>
        <w:t xml:space="preserve"> збройний конфлікт призвів до послаблення охорони правопорядку і роздробленості механізмів підтримки і безпеки</w:t>
      </w:r>
      <w:r w:rsidR="005072AC" w:rsidRPr="002711EC">
        <w:rPr>
          <w:rStyle w:val="FootnoteReference"/>
        </w:rPr>
        <w:footnoteReference w:id="19"/>
      </w:r>
      <w:r w:rsidR="005072AC" w:rsidRPr="002711EC">
        <w:rPr>
          <w:lang w:val="uk-UA"/>
        </w:rPr>
        <w:t>. Крім того, Комітет</w:t>
      </w:r>
      <w:r w:rsidR="005072AC">
        <w:rPr>
          <w:lang w:val="uk-UA"/>
        </w:rPr>
        <w:t xml:space="preserve"> зі занепокоєнням зазначає, що попри те, що потреби жінок і дітей з інвалідністю щодо захисту збільшилися, вони </w:t>
      </w:r>
      <w:r w:rsidR="005072AC" w:rsidRPr="002711EC">
        <w:rPr>
          <w:lang w:val="uk-UA"/>
        </w:rPr>
        <w:t>стикаються із додатковими складнощами в отриманні доступу до гуманітарної підтримки</w:t>
      </w:r>
      <w:r w:rsidR="005072AC" w:rsidRPr="002711EC">
        <w:rPr>
          <w:rStyle w:val="FootnoteReference"/>
        </w:rPr>
        <w:footnoteReference w:id="20"/>
      </w:r>
      <w:r w:rsidR="005072AC" w:rsidRPr="002711EC">
        <w:rPr>
          <w:lang w:val="uk-UA"/>
        </w:rPr>
        <w:t>.</w:t>
      </w:r>
    </w:p>
    <w:p w14:paraId="5415FCFE" w14:textId="77777777" w:rsidR="00EF61B4" w:rsidRPr="005072AC" w:rsidRDefault="00276848" w:rsidP="003C3A8C">
      <w:pPr>
        <w:pStyle w:val="SingleTxtG"/>
        <w:ind w:left="720"/>
        <w:rPr>
          <w:b/>
          <w:bCs/>
          <w:lang w:val="ru-RU"/>
        </w:rPr>
      </w:pPr>
      <w:r w:rsidRPr="005072AC">
        <w:rPr>
          <w:b/>
          <w:bCs/>
          <w:lang w:val="ru-RU"/>
        </w:rPr>
        <w:t>28</w:t>
      </w:r>
      <w:r w:rsidR="00EF61B4" w:rsidRPr="005072AC">
        <w:rPr>
          <w:b/>
          <w:bCs/>
          <w:lang w:val="ru-RU"/>
        </w:rPr>
        <w:t>.</w:t>
      </w:r>
      <w:r w:rsidR="00EF61B4" w:rsidRPr="005072AC">
        <w:rPr>
          <w:b/>
          <w:bCs/>
          <w:lang w:val="ru-RU"/>
        </w:rPr>
        <w:tab/>
      </w:r>
      <w:r w:rsidR="005072AC">
        <w:rPr>
          <w:b/>
          <w:bCs/>
          <w:lang w:val="uk-UA"/>
        </w:rPr>
        <w:t xml:space="preserve">Комітет </w:t>
      </w:r>
      <w:r w:rsidR="00060AE5">
        <w:rPr>
          <w:b/>
          <w:bCs/>
          <w:lang w:val="uk-UA"/>
        </w:rPr>
        <w:t xml:space="preserve">настійно </w:t>
      </w:r>
      <w:r w:rsidR="005072AC">
        <w:rPr>
          <w:b/>
          <w:bCs/>
          <w:lang w:val="uk-UA"/>
        </w:rPr>
        <w:t>закликає всі відповідні Держави-учасниці:</w:t>
      </w:r>
    </w:p>
    <w:p w14:paraId="5415FCFF" w14:textId="77777777" w:rsidR="005072AC" w:rsidRPr="005072AC" w:rsidRDefault="00EF61B4" w:rsidP="003C3A8C">
      <w:pPr>
        <w:pStyle w:val="SingleTxtG"/>
        <w:ind w:left="720"/>
        <w:rPr>
          <w:b/>
          <w:bCs/>
          <w:lang w:val="uk-UA"/>
        </w:rPr>
      </w:pPr>
      <w:r w:rsidRPr="005072AC">
        <w:rPr>
          <w:b/>
          <w:bCs/>
          <w:lang w:val="ru-RU"/>
        </w:rPr>
        <w:tab/>
        <w:t>(</w:t>
      </w:r>
      <w:r w:rsidRPr="00C20761">
        <w:rPr>
          <w:b/>
          <w:bCs/>
        </w:rPr>
        <w:t>a</w:t>
      </w:r>
      <w:r w:rsidRPr="005072AC">
        <w:rPr>
          <w:b/>
          <w:bCs/>
          <w:lang w:val="ru-RU"/>
        </w:rPr>
        <w:t>)</w:t>
      </w:r>
      <w:r w:rsidRPr="005072AC">
        <w:rPr>
          <w:b/>
          <w:bCs/>
          <w:lang w:val="ru-RU"/>
        </w:rPr>
        <w:tab/>
      </w:r>
      <w:r w:rsidR="005072AC">
        <w:rPr>
          <w:b/>
          <w:bCs/>
          <w:lang w:val="uk-UA"/>
        </w:rPr>
        <w:t>розробити комплексні стратегії для виявлення і зменшення ризиків експлуатації, насильства і наруги стосовно осіб з інвалідністю, зокрема стосовно примусово переміщених жінок і дітей з інвалідністю;</w:t>
      </w:r>
    </w:p>
    <w:p w14:paraId="5415FD00" w14:textId="77777777" w:rsidR="005072AC" w:rsidRPr="005072AC" w:rsidRDefault="00486FD8" w:rsidP="003C3A8C">
      <w:pPr>
        <w:pStyle w:val="SingleTxtG"/>
        <w:ind w:left="720"/>
        <w:rPr>
          <w:b/>
          <w:bCs/>
          <w:lang w:val="uk-UA"/>
        </w:rPr>
      </w:pPr>
      <w:r w:rsidRPr="003F1438">
        <w:rPr>
          <w:b/>
          <w:bCs/>
          <w:lang w:val="ru-RU"/>
        </w:rPr>
        <w:tab/>
        <w:t>(</w:t>
      </w:r>
      <w:r w:rsidRPr="00C20761">
        <w:rPr>
          <w:b/>
          <w:bCs/>
        </w:rPr>
        <w:t>b</w:t>
      </w:r>
      <w:r w:rsidRPr="003F1438">
        <w:rPr>
          <w:b/>
          <w:bCs/>
          <w:lang w:val="ru-RU"/>
        </w:rPr>
        <w:t>)</w:t>
      </w:r>
      <w:r w:rsidRPr="003F1438">
        <w:rPr>
          <w:b/>
          <w:bCs/>
          <w:lang w:val="ru-RU"/>
        </w:rPr>
        <w:tab/>
      </w:r>
      <w:r w:rsidR="005072AC">
        <w:rPr>
          <w:b/>
          <w:bCs/>
          <w:lang w:val="uk-UA"/>
        </w:rPr>
        <w:t>забезпечити достатній захист жінкам і дітям з інвалідністю і сприяти своєчасному доступу до масових і спеціалізованих послуг, в тому числі медичних, правових, психологічних, соціальних та освітніх послуг, які надаються з урахуванням вікових і гендерних особливостей.</w:t>
      </w:r>
    </w:p>
    <w:p w14:paraId="5415FD01" w14:textId="77777777" w:rsidR="005072AC" w:rsidRPr="00265CA5" w:rsidRDefault="00276848" w:rsidP="003C3A8C">
      <w:pPr>
        <w:pStyle w:val="SingleTxtG"/>
        <w:ind w:left="720"/>
        <w:rPr>
          <w:lang w:val="uk-UA"/>
        </w:rPr>
      </w:pPr>
      <w:r w:rsidRPr="00060AE5">
        <w:rPr>
          <w:lang w:val="uk-UA"/>
        </w:rPr>
        <w:t>29</w:t>
      </w:r>
      <w:r w:rsidR="005066FF" w:rsidRPr="00060AE5">
        <w:rPr>
          <w:lang w:val="uk-UA"/>
        </w:rPr>
        <w:t>.</w:t>
      </w:r>
      <w:r w:rsidR="005066FF" w:rsidRPr="00060AE5">
        <w:rPr>
          <w:lang w:val="uk-UA"/>
        </w:rPr>
        <w:tab/>
      </w:r>
      <w:r w:rsidR="005072AC">
        <w:rPr>
          <w:lang w:val="uk-UA"/>
        </w:rPr>
        <w:t xml:space="preserve">Комітет зі занепокоєнням зауважує, </w:t>
      </w:r>
      <w:r w:rsidR="00265CA5">
        <w:rPr>
          <w:lang w:val="uk-UA"/>
        </w:rPr>
        <w:t>що</w:t>
      </w:r>
      <w:r w:rsidR="005072AC">
        <w:rPr>
          <w:lang w:val="uk-UA"/>
        </w:rPr>
        <w:t xml:space="preserve"> </w:t>
      </w:r>
      <w:r w:rsidR="00060AE5">
        <w:rPr>
          <w:lang w:val="uk-UA"/>
        </w:rPr>
        <w:t>в умовах</w:t>
      </w:r>
      <w:r w:rsidR="005072AC">
        <w:rPr>
          <w:lang w:val="uk-UA"/>
        </w:rPr>
        <w:t xml:space="preserve"> зростання кількості людей, які </w:t>
      </w:r>
      <w:r w:rsidR="00265CA5">
        <w:rPr>
          <w:lang w:val="uk-UA"/>
        </w:rPr>
        <w:t xml:space="preserve">в результаті </w:t>
      </w:r>
      <w:r w:rsidR="00060AE5">
        <w:rPr>
          <w:lang w:val="uk-UA"/>
        </w:rPr>
        <w:t xml:space="preserve">збройних </w:t>
      </w:r>
      <w:r w:rsidR="00265CA5">
        <w:rPr>
          <w:lang w:val="uk-UA"/>
        </w:rPr>
        <w:t xml:space="preserve">бойових дій </w:t>
      </w:r>
      <w:r w:rsidR="005072AC">
        <w:rPr>
          <w:lang w:val="uk-UA"/>
        </w:rPr>
        <w:t xml:space="preserve">зазнали травм і </w:t>
      </w:r>
      <w:r w:rsidR="005072AC" w:rsidRPr="002711EC">
        <w:rPr>
          <w:lang w:val="uk-UA"/>
        </w:rPr>
        <w:t>ушкоджень</w:t>
      </w:r>
      <w:r w:rsidR="00265CA5" w:rsidRPr="002711EC">
        <w:rPr>
          <w:lang w:val="uk-UA"/>
        </w:rPr>
        <w:t xml:space="preserve">, пов’язаних із конфліктом, система охорони здоров’я в Україні </w:t>
      </w:r>
      <w:r w:rsidR="00060AE5" w:rsidRPr="002711EC">
        <w:rPr>
          <w:lang w:val="uk-UA"/>
        </w:rPr>
        <w:t>є серйозно підірваною</w:t>
      </w:r>
      <w:r w:rsidR="00265CA5" w:rsidRPr="002711EC">
        <w:rPr>
          <w:lang w:val="uk-UA"/>
        </w:rPr>
        <w:t xml:space="preserve"> внаслідок неперервних </w:t>
      </w:r>
      <w:r w:rsidR="00060AE5" w:rsidRPr="002711EC">
        <w:rPr>
          <w:lang w:val="uk-UA"/>
        </w:rPr>
        <w:t xml:space="preserve">нападів на </w:t>
      </w:r>
      <w:r w:rsidR="00265CA5" w:rsidRPr="002711EC">
        <w:rPr>
          <w:lang w:val="uk-UA"/>
        </w:rPr>
        <w:t>лікарн</w:t>
      </w:r>
      <w:r w:rsidR="00060AE5" w:rsidRPr="002711EC">
        <w:rPr>
          <w:lang w:val="uk-UA"/>
        </w:rPr>
        <w:t xml:space="preserve">і та інші </w:t>
      </w:r>
      <w:r w:rsidR="00265CA5" w:rsidRPr="002711EC">
        <w:rPr>
          <w:lang w:val="uk-UA"/>
        </w:rPr>
        <w:t>медичн</w:t>
      </w:r>
      <w:r w:rsidR="00060AE5" w:rsidRPr="002711EC">
        <w:rPr>
          <w:lang w:val="uk-UA"/>
        </w:rPr>
        <w:t>і</w:t>
      </w:r>
      <w:r w:rsidR="00265CA5" w:rsidRPr="002711EC">
        <w:rPr>
          <w:lang w:val="uk-UA"/>
        </w:rPr>
        <w:t xml:space="preserve"> заклад</w:t>
      </w:r>
      <w:r w:rsidR="00060AE5" w:rsidRPr="002711EC">
        <w:rPr>
          <w:lang w:val="uk-UA"/>
        </w:rPr>
        <w:t>и</w:t>
      </w:r>
      <w:r w:rsidR="00265CA5" w:rsidRPr="002711EC">
        <w:rPr>
          <w:rStyle w:val="FootnoteReference"/>
        </w:rPr>
        <w:footnoteReference w:id="21"/>
      </w:r>
      <w:r w:rsidR="00265CA5" w:rsidRPr="002711EC">
        <w:rPr>
          <w:lang w:val="uk-UA"/>
        </w:rPr>
        <w:t xml:space="preserve"> і</w:t>
      </w:r>
      <w:r w:rsidR="00265CA5">
        <w:rPr>
          <w:lang w:val="uk-UA"/>
        </w:rPr>
        <w:t xml:space="preserve"> доступ до послуг охорони здоров’я і реабілітації обмежений чи відсутній</w:t>
      </w:r>
      <w:r w:rsidR="00265CA5" w:rsidRPr="00265CA5">
        <w:rPr>
          <w:lang w:val="uk-UA"/>
        </w:rPr>
        <w:t xml:space="preserve"> </w:t>
      </w:r>
      <w:r w:rsidR="00265CA5">
        <w:rPr>
          <w:lang w:val="uk-UA"/>
        </w:rPr>
        <w:t>взагалі, в тому числі до послуг охорони психічного здоров’я і психологічної підтримки.</w:t>
      </w:r>
    </w:p>
    <w:p w14:paraId="5415FD02" w14:textId="77777777" w:rsidR="00265CA5" w:rsidRPr="00265CA5" w:rsidRDefault="00276848" w:rsidP="003C3A8C">
      <w:pPr>
        <w:pStyle w:val="SingleTxtG"/>
        <w:ind w:left="720"/>
        <w:rPr>
          <w:b/>
          <w:bCs/>
          <w:lang w:val="uk-UA"/>
        </w:rPr>
      </w:pPr>
      <w:r w:rsidRPr="00060AE5">
        <w:rPr>
          <w:b/>
          <w:bCs/>
          <w:lang w:val="uk-UA"/>
        </w:rPr>
        <w:t>30</w:t>
      </w:r>
      <w:r w:rsidR="00BC02DA" w:rsidRPr="00060AE5">
        <w:rPr>
          <w:b/>
          <w:bCs/>
          <w:lang w:val="uk-UA"/>
        </w:rPr>
        <w:t>.</w:t>
      </w:r>
      <w:r w:rsidR="00BC02DA" w:rsidRPr="00060AE5">
        <w:rPr>
          <w:b/>
          <w:bCs/>
          <w:lang w:val="uk-UA"/>
        </w:rPr>
        <w:tab/>
      </w:r>
      <w:r w:rsidR="00265CA5">
        <w:rPr>
          <w:b/>
          <w:bCs/>
          <w:lang w:val="uk-UA"/>
        </w:rPr>
        <w:t>Пам’ятаючи про резолюцію Генеральної Асамблеї ООН про основні принципи захисту цивільного населення в період збройних конфліктів</w:t>
      </w:r>
      <w:r w:rsidR="00265CA5" w:rsidRPr="00AD2978">
        <w:rPr>
          <w:rStyle w:val="FootnoteReference"/>
          <w:b/>
          <w:bCs/>
        </w:rPr>
        <w:footnoteReference w:id="22"/>
      </w:r>
      <w:r w:rsidR="00265CA5">
        <w:rPr>
          <w:b/>
          <w:bCs/>
          <w:lang w:val="uk-UA"/>
        </w:rPr>
        <w:t xml:space="preserve"> і зобов’язання Держави-учасниці за міжнародним гуманітарним правом, Комітет </w:t>
      </w:r>
      <w:r w:rsidR="00060AE5">
        <w:rPr>
          <w:b/>
          <w:bCs/>
          <w:lang w:val="uk-UA"/>
        </w:rPr>
        <w:t xml:space="preserve">настійно </w:t>
      </w:r>
      <w:r w:rsidR="00265CA5">
        <w:rPr>
          <w:b/>
          <w:bCs/>
          <w:lang w:val="uk-UA"/>
        </w:rPr>
        <w:t xml:space="preserve">закликає російську федерацію негайно припинити напади на цивільних осіб </w:t>
      </w:r>
      <w:r w:rsidR="00060AE5">
        <w:rPr>
          <w:b/>
          <w:bCs/>
          <w:lang w:val="uk-UA"/>
        </w:rPr>
        <w:t>і</w:t>
      </w:r>
      <w:r w:rsidR="00265CA5">
        <w:rPr>
          <w:b/>
          <w:bCs/>
          <w:lang w:val="uk-UA"/>
        </w:rPr>
        <w:t xml:space="preserve"> цивільну інфраструктуру, в тому числі лікарні, клініки, реабілітаційні центри, пологові будинки, автомобілі швидкої допомоги і медичних працівників. Крім того, Комітет рекомендує усім відповідним Державам-учасницям забезпечити</w:t>
      </w:r>
      <w:r w:rsidR="002E30FD">
        <w:rPr>
          <w:b/>
          <w:bCs/>
          <w:lang w:val="uk-UA"/>
        </w:rPr>
        <w:t xml:space="preserve"> примусово переміщеним особам можливість отримувати послуги охорони здоров’я і реабілітації, які мають надаватися в доступний і культурно-відповідний спосіб, та надавати їм доступ до послуг охорони здоров’я і реабілітації нарівні з населенням в цілому.</w:t>
      </w:r>
    </w:p>
    <w:p w14:paraId="5415FD03" w14:textId="77777777" w:rsidR="002E30FD" w:rsidRPr="002E30FD" w:rsidRDefault="00276848" w:rsidP="00042E92">
      <w:pPr>
        <w:pStyle w:val="SingleTxtG"/>
        <w:ind w:left="720"/>
        <w:rPr>
          <w:lang w:val="uk-UA"/>
        </w:rPr>
      </w:pPr>
      <w:r w:rsidRPr="00060AE5">
        <w:rPr>
          <w:lang w:val="uk-UA"/>
        </w:rPr>
        <w:t>31</w:t>
      </w:r>
      <w:r w:rsidR="00AD2978" w:rsidRPr="00060AE5">
        <w:rPr>
          <w:lang w:val="uk-UA"/>
        </w:rPr>
        <w:t>.</w:t>
      </w:r>
      <w:r w:rsidR="00F41C27" w:rsidRPr="00060AE5">
        <w:rPr>
          <w:lang w:val="uk-UA"/>
        </w:rPr>
        <w:tab/>
      </w:r>
      <w:r w:rsidR="002E30FD">
        <w:rPr>
          <w:lang w:val="uk-UA"/>
        </w:rPr>
        <w:t xml:space="preserve">Комітет із занепокоєнням зазначає, що попри вкрай важливе значення розукрупнених даних про осіб з інвалідністю для розроблення інклюзивних стратегій гуманітарного реагування ані Держави-учасниці, ані гуманітарні суб’єкти не ведуть систематичну роботу з </w:t>
      </w:r>
      <w:r w:rsidR="00060AE5">
        <w:rPr>
          <w:lang w:val="uk-UA"/>
        </w:rPr>
        <w:t>виявлення</w:t>
      </w:r>
      <w:r w:rsidR="002E30FD">
        <w:rPr>
          <w:lang w:val="uk-UA"/>
        </w:rPr>
        <w:t xml:space="preserve"> і звітування на основі специфічних показників </w:t>
      </w:r>
      <w:r w:rsidR="00042E92">
        <w:rPr>
          <w:lang w:val="uk-UA"/>
        </w:rPr>
        <w:t xml:space="preserve">інвалідності. </w:t>
      </w:r>
      <w:r w:rsidR="000330A7">
        <w:rPr>
          <w:lang w:val="uk-UA"/>
        </w:rPr>
        <w:t>Відсутність</w:t>
      </w:r>
      <w:r w:rsidR="00042E92">
        <w:rPr>
          <w:lang w:val="uk-UA"/>
        </w:rPr>
        <w:t xml:space="preserve"> даних є особливо гострою на територіях України, що перебувають під окупацією російської федерації.</w:t>
      </w:r>
      <w:r w:rsidR="002E30FD">
        <w:rPr>
          <w:lang w:val="uk-UA"/>
        </w:rPr>
        <w:t xml:space="preserve"> </w:t>
      </w:r>
    </w:p>
    <w:p w14:paraId="5415FD04" w14:textId="77777777" w:rsidR="003B117D" w:rsidRPr="00042E92" w:rsidRDefault="00276848" w:rsidP="003C3A8C">
      <w:pPr>
        <w:pStyle w:val="SingleTxtG"/>
        <w:ind w:left="720"/>
        <w:rPr>
          <w:b/>
          <w:bCs/>
          <w:lang w:val="ru-RU"/>
        </w:rPr>
      </w:pPr>
      <w:r w:rsidRPr="00042E92">
        <w:rPr>
          <w:b/>
          <w:bCs/>
          <w:lang w:val="ru-RU"/>
        </w:rPr>
        <w:t>32</w:t>
      </w:r>
      <w:r w:rsidR="003B117D" w:rsidRPr="00042E92">
        <w:rPr>
          <w:b/>
          <w:bCs/>
          <w:lang w:val="ru-RU"/>
        </w:rPr>
        <w:t>.</w:t>
      </w:r>
      <w:r w:rsidR="003B117D" w:rsidRPr="00042E92">
        <w:rPr>
          <w:b/>
          <w:bCs/>
          <w:lang w:val="ru-RU"/>
        </w:rPr>
        <w:tab/>
      </w:r>
      <w:r w:rsidR="00042E92">
        <w:rPr>
          <w:b/>
          <w:bCs/>
          <w:lang w:val="uk-UA"/>
        </w:rPr>
        <w:t>Комітет рекомендує всім відповідним Державам-учасницям:</w:t>
      </w:r>
    </w:p>
    <w:p w14:paraId="5415FD05" w14:textId="77777777" w:rsidR="00042E92" w:rsidRPr="00042E92" w:rsidRDefault="003B117D" w:rsidP="003C3A8C">
      <w:pPr>
        <w:pStyle w:val="SingleTxtG"/>
        <w:ind w:left="720"/>
        <w:rPr>
          <w:b/>
          <w:bCs/>
          <w:lang w:val="uk-UA"/>
        </w:rPr>
      </w:pPr>
      <w:r w:rsidRPr="00042E92">
        <w:rPr>
          <w:b/>
          <w:bCs/>
          <w:lang w:val="ru-RU"/>
        </w:rPr>
        <w:tab/>
        <w:t>(</w:t>
      </w:r>
      <w:r>
        <w:rPr>
          <w:b/>
          <w:bCs/>
        </w:rPr>
        <w:t>a</w:t>
      </w:r>
      <w:r w:rsidRPr="00042E92">
        <w:rPr>
          <w:b/>
          <w:bCs/>
          <w:lang w:val="ru-RU"/>
        </w:rPr>
        <w:t>)</w:t>
      </w:r>
      <w:r w:rsidRPr="00042E92">
        <w:rPr>
          <w:b/>
          <w:bCs/>
          <w:lang w:val="ru-RU"/>
        </w:rPr>
        <w:tab/>
      </w:r>
      <w:r w:rsidR="00042E92">
        <w:rPr>
          <w:b/>
          <w:bCs/>
          <w:lang w:val="uk-UA"/>
        </w:rPr>
        <w:t xml:space="preserve">забезпечити облік усіх осіб з інвалідністю, збирати та обмінюватися даними, розподіленими за статтю, віком і видом інвалідності; </w:t>
      </w:r>
      <w:r w:rsidR="00042E92">
        <w:rPr>
          <w:b/>
          <w:bCs/>
          <w:lang w:val="uk-UA"/>
        </w:rPr>
        <w:lastRenderedPageBreak/>
        <w:t>приділяти пріоритетну увагу прозорості і наданню зібраних даних без можливості встановлення особи відповідним зацікавленим сторонам;</w:t>
      </w:r>
    </w:p>
    <w:p w14:paraId="5415FD06" w14:textId="77777777" w:rsidR="00042E92" w:rsidRPr="00042E92" w:rsidRDefault="00FA0167" w:rsidP="003C3A8C">
      <w:pPr>
        <w:pStyle w:val="SingleTxtG"/>
        <w:ind w:left="720"/>
        <w:rPr>
          <w:b/>
          <w:bCs/>
          <w:lang w:val="uk-UA"/>
        </w:rPr>
      </w:pPr>
      <w:r w:rsidRPr="003F1438">
        <w:rPr>
          <w:b/>
          <w:bCs/>
          <w:lang w:val="ru-RU"/>
        </w:rPr>
        <w:tab/>
        <w:t>(</w:t>
      </w:r>
      <w:r>
        <w:rPr>
          <w:b/>
          <w:bCs/>
        </w:rPr>
        <w:t>b</w:t>
      </w:r>
      <w:r w:rsidRPr="003F1438">
        <w:rPr>
          <w:b/>
          <w:bCs/>
          <w:lang w:val="ru-RU"/>
        </w:rPr>
        <w:t>)</w:t>
      </w:r>
      <w:r w:rsidRPr="003F1438">
        <w:rPr>
          <w:b/>
          <w:bCs/>
          <w:lang w:val="ru-RU"/>
        </w:rPr>
        <w:tab/>
      </w:r>
      <w:r w:rsidR="00042E92">
        <w:rPr>
          <w:b/>
          <w:bCs/>
          <w:lang w:val="uk-UA"/>
        </w:rPr>
        <w:t xml:space="preserve">забезпечити, щоб різні сектори враховували дані, розподілені за статтю, віком і видом інвалідності, </w:t>
      </w:r>
      <w:r w:rsidR="000330A7">
        <w:rPr>
          <w:b/>
          <w:bCs/>
          <w:lang w:val="uk-UA"/>
        </w:rPr>
        <w:t>в своїй діяльності</w:t>
      </w:r>
      <w:r w:rsidR="00042E92">
        <w:rPr>
          <w:b/>
          <w:bCs/>
          <w:lang w:val="uk-UA"/>
        </w:rPr>
        <w:t xml:space="preserve">, а також з’ясовували думки всіх груп населення, </w:t>
      </w:r>
      <w:r w:rsidR="000330A7">
        <w:rPr>
          <w:b/>
          <w:bCs/>
          <w:lang w:val="uk-UA"/>
        </w:rPr>
        <w:t>які</w:t>
      </w:r>
      <w:r w:rsidR="00042E92">
        <w:rPr>
          <w:b/>
          <w:bCs/>
          <w:lang w:val="uk-UA"/>
        </w:rPr>
        <w:t xml:space="preserve"> постраждали від конфлікту, в тому числі жінок і дітей з інвалідністю;</w:t>
      </w:r>
    </w:p>
    <w:p w14:paraId="5415FD07" w14:textId="77777777" w:rsidR="00042E92" w:rsidRPr="00042E92" w:rsidRDefault="00FA0167" w:rsidP="003C3A8C">
      <w:pPr>
        <w:pStyle w:val="SingleTxtG"/>
        <w:ind w:left="720"/>
        <w:rPr>
          <w:b/>
          <w:bCs/>
          <w:lang w:val="uk-UA"/>
        </w:rPr>
      </w:pPr>
      <w:r w:rsidRPr="003F1438">
        <w:rPr>
          <w:b/>
          <w:bCs/>
          <w:lang w:val="ru-RU"/>
        </w:rPr>
        <w:tab/>
        <w:t>(</w:t>
      </w:r>
      <w:r>
        <w:rPr>
          <w:b/>
          <w:bCs/>
        </w:rPr>
        <w:t>c</w:t>
      </w:r>
      <w:r w:rsidRPr="003F1438">
        <w:rPr>
          <w:b/>
          <w:bCs/>
          <w:lang w:val="ru-RU"/>
        </w:rPr>
        <w:t>)</w:t>
      </w:r>
      <w:r w:rsidRPr="003F1438">
        <w:rPr>
          <w:b/>
          <w:bCs/>
          <w:lang w:val="ru-RU"/>
        </w:rPr>
        <w:tab/>
      </w:r>
      <w:r w:rsidR="00042E92">
        <w:rPr>
          <w:b/>
          <w:bCs/>
          <w:lang w:val="uk-UA"/>
        </w:rPr>
        <w:t>запровадити вимогу щодо застосування маркерів гендеру та інвалідності при виділенні коштів на гуманітарну діяльність.</w:t>
      </w:r>
    </w:p>
    <w:p w14:paraId="5415FD08" w14:textId="77777777" w:rsidR="00165C09" w:rsidRPr="00165C09" w:rsidRDefault="00276848" w:rsidP="003C3A8C">
      <w:pPr>
        <w:pStyle w:val="SingleTxtG"/>
        <w:ind w:left="720"/>
        <w:rPr>
          <w:lang w:val="uk-UA"/>
        </w:rPr>
      </w:pPr>
      <w:r w:rsidRPr="000330A7">
        <w:rPr>
          <w:lang w:val="uk-UA"/>
        </w:rPr>
        <w:t>33</w:t>
      </w:r>
      <w:r w:rsidR="00BE3D97" w:rsidRPr="000330A7">
        <w:rPr>
          <w:lang w:val="uk-UA"/>
        </w:rPr>
        <w:t>.</w:t>
      </w:r>
      <w:r w:rsidR="00BE3D97" w:rsidRPr="000330A7">
        <w:rPr>
          <w:lang w:val="uk-UA"/>
        </w:rPr>
        <w:tab/>
      </w:r>
      <w:r w:rsidR="00165C09">
        <w:rPr>
          <w:lang w:val="uk-UA"/>
        </w:rPr>
        <w:t xml:space="preserve">Комітет занепокоєний недостатньою гармонізацією міжнародних програм гуманітарної допомоги, в тому числі програм Європейського союзу, з метою і положеннями Конвенції, а також відсутністю залучення українських організацій осіб з інвалідністю до консультацій, розроблення і впровадження програм міжнародної співпраці, в тому числі спрямованих на надання гуманітарної допомоги. Комітет також занепокоєний повідомленнями про те, що закладам інтернатного типу складно покривати витрати на проживання і медичний догляд за людьми, які в них проживають, і що вони покладаються на донорську підтримку для забезпечення основних </w:t>
      </w:r>
      <w:r w:rsidR="000330A7">
        <w:rPr>
          <w:lang w:val="uk-UA"/>
        </w:rPr>
        <w:t>потреб</w:t>
      </w:r>
      <w:r w:rsidR="00165C09">
        <w:rPr>
          <w:lang w:val="uk-UA"/>
        </w:rPr>
        <w:t xml:space="preserve">, </w:t>
      </w:r>
      <w:r w:rsidR="000330A7">
        <w:rPr>
          <w:lang w:val="uk-UA"/>
        </w:rPr>
        <w:t>у</w:t>
      </w:r>
      <w:r w:rsidR="00165C09">
        <w:rPr>
          <w:lang w:val="uk-UA"/>
        </w:rPr>
        <w:t xml:space="preserve"> тому числі опалення на майбутній зимовий період.</w:t>
      </w:r>
    </w:p>
    <w:p w14:paraId="5415FD09" w14:textId="77777777" w:rsidR="00165C09" w:rsidRPr="00165C09" w:rsidRDefault="00276848" w:rsidP="003C3A8C">
      <w:pPr>
        <w:pStyle w:val="SingleTxtG"/>
        <w:ind w:left="720"/>
        <w:rPr>
          <w:b/>
          <w:bCs/>
          <w:lang w:val="uk-UA"/>
        </w:rPr>
      </w:pPr>
      <w:r w:rsidRPr="000330A7">
        <w:rPr>
          <w:b/>
          <w:bCs/>
          <w:lang w:val="uk-UA"/>
        </w:rPr>
        <w:t>34</w:t>
      </w:r>
      <w:r w:rsidR="00653BBF" w:rsidRPr="000330A7">
        <w:rPr>
          <w:b/>
          <w:bCs/>
          <w:lang w:val="uk-UA"/>
        </w:rPr>
        <w:t>.</w:t>
      </w:r>
      <w:r w:rsidR="00653BBF" w:rsidRPr="000330A7">
        <w:rPr>
          <w:b/>
          <w:bCs/>
          <w:lang w:val="uk-UA"/>
        </w:rPr>
        <w:tab/>
      </w:r>
      <w:r w:rsidR="00165C09">
        <w:rPr>
          <w:b/>
          <w:bCs/>
          <w:lang w:val="uk-UA"/>
        </w:rPr>
        <w:t xml:space="preserve">Комітет закликає всі відповідні Держави-учасниці забезпечити, щоб міжнародна співпраця була інклюзивною стосовно всіх осіб з інвалідністю і доступною для них, а також в усіх випадках враховувала стандарти, визначені Конвенцією. Він також нагадує всім відповідним сторонам про зобов’язання при використанні коштів у межах міжнародної співпраці, в тому числі коштів Європейського союзу, забезпечувати участь осіб з інвалідністю та їхніх представницьких організацій у процесах ухвалення рішень. </w:t>
      </w:r>
      <w:r w:rsidR="009B7FF9">
        <w:rPr>
          <w:b/>
          <w:bCs/>
          <w:lang w:val="uk-UA"/>
        </w:rPr>
        <w:t>Зрештою, Комітет настійно закликає всі відповідні сторони забезпечити, щоб міжнародні кошти не вкладалися у відбудову, розширення чи ремонт закладів інтернатного типу для осіб з інвалідністю, і натомість спрямовувалися на розвиток умов для самостійного проживання, орієнтованих на відновлення і створення доступних послуг і закладів на рівні громади, послуг на дому, персоналізованих видів підтримки, в тому числі економічного доступного житла в громаді нарівні з іншими.</w:t>
      </w:r>
    </w:p>
    <w:p w14:paraId="5415FD0A" w14:textId="77777777" w:rsidR="009B7FF9" w:rsidRPr="009B7FF9" w:rsidRDefault="00276848" w:rsidP="003C3A8C">
      <w:pPr>
        <w:pStyle w:val="SingleTxtG"/>
        <w:ind w:left="720"/>
        <w:rPr>
          <w:color w:val="000000" w:themeColor="text1"/>
          <w:lang w:val="uk-UA"/>
        </w:rPr>
      </w:pPr>
      <w:r w:rsidRPr="000330A7">
        <w:rPr>
          <w:color w:val="000000" w:themeColor="text1"/>
          <w:lang w:val="uk-UA"/>
        </w:rPr>
        <w:t>35</w:t>
      </w:r>
      <w:r w:rsidR="007D2528" w:rsidRPr="000330A7">
        <w:rPr>
          <w:color w:val="000000" w:themeColor="text1"/>
          <w:lang w:val="uk-UA"/>
        </w:rPr>
        <w:t>.</w:t>
      </w:r>
      <w:r w:rsidR="007D2528" w:rsidRPr="000330A7">
        <w:rPr>
          <w:color w:val="000000" w:themeColor="text1"/>
          <w:lang w:val="uk-UA"/>
        </w:rPr>
        <w:tab/>
      </w:r>
      <w:r w:rsidR="009B7FF9">
        <w:rPr>
          <w:color w:val="000000" w:themeColor="text1"/>
          <w:lang w:val="uk-UA"/>
        </w:rPr>
        <w:t>Комітет із занепокоєнням зазначає брак доступного штучного середовища в Україні, в тому числі тимчасових при</w:t>
      </w:r>
      <w:r w:rsidR="000330A7">
        <w:rPr>
          <w:color w:val="000000" w:themeColor="text1"/>
          <w:lang w:val="uk-UA"/>
        </w:rPr>
        <w:t>х</w:t>
      </w:r>
      <w:r w:rsidR="009B7FF9">
        <w:rPr>
          <w:color w:val="000000" w:themeColor="text1"/>
          <w:lang w:val="uk-UA"/>
        </w:rPr>
        <w:t>истків, суспільних послуг і громадського транспорту</w:t>
      </w:r>
      <w:r w:rsidR="001B10E9">
        <w:rPr>
          <w:color w:val="000000" w:themeColor="text1"/>
          <w:lang w:val="uk-UA"/>
        </w:rPr>
        <w:t xml:space="preserve">, </w:t>
      </w:r>
      <w:r w:rsidR="000330A7">
        <w:rPr>
          <w:color w:val="000000" w:themeColor="text1"/>
          <w:lang w:val="uk-UA"/>
        </w:rPr>
        <w:t>і</w:t>
      </w:r>
      <w:r w:rsidR="001B10E9">
        <w:rPr>
          <w:color w:val="000000" w:themeColor="text1"/>
          <w:lang w:val="uk-UA"/>
        </w:rPr>
        <w:t xml:space="preserve"> зокрема в сільській місцевості </w:t>
      </w:r>
      <w:r w:rsidR="000330A7">
        <w:rPr>
          <w:color w:val="000000" w:themeColor="text1"/>
          <w:lang w:val="uk-UA"/>
        </w:rPr>
        <w:t>та в</w:t>
      </w:r>
      <w:r w:rsidR="001B10E9">
        <w:rPr>
          <w:color w:val="000000" w:themeColor="text1"/>
          <w:lang w:val="uk-UA"/>
        </w:rPr>
        <w:t xml:space="preserve"> маленьких містечках, причому після 24 лютого 2022 ситуація погіршилася.</w:t>
      </w:r>
    </w:p>
    <w:p w14:paraId="5415FD0B" w14:textId="77777777" w:rsidR="001B10E9" w:rsidRPr="001B10E9" w:rsidRDefault="00276848" w:rsidP="003C3A8C">
      <w:pPr>
        <w:pStyle w:val="SingleTxtG"/>
        <w:ind w:left="720"/>
        <w:rPr>
          <w:b/>
          <w:bCs/>
          <w:color w:val="000000" w:themeColor="text1"/>
          <w:lang w:val="uk-UA"/>
        </w:rPr>
      </w:pPr>
      <w:r w:rsidRPr="000330A7">
        <w:rPr>
          <w:b/>
          <w:bCs/>
          <w:color w:val="000000" w:themeColor="text1"/>
          <w:lang w:val="uk-UA"/>
        </w:rPr>
        <w:t>36</w:t>
      </w:r>
      <w:r w:rsidR="00A426F0" w:rsidRPr="000330A7">
        <w:rPr>
          <w:b/>
          <w:bCs/>
          <w:color w:val="000000" w:themeColor="text1"/>
          <w:lang w:val="uk-UA"/>
        </w:rPr>
        <w:t>.</w:t>
      </w:r>
      <w:r w:rsidR="00A426F0" w:rsidRPr="000330A7">
        <w:rPr>
          <w:b/>
          <w:bCs/>
          <w:color w:val="000000" w:themeColor="text1"/>
          <w:lang w:val="uk-UA"/>
        </w:rPr>
        <w:tab/>
      </w:r>
      <w:r w:rsidR="001B10E9">
        <w:rPr>
          <w:b/>
          <w:bCs/>
          <w:color w:val="000000" w:themeColor="text1"/>
          <w:lang w:val="uk-UA"/>
        </w:rPr>
        <w:t xml:space="preserve">Комітет рекомендує Україні забезпечити доступність шляхом застосування універсального дизайну в усіх планах і стратегіях післявоєнного відновлення і відбудови, зокрема в процесі планування і відновлення інфраструктури </w:t>
      </w:r>
      <w:r w:rsidR="000330A7">
        <w:rPr>
          <w:b/>
          <w:bCs/>
          <w:color w:val="000000" w:themeColor="text1"/>
          <w:lang w:val="uk-UA"/>
        </w:rPr>
        <w:t>і</w:t>
      </w:r>
      <w:r w:rsidR="001B10E9">
        <w:rPr>
          <w:b/>
          <w:bCs/>
          <w:color w:val="000000" w:themeColor="text1"/>
          <w:lang w:val="uk-UA"/>
        </w:rPr>
        <w:t xml:space="preserve"> громадських будівель.</w:t>
      </w:r>
    </w:p>
    <w:p w14:paraId="5415FD0C" w14:textId="77777777" w:rsidR="00F44AE8" w:rsidRPr="001439E5" w:rsidRDefault="00276848" w:rsidP="003C3A8C">
      <w:pPr>
        <w:pStyle w:val="SingleTxtG"/>
        <w:ind w:left="720"/>
        <w:rPr>
          <w:color w:val="000000" w:themeColor="text1"/>
          <w:lang w:val="ru-RU"/>
        </w:rPr>
      </w:pPr>
      <w:r w:rsidRPr="001439E5">
        <w:rPr>
          <w:color w:val="000000" w:themeColor="text1"/>
          <w:lang w:val="ru-RU"/>
        </w:rPr>
        <w:t>37</w:t>
      </w:r>
      <w:r w:rsidR="000268CC" w:rsidRPr="001439E5">
        <w:rPr>
          <w:color w:val="000000" w:themeColor="text1"/>
          <w:lang w:val="ru-RU"/>
        </w:rPr>
        <w:t>.</w:t>
      </w:r>
      <w:r w:rsidR="000268CC" w:rsidRPr="001439E5">
        <w:rPr>
          <w:color w:val="000000" w:themeColor="text1"/>
          <w:lang w:val="ru-RU"/>
        </w:rPr>
        <w:tab/>
      </w:r>
      <w:r w:rsidR="001B10E9" w:rsidRPr="001439E5">
        <w:rPr>
          <w:color w:val="000000" w:themeColor="text1"/>
          <w:lang w:val="uk-UA"/>
        </w:rPr>
        <w:t>Комітет продовжує тримати це питання в полі зору.</w:t>
      </w:r>
    </w:p>
    <w:p w14:paraId="5415FD0D" w14:textId="77777777" w:rsidR="001B10E9" w:rsidRPr="001B10E9" w:rsidRDefault="007F5CC9" w:rsidP="007F5CC9">
      <w:pPr>
        <w:pStyle w:val="SingleTxtG"/>
        <w:ind w:left="720"/>
        <w:rPr>
          <w:color w:val="000000" w:themeColor="text1"/>
          <w:lang w:val="uk-UA"/>
        </w:rPr>
      </w:pPr>
      <w:r w:rsidRPr="003F1438">
        <w:rPr>
          <w:color w:val="000000" w:themeColor="text1"/>
          <w:lang w:val="ru-RU"/>
        </w:rPr>
        <w:t xml:space="preserve">38. </w:t>
      </w:r>
      <w:r w:rsidRPr="003F1438">
        <w:rPr>
          <w:color w:val="000000" w:themeColor="text1"/>
          <w:lang w:val="ru-RU"/>
        </w:rPr>
        <w:tab/>
      </w:r>
      <w:r w:rsidR="001B10E9" w:rsidRPr="001439E5">
        <w:rPr>
          <w:color w:val="000000" w:themeColor="text1"/>
          <w:lang w:val="uk-UA"/>
        </w:rPr>
        <w:t>Комітет повторює свої заклики до російської федерації, викладені в його заяві від 14 квітня 2022 року</w:t>
      </w:r>
      <w:r w:rsidR="001B10E9" w:rsidRPr="001439E5">
        <w:rPr>
          <w:rStyle w:val="FootnoteReference"/>
        </w:rPr>
        <w:footnoteReference w:id="23"/>
      </w:r>
      <w:r w:rsidR="001B10E9" w:rsidRPr="001439E5">
        <w:rPr>
          <w:color w:val="000000" w:themeColor="text1"/>
          <w:lang w:val="uk-UA"/>
        </w:rPr>
        <w:t>, негайно припинити</w:t>
      </w:r>
      <w:r w:rsidR="001B10E9">
        <w:rPr>
          <w:color w:val="000000" w:themeColor="text1"/>
          <w:lang w:val="uk-UA"/>
        </w:rPr>
        <w:t xml:space="preserve"> бойові дії та поважати і дотримуватися принципів міжнародного права в галузі прав людини і гуманітарного права.</w:t>
      </w:r>
    </w:p>
    <w:p w14:paraId="5415FD0E" w14:textId="77777777" w:rsidR="004972B2" w:rsidRPr="000268CC" w:rsidRDefault="004972B2" w:rsidP="004A50FA">
      <w:pPr>
        <w:pStyle w:val="SingleTxtG"/>
        <w:ind w:left="720"/>
        <w:jc w:val="center"/>
        <w:rPr>
          <w:color w:val="000000" w:themeColor="text1"/>
        </w:rPr>
      </w:pPr>
      <w:r>
        <w:rPr>
          <w:color w:val="000000" w:themeColor="text1"/>
        </w:rPr>
        <w:t>______</w:t>
      </w:r>
    </w:p>
    <w:sectPr w:rsidR="004972B2" w:rsidRPr="000268CC" w:rsidSect="005315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91CB9" w14:textId="77777777" w:rsidR="0074774A" w:rsidRDefault="0074774A" w:rsidP="00A8744A">
      <w:r>
        <w:separator/>
      </w:r>
    </w:p>
  </w:endnote>
  <w:endnote w:type="continuationSeparator" w:id="0">
    <w:p w14:paraId="070ED99B" w14:textId="77777777" w:rsidR="0074774A" w:rsidRDefault="0074774A" w:rsidP="00A8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ACCDB" w14:textId="77777777" w:rsidR="0074774A" w:rsidRDefault="0074774A" w:rsidP="00A8744A">
      <w:r>
        <w:separator/>
      </w:r>
    </w:p>
  </w:footnote>
  <w:footnote w:type="continuationSeparator" w:id="0">
    <w:p w14:paraId="16A1B267" w14:textId="77777777" w:rsidR="0074774A" w:rsidRDefault="0074774A" w:rsidP="00A8744A">
      <w:r>
        <w:continuationSeparator/>
      </w:r>
    </w:p>
  </w:footnote>
  <w:footnote w:id="1">
    <w:p w14:paraId="5415FD13" w14:textId="77777777" w:rsidR="00FC152B" w:rsidRPr="00A6363C" w:rsidRDefault="00FC152B" w:rsidP="00FC152B">
      <w:pPr>
        <w:pStyle w:val="FootnoteText"/>
        <w:rPr>
          <w:lang w:val="uk-UA"/>
        </w:rPr>
      </w:pPr>
      <w:r>
        <w:rPr>
          <w:rStyle w:val="FootnoteReference"/>
          <w:vertAlign w:val="baseline"/>
        </w:rPr>
        <w:tab/>
      </w:r>
      <w:r w:rsidRPr="00A4297D">
        <w:rPr>
          <w:rStyle w:val="FootnoteReference"/>
          <w:vertAlign w:val="baseline"/>
        </w:rPr>
        <w:footnoteRef/>
      </w:r>
      <w:r>
        <w:rPr>
          <w:rStyle w:val="FootnoteReference"/>
          <w:vertAlign w:val="baseline"/>
        </w:rPr>
        <w:tab/>
      </w:r>
      <w:r>
        <w:rPr>
          <w:lang w:val="uk-UA"/>
        </w:rPr>
        <w:t xml:space="preserve">Резолюція Генеральної Асамблеї </w:t>
      </w:r>
      <w:r w:rsidRPr="00892F17">
        <w:t>ES-11/1</w:t>
      </w:r>
      <w:r>
        <w:rPr>
          <w:lang w:val="uk-UA"/>
        </w:rPr>
        <w:t xml:space="preserve"> від 2 березня</w:t>
      </w:r>
      <w:r w:rsidRPr="00892F17">
        <w:t xml:space="preserve"> 2022</w:t>
      </w:r>
      <w:r>
        <w:rPr>
          <w:lang w:val="uk-UA"/>
        </w:rPr>
        <w:t xml:space="preserve"> року</w:t>
      </w:r>
      <w:r>
        <w:t xml:space="preserve"> (A/RES/ES-11/1)</w:t>
      </w:r>
      <w:r>
        <w:rPr>
          <w:lang w:val="uk-UA"/>
        </w:rPr>
        <w:t>,</w:t>
      </w:r>
      <w:r w:rsidRPr="00892F17">
        <w:t xml:space="preserve"> </w:t>
      </w:r>
      <w:r>
        <w:rPr>
          <w:lang w:val="uk-UA"/>
        </w:rPr>
        <w:t>Резолюція Ради з прав людини</w:t>
      </w:r>
      <w:r w:rsidRPr="00892F17">
        <w:t xml:space="preserve"> 49/1</w:t>
      </w:r>
      <w:r>
        <w:rPr>
          <w:lang w:val="uk-UA"/>
        </w:rPr>
        <w:t xml:space="preserve"> від 4 березня</w:t>
      </w:r>
      <w:r w:rsidRPr="00892F17">
        <w:t xml:space="preserve"> 2022</w:t>
      </w:r>
      <w:r>
        <w:rPr>
          <w:lang w:val="uk-UA"/>
        </w:rPr>
        <w:t xml:space="preserve"> року</w:t>
      </w:r>
      <w:r w:rsidRPr="00892F17">
        <w:t xml:space="preserve"> (A/HRC/RES/49/1</w:t>
      </w:r>
      <w:r>
        <w:t>)</w:t>
      </w:r>
      <w:r>
        <w:rPr>
          <w:lang w:val="uk-UA"/>
        </w:rPr>
        <w:t>.</w:t>
      </w:r>
    </w:p>
  </w:footnote>
  <w:footnote w:id="2">
    <w:p w14:paraId="5415FD14" w14:textId="77777777" w:rsidR="00FC152B" w:rsidRPr="00375A86" w:rsidRDefault="00FC152B" w:rsidP="00FC152B">
      <w:pPr>
        <w:pStyle w:val="FootnoteText"/>
        <w:ind w:left="0" w:firstLine="0"/>
        <w:rPr>
          <w:lang w:val="ru-RU"/>
        </w:rPr>
      </w:pPr>
      <w:r>
        <w:tab/>
      </w:r>
      <w:r w:rsidRPr="00756603">
        <w:rPr>
          <w:rStyle w:val="FootnoteReference"/>
          <w:vertAlign w:val="baseline"/>
        </w:rPr>
        <w:footnoteRef/>
      </w:r>
      <w:r w:rsidRPr="00375A86">
        <w:rPr>
          <w:lang w:val="ru-RU"/>
        </w:rPr>
        <w:tab/>
      </w:r>
      <w:r>
        <w:rPr>
          <w:lang w:val="uk-UA"/>
        </w:rPr>
        <w:t>Білорусь, Європейський союз, Латвія, Литва, Республіка Молдова, Туреччина, Фінляндія.</w:t>
      </w:r>
    </w:p>
  </w:footnote>
  <w:footnote w:id="3">
    <w:p w14:paraId="5415FD15" w14:textId="77777777" w:rsidR="00FC152B" w:rsidRPr="00DC1904" w:rsidRDefault="00FC152B" w:rsidP="00FC152B">
      <w:pPr>
        <w:pStyle w:val="FootnoteText"/>
        <w:ind w:left="0" w:firstLine="0"/>
        <w:rPr>
          <w:lang w:val="uk-UA"/>
        </w:rPr>
      </w:pPr>
      <w:r w:rsidRPr="00375A86">
        <w:rPr>
          <w:lang w:val="ru-RU"/>
        </w:rPr>
        <w:tab/>
      </w:r>
      <w:r w:rsidRPr="00756603">
        <w:rPr>
          <w:rStyle w:val="FootnoteReference"/>
          <w:vertAlign w:val="baseline"/>
        </w:rPr>
        <w:footnoteRef/>
      </w:r>
      <w:r w:rsidRPr="00DC1904">
        <w:rPr>
          <w:lang w:val="ru-RU"/>
        </w:rPr>
        <w:tab/>
      </w:r>
      <w:r>
        <w:rPr>
          <w:lang w:val="uk-UA"/>
        </w:rPr>
        <w:t>Білорусь, Болгарія, Європейський союз, Латвія, Литва, Республіка Молдова, Туреччина, Угорщина, Фінляндія</w:t>
      </w:r>
      <w:r>
        <w:rPr>
          <w:lang w:val="ru-RU"/>
        </w:rPr>
        <w:t>.</w:t>
      </w:r>
    </w:p>
  </w:footnote>
  <w:footnote w:id="4">
    <w:p w14:paraId="5415FD16" w14:textId="77777777" w:rsidR="00FC152B" w:rsidRPr="00DC1904" w:rsidRDefault="00FC152B" w:rsidP="00FC152B">
      <w:pPr>
        <w:pStyle w:val="FootnoteText"/>
        <w:ind w:left="0" w:firstLine="0"/>
        <w:rPr>
          <w:lang w:val="ru-RU"/>
        </w:rPr>
      </w:pPr>
      <w:r w:rsidRPr="00DC1904">
        <w:rPr>
          <w:lang w:val="ru-RU"/>
        </w:rPr>
        <w:tab/>
      </w:r>
      <w:r w:rsidRPr="00756603">
        <w:rPr>
          <w:rStyle w:val="FootnoteReference"/>
          <w:vertAlign w:val="baseline"/>
        </w:rPr>
        <w:footnoteRef/>
      </w:r>
      <w:r w:rsidRPr="00DC1904">
        <w:rPr>
          <w:lang w:val="ru-RU"/>
        </w:rPr>
        <w:tab/>
      </w:r>
      <w:r>
        <w:rPr>
          <w:lang w:val="uk-UA"/>
        </w:rPr>
        <w:t>Європейський союз, Латвія, Литва, Республіка Молдова.</w:t>
      </w:r>
    </w:p>
  </w:footnote>
  <w:footnote w:id="5">
    <w:p w14:paraId="5415FD17" w14:textId="77777777" w:rsidR="00611F5C" w:rsidRPr="0007549F" w:rsidRDefault="00611F5C" w:rsidP="00375A86">
      <w:pPr>
        <w:pStyle w:val="FootnoteText"/>
        <w:ind w:left="0" w:firstLine="0"/>
        <w:rPr>
          <w:lang w:val="ru-RU"/>
        </w:rPr>
      </w:pPr>
      <w:r w:rsidRPr="0007549F">
        <w:rPr>
          <w:lang w:val="ru-RU"/>
        </w:rPr>
        <w:tab/>
      </w:r>
      <w:r w:rsidRPr="00756603">
        <w:rPr>
          <w:rStyle w:val="FootnoteReference"/>
          <w:vertAlign w:val="baseline"/>
        </w:rPr>
        <w:footnoteRef/>
      </w:r>
      <w:r w:rsidRPr="0007549F">
        <w:rPr>
          <w:lang w:val="ru-RU"/>
        </w:rPr>
        <w:tab/>
      </w:r>
      <w:r>
        <w:rPr>
          <w:lang w:val="uk-UA"/>
        </w:rPr>
        <w:t>Болгарія, Європейський союз, Латвія, Угорщина.</w:t>
      </w:r>
    </w:p>
  </w:footnote>
  <w:footnote w:id="6">
    <w:p w14:paraId="5415FD18" w14:textId="77777777" w:rsidR="00611F5C" w:rsidRPr="0007549F" w:rsidRDefault="00611F5C" w:rsidP="00375A86">
      <w:pPr>
        <w:pStyle w:val="FootnoteText"/>
        <w:ind w:left="0" w:firstLine="0"/>
        <w:rPr>
          <w:lang w:val="ru-RU"/>
        </w:rPr>
      </w:pPr>
      <w:r w:rsidRPr="0007549F">
        <w:rPr>
          <w:lang w:val="ru-RU"/>
        </w:rPr>
        <w:tab/>
      </w:r>
      <w:r w:rsidRPr="00756603">
        <w:rPr>
          <w:rStyle w:val="FootnoteReference"/>
          <w:vertAlign w:val="baseline"/>
        </w:rPr>
        <w:footnoteRef/>
      </w:r>
      <w:r w:rsidRPr="0007549F">
        <w:rPr>
          <w:lang w:val="ru-RU"/>
        </w:rPr>
        <w:tab/>
      </w:r>
      <w:r>
        <w:rPr>
          <w:lang w:val="uk-UA"/>
        </w:rPr>
        <w:t>Латвія, Литва, Республіка Молдова.</w:t>
      </w:r>
    </w:p>
  </w:footnote>
  <w:footnote w:id="7">
    <w:p w14:paraId="5415FD19" w14:textId="77777777" w:rsidR="00611F5C" w:rsidRPr="00196B23" w:rsidRDefault="00611F5C" w:rsidP="00DC1904">
      <w:pPr>
        <w:pStyle w:val="FootnoteText"/>
        <w:ind w:left="0" w:firstLine="0"/>
        <w:rPr>
          <w:lang w:val="uk-UA"/>
        </w:rPr>
      </w:pPr>
      <w:r w:rsidRPr="0007549F">
        <w:rPr>
          <w:lang w:val="ru-RU"/>
        </w:rPr>
        <w:tab/>
      </w:r>
      <w:r w:rsidRPr="00756603">
        <w:rPr>
          <w:rStyle w:val="FootnoteReference"/>
          <w:vertAlign w:val="baseline"/>
        </w:rPr>
        <w:footnoteRef/>
      </w:r>
      <w:r w:rsidRPr="0007549F">
        <w:rPr>
          <w:lang w:val="ru-RU"/>
        </w:rPr>
        <w:tab/>
      </w:r>
      <w:r w:rsidRPr="007E3C06">
        <w:rPr>
          <w:lang w:val="es-ES"/>
        </w:rPr>
        <w:t>A</w:t>
      </w:r>
      <w:r w:rsidRPr="0007549F">
        <w:rPr>
          <w:lang w:val="ru-RU"/>
        </w:rPr>
        <w:t>/72/55</w:t>
      </w:r>
      <w:r>
        <w:rPr>
          <w:lang w:val="uk-UA"/>
        </w:rPr>
        <w:t>,</w:t>
      </w:r>
      <w:r w:rsidRPr="0007549F">
        <w:rPr>
          <w:lang w:val="ru-RU"/>
        </w:rPr>
        <w:t xml:space="preserve"> </w:t>
      </w:r>
      <w:r>
        <w:rPr>
          <w:lang w:val="uk-UA"/>
        </w:rPr>
        <w:t>параграф</w:t>
      </w:r>
      <w:r w:rsidRPr="0007549F">
        <w:rPr>
          <w:lang w:val="ru-RU"/>
        </w:rPr>
        <w:t xml:space="preserve"> 32</w:t>
      </w:r>
      <w:r>
        <w:rPr>
          <w:lang w:val="uk-UA"/>
        </w:rPr>
        <w:t>.</w:t>
      </w:r>
    </w:p>
  </w:footnote>
  <w:footnote w:id="8">
    <w:p w14:paraId="5415FD1A" w14:textId="77777777" w:rsidR="00611F5C" w:rsidRPr="00196B23" w:rsidRDefault="00611F5C" w:rsidP="00196B23">
      <w:pPr>
        <w:pStyle w:val="FootnoteText"/>
        <w:rPr>
          <w:lang w:val="uk-UA"/>
        </w:rPr>
      </w:pPr>
      <w:r w:rsidRPr="0007549F">
        <w:rPr>
          <w:lang w:val="ru-RU"/>
        </w:rPr>
        <w:tab/>
      </w:r>
      <w:r w:rsidRPr="00460870">
        <w:rPr>
          <w:rStyle w:val="FootnoteReference"/>
          <w:vertAlign w:val="baseline"/>
        </w:rPr>
        <w:footnoteRef/>
      </w:r>
      <w:r w:rsidRPr="0007549F">
        <w:rPr>
          <w:lang w:val="ru-RU"/>
        </w:rPr>
        <w:tab/>
      </w:r>
      <w:r>
        <w:rPr>
          <w:lang w:val="es-ES"/>
        </w:rPr>
        <w:t>A</w:t>
      </w:r>
      <w:r w:rsidRPr="0007549F">
        <w:rPr>
          <w:lang w:val="ru-RU"/>
        </w:rPr>
        <w:t>/76/55</w:t>
      </w:r>
      <w:r>
        <w:rPr>
          <w:lang w:val="uk-UA"/>
        </w:rPr>
        <w:t>,</w:t>
      </w:r>
      <w:r w:rsidRPr="0007549F">
        <w:rPr>
          <w:lang w:val="ru-RU"/>
        </w:rPr>
        <w:t xml:space="preserve"> </w:t>
      </w:r>
      <w:r>
        <w:rPr>
          <w:lang w:val="uk-UA"/>
        </w:rPr>
        <w:t>параграф</w:t>
      </w:r>
      <w:r w:rsidRPr="0007549F">
        <w:rPr>
          <w:lang w:val="ru-RU"/>
        </w:rPr>
        <w:t xml:space="preserve"> 21</w:t>
      </w:r>
      <w:r>
        <w:rPr>
          <w:lang w:val="uk-UA"/>
        </w:rPr>
        <w:t>.</w:t>
      </w:r>
    </w:p>
  </w:footnote>
  <w:footnote w:id="9">
    <w:p w14:paraId="5415FD1B" w14:textId="77777777" w:rsidR="00611F5C" w:rsidRPr="00196B23" w:rsidRDefault="00611F5C" w:rsidP="00196B23">
      <w:pPr>
        <w:pStyle w:val="FootnoteText"/>
        <w:ind w:left="0" w:firstLine="0"/>
        <w:rPr>
          <w:lang w:val="uk-UA"/>
        </w:rPr>
      </w:pPr>
      <w:r w:rsidRPr="0007549F">
        <w:rPr>
          <w:lang w:val="ru-RU"/>
        </w:rPr>
        <w:tab/>
      </w:r>
      <w:r w:rsidRPr="00F67D9E">
        <w:rPr>
          <w:rStyle w:val="FootnoteReference"/>
          <w:vertAlign w:val="baseline"/>
        </w:rPr>
        <w:footnoteRef/>
      </w:r>
      <w:r w:rsidRPr="0007549F">
        <w:rPr>
          <w:lang w:val="ru-RU"/>
        </w:rPr>
        <w:tab/>
      </w:r>
      <w:r w:rsidRPr="00505DEF">
        <w:rPr>
          <w:lang w:val="es-ES"/>
        </w:rPr>
        <w:t>A</w:t>
      </w:r>
      <w:r w:rsidRPr="0007549F">
        <w:rPr>
          <w:lang w:val="ru-RU"/>
        </w:rPr>
        <w:t>/74/55</w:t>
      </w:r>
      <w:r>
        <w:rPr>
          <w:lang w:val="uk-UA"/>
        </w:rPr>
        <w:t>,</w:t>
      </w:r>
      <w:r w:rsidRPr="0007549F">
        <w:rPr>
          <w:lang w:val="ru-RU"/>
        </w:rPr>
        <w:t xml:space="preserve"> </w:t>
      </w:r>
      <w:r>
        <w:rPr>
          <w:lang w:val="uk-UA"/>
        </w:rPr>
        <w:t>параграф</w:t>
      </w:r>
      <w:r w:rsidRPr="0007549F">
        <w:rPr>
          <w:lang w:val="ru-RU"/>
        </w:rPr>
        <w:t xml:space="preserve"> 74</w:t>
      </w:r>
      <w:r>
        <w:rPr>
          <w:lang w:val="uk-UA"/>
        </w:rPr>
        <w:t>.</w:t>
      </w:r>
    </w:p>
  </w:footnote>
  <w:footnote w:id="10">
    <w:p w14:paraId="5415FD1C" w14:textId="77777777" w:rsidR="00611F5C" w:rsidRPr="00196B23" w:rsidRDefault="00611F5C" w:rsidP="00196B23">
      <w:pPr>
        <w:pStyle w:val="FootnoteText"/>
        <w:rPr>
          <w:lang w:val="uk-UA"/>
        </w:rPr>
      </w:pPr>
      <w:r w:rsidRPr="0007549F">
        <w:rPr>
          <w:lang w:val="ru-RU"/>
        </w:rPr>
        <w:tab/>
      </w:r>
      <w:r w:rsidRPr="000D45AC">
        <w:rPr>
          <w:rStyle w:val="FootnoteReference"/>
          <w:vertAlign w:val="baseline"/>
        </w:rPr>
        <w:footnoteRef/>
      </w:r>
      <w:r w:rsidRPr="0007549F">
        <w:rPr>
          <w:lang w:val="ru-RU"/>
        </w:rPr>
        <w:tab/>
      </w:r>
      <w:r w:rsidRPr="00505DEF">
        <w:rPr>
          <w:lang w:val="es-ES"/>
        </w:rPr>
        <w:t>A</w:t>
      </w:r>
      <w:r w:rsidRPr="0007549F">
        <w:rPr>
          <w:lang w:val="ru-RU"/>
        </w:rPr>
        <w:t>/70/55</w:t>
      </w:r>
      <w:r>
        <w:rPr>
          <w:lang w:val="uk-UA"/>
        </w:rPr>
        <w:t>,</w:t>
      </w:r>
      <w:r w:rsidRPr="0007549F">
        <w:rPr>
          <w:lang w:val="ru-RU"/>
        </w:rPr>
        <w:t xml:space="preserve"> </w:t>
      </w:r>
      <w:r>
        <w:rPr>
          <w:lang w:val="uk-UA"/>
        </w:rPr>
        <w:t>параграф</w:t>
      </w:r>
      <w:r w:rsidRPr="0007549F">
        <w:rPr>
          <w:lang w:val="ru-RU"/>
        </w:rPr>
        <w:t xml:space="preserve"> 31</w:t>
      </w:r>
      <w:r>
        <w:rPr>
          <w:lang w:val="uk-UA"/>
        </w:rPr>
        <w:t>.</w:t>
      </w:r>
    </w:p>
  </w:footnote>
  <w:footnote w:id="11">
    <w:p w14:paraId="5415FD1D" w14:textId="77777777" w:rsidR="00611F5C" w:rsidRPr="00BF1BBC" w:rsidRDefault="00611F5C" w:rsidP="00BA4BAC">
      <w:pPr>
        <w:pStyle w:val="FootnoteText"/>
        <w:rPr>
          <w:lang w:val="uk-UA"/>
        </w:rPr>
      </w:pPr>
      <w:r w:rsidRPr="0007549F">
        <w:rPr>
          <w:lang w:val="ru-RU"/>
        </w:rPr>
        <w:tab/>
      </w:r>
      <w:r w:rsidRPr="00C163BD">
        <w:rPr>
          <w:rStyle w:val="FootnoteReference"/>
          <w:vertAlign w:val="baseline"/>
        </w:rPr>
        <w:footnoteRef/>
      </w:r>
      <w:r w:rsidRPr="0007549F">
        <w:rPr>
          <w:lang w:val="ru-RU"/>
        </w:rPr>
        <w:tab/>
      </w:r>
      <w:r w:rsidRPr="00505DEF">
        <w:rPr>
          <w:lang w:val="es-ES"/>
        </w:rPr>
        <w:t>A</w:t>
      </w:r>
      <w:r w:rsidRPr="0007549F">
        <w:rPr>
          <w:lang w:val="ru-RU"/>
        </w:rPr>
        <w:t>/76/55</w:t>
      </w:r>
      <w:r>
        <w:rPr>
          <w:lang w:val="uk-UA"/>
        </w:rPr>
        <w:t>, параграф</w:t>
      </w:r>
      <w:r w:rsidRPr="0007549F">
        <w:rPr>
          <w:lang w:val="ru-RU"/>
        </w:rPr>
        <w:t xml:space="preserve"> 21</w:t>
      </w:r>
      <w:r>
        <w:rPr>
          <w:lang w:val="uk-UA"/>
        </w:rPr>
        <w:t>.</w:t>
      </w:r>
    </w:p>
  </w:footnote>
  <w:footnote w:id="12">
    <w:p w14:paraId="5415FD1E" w14:textId="77777777" w:rsidR="00611F5C" w:rsidRPr="00BF1BBC" w:rsidRDefault="00611F5C" w:rsidP="00BA4BAC">
      <w:pPr>
        <w:pStyle w:val="FootnoteText"/>
        <w:rPr>
          <w:lang w:val="uk-UA"/>
        </w:rPr>
      </w:pPr>
      <w:r w:rsidRPr="0007549F">
        <w:rPr>
          <w:lang w:val="ru-RU"/>
        </w:rPr>
        <w:tab/>
      </w:r>
      <w:r w:rsidRPr="000D45AC">
        <w:rPr>
          <w:rStyle w:val="FootnoteReference"/>
          <w:vertAlign w:val="baseline"/>
        </w:rPr>
        <w:footnoteRef/>
      </w:r>
      <w:r w:rsidRPr="0007549F">
        <w:rPr>
          <w:lang w:val="ru-RU"/>
        </w:rPr>
        <w:tab/>
      </w:r>
      <w:r w:rsidRPr="00505DEF">
        <w:rPr>
          <w:lang w:val="es-ES"/>
        </w:rPr>
        <w:t>CRPD</w:t>
      </w:r>
      <w:r w:rsidRPr="0007549F">
        <w:rPr>
          <w:lang w:val="ru-RU"/>
        </w:rPr>
        <w:t>/</w:t>
      </w:r>
      <w:r w:rsidRPr="00505DEF">
        <w:rPr>
          <w:lang w:val="es-ES"/>
        </w:rPr>
        <w:t>C</w:t>
      </w:r>
      <w:r w:rsidRPr="0007549F">
        <w:rPr>
          <w:lang w:val="ru-RU"/>
        </w:rPr>
        <w:t>/</w:t>
      </w:r>
      <w:r w:rsidRPr="00505DEF">
        <w:rPr>
          <w:lang w:val="es-ES"/>
        </w:rPr>
        <w:t>UKR</w:t>
      </w:r>
      <w:r w:rsidRPr="0007549F">
        <w:rPr>
          <w:lang w:val="ru-RU"/>
        </w:rPr>
        <w:t>/</w:t>
      </w:r>
      <w:r w:rsidRPr="00505DEF">
        <w:rPr>
          <w:lang w:val="es-ES"/>
        </w:rPr>
        <w:t>CO</w:t>
      </w:r>
      <w:r w:rsidRPr="0007549F">
        <w:rPr>
          <w:lang w:val="ru-RU"/>
        </w:rPr>
        <w:t>/1</w:t>
      </w:r>
      <w:r>
        <w:rPr>
          <w:lang w:val="uk-UA"/>
        </w:rPr>
        <w:t>, параграф</w:t>
      </w:r>
      <w:r w:rsidR="00B131F4">
        <w:rPr>
          <w:lang w:val="uk-UA"/>
        </w:rPr>
        <w:t> </w:t>
      </w:r>
      <w:r w:rsidRPr="0007549F">
        <w:rPr>
          <w:lang w:val="ru-RU"/>
        </w:rPr>
        <w:t>14</w:t>
      </w:r>
      <w:r>
        <w:rPr>
          <w:lang w:val="uk-UA"/>
        </w:rPr>
        <w:t>.</w:t>
      </w:r>
    </w:p>
  </w:footnote>
  <w:footnote w:id="13">
    <w:p w14:paraId="5415FD1F" w14:textId="77777777" w:rsidR="00611F5C" w:rsidRPr="0007549F" w:rsidRDefault="00611F5C" w:rsidP="00BA4BAC">
      <w:pPr>
        <w:pStyle w:val="FootnoteText"/>
        <w:rPr>
          <w:lang w:val="ru-RU"/>
        </w:rPr>
      </w:pPr>
      <w:r w:rsidRPr="0007549F">
        <w:rPr>
          <w:lang w:val="ru-RU"/>
        </w:rPr>
        <w:tab/>
      </w:r>
      <w:r w:rsidRPr="00E45AE3">
        <w:rPr>
          <w:rStyle w:val="FootnoteReference"/>
          <w:vertAlign w:val="baseline"/>
        </w:rPr>
        <w:footnoteRef/>
      </w:r>
      <w:r w:rsidRPr="0007549F">
        <w:rPr>
          <w:lang w:val="ru-RU"/>
        </w:rPr>
        <w:tab/>
      </w:r>
      <w:r>
        <w:rPr>
          <w:lang w:val="es-ES"/>
        </w:rPr>
        <w:t>Ibid</w:t>
      </w:r>
      <w:r>
        <w:rPr>
          <w:lang w:val="uk-UA"/>
        </w:rPr>
        <w:t>., параграф</w:t>
      </w:r>
      <w:r w:rsidRPr="0007549F">
        <w:rPr>
          <w:lang w:val="ru-RU"/>
        </w:rPr>
        <w:t xml:space="preserve"> 25</w:t>
      </w:r>
      <w:r>
        <w:rPr>
          <w:lang w:val="uk-UA"/>
        </w:rPr>
        <w:t>.</w:t>
      </w:r>
    </w:p>
  </w:footnote>
  <w:footnote w:id="14">
    <w:p w14:paraId="5415FD20" w14:textId="77777777" w:rsidR="00611F5C" w:rsidRPr="00BF1BBC" w:rsidRDefault="00611F5C" w:rsidP="00BA4BAC">
      <w:pPr>
        <w:pStyle w:val="FootnoteText"/>
        <w:rPr>
          <w:lang w:val="uk-UA"/>
        </w:rPr>
      </w:pPr>
      <w:r w:rsidRPr="0007549F">
        <w:rPr>
          <w:lang w:val="ru-RU"/>
        </w:rPr>
        <w:tab/>
      </w:r>
      <w:r w:rsidRPr="00205986">
        <w:rPr>
          <w:rStyle w:val="FootnoteReference"/>
          <w:vertAlign w:val="baseline"/>
        </w:rPr>
        <w:footnoteRef/>
      </w:r>
      <w:r w:rsidRPr="0007549F">
        <w:rPr>
          <w:lang w:val="ru-RU"/>
        </w:rPr>
        <w:tab/>
      </w:r>
      <w:r w:rsidRPr="00505DEF">
        <w:rPr>
          <w:lang w:val="es-ES"/>
        </w:rPr>
        <w:t>CRPD</w:t>
      </w:r>
      <w:r w:rsidRPr="0007549F">
        <w:rPr>
          <w:lang w:val="ru-RU"/>
        </w:rPr>
        <w:t>/</w:t>
      </w:r>
      <w:r w:rsidRPr="00505DEF">
        <w:rPr>
          <w:lang w:val="es-ES"/>
        </w:rPr>
        <w:t>C</w:t>
      </w:r>
      <w:r w:rsidRPr="0007549F">
        <w:rPr>
          <w:lang w:val="ru-RU"/>
        </w:rPr>
        <w:t>/</w:t>
      </w:r>
      <w:r w:rsidRPr="00505DEF">
        <w:rPr>
          <w:lang w:val="es-ES"/>
        </w:rPr>
        <w:t>KEN</w:t>
      </w:r>
      <w:r w:rsidRPr="0007549F">
        <w:rPr>
          <w:lang w:val="ru-RU"/>
        </w:rPr>
        <w:t>/</w:t>
      </w:r>
      <w:r w:rsidRPr="00505DEF">
        <w:rPr>
          <w:lang w:val="es-ES"/>
        </w:rPr>
        <w:t>CO</w:t>
      </w:r>
      <w:r w:rsidRPr="0007549F">
        <w:rPr>
          <w:lang w:val="ru-RU"/>
        </w:rPr>
        <w:t>/1</w:t>
      </w:r>
      <w:r>
        <w:rPr>
          <w:lang w:val="uk-UA"/>
        </w:rPr>
        <w:t xml:space="preserve">, параграф </w:t>
      </w:r>
      <w:r w:rsidRPr="0007549F">
        <w:rPr>
          <w:lang w:val="ru-RU"/>
        </w:rPr>
        <w:t>22 (</w:t>
      </w:r>
      <w:r>
        <w:rPr>
          <w:lang w:val="es-ES"/>
        </w:rPr>
        <w:t>c</w:t>
      </w:r>
      <w:r w:rsidRPr="0007549F">
        <w:rPr>
          <w:lang w:val="ru-RU"/>
        </w:rPr>
        <w:t>)</w:t>
      </w:r>
      <w:r>
        <w:rPr>
          <w:lang w:val="uk-UA"/>
        </w:rPr>
        <w:t>.</w:t>
      </w:r>
    </w:p>
  </w:footnote>
  <w:footnote w:id="15">
    <w:p w14:paraId="5415FD21" w14:textId="77777777" w:rsidR="00611F5C" w:rsidRPr="003B1FEF" w:rsidRDefault="00611F5C" w:rsidP="002E0643">
      <w:pPr>
        <w:pStyle w:val="FootnoteText"/>
        <w:rPr>
          <w:lang w:val="ru-RU"/>
        </w:rPr>
      </w:pPr>
      <w:r w:rsidRPr="003F1438">
        <w:rPr>
          <w:lang w:val="ru-RU"/>
        </w:rPr>
        <w:tab/>
      </w:r>
      <w:r w:rsidRPr="00205986">
        <w:rPr>
          <w:rStyle w:val="FootnoteReference"/>
          <w:vertAlign w:val="baseline"/>
        </w:rPr>
        <w:footnoteRef/>
      </w:r>
      <w:r w:rsidRPr="003B1FEF">
        <w:rPr>
          <w:lang w:val="ru-RU"/>
        </w:rPr>
        <w:tab/>
      </w:r>
      <w:r w:rsidR="003B1FEF">
        <w:t>CRPD</w:t>
      </w:r>
      <w:r w:rsidR="003B1FEF" w:rsidRPr="003B1FEF">
        <w:rPr>
          <w:lang w:val="ru-RU"/>
        </w:rPr>
        <w:t>/</w:t>
      </w:r>
      <w:r w:rsidR="003B1FEF">
        <w:t>C</w:t>
      </w:r>
      <w:r w:rsidR="003B1FEF" w:rsidRPr="003B1FEF">
        <w:rPr>
          <w:lang w:val="ru-RU"/>
        </w:rPr>
        <w:t>/</w:t>
      </w:r>
      <w:r w:rsidR="003B1FEF">
        <w:t>UKR</w:t>
      </w:r>
      <w:r w:rsidR="003B1FEF" w:rsidRPr="003B1FEF">
        <w:rPr>
          <w:lang w:val="ru-RU"/>
        </w:rPr>
        <w:t>/</w:t>
      </w:r>
      <w:r w:rsidR="003B1FEF">
        <w:t>CO</w:t>
      </w:r>
      <w:r w:rsidR="003B1FEF" w:rsidRPr="003B1FEF">
        <w:rPr>
          <w:lang w:val="ru-RU"/>
        </w:rPr>
        <w:t>/1</w:t>
      </w:r>
      <w:r w:rsidR="003B1FEF">
        <w:rPr>
          <w:lang w:val="uk-UA"/>
        </w:rPr>
        <w:t>, параграфи </w:t>
      </w:r>
      <w:r w:rsidR="003B1FEF" w:rsidRPr="003B1FEF">
        <w:rPr>
          <w:lang w:val="ru-RU"/>
        </w:rPr>
        <w:t>14</w:t>
      </w:r>
      <w:r w:rsidR="003B1FEF">
        <w:rPr>
          <w:lang w:val="uk-UA"/>
        </w:rPr>
        <w:t>,</w:t>
      </w:r>
      <w:r w:rsidR="003B1FEF">
        <w:rPr>
          <w:lang w:val="ru-RU"/>
        </w:rPr>
        <w:t xml:space="preserve"> 37.</w:t>
      </w:r>
    </w:p>
  </w:footnote>
  <w:footnote w:id="16">
    <w:p w14:paraId="5415FD22" w14:textId="77777777" w:rsidR="00060AE5" w:rsidRPr="00892F17" w:rsidRDefault="00060AE5" w:rsidP="00060AE5">
      <w:pPr>
        <w:pStyle w:val="FootnoteText"/>
      </w:pPr>
      <w:r w:rsidRPr="003B1FEF">
        <w:rPr>
          <w:lang w:val="ru-RU"/>
        </w:rPr>
        <w:tab/>
      </w:r>
      <w:r w:rsidRPr="00892F17">
        <w:rPr>
          <w:rStyle w:val="FootnoteReference"/>
          <w:vertAlign w:val="baseline"/>
        </w:rPr>
        <w:footnoteRef/>
      </w:r>
      <w:r>
        <w:tab/>
      </w:r>
      <w:r w:rsidRPr="00892F17">
        <w:t>E/CN.4/1998/53/Add.2</w:t>
      </w:r>
    </w:p>
  </w:footnote>
  <w:footnote w:id="17">
    <w:p w14:paraId="5415FD23" w14:textId="77777777" w:rsidR="00DE356E" w:rsidRPr="00DE7C45" w:rsidRDefault="00DE356E" w:rsidP="00DE356E">
      <w:pPr>
        <w:pStyle w:val="FootnoteText"/>
        <w:ind w:left="0" w:firstLine="0"/>
      </w:pPr>
      <w:r>
        <w:tab/>
      </w:r>
      <w:r w:rsidRPr="00DE7C45">
        <w:rPr>
          <w:rStyle w:val="FootnoteReference"/>
          <w:vertAlign w:val="baseline"/>
        </w:rPr>
        <w:footnoteRef/>
      </w:r>
      <w:r>
        <w:tab/>
      </w:r>
      <w:r w:rsidRPr="00DE7C45">
        <w:t xml:space="preserve">OHCHR, The situation of human rights in Ukraine in the context of the armed attack by the </w:t>
      </w:r>
      <w:r>
        <w:tab/>
      </w:r>
      <w:r>
        <w:tab/>
      </w:r>
      <w:r w:rsidRPr="00DE7C45">
        <w:t xml:space="preserve">Russian Federation, 24 February to 15 May 2022, </w:t>
      </w:r>
      <w:r>
        <w:rPr>
          <w:lang w:val="uk-UA"/>
        </w:rPr>
        <w:t>параграф</w:t>
      </w:r>
      <w:r w:rsidRPr="00DE7C45">
        <w:t xml:space="preserve"> 69</w:t>
      </w:r>
      <w:r>
        <w:t>.</w:t>
      </w:r>
    </w:p>
  </w:footnote>
  <w:footnote w:id="18">
    <w:p w14:paraId="5415FD24" w14:textId="77777777" w:rsidR="00060AE5" w:rsidRPr="00C045FD" w:rsidRDefault="00060AE5" w:rsidP="00060AE5">
      <w:pPr>
        <w:pStyle w:val="FootnoteText"/>
      </w:pPr>
      <w:r>
        <w:tab/>
      </w:r>
      <w:r w:rsidRPr="00C045FD">
        <w:rPr>
          <w:rStyle w:val="FootnoteReference"/>
          <w:vertAlign w:val="baseline"/>
        </w:rPr>
        <w:footnoteRef/>
      </w:r>
      <w:r>
        <w:tab/>
      </w:r>
      <w:r w:rsidRPr="00C045FD">
        <w:t>Ibid., para. 37</w:t>
      </w:r>
      <w:r>
        <w:t>.</w:t>
      </w:r>
    </w:p>
  </w:footnote>
  <w:footnote w:id="19">
    <w:p w14:paraId="5415FD25" w14:textId="77777777" w:rsidR="005072AC" w:rsidRDefault="005072AC" w:rsidP="005072AC">
      <w:pPr>
        <w:pStyle w:val="FootnoteText"/>
      </w:pPr>
      <w:r>
        <w:tab/>
      </w:r>
      <w:r w:rsidRPr="00DC03A7">
        <w:rPr>
          <w:rStyle w:val="FootnoteReference"/>
          <w:vertAlign w:val="baseline"/>
        </w:rPr>
        <w:footnoteRef/>
      </w:r>
      <w:r>
        <w:tab/>
      </w:r>
      <w:r w:rsidRPr="00DC03A7">
        <w:t>UN Women Report “Rapid Gender Analysis of Ukraine” of 4 May 2022</w:t>
      </w:r>
      <w:r>
        <w:t>.</w:t>
      </w:r>
    </w:p>
  </w:footnote>
  <w:footnote w:id="20">
    <w:p w14:paraId="5415FD26" w14:textId="77777777" w:rsidR="005072AC" w:rsidRPr="002910EC" w:rsidRDefault="005072AC" w:rsidP="005072AC">
      <w:pPr>
        <w:pStyle w:val="FootnoteText"/>
      </w:pPr>
      <w:r>
        <w:tab/>
      </w:r>
      <w:r w:rsidRPr="002910EC">
        <w:rPr>
          <w:rStyle w:val="FootnoteReference"/>
          <w:vertAlign w:val="baseline"/>
        </w:rPr>
        <w:footnoteRef/>
      </w:r>
      <w:r>
        <w:tab/>
      </w:r>
      <w:r w:rsidRPr="002910EC">
        <w:t>Ibid.</w:t>
      </w:r>
    </w:p>
  </w:footnote>
  <w:footnote w:id="21">
    <w:p w14:paraId="5415FD27" w14:textId="77777777" w:rsidR="00265CA5" w:rsidRDefault="00265CA5" w:rsidP="00265CA5">
      <w:pPr>
        <w:pStyle w:val="FootnoteText"/>
        <w:ind w:left="0" w:firstLine="0"/>
      </w:pPr>
      <w:r>
        <w:tab/>
      </w:r>
      <w:r w:rsidRPr="007E099A">
        <w:rPr>
          <w:rStyle w:val="FootnoteReference"/>
          <w:vertAlign w:val="baseline"/>
        </w:rPr>
        <w:footnoteRef/>
      </w:r>
      <w:r>
        <w:tab/>
      </w:r>
      <w:r w:rsidRPr="007E099A">
        <w:t>WHO, Emergency in Ukraine: external situation report #19, 11 August 2022</w:t>
      </w:r>
    </w:p>
  </w:footnote>
  <w:footnote w:id="22">
    <w:p w14:paraId="5415FD28" w14:textId="77777777" w:rsidR="00265CA5" w:rsidRPr="002E30FD" w:rsidRDefault="00265CA5" w:rsidP="00265CA5">
      <w:pPr>
        <w:pStyle w:val="FootnoteText"/>
        <w:rPr>
          <w:lang w:val="ru-RU"/>
        </w:rPr>
      </w:pPr>
      <w:r>
        <w:tab/>
      </w:r>
      <w:r w:rsidRPr="00645223">
        <w:rPr>
          <w:rStyle w:val="FootnoteReference"/>
          <w:vertAlign w:val="baseline"/>
        </w:rPr>
        <w:footnoteRef/>
      </w:r>
      <w:r w:rsidRPr="002E30FD">
        <w:rPr>
          <w:lang w:val="ru-RU"/>
        </w:rPr>
        <w:tab/>
      </w:r>
      <w:r w:rsidR="002E30FD">
        <w:rPr>
          <w:lang w:val="uk-UA"/>
        </w:rPr>
        <w:t xml:space="preserve">Генеральна Асамблея ООН, резолюція </w:t>
      </w:r>
      <w:r w:rsidRPr="002E30FD">
        <w:rPr>
          <w:lang w:val="ru-RU"/>
        </w:rPr>
        <w:t>2675 (</w:t>
      </w:r>
      <w:r w:rsidRPr="00645223">
        <w:t>XXV</w:t>
      </w:r>
      <w:r w:rsidRPr="002E30FD">
        <w:rPr>
          <w:lang w:val="ru-RU"/>
        </w:rPr>
        <w:t xml:space="preserve">) </w:t>
      </w:r>
    </w:p>
  </w:footnote>
  <w:footnote w:id="23">
    <w:p w14:paraId="5415FD29" w14:textId="77777777" w:rsidR="001B10E9" w:rsidRPr="001B10E9" w:rsidRDefault="001B10E9" w:rsidP="001B10E9">
      <w:pPr>
        <w:pStyle w:val="FootnoteText"/>
        <w:rPr>
          <w:lang w:val="ru-RU"/>
        </w:rPr>
      </w:pPr>
      <w:r w:rsidRPr="002E30FD">
        <w:rPr>
          <w:lang w:val="ru-RU"/>
        </w:rPr>
        <w:tab/>
      </w:r>
      <w:r w:rsidRPr="00892F17">
        <w:rPr>
          <w:rStyle w:val="FootnoteReference"/>
          <w:vertAlign w:val="baseline"/>
        </w:rPr>
        <w:footnoteRef/>
      </w:r>
      <w:r w:rsidRPr="001B10E9">
        <w:rPr>
          <w:lang w:val="ru-RU"/>
        </w:rPr>
        <w:tab/>
      </w:r>
      <w:r w:rsidRPr="00892F17">
        <w:t>www</w:t>
      </w:r>
      <w:r w:rsidRPr="001B10E9">
        <w:rPr>
          <w:lang w:val="ru-RU"/>
        </w:rPr>
        <w:t>.</w:t>
      </w:r>
      <w:proofErr w:type="spellStart"/>
      <w:r w:rsidRPr="00892F17">
        <w:t>ohchr</w:t>
      </w:r>
      <w:proofErr w:type="spellEnd"/>
      <w:r w:rsidRPr="001B10E9">
        <w:rPr>
          <w:lang w:val="ru-RU"/>
        </w:rPr>
        <w:t>.</w:t>
      </w:r>
      <w:r w:rsidRPr="00892F17">
        <w:t>org</w:t>
      </w:r>
      <w:r w:rsidRPr="001B10E9">
        <w:rPr>
          <w:lang w:val="ru-RU"/>
        </w:rPr>
        <w:t>/</w:t>
      </w:r>
      <w:proofErr w:type="spellStart"/>
      <w:r w:rsidRPr="00892F17">
        <w:t>en</w:t>
      </w:r>
      <w:proofErr w:type="spellEnd"/>
      <w:r w:rsidRPr="001B10E9">
        <w:rPr>
          <w:lang w:val="ru-RU"/>
        </w:rPr>
        <w:t>/</w:t>
      </w:r>
      <w:r w:rsidRPr="00892F17">
        <w:t>statements</w:t>
      </w:r>
      <w:r w:rsidRPr="001B10E9">
        <w:rPr>
          <w:lang w:val="ru-RU"/>
        </w:rPr>
        <w:t>/2022/04/</w:t>
      </w:r>
      <w:proofErr w:type="spellStart"/>
      <w:r w:rsidRPr="00892F17">
        <w:t>ukraine</w:t>
      </w:r>
      <w:proofErr w:type="spellEnd"/>
      <w:r w:rsidRPr="001B10E9">
        <w:rPr>
          <w:lang w:val="ru-RU"/>
        </w:rPr>
        <w:t>-27-</w:t>
      </w:r>
      <w:r w:rsidRPr="00892F17">
        <w:t>million</w:t>
      </w:r>
      <w:r w:rsidRPr="001B10E9">
        <w:rPr>
          <w:lang w:val="ru-RU"/>
        </w:rPr>
        <w:t>-</w:t>
      </w:r>
      <w:r w:rsidRPr="00892F17">
        <w:t>people</w:t>
      </w:r>
      <w:r w:rsidRPr="001B10E9">
        <w:rPr>
          <w:lang w:val="ru-RU"/>
        </w:rPr>
        <w:t>-</w:t>
      </w:r>
      <w:r w:rsidRPr="00892F17">
        <w:t>disabilities</w:t>
      </w:r>
      <w:r w:rsidRPr="001B10E9">
        <w:rPr>
          <w:lang w:val="ru-RU"/>
        </w:rPr>
        <w:t>-</w:t>
      </w:r>
      <w:r w:rsidRPr="00892F17">
        <w:t>risk</w:t>
      </w:r>
      <w:r w:rsidRPr="001B10E9">
        <w:rPr>
          <w:lang w:val="ru-RU"/>
        </w:rPr>
        <w:t>-</w:t>
      </w:r>
      <w:r w:rsidRPr="00892F17">
        <w:t>un</w:t>
      </w:r>
      <w:r w:rsidRPr="001B10E9">
        <w:rPr>
          <w:lang w:val="ru-RU"/>
        </w:rPr>
        <w:t>-</w:t>
      </w:r>
      <w:r w:rsidRPr="00892F17">
        <w:t>committee</w:t>
      </w:r>
      <w:r w:rsidRPr="001B10E9">
        <w:rPr>
          <w:lang w:val="ru-RU"/>
        </w:rPr>
        <w:t>-</w:t>
      </w:r>
      <w:r w:rsidRPr="00892F17">
        <w:t>warns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s-ES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0" w:nlCheck="1" w:checkStyle="0"/>
  <w:activeWritingStyle w:appName="MSWord" w:lang="ru-RU" w:vendorID="64" w:dllVersion="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44A"/>
    <w:rsid w:val="00013C81"/>
    <w:rsid w:val="00016D48"/>
    <w:rsid w:val="000240D1"/>
    <w:rsid w:val="000260FC"/>
    <w:rsid w:val="000268CC"/>
    <w:rsid w:val="000330A7"/>
    <w:rsid w:val="00042E92"/>
    <w:rsid w:val="00044860"/>
    <w:rsid w:val="0004496A"/>
    <w:rsid w:val="00047479"/>
    <w:rsid w:val="00051957"/>
    <w:rsid w:val="00060654"/>
    <w:rsid w:val="00060AE5"/>
    <w:rsid w:val="0006271D"/>
    <w:rsid w:val="00065315"/>
    <w:rsid w:val="00065318"/>
    <w:rsid w:val="00065D18"/>
    <w:rsid w:val="000676CE"/>
    <w:rsid w:val="0007549F"/>
    <w:rsid w:val="0008540C"/>
    <w:rsid w:val="00096866"/>
    <w:rsid w:val="000A13D3"/>
    <w:rsid w:val="000A1D6C"/>
    <w:rsid w:val="000D1224"/>
    <w:rsid w:val="000D45AC"/>
    <w:rsid w:val="000F3CBA"/>
    <w:rsid w:val="00101A30"/>
    <w:rsid w:val="0011445D"/>
    <w:rsid w:val="00140EFD"/>
    <w:rsid w:val="00141520"/>
    <w:rsid w:val="001439E5"/>
    <w:rsid w:val="00146CCB"/>
    <w:rsid w:val="00153AB4"/>
    <w:rsid w:val="00165C09"/>
    <w:rsid w:val="00166E0C"/>
    <w:rsid w:val="001760E5"/>
    <w:rsid w:val="00180623"/>
    <w:rsid w:val="0018459F"/>
    <w:rsid w:val="00184E03"/>
    <w:rsid w:val="00187DD3"/>
    <w:rsid w:val="00196B23"/>
    <w:rsid w:val="001A3377"/>
    <w:rsid w:val="001B10E9"/>
    <w:rsid w:val="001B3FD3"/>
    <w:rsid w:val="001B5126"/>
    <w:rsid w:val="001C0BCC"/>
    <w:rsid w:val="001D1699"/>
    <w:rsid w:val="001E4131"/>
    <w:rsid w:val="001F0489"/>
    <w:rsid w:val="001F5F6B"/>
    <w:rsid w:val="00205986"/>
    <w:rsid w:val="00205F2C"/>
    <w:rsid w:val="00206F09"/>
    <w:rsid w:val="002071BC"/>
    <w:rsid w:val="00223CF9"/>
    <w:rsid w:val="00224804"/>
    <w:rsid w:val="00226547"/>
    <w:rsid w:val="002402A9"/>
    <w:rsid w:val="0025348C"/>
    <w:rsid w:val="00257FF3"/>
    <w:rsid w:val="0026127F"/>
    <w:rsid w:val="002639DA"/>
    <w:rsid w:val="00265CA5"/>
    <w:rsid w:val="002664B6"/>
    <w:rsid w:val="002711C6"/>
    <w:rsid w:val="002711EC"/>
    <w:rsid w:val="002712AD"/>
    <w:rsid w:val="002727C6"/>
    <w:rsid w:val="00276848"/>
    <w:rsid w:val="002805A4"/>
    <w:rsid w:val="002910EC"/>
    <w:rsid w:val="002B08E2"/>
    <w:rsid w:val="002B3E99"/>
    <w:rsid w:val="002C20CF"/>
    <w:rsid w:val="002C258D"/>
    <w:rsid w:val="002C2AE8"/>
    <w:rsid w:val="002C396D"/>
    <w:rsid w:val="002D16F9"/>
    <w:rsid w:val="002D3D0F"/>
    <w:rsid w:val="002E0643"/>
    <w:rsid w:val="002E30FD"/>
    <w:rsid w:val="003016D0"/>
    <w:rsid w:val="00313404"/>
    <w:rsid w:val="0031704D"/>
    <w:rsid w:val="00323968"/>
    <w:rsid w:val="00341E09"/>
    <w:rsid w:val="00341F08"/>
    <w:rsid w:val="00356AE0"/>
    <w:rsid w:val="00375A86"/>
    <w:rsid w:val="00376AA9"/>
    <w:rsid w:val="003779D0"/>
    <w:rsid w:val="00382465"/>
    <w:rsid w:val="00386263"/>
    <w:rsid w:val="0039193A"/>
    <w:rsid w:val="003B117D"/>
    <w:rsid w:val="003B1FEF"/>
    <w:rsid w:val="003B3745"/>
    <w:rsid w:val="003C3051"/>
    <w:rsid w:val="003C306D"/>
    <w:rsid w:val="003C3A8C"/>
    <w:rsid w:val="003C72A3"/>
    <w:rsid w:val="003D5FD2"/>
    <w:rsid w:val="003F1438"/>
    <w:rsid w:val="003F2C5A"/>
    <w:rsid w:val="004212D1"/>
    <w:rsid w:val="00437056"/>
    <w:rsid w:val="00454E31"/>
    <w:rsid w:val="00460870"/>
    <w:rsid w:val="00466AEE"/>
    <w:rsid w:val="004679E1"/>
    <w:rsid w:val="00480224"/>
    <w:rsid w:val="00481320"/>
    <w:rsid w:val="00486FD8"/>
    <w:rsid w:val="0049106E"/>
    <w:rsid w:val="004959D8"/>
    <w:rsid w:val="00496BC3"/>
    <w:rsid w:val="004972B2"/>
    <w:rsid w:val="004A1B2D"/>
    <w:rsid w:val="004A50FA"/>
    <w:rsid w:val="004B3387"/>
    <w:rsid w:val="004B3AAE"/>
    <w:rsid w:val="004B6AE5"/>
    <w:rsid w:val="004C6046"/>
    <w:rsid w:val="004D0750"/>
    <w:rsid w:val="004E23AF"/>
    <w:rsid w:val="004E5915"/>
    <w:rsid w:val="004F299C"/>
    <w:rsid w:val="004F3046"/>
    <w:rsid w:val="004F62CC"/>
    <w:rsid w:val="0050137D"/>
    <w:rsid w:val="00505DEF"/>
    <w:rsid w:val="005066FF"/>
    <w:rsid w:val="00506898"/>
    <w:rsid w:val="005072AC"/>
    <w:rsid w:val="00522038"/>
    <w:rsid w:val="0052785A"/>
    <w:rsid w:val="0053159A"/>
    <w:rsid w:val="0054295B"/>
    <w:rsid w:val="00560380"/>
    <w:rsid w:val="00562363"/>
    <w:rsid w:val="00566A97"/>
    <w:rsid w:val="0057009D"/>
    <w:rsid w:val="005727A7"/>
    <w:rsid w:val="005754FC"/>
    <w:rsid w:val="005820F2"/>
    <w:rsid w:val="005837A3"/>
    <w:rsid w:val="005A12F6"/>
    <w:rsid w:val="005A5577"/>
    <w:rsid w:val="005B3DF7"/>
    <w:rsid w:val="005B3E13"/>
    <w:rsid w:val="005B7D97"/>
    <w:rsid w:val="005C7064"/>
    <w:rsid w:val="005D4140"/>
    <w:rsid w:val="005F7F3D"/>
    <w:rsid w:val="00607D32"/>
    <w:rsid w:val="00610374"/>
    <w:rsid w:val="00611F5C"/>
    <w:rsid w:val="006210A5"/>
    <w:rsid w:val="00633596"/>
    <w:rsid w:val="006419A7"/>
    <w:rsid w:val="006424F5"/>
    <w:rsid w:val="00645223"/>
    <w:rsid w:val="00653BBF"/>
    <w:rsid w:val="00664666"/>
    <w:rsid w:val="006659D5"/>
    <w:rsid w:val="00675271"/>
    <w:rsid w:val="0068022F"/>
    <w:rsid w:val="00680748"/>
    <w:rsid w:val="00681852"/>
    <w:rsid w:val="00684D5F"/>
    <w:rsid w:val="00690D57"/>
    <w:rsid w:val="00693D2A"/>
    <w:rsid w:val="00696DAB"/>
    <w:rsid w:val="006A7792"/>
    <w:rsid w:val="006C63BC"/>
    <w:rsid w:val="006D2E39"/>
    <w:rsid w:val="006D6281"/>
    <w:rsid w:val="006E4E24"/>
    <w:rsid w:val="006F5F30"/>
    <w:rsid w:val="00701E3D"/>
    <w:rsid w:val="007109AE"/>
    <w:rsid w:val="00722998"/>
    <w:rsid w:val="00722DD8"/>
    <w:rsid w:val="00723CFB"/>
    <w:rsid w:val="007244E2"/>
    <w:rsid w:val="007355F1"/>
    <w:rsid w:val="007369F9"/>
    <w:rsid w:val="0074128F"/>
    <w:rsid w:val="00742D70"/>
    <w:rsid w:val="0074774A"/>
    <w:rsid w:val="00755BFC"/>
    <w:rsid w:val="00756603"/>
    <w:rsid w:val="0076541E"/>
    <w:rsid w:val="00765964"/>
    <w:rsid w:val="007821AA"/>
    <w:rsid w:val="007859B1"/>
    <w:rsid w:val="007932AD"/>
    <w:rsid w:val="007A136F"/>
    <w:rsid w:val="007A4BBF"/>
    <w:rsid w:val="007A7D73"/>
    <w:rsid w:val="007B4D53"/>
    <w:rsid w:val="007B6714"/>
    <w:rsid w:val="007C329F"/>
    <w:rsid w:val="007D2528"/>
    <w:rsid w:val="007D5F4C"/>
    <w:rsid w:val="007E099A"/>
    <w:rsid w:val="007E3C06"/>
    <w:rsid w:val="007E44CF"/>
    <w:rsid w:val="007F08BB"/>
    <w:rsid w:val="007F1FD2"/>
    <w:rsid w:val="007F4A80"/>
    <w:rsid w:val="007F5CC9"/>
    <w:rsid w:val="007F624F"/>
    <w:rsid w:val="00806BC7"/>
    <w:rsid w:val="008214C9"/>
    <w:rsid w:val="008224A8"/>
    <w:rsid w:val="00827BB1"/>
    <w:rsid w:val="008410F6"/>
    <w:rsid w:val="00843BA2"/>
    <w:rsid w:val="0085469D"/>
    <w:rsid w:val="008676A2"/>
    <w:rsid w:val="00870C93"/>
    <w:rsid w:val="0088546D"/>
    <w:rsid w:val="008925E1"/>
    <w:rsid w:val="00892F17"/>
    <w:rsid w:val="00896A35"/>
    <w:rsid w:val="008A59C0"/>
    <w:rsid w:val="008B31B4"/>
    <w:rsid w:val="008C0123"/>
    <w:rsid w:val="008C2447"/>
    <w:rsid w:val="008C2C75"/>
    <w:rsid w:val="008C66E1"/>
    <w:rsid w:val="008D27DB"/>
    <w:rsid w:val="008F0AC2"/>
    <w:rsid w:val="008F7337"/>
    <w:rsid w:val="00902F0B"/>
    <w:rsid w:val="00907AD8"/>
    <w:rsid w:val="00916846"/>
    <w:rsid w:val="00927358"/>
    <w:rsid w:val="00927C80"/>
    <w:rsid w:val="00944BCA"/>
    <w:rsid w:val="009461A4"/>
    <w:rsid w:val="00947740"/>
    <w:rsid w:val="009539F0"/>
    <w:rsid w:val="009563C4"/>
    <w:rsid w:val="009577EA"/>
    <w:rsid w:val="009847B4"/>
    <w:rsid w:val="009A3CA1"/>
    <w:rsid w:val="009B14CA"/>
    <w:rsid w:val="009B7FF9"/>
    <w:rsid w:val="009C2F57"/>
    <w:rsid w:val="009C6119"/>
    <w:rsid w:val="009D2DCC"/>
    <w:rsid w:val="009E6817"/>
    <w:rsid w:val="009F18AB"/>
    <w:rsid w:val="009F7B6D"/>
    <w:rsid w:val="00A13E8E"/>
    <w:rsid w:val="00A20078"/>
    <w:rsid w:val="00A24C75"/>
    <w:rsid w:val="00A25C87"/>
    <w:rsid w:val="00A41C6E"/>
    <w:rsid w:val="00A426F0"/>
    <w:rsid w:val="00A4297D"/>
    <w:rsid w:val="00A472B5"/>
    <w:rsid w:val="00A56BF0"/>
    <w:rsid w:val="00A61747"/>
    <w:rsid w:val="00A622F7"/>
    <w:rsid w:val="00A6363C"/>
    <w:rsid w:val="00A648F3"/>
    <w:rsid w:val="00A80E79"/>
    <w:rsid w:val="00A82BF7"/>
    <w:rsid w:val="00A84C9A"/>
    <w:rsid w:val="00A84CF8"/>
    <w:rsid w:val="00A8744A"/>
    <w:rsid w:val="00A94A84"/>
    <w:rsid w:val="00AA60D6"/>
    <w:rsid w:val="00AA6551"/>
    <w:rsid w:val="00AA7CB0"/>
    <w:rsid w:val="00AB1941"/>
    <w:rsid w:val="00AB233C"/>
    <w:rsid w:val="00AC09E0"/>
    <w:rsid w:val="00AC27B5"/>
    <w:rsid w:val="00AD0658"/>
    <w:rsid w:val="00AD0D45"/>
    <w:rsid w:val="00AD1AD8"/>
    <w:rsid w:val="00AD2438"/>
    <w:rsid w:val="00AD2978"/>
    <w:rsid w:val="00AD2B57"/>
    <w:rsid w:val="00AF179C"/>
    <w:rsid w:val="00AF42F2"/>
    <w:rsid w:val="00B022D1"/>
    <w:rsid w:val="00B04528"/>
    <w:rsid w:val="00B131F4"/>
    <w:rsid w:val="00B204D1"/>
    <w:rsid w:val="00B22557"/>
    <w:rsid w:val="00B316E1"/>
    <w:rsid w:val="00B40114"/>
    <w:rsid w:val="00B51367"/>
    <w:rsid w:val="00B56712"/>
    <w:rsid w:val="00B56843"/>
    <w:rsid w:val="00B864C6"/>
    <w:rsid w:val="00BA1063"/>
    <w:rsid w:val="00BA4BAC"/>
    <w:rsid w:val="00BB5B72"/>
    <w:rsid w:val="00BC02DA"/>
    <w:rsid w:val="00BD3919"/>
    <w:rsid w:val="00BE1EC5"/>
    <w:rsid w:val="00BE3D97"/>
    <w:rsid w:val="00BE44AD"/>
    <w:rsid w:val="00BF0640"/>
    <w:rsid w:val="00BF1BBC"/>
    <w:rsid w:val="00BF3F19"/>
    <w:rsid w:val="00BF4BF2"/>
    <w:rsid w:val="00C045FD"/>
    <w:rsid w:val="00C135C9"/>
    <w:rsid w:val="00C163BD"/>
    <w:rsid w:val="00C20209"/>
    <w:rsid w:val="00C20761"/>
    <w:rsid w:val="00C31710"/>
    <w:rsid w:val="00C44D90"/>
    <w:rsid w:val="00C4627C"/>
    <w:rsid w:val="00C54EDD"/>
    <w:rsid w:val="00C5651A"/>
    <w:rsid w:val="00C579B6"/>
    <w:rsid w:val="00C63CFF"/>
    <w:rsid w:val="00C80174"/>
    <w:rsid w:val="00C80CA3"/>
    <w:rsid w:val="00C90752"/>
    <w:rsid w:val="00C90E37"/>
    <w:rsid w:val="00CB4D15"/>
    <w:rsid w:val="00CB5907"/>
    <w:rsid w:val="00CB6BBE"/>
    <w:rsid w:val="00CD31DF"/>
    <w:rsid w:val="00CD7FF5"/>
    <w:rsid w:val="00CE162B"/>
    <w:rsid w:val="00CE593C"/>
    <w:rsid w:val="00CE6901"/>
    <w:rsid w:val="00CF13C7"/>
    <w:rsid w:val="00CF5EAB"/>
    <w:rsid w:val="00D01872"/>
    <w:rsid w:val="00D04788"/>
    <w:rsid w:val="00D04B27"/>
    <w:rsid w:val="00D154E2"/>
    <w:rsid w:val="00D2795A"/>
    <w:rsid w:val="00D34279"/>
    <w:rsid w:val="00D41493"/>
    <w:rsid w:val="00D4496D"/>
    <w:rsid w:val="00D96400"/>
    <w:rsid w:val="00DA04F2"/>
    <w:rsid w:val="00DA6D21"/>
    <w:rsid w:val="00DC03A7"/>
    <w:rsid w:val="00DC1904"/>
    <w:rsid w:val="00DC3094"/>
    <w:rsid w:val="00DC3C97"/>
    <w:rsid w:val="00DE356E"/>
    <w:rsid w:val="00DE51C4"/>
    <w:rsid w:val="00DE7C45"/>
    <w:rsid w:val="00DF7030"/>
    <w:rsid w:val="00E03935"/>
    <w:rsid w:val="00E06A20"/>
    <w:rsid w:val="00E172C7"/>
    <w:rsid w:val="00E21F08"/>
    <w:rsid w:val="00E240EF"/>
    <w:rsid w:val="00E26CDE"/>
    <w:rsid w:val="00E43C93"/>
    <w:rsid w:val="00E45AE3"/>
    <w:rsid w:val="00E60B15"/>
    <w:rsid w:val="00E61002"/>
    <w:rsid w:val="00E740AF"/>
    <w:rsid w:val="00E75E2F"/>
    <w:rsid w:val="00E85DA7"/>
    <w:rsid w:val="00E87F00"/>
    <w:rsid w:val="00E934DB"/>
    <w:rsid w:val="00EB22CE"/>
    <w:rsid w:val="00EC0ED2"/>
    <w:rsid w:val="00ED015E"/>
    <w:rsid w:val="00ED5E08"/>
    <w:rsid w:val="00EF61B4"/>
    <w:rsid w:val="00F05FBB"/>
    <w:rsid w:val="00F07FA8"/>
    <w:rsid w:val="00F30846"/>
    <w:rsid w:val="00F312FA"/>
    <w:rsid w:val="00F40F70"/>
    <w:rsid w:val="00F41C27"/>
    <w:rsid w:val="00F44AE8"/>
    <w:rsid w:val="00F46630"/>
    <w:rsid w:val="00F66F60"/>
    <w:rsid w:val="00F67D9E"/>
    <w:rsid w:val="00F722BE"/>
    <w:rsid w:val="00F85EB3"/>
    <w:rsid w:val="00F93ACA"/>
    <w:rsid w:val="00F95F97"/>
    <w:rsid w:val="00F97867"/>
    <w:rsid w:val="00FA0167"/>
    <w:rsid w:val="00FA18F6"/>
    <w:rsid w:val="00FB2A16"/>
    <w:rsid w:val="00FB5E25"/>
    <w:rsid w:val="00FC152B"/>
    <w:rsid w:val="00FC2E08"/>
    <w:rsid w:val="00FC33B0"/>
    <w:rsid w:val="00FD0AC8"/>
    <w:rsid w:val="00FD6B8D"/>
    <w:rsid w:val="00FE2952"/>
    <w:rsid w:val="00FE7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5FCB2"/>
  <w15:docId w15:val="{6F25D285-A679-458D-ACC6-04BA7A5E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59A"/>
  </w:style>
  <w:style w:type="paragraph" w:styleId="Heading1">
    <w:name w:val="heading 1"/>
    <w:basedOn w:val="Normal"/>
    <w:next w:val="Normal"/>
    <w:link w:val="Heading1Char"/>
    <w:uiPriority w:val="9"/>
    <w:qFormat/>
    <w:rsid w:val="005A12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2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ChG">
    <w:name w:val="_ H _Ch_G"/>
    <w:basedOn w:val="Normal"/>
    <w:next w:val="Normal"/>
    <w:rsid w:val="00A8744A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  <w:outlineLvl w:val="1"/>
    </w:pPr>
    <w:rPr>
      <w:rFonts w:ascii="Times New Roman" w:eastAsia="SimSun" w:hAnsi="Times New Roman" w:cs="Times New Roman"/>
      <w:b/>
      <w:sz w:val="28"/>
      <w:szCs w:val="20"/>
      <w:lang w:eastAsia="zh-CN"/>
    </w:rPr>
  </w:style>
  <w:style w:type="paragraph" w:customStyle="1" w:styleId="SingleTxtG">
    <w:name w:val="_ Single Txt_G"/>
    <w:basedOn w:val="Normal"/>
    <w:link w:val="SingleTxtGChar"/>
    <w:rsid w:val="00A8744A"/>
    <w:pPr>
      <w:tabs>
        <w:tab w:val="left" w:pos="1701"/>
        <w:tab w:val="left" w:pos="2268"/>
      </w:tabs>
      <w:suppressAutoHyphens/>
      <w:spacing w:after="120" w:line="240" w:lineRule="atLeast"/>
      <w:ind w:left="1134" w:right="1134"/>
      <w:jc w:val="both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FootnoteText">
    <w:name w:val="footnote text"/>
    <w:aliases w:val="5_G"/>
    <w:basedOn w:val="Normal"/>
    <w:link w:val="FootnoteTextChar"/>
    <w:rsid w:val="00A8744A"/>
    <w:pPr>
      <w:tabs>
        <w:tab w:val="right" w:pos="1021"/>
        <w:tab w:val="left" w:pos="1134"/>
        <w:tab w:val="left" w:pos="1701"/>
        <w:tab w:val="left" w:pos="2268"/>
      </w:tabs>
      <w:suppressAutoHyphens/>
      <w:spacing w:line="220" w:lineRule="exact"/>
      <w:ind w:left="1134" w:right="1134" w:hanging="1134"/>
    </w:pPr>
    <w:rPr>
      <w:rFonts w:ascii="Times New Roman" w:eastAsia="SimSun" w:hAnsi="Times New Roman" w:cs="Times New Roman"/>
      <w:sz w:val="18"/>
      <w:szCs w:val="20"/>
      <w:lang w:eastAsia="zh-CN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A8744A"/>
    <w:rPr>
      <w:rFonts w:ascii="Times New Roman" w:eastAsia="SimSun" w:hAnsi="Times New Roman" w:cs="Times New Roman"/>
      <w:sz w:val="18"/>
      <w:szCs w:val="20"/>
      <w:lang w:val="en-GB" w:eastAsia="zh-CN"/>
    </w:rPr>
  </w:style>
  <w:style w:type="character" w:styleId="FootnoteReference">
    <w:name w:val="footnote reference"/>
    <w:aliases w:val="4_G"/>
    <w:rsid w:val="00A8744A"/>
    <w:rPr>
      <w:rFonts w:ascii="Times New Roman" w:hAnsi="Times New Roman"/>
      <w:sz w:val="18"/>
      <w:vertAlign w:val="superscript"/>
    </w:rPr>
  </w:style>
  <w:style w:type="character" w:customStyle="1" w:styleId="SingleTxtGChar">
    <w:name w:val="_ Single Txt_G Char"/>
    <w:basedOn w:val="DefaultParagraphFont"/>
    <w:link w:val="SingleTxtG"/>
    <w:rsid w:val="00A8744A"/>
    <w:rPr>
      <w:rFonts w:ascii="Times New Roman" w:eastAsia="SimSun" w:hAnsi="Times New Roman" w:cs="Times New Roman"/>
      <w:sz w:val="20"/>
      <w:szCs w:val="20"/>
      <w:lang w:val="en-GB" w:eastAsia="zh-CN"/>
    </w:rPr>
  </w:style>
  <w:style w:type="character" w:styleId="Hyperlink">
    <w:name w:val="Hyperlink"/>
    <w:basedOn w:val="DefaultParagraphFont"/>
    <w:rsid w:val="00A8744A"/>
    <w:rPr>
      <w:color w:val="0563C1" w:themeColor="hyperlink"/>
      <w:u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62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27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27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71D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3F1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A1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12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F30846"/>
  </w:style>
  <w:style w:type="paragraph" w:styleId="BalloonText">
    <w:name w:val="Balloon Text"/>
    <w:basedOn w:val="Normal"/>
    <w:link w:val="BalloonTextChar"/>
    <w:uiPriority w:val="99"/>
    <w:semiHidden/>
    <w:unhideWhenUsed/>
    <w:rsid w:val="00633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54BCDD-8F34-4953-A351-D5722D6E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3120</Words>
  <Characters>20436</Characters>
  <Application>Microsoft Office Word</Application>
  <DocSecurity>0</DocSecurity>
  <Lines>378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FELLOW3 FUNDS</dc:creator>
  <cp:lastModifiedBy>Giulia Traversi</cp:lastModifiedBy>
  <cp:revision>10</cp:revision>
  <dcterms:created xsi:type="dcterms:W3CDTF">2022-09-20T21:21:00Z</dcterms:created>
  <dcterms:modified xsi:type="dcterms:W3CDTF">2022-09-21T10:25:00Z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6b885ac1bc3bb8f1585df464306de4c6b089ad3cdb7d35ef90ad2180b55ef022</vt:lpwstr>
  </property>
</Properties>
</file>