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23C" w:rsidRDefault="0089023C">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column">
              <wp:posOffset>105410</wp:posOffset>
            </wp:positionH>
            <wp:positionV relativeFrom="paragraph">
              <wp:posOffset>132080</wp:posOffset>
            </wp:positionV>
            <wp:extent cx="1574800" cy="990600"/>
            <wp:effectExtent l="0" t="0" r="6350" b="0"/>
            <wp:wrapTight wrapText="bothSides">
              <wp:wrapPolygon edited="0">
                <wp:start x="0" y="0"/>
                <wp:lineTo x="0" y="21185"/>
                <wp:lineTo x="21426" y="21185"/>
                <wp:lineTo x="21426"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 bon logo.jpg"/>
                    <pic:cNvPicPr/>
                  </pic:nvPicPr>
                  <pic:blipFill>
                    <a:blip r:embed="rId8">
                      <a:extLst>
                        <a:ext uri="{28A0092B-C50C-407E-A947-70E740481C1C}">
                          <a14:useLocalDpi xmlns:a14="http://schemas.microsoft.com/office/drawing/2010/main" val="0"/>
                        </a:ext>
                      </a:extLst>
                    </a:blip>
                    <a:stretch>
                      <a:fillRect/>
                    </a:stretch>
                  </pic:blipFill>
                  <pic:spPr>
                    <a:xfrm>
                      <a:off x="0" y="0"/>
                      <a:ext cx="1574800" cy="990600"/>
                    </a:xfrm>
                    <a:prstGeom prst="rect">
                      <a:avLst/>
                    </a:prstGeom>
                  </pic:spPr>
                </pic:pic>
              </a:graphicData>
            </a:graphic>
          </wp:anchor>
        </w:drawing>
      </w:r>
      <w:r>
        <w:t xml:space="preserve">                 </w:t>
      </w:r>
      <w:r>
        <w:tab/>
      </w:r>
      <w:r>
        <w:tab/>
      </w:r>
      <w:r>
        <w:tab/>
      </w:r>
      <w:r>
        <w:tab/>
      </w:r>
      <w:r>
        <w:tab/>
      </w:r>
      <w:r>
        <w:tab/>
      </w:r>
      <w:r>
        <w:tab/>
      </w:r>
      <w:r>
        <w:tab/>
      </w:r>
      <w:r>
        <w:tab/>
      </w:r>
      <w:r>
        <w:tab/>
      </w:r>
      <w:r>
        <w:tab/>
      </w:r>
      <w:r>
        <w:tab/>
      </w:r>
      <w:r>
        <w:tab/>
      </w:r>
      <w:r>
        <w:tab/>
        <w:t xml:space="preserve">                                </w:t>
      </w:r>
    </w:p>
    <w:p w:rsidR="00F0182B" w:rsidRDefault="0089023C" w:rsidP="0089023C">
      <w:pPr>
        <w:ind w:left="12744"/>
      </w:pPr>
      <w:r>
        <w:t>Juin 2022</w:t>
      </w:r>
    </w:p>
    <w:p w:rsidR="00724085" w:rsidRPr="005E6972" w:rsidRDefault="00724085" w:rsidP="00724085">
      <w:pPr>
        <w:jc w:val="center"/>
        <w:rPr>
          <w:b/>
          <w:color w:val="C00000"/>
          <w:sz w:val="36"/>
          <w:szCs w:val="36"/>
        </w:rPr>
      </w:pPr>
      <w:r w:rsidRPr="005E6972">
        <w:rPr>
          <w:b/>
          <w:color w:val="C00000"/>
          <w:sz w:val="36"/>
          <w:szCs w:val="36"/>
        </w:rPr>
        <w:t xml:space="preserve">Contribution APF France handicap </w:t>
      </w:r>
    </w:p>
    <w:p w:rsidR="00724085" w:rsidRPr="005E6972" w:rsidRDefault="00724085" w:rsidP="00724085">
      <w:pPr>
        <w:jc w:val="center"/>
        <w:rPr>
          <w:b/>
          <w:i/>
          <w:color w:val="0070C0"/>
          <w:sz w:val="36"/>
          <w:szCs w:val="36"/>
        </w:rPr>
      </w:pPr>
    </w:p>
    <w:p w:rsidR="00724085" w:rsidRPr="005E6972" w:rsidRDefault="00724085" w:rsidP="00724085">
      <w:pPr>
        <w:jc w:val="center"/>
        <w:rPr>
          <w:b/>
          <w:color w:val="0070C0"/>
          <w:sz w:val="32"/>
          <w:szCs w:val="36"/>
        </w:rPr>
      </w:pPr>
      <w:r w:rsidRPr="005E6972">
        <w:rPr>
          <w:b/>
          <w:color w:val="0070C0"/>
          <w:sz w:val="32"/>
          <w:szCs w:val="36"/>
        </w:rPr>
        <w:t>Projet de lignes directrices sur</w:t>
      </w:r>
      <w:r w:rsidR="00FB0E16" w:rsidRPr="005E6972">
        <w:rPr>
          <w:b/>
          <w:color w:val="0070C0"/>
          <w:sz w:val="32"/>
          <w:szCs w:val="36"/>
        </w:rPr>
        <w:t xml:space="preserve"> la </w:t>
      </w:r>
      <w:r w:rsidR="001A7E5F" w:rsidRPr="00946795">
        <w:rPr>
          <w:b/>
          <w:color w:val="0070C0"/>
          <w:sz w:val="32"/>
          <w:szCs w:val="36"/>
        </w:rPr>
        <w:t>désinstitutionalisation</w:t>
      </w:r>
      <w:r w:rsidR="00FB0E16" w:rsidRPr="005E6972">
        <w:rPr>
          <w:b/>
          <w:color w:val="0070C0"/>
          <w:sz w:val="32"/>
          <w:szCs w:val="36"/>
        </w:rPr>
        <w:t xml:space="preserve">, y </w:t>
      </w:r>
      <w:r w:rsidRPr="005E6972">
        <w:rPr>
          <w:b/>
          <w:color w:val="0070C0"/>
          <w:sz w:val="32"/>
          <w:szCs w:val="36"/>
        </w:rPr>
        <w:t>compris dans les situations d'urgence par le Comité des droits des personnes handicapées</w:t>
      </w:r>
    </w:p>
    <w:p w:rsidR="005E15E6" w:rsidRPr="005E6972" w:rsidRDefault="005E15E6" w:rsidP="005E6972">
      <w:pPr>
        <w:pStyle w:val="BodyText1"/>
        <w:numPr>
          <w:ilvl w:val="0"/>
          <w:numId w:val="29"/>
        </w:numPr>
        <w:spacing w:after="0"/>
        <w:rPr>
          <w:b/>
          <w:color w:val="0070C0"/>
          <w:sz w:val="22"/>
          <w:szCs w:val="22"/>
          <w:lang w:val="fr-FR"/>
        </w:rPr>
      </w:pPr>
      <w:r w:rsidRPr="005E6972">
        <w:rPr>
          <w:b/>
          <w:color w:val="0070C0"/>
          <w:sz w:val="22"/>
          <w:szCs w:val="22"/>
          <w:lang w:val="fr-FR"/>
        </w:rPr>
        <w:t xml:space="preserve">Présentation générale d’APF France handicap </w:t>
      </w:r>
    </w:p>
    <w:p w:rsidR="00275FD2" w:rsidRPr="0020048F" w:rsidRDefault="00275FD2" w:rsidP="00275FD2">
      <w:pPr>
        <w:pStyle w:val="BodyText1"/>
        <w:numPr>
          <w:ilvl w:val="0"/>
          <w:numId w:val="0"/>
        </w:numPr>
        <w:spacing w:after="0"/>
        <w:ind w:left="360"/>
        <w:rPr>
          <w:sz w:val="22"/>
          <w:szCs w:val="22"/>
          <w:lang w:val="fr-FR"/>
        </w:rPr>
      </w:pPr>
      <w:r w:rsidRPr="0020048F">
        <w:rPr>
          <w:sz w:val="22"/>
          <w:szCs w:val="22"/>
          <w:lang w:val="fr-FR"/>
        </w:rPr>
        <w:t>Créée en 1933, APF France handicap</w:t>
      </w:r>
      <w:r w:rsidR="00C306BF">
        <w:rPr>
          <w:rStyle w:val="FootnoteReference"/>
          <w:sz w:val="22"/>
          <w:szCs w:val="22"/>
          <w:lang w:val="fr-FR"/>
        </w:rPr>
        <w:footnoteReference w:id="1"/>
      </w:r>
      <w:r w:rsidRPr="0020048F">
        <w:rPr>
          <w:sz w:val="22"/>
          <w:szCs w:val="22"/>
          <w:lang w:val="fr-FR"/>
        </w:rPr>
        <w:t xml:space="preserve"> est la plus importante association française, reconnue d’utilité publique, de défense et de représentation des personnes </w:t>
      </w:r>
      <w:r w:rsidR="001A7E5F">
        <w:rPr>
          <w:sz w:val="22"/>
          <w:szCs w:val="22"/>
          <w:lang w:val="fr-FR"/>
        </w:rPr>
        <w:t>handicapées</w:t>
      </w:r>
      <w:r w:rsidRPr="0020048F">
        <w:rPr>
          <w:sz w:val="22"/>
          <w:szCs w:val="22"/>
          <w:lang w:val="fr-FR"/>
        </w:rPr>
        <w:t xml:space="preserve"> et de leurs proches.</w:t>
      </w:r>
      <w:r w:rsidR="004F7657" w:rsidRPr="0020048F">
        <w:rPr>
          <w:sz w:val="22"/>
          <w:szCs w:val="22"/>
          <w:lang w:val="fr-FR"/>
        </w:rPr>
        <w:t xml:space="preserve"> Son conseil d’administration</w:t>
      </w:r>
      <w:r w:rsidR="005E6972">
        <w:rPr>
          <w:sz w:val="22"/>
          <w:szCs w:val="22"/>
          <w:lang w:val="fr-FR"/>
        </w:rPr>
        <w:t xml:space="preserve"> de 24 membres</w:t>
      </w:r>
      <w:r w:rsidR="004F7657" w:rsidRPr="0020048F">
        <w:rPr>
          <w:sz w:val="22"/>
          <w:szCs w:val="22"/>
          <w:lang w:val="fr-FR"/>
        </w:rPr>
        <w:t xml:space="preserve"> est composé de 18 membres en situation de handicap et d’au moins deux familles (statuts).</w:t>
      </w:r>
    </w:p>
    <w:p w:rsidR="00275FD2" w:rsidRPr="0020048F" w:rsidRDefault="00275FD2" w:rsidP="00275FD2">
      <w:pPr>
        <w:pStyle w:val="BodyText1"/>
        <w:numPr>
          <w:ilvl w:val="0"/>
          <w:numId w:val="0"/>
        </w:numPr>
        <w:spacing w:after="0"/>
        <w:ind w:left="360"/>
        <w:rPr>
          <w:sz w:val="22"/>
          <w:szCs w:val="22"/>
          <w:lang w:val="fr-FR"/>
        </w:rPr>
      </w:pPr>
      <w:r w:rsidRPr="0020048F">
        <w:rPr>
          <w:sz w:val="22"/>
          <w:szCs w:val="22"/>
          <w:lang w:val="fr-FR"/>
        </w:rPr>
        <w:t xml:space="preserve">APF France handicap agit pour l’égalité des droits, la citoyenneté, la participation sociale et le libre choix du mode de vie des personnes </w:t>
      </w:r>
      <w:r w:rsidR="001A7E5F">
        <w:rPr>
          <w:sz w:val="22"/>
          <w:szCs w:val="22"/>
          <w:lang w:val="fr-FR"/>
        </w:rPr>
        <w:t xml:space="preserve">handicapées </w:t>
      </w:r>
      <w:r w:rsidRPr="0020048F">
        <w:rPr>
          <w:sz w:val="22"/>
          <w:szCs w:val="22"/>
          <w:lang w:val="fr-FR"/>
        </w:rPr>
        <w:t>et de leur famille.</w:t>
      </w:r>
    </w:p>
    <w:p w:rsidR="004F7657" w:rsidRPr="0020048F" w:rsidRDefault="004F7657" w:rsidP="00275FD2">
      <w:pPr>
        <w:pStyle w:val="BodyText1"/>
        <w:numPr>
          <w:ilvl w:val="0"/>
          <w:numId w:val="0"/>
        </w:numPr>
        <w:spacing w:after="0"/>
        <w:ind w:left="360"/>
        <w:rPr>
          <w:sz w:val="22"/>
          <w:szCs w:val="22"/>
          <w:lang w:val="fr-FR"/>
        </w:rPr>
      </w:pPr>
      <w:r w:rsidRPr="0020048F">
        <w:rPr>
          <w:sz w:val="22"/>
          <w:szCs w:val="22"/>
          <w:lang w:val="fr-FR"/>
        </w:rPr>
        <w:t>APF France handicap gère également des établissements et services sociaux et médico-sociaux, des entreprises adaptées.</w:t>
      </w:r>
    </w:p>
    <w:p w:rsidR="00275FD2" w:rsidRPr="005E6972" w:rsidRDefault="001A7E5F" w:rsidP="00275FD2">
      <w:pPr>
        <w:pStyle w:val="BodyText1"/>
        <w:numPr>
          <w:ilvl w:val="0"/>
          <w:numId w:val="0"/>
        </w:numPr>
        <w:spacing w:after="0"/>
        <w:ind w:left="360"/>
        <w:rPr>
          <w:sz w:val="22"/>
          <w:szCs w:val="22"/>
          <w:lang w:val="fr-FR"/>
        </w:rPr>
      </w:pPr>
      <w:r>
        <w:rPr>
          <w:sz w:val="22"/>
          <w:szCs w:val="22"/>
          <w:lang w:val="fr-FR"/>
        </w:rPr>
        <w:t>P</w:t>
      </w:r>
      <w:r w:rsidR="00275FD2" w:rsidRPr="0020048F">
        <w:rPr>
          <w:sz w:val="22"/>
          <w:szCs w:val="22"/>
          <w:lang w:val="fr-FR"/>
        </w:rPr>
        <w:t>résente sur l’ensemble des départements en France métropole et en Guadeloupe</w:t>
      </w:r>
      <w:r>
        <w:rPr>
          <w:sz w:val="22"/>
          <w:szCs w:val="22"/>
          <w:lang w:val="fr-FR"/>
        </w:rPr>
        <w:t xml:space="preserve">, elle </w:t>
      </w:r>
      <w:r w:rsidR="004F7657" w:rsidRPr="0020048F">
        <w:rPr>
          <w:sz w:val="22"/>
          <w:szCs w:val="22"/>
          <w:lang w:val="fr-FR"/>
        </w:rPr>
        <w:t>rassemble</w:t>
      </w:r>
      <w:r w:rsidR="00275FD2" w:rsidRPr="0020048F">
        <w:rPr>
          <w:sz w:val="22"/>
          <w:szCs w:val="22"/>
          <w:lang w:val="fr-FR"/>
        </w:rPr>
        <w:t xml:space="preserve"> 18 000 adhérents (majoritairement </w:t>
      </w:r>
      <w:r>
        <w:rPr>
          <w:sz w:val="22"/>
          <w:szCs w:val="22"/>
          <w:lang w:val="fr-FR"/>
        </w:rPr>
        <w:t>handicapées</w:t>
      </w:r>
      <w:r w:rsidR="00275FD2" w:rsidRPr="0020048F">
        <w:rPr>
          <w:sz w:val="22"/>
          <w:szCs w:val="22"/>
          <w:lang w:val="fr-FR"/>
        </w:rPr>
        <w:t>), 35 000 usagers, 15 000 salariés, 12 500 bénévoles,</w:t>
      </w:r>
      <w:r w:rsidR="00275FD2" w:rsidRPr="005E6972">
        <w:rPr>
          <w:sz w:val="22"/>
          <w:szCs w:val="22"/>
          <w:lang w:val="fr-FR"/>
        </w:rPr>
        <w:t xml:space="preserve"> …</w:t>
      </w:r>
    </w:p>
    <w:p w:rsidR="00275FD2" w:rsidRPr="005E6972" w:rsidRDefault="00275FD2" w:rsidP="00275FD2">
      <w:pPr>
        <w:pStyle w:val="BodyText1"/>
        <w:numPr>
          <w:ilvl w:val="0"/>
          <w:numId w:val="0"/>
        </w:numPr>
        <w:spacing w:after="0"/>
        <w:ind w:left="360"/>
        <w:rPr>
          <w:sz w:val="22"/>
          <w:szCs w:val="22"/>
          <w:lang w:val="fr-FR"/>
        </w:rPr>
      </w:pPr>
      <w:r w:rsidRPr="005E6972">
        <w:rPr>
          <w:sz w:val="22"/>
          <w:szCs w:val="22"/>
          <w:lang w:val="fr-FR"/>
        </w:rPr>
        <w:t>APF France handicap a le statut consultatif "spécial" auprès du Conseil économique et social des Nations unies (ECOSOC).</w:t>
      </w:r>
    </w:p>
    <w:p w:rsidR="00275FD2" w:rsidRPr="005E6972" w:rsidRDefault="00275FD2" w:rsidP="00275FD2">
      <w:pPr>
        <w:pStyle w:val="BodyText1"/>
        <w:numPr>
          <w:ilvl w:val="0"/>
          <w:numId w:val="0"/>
        </w:numPr>
        <w:spacing w:after="0"/>
        <w:ind w:left="360"/>
        <w:rPr>
          <w:sz w:val="22"/>
          <w:szCs w:val="22"/>
          <w:lang w:val="fr-FR"/>
        </w:rPr>
      </w:pPr>
      <w:r w:rsidRPr="005E6972">
        <w:rPr>
          <w:sz w:val="22"/>
          <w:szCs w:val="22"/>
          <w:lang w:val="fr-FR"/>
        </w:rPr>
        <w:t>APF France handicap promeut la transition inclusive pour des réponses individuelles et collectives sociales, médico-sociales et sanitaires de proximité et adapté</w:t>
      </w:r>
      <w:r w:rsidR="00946795" w:rsidRPr="005E6972">
        <w:rPr>
          <w:sz w:val="22"/>
          <w:szCs w:val="22"/>
          <w:lang w:val="fr-FR"/>
        </w:rPr>
        <w:t>e</w:t>
      </w:r>
      <w:r w:rsidRPr="005E6972">
        <w:rPr>
          <w:sz w:val="22"/>
          <w:szCs w:val="22"/>
          <w:lang w:val="fr-FR"/>
        </w:rPr>
        <w:t>s aux choix de chacun</w:t>
      </w:r>
      <w:r w:rsidR="0020048F" w:rsidRPr="0020048F">
        <w:rPr>
          <w:rStyle w:val="FootnoteReference"/>
          <w:sz w:val="22"/>
          <w:szCs w:val="22"/>
        </w:rPr>
        <w:footnoteReference w:id="2"/>
      </w:r>
      <w:r w:rsidRPr="005E6972">
        <w:rPr>
          <w:sz w:val="22"/>
          <w:szCs w:val="22"/>
          <w:lang w:val="fr-FR"/>
        </w:rPr>
        <w:t>.</w:t>
      </w:r>
    </w:p>
    <w:p w:rsidR="005E15E6" w:rsidRPr="005E6972" w:rsidRDefault="005E15E6" w:rsidP="00275FD2">
      <w:pPr>
        <w:pStyle w:val="BodyText1"/>
        <w:numPr>
          <w:ilvl w:val="0"/>
          <w:numId w:val="0"/>
        </w:numPr>
        <w:spacing w:after="0"/>
        <w:ind w:left="360"/>
        <w:rPr>
          <w:sz w:val="22"/>
          <w:szCs w:val="22"/>
          <w:lang w:val="fr-FR"/>
        </w:rPr>
      </w:pPr>
    </w:p>
    <w:p w:rsidR="005E15E6" w:rsidRPr="005E6972" w:rsidRDefault="005E15E6" w:rsidP="005E6972">
      <w:pPr>
        <w:pStyle w:val="BodyText1"/>
        <w:numPr>
          <w:ilvl w:val="0"/>
          <w:numId w:val="29"/>
        </w:numPr>
        <w:spacing w:after="0"/>
        <w:rPr>
          <w:b/>
          <w:color w:val="0070C0"/>
          <w:sz w:val="22"/>
          <w:szCs w:val="22"/>
          <w:lang w:val="fr-FR"/>
        </w:rPr>
      </w:pPr>
      <w:r w:rsidRPr="005E6972">
        <w:rPr>
          <w:b/>
          <w:color w:val="0070C0"/>
          <w:sz w:val="22"/>
          <w:szCs w:val="22"/>
          <w:lang w:val="fr-FR"/>
        </w:rPr>
        <w:t>Avis général sur la proposition de lignes directrices</w:t>
      </w:r>
    </w:p>
    <w:p w:rsidR="00275FD2" w:rsidRPr="005E6972" w:rsidRDefault="00275FD2" w:rsidP="00275FD2">
      <w:pPr>
        <w:pStyle w:val="BodyText1"/>
        <w:numPr>
          <w:ilvl w:val="0"/>
          <w:numId w:val="0"/>
        </w:numPr>
        <w:spacing w:after="0"/>
        <w:ind w:left="360"/>
        <w:rPr>
          <w:sz w:val="22"/>
          <w:szCs w:val="22"/>
          <w:lang w:val="fr-FR"/>
        </w:rPr>
      </w:pPr>
      <w:r w:rsidRPr="005E6972">
        <w:rPr>
          <w:sz w:val="22"/>
          <w:szCs w:val="22"/>
          <w:lang w:val="fr-FR"/>
        </w:rPr>
        <w:t xml:space="preserve">Les lignes directrices sur la </w:t>
      </w:r>
      <w:r w:rsidR="001A7E5F" w:rsidRPr="00946795">
        <w:rPr>
          <w:sz w:val="22"/>
          <w:szCs w:val="22"/>
          <w:lang w:val="fr-FR"/>
        </w:rPr>
        <w:t>désinstitutionalisation</w:t>
      </w:r>
      <w:r w:rsidRPr="005E6972">
        <w:rPr>
          <w:sz w:val="22"/>
          <w:szCs w:val="22"/>
          <w:lang w:val="fr-FR"/>
        </w:rPr>
        <w:t xml:space="preserve"> proposées par le comité des droits des personnes handicapées réaffirment bien l’enjeu du respect des droits fondamentaux des personnes en situation de handicap</w:t>
      </w:r>
      <w:r w:rsidR="004F7657" w:rsidRPr="005E6972">
        <w:rPr>
          <w:sz w:val="22"/>
          <w:szCs w:val="22"/>
          <w:lang w:val="fr-FR"/>
        </w:rPr>
        <w:t xml:space="preserve">, quel </w:t>
      </w:r>
      <w:r w:rsidR="004F7657" w:rsidRPr="0020048F">
        <w:rPr>
          <w:sz w:val="22"/>
          <w:szCs w:val="22"/>
          <w:lang w:val="fr-FR"/>
        </w:rPr>
        <w:t>soit</w:t>
      </w:r>
      <w:r w:rsidR="004F7657" w:rsidRPr="005E6972">
        <w:rPr>
          <w:sz w:val="22"/>
          <w:szCs w:val="22"/>
          <w:lang w:val="fr-FR"/>
        </w:rPr>
        <w:t xml:space="preserve"> leur lieu de vie.</w:t>
      </w:r>
      <w:r w:rsidRPr="005E6972">
        <w:rPr>
          <w:sz w:val="22"/>
          <w:szCs w:val="22"/>
          <w:lang w:val="fr-FR"/>
        </w:rPr>
        <w:t xml:space="preserve">. </w:t>
      </w:r>
      <w:r w:rsidR="00946795" w:rsidRPr="00946795">
        <w:rPr>
          <w:sz w:val="22"/>
          <w:szCs w:val="22"/>
          <w:lang w:val="fr-FR"/>
        </w:rPr>
        <w:t>Toutefois, nous</w:t>
      </w:r>
      <w:r w:rsidRPr="005E6972">
        <w:rPr>
          <w:sz w:val="22"/>
          <w:szCs w:val="22"/>
          <w:lang w:val="fr-FR"/>
        </w:rPr>
        <w:t xml:space="preserve"> attirons l’attention sur : </w:t>
      </w:r>
    </w:p>
    <w:p w:rsidR="00275FD2" w:rsidRPr="005E6972" w:rsidRDefault="00275FD2" w:rsidP="00275FD2">
      <w:pPr>
        <w:pStyle w:val="BodyText1"/>
        <w:numPr>
          <w:ilvl w:val="0"/>
          <w:numId w:val="0"/>
        </w:numPr>
        <w:spacing w:after="0"/>
        <w:ind w:left="360"/>
        <w:rPr>
          <w:sz w:val="22"/>
          <w:szCs w:val="22"/>
          <w:lang w:val="fr-FR"/>
        </w:rPr>
      </w:pPr>
      <w:r w:rsidRPr="005E6972">
        <w:rPr>
          <w:sz w:val="22"/>
          <w:szCs w:val="22"/>
          <w:lang w:val="fr-FR"/>
        </w:rPr>
        <w:t xml:space="preserve">         - certaines affirmations discutables </w:t>
      </w:r>
    </w:p>
    <w:p w:rsidR="00275FD2" w:rsidRPr="005E6972" w:rsidRDefault="00275FD2" w:rsidP="00275FD2">
      <w:pPr>
        <w:pStyle w:val="BodyText1"/>
        <w:numPr>
          <w:ilvl w:val="0"/>
          <w:numId w:val="0"/>
        </w:numPr>
        <w:spacing w:after="0"/>
        <w:ind w:left="360"/>
        <w:rPr>
          <w:sz w:val="22"/>
          <w:szCs w:val="22"/>
          <w:lang w:val="fr-FR"/>
        </w:rPr>
      </w:pPr>
      <w:r w:rsidRPr="005E6972">
        <w:rPr>
          <w:sz w:val="22"/>
          <w:szCs w:val="22"/>
          <w:lang w:val="fr-FR"/>
        </w:rPr>
        <w:t xml:space="preserve">         - certaines propositions </w:t>
      </w:r>
      <w:r w:rsidR="00946795">
        <w:rPr>
          <w:sz w:val="22"/>
          <w:szCs w:val="22"/>
          <w:lang w:val="fr-FR"/>
        </w:rPr>
        <w:t>susceptibles d’</w:t>
      </w:r>
      <w:r w:rsidRPr="005E6972">
        <w:rPr>
          <w:sz w:val="22"/>
          <w:szCs w:val="22"/>
          <w:lang w:val="fr-FR"/>
        </w:rPr>
        <w:t>aller à l’encontre de la liberté de choix des personnes</w:t>
      </w:r>
      <w:r w:rsidR="00007A09" w:rsidRPr="005E6972">
        <w:rPr>
          <w:sz w:val="22"/>
          <w:szCs w:val="22"/>
          <w:lang w:val="fr-FR"/>
        </w:rPr>
        <w:t xml:space="preserve">. </w:t>
      </w:r>
    </w:p>
    <w:p w:rsidR="00B61675" w:rsidRPr="005E6972" w:rsidRDefault="005E15E6" w:rsidP="00275FD2">
      <w:pPr>
        <w:pStyle w:val="BodyText1"/>
        <w:numPr>
          <w:ilvl w:val="0"/>
          <w:numId w:val="0"/>
        </w:numPr>
        <w:spacing w:after="0"/>
        <w:ind w:left="360"/>
        <w:rPr>
          <w:sz w:val="22"/>
          <w:szCs w:val="22"/>
          <w:lang w:val="fr-FR"/>
        </w:rPr>
      </w:pPr>
      <w:r w:rsidRPr="0020048F">
        <w:rPr>
          <w:sz w:val="22"/>
          <w:szCs w:val="22"/>
          <w:lang w:val="fr-FR"/>
        </w:rPr>
        <w:t>Le</w:t>
      </w:r>
      <w:r w:rsidRPr="005E6972">
        <w:rPr>
          <w:sz w:val="22"/>
          <w:szCs w:val="22"/>
          <w:lang w:val="fr-FR"/>
        </w:rPr>
        <w:t xml:space="preserve"> vocabulaire employé et la vision de </w:t>
      </w:r>
      <w:r w:rsidR="001A7E5F">
        <w:rPr>
          <w:sz w:val="22"/>
          <w:szCs w:val="22"/>
          <w:lang w:val="fr-FR"/>
        </w:rPr>
        <w:t>dé</w:t>
      </w:r>
      <w:r w:rsidR="001A7E5F" w:rsidRPr="00946795">
        <w:rPr>
          <w:sz w:val="22"/>
          <w:szCs w:val="22"/>
          <w:lang w:val="fr-FR"/>
        </w:rPr>
        <w:t>sinstitutionalisation</w:t>
      </w:r>
      <w:r w:rsidRPr="005E6972">
        <w:rPr>
          <w:sz w:val="22"/>
          <w:szCs w:val="22"/>
          <w:lang w:val="fr-FR"/>
        </w:rPr>
        <w:t xml:space="preserve"> font référence à la psychiatrie</w:t>
      </w:r>
      <w:r w:rsidR="00946795">
        <w:rPr>
          <w:sz w:val="22"/>
          <w:szCs w:val="22"/>
          <w:lang w:val="fr-FR"/>
        </w:rPr>
        <w:t>,</w:t>
      </w:r>
      <w:r w:rsidRPr="005E6972">
        <w:rPr>
          <w:sz w:val="22"/>
          <w:szCs w:val="22"/>
          <w:lang w:val="fr-FR"/>
        </w:rPr>
        <w:t xml:space="preserve"> ce </w:t>
      </w:r>
      <w:r w:rsidR="00946795">
        <w:rPr>
          <w:sz w:val="22"/>
          <w:szCs w:val="22"/>
          <w:lang w:val="fr-FR"/>
        </w:rPr>
        <w:t xml:space="preserve">qui </w:t>
      </w:r>
      <w:r w:rsidRPr="005E6972">
        <w:rPr>
          <w:sz w:val="22"/>
          <w:szCs w:val="22"/>
          <w:lang w:val="fr-FR"/>
        </w:rPr>
        <w:t xml:space="preserve">n’est pas </w:t>
      </w:r>
      <w:r w:rsidRPr="0020048F">
        <w:rPr>
          <w:sz w:val="22"/>
          <w:szCs w:val="22"/>
          <w:lang w:val="fr-FR"/>
        </w:rPr>
        <w:t>approprié</w:t>
      </w:r>
      <w:r w:rsidRPr="005E6972">
        <w:rPr>
          <w:sz w:val="22"/>
          <w:szCs w:val="22"/>
          <w:lang w:val="fr-FR"/>
        </w:rPr>
        <w:t xml:space="preserve"> pour toutes les situations. Les abus commis en santé mentale ne </w:t>
      </w:r>
      <w:r w:rsidR="001A7E5F">
        <w:rPr>
          <w:sz w:val="22"/>
          <w:szCs w:val="22"/>
          <w:lang w:val="fr-FR"/>
        </w:rPr>
        <w:t>peuvent pas</w:t>
      </w:r>
      <w:r w:rsidRPr="005E6972">
        <w:rPr>
          <w:sz w:val="22"/>
          <w:szCs w:val="22"/>
          <w:lang w:val="fr-FR"/>
        </w:rPr>
        <w:t xml:space="preserve"> être généralisés. Il y a une confusion entre </w:t>
      </w:r>
      <w:r w:rsidR="001A7E5F" w:rsidRPr="00946795">
        <w:rPr>
          <w:sz w:val="22"/>
          <w:szCs w:val="22"/>
          <w:lang w:val="fr-FR"/>
        </w:rPr>
        <w:t>institutionnalisation</w:t>
      </w:r>
      <w:r w:rsidRPr="005E6972">
        <w:rPr>
          <w:sz w:val="22"/>
          <w:szCs w:val="22"/>
          <w:lang w:val="fr-FR"/>
        </w:rPr>
        <w:t xml:space="preserve"> / intern</w:t>
      </w:r>
      <w:r w:rsidR="00946795">
        <w:rPr>
          <w:sz w:val="22"/>
          <w:szCs w:val="22"/>
          <w:lang w:val="fr-FR"/>
        </w:rPr>
        <w:t>e</w:t>
      </w:r>
      <w:r w:rsidRPr="005E6972">
        <w:rPr>
          <w:sz w:val="22"/>
          <w:szCs w:val="22"/>
          <w:lang w:val="fr-FR"/>
        </w:rPr>
        <w:t>ment/ enfermement</w:t>
      </w:r>
      <w:r w:rsidR="001A7E5F">
        <w:rPr>
          <w:sz w:val="22"/>
          <w:szCs w:val="22"/>
          <w:lang w:val="fr-FR"/>
        </w:rPr>
        <w:t>.</w:t>
      </w:r>
    </w:p>
    <w:p w:rsidR="0020048F" w:rsidRPr="005E6972" w:rsidRDefault="0020048F" w:rsidP="0020048F">
      <w:pPr>
        <w:pStyle w:val="BodyText1"/>
        <w:numPr>
          <w:ilvl w:val="0"/>
          <w:numId w:val="0"/>
        </w:numPr>
        <w:spacing w:after="0"/>
        <w:ind w:left="360"/>
        <w:rPr>
          <w:b/>
          <w:color w:val="0070C0"/>
          <w:sz w:val="22"/>
          <w:szCs w:val="22"/>
          <w:lang w:val="fr-FR"/>
        </w:rPr>
      </w:pPr>
    </w:p>
    <w:p w:rsidR="00C306BF" w:rsidRPr="005E6972" w:rsidRDefault="00C306BF" w:rsidP="0020048F">
      <w:pPr>
        <w:pStyle w:val="BodyText1"/>
        <w:numPr>
          <w:ilvl w:val="0"/>
          <w:numId w:val="0"/>
        </w:numPr>
        <w:spacing w:after="0"/>
        <w:ind w:left="360"/>
        <w:rPr>
          <w:b/>
          <w:color w:val="0070C0"/>
          <w:sz w:val="22"/>
          <w:szCs w:val="22"/>
          <w:lang w:val="fr-FR"/>
        </w:rPr>
      </w:pPr>
    </w:p>
    <w:p w:rsidR="00C306BF" w:rsidRPr="005E6972" w:rsidRDefault="00C306BF" w:rsidP="0020048F">
      <w:pPr>
        <w:pStyle w:val="BodyText1"/>
        <w:numPr>
          <w:ilvl w:val="0"/>
          <w:numId w:val="0"/>
        </w:numPr>
        <w:spacing w:after="0"/>
        <w:ind w:left="360"/>
        <w:rPr>
          <w:b/>
          <w:color w:val="0070C0"/>
          <w:sz w:val="22"/>
          <w:szCs w:val="22"/>
          <w:lang w:val="fr-FR"/>
        </w:rPr>
      </w:pPr>
    </w:p>
    <w:p w:rsidR="0089023C" w:rsidRPr="005E6972" w:rsidRDefault="0020048F" w:rsidP="005E6972">
      <w:pPr>
        <w:pStyle w:val="BodyText1"/>
        <w:numPr>
          <w:ilvl w:val="0"/>
          <w:numId w:val="29"/>
        </w:numPr>
        <w:spacing w:after="0"/>
        <w:rPr>
          <w:b/>
          <w:color w:val="0070C0"/>
          <w:sz w:val="22"/>
          <w:szCs w:val="22"/>
          <w:lang w:val="fr-FR"/>
        </w:rPr>
      </w:pPr>
      <w:r w:rsidRPr="005E6972">
        <w:rPr>
          <w:b/>
          <w:color w:val="0070C0"/>
          <w:sz w:val="22"/>
          <w:szCs w:val="22"/>
          <w:lang w:val="fr-FR"/>
        </w:rPr>
        <w:lastRenderedPageBreak/>
        <w:t>Commentaires et propositions d’APF France handicap sur le projet de lignes directrices</w:t>
      </w:r>
    </w:p>
    <w:tbl>
      <w:tblPr>
        <w:tblStyle w:val="TableGrid"/>
        <w:tblpPr w:leftFromText="141" w:rightFromText="141" w:vertAnchor="page" w:horzAnchor="margin" w:tblpXSpec="center" w:tblpY="1371"/>
        <w:tblW w:w="15735" w:type="dxa"/>
        <w:tblLook w:val="04A0" w:firstRow="1" w:lastRow="0" w:firstColumn="1" w:lastColumn="0" w:noHBand="0" w:noVBand="1"/>
      </w:tblPr>
      <w:tblGrid>
        <w:gridCol w:w="5240"/>
        <w:gridCol w:w="10495"/>
      </w:tblGrid>
      <w:tr w:rsidR="0089023C" w:rsidRPr="00C01170" w:rsidTr="00EA25F0">
        <w:tc>
          <w:tcPr>
            <w:tcW w:w="5240" w:type="dxa"/>
          </w:tcPr>
          <w:p w:rsidR="0089023C" w:rsidRPr="005E6972" w:rsidRDefault="0089023C" w:rsidP="005E6972">
            <w:pPr>
              <w:tabs>
                <w:tab w:val="left" w:pos="3292"/>
              </w:tabs>
              <w:jc w:val="center"/>
              <w:rPr>
                <w:rFonts w:cstheme="minorHAnsi"/>
                <w:b/>
                <w:sz w:val="24"/>
                <w:szCs w:val="24"/>
                <w:u w:val="single"/>
              </w:rPr>
            </w:pPr>
            <w:bookmarkStart w:id="1" w:name="_Hlk107047675"/>
            <w:r w:rsidRPr="005E6972">
              <w:rPr>
                <w:rFonts w:cstheme="minorHAnsi"/>
                <w:b/>
                <w:sz w:val="24"/>
                <w:szCs w:val="24"/>
                <w:u w:val="single"/>
              </w:rPr>
              <w:t>Comité des droits des personnes handicapées</w:t>
            </w:r>
          </w:p>
        </w:tc>
        <w:tc>
          <w:tcPr>
            <w:tcW w:w="10495" w:type="dxa"/>
          </w:tcPr>
          <w:p w:rsidR="0089023C" w:rsidRPr="00C01170" w:rsidRDefault="0089023C" w:rsidP="002044EA">
            <w:pPr>
              <w:jc w:val="center"/>
              <w:rPr>
                <w:rFonts w:cstheme="minorHAnsi"/>
                <w:b/>
                <w:sz w:val="24"/>
                <w:szCs w:val="24"/>
                <w:u w:val="single"/>
              </w:rPr>
            </w:pPr>
            <w:r w:rsidRPr="00C01170">
              <w:rPr>
                <w:rFonts w:cstheme="minorHAnsi"/>
                <w:b/>
                <w:sz w:val="24"/>
                <w:szCs w:val="24"/>
                <w:u w:val="single"/>
              </w:rPr>
              <w:t>APF France handicap</w:t>
            </w:r>
          </w:p>
        </w:tc>
      </w:tr>
      <w:tr w:rsidR="004F7657" w:rsidRPr="00C01170" w:rsidTr="004F7657">
        <w:tc>
          <w:tcPr>
            <w:tcW w:w="15735" w:type="dxa"/>
            <w:gridSpan w:val="2"/>
            <w:vAlign w:val="center"/>
          </w:tcPr>
          <w:p w:rsidR="004F7657" w:rsidRPr="00E3580F" w:rsidRDefault="004F7657" w:rsidP="00E3580F">
            <w:pPr>
              <w:pStyle w:val="ListParagraph"/>
              <w:numPr>
                <w:ilvl w:val="0"/>
                <w:numId w:val="26"/>
              </w:numPr>
              <w:jc w:val="center"/>
              <w:rPr>
                <w:rFonts w:cstheme="minorHAnsi"/>
                <w:b/>
                <w:color w:val="0070C0"/>
              </w:rPr>
            </w:pPr>
            <w:r w:rsidRPr="00E3580F">
              <w:rPr>
                <w:rFonts w:cstheme="minorHAnsi"/>
                <w:b/>
                <w:color w:val="0070C0"/>
              </w:rPr>
              <w:t>Objectif et processus de ces lignes directrices</w:t>
            </w:r>
          </w:p>
        </w:tc>
      </w:tr>
      <w:tr w:rsidR="00565C50" w:rsidRPr="00C01170" w:rsidTr="00EA25F0">
        <w:tc>
          <w:tcPr>
            <w:tcW w:w="5240" w:type="dxa"/>
          </w:tcPr>
          <w:p w:rsidR="00565C50" w:rsidRPr="005E6972" w:rsidRDefault="0020219E" w:rsidP="00F4165C">
            <w:pPr>
              <w:pStyle w:val="BodyText1"/>
              <w:numPr>
                <w:ilvl w:val="0"/>
                <w:numId w:val="0"/>
              </w:numPr>
              <w:tabs>
                <w:tab w:val="left" w:pos="3292"/>
              </w:tabs>
              <w:ind w:left="316" w:hanging="360"/>
              <w:rPr>
                <w:rFonts w:cstheme="minorHAnsi"/>
                <w:sz w:val="24"/>
                <w:szCs w:val="24"/>
                <w:lang w:val="fr-FR"/>
              </w:rPr>
            </w:pPr>
            <w:r w:rsidRPr="005E6972">
              <w:rPr>
                <w:rFonts w:cstheme="minorHAnsi"/>
                <w:sz w:val="24"/>
                <w:szCs w:val="24"/>
                <w:lang w:val="fr-FR"/>
              </w:rPr>
              <w:t>3.</w:t>
            </w:r>
            <w:r w:rsidRPr="005E6972">
              <w:rPr>
                <w:lang w:val="fr-FR"/>
              </w:rPr>
              <w:t xml:space="preserve"> </w:t>
            </w:r>
            <w:r w:rsidRPr="005E6972">
              <w:rPr>
                <w:rFonts w:cstheme="minorHAnsi"/>
                <w:sz w:val="24"/>
                <w:szCs w:val="24"/>
                <w:lang w:val="fr-FR"/>
              </w:rPr>
              <w:t>Plus de 500 femmes handicapées, enfants handicapés, survivants de l'institutionnalisation</w:t>
            </w:r>
          </w:p>
        </w:tc>
        <w:tc>
          <w:tcPr>
            <w:tcW w:w="10495" w:type="dxa"/>
          </w:tcPr>
          <w:p w:rsidR="00565C50" w:rsidRPr="00C01170" w:rsidRDefault="00EA25F0" w:rsidP="00565C50">
            <w:pPr>
              <w:jc w:val="both"/>
              <w:rPr>
                <w:rFonts w:cstheme="minorHAnsi"/>
                <w:b/>
                <w:sz w:val="24"/>
                <w:szCs w:val="24"/>
                <w:u w:val="single"/>
              </w:rPr>
            </w:pPr>
            <w:r w:rsidRPr="00EA25F0">
              <w:rPr>
                <w:rFonts w:cstheme="minorHAnsi"/>
                <w:b/>
                <w:sz w:val="24"/>
                <w:szCs w:val="24"/>
              </w:rPr>
              <w:t>L</w:t>
            </w:r>
            <w:r w:rsidR="00565C50" w:rsidRPr="00EA25F0">
              <w:rPr>
                <w:rFonts w:cstheme="minorHAnsi"/>
                <w:b/>
                <w:sz w:val="24"/>
                <w:szCs w:val="24"/>
              </w:rPr>
              <w:t>’expression “les survivants de l’institution</w:t>
            </w:r>
            <w:r w:rsidR="00565C50" w:rsidRPr="00565C50">
              <w:rPr>
                <w:rFonts w:cstheme="minorHAnsi"/>
                <w:sz w:val="24"/>
                <w:szCs w:val="24"/>
              </w:rPr>
              <w:t>” est une traduction du mouvement anglo-saxon pour la psychiatrie</w:t>
            </w:r>
            <w:r>
              <w:rPr>
                <w:rFonts w:cstheme="minorHAnsi"/>
                <w:sz w:val="24"/>
                <w:szCs w:val="24"/>
              </w:rPr>
              <w:t>. En France, ce terme choque.</w:t>
            </w:r>
          </w:p>
        </w:tc>
      </w:tr>
      <w:tr w:rsidR="00EA2EF3" w:rsidRPr="00E3580F" w:rsidTr="002044EA">
        <w:tc>
          <w:tcPr>
            <w:tcW w:w="15735" w:type="dxa"/>
            <w:gridSpan w:val="2"/>
            <w:vAlign w:val="center"/>
          </w:tcPr>
          <w:p w:rsidR="00EA2EF3" w:rsidRPr="00E3580F" w:rsidRDefault="00EA2EF3" w:rsidP="00F4165C">
            <w:pPr>
              <w:pStyle w:val="ListParagraph"/>
              <w:numPr>
                <w:ilvl w:val="0"/>
                <w:numId w:val="26"/>
              </w:numPr>
              <w:ind w:left="316"/>
              <w:jc w:val="center"/>
              <w:rPr>
                <w:rFonts w:cstheme="minorHAnsi"/>
                <w:b/>
                <w:color w:val="0070C0"/>
              </w:rPr>
            </w:pPr>
            <w:r w:rsidRPr="00E3580F">
              <w:rPr>
                <w:rFonts w:cstheme="minorHAnsi"/>
                <w:b/>
                <w:color w:val="0070C0"/>
              </w:rPr>
              <w:t>Devoir de mettre fin au placement en institution</w:t>
            </w:r>
          </w:p>
        </w:tc>
      </w:tr>
      <w:tr w:rsidR="0089023C" w:rsidRPr="00C01170" w:rsidTr="00EA25F0">
        <w:tc>
          <w:tcPr>
            <w:tcW w:w="5240" w:type="dxa"/>
          </w:tcPr>
          <w:p w:rsidR="00275FD2" w:rsidRPr="00007A09" w:rsidRDefault="00275FD2" w:rsidP="00F4165C">
            <w:pPr>
              <w:pStyle w:val="BodyText1"/>
              <w:numPr>
                <w:ilvl w:val="0"/>
                <w:numId w:val="0"/>
              </w:numPr>
              <w:tabs>
                <w:tab w:val="left" w:pos="3292"/>
              </w:tabs>
              <w:rPr>
                <w:rFonts w:cstheme="minorHAnsi"/>
                <w:sz w:val="24"/>
                <w:szCs w:val="24"/>
                <w:lang w:val="fr-FR"/>
              </w:rPr>
            </w:pPr>
            <w:r w:rsidRPr="00007A09">
              <w:rPr>
                <w:rFonts w:cstheme="minorHAnsi"/>
                <w:sz w:val="24"/>
                <w:szCs w:val="24"/>
                <w:lang w:val="fr-FR"/>
              </w:rPr>
              <w:t>6</w:t>
            </w:r>
            <w:r w:rsidR="00EA2EF3" w:rsidRPr="00007A09">
              <w:rPr>
                <w:rFonts w:cstheme="minorHAnsi"/>
                <w:sz w:val="24"/>
                <w:szCs w:val="24"/>
                <w:lang w:val="fr-FR"/>
              </w:rPr>
              <w:t xml:space="preserve">. </w:t>
            </w:r>
            <w:r w:rsidRPr="00007A09">
              <w:rPr>
                <w:rFonts w:cstheme="minorHAnsi"/>
                <w:sz w:val="24"/>
                <w:szCs w:val="24"/>
                <w:lang w:val="fr-FR"/>
              </w:rPr>
              <w:t>L'institutionnalisation est une pratique discriminatoire à l'égard des personnes handicapées (art. 5 de la Convention).</w:t>
            </w:r>
          </w:p>
          <w:p w:rsidR="00275FD2" w:rsidRDefault="00275FD2" w:rsidP="00F4165C">
            <w:pPr>
              <w:tabs>
                <w:tab w:val="left" w:pos="3292"/>
              </w:tabs>
              <w:ind w:left="316"/>
              <w:jc w:val="both"/>
              <w:rPr>
                <w:rFonts w:cstheme="minorHAnsi"/>
                <w:sz w:val="24"/>
                <w:szCs w:val="24"/>
              </w:rPr>
            </w:pPr>
          </w:p>
          <w:p w:rsidR="00565C50" w:rsidRDefault="00565C50" w:rsidP="00F4165C">
            <w:pPr>
              <w:tabs>
                <w:tab w:val="left" w:pos="3292"/>
              </w:tabs>
              <w:ind w:left="316"/>
              <w:jc w:val="both"/>
              <w:rPr>
                <w:rFonts w:cstheme="minorHAnsi"/>
                <w:sz w:val="24"/>
                <w:szCs w:val="24"/>
              </w:rPr>
            </w:pPr>
          </w:p>
          <w:p w:rsidR="00565C50" w:rsidRDefault="00565C50" w:rsidP="00F4165C">
            <w:pPr>
              <w:tabs>
                <w:tab w:val="left" w:pos="3292"/>
              </w:tabs>
              <w:ind w:left="316"/>
              <w:jc w:val="both"/>
              <w:rPr>
                <w:rFonts w:cstheme="minorHAnsi"/>
                <w:sz w:val="24"/>
                <w:szCs w:val="24"/>
              </w:rPr>
            </w:pPr>
          </w:p>
          <w:p w:rsidR="00565C50" w:rsidRDefault="00565C50" w:rsidP="00F4165C">
            <w:pPr>
              <w:tabs>
                <w:tab w:val="left" w:pos="3292"/>
              </w:tabs>
              <w:ind w:left="316"/>
              <w:jc w:val="both"/>
              <w:rPr>
                <w:rFonts w:cstheme="minorHAnsi"/>
                <w:sz w:val="24"/>
                <w:szCs w:val="24"/>
              </w:rPr>
            </w:pPr>
          </w:p>
          <w:p w:rsidR="00565C50" w:rsidRDefault="00565C50" w:rsidP="00F4165C">
            <w:pPr>
              <w:tabs>
                <w:tab w:val="left" w:pos="3292"/>
              </w:tabs>
              <w:ind w:left="316"/>
              <w:jc w:val="both"/>
              <w:rPr>
                <w:rFonts w:cstheme="minorHAnsi"/>
                <w:sz w:val="24"/>
                <w:szCs w:val="24"/>
              </w:rPr>
            </w:pPr>
          </w:p>
          <w:p w:rsidR="00565C50" w:rsidRDefault="00565C50" w:rsidP="00F4165C">
            <w:pPr>
              <w:tabs>
                <w:tab w:val="left" w:pos="3292"/>
              </w:tabs>
              <w:ind w:left="316"/>
              <w:jc w:val="both"/>
              <w:rPr>
                <w:rFonts w:cstheme="minorHAnsi"/>
                <w:sz w:val="24"/>
                <w:szCs w:val="24"/>
              </w:rPr>
            </w:pPr>
          </w:p>
          <w:p w:rsidR="00EA2EF3" w:rsidRPr="00007A09" w:rsidRDefault="00EA2EF3" w:rsidP="00F4165C">
            <w:pPr>
              <w:pStyle w:val="BodyText1"/>
              <w:numPr>
                <w:ilvl w:val="0"/>
                <w:numId w:val="0"/>
              </w:numPr>
              <w:tabs>
                <w:tab w:val="left" w:pos="3292"/>
              </w:tabs>
              <w:rPr>
                <w:rFonts w:cstheme="minorHAnsi"/>
                <w:sz w:val="24"/>
                <w:szCs w:val="24"/>
                <w:lang w:val="fr-FR"/>
              </w:rPr>
            </w:pPr>
            <w:r w:rsidRPr="00007A09">
              <w:rPr>
                <w:rFonts w:cstheme="minorHAnsi"/>
                <w:sz w:val="24"/>
                <w:szCs w:val="24"/>
                <w:lang w:val="fr-FR"/>
              </w:rPr>
              <w:t>7. L'institutionnalisation est en contradiction directe avec le droit des personnes handicapées à vivre de manière autonome et à être incluses dans la société (article 19 de la Convention).</w:t>
            </w: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Default="00EA2EF3" w:rsidP="00F4165C">
            <w:pPr>
              <w:pStyle w:val="BodyText1"/>
              <w:numPr>
                <w:ilvl w:val="0"/>
                <w:numId w:val="0"/>
              </w:numPr>
              <w:tabs>
                <w:tab w:val="left" w:pos="3292"/>
              </w:tabs>
              <w:ind w:left="316"/>
              <w:rPr>
                <w:rFonts w:cstheme="minorHAnsi"/>
                <w:sz w:val="24"/>
                <w:szCs w:val="24"/>
                <w:lang w:val="fr-FR"/>
              </w:rPr>
            </w:pPr>
          </w:p>
          <w:p w:rsidR="00565C50" w:rsidRDefault="00565C50" w:rsidP="00F4165C">
            <w:pPr>
              <w:pStyle w:val="BodyText1"/>
              <w:numPr>
                <w:ilvl w:val="0"/>
                <w:numId w:val="0"/>
              </w:numPr>
              <w:tabs>
                <w:tab w:val="left" w:pos="3292"/>
              </w:tabs>
              <w:ind w:left="316"/>
              <w:rPr>
                <w:rFonts w:cstheme="minorHAnsi"/>
                <w:sz w:val="24"/>
                <w:szCs w:val="24"/>
                <w:lang w:val="fr-FR"/>
              </w:rPr>
            </w:pPr>
          </w:p>
          <w:p w:rsidR="00565C50" w:rsidRDefault="00565C50" w:rsidP="00F4165C">
            <w:pPr>
              <w:pStyle w:val="BodyText1"/>
              <w:numPr>
                <w:ilvl w:val="0"/>
                <w:numId w:val="0"/>
              </w:numPr>
              <w:tabs>
                <w:tab w:val="left" w:pos="3292"/>
              </w:tabs>
              <w:ind w:left="316"/>
              <w:rPr>
                <w:rFonts w:cstheme="minorHAnsi"/>
                <w:sz w:val="24"/>
                <w:szCs w:val="24"/>
                <w:lang w:val="fr-FR"/>
              </w:rPr>
            </w:pPr>
          </w:p>
          <w:p w:rsidR="00CA308F" w:rsidRPr="00007A09" w:rsidRDefault="00CA308F" w:rsidP="00F4165C">
            <w:pPr>
              <w:pStyle w:val="BodyText1"/>
              <w:numPr>
                <w:ilvl w:val="0"/>
                <w:numId w:val="0"/>
              </w:numPr>
              <w:tabs>
                <w:tab w:val="left" w:pos="3292"/>
              </w:tabs>
              <w:ind w:left="32"/>
              <w:rPr>
                <w:rFonts w:cstheme="minorHAnsi"/>
                <w:sz w:val="24"/>
                <w:szCs w:val="24"/>
                <w:lang w:val="fr-FR"/>
              </w:rPr>
            </w:pPr>
            <w:r w:rsidRPr="00007A09">
              <w:rPr>
                <w:rFonts w:cstheme="minorHAnsi"/>
                <w:sz w:val="24"/>
                <w:szCs w:val="24"/>
                <w:lang w:val="fr-FR"/>
              </w:rPr>
              <w:t xml:space="preserve">8. L'institutionnalisation ne doit jamais être considérée comme une forme de protection des personnes handicapées, elle ne doit jamais être considérée comme un "choix". </w:t>
            </w: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EA2EF3" w:rsidRPr="00007A09" w:rsidRDefault="00EA2EF3" w:rsidP="00F4165C">
            <w:pPr>
              <w:pStyle w:val="BodyText1"/>
              <w:numPr>
                <w:ilvl w:val="0"/>
                <w:numId w:val="0"/>
              </w:numPr>
              <w:tabs>
                <w:tab w:val="left" w:pos="3292"/>
              </w:tabs>
              <w:ind w:left="316"/>
              <w:rPr>
                <w:rFonts w:cstheme="minorHAnsi"/>
                <w:sz w:val="24"/>
                <w:szCs w:val="24"/>
                <w:lang w:val="fr-FR"/>
              </w:rPr>
            </w:pPr>
          </w:p>
          <w:p w:rsidR="00CA308F" w:rsidRPr="005E6972" w:rsidRDefault="00CA308F" w:rsidP="00F4165C">
            <w:pPr>
              <w:pStyle w:val="BodyText1"/>
              <w:numPr>
                <w:ilvl w:val="0"/>
                <w:numId w:val="0"/>
              </w:numPr>
              <w:tabs>
                <w:tab w:val="left" w:pos="3292"/>
              </w:tabs>
              <w:ind w:left="316"/>
              <w:rPr>
                <w:rFonts w:cstheme="minorHAnsi"/>
                <w:sz w:val="24"/>
                <w:szCs w:val="24"/>
                <w:lang w:val="fr-FR"/>
              </w:rPr>
            </w:pPr>
          </w:p>
        </w:tc>
        <w:tc>
          <w:tcPr>
            <w:tcW w:w="10495" w:type="dxa"/>
          </w:tcPr>
          <w:p w:rsidR="00EA25F0" w:rsidRDefault="00EA25F0" w:rsidP="00EA25F0">
            <w:pPr>
              <w:jc w:val="both"/>
              <w:rPr>
                <w:rFonts w:cstheme="minorHAnsi"/>
                <w:sz w:val="24"/>
                <w:szCs w:val="24"/>
              </w:rPr>
            </w:pPr>
            <w:r w:rsidRPr="00EA25F0">
              <w:rPr>
                <w:rFonts w:cstheme="minorHAnsi"/>
                <w:b/>
                <w:sz w:val="24"/>
                <w:szCs w:val="24"/>
              </w:rPr>
              <w:t>Nuancer la phrase (ajout) :</w:t>
            </w:r>
            <w:r w:rsidRPr="00C01170">
              <w:rPr>
                <w:rFonts w:cstheme="minorHAnsi"/>
                <w:sz w:val="24"/>
                <w:szCs w:val="24"/>
              </w:rPr>
              <w:t xml:space="preserve"> </w:t>
            </w:r>
            <w:r w:rsidRPr="00EA25F0">
              <w:rPr>
                <w:rFonts w:cstheme="minorHAnsi"/>
                <w:i/>
                <w:sz w:val="24"/>
                <w:szCs w:val="24"/>
              </w:rPr>
              <w:t xml:space="preserve">« L’institutionnalisation </w:t>
            </w:r>
            <w:r w:rsidRPr="00EA25F0">
              <w:rPr>
                <w:rFonts w:cstheme="minorHAnsi"/>
                <w:b/>
                <w:i/>
                <w:sz w:val="24"/>
                <w:szCs w:val="24"/>
              </w:rPr>
              <w:t>forcée </w:t>
            </w:r>
            <w:r w:rsidRPr="00EA25F0">
              <w:rPr>
                <w:rFonts w:cstheme="minorHAnsi"/>
                <w:i/>
                <w:sz w:val="24"/>
                <w:szCs w:val="24"/>
              </w:rPr>
              <w:t>…. »</w:t>
            </w:r>
            <w:r w:rsidR="00377E61">
              <w:rPr>
                <w:rFonts w:cstheme="minorHAnsi"/>
                <w:i/>
                <w:sz w:val="24"/>
                <w:szCs w:val="24"/>
              </w:rPr>
              <w:t xml:space="preserve">. </w:t>
            </w:r>
          </w:p>
          <w:p w:rsidR="00EA25F0" w:rsidRPr="00565C50" w:rsidRDefault="00377E61" w:rsidP="00EA25F0">
            <w:pPr>
              <w:jc w:val="both"/>
              <w:rPr>
                <w:rFonts w:cstheme="minorHAnsi"/>
                <w:sz w:val="24"/>
                <w:szCs w:val="24"/>
              </w:rPr>
            </w:pPr>
            <w:r>
              <w:rPr>
                <w:rFonts w:cstheme="minorHAnsi"/>
                <w:sz w:val="24"/>
                <w:szCs w:val="24"/>
              </w:rPr>
              <w:t>Les pratiques</w:t>
            </w:r>
            <w:r w:rsidRPr="00565C50">
              <w:rPr>
                <w:rFonts w:cstheme="minorHAnsi"/>
                <w:sz w:val="24"/>
                <w:szCs w:val="24"/>
              </w:rPr>
              <w:t xml:space="preserve"> </w:t>
            </w:r>
            <w:r w:rsidR="00EA25F0" w:rsidRPr="00565C50">
              <w:rPr>
                <w:rFonts w:cstheme="minorHAnsi"/>
                <w:sz w:val="24"/>
                <w:szCs w:val="24"/>
              </w:rPr>
              <w:t>discriminatoire</w:t>
            </w:r>
            <w:r>
              <w:rPr>
                <w:rFonts w:cstheme="minorHAnsi"/>
                <w:sz w:val="24"/>
                <w:szCs w:val="24"/>
              </w:rPr>
              <w:t>s</w:t>
            </w:r>
            <w:r w:rsidR="00EA25F0" w:rsidRPr="00565C50">
              <w:rPr>
                <w:rFonts w:cstheme="minorHAnsi"/>
                <w:sz w:val="24"/>
                <w:szCs w:val="24"/>
              </w:rPr>
              <w:t xml:space="preserve"> se situe</w:t>
            </w:r>
            <w:r>
              <w:rPr>
                <w:rFonts w:cstheme="minorHAnsi"/>
                <w:sz w:val="24"/>
                <w:szCs w:val="24"/>
              </w:rPr>
              <w:t>nt</w:t>
            </w:r>
            <w:r w:rsidR="00EA25F0" w:rsidRPr="00565C50">
              <w:rPr>
                <w:rFonts w:cstheme="minorHAnsi"/>
                <w:sz w:val="24"/>
                <w:szCs w:val="24"/>
              </w:rPr>
              <w:t xml:space="preserve"> </w:t>
            </w:r>
            <w:r>
              <w:rPr>
                <w:rFonts w:cstheme="minorHAnsi"/>
                <w:sz w:val="24"/>
                <w:szCs w:val="24"/>
              </w:rPr>
              <w:t>dans</w:t>
            </w:r>
            <w:r w:rsidRPr="00565C50">
              <w:rPr>
                <w:rFonts w:cstheme="minorHAnsi"/>
                <w:sz w:val="24"/>
                <w:szCs w:val="24"/>
              </w:rPr>
              <w:t xml:space="preserve"> </w:t>
            </w:r>
            <w:r w:rsidR="00EA25F0" w:rsidRPr="00565C50">
              <w:rPr>
                <w:rFonts w:cstheme="minorHAnsi"/>
                <w:sz w:val="24"/>
                <w:szCs w:val="24"/>
              </w:rPr>
              <w:t>l’absence de choix et d’accès à égalité avec les autres aux services de droit commun</w:t>
            </w:r>
            <w:r>
              <w:rPr>
                <w:rFonts w:cstheme="minorHAnsi"/>
                <w:sz w:val="24"/>
                <w:szCs w:val="24"/>
              </w:rPr>
              <w:t xml:space="preserve"> par manque ou absence de réponses adaptées</w:t>
            </w:r>
            <w:r w:rsidR="00EA25F0" w:rsidRPr="00565C50">
              <w:rPr>
                <w:rFonts w:cstheme="minorHAnsi"/>
                <w:sz w:val="24"/>
                <w:szCs w:val="24"/>
              </w:rPr>
              <w:t xml:space="preserve"> aux besoins des personnes handicapées</w:t>
            </w:r>
            <w:r>
              <w:rPr>
                <w:rFonts w:cstheme="minorHAnsi"/>
                <w:sz w:val="24"/>
                <w:szCs w:val="24"/>
              </w:rPr>
              <w:t>,</w:t>
            </w:r>
            <w:r w:rsidR="00EA25F0" w:rsidRPr="00565C50">
              <w:rPr>
                <w:rFonts w:cstheme="minorHAnsi"/>
                <w:sz w:val="24"/>
                <w:szCs w:val="24"/>
              </w:rPr>
              <w:t xml:space="preserve"> </w:t>
            </w:r>
            <w:r>
              <w:rPr>
                <w:rFonts w:cstheme="minorHAnsi"/>
                <w:sz w:val="24"/>
                <w:szCs w:val="24"/>
              </w:rPr>
              <w:t xml:space="preserve">ce </w:t>
            </w:r>
            <w:r w:rsidR="00EA25F0" w:rsidRPr="00565C50">
              <w:rPr>
                <w:rFonts w:cstheme="minorHAnsi"/>
                <w:sz w:val="24"/>
                <w:szCs w:val="24"/>
              </w:rPr>
              <w:t xml:space="preserve">qui les obligent à vivre dans un milieu collectif perçu comme garant de leur sécurité.  </w:t>
            </w:r>
          </w:p>
          <w:p w:rsidR="00007A09" w:rsidRDefault="00EA25F0" w:rsidP="00EA25F0">
            <w:pPr>
              <w:jc w:val="both"/>
              <w:rPr>
                <w:rFonts w:cstheme="minorHAnsi"/>
                <w:sz w:val="24"/>
                <w:szCs w:val="24"/>
              </w:rPr>
            </w:pPr>
            <w:r>
              <w:rPr>
                <w:rFonts w:cstheme="minorHAnsi"/>
                <w:sz w:val="24"/>
                <w:szCs w:val="24"/>
              </w:rPr>
              <w:t>On</w:t>
            </w:r>
            <w:r w:rsidRPr="00565C50">
              <w:rPr>
                <w:rFonts w:cstheme="minorHAnsi"/>
                <w:sz w:val="24"/>
                <w:szCs w:val="24"/>
              </w:rPr>
              <w:t xml:space="preserve"> utilise le terme d’institutionnalisation au sens d’hospitalisation sous contrainte</w:t>
            </w:r>
            <w:r>
              <w:rPr>
                <w:rFonts w:cstheme="minorHAnsi"/>
                <w:sz w:val="24"/>
                <w:szCs w:val="24"/>
              </w:rPr>
              <w:t xml:space="preserve"> </w:t>
            </w:r>
            <w:r w:rsidRPr="00565C50">
              <w:rPr>
                <w:rFonts w:cstheme="minorHAnsi"/>
                <w:sz w:val="24"/>
                <w:szCs w:val="24"/>
              </w:rPr>
              <w:t>alors que nous entendons par  institutionnalisation le placement dans un établissement résidentiel de soins ou les usagers sont contraints de de se plier aux  exigences de l’organisation qui passent avant les désirs et les choix de vie de la personne</w:t>
            </w:r>
          </w:p>
          <w:p w:rsidR="00EA2EF3" w:rsidRPr="00C01170" w:rsidRDefault="00EA2EF3" w:rsidP="002044EA">
            <w:pPr>
              <w:jc w:val="both"/>
              <w:rPr>
                <w:rFonts w:cstheme="minorHAnsi"/>
                <w:sz w:val="24"/>
                <w:szCs w:val="24"/>
              </w:rPr>
            </w:pPr>
          </w:p>
          <w:p w:rsidR="00EA2EF3" w:rsidRPr="00EA25F0" w:rsidRDefault="00EA2EF3" w:rsidP="002044EA">
            <w:pPr>
              <w:jc w:val="both"/>
              <w:rPr>
                <w:rFonts w:cstheme="minorHAnsi"/>
                <w:i/>
                <w:sz w:val="24"/>
                <w:szCs w:val="24"/>
              </w:rPr>
            </w:pPr>
            <w:r w:rsidRPr="00EA25F0">
              <w:rPr>
                <w:rFonts w:cstheme="minorHAnsi"/>
                <w:b/>
                <w:sz w:val="24"/>
                <w:szCs w:val="24"/>
              </w:rPr>
              <w:t>Cette affirmation est inexacte.</w:t>
            </w:r>
            <w:r w:rsidRPr="00C01170">
              <w:rPr>
                <w:rFonts w:cstheme="minorHAnsi"/>
                <w:sz w:val="24"/>
                <w:szCs w:val="24"/>
              </w:rPr>
              <w:t xml:space="preserve"> C’est une interprétation du Comité des droits car l’Art 19 dispose : </w:t>
            </w:r>
            <w:r w:rsidRPr="00EA25F0">
              <w:rPr>
                <w:rFonts w:cstheme="minorHAnsi"/>
                <w:i/>
                <w:sz w:val="24"/>
                <w:szCs w:val="24"/>
              </w:rPr>
              <w:t>« (…) Les personnes handicapées aient accès à une gamme de services à domicile ou en établissement et autres services sociaux d'accompagnement, …]</w:t>
            </w:r>
            <w:r w:rsidR="0020048F">
              <w:rPr>
                <w:rFonts w:cstheme="minorHAnsi"/>
                <w:i/>
                <w:sz w:val="24"/>
                <w:szCs w:val="24"/>
              </w:rPr>
              <w:t> ».</w:t>
            </w:r>
          </w:p>
          <w:p w:rsidR="00CA308F" w:rsidRPr="00C01170" w:rsidRDefault="009D6FB1" w:rsidP="002044EA">
            <w:pPr>
              <w:jc w:val="both"/>
              <w:rPr>
                <w:rFonts w:cstheme="minorHAnsi"/>
                <w:sz w:val="24"/>
                <w:szCs w:val="24"/>
              </w:rPr>
            </w:pPr>
            <w:r w:rsidRPr="00EA25F0">
              <w:rPr>
                <w:rFonts w:cstheme="minorHAnsi"/>
                <w:sz w:val="24"/>
                <w:szCs w:val="24"/>
              </w:rPr>
              <w:t xml:space="preserve">La vie en communauté peut être un choix et un mode de vie que l’on soit en situation de handicap ou pas. </w:t>
            </w:r>
            <w:r w:rsidR="003252E4">
              <w:rPr>
                <w:rFonts w:cstheme="minorHAnsi"/>
                <w:sz w:val="24"/>
                <w:szCs w:val="24"/>
              </w:rPr>
              <w:t>On ne peut</w:t>
            </w:r>
            <w:r w:rsidR="00CA308F" w:rsidRPr="00C01170">
              <w:rPr>
                <w:rFonts w:cstheme="minorHAnsi"/>
                <w:sz w:val="24"/>
                <w:szCs w:val="24"/>
              </w:rPr>
              <w:t xml:space="preserve"> nier</w:t>
            </w:r>
            <w:r w:rsidR="00782DEF" w:rsidRPr="00C01170">
              <w:rPr>
                <w:rFonts w:cstheme="minorHAnsi"/>
                <w:sz w:val="24"/>
                <w:szCs w:val="24"/>
              </w:rPr>
              <w:t xml:space="preserve"> </w:t>
            </w:r>
            <w:r w:rsidR="00CA308F" w:rsidRPr="00C01170">
              <w:rPr>
                <w:rFonts w:cstheme="minorHAnsi"/>
                <w:sz w:val="24"/>
                <w:szCs w:val="24"/>
              </w:rPr>
              <w:t>la capacité des personnes à choisir le</w:t>
            </w:r>
            <w:r w:rsidR="003252E4">
              <w:rPr>
                <w:rFonts w:cstheme="minorHAnsi"/>
                <w:sz w:val="24"/>
                <w:szCs w:val="24"/>
              </w:rPr>
              <w:t>ur</w:t>
            </w:r>
            <w:r w:rsidR="00CA308F" w:rsidRPr="00C01170">
              <w:rPr>
                <w:rFonts w:cstheme="minorHAnsi"/>
                <w:sz w:val="24"/>
                <w:szCs w:val="24"/>
              </w:rPr>
              <w:t xml:space="preserve"> lieu de vie ( établissement</w:t>
            </w:r>
            <w:r w:rsidR="00782DEF" w:rsidRPr="00C01170">
              <w:rPr>
                <w:rFonts w:cstheme="minorHAnsi"/>
                <w:sz w:val="24"/>
                <w:szCs w:val="24"/>
              </w:rPr>
              <w:t xml:space="preserve"> ou formes alternatives d’habitat inclusif</w:t>
            </w:r>
            <w:r w:rsidR="00CA308F" w:rsidRPr="00C01170">
              <w:rPr>
                <w:rFonts w:cstheme="minorHAnsi"/>
                <w:sz w:val="24"/>
                <w:szCs w:val="24"/>
              </w:rPr>
              <w:t xml:space="preserve">). </w:t>
            </w:r>
            <w:r w:rsidR="00D33DD5" w:rsidRPr="00EA25F0">
              <w:rPr>
                <w:rFonts w:cstheme="minorHAnsi"/>
                <w:sz w:val="24"/>
                <w:szCs w:val="24"/>
              </w:rPr>
              <w:t xml:space="preserve"> </w:t>
            </w:r>
            <w:r w:rsidR="00D33DD5" w:rsidRPr="00C01170">
              <w:rPr>
                <w:rFonts w:cstheme="minorHAnsi"/>
                <w:sz w:val="24"/>
                <w:szCs w:val="24"/>
              </w:rPr>
              <w:t>La vie au sein d’une structure même collective peut rassembler les conditions d’une qualité de vie et répondre dans le même temps au choix des personnes</w:t>
            </w:r>
            <w:r w:rsidR="003252E4">
              <w:rPr>
                <w:rFonts w:cstheme="minorHAnsi"/>
                <w:sz w:val="24"/>
                <w:szCs w:val="24"/>
              </w:rPr>
              <w:t xml:space="preserve"> alors</w:t>
            </w:r>
            <w:r w:rsidR="00D33DD5" w:rsidRPr="00C01170">
              <w:rPr>
                <w:rFonts w:cstheme="minorHAnsi"/>
                <w:sz w:val="24"/>
                <w:szCs w:val="24"/>
              </w:rPr>
              <w:t xml:space="preserve"> qu’une offre de </w:t>
            </w:r>
            <w:r w:rsidR="00D33DD5" w:rsidRPr="00EA25F0">
              <w:rPr>
                <w:rFonts w:cstheme="minorHAnsi"/>
                <w:sz w:val="24"/>
                <w:szCs w:val="24"/>
              </w:rPr>
              <w:t xml:space="preserve">services adaptés et accessibles </w:t>
            </w:r>
            <w:r w:rsidR="003252E4">
              <w:rPr>
                <w:rFonts w:cstheme="minorHAnsi"/>
                <w:sz w:val="24"/>
                <w:szCs w:val="24"/>
              </w:rPr>
              <w:t>est</w:t>
            </w:r>
            <w:r w:rsidR="003252E4" w:rsidRPr="00EA25F0">
              <w:rPr>
                <w:rFonts w:cstheme="minorHAnsi"/>
                <w:sz w:val="24"/>
                <w:szCs w:val="24"/>
              </w:rPr>
              <w:t xml:space="preserve"> </w:t>
            </w:r>
            <w:r w:rsidR="00D33DD5" w:rsidRPr="00EA25F0">
              <w:rPr>
                <w:rFonts w:cstheme="minorHAnsi"/>
                <w:sz w:val="24"/>
                <w:szCs w:val="24"/>
              </w:rPr>
              <w:t>développée</w:t>
            </w:r>
            <w:r w:rsidR="00D33DD5" w:rsidRPr="00C01170">
              <w:rPr>
                <w:rFonts w:cstheme="minorHAnsi"/>
                <w:sz w:val="24"/>
                <w:szCs w:val="24"/>
              </w:rPr>
              <w:t>.</w:t>
            </w:r>
          </w:p>
          <w:p w:rsidR="000757CB" w:rsidRPr="00C01170" w:rsidRDefault="000757CB" w:rsidP="002044EA">
            <w:pPr>
              <w:jc w:val="both"/>
              <w:rPr>
                <w:rFonts w:cstheme="minorHAnsi"/>
                <w:sz w:val="24"/>
                <w:szCs w:val="24"/>
              </w:rPr>
            </w:pPr>
          </w:p>
          <w:p w:rsidR="0020048F" w:rsidRPr="001B0E39" w:rsidRDefault="0020048F" w:rsidP="00565C50">
            <w:pPr>
              <w:jc w:val="both"/>
              <w:rPr>
                <w:rFonts w:cstheme="minorHAnsi"/>
                <w:b/>
                <w:sz w:val="24"/>
                <w:szCs w:val="24"/>
              </w:rPr>
            </w:pPr>
            <w:r w:rsidRPr="001B0E39">
              <w:rPr>
                <w:rFonts w:cstheme="minorHAnsi"/>
                <w:b/>
                <w:sz w:val="24"/>
                <w:szCs w:val="24"/>
              </w:rPr>
              <w:t>Cette affirmation est contraire à l’article 19 de la Convention.</w:t>
            </w:r>
          </w:p>
          <w:p w:rsidR="00565C50" w:rsidRDefault="0020048F" w:rsidP="00565C50">
            <w:pPr>
              <w:jc w:val="both"/>
              <w:rPr>
                <w:rFonts w:cstheme="minorHAnsi"/>
                <w:sz w:val="24"/>
                <w:szCs w:val="24"/>
              </w:rPr>
            </w:pPr>
            <w:r>
              <w:rPr>
                <w:rFonts w:cstheme="minorHAnsi"/>
                <w:sz w:val="24"/>
                <w:szCs w:val="24"/>
              </w:rPr>
              <w:t xml:space="preserve">Plutôt que d’abolir les institutions, APF France handicap défend un </w:t>
            </w:r>
            <w:r w:rsidR="00565C50" w:rsidRPr="00565C50">
              <w:rPr>
                <w:rFonts w:cstheme="minorHAnsi"/>
                <w:sz w:val="24"/>
                <w:szCs w:val="24"/>
              </w:rPr>
              <w:t xml:space="preserve">processus de transformation </w:t>
            </w:r>
            <w:r>
              <w:rPr>
                <w:rFonts w:cstheme="minorHAnsi"/>
                <w:sz w:val="24"/>
                <w:szCs w:val="24"/>
              </w:rPr>
              <w:t>inclusive de ce</w:t>
            </w:r>
            <w:r w:rsidR="001B0E39">
              <w:rPr>
                <w:rFonts w:cstheme="minorHAnsi"/>
                <w:sz w:val="24"/>
                <w:szCs w:val="24"/>
              </w:rPr>
              <w:t xml:space="preserve">s institutions s’appuyant sur le respect des droits humains et en mettant fin à la maltraitance institutionnelle. </w:t>
            </w:r>
          </w:p>
          <w:p w:rsidR="003252E4" w:rsidRDefault="00946795" w:rsidP="00565C50">
            <w:pPr>
              <w:jc w:val="both"/>
              <w:rPr>
                <w:rFonts w:cstheme="minorHAnsi"/>
                <w:sz w:val="24"/>
                <w:szCs w:val="24"/>
              </w:rPr>
            </w:pPr>
            <w:r>
              <w:rPr>
                <w:rFonts w:cstheme="minorHAnsi"/>
                <w:sz w:val="24"/>
                <w:szCs w:val="24"/>
              </w:rPr>
              <w:t>Pour</w:t>
            </w:r>
            <w:r w:rsidR="001B0E39">
              <w:rPr>
                <w:rFonts w:cstheme="minorHAnsi"/>
                <w:sz w:val="24"/>
                <w:szCs w:val="24"/>
              </w:rPr>
              <w:t xml:space="preserve"> cela, </w:t>
            </w:r>
            <w:r w:rsidR="00565C50" w:rsidRPr="00565C50">
              <w:rPr>
                <w:rFonts w:cstheme="minorHAnsi"/>
                <w:sz w:val="24"/>
                <w:szCs w:val="24"/>
              </w:rPr>
              <w:t xml:space="preserve">une volonté politique des </w:t>
            </w:r>
            <w:r w:rsidR="001B0E39">
              <w:rPr>
                <w:rFonts w:cstheme="minorHAnsi"/>
                <w:sz w:val="24"/>
                <w:szCs w:val="24"/>
              </w:rPr>
              <w:t>E</w:t>
            </w:r>
            <w:r w:rsidR="00565C50" w:rsidRPr="00565C50">
              <w:rPr>
                <w:rFonts w:cstheme="minorHAnsi"/>
                <w:sz w:val="24"/>
                <w:szCs w:val="24"/>
              </w:rPr>
              <w:t xml:space="preserve">tats parties à engager un processus de </w:t>
            </w:r>
            <w:r w:rsidR="001B0E39">
              <w:rPr>
                <w:rFonts w:cstheme="minorHAnsi"/>
                <w:sz w:val="24"/>
                <w:szCs w:val="24"/>
              </w:rPr>
              <w:t xml:space="preserve">transformation de l’offre </w:t>
            </w:r>
            <w:r w:rsidR="003252E4">
              <w:rPr>
                <w:rFonts w:cstheme="minorHAnsi"/>
                <w:sz w:val="24"/>
                <w:szCs w:val="24"/>
              </w:rPr>
              <w:t xml:space="preserve"> est nécessaire, </w:t>
            </w:r>
            <w:r w:rsidR="00563BAF">
              <w:rPr>
                <w:rFonts w:cstheme="minorHAnsi"/>
                <w:sz w:val="24"/>
                <w:szCs w:val="24"/>
              </w:rPr>
              <w:t xml:space="preserve">sachant </w:t>
            </w:r>
            <w:r w:rsidR="001B0E39">
              <w:rPr>
                <w:rFonts w:cstheme="minorHAnsi"/>
                <w:sz w:val="24"/>
                <w:szCs w:val="24"/>
              </w:rPr>
              <w:t xml:space="preserve">que toute désinstitutionalisation ne </w:t>
            </w:r>
            <w:r w:rsidR="00565C50" w:rsidRPr="00565C50">
              <w:rPr>
                <w:rFonts w:cstheme="minorHAnsi"/>
                <w:sz w:val="24"/>
                <w:szCs w:val="24"/>
              </w:rPr>
              <w:t>peut se faire de façon abrupte</w:t>
            </w:r>
            <w:r w:rsidR="001B0E39">
              <w:rPr>
                <w:rFonts w:cstheme="minorHAnsi"/>
                <w:sz w:val="24"/>
                <w:szCs w:val="24"/>
              </w:rPr>
              <w:t>. Cela</w:t>
            </w:r>
            <w:r w:rsidR="00565C50" w:rsidRPr="00565C50">
              <w:rPr>
                <w:rFonts w:cstheme="minorHAnsi"/>
                <w:sz w:val="24"/>
                <w:szCs w:val="24"/>
              </w:rPr>
              <w:t xml:space="preserve"> nécessite</w:t>
            </w:r>
            <w:r w:rsidR="003252E4">
              <w:rPr>
                <w:rFonts w:cstheme="minorHAnsi"/>
                <w:sz w:val="24"/>
                <w:szCs w:val="24"/>
              </w:rPr>
              <w:t> :</w:t>
            </w:r>
            <w:r w:rsidR="00565C50" w:rsidRPr="00565C50">
              <w:rPr>
                <w:rFonts w:cstheme="minorHAnsi"/>
                <w:sz w:val="24"/>
                <w:szCs w:val="24"/>
              </w:rPr>
              <w:t xml:space="preserve"> </w:t>
            </w:r>
            <w:r w:rsidR="003252E4">
              <w:rPr>
                <w:rFonts w:cstheme="minorHAnsi"/>
                <w:sz w:val="24"/>
                <w:szCs w:val="24"/>
              </w:rPr>
              <w:t>--.u</w:t>
            </w:r>
            <w:r w:rsidR="00565C50" w:rsidRPr="00565C50">
              <w:rPr>
                <w:rFonts w:cstheme="minorHAnsi"/>
                <w:sz w:val="24"/>
                <w:szCs w:val="24"/>
              </w:rPr>
              <w:t>ne planification pragmatique de la transition</w:t>
            </w:r>
            <w:r w:rsidR="003252E4">
              <w:rPr>
                <w:rFonts w:cstheme="minorHAnsi"/>
                <w:sz w:val="24"/>
                <w:szCs w:val="24"/>
              </w:rPr>
              <w:t>,</w:t>
            </w:r>
            <w:r w:rsidR="00565C50" w:rsidRPr="00565C50">
              <w:rPr>
                <w:rFonts w:cstheme="minorHAnsi"/>
                <w:sz w:val="24"/>
                <w:szCs w:val="24"/>
              </w:rPr>
              <w:t xml:space="preserve"> </w:t>
            </w:r>
          </w:p>
          <w:p w:rsidR="001B0E39" w:rsidRDefault="003252E4" w:rsidP="00565C50">
            <w:pPr>
              <w:jc w:val="both"/>
              <w:rPr>
                <w:rFonts w:cstheme="minorHAnsi"/>
                <w:sz w:val="24"/>
                <w:szCs w:val="24"/>
              </w:rPr>
            </w:pPr>
            <w:r>
              <w:rPr>
                <w:rFonts w:cstheme="minorHAnsi"/>
                <w:sz w:val="24"/>
                <w:szCs w:val="24"/>
              </w:rPr>
              <w:t>.</w:t>
            </w:r>
            <w:r w:rsidR="00565C50" w:rsidRPr="00565C50">
              <w:rPr>
                <w:rFonts w:cstheme="minorHAnsi"/>
                <w:sz w:val="24"/>
                <w:szCs w:val="24"/>
              </w:rPr>
              <w:t xml:space="preserve">les changements de législations </w:t>
            </w:r>
            <w:r w:rsidR="001B0E39">
              <w:rPr>
                <w:rFonts w:cstheme="minorHAnsi"/>
                <w:sz w:val="24"/>
                <w:szCs w:val="24"/>
              </w:rPr>
              <w:t xml:space="preserve">ou administratifs </w:t>
            </w:r>
            <w:r w:rsidR="00565C50" w:rsidRPr="00565C50">
              <w:rPr>
                <w:rFonts w:cstheme="minorHAnsi"/>
                <w:sz w:val="24"/>
                <w:szCs w:val="24"/>
              </w:rPr>
              <w:t>permettant cette transformation structurelle et systémique</w:t>
            </w:r>
          </w:p>
          <w:p w:rsidR="00292532" w:rsidRPr="00C01170" w:rsidRDefault="003252E4" w:rsidP="005E6972">
            <w:pPr>
              <w:jc w:val="both"/>
              <w:rPr>
                <w:rFonts w:cstheme="minorHAnsi"/>
                <w:sz w:val="24"/>
                <w:szCs w:val="24"/>
              </w:rPr>
            </w:pPr>
            <w:r>
              <w:rPr>
                <w:rFonts w:cstheme="minorHAnsi"/>
                <w:sz w:val="24"/>
                <w:szCs w:val="24"/>
              </w:rPr>
              <w:t xml:space="preserve">. </w:t>
            </w:r>
            <w:r w:rsidR="00565C50" w:rsidRPr="00565C50">
              <w:rPr>
                <w:rFonts w:cstheme="minorHAnsi"/>
                <w:sz w:val="24"/>
                <w:szCs w:val="24"/>
              </w:rPr>
              <w:t xml:space="preserve">le développement de services de proximité </w:t>
            </w:r>
            <w:r w:rsidR="001B0E39">
              <w:rPr>
                <w:rFonts w:cstheme="minorHAnsi"/>
                <w:sz w:val="24"/>
                <w:szCs w:val="24"/>
              </w:rPr>
              <w:t xml:space="preserve">qui </w:t>
            </w:r>
            <w:r w:rsidR="00565C50" w:rsidRPr="00565C50">
              <w:rPr>
                <w:rFonts w:cstheme="minorHAnsi"/>
                <w:sz w:val="24"/>
                <w:szCs w:val="24"/>
              </w:rPr>
              <w:t>peuvent encourager la transition vers l’émancipation des personnes</w:t>
            </w:r>
            <w:r w:rsidR="00563BAF">
              <w:rPr>
                <w:rFonts w:cstheme="minorHAnsi"/>
                <w:sz w:val="24"/>
                <w:szCs w:val="24"/>
              </w:rPr>
              <w:t>.</w:t>
            </w:r>
            <w:r w:rsidR="00565C50" w:rsidRPr="00565C50">
              <w:rPr>
                <w:rFonts w:cstheme="minorHAnsi"/>
                <w:sz w:val="24"/>
                <w:szCs w:val="24"/>
              </w:rPr>
              <w:t xml:space="preserve">  </w:t>
            </w:r>
          </w:p>
        </w:tc>
      </w:tr>
    </w:tbl>
    <w:tbl>
      <w:tblPr>
        <w:tblStyle w:val="TableGrid"/>
        <w:tblpPr w:leftFromText="141" w:rightFromText="141" w:vertAnchor="page" w:horzAnchor="margin" w:tblpXSpec="center" w:tblpY="675"/>
        <w:tblW w:w="15735" w:type="dxa"/>
        <w:tblLook w:val="04A0" w:firstRow="1" w:lastRow="0" w:firstColumn="1" w:lastColumn="0" w:noHBand="0" w:noVBand="1"/>
      </w:tblPr>
      <w:tblGrid>
        <w:gridCol w:w="5240"/>
        <w:gridCol w:w="10495"/>
      </w:tblGrid>
      <w:tr w:rsidR="002044EA" w:rsidRPr="00E3580F" w:rsidTr="002044EA">
        <w:tc>
          <w:tcPr>
            <w:tcW w:w="15735" w:type="dxa"/>
            <w:gridSpan w:val="2"/>
            <w:vAlign w:val="center"/>
          </w:tcPr>
          <w:bookmarkEnd w:id="1"/>
          <w:p w:rsidR="002044EA" w:rsidRPr="00E3580F" w:rsidRDefault="002044EA" w:rsidP="00E3580F">
            <w:pPr>
              <w:pStyle w:val="ListParagraph"/>
              <w:numPr>
                <w:ilvl w:val="0"/>
                <w:numId w:val="26"/>
              </w:numPr>
              <w:jc w:val="center"/>
              <w:rPr>
                <w:rFonts w:cstheme="minorHAnsi"/>
                <w:b/>
                <w:color w:val="0070C0"/>
              </w:rPr>
            </w:pPr>
            <w:r w:rsidRPr="00E3580F">
              <w:rPr>
                <w:rFonts w:cstheme="minorHAnsi"/>
                <w:b/>
                <w:color w:val="0070C0"/>
              </w:rPr>
              <w:t xml:space="preserve">Comprendre et mettre en œuvre les éléments clés du processus de </w:t>
            </w:r>
            <w:r w:rsidR="009D6FB1" w:rsidRPr="00E3580F">
              <w:rPr>
                <w:rFonts w:cstheme="minorHAnsi"/>
                <w:b/>
                <w:color w:val="0070C0"/>
              </w:rPr>
              <w:t>désinstitutionalisation</w:t>
            </w:r>
          </w:p>
        </w:tc>
      </w:tr>
      <w:tr w:rsidR="002044EA" w:rsidRPr="00C01170" w:rsidTr="00772584">
        <w:tc>
          <w:tcPr>
            <w:tcW w:w="5240" w:type="dxa"/>
          </w:tcPr>
          <w:p w:rsidR="002044EA" w:rsidRDefault="002044EA" w:rsidP="002044EA">
            <w:pPr>
              <w:tabs>
                <w:tab w:val="left" w:pos="3292"/>
              </w:tabs>
              <w:rPr>
                <w:rFonts w:cstheme="minorHAnsi"/>
                <w:sz w:val="24"/>
                <w:szCs w:val="24"/>
              </w:rPr>
            </w:pPr>
            <w:r w:rsidRPr="00F4165C">
              <w:rPr>
                <w:rFonts w:cstheme="minorHAnsi"/>
                <w:b/>
                <w:sz w:val="24"/>
                <w:szCs w:val="24"/>
              </w:rPr>
              <w:t>Institutionnalisation</w:t>
            </w:r>
            <w:r w:rsidRPr="00F4165C">
              <w:rPr>
                <w:rFonts w:cstheme="minorHAnsi"/>
                <w:sz w:val="24"/>
                <w:szCs w:val="24"/>
              </w:rPr>
              <w:t xml:space="preserve"> –</w:t>
            </w:r>
            <w:r w:rsidRPr="00C01170">
              <w:rPr>
                <w:rFonts w:cstheme="minorHAnsi"/>
                <w:sz w:val="24"/>
                <w:szCs w:val="24"/>
              </w:rPr>
              <w:t xml:space="preserve"> </w:t>
            </w:r>
            <w:r w:rsidRPr="00F4165C">
              <w:rPr>
                <w:rFonts w:cstheme="minorHAnsi"/>
                <w:i/>
                <w:sz w:val="24"/>
                <w:szCs w:val="24"/>
              </w:rPr>
              <w:t>paragraphes 14</w:t>
            </w:r>
            <w:r w:rsidR="00C01170" w:rsidRPr="00F4165C">
              <w:rPr>
                <w:rFonts w:cstheme="minorHAnsi"/>
                <w:i/>
                <w:sz w:val="24"/>
                <w:szCs w:val="24"/>
              </w:rPr>
              <w:t>, 15 et 16</w:t>
            </w: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1B0E39" w:rsidRDefault="001B0E39" w:rsidP="002044EA">
            <w:pPr>
              <w:tabs>
                <w:tab w:val="left" w:pos="3292"/>
              </w:tabs>
              <w:rPr>
                <w:rFonts w:cstheme="minorHAnsi"/>
                <w:sz w:val="24"/>
                <w:szCs w:val="24"/>
              </w:rPr>
            </w:pPr>
          </w:p>
          <w:p w:rsidR="000B425F" w:rsidRDefault="000B425F" w:rsidP="002044EA">
            <w:pPr>
              <w:tabs>
                <w:tab w:val="left" w:pos="3292"/>
              </w:tabs>
              <w:rPr>
                <w:rFonts w:cstheme="minorHAnsi"/>
                <w:sz w:val="24"/>
                <w:szCs w:val="24"/>
              </w:rPr>
            </w:pPr>
          </w:p>
          <w:p w:rsidR="000B425F" w:rsidRDefault="000B425F" w:rsidP="002044EA">
            <w:pPr>
              <w:tabs>
                <w:tab w:val="left" w:pos="3292"/>
              </w:tabs>
              <w:rPr>
                <w:rFonts w:cstheme="minorHAnsi"/>
                <w:sz w:val="24"/>
                <w:szCs w:val="24"/>
              </w:rPr>
            </w:pPr>
          </w:p>
          <w:p w:rsidR="0050289D" w:rsidRDefault="0050289D" w:rsidP="002044EA">
            <w:pPr>
              <w:tabs>
                <w:tab w:val="left" w:pos="3292"/>
              </w:tabs>
              <w:rPr>
                <w:rFonts w:cstheme="minorHAnsi"/>
                <w:sz w:val="24"/>
                <w:szCs w:val="24"/>
              </w:rPr>
            </w:pPr>
          </w:p>
          <w:p w:rsidR="002044EA" w:rsidRPr="00F4165C" w:rsidRDefault="002044EA" w:rsidP="002044EA">
            <w:pPr>
              <w:tabs>
                <w:tab w:val="left" w:pos="3292"/>
              </w:tabs>
              <w:rPr>
                <w:rFonts w:cstheme="minorHAnsi"/>
                <w:i/>
                <w:sz w:val="24"/>
                <w:szCs w:val="24"/>
              </w:rPr>
            </w:pPr>
            <w:r w:rsidRPr="00F4165C">
              <w:rPr>
                <w:rFonts w:cstheme="minorHAnsi"/>
                <w:b/>
                <w:sz w:val="24"/>
                <w:szCs w:val="24"/>
              </w:rPr>
              <w:t xml:space="preserve">Processus de </w:t>
            </w:r>
            <w:r w:rsidR="00A8441C" w:rsidRPr="00F4165C">
              <w:rPr>
                <w:rFonts w:cstheme="minorHAnsi"/>
                <w:b/>
                <w:sz w:val="24"/>
                <w:szCs w:val="24"/>
              </w:rPr>
              <w:t>désinstitutionalisation</w:t>
            </w:r>
            <w:r w:rsidRPr="00C01170">
              <w:rPr>
                <w:rFonts w:cstheme="minorHAnsi"/>
                <w:sz w:val="24"/>
                <w:szCs w:val="24"/>
              </w:rPr>
              <w:t xml:space="preserve"> </w:t>
            </w:r>
            <w:r w:rsidRPr="00F4165C">
              <w:rPr>
                <w:rFonts w:cstheme="minorHAnsi"/>
                <w:i/>
                <w:sz w:val="24"/>
                <w:szCs w:val="24"/>
              </w:rPr>
              <w:t>– paragraphes 17</w:t>
            </w:r>
            <w:r w:rsidR="0050289D" w:rsidRPr="00F4165C">
              <w:rPr>
                <w:rFonts w:cstheme="minorHAnsi"/>
                <w:i/>
                <w:sz w:val="24"/>
                <w:szCs w:val="24"/>
              </w:rPr>
              <w:t>, 18 et 19</w:t>
            </w:r>
          </w:p>
          <w:p w:rsidR="00C01170" w:rsidRDefault="00C01170" w:rsidP="002044EA">
            <w:pPr>
              <w:tabs>
                <w:tab w:val="left" w:pos="3292"/>
              </w:tabs>
              <w:rPr>
                <w:rFonts w:cstheme="minorHAnsi"/>
                <w:sz w:val="24"/>
                <w:szCs w:val="24"/>
              </w:rPr>
            </w:pPr>
          </w:p>
          <w:p w:rsidR="00C01170" w:rsidRDefault="00C01170" w:rsidP="002044EA">
            <w:pPr>
              <w:tabs>
                <w:tab w:val="left" w:pos="3292"/>
              </w:tabs>
              <w:rPr>
                <w:rFonts w:cstheme="minorHAnsi"/>
                <w:sz w:val="24"/>
                <w:szCs w:val="24"/>
              </w:rPr>
            </w:pPr>
          </w:p>
          <w:p w:rsidR="00C01170" w:rsidRDefault="00C01170" w:rsidP="002044EA">
            <w:pPr>
              <w:tabs>
                <w:tab w:val="left" w:pos="3292"/>
              </w:tabs>
              <w:rPr>
                <w:rFonts w:cstheme="minorHAnsi"/>
                <w:sz w:val="24"/>
                <w:szCs w:val="24"/>
              </w:rPr>
            </w:pPr>
          </w:p>
          <w:p w:rsidR="00C01170" w:rsidRDefault="00C01170" w:rsidP="002044EA">
            <w:pPr>
              <w:tabs>
                <w:tab w:val="left" w:pos="3292"/>
              </w:tabs>
              <w:rPr>
                <w:rFonts w:cstheme="minorHAnsi"/>
                <w:sz w:val="24"/>
                <w:szCs w:val="24"/>
              </w:rPr>
            </w:pPr>
          </w:p>
          <w:p w:rsidR="00C01170" w:rsidRDefault="00C01170" w:rsidP="002044EA">
            <w:pPr>
              <w:tabs>
                <w:tab w:val="left" w:pos="3292"/>
              </w:tabs>
              <w:rPr>
                <w:rFonts w:cstheme="minorHAnsi"/>
                <w:sz w:val="24"/>
                <w:szCs w:val="24"/>
              </w:rPr>
            </w:pPr>
          </w:p>
          <w:p w:rsidR="00C01170" w:rsidRDefault="00C01170" w:rsidP="002044EA">
            <w:pPr>
              <w:tabs>
                <w:tab w:val="left" w:pos="3292"/>
              </w:tabs>
              <w:rPr>
                <w:rFonts w:cstheme="minorHAnsi"/>
                <w:sz w:val="24"/>
                <w:szCs w:val="24"/>
              </w:rPr>
            </w:pPr>
          </w:p>
          <w:p w:rsidR="009D6FB1" w:rsidRPr="0050289D" w:rsidRDefault="0050289D" w:rsidP="002044EA">
            <w:pPr>
              <w:tabs>
                <w:tab w:val="left" w:pos="3292"/>
              </w:tabs>
              <w:rPr>
                <w:rFonts w:cstheme="minorHAnsi"/>
                <w:b/>
                <w:i/>
                <w:sz w:val="24"/>
                <w:szCs w:val="24"/>
              </w:rPr>
            </w:pPr>
            <w:r w:rsidRPr="00F4165C">
              <w:rPr>
                <w:rFonts w:cstheme="minorHAnsi"/>
                <w:b/>
                <w:sz w:val="24"/>
                <w:szCs w:val="24"/>
              </w:rPr>
              <w:t>Droit de choisir et respect de la volonté et des préférences</w:t>
            </w:r>
            <w:r>
              <w:rPr>
                <w:rFonts w:cstheme="minorHAnsi"/>
                <w:b/>
                <w:i/>
                <w:sz w:val="24"/>
                <w:szCs w:val="24"/>
              </w:rPr>
              <w:t xml:space="preserve"> </w:t>
            </w:r>
            <w:r w:rsidRPr="0050289D">
              <w:rPr>
                <w:rFonts w:cstheme="minorHAnsi"/>
                <w:sz w:val="24"/>
                <w:szCs w:val="24"/>
              </w:rPr>
              <w:t xml:space="preserve">– </w:t>
            </w:r>
            <w:r w:rsidRPr="00F4165C">
              <w:rPr>
                <w:rFonts w:cstheme="minorHAnsi"/>
                <w:i/>
                <w:sz w:val="24"/>
                <w:szCs w:val="24"/>
              </w:rPr>
              <w:t>paragraphe 20</w:t>
            </w:r>
          </w:p>
          <w:p w:rsidR="009D6FB1" w:rsidRDefault="009D6FB1" w:rsidP="002044EA">
            <w:pPr>
              <w:tabs>
                <w:tab w:val="left" w:pos="3292"/>
              </w:tabs>
              <w:rPr>
                <w:rFonts w:cstheme="minorHAnsi"/>
                <w:i/>
                <w:sz w:val="24"/>
                <w:szCs w:val="24"/>
              </w:rPr>
            </w:pPr>
          </w:p>
          <w:p w:rsidR="00F4165C" w:rsidRDefault="00F4165C" w:rsidP="002044EA">
            <w:pPr>
              <w:tabs>
                <w:tab w:val="left" w:pos="3292"/>
              </w:tabs>
              <w:rPr>
                <w:rFonts w:cstheme="minorHAnsi"/>
                <w:sz w:val="24"/>
                <w:szCs w:val="24"/>
              </w:rPr>
            </w:pPr>
          </w:p>
          <w:p w:rsidR="00F4165C" w:rsidRDefault="00F4165C" w:rsidP="002044EA">
            <w:pPr>
              <w:tabs>
                <w:tab w:val="left" w:pos="3292"/>
              </w:tabs>
              <w:rPr>
                <w:rFonts w:cstheme="minorHAnsi"/>
                <w:sz w:val="24"/>
                <w:szCs w:val="24"/>
              </w:rPr>
            </w:pPr>
          </w:p>
          <w:p w:rsidR="00F4165C" w:rsidRDefault="00F4165C" w:rsidP="002044EA">
            <w:pPr>
              <w:tabs>
                <w:tab w:val="left" w:pos="3292"/>
              </w:tabs>
              <w:rPr>
                <w:rFonts w:cstheme="minorHAnsi"/>
                <w:sz w:val="24"/>
                <w:szCs w:val="24"/>
              </w:rPr>
            </w:pPr>
          </w:p>
          <w:p w:rsidR="00F4165C" w:rsidRDefault="00F4165C" w:rsidP="002044EA">
            <w:pPr>
              <w:tabs>
                <w:tab w:val="left" w:pos="3292"/>
              </w:tabs>
              <w:rPr>
                <w:rFonts w:cstheme="minorHAnsi"/>
                <w:sz w:val="24"/>
                <w:szCs w:val="24"/>
              </w:rPr>
            </w:pPr>
          </w:p>
          <w:p w:rsidR="00565C50" w:rsidRDefault="00565C50"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3B4110" w:rsidRDefault="003B4110" w:rsidP="002044EA">
            <w:pPr>
              <w:tabs>
                <w:tab w:val="left" w:pos="3292"/>
              </w:tabs>
              <w:rPr>
                <w:rFonts w:cstheme="minorHAnsi"/>
                <w:sz w:val="24"/>
                <w:szCs w:val="24"/>
              </w:rPr>
            </w:pPr>
          </w:p>
          <w:p w:rsidR="00FC50E8" w:rsidRPr="00F4165C" w:rsidRDefault="00FC50E8" w:rsidP="00FC50E8">
            <w:pPr>
              <w:tabs>
                <w:tab w:val="left" w:pos="3292"/>
              </w:tabs>
              <w:rPr>
                <w:rFonts w:cstheme="minorHAnsi"/>
                <w:b/>
                <w:i/>
                <w:sz w:val="24"/>
                <w:szCs w:val="24"/>
              </w:rPr>
            </w:pPr>
            <w:r w:rsidRPr="00F4165C">
              <w:rPr>
                <w:rFonts w:cstheme="minorHAnsi"/>
                <w:b/>
                <w:sz w:val="24"/>
                <w:szCs w:val="24"/>
              </w:rPr>
              <w:t>Soutien communautaire</w:t>
            </w:r>
            <w:r w:rsidRPr="00E93F37">
              <w:rPr>
                <w:rFonts w:cstheme="minorHAnsi"/>
                <w:b/>
                <w:i/>
                <w:sz w:val="24"/>
                <w:szCs w:val="24"/>
              </w:rPr>
              <w:t xml:space="preserve"> </w:t>
            </w:r>
            <w:r w:rsidR="00E93F37">
              <w:rPr>
                <w:rFonts w:cstheme="minorHAnsi"/>
                <w:b/>
                <w:i/>
                <w:sz w:val="24"/>
                <w:szCs w:val="24"/>
              </w:rPr>
              <w:t xml:space="preserve">– </w:t>
            </w:r>
            <w:r w:rsidR="00E93F37" w:rsidRPr="00F4165C">
              <w:rPr>
                <w:rFonts w:cstheme="minorHAnsi"/>
                <w:i/>
                <w:sz w:val="24"/>
                <w:szCs w:val="24"/>
              </w:rPr>
              <w:t>paragraphes 21 à 26</w:t>
            </w:r>
          </w:p>
          <w:p w:rsidR="00FC50E8" w:rsidRPr="00F4165C" w:rsidRDefault="00FC50E8" w:rsidP="00FC50E8">
            <w:pPr>
              <w:tabs>
                <w:tab w:val="left" w:pos="3292"/>
              </w:tabs>
              <w:rPr>
                <w:rFonts w:cstheme="minorHAnsi"/>
                <w:i/>
                <w:sz w:val="24"/>
                <w:szCs w:val="24"/>
              </w:rPr>
            </w:pPr>
          </w:p>
          <w:p w:rsidR="00C01170" w:rsidRDefault="00C01170" w:rsidP="002044EA">
            <w:pPr>
              <w:tabs>
                <w:tab w:val="left" w:pos="3292"/>
              </w:tabs>
              <w:rPr>
                <w:rFonts w:cstheme="minorHAnsi"/>
                <w:sz w:val="24"/>
                <w:szCs w:val="24"/>
              </w:rPr>
            </w:pPr>
          </w:p>
          <w:p w:rsidR="00FC50E8" w:rsidRDefault="00E93F37" w:rsidP="00FC50E8">
            <w:pPr>
              <w:tabs>
                <w:tab w:val="left" w:pos="3292"/>
              </w:tabs>
              <w:rPr>
                <w:rFonts w:cstheme="minorHAnsi"/>
                <w:b/>
                <w:bCs/>
                <w:i/>
                <w:sz w:val="24"/>
                <w:szCs w:val="24"/>
                <w:lang w:val="fr-CH"/>
              </w:rPr>
            </w:pPr>
            <w:r w:rsidRPr="00F4165C">
              <w:rPr>
                <w:rFonts w:cstheme="minorHAnsi"/>
                <w:b/>
                <w:bCs/>
                <w:sz w:val="24"/>
                <w:szCs w:val="24"/>
                <w:lang w:val="fr-CH"/>
              </w:rPr>
              <w:t xml:space="preserve">Allocation de financement et de ressources – </w:t>
            </w:r>
            <w:r w:rsidRPr="00F4165C">
              <w:rPr>
                <w:rFonts w:cstheme="minorHAnsi"/>
                <w:bCs/>
                <w:i/>
                <w:sz w:val="24"/>
                <w:szCs w:val="24"/>
                <w:lang w:val="fr-CH"/>
              </w:rPr>
              <w:t>paragraphes 27 à 30</w:t>
            </w:r>
          </w:p>
          <w:p w:rsidR="00FC50E8" w:rsidRDefault="00FC50E8" w:rsidP="00FC50E8">
            <w:pPr>
              <w:tabs>
                <w:tab w:val="left" w:pos="3292"/>
              </w:tabs>
              <w:rPr>
                <w:rFonts w:cstheme="minorHAnsi"/>
                <w:b/>
                <w:bCs/>
                <w:i/>
                <w:sz w:val="24"/>
                <w:szCs w:val="24"/>
                <w:lang w:val="fr-CH"/>
              </w:rPr>
            </w:pPr>
          </w:p>
          <w:p w:rsidR="00FC50E8" w:rsidRDefault="00FC50E8" w:rsidP="00FC50E8">
            <w:pPr>
              <w:tabs>
                <w:tab w:val="left" w:pos="3292"/>
              </w:tabs>
              <w:rPr>
                <w:rFonts w:cstheme="minorHAnsi"/>
                <w:b/>
                <w:bCs/>
                <w:i/>
                <w:sz w:val="24"/>
                <w:szCs w:val="24"/>
                <w:lang w:val="fr-CH"/>
              </w:rPr>
            </w:pPr>
          </w:p>
          <w:p w:rsidR="00FC50E8" w:rsidRDefault="00FC50E8" w:rsidP="00FC50E8">
            <w:pPr>
              <w:tabs>
                <w:tab w:val="left" w:pos="3292"/>
              </w:tabs>
              <w:rPr>
                <w:rFonts w:cstheme="minorHAnsi"/>
                <w:b/>
                <w:bCs/>
                <w:i/>
                <w:sz w:val="24"/>
                <w:szCs w:val="24"/>
                <w:lang w:val="fr-CH"/>
              </w:rPr>
            </w:pPr>
          </w:p>
          <w:p w:rsidR="00FC50E8" w:rsidRDefault="00FC50E8" w:rsidP="00FC50E8">
            <w:pPr>
              <w:tabs>
                <w:tab w:val="left" w:pos="3292"/>
              </w:tabs>
              <w:rPr>
                <w:rFonts w:cstheme="minorHAnsi"/>
                <w:b/>
                <w:bCs/>
                <w:i/>
                <w:sz w:val="24"/>
                <w:szCs w:val="24"/>
                <w:lang w:val="fr-CH"/>
              </w:rPr>
            </w:pPr>
          </w:p>
          <w:p w:rsidR="00FC50E8" w:rsidRDefault="00FC50E8" w:rsidP="00FC50E8">
            <w:pPr>
              <w:tabs>
                <w:tab w:val="left" w:pos="3292"/>
              </w:tabs>
              <w:rPr>
                <w:rFonts w:cstheme="minorHAnsi"/>
                <w:b/>
                <w:bCs/>
                <w:i/>
                <w:sz w:val="24"/>
                <w:szCs w:val="24"/>
                <w:lang w:val="fr-CH"/>
              </w:rPr>
            </w:pPr>
          </w:p>
          <w:p w:rsidR="00C306BF" w:rsidRDefault="00C306BF" w:rsidP="00FC50E8">
            <w:pPr>
              <w:tabs>
                <w:tab w:val="left" w:pos="3292"/>
              </w:tabs>
              <w:rPr>
                <w:rFonts w:cstheme="minorHAnsi"/>
                <w:b/>
                <w:bCs/>
                <w:i/>
                <w:sz w:val="24"/>
                <w:szCs w:val="24"/>
                <w:lang w:val="fr-CH"/>
              </w:rPr>
            </w:pPr>
          </w:p>
          <w:p w:rsidR="00C306BF" w:rsidRDefault="00C306BF" w:rsidP="00FC50E8">
            <w:pPr>
              <w:tabs>
                <w:tab w:val="left" w:pos="3292"/>
              </w:tabs>
              <w:rPr>
                <w:rFonts w:cstheme="minorHAnsi"/>
                <w:b/>
                <w:bCs/>
                <w:i/>
                <w:sz w:val="24"/>
                <w:szCs w:val="24"/>
                <w:lang w:val="fr-CH"/>
              </w:rPr>
            </w:pPr>
          </w:p>
          <w:p w:rsidR="000757CB" w:rsidRPr="00F4165C" w:rsidRDefault="00FC50E8" w:rsidP="002044EA">
            <w:pPr>
              <w:tabs>
                <w:tab w:val="left" w:pos="3292"/>
              </w:tabs>
              <w:rPr>
                <w:rFonts w:cstheme="minorHAnsi"/>
                <w:bCs/>
                <w:i/>
                <w:sz w:val="24"/>
                <w:szCs w:val="24"/>
                <w:lang w:val="fr-CH"/>
              </w:rPr>
            </w:pPr>
            <w:r w:rsidRPr="00F4165C">
              <w:rPr>
                <w:rFonts w:cstheme="minorHAnsi"/>
                <w:b/>
                <w:bCs/>
                <w:sz w:val="24"/>
                <w:szCs w:val="24"/>
                <w:lang w:val="fr-CH"/>
              </w:rPr>
              <w:t>Accès à un logement accessible</w:t>
            </w:r>
            <w:r w:rsidR="003826CE">
              <w:rPr>
                <w:rFonts w:cstheme="minorHAnsi"/>
                <w:b/>
                <w:bCs/>
                <w:i/>
                <w:sz w:val="24"/>
                <w:szCs w:val="24"/>
                <w:lang w:val="fr-CH"/>
              </w:rPr>
              <w:t xml:space="preserve"> </w:t>
            </w:r>
            <w:r w:rsidR="003826CE" w:rsidRPr="003826CE">
              <w:rPr>
                <w:rFonts w:cstheme="minorHAnsi"/>
                <w:bCs/>
                <w:sz w:val="24"/>
                <w:szCs w:val="24"/>
                <w:lang w:val="fr-CH"/>
              </w:rPr>
              <w:t xml:space="preserve">– </w:t>
            </w:r>
            <w:r w:rsidR="003826CE" w:rsidRPr="00F4165C">
              <w:rPr>
                <w:rFonts w:cstheme="minorHAnsi"/>
                <w:bCs/>
                <w:i/>
                <w:sz w:val="24"/>
                <w:szCs w:val="24"/>
                <w:lang w:val="fr-CH"/>
              </w:rPr>
              <w:t>paragraphes 31 et 32</w:t>
            </w:r>
          </w:p>
          <w:p w:rsidR="000757CB" w:rsidRDefault="000757CB" w:rsidP="002044EA">
            <w:pPr>
              <w:tabs>
                <w:tab w:val="left" w:pos="3292"/>
              </w:tabs>
              <w:rPr>
                <w:rFonts w:cstheme="minorHAnsi"/>
                <w:sz w:val="24"/>
                <w:szCs w:val="24"/>
              </w:rPr>
            </w:pPr>
          </w:p>
          <w:p w:rsidR="000757CB" w:rsidRDefault="000757CB" w:rsidP="002044EA">
            <w:pPr>
              <w:tabs>
                <w:tab w:val="left" w:pos="3292"/>
              </w:tabs>
              <w:rPr>
                <w:rFonts w:cstheme="minorHAnsi"/>
                <w:sz w:val="24"/>
                <w:szCs w:val="24"/>
              </w:rPr>
            </w:pPr>
          </w:p>
          <w:p w:rsidR="000757CB" w:rsidRDefault="000757CB"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5E6972" w:rsidRDefault="005E6972" w:rsidP="002044EA">
            <w:pPr>
              <w:tabs>
                <w:tab w:val="left" w:pos="3292"/>
              </w:tabs>
              <w:rPr>
                <w:rFonts w:cstheme="minorHAnsi"/>
                <w:sz w:val="24"/>
                <w:szCs w:val="24"/>
              </w:rPr>
            </w:pPr>
          </w:p>
          <w:p w:rsidR="000757CB" w:rsidRDefault="000757CB" w:rsidP="002044EA">
            <w:pPr>
              <w:tabs>
                <w:tab w:val="left" w:pos="3292"/>
              </w:tabs>
              <w:rPr>
                <w:rFonts w:cstheme="minorHAnsi"/>
                <w:sz w:val="24"/>
                <w:szCs w:val="24"/>
              </w:rPr>
            </w:pPr>
          </w:p>
          <w:p w:rsidR="00C01170" w:rsidRPr="005E6972" w:rsidRDefault="005E6972" w:rsidP="000757CB">
            <w:pPr>
              <w:tabs>
                <w:tab w:val="left" w:pos="3292"/>
              </w:tabs>
              <w:rPr>
                <w:rFonts w:cstheme="minorHAnsi"/>
                <w:b/>
                <w:sz w:val="24"/>
                <w:szCs w:val="24"/>
              </w:rPr>
            </w:pPr>
            <w:r w:rsidRPr="005E6972">
              <w:rPr>
                <w:rFonts w:cstheme="minorHAnsi"/>
                <w:b/>
                <w:sz w:val="24"/>
                <w:szCs w:val="24"/>
              </w:rPr>
              <w:t xml:space="preserve">Désinstitutionalisation fondée sur une approche centrée sur la personne et différenciée </w:t>
            </w:r>
            <w:r>
              <w:rPr>
                <w:rFonts w:cstheme="minorHAnsi"/>
                <w:b/>
                <w:sz w:val="24"/>
                <w:szCs w:val="24"/>
              </w:rPr>
              <w:t xml:space="preserve">– </w:t>
            </w:r>
            <w:r w:rsidRPr="005E6972">
              <w:rPr>
                <w:rFonts w:cstheme="minorHAnsi"/>
                <w:i/>
                <w:sz w:val="24"/>
                <w:szCs w:val="24"/>
              </w:rPr>
              <w:t>paragraphes 36 à 39</w:t>
            </w:r>
          </w:p>
        </w:tc>
        <w:tc>
          <w:tcPr>
            <w:tcW w:w="10495" w:type="dxa"/>
          </w:tcPr>
          <w:p w:rsidR="000B425F" w:rsidRDefault="001B0E39" w:rsidP="00565C50">
            <w:pPr>
              <w:jc w:val="both"/>
              <w:rPr>
                <w:rFonts w:cstheme="minorHAnsi"/>
                <w:sz w:val="24"/>
                <w:szCs w:val="24"/>
              </w:rPr>
            </w:pPr>
            <w:r w:rsidRPr="001B0E39">
              <w:rPr>
                <w:rFonts w:cstheme="minorHAnsi"/>
                <w:b/>
                <w:sz w:val="24"/>
                <w:szCs w:val="24"/>
              </w:rPr>
              <w:t>P</w:t>
            </w:r>
            <w:r w:rsidR="00565C50" w:rsidRPr="001B0E39">
              <w:rPr>
                <w:rFonts w:cstheme="minorHAnsi"/>
                <w:b/>
                <w:sz w:val="24"/>
                <w:szCs w:val="24"/>
              </w:rPr>
              <w:t xml:space="preserve">lutôt que de lister des « types d’institutions », </w:t>
            </w:r>
            <w:r w:rsidRPr="001B0E39">
              <w:rPr>
                <w:rFonts w:cstheme="minorHAnsi"/>
                <w:b/>
                <w:sz w:val="24"/>
                <w:szCs w:val="24"/>
              </w:rPr>
              <w:t>il serait plus pertinent</w:t>
            </w:r>
            <w:r w:rsidR="0050289D">
              <w:rPr>
                <w:rFonts w:cstheme="minorHAnsi"/>
                <w:b/>
                <w:sz w:val="24"/>
                <w:szCs w:val="24"/>
              </w:rPr>
              <w:t xml:space="preserve"> </w:t>
            </w:r>
            <w:r w:rsidR="00565C50" w:rsidRPr="001B0E39">
              <w:rPr>
                <w:rFonts w:cstheme="minorHAnsi"/>
                <w:b/>
                <w:sz w:val="24"/>
                <w:szCs w:val="24"/>
              </w:rPr>
              <w:t xml:space="preserve">de définir des indicateurs </w:t>
            </w:r>
            <w:r w:rsidR="00563BAF">
              <w:rPr>
                <w:rFonts w:cstheme="minorHAnsi"/>
                <w:b/>
                <w:sz w:val="24"/>
                <w:szCs w:val="24"/>
              </w:rPr>
              <w:t xml:space="preserve">de </w:t>
            </w:r>
            <w:r w:rsidR="003252E4">
              <w:rPr>
                <w:rFonts w:cstheme="minorHAnsi"/>
                <w:b/>
                <w:sz w:val="24"/>
                <w:szCs w:val="24"/>
              </w:rPr>
              <w:t>« </w:t>
            </w:r>
            <w:r w:rsidR="00563BAF">
              <w:rPr>
                <w:rFonts w:cstheme="minorHAnsi"/>
                <w:b/>
                <w:sz w:val="24"/>
                <w:szCs w:val="24"/>
              </w:rPr>
              <w:t>privation de droits</w:t>
            </w:r>
            <w:r w:rsidR="003252E4">
              <w:rPr>
                <w:rFonts w:cstheme="minorHAnsi"/>
                <w:b/>
                <w:sz w:val="24"/>
                <w:szCs w:val="24"/>
              </w:rPr>
              <w:t> »</w:t>
            </w:r>
            <w:r w:rsidR="00563BAF" w:rsidRPr="00565C50">
              <w:rPr>
                <w:rFonts w:cstheme="minorHAnsi"/>
                <w:sz w:val="24"/>
                <w:szCs w:val="24"/>
              </w:rPr>
              <w:t xml:space="preserve"> </w:t>
            </w:r>
            <w:r w:rsidR="00565C50" w:rsidRPr="00565C50">
              <w:rPr>
                <w:rFonts w:cstheme="minorHAnsi"/>
                <w:sz w:val="24"/>
                <w:szCs w:val="24"/>
              </w:rPr>
              <w:t>concernant les règles de vie imposées et les conditions d’exercice des choix du mode de vie (on peut être institutionnalisé chez soi)</w:t>
            </w:r>
            <w:r w:rsidR="000B425F">
              <w:rPr>
                <w:rFonts w:cstheme="minorHAnsi"/>
                <w:sz w:val="24"/>
                <w:szCs w:val="24"/>
              </w:rPr>
              <w:t xml:space="preserve">. </w:t>
            </w:r>
          </w:p>
          <w:p w:rsidR="00565C50" w:rsidRDefault="000B425F" w:rsidP="00565C50">
            <w:pPr>
              <w:jc w:val="both"/>
              <w:rPr>
                <w:rFonts w:cstheme="minorHAnsi"/>
                <w:sz w:val="24"/>
                <w:szCs w:val="24"/>
              </w:rPr>
            </w:pPr>
            <w:r>
              <w:rPr>
                <w:rFonts w:cstheme="minorHAnsi"/>
                <w:sz w:val="24"/>
                <w:szCs w:val="24"/>
              </w:rPr>
              <w:t xml:space="preserve">Ces </w:t>
            </w:r>
            <w:r w:rsidR="00565C50" w:rsidRPr="00565C50">
              <w:rPr>
                <w:rFonts w:cstheme="minorHAnsi"/>
                <w:sz w:val="24"/>
                <w:szCs w:val="24"/>
              </w:rPr>
              <w:t xml:space="preserve">indicateurs </w:t>
            </w:r>
            <w:r>
              <w:rPr>
                <w:rFonts w:cstheme="minorHAnsi"/>
                <w:sz w:val="24"/>
                <w:szCs w:val="24"/>
              </w:rPr>
              <w:t>permettraient</w:t>
            </w:r>
            <w:r w:rsidR="00565C50" w:rsidRPr="00565C50">
              <w:rPr>
                <w:rFonts w:cstheme="minorHAnsi"/>
                <w:sz w:val="24"/>
                <w:szCs w:val="24"/>
              </w:rPr>
              <w:t xml:space="preserve"> d’évaluer si la personne est tenue à l’écart de la vie en </w:t>
            </w:r>
            <w:r w:rsidR="00254CA4" w:rsidRPr="00565C50">
              <w:rPr>
                <w:rFonts w:cstheme="minorHAnsi"/>
                <w:sz w:val="24"/>
                <w:szCs w:val="24"/>
              </w:rPr>
              <w:t>société</w:t>
            </w:r>
            <w:r w:rsidR="00254CA4">
              <w:rPr>
                <w:rFonts w:cstheme="minorHAnsi"/>
                <w:sz w:val="24"/>
                <w:szCs w:val="24"/>
              </w:rPr>
              <w:t>, obligée</w:t>
            </w:r>
            <w:r w:rsidR="00565C50" w:rsidRPr="00565C50">
              <w:rPr>
                <w:rFonts w:cstheme="minorHAnsi"/>
                <w:sz w:val="24"/>
                <w:szCs w:val="24"/>
              </w:rPr>
              <w:t xml:space="preserve"> de vivre en collectivité, si </w:t>
            </w:r>
            <w:r w:rsidR="00563BAF">
              <w:rPr>
                <w:rFonts w:cstheme="minorHAnsi"/>
                <w:sz w:val="24"/>
                <w:szCs w:val="24"/>
              </w:rPr>
              <w:t>elle a</w:t>
            </w:r>
            <w:r w:rsidR="00565C50" w:rsidRPr="00565C50">
              <w:rPr>
                <w:rFonts w:cstheme="minorHAnsi"/>
                <w:sz w:val="24"/>
                <w:szCs w:val="24"/>
              </w:rPr>
              <w:t xml:space="preserve"> un contrôle sur sa vie et sur les décision</w:t>
            </w:r>
            <w:r>
              <w:rPr>
                <w:rFonts w:cstheme="minorHAnsi"/>
                <w:sz w:val="24"/>
                <w:szCs w:val="24"/>
              </w:rPr>
              <w:t>s</w:t>
            </w:r>
            <w:r w:rsidR="00565C50" w:rsidRPr="00565C50">
              <w:rPr>
                <w:rFonts w:cstheme="minorHAnsi"/>
                <w:sz w:val="24"/>
                <w:szCs w:val="24"/>
              </w:rPr>
              <w:t xml:space="preserve"> qui la concernent ou pas, si les exigences de l’institution passent avant </w:t>
            </w:r>
            <w:r w:rsidR="003252E4">
              <w:rPr>
                <w:rFonts w:cstheme="minorHAnsi"/>
                <w:sz w:val="24"/>
                <w:szCs w:val="24"/>
              </w:rPr>
              <w:t>s</w:t>
            </w:r>
            <w:r w:rsidR="00565C50" w:rsidRPr="00565C50">
              <w:rPr>
                <w:rFonts w:cstheme="minorHAnsi"/>
                <w:sz w:val="24"/>
                <w:szCs w:val="24"/>
              </w:rPr>
              <w:t>es envies</w:t>
            </w:r>
            <w:r w:rsidR="003252E4">
              <w:rPr>
                <w:rFonts w:cstheme="minorHAnsi"/>
                <w:sz w:val="24"/>
                <w:szCs w:val="24"/>
              </w:rPr>
              <w:t xml:space="preserve"> et </w:t>
            </w:r>
            <w:r w:rsidR="00565C50" w:rsidRPr="00565C50">
              <w:rPr>
                <w:rFonts w:cstheme="minorHAnsi"/>
                <w:sz w:val="24"/>
                <w:szCs w:val="24"/>
              </w:rPr>
              <w:t xml:space="preserve">désirs et la réponse </w:t>
            </w:r>
            <w:r w:rsidR="003252E4">
              <w:rPr>
                <w:rFonts w:cstheme="minorHAnsi"/>
                <w:sz w:val="24"/>
                <w:szCs w:val="24"/>
              </w:rPr>
              <w:t>à ses</w:t>
            </w:r>
            <w:r w:rsidR="003252E4" w:rsidRPr="00565C50">
              <w:rPr>
                <w:rFonts w:cstheme="minorHAnsi"/>
                <w:sz w:val="24"/>
                <w:szCs w:val="24"/>
              </w:rPr>
              <w:t xml:space="preserve"> </w:t>
            </w:r>
            <w:r w:rsidR="00565C50" w:rsidRPr="00565C50">
              <w:rPr>
                <w:rFonts w:cstheme="minorHAnsi"/>
                <w:sz w:val="24"/>
                <w:szCs w:val="24"/>
              </w:rPr>
              <w:t xml:space="preserve">besoins pour les réaliser. </w:t>
            </w:r>
          </w:p>
          <w:p w:rsidR="000B425F" w:rsidRPr="00565C50" w:rsidRDefault="000B425F" w:rsidP="00565C50">
            <w:pPr>
              <w:jc w:val="both"/>
              <w:rPr>
                <w:rFonts w:cstheme="minorHAnsi"/>
                <w:sz w:val="24"/>
                <w:szCs w:val="24"/>
              </w:rPr>
            </w:pPr>
          </w:p>
          <w:p w:rsidR="00565C50" w:rsidRDefault="00565C50" w:rsidP="00565C50">
            <w:pPr>
              <w:jc w:val="both"/>
              <w:rPr>
                <w:rFonts w:cstheme="minorHAnsi"/>
                <w:sz w:val="24"/>
                <w:szCs w:val="24"/>
              </w:rPr>
            </w:pPr>
            <w:r w:rsidRPr="000B425F">
              <w:rPr>
                <w:rFonts w:cstheme="minorHAnsi"/>
                <w:b/>
                <w:sz w:val="24"/>
                <w:szCs w:val="24"/>
              </w:rPr>
              <w:t xml:space="preserve">Les acteurs non gouvernementaux sont contraints par la législation nationale </w:t>
            </w:r>
            <w:r w:rsidRPr="00565C50">
              <w:rPr>
                <w:rFonts w:cstheme="minorHAnsi"/>
                <w:sz w:val="24"/>
                <w:szCs w:val="24"/>
              </w:rPr>
              <w:t xml:space="preserve">; elles ne « contrôlent » pas les process d’institutionnalisation </w:t>
            </w:r>
            <w:r w:rsidR="00563BAF">
              <w:rPr>
                <w:rFonts w:cstheme="minorHAnsi"/>
                <w:sz w:val="24"/>
                <w:szCs w:val="24"/>
              </w:rPr>
              <w:t>mais</w:t>
            </w:r>
            <w:r w:rsidRPr="00565C50">
              <w:rPr>
                <w:rFonts w:cstheme="minorHAnsi"/>
                <w:sz w:val="24"/>
                <w:szCs w:val="24"/>
              </w:rPr>
              <w:t xml:space="preserve"> les « subissent » : </w:t>
            </w:r>
            <w:r w:rsidR="000472DE">
              <w:rPr>
                <w:rFonts w:cstheme="minorHAnsi"/>
                <w:sz w:val="24"/>
                <w:szCs w:val="24"/>
              </w:rPr>
              <w:t xml:space="preserve">ce </w:t>
            </w:r>
            <w:r w:rsidRPr="00565C50">
              <w:rPr>
                <w:rFonts w:cstheme="minorHAnsi"/>
                <w:sz w:val="24"/>
                <w:szCs w:val="24"/>
              </w:rPr>
              <w:t xml:space="preserve">processus relève d’une volonté politique traduite dans la législation. </w:t>
            </w:r>
            <w:r w:rsidR="0050289D">
              <w:t xml:space="preserve">Et elle </w:t>
            </w:r>
            <w:r w:rsidR="0050289D" w:rsidRPr="0050289D">
              <w:rPr>
                <w:rFonts w:cstheme="minorHAnsi"/>
                <w:sz w:val="24"/>
                <w:szCs w:val="24"/>
              </w:rPr>
              <w:t xml:space="preserve">ne peut se tenir sans repenser l’accessibilité des services généraux </w:t>
            </w:r>
            <w:r w:rsidR="00563BAF">
              <w:rPr>
                <w:rFonts w:cstheme="minorHAnsi"/>
                <w:sz w:val="24"/>
                <w:szCs w:val="24"/>
              </w:rPr>
              <w:t xml:space="preserve"> à tous.</w:t>
            </w:r>
          </w:p>
          <w:p w:rsidR="000B425F" w:rsidRPr="00565C50" w:rsidRDefault="000B425F" w:rsidP="00565C50">
            <w:pPr>
              <w:jc w:val="both"/>
              <w:rPr>
                <w:rFonts w:cstheme="minorHAnsi"/>
                <w:sz w:val="24"/>
                <w:szCs w:val="24"/>
              </w:rPr>
            </w:pPr>
          </w:p>
          <w:p w:rsidR="000B425F" w:rsidRDefault="000B425F" w:rsidP="00565C50">
            <w:pPr>
              <w:jc w:val="both"/>
              <w:rPr>
                <w:rFonts w:cstheme="minorHAnsi"/>
                <w:sz w:val="24"/>
                <w:szCs w:val="24"/>
              </w:rPr>
            </w:pPr>
            <w:r w:rsidRPr="000B425F">
              <w:rPr>
                <w:rFonts w:cstheme="minorHAnsi"/>
                <w:b/>
                <w:sz w:val="24"/>
                <w:szCs w:val="24"/>
              </w:rPr>
              <w:t>L’article 19 est une approche dogmatique</w:t>
            </w:r>
            <w:r w:rsidRPr="00565C50">
              <w:rPr>
                <w:rFonts w:cstheme="minorHAnsi"/>
                <w:sz w:val="24"/>
                <w:szCs w:val="24"/>
              </w:rPr>
              <w:t xml:space="preserve"> qui n’est pas conforme au sens de la liberté du choix du mode de vie .</w:t>
            </w:r>
          </w:p>
          <w:p w:rsidR="000B425F" w:rsidRPr="000B425F" w:rsidRDefault="000B425F" w:rsidP="00565C50">
            <w:pPr>
              <w:jc w:val="both"/>
              <w:rPr>
                <w:rFonts w:cstheme="minorHAnsi"/>
                <w:i/>
                <w:sz w:val="24"/>
                <w:szCs w:val="24"/>
              </w:rPr>
            </w:pPr>
            <w:r w:rsidRPr="000B425F">
              <w:rPr>
                <w:rFonts w:cstheme="minorHAnsi"/>
                <w:sz w:val="24"/>
                <w:szCs w:val="24"/>
              </w:rPr>
              <w:t>On peut faire le choix d’une vie partagée</w:t>
            </w:r>
            <w:r>
              <w:rPr>
                <w:rFonts w:cstheme="minorHAnsi"/>
                <w:sz w:val="24"/>
                <w:szCs w:val="24"/>
              </w:rPr>
              <w:t xml:space="preserve"> : </w:t>
            </w:r>
            <w:r w:rsidRPr="000B425F">
              <w:rPr>
                <w:rFonts w:cstheme="minorHAnsi"/>
                <w:i/>
                <w:sz w:val="24"/>
                <w:szCs w:val="24"/>
              </w:rPr>
              <w:t>« Pour nous, avoir un chez-soi, cela peut être vivre seul, ou avec d’autres personnes qu’on a choisi, ou un lieu de vie collectif qu'on a choisi »</w:t>
            </w:r>
            <w:r w:rsidRPr="000B425F">
              <w:rPr>
                <w:rStyle w:val="FootnoteReference"/>
                <w:rFonts w:cstheme="minorHAnsi"/>
                <w:i/>
                <w:sz w:val="24"/>
                <w:szCs w:val="24"/>
              </w:rPr>
              <w:footnoteReference w:id="3"/>
            </w:r>
            <w:r w:rsidRPr="000B425F">
              <w:rPr>
                <w:rFonts w:cstheme="minorHAnsi"/>
                <w:i/>
                <w:sz w:val="24"/>
                <w:szCs w:val="24"/>
              </w:rPr>
              <w:t>.</w:t>
            </w:r>
          </w:p>
          <w:p w:rsidR="00565C50" w:rsidRPr="00565C50" w:rsidRDefault="00565C50" w:rsidP="00565C50">
            <w:pPr>
              <w:jc w:val="both"/>
              <w:rPr>
                <w:rFonts w:cstheme="minorHAnsi"/>
                <w:sz w:val="24"/>
                <w:szCs w:val="24"/>
              </w:rPr>
            </w:pPr>
            <w:r w:rsidRPr="00565C50">
              <w:rPr>
                <w:rFonts w:cstheme="minorHAnsi"/>
                <w:sz w:val="24"/>
                <w:szCs w:val="24"/>
              </w:rPr>
              <w:t xml:space="preserve">C’est </w:t>
            </w:r>
            <w:r w:rsidR="000B425F">
              <w:rPr>
                <w:rFonts w:cstheme="minorHAnsi"/>
                <w:sz w:val="24"/>
                <w:szCs w:val="24"/>
              </w:rPr>
              <w:t xml:space="preserve">aussi </w:t>
            </w:r>
            <w:r w:rsidRPr="00565C50">
              <w:rPr>
                <w:rFonts w:cstheme="minorHAnsi"/>
                <w:sz w:val="24"/>
                <w:szCs w:val="24"/>
              </w:rPr>
              <w:t>faire fi des modes d’habitat alternatifs d</w:t>
            </w:r>
            <w:r w:rsidR="000472DE">
              <w:rPr>
                <w:rFonts w:cstheme="minorHAnsi"/>
                <w:sz w:val="24"/>
                <w:szCs w:val="24"/>
              </w:rPr>
              <w:t xml:space="preserve">e </w:t>
            </w:r>
            <w:r w:rsidRPr="00565C50">
              <w:rPr>
                <w:rFonts w:cstheme="minorHAnsi"/>
                <w:sz w:val="24"/>
                <w:szCs w:val="24"/>
              </w:rPr>
              <w:t xml:space="preserve">droit commun </w:t>
            </w:r>
            <w:r w:rsidR="000472DE">
              <w:rPr>
                <w:rFonts w:cstheme="minorHAnsi"/>
                <w:sz w:val="24"/>
                <w:szCs w:val="24"/>
              </w:rPr>
              <w:t>fleurissant</w:t>
            </w:r>
            <w:r w:rsidRPr="00565C50">
              <w:rPr>
                <w:rFonts w:cstheme="minorHAnsi"/>
                <w:sz w:val="24"/>
                <w:szCs w:val="24"/>
              </w:rPr>
              <w:t xml:space="preserve"> un peu partout en France. </w:t>
            </w:r>
          </w:p>
          <w:p w:rsidR="00565C50" w:rsidRDefault="00565C50" w:rsidP="002044EA">
            <w:pPr>
              <w:jc w:val="both"/>
              <w:rPr>
                <w:rFonts w:cstheme="minorHAnsi"/>
                <w:sz w:val="24"/>
                <w:szCs w:val="24"/>
              </w:rPr>
            </w:pPr>
          </w:p>
          <w:p w:rsidR="00C01170" w:rsidRDefault="00292532" w:rsidP="00292532">
            <w:pPr>
              <w:jc w:val="both"/>
            </w:pPr>
            <w:r>
              <w:rPr>
                <w:rFonts w:cstheme="minorHAnsi"/>
                <w:sz w:val="24"/>
                <w:szCs w:val="24"/>
              </w:rPr>
              <w:t xml:space="preserve">Dans </w:t>
            </w:r>
            <w:r w:rsidR="000472DE">
              <w:rPr>
                <w:rFonts w:cstheme="minorHAnsi"/>
                <w:sz w:val="24"/>
                <w:szCs w:val="24"/>
              </w:rPr>
              <w:t xml:space="preserve">le </w:t>
            </w:r>
            <w:r>
              <w:rPr>
                <w:rFonts w:cstheme="minorHAnsi"/>
                <w:sz w:val="24"/>
                <w:szCs w:val="24"/>
              </w:rPr>
              <w:t>processus</w:t>
            </w:r>
            <w:r w:rsidR="000472DE">
              <w:rPr>
                <w:rFonts w:cstheme="minorHAnsi"/>
                <w:sz w:val="24"/>
                <w:szCs w:val="24"/>
              </w:rPr>
              <w:t xml:space="preserve"> de désinstitutionalisation</w:t>
            </w:r>
            <w:r>
              <w:rPr>
                <w:rFonts w:cstheme="minorHAnsi"/>
                <w:sz w:val="24"/>
                <w:szCs w:val="24"/>
              </w:rPr>
              <w:t xml:space="preserve">, </w:t>
            </w:r>
            <w:r w:rsidR="000472DE">
              <w:rPr>
                <w:rFonts w:cstheme="minorHAnsi"/>
                <w:sz w:val="24"/>
                <w:szCs w:val="24"/>
              </w:rPr>
              <w:t>la participation et</w:t>
            </w:r>
            <w:r w:rsidR="000472DE" w:rsidRPr="002C5209">
              <w:rPr>
                <w:sz w:val="24"/>
              </w:rPr>
              <w:t xml:space="preserve"> l’évaluation </w:t>
            </w:r>
            <w:r w:rsidR="000472DE">
              <w:rPr>
                <w:rFonts w:cstheme="minorHAnsi"/>
                <w:sz w:val="24"/>
                <w:szCs w:val="24"/>
              </w:rPr>
              <w:t xml:space="preserve">de la personne </w:t>
            </w:r>
            <w:r>
              <w:rPr>
                <w:rFonts w:cstheme="minorHAnsi"/>
                <w:sz w:val="24"/>
                <w:szCs w:val="24"/>
              </w:rPr>
              <w:t>est essentiel</w:t>
            </w:r>
            <w:r w:rsidR="000472DE">
              <w:rPr>
                <w:rFonts w:cstheme="minorHAnsi"/>
                <w:sz w:val="24"/>
                <w:szCs w:val="24"/>
              </w:rPr>
              <w:t>le</w:t>
            </w:r>
            <w:r w:rsidR="00C01170" w:rsidRPr="005E6972">
              <w:rPr>
                <w:sz w:val="24"/>
              </w:rPr>
              <w:t xml:space="preserve">. </w:t>
            </w:r>
          </w:p>
          <w:p w:rsidR="0050289D" w:rsidRDefault="0050289D" w:rsidP="00292532">
            <w:pPr>
              <w:jc w:val="both"/>
            </w:pPr>
          </w:p>
          <w:p w:rsidR="00E93F37" w:rsidRPr="00E93F37" w:rsidRDefault="00E93F37" w:rsidP="00772584">
            <w:pPr>
              <w:jc w:val="both"/>
              <w:rPr>
                <w:rFonts w:cstheme="minorHAnsi"/>
                <w:b/>
                <w:sz w:val="24"/>
                <w:szCs w:val="24"/>
              </w:rPr>
            </w:pPr>
            <w:r w:rsidRPr="00E93F37">
              <w:rPr>
                <w:rFonts w:cstheme="minorHAnsi"/>
                <w:b/>
                <w:sz w:val="24"/>
                <w:szCs w:val="24"/>
              </w:rPr>
              <w:t>Concernant le respect de la prise de décision des personnes</w:t>
            </w:r>
            <w:r w:rsidR="000472DE">
              <w:rPr>
                <w:rFonts w:cstheme="minorHAnsi"/>
                <w:b/>
                <w:sz w:val="24"/>
                <w:szCs w:val="24"/>
              </w:rPr>
              <w:t> :</w:t>
            </w:r>
            <w:r w:rsidR="000472DE" w:rsidRPr="00E93F37">
              <w:rPr>
                <w:rFonts w:cstheme="minorHAnsi"/>
                <w:b/>
                <w:sz w:val="24"/>
                <w:szCs w:val="24"/>
              </w:rPr>
              <w:t xml:space="preserve"> </w:t>
            </w:r>
            <w:r w:rsidRPr="00E93F37">
              <w:rPr>
                <w:rFonts w:cstheme="minorHAnsi"/>
                <w:b/>
                <w:sz w:val="24"/>
                <w:szCs w:val="24"/>
              </w:rPr>
              <w:t>ces lignes directrices vont à l’encontre de ce principe.</w:t>
            </w:r>
          </w:p>
          <w:p w:rsidR="009D6FB1" w:rsidRPr="00772584" w:rsidRDefault="00E93F37" w:rsidP="00772584">
            <w:pPr>
              <w:jc w:val="both"/>
              <w:rPr>
                <w:rFonts w:cstheme="minorHAnsi"/>
                <w:sz w:val="24"/>
                <w:szCs w:val="24"/>
              </w:rPr>
            </w:pPr>
            <w:r>
              <w:rPr>
                <w:rFonts w:cstheme="minorHAnsi"/>
                <w:sz w:val="24"/>
                <w:szCs w:val="24"/>
              </w:rPr>
              <w:t>L</w:t>
            </w:r>
            <w:r w:rsidR="0050289D">
              <w:rPr>
                <w:rFonts w:cstheme="minorHAnsi"/>
                <w:sz w:val="24"/>
                <w:szCs w:val="24"/>
              </w:rPr>
              <w:t>es</w:t>
            </w:r>
            <w:r w:rsidR="00292532" w:rsidRPr="00772584">
              <w:rPr>
                <w:rFonts w:cstheme="minorHAnsi"/>
                <w:sz w:val="24"/>
                <w:szCs w:val="24"/>
              </w:rPr>
              <w:t xml:space="preserve"> personnes </w:t>
            </w:r>
            <w:r w:rsidR="009D6FB1" w:rsidRPr="00772584">
              <w:rPr>
                <w:rFonts w:cstheme="minorHAnsi"/>
                <w:sz w:val="24"/>
                <w:szCs w:val="24"/>
              </w:rPr>
              <w:t>habituées à vivre en collectivité depuis des décennies peuvent vivre avec violence une sortie de l’institution = nécessité d’apprentissage sans garantie de « réussite »</w:t>
            </w:r>
            <w:r w:rsidR="00292532" w:rsidRPr="00772584">
              <w:rPr>
                <w:rFonts w:cstheme="minorHAnsi"/>
                <w:sz w:val="24"/>
                <w:szCs w:val="24"/>
              </w:rPr>
              <w:t>. Elles peuvent aussi c</w:t>
            </w:r>
            <w:r w:rsidR="009D6FB1" w:rsidRPr="00772584">
              <w:rPr>
                <w:rFonts w:cstheme="minorHAnsi"/>
                <w:sz w:val="24"/>
                <w:szCs w:val="24"/>
              </w:rPr>
              <w:t>hoisir de rester ou revenir  en institution</w:t>
            </w:r>
            <w:r>
              <w:rPr>
                <w:rFonts w:cstheme="minorHAnsi"/>
                <w:sz w:val="24"/>
                <w:szCs w:val="24"/>
              </w:rPr>
              <w:t xml:space="preserve">. </w:t>
            </w:r>
          </w:p>
          <w:p w:rsidR="00FC50E8" w:rsidRPr="00772584" w:rsidRDefault="00772584" w:rsidP="00772584">
            <w:pPr>
              <w:jc w:val="both"/>
              <w:rPr>
                <w:rFonts w:cstheme="minorHAnsi"/>
                <w:sz w:val="24"/>
                <w:szCs w:val="24"/>
              </w:rPr>
            </w:pPr>
            <w:r>
              <w:rPr>
                <w:rFonts w:cstheme="minorHAnsi"/>
                <w:sz w:val="24"/>
                <w:szCs w:val="24"/>
              </w:rPr>
              <w:t>Et q</w:t>
            </w:r>
            <w:r w:rsidR="009D6FB1" w:rsidRPr="00772584">
              <w:rPr>
                <w:rFonts w:cstheme="minorHAnsi"/>
                <w:sz w:val="24"/>
                <w:szCs w:val="24"/>
              </w:rPr>
              <w:t>uid des personnes avec de multiples handicaps, n’ayant pas accès à la communication quelle qu’elle soit ?</w:t>
            </w:r>
            <w:r w:rsidR="00292532" w:rsidRPr="00772584">
              <w:rPr>
                <w:rFonts w:cstheme="minorHAnsi"/>
                <w:sz w:val="24"/>
                <w:szCs w:val="24"/>
              </w:rPr>
              <w:t xml:space="preserve"> </w:t>
            </w:r>
          </w:p>
          <w:p w:rsidR="00FC50E8" w:rsidRDefault="00FC50E8" w:rsidP="00C01170"/>
          <w:p w:rsidR="00FC50E8" w:rsidRDefault="00FC50E8" w:rsidP="00C01170"/>
          <w:p w:rsidR="00E93F37" w:rsidRPr="00C306BF" w:rsidRDefault="00E93F37" w:rsidP="00C01170">
            <w:pPr>
              <w:rPr>
                <w:rFonts w:cstheme="minorHAnsi"/>
                <w:sz w:val="24"/>
                <w:szCs w:val="24"/>
              </w:rPr>
            </w:pPr>
            <w:r w:rsidRPr="00C306BF">
              <w:rPr>
                <w:b/>
                <w:sz w:val="24"/>
                <w:szCs w:val="24"/>
              </w:rPr>
              <w:t xml:space="preserve">APF France handicap </w:t>
            </w:r>
            <w:r w:rsidR="00F4165C" w:rsidRPr="00C306BF">
              <w:rPr>
                <w:b/>
                <w:sz w:val="24"/>
                <w:szCs w:val="24"/>
              </w:rPr>
              <w:t xml:space="preserve">soutient </w:t>
            </w:r>
            <w:r w:rsidRPr="00C306BF">
              <w:rPr>
                <w:b/>
                <w:sz w:val="24"/>
                <w:szCs w:val="24"/>
              </w:rPr>
              <w:t xml:space="preserve">cette orientation : </w:t>
            </w:r>
            <w:r w:rsidRPr="00C306BF">
              <w:rPr>
                <w:b/>
                <w:i/>
                <w:sz w:val="24"/>
                <w:szCs w:val="24"/>
              </w:rPr>
              <w:t>«</w:t>
            </w:r>
            <w:r w:rsidRPr="00C306BF">
              <w:rPr>
                <w:i/>
                <w:sz w:val="24"/>
                <w:szCs w:val="24"/>
              </w:rPr>
              <w:t> Les États parties devraient donner la priorité au développement d'une gamme de soutiens individualisés et de services généraux inclusifs dans la communauté sans délai ».</w:t>
            </w:r>
            <w:r w:rsidRPr="00C306BF">
              <w:rPr>
                <w:rFonts w:cstheme="minorHAnsi"/>
                <w:sz w:val="24"/>
                <w:szCs w:val="24"/>
              </w:rPr>
              <w:t xml:space="preserve"> </w:t>
            </w:r>
          </w:p>
          <w:p w:rsidR="00FC50E8" w:rsidRPr="00E93F37" w:rsidRDefault="000472DE" w:rsidP="00C01170">
            <w:pPr>
              <w:rPr>
                <w:i/>
              </w:rPr>
            </w:pPr>
            <w:r>
              <w:rPr>
                <w:rFonts w:cstheme="minorHAnsi"/>
                <w:sz w:val="24"/>
                <w:szCs w:val="24"/>
              </w:rPr>
              <w:t>P</w:t>
            </w:r>
            <w:r w:rsidR="00E93F37">
              <w:rPr>
                <w:rFonts w:cstheme="minorHAnsi"/>
                <w:sz w:val="24"/>
                <w:szCs w:val="24"/>
              </w:rPr>
              <w:t>armi, cette gamme de soutien</w:t>
            </w:r>
            <w:r>
              <w:rPr>
                <w:rFonts w:cstheme="minorHAnsi"/>
                <w:sz w:val="24"/>
                <w:szCs w:val="24"/>
              </w:rPr>
              <w:t>s</w:t>
            </w:r>
            <w:r w:rsidR="00E93F37">
              <w:rPr>
                <w:rFonts w:cstheme="minorHAnsi"/>
                <w:sz w:val="24"/>
                <w:szCs w:val="24"/>
              </w:rPr>
              <w:t xml:space="preserve">, </w:t>
            </w:r>
            <w:r w:rsidR="00254CA4">
              <w:rPr>
                <w:rFonts w:cstheme="minorHAnsi"/>
                <w:sz w:val="24"/>
                <w:szCs w:val="24"/>
              </w:rPr>
              <w:t>il doit y avoir</w:t>
            </w:r>
            <w:r w:rsidR="00E93F37">
              <w:rPr>
                <w:rFonts w:cstheme="minorHAnsi"/>
                <w:sz w:val="24"/>
                <w:szCs w:val="24"/>
              </w:rPr>
              <w:t xml:space="preserve"> des réponses pour des personnes qui souhaitent </w:t>
            </w:r>
            <w:r w:rsidR="00E93F37" w:rsidRPr="00772584">
              <w:rPr>
                <w:rFonts w:cstheme="minorHAnsi"/>
                <w:sz w:val="24"/>
                <w:szCs w:val="24"/>
              </w:rPr>
              <w:t xml:space="preserve">vivre dans une collectivité « raisonnée » car </w:t>
            </w:r>
            <w:r>
              <w:rPr>
                <w:rFonts w:cstheme="minorHAnsi"/>
                <w:sz w:val="24"/>
                <w:szCs w:val="24"/>
              </w:rPr>
              <w:t xml:space="preserve">ne supportant pas un </w:t>
            </w:r>
            <w:r w:rsidR="00E93F37" w:rsidRPr="00772584">
              <w:rPr>
                <w:rFonts w:cstheme="minorHAnsi"/>
                <w:sz w:val="24"/>
                <w:szCs w:val="24"/>
              </w:rPr>
              <w:t xml:space="preserve">isolement </w:t>
            </w:r>
            <w:r>
              <w:rPr>
                <w:rFonts w:cstheme="minorHAnsi"/>
                <w:sz w:val="24"/>
                <w:szCs w:val="24"/>
              </w:rPr>
              <w:t xml:space="preserve">qui </w:t>
            </w:r>
            <w:r w:rsidRPr="00772584">
              <w:rPr>
                <w:rFonts w:cstheme="minorHAnsi"/>
                <w:sz w:val="24"/>
                <w:szCs w:val="24"/>
              </w:rPr>
              <w:t>peut être</w:t>
            </w:r>
            <w:r w:rsidR="00E93F37" w:rsidRPr="00772584">
              <w:rPr>
                <w:rFonts w:cstheme="minorHAnsi"/>
                <w:sz w:val="24"/>
                <w:szCs w:val="24"/>
              </w:rPr>
              <w:t xml:space="preserve"> très anxiogène et à l’origine de crises </w:t>
            </w:r>
            <w:r>
              <w:rPr>
                <w:rFonts w:cstheme="minorHAnsi"/>
                <w:sz w:val="24"/>
                <w:szCs w:val="24"/>
              </w:rPr>
              <w:t>graves.</w:t>
            </w:r>
          </w:p>
          <w:p w:rsidR="00C01170" w:rsidRPr="005E6972" w:rsidRDefault="000472DE" w:rsidP="00C01170">
            <w:pPr>
              <w:rPr>
                <w:sz w:val="24"/>
                <w:szCs w:val="24"/>
              </w:rPr>
            </w:pPr>
            <w:r w:rsidRPr="005E6972">
              <w:rPr>
                <w:b/>
                <w:sz w:val="24"/>
                <w:szCs w:val="24"/>
              </w:rPr>
              <w:t>L</w:t>
            </w:r>
            <w:r w:rsidR="00E93F37" w:rsidRPr="005E6972">
              <w:rPr>
                <w:b/>
                <w:sz w:val="24"/>
                <w:szCs w:val="24"/>
              </w:rPr>
              <w:t xml:space="preserve">a </w:t>
            </w:r>
            <w:r w:rsidR="00C01170" w:rsidRPr="005E6972">
              <w:rPr>
                <w:b/>
                <w:sz w:val="24"/>
                <w:szCs w:val="24"/>
              </w:rPr>
              <w:t xml:space="preserve">définition des services communautaires </w:t>
            </w:r>
            <w:r w:rsidR="00E93F37" w:rsidRPr="005E6972">
              <w:rPr>
                <w:b/>
                <w:sz w:val="24"/>
                <w:szCs w:val="24"/>
              </w:rPr>
              <w:t xml:space="preserve">est </w:t>
            </w:r>
            <w:r w:rsidR="00C01170" w:rsidRPr="005E6972">
              <w:rPr>
                <w:b/>
                <w:sz w:val="24"/>
                <w:szCs w:val="24"/>
              </w:rPr>
              <w:t>trop restrictive</w:t>
            </w:r>
            <w:r w:rsidR="00E93F37" w:rsidRPr="005E6972">
              <w:rPr>
                <w:b/>
                <w:sz w:val="24"/>
                <w:szCs w:val="24"/>
              </w:rPr>
              <w:t>.</w:t>
            </w:r>
            <w:r w:rsidR="00E93F37" w:rsidRPr="005E6972">
              <w:rPr>
                <w:sz w:val="24"/>
                <w:szCs w:val="24"/>
              </w:rPr>
              <w:t xml:space="preserve">  Au titre d</w:t>
            </w:r>
            <w:r w:rsidR="00C01170" w:rsidRPr="005E6972">
              <w:rPr>
                <w:sz w:val="24"/>
                <w:szCs w:val="24"/>
              </w:rPr>
              <w:t>e l’article 19 de la Convention, ces services doi</w:t>
            </w:r>
            <w:r w:rsidR="003826CE" w:rsidRPr="005E6972">
              <w:rPr>
                <w:sz w:val="24"/>
                <w:szCs w:val="24"/>
              </w:rPr>
              <w:t>vent êt</w:t>
            </w:r>
            <w:r w:rsidR="00C01170" w:rsidRPr="005E6972">
              <w:rPr>
                <w:sz w:val="24"/>
                <w:szCs w:val="24"/>
              </w:rPr>
              <w:t xml:space="preserve">re les </w:t>
            </w:r>
            <w:r w:rsidR="00254CA4" w:rsidRPr="005E6972">
              <w:rPr>
                <w:sz w:val="24"/>
                <w:szCs w:val="24"/>
              </w:rPr>
              <w:t xml:space="preserve">plus </w:t>
            </w:r>
            <w:r w:rsidR="00C01170" w:rsidRPr="005E6972">
              <w:rPr>
                <w:sz w:val="24"/>
                <w:szCs w:val="24"/>
              </w:rPr>
              <w:t xml:space="preserve">divers possibles </w:t>
            </w:r>
            <w:r w:rsidRPr="005E6972">
              <w:rPr>
                <w:sz w:val="24"/>
                <w:szCs w:val="24"/>
              </w:rPr>
              <w:t>pour</w:t>
            </w:r>
            <w:r w:rsidR="00C01170" w:rsidRPr="005E6972">
              <w:rPr>
                <w:sz w:val="24"/>
                <w:szCs w:val="24"/>
              </w:rPr>
              <w:t xml:space="preserve"> des réponses de proximité et adaptées à la diversité des situations de handicap et respectant le choix des personnes.  </w:t>
            </w:r>
          </w:p>
          <w:p w:rsidR="00C01170" w:rsidRPr="005E6972" w:rsidRDefault="00C01170" w:rsidP="00FC50E8">
            <w:pPr>
              <w:rPr>
                <w:sz w:val="24"/>
                <w:szCs w:val="24"/>
              </w:rPr>
            </w:pPr>
          </w:p>
          <w:p w:rsidR="00C01170" w:rsidRPr="005E6972" w:rsidRDefault="003826CE" w:rsidP="00C01170">
            <w:pPr>
              <w:rPr>
                <w:rFonts w:cstheme="minorHAnsi"/>
                <w:sz w:val="24"/>
                <w:szCs w:val="24"/>
              </w:rPr>
            </w:pPr>
            <w:r w:rsidRPr="005E6972">
              <w:rPr>
                <w:b/>
                <w:sz w:val="24"/>
                <w:szCs w:val="24"/>
              </w:rPr>
              <w:t xml:space="preserve">En interdisant le financement pour tout investissement ou rénovation, </w:t>
            </w:r>
            <w:r w:rsidR="00C01170" w:rsidRPr="005E6972">
              <w:rPr>
                <w:rFonts w:cstheme="minorHAnsi"/>
                <w:b/>
                <w:sz w:val="24"/>
                <w:szCs w:val="24"/>
              </w:rPr>
              <w:t>le Comité des droits donne-t-il l’injonction aux Etats parti</w:t>
            </w:r>
            <w:r w:rsidRPr="005E6972">
              <w:rPr>
                <w:rFonts w:cstheme="minorHAnsi"/>
                <w:b/>
                <w:sz w:val="24"/>
                <w:szCs w:val="24"/>
              </w:rPr>
              <w:t>e</w:t>
            </w:r>
            <w:r w:rsidR="00C01170" w:rsidRPr="005E6972">
              <w:rPr>
                <w:rFonts w:cstheme="minorHAnsi"/>
                <w:b/>
                <w:sz w:val="24"/>
                <w:szCs w:val="24"/>
              </w:rPr>
              <w:t>s de fermer tous les établissements du jour au lendemain, sans transition ?</w:t>
            </w:r>
            <w:r w:rsidR="00C01170" w:rsidRPr="005E6972">
              <w:rPr>
                <w:rFonts w:cstheme="minorHAnsi"/>
                <w:sz w:val="24"/>
                <w:szCs w:val="24"/>
              </w:rPr>
              <w:t xml:space="preserve"> Demande-t-il aux personnes en situation de handicap qui sont accueillies dans un établissement (école, résidence, …) de le quitter du jour au lendemain, en allant parfois à l’encontre </w:t>
            </w:r>
            <w:r w:rsidR="00F86F1F" w:rsidRPr="005E6972">
              <w:rPr>
                <w:rFonts w:cstheme="minorHAnsi"/>
                <w:sz w:val="24"/>
                <w:szCs w:val="24"/>
              </w:rPr>
              <w:t xml:space="preserve">de leur </w:t>
            </w:r>
            <w:r w:rsidR="00C01170" w:rsidRPr="005E6972">
              <w:rPr>
                <w:rFonts w:cstheme="minorHAnsi"/>
                <w:sz w:val="24"/>
                <w:szCs w:val="24"/>
              </w:rPr>
              <w:t xml:space="preserve">choix et de </w:t>
            </w:r>
            <w:r w:rsidR="00F86F1F" w:rsidRPr="005E6972">
              <w:rPr>
                <w:rFonts w:cstheme="minorHAnsi"/>
                <w:sz w:val="24"/>
                <w:szCs w:val="24"/>
              </w:rPr>
              <w:t xml:space="preserve">celui de leurs </w:t>
            </w:r>
            <w:r w:rsidR="00C01170" w:rsidRPr="005E6972">
              <w:rPr>
                <w:rFonts w:cstheme="minorHAnsi"/>
                <w:sz w:val="24"/>
                <w:szCs w:val="24"/>
              </w:rPr>
              <w:t>familles ?</w:t>
            </w:r>
          </w:p>
          <w:p w:rsidR="00C01170" w:rsidRPr="005E6972" w:rsidRDefault="00C01170" w:rsidP="00C01170">
            <w:pPr>
              <w:rPr>
                <w:sz w:val="24"/>
                <w:szCs w:val="24"/>
              </w:rPr>
            </w:pPr>
            <w:r w:rsidRPr="005E6972">
              <w:rPr>
                <w:sz w:val="24"/>
                <w:szCs w:val="24"/>
              </w:rPr>
              <w:t xml:space="preserve">De telles injonctions excessives </w:t>
            </w:r>
            <w:r w:rsidR="00254CA4" w:rsidRPr="005E6972">
              <w:rPr>
                <w:sz w:val="24"/>
                <w:szCs w:val="24"/>
              </w:rPr>
              <w:t>desservent</w:t>
            </w:r>
            <w:r w:rsidRPr="005E6972">
              <w:rPr>
                <w:sz w:val="24"/>
                <w:szCs w:val="24"/>
              </w:rPr>
              <w:t xml:space="preserve"> les orientations générales du texte pour garantir la liberté de choix des personnes et aller vers des réponses inclusives respectant les droits humains.</w:t>
            </w:r>
          </w:p>
          <w:p w:rsidR="00C01170" w:rsidRPr="005E6972" w:rsidRDefault="00C01170" w:rsidP="00C01170">
            <w:pPr>
              <w:ind w:left="708"/>
              <w:rPr>
                <w:sz w:val="24"/>
                <w:szCs w:val="24"/>
              </w:rPr>
            </w:pPr>
          </w:p>
          <w:p w:rsidR="00C01170" w:rsidRPr="005E6972" w:rsidRDefault="003826CE" w:rsidP="00C01170">
            <w:pPr>
              <w:rPr>
                <w:b/>
                <w:sz w:val="24"/>
                <w:szCs w:val="24"/>
              </w:rPr>
            </w:pPr>
            <w:r w:rsidRPr="005E6972">
              <w:rPr>
                <w:b/>
                <w:sz w:val="24"/>
                <w:szCs w:val="24"/>
              </w:rPr>
              <w:t xml:space="preserve">En excluant les logements regroupés des services de soutien communautaire, </w:t>
            </w:r>
            <w:r w:rsidR="00C01170" w:rsidRPr="005E6972">
              <w:rPr>
                <w:b/>
                <w:sz w:val="24"/>
                <w:szCs w:val="24"/>
              </w:rPr>
              <w:t>il s’agit là encore d’une interprétation du Comité des droits concernant l’article 19</w:t>
            </w:r>
            <w:r w:rsidRPr="005E6972">
              <w:rPr>
                <w:b/>
                <w:sz w:val="24"/>
                <w:szCs w:val="24"/>
              </w:rPr>
              <w:t xml:space="preserve">. </w:t>
            </w:r>
          </w:p>
          <w:p w:rsidR="002044EA" w:rsidRDefault="00254CA4" w:rsidP="002044EA">
            <w:pPr>
              <w:jc w:val="both"/>
              <w:rPr>
                <w:rFonts w:cstheme="minorHAnsi"/>
                <w:sz w:val="24"/>
                <w:szCs w:val="24"/>
              </w:rPr>
            </w:pPr>
            <w:r>
              <w:rPr>
                <w:rFonts w:cstheme="minorHAnsi"/>
                <w:sz w:val="24"/>
                <w:szCs w:val="24"/>
              </w:rPr>
              <w:t xml:space="preserve">Si </w:t>
            </w:r>
            <w:r w:rsidR="003826CE">
              <w:rPr>
                <w:rFonts w:cstheme="minorHAnsi"/>
                <w:sz w:val="24"/>
                <w:szCs w:val="24"/>
              </w:rPr>
              <w:t>ce dispositif alternatif est</w:t>
            </w:r>
            <w:r w:rsidR="000B425F" w:rsidRPr="00565C50">
              <w:rPr>
                <w:rFonts w:cstheme="minorHAnsi"/>
                <w:sz w:val="24"/>
                <w:szCs w:val="24"/>
              </w:rPr>
              <w:t xml:space="preserve"> conçu de façon institutionnel</w:t>
            </w:r>
            <w:r>
              <w:rPr>
                <w:rFonts w:cstheme="minorHAnsi"/>
                <w:sz w:val="24"/>
                <w:szCs w:val="24"/>
              </w:rPr>
              <w:t>le, il</w:t>
            </w:r>
            <w:r w:rsidR="000B425F" w:rsidRPr="00565C50">
              <w:rPr>
                <w:rFonts w:cstheme="minorHAnsi"/>
                <w:sz w:val="24"/>
                <w:szCs w:val="24"/>
              </w:rPr>
              <w:t xml:space="preserve"> peut constituer une forme de ré</w:t>
            </w:r>
            <w:r w:rsidR="003826CE">
              <w:rPr>
                <w:rFonts w:cstheme="minorHAnsi"/>
                <w:sz w:val="24"/>
                <w:szCs w:val="24"/>
              </w:rPr>
              <w:t>-</w:t>
            </w:r>
            <w:r w:rsidR="003826CE" w:rsidRPr="00565C50">
              <w:rPr>
                <w:rFonts w:cstheme="minorHAnsi"/>
                <w:sz w:val="24"/>
                <w:szCs w:val="24"/>
              </w:rPr>
              <w:t>institutionnalisation</w:t>
            </w:r>
            <w:r w:rsidR="000B425F" w:rsidRPr="00565C50">
              <w:rPr>
                <w:rFonts w:cstheme="minorHAnsi"/>
                <w:sz w:val="24"/>
                <w:szCs w:val="24"/>
              </w:rPr>
              <w:t xml:space="preserve"> du fait des contraintes administratives</w:t>
            </w:r>
            <w:r w:rsidR="003826CE">
              <w:rPr>
                <w:rFonts w:cstheme="minorHAnsi"/>
                <w:sz w:val="24"/>
                <w:szCs w:val="24"/>
              </w:rPr>
              <w:t>.</w:t>
            </w:r>
          </w:p>
          <w:p w:rsidR="000757CB" w:rsidRDefault="003826CE" w:rsidP="003826CE">
            <w:pPr>
              <w:jc w:val="both"/>
              <w:rPr>
                <w:rFonts w:cstheme="minorHAnsi"/>
                <w:sz w:val="24"/>
                <w:szCs w:val="24"/>
              </w:rPr>
            </w:pPr>
            <w:r>
              <w:rPr>
                <w:rFonts w:cstheme="minorHAnsi"/>
                <w:sz w:val="24"/>
                <w:szCs w:val="24"/>
              </w:rPr>
              <w:t>Mais</w:t>
            </w:r>
            <w:r w:rsidR="00292532" w:rsidRPr="00292532">
              <w:rPr>
                <w:rFonts w:cstheme="minorHAnsi"/>
                <w:sz w:val="24"/>
                <w:szCs w:val="24"/>
              </w:rPr>
              <w:t xml:space="preserve"> logements de groupes</w:t>
            </w:r>
            <w:r>
              <w:rPr>
                <w:rFonts w:cstheme="minorHAnsi"/>
                <w:sz w:val="24"/>
                <w:szCs w:val="24"/>
              </w:rPr>
              <w:t xml:space="preserve"> ou p</w:t>
            </w:r>
            <w:r w:rsidR="00292532" w:rsidRPr="00292532">
              <w:rPr>
                <w:rFonts w:cstheme="minorHAnsi"/>
                <w:sz w:val="24"/>
                <w:szCs w:val="24"/>
              </w:rPr>
              <w:t>etits foyers peuvent être des réponses</w:t>
            </w:r>
            <w:r>
              <w:rPr>
                <w:rFonts w:cstheme="minorHAnsi"/>
                <w:sz w:val="24"/>
                <w:szCs w:val="24"/>
              </w:rPr>
              <w:t xml:space="preserve"> correspondant au </w:t>
            </w:r>
            <w:r w:rsidR="00292532" w:rsidRPr="00292532">
              <w:rPr>
                <w:rFonts w:cstheme="minorHAnsi"/>
                <w:sz w:val="24"/>
                <w:szCs w:val="24"/>
              </w:rPr>
              <w:t xml:space="preserve">choix des personnes en situation de handicap comme lieux de vie. </w:t>
            </w:r>
          </w:p>
          <w:p w:rsidR="000D2DEB" w:rsidRDefault="000757CB" w:rsidP="000D2DEB">
            <w:pPr>
              <w:rPr>
                <w:sz w:val="24"/>
                <w:szCs w:val="24"/>
              </w:rPr>
            </w:pPr>
            <w:r>
              <w:rPr>
                <w:rFonts w:cstheme="minorHAnsi"/>
                <w:sz w:val="24"/>
                <w:szCs w:val="24"/>
              </w:rPr>
              <w:t xml:space="preserve">Le </w:t>
            </w:r>
            <w:r w:rsidRPr="00C01170">
              <w:rPr>
                <w:rFonts w:cstheme="minorHAnsi"/>
                <w:sz w:val="24"/>
                <w:szCs w:val="24"/>
              </w:rPr>
              <w:t xml:space="preserve">processus de désinstitutionalisation ou de transition inclusive ne peut se faire sans une évolution des </w:t>
            </w:r>
            <w:r w:rsidRPr="00C01170">
              <w:rPr>
                <w:rFonts w:cstheme="minorHAnsi"/>
                <w:bCs/>
                <w:sz w:val="24"/>
                <w:szCs w:val="24"/>
              </w:rPr>
              <w:t xml:space="preserve">mentalités </w:t>
            </w:r>
            <w:r w:rsidRPr="00C01170">
              <w:rPr>
                <w:rFonts w:cstheme="minorHAnsi"/>
                <w:sz w:val="24"/>
                <w:szCs w:val="24"/>
              </w:rPr>
              <w:t>afin d’appréhender les personnes en situation de handicap comme faisant partie intégrante de la société et non comme une catégorie évoluant à part.</w:t>
            </w:r>
            <w:r>
              <w:rPr>
                <w:rFonts w:cstheme="minorHAnsi"/>
                <w:sz w:val="24"/>
                <w:szCs w:val="24"/>
              </w:rPr>
              <w:t xml:space="preserve"> Elles doivent être considérées comme </w:t>
            </w:r>
            <w:r w:rsidR="00254CA4">
              <w:rPr>
                <w:rFonts w:cstheme="minorHAnsi"/>
                <w:sz w:val="24"/>
                <w:szCs w:val="24"/>
              </w:rPr>
              <w:t xml:space="preserve">des </w:t>
            </w:r>
            <w:r>
              <w:rPr>
                <w:rFonts w:cstheme="minorHAnsi"/>
                <w:sz w:val="24"/>
                <w:szCs w:val="24"/>
              </w:rPr>
              <w:t>sujet</w:t>
            </w:r>
            <w:r w:rsidR="00254CA4">
              <w:rPr>
                <w:rFonts w:cstheme="minorHAnsi"/>
                <w:sz w:val="24"/>
                <w:szCs w:val="24"/>
              </w:rPr>
              <w:t>s</w:t>
            </w:r>
            <w:r>
              <w:rPr>
                <w:rFonts w:cstheme="minorHAnsi"/>
                <w:sz w:val="24"/>
                <w:szCs w:val="24"/>
              </w:rPr>
              <w:t xml:space="preserve"> de droit et non comme </w:t>
            </w:r>
            <w:r w:rsidR="00254CA4">
              <w:rPr>
                <w:rFonts w:cstheme="minorHAnsi"/>
                <w:sz w:val="24"/>
                <w:szCs w:val="24"/>
              </w:rPr>
              <w:t xml:space="preserve">des </w:t>
            </w:r>
            <w:r>
              <w:rPr>
                <w:rFonts w:cstheme="minorHAnsi"/>
                <w:sz w:val="24"/>
                <w:szCs w:val="24"/>
              </w:rPr>
              <w:t>objet</w:t>
            </w:r>
            <w:r w:rsidR="00254CA4">
              <w:rPr>
                <w:rFonts w:cstheme="minorHAnsi"/>
                <w:sz w:val="24"/>
                <w:szCs w:val="24"/>
              </w:rPr>
              <w:t>s</w:t>
            </w:r>
            <w:r>
              <w:rPr>
                <w:rFonts w:cstheme="minorHAnsi"/>
                <w:sz w:val="24"/>
                <w:szCs w:val="24"/>
              </w:rPr>
              <w:t xml:space="preserve"> de soins.</w:t>
            </w:r>
            <w:r w:rsidR="000D2DEB" w:rsidRPr="00783EFF">
              <w:rPr>
                <w:sz w:val="24"/>
                <w:szCs w:val="24"/>
              </w:rPr>
              <w:t xml:space="preserve"> </w:t>
            </w:r>
          </w:p>
          <w:p w:rsidR="000D2DEB" w:rsidRDefault="000D2DEB" w:rsidP="000D2DEB">
            <w:pPr>
              <w:rPr>
                <w:sz w:val="24"/>
                <w:szCs w:val="24"/>
              </w:rPr>
            </w:pPr>
          </w:p>
          <w:p w:rsidR="000D2DEB" w:rsidRPr="00783EFF" w:rsidRDefault="000D2DEB" w:rsidP="000D2DEB">
            <w:pPr>
              <w:rPr>
                <w:i/>
                <w:sz w:val="24"/>
                <w:szCs w:val="24"/>
              </w:rPr>
            </w:pPr>
            <w:r w:rsidRPr="00783EFF">
              <w:rPr>
                <w:sz w:val="24"/>
                <w:szCs w:val="24"/>
              </w:rPr>
              <w:t>Ce doit être</w:t>
            </w:r>
            <w:r>
              <w:rPr>
                <w:sz w:val="24"/>
                <w:szCs w:val="24"/>
              </w:rPr>
              <w:t xml:space="preserve"> aussi</w:t>
            </w:r>
            <w:r w:rsidRPr="00783EFF">
              <w:rPr>
                <w:sz w:val="24"/>
                <w:szCs w:val="24"/>
              </w:rPr>
              <w:t xml:space="preserve"> un vrai choix de la famille. Un aidant doit avoir le choix de devenir aidant de la même façon que la personne doit avoir le choix de son aidant</w:t>
            </w:r>
            <w:r>
              <w:rPr>
                <w:rStyle w:val="FootnoteReference"/>
                <w:i/>
                <w:sz w:val="24"/>
                <w:szCs w:val="24"/>
              </w:rPr>
              <w:footnoteReference w:id="4"/>
            </w:r>
            <w:r w:rsidRPr="00783EFF">
              <w:rPr>
                <w:i/>
                <w:sz w:val="24"/>
                <w:szCs w:val="24"/>
              </w:rPr>
              <w:t>.</w:t>
            </w:r>
          </w:p>
          <w:p w:rsidR="000D2DEB" w:rsidRDefault="000D2DEB" w:rsidP="000D2DEB">
            <w:pPr>
              <w:jc w:val="both"/>
              <w:rPr>
                <w:rFonts w:cstheme="minorHAnsi"/>
                <w:sz w:val="24"/>
                <w:szCs w:val="24"/>
              </w:rPr>
            </w:pPr>
          </w:p>
          <w:p w:rsidR="000D2DEB" w:rsidRPr="00783EFF" w:rsidRDefault="000D2DEB" w:rsidP="000D2DEB">
            <w:pPr>
              <w:jc w:val="both"/>
              <w:rPr>
                <w:rFonts w:cstheme="minorHAnsi"/>
                <w:sz w:val="24"/>
                <w:szCs w:val="24"/>
              </w:rPr>
            </w:pPr>
            <w:r w:rsidRPr="00783EFF">
              <w:rPr>
                <w:rFonts w:cstheme="minorHAnsi"/>
                <w:sz w:val="24"/>
                <w:szCs w:val="24"/>
              </w:rPr>
              <w:t>Dans l’article 37 : prendre en compte le répit des familles</w:t>
            </w:r>
          </w:p>
          <w:p w:rsidR="000D2DEB" w:rsidRPr="00783EFF" w:rsidRDefault="000D2DEB" w:rsidP="000D2DEB">
            <w:pPr>
              <w:jc w:val="both"/>
              <w:rPr>
                <w:rFonts w:cstheme="minorHAnsi"/>
                <w:i/>
                <w:sz w:val="24"/>
                <w:szCs w:val="24"/>
              </w:rPr>
            </w:pPr>
            <w:r w:rsidRPr="00783EFF">
              <w:rPr>
                <w:rFonts w:cstheme="minorHAnsi"/>
                <w:sz w:val="24"/>
                <w:szCs w:val="24"/>
              </w:rPr>
              <w:t xml:space="preserve">Ajouter (souligné) : </w:t>
            </w:r>
            <w:r w:rsidRPr="00783EFF">
              <w:rPr>
                <w:rFonts w:cstheme="minorHAnsi"/>
                <w:i/>
                <w:sz w:val="24"/>
                <w:szCs w:val="24"/>
              </w:rPr>
              <w:t>« Lorsqu'une personne choisit de recevoir un soutien de sa famille,</w:t>
            </w:r>
            <w:r>
              <w:rPr>
                <w:rFonts w:cstheme="minorHAnsi"/>
                <w:i/>
                <w:sz w:val="24"/>
                <w:szCs w:val="24"/>
              </w:rPr>
              <w:t xml:space="preserve"> en accord avec cette dernière,</w:t>
            </w:r>
            <w:r w:rsidRPr="00783EFF">
              <w:rPr>
                <w:rFonts w:cstheme="minorHAnsi"/>
                <w:i/>
                <w:sz w:val="24"/>
                <w:szCs w:val="24"/>
              </w:rPr>
              <w:t xml:space="preserve"> les États parties devraient veiller à ce que la famille ait accès à une aide financière, sociale</w:t>
            </w:r>
            <w:r w:rsidRPr="00783EFF">
              <w:rPr>
                <w:rFonts w:cstheme="minorHAnsi"/>
                <w:b/>
                <w:i/>
                <w:sz w:val="24"/>
                <w:szCs w:val="24"/>
                <w:u w:val="single"/>
              </w:rPr>
              <w:t>, à des solutions de répit</w:t>
            </w:r>
            <w:r w:rsidRPr="00783EFF">
              <w:rPr>
                <w:rFonts w:cstheme="minorHAnsi"/>
                <w:i/>
                <w:sz w:val="24"/>
                <w:szCs w:val="24"/>
              </w:rPr>
              <w:t>, et autre</w:t>
            </w:r>
            <w:r>
              <w:rPr>
                <w:rFonts w:cstheme="minorHAnsi"/>
                <w:i/>
                <w:sz w:val="24"/>
                <w:szCs w:val="24"/>
              </w:rPr>
              <w:t>s</w:t>
            </w:r>
            <w:r w:rsidRPr="00783EFF">
              <w:rPr>
                <w:rFonts w:cstheme="minorHAnsi"/>
                <w:i/>
                <w:sz w:val="24"/>
                <w:szCs w:val="24"/>
              </w:rPr>
              <w:t xml:space="preserve"> pour remplir son rôle de soutien »</w:t>
            </w:r>
          </w:p>
          <w:p w:rsidR="000757CB" w:rsidRPr="00C01170" w:rsidRDefault="000757CB" w:rsidP="005E6972">
            <w:pPr>
              <w:jc w:val="both"/>
              <w:rPr>
                <w:rFonts w:cstheme="minorHAnsi"/>
                <w:sz w:val="24"/>
                <w:szCs w:val="24"/>
              </w:rPr>
            </w:pPr>
          </w:p>
        </w:tc>
      </w:tr>
    </w:tbl>
    <w:p w:rsidR="00FC50E8" w:rsidRDefault="00FC50E8"/>
    <w:tbl>
      <w:tblPr>
        <w:tblStyle w:val="TableGrid"/>
        <w:tblpPr w:leftFromText="141" w:rightFromText="141" w:vertAnchor="page" w:horzAnchor="margin" w:tblpXSpec="center" w:tblpY="675"/>
        <w:tblW w:w="15735" w:type="dxa"/>
        <w:tblLook w:val="04A0" w:firstRow="1" w:lastRow="0" w:firstColumn="1" w:lastColumn="0" w:noHBand="0" w:noVBand="1"/>
      </w:tblPr>
      <w:tblGrid>
        <w:gridCol w:w="5240"/>
        <w:gridCol w:w="10495"/>
      </w:tblGrid>
      <w:tr w:rsidR="00FC50E8" w:rsidRPr="00E3580F" w:rsidTr="0070793D">
        <w:tc>
          <w:tcPr>
            <w:tcW w:w="15735" w:type="dxa"/>
            <w:gridSpan w:val="2"/>
          </w:tcPr>
          <w:p w:rsidR="00FC50E8" w:rsidRPr="000757CB" w:rsidRDefault="000757CB" w:rsidP="000757CB">
            <w:pPr>
              <w:pStyle w:val="ListParagraph"/>
              <w:numPr>
                <w:ilvl w:val="0"/>
                <w:numId w:val="26"/>
              </w:numPr>
              <w:jc w:val="center"/>
              <w:rPr>
                <w:rFonts w:cstheme="minorHAnsi"/>
                <w:b/>
                <w:color w:val="0070C0"/>
              </w:rPr>
            </w:pPr>
            <w:r w:rsidRPr="000757CB">
              <w:rPr>
                <w:rFonts w:cstheme="minorHAnsi"/>
                <w:b/>
                <w:color w:val="0070C0"/>
              </w:rPr>
              <w:t>Implication des personnes handicapées à travers leurs organisations représentatives dans les processus de désinstitutionalisation</w:t>
            </w:r>
          </w:p>
        </w:tc>
      </w:tr>
      <w:tr w:rsidR="000757CB" w:rsidRPr="00C01170" w:rsidTr="00783EFF">
        <w:tc>
          <w:tcPr>
            <w:tcW w:w="5240" w:type="dxa"/>
          </w:tcPr>
          <w:p w:rsidR="000757CB" w:rsidRPr="00C306BF" w:rsidRDefault="000757CB" w:rsidP="000757CB">
            <w:pPr>
              <w:pStyle w:val="CommentText"/>
              <w:rPr>
                <w:i/>
                <w:sz w:val="24"/>
                <w:szCs w:val="24"/>
              </w:rPr>
            </w:pPr>
          </w:p>
          <w:p w:rsidR="00C306BF" w:rsidRDefault="00C306BF" w:rsidP="000757CB">
            <w:pPr>
              <w:pStyle w:val="CommentText"/>
              <w:rPr>
                <w:sz w:val="24"/>
                <w:szCs w:val="24"/>
              </w:rPr>
            </w:pPr>
          </w:p>
          <w:p w:rsidR="00C306BF" w:rsidRPr="00C306BF" w:rsidRDefault="00C306BF" w:rsidP="000757CB">
            <w:pPr>
              <w:pStyle w:val="CommentText"/>
              <w:rPr>
                <w:i/>
                <w:sz w:val="24"/>
                <w:szCs w:val="24"/>
              </w:rPr>
            </w:pPr>
          </w:p>
        </w:tc>
        <w:tc>
          <w:tcPr>
            <w:tcW w:w="10495" w:type="dxa"/>
          </w:tcPr>
          <w:p w:rsidR="000757CB" w:rsidRPr="00C01170" w:rsidRDefault="00783EFF" w:rsidP="005E6972">
            <w:pPr>
              <w:jc w:val="both"/>
              <w:rPr>
                <w:rFonts w:cstheme="minorHAnsi"/>
                <w:sz w:val="24"/>
                <w:szCs w:val="24"/>
              </w:rPr>
            </w:pPr>
            <w:r>
              <w:rPr>
                <w:rFonts w:cstheme="minorHAnsi"/>
                <w:sz w:val="24"/>
                <w:szCs w:val="24"/>
              </w:rPr>
              <w:t>Dans l’</w:t>
            </w:r>
            <w:r w:rsidR="000757CB" w:rsidRPr="00783EFF">
              <w:rPr>
                <w:rFonts w:cstheme="minorHAnsi"/>
                <w:sz w:val="24"/>
                <w:szCs w:val="24"/>
              </w:rPr>
              <w:t xml:space="preserve">article 39 : remplacer </w:t>
            </w:r>
            <w:r>
              <w:rPr>
                <w:rFonts w:cstheme="minorHAnsi"/>
                <w:sz w:val="24"/>
                <w:szCs w:val="24"/>
              </w:rPr>
              <w:t>« </w:t>
            </w:r>
            <w:r w:rsidR="000757CB" w:rsidRPr="00783EFF">
              <w:rPr>
                <w:rFonts w:cstheme="minorHAnsi"/>
                <w:sz w:val="24"/>
                <w:szCs w:val="24"/>
              </w:rPr>
              <w:t>internées</w:t>
            </w:r>
            <w:r>
              <w:rPr>
                <w:rFonts w:cstheme="minorHAnsi"/>
                <w:sz w:val="24"/>
                <w:szCs w:val="24"/>
              </w:rPr>
              <w:t> »</w:t>
            </w:r>
            <w:r w:rsidR="000757CB" w:rsidRPr="00783EFF">
              <w:rPr>
                <w:rFonts w:cstheme="minorHAnsi"/>
                <w:sz w:val="24"/>
                <w:szCs w:val="24"/>
              </w:rPr>
              <w:t xml:space="preserve"> par  </w:t>
            </w:r>
            <w:r>
              <w:rPr>
                <w:rFonts w:cstheme="minorHAnsi"/>
                <w:sz w:val="24"/>
                <w:szCs w:val="24"/>
              </w:rPr>
              <w:t xml:space="preserve">« en institution » </w:t>
            </w:r>
            <w:r w:rsidR="000757CB" w:rsidRPr="00783EFF">
              <w:rPr>
                <w:rFonts w:cstheme="minorHAnsi"/>
                <w:sz w:val="24"/>
                <w:szCs w:val="24"/>
              </w:rPr>
              <w:t>(</w:t>
            </w:r>
            <w:r w:rsidR="00F86F1F">
              <w:rPr>
                <w:rFonts w:cstheme="minorHAnsi"/>
                <w:sz w:val="24"/>
                <w:szCs w:val="24"/>
              </w:rPr>
              <w:t>int</w:t>
            </w:r>
            <w:r w:rsidR="000757CB" w:rsidRPr="00783EFF">
              <w:rPr>
                <w:rFonts w:cstheme="minorHAnsi"/>
                <w:sz w:val="24"/>
                <w:szCs w:val="24"/>
              </w:rPr>
              <w:t>ernées = psychiatrie et obéit à des contraintes légales autres ).</w:t>
            </w:r>
            <w:r w:rsidR="001C6D95">
              <w:rPr>
                <w:rFonts w:cstheme="minorHAnsi"/>
                <w:sz w:val="24"/>
                <w:szCs w:val="24"/>
              </w:rPr>
              <w:t xml:space="preserve"> </w:t>
            </w:r>
            <w:r>
              <w:rPr>
                <w:rFonts w:cstheme="minorHAnsi"/>
                <w:sz w:val="24"/>
                <w:szCs w:val="24"/>
              </w:rPr>
              <w:t>Dans ce même article sur la d</w:t>
            </w:r>
            <w:r w:rsidRPr="005E15E6">
              <w:rPr>
                <w:rFonts w:cstheme="minorHAnsi"/>
                <w:sz w:val="24"/>
                <w:szCs w:val="24"/>
              </w:rPr>
              <w:t>iscrimination associée pour les familles</w:t>
            </w:r>
            <w:r>
              <w:rPr>
                <w:rFonts w:cstheme="minorHAnsi"/>
                <w:sz w:val="24"/>
                <w:szCs w:val="24"/>
              </w:rPr>
              <w:t>, on peut faire référence à l’</w:t>
            </w:r>
            <w:r w:rsidRPr="005E15E6">
              <w:rPr>
                <w:rFonts w:cstheme="minorHAnsi"/>
                <w:sz w:val="24"/>
                <w:szCs w:val="24"/>
              </w:rPr>
              <w:t>affaire Atridge/Coleman</w:t>
            </w:r>
            <w:r>
              <w:rPr>
                <w:rStyle w:val="FootnoteReference"/>
                <w:rFonts w:cstheme="minorHAnsi"/>
                <w:sz w:val="24"/>
                <w:szCs w:val="24"/>
              </w:rPr>
              <w:footnoteReference w:id="5"/>
            </w:r>
            <w:r>
              <w:rPr>
                <w:rFonts w:cstheme="minorHAnsi"/>
                <w:sz w:val="24"/>
                <w:szCs w:val="24"/>
              </w:rPr>
              <w:t>.</w:t>
            </w:r>
          </w:p>
        </w:tc>
      </w:tr>
      <w:tr w:rsidR="00783EFF" w:rsidRPr="00783EFF" w:rsidTr="00D2270E">
        <w:tc>
          <w:tcPr>
            <w:tcW w:w="15735" w:type="dxa"/>
            <w:gridSpan w:val="2"/>
          </w:tcPr>
          <w:p w:rsidR="00783EFF" w:rsidRPr="00783EFF" w:rsidRDefault="00783EFF" w:rsidP="00783EFF">
            <w:pPr>
              <w:pStyle w:val="ListParagraph"/>
              <w:numPr>
                <w:ilvl w:val="0"/>
                <w:numId w:val="26"/>
              </w:numPr>
              <w:jc w:val="center"/>
              <w:rPr>
                <w:rFonts w:cstheme="minorHAnsi"/>
                <w:b/>
                <w:color w:val="0070C0"/>
              </w:rPr>
            </w:pPr>
            <w:r w:rsidRPr="00783EFF">
              <w:rPr>
                <w:rFonts w:cstheme="minorHAnsi"/>
                <w:b/>
                <w:color w:val="0070C0"/>
              </w:rPr>
              <w:t>Cadres juridiques et politiques favorables</w:t>
            </w:r>
          </w:p>
        </w:tc>
      </w:tr>
      <w:tr w:rsidR="00783EFF" w:rsidRPr="00C01170" w:rsidTr="00783EFF">
        <w:tc>
          <w:tcPr>
            <w:tcW w:w="5240" w:type="dxa"/>
          </w:tcPr>
          <w:p w:rsidR="00EC4780" w:rsidRDefault="00783EFF" w:rsidP="000757CB">
            <w:pPr>
              <w:pStyle w:val="CommentText"/>
              <w:rPr>
                <w:sz w:val="24"/>
                <w:szCs w:val="24"/>
              </w:rPr>
            </w:pPr>
            <w:r w:rsidRPr="00C306BF">
              <w:rPr>
                <w:b/>
                <w:sz w:val="24"/>
                <w:szCs w:val="24"/>
              </w:rPr>
              <w:t>Cadres institutionnels et situation des personnes vivant en institution –</w:t>
            </w:r>
            <w:r w:rsidRPr="00C306BF">
              <w:rPr>
                <w:b/>
                <w:i/>
                <w:sz w:val="24"/>
                <w:szCs w:val="24"/>
              </w:rPr>
              <w:t xml:space="preserve"> </w:t>
            </w:r>
            <w:r w:rsidRPr="00C306BF">
              <w:rPr>
                <w:i/>
                <w:sz w:val="24"/>
                <w:szCs w:val="24"/>
              </w:rPr>
              <w:t>paragraphe 61</w:t>
            </w:r>
          </w:p>
          <w:p w:rsidR="00EC4780" w:rsidRDefault="00EC4780" w:rsidP="000757CB">
            <w:pPr>
              <w:pStyle w:val="CommentText"/>
              <w:rPr>
                <w:rFonts w:cstheme="minorHAnsi"/>
                <w:sz w:val="24"/>
                <w:szCs w:val="24"/>
              </w:rPr>
            </w:pPr>
          </w:p>
          <w:p w:rsidR="00EC4780" w:rsidRDefault="00EC4780" w:rsidP="000757CB">
            <w:pPr>
              <w:pStyle w:val="CommentText"/>
              <w:rPr>
                <w:rFonts w:cstheme="minorHAnsi"/>
                <w:sz w:val="24"/>
                <w:szCs w:val="24"/>
              </w:rPr>
            </w:pPr>
          </w:p>
          <w:p w:rsidR="00EC4780" w:rsidRPr="00C306BF" w:rsidRDefault="00EC4780" w:rsidP="000757CB">
            <w:pPr>
              <w:pStyle w:val="CommentText"/>
              <w:rPr>
                <w:rFonts w:cstheme="minorHAnsi"/>
                <w:i/>
                <w:sz w:val="24"/>
                <w:szCs w:val="24"/>
              </w:rPr>
            </w:pPr>
            <w:r w:rsidRPr="00C306BF">
              <w:rPr>
                <w:rFonts w:cstheme="minorHAnsi"/>
                <w:b/>
                <w:sz w:val="24"/>
                <w:szCs w:val="24"/>
              </w:rPr>
              <w:t>Système / réseaux de soutien</w:t>
            </w:r>
            <w:r w:rsidRPr="00C306BF">
              <w:rPr>
                <w:rFonts w:cstheme="minorHAnsi"/>
                <w:sz w:val="24"/>
                <w:szCs w:val="24"/>
              </w:rPr>
              <w:t xml:space="preserve"> </w:t>
            </w:r>
            <w:r w:rsidRPr="00C306BF">
              <w:rPr>
                <w:rFonts w:cstheme="minorHAnsi"/>
                <w:i/>
                <w:sz w:val="24"/>
                <w:szCs w:val="24"/>
              </w:rPr>
              <w:t>– paragraphes 67 et 69</w:t>
            </w:r>
          </w:p>
          <w:p w:rsidR="00783EFF" w:rsidRDefault="00783EFF" w:rsidP="000757CB">
            <w:pPr>
              <w:pStyle w:val="CommentText"/>
              <w:rPr>
                <w:b/>
                <w:sz w:val="24"/>
                <w:szCs w:val="24"/>
              </w:rPr>
            </w:pPr>
          </w:p>
          <w:p w:rsidR="00EC4780" w:rsidRDefault="00EC4780" w:rsidP="000757CB">
            <w:pPr>
              <w:pStyle w:val="CommentText"/>
              <w:rPr>
                <w:b/>
                <w:sz w:val="24"/>
                <w:szCs w:val="24"/>
              </w:rPr>
            </w:pPr>
          </w:p>
          <w:p w:rsidR="00EC4780" w:rsidRDefault="00EC4780" w:rsidP="000757CB">
            <w:pPr>
              <w:pStyle w:val="CommentText"/>
              <w:rPr>
                <w:b/>
                <w:sz w:val="24"/>
                <w:szCs w:val="24"/>
              </w:rPr>
            </w:pPr>
          </w:p>
          <w:p w:rsidR="00EC4780" w:rsidRDefault="00EC4780" w:rsidP="000757CB">
            <w:pPr>
              <w:pStyle w:val="CommentText"/>
              <w:rPr>
                <w:b/>
                <w:sz w:val="24"/>
                <w:szCs w:val="24"/>
              </w:rPr>
            </w:pPr>
          </w:p>
          <w:p w:rsidR="00EC4780" w:rsidRPr="00783EFF" w:rsidRDefault="00EC4780" w:rsidP="000757CB">
            <w:pPr>
              <w:pStyle w:val="CommentText"/>
              <w:rPr>
                <w:b/>
                <w:sz w:val="24"/>
                <w:szCs w:val="24"/>
              </w:rPr>
            </w:pPr>
            <w:r w:rsidRPr="00C306BF">
              <w:rPr>
                <w:b/>
                <w:sz w:val="24"/>
                <w:szCs w:val="24"/>
              </w:rPr>
              <w:t>Soutien de revenu</w:t>
            </w:r>
            <w:r w:rsidRPr="00C306BF">
              <w:rPr>
                <w:b/>
                <w:i/>
                <w:sz w:val="24"/>
                <w:szCs w:val="24"/>
              </w:rPr>
              <w:t xml:space="preserve"> –</w:t>
            </w:r>
            <w:r>
              <w:rPr>
                <w:b/>
                <w:sz w:val="24"/>
                <w:szCs w:val="24"/>
              </w:rPr>
              <w:t xml:space="preserve"> </w:t>
            </w:r>
            <w:r w:rsidRPr="00FC69AE">
              <w:rPr>
                <w:i/>
                <w:sz w:val="24"/>
                <w:szCs w:val="24"/>
              </w:rPr>
              <w:t>paragraphes 84 et 85</w:t>
            </w:r>
          </w:p>
        </w:tc>
        <w:tc>
          <w:tcPr>
            <w:tcW w:w="10495" w:type="dxa"/>
          </w:tcPr>
          <w:p w:rsidR="00783EFF" w:rsidRDefault="00EC4780" w:rsidP="00EC4780">
            <w:pPr>
              <w:jc w:val="both"/>
              <w:rPr>
                <w:rFonts w:cstheme="minorHAnsi"/>
                <w:sz w:val="24"/>
                <w:szCs w:val="24"/>
              </w:rPr>
            </w:pPr>
            <w:r w:rsidRPr="00EC4780">
              <w:rPr>
                <w:rFonts w:cstheme="minorHAnsi"/>
                <w:b/>
                <w:sz w:val="24"/>
                <w:szCs w:val="24"/>
              </w:rPr>
              <w:t>Le droit d’entretenir des relations et un réseau ne relève pas de la compétence des Etats parties</w:t>
            </w:r>
            <w:r w:rsidRPr="00D96F60">
              <w:rPr>
                <w:rFonts w:cstheme="minorHAnsi"/>
                <w:sz w:val="24"/>
                <w:szCs w:val="24"/>
              </w:rPr>
              <w:t xml:space="preserve"> dans le respect de la vie privé</w:t>
            </w:r>
            <w:r w:rsidR="00F86F1F">
              <w:rPr>
                <w:rFonts w:cstheme="minorHAnsi"/>
                <w:sz w:val="24"/>
                <w:szCs w:val="24"/>
              </w:rPr>
              <w:t>, l</w:t>
            </w:r>
            <w:r w:rsidR="001C6D95">
              <w:rPr>
                <w:rFonts w:cstheme="minorHAnsi"/>
                <w:sz w:val="24"/>
                <w:szCs w:val="24"/>
              </w:rPr>
              <w:t xml:space="preserve">eur rôle est de </w:t>
            </w:r>
            <w:r w:rsidRPr="00D96F60">
              <w:rPr>
                <w:rFonts w:cstheme="minorHAnsi"/>
                <w:sz w:val="24"/>
                <w:szCs w:val="24"/>
              </w:rPr>
              <w:t xml:space="preserve">veiller à l’organisation de l’aide à la prise de décision dans le respect </w:t>
            </w:r>
            <w:r w:rsidR="001C6D95">
              <w:rPr>
                <w:rFonts w:cstheme="minorHAnsi"/>
                <w:sz w:val="24"/>
                <w:szCs w:val="24"/>
              </w:rPr>
              <w:t>des</w:t>
            </w:r>
            <w:r w:rsidRPr="00D96F60">
              <w:rPr>
                <w:rFonts w:cstheme="minorHAnsi"/>
                <w:sz w:val="24"/>
                <w:szCs w:val="24"/>
              </w:rPr>
              <w:t xml:space="preserve"> choix et </w:t>
            </w:r>
            <w:r w:rsidR="001C6D95">
              <w:rPr>
                <w:rFonts w:cstheme="minorHAnsi"/>
                <w:sz w:val="24"/>
                <w:szCs w:val="24"/>
              </w:rPr>
              <w:t>des</w:t>
            </w:r>
            <w:r w:rsidRPr="00D96F60">
              <w:rPr>
                <w:rFonts w:cstheme="minorHAnsi"/>
                <w:sz w:val="24"/>
                <w:szCs w:val="24"/>
              </w:rPr>
              <w:t xml:space="preserve"> préférences afin de garantir une participation pleine et entière de la personne handicapée.</w:t>
            </w:r>
          </w:p>
          <w:p w:rsidR="00EC4780" w:rsidRDefault="00EC4780" w:rsidP="00EC4780">
            <w:pPr>
              <w:jc w:val="both"/>
              <w:rPr>
                <w:rFonts w:cstheme="minorHAnsi"/>
                <w:sz w:val="24"/>
                <w:szCs w:val="24"/>
              </w:rPr>
            </w:pPr>
          </w:p>
          <w:p w:rsidR="00EC4780" w:rsidRDefault="00EC4780" w:rsidP="00EC4780">
            <w:pPr>
              <w:jc w:val="both"/>
              <w:rPr>
                <w:rFonts w:cstheme="minorHAnsi"/>
                <w:sz w:val="24"/>
                <w:szCs w:val="24"/>
              </w:rPr>
            </w:pPr>
            <w:r w:rsidRPr="00EC4780">
              <w:rPr>
                <w:rFonts w:cstheme="minorHAnsi"/>
                <w:b/>
                <w:sz w:val="24"/>
                <w:szCs w:val="24"/>
              </w:rPr>
              <w:t>Dans l’article 67, les professionnels ne sont pas cités</w:t>
            </w:r>
            <w:r>
              <w:rPr>
                <w:rFonts w:cstheme="minorHAnsi"/>
                <w:sz w:val="24"/>
                <w:szCs w:val="24"/>
              </w:rPr>
              <w:t>. Souligner également le soutien par les pairs.</w:t>
            </w:r>
          </w:p>
          <w:p w:rsidR="00EC4780" w:rsidRDefault="00EC4780" w:rsidP="00EC4780">
            <w:pPr>
              <w:jc w:val="both"/>
              <w:rPr>
                <w:rFonts w:cstheme="minorHAnsi"/>
                <w:sz w:val="24"/>
                <w:szCs w:val="24"/>
              </w:rPr>
            </w:pPr>
          </w:p>
          <w:p w:rsidR="00EC4780" w:rsidRDefault="00EC4780" w:rsidP="00EC4780">
            <w:pPr>
              <w:jc w:val="both"/>
              <w:rPr>
                <w:rFonts w:cstheme="minorHAnsi"/>
                <w:sz w:val="24"/>
                <w:szCs w:val="24"/>
              </w:rPr>
            </w:pPr>
            <w:r>
              <w:rPr>
                <w:rFonts w:cstheme="minorHAnsi"/>
                <w:sz w:val="24"/>
                <w:szCs w:val="24"/>
              </w:rPr>
              <w:t xml:space="preserve">Dans l’article 69, un point de vigilance majeure : </w:t>
            </w:r>
            <w:r w:rsidRPr="00EC4780">
              <w:rPr>
                <w:rFonts w:cstheme="minorHAnsi"/>
                <w:b/>
                <w:sz w:val="24"/>
                <w:szCs w:val="24"/>
              </w:rPr>
              <w:t>la solidarité familiale ne doit en aucun cas pallier aux manques de la solidarité nationale</w:t>
            </w:r>
            <w:r w:rsidRPr="00D96F60">
              <w:rPr>
                <w:rFonts w:cstheme="minorHAnsi"/>
                <w:sz w:val="24"/>
                <w:szCs w:val="24"/>
              </w:rPr>
              <w:t xml:space="preserve"> et des obligations des </w:t>
            </w:r>
            <w:r>
              <w:rPr>
                <w:rFonts w:cstheme="minorHAnsi"/>
                <w:sz w:val="24"/>
                <w:szCs w:val="24"/>
              </w:rPr>
              <w:t>E</w:t>
            </w:r>
            <w:r w:rsidRPr="00D96F60">
              <w:rPr>
                <w:rFonts w:cstheme="minorHAnsi"/>
                <w:sz w:val="24"/>
                <w:szCs w:val="24"/>
              </w:rPr>
              <w:t>tats parties de permettre à chacun de ces concitoyens de vivre à égalité</w:t>
            </w:r>
            <w:r>
              <w:rPr>
                <w:rStyle w:val="FootnoteReference"/>
                <w:rFonts w:cstheme="minorHAnsi"/>
                <w:sz w:val="24"/>
                <w:szCs w:val="24"/>
              </w:rPr>
              <w:footnoteReference w:id="6"/>
            </w:r>
            <w:r w:rsidRPr="00D96F60">
              <w:rPr>
                <w:rFonts w:cstheme="minorHAnsi"/>
                <w:sz w:val="24"/>
                <w:szCs w:val="24"/>
              </w:rPr>
              <w:t xml:space="preserve"> </w:t>
            </w:r>
            <w:r>
              <w:rPr>
                <w:rFonts w:cstheme="minorHAnsi"/>
                <w:sz w:val="24"/>
                <w:szCs w:val="24"/>
              </w:rPr>
              <w:t>.</w:t>
            </w:r>
          </w:p>
          <w:p w:rsidR="00EC4780" w:rsidRDefault="00EC4780" w:rsidP="00EC4780">
            <w:pPr>
              <w:jc w:val="both"/>
              <w:rPr>
                <w:rFonts w:cstheme="minorHAnsi"/>
                <w:sz w:val="24"/>
                <w:szCs w:val="24"/>
              </w:rPr>
            </w:pPr>
          </w:p>
          <w:p w:rsidR="00EC4780" w:rsidRPr="00EC4780" w:rsidRDefault="00FC69AE" w:rsidP="005E6972">
            <w:pPr>
              <w:jc w:val="both"/>
              <w:rPr>
                <w:rFonts w:cstheme="minorHAnsi"/>
                <w:sz w:val="24"/>
                <w:szCs w:val="24"/>
              </w:rPr>
            </w:pPr>
            <w:r w:rsidRPr="00D96F60">
              <w:rPr>
                <w:rFonts w:cstheme="minorHAnsi"/>
                <w:sz w:val="24"/>
                <w:szCs w:val="24"/>
              </w:rPr>
              <w:t xml:space="preserve">Articles 84, 85 et suite : </w:t>
            </w:r>
            <w:r w:rsidRPr="00FC69AE">
              <w:rPr>
                <w:rFonts w:cstheme="minorHAnsi"/>
                <w:b/>
                <w:sz w:val="24"/>
                <w:szCs w:val="24"/>
              </w:rPr>
              <w:t xml:space="preserve">Bien distinguer  revenu de remplacement </w:t>
            </w:r>
            <w:r w:rsidR="008C260B">
              <w:rPr>
                <w:rFonts w:cstheme="minorHAnsi"/>
                <w:b/>
                <w:sz w:val="24"/>
                <w:szCs w:val="24"/>
              </w:rPr>
              <w:t>et</w:t>
            </w:r>
            <w:r w:rsidRPr="00FC69AE">
              <w:rPr>
                <w:rFonts w:cstheme="minorHAnsi"/>
                <w:b/>
                <w:sz w:val="24"/>
                <w:szCs w:val="24"/>
              </w:rPr>
              <w:t xml:space="preserve"> compensation des conséquences du handicap</w:t>
            </w:r>
            <w:r w:rsidRPr="00D96F60">
              <w:rPr>
                <w:rFonts w:cstheme="minorHAnsi"/>
                <w:sz w:val="24"/>
                <w:szCs w:val="24"/>
              </w:rPr>
              <w:t xml:space="preserve"> (aides techniques, humaines , animalières etc.</w:t>
            </w:r>
            <w:r w:rsidR="00F86F1F">
              <w:rPr>
                <w:rFonts w:cstheme="minorHAnsi"/>
                <w:sz w:val="24"/>
                <w:szCs w:val="24"/>
              </w:rPr>
              <w:t>)</w:t>
            </w:r>
            <w:r w:rsidRPr="00D96F60">
              <w:rPr>
                <w:rFonts w:cstheme="minorHAnsi"/>
                <w:sz w:val="24"/>
                <w:szCs w:val="24"/>
              </w:rPr>
              <w:t xml:space="preserve"> au sens d’ailleurs de ce que dit la CIDPH qui les </w:t>
            </w:r>
            <w:r w:rsidR="005E6972" w:rsidRPr="00D96F60">
              <w:rPr>
                <w:rFonts w:cstheme="minorHAnsi"/>
                <w:sz w:val="24"/>
                <w:szCs w:val="24"/>
              </w:rPr>
              <w:t>distingue</w:t>
            </w:r>
            <w:r w:rsidRPr="00D96F60">
              <w:rPr>
                <w:rFonts w:cstheme="minorHAnsi"/>
                <w:sz w:val="24"/>
                <w:szCs w:val="24"/>
              </w:rPr>
              <w:t xml:space="preserve"> bien.</w:t>
            </w:r>
            <w:r w:rsidR="001C6D95">
              <w:rPr>
                <w:rFonts w:cstheme="minorHAnsi"/>
                <w:sz w:val="24"/>
                <w:szCs w:val="24"/>
              </w:rPr>
              <w:t xml:space="preserve"> </w:t>
            </w:r>
            <w:r w:rsidRPr="00D96F60">
              <w:rPr>
                <w:rFonts w:cstheme="minorHAnsi"/>
                <w:sz w:val="24"/>
                <w:szCs w:val="24"/>
              </w:rPr>
              <w:t>C’est clair dans l’article 85, pas dans le 84 qui rajoute une confusion en évoquant la réparation des dommages causés par l’institutionnalisation qui fait référence à la réparation d’un préjudice moral au titre de l’institutionnalisation ce qui relèverait d’une action judicaire et dépasse le cadre de la transition inclusive</w:t>
            </w:r>
            <w:r>
              <w:rPr>
                <w:rFonts w:cstheme="minorHAnsi"/>
                <w:sz w:val="24"/>
                <w:szCs w:val="24"/>
              </w:rPr>
              <w:t>.</w:t>
            </w:r>
          </w:p>
        </w:tc>
      </w:tr>
    </w:tbl>
    <w:p w:rsidR="0089023C" w:rsidRPr="00C01170" w:rsidRDefault="0089023C" w:rsidP="00C306BF">
      <w:pPr>
        <w:rPr>
          <w:rFonts w:cstheme="minorHAnsi"/>
          <w:sz w:val="24"/>
          <w:szCs w:val="24"/>
        </w:rPr>
      </w:pPr>
    </w:p>
    <w:sectPr w:rsidR="0089023C" w:rsidRPr="00C01170" w:rsidSect="00C306BF">
      <w:pgSz w:w="16838" w:h="11906" w:orient="landscape"/>
      <w:pgMar w:top="709"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C6" w:rsidRDefault="00A42BC6" w:rsidP="00CA308F">
      <w:pPr>
        <w:spacing w:after="0" w:line="240" w:lineRule="auto"/>
      </w:pPr>
      <w:r>
        <w:separator/>
      </w:r>
    </w:p>
  </w:endnote>
  <w:endnote w:type="continuationSeparator" w:id="0">
    <w:p w:rsidR="00A42BC6" w:rsidRDefault="00A42BC6" w:rsidP="00CA3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C6" w:rsidRDefault="00A42BC6" w:rsidP="00CA308F">
      <w:pPr>
        <w:spacing w:after="0" w:line="240" w:lineRule="auto"/>
      </w:pPr>
      <w:r>
        <w:separator/>
      </w:r>
    </w:p>
  </w:footnote>
  <w:footnote w:type="continuationSeparator" w:id="0">
    <w:p w:rsidR="00A42BC6" w:rsidRDefault="00A42BC6" w:rsidP="00CA308F">
      <w:pPr>
        <w:spacing w:after="0" w:line="240" w:lineRule="auto"/>
      </w:pPr>
      <w:r>
        <w:continuationSeparator/>
      </w:r>
    </w:p>
  </w:footnote>
  <w:footnote w:id="1">
    <w:p w:rsidR="00C306BF" w:rsidRDefault="00C306BF">
      <w:pPr>
        <w:pStyle w:val="FootnoteText"/>
      </w:pPr>
      <w:r>
        <w:rPr>
          <w:rStyle w:val="FootnoteReference"/>
        </w:rPr>
        <w:footnoteRef/>
      </w:r>
      <w:r>
        <w:t xml:space="preserve"> </w:t>
      </w:r>
      <w:hyperlink r:id="rId1" w:history="1">
        <w:r w:rsidRPr="001F703B">
          <w:rPr>
            <w:rStyle w:val="Hyperlink"/>
          </w:rPr>
          <w:t>https://www.apf-francehandicap.org/</w:t>
        </w:r>
      </w:hyperlink>
      <w:r>
        <w:t xml:space="preserve"> </w:t>
      </w:r>
    </w:p>
  </w:footnote>
  <w:footnote w:id="2">
    <w:p w:rsidR="0020048F" w:rsidRDefault="0020048F">
      <w:pPr>
        <w:pStyle w:val="FootnoteText"/>
      </w:pPr>
      <w:r>
        <w:rPr>
          <w:rStyle w:val="FootnoteReference"/>
        </w:rPr>
        <w:footnoteRef/>
      </w:r>
      <w:r>
        <w:t xml:space="preserve"> Feuille de route de la transition inclusive de l’offre de service APF France handicap : </w:t>
      </w:r>
    </w:p>
    <w:p w:rsidR="0020048F" w:rsidRDefault="00926A02">
      <w:pPr>
        <w:pStyle w:val="FootnoteText"/>
      </w:pPr>
      <w:hyperlink r:id="rId2" w:history="1">
        <w:r w:rsidR="0020048F" w:rsidRPr="00356AC3">
          <w:rPr>
            <w:rStyle w:val="Hyperlink"/>
          </w:rPr>
          <w:t>https://www.apf-francehandicap.org/sites/default/files/feuille_de_route_de_la_transition_inclusive.pdf</w:t>
        </w:r>
      </w:hyperlink>
      <w:r w:rsidR="0020048F">
        <w:t xml:space="preserve"> </w:t>
      </w:r>
    </w:p>
  </w:footnote>
  <w:footnote w:id="3">
    <w:p w:rsidR="000B425F" w:rsidRDefault="000B425F">
      <w:pPr>
        <w:pStyle w:val="FootnoteText"/>
      </w:pPr>
      <w:r w:rsidRPr="005E6972">
        <w:rPr>
          <w:rStyle w:val="FootnoteReference"/>
        </w:rPr>
        <w:footnoteRef/>
      </w:r>
      <w:r w:rsidRPr="005E6972">
        <w:t xml:space="preserve"> Extrait Livret Capdroits</w:t>
      </w:r>
      <w:r w:rsidR="005E6972" w:rsidRPr="005E6972">
        <w:t> : https://confcap-capdroits.org/</w:t>
      </w:r>
    </w:p>
  </w:footnote>
  <w:footnote w:id="4">
    <w:p w:rsidR="000D2DEB" w:rsidRPr="005E6972" w:rsidRDefault="000D2DEB" w:rsidP="000D2DEB">
      <w:pPr>
        <w:pStyle w:val="FootnoteText"/>
        <w:rPr>
          <w:sz w:val="14"/>
        </w:rPr>
      </w:pPr>
      <w:r w:rsidRPr="005E6972">
        <w:rPr>
          <w:rStyle w:val="FootnoteReference"/>
          <w:sz w:val="14"/>
        </w:rPr>
        <w:footnoteRef/>
      </w:r>
      <w:r w:rsidRPr="005E6972">
        <w:rPr>
          <w:sz w:val="14"/>
        </w:rPr>
        <w:t xml:space="preserve"> </w:t>
      </w:r>
      <w:r w:rsidRPr="005E6972">
        <w:rPr>
          <w:i/>
          <w:sz w:val="18"/>
          <w:szCs w:val="24"/>
        </w:rPr>
        <w:t>Charte de l’aidant familial de la COFACE</w:t>
      </w:r>
    </w:p>
  </w:footnote>
  <w:footnote w:id="5">
    <w:p w:rsidR="00783EFF" w:rsidRDefault="00783EFF">
      <w:pPr>
        <w:pStyle w:val="FootnoteText"/>
      </w:pPr>
      <w:r>
        <w:rPr>
          <w:rStyle w:val="FootnoteReference"/>
        </w:rPr>
        <w:footnoteRef/>
      </w:r>
      <w:r>
        <w:t xml:space="preserve"> </w:t>
      </w:r>
      <w:hyperlink r:id="rId3" w:history="1">
        <w:r w:rsidRPr="001F703B">
          <w:rPr>
            <w:rStyle w:val="Hyperlink"/>
          </w:rPr>
          <w:t>https://eur-lex.europa.eu/legal-content/FR/ALL/?uri=CELEX%3A62006CJ0303</w:t>
        </w:r>
      </w:hyperlink>
      <w:r>
        <w:t xml:space="preserve"> </w:t>
      </w:r>
    </w:p>
  </w:footnote>
  <w:footnote w:id="6">
    <w:p w:rsidR="00EC4780" w:rsidRDefault="00EC4780" w:rsidP="00EC4780">
      <w:pPr>
        <w:pStyle w:val="FootnoteText"/>
      </w:pPr>
      <w:r>
        <w:rPr>
          <w:rStyle w:val="FootnoteReference"/>
        </w:rPr>
        <w:footnoteRef/>
      </w:r>
      <w:r>
        <w:t xml:space="preserve"> Charte de</w:t>
      </w:r>
      <w:r w:rsidR="000D2DEB">
        <w:t xml:space="preserve"> l’</w:t>
      </w:r>
      <w:r>
        <w:t>aidant familia</w:t>
      </w:r>
      <w:r w:rsidR="008C260B">
        <w:t>l (</w:t>
      </w:r>
      <w:r>
        <w:t>COFACE</w:t>
      </w:r>
      <w:r w:rsidR="008C260B">
        <w:t>)</w:t>
      </w:r>
      <w:r>
        <w:t> : « Le choix par la personne en situation de handicap et / ou de dépendance d’un aidant non professionnel et la solidarité intrafamiliale n’exonèrent en aucun cas les autorités publiques nationales et locales de leur obligation de solidarité à l’égard de la personne aidée et de l’aidant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C50EA"/>
    <w:multiLevelType w:val="hybridMultilevel"/>
    <w:tmpl w:val="5456D9A4"/>
    <w:lvl w:ilvl="0" w:tplc="4D3A0E98">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83758FA"/>
    <w:multiLevelType w:val="hybridMultilevel"/>
    <w:tmpl w:val="6A523FB0"/>
    <w:lvl w:ilvl="0" w:tplc="F4D2AEF4">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942C95"/>
    <w:multiLevelType w:val="hybridMultilevel"/>
    <w:tmpl w:val="BA2CBC9A"/>
    <w:lvl w:ilvl="0" w:tplc="69B60B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122F2E"/>
    <w:multiLevelType w:val="hybridMultilevel"/>
    <w:tmpl w:val="A77823A0"/>
    <w:lvl w:ilvl="0" w:tplc="DB446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B70C1E"/>
    <w:multiLevelType w:val="hybridMultilevel"/>
    <w:tmpl w:val="31E218D2"/>
    <w:lvl w:ilvl="0" w:tplc="DB446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D1486"/>
    <w:multiLevelType w:val="hybridMultilevel"/>
    <w:tmpl w:val="22489760"/>
    <w:lvl w:ilvl="0" w:tplc="6696FA04">
      <w:start w:val="66"/>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0925EC"/>
    <w:multiLevelType w:val="hybridMultilevel"/>
    <w:tmpl w:val="0F360810"/>
    <w:lvl w:ilvl="0" w:tplc="DB446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FD227F"/>
    <w:multiLevelType w:val="hybridMultilevel"/>
    <w:tmpl w:val="9514A9AA"/>
    <w:lvl w:ilvl="0" w:tplc="5C6E7C7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D0562B"/>
    <w:multiLevelType w:val="hybridMultilevel"/>
    <w:tmpl w:val="D48A5EBA"/>
    <w:lvl w:ilvl="0" w:tplc="8CF646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350590"/>
    <w:multiLevelType w:val="hybridMultilevel"/>
    <w:tmpl w:val="2E887C98"/>
    <w:lvl w:ilvl="0" w:tplc="966AFB2A">
      <w:start w:val="3"/>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57805CE"/>
    <w:multiLevelType w:val="hybridMultilevel"/>
    <w:tmpl w:val="B8DC625E"/>
    <w:lvl w:ilvl="0" w:tplc="6C4C3B8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997A82"/>
    <w:multiLevelType w:val="hybridMultilevel"/>
    <w:tmpl w:val="33B281E8"/>
    <w:lvl w:ilvl="0" w:tplc="9788C76C">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F056CD"/>
    <w:multiLevelType w:val="hybridMultilevel"/>
    <w:tmpl w:val="2D265F24"/>
    <w:lvl w:ilvl="0" w:tplc="0D5CBE62">
      <w:start w:val="1"/>
      <w:numFmt w:val="upperRoman"/>
      <w:lvlText w:val="%1."/>
      <w:lvlJc w:val="left"/>
      <w:pPr>
        <w:ind w:left="1080" w:hanging="72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B60D0"/>
    <w:multiLevelType w:val="multilevel"/>
    <w:tmpl w:val="E2A46A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795754"/>
    <w:multiLevelType w:val="hybridMultilevel"/>
    <w:tmpl w:val="E4E85DD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1941825"/>
    <w:multiLevelType w:val="hybridMultilevel"/>
    <w:tmpl w:val="1814084A"/>
    <w:lvl w:ilvl="0" w:tplc="0BE4804A">
      <w:start w:val="6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rPr>
        <w:rFonts w:hint="default"/>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7236CB"/>
    <w:multiLevelType w:val="hybridMultilevel"/>
    <w:tmpl w:val="CF6AB7CE"/>
    <w:lvl w:ilvl="0" w:tplc="5B16E3A4">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2A08A9"/>
    <w:multiLevelType w:val="hybridMultilevel"/>
    <w:tmpl w:val="85B63140"/>
    <w:lvl w:ilvl="0" w:tplc="EB38793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7AA6641"/>
    <w:multiLevelType w:val="hybridMultilevel"/>
    <w:tmpl w:val="1AE4F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8F501C6"/>
    <w:multiLevelType w:val="hybridMultilevel"/>
    <w:tmpl w:val="3280A7F6"/>
    <w:lvl w:ilvl="0" w:tplc="4484E4F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842FE0"/>
    <w:multiLevelType w:val="hybridMultilevel"/>
    <w:tmpl w:val="31E218D2"/>
    <w:lvl w:ilvl="0" w:tplc="DB4468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6850D7"/>
    <w:multiLevelType w:val="hybridMultilevel"/>
    <w:tmpl w:val="B8DC625E"/>
    <w:lvl w:ilvl="0" w:tplc="6C4C3B8C">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B0206CE"/>
    <w:multiLevelType w:val="hybridMultilevel"/>
    <w:tmpl w:val="7F789ACC"/>
    <w:lvl w:ilvl="0" w:tplc="8682C47C">
      <w:start w:val="66"/>
      <w:numFmt w:val="bullet"/>
      <w:lvlText w:val=""/>
      <w:lvlJc w:val="left"/>
      <w:pPr>
        <w:ind w:left="720" w:hanging="360"/>
      </w:pPr>
      <w:rPr>
        <w:rFonts w:ascii="Wingdings" w:eastAsiaTheme="minorHAnsi" w:hAnsi="Wingdings" w:cstheme="minorBidi"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E4E38EB"/>
    <w:multiLevelType w:val="hybridMultilevel"/>
    <w:tmpl w:val="B9801068"/>
    <w:lvl w:ilvl="0" w:tplc="AA16A33C">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9"/>
  </w:num>
  <w:num w:numId="4">
    <w:abstractNumId w:val="18"/>
  </w:num>
  <w:num w:numId="5">
    <w:abstractNumId w:val="1"/>
  </w:num>
  <w:num w:numId="6">
    <w:abstractNumId w:val="17"/>
  </w:num>
  <w:num w:numId="7">
    <w:abstractNumId w:val="11"/>
  </w:num>
  <w:num w:numId="8">
    <w:abstractNumId w:val="0"/>
  </w:num>
  <w:num w:numId="9">
    <w:abstractNumId w:val="24"/>
  </w:num>
  <w:num w:numId="10">
    <w:abstractNumId w:val="13"/>
  </w:num>
  <w:num w:numId="11">
    <w:abstractNumId w:val="7"/>
  </w:num>
  <w:num w:numId="12">
    <w:abstractNumId w:val="20"/>
  </w:num>
  <w:num w:numId="13">
    <w:abstractNumId w:val="22"/>
  </w:num>
  <w:num w:numId="14">
    <w:abstractNumId w:val="10"/>
  </w:num>
  <w:num w:numId="15">
    <w:abstractNumId w:val="23"/>
  </w:num>
  <w:num w:numId="16">
    <w:abstractNumId w:val="5"/>
  </w:num>
  <w:num w:numId="17">
    <w:abstractNumId w:val="15"/>
  </w:num>
  <w:num w:numId="18">
    <w:abstractNumId w:val="19"/>
  </w:num>
  <w:num w:numId="19">
    <w:abstractNumId w:val="16"/>
  </w:num>
  <w:num w:numId="20">
    <w:abstractNumId w:val="16"/>
  </w:num>
  <w:num w:numId="21">
    <w:abstractNumId w:val="16"/>
  </w:num>
  <w:num w:numId="22">
    <w:abstractNumId w:val="12"/>
  </w:num>
  <w:num w:numId="23">
    <w:abstractNumId w:val="8"/>
  </w:num>
  <w:num w:numId="24">
    <w:abstractNumId w:val="6"/>
  </w:num>
  <w:num w:numId="25">
    <w:abstractNumId w:val="3"/>
  </w:num>
  <w:num w:numId="26">
    <w:abstractNumId w:val="4"/>
  </w:num>
  <w:num w:numId="27">
    <w:abstractNumId w:val="16"/>
  </w:num>
  <w:num w:numId="28">
    <w:abstractNumId w:val="21"/>
  </w:num>
  <w:num w:numId="29">
    <w:abstractNumId w:val="14"/>
  </w:num>
  <w:num w:numId="30">
    <w:abstractNumId w:val="1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C"/>
    <w:rsid w:val="00007A09"/>
    <w:rsid w:val="000472DE"/>
    <w:rsid w:val="000757CB"/>
    <w:rsid w:val="000B425F"/>
    <w:rsid w:val="000D2DEB"/>
    <w:rsid w:val="001A7E5F"/>
    <w:rsid w:val="001B0E39"/>
    <w:rsid w:val="001C6D95"/>
    <w:rsid w:val="001E1FD0"/>
    <w:rsid w:val="0020048F"/>
    <w:rsid w:val="0020219E"/>
    <w:rsid w:val="002044EA"/>
    <w:rsid w:val="00254CA4"/>
    <w:rsid w:val="00260EA5"/>
    <w:rsid w:val="00275FD2"/>
    <w:rsid w:val="00292532"/>
    <w:rsid w:val="003252E4"/>
    <w:rsid w:val="00377E61"/>
    <w:rsid w:val="003826CE"/>
    <w:rsid w:val="003B4110"/>
    <w:rsid w:val="004736C0"/>
    <w:rsid w:val="004B576D"/>
    <w:rsid w:val="004C62F9"/>
    <w:rsid w:val="004F7657"/>
    <w:rsid w:val="0050289D"/>
    <w:rsid w:val="00516D21"/>
    <w:rsid w:val="00544628"/>
    <w:rsid w:val="00563BAF"/>
    <w:rsid w:val="00565C50"/>
    <w:rsid w:val="005E15E6"/>
    <w:rsid w:val="005E6972"/>
    <w:rsid w:val="006E35AD"/>
    <w:rsid w:val="00724085"/>
    <w:rsid w:val="00727531"/>
    <w:rsid w:val="00772584"/>
    <w:rsid w:val="00782DEF"/>
    <w:rsid w:val="00783EFF"/>
    <w:rsid w:val="0089023C"/>
    <w:rsid w:val="008917F2"/>
    <w:rsid w:val="00897DD1"/>
    <w:rsid w:val="008C260B"/>
    <w:rsid w:val="00926A02"/>
    <w:rsid w:val="00946795"/>
    <w:rsid w:val="00974B7C"/>
    <w:rsid w:val="009D6FB1"/>
    <w:rsid w:val="009E00F0"/>
    <w:rsid w:val="009F5B97"/>
    <w:rsid w:val="00A42BC6"/>
    <w:rsid w:val="00A8441C"/>
    <w:rsid w:val="00B14E0A"/>
    <w:rsid w:val="00B61675"/>
    <w:rsid w:val="00B62FD3"/>
    <w:rsid w:val="00BA5FBB"/>
    <w:rsid w:val="00BB72D1"/>
    <w:rsid w:val="00C01170"/>
    <w:rsid w:val="00C0612D"/>
    <w:rsid w:val="00C306BF"/>
    <w:rsid w:val="00C4767E"/>
    <w:rsid w:val="00CA308F"/>
    <w:rsid w:val="00CE2980"/>
    <w:rsid w:val="00CF4D0A"/>
    <w:rsid w:val="00D33DD5"/>
    <w:rsid w:val="00D94E19"/>
    <w:rsid w:val="00D96F60"/>
    <w:rsid w:val="00DE5068"/>
    <w:rsid w:val="00E22BE5"/>
    <w:rsid w:val="00E3580F"/>
    <w:rsid w:val="00E6195C"/>
    <w:rsid w:val="00E6387B"/>
    <w:rsid w:val="00E93F37"/>
    <w:rsid w:val="00EA25F0"/>
    <w:rsid w:val="00EA2EF3"/>
    <w:rsid w:val="00EC4780"/>
    <w:rsid w:val="00F4165C"/>
    <w:rsid w:val="00F86F1F"/>
    <w:rsid w:val="00FB0E16"/>
    <w:rsid w:val="00FC50E8"/>
    <w:rsid w:val="00FC69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620C3-9788-4BBF-B11D-11AF7CB1D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387B"/>
    <w:pPr>
      <w:ind w:left="720"/>
      <w:outlineLvl w:val="1"/>
    </w:pPr>
    <w:rPr>
      <w:b/>
      <w:bCs/>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CA308F"/>
    <w:pPr>
      <w:numPr>
        <w:numId w:val="1"/>
      </w:numPr>
      <w:jc w:val="both"/>
    </w:pPr>
    <w:rPr>
      <w:sz w:val="20"/>
      <w:szCs w:val="20"/>
      <w:lang w:val="en-GB"/>
    </w:rPr>
  </w:style>
  <w:style w:type="character" w:customStyle="1" w:styleId="BodytextChar">
    <w:name w:val="Body text Char"/>
    <w:basedOn w:val="DefaultParagraphFont"/>
    <w:link w:val="BodyText1"/>
    <w:rsid w:val="00CA308F"/>
    <w:rPr>
      <w:sz w:val="20"/>
      <w:szCs w:val="20"/>
      <w:lang w:val="en-GB"/>
    </w:rPr>
  </w:style>
  <w:style w:type="character" w:styleId="FootnoteReference">
    <w:name w:val="footnote reference"/>
    <w:aliases w:val="4_G"/>
    <w:basedOn w:val="DefaultParagraphFont"/>
    <w:uiPriority w:val="99"/>
    <w:unhideWhenUsed/>
    <w:rsid w:val="00CA308F"/>
    <w:rPr>
      <w:vertAlign w:val="superscript"/>
    </w:rPr>
  </w:style>
  <w:style w:type="paragraph" w:styleId="ListParagraph">
    <w:name w:val="List Paragraph"/>
    <w:basedOn w:val="Normal"/>
    <w:uiPriority w:val="34"/>
    <w:qFormat/>
    <w:rsid w:val="00CA308F"/>
    <w:pPr>
      <w:ind w:left="720"/>
      <w:contextualSpacing/>
    </w:pPr>
  </w:style>
  <w:style w:type="character" w:styleId="Hyperlink">
    <w:name w:val="Hyperlink"/>
    <w:basedOn w:val="DefaultParagraphFont"/>
    <w:uiPriority w:val="99"/>
    <w:unhideWhenUsed/>
    <w:rsid w:val="00782DEF"/>
    <w:rPr>
      <w:color w:val="0563C1" w:themeColor="hyperlink"/>
      <w:u w:val="single"/>
    </w:rPr>
  </w:style>
  <w:style w:type="character" w:customStyle="1" w:styleId="Heading2Char">
    <w:name w:val="Heading 2 Char"/>
    <w:basedOn w:val="DefaultParagraphFont"/>
    <w:link w:val="Heading2"/>
    <w:uiPriority w:val="9"/>
    <w:rsid w:val="00E6387B"/>
    <w:rPr>
      <w:b/>
      <w:bCs/>
      <w:lang w:val="fr-CH"/>
    </w:rPr>
  </w:style>
  <w:style w:type="paragraph" w:styleId="CommentText">
    <w:name w:val="annotation text"/>
    <w:basedOn w:val="Normal"/>
    <w:link w:val="CommentTextChar"/>
    <w:uiPriority w:val="99"/>
    <w:unhideWhenUsed/>
    <w:rsid w:val="00275FD2"/>
    <w:pPr>
      <w:spacing w:after="0" w:line="240" w:lineRule="auto"/>
    </w:pPr>
    <w:rPr>
      <w:sz w:val="20"/>
      <w:szCs w:val="20"/>
      <w:lang w:val="fr-CH"/>
    </w:rPr>
  </w:style>
  <w:style w:type="character" w:customStyle="1" w:styleId="CommentTextChar">
    <w:name w:val="Comment Text Char"/>
    <w:basedOn w:val="DefaultParagraphFont"/>
    <w:link w:val="CommentText"/>
    <w:uiPriority w:val="99"/>
    <w:rsid w:val="00275FD2"/>
    <w:rPr>
      <w:sz w:val="20"/>
      <w:szCs w:val="20"/>
      <w:lang w:val="fr-CH"/>
    </w:rPr>
  </w:style>
  <w:style w:type="character" w:styleId="CommentReference">
    <w:name w:val="annotation reference"/>
    <w:basedOn w:val="DefaultParagraphFont"/>
    <w:uiPriority w:val="99"/>
    <w:semiHidden/>
    <w:unhideWhenUsed/>
    <w:rsid w:val="00275FD2"/>
    <w:rPr>
      <w:sz w:val="16"/>
      <w:szCs w:val="16"/>
    </w:rPr>
  </w:style>
  <w:style w:type="paragraph" w:styleId="BalloonText">
    <w:name w:val="Balloon Text"/>
    <w:basedOn w:val="Normal"/>
    <w:link w:val="BalloonTextChar"/>
    <w:uiPriority w:val="99"/>
    <w:semiHidden/>
    <w:unhideWhenUsed/>
    <w:rsid w:val="00275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FD2"/>
    <w:rPr>
      <w:rFonts w:ascii="Segoe UI" w:hAnsi="Segoe UI" w:cs="Segoe UI"/>
      <w:sz w:val="18"/>
      <w:szCs w:val="18"/>
    </w:rPr>
  </w:style>
  <w:style w:type="character" w:customStyle="1" w:styleId="Mentionnonrsolue1">
    <w:name w:val="Mention non résolue1"/>
    <w:basedOn w:val="DefaultParagraphFont"/>
    <w:uiPriority w:val="99"/>
    <w:semiHidden/>
    <w:unhideWhenUsed/>
    <w:rsid w:val="00D96F60"/>
    <w:rPr>
      <w:color w:val="605E5C"/>
      <w:shd w:val="clear" w:color="auto" w:fill="E1DFDD"/>
    </w:rPr>
  </w:style>
  <w:style w:type="paragraph" w:styleId="FootnoteText">
    <w:name w:val="footnote text"/>
    <w:basedOn w:val="Normal"/>
    <w:link w:val="FootnoteTextChar"/>
    <w:uiPriority w:val="99"/>
    <w:semiHidden/>
    <w:unhideWhenUsed/>
    <w:rsid w:val="002004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4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R/ALL/?uri=CELEX%3A62006CJ0303" TargetMode="External"/><Relationship Id="rId2" Type="http://schemas.openxmlformats.org/officeDocument/2006/relationships/hyperlink" Target="https://www.apf-francehandicap.org/sites/default/files/feuille_de_route_de_la_transition_inclusive.pdf" TargetMode="External"/><Relationship Id="rId1" Type="http://schemas.openxmlformats.org/officeDocument/2006/relationships/hyperlink" Target="https://www.apf-francehandicap.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0675-B9CD-4E3C-B0B8-E513CD6D7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10671</Characters>
  <Application>Microsoft Office Word</Application>
  <DocSecurity>4</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APF France handicap</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Eleonore MALI</dc:creator>
  <cp:keywords/>
  <dc:description/>
  <cp:lastModifiedBy>OUKO Robert</cp:lastModifiedBy>
  <cp:revision>2</cp:revision>
  <dcterms:created xsi:type="dcterms:W3CDTF">2022-07-01T07:16:00Z</dcterms:created>
  <dcterms:modified xsi:type="dcterms:W3CDTF">2022-07-01T07:16:00Z</dcterms:modified>
</cp:coreProperties>
</file>