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144" w:rsidRPr="00CC2D7F" w:rsidRDefault="00695144" w:rsidP="00695144">
      <w:pPr>
        <w:jc w:val="center"/>
        <w:rPr>
          <w:b/>
          <w:sz w:val="32"/>
          <w:szCs w:val="32"/>
        </w:rPr>
      </w:pPr>
      <w:r w:rsidRPr="00CC2D7F">
        <w:rPr>
          <w:b/>
          <w:sz w:val="32"/>
          <w:szCs w:val="32"/>
          <w:lang w:val="en-GB" w:bidi="en-GB"/>
        </w:rPr>
        <w:t xml:space="preserve">Submissions on the Draft </w:t>
      </w:r>
      <w:r w:rsidR="00A345B7">
        <w:rPr>
          <w:b/>
          <w:sz w:val="32"/>
          <w:szCs w:val="32"/>
          <w:lang w:val="en-GB" w:bidi="en-GB"/>
        </w:rPr>
        <w:t>Guidelines on </w:t>
      </w:r>
      <w:r w:rsidR="00A345B7" w:rsidRPr="00A345B7">
        <w:rPr>
          <w:b/>
          <w:sz w:val="32"/>
          <w:szCs w:val="32"/>
          <w:lang w:val="en-GB" w:bidi="en-GB"/>
        </w:rPr>
        <w:t>Deinstitutionalization, including in emergencies</w:t>
      </w:r>
      <w:r w:rsidR="00A345B7">
        <w:rPr>
          <w:b/>
          <w:sz w:val="32"/>
          <w:szCs w:val="32"/>
          <w:lang w:val="en-GB" w:bidi="en-GB"/>
        </w:rPr>
        <w:t xml:space="preserve"> </w:t>
      </w:r>
    </w:p>
    <w:p w:rsidR="00A7436D" w:rsidRDefault="00A7436D" w:rsidP="00A7436D"/>
    <w:p w:rsidR="00695144" w:rsidRDefault="00695144" w:rsidP="00695144">
      <w:pPr>
        <w:pStyle w:val="Heading1"/>
        <w:numPr>
          <w:ilvl w:val="0"/>
          <w:numId w:val="30"/>
        </w:numPr>
        <w:spacing w:before="360"/>
        <w:jc w:val="both"/>
      </w:pPr>
      <w:r>
        <w:rPr>
          <w:lang w:val="en-GB" w:bidi="en-GB"/>
        </w:rPr>
        <w:t>Summary</w:t>
      </w:r>
    </w:p>
    <w:p w:rsidR="00695144" w:rsidRDefault="00695144" w:rsidP="00695144">
      <w:pPr>
        <w:pStyle w:val="BodyText"/>
      </w:pPr>
      <w:r>
        <w:rPr>
          <w:lang w:val="en-GB" w:bidi="en-GB"/>
        </w:rPr>
        <w:t xml:space="preserve">The </w:t>
      </w:r>
      <w:r w:rsidR="008C5E75" w:rsidRPr="008C5E75">
        <w:rPr>
          <w:lang w:val="en-GB" w:bidi="en-GB"/>
        </w:rPr>
        <w:t xml:space="preserve">Deputy of the </w:t>
      </w:r>
      <w:bookmarkStart w:id="0" w:name="_GoBack"/>
      <w:r w:rsidR="008C5E75" w:rsidRPr="008C5E75">
        <w:rPr>
          <w:lang w:val="en-GB" w:bidi="en-GB"/>
        </w:rPr>
        <w:t xml:space="preserve">Public Defender of Rights </w:t>
      </w:r>
      <w:r>
        <w:rPr>
          <w:lang w:val="en-GB" w:bidi="en-GB"/>
        </w:rPr>
        <w:t xml:space="preserve">of the Czech Republic </w:t>
      </w:r>
      <w:bookmarkEnd w:id="0"/>
      <w:r>
        <w:rPr>
          <w:lang w:val="en-GB" w:bidi="en-GB"/>
        </w:rPr>
        <w:t>hereby takes the liberty to provide submissions and suggestions for supplementing the Draft</w:t>
      </w:r>
      <w:r w:rsidR="008C5E75">
        <w:rPr>
          <w:lang w:val="en-GB" w:bidi="en-GB"/>
        </w:rPr>
        <w:t xml:space="preserve"> </w:t>
      </w:r>
      <w:r w:rsidR="008C5E75" w:rsidRPr="008C5E75">
        <w:rPr>
          <w:lang w:val="en-GB" w:bidi="en-GB"/>
        </w:rPr>
        <w:t>Guidelines on Deinstitutionalization, including in emergencies</w:t>
      </w:r>
      <w:r>
        <w:rPr>
          <w:lang w:val="en-GB" w:bidi="en-GB"/>
        </w:rPr>
        <w:t xml:space="preserve">, which </w:t>
      </w:r>
      <w:proofErr w:type="gramStart"/>
      <w:r>
        <w:rPr>
          <w:lang w:val="en-GB" w:bidi="en-GB"/>
        </w:rPr>
        <w:t>are based</w:t>
      </w:r>
      <w:proofErr w:type="gramEnd"/>
      <w:r>
        <w:rPr>
          <w:lang w:val="en-GB" w:bidi="en-GB"/>
        </w:rPr>
        <w:t xml:space="preserve"> on her experience in protecti</w:t>
      </w:r>
      <w:r w:rsidR="009B1D34">
        <w:rPr>
          <w:lang w:val="en-GB" w:bidi="en-GB"/>
        </w:rPr>
        <w:t xml:space="preserve">on of persons with disabilities. </w:t>
      </w:r>
    </w:p>
    <w:p w:rsidR="00E31877" w:rsidRPr="00DF5237" w:rsidRDefault="00695144" w:rsidP="00E31877">
      <w:pPr>
        <w:pStyle w:val="BodyText"/>
        <w:rPr>
          <w:b/>
        </w:rPr>
      </w:pPr>
      <w:r>
        <w:rPr>
          <w:lang w:val="en-GB" w:bidi="en-GB"/>
        </w:rPr>
        <w:t xml:space="preserve">According to the </w:t>
      </w:r>
      <w:r w:rsidR="008C5E75" w:rsidRPr="008C5E75">
        <w:rPr>
          <w:lang w:val="en-GB" w:bidi="en-GB"/>
        </w:rPr>
        <w:t>Deputy of the Public</w:t>
      </w:r>
      <w:r w:rsidR="008C5E75">
        <w:rPr>
          <w:lang w:val="en-GB" w:bidi="en-GB"/>
        </w:rPr>
        <w:t xml:space="preserve"> </w:t>
      </w:r>
      <w:r>
        <w:rPr>
          <w:lang w:val="en-GB" w:bidi="en-GB"/>
        </w:rPr>
        <w:t>Defender, the Committee should consider supplementing the wording of the draft in the following aspects:</w:t>
      </w:r>
    </w:p>
    <w:p w:rsidR="001E41F1" w:rsidRDefault="009B7078" w:rsidP="003A0C06">
      <w:pPr>
        <w:pStyle w:val="ListParagraph"/>
        <w:numPr>
          <w:ilvl w:val="0"/>
          <w:numId w:val="34"/>
        </w:numPr>
        <w:spacing w:after="120"/>
        <w:ind w:left="426" w:hanging="357"/>
        <w:contextualSpacing w:val="0"/>
        <w:jc w:val="both"/>
      </w:pPr>
      <w:r>
        <w:t xml:space="preserve">It would be desirable if the introduction to the Guidelines </w:t>
      </w:r>
      <w:proofErr w:type="spellStart"/>
      <w:r>
        <w:t>emphasised</w:t>
      </w:r>
      <w:proofErr w:type="spellEnd"/>
      <w:r>
        <w:t xml:space="preserve"> that states should not only focus on </w:t>
      </w:r>
      <w:proofErr w:type="spellStart"/>
      <w:r w:rsidRPr="003A0C06">
        <w:rPr>
          <w:i/>
        </w:rPr>
        <w:t>deinstitutionalisation</w:t>
      </w:r>
      <w:proofErr w:type="spellEnd"/>
      <w:r>
        <w:t xml:space="preserve"> (the return of people from institutions to life in the community) but also on the </w:t>
      </w:r>
      <w:r w:rsidRPr="004B4FBD">
        <w:t>prevention</w:t>
      </w:r>
      <w:r w:rsidR="004B4FBD" w:rsidRPr="004B4FBD">
        <w:t xml:space="preserve"> of </w:t>
      </w:r>
      <w:proofErr w:type="spellStart"/>
      <w:r w:rsidRPr="004B4FBD">
        <w:t>institutionalisation</w:t>
      </w:r>
      <w:proofErr w:type="spellEnd"/>
      <w:r>
        <w:t xml:space="preserve"> (the </w:t>
      </w:r>
      <w:proofErr w:type="gramStart"/>
      <w:r>
        <w:t>transition</w:t>
      </w:r>
      <w:proofErr w:type="gramEnd"/>
      <w:r>
        <w:t xml:space="preserve"> of people from the community to institutions).</w:t>
      </w:r>
      <w:r>
        <w:rPr>
          <w:rStyle w:val="FootnoteReference"/>
        </w:rPr>
        <w:footnoteReference w:id="1"/>
      </w:r>
      <w:r>
        <w:t xml:space="preserve"> </w:t>
      </w:r>
      <w:r w:rsidR="007A031D">
        <w:rPr>
          <w:rStyle w:val="FootnoteReference"/>
        </w:rPr>
        <w:footnoteReference w:id="2"/>
      </w:r>
    </w:p>
    <w:p w:rsidR="0066412F" w:rsidRPr="0066412F" w:rsidRDefault="0066412F" w:rsidP="003A0C06">
      <w:pPr>
        <w:pStyle w:val="ListParagraph"/>
        <w:numPr>
          <w:ilvl w:val="0"/>
          <w:numId w:val="34"/>
        </w:numPr>
        <w:spacing w:after="120"/>
        <w:ind w:left="426" w:hanging="357"/>
      </w:pPr>
      <w:r w:rsidRPr="0066412F">
        <w:rPr>
          <w:lang w:val="cs-CZ"/>
        </w:rPr>
        <w:t>I</w:t>
      </w:r>
      <w:r w:rsidRPr="003A0C06">
        <w:rPr>
          <w:lang w:val="cs-CZ"/>
        </w:rPr>
        <w:t>t is essential to clearly define a residential service that complies with the Convention</w:t>
      </w:r>
      <w:r>
        <w:rPr>
          <w:lang w:val="cs-CZ"/>
        </w:rPr>
        <w:t xml:space="preserve"> [</w:t>
      </w:r>
      <w:r w:rsidR="007A031D">
        <w:rPr>
          <w:lang w:val="cs-CZ"/>
        </w:rPr>
        <w:t xml:space="preserve">(see para. </w:t>
      </w:r>
      <w:proofErr w:type="gramStart"/>
      <w:r w:rsidRPr="0066412F">
        <w:t>14</w:t>
      </w:r>
      <w:proofErr w:type="gramEnd"/>
      <w:r w:rsidRPr="0066412F">
        <w:t xml:space="preserve"> and </w:t>
      </w:r>
      <w:r w:rsidR="007A031D">
        <w:t xml:space="preserve">para. </w:t>
      </w:r>
      <w:r w:rsidRPr="0066412F">
        <w:t>15 (</w:t>
      </w:r>
      <w:r>
        <w:t>in relation to each other)].</w:t>
      </w:r>
    </w:p>
    <w:p w:rsidR="001E41F1" w:rsidRPr="003A0C06" w:rsidRDefault="00E31877" w:rsidP="003A0C06">
      <w:pPr>
        <w:pStyle w:val="ListParagraph"/>
        <w:numPr>
          <w:ilvl w:val="0"/>
          <w:numId w:val="34"/>
        </w:numPr>
        <w:spacing w:before="240" w:after="120"/>
        <w:ind w:left="426" w:hanging="357"/>
        <w:contextualSpacing w:val="0"/>
        <w:jc w:val="both"/>
      </w:pPr>
      <w:r>
        <w:t xml:space="preserve">I recommend </w:t>
      </w:r>
      <w:proofErr w:type="gramStart"/>
      <w:r w:rsidRPr="00E31877">
        <w:t>to redefine</w:t>
      </w:r>
      <w:proofErr w:type="gramEnd"/>
      <w:r w:rsidRPr="00E31877">
        <w:t xml:space="preserve"> the characteristics of the institution relating to the psychiatric or medical care facilities</w:t>
      </w:r>
      <w:r>
        <w:t xml:space="preserve"> (see para. 15</w:t>
      </w:r>
      <w:r w:rsidR="001E41F1">
        <w:t>).</w:t>
      </w:r>
    </w:p>
    <w:p w:rsidR="00695144" w:rsidRPr="006E7D23" w:rsidRDefault="00F43B94" w:rsidP="003A0C06">
      <w:pPr>
        <w:pStyle w:val="ListParagraph"/>
        <w:numPr>
          <w:ilvl w:val="0"/>
          <w:numId w:val="34"/>
        </w:numPr>
        <w:spacing w:after="120"/>
        <w:ind w:left="426" w:hanging="357"/>
        <w:contextualSpacing w:val="0"/>
        <w:jc w:val="both"/>
      </w:pPr>
      <w:r w:rsidRPr="001E41F1">
        <w:rPr>
          <w:lang w:val="en-GB" w:bidi="en-GB"/>
        </w:rPr>
        <w:t xml:space="preserve">It is necessary </w:t>
      </w:r>
      <w:proofErr w:type="gramStart"/>
      <w:r w:rsidRPr="001E41F1">
        <w:rPr>
          <w:lang w:val="en-GB" w:bidi="en-GB"/>
        </w:rPr>
        <w:t>to f</w:t>
      </w:r>
      <w:r w:rsidR="00BD30C6" w:rsidRPr="001E41F1">
        <w:rPr>
          <w:lang w:val="en-GB" w:bidi="en-GB"/>
        </w:rPr>
        <w:t>urther clarify</w:t>
      </w:r>
      <w:proofErr w:type="gramEnd"/>
      <w:r w:rsidR="00BD30C6" w:rsidRPr="001E41F1">
        <w:rPr>
          <w:lang w:val="en-GB" w:bidi="en-GB"/>
        </w:rPr>
        <w:t xml:space="preserve"> the obligation of States Parties to provide an automatic compensation to survivors of institutionalization set out in part IX. (Remedies, reparations, redress) of the Guidelines. </w:t>
      </w:r>
    </w:p>
    <w:p w:rsidR="006E7D23" w:rsidRPr="00F43B94" w:rsidRDefault="006E7D23" w:rsidP="003A0C06">
      <w:pPr>
        <w:pStyle w:val="ListParagraph"/>
        <w:numPr>
          <w:ilvl w:val="0"/>
          <w:numId w:val="34"/>
        </w:numPr>
        <w:spacing w:after="120"/>
        <w:ind w:left="426" w:hanging="357"/>
        <w:contextualSpacing w:val="0"/>
        <w:jc w:val="both"/>
      </w:pPr>
      <w:r w:rsidRPr="00192F64">
        <w:t xml:space="preserve">In the future, it </w:t>
      </w:r>
      <w:proofErr w:type="gramStart"/>
      <w:r w:rsidRPr="00192F64">
        <w:t>would be greatly appreciated</w:t>
      </w:r>
      <w:proofErr w:type="gramEnd"/>
      <w:r w:rsidRPr="00192F64">
        <w:t xml:space="preserve"> if the topic of </w:t>
      </w:r>
      <w:r w:rsidRPr="001E41F1">
        <w:rPr>
          <w:i/>
        </w:rPr>
        <w:t>affordability of support services in the community</w:t>
      </w:r>
      <w:r>
        <w:t xml:space="preserve"> mentioned in these G</w:t>
      </w:r>
      <w:r w:rsidRPr="00192F64">
        <w:t>uidelines</w:t>
      </w:r>
      <w:r>
        <w:t xml:space="preserve"> (see para. 23)</w:t>
      </w:r>
      <w:r w:rsidRPr="00192F64">
        <w:t xml:space="preserve"> were addressed in more detail by the Committee, as clarification of th</w:t>
      </w:r>
      <w:r w:rsidR="00272A80">
        <w:t>is</w:t>
      </w:r>
      <w:r w:rsidRPr="00192F64">
        <w:t xml:space="preserve"> issue may contribute to the completion of the </w:t>
      </w:r>
      <w:proofErr w:type="spellStart"/>
      <w:r w:rsidRPr="00192F64">
        <w:t>deinstitutionalisation</w:t>
      </w:r>
      <w:proofErr w:type="spellEnd"/>
      <w:r w:rsidRPr="00192F64">
        <w:t xml:space="preserve"> process</w:t>
      </w:r>
      <w:r>
        <w:t>.</w:t>
      </w:r>
    </w:p>
    <w:p w:rsidR="00F43B94" w:rsidRPr="00192F64" w:rsidRDefault="00F43B94" w:rsidP="003A0C06">
      <w:pPr>
        <w:pStyle w:val="ListParagraph"/>
        <w:numPr>
          <w:ilvl w:val="0"/>
          <w:numId w:val="34"/>
        </w:numPr>
        <w:spacing w:after="120"/>
        <w:ind w:left="426" w:hanging="357"/>
        <w:contextualSpacing w:val="0"/>
        <w:jc w:val="both"/>
      </w:pPr>
      <w:r>
        <w:t>F</w:t>
      </w:r>
      <w:r w:rsidRPr="00F43B94">
        <w:t>or some paragraphs, I recommend relaxing the stringency of the requirements or</w:t>
      </w:r>
      <w:r>
        <w:t xml:space="preserve"> softening the language of the Guidelines. I</w:t>
      </w:r>
      <w:r w:rsidRPr="00F43B94">
        <w:t xml:space="preserve"> believe this will contribute to better acceptance an</w:t>
      </w:r>
      <w:r>
        <w:t>d greater effectiveness of the G</w:t>
      </w:r>
      <w:r w:rsidRPr="00F43B94">
        <w:t>uidelines</w:t>
      </w:r>
      <w:r>
        <w:t xml:space="preserve"> (see para. 3, para. 6, para. 13, </w:t>
      </w:r>
      <w:proofErr w:type="gramStart"/>
      <w:r>
        <w:t>para</w:t>
      </w:r>
      <w:proofErr w:type="gramEnd"/>
      <w:r w:rsidR="006E7D23">
        <w:t>.</w:t>
      </w:r>
      <w:r>
        <w:t xml:space="preserve"> 40)</w:t>
      </w:r>
      <w:r w:rsidRPr="00F43B94">
        <w:t xml:space="preserve">.  </w:t>
      </w:r>
    </w:p>
    <w:p w:rsidR="00F43B94" w:rsidRPr="008F4C2B" w:rsidRDefault="008F4C2B" w:rsidP="003A0C06">
      <w:pPr>
        <w:pStyle w:val="ListParagraph"/>
        <w:numPr>
          <w:ilvl w:val="0"/>
          <w:numId w:val="34"/>
        </w:numPr>
        <w:spacing w:after="120"/>
        <w:ind w:left="426" w:hanging="357"/>
        <w:contextualSpacing w:val="0"/>
        <w:jc w:val="both"/>
      </w:pPr>
      <w:r>
        <w:t>For the other paragraphs of the G</w:t>
      </w:r>
      <w:r w:rsidRPr="008F4C2B">
        <w:t>uidelines, I recomme</w:t>
      </w:r>
      <w:r>
        <w:t>nd individual partial changes. T</w:t>
      </w:r>
      <w:r w:rsidRPr="008F4C2B">
        <w:t xml:space="preserve">he nature of these changes cannot be </w:t>
      </w:r>
      <w:proofErr w:type="spellStart"/>
      <w:r w:rsidRPr="008F4C2B">
        <w:t>characterised</w:t>
      </w:r>
      <w:proofErr w:type="spellEnd"/>
      <w:r w:rsidRPr="008F4C2B">
        <w:t xml:space="preserve"> in general terms due to the</w:t>
      </w:r>
      <w:r>
        <w:t>ir completely different nature [</w:t>
      </w:r>
      <w:r w:rsidRPr="008F4C2B">
        <w:t xml:space="preserve">e.g. deleting part of a paragraph due to illogical content </w:t>
      </w:r>
      <w:r>
        <w:t xml:space="preserve">(para. 63) </w:t>
      </w:r>
      <w:r w:rsidRPr="008F4C2B">
        <w:t>or adding more detail to the paragraph to explai</w:t>
      </w:r>
      <w:r>
        <w:t>n what situations it applies to (para. 18) etc.]</w:t>
      </w:r>
    </w:p>
    <w:p w:rsidR="00695144" w:rsidRDefault="00695144" w:rsidP="00695144">
      <w:pPr>
        <w:pStyle w:val="Heading1"/>
        <w:numPr>
          <w:ilvl w:val="0"/>
          <w:numId w:val="30"/>
        </w:numPr>
        <w:spacing w:before="360"/>
      </w:pPr>
      <w:r>
        <w:rPr>
          <w:lang w:val="en-GB" w:bidi="en-GB"/>
        </w:rPr>
        <w:lastRenderedPageBreak/>
        <w:t>Role of the Public Defender of Rights</w:t>
      </w:r>
    </w:p>
    <w:p w:rsidR="00695144" w:rsidRDefault="00695144" w:rsidP="00695144">
      <w:pPr>
        <w:pStyle w:val="BodyText"/>
      </w:pPr>
      <w:r>
        <w:rPr>
          <w:lang w:val="en-GB" w:bidi="en-GB"/>
        </w:rPr>
        <w:t xml:space="preserve">The Public Defender of Rights protects persons against the conduct by authorities and other institutions if such conduct is contrary to the law, does not correspond to the principles of democratic rule of law and good governance, or in case the authorities fail to act. In addition, </w:t>
      </w:r>
      <w:proofErr w:type="gramStart"/>
      <w:r>
        <w:rPr>
          <w:lang w:val="en-GB" w:bidi="en-GB"/>
        </w:rPr>
        <w:t>as the National Preventive Mechanism under the Optional Protocol to the Convention against Torture and other Cruel,</w:t>
      </w:r>
      <w:proofErr w:type="gramEnd"/>
      <w:r>
        <w:rPr>
          <w:lang w:val="en-GB" w:bidi="en-GB"/>
        </w:rPr>
        <w:t xml:space="preserve"> Inhuman or Degrading Treatment of Punishment, the Defender also performs preventive systematic visits to places where freedom of persons could be restricted and seeks to promote respect for their fundamental rights. The Defender also contributes to the enforcement of the right to equal treatment and protection against discrimination.</w:t>
      </w:r>
    </w:p>
    <w:p w:rsidR="00695144" w:rsidRDefault="00695144" w:rsidP="00695144">
      <w:pPr>
        <w:pStyle w:val="BodyText"/>
        <w:rPr>
          <w:lang w:val="en-GB" w:bidi="en-GB"/>
        </w:rPr>
      </w:pPr>
      <w:r>
        <w:rPr>
          <w:lang w:val="en-GB" w:bidi="en-GB"/>
        </w:rPr>
        <w:t>As from the 1 January 2018, the Public Defender of Rights will have competence in the area of monitoring the implementation of the Convention on the Rights of Persons with Disabilities pursuant to Article 33 (2) of the Convention</w:t>
      </w:r>
      <w:r w:rsidR="001546ED" w:rsidRPr="001546ED">
        <w:t xml:space="preserve"> </w:t>
      </w:r>
      <w:r w:rsidR="001546ED" w:rsidRPr="001546ED">
        <w:rPr>
          <w:lang w:val="en-GB" w:bidi="en-GB"/>
        </w:rPr>
        <w:t xml:space="preserve">(hereinafter referred to as the </w:t>
      </w:r>
      <w:r w:rsidR="001546ED">
        <w:rPr>
          <w:lang w:val="en-GB" w:bidi="en-GB"/>
        </w:rPr>
        <w:t>“</w:t>
      </w:r>
      <w:r w:rsidR="001546ED" w:rsidRPr="001546ED">
        <w:rPr>
          <w:i/>
          <w:lang w:val="en-GB" w:bidi="en-GB"/>
        </w:rPr>
        <w:t>Convention</w:t>
      </w:r>
      <w:r w:rsidR="001546ED">
        <w:rPr>
          <w:lang w:val="en-GB" w:bidi="en-GB"/>
        </w:rPr>
        <w:t>”</w:t>
      </w:r>
      <w:r w:rsidR="001546ED" w:rsidRPr="001546ED">
        <w:rPr>
          <w:lang w:val="en-GB" w:bidi="en-GB"/>
        </w:rPr>
        <w:t>)</w:t>
      </w:r>
      <w:r>
        <w:rPr>
          <w:lang w:val="en-GB" w:bidi="en-GB"/>
        </w:rPr>
        <w:t>.</w:t>
      </w:r>
      <w:r w:rsidR="0009367F" w:rsidRPr="0009367F">
        <w:t xml:space="preserve"> </w:t>
      </w:r>
    </w:p>
    <w:p w:rsidR="00695144" w:rsidRDefault="00695144" w:rsidP="00695144">
      <w:pPr>
        <w:pStyle w:val="Heading1"/>
        <w:numPr>
          <w:ilvl w:val="0"/>
          <w:numId w:val="30"/>
        </w:numPr>
        <w:spacing w:before="360"/>
        <w:ind w:left="426" w:hanging="426"/>
      </w:pPr>
      <w:r>
        <w:rPr>
          <w:lang w:val="en-GB" w:bidi="en-GB"/>
        </w:rPr>
        <w:t>Specific submissions regarding the Draft</w:t>
      </w:r>
    </w:p>
    <w:p w:rsidR="001A0994" w:rsidRDefault="00615F3D" w:rsidP="003533FE">
      <w:pPr>
        <w:pStyle w:val="BodyText"/>
      </w:pPr>
      <w:r>
        <w:t xml:space="preserve">Paragraph 3: </w:t>
      </w:r>
    </w:p>
    <w:p w:rsidR="003533FE" w:rsidRDefault="001546ED" w:rsidP="003533FE">
      <w:pPr>
        <w:pStyle w:val="BodyText"/>
      </w:pPr>
      <w:r>
        <w:t xml:space="preserve">The term </w:t>
      </w:r>
      <w:r>
        <w:rPr>
          <w:lang w:val="en-GB" w:bidi="en-GB"/>
        </w:rPr>
        <w:t>“</w:t>
      </w:r>
      <w:r w:rsidR="00693D4F" w:rsidRPr="00693D4F">
        <w:rPr>
          <w:i/>
        </w:rPr>
        <w:t>survivors of institutionalization</w:t>
      </w:r>
      <w:r w:rsidR="00693D4F">
        <w:t>“ is used very often throughout all the document (e. g. par. 3, 33, 51, 66). This term is strongly emotionally tinged and can be perceived very radica</w:t>
      </w:r>
      <w:r w:rsidR="00010446">
        <w:t>lly by the recipients of these G</w:t>
      </w:r>
      <w:r w:rsidR="00693D4F">
        <w:t xml:space="preserve">uidelines. </w:t>
      </w:r>
      <w:r w:rsidR="00693D4F" w:rsidRPr="00787E65">
        <w:rPr>
          <w:b/>
        </w:rPr>
        <w:t>For this reason, I suggest that the use of this term should be better justified</w:t>
      </w:r>
      <w:r w:rsidR="003533FE" w:rsidRPr="00787E65">
        <w:rPr>
          <w:b/>
        </w:rPr>
        <w:t xml:space="preserve"> at the outset of the guidelines</w:t>
      </w:r>
      <w:r w:rsidR="00693D4F" w:rsidRPr="00787E65">
        <w:rPr>
          <w:b/>
        </w:rPr>
        <w:t>.</w:t>
      </w:r>
      <w:r w:rsidR="00693D4F" w:rsidRPr="003533FE">
        <w:rPr>
          <w:i/>
        </w:rPr>
        <w:t xml:space="preserve"> </w:t>
      </w:r>
      <w:r w:rsidR="003533FE">
        <w:t xml:space="preserve">A qualified explanation of the used terminology may help to facilitate </w:t>
      </w:r>
      <w:r w:rsidR="00010446">
        <w:t>acceptance of the ideas of the G</w:t>
      </w:r>
      <w:r w:rsidR="003533FE">
        <w:t>uidelines.</w:t>
      </w:r>
      <w:r w:rsidR="00EB6DF1" w:rsidRPr="00EB6DF1">
        <w:t xml:space="preserve"> </w:t>
      </w:r>
      <w:r w:rsidR="00EB6DF1">
        <w:t>Alternatively, the</w:t>
      </w:r>
      <w:r w:rsidR="00EB6DF1" w:rsidRPr="00EB6DF1">
        <w:t xml:space="preserve"> term </w:t>
      </w:r>
      <w:r w:rsidR="001A0994">
        <w:rPr>
          <w:lang w:val="en-GB" w:bidi="en-GB"/>
        </w:rPr>
        <w:t>“</w:t>
      </w:r>
      <w:r w:rsidR="00EB6DF1" w:rsidRPr="00693D4F">
        <w:rPr>
          <w:i/>
        </w:rPr>
        <w:t>survivors of institutionalization</w:t>
      </w:r>
      <w:r w:rsidR="00EB6DF1">
        <w:t xml:space="preserve">“ </w:t>
      </w:r>
      <w:r w:rsidR="00EB6DF1" w:rsidRPr="00EB6DF1">
        <w:t>may be repla</w:t>
      </w:r>
      <w:r w:rsidR="001A0994">
        <w:t xml:space="preserve">ced by an alternative, such as </w:t>
      </w:r>
      <w:r w:rsidR="001A0994">
        <w:rPr>
          <w:lang w:val="en-GB" w:bidi="en-GB"/>
        </w:rPr>
        <w:t>“</w:t>
      </w:r>
      <w:r w:rsidR="00EB6DF1" w:rsidRPr="00EB6DF1">
        <w:t>persons with experience of living in an institution“.</w:t>
      </w:r>
    </w:p>
    <w:p w:rsidR="00787E65" w:rsidRPr="00276238" w:rsidRDefault="00E530EF" w:rsidP="00E530EF">
      <w:pPr>
        <w:pStyle w:val="BodyText"/>
        <w:rPr>
          <w:b/>
        </w:rPr>
      </w:pPr>
      <w:r>
        <w:t>I</w:t>
      </w:r>
      <w:r w:rsidRPr="00E530EF">
        <w:t xml:space="preserve">t is </w:t>
      </w:r>
      <w:r w:rsidR="001A0994">
        <w:t xml:space="preserve">also </w:t>
      </w:r>
      <w:r w:rsidRPr="00E530EF">
        <w:t>not clear from the text of the paragraph</w:t>
      </w:r>
      <w:r>
        <w:t>, why a group of persons</w:t>
      </w:r>
      <w:r w:rsidRPr="00E530EF">
        <w:t xml:space="preserve"> with albinism is specifically named. No other group of people with disabilities is highlighted in this way, so </w:t>
      </w:r>
      <w:r w:rsidRPr="00276238">
        <w:rPr>
          <w:b/>
        </w:rPr>
        <w:t>I sug</w:t>
      </w:r>
      <w:r w:rsidR="001A0994" w:rsidRPr="00276238">
        <w:rPr>
          <w:b/>
        </w:rPr>
        <w:t xml:space="preserve">gest deleting the phrase </w:t>
      </w:r>
      <w:r w:rsidR="001A0994" w:rsidRPr="00276238">
        <w:rPr>
          <w:b/>
          <w:lang w:val="en-GB" w:bidi="en-GB"/>
        </w:rPr>
        <w:t>“</w:t>
      </w:r>
      <w:r w:rsidRPr="00276238">
        <w:rPr>
          <w:b/>
        </w:rPr>
        <w:t>persons with albinism“ from the sentence.</w:t>
      </w:r>
    </w:p>
    <w:p w:rsidR="001A0994" w:rsidRDefault="00C34317" w:rsidP="00FE6CC5">
      <w:pPr>
        <w:pStyle w:val="BodyText"/>
      </w:pPr>
      <w:r>
        <w:t xml:space="preserve">Paragraph 6: </w:t>
      </w:r>
    </w:p>
    <w:p w:rsidR="00C34317" w:rsidRDefault="00C34317" w:rsidP="00FE6CC5">
      <w:pPr>
        <w:pStyle w:val="BodyText"/>
      </w:pPr>
      <w:r w:rsidRPr="00C34317">
        <w:t>The third sentences of that paragraph describe</w:t>
      </w:r>
      <w:r>
        <w:t>s</w:t>
      </w:r>
      <w:r w:rsidRPr="00C34317">
        <w:t xml:space="preserve"> without compromise that institutionalization </w:t>
      </w:r>
      <w:r w:rsidR="001546ED">
        <w:rPr>
          <w:lang w:val="en-GB" w:bidi="en-GB"/>
        </w:rPr>
        <w:t>“</w:t>
      </w:r>
      <w:r w:rsidRPr="00FE6CC5">
        <w:rPr>
          <w:i/>
        </w:rPr>
        <w:t>exposes persons with disabilities to forced medical intervention with psychotropic medications</w:t>
      </w:r>
      <w:r w:rsidR="00FE6CC5">
        <w:rPr>
          <w:i/>
        </w:rPr>
        <w:t>“</w:t>
      </w:r>
      <w:r>
        <w:t xml:space="preserve"> etc. </w:t>
      </w:r>
      <w:r w:rsidRPr="00C34317">
        <w:t>The fourth sentence goes on to state t</w:t>
      </w:r>
      <w:r w:rsidR="001546ED">
        <w:t xml:space="preserve">hat the </w:t>
      </w:r>
      <w:r w:rsidR="001546ED">
        <w:rPr>
          <w:lang w:val="en-GB" w:bidi="en-GB"/>
        </w:rPr>
        <w:t>“</w:t>
      </w:r>
      <w:r w:rsidR="00FE6CC5" w:rsidRPr="00FE6CC5">
        <w:rPr>
          <w:i/>
        </w:rPr>
        <w:t xml:space="preserve">institutionalization </w:t>
      </w:r>
      <w:r w:rsidRPr="00FE6CC5">
        <w:rPr>
          <w:i/>
        </w:rPr>
        <w:t xml:space="preserve">exposes </w:t>
      </w:r>
      <w:r w:rsidR="00FE6CC5" w:rsidRPr="00FE6CC5">
        <w:rPr>
          <w:i/>
        </w:rPr>
        <w:t xml:space="preserve">persons with disabilities </w:t>
      </w:r>
      <w:r w:rsidRPr="00FE6CC5">
        <w:rPr>
          <w:i/>
        </w:rPr>
        <w:t>to administration of drugs and other interventions without the free, prior, and informed consent</w:t>
      </w:r>
      <w:r w:rsidR="00FE6CC5">
        <w:rPr>
          <w:i/>
        </w:rPr>
        <w:t>…</w:t>
      </w:r>
      <w:r w:rsidR="00FE6CC5">
        <w:t xml:space="preserve">“ </w:t>
      </w:r>
      <w:r w:rsidR="00FE6CC5" w:rsidRPr="00FE6CC5">
        <w:t>Although I am fully aware that institutionalization can have a very negative impact on people with disabilities, it is not true that every person living in an institution has experienced these undesirable phenomena</w:t>
      </w:r>
      <w:r w:rsidR="00AE00B2">
        <w:t xml:space="preserve"> (such as forced medication)</w:t>
      </w:r>
      <w:r w:rsidR="00FE6CC5" w:rsidRPr="00FE6CC5">
        <w:t>.</w:t>
      </w:r>
      <w:r w:rsidR="003C2AE7">
        <w:t xml:space="preserve"> </w:t>
      </w:r>
      <w:r w:rsidR="003C2AE7" w:rsidRPr="00276238">
        <w:rPr>
          <w:b/>
        </w:rPr>
        <w:t xml:space="preserve">Here I recommend replacing the words </w:t>
      </w:r>
      <w:r w:rsidR="001546ED" w:rsidRPr="00276238">
        <w:rPr>
          <w:b/>
          <w:lang w:val="en-GB" w:bidi="en-GB"/>
        </w:rPr>
        <w:t>“</w:t>
      </w:r>
      <w:r w:rsidR="003C2AE7" w:rsidRPr="00276238">
        <w:rPr>
          <w:b/>
          <w:i/>
        </w:rPr>
        <w:t>it exposes</w:t>
      </w:r>
      <w:r w:rsidR="003C2AE7" w:rsidRPr="00276238">
        <w:rPr>
          <w:b/>
        </w:rPr>
        <w:t xml:space="preserve">“ at the beginning of both sentences with </w:t>
      </w:r>
      <w:r w:rsidR="001546ED" w:rsidRPr="00276238">
        <w:rPr>
          <w:b/>
          <w:lang w:val="en-GB" w:bidi="en-GB"/>
        </w:rPr>
        <w:t>“</w:t>
      </w:r>
      <w:r w:rsidR="003C2AE7" w:rsidRPr="00276238">
        <w:rPr>
          <w:b/>
          <w:i/>
        </w:rPr>
        <w:t>it might expose</w:t>
      </w:r>
      <w:r w:rsidR="003C2AE7" w:rsidRPr="00276238">
        <w:rPr>
          <w:b/>
        </w:rPr>
        <w:t xml:space="preserve">“. </w:t>
      </w:r>
    </w:p>
    <w:p w:rsidR="001A0994" w:rsidRDefault="00D50C7E" w:rsidP="004C0D5E">
      <w:pPr>
        <w:pStyle w:val="BodyText"/>
      </w:pPr>
      <w:r>
        <w:t>Paragraph 13</w:t>
      </w:r>
      <w:r w:rsidR="004C0D5E">
        <w:t>, first sentence</w:t>
      </w:r>
      <w:r>
        <w:t xml:space="preserve">: </w:t>
      </w:r>
    </w:p>
    <w:p w:rsidR="004C0D5E" w:rsidRDefault="004C0D5E" w:rsidP="004C0D5E">
      <w:pPr>
        <w:pStyle w:val="BodyText"/>
      </w:pPr>
      <w:r>
        <w:lastRenderedPageBreak/>
        <w:t>While this paragraph encourages</w:t>
      </w:r>
      <w:r w:rsidR="001546ED">
        <w:rPr>
          <w:i/>
        </w:rPr>
        <w:t xml:space="preserve"> </w:t>
      </w:r>
      <w:r w:rsidR="001546ED">
        <w:rPr>
          <w:lang w:val="en-GB" w:bidi="en-GB"/>
        </w:rPr>
        <w:t>“</w:t>
      </w:r>
      <w:r>
        <w:rPr>
          <w:i/>
        </w:rPr>
        <w:t xml:space="preserve">to </w:t>
      </w:r>
      <w:r w:rsidRPr="004C0D5E">
        <w:rPr>
          <w:i/>
        </w:rPr>
        <w:t>take immediate action  by providing individuals with opportunities to leave institutions</w:t>
      </w:r>
      <w:r>
        <w:rPr>
          <w:i/>
        </w:rPr>
        <w:t>“</w:t>
      </w:r>
      <w:r>
        <w:t>, it is clear that immediate exit from institutions for all people with disabilities is not possible. Unrealistic requirements may dimi</w:t>
      </w:r>
      <w:r w:rsidR="00010446">
        <w:t>nish the desired effect of the G</w:t>
      </w:r>
      <w:r>
        <w:t xml:space="preserve">uidelines. </w:t>
      </w:r>
      <w:r w:rsidRPr="00276238">
        <w:rPr>
          <w:b/>
        </w:rPr>
        <w:t>For t</w:t>
      </w:r>
      <w:r w:rsidR="00010446">
        <w:rPr>
          <w:b/>
        </w:rPr>
        <w:t>his reason, I suggest that the G</w:t>
      </w:r>
      <w:r w:rsidRPr="00276238">
        <w:rPr>
          <w:b/>
        </w:rPr>
        <w:t>uidelines should generally</w:t>
      </w:r>
      <w:r w:rsidR="001546ED" w:rsidRPr="00276238">
        <w:rPr>
          <w:b/>
        </w:rPr>
        <w:t xml:space="preserve"> push states parties rather to </w:t>
      </w:r>
      <w:r w:rsidR="001546ED" w:rsidRPr="00276238">
        <w:rPr>
          <w:b/>
          <w:lang w:val="en-GB" w:bidi="en-GB"/>
        </w:rPr>
        <w:t>“</w:t>
      </w:r>
      <w:r w:rsidRPr="00276238">
        <w:rPr>
          <w:b/>
          <w:i/>
        </w:rPr>
        <w:t xml:space="preserve">immediately initiate a proces“ </w:t>
      </w:r>
      <w:r w:rsidRPr="00276238">
        <w:rPr>
          <w:b/>
        </w:rPr>
        <w:t xml:space="preserve">towards the exit of all people with </w:t>
      </w:r>
      <w:r w:rsidR="00D74E93" w:rsidRPr="00276238">
        <w:rPr>
          <w:b/>
        </w:rPr>
        <w:t>disabilities from institutions.</w:t>
      </w:r>
    </w:p>
    <w:p w:rsidR="001A0994" w:rsidRDefault="006B101F" w:rsidP="00964BB1">
      <w:pPr>
        <w:pStyle w:val="BodyText"/>
      </w:pPr>
      <w:r w:rsidRPr="006B101F">
        <w:t>Paragraph 14 and 15</w:t>
      </w:r>
      <w:r w:rsidR="001A0994">
        <w:t xml:space="preserve"> (</w:t>
      </w:r>
      <w:r w:rsidR="001A0994" w:rsidRPr="001A0994">
        <w:t>in relation to each other</w:t>
      </w:r>
      <w:r w:rsidR="001A0994">
        <w:t>):</w:t>
      </w:r>
      <w:r w:rsidRPr="006B101F">
        <w:t xml:space="preserve"> </w:t>
      </w:r>
    </w:p>
    <w:p w:rsidR="00171566" w:rsidRPr="00171566" w:rsidRDefault="00171566" w:rsidP="00171566">
      <w:pPr>
        <w:pStyle w:val="BodyText"/>
        <w:rPr>
          <w:b/>
        </w:rPr>
      </w:pPr>
      <w:r w:rsidRPr="00171566">
        <w:t xml:space="preserve">It is not clear from the content of paragraph 14 and paragraph 15 how they are interrelated. Paragraph 14 (in the second sentence) lists, by way of example, the types of services that are institutions (social care institutions, psychiatric institutions, long-stay hospitals etc.). It is not clear here, whether each of these services is to be considered as an institution without more, or whether each type of services listed is to be assessed separately to determine whether it fulfils the characteristics of an institution from paragraph 15. </w:t>
      </w:r>
      <w:r w:rsidRPr="00171566">
        <w:rPr>
          <w:b/>
        </w:rPr>
        <w:t>Please, it is necessary to explain the interrelation of the sections concerned.</w:t>
      </w:r>
    </w:p>
    <w:p w:rsidR="00171566" w:rsidRPr="00171566" w:rsidRDefault="00171566" w:rsidP="00171566">
      <w:pPr>
        <w:pStyle w:val="BodyText"/>
      </w:pPr>
      <w:r w:rsidRPr="00171566">
        <w:t>I also recommend that paragraph 15 be placed before paragraph 14. Both paragraphs (or any newly added paragraph relating to the definition of institution) should be included in the second part of the Guidelines (Duty to end institutionalization), as the definition of institution and institutionalization must be clearly defined at the outset of the Guidelines.</w:t>
      </w:r>
    </w:p>
    <w:p w:rsidR="00171566" w:rsidRPr="00171566" w:rsidRDefault="00171566" w:rsidP="00171566">
      <w:pPr>
        <w:pStyle w:val="BodyText"/>
      </w:pPr>
      <w:r w:rsidRPr="00171566">
        <w:t>For this reason, I find it helpful to arrange the paragraphs in the second part of the Guidelines (Duty to end institutionalization) in the following order (paragraphs are in order of current numbering): par</w:t>
      </w:r>
      <w:r w:rsidR="007452EC">
        <w:t>a</w:t>
      </w:r>
      <w:r w:rsidRPr="00171566">
        <w:t>. 4, par</w:t>
      </w:r>
      <w:r w:rsidR="007452EC">
        <w:t>a</w:t>
      </w:r>
      <w:r w:rsidRPr="00171566">
        <w:t>. 5, par. 15, par</w:t>
      </w:r>
      <w:r w:rsidR="007452EC">
        <w:t>a</w:t>
      </w:r>
      <w:r w:rsidRPr="00171566">
        <w:t>. 14, par</w:t>
      </w:r>
      <w:r w:rsidR="007452EC">
        <w:t>a</w:t>
      </w:r>
      <w:r w:rsidRPr="00171566">
        <w:t>. 7, par. 6, par</w:t>
      </w:r>
      <w:r w:rsidR="007452EC">
        <w:t>a</w:t>
      </w:r>
      <w:r w:rsidRPr="00171566">
        <w:t>. 8, par</w:t>
      </w:r>
      <w:r w:rsidR="007452EC">
        <w:t>a</w:t>
      </w:r>
      <w:r w:rsidRPr="00171566">
        <w:t>. 9, par</w:t>
      </w:r>
      <w:r w:rsidR="007452EC">
        <w:t>a</w:t>
      </w:r>
      <w:r w:rsidRPr="00171566">
        <w:t>. 10, par</w:t>
      </w:r>
      <w:r w:rsidR="007452EC">
        <w:t>a</w:t>
      </w:r>
      <w:r w:rsidRPr="00171566">
        <w:t>. 11., par</w:t>
      </w:r>
      <w:r w:rsidR="007452EC">
        <w:t>a</w:t>
      </w:r>
      <w:r w:rsidRPr="00171566">
        <w:t>. 12 etc.</w:t>
      </w:r>
    </w:p>
    <w:p w:rsidR="00171566" w:rsidRDefault="00171566" w:rsidP="00964BB1">
      <w:pPr>
        <w:pStyle w:val="BodyText"/>
      </w:pPr>
      <w:r w:rsidRPr="00171566">
        <w:t xml:space="preserve">To fully understand what constitutes an institution and institutionalisation, </w:t>
      </w:r>
      <w:r w:rsidRPr="00171566">
        <w:rPr>
          <w:b/>
        </w:rPr>
        <w:t>it is essential to clearly define a residential service that complies with the Convention</w:t>
      </w:r>
      <w:r w:rsidRPr="00171566">
        <w:t>. The guidelines as currently drafted state in paragraph 26 that group homes cannot meet the definition of community-based services automatically, without any other conditions. According to the draft (paragraph 16), „homes where the same service provider packages housing and support together“ cannot be designated as a community residential service. Is this always the case, regardless of other facts?</w:t>
      </w:r>
      <w:r w:rsidRPr="00171566">
        <w:rPr>
          <w:b/>
          <w:vertAlign w:val="superscript"/>
        </w:rPr>
        <w:footnoteReference w:id="3"/>
      </w:r>
      <w:r w:rsidRPr="00171566">
        <w:t xml:space="preserve"> </w:t>
      </w:r>
      <w:r w:rsidRPr="00171566">
        <w:rPr>
          <w:b/>
        </w:rPr>
        <w:t>Please add a definition of residential service, which is in line with the Conventi</w:t>
      </w:r>
      <w:r>
        <w:rPr>
          <w:b/>
        </w:rPr>
        <w:t>on, to the introduction of the G</w:t>
      </w:r>
      <w:r w:rsidRPr="00171566">
        <w:rPr>
          <w:b/>
        </w:rPr>
        <w:t>uidelines</w:t>
      </w:r>
      <w:r w:rsidRPr="00171566">
        <w:t>.</w:t>
      </w:r>
    </w:p>
    <w:p w:rsidR="00D423D3" w:rsidRDefault="00922EC1" w:rsidP="004C0D5E">
      <w:pPr>
        <w:pStyle w:val="BodyText"/>
      </w:pPr>
      <w:r>
        <w:lastRenderedPageBreak/>
        <w:t>Paragraph 14</w:t>
      </w:r>
      <w:r w:rsidR="00D423D3">
        <w:t xml:space="preserve"> (</w:t>
      </w:r>
      <w:r w:rsidR="00D423D3" w:rsidRPr="00D423D3">
        <w:t>without reference to paragraph 15</w:t>
      </w:r>
      <w:r w:rsidR="00D423D3">
        <w:t>):</w:t>
      </w:r>
    </w:p>
    <w:p w:rsidR="00922EC1" w:rsidRDefault="001546ED" w:rsidP="004C0D5E">
      <w:pPr>
        <w:pStyle w:val="BodyText"/>
      </w:pPr>
      <w:r w:rsidRPr="00276238">
        <w:rPr>
          <w:b/>
        </w:rPr>
        <w:t>I suggest deleting the last sentence completely, as in my opinion the facilities in question do not fall under the issue of deinstitutionalisation.</w:t>
      </w:r>
      <w:r w:rsidRPr="001546ED">
        <w:t xml:space="preserve"> This concerns prisons in particular, where general issues of prison reform do not fall withi</w:t>
      </w:r>
      <w:r w:rsidR="00973F27">
        <w:t xml:space="preserve">n the scope of the Convention. </w:t>
      </w:r>
      <w:r w:rsidR="00973F27" w:rsidRPr="00973F27">
        <w:t xml:space="preserve">Alternatively, I </w:t>
      </w:r>
      <w:r w:rsidR="00973F27">
        <w:t xml:space="preserve">recommend </w:t>
      </w:r>
      <w:r w:rsidR="00973F27" w:rsidRPr="00973F27">
        <w:t>elaborating on th</w:t>
      </w:r>
      <w:r w:rsidR="00973F27">
        <w:t xml:space="preserve">e content of the last sentence; </w:t>
      </w:r>
      <w:r w:rsidR="00973F27" w:rsidRPr="00973F27">
        <w:t>in particular, it is necessary to clarify how deinstitutionalisation relates to the types of faciliti</w:t>
      </w:r>
      <w:r w:rsidR="00973F27">
        <w:t>es in question, such as prisons</w:t>
      </w:r>
      <w:r w:rsidR="00973F27" w:rsidRPr="00973F27">
        <w:t>, refugee camps, migrant shelters</w:t>
      </w:r>
      <w:r w:rsidR="00973F27">
        <w:t xml:space="preserve"> etc.</w:t>
      </w:r>
    </w:p>
    <w:p w:rsidR="00D423D3" w:rsidRDefault="00273D84" w:rsidP="005F5E25">
      <w:pPr>
        <w:pStyle w:val="BodyText"/>
      </w:pPr>
      <w:r>
        <w:t>Paragraph 15</w:t>
      </w:r>
      <w:r w:rsidR="00D423D3">
        <w:t xml:space="preserve"> (</w:t>
      </w:r>
      <w:r w:rsidR="00D423D3" w:rsidRPr="00D423D3">
        <w:t>w</w:t>
      </w:r>
      <w:r w:rsidR="00D423D3">
        <w:t>ithout reference to paragraph 14)</w:t>
      </w:r>
      <w:r>
        <w:t xml:space="preserve">: </w:t>
      </w:r>
    </w:p>
    <w:p w:rsidR="00AA1963" w:rsidRDefault="00AA1963" w:rsidP="005F5E25">
      <w:pPr>
        <w:pStyle w:val="BodyText"/>
      </w:pPr>
      <w:r>
        <w:t>The paragraph</w:t>
      </w:r>
      <w:r w:rsidRPr="00AA1963">
        <w:t xml:space="preserve"> contains definitional features of an institution relating to the manner in </w:t>
      </w:r>
      <w:r>
        <w:t>which the service is provided. I</w:t>
      </w:r>
      <w:r w:rsidRPr="00AA1963">
        <w:t>n my view, however, these definitional featur</w:t>
      </w:r>
      <w:r w:rsidR="00A657F9">
        <w:t>es cannot</w:t>
      </w:r>
      <w:r w:rsidR="00AF1C80">
        <w:rPr>
          <w:rStyle w:val="FootnoteReference"/>
        </w:rPr>
        <w:footnoteReference w:id="4"/>
      </w:r>
      <w:r w:rsidR="00A657F9">
        <w:t xml:space="preserve"> be fully applied to facilities</w:t>
      </w:r>
      <w:r>
        <w:rPr>
          <w:rStyle w:val="FootnoteReference"/>
        </w:rPr>
        <w:footnoteReference w:id="5"/>
      </w:r>
      <w:r w:rsidRPr="00AA1963">
        <w:t xml:space="preserve"> where medical or psychiatric care is provided</w:t>
      </w:r>
      <w:r w:rsidR="00AF1C80">
        <w:t>.</w:t>
      </w:r>
    </w:p>
    <w:p w:rsidR="00A657F9" w:rsidRDefault="00AA1963" w:rsidP="005F5E25">
      <w:pPr>
        <w:pStyle w:val="BodyText"/>
      </w:pPr>
      <w:r>
        <w:t>For instance, a</w:t>
      </w:r>
      <w:r w:rsidR="00273D84">
        <w:t>ccording to this paragraph o</w:t>
      </w:r>
      <w:r w:rsidR="00273D84" w:rsidRPr="00273D84">
        <w:t xml:space="preserve">ne of the characteristics of an institution </w:t>
      </w:r>
      <w:r w:rsidR="00273D84">
        <w:t xml:space="preserve">is </w:t>
      </w:r>
      <w:r w:rsidR="00273D84">
        <w:rPr>
          <w:lang w:val="en-GB" w:bidi="en-GB"/>
        </w:rPr>
        <w:t>“</w:t>
      </w:r>
      <w:r w:rsidR="00273D84" w:rsidRPr="00273D84">
        <w:rPr>
          <w:i/>
        </w:rPr>
        <w:t>no or limited influence over whom one has to accept assistance from</w:t>
      </w:r>
      <w:r w:rsidR="00273D84">
        <w:t xml:space="preserve">“. </w:t>
      </w:r>
      <w:r w:rsidR="00A657F9">
        <w:t>P</w:t>
      </w:r>
      <w:r w:rsidR="005F5E25">
        <w:t xml:space="preserve">atients </w:t>
      </w:r>
      <w:r w:rsidR="00A657F9" w:rsidRPr="00A657F9">
        <w:t xml:space="preserve">in psychiatric or medical care facilities </w:t>
      </w:r>
      <w:r w:rsidR="005F5E25">
        <w:t xml:space="preserve">can usually never choose from which health care staff they will receive the support they need (for example, patients cannot decide when a staff member will be available to them, as staff work on designated shifts). </w:t>
      </w:r>
      <w:r w:rsidR="00A657F9">
        <w:t>U</w:t>
      </w:r>
      <w:r w:rsidR="00A657F9" w:rsidRPr="00A657F9">
        <w:t xml:space="preserve">nder this </w:t>
      </w:r>
      <w:r w:rsidR="00A657F9" w:rsidRPr="00273D84">
        <w:t>characteristic</w:t>
      </w:r>
      <w:r w:rsidR="00A657F9">
        <w:t xml:space="preserve"> </w:t>
      </w:r>
      <w:r w:rsidR="00A657F9" w:rsidRPr="00A657F9">
        <w:t>would then mean that every facility providing medical or psychiatric care is an institution</w:t>
      </w:r>
      <w:r w:rsidR="00996498">
        <w:t>,</w:t>
      </w:r>
      <w:r w:rsidR="00A657F9" w:rsidRPr="00A657F9">
        <w:t xml:space="preserve"> because patients cannot determine</w:t>
      </w:r>
      <w:r w:rsidR="00996498">
        <w:t>,</w:t>
      </w:r>
      <w:r w:rsidR="00A657F9" w:rsidRPr="00A657F9">
        <w:t xml:space="preserve"> who specifically will provide them with support.</w:t>
      </w:r>
    </w:p>
    <w:p w:rsidR="00D12A52" w:rsidRDefault="00996498" w:rsidP="00D12A52">
      <w:pPr>
        <w:pStyle w:val="BodyText"/>
      </w:pPr>
      <w:r>
        <w:t>F</w:t>
      </w:r>
      <w:r w:rsidRPr="00996498">
        <w:t xml:space="preserve">or </w:t>
      </w:r>
      <w:r>
        <w:t xml:space="preserve">facilities </w:t>
      </w:r>
      <w:r w:rsidRPr="00996498">
        <w:t xml:space="preserve">providing psychiatric or medical care, it may also be important to consider the attribute of </w:t>
      </w:r>
      <w:r w:rsidRPr="003A0C06">
        <w:rPr>
          <w:i/>
        </w:rPr>
        <w:t>longevity</w:t>
      </w:r>
      <w:r w:rsidRPr="00996498">
        <w:t xml:space="preserve"> as one of the characteristics of the institution</w:t>
      </w:r>
      <w:r>
        <w:t xml:space="preserve">. </w:t>
      </w:r>
      <w:r w:rsidR="00D12A52">
        <w:t>For example, an acute psychiatric care facility</w:t>
      </w:r>
      <w:r w:rsidR="00D12A52">
        <w:rPr>
          <w:rStyle w:val="FootnoteReference"/>
        </w:rPr>
        <w:footnoteReference w:id="6"/>
      </w:r>
      <w:r w:rsidR="00D12A52">
        <w:t xml:space="preserve"> cannot be considered as an institution</w:t>
      </w:r>
      <w:r w:rsidR="00200651">
        <w:t>,</w:t>
      </w:r>
      <w:r w:rsidR="00D12A52">
        <w:t xml:space="preserve"> if it provides a person with a disability with </w:t>
      </w:r>
      <w:r w:rsidR="00D12A52" w:rsidRPr="003A0C06">
        <w:rPr>
          <w:i/>
        </w:rPr>
        <w:t xml:space="preserve">immediate </w:t>
      </w:r>
      <w:r w:rsidR="00D12A52">
        <w:t>specialist health care</w:t>
      </w:r>
      <w:r w:rsidR="00200651">
        <w:t>,</w:t>
      </w:r>
      <w:r w:rsidR="00D12A52">
        <w:t xml:space="preserve"> that cannot b</w:t>
      </w:r>
      <w:r w:rsidR="00200651">
        <w:t>e provided in his or her home. O</w:t>
      </w:r>
      <w:r w:rsidR="00D12A52">
        <w:t xml:space="preserve">n the contrary, if a person no longer needs such acute </w:t>
      </w:r>
      <w:r w:rsidR="00AF1C80">
        <w:t xml:space="preserve">psychiatric </w:t>
      </w:r>
      <w:r w:rsidR="00D12A52">
        <w:t xml:space="preserve">care and yet remains in such a facility </w:t>
      </w:r>
      <w:r w:rsidR="00D12A52" w:rsidRPr="003A0C06">
        <w:rPr>
          <w:i/>
        </w:rPr>
        <w:t>for a long time</w:t>
      </w:r>
      <w:r w:rsidR="00D12A52">
        <w:t xml:space="preserve"> (the facility replaces his or her home and community life), we can speak of an institution.  </w:t>
      </w:r>
    </w:p>
    <w:p w:rsidR="00D12A52" w:rsidRPr="003A0C06" w:rsidRDefault="00200651" w:rsidP="00D12A52">
      <w:pPr>
        <w:pStyle w:val="BodyText"/>
        <w:rPr>
          <w:b/>
        </w:rPr>
      </w:pPr>
      <w:r w:rsidRPr="003A0C06">
        <w:rPr>
          <w:b/>
        </w:rPr>
        <w:t>For the reasons stated above, it is necessary to redefine the characteristics of the institution relating to the psychiatric or medical care facilities.</w:t>
      </w:r>
    </w:p>
    <w:p w:rsidR="00D644CC" w:rsidRDefault="00B353B8" w:rsidP="00D01073">
      <w:pPr>
        <w:pStyle w:val="BodyText"/>
      </w:pPr>
      <w:r>
        <w:t xml:space="preserve">Paragraph 18: </w:t>
      </w:r>
    </w:p>
    <w:p w:rsidR="00B353B8" w:rsidRDefault="00D01073" w:rsidP="00D01073">
      <w:pPr>
        <w:pStyle w:val="BodyText"/>
      </w:pPr>
      <w:r w:rsidRPr="00D01073">
        <w:lastRenderedPageBreak/>
        <w:t>Here it is provided that</w:t>
      </w:r>
      <w:r>
        <w:t xml:space="preserve"> </w:t>
      </w:r>
      <w:r w:rsidRPr="00D01073">
        <w:t>“</w:t>
      </w:r>
      <w:r w:rsidRPr="00D01073">
        <w:rPr>
          <w:i/>
        </w:rPr>
        <w:t xml:space="preserve">processes of deinstitutionalization </w:t>
      </w:r>
      <w:r w:rsidRPr="00D01073">
        <w:rPr>
          <w:b/>
          <w:i/>
        </w:rPr>
        <w:t>should not be led</w:t>
      </w:r>
      <w:r w:rsidRPr="00D01073">
        <w:rPr>
          <w:i/>
        </w:rPr>
        <w:t xml:space="preserve"> by management or those involved in the maintenance of institutions“</w:t>
      </w:r>
      <w:r>
        <w:rPr>
          <w:i/>
        </w:rPr>
        <w:t xml:space="preserve">. </w:t>
      </w:r>
      <w:r w:rsidRPr="00BF010E">
        <w:t xml:space="preserve">However, such exclusion of the management of institutions makes </w:t>
      </w:r>
      <w:r w:rsidR="00BF010E">
        <w:t>sense only at the state level. A</w:t>
      </w:r>
      <w:r w:rsidRPr="00BF010E">
        <w:t xml:space="preserve">t the level of the transformation of a particular institution, the management of the institution cannot in practice be excluded from this </w:t>
      </w:r>
      <w:r w:rsidR="00BF010E" w:rsidRPr="00BF010E">
        <w:t>proces</w:t>
      </w:r>
      <w:r w:rsidR="0042364A">
        <w:t>s</w:t>
      </w:r>
      <w:r w:rsidR="00BF010E" w:rsidRPr="00BF010E">
        <w:t>.</w:t>
      </w:r>
      <w:r w:rsidR="0042364A">
        <w:rPr>
          <w:rStyle w:val="FootnoteReference"/>
        </w:rPr>
        <w:footnoteReference w:id="7"/>
      </w:r>
      <w:r w:rsidR="00BF010E">
        <w:t xml:space="preserve"> </w:t>
      </w:r>
      <w:r w:rsidR="00BF010E" w:rsidRPr="0042364A">
        <w:rPr>
          <w:b/>
        </w:rPr>
        <w:t>It is therefore necessary to specify to which level (state level x transformation of a specific institution) the paragraph refers</w:t>
      </w:r>
      <w:r w:rsidR="0042364A" w:rsidRPr="0042364A">
        <w:rPr>
          <w:b/>
        </w:rPr>
        <w:t>.</w:t>
      </w:r>
      <w:r w:rsidR="0042364A">
        <w:t xml:space="preserve"> </w:t>
      </w:r>
    </w:p>
    <w:p w:rsidR="00D644CC" w:rsidRDefault="0042364A" w:rsidP="00C21806">
      <w:pPr>
        <w:pStyle w:val="BodyText"/>
      </w:pPr>
      <w:r>
        <w:t>Paragraph 2</w:t>
      </w:r>
      <w:r w:rsidR="00CD2F37">
        <w:t>3</w:t>
      </w:r>
      <w:r>
        <w:t xml:space="preserve">: </w:t>
      </w:r>
    </w:p>
    <w:p w:rsidR="0042364A" w:rsidRDefault="00CD2F37" w:rsidP="00C21806">
      <w:pPr>
        <w:pStyle w:val="BodyText"/>
      </w:pPr>
      <w:r>
        <w:t>A</w:t>
      </w:r>
      <w:r w:rsidRPr="00CD2F37">
        <w:t xml:space="preserve">ccording to this article, the </w:t>
      </w:r>
      <w:r w:rsidR="00C21806">
        <w:t xml:space="preserve">support </w:t>
      </w:r>
      <w:r w:rsidRPr="00CD2F37">
        <w:t>services should be</w:t>
      </w:r>
      <w:r>
        <w:t xml:space="preserve"> affordable. E</w:t>
      </w:r>
      <w:r w:rsidRPr="00CD2F37">
        <w:t>nsuring the affordability of support services is a direct obligation for States Parties</w:t>
      </w:r>
      <w:r>
        <w:t>.</w:t>
      </w:r>
      <w:r>
        <w:rPr>
          <w:rStyle w:val="FootnoteReference"/>
        </w:rPr>
        <w:footnoteReference w:id="8"/>
      </w:r>
      <w:r>
        <w:t xml:space="preserve"> </w:t>
      </w:r>
      <w:r w:rsidR="00C21806" w:rsidRPr="00D644CC">
        <w:rPr>
          <w:b/>
        </w:rPr>
        <w:t>For this reas</w:t>
      </w:r>
      <w:r w:rsidR="00010446">
        <w:rPr>
          <w:b/>
        </w:rPr>
        <w:t>on, it would be helpful if the G</w:t>
      </w:r>
      <w:r w:rsidR="00C21806" w:rsidRPr="00D644CC">
        <w:rPr>
          <w:b/>
        </w:rPr>
        <w:t>uidelines addressed the topic of affordability in much more detail.</w:t>
      </w:r>
      <w:r w:rsidR="00C21806">
        <w:t xml:space="preserve"> F</w:t>
      </w:r>
      <w:r w:rsidR="00C21806" w:rsidRPr="00C21806">
        <w:t>or example, I would suggest</w:t>
      </w:r>
      <w:r w:rsidR="00C21806">
        <w:t xml:space="preserve"> defining more precisely what it</w:t>
      </w:r>
      <w:r w:rsidR="00C21806" w:rsidRPr="00C21806">
        <w:t xml:space="preserve"> means</w:t>
      </w:r>
      <w:r w:rsidR="00C21806">
        <w:t xml:space="preserve"> by </w:t>
      </w:r>
      <w:r w:rsidR="00C21806">
        <w:rPr>
          <w:lang w:val="en-GB" w:bidi="en-GB"/>
        </w:rPr>
        <w:t>“</w:t>
      </w:r>
      <w:r w:rsidR="00C21806" w:rsidRPr="00C21806">
        <w:rPr>
          <w:i/>
        </w:rPr>
        <w:t>support that cover disability related costs.</w:t>
      </w:r>
      <w:r w:rsidR="00C21806">
        <w:t>“</w:t>
      </w:r>
      <w:r w:rsidR="00C21806" w:rsidRPr="00C21806">
        <w:t xml:space="preserve"> </w:t>
      </w:r>
      <w:r w:rsidR="00C21806">
        <w:rPr>
          <w:rStyle w:val="FootnoteReference"/>
        </w:rPr>
        <w:footnoteReference w:id="9"/>
      </w:r>
      <w:r w:rsidR="007238EE">
        <w:t>It</w:t>
      </w:r>
      <w:r w:rsidR="00C21806" w:rsidRPr="00C21806">
        <w:t xml:space="preserve"> would also be very much appreciated if the Committee would issue a commentary </w:t>
      </w:r>
      <w:r w:rsidR="007238EE">
        <w:t xml:space="preserve">on Article 28 of the Convention. </w:t>
      </w:r>
    </w:p>
    <w:p w:rsidR="00D644CC" w:rsidRDefault="00D644CC" w:rsidP="00C21806">
      <w:pPr>
        <w:pStyle w:val="BodyText"/>
      </w:pPr>
      <w:r>
        <w:t>Paragraph 31:</w:t>
      </w:r>
    </w:p>
    <w:p w:rsidR="00D644CC" w:rsidRPr="00C21806" w:rsidRDefault="00D644CC" w:rsidP="00C21806">
      <w:pPr>
        <w:pStyle w:val="BodyText"/>
      </w:pPr>
      <w:r w:rsidRPr="00D644CC">
        <w:t>I suggest adding the phrase at the end of the second sentence</w:t>
      </w:r>
      <w:r>
        <w:t>:</w:t>
      </w:r>
      <w:r w:rsidRPr="00D644CC">
        <w:t xml:space="preserve"> “</w:t>
      </w:r>
      <w:r w:rsidRPr="00D644CC">
        <w:rPr>
          <w:i/>
        </w:rPr>
        <w:t>on an equal basis with others</w:t>
      </w:r>
      <w:r>
        <w:rPr>
          <w:i/>
        </w:rPr>
        <w:t>.</w:t>
      </w:r>
      <w:r>
        <w:t>“</w:t>
      </w:r>
    </w:p>
    <w:p w:rsidR="00B41D98" w:rsidRDefault="00D74E93" w:rsidP="00361C48">
      <w:pPr>
        <w:pStyle w:val="BodyText"/>
      </w:pPr>
      <w:r>
        <w:t xml:space="preserve">Paragraph 33, last sentence: </w:t>
      </w:r>
    </w:p>
    <w:p w:rsidR="00361C48" w:rsidRPr="00276238" w:rsidRDefault="00361C48" w:rsidP="00361C48">
      <w:pPr>
        <w:pStyle w:val="BodyText"/>
        <w:rPr>
          <w:b/>
        </w:rPr>
      </w:pPr>
      <w:r>
        <w:t>The essenc</w:t>
      </w:r>
      <w:r w:rsidR="001546ED">
        <w:t xml:space="preserve">e of this sentence is that all </w:t>
      </w:r>
      <w:r w:rsidR="001546ED">
        <w:rPr>
          <w:lang w:val="en-GB" w:bidi="en-GB"/>
        </w:rPr>
        <w:t>“</w:t>
      </w:r>
      <w:r w:rsidRPr="00361C48">
        <w:rPr>
          <w:i/>
        </w:rPr>
        <w:t>those with financial or other interests in</w:t>
      </w:r>
      <w:r w:rsidRPr="00361C48">
        <w:t xml:space="preserve"> </w:t>
      </w:r>
      <w:r>
        <w:rPr>
          <w:i/>
        </w:rPr>
        <w:t xml:space="preserve">in keeping institutions </w:t>
      </w:r>
      <w:r w:rsidRPr="00361C48">
        <w:rPr>
          <w:i/>
        </w:rPr>
        <w:t>open</w:t>
      </w:r>
      <w:r>
        <w:t xml:space="preserve">“ should be prevented from influencing decision-making processes related to deinstitutionalization. </w:t>
      </w:r>
      <w:r w:rsidR="00CB1D7F" w:rsidRPr="00CB1D7F">
        <w:t>The other s</w:t>
      </w:r>
      <w:r w:rsidR="00CB1D7F">
        <w:t>takeholders mentioned (such as s</w:t>
      </w:r>
      <w:r w:rsidR="00CB1D7F" w:rsidRPr="00CB1D7F">
        <w:t>ervice providers, charities</w:t>
      </w:r>
      <w:r w:rsidR="00CB1D7F">
        <w:t xml:space="preserve"> etc</w:t>
      </w:r>
      <w:r w:rsidR="00CB1D7F" w:rsidRPr="00CB1D7F">
        <w:t xml:space="preserve">), on the other hand, can sometimes have a positive influence on deinstitutionalisation, so they cannot be automatically excluded from the process. </w:t>
      </w:r>
      <w:r w:rsidRPr="00276238">
        <w:rPr>
          <w:b/>
        </w:rPr>
        <w:t xml:space="preserve">I therefore recommend that the </w:t>
      </w:r>
      <w:r w:rsidR="00CB1D7F">
        <w:rPr>
          <w:b/>
        </w:rPr>
        <w:t>first part</w:t>
      </w:r>
      <w:r w:rsidRPr="00276238">
        <w:rPr>
          <w:b/>
        </w:rPr>
        <w:t xml:space="preserve"> of the sentence should be deleted</w:t>
      </w:r>
      <w:r w:rsidR="004B7AC7" w:rsidRPr="00276238">
        <w:rPr>
          <w:b/>
        </w:rPr>
        <w:t>.</w:t>
      </w:r>
      <w:r w:rsidR="00CB1D7F">
        <w:rPr>
          <w:rStyle w:val="FootnoteReference"/>
          <w:b w:val="0"/>
        </w:rPr>
        <w:footnoteReference w:id="10"/>
      </w:r>
    </w:p>
    <w:p w:rsidR="000118D9" w:rsidRDefault="000118D9" w:rsidP="00361C48">
      <w:pPr>
        <w:pStyle w:val="BodyText"/>
      </w:pPr>
      <w:r>
        <w:t xml:space="preserve">Paragraph 36: </w:t>
      </w:r>
    </w:p>
    <w:p w:rsidR="00F04139" w:rsidRPr="00F11F33" w:rsidRDefault="00F04139" w:rsidP="00F11F33">
      <w:pPr>
        <w:pStyle w:val="BodyText"/>
      </w:pPr>
      <w:r w:rsidRPr="003A0C06">
        <w:rPr>
          <w:b/>
        </w:rPr>
        <w:t>I suggest that the sentence be reworded here.</w:t>
      </w:r>
      <w:r w:rsidR="00AA476D">
        <w:t xml:space="preserve"> I</w:t>
      </w:r>
      <w:r w:rsidR="00AB76AB">
        <w:t>t would be good to</w:t>
      </w:r>
      <w:r w:rsidRPr="00F04139">
        <w:t xml:space="preserve"> say that all people with disabilities should have the opportunity to transition from the institution to the community. However, as part of the deinstitutionalisation process, it is permissible to have selection processes about who leaves institutions earlier</w:t>
      </w:r>
      <w:r w:rsidR="00AA476D">
        <w:t>,</w:t>
      </w:r>
      <w:r w:rsidR="00AA476D" w:rsidRPr="00AA476D">
        <w:t xml:space="preserve"> </w:t>
      </w:r>
      <w:r w:rsidR="00AA476D" w:rsidRPr="00F11F33">
        <w:t>as each person with a disability may need a different amount of time to</w:t>
      </w:r>
      <w:r w:rsidR="00AB76AB">
        <w:t xml:space="preserve"> get</w:t>
      </w:r>
      <w:r w:rsidR="00AA476D">
        <w:t xml:space="preserve"> back in a community</w:t>
      </w:r>
      <w:r w:rsidR="00AA476D" w:rsidRPr="00F11F33">
        <w:t>.</w:t>
      </w:r>
      <w:r w:rsidR="00D45798">
        <w:rPr>
          <w:rStyle w:val="FootnoteReference"/>
        </w:rPr>
        <w:footnoteReference w:id="11"/>
      </w:r>
    </w:p>
    <w:p w:rsidR="00F11F33" w:rsidRDefault="009B3DA9" w:rsidP="00C24FDD">
      <w:pPr>
        <w:pStyle w:val="BodyText"/>
      </w:pPr>
      <w:r>
        <w:lastRenderedPageBreak/>
        <w:t>Paragraph 40:</w:t>
      </w:r>
      <w:r w:rsidR="00C24FDD">
        <w:t xml:space="preserve"> </w:t>
      </w:r>
    </w:p>
    <w:p w:rsidR="003533FE" w:rsidRDefault="00C24FDD" w:rsidP="00C24FDD">
      <w:pPr>
        <w:pStyle w:val="BodyText"/>
      </w:pPr>
      <w:r>
        <w:t xml:space="preserve">The wording of the first sentence </w:t>
      </w:r>
      <w:r w:rsidR="00330059">
        <w:t xml:space="preserve">is </w:t>
      </w:r>
      <w:r>
        <w:t>too strict. N</w:t>
      </w:r>
      <w:r w:rsidRPr="00C24FDD">
        <w:t>ot every girl and woman with a disability has experienced</w:t>
      </w:r>
      <w:r w:rsidR="009B3DA9" w:rsidRPr="00C24FDD">
        <w:t xml:space="preserve"> </w:t>
      </w:r>
      <w:r w:rsidRPr="00C24FDD">
        <w:t>multiple discrimination on the grounds of gender and disability</w:t>
      </w:r>
      <w:r>
        <w:t xml:space="preserve">. </w:t>
      </w:r>
      <w:r w:rsidR="001546ED">
        <w:t xml:space="preserve">It will be better if </w:t>
      </w:r>
      <w:r w:rsidR="001546ED" w:rsidRPr="00276238">
        <w:rPr>
          <w:b/>
        </w:rPr>
        <w:t xml:space="preserve">the words </w:t>
      </w:r>
      <w:r w:rsidR="001546ED" w:rsidRPr="00276238">
        <w:rPr>
          <w:b/>
          <w:lang w:val="en-GB" w:bidi="en-GB"/>
        </w:rPr>
        <w:t>“</w:t>
      </w:r>
      <w:r w:rsidRPr="00276238">
        <w:rPr>
          <w:b/>
          <w:i/>
        </w:rPr>
        <w:t xml:space="preserve">are subject to multiple discrimination </w:t>
      </w:r>
      <w:r w:rsidRPr="00276238">
        <w:rPr>
          <w:b/>
        </w:rPr>
        <w:t>" are replaced by the words</w:t>
      </w:r>
      <w:r w:rsidR="001546ED" w:rsidRPr="00276238">
        <w:rPr>
          <w:b/>
        </w:rPr>
        <w:t xml:space="preserve"> </w:t>
      </w:r>
      <w:r w:rsidR="001546ED" w:rsidRPr="00276238">
        <w:rPr>
          <w:b/>
          <w:lang w:val="en-GB" w:bidi="en-GB"/>
        </w:rPr>
        <w:t>“</w:t>
      </w:r>
      <w:r w:rsidRPr="00276238">
        <w:rPr>
          <w:b/>
          <w:i/>
        </w:rPr>
        <w:t>might be a subject to multiple discrimination</w:t>
      </w:r>
      <w:r w:rsidRPr="00276238">
        <w:rPr>
          <w:b/>
        </w:rPr>
        <w:t>“.</w:t>
      </w:r>
    </w:p>
    <w:p w:rsidR="003648E7" w:rsidRDefault="003648E7" w:rsidP="003648E7">
      <w:pPr>
        <w:pStyle w:val="BodyText"/>
        <w:rPr>
          <w:b/>
        </w:rPr>
      </w:pPr>
      <w:r>
        <w:t>T</w:t>
      </w:r>
      <w:r w:rsidRPr="003648E7">
        <w:t>he third sentence provides that</w:t>
      </w:r>
      <w:r>
        <w:t xml:space="preserve"> </w:t>
      </w:r>
      <w:r w:rsidRPr="00C24FDD">
        <w:t>girl and woman with a disability</w:t>
      </w:r>
      <w:r w:rsidRPr="003648E7">
        <w:t xml:space="preserve"> </w:t>
      </w:r>
      <w:r w:rsidR="001546ED">
        <w:rPr>
          <w:lang w:val="en-GB" w:bidi="en-GB"/>
        </w:rPr>
        <w:t>“</w:t>
      </w:r>
      <w:r w:rsidRPr="003648E7">
        <w:rPr>
          <w:i/>
        </w:rPr>
        <w:t>are denied the right to legal capacity more often than men with disabilities</w:t>
      </w:r>
      <w:r>
        <w:t xml:space="preserve">“. </w:t>
      </w:r>
      <w:r w:rsidRPr="00276238">
        <w:rPr>
          <w:b/>
        </w:rPr>
        <w:t>There is necessary to add a source of this statement.</w:t>
      </w:r>
    </w:p>
    <w:p w:rsidR="00D61B58" w:rsidRDefault="00D61B58" w:rsidP="003648E7">
      <w:pPr>
        <w:pStyle w:val="BodyText"/>
      </w:pPr>
      <w:r w:rsidRPr="00D61B58">
        <w:t>Paragraph 62</w:t>
      </w:r>
      <w:r w:rsidR="00C34956">
        <w:t>, first sentence</w:t>
      </w:r>
      <w:r w:rsidRPr="00D61B58">
        <w:t xml:space="preserve">: </w:t>
      </w:r>
    </w:p>
    <w:p w:rsidR="008479CE" w:rsidRDefault="008479CE" w:rsidP="008479CE">
      <w:pPr>
        <w:pStyle w:val="BodyText"/>
      </w:pPr>
      <w:r>
        <w:t>A</w:t>
      </w:r>
      <w:r w:rsidRPr="008479CE">
        <w:t>ccording to this paragraph</w:t>
      </w:r>
      <w:r>
        <w:t>,</w:t>
      </w:r>
      <w:r>
        <w:rPr>
          <w:lang w:val="en-GB" w:bidi="en-GB"/>
        </w:rPr>
        <w:t xml:space="preserve"> “</w:t>
      </w:r>
      <w:r>
        <w:rPr>
          <w:i/>
        </w:rPr>
        <w:t>e</w:t>
      </w:r>
      <w:r w:rsidRPr="003A0C06">
        <w:rPr>
          <w:i/>
        </w:rPr>
        <w:t xml:space="preserve">xisting </w:t>
      </w:r>
      <w:r w:rsidRPr="003A0C06">
        <w:rPr>
          <w:b/>
          <w:i/>
        </w:rPr>
        <w:t>community-based</w:t>
      </w:r>
      <w:r w:rsidRPr="003A0C06">
        <w:rPr>
          <w:i/>
        </w:rPr>
        <w:t xml:space="preserve"> services</w:t>
      </w:r>
      <w:r>
        <w:t xml:space="preserve">“ </w:t>
      </w:r>
      <w:r w:rsidRPr="008479CE">
        <w:t xml:space="preserve">should be mapped </w:t>
      </w:r>
      <w:r>
        <w:t>and only then it should</w:t>
      </w:r>
      <w:r w:rsidRPr="008479CE">
        <w:t xml:space="preserve"> be assessed whether or not it is indeed a community type of service in accordance with the Convention. </w:t>
      </w:r>
      <w:r>
        <w:t>F</w:t>
      </w:r>
      <w:r w:rsidRPr="008479CE">
        <w:t xml:space="preserve">or this reason, </w:t>
      </w:r>
      <w:r w:rsidRPr="003A0C06">
        <w:rPr>
          <w:b/>
        </w:rPr>
        <w:t xml:space="preserve">I suggest deleting the word </w:t>
      </w:r>
      <w:r w:rsidR="0045226B">
        <w:rPr>
          <w:lang w:val="en-GB" w:bidi="en-GB"/>
        </w:rPr>
        <w:t>“</w:t>
      </w:r>
      <w:r w:rsidRPr="003A0C06">
        <w:rPr>
          <w:b/>
        </w:rPr>
        <w:t>community</w:t>
      </w:r>
      <w:r w:rsidR="0045226B">
        <w:rPr>
          <w:b/>
        </w:rPr>
        <w:t>“</w:t>
      </w:r>
      <w:r w:rsidRPr="003A0C06">
        <w:rPr>
          <w:b/>
        </w:rPr>
        <w:t xml:space="preserve"> from the first sentence and leaving only </w:t>
      </w:r>
      <w:r w:rsidR="0045226B">
        <w:rPr>
          <w:lang w:val="en-GB" w:bidi="en-GB"/>
        </w:rPr>
        <w:t>“</w:t>
      </w:r>
      <w:r w:rsidRPr="003A0C06">
        <w:rPr>
          <w:b/>
        </w:rPr>
        <w:t>existing services</w:t>
      </w:r>
      <w:r w:rsidR="0045226B">
        <w:rPr>
          <w:b/>
        </w:rPr>
        <w:t>“</w:t>
      </w:r>
      <w:r w:rsidRPr="003A0C06">
        <w:rPr>
          <w:b/>
        </w:rPr>
        <w:t>.</w:t>
      </w:r>
      <w:r w:rsidRPr="008479CE">
        <w:t xml:space="preserve">  A service can then be designated as community after the mapping process has been completed if it </w:t>
      </w:r>
      <w:r w:rsidR="007E17AB">
        <w:t xml:space="preserve">really </w:t>
      </w:r>
      <w:r w:rsidRPr="008479CE">
        <w:t xml:space="preserve">meets the defined characteristics.  </w:t>
      </w:r>
    </w:p>
    <w:p w:rsidR="00554EF7" w:rsidRDefault="00554EF7" w:rsidP="00554EF7">
      <w:pPr>
        <w:pStyle w:val="BodyText"/>
      </w:pPr>
      <w:r>
        <w:t xml:space="preserve">Paragraph 63, second sentence: </w:t>
      </w:r>
    </w:p>
    <w:p w:rsidR="00554EF7" w:rsidRPr="008479CE" w:rsidRDefault="00554EF7" w:rsidP="008479CE">
      <w:pPr>
        <w:pStyle w:val="BodyText"/>
      </w:pPr>
      <w:r w:rsidRPr="000C2D04">
        <w:t xml:space="preserve">I disagree that </w:t>
      </w:r>
      <w:r>
        <w:t xml:space="preserve">medical </w:t>
      </w:r>
      <w:r w:rsidRPr="000C2D04">
        <w:t>professionals should be completely excluded from the development of new tools for assessing the needs of people with disabilities. Collaboration between professionals from different disciplines and a multidisciplinary approach is important</w:t>
      </w:r>
      <w:r>
        <w:t>.</w:t>
      </w:r>
      <w:r w:rsidRPr="000C2D04">
        <w:t xml:space="preserve"> </w:t>
      </w:r>
      <w:r w:rsidRPr="00276238">
        <w:rPr>
          <w:b/>
        </w:rPr>
        <w:t>I therefore suggest that the last part of the second sentence concerning medical professionals should be deleted.</w:t>
      </w:r>
    </w:p>
    <w:p w:rsidR="00B41D98" w:rsidRDefault="00330059" w:rsidP="00022CA1">
      <w:pPr>
        <w:pStyle w:val="BodyText"/>
      </w:pPr>
      <w:r>
        <w:t>Paragraph 64:</w:t>
      </w:r>
    </w:p>
    <w:p w:rsidR="00022CA1" w:rsidRPr="00276238" w:rsidRDefault="006063E8" w:rsidP="00022CA1">
      <w:pPr>
        <w:pStyle w:val="BodyText"/>
        <w:rPr>
          <w:b/>
        </w:rPr>
      </w:pPr>
      <w:r>
        <w:t>T</w:t>
      </w:r>
      <w:r w:rsidR="00330059" w:rsidRPr="00330059">
        <w:t xml:space="preserve">he content of the third and fourth sentences is not thematically related to the issue of workforce analysis. I recommend the issue of the need to provide services under the direct control of a person with a disability and the licensing of new services </w:t>
      </w:r>
      <w:r w:rsidR="00276238" w:rsidRPr="00276238">
        <w:rPr>
          <w:b/>
        </w:rPr>
        <w:t xml:space="preserve">put </w:t>
      </w:r>
      <w:r w:rsidR="00330059" w:rsidRPr="00276238">
        <w:rPr>
          <w:b/>
        </w:rPr>
        <w:t>in another section of the guidance.</w:t>
      </w:r>
      <w:r w:rsidR="00022CA1" w:rsidRPr="00276238">
        <w:rPr>
          <w:b/>
        </w:rPr>
        <w:t xml:space="preserve"> </w:t>
      </w:r>
    </w:p>
    <w:p w:rsidR="00010446" w:rsidRDefault="00010446" w:rsidP="00010446">
      <w:pPr>
        <w:pStyle w:val="BodyText"/>
      </w:pPr>
      <w:r>
        <w:t xml:space="preserve">Paragraph 65, first sentence: </w:t>
      </w:r>
    </w:p>
    <w:p w:rsidR="00010446" w:rsidRPr="00010446" w:rsidRDefault="00010446" w:rsidP="000C2D04">
      <w:pPr>
        <w:pStyle w:val="BodyText"/>
        <w:rPr>
          <w:b/>
          <w:i/>
        </w:rPr>
      </w:pPr>
      <w:r w:rsidRPr="009C59DF">
        <w:t xml:space="preserve">I </w:t>
      </w:r>
      <w:r>
        <w:t>recommend that</w:t>
      </w:r>
      <w:r w:rsidR="00105E3D">
        <w:t xml:space="preserve"> </w:t>
      </w:r>
      <w:r w:rsidRPr="009C59DF">
        <w:t xml:space="preserve">a detailed plan of action should </w:t>
      </w:r>
      <w:r w:rsidRPr="00276238">
        <w:rPr>
          <w:b/>
        </w:rPr>
        <w:t xml:space="preserve">also identify </w:t>
      </w:r>
      <w:r w:rsidRPr="00276238">
        <w:rPr>
          <w:b/>
          <w:i/>
        </w:rPr>
        <w:t xml:space="preserve">the authority responsible for the deinstitutionalisation proces. </w:t>
      </w:r>
    </w:p>
    <w:p w:rsidR="00B41D98" w:rsidRDefault="00022CA1" w:rsidP="00D423DD">
      <w:pPr>
        <w:jc w:val="both"/>
      </w:pPr>
      <w:r>
        <w:t>Paragraph 117</w:t>
      </w:r>
      <w:r w:rsidR="00C9783D">
        <w:t>, second sentence</w:t>
      </w:r>
      <w:r>
        <w:t xml:space="preserve">: </w:t>
      </w:r>
    </w:p>
    <w:p w:rsidR="00B41D98" w:rsidRDefault="00B41D98" w:rsidP="00D423DD">
      <w:pPr>
        <w:jc w:val="both"/>
      </w:pPr>
    </w:p>
    <w:p w:rsidR="008E6C48" w:rsidRPr="00AF0FF1" w:rsidRDefault="000455BD" w:rsidP="00D423DD">
      <w:pPr>
        <w:jc w:val="both"/>
        <w:rPr>
          <w:b/>
        </w:rPr>
      </w:pPr>
      <w:r>
        <w:t>T</w:t>
      </w:r>
      <w:r w:rsidR="00010446">
        <w:t>he G</w:t>
      </w:r>
      <w:r w:rsidR="00022CA1" w:rsidRPr="00022CA1">
        <w:t>uidelines here commit states to a serious obligation</w:t>
      </w:r>
      <w:r>
        <w:t xml:space="preserve"> </w:t>
      </w:r>
      <w:r w:rsidR="00D423DD">
        <w:t xml:space="preserve">to provide an </w:t>
      </w:r>
      <w:r w:rsidR="00D423DD" w:rsidRPr="008E6C48">
        <w:rPr>
          <w:b/>
        </w:rPr>
        <w:t>automatic</w:t>
      </w:r>
      <w:r w:rsidR="00D423DD">
        <w:t xml:space="preserve"> compensation</w:t>
      </w:r>
      <w:r w:rsidRPr="000455BD">
        <w:t xml:space="preserve"> </w:t>
      </w:r>
      <w:r w:rsidR="00D423DD" w:rsidRPr="00D423DD">
        <w:t>to survivors of institutionalization</w:t>
      </w:r>
      <w:r w:rsidR="00D423DD">
        <w:t>.</w:t>
      </w:r>
      <w:r w:rsidR="008E6C48">
        <w:t xml:space="preserve"> H</w:t>
      </w:r>
      <w:r w:rsidR="008E6C48" w:rsidRPr="008E6C48">
        <w:t>owever, this obligation is no</w:t>
      </w:r>
      <w:r w:rsidR="008E6C48">
        <w:t>t sufficiently clarified here. S</w:t>
      </w:r>
      <w:r w:rsidR="000A0202">
        <w:t xml:space="preserve">pecifically, </w:t>
      </w:r>
      <w:r w:rsidR="000A0202" w:rsidRPr="00AF0FF1">
        <w:rPr>
          <w:b/>
        </w:rPr>
        <w:t>I</w:t>
      </w:r>
      <w:r w:rsidR="008E6C48" w:rsidRPr="00AF0FF1">
        <w:rPr>
          <w:b/>
        </w:rPr>
        <w:t xml:space="preserve"> suggest that the paragraph in question must address the issue of:</w:t>
      </w:r>
    </w:p>
    <w:p w:rsidR="008E6C48" w:rsidRDefault="008E6C48" w:rsidP="008E6C48">
      <w:pPr>
        <w:jc w:val="both"/>
      </w:pPr>
    </w:p>
    <w:p w:rsidR="008E6C48" w:rsidRDefault="008E6C48" w:rsidP="00B41D98">
      <w:pPr>
        <w:pStyle w:val="ListParagraph"/>
        <w:numPr>
          <w:ilvl w:val="0"/>
          <w:numId w:val="32"/>
        </w:numPr>
        <w:jc w:val="both"/>
      </w:pPr>
      <w:proofErr w:type="gramStart"/>
      <w:r>
        <w:lastRenderedPageBreak/>
        <w:t>does</w:t>
      </w:r>
      <w:proofErr w:type="gramEnd"/>
      <w:r>
        <w:t xml:space="preserve"> a person with a disability</w:t>
      </w:r>
      <w:r w:rsidR="000A0202">
        <w:t>,</w:t>
      </w:r>
      <w:r>
        <w:t xml:space="preserve"> who has entered into a contract for the provision of a social service in an institution on a completely voluntary basis</w:t>
      </w:r>
      <w:r w:rsidR="000A0202">
        <w:t>,</w:t>
      </w:r>
      <w:r>
        <w:t xml:space="preserve"> have a right to compensation</w:t>
      </w:r>
      <w:r w:rsidR="001C394A">
        <w:t xml:space="preserve">. </w:t>
      </w:r>
    </w:p>
    <w:p w:rsidR="000A0202" w:rsidRDefault="000A0202" w:rsidP="008E6C48">
      <w:pPr>
        <w:jc w:val="both"/>
      </w:pPr>
    </w:p>
    <w:p w:rsidR="001C394A" w:rsidRDefault="000A0202" w:rsidP="001C394A">
      <w:pPr>
        <w:pStyle w:val="ListParagraph"/>
        <w:numPr>
          <w:ilvl w:val="0"/>
          <w:numId w:val="32"/>
        </w:numPr>
        <w:jc w:val="both"/>
      </w:pPr>
      <w:proofErr w:type="gramStart"/>
      <w:r>
        <w:t>does</w:t>
      </w:r>
      <w:proofErr w:type="gramEnd"/>
      <w:r>
        <w:t xml:space="preserve"> a person with a disability, who has a compelling need for psychiatric care and voluntarily undergoes a medical treatment in mental health care institutions, have a right to compensation</w:t>
      </w:r>
      <w:r w:rsidR="001C394A">
        <w:t>.</w:t>
      </w:r>
    </w:p>
    <w:p w:rsidR="001C394A" w:rsidRDefault="001C394A" w:rsidP="001C394A">
      <w:pPr>
        <w:jc w:val="both"/>
      </w:pPr>
    </w:p>
    <w:p w:rsidR="001A2B61" w:rsidRPr="001A2B61" w:rsidRDefault="001A2B61" w:rsidP="00B41D98">
      <w:pPr>
        <w:pStyle w:val="ListParagraph"/>
        <w:numPr>
          <w:ilvl w:val="0"/>
          <w:numId w:val="32"/>
        </w:numPr>
        <w:jc w:val="both"/>
      </w:pPr>
      <w:proofErr w:type="gramStart"/>
      <w:r>
        <w:t>is</w:t>
      </w:r>
      <w:proofErr w:type="gramEnd"/>
      <w:r>
        <w:t xml:space="preserve"> </w:t>
      </w:r>
      <w:r w:rsidRPr="001A2B61">
        <w:t xml:space="preserve">everyone </w:t>
      </w:r>
      <w:r>
        <w:t xml:space="preserve">really </w:t>
      </w:r>
      <w:r w:rsidRPr="001A2B61">
        <w:t xml:space="preserve">entitled to compensation automatically, without having to meet other conditions, such as living in an institution for a certain </w:t>
      </w:r>
      <w:r>
        <w:t xml:space="preserve">minimum </w:t>
      </w:r>
      <w:r w:rsidRPr="001A2B61">
        <w:t>number of days, etc.</w:t>
      </w:r>
    </w:p>
    <w:p w:rsidR="003B2619" w:rsidRDefault="003B2619" w:rsidP="000A0202">
      <w:pPr>
        <w:jc w:val="both"/>
      </w:pPr>
    </w:p>
    <w:p w:rsidR="001A2B61" w:rsidRDefault="001A2B61" w:rsidP="00B41D98">
      <w:pPr>
        <w:pStyle w:val="ListParagraph"/>
        <w:numPr>
          <w:ilvl w:val="0"/>
          <w:numId w:val="32"/>
        </w:numPr>
        <w:jc w:val="both"/>
      </w:pPr>
      <w:proofErr w:type="gramStart"/>
      <w:r w:rsidRPr="001A2B61">
        <w:t>which</w:t>
      </w:r>
      <w:proofErr w:type="gramEnd"/>
      <w:r w:rsidRPr="001A2B61">
        <w:t xml:space="preserve"> authority or body should decide on the disabled person's entitlement to compensation (e.g. a general court or a special body should be set up due to the possible number of compensation cases)</w:t>
      </w:r>
      <w:r w:rsidR="001C394A">
        <w:t>.</w:t>
      </w:r>
    </w:p>
    <w:p w:rsidR="00F70551" w:rsidRDefault="00F70551" w:rsidP="000A0202">
      <w:pPr>
        <w:jc w:val="both"/>
      </w:pPr>
    </w:p>
    <w:p w:rsidR="001A2B61" w:rsidRDefault="00F70551" w:rsidP="00B41D98">
      <w:pPr>
        <w:pStyle w:val="ListParagraph"/>
        <w:numPr>
          <w:ilvl w:val="0"/>
          <w:numId w:val="32"/>
        </w:numPr>
        <w:jc w:val="both"/>
      </w:pPr>
      <w:proofErr w:type="gramStart"/>
      <w:r w:rsidRPr="00F70551">
        <w:t>at</w:t>
      </w:r>
      <w:proofErr w:type="gramEnd"/>
      <w:r w:rsidRPr="00F70551">
        <w:t xml:space="preserve"> what point does a person with a disability become entitled to compensation (e.g. when they leave the institution or even if they remain in the institution)</w:t>
      </w:r>
      <w:r w:rsidR="001C394A">
        <w:t>.</w:t>
      </w:r>
    </w:p>
    <w:p w:rsidR="0098099A" w:rsidRDefault="0098099A" w:rsidP="000A0202">
      <w:pPr>
        <w:jc w:val="both"/>
      </w:pPr>
    </w:p>
    <w:p w:rsidR="0098099A" w:rsidRDefault="0098099A" w:rsidP="001C394A">
      <w:pPr>
        <w:pStyle w:val="ListParagraph"/>
        <w:numPr>
          <w:ilvl w:val="0"/>
          <w:numId w:val="32"/>
        </w:numPr>
        <w:jc w:val="both"/>
      </w:pPr>
      <w:proofErr w:type="gramStart"/>
      <w:r>
        <w:t>at</w:t>
      </w:r>
      <w:proofErr w:type="gramEnd"/>
      <w:r>
        <w:t xml:space="preserve"> what point the wording of this paragraph relating to entitlement to compensation becomes </w:t>
      </w:r>
      <w:r w:rsidRPr="001C394A">
        <w:rPr>
          <w:color w:val="000000" w:themeColor="text1"/>
        </w:rPr>
        <w:t xml:space="preserve">effective; here it is specifically necessary to define, whether persons with disabilities, </w:t>
      </w:r>
      <w:r w:rsidR="00426264" w:rsidRPr="001C394A">
        <w:rPr>
          <w:color w:val="000000" w:themeColor="text1"/>
        </w:rPr>
        <w:t xml:space="preserve">who joined the institution </w:t>
      </w:r>
      <w:r w:rsidR="00426264">
        <w:rPr>
          <w:color w:val="000000" w:themeColor="text1"/>
        </w:rPr>
        <w:t xml:space="preserve">or </w:t>
      </w:r>
      <w:r w:rsidRPr="001C394A">
        <w:rPr>
          <w:color w:val="000000" w:themeColor="text1"/>
        </w:rPr>
        <w:t>who left the institution</w:t>
      </w:r>
      <w:r w:rsidR="001C394A">
        <w:rPr>
          <w:color w:val="000000" w:themeColor="text1"/>
        </w:rPr>
        <w:t xml:space="preserve"> </w:t>
      </w:r>
      <w:r w:rsidRPr="001C394A">
        <w:rPr>
          <w:color w:val="000000" w:themeColor="text1"/>
        </w:rPr>
        <w:t>before the Convention on the Rights of Persons with Disabilities came into force, will be also entitled to compensation.</w:t>
      </w:r>
      <w:r w:rsidRPr="001C394A">
        <w:rPr>
          <w:rStyle w:val="FootnoteReference"/>
          <w:color w:val="000000" w:themeColor="text1"/>
        </w:rPr>
        <w:footnoteReference w:id="12"/>
      </w:r>
      <w:r w:rsidRPr="001C394A">
        <w:rPr>
          <w:color w:val="000000" w:themeColor="text1"/>
        </w:rPr>
        <w:t xml:space="preserve"> </w:t>
      </w:r>
    </w:p>
    <w:p w:rsidR="000A0202" w:rsidRDefault="000A0202" w:rsidP="000A0202">
      <w:pPr>
        <w:jc w:val="both"/>
      </w:pPr>
    </w:p>
    <w:p w:rsidR="00B41D98" w:rsidRDefault="00AE08CD" w:rsidP="00ED6AF6">
      <w:pPr>
        <w:pStyle w:val="BodyText"/>
      </w:pPr>
      <w:r>
        <w:t>Paragraph 134</w:t>
      </w:r>
      <w:r w:rsidR="00A4716D">
        <w:t>, first sentence</w:t>
      </w:r>
      <w:r>
        <w:t>:</w:t>
      </w:r>
      <w:r w:rsidR="00F61E6C" w:rsidRPr="00F61E6C">
        <w:t xml:space="preserve"> </w:t>
      </w:r>
    </w:p>
    <w:p w:rsidR="00AE08CD" w:rsidRDefault="00F61E6C" w:rsidP="00ED6AF6">
      <w:pPr>
        <w:pStyle w:val="BodyText"/>
      </w:pPr>
      <w:r w:rsidRPr="00F61E6C">
        <w:t xml:space="preserve">Here a problem arises, </w:t>
      </w:r>
      <w:r w:rsidRPr="003A0C06">
        <w:rPr>
          <w:color w:val="000000" w:themeColor="text1"/>
        </w:rPr>
        <w:t xml:space="preserve">according to </w:t>
      </w:r>
      <w:r w:rsidR="00A4716D" w:rsidRPr="003A0C06">
        <w:rPr>
          <w:color w:val="000000" w:themeColor="text1"/>
        </w:rPr>
        <w:t xml:space="preserve">the </w:t>
      </w:r>
      <w:r w:rsidRPr="003A0C06">
        <w:rPr>
          <w:color w:val="000000" w:themeColor="text1"/>
        </w:rPr>
        <w:t>law</w:t>
      </w:r>
      <w:r w:rsidR="001C394A">
        <w:rPr>
          <w:color w:val="000000" w:themeColor="text1"/>
        </w:rPr>
        <w:t xml:space="preserve"> rules</w:t>
      </w:r>
      <w:r w:rsidRPr="003A0C06">
        <w:rPr>
          <w:color w:val="000000" w:themeColor="text1"/>
        </w:rPr>
        <w:t xml:space="preserve">, </w:t>
      </w:r>
      <w:r w:rsidRPr="00F61E6C">
        <w:t xml:space="preserve">providers of social or health services are </w:t>
      </w:r>
      <w:r w:rsidR="00D55D18">
        <w:t xml:space="preserve">usually </w:t>
      </w:r>
      <w:r w:rsidRPr="00F61E6C">
        <w:t>obliged to keep records of a person with a disability even after his or her release from the institution.</w:t>
      </w:r>
      <w:r w:rsidR="0032490A">
        <w:rPr>
          <w:rStyle w:val="FootnoteReference"/>
        </w:rPr>
        <w:footnoteReference w:id="13"/>
      </w:r>
      <w:r w:rsidRPr="00F61E6C">
        <w:t xml:space="preserve"> Providers also have a duty of confidentiality, which would ensure the protection of people with disabilities</w:t>
      </w:r>
      <w:r>
        <w:t>.</w:t>
      </w:r>
      <w:r w:rsidR="00A4716D">
        <w:rPr>
          <w:rStyle w:val="FootnoteReference"/>
        </w:rPr>
        <w:footnoteReference w:id="14"/>
      </w:r>
      <w:r>
        <w:t xml:space="preserve"> </w:t>
      </w:r>
      <w:r w:rsidRPr="00F61E6C">
        <w:t xml:space="preserve">For this reason, I recommend that the </w:t>
      </w:r>
      <w:r w:rsidRPr="00AF0FF1">
        <w:rPr>
          <w:b/>
        </w:rPr>
        <w:t>first sentence should be deleted or at least it should be speci</w:t>
      </w:r>
      <w:r w:rsidR="00A4716D" w:rsidRPr="00AF0FF1">
        <w:rPr>
          <w:b/>
        </w:rPr>
        <w:t>fied more precisely what kind of</w:t>
      </w:r>
      <w:r w:rsidRPr="00AF0FF1">
        <w:rPr>
          <w:b/>
        </w:rPr>
        <w:t xml:space="preserve"> records of persons with disabilities the first sentence refers to</w:t>
      </w:r>
      <w:r>
        <w:t xml:space="preserve">. </w:t>
      </w:r>
    </w:p>
    <w:p w:rsidR="00AE08CD" w:rsidRPr="006063E8" w:rsidRDefault="00AE08CD"/>
    <w:sectPr w:rsidR="00AE08CD" w:rsidRPr="006063E8" w:rsidSect="00343CF6">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8" w:right="1701" w:bottom="1418" w:left="1701" w:header="170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33F" w:rsidRDefault="002B233F">
      <w:r>
        <w:separator/>
      </w:r>
    </w:p>
  </w:endnote>
  <w:endnote w:type="continuationSeparator" w:id="0">
    <w:p w:rsidR="002B233F" w:rsidRDefault="002B2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1E2" w:rsidRDefault="00FB21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ED8" w:rsidRPr="00C62ED8" w:rsidRDefault="00C62ED8" w:rsidP="00190FA8">
    <w:pPr>
      <w:pStyle w:val="kontakt"/>
      <w:tabs>
        <w:tab w:val="left" w:pos="7938"/>
      </w:tabs>
      <w:jc w:val="right"/>
      <w:rPr>
        <w:sz w:val="22"/>
        <w:szCs w:val="24"/>
      </w:rPr>
    </w:pPr>
    <w:r w:rsidRPr="00DD0A1A">
      <w:fldChar w:fldCharType="begin"/>
    </w:r>
    <w:r w:rsidRPr="00DD0A1A">
      <w:instrText>PAGE   \* MERGEFORMAT</w:instrText>
    </w:r>
    <w:r w:rsidRPr="00DD0A1A">
      <w:fldChar w:fldCharType="separate"/>
    </w:r>
    <w:r w:rsidR="00D41B7B">
      <w:rPr>
        <w:noProof/>
      </w:rPr>
      <w:t>7</w:t>
    </w:r>
    <w:r w:rsidRPr="00DD0A1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931"/>
    </w:tblGrid>
    <w:tr w:rsidR="00FB21E2" w:rsidRPr="0060183C" w:rsidTr="00CB388A">
      <w:tc>
        <w:tcPr>
          <w:tcW w:w="8931" w:type="dxa"/>
        </w:tcPr>
        <w:p w:rsidR="00FB21E2" w:rsidRPr="0060183C" w:rsidRDefault="00FB21E2" w:rsidP="00FB21E2">
          <w:pPr>
            <w:pStyle w:val="kontakt"/>
            <w:rPr>
              <w:lang w:val="en-GB"/>
            </w:rPr>
          </w:pPr>
          <w:r w:rsidRPr="0060183C">
            <w:rPr>
              <w:lang w:val="en-GB"/>
            </w:rPr>
            <w:t>Public Defender of Rights</w:t>
          </w:r>
          <w:r>
            <w:rPr>
              <w:lang w:val="en-GB"/>
            </w:rPr>
            <w:t xml:space="preserve"> (</w:t>
          </w:r>
          <w:proofErr w:type="spellStart"/>
          <w:r>
            <w:rPr>
              <w:lang w:val="en-GB"/>
            </w:rPr>
            <w:t>veřejný</w:t>
          </w:r>
          <w:proofErr w:type="spellEnd"/>
          <w:r>
            <w:rPr>
              <w:lang w:val="en-GB"/>
            </w:rPr>
            <w:t xml:space="preserve"> </w:t>
          </w:r>
          <w:proofErr w:type="spellStart"/>
          <w:r>
            <w:rPr>
              <w:lang w:val="en-GB"/>
            </w:rPr>
            <w:t>ochránce</w:t>
          </w:r>
          <w:proofErr w:type="spellEnd"/>
          <w:r>
            <w:rPr>
              <w:lang w:val="en-GB"/>
            </w:rPr>
            <w:t xml:space="preserve"> </w:t>
          </w:r>
          <w:proofErr w:type="spellStart"/>
          <w:r>
            <w:rPr>
              <w:lang w:val="en-GB"/>
            </w:rPr>
            <w:t>práv</w:t>
          </w:r>
          <w:proofErr w:type="spellEnd"/>
          <w:r>
            <w:rPr>
              <w:lang w:val="en-GB"/>
            </w:rPr>
            <w:t>)</w:t>
          </w:r>
          <w:r w:rsidRPr="0060183C">
            <w:rPr>
              <w:lang w:val="en-GB"/>
            </w:rPr>
            <w:t xml:space="preserve">, </w:t>
          </w:r>
          <w:proofErr w:type="spellStart"/>
          <w:r w:rsidRPr="0060183C">
            <w:rPr>
              <w:lang w:val="en-GB"/>
            </w:rPr>
            <w:t>Údolní</w:t>
          </w:r>
          <w:proofErr w:type="spellEnd"/>
          <w:r w:rsidRPr="0060183C">
            <w:rPr>
              <w:lang w:val="en-GB"/>
            </w:rPr>
            <w:t xml:space="preserve"> 39, 602 00 Brno</w:t>
          </w:r>
        </w:p>
      </w:tc>
    </w:tr>
    <w:tr w:rsidR="00FB21E2" w:rsidRPr="0060183C" w:rsidTr="00CB388A">
      <w:tc>
        <w:tcPr>
          <w:tcW w:w="8931" w:type="dxa"/>
        </w:tcPr>
        <w:p w:rsidR="00FB21E2" w:rsidRPr="0060183C" w:rsidRDefault="002B233F" w:rsidP="00FB21E2">
          <w:pPr>
            <w:pStyle w:val="kontakt"/>
            <w:rPr>
              <w:lang w:val="en-GB"/>
            </w:rPr>
          </w:pPr>
          <w:hyperlink r:id="rId1" w:history="1">
            <w:r w:rsidR="00FB21E2" w:rsidRPr="0060183C">
              <w:rPr>
                <w:rStyle w:val="Hyperlink"/>
                <w:lang w:val="en-GB"/>
              </w:rPr>
              <w:t>www.ochrance.cz</w:t>
            </w:r>
          </w:hyperlink>
          <w:r w:rsidR="00FB21E2" w:rsidRPr="0060183C">
            <w:rPr>
              <w:lang w:val="en-GB"/>
            </w:rPr>
            <w:t xml:space="preserve"> | </w:t>
          </w:r>
          <w:hyperlink r:id="rId2" w:history="1">
            <w:r w:rsidR="00FB21E2" w:rsidRPr="0060183C">
              <w:rPr>
                <w:rStyle w:val="Hyperlink"/>
                <w:lang w:val="en-GB"/>
              </w:rPr>
              <w:t>podatelna@ochrance.cz</w:t>
            </w:r>
          </w:hyperlink>
          <w:r w:rsidR="00FB21E2" w:rsidRPr="0060183C">
            <w:rPr>
              <w:lang w:val="en-GB"/>
            </w:rPr>
            <w:t xml:space="preserve"> | (+420) 542 542 888 –</w:t>
          </w:r>
          <w:r w:rsidR="00FB21E2">
            <w:rPr>
              <w:lang w:val="en-GB"/>
            </w:rPr>
            <w:t xml:space="preserve"> information line, Mo-Fri </w:t>
          </w:r>
          <w:r w:rsidR="00FB21E2" w:rsidRPr="0060183C">
            <w:rPr>
              <w:lang w:val="en-GB"/>
            </w:rPr>
            <w:t>from</w:t>
          </w:r>
          <w:r w:rsidR="00FB21E2" w:rsidRPr="0060183C">
            <w:rPr>
              <w:szCs w:val="20"/>
              <w:lang w:val="en-GB" w:bidi="en-GB"/>
            </w:rPr>
            <w:t xml:space="preserve"> 8:00 a.m. to 4:00 p.m.</w:t>
          </w:r>
        </w:p>
      </w:tc>
    </w:tr>
  </w:tbl>
  <w:p w:rsidR="00C62ED8" w:rsidRPr="00D027A4" w:rsidRDefault="00C62ED8" w:rsidP="008B62A1">
    <w:pPr>
      <w:pStyle w:val="Footer"/>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33F" w:rsidRDefault="002B233F">
      <w:r>
        <w:separator/>
      </w:r>
    </w:p>
  </w:footnote>
  <w:footnote w:type="continuationSeparator" w:id="0">
    <w:p w:rsidR="002B233F" w:rsidRDefault="002B233F">
      <w:r>
        <w:continuationSeparator/>
      </w:r>
    </w:p>
  </w:footnote>
  <w:footnote w:id="1">
    <w:p w:rsidR="009B7078" w:rsidRPr="009B7078" w:rsidRDefault="009B7078" w:rsidP="009B7078">
      <w:pPr>
        <w:pStyle w:val="FootnoteText"/>
      </w:pPr>
      <w:r>
        <w:rPr>
          <w:rStyle w:val="FootnoteReference"/>
        </w:rPr>
        <w:footnoteRef/>
      </w:r>
      <w:r>
        <w:t xml:space="preserve"> </w:t>
      </w:r>
      <w:r>
        <w:rPr>
          <w:lang w:val="cs-CZ"/>
        </w:rPr>
        <w:t>I</w:t>
      </w:r>
      <w:r w:rsidRPr="009B7078">
        <w:t>f, for example, a person with a disability can no longer be supported by their informal carers or the person with a disability no longer wishes to be supported</w:t>
      </w:r>
      <w:r>
        <w:rPr>
          <w:lang w:val="cs-CZ"/>
        </w:rPr>
        <w:t xml:space="preserve"> this way</w:t>
      </w:r>
      <w:r w:rsidRPr="009B7078">
        <w:t>.</w:t>
      </w:r>
    </w:p>
  </w:footnote>
  <w:footnote w:id="2">
    <w:p w:rsidR="007A031D" w:rsidRPr="003A0C06" w:rsidRDefault="007A031D">
      <w:pPr>
        <w:pStyle w:val="FootnoteText"/>
        <w:rPr>
          <w:lang w:val="cs-CZ"/>
        </w:rPr>
      </w:pPr>
      <w:r>
        <w:rPr>
          <w:rStyle w:val="FootnoteReference"/>
        </w:rPr>
        <w:footnoteRef/>
      </w:r>
      <w:r>
        <w:t xml:space="preserve"> </w:t>
      </w:r>
      <w:r>
        <w:rPr>
          <w:lang w:val="cs-CZ"/>
        </w:rPr>
        <w:t>T</w:t>
      </w:r>
      <w:r w:rsidRPr="007A031D">
        <w:t>his recommendation is not further elaborated in the text below.</w:t>
      </w:r>
    </w:p>
  </w:footnote>
  <w:footnote w:id="3">
    <w:p w:rsidR="00171566" w:rsidRPr="008847CD" w:rsidRDefault="00171566" w:rsidP="00171566">
      <w:pPr>
        <w:pStyle w:val="FootnoteText"/>
        <w:rPr>
          <w:lang w:val="cs-CZ"/>
        </w:rPr>
      </w:pPr>
      <w:r>
        <w:rPr>
          <w:rStyle w:val="FootnoteReference"/>
        </w:rPr>
        <w:footnoteRef/>
      </w:r>
      <w:r>
        <w:t xml:space="preserve"> </w:t>
      </w:r>
      <w:r w:rsidRPr="008847CD">
        <w:rPr>
          <w:lang w:val="cs-CZ"/>
        </w:rPr>
        <w:t>In the Czech Republic, for example, a typical residential service for people with disabilities is the so-called home for people with disabilities. It provides clients with accommodation, food, assistance in managing the usual tasks of caring for their own person, social therapy activities, and more. The Ministry of Labour and Social Affairs has issued criteria for community services, which define for residential services both how they are to provide support in accordance with the Convention and at the same time define the material and technical requirements for accommodation.</w:t>
      </w:r>
      <w:r>
        <w:rPr>
          <w:lang w:val="cs-CZ"/>
        </w:rPr>
        <w:t xml:space="preserve"> A</w:t>
      </w:r>
      <w:r w:rsidRPr="00721ADD">
        <w:rPr>
          <w:lang w:val="cs-CZ"/>
        </w:rPr>
        <w:t>ccommodation requirements include</w:t>
      </w:r>
      <w:r>
        <w:rPr>
          <w:lang w:val="cs-CZ"/>
        </w:rPr>
        <w:t>:</w:t>
      </w:r>
    </w:p>
    <w:p w:rsidR="00171566" w:rsidRDefault="00171566" w:rsidP="00171566">
      <w:pPr>
        <w:pStyle w:val="FootnoteText"/>
        <w:rPr>
          <w:i/>
          <w:lang w:val="cs-CZ"/>
        </w:rPr>
      </w:pPr>
      <w:r w:rsidRPr="00FA5447">
        <w:t>“</w:t>
      </w:r>
      <w:r w:rsidRPr="00FA5447">
        <w:rPr>
          <w:i/>
        </w:rPr>
        <w:t>The household is located in a family house or small apartment building</w:t>
      </w:r>
      <w:r w:rsidRPr="00FA5447">
        <w:rPr>
          <w:i/>
          <w:lang w:val="cs-CZ"/>
        </w:rPr>
        <w:t xml:space="preserve"> </w:t>
      </w:r>
      <w:r w:rsidRPr="00FA5447">
        <w:rPr>
          <w:i/>
        </w:rPr>
        <w:t>structurally adapted to the target population. This family house or</w:t>
      </w:r>
      <w:r w:rsidRPr="00FA5447">
        <w:rPr>
          <w:i/>
          <w:lang w:val="cs-CZ"/>
        </w:rPr>
        <w:t xml:space="preserve"> </w:t>
      </w:r>
      <w:r w:rsidRPr="00FA5447">
        <w:rPr>
          <w:i/>
        </w:rPr>
        <w:t>apartment building must be in a conventional residential or mixed-use development occupied by conventional</w:t>
      </w:r>
      <w:r w:rsidRPr="00FA5447">
        <w:rPr>
          <w:i/>
          <w:lang w:val="cs-CZ"/>
        </w:rPr>
        <w:t xml:space="preserve"> </w:t>
      </w:r>
      <w:r w:rsidRPr="00FA5447">
        <w:rPr>
          <w:i/>
        </w:rPr>
        <w:t xml:space="preserve">households, shall not be in the immediate vicinity of a similar house </w:t>
      </w:r>
      <w:proofErr w:type="spellStart"/>
      <w:r w:rsidRPr="00FA5447">
        <w:rPr>
          <w:i/>
        </w:rPr>
        <w:t>orother</w:t>
      </w:r>
      <w:proofErr w:type="spellEnd"/>
      <w:r w:rsidRPr="00FA5447">
        <w:rPr>
          <w:i/>
        </w:rPr>
        <w:t xml:space="preserve"> social care service facility. It shall not create an excluded locality or</w:t>
      </w:r>
      <w:r w:rsidRPr="00FA5447">
        <w:rPr>
          <w:i/>
          <w:lang w:val="cs-CZ"/>
        </w:rPr>
        <w:t xml:space="preserve"> </w:t>
      </w:r>
      <w:r w:rsidRPr="00FA5447">
        <w:rPr>
          <w:i/>
        </w:rPr>
        <w:t>segregated enclave occupied by social services clients</w:t>
      </w:r>
      <w:r w:rsidRPr="00FA5447">
        <w:rPr>
          <w:i/>
          <w:lang w:val="cs-CZ"/>
        </w:rPr>
        <w:t>.“</w:t>
      </w:r>
    </w:p>
    <w:p w:rsidR="00171566" w:rsidRDefault="00171566" w:rsidP="00171566">
      <w:pPr>
        <w:pStyle w:val="FootnoteText"/>
        <w:rPr>
          <w:i/>
          <w:lang w:val="cs-CZ"/>
        </w:rPr>
      </w:pPr>
      <w:r>
        <w:rPr>
          <w:i/>
          <w:lang w:val="cs-CZ"/>
        </w:rPr>
        <w:t>„</w:t>
      </w:r>
      <w:r w:rsidRPr="00DF095F">
        <w:rPr>
          <w:i/>
        </w:rPr>
        <w:t>No more than 12 users of social services live in one family or apartment house</w:t>
      </w:r>
      <w:r w:rsidRPr="00DF095F">
        <w:rPr>
          <w:i/>
          <w:lang w:val="cs-CZ"/>
        </w:rPr>
        <w:t xml:space="preserve"> </w:t>
      </w:r>
      <w:r w:rsidRPr="00DF095F">
        <w:rPr>
          <w:i/>
        </w:rPr>
        <w:t>long-term residential care, if they are people with low or</w:t>
      </w:r>
      <w:r w:rsidRPr="00DF095F">
        <w:rPr>
          <w:i/>
          <w:lang w:val="cs-CZ"/>
        </w:rPr>
        <w:t xml:space="preserve"> </w:t>
      </w:r>
      <w:r w:rsidRPr="00DF095F">
        <w:rPr>
          <w:i/>
        </w:rPr>
        <w:t>medium level of support (adults). No more than 18 service users living in one family or residential home</w:t>
      </w:r>
      <w:r w:rsidRPr="00DF095F">
        <w:rPr>
          <w:i/>
          <w:lang w:val="cs-CZ"/>
        </w:rPr>
        <w:t xml:space="preserve"> </w:t>
      </w:r>
      <w:r w:rsidRPr="00DF095F">
        <w:rPr>
          <w:i/>
        </w:rPr>
        <w:t>social care services associated with long-term residence, if they are people with a need for</w:t>
      </w:r>
      <w:r w:rsidRPr="00DF095F">
        <w:rPr>
          <w:i/>
          <w:lang w:val="cs-CZ"/>
        </w:rPr>
        <w:t xml:space="preserve"> </w:t>
      </w:r>
      <w:r w:rsidRPr="00DF095F">
        <w:rPr>
          <w:i/>
        </w:rPr>
        <w:t>a high level of support (adults)…</w:t>
      </w:r>
      <w:r w:rsidRPr="00DF095F">
        <w:rPr>
          <w:i/>
          <w:lang w:val="cs-CZ"/>
        </w:rPr>
        <w:t>.“</w:t>
      </w:r>
    </w:p>
    <w:p w:rsidR="00955785" w:rsidRPr="00955785" w:rsidRDefault="00955785" w:rsidP="00955785">
      <w:pPr>
        <w:pStyle w:val="FootnoteText"/>
        <w:rPr>
          <w:lang w:val="cs-CZ"/>
        </w:rPr>
      </w:pPr>
      <w:r w:rsidRPr="00955785">
        <w:rPr>
          <w:lang w:val="cs-CZ"/>
        </w:rPr>
        <w:t>The criteria for community services issued</w:t>
      </w:r>
      <w:r>
        <w:rPr>
          <w:lang w:val="cs-CZ"/>
        </w:rPr>
        <w:t xml:space="preserve"> by the Czech </w:t>
      </w:r>
      <w:r w:rsidRPr="00955785">
        <w:rPr>
          <w:lang w:val="cs-CZ"/>
        </w:rPr>
        <w:t>Ministry of Labour and Social Affairs</w:t>
      </w:r>
      <w:r>
        <w:rPr>
          <w:lang w:val="cs-CZ"/>
        </w:rPr>
        <w:t xml:space="preserve"> are available here: </w:t>
      </w:r>
      <w:r w:rsidR="002B233F">
        <w:fldChar w:fldCharType="begin"/>
      </w:r>
      <w:r w:rsidR="002B233F">
        <w:instrText xml:space="preserve"> HYPERLINK "https://www.mpsv.cz/kriteria-socialnich-sluzeb-komunitniho-charakteru-a-kriteria-transform</w:instrText>
      </w:r>
      <w:r w:rsidR="002B233F">
        <w:instrText xml:space="preserve">ace-a-deinstitucionalizace" </w:instrText>
      </w:r>
      <w:r w:rsidR="002B233F">
        <w:fldChar w:fldCharType="separate"/>
      </w:r>
      <w:r w:rsidR="007B3131" w:rsidRPr="0030655C">
        <w:rPr>
          <w:rStyle w:val="Hyperlink"/>
          <w:lang w:val="cs-CZ"/>
        </w:rPr>
        <w:t>https://www.mpsv.cz/kriteria-socialnich-sluzeb-komunitniho-charakteru-a-kriteria-transformace-a-deinstitucionalizace</w:t>
      </w:r>
      <w:r w:rsidR="002B233F">
        <w:rPr>
          <w:rStyle w:val="Hyperlink"/>
          <w:lang w:val="cs-CZ"/>
        </w:rPr>
        <w:fldChar w:fldCharType="end"/>
      </w:r>
      <w:r w:rsidR="007B3131">
        <w:rPr>
          <w:lang w:val="cs-CZ"/>
        </w:rPr>
        <w:t xml:space="preserve">. </w:t>
      </w:r>
    </w:p>
  </w:footnote>
  <w:footnote w:id="4">
    <w:p w:rsidR="00AF1C80" w:rsidRPr="003A0C06" w:rsidRDefault="00AF1C80" w:rsidP="00AF1C80">
      <w:pPr>
        <w:pStyle w:val="FootnoteText"/>
        <w:rPr>
          <w:lang w:val="cs-CZ"/>
        </w:rPr>
      </w:pPr>
      <w:r>
        <w:rPr>
          <w:rStyle w:val="FootnoteReference"/>
        </w:rPr>
        <w:footnoteRef/>
      </w:r>
      <w:r>
        <w:t xml:space="preserve"> </w:t>
      </w:r>
      <w:r>
        <w:rPr>
          <w:lang w:val="cs-CZ"/>
        </w:rPr>
        <w:t xml:space="preserve">Such </w:t>
      </w:r>
      <w:r>
        <w:rPr>
          <w:lang w:val="cs-CZ"/>
        </w:rPr>
        <w:t xml:space="preserve">as </w:t>
      </w:r>
      <w:r w:rsidRPr="00FF7A55">
        <w:rPr>
          <w:lang w:val="cs-CZ"/>
        </w:rPr>
        <w:t>obligatory sharing of assistants with others</w:t>
      </w:r>
      <w:r>
        <w:rPr>
          <w:lang w:val="cs-CZ"/>
        </w:rPr>
        <w:t xml:space="preserve">, </w:t>
      </w:r>
      <w:r w:rsidRPr="00FF7A55">
        <w:rPr>
          <w:lang w:val="cs-CZ"/>
        </w:rPr>
        <w:t>isolation and segregation from independent life in the community; lack of control over day-to-day decisions</w:t>
      </w:r>
      <w:r>
        <w:rPr>
          <w:lang w:val="cs-CZ"/>
        </w:rPr>
        <w:t xml:space="preserve"> etc.</w:t>
      </w:r>
    </w:p>
  </w:footnote>
  <w:footnote w:id="5">
    <w:p w:rsidR="00AA1963" w:rsidRPr="003A0C06" w:rsidRDefault="00AA1963">
      <w:pPr>
        <w:pStyle w:val="FootnoteText"/>
        <w:rPr>
          <w:lang w:val="cs-CZ"/>
        </w:rPr>
      </w:pPr>
      <w:r>
        <w:rPr>
          <w:rStyle w:val="FootnoteReference"/>
        </w:rPr>
        <w:footnoteRef/>
      </w:r>
      <w:r>
        <w:t xml:space="preserve"> </w:t>
      </w:r>
      <w:r>
        <w:rPr>
          <w:lang w:val="cs-CZ"/>
        </w:rPr>
        <w:t>L</w:t>
      </w:r>
      <w:proofErr w:type="spellStart"/>
      <w:r w:rsidRPr="00BB00F5">
        <w:t>ong</w:t>
      </w:r>
      <w:proofErr w:type="spellEnd"/>
      <w:r w:rsidRPr="00BB00F5">
        <w:t>-stay hospitals, nursing homes</w:t>
      </w:r>
      <w:r>
        <w:rPr>
          <w:lang w:val="cs-CZ"/>
        </w:rPr>
        <w:t xml:space="preserve"> etc.</w:t>
      </w:r>
    </w:p>
  </w:footnote>
  <w:footnote w:id="6">
    <w:p w:rsidR="00D12A52" w:rsidRPr="003A0C06" w:rsidRDefault="00D12A52" w:rsidP="00D12A52">
      <w:pPr>
        <w:pStyle w:val="FootnoteText"/>
        <w:rPr>
          <w:lang w:val="cs-CZ"/>
        </w:rPr>
      </w:pPr>
      <w:r>
        <w:rPr>
          <w:rStyle w:val="FootnoteReference"/>
        </w:rPr>
        <w:footnoteRef/>
      </w:r>
      <w:r>
        <w:t xml:space="preserve"> </w:t>
      </w:r>
      <w:r>
        <w:rPr>
          <w:lang w:val="cs-CZ"/>
        </w:rPr>
        <w:t>T</w:t>
      </w:r>
      <w:r w:rsidRPr="00D12A52">
        <w:t>he same applies, for example, to intensive care units</w:t>
      </w:r>
      <w:r w:rsidR="00AF1C80">
        <w:rPr>
          <w:lang w:val="cs-CZ"/>
        </w:rPr>
        <w:t xml:space="preserve"> </w:t>
      </w:r>
      <w:r w:rsidR="00AF1C80">
        <w:rPr>
          <w:lang w:val="cs-CZ"/>
        </w:rPr>
        <w:t>as medical facilities</w:t>
      </w:r>
      <w:r>
        <w:rPr>
          <w:lang w:val="cs-CZ"/>
        </w:rPr>
        <w:t>.</w:t>
      </w:r>
    </w:p>
  </w:footnote>
  <w:footnote w:id="7">
    <w:p w:rsidR="0042364A" w:rsidRPr="0042364A" w:rsidRDefault="0042364A">
      <w:pPr>
        <w:pStyle w:val="FootnoteText"/>
        <w:rPr>
          <w:lang w:val="cs-CZ"/>
        </w:rPr>
      </w:pPr>
      <w:r>
        <w:rPr>
          <w:rStyle w:val="FootnoteReference"/>
        </w:rPr>
        <w:footnoteRef/>
      </w:r>
      <w:r>
        <w:t xml:space="preserve"> </w:t>
      </w:r>
      <w:r>
        <w:rPr>
          <w:lang w:val="cs-CZ"/>
        </w:rPr>
        <w:t>M</w:t>
      </w:r>
      <w:proofErr w:type="spellStart"/>
      <w:r w:rsidRPr="0042364A">
        <w:t>anagement</w:t>
      </w:r>
      <w:proofErr w:type="spellEnd"/>
      <w:r w:rsidRPr="0042364A">
        <w:t xml:space="preserve"> has relevant information and experience in running the facility</w:t>
      </w:r>
      <w:r>
        <w:rPr>
          <w:lang w:val="cs-CZ"/>
        </w:rPr>
        <w:t>.</w:t>
      </w:r>
    </w:p>
  </w:footnote>
  <w:footnote w:id="8">
    <w:p w:rsidR="00CD2F37" w:rsidRPr="00CD2F37" w:rsidRDefault="00CD2F37" w:rsidP="00CD2F37">
      <w:pPr>
        <w:pStyle w:val="FootnoteText"/>
      </w:pPr>
      <w:r>
        <w:rPr>
          <w:rStyle w:val="FootnoteReference"/>
        </w:rPr>
        <w:footnoteRef/>
      </w:r>
      <w:r>
        <w:t xml:space="preserve"> </w:t>
      </w:r>
      <w:r w:rsidRPr="00CD2F37">
        <w:t>Deinstitutionalisation can never be completed without fulfilling this commitment.</w:t>
      </w:r>
    </w:p>
  </w:footnote>
  <w:footnote w:id="9">
    <w:p w:rsidR="00C21806" w:rsidRPr="00C21806" w:rsidRDefault="00C21806">
      <w:pPr>
        <w:pStyle w:val="FootnoteText"/>
        <w:rPr>
          <w:lang w:val="cs-CZ"/>
        </w:rPr>
      </w:pPr>
      <w:r>
        <w:rPr>
          <w:rStyle w:val="FootnoteReference"/>
        </w:rPr>
        <w:footnoteRef/>
      </w:r>
      <w:r>
        <w:t xml:space="preserve"> </w:t>
      </w:r>
      <w:r>
        <w:rPr>
          <w:lang w:val="cs-CZ"/>
        </w:rPr>
        <w:t xml:space="preserve">See para. 86 of Guidelines. </w:t>
      </w:r>
    </w:p>
  </w:footnote>
  <w:footnote w:id="10">
    <w:p w:rsidR="00CB1D7F" w:rsidRPr="003A0C06" w:rsidRDefault="00CB1D7F" w:rsidP="00CB1D7F">
      <w:pPr>
        <w:pStyle w:val="FootnoteText"/>
        <w:rPr>
          <w:lang w:val="cs-CZ"/>
        </w:rPr>
      </w:pPr>
      <w:r>
        <w:rPr>
          <w:rStyle w:val="FootnoteReference"/>
        </w:rPr>
        <w:footnoteRef/>
      </w:r>
      <w:r>
        <w:t xml:space="preserve"> </w:t>
      </w:r>
      <w:r>
        <w:rPr>
          <w:lang w:val="cs-CZ"/>
        </w:rPr>
        <w:t>T</w:t>
      </w:r>
      <w:r w:rsidRPr="00CB1D7F">
        <w:t>he proposed sentence reads:</w:t>
      </w:r>
      <w:r>
        <w:rPr>
          <w:lang w:val="cs-CZ"/>
        </w:rPr>
        <w:t xml:space="preserve"> </w:t>
      </w:r>
      <w:r w:rsidRPr="003A0C06">
        <w:rPr>
          <w:i/>
          <w:lang w:val="en-GB" w:bidi="en-GB"/>
        </w:rPr>
        <w:t>“</w:t>
      </w:r>
      <w:r>
        <w:rPr>
          <w:i/>
          <w:lang w:val="cs-CZ"/>
        </w:rPr>
        <w:t>T</w:t>
      </w:r>
      <w:r w:rsidRPr="003A0C06">
        <w:rPr>
          <w:i/>
          <w:lang w:val="cs-CZ"/>
        </w:rPr>
        <w:t>hose with financial or other interests in keeping institutions open, should be prevented from influencing decision-making processes related to deinstitutionalization.“</w:t>
      </w:r>
    </w:p>
  </w:footnote>
  <w:footnote w:id="11">
    <w:p w:rsidR="00D45798" w:rsidRPr="003A0C06" w:rsidRDefault="00D45798">
      <w:pPr>
        <w:pStyle w:val="FootnoteText"/>
        <w:rPr>
          <w:lang w:val="cs-CZ"/>
        </w:rPr>
      </w:pPr>
      <w:r>
        <w:rPr>
          <w:rStyle w:val="FootnoteReference"/>
        </w:rPr>
        <w:footnoteRef/>
      </w:r>
      <w:r>
        <w:t xml:space="preserve"> </w:t>
      </w:r>
      <w:r>
        <w:rPr>
          <w:lang w:val="cs-CZ"/>
        </w:rPr>
        <w:t>T</w:t>
      </w:r>
      <w:r w:rsidRPr="006A7363">
        <w:t xml:space="preserve">he first sentence could read, for example: </w:t>
      </w:r>
      <w:r w:rsidRPr="00591EFE">
        <w:rPr>
          <w:i/>
          <w:lang w:val="en-GB" w:bidi="en-GB"/>
        </w:rPr>
        <w:t>“</w:t>
      </w:r>
      <w:r w:rsidRPr="00591EFE">
        <w:rPr>
          <w:i/>
        </w:rPr>
        <w:t>All persons with disabilities have the right to live in the community</w:t>
      </w:r>
      <w:r w:rsidRPr="00591EFE">
        <w:rPr>
          <w:i/>
          <w:lang w:val="cs-CZ"/>
        </w:rPr>
        <w:t xml:space="preserve"> </w:t>
      </w:r>
      <w:r w:rsidRPr="00591EFE">
        <w:rPr>
          <w:i/>
          <w:lang w:val="cs-CZ"/>
        </w:rPr>
        <w:t>and to leave the institutions. It is allowed if certain people with disabilities leave the institution later than others, if this is justified by their needs.</w:t>
      </w:r>
      <w:r>
        <w:rPr>
          <w:lang w:val="cs-CZ"/>
        </w:rPr>
        <w:t>“</w:t>
      </w:r>
    </w:p>
  </w:footnote>
  <w:footnote w:id="12">
    <w:p w:rsidR="0098099A" w:rsidRPr="0098099A" w:rsidRDefault="0098099A">
      <w:pPr>
        <w:pStyle w:val="FootnoteText"/>
        <w:rPr>
          <w:lang w:val="cs-CZ"/>
        </w:rPr>
      </w:pPr>
      <w:r>
        <w:rPr>
          <w:rStyle w:val="FootnoteReference"/>
        </w:rPr>
        <w:footnoteRef/>
      </w:r>
      <w:r>
        <w:t xml:space="preserve"> </w:t>
      </w:r>
      <w:r w:rsidRPr="0098099A">
        <w:t>In this respect, it should be added that retroactivity significantly undermines the legal certainty of the addressees of the legal norm.</w:t>
      </w:r>
    </w:p>
  </w:footnote>
  <w:footnote w:id="13">
    <w:p w:rsidR="0032490A" w:rsidRPr="003A0C06" w:rsidRDefault="0032490A" w:rsidP="001C394A">
      <w:pPr>
        <w:pStyle w:val="FootnoteText"/>
        <w:rPr>
          <w:lang w:val="cs-CZ"/>
        </w:rPr>
      </w:pPr>
      <w:r>
        <w:rPr>
          <w:rStyle w:val="FootnoteReference"/>
        </w:rPr>
        <w:footnoteRef/>
      </w:r>
      <w:r>
        <w:t xml:space="preserve"> </w:t>
      </w:r>
      <w:r w:rsidR="001C394A">
        <w:rPr>
          <w:lang w:val="cs-CZ"/>
        </w:rPr>
        <w:t>T</w:t>
      </w:r>
      <w:r w:rsidR="001C394A" w:rsidRPr="001C394A">
        <w:t xml:space="preserve">he reason </w:t>
      </w:r>
      <w:r w:rsidR="001C394A">
        <w:rPr>
          <w:lang w:val="cs-CZ"/>
        </w:rPr>
        <w:t xml:space="preserve">for keeping the records </w:t>
      </w:r>
      <w:r w:rsidR="001C394A" w:rsidRPr="001C394A">
        <w:t>may be an inspection by the health insurance company, the founder, court proceedings</w:t>
      </w:r>
      <w:r w:rsidR="001C394A">
        <w:rPr>
          <w:lang w:val="cs-CZ"/>
        </w:rPr>
        <w:t xml:space="preserve"> etc. </w:t>
      </w:r>
    </w:p>
  </w:footnote>
  <w:footnote w:id="14">
    <w:p w:rsidR="00A4716D" w:rsidRPr="001F6E4B" w:rsidRDefault="00A4716D">
      <w:pPr>
        <w:pStyle w:val="FootnoteText"/>
        <w:rPr>
          <w:lang w:val="cs-CZ"/>
        </w:rPr>
      </w:pPr>
      <w:r>
        <w:rPr>
          <w:rStyle w:val="FootnoteReference"/>
        </w:rPr>
        <w:footnoteRef/>
      </w:r>
      <w:r w:rsidR="001F6E4B">
        <w:rPr>
          <w:lang w:val="cs-CZ"/>
        </w:rPr>
        <w:t>Paragraph</w:t>
      </w:r>
      <w:r w:rsidR="001F6E4B">
        <w:t xml:space="preserve"> </w:t>
      </w:r>
      <w:r w:rsidR="001F6E4B">
        <w:rPr>
          <w:lang w:val="cs-CZ"/>
        </w:rPr>
        <w:t>100</w:t>
      </w:r>
      <w:r w:rsidR="001F6E4B">
        <w:t xml:space="preserve"> (</w:t>
      </w:r>
      <w:r w:rsidR="001F6E4B">
        <w:rPr>
          <w:lang w:val="cs-CZ"/>
        </w:rPr>
        <w:t>1</w:t>
      </w:r>
      <w:r w:rsidR="001F6E4B">
        <w:t xml:space="preserve">) of the Law </w:t>
      </w:r>
      <w:r w:rsidR="001F6E4B">
        <w:rPr>
          <w:lang w:val="cs-CZ"/>
        </w:rPr>
        <w:t>108</w:t>
      </w:r>
      <w:r w:rsidR="001F6E4B">
        <w:t>/</w:t>
      </w:r>
      <w:r w:rsidR="001F6E4B">
        <w:rPr>
          <w:lang w:val="cs-CZ"/>
        </w:rPr>
        <w:t>2006</w:t>
      </w:r>
      <w:r w:rsidR="001F6E4B" w:rsidRPr="001F6E4B">
        <w:t xml:space="preserve"> Coll. Social Services Act</w:t>
      </w:r>
      <w:r w:rsidR="001F6E4B">
        <w:rPr>
          <w:lang w:val="cs-CZ"/>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1E2" w:rsidRDefault="00FB21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1E2" w:rsidRDefault="00FB21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80C" w:rsidRDefault="00C76796" w:rsidP="00343CF6">
    <w:pPr>
      <w:tabs>
        <w:tab w:val="left" w:pos="4613"/>
      </w:tabs>
    </w:pPr>
    <w:r>
      <w:rPr>
        <w:noProof/>
        <w:lang w:val="en-GB" w:eastAsia="en-GB"/>
      </w:rPr>
      <w:drawing>
        <wp:anchor distT="0" distB="0" distL="114300" distR="114300" simplePos="0" relativeHeight="251658240" behindDoc="1" locked="0" layoutInCell="1" allowOverlap="1" wp14:anchorId="6E4E4EDF" wp14:editId="4B5655B5">
          <wp:simplePos x="0" y="0"/>
          <wp:positionH relativeFrom="page">
            <wp:posOffset>414020</wp:posOffset>
          </wp:positionH>
          <wp:positionV relativeFrom="page">
            <wp:posOffset>414020</wp:posOffset>
          </wp:positionV>
          <wp:extent cx="2282400" cy="522000"/>
          <wp:effectExtent l="0" t="0" r="3810" b="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hrance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82400" cy="52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EFEB7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F645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088C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EAE0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6887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3E5E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90C47F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91257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20811E6"/>
    <w:lvl w:ilvl="0">
      <w:start w:val="1"/>
      <w:numFmt w:val="decimal"/>
      <w:lvlText w:val="[%1]"/>
      <w:lvlJc w:val="left"/>
      <w:pPr>
        <w:ind w:left="360" w:hanging="360"/>
      </w:pPr>
      <w:rPr>
        <w:rFonts w:ascii="Arial" w:hAnsi="Arial" w:hint="default"/>
        <w:b w:val="0"/>
        <w:i w:val="0"/>
        <w:sz w:val="24"/>
      </w:rPr>
    </w:lvl>
  </w:abstractNum>
  <w:abstractNum w:abstractNumId="9" w15:restartNumberingAfterBreak="0">
    <w:nsid w:val="FFFFFF89"/>
    <w:multiLevelType w:val="singleLevel"/>
    <w:tmpl w:val="A9080F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326C5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0FF497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9311AC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06742E8"/>
    <w:multiLevelType w:val="multilevel"/>
    <w:tmpl w:val="CB4482FA"/>
    <w:lvl w:ilvl="0">
      <w:start w:val="1"/>
      <w:numFmt w:val="decimal"/>
      <w:lvlText w:val="[%1]"/>
      <w:lvlJc w:val="left"/>
      <w:pPr>
        <w:ind w:left="72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45B5F0C"/>
    <w:multiLevelType w:val="hybridMultilevel"/>
    <w:tmpl w:val="42A8AB6A"/>
    <w:lvl w:ilvl="0" w:tplc="04050015">
      <w:start w:val="1"/>
      <w:numFmt w:val="upperLetter"/>
      <w:lvlText w:val="%1."/>
      <w:lvlJc w:val="left"/>
      <w:pPr>
        <w:ind w:left="-136" w:hanging="360"/>
      </w:pPr>
    </w:lvl>
    <w:lvl w:ilvl="1" w:tplc="04050019" w:tentative="1">
      <w:start w:val="1"/>
      <w:numFmt w:val="lowerLetter"/>
      <w:lvlText w:val="%2."/>
      <w:lvlJc w:val="left"/>
      <w:pPr>
        <w:ind w:left="584" w:hanging="360"/>
      </w:pPr>
    </w:lvl>
    <w:lvl w:ilvl="2" w:tplc="0405001B" w:tentative="1">
      <w:start w:val="1"/>
      <w:numFmt w:val="lowerRoman"/>
      <w:lvlText w:val="%3."/>
      <w:lvlJc w:val="right"/>
      <w:pPr>
        <w:ind w:left="1304" w:hanging="180"/>
      </w:pPr>
    </w:lvl>
    <w:lvl w:ilvl="3" w:tplc="0405000F" w:tentative="1">
      <w:start w:val="1"/>
      <w:numFmt w:val="decimal"/>
      <w:lvlText w:val="%4."/>
      <w:lvlJc w:val="left"/>
      <w:pPr>
        <w:ind w:left="2024" w:hanging="360"/>
      </w:pPr>
    </w:lvl>
    <w:lvl w:ilvl="4" w:tplc="04050019" w:tentative="1">
      <w:start w:val="1"/>
      <w:numFmt w:val="lowerLetter"/>
      <w:lvlText w:val="%5."/>
      <w:lvlJc w:val="left"/>
      <w:pPr>
        <w:ind w:left="2744" w:hanging="360"/>
      </w:pPr>
    </w:lvl>
    <w:lvl w:ilvl="5" w:tplc="0405001B" w:tentative="1">
      <w:start w:val="1"/>
      <w:numFmt w:val="lowerRoman"/>
      <w:lvlText w:val="%6."/>
      <w:lvlJc w:val="right"/>
      <w:pPr>
        <w:ind w:left="3464" w:hanging="180"/>
      </w:pPr>
    </w:lvl>
    <w:lvl w:ilvl="6" w:tplc="0405000F" w:tentative="1">
      <w:start w:val="1"/>
      <w:numFmt w:val="decimal"/>
      <w:lvlText w:val="%7."/>
      <w:lvlJc w:val="left"/>
      <w:pPr>
        <w:ind w:left="4184" w:hanging="360"/>
      </w:pPr>
    </w:lvl>
    <w:lvl w:ilvl="7" w:tplc="04050019" w:tentative="1">
      <w:start w:val="1"/>
      <w:numFmt w:val="lowerLetter"/>
      <w:lvlText w:val="%8."/>
      <w:lvlJc w:val="left"/>
      <w:pPr>
        <w:ind w:left="4904" w:hanging="360"/>
      </w:pPr>
    </w:lvl>
    <w:lvl w:ilvl="8" w:tplc="0405001B" w:tentative="1">
      <w:start w:val="1"/>
      <w:numFmt w:val="lowerRoman"/>
      <w:lvlText w:val="%9."/>
      <w:lvlJc w:val="right"/>
      <w:pPr>
        <w:ind w:left="5624" w:hanging="180"/>
      </w:pPr>
    </w:lvl>
  </w:abstractNum>
  <w:abstractNum w:abstractNumId="15" w15:restartNumberingAfterBreak="0">
    <w:nsid w:val="27007032"/>
    <w:multiLevelType w:val="hybridMultilevel"/>
    <w:tmpl w:val="CED6605E"/>
    <w:lvl w:ilvl="0" w:tplc="04050015">
      <w:start w:val="1"/>
      <w:numFmt w:val="upp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72459FA"/>
    <w:multiLevelType w:val="hybridMultilevel"/>
    <w:tmpl w:val="F32ECE60"/>
    <w:lvl w:ilvl="0" w:tplc="BA225C7C">
      <w:start w:val="1"/>
      <w:numFmt w:val="decimal"/>
      <w:pStyle w:val="ListNumber"/>
      <w:lvlText w:val="(%1)"/>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C783CC9"/>
    <w:multiLevelType w:val="hybridMultilevel"/>
    <w:tmpl w:val="A1A01998"/>
    <w:lvl w:ilvl="0" w:tplc="65EEB428">
      <w:start w:val="1"/>
      <w:numFmt w:val="bullet"/>
      <w:pStyle w:val="Lis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D3635E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0450BB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7E7519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5C6658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9BE090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AFA61B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B8A132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CE62893"/>
    <w:multiLevelType w:val="hybridMultilevel"/>
    <w:tmpl w:val="90ACAC44"/>
    <w:lvl w:ilvl="0" w:tplc="025491B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7614FB0"/>
    <w:multiLevelType w:val="multilevel"/>
    <w:tmpl w:val="DEA4D7AA"/>
    <w:lvl w:ilvl="0">
      <w:start w:val="1"/>
      <w:numFmt w:val="decimal"/>
      <w:lvlText w:val="%1."/>
      <w:lvlJc w:val="left"/>
      <w:pPr>
        <w:ind w:left="360" w:hanging="360"/>
      </w:pPr>
      <w:rPr>
        <w:rFonts w:hint="default"/>
      </w:rPr>
    </w:lvl>
    <w:lvl w:ilvl="1">
      <w:start w:val="1"/>
      <w:numFmt w:val="upp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A25686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AD4027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31374BA"/>
    <w:multiLevelType w:val="hybridMultilevel"/>
    <w:tmpl w:val="CED6605E"/>
    <w:lvl w:ilvl="0" w:tplc="04050015">
      <w:start w:val="1"/>
      <w:numFmt w:val="upp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7C811F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93650FC"/>
    <w:multiLevelType w:val="hybridMultilevel"/>
    <w:tmpl w:val="377621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ABD04F9"/>
    <w:multiLevelType w:val="hybridMultilevel"/>
    <w:tmpl w:val="C9380EC4"/>
    <w:lvl w:ilvl="0" w:tplc="DEF4CC26">
      <w:start w:val="1"/>
      <w:numFmt w:val="decimal"/>
      <w:lvlText w:val="[%1]"/>
      <w:lvlJc w:val="left"/>
      <w:pPr>
        <w:ind w:left="720" w:hanging="360"/>
      </w:pPr>
      <w:rPr>
        <w:rFonts w:ascii="Arial" w:hAnsi="Arial"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BED73C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3"/>
  </w:num>
  <w:num w:numId="3">
    <w:abstractNumId w:val="2"/>
  </w:num>
  <w:num w:numId="4">
    <w:abstractNumId w:val="1"/>
  </w:num>
  <w:num w:numId="5">
    <w:abstractNumId w:val="0"/>
  </w:num>
  <w:num w:numId="6">
    <w:abstractNumId w:val="25"/>
  </w:num>
  <w:num w:numId="7">
    <w:abstractNumId w:val="9"/>
  </w:num>
  <w:num w:numId="8">
    <w:abstractNumId w:val="7"/>
  </w:num>
  <w:num w:numId="9">
    <w:abstractNumId w:val="6"/>
  </w:num>
  <w:num w:numId="10">
    <w:abstractNumId w:val="5"/>
  </w:num>
  <w:num w:numId="11">
    <w:abstractNumId w:val="4"/>
  </w:num>
  <w:num w:numId="12">
    <w:abstractNumId w:val="32"/>
  </w:num>
  <w:num w:numId="13">
    <w:abstractNumId w:val="13"/>
  </w:num>
  <w:num w:numId="14">
    <w:abstractNumId w:val="11"/>
  </w:num>
  <w:num w:numId="15">
    <w:abstractNumId w:val="23"/>
  </w:num>
  <w:num w:numId="16">
    <w:abstractNumId w:val="17"/>
  </w:num>
  <w:num w:numId="17">
    <w:abstractNumId w:val="33"/>
  </w:num>
  <w:num w:numId="18">
    <w:abstractNumId w:val="16"/>
  </w:num>
  <w:num w:numId="19">
    <w:abstractNumId w:val="28"/>
  </w:num>
  <w:num w:numId="20">
    <w:abstractNumId w:val="24"/>
  </w:num>
  <w:num w:numId="21">
    <w:abstractNumId w:val="21"/>
  </w:num>
  <w:num w:numId="22">
    <w:abstractNumId w:val="10"/>
  </w:num>
  <w:num w:numId="23">
    <w:abstractNumId w:val="22"/>
  </w:num>
  <w:num w:numId="24">
    <w:abstractNumId w:val="30"/>
  </w:num>
  <w:num w:numId="25">
    <w:abstractNumId w:val="19"/>
  </w:num>
  <w:num w:numId="26">
    <w:abstractNumId w:val="12"/>
  </w:num>
  <w:num w:numId="27">
    <w:abstractNumId w:val="20"/>
  </w:num>
  <w:num w:numId="28">
    <w:abstractNumId w:val="18"/>
  </w:num>
  <w:num w:numId="29">
    <w:abstractNumId w:val="27"/>
  </w:num>
  <w:num w:numId="30">
    <w:abstractNumId w:val="26"/>
  </w:num>
  <w:num w:numId="31">
    <w:abstractNumId w:val="29"/>
  </w:num>
  <w:num w:numId="32">
    <w:abstractNumId w:val="31"/>
  </w:num>
  <w:num w:numId="33">
    <w:abstractNumId w:val="15"/>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noPunctuationKerning/>
  <w:characterSpacingControl w:val="doNotCompress"/>
  <w:hdrShapeDefaults>
    <o:shapedefaults v:ext="edit" spidmax="2049" style="mso-position-horizontal-relative:margin;mso-position-vertical-relative:margin"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144"/>
    <w:rsid w:val="000032D8"/>
    <w:rsid w:val="00003F61"/>
    <w:rsid w:val="00004FB4"/>
    <w:rsid w:val="00005478"/>
    <w:rsid w:val="00005D26"/>
    <w:rsid w:val="00006F2C"/>
    <w:rsid w:val="00010446"/>
    <w:rsid w:val="000118D9"/>
    <w:rsid w:val="00011E14"/>
    <w:rsid w:val="00014C0A"/>
    <w:rsid w:val="00022CA1"/>
    <w:rsid w:val="00023C4B"/>
    <w:rsid w:val="00023F5E"/>
    <w:rsid w:val="00033668"/>
    <w:rsid w:val="00035D4C"/>
    <w:rsid w:val="0004162B"/>
    <w:rsid w:val="000455BD"/>
    <w:rsid w:val="0005037C"/>
    <w:rsid w:val="000603EA"/>
    <w:rsid w:val="000649CB"/>
    <w:rsid w:val="00064D4B"/>
    <w:rsid w:val="000670B9"/>
    <w:rsid w:val="00070E77"/>
    <w:rsid w:val="000759C8"/>
    <w:rsid w:val="0008195A"/>
    <w:rsid w:val="00084292"/>
    <w:rsid w:val="000848A7"/>
    <w:rsid w:val="00087D77"/>
    <w:rsid w:val="000915A0"/>
    <w:rsid w:val="000915DF"/>
    <w:rsid w:val="00091B22"/>
    <w:rsid w:val="0009367F"/>
    <w:rsid w:val="00095D5B"/>
    <w:rsid w:val="000978FF"/>
    <w:rsid w:val="000A0202"/>
    <w:rsid w:val="000A5C6D"/>
    <w:rsid w:val="000B18A3"/>
    <w:rsid w:val="000B227B"/>
    <w:rsid w:val="000B40CF"/>
    <w:rsid w:val="000B6DAD"/>
    <w:rsid w:val="000B7155"/>
    <w:rsid w:val="000B72E8"/>
    <w:rsid w:val="000C08A7"/>
    <w:rsid w:val="000C279B"/>
    <w:rsid w:val="000C2D04"/>
    <w:rsid w:val="000D130B"/>
    <w:rsid w:val="000D75D7"/>
    <w:rsid w:val="000D789A"/>
    <w:rsid w:val="000E08D0"/>
    <w:rsid w:val="000E0AA9"/>
    <w:rsid w:val="000E5D77"/>
    <w:rsid w:val="000E7542"/>
    <w:rsid w:val="000F1168"/>
    <w:rsid w:val="000F41CE"/>
    <w:rsid w:val="000F54D2"/>
    <w:rsid w:val="001002AD"/>
    <w:rsid w:val="00102A71"/>
    <w:rsid w:val="001039F3"/>
    <w:rsid w:val="00105E3D"/>
    <w:rsid w:val="00113153"/>
    <w:rsid w:val="00113258"/>
    <w:rsid w:val="0011391B"/>
    <w:rsid w:val="00114A7C"/>
    <w:rsid w:val="00115A8E"/>
    <w:rsid w:val="00117BAB"/>
    <w:rsid w:val="00122CE6"/>
    <w:rsid w:val="00125D4F"/>
    <w:rsid w:val="00125F58"/>
    <w:rsid w:val="00127E6D"/>
    <w:rsid w:val="0013754E"/>
    <w:rsid w:val="00141F80"/>
    <w:rsid w:val="00143324"/>
    <w:rsid w:val="0014423B"/>
    <w:rsid w:val="0015055F"/>
    <w:rsid w:val="001546ED"/>
    <w:rsid w:val="00154C9A"/>
    <w:rsid w:val="00155B5D"/>
    <w:rsid w:val="00155DD9"/>
    <w:rsid w:val="001601D8"/>
    <w:rsid w:val="00162595"/>
    <w:rsid w:val="00164197"/>
    <w:rsid w:val="001670F7"/>
    <w:rsid w:val="00171566"/>
    <w:rsid w:val="001720BE"/>
    <w:rsid w:val="00173A1C"/>
    <w:rsid w:val="00174ED4"/>
    <w:rsid w:val="00176931"/>
    <w:rsid w:val="00182620"/>
    <w:rsid w:val="00182835"/>
    <w:rsid w:val="001869A5"/>
    <w:rsid w:val="00190836"/>
    <w:rsid w:val="00190FA8"/>
    <w:rsid w:val="00191BF4"/>
    <w:rsid w:val="00192F64"/>
    <w:rsid w:val="00193E2E"/>
    <w:rsid w:val="001966FF"/>
    <w:rsid w:val="001A0994"/>
    <w:rsid w:val="001A2B61"/>
    <w:rsid w:val="001A4C3D"/>
    <w:rsid w:val="001B49CC"/>
    <w:rsid w:val="001B5753"/>
    <w:rsid w:val="001C14E3"/>
    <w:rsid w:val="001C394A"/>
    <w:rsid w:val="001C7407"/>
    <w:rsid w:val="001D1A19"/>
    <w:rsid w:val="001D4E16"/>
    <w:rsid w:val="001D7B88"/>
    <w:rsid w:val="001D7D52"/>
    <w:rsid w:val="001E41F1"/>
    <w:rsid w:val="001E7351"/>
    <w:rsid w:val="001F1106"/>
    <w:rsid w:val="001F2B44"/>
    <w:rsid w:val="001F6E4B"/>
    <w:rsid w:val="00200651"/>
    <w:rsid w:val="00200F24"/>
    <w:rsid w:val="00201AC2"/>
    <w:rsid w:val="00202E32"/>
    <w:rsid w:val="00204420"/>
    <w:rsid w:val="002057F3"/>
    <w:rsid w:val="0021070D"/>
    <w:rsid w:val="00212BAE"/>
    <w:rsid w:val="00214429"/>
    <w:rsid w:val="00215E73"/>
    <w:rsid w:val="002305E3"/>
    <w:rsid w:val="00245B80"/>
    <w:rsid w:val="002557E2"/>
    <w:rsid w:val="002563E2"/>
    <w:rsid w:val="00261454"/>
    <w:rsid w:val="00264D44"/>
    <w:rsid w:val="00266C7F"/>
    <w:rsid w:val="0026736E"/>
    <w:rsid w:val="00272A80"/>
    <w:rsid w:val="00272D2B"/>
    <w:rsid w:val="0027365B"/>
    <w:rsid w:val="00273D84"/>
    <w:rsid w:val="00276238"/>
    <w:rsid w:val="00283038"/>
    <w:rsid w:val="00286337"/>
    <w:rsid w:val="00286D6B"/>
    <w:rsid w:val="002A2A50"/>
    <w:rsid w:val="002A33DD"/>
    <w:rsid w:val="002A45A3"/>
    <w:rsid w:val="002A594E"/>
    <w:rsid w:val="002A6827"/>
    <w:rsid w:val="002B216F"/>
    <w:rsid w:val="002B233F"/>
    <w:rsid w:val="002B3267"/>
    <w:rsid w:val="002B360C"/>
    <w:rsid w:val="002B6B3A"/>
    <w:rsid w:val="002C1519"/>
    <w:rsid w:val="002C3DC9"/>
    <w:rsid w:val="002C639C"/>
    <w:rsid w:val="002D4405"/>
    <w:rsid w:val="002E5FDD"/>
    <w:rsid w:val="002F07D5"/>
    <w:rsid w:val="002F4C16"/>
    <w:rsid w:val="002F4CEC"/>
    <w:rsid w:val="002F5FBA"/>
    <w:rsid w:val="002F716B"/>
    <w:rsid w:val="00300C33"/>
    <w:rsid w:val="0030528E"/>
    <w:rsid w:val="003108F9"/>
    <w:rsid w:val="00310EEB"/>
    <w:rsid w:val="00313768"/>
    <w:rsid w:val="00323EC8"/>
    <w:rsid w:val="0032490A"/>
    <w:rsid w:val="00324ADE"/>
    <w:rsid w:val="00330059"/>
    <w:rsid w:val="0033043B"/>
    <w:rsid w:val="0033107E"/>
    <w:rsid w:val="003345C5"/>
    <w:rsid w:val="0033508E"/>
    <w:rsid w:val="00335F44"/>
    <w:rsid w:val="0033762C"/>
    <w:rsid w:val="003402AC"/>
    <w:rsid w:val="00340508"/>
    <w:rsid w:val="00343CF6"/>
    <w:rsid w:val="00351387"/>
    <w:rsid w:val="003533FE"/>
    <w:rsid w:val="0036167B"/>
    <w:rsid w:val="00361C48"/>
    <w:rsid w:val="003648E7"/>
    <w:rsid w:val="00366FB4"/>
    <w:rsid w:val="00367394"/>
    <w:rsid w:val="00367C45"/>
    <w:rsid w:val="00370BA2"/>
    <w:rsid w:val="00370C07"/>
    <w:rsid w:val="00371893"/>
    <w:rsid w:val="00372812"/>
    <w:rsid w:val="00383ED2"/>
    <w:rsid w:val="003847E2"/>
    <w:rsid w:val="00390909"/>
    <w:rsid w:val="00390EC2"/>
    <w:rsid w:val="00392201"/>
    <w:rsid w:val="003943FA"/>
    <w:rsid w:val="003A0C06"/>
    <w:rsid w:val="003A0CB6"/>
    <w:rsid w:val="003A735F"/>
    <w:rsid w:val="003B2619"/>
    <w:rsid w:val="003B2A63"/>
    <w:rsid w:val="003B58E1"/>
    <w:rsid w:val="003B779D"/>
    <w:rsid w:val="003C2AE7"/>
    <w:rsid w:val="003C4C2B"/>
    <w:rsid w:val="003C6D68"/>
    <w:rsid w:val="003C7F6B"/>
    <w:rsid w:val="003D0004"/>
    <w:rsid w:val="003D4835"/>
    <w:rsid w:val="003E012F"/>
    <w:rsid w:val="003E23D9"/>
    <w:rsid w:val="003E2756"/>
    <w:rsid w:val="003E6A99"/>
    <w:rsid w:val="003F0780"/>
    <w:rsid w:val="00400CC6"/>
    <w:rsid w:val="004058B1"/>
    <w:rsid w:val="004070AA"/>
    <w:rsid w:val="00410C3A"/>
    <w:rsid w:val="00417FD3"/>
    <w:rsid w:val="0042364A"/>
    <w:rsid w:val="00424E13"/>
    <w:rsid w:val="00425869"/>
    <w:rsid w:val="00426264"/>
    <w:rsid w:val="00430552"/>
    <w:rsid w:val="0043537F"/>
    <w:rsid w:val="0044414E"/>
    <w:rsid w:val="0044495B"/>
    <w:rsid w:val="00446630"/>
    <w:rsid w:val="00447E5A"/>
    <w:rsid w:val="0045106B"/>
    <w:rsid w:val="0045226B"/>
    <w:rsid w:val="004528F5"/>
    <w:rsid w:val="00454540"/>
    <w:rsid w:val="00454E4C"/>
    <w:rsid w:val="0045521A"/>
    <w:rsid w:val="00462488"/>
    <w:rsid w:val="0047290D"/>
    <w:rsid w:val="0047468C"/>
    <w:rsid w:val="00474FD0"/>
    <w:rsid w:val="004753F3"/>
    <w:rsid w:val="0047618F"/>
    <w:rsid w:val="004761EB"/>
    <w:rsid w:val="004772E6"/>
    <w:rsid w:val="00481147"/>
    <w:rsid w:val="00481580"/>
    <w:rsid w:val="004862DD"/>
    <w:rsid w:val="00490B76"/>
    <w:rsid w:val="00493D68"/>
    <w:rsid w:val="00496579"/>
    <w:rsid w:val="00496D6A"/>
    <w:rsid w:val="004A238A"/>
    <w:rsid w:val="004A6DF8"/>
    <w:rsid w:val="004B4FBD"/>
    <w:rsid w:val="004B5403"/>
    <w:rsid w:val="004B70F6"/>
    <w:rsid w:val="004B7AC7"/>
    <w:rsid w:val="004B7C1C"/>
    <w:rsid w:val="004C0D5E"/>
    <w:rsid w:val="004C2350"/>
    <w:rsid w:val="004C36E4"/>
    <w:rsid w:val="004C5CB4"/>
    <w:rsid w:val="004C60CD"/>
    <w:rsid w:val="004D0B18"/>
    <w:rsid w:val="004D301A"/>
    <w:rsid w:val="004D5E84"/>
    <w:rsid w:val="004D69FF"/>
    <w:rsid w:val="004D7FA4"/>
    <w:rsid w:val="004E019B"/>
    <w:rsid w:val="004E119C"/>
    <w:rsid w:val="004E60EC"/>
    <w:rsid w:val="004F0794"/>
    <w:rsid w:val="004F1866"/>
    <w:rsid w:val="004F282D"/>
    <w:rsid w:val="005020BF"/>
    <w:rsid w:val="00503B76"/>
    <w:rsid w:val="00504EA3"/>
    <w:rsid w:val="00504F1E"/>
    <w:rsid w:val="00513D4A"/>
    <w:rsid w:val="0051470E"/>
    <w:rsid w:val="005218EE"/>
    <w:rsid w:val="005232FF"/>
    <w:rsid w:val="0052507B"/>
    <w:rsid w:val="0052641E"/>
    <w:rsid w:val="005266ED"/>
    <w:rsid w:val="0053018E"/>
    <w:rsid w:val="00532395"/>
    <w:rsid w:val="00535921"/>
    <w:rsid w:val="00544A3F"/>
    <w:rsid w:val="00545EB4"/>
    <w:rsid w:val="005475AF"/>
    <w:rsid w:val="00554EF7"/>
    <w:rsid w:val="0056124E"/>
    <w:rsid w:val="00565510"/>
    <w:rsid w:val="00571410"/>
    <w:rsid w:val="0057606F"/>
    <w:rsid w:val="005761AD"/>
    <w:rsid w:val="005766A1"/>
    <w:rsid w:val="00586C9E"/>
    <w:rsid w:val="005903C3"/>
    <w:rsid w:val="00593459"/>
    <w:rsid w:val="005A5FCA"/>
    <w:rsid w:val="005A6C64"/>
    <w:rsid w:val="005A6FFF"/>
    <w:rsid w:val="005B5385"/>
    <w:rsid w:val="005C217C"/>
    <w:rsid w:val="005C280C"/>
    <w:rsid w:val="005C4A6E"/>
    <w:rsid w:val="005C7CBE"/>
    <w:rsid w:val="005D00A2"/>
    <w:rsid w:val="005D04B5"/>
    <w:rsid w:val="005D157A"/>
    <w:rsid w:val="005E10BF"/>
    <w:rsid w:val="005E4D03"/>
    <w:rsid w:val="005F373A"/>
    <w:rsid w:val="005F49BC"/>
    <w:rsid w:val="005F5E25"/>
    <w:rsid w:val="005F74C0"/>
    <w:rsid w:val="00600291"/>
    <w:rsid w:val="006039A2"/>
    <w:rsid w:val="006063E8"/>
    <w:rsid w:val="006121C8"/>
    <w:rsid w:val="0061388D"/>
    <w:rsid w:val="00615F3D"/>
    <w:rsid w:val="00616645"/>
    <w:rsid w:val="00625D9D"/>
    <w:rsid w:val="0062635B"/>
    <w:rsid w:val="00630C0E"/>
    <w:rsid w:val="00632450"/>
    <w:rsid w:val="00633D53"/>
    <w:rsid w:val="00647187"/>
    <w:rsid w:val="00647823"/>
    <w:rsid w:val="006513E6"/>
    <w:rsid w:val="006534E8"/>
    <w:rsid w:val="00660DA6"/>
    <w:rsid w:val="0066412F"/>
    <w:rsid w:val="0066482B"/>
    <w:rsid w:val="0066781F"/>
    <w:rsid w:val="00667FE1"/>
    <w:rsid w:val="006802E6"/>
    <w:rsid w:val="00681493"/>
    <w:rsid w:val="006816F2"/>
    <w:rsid w:val="00682390"/>
    <w:rsid w:val="00683E6F"/>
    <w:rsid w:val="00685EC4"/>
    <w:rsid w:val="0069008E"/>
    <w:rsid w:val="00692C23"/>
    <w:rsid w:val="00693D4F"/>
    <w:rsid w:val="00695144"/>
    <w:rsid w:val="00696531"/>
    <w:rsid w:val="006A0B48"/>
    <w:rsid w:val="006A4EE9"/>
    <w:rsid w:val="006A7363"/>
    <w:rsid w:val="006A78BC"/>
    <w:rsid w:val="006B101F"/>
    <w:rsid w:val="006B2220"/>
    <w:rsid w:val="006B595F"/>
    <w:rsid w:val="006C4257"/>
    <w:rsid w:val="006C6612"/>
    <w:rsid w:val="006D00EF"/>
    <w:rsid w:val="006D7D18"/>
    <w:rsid w:val="006E7D23"/>
    <w:rsid w:val="006F180A"/>
    <w:rsid w:val="006F2BB8"/>
    <w:rsid w:val="006F6569"/>
    <w:rsid w:val="006F709B"/>
    <w:rsid w:val="007009E0"/>
    <w:rsid w:val="00703396"/>
    <w:rsid w:val="0070594F"/>
    <w:rsid w:val="00707962"/>
    <w:rsid w:val="007156EE"/>
    <w:rsid w:val="007170C4"/>
    <w:rsid w:val="007238EE"/>
    <w:rsid w:val="00725C06"/>
    <w:rsid w:val="0073549B"/>
    <w:rsid w:val="00740815"/>
    <w:rsid w:val="0074172F"/>
    <w:rsid w:val="00744C83"/>
    <w:rsid w:val="007452EC"/>
    <w:rsid w:val="00753C2F"/>
    <w:rsid w:val="007545A9"/>
    <w:rsid w:val="00757635"/>
    <w:rsid w:val="00766054"/>
    <w:rsid w:val="00774838"/>
    <w:rsid w:val="00781671"/>
    <w:rsid w:val="00781CC6"/>
    <w:rsid w:val="007824C5"/>
    <w:rsid w:val="007846D7"/>
    <w:rsid w:val="0078584F"/>
    <w:rsid w:val="0078724F"/>
    <w:rsid w:val="00787E65"/>
    <w:rsid w:val="007911F8"/>
    <w:rsid w:val="007914FF"/>
    <w:rsid w:val="00795AA1"/>
    <w:rsid w:val="007A01EB"/>
    <w:rsid w:val="007A031D"/>
    <w:rsid w:val="007A541D"/>
    <w:rsid w:val="007B05C4"/>
    <w:rsid w:val="007B256C"/>
    <w:rsid w:val="007B27C9"/>
    <w:rsid w:val="007B2C19"/>
    <w:rsid w:val="007B3131"/>
    <w:rsid w:val="007B5988"/>
    <w:rsid w:val="007C43FE"/>
    <w:rsid w:val="007C53F6"/>
    <w:rsid w:val="007C5F18"/>
    <w:rsid w:val="007C6602"/>
    <w:rsid w:val="007E17AB"/>
    <w:rsid w:val="007F05C0"/>
    <w:rsid w:val="007F1B70"/>
    <w:rsid w:val="007F2F6D"/>
    <w:rsid w:val="007F4753"/>
    <w:rsid w:val="007F7048"/>
    <w:rsid w:val="007F7629"/>
    <w:rsid w:val="007F77A3"/>
    <w:rsid w:val="00800BD1"/>
    <w:rsid w:val="0080154D"/>
    <w:rsid w:val="00801CAC"/>
    <w:rsid w:val="008026BC"/>
    <w:rsid w:val="0080395F"/>
    <w:rsid w:val="00804CD9"/>
    <w:rsid w:val="00810780"/>
    <w:rsid w:val="008144CE"/>
    <w:rsid w:val="0081518D"/>
    <w:rsid w:val="00820985"/>
    <w:rsid w:val="00822295"/>
    <w:rsid w:val="0082498C"/>
    <w:rsid w:val="00833D9B"/>
    <w:rsid w:val="00833E0E"/>
    <w:rsid w:val="00834953"/>
    <w:rsid w:val="008369A6"/>
    <w:rsid w:val="00840811"/>
    <w:rsid w:val="00842CD9"/>
    <w:rsid w:val="00845135"/>
    <w:rsid w:val="008479CE"/>
    <w:rsid w:val="00854927"/>
    <w:rsid w:val="00856F93"/>
    <w:rsid w:val="00867468"/>
    <w:rsid w:val="00870076"/>
    <w:rsid w:val="00872AC3"/>
    <w:rsid w:val="00880622"/>
    <w:rsid w:val="008842B3"/>
    <w:rsid w:val="0088703D"/>
    <w:rsid w:val="0089111A"/>
    <w:rsid w:val="00891D38"/>
    <w:rsid w:val="00892F2A"/>
    <w:rsid w:val="00896EC0"/>
    <w:rsid w:val="008979DD"/>
    <w:rsid w:val="008A1BD0"/>
    <w:rsid w:val="008B5DC7"/>
    <w:rsid w:val="008B62A1"/>
    <w:rsid w:val="008C5946"/>
    <w:rsid w:val="008C5BE2"/>
    <w:rsid w:val="008C5E75"/>
    <w:rsid w:val="008E6C48"/>
    <w:rsid w:val="008E7B9A"/>
    <w:rsid w:val="008F2A91"/>
    <w:rsid w:val="008F4C2B"/>
    <w:rsid w:val="008F68AB"/>
    <w:rsid w:val="0090475C"/>
    <w:rsid w:val="00912D35"/>
    <w:rsid w:val="00922EC1"/>
    <w:rsid w:val="00923857"/>
    <w:rsid w:val="009245CE"/>
    <w:rsid w:val="00926A2A"/>
    <w:rsid w:val="0093580C"/>
    <w:rsid w:val="00935DBA"/>
    <w:rsid w:val="009361DD"/>
    <w:rsid w:val="00941637"/>
    <w:rsid w:val="0094307C"/>
    <w:rsid w:val="00943613"/>
    <w:rsid w:val="00944587"/>
    <w:rsid w:val="0094580D"/>
    <w:rsid w:val="00946E37"/>
    <w:rsid w:val="0095192E"/>
    <w:rsid w:val="00955785"/>
    <w:rsid w:val="009557D5"/>
    <w:rsid w:val="00964042"/>
    <w:rsid w:val="00964BB1"/>
    <w:rsid w:val="00966891"/>
    <w:rsid w:val="00973F27"/>
    <w:rsid w:val="00974CB7"/>
    <w:rsid w:val="0098099A"/>
    <w:rsid w:val="00983689"/>
    <w:rsid w:val="00985950"/>
    <w:rsid w:val="0099134E"/>
    <w:rsid w:val="00991B0D"/>
    <w:rsid w:val="009937EC"/>
    <w:rsid w:val="00996498"/>
    <w:rsid w:val="0099732D"/>
    <w:rsid w:val="009A13D1"/>
    <w:rsid w:val="009A18F4"/>
    <w:rsid w:val="009A49E6"/>
    <w:rsid w:val="009A5697"/>
    <w:rsid w:val="009B1681"/>
    <w:rsid w:val="009B1D34"/>
    <w:rsid w:val="009B219A"/>
    <w:rsid w:val="009B2883"/>
    <w:rsid w:val="009B3DA9"/>
    <w:rsid w:val="009B6431"/>
    <w:rsid w:val="009B64BA"/>
    <w:rsid w:val="009B6BEF"/>
    <w:rsid w:val="009B7078"/>
    <w:rsid w:val="009C263B"/>
    <w:rsid w:val="009C59DF"/>
    <w:rsid w:val="009C7BD0"/>
    <w:rsid w:val="009D33D4"/>
    <w:rsid w:val="009E0E1C"/>
    <w:rsid w:val="009E0E60"/>
    <w:rsid w:val="009E4664"/>
    <w:rsid w:val="009E6E93"/>
    <w:rsid w:val="009E711A"/>
    <w:rsid w:val="009E7D0E"/>
    <w:rsid w:val="009F1071"/>
    <w:rsid w:val="009F1E61"/>
    <w:rsid w:val="009F480D"/>
    <w:rsid w:val="009F6ABB"/>
    <w:rsid w:val="009F6E22"/>
    <w:rsid w:val="00A03064"/>
    <w:rsid w:val="00A059C6"/>
    <w:rsid w:val="00A10BD1"/>
    <w:rsid w:val="00A12CF1"/>
    <w:rsid w:val="00A20166"/>
    <w:rsid w:val="00A22613"/>
    <w:rsid w:val="00A23FEF"/>
    <w:rsid w:val="00A24F7B"/>
    <w:rsid w:val="00A3041B"/>
    <w:rsid w:val="00A345B7"/>
    <w:rsid w:val="00A349A2"/>
    <w:rsid w:val="00A42921"/>
    <w:rsid w:val="00A4716D"/>
    <w:rsid w:val="00A63AB4"/>
    <w:rsid w:val="00A657F9"/>
    <w:rsid w:val="00A660E6"/>
    <w:rsid w:val="00A7436D"/>
    <w:rsid w:val="00A75FA7"/>
    <w:rsid w:val="00A76F12"/>
    <w:rsid w:val="00A82F78"/>
    <w:rsid w:val="00A87286"/>
    <w:rsid w:val="00AA1963"/>
    <w:rsid w:val="00AA1C29"/>
    <w:rsid w:val="00AA476D"/>
    <w:rsid w:val="00AA7663"/>
    <w:rsid w:val="00AB2418"/>
    <w:rsid w:val="00AB76AB"/>
    <w:rsid w:val="00AC20AF"/>
    <w:rsid w:val="00AC4AF0"/>
    <w:rsid w:val="00AC50BE"/>
    <w:rsid w:val="00AD6139"/>
    <w:rsid w:val="00AE00B2"/>
    <w:rsid w:val="00AE08CD"/>
    <w:rsid w:val="00AE12AF"/>
    <w:rsid w:val="00AE42B6"/>
    <w:rsid w:val="00AE4528"/>
    <w:rsid w:val="00AE61EB"/>
    <w:rsid w:val="00AF0554"/>
    <w:rsid w:val="00AF0FF1"/>
    <w:rsid w:val="00AF1C80"/>
    <w:rsid w:val="00AF2D71"/>
    <w:rsid w:val="00AF5C22"/>
    <w:rsid w:val="00AF6114"/>
    <w:rsid w:val="00AF7B5F"/>
    <w:rsid w:val="00B01A85"/>
    <w:rsid w:val="00B04238"/>
    <w:rsid w:val="00B049E0"/>
    <w:rsid w:val="00B04AAA"/>
    <w:rsid w:val="00B11419"/>
    <w:rsid w:val="00B16A0E"/>
    <w:rsid w:val="00B22467"/>
    <w:rsid w:val="00B256DB"/>
    <w:rsid w:val="00B353B8"/>
    <w:rsid w:val="00B35943"/>
    <w:rsid w:val="00B37C5C"/>
    <w:rsid w:val="00B40C21"/>
    <w:rsid w:val="00B41D98"/>
    <w:rsid w:val="00B425C4"/>
    <w:rsid w:val="00B429DB"/>
    <w:rsid w:val="00B436E8"/>
    <w:rsid w:val="00B446DA"/>
    <w:rsid w:val="00B44C17"/>
    <w:rsid w:val="00B4597A"/>
    <w:rsid w:val="00B45B80"/>
    <w:rsid w:val="00B47E20"/>
    <w:rsid w:val="00B50A5B"/>
    <w:rsid w:val="00B53AB3"/>
    <w:rsid w:val="00B53E92"/>
    <w:rsid w:val="00B75982"/>
    <w:rsid w:val="00B821B3"/>
    <w:rsid w:val="00B87A18"/>
    <w:rsid w:val="00B93A6C"/>
    <w:rsid w:val="00B95BB8"/>
    <w:rsid w:val="00B97B6A"/>
    <w:rsid w:val="00BA197A"/>
    <w:rsid w:val="00BA47B0"/>
    <w:rsid w:val="00BB00F5"/>
    <w:rsid w:val="00BB190C"/>
    <w:rsid w:val="00BB4841"/>
    <w:rsid w:val="00BC2F7B"/>
    <w:rsid w:val="00BC2FA9"/>
    <w:rsid w:val="00BD30C6"/>
    <w:rsid w:val="00BD3708"/>
    <w:rsid w:val="00BD65D2"/>
    <w:rsid w:val="00BD6669"/>
    <w:rsid w:val="00BD6CAE"/>
    <w:rsid w:val="00BD79A3"/>
    <w:rsid w:val="00BE0165"/>
    <w:rsid w:val="00BE04A3"/>
    <w:rsid w:val="00BE6256"/>
    <w:rsid w:val="00BF010E"/>
    <w:rsid w:val="00BF41BB"/>
    <w:rsid w:val="00BF717A"/>
    <w:rsid w:val="00C012DD"/>
    <w:rsid w:val="00C02E31"/>
    <w:rsid w:val="00C114C5"/>
    <w:rsid w:val="00C11F1F"/>
    <w:rsid w:val="00C16284"/>
    <w:rsid w:val="00C21806"/>
    <w:rsid w:val="00C227F6"/>
    <w:rsid w:val="00C249D8"/>
    <w:rsid w:val="00C24FDD"/>
    <w:rsid w:val="00C25174"/>
    <w:rsid w:val="00C33EAC"/>
    <w:rsid w:val="00C34317"/>
    <w:rsid w:val="00C34956"/>
    <w:rsid w:val="00C36558"/>
    <w:rsid w:val="00C4538A"/>
    <w:rsid w:val="00C471B1"/>
    <w:rsid w:val="00C51905"/>
    <w:rsid w:val="00C56D7E"/>
    <w:rsid w:val="00C6073D"/>
    <w:rsid w:val="00C61F35"/>
    <w:rsid w:val="00C6260F"/>
    <w:rsid w:val="00C62ED8"/>
    <w:rsid w:val="00C65716"/>
    <w:rsid w:val="00C74F5F"/>
    <w:rsid w:val="00C76796"/>
    <w:rsid w:val="00C90490"/>
    <w:rsid w:val="00C90DD1"/>
    <w:rsid w:val="00C9480F"/>
    <w:rsid w:val="00C9783D"/>
    <w:rsid w:val="00C979B0"/>
    <w:rsid w:val="00C97E93"/>
    <w:rsid w:val="00CA31B8"/>
    <w:rsid w:val="00CA51A0"/>
    <w:rsid w:val="00CA57C5"/>
    <w:rsid w:val="00CA5DE5"/>
    <w:rsid w:val="00CA7B6D"/>
    <w:rsid w:val="00CB1D7F"/>
    <w:rsid w:val="00CB221B"/>
    <w:rsid w:val="00CB2ED9"/>
    <w:rsid w:val="00CB4426"/>
    <w:rsid w:val="00CB6573"/>
    <w:rsid w:val="00CB6715"/>
    <w:rsid w:val="00CC2272"/>
    <w:rsid w:val="00CC23F4"/>
    <w:rsid w:val="00CC599E"/>
    <w:rsid w:val="00CC731A"/>
    <w:rsid w:val="00CD01B1"/>
    <w:rsid w:val="00CD0529"/>
    <w:rsid w:val="00CD2F37"/>
    <w:rsid w:val="00CD3276"/>
    <w:rsid w:val="00CE3DA2"/>
    <w:rsid w:val="00CE48E6"/>
    <w:rsid w:val="00CE729A"/>
    <w:rsid w:val="00CE734B"/>
    <w:rsid w:val="00CF492B"/>
    <w:rsid w:val="00CF49A9"/>
    <w:rsid w:val="00CF4CA1"/>
    <w:rsid w:val="00CF7959"/>
    <w:rsid w:val="00D01073"/>
    <w:rsid w:val="00D027A4"/>
    <w:rsid w:val="00D11078"/>
    <w:rsid w:val="00D12A52"/>
    <w:rsid w:val="00D152AF"/>
    <w:rsid w:val="00D15714"/>
    <w:rsid w:val="00D16155"/>
    <w:rsid w:val="00D223AC"/>
    <w:rsid w:val="00D24B28"/>
    <w:rsid w:val="00D2662F"/>
    <w:rsid w:val="00D27D42"/>
    <w:rsid w:val="00D322E6"/>
    <w:rsid w:val="00D3510B"/>
    <w:rsid w:val="00D355C7"/>
    <w:rsid w:val="00D3580E"/>
    <w:rsid w:val="00D37319"/>
    <w:rsid w:val="00D41B7B"/>
    <w:rsid w:val="00D423D3"/>
    <w:rsid w:val="00D423DD"/>
    <w:rsid w:val="00D45798"/>
    <w:rsid w:val="00D4742A"/>
    <w:rsid w:val="00D50C7E"/>
    <w:rsid w:val="00D55D18"/>
    <w:rsid w:val="00D56B55"/>
    <w:rsid w:val="00D6173A"/>
    <w:rsid w:val="00D61B29"/>
    <w:rsid w:val="00D61B58"/>
    <w:rsid w:val="00D62CF2"/>
    <w:rsid w:val="00D644CC"/>
    <w:rsid w:val="00D646B2"/>
    <w:rsid w:val="00D64C88"/>
    <w:rsid w:val="00D66255"/>
    <w:rsid w:val="00D71D0F"/>
    <w:rsid w:val="00D7226A"/>
    <w:rsid w:val="00D74E93"/>
    <w:rsid w:val="00D81B72"/>
    <w:rsid w:val="00D861C0"/>
    <w:rsid w:val="00D87FA6"/>
    <w:rsid w:val="00D92E13"/>
    <w:rsid w:val="00D94CF7"/>
    <w:rsid w:val="00DA4DA9"/>
    <w:rsid w:val="00DA699A"/>
    <w:rsid w:val="00DA6AB4"/>
    <w:rsid w:val="00DB081A"/>
    <w:rsid w:val="00DB27F5"/>
    <w:rsid w:val="00DB4E04"/>
    <w:rsid w:val="00DC1587"/>
    <w:rsid w:val="00DC55F5"/>
    <w:rsid w:val="00DC5D9E"/>
    <w:rsid w:val="00DC7425"/>
    <w:rsid w:val="00DD0A1A"/>
    <w:rsid w:val="00DD7BC0"/>
    <w:rsid w:val="00DE03DB"/>
    <w:rsid w:val="00DE3CEF"/>
    <w:rsid w:val="00DE3F2B"/>
    <w:rsid w:val="00DE739E"/>
    <w:rsid w:val="00DF0211"/>
    <w:rsid w:val="00DF04E2"/>
    <w:rsid w:val="00DF095F"/>
    <w:rsid w:val="00DF4D29"/>
    <w:rsid w:val="00DF5237"/>
    <w:rsid w:val="00E05B50"/>
    <w:rsid w:val="00E130CA"/>
    <w:rsid w:val="00E13C91"/>
    <w:rsid w:val="00E202F8"/>
    <w:rsid w:val="00E2285E"/>
    <w:rsid w:val="00E315B6"/>
    <w:rsid w:val="00E31877"/>
    <w:rsid w:val="00E323A7"/>
    <w:rsid w:val="00E33140"/>
    <w:rsid w:val="00E365AD"/>
    <w:rsid w:val="00E530EF"/>
    <w:rsid w:val="00E705A5"/>
    <w:rsid w:val="00E70F62"/>
    <w:rsid w:val="00E810A9"/>
    <w:rsid w:val="00E81120"/>
    <w:rsid w:val="00E8351E"/>
    <w:rsid w:val="00E86653"/>
    <w:rsid w:val="00E87144"/>
    <w:rsid w:val="00E908D8"/>
    <w:rsid w:val="00E91720"/>
    <w:rsid w:val="00EA52E5"/>
    <w:rsid w:val="00EA79AB"/>
    <w:rsid w:val="00EB6DF1"/>
    <w:rsid w:val="00EC1BEC"/>
    <w:rsid w:val="00EC5FF3"/>
    <w:rsid w:val="00EC6193"/>
    <w:rsid w:val="00ED0C31"/>
    <w:rsid w:val="00ED6AF6"/>
    <w:rsid w:val="00EE17DD"/>
    <w:rsid w:val="00EE2FEA"/>
    <w:rsid w:val="00EE380C"/>
    <w:rsid w:val="00EE455E"/>
    <w:rsid w:val="00EF0FDE"/>
    <w:rsid w:val="00EF68B1"/>
    <w:rsid w:val="00EF7A8C"/>
    <w:rsid w:val="00F00B56"/>
    <w:rsid w:val="00F04139"/>
    <w:rsid w:val="00F055E5"/>
    <w:rsid w:val="00F11F33"/>
    <w:rsid w:val="00F12C50"/>
    <w:rsid w:val="00F31075"/>
    <w:rsid w:val="00F313D3"/>
    <w:rsid w:val="00F370FE"/>
    <w:rsid w:val="00F42853"/>
    <w:rsid w:val="00F43B94"/>
    <w:rsid w:val="00F44DD3"/>
    <w:rsid w:val="00F44DD7"/>
    <w:rsid w:val="00F478F3"/>
    <w:rsid w:val="00F56DEB"/>
    <w:rsid w:val="00F60EE5"/>
    <w:rsid w:val="00F61E6C"/>
    <w:rsid w:val="00F704B4"/>
    <w:rsid w:val="00F70551"/>
    <w:rsid w:val="00F7411F"/>
    <w:rsid w:val="00F741B3"/>
    <w:rsid w:val="00F75D13"/>
    <w:rsid w:val="00F82BA1"/>
    <w:rsid w:val="00F87735"/>
    <w:rsid w:val="00F95677"/>
    <w:rsid w:val="00F9728F"/>
    <w:rsid w:val="00F97311"/>
    <w:rsid w:val="00FA12E9"/>
    <w:rsid w:val="00FA5447"/>
    <w:rsid w:val="00FB0CA1"/>
    <w:rsid w:val="00FB21E2"/>
    <w:rsid w:val="00FB73B6"/>
    <w:rsid w:val="00FC2873"/>
    <w:rsid w:val="00FC3EB6"/>
    <w:rsid w:val="00FC725D"/>
    <w:rsid w:val="00FD17F6"/>
    <w:rsid w:val="00FD5D45"/>
    <w:rsid w:val="00FE23CB"/>
    <w:rsid w:val="00FE6CC5"/>
    <w:rsid w:val="00FE6D77"/>
    <w:rsid w:val="00FF1B12"/>
    <w:rsid w:val="00FF2162"/>
    <w:rsid w:val="00FF37A7"/>
    <w:rsid w:val="00FF5F2A"/>
    <w:rsid w:val="00FF7A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margin;mso-position-vertical-relative:margin" fill="f" fillcolor="white" stroke="f">
      <v:fill color="white" on="f"/>
      <v:stroke on="f"/>
    </o:shapedefaults>
    <o:shapelayout v:ext="edit">
      <o:idmap v:ext="edit" data="1"/>
    </o:shapelayout>
  </w:shapeDefaults>
  <w:decimalSymbol w:val="."/>
  <w:listSeparator w:val=","/>
  <w15:docId w15:val="{9BBFFC11-CC98-412A-B22D-33E3ED871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3"/>
        <w:szCs w:val="23"/>
        <w:lang w:val="cs-CZ" w:eastAsia="cs-CZ" w:bidi="ar-SA"/>
      </w:rPr>
    </w:rPrDefault>
    <w:pPrDefault/>
  </w:docDefaults>
  <w:latentStyles w:defLockedState="0" w:defUIPriority="0" w:defSemiHidden="0" w:defUnhideWhenUsed="0" w:defQFormat="0" w:count="371">
    <w:lsdException w:name="heading 1" w:uiPriority="2" w:qFormat="1"/>
    <w:lsdException w:name="heading 2" w:uiPriority="2" w:qFormat="1"/>
    <w:lsdException w:name="heading 3" w:qFormat="1"/>
    <w:lsdException w:name="heading 4" w:semiHidden="1" w:unhideWhenUsed="1"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3"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7" w:unhideWhenUsed="1" w:qFormat="1"/>
    <w:lsdException w:name="FollowedHyperlink" w:semiHidden="1" w:unhideWhenUsed="1"/>
    <w:lsdException w:name="Strong" w:uiPriority="1" w:qFormat="1"/>
    <w:lsdException w:name="Emphasis" w:uiPriority="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B95BB8"/>
  </w:style>
  <w:style w:type="paragraph" w:styleId="Heading1">
    <w:name w:val="heading 1"/>
    <w:basedOn w:val="Normal"/>
    <w:next w:val="Normal"/>
    <w:link w:val="Heading1Char"/>
    <w:uiPriority w:val="2"/>
    <w:qFormat/>
    <w:rsid w:val="009B64BA"/>
    <w:pPr>
      <w:keepNext/>
      <w:spacing w:after="240" w:line="264" w:lineRule="auto"/>
      <w:contextualSpacing/>
      <w:outlineLvl w:val="0"/>
    </w:pPr>
    <w:rPr>
      <w:b/>
      <w:color w:val="008576"/>
      <w:sz w:val="24"/>
      <w:szCs w:val="26"/>
    </w:rPr>
  </w:style>
  <w:style w:type="paragraph" w:styleId="Heading2">
    <w:name w:val="heading 2"/>
    <w:basedOn w:val="Heading3"/>
    <w:uiPriority w:val="2"/>
    <w:qFormat/>
    <w:rsid w:val="0045106B"/>
    <w:pPr>
      <w:keepNext/>
      <w:contextualSpacing/>
      <w:outlineLvl w:val="1"/>
    </w:pPr>
  </w:style>
  <w:style w:type="paragraph" w:styleId="Heading3">
    <w:name w:val="heading 3"/>
    <w:basedOn w:val="Normal"/>
    <w:next w:val="Normal"/>
    <w:semiHidden/>
    <w:unhideWhenUsed/>
    <w:qFormat/>
    <w:rsid w:val="00532395"/>
    <w:pPr>
      <w:spacing w:after="240" w:line="264" w:lineRule="auto"/>
      <w:outlineLvl w:val="2"/>
    </w:pPr>
    <w:rPr>
      <w:b/>
    </w:rPr>
  </w:style>
  <w:style w:type="paragraph" w:styleId="Heading5">
    <w:name w:val="heading 5"/>
    <w:basedOn w:val="Normal"/>
    <w:next w:val="Normal"/>
    <w:link w:val="Heading5Char"/>
    <w:uiPriority w:val="99"/>
    <w:semiHidden/>
    <w:rsid w:val="005766A1"/>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023F5E"/>
    <w:pPr>
      <w:spacing w:after="200" w:line="252" w:lineRule="auto"/>
      <w:jc w:val="both"/>
    </w:pPr>
  </w:style>
  <w:style w:type="paragraph" w:customStyle="1" w:styleId="podpis">
    <w:name w:val="podpis"/>
    <w:basedOn w:val="Normal"/>
    <w:uiPriority w:val="19"/>
    <w:rsid w:val="002563E2"/>
    <w:pPr>
      <w:ind w:left="3119"/>
      <w:jc w:val="center"/>
    </w:pPr>
    <w:rPr>
      <w:rFonts w:cs="Arial"/>
    </w:rPr>
  </w:style>
  <w:style w:type="paragraph" w:styleId="FootnoteText">
    <w:name w:val="footnote text"/>
    <w:basedOn w:val="Normal"/>
    <w:link w:val="FootnoteTextChar"/>
    <w:uiPriority w:val="16"/>
    <w:qFormat/>
    <w:rsid w:val="00176931"/>
    <w:pPr>
      <w:tabs>
        <w:tab w:val="left" w:pos="284"/>
      </w:tabs>
      <w:spacing w:before="120" w:after="120"/>
      <w:jc w:val="both"/>
    </w:pPr>
    <w:rPr>
      <w:sz w:val="18"/>
      <w:szCs w:val="18"/>
      <w:lang w:val="x-none" w:eastAsia="x-none"/>
    </w:rPr>
  </w:style>
  <w:style w:type="character" w:styleId="FootnoteReference">
    <w:name w:val="footnote reference"/>
    <w:uiPriority w:val="15"/>
    <w:rsid w:val="00023F5E"/>
    <w:rPr>
      <w:rFonts w:ascii="Calibri" w:hAnsi="Calibri"/>
      <w:b/>
      <w:i w:val="0"/>
      <w:strike w:val="0"/>
      <w:dstrike w:val="0"/>
      <w:color w:val="008576"/>
      <w:sz w:val="23"/>
      <w:vertAlign w:val="superscript"/>
    </w:rPr>
  </w:style>
  <w:style w:type="character" w:styleId="Hyperlink">
    <w:name w:val="Hyperlink"/>
    <w:uiPriority w:val="17"/>
    <w:qFormat/>
    <w:rsid w:val="007F2F6D"/>
    <w:rPr>
      <w:color w:val="008576"/>
      <w:u w:val="single"/>
    </w:rPr>
  </w:style>
  <w:style w:type="character" w:customStyle="1" w:styleId="kubikova">
    <w:name w:val="kubikova"/>
    <w:semiHidden/>
    <w:rsid w:val="00B87A18"/>
    <w:rPr>
      <w:rFonts w:ascii="Trebuchet MS" w:hAnsi="Trebuchet MS"/>
      <w:b w:val="0"/>
      <w:bCs w:val="0"/>
      <w:i w:val="0"/>
      <w:iCs w:val="0"/>
      <w:strike w:val="0"/>
      <w:color w:val="808000"/>
      <w:sz w:val="22"/>
      <w:szCs w:val="22"/>
      <w:u w:val="none"/>
    </w:rPr>
  </w:style>
  <w:style w:type="character" w:styleId="Strong">
    <w:name w:val="Strong"/>
    <w:uiPriority w:val="2"/>
    <w:qFormat/>
    <w:rsid w:val="00926A2A"/>
    <w:rPr>
      <w:b/>
      <w:bCs/>
    </w:rPr>
  </w:style>
  <w:style w:type="paragraph" w:styleId="BalloonText">
    <w:name w:val="Balloon Text"/>
    <w:basedOn w:val="Normal"/>
    <w:semiHidden/>
    <w:rsid w:val="00E70F62"/>
    <w:rPr>
      <w:rFonts w:ascii="Tahoma" w:hAnsi="Tahoma" w:cs="Tahoma"/>
      <w:sz w:val="16"/>
      <w:szCs w:val="16"/>
    </w:rPr>
  </w:style>
  <w:style w:type="character" w:customStyle="1" w:styleId="Heading5Char">
    <w:name w:val="Heading 5 Char"/>
    <w:link w:val="Heading5"/>
    <w:uiPriority w:val="99"/>
    <w:semiHidden/>
    <w:rsid w:val="00DB081A"/>
    <w:rPr>
      <w:rFonts w:ascii="Calibri" w:hAnsi="Calibri"/>
      <w:b/>
      <w:bCs/>
      <w:i/>
      <w:iCs/>
      <w:sz w:val="26"/>
      <w:szCs w:val="26"/>
    </w:rPr>
  </w:style>
  <w:style w:type="character" w:styleId="Emphasis">
    <w:name w:val="Emphasis"/>
    <w:aliases w:val="Kurzíva"/>
    <w:uiPriority w:val="1"/>
    <w:qFormat/>
    <w:rsid w:val="00CD3276"/>
    <w:rPr>
      <w:i/>
      <w:iCs/>
    </w:rPr>
  </w:style>
  <w:style w:type="character" w:customStyle="1" w:styleId="BodyTextChar">
    <w:name w:val="Body Text Char"/>
    <w:basedOn w:val="DefaultParagraphFont"/>
    <w:link w:val="BodyText"/>
    <w:rsid w:val="00023F5E"/>
    <w:rPr>
      <w:rFonts w:ascii="Calibri" w:hAnsi="Calibri"/>
      <w:sz w:val="23"/>
      <w:szCs w:val="24"/>
    </w:rPr>
  </w:style>
  <w:style w:type="character" w:customStyle="1" w:styleId="FootnoteTextChar">
    <w:name w:val="Footnote Text Char"/>
    <w:link w:val="FootnoteText"/>
    <w:uiPriority w:val="16"/>
    <w:rsid w:val="00B95BB8"/>
    <w:rPr>
      <w:sz w:val="18"/>
      <w:szCs w:val="18"/>
      <w:lang w:val="x-none" w:eastAsia="x-none"/>
    </w:rPr>
  </w:style>
  <w:style w:type="table" w:styleId="TableGrid">
    <w:name w:val="Table Grid"/>
    <w:basedOn w:val="TableNormal"/>
    <w:rsid w:val="00452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AF2D71"/>
    <w:pPr>
      <w:tabs>
        <w:tab w:val="center" w:pos="4536"/>
        <w:tab w:val="right" w:pos="9072"/>
      </w:tabs>
    </w:pPr>
  </w:style>
  <w:style w:type="paragraph" w:customStyle="1" w:styleId="zhlav-VOP">
    <w:name w:val="záhlaví-VOP"/>
    <w:basedOn w:val="Normal"/>
    <w:uiPriority w:val="1"/>
    <w:semiHidden/>
    <w:rsid w:val="005766A1"/>
    <w:pPr>
      <w:jc w:val="center"/>
    </w:pPr>
    <w:rPr>
      <w:b/>
      <w:i/>
      <w:sz w:val="32"/>
      <w:szCs w:val="32"/>
    </w:rPr>
  </w:style>
  <w:style w:type="paragraph" w:customStyle="1" w:styleId="zhlav-kontakt">
    <w:name w:val="záhlaví-kontakt"/>
    <w:basedOn w:val="Normal"/>
    <w:uiPriority w:val="1"/>
    <w:semiHidden/>
    <w:rsid w:val="005766A1"/>
    <w:pPr>
      <w:jc w:val="center"/>
      <w:outlineLvl w:val="0"/>
    </w:pPr>
    <w:rPr>
      <w:rFonts w:cs="Arial"/>
      <w:bCs/>
      <w:i/>
      <w:iCs/>
      <w:sz w:val="20"/>
    </w:rPr>
  </w:style>
  <w:style w:type="character" w:customStyle="1" w:styleId="Heading1Char">
    <w:name w:val="Heading 1 Char"/>
    <w:link w:val="Heading1"/>
    <w:uiPriority w:val="2"/>
    <w:rsid w:val="00B95BB8"/>
    <w:rPr>
      <w:b/>
      <w:color w:val="008576"/>
      <w:sz w:val="24"/>
      <w:szCs w:val="26"/>
    </w:rPr>
  </w:style>
  <w:style w:type="paragraph" w:styleId="List">
    <w:name w:val="List"/>
    <w:basedOn w:val="Normal"/>
    <w:uiPriority w:val="9"/>
    <w:rsid w:val="00324ADE"/>
    <w:pPr>
      <w:numPr>
        <w:numId w:val="16"/>
      </w:numPr>
      <w:tabs>
        <w:tab w:val="left" w:pos="567"/>
      </w:tabs>
      <w:spacing w:before="120" w:after="120"/>
      <w:ind w:left="567" w:hanging="567"/>
      <w:jc w:val="both"/>
    </w:pPr>
  </w:style>
  <w:style w:type="character" w:customStyle="1" w:styleId="HeaderChar">
    <w:name w:val="Header Char"/>
    <w:link w:val="Header"/>
    <w:semiHidden/>
    <w:rsid w:val="002F4C16"/>
    <w:rPr>
      <w:sz w:val="24"/>
      <w:szCs w:val="24"/>
    </w:rPr>
  </w:style>
  <w:style w:type="paragraph" w:styleId="Footer">
    <w:name w:val="footer"/>
    <w:basedOn w:val="Normal"/>
    <w:link w:val="FooterChar"/>
    <w:uiPriority w:val="99"/>
    <w:semiHidden/>
    <w:rsid w:val="00F00B56"/>
    <w:pPr>
      <w:tabs>
        <w:tab w:val="center" w:pos="4536"/>
        <w:tab w:val="right" w:pos="9072"/>
      </w:tabs>
    </w:pPr>
  </w:style>
  <w:style w:type="character" w:customStyle="1" w:styleId="FooterChar">
    <w:name w:val="Footer Char"/>
    <w:link w:val="Footer"/>
    <w:uiPriority w:val="99"/>
    <w:semiHidden/>
    <w:rsid w:val="00F00B56"/>
    <w:rPr>
      <w:sz w:val="24"/>
      <w:szCs w:val="24"/>
    </w:rPr>
  </w:style>
  <w:style w:type="paragraph" w:styleId="ListNumber">
    <w:name w:val="List Number"/>
    <w:basedOn w:val="Normal"/>
    <w:uiPriority w:val="9"/>
    <w:rsid w:val="00324ADE"/>
    <w:pPr>
      <w:numPr>
        <w:numId w:val="18"/>
      </w:numPr>
      <w:tabs>
        <w:tab w:val="left" w:pos="567"/>
      </w:tabs>
      <w:spacing w:before="120" w:after="120"/>
      <w:ind w:left="567" w:hanging="567"/>
      <w:jc w:val="both"/>
    </w:pPr>
  </w:style>
  <w:style w:type="paragraph" w:customStyle="1" w:styleId="kontakt">
    <w:name w:val="kontakt"/>
    <w:basedOn w:val="Normal"/>
    <w:uiPriority w:val="28"/>
    <w:rsid w:val="008B62A1"/>
    <w:rPr>
      <w:rFonts w:cs="Tahoma"/>
      <w:sz w:val="18"/>
      <w:szCs w:val="18"/>
    </w:rPr>
  </w:style>
  <w:style w:type="paragraph" w:customStyle="1" w:styleId="zkoncitace">
    <w:name w:val="zákon (citace)"/>
    <w:basedOn w:val="Normal"/>
    <w:uiPriority w:val="29"/>
    <w:qFormat/>
    <w:rsid w:val="00023F5E"/>
    <w:pPr>
      <w:jc w:val="both"/>
    </w:pPr>
    <w:rPr>
      <w:i/>
      <w:sz w:val="21"/>
    </w:rPr>
  </w:style>
  <w:style w:type="paragraph" w:customStyle="1" w:styleId="zkon-nadpis">
    <w:name w:val="zákon - nadpis"/>
    <w:basedOn w:val="Normal"/>
    <w:next w:val="zkoncitace"/>
    <w:uiPriority w:val="29"/>
    <w:rsid w:val="00023F5E"/>
    <w:pPr>
      <w:spacing w:before="120" w:after="120"/>
      <w:jc w:val="both"/>
    </w:pPr>
    <w:rPr>
      <w:b/>
      <w:sz w:val="21"/>
    </w:rPr>
  </w:style>
  <w:style w:type="character" w:styleId="CommentReference">
    <w:name w:val="annotation reference"/>
    <w:semiHidden/>
    <w:unhideWhenUsed/>
    <w:rsid w:val="0027365B"/>
    <w:rPr>
      <w:sz w:val="16"/>
      <w:szCs w:val="16"/>
    </w:rPr>
  </w:style>
  <w:style w:type="paragraph" w:styleId="CommentText">
    <w:name w:val="annotation text"/>
    <w:basedOn w:val="Normal"/>
    <w:link w:val="CommentTextChar"/>
    <w:semiHidden/>
    <w:unhideWhenUsed/>
    <w:rsid w:val="0027365B"/>
    <w:rPr>
      <w:sz w:val="20"/>
      <w:szCs w:val="20"/>
    </w:rPr>
  </w:style>
  <w:style w:type="character" w:customStyle="1" w:styleId="CommentTextChar">
    <w:name w:val="Comment Text Char"/>
    <w:basedOn w:val="DefaultParagraphFont"/>
    <w:link w:val="CommentText"/>
    <w:semiHidden/>
    <w:rsid w:val="0027365B"/>
  </w:style>
  <w:style w:type="paragraph" w:styleId="CommentSubject">
    <w:name w:val="annotation subject"/>
    <w:basedOn w:val="CommentText"/>
    <w:next w:val="CommentText"/>
    <w:link w:val="CommentSubjectChar"/>
    <w:semiHidden/>
    <w:unhideWhenUsed/>
    <w:rsid w:val="0027365B"/>
    <w:rPr>
      <w:b/>
      <w:bCs/>
    </w:rPr>
  </w:style>
  <w:style w:type="character" w:customStyle="1" w:styleId="CommentSubjectChar">
    <w:name w:val="Comment Subject Char"/>
    <w:link w:val="CommentSubject"/>
    <w:semiHidden/>
    <w:rsid w:val="0027365B"/>
    <w:rPr>
      <w:b/>
      <w:bCs/>
    </w:rPr>
  </w:style>
  <w:style w:type="paragraph" w:customStyle="1" w:styleId="Ploha">
    <w:name w:val="Příloha"/>
    <w:basedOn w:val="Normal"/>
    <w:uiPriority w:val="5"/>
    <w:rsid w:val="009E6E93"/>
    <w:rPr>
      <w:b/>
      <w:color w:val="008576"/>
    </w:rPr>
  </w:style>
  <w:style w:type="paragraph" w:styleId="BodyTextIndent">
    <w:name w:val="Body Text Indent"/>
    <w:basedOn w:val="Normal"/>
    <w:link w:val="BodyTextIndentChar"/>
    <w:semiHidden/>
    <w:unhideWhenUsed/>
    <w:qFormat/>
    <w:rsid w:val="006B595F"/>
    <w:pPr>
      <w:spacing w:after="120"/>
      <w:ind w:left="283"/>
    </w:pPr>
  </w:style>
  <w:style w:type="character" w:customStyle="1" w:styleId="BodyTextIndentChar">
    <w:name w:val="Body Text Indent Char"/>
    <w:basedOn w:val="DefaultParagraphFont"/>
    <w:link w:val="BodyTextIndent"/>
    <w:semiHidden/>
    <w:rsid w:val="006B595F"/>
    <w:rPr>
      <w:rFonts w:ascii="Calibri" w:hAnsi="Calibri"/>
      <w:sz w:val="22"/>
      <w:szCs w:val="24"/>
    </w:rPr>
  </w:style>
  <w:style w:type="paragraph" w:customStyle="1" w:styleId="a">
    <w:uiPriority w:val="1"/>
    <w:qFormat/>
    <w:rsid w:val="00BD3708"/>
    <w:rPr>
      <w:sz w:val="24"/>
      <w:szCs w:val="24"/>
    </w:rPr>
  </w:style>
  <w:style w:type="paragraph" w:styleId="PlainText">
    <w:name w:val="Plain Text"/>
    <w:basedOn w:val="Normal"/>
    <w:link w:val="PlainTextChar"/>
    <w:uiPriority w:val="99"/>
    <w:semiHidden/>
    <w:unhideWhenUsed/>
    <w:rsid w:val="008E7B9A"/>
    <w:rPr>
      <w:rFonts w:eastAsiaTheme="minorHAnsi"/>
      <w:sz w:val="22"/>
      <w:szCs w:val="22"/>
    </w:rPr>
  </w:style>
  <w:style w:type="character" w:customStyle="1" w:styleId="PlainTextChar">
    <w:name w:val="Plain Text Char"/>
    <w:basedOn w:val="DefaultParagraphFont"/>
    <w:link w:val="PlainText"/>
    <w:uiPriority w:val="99"/>
    <w:semiHidden/>
    <w:rsid w:val="008E7B9A"/>
    <w:rPr>
      <w:rFonts w:ascii="Calibri" w:eastAsiaTheme="minorHAnsi" w:hAnsi="Calibri"/>
      <w:sz w:val="22"/>
      <w:szCs w:val="22"/>
    </w:rPr>
  </w:style>
  <w:style w:type="character" w:customStyle="1" w:styleId="Tunkurzva">
    <w:name w:val="Tučná kurzíva"/>
    <w:basedOn w:val="DefaultParagraphFont"/>
    <w:uiPriority w:val="1"/>
    <w:rsid w:val="007F2F6D"/>
    <w:rPr>
      <w:b/>
      <w:i/>
    </w:rPr>
  </w:style>
  <w:style w:type="paragraph" w:styleId="ListParagraph">
    <w:name w:val="List Paragraph"/>
    <w:basedOn w:val="Normal"/>
    <w:uiPriority w:val="34"/>
    <w:rsid w:val="00695144"/>
    <w:pPr>
      <w:ind w:left="720"/>
      <w:contextualSpacing/>
    </w:pPr>
    <w:rPr>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676779">
      <w:bodyDiv w:val="1"/>
      <w:marLeft w:val="0"/>
      <w:marRight w:val="0"/>
      <w:marTop w:val="0"/>
      <w:marBottom w:val="0"/>
      <w:divBdr>
        <w:top w:val="none" w:sz="0" w:space="0" w:color="auto"/>
        <w:left w:val="none" w:sz="0" w:space="0" w:color="auto"/>
        <w:bottom w:val="none" w:sz="0" w:space="0" w:color="auto"/>
        <w:right w:val="none" w:sz="0" w:space="0" w:color="auto"/>
      </w:divBdr>
    </w:div>
    <w:div w:id="299502186">
      <w:bodyDiv w:val="1"/>
      <w:marLeft w:val="0"/>
      <w:marRight w:val="0"/>
      <w:marTop w:val="0"/>
      <w:marBottom w:val="0"/>
      <w:divBdr>
        <w:top w:val="none" w:sz="0" w:space="0" w:color="auto"/>
        <w:left w:val="none" w:sz="0" w:space="0" w:color="auto"/>
        <w:bottom w:val="none" w:sz="0" w:space="0" w:color="auto"/>
        <w:right w:val="none" w:sz="0" w:space="0" w:color="auto"/>
      </w:divBdr>
    </w:div>
    <w:div w:id="368725009">
      <w:bodyDiv w:val="1"/>
      <w:marLeft w:val="0"/>
      <w:marRight w:val="0"/>
      <w:marTop w:val="0"/>
      <w:marBottom w:val="0"/>
      <w:divBdr>
        <w:top w:val="none" w:sz="0" w:space="0" w:color="auto"/>
        <w:left w:val="none" w:sz="0" w:space="0" w:color="auto"/>
        <w:bottom w:val="none" w:sz="0" w:space="0" w:color="auto"/>
        <w:right w:val="none" w:sz="0" w:space="0" w:color="auto"/>
      </w:divBdr>
    </w:div>
    <w:div w:id="375200847">
      <w:bodyDiv w:val="1"/>
      <w:marLeft w:val="0"/>
      <w:marRight w:val="0"/>
      <w:marTop w:val="0"/>
      <w:marBottom w:val="0"/>
      <w:divBdr>
        <w:top w:val="none" w:sz="0" w:space="0" w:color="auto"/>
        <w:left w:val="none" w:sz="0" w:space="0" w:color="auto"/>
        <w:bottom w:val="none" w:sz="0" w:space="0" w:color="auto"/>
        <w:right w:val="none" w:sz="0" w:space="0" w:color="auto"/>
      </w:divBdr>
    </w:div>
    <w:div w:id="470170346">
      <w:bodyDiv w:val="1"/>
      <w:marLeft w:val="0"/>
      <w:marRight w:val="0"/>
      <w:marTop w:val="0"/>
      <w:marBottom w:val="0"/>
      <w:divBdr>
        <w:top w:val="none" w:sz="0" w:space="0" w:color="auto"/>
        <w:left w:val="none" w:sz="0" w:space="0" w:color="auto"/>
        <w:bottom w:val="none" w:sz="0" w:space="0" w:color="auto"/>
        <w:right w:val="none" w:sz="0" w:space="0" w:color="auto"/>
      </w:divBdr>
    </w:div>
    <w:div w:id="472909333">
      <w:bodyDiv w:val="1"/>
      <w:marLeft w:val="0"/>
      <w:marRight w:val="0"/>
      <w:marTop w:val="0"/>
      <w:marBottom w:val="0"/>
      <w:divBdr>
        <w:top w:val="none" w:sz="0" w:space="0" w:color="auto"/>
        <w:left w:val="none" w:sz="0" w:space="0" w:color="auto"/>
        <w:bottom w:val="none" w:sz="0" w:space="0" w:color="auto"/>
        <w:right w:val="none" w:sz="0" w:space="0" w:color="auto"/>
      </w:divBdr>
    </w:div>
    <w:div w:id="506947755">
      <w:bodyDiv w:val="1"/>
      <w:marLeft w:val="0"/>
      <w:marRight w:val="0"/>
      <w:marTop w:val="0"/>
      <w:marBottom w:val="0"/>
      <w:divBdr>
        <w:top w:val="none" w:sz="0" w:space="0" w:color="auto"/>
        <w:left w:val="none" w:sz="0" w:space="0" w:color="auto"/>
        <w:bottom w:val="none" w:sz="0" w:space="0" w:color="auto"/>
        <w:right w:val="none" w:sz="0" w:space="0" w:color="auto"/>
      </w:divBdr>
    </w:div>
    <w:div w:id="569267068">
      <w:bodyDiv w:val="1"/>
      <w:marLeft w:val="0"/>
      <w:marRight w:val="0"/>
      <w:marTop w:val="0"/>
      <w:marBottom w:val="0"/>
      <w:divBdr>
        <w:top w:val="none" w:sz="0" w:space="0" w:color="auto"/>
        <w:left w:val="none" w:sz="0" w:space="0" w:color="auto"/>
        <w:bottom w:val="none" w:sz="0" w:space="0" w:color="auto"/>
        <w:right w:val="none" w:sz="0" w:space="0" w:color="auto"/>
      </w:divBdr>
    </w:div>
    <w:div w:id="637609828">
      <w:bodyDiv w:val="1"/>
      <w:marLeft w:val="0"/>
      <w:marRight w:val="0"/>
      <w:marTop w:val="0"/>
      <w:marBottom w:val="0"/>
      <w:divBdr>
        <w:top w:val="none" w:sz="0" w:space="0" w:color="auto"/>
        <w:left w:val="none" w:sz="0" w:space="0" w:color="auto"/>
        <w:bottom w:val="none" w:sz="0" w:space="0" w:color="auto"/>
        <w:right w:val="none" w:sz="0" w:space="0" w:color="auto"/>
      </w:divBdr>
    </w:div>
    <w:div w:id="674303759">
      <w:bodyDiv w:val="1"/>
      <w:marLeft w:val="0"/>
      <w:marRight w:val="0"/>
      <w:marTop w:val="0"/>
      <w:marBottom w:val="0"/>
      <w:divBdr>
        <w:top w:val="none" w:sz="0" w:space="0" w:color="auto"/>
        <w:left w:val="none" w:sz="0" w:space="0" w:color="auto"/>
        <w:bottom w:val="none" w:sz="0" w:space="0" w:color="auto"/>
        <w:right w:val="none" w:sz="0" w:space="0" w:color="auto"/>
      </w:divBdr>
    </w:div>
    <w:div w:id="832716296">
      <w:bodyDiv w:val="1"/>
      <w:marLeft w:val="0"/>
      <w:marRight w:val="0"/>
      <w:marTop w:val="0"/>
      <w:marBottom w:val="0"/>
      <w:divBdr>
        <w:top w:val="none" w:sz="0" w:space="0" w:color="auto"/>
        <w:left w:val="none" w:sz="0" w:space="0" w:color="auto"/>
        <w:bottom w:val="none" w:sz="0" w:space="0" w:color="auto"/>
        <w:right w:val="none" w:sz="0" w:space="0" w:color="auto"/>
      </w:divBdr>
    </w:div>
    <w:div w:id="1068111883">
      <w:bodyDiv w:val="1"/>
      <w:marLeft w:val="0"/>
      <w:marRight w:val="0"/>
      <w:marTop w:val="0"/>
      <w:marBottom w:val="0"/>
      <w:divBdr>
        <w:top w:val="none" w:sz="0" w:space="0" w:color="auto"/>
        <w:left w:val="none" w:sz="0" w:space="0" w:color="auto"/>
        <w:bottom w:val="none" w:sz="0" w:space="0" w:color="auto"/>
        <w:right w:val="none" w:sz="0" w:space="0" w:color="auto"/>
      </w:divBdr>
    </w:div>
    <w:div w:id="1237591111">
      <w:bodyDiv w:val="1"/>
      <w:marLeft w:val="0"/>
      <w:marRight w:val="0"/>
      <w:marTop w:val="0"/>
      <w:marBottom w:val="0"/>
      <w:divBdr>
        <w:top w:val="none" w:sz="0" w:space="0" w:color="auto"/>
        <w:left w:val="none" w:sz="0" w:space="0" w:color="auto"/>
        <w:bottom w:val="none" w:sz="0" w:space="0" w:color="auto"/>
        <w:right w:val="none" w:sz="0" w:space="0" w:color="auto"/>
      </w:divBdr>
    </w:div>
    <w:div w:id="1364556120">
      <w:bodyDiv w:val="1"/>
      <w:marLeft w:val="0"/>
      <w:marRight w:val="0"/>
      <w:marTop w:val="0"/>
      <w:marBottom w:val="0"/>
      <w:divBdr>
        <w:top w:val="none" w:sz="0" w:space="0" w:color="auto"/>
        <w:left w:val="none" w:sz="0" w:space="0" w:color="auto"/>
        <w:bottom w:val="none" w:sz="0" w:space="0" w:color="auto"/>
        <w:right w:val="none" w:sz="0" w:space="0" w:color="auto"/>
      </w:divBdr>
      <w:divsChild>
        <w:div w:id="762411692">
          <w:marLeft w:val="0"/>
          <w:marRight w:val="0"/>
          <w:marTop w:val="0"/>
          <w:marBottom w:val="0"/>
          <w:divBdr>
            <w:top w:val="none" w:sz="0" w:space="0" w:color="auto"/>
            <w:left w:val="none" w:sz="0" w:space="0" w:color="auto"/>
            <w:bottom w:val="none" w:sz="0" w:space="0" w:color="auto"/>
            <w:right w:val="none" w:sz="0" w:space="0" w:color="auto"/>
          </w:divBdr>
          <w:divsChild>
            <w:div w:id="1646737323">
              <w:marLeft w:val="0"/>
              <w:marRight w:val="0"/>
              <w:marTop w:val="0"/>
              <w:marBottom w:val="0"/>
              <w:divBdr>
                <w:top w:val="none" w:sz="0" w:space="0" w:color="auto"/>
                <w:left w:val="none" w:sz="0" w:space="0" w:color="auto"/>
                <w:bottom w:val="none" w:sz="0" w:space="0" w:color="auto"/>
                <w:right w:val="none" w:sz="0" w:space="0" w:color="auto"/>
              </w:divBdr>
              <w:divsChild>
                <w:div w:id="179355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373535">
      <w:bodyDiv w:val="1"/>
      <w:marLeft w:val="0"/>
      <w:marRight w:val="0"/>
      <w:marTop w:val="0"/>
      <w:marBottom w:val="0"/>
      <w:divBdr>
        <w:top w:val="none" w:sz="0" w:space="0" w:color="auto"/>
        <w:left w:val="none" w:sz="0" w:space="0" w:color="auto"/>
        <w:bottom w:val="none" w:sz="0" w:space="0" w:color="auto"/>
        <w:right w:val="none" w:sz="0" w:space="0" w:color="auto"/>
      </w:divBdr>
    </w:div>
    <w:div w:id="1890065884">
      <w:bodyDiv w:val="1"/>
      <w:marLeft w:val="0"/>
      <w:marRight w:val="0"/>
      <w:marTop w:val="0"/>
      <w:marBottom w:val="0"/>
      <w:divBdr>
        <w:top w:val="none" w:sz="0" w:space="0" w:color="auto"/>
        <w:left w:val="none" w:sz="0" w:space="0" w:color="auto"/>
        <w:bottom w:val="none" w:sz="0" w:space="0" w:color="auto"/>
        <w:right w:val="none" w:sz="0" w:space="0" w:color="auto"/>
      </w:divBdr>
    </w:div>
    <w:div w:id="1985314387">
      <w:bodyDiv w:val="1"/>
      <w:marLeft w:val="0"/>
      <w:marRight w:val="0"/>
      <w:marTop w:val="0"/>
      <w:marBottom w:val="0"/>
      <w:divBdr>
        <w:top w:val="none" w:sz="0" w:space="0" w:color="auto"/>
        <w:left w:val="none" w:sz="0" w:space="0" w:color="auto"/>
        <w:bottom w:val="none" w:sz="0" w:space="0" w:color="auto"/>
        <w:right w:val="none" w:sz="0" w:space="0" w:color="auto"/>
      </w:divBdr>
    </w:div>
    <w:div w:id="1999990054">
      <w:bodyDiv w:val="1"/>
      <w:marLeft w:val="0"/>
      <w:marRight w:val="0"/>
      <w:marTop w:val="0"/>
      <w:marBottom w:val="0"/>
      <w:divBdr>
        <w:top w:val="none" w:sz="0" w:space="0" w:color="auto"/>
        <w:left w:val="none" w:sz="0" w:space="0" w:color="auto"/>
        <w:bottom w:val="none" w:sz="0" w:space="0" w:color="auto"/>
        <w:right w:val="none" w:sz="0" w:space="0" w:color="auto"/>
      </w:divBdr>
    </w:div>
    <w:div w:id="2073385097">
      <w:bodyDiv w:val="1"/>
      <w:marLeft w:val="0"/>
      <w:marRight w:val="0"/>
      <w:marTop w:val="0"/>
      <w:marBottom w:val="0"/>
      <w:divBdr>
        <w:top w:val="none" w:sz="0" w:space="0" w:color="auto"/>
        <w:left w:val="none" w:sz="0" w:space="0" w:color="auto"/>
        <w:bottom w:val="none" w:sz="0" w:space="0" w:color="auto"/>
        <w:right w:val="none" w:sz="0" w:space="0" w:color="auto"/>
      </w:divBdr>
    </w:div>
    <w:div w:id="2084792779">
      <w:bodyDiv w:val="1"/>
      <w:marLeft w:val="0"/>
      <w:marRight w:val="0"/>
      <w:marTop w:val="0"/>
      <w:marBottom w:val="0"/>
      <w:divBdr>
        <w:top w:val="none" w:sz="0" w:space="0" w:color="auto"/>
        <w:left w:val="none" w:sz="0" w:space="0" w:color="auto"/>
        <w:bottom w:val="none" w:sz="0" w:space="0" w:color="auto"/>
        <w:right w:val="none" w:sz="0" w:space="0" w:color="auto"/>
      </w:divBdr>
    </w:div>
    <w:div w:id="214403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mailto:podatelna@ochrance.cz" TargetMode="External"/><Relationship Id="rId1" Type="http://schemas.openxmlformats.org/officeDocument/2006/relationships/hyperlink" Target="https://www.ochrance.cz/"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Sekce%20pr&#225;vn&#237;\pr&#225;ce%20se%20spisem\&#353;ablony%202018\01_b&#283;&#382;n&#233;\&#250;&#345;edn&#237;_dopis_ochr&#225;nce-en_z&#225;pat&#237;.dotm"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um_x0020_vzniku xmlns="7aea5b64-986d-4ed0-9f25-146f1d978e9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3A71DC738674B4893D02C4CA0E22FAC" ma:contentTypeVersion="6" ma:contentTypeDescription="Vytvořit nový dokument" ma:contentTypeScope="" ma:versionID="a10d2442972f6aea282a9bd37d066590">
  <xsd:schema xmlns:xsd="http://www.w3.org/2001/XMLSchema" xmlns:xs="http://www.w3.org/2001/XMLSchema" xmlns:p="http://schemas.microsoft.com/office/2006/metadata/properties" xmlns:ns2="7aea5b64-986d-4ed0-9f25-146f1d978e98" targetNamespace="http://schemas.microsoft.com/office/2006/metadata/properties" ma:root="true" ma:fieldsID="59a29dd26b28b9f2e04c9198312141b3" ns2:_="">
    <xsd:import namespace="7aea5b64-986d-4ed0-9f25-146f1d978e98"/>
    <xsd:element name="properties">
      <xsd:complexType>
        <xsd:sequence>
          <xsd:element name="documentManagement">
            <xsd:complexType>
              <xsd:all>
                <xsd:element ref="ns2:datum_x0020_vznik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ea5b64-986d-4ed0-9f25-146f1d978e98" elementFormDefault="qualified">
    <xsd:import namespace="http://schemas.microsoft.com/office/2006/documentManagement/types"/>
    <xsd:import namespace="http://schemas.microsoft.com/office/infopath/2007/PartnerControls"/>
    <xsd:element name="datum_x0020_vzniku" ma:index="8" nillable="true" ma:displayName="datum vzniku" ma:internalName="datum_x0020_vzniku">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FC970-AD89-44B4-B49A-550953165C65}">
  <ds:schemaRefs>
    <ds:schemaRef ds:uri="http://schemas.microsoft.com/office/2006/metadata/properties"/>
    <ds:schemaRef ds:uri="http://schemas.microsoft.com/office/infopath/2007/PartnerControls"/>
    <ds:schemaRef ds:uri="7aea5b64-986d-4ed0-9f25-146f1d978e98"/>
  </ds:schemaRefs>
</ds:datastoreItem>
</file>

<file path=customXml/itemProps2.xml><?xml version="1.0" encoding="utf-8"?>
<ds:datastoreItem xmlns:ds="http://schemas.openxmlformats.org/officeDocument/2006/customXml" ds:itemID="{4F0B13F4-CFBA-4346-AB9B-01FEC850304B}">
  <ds:schemaRefs>
    <ds:schemaRef ds:uri="http://schemas.microsoft.com/sharepoint/v3/contenttype/forms"/>
  </ds:schemaRefs>
</ds:datastoreItem>
</file>

<file path=customXml/itemProps3.xml><?xml version="1.0" encoding="utf-8"?>
<ds:datastoreItem xmlns:ds="http://schemas.openxmlformats.org/officeDocument/2006/customXml" ds:itemID="{69DBBD53-F131-4232-869D-68CB16E58C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ea5b64-986d-4ed0-9f25-146f1d978e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69C219-E752-46CA-9FCD-5EEEBE6C3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úřední_dopis_ochránce-en_zápatí.dotm</Template>
  <TotalTime>1</TotalTime>
  <Pages>7</Pages>
  <Words>2400</Words>
  <Characters>13685</Characters>
  <Application>Microsoft Office Word</Application>
  <DocSecurity>0</DocSecurity>
  <Lines>114</Lines>
  <Paragraphs>32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VOP</vt:lpstr>
      <vt:lpstr>VOP</vt:lpstr>
    </vt:vector>
  </TitlesOfParts>
  <Company>KVOP</Company>
  <LinksUpToDate>false</LinksUpToDate>
  <CharactersWithSpaces>16053</CharactersWithSpaces>
  <SharedDoc>false</SharedDoc>
  <HLinks>
    <vt:vector size="12" baseType="variant">
      <vt:variant>
        <vt:i4>4456573</vt:i4>
      </vt:variant>
      <vt:variant>
        <vt:i4>3</vt:i4>
      </vt:variant>
      <vt:variant>
        <vt:i4>0</vt:i4>
      </vt:variant>
      <vt:variant>
        <vt:i4>5</vt:i4>
      </vt:variant>
      <vt:variant>
        <vt:lpwstr>mailto:polak@ochrance.cz</vt:lpwstr>
      </vt:variant>
      <vt:variant>
        <vt:lpwstr/>
      </vt:variant>
      <vt:variant>
        <vt:i4>1048632</vt:i4>
      </vt:variant>
      <vt:variant>
        <vt:i4>0</vt:i4>
      </vt:variant>
      <vt:variant>
        <vt:i4>0</vt:i4>
      </vt:variant>
      <vt:variant>
        <vt:i4>5</vt:i4>
      </vt:variant>
      <vt:variant>
        <vt:lpwstr>mailto:maxovar@psp.cz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VOP</dc:title>
  <dc:creator>Vítková Veronika Mgr.</dc:creator>
  <cp:lastModifiedBy>VILLARREAL LOPEZ Carla</cp:lastModifiedBy>
  <cp:revision>2</cp:revision>
  <cp:lastPrinted>2016-06-27T07:08:00Z</cp:lastPrinted>
  <dcterms:created xsi:type="dcterms:W3CDTF">2022-07-01T10:46:00Z</dcterms:created>
  <dcterms:modified xsi:type="dcterms:W3CDTF">2022-07-01T10:46:00Z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0x010100D3A71DC738674B4893D02C4CA0E22FAC</vt:lpwstr>
  </property>
</Properties>
</file>