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73D29" w14:textId="71939692" w:rsidR="00B125FE" w:rsidRPr="00A75C30" w:rsidRDefault="006316B3" w:rsidP="00D97AB4">
      <w:pPr>
        <w:spacing w:line="360" w:lineRule="auto"/>
        <w:jc w:val="center"/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t>Comentarios al</w:t>
      </w:r>
      <w:r w:rsidR="001F556E" w:rsidRPr="00A75C30">
        <w:rPr>
          <w:b/>
          <w:sz w:val="22"/>
        </w:rPr>
        <w:t xml:space="preserve"> </w:t>
      </w:r>
      <w:r w:rsidR="004A28A1" w:rsidRPr="00F150AA">
        <w:rPr>
          <w:b/>
          <w:i/>
          <w:sz w:val="22"/>
        </w:rPr>
        <w:t>P</w:t>
      </w:r>
      <w:r w:rsidR="001F556E" w:rsidRPr="00F150AA">
        <w:rPr>
          <w:b/>
          <w:i/>
          <w:sz w:val="22"/>
        </w:rPr>
        <w:t>royecto de Directrices sobre la desinstitucionalización</w:t>
      </w:r>
      <w:r w:rsidR="004A28A1" w:rsidRPr="00F150AA">
        <w:rPr>
          <w:b/>
          <w:i/>
          <w:sz w:val="22"/>
        </w:rPr>
        <w:t xml:space="preserve">, incluso en situaciones de emergencia, </w:t>
      </w:r>
      <w:r w:rsidR="004A28A1" w:rsidRPr="009A02B9">
        <w:rPr>
          <w:b/>
          <w:sz w:val="22"/>
        </w:rPr>
        <w:t>del Comité sobre los Derechos de las Personas con Discapacidad, de Naciones Unidas</w:t>
      </w:r>
      <w:r w:rsidR="004A28A1" w:rsidRPr="00A75C30">
        <w:rPr>
          <w:b/>
          <w:sz w:val="22"/>
        </w:rPr>
        <w:t>.</w:t>
      </w:r>
    </w:p>
    <w:p w14:paraId="2DD3B1CE" w14:textId="5A3EDA7B" w:rsidR="004A28A1" w:rsidRDefault="004A28A1" w:rsidP="00D97AB4">
      <w:pPr>
        <w:spacing w:line="360" w:lineRule="auto"/>
        <w:jc w:val="both"/>
        <w:rPr>
          <w:sz w:val="22"/>
        </w:rPr>
      </w:pPr>
    </w:p>
    <w:p w14:paraId="38507A26" w14:textId="6649B7AF" w:rsidR="004A28A1" w:rsidRDefault="004A28A1" w:rsidP="00D97AB4">
      <w:pPr>
        <w:spacing w:line="360" w:lineRule="auto"/>
        <w:jc w:val="both"/>
        <w:rPr>
          <w:sz w:val="22"/>
        </w:rPr>
      </w:pPr>
    </w:p>
    <w:p w14:paraId="26DD0186" w14:textId="6ECD8B22" w:rsidR="00272746" w:rsidRPr="006B5E23" w:rsidRDefault="00272746" w:rsidP="00D97AB4">
      <w:pPr>
        <w:spacing w:line="360" w:lineRule="auto"/>
        <w:jc w:val="both"/>
        <w:rPr>
          <w:strike/>
          <w:sz w:val="22"/>
        </w:rPr>
      </w:pPr>
    </w:p>
    <w:p w14:paraId="62CF6C26" w14:textId="0C557094" w:rsidR="00AB1D1F" w:rsidRDefault="006B5E23" w:rsidP="00D97AB4">
      <w:pPr>
        <w:spacing w:line="360" w:lineRule="auto"/>
        <w:jc w:val="both"/>
        <w:rPr>
          <w:sz w:val="22"/>
        </w:rPr>
      </w:pPr>
      <w:r>
        <w:rPr>
          <w:sz w:val="22"/>
        </w:rPr>
        <w:t>La CDHCM coincide plenamente con el planteamiento y los procesos propuestos por las directrices, para alcanzar el objetivo principal de erradicar esta práctica; sin embargo, desea expresar algunas observaciones generales con la intención de hacer un gentil llamado al análisis y reflexión sobre diversos aspectos que podrían valorarse y contribuir al mejoramiento de las directrices</w:t>
      </w:r>
      <w:r w:rsidR="00097AE9">
        <w:rPr>
          <w:sz w:val="22"/>
        </w:rPr>
        <w:t>.</w:t>
      </w:r>
    </w:p>
    <w:p w14:paraId="35189D40" w14:textId="77777777" w:rsidR="00097AE9" w:rsidRDefault="00097AE9" w:rsidP="00D97AB4">
      <w:pPr>
        <w:spacing w:line="360" w:lineRule="auto"/>
        <w:jc w:val="both"/>
        <w:rPr>
          <w:sz w:val="22"/>
        </w:rPr>
      </w:pPr>
    </w:p>
    <w:p w14:paraId="3255A3A1" w14:textId="77777777" w:rsidR="006B5E23" w:rsidRPr="00AB1D1F" w:rsidRDefault="006B5E23" w:rsidP="006B5E23">
      <w:pPr>
        <w:spacing w:line="360" w:lineRule="auto"/>
        <w:jc w:val="center"/>
        <w:rPr>
          <w:b/>
          <w:sz w:val="22"/>
        </w:rPr>
      </w:pPr>
      <w:r w:rsidRPr="00AB1D1F">
        <w:rPr>
          <w:b/>
          <w:sz w:val="22"/>
        </w:rPr>
        <w:t>OBSERVACIONES</w:t>
      </w:r>
      <w:r>
        <w:rPr>
          <w:b/>
          <w:sz w:val="22"/>
        </w:rPr>
        <w:t xml:space="preserve"> A LA ESTRUCTURA DEL DOCUMENTO</w:t>
      </w:r>
    </w:p>
    <w:p w14:paraId="1A73233E" w14:textId="77777777" w:rsidR="006B5E23" w:rsidRDefault="006B5E23" w:rsidP="006B5E23">
      <w:pPr>
        <w:spacing w:line="360" w:lineRule="auto"/>
        <w:jc w:val="both"/>
        <w:rPr>
          <w:sz w:val="22"/>
        </w:rPr>
      </w:pPr>
    </w:p>
    <w:p w14:paraId="4E1BCD80" w14:textId="77777777" w:rsidR="006B5E23" w:rsidRDefault="006B5E23" w:rsidP="006B5E23">
      <w:pPr>
        <w:pStyle w:val="ListParagraph"/>
        <w:numPr>
          <w:ilvl w:val="0"/>
          <w:numId w:val="18"/>
        </w:numPr>
        <w:spacing w:line="360" w:lineRule="auto"/>
        <w:jc w:val="both"/>
        <w:rPr>
          <w:sz w:val="22"/>
        </w:rPr>
      </w:pPr>
      <w:r>
        <w:rPr>
          <w:sz w:val="22"/>
        </w:rPr>
        <w:t>Sería recomendable priorizar y establecer el orden de desarrollo de los procesos mencionados en las directrices, con la finalidad de ofrecer una guía de su aplicación a los Estados Partes y de asegurar el mejor plan de desinstitucionalización posible.</w:t>
      </w:r>
    </w:p>
    <w:p w14:paraId="1BA78863" w14:textId="77777777" w:rsidR="006B5E23" w:rsidRDefault="006B5E23" w:rsidP="006B5E23">
      <w:pPr>
        <w:pStyle w:val="ListParagraph"/>
        <w:spacing w:line="360" w:lineRule="auto"/>
        <w:jc w:val="both"/>
        <w:rPr>
          <w:sz w:val="22"/>
        </w:rPr>
      </w:pPr>
    </w:p>
    <w:p w14:paraId="7A4B35A3" w14:textId="77777777" w:rsidR="006B5E23" w:rsidRDefault="006B5E23" w:rsidP="00D97AB4">
      <w:pPr>
        <w:spacing w:line="360" w:lineRule="auto"/>
        <w:jc w:val="both"/>
        <w:rPr>
          <w:sz w:val="22"/>
        </w:rPr>
      </w:pPr>
    </w:p>
    <w:p w14:paraId="115B8356" w14:textId="76C6AC45" w:rsidR="0012753D" w:rsidRPr="00AB1D1F" w:rsidRDefault="006B5E23" w:rsidP="00AB1D1F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 xml:space="preserve">COMENTARIOS </w:t>
      </w:r>
      <w:r w:rsidR="00AB1D1F" w:rsidRPr="00AB1D1F">
        <w:rPr>
          <w:b/>
          <w:sz w:val="22"/>
        </w:rPr>
        <w:t>GENERALES</w:t>
      </w:r>
    </w:p>
    <w:p w14:paraId="02B3CCC1" w14:textId="77777777" w:rsidR="002F7CB3" w:rsidRDefault="002F7CB3" w:rsidP="00253697">
      <w:pPr>
        <w:spacing w:line="360" w:lineRule="auto"/>
        <w:jc w:val="both"/>
        <w:rPr>
          <w:sz w:val="22"/>
        </w:rPr>
      </w:pPr>
    </w:p>
    <w:p w14:paraId="73A6D086" w14:textId="2DF64ACA" w:rsidR="002F7CB3" w:rsidRPr="00097AE9" w:rsidRDefault="002F7CB3" w:rsidP="00253697">
      <w:pPr>
        <w:spacing w:line="360" w:lineRule="auto"/>
        <w:jc w:val="both"/>
        <w:rPr>
          <w:b/>
          <w:sz w:val="22"/>
        </w:rPr>
      </w:pPr>
      <w:r w:rsidRPr="00097AE9">
        <w:rPr>
          <w:b/>
          <w:sz w:val="22"/>
        </w:rPr>
        <w:t>Niños con discapacidad (párrafos 42 a 50)</w:t>
      </w:r>
    </w:p>
    <w:p w14:paraId="4872F90F" w14:textId="71F0B889" w:rsidR="002F7CB3" w:rsidRDefault="002F7CB3" w:rsidP="00097AE9">
      <w:pPr>
        <w:pStyle w:val="ListParagraph"/>
        <w:numPr>
          <w:ilvl w:val="0"/>
          <w:numId w:val="20"/>
        </w:numPr>
        <w:spacing w:line="360" w:lineRule="auto"/>
        <w:jc w:val="both"/>
        <w:rPr>
          <w:sz w:val="22"/>
        </w:rPr>
      </w:pPr>
      <w:r>
        <w:rPr>
          <w:sz w:val="22"/>
        </w:rPr>
        <w:t xml:space="preserve">Bajo </w:t>
      </w:r>
      <w:r w:rsidR="004F0E8E">
        <w:rPr>
          <w:sz w:val="22"/>
        </w:rPr>
        <w:t>una perspectiva interseccional y en consideración de que se refiere</w:t>
      </w:r>
      <w:r>
        <w:rPr>
          <w:sz w:val="22"/>
        </w:rPr>
        <w:t xml:space="preserve"> </w:t>
      </w:r>
      <w:r w:rsidR="004F0E8E">
        <w:rPr>
          <w:sz w:val="22"/>
        </w:rPr>
        <w:t>a</w:t>
      </w:r>
      <w:r>
        <w:rPr>
          <w:sz w:val="22"/>
        </w:rPr>
        <w:t xml:space="preserve"> niñas, niños y adolescentes resulta indispensable señalar que la desinstitucionalización de este grupo</w:t>
      </w:r>
      <w:r w:rsidR="008363D8">
        <w:rPr>
          <w:sz w:val="22"/>
        </w:rPr>
        <w:t xml:space="preserve"> </w:t>
      </w:r>
      <w:r>
        <w:rPr>
          <w:sz w:val="22"/>
        </w:rPr>
        <w:t xml:space="preserve">debe regirse por el principio de interés superior </w:t>
      </w:r>
      <w:r w:rsidR="004F0E8E">
        <w:rPr>
          <w:sz w:val="22"/>
        </w:rPr>
        <w:t xml:space="preserve">de la niñez </w:t>
      </w:r>
      <w:r>
        <w:rPr>
          <w:sz w:val="22"/>
        </w:rPr>
        <w:t>para garantizar así el ejercicio pleno de sus derechos</w:t>
      </w:r>
      <w:r w:rsidR="004F0E8E">
        <w:rPr>
          <w:sz w:val="22"/>
        </w:rPr>
        <w:t>, por tanto, se considera relevante señalar en el texto</w:t>
      </w:r>
      <w:r w:rsidR="0037027A">
        <w:rPr>
          <w:sz w:val="22"/>
        </w:rPr>
        <w:t xml:space="preserve"> </w:t>
      </w:r>
      <w:r w:rsidR="008363D8">
        <w:rPr>
          <w:sz w:val="22"/>
        </w:rPr>
        <w:t>tal necesidad para que sea efectivamente realizada una determinación caso por caso por parte de las autoridades</w:t>
      </w:r>
      <w:r w:rsidR="0037027A">
        <w:rPr>
          <w:sz w:val="22"/>
        </w:rPr>
        <w:t xml:space="preserve">. </w:t>
      </w:r>
    </w:p>
    <w:p w14:paraId="139F42A6" w14:textId="788E0836" w:rsidR="000812AF" w:rsidRDefault="004F0E8E" w:rsidP="00097AE9">
      <w:pPr>
        <w:pStyle w:val="ListParagraph"/>
        <w:numPr>
          <w:ilvl w:val="0"/>
          <w:numId w:val="20"/>
        </w:numPr>
        <w:spacing w:line="360" w:lineRule="auto"/>
        <w:jc w:val="both"/>
        <w:rPr>
          <w:sz w:val="22"/>
        </w:rPr>
      </w:pPr>
      <w:r>
        <w:rPr>
          <w:sz w:val="22"/>
        </w:rPr>
        <w:t>Es</w:t>
      </w:r>
      <w:r w:rsidR="000812AF">
        <w:rPr>
          <w:sz w:val="22"/>
        </w:rPr>
        <w:t xml:space="preserve"> indispensable </w:t>
      </w:r>
      <w:r w:rsidR="008363D8">
        <w:rPr>
          <w:sz w:val="22"/>
        </w:rPr>
        <w:t xml:space="preserve">enunciar </w:t>
      </w:r>
      <w:r>
        <w:rPr>
          <w:sz w:val="22"/>
        </w:rPr>
        <w:t xml:space="preserve">en el texto a las personas adolescentes </w:t>
      </w:r>
      <w:r w:rsidR="000812AF">
        <w:rPr>
          <w:sz w:val="22"/>
        </w:rPr>
        <w:t xml:space="preserve">como parte </w:t>
      </w:r>
      <w:r w:rsidR="008363D8">
        <w:rPr>
          <w:sz w:val="22"/>
        </w:rPr>
        <w:t>de la categoría “niños” a la que se refiere la Convención, de forma que se les reconozca con necesidades y respuestas estatales diferenciadas en función de su etapa de desarrollo.</w:t>
      </w:r>
      <w:r>
        <w:rPr>
          <w:sz w:val="22"/>
        </w:rPr>
        <w:t xml:space="preserve"> </w:t>
      </w:r>
    </w:p>
    <w:p w14:paraId="7C890430" w14:textId="77777777" w:rsidR="004F0E8E" w:rsidRPr="00097AE9" w:rsidRDefault="004F0E8E" w:rsidP="004F0E8E">
      <w:pPr>
        <w:pStyle w:val="ListParagraph"/>
        <w:spacing w:line="360" w:lineRule="auto"/>
        <w:ind w:left="1440"/>
        <w:jc w:val="both"/>
        <w:rPr>
          <w:sz w:val="22"/>
        </w:rPr>
      </w:pPr>
    </w:p>
    <w:p w14:paraId="7C703D93" w14:textId="472E7E43" w:rsidR="006B5E23" w:rsidRDefault="006B5E23" w:rsidP="00097AE9">
      <w:pPr>
        <w:pStyle w:val="ListParagraph"/>
        <w:spacing w:line="360" w:lineRule="auto"/>
        <w:ind w:left="142"/>
        <w:jc w:val="both"/>
        <w:rPr>
          <w:b/>
          <w:sz w:val="22"/>
        </w:rPr>
      </w:pPr>
      <w:r w:rsidRPr="00033C86">
        <w:rPr>
          <w:b/>
          <w:sz w:val="22"/>
        </w:rPr>
        <w:t>Directriz V</w:t>
      </w:r>
      <w:r w:rsidR="00C62799">
        <w:rPr>
          <w:b/>
          <w:sz w:val="22"/>
        </w:rPr>
        <w:t>.</w:t>
      </w:r>
      <w:r w:rsidRPr="00033C86">
        <w:rPr>
          <w:b/>
          <w:sz w:val="22"/>
        </w:rPr>
        <w:t xml:space="preserve"> Estrategias y planes de acción de desinstitucionalización</w:t>
      </w:r>
      <w:r w:rsidR="00C62799">
        <w:rPr>
          <w:b/>
          <w:sz w:val="22"/>
        </w:rPr>
        <w:t xml:space="preserve"> y Directriz VI. Servicios, sistemas y redes de apoyo comunitario inclusivo </w:t>
      </w:r>
    </w:p>
    <w:p w14:paraId="78F71A7F" w14:textId="77777777" w:rsidR="006B5E23" w:rsidRPr="00033C86" w:rsidRDefault="006B5E23" w:rsidP="006B5E23">
      <w:pPr>
        <w:pStyle w:val="ListParagraph"/>
        <w:spacing w:line="360" w:lineRule="auto"/>
        <w:jc w:val="both"/>
        <w:rPr>
          <w:b/>
          <w:sz w:val="22"/>
        </w:rPr>
      </w:pPr>
    </w:p>
    <w:p w14:paraId="3EB0E43B" w14:textId="443EB18E" w:rsidR="00097AE9" w:rsidRPr="00C62799" w:rsidRDefault="006B5E23" w:rsidP="00253697">
      <w:pPr>
        <w:pStyle w:val="ListParagraph"/>
        <w:numPr>
          <w:ilvl w:val="0"/>
          <w:numId w:val="18"/>
        </w:numPr>
        <w:spacing w:line="360" w:lineRule="auto"/>
        <w:jc w:val="both"/>
        <w:rPr>
          <w:sz w:val="22"/>
        </w:rPr>
      </w:pPr>
      <w:r w:rsidRPr="001B18A0">
        <w:rPr>
          <w:sz w:val="22"/>
        </w:rPr>
        <w:t xml:space="preserve">En el contexto de la mayoría de los países </w:t>
      </w:r>
      <w:r w:rsidR="004F0E8E">
        <w:rPr>
          <w:sz w:val="22"/>
        </w:rPr>
        <w:t>del sur global</w:t>
      </w:r>
      <w:r w:rsidRPr="001B18A0">
        <w:rPr>
          <w:sz w:val="22"/>
        </w:rPr>
        <w:t xml:space="preserve">, </w:t>
      </w:r>
      <w:r w:rsidR="004F0E8E">
        <w:rPr>
          <w:sz w:val="22"/>
        </w:rPr>
        <w:t xml:space="preserve">incluyendo a </w:t>
      </w:r>
      <w:r w:rsidRPr="001B18A0">
        <w:rPr>
          <w:sz w:val="22"/>
        </w:rPr>
        <w:t xml:space="preserve">México, </w:t>
      </w:r>
      <w:r w:rsidR="004F0E8E">
        <w:rPr>
          <w:sz w:val="22"/>
        </w:rPr>
        <w:t>existen</w:t>
      </w:r>
      <w:r w:rsidRPr="001B18A0">
        <w:rPr>
          <w:sz w:val="22"/>
        </w:rPr>
        <w:t xml:space="preserve"> restricciones presupuestales</w:t>
      </w:r>
      <w:r w:rsidR="004F0E8E">
        <w:rPr>
          <w:sz w:val="22"/>
        </w:rPr>
        <w:t xml:space="preserve"> y</w:t>
      </w:r>
      <w:r w:rsidRPr="001B18A0">
        <w:rPr>
          <w:sz w:val="22"/>
        </w:rPr>
        <w:t xml:space="preserve"> economías frágiles o volátiles</w:t>
      </w:r>
      <w:r w:rsidR="004F0E8E">
        <w:rPr>
          <w:sz w:val="22"/>
        </w:rPr>
        <w:t xml:space="preserve"> que generan persistencia de </w:t>
      </w:r>
      <w:r>
        <w:rPr>
          <w:sz w:val="22"/>
        </w:rPr>
        <w:t>altos índices de pobreza, desigualdad y discriminación,</w:t>
      </w:r>
      <w:r w:rsidRPr="001B18A0">
        <w:rPr>
          <w:sz w:val="22"/>
        </w:rPr>
        <w:t xml:space="preserve"> </w:t>
      </w:r>
      <w:r w:rsidR="004F0E8E">
        <w:rPr>
          <w:sz w:val="22"/>
        </w:rPr>
        <w:t>así como de</w:t>
      </w:r>
      <w:r w:rsidRPr="001B18A0">
        <w:rPr>
          <w:sz w:val="22"/>
        </w:rPr>
        <w:t xml:space="preserve"> marcos jurídicos que no han sido armonizados con la Convención</w:t>
      </w:r>
      <w:r w:rsidR="004F0E8E">
        <w:rPr>
          <w:sz w:val="22"/>
        </w:rPr>
        <w:t xml:space="preserve"> </w:t>
      </w:r>
      <w:r w:rsidR="0037027A">
        <w:rPr>
          <w:sz w:val="22"/>
        </w:rPr>
        <w:t xml:space="preserve">puesto que </w:t>
      </w:r>
      <w:r w:rsidR="0037027A" w:rsidRPr="001B18A0">
        <w:rPr>
          <w:sz w:val="22"/>
        </w:rPr>
        <w:t>se</w:t>
      </w:r>
      <w:r w:rsidR="004F0E8E">
        <w:rPr>
          <w:sz w:val="22"/>
        </w:rPr>
        <w:t xml:space="preserve"> privilegia </w:t>
      </w:r>
      <w:r w:rsidRPr="001B18A0">
        <w:rPr>
          <w:sz w:val="22"/>
        </w:rPr>
        <w:t xml:space="preserve">la existencia </w:t>
      </w:r>
      <w:r>
        <w:rPr>
          <w:sz w:val="22"/>
        </w:rPr>
        <w:t xml:space="preserve">y aplicación </w:t>
      </w:r>
      <w:r w:rsidRPr="001B18A0">
        <w:rPr>
          <w:sz w:val="22"/>
        </w:rPr>
        <w:t>del modelo médico-asistencialista</w:t>
      </w:r>
      <w:r w:rsidR="0037027A">
        <w:rPr>
          <w:sz w:val="22"/>
        </w:rPr>
        <w:t xml:space="preserve">. En este sentido, resulta </w:t>
      </w:r>
      <w:r w:rsidRPr="001B18A0">
        <w:rPr>
          <w:sz w:val="22"/>
        </w:rPr>
        <w:t xml:space="preserve">casi imposible </w:t>
      </w:r>
      <w:r>
        <w:rPr>
          <w:sz w:val="22"/>
        </w:rPr>
        <w:t xml:space="preserve">hacer </w:t>
      </w:r>
      <w:r w:rsidRPr="001B18A0">
        <w:rPr>
          <w:sz w:val="22"/>
        </w:rPr>
        <w:t>converger y realizar en lo inmediato los cambios estructurales que amerita el proceso de desinstitucionalización</w:t>
      </w:r>
      <w:r w:rsidR="0037027A">
        <w:rPr>
          <w:sz w:val="22"/>
        </w:rPr>
        <w:t xml:space="preserve"> por lo que se </w:t>
      </w:r>
      <w:r w:rsidRPr="001B18A0">
        <w:rPr>
          <w:sz w:val="22"/>
        </w:rPr>
        <w:t xml:space="preserve">recomienda incorporar el principio de </w:t>
      </w:r>
      <w:r w:rsidRPr="00033C86">
        <w:rPr>
          <w:b/>
          <w:sz w:val="22"/>
        </w:rPr>
        <w:t>progresividad</w:t>
      </w:r>
      <w:r w:rsidRPr="001B18A0">
        <w:rPr>
          <w:sz w:val="22"/>
        </w:rPr>
        <w:t xml:space="preserve"> como estrategia principal </w:t>
      </w:r>
      <w:r>
        <w:rPr>
          <w:sz w:val="22"/>
        </w:rPr>
        <w:t>en los distintos procesos</w:t>
      </w:r>
      <w:r w:rsidR="0037027A">
        <w:rPr>
          <w:sz w:val="22"/>
        </w:rPr>
        <w:t xml:space="preserve">, así como </w:t>
      </w:r>
      <w:r w:rsidRPr="001B18A0">
        <w:rPr>
          <w:sz w:val="22"/>
        </w:rPr>
        <w:t xml:space="preserve">reflexionar </w:t>
      </w:r>
      <w:r>
        <w:rPr>
          <w:sz w:val="22"/>
        </w:rPr>
        <w:t>sobre</w:t>
      </w:r>
      <w:r w:rsidRPr="001B18A0">
        <w:rPr>
          <w:sz w:val="22"/>
        </w:rPr>
        <w:t xml:space="preserve"> e</w:t>
      </w:r>
      <w:r>
        <w:rPr>
          <w:sz w:val="22"/>
        </w:rPr>
        <w:t>l</w:t>
      </w:r>
      <w:r w:rsidRPr="001B18A0">
        <w:rPr>
          <w:sz w:val="22"/>
        </w:rPr>
        <w:t xml:space="preserve"> planteamiento</w:t>
      </w:r>
      <w:r>
        <w:rPr>
          <w:sz w:val="22"/>
        </w:rPr>
        <w:t xml:space="preserve"> de la </w:t>
      </w:r>
      <w:r w:rsidRPr="001B18A0">
        <w:rPr>
          <w:sz w:val="22"/>
        </w:rPr>
        <w:t xml:space="preserve">desaparición tajante </w:t>
      </w:r>
      <w:r>
        <w:rPr>
          <w:sz w:val="22"/>
        </w:rPr>
        <w:t xml:space="preserve">de </w:t>
      </w:r>
      <w:r w:rsidR="008363D8">
        <w:rPr>
          <w:sz w:val="22"/>
        </w:rPr>
        <w:t xml:space="preserve">la </w:t>
      </w:r>
      <w:r>
        <w:rPr>
          <w:sz w:val="22"/>
        </w:rPr>
        <w:t xml:space="preserve">institucionalización </w:t>
      </w:r>
      <w:r w:rsidR="0037027A">
        <w:rPr>
          <w:sz w:val="22"/>
        </w:rPr>
        <w:t>así como</w:t>
      </w:r>
      <w:r>
        <w:rPr>
          <w:sz w:val="22"/>
        </w:rPr>
        <w:t xml:space="preserve"> de la prohibición de </w:t>
      </w:r>
      <w:r w:rsidRPr="001B18A0">
        <w:rPr>
          <w:sz w:val="22"/>
        </w:rPr>
        <w:t>cualquier servicio</w:t>
      </w:r>
      <w:r w:rsidR="008363D8">
        <w:rPr>
          <w:sz w:val="22"/>
        </w:rPr>
        <w:t>. Lo anterior porque si bien es necesario concretar la erradicación de la institucionalización, la ruta para llegar a este fin debe de ser progresiva y sostenida, mediante la provisión a las familias y personas de recursos para abandonar ese estado.</w:t>
      </w:r>
    </w:p>
    <w:p w14:paraId="1B1F5F00" w14:textId="48A88D66" w:rsidR="00BF6FC8" w:rsidRDefault="008363D8" w:rsidP="00BF6FC8">
      <w:pPr>
        <w:pStyle w:val="ListParagraph"/>
        <w:numPr>
          <w:ilvl w:val="0"/>
          <w:numId w:val="18"/>
        </w:numPr>
        <w:spacing w:line="360" w:lineRule="auto"/>
        <w:jc w:val="both"/>
        <w:rPr>
          <w:sz w:val="22"/>
        </w:rPr>
      </w:pPr>
      <w:r>
        <w:rPr>
          <w:sz w:val="22"/>
        </w:rPr>
        <w:t>En relación a lo anterior, es fundamental</w:t>
      </w:r>
      <w:r w:rsidR="00A00B3E">
        <w:rPr>
          <w:sz w:val="22"/>
        </w:rPr>
        <w:t xml:space="preserve"> la creación</w:t>
      </w:r>
      <w:r w:rsidR="00EC309C">
        <w:rPr>
          <w:sz w:val="22"/>
        </w:rPr>
        <w:t xml:space="preserve">, </w:t>
      </w:r>
      <w:r w:rsidR="00A00B3E" w:rsidRPr="00A00B3E">
        <w:rPr>
          <w:sz w:val="22"/>
        </w:rPr>
        <w:t xml:space="preserve">desarrollo </w:t>
      </w:r>
      <w:r w:rsidR="00EC309C">
        <w:rPr>
          <w:sz w:val="22"/>
        </w:rPr>
        <w:t xml:space="preserve">y fortalecimiento </w:t>
      </w:r>
      <w:r w:rsidR="00A00B3E" w:rsidRPr="00A00B3E">
        <w:rPr>
          <w:sz w:val="22"/>
        </w:rPr>
        <w:t xml:space="preserve">de </w:t>
      </w:r>
      <w:r w:rsidR="00A00B3E">
        <w:rPr>
          <w:sz w:val="22"/>
        </w:rPr>
        <w:t xml:space="preserve">los </w:t>
      </w:r>
      <w:r w:rsidR="00A00B3E" w:rsidRPr="00A00B3E">
        <w:rPr>
          <w:sz w:val="22"/>
        </w:rPr>
        <w:t>sistemas de apoyo comunitario y servicios generales inclusivos</w:t>
      </w:r>
      <w:r w:rsidR="00A00B3E">
        <w:rPr>
          <w:sz w:val="22"/>
        </w:rPr>
        <w:t xml:space="preserve"> </w:t>
      </w:r>
      <w:r>
        <w:rPr>
          <w:sz w:val="22"/>
        </w:rPr>
        <w:t xml:space="preserve">como </w:t>
      </w:r>
      <w:r w:rsidR="00A00B3E">
        <w:rPr>
          <w:sz w:val="22"/>
        </w:rPr>
        <w:t xml:space="preserve">columna vertebral </w:t>
      </w:r>
      <w:r>
        <w:rPr>
          <w:sz w:val="22"/>
        </w:rPr>
        <w:t xml:space="preserve">de las acciones de cara al proceso </w:t>
      </w:r>
      <w:r w:rsidR="00ED1398">
        <w:rPr>
          <w:sz w:val="22"/>
        </w:rPr>
        <w:t>de desinstitucionalización</w:t>
      </w:r>
      <w:r>
        <w:rPr>
          <w:sz w:val="22"/>
        </w:rPr>
        <w:t xml:space="preserve">, por lo que se recomienda enfatizar la importancia de que los Estados aseguren la </w:t>
      </w:r>
      <w:r w:rsidR="00FC6B12" w:rsidRPr="00BF6FC8">
        <w:rPr>
          <w:sz w:val="22"/>
        </w:rPr>
        <w:t xml:space="preserve"> preexistencia de estos sistemas </w:t>
      </w:r>
      <w:r>
        <w:rPr>
          <w:sz w:val="22"/>
        </w:rPr>
        <w:t>en función de los siguientes argumentos:</w:t>
      </w:r>
    </w:p>
    <w:p w14:paraId="3721F74F" w14:textId="77777777" w:rsidR="00BF6FC8" w:rsidRDefault="00BF6FC8" w:rsidP="00BF6FC8">
      <w:pPr>
        <w:pStyle w:val="ListParagraph"/>
        <w:numPr>
          <w:ilvl w:val="1"/>
          <w:numId w:val="18"/>
        </w:numPr>
        <w:spacing w:line="360" w:lineRule="auto"/>
        <w:jc w:val="both"/>
        <w:rPr>
          <w:sz w:val="22"/>
        </w:rPr>
      </w:pPr>
      <w:r>
        <w:rPr>
          <w:sz w:val="22"/>
        </w:rPr>
        <w:t>E</w:t>
      </w:r>
      <w:r w:rsidR="00FC6B12" w:rsidRPr="00BF6FC8">
        <w:rPr>
          <w:sz w:val="22"/>
        </w:rPr>
        <w:t xml:space="preserve">l primero, que </w:t>
      </w:r>
      <w:r w:rsidR="0037027A" w:rsidRPr="00BF6FC8">
        <w:rPr>
          <w:sz w:val="22"/>
        </w:rPr>
        <w:t>serán</w:t>
      </w:r>
      <w:r w:rsidR="00FC6B12" w:rsidRPr="00BF6FC8">
        <w:rPr>
          <w:sz w:val="22"/>
        </w:rPr>
        <w:t xml:space="preserve"> creados </w:t>
      </w:r>
      <w:r w:rsidR="0037027A" w:rsidRPr="00BF6FC8">
        <w:rPr>
          <w:sz w:val="22"/>
        </w:rPr>
        <w:t>considerando las</w:t>
      </w:r>
      <w:r w:rsidR="00FC6B12" w:rsidRPr="00BF6FC8">
        <w:rPr>
          <w:sz w:val="22"/>
        </w:rPr>
        <w:t xml:space="preserve"> </w:t>
      </w:r>
      <w:r w:rsidR="00084AE7" w:rsidRPr="00BF6FC8">
        <w:rPr>
          <w:sz w:val="22"/>
        </w:rPr>
        <w:t xml:space="preserve">distintas </w:t>
      </w:r>
      <w:r w:rsidR="00FC6B12" w:rsidRPr="00BF6FC8">
        <w:rPr>
          <w:sz w:val="22"/>
        </w:rPr>
        <w:t xml:space="preserve">discapacidades </w:t>
      </w:r>
      <w:r w:rsidR="00084AE7" w:rsidRPr="00BF6FC8">
        <w:rPr>
          <w:sz w:val="22"/>
        </w:rPr>
        <w:t>de</w:t>
      </w:r>
      <w:r w:rsidR="0037027A" w:rsidRPr="00BF6FC8">
        <w:rPr>
          <w:sz w:val="22"/>
        </w:rPr>
        <w:t xml:space="preserve"> las</w:t>
      </w:r>
      <w:r w:rsidR="00084AE7" w:rsidRPr="00BF6FC8">
        <w:rPr>
          <w:sz w:val="22"/>
        </w:rPr>
        <w:t xml:space="preserve"> personas </w:t>
      </w:r>
      <w:r w:rsidR="00FC6B12" w:rsidRPr="00BF6FC8">
        <w:rPr>
          <w:sz w:val="22"/>
        </w:rPr>
        <w:t>institucionalizadas o no,</w:t>
      </w:r>
      <w:r w:rsidR="00125FDE" w:rsidRPr="00BF6FC8">
        <w:rPr>
          <w:sz w:val="22"/>
        </w:rPr>
        <w:t xml:space="preserve"> al grado de poder atender las necesidades</w:t>
      </w:r>
      <w:r w:rsidR="00D15B3B" w:rsidRPr="00BF6FC8">
        <w:rPr>
          <w:sz w:val="22"/>
        </w:rPr>
        <w:t xml:space="preserve"> y preferencias individuales</w:t>
      </w:r>
      <w:r w:rsidR="0037027A" w:rsidRPr="00BF6FC8">
        <w:rPr>
          <w:sz w:val="22"/>
        </w:rPr>
        <w:t xml:space="preserve"> </w:t>
      </w:r>
      <w:r w:rsidR="00125FDE" w:rsidRPr="00BF6FC8">
        <w:rPr>
          <w:sz w:val="22"/>
        </w:rPr>
        <w:t>e implementar las acciones afirmativas y los ajustes razonables que se requieran</w:t>
      </w:r>
      <w:r>
        <w:rPr>
          <w:sz w:val="22"/>
        </w:rPr>
        <w:t>.</w:t>
      </w:r>
    </w:p>
    <w:p w14:paraId="249B97C9" w14:textId="100DE0DF" w:rsidR="002F7CB3" w:rsidRPr="00BF6FC8" w:rsidRDefault="00BF6FC8" w:rsidP="00BF6FC8">
      <w:pPr>
        <w:pStyle w:val="ListParagraph"/>
        <w:numPr>
          <w:ilvl w:val="1"/>
          <w:numId w:val="18"/>
        </w:numPr>
        <w:spacing w:line="360" w:lineRule="auto"/>
        <w:jc w:val="both"/>
        <w:rPr>
          <w:sz w:val="22"/>
        </w:rPr>
      </w:pPr>
      <w:r>
        <w:rPr>
          <w:sz w:val="22"/>
        </w:rPr>
        <w:t>E</w:t>
      </w:r>
      <w:r w:rsidR="00125FDE" w:rsidRPr="00BF6FC8">
        <w:rPr>
          <w:sz w:val="22"/>
        </w:rPr>
        <w:t>l segundo,</w:t>
      </w:r>
      <w:r w:rsidR="00D15B3B" w:rsidRPr="00BF6FC8">
        <w:rPr>
          <w:sz w:val="22"/>
        </w:rPr>
        <w:t xml:space="preserve"> que </w:t>
      </w:r>
      <w:r w:rsidR="0037027A" w:rsidRPr="00BF6FC8">
        <w:rPr>
          <w:sz w:val="22"/>
        </w:rPr>
        <w:t>aseguraría</w:t>
      </w:r>
      <w:r w:rsidR="00D15B3B" w:rsidRPr="00BF6FC8">
        <w:rPr>
          <w:sz w:val="22"/>
        </w:rPr>
        <w:t xml:space="preserve"> las condiciones idóneas para que las personas </w:t>
      </w:r>
      <w:r w:rsidR="00EF53F7" w:rsidRPr="00BF6FC8">
        <w:rPr>
          <w:sz w:val="22"/>
        </w:rPr>
        <w:t>fuera de las instituciones</w:t>
      </w:r>
      <w:r w:rsidR="00D15B3B" w:rsidRPr="00BF6FC8">
        <w:rPr>
          <w:sz w:val="22"/>
        </w:rPr>
        <w:t xml:space="preserve"> ejerzan su derecho a vivir de manera independiente y sean incluidas en la comunidad fortaleciendo su autonomía y autodeterminación</w:t>
      </w:r>
      <w:r w:rsidR="00EF53F7" w:rsidRPr="00BF6FC8">
        <w:rPr>
          <w:sz w:val="22"/>
        </w:rPr>
        <w:t>.</w:t>
      </w:r>
      <w:r w:rsidR="008363D8" w:rsidRPr="00EF53F7">
        <w:rPr>
          <w:vertAlign w:val="superscript"/>
        </w:rPr>
        <w:footnoteReference w:id="1"/>
      </w:r>
      <w:r w:rsidR="00420307" w:rsidRPr="00BF6FC8">
        <w:rPr>
          <w:sz w:val="22"/>
        </w:rPr>
        <w:t xml:space="preserve"> </w:t>
      </w:r>
      <w:r w:rsidR="0037027A" w:rsidRPr="00BF6FC8">
        <w:rPr>
          <w:sz w:val="22"/>
        </w:rPr>
        <w:t>El</w:t>
      </w:r>
      <w:r w:rsidR="00420307" w:rsidRPr="00BF6FC8">
        <w:rPr>
          <w:sz w:val="22"/>
        </w:rPr>
        <w:t xml:space="preserve"> efecto que provoque la creación de los sistemas de </w:t>
      </w:r>
      <w:r w:rsidR="00420307" w:rsidRPr="00BF6FC8">
        <w:rPr>
          <w:sz w:val="22"/>
        </w:rPr>
        <w:lastRenderedPageBreak/>
        <w:t>apoyo en la supresión de las distintas barreras que enfrentan</w:t>
      </w:r>
      <w:r w:rsidR="00A13307" w:rsidRPr="00BF6FC8">
        <w:rPr>
          <w:sz w:val="22"/>
        </w:rPr>
        <w:t xml:space="preserve"> las personas con discapacidad</w:t>
      </w:r>
      <w:r w:rsidR="0037027A" w:rsidRPr="00BF6FC8">
        <w:rPr>
          <w:sz w:val="22"/>
        </w:rPr>
        <w:t xml:space="preserve"> garantizará</w:t>
      </w:r>
      <w:r w:rsidR="00A13307" w:rsidRPr="00BF6FC8">
        <w:rPr>
          <w:sz w:val="22"/>
        </w:rPr>
        <w:t xml:space="preserve"> el adecuado ejercicio de los derechos a la salud, a la educación inclusiva,</w:t>
      </w:r>
      <w:r w:rsidR="00B4229A" w:rsidRPr="00BF6FC8">
        <w:rPr>
          <w:sz w:val="22"/>
        </w:rPr>
        <w:t xml:space="preserve"> al trabajo digno y bien remunerado, </w:t>
      </w:r>
      <w:r w:rsidR="00262964" w:rsidRPr="00BF6FC8">
        <w:rPr>
          <w:sz w:val="22"/>
        </w:rPr>
        <w:t xml:space="preserve">a la accesibilidad, </w:t>
      </w:r>
      <w:r w:rsidR="00B4229A" w:rsidRPr="00BF6FC8">
        <w:rPr>
          <w:sz w:val="22"/>
        </w:rPr>
        <w:t>a la capacidad jurídica, a la vivienda digna, adecuada, accesible y adaptable,</w:t>
      </w:r>
      <w:r w:rsidR="00262964" w:rsidRPr="00BF6FC8">
        <w:rPr>
          <w:sz w:val="22"/>
        </w:rPr>
        <w:t xml:space="preserve"> a la igualdad y no discriminación</w:t>
      </w:r>
      <w:r w:rsidR="00F0668D" w:rsidRPr="00BF6FC8">
        <w:rPr>
          <w:sz w:val="22"/>
        </w:rPr>
        <w:t>, al ejercicio de la sexualidad</w:t>
      </w:r>
      <w:r w:rsidR="00262964" w:rsidRPr="00BF6FC8">
        <w:rPr>
          <w:sz w:val="22"/>
        </w:rPr>
        <w:t>, entre otros</w:t>
      </w:r>
      <w:r>
        <w:rPr>
          <w:sz w:val="22"/>
        </w:rPr>
        <w:t>.</w:t>
      </w:r>
      <w:r w:rsidR="0037027A" w:rsidRPr="00BF6FC8">
        <w:rPr>
          <w:sz w:val="22"/>
        </w:rPr>
        <w:t xml:space="preserve"> </w:t>
      </w:r>
    </w:p>
    <w:p w14:paraId="7A83F302" w14:textId="2B859BB4" w:rsidR="005168BA" w:rsidRDefault="005168BA" w:rsidP="00253697">
      <w:pPr>
        <w:spacing w:line="360" w:lineRule="auto"/>
        <w:jc w:val="both"/>
        <w:rPr>
          <w:sz w:val="22"/>
        </w:rPr>
      </w:pPr>
    </w:p>
    <w:p w14:paraId="6052878F" w14:textId="3A2445E1" w:rsidR="00AF2D4A" w:rsidRDefault="00962E91" w:rsidP="00962E91">
      <w:pPr>
        <w:spacing w:line="360" w:lineRule="auto"/>
        <w:jc w:val="center"/>
        <w:rPr>
          <w:sz w:val="22"/>
        </w:rPr>
      </w:pPr>
      <w:r>
        <w:rPr>
          <w:b/>
          <w:sz w:val="22"/>
        </w:rPr>
        <w:t>COMENTARIOS A PÁRRAFOS ESPECÍFICOS</w:t>
      </w:r>
    </w:p>
    <w:p w14:paraId="12891335" w14:textId="67177288" w:rsidR="00962E91" w:rsidRDefault="00962E91" w:rsidP="00857201">
      <w:pPr>
        <w:spacing w:line="360" w:lineRule="auto"/>
        <w:jc w:val="both"/>
        <w:rPr>
          <w:sz w:val="22"/>
        </w:rPr>
      </w:pPr>
    </w:p>
    <w:p w14:paraId="0991A759" w14:textId="6830F65A" w:rsidR="00F150AA" w:rsidRDefault="0079390C" w:rsidP="00857201">
      <w:pPr>
        <w:spacing w:line="360" w:lineRule="auto"/>
        <w:jc w:val="both"/>
        <w:rPr>
          <w:sz w:val="22"/>
        </w:rPr>
      </w:pPr>
      <w:r>
        <w:rPr>
          <w:sz w:val="22"/>
        </w:rPr>
        <w:t>A</w:t>
      </w:r>
      <w:r w:rsidR="00F150AA">
        <w:rPr>
          <w:sz w:val="22"/>
        </w:rPr>
        <w:t xml:space="preserve"> continuación,</w:t>
      </w:r>
      <w:r>
        <w:rPr>
          <w:sz w:val="22"/>
        </w:rPr>
        <w:t xml:space="preserve"> en negritas se </w:t>
      </w:r>
      <w:r w:rsidR="00175E8D">
        <w:rPr>
          <w:sz w:val="22"/>
        </w:rPr>
        <w:t xml:space="preserve">señalan los cambios propuestos </w:t>
      </w:r>
      <w:r w:rsidR="006B5E23">
        <w:rPr>
          <w:sz w:val="22"/>
        </w:rPr>
        <w:t xml:space="preserve">de manera particular </w:t>
      </w:r>
      <w:r w:rsidR="00175E8D">
        <w:rPr>
          <w:sz w:val="22"/>
        </w:rPr>
        <w:t>a los párrafos siguientes:</w:t>
      </w:r>
    </w:p>
    <w:p w14:paraId="68634C74" w14:textId="77777777" w:rsidR="00F150AA" w:rsidRPr="006D2A9A" w:rsidRDefault="00F150AA" w:rsidP="00857201">
      <w:pPr>
        <w:spacing w:line="360" w:lineRule="auto"/>
        <w:jc w:val="both"/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D2A9A" w:rsidRPr="006D2A9A" w14:paraId="5214E2A0" w14:textId="77777777" w:rsidTr="00654592">
        <w:trPr>
          <w:tblHeader/>
        </w:trPr>
        <w:tc>
          <w:tcPr>
            <w:tcW w:w="4414" w:type="dxa"/>
          </w:tcPr>
          <w:p w14:paraId="0DE64705" w14:textId="08827D54" w:rsidR="006D2A9A" w:rsidRPr="006D2A9A" w:rsidRDefault="00F150AA" w:rsidP="006D2A9A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PÁRRAFO </w:t>
            </w:r>
            <w:r w:rsidR="006D2A9A" w:rsidRPr="006D2A9A">
              <w:rPr>
                <w:b/>
                <w:sz w:val="22"/>
              </w:rPr>
              <w:t>VIGENTE</w:t>
            </w:r>
          </w:p>
        </w:tc>
        <w:tc>
          <w:tcPr>
            <w:tcW w:w="4414" w:type="dxa"/>
          </w:tcPr>
          <w:p w14:paraId="563F3659" w14:textId="6C0FC261" w:rsidR="006D2A9A" w:rsidRPr="006D2A9A" w:rsidRDefault="00175E8D" w:rsidP="006D2A9A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PÁRRAFO </w:t>
            </w:r>
            <w:r w:rsidR="006D2A9A" w:rsidRPr="006D2A9A">
              <w:rPr>
                <w:b/>
                <w:sz w:val="22"/>
              </w:rPr>
              <w:t>PROPUESTO</w:t>
            </w:r>
          </w:p>
        </w:tc>
      </w:tr>
      <w:tr w:rsidR="000812AF" w:rsidRPr="006D2A9A" w14:paraId="1F05E699" w14:textId="77777777" w:rsidTr="006D2A9A">
        <w:tc>
          <w:tcPr>
            <w:tcW w:w="4414" w:type="dxa"/>
          </w:tcPr>
          <w:p w14:paraId="0054E3F5" w14:textId="20E135DE" w:rsidR="000812AF" w:rsidRDefault="000812AF" w:rsidP="000812AF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s"/>
              </w:rPr>
              <w:t xml:space="preserve">13. </w:t>
            </w:r>
            <w:r w:rsidRPr="00097AE9">
              <w:rPr>
                <w:sz w:val="22"/>
                <w:lang w:val="es"/>
              </w:rPr>
              <w:t>Los Estados Parte deben tomar medidas inmediatas brindando a las personas la oportunidad de abandonar las instituciones,</w:t>
            </w:r>
            <w:r>
              <w:rPr>
                <w:sz w:val="22"/>
                <w:lang w:val="es"/>
              </w:rPr>
              <w:t xml:space="preserve">[…] </w:t>
            </w:r>
            <w:r w:rsidRPr="00097AE9">
              <w:rPr>
                <w:sz w:val="22"/>
                <w:lang w:val="es"/>
              </w:rPr>
              <w:t>.</w:t>
            </w:r>
          </w:p>
        </w:tc>
        <w:tc>
          <w:tcPr>
            <w:tcW w:w="4414" w:type="dxa"/>
          </w:tcPr>
          <w:p w14:paraId="53B9EEAB" w14:textId="3F65BCF6" w:rsidR="000812AF" w:rsidRDefault="000812AF" w:rsidP="00097AE9">
            <w:pPr>
              <w:spacing w:line="36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  <w:r w:rsidRPr="00097AE9">
              <w:rPr>
                <w:sz w:val="22"/>
              </w:rPr>
              <w:t xml:space="preserve">. Los </w:t>
            </w:r>
            <w:r w:rsidRPr="00033C86">
              <w:rPr>
                <w:sz w:val="22"/>
                <w:lang w:val="es"/>
              </w:rPr>
              <w:t>Estados Parte deben tomar medidas inmediatas</w:t>
            </w:r>
            <w:r>
              <w:rPr>
                <w:sz w:val="22"/>
                <w:lang w:val="es"/>
              </w:rPr>
              <w:t xml:space="preserve"> </w:t>
            </w:r>
            <w:r w:rsidRPr="00097AE9">
              <w:rPr>
                <w:b/>
                <w:sz w:val="22"/>
                <w:lang w:val="es"/>
              </w:rPr>
              <w:t>y progresivas</w:t>
            </w:r>
            <w:r>
              <w:rPr>
                <w:sz w:val="22"/>
                <w:lang w:val="es"/>
              </w:rPr>
              <w:t xml:space="preserve"> </w:t>
            </w:r>
            <w:r w:rsidRPr="00033C86">
              <w:rPr>
                <w:sz w:val="22"/>
                <w:lang w:val="es"/>
              </w:rPr>
              <w:t xml:space="preserve"> brindando a las personas la oportunidad de abandonar las instituciones</w:t>
            </w:r>
            <w:r>
              <w:rPr>
                <w:sz w:val="22"/>
                <w:lang w:val="es"/>
              </w:rPr>
              <w:t xml:space="preserve"> </w:t>
            </w:r>
            <w:r w:rsidRPr="00097AE9">
              <w:rPr>
                <w:b/>
                <w:sz w:val="22"/>
                <w:lang w:val="es"/>
              </w:rPr>
              <w:t>haciendo máximo uso de sus recursos disponibles</w:t>
            </w:r>
            <w:r>
              <w:rPr>
                <w:sz w:val="22"/>
                <w:lang w:val="es"/>
              </w:rPr>
              <w:t xml:space="preserve">. </w:t>
            </w:r>
          </w:p>
        </w:tc>
      </w:tr>
      <w:tr w:rsidR="006D2A9A" w:rsidRPr="006D2A9A" w14:paraId="344D29D1" w14:textId="77777777" w:rsidTr="006D2A9A">
        <w:tc>
          <w:tcPr>
            <w:tcW w:w="4414" w:type="dxa"/>
          </w:tcPr>
          <w:p w14:paraId="0646FC5B" w14:textId="158D1F7C" w:rsidR="006D2A9A" w:rsidRPr="006D2A9A" w:rsidRDefault="006D2A9A" w:rsidP="00857201">
            <w:pPr>
              <w:spacing w:line="360" w:lineRule="auto"/>
              <w:jc w:val="both"/>
              <w:rPr>
                <w:sz w:val="22"/>
              </w:rPr>
            </w:pPr>
            <w:r w:rsidRPr="006D2A9A">
              <w:rPr>
                <w:sz w:val="22"/>
              </w:rPr>
              <w:t>21. Los Estados Parte deben, sin demora, priorizar el desarrollo de una variedad de apoyos individualizados y servicios generales de inclusión en la comunidad.</w:t>
            </w:r>
          </w:p>
        </w:tc>
        <w:tc>
          <w:tcPr>
            <w:tcW w:w="4414" w:type="dxa"/>
          </w:tcPr>
          <w:p w14:paraId="6C4BD592" w14:textId="54F74EF9" w:rsidR="006D2A9A" w:rsidRPr="006D2A9A" w:rsidRDefault="006D2A9A" w:rsidP="006B4F5D">
            <w:pPr>
              <w:spacing w:line="360" w:lineRule="auto"/>
              <w:jc w:val="both"/>
              <w:rPr>
                <w:sz w:val="22"/>
              </w:rPr>
            </w:pPr>
            <w:r w:rsidRPr="006D2A9A">
              <w:rPr>
                <w:sz w:val="22"/>
              </w:rPr>
              <w:t>21. Los Estados Parte deben, sin demora, priorizar el desarrollo de una variedad de apoyos individualizados y servicios general</w:t>
            </w:r>
            <w:r w:rsidR="006B4F5D">
              <w:rPr>
                <w:sz w:val="22"/>
              </w:rPr>
              <w:t>es de inclusión en la comunidad</w:t>
            </w:r>
            <w:r w:rsidR="006B4F5D" w:rsidRPr="006B4F5D">
              <w:rPr>
                <w:b/>
                <w:sz w:val="22"/>
              </w:rPr>
              <w:t xml:space="preserve">, para todas las personas con discapacidad, </w:t>
            </w:r>
            <w:r w:rsidR="003A1E79" w:rsidRPr="006B4F5D">
              <w:rPr>
                <w:b/>
                <w:sz w:val="22"/>
              </w:rPr>
              <w:t>en</w:t>
            </w:r>
            <w:r w:rsidR="003A1E79">
              <w:rPr>
                <w:b/>
                <w:sz w:val="22"/>
              </w:rPr>
              <w:t xml:space="preserve"> desinstitucionalización o no</w:t>
            </w:r>
            <w:r w:rsidR="006B4F5D" w:rsidRPr="006B4F5D">
              <w:rPr>
                <w:b/>
                <w:sz w:val="22"/>
              </w:rPr>
              <w:t>, y con perspectiva de género</w:t>
            </w:r>
            <w:r w:rsidR="006B4F5D">
              <w:rPr>
                <w:b/>
                <w:sz w:val="22"/>
              </w:rPr>
              <w:t xml:space="preserve"> </w:t>
            </w:r>
            <w:r w:rsidR="0037027A">
              <w:rPr>
                <w:b/>
                <w:sz w:val="22"/>
              </w:rPr>
              <w:t>y enfoque diferencial.</w:t>
            </w:r>
          </w:p>
        </w:tc>
      </w:tr>
      <w:tr w:rsidR="006D2A9A" w:rsidRPr="006D2A9A" w14:paraId="73A23E99" w14:textId="77777777" w:rsidTr="006D2A9A">
        <w:tc>
          <w:tcPr>
            <w:tcW w:w="4414" w:type="dxa"/>
          </w:tcPr>
          <w:p w14:paraId="0F4A006F" w14:textId="09F1C20C" w:rsidR="006D2A9A" w:rsidRPr="006D2A9A" w:rsidRDefault="006B4F5D" w:rsidP="00E248E1">
            <w:pPr>
              <w:spacing w:line="360" w:lineRule="auto"/>
              <w:jc w:val="both"/>
              <w:rPr>
                <w:sz w:val="22"/>
              </w:rPr>
            </w:pPr>
            <w:r w:rsidRPr="006B4F5D">
              <w:rPr>
                <w:sz w:val="22"/>
              </w:rPr>
              <w:t xml:space="preserve">25. </w:t>
            </w:r>
            <w:r w:rsidR="0079390C">
              <w:rPr>
                <w:sz w:val="22"/>
              </w:rPr>
              <w:t>[</w:t>
            </w:r>
            <w:r w:rsidR="00E248E1">
              <w:rPr>
                <w:sz w:val="22"/>
              </w:rPr>
              <w:t>…</w:t>
            </w:r>
            <w:r w:rsidR="0079390C">
              <w:rPr>
                <w:sz w:val="22"/>
              </w:rPr>
              <w:t>]</w:t>
            </w:r>
            <w:r w:rsidRPr="006B4F5D">
              <w:rPr>
                <w:sz w:val="22"/>
              </w:rPr>
              <w:t xml:space="preserve"> Todas las personas con discapacidad deben tener acceso a </w:t>
            </w:r>
            <w:r w:rsidRPr="006B4F5D">
              <w:rPr>
                <w:sz w:val="22"/>
              </w:rPr>
              <w:lastRenderedPageBreak/>
              <w:t>asistencia personal, independientemente de sus requerimientos de apoyo en el ejercicio de su capacidad jurídica.</w:t>
            </w:r>
          </w:p>
        </w:tc>
        <w:tc>
          <w:tcPr>
            <w:tcW w:w="4414" w:type="dxa"/>
          </w:tcPr>
          <w:p w14:paraId="24FF5D12" w14:textId="564A7BDC" w:rsidR="006D2A9A" w:rsidRPr="006D2A9A" w:rsidRDefault="006B4F5D" w:rsidP="0079390C">
            <w:pPr>
              <w:spacing w:line="360" w:lineRule="auto"/>
              <w:jc w:val="both"/>
              <w:rPr>
                <w:sz w:val="22"/>
              </w:rPr>
            </w:pPr>
            <w:r w:rsidRPr="006B4F5D">
              <w:rPr>
                <w:sz w:val="22"/>
              </w:rPr>
              <w:lastRenderedPageBreak/>
              <w:t xml:space="preserve">25. </w:t>
            </w:r>
            <w:r w:rsidR="0079390C">
              <w:rPr>
                <w:sz w:val="22"/>
              </w:rPr>
              <w:t>[…]</w:t>
            </w:r>
            <w:r w:rsidR="0079390C" w:rsidRPr="006B4F5D">
              <w:rPr>
                <w:sz w:val="22"/>
              </w:rPr>
              <w:t xml:space="preserve"> </w:t>
            </w:r>
            <w:r w:rsidRPr="006B4F5D">
              <w:rPr>
                <w:sz w:val="22"/>
              </w:rPr>
              <w:t>Todas las personas con discapacidad</w:t>
            </w:r>
            <w:r w:rsidRPr="006B4F5D">
              <w:rPr>
                <w:b/>
                <w:sz w:val="22"/>
              </w:rPr>
              <w:t>, en</w:t>
            </w:r>
            <w:r>
              <w:rPr>
                <w:b/>
                <w:sz w:val="22"/>
              </w:rPr>
              <w:t xml:space="preserve"> desinstitucionalización </w:t>
            </w:r>
            <w:r>
              <w:rPr>
                <w:b/>
                <w:sz w:val="22"/>
              </w:rPr>
              <w:lastRenderedPageBreak/>
              <w:t>o no</w:t>
            </w:r>
            <w:r w:rsidRPr="006B4F5D">
              <w:rPr>
                <w:b/>
                <w:sz w:val="22"/>
              </w:rPr>
              <w:t>,</w:t>
            </w:r>
            <w:r>
              <w:rPr>
                <w:sz w:val="22"/>
              </w:rPr>
              <w:t xml:space="preserve"> </w:t>
            </w:r>
            <w:r w:rsidRPr="006B4F5D">
              <w:rPr>
                <w:sz w:val="22"/>
              </w:rPr>
              <w:t>deben tener acceso a asistencia personal, independientemente de sus requerimientos de apoyo en el ejercicio de su capacidad jurídica.</w:t>
            </w:r>
          </w:p>
        </w:tc>
      </w:tr>
      <w:tr w:rsidR="00E248E1" w:rsidRPr="006D2A9A" w14:paraId="6B663098" w14:textId="77777777" w:rsidTr="006D2A9A">
        <w:tc>
          <w:tcPr>
            <w:tcW w:w="4414" w:type="dxa"/>
          </w:tcPr>
          <w:p w14:paraId="3248633A" w14:textId="514FD83B" w:rsidR="00E248E1" w:rsidRPr="006D2A9A" w:rsidRDefault="00E248E1" w:rsidP="00E248E1">
            <w:pPr>
              <w:spacing w:line="360" w:lineRule="auto"/>
              <w:jc w:val="both"/>
              <w:rPr>
                <w:sz w:val="22"/>
              </w:rPr>
            </w:pPr>
            <w:r w:rsidRPr="006B4F5D">
              <w:rPr>
                <w:sz w:val="22"/>
              </w:rPr>
              <w:lastRenderedPageBreak/>
              <w:t xml:space="preserve">31. </w:t>
            </w:r>
            <w:r w:rsidR="0079390C">
              <w:rPr>
                <w:sz w:val="22"/>
              </w:rPr>
              <w:t>[…]</w:t>
            </w:r>
            <w:r w:rsidR="0079390C" w:rsidRPr="006B4F5D">
              <w:rPr>
                <w:sz w:val="22"/>
              </w:rPr>
              <w:t xml:space="preserve"> </w:t>
            </w:r>
            <w:r w:rsidRPr="006B4F5D">
              <w:rPr>
                <w:sz w:val="22"/>
              </w:rPr>
              <w:t xml:space="preserve">Los Estados Parte deben garantizar viviendas seguras, accesibles y asequibles en la comunidad, como viviendas públicas o mediante subsidios de alquiler, para las personas que salen de las instituciones. </w:t>
            </w:r>
            <w:r w:rsidR="00175E8D">
              <w:rPr>
                <w:sz w:val="22"/>
              </w:rPr>
              <w:t>[</w:t>
            </w:r>
            <w:r>
              <w:rPr>
                <w:sz w:val="22"/>
              </w:rPr>
              <w:t>…</w:t>
            </w:r>
            <w:r w:rsidR="00175E8D">
              <w:rPr>
                <w:sz w:val="22"/>
              </w:rPr>
              <w:t xml:space="preserve">] </w:t>
            </w:r>
          </w:p>
        </w:tc>
        <w:tc>
          <w:tcPr>
            <w:tcW w:w="4414" w:type="dxa"/>
          </w:tcPr>
          <w:p w14:paraId="1E13746D" w14:textId="7ED34663" w:rsidR="00E248E1" w:rsidRPr="006D2A9A" w:rsidRDefault="00E248E1" w:rsidP="003A1E79">
            <w:pPr>
              <w:spacing w:line="360" w:lineRule="auto"/>
              <w:jc w:val="both"/>
              <w:rPr>
                <w:sz w:val="22"/>
              </w:rPr>
            </w:pPr>
            <w:r w:rsidRPr="006B4F5D">
              <w:rPr>
                <w:sz w:val="22"/>
              </w:rPr>
              <w:t xml:space="preserve">31. </w:t>
            </w:r>
            <w:r w:rsidR="0079390C">
              <w:rPr>
                <w:sz w:val="22"/>
              </w:rPr>
              <w:t>[…]</w:t>
            </w:r>
            <w:r w:rsidR="0079390C" w:rsidRPr="006B4F5D">
              <w:rPr>
                <w:sz w:val="22"/>
              </w:rPr>
              <w:t xml:space="preserve"> </w:t>
            </w:r>
            <w:r w:rsidRPr="006B4F5D">
              <w:rPr>
                <w:sz w:val="22"/>
              </w:rPr>
              <w:t>Los Estados Parte deben garantizar viviendas seguras, accesibles y asequibles</w:t>
            </w:r>
            <w:r w:rsidR="000812AF">
              <w:rPr>
                <w:sz w:val="22"/>
              </w:rPr>
              <w:t xml:space="preserve"> </w:t>
            </w:r>
            <w:r w:rsidR="000812AF" w:rsidRPr="00097AE9">
              <w:rPr>
                <w:b/>
                <w:sz w:val="22"/>
              </w:rPr>
              <w:t>y habitables</w:t>
            </w:r>
            <w:r w:rsidRPr="006B4F5D">
              <w:rPr>
                <w:sz w:val="22"/>
              </w:rPr>
              <w:t xml:space="preserve"> en la comunidad, como viviendas públicas o mediante subsidios de alquiler, para </w:t>
            </w:r>
            <w:r>
              <w:rPr>
                <w:b/>
                <w:sz w:val="22"/>
              </w:rPr>
              <w:t xml:space="preserve">todas las personas con discapacidad y </w:t>
            </w:r>
            <w:r w:rsidR="003A1E79">
              <w:rPr>
                <w:b/>
                <w:sz w:val="22"/>
              </w:rPr>
              <w:t>con especial preferencia</w:t>
            </w:r>
            <w:r>
              <w:rPr>
                <w:b/>
                <w:sz w:val="22"/>
              </w:rPr>
              <w:t xml:space="preserve"> a </w:t>
            </w:r>
            <w:r w:rsidRPr="006B4F5D">
              <w:rPr>
                <w:sz w:val="22"/>
              </w:rPr>
              <w:t xml:space="preserve">las personas que salen de las instituciones. </w:t>
            </w:r>
            <w:r w:rsidR="00175E8D">
              <w:rPr>
                <w:sz w:val="22"/>
              </w:rPr>
              <w:t>[…]</w:t>
            </w:r>
          </w:p>
        </w:tc>
      </w:tr>
      <w:tr w:rsidR="00E248E1" w:rsidRPr="006D2A9A" w14:paraId="377BC74D" w14:textId="77777777" w:rsidTr="006D2A9A">
        <w:tc>
          <w:tcPr>
            <w:tcW w:w="4414" w:type="dxa"/>
          </w:tcPr>
          <w:p w14:paraId="2E94DA22" w14:textId="6D8DE7D0" w:rsidR="00E248E1" w:rsidRPr="006D2A9A" w:rsidRDefault="00E248E1" w:rsidP="00E248E1">
            <w:pPr>
              <w:spacing w:line="360" w:lineRule="auto"/>
              <w:jc w:val="both"/>
              <w:rPr>
                <w:sz w:val="22"/>
              </w:rPr>
            </w:pPr>
            <w:r w:rsidRPr="00E248E1">
              <w:rPr>
                <w:sz w:val="22"/>
              </w:rPr>
              <w:t xml:space="preserve">32. </w:t>
            </w:r>
            <w:r w:rsidR="00175E8D">
              <w:rPr>
                <w:sz w:val="22"/>
              </w:rPr>
              <w:t>[</w:t>
            </w:r>
            <w:r>
              <w:rPr>
                <w:sz w:val="22"/>
              </w:rPr>
              <w:t>…</w:t>
            </w:r>
            <w:r w:rsidR="00175E8D">
              <w:rPr>
                <w:sz w:val="22"/>
              </w:rPr>
              <w:t>]</w:t>
            </w:r>
            <w:r w:rsidRPr="00E248E1">
              <w:rPr>
                <w:sz w:val="22"/>
              </w:rPr>
              <w:t xml:space="preserve"> Los criterios mínimos para que una vivienda se considere adecuada son la seguridad de tenencia; disponibilidad de servicios, materiales, instalaciones e infraestructura; asequibilidad; habitabilidad; accesibilidad; localización; y adecuación cultural</w:t>
            </w:r>
            <w:r>
              <w:rPr>
                <w:sz w:val="22"/>
              </w:rPr>
              <w:t>.</w:t>
            </w:r>
          </w:p>
        </w:tc>
        <w:tc>
          <w:tcPr>
            <w:tcW w:w="4414" w:type="dxa"/>
          </w:tcPr>
          <w:p w14:paraId="1F811E80" w14:textId="095477BE" w:rsidR="00E248E1" w:rsidRPr="006D2A9A" w:rsidRDefault="00E248E1" w:rsidP="00E248E1">
            <w:pPr>
              <w:spacing w:line="360" w:lineRule="auto"/>
              <w:jc w:val="both"/>
              <w:rPr>
                <w:sz w:val="22"/>
              </w:rPr>
            </w:pPr>
            <w:r w:rsidRPr="00E248E1">
              <w:rPr>
                <w:sz w:val="22"/>
              </w:rPr>
              <w:t xml:space="preserve">32. </w:t>
            </w:r>
            <w:r w:rsidR="00175E8D">
              <w:rPr>
                <w:sz w:val="22"/>
              </w:rPr>
              <w:t>[</w:t>
            </w:r>
            <w:r>
              <w:rPr>
                <w:sz w:val="22"/>
              </w:rPr>
              <w:t>…</w:t>
            </w:r>
            <w:r w:rsidR="00175E8D">
              <w:rPr>
                <w:sz w:val="22"/>
              </w:rPr>
              <w:t>]</w:t>
            </w:r>
            <w:r w:rsidRPr="00E248E1">
              <w:rPr>
                <w:sz w:val="22"/>
              </w:rPr>
              <w:t xml:space="preserve"> Los criterios mínimos para que una vivienda se considere adecuada son la seguridad de tenencia; disponibilidad de servicios, materiales, instalaciones e infraestructura; asequibilidad; habitabilidad; accesibilidad; </w:t>
            </w:r>
            <w:r w:rsidRPr="00654592">
              <w:rPr>
                <w:b/>
                <w:sz w:val="22"/>
              </w:rPr>
              <w:t>adaptabilidad,</w:t>
            </w:r>
            <w:r>
              <w:rPr>
                <w:sz w:val="22"/>
              </w:rPr>
              <w:t xml:space="preserve"> </w:t>
            </w:r>
            <w:r w:rsidRPr="00E248E1">
              <w:rPr>
                <w:sz w:val="22"/>
              </w:rPr>
              <w:t xml:space="preserve">localización; y </w:t>
            </w:r>
            <w:r w:rsidR="0037027A" w:rsidRPr="0037027A">
              <w:rPr>
                <w:b/>
                <w:sz w:val="22"/>
              </w:rPr>
              <w:t>aceptabilidad.</w:t>
            </w:r>
          </w:p>
        </w:tc>
      </w:tr>
      <w:tr w:rsidR="002F7CB3" w:rsidRPr="006D2A9A" w14:paraId="266CBDD8" w14:textId="77777777" w:rsidTr="006D2A9A">
        <w:tc>
          <w:tcPr>
            <w:tcW w:w="4414" w:type="dxa"/>
          </w:tcPr>
          <w:p w14:paraId="7B8C274C" w14:textId="1ABB653C" w:rsidR="002F7CB3" w:rsidRPr="00097AE9" w:rsidRDefault="000812AF" w:rsidP="00E248E1">
            <w:pPr>
              <w:spacing w:line="360" w:lineRule="auto"/>
              <w:jc w:val="both"/>
            </w:pPr>
            <w:r>
              <w:rPr>
                <w:sz w:val="22"/>
              </w:rPr>
              <w:t>40. […]</w:t>
            </w:r>
            <w:r w:rsidRPr="00C634AE">
              <w:rPr>
                <w:rStyle w:val="normaltextrun"/>
              </w:rPr>
              <w:t>. Los Estados Parte deben considerar estos riesgos al diseñar e implementar planes de desinstitucionalización para garantizar el cumplimiento y la protección de los derechos de las mujeres y niñas con discapacidad, asegurando que la igualdad de género se refleje de manera transversal en todos los procesos y políticas.</w:t>
            </w:r>
          </w:p>
        </w:tc>
        <w:tc>
          <w:tcPr>
            <w:tcW w:w="4414" w:type="dxa"/>
          </w:tcPr>
          <w:p w14:paraId="4ACC9B40" w14:textId="6BBBC1F6" w:rsidR="002F7CB3" w:rsidRPr="00E248E1" w:rsidRDefault="000812AF" w:rsidP="00E248E1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40. […]</w:t>
            </w:r>
            <w:r w:rsidRPr="00C634AE">
              <w:rPr>
                <w:rStyle w:val="normaltextrun"/>
              </w:rPr>
              <w:t>. Los Estados Parte deben considerar estos riesgos al diseñar e implementar planes de desinstitucionalización para garantizar el cumplimiento y la protección de los derechos de las mujeres y niñas con discapacidad</w:t>
            </w:r>
            <w:r w:rsidRPr="00654592">
              <w:rPr>
                <w:rStyle w:val="normaltextrun"/>
              </w:rPr>
              <w:t xml:space="preserve">, asegurando que la igualdad y el </w:t>
            </w:r>
            <w:r w:rsidRPr="00654592">
              <w:rPr>
                <w:rStyle w:val="normaltextrun"/>
                <w:b/>
              </w:rPr>
              <w:t>enfoque</w:t>
            </w:r>
            <w:r w:rsidRPr="00654592">
              <w:rPr>
                <w:rStyle w:val="normaltextrun"/>
              </w:rPr>
              <w:t xml:space="preserve"> de género</w:t>
            </w:r>
            <w:r w:rsidRPr="00C634AE">
              <w:rPr>
                <w:rStyle w:val="normaltextrun"/>
              </w:rPr>
              <w:t xml:space="preserve"> se </w:t>
            </w:r>
            <w:r w:rsidRPr="00097AE9">
              <w:rPr>
                <w:rStyle w:val="normaltextrun"/>
                <w:b/>
              </w:rPr>
              <w:t>reflejen</w:t>
            </w:r>
            <w:r w:rsidRPr="00C634AE">
              <w:rPr>
                <w:rStyle w:val="normaltextrun"/>
              </w:rPr>
              <w:t xml:space="preserve"> de manera transversal en todos los procesos y políticas.</w:t>
            </w:r>
          </w:p>
        </w:tc>
      </w:tr>
      <w:tr w:rsidR="002F7CB3" w:rsidRPr="006D2A9A" w14:paraId="25E29C1A" w14:textId="77777777" w:rsidTr="006D2A9A">
        <w:tc>
          <w:tcPr>
            <w:tcW w:w="4414" w:type="dxa"/>
          </w:tcPr>
          <w:p w14:paraId="60A18B57" w14:textId="70F73BA6" w:rsidR="002F7CB3" w:rsidRPr="00E248E1" w:rsidRDefault="006B5E23" w:rsidP="00E248E1">
            <w:pPr>
              <w:spacing w:line="360" w:lineRule="auto"/>
              <w:jc w:val="both"/>
              <w:rPr>
                <w:sz w:val="22"/>
              </w:rPr>
            </w:pPr>
            <w:r w:rsidRPr="00C634AE">
              <w:lastRenderedPageBreak/>
              <w:t>42. Para los niños con discapacidad, la desinstitucionalización debe orientarse hacia la protección del derecho a la vida familiar. Para los niños, el núcleo del derecho a ser incluidos en la comunidad implica el derecho a crecer en una familia.</w:t>
            </w:r>
          </w:p>
        </w:tc>
        <w:tc>
          <w:tcPr>
            <w:tcW w:w="4414" w:type="dxa"/>
          </w:tcPr>
          <w:p w14:paraId="306B77E0" w14:textId="67DB0C0E" w:rsidR="002F7CB3" w:rsidRPr="006B5E23" w:rsidRDefault="006B5E23" w:rsidP="00097AE9">
            <w:pPr>
              <w:spacing w:line="360" w:lineRule="auto"/>
              <w:jc w:val="both"/>
              <w:rPr>
                <w:sz w:val="22"/>
              </w:rPr>
            </w:pPr>
            <w:r>
              <w:t>42</w:t>
            </w:r>
            <w:r w:rsidRPr="00C634AE">
              <w:t>. Para los niños con discapacidad, la desinstitucionalización debe orientarse</w:t>
            </w:r>
            <w:r>
              <w:t xml:space="preserve"> </w:t>
            </w:r>
            <w:r w:rsidRPr="00C634AE">
              <w:t xml:space="preserve"> hacia la protección del derecho a la vida familiar</w:t>
            </w:r>
            <w:r>
              <w:t xml:space="preserve"> </w:t>
            </w:r>
            <w:r w:rsidRPr="00097AE9">
              <w:rPr>
                <w:b/>
              </w:rPr>
              <w:t>considerando</w:t>
            </w:r>
            <w:r>
              <w:t xml:space="preserve"> </w:t>
            </w:r>
            <w:r w:rsidR="0037027A">
              <w:rPr>
                <w:b/>
              </w:rPr>
              <w:t>primordialmente</w:t>
            </w:r>
            <w:r w:rsidRPr="00097AE9">
              <w:rPr>
                <w:b/>
              </w:rPr>
              <w:t xml:space="preserve"> su interés superior.</w:t>
            </w:r>
            <w:r w:rsidRPr="00C634AE">
              <w:t xml:space="preserve"> Para los niños, el núcleo del derecho a ser incluidos en la comunidad implica el derecho a crecer en una familia.</w:t>
            </w:r>
          </w:p>
        </w:tc>
      </w:tr>
      <w:tr w:rsidR="00233E30" w:rsidRPr="006D2A9A" w14:paraId="2DCCD11A" w14:textId="77777777" w:rsidTr="006D2A9A">
        <w:tc>
          <w:tcPr>
            <w:tcW w:w="4414" w:type="dxa"/>
          </w:tcPr>
          <w:p w14:paraId="2B7D50B1" w14:textId="690C9D93" w:rsidR="00233E30" w:rsidRPr="00233E30" w:rsidRDefault="00233E30" w:rsidP="00233E30">
            <w:pPr>
              <w:spacing w:line="360" w:lineRule="auto"/>
              <w:jc w:val="both"/>
              <w:rPr>
                <w:lang w:val="es"/>
              </w:rPr>
            </w:pPr>
            <w:r w:rsidRPr="00233E30">
              <w:rPr>
                <w:lang w:val="es"/>
              </w:rPr>
              <w:t xml:space="preserve">49. </w:t>
            </w:r>
            <w:r w:rsidR="00654592">
              <w:rPr>
                <w:lang w:val="es"/>
              </w:rPr>
              <w:t>[…]</w:t>
            </w:r>
            <w:r w:rsidRPr="00233E30">
              <w:rPr>
                <w:lang w:val="es"/>
              </w:rPr>
              <w:t>. Los Estados Parte deben incluir a los niños con discapacidad en las escuelas ordinarias y prevenir y evitar la ubicación en una educación segregada, lo que socava la inclusión en la comunidad y genera una mayor presión para ubicar a los niños en entornos institucionales.</w:t>
            </w:r>
          </w:p>
          <w:p w14:paraId="45B031B1" w14:textId="77777777" w:rsidR="00233E30" w:rsidRPr="00C634AE" w:rsidRDefault="00233E30" w:rsidP="00233E30">
            <w:pPr>
              <w:spacing w:line="360" w:lineRule="auto"/>
              <w:jc w:val="both"/>
            </w:pPr>
          </w:p>
        </w:tc>
        <w:tc>
          <w:tcPr>
            <w:tcW w:w="4414" w:type="dxa"/>
          </w:tcPr>
          <w:p w14:paraId="136F3EE7" w14:textId="54F9816A" w:rsidR="00233E30" w:rsidRDefault="00233E30" w:rsidP="00654592">
            <w:pPr>
              <w:spacing w:line="360" w:lineRule="auto"/>
              <w:jc w:val="both"/>
            </w:pPr>
            <w:r w:rsidRPr="00233E30">
              <w:rPr>
                <w:lang w:val="es"/>
              </w:rPr>
              <w:t xml:space="preserve">49. </w:t>
            </w:r>
            <w:r>
              <w:rPr>
                <w:lang w:val="es"/>
              </w:rPr>
              <w:t>[…]</w:t>
            </w:r>
            <w:r w:rsidRPr="00233E30">
              <w:rPr>
                <w:lang w:val="es"/>
              </w:rPr>
              <w:t>. Los Estados Parte deben incluir a los niños con discapacidad en las escuelas ordinarias y prevenir y evitar la ubicación en una educación segregada, lo que socava la inclusión en la comunidad y genera una mayor presión para ubicar a los niños en entornos institucionales.</w:t>
            </w:r>
            <w:r>
              <w:rPr>
                <w:lang w:val="es"/>
              </w:rPr>
              <w:t xml:space="preserve"> </w:t>
            </w:r>
            <w:r w:rsidRPr="00654592">
              <w:rPr>
                <w:b/>
                <w:lang w:val="es"/>
              </w:rPr>
              <w:t xml:space="preserve">Por lo que deberán </w:t>
            </w:r>
            <w:r w:rsidR="00654592" w:rsidRPr="00654592">
              <w:rPr>
                <w:b/>
              </w:rPr>
              <w:t>generar</w:t>
            </w:r>
            <w:r w:rsidRPr="00654592">
              <w:rPr>
                <w:b/>
              </w:rPr>
              <w:t xml:space="preserve"> condiciones de inclusión en</w:t>
            </w:r>
            <w:r w:rsidR="00654592" w:rsidRPr="00654592">
              <w:rPr>
                <w:b/>
              </w:rPr>
              <w:t xml:space="preserve"> todos los niveles educativos</w:t>
            </w:r>
            <w:r w:rsidRPr="00654592">
              <w:rPr>
                <w:b/>
              </w:rPr>
              <w:t xml:space="preserve"> que permita la accesibilidad física, cognitiva </w:t>
            </w:r>
            <w:r w:rsidR="0037027A">
              <w:rPr>
                <w:b/>
              </w:rPr>
              <w:t>de</w:t>
            </w:r>
            <w:r w:rsidRPr="00654592">
              <w:rPr>
                <w:b/>
              </w:rPr>
              <w:t xml:space="preserve"> las comunicaciones e información y de ser el caso implementar sistemas bilingües con la utilización de la lengua de señas. </w:t>
            </w:r>
          </w:p>
        </w:tc>
      </w:tr>
      <w:tr w:rsidR="006B5E23" w:rsidRPr="006D2A9A" w14:paraId="3A55B09C" w14:textId="77777777" w:rsidTr="006D2A9A">
        <w:tc>
          <w:tcPr>
            <w:tcW w:w="4414" w:type="dxa"/>
          </w:tcPr>
          <w:p w14:paraId="6F214D04" w14:textId="24060B70" w:rsidR="006B5E23" w:rsidRPr="00C634AE" w:rsidRDefault="006F762F" w:rsidP="00E248E1">
            <w:pPr>
              <w:spacing w:line="360" w:lineRule="auto"/>
              <w:jc w:val="both"/>
            </w:pPr>
            <w:r w:rsidRPr="00C634AE">
              <w:t xml:space="preserve">98. Los Estados </w:t>
            </w:r>
            <w:r>
              <w:t>Parte</w:t>
            </w:r>
            <w:r w:rsidRPr="00C634AE">
              <w:t xml:space="preserve"> deberían buscar activamente la participación de las organizaciones de personas con discapacidad, especialmente de aquellas cuyos miembros viven en instituciones y/o sobrevivientes de la </w:t>
            </w:r>
            <w:r w:rsidRPr="00C634AE">
              <w:lastRenderedPageBreak/>
              <w:t>institucionalización, en cada etapa de la integración de las personas en las comunidades</w:t>
            </w:r>
            <w:r w:rsidR="00654592">
              <w:t>.</w:t>
            </w:r>
          </w:p>
        </w:tc>
        <w:tc>
          <w:tcPr>
            <w:tcW w:w="4414" w:type="dxa"/>
          </w:tcPr>
          <w:p w14:paraId="6B947B93" w14:textId="16F184E8" w:rsidR="006B5E23" w:rsidRDefault="006F762F" w:rsidP="006B5E23">
            <w:pPr>
              <w:spacing w:line="360" w:lineRule="auto"/>
              <w:jc w:val="both"/>
            </w:pPr>
            <w:r w:rsidRPr="00C634AE">
              <w:lastRenderedPageBreak/>
              <w:t xml:space="preserve">98. Los Estados </w:t>
            </w:r>
            <w:r>
              <w:t>Parte</w:t>
            </w:r>
            <w:r w:rsidRPr="00C634AE">
              <w:t xml:space="preserve"> deberían buscar activamente la participación de</w:t>
            </w:r>
            <w:r>
              <w:t xml:space="preserve"> </w:t>
            </w:r>
            <w:r w:rsidRPr="00097AE9">
              <w:rPr>
                <w:b/>
              </w:rPr>
              <w:t xml:space="preserve">todas las personas con discapacidad </w:t>
            </w:r>
            <w:r>
              <w:t xml:space="preserve">y de las </w:t>
            </w:r>
            <w:r w:rsidRPr="00C634AE">
              <w:t xml:space="preserve"> organizaciones de personas con discapacidad, especialmente de aquellas cuyos miembros viven en </w:t>
            </w:r>
            <w:r w:rsidRPr="00C634AE">
              <w:lastRenderedPageBreak/>
              <w:t>instituciones y/o sobrevivientes de la institucionalización, en cada etapa de la integración de las personas en las comunidades</w:t>
            </w:r>
            <w:r w:rsidR="00654592">
              <w:t>.</w:t>
            </w:r>
          </w:p>
        </w:tc>
      </w:tr>
    </w:tbl>
    <w:p w14:paraId="43B8C0B7" w14:textId="3FE74987" w:rsidR="00962E91" w:rsidRDefault="00962E91" w:rsidP="00857201">
      <w:pPr>
        <w:spacing w:line="360" w:lineRule="auto"/>
        <w:jc w:val="both"/>
        <w:rPr>
          <w:sz w:val="22"/>
        </w:rPr>
      </w:pPr>
    </w:p>
    <w:p w14:paraId="26FC95D6" w14:textId="77777777" w:rsidR="00123C9D" w:rsidRPr="006D2A9A" w:rsidRDefault="00123C9D" w:rsidP="00857201">
      <w:pPr>
        <w:spacing w:line="360" w:lineRule="auto"/>
        <w:jc w:val="both"/>
        <w:rPr>
          <w:sz w:val="22"/>
        </w:rPr>
      </w:pPr>
    </w:p>
    <w:sectPr w:rsidR="00123C9D" w:rsidRPr="006D2A9A" w:rsidSect="00C22B89">
      <w:headerReference w:type="default" r:id="rId8"/>
      <w:footerReference w:type="default" r:id="rId9"/>
      <w:pgSz w:w="12240" w:h="15840"/>
      <w:pgMar w:top="1701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B8088" w14:textId="77777777" w:rsidR="002D144F" w:rsidRDefault="002D144F" w:rsidP="00B517C0">
      <w:r>
        <w:separator/>
      </w:r>
    </w:p>
  </w:endnote>
  <w:endnote w:type="continuationSeparator" w:id="0">
    <w:p w14:paraId="3A8ADB93" w14:textId="77777777" w:rsidR="002D144F" w:rsidRDefault="002D144F" w:rsidP="00B5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626598"/>
      <w:docPartObj>
        <w:docPartGallery w:val="Page Numbers (Bottom of Page)"/>
        <w:docPartUnique/>
      </w:docPartObj>
    </w:sdtPr>
    <w:sdtEndPr/>
    <w:sdtContent>
      <w:p w14:paraId="1710903A" w14:textId="0D67FB74" w:rsidR="00C22B89" w:rsidRDefault="00C22B8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A67" w:rsidRPr="008B1A67">
          <w:rPr>
            <w:noProof/>
            <w:lang w:val="es-ES"/>
          </w:rPr>
          <w:t>1</w:t>
        </w:r>
        <w:r>
          <w:fldChar w:fldCharType="end"/>
        </w:r>
      </w:p>
    </w:sdtContent>
  </w:sdt>
  <w:p w14:paraId="22C1A672" w14:textId="50C8D268" w:rsidR="000717CA" w:rsidRDefault="000717CA" w:rsidP="000717C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7BB90" w14:textId="77777777" w:rsidR="002D144F" w:rsidRDefault="002D144F" w:rsidP="00B517C0">
      <w:r>
        <w:separator/>
      </w:r>
    </w:p>
  </w:footnote>
  <w:footnote w:type="continuationSeparator" w:id="0">
    <w:p w14:paraId="603AA182" w14:textId="77777777" w:rsidR="002D144F" w:rsidRDefault="002D144F" w:rsidP="00B517C0">
      <w:r>
        <w:continuationSeparator/>
      </w:r>
    </w:p>
  </w:footnote>
  <w:footnote w:id="1">
    <w:p w14:paraId="3AB61666" w14:textId="77777777" w:rsidR="008363D8" w:rsidRPr="00253697" w:rsidRDefault="008363D8" w:rsidP="008363D8">
      <w:pPr>
        <w:pStyle w:val="FootnoteText"/>
        <w:jc w:val="both"/>
        <w:rPr>
          <w:lang w:val="es-MX"/>
        </w:rPr>
      </w:pPr>
      <w:r>
        <w:rPr>
          <w:rStyle w:val="FootnoteReference"/>
        </w:rPr>
        <w:footnoteRef/>
      </w:r>
      <w:r>
        <w:t xml:space="preserve"> </w:t>
      </w:r>
      <w:r w:rsidRPr="00EF53F7">
        <w:t>Comisión de Derechos Humanos de la Ciudad de México</w:t>
      </w:r>
      <w:r>
        <w:t>.</w:t>
      </w:r>
      <w:r w:rsidRPr="00EF53F7">
        <w:t xml:space="preserve"> </w:t>
      </w:r>
      <w:r w:rsidRPr="00EF53F7">
        <w:rPr>
          <w:i/>
        </w:rPr>
        <w:t>Informe Temático: Derecho a la vida independiente e inclusión en la comunidad de las personas con discapacidad en la Ciudad de México</w:t>
      </w:r>
      <w:r w:rsidRPr="00253697">
        <w:t xml:space="preserve">. </w:t>
      </w:r>
      <w:r>
        <w:t>México, 2019, primera edición electrónica, p</w:t>
      </w:r>
      <w:r w:rsidRPr="00253697">
        <w:t>p</w:t>
      </w:r>
      <w:r>
        <w:t>.</w:t>
      </w:r>
      <w:r w:rsidRPr="00253697">
        <w:t xml:space="preserve"> 229</w:t>
      </w:r>
      <w:r>
        <w:t>-</w:t>
      </w:r>
      <w:r w:rsidRPr="00253697">
        <w:t>235</w:t>
      </w:r>
      <w:r>
        <w:t xml:space="preserve">. Disponible para su consulta en línea: </w:t>
      </w:r>
      <w:hyperlink r:id="rId1" w:history="1">
        <w:r w:rsidRPr="009621CE">
          <w:rPr>
            <w:rStyle w:val="Hyperlink"/>
          </w:rPr>
          <w:t>https://cdhcm.org.mx/wp-content/uploads/2020/02/Informe_Tematico_Vida_independiente_personas_con_discapacidad.pdf</w:t>
        </w:r>
      </w:hyperlink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69BB9" w14:textId="61461BCD" w:rsidR="00210E07" w:rsidRDefault="00210E07" w:rsidP="00210E07">
    <w:pPr>
      <w:jc w:val="right"/>
      <w:rPr>
        <w:rFonts w:ascii="Arial Narrow" w:eastAsia="Times New Roman" w:hAnsi="Arial Narrow"/>
        <w:b/>
        <w:bCs/>
      </w:rPr>
    </w:pPr>
    <w:r>
      <w:rPr>
        <w:noProof/>
        <w:lang w:val="en-GB" w:eastAsia="en-GB"/>
      </w:rPr>
      <w:drawing>
        <wp:anchor distT="0" distB="0" distL="114300" distR="114300" simplePos="0" relativeHeight="251677696" behindDoc="1" locked="0" layoutInCell="1" allowOverlap="1" wp14:anchorId="093A6A3F" wp14:editId="68C6A836">
          <wp:simplePos x="0" y="0"/>
          <wp:positionH relativeFrom="column">
            <wp:posOffset>-280035</wp:posOffset>
          </wp:positionH>
          <wp:positionV relativeFrom="paragraph">
            <wp:posOffset>-295606</wp:posOffset>
          </wp:positionV>
          <wp:extent cx="906780" cy="906780"/>
          <wp:effectExtent l="0" t="0" r="7620" b="7620"/>
          <wp:wrapNone/>
          <wp:docPr id="14" name="Imagen 14" descr="https://lh4.googleusercontent.com/tyVqHpiw1e1BNZ3F-R8wLXOwgE3iwqAhz9XEBdflXY-B-F26cZ1dVWd4gZqlAQbtLFMVFcoALOBz4FCoRtUa2z7ZUfW_EVqhvZ_tCbbli_dy3Kh5Wka7vse06T2fqGcxALKdkwmvODqAS0CSy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https://lh4.googleusercontent.com/tyVqHpiw1e1BNZ3F-R8wLXOwgE3iwqAhz9XEBdflXY-B-F26cZ1dVWd4gZqlAQbtLFMVFcoALOBz4FCoRtUa2z7ZUfW_EVqhvZ_tCbbli_dy3Kh5Wka7vse06T2fqGcxALKdkwmvODqAS0CSyQ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11763">
      <w:rPr>
        <w:rFonts w:ascii="Arial Narrow" w:eastAsia="Times New Roman" w:hAnsi="Arial Narrow"/>
        <w:b/>
        <w:bCs/>
      </w:rPr>
      <w:t xml:space="preserve">COMISIÓN DE </w:t>
    </w:r>
    <w:r>
      <w:rPr>
        <w:rFonts w:ascii="Arial Narrow" w:eastAsia="Times New Roman" w:hAnsi="Arial Narrow"/>
        <w:b/>
        <w:bCs/>
      </w:rPr>
      <w:t>DERECHOS HUMANOS DE LA CIUDAD DE MÉXICO</w:t>
    </w:r>
  </w:p>
  <w:p w14:paraId="3E957B1C" w14:textId="77777777" w:rsidR="00B125FE" w:rsidRPr="00D61A64" w:rsidRDefault="00B125FE" w:rsidP="00421C94">
    <w:pPr>
      <w:ind w:left="-2" w:hanging="2"/>
      <w:jc w:val="right"/>
      <w:rPr>
        <w:rFonts w:ascii="Arial Narrow" w:eastAsia="Times New Roman" w:hAnsi="Arial Narrow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6347"/>
    <w:multiLevelType w:val="hybridMultilevel"/>
    <w:tmpl w:val="D8B8A4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22590"/>
    <w:multiLevelType w:val="hybridMultilevel"/>
    <w:tmpl w:val="852A08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B6D24"/>
    <w:multiLevelType w:val="hybridMultilevel"/>
    <w:tmpl w:val="A044B8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43E63"/>
    <w:multiLevelType w:val="hybridMultilevel"/>
    <w:tmpl w:val="3FCCE57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D4760B"/>
    <w:multiLevelType w:val="hybridMultilevel"/>
    <w:tmpl w:val="425E6B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74A07"/>
    <w:multiLevelType w:val="hybridMultilevel"/>
    <w:tmpl w:val="8BD04F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C4DD4"/>
    <w:multiLevelType w:val="hybridMultilevel"/>
    <w:tmpl w:val="1D8615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D3FB2"/>
    <w:multiLevelType w:val="hybridMultilevel"/>
    <w:tmpl w:val="A2D44A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228DA"/>
    <w:multiLevelType w:val="hybridMultilevel"/>
    <w:tmpl w:val="EC228C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53E36"/>
    <w:multiLevelType w:val="hybridMultilevel"/>
    <w:tmpl w:val="2F120E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91A9C"/>
    <w:multiLevelType w:val="hybridMultilevel"/>
    <w:tmpl w:val="1114AB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E55DC"/>
    <w:multiLevelType w:val="hybridMultilevel"/>
    <w:tmpl w:val="80E2F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A2B14"/>
    <w:multiLevelType w:val="hybridMultilevel"/>
    <w:tmpl w:val="9058E4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34FCA"/>
    <w:multiLevelType w:val="hybridMultilevel"/>
    <w:tmpl w:val="802ED7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F2A74"/>
    <w:multiLevelType w:val="hybridMultilevel"/>
    <w:tmpl w:val="A81E1E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9F7F2F"/>
    <w:multiLevelType w:val="hybridMultilevel"/>
    <w:tmpl w:val="279AAF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456378"/>
    <w:multiLevelType w:val="hybridMultilevel"/>
    <w:tmpl w:val="419C8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95B96"/>
    <w:multiLevelType w:val="hybridMultilevel"/>
    <w:tmpl w:val="A86242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2338AF"/>
    <w:multiLevelType w:val="hybridMultilevel"/>
    <w:tmpl w:val="D63C4BF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A24A35"/>
    <w:multiLevelType w:val="hybridMultilevel"/>
    <w:tmpl w:val="2000F0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4"/>
  </w:num>
  <w:num w:numId="5">
    <w:abstractNumId w:val="17"/>
  </w:num>
  <w:num w:numId="6">
    <w:abstractNumId w:val="16"/>
  </w:num>
  <w:num w:numId="7">
    <w:abstractNumId w:val="0"/>
  </w:num>
  <w:num w:numId="8">
    <w:abstractNumId w:val="8"/>
  </w:num>
  <w:num w:numId="9">
    <w:abstractNumId w:val="19"/>
  </w:num>
  <w:num w:numId="10">
    <w:abstractNumId w:val="11"/>
  </w:num>
  <w:num w:numId="11">
    <w:abstractNumId w:val="6"/>
  </w:num>
  <w:num w:numId="12">
    <w:abstractNumId w:val="12"/>
  </w:num>
  <w:num w:numId="13">
    <w:abstractNumId w:val="14"/>
  </w:num>
  <w:num w:numId="14">
    <w:abstractNumId w:val="7"/>
  </w:num>
  <w:num w:numId="15">
    <w:abstractNumId w:val="5"/>
  </w:num>
  <w:num w:numId="16">
    <w:abstractNumId w:val="10"/>
  </w:num>
  <w:num w:numId="17">
    <w:abstractNumId w:val="9"/>
  </w:num>
  <w:num w:numId="18">
    <w:abstractNumId w:val="13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62D4B6FA-C471-49EE-AAC7-0DEA894CD154}"/>
    <w:docVar w:name="dgnword-eventsink" w:val="312307592"/>
  </w:docVars>
  <w:rsids>
    <w:rsidRoot w:val="00401848"/>
    <w:rsid w:val="0000213B"/>
    <w:rsid w:val="00014137"/>
    <w:rsid w:val="0002118E"/>
    <w:rsid w:val="0002717F"/>
    <w:rsid w:val="00032F8B"/>
    <w:rsid w:val="00042AA9"/>
    <w:rsid w:val="00047174"/>
    <w:rsid w:val="00047DAC"/>
    <w:rsid w:val="000523F1"/>
    <w:rsid w:val="0006780D"/>
    <w:rsid w:val="000717CA"/>
    <w:rsid w:val="00074ECE"/>
    <w:rsid w:val="000812AF"/>
    <w:rsid w:val="00081E2A"/>
    <w:rsid w:val="00082B97"/>
    <w:rsid w:val="00083186"/>
    <w:rsid w:val="00084AE7"/>
    <w:rsid w:val="00084CD1"/>
    <w:rsid w:val="00086155"/>
    <w:rsid w:val="00097AE9"/>
    <w:rsid w:val="000A1120"/>
    <w:rsid w:val="000A17A4"/>
    <w:rsid w:val="000B0E82"/>
    <w:rsid w:val="000B72BA"/>
    <w:rsid w:val="000C273B"/>
    <w:rsid w:val="000C5CCD"/>
    <w:rsid w:val="000D29E6"/>
    <w:rsid w:val="000D2C71"/>
    <w:rsid w:val="000E33F9"/>
    <w:rsid w:val="001029B7"/>
    <w:rsid w:val="00110429"/>
    <w:rsid w:val="00111605"/>
    <w:rsid w:val="00114E00"/>
    <w:rsid w:val="00117044"/>
    <w:rsid w:val="00121288"/>
    <w:rsid w:val="00123636"/>
    <w:rsid w:val="00123C9D"/>
    <w:rsid w:val="00125FDE"/>
    <w:rsid w:val="0012753D"/>
    <w:rsid w:val="00134C29"/>
    <w:rsid w:val="00134DCB"/>
    <w:rsid w:val="00136F03"/>
    <w:rsid w:val="001378C0"/>
    <w:rsid w:val="00137C03"/>
    <w:rsid w:val="0014188E"/>
    <w:rsid w:val="00167E02"/>
    <w:rsid w:val="00175E8D"/>
    <w:rsid w:val="001857EA"/>
    <w:rsid w:val="00187260"/>
    <w:rsid w:val="001924A8"/>
    <w:rsid w:val="00195899"/>
    <w:rsid w:val="001958DD"/>
    <w:rsid w:val="00197330"/>
    <w:rsid w:val="001A1529"/>
    <w:rsid w:val="001A1596"/>
    <w:rsid w:val="001B18A0"/>
    <w:rsid w:val="001B5D14"/>
    <w:rsid w:val="001B7FC7"/>
    <w:rsid w:val="001C321F"/>
    <w:rsid w:val="001D0034"/>
    <w:rsid w:val="001D5781"/>
    <w:rsid w:val="001D643F"/>
    <w:rsid w:val="001E1036"/>
    <w:rsid w:val="001E2149"/>
    <w:rsid w:val="001E4C17"/>
    <w:rsid w:val="001F1153"/>
    <w:rsid w:val="001F556E"/>
    <w:rsid w:val="00207346"/>
    <w:rsid w:val="002101DB"/>
    <w:rsid w:val="00210E07"/>
    <w:rsid w:val="00211877"/>
    <w:rsid w:val="00217AD6"/>
    <w:rsid w:val="00231FF3"/>
    <w:rsid w:val="00233E30"/>
    <w:rsid w:val="00235D77"/>
    <w:rsid w:val="00241671"/>
    <w:rsid w:val="00242905"/>
    <w:rsid w:val="00253697"/>
    <w:rsid w:val="00256FA3"/>
    <w:rsid w:val="00261E41"/>
    <w:rsid w:val="00262964"/>
    <w:rsid w:val="00272746"/>
    <w:rsid w:val="0027436B"/>
    <w:rsid w:val="00281681"/>
    <w:rsid w:val="00284BAE"/>
    <w:rsid w:val="0028654A"/>
    <w:rsid w:val="002867F1"/>
    <w:rsid w:val="002902A6"/>
    <w:rsid w:val="002A29BE"/>
    <w:rsid w:val="002A7B15"/>
    <w:rsid w:val="002B361F"/>
    <w:rsid w:val="002D144F"/>
    <w:rsid w:val="002E6469"/>
    <w:rsid w:val="002F02C9"/>
    <w:rsid w:val="002F37AE"/>
    <w:rsid w:val="002F5AAD"/>
    <w:rsid w:val="002F7CB3"/>
    <w:rsid w:val="0030065B"/>
    <w:rsid w:val="003134C0"/>
    <w:rsid w:val="0031758F"/>
    <w:rsid w:val="00321132"/>
    <w:rsid w:val="00325FE9"/>
    <w:rsid w:val="00330187"/>
    <w:rsid w:val="00336C90"/>
    <w:rsid w:val="00343D94"/>
    <w:rsid w:val="00345197"/>
    <w:rsid w:val="0037027A"/>
    <w:rsid w:val="0038014A"/>
    <w:rsid w:val="00380511"/>
    <w:rsid w:val="00382038"/>
    <w:rsid w:val="00383412"/>
    <w:rsid w:val="003850CB"/>
    <w:rsid w:val="003A0D76"/>
    <w:rsid w:val="003A1E79"/>
    <w:rsid w:val="003A4C52"/>
    <w:rsid w:val="003A5FF2"/>
    <w:rsid w:val="003B30AD"/>
    <w:rsid w:val="003B3476"/>
    <w:rsid w:val="003B3E63"/>
    <w:rsid w:val="003B74E5"/>
    <w:rsid w:val="003C235A"/>
    <w:rsid w:val="003D2125"/>
    <w:rsid w:val="003D3255"/>
    <w:rsid w:val="003D4D0A"/>
    <w:rsid w:val="003D7C29"/>
    <w:rsid w:val="0040177B"/>
    <w:rsid w:val="00401848"/>
    <w:rsid w:val="00403751"/>
    <w:rsid w:val="00410FBC"/>
    <w:rsid w:val="00416560"/>
    <w:rsid w:val="00420307"/>
    <w:rsid w:val="00421C94"/>
    <w:rsid w:val="00423A78"/>
    <w:rsid w:val="00424E54"/>
    <w:rsid w:val="00424F9B"/>
    <w:rsid w:val="00425FD7"/>
    <w:rsid w:val="00426AE5"/>
    <w:rsid w:val="0043471F"/>
    <w:rsid w:val="00440516"/>
    <w:rsid w:val="00442602"/>
    <w:rsid w:val="00443F9E"/>
    <w:rsid w:val="00457E2A"/>
    <w:rsid w:val="0046316B"/>
    <w:rsid w:val="00464F8E"/>
    <w:rsid w:val="00472A38"/>
    <w:rsid w:val="00476EE2"/>
    <w:rsid w:val="0048481C"/>
    <w:rsid w:val="0049486D"/>
    <w:rsid w:val="004A23F9"/>
    <w:rsid w:val="004A28A1"/>
    <w:rsid w:val="004A762C"/>
    <w:rsid w:val="004A7B7E"/>
    <w:rsid w:val="004B6482"/>
    <w:rsid w:val="004C299C"/>
    <w:rsid w:val="004C4FE1"/>
    <w:rsid w:val="004E5047"/>
    <w:rsid w:val="004E6B2A"/>
    <w:rsid w:val="004F0E8E"/>
    <w:rsid w:val="004F7D45"/>
    <w:rsid w:val="00504C9B"/>
    <w:rsid w:val="005107AC"/>
    <w:rsid w:val="00516872"/>
    <w:rsid w:val="005168BA"/>
    <w:rsid w:val="005203BA"/>
    <w:rsid w:val="005222CC"/>
    <w:rsid w:val="00524326"/>
    <w:rsid w:val="0054140C"/>
    <w:rsid w:val="00541AB8"/>
    <w:rsid w:val="00560C12"/>
    <w:rsid w:val="005648FA"/>
    <w:rsid w:val="00567CA8"/>
    <w:rsid w:val="0057612B"/>
    <w:rsid w:val="0058056F"/>
    <w:rsid w:val="0058255B"/>
    <w:rsid w:val="00590350"/>
    <w:rsid w:val="005905CA"/>
    <w:rsid w:val="00593A8B"/>
    <w:rsid w:val="00596BB8"/>
    <w:rsid w:val="005A4F29"/>
    <w:rsid w:val="005B7A4F"/>
    <w:rsid w:val="005E2695"/>
    <w:rsid w:val="005E4A5B"/>
    <w:rsid w:val="005F40D5"/>
    <w:rsid w:val="005F7A8A"/>
    <w:rsid w:val="00602348"/>
    <w:rsid w:val="00611763"/>
    <w:rsid w:val="006174D1"/>
    <w:rsid w:val="00617D65"/>
    <w:rsid w:val="00624577"/>
    <w:rsid w:val="00627E39"/>
    <w:rsid w:val="006316B3"/>
    <w:rsid w:val="00635713"/>
    <w:rsid w:val="00635D5E"/>
    <w:rsid w:val="00635FD7"/>
    <w:rsid w:val="00637205"/>
    <w:rsid w:val="00643112"/>
    <w:rsid w:val="00653D28"/>
    <w:rsid w:val="00654592"/>
    <w:rsid w:val="00656BD2"/>
    <w:rsid w:val="006607BF"/>
    <w:rsid w:val="00662C63"/>
    <w:rsid w:val="00670241"/>
    <w:rsid w:val="00670910"/>
    <w:rsid w:val="006A06B1"/>
    <w:rsid w:val="006A0DC5"/>
    <w:rsid w:val="006A25BE"/>
    <w:rsid w:val="006A54B0"/>
    <w:rsid w:val="006B4F5D"/>
    <w:rsid w:val="006B5E23"/>
    <w:rsid w:val="006C3F12"/>
    <w:rsid w:val="006D2A9A"/>
    <w:rsid w:val="006D763B"/>
    <w:rsid w:val="006E1741"/>
    <w:rsid w:val="006E363F"/>
    <w:rsid w:val="006F3351"/>
    <w:rsid w:val="006F6D2E"/>
    <w:rsid w:val="006F762F"/>
    <w:rsid w:val="007163C6"/>
    <w:rsid w:val="00730448"/>
    <w:rsid w:val="00734FAF"/>
    <w:rsid w:val="007368A6"/>
    <w:rsid w:val="00737E9E"/>
    <w:rsid w:val="007502ED"/>
    <w:rsid w:val="00750D30"/>
    <w:rsid w:val="00753856"/>
    <w:rsid w:val="007541AF"/>
    <w:rsid w:val="007602F9"/>
    <w:rsid w:val="00763015"/>
    <w:rsid w:val="00765044"/>
    <w:rsid w:val="007729EF"/>
    <w:rsid w:val="00773496"/>
    <w:rsid w:val="007765AC"/>
    <w:rsid w:val="00777681"/>
    <w:rsid w:val="00781A67"/>
    <w:rsid w:val="00786582"/>
    <w:rsid w:val="00786ADB"/>
    <w:rsid w:val="00791773"/>
    <w:rsid w:val="0079390C"/>
    <w:rsid w:val="007A4279"/>
    <w:rsid w:val="007A4633"/>
    <w:rsid w:val="007C0A5C"/>
    <w:rsid w:val="007C14C3"/>
    <w:rsid w:val="007E6760"/>
    <w:rsid w:val="007F297F"/>
    <w:rsid w:val="007F517B"/>
    <w:rsid w:val="007F5C45"/>
    <w:rsid w:val="007F7534"/>
    <w:rsid w:val="0080556F"/>
    <w:rsid w:val="00811F62"/>
    <w:rsid w:val="008141BA"/>
    <w:rsid w:val="0082090F"/>
    <w:rsid w:val="00826A48"/>
    <w:rsid w:val="00833D7B"/>
    <w:rsid w:val="008363D8"/>
    <w:rsid w:val="00842482"/>
    <w:rsid w:val="00844F89"/>
    <w:rsid w:val="008523C4"/>
    <w:rsid w:val="00854EB2"/>
    <w:rsid w:val="00857201"/>
    <w:rsid w:val="008644E2"/>
    <w:rsid w:val="00885221"/>
    <w:rsid w:val="00893B61"/>
    <w:rsid w:val="008A02C2"/>
    <w:rsid w:val="008A3783"/>
    <w:rsid w:val="008A6063"/>
    <w:rsid w:val="008B0ED0"/>
    <w:rsid w:val="008B1A67"/>
    <w:rsid w:val="008B1BFB"/>
    <w:rsid w:val="008B359B"/>
    <w:rsid w:val="008B525F"/>
    <w:rsid w:val="008C0163"/>
    <w:rsid w:val="008D0398"/>
    <w:rsid w:val="008E2454"/>
    <w:rsid w:val="008F1A1E"/>
    <w:rsid w:val="008F2BBD"/>
    <w:rsid w:val="008F4DAA"/>
    <w:rsid w:val="009134AA"/>
    <w:rsid w:val="00914C40"/>
    <w:rsid w:val="00917D07"/>
    <w:rsid w:val="00924DC0"/>
    <w:rsid w:val="00926E50"/>
    <w:rsid w:val="009274DC"/>
    <w:rsid w:val="009322EF"/>
    <w:rsid w:val="00932700"/>
    <w:rsid w:val="00933A09"/>
    <w:rsid w:val="00935823"/>
    <w:rsid w:val="00940065"/>
    <w:rsid w:val="009401A1"/>
    <w:rsid w:val="009471F1"/>
    <w:rsid w:val="00951BF1"/>
    <w:rsid w:val="00952900"/>
    <w:rsid w:val="00955729"/>
    <w:rsid w:val="0096160A"/>
    <w:rsid w:val="00961B21"/>
    <w:rsid w:val="00962E91"/>
    <w:rsid w:val="00976FC8"/>
    <w:rsid w:val="00980E38"/>
    <w:rsid w:val="00982557"/>
    <w:rsid w:val="00983261"/>
    <w:rsid w:val="009842F0"/>
    <w:rsid w:val="00995225"/>
    <w:rsid w:val="00997B8F"/>
    <w:rsid w:val="00997DF2"/>
    <w:rsid w:val="009A02B9"/>
    <w:rsid w:val="009A5701"/>
    <w:rsid w:val="009D0BB7"/>
    <w:rsid w:val="009D7630"/>
    <w:rsid w:val="009D781E"/>
    <w:rsid w:val="009E2649"/>
    <w:rsid w:val="00A00B3E"/>
    <w:rsid w:val="00A04F92"/>
    <w:rsid w:val="00A06653"/>
    <w:rsid w:val="00A076C3"/>
    <w:rsid w:val="00A10CC0"/>
    <w:rsid w:val="00A13307"/>
    <w:rsid w:val="00A25845"/>
    <w:rsid w:val="00A27EF6"/>
    <w:rsid w:val="00A311DC"/>
    <w:rsid w:val="00A357AC"/>
    <w:rsid w:val="00A36219"/>
    <w:rsid w:val="00A42DF3"/>
    <w:rsid w:val="00A46DE1"/>
    <w:rsid w:val="00A540B2"/>
    <w:rsid w:val="00A600D4"/>
    <w:rsid w:val="00A61ABA"/>
    <w:rsid w:val="00A64889"/>
    <w:rsid w:val="00A72559"/>
    <w:rsid w:val="00A72B95"/>
    <w:rsid w:val="00A75C30"/>
    <w:rsid w:val="00A81904"/>
    <w:rsid w:val="00A85978"/>
    <w:rsid w:val="00A917D2"/>
    <w:rsid w:val="00A946D8"/>
    <w:rsid w:val="00A96525"/>
    <w:rsid w:val="00A97F45"/>
    <w:rsid w:val="00AA2334"/>
    <w:rsid w:val="00AA7B24"/>
    <w:rsid w:val="00AB1D1F"/>
    <w:rsid w:val="00AB3A3C"/>
    <w:rsid w:val="00AB599E"/>
    <w:rsid w:val="00AC2353"/>
    <w:rsid w:val="00AC326F"/>
    <w:rsid w:val="00AD0621"/>
    <w:rsid w:val="00AD1312"/>
    <w:rsid w:val="00AE23B7"/>
    <w:rsid w:val="00AE247C"/>
    <w:rsid w:val="00AF09C4"/>
    <w:rsid w:val="00AF2D4A"/>
    <w:rsid w:val="00AF7D54"/>
    <w:rsid w:val="00B02A7F"/>
    <w:rsid w:val="00B03FB7"/>
    <w:rsid w:val="00B1142E"/>
    <w:rsid w:val="00B125FE"/>
    <w:rsid w:val="00B13114"/>
    <w:rsid w:val="00B2585A"/>
    <w:rsid w:val="00B264AC"/>
    <w:rsid w:val="00B32748"/>
    <w:rsid w:val="00B357A1"/>
    <w:rsid w:val="00B371BA"/>
    <w:rsid w:val="00B371C7"/>
    <w:rsid w:val="00B4166A"/>
    <w:rsid w:val="00B4229A"/>
    <w:rsid w:val="00B47BB3"/>
    <w:rsid w:val="00B517C0"/>
    <w:rsid w:val="00B543C7"/>
    <w:rsid w:val="00B545E9"/>
    <w:rsid w:val="00B56C22"/>
    <w:rsid w:val="00B56E65"/>
    <w:rsid w:val="00B6021F"/>
    <w:rsid w:val="00B612DA"/>
    <w:rsid w:val="00B655F4"/>
    <w:rsid w:val="00B663A9"/>
    <w:rsid w:val="00B712D8"/>
    <w:rsid w:val="00B7746C"/>
    <w:rsid w:val="00B85894"/>
    <w:rsid w:val="00B85C13"/>
    <w:rsid w:val="00B94394"/>
    <w:rsid w:val="00B96C1B"/>
    <w:rsid w:val="00BB1942"/>
    <w:rsid w:val="00BB1F52"/>
    <w:rsid w:val="00BB32CB"/>
    <w:rsid w:val="00BB4269"/>
    <w:rsid w:val="00BB51AA"/>
    <w:rsid w:val="00BC6353"/>
    <w:rsid w:val="00BD01D2"/>
    <w:rsid w:val="00BD2694"/>
    <w:rsid w:val="00BD58C9"/>
    <w:rsid w:val="00BE4825"/>
    <w:rsid w:val="00BF3734"/>
    <w:rsid w:val="00BF6FC8"/>
    <w:rsid w:val="00C03896"/>
    <w:rsid w:val="00C10976"/>
    <w:rsid w:val="00C16574"/>
    <w:rsid w:val="00C22B89"/>
    <w:rsid w:val="00C261C3"/>
    <w:rsid w:val="00C2776D"/>
    <w:rsid w:val="00C27872"/>
    <w:rsid w:val="00C34A78"/>
    <w:rsid w:val="00C36B62"/>
    <w:rsid w:val="00C404EB"/>
    <w:rsid w:val="00C442E1"/>
    <w:rsid w:val="00C44EC9"/>
    <w:rsid w:val="00C4644F"/>
    <w:rsid w:val="00C47C2C"/>
    <w:rsid w:val="00C62799"/>
    <w:rsid w:val="00C637BA"/>
    <w:rsid w:val="00C63879"/>
    <w:rsid w:val="00C64954"/>
    <w:rsid w:val="00C70290"/>
    <w:rsid w:val="00C7140E"/>
    <w:rsid w:val="00C7748D"/>
    <w:rsid w:val="00C77CB1"/>
    <w:rsid w:val="00C858EE"/>
    <w:rsid w:val="00C90B44"/>
    <w:rsid w:val="00C93C9C"/>
    <w:rsid w:val="00CA05A4"/>
    <w:rsid w:val="00CA58F3"/>
    <w:rsid w:val="00CB20BE"/>
    <w:rsid w:val="00CB5EB7"/>
    <w:rsid w:val="00CC4A31"/>
    <w:rsid w:val="00CC6342"/>
    <w:rsid w:val="00CC7ED7"/>
    <w:rsid w:val="00CD2C48"/>
    <w:rsid w:val="00CD644E"/>
    <w:rsid w:val="00CE374A"/>
    <w:rsid w:val="00CE5584"/>
    <w:rsid w:val="00CF03EC"/>
    <w:rsid w:val="00CF63AB"/>
    <w:rsid w:val="00CF736A"/>
    <w:rsid w:val="00D15B3B"/>
    <w:rsid w:val="00D21248"/>
    <w:rsid w:val="00D23775"/>
    <w:rsid w:val="00D239A0"/>
    <w:rsid w:val="00D30436"/>
    <w:rsid w:val="00D31677"/>
    <w:rsid w:val="00D33ED0"/>
    <w:rsid w:val="00D35C42"/>
    <w:rsid w:val="00D37E6F"/>
    <w:rsid w:val="00D50CA0"/>
    <w:rsid w:val="00D538A9"/>
    <w:rsid w:val="00D56263"/>
    <w:rsid w:val="00D60D07"/>
    <w:rsid w:val="00D61A64"/>
    <w:rsid w:val="00D64541"/>
    <w:rsid w:val="00D674A9"/>
    <w:rsid w:val="00D80971"/>
    <w:rsid w:val="00D86111"/>
    <w:rsid w:val="00D9092C"/>
    <w:rsid w:val="00D916DF"/>
    <w:rsid w:val="00D95049"/>
    <w:rsid w:val="00D97AB4"/>
    <w:rsid w:val="00DA2197"/>
    <w:rsid w:val="00DA3216"/>
    <w:rsid w:val="00DA5490"/>
    <w:rsid w:val="00DB3C15"/>
    <w:rsid w:val="00DB49FB"/>
    <w:rsid w:val="00DC17DF"/>
    <w:rsid w:val="00DD484D"/>
    <w:rsid w:val="00DE4414"/>
    <w:rsid w:val="00E01886"/>
    <w:rsid w:val="00E107D9"/>
    <w:rsid w:val="00E1515E"/>
    <w:rsid w:val="00E15A61"/>
    <w:rsid w:val="00E16C72"/>
    <w:rsid w:val="00E248E1"/>
    <w:rsid w:val="00E32F11"/>
    <w:rsid w:val="00E33A8C"/>
    <w:rsid w:val="00E365F9"/>
    <w:rsid w:val="00E4666A"/>
    <w:rsid w:val="00E604C6"/>
    <w:rsid w:val="00E80768"/>
    <w:rsid w:val="00E81E85"/>
    <w:rsid w:val="00E82429"/>
    <w:rsid w:val="00E87220"/>
    <w:rsid w:val="00E90470"/>
    <w:rsid w:val="00E93A45"/>
    <w:rsid w:val="00E93F46"/>
    <w:rsid w:val="00E97335"/>
    <w:rsid w:val="00EA5A35"/>
    <w:rsid w:val="00EA5CF7"/>
    <w:rsid w:val="00EC309C"/>
    <w:rsid w:val="00EC4D58"/>
    <w:rsid w:val="00ED1398"/>
    <w:rsid w:val="00ED16BA"/>
    <w:rsid w:val="00ED440B"/>
    <w:rsid w:val="00EE1F7D"/>
    <w:rsid w:val="00EE5D50"/>
    <w:rsid w:val="00EF0A00"/>
    <w:rsid w:val="00EF53F7"/>
    <w:rsid w:val="00F0035B"/>
    <w:rsid w:val="00F01245"/>
    <w:rsid w:val="00F03254"/>
    <w:rsid w:val="00F0668D"/>
    <w:rsid w:val="00F14465"/>
    <w:rsid w:val="00F14498"/>
    <w:rsid w:val="00F150AA"/>
    <w:rsid w:val="00F20D6A"/>
    <w:rsid w:val="00F3773E"/>
    <w:rsid w:val="00F4036C"/>
    <w:rsid w:val="00F4327D"/>
    <w:rsid w:val="00F51545"/>
    <w:rsid w:val="00F654DB"/>
    <w:rsid w:val="00F7198B"/>
    <w:rsid w:val="00F763B4"/>
    <w:rsid w:val="00FA4C9C"/>
    <w:rsid w:val="00FA5CF9"/>
    <w:rsid w:val="00FA644E"/>
    <w:rsid w:val="00FA67E9"/>
    <w:rsid w:val="00FB2329"/>
    <w:rsid w:val="00FB6A5A"/>
    <w:rsid w:val="00FB7607"/>
    <w:rsid w:val="00FC1059"/>
    <w:rsid w:val="00FC2508"/>
    <w:rsid w:val="00FC6B12"/>
    <w:rsid w:val="00FD5463"/>
    <w:rsid w:val="00FE19BC"/>
    <w:rsid w:val="00FE1E86"/>
    <w:rsid w:val="00FE2DE2"/>
    <w:rsid w:val="00FE442A"/>
    <w:rsid w:val="00FE5869"/>
    <w:rsid w:val="00FE60CF"/>
    <w:rsid w:val="00FF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1E4E8D"/>
  <w15:chartTrackingRefBased/>
  <w15:docId w15:val="{43A9490C-6506-4784-B10E-413E0C28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web"/>
    <w:qFormat/>
    <w:rsid w:val="00081E2A"/>
    <w:pPr>
      <w:spacing w:after="0" w:line="240" w:lineRule="auto"/>
    </w:pPr>
    <w:rPr>
      <w:rFonts w:ascii="Arial" w:eastAsia="MS Mincho" w:hAnsi="Arial" w:cs="Times New Roman"/>
      <w:color w:val="000000"/>
      <w:sz w:val="24"/>
      <w:szCs w:val="24"/>
      <w:lang w:val="es-ES_tradnl" w:eastAsia="es-ES"/>
    </w:rPr>
  </w:style>
  <w:style w:type="paragraph" w:styleId="Heading1">
    <w:name w:val="heading 1"/>
    <w:basedOn w:val="Normal"/>
    <w:link w:val="Heading1Char"/>
    <w:uiPriority w:val="9"/>
    <w:qFormat/>
    <w:rsid w:val="00A917D2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MX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5C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1D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517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17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17C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56E6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0E0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E07"/>
  </w:style>
  <w:style w:type="paragraph" w:styleId="Footer">
    <w:name w:val="footer"/>
    <w:basedOn w:val="Normal"/>
    <w:link w:val="FooterChar"/>
    <w:uiPriority w:val="99"/>
    <w:unhideWhenUsed/>
    <w:rsid w:val="00210E0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E07"/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210E0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916DF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character" w:customStyle="1" w:styleId="Heading1Char">
    <w:name w:val="Heading 1 Char"/>
    <w:basedOn w:val="DefaultParagraphFont"/>
    <w:link w:val="Heading1"/>
    <w:uiPriority w:val="9"/>
    <w:rsid w:val="00A917D2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Emphasis">
    <w:name w:val="Emphasis"/>
    <w:basedOn w:val="DefaultParagraphFont"/>
    <w:uiPriority w:val="20"/>
    <w:qFormat/>
    <w:rsid w:val="00443F9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5C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637205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3018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3018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3018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902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2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2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2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2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2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2A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97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CABEZADOCDHDFformato">
    <w:name w:val="ENCABEZADO CDHDF formato"/>
    <w:qFormat/>
    <w:rsid w:val="00081E2A"/>
    <w:pPr>
      <w:spacing w:after="0" w:line="240" w:lineRule="auto"/>
      <w:jc w:val="right"/>
    </w:pPr>
    <w:rPr>
      <w:rFonts w:ascii="Arial Narrow" w:eastAsia="MS Mincho" w:hAnsi="Arial Narrow" w:cs="Times New Roman"/>
      <w:color w:val="000000"/>
      <w:sz w:val="24"/>
      <w:szCs w:val="24"/>
      <w:lang w:val="es-ES_tradnl" w:eastAsia="es-ES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E269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81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4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dhcm.org.mx/wp-content/uploads/2020/02/Informe_Tematico_Vida_independiente_personas_con_discapacidad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1D855-819B-4BEC-916D-97AD48C06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1386</Words>
  <Characters>7901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Eventos</dc:creator>
  <cp:keywords/>
  <dc:description/>
  <cp:lastModifiedBy>VILLARREAL LOPEZ Carla</cp:lastModifiedBy>
  <cp:revision>2</cp:revision>
  <cp:lastPrinted>2022-07-01T16:30:00Z</cp:lastPrinted>
  <dcterms:created xsi:type="dcterms:W3CDTF">2022-07-04T12:32:00Z</dcterms:created>
  <dcterms:modified xsi:type="dcterms:W3CDTF">2022-07-04T12:32:00Z</dcterms:modified>
</cp:coreProperties>
</file>