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87671" w14:textId="32D0CF8E" w:rsidR="00C533CE" w:rsidRPr="009143EB" w:rsidRDefault="00C533CE" w:rsidP="00C533CE">
      <w:pPr>
        <w:spacing w:after="0" w:line="240" w:lineRule="auto"/>
        <w:jc w:val="both"/>
        <w:rPr>
          <w:b/>
          <w:sz w:val="36"/>
          <w:szCs w:val="36"/>
          <w:lang w:val="es-CL"/>
        </w:rPr>
      </w:pPr>
      <w:r w:rsidRPr="009143EB">
        <w:rPr>
          <w:b/>
          <w:sz w:val="36"/>
          <w:szCs w:val="36"/>
          <w:lang w:val="es-CL"/>
        </w:rPr>
        <w:t>Para: Comité CDPD de N.U.</w:t>
      </w:r>
    </w:p>
    <w:p w14:paraId="0FB73E53" w14:textId="77777777" w:rsidR="00C533CE" w:rsidRPr="009143EB" w:rsidRDefault="00C533CE" w:rsidP="00C533CE">
      <w:pPr>
        <w:spacing w:after="0" w:line="240" w:lineRule="auto"/>
        <w:jc w:val="both"/>
        <w:rPr>
          <w:b/>
          <w:sz w:val="36"/>
          <w:szCs w:val="36"/>
          <w:lang w:val="es-CL"/>
        </w:rPr>
      </w:pPr>
    </w:p>
    <w:p w14:paraId="27EF4AC4" w14:textId="0C4732F5" w:rsidR="00C533CE" w:rsidRPr="009143EB" w:rsidRDefault="00C533CE" w:rsidP="00C533CE">
      <w:pPr>
        <w:spacing w:after="0" w:line="240" w:lineRule="auto"/>
        <w:jc w:val="both"/>
        <w:rPr>
          <w:b/>
          <w:sz w:val="36"/>
          <w:szCs w:val="36"/>
          <w:lang w:val="es-CL"/>
        </w:rPr>
      </w:pPr>
      <w:r w:rsidRPr="009143EB">
        <w:rPr>
          <w:b/>
          <w:sz w:val="36"/>
          <w:szCs w:val="36"/>
          <w:lang w:val="es-CL"/>
        </w:rPr>
        <w:t>D</w:t>
      </w:r>
      <w:r w:rsidR="007D1580">
        <w:rPr>
          <w:b/>
          <w:sz w:val="36"/>
          <w:szCs w:val="36"/>
          <w:lang w:val="es-CL"/>
        </w:rPr>
        <w:t>e</w:t>
      </w:r>
      <w:r w:rsidRPr="009143EB">
        <w:rPr>
          <w:b/>
          <w:sz w:val="36"/>
          <w:szCs w:val="36"/>
          <w:lang w:val="es-CL"/>
        </w:rPr>
        <w:t>: Prof. María Soledad Cisternas Reyes.</w:t>
      </w:r>
    </w:p>
    <w:p w14:paraId="5718BC6E" w14:textId="6B01ADF0" w:rsidR="00C533CE" w:rsidRPr="009143EB" w:rsidRDefault="00C533CE" w:rsidP="00C533CE">
      <w:pPr>
        <w:spacing w:after="0" w:line="240" w:lineRule="auto"/>
        <w:jc w:val="both"/>
        <w:rPr>
          <w:b/>
          <w:sz w:val="36"/>
          <w:szCs w:val="36"/>
          <w:lang w:val="es-CL"/>
        </w:rPr>
      </w:pPr>
    </w:p>
    <w:p w14:paraId="3A7AB232" w14:textId="3F49F482" w:rsidR="00C533CE" w:rsidRPr="009143EB" w:rsidRDefault="00C533CE" w:rsidP="00C533CE">
      <w:pPr>
        <w:spacing w:after="0" w:line="240" w:lineRule="auto"/>
        <w:jc w:val="both"/>
        <w:rPr>
          <w:b/>
          <w:sz w:val="36"/>
          <w:szCs w:val="36"/>
          <w:lang w:val="es-CL"/>
        </w:rPr>
      </w:pPr>
      <w:r w:rsidRPr="009143EB">
        <w:rPr>
          <w:b/>
          <w:sz w:val="36"/>
          <w:szCs w:val="36"/>
          <w:lang w:val="es-CL"/>
        </w:rPr>
        <w:t xml:space="preserve">A </w:t>
      </w:r>
      <w:proofErr w:type="gramStart"/>
      <w:r w:rsidRPr="009143EB">
        <w:rPr>
          <w:b/>
          <w:sz w:val="36"/>
          <w:szCs w:val="36"/>
          <w:lang w:val="es-CL"/>
        </w:rPr>
        <w:t>continuación</w:t>
      </w:r>
      <w:proofErr w:type="gramEnd"/>
      <w:r w:rsidRPr="009143EB">
        <w:rPr>
          <w:b/>
          <w:sz w:val="36"/>
          <w:szCs w:val="36"/>
          <w:lang w:val="es-CL"/>
        </w:rPr>
        <w:t xml:space="preserve"> se han copiado los párrafos comentados, indicando con color la observación.</w:t>
      </w:r>
    </w:p>
    <w:p w14:paraId="133602F6" w14:textId="77777777" w:rsidR="00C533CE" w:rsidRPr="009143EB" w:rsidRDefault="00C533CE" w:rsidP="00C63E03">
      <w:pPr>
        <w:spacing w:after="0" w:line="240" w:lineRule="auto"/>
        <w:jc w:val="center"/>
        <w:rPr>
          <w:b/>
          <w:sz w:val="36"/>
          <w:szCs w:val="36"/>
          <w:lang w:val="es-CL"/>
        </w:rPr>
      </w:pPr>
    </w:p>
    <w:p w14:paraId="775E722D" w14:textId="77777777" w:rsidR="00C533CE" w:rsidRPr="009143EB" w:rsidRDefault="00C533CE" w:rsidP="00C63E03">
      <w:pPr>
        <w:spacing w:after="0" w:line="240" w:lineRule="auto"/>
        <w:jc w:val="center"/>
        <w:rPr>
          <w:b/>
          <w:sz w:val="36"/>
          <w:szCs w:val="36"/>
          <w:lang w:val="es-CL"/>
        </w:rPr>
      </w:pPr>
    </w:p>
    <w:p w14:paraId="2D923BE7" w14:textId="22141460" w:rsidR="00C63E03" w:rsidRDefault="00C63E03" w:rsidP="00C63E03">
      <w:pPr>
        <w:spacing w:after="0" w:line="240" w:lineRule="auto"/>
        <w:jc w:val="center"/>
        <w:rPr>
          <w:b/>
          <w:color w:val="0070C0"/>
          <w:sz w:val="36"/>
          <w:szCs w:val="36"/>
          <w:lang w:val="en-GB"/>
        </w:rPr>
      </w:pPr>
      <w:r w:rsidRPr="00253D3B">
        <w:rPr>
          <w:b/>
          <w:color w:val="0070C0"/>
          <w:sz w:val="36"/>
          <w:szCs w:val="36"/>
          <w:lang w:val="en-GB"/>
        </w:rPr>
        <w:t>Draft Guidelines on Deinstitutionalization, including in emergencies</w:t>
      </w:r>
    </w:p>
    <w:p w14:paraId="5E10DAC4" w14:textId="77777777" w:rsidR="00C63E03" w:rsidRDefault="00C63E03" w:rsidP="00C63E03">
      <w:pPr>
        <w:spacing w:after="0" w:line="240" w:lineRule="auto"/>
        <w:jc w:val="center"/>
        <w:rPr>
          <w:b/>
          <w:color w:val="0070C0"/>
          <w:sz w:val="36"/>
          <w:szCs w:val="36"/>
          <w:lang w:val="en-GB"/>
        </w:rPr>
      </w:pPr>
    </w:p>
    <w:p w14:paraId="47A586D7" w14:textId="77777777" w:rsidR="00C63E03" w:rsidRDefault="00C63E03" w:rsidP="00C63E03">
      <w:pPr>
        <w:spacing w:after="0" w:line="240" w:lineRule="auto"/>
        <w:jc w:val="center"/>
        <w:rPr>
          <w:b/>
          <w:color w:val="0070C0"/>
          <w:sz w:val="36"/>
          <w:szCs w:val="36"/>
          <w:lang w:val="en-GB"/>
        </w:rPr>
      </w:pPr>
      <w:r>
        <w:rPr>
          <w:b/>
          <w:color w:val="0070C0"/>
          <w:sz w:val="36"/>
          <w:szCs w:val="36"/>
          <w:lang w:val="en-GB"/>
        </w:rPr>
        <w:t>Committee on the Rights of Persons with Disabilities</w:t>
      </w:r>
    </w:p>
    <w:p w14:paraId="7C4D836F" w14:textId="1289AA06" w:rsidR="00F300FE" w:rsidRDefault="00F300FE">
      <w:pPr>
        <w:rPr>
          <w:lang w:val="en-GB"/>
        </w:rPr>
      </w:pPr>
    </w:p>
    <w:p w14:paraId="64092DC1" w14:textId="1AD80F39" w:rsidR="00C533CE" w:rsidRPr="00637522" w:rsidRDefault="00C63E03" w:rsidP="00637522">
      <w:pPr>
        <w:pStyle w:val="BodyText1"/>
        <w:numPr>
          <w:ilvl w:val="0"/>
          <w:numId w:val="0"/>
        </w:numPr>
        <w:ind w:left="283"/>
        <w:rPr>
          <w:color w:val="0070C0"/>
        </w:rPr>
      </w:pPr>
      <w:r w:rsidRPr="0070638B">
        <w:t xml:space="preserve"> </w:t>
      </w:r>
    </w:p>
    <w:p w14:paraId="0EE46C8D" w14:textId="748C93EC" w:rsidR="00DE5131" w:rsidRDefault="00DE5131" w:rsidP="00C533CE">
      <w:pPr>
        <w:pStyle w:val="BodyText1"/>
        <w:numPr>
          <w:ilvl w:val="0"/>
          <w:numId w:val="0"/>
        </w:numPr>
        <w:ind w:left="283"/>
        <w:rPr>
          <w:rStyle w:val="normaltextrun"/>
        </w:rPr>
      </w:pPr>
      <w:r w:rsidRPr="0070638B">
        <w:rPr>
          <w:rStyle w:val="normaltextrun"/>
        </w:rPr>
        <w:t>38. States Parties</w:t>
      </w:r>
      <w:r w:rsidRPr="0070638B">
        <w:t xml:space="preserve"> should</w:t>
      </w:r>
      <w:r w:rsidRPr="0070638B">
        <w:rPr>
          <w:rStyle w:val="normaltextrun"/>
        </w:rPr>
        <w:t xml:space="preserve"> adopt an intersectional approach to tackle discrimination, segregation, isolation, and other forms of ill-treatment of persons</w:t>
      </w:r>
      <w:r w:rsidRPr="002F4C0E">
        <w:rPr>
          <w:rStyle w:val="normaltextrun"/>
        </w:rPr>
        <w:t xml:space="preserve"> with disabilities living in and leaving institutions. The personal identities of persons with disabilities are multifaceted and disability will likely only be one characteristic. Other characteristics include race, sex, gender identity, sexual orientation, </w:t>
      </w:r>
      <w:r>
        <w:rPr>
          <w:rStyle w:val="normaltextrun"/>
        </w:rPr>
        <w:t xml:space="preserve">gender expression, </w:t>
      </w:r>
      <w:r w:rsidRPr="002F4C0E">
        <w:rPr>
          <w:rStyle w:val="normaltextrun"/>
        </w:rPr>
        <w:t xml:space="preserve">intersex variation, language, religion, ethnic, indigenous or social origin, migrant </w:t>
      </w:r>
      <w:r>
        <w:rPr>
          <w:rStyle w:val="normaltextrun"/>
        </w:rPr>
        <w:t xml:space="preserve">or refugee </w:t>
      </w:r>
      <w:r w:rsidRPr="002F4C0E">
        <w:rPr>
          <w:rStyle w:val="normaltextrun"/>
        </w:rPr>
        <w:t>status, age, or impairment group, or other status, and these may intersect to shape a person’s individual identity</w:t>
      </w:r>
      <w:r>
        <w:rPr>
          <w:rStyle w:val="normaltextrun"/>
        </w:rPr>
        <w:t xml:space="preserve"> </w:t>
      </w:r>
      <w:r w:rsidR="00637522">
        <w:rPr>
          <w:rStyle w:val="normaltextrun"/>
        </w:rPr>
        <w:t>*</w:t>
      </w:r>
      <w:r w:rsidR="00637522" w:rsidRPr="00637522">
        <w:rPr>
          <w:rStyle w:val="normaltextrun"/>
          <w:highlight w:val="green"/>
        </w:rPr>
        <w:t>It is suggested to add in the enumeration: “ideology / political tendency”.</w:t>
      </w:r>
      <w:r w:rsidR="00637522">
        <w:rPr>
          <w:rStyle w:val="normaltextrun"/>
          <w:highlight w:val="green"/>
        </w:rPr>
        <w:t xml:space="preserve"> </w:t>
      </w:r>
      <w:r w:rsidR="00637522" w:rsidRPr="00663BA3">
        <w:rPr>
          <w:rStyle w:val="normaltextrun"/>
        </w:rPr>
        <w:t>(</w:t>
      </w:r>
      <w:r w:rsidRPr="00663BA3">
        <w:rPr>
          <w:rStyle w:val="normaltextrun"/>
        </w:rPr>
        <w:t xml:space="preserve">Se </w:t>
      </w:r>
      <w:proofErr w:type="spellStart"/>
      <w:r w:rsidRPr="00663BA3">
        <w:rPr>
          <w:rStyle w:val="normaltextrun"/>
        </w:rPr>
        <w:t>sugiere</w:t>
      </w:r>
      <w:proofErr w:type="spellEnd"/>
      <w:r w:rsidRPr="00663BA3">
        <w:rPr>
          <w:rStyle w:val="normaltextrun"/>
        </w:rPr>
        <w:t xml:space="preserve"> </w:t>
      </w:r>
      <w:proofErr w:type="spellStart"/>
      <w:r w:rsidRPr="00663BA3">
        <w:rPr>
          <w:rStyle w:val="normaltextrun"/>
        </w:rPr>
        <w:t>adicionar</w:t>
      </w:r>
      <w:proofErr w:type="spellEnd"/>
      <w:r w:rsidR="00290E2A" w:rsidRPr="00663BA3">
        <w:rPr>
          <w:rStyle w:val="normaltextrun"/>
        </w:rPr>
        <w:t xml:space="preserve"> </w:t>
      </w:r>
      <w:proofErr w:type="spellStart"/>
      <w:r w:rsidR="00290E2A" w:rsidRPr="00663BA3">
        <w:rPr>
          <w:rStyle w:val="normaltextrun"/>
        </w:rPr>
        <w:t>en</w:t>
      </w:r>
      <w:proofErr w:type="spellEnd"/>
      <w:r w:rsidR="00290E2A" w:rsidRPr="00663BA3">
        <w:rPr>
          <w:rStyle w:val="normaltextrun"/>
        </w:rPr>
        <w:t xml:space="preserve"> la </w:t>
      </w:r>
      <w:proofErr w:type="spellStart"/>
      <w:r w:rsidR="00290E2A" w:rsidRPr="00663BA3">
        <w:rPr>
          <w:rStyle w:val="normaltextrun"/>
        </w:rPr>
        <w:t>enumeración</w:t>
      </w:r>
      <w:proofErr w:type="spellEnd"/>
      <w:r w:rsidRPr="00663BA3">
        <w:rPr>
          <w:rStyle w:val="normaltextrun"/>
        </w:rPr>
        <w:t xml:space="preserve">: </w:t>
      </w:r>
      <w:r w:rsidR="00290E2A" w:rsidRPr="00663BA3">
        <w:rPr>
          <w:rStyle w:val="normaltextrun"/>
        </w:rPr>
        <w:t>“</w:t>
      </w:r>
      <w:proofErr w:type="spellStart"/>
      <w:r w:rsidR="00290E2A" w:rsidRPr="00663BA3">
        <w:rPr>
          <w:rStyle w:val="normaltextrun"/>
        </w:rPr>
        <w:t>ideología</w:t>
      </w:r>
      <w:proofErr w:type="spellEnd"/>
      <w:r w:rsidRPr="00663BA3">
        <w:rPr>
          <w:rStyle w:val="normaltextrun"/>
        </w:rPr>
        <w:t xml:space="preserve"> </w:t>
      </w:r>
      <w:r w:rsidR="00290E2A" w:rsidRPr="00663BA3">
        <w:rPr>
          <w:rStyle w:val="normaltextrun"/>
        </w:rPr>
        <w:t xml:space="preserve">/ </w:t>
      </w:r>
      <w:proofErr w:type="spellStart"/>
      <w:r w:rsidR="00290E2A" w:rsidRPr="00663BA3">
        <w:rPr>
          <w:rStyle w:val="normaltextrun"/>
        </w:rPr>
        <w:t>tendencia</w:t>
      </w:r>
      <w:proofErr w:type="spellEnd"/>
      <w:r w:rsidR="00290E2A" w:rsidRPr="00663BA3">
        <w:rPr>
          <w:rStyle w:val="normaltextrun"/>
        </w:rPr>
        <w:t xml:space="preserve"> </w:t>
      </w:r>
      <w:proofErr w:type="spellStart"/>
      <w:r w:rsidRPr="00663BA3">
        <w:rPr>
          <w:rStyle w:val="normaltextrun"/>
        </w:rPr>
        <w:t>política</w:t>
      </w:r>
      <w:proofErr w:type="spellEnd"/>
      <w:r w:rsidR="00290E2A" w:rsidRPr="00663BA3">
        <w:rPr>
          <w:rStyle w:val="normaltextrun"/>
        </w:rPr>
        <w:t>”</w:t>
      </w:r>
      <w:r w:rsidR="00637522" w:rsidRPr="00663BA3">
        <w:rPr>
          <w:rStyle w:val="normaltextrun"/>
        </w:rPr>
        <w:t>)</w:t>
      </w:r>
      <w:r w:rsidRPr="00663BA3">
        <w:rPr>
          <w:rStyle w:val="normaltextrun"/>
        </w:rPr>
        <w:t>.</w:t>
      </w:r>
      <w:r w:rsidRPr="002F4C0E">
        <w:rPr>
          <w:rStyle w:val="normaltextrun"/>
        </w:rPr>
        <w:t xml:space="preserve"> Intersectionality plays an important role in the lived experiences of all persons with disabilities. </w:t>
      </w:r>
    </w:p>
    <w:p w14:paraId="1DDE42A3" w14:textId="72AF2421" w:rsidR="00DE5131" w:rsidRDefault="00DE5131" w:rsidP="00DE5131">
      <w:pPr>
        <w:pStyle w:val="BodyText1"/>
        <w:numPr>
          <w:ilvl w:val="0"/>
          <w:numId w:val="0"/>
        </w:numPr>
        <w:ind w:left="643"/>
        <w:rPr>
          <w:rStyle w:val="normaltextrun"/>
        </w:rPr>
      </w:pPr>
    </w:p>
    <w:p w14:paraId="4DBC4D12" w14:textId="77777777" w:rsidR="00DE5131" w:rsidRPr="00E80F75" w:rsidRDefault="00DE5131" w:rsidP="00DE5131">
      <w:pPr>
        <w:pStyle w:val="BodyText1"/>
        <w:numPr>
          <w:ilvl w:val="0"/>
          <w:numId w:val="0"/>
        </w:numPr>
        <w:ind w:left="643"/>
        <w:rPr>
          <w:b/>
          <w:i/>
          <w:color w:val="0070C0"/>
        </w:rPr>
      </w:pPr>
      <w:r w:rsidRPr="00B70830">
        <w:rPr>
          <w:rStyle w:val="normaltextrun"/>
          <w:b/>
          <w:i/>
          <w:color w:val="0070C0"/>
        </w:rPr>
        <w:t>Women and girls with disabilities</w:t>
      </w:r>
    </w:p>
    <w:p w14:paraId="45852C6D" w14:textId="77777777" w:rsidR="00332898" w:rsidRDefault="00C533CE" w:rsidP="00DE5131">
      <w:pPr>
        <w:jc w:val="both"/>
        <w:rPr>
          <w:rStyle w:val="normaltextrun"/>
          <w:u w:val="single"/>
        </w:rPr>
      </w:pPr>
      <w:r>
        <w:rPr>
          <w:rStyle w:val="normaltextrun"/>
        </w:rPr>
        <w:t xml:space="preserve">     </w:t>
      </w:r>
      <w:r w:rsidR="00DE5131">
        <w:rPr>
          <w:rStyle w:val="normaltextrun"/>
        </w:rPr>
        <w:t xml:space="preserve">40. </w:t>
      </w:r>
      <w:r w:rsidR="00DE5131" w:rsidRPr="002F4C0E">
        <w:rPr>
          <w:rStyle w:val="normaltextrun"/>
        </w:rPr>
        <w:t xml:space="preserve">States </w:t>
      </w:r>
      <w:r w:rsidR="00DE5131" w:rsidRPr="009F52C4">
        <w:rPr>
          <w:rStyle w:val="normaltextrun"/>
        </w:rPr>
        <w:t xml:space="preserve">Parties should acknowledge that women and girls with disabilities are subject to multiple discrimination on the grounds of gender and disability and they are not a homogeneous group. </w:t>
      </w:r>
      <w:r w:rsidR="00DE5131">
        <w:rPr>
          <w:rStyle w:val="xnormaltextrun"/>
          <w:rFonts w:ascii="Calibri" w:hAnsi="Calibri" w:cs="Calibri"/>
        </w:rPr>
        <w:t xml:space="preserve">Women with disabilities </w:t>
      </w:r>
      <w:r w:rsidR="00DE5131">
        <w:rPr>
          <w:rFonts w:ascii="Calibri" w:hAnsi="Calibri" w:cs="Calibri"/>
        </w:rPr>
        <w:t>are at a heightened risk of violence</w:t>
      </w:r>
      <w:r w:rsidR="00DE5131">
        <w:rPr>
          <w:rStyle w:val="xnormaltextrun"/>
          <w:rFonts w:ascii="Calibri" w:hAnsi="Calibri" w:cs="Calibri"/>
        </w:rPr>
        <w:t>, exploitation, and abuse compared to other women, and are at high risk of gender-based violence and harmful practices, such as forced contraception and sterilization, during institutionalization.</w:t>
      </w:r>
      <w:r w:rsidR="00DE5131">
        <w:rPr>
          <w:rStyle w:val="FootnoteReference"/>
          <w:rFonts w:ascii="Calibri" w:hAnsi="Calibri" w:cs="Calibri"/>
        </w:rPr>
        <w:footnoteReference w:id="1"/>
      </w:r>
      <w:r w:rsidR="00DE5131" w:rsidRPr="00444BFB">
        <w:rPr>
          <w:rStyle w:val="normaltextrun"/>
        </w:rPr>
        <w:t xml:space="preserve"> </w:t>
      </w:r>
      <w:r w:rsidR="00DE5131" w:rsidRPr="009F52C4">
        <w:rPr>
          <w:rStyle w:val="normaltextrun"/>
        </w:rPr>
        <w:t xml:space="preserve">They </w:t>
      </w:r>
      <w:proofErr w:type="gramStart"/>
      <w:r w:rsidR="00DE5131" w:rsidRPr="009F52C4">
        <w:rPr>
          <w:rStyle w:val="normaltextrun"/>
        </w:rPr>
        <w:t>are denied</w:t>
      </w:r>
      <w:proofErr w:type="gramEnd"/>
      <w:r w:rsidR="00DE5131" w:rsidRPr="009F52C4">
        <w:rPr>
          <w:rStyle w:val="normaltextrun"/>
        </w:rPr>
        <w:t xml:space="preserve"> the right to legal capacity more often than men with disabilities, and more often than women without disabilities, leading to denial of access to justice, choice, and self- control. </w:t>
      </w:r>
      <w:r w:rsidR="00332898">
        <w:rPr>
          <w:rStyle w:val="normaltextrun"/>
          <w:u w:val="single"/>
        </w:rPr>
        <w:t>*</w:t>
      </w:r>
      <w:r w:rsidR="00DE5131" w:rsidRPr="002C6FCF">
        <w:rPr>
          <w:rStyle w:val="normaltextrun"/>
          <w:u w:val="single"/>
        </w:rPr>
        <w:t>States Parties should consider these risks when designing and implementing deinstitutionalization plans to ensure the fulfilment and protection of the rights of women and girls with disabilities, ensuring gender equality is reflected transversally throughout all process and policies</w:t>
      </w:r>
    </w:p>
    <w:p w14:paraId="34EB85B9" w14:textId="6966A4F6" w:rsidR="00DE5131" w:rsidRPr="008F6DB1" w:rsidRDefault="00DE5131" w:rsidP="00DE5131">
      <w:pPr>
        <w:jc w:val="both"/>
        <w:rPr>
          <w:rFonts w:cstheme="minorHAnsi"/>
          <w:sz w:val="20"/>
          <w:szCs w:val="20"/>
        </w:rPr>
      </w:pPr>
      <w:proofErr w:type="gramStart"/>
      <w:r w:rsidRPr="00D8057A">
        <w:rPr>
          <w:rStyle w:val="normaltextrun"/>
        </w:rPr>
        <w:t>*</w:t>
      </w:r>
      <w:r w:rsidR="00D8057A" w:rsidRPr="00D8057A">
        <w:rPr>
          <w:rStyle w:val="normaltextrun"/>
          <w:highlight w:val="green"/>
        </w:rPr>
        <w:t xml:space="preserve">It is suggested to indicate that States are obliged to adopt </w:t>
      </w:r>
      <w:r w:rsidR="00D8057A" w:rsidRPr="00D8057A">
        <w:rPr>
          <w:rFonts w:ascii="Verdana" w:eastAsia="Times New Roman" w:hAnsi="Verdana"/>
          <w:color w:val="000000"/>
          <w:sz w:val="19"/>
          <w:szCs w:val="19"/>
          <w:highlight w:val="green"/>
          <w:lang w:eastAsia="es-CL"/>
        </w:rPr>
        <w:t>all appropriate measures to ensure the full development, advancement and empowerment of women</w:t>
      </w:r>
      <w:r w:rsidR="00D8057A" w:rsidRPr="00D8057A">
        <w:rPr>
          <w:rStyle w:val="normaltextrun"/>
          <w:highlight w:val="green"/>
        </w:rPr>
        <w:t xml:space="preserve"> and girls with disabilities (art. 6 paragraph 2).</w:t>
      </w:r>
      <w:r w:rsidR="00CE31C3">
        <w:rPr>
          <w:rFonts w:cstheme="minorHAnsi"/>
          <w:sz w:val="20"/>
          <w:szCs w:val="20"/>
        </w:rPr>
        <w:t>(</w:t>
      </w:r>
      <w:r w:rsidRPr="00D8057A">
        <w:rPr>
          <w:rFonts w:cstheme="minorHAnsi"/>
          <w:sz w:val="20"/>
          <w:szCs w:val="20"/>
        </w:rPr>
        <w:t xml:space="preserve">se </w:t>
      </w:r>
      <w:proofErr w:type="spellStart"/>
      <w:r w:rsidRPr="00D8057A">
        <w:rPr>
          <w:rFonts w:cstheme="minorHAnsi"/>
          <w:sz w:val="20"/>
          <w:szCs w:val="20"/>
        </w:rPr>
        <w:t>sugiere</w:t>
      </w:r>
      <w:proofErr w:type="spellEnd"/>
      <w:r w:rsidRPr="00D8057A">
        <w:rPr>
          <w:rFonts w:cstheme="minorHAnsi"/>
          <w:sz w:val="20"/>
          <w:szCs w:val="20"/>
        </w:rPr>
        <w:t xml:space="preserve"> </w:t>
      </w:r>
      <w:proofErr w:type="spellStart"/>
      <w:r w:rsidRPr="00D8057A">
        <w:rPr>
          <w:rFonts w:cstheme="minorHAnsi"/>
          <w:sz w:val="20"/>
          <w:szCs w:val="20"/>
        </w:rPr>
        <w:t>indicar</w:t>
      </w:r>
      <w:proofErr w:type="spellEnd"/>
      <w:r w:rsidRPr="00D8057A">
        <w:rPr>
          <w:rFonts w:cstheme="minorHAnsi"/>
          <w:sz w:val="20"/>
          <w:szCs w:val="20"/>
        </w:rPr>
        <w:t xml:space="preserve"> que </w:t>
      </w:r>
      <w:proofErr w:type="spellStart"/>
      <w:r w:rsidRPr="00D8057A">
        <w:rPr>
          <w:rFonts w:cstheme="minorHAnsi"/>
          <w:sz w:val="20"/>
          <w:szCs w:val="20"/>
        </w:rPr>
        <w:t>los</w:t>
      </w:r>
      <w:proofErr w:type="spellEnd"/>
      <w:r w:rsidRPr="00D8057A">
        <w:rPr>
          <w:rFonts w:cstheme="minorHAnsi"/>
          <w:sz w:val="20"/>
          <w:szCs w:val="20"/>
        </w:rPr>
        <w:t xml:space="preserve"> </w:t>
      </w:r>
      <w:proofErr w:type="spellStart"/>
      <w:r w:rsidRPr="00D8057A">
        <w:rPr>
          <w:rFonts w:cstheme="minorHAnsi"/>
          <w:sz w:val="20"/>
          <w:szCs w:val="20"/>
        </w:rPr>
        <w:t>Estados</w:t>
      </w:r>
      <w:proofErr w:type="spellEnd"/>
      <w:r w:rsidRPr="00D8057A">
        <w:rPr>
          <w:rFonts w:cstheme="minorHAnsi"/>
          <w:sz w:val="20"/>
          <w:szCs w:val="20"/>
        </w:rPr>
        <w:t xml:space="preserve"> </w:t>
      </w:r>
      <w:proofErr w:type="spellStart"/>
      <w:r w:rsidRPr="00D8057A">
        <w:rPr>
          <w:rFonts w:cstheme="minorHAnsi"/>
          <w:sz w:val="20"/>
          <w:szCs w:val="20"/>
        </w:rPr>
        <w:t>están</w:t>
      </w:r>
      <w:proofErr w:type="spellEnd"/>
      <w:r w:rsidRPr="00D8057A">
        <w:rPr>
          <w:rFonts w:cstheme="minorHAnsi"/>
          <w:sz w:val="20"/>
          <w:szCs w:val="20"/>
        </w:rPr>
        <w:t xml:space="preserve"> </w:t>
      </w:r>
      <w:proofErr w:type="spellStart"/>
      <w:r w:rsidRPr="00D8057A">
        <w:rPr>
          <w:rFonts w:cstheme="minorHAnsi"/>
          <w:sz w:val="20"/>
          <w:szCs w:val="20"/>
        </w:rPr>
        <w:t>obligados</w:t>
      </w:r>
      <w:proofErr w:type="spellEnd"/>
      <w:r w:rsidRPr="00D8057A">
        <w:rPr>
          <w:rFonts w:cstheme="minorHAnsi"/>
          <w:sz w:val="20"/>
          <w:szCs w:val="20"/>
        </w:rPr>
        <w:t xml:space="preserve"> a </w:t>
      </w:r>
      <w:proofErr w:type="spellStart"/>
      <w:r w:rsidR="009C6F8E" w:rsidRPr="00D8057A">
        <w:rPr>
          <w:rFonts w:cstheme="minorHAnsi"/>
          <w:sz w:val="20"/>
          <w:szCs w:val="20"/>
        </w:rPr>
        <w:t>adoptar</w:t>
      </w:r>
      <w:proofErr w:type="spellEnd"/>
      <w:r w:rsidR="009C6F8E" w:rsidRPr="00D8057A">
        <w:rPr>
          <w:rFonts w:cstheme="minorHAnsi"/>
          <w:sz w:val="20"/>
          <w:szCs w:val="20"/>
        </w:rPr>
        <w:t xml:space="preserve"> </w:t>
      </w:r>
      <w:proofErr w:type="spellStart"/>
      <w:r w:rsidR="009C6F8E" w:rsidRPr="00D8057A">
        <w:rPr>
          <w:rFonts w:cstheme="minorHAnsi"/>
          <w:sz w:val="20"/>
          <w:szCs w:val="20"/>
        </w:rPr>
        <w:t>todas</w:t>
      </w:r>
      <w:proofErr w:type="spellEnd"/>
      <w:r w:rsidR="009C6F8E" w:rsidRPr="00D8057A">
        <w:rPr>
          <w:rFonts w:cstheme="minorHAnsi"/>
          <w:sz w:val="20"/>
          <w:szCs w:val="20"/>
        </w:rPr>
        <w:t xml:space="preserve"> las </w:t>
      </w:r>
      <w:proofErr w:type="spellStart"/>
      <w:r w:rsidRPr="00D8057A">
        <w:rPr>
          <w:rFonts w:cstheme="minorHAnsi"/>
          <w:sz w:val="20"/>
          <w:szCs w:val="20"/>
        </w:rPr>
        <w:t>medidas</w:t>
      </w:r>
      <w:proofErr w:type="spellEnd"/>
      <w:r w:rsidR="009C6F8E" w:rsidRPr="00D8057A">
        <w:rPr>
          <w:rFonts w:cstheme="minorHAnsi"/>
          <w:sz w:val="20"/>
          <w:szCs w:val="20"/>
        </w:rPr>
        <w:t xml:space="preserve"> </w:t>
      </w:r>
      <w:proofErr w:type="spellStart"/>
      <w:r w:rsidR="009C6F8E" w:rsidRPr="00D8057A">
        <w:rPr>
          <w:rFonts w:cstheme="minorHAnsi"/>
          <w:sz w:val="20"/>
          <w:szCs w:val="20"/>
        </w:rPr>
        <w:lastRenderedPageBreak/>
        <w:t>pertinentes</w:t>
      </w:r>
      <w:proofErr w:type="spellEnd"/>
      <w:r w:rsidR="009C6F8E" w:rsidRPr="00D8057A">
        <w:rPr>
          <w:rFonts w:cstheme="minorHAnsi"/>
          <w:sz w:val="20"/>
          <w:szCs w:val="20"/>
        </w:rPr>
        <w:t xml:space="preserve"> </w:t>
      </w:r>
      <w:r w:rsidRPr="00D8057A">
        <w:rPr>
          <w:rFonts w:cstheme="minorHAnsi"/>
          <w:sz w:val="20"/>
          <w:szCs w:val="20"/>
        </w:rPr>
        <w:t xml:space="preserve"> para</w:t>
      </w:r>
      <w:r w:rsidR="009C6F8E" w:rsidRPr="00D8057A">
        <w:rPr>
          <w:rFonts w:cstheme="minorHAnsi"/>
          <w:sz w:val="20"/>
          <w:szCs w:val="20"/>
        </w:rPr>
        <w:t xml:space="preserve"> </w:t>
      </w:r>
      <w:proofErr w:type="spellStart"/>
      <w:r w:rsidR="009C6F8E" w:rsidRPr="00D8057A">
        <w:rPr>
          <w:rFonts w:cstheme="minorHAnsi"/>
          <w:sz w:val="20"/>
          <w:szCs w:val="20"/>
        </w:rPr>
        <w:t>asegurar</w:t>
      </w:r>
      <w:proofErr w:type="spellEnd"/>
      <w:r w:rsidR="009C6F8E" w:rsidRPr="00D8057A">
        <w:rPr>
          <w:rFonts w:cstheme="minorHAnsi"/>
          <w:sz w:val="20"/>
          <w:szCs w:val="20"/>
        </w:rPr>
        <w:t xml:space="preserve"> el </w:t>
      </w:r>
      <w:proofErr w:type="spellStart"/>
      <w:r w:rsidR="009C6F8E" w:rsidRPr="00D8057A">
        <w:rPr>
          <w:rFonts w:cstheme="minorHAnsi"/>
          <w:sz w:val="20"/>
          <w:szCs w:val="20"/>
        </w:rPr>
        <w:t>pleno</w:t>
      </w:r>
      <w:proofErr w:type="spellEnd"/>
      <w:r w:rsidR="009C6F8E" w:rsidRPr="00D8057A">
        <w:rPr>
          <w:rFonts w:cstheme="minorHAnsi"/>
          <w:sz w:val="20"/>
          <w:szCs w:val="20"/>
        </w:rPr>
        <w:t xml:space="preserve"> </w:t>
      </w:r>
      <w:proofErr w:type="spellStart"/>
      <w:r w:rsidR="009C6F8E" w:rsidRPr="00D8057A">
        <w:rPr>
          <w:rFonts w:cstheme="minorHAnsi"/>
          <w:sz w:val="20"/>
          <w:szCs w:val="20"/>
        </w:rPr>
        <w:t>desarrollo</w:t>
      </w:r>
      <w:proofErr w:type="spellEnd"/>
      <w:r w:rsidR="009C6F8E" w:rsidRPr="00D8057A">
        <w:rPr>
          <w:rFonts w:cstheme="minorHAnsi"/>
          <w:sz w:val="20"/>
          <w:szCs w:val="20"/>
        </w:rPr>
        <w:t xml:space="preserve">, </w:t>
      </w:r>
      <w:r w:rsidRPr="00D8057A">
        <w:rPr>
          <w:rFonts w:cstheme="minorHAnsi"/>
          <w:sz w:val="20"/>
          <w:szCs w:val="20"/>
        </w:rPr>
        <w:t xml:space="preserve"> </w:t>
      </w:r>
      <w:proofErr w:type="spellStart"/>
      <w:r w:rsidRPr="00D8057A">
        <w:rPr>
          <w:rFonts w:cstheme="minorHAnsi"/>
          <w:sz w:val="20"/>
          <w:szCs w:val="20"/>
        </w:rPr>
        <w:t>adelanto</w:t>
      </w:r>
      <w:proofErr w:type="spellEnd"/>
      <w:r w:rsidRPr="00D8057A">
        <w:rPr>
          <w:rFonts w:cstheme="minorHAnsi"/>
          <w:sz w:val="20"/>
          <w:szCs w:val="20"/>
        </w:rPr>
        <w:t xml:space="preserve"> y </w:t>
      </w:r>
      <w:proofErr w:type="spellStart"/>
      <w:r w:rsidRPr="00D8057A">
        <w:rPr>
          <w:rFonts w:cstheme="minorHAnsi"/>
          <w:sz w:val="20"/>
          <w:szCs w:val="20"/>
        </w:rPr>
        <w:t>potenciación</w:t>
      </w:r>
      <w:proofErr w:type="spellEnd"/>
      <w:r w:rsidRPr="00D8057A">
        <w:rPr>
          <w:rFonts w:cstheme="minorHAnsi"/>
          <w:sz w:val="20"/>
          <w:szCs w:val="20"/>
        </w:rPr>
        <w:t xml:space="preserve"> de las </w:t>
      </w:r>
      <w:proofErr w:type="spellStart"/>
      <w:r w:rsidRPr="00D8057A">
        <w:rPr>
          <w:rFonts w:cstheme="minorHAnsi"/>
          <w:sz w:val="20"/>
          <w:szCs w:val="20"/>
        </w:rPr>
        <w:t>mujeres</w:t>
      </w:r>
      <w:proofErr w:type="spellEnd"/>
      <w:r w:rsidRPr="00D8057A">
        <w:rPr>
          <w:rFonts w:cstheme="minorHAnsi"/>
          <w:sz w:val="20"/>
          <w:szCs w:val="20"/>
        </w:rPr>
        <w:t xml:space="preserve"> y </w:t>
      </w:r>
      <w:proofErr w:type="spellStart"/>
      <w:r w:rsidRPr="00D8057A">
        <w:rPr>
          <w:rFonts w:cstheme="minorHAnsi"/>
          <w:sz w:val="20"/>
          <w:szCs w:val="20"/>
        </w:rPr>
        <w:t>niñas</w:t>
      </w:r>
      <w:proofErr w:type="spellEnd"/>
      <w:r w:rsidRPr="00D8057A">
        <w:rPr>
          <w:rFonts w:cstheme="minorHAnsi"/>
          <w:sz w:val="20"/>
          <w:szCs w:val="20"/>
        </w:rPr>
        <w:t xml:space="preserve"> con </w:t>
      </w:r>
      <w:proofErr w:type="spellStart"/>
      <w:r w:rsidRPr="00D8057A">
        <w:rPr>
          <w:rFonts w:cstheme="minorHAnsi"/>
          <w:sz w:val="20"/>
          <w:szCs w:val="20"/>
        </w:rPr>
        <w:t>discapacidad</w:t>
      </w:r>
      <w:proofErr w:type="spellEnd"/>
      <w:r w:rsidRPr="00D8057A">
        <w:rPr>
          <w:rFonts w:cstheme="minorHAnsi"/>
          <w:sz w:val="20"/>
          <w:szCs w:val="20"/>
        </w:rPr>
        <w:t xml:space="preserve"> (art. 6 </w:t>
      </w:r>
      <w:proofErr w:type="spellStart"/>
      <w:r w:rsidRPr="00D8057A">
        <w:rPr>
          <w:rFonts w:cstheme="minorHAnsi"/>
          <w:sz w:val="20"/>
          <w:szCs w:val="20"/>
        </w:rPr>
        <w:t>inciso</w:t>
      </w:r>
      <w:proofErr w:type="spellEnd"/>
      <w:r w:rsidRPr="00D8057A">
        <w:rPr>
          <w:rFonts w:cstheme="minorHAnsi"/>
          <w:sz w:val="20"/>
          <w:szCs w:val="20"/>
        </w:rPr>
        <w:t xml:space="preserve"> </w:t>
      </w:r>
      <w:r w:rsidR="009C6F8E" w:rsidRPr="00D8057A">
        <w:rPr>
          <w:rFonts w:cstheme="minorHAnsi"/>
          <w:sz w:val="20"/>
          <w:szCs w:val="20"/>
        </w:rPr>
        <w:t>2</w:t>
      </w:r>
      <w:r w:rsidRPr="00D8057A">
        <w:rPr>
          <w:rFonts w:cstheme="minorHAnsi"/>
          <w:sz w:val="20"/>
          <w:szCs w:val="20"/>
        </w:rPr>
        <w:t>)</w:t>
      </w:r>
      <w:r w:rsidR="009C6F8E" w:rsidRPr="00D8057A">
        <w:rPr>
          <w:rFonts w:cstheme="minorHAnsi"/>
          <w:sz w:val="20"/>
          <w:szCs w:val="20"/>
        </w:rPr>
        <w:t>.</w:t>
      </w:r>
      <w:proofErr w:type="gramEnd"/>
      <w:r w:rsidR="009C6F8E" w:rsidRPr="00D8057A">
        <w:rPr>
          <w:rFonts w:cstheme="minorHAnsi"/>
          <w:sz w:val="20"/>
          <w:szCs w:val="20"/>
        </w:rPr>
        <w:t xml:space="preserve"> </w:t>
      </w:r>
    </w:p>
    <w:p w14:paraId="0A89F25F" w14:textId="77777777" w:rsidR="003B0196" w:rsidRDefault="00EE253A" w:rsidP="003B0196">
      <w:pPr>
        <w:pStyle w:val="BodyText1"/>
        <w:numPr>
          <w:ilvl w:val="0"/>
          <w:numId w:val="0"/>
        </w:numPr>
        <w:rPr>
          <w:rStyle w:val="normaltextrun"/>
          <w:b/>
          <w:i/>
          <w:color w:val="0070C0"/>
        </w:rPr>
      </w:pPr>
      <w:r>
        <w:rPr>
          <w:rStyle w:val="normaltextrun"/>
          <w:b/>
          <w:i/>
          <w:color w:val="0070C0"/>
        </w:rPr>
        <w:t>Children</w:t>
      </w:r>
      <w:r w:rsidRPr="00B70830">
        <w:rPr>
          <w:rStyle w:val="normaltextrun"/>
          <w:b/>
          <w:i/>
          <w:color w:val="0070C0"/>
        </w:rPr>
        <w:t xml:space="preserve"> with disabilities</w:t>
      </w:r>
    </w:p>
    <w:p w14:paraId="0B8ABED7" w14:textId="77777777" w:rsidR="00CE31C3" w:rsidRDefault="00EE253A" w:rsidP="003B0196">
      <w:pPr>
        <w:pStyle w:val="BodyText1"/>
        <w:numPr>
          <w:ilvl w:val="0"/>
          <w:numId w:val="0"/>
        </w:numPr>
        <w:rPr>
          <w:u w:val="single"/>
        </w:rPr>
      </w:pPr>
      <w:r>
        <w:t xml:space="preserve">45. </w:t>
      </w:r>
      <w:r w:rsidRPr="002F4C0E">
        <w:t xml:space="preserve">Even short-term placement outside a family causes great suffering and trauma, emotional and physical impairments. Preventing institutional placement for children must be a priority. </w:t>
      </w:r>
      <w:r w:rsidRPr="002C6FCF">
        <w:rPr>
          <w:u w:val="single"/>
        </w:rPr>
        <w:t xml:space="preserve">Family-based placements, with financial and other forms of support, </w:t>
      </w:r>
      <w:proofErr w:type="gramStart"/>
      <w:r w:rsidRPr="002C6FCF">
        <w:rPr>
          <w:u w:val="single"/>
        </w:rPr>
        <w:t>should be created</w:t>
      </w:r>
      <w:proofErr w:type="gramEnd"/>
      <w:r w:rsidRPr="002C6FCF">
        <w:rPr>
          <w:u w:val="single"/>
        </w:rPr>
        <w:t xml:space="preserve"> for all children with disabilities.</w:t>
      </w:r>
    </w:p>
    <w:p w14:paraId="780713B4" w14:textId="5AFA76DC" w:rsidR="00EE253A" w:rsidRPr="002C6FCF" w:rsidRDefault="00CE31C3" w:rsidP="003B0196">
      <w:pPr>
        <w:pStyle w:val="BodyText1"/>
        <w:numPr>
          <w:ilvl w:val="0"/>
          <w:numId w:val="0"/>
        </w:numPr>
        <w:rPr>
          <w:color w:val="0070C0"/>
          <w:u w:val="single"/>
          <w:lang w:val="es-CL"/>
        </w:rPr>
      </w:pPr>
      <w:r>
        <w:rPr>
          <w:highlight w:val="green"/>
          <w:lang w:val="en-US"/>
        </w:rPr>
        <w:t>*</w:t>
      </w:r>
      <w:r w:rsidRPr="00CE31C3">
        <w:rPr>
          <w:highlight w:val="green"/>
          <w:lang w:val="en-US"/>
        </w:rPr>
        <w:t xml:space="preserve">Mention </w:t>
      </w:r>
      <w:proofErr w:type="gramStart"/>
      <w:r w:rsidRPr="00CE31C3">
        <w:rPr>
          <w:highlight w:val="green"/>
          <w:lang w:val="en-US"/>
        </w:rPr>
        <w:t>can be made</w:t>
      </w:r>
      <w:proofErr w:type="gramEnd"/>
      <w:r w:rsidRPr="00CE31C3">
        <w:rPr>
          <w:highlight w:val="green"/>
          <w:lang w:val="en-US"/>
        </w:rPr>
        <w:t xml:space="preserve">: "... considering the participation and the best interest of the </w:t>
      </w:r>
      <w:r>
        <w:rPr>
          <w:highlight w:val="green"/>
          <w:lang w:val="en-US"/>
        </w:rPr>
        <w:t xml:space="preserve">girl, boy </w:t>
      </w:r>
      <w:r w:rsidRPr="00CE31C3">
        <w:rPr>
          <w:highlight w:val="green"/>
          <w:lang w:val="en-US"/>
        </w:rPr>
        <w:t>or adolescent with disabilities."</w:t>
      </w:r>
      <w:r w:rsidR="00EE253A" w:rsidRPr="00CE31C3">
        <w:rPr>
          <w:u w:val="single"/>
          <w:lang w:val="en-US"/>
        </w:rPr>
        <w:t xml:space="preserve"> </w:t>
      </w:r>
      <w:r w:rsidRPr="00CE31C3">
        <w:rPr>
          <w:u w:val="single"/>
          <w:lang w:val="es-CL"/>
        </w:rPr>
        <w:t>(</w:t>
      </w:r>
      <w:r w:rsidR="002C6FCF" w:rsidRPr="00CE31C3">
        <w:rPr>
          <w:rFonts w:cstheme="minorHAnsi"/>
          <w:lang w:val="es-CL"/>
        </w:rPr>
        <w:t>*Se puede hacer mención: “… considerando la participación y el interés superior de la niña, niño o adolescentes con discapacidad”</w:t>
      </w:r>
      <w:r>
        <w:rPr>
          <w:rFonts w:cstheme="minorHAnsi"/>
          <w:lang w:val="es-CL"/>
        </w:rPr>
        <w:t>)</w:t>
      </w:r>
      <w:r w:rsidR="002C6FCF" w:rsidRPr="00CE31C3">
        <w:rPr>
          <w:rFonts w:cstheme="minorHAnsi"/>
          <w:lang w:val="es-CL"/>
        </w:rPr>
        <w:t>.</w:t>
      </w:r>
    </w:p>
    <w:p w14:paraId="4409F9AD" w14:textId="77777777" w:rsidR="00DE5131" w:rsidRPr="002C6FCF" w:rsidRDefault="00DE5131" w:rsidP="00DE5131">
      <w:pPr>
        <w:pStyle w:val="BodyText1"/>
        <w:numPr>
          <w:ilvl w:val="0"/>
          <w:numId w:val="0"/>
        </w:numPr>
        <w:ind w:left="643"/>
        <w:rPr>
          <w:rStyle w:val="normaltextrun"/>
          <w:color w:val="0070C0"/>
          <w:lang w:val="es-CL"/>
        </w:rPr>
      </w:pPr>
    </w:p>
    <w:p w14:paraId="3B5E374E" w14:textId="77777777" w:rsidR="00CE31C3" w:rsidRDefault="00C75143" w:rsidP="00CE31C3">
      <w:pPr>
        <w:jc w:val="both"/>
        <w:rPr>
          <w:u w:val="single"/>
        </w:rPr>
      </w:pPr>
      <w:r w:rsidRPr="00D11533">
        <w:t xml:space="preserve">49. </w:t>
      </w:r>
      <w:r w:rsidRPr="00D11533">
        <w:rPr>
          <w:u w:val="single"/>
        </w:rPr>
        <w:t>States Parties should develop and ensure access to support services in the community, including personal assistance and peer support, for children and adolescents with disabilities, as necessary.</w:t>
      </w:r>
      <w:r w:rsidR="00D11533" w:rsidRPr="00D11533">
        <w:rPr>
          <w:u w:val="single"/>
        </w:rPr>
        <w:t xml:space="preserve"> </w:t>
      </w:r>
    </w:p>
    <w:p w14:paraId="3AF36431" w14:textId="6B1FA420" w:rsidR="00C63E03" w:rsidRPr="00CE31C3" w:rsidRDefault="00CE31C3" w:rsidP="00CE31C3">
      <w:pPr>
        <w:jc w:val="both"/>
        <w:rPr>
          <w:rFonts w:cstheme="minorHAnsi"/>
          <w:sz w:val="20"/>
          <w:szCs w:val="20"/>
          <w:lang w:val="es-CL"/>
        </w:rPr>
      </w:pPr>
      <w:r w:rsidRPr="00CE31C3">
        <w:rPr>
          <w:rFonts w:cstheme="minorHAnsi"/>
          <w:sz w:val="20"/>
          <w:szCs w:val="20"/>
          <w:highlight w:val="green"/>
          <w:lang w:val="es-CL"/>
        </w:rPr>
        <w:t>*</w:t>
      </w:r>
      <w:proofErr w:type="spellStart"/>
      <w:r w:rsidRPr="00CE31C3">
        <w:rPr>
          <w:rFonts w:cstheme="minorHAnsi"/>
          <w:sz w:val="20"/>
          <w:szCs w:val="20"/>
          <w:highlight w:val="green"/>
          <w:lang w:val="es-CL"/>
        </w:rPr>
        <w:t>Here</w:t>
      </w:r>
      <w:proofErr w:type="spellEnd"/>
      <w:r w:rsidRPr="00CE31C3">
        <w:rPr>
          <w:rFonts w:cstheme="minorHAnsi"/>
          <w:sz w:val="20"/>
          <w:szCs w:val="20"/>
          <w:highlight w:val="green"/>
          <w:lang w:val="es-CL"/>
        </w:rPr>
        <w:t xml:space="preserve"> </w:t>
      </w:r>
      <w:proofErr w:type="spellStart"/>
      <w:r w:rsidRPr="00CE31C3">
        <w:rPr>
          <w:rFonts w:cstheme="minorHAnsi"/>
          <w:sz w:val="20"/>
          <w:szCs w:val="20"/>
          <w:highlight w:val="green"/>
          <w:lang w:val="es-CL"/>
        </w:rPr>
        <w:t>you</w:t>
      </w:r>
      <w:proofErr w:type="spellEnd"/>
      <w:r w:rsidRPr="00CE31C3">
        <w:rPr>
          <w:rFonts w:cstheme="minorHAnsi"/>
          <w:sz w:val="20"/>
          <w:szCs w:val="20"/>
          <w:highlight w:val="green"/>
          <w:lang w:val="es-CL"/>
        </w:rPr>
        <w:t xml:space="preserve"> can </w:t>
      </w:r>
      <w:proofErr w:type="spellStart"/>
      <w:r w:rsidRPr="00CE31C3">
        <w:rPr>
          <w:rFonts w:cstheme="minorHAnsi"/>
          <w:sz w:val="20"/>
          <w:szCs w:val="20"/>
          <w:highlight w:val="green"/>
          <w:lang w:val="es-CL"/>
        </w:rPr>
        <w:t>also</w:t>
      </w:r>
      <w:proofErr w:type="spellEnd"/>
      <w:r w:rsidRPr="00CE31C3">
        <w:rPr>
          <w:rFonts w:cstheme="minorHAnsi"/>
          <w:sz w:val="20"/>
          <w:szCs w:val="20"/>
          <w:highlight w:val="green"/>
          <w:lang w:val="es-CL"/>
        </w:rPr>
        <w:t xml:space="preserve"> </w:t>
      </w:r>
      <w:proofErr w:type="spellStart"/>
      <w:r w:rsidRPr="00CE31C3">
        <w:rPr>
          <w:rFonts w:cstheme="minorHAnsi"/>
          <w:sz w:val="20"/>
          <w:szCs w:val="20"/>
          <w:highlight w:val="green"/>
          <w:lang w:val="es-CL"/>
        </w:rPr>
        <w:t>mention</w:t>
      </w:r>
      <w:proofErr w:type="spellEnd"/>
      <w:r w:rsidRPr="00CE31C3">
        <w:rPr>
          <w:rFonts w:cstheme="minorHAnsi"/>
          <w:sz w:val="20"/>
          <w:szCs w:val="20"/>
          <w:highlight w:val="green"/>
          <w:lang w:val="es-CL"/>
        </w:rPr>
        <w:t xml:space="preserve"> "... </w:t>
      </w:r>
      <w:proofErr w:type="spellStart"/>
      <w:r w:rsidRPr="00CE31C3">
        <w:rPr>
          <w:rFonts w:cstheme="minorHAnsi"/>
          <w:sz w:val="20"/>
          <w:szCs w:val="20"/>
          <w:highlight w:val="green"/>
          <w:lang w:val="es-CL"/>
        </w:rPr>
        <w:t>considering</w:t>
      </w:r>
      <w:proofErr w:type="spellEnd"/>
      <w:r w:rsidRPr="00CE31C3">
        <w:rPr>
          <w:rFonts w:cstheme="minorHAnsi"/>
          <w:sz w:val="20"/>
          <w:szCs w:val="20"/>
          <w:highlight w:val="green"/>
          <w:lang w:val="es-CL"/>
        </w:rPr>
        <w:t xml:space="preserve"> </w:t>
      </w:r>
      <w:proofErr w:type="spellStart"/>
      <w:r w:rsidRPr="00CE31C3">
        <w:rPr>
          <w:rFonts w:cstheme="minorHAnsi"/>
          <w:sz w:val="20"/>
          <w:szCs w:val="20"/>
          <w:highlight w:val="green"/>
          <w:lang w:val="es-CL"/>
        </w:rPr>
        <w:t>the</w:t>
      </w:r>
      <w:proofErr w:type="spellEnd"/>
      <w:r w:rsidRPr="00CE31C3">
        <w:rPr>
          <w:rFonts w:cstheme="minorHAnsi"/>
          <w:sz w:val="20"/>
          <w:szCs w:val="20"/>
          <w:highlight w:val="green"/>
          <w:lang w:val="es-CL"/>
        </w:rPr>
        <w:t xml:space="preserve"> </w:t>
      </w:r>
      <w:proofErr w:type="spellStart"/>
      <w:r w:rsidRPr="00CE31C3">
        <w:rPr>
          <w:rFonts w:cstheme="minorHAnsi"/>
          <w:sz w:val="20"/>
          <w:szCs w:val="20"/>
          <w:highlight w:val="green"/>
          <w:lang w:val="es-CL"/>
        </w:rPr>
        <w:t>participation</w:t>
      </w:r>
      <w:proofErr w:type="spellEnd"/>
      <w:r w:rsidRPr="00CE31C3">
        <w:rPr>
          <w:rFonts w:cstheme="minorHAnsi"/>
          <w:sz w:val="20"/>
          <w:szCs w:val="20"/>
          <w:highlight w:val="green"/>
          <w:lang w:val="es-CL"/>
        </w:rPr>
        <w:t xml:space="preserve"> and </w:t>
      </w:r>
      <w:proofErr w:type="spellStart"/>
      <w:r w:rsidRPr="00CE31C3">
        <w:rPr>
          <w:rFonts w:cstheme="minorHAnsi"/>
          <w:sz w:val="20"/>
          <w:szCs w:val="20"/>
          <w:highlight w:val="green"/>
          <w:lang w:val="es-CL"/>
        </w:rPr>
        <w:t>the</w:t>
      </w:r>
      <w:proofErr w:type="spellEnd"/>
      <w:r w:rsidRPr="00CE31C3">
        <w:rPr>
          <w:rFonts w:cstheme="minorHAnsi"/>
          <w:sz w:val="20"/>
          <w:szCs w:val="20"/>
          <w:highlight w:val="green"/>
          <w:lang w:val="es-CL"/>
        </w:rPr>
        <w:t xml:space="preserve"> </w:t>
      </w:r>
      <w:proofErr w:type="spellStart"/>
      <w:r w:rsidRPr="00CE31C3">
        <w:rPr>
          <w:rFonts w:cstheme="minorHAnsi"/>
          <w:sz w:val="20"/>
          <w:szCs w:val="20"/>
          <w:highlight w:val="green"/>
          <w:lang w:val="es-CL"/>
        </w:rPr>
        <w:t>best</w:t>
      </w:r>
      <w:proofErr w:type="spellEnd"/>
      <w:r w:rsidRPr="00CE31C3">
        <w:rPr>
          <w:rFonts w:cstheme="minorHAnsi"/>
          <w:sz w:val="20"/>
          <w:szCs w:val="20"/>
          <w:highlight w:val="green"/>
          <w:lang w:val="es-CL"/>
        </w:rPr>
        <w:t xml:space="preserve"> </w:t>
      </w:r>
      <w:proofErr w:type="spellStart"/>
      <w:r w:rsidRPr="00CE31C3">
        <w:rPr>
          <w:rFonts w:cstheme="minorHAnsi"/>
          <w:sz w:val="20"/>
          <w:szCs w:val="20"/>
          <w:highlight w:val="green"/>
          <w:lang w:val="es-CL"/>
        </w:rPr>
        <w:t>interest</w:t>
      </w:r>
      <w:proofErr w:type="spellEnd"/>
      <w:r w:rsidRPr="00CE31C3">
        <w:rPr>
          <w:rFonts w:cstheme="minorHAnsi"/>
          <w:sz w:val="20"/>
          <w:szCs w:val="20"/>
          <w:highlight w:val="green"/>
          <w:lang w:val="es-CL"/>
        </w:rPr>
        <w:t xml:space="preserve"> of </w:t>
      </w:r>
      <w:proofErr w:type="spellStart"/>
      <w:r w:rsidRPr="00CE31C3">
        <w:rPr>
          <w:rFonts w:cstheme="minorHAnsi"/>
          <w:sz w:val="20"/>
          <w:szCs w:val="20"/>
          <w:highlight w:val="green"/>
          <w:lang w:val="es-CL"/>
        </w:rPr>
        <w:t>the</w:t>
      </w:r>
      <w:proofErr w:type="spellEnd"/>
      <w:r w:rsidRPr="00CE31C3">
        <w:rPr>
          <w:rFonts w:cstheme="minorHAnsi"/>
          <w:sz w:val="20"/>
          <w:szCs w:val="20"/>
          <w:highlight w:val="green"/>
          <w:lang w:val="es-CL"/>
        </w:rPr>
        <w:t xml:space="preserve"> </w:t>
      </w:r>
      <w:proofErr w:type="spellStart"/>
      <w:r w:rsidRPr="00CE31C3">
        <w:rPr>
          <w:rFonts w:cstheme="minorHAnsi"/>
          <w:sz w:val="20"/>
          <w:szCs w:val="20"/>
          <w:highlight w:val="green"/>
          <w:lang w:val="es-CL"/>
        </w:rPr>
        <w:t>girl</w:t>
      </w:r>
      <w:proofErr w:type="spellEnd"/>
      <w:r w:rsidRPr="00CE31C3">
        <w:rPr>
          <w:rFonts w:cstheme="minorHAnsi"/>
          <w:sz w:val="20"/>
          <w:szCs w:val="20"/>
          <w:highlight w:val="green"/>
          <w:lang w:val="es-CL"/>
        </w:rPr>
        <w:t xml:space="preserve">, </w:t>
      </w:r>
      <w:proofErr w:type="spellStart"/>
      <w:r w:rsidRPr="00CE31C3">
        <w:rPr>
          <w:rFonts w:cstheme="minorHAnsi"/>
          <w:sz w:val="20"/>
          <w:szCs w:val="20"/>
          <w:highlight w:val="green"/>
          <w:lang w:val="es-CL"/>
        </w:rPr>
        <w:t>boy</w:t>
      </w:r>
      <w:proofErr w:type="spellEnd"/>
      <w:r w:rsidRPr="00CE31C3">
        <w:rPr>
          <w:rFonts w:cstheme="minorHAnsi"/>
          <w:sz w:val="20"/>
          <w:szCs w:val="20"/>
          <w:highlight w:val="green"/>
          <w:lang w:val="es-CL"/>
        </w:rPr>
        <w:t xml:space="preserve"> </w:t>
      </w:r>
      <w:proofErr w:type="spellStart"/>
      <w:r w:rsidRPr="00CE31C3">
        <w:rPr>
          <w:rFonts w:cstheme="minorHAnsi"/>
          <w:sz w:val="20"/>
          <w:szCs w:val="20"/>
          <w:highlight w:val="green"/>
          <w:lang w:val="es-CL"/>
        </w:rPr>
        <w:t>or</w:t>
      </w:r>
      <w:proofErr w:type="spellEnd"/>
      <w:r w:rsidRPr="00CE31C3">
        <w:rPr>
          <w:rFonts w:cstheme="minorHAnsi"/>
          <w:sz w:val="20"/>
          <w:szCs w:val="20"/>
          <w:highlight w:val="green"/>
          <w:lang w:val="es-CL"/>
        </w:rPr>
        <w:t xml:space="preserve"> </w:t>
      </w:r>
      <w:proofErr w:type="spellStart"/>
      <w:r w:rsidRPr="00CE31C3">
        <w:rPr>
          <w:rFonts w:cstheme="minorHAnsi"/>
          <w:sz w:val="20"/>
          <w:szCs w:val="20"/>
          <w:highlight w:val="green"/>
          <w:lang w:val="es-CL"/>
        </w:rPr>
        <w:t>adolescent</w:t>
      </w:r>
      <w:proofErr w:type="spellEnd"/>
      <w:r w:rsidRPr="00CE31C3">
        <w:rPr>
          <w:rFonts w:cstheme="minorHAnsi"/>
          <w:sz w:val="20"/>
          <w:szCs w:val="20"/>
          <w:highlight w:val="green"/>
          <w:lang w:val="es-CL"/>
        </w:rPr>
        <w:t xml:space="preserve"> </w:t>
      </w:r>
      <w:proofErr w:type="spellStart"/>
      <w:r w:rsidRPr="00CE31C3">
        <w:rPr>
          <w:rFonts w:cstheme="minorHAnsi"/>
          <w:sz w:val="20"/>
          <w:szCs w:val="20"/>
          <w:highlight w:val="green"/>
          <w:lang w:val="es-CL"/>
        </w:rPr>
        <w:t>with</w:t>
      </w:r>
      <w:proofErr w:type="spellEnd"/>
      <w:r w:rsidRPr="00CE31C3">
        <w:rPr>
          <w:rFonts w:cstheme="minorHAnsi"/>
          <w:sz w:val="20"/>
          <w:szCs w:val="20"/>
          <w:highlight w:val="green"/>
          <w:lang w:val="es-CL"/>
        </w:rPr>
        <w:t xml:space="preserve"> a </w:t>
      </w:r>
      <w:proofErr w:type="spellStart"/>
      <w:r w:rsidRPr="00CE31C3">
        <w:rPr>
          <w:rFonts w:cstheme="minorHAnsi"/>
          <w:sz w:val="20"/>
          <w:szCs w:val="20"/>
          <w:highlight w:val="green"/>
          <w:lang w:val="es-CL"/>
        </w:rPr>
        <w:t>disability</w:t>
      </w:r>
      <w:proofErr w:type="spellEnd"/>
      <w:r w:rsidRPr="00CE31C3">
        <w:rPr>
          <w:rFonts w:cstheme="minorHAnsi"/>
          <w:sz w:val="20"/>
          <w:szCs w:val="20"/>
          <w:highlight w:val="green"/>
          <w:lang w:val="es-CL"/>
        </w:rPr>
        <w:t>"</w:t>
      </w:r>
      <w:r>
        <w:rPr>
          <w:rFonts w:cstheme="minorHAnsi"/>
          <w:sz w:val="20"/>
          <w:szCs w:val="20"/>
          <w:lang w:val="es-CL"/>
        </w:rPr>
        <w:t xml:space="preserve"> </w:t>
      </w:r>
      <w:r w:rsidRPr="00CE31C3">
        <w:rPr>
          <w:rFonts w:cstheme="minorHAnsi"/>
          <w:sz w:val="20"/>
          <w:szCs w:val="20"/>
          <w:lang w:val="es-CL"/>
        </w:rPr>
        <w:t>(</w:t>
      </w:r>
      <w:r w:rsidR="00C75143" w:rsidRPr="00CE31C3">
        <w:rPr>
          <w:rFonts w:cstheme="minorHAnsi"/>
          <w:sz w:val="20"/>
          <w:szCs w:val="20"/>
          <w:lang w:val="es-CL"/>
        </w:rPr>
        <w:t>*Aquí también se puede hacer mención “… considerando la participación y el interés superior de la niña, niño o adolescente con discapacidad”</w:t>
      </w:r>
      <w:r w:rsidRPr="00CE31C3">
        <w:rPr>
          <w:rFonts w:cstheme="minorHAnsi"/>
          <w:sz w:val="20"/>
          <w:szCs w:val="20"/>
          <w:lang w:val="es-CL"/>
        </w:rPr>
        <w:t>)</w:t>
      </w:r>
    </w:p>
    <w:p w14:paraId="1CA4D83E" w14:textId="7B08721A" w:rsidR="00524C4F" w:rsidRDefault="00524C4F" w:rsidP="00DE5131">
      <w:pPr>
        <w:rPr>
          <w:rFonts w:cstheme="minorHAnsi"/>
          <w:sz w:val="20"/>
          <w:szCs w:val="20"/>
          <w:lang w:val="es-CL"/>
        </w:rPr>
      </w:pPr>
    </w:p>
    <w:p w14:paraId="5249B0B5" w14:textId="77777777" w:rsidR="00524C4F" w:rsidRPr="006F3BF6" w:rsidRDefault="00524C4F" w:rsidP="00524C4F">
      <w:pPr>
        <w:pStyle w:val="Heading3"/>
        <w:keepNext w:val="0"/>
        <w:keepLines w:val="0"/>
        <w:numPr>
          <w:ilvl w:val="2"/>
          <w:numId w:val="2"/>
        </w:numPr>
        <w:tabs>
          <w:tab w:val="num" w:pos="360"/>
        </w:tabs>
        <w:spacing w:before="0" w:after="160"/>
        <w:ind w:left="0" w:firstLine="0"/>
        <w:rPr>
          <w:b/>
          <w:color w:val="0070C0"/>
          <w:sz w:val="20"/>
          <w:szCs w:val="20"/>
        </w:rPr>
      </w:pPr>
      <w:r w:rsidRPr="006F3BF6">
        <w:rPr>
          <w:b/>
          <w:color w:val="0070C0"/>
          <w:sz w:val="20"/>
          <w:szCs w:val="20"/>
        </w:rPr>
        <w:t>Right to access to justice</w:t>
      </w:r>
    </w:p>
    <w:p w14:paraId="4B93D4CE" w14:textId="01379AD5" w:rsidR="00524C4F" w:rsidRDefault="00524C4F" w:rsidP="00524C4F">
      <w:pPr>
        <w:pStyle w:val="BodyText1"/>
        <w:numPr>
          <w:ilvl w:val="0"/>
          <w:numId w:val="0"/>
        </w:numPr>
        <w:ind w:left="283"/>
      </w:pPr>
      <w:r>
        <w:t xml:space="preserve">54. </w:t>
      </w:r>
      <w:r w:rsidRPr="00A4794F">
        <w:t xml:space="preserve">The right to live independently and be included in the community </w:t>
      </w:r>
      <w:proofErr w:type="gramStart"/>
      <w:r w:rsidRPr="00A4794F">
        <w:t>is closely connected</w:t>
      </w:r>
      <w:proofErr w:type="gramEnd"/>
      <w:r w:rsidRPr="00A4794F">
        <w:t xml:space="preserve"> to </w:t>
      </w:r>
      <w:r>
        <w:t>the right to</w:t>
      </w:r>
      <w:r w:rsidRPr="00A4794F">
        <w:t xml:space="preserve"> access to justice for all persons with disabilities, </w:t>
      </w:r>
      <w:r>
        <w:t xml:space="preserve">particularly for </w:t>
      </w:r>
      <w:r w:rsidRPr="00A4794F">
        <w:t>women and girls living in or leaving institutions</w:t>
      </w:r>
      <w:r>
        <w:t xml:space="preserve"> who experience gender-based violence</w:t>
      </w:r>
      <w:r w:rsidRPr="00A4794F">
        <w:t xml:space="preserve">. </w:t>
      </w:r>
      <w:r w:rsidR="00D11533">
        <w:t>*</w:t>
      </w:r>
      <w:r w:rsidRPr="00524C4F">
        <w:rPr>
          <w:u w:val="single"/>
        </w:rPr>
        <w:t xml:space="preserve">Environmental, attitudinal, legal, and procedural barriers to access justice for persons with disabilities, including those placed in institutions, </w:t>
      </w:r>
      <w:proofErr w:type="gramStart"/>
      <w:r w:rsidRPr="00524C4F">
        <w:rPr>
          <w:u w:val="single"/>
        </w:rPr>
        <w:t>should be removed</w:t>
      </w:r>
      <w:proofErr w:type="gramEnd"/>
      <w:r w:rsidRPr="00524C4F">
        <w:rPr>
          <w:u w:val="single"/>
        </w:rPr>
        <w:t>, across all legal domains.</w:t>
      </w:r>
      <w:r w:rsidRPr="00B57249">
        <w:t xml:space="preserve"> Procedural accommodations, such as Easy Read materials and plain language, </w:t>
      </w:r>
      <w:proofErr w:type="gramStart"/>
      <w:r w:rsidRPr="00B57249">
        <w:t>should be made</w:t>
      </w:r>
      <w:proofErr w:type="gramEnd"/>
      <w:r w:rsidRPr="00B57249">
        <w:t xml:space="preserve"> available. States Parties should ensure legal standing in </w:t>
      </w:r>
      <w:proofErr w:type="gramStart"/>
      <w:r w:rsidRPr="00B57249">
        <w:t>courts and tribunals</w:t>
      </w:r>
      <w:proofErr w:type="gramEnd"/>
      <w:r w:rsidRPr="00B57249">
        <w:t xml:space="preserve"> and provision of legal representation for persons with disabilities in the justice system. States Parties should ensure law and judicial procedures recognizing the right of persons with disabilities to provide testimony and stand as witnesses,</w:t>
      </w:r>
      <w:r w:rsidRPr="00B57249">
        <w:rPr>
          <w:vertAlign w:val="superscript"/>
        </w:rPr>
        <w:footnoteReference w:id="2"/>
      </w:r>
      <w:r w:rsidRPr="00B57249">
        <w:t xml:space="preserve"> and ensure persons in institutions have an</w:t>
      </w:r>
      <w:r>
        <w:t xml:space="preserve"> effective right to call police and </w:t>
      </w:r>
      <w:r w:rsidRPr="00A4794F">
        <w:t>fil</w:t>
      </w:r>
      <w:r>
        <w:t>e</w:t>
      </w:r>
      <w:r w:rsidRPr="00A4794F">
        <w:t xml:space="preserve"> criminal charges while inside an institution.</w:t>
      </w:r>
    </w:p>
    <w:p w14:paraId="256C6C0C" w14:textId="396FFED5" w:rsidR="00524C4F" w:rsidRPr="00524C4F" w:rsidRDefault="00D11533" w:rsidP="00524C4F">
      <w:pPr>
        <w:pStyle w:val="BodyText1"/>
        <w:numPr>
          <w:ilvl w:val="0"/>
          <w:numId w:val="0"/>
        </w:numPr>
        <w:ind w:left="283"/>
        <w:rPr>
          <w:lang w:val="es-CL"/>
        </w:rPr>
      </w:pPr>
      <w:r w:rsidRPr="0015312D">
        <w:rPr>
          <w:rFonts w:cstheme="minorHAnsi"/>
          <w:highlight w:val="green"/>
          <w:lang w:val="es-CL"/>
        </w:rPr>
        <w:t>*</w:t>
      </w:r>
      <w:proofErr w:type="spellStart"/>
      <w:r w:rsidR="0015312D" w:rsidRPr="0015312D">
        <w:rPr>
          <w:rFonts w:cstheme="minorHAnsi"/>
          <w:highlight w:val="green"/>
          <w:lang w:val="es-CL"/>
        </w:rPr>
        <w:t>It</w:t>
      </w:r>
      <w:proofErr w:type="spellEnd"/>
      <w:r w:rsidR="0015312D" w:rsidRPr="0015312D">
        <w:rPr>
          <w:rFonts w:cstheme="minorHAnsi"/>
          <w:highlight w:val="green"/>
          <w:lang w:val="es-CL"/>
        </w:rPr>
        <w:t xml:space="preserve"> </w:t>
      </w:r>
      <w:proofErr w:type="spellStart"/>
      <w:r w:rsidR="0015312D" w:rsidRPr="0015312D">
        <w:rPr>
          <w:rFonts w:cstheme="minorHAnsi"/>
          <w:highlight w:val="green"/>
          <w:lang w:val="es-CL"/>
        </w:rPr>
        <w:t>is</w:t>
      </w:r>
      <w:proofErr w:type="spellEnd"/>
      <w:r w:rsidR="0015312D" w:rsidRPr="0015312D">
        <w:rPr>
          <w:rFonts w:cstheme="minorHAnsi"/>
          <w:highlight w:val="green"/>
          <w:lang w:val="es-CL"/>
        </w:rPr>
        <w:t xml:space="preserve"> </w:t>
      </w:r>
      <w:proofErr w:type="spellStart"/>
      <w:r w:rsidR="0015312D" w:rsidRPr="0015312D">
        <w:rPr>
          <w:rFonts w:cstheme="minorHAnsi"/>
          <w:highlight w:val="green"/>
          <w:lang w:val="es-CL"/>
        </w:rPr>
        <w:t>suggested</w:t>
      </w:r>
      <w:proofErr w:type="spellEnd"/>
      <w:r w:rsidR="0015312D" w:rsidRPr="0015312D">
        <w:rPr>
          <w:rFonts w:cstheme="minorHAnsi"/>
          <w:highlight w:val="green"/>
          <w:lang w:val="es-CL"/>
        </w:rPr>
        <w:t xml:space="preserve"> to </w:t>
      </w:r>
      <w:proofErr w:type="spellStart"/>
      <w:r w:rsidR="0015312D" w:rsidRPr="0015312D">
        <w:rPr>
          <w:rFonts w:cstheme="minorHAnsi"/>
          <w:highlight w:val="green"/>
          <w:lang w:val="es-CL"/>
        </w:rPr>
        <w:t>add</w:t>
      </w:r>
      <w:proofErr w:type="spellEnd"/>
      <w:r w:rsidR="0015312D" w:rsidRPr="0015312D">
        <w:rPr>
          <w:rFonts w:cstheme="minorHAnsi"/>
          <w:highlight w:val="green"/>
          <w:lang w:val="es-CL"/>
        </w:rPr>
        <w:t>: “</w:t>
      </w:r>
      <w:proofErr w:type="spellStart"/>
      <w:r w:rsidR="0015312D" w:rsidRPr="001C59E6">
        <w:rPr>
          <w:rFonts w:cstheme="minorHAnsi"/>
          <w:lang w:val="es-CL"/>
        </w:rPr>
        <w:t>information</w:t>
      </w:r>
      <w:proofErr w:type="spellEnd"/>
      <w:r w:rsidR="0015312D" w:rsidRPr="001C59E6">
        <w:rPr>
          <w:rFonts w:cstheme="minorHAnsi"/>
          <w:lang w:val="es-CL"/>
        </w:rPr>
        <w:t xml:space="preserve">, </w:t>
      </w:r>
      <w:proofErr w:type="spellStart"/>
      <w:r w:rsidR="0015312D" w:rsidRPr="001C59E6">
        <w:rPr>
          <w:rFonts w:cstheme="minorHAnsi"/>
          <w:lang w:val="es-CL"/>
        </w:rPr>
        <w:t>communications</w:t>
      </w:r>
      <w:proofErr w:type="spellEnd"/>
      <w:r w:rsidR="0015312D" w:rsidRPr="001C59E6">
        <w:rPr>
          <w:rFonts w:cstheme="minorHAnsi"/>
          <w:lang w:val="es-CL"/>
        </w:rPr>
        <w:t xml:space="preserve">, </w:t>
      </w:r>
      <w:r w:rsidR="0015312D" w:rsidRPr="0015312D">
        <w:rPr>
          <w:rFonts w:cstheme="minorHAnsi"/>
          <w:highlight w:val="green"/>
          <w:lang w:val="es-CL"/>
        </w:rPr>
        <w:t xml:space="preserve">and </w:t>
      </w:r>
      <w:proofErr w:type="spellStart"/>
      <w:r w:rsidR="0015312D" w:rsidRPr="0015312D">
        <w:rPr>
          <w:rFonts w:cstheme="minorHAnsi"/>
          <w:highlight w:val="green"/>
          <w:lang w:val="es-CL"/>
        </w:rPr>
        <w:t>technological</w:t>
      </w:r>
      <w:proofErr w:type="spellEnd"/>
      <w:r w:rsidR="0015312D" w:rsidRPr="0015312D">
        <w:rPr>
          <w:rFonts w:cstheme="minorHAnsi"/>
          <w:highlight w:val="green"/>
          <w:lang w:val="es-CL"/>
        </w:rPr>
        <w:t xml:space="preserve"> </w:t>
      </w:r>
      <w:proofErr w:type="spellStart"/>
      <w:r w:rsidR="0015312D" w:rsidRPr="0015312D">
        <w:rPr>
          <w:rFonts w:cstheme="minorHAnsi"/>
          <w:highlight w:val="green"/>
          <w:lang w:val="es-CL"/>
        </w:rPr>
        <w:t>barriers</w:t>
      </w:r>
      <w:proofErr w:type="spellEnd"/>
      <w:r w:rsidR="0015312D" w:rsidRPr="0015312D">
        <w:rPr>
          <w:rFonts w:cstheme="minorHAnsi"/>
          <w:highlight w:val="green"/>
          <w:lang w:val="es-CL"/>
        </w:rPr>
        <w:t>”</w:t>
      </w:r>
      <w:r w:rsidR="0015312D">
        <w:rPr>
          <w:rFonts w:cstheme="minorHAnsi"/>
          <w:lang w:val="es-CL"/>
        </w:rPr>
        <w:t xml:space="preserve"> </w:t>
      </w:r>
      <w:r w:rsidR="0015312D" w:rsidRPr="0015312D">
        <w:rPr>
          <w:rFonts w:cstheme="minorHAnsi"/>
          <w:lang w:val="es-CL"/>
        </w:rPr>
        <w:t>(</w:t>
      </w:r>
      <w:r w:rsidR="00524C4F" w:rsidRPr="0015312D">
        <w:rPr>
          <w:rFonts w:cstheme="minorHAnsi"/>
          <w:lang w:val="es-CL"/>
        </w:rPr>
        <w:t>Se sugiere adicionar: “las barreras informativas, comunicaciones y tecnológicas”</w:t>
      </w:r>
      <w:r w:rsidR="0015312D" w:rsidRPr="0015312D">
        <w:rPr>
          <w:rFonts w:cstheme="minorHAnsi"/>
          <w:lang w:val="es-CL"/>
        </w:rPr>
        <w:t>).</w:t>
      </w:r>
    </w:p>
    <w:p w14:paraId="0E0E3666" w14:textId="716E0BD6" w:rsidR="00524C4F" w:rsidRDefault="00524C4F" w:rsidP="00DE5131">
      <w:pPr>
        <w:rPr>
          <w:lang w:val="es-CL"/>
        </w:rPr>
      </w:pPr>
    </w:p>
    <w:p w14:paraId="2AE444F6" w14:textId="77777777" w:rsidR="00E45D93" w:rsidRPr="006F3BF6" w:rsidRDefault="00E45D93" w:rsidP="00E45D93">
      <w:pPr>
        <w:pStyle w:val="Heading3"/>
        <w:keepNext w:val="0"/>
        <w:keepLines w:val="0"/>
        <w:numPr>
          <w:ilvl w:val="2"/>
          <w:numId w:val="3"/>
        </w:numPr>
        <w:tabs>
          <w:tab w:val="num" w:pos="360"/>
        </w:tabs>
        <w:spacing w:before="0" w:after="160"/>
        <w:ind w:left="0" w:firstLine="0"/>
        <w:rPr>
          <w:b/>
          <w:color w:val="0070C0"/>
          <w:sz w:val="20"/>
          <w:szCs w:val="20"/>
        </w:rPr>
      </w:pPr>
      <w:bookmarkStart w:id="0" w:name="_Toc102220569"/>
      <w:r w:rsidRPr="006F3BF6">
        <w:rPr>
          <w:b/>
          <w:color w:val="0070C0"/>
          <w:sz w:val="20"/>
          <w:szCs w:val="20"/>
        </w:rPr>
        <w:t>Right to equality and non-discrimination</w:t>
      </w:r>
      <w:bookmarkEnd w:id="0"/>
      <w:r w:rsidRPr="006F3BF6">
        <w:rPr>
          <w:b/>
          <w:color w:val="0070C0"/>
          <w:sz w:val="20"/>
          <w:szCs w:val="20"/>
        </w:rPr>
        <w:t> </w:t>
      </w:r>
    </w:p>
    <w:p w14:paraId="12364B37" w14:textId="77777777" w:rsidR="00E45D93" w:rsidRDefault="00E45D93" w:rsidP="00D8091E">
      <w:pPr>
        <w:pStyle w:val="BodyText1"/>
        <w:numPr>
          <w:ilvl w:val="0"/>
          <w:numId w:val="0"/>
        </w:numPr>
        <w:ind w:left="283"/>
      </w:pPr>
      <w:r>
        <w:t xml:space="preserve">57. </w:t>
      </w:r>
      <w:r w:rsidRPr="00652D03">
        <w:t xml:space="preserve">States </w:t>
      </w:r>
      <w:r w:rsidRPr="00EB0ACE">
        <w:t>Parties should recognize</w:t>
      </w:r>
      <w:r w:rsidRPr="00652D03">
        <w:t xml:space="preserve"> in law that institutionalization </w:t>
      </w:r>
      <w:proofErr w:type="gramStart"/>
      <w:r w:rsidRPr="00652D03">
        <w:t>on the basis of</w:t>
      </w:r>
      <w:proofErr w:type="gramEnd"/>
      <w:r w:rsidRPr="00652D03">
        <w:t xml:space="preserve"> disability, separately or in combination with other grounds, amounts to a prohibited form of discrimination.</w:t>
      </w:r>
      <w:r>
        <w:t xml:space="preserve"> </w:t>
      </w:r>
    </w:p>
    <w:p w14:paraId="4C482017" w14:textId="1B917DC9" w:rsidR="00193988" w:rsidRPr="00D8091E" w:rsidRDefault="00D8091E" w:rsidP="00193988">
      <w:pPr>
        <w:jc w:val="both"/>
        <w:rPr>
          <w:rFonts w:cstheme="minorHAnsi"/>
          <w:sz w:val="20"/>
          <w:szCs w:val="20"/>
          <w:lang w:val="es-CL"/>
        </w:rPr>
      </w:pPr>
      <w:r w:rsidRPr="00E80758">
        <w:rPr>
          <w:rFonts w:cstheme="minorHAnsi"/>
          <w:sz w:val="20"/>
          <w:szCs w:val="20"/>
          <w:highlight w:val="green"/>
          <w:lang w:val="en-GB"/>
        </w:rPr>
        <w:t xml:space="preserve">* It </w:t>
      </w:r>
      <w:proofErr w:type="gramStart"/>
      <w:r w:rsidRPr="00E80758">
        <w:rPr>
          <w:rFonts w:cstheme="minorHAnsi"/>
          <w:sz w:val="20"/>
          <w:szCs w:val="20"/>
          <w:highlight w:val="green"/>
          <w:lang w:val="en-GB"/>
        </w:rPr>
        <w:t>is suggested</w:t>
      </w:r>
      <w:proofErr w:type="gramEnd"/>
      <w:r w:rsidRPr="00E80758">
        <w:rPr>
          <w:rFonts w:cstheme="minorHAnsi"/>
          <w:sz w:val="20"/>
          <w:szCs w:val="20"/>
          <w:highlight w:val="green"/>
          <w:lang w:val="en-GB"/>
        </w:rPr>
        <w:t xml:space="preserve"> to add a segment dedicated to universal accessibility, which is an important factor for deinstitutionalization</w:t>
      </w:r>
      <w:r w:rsidRPr="00D8091E">
        <w:rPr>
          <w:rFonts w:cstheme="minorHAnsi"/>
          <w:sz w:val="20"/>
          <w:szCs w:val="20"/>
          <w:lang w:val="en-GB"/>
        </w:rPr>
        <w:t>.</w:t>
      </w:r>
      <w:r w:rsidR="00D36D70" w:rsidRPr="00D36D70">
        <w:t xml:space="preserve"> </w:t>
      </w:r>
      <w:r w:rsidR="00D36D70" w:rsidRPr="00D36D70">
        <w:rPr>
          <w:rFonts w:cstheme="minorHAnsi"/>
          <w:sz w:val="20"/>
          <w:szCs w:val="20"/>
          <w:highlight w:val="green"/>
        </w:rPr>
        <w:t>Universal accessibility facilitates the exercise of human rights and fundamental freedoms</w:t>
      </w:r>
      <w:r w:rsidR="00D36D70" w:rsidRPr="00D36D70">
        <w:rPr>
          <w:rFonts w:cstheme="minorHAnsi"/>
          <w:sz w:val="20"/>
          <w:szCs w:val="20"/>
        </w:rPr>
        <w:t>.</w:t>
      </w:r>
      <w:r w:rsidR="00D36D70">
        <w:rPr>
          <w:rFonts w:cstheme="minorHAnsi"/>
          <w:sz w:val="20"/>
          <w:szCs w:val="20"/>
        </w:rPr>
        <w:t xml:space="preserve"> </w:t>
      </w:r>
      <w:r w:rsidRPr="00D36D70">
        <w:rPr>
          <w:rFonts w:cstheme="minorHAnsi"/>
          <w:sz w:val="20"/>
          <w:szCs w:val="20"/>
        </w:rPr>
        <w:t xml:space="preserve"> </w:t>
      </w:r>
      <w:r w:rsidRPr="00E80758">
        <w:rPr>
          <w:rFonts w:cstheme="minorHAnsi"/>
          <w:sz w:val="20"/>
          <w:szCs w:val="20"/>
          <w:lang w:val="es-CL"/>
        </w:rPr>
        <w:t>(</w:t>
      </w:r>
      <w:r w:rsidR="00D11533" w:rsidRPr="00E80758">
        <w:rPr>
          <w:rFonts w:cstheme="minorHAnsi"/>
          <w:sz w:val="20"/>
          <w:szCs w:val="20"/>
          <w:lang w:val="es-CL"/>
        </w:rPr>
        <w:t>S</w:t>
      </w:r>
      <w:r w:rsidR="00193988" w:rsidRPr="00E80758">
        <w:rPr>
          <w:rFonts w:cstheme="minorHAnsi"/>
          <w:sz w:val="20"/>
          <w:szCs w:val="20"/>
          <w:lang w:val="es-CL"/>
        </w:rPr>
        <w:t>e sugiere adicionar un segmento dedicado a la accesibilidad universal que es un factor importante para la desinstitucionalización</w:t>
      </w:r>
      <w:r w:rsidR="00D36D70">
        <w:rPr>
          <w:rFonts w:cstheme="minorHAnsi"/>
          <w:sz w:val="20"/>
          <w:szCs w:val="20"/>
          <w:lang w:val="es-CL"/>
        </w:rPr>
        <w:t>. La accesibilidad universal facilita el ejercicio de derechos humanos y libertades fundamentales</w:t>
      </w:r>
      <w:r w:rsidRPr="00E80758">
        <w:rPr>
          <w:rFonts w:cstheme="minorHAnsi"/>
          <w:sz w:val="20"/>
          <w:szCs w:val="20"/>
          <w:lang w:val="es-CL"/>
        </w:rPr>
        <w:t>)</w:t>
      </w:r>
    </w:p>
    <w:p w14:paraId="25C8FED0" w14:textId="76CAC629" w:rsidR="00E45D93" w:rsidRPr="00D8091E" w:rsidRDefault="00E45D93" w:rsidP="00DE5131">
      <w:pPr>
        <w:rPr>
          <w:lang w:val="es-CL"/>
        </w:rPr>
      </w:pPr>
    </w:p>
    <w:p w14:paraId="7B28C05C" w14:textId="6C02C48A" w:rsidR="00193988" w:rsidRDefault="00193988" w:rsidP="00193988">
      <w:pPr>
        <w:pStyle w:val="Heading2"/>
        <w:numPr>
          <w:ilvl w:val="1"/>
          <w:numId w:val="4"/>
        </w:numPr>
        <w:tabs>
          <w:tab w:val="num" w:pos="360"/>
        </w:tabs>
        <w:ind w:left="0" w:firstLine="0"/>
        <w:rPr>
          <w:color w:val="0070C0"/>
        </w:rPr>
      </w:pPr>
      <w:bookmarkStart w:id="1" w:name="_Toc102220570"/>
      <w:r w:rsidRPr="00F1387B">
        <w:rPr>
          <w:color w:val="0070C0"/>
        </w:rPr>
        <w:lastRenderedPageBreak/>
        <w:t>Legal Framework and resources</w:t>
      </w:r>
      <w:bookmarkEnd w:id="1"/>
      <w:r w:rsidRPr="00F1387B">
        <w:rPr>
          <w:color w:val="0070C0"/>
        </w:rPr>
        <w:t xml:space="preserve"> </w:t>
      </w:r>
    </w:p>
    <w:p w14:paraId="413AC93C" w14:textId="0746DA3E" w:rsidR="00193988" w:rsidRDefault="00193988" w:rsidP="00193988"/>
    <w:p w14:paraId="612BE35A" w14:textId="77777777" w:rsidR="00193988" w:rsidRPr="006F3BF6" w:rsidRDefault="00193988" w:rsidP="00193988">
      <w:pPr>
        <w:pStyle w:val="Heading3"/>
        <w:keepNext w:val="0"/>
        <w:keepLines w:val="0"/>
        <w:numPr>
          <w:ilvl w:val="2"/>
          <w:numId w:val="1"/>
        </w:numPr>
        <w:tabs>
          <w:tab w:val="num" w:pos="360"/>
        </w:tabs>
        <w:spacing w:before="0" w:after="160"/>
        <w:ind w:left="0" w:firstLine="0"/>
        <w:rPr>
          <w:b/>
          <w:color w:val="0070C0"/>
          <w:sz w:val="20"/>
          <w:szCs w:val="20"/>
        </w:rPr>
      </w:pPr>
      <w:bookmarkStart w:id="2" w:name="_Toc102220571"/>
      <w:r w:rsidRPr="006F3BF6">
        <w:rPr>
          <w:b/>
          <w:color w:val="0070C0"/>
          <w:sz w:val="20"/>
          <w:szCs w:val="20"/>
        </w:rPr>
        <w:t>Legislation</w:t>
      </w:r>
      <w:bookmarkEnd w:id="2"/>
    </w:p>
    <w:p w14:paraId="18E5D0A7" w14:textId="77777777" w:rsidR="00193988" w:rsidRPr="00C36B33" w:rsidRDefault="00193988" w:rsidP="00193988">
      <w:pPr>
        <w:pStyle w:val="BodyText1"/>
        <w:numPr>
          <w:ilvl w:val="0"/>
          <w:numId w:val="0"/>
        </w:numPr>
        <w:ind w:left="283"/>
      </w:pPr>
      <w:r>
        <w:t xml:space="preserve">60. </w:t>
      </w:r>
      <w:r w:rsidRPr="00193988">
        <w:rPr>
          <w:u w:val="single"/>
        </w:rPr>
        <w:t>Legislation that needs to be brought in line with the Convention includes legal provisions governing legal capacity; disability laws; family laws; health laws; civil laws; laws governing social care provision for children, adults, and older persons; and social protection legislation</w:t>
      </w:r>
      <w:r w:rsidRPr="00C36B33">
        <w:t xml:space="preserve">. </w:t>
      </w:r>
      <w:r w:rsidRPr="00663BA3">
        <w:rPr>
          <w:u w:val="single"/>
        </w:rPr>
        <w:t xml:space="preserve">Such legislation </w:t>
      </w:r>
      <w:proofErr w:type="gramStart"/>
      <w:r w:rsidRPr="00663BA3">
        <w:rPr>
          <w:u w:val="single"/>
        </w:rPr>
        <w:t>should be reviewed</w:t>
      </w:r>
      <w:proofErr w:type="gramEnd"/>
      <w:r w:rsidRPr="00663BA3">
        <w:rPr>
          <w:u w:val="single"/>
        </w:rPr>
        <w:t xml:space="preserve"> in line with the Convention and Committee’s general comments. Provisions in mental health laws allowing for institutionalization of persons with disabilities </w:t>
      </w:r>
      <w:proofErr w:type="gramStart"/>
      <w:r w:rsidRPr="00663BA3">
        <w:rPr>
          <w:u w:val="single"/>
        </w:rPr>
        <w:t>should be abolished</w:t>
      </w:r>
      <w:proofErr w:type="gramEnd"/>
      <w:r w:rsidRPr="00C36B33">
        <w:t xml:space="preserve">. </w:t>
      </w:r>
    </w:p>
    <w:p w14:paraId="5C210E26" w14:textId="6CCEC575" w:rsidR="00193988" w:rsidRPr="00C578D5" w:rsidRDefault="00C578D5" w:rsidP="00DE5131">
      <w:pPr>
        <w:rPr>
          <w:lang w:val="es-CL"/>
        </w:rPr>
      </w:pPr>
      <w:r w:rsidRPr="00C578D5">
        <w:rPr>
          <w:rFonts w:cstheme="minorHAnsi"/>
          <w:sz w:val="20"/>
          <w:szCs w:val="20"/>
          <w:highlight w:val="green"/>
          <w:lang w:val="en-GB"/>
        </w:rPr>
        <w:t xml:space="preserve">*It is suggested to add </w:t>
      </w:r>
      <w:r w:rsidR="00DD46C0">
        <w:rPr>
          <w:rFonts w:cstheme="minorHAnsi"/>
          <w:sz w:val="20"/>
          <w:szCs w:val="20"/>
          <w:highlight w:val="green"/>
          <w:lang w:val="en-GB"/>
        </w:rPr>
        <w:t xml:space="preserve">for the review </w:t>
      </w:r>
      <w:r w:rsidRPr="00C578D5">
        <w:rPr>
          <w:rFonts w:cstheme="minorHAnsi"/>
          <w:sz w:val="20"/>
          <w:szCs w:val="20"/>
          <w:highlight w:val="green"/>
          <w:lang w:val="en-GB"/>
        </w:rPr>
        <w:t>“criminal laws and procedural laws”.</w:t>
      </w:r>
      <w:r>
        <w:rPr>
          <w:rFonts w:cstheme="minorHAnsi"/>
          <w:sz w:val="20"/>
          <w:szCs w:val="20"/>
          <w:lang w:val="en-GB"/>
        </w:rPr>
        <w:t xml:space="preserve"> </w:t>
      </w:r>
      <w:r w:rsidRPr="00C578D5">
        <w:rPr>
          <w:rFonts w:cstheme="minorHAnsi"/>
          <w:sz w:val="20"/>
          <w:szCs w:val="20"/>
          <w:lang w:val="es-CL"/>
        </w:rPr>
        <w:t>(</w:t>
      </w:r>
      <w:r w:rsidR="00193988" w:rsidRPr="00C578D5">
        <w:rPr>
          <w:rFonts w:cstheme="minorHAnsi"/>
          <w:sz w:val="20"/>
          <w:szCs w:val="20"/>
          <w:lang w:val="es-CL"/>
        </w:rPr>
        <w:t>*</w:t>
      </w:r>
      <w:r w:rsidR="00D11533" w:rsidRPr="00C578D5">
        <w:rPr>
          <w:rFonts w:cstheme="minorHAnsi"/>
          <w:sz w:val="20"/>
          <w:szCs w:val="20"/>
          <w:lang w:val="es-CL"/>
        </w:rPr>
        <w:t>Se</w:t>
      </w:r>
      <w:r w:rsidR="00193988" w:rsidRPr="00C578D5">
        <w:rPr>
          <w:rFonts w:cstheme="minorHAnsi"/>
          <w:sz w:val="20"/>
          <w:szCs w:val="20"/>
          <w:lang w:val="es-CL"/>
        </w:rPr>
        <w:t xml:space="preserve"> sugiere adicionar </w:t>
      </w:r>
      <w:r w:rsidR="00663BA3">
        <w:rPr>
          <w:rFonts w:cstheme="minorHAnsi"/>
          <w:sz w:val="20"/>
          <w:szCs w:val="20"/>
          <w:lang w:val="es-CL"/>
        </w:rPr>
        <w:t>para</w:t>
      </w:r>
      <w:r w:rsidR="00193988" w:rsidRPr="00C578D5">
        <w:rPr>
          <w:rFonts w:cstheme="minorHAnsi"/>
          <w:sz w:val="20"/>
          <w:szCs w:val="20"/>
          <w:lang w:val="es-CL"/>
        </w:rPr>
        <w:t xml:space="preserve"> la revisión de “leyes penales y leyes procesales”</w:t>
      </w:r>
      <w:r w:rsidRPr="00C578D5">
        <w:rPr>
          <w:rFonts w:cstheme="minorHAnsi"/>
          <w:sz w:val="20"/>
          <w:szCs w:val="20"/>
          <w:lang w:val="es-CL"/>
        </w:rPr>
        <w:t>)</w:t>
      </w:r>
      <w:r w:rsidR="00193988" w:rsidRPr="00C578D5">
        <w:rPr>
          <w:rFonts w:cstheme="minorHAnsi"/>
          <w:sz w:val="20"/>
          <w:szCs w:val="20"/>
          <w:lang w:val="es-CL"/>
        </w:rPr>
        <w:t>.</w:t>
      </w:r>
    </w:p>
    <w:p w14:paraId="364BF6C0" w14:textId="51498933" w:rsidR="00957941" w:rsidRPr="006F3BF6" w:rsidRDefault="00957941" w:rsidP="00957941">
      <w:pPr>
        <w:pStyle w:val="Heading3"/>
        <w:keepNext w:val="0"/>
        <w:keepLines w:val="0"/>
        <w:numPr>
          <w:ilvl w:val="1"/>
          <w:numId w:val="7"/>
        </w:numPr>
        <w:spacing w:before="0" w:after="160"/>
        <w:rPr>
          <w:b/>
          <w:color w:val="0070C0"/>
          <w:sz w:val="20"/>
          <w:szCs w:val="20"/>
        </w:rPr>
      </w:pPr>
      <w:bookmarkStart w:id="3" w:name="_Toc102220575"/>
      <w:r w:rsidRPr="006F3BF6">
        <w:rPr>
          <w:b/>
          <w:color w:val="0070C0"/>
          <w:sz w:val="20"/>
          <w:szCs w:val="20"/>
        </w:rPr>
        <w:t>Workforce analysis</w:t>
      </w:r>
      <w:bookmarkEnd w:id="3"/>
    </w:p>
    <w:p w14:paraId="1B45E4CA" w14:textId="77777777" w:rsidR="00957941" w:rsidRPr="00637192" w:rsidRDefault="00957941" w:rsidP="00C578D5">
      <w:pPr>
        <w:pStyle w:val="BodyText1"/>
        <w:numPr>
          <w:ilvl w:val="0"/>
          <w:numId w:val="0"/>
        </w:numPr>
        <w:ind w:left="283"/>
      </w:pPr>
      <w:r>
        <w:t xml:space="preserve">64. States Parties should map the workforce, including demographic and employment trends, and the impact these may have on deinstitutionalization. States Parties should establish priorities for improvement, assessing the feasibility of transformation of the existing workforce to the provision of services to persons with disabilities that comply with the Convention. </w:t>
      </w:r>
      <w:r w:rsidRPr="00957941">
        <w:rPr>
          <w:u w:val="single"/>
        </w:rPr>
        <w:t xml:space="preserve">They should provide services solely under the direction of persons with disabilities, or their family members in respect of children with disabilities. </w:t>
      </w:r>
      <w:r w:rsidRPr="00C36B33">
        <w:t xml:space="preserve">States Parties should ensure that those responsible for human rights violations </w:t>
      </w:r>
      <w:proofErr w:type="gramStart"/>
      <w:r w:rsidRPr="00C36B33">
        <w:t>are not licensed</w:t>
      </w:r>
      <w:proofErr w:type="gramEnd"/>
      <w:r w:rsidRPr="00C36B33">
        <w:t xml:space="preserve"> to provide new services.</w:t>
      </w:r>
      <w:r>
        <w:t xml:space="preserve"> </w:t>
      </w:r>
    </w:p>
    <w:p w14:paraId="04C5E0C1" w14:textId="66A45715" w:rsidR="00957941" w:rsidRPr="00C578D5" w:rsidRDefault="00957941" w:rsidP="00DE5131">
      <w:pPr>
        <w:rPr>
          <w:rFonts w:cstheme="minorHAnsi"/>
          <w:sz w:val="20"/>
          <w:szCs w:val="20"/>
          <w:lang w:val="es-CL"/>
        </w:rPr>
      </w:pPr>
      <w:r w:rsidRPr="00C578D5">
        <w:rPr>
          <w:rFonts w:cstheme="minorHAnsi"/>
          <w:sz w:val="20"/>
          <w:szCs w:val="20"/>
          <w:highlight w:val="green"/>
          <w:lang w:val="en-GB"/>
        </w:rPr>
        <w:t>*</w:t>
      </w:r>
      <w:r w:rsidR="00C578D5" w:rsidRPr="00C578D5">
        <w:rPr>
          <w:rFonts w:cstheme="minorHAnsi"/>
          <w:sz w:val="20"/>
          <w:szCs w:val="20"/>
          <w:highlight w:val="green"/>
          <w:lang w:val="en-GB"/>
        </w:rPr>
        <w:t xml:space="preserve">It </w:t>
      </w:r>
      <w:proofErr w:type="gramStart"/>
      <w:r w:rsidR="00C578D5" w:rsidRPr="00C578D5">
        <w:rPr>
          <w:rFonts w:cstheme="minorHAnsi"/>
          <w:sz w:val="20"/>
          <w:szCs w:val="20"/>
          <w:highlight w:val="green"/>
          <w:lang w:val="en-GB"/>
        </w:rPr>
        <w:t>is suggested</w:t>
      </w:r>
      <w:proofErr w:type="gramEnd"/>
      <w:r w:rsidR="00C578D5" w:rsidRPr="00C578D5">
        <w:rPr>
          <w:rFonts w:cstheme="minorHAnsi"/>
          <w:sz w:val="20"/>
          <w:szCs w:val="20"/>
          <w:highlight w:val="green"/>
          <w:lang w:val="en-GB"/>
        </w:rPr>
        <w:t xml:space="preserve"> to add </w:t>
      </w:r>
      <w:r w:rsidR="00DD46C0">
        <w:rPr>
          <w:rFonts w:cstheme="minorHAnsi"/>
          <w:sz w:val="20"/>
          <w:szCs w:val="20"/>
          <w:highlight w:val="green"/>
          <w:lang w:val="en-GB"/>
        </w:rPr>
        <w:t>“</w:t>
      </w:r>
      <w:r w:rsidR="00DD46C0" w:rsidRPr="001C59E6">
        <w:rPr>
          <w:rFonts w:cstheme="minorHAnsi"/>
          <w:sz w:val="20"/>
          <w:szCs w:val="20"/>
          <w:lang w:val="en-GB"/>
        </w:rPr>
        <w:t>hearing</w:t>
      </w:r>
      <w:r w:rsidR="00C578D5" w:rsidRPr="00F300FE">
        <w:rPr>
          <w:rFonts w:cstheme="minorHAnsi"/>
          <w:sz w:val="20"/>
          <w:szCs w:val="20"/>
          <w:highlight w:val="yellow"/>
          <w:lang w:val="en-GB"/>
        </w:rPr>
        <w:t xml:space="preserve"> </w:t>
      </w:r>
      <w:r w:rsidR="00C578D5" w:rsidRPr="00C578D5">
        <w:rPr>
          <w:rFonts w:cstheme="minorHAnsi"/>
          <w:sz w:val="20"/>
          <w:szCs w:val="20"/>
          <w:highlight w:val="green"/>
          <w:lang w:val="en-GB"/>
        </w:rPr>
        <w:t>to the girl, boy and adolescent and considering their opinion".</w:t>
      </w:r>
      <w:r w:rsidR="00C578D5">
        <w:rPr>
          <w:rFonts w:cstheme="minorHAnsi"/>
          <w:sz w:val="20"/>
          <w:szCs w:val="20"/>
          <w:lang w:val="en-GB"/>
        </w:rPr>
        <w:t xml:space="preserve"> </w:t>
      </w:r>
      <w:r w:rsidR="00C578D5" w:rsidRPr="00C578D5">
        <w:rPr>
          <w:rFonts w:cstheme="minorHAnsi"/>
          <w:sz w:val="20"/>
          <w:szCs w:val="20"/>
          <w:lang w:val="es-CL"/>
        </w:rPr>
        <w:t>(*</w:t>
      </w:r>
      <w:r w:rsidRPr="00C578D5">
        <w:rPr>
          <w:rFonts w:cstheme="minorHAnsi"/>
          <w:sz w:val="20"/>
          <w:szCs w:val="20"/>
          <w:lang w:val="es-CL"/>
        </w:rPr>
        <w:t>Se sugiere adicionar “oyendo a la niña, niño y adolescentes y considerando su opinión”</w:t>
      </w:r>
      <w:r w:rsidR="00C578D5" w:rsidRPr="00C578D5">
        <w:rPr>
          <w:rFonts w:cstheme="minorHAnsi"/>
          <w:sz w:val="20"/>
          <w:szCs w:val="20"/>
          <w:lang w:val="es-CL"/>
        </w:rPr>
        <w:t>)</w:t>
      </w:r>
      <w:r w:rsidR="00C578D5">
        <w:rPr>
          <w:rFonts w:cstheme="minorHAnsi"/>
          <w:sz w:val="20"/>
          <w:szCs w:val="20"/>
          <w:lang w:val="es-CL"/>
        </w:rPr>
        <w:t>.</w:t>
      </w:r>
    </w:p>
    <w:p w14:paraId="06CDB135" w14:textId="1C13EC0A" w:rsidR="00957941" w:rsidRPr="00C578D5" w:rsidRDefault="00957941" w:rsidP="00DE5131">
      <w:pPr>
        <w:rPr>
          <w:rFonts w:cstheme="minorHAnsi"/>
          <w:sz w:val="20"/>
          <w:szCs w:val="20"/>
          <w:lang w:val="es-CL"/>
        </w:rPr>
      </w:pPr>
    </w:p>
    <w:p w14:paraId="5F91F802" w14:textId="77777777" w:rsidR="00957941" w:rsidRPr="00756CBB" w:rsidRDefault="00957941" w:rsidP="00957941">
      <w:pPr>
        <w:rPr>
          <w:color w:val="2F5496" w:themeColor="accent1" w:themeShade="BF"/>
        </w:rPr>
      </w:pPr>
      <w:r w:rsidRPr="006F3BF6">
        <w:rPr>
          <w:b/>
          <w:color w:val="0070C0"/>
        </w:rPr>
        <w:t>VI.</w:t>
      </w:r>
      <w:r w:rsidRPr="006F3BF6">
        <w:rPr>
          <w:b/>
          <w:color w:val="0070C0"/>
        </w:rPr>
        <w:tab/>
      </w:r>
      <w:r w:rsidRPr="0064656D">
        <w:rPr>
          <w:b/>
          <w:color w:val="2F5496" w:themeColor="accent1" w:themeShade="BF"/>
          <w:sz w:val="24"/>
          <w:szCs w:val="24"/>
        </w:rPr>
        <w:t>Inclusive community support services, systems, and networks</w:t>
      </w:r>
      <w:r w:rsidRPr="0064656D">
        <w:rPr>
          <w:color w:val="2F5496" w:themeColor="accent1" w:themeShade="BF"/>
          <w:sz w:val="24"/>
          <w:szCs w:val="24"/>
        </w:rPr>
        <w:tab/>
      </w:r>
      <w:bookmarkStart w:id="4" w:name="_Toc102220578"/>
    </w:p>
    <w:bookmarkEnd w:id="4"/>
    <w:p w14:paraId="7DE43CD7" w14:textId="779BCBF7" w:rsidR="00957941" w:rsidRDefault="00957941" w:rsidP="00957941">
      <w:pPr>
        <w:pStyle w:val="Heading2"/>
        <w:numPr>
          <w:ilvl w:val="0"/>
          <w:numId w:val="8"/>
        </w:numPr>
        <w:tabs>
          <w:tab w:val="num" w:pos="360"/>
        </w:tabs>
        <w:ind w:left="0" w:firstLine="0"/>
        <w:rPr>
          <w:color w:val="0070C0"/>
        </w:rPr>
      </w:pPr>
      <w:r w:rsidRPr="00076562">
        <w:rPr>
          <w:color w:val="0070C0"/>
        </w:rPr>
        <w:t>Support systems/networks</w:t>
      </w:r>
    </w:p>
    <w:p w14:paraId="2EECAE67" w14:textId="77777777" w:rsidR="00957941" w:rsidRPr="00957941" w:rsidRDefault="00957941" w:rsidP="00957941"/>
    <w:p w14:paraId="74EA2A54" w14:textId="537A0879" w:rsidR="00957941" w:rsidRPr="00663BA3" w:rsidRDefault="00957941" w:rsidP="00663BA3">
      <w:pPr>
        <w:jc w:val="both"/>
        <w:rPr>
          <w:rFonts w:cstheme="minorHAnsi"/>
          <w:sz w:val="20"/>
          <w:szCs w:val="20"/>
          <w:lang w:val="es-CL"/>
        </w:rPr>
      </w:pPr>
      <w:r>
        <w:t xml:space="preserve">69. States </w:t>
      </w:r>
      <w:r w:rsidRPr="00144EAC">
        <w:t>Parties should recognize the existence of informal support and ensure communities and families are trained and supported</w:t>
      </w:r>
      <w:r>
        <w:t xml:space="preserve"> so they can provide support that is respectful of the choices, will and preferences of persons with disabilities. Where persons with disabilities do not wish to </w:t>
      </w:r>
      <w:proofErr w:type="gramStart"/>
      <w:r>
        <w:t>be supported</w:t>
      </w:r>
      <w:proofErr w:type="gramEnd"/>
      <w:r>
        <w:t xml:space="preserve"> by their families or communities, they should have access to other options. </w:t>
      </w:r>
      <w:r w:rsidRPr="000B6A44">
        <w:rPr>
          <w:rFonts w:cstheme="minorHAnsi"/>
          <w:sz w:val="20"/>
          <w:szCs w:val="20"/>
          <w:highlight w:val="green"/>
        </w:rPr>
        <w:t>*</w:t>
      </w:r>
      <w:r w:rsidR="000B6A44" w:rsidRPr="000B6A44">
        <w:rPr>
          <w:highlight w:val="green"/>
        </w:rPr>
        <w:t xml:space="preserve"> </w:t>
      </w:r>
      <w:r w:rsidR="000B6A44" w:rsidRPr="000B6A44">
        <w:rPr>
          <w:rFonts w:cstheme="minorHAnsi"/>
          <w:sz w:val="20"/>
          <w:szCs w:val="20"/>
          <w:highlight w:val="green"/>
        </w:rPr>
        <w:t xml:space="preserve">This applies </w:t>
      </w:r>
      <w:proofErr w:type="gramStart"/>
      <w:r w:rsidR="000B6A44" w:rsidRPr="000B6A44">
        <w:rPr>
          <w:rFonts w:cstheme="minorHAnsi"/>
          <w:sz w:val="20"/>
          <w:szCs w:val="20"/>
          <w:highlight w:val="green"/>
        </w:rPr>
        <w:t>also</w:t>
      </w:r>
      <w:proofErr w:type="gramEnd"/>
      <w:r w:rsidR="000B6A44" w:rsidRPr="000B6A44">
        <w:rPr>
          <w:rFonts w:cstheme="minorHAnsi"/>
          <w:sz w:val="20"/>
          <w:szCs w:val="20"/>
          <w:highlight w:val="green"/>
        </w:rPr>
        <w:t xml:space="preserve"> when the nuclear family or extended family </w:t>
      </w:r>
      <w:r w:rsidR="00DD46C0">
        <w:rPr>
          <w:rFonts w:cstheme="minorHAnsi"/>
          <w:sz w:val="20"/>
          <w:szCs w:val="20"/>
          <w:highlight w:val="green"/>
        </w:rPr>
        <w:t xml:space="preserve">are </w:t>
      </w:r>
      <w:r w:rsidR="000B6A44" w:rsidRPr="000B6A44">
        <w:rPr>
          <w:rFonts w:cstheme="minorHAnsi"/>
          <w:sz w:val="20"/>
          <w:szCs w:val="20"/>
          <w:highlight w:val="green"/>
        </w:rPr>
        <w:t>not available to support persons with disabilities</w:t>
      </w:r>
      <w:r w:rsidR="000B6A44" w:rsidRPr="000B6A44">
        <w:rPr>
          <w:rFonts w:cstheme="minorHAnsi"/>
          <w:sz w:val="20"/>
          <w:szCs w:val="20"/>
        </w:rPr>
        <w:t>.</w:t>
      </w:r>
      <w:r w:rsidR="000B6A44">
        <w:rPr>
          <w:rFonts w:cstheme="minorHAnsi"/>
          <w:sz w:val="20"/>
          <w:szCs w:val="20"/>
        </w:rPr>
        <w:t xml:space="preserve"> </w:t>
      </w:r>
      <w:r w:rsidR="000B6A44" w:rsidRPr="000B6A44">
        <w:rPr>
          <w:rFonts w:cstheme="minorHAnsi"/>
          <w:sz w:val="20"/>
          <w:szCs w:val="20"/>
          <w:lang w:val="es-CL"/>
        </w:rPr>
        <w:t>(</w:t>
      </w:r>
      <w:r w:rsidRPr="000B6A44">
        <w:rPr>
          <w:rFonts w:cstheme="minorHAnsi"/>
          <w:sz w:val="20"/>
          <w:szCs w:val="20"/>
          <w:lang w:val="es-CL"/>
        </w:rPr>
        <w:t xml:space="preserve">Esto se hace aplicable también cuando la familia nuclear o la familia extendida no están disponibles para apoyar a </w:t>
      </w:r>
      <w:r w:rsidR="00C578D5" w:rsidRPr="000B6A44">
        <w:rPr>
          <w:rFonts w:cstheme="minorHAnsi"/>
          <w:sz w:val="20"/>
          <w:szCs w:val="20"/>
          <w:lang w:val="es-CL"/>
        </w:rPr>
        <w:t>las personas</w:t>
      </w:r>
      <w:r w:rsidRPr="000B6A44">
        <w:rPr>
          <w:rFonts w:cstheme="minorHAnsi"/>
          <w:sz w:val="20"/>
          <w:szCs w:val="20"/>
          <w:lang w:val="es-CL"/>
        </w:rPr>
        <w:t xml:space="preserve"> con discapacidad</w:t>
      </w:r>
      <w:r w:rsidR="000B6A44">
        <w:rPr>
          <w:rFonts w:cstheme="minorHAnsi"/>
          <w:sz w:val="20"/>
          <w:szCs w:val="20"/>
          <w:lang w:val="es-CL"/>
        </w:rPr>
        <w:t>).</w:t>
      </w:r>
    </w:p>
    <w:p w14:paraId="06605E75" w14:textId="77777777" w:rsidR="00EE7EB5" w:rsidRDefault="00C0119C" w:rsidP="00C0119C">
      <w:pPr>
        <w:jc w:val="both"/>
      </w:pPr>
      <w:r>
        <w:t xml:space="preserve">72. States Parties should ensure that </w:t>
      </w:r>
      <w:r w:rsidRPr="00EB0ACE">
        <w:t xml:space="preserve">persons with disabilities </w:t>
      </w:r>
      <w:proofErr w:type="gramStart"/>
      <w:r w:rsidRPr="00EB0ACE">
        <w:t>can</w:t>
      </w:r>
      <w:proofErr w:type="gramEnd"/>
      <w:r w:rsidRPr="00EB0ACE">
        <w:t xml:space="preserve"> receive support from their families, should they decide. In such cases, States Parties should provide support to families in order that they fulfil their support roles. Support arrangements can include a multiplicity of supporters acceptable to the person using support, and States Parties should</w:t>
      </w:r>
      <w:r>
        <w:t xml:space="preserve"> ensure that they </w:t>
      </w:r>
      <w:proofErr w:type="gramStart"/>
      <w:r>
        <w:t>can</w:t>
      </w:r>
      <w:proofErr w:type="gramEnd"/>
      <w:r>
        <w:t xml:space="preserve"> take</w:t>
      </w:r>
      <w:r w:rsidRPr="001B1818">
        <w:t xml:space="preserve"> breaks</w:t>
      </w:r>
      <w:r>
        <w:t xml:space="preserve">. Options for families to take breaks </w:t>
      </w:r>
      <w:r w:rsidRPr="00052CAB">
        <w:t xml:space="preserve">through informal supports or through States Parties’ sponsored community-based supports </w:t>
      </w:r>
      <w:proofErr w:type="gramStart"/>
      <w:r w:rsidRPr="00052CAB">
        <w:t>should be made</w:t>
      </w:r>
      <w:proofErr w:type="gramEnd"/>
      <w:r w:rsidRPr="00052CAB">
        <w:t xml:space="preserve"> available. This includes the development of </w:t>
      </w:r>
      <w:r w:rsidRPr="000B6A44">
        <w:rPr>
          <w:u w:val="single"/>
        </w:rPr>
        <w:t>respite</w:t>
      </w:r>
      <w:r w:rsidRPr="000B6A44">
        <w:rPr>
          <w:rStyle w:val="FootnoteReference"/>
          <w:u w:val="single"/>
        </w:rPr>
        <w:footnoteReference w:id="3"/>
      </w:r>
      <w:r w:rsidRPr="000B6A44">
        <w:rPr>
          <w:u w:val="single"/>
        </w:rPr>
        <w:t xml:space="preserve"> services</w:t>
      </w:r>
      <w:r w:rsidRPr="00052CAB">
        <w:t xml:space="preserve">, but </w:t>
      </w:r>
      <w:r>
        <w:t>these should</w:t>
      </w:r>
      <w:r w:rsidRPr="00052CAB">
        <w:t xml:space="preserve"> not entail placing children or adults with disabilities in institutions, even for short </w:t>
      </w:r>
      <w:proofErr w:type="gramStart"/>
      <w:r w:rsidRPr="00052CAB">
        <w:t>period</w:t>
      </w:r>
      <w:r>
        <w:t>s</w:t>
      </w:r>
      <w:r w:rsidRPr="00052CAB">
        <w:t xml:space="preserve"> of time</w:t>
      </w:r>
      <w:proofErr w:type="gramEnd"/>
      <w:r>
        <w:t xml:space="preserve">.  </w:t>
      </w:r>
    </w:p>
    <w:p w14:paraId="04C88766" w14:textId="12E05174" w:rsidR="00C0119C" w:rsidRPr="00C0119C" w:rsidRDefault="00EE7EB5" w:rsidP="00C0119C">
      <w:pPr>
        <w:jc w:val="both"/>
        <w:rPr>
          <w:rFonts w:cstheme="minorHAnsi"/>
          <w:sz w:val="20"/>
          <w:szCs w:val="20"/>
          <w:lang w:val="es-CL"/>
        </w:rPr>
      </w:pPr>
      <w:r w:rsidRPr="00EE7EB5">
        <w:rPr>
          <w:rFonts w:cstheme="minorHAnsi"/>
          <w:sz w:val="20"/>
          <w:szCs w:val="20"/>
          <w:highlight w:val="green"/>
        </w:rPr>
        <w:t>*This applies when the person with a disability has high support needs. Not every person with a disability will cause the family to need "rest or respite."</w:t>
      </w:r>
      <w:r>
        <w:rPr>
          <w:rFonts w:cstheme="minorHAnsi"/>
          <w:sz w:val="20"/>
          <w:szCs w:val="20"/>
        </w:rPr>
        <w:t xml:space="preserve"> </w:t>
      </w:r>
      <w:r w:rsidRPr="00EE7EB5">
        <w:rPr>
          <w:rFonts w:cstheme="minorHAnsi"/>
          <w:sz w:val="20"/>
          <w:szCs w:val="20"/>
          <w:lang w:val="es-CL"/>
        </w:rPr>
        <w:t>(</w:t>
      </w:r>
      <w:r w:rsidR="00C0119C" w:rsidRPr="00EE7EB5">
        <w:rPr>
          <w:rFonts w:cstheme="minorHAnsi"/>
          <w:sz w:val="20"/>
          <w:szCs w:val="20"/>
          <w:lang w:val="es-CL"/>
        </w:rPr>
        <w:t>*E</w:t>
      </w:r>
      <w:r w:rsidR="00D11533" w:rsidRPr="00EE7EB5">
        <w:rPr>
          <w:rFonts w:cstheme="minorHAnsi"/>
          <w:sz w:val="20"/>
          <w:szCs w:val="20"/>
          <w:lang w:val="es-CL"/>
        </w:rPr>
        <w:t xml:space="preserve">sto se aplica </w:t>
      </w:r>
      <w:r w:rsidR="00C0119C" w:rsidRPr="00EE7EB5">
        <w:rPr>
          <w:rFonts w:cstheme="minorHAnsi"/>
          <w:sz w:val="20"/>
          <w:szCs w:val="20"/>
          <w:lang w:val="es-CL"/>
        </w:rPr>
        <w:t xml:space="preserve">cuando la persona con discapacidad tiene </w:t>
      </w:r>
      <w:r w:rsidR="00C0119C" w:rsidRPr="00EE7EB5">
        <w:rPr>
          <w:rFonts w:cstheme="minorHAnsi"/>
          <w:sz w:val="20"/>
          <w:szCs w:val="20"/>
          <w:lang w:val="es-CL"/>
        </w:rPr>
        <w:lastRenderedPageBreak/>
        <w:t>altas necesidades de apoyo.  No toda persona con discapacidad producirá que la familia necesite “descanso o relevo”</w:t>
      </w:r>
      <w:r w:rsidRPr="00EE7EB5">
        <w:rPr>
          <w:rFonts w:cstheme="minorHAnsi"/>
          <w:sz w:val="20"/>
          <w:szCs w:val="20"/>
          <w:lang w:val="es-CL"/>
        </w:rPr>
        <w:t>)</w:t>
      </w:r>
      <w:r w:rsidR="00C0119C" w:rsidRPr="00EE7EB5">
        <w:rPr>
          <w:rFonts w:cstheme="minorHAnsi"/>
          <w:sz w:val="20"/>
          <w:szCs w:val="20"/>
          <w:lang w:val="es-CL"/>
        </w:rPr>
        <w:t>.</w:t>
      </w:r>
      <w:r w:rsidR="00C0119C" w:rsidRPr="00C0119C">
        <w:rPr>
          <w:rFonts w:cstheme="minorHAnsi"/>
          <w:sz w:val="20"/>
          <w:szCs w:val="20"/>
          <w:lang w:val="es-CL"/>
        </w:rPr>
        <w:t xml:space="preserve"> </w:t>
      </w:r>
    </w:p>
    <w:p w14:paraId="2A0C2EC0" w14:textId="77777777" w:rsidR="003466E8" w:rsidRPr="00253F92" w:rsidRDefault="003466E8" w:rsidP="003466E8">
      <w:pPr>
        <w:pStyle w:val="Heading2"/>
        <w:numPr>
          <w:ilvl w:val="0"/>
          <w:numId w:val="8"/>
        </w:numPr>
        <w:tabs>
          <w:tab w:val="num" w:pos="360"/>
        </w:tabs>
        <w:ind w:left="0" w:firstLine="0"/>
        <w:rPr>
          <w:color w:val="0070C0"/>
        </w:rPr>
      </w:pPr>
      <w:bookmarkStart w:id="5" w:name="_Toc102220579"/>
      <w:r w:rsidRPr="00253F92">
        <w:rPr>
          <w:color w:val="0070C0"/>
        </w:rPr>
        <w:t>Support services</w:t>
      </w:r>
      <w:bookmarkEnd w:id="5"/>
    </w:p>
    <w:p w14:paraId="4DA512FC" w14:textId="77777777" w:rsidR="009D6A34" w:rsidRDefault="003466E8" w:rsidP="009D6A34">
      <w:pPr>
        <w:pStyle w:val="BodyText1"/>
        <w:numPr>
          <w:ilvl w:val="0"/>
          <w:numId w:val="0"/>
        </w:numPr>
        <w:ind w:left="643"/>
      </w:pPr>
      <w:r>
        <w:t xml:space="preserve">73. Support services should be developed in accordance with a human rights model that respect the will and preferences of persons with disabilities, ensuring their full participation and that of their broader support network if the person so wishes. States </w:t>
      </w:r>
      <w:r w:rsidRPr="00144EAC">
        <w:t xml:space="preserve">Parties should not use medical criteria when developing new needs assessment tools, </w:t>
      </w:r>
      <w:r w:rsidRPr="009D6A34">
        <w:rPr>
          <w:u w:val="single"/>
        </w:rPr>
        <w:t>and medical professionals should not be involved</w:t>
      </w:r>
      <w:r w:rsidRPr="00144EAC">
        <w:t xml:space="preserve">. Instead, a person-centred process </w:t>
      </w:r>
      <w:proofErr w:type="gramStart"/>
      <w:r w:rsidRPr="00144EAC">
        <w:t>should be used</w:t>
      </w:r>
      <w:proofErr w:type="gramEnd"/>
      <w:r w:rsidRPr="00144EAC">
        <w:t xml:space="preserve">, identifying the range of supports a person may need to live independently and be included in the community. </w:t>
      </w:r>
    </w:p>
    <w:p w14:paraId="4352EE6F" w14:textId="56580681" w:rsidR="00957941" w:rsidRDefault="005F0E75" w:rsidP="009D6A34">
      <w:pPr>
        <w:pStyle w:val="BodyText1"/>
        <w:numPr>
          <w:ilvl w:val="0"/>
          <w:numId w:val="0"/>
        </w:numPr>
        <w:ind w:left="643"/>
        <w:rPr>
          <w:rFonts w:cstheme="minorHAnsi"/>
          <w:lang w:val="es-CL"/>
        </w:rPr>
      </w:pPr>
      <w:r w:rsidRPr="005F0E75">
        <w:rPr>
          <w:rFonts w:cstheme="minorHAnsi"/>
          <w:lang w:val="en-US"/>
        </w:rPr>
        <w:t>*</w:t>
      </w:r>
      <w:r w:rsidRPr="005F0E75">
        <w:rPr>
          <w:rFonts w:cstheme="minorHAnsi"/>
          <w:highlight w:val="green"/>
          <w:lang w:val="en-US"/>
        </w:rPr>
        <w:t>I suggest mentioning “interdisciplinary criteria</w:t>
      </w:r>
      <w:r w:rsidRPr="005F0E75">
        <w:rPr>
          <w:rFonts w:cstheme="minorHAnsi"/>
          <w:lang w:val="en-US"/>
        </w:rPr>
        <w:t xml:space="preserve">. </w:t>
      </w:r>
      <w:r w:rsidRPr="005F0E75">
        <w:rPr>
          <w:rFonts w:cstheme="minorHAnsi"/>
          <w:lang w:val="es-CL"/>
        </w:rPr>
        <w:t>(</w:t>
      </w:r>
      <w:r w:rsidR="00D11533" w:rsidRPr="005F0E75">
        <w:rPr>
          <w:rFonts w:cstheme="minorHAnsi"/>
          <w:lang w:val="es-CL"/>
        </w:rPr>
        <w:t>*</w:t>
      </w:r>
      <w:r w:rsidR="009D6A34" w:rsidRPr="005F0E75">
        <w:rPr>
          <w:rFonts w:cstheme="minorHAnsi"/>
          <w:lang w:val="es-CL"/>
        </w:rPr>
        <w:t>Sugiero hacer mención de “criterios interdisciplinarios</w:t>
      </w:r>
      <w:r w:rsidRPr="005F0E75">
        <w:rPr>
          <w:rFonts w:cstheme="minorHAnsi"/>
          <w:lang w:val="es-CL"/>
        </w:rPr>
        <w:t>)</w:t>
      </w:r>
      <w:r w:rsidR="009D6A34" w:rsidRPr="005F0E75">
        <w:rPr>
          <w:rFonts w:cstheme="minorHAnsi"/>
          <w:lang w:val="es-CL"/>
        </w:rPr>
        <w:t>.</w:t>
      </w:r>
    </w:p>
    <w:p w14:paraId="3C95C5AA" w14:textId="58CCCE0B" w:rsidR="009D6A34" w:rsidRDefault="009D6A34" w:rsidP="009D6A34">
      <w:pPr>
        <w:pStyle w:val="BodyText1"/>
        <w:numPr>
          <w:ilvl w:val="0"/>
          <w:numId w:val="0"/>
        </w:numPr>
        <w:ind w:left="643"/>
        <w:rPr>
          <w:rFonts w:cstheme="minorHAnsi"/>
          <w:lang w:val="es-CL"/>
        </w:rPr>
      </w:pPr>
    </w:p>
    <w:p w14:paraId="35D57CEA" w14:textId="29781A02" w:rsidR="009D6A34" w:rsidRDefault="009D6A34" w:rsidP="009D6A34">
      <w:pPr>
        <w:pStyle w:val="BodyText1"/>
        <w:numPr>
          <w:ilvl w:val="0"/>
          <w:numId w:val="0"/>
        </w:numPr>
        <w:ind w:left="643"/>
      </w:pPr>
      <w:r>
        <w:t xml:space="preserve">79. Support for older persons with disabilities, </w:t>
      </w:r>
      <w:r w:rsidRPr="009D6A34">
        <w:rPr>
          <w:u w:val="single"/>
        </w:rPr>
        <w:t xml:space="preserve">including for those with </w:t>
      </w:r>
      <w:r w:rsidR="00637522">
        <w:rPr>
          <w:u w:val="single"/>
        </w:rPr>
        <w:t>*</w:t>
      </w:r>
      <w:r w:rsidRPr="009D6A34">
        <w:rPr>
          <w:u w:val="single"/>
        </w:rPr>
        <w:t>dementia</w:t>
      </w:r>
      <w:r w:rsidRPr="00144EAC">
        <w:t xml:space="preserve">, should provide the opportunity for persons to stay in their own homes in the </w:t>
      </w:r>
      <w:r w:rsidR="00663BA3" w:rsidRPr="00144EAC">
        <w:t>community.</w:t>
      </w:r>
      <w:r w:rsidRPr="00D11533">
        <w:rPr>
          <w:lang w:val="en-US"/>
        </w:rPr>
        <w:t xml:space="preserve"> </w:t>
      </w:r>
      <w:r w:rsidRPr="00C533CE">
        <w:rPr>
          <w:lang w:val="en-US"/>
        </w:rPr>
        <w:t xml:space="preserve">Persons with disabilities should not lose access to support, such as personal assistance, once they reach old age. </w:t>
      </w:r>
      <w:r w:rsidRPr="00144EAC">
        <w:t>Instead, States Parties should increase community support over time as needed, and never in any institution</w:t>
      </w:r>
      <w:r>
        <w:t xml:space="preserve">. </w:t>
      </w:r>
    </w:p>
    <w:p w14:paraId="36FB430B" w14:textId="72D9CB71" w:rsidR="00D11533" w:rsidRPr="00D11533" w:rsidRDefault="005F0E75" w:rsidP="009D6A34">
      <w:pPr>
        <w:pStyle w:val="BodyText1"/>
        <w:numPr>
          <w:ilvl w:val="0"/>
          <w:numId w:val="0"/>
        </w:numPr>
        <w:ind w:left="643"/>
        <w:rPr>
          <w:lang w:val="es-CL"/>
        </w:rPr>
      </w:pPr>
      <w:r w:rsidRPr="005F0E75">
        <w:rPr>
          <w:rFonts w:cstheme="minorHAnsi"/>
          <w:lang w:val="en-US"/>
        </w:rPr>
        <w:t>*</w:t>
      </w:r>
      <w:r w:rsidRPr="00663BA3">
        <w:rPr>
          <w:rFonts w:cstheme="minorHAnsi"/>
          <w:highlight w:val="green"/>
          <w:lang w:val="en-US"/>
        </w:rPr>
        <w:t xml:space="preserve">It </w:t>
      </w:r>
      <w:proofErr w:type="gramStart"/>
      <w:r w:rsidRPr="00663BA3">
        <w:rPr>
          <w:rFonts w:cstheme="minorHAnsi"/>
          <w:highlight w:val="green"/>
          <w:lang w:val="en-US"/>
        </w:rPr>
        <w:t>is suggested</w:t>
      </w:r>
      <w:proofErr w:type="gramEnd"/>
      <w:r w:rsidRPr="00663BA3">
        <w:rPr>
          <w:rFonts w:cstheme="minorHAnsi"/>
          <w:highlight w:val="green"/>
          <w:lang w:val="en-US"/>
        </w:rPr>
        <w:t xml:space="preserve"> not to include the word “dementia” due to its pejorative use. It is suggested to </w:t>
      </w:r>
      <w:proofErr w:type="gramStart"/>
      <w:r w:rsidRPr="00663BA3">
        <w:rPr>
          <w:rFonts w:cstheme="minorHAnsi"/>
          <w:highlight w:val="green"/>
          <w:lang w:val="en-US"/>
        </w:rPr>
        <w:t>use:</w:t>
      </w:r>
      <w:proofErr w:type="gramEnd"/>
      <w:r w:rsidRPr="00663BA3">
        <w:rPr>
          <w:rFonts w:cstheme="minorHAnsi"/>
          <w:highlight w:val="green"/>
          <w:lang w:val="en-US"/>
        </w:rPr>
        <w:t xml:space="preserve"> “</w:t>
      </w:r>
      <w:r w:rsidR="00A82EB4" w:rsidRPr="00663BA3">
        <w:rPr>
          <w:rFonts w:cstheme="minorHAnsi"/>
          <w:highlight w:val="green"/>
          <w:lang w:val="en-US"/>
        </w:rPr>
        <w:t>older</w:t>
      </w:r>
      <w:r w:rsidRPr="00663BA3">
        <w:rPr>
          <w:rFonts w:cstheme="minorHAnsi"/>
          <w:highlight w:val="green"/>
          <w:lang w:val="en-US"/>
        </w:rPr>
        <w:t xml:space="preserve"> persons with cognitive diversity, by the course of their life cycle”</w:t>
      </w:r>
      <w:r w:rsidRPr="005F0E75">
        <w:rPr>
          <w:rFonts w:cstheme="minorHAnsi"/>
          <w:lang w:val="en-US"/>
        </w:rPr>
        <w:t>.</w:t>
      </w:r>
      <w:r>
        <w:rPr>
          <w:rFonts w:cstheme="minorHAnsi"/>
          <w:lang w:val="en-US"/>
        </w:rPr>
        <w:t xml:space="preserve"> </w:t>
      </w:r>
      <w:r w:rsidRPr="005F0E75">
        <w:rPr>
          <w:rFonts w:cstheme="minorHAnsi"/>
          <w:lang w:val="es-CL"/>
        </w:rPr>
        <w:t>(</w:t>
      </w:r>
      <w:r w:rsidR="00D11533" w:rsidRPr="005F0E75">
        <w:rPr>
          <w:rFonts w:cstheme="minorHAnsi"/>
          <w:lang w:val="es-CL"/>
        </w:rPr>
        <w:t>*</w:t>
      </w:r>
      <w:r w:rsidR="00D11533" w:rsidRPr="00663BA3">
        <w:rPr>
          <w:rFonts w:cstheme="minorHAnsi"/>
          <w:lang w:val="es-CL"/>
        </w:rPr>
        <w:t>Se sugiere no incorporar la palabra “demencia” por su uso peyorativo.  Se sugiere usar: “personas mayores con diversidad cognitiva, por el transcurso de su ciclo de vida”</w:t>
      </w:r>
      <w:r w:rsidRPr="00663BA3">
        <w:rPr>
          <w:rFonts w:cstheme="minorHAnsi"/>
          <w:lang w:val="es-CL"/>
        </w:rPr>
        <w:t>)</w:t>
      </w:r>
      <w:r w:rsidR="00D11533" w:rsidRPr="00663BA3">
        <w:rPr>
          <w:rFonts w:cstheme="minorHAnsi"/>
          <w:lang w:val="es-CL"/>
        </w:rPr>
        <w:t>.</w:t>
      </w:r>
    </w:p>
    <w:p w14:paraId="44095A2E" w14:textId="48AB877D" w:rsidR="009D6A34" w:rsidRDefault="009D6A34" w:rsidP="009D6A34">
      <w:pPr>
        <w:pStyle w:val="BodyText1"/>
        <w:numPr>
          <w:ilvl w:val="0"/>
          <w:numId w:val="0"/>
        </w:numPr>
        <w:ind w:left="643"/>
        <w:rPr>
          <w:b/>
          <w:color w:val="2F5496" w:themeColor="accent1" w:themeShade="BF"/>
          <w:sz w:val="24"/>
          <w:szCs w:val="24"/>
        </w:rPr>
      </w:pPr>
      <w:r w:rsidRPr="006F3BF6">
        <w:rPr>
          <w:b/>
          <w:color w:val="0070C0"/>
        </w:rPr>
        <w:t>VII.</w:t>
      </w:r>
      <w:r>
        <w:tab/>
      </w:r>
      <w:r w:rsidRPr="009D05D1">
        <w:rPr>
          <w:b/>
          <w:color w:val="2F5496" w:themeColor="accent1" w:themeShade="BF"/>
          <w:sz w:val="24"/>
          <w:szCs w:val="24"/>
        </w:rPr>
        <w:t>Access to mainstream services on an equal basis with others</w:t>
      </w:r>
    </w:p>
    <w:p w14:paraId="7779A3C5" w14:textId="108CB9DA" w:rsidR="007D5377" w:rsidRDefault="007D5377" w:rsidP="009D6A34">
      <w:pPr>
        <w:pStyle w:val="BodyText1"/>
        <w:numPr>
          <w:ilvl w:val="0"/>
          <w:numId w:val="0"/>
        </w:numPr>
        <w:ind w:left="643"/>
      </w:pPr>
    </w:p>
    <w:p w14:paraId="1EF312D1" w14:textId="77777777" w:rsidR="007D5377" w:rsidRPr="00AA6E2B" w:rsidRDefault="007D5377" w:rsidP="007D5377">
      <w:pPr>
        <w:pStyle w:val="Heading2"/>
        <w:numPr>
          <w:ilvl w:val="0"/>
          <w:numId w:val="9"/>
        </w:numPr>
        <w:tabs>
          <w:tab w:val="num" w:pos="360"/>
        </w:tabs>
        <w:ind w:left="0" w:firstLine="0"/>
        <w:rPr>
          <w:color w:val="0070C0"/>
        </w:rPr>
      </w:pPr>
      <w:bookmarkStart w:id="6" w:name="_Toc102220584"/>
      <w:r w:rsidRPr="00AA6E2B">
        <w:rPr>
          <w:color w:val="0070C0"/>
        </w:rPr>
        <w:t>Preparing to leave the institution</w:t>
      </w:r>
      <w:bookmarkEnd w:id="6"/>
    </w:p>
    <w:p w14:paraId="348F0027" w14:textId="77777777" w:rsidR="007D5377" w:rsidRDefault="007D5377" w:rsidP="007D5377">
      <w:pPr>
        <w:pStyle w:val="BodyText1"/>
        <w:numPr>
          <w:ilvl w:val="0"/>
          <w:numId w:val="0"/>
        </w:numPr>
        <w:spacing w:after="0" w:line="240" w:lineRule="auto"/>
        <w:ind w:left="643" w:hanging="360"/>
      </w:pPr>
      <w:r>
        <w:t>93. Persons leaving institutions should:</w:t>
      </w:r>
    </w:p>
    <w:p w14:paraId="37BD2236" w14:textId="496FC80E" w:rsidR="007D5377" w:rsidRDefault="007D5377" w:rsidP="007D5377">
      <w:pPr>
        <w:pStyle w:val="BodyText1"/>
        <w:numPr>
          <w:ilvl w:val="0"/>
          <w:numId w:val="0"/>
        </w:numPr>
        <w:spacing w:after="0" w:line="240" w:lineRule="auto"/>
        <w:ind w:left="641"/>
      </w:pPr>
      <w:r>
        <w:t xml:space="preserve">e) In preparation to leave the institution, be offered a wide range of experiences to assist with community </w:t>
      </w:r>
      <w:r w:rsidRPr="007D5377">
        <w:rPr>
          <w:u w:val="single"/>
        </w:rPr>
        <w:t xml:space="preserve">integration </w:t>
      </w:r>
      <w:r w:rsidR="006F12EA">
        <w:rPr>
          <w:u w:val="single"/>
        </w:rPr>
        <w:t>*</w:t>
      </w:r>
      <w:r w:rsidR="006F12EA" w:rsidRPr="006F12EA">
        <w:rPr>
          <w:highlight w:val="green"/>
          <w:u w:val="single"/>
        </w:rPr>
        <w:t>Change</w:t>
      </w:r>
      <w:r w:rsidR="006F12EA">
        <w:rPr>
          <w:highlight w:val="green"/>
          <w:u w:val="single"/>
        </w:rPr>
        <w:t xml:space="preserve">: </w:t>
      </w:r>
      <w:r w:rsidR="00663BA3">
        <w:rPr>
          <w:highlight w:val="green"/>
          <w:u w:val="single"/>
        </w:rPr>
        <w:t>“</w:t>
      </w:r>
      <w:r w:rsidR="006F12EA" w:rsidRPr="006F12EA">
        <w:rPr>
          <w:highlight w:val="green"/>
          <w:u w:val="single"/>
        </w:rPr>
        <w:t>integration</w:t>
      </w:r>
      <w:r w:rsidR="00663BA3">
        <w:rPr>
          <w:highlight w:val="green"/>
          <w:u w:val="single"/>
        </w:rPr>
        <w:t>”</w:t>
      </w:r>
      <w:r w:rsidR="006F12EA" w:rsidRPr="006F12EA">
        <w:rPr>
          <w:highlight w:val="green"/>
          <w:u w:val="single"/>
        </w:rPr>
        <w:t xml:space="preserve"> to </w:t>
      </w:r>
      <w:r w:rsidR="00A82EB4">
        <w:rPr>
          <w:highlight w:val="green"/>
          <w:u w:val="single"/>
        </w:rPr>
        <w:t>“</w:t>
      </w:r>
      <w:r w:rsidR="006F12EA" w:rsidRPr="006F12EA">
        <w:rPr>
          <w:highlight w:val="green"/>
          <w:u w:val="single"/>
        </w:rPr>
        <w:t>inclusion</w:t>
      </w:r>
      <w:r w:rsidR="006F12EA" w:rsidRPr="006F12EA">
        <w:rPr>
          <w:u w:val="single"/>
        </w:rPr>
        <w:t xml:space="preserve"> </w:t>
      </w:r>
      <w:r w:rsidRPr="007D5377">
        <w:rPr>
          <w:u w:val="single"/>
        </w:rPr>
        <w:t>t</w:t>
      </w:r>
      <w:r>
        <w:t>o help build their experience, strengths, socialization, life skills, *</w:t>
      </w:r>
      <w:r w:rsidR="006F12EA" w:rsidRPr="006F12EA">
        <w:rPr>
          <w:highlight w:val="green"/>
        </w:rPr>
        <w:t xml:space="preserve">Add. </w:t>
      </w:r>
      <w:proofErr w:type="gramStart"/>
      <w:r w:rsidR="006F12EA" w:rsidRPr="006F12EA">
        <w:rPr>
          <w:highlight w:val="green"/>
        </w:rPr>
        <w:t>increase</w:t>
      </w:r>
      <w:proofErr w:type="gramEnd"/>
      <w:r w:rsidR="006F12EA" w:rsidRPr="006F12EA">
        <w:rPr>
          <w:highlight w:val="green"/>
        </w:rPr>
        <w:t xml:space="preserve"> your self-esteem</w:t>
      </w:r>
      <w:r w:rsidR="006F12EA" w:rsidRPr="006F12EA">
        <w:t xml:space="preserve"> (</w:t>
      </w:r>
      <w:proofErr w:type="spellStart"/>
      <w:r w:rsidR="006F12EA" w:rsidRPr="006F12EA">
        <w:t>adicionar</w:t>
      </w:r>
      <w:proofErr w:type="spellEnd"/>
      <w:r w:rsidR="006F12EA" w:rsidRPr="006F12EA">
        <w:t xml:space="preserve">: </w:t>
      </w:r>
      <w:proofErr w:type="spellStart"/>
      <w:r w:rsidRPr="006F12EA">
        <w:t>aumentar</w:t>
      </w:r>
      <w:proofErr w:type="spellEnd"/>
      <w:r w:rsidRPr="006F12EA">
        <w:t xml:space="preserve"> </w:t>
      </w:r>
      <w:proofErr w:type="spellStart"/>
      <w:r w:rsidRPr="006F12EA">
        <w:t>su</w:t>
      </w:r>
      <w:proofErr w:type="spellEnd"/>
      <w:r w:rsidRPr="006F12EA">
        <w:t xml:space="preserve"> </w:t>
      </w:r>
      <w:proofErr w:type="spellStart"/>
      <w:r w:rsidRPr="006F12EA">
        <w:t>autoestima</w:t>
      </w:r>
      <w:proofErr w:type="spellEnd"/>
      <w:r w:rsidR="006F12EA" w:rsidRPr="006F12EA">
        <w:t>)</w:t>
      </w:r>
      <w:r w:rsidRPr="006F12EA">
        <w:t>, remove fears and gather positive experiences of living well and</w:t>
      </w:r>
      <w:r>
        <w:t xml:space="preserve"> independently;</w:t>
      </w:r>
    </w:p>
    <w:p w14:paraId="4FBBD214" w14:textId="73772A72" w:rsidR="007D5377" w:rsidRDefault="007D5377" w:rsidP="00637522">
      <w:pPr>
        <w:pStyle w:val="BodyText1"/>
        <w:numPr>
          <w:ilvl w:val="0"/>
          <w:numId w:val="0"/>
        </w:numPr>
      </w:pPr>
    </w:p>
    <w:p w14:paraId="6263955B" w14:textId="4C7A69D4" w:rsidR="007D5377" w:rsidRDefault="007D5377" w:rsidP="007D5377">
      <w:pPr>
        <w:pStyle w:val="BodyText1"/>
        <w:numPr>
          <w:ilvl w:val="0"/>
          <w:numId w:val="0"/>
        </w:numPr>
        <w:ind w:left="643" w:hanging="360"/>
      </w:pPr>
      <w:r>
        <w:t xml:space="preserve">94. States Parties should remove all barriers to establishing citizenship status and the provision of official identification documents, </w:t>
      </w:r>
      <w:r w:rsidRPr="007D5377">
        <w:rPr>
          <w:u w:val="single"/>
        </w:rPr>
        <w:t>including alternative documents for non-</w:t>
      </w:r>
      <w:r w:rsidRPr="0076074A">
        <w:rPr>
          <w:u w:val="single"/>
        </w:rPr>
        <w:t xml:space="preserve">citizens </w:t>
      </w:r>
      <w:r w:rsidR="006F12EA" w:rsidRPr="0076074A">
        <w:rPr>
          <w:u w:val="single"/>
        </w:rPr>
        <w:t>(?)</w:t>
      </w:r>
      <w:r w:rsidR="006F12EA" w:rsidRPr="006F12EA">
        <w:rPr>
          <w:u w:val="single"/>
        </w:rPr>
        <w:t xml:space="preserve"> </w:t>
      </w:r>
      <w:r w:rsidR="0076074A" w:rsidRPr="0076074A">
        <w:rPr>
          <w:highlight w:val="green"/>
          <w:u w:val="single"/>
        </w:rPr>
        <w:t>*</w:t>
      </w:r>
      <w:r w:rsidR="006F12EA" w:rsidRPr="0076074A">
        <w:rPr>
          <w:highlight w:val="green"/>
          <w:u w:val="single"/>
        </w:rPr>
        <w:t>Do they refer to non-resident foreigners</w:t>
      </w:r>
      <w:r w:rsidR="006F12EA" w:rsidRPr="0076074A">
        <w:rPr>
          <w:u w:val="single"/>
        </w:rPr>
        <w:t>?</w:t>
      </w:r>
      <w:r w:rsidR="0076074A">
        <w:rPr>
          <w:u w:val="single"/>
        </w:rPr>
        <w:t xml:space="preserve"> (</w:t>
      </w:r>
      <w:r w:rsidRPr="0076074A">
        <w:rPr>
          <w:u w:val="single"/>
          <w:lang w:val="en-US"/>
        </w:rPr>
        <w:t xml:space="preserve">¿se </w:t>
      </w:r>
      <w:proofErr w:type="spellStart"/>
      <w:r w:rsidRPr="0076074A">
        <w:rPr>
          <w:u w:val="single"/>
          <w:lang w:val="en-US"/>
        </w:rPr>
        <w:t>refieren</w:t>
      </w:r>
      <w:proofErr w:type="spellEnd"/>
      <w:r w:rsidRPr="0076074A">
        <w:rPr>
          <w:u w:val="single"/>
          <w:lang w:val="en-US"/>
        </w:rPr>
        <w:t xml:space="preserve"> a </w:t>
      </w:r>
      <w:proofErr w:type="spellStart"/>
      <w:r w:rsidRPr="0076074A">
        <w:rPr>
          <w:u w:val="single"/>
          <w:lang w:val="en-US"/>
        </w:rPr>
        <w:t>los</w:t>
      </w:r>
      <w:proofErr w:type="spellEnd"/>
      <w:r w:rsidRPr="0076074A">
        <w:rPr>
          <w:u w:val="single"/>
          <w:lang w:val="en-US"/>
        </w:rPr>
        <w:t xml:space="preserve"> </w:t>
      </w:r>
      <w:proofErr w:type="spellStart"/>
      <w:r w:rsidRPr="0076074A">
        <w:rPr>
          <w:u w:val="single"/>
          <w:lang w:val="en-US"/>
        </w:rPr>
        <w:t>extranjeros</w:t>
      </w:r>
      <w:proofErr w:type="spellEnd"/>
      <w:r w:rsidRPr="0076074A">
        <w:rPr>
          <w:u w:val="single"/>
          <w:lang w:val="en-US"/>
        </w:rPr>
        <w:t xml:space="preserve"> no </w:t>
      </w:r>
      <w:proofErr w:type="spellStart"/>
      <w:r w:rsidRPr="0076074A">
        <w:rPr>
          <w:u w:val="single"/>
          <w:lang w:val="en-US"/>
        </w:rPr>
        <w:t>residentes</w:t>
      </w:r>
      <w:proofErr w:type="spellEnd"/>
      <w:r w:rsidRPr="0076074A">
        <w:rPr>
          <w:u w:val="single"/>
          <w:lang w:val="en-US"/>
        </w:rPr>
        <w:t>?</w:t>
      </w:r>
      <w:r w:rsidR="0076074A">
        <w:rPr>
          <w:u w:val="single"/>
          <w:lang w:val="en-US"/>
        </w:rPr>
        <w:t>),</w:t>
      </w:r>
      <w:r w:rsidRPr="00C533CE">
        <w:rPr>
          <w:u w:val="single"/>
          <w:lang w:val="en-US"/>
        </w:rPr>
        <w:t xml:space="preserve"> </w:t>
      </w:r>
      <w:r w:rsidRPr="00C533CE">
        <w:rPr>
          <w:lang w:val="en-US"/>
        </w:rPr>
        <w:t xml:space="preserve">to persons leaving institutions. </w:t>
      </w:r>
      <w:r>
        <w:t xml:space="preserve">This shall include all documentation such as national identity cards, residence permits, voter registration, employment numbers, social security cards, disability cards, and passports, as applicable, even where this requires provision of retroactive documentation, by the time of exit. States Parties should ensure that no discriminatory or derogatory identification marker or description of the earlier detainee status of persons leaving institutions exists, and that the highest standards of protection of privacy and confidentiality </w:t>
      </w:r>
      <w:proofErr w:type="gramStart"/>
      <w:r>
        <w:t>are ensured</w:t>
      </w:r>
      <w:proofErr w:type="gramEnd"/>
      <w:r>
        <w:t xml:space="preserve"> for all health documentation. </w:t>
      </w:r>
    </w:p>
    <w:p w14:paraId="204EA46A" w14:textId="04063A06" w:rsidR="007D5377" w:rsidRDefault="007D5377" w:rsidP="007D5377">
      <w:pPr>
        <w:pStyle w:val="BodyText1"/>
        <w:numPr>
          <w:ilvl w:val="0"/>
          <w:numId w:val="0"/>
        </w:numPr>
        <w:ind w:left="643" w:hanging="360"/>
      </w:pPr>
    </w:p>
    <w:p w14:paraId="798B1455" w14:textId="77777777" w:rsidR="007D5377" w:rsidRPr="00D34430" w:rsidRDefault="007D5377" w:rsidP="007D5377">
      <w:pPr>
        <w:pStyle w:val="Heading2"/>
        <w:numPr>
          <w:ilvl w:val="0"/>
          <w:numId w:val="9"/>
        </w:numPr>
        <w:tabs>
          <w:tab w:val="num" w:pos="360"/>
        </w:tabs>
        <w:ind w:left="0" w:firstLine="0"/>
        <w:rPr>
          <w:color w:val="0070C0"/>
        </w:rPr>
      </w:pPr>
      <w:bookmarkStart w:id="7" w:name="_Toc102220585"/>
      <w:r w:rsidRPr="00D34430">
        <w:rPr>
          <w:color w:val="0070C0"/>
        </w:rPr>
        <w:t>Living independently in the community</w:t>
      </w:r>
      <w:bookmarkEnd w:id="7"/>
    </w:p>
    <w:p w14:paraId="7DEC9E8A" w14:textId="7F53AE74" w:rsidR="007D5377" w:rsidRDefault="007D5377" w:rsidP="007D5377">
      <w:pPr>
        <w:pStyle w:val="BodyText1"/>
        <w:numPr>
          <w:ilvl w:val="0"/>
          <w:numId w:val="0"/>
        </w:numPr>
        <w:ind w:left="643" w:hanging="360"/>
      </w:pPr>
    </w:p>
    <w:p w14:paraId="629DA30C" w14:textId="72C6DB9B" w:rsidR="00CB0874" w:rsidRPr="0076074A" w:rsidRDefault="006615A8" w:rsidP="00CB0874">
      <w:pPr>
        <w:jc w:val="both"/>
      </w:pPr>
      <w:r>
        <w:t xml:space="preserve">98. States Parties should actively seek the participation of organizations of persons with disabilities, especially of those whose members live in institutions and/or who are survivors of </w:t>
      </w:r>
      <w:r>
        <w:lastRenderedPageBreak/>
        <w:t xml:space="preserve">institutionalization, at every stage of mainstreaming persons into communities. Community-based organizations, individuals, and </w:t>
      </w:r>
      <w:proofErr w:type="spellStart"/>
      <w:r>
        <w:t>neighbourhood</w:t>
      </w:r>
      <w:proofErr w:type="spellEnd"/>
      <w:r>
        <w:t xml:space="preserve"> groups may play a diversified role in providing social support, connecting persons to local resources, or provide support as a member of a broader social capital from the community. </w:t>
      </w:r>
      <w:r w:rsidRPr="001A2471">
        <w:t xml:space="preserve">States Parties </w:t>
      </w:r>
      <w:r>
        <w:t>should</w:t>
      </w:r>
      <w:r w:rsidRPr="001A2471">
        <w:t xml:space="preserve"> support </w:t>
      </w:r>
      <w:r>
        <w:t>large-scale awareness-raising activities on the inclusion of persons with disabilities, through</w:t>
      </w:r>
      <w:r w:rsidRPr="00EB6185">
        <w:t xml:space="preserve"> their representative organizations</w:t>
      </w:r>
      <w:r>
        <w:t xml:space="preserve">, building the capacity of families, </w:t>
      </w:r>
      <w:proofErr w:type="spellStart"/>
      <w:r>
        <w:t>neighbourhoods</w:t>
      </w:r>
      <w:proofErr w:type="spellEnd"/>
      <w:r>
        <w:t xml:space="preserve"> and communities on the value and practice of inclusion. </w:t>
      </w:r>
      <w:r w:rsidR="0076074A" w:rsidRPr="0076074A">
        <w:rPr>
          <w:highlight w:val="green"/>
        </w:rPr>
        <w:t xml:space="preserve">*It </w:t>
      </w:r>
      <w:proofErr w:type="gramStart"/>
      <w:r w:rsidR="0076074A" w:rsidRPr="0076074A">
        <w:rPr>
          <w:highlight w:val="green"/>
        </w:rPr>
        <w:t>is suggested</w:t>
      </w:r>
      <w:proofErr w:type="gramEnd"/>
      <w:r w:rsidR="0076074A" w:rsidRPr="0076074A">
        <w:rPr>
          <w:highlight w:val="green"/>
        </w:rPr>
        <w:t xml:space="preserve"> to add: “Promoting the recognition of capacities, merits, abilities and contributions (art.8</w:t>
      </w:r>
      <w:r w:rsidR="0076074A" w:rsidRPr="0076074A">
        <w:t>)</w:t>
      </w:r>
      <w:r w:rsidR="0076074A">
        <w:t xml:space="preserve"> (</w:t>
      </w:r>
      <w:r w:rsidRPr="0076074A">
        <w:rPr>
          <w:rFonts w:cstheme="minorHAnsi"/>
          <w:sz w:val="20"/>
          <w:szCs w:val="20"/>
        </w:rPr>
        <w:t>*S</w:t>
      </w:r>
      <w:r w:rsidRPr="0076074A">
        <w:rPr>
          <w:rFonts w:cstheme="minorHAnsi"/>
        </w:rPr>
        <w:t>e</w:t>
      </w:r>
      <w:r w:rsidRPr="0076074A">
        <w:rPr>
          <w:rFonts w:cstheme="minorHAnsi"/>
          <w:sz w:val="20"/>
          <w:szCs w:val="20"/>
        </w:rPr>
        <w:t xml:space="preserve"> </w:t>
      </w:r>
      <w:proofErr w:type="spellStart"/>
      <w:r w:rsidRPr="0076074A">
        <w:rPr>
          <w:rFonts w:cstheme="minorHAnsi"/>
        </w:rPr>
        <w:t>sugiere</w:t>
      </w:r>
      <w:proofErr w:type="spellEnd"/>
      <w:r w:rsidRPr="0076074A">
        <w:rPr>
          <w:rFonts w:cstheme="minorHAnsi"/>
          <w:sz w:val="20"/>
          <w:szCs w:val="20"/>
        </w:rPr>
        <w:t xml:space="preserve"> </w:t>
      </w:r>
      <w:proofErr w:type="spellStart"/>
      <w:r w:rsidRPr="0076074A">
        <w:rPr>
          <w:rFonts w:cstheme="minorHAnsi"/>
        </w:rPr>
        <w:t>adicionar</w:t>
      </w:r>
      <w:proofErr w:type="spellEnd"/>
      <w:r w:rsidRPr="0076074A">
        <w:rPr>
          <w:rFonts w:cstheme="minorHAnsi"/>
          <w:sz w:val="20"/>
          <w:szCs w:val="20"/>
        </w:rPr>
        <w:t>: “</w:t>
      </w:r>
      <w:proofErr w:type="spellStart"/>
      <w:r w:rsidRPr="0076074A">
        <w:t>Promoviendo</w:t>
      </w:r>
      <w:proofErr w:type="spellEnd"/>
      <w:r w:rsidRPr="0076074A">
        <w:t xml:space="preserve"> el </w:t>
      </w:r>
      <w:proofErr w:type="spellStart"/>
      <w:r w:rsidRPr="0076074A">
        <w:t>reconocimiento</w:t>
      </w:r>
      <w:proofErr w:type="spellEnd"/>
      <w:r w:rsidRPr="0076074A">
        <w:t xml:space="preserve"> de las </w:t>
      </w:r>
      <w:proofErr w:type="spellStart"/>
      <w:r w:rsidRPr="0076074A">
        <w:t>capacidades</w:t>
      </w:r>
      <w:proofErr w:type="spellEnd"/>
      <w:r w:rsidRPr="0076074A">
        <w:t xml:space="preserve">, </w:t>
      </w:r>
      <w:proofErr w:type="spellStart"/>
      <w:r w:rsidRPr="0076074A">
        <w:t>los</w:t>
      </w:r>
      <w:proofErr w:type="spellEnd"/>
      <w:r w:rsidRPr="0076074A">
        <w:t xml:space="preserve"> </w:t>
      </w:r>
      <w:proofErr w:type="spellStart"/>
      <w:r w:rsidRPr="0076074A">
        <w:t>méritos</w:t>
      </w:r>
      <w:proofErr w:type="spellEnd"/>
      <w:r w:rsidR="000D60DF" w:rsidRPr="0076074A">
        <w:t xml:space="preserve">, </w:t>
      </w:r>
      <w:proofErr w:type="spellStart"/>
      <w:r w:rsidRPr="0076074A">
        <w:t>habilidades</w:t>
      </w:r>
      <w:proofErr w:type="spellEnd"/>
      <w:r w:rsidRPr="0076074A">
        <w:t xml:space="preserve"> </w:t>
      </w:r>
      <w:r w:rsidR="000D60DF" w:rsidRPr="0076074A">
        <w:t xml:space="preserve">y </w:t>
      </w:r>
      <w:proofErr w:type="spellStart"/>
      <w:r w:rsidRPr="0076074A">
        <w:t>aportaciones</w:t>
      </w:r>
      <w:proofErr w:type="spellEnd"/>
      <w:r w:rsidRPr="0076074A">
        <w:t xml:space="preserve"> </w:t>
      </w:r>
      <w:r w:rsidR="000D60DF" w:rsidRPr="0076074A">
        <w:t>(art</w:t>
      </w:r>
      <w:r w:rsidR="00637522" w:rsidRPr="0076074A">
        <w:t>.</w:t>
      </w:r>
      <w:r w:rsidR="000D60DF" w:rsidRPr="0076074A">
        <w:t>8)</w:t>
      </w:r>
      <w:r w:rsidR="0076074A">
        <w:t>)</w:t>
      </w:r>
    </w:p>
    <w:p w14:paraId="09FE3575" w14:textId="77777777" w:rsidR="00CB0874" w:rsidRPr="0076074A" w:rsidRDefault="00CB0874" w:rsidP="00CB0874">
      <w:pPr>
        <w:jc w:val="both"/>
      </w:pPr>
    </w:p>
    <w:p w14:paraId="510A9D06" w14:textId="46578F52" w:rsidR="00EC2B89" w:rsidRPr="0076074A" w:rsidRDefault="00F24516" w:rsidP="00EC2B89">
      <w:pPr>
        <w:jc w:val="both"/>
        <w:rPr>
          <w:rFonts w:cstheme="minorHAnsi"/>
          <w:sz w:val="20"/>
          <w:szCs w:val="20"/>
        </w:rPr>
      </w:pPr>
      <w:r>
        <w:t xml:space="preserve">101. States Parties should ensure comprehensive health care, including primary health care, for persons leaving institutions, on an equal basis with others. Health care services should must respect the choice, will and preferences of persons with disabilities leaving institutions, and provide additional health care support as needed, for example, </w:t>
      </w:r>
      <w:r w:rsidR="00BB0CBA" w:rsidRPr="00EC2B89">
        <w:rPr>
          <w:u w:val="single"/>
        </w:rPr>
        <w:t>*</w:t>
      </w:r>
      <w:r w:rsidRPr="00EC2B89">
        <w:rPr>
          <w:u w:val="single"/>
        </w:rPr>
        <w:t>to withdraw from psychiatric medication</w:t>
      </w:r>
      <w:r>
        <w:t xml:space="preserve">, and to access nutritional and fitness programs, with a view to retrieving their overall health and wellbeing, and always on the basis of their free and informed consent. </w:t>
      </w:r>
      <w:r w:rsidR="0076074A" w:rsidRPr="0076074A">
        <w:t>*</w:t>
      </w:r>
      <w:r w:rsidR="0076074A" w:rsidRPr="0076074A">
        <w:rPr>
          <w:highlight w:val="green"/>
        </w:rPr>
        <w:t>or decrease medication</w:t>
      </w:r>
      <w:r w:rsidR="0076074A">
        <w:t>.</w:t>
      </w:r>
      <w:r w:rsidR="00EC2B89" w:rsidRPr="0076074A">
        <w:rPr>
          <w:rFonts w:cstheme="minorHAnsi"/>
          <w:sz w:val="20"/>
          <w:szCs w:val="20"/>
        </w:rPr>
        <w:t xml:space="preserve"> </w:t>
      </w:r>
      <w:r w:rsidR="0076074A" w:rsidRPr="0076074A">
        <w:rPr>
          <w:rFonts w:cstheme="minorHAnsi"/>
          <w:sz w:val="20"/>
          <w:szCs w:val="20"/>
        </w:rPr>
        <w:t>(</w:t>
      </w:r>
      <w:proofErr w:type="gramStart"/>
      <w:r w:rsidR="00EC2B89" w:rsidRPr="0076074A">
        <w:rPr>
          <w:rFonts w:cstheme="minorHAnsi"/>
          <w:sz w:val="20"/>
          <w:szCs w:val="20"/>
        </w:rPr>
        <w:t>o</w:t>
      </w:r>
      <w:proofErr w:type="gramEnd"/>
      <w:r w:rsidR="00EC2B89" w:rsidRPr="0076074A">
        <w:rPr>
          <w:rFonts w:cstheme="minorHAnsi"/>
          <w:sz w:val="20"/>
          <w:szCs w:val="20"/>
        </w:rPr>
        <w:t xml:space="preserve"> </w:t>
      </w:r>
      <w:proofErr w:type="spellStart"/>
      <w:r w:rsidR="00EC2B89" w:rsidRPr="0076074A">
        <w:rPr>
          <w:rFonts w:cstheme="minorHAnsi"/>
          <w:sz w:val="20"/>
          <w:szCs w:val="20"/>
        </w:rPr>
        <w:t>disminuir</w:t>
      </w:r>
      <w:proofErr w:type="spellEnd"/>
      <w:r w:rsidR="00EC2B89" w:rsidRPr="0076074A">
        <w:rPr>
          <w:rFonts w:cstheme="minorHAnsi"/>
          <w:sz w:val="20"/>
          <w:szCs w:val="20"/>
        </w:rPr>
        <w:t xml:space="preserve"> la </w:t>
      </w:r>
      <w:proofErr w:type="spellStart"/>
      <w:r w:rsidR="00EC2B89" w:rsidRPr="0076074A">
        <w:rPr>
          <w:rFonts w:cstheme="minorHAnsi"/>
          <w:sz w:val="20"/>
          <w:szCs w:val="20"/>
        </w:rPr>
        <w:t>medicación</w:t>
      </w:r>
      <w:proofErr w:type="spellEnd"/>
      <w:r w:rsidR="0076074A" w:rsidRPr="0076074A">
        <w:rPr>
          <w:rFonts w:cstheme="minorHAnsi"/>
          <w:sz w:val="20"/>
          <w:szCs w:val="20"/>
        </w:rPr>
        <w:t>)</w:t>
      </w:r>
      <w:r w:rsidR="00EC2B89" w:rsidRPr="0076074A">
        <w:rPr>
          <w:rFonts w:cstheme="minorHAnsi"/>
          <w:sz w:val="20"/>
          <w:szCs w:val="20"/>
        </w:rPr>
        <w:t>.</w:t>
      </w:r>
      <w:bookmarkStart w:id="8" w:name="_Ref102214127"/>
    </w:p>
    <w:p w14:paraId="5BD07D58" w14:textId="46BD5C07" w:rsidR="00EC2B89" w:rsidRDefault="00F24516" w:rsidP="00EC2B89">
      <w:pPr>
        <w:jc w:val="both"/>
        <w:rPr>
          <w:rFonts w:cstheme="minorHAnsi"/>
          <w:sz w:val="20"/>
          <w:szCs w:val="20"/>
        </w:rPr>
      </w:pPr>
      <w:r>
        <w:t xml:space="preserve">102. States Parties should ensure that persons leaving institutions have equal access to employment, </w:t>
      </w:r>
      <w:r w:rsidR="00EC2B89">
        <w:t>*</w:t>
      </w:r>
      <w:r w:rsidRPr="00637522">
        <w:rPr>
          <w:u w:val="single"/>
        </w:rPr>
        <w:t>prohibiting sheltered or segregated employment</w:t>
      </w:r>
      <w:r>
        <w:t xml:space="preserve">, and shall ensure an inclusive law and policy framework in employment that eliminates barriers faced by persons leaving institutions. A range of choices, allowing time for decision-making and support in decision-making, </w:t>
      </w:r>
      <w:proofErr w:type="gramStart"/>
      <w:r>
        <w:t>should be provided</w:t>
      </w:r>
      <w:proofErr w:type="gramEnd"/>
      <w:r>
        <w:t xml:space="preserve"> for persons leaving institutions to exercise their right to work and employment.</w:t>
      </w:r>
      <w:bookmarkEnd w:id="8"/>
      <w:r>
        <w:t xml:space="preserve"> </w:t>
      </w:r>
      <w:r w:rsidR="0076074A" w:rsidRPr="0076074A">
        <w:rPr>
          <w:highlight w:val="green"/>
        </w:rPr>
        <w:t xml:space="preserve">*there may be </w:t>
      </w:r>
      <w:proofErr w:type="gramStart"/>
      <w:r w:rsidR="0076074A" w:rsidRPr="0076074A">
        <w:rPr>
          <w:highlight w:val="green"/>
        </w:rPr>
        <w:t xml:space="preserve">more gradual forms </w:t>
      </w:r>
      <w:r w:rsidR="0076074A">
        <w:t>(</w:t>
      </w:r>
      <w:proofErr w:type="spellStart"/>
      <w:r w:rsidR="00EC2B89" w:rsidRPr="0076074A">
        <w:rPr>
          <w:rFonts w:cstheme="minorHAnsi"/>
          <w:sz w:val="20"/>
          <w:szCs w:val="20"/>
        </w:rPr>
        <w:t>pueden</w:t>
      </w:r>
      <w:proofErr w:type="spellEnd"/>
      <w:r w:rsidR="00EC2B89" w:rsidRPr="0076074A">
        <w:rPr>
          <w:rFonts w:cstheme="minorHAnsi"/>
          <w:sz w:val="20"/>
          <w:szCs w:val="20"/>
        </w:rPr>
        <w:t xml:space="preserve"> </w:t>
      </w:r>
      <w:proofErr w:type="spellStart"/>
      <w:r w:rsidR="00EC2B89" w:rsidRPr="0076074A">
        <w:rPr>
          <w:rFonts w:cstheme="minorHAnsi"/>
          <w:sz w:val="20"/>
          <w:szCs w:val="20"/>
        </w:rPr>
        <w:t>existir</w:t>
      </w:r>
      <w:proofErr w:type="spellEnd"/>
      <w:r w:rsidR="00EC2B89" w:rsidRPr="0076074A">
        <w:rPr>
          <w:rFonts w:cstheme="minorHAnsi"/>
          <w:sz w:val="20"/>
          <w:szCs w:val="20"/>
        </w:rPr>
        <w:t xml:space="preserve"> </w:t>
      </w:r>
      <w:proofErr w:type="spellStart"/>
      <w:r w:rsidR="00EC2B89" w:rsidRPr="0076074A">
        <w:rPr>
          <w:rFonts w:cstheme="minorHAnsi"/>
          <w:sz w:val="20"/>
          <w:szCs w:val="20"/>
        </w:rPr>
        <w:t>formas</w:t>
      </w:r>
      <w:proofErr w:type="spellEnd"/>
      <w:r w:rsidR="00EC2B89" w:rsidRPr="0076074A">
        <w:rPr>
          <w:rFonts w:cstheme="minorHAnsi"/>
          <w:sz w:val="20"/>
          <w:szCs w:val="20"/>
        </w:rPr>
        <w:t xml:space="preserve"> </w:t>
      </w:r>
      <w:proofErr w:type="spellStart"/>
      <w:r w:rsidR="00EC2B89" w:rsidRPr="0076074A">
        <w:rPr>
          <w:rFonts w:cstheme="minorHAnsi"/>
          <w:sz w:val="20"/>
          <w:szCs w:val="20"/>
        </w:rPr>
        <w:t>m</w:t>
      </w:r>
      <w:r w:rsidR="00663BA3">
        <w:rPr>
          <w:rFonts w:cstheme="minorHAnsi"/>
          <w:sz w:val="20"/>
          <w:szCs w:val="20"/>
        </w:rPr>
        <w:t>á</w:t>
      </w:r>
      <w:r w:rsidR="00EC2B89" w:rsidRPr="0076074A">
        <w:rPr>
          <w:rFonts w:cstheme="minorHAnsi"/>
          <w:sz w:val="20"/>
          <w:szCs w:val="20"/>
        </w:rPr>
        <w:t>s</w:t>
      </w:r>
      <w:proofErr w:type="spellEnd"/>
      <w:r w:rsidR="00EC2B89" w:rsidRPr="0076074A">
        <w:rPr>
          <w:rFonts w:cstheme="minorHAnsi"/>
          <w:sz w:val="20"/>
          <w:szCs w:val="20"/>
        </w:rPr>
        <w:t xml:space="preserve"> </w:t>
      </w:r>
      <w:proofErr w:type="spellStart"/>
      <w:r w:rsidR="00EC2B89" w:rsidRPr="0076074A">
        <w:rPr>
          <w:rFonts w:cstheme="minorHAnsi"/>
          <w:sz w:val="20"/>
          <w:szCs w:val="20"/>
        </w:rPr>
        <w:t>paulatinas</w:t>
      </w:r>
      <w:proofErr w:type="spellEnd"/>
      <w:r w:rsidR="0076074A">
        <w:rPr>
          <w:rFonts w:cstheme="minorHAnsi"/>
          <w:sz w:val="20"/>
          <w:szCs w:val="20"/>
        </w:rPr>
        <w:t>)</w:t>
      </w:r>
      <w:proofErr w:type="gramEnd"/>
      <w:r w:rsidR="0076074A">
        <w:rPr>
          <w:rFonts w:cstheme="minorHAnsi"/>
          <w:sz w:val="20"/>
          <w:szCs w:val="20"/>
        </w:rPr>
        <w:t>.</w:t>
      </w:r>
    </w:p>
    <w:p w14:paraId="56A9578D" w14:textId="2559AD96" w:rsidR="0077106B" w:rsidRDefault="00F24516" w:rsidP="00EC2B89">
      <w:pPr>
        <w:jc w:val="both"/>
        <w:rPr>
          <w:u w:val="single"/>
        </w:rPr>
      </w:pPr>
      <w:r>
        <w:t xml:space="preserve">103. States Parties should ensure the right to an adequate standard of living while recognizing that the risk of homelessness and poverty is very high for persons leaving institutions. A robust social protection package </w:t>
      </w:r>
      <w:proofErr w:type="gramStart"/>
      <w:r>
        <w:t>should be provided</w:t>
      </w:r>
      <w:proofErr w:type="gramEnd"/>
      <w:r>
        <w:t xml:space="preserve"> to all persons with disabilities leaving institutions to cover immediate and mid-term needs for resettlement. Long-term economic and social support </w:t>
      </w:r>
      <w:proofErr w:type="gramStart"/>
      <w:r>
        <w:t>should also be made</w:t>
      </w:r>
      <w:proofErr w:type="gramEnd"/>
      <w:r>
        <w:t xml:space="preserve"> available. States Parties shall ensure that persons with disabilities can access existing social protection measures on an equal basis as others, for example, child support, unemployment benefits, rent subsidies, food stamps, pensions, public health schemes, subsidized public transport, and tax credits. Being a recipient of social protection </w:t>
      </w:r>
      <w:proofErr w:type="gramStart"/>
      <w:r>
        <w:t>should not be tied</w:t>
      </w:r>
      <w:proofErr w:type="gramEnd"/>
      <w:r>
        <w:t xml:space="preserve"> to treatment conditions, guardianship, nor eligibility criteria related to employment. Social protection schemes related to persons with disabilities should include funding </w:t>
      </w:r>
      <w:r w:rsidR="00EC2B89" w:rsidRPr="00637522">
        <w:t>*</w:t>
      </w:r>
      <w:r w:rsidRPr="00637522">
        <w:rPr>
          <w:u w:val="single"/>
        </w:rPr>
        <w:t xml:space="preserve">for disability-related costs. </w:t>
      </w:r>
    </w:p>
    <w:p w14:paraId="7C651859" w14:textId="6A330393" w:rsidR="00F3392D" w:rsidRPr="00637522" w:rsidRDefault="00F3392D" w:rsidP="00EC2B89">
      <w:pPr>
        <w:jc w:val="both"/>
        <w:rPr>
          <w:u w:val="single"/>
        </w:rPr>
      </w:pPr>
      <w:r w:rsidRPr="00F3392D">
        <w:rPr>
          <w:highlight w:val="green"/>
          <w:u w:val="single"/>
        </w:rPr>
        <w:t xml:space="preserve">*This part of the sentence </w:t>
      </w:r>
      <w:proofErr w:type="gramStart"/>
      <w:r w:rsidRPr="00F3392D">
        <w:rPr>
          <w:highlight w:val="green"/>
          <w:u w:val="single"/>
        </w:rPr>
        <w:t>can be misunderstood</w:t>
      </w:r>
      <w:proofErr w:type="gramEnd"/>
      <w:r w:rsidRPr="00F3392D">
        <w:rPr>
          <w:highlight w:val="green"/>
          <w:u w:val="single"/>
        </w:rPr>
        <w:t>, for example, that labor inclusion is expensive. This is generally not the case. I suggest replacing “for reasonable accommodations and supports, as requested by the worker with disability”.</w:t>
      </w:r>
    </w:p>
    <w:p w14:paraId="60013821" w14:textId="7C6679F1" w:rsidR="00EC2B89" w:rsidRPr="00EC2B89" w:rsidRDefault="00663BA3" w:rsidP="00EC2B89">
      <w:pPr>
        <w:jc w:val="both"/>
        <w:rPr>
          <w:rFonts w:cstheme="minorHAnsi"/>
          <w:sz w:val="20"/>
          <w:szCs w:val="20"/>
          <w:lang w:val="es-CL"/>
        </w:rPr>
      </w:pPr>
      <w:r>
        <w:rPr>
          <w:rFonts w:cstheme="minorHAnsi"/>
          <w:sz w:val="20"/>
          <w:szCs w:val="20"/>
          <w:lang w:val="es-CL"/>
        </w:rPr>
        <w:t>(</w:t>
      </w:r>
      <w:r w:rsidR="00EC2B89" w:rsidRPr="00F3392D">
        <w:rPr>
          <w:rFonts w:cstheme="minorHAnsi"/>
          <w:sz w:val="20"/>
          <w:szCs w:val="20"/>
          <w:lang w:val="es-CL"/>
        </w:rPr>
        <w:t>*</w:t>
      </w:r>
      <w:r w:rsidR="0077106B" w:rsidRPr="00F3392D">
        <w:rPr>
          <w:rFonts w:cstheme="minorHAnsi"/>
          <w:sz w:val="20"/>
          <w:szCs w:val="20"/>
          <w:lang w:val="es-CL"/>
        </w:rPr>
        <w:t>E</w:t>
      </w:r>
      <w:r w:rsidR="00EC2B89" w:rsidRPr="00F3392D">
        <w:rPr>
          <w:rFonts w:cstheme="minorHAnsi"/>
          <w:sz w:val="20"/>
          <w:szCs w:val="20"/>
          <w:lang w:val="es-CL"/>
        </w:rPr>
        <w:t>sta parte de la frase puede ser malentendida, por ejemplo, que la inclusión laboral es cara. Esto en general no es así. Sugiero reemplazar “</w:t>
      </w:r>
      <w:r w:rsidR="007331AC">
        <w:rPr>
          <w:rFonts w:cstheme="minorHAnsi"/>
          <w:sz w:val="20"/>
          <w:szCs w:val="20"/>
          <w:lang w:val="es-CL"/>
        </w:rPr>
        <w:t>por</w:t>
      </w:r>
      <w:r w:rsidR="00EC2B89" w:rsidRPr="00F3392D">
        <w:rPr>
          <w:rFonts w:cstheme="minorHAnsi"/>
          <w:sz w:val="20"/>
          <w:szCs w:val="20"/>
          <w:lang w:val="es-CL"/>
        </w:rPr>
        <w:t xml:space="preserve"> los ajustes razonables y apoyos, según solicitud del trabajador con discapacidad”</w:t>
      </w:r>
      <w:r>
        <w:rPr>
          <w:rFonts w:cstheme="minorHAnsi"/>
          <w:sz w:val="20"/>
          <w:szCs w:val="20"/>
          <w:lang w:val="es-CL"/>
        </w:rPr>
        <w:t>)</w:t>
      </w:r>
      <w:r w:rsidR="00EC2B89" w:rsidRPr="00F3392D">
        <w:rPr>
          <w:rFonts w:cstheme="minorHAnsi"/>
          <w:sz w:val="20"/>
          <w:szCs w:val="20"/>
          <w:lang w:val="es-CL"/>
        </w:rPr>
        <w:t>.</w:t>
      </w:r>
      <w:r w:rsidR="00EC2B89" w:rsidRPr="00EC2B89">
        <w:rPr>
          <w:rFonts w:cstheme="minorHAnsi"/>
          <w:sz w:val="20"/>
          <w:szCs w:val="20"/>
          <w:lang w:val="es-CL"/>
        </w:rPr>
        <w:t xml:space="preserve"> </w:t>
      </w:r>
    </w:p>
    <w:p w14:paraId="6CC1167B" w14:textId="29D33E81" w:rsidR="00F24516" w:rsidRPr="00EC2B89" w:rsidRDefault="00F24516" w:rsidP="00EC2B89">
      <w:pPr>
        <w:jc w:val="both"/>
        <w:rPr>
          <w:lang w:val="es-CL"/>
        </w:rPr>
      </w:pPr>
    </w:p>
    <w:p w14:paraId="377DB622" w14:textId="62C3630F" w:rsidR="00F24516" w:rsidRPr="00EC2B89" w:rsidRDefault="00F24516" w:rsidP="006615A8">
      <w:pPr>
        <w:jc w:val="both"/>
        <w:rPr>
          <w:rFonts w:cstheme="minorHAnsi"/>
          <w:sz w:val="20"/>
          <w:szCs w:val="20"/>
          <w:lang w:val="es-CL"/>
        </w:rPr>
      </w:pPr>
    </w:p>
    <w:p w14:paraId="2EA07798" w14:textId="77777777" w:rsidR="0077106B" w:rsidRDefault="00F24516" w:rsidP="0077106B">
      <w:pPr>
        <w:jc w:val="both"/>
        <w:rPr>
          <w:b/>
          <w:color w:val="2F5496" w:themeColor="accent1" w:themeShade="BF"/>
          <w:sz w:val="24"/>
          <w:szCs w:val="24"/>
        </w:rPr>
      </w:pPr>
      <w:r w:rsidRPr="006F3BF6">
        <w:rPr>
          <w:b/>
          <w:color w:val="0070C0"/>
        </w:rPr>
        <w:lastRenderedPageBreak/>
        <w:t>VIII.</w:t>
      </w:r>
      <w:r w:rsidRPr="00A34B41">
        <w:rPr>
          <w:b/>
        </w:rPr>
        <w:tab/>
      </w:r>
      <w:r w:rsidRPr="00D65A4C">
        <w:rPr>
          <w:b/>
          <w:color w:val="2F5496" w:themeColor="accent1" w:themeShade="BF"/>
          <w:sz w:val="24"/>
          <w:szCs w:val="24"/>
        </w:rPr>
        <w:t>Enact emergency deinstitutionalization plans in situations of risk and humanitarian emergencies, including conflict</w:t>
      </w:r>
      <w:r>
        <w:rPr>
          <w:b/>
          <w:color w:val="2F5496" w:themeColor="accent1" w:themeShade="BF"/>
          <w:sz w:val="24"/>
          <w:szCs w:val="24"/>
        </w:rPr>
        <w:t>s</w:t>
      </w:r>
    </w:p>
    <w:p w14:paraId="189D07B4" w14:textId="619D62D0" w:rsidR="00F24516" w:rsidRDefault="00F24516" w:rsidP="0077106B">
      <w:pPr>
        <w:jc w:val="both"/>
        <w:rPr>
          <w:rFonts w:ascii="Calibri" w:eastAsia="Calibri" w:hAnsi="Calibri" w:cs="Calibri"/>
          <w:color w:val="000000" w:themeColor="text1"/>
        </w:rPr>
      </w:pPr>
      <w:r>
        <w:rPr>
          <w:rStyle w:val="normaltextrun"/>
        </w:rPr>
        <w:t xml:space="preserve">111. </w:t>
      </w:r>
      <w:r w:rsidRPr="2CB2A6B5">
        <w:rPr>
          <w:rStyle w:val="normaltextrun"/>
        </w:rPr>
        <w:t xml:space="preserve">States Parties </w:t>
      </w:r>
      <w:r>
        <w:rPr>
          <w:rStyle w:val="normaltextrun"/>
        </w:rPr>
        <w:t>should</w:t>
      </w:r>
      <w:r w:rsidRPr="2CB2A6B5">
        <w:rPr>
          <w:rStyle w:val="normaltextrun"/>
        </w:rPr>
        <w:t xml:space="preserve"> ensure that institutions and other barriers to inclusion </w:t>
      </w:r>
      <w:proofErr w:type="gramStart"/>
      <w:r w:rsidRPr="2CB2A6B5">
        <w:rPr>
          <w:rStyle w:val="normaltextrun"/>
        </w:rPr>
        <w:t>are not rebuilt</w:t>
      </w:r>
      <w:proofErr w:type="gramEnd"/>
      <w:r w:rsidRPr="2CB2A6B5">
        <w:rPr>
          <w:rStyle w:val="normaltextrun"/>
        </w:rPr>
        <w:t xml:space="preserve"> after </w:t>
      </w:r>
      <w:r>
        <w:rPr>
          <w:rStyle w:val="normaltextrun"/>
        </w:rPr>
        <w:t>emergencies</w:t>
      </w:r>
      <w:r w:rsidRPr="2CB2A6B5">
        <w:rPr>
          <w:rStyle w:val="normaltextrun"/>
        </w:rPr>
        <w:t>.</w:t>
      </w:r>
      <w:r w:rsidRPr="14493BAF">
        <w:rPr>
          <w:rStyle w:val="normaltextrun"/>
        </w:rPr>
        <w:t xml:space="preserve"> States </w:t>
      </w:r>
      <w:r>
        <w:rPr>
          <w:rStyle w:val="normaltextrun"/>
        </w:rPr>
        <w:t>Parties should</w:t>
      </w:r>
      <w:r w:rsidRPr="14493BAF">
        <w:rPr>
          <w:rStyle w:val="normaltextrun"/>
        </w:rPr>
        <w:t xml:space="preserve"> </w:t>
      </w:r>
      <w:r>
        <w:rPr>
          <w:rStyle w:val="normaltextrun"/>
        </w:rPr>
        <w:t>provide</w:t>
      </w:r>
      <w:r w:rsidRPr="14493BAF">
        <w:rPr>
          <w:rStyle w:val="normaltextrun"/>
        </w:rPr>
        <w:t xml:space="preserve"> adequate financial and human resources to ensure that persons with disabilities are not left behind in response and recovery process</w:t>
      </w:r>
      <w:r>
        <w:rPr>
          <w:rStyle w:val="normaltextrun"/>
        </w:rPr>
        <w:t>es</w:t>
      </w:r>
      <w:r w:rsidRPr="14493BAF">
        <w:rPr>
          <w:rStyle w:val="normaltextrun"/>
        </w:rPr>
        <w:t xml:space="preserve">; this could include transfer of funding from institutions to community supports and services. </w:t>
      </w:r>
      <w:r w:rsidR="0077106B">
        <w:rPr>
          <w:rStyle w:val="normaltextrun"/>
        </w:rPr>
        <w:t>*</w:t>
      </w:r>
      <w:r w:rsidRPr="0077106B">
        <w:rPr>
          <w:rFonts w:ascii="Calibri" w:eastAsia="Calibri" w:hAnsi="Calibri" w:cs="Calibri"/>
          <w:color w:val="000000" w:themeColor="text1"/>
          <w:u w:val="single"/>
        </w:rPr>
        <w:t xml:space="preserve">Refugees and internally displaced persons </w:t>
      </w:r>
      <w:proofErr w:type="gramStart"/>
      <w:r w:rsidRPr="0077106B">
        <w:rPr>
          <w:rFonts w:ascii="Calibri" w:eastAsia="Calibri" w:hAnsi="Calibri" w:cs="Calibri"/>
          <w:color w:val="000000" w:themeColor="text1"/>
          <w:u w:val="single"/>
        </w:rPr>
        <w:t>should not be returned</w:t>
      </w:r>
      <w:proofErr w:type="gramEnd"/>
      <w:r w:rsidRPr="0077106B">
        <w:rPr>
          <w:rFonts w:ascii="Calibri" w:eastAsia="Calibri" w:hAnsi="Calibri" w:cs="Calibri"/>
          <w:color w:val="000000" w:themeColor="text1"/>
          <w:u w:val="single"/>
        </w:rPr>
        <w:t xml:space="preserve"> to institutions after emergencies or when conflict subsides</w:t>
      </w:r>
      <w:r w:rsidRPr="00DA45E0">
        <w:rPr>
          <w:rFonts w:ascii="Calibri" w:eastAsia="Calibri" w:hAnsi="Calibri" w:cs="Calibri"/>
          <w:color w:val="000000" w:themeColor="text1"/>
        </w:rPr>
        <w:t>.</w:t>
      </w:r>
      <w:r>
        <w:rPr>
          <w:rFonts w:ascii="Calibri" w:eastAsia="Calibri" w:hAnsi="Calibri" w:cs="Calibri"/>
          <w:color w:val="000000" w:themeColor="text1"/>
        </w:rPr>
        <w:t xml:space="preserve"> </w:t>
      </w:r>
    </w:p>
    <w:p w14:paraId="66700567" w14:textId="13C3F13A" w:rsidR="00F3392D" w:rsidRDefault="00F3392D" w:rsidP="0077106B">
      <w:pPr>
        <w:spacing w:after="0" w:line="240" w:lineRule="auto"/>
        <w:jc w:val="both"/>
        <w:rPr>
          <w:rFonts w:cstheme="minorHAnsi"/>
          <w:sz w:val="20"/>
          <w:szCs w:val="20"/>
        </w:rPr>
      </w:pPr>
      <w:r w:rsidRPr="00F3392D">
        <w:rPr>
          <w:rFonts w:cstheme="minorHAnsi"/>
          <w:sz w:val="20"/>
          <w:szCs w:val="20"/>
          <w:highlight w:val="green"/>
        </w:rPr>
        <w:t xml:space="preserve">* It would be appropriate to consult the organizations of persons with disabilities and the OHCHR offices in the region of the conflict Russia and Ukraine to determine if this could really be applicable when the military actions decrease </w:t>
      </w:r>
      <w:r w:rsidR="00B955C3" w:rsidRPr="00663BA3">
        <w:rPr>
          <w:rFonts w:cstheme="minorHAnsi"/>
          <w:sz w:val="20"/>
          <w:szCs w:val="20"/>
          <w:highlight w:val="green"/>
        </w:rPr>
        <w:t xml:space="preserve">(diminution </w:t>
      </w:r>
      <w:r w:rsidRPr="00663BA3">
        <w:rPr>
          <w:rFonts w:cstheme="minorHAnsi"/>
          <w:sz w:val="20"/>
          <w:szCs w:val="20"/>
          <w:highlight w:val="green"/>
        </w:rPr>
        <w:t xml:space="preserve">that </w:t>
      </w:r>
      <w:r w:rsidRPr="00F3392D">
        <w:rPr>
          <w:rFonts w:cstheme="minorHAnsi"/>
          <w:sz w:val="20"/>
          <w:szCs w:val="20"/>
          <w:highlight w:val="green"/>
        </w:rPr>
        <w:t>may be momentary) or when the conflict ends but chaos remains in the affected cities</w:t>
      </w:r>
      <w:r w:rsidRPr="00F3392D">
        <w:rPr>
          <w:rFonts w:cstheme="minorHAnsi"/>
          <w:sz w:val="20"/>
          <w:szCs w:val="20"/>
        </w:rPr>
        <w:t>.</w:t>
      </w:r>
    </w:p>
    <w:p w14:paraId="39667A24" w14:textId="66936B0C" w:rsidR="0077106B" w:rsidRPr="0077106B" w:rsidRDefault="00F3392D" w:rsidP="0077106B">
      <w:pPr>
        <w:spacing w:after="0" w:line="240" w:lineRule="auto"/>
        <w:jc w:val="both"/>
        <w:rPr>
          <w:rFonts w:cstheme="minorHAnsi"/>
          <w:sz w:val="20"/>
          <w:szCs w:val="20"/>
          <w:lang w:val="es-CL"/>
        </w:rPr>
      </w:pPr>
      <w:r w:rsidRPr="00F3392D">
        <w:rPr>
          <w:rFonts w:cstheme="minorHAnsi"/>
          <w:sz w:val="20"/>
          <w:szCs w:val="20"/>
          <w:lang w:val="es-CL"/>
        </w:rPr>
        <w:t>(</w:t>
      </w:r>
      <w:r w:rsidR="0077106B" w:rsidRPr="00F3392D">
        <w:rPr>
          <w:rFonts w:cstheme="minorHAnsi"/>
          <w:sz w:val="20"/>
          <w:szCs w:val="20"/>
          <w:lang w:val="es-CL"/>
        </w:rPr>
        <w:t>Sería adecuado consultar a las organizaciones de personas con discapacidad y a las oficinas de ACNUDH en la región del conflicto Rusia y Ucrania para determinar si esto podría ser realmente aplicable cuando las acciones bélicas disminuyen (dis</w:t>
      </w:r>
      <w:r w:rsidR="00B955C3">
        <w:rPr>
          <w:rFonts w:cstheme="minorHAnsi"/>
          <w:sz w:val="20"/>
          <w:szCs w:val="20"/>
          <w:lang w:val="es-CL"/>
        </w:rPr>
        <w:t>minución</w:t>
      </w:r>
      <w:r w:rsidR="0077106B" w:rsidRPr="00F3392D">
        <w:rPr>
          <w:rFonts w:cstheme="minorHAnsi"/>
          <w:sz w:val="20"/>
          <w:szCs w:val="20"/>
          <w:lang w:val="es-CL"/>
        </w:rPr>
        <w:t xml:space="preserve"> que puede ser momentánea) o cuando el conflicto </w:t>
      </w:r>
      <w:proofErr w:type="gramStart"/>
      <w:r w:rsidR="0077106B" w:rsidRPr="00F3392D">
        <w:rPr>
          <w:rFonts w:cstheme="minorHAnsi"/>
          <w:sz w:val="20"/>
          <w:szCs w:val="20"/>
          <w:lang w:val="es-CL"/>
        </w:rPr>
        <w:t>termina</w:t>
      </w:r>
      <w:proofErr w:type="gramEnd"/>
      <w:r w:rsidR="0077106B" w:rsidRPr="00F3392D">
        <w:rPr>
          <w:rFonts w:cstheme="minorHAnsi"/>
          <w:sz w:val="20"/>
          <w:szCs w:val="20"/>
          <w:lang w:val="es-CL"/>
        </w:rPr>
        <w:t xml:space="preserve"> pero queda un caos en las ciudades afectadas</w:t>
      </w:r>
      <w:r>
        <w:rPr>
          <w:rFonts w:cstheme="minorHAnsi"/>
          <w:sz w:val="20"/>
          <w:szCs w:val="20"/>
          <w:lang w:val="es-CL"/>
        </w:rPr>
        <w:t>)</w:t>
      </w:r>
      <w:r w:rsidR="0077106B" w:rsidRPr="00F3392D">
        <w:rPr>
          <w:rFonts w:cstheme="minorHAnsi"/>
          <w:sz w:val="20"/>
          <w:szCs w:val="20"/>
          <w:lang w:val="es-CL"/>
        </w:rPr>
        <w:t>.</w:t>
      </w:r>
      <w:r w:rsidR="0077106B" w:rsidRPr="0077106B">
        <w:rPr>
          <w:rFonts w:cstheme="minorHAnsi"/>
          <w:sz w:val="20"/>
          <w:szCs w:val="20"/>
          <w:lang w:val="es-CL"/>
        </w:rPr>
        <w:t xml:space="preserve"> </w:t>
      </w:r>
    </w:p>
    <w:p w14:paraId="19E2299D" w14:textId="77777777" w:rsidR="0077106B" w:rsidRPr="0077106B" w:rsidRDefault="0077106B" w:rsidP="0077106B">
      <w:pPr>
        <w:jc w:val="both"/>
        <w:rPr>
          <w:rFonts w:asciiTheme="minorEastAsia" w:eastAsiaTheme="minorEastAsia" w:hAnsiTheme="minorEastAsia" w:cstheme="minorEastAsia"/>
          <w:lang w:val="es-CL"/>
        </w:rPr>
      </w:pPr>
    </w:p>
    <w:p w14:paraId="72DB13D2" w14:textId="2049BF0A" w:rsidR="0077106B" w:rsidRPr="001C3516" w:rsidRDefault="00F24516" w:rsidP="0077106B">
      <w:pPr>
        <w:pStyle w:val="BodyText1"/>
        <w:numPr>
          <w:ilvl w:val="0"/>
          <w:numId w:val="0"/>
        </w:numPr>
        <w:rPr>
          <w:b/>
          <w:color w:val="2F5496" w:themeColor="accent1" w:themeShade="BF"/>
          <w:sz w:val="24"/>
          <w:szCs w:val="24"/>
          <w:lang w:val="es-CL"/>
        </w:rPr>
      </w:pPr>
      <w:r w:rsidRPr="00332898">
        <w:rPr>
          <w:b/>
          <w:color w:val="0070C0"/>
          <w:lang w:val="es-CL"/>
        </w:rPr>
        <w:t>IX.</w:t>
      </w:r>
      <w:r w:rsidRPr="00332898">
        <w:rPr>
          <w:color w:val="0070C0"/>
          <w:lang w:val="es-CL"/>
        </w:rPr>
        <w:t xml:space="preserve"> </w:t>
      </w:r>
      <w:r w:rsidRPr="00332898">
        <w:rPr>
          <w:lang w:val="es-CL"/>
        </w:rPr>
        <w:tab/>
      </w:r>
      <w:r w:rsidRPr="001C3516">
        <w:rPr>
          <w:b/>
          <w:color w:val="2F5496" w:themeColor="accent1" w:themeShade="BF"/>
          <w:sz w:val="24"/>
          <w:szCs w:val="24"/>
          <w:lang w:val="es-CL"/>
        </w:rPr>
        <w:t xml:space="preserve">Remedies, </w:t>
      </w:r>
      <w:proofErr w:type="spellStart"/>
      <w:r w:rsidRPr="001C3516">
        <w:rPr>
          <w:b/>
          <w:color w:val="2F5496" w:themeColor="accent1" w:themeShade="BF"/>
          <w:sz w:val="24"/>
          <w:szCs w:val="24"/>
          <w:lang w:val="es-CL"/>
        </w:rPr>
        <w:t>reparations</w:t>
      </w:r>
      <w:proofErr w:type="spellEnd"/>
      <w:r w:rsidRPr="001C3516">
        <w:rPr>
          <w:b/>
          <w:color w:val="2F5496" w:themeColor="accent1" w:themeShade="BF"/>
          <w:sz w:val="24"/>
          <w:szCs w:val="24"/>
          <w:lang w:val="es-CL"/>
        </w:rPr>
        <w:t xml:space="preserve">, </w:t>
      </w:r>
      <w:proofErr w:type="spellStart"/>
      <w:r w:rsidRPr="001C3516">
        <w:rPr>
          <w:b/>
          <w:color w:val="2F5496" w:themeColor="accent1" w:themeShade="BF"/>
          <w:sz w:val="24"/>
          <w:szCs w:val="24"/>
          <w:lang w:val="es-CL"/>
        </w:rPr>
        <w:t>redress</w:t>
      </w:r>
      <w:proofErr w:type="spellEnd"/>
      <w:r w:rsidR="001C3516" w:rsidRPr="001C3516">
        <w:rPr>
          <w:b/>
          <w:color w:val="2F5496" w:themeColor="accent1" w:themeShade="BF"/>
          <w:sz w:val="24"/>
          <w:szCs w:val="24"/>
          <w:lang w:val="es-CL"/>
        </w:rPr>
        <w:t xml:space="preserve"> (</w:t>
      </w:r>
      <w:proofErr w:type="spellStart"/>
      <w:r w:rsidR="001C3516" w:rsidRPr="001C3516">
        <w:rPr>
          <w:b/>
          <w:color w:val="2F5496" w:themeColor="accent1" w:themeShade="BF"/>
          <w:sz w:val="24"/>
          <w:szCs w:val="24"/>
          <w:lang w:val="es-CL"/>
        </w:rPr>
        <w:t>rezarcimiento</w:t>
      </w:r>
      <w:proofErr w:type="spellEnd"/>
      <w:r w:rsidR="001C3516" w:rsidRPr="001C3516">
        <w:rPr>
          <w:b/>
          <w:color w:val="2F5496" w:themeColor="accent1" w:themeShade="BF"/>
          <w:sz w:val="24"/>
          <w:szCs w:val="24"/>
          <w:lang w:val="es-CL"/>
        </w:rPr>
        <w:t xml:space="preserve"> o compensa</w:t>
      </w:r>
      <w:r w:rsidR="001C3516">
        <w:rPr>
          <w:b/>
          <w:color w:val="2F5496" w:themeColor="accent1" w:themeShade="BF"/>
          <w:sz w:val="24"/>
          <w:szCs w:val="24"/>
          <w:lang w:val="es-CL"/>
        </w:rPr>
        <w:t>ciones)</w:t>
      </w:r>
    </w:p>
    <w:p w14:paraId="6A5C75BA" w14:textId="5E4FC5B0" w:rsidR="00131BD6" w:rsidRDefault="00131BD6" w:rsidP="0077106B">
      <w:pPr>
        <w:pStyle w:val="BodyText1"/>
        <w:numPr>
          <w:ilvl w:val="0"/>
          <w:numId w:val="0"/>
        </w:numPr>
        <w:rPr>
          <w:rStyle w:val="normaltextrun"/>
        </w:rPr>
      </w:pPr>
      <w:r>
        <w:rPr>
          <w:rStyle w:val="normaltextrun"/>
        </w:rPr>
        <w:t xml:space="preserve">117. </w:t>
      </w:r>
      <w:r w:rsidRPr="2CB2A6B5">
        <w:rPr>
          <w:rStyle w:val="normaltextrun"/>
        </w:rPr>
        <w:t xml:space="preserve">States Parties </w:t>
      </w:r>
      <w:r w:rsidRPr="000F3EDB">
        <w:rPr>
          <w:rStyle w:val="normaltextrun"/>
        </w:rPr>
        <w:t xml:space="preserve">should introduce a mechanism for the provision of formal apologies to survivors of institutionalization negotiated with all groups representing persons with disabilities having </w:t>
      </w:r>
      <w:proofErr w:type="gramStart"/>
      <w:r w:rsidRPr="000F3EDB">
        <w:rPr>
          <w:rStyle w:val="normaltextrun"/>
        </w:rPr>
        <w:t>experienced</w:t>
      </w:r>
      <w:proofErr w:type="gramEnd"/>
      <w:r w:rsidRPr="000F3EDB">
        <w:rPr>
          <w:rStyle w:val="normaltextrun"/>
        </w:rPr>
        <w:t xml:space="preserve"> institutionalization, and providing for further educational, historical, and other cultural measures to raise the status of survivors throughout society. States Parties should introduce the provision of automatic compensation to survivors of institutionalization</w:t>
      </w:r>
      <w:r w:rsidRPr="000F3EDB">
        <w:t xml:space="preserve"> </w:t>
      </w:r>
      <w:r w:rsidRPr="000F3EDB">
        <w:rPr>
          <w:rStyle w:val="normaltextrun"/>
        </w:rPr>
        <w:t xml:space="preserve">at levels that </w:t>
      </w:r>
      <w:r w:rsidR="00E8614D" w:rsidRPr="00E8614D">
        <w:rPr>
          <w:rStyle w:val="normaltextrun"/>
          <w:u w:val="single"/>
        </w:rPr>
        <w:t>*</w:t>
      </w:r>
      <w:r w:rsidRPr="00E8614D">
        <w:rPr>
          <w:rStyle w:val="normaltextrun"/>
          <w:u w:val="single"/>
        </w:rPr>
        <w:t>dignify the pain</w:t>
      </w:r>
      <w:r w:rsidRPr="2CB2A6B5">
        <w:rPr>
          <w:rStyle w:val="normaltextrun"/>
        </w:rPr>
        <w:t xml:space="preserve">, suffering, and consequential damages experienced over the course of a lifetime within an institution or </w:t>
      </w:r>
      <w:proofErr w:type="gramStart"/>
      <w:r w:rsidRPr="2CB2A6B5">
        <w:rPr>
          <w:rStyle w:val="normaltextrun"/>
        </w:rPr>
        <w:t>as a result</w:t>
      </w:r>
      <w:proofErr w:type="gramEnd"/>
      <w:r w:rsidRPr="2CB2A6B5">
        <w:rPr>
          <w:rStyle w:val="normaltextrun"/>
        </w:rPr>
        <w:t xml:space="preserve"> of institutionalization. Such financial awards cannot undermine the pre-existing legal rights of individuals to engage in litigation and other forms of access to justice.</w:t>
      </w:r>
      <w:r>
        <w:rPr>
          <w:rStyle w:val="normaltextrun"/>
        </w:rPr>
        <w:t xml:space="preserve"> </w:t>
      </w:r>
    </w:p>
    <w:p w14:paraId="1695F1E0" w14:textId="1B923EE0" w:rsidR="00E8614D" w:rsidRPr="00F3392D" w:rsidRDefault="00F3392D" w:rsidP="00E8614D">
      <w:pPr>
        <w:spacing w:after="0" w:line="240" w:lineRule="auto"/>
        <w:jc w:val="both"/>
        <w:rPr>
          <w:rFonts w:cstheme="minorHAnsi"/>
          <w:sz w:val="20"/>
          <w:szCs w:val="20"/>
          <w:lang w:val="es-CL"/>
        </w:rPr>
      </w:pPr>
      <w:proofErr w:type="gramStart"/>
      <w:r w:rsidRPr="00F3392D">
        <w:rPr>
          <w:rFonts w:cstheme="minorHAnsi"/>
          <w:sz w:val="20"/>
          <w:szCs w:val="20"/>
          <w:lang w:val="en-GB"/>
        </w:rPr>
        <w:t xml:space="preserve">* </w:t>
      </w:r>
      <w:r w:rsidRPr="00F3392D">
        <w:rPr>
          <w:rFonts w:cstheme="minorHAnsi"/>
          <w:sz w:val="20"/>
          <w:szCs w:val="20"/>
          <w:highlight w:val="green"/>
          <w:lang w:val="en-GB"/>
        </w:rPr>
        <w:t>Can pain be dignified</w:t>
      </w:r>
      <w:proofErr w:type="gramEnd"/>
      <w:r w:rsidRPr="00F3392D">
        <w:rPr>
          <w:rFonts w:cstheme="minorHAnsi"/>
          <w:sz w:val="20"/>
          <w:szCs w:val="20"/>
          <w:highlight w:val="green"/>
          <w:lang w:val="en-GB"/>
        </w:rPr>
        <w:t xml:space="preserve">? </w:t>
      </w:r>
      <w:proofErr w:type="gramStart"/>
      <w:r w:rsidRPr="00F3392D">
        <w:rPr>
          <w:rFonts w:cstheme="minorHAnsi"/>
          <w:sz w:val="20"/>
          <w:szCs w:val="20"/>
          <w:highlight w:val="green"/>
          <w:lang w:val="en-GB"/>
        </w:rPr>
        <w:t>what</w:t>
      </w:r>
      <w:proofErr w:type="gramEnd"/>
      <w:r w:rsidRPr="00F3392D">
        <w:rPr>
          <w:rFonts w:cstheme="minorHAnsi"/>
          <w:sz w:val="20"/>
          <w:szCs w:val="20"/>
          <w:highlight w:val="green"/>
          <w:lang w:val="en-GB"/>
        </w:rPr>
        <w:t xml:space="preserve"> really needs to be </w:t>
      </w:r>
      <w:r w:rsidRPr="00620C0C">
        <w:rPr>
          <w:rFonts w:cstheme="minorHAnsi"/>
          <w:sz w:val="20"/>
          <w:szCs w:val="20"/>
          <w:highlight w:val="green"/>
          <w:lang w:val="en-GB"/>
        </w:rPr>
        <w:t xml:space="preserve">is a </w:t>
      </w:r>
      <w:r w:rsidR="00620C0C" w:rsidRPr="00620C0C">
        <w:rPr>
          <w:rFonts w:cstheme="minorHAnsi"/>
          <w:sz w:val="20"/>
          <w:szCs w:val="20"/>
          <w:highlight w:val="green"/>
          <w:lang w:val="en-GB"/>
        </w:rPr>
        <w:t>redress</w:t>
      </w:r>
      <w:r w:rsidRPr="00620C0C">
        <w:rPr>
          <w:rFonts w:cstheme="minorHAnsi"/>
          <w:sz w:val="20"/>
          <w:szCs w:val="20"/>
          <w:highlight w:val="green"/>
          <w:lang w:val="en-GB"/>
        </w:rPr>
        <w:t>.</w:t>
      </w:r>
      <w:r>
        <w:rPr>
          <w:rFonts w:cstheme="minorHAnsi"/>
          <w:sz w:val="20"/>
          <w:szCs w:val="20"/>
          <w:lang w:val="en-GB"/>
        </w:rPr>
        <w:t xml:space="preserve"> </w:t>
      </w:r>
      <w:r w:rsidRPr="00F3392D">
        <w:rPr>
          <w:rFonts w:cstheme="minorHAnsi"/>
          <w:sz w:val="20"/>
          <w:szCs w:val="20"/>
          <w:lang w:val="es-CL"/>
        </w:rPr>
        <w:t>(</w:t>
      </w:r>
      <w:r w:rsidR="00E8614D" w:rsidRPr="00F3392D">
        <w:rPr>
          <w:rFonts w:cstheme="minorHAnsi"/>
          <w:sz w:val="20"/>
          <w:szCs w:val="20"/>
          <w:lang w:val="es-CL"/>
        </w:rPr>
        <w:t>¿se puede dignificar el dolor? lo que realmente debe haber es una reparación</w:t>
      </w:r>
      <w:r w:rsidRPr="00F3392D">
        <w:rPr>
          <w:rFonts w:cstheme="minorHAnsi"/>
          <w:sz w:val="20"/>
          <w:szCs w:val="20"/>
          <w:lang w:val="es-CL"/>
        </w:rPr>
        <w:t>)</w:t>
      </w:r>
      <w:r w:rsidR="00E8614D" w:rsidRPr="00F3392D">
        <w:rPr>
          <w:rFonts w:cstheme="minorHAnsi"/>
          <w:sz w:val="20"/>
          <w:szCs w:val="20"/>
          <w:lang w:val="es-CL"/>
        </w:rPr>
        <w:t xml:space="preserve">. </w:t>
      </w:r>
    </w:p>
    <w:p w14:paraId="156B1900" w14:textId="77777777" w:rsidR="00E8614D" w:rsidRPr="00F3392D" w:rsidRDefault="00E8614D" w:rsidP="00E8614D">
      <w:pPr>
        <w:spacing w:after="0" w:line="240" w:lineRule="auto"/>
        <w:jc w:val="both"/>
        <w:rPr>
          <w:rFonts w:cstheme="minorHAnsi"/>
          <w:sz w:val="20"/>
          <w:szCs w:val="20"/>
          <w:lang w:val="es-CL"/>
        </w:rPr>
      </w:pPr>
      <w:bookmarkStart w:id="9" w:name="_GoBack"/>
      <w:bookmarkEnd w:id="9"/>
    </w:p>
    <w:p w14:paraId="4DE99E10" w14:textId="5E0CFD22" w:rsidR="00131BD6" w:rsidRDefault="00131BD6" w:rsidP="00E8614D">
      <w:pPr>
        <w:spacing w:after="0" w:line="240" w:lineRule="auto"/>
        <w:jc w:val="both"/>
        <w:rPr>
          <w:color w:val="0070C0"/>
        </w:rPr>
      </w:pPr>
      <w:r>
        <w:t xml:space="preserve">119. </w:t>
      </w:r>
      <w:r w:rsidRPr="00E8614D">
        <w:rPr>
          <w:u w:val="single"/>
        </w:rPr>
        <w:t xml:space="preserve">Truth commissions at the national and international level </w:t>
      </w:r>
      <w:proofErr w:type="gramStart"/>
      <w:r w:rsidRPr="00E8614D">
        <w:rPr>
          <w:u w:val="single"/>
        </w:rPr>
        <w:t>should be established</w:t>
      </w:r>
      <w:proofErr w:type="gramEnd"/>
      <w:r w:rsidRPr="00E8614D">
        <w:rPr>
          <w:u w:val="single"/>
        </w:rPr>
        <w:t xml:space="preserve"> to investigate and promote public understanding of all forms of institutionalization and the full scope of harms caused to past and present survivors, to lay the groundwork for planning an effective national response.</w:t>
      </w:r>
      <w:r w:rsidRPr="00FA2C5B">
        <w:rPr>
          <w:color w:val="0070C0"/>
        </w:rPr>
        <w:t xml:space="preserve"> </w:t>
      </w:r>
    </w:p>
    <w:p w14:paraId="2B7DCD42" w14:textId="77777777" w:rsidR="00F3392D" w:rsidRPr="008F6DB1" w:rsidRDefault="00F3392D" w:rsidP="00230370">
      <w:pPr>
        <w:spacing w:after="0" w:line="240" w:lineRule="auto"/>
        <w:jc w:val="both"/>
        <w:rPr>
          <w:rFonts w:cstheme="minorHAnsi"/>
          <w:sz w:val="20"/>
          <w:szCs w:val="20"/>
          <w:highlight w:val="green"/>
          <w:lang w:val="en-GB"/>
        </w:rPr>
      </w:pPr>
    </w:p>
    <w:p w14:paraId="49263DEB" w14:textId="352595FC" w:rsidR="00F3392D" w:rsidRPr="00BE2ABE" w:rsidRDefault="00F3392D" w:rsidP="00230370">
      <w:pPr>
        <w:spacing w:after="0" w:line="240" w:lineRule="auto"/>
        <w:jc w:val="both"/>
        <w:rPr>
          <w:rFonts w:cstheme="minorHAnsi"/>
          <w:sz w:val="20"/>
          <w:szCs w:val="20"/>
          <w:highlight w:val="green"/>
        </w:rPr>
      </w:pPr>
      <w:r w:rsidRPr="00F3392D">
        <w:rPr>
          <w:rFonts w:cstheme="minorHAnsi"/>
          <w:sz w:val="20"/>
          <w:szCs w:val="20"/>
        </w:rPr>
        <w:t>*</w:t>
      </w:r>
      <w:r w:rsidRPr="00F3392D">
        <w:rPr>
          <w:rFonts w:cstheme="minorHAnsi"/>
          <w:sz w:val="20"/>
          <w:szCs w:val="20"/>
          <w:highlight w:val="green"/>
        </w:rPr>
        <w:t xml:space="preserve">There are states that have mechanisms for the prevention of </w:t>
      </w:r>
      <w:proofErr w:type="gramStart"/>
      <w:r w:rsidRPr="00F3392D">
        <w:rPr>
          <w:rFonts w:cstheme="minorHAnsi"/>
          <w:sz w:val="20"/>
          <w:szCs w:val="20"/>
          <w:highlight w:val="green"/>
        </w:rPr>
        <w:t>torture,</w:t>
      </w:r>
      <w:proofErr w:type="gramEnd"/>
      <w:r w:rsidRPr="00F3392D">
        <w:rPr>
          <w:rFonts w:cstheme="minorHAnsi"/>
          <w:sz w:val="20"/>
          <w:szCs w:val="20"/>
          <w:highlight w:val="green"/>
        </w:rPr>
        <w:t xml:space="preserve"> they should be in charge of this task. The NHRIs and the mechanism of article 33 of the CRPD can also do it, in those countries that have these organisms. At the international level, there is the Committee for the Prevention of Torture in accordance with the optional protocol of the CAT. </w:t>
      </w:r>
      <w:r w:rsidR="00BE2ABE" w:rsidRPr="00BE2ABE">
        <w:rPr>
          <w:rFonts w:cstheme="minorHAnsi"/>
          <w:sz w:val="20"/>
          <w:szCs w:val="20"/>
          <w:highlight w:val="green"/>
        </w:rPr>
        <w:t>This body can also be in charge of these actions).</w:t>
      </w:r>
    </w:p>
    <w:p w14:paraId="41F2D253" w14:textId="0D38C80D" w:rsidR="00F3392D" w:rsidRPr="00332898" w:rsidRDefault="00F3392D" w:rsidP="00230370">
      <w:pPr>
        <w:spacing w:after="0" w:line="240" w:lineRule="auto"/>
        <w:jc w:val="both"/>
        <w:rPr>
          <w:rFonts w:cstheme="minorHAnsi"/>
          <w:sz w:val="20"/>
          <w:szCs w:val="20"/>
          <w:lang w:val="es-CL"/>
        </w:rPr>
      </w:pPr>
      <w:r>
        <w:rPr>
          <w:rFonts w:cstheme="minorHAnsi"/>
          <w:sz w:val="20"/>
          <w:szCs w:val="20"/>
          <w:lang w:val="es-CL"/>
        </w:rPr>
        <w:t>(</w:t>
      </w:r>
      <w:r w:rsidR="00E8614D" w:rsidRPr="00F3392D">
        <w:rPr>
          <w:rFonts w:cstheme="minorHAnsi"/>
          <w:sz w:val="20"/>
          <w:szCs w:val="20"/>
          <w:lang w:val="es-CL"/>
        </w:rPr>
        <w:t>*Hay estados que cuenta con mecanismos para la prevención de la tortura, ellos deberían encargarse de esta tarea. También pueden hacerlo las INDH y el mecanismo del artículo 33 de la CRPD, en aquellos países que cuenten con estos organismos. En el ámbito internacional existe el Comité para la Prevención de la Tortura en conformidad al protocolo facultativo del CAT. Este órgano puede ocuparse también de estas acciones</w:t>
      </w:r>
      <w:r>
        <w:rPr>
          <w:rFonts w:cstheme="minorHAnsi"/>
          <w:sz w:val="20"/>
          <w:szCs w:val="20"/>
          <w:lang w:val="es-CL"/>
        </w:rPr>
        <w:t>)</w:t>
      </w:r>
      <w:r w:rsidR="00E8614D" w:rsidRPr="00F3392D">
        <w:rPr>
          <w:rFonts w:cstheme="minorHAnsi"/>
          <w:sz w:val="20"/>
          <w:szCs w:val="20"/>
          <w:lang w:val="es-CL"/>
        </w:rPr>
        <w:t>.</w:t>
      </w:r>
      <w:r w:rsidR="00E8614D" w:rsidRPr="00332898">
        <w:rPr>
          <w:rFonts w:cstheme="minorHAnsi"/>
          <w:sz w:val="20"/>
          <w:szCs w:val="20"/>
          <w:lang w:val="es-CL"/>
        </w:rPr>
        <w:t xml:space="preserve">  </w:t>
      </w:r>
    </w:p>
    <w:p w14:paraId="20DB2052" w14:textId="77777777" w:rsidR="00230370" w:rsidRPr="00332898" w:rsidRDefault="00230370" w:rsidP="00230370">
      <w:pPr>
        <w:spacing w:after="0" w:line="240" w:lineRule="auto"/>
        <w:jc w:val="both"/>
        <w:rPr>
          <w:b/>
          <w:color w:val="2F5496" w:themeColor="accent1" w:themeShade="BF"/>
          <w:sz w:val="24"/>
          <w:szCs w:val="24"/>
          <w:lang w:val="es-CL"/>
        </w:rPr>
      </w:pPr>
    </w:p>
    <w:p w14:paraId="60E46A78" w14:textId="77777777" w:rsidR="00230370" w:rsidRPr="008F6DB1" w:rsidRDefault="00230370" w:rsidP="00230370">
      <w:pPr>
        <w:spacing w:after="0" w:line="240" w:lineRule="auto"/>
        <w:jc w:val="both"/>
        <w:rPr>
          <w:lang w:val="es-419"/>
        </w:rPr>
      </w:pPr>
    </w:p>
    <w:p w14:paraId="7A9C2157" w14:textId="77777777" w:rsidR="00230370" w:rsidRPr="008F6DB1" w:rsidRDefault="00131BD6" w:rsidP="00230370">
      <w:pPr>
        <w:spacing w:after="0" w:line="240" w:lineRule="auto"/>
        <w:jc w:val="both"/>
        <w:rPr>
          <w:b/>
          <w:color w:val="2F5496" w:themeColor="accent1" w:themeShade="BF"/>
          <w:sz w:val="24"/>
          <w:szCs w:val="24"/>
          <w:lang w:val="es-419"/>
        </w:rPr>
      </w:pPr>
      <w:r w:rsidRPr="008F6DB1">
        <w:rPr>
          <w:b/>
          <w:color w:val="2F5496" w:themeColor="accent1" w:themeShade="BF"/>
          <w:lang w:val="es-419"/>
        </w:rPr>
        <w:t>XI.</w:t>
      </w:r>
      <w:r w:rsidRPr="008F6DB1">
        <w:rPr>
          <w:b/>
          <w:color w:val="2F5496" w:themeColor="accent1" w:themeShade="BF"/>
          <w:lang w:val="es-419"/>
        </w:rPr>
        <w:tab/>
      </w:r>
      <w:proofErr w:type="spellStart"/>
      <w:r w:rsidRPr="008F6DB1">
        <w:rPr>
          <w:b/>
          <w:color w:val="2F5496" w:themeColor="accent1" w:themeShade="BF"/>
          <w:sz w:val="24"/>
          <w:szCs w:val="24"/>
          <w:lang w:val="es-419"/>
        </w:rPr>
        <w:t>Monitoring</w:t>
      </w:r>
      <w:proofErr w:type="spellEnd"/>
      <w:r w:rsidRPr="008F6DB1">
        <w:rPr>
          <w:b/>
          <w:color w:val="2F5496" w:themeColor="accent1" w:themeShade="BF"/>
          <w:sz w:val="24"/>
          <w:szCs w:val="24"/>
          <w:lang w:val="es-419"/>
        </w:rPr>
        <w:t xml:space="preserve"> </w:t>
      </w:r>
      <w:proofErr w:type="spellStart"/>
      <w:r w:rsidRPr="008F6DB1">
        <w:rPr>
          <w:b/>
          <w:color w:val="2F5496" w:themeColor="accent1" w:themeShade="BF"/>
          <w:sz w:val="24"/>
          <w:szCs w:val="24"/>
          <w:lang w:val="es-419"/>
        </w:rPr>
        <w:t>deinstitutionalization</w:t>
      </w:r>
      <w:proofErr w:type="spellEnd"/>
      <w:r w:rsidRPr="008F6DB1">
        <w:rPr>
          <w:b/>
          <w:color w:val="2F5496" w:themeColor="accent1" w:themeShade="BF"/>
          <w:sz w:val="24"/>
          <w:szCs w:val="24"/>
          <w:lang w:val="es-419"/>
        </w:rPr>
        <w:t xml:space="preserve"> </w:t>
      </w:r>
      <w:proofErr w:type="spellStart"/>
      <w:r w:rsidRPr="008F6DB1">
        <w:rPr>
          <w:b/>
          <w:color w:val="2F5496" w:themeColor="accent1" w:themeShade="BF"/>
          <w:sz w:val="24"/>
          <w:szCs w:val="24"/>
          <w:lang w:val="es-419"/>
        </w:rPr>
        <w:t>processes</w:t>
      </w:r>
      <w:proofErr w:type="spellEnd"/>
    </w:p>
    <w:p w14:paraId="77EFF01F" w14:textId="77777777" w:rsidR="00230370" w:rsidRPr="008F6DB1" w:rsidRDefault="00230370" w:rsidP="00230370">
      <w:pPr>
        <w:spacing w:after="0" w:line="240" w:lineRule="auto"/>
        <w:jc w:val="both"/>
        <w:rPr>
          <w:b/>
          <w:color w:val="2F5496" w:themeColor="accent1" w:themeShade="BF"/>
          <w:sz w:val="24"/>
          <w:szCs w:val="24"/>
          <w:lang w:val="es-419"/>
        </w:rPr>
      </w:pPr>
    </w:p>
    <w:p w14:paraId="4C6EEFEE" w14:textId="228C9D96" w:rsidR="00131BD6" w:rsidRDefault="00131BD6" w:rsidP="00230370">
      <w:pPr>
        <w:spacing w:after="0" w:line="240" w:lineRule="auto"/>
        <w:jc w:val="both"/>
      </w:pPr>
      <w:r>
        <w:t xml:space="preserve">130. </w:t>
      </w:r>
      <w:r w:rsidR="00230370">
        <w:t>*</w:t>
      </w:r>
      <w:r w:rsidRPr="00230370">
        <w:rPr>
          <w:u w:val="single"/>
        </w:rPr>
        <w:t xml:space="preserve">States Parties should ensure that independent monitoring mechanisms designated under article 33(2), including National Human Rights Institutions, Ombudspersons, and other equality </w:t>
      </w:r>
      <w:r w:rsidRPr="00230370">
        <w:rPr>
          <w:u w:val="single"/>
        </w:rPr>
        <w:lastRenderedPageBreak/>
        <w:t>bodies, have unrestricted access, physical and otherwise, to institutions, documents, and information</w:t>
      </w:r>
      <w:r w:rsidRPr="009B45E8">
        <w:t xml:space="preserve">. States Parties should also ensure independent monitoring activities undertaken by civil society and representative organizations, including those under article 33(3), </w:t>
      </w:r>
      <w:proofErr w:type="gramStart"/>
      <w:r w:rsidRPr="009B45E8">
        <w:t>are facilitated</w:t>
      </w:r>
      <w:proofErr w:type="gramEnd"/>
      <w:r w:rsidRPr="009B45E8">
        <w:t xml:space="preserve">, and barriers to access to institutions, documents and information are removed. States Parties should facilitate open exchange of data on deinstitutionalization. </w:t>
      </w:r>
    </w:p>
    <w:p w14:paraId="07865791" w14:textId="77777777" w:rsidR="009B3AA2" w:rsidRDefault="009B3AA2" w:rsidP="00230370">
      <w:pPr>
        <w:spacing w:after="0" w:line="240" w:lineRule="auto"/>
        <w:jc w:val="both"/>
      </w:pPr>
    </w:p>
    <w:p w14:paraId="7D21B64F" w14:textId="77777777" w:rsidR="009B3AA2" w:rsidRPr="008F6DB1" w:rsidRDefault="009B3AA2" w:rsidP="00230370">
      <w:pPr>
        <w:spacing w:after="0" w:line="240" w:lineRule="auto"/>
        <w:jc w:val="both"/>
        <w:rPr>
          <w:lang w:val="en-GB"/>
        </w:rPr>
      </w:pPr>
      <w:r w:rsidRPr="008F6DB1">
        <w:rPr>
          <w:highlight w:val="green"/>
          <w:lang w:val="en-GB"/>
        </w:rPr>
        <w:t>* This guarantee should also apply to truth commissions in paragraph 119 of this draft.</w:t>
      </w:r>
    </w:p>
    <w:p w14:paraId="784FC27D" w14:textId="115BF2F5" w:rsidR="00230370" w:rsidRPr="009B3AA2" w:rsidRDefault="009B3AA2" w:rsidP="00230370">
      <w:pPr>
        <w:spacing w:after="0" w:line="240" w:lineRule="auto"/>
        <w:jc w:val="both"/>
        <w:rPr>
          <w:lang w:val="es-CL"/>
        </w:rPr>
      </w:pPr>
      <w:r w:rsidRPr="009B3AA2">
        <w:rPr>
          <w:lang w:val="es-CL"/>
        </w:rPr>
        <w:t>(</w:t>
      </w:r>
      <w:r w:rsidR="00230370" w:rsidRPr="009B3AA2">
        <w:rPr>
          <w:rFonts w:cstheme="minorHAnsi"/>
          <w:sz w:val="20"/>
          <w:szCs w:val="20"/>
          <w:lang w:val="es-CL"/>
        </w:rPr>
        <w:t>Esta garantía también debería aplicarse a las comisiones de la verdad del párrafo 119 de este borrador</w:t>
      </w:r>
      <w:r w:rsidRPr="009B3AA2">
        <w:rPr>
          <w:rFonts w:cstheme="minorHAnsi"/>
          <w:sz w:val="20"/>
          <w:szCs w:val="20"/>
          <w:lang w:val="es-CL"/>
        </w:rPr>
        <w:t>)</w:t>
      </w:r>
      <w:r w:rsidR="00230370" w:rsidRPr="009B3AA2">
        <w:rPr>
          <w:rFonts w:cstheme="minorHAnsi"/>
          <w:sz w:val="20"/>
          <w:szCs w:val="20"/>
          <w:lang w:val="es-CL"/>
        </w:rPr>
        <w:t>.</w:t>
      </w:r>
    </w:p>
    <w:p w14:paraId="39C29673" w14:textId="77777777" w:rsidR="00131BD6" w:rsidRPr="00230370" w:rsidRDefault="00131BD6" w:rsidP="00131BD6">
      <w:pPr>
        <w:pStyle w:val="BodyText1"/>
        <w:numPr>
          <w:ilvl w:val="0"/>
          <w:numId w:val="0"/>
        </w:numPr>
        <w:ind w:left="643"/>
        <w:rPr>
          <w:rStyle w:val="eop"/>
          <w:lang w:val="es-CL"/>
        </w:rPr>
      </w:pPr>
    </w:p>
    <w:p w14:paraId="57EE41BB" w14:textId="77777777" w:rsidR="00131BD6" w:rsidRPr="00230370" w:rsidRDefault="00131BD6" w:rsidP="006615A8">
      <w:pPr>
        <w:pStyle w:val="BodyText1"/>
        <w:numPr>
          <w:ilvl w:val="0"/>
          <w:numId w:val="0"/>
        </w:numPr>
        <w:ind w:left="643"/>
        <w:rPr>
          <w:lang w:val="es-CL"/>
        </w:rPr>
      </w:pPr>
    </w:p>
    <w:p w14:paraId="48589E90" w14:textId="77777777" w:rsidR="006615A8" w:rsidRPr="00230370" w:rsidRDefault="006615A8" w:rsidP="007D5377">
      <w:pPr>
        <w:pStyle w:val="BodyText1"/>
        <w:numPr>
          <w:ilvl w:val="0"/>
          <w:numId w:val="0"/>
        </w:numPr>
        <w:ind w:left="643" w:hanging="360"/>
        <w:rPr>
          <w:lang w:val="es-CL"/>
        </w:rPr>
      </w:pPr>
    </w:p>
    <w:p w14:paraId="3DA447CF" w14:textId="77777777" w:rsidR="007D5377" w:rsidRPr="00230370" w:rsidRDefault="007D5377" w:rsidP="009D6A34">
      <w:pPr>
        <w:pStyle w:val="BodyText1"/>
        <w:numPr>
          <w:ilvl w:val="0"/>
          <w:numId w:val="0"/>
        </w:numPr>
        <w:ind w:left="643"/>
        <w:rPr>
          <w:lang w:val="es-CL"/>
        </w:rPr>
      </w:pPr>
    </w:p>
    <w:sectPr w:rsidR="007D5377" w:rsidRPr="0023037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46ACD" w14:textId="77777777" w:rsidR="00A720D4" w:rsidRDefault="00A720D4" w:rsidP="00DE5131">
      <w:pPr>
        <w:spacing w:after="0" w:line="240" w:lineRule="auto"/>
      </w:pPr>
      <w:r>
        <w:separator/>
      </w:r>
    </w:p>
  </w:endnote>
  <w:endnote w:type="continuationSeparator" w:id="0">
    <w:p w14:paraId="742E7A6B" w14:textId="77777777" w:rsidR="00A720D4" w:rsidRDefault="00A720D4" w:rsidP="00DE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3824F" w14:textId="77777777" w:rsidR="00A720D4" w:rsidRDefault="00A720D4" w:rsidP="00DE5131">
      <w:pPr>
        <w:spacing w:after="0" w:line="240" w:lineRule="auto"/>
      </w:pPr>
      <w:r>
        <w:separator/>
      </w:r>
    </w:p>
  </w:footnote>
  <w:footnote w:type="continuationSeparator" w:id="0">
    <w:p w14:paraId="1BA3CF84" w14:textId="77777777" w:rsidR="00A720D4" w:rsidRDefault="00A720D4" w:rsidP="00DE5131">
      <w:pPr>
        <w:spacing w:after="0" w:line="240" w:lineRule="auto"/>
      </w:pPr>
      <w:r>
        <w:continuationSeparator/>
      </w:r>
    </w:p>
  </w:footnote>
  <w:footnote w:id="1">
    <w:p w14:paraId="703FBA76" w14:textId="77777777" w:rsidR="00F300FE" w:rsidRPr="00444BFB" w:rsidRDefault="00F300FE" w:rsidP="00DE5131">
      <w:pPr>
        <w:pStyle w:val="FootnoteText"/>
        <w:rPr>
          <w:lang w:val="es-419"/>
        </w:rPr>
      </w:pPr>
      <w:r w:rsidRPr="00444BFB">
        <w:rPr>
          <w:rStyle w:val="FootnoteReference"/>
          <w:sz w:val="18"/>
          <w:szCs w:val="18"/>
        </w:rPr>
        <w:footnoteRef/>
      </w:r>
      <w:r w:rsidRPr="00444BFB">
        <w:rPr>
          <w:sz w:val="18"/>
          <w:szCs w:val="18"/>
          <w:lang w:val="es-419"/>
        </w:rPr>
        <w:t xml:space="preserve"> </w:t>
      </w:r>
      <w:r w:rsidRPr="00444BFB">
        <w:rPr>
          <w:rFonts w:ascii="Calibri" w:hAnsi="Calibri" w:cs="Calibri"/>
          <w:sz w:val="18"/>
          <w:szCs w:val="18"/>
          <w:lang w:val="es-419"/>
        </w:rPr>
        <w:t>CRPD/C/GC/3, paras. 29, 45</w:t>
      </w:r>
      <w:r w:rsidRPr="00444BFB">
        <w:rPr>
          <w:rFonts w:ascii="Calibri" w:hAnsi="Calibri" w:cs="Calibri"/>
          <w:lang w:val="es-419"/>
        </w:rPr>
        <w:t>.</w:t>
      </w:r>
    </w:p>
  </w:footnote>
  <w:footnote w:id="2">
    <w:p w14:paraId="0157BB55" w14:textId="77777777" w:rsidR="00F300FE" w:rsidRPr="009D6A34" w:rsidRDefault="00F300FE" w:rsidP="00524C4F">
      <w:pPr>
        <w:pStyle w:val="BodyText1"/>
        <w:numPr>
          <w:ilvl w:val="0"/>
          <w:numId w:val="0"/>
        </w:numPr>
        <w:spacing w:after="0" w:line="240" w:lineRule="auto"/>
        <w:contextualSpacing/>
        <w:rPr>
          <w:rFonts w:cstheme="minorHAnsi"/>
          <w:sz w:val="18"/>
          <w:szCs w:val="18"/>
          <w:lang w:val="en-US"/>
        </w:rPr>
      </w:pPr>
      <w:r w:rsidRPr="006F3BF6">
        <w:rPr>
          <w:rStyle w:val="FootnoteReference"/>
          <w:rFonts w:cstheme="minorHAnsi"/>
          <w:sz w:val="18"/>
          <w:szCs w:val="18"/>
        </w:rPr>
        <w:footnoteRef/>
      </w:r>
      <w:r w:rsidRPr="006F3BF6">
        <w:rPr>
          <w:rFonts w:cstheme="minorHAnsi"/>
          <w:sz w:val="18"/>
          <w:szCs w:val="18"/>
          <w:lang w:val="es-MX"/>
        </w:rPr>
        <w:t xml:space="preserve"> CRPD/C/GC/1, para. </w:t>
      </w:r>
      <w:r w:rsidRPr="009D6A34">
        <w:rPr>
          <w:rFonts w:cstheme="minorHAnsi"/>
          <w:sz w:val="18"/>
          <w:szCs w:val="18"/>
          <w:lang w:val="en-US"/>
        </w:rPr>
        <w:t>38.</w:t>
      </w:r>
    </w:p>
  </w:footnote>
  <w:footnote w:id="3">
    <w:p w14:paraId="6C4B405A" w14:textId="77777777" w:rsidR="00F300FE" w:rsidRPr="006F3BF6" w:rsidRDefault="00F300FE" w:rsidP="00C0119C">
      <w:pPr>
        <w:pStyle w:val="FootnoteText"/>
        <w:jc w:val="both"/>
        <w:rPr>
          <w:sz w:val="18"/>
          <w:szCs w:val="18"/>
        </w:rPr>
      </w:pPr>
      <w:r w:rsidRPr="006F3BF6">
        <w:rPr>
          <w:rStyle w:val="FootnoteReference"/>
          <w:sz w:val="18"/>
          <w:szCs w:val="18"/>
        </w:rPr>
        <w:footnoteRef/>
      </w:r>
      <w:r w:rsidRPr="006F3BF6">
        <w:rPr>
          <w:sz w:val="18"/>
          <w:szCs w:val="18"/>
        </w:rPr>
        <w:t xml:space="preserve"> Short-term breaks provided to caregivers.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380F5E"/>
    <w:multiLevelType w:val="hybridMultilevel"/>
    <w:tmpl w:val="79FAFD8E"/>
    <w:lvl w:ilvl="0" w:tplc="9A3A3DEE">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2"/>
    </w:lvlOverride>
  </w:num>
  <w:num w:numId="3">
    <w:abstractNumId w:val="2"/>
    <w:lvlOverride w:ilvl="0">
      <w:startOverride w:val="1"/>
    </w:lvlOverride>
    <w:lvlOverride w:ilvl="1">
      <w:startOverride w:val="1"/>
    </w:lvlOverride>
    <w:lvlOverride w:ilvl="2">
      <w:startOverride w:val="4"/>
    </w:lvlOverride>
  </w:num>
  <w:num w:numId="4">
    <w:abstractNumId w:val="2"/>
    <w:lvlOverride w:ilvl="0">
      <w:startOverride w:val="1"/>
    </w:lvlOverride>
    <w:lvlOverride w:ilvl="1">
      <w:startOverride w:val="2"/>
    </w:lvlOverride>
  </w:num>
  <w:num w:numId="5">
    <w:abstractNumId w:val="2"/>
    <w:lvlOverride w:ilvl="0">
      <w:startOverride w:val="1"/>
    </w:lvlOverride>
    <w:lvlOverride w:ilvl="1">
      <w:startOverride w:val="22"/>
    </w:lvlOverride>
  </w:num>
  <w:num w:numId="6">
    <w:abstractNumId w:val="3"/>
  </w:num>
  <w:num w:numId="7">
    <w:abstractNumId w:val="2"/>
    <w:lvlOverride w:ilvl="0">
      <w:startOverride w:val="1"/>
    </w:lvlOverride>
    <w:lvlOverride w:ilvl="1">
      <w:startOverride w:val="22"/>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78"/>
    <w:rsid w:val="00091973"/>
    <w:rsid w:val="000B6A44"/>
    <w:rsid w:val="000D60DF"/>
    <w:rsid w:val="00131BD6"/>
    <w:rsid w:val="0015312D"/>
    <w:rsid w:val="00193988"/>
    <w:rsid w:val="001C3516"/>
    <w:rsid w:val="001C59E6"/>
    <w:rsid w:val="00230370"/>
    <w:rsid w:val="00290E2A"/>
    <w:rsid w:val="002C6FCF"/>
    <w:rsid w:val="002D42E4"/>
    <w:rsid w:val="00332898"/>
    <w:rsid w:val="003466E8"/>
    <w:rsid w:val="003B0196"/>
    <w:rsid w:val="00413176"/>
    <w:rsid w:val="00455C6B"/>
    <w:rsid w:val="00524C4F"/>
    <w:rsid w:val="005F0E75"/>
    <w:rsid w:val="00620C0C"/>
    <w:rsid w:val="00637522"/>
    <w:rsid w:val="006615A8"/>
    <w:rsid w:val="00663BA3"/>
    <w:rsid w:val="006D636B"/>
    <w:rsid w:val="006F12EA"/>
    <w:rsid w:val="007331AC"/>
    <w:rsid w:val="0076074A"/>
    <w:rsid w:val="0077106B"/>
    <w:rsid w:val="00777230"/>
    <w:rsid w:val="007D1580"/>
    <w:rsid w:val="007D5377"/>
    <w:rsid w:val="008F6DB1"/>
    <w:rsid w:val="009143EB"/>
    <w:rsid w:val="00924DC1"/>
    <w:rsid w:val="00957941"/>
    <w:rsid w:val="009B3AA2"/>
    <w:rsid w:val="009C6F8E"/>
    <w:rsid w:val="009D6A34"/>
    <w:rsid w:val="00A21811"/>
    <w:rsid w:val="00A720D4"/>
    <w:rsid w:val="00A82EB4"/>
    <w:rsid w:val="00B01726"/>
    <w:rsid w:val="00B55378"/>
    <w:rsid w:val="00B955C3"/>
    <w:rsid w:val="00BB0CBA"/>
    <w:rsid w:val="00BE2ABE"/>
    <w:rsid w:val="00C0119C"/>
    <w:rsid w:val="00C533CE"/>
    <w:rsid w:val="00C578D5"/>
    <w:rsid w:val="00C63E03"/>
    <w:rsid w:val="00C75143"/>
    <w:rsid w:val="00CB0874"/>
    <w:rsid w:val="00CE31C3"/>
    <w:rsid w:val="00D11533"/>
    <w:rsid w:val="00D36D70"/>
    <w:rsid w:val="00D8057A"/>
    <w:rsid w:val="00D8091E"/>
    <w:rsid w:val="00DD46C0"/>
    <w:rsid w:val="00DE5131"/>
    <w:rsid w:val="00E45D93"/>
    <w:rsid w:val="00E80758"/>
    <w:rsid w:val="00E8614D"/>
    <w:rsid w:val="00EC2B89"/>
    <w:rsid w:val="00EE253A"/>
    <w:rsid w:val="00EE6F10"/>
    <w:rsid w:val="00EE7EB5"/>
    <w:rsid w:val="00F24516"/>
    <w:rsid w:val="00F300FE"/>
    <w:rsid w:val="00F339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6896"/>
  <w15:chartTrackingRefBased/>
  <w15:docId w15:val="{1AF6D9AF-5CFE-3E43-89FB-29A02901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E03"/>
    <w:pPr>
      <w:spacing w:after="160" w:line="259" w:lineRule="auto"/>
    </w:pPr>
    <w:rPr>
      <w:sz w:val="22"/>
      <w:szCs w:val="22"/>
      <w:lang w:val="en-US"/>
    </w:rPr>
  </w:style>
  <w:style w:type="paragraph" w:styleId="Heading2">
    <w:name w:val="heading 2"/>
    <w:basedOn w:val="Normal"/>
    <w:next w:val="Normal"/>
    <w:link w:val="Heading2Char"/>
    <w:uiPriority w:val="9"/>
    <w:semiHidden/>
    <w:unhideWhenUsed/>
    <w:qFormat/>
    <w:rsid w:val="001939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4C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C63E03"/>
    <w:pPr>
      <w:numPr>
        <w:numId w:val="1"/>
      </w:numPr>
      <w:jc w:val="both"/>
    </w:pPr>
    <w:rPr>
      <w:sz w:val="20"/>
      <w:szCs w:val="20"/>
      <w:lang w:val="en-GB"/>
    </w:rPr>
  </w:style>
  <w:style w:type="character" w:customStyle="1" w:styleId="BodytextChar">
    <w:name w:val="Body text Char"/>
    <w:basedOn w:val="DefaultParagraphFont"/>
    <w:link w:val="BodyText1"/>
    <w:rsid w:val="00C63E03"/>
    <w:rPr>
      <w:sz w:val="20"/>
      <w:szCs w:val="20"/>
      <w:lang w:val="en-GB"/>
    </w:rPr>
  </w:style>
  <w:style w:type="character" w:customStyle="1" w:styleId="normaltextrun">
    <w:name w:val="normaltextrun"/>
    <w:basedOn w:val="DefaultParagraphFont"/>
    <w:rsid w:val="00DE5131"/>
  </w:style>
  <w:style w:type="paragraph" w:styleId="FootnoteText">
    <w:name w:val="footnote text"/>
    <w:aliases w:val="5_G"/>
    <w:basedOn w:val="Normal"/>
    <w:link w:val="FootnoteTextChar"/>
    <w:uiPriority w:val="99"/>
    <w:unhideWhenUsed/>
    <w:rsid w:val="00DE5131"/>
    <w:pPr>
      <w:spacing w:after="0" w:line="240" w:lineRule="auto"/>
    </w:pPr>
    <w:rPr>
      <w:sz w:val="20"/>
      <w:szCs w:val="20"/>
      <w:lang w:val="en-GB"/>
    </w:rPr>
  </w:style>
  <w:style w:type="character" w:customStyle="1" w:styleId="FootnoteTextChar">
    <w:name w:val="Footnote Text Char"/>
    <w:aliases w:val="5_G Char"/>
    <w:basedOn w:val="DefaultParagraphFont"/>
    <w:link w:val="FootnoteText"/>
    <w:uiPriority w:val="99"/>
    <w:rsid w:val="00DE5131"/>
    <w:rPr>
      <w:sz w:val="20"/>
      <w:szCs w:val="20"/>
      <w:lang w:val="en-GB"/>
    </w:rPr>
  </w:style>
  <w:style w:type="character" w:styleId="FootnoteReference">
    <w:name w:val="footnote reference"/>
    <w:aliases w:val="4_G"/>
    <w:basedOn w:val="DefaultParagraphFont"/>
    <w:uiPriority w:val="99"/>
    <w:unhideWhenUsed/>
    <w:rsid w:val="00DE5131"/>
    <w:rPr>
      <w:vertAlign w:val="superscript"/>
    </w:rPr>
  </w:style>
  <w:style w:type="character" w:customStyle="1" w:styleId="xnormaltextrun">
    <w:name w:val="x_normaltextrun"/>
    <w:basedOn w:val="DefaultParagraphFont"/>
    <w:rsid w:val="00DE5131"/>
  </w:style>
  <w:style w:type="character" w:customStyle="1" w:styleId="Heading3Char">
    <w:name w:val="Heading 3 Char"/>
    <w:basedOn w:val="DefaultParagraphFont"/>
    <w:link w:val="Heading3"/>
    <w:uiPriority w:val="9"/>
    <w:semiHidden/>
    <w:rsid w:val="00524C4F"/>
    <w:rPr>
      <w:rFonts w:asciiTheme="majorHAnsi" w:eastAsiaTheme="majorEastAsia" w:hAnsiTheme="majorHAnsi" w:cstheme="majorBidi"/>
      <w:color w:val="1F3763" w:themeColor="accent1" w:themeShade="7F"/>
      <w:lang w:val="en-US"/>
    </w:rPr>
  </w:style>
  <w:style w:type="character" w:customStyle="1" w:styleId="Heading2Char">
    <w:name w:val="Heading 2 Char"/>
    <w:basedOn w:val="DefaultParagraphFont"/>
    <w:link w:val="Heading2"/>
    <w:uiPriority w:val="9"/>
    <w:semiHidden/>
    <w:rsid w:val="00193988"/>
    <w:rPr>
      <w:rFonts w:asciiTheme="majorHAnsi" w:eastAsiaTheme="majorEastAsia" w:hAnsiTheme="majorHAnsi" w:cstheme="majorBidi"/>
      <w:color w:val="2F5496" w:themeColor="accent1" w:themeShade="BF"/>
      <w:sz w:val="26"/>
      <w:szCs w:val="26"/>
      <w:lang w:val="en-US"/>
    </w:rPr>
  </w:style>
  <w:style w:type="character" w:customStyle="1" w:styleId="eop">
    <w:name w:val="eop"/>
    <w:basedOn w:val="DefaultParagraphFont"/>
    <w:rsid w:val="00131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2949</Words>
  <Characters>16813</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Soledad Cisternas Reyes</dc:creator>
  <cp:keywords/>
  <dc:description/>
  <cp:lastModifiedBy>VILLARREAL LOPEZ Carla</cp:lastModifiedBy>
  <cp:revision>3</cp:revision>
  <dcterms:created xsi:type="dcterms:W3CDTF">2022-07-01T08:36:00Z</dcterms:created>
  <dcterms:modified xsi:type="dcterms:W3CDTF">2022-07-01T14:51:00Z</dcterms:modified>
</cp:coreProperties>
</file>