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101E" w14:textId="77777777" w:rsidR="00927D71" w:rsidRPr="002371E6" w:rsidRDefault="002371E6" w:rsidP="002371E6">
      <w:pPr>
        <w:spacing w:line="74" w:lineRule="exact"/>
        <w:jc w:val="center"/>
        <w:rPr>
          <w:sz w:val="28"/>
          <w:szCs w:val="28"/>
        </w:rPr>
      </w:pPr>
      <w:bookmarkStart w:id="0" w:name="_GoBack"/>
      <w:bookmarkEnd w:id="0"/>
      <w:r w:rsidRPr="002371E6">
        <w:rPr>
          <w:rFonts w:ascii="Sylfaen" w:hAnsi="Sylfaen"/>
          <w:b/>
          <w:noProof/>
          <w:sz w:val="28"/>
          <w:szCs w:val="28"/>
          <w:lang w:val="en-GB" w:eastAsia="en-GB"/>
        </w:rPr>
        <w:drawing>
          <wp:anchor distT="0" distB="0" distL="114300" distR="114300" simplePos="0" relativeHeight="251656192" behindDoc="0" locked="0" layoutInCell="1" allowOverlap="1" wp14:anchorId="10A0D3B4" wp14:editId="04E64D5A">
            <wp:simplePos x="0" y="0"/>
            <wp:positionH relativeFrom="column">
              <wp:posOffset>2870200</wp:posOffset>
            </wp:positionH>
            <wp:positionV relativeFrom="paragraph">
              <wp:posOffset>-436245</wp:posOffset>
            </wp:positionV>
            <wp:extent cx="1077595" cy="1162050"/>
            <wp:effectExtent l="0" t="0" r="8255" b="0"/>
            <wp:wrapThrough wrapText="bothSides">
              <wp:wrapPolygon edited="0">
                <wp:start x="0" y="0"/>
                <wp:lineTo x="0" y="21246"/>
                <wp:lineTo x="21384" y="21246"/>
                <wp:lineTo x="2138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7595" cy="1162050"/>
                    </a:xfrm>
                    <a:prstGeom prst="rect">
                      <a:avLst/>
                    </a:prstGeom>
                  </pic:spPr>
                </pic:pic>
              </a:graphicData>
            </a:graphic>
            <wp14:sizeRelH relativeFrom="margin">
              <wp14:pctWidth>0</wp14:pctWidth>
            </wp14:sizeRelH>
            <wp14:sizeRelV relativeFrom="margin">
              <wp14:pctHeight>0</wp14:pctHeight>
            </wp14:sizeRelV>
          </wp:anchor>
        </w:drawing>
      </w:r>
    </w:p>
    <w:p w14:paraId="70554210" w14:textId="77777777" w:rsidR="002371E6" w:rsidRPr="00DD2E8D" w:rsidRDefault="002371E6" w:rsidP="002371E6">
      <w:pPr>
        <w:spacing w:line="212" w:lineRule="auto"/>
        <w:ind w:right="2180"/>
        <w:rPr>
          <w:rFonts w:ascii="Sylfaen" w:hAnsi="Sylfaen"/>
          <w:b/>
          <w:sz w:val="24"/>
          <w:szCs w:val="24"/>
        </w:rPr>
      </w:pPr>
      <w:r w:rsidRPr="00DD2E8D">
        <w:rPr>
          <w:rFonts w:ascii="Sylfaen" w:hAnsi="Sylfaen" w:cs="Sylfaen"/>
          <w:b/>
          <w:sz w:val="24"/>
          <w:szCs w:val="24"/>
        </w:rPr>
        <w:t>ა</w:t>
      </w:r>
      <w:r w:rsidRPr="00DD2E8D">
        <w:rPr>
          <w:rFonts w:ascii="Sylfaen" w:hAnsi="Sylfaen"/>
          <w:b/>
          <w:sz w:val="24"/>
          <w:szCs w:val="24"/>
        </w:rPr>
        <w:t>(</w:t>
      </w:r>
      <w:r w:rsidRPr="00DD2E8D">
        <w:rPr>
          <w:rFonts w:ascii="Sylfaen" w:hAnsi="Sylfaen" w:cs="Sylfaen"/>
          <w:b/>
          <w:sz w:val="24"/>
          <w:szCs w:val="24"/>
        </w:rPr>
        <w:t>ა</w:t>
      </w:r>
      <w:r w:rsidRPr="00DD2E8D">
        <w:rPr>
          <w:rFonts w:ascii="Sylfaen" w:hAnsi="Sylfaen"/>
          <w:b/>
          <w:sz w:val="24"/>
          <w:szCs w:val="24"/>
        </w:rPr>
        <w:t>)</w:t>
      </w:r>
      <w:r w:rsidRPr="00DD2E8D">
        <w:rPr>
          <w:rFonts w:ascii="Sylfaen" w:hAnsi="Sylfaen" w:cs="Sylfaen"/>
          <w:b/>
          <w:sz w:val="24"/>
          <w:szCs w:val="24"/>
        </w:rPr>
        <w:t>იპ</w:t>
      </w:r>
      <w:r w:rsidRPr="00DD2E8D">
        <w:rPr>
          <w:rFonts w:ascii="Sylfaen" w:hAnsi="Sylfaen"/>
          <w:b/>
          <w:sz w:val="24"/>
          <w:szCs w:val="24"/>
        </w:rPr>
        <w:t xml:space="preserve"> “</w:t>
      </w:r>
      <w:r w:rsidRPr="00DD2E8D">
        <w:rPr>
          <w:rFonts w:ascii="Sylfaen" w:hAnsi="Sylfaen" w:cs="Sylfaen"/>
          <w:b/>
          <w:sz w:val="24"/>
          <w:szCs w:val="24"/>
        </w:rPr>
        <w:t>ფსიქიატრიის</w:t>
      </w:r>
      <w:r w:rsidRPr="00DD2E8D">
        <w:rPr>
          <w:rFonts w:ascii="Sylfaen" w:hAnsi="Sylfaen"/>
          <w:b/>
          <w:sz w:val="24"/>
          <w:szCs w:val="24"/>
        </w:rPr>
        <w:t xml:space="preserve"> </w:t>
      </w:r>
      <w:r w:rsidRPr="00DD2E8D">
        <w:rPr>
          <w:rFonts w:ascii="Sylfaen" w:hAnsi="Sylfaen" w:cs="Sylfaen"/>
          <w:b/>
          <w:sz w:val="24"/>
          <w:szCs w:val="24"/>
        </w:rPr>
        <w:t>სერვის მომხმარებელთა</w:t>
      </w:r>
      <w:r w:rsidRPr="00DD2E8D">
        <w:rPr>
          <w:rFonts w:ascii="Sylfaen" w:hAnsi="Sylfaen"/>
          <w:b/>
          <w:sz w:val="24"/>
          <w:szCs w:val="24"/>
        </w:rPr>
        <w:t xml:space="preserve"> </w:t>
      </w:r>
      <w:r w:rsidRPr="00DD2E8D">
        <w:rPr>
          <w:rFonts w:ascii="Sylfaen" w:hAnsi="Sylfaen" w:cs="Sylfaen"/>
          <w:b/>
          <w:sz w:val="24"/>
          <w:szCs w:val="24"/>
        </w:rPr>
        <w:t>და</w:t>
      </w:r>
      <w:r w:rsidRPr="00DD2E8D">
        <w:rPr>
          <w:rFonts w:ascii="Sylfaen" w:hAnsi="Sylfaen"/>
          <w:b/>
          <w:sz w:val="24"/>
          <w:szCs w:val="24"/>
        </w:rPr>
        <w:t xml:space="preserve"> </w:t>
      </w:r>
      <w:r w:rsidRPr="00DD2E8D">
        <w:rPr>
          <w:rFonts w:ascii="Sylfaen" w:hAnsi="Sylfaen" w:cs="Sylfaen"/>
          <w:b/>
          <w:sz w:val="24"/>
          <w:szCs w:val="24"/>
        </w:rPr>
        <w:t>გადარჩენილთა</w:t>
      </w:r>
      <w:r w:rsidRPr="00DD2E8D">
        <w:rPr>
          <w:rFonts w:ascii="Sylfaen" w:hAnsi="Sylfaen"/>
          <w:b/>
          <w:sz w:val="24"/>
          <w:szCs w:val="24"/>
        </w:rPr>
        <w:t xml:space="preserve"> </w:t>
      </w:r>
      <w:r w:rsidRPr="00DD2E8D">
        <w:rPr>
          <w:rFonts w:ascii="Sylfaen" w:hAnsi="Sylfaen" w:cs="Sylfaen"/>
          <w:b/>
          <w:sz w:val="24"/>
          <w:szCs w:val="24"/>
        </w:rPr>
        <w:t>საქართველოს</w:t>
      </w:r>
      <w:r w:rsidRPr="00DD2E8D">
        <w:rPr>
          <w:rFonts w:ascii="Sylfaen" w:hAnsi="Sylfaen"/>
          <w:b/>
          <w:sz w:val="24"/>
          <w:szCs w:val="24"/>
        </w:rPr>
        <w:t xml:space="preserve"> </w:t>
      </w:r>
      <w:r w:rsidRPr="00DD2E8D">
        <w:rPr>
          <w:rFonts w:ascii="Sylfaen" w:hAnsi="Sylfaen" w:cs="Sylfaen"/>
          <w:b/>
          <w:sz w:val="24"/>
          <w:szCs w:val="24"/>
        </w:rPr>
        <w:t>ქსელი”</w:t>
      </w:r>
      <w:r w:rsidRPr="00DD2E8D">
        <w:rPr>
          <w:rFonts w:ascii="Sylfaen" w:hAnsi="Sylfaen"/>
          <w:b/>
          <w:sz w:val="24"/>
          <w:szCs w:val="24"/>
        </w:rPr>
        <w:t xml:space="preserve"> (GNUSP)</w:t>
      </w:r>
    </w:p>
    <w:p w14:paraId="11D440B3" w14:textId="77777777" w:rsidR="00927D71" w:rsidRDefault="00927D71">
      <w:pPr>
        <w:spacing w:line="20" w:lineRule="exact"/>
        <w:rPr>
          <w:sz w:val="24"/>
          <w:szCs w:val="24"/>
        </w:rPr>
      </w:pPr>
    </w:p>
    <w:p w14:paraId="16C2C143" w14:textId="77777777" w:rsidR="00927D71" w:rsidRDefault="00FD4089">
      <w:pPr>
        <w:spacing w:line="20" w:lineRule="exact"/>
        <w:rPr>
          <w:sz w:val="24"/>
          <w:szCs w:val="24"/>
        </w:rPr>
      </w:pPr>
      <w:bookmarkStart w:id="1" w:name="page1"/>
      <w:bookmarkEnd w:id="1"/>
      <w:r>
        <w:rPr>
          <w:sz w:val="24"/>
          <w:szCs w:val="24"/>
        </w:rPr>
        <w:br w:type="column"/>
      </w:r>
    </w:p>
    <w:p w14:paraId="487CDD96" w14:textId="77777777" w:rsidR="00927D71" w:rsidRPr="00306EAD" w:rsidRDefault="002371E6">
      <w:pPr>
        <w:rPr>
          <w:rFonts w:ascii="Sylfaen" w:hAnsi="Sylfaen"/>
          <w:b/>
          <w:sz w:val="24"/>
          <w:szCs w:val="24"/>
          <w:lang w:val="ka-GE"/>
        </w:rPr>
        <w:sectPr w:rsidR="00927D71" w:rsidRPr="00306EAD">
          <w:pgSz w:w="11900" w:h="16838"/>
          <w:pgMar w:top="957" w:right="966" w:bottom="87" w:left="580" w:header="0" w:footer="0" w:gutter="0"/>
          <w:cols w:num="2" w:space="720" w:equalWidth="0">
            <w:col w:w="6320" w:space="720"/>
            <w:col w:w="3320"/>
          </w:cols>
        </w:sectPr>
      </w:pPr>
      <w:r w:rsidRPr="00306EAD">
        <w:rPr>
          <w:rFonts w:ascii="Sylfaen" w:hAnsi="Sylfaen"/>
          <w:b/>
          <w:sz w:val="24"/>
          <w:szCs w:val="24"/>
        </w:rPr>
        <w:t>Georgian Network of (Ex-) Users and Survivors of Psychiatry (GNUSP)</w:t>
      </w:r>
    </w:p>
    <w:p w14:paraId="794DB0CF" w14:textId="77777777" w:rsidR="00927D71" w:rsidRDefault="00927D71">
      <w:pPr>
        <w:spacing w:line="200" w:lineRule="exact"/>
        <w:rPr>
          <w:sz w:val="24"/>
          <w:szCs w:val="24"/>
        </w:rPr>
      </w:pPr>
    </w:p>
    <w:p w14:paraId="3484F5ED" w14:textId="77777777" w:rsidR="00927D71" w:rsidRDefault="00D01AB2">
      <w:pPr>
        <w:spacing w:line="200" w:lineRule="exact"/>
        <w:rPr>
          <w:sz w:val="24"/>
          <w:szCs w:val="24"/>
        </w:rPr>
      </w:pPr>
      <w:r>
        <w:rPr>
          <w:noProof/>
          <w:sz w:val="24"/>
          <w:szCs w:val="24"/>
          <w:lang w:val="en-GB" w:eastAsia="en-GB"/>
        </w:rPr>
        <w:drawing>
          <wp:anchor distT="0" distB="0" distL="114300" distR="114300" simplePos="0" relativeHeight="251651072" behindDoc="1" locked="0" layoutInCell="0" allowOverlap="1" wp14:anchorId="12322893" wp14:editId="294B4FB1">
            <wp:simplePos x="0" y="0"/>
            <wp:positionH relativeFrom="column">
              <wp:posOffset>-15240</wp:posOffset>
            </wp:positionH>
            <wp:positionV relativeFrom="paragraph">
              <wp:posOffset>52705</wp:posOffset>
            </wp:positionV>
            <wp:extent cx="6743700" cy="57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743700" cy="57150"/>
                    </a:xfrm>
                    <a:prstGeom prst="rect">
                      <a:avLst/>
                    </a:prstGeom>
                    <a:noFill/>
                  </pic:spPr>
                </pic:pic>
              </a:graphicData>
            </a:graphic>
          </wp:anchor>
        </w:drawing>
      </w:r>
    </w:p>
    <w:p w14:paraId="6BDB6155" w14:textId="77777777" w:rsidR="00927D71" w:rsidRDefault="00927D71">
      <w:pPr>
        <w:spacing w:line="347" w:lineRule="exact"/>
        <w:rPr>
          <w:sz w:val="24"/>
          <w:szCs w:val="24"/>
        </w:rPr>
      </w:pPr>
    </w:p>
    <w:p w14:paraId="5A31EAB8" w14:textId="09DF7D96" w:rsidR="00927D71" w:rsidRDefault="00927D71">
      <w:pPr>
        <w:spacing w:line="200" w:lineRule="exact"/>
        <w:rPr>
          <w:sz w:val="24"/>
          <w:szCs w:val="24"/>
        </w:rPr>
      </w:pPr>
    </w:p>
    <w:p w14:paraId="1C37710B" w14:textId="6E267FD8" w:rsidR="0056052E" w:rsidRPr="0056052E" w:rsidRDefault="0056052E" w:rsidP="0056052E">
      <w:pPr>
        <w:spacing w:line="200" w:lineRule="exact"/>
        <w:rPr>
          <w:sz w:val="24"/>
          <w:szCs w:val="24"/>
        </w:rPr>
      </w:pPr>
      <w:r w:rsidRPr="0056052E">
        <w:rPr>
          <w:sz w:val="24"/>
          <w:szCs w:val="24"/>
        </w:rPr>
        <w:t xml:space="preserve">To: </w:t>
      </w:r>
      <w:r>
        <w:rPr>
          <w:sz w:val="24"/>
          <w:szCs w:val="24"/>
        </w:rPr>
        <w:t xml:space="preserve"> </w:t>
      </w:r>
      <w:r w:rsidRPr="0056052E">
        <w:rPr>
          <w:sz w:val="24"/>
          <w:szCs w:val="24"/>
        </w:rPr>
        <w:t>Ms. Rosemary Kayess</w:t>
      </w:r>
    </w:p>
    <w:p w14:paraId="15F875E9" w14:textId="77777777" w:rsidR="0056052E" w:rsidRPr="0056052E" w:rsidRDefault="0056052E" w:rsidP="0056052E">
      <w:pPr>
        <w:spacing w:line="200" w:lineRule="exact"/>
        <w:rPr>
          <w:sz w:val="24"/>
          <w:szCs w:val="24"/>
        </w:rPr>
      </w:pPr>
      <w:r w:rsidRPr="0056052E">
        <w:rPr>
          <w:sz w:val="24"/>
          <w:szCs w:val="24"/>
        </w:rPr>
        <w:t xml:space="preserve">Chairperson of the UN Committee on the Rights of Persons with Disabilities </w:t>
      </w:r>
    </w:p>
    <w:p w14:paraId="77D026FC" w14:textId="77777777" w:rsidR="0056052E" w:rsidRPr="0056052E" w:rsidRDefault="0056052E" w:rsidP="0056052E">
      <w:pPr>
        <w:spacing w:line="200" w:lineRule="exact"/>
        <w:rPr>
          <w:sz w:val="24"/>
          <w:szCs w:val="24"/>
        </w:rPr>
      </w:pPr>
    </w:p>
    <w:p w14:paraId="07748C5C" w14:textId="2235BFA6" w:rsidR="0056052E" w:rsidRPr="0056052E" w:rsidRDefault="0056052E" w:rsidP="0056052E">
      <w:pPr>
        <w:spacing w:line="200" w:lineRule="exact"/>
        <w:rPr>
          <w:sz w:val="24"/>
          <w:szCs w:val="24"/>
        </w:rPr>
      </w:pPr>
      <w:r>
        <w:rPr>
          <w:sz w:val="24"/>
          <w:szCs w:val="24"/>
        </w:rPr>
        <w:t xml:space="preserve">                                                                                                                  Tbilisi, Georgia</w:t>
      </w:r>
      <w:r w:rsidRPr="0056052E">
        <w:rPr>
          <w:sz w:val="24"/>
          <w:szCs w:val="24"/>
        </w:rPr>
        <w:t xml:space="preserve">, </w:t>
      </w:r>
      <w:r>
        <w:rPr>
          <w:sz w:val="24"/>
          <w:szCs w:val="24"/>
        </w:rPr>
        <w:t>4</w:t>
      </w:r>
      <w:r w:rsidRPr="0056052E">
        <w:rPr>
          <w:sz w:val="24"/>
          <w:szCs w:val="24"/>
        </w:rPr>
        <w:t xml:space="preserve"> Ju</w:t>
      </w:r>
      <w:r>
        <w:rPr>
          <w:sz w:val="24"/>
          <w:szCs w:val="24"/>
        </w:rPr>
        <w:t>ly</w:t>
      </w:r>
      <w:r w:rsidRPr="0056052E">
        <w:rPr>
          <w:sz w:val="24"/>
          <w:szCs w:val="24"/>
        </w:rPr>
        <w:t xml:space="preserve"> 2022</w:t>
      </w:r>
    </w:p>
    <w:p w14:paraId="1D394DD0" w14:textId="789D2F43" w:rsidR="0056052E" w:rsidRPr="0056052E" w:rsidRDefault="0056052E" w:rsidP="0056052E">
      <w:pPr>
        <w:spacing w:line="200" w:lineRule="exact"/>
        <w:rPr>
          <w:sz w:val="24"/>
          <w:szCs w:val="24"/>
        </w:rPr>
      </w:pPr>
    </w:p>
    <w:p w14:paraId="3A6AD45E" w14:textId="77777777" w:rsidR="0056052E" w:rsidRPr="0056052E" w:rsidRDefault="0056052E" w:rsidP="0056052E">
      <w:pPr>
        <w:spacing w:line="200" w:lineRule="exact"/>
        <w:rPr>
          <w:sz w:val="24"/>
          <w:szCs w:val="24"/>
        </w:rPr>
      </w:pPr>
      <w:r w:rsidRPr="0056052E">
        <w:rPr>
          <w:sz w:val="24"/>
          <w:szCs w:val="24"/>
        </w:rPr>
        <w:t xml:space="preserve"> </w:t>
      </w:r>
    </w:p>
    <w:p w14:paraId="2F61EFA5" w14:textId="77777777" w:rsidR="0056052E" w:rsidRPr="0056052E" w:rsidRDefault="0056052E" w:rsidP="0056052E">
      <w:pPr>
        <w:spacing w:line="200" w:lineRule="exact"/>
        <w:rPr>
          <w:b/>
          <w:bCs/>
          <w:sz w:val="24"/>
          <w:szCs w:val="24"/>
        </w:rPr>
      </w:pPr>
      <w:r w:rsidRPr="0056052E">
        <w:rPr>
          <w:b/>
          <w:bCs/>
          <w:sz w:val="24"/>
          <w:szCs w:val="24"/>
        </w:rPr>
        <w:t>Re: Draft Guidelines on Deinstitutionalisation, including in emergencies</w:t>
      </w:r>
    </w:p>
    <w:p w14:paraId="5B334A15" w14:textId="77777777" w:rsidR="0056052E" w:rsidRPr="0056052E" w:rsidRDefault="0056052E" w:rsidP="0056052E">
      <w:pPr>
        <w:spacing w:line="200" w:lineRule="exact"/>
        <w:rPr>
          <w:sz w:val="24"/>
          <w:szCs w:val="24"/>
        </w:rPr>
      </w:pPr>
    </w:p>
    <w:p w14:paraId="2B812D0B" w14:textId="77777777" w:rsidR="0056052E" w:rsidRDefault="0056052E" w:rsidP="0056052E">
      <w:pPr>
        <w:spacing w:line="200" w:lineRule="exact"/>
        <w:rPr>
          <w:sz w:val="24"/>
          <w:szCs w:val="24"/>
        </w:rPr>
      </w:pPr>
    </w:p>
    <w:p w14:paraId="5DE1A787" w14:textId="15A9D145" w:rsidR="0056052E" w:rsidRDefault="0056052E" w:rsidP="0056052E">
      <w:pPr>
        <w:spacing w:line="200" w:lineRule="exact"/>
        <w:rPr>
          <w:sz w:val="24"/>
          <w:szCs w:val="24"/>
        </w:rPr>
      </w:pPr>
      <w:r w:rsidRPr="0056052E">
        <w:rPr>
          <w:sz w:val="24"/>
          <w:szCs w:val="24"/>
        </w:rPr>
        <w:t>Dear Chair,</w:t>
      </w:r>
    </w:p>
    <w:p w14:paraId="2ECE087A" w14:textId="312803F1" w:rsidR="0056052E" w:rsidRDefault="0056052E" w:rsidP="0056052E">
      <w:pPr>
        <w:spacing w:line="200" w:lineRule="exact"/>
        <w:rPr>
          <w:sz w:val="24"/>
          <w:szCs w:val="24"/>
        </w:rPr>
      </w:pPr>
    </w:p>
    <w:p w14:paraId="672C034C" w14:textId="455C50F6" w:rsidR="0056052E" w:rsidRDefault="0056052E" w:rsidP="0056052E">
      <w:pPr>
        <w:spacing w:line="200" w:lineRule="exact"/>
        <w:rPr>
          <w:sz w:val="24"/>
          <w:szCs w:val="24"/>
        </w:rPr>
      </w:pPr>
      <w:r>
        <w:rPr>
          <w:sz w:val="24"/>
          <w:szCs w:val="24"/>
        </w:rPr>
        <w:t xml:space="preserve">I am writing on behalf of the Georgian Network of (Ex-)Users and Survivors of Psychiatry (GNUSP), uniting persons with experience of treatment in psychiatric settings, including psychiatric hospitals. </w:t>
      </w:r>
    </w:p>
    <w:p w14:paraId="019AD4FF" w14:textId="2BE9F622" w:rsidR="0056052E" w:rsidRDefault="0056052E" w:rsidP="0056052E">
      <w:pPr>
        <w:spacing w:line="200" w:lineRule="exact"/>
        <w:rPr>
          <w:sz w:val="24"/>
          <w:szCs w:val="24"/>
        </w:rPr>
      </w:pPr>
    </w:p>
    <w:p w14:paraId="4994325F" w14:textId="47B8B372" w:rsidR="0056052E" w:rsidRDefault="0056052E" w:rsidP="0056052E">
      <w:pPr>
        <w:spacing w:line="200" w:lineRule="exact"/>
        <w:rPr>
          <w:sz w:val="24"/>
          <w:szCs w:val="24"/>
        </w:rPr>
      </w:pPr>
      <w:r>
        <w:rPr>
          <w:sz w:val="24"/>
          <w:szCs w:val="24"/>
        </w:rPr>
        <w:t xml:space="preserve">I would like to express our gratitude for the work of the Committee of the UN CRPD in general and especially for the strong stance it has with regard to the rights of persons with actual or perceived mental health problems who routinely undergo forced interventions, institutionalization and deprivation of legal capacity. </w:t>
      </w:r>
    </w:p>
    <w:p w14:paraId="13C8EBEA" w14:textId="1E0F3F22" w:rsidR="0056052E" w:rsidRDefault="0056052E" w:rsidP="0056052E">
      <w:pPr>
        <w:spacing w:line="200" w:lineRule="exact"/>
        <w:rPr>
          <w:sz w:val="24"/>
          <w:szCs w:val="24"/>
        </w:rPr>
      </w:pPr>
    </w:p>
    <w:p w14:paraId="49F5CDFF" w14:textId="545A1FC5" w:rsidR="0056052E" w:rsidRDefault="0056052E" w:rsidP="0056052E">
      <w:pPr>
        <w:spacing w:line="200" w:lineRule="exact"/>
        <w:rPr>
          <w:sz w:val="24"/>
          <w:szCs w:val="24"/>
        </w:rPr>
      </w:pPr>
      <w:r>
        <w:rPr>
          <w:sz w:val="24"/>
          <w:szCs w:val="24"/>
        </w:rPr>
        <w:t xml:space="preserve">Thank you very much for inclusion of psychiatric hospitals in the deinstitutionalization guidelines as very often these places are not regarded as institutions, and people </w:t>
      </w:r>
      <w:r w:rsidR="00B12813">
        <w:rPr>
          <w:sz w:val="24"/>
          <w:szCs w:val="24"/>
        </w:rPr>
        <w:t>who</w:t>
      </w:r>
      <w:r>
        <w:rPr>
          <w:sz w:val="24"/>
          <w:szCs w:val="24"/>
        </w:rPr>
        <w:t xml:space="preserve"> are forced to live there are not counted as people living in residential facilities. The absence of statistics</w:t>
      </w:r>
      <w:r w:rsidR="00B12813">
        <w:rPr>
          <w:sz w:val="24"/>
          <w:szCs w:val="24"/>
        </w:rPr>
        <w:t xml:space="preserve"> with regard to the actual number of people living there for a long period of time</w:t>
      </w:r>
      <w:r>
        <w:rPr>
          <w:sz w:val="24"/>
          <w:szCs w:val="24"/>
        </w:rPr>
        <w:t xml:space="preserve"> contributes to invisibility </w:t>
      </w:r>
      <w:r w:rsidR="00B12813">
        <w:rPr>
          <w:sz w:val="24"/>
          <w:szCs w:val="24"/>
        </w:rPr>
        <w:t>and lack of consideration when the discussion starts around creation of supported living programs. Thank you also for stressing the necessity of involvement of persons from institutions in the consultation and decision-making processes. This too is very often overlooked due to relative complexity and need for more support mechanisms in place than usual.</w:t>
      </w:r>
    </w:p>
    <w:p w14:paraId="2081B4EA" w14:textId="2B064183" w:rsidR="00B12813" w:rsidRDefault="00B12813" w:rsidP="0056052E">
      <w:pPr>
        <w:spacing w:line="200" w:lineRule="exact"/>
        <w:rPr>
          <w:sz w:val="24"/>
          <w:szCs w:val="24"/>
        </w:rPr>
      </w:pPr>
    </w:p>
    <w:p w14:paraId="2A0C0387" w14:textId="7B83E33B" w:rsidR="00B12813" w:rsidRDefault="00B12813" w:rsidP="0056052E">
      <w:pPr>
        <w:spacing w:line="200" w:lineRule="exact"/>
        <w:rPr>
          <w:sz w:val="24"/>
          <w:szCs w:val="24"/>
        </w:rPr>
      </w:pPr>
      <w:r>
        <w:rPr>
          <w:sz w:val="24"/>
          <w:szCs w:val="24"/>
        </w:rPr>
        <w:t>With regard to the more concrete points:</w:t>
      </w:r>
    </w:p>
    <w:p w14:paraId="0DB1492B" w14:textId="5110B832" w:rsidR="00B12813" w:rsidRDefault="00B12813" w:rsidP="0056052E">
      <w:pPr>
        <w:spacing w:line="200" w:lineRule="exact"/>
        <w:rPr>
          <w:sz w:val="24"/>
          <w:szCs w:val="24"/>
        </w:rPr>
      </w:pPr>
      <w:r>
        <w:rPr>
          <w:sz w:val="24"/>
          <w:szCs w:val="24"/>
        </w:rPr>
        <w:t>Para 5(6) page 2 “De-facto denial of legal capacity”. The examples given do not consider scenario of institutions when people stay because of their choice, but when the choice is effectively between an institution and death in the street. Formally</w:t>
      </w:r>
      <w:r w:rsidR="00D45C0D">
        <w:rPr>
          <w:sz w:val="24"/>
          <w:szCs w:val="24"/>
        </w:rPr>
        <w:t>,</w:t>
      </w:r>
      <w:r>
        <w:rPr>
          <w:sz w:val="24"/>
          <w:szCs w:val="24"/>
        </w:rPr>
        <w:t xml:space="preserve"> the legal capacity is there, but the supports are not</w:t>
      </w:r>
      <w:r w:rsidR="00D45C0D">
        <w:rPr>
          <w:sz w:val="24"/>
          <w:szCs w:val="24"/>
        </w:rPr>
        <w:t xml:space="preserve">. The situation becomes more complicated if the state doesn’t have support programs for persons without disabilities, for example if not only persons with disabilities, but also generally homeless people stay without support from the State. So, the State may claim that since it is about equality, the rent subsidies are equally unavailable for everyone, and that any person can be sent to an institution (like homeless shelter) irrespective of their disability status. </w:t>
      </w:r>
    </w:p>
    <w:p w14:paraId="09774489" w14:textId="3F8D049A" w:rsidR="00D45C0D" w:rsidRDefault="00D45C0D" w:rsidP="0056052E">
      <w:pPr>
        <w:spacing w:line="200" w:lineRule="exact"/>
        <w:rPr>
          <w:sz w:val="24"/>
          <w:szCs w:val="24"/>
        </w:rPr>
      </w:pPr>
    </w:p>
    <w:p w14:paraId="1FF650B4" w14:textId="14029431" w:rsidR="00D45C0D" w:rsidRDefault="00D45C0D" w:rsidP="0056052E">
      <w:pPr>
        <w:spacing w:line="200" w:lineRule="exact"/>
        <w:rPr>
          <w:sz w:val="24"/>
          <w:szCs w:val="24"/>
        </w:rPr>
      </w:pPr>
      <w:r>
        <w:rPr>
          <w:sz w:val="24"/>
          <w:szCs w:val="24"/>
        </w:rPr>
        <w:t>Additional points that can be used against institutions: they contribute to stigma by segregation of people, the right to family life (not only of children) and privacy is not respected there</w:t>
      </w:r>
      <w:r w:rsidR="00B124A7">
        <w:rPr>
          <w:sz w:val="24"/>
          <w:szCs w:val="24"/>
        </w:rPr>
        <w:t>, the fear of institutionalization may contribute to silence in case of gender based or other forms of violence and abuse, when the abuser threatens to send the person to an institution or the person is afraid of losing any available support that is delivered by the abuser, and forced institutionalization contributes to the fear of seeking help with the police.</w:t>
      </w:r>
    </w:p>
    <w:p w14:paraId="41FBCEC1" w14:textId="7437895E" w:rsidR="00B124A7" w:rsidRDefault="00B124A7" w:rsidP="0056052E">
      <w:pPr>
        <w:spacing w:line="200" w:lineRule="exact"/>
        <w:rPr>
          <w:sz w:val="24"/>
          <w:szCs w:val="24"/>
        </w:rPr>
      </w:pPr>
    </w:p>
    <w:p w14:paraId="119DD163" w14:textId="527EF144" w:rsidR="00B124A7" w:rsidRDefault="00B124A7" w:rsidP="0056052E">
      <w:pPr>
        <w:spacing w:line="200" w:lineRule="exact"/>
        <w:rPr>
          <w:sz w:val="24"/>
          <w:szCs w:val="24"/>
        </w:rPr>
      </w:pPr>
      <w:r>
        <w:rPr>
          <w:sz w:val="24"/>
          <w:szCs w:val="24"/>
        </w:rPr>
        <w:t xml:space="preserve">Paragraph 7(8): the last sentence “the exercise of rights enshrined under art.19 cannot be suspended…” deserves a separate paragraph even with only this one sentence. </w:t>
      </w:r>
    </w:p>
    <w:p w14:paraId="6AFAA5ED" w14:textId="09B50609" w:rsidR="00B124A7" w:rsidRDefault="00B124A7" w:rsidP="0056052E">
      <w:pPr>
        <w:spacing w:line="200" w:lineRule="exact"/>
        <w:rPr>
          <w:sz w:val="24"/>
          <w:szCs w:val="24"/>
        </w:rPr>
      </w:pPr>
    </w:p>
    <w:p w14:paraId="00B544F1" w14:textId="45122341" w:rsidR="00B124A7" w:rsidRDefault="00B124A7" w:rsidP="0056052E">
      <w:pPr>
        <w:spacing w:line="200" w:lineRule="exact"/>
        <w:rPr>
          <w:sz w:val="24"/>
          <w:szCs w:val="24"/>
        </w:rPr>
      </w:pPr>
      <w:r>
        <w:rPr>
          <w:sz w:val="24"/>
          <w:szCs w:val="24"/>
        </w:rPr>
        <w:t>Para 27 (24) In the last sentence “healthcare” should be added to the list “education, employment and the justice system”, as mainstream healthcare services are very important exactly to ensure that those are not delivered in one package with housing</w:t>
      </w:r>
      <w:r w:rsidR="00635126">
        <w:rPr>
          <w:sz w:val="24"/>
          <w:szCs w:val="24"/>
        </w:rPr>
        <w:t xml:space="preserve">. Also, Ministries of Healthcare should not be in charge of developing supported living programs. But they should be in charge of developing inclusive mainstream healthcare services. </w:t>
      </w:r>
    </w:p>
    <w:p w14:paraId="76794976" w14:textId="63DF5917" w:rsidR="00635126" w:rsidRDefault="00635126" w:rsidP="0056052E">
      <w:pPr>
        <w:spacing w:line="200" w:lineRule="exact"/>
        <w:rPr>
          <w:sz w:val="24"/>
          <w:szCs w:val="24"/>
        </w:rPr>
      </w:pPr>
    </w:p>
    <w:p w14:paraId="0A69B774" w14:textId="6F8346B7" w:rsidR="00635126" w:rsidRDefault="00635126" w:rsidP="0056052E">
      <w:pPr>
        <w:spacing w:line="200" w:lineRule="exact"/>
        <w:rPr>
          <w:sz w:val="24"/>
          <w:szCs w:val="24"/>
        </w:rPr>
      </w:pPr>
      <w:r>
        <w:rPr>
          <w:sz w:val="24"/>
          <w:szCs w:val="24"/>
        </w:rPr>
        <w:t>Para 41 (36) “For many the institution may be the only living environment they know”</w:t>
      </w:r>
      <w:r w:rsidR="00536B6C">
        <w:rPr>
          <w:sz w:val="24"/>
          <w:szCs w:val="24"/>
        </w:rPr>
        <w:t xml:space="preserve">. It can be added that any transfer may be met with distrust, because people may have very traumatic experience with previous transfers and regard the one they currently live in as a relatively predictable safe place. So, it is important to rebuild this trust and provide persons with disabilities with opportunities to see the possibilities for themselves, and maybe visit other arrangement temporarily to check how it may work for them. A no with regard to leaving an institution must not be taken as a final answer, but as an indication that more efforts are needed to empower the person to make the decision to leave. </w:t>
      </w:r>
    </w:p>
    <w:p w14:paraId="1A3CDF55" w14:textId="2C50754E" w:rsidR="00536B6C" w:rsidRDefault="00536B6C" w:rsidP="0056052E">
      <w:pPr>
        <w:spacing w:line="200" w:lineRule="exact"/>
        <w:rPr>
          <w:sz w:val="24"/>
          <w:szCs w:val="24"/>
        </w:rPr>
      </w:pPr>
    </w:p>
    <w:p w14:paraId="25B0F85F" w14:textId="4775FB22" w:rsidR="00536B6C" w:rsidRDefault="00536B6C" w:rsidP="0056052E">
      <w:pPr>
        <w:spacing w:line="200" w:lineRule="exact"/>
        <w:rPr>
          <w:sz w:val="24"/>
          <w:szCs w:val="24"/>
        </w:rPr>
      </w:pPr>
      <w:r>
        <w:rPr>
          <w:sz w:val="24"/>
          <w:szCs w:val="24"/>
        </w:rPr>
        <w:t xml:space="preserve">Para 60 (52) Enabling legal environment, apart from recognition of the rights (which they usually do), must recognize the responsibility of the State to provide necessary supports to ensure implementation of those rights. </w:t>
      </w:r>
    </w:p>
    <w:p w14:paraId="14301043" w14:textId="12EC83B4" w:rsidR="00536B6C" w:rsidRDefault="00536B6C" w:rsidP="0056052E">
      <w:pPr>
        <w:spacing w:line="200" w:lineRule="exact"/>
        <w:rPr>
          <w:sz w:val="24"/>
          <w:szCs w:val="24"/>
        </w:rPr>
      </w:pPr>
    </w:p>
    <w:p w14:paraId="16854E0F" w14:textId="5023D081" w:rsidR="00536B6C" w:rsidRDefault="00536B6C" w:rsidP="0056052E">
      <w:pPr>
        <w:spacing w:line="200" w:lineRule="exact"/>
        <w:rPr>
          <w:sz w:val="24"/>
          <w:szCs w:val="24"/>
        </w:rPr>
      </w:pPr>
      <w:r>
        <w:rPr>
          <w:sz w:val="24"/>
          <w:szCs w:val="24"/>
        </w:rPr>
        <w:t>Para 66 (57) “amounts to a prohibited form of discrimination”. It sounds like there are not prohibited forms of discrimination, so maybe it would be better to say that it amounts to a form of discrimination and as such is prohibited.</w:t>
      </w:r>
    </w:p>
    <w:p w14:paraId="0902D7CF" w14:textId="4F92443D" w:rsidR="00536B6C" w:rsidRDefault="00536B6C" w:rsidP="0056052E">
      <w:pPr>
        <w:spacing w:line="200" w:lineRule="exact"/>
        <w:rPr>
          <w:sz w:val="24"/>
          <w:szCs w:val="24"/>
        </w:rPr>
      </w:pPr>
      <w:r>
        <w:rPr>
          <w:sz w:val="24"/>
          <w:szCs w:val="24"/>
        </w:rPr>
        <w:lastRenderedPageBreak/>
        <w:t>Para 71 (61) The use of the word “during” is not quite understandable.</w:t>
      </w:r>
    </w:p>
    <w:p w14:paraId="3950C063" w14:textId="69F162D7" w:rsidR="00536B6C" w:rsidRDefault="00536B6C" w:rsidP="0056052E">
      <w:pPr>
        <w:spacing w:line="200" w:lineRule="exact"/>
        <w:rPr>
          <w:sz w:val="24"/>
          <w:szCs w:val="24"/>
        </w:rPr>
      </w:pPr>
    </w:p>
    <w:p w14:paraId="6C69B9E1" w14:textId="6173FEE8" w:rsidR="00536B6C" w:rsidRDefault="00536B6C" w:rsidP="0056052E">
      <w:pPr>
        <w:spacing w:line="200" w:lineRule="exact"/>
        <w:rPr>
          <w:sz w:val="24"/>
          <w:szCs w:val="24"/>
        </w:rPr>
      </w:pPr>
      <w:r>
        <w:rPr>
          <w:sz w:val="24"/>
          <w:szCs w:val="24"/>
        </w:rPr>
        <w:t>Para 74 (a) It is safer not to mention “service structures”, as it may be understood wrongly as the need for new structures/buildings. For the new services?</w:t>
      </w:r>
    </w:p>
    <w:p w14:paraId="3A070384" w14:textId="3A1EB4BF" w:rsidR="00536B6C" w:rsidRDefault="00536B6C" w:rsidP="0056052E">
      <w:pPr>
        <w:spacing w:line="200" w:lineRule="exact"/>
        <w:rPr>
          <w:sz w:val="24"/>
          <w:szCs w:val="24"/>
        </w:rPr>
      </w:pPr>
    </w:p>
    <w:p w14:paraId="4708DC67" w14:textId="061A5469" w:rsidR="00536B6C" w:rsidRDefault="00434A15" w:rsidP="0056052E">
      <w:pPr>
        <w:spacing w:line="200" w:lineRule="exact"/>
        <w:rPr>
          <w:sz w:val="24"/>
          <w:szCs w:val="24"/>
        </w:rPr>
      </w:pPr>
      <w:r>
        <w:rPr>
          <w:sz w:val="24"/>
          <w:szCs w:val="24"/>
        </w:rPr>
        <w:t>Para 77 (d) It probably should be “ensure” instead of the “develop”</w:t>
      </w:r>
    </w:p>
    <w:p w14:paraId="3B24E157" w14:textId="10E58BFE" w:rsidR="00434A15" w:rsidRDefault="00434A15" w:rsidP="0056052E">
      <w:pPr>
        <w:spacing w:line="200" w:lineRule="exact"/>
        <w:rPr>
          <w:sz w:val="24"/>
          <w:szCs w:val="24"/>
        </w:rPr>
      </w:pPr>
    </w:p>
    <w:p w14:paraId="51384A64" w14:textId="2E94243F" w:rsidR="00434A15" w:rsidRDefault="00434A15" w:rsidP="0056052E">
      <w:pPr>
        <w:spacing w:line="200" w:lineRule="exact"/>
        <w:rPr>
          <w:sz w:val="24"/>
          <w:szCs w:val="24"/>
        </w:rPr>
      </w:pPr>
      <w:r>
        <w:rPr>
          <w:sz w:val="24"/>
          <w:szCs w:val="24"/>
        </w:rPr>
        <w:t>Para 86 (71) Probably it should be “awareness raising” instead of the “consciousness raising”.</w:t>
      </w:r>
    </w:p>
    <w:p w14:paraId="043F4674" w14:textId="0A7E8126" w:rsidR="00434A15" w:rsidRDefault="00434A15" w:rsidP="0056052E">
      <w:pPr>
        <w:spacing w:line="200" w:lineRule="exact"/>
        <w:rPr>
          <w:sz w:val="24"/>
          <w:szCs w:val="24"/>
        </w:rPr>
      </w:pPr>
    </w:p>
    <w:p w14:paraId="322D3A57" w14:textId="0C23E38A" w:rsidR="00434A15" w:rsidRDefault="00434A15" w:rsidP="0056052E">
      <w:pPr>
        <w:spacing w:line="200" w:lineRule="exact"/>
        <w:rPr>
          <w:sz w:val="24"/>
          <w:szCs w:val="24"/>
        </w:rPr>
      </w:pPr>
    </w:p>
    <w:p w14:paraId="241F9AE6" w14:textId="77777777" w:rsidR="00D26363" w:rsidRDefault="00434A15" w:rsidP="0056052E">
      <w:pPr>
        <w:spacing w:line="200" w:lineRule="exact"/>
      </w:pPr>
      <w:r>
        <w:rPr>
          <w:sz w:val="24"/>
          <w:szCs w:val="24"/>
        </w:rPr>
        <w:t xml:space="preserve">Also, we agree with EDF that the mention of “prisons, </w:t>
      </w:r>
      <w:r w:rsidRPr="74D257BC">
        <w:t>refugee camps or shelters for homeless people set in the paragraph 14, do not seem to be core to the mandate of the CRPD</w:t>
      </w:r>
      <w:r>
        <w:t xml:space="preserve"> if it is not focused on persons with disabilities placed in these settings”</w:t>
      </w:r>
      <w:r w:rsidRPr="74D257BC">
        <w:t>.</w:t>
      </w:r>
      <w:r>
        <w:t xml:space="preserve"> Such a phrase can undermine the authority of the guidelines and this excuse should not be given to policymakers. At the same time, the prisons and other settings do have big proportion of persons with disabilities, including psychosocial disability and maybe it can be rephrased under this context. </w:t>
      </w:r>
    </w:p>
    <w:p w14:paraId="1672E6C9" w14:textId="77777777" w:rsidR="00D26363" w:rsidRDefault="00D26363" w:rsidP="0056052E">
      <w:pPr>
        <w:spacing w:line="200" w:lineRule="exact"/>
      </w:pPr>
    </w:p>
    <w:p w14:paraId="57DCE6FE" w14:textId="6B863382" w:rsidR="00434A15" w:rsidRDefault="00434A15" w:rsidP="0056052E">
      <w:pPr>
        <w:spacing w:line="200" w:lineRule="exact"/>
      </w:pPr>
      <w:r>
        <w:t xml:space="preserve">Also, the context of equality seems to be important and has to be at least mentioned, as to what to do if even homeless do not have adequate support from the State. This problem is somewhat tricky and hard to address, as it seems to go outside the scope of disability rights to much wider scope of social rights in general. Maybe you could mention this context somewhere as a vision for the future or </w:t>
      </w:r>
      <w:r w:rsidR="00D26363">
        <w:t>mention how disability related discussions may lead the society to a universal design of supports for any vulnerable group.</w:t>
      </w:r>
    </w:p>
    <w:p w14:paraId="4E695D81" w14:textId="13027EFC" w:rsidR="00D26363" w:rsidRDefault="00D26363" w:rsidP="0056052E">
      <w:pPr>
        <w:spacing w:line="200" w:lineRule="exact"/>
      </w:pPr>
    </w:p>
    <w:p w14:paraId="61CE3B99" w14:textId="3FD1434F" w:rsidR="00D26363" w:rsidRDefault="00D26363" w:rsidP="0056052E">
      <w:pPr>
        <w:spacing w:line="200" w:lineRule="exact"/>
      </w:pPr>
    </w:p>
    <w:p w14:paraId="5A1008A9" w14:textId="342928DE" w:rsidR="00D26363" w:rsidRDefault="00D26363" w:rsidP="0056052E">
      <w:pPr>
        <w:spacing w:line="200" w:lineRule="exact"/>
      </w:pPr>
    </w:p>
    <w:p w14:paraId="2A118E96" w14:textId="77777777" w:rsidR="00D26363" w:rsidRDefault="00D26363" w:rsidP="0056052E">
      <w:pPr>
        <w:spacing w:line="200" w:lineRule="exact"/>
      </w:pPr>
    </w:p>
    <w:p w14:paraId="7CF524B1" w14:textId="638DA4FE" w:rsidR="00D26363" w:rsidRDefault="00D26363" w:rsidP="0056052E">
      <w:pPr>
        <w:spacing w:line="200" w:lineRule="exact"/>
      </w:pPr>
    </w:p>
    <w:p w14:paraId="4BFF8681" w14:textId="19C14426" w:rsidR="00D26363" w:rsidRDefault="00D26363" w:rsidP="0056052E">
      <w:pPr>
        <w:spacing w:line="200" w:lineRule="exact"/>
      </w:pPr>
      <w:r>
        <w:t>Sincerely,</w:t>
      </w:r>
    </w:p>
    <w:p w14:paraId="2660214D" w14:textId="50EA42FD" w:rsidR="00D26363" w:rsidRDefault="00D26363" w:rsidP="0056052E">
      <w:pPr>
        <w:spacing w:line="200" w:lineRule="exact"/>
      </w:pPr>
    </w:p>
    <w:p w14:paraId="4618D0B5" w14:textId="7A90763C" w:rsidR="00D26363" w:rsidRDefault="00D26363" w:rsidP="0056052E">
      <w:pPr>
        <w:spacing w:line="200" w:lineRule="exact"/>
      </w:pPr>
      <w:r>
        <w:t>Olga Kalina</w:t>
      </w:r>
    </w:p>
    <w:p w14:paraId="1314D7A8" w14:textId="21A20540" w:rsidR="00D26363" w:rsidRDefault="00D26363" w:rsidP="0056052E">
      <w:pPr>
        <w:spacing w:line="200" w:lineRule="exact"/>
      </w:pPr>
    </w:p>
    <w:p w14:paraId="5FB02B16" w14:textId="49CCC893" w:rsidR="00D26363" w:rsidRDefault="00D26363" w:rsidP="0056052E">
      <w:pPr>
        <w:spacing w:line="200" w:lineRule="exact"/>
      </w:pPr>
      <w:r>
        <w:t>Chair</w:t>
      </w:r>
    </w:p>
    <w:p w14:paraId="50378F03" w14:textId="7E76373C" w:rsidR="00D26363" w:rsidRDefault="00D26363" w:rsidP="0056052E">
      <w:pPr>
        <w:spacing w:line="200" w:lineRule="exact"/>
      </w:pPr>
    </w:p>
    <w:p w14:paraId="1831EE23" w14:textId="4E897993" w:rsidR="00D26363" w:rsidRDefault="00D26363" w:rsidP="0056052E">
      <w:pPr>
        <w:spacing w:line="200" w:lineRule="exact"/>
      </w:pPr>
    </w:p>
    <w:p w14:paraId="0B09D379" w14:textId="77777777" w:rsidR="00D26363" w:rsidRDefault="00D26363" w:rsidP="0056052E">
      <w:pPr>
        <w:spacing w:line="200" w:lineRule="exact"/>
        <w:rPr>
          <w:sz w:val="24"/>
          <w:szCs w:val="24"/>
        </w:rPr>
      </w:pPr>
    </w:p>
    <w:p w14:paraId="08DB990C" w14:textId="77777777" w:rsidR="00635126" w:rsidRDefault="00635126" w:rsidP="0056052E">
      <w:pPr>
        <w:spacing w:line="200" w:lineRule="exact"/>
        <w:rPr>
          <w:sz w:val="24"/>
          <w:szCs w:val="24"/>
        </w:rPr>
      </w:pPr>
    </w:p>
    <w:p w14:paraId="785A0D8C" w14:textId="31C6A454" w:rsidR="00635126" w:rsidRDefault="00635126" w:rsidP="0056052E">
      <w:pPr>
        <w:spacing w:line="200" w:lineRule="exact"/>
        <w:rPr>
          <w:sz w:val="24"/>
          <w:szCs w:val="24"/>
        </w:rPr>
      </w:pPr>
    </w:p>
    <w:p w14:paraId="2C9AF6B8" w14:textId="77777777" w:rsidR="00635126" w:rsidRDefault="00635126" w:rsidP="0056052E">
      <w:pPr>
        <w:spacing w:line="200" w:lineRule="exact"/>
        <w:rPr>
          <w:sz w:val="24"/>
          <w:szCs w:val="24"/>
        </w:rPr>
      </w:pPr>
    </w:p>
    <w:p w14:paraId="480683F6" w14:textId="77777777" w:rsidR="00943005" w:rsidRDefault="00943005">
      <w:pPr>
        <w:spacing w:line="200" w:lineRule="exact"/>
        <w:rPr>
          <w:sz w:val="24"/>
          <w:szCs w:val="24"/>
        </w:rPr>
      </w:pPr>
    </w:p>
    <w:p w14:paraId="3D015C85" w14:textId="77777777" w:rsidR="00943005" w:rsidRDefault="00943005">
      <w:pPr>
        <w:spacing w:line="200" w:lineRule="exact"/>
        <w:rPr>
          <w:sz w:val="24"/>
          <w:szCs w:val="24"/>
        </w:rPr>
      </w:pPr>
    </w:p>
    <w:p w14:paraId="78472039" w14:textId="77777777" w:rsidR="00943005" w:rsidRDefault="00943005">
      <w:pPr>
        <w:spacing w:line="200" w:lineRule="exact"/>
        <w:rPr>
          <w:sz w:val="24"/>
          <w:szCs w:val="24"/>
        </w:rPr>
      </w:pPr>
    </w:p>
    <w:p w14:paraId="5BAC169A" w14:textId="77777777" w:rsidR="00943005" w:rsidRDefault="00943005">
      <w:pPr>
        <w:spacing w:line="200" w:lineRule="exact"/>
        <w:rPr>
          <w:sz w:val="24"/>
          <w:szCs w:val="24"/>
        </w:rPr>
      </w:pPr>
    </w:p>
    <w:p w14:paraId="73EC015C" w14:textId="77777777" w:rsidR="00943005" w:rsidRDefault="00943005">
      <w:pPr>
        <w:spacing w:line="200" w:lineRule="exact"/>
        <w:rPr>
          <w:sz w:val="24"/>
          <w:szCs w:val="24"/>
        </w:rPr>
      </w:pPr>
    </w:p>
    <w:p w14:paraId="3FFD2A72" w14:textId="77777777" w:rsidR="00943005" w:rsidRDefault="00943005">
      <w:pPr>
        <w:spacing w:line="200" w:lineRule="exact"/>
        <w:rPr>
          <w:sz w:val="24"/>
          <w:szCs w:val="24"/>
        </w:rPr>
      </w:pPr>
    </w:p>
    <w:p w14:paraId="6E523359" w14:textId="77777777" w:rsidR="00943005" w:rsidRDefault="00943005">
      <w:pPr>
        <w:spacing w:line="200" w:lineRule="exact"/>
        <w:rPr>
          <w:sz w:val="24"/>
          <w:szCs w:val="24"/>
        </w:rPr>
      </w:pPr>
    </w:p>
    <w:p w14:paraId="6288D8AA" w14:textId="77777777" w:rsidR="00943005" w:rsidRDefault="00943005">
      <w:pPr>
        <w:spacing w:line="200" w:lineRule="exact"/>
        <w:rPr>
          <w:sz w:val="24"/>
          <w:szCs w:val="24"/>
        </w:rPr>
      </w:pPr>
    </w:p>
    <w:p w14:paraId="36ECCB00" w14:textId="77777777" w:rsidR="00943005" w:rsidRDefault="00943005">
      <w:pPr>
        <w:spacing w:line="200" w:lineRule="exact"/>
        <w:rPr>
          <w:sz w:val="24"/>
          <w:szCs w:val="24"/>
        </w:rPr>
      </w:pPr>
    </w:p>
    <w:p w14:paraId="35347F4A" w14:textId="77777777" w:rsidR="00943005" w:rsidRDefault="00943005">
      <w:pPr>
        <w:spacing w:line="200" w:lineRule="exact"/>
        <w:rPr>
          <w:sz w:val="24"/>
          <w:szCs w:val="24"/>
        </w:rPr>
      </w:pPr>
    </w:p>
    <w:p w14:paraId="3A040DE1" w14:textId="77777777" w:rsidR="00943005" w:rsidRDefault="00943005">
      <w:pPr>
        <w:spacing w:line="200" w:lineRule="exact"/>
        <w:rPr>
          <w:sz w:val="24"/>
          <w:szCs w:val="24"/>
        </w:rPr>
      </w:pPr>
    </w:p>
    <w:p w14:paraId="48953BF7" w14:textId="77777777" w:rsidR="00943005" w:rsidRDefault="00943005">
      <w:pPr>
        <w:spacing w:line="200" w:lineRule="exact"/>
        <w:rPr>
          <w:sz w:val="24"/>
          <w:szCs w:val="24"/>
        </w:rPr>
      </w:pPr>
    </w:p>
    <w:p w14:paraId="202A5AA9" w14:textId="77777777" w:rsidR="00943005" w:rsidRDefault="00943005">
      <w:pPr>
        <w:spacing w:line="200" w:lineRule="exact"/>
        <w:rPr>
          <w:sz w:val="24"/>
          <w:szCs w:val="24"/>
        </w:rPr>
      </w:pPr>
    </w:p>
    <w:p w14:paraId="13E4B667" w14:textId="77777777" w:rsidR="00943005" w:rsidRDefault="00943005">
      <w:pPr>
        <w:spacing w:line="200" w:lineRule="exact"/>
        <w:rPr>
          <w:sz w:val="24"/>
          <w:szCs w:val="24"/>
        </w:rPr>
      </w:pPr>
    </w:p>
    <w:p w14:paraId="483638F3" w14:textId="77777777" w:rsidR="00943005" w:rsidRDefault="00943005">
      <w:pPr>
        <w:spacing w:line="200" w:lineRule="exact"/>
        <w:rPr>
          <w:sz w:val="24"/>
          <w:szCs w:val="24"/>
        </w:rPr>
      </w:pPr>
    </w:p>
    <w:p w14:paraId="6333B092" w14:textId="77777777" w:rsidR="00943005" w:rsidRDefault="00943005">
      <w:pPr>
        <w:spacing w:line="200" w:lineRule="exact"/>
        <w:rPr>
          <w:sz w:val="24"/>
          <w:szCs w:val="24"/>
        </w:rPr>
      </w:pPr>
    </w:p>
    <w:p w14:paraId="5109B943" w14:textId="77777777" w:rsidR="00943005" w:rsidRDefault="00943005">
      <w:pPr>
        <w:spacing w:line="200" w:lineRule="exact"/>
        <w:rPr>
          <w:sz w:val="24"/>
          <w:szCs w:val="24"/>
        </w:rPr>
      </w:pPr>
    </w:p>
    <w:p w14:paraId="7D153293" w14:textId="77777777" w:rsidR="00943005" w:rsidRDefault="00943005">
      <w:pPr>
        <w:spacing w:line="200" w:lineRule="exact"/>
        <w:rPr>
          <w:sz w:val="24"/>
          <w:szCs w:val="24"/>
        </w:rPr>
      </w:pPr>
    </w:p>
    <w:p w14:paraId="31423F8B" w14:textId="77777777" w:rsidR="00943005" w:rsidRDefault="00943005">
      <w:pPr>
        <w:spacing w:line="200" w:lineRule="exact"/>
        <w:rPr>
          <w:sz w:val="24"/>
          <w:szCs w:val="24"/>
        </w:rPr>
      </w:pPr>
    </w:p>
    <w:p w14:paraId="558C8100" w14:textId="77777777" w:rsidR="00943005" w:rsidRDefault="00943005">
      <w:pPr>
        <w:spacing w:line="200" w:lineRule="exact"/>
        <w:rPr>
          <w:sz w:val="24"/>
          <w:szCs w:val="24"/>
        </w:rPr>
      </w:pPr>
    </w:p>
    <w:p w14:paraId="0A3DBE1C" w14:textId="77777777" w:rsidR="00943005" w:rsidRDefault="00943005">
      <w:pPr>
        <w:spacing w:line="200" w:lineRule="exact"/>
        <w:rPr>
          <w:sz w:val="24"/>
          <w:szCs w:val="24"/>
        </w:rPr>
      </w:pPr>
    </w:p>
    <w:p w14:paraId="7DB2FB3B" w14:textId="77777777" w:rsidR="00943005" w:rsidRDefault="00943005">
      <w:pPr>
        <w:spacing w:line="200" w:lineRule="exact"/>
        <w:rPr>
          <w:sz w:val="24"/>
          <w:szCs w:val="24"/>
        </w:rPr>
      </w:pPr>
    </w:p>
    <w:p w14:paraId="565CF613" w14:textId="77777777" w:rsidR="00943005" w:rsidRDefault="00943005">
      <w:pPr>
        <w:spacing w:line="200" w:lineRule="exact"/>
        <w:rPr>
          <w:sz w:val="24"/>
          <w:szCs w:val="24"/>
        </w:rPr>
      </w:pPr>
    </w:p>
    <w:p w14:paraId="4759299E" w14:textId="77777777" w:rsidR="00943005" w:rsidRDefault="00943005">
      <w:pPr>
        <w:spacing w:line="200" w:lineRule="exact"/>
        <w:rPr>
          <w:sz w:val="24"/>
          <w:szCs w:val="24"/>
        </w:rPr>
      </w:pPr>
    </w:p>
    <w:p w14:paraId="429E6FC2" w14:textId="77777777" w:rsidR="00943005" w:rsidRDefault="00943005">
      <w:pPr>
        <w:spacing w:line="200" w:lineRule="exact"/>
        <w:rPr>
          <w:sz w:val="24"/>
          <w:szCs w:val="24"/>
        </w:rPr>
      </w:pPr>
    </w:p>
    <w:p w14:paraId="53324BC1" w14:textId="77777777" w:rsidR="00943005" w:rsidRDefault="00943005">
      <w:pPr>
        <w:spacing w:line="200" w:lineRule="exact"/>
        <w:rPr>
          <w:sz w:val="24"/>
          <w:szCs w:val="24"/>
        </w:rPr>
      </w:pPr>
    </w:p>
    <w:p w14:paraId="4B9102A1" w14:textId="77777777" w:rsidR="00943005" w:rsidRDefault="00943005">
      <w:pPr>
        <w:spacing w:line="200" w:lineRule="exact"/>
        <w:rPr>
          <w:sz w:val="24"/>
          <w:szCs w:val="24"/>
        </w:rPr>
      </w:pPr>
    </w:p>
    <w:p w14:paraId="151EBA53" w14:textId="77777777" w:rsidR="00943005" w:rsidRDefault="00943005">
      <w:pPr>
        <w:spacing w:line="200" w:lineRule="exact"/>
        <w:rPr>
          <w:sz w:val="24"/>
          <w:szCs w:val="24"/>
        </w:rPr>
      </w:pPr>
    </w:p>
    <w:p w14:paraId="56DEC1D7" w14:textId="77777777" w:rsidR="00943005" w:rsidRDefault="00943005">
      <w:pPr>
        <w:spacing w:line="200" w:lineRule="exact"/>
        <w:rPr>
          <w:sz w:val="24"/>
          <w:szCs w:val="24"/>
        </w:rPr>
      </w:pPr>
    </w:p>
    <w:p w14:paraId="3ABF3E15" w14:textId="77777777" w:rsidR="00943005" w:rsidRDefault="00943005">
      <w:pPr>
        <w:spacing w:line="200" w:lineRule="exact"/>
        <w:rPr>
          <w:sz w:val="24"/>
          <w:szCs w:val="24"/>
        </w:rPr>
      </w:pPr>
    </w:p>
    <w:p w14:paraId="55BD7176" w14:textId="77777777" w:rsidR="00943005" w:rsidRDefault="00943005">
      <w:pPr>
        <w:spacing w:line="200" w:lineRule="exact"/>
        <w:rPr>
          <w:sz w:val="24"/>
          <w:szCs w:val="24"/>
        </w:rPr>
      </w:pPr>
    </w:p>
    <w:p w14:paraId="5FB6A0CB" w14:textId="77777777" w:rsidR="00943005" w:rsidRDefault="00943005">
      <w:pPr>
        <w:spacing w:line="200" w:lineRule="exact"/>
        <w:rPr>
          <w:sz w:val="24"/>
          <w:szCs w:val="24"/>
        </w:rPr>
      </w:pPr>
    </w:p>
    <w:p w14:paraId="7C437F48" w14:textId="77777777" w:rsidR="00943005" w:rsidRDefault="00943005">
      <w:pPr>
        <w:spacing w:line="200" w:lineRule="exact"/>
        <w:rPr>
          <w:sz w:val="24"/>
          <w:szCs w:val="24"/>
        </w:rPr>
      </w:pPr>
    </w:p>
    <w:p w14:paraId="4476F0CE" w14:textId="77777777" w:rsidR="00943005" w:rsidRDefault="00943005">
      <w:pPr>
        <w:spacing w:line="200" w:lineRule="exact"/>
        <w:rPr>
          <w:sz w:val="24"/>
          <w:szCs w:val="24"/>
        </w:rPr>
      </w:pPr>
    </w:p>
    <w:p w14:paraId="39E0E0A7" w14:textId="77777777" w:rsidR="00927D71" w:rsidRDefault="00927D71">
      <w:pPr>
        <w:spacing w:line="200" w:lineRule="exact"/>
        <w:rPr>
          <w:sz w:val="24"/>
          <w:szCs w:val="24"/>
        </w:rPr>
      </w:pPr>
    </w:p>
    <w:p w14:paraId="03173678" w14:textId="77777777" w:rsidR="00927D71" w:rsidRDefault="00927D71">
      <w:pPr>
        <w:spacing w:line="200" w:lineRule="exact"/>
        <w:rPr>
          <w:sz w:val="24"/>
          <w:szCs w:val="24"/>
        </w:rPr>
      </w:pPr>
    </w:p>
    <w:p w14:paraId="2C915E3B" w14:textId="77777777" w:rsidR="00927D71" w:rsidRDefault="00927D71">
      <w:pPr>
        <w:spacing w:line="200" w:lineRule="exact"/>
        <w:rPr>
          <w:sz w:val="24"/>
          <w:szCs w:val="24"/>
        </w:rPr>
      </w:pPr>
    </w:p>
    <w:p w14:paraId="5FD8BF99" w14:textId="77777777" w:rsidR="00927D71" w:rsidRDefault="00927D71">
      <w:pPr>
        <w:spacing w:line="200" w:lineRule="exact"/>
        <w:rPr>
          <w:sz w:val="24"/>
          <w:szCs w:val="24"/>
        </w:rPr>
      </w:pPr>
    </w:p>
    <w:p w14:paraId="193B29F9" w14:textId="77777777" w:rsidR="00927D71" w:rsidRDefault="00927D71" w:rsidP="00D01AB2">
      <w:pPr>
        <w:spacing w:line="200" w:lineRule="exact"/>
        <w:jc w:val="center"/>
        <w:rPr>
          <w:sz w:val="24"/>
          <w:szCs w:val="24"/>
        </w:rPr>
      </w:pPr>
    </w:p>
    <w:p w14:paraId="0DC603B0" w14:textId="77777777" w:rsidR="00927D71" w:rsidRDefault="00927D71">
      <w:pPr>
        <w:spacing w:line="200" w:lineRule="exact"/>
        <w:rPr>
          <w:sz w:val="24"/>
          <w:szCs w:val="24"/>
        </w:rPr>
      </w:pPr>
    </w:p>
    <w:p w14:paraId="00881C55" w14:textId="77777777" w:rsidR="00927D71" w:rsidRDefault="00927D71">
      <w:pPr>
        <w:spacing w:line="200" w:lineRule="exact"/>
        <w:rPr>
          <w:sz w:val="24"/>
          <w:szCs w:val="24"/>
        </w:rPr>
      </w:pPr>
    </w:p>
    <w:p w14:paraId="00B38E7F" w14:textId="77777777" w:rsidR="00927D71" w:rsidRDefault="00927D71">
      <w:pPr>
        <w:spacing w:line="200" w:lineRule="exact"/>
        <w:rPr>
          <w:sz w:val="24"/>
          <w:szCs w:val="24"/>
        </w:rPr>
      </w:pPr>
    </w:p>
    <w:p w14:paraId="036E58A9" w14:textId="77777777" w:rsidR="00927D71" w:rsidRDefault="00927D71">
      <w:pPr>
        <w:spacing w:line="200" w:lineRule="exact"/>
        <w:rPr>
          <w:sz w:val="24"/>
          <w:szCs w:val="24"/>
        </w:rPr>
      </w:pPr>
    </w:p>
    <w:p w14:paraId="3B4C050D" w14:textId="77777777" w:rsidR="00927D71" w:rsidRDefault="00927D71">
      <w:pPr>
        <w:spacing w:line="200" w:lineRule="exact"/>
        <w:rPr>
          <w:sz w:val="24"/>
          <w:szCs w:val="24"/>
        </w:rPr>
      </w:pPr>
    </w:p>
    <w:p w14:paraId="6E6A9105" w14:textId="77777777" w:rsidR="00927D71" w:rsidRDefault="00927D71">
      <w:pPr>
        <w:spacing w:line="200" w:lineRule="exact"/>
        <w:rPr>
          <w:sz w:val="24"/>
          <w:szCs w:val="24"/>
        </w:rPr>
      </w:pPr>
    </w:p>
    <w:p w14:paraId="094A50A0" w14:textId="77777777" w:rsidR="00DD2E8D" w:rsidRDefault="00DD2E8D">
      <w:pPr>
        <w:spacing w:line="200" w:lineRule="exact"/>
        <w:rPr>
          <w:sz w:val="24"/>
          <w:szCs w:val="24"/>
        </w:rPr>
      </w:pPr>
    </w:p>
    <w:p w14:paraId="0303BB82" w14:textId="77777777" w:rsidR="00DD2E8D" w:rsidRDefault="00DD2E8D">
      <w:pPr>
        <w:spacing w:line="200" w:lineRule="exact"/>
        <w:rPr>
          <w:sz w:val="24"/>
          <w:szCs w:val="24"/>
        </w:rPr>
      </w:pPr>
    </w:p>
    <w:p w14:paraId="413D123D" w14:textId="77777777" w:rsidR="00927D71" w:rsidRDefault="00927D71">
      <w:pPr>
        <w:spacing w:line="200" w:lineRule="exact"/>
        <w:rPr>
          <w:sz w:val="24"/>
          <w:szCs w:val="24"/>
        </w:rPr>
      </w:pPr>
    </w:p>
    <w:p w14:paraId="5EF187DA" w14:textId="77777777" w:rsidR="00927D71" w:rsidRDefault="00927D71">
      <w:pPr>
        <w:spacing w:line="200" w:lineRule="exact"/>
        <w:rPr>
          <w:sz w:val="24"/>
          <w:szCs w:val="24"/>
        </w:rPr>
      </w:pPr>
    </w:p>
    <w:p w14:paraId="72F590EE" w14:textId="77777777" w:rsidR="00927D71" w:rsidRDefault="00D01AB2">
      <w:pPr>
        <w:spacing w:line="245" w:lineRule="exact"/>
        <w:rPr>
          <w:sz w:val="24"/>
          <w:szCs w:val="24"/>
        </w:rPr>
      </w:pPr>
      <w:r w:rsidRPr="00173731">
        <w:rPr>
          <w:noProof/>
          <w:sz w:val="24"/>
          <w:szCs w:val="24"/>
          <w:lang w:val="en-GB" w:eastAsia="en-GB"/>
        </w:rPr>
        <mc:AlternateContent>
          <mc:Choice Requires="wps">
            <w:drawing>
              <wp:anchor distT="45720" distB="45720" distL="114300" distR="114300" simplePos="0" relativeHeight="251663360" behindDoc="1" locked="0" layoutInCell="1" allowOverlap="1" wp14:anchorId="493D0D4C" wp14:editId="4633E7D6">
                <wp:simplePos x="0" y="0"/>
                <wp:positionH relativeFrom="column">
                  <wp:posOffset>3565525</wp:posOffset>
                </wp:positionH>
                <wp:positionV relativeFrom="paragraph">
                  <wp:posOffset>123190</wp:posOffset>
                </wp:positionV>
                <wp:extent cx="3609975" cy="13049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04925"/>
                        </a:xfrm>
                        <a:prstGeom prst="rect">
                          <a:avLst/>
                        </a:prstGeom>
                        <a:solidFill>
                          <a:srgbClr val="FFFFFF"/>
                        </a:solidFill>
                        <a:ln w="9525">
                          <a:noFill/>
                          <a:miter lim="800000"/>
                          <a:headEnd/>
                          <a:tailEnd/>
                        </a:ln>
                      </wps:spPr>
                      <wps:txbx>
                        <w:txbxContent>
                          <w:tbl>
                            <w:tblPr>
                              <w:tblW w:w="10530" w:type="dxa"/>
                              <w:tblLayout w:type="fixed"/>
                              <w:tblCellMar>
                                <w:left w:w="0" w:type="dxa"/>
                                <w:right w:w="0" w:type="dxa"/>
                              </w:tblCellMar>
                              <w:tblLook w:val="04A0" w:firstRow="1" w:lastRow="0" w:firstColumn="1" w:lastColumn="0" w:noHBand="0" w:noVBand="1"/>
                            </w:tblPr>
                            <w:tblGrid>
                              <w:gridCol w:w="10530"/>
                            </w:tblGrid>
                            <w:tr w:rsidR="00D01AB2" w:rsidRPr="00D01AB2" w14:paraId="7D20C706" w14:textId="77777777" w:rsidTr="00BC7692">
                              <w:trPr>
                                <w:trHeight w:val="280"/>
                              </w:trPr>
                              <w:tc>
                                <w:tcPr>
                                  <w:tcW w:w="5237" w:type="dxa"/>
                                  <w:vAlign w:val="bottom"/>
                                </w:tcPr>
                                <w:p w14:paraId="23227CF7" w14:textId="77777777" w:rsidR="00D01AB2" w:rsidRPr="00D01AB2" w:rsidRDefault="00D01AB2" w:rsidP="00D01AB2">
                                  <w:pPr>
                                    <w:rPr>
                                      <w:rFonts w:ascii="Sylfaen" w:hAnsi="Sylfaen"/>
                                      <w:b/>
                                      <w:sz w:val="20"/>
                                      <w:szCs w:val="20"/>
                                    </w:rPr>
                                  </w:pPr>
                                  <w:r w:rsidRPr="00D01AB2">
                                    <w:rPr>
                                      <w:rFonts w:ascii="Sylfaen" w:hAnsi="Sylfaen"/>
                                      <w:b/>
                                      <w:sz w:val="20"/>
                                      <w:szCs w:val="20"/>
                                    </w:rPr>
                                    <w:t>3</w:t>
                                  </w:r>
                                  <w:r w:rsidRPr="00D01AB2">
                                    <w:rPr>
                                      <w:rFonts w:ascii="Sylfaen" w:hAnsi="Sylfaen"/>
                                      <w:b/>
                                      <w:sz w:val="20"/>
                                      <w:szCs w:val="20"/>
                                      <w:vertAlign w:val="superscript"/>
                                    </w:rPr>
                                    <w:t>rd</w:t>
                                  </w:r>
                                  <w:r w:rsidRPr="00D01AB2">
                                    <w:rPr>
                                      <w:rFonts w:ascii="Sylfaen" w:hAnsi="Sylfaen"/>
                                      <w:b/>
                                      <w:sz w:val="20"/>
                                      <w:szCs w:val="20"/>
                                    </w:rPr>
                                    <w:t xml:space="preserve"> Blind Alley of Todria str., b. 2, apt 33, Rustavi</w:t>
                                  </w:r>
                                </w:p>
                              </w:tc>
                            </w:tr>
                            <w:tr w:rsidR="00D01AB2" w:rsidRPr="00D01AB2" w14:paraId="69384DEB" w14:textId="77777777" w:rsidTr="00BC7692">
                              <w:trPr>
                                <w:trHeight w:val="281"/>
                              </w:trPr>
                              <w:tc>
                                <w:tcPr>
                                  <w:tcW w:w="5237" w:type="dxa"/>
                                  <w:vAlign w:val="bottom"/>
                                </w:tcPr>
                                <w:p w14:paraId="6D803354" w14:textId="77777777" w:rsidR="00D01AB2" w:rsidRPr="00D01AB2" w:rsidRDefault="00D01AB2" w:rsidP="00D01AB2">
                                  <w:pPr>
                                    <w:spacing w:line="231" w:lineRule="exact"/>
                                    <w:rPr>
                                      <w:rFonts w:ascii="Sylfaen" w:eastAsia="Sylfaen" w:hAnsi="Sylfaen" w:cs="Sylfaen"/>
                                      <w:b/>
                                      <w:bCs/>
                                      <w:sz w:val="20"/>
                                      <w:szCs w:val="20"/>
                                    </w:rPr>
                                  </w:pPr>
                                  <w:r w:rsidRPr="00D01AB2">
                                    <w:rPr>
                                      <w:rFonts w:ascii="Sylfaen" w:eastAsia="Times New Roman" w:hAnsi="Sylfaen"/>
                                      <w:b/>
                                      <w:bCs/>
                                      <w:sz w:val="20"/>
                                      <w:szCs w:val="20"/>
                                    </w:rPr>
                                    <w:t>Tel:</w:t>
                                  </w:r>
                                  <w:r w:rsidRPr="00D01AB2">
                                    <w:rPr>
                                      <w:rFonts w:ascii="Sylfaen" w:eastAsia="Sylfaen" w:hAnsi="Sylfaen" w:cs="Sylfaen"/>
                                      <w:b/>
                                      <w:bCs/>
                                      <w:sz w:val="20"/>
                                      <w:szCs w:val="20"/>
                                    </w:rPr>
                                    <w:t xml:space="preserve"> (+995) 558 72 36 76</w:t>
                                  </w:r>
                                </w:p>
                                <w:p w14:paraId="6A3E0AFC" w14:textId="77777777" w:rsidR="00D01AB2" w:rsidRPr="00D01AB2" w:rsidRDefault="00D01AB2" w:rsidP="00D01AB2">
                                  <w:pPr>
                                    <w:spacing w:line="231" w:lineRule="exact"/>
                                    <w:rPr>
                                      <w:rFonts w:ascii="Sylfaen" w:hAnsi="Sylfaen"/>
                                      <w:sz w:val="20"/>
                                      <w:szCs w:val="20"/>
                                    </w:rPr>
                                  </w:pPr>
                                  <w:r w:rsidRPr="00D01AB2">
                                    <w:rPr>
                                      <w:rFonts w:ascii="Sylfaen" w:eastAsia="Sylfaen" w:hAnsi="Sylfaen" w:cs="Sylfaen"/>
                                      <w:b/>
                                      <w:bCs/>
                                      <w:sz w:val="20"/>
                                      <w:szCs w:val="20"/>
                                    </w:rPr>
                                    <w:t xml:space="preserve">E-mail: </w:t>
                                  </w:r>
                                  <w:hyperlink r:id="rId8" w:history="1">
                                    <w:r w:rsidRPr="00D01AB2">
                                      <w:rPr>
                                        <w:rStyle w:val="Hyperlink"/>
                                        <w:rFonts w:ascii="Sylfaen" w:hAnsi="Sylfaen"/>
                                        <w:sz w:val="20"/>
                                        <w:szCs w:val="20"/>
                                      </w:rPr>
                                      <w:t>gnusp.ge@gmail.com</w:t>
                                    </w:r>
                                  </w:hyperlink>
                                </w:p>
                              </w:tc>
                            </w:tr>
                          </w:tbl>
                          <w:p w14:paraId="3012318C" w14:textId="77777777" w:rsidR="00173731" w:rsidRPr="00D01AB2" w:rsidRDefault="00173731" w:rsidP="00173731">
                            <w:pPr>
                              <w:pStyle w:val="NoSpacing"/>
                              <w:rPr>
                                <w:rFonts w:ascii="Sylfaen" w:hAnsi="Sylfaen"/>
                                <w:b/>
                                <w:sz w:val="20"/>
                                <w:szCs w:val="20"/>
                              </w:rPr>
                            </w:pPr>
                            <w:r w:rsidRPr="00D01AB2">
                              <w:rPr>
                                <w:rFonts w:ascii="Sylfaen" w:eastAsia="Sylfaen" w:hAnsi="Sylfaen"/>
                                <w:b/>
                                <w:sz w:val="20"/>
                                <w:szCs w:val="20"/>
                              </w:rPr>
                              <w:t>https://www.facebook.com/Georgian-Network-of-Users-and- Survivors-of-Psychiatry-GNUSP-110601027283137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D0D4C" id="_x0000_t202" coordsize="21600,21600" o:spt="202" path="m,l,21600r21600,l21600,xe">
                <v:stroke joinstyle="miter"/>
                <v:path gradientshapeok="t" o:connecttype="rect"/>
              </v:shapetype>
              <v:shape id="Text Box 2" o:spid="_x0000_s1026" type="#_x0000_t202" style="position:absolute;margin-left:280.75pt;margin-top:9.7pt;width:284.25pt;height:102.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nWIgIAAB4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" stroked="f">
                <v:textbox>
                  <w:txbxContent>
                    <w:tbl>
                      <w:tblPr>
                        <w:tblW w:w="10530" w:type="dxa"/>
                        <w:tblLayout w:type="fixed"/>
                        <w:tblCellMar>
                          <w:left w:w="0" w:type="dxa"/>
                          <w:right w:w="0" w:type="dxa"/>
                        </w:tblCellMar>
                        <w:tblLook w:val="04A0" w:firstRow="1" w:lastRow="0" w:firstColumn="1" w:lastColumn="0" w:noHBand="0" w:noVBand="1"/>
                      </w:tblPr>
                      <w:tblGrid>
                        <w:gridCol w:w="10530"/>
                      </w:tblGrid>
                      <w:tr w:rsidR="00D01AB2" w:rsidRPr="00D01AB2" w14:paraId="7D20C706" w14:textId="77777777" w:rsidTr="00BC7692">
                        <w:trPr>
                          <w:trHeight w:val="280"/>
                        </w:trPr>
                        <w:tc>
                          <w:tcPr>
                            <w:tcW w:w="5237" w:type="dxa"/>
                            <w:vAlign w:val="bottom"/>
                          </w:tcPr>
                          <w:p w14:paraId="23227CF7" w14:textId="77777777" w:rsidR="00D01AB2" w:rsidRPr="00D01AB2" w:rsidRDefault="00D01AB2" w:rsidP="00D01AB2">
                            <w:pPr>
                              <w:rPr>
                                <w:rFonts w:ascii="Sylfaen" w:hAnsi="Sylfaen"/>
                                <w:b/>
                                <w:sz w:val="20"/>
                                <w:szCs w:val="20"/>
                              </w:rPr>
                            </w:pPr>
                            <w:r w:rsidRPr="00D01AB2">
                              <w:rPr>
                                <w:rFonts w:ascii="Sylfaen" w:hAnsi="Sylfaen"/>
                                <w:b/>
                                <w:sz w:val="20"/>
                                <w:szCs w:val="20"/>
                              </w:rPr>
                              <w:t>3</w:t>
                            </w:r>
                            <w:r w:rsidRPr="00D01AB2">
                              <w:rPr>
                                <w:rFonts w:ascii="Sylfaen" w:hAnsi="Sylfaen"/>
                                <w:b/>
                                <w:sz w:val="20"/>
                                <w:szCs w:val="20"/>
                                <w:vertAlign w:val="superscript"/>
                              </w:rPr>
                              <w:t>rd</w:t>
                            </w:r>
                            <w:r w:rsidRPr="00D01AB2">
                              <w:rPr>
                                <w:rFonts w:ascii="Sylfaen" w:hAnsi="Sylfaen"/>
                                <w:b/>
                                <w:sz w:val="20"/>
                                <w:szCs w:val="20"/>
                              </w:rPr>
                              <w:t xml:space="preserve"> Blind Alley of Todria str., b. 2, apt 33, Rustavi</w:t>
                            </w:r>
                          </w:p>
                        </w:tc>
                      </w:tr>
                      <w:tr w:rsidR="00D01AB2" w:rsidRPr="00D01AB2" w14:paraId="69384DEB" w14:textId="77777777" w:rsidTr="00BC7692">
                        <w:trPr>
                          <w:trHeight w:val="281"/>
                        </w:trPr>
                        <w:tc>
                          <w:tcPr>
                            <w:tcW w:w="5237" w:type="dxa"/>
                            <w:vAlign w:val="bottom"/>
                          </w:tcPr>
                          <w:p w14:paraId="6D803354" w14:textId="77777777" w:rsidR="00D01AB2" w:rsidRPr="00D01AB2" w:rsidRDefault="00D01AB2" w:rsidP="00D01AB2">
                            <w:pPr>
                              <w:spacing w:line="231" w:lineRule="exact"/>
                              <w:rPr>
                                <w:rFonts w:ascii="Sylfaen" w:eastAsia="Sylfaen" w:hAnsi="Sylfaen" w:cs="Sylfaen"/>
                                <w:b/>
                                <w:bCs/>
                                <w:sz w:val="20"/>
                                <w:szCs w:val="20"/>
                              </w:rPr>
                            </w:pPr>
                            <w:r w:rsidRPr="00D01AB2">
                              <w:rPr>
                                <w:rFonts w:ascii="Sylfaen" w:eastAsia="Times New Roman" w:hAnsi="Sylfaen"/>
                                <w:b/>
                                <w:bCs/>
                                <w:sz w:val="20"/>
                                <w:szCs w:val="20"/>
                              </w:rPr>
                              <w:t>Tel:</w:t>
                            </w:r>
                            <w:r w:rsidRPr="00D01AB2">
                              <w:rPr>
                                <w:rFonts w:ascii="Sylfaen" w:eastAsia="Sylfaen" w:hAnsi="Sylfaen" w:cs="Sylfaen"/>
                                <w:b/>
                                <w:bCs/>
                                <w:sz w:val="20"/>
                                <w:szCs w:val="20"/>
                              </w:rPr>
                              <w:t xml:space="preserve"> (+995) 558 72 36 76</w:t>
                            </w:r>
                          </w:p>
                          <w:p w14:paraId="6A3E0AFC" w14:textId="77777777" w:rsidR="00D01AB2" w:rsidRPr="00D01AB2" w:rsidRDefault="00D01AB2" w:rsidP="00D01AB2">
                            <w:pPr>
                              <w:spacing w:line="231" w:lineRule="exact"/>
                              <w:rPr>
                                <w:rFonts w:ascii="Sylfaen" w:hAnsi="Sylfaen"/>
                                <w:sz w:val="20"/>
                                <w:szCs w:val="20"/>
                              </w:rPr>
                            </w:pPr>
                            <w:r w:rsidRPr="00D01AB2">
                              <w:rPr>
                                <w:rFonts w:ascii="Sylfaen" w:eastAsia="Sylfaen" w:hAnsi="Sylfaen" w:cs="Sylfaen"/>
                                <w:b/>
                                <w:bCs/>
                                <w:sz w:val="20"/>
                                <w:szCs w:val="20"/>
                              </w:rPr>
                              <w:t xml:space="preserve">E-mail: </w:t>
                            </w:r>
                            <w:hyperlink r:id="rId9" w:history="1">
                              <w:r w:rsidRPr="00D01AB2">
                                <w:rPr>
                                  <w:rStyle w:val="Hyperlink"/>
                                  <w:rFonts w:ascii="Sylfaen" w:hAnsi="Sylfaen"/>
                                  <w:sz w:val="20"/>
                                  <w:szCs w:val="20"/>
                                </w:rPr>
                                <w:t>gnusp.ge@gmail.com</w:t>
                              </w:r>
                            </w:hyperlink>
                          </w:p>
                        </w:tc>
                      </w:tr>
                    </w:tbl>
                    <w:p w14:paraId="3012318C" w14:textId="77777777" w:rsidR="00173731" w:rsidRPr="00D01AB2" w:rsidRDefault="00173731" w:rsidP="00173731">
                      <w:pPr>
                        <w:pStyle w:val="NoSpacing"/>
                        <w:rPr>
                          <w:rFonts w:ascii="Sylfaen" w:hAnsi="Sylfaen"/>
                          <w:b/>
                          <w:sz w:val="20"/>
                          <w:szCs w:val="20"/>
                        </w:rPr>
                      </w:pPr>
                      <w:r w:rsidRPr="00D01AB2">
                        <w:rPr>
                          <w:rFonts w:ascii="Sylfaen" w:eastAsia="Sylfaen" w:hAnsi="Sylfaen"/>
                          <w:b/>
                          <w:sz w:val="20"/>
                          <w:szCs w:val="20"/>
                        </w:rPr>
                        <w:t>https://www.facebook.com/Georgian-Network-of-Users-and- Survivors-of-Psychiatry-GNUSP-110601027283137</w:t>
                      </w:r>
                    </w:p>
                  </w:txbxContent>
                </v:textbox>
              </v:shape>
            </w:pict>
          </mc:Fallback>
        </mc:AlternateContent>
      </w:r>
    </w:p>
    <w:tbl>
      <w:tblPr>
        <w:tblW w:w="10530" w:type="dxa"/>
        <w:tblLayout w:type="fixed"/>
        <w:tblCellMar>
          <w:left w:w="0" w:type="dxa"/>
          <w:right w:w="0" w:type="dxa"/>
        </w:tblCellMar>
        <w:tblLook w:val="04A0" w:firstRow="1" w:lastRow="0" w:firstColumn="1" w:lastColumn="0" w:noHBand="0" w:noVBand="1"/>
      </w:tblPr>
      <w:tblGrid>
        <w:gridCol w:w="5273"/>
        <w:gridCol w:w="5237"/>
        <w:gridCol w:w="20"/>
      </w:tblGrid>
      <w:tr w:rsidR="00927D71" w14:paraId="51797141" w14:textId="77777777" w:rsidTr="00173731">
        <w:trPr>
          <w:trHeight w:val="280"/>
        </w:trPr>
        <w:tc>
          <w:tcPr>
            <w:tcW w:w="5273" w:type="dxa"/>
            <w:vAlign w:val="bottom"/>
          </w:tcPr>
          <w:p w14:paraId="51C5F964" w14:textId="77777777" w:rsidR="00927D71" w:rsidRPr="002371E6" w:rsidRDefault="002371E6">
            <w:pPr>
              <w:rPr>
                <w:rFonts w:ascii="Sylfaen" w:hAnsi="Sylfaen"/>
                <w:b/>
                <w:sz w:val="20"/>
                <w:szCs w:val="20"/>
              </w:rPr>
            </w:pPr>
            <w:r w:rsidRPr="002371E6">
              <w:rPr>
                <w:rFonts w:ascii="Sylfaen" w:hAnsi="Sylfaen" w:cs="Sylfaen"/>
                <w:b/>
                <w:sz w:val="20"/>
                <w:szCs w:val="20"/>
              </w:rPr>
              <w:t>ქ</w:t>
            </w:r>
            <w:r w:rsidRPr="002371E6">
              <w:rPr>
                <w:rFonts w:ascii="Sylfaen" w:hAnsi="Sylfaen" w:cs="Sylfaen"/>
                <w:b/>
                <w:sz w:val="20"/>
                <w:szCs w:val="20"/>
                <w:lang w:val="ka-GE"/>
              </w:rPr>
              <w:t>. რუსთავი</w:t>
            </w:r>
            <w:r w:rsidRPr="002371E6">
              <w:rPr>
                <w:rFonts w:ascii="Sylfaen" w:hAnsi="Sylfaen"/>
                <w:b/>
                <w:sz w:val="20"/>
                <w:szCs w:val="20"/>
              </w:rPr>
              <w:t xml:space="preserve">, </w:t>
            </w:r>
            <w:r w:rsidRPr="002371E6">
              <w:rPr>
                <w:rFonts w:ascii="Sylfaen" w:hAnsi="Sylfaen" w:cs="Sylfaen"/>
                <w:b/>
                <w:sz w:val="20"/>
                <w:szCs w:val="20"/>
                <w:lang w:val="ka-GE"/>
              </w:rPr>
              <w:t>თოდრიის მე-3 ჩიხი, კორპ.2, ბინა 33</w:t>
            </w:r>
          </w:p>
        </w:tc>
        <w:tc>
          <w:tcPr>
            <w:tcW w:w="5237" w:type="dxa"/>
            <w:vAlign w:val="bottom"/>
          </w:tcPr>
          <w:p w14:paraId="32FD3FC7" w14:textId="77777777" w:rsidR="00927D71" w:rsidRPr="002371E6" w:rsidRDefault="00927D71" w:rsidP="00173731">
            <w:pPr>
              <w:rPr>
                <w:rFonts w:ascii="Sylfaen" w:hAnsi="Sylfaen"/>
                <w:b/>
                <w:sz w:val="20"/>
                <w:szCs w:val="20"/>
              </w:rPr>
            </w:pPr>
          </w:p>
        </w:tc>
        <w:tc>
          <w:tcPr>
            <w:tcW w:w="20" w:type="dxa"/>
            <w:vAlign w:val="bottom"/>
          </w:tcPr>
          <w:p w14:paraId="388495F4" w14:textId="77777777" w:rsidR="00927D71" w:rsidRDefault="00927D71" w:rsidP="008E5825">
            <w:pPr>
              <w:rPr>
                <w:sz w:val="20"/>
                <w:szCs w:val="20"/>
              </w:rPr>
            </w:pPr>
          </w:p>
        </w:tc>
      </w:tr>
      <w:tr w:rsidR="00927D71" w14:paraId="30A737F8" w14:textId="77777777" w:rsidTr="00173731">
        <w:trPr>
          <w:trHeight w:val="281"/>
        </w:trPr>
        <w:tc>
          <w:tcPr>
            <w:tcW w:w="5273" w:type="dxa"/>
            <w:vAlign w:val="bottom"/>
          </w:tcPr>
          <w:p w14:paraId="3AFAAC9F" w14:textId="77777777" w:rsidR="00927D71" w:rsidRDefault="00FD4089">
            <w:pPr>
              <w:rPr>
                <w:sz w:val="20"/>
                <w:szCs w:val="20"/>
              </w:rPr>
            </w:pPr>
            <w:r>
              <w:rPr>
                <w:rFonts w:ascii="Sylfaen" w:eastAsia="Sylfaen" w:hAnsi="Sylfaen" w:cs="Sylfaen"/>
                <w:b/>
                <w:bCs/>
                <w:sz w:val="20"/>
                <w:szCs w:val="20"/>
              </w:rPr>
              <w:t>ტელ</w:t>
            </w:r>
            <w:r>
              <w:rPr>
                <w:rFonts w:eastAsia="Times New Roman"/>
                <w:b/>
                <w:bCs/>
                <w:sz w:val="20"/>
                <w:szCs w:val="20"/>
              </w:rPr>
              <w:t>:</w:t>
            </w:r>
            <w:r>
              <w:rPr>
                <w:rFonts w:ascii="Sylfaen" w:eastAsia="Sylfaen" w:hAnsi="Sylfaen" w:cs="Sylfaen"/>
                <w:b/>
                <w:bCs/>
                <w:sz w:val="20"/>
                <w:szCs w:val="20"/>
              </w:rPr>
              <w:t xml:space="preserve"> (+995) 558 72 36 76</w:t>
            </w:r>
          </w:p>
        </w:tc>
        <w:tc>
          <w:tcPr>
            <w:tcW w:w="5237" w:type="dxa"/>
            <w:vAlign w:val="bottom"/>
          </w:tcPr>
          <w:p w14:paraId="3DBD19B7" w14:textId="77777777" w:rsidR="00927D71" w:rsidRDefault="00927D71" w:rsidP="00173731">
            <w:pPr>
              <w:spacing w:line="231" w:lineRule="exact"/>
              <w:rPr>
                <w:sz w:val="20"/>
                <w:szCs w:val="20"/>
              </w:rPr>
            </w:pPr>
          </w:p>
        </w:tc>
        <w:tc>
          <w:tcPr>
            <w:tcW w:w="20" w:type="dxa"/>
            <w:vAlign w:val="bottom"/>
          </w:tcPr>
          <w:p w14:paraId="1A906609" w14:textId="77777777" w:rsidR="00927D71" w:rsidRDefault="00927D71" w:rsidP="00173731">
            <w:pPr>
              <w:spacing w:line="231" w:lineRule="exact"/>
              <w:rPr>
                <w:sz w:val="20"/>
                <w:szCs w:val="20"/>
              </w:rPr>
            </w:pPr>
          </w:p>
        </w:tc>
      </w:tr>
      <w:tr w:rsidR="00927D71" w14:paraId="5C052868" w14:textId="77777777" w:rsidTr="00173731">
        <w:trPr>
          <w:trHeight w:val="282"/>
        </w:trPr>
        <w:tc>
          <w:tcPr>
            <w:tcW w:w="5273" w:type="dxa"/>
            <w:vAlign w:val="bottom"/>
          </w:tcPr>
          <w:p w14:paraId="1A1AF0A0" w14:textId="77777777" w:rsidR="00927D71" w:rsidRPr="00D01AB2" w:rsidRDefault="00FD4089">
            <w:pPr>
              <w:rPr>
                <w:rFonts w:ascii="Sylfaen" w:hAnsi="Sylfaen"/>
                <w:sz w:val="20"/>
                <w:szCs w:val="20"/>
              </w:rPr>
            </w:pPr>
            <w:r w:rsidRPr="00D01AB2">
              <w:rPr>
                <w:rFonts w:ascii="Sylfaen" w:eastAsia="Sylfaen" w:hAnsi="Sylfaen" w:cs="Sylfaen"/>
                <w:b/>
                <w:bCs/>
                <w:sz w:val="20"/>
                <w:szCs w:val="20"/>
              </w:rPr>
              <w:t>ელ</w:t>
            </w:r>
            <w:r w:rsidRPr="00D01AB2">
              <w:rPr>
                <w:rFonts w:ascii="Sylfaen" w:eastAsia="Times New Roman" w:hAnsi="Sylfaen"/>
                <w:b/>
                <w:bCs/>
                <w:sz w:val="20"/>
                <w:szCs w:val="20"/>
              </w:rPr>
              <w:t>.</w:t>
            </w:r>
            <w:r w:rsidRPr="00D01AB2">
              <w:rPr>
                <w:rFonts w:ascii="Sylfaen" w:eastAsia="Sylfaen" w:hAnsi="Sylfaen" w:cs="Sylfaen"/>
                <w:b/>
                <w:bCs/>
                <w:sz w:val="20"/>
                <w:szCs w:val="20"/>
              </w:rPr>
              <w:t xml:space="preserve"> ფოსტა</w:t>
            </w:r>
            <w:r w:rsidR="002371E6" w:rsidRPr="00D01AB2">
              <w:rPr>
                <w:rFonts w:ascii="Sylfaen" w:eastAsia="Sylfaen" w:hAnsi="Sylfaen" w:cs="Sylfaen"/>
                <w:b/>
                <w:bCs/>
                <w:sz w:val="20"/>
                <w:szCs w:val="20"/>
              </w:rPr>
              <w:t xml:space="preserve">: </w:t>
            </w:r>
            <w:hyperlink r:id="rId10" w:history="1">
              <w:r w:rsidR="002371E6" w:rsidRPr="00D01AB2">
                <w:rPr>
                  <w:rStyle w:val="Hyperlink"/>
                  <w:rFonts w:ascii="Sylfaen" w:hAnsi="Sylfaen"/>
                  <w:sz w:val="20"/>
                  <w:szCs w:val="20"/>
                </w:rPr>
                <w:t>gnusp.ge@gmail.com</w:t>
              </w:r>
            </w:hyperlink>
          </w:p>
        </w:tc>
        <w:tc>
          <w:tcPr>
            <w:tcW w:w="5252" w:type="dxa"/>
            <w:gridSpan w:val="2"/>
            <w:vAlign w:val="bottom"/>
          </w:tcPr>
          <w:p w14:paraId="168DE133" w14:textId="77777777" w:rsidR="00927D71" w:rsidRDefault="00D01AB2" w:rsidP="00D01AB2">
            <w:pPr>
              <w:spacing w:line="231" w:lineRule="exact"/>
              <w:rPr>
                <w:sz w:val="20"/>
                <w:szCs w:val="20"/>
              </w:rPr>
            </w:pPr>
            <w:r>
              <w:rPr>
                <w:rFonts w:eastAsia="Times New Roman"/>
                <w:b/>
                <w:bCs/>
                <w:sz w:val="20"/>
                <w:szCs w:val="20"/>
              </w:rPr>
              <w:t xml:space="preserve">               </w:t>
            </w:r>
          </w:p>
        </w:tc>
      </w:tr>
      <w:tr w:rsidR="00927D71" w14:paraId="4CB79123" w14:textId="77777777" w:rsidTr="00173731">
        <w:trPr>
          <w:trHeight w:val="281"/>
        </w:trPr>
        <w:tc>
          <w:tcPr>
            <w:tcW w:w="5273" w:type="dxa"/>
            <w:vAlign w:val="bottom"/>
          </w:tcPr>
          <w:p w14:paraId="4CEC178A" w14:textId="77777777" w:rsidR="00927D71" w:rsidRDefault="008E5825">
            <w:pPr>
              <w:rPr>
                <w:sz w:val="20"/>
                <w:szCs w:val="20"/>
              </w:rPr>
            </w:pPr>
            <w:r w:rsidRPr="008E5825">
              <w:rPr>
                <w:rFonts w:ascii="Sylfaen" w:eastAsia="Sylfaen" w:hAnsi="Sylfaen" w:cs="Sylfaen"/>
                <w:b/>
                <w:bCs/>
                <w:sz w:val="20"/>
                <w:szCs w:val="20"/>
              </w:rPr>
              <w:t>https://www.facebook.com/Georgian-Network-of-Users-and-</w:t>
            </w:r>
            <w:r w:rsidR="00173731">
              <w:rPr>
                <w:rFonts w:ascii="Sylfaen" w:eastAsia="Sylfaen" w:hAnsi="Sylfaen" w:cs="Sylfaen"/>
                <w:b/>
                <w:bCs/>
                <w:sz w:val="20"/>
                <w:szCs w:val="20"/>
              </w:rPr>
              <w:t xml:space="preserve"> </w:t>
            </w:r>
            <w:r w:rsidRPr="008E5825">
              <w:rPr>
                <w:rFonts w:ascii="Sylfaen" w:eastAsia="Sylfaen" w:hAnsi="Sylfaen" w:cs="Sylfaen"/>
                <w:b/>
                <w:bCs/>
                <w:sz w:val="20"/>
                <w:szCs w:val="20"/>
              </w:rPr>
              <w:t>Survivors-of-Psychiatry-GNUSP-110601027283137</w:t>
            </w:r>
          </w:p>
        </w:tc>
        <w:tc>
          <w:tcPr>
            <w:tcW w:w="5252" w:type="dxa"/>
            <w:gridSpan w:val="2"/>
            <w:vAlign w:val="bottom"/>
          </w:tcPr>
          <w:p w14:paraId="184FE958" w14:textId="77777777" w:rsidR="00927D71" w:rsidRDefault="00927D71" w:rsidP="00173731">
            <w:pPr>
              <w:spacing w:line="231" w:lineRule="exact"/>
              <w:rPr>
                <w:rFonts w:ascii="Sylfaen" w:eastAsia="Sylfaen" w:hAnsi="Sylfaen" w:cs="Sylfaen"/>
                <w:b/>
                <w:bCs/>
                <w:color w:val="0000FF"/>
                <w:w w:val="99"/>
                <w:sz w:val="20"/>
                <w:szCs w:val="20"/>
                <w:u w:val="single"/>
              </w:rPr>
            </w:pPr>
          </w:p>
        </w:tc>
      </w:tr>
    </w:tbl>
    <w:p w14:paraId="3947C016" w14:textId="77777777" w:rsidR="00927D71" w:rsidRDefault="00927D71">
      <w:pPr>
        <w:spacing w:line="1" w:lineRule="exact"/>
        <w:rPr>
          <w:sz w:val="24"/>
          <w:szCs w:val="24"/>
        </w:rPr>
      </w:pPr>
    </w:p>
    <w:sectPr w:rsidR="00927D71">
      <w:type w:val="continuous"/>
      <w:pgSz w:w="11900" w:h="16838"/>
      <w:pgMar w:top="957" w:right="966" w:bottom="87" w:left="580" w:header="0" w:footer="0" w:gutter="0"/>
      <w:cols w:space="720" w:equalWidth="0">
        <w:col w:w="10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ADFA6" w14:textId="77777777" w:rsidR="00181A50" w:rsidRDefault="00181A50" w:rsidP="002371E6">
      <w:r>
        <w:separator/>
      </w:r>
    </w:p>
  </w:endnote>
  <w:endnote w:type="continuationSeparator" w:id="0">
    <w:p w14:paraId="4E4D0A32" w14:textId="77777777" w:rsidR="00181A50" w:rsidRDefault="00181A50" w:rsidP="0023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8059B" w14:textId="77777777" w:rsidR="00181A50" w:rsidRDefault="00181A50" w:rsidP="002371E6">
      <w:r>
        <w:separator/>
      </w:r>
    </w:p>
  </w:footnote>
  <w:footnote w:type="continuationSeparator" w:id="0">
    <w:p w14:paraId="33BF2251" w14:textId="77777777" w:rsidR="00181A50" w:rsidRDefault="00181A50" w:rsidP="00237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71"/>
    <w:rsid w:val="00007ABB"/>
    <w:rsid w:val="0002774D"/>
    <w:rsid w:val="00173731"/>
    <w:rsid w:val="00181A50"/>
    <w:rsid w:val="002371E6"/>
    <w:rsid w:val="00306EAD"/>
    <w:rsid w:val="003601F1"/>
    <w:rsid w:val="003A4163"/>
    <w:rsid w:val="00414005"/>
    <w:rsid w:val="00434A15"/>
    <w:rsid w:val="00536B6C"/>
    <w:rsid w:val="0056052E"/>
    <w:rsid w:val="00635126"/>
    <w:rsid w:val="008E5825"/>
    <w:rsid w:val="00927D71"/>
    <w:rsid w:val="00943005"/>
    <w:rsid w:val="00B124A7"/>
    <w:rsid w:val="00B12813"/>
    <w:rsid w:val="00D01AB2"/>
    <w:rsid w:val="00D26363"/>
    <w:rsid w:val="00D45C0D"/>
    <w:rsid w:val="00DD2E8D"/>
    <w:rsid w:val="00FD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0B82"/>
  <w15:docId w15:val="{A0635E83-6EA5-4B78-92EE-E1A2AF0C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37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37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7373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E6"/>
    <w:pPr>
      <w:tabs>
        <w:tab w:val="center" w:pos="4680"/>
        <w:tab w:val="right" w:pos="9360"/>
      </w:tabs>
    </w:pPr>
  </w:style>
  <w:style w:type="character" w:customStyle="1" w:styleId="HeaderChar">
    <w:name w:val="Header Char"/>
    <w:basedOn w:val="DefaultParagraphFont"/>
    <w:link w:val="Header"/>
    <w:uiPriority w:val="99"/>
    <w:rsid w:val="002371E6"/>
  </w:style>
  <w:style w:type="paragraph" w:styleId="Footer">
    <w:name w:val="footer"/>
    <w:basedOn w:val="Normal"/>
    <w:link w:val="FooterChar"/>
    <w:uiPriority w:val="99"/>
    <w:unhideWhenUsed/>
    <w:rsid w:val="002371E6"/>
    <w:pPr>
      <w:tabs>
        <w:tab w:val="center" w:pos="4680"/>
        <w:tab w:val="right" w:pos="9360"/>
      </w:tabs>
    </w:pPr>
  </w:style>
  <w:style w:type="character" w:customStyle="1" w:styleId="FooterChar">
    <w:name w:val="Footer Char"/>
    <w:basedOn w:val="DefaultParagraphFont"/>
    <w:link w:val="Footer"/>
    <w:uiPriority w:val="99"/>
    <w:rsid w:val="002371E6"/>
  </w:style>
  <w:style w:type="character" w:styleId="Hyperlink">
    <w:name w:val="Hyperlink"/>
    <w:basedOn w:val="DefaultParagraphFont"/>
    <w:uiPriority w:val="99"/>
    <w:unhideWhenUsed/>
    <w:rsid w:val="002371E6"/>
    <w:rPr>
      <w:color w:val="0563C1" w:themeColor="hyperlink"/>
      <w:u w:val="single"/>
    </w:rPr>
  </w:style>
  <w:style w:type="paragraph" w:styleId="NoSpacing">
    <w:name w:val="No Spacing"/>
    <w:uiPriority w:val="1"/>
    <w:qFormat/>
    <w:rsid w:val="00173731"/>
  </w:style>
  <w:style w:type="character" w:customStyle="1" w:styleId="Heading1Char">
    <w:name w:val="Heading 1 Char"/>
    <w:basedOn w:val="DefaultParagraphFont"/>
    <w:link w:val="Heading1"/>
    <w:uiPriority w:val="9"/>
    <w:rsid w:val="001737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737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737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sp.ge@gmail.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gnusp.ge@gmail.com" TargetMode="External"/><Relationship Id="rId4" Type="http://schemas.openxmlformats.org/officeDocument/2006/relationships/footnotes" Target="footnotes.xml"/><Relationship Id="rId9" Type="http://schemas.openxmlformats.org/officeDocument/2006/relationships/hyperlink" Target="mailto:gnusp.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VILLARREAL LOPEZ Carla</cp:lastModifiedBy>
  <cp:revision>2</cp:revision>
  <dcterms:created xsi:type="dcterms:W3CDTF">2022-07-05T12:39:00Z</dcterms:created>
  <dcterms:modified xsi:type="dcterms:W3CDTF">2022-07-05T12:39:00Z</dcterms:modified>
</cp:coreProperties>
</file>