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60799" w14:textId="0C7FAEEA" w:rsidR="00C9556D" w:rsidRPr="00C21939" w:rsidRDefault="00C9556D" w:rsidP="006906EE">
      <w:pPr>
        <w:spacing w:line="360" w:lineRule="auto"/>
        <w:ind w:left="2880" w:firstLine="720"/>
        <w:jc w:val="both"/>
        <w:rPr>
          <w:rFonts w:cstheme="minorHAnsi"/>
          <w:b/>
          <w:u w:val="single"/>
        </w:rPr>
      </w:pPr>
      <w:bookmarkStart w:id="0" w:name="_GoBack"/>
      <w:bookmarkEnd w:id="0"/>
      <w:r w:rsidRPr="00C21939">
        <w:rPr>
          <w:rFonts w:cstheme="minorHAnsi"/>
          <w:noProof/>
          <w:lang w:eastAsia="en-GB"/>
        </w:rPr>
        <w:drawing>
          <wp:inline distT="0" distB="0" distL="0" distR="0" wp14:anchorId="19660E7E" wp14:editId="7A30DF65">
            <wp:extent cx="1365250" cy="1365250"/>
            <wp:effectExtent l="0" t="0" r="6350" b="6350"/>
            <wp:docPr id="10" name="Picture 10" descr="F:\JUDE BOY BACKUP\Partitioned Drive\E-Portal\KNCHR Publications\Logo\KNCH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JUDE BOY BACKUP\Partitioned Drive\E-Portal\KNCHR Publications\Logo\KNCHR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0" cy="1365250"/>
                    </a:xfrm>
                    <a:prstGeom prst="rect">
                      <a:avLst/>
                    </a:prstGeom>
                    <a:noFill/>
                    <a:ln>
                      <a:noFill/>
                    </a:ln>
                  </pic:spPr>
                </pic:pic>
              </a:graphicData>
            </a:graphic>
          </wp:inline>
        </w:drawing>
      </w:r>
    </w:p>
    <w:p w14:paraId="0E810F5D" w14:textId="75B2263A" w:rsidR="00C9556D" w:rsidRPr="00A514CA" w:rsidRDefault="00C9556D" w:rsidP="00C9556D">
      <w:pPr>
        <w:spacing w:line="360" w:lineRule="auto"/>
        <w:jc w:val="center"/>
        <w:rPr>
          <w:rFonts w:cstheme="minorHAnsi"/>
          <w:b/>
          <w:sz w:val="24"/>
        </w:rPr>
      </w:pPr>
      <w:r w:rsidRPr="00A514CA">
        <w:rPr>
          <w:rFonts w:cstheme="minorHAnsi"/>
          <w:b/>
          <w:sz w:val="24"/>
        </w:rPr>
        <w:t>KENYA NATIONAL COMMISSION ON HUMAN RIGHTS</w:t>
      </w:r>
    </w:p>
    <w:p w14:paraId="4E7185DE" w14:textId="0B7E1DD5" w:rsidR="008301B6" w:rsidRDefault="008301B6" w:rsidP="00C9556D">
      <w:pPr>
        <w:spacing w:line="360" w:lineRule="auto"/>
        <w:jc w:val="center"/>
        <w:rPr>
          <w:rFonts w:cstheme="minorHAnsi"/>
          <w:b/>
          <w:sz w:val="24"/>
          <w:u w:val="single"/>
        </w:rPr>
      </w:pPr>
    </w:p>
    <w:p w14:paraId="004B2A8E" w14:textId="77777777" w:rsidR="00A514CA" w:rsidRPr="00C21939" w:rsidRDefault="00A514CA" w:rsidP="00C9556D">
      <w:pPr>
        <w:spacing w:line="360" w:lineRule="auto"/>
        <w:jc w:val="center"/>
        <w:rPr>
          <w:rFonts w:cstheme="minorHAnsi"/>
          <w:b/>
          <w:sz w:val="24"/>
          <w:u w:val="single"/>
        </w:rPr>
      </w:pPr>
    </w:p>
    <w:p w14:paraId="4910BF25" w14:textId="18D6FDF2" w:rsidR="0002370D" w:rsidRPr="00C21939" w:rsidRDefault="0002370D" w:rsidP="008301B6">
      <w:pPr>
        <w:spacing w:line="360" w:lineRule="auto"/>
        <w:jc w:val="center"/>
        <w:rPr>
          <w:rFonts w:cstheme="minorHAnsi"/>
          <w:b/>
          <w:sz w:val="24"/>
          <w:u w:val="single"/>
        </w:rPr>
      </w:pPr>
      <w:r w:rsidRPr="00C21939">
        <w:rPr>
          <w:rFonts w:cstheme="minorHAnsi"/>
          <w:b/>
          <w:sz w:val="24"/>
          <w:u w:val="single"/>
        </w:rPr>
        <w:t>GENERAL COMMENTS ON THE DRAFT GUIDELINES</w:t>
      </w:r>
      <w:r w:rsidR="00E92AE2" w:rsidRPr="00C21939">
        <w:rPr>
          <w:rFonts w:cstheme="minorHAnsi"/>
          <w:b/>
          <w:sz w:val="24"/>
          <w:u w:val="single"/>
        </w:rPr>
        <w:t xml:space="preserve"> ON DEINSTITUTIONALIZATION</w:t>
      </w:r>
      <w:r w:rsidR="006512DA" w:rsidRPr="00C21939">
        <w:rPr>
          <w:rFonts w:cstheme="minorHAnsi"/>
          <w:b/>
          <w:sz w:val="24"/>
          <w:u w:val="single"/>
        </w:rPr>
        <w:t xml:space="preserve"> OF PERSONS WITH DISABILITIES</w:t>
      </w:r>
      <w:r w:rsidR="00E92AE2" w:rsidRPr="00C21939">
        <w:rPr>
          <w:rFonts w:cstheme="minorHAnsi"/>
          <w:b/>
          <w:sz w:val="24"/>
          <w:u w:val="single"/>
        </w:rPr>
        <w:t>, INCLUDING IN EMERGENCIES</w:t>
      </w:r>
    </w:p>
    <w:p w14:paraId="3B8E7956" w14:textId="77777777" w:rsidR="008301B6" w:rsidRPr="00C21939" w:rsidRDefault="008301B6" w:rsidP="00842728">
      <w:pPr>
        <w:spacing w:before="191" w:line="705" w:lineRule="auto"/>
        <w:ind w:left="2946" w:right="2947"/>
        <w:jc w:val="center"/>
        <w:rPr>
          <w:rFonts w:cstheme="minorHAnsi"/>
          <w:b/>
          <w:sz w:val="24"/>
          <w:szCs w:val="24"/>
          <w:u w:val="single"/>
        </w:rPr>
      </w:pPr>
    </w:p>
    <w:p w14:paraId="6F004B56" w14:textId="63D1BB98" w:rsidR="00842728" w:rsidRPr="00C21939" w:rsidRDefault="00842728" w:rsidP="00DB7546">
      <w:pPr>
        <w:spacing w:after="0" w:line="705" w:lineRule="auto"/>
        <w:ind w:left="2946" w:right="2947"/>
        <w:jc w:val="center"/>
        <w:rPr>
          <w:rFonts w:cstheme="minorHAnsi"/>
          <w:b/>
          <w:sz w:val="24"/>
          <w:szCs w:val="24"/>
        </w:rPr>
      </w:pPr>
      <w:r w:rsidRPr="00C21939">
        <w:rPr>
          <w:rFonts w:cstheme="minorHAnsi"/>
          <w:b/>
          <w:sz w:val="24"/>
          <w:szCs w:val="24"/>
        </w:rPr>
        <w:t>PRESENTED TO</w:t>
      </w:r>
    </w:p>
    <w:p w14:paraId="0016B0E1" w14:textId="3FEA5F6A" w:rsidR="008301B6" w:rsidRPr="00C21939" w:rsidRDefault="008301B6" w:rsidP="00DB7546">
      <w:pPr>
        <w:spacing w:after="0" w:line="705" w:lineRule="auto"/>
        <w:ind w:left="2946" w:right="2947"/>
        <w:jc w:val="center"/>
        <w:rPr>
          <w:rFonts w:cstheme="minorHAnsi"/>
          <w:b/>
          <w:sz w:val="24"/>
          <w:szCs w:val="24"/>
        </w:rPr>
      </w:pPr>
      <w:r w:rsidRPr="00C21939">
        <w:rPr>
          <w:rFonts w:cstheme="minorHAnsi"/>
          <w:b/>
          <w:sz w:val="24"/>
          <w:szCs w:val="24"/>
        </w:rPr>
        <w:t xml:space="preserve">THE </w:t>
      </w:r>
    </w:p>
    <w:p w14:paraId="1BAC6560" w14:textId="01BEF09F" w:rsidR="00842728" w:rsidRPr="00C21939" w:rsidRDefault="008301B6" w:rsidP="00DB7546">
      <w:pPr>
        <w:pStyle w:val="BodyText"/>
        <w:jc w:val="center"/>
        <w:rPr>
          <w:rFonts w:asciiTheme="minorHAnsi" w:hAnsiTheme="minorHAnsi" w:cstheme="minorHAnsi"/>
          <w:b/>
        </w:rPr>
      </w:pPr>
      <w:r w:rsidRPr="00C21939">
        <w:rPr>
          <w:rFonts w:asciiTheme="minorHAnsi" w:eastAsiaTheme="minorHAnsi" w:hAnsiTheme="minorHAnsi" w:cstheme="minorHAnsi"/>
          <w:b/>
          <w:bCs/>
          <w:lang w:val="en-GB"/>
        </w:rPr>
        <w:t>COMMITTEE ON THE RIGHTS OF PERSONS WITH DISABILITIES</w:t>
      </w:r>
    </w:p>
    <w:p w14:paraId="3FB9D0F1" w14:textId="77777777" w:rsidR="00842728" w:rsidRPr="00C21939" w:rsidRDefault="00842728" w:rsidP="00842728">
      <w:pPr>
        <w:pStyle w:val="BodyText"/>
        <w:rPr>
          <w:rFonts w:asciiTheme="minorHAnsi" w:hAnsiTheme="minorHAnsi" w:cstheme="minorHAnsi"/>
          <w:b/>
        </w:rPr>
      </w:pPr>
    </w:p>
    <w:p w14:paraId="569188D0" w14:textId="77777777" w:rsidR="00842728" w:rsidRPr="00C21939" w:rsidRDefault="00842728" w:rsidP="00842728">
      <w:pPr>
        <w:pStyle w:val="BodyText"/>
        <w:rPr>
          <w:rFonts w:asciiTheme="minorHAnsi" w:hAnsiTheme="minorHAnsi" w:cstheme="minorHAnsi"/>
          <w:b/>
        </w:rPr>
      </w:pPr>
    </w:p>
    <w:p w14:paraId="283A768B" w14:textId="77777777" w:rsidR="00842728" w:rsidRPr="00C21939" w:rsidRDefault="00842728" w:rsidP="00842728">
      <w:pPr>
        <w:pStyle w:val="BodyText"/>
        <w:spacing w:before="6"/>
        <w:rPr>
          <w:rFonts w:asciiTheme="minorHAnsi" w:hAnsiTheme="minorHAnsi" w:cstheme="minorHAnsi"/>
          <w:b/>
        </w:rPr>
      </w:pPr>
    </w:p>
    <w:p w14:paraId="65E28A4F" w14:textId="3332406B" w:rsidR="00842728" w:rsidRPr="00C21939" w:rsidRDefault="00DB7546" w:rsidP="00724C6D">
      <w:pPr>
        <w:pStyle w:val="Heading2"/>
        <w:ind w:left="7200"/>
        <w:rPr>
          <w:rFonts w:cstheme="minorHAnsi"/>
          <w:sz w:val="24"/>
          <w:szCs w:val="24"/>
        </w:rPr>
      </w:pPr>
      <w:r w:rsidRPr="00C21939">
        <w:rPr>
          <w:rFonts w:cstheme="minorHAnsi"/>
          <w:sz w:val="24"/>
          <w:szCs w:val="24"/>
        </w:rPr>
        <w:t xml:space="preserve">           </w:t>
      </w:r>
      <w:r w:rsidR="008301B6" w:rsidRPr="00C21939">
        <w:rPr>
          <w:rFonts w:cstheme="minorHAnsi"/>
          <w:sz w:val="24"/>
          <w:szCs w:val="24"/>
        </w:rPr>
        <w:t>30</w:t>
      </w:r>
      <w:r w:rsidR="00842728" w:rsidRPr="00C21939">
        <w:rPr>
          <w:rFonts w:cstheme="minorHAnsi"/>
          <w:sz w:val="24"/>
          <w:szCs w:val="24"/>
          <w:vertAlign w:val="superscript"/>
        </w:rPr>
        <w:t>TH</w:t>
      </w:r>
      <w:r w:rsidR="00842728" w:rsidRPr="00C21939">
        <w:rPr>
          <w:rFonts w:cstheme="minorHAnsi"/>
          <w:sz w:val="24"/>
          <w:szCs w:val="24"/>
        </w:rPr>
        <w:t xml:space="preserve"> JUNE 2022</w:t>
      </w:r>
    </w:p>
    <w:p w14:paraId="54A60728" w14:textId="341C51F7" w:rsidR="00690993" w:rsidRPr="00C21939" w:rsidRDefault="00690993" w:rsidP="008301B6">
      <w:pPr>
        <w:pStyle w:val="BodyText"/>
        <w:spacing w:before="183" w:line="259" w:lineRule="auto"/>
        <w:ind w:right="5019"/>
        <w:rPr>
          <w:rFonts w:asciiTheme="minorHAnsi" w:hAnsiTheme="minorHAnsi" w:cstheme="minorHAnsi"/>
          <w:sz w:val="22"/>
        </w:rPr>
      </w:pPr>
    </w:p>
    <w:p w14:paraId="3D814FF7" w14:textId="47C24F0D" w:rsidR="004763FD" w:rsidRPr="00C21939" w:rsidRDefault="004763FD" w:rsidP="008301B6">
      <w:pPr>
        <w:pStyle w:val="BodyText"/>
        <w:spacing w:before="183" w:line="259" w:lineRule="auto"/>
        <w:ind w:right="5019"/>
        <w:rPr>
          <w:rFonts w:asciiTheme="minorHAnsi" w:hAnsiTheme="minorHAnsi" w:cstheme="minorHAnsi"/>
          <w:sz w:val="22"/>
        </w:rPr>
      </w:pPr>
    </w:p>
    <w:p w14:paraId="3EE0F468" w14:textId="52569C52" w:rsidR="00842728" w:rsidRPr="00C21939" w:rsidRDefault="00842728" w:rsidP="008301B6">
      <w:pPr>
        <w:pStyle w:val="BodyText"/>
        <w:spacing w:before="183" w:line="259" w:lineRule="auto"/>
        <w:ind w:right="5019"/>
        <w:rPr>
          <w:rFonts w:asciiTheme="minorHAnsi" w:hAnsiTheme="minorHAnsi" w:cstheme="minorHAnsi"/>
          <w:sz w:val="22"/>
        </w:rPr>
      </w:pPr>
      <w:r w:rsidRPr="00C21939">
        <w:rPr>
          <w:rFonts w:asciiTheme="minorHAnsi" w:hAnsiTheme="minorHAnsi" w:cstheme="minorHAnsi"/>
          <w:sz w:val="22"/>
        </w:rPr>
        <w:t>Kenya National Commission on Human Rights</w:t>
      </w:r>
      <w:r w:rsidRPr="00C21939">
        <w:rPr>
          <w:rFonts w:asciiTheme="minorHAnsi" w:hAnsiTheme="minorHAnsi" w:cstheme="minorHAnsi"/>
          <w:spacing w:val="-53"/>
          <w:sz w:val="22"/>
        </w:rPr>
        <w:t xml:space="preserve"> </w:t>
      </w:r>
      <w:r w:rsidRPr="00C21939">
        <w:rPr>
          <w:rFonts w:asciiTheme="minorHAnsi" w:hAnsiTheme="minorHAnsi" w:cstheme="minorHAnsi"/>
          <w:sz w:val="22"/>
        </w:rPr>
        <w:t>1st</w:t>
      </w:r>
      <w:r w:rsidRPr="00C21939">
        <w:rPr>
          <w:rFonts w:asciiTheme="minorHAnsi" w:hAnsiTheme="minorHAnsi" w:cstheme="minorHAnsi"/>
          <w:spacing w:val="-1"/>
          <w:sz w:val="22"/>
        </w:rPr>
        <w:t xml:space="preserve"> </w:t>
      </w:r>
      <w:r w:rsidRPr="00C21939">
        <w:rPr>
          <w:rFonts w:asciiTheme="minorHAnsi" w:hAnsiTheme="minorHAnsi" w:cstheme="minorHAnsi"/>
          <w:sz w:val="22"/>
        </w:rPr>
        <w:t>Floor, CVS Plaza,</w:t>
      </w:r>
      <w:r w:rsidRPr="00C21939">
        <w:rPr>
          <w:rFonts w:asciiTheme="minorHAnsi" w:hAnsiTheme="minorHAnsi" w:cstheme="minorHAnsi"/>
          <w:spacing w:val="-1"/>
          <w:sz w:val="22"/>
        </w:rPr>
        <w:t xml:space="preserve"> </w:t>
      </w:r>
      <w:r w:rsidRPr="00C21939">
        <w:rPr>
          <w:rFonts w:asciiTheme="minorHAnsi" w:hAnsiTheme="minorHAnsi" w:cstheme="minorHAnsi"/>
          <w:sz w:val="22"/>
        </w:rPr>
        <w:t>Lenana Road</w:t>
      </w:r>
    </w:p>
    <w:p w14:paraId="570D0F59" w14:textId="77777777" w:rsidR="00842728" w:rsidRPr="00C21939" w:rsidRDefault="00842728" w:rsidP="008301B6">
      <w:pPr>
        <w:pStyle w:val="BodyText"/>
        <w:spacing w:line="270" w:lineRule="exact"/>
        <w:rPr>
          <w:rFonts w:asciiTheme="minorHAnsi" w:hAnsiTheme="minorHAnsi" w:cstheme="minorHAnsi"/>
          <w:sz w:val="22"/>
        </w:rPr>
      </w:pPr>
      <w:r w:rsidRPr="00C21939">
        <w:rPr>
          <w:rFonts w:asciiTheme="minorHAnsi" w:hAnsiTheme="minorHAnsi" w:cstheme="minorHAnsi"/>
          <w:sz w:val="22"/>
        </w:rPr>
        <w:t>P.O.</w:t>
      </w:r>
      <w:r w:rsidRPr="00C21939">
        <w:rPr>
          <w:rFonts w:asciiTheme="minorHAnsi" w:hAnsiTheme="minorHAnsi" w:cstheme="minorHAnsi"/>
          <w:spacing w:val="-2"/>
          <w:sz w:val="22"/>
        </w:rPr>
        <w:t xml:space="preserve"> </w:t>
      </w:r>
      <w:r w:rsidRPr="00C21939">
        <w:rPr>
          <w:rFonts w:asciiTheme="minorHAnsi" w:hAnsiTheme="minorHAnsi" w:cstheme="minorHAnsi"/>
          <w:sz w:val="22"/>
        </w:rPr>
        <w:t>Box</w:t>
      </w:r>
      <w:r w:rsidRPr="00C21939">
        <w:rPr>
          <w:rFonts w:asciiTheme="minorHAnsi" w:hAnsiTheme="minorHAnsi" w:cstheme="minorHAnsi"/>
          <w:spacing w:val="-2"/>
          <w:sz w:val="22"/>
        </w:rPr>
        <w:t xml:space="preserve"> </w:t>
      </w:r>
      <w:r w:rsidRPr="00C21939">
        <w:rPr>
          <w:rFonts w:asciiTheme="minorHAnsi" w:hAnsiTheme="minorHAnsi" w:cstheme="minorHAnsi"/>
          <w:sz w:val="22"/>
        </w:rPr>
        <w:t>74359-00200</w:t>
      </w:r>
    </w:p>
    <w:p w14:paraId="2B12B3CF" w14:textId="77777777" w:rsidR="00842728" w:rsidRPr="00C21939" w:rsidRDefault="00842728" w:rsidP="008301B6">
      <w:pPr>
        <w:pStyle w:val="BodyText"/>
        <w:rPr>
          <w:rFonts w:asciiTheme="minorHAnsi" w:hAnsiTheme="minorHAnsi" w:cstheme="minorHAnsi"/>
          <w:sz w:val="22"/>
        </w:rPr>
      </w:pPr>
      <w:r w:rsidRPr="00C21939">
        <w:rPr>
          <w:rFonts w:asciiTheme="minorHAnsi" w:hAnsiTheme="minorHAnsi" w:cstheme="minorHAnsi"/>
          <w:sz w:val="22"/>
        </w:rPr>
        <w:t>NAIROBI,</w:t>
      </w:r>
      <w:r w:rsidRPr="00C21939">
        <w:rPr>
          <w:rFonts w:asciiTheme="minorHAnsi" w:hAnsiTheme="minorHAnsi" w:cstheme="minorHAnsi"/>
          <w:spacing w:val="-2"/>
          <w:sz w:val="22"/>
        </w:rPr>
        <w:t xml:space="preserve"> </w:t>
      </w:r>
      <w:r w:rsidRPr="00C21939">
        <w:rPr>
          <w:rFonts w:asciiTheme="minorHAnsi" w:hAnsiTheme="minorHAnsi" w:cstheme="minorHAnsi"/>
          <w:sz w:val="22"/>
        </w:rPr>
        <w:t>KENYA</w:t>
      </w:r>
    </w:p>
    <w:p w14:paraId="0788C3F3" w14:textId="77777777" w:rsidR="00842728" w:rsidRPr="00C21939" w:rsidRDefault="00842728" w:rsidP="008301B6">
      <w:pPr>
        <w:pStyle w:val="BodyText"/>
        <w:rPr>
          <w:rFonts w:asciiTheme="minorHAnsi" w:hAnsiTheme="minorHAnsi" w:cstheme="minorHAnsi"/>
          <w:sz w:val="22"/>
        </w:rPr>
      </w:pPr>
      <w:r w:rsidRPr="00C21939">
        <w:rPr>
          <w:rFonts w:asciiTheme="minorHAnsi" w:hAnsiTheme="minorHAnsi" w:cstheme="minorHAnsi"/>
          <w:sz w:val="22"/>
        </w:rPr>
        <w:t>Tel:</w:t>
      </w:r>
      <w:r w:rsidRPr="00C21939">
        <w:rPr>
          <w:rFonts w:asciiTheme="minorHAnsi" w:hAnsiTheme="minorHAnsi" w:cstheme="minorHAnsi"/>
          <w:spacing w:val="44"/>
          <w:sz w:val="22"/>
        </w:rPr>
        <w:t xml:space="preserve"> </w:t>
      </w:r>
      <w:r w:rsidRPr="00C21939">
        <w:rPr>
          <w:rFonts w:asciiTheme="minorHAnsi" w:hAnsiTheme="minorHAnsi" w:cstheme="minorHAnsi"/>
          <w:sz w:val="22"/>
        </w:rPr>
        <w:t>254-20-2717908</w:t>
      </w:r>
      <w:r w:rsidRPr="00C21939">
        <w:rPr>
          <w:rFonts w:asciiTheme="minorHAnsi" w:hAnsiTheme="minorHAnsi" w:cstheme="minorHAnsi"/>
          <w:spacing w:val="-6"/>
          <w:sz w:val="22"/>
        </w:rPr>
        <w:t xml:space="preserve"> </w:t>
      </w:r>
      <w:r w:rsidRPr="00C21939">
        <w:rPr>
          <w:rFonts w:asciiTheme="minorHAnsi" w:hAnsiTheme="minorHAnsi" w:cstheme="minorHAnsi"/>
          <w:sz w:val="22"/>
        </w:rPr>
        <w:t>/2717256/2712664</w:t>
      </w:r>
    </w:p>
    <w:p w14:paraId="24D1FA26" w14:textId="77777777" w:rsidR="00842728" w:rsidRPr="00C21939" w:rsidRDefault="00842728" w:rsidP="008301B6">
      <w:pPr>
        <w:pStyle w:val="BodyText"/>
        <w:rPr>
          <w:rFonts w:asciiTheme="minorHAnsi" w:hAnsiTheme="minorHAnsi" w:cstheme="minorHAnsi"/>
          <w:sz w:val="22"/>
        </w:rPr>
      </w:pPr>
      <w:r w:rsidRPr="00C21939">
        <w:rPr>
          <w:rFonts w:asciiTheme="minorHAnsi" w:hAnsiTheme="minorHAnsi" w:cstheme="minorHAnsi"/>
          <w:sz w:val="22"/>
        </w:rPr>
        <w:t>Fax:</w:t>
      </w:r>
      <w:r w:rsidRPr="00C21939">
        <w:rPr>
          <w:rFonts w:asciiTheme="minorHAnsi" w:hAnsiTheme="minorHAnsi" w:cstheme="minorHAnsi"/>
          <w:spacing w:val="-1"/>
          <w:sz w:val="22"/>
        </w:rPr>
        <w:t xml:space="preserve"> </w:t>
      </w:r>
      <w:r w:rsidRPr="00C21939">
        <w:rPr>
          <w:rFonts w:asciiTheme="minorHAnsi" w:hAnsiTheme="minorHAnsi" w:cstheme="minorHAnsi"/>
          <w:sz w:val="22"/>
        </w:rPr>
        <w:t>254-20-2716160</w:t>
      </w:r>
    </w:p>
    <w:p w14:paraId="4CB6A3A4" w14:textId="77777777" w:rsidR="008301B6" w:rsidRPr="00C21939" w:rsidRDefault="00842728" w:rsidP="008301B6">
      <w:pPr>
        <w:pStyle w:val="BodyText"/>
        <w:rPr>
          <w:rFonts w:asciiTheme="minorHAnsi" w:hAnsiTheme="minorHAnsi" w:cstheme="minorHAnsi"/>
          <w:color w:val="0563C1"/>
          <w:spacing w:val="-52"/>
          <w:sz w:val="22"/>
        </w:rPr>
      </w:pPr>
      <w:r w:rsidRPr="00C21939">
        <w:rPr>
          <w:rFonts w:asciiTheme="minorHAnsi" w:hAnsiTheme="minorHAnsi" w:cstheme="minorHAnsi"/>
          <w:sz w:val="22"/>
        </w:rPr>
        <w:t>Website:</w:t>
      </w:r>
      <w:r w:rsidR="008301B6" w:rsidRPr="00C21939">
        <w:rPr>
          <w:rFonts w:asciiTheme="minorHAnsi" w:hAnsiTheme="minorHAnsi" w:cstheme="minorHAnsi"/>
          <w:sz w:val="22"/>
        </w:rPr>
        <w:t xml:space="preserve"> </w:t>
      </w:r>
      <w:hyperlink r:id="rId9" w:history="1">
        <w:r w:rsidRPr="00C21939">
          <w:rPr>
            <w:rStyle w:val="Hyperlink"/>
            <w:rFonts w:asciiTheme="minorHAnsi" w:hAnsiTheme="minorHAnsi" w:cstheme="minorHAnsi"/>
            <w:sz w:val="22"/>
            <w:u w:color="0563C1"/>
          </w:rPr>
          <w:t>www.knchr.org</w:t>
        </w:r>
      </w:hyperlink>
      <w:r w:rsidRPr="00C21939">
        <w:rPr>
          <w:rFonts w:asciiTheme="minorHAnsi" w:hAnsiTheme="minorHAnsi" w:cstheme="minorHAnsi"/>
          <w:color w:val="0563C1"/>
          <w:spacing w:val="-52"/>
          <w:sz w:val="22"/>
        </w:rPr>
        <w:t xml:space="preserve">  </w:t>
      </w:r>
    </w:p>
    <w:p w14:paraId="252CFD8A" w14:textId="6D6EBF88" w:rsidR="00842728" w:rsidRPr="00C21939" w:rsidRDefault="008301B6" w:rsidP="008301B6">
      <w:pPr>
        <w:pStyle w:val="BodyText"/>
        <w:rPr>
          <w:rFonts w:asciiTheme="minorHAnsi" w:hAnsiTheme="minorHAnsi" w:cstheme="minorHAnsi"/>
          <w:sz w:val="22"/>
        </w:rPr>
      </w:pPr>
      <w:r w:rsidRPr="00C21939">
        <w:rPr>
          <w:rFonts w:asciiTheme="minorHAnsi" w:hAnsiTheme="minorHAnsi" w:cstheme="minorHAnsi"/>
          <w:sz w:val="22"/>
        </w:rPr>
        <w:t xml:space="preserve">Email: </w:t>
      </w:r>
      <w:r w:rsidR="00842728" w:rsidRPr="00C21939">
        <w:rPr>
          <w:rFonts w:asciiTheme="minorHAnsi" w:hAnsiTheme="minorHAnsi" w:cstheme="minorHAnsi"/>
          <w:color w:val="0563C1"/>
          <w:sz w:val="22"/>
          <w:u w:val="single" w:color="0563C1"/>
        </w:rPr>
        <w:t>haki@knchr.org</w:t>
      </w:r>
    </w:p>
    <w:p w14:paraId="015AC986" w14:textId="2B76D036" w:rsidR="00842728" w:rsidRPr="00C21939" w:rsidRDefault="00DB7546" w:rsidP="00842728">
      <w:pPr>
        <w:pStyle w:val="ListParagraph"/>
        <w:numPr>
          <w:ilvl w:val="0"/>
          <w:numId w:val="17"/>
        </w:numPr>
        <w:spacing w:line="360" w:lineRule="auto"/>
        <w:jc w:val="both"/>
        <w:rPr>
          <w:rFonts w:cstheme="minorHAnsi"/>
          <w:b/>
          <w:bCs/>
          <w:sz w:val="24"/>
          <w:szCs w:val="24"/>
          <w:lang w:val="en-US"/>
        </w:rPr>
      </w:pPr>
      <w:r w:rsidRPr="00C21939">
        <w:rPr>
          <w:rFonts w:cstheme="minorHAnsi"/>
          <w:b/>
          <w:bCs/>
          <w:sz w:val="24"/>
          <w:szCs w:val="24"/>
          <w:lang w:val="en-US"/>
        </w:rPr>
        <w:lastRenderedPageBreak/>
        <w:t xml:space="preserve"> </w:t>
      </w:r>
      <w:r w:rsidR="00842728" w:rsidRPr="00C21939">
        <w:rPr>
          <w:rFonts w:cstheme="minorHAnsi"/>
          <w:b/>
          <w:bCs/>
          <w:sz w:val="24"/>
          <w:szCs w:val="24"/>
          <w:lang w:val="en-US"/>
        </w:rPr>
        <w:t>INTRODUCTION</w:t>
      </w:r>
    </w:p>
    <w:p w14:paraId="12F1CFB5" w14:textId="77777777" w:rsidR="00842728" w:rsidRPr="00C21939" w:rsidRDefault="00842728" w:rsidP="006906EE">
      <w:pPr>
        <w:numPr>
          <w:ilvl w:val="1"/>
          <w:numId w:val="17"/>
        </w:numPr>
        <w:spacing w:line="276" w:lineRule="auto"/>
        <w:rPr>
          <w:rFonts w:cstheme="minorHAnsi"/>
          <w:sz w:val="24"/>
          <w:szCs w:val="24"/>
          <w:lang w:val="en-US"/>
        </w:rPr>
      </w:pPr>
      <w:r w:rsidRPr="00C21939">
        <w:rPr>
          <w:rFonts w:cstheme="minorHAnsi"/>
          <w:sz w:val="24"/>
          <w:szCs w:val="24"/>
          <w:lang w:val="en-US"/>
        </w:rPr>
        <w:t>The Kenya National Commission on Human Rights (“KNCHR” or “National Commission”) is an independent National Human Rights Institution established under Article 59 of the Constitution with a broad mandate to promote a culture of respect for human rights in the Republic of Kenya. The operations of the National Human Rights Commission are guided by the United Nations Paris Principles on the establishment and functioning of Independent National Human Rights Institutions commonly referred to as the Paris Principles and is accredited as an ‘A’ status institution for its compliance with the Paris Principles by the Global Alliance of National Human Rights Institutions (GANHRI). The Commission also enjoys Affiliate Status before the African Commission on Human and Peoples’ Rights.</w:t>
      </w:r>
    </w:p>
    <w:p w14:paraId="3A6753B6" w14:textId="428FE74F" w:rsidR="008301B6" w:rsidRPr="00C21939" w:rsidRDefault="00724C6D" w:rsidP="006906EE">
      <w:pPr>
        <w:numPr>
          <w:ilvl w:val="1"/>
          <w:numId w:val="17"/>
        </w:numPr>
        <w:spacing w:line="276" w:lineRule="auto"/>
        <w:rPr>
          <w:rFonts w:cstheme="minorHAnsi"/>
          <w:sz w:val="24"/>
          <w:szCs w:val="24"/>
        </w:rPr>
      </w:pPr>
      <w:r w:rsidRPr="00C21939">
        <w:rPr>
          <w:rFonts w:cstheme="minorHAnsi"/>
          <w:sz w:val="24"/>
          <w:szCs w:val="24"/>
          <w:lang w:val="en-US"/>
        </w:rPr>
        <w:t xml:space="preserve">The Commission submits these comments </w:t>
      </w:r>
      <w:r w:rsidR="00842728" w:rsidRPr="00C21939">
        <w:rPr>
          <w:rFonts w:cstheme="minorHAnsi"/>
          <w:sz w:val="24"/>
          <w:szCs w:val="24"/>
          <w:lang w:val="en-US"/>
        </w:rPr>
        <w:t>pursuant to its constitutional mandate and special mandate to monitor implementation of the UN Convention on the Rights of Persons with Disabilities (Article 33(2) of the C</w:t>
      </w:r>
      <w:r w:rsidR="001B475A" w:rsidRPr="00C21939">
        <w:rPr>
          <w:rFonts w:cstheme="minorHAnsi"/>
          <w:sz w:val="24"/>
          <w:szCs w:val="24"/>
          <w:lang w:val="en-US"/>
        </w:rPr>
        <w:t>onvention.</w:t>
      </w:r>
    </w:p>
    <w:p w14:paraId="224DBBEE" w14:textId="77777777" w:rsidR="00BB1CF2" w:rsidRPr="00C21939" w:rsidRDefault="00BB1CF2" w:rsidP="006906EE">
      <w:pPr>
        <w:spacing w:line="276" w:lineRule="auto"/>
        <w:ind w:left="839"/>
        <w:rPr>
          <w:rFonts w:cstheme="minorHAnsi"/>
          <w:sz w:val="24"/>
          <w:szCs w:val="24"/>
        </w:rPr>
      </w:pPr>
    </w:p>
    <w:p w14:paraId="5DD44956" w14:textId="6D4A25B7" w:rsidR="00842728" w:rsidRDefault="00BB1CF2" w:rsidP="00A514CA">
      <w:pPr>
        <w:pStyle w:val="ListParagraph"/>
        <w:numPr>
          <w:ilvl w:val="0"/>
          <w:numId w:val="17"/>
        </w:numPr>
        <w:spacing w:after="0" w:line="276" w:lineRule="auto"/>
        <w:ind w:left="374" w:hanging="259"/>
        <w:jc w:val="both"/>
        <w:rPr>
          <w:rFonts w:cstheme="minorHAnsi"/>
          <w:b/>
          <w:u w:val="single"/>
        </w:rPr>
      </w:pPr>
      <w:r w:rsidRPr="00C21939">
        <w:rPr>
          <w:rFonts w:cstheme="minorHAnsi"/>
          <w:b/>
          <w:u w:val="single"/>
        </w:rPr>
        <w:t xml:space="preserve"> </w:t>
      </w:r>
      <w:r w:rsidR="00842728" w:rsidRPr="00C21939">
        <w:rPr>
          <w:rFonts w:cstheme="minorHAnsi"/>
          <w:b/>
          <w:u w:val="single"/>
        </w:rPr>
        <w:t>GENERAL COMMENTS ON THE DRAFT GUIDELINES ON DEINSTITUTIONALIZATION OF PERSONS WITH DISABILITIES, INCLUDING IN EMERGENCIES</w:t>
      </w:r>
    </w:p>
    <w:p w14:paraId="5095CCC0" w14:textId="77777777" w:rsidR="00A514CA" w:rsidRPr="00C21939" w:rsidRDefault="00A514CA" w:rsidP="00A514CA">
      <w:pPr>
        <w:pStyle w:val="ListParagraph"/>
        <w:spacing w:after="0" w:line="276" w:lineRule="auto"/>
        <w:ind w:left="374"/>
        <w:jc w:val="right"/>
        <w:rPr>
          <w:rFonts w:cstheme="minorHAnsi"/>
          <w:b/>
          <w:u w:val="single"/>
        </w:rPr>
      </w:pPr>
    </w:p>
    <w:p w14:paraId="2281C74F" w14:textId="77777777" w:rsidR="00057A8A" w:rsidRPr="00C21939" w:rsidRDefault="00057A8A" w:rsidP="006906EE">
      <w:pPr>
        <w:spacing w:line="276" w:lineRule="auto"/>
        <w:jc w:val="both"/>
        <w:rPr>
          <w:rFonts w:cstheme="minorHAnsi"/>
          <w:b/>
          <w:sz w:val="24"/>
          <w:szCs w:val="24"/>
        </w:rPr>
      </w:pPr>
      <w:r w:rsidRPr="00C21939">
        <w:rPr>
          <w:rFonts w:cstheme="minorHAnsi"/>
          <w:b/>
          <w:sz w:val="24"/>
          <w:szCs w:val="24"/>
        </w:rPr>
        <w:t xml:space="preserve">Purpose and Process of these Guidelines </w:t>
      </w:r>
    </w:p>
    <w:p w14:paraId="3864BD11" w14:textId="7A363ABE" w:rsidR="00DB0375" w:rsidRPr="00C21939" w:rsidRDefault="0002370D" w:rsidP="006906EE">
      <w:pPr>
        <w:pStyle w:val="ListParagraph"/>
        <w:numPr>
          <w:ilvl w:val="0"/>
          <w:numId w:val="2"/>
        </w:numPr>
        <w:spacing w:line="276" w:lineRule="auto"/>
        <w:rPr>
          <w:rFonts w:cstheme="minorHAnsi"/>
          <w:sz w:val="24"/>
          <w:szCs w:val="24"/>
        </w:rPr>
      </w:pPr>
      <w:r w:rsidRPr="00C21939">
        <w:rPr>
          <w:rFonts w:cstheme="minorHAnsi"/>
          <w:sz w:val="24"/>
          <w:szCs w:val="24"/>
        </w:rPr>
        <w:t>The Kenya National Commission on Human Rights (KNCHR)</w:t>
      </w:r>
      <w:r w:rsidR="00B56959" w:rsidRPr="00C21939">
        <w:rPr>
          <w:rFonts w:cstheme="minorHAnsi"/>
          <w:sz w:val="24"/>
          <w:szCs w:val="24"/>
        </w:rPr>
        <w:t xml:space="preserve">, or the National Commission, </w:t>
      </w:r>
      <w:r w:rsidR="00B56959" w:rsidRPr="00C21939">
        <w:rPr>
          <w:rFonts w:cstheme="minorHAnsi"/>
          <w:b/>
          <w:sz w:val="24"/>
          <w:szCs w:val="24"/>
        </w:rPr>
        <w:t>welcomes</w:t>
      </w:r>
      <w:r w:rsidRPr="00C21939">
        <w:rPr>
          <w:rFonts w:cstheme="minorHAnsi"/>
          <w:b/>
          <w:sz w:val="24"/>
          <w:szCs w:val="24"/>
        </w:rPr>
        <w:t xml:space="preserve"> </w:t>
      </w:r>
      <w:r w:rsidRPr="00C21939">
        <w:rPr>
          <w:rFonts w:cstheme="minorHAnsi"/>
          <w:sz w:val="24"/>
          <w:szCs w:val="24"/>
        </w:rPr>
        <w:t xml:space="preserve">the development of these </w:t>
      </w:r>
      <w:r w:rsidR="004D343C" w:rsidRPr="00C21939">
        <w:rPr>
          <w:rFonts w:cstheme="minorHAnsi"/>
          <w:sz w:val="24"/>
          <w:szCs w:val="24"/>
        </w:rPr>
        <w:t xml:space="preserve">comprehensive </w:t>
      </w:r>
      <w:r w:rsidRPr="00C21939">
        <w:rPr>
          <w:rFonts w:cstheme="minorHAnsi"/>
          <w:sz w:val="24"/>
          <w:szCs w:val="24"/>
        </w:rPr>
        <w:t>draft guidelines on deinstitutionalization of persons with disabilities, including in emergencies</w:t>
      </w:r>
      <w:r w:rsidR="00B56959" w:rsidRPr="00C21939">
        <w:rPr>
          <w:rFonts w:cstheme="minorHAnsi"/>
          <w:sz w:val="24"/>
          <w:szCs w:val="24"/>
        </w:rPr>
        <w:t>,</w:t>
      </w:r>
      <w:r w:rsidRPr="00C21939">
        <w:rPr>
          <w:rFonts w:cstheme="minorHAnsi"/>
          <w:sz w:val="24"/>
          <w:szCs w:val="24"/>
        </w:rPr>
        <w:t xml:space="preserve"> by the Committee on the Rights of Persons with Disabilities. These guidelines are </w:t>
      </w:r>
      <w:r w:rsidR="0082138E" w:rsidRPr="00C21939">
        <w:rPr>
          <w:rFonts w:cstheme="minorHAnsi"/>
          <w:sz w:val="24"/>
          <w:szCs w:val="24"/>
        </w:rPr>
        <w:t xml:space="preserve">firmly </w:t>
      </w:r>
      <w:r w:rsidRPr="00C21939">
        <w:rPr>
          <w:rFonts w:cstheme="minorHAnsi"/>
          <w:sz w:val="24"/>
          <w:szCs w:val="24"/>
        </w:rPr>
        <w:t xml:space="preserve">in line with Article 19 of the Convention on the Rights of Persons with Disabilities (CRPD) </w:t>
      </w:r>
      <w:r w:rsidR="00101EFE" w:rsidRPr="00C21939">
        <w:rPr>
          <w:rFonts w:cstheme="minorHAnsi"/>
          <w:sz w:val="24"/>
          <w:szCs w:val="24"/>
        </w:rPr>
        <w:t xml:space="preserve">as read with General Comment No. 5 </w:t>
      </w:r>
      <w:r w:rsidRPr="00C21939">
        <w:rPr>
          <w:rFonts w:cstheme="minorHAnsi"/>
          <w:sz w:val="24"/>
          <w:szCs w:val="24"/>
        </w:rPr>
        <w:t xml:space="preserve">on the right of persons with disabilities to live independently and be included in the </w:t>
      </w:r>
      <w:r w:rsidR="00B56959" w:rsidRPr="00C21939">
        <w:rPr>
          <w:rFonts w:cstheme="minorHAnsi"/>
          <w:sz w:val="24"/>
          <w:szCs w:val="24"/>
        </w:rPr>
        <w:t>society</w:t>
      </w:r>
      <w:r w:rsidR="00101EFE" w:rsidRPr="00C21939">
        <w:rPr>
          <w:rFonts w:cstheme="minorHAnsi"/>
          <w:sz w:val="24"/>
          <w:szCs w:val="24"/>
        </w:rPr>
        <w:t>.</w:t>
      </w:r>
    </w:p>
    <w:p w14:paraId="7ABC94D3" w14:textId="1754F843" w:rsidR="0002370D" w:rsidRPr="00C21939" w:rsidRDefault="0002370D" w:rsidP="006906EE">
      <w:pPr>
        <w:pStyle w:val="ListParagraph"/>
        <w:spacing w:line="276" w:lineRule="auto"/>
        <w:ind w:left="1080"/>
        <w:rPr>
          <w:rFonts w:cstheme="minorHAnsi"/>
          <w:sz w:val="24"/>
          <w:szCs w:val="24"/>
        </w:rPr>
      </w:pPr>
      <w:r w:rsidRPr="00C21939">
        <w:rPr>
          <w:rFonts w:cstheme="minorHAnsi"/>
          <w:sz w:val="24"/>
          <w:szCs w:val="24"/>
        </w:rPr>
        <w:t xml:space="preserve"> </w:t>
      </w:r>
    </w:p>
    <w:p w14:paraId="2FA6525F" w14:textId="7BB856BE" w:rsidR="00057A8A" w:rsidRPr="00C21939" w:rsidRDefault="00057A8A" w:rsidP="006906EE">
      <w:pPr>
        <w:pStyle w:val="ListParagraph"/>
        <w:numPr>
          <w:ilvl w:val="0"/>
          <w:numId w:val="2"/>
        </w:numPr>
        <w:spacing w:line="276" w:lineRule="auto"/>
        <w:rPr>
          <w:rFonts w:cstheme="minorHAnsi"/>
          <w:sz w:val="24"/>
          <w:szCs w:val="24"/>
        </w:rPr>
      </w:pPr>
      <w:r w:rsidRPr="00C21939">
        <w:rPr>
          <w:rFonts w:cstheme="minorHAnsi"/>
          <w:sz w:val="24"/>
          <w:szCs w:val="24"/>
        </w:rPr>
        <w:t xml:space="preserve">The </w:t>
      </w:r>
      <w:r w:rsidR="00572926" w:rsidRPr="00C21939">
        <w:rPr>
          <w:rFonts w:cstheme="minorHAnsi"/>
          <w:sz w:val="24"/>
          <w:szCs w:val="24"/>
        </w:rPr>
        <w:t>National Commission</w:t>
      </w:r>
      <w:r w:rsidR="00B56959" w:rsidRPr="00C21939">
        <w:rPr>
          <w:rFonts w:cstheme="minorHAnsi"/>
          <w:sz w:val="24"/>
          <w:szCs w:val="24"/>
        </w:rPr>
        <w:t xml:space="preserve"> </w:t>
      </w:r>
      <w:r w:rsidR="00B56959" w:rsidRPr="00C21939">
        <w:rPr>
          <w:rFonts w:cstheme="minorHAnsi"/>
          <w:b/>
          <w:sz w:val="24"/>
          <w:szCs w:val="24"/>
        </w:rPr>
        <w:t>remains</w:t>
      </w:r>
      <w:r w:rsidRPr="00C21939">
        <w:rPr>
          <w:rFonts w:cstheme="minorHAnsi"/>
          <w:sz w:val="24"/>
          <w:szCs w:val="24"/>
        </w:rPr>
        <w:t xml:space="preserve"> </w:t>
      </w:r>
      <w:r w:rsidRPr="00C21939">
        <w:rPr>
          <w:rFonts w:cstheme="minorHAnsi"/>
          <w:b/>
          <w:sz w:val="24"/>
          <w:szCs w:val="24"/>
        </w:rPr>
        <w:t>concerned</w:t>
      </w:r>
      <w:r w:rsidRPr="00C21939">
        <w:rPr>
          <w:rFonts w:cstheme="minorHAnsi"/>
          <w:sz w:val="24"/>
          <w:szCs w:val="24"/>
        </w:rPr>
        <w:t xml:space="preserve"> that despite institutionalization being discriminatory and contrary to Articles 12, 14, 15, 16, 17, 19, and 25 of the Convention on the Rights of Persons with Disabilities (CRPD), </w:t>
      </w:r>
      <w:r w:rsidR="004D343C" w:rsidRPr="00C21939">
        <w:rPr>
          <w:rFonts w:cstheme="minorHAnsi"/>
          <w:sz w:val="24"/>
          <w:szCs w:val="24"/>
        </w:rPr>
        <w:t>many State Parties, including</w:t>
      </w:r>
      <w:r w:rsidRPr="00C21939">
        <w:rPr>
          <w:rFonts w:cstheme="minorHAnsi"/>
          <w:sz w:val="24"/>
          <w:szCs w:val="24"/>
        </w:rPr>
        <w:t xml:space="preserve"> Kenya continue to place persons wi</w:t>
      </w:r>
      <w:r w:rsidR="0082138E" w:rsidRPr="00C21939">
        <w:rPr>
          <w:rFonts w:cstheme="minorHAnsi"/>
          <w:sz w:val="24"/>
          <w:szCs w:val="24"/>
        </w:rPr>
        <w:t xml:space="preserve">th disabilities in institutions, and even establishing new institutions, </w:t>
      </w:r>
      <w:r w:rsidRPr="00C21939">
        <w:rPr>
          <w:rFonts w:cstheme="minorHAnsi"/>
          <w:sz w:val="24"/>
          <w:szCs w:val="24"/>
        </w:rPr>
        <w:t xml:space="preserve">thereby denying </w:t>
      </w:r>
      <w:r w:rsidR="00DB0375" w:rsidRPr="00C21939">
        <w:rPr>
          <w:rFonts w:cstheme="minorHAnsi"/>
          <w:sz w:val="24"/>
          <w:szCs w:val="24"/>
        </w:rPr>
        <w:t>persons with disabilities</w:t>
      </w:r>
      <w:r w:rsidRPr="00C21939">
        <w:rPr>
          <w:rFonts w:cstheme="minorHAnsi"/>
          <w:sz w:val="24"/>
          <w:szCs w:val="24"/>
        </w:rPr>
        <w:t xml:space="preserve"> a chance to live independently and </w:t>
      </w:r>
      <w:r w:rsidR="00B56959" w:rsidRPr="00C21939">
        <w:rPr>
          <w:rFonts w:cstheme="minorHAnsi"/>
          <w:sz w:val="24"/>
          <w:szCs w:val="24"/>
        </w:rPr>
        <w:t xml:space="preserve">be </w:t>
      </w:r>
      <w:r w:rsidR="0082138E" w:rsidRPr="00C21939">
        <w:rPr>
          <w:rFonts w:cstheme="minorHAnsi"/>
          <w:sz w:val="24"/>
          <w:szCs w:val="24"/>
        </w:rPr>
        <w:t xml:space="preserve">meaningfully </w:t>
      </w:r>
      <w:r w:rsidRPr="00C21939">
        <w:rPr>
          <w:rFonts w:cstheme="minorHAnsi"/>
          <w:sz w:val="24"/>
          <w:szCs w:val="24"/>
        </w:rPr>
        <w:t>included in the society.</w:t>
      </w:r>
    </w:p>
    <w:p w14:paraId="138FB6EE" w14:textId="77777777" w:rsidR="003E2DE0" w:rsidRPr="00C21939" w:rsidRDefault="003E2DE0" w:rsidP="006906EE">
      <w:pPr>
        <w:pStyle w:val="ListParagraph"/>
        <w:spacing w:line="276" w:lineRule="auto"/>
        <w:ind w:left="360"/>
        <w:rPr>
          <w:rFonts w:cstheme="minorHAnsi"/>
          <w:sz w:val="24"/>
          <w:szCs w:val="24"/>
        </w:rPr>
      </w:pPr>
    </w:p>
    <w:p w14:paraId="4B527F36" w14:textId="1DDCB18D" w:rsidR="009838F8" w:rsidRPr="00C21939" w:rsidRDefault="009838F8" w:rsidP="006906EE">
      <w:pPr>
        <w:pStyle w:val="ListParagraph"/>
        <w:numPr>
          <w:ilvl w:val="0"/>
          <w:numId w:val="2"/>
        </w:numPr>
        <w:spacing w:line="276" w:lineRule="auto"/>
        <w:rPr>
          <w:rFonts w:cstheme="minorHAnsi"/>
          <w:sz w:val="24"/>
          <w:szCs w:val="24"/>
        </w:rPr>
      </w:pPr>
      <w:bookmarkStart w:id="1" w:name="_Hlk107938971"/>
      <w:r w:rsidRPr="00C21939">
        <w:rPr>
          <w:rFonts w:cstheme="minorHAnsi"/>
          <w:sz w:val="24"/>
          <w:szCs w:val="24"/>
        </w:rPr>
        <w:t xml:space="preserve"> Clarity and specificity of the </w:t>
      </w:r>
      <w:r w:rsidR="003E2DE0" w:rsidRPr="00C21939">
        <w:rPr>
          <w:rFonts w:cstheme="minorHAnsi"/>
          <w:sz w:val="24"/>
          <w:szCs w:val="24"/>
        </w:rPr>
        <w:t>Guidelines</w:t>
      </w:r>
      <w:r w:rsidRPr="00C21939">
        <w:rPr>
          <w:rFonts w:cstheme="minorHAnsi"/>
          <w:sz w:val="24"/>
          <w:szCs w:val="24"/>
        </w:rPr>
        <w:t xml:space="preserve">: The National Commission is concerned that </w:t>
      </w:r>
      <w:r w:rsidR="00EE61B0" w:rsidRPr="00C21939">
        <w:rPr>
          <w:rFonts w:cstheme="minorHAnsi"/>
          <w:sz w:val="24"/>
          <w:szCs w:val="24"/>
        </w:rPr>
        <w:t xml:space="preserve">the Guidelines </w:t>
      </w:r>
      <w:r w:rsidR="009F1DFE" w:rsidRPr="00C21939">
        <w:rPr>
          <w:rFonts w:cstheme="minorHAnsi"/>
          <w:sz w:val="24"/>
          <w:szCs w:val="24"/>
        </w:rPr>
        <w:t xml:space="preserve">are not very </w:t>
      </w:r>
      <w:r w:rsidR="00EE61B0" w:rsidRPr="00C21939">
        <w:rPr>
          <w:rFonts w:cstheme="minorHAnsi"/>
          <w:sz w:val="24"/>
          <w:szCs w:val="24"/>
        </w:rPr>
        <w:t xml:space="preserve">clear on </w:t>
      </w:r>
      <w:r w:rsidR="009F1DFE" w:rsidRPr="00C21939">
        <w:rPr>
          <w:rFonts w:cstheme="minorHAnsi"/>
          <w:sz w:val="24"/>
          <w:szCs w:val="24"/>
        </w:rPr>
        <w:t>the</w:t>
      </w:r>
      <w:r w:rsidR="00EE61B0" w:rsidRPr="00C21939">
        <w:rPr>
          <w:rFonts w:cstheme="minorHAnsi"/>
          <w:sz w:val="24"/>
          <w:szCs w:val="24"/>
        </w:rPr>
        <w:t xml:space="preserve"> practical steps the States are meant to take.</w:t>
      </w:r>
      <w:r w:rsidR="009F1DFE" w:rsidRPr="00C21939">
        <w:rPr>
          <w:rFonts w:cstheme="minorHAnsi"/>
          <w:sz w:val="24"/>
          <w:szCs w:val="24"/>
        </w:rPr>
        <w:t xml:space="preserve"> </w:t>
      </w:r>
      <w:r w:rsidR="00EE61B0" w:rsidRPr="00C21939">
        <w:rPr>
          <w:rFonts w:cstheme="minorHAnsi"/>
          <w:sz w:val="24"/>
          <w:szCs w:val="24"/>
        </w:rPr>
        <w:lastRenderedPageBreak/>
        <w:t>The</w:t>
      </w:r>
      <w:r w:rsidR="00151C5D" w:rsidRPr="00C21939">
        <w:rPr>
          <w:rFonts w:cstheme="minorHAnsi"/>
          <w:sz w:val="24"/>
          <w:szCs w:val="24"/>
        </w:rPr>
        <w:t xml:space="preserve">re </w:t>
      </w:r>
      <w:r w:rsidR="009F1DFE" w:rsidRPr="00C21939">
        <w:rPr>
          <w:rFonts w:cstheme="minorHAnsi"/>
          <w:sz w:val="24"/>
          <w:szCs w:val="24"/>
        </w:rPr>
        <w:t xml:space="preserve">is </w:t>
      </w:r>
      <w:r w:rsidR="00151C5D" w:rsidRPr="00C21939">
        <w:rPr>
          <w:rFonts w:cstheme="minorHAnsi"/>
          <w:sz w:val="24"/>
          <w:szCs w:val="24"/>
        </w:rPr>
        <w:t xml:space="preserve">generous normative content with </w:t>
      </w:r>
      <w:r w:rsidR="00BB1CF2" w:rsidRPr="00C21939">
        <w:rPr>
          <w:rFonts w:cstheme="minorHAnsi"/>
          <w:sz w:val="24"/>
          <w:szCs w:val="24"/>
        </w:rPr>
        <w:t xml:space="preserve">some </w:t>
      </w:r>
      <w:r w:rsidR="00151C5D" w:rsidRPr="00C21939">
        <w:rPr>
          <w:rFonts w:cstheme="minorHAnsi"/>
          <w:sz w:val="24"/>
          <w:szCs w:val="24"/>
        </w:rPr>
        <w:t>provisions restating</w:t>
      </w:r>
      <w:r w:rsidR="00EE61B0" w:rsidRPr="00C21939">
        <w:rPr>
          <w:rFonts w:cstheme="minorHAnsi"/>
          <w:sz w:val="24"/>
          <w:szCs w:val="24"/>
        </w:rPr>
        <w:t xml:space="preserve"> already existing General Comments and</w:t>
      </w:r>
      <w:r w:rsidR="00151C5D" w:rsidRPr="00C21939">
        <w:rPr>
          <w:rFonts w:cstheme="minorHAnsi"/>
          <w:sz w:val="24"/>
          <w:szCs w:val="24"/>
        </w:rPr>
        <w:t xml:space="preserve"> provisions</w:t>
      </w:r>
      <w:r w:rsidR="00EE61B0" w:rsidRPr="00C21939">
        <w:rPr>
          <w:rFonts w:cstheme="minorHAnsi"/>
          <w:sz w:val="24"/>
          <w:szCs w:val="24"/>
        </w:rPr>
        <w:t xml:space="preserve"> of CRPD. We urge the Committee to </w:t>
      </w:r>
      <w:r w:rsidR="009F1DFE" w:rsidRPr="00C21939">
        <w:rPr>
          <w:rFonts w:cstheme="minorHAnsi"/>
          <w:sz w:val="24"/>
          <w:szCs w:val="24"/>
        </w:rPr>
        <w:t xml:space="preserve">consider </w:t>
      </w:r>
      <w:r w:rsidR="0078616A" w:rsidRPr="00C21939">
        <w:rPr>
          <w:rFonts w:cstheme="minorHAnsi"/>
          <w:sz w:val="24"/>
          <w:szCs w:val="24"/>
        </w:rPr>
        <w:t>annexing</w:t>
      </w:r>
      <w:r w:rsidR="00EE61B0" w:rsidRPr="00C21939">
        <w:rPr>
          <w:rFonts w:cstheme="minorHAnsi"/>
          <w:sz w:val="24"/>
          <w:szCs w:val="24"/>
        </w:rPr>
        <w:t xml:space="preserve"> a simpl</w:t>
      </w:r>
      <w:r w:rsidR="0078616A" w:rsidRPr="00C21939">
        <w:rPr>
          <w:rFonts w:cstheme="minorHAnsi"/>
          <w:sz w:val="24"/>
          <w:szCs w:val="24"/>
        </w:rPr>
        <w:t>ified</w:t>
      </w:r>
      <w:r w:rsidR="009F1DFE" w:rsidRPr="00C21939">
        <w:rPr>
          <w:rFonts w:cstheme="minorHAnsi"/>
          <w:sz w:val="24"/>
          <w:szCs w:val="24"/>
        </w:rPr>
        <w:t xml:space="preserve"> </w:t>
      </w:r>
      <w:r w:rsidR="00DB0375" w:rsidRPr="00C21939">
        <w:rPr>
          <w:rFonts w:cstheme="minorHAnsi"/>
          <w:sz w:val="24"/>
          <w:szCs w:val="24"/>
        </w:rPr>
        <w:t>roadmap</w:t>
      </w:r>
      <w:r w:rsidR="001D5055" w:rsidRPr="00C21939">
        <w:rPr>
          <w:rFonts w:cstheme="minorHAnsi"/>
          <w:sz w:val="24"/>
          <w:szCs w:val="24"/>
        </w:rPr>
        <w:t xml:space="preserve"> on practical</w:t>
      </w:r>
      <w:r w:rsidR="00EE61B0" w:rsidRPr="00C21939">
        <w:rPr>
          <w:rFonts w:cstheme="minorHAnsi"/>
          <w:sz w:val="24"/>
          <w:szCs w:val="24"/>
        </w:rPr>
        <w:t xml:space="preserve"> steps </w:t>
      </w:r>
      <w:r w:rsidR="009F1DFE" w:rsidRPr="00C21939">
        <w:rPr>
          <w:rFonts w:cstheme="minorHAnsi"/>
          <w:sz w:val="24"/>
          <w:szCs w:val="24"/>
        </w:rPr>
        <w:t xml:space="preserve">that </w:t>
      </w:r>
      <w:r w:rsidR="00EE61B0" w:rsidRPr="00C21939">
        <w:rPr>
          <w:rFonts w:cstheme="minorHAnsi"/>
          <w:sz w:val="24"/>
          <w:szCs w:val="24"/>
        </w:rPr>
        <w:t xml:space="preserve">States </w:t>
      </w:r>
      <w:r w:rsidR="0078616A" w:rsidRPr="00C21939">
        <w:rPr>
          <w:rFonts w:cstheme="minorHAnsi"/>
          <w:sz w:val="24"/>
          <w:szCs w:val="24"/>
        </w:rPr>
        <w:t>can</w:t>
      </w:r>
      <w:r w:rsidR="001D5055" w:rsidRPr="00C21939">
        <w:rPr>
          <w:rFonts w:cstheme="minorHAnsi"/>
          <w:sz w:val="24"/>
          <w:szCs w:val="24"/>
        </w:rPr>
        <w:t xml:space="preserve"> </w:t>
      </w:r>
      <w:r w:rsidR="009F1DFE" w:rsidRPr="00C21939">
        <w:rPr>
          <w:rFonts w:cstheme="minorHAnsi"/>
          <w:sz w:val="24"/>
          <w:szCs w:val="24"/>
        </w:rPr>
        <w:t>take</w:t>
      </w:r>
      <w:r w:rsidR="001D5055" w:rsidRPr="00C21939">
        <w:rPr>
          <w:rFonts w:cstheme="minorHAnsi"/>
          <w:sz w:val="24"/>
          <w:szCs w:val="24"/>
        </w:rPr>
        <w:t xml:space="preserve"> in effecting deinstitutionalisation</w:t>
      </w:r>
      <w:r w:rsidR="001534E0" w:rsidRPr="00C21939">
        <w:rPr>
          <w:rFonts w:cstheme="minorHAnsi"/>
          <w:sz w:val="24"/>
          <w:szCs w:val="24"/>
        </w:rPr>
        <w:t xml:space="preserve"> including the methodologies</w:t>
      </w:r>
      <w:r w:rsidR="00151C5D" w:rsidRPr="00C21939">
        <w:rPr>
          <w:rFonts w:cstheme="minorHAnsi"/>
          <w:sz w:val="24"/>
          <w:szCs w:val="24"/>
        </w:rPr>
        <w:t xml:space="preserve"> and any recorded best practices</w:t>
      </w:r>
      <w:r w:rsidR="001534E0" w:rsidRPr="00C21939">
        <w:rPr>
          <w:rFonts w:cstheme="minorHAnsi"/>
          <w:sz w:val="24"/>
          <w:szCs w:val="24"/>
        </w:rPr>
        <w:t>.</w:t>
      </w:r>
    </w:p>
    <w:bookmarkEnd w:id="1"/>
    <w:p w14:paraId="108F3CE3" w14:textId="77777777" w:rsidR="00101EFE" w:rsidRPr="00C21939" w:rsidRDefault="00101EFE" w:rsidP="006906EE">
      <w:pPr>
        <w:pStyle w:val="ListParagraph"/>
        <w:spacing w:line="276" w:lineRule="auto"/>
        <w:ind w:left="360"/>
        <w:rPr>
          <w:rFonts w:cstheme="minorHAnsi"/>
          <w:sz w:val="24"/>
          <w:szCs w:val="24"/>
        </w:rPr>
      </w:pPr>
    </w:p>
    <w:p w14:paraId="1C13D4E4" w14:textId="552DB2E4" w:rsidR="008E4BCA" w:rsidRPr="00C21939" w:rsidRDefault="008E4BCA" w:rsidP="00EE7021">
      <w:pPr>
        <w:spacing w:line="276" w:lineRule="auto"/>
        <w:rPr>
          <w:rFonts w:cstheme="minorHAnsi"/>
          <w:b/>
          <w:sz w:val="24"/>
          <w:szCs w:val="24"/>
        </w:rPr>
      </w:pPr>
      <w:r w:rsidRPr="00C21939">
        <w:rPr>
          <w:rFonts w:cstheme="minorHAnsi"/>
          <w:b/>
          <w:sz w:val="24"/>
          <w:szCs w:val="24"/>
        </w:rPr>
        <w:t xml:space="preserve">Duty to end institutionalization </w:t>
      </w:r>
    </w:p>
    <w:p w14:paraId="1A5DF097" w14:textId="0B582DC4" w:rsidR="006F6B0B" w:rsidRPr="00C21939" w:rsidRDefault="008E4BCA" w:rsidP="006906EE">
      <w:pPr>
        <w:pStyle w:val="ListParagraph"/>
        <w:numPr>
          <w:ilvl w:val="0"/>
          <w:numId w:val="2"/>
        </w:numPr>
        <w:spacing w:line="276" w:lineRule="auto"/>
        <w:rPr>
          <w:rFonts w:cstheme="minorHAnsi"/>
          <w:sz w:val="24"/>
          <w:szCs w:val="24"/>
        </w:rPr>
      </w:pPr>
      <w:r w:rsidRPr="00C21939">
        <w:rPr>
          <w:rFonts w:cstheme="minorHAnsi"/>
          <w:sz w:val="24"/>
          <w:szCs w:val="24"/>
        </w:rPr>
        <w:t>The National Commission lauds the Committee for placing upon the State the responsibility to end all forms of institutionalization and further</w:t>
      </w:r>
      <w:r w:rsidRPr="00C21939">
        <w:rPr>
          <w:rFonts w:cstheme="minorHAnsi"/>
          <w:b/>
          <w:sz w:val="24"/>
          <w:szCs w:val="24"/>
        </w:rPr>
        <w:t xml:space="preserve"> recommends</w:t>
      </w:r>
      <w:r w:rsidRPr="00C21939">
        <w:rPr>
          <w:rFonts w:cstheme="minorHAnsi"/>
          <w:sz w:val="24"/>
          <w:szCs w:val="24"/>
        </w:rPr>
        <w:t xml:space="preserve"> that the Guidelines mandates the States to involve</w:t>
      </w:r>
      <w:r w:rsidR="00EF53B4" w:rsidRPr="00C21939">
        <w:rPr>
          <w:rFonts w:cstheme="minorHAnsi"/>
          <w:sz w:val="24"/>
          <w:szCs w:val="24"/>
        </w:rPr>
        <w:t xml:space="preserve">, </w:t>
      </w:r>
      <w:r w:rsidRPr="00C21939">
        <w:rPr>
          <w:rFonts w:cstheme="minorHAnsi"/>
          <w:sz w:val="24"/>
          <w:szCs w:val="24"/>
        </w:rPr>
        <w:t>consult with</w:t>
      </w:r>
      <w:r w:rsidR="007F4818" w:rsidRPr="00C21939">
        <w:rPr>
          <w:rFonts w:cstheme="minorHAnsi"/>
          <w:sz w:val="24"/>
          <w:szCs w:val="24"/>
        </w:rPr>
        <w:t xml:space="preserve"> and sensitise</w:t>
      </w:r>
      <w:r w:rsidRPr="00C21939">
        <w:rPr>
          <w:rFonts w:cstheme="minorHAnsi"/>
          <w:sz w:val="24"/>
          <w:szCs w:val="24"/>
        </w:rPr>
        <w:t xml:space="preserve"> the healthcare workers who are valuable assets in the process of deinstitutionalization. They often offer valuable perspectives on discharge and care planning for people with disabilities, and their participation in the process helps to alleviate any fears they may have about losing their jobs, professional pos</w:t>
      </w:r>
      <w:r w:rsidR="006F6B0B" w:rsidRPr="00C21939">
        <w:rPr>
          <w:rFonts w:cstheme="minorHAnsi"/>
          <w:sz w:val="24"/>
          <w:szCs w:val="24"/>
        </w:rPr>
        <w:t>ition, or regular work routines</w:t>
      </w:r>
      <w:r w:rsidR="00DE39D8" w:rsidRPr="00C21939">
        <w:rPr>
          <w:rFonts w:cstheme="minorHAnsi"/>
          <w:sz w:val="24"/>
          <w:szCs w:val="24"/>
        </w:rPr>
        <w:t>.</w:t>
      </w:r>
    </w:p>
    <w:p w14:paraId="5E992EF6" w14:textId="77777777" w:rsidR="007F4818" w:rsidRPr="00C21939" w:rsidRDefault="007F4818" w:rsidP="006906EE">
      <w:pPr>
        <w:pStyle w:val="ListParagraph"/>
        <w:spacing w:line="276" w:lineRule="auto"/>
        <w:ind w:left="360"/>
        <w:rPr>
          <w:rFonts w:cstheme="minorHAnsi"/>
          <w:sz w:val="24"/>
          <w:szCs w:val="24"/>
        </w:rPr>
      </w:pPr>
    </w:p>
    <w:p w14:paraId="41729584" w14:textId="77777777" w:rsidR="00190DED" w:rsidRPr="00C21939" w:rsidRDefault="00190DED" w:rsidP="009F1DFE">
      <w:pPr>
        <w:spacing w:line="276" w:lineRule="auto"/>
        <w:ind w:left="360"/>
        <w:rPr>
          <w:rFonts w:cstheme="minorHAnsi"/>
          <w:b/>
          <w:i/>
          <w:sz w:val="24"/>
          <w:szCs w:val="24"/>
        </w:rPr>
      </w:pPr>
      <w:r w:rsidRPr="00C21939">
        <w:rPr>
          <w:rFonts w:cstheme="minorHAnsi"/>
          <w:b/>
          <w:i/>
          <w:sz w:val="24"/>
          <w:szCs w:val="24"/>
        </w:rPr>
        <w:t>Community-based support</w:t>
      </w:r>
    </w:p>
    <w:p w14:paraId="63DEB394" w14:textId="0D1EB571" w:rsidR="00190DED" w:rsidRPr="00C21939" w:rsidRDefault="00190DED" w:rsidP="006906EE">
      <w:pPr>
        <w:pStyle w:val="ListParagraph"/>
        <w:numPr>
          <w:ilvl w:val="0"/>
          <w:numId w:val="2"/>
        </w:numPr>
        <w:spacing w:after="0" w:line="276" w:lineRule="auto"/>
        <w:contextualSpacing w:val="0"/>
        <w:rPr>
          <w:rFonts w:cstheme="minorHAnsi"/>
          <w:sz w:val="24"/>
          <w:szCs w:val="24"/>
        </w:rPr>
      </w:pPr>
      <w:r w:rsidRPr="00C21939">
        <w:rPr>
          <w:rFonts w:cstheme="minorHAnsi"/>
          <w:sz w:val="24"/>
          <w:szCs w:val="24"/>
          <w:lang w:val="en-US"/>
        </w:rPr>
        <w:t>The Commission</w:t>
      </w:r>
      <w:r w:rsidRPr="00C21939">
        <w:rPr>
          <w:rFonts w:cstheme="minorHAnsi"/>
          <w:b/>
          <w:bCs/>
          <w:sz w:val="24"/>
          <w:szCs w:val="24"/>
          <w:lang w:val="en-US"/>
        </w:rPr>
        <w:t xml:space="preserve"> recommends that </w:t>
      </w:r>
      <w:r w:rsidRPr="00C21939">
        <w:rPr>
          <w:rFonts w:cstheme="minorHAnsi"/>
          <w:bCs/>
          <w:sz w:val="24"/>
          <w:szCs w:val="24"/>
          <w:lang w:val="en-US"/>
        </w:rPr>
        <w:t xml:space="preserve">State parties </w:t>
      </w:r>
      <w:r w:rsidRPr="00C21939">
        <w:rPr>
          <w:rFonts w:cstheme="minorHAnsi"/>
          <w:sz w:val="24"/>
          <w:szCs w:val="24"/>
          <w:lang w:val="en-US"/>
        </w:rPr>
        <w:t xml:space="preserve">develop policies or legislations that safeguard </w:t>
      </w:r>
      <w:r w:rsidRPr="00C21939">
        <w:rPr>
          <w:rFonts w:cstheme="minorHAnsi"/>
          <w:sz w:val="24"/>
          <w:szCs w:val="24"/>
        </w:rPr>
        <w:t xml:space="preserve">persons with disabilities </w:t>
      </w:r>
      <w:r w:rsidRPr="00C21939">
        <w:rPr>
          <w:rFonts w:cstheme="minorHAnsi"/>
          <w:sz w:val="24"/>
          <w:szCs w:val="24"/>
          <w:lang w:val="en-US"/>
        </w:rPr>
        <w:t>right to support in exercising their legal capacity which includes community-based support. The state parties’ policies should include the services that are compliant with the CRPD, its elements and the necessary legal safeguards.</w:t>
      </w:r>
    </w:p>
    <w:p w14:paraId="6E236493" w14:textId="77777777" w:rsidR="00F4401A" w:rsidRPr="00C21939" w:rsidRDefault="00F4401A" w:rsidP="00F4401A">
      <w:pPr>
        <w:pStyle w:val="ListParagraph"/>
        <w:spacing w:after="0" w:line="276" w:lineRule="auto"/>
        <w:ind w:left="1080"/>
        <w:contextualSpacing w:val="0"/>
        <w:rPr>
          <w:rFonts w:cstheme="minorHAnsi"/>
          <w:sz w:val="24"/>
          <w:szCs w:val="24"/>
        </w:rPr>
      </w:pPr>
    </w:p>
    <w:p w14:paraId="719C31AB" w14:textId="77777777" w:rsidR="00190DED" w:rsidRPr="00C21939" w:rsidRDefault="00190DED" w:rsidP="009F1DFE">
      <w:pPr>
        <w:spacing w:line="276" w:lineRule="auto"/>
        <w:ind w:left="360"/>
        <w:rPr>
          <w:rFonts w:cstheme="minorHAnsi"/>
          <w:b/>
          <w:i/>
          <w:sz w:val="24"/>
          <w:szCs w:val="24"/>
        </w:rPr>
      </w:pPr>
      <w:r w:rsidRPr="00C21939">
        <w:rPr>
          <w:rFonts w:cstheme="minorHAnsi"/>
          <w:b/>
          <w:i/>
          <w:sz w:val="24"/>
          <w:szCs w:val="24"/>
        </w:rPr>
        <w:t>Allocation of funding and resources</w:t>
      </w:r>
    </w:p>
    <w:p w14:paraId="59C7CF79" w14:textId="1DBA1C6B" w:rsidR="007310BC" w:rsidRPr="00C21939" w:rsidRDefault="007310BC" w:rsidP="006906EE">
      <w:pPr>
        <w:pStyle w:val="ListParagraph"/>
        <w:numPr>
          <w:ilvl w:val="0"/>
          <w:numId w:val="2"/>
        </w:numPr>
        <w:spacing w:line="276" w:lineRule="auto"/>
        <w:rPr>
          <w:rFonts w:cstheme="minorHAnsi"/>
          <w:sz w:val="24"/>
          <w:szCs w:val="24"/>
        </w:rPr>
      </w:pPr>
      <w:bookmarkStart w:id="2" w:name="_Hlk107938865"/>
      <w:r w:rsidRPr="00C21939">
        <w:rPr>
          <w:rFonts w:cstheme="minorHAnsi"/>
          <w:sz w:val="24"/>
          <w:szCs w:val="24"/>
          <w:lang w:val="en-US"/>
        </w:rPr>
        <w:t xml:space="preserve"> Paragraph</w:t>
      </w:r>
      <w:r w:rsidR="005B7509" w:rsidRPr="00C21939">
        <w:rPr>
          <w:rFonts w:cstheme="minorHAnsi"/>
          <w:sz w:val="24"/>
          <w:szCs w:val="24"/>
          <w:lang w:val="en-US"/>
        </w:rPr>
        <w:t>s</w:t>
      </w:r>
      <w:r w:rsidRPr="00C21939">
        <w:rPr>
          <w:rFonts w:cstheme="minorHAnsi"/>
          <w:sz w:val="24"/>
          <w:szCs w:val="24"/>
          <w:lang w:val="en-US"/>
        </w:rPr>
        <w:t xml:space="preserve"> 27</w:t>
      </w:r>
      <w:r w:rsidR="005B7509" w:rsidRPr="00C21939">
        <w:rPr>
          <w:rFonts w:cstheme="minorHAnsi"/>
          <w:sz w:val="24"/>
          <w:szCs w:val="24"/>
          <w:lang w:val="en-US"/>
        </w:rPr>
        <w:t xml:space="preserve"> and 2</w:t>
      </w:r>
      <w:r w:rsidR="009F1DFE" w:rsidRPr="00C21939">
        <w:rPr>
          <w:rFonts w:cstheme="minorHAnsi"/>
          <w:sz w:val="24"/>
          <w:szCs w:val="24"/>
          <w:lang w:val="en-US"/>
        </w:rPr>
        <w:t>8:</w:t>
      </w:r>
      <w:r w:rsidRPr="00C21939">
        <w:rPr>
          <w:rFonts w:cstheme="minorHAnsi"/>
          <w:sz w:val="24"/>
          <w:szCs w:val="24"/>
          <w:lang w:val="en-US"/>
        </w:rPr>
        <w:t xml:space="preserve">  The Commission recommends th</w:t>
      </w:r>
      <w:r w:rsidR="004E5F89" w:rsidRPr="00C21939">
        <w:rPr>
          <w:rFonts w:cstheme="minorHAnsi"/>
          <w:sz w:val="24"/>
          <w:szCs w:val="24"/>
          <w:lang w:val="en-US"/>
        </w:rPr>
        <w:t xml:space="preserve">e phrasing of the sentence that categorically requires </w:t>
      </w:r>
      <w:r w:rsidR="004E5F89" w:rsidRPr="00C21939">
        <w:rPr>
          <w:rFonts w:cstheme="minorHAnsi"/>
          <w:sz w:val="24"/>
          <w:szCs w:val="24"/>
        </w:rPr>
        <w:t xml:space="preserve">States Parties to stop using public funds for renovating institutions. </w:t>
      </w:r>
      <w:r w:rsidR="004F1AD6" w:rsidRPr="00C21939">
        <w:rPr>
          <w:rFonts w:cstheme="minorHAnsi"/>
          <w:sz w:val="24"/>
          <w:szCs w:val="24"/>
        </w:rPr>
        <w:t xml:space="preserve">The Guidelines as phrased </w:t>
      </w:r>
      <w:r w:rsidR="009F1DFE" w:rsidRPr="00C21939">
        <w:rPr>
          <w:rFonts w:cstheme="minorHAnsi"/>
          <w:sz w:val="24"/>
          <w:szCs w:val="24"/>
        </w:rPr>
        <w:t>appear not to</w:t>
      </w:r>
      <w:r w:rsidR="004F1AD6" w:rsidRPr="00C21939">
        <w:rPr>
          <w:rFonts w:cstheme="minorHAnsi"/>
          <w:sz w:val="24"/>
          <w:szCs w:val="24"/>
        </w:rPr>
        <w:t xml:space="preserve"> anticipate a transition process during the deinstitutionalisation to community-based living arrangements</w:t>
      </w:r>
      <w:r w:rsidR="005B7509" w:rsidRPr="00C21939">
        <w:rPr>
          <w:rFonts w:cstheme="minorHAnsi"/>
          <w:sz w:val="24"/>
          <w:szCs w:val="24"/>
        </w:rPr>
        <w:t xml:space="preserve"> and </w:t>
      </w:r>
      <w:r w:rsidR="00590158" w:rsidRPr="00C21939">
        <w:rPr>
          <w:rFonts w:cstheme="minorHAnsi"/>
          <w:sz w:val="24"/>
          <w:szCs w:val="24"/>
        </w:rPr>
        <w:t xml:space="preserve">in </w:t>
      </w:r>
      <w:r w:rsidR="005B7509" w:rsidRPr="00C21939">
        <w:rPr>
          <w:rFonts w:cstheme="minorHAnsi"/>
          <w:sz w:val="24"/>
          <w:szCs w:val="24"/>
        </w:rPr>
        <w:t>provision of adequate support services</w:t>
      </w:r>
      <w:r w:rsidR="004F1AD6" w:rsidRPr="00C21939">
        <w:rPr>
          <w:rFonts w:cstheme="minorHAnsi"/>
          <w:sz w:val="24"/>
          <w:szCs w:val="24"/>
        </w:rPr>
        <w:t>. The reality is that transition to fully independent living solutions and community-based services will highly likely be a phased-out plan</w:t>
      </w:r>
      <w:r w:rsidR="00590158" w:rsidRPr="00C21939">
        <w:rPr>
          <w:rFonts w:cstheme="minorHAnsi"/>
          <w:sz w:val="24"/>
          <w:szCs w:val="24"/>
        </w:rPr>
        <w:t xml:space="preserve"> rather than a</w:t>
      </w:r>
      <w:r w:rsidR="009F1DFE" w:rsidRPr="00C21939">
        <w:rPr>
          <w:rFonts w:cstheme="minorHAnsi"/>
          <w:sz w:val="24"/>
          <w:szCs w:val="24"/>
        </w:rPr>
        <w:t xml:space="preserve"> one-off</w:t>
      </w:r>
      <w:r w:rsidR="00590158" w:rsidRPr="00C21939">
        <w:rPr>
          <w:rFonts w:cstheme="minorHAnsi"/>
          <w:sz w:val="24"/>
          <w:szCs w:val="24"/>
        </w:rPr>
        <w:t xml:space="preserve"> incident</w:t>
      </w:r>
      <w:r w:rsidR="004F1AD6" w:rsidRPr="00C21939">
        <w:rPr>
          <w:rFonts w:cstheme="minorHAnsi"/>
          <w:sz w:val="24"/>
          <w:szCs w:val="24"/>
        </w:rPr>
        <w:t xml:space="preserve">. We therefore invite the Committee to </w:t>
      </w:r>
      <w:r w:rsidR="00590158" w:rsidRPr="00C21939">
        <w:rPr>
          <w:rFonts w:cstheme="minorHAnsi"/>
          <w:sz w:val="24"/>
          <w:szCs w:val="24"/>
        </w:rPr>
        <w:t xml:space="preserve">consider </w:t>
      </w:r>
      <w:r w:rsidR="004F1AD6" w:rsidRPr="00C21939">
        <w:rPr>
          <w:rFonts w:cstheme="minorHAnsi"/>
          <w:sz w:val="24"/>
          <w:szCs w:val="24"/>
        </w:rPr>
        <w:t>delet</w:t>
      </w:r>
      <w:r w:rsidR="00590158" w:rsidRPr="00C21939">
        <w:rPr>
          <w:rFonts w:cstheme="minorHAnsi"/>
          <w:sz w:val="24"/>
          <w:szCs w:val="24"/>
        </w:rPr>
        <w:t>ion of</w:t>
      </w:r>
      <w:r w:rsidR="004F1AD6" w:rsidRPr="00C21939">
        <w:rPr>
          <w:rFonts w:cstheme="minorHAnsi"/>
          <w:sz w:val="24"/>
          <w:szCs w:val="24"/>
        </w:rPr>
        <w:t xml:space="preserve"> the prohibition of renovation of existing institutions</w:t>
      </w:r>
      <w:r w:rsidR="005B7509" w:rsidRPr="00C21939">
        <w:rPr>
          <w:rFonts w:cstheme="minorHAnsi"/>
          <w:sz w:val="24"/>
          <w:szCs w:val="24"/>
        </w:rPr>
        <w:t xml:space="preserve"> altogether</w:t>
      </w:r>
      <w:r w:rsidR="004F1AD6" w:rsidRPr="00C21939">
        <w:rPr>
          <w:rFonts w:cstheme="minorHAnsi"/>
          <w:sz w:val="24"/>
          <w:szCs w:val="24"/>
        </w:rPr>
        <w:t xml:space="preserve"> (which could</w:t>
      </w:r>
      <w:r w:rsidR="00296159">
        <w:rPr>
          <w:rFonts w:cstheme="minorHAnsi"/>
          <w:sz w:val="24"/>
          <w:szCs w:val="24"/>
        </w:rPr>
        <w:t xml:space="preserve"> further</w:t>
      </w:r>
      <w:r w:rsidR="004F1AD6" w:rsidRPr="00C21939">
        <w:rPr>
          <w:rFonts w:cstheme="minorHAnsi"/>
          <w:sz w:val="24"/>
          <w:szCs w:val="24"/>
        </w:rPr>
        <w:t xml:space="preserve"> violate the rights of those awaiting to transit)</w:t>
      </w:r>
      <w:r w:rsidR="009F1DFE" w:rsidRPr="00C21939">
        <w:rPr>
          <w:rFonts w:cstheme="minorHAnsi"/>
          <w:sz w:val="24"/>
          <w:szCs w:val="24"/>
        </w:rPr>
        <w:t>.</w:t>
      </w:r>
      <w:r w:rsidR="004F1AD6" w:rsidRPr="00C21939">
        <w:rPr>
          <w:rFonts w:cstheme="minorHAnsi"/>
          <w:sz w:val="24"/>
          <w:szCs w:val="24"/>
        </w:rPr>
        <w:t xml:space="preserve"> </w:t>
      </w:r>
      <w:r w:rsidR="009F1DFE" w:rsidRPr="00C21939">
        <w:rPr>
          <w:rFonts w:cstheme="minorHAnsi"/>
          <w:sz w:val="24"/>
          <w:szCs w:val="24"/>
        </w:rPr>
        <w:t>I</w:t>
      </w:r>
      <w:r w:rsidR="004F1AD6" w:rsidRPr="00C21939">
        <w:rPr>
          <w:rFonts w:cstheme="minorHAnsi"/>
          <w:sz w:val="24"/>
          <w:szCs w:val="24"/>
        </w:rPr>
        <w:t xml:space="preserve">n the alternative, </w:t>
      </w:r>
      <w:r w:rsidR="009F1DFE" w:rsidRPr="00C21939">
        <w:rPr>
          <w:rFonts w:cstheme="minorHAnsi"/>
          <w:sz w:val="24"/>
          <w:szCs w:val="24"/>
        </w:rPr>
        <w:t xml:space="preserve">consider using </w:t>
      </w:r>
      <w:r w:rsidR="004F1AD6" w:rsidRPr="00C21939">
        <w:rPr>
          <w:rFonts w:cstheme="minorHAnsi"/>
          <w:sz w:val="24"/>
          <w:szCs w:val="24"/>
        </w:rPr>
        <w:t>word</w:t>
      </w:r>
      <w:r w:rsidR="009F1DFE" w:rsidRPr="00C21939">
        <w:rPr>
          <w:rFonts w:cstheme="minorHAnsi"/>
          <w:sz w:val="24"/>
          <w:szCs w:val="24"/>
        </w:rPr>
        <w:t>s</w:t>
      </w:r>
      <w:r w:rsidR="004F1AD6" w:rsidRPr="00C21939">
        <w:rPr>
          <w:rFonts w:cstheme="minorHAnsi"/>
          <w:sz w:val="24"/>
          <w:szCs w:val="24"/>
        </w:rPr>
        <w:t xml:space="preserve"> such as ‘discourage’ </w:t>
      </w:r>
      <w:r w:rsidR="009F1DFE" w:rsidRPr="00C21939">
        <w:rPr>
          <w:rFonts w:cstheme="minorHAnsi"/>
          <w:sz w:val="24"/>
          <w:szCs w:val="24"/>
        </w:rPr>
        <w:t xml:space="preserve">rather than an absolute ban which could </w:t>
      </w:r>
      <w:r w:rsidR="00BA7318" w:rsidRPr="00C21939">
        <w:rPr>
          <w:rFonts w:cstheme="minorHAnsi"/>
          <w:sz w:val="24"/>
          <w:szCs w:val="24"/>
        </w:rPr>
        <w:t>aggravate</w:t>
      </w:r>
      <w:r w:rsidR="009F1DFE" w:rsidRPr="00C21939">
        <w:rPr>
          <w:rFonts w:cstheme="minorHAnsi"/>
          <w:sz w:val="24"/>
          <w:szCs w:val="24"/>
        </w:rPr>
        <w:t xml:space="preserve"> harm</w:t>
      </w:r>
      <w:r w:rsidR="004F1AD6" w:rsidRPr="00C21939">
        <w:rPr>
          <w:rFonts w:cstheme="minorHAnsi"/>
          <w:sz w:val="24"/>
          <w:szCs w:val="24"/>
        </w:rPr>
        <w:t>. The Guidelines should make provisions to ensure that the rights of persons with disabilities are respected in the transition period</w:t>
      </w:r>
      <w:r w:rsidR="00636C75">
        <w:rPr>
          <w:rFonts w:cstheme="minorHAnsi"/>
          <w:sz w:val="24"/>
          <w:szCs w:val="24"/>
        </w:rPr>
        <w:t xml:space="preserve"> including a clear, effective complaint handling process</w:t>
      </w:r>
      <w:r w:rsidR="004F1AD6" w:rsidRPr="00C21939">
        <w:rPr>
          <w:rFonts w:cstheme="minorHAnsi"/>
          <w:sz w:val="24"/>
          <w:szCs w:val="24"/>
        </w:rPr>
        <w:t>.</w:t>
      </w:r>
    </w:p>
    <w:p w14:paraId="79A9929B" w14:textId="3B0AE9E2" w:rsidR="00757BA5" w:rsidRPr="00C21939" w:rsidRDefault="00757BA5" w:rsidP="006906EE">
      <w:pPr>
        <w:pStyle w:val="ListParagraph"/>
        <w:numPr>
          <w:ilvl w:val="0"/>
          <w:numId w:val="2"/>
        </w:numPr>
        <w:spacing w:line="276" w:lineRule="auto"/>
        <w:rPr>
          <w:rFonts w:cstheme="minorHAnsi"/>
          <w:sz w:val="24"/>
          <w:szCs w:val="24"/>
        </w:rPr>
      </w:pPr>
      <w:r w:rsidRPr="00C21939">
        <w:rPr>
          <w:rFonts w:cstheme="minorHAnsi"/>
          <w:sz w:val="24"/>
          <w:szCs w:val="24"/>
          <w:lang w:val="en-US"/>
        </w:rPr>
        <w:lastRenderedPageBreak/>
        <w:t xml:space="preserve"> The Guidelines should also take into account the role of subnational governments towards this cause</w:t>
      </w:r>
      <w:r w:rsidR="007310BC" w:rsidRPr="00C21939">
        <w:rPr>
          <w:rFonts w:cstheme="minorHAnsi"/>
          <w:sz w:val="24"/>
          <w:szCs w:val="24"/>
          <w:lang w:val="en-US"/>
        </w:rPr>
        <w:t xml:space="preserve"> </w:t>
      </w:r>
      <w:r w:rsidR="00D57765" w:rsidRPr="00C21939">
        <w:rPr>
          <w:rFonts w:cstheme="minorHAnsi"/>
          <w:sz w:val="24"/>
          <w:szCs w:val="24"/>
          <w:lang w:val="en-US"/>
        </w:rPr>
        <w:t>(dependent on the country context)</w:t>
      </w:r>
      <w:r w:rsidRPr="00C21939">
        <w:rPr>
          <w:rFonts w:cstheme="minorHAnsi"/>
          <w:sz w:val="24"/>
          <w:szCs w:val="24"/>
          <w:lang w:val="en-US"/>
        </w:rPr>
        <w:t>. As such</w:t>
      </w:r>
      <w:r w:rsidR="00551706" w:rsidRPr="00C21939">
        <w:rPr>
          <w:rFonts w:cstheme="minorHAnsi"/>
          <w:sz w:val="24"/>
          <w:szCs w:val="24"/>
          <w:lang w:val="en-US"/>
        </w:rPr>
        <w:t>,</w:t>
      </w:r>
      <w:r w:rsidRPr="00C21939">
        <w:rPr>
          <w:rFonts w:cstheme="minorHAnsi"/>
          <w:sz w:val="24"/>
          <w:szCs w:val="24"/>
          <w:lang w:val="en-US"/>
        </w:rPr>
        <w:t xml:space="preserve"> budgets by the local governments and</w:t>
      </w:r>
      <w:r w:rsidR="00590158" w:rsidRPr="00C21939">
        <w:rPr>
          <w:rFonts w:cstheme="minorHAnsi"/>
          <w:sz w:val="24"/>
          <w:szCs w:val="24"/>
          <w:lang w:val="en-US"/>
        </w:rPr>
        <w:t xml:space="preserve"> other</w:t>
      </w:r>
      <w:r w:rsidRPr="00C21939">
        <w:rPr>
          <w:rFonts w:cstheme="minorHAnsi"/>
          <w:sz w:val="24"/>
          <w:szCs w:val="24"/>
          <w:lang w:val="en-US"/>
        </w:rPr>
        <w:t xml:space="preserve"> lower levels of government should be </w:t>
      </w:r>
      <w:r w:rsidR="00551706" w:rsidRPr="00C21939">
        <w:rPr>
          <w:rFonts w:cstheme="minorHAnsi"/>
          <w:sz w:val="24"/>
          <w:szCs w:val="24"/>
          <w:lang w:val="en-US"/>
        </w:rPr>
        <w:t xml:space="preserve">monitored to ensure </w:t>
      </w:r>
      <w:r w:rsidR="00590158" w:rsidRPr="00C21939">
        <w:rPr>
          <w:rFonts w:cstheme="minorHAnsi"/>
          <w:sz w:val="24"/>
          <w:szCs w:val="24"/>
          <w:lang w:val="en-US"/>
        </w:rPr>
        <w:t>compliance with the Guidelines.</w:t>
      </w:r>
    </w:p>
    <w:bookmarkEnd w:id="2"/>
    <w:p w14:paraId="262C7A93" w14:textId="6AC51271" w:rsidR="00A50CFD" w:rsidRPr="00C21939" w:rsidRDefault="00A50CFD" w:rsidP="006906EE">
      <w:pPr>
        <w:pStyle w:val="ListParagraph"/>
        <w:spacing w:line="276" w:lineRule="auto"/>
        <w:ind w:left="360"/>
        <w:rPr>
          <w:rFonts w:cstheme="minorHAnsi"/>
          <w:sz w:val="24"/>
          <w:szCs w:val="24"/>
        </w:rPr>
      </w:pPr>
    </w:p>
    <w:p w14:paraId="4597A5B4" w14:textId="60C62A10" w:rsidR="0002370D" w:rsidRPr="00C21939" w:rsidRDefault="00DC3420" w:rsidP="006906EE">
      <w:pPr>
        <w:spacing w:line="276" w:lineRule="auto"/>
        <w:rPr>
          <w:rFonts w:cstheme="minorHAnsi"/>
          <w:b/>
          <w:sz w:val="24"/>
          <w:szCs w:val="24"/>
        </w:rPr>
      </w:pPr>
      <w:r w:rsidRPr="00C21939">
        <w:rPr>
          <w:rFonts w:cstheme="minorHAnsi"/>
          <w:b/>
          <w:sz w:val="24"/>
          <w:szCs w:val="24"/>
        </w:rPr>
        <w:t>Deinstitutionalization grounded on a person-</w:t>
      </w:r>
      <w:r w:rsidR="00C2258E" w:rsidRPr="00C21939">
        <w:rPr>
          <w:rFonts w:cstheme="minorHAnsi"/>
          <w:b/>
          <w:sz w:val="24"/>
          <w:szCs w:val="24"/>
        </w:rPr>
        <w:t>centred</w:t>
      </w:r>
      <w:r w:rsidRPr="00C21939">
        <w:rPr>
          <w:rFonts w:cstheme="minorHAnsi"/>
          <w:b/>
          <w:sz w:val="24"/>
          <w:szCs w:val="24"/>
        </w:rPr>
        <w:t xml:space="preserve"> and differentiated approach</w:t>
      </w:r>
    </w:p>
    <w:p w14:paraId="65BCC08E" w14:textId="63682192" w:rsidR="00DC3420" w:rsidRPr="00C21939" w:rsidRDefault="006F6B0B" w:rsidP="006906EE">
      <w:pPr>
        <w:pStyle w:val="ListParagraph"/>
        <w:numPr>
          <w:ilvl w:val="0"/>
          <w:numId w:val="2"/>
        </w:numPr>
        <w:spacing w:line="276" w:lineRule="auto"/>
        <w:rPr>
          <w:rFonts w:cstheme="minorHAnsi"/>
          <w:sz w:val="24"/>
          <w:szCs w:val="24"/>
        </w:rPr>
      </w:pPr>
      <w:r w:rsidRPr="00C21939">
        <w:rPr>
          <w:rFonts w:cstheme="minorHAnsi"/>
          <w:sz w:val="24"/>
          <w:szCs w:val="24"/>
        </w:rPr>
        <w:t>With regard</w:t>
      </w:r>
      <w:r w:rsidR="00DC3420" w:rsidRPr="00C21939">
        <w:rPr>
          <w:rFonts w:cstheme="minorHAnsi"/>
          <w:sz w:val="24"/>
          <w:szCs w:val="24"/>
        </w:rPr>
        <w:t xml:space="preserve"> to supporting the families of persons with disabilities, the </w:t>
      </w:r>
      <w:r w:rsidR="00572926" w:rsidRPr="00C21939">
        <w:rPr>
          <w:rFonts w:cstheme="minorHAnsi"/>
          <w:sz w:val="24"/>
          <w:szCs w:val="24"/>
        </w:rPr>
        <w:t>National Commission</w:t>
      </w:r>
      <w:r w:rsidR="00DC3420" w:rsidRPr="00C21939">
        <w:rPr>
          <w:rFonts w:cstheme="minorHAnsi"/>
          <w:sz w:val="24"/>
          <w:szCs w:val="24"/>
        </w:rPr>
        <w:t xml:space="preserve"> </w:t>
      </w:r>
      <w:r w:rsidR="00DC3420" w:rsidRPr="00C21939">
        <w:rPr>
          <w:rFonts w:cstheme="minorHAnsi"/>
          <w:b/>
          <w:sz w:val="24"/>
          <w:szCs w:val="24"/>
        </w:rPr>
        <w:t xml:space="preserve">appreciates </w:t>
      </w:r>
      <w:r w:rsidR="00515E63" w:rsidRPr="00C21939">
        <w:rPr>
          <w:rFonts w:cstheme="minorHAnsi"/>
          <w:sz w:val="24"/>
          <w:szCs w:val="24"/>
        </w:rPr>
        <w:t>national safety net programs such as the Cash Transfer for Persons with Severe D</w:t>
      </w:r>
      <w:r w:rsidR="00C2258E" w:rsidRPr="00C21939">
        <w:rPr>
          <w:rFonts w:cstheme="minorHAnsi"/>
          <w:sz w:val="24"/>
          <w:szCs w:val="24"/>
        </w:rPr>
        <w:t xml:space="preserve">isabilities </w:t>
      </w:r>
      <w:r w:rsidR="00E51D5A" w:rsidRPr="00C21939">
        <w:rPr>
          <w:rFonts w:cstheme="minorHAnsi"/>
          <w:sz w:val="24"/>
          <w:szCs w:val="24"/>
        </w:rPr>
        <w:t>(PWSD-CT)</w:t>
      </w:r>
      <w:r w:rsidR="00A11951" w:rsidRPr="00C21939">
        <w:rPr>
          <w:rFonts w:cstheme="minorHAnsi"/>
          <w:sz w:val="24"/>
          <w:szCs w:val="24"/>
        </w:rPr>
        <w:t xml:space="preserve"> as in the case of Kenya</w:t>
      </w:r>
      <w:r w:rsidR="00C2258E" w:rsidRPr="00C21939">
        <w:rPr>
          <w:rFonts w:cstheme="minorHAnsi"/>
          <w:sz w:val="24"/>
          <w:szCs w:val="24"/>
        </w:rPr>
        <w:t xml:space="preserve">. However, the Commission </w:t>
      </w:r>
      <w:r w:rsidR="00C2258E" w:rsidRPr="00C21939">
        <w:rPr>
          <w:rFonts w:cstheme="minorHAnsi"/>
          <w:b/>
          <w:sz w:val="24"/>
          <w:szCs w:val="24"/>
        </w:rPr>
        <w:t xml:space="preserve">regrets </w:t>
      </w:r>
      <w:r w:rsidR="00C2258E" w:rsidRPr="00C21939">
        <w:rPr>
          <w:rFonts w:cstheme="minorHAnsi"/>
          <w:sz w:val="24"/>
          <w:szCs w:val="24"/>
        </w:rPr>
        <w:t xml:space="preserve">that registration on the program </w:t>
      </w:r>
      <w:r w:rsidR="00DB3C32" w:rsidRPr="00C21939">
        <w:rPr>
          <w:rFonts w:cstheme="minorHAnsi"/>
          <w:sz w:val="24"/>
          <w:szCs w:val="24"/>
        </w:rPr>
        <w:t xml:space="preserve">and similar programs </w:t>
      </w:r>
      <w:r w:rsidR="00C2258E" w:rsidRPr="00C21939">
        <w:rPr>
          <w:rFonts w:cstheme="minorHAnsi"/>
          <w:sz w:val="24"/>
          <w:szCs w:val="24"/>
        </w:rPr>
        <w:t xml:space="preserve">as a beneficiary can be long, tedious </w:t>
      </w:r>
      <w:r w:rsidR="00A11951" w:rsidRPr="00C21939">
        <w:rPr>
          <w:rFonts w:cstheme="minorHAnsi"/>
          <w:sz w:val="24"/>
          <w:szCs w:val="24"/>
        </w:rPr>
        <w:t>and prone</w:t>
      </w:r>
      <w:r w:rsidR="00C2258E" w:rsidRPr="00C21939">
        <w:rPr>
          <w:rFonts w:cstheme="minorHAnsi"/>
          <w:sz w:val="24"/>
          <w:szCs w:val="24"/>
        </w:rPr>
        <w:t xml:space="preserve"> to abuse. Also, it can take </w:t>
      </w:r>
      <w:r w:rsidR="005C2B48" w:rsidRPr="00C21939">
        <w:rPr>
          <w:rFonts w:cstheme="minorHAnsi"/>
          <w:sz w:val="24"/>
          <w:szCs w:val="24"/>
        </w:rPr>
        <w:t xml:space="preserve">beneficiaries </w:t>
      </w:r>
      <w:r w:rsidR="00C2258E" w:rsidRPr="00C21939">
        <w:rPr>
          <w:rFonts w:cstheme="minorHAnsi"/>
          <w:sz w:val="24"/>
          <w:szCs w:val="24"/>
        </w:rPr>
        <w:t>long to receive the funds, thereby exacerbating an already dire situation.</w:t>
      </w:r>
      <w:r w:rsidR="005C2B48" w:rsidRPr="00C21939">
        <w:rPr>
          <w:rFonts w:cstheme="minorHAnsi"/>
          <w:sz w:val="24"/>
          <w:szCs w:val="24"/>
        </w:rPr>
        <w:t xml:space="preserve"> The National Commission </w:t>
      </w:r>
      <w:r w:rsidR="005C2B48" w:rsidRPr="00C21939">
        <w:rPr>
          <w:rFonts w:cstheme="minorHAnsi"/>
          <w:b/>
          <w:sz w:val="24"/>
          <w:szCs w:val="24"/>
        </w:rPr>
        <w:t>urges</w:t>
      </w:r>
      <w:r w:rsidR="00DB7546" w:rsidRPr="00C21939">
        <w:rPr>
          <w:rFonts w:cstheme="minorHAnsi"/>
          <w:sz w:val="24"/>
          <w:szCs w:val="24"/>
        </w:rPr>
        <w:t xml:space="preserve"> provision</w:t>
      </w:r>
      <w:r w:rsidR="00A11951" w:rsidRPr="00C21939">
        <w:rPr>
          <w:rFonts w:cstheme="minorHAnsi"/>
          <w:sz w:val="24"/>
          <w:szCs w:val="24"/>
        </w:rPr>
        <w:t>s f</w:t>
      </w:r>
      <w:r w:rsidR="00DB7546" w:rsidRPr="00C21939">
        <w:rPr>
          <w:rFonts w:cstheme="minorHAnsi"/>
          <w:sz w:val="24"/>
          <w:szCs w:val="24"/>
        </w:rPr>
        <w:t>or State Parties to</w:t>
      </w:r>
      <w:r w:rsidR="005C2B48" w:rsidRPr="00C21939">
        <w:rPr>
          <w:rFonts w:cstheme="minorHAnsi"/>
          <w:sz w:val="24"/>
          <w:szCs w:val="24"/>
        </w:rPr>
        <w:t xml:space="preserve"> ensure that their safety net programs, </w:t>
      </w:r>
      <w:r w:rsidR="00E51D5A" w:rsidRPr="00C21939">
        <w:rPr>
          <w:rFonts w:cstheme="minorHAnsi"/>
          <w:sz w:val="24"/>
          <w:szCs w:val="24"/>
        </w:rPr>
        <w:t>are more responsive</w:t>
      </w:r>
      <w:r w:rsidR="0082138E" w:rsidRPr="00C21939">
        <w:rPr>
          <w:rFonts w:cstheme="minorHAnsi"/>
          <w:sz w:val="24"/>
          <w:szCs w:val="24"/>
        </w:rPr>
        <w:t xml:space="preserve"> to the needs of persons with disabilities</w:t>
      </w:r>
      <w:r w:rsidR="005C2B48" w:rsidRPr="00C21939">
        <w:rPr>
          <w:rFonts w:cstheme="minorHAnsi"/>
          <w:sz w:val="24"/>
          <w:szCs w:val="24"/>
        </w:rPr>
        <w:t xml:space="preserve">. </w:t>
      </w:r>
    </w:p>
    <w:p w14:paraId="0774E98F" w14:textId="365382A4" w:rsidR="00C2258E" w:rsidRPr="00C21939" w:rsidRDefault="00C2258E" w:rsidP="006906EE">
      <w:pPr>
        <w:pStyle w:val="ListParagraph"/>
        <w:numPr>
          <w:ilvl w:val="0"/>
          <w:numId w:val="2"/>
        </w:numPr>
        <w:spacing w:line="276" w:lineRule="auto"/>
        <w:rPr>
          <w:rFonts w:cstheme="minorHAnsi"/>
          <w:sz w:val="24"/>
          <w:szCs w:val="24"/>
        </w:rPr>
      </w:pPr>
      <w:r w:rsidRPr="00C21939">
        <w:rPr>
          <w:rFonts w:cstheme="minorHAnsi"/>
          <w:sz w:val="24"/>
          <w:szCs w:val="24"/>
        </w:rPr>
        <w:t>The</w:t>
      </w:r>
      <w:r w:rsidR="00572926" w:rsidRPr="00C21939">
        <w:rPr>
          <w:rFonts w:cstheme="minorHAnsi"/>
          <w:sz w:val="24"/>
          <w:szCs w:val="24"/>
        </w:rPr>
        <w:t xml:space="preserve"> National</w:t>
      </w:r>
      <w:r w:rsidRPr="00C21939">
        <w:rPr>
          <w:rFonts w:cstheme="minorHAnsi"/>
          <w:sz w:val="24"/>
          <w:szCs w:val="24"/>
        </w:rPr>
        <w:t xml:space="preserve"> Commission </w:t>
      </w:r>
      <w:r w:rsidRPr="00C21939">
        <w:rPr>
          <w:rFonts w:cstheme="minorHAnsi"/>
          <w:b/>
          <w:sz w:val="24"/>
          <w:szCs w:val="24"/>
        </w:rPr>
        <w:t>recognizes</w:t>
      </w:r>
      <w:r w:rsidRPr="00C21939">
        <w:rPr>
          <w:rFonts w:cstheme="minorHAnsi"/>
          <w:sz w:val="24"/>
          <w:szCs w:val="24"/>
        </w:rPr>
        <w:t xml:space="preserve"> the importance of intersectionality in ending discrimination against persons with disabilities. This includes looking beyond the disability and considering other traits such as race, age, </w:t>
      </w:r>
      <w:r w:rsidR="00515E63" w:rsidRPr="00C21939">
        <w:rPr>
          <w:rFonts w:cstheme="minorHAnsi"/>
          <w:sz w:val="24"/>
          <w:szCs w:val="24"/>
        </w:rPr>
        <w:t xml:space="preserve">sex, gender identity, sexual orientation, gender expression, intersex variation, language, religion, ethnic, indigenous or social origin, migrant or refugee status, age, or impairment group, or other status. </w:t>
      </w:r>
    </w:p>
    <w:p w14:paraId="12BF6190" w14:textId="431270B0" w:rsidR="006F6B0B" w:rsidRPr="00C21939" w:rsidRDefault="008403A1" w:rsidP="006906EE">
      <w:pPr>
        <w:pStyle w:val="ListParagraph"/>
        <w:numPr>
          <w:ilvl w:val="0"/>
          <w:numId w:val="2"/>
        </w:numPr>
        <w:spacing w:line="276" w:lineRule="auto"/>
        <w:rPr>
          <w:rFonts w:cstheme="minorHAnsi"/>
          <w:sz w:val="24"/>
          <w:szCs w:val="24"/>
        </w:rPr>
      </w:pPr>
      <w:r w:rsidRPr="00C21939">
        <w:rPr>
          <w:rFonts w:cstheme="minorHAnsi"/>
          <w:sz w:val="24"/>
          <w:szCs w:val="24"/>
        </w:rPr>
        <w:t xml:space="preserve">The National Commission </w:t>
      </w:r>
      <w:r w:rsidRPr="00C21939">
        <w:rPr>
          <w:rFonts w:cstheme="minorHAnsi"/>
          <w:b/>
          <w:sz w:val="24"/>
          <w:szCs w:val="24"/>
        </w:rPr>
        <w:t xml:space="preserve">agrees </w:t>
      </w:r>
      <w:r w:rsidRPr="00C21939">
        <w:rPr>
          <w:rFonts w:cstheme="minorHAnsi"/>
          <w:sz w:val="24"/>
          <w:szCs w:val="24"/>
        </w:rPr>
        <w:t>with the Committee that women and girls with disabilities are at an even higher risk of exposure to multiple discrimination including stigmatization and gender-based violence.</w:t>
      </w:r>
      <w:r w:rsidR="00E51D5A" w:rsidRPr="00C21939">
        <w:rPr>
          <w:rFonts w:cstheme="minorHAnsi"/>
          <w:sz w:val="24"/>
          <w:szCs w:val="24"/>
        </w:rPr>
        <w:t xml:space="preserve"> It therefore calls on Kenya</w:t>
      </w:r>
      <w:r w:rsidR="005C2B48" w:rsidRPr="00C21939">
        <w:rPr>
          <w:rFonts w:cstheme="minorHAnsi"/>
          <w:sz w:val="24"/>
          <w:szCs w:val="24"/>
        </w:rPr>
        <w:t>, and other State parties,</w:t>
      </w:r>
      <w:r w:rsidRPr="00C21939">
        <w:rPr>
          <w:rFonts w:cstheme="minorHAnsi"/>
          <w:sz w:val="24"/>
          <w:szCs w:val="24"/>
        </w:rPr>
        <w:t xml:space="preserve"> to </w:t>
      </w:r>
      <w:r w:rsidRPr="00C21939">
        <w:rPr>
          <w:rFonts w:cstheme="minorHAnsi"/>
          <w:b/>
          <w:sz w:val="24"/>
          <w:szCs w:val="24"/>
        </w:rPr>
        <w:t>increase</w:t>
      </w:r>
      <w:r w:rsidRPr="00C21939">
        <w:rPr>
          <w:rFonts w:cstheme="minorHAnsi"/>
          <w:sz w:val="24"/>
          <w:szCs w:val="24"/>
        </w:rPr>
        <w:t xml:space="preserve"> efforts towards protection of this vulnerable group through</w:t>
      </w:r>
      <w:r w:rsidR="0082138E" w:rsidRPr="00C21939">
        <w:rPr>
          <w:rFonts w:cstheme="minorHAnsi"/>
          <w:sz w:val="24"/>
          <w:szCs w:val="24"/>
        </w:rPr>
        <w:t xml:space="preserve"> full implementation of</w:t>
      </w:r>
      <w:r w:rsidRPr="00C21939">
        <w:rPr>
          <w:rFonts w:cstheme="minorHAnsi"/>
          <w:sz w:val="24"/>
          <w:szCs w:val="24"/>
        </w:rPr>
        <w:t xml:space="preserve"> administrative, legal and policy steps. </w:t>
      </w:r>
    </w:p>
    <w:p w14:paraId="3A58680F" w14:textId="07E1068C" w:rsidR="000A75FE" w:rsidRDefault="008403A1" w:rsidP="006906EE">
      <w:pPr>
        <w:pStyle w:val="ListParagraph"/>
        <w:numPr>
          <w:ilvl w:val="0"/>
          <w:numId w:val="2"/>
        </w:numPr>
        <w:spacing w:line="276" w:lineRule="auto"/>
        <w:rPr>
          <w:rFonts w:cstheme="minorHAnsi"/>
          <w:sz w:val="24"/>
          <w:szCs w:val="24"/>
        </w:rPr>
      </w:pPr>
      <w:r w:rsidRPr="00C21939">
        <w:rPr>
          <w:rFonts w:cstheme="minorHAnsi"/>
          <w:sz w:val="24"/>
          <w:szCs w:val="24"/>
        </w:rPr>
        <w:t xml:space="preserve">The National Commission </w:t>
      </w:r>
      <w:r w:rsidRPr="00C21939">
        <w:rPr>
          <w:rFonts w:cstheme="minorHAnsi"/>
          <w:b/>
          <w:sz w:val="24"/>
          <w:szCs w:val="24"/>
        </w:rPr>
        <w:t>supports</w:t>
      </w:r>
      <w:r w:rsidRPr="00C21939">
        <w:rPr>
          <w:rFonts w:cstheme="minorHAnsi"/>
          <w:sz w:val="24"/>
          <w:szCs w:val="24"/>
        </w:rPr>
        <w:t xml:space="preserve"> the proposal to ensure that children with disabilities grow up in a family setting, type notwithstanding. Therefore, it calls on </w:t>
      </w:r>
      <w:r w:rsidR="0082138E" w:rsidRPr="00C21939">
        <w:rPr>
          <w:rFonts w:cstheme="minorHAnsi"/>
          <w:sz w:val="24"/>
          <w:szCs w:val="24"/>
        </w:rPr>
        <w:t>State Parties,</w:t>
      </w:r>
      <w:r w:rsidR="005C2B48" w:rsidRPr="00C21939">
        <w:rPr>
          <w:rFonts w:cstheme="minorHAnsi"/>
          <w:sz w:val="24"/>
          <w:szCs w:val="24"/>
        </w:rPr>
        <w:t xml:space="preserve"> to</w:t>
      </w:r>
      <w:r w:rsidRPr="00C21939">
        <w:rPr>
          <w:rFonts w:cstheme="minorHAnsi"/>
          <w:sz w:val="24"/>
          <w:szCs w:val="24"/>
        </w:rPr>
        <w:t xml:space="preserve"> expedite the release of children with disabilities in </w:t>
      </w:r>
      <w:r w:rsidR="00572926" w:rsidRPr="00C21939">
        <w:rPr>
          <w:rFonts w:cstheme="minorHAnsi"/>
          <w:sz w:val="24"/>
          <w:szCs w:val="24"/>
        </w:rPr>
        <w:t>“</w:t>
      </w:r>
      <w:r w:rsidRPr="00C21939">
        <w:rPr>
          <w:rFonts w:cstheme="minorHAnsi"/>
          <w:sz w:val="24"/>
          <w:szCs w:val="24"/>
        </w:rPr>
        <w:t>approved schools</w:t>
      </w:r>
      <w:r w:rsidR="00572926" w:rsidRPr="00C21939">
        <w:rPr>
          <w:rFonts w:cstheme="minorHAnsi"/>
          <w:sz w:val="24"/>
          <w:szCs w:val="24"/>
        </w:rPr>
        <w:t>”</w:t>
      </w:r>
      <w:r w:rsidRPr="00C21939">
        <w:rPr>
          <w:rFonts w:cstheme="minorHAnsi"/>
          <w:sz w:val="24"/>
          <w:szCs w:val="24"/>
        </w:rPr>
        <w:t xml:space="preserve"> and other institutions. </w:t>
      </w:r>
    </w:p>
    <w:p w14:paraId="5EC4DBE2" w14:textId="413461B1" w:rsidR="00636C75" w:rsidRDefault="00636C75" w:rsidP="00636C75">
      <w:pPr>
        <w:pStyle w:val="ListParagraph"/>
        <w:spacing w:line="276" w:lineRule="auto"/>
        <w:ind w:left="1080"/>
        <w:rPr>
          <w:rFonts w:cstheme="minorHAnsi"/>
          <w:sz w:val="24"/>
          <w:szCs w:val="24"/>
        </w:rPr>
      </w:pPr>
    </w:p>
    <w:p w14:paraId="11948F0E" w14:textId="0B40D811" w:rsidR="00636C75" w:rsidRDefault="00636C75" w:rsidP="00636C75">
      <w:pPr>
        <w:pStyle w:val="ListParagraph"/>
        <w:spacing w:line="276" w:lineRule="auto"/>
        <w:ind w:left="1080"/>
        <w:rPr>
          <w:rFonts w:cstheme="minorHAnsi"/>
          <w:sz w:val="24"/>
          <w:szCs w:val="24"/>
        </w:rPr>
      </w:pPr>
    </w:p>
    <w:p w14:paraId="51ADBEB2" w14:textId="11798730" w:rsidR="00636C75" w:rsidRDefault="00636C75" w:rsidP="00636C75">
      <w:pPr>
        <w:pStyle w:val="ListParagraph"/>
        <w:spacing w:line="276" w:lineRule="auto"/>
        <w:ind w:left="1080"/>
        <w:rPr>
          <w:rFonts w:cstheme="minorHAnsi"/>
          <w:sz w:val="24"/>
          <w:szCs w:val="24"/>
        </w:rPr>
      </w:pPr>
    </w:p>
    <w:p w14:paraId="7E43EBB7" w14:textId="0EB6BCED" w:rsidR="00636C75" w:rsidRDefault="00636C75" w:rsidP="00636C75">
      <w:pPr>
        <w:pStyle w:val="ListParagraph"/>
        <w:spacing w:line="276" w:lineRule="auto"/>
        <w:ind w:left="1080"/>
        <w:rPr>
          <w:rFonts w:cstheme="minorHAnsi"/>
          <w:sz w:val="24"/>
          <w:szCs w:val="24"/>
        </w:rPr>
      </w:pPr>
    </w:p>
    <w:p w14:paraId="137A83E0" w14:textId="5E21EF8E" w:rsidR="00636C75" w:rsidRDefault="00636C75" w:rsidP="00636C75">
      <w:pPr>
        <w:pStyle w:val="ListParagraph"/>
        <w:spacing w:line="276" w:lineRule="auto"/>
        <w:ind w:left="1080"/>
        <w:rPr>
          <w:rFonts w:cstheme="minorHAnsi"/>
          <w:sz w:val="24"/>
          <w:szCs w:val="24"/>
        </w:rPr>
      </w:pPr>
    </w:p>
    <w:p w14:paraId="56F009DA" w14:textId="51B6E648" w:rsidR="00636C75" w:rsidRDefault="00636C75" w:rsidP="00636C75">
      <w:pPr>
        <w:pStyle w:val="ListParagraph"/>
        <w:spacing w:line="276" w:lineRule="auto"/>
        <w:ind w:left="1080"/>
        <w:rPr>
          <w:rFonts w:cstheme="minorHAnsi"/>
          <w:sz w:val="24"/>
          <w:szCs w:val="24"/>
        </w:rPr>
      </w:pPr>
    </w:p>
    <w:p w14:paraId="70AD3C2F" w14:textId="77777777" w:rsidR="00636C75" w:rsidRPr="00C21939" w:rsidRDefault="00636C75" w:rsidP="00636C75">
      <w:pPr>
        <w:pStyle w:val="ListParagraph"/>
        <w:spacing w:line="276" w:lineRule="auto"/>
        <w:ind w:left="1080"/>
        <w:rPr>
          <w:rFonts w:cstheme="minorHAnsi"/>
          <w:sz w:val="24"/>
          <w:szCs w:val="24"/>
        </w:rPr>
      </w:pPr>
    </w:p>
    <w:p w14:paraId="1B8C87EA" w14:textId="6DACD81E" w:rsidR="006F6B0B" w:rsidRPr="00C21939" w:rsidRDefault="006F6B0B" w:rsidP="006906EE">
      <w:pPr>
        <w:spacing w:before="240" w:line="276" w:lineRule="auto"/>
        <w:rPr>
          <w:rFonts w:cstheme="minorHAnsi"/>
          <w:b/>
          <w:sz w:val="24"/>
          <w:szCs w:val="24"/>
        </w:rPr>
      </w:pPr>
      <w:r w:rsidRPr="00C21939">
        <w:rPr>
          <w:rFonts w:cstheme="minorHAnsi"/>
          <w:b/>
          <w:sz w:val="24"/>
          <w:szCs w:val="24"/>
        </w:rPr>
        <w:lastRenderedPageBreak/>
        <w:t>Enabling legal and policy frameworks</w:t>
      </w:r>
    </w:p>
    <w:p w14:paraId="69B9EA17" w14:textId="665316DE" w:rsidR="006F6B0B" w:rsidRPr="00C21939" w:rsidRDefault="006F6B0B" w:rsidP="006906EE">
      <w:pPr>
        <w:pStyle w:val="Heading2"/>
        <w:numPr>
          <w:ilvl w:val="0"/>
          <w:numId w:val="15"/>
        </w:numPr>
        <w:spacing w:line="276" w:lineRule="auto"/>
        <w:rPr>
          <w:rFonts w:eastAsiaTheme="minorHAnsi" w:cstheme="minorHAnsi"/>
          <w:i/>
          <w:color w:val="000000" w:themeColor="text1"/>
          <w:sz w:val="24"/>
          <w:szCs w:val="24"/>
        </w:rPr>
      </w:pPr>
      <w:bookmarkStart w:id="3" w:name="_Toc102220565"/>
      <w:r w:rsidRPr="00C21939">
        <w:rPr>
          <w:rFonts w:eastAsiaTheme="minorHAnsi" w:cstheme="minorHAnsi"/>
          <w:i/>
          <w:color w:val="000000" w:themeColor="text1"/>
          <w:sz w:val="24"/>
          <w:szCs w:val="24"/>
        </w:rPr>
        <w:t>Creating an enabling legal environment</w:t>
      </w:r>
      <w:bookmarkEnd w:id="3"/>
    </w:p>
    <w:p w14:paraId="1C5666EC" w14:textId="41ACA78B" w:rsidR="006F6B0B" w:rsidRPr="00C21939" w:rsidRDefault="00EE7021" w:rsidP="00EE7021">
      <w:pPr>
        <w:pStyle w:val="Heading3"/>
        <w:keepNext w:val="0"/>
        <w:keepLines w:val="0"/>
        <w:spacing w:before="0" w:after="160" w:line="276" w:lineRule="auto"/>
        <w:rPr>
          <w:rFonts w:asciiTheme="minorHAnsi" w:hAnsiTheme="minorHAnsi" w:cstheme="minorHAnsi"/>
          <w:b/>
          <w:i/>
          <w:iCs/>
          <w:color w:val="000000" w:themeColor="text1"/>
        </w:rPr>
      </w:pPr>
      <w:r w:rsidRPr="00C21939">
        <w:rPr>
          <w:rFonts w:asciiTheme="minorHAnsi" w:hAnsiTheme="minorHAnsi" w:cstheme="minorHAnsi"/>
          <w:b/>
          <w:i/>
          <w:iCs/>
          <w:color w:val="000000" w:themeColor="text1"/>
        </w:rPr>
        <w:t xml:space="preserve">       </w:t>
      </w:r>
      <w:r w:rsidR="006F6B0B" w:rsidRPr="00C21939">
        <w:rPr>
          <w:rFonts w:asciiTheme="minorHAnsi" w:hAnsiTheme="minorHAnsi" w:cstheme="minorHAnsi"/>
          <w:b/>
          <w:i/>
          <w:iCs/>
          <w:color w:val="000000" w:themeColor="text1"/>
        </w:rPr>
        <w:t>Right to access to justice</w:t>
      </w:r>
    </w:p>
    <w:p w14:paraId="25BA6F5A" w14:textId="087198D1" w:rsidR="004763FD" w:rsidRPr="00C21939" w:rsidRDefault="00DB3C32" w:rsidP="00A11951">
      <w:pPr>
        <w:pStyle w:val="ListParagraph"/>
        <w:numPr>
          <w:ilvl w:val="0"/>
          <w:numId w:val="2"/>
        </w:numPr>
        <w:spacing w:after="0" w:line="276" w:lineRule="auto"/>
        <w:rPr>
          <w:rFonts w:cstheme="minorHAnsi"/>
          <w:color w:val="000000" w:themeColor="text1"/>
          <w:sz w:val="24"/>
          <w:szCs w:val="24"/>
          <w:lang w:val="en-US"/>
        </w:rPr>
      </w:pPr>
      <w:r w:rsidRPr="00C21939">
        <w:rPr>
          <w:rFonts w:cstheme="minorHAnsi"/>
          <w:color w:val="000000" w:themeColor="text1"/>
          <w:sz w:val="24"/>
          <w:szCs w:val="24"/>
          <w:lang w:val="en-US"/>
        </w:rPr>
        <w:t xml:space="preserve"> </w:t>
      </w:r>
      <w:r w:rsidR="00953971" w:rsidRPr="00C21939">
        <w:rPr>
          <w:rFonts w:cstheme="minorHAnsi"/>
          <w:color w:val="000000" w:themeColor="text1"/>
          <w:sz w:val="24"/>
          <w:szCs w:val="24"/>
          <w:lang w:val="en-US"/>
        </w:rPr>
        <w:t xml:space="preserve"> </w:t>
      </w:r>
      <w:r w:rsidR="00F47CF0" w:rsidRPr="00C21939">
        <w:rPr>
          <w:rFonts w:cstheme="minorHAnsi"/>
          <w:color w:val="000000" w:themeColor="text1"/>
          <w:sz w:val="24"/>
          <w:szCs w:val="24"/>
          <w:lang w:val="en-US"/>
        </w:rPr>
        <w:t>The Guidelines fall short of providing</w:t>
      </w:r>
      <w:r w:rsidR="00E838A5" w:rsidRPr="00C21939">
        <w:rPr>
          <w:rFonts w:cstheme="minorHAnsi"/>
          <w:color w:val="000000" w:themeColor="text1"/>
          <w:sz w:val="24"/>
          <w:szCs w:val="24"/>
          <w:lang w:val="en-US"/>
        </w:rPr>
        <w:t xml:space="preserve"> </w:t>
      </w:r>
      <w:r w:rsidR="00F47CF0" w:rsidRPr="00C21939">
        <w:rPr>
          <w:rFonts w:cstheme="minorHAnsi"/>
          <w:color w:val="000000" w:themeColor="text1"/>
          <w:sz w:val="24"/>
          <w:szCs w:val="24"/>
          <w:lang w:val="en-US"/>
        </w:rPr>
        <w:t xml:space="preserve">causal links to institutionalization including the </w:t>
      </w:r>
      <w:r w:rsidR="00A11951" w:rsidRPr="00C21939">
        <w:rPr>
          <w:rFonts w:cstheme="minorHAnsi"/>
          <w:color w:val="000000" w:themeColor="text1"/>
          <w:sz w:val="24"/>
          <w:szCs w:val="24"/>
          <w:lang w:val="en-US"/>
        </w:rPr>
        <w:t>contribution of the</w:t>
      </w:r>
      <w:r w:rsidR="00F47CF0" w:rsidRPr="00C21939">
        <w:rPr>
          <w:rFonts w:cstheme="minorHAnsi"/>
          <w:color w:val="000000" w:themeColor="text1"/>
          <w:sz w:val="24"/>
          <w:szCs w:val="24"/>
          <w:lang w:val="en-US"/>
        </w:rPr>
        <w:t xml:space="preserve"> criminal justice</w:t>
      </w:r>
      <w:r w:rsidR="00A11951" w:rsidRPr="00C21939">
        <w:rPr>
          <w:rFonts w:cstheme="minorHAnsi"/>
          <w:color w:val="000000" w:themeColor="text1"/>
          <w:sz w:val="24"/>
          <w:szCs w:val="24"/>
          <w:lang w:val="en-US"/>
        </w:rPr>
        <w:t xml:space="preserve"> in this.</w:t>
      </w:r>
    </w:p>
    <w:p w14:paraId="09005096" w14:textId="77777777" w:rsidR="00EE7021" w:rsidRPr="00C21939" w:rsidRDefault="00EE7021" w:rsidP="00EE7021">
      <w:pPr>
        <w:pStyle w:val="ListParagraph"/>
        <w:spacing w:after="0" w:line="276" w:lineRule="auto"/>
        <w:ind w:left="1080"/>
        <w:rPr>
          <w:rFonts w:cstheme="minorHAnsi"/>
          <w:color w:val="000000" w:themeColor="text1"/>
          <w:sz w:val="24"/>
          <w:szCs w:val="24"/>
          <w:lang w:val="en-US"/>
        </w:rPr>
      </w:pPr>
    </w:p>
    <w:p w14:paraId="7C4E9AFF" w14:textId="53935951" w:rsidR="004763FD" w:rsidRPr="00C21939" w:rsidRDefault="004763FD" w:rsidP="004763FD">
      <w:pPr>
        <w:pStyle w:val="ListParagraph"/>
        <w:numPr>
          <w:ilvl w:val="0"/>
          <w:numId w:val="2"/>
        </w:numPr>
        <w:spacing w:after="0" w:line="276" w:lineRule="auto"/>
        <w:rPr>
          <w:rFonts w:cstheme="minorHAnsi"/>
          <w:color w:val="000000" w:themeColor="text1"/>
          <w:sz w:val="24"/>
          <w:szCs w:val="24"/>
          <w:lang w:val="en-US"/>
        </w:rPr>
      </w:pPr>
      <w:r w:rsidRPr="00C21939">
        <w:rPr>
          <w:rFonts w:cstheme="minorHAnsi"/>
          <w:color w:val="000000" w:themeColor="text1"/>
          <w:sz w:val="24"/>
          <w:szCs w:val="24"/>
          <w:lang w:val="en-US"/>
        </w:rPr>
        <w:t xml:space="preserve"> Legal aid remains an important component of access to justice especially </w:t>
      </w:r>
      <w:r w:rsidR="00845730" w:rsidRPr="00C21939">
        <w:rPr>
          <w:rFonts w:cstheme="minorHAnsi"/>
          <w:color w:val="000000" w:themeColor="text1"/>
          <w:sz w:val="24"/>
          <w:szCs w:val="24"/>
          <w:lang w:val="en-US"/>
        </w:rPr>
        <w:t xml:space="preserve">for </w:t>
      </w:r>
      <w:r w:rsidRPr="00C21939">
        <w:rPr>
          <w:rFonts w:cstheme="minorHAnsi"/>
          <w:color w:val="000000" w:themeColor="text1"/>
          <w:sz w:val="24"/>
          <w:szCs w:val="24"/>
          <w:lang w:val="en-US"/>
        </w:rPr>
        <w:t xml:space="preserve">the vulnerable. </w:t>
      </w:r>
      <w:r w:rsidR="00AD39C0" w:rsidRPr="00C21939">
        <w:rPr>
          <w:rFonts w:cstheme="minorHAnsi"/>
          <w:color w:val="000000" w:themeColor="text1"/>
          <w:sz w:val="24"/>
          <w:szCs w:val="24"/>
          <w:lang w:val="en-US"/>
        </w:rPr>
        <w:t>The practice in some</w:t>
      </w:r>
      <w:r w:rsidRPr="00C21939">
        <w:rPr>
          <w:rFonts w:cstheme="minorHAnsi"/>
          <w:color w:val="000000" w:themeColor="text1"/>
          <w:sz w:val="24"/>
          <w:szCs w:val="24"/>
          <w:lang w:val="en-US"/>
        </w:rPr>
        <w:t xml:space="preserve"> States</w:t>
      </w:r>
      <w:r w:rsidRPr="00C21939">
        <w:rPr>
          <w:rStyle w:val="FootnoteReference"/>
          <w:rFonts w:cstheme="minorHAnsi"/>
          <w:color w:val="000000" w:themeColor="text1"/>
          <w:sz w:val="24"/>
          <w:szCs w:val="24"/>
          <w:lang w:val="en-US"/>
        </w:rPr>
        <w:footnoteReference w:id="1"/>
      </w:r>
      <w:r w:rsidR="00AD39C0" w:rsidRPr="00C21939">
        <w:rPr>
          <w:rFonts w:cstheme="minorHAnsi"/>
          <w:color w:val="000000" w:themeColor="text1"/>
          <w:sz w:val="24"/>
          <w:szCs w:val="24"/>
          <w:lang w:val="en-US"/>
        </w:rPr>
        <w:t xml:space="preserve"> is such that </w:t>
      </w:r>
      <w:r w:rsidR="00AD39C0" w:rsidRPr="00C21939">
        <w:rPr>
          <w:rFonts w:cstheme="minorHAnsi"/>
          <w:sz w:val="24"/>
          <w:szCs w:val="24"/>
        </w:rPr>
        <w:t>l</w:t>
      </w:r>
      <w:r w:rsidRPr="00C21939">
        <w:rPr>
          <w:rFonts w:cstheme="minorHAnsi"/>
          <w:sz w:val="24"/>
          <w:szCs w:val="24"/>
        </w:rPr>
        <w:t xml:space="preserve">egal </w:t>
      </w:r>
      <w:r w:rsidR="00AD39C0" w:rsidRPr="00C21939">
        <w:rPr>
          <w:rFonts w:cstheme="minorHAnsi"/>
          <w:sz w:val="24"/>
          <w:szCs w:val="24"/>
        </w:rPr>
        <w:t>a</w:t>
      </w:r>
      <w:r w:rsidRPr="00C21939">
        <w:rPr>
          <w:rFonts w:cstheme="minorHAnsi"/>
          <w:sz w:val="24"/>
          <w:szCs w:val="24"/>
        </w:rPr>
        <w:t>id is currently being provided only to capital offences. Without legal aid, a lot of persons with intellectual disabilities end up in the criminal justice System as no reasonable accommodations are provided to enable these persons navigate the system: No easy-to-read services, no modified proceedings, no procedural accommodations to support the persons and most le</w:t>
      </w:r>
      <w:r w:rsidR="00A11951" w:rsidRPr="00C21939">
        <w:rPr>
          <w:rFonts w:cstheme="minorHAnsi"/>
          <w:sz w:val="24"/>
          <w:szCs w:val="24"/>
        </w:rPr>
        <w:t>g</w:t>
      </w:r>
      <w:r w:rsidRPr="00C21939">
        <w:rPr>
          <w:rFonts w:cstheme="minorHAnsi"/>
          <w:sz w:val="24"/>
          <w:szCs w:val="24"/>
        </w:rPr>
        <w:t>a</w:t>
      </w:r>
      <w:r w:rsidR="00A11951" w:rsidRPr="00C21939">
        <w:rPr>
          <w:rFonts w:cstheme="minorHAnsi"/>
          <w:sz w:val="24"/>
          <w:szCs w:val="24"/>
        </w:rPr>
        <w:t>l</w:t>
      </w:r>
      <w:r w:rsidRPr="00C21939">
        <w:rPr>
          <w:rFonts w:cstheme="minorHAnsi"/>
          <w:sz w:val="24"/>
          <w:szCs w:val="24"/>
        </w:rPr>
        <w:t xml:space="preserve"> aid providers lack basic disability right</w:t>
      </w:r>
      <w:r w:rsidR="00C43A9B" w:rsidRPr="00C21939">
        <w:rPr>
          <w:rFonts w:cstheme="minorHAnsi"/>
          <w:sz w:val="24"/>
          <w:szCs w:val="24"/>
        </w:rPr>
        <w:t>s</w:t>
      </w:r>
      <w:r w:rsidRPr="00C21939">
        <w:rPr>
          <w:rFonts w:cstheme="minorHAnsi"/>
          <w:sz w:val="24"/>
          <w:szCs w:val="24"/>
        </w:rPr>
        <w:t xml:space="preserve"> training. Finally, the fact that legal aid is only provided to those with capital offences means that petty offenders </w:t>
      </w:r>
      <w:r w:rsidR="00C43A9B" w:rsidRPr="00C21939">
        <w:rPr>
          <w:rFonts w:cstheme="minorHAnsi"/>
          <w:sz w:val="24"/>
          <w:szCs w:val="24"/>
        </w:rPr>
        <w:t xml:space="preserve">including those </w:t>
      </w:r>
      <w:r w:rsidRPr="00C21939">
        <w:rPr>
          <w:rFonts w:cstheme="minorHAnsi"/>
          <w:sz w:val="24"/>
          <w:szCs w:val="24"/>
        </w:rPr>
        <w:t xml:space="preserve">with intellectual disabilities will end up institutionalized for a crime that is payable by bail/bond or fine but </w:t>
      </w:r>
      <w:r w:rsidR="00C43A9B" w:rsidRPr="00C21939">
        <w:rPr>
          <w:rFonts w:cstheme="minorHAnsi"/>
          <w:sz w:val="24"/>
          <w:szCs w:val="24"/>
        </w:rPr>
        <w:t>due to</w:t>
      </w:r>
      <w:r w:rsidRPr="00C21939">
        <w:rPr>
          <w:rFonts w:cstheme="minorHAnsi"/>
          <w:sz w:val="24"/>
          <w:szCs w:val="24"/>
        </w:rPr>
        <w:t xml:space="preserve"> lack of legal aid</w:t>
      </w:r>
      <w:r w:rsidR="00C43A9B" w:rsidRPr="00C21939">
        <w:rPr>
          <w:rFonts w:cstheme="minorHAnsi"/>
          <w:sz w:val="24"/>
          <w:szCs w:val="24"/>
        </w:rPr>
        <w:t xml:space="preserve"> and </w:t>
      </w:r>
      <w:r w:rsidRPr="00C21939">
        <w:rPr>
          <w:rFonts w:cstheme="minorHAnsi"/>
          <w:sz w:val="24"/>
          <w:szCs w:val="24"/>
        </w:rPr>
        <w:t xml:space="preserve">reasonable accommodations. As such, </w:t>
      </w:r>
      <w:r w:rsidRPr="00C21939">
        <w:rPr>
          <w:rFonts w:cstheme="minorHAnsi"/>
          <w:color w:val="000000" w:themeColor="text1"/>
          <w:sz w:val="24"/>
          <w:szCs w:val="24"/>
          <w:lang w:val="en-US"/>
        </w:rPr>
        <w:t xml:space="preserve">the Guidelines need to </w:t>
      </w:r>
      <w:r w:rsidRPr="00C21939">
        <w:rPr>
          <w:rFonts w:cstheme="minorHAnsi"/>
          <w:sz w:val="24"/>
          <w:szCs w:val="24"/>
        </w:rPr>
        <w:t xml:space="preserve">recognize the role that reasonable accommodations and legal aid can play in deinstitutionalization; as well as </w:t>
      </w:r>
      <w:r w:rsidR="00637630" w:rsidRPr="00C21939">
        <w:rPr>
          <w:rFonts w:cstheme="minorHAnsi"/>
          <w:sz w:val="24"/>
          <w:szCs w:val="24"/>
        </w:rPr>
        <w:t>in recognising</w:t>
      </w:r>
      <w:r w:rsidRPr="00C21939">
        <w:rPr>
          <w:rFonts w:cstheme="minorHAnsi"/>
          <w:sz w:val="24"/>
          <w:szCs w:val="24"/>
        </w:rPr>
        <w:t xml:space="preserve"> provision of supported decision making to all persons with disabilities in the criminal justice system.</w:t>
      </w:r>
    </w:p>
    <w:p w14:paraId="6F5C1A98" w14:textId="77777777" w:rsidR="00EE7021" w:rsidRPr="00C21939" w:rsidRDefault="00EE7021" w:rsidP="00EE7021">
      <w:pPr>
        <w:pStyle w:val="ListParagraph"/>
        <w:rPr>
          <w:rFonts w:cstheme="minorHAnsi"/>
          <w:color w:val="000000" w:themeColor="text1"/>
          <w:sz w:val="24"/>
          <w:szCs w:val="24"/>
          <w:lang w:val="en-US"/>
        </w:rPr>
      </w:pPr>
    </w:p>
    <w:p w14:paraId="1BB97153" w14:textId="16E68A2F" w:rsidR="00953971" w:rsidRPr="00A514CA" w:rsidRDefault="003B7222" w:rsidP="004763FD">
      <w:pPr>
        <w:pStyle w:val="ListParagraph"/>
        <w:numPr>
          <w:ilvl w:val="0"/>
          <w:numId w:val="2"/>
        </w:numPr>
        <w:spacing w:after="0" w:line="276" w:lineRule="auto"/>
        <w:rPr>
          <w:rFonts w:cstheme="minorHAnsi"/>
          <w:color w:val="000000" w:themeColor="text1"/>
          <w:sz w:val="24"/>
          <w:szCs w:val="24"/>
          <w:lang w:val="en-US"/>
        </w:rPr>
      </w:pPr>
      <w:r w:rsidRPr="00C21939">
        <w:rPr>
          <w:rFonts w:cstheme="minorHAnsi"/>
          <w:color w:val="000000" w:themeColor="text1"/>
          <w:sz w:val="24"/>
          <w:szCs w:val="24"/>
          <w:shd w:val="clear" w:color="auto" w:fill="FFFFFF"/>
          <w:lang w:val="en-US"/>
        </w:rPr>
        <w:t xml:space="preserve"> </w:t>
      </w:r>
      <w:r w:rsidR="00CF5D88" w:rsidRPr="00C21939">
        <w:rPr>
          <w:rFonts w:cstheme="minorHAnsi"/>
          <w:color w:val="000000" w:themeColor="text1"/>
          <w:sz w:val="24"/>
          <w:szCs w:val="24"/>
          <w:shd w:val="clear" w:color="auto" w:fill="FFFFFF"/>
          <w:lang w:val="en-US"/>
        </w:rPr>
        <w:t xml:space="preserve">Moreover, </w:t>
      </w:r>
      <w:r w:rsidR="00EE5215" w:rsidRPr="00C21939">
        <w:rPr>
          <w:rFonts w:cstheme="minorHAnsi"/>
          <w:sz w:val="24"/>
          <w:szCs w:val="24"/>
        </w:rPr>
        <w:t>Criminal laws of some States still contain provisions that allow for mental assessments where a person before court is suspected to be of “unsound mind”.</w:t>
      </w:r>
      <w:r w:rsidR="00EE5215" w:rsidRPr="00C21939">
        <w:rPr>
          <w:rStyle w:val="FootnoteReference"/>
          <w:rFonts w:cstheme="minorHAnsi"/>
          <w:sz w:val="24"/>
          <w:szCs w:val="24"/>
        </w:rPr>
        <w:footnoteReference w:id="2"/>
      </w:r>
      <w:r w:rsidR="00EE5215" w:rsidRPr="00C21939">
        <w:rPr>
          <w:rFonts w:cstheme="minorHAnsi"/>
          <w:sz w:val="24"/>
          <w:szCs w:val="24"/>
        </w:rPr>
        <w:t xml:space="preserve"> </w:t>
      </w:r>
      <w:r w:rsidR="004F07EA" w:rsidRPr="00C21939">
        <w:rPr>
          <w:rFonts w:cstheme="minorHAnsi"/>
          <w:sz w:val="24"/>
          <w:szCs w:val="24"/>
        </w:rPr>
        <w:t>Accused persons are</w:t>
      </w:r>
      <w:r w:rsidR="00EE5215" w:rsidRPr="00C21939">
        <w:rPr>
          <w:rFonts w:cstheme="minorHAnsi"/>
          <w:sz w:val="24"/>
          <w:szCs w:val="24"/>
        </w:rPr>
        <w:t xml:space="preserve"> </w:t>
      </w:r>
      <w:r w:rsidR="004F07EA" w:rsidRPr="00C21939">
        <w:rPr>
          <w:rFonts w:cstheme="minorHAnsi"/>
          <w:sz w:val="24"/>
          <w:szCs w:val="24"/>
        </w:rPr>
        <w:t xml:space="preserve">ordered into a psychiatric facility until deemed fit”.  The presidential pleasure sentencing for minors and those with mental illness </w:t>
      </w:r>
      <w:r w:rsidR="005F09CF" w:rsidRPr="00C21939">
        <w:rPr>
          <w:rFonts w:cstheme="minorHAnsi"/>
          <w:sz w:val="24"/>
          <w:szCs w:val="24"/>
        </w:rPr>
        <w:t xml:space="preserve">subjects them </w:t>
      </w:r>
      <w:r w:rsidR="00EE5215" w:rsidRPr="00C21939">
        <w:rPr>
          <w:rFonts w:cstheme="minorHAnsi"/>
          <w:sz w:val="24"/>
          <w:szCs w:val="24"/>
        </w:rPr>
        <w:t>to forced medication and forced institutionalization</w:t>
      </w:r>
      <w:r w:rsidR="00335C78" w:rsidRPr="00C21939">
        <w:rPr>
          <w:rFonts w:cstheme="minorHAnsi"/>
          <w:sz w:val="24"/>
          <w:szCs w:val="24"/>
        </w:rPr>
        <w:t xml:space="preserve"> for lengthy indeterminate periods</w:t>
      </w:r>
      <w:r w:rsidR="005F09CF" w:rsidRPr="00C21939">
        <w:rPr>
          <w:rFonts w:cstheme="minorHAnsi"/>
          <w:sz w:val="24"/>
          <w:szCs w:val="24"/>
        </w:rPr>
        <w:t xml:space="preserve"> which is cruel and degrading treatment</w:t>
      </w:r>
      <w:r w:rsidR="00EE5215" w:rsidRPr="00C21939">
        <w:rPr>
          <w:rFonts w:cstheme="minorHAnsi"/>
          <w:sz w:val="24"/>
          <w:szCs w:val="24"/>
        </w:rPr>
        <w:t>.</w:t>
      </w:r>
      <w:r w:rsidR="000E5A45" w:rsidRPr="00C21939">
        <w:rPr>
          <w:rStyle w:val="FootnoteReference"/>
          <w:rFonts w:cstheme="minorHAnsi"/>
          <w:sz w:val="24"/>
          <w:szCs w:val="24"/>
        </w:rPr>
        <w:footnoteReference w:id="3"/>
      </w:r>
      <w:r w:rsidR="00EE5215" w:rsidRPr="00C21939">
        <w:rPr>
          <w:rFonts w:cstheme="minorHAnsi"/>
          <w:sz w:val="24"/>
          <w:szCs w:val="24"/>
        </w:rPr>
        <w:t xml:space="preserve">  </w:t>
      </w:r>
      <w:r w:rsidR="005F09CF" w:rsidRPr="00C21939">
        <w:rPr>
          <w:rFonts w:cstheme="minorHAnsi"/>
          <w:sz w:val="24"/>
          <w:szCs w:val="24"/>
        </w:rPr>
        <w:t>Given these realities, w</w:t>
      </w:r>
      <w:r w:rsidR="00335C78" w:rsidRPr="00C21939">
        <w:rPr>
          <w:rFonts w:cstheme="minorHAnsi"/>
          <w:sz w:val="24"/>
          <w:szCs w:val="24"/>
        </w:rPr>
        <w:t>e therefore propose the r</w:t>
      </w:r>
      <w:r w:rsidR="00953971" w:rsidRPr="00C21939">
        <w:rPr>
          <w:rFonts w:cstheme="minorHAnsi"/>
          <w:sz w:val="24"/>
          <w:szCs w:val="24"/>
        </w:rPr>
        <w:t xml:space="preserve">eview </w:t>
      </w:r>
      <w:r w:rsidR="00335C78" w:rsidRPr="00C21939">
        <w:rPr>
          <w:rFonts w:cstheme="minorHAnsi"/>
          <w:sz w:val="24"/>
          <w:szCs w:val="24"/>
        </w:rPr>
        <w:t xml:space="preserve">of </w:t>
      </w:r>
      <w:r w:rsidR="00953971" w:rsidRPr="00C21939">
        <w:rPr>
          <w:rFonts w:cstheme="minorHAnsi"/>
          <w:sz w:val="24"/>
          <w:szCs w:val="24"/>
        </w:rPr>
        <w:t xml:space="preserve">the Draft </w:t>
      </w:r>
      <w:r w:rsidR="00CF5D88" w:rsidRPr="00C21939">
        <w:rPr>
          <w:rFonts w:cstheme="minorHAnsi"/>
          <w:sz w:val="24"/>
          <w:szCs w:val="24"/>
        </w:rPr>
        <w:t>G</w:t>
      </w:r>
      <w:r w:rsidR="00953971" w:rsidRPr="00C21939">
        <w:rPr>
          <w:rFonts w:cstheme="minorHAnsi"/>
          <w:sz w:val="24"/>
          <w:szCs w:val="24"/>
        </w:rPr>
        <w:t xml:space="preserve">uidelines </w:t>
      </w:r>
      <w:r w:rsidR="00CF5D88" w:rsidRPr="00C21939">
        <w:rPr>
          <w:rFonts w:cstheme="minorHAnsi"/>
          <w:sz w:val="24"/>
          <w:szCs w:val="24"/>
        </w:rPr>
        <w:t>to</w:t>
      </w:r>
      <w:r w:rsidR="00953971" w:rsidRPr="00C21939">
        <w:rPr>
          <w:rFonts w:cstheme="minorHAnsi"/>
          <w:sz w:val="24"/>
          <w:szCs w:val="24"/>
        </w:rPr>
        <w:t xml:space="preserve"> include </w:t>
      </w:r>
      <w:r w:rsidR="00637630" w:rsidRPr="00C21939">
        <w:rPr>
          <w:rFonts w:cstheme="minorHAnsi"/>
          <w:sz w:val="24"/>
          <w:szCs w:val="24"/>
        </w:rPr>
        <w:t>c</w:t>
      </w:r>
      <w:r w:rsidR="00953971" w:rsidRPr="00C21939">
        <w:rPr>
          <w:rFonts w:cstheme="minorHAnsi"/>
          <w:sz w:val="24"/>
          <w:szCs w:val="24"/>
        </w:rPr>
        <w:t>riminal justice laws as a conduit toward</w:t>
      </w:r>
      <w:r w:rsidR="005F09CF" w:rsidRPr="00C21939">
        <w:rPr>
          <w:rFonts w:cstheme="minorHAnsi"/>
          <w:sz w:val="24"/>
          <w:szCs w:val="24"/>
        </w:rPr>
        <w:t>s</w:t>
      </w:r>
      <w:r w:rsidR="00953971" w:rsidRPr="00C21939">
        <w:rPr>
          <w:rFonts w:cstheme="minorHAnsi"/>
          <w:sz w:val="24"/>
          <w:szCs w:val="24"/>
        </w:rPr>
        <w:t xml:space="preserve"> institutionalization. </w:t>
      </w:r>
      <w:r w:rsidR="00335C78" w:rsidRPr="00C21939">
        <w:rPr>
          <w:rFonts w:cstheme="minorHAnsi"/>
          <w:sz w:val="24"/>
          <w:szCs w:val="24"/>
        </w:rPr>
        <w:t>More specifically, the Guidelines should</w:t>
      </w:r>
      <w:r w:rsidR="00953971" w:rsidRPr="00C21939">
        <w:rPr>
          <w:rFonts w:cstheme="minorHAnsi"/>
          <w:sz w:val="24"/>
          <w:szCs w:val="24"/>
        </w:rPr>
        <w:t xml:space="preserve"> </w:t>
      </w:r>
      <w:r w:rsidR="00335C78" w:rsidRPr="00C21939">
        <w:rPr>
          <w:rFonts w:cstheme="minorHAnsi"/>
          <w:sz w:val="24"/>
          <w:szCs w:val="24"/>
        </w:rPr>
        <w:t>i</w:t>
      </w:r>
      <w:r w:rsidR="00953971" w:rsidRPr="00C21939">
        <w:rPr>
          <w:rFonts w:cstheme="minorHAnsi"/>
          <w:sz w:val="24"/>
          <w:szCs w:val="24"/>
        </w:rPr>
        <w:t xml:space="preserve">nclude a call that legal reform for all laws, including criminal justice laws to deinstitutionalize persons with disabilities from the criminal justice system. </w:t>
      </w:r>
    </w:p>
    <w:p w14:paraId="267D506C" w14:textId="17A45D16" w:rsidR="006F6B0B" w:rsidRPr="00C21939" w:rsidRDefault="006F6B0B" w:rsidP="00637630">
      <w:pPr>
        <w:pStyle w:val="Heading3"/>
        <w:keepNext w:val="0"/>
        <w:keepLines w:val="0"/>
        <w:spacing w:before="0" w:after="160" w:line="276" w:lineRule="auto"/>
        <w:ind w:left="360"/>
        <w:rPr>
          <w:rFonts w:asciiTheme="minorHAnsi" w:hAnsiTheme="minorHAnsi" w:cstheme="minorHAnsi"/>
          <w:b/>
          <w:i/>
          <w:iCs/>
          <w:color w:val="000000" w:themeColor="text1"/>
        </w:rPr>
      </w:pPr>
      <w:bookmarkStart w:id="4" w:name="_Toc102220569"/>
      <w:r w:rsidRPr="00C21939">
        <w:rPr>
          <w:rFonts w:asciiTheme="minorHAnsi" w:hAnsiTheme="minorHAnsi" w:cstheme="minorHAnsi"/>
          <w:b/>
          <w:i/>
          <w:iCs/>
          <w:color w:val="000000" w:themeColor="text1"/>
        </w:rPr>
        <w:lastRenderedPageBreak/>
        <w:t>Right to equality and non-discrimination</w:t>
      </w:r>
      <w:bookmarkEnd w:id="4"/>
      <w:r w:rsidRPr="00C21939">
        <w:rPr>
          <w:rFonts w:asciiTheme="minorHAnsi" w:hAnsiTheme="minorHAnsi" w:cstheme="minorHAnsi"/>
          <w:b/>
          <w:i/>
          <w:iCs/>
          <w:color w:val="000000" w:themeColor="text1"/>
        </w:rPr>
        <w:t> </w:t>
      </w:r>
    </w:p>
    <w:p w14:paraId="3DCE9BC1" w14:textId="3257B7F7" w:rsidR="001B475A" w:rsidRDefault="00C377A9" w:rsidP="006906EE">
      <w:pPr>
        <w:pStyle w:val="BodyText1"/>
        <w:numPr>
          <w:ilvl w:val="0"/>
          <w:numId w:val="2"/>
        </w:numPr>
        <w:spacing w:line="276" w:lineRule="auto"/>
        <w:jc w:val="left"/>
        <w:rPr>
          <w:rFonts w:cstheme="minorHAnsi"/>
          <w:sz w:val="24"/>
          <w:szCs w:val="24"/>
        </w:rPr>
      </w:pPr>
      <w:r w:rsidRPr="00C21939">
        <w:rPr>
          <w:rFonts w:cstheme="minorHAnsi"/>
          <w:sz w:val="24"/>
          <w:szCs w:val="24"/>
        </w:rPr>
        <w:t xml:space="preserve"> </w:t>
      </w:r>
      <w:r w:rsidR="00EC19F1" w:rsidRPr="00C21939">
        <w:rPr>
          <w:rFonts w:cstheme="minorHAnsi"/>
          <w:sz w:val="24"/>
          <w:szCs w:val="24"/>
        </w:rPr>
        <w:t xml:space="preserve"> </w:t>
      </w:r>
      <w:r w:rsidR="006F6B0B" w:rsidRPr="00C21939">
        <w:rPr>
          <w:rFonts w:cstheme="minorHAnsi"/>
          <w:color w:val="000000" w:themeColor="text1"/>
          <w:sz w:val="24"/>
          <w:szCs w:val="24"/>
        </w:rPr>
        <w:t xml:space="preserve">To give full effect to the realization of the right, the National Commission </w:t>
      </w:r>
      <w:r w:rsidR="006F6B0B" w:rsidRPr="00C21939">
        <w:rPr>
          <w:rFonts w:cstheme="minorHAnsi"/>
          <w:b/>
          <w:bCs/>
          <w:color w:val="000000" w:themeColor="text1"/>
          <w:sz w:val="24"/>
          <w:szCs w:val="24"/>
        </w:rPr>
        <w:t xml:space="preserve">recommends </w:t>
      </w:r>
      <w:r w:rsidR="006F6B0B" w:rsidRPr="00C21939">
        <w:rPr>
          <w:rFonts w:cstheme="minorHAnsi"/>
          <w:color w:val="000000" w:themeColor="text1"/>
          <w:sz w:val="24"/>
          <w:szCs w:val="24"/>
        </w:rPr>
        <w:t xml:space="preserve">the state to enact </w:t>
      </w:r>
      <w:r w:rsidR="006F6B0B" w:rsidRPr="00C21939">
        <w:rPr>
          <w:rFonts w:cstheme="minorHAnsi"/>
          <w:color w:val="000000" w:themeColor="text1"/>
          <w:sz w:val="24"/>
          <w:szCs w:val="24"/>
          <w:shd w:val="clear" w:color="auto" w:fill="FFFFFF"/>
        </w:rPr>
        <w:t xml:space="preserve">affirmative action programmes and policies that prevent the institutionalization of persons with disabilities </w:t>
      </w:r>
      <w:r w:rsidR="006F6B0B" w:rsidRPr="00C21939">
        <w:rPr>
          <w:rFonts w:cstheme="minorHAnsi"/>
          <w:sz w:val="24"/>
          <w:szCs w:val="24"/>
        </w:rPr>
        <w:t>on the basis of disability, separately or in combination with other grounds as this amounts to a prohibited form of discrimination.</w:t>
      </w:r>
    </w:p>
    <w:p w14:paraId="2DFB25D1" w14:textId="77777777" w:rsidR="00A514CA" w:rsidRDefault="00A514CA" w:rsidP="00A514CA">
      <w:pPr>
        <w:pStyle w:val="Heading2"/>
        <w:spacing w:after="0" w:line="276" w:lineRule="auto"/>
        <w:ind w:left="1080"/>
        <w:rPr>
          <w:rFonts w:eastAsiaTheme="minorHAnsi" w:cstheme="minorHAnsi"/>
          <w:color w:val="000000" w:themeColor="text1"/>
          <w:sz w:val="24"/>
          <w:szCs w:val="24"/>
        </w:rPr>
      </w:pPr>
      <w:bookmarkStart w:id="5" w:name="_Toc102220570"/>
    </w:p>
    <w:p w14:paraId="2C5AEE22" w14:textId="6F6FC590" w:rsidR="006F6B0B" w:rsidRPr="00C21939" w:rsidRDefault="006F6B0B" w:rsidP="00637630">
      <w:pPr>
        <w:pStyle w:val="Heading2"/>
        <w:numPr>
          <w:ilvl w:val="0"/>
          <w:numId w:val="15"/>
        </w:numPr>
        <w:spacing w:after="0" w:line="276" w:lineRule="auto"/>
        <w:rPr>
          <w:rFonts w:eastAsiaTheme="minorHAnsi" w:cstheme="minorHAnsi"/>
          <w:color w:val="000000" w:themeColor="text1"/>
          <w:sz w:val="24"/>
          <w:szCs w:val="24"/>
        </w:rPr>
      </w:pPr>
      <w:r w:rsidRPr="00C21939">
        <w:rPr>
          <w:rFonts w:eastAsiaTheme="minorHAnsi" w:cstheme="minorHAnsi"/>
          <w:color w:val="000000" w:themeColor="text1"/>
          <w:sz w:val="24"/>
          <w:szCs w:val="24"/>
        </w:rPr>
        <w:t>Legal Framework and resources</w:t>
      </w:r>
      <w:bookmarkEnd w:id="5"/>
      <w:r w:rsidRPr="00C21939">
        <w:rPr>
          <w:rFonts w:eastAsiaTheme="minorHAnsi" w:cstheme="minorHAnsi"/>
          <w:color w:val="000000" w:themeColor="text1"/>
          <w:sz w:val="24"/>
          <w:szCs w:val="24"/>
        </w:rPr>
        <w:t xml:space="preserve"> </w:t>
      </w:r>
    </w:p>
    <w:p w14:paraId="1FABC7FA" w14:textId="17AC9654" w:rsidR="006F6B0B" w:rsidRPr="00C21939" w:rsidRDefault="006F6B0B" w:rsidP="00845730">
      <w:pPr>
        <w:pStyle w:val="Heading3"/>
        <w:keepNext w:val="0"/>
        <w:keepLines w:val="0"/>
        <w:spacing w:before="0" w:line="276" w:lineRule="auto"/>
        <w:ind w:left="720"/>
        <w:rPr>
          <w:rFonts w:asciiTheme="minorHAnsi" w:hAnsiTheme="minorHAnsi" w:cstheme="minorHAnsi"/>
          <w:b/>
          <w:i/>
          <w:iCs/>
          <w:color w:val="000000" w:themeColor="text1"/>
        </w:rPr>
      </w:pPr>
      <w:bookmarkStart w:id="6" w:name="_Toc102220571"/>
      <w:r w:rsidRPr="00C21939">
        <w:rPr>
          <w:rFonts w:asciiTheme="minorHAnsi" w:hAnsiTheme="minorHAnsi" w:cstheme="minorHAnsi"/>
          <w:b/>
          <w:i/>
          <w:iCs/>
          <w:color w:val="000000" w:themeColor="text1"/>
        </w:rPr>
        <w:t>Legislation</w:t>
      </w:r>
      <w:bookmarkEnd w:id="6"/>
    </w:p>
    <w:p w14:paraId="1C238F60" w14:textId="484340BF" w:rsidR="006F6B0B" w:rsidRPr="00C21939" w:rsidRDefault="006F6B0B" w:rsidP="006906EE">
      <w:pPr>
        <w:pStyle w:val="ListParagraph"/>
        <w:numPr>
          <w:ilvl w:val="0"/>
          <w:numId w:val="2"/>
        </w:numPr>
        <w:spacing w:after="0" w:line="276" w:lineRule="auto"/>
        <w:rPr>
          <w:rFonts w:cstheme="minorHAnsi"/>
          <w:color w:val="000000" w:themeColor="text1"/>
          <w:sz w:val="24"/>
          <w:szCs w:val="24"/>
        </w:rPr>
      </w:pPr>
      <w:r w:rsidRPr="00C21939">
        <w:rPr>
          <w:rFonts w:cstheme="minorHAnsi"/>
          <w:color w:val="000000" w:themeColor="text1"/>
          <w:sz w:val="24"/>
          <w:szCs w:val="24"/>
          <w:lang w:val="en-US"/>
        </w:rPr>
        <w:t xml:space="preserve">The National Commission </w:t>
      </w:r>
      <w:r w:rsidRPr="00C21939">
        <w:rPr>
          <w:rFonts w:cstheme="minorHAnsi"/>
          <w:b/>
          <w:bCs/>
          <w:color w:val="000000" w:themeColor="text1"/>
          <w:sz w:val="24"/>
          <w:szCs w:val="24"/>
          <w:lang w:val="en-US"/>
        </w:rPr>
        <w:t>recommends</w:t>
      </w:r>
      <w:r w:rsidRPr="00C21939">
        <w:rPr>
          <w:rFonts w:cstheme="minorHAnsi"/>
          <w:color w:val="000000" w:themeColor="text1"/>
          <w:sz w:val="24"/>
          <w:szCs w:val="24"/>
          <w:lang w:val="en-US"/>
        </w:rPr>
        <w:t xml:space="preserve"> </w:t>
      </w:r>
      <w:r w:rsidR="00C21939" w:rsidRPr="00C21939">
        <w:rPr>
          <w:rFonts w:cstheme="minorHAnsi"/>
          <w:color w:val="000000" w:themeColor="text1"/>
          <w:sz w:val="24"/>
          <w:szCs w:val="24"/>
          <w:lang w:val="en-US"/>
        </w:rPr>
        <w:t>that S</w:t>
      </w:r>
      <w:r w:rsidRPr="00C21939">
        <w:rPr>
          <w:rFonts w:cstheme="minorHAnsi"/>
          <w:color w:val="000000" w:themeColor="text1"/>
          <w:sz w:val="24"/>
          <w:szCs w:val="24"/>
          <w:lang w:val="en-US"/>
        </w:rPr>
        <w:t>tate</w:t>
      </w:r>
      <w:r w:rsidR="00C21939" w:rsidRPr="00C21939">
        <w:rPr>
          <w:rFonts w:cstheme="minorHAnsi"/>
          <w:color w:val="000000" w:themeColor="text1"/>
          <w:sz w:val="24"/>
          <w:szCs w:val="24"/>
          <w:lang w:val="en-US"/>
        </w:rPr>
        <w:t>s</w:t>
      </w:r>
      <w:r w:rsidRPr="00C21939">
        <w:rPr>
          <w:rFonts w:cstheme="minorHAnsi"/>
          <w:color w:val="000000" w:themeColor="text1"/>
          <w:sz w:val="24"/>
          <w:szCs w:val="24"/>
          <w:lang w:val="en-US"/>
        </w:rPr>
        <w:t xml:space="preserve"> </w:t>
      </w:r>
      <w:r w:rsidR="00C21939" w:rsidRPr="00C21939">
        <w:rPr>
          <w:rFonts w:cstheme="minorHAnsi"/>
          <w:color w:val="000000" w:themeColor="text1"/>
          <w:sz w:val="24"/>
          <w:szCs w:val="24"/>
          <w:lang w:val="en-US"/>
        </w:rPr>
        <w:t xml:space="preserve">amend </w:t>
      </w:r>
      <w:r w:rsidRPr="00C21939">
        <w:rPr>
          <w:rFonts w:cstheme="minorHAnsi"/>
          <w:color w:val="000000" w:themeColor="text1"/>
          <w:sz w:val="24"/>
          <w:szCs w:val="24"/>
          <w:lang w:val="en-US"/>
        </w:rPr>
        <w:t xml:space="preserve">all legislations concerned with </w:t>
      </w:r>
      <w:r w:rsidRPr="00C21939">
        <w:rPr>
          <w:rFonts w:cstheme="minorHAnsi"/>
          <w:sz w:val="24"/>
          <w:szCs w:val="24"/>
        </w:rPr>
        <w:t>legal capacity</w:t>
      </w:r>
      <w:r w:rsidRPr="00C21939">
        <w:rPr>
          <w:rFonts w:cstheme="minorHAnsi"/>
          <w:sz w:val="24"/>
          <w:szCs w:val="24"/>
          <w:lang w:val="en-US"/>
        </w:rPr>
        <w:t xml:space="preserve">, </w:t>
      </w:r>
      <w:r w:rsidRPr="00C21939">
        <w:rPr>
          <w:rFonts w:cstheme="minorHAnsi"/>
          <w:sz w:val="24"/>
          <w:szCs w:val="24"/>
        </w:rPr>
        <w:t>disability laws</w:t>
      </w:r>
      <w:r w:rsidRPr="00C21939">
        <w:rPr>
          <w:rFonts w:cstheme="minorHAnsi"/>
          <w:sz w:val="24"/>
          <w:szCs w:val="24"/>
          <w:lang w:val="en-US"/>
        </w:rPr>
        <w:t xml:space="preserve">, </w:t>
      </w:r>
      <w:r w:rsidRPr="00C21939">
        <w:rPr>
          <w:rFonts w:cstheme="minorHAnsi"/>
          <w:sz w:val="24"/>
          <w:szCs w:val="24"/>
        </w:rPr>
        <w:t>family laws</w:t>
      </w:r>
      <w:r w:rsidRPr="00C21939">
        <w:rPr>
          <w:rFonts w:cstheme="minorHAnsi"/>
          <w:sz w:val="24"/>
          <w:szCs w:val="24"/>
          <w:lang w:val="en-US"/>
        </w:rPr>
        <w:t>,</w:t>
      </w:r>
      <w:r w:rsidRPr="00C21939">
        <w:rPr>
          <w:rFonts w:cstheme="minorHAnsi"/>
          <w:sz w:val="24"/>
          <w:szCs w:val="24"/>
        </w:rPr>
        <w:t xml:space="preserve"> health laws</w:t>
      </w:r>
      <w:r w:rsidRPr="00C21939">
        <w:rPr>
          <w:rFonts w:cstheme="minorHAnsi"/>
          <w:sz w:val="24"/>
          <w:szCs w:val="24"/>
          <w:lang w:val="en-US"/>
        </w:rPr>
        <w:t>,</w:t>
      </w:r>
      <w:r w:rsidRPr="00C21939">
        <w:rPr>
          <w:rFonts w:cstheme="minorHAnsi"/>
          <w:sz w:val="24"/>
          <w:szCs w:val="24"/>
        </w:rPr>
        <w:t xml:space="preserve"> civil laws</w:t>
      </w:r>
      <w:r w:rsidRPr="00C21939">
        <w:rPr>
          <w:rFonts w:cstheme="minorHAnsi"/>
          <w:sz w:val="24"/>
          <w:szCs w:val="24"/>
          <w:lang w:val="en-US"/>
        </w:rPr>
        <w:t>,</w:t>
      </w:r>
      <w:r w:rsidRPr="00C21939">
        <w:rPr>
          <w:rFonts w:cstheme="minorHAnsi"/>
          <w:sz w:val="24"/>
          <w:szCs w:val="24"/>
        </w:rPr>
        <w:t xml:space="preserve"> laws governing social care provision for children, adults, and older persons</w:t>
      </w:r>
      <w:r w:rsidRPr="00C21939">
        <w:rPr>
          <w:rFonts w:cstheme="minorHAnsi"/>
          <w:sz w:val="24"/>
          <w:szCs w:val="24"/>
          <w:lang w:val="en-US"/>
        </w:rPr>
        <w:t xml:space="preserve"> </w:t>
      </w:r>
      <w:r w:rsidRPr="00C21939">
        <w:rPr>
          <w:rFonts w:cstheme="minorHAnsi"/>
          <w:sz w:val="24"/>
          <w:szCs w:val="24"/>
        </w:rPr>
        <w:t xml:space="preserve">and social protection </w:t>
      </w:r>
      <w:r w:rsidRPr="00C21939">
        <w:rPr>
          <w:rFonts w:cstheme="minorHAnsi"/>
          <w:sz w:val="24"/>
          <w:szCs w:val="24"/>
          <w:lang w:val="en-US"/>
        </w:rPr>
        <w:t xml:space="preserve">with the aim of bringing them in conformity with the </w:t>
      </w:r>
      <w:r w:rsidR="002F575C" w:rsidRPr="00C21939">
        <w:rPr>
          <w:rFonts w:cstheme="minorHAnsi"/>
          <w:sz w:val="24"/>
          <w:szCs w:val="24"/>
          <w:lang w:val="en-US"/>
        </w:rPr>
        <w:t>C</w:t>
      </w:r>
      <w:r w:rsidRPr="00C21939">
        <w:rPr>
          <w:rFonts w:cstheme="minorHAnsi"/>
          <w:sz w:val="24"/>
          <w:szCs w:val="24"/>
          <w:lang w:val="en-US"/>
        </w:rPr>
        <w:t xml:space="preserve">onvention. </w:t>
      </w:r>
    </w:p>
    <w:p w14:paraId="1B400947" w14:textId="0C1023DF" w:rsidR="006F6B0B" w:rsidRPr="00C21939" w:rsidRDefault="006F6B0B" w:rsidP="006906EE">
      <w:pPr>
        <w:pStyle w:val="ListParagraph"/>
        <w:numPr>
          <w:ilvl w:val="0"/>
          <w:numId w:val="2"/>
        </w:numPr>
        <w:spacing w:after="0" w:line="276" w:lineRule="auto"/>
        <w:rPr>
          <w:rFonts w:cstheme="minorHAnsi"/>
          <w:color w:val="000000" w:themeColor="text1"/>
          <w:sz w:val="24"/>
          <w:szCs w:val="24"/>
        </w:rPr>
      </w:pPr>
      <w:r w:rsidRPr="00C21939">
        <w:rPr>
          <w:rFonts w:cstheme="minorHAnsi"/>
          <w:color w:val="000000" w:themeColor="text1"/>
          <w:sz w:val="24"/>
          <w:szCs w:val="24"/>
          <w:lang w:val="en-US"/>
        </w:rPr>
        <w:t xml:space="preserve">The National Commission </w:t>
      </w:r>
      <w:r w:rsidRPr="00C21939">
        <w:rPr>
          <w:rFonts w:cstheme="minorHAnsi"/>
          <w:b/>
          <w:bCs/>
          <w:color w:val="000000" w:themeColor="text1"/>
          <w:sz w:val="24"/>
          <w:szCs w:val="24"/>
          <w:lang w:val="en-US"/>
        </w:rPr>
        <w:t>agrees</w:t>
      </w:r>
      <w:r w:rsidRPr="00C21939">
        <w:rPr>
          <w:rFonts w:cstheme="minorHAnsi"/>
          <w:color w:val="000000" w:themeColor="text1"/>
          <w:sz w:val="24"/>
          <w:szCs w:val="24"/>
          <w:lang w:val="en-US"/>
        </w:rPr>
        <w:t xml:space="preserve"> with the need for mapping </w:t>
      </w:r>
      <w:r w:rsidR="00C21939" w:rsidRPr="00C21939">
        <w:rPr>
          <w:rFonts w:cstheme="minorHAnsi"/>
          <w:color w:val="000000" w:themeColor="text1"/>
          <w:sz w:val="24"/>
          <w:szCs w:val="24"/>
          <w:lang w:val="en-US"/>
        </w:rPr>
        <w:t xml:space="preserve">of </w:t>
      </w:r>
      <w:r w:rsidRPr="00C21939">
        <w:rPr>
          <w:rFonts w:cstheme="minorHAnsi"/>
          <w:color w:val="000000" w:themeColor="text1"/>
          <w:sz w:val="24"/>
          <w:szCs w:val="24"/>
          <w:lang w:val="en-US"/>
        </w:rPr>
        <w:t xml:space="preserve">existing community-based services and </w:t>
      </w:r>
      <w:r w:rsidR="00C21939" w:rsidRPr="00C21939">
        <w:rPr>
          <w:rFonts w:cstheme="minorHAnsi"/>
          <w:b/>
          <w:bCs/>
          <w:color w:val="000000" w:themeColor="text1"/>
          <w:sz w:val="24"/>
          <w:szCs w:val="24"/>
          <w:lang w:val="en-US"/>
        </w:rPr>
        <w:t>urges</w:t>
      </w:r>
      <w:r w:rsidR="00C21939" w:rsidRPr="00C21939">
        <w:rPr>
          <w:rFonts w:cstheme="minorHAnsi"/>
          <w:color w:val="000000" w:themeColor="text1"/>
          <w:sz w:val="24"/>
          <w:szCs w:val="24"/>
          <w:lang w:val="en-US"/>
        </w:rPr>
        <w:t xml:space="preserve"> on the need for </w:t>
      </w:r>
      <w:r w:rsidRPr="00C21939">
        <w:rPr>
          <w:rFonts w:cstheme="minorHAnsi"/>
          <w:color w:val="000000" w:themeColor="text1"/>
          <w:sz w:val="24"/>
          <w:szCs w:val="24"/>
          <w:lang w:val="en-US"/>
        </w:rPr>
        <w:t>state</w:t>
      </w:r>
      <w:r w:rsidR="00C21939" w:rsidRPr="00C21939">
        <w:rPr>
          <w:rFonts w:cstheme="minorHAnsi"/>
          <w:color w:val="000000" w:themeColor="text1"/>
          <w:sz w:val="24"/>
          <w:szCs w:val="24"/>
          <w:lang w:val="en-US"/>
        </w:rPr>
        <w:t>s</w:t>
      </w:r>
      <w:r w:rsidRPr="00C21939">
        <w:rPr>
          <w:rFonts w:cstheme="minorHAnsi"/>
          <w:color w:val="000000" w:themeColor="text1"/>
          <w:sz w:val="24"/>
          <w:szCs w:val="24"/>
          <w:lang w:val="en-US"/>
        </w:rPr>
        <w:t xml:space="preserve"> to allocate adequate funding for the purposes of planning</w:t>
      </w:r>
      <w:r w:rsidRPr="00C21939">
        <w:rPr>
          <w:rFonts w:cstheme="minorHAnsi"/>
          <w:sz w:val="24"/>
          <w:szCs w:val="24"/>
        </w:rPr>
        <w:t xml:space="preserve"> </w:t>
      </w:r>
      <w:r w:rsidRPr="00C21939">
        <w:rPr>
          <w:rFonts w:cstheme="minorHAnsi"/>
          <w:sz w:val="24"/>
          <w:szCs w:val="24"/>
          <w:lang w:val="en-US"/>
        </w:rPr>
        <w:t xml:space="preserve">to </w:t>
      </w:r>
      <w:r w:rsidRPr="00C21939">
        <w:rPr>
          <w:rFonts w:cstheme="minorHAnsi"/>
          <w:sz w:val="24"/>
          <w:szCs w:val="24"/>
        </w:rPr>
        <w:t xml:space="preserve">ensure availability, accessibility, affordability, acceptability, and adaptability of </w:t>
      </w:r>
      <w:r w:rsidRPr="00C21939">
        <w:rPr>
          <w:rFonts w:cstheme="minorHAnsi"/>
          <w:sz w:val="24"/>
          <w:szCs w:val="24"/>
          <w:lang w:val="en-US"/>
        </w:rPr>
        <w:t xml:space="preserve">the said </w:t>
      </w:r>
      <w:r w:rsidRPr="00C21939">
        <w:rPr>
          <w:rFonts w:cstheme="minorHAnsi"/>
          <w:sz w:val="24"/>
          <w:szCs w:val="24"/>
        </w:rPr>
        <w:t>services.</w:t>
      </w:r>
    </w:p>
    <w:p w14:paraId="02B0B380" w14:textId="194256B9" w:rsidR="006F6B0B" w:rsidRPr="00C21939" w:rsidRDefault="006F6B0B" w:rsidP="006906EE">
      <w:pPr>
        <w:pStyle w:val="ListParagraph"/>
        <w:numPr>
          <w:ilvl w:val="0"/>
          <w:numId w:val="2"/>
        </w:numPr>
        <w:spacing w:after="0" w:line="276" w:lineRule="auto"/>
        <w:rPr>
          <w:rFonts w:cstheme="minorHAnsi"/>
          <w:color w:val="000000" w:themeColor="text1"/>
          <w:sz w:val="24"/>
          <w:szCs w:val="24"/>
        </w:rPr>
      </w:pPr>
      <w:r w:rsidRPr="00C21939">
        <w:rPr>
          <w:rFonts w:cstheme="minorHAnsi"/>
          <w:color w:val="000000" w:themeColor="text1"/>
          <w:sz w:val="24"/>
          <w:szCs w:val="24"/>
          <w:lang w:val="en-US"/>
        </w:rPr>
        <w:t xml:space="preserve">The National Commission recognizes the need for a workforce to provide relevant services and </w:t>
      </w:r>
      <w:r w:rsidRPr="00C21939">
        <w:rPr>
          <w:rFonts w:cstheme="minorHAnsi"/>
          <w:b/>
          <w:bCs/>
          <w:color w:val="000000" w:themeColor="text1"/>
          <w:sz w:val="24"/>
          <w:szCs w:val="24"/>
          <w:lang w:val="en-US"/>
        </w:rPr>
        <w:t>recommends</w:t>
      </w:r>
      <w:r w:rsidRPr="00C21939">
        <w:rPr>
          <w:rFonts w:cstheme="minorHAnsi"/>
          <w:color w:val="000000" w:themeColor="text1"/>
          <w:sz w:val="24"/>
          <w:szCs w:val="24"/>
          <w:lang w:val="en-US"/>
        </w:rPr>
        <w:t xml:space="preserve"> the </w:t>
      </w:r>
      <w:r w:rsidR="00C21939" w:rsidRPr="00C21939">
        <w:rPr>
          <w:rFonts w:cstheme="minorHAnsi"/>
          <w:color w:val="000000" w:themeColor="text1"/>
          <w:sz w:val="24"/>
          <w:szCs w:val="24"/>
          <w:lang w:val="en-US"/>
        </w:rPr>
        <w:t>need for S</w:t>
      </w:r>
      <w:r w:rsidRPr="00C21939">
        <w:rPr>
          <w:rFonts w:cstheme="minorHAnsi"/>
          <w:color w:val="000000" w:themeColor="text1"/>
          <w:sz w:val="24"/>
          <w:szCs w:val="24"/>
          <w:lang w:val="en-US"/>
        </w:rPr>
        <w:t>tate</w:t>
      </w:r>
      <w:r w:rsidR="00C21939" w:rsidRPr="00C21939">
        <w:rPr>
          <w:rFonts w:cstheme="minorHAnsi"/>
          <w:color w:val="000000" w:themeColor="text1"/>
          <w:sz w:val="24"/>
          <w:szCs w:val="24"/>
          <w:lang w:val="en-US"/>
        </w:rPr>
        <w:t>s</w:t>
      </w:r>
      <w:r w:rsidRPr="00C21939">
        <w:rPr>
          <w:rFonts w:cstheme="minorHAnsi"/>
          <w:color w:val="000000" w:themeColor="text1"/>
          <w:sz w:val="24"/>
          <w:szCs w:val="24"/>
          <w:lang w:val="en-US"/>
        </w:rPr>
        <w:t xml:space="preserve"> to look into the </w:t>
      </w:r>
      <w:r w:rsidRPr="00C21939">
        <w:rPr>
          <w:rFonts w:cstheme="minorHAnsi"/>
          <w:color w:val="000000" w:themeColor="text1"/>
          <w:sz w:val="24"/>
          <w:szCs w:val="24"/>
        </w:rPr>
        <w:t>the feasibility of transformation of the existing workforce</w:t>
      </w:r>
      <w:r w:rsidRPr="00C21939">
        <w:rPr>
          <w:rFonts w:cstheme="minorHAnsi"/>
          <w:color w:val="000000" w:themeColor="text1"/>
          <w:sz w:val="24"/>
          <w:szCs w:val="24"/>
          <w:lang w:val="en-US"/>
        </w:rPr>
        <w:t xml:space="preserve"> to service providers under the direction of persons with disabilities and provide necessary reports before embarking on the deinstitutionalization process.</w:t>
      </w:r>
    </w:p>
    <w:p w14:paraId="3BB789F7" w14:textId="0AE61AF0" w:rsidR="00BE7327" w:rsidRPr="00C21939" w:rsidRDefault="00BE7327" w:rsidP="006906EE">
      <w:pPr>
        <w:pStyle w:val="ListParagraph"/>
        <w:spacing w:before="240" w:line="276" w:lineRule="auto"/>
        <w:rPr>
          <w:rFonts w:cstheme="minorHAnsi"/>
          <w:b/>
          <w:sz w:val="24"/>
          <w:szCs w:val="24"/>
        </w:rPr>
      </w:pPr>
    </w:p>
    <w:p w14:paraId="76C01B41" w14:textId="12672F41" w:rsidR="0058422F" w:rsidRPr="00C21939" w:rsidRDefault="0058422F" w:rsidP="00F4401A">
      <w:pPr>
        <w:spacing w:after="240" w:line="276" w:lineRule="auto"/>
        <w:rPr>
          <w:rFonts w:cstheme="minorHAnsi"/>
          <w:b/>
          <w:sz w:val="24"/>
          <w:szCs w:val="24"/>
        </w:rPr>
      </w:pPr>
      <w:r w:rsidRPr="00C21939">
        <w:rPr>
          <w:rFonts w:cstheme="minorHAnsi"/>
          <w:b/>
          <w:sz w:val="24"/>
          <w:szCs w:val="24"/>
        </w:rPr>
        <w:t>Inclusive community support services, systems and networks</w:t>
      </w:r>
    </w:p>
    <w:p w14:paraId="1A510197" w14:textId="00F83EE8" w:rsidR="000A75FE" w:rsidRPr="00C21939" w:rsidRDefault="0058422F" w:rsidP="00F4401A">
      <w:pPr>
        <w:pStyle w:val="ListParagraph"/>
        <w:numPr>
          <w:ilvl w:val="0"/>
          <w:numId w:val="2"/>
        </w:numPr>
        <w:spacing w:after="240" w:line="276" w:lineRule="auto"/>
        <w:rPr>
          <w:rFonts w:cstheme="minorHAnsi"/>
          <w:sz w:val="24"/>
          <w:szCs w:val="24"/>
        </w:rPr>
      </w:pPr>
      <w:r w:rsidRPr="00C21939">
        <w:rPr>
          <w:rFonts w:cstheme="minorHAnsi"/>
          <w:sz w:val="24"/>
          <w:szCs w:val="24"/>
        </w:rPr>
        <w:t xml:space="preserve">Noting that access to support services, assistive technology and income support for persons with disabilities is usually tied to their registration with a national body, and in view of the fact that registration processes are often complicated, tedious and lengthy, the National Commission </w:t>
      </w:r>
      <w:r w:rsidRPr="00C21939">
        <w:rPr>
          <w:rFonts w:cstheme="minorHAnsi"/>
          <w:b/>
          <w:sz w:val="24"/>
          <w:szCs w:val="24"/>
        </w:rPr>
        <w:t>recommends</w:t>
      </w:r>
      <w:r w:rsidRPr="00C21939">
        <w:rPr>
          <w:rFonts w:cstheme="minorHAnsi"/>
          <w:sz w:val="24"/>
          <w:szCs w:val="24"/>
        </w:rPr>
        <w:t xml:space="preserve"> that the Committee includes an obligation for State Parties to facilitate or enable easier registration of persons with disabilities, including homeless persons with disabilities and migrants with disabilities.</w:t>
      </w:r>
    </w:p>
    <w:p w14:paraId="6BC0BB6B" w14:textId="5690FBAA" w:rsidR="000A75FE" w:rsidRPr="00C21939" w:rsidRDefault="001B475A" w:rsidP="00F4401A">
      <w:pPr>
        <w:spacing w:after="0" w:line="276" w:lineRule="auto"/>
        <w:rPr>
          <w:rFonts w:cstheme="minorHAnsi"/>
          <w:b/>
          <w:sz w:val="24"/>
          <w:szCs w:val="24"/>
        </w:rPr>
      </w:pPr>
      <w:r w:rsidRPr="00C21939">
        <w:rPr>
          <w:rFonts w:cstheme="minorHAnsi"/>
          <w:b/>
          <w:sz w:val="24"/>
          <w:szCs w:val="24"/>
        </w:rPr>
        <w:t>Ac</w:t>
      </w:r>
      <w:r w:rsidR="0058422F" w:rsidRPr="00C21939">
        <w:rPr>
          <w:rFonts w:cstheme="minorHAnsi"/>
          <w:b/>
          <w:sz w:val="24"/>
          <w:szCs w:val="24"/>
        </w:rPr>
        <w:t>cess to mainstream services on an equal basis with others</w:t>
      </w:r>
    </w:p>
    <w:p w14:paraId="67807C14" w14:textId="2190DB0E" w:rsidR="00BE7327" w:rsidRPr="00C21939" w:rsidRDefault="00BE7327" w:rsidP="00F4401A">
      <w:pPr>
        <w:pStyle w:val="ListParagraph"/>
        <w:spacing w:after="0" w:line="276" w:lineRule="auto"/>
        <w:ind w:left="1080"/>
        <w:rPr>
          <w:rFonts w:cstheme="minorHAnsi"/>
          <w:b/>
          <w:sz w:val="24"/>
          <w:szCs w:val="24"/>
        </w:rPr>
      </w:pPr>
    </w:p>
    <w:p w14:paraId="69655E20" w14:textId="074D5A31" w:rsidR="0058422F" w:rsidRPr="00C21939" w:rsidRDefault="0058422F" w:rsidP="00F4401A">
      <w:pPr>
        <w:pStyle w:val="ListParagraph"/>
        <w:numPr>
          <w:ilvl w:val="0"/>
          <w:numId w:val="2"/>
        </w:numPr>
        <w:spacing w:after="0" w:line="276" w:lineRule="auto"/>
        <w:rPr>
          <w:rFonts w:cstheme="minorHAnsi"/>
          <w:sz w:val="24"/>
          <w:szCs w:val="24"/>
        </w:rPr>
      </w:pPr>
      <w:r w:rsidRPr="00C21939">
        <w:rPr>
          <w:rFonts w:cstheme="minorHAnsi"/>
          <w:sz w:val="24"/>
          <w:szCs w:val="24"/>
        </w:rPr>
        <w:t xml:space="preserve">The National Commission </w:t>
      </w:r>
      <w:r w:rsidRPr="00C21939">
        <w:rPr>
          <w:rFonts w:cstheme="minorHAnsi"/>
          <w:b/>
          <w:sz w:val="24"/>
          <w:szCs w:val="24"/>
        </w:rPr>
        <w:t>agrees</w:t>
      </w:r>
      <w:r w:rsidRPr="00C21939">
        <w:rPr>
          <w:rFonts w:cstheme="minorHAnsi"/>
          <w:sz w:val="24"/>
          <w:szCs w:val="24"/>
        </w:rPr>
        <w:t xml:space="preserve"> that addressing the root causes of institutionalization, i.e. inaccessible mainstream services is key to ensuring the end </w:t>
      </w:r>
      <w:r w:rsidRPr="00C21939">
        <w:rPr>
          <w:rFonts w:cstheme="minorHAnsi"/>
          <w:sz w:val="24"/>
          <w:szCs w:val="24"/>
        </w:rPr>
        <w:lastRenderedPageBreak/>
        <w:t xml:space="preserve">of institutionalization. In line with its mandate, the National Commission </w:t>
      </w:r>
      <w:r w:rsidRPr="00C21939">
        <w:rPr>
          <w:rFonts w:cstheme="minorHAnsi"/>
          <w:b/>
          <w:sz w:val="24"/>
          <w:szCs w:val="24"/>
        </w:rPr>
        <w:t>reiterates</w:t>
      </w:r>
      <w:r w:rsidRPr="00C21939">
        <w:rPr>
          <w:rFonts w:cstheme="minorHAnsi"/>
          <w:sz w:val="24"/>
          <w:szCs w:val="24"/>
        </w:rPr>
        <w:t xml:space="preserve"> that the realization of human rights for all, without discrimination is crucial to achieving successful deinstitutionalization. </w:t>
      </w:r>
    </w:p>
    <w:p w14:paraId="3D89BB7B" w14:textId="77777777" w:rsidR="00DB3C32" w:rsidRPr="00C21939" w:rsidRDefault="00DB3C32" w:rsidP="006906EE">
      <w:pPr>
        <w:pStyle w:val="ListParagraph"/>
        <w:spacing w:after="200" w:line="276" w:lineRule="auto"/>
        <w:ind w:left="360"/>
        <w:rPr>
          <w:rFonts w:cstheme="minorHAnsi"/>
          <w:sz w:val="24"/>
          <w:szCs w:val="24"/>
        </w:rPr>
      </w:pPr>
    </w:p>
    <w:p w14:paraId="48BA5DA0" w14:textId="476D2F23" w:rsidR="0058422F" w:rsidRPr="00C21939" w:rsidRDefault="0058422F" w:rsidP="006906EE">
      <w:pPr>
        <w:pStyle w:val="ListParagraph"/>
        <w:numPr>
          <w:ilvl w:val="0"/>
          <w:numId w:val="2"/>
        </w:numPr>
        <w:spacing w:after="200" w:line="276" w:lineRule="auto"/>
        <w:rPr>
          <w:rFonts w:cstheme="minorHAnsi"/>
          <w:sz w:val="24"/>
          <w:szCs w:val="24"/>
        </w:rPr>
      </w:pPr>
      <w:r w:rsidRPr="00C21939">
        <w:rPr>
          <w:rFonts w:cstheme="minorHAnsi"/>
          <w:sz w:val="24"/>
          <w:szCs w:val="24"/>
        </w:rPr>
        <w:t xml:space="preserve">The National Commission also supports the call for families, friends, and other trusted persons to be involved in the development of individualized deinstitutionalization plans in accordance with the will and preferences of the person concerned. The National Commission </w:t>
      </w:r>
      <w:r w:rsidRPr="00C21939">
        <w:rPr>
          <w:rFonts w:cstheme="minorHAnsi"/>
          <w:b/>
          <w:sz w:val="24"/>
          <w:szCs w:val="24"/>
        </w:rPr>
        <w:t>recommends</w:t>
      </w:r>
      <w:r w:rsidRPr="00C21939">
        <w:rPr>
          <w:rFonts w:cstheme="minorHAnsi"/>
          <w:sz w:val="24"/>
          <w:szCs w:val="24"/>
        </w:rPr>
        <w:t xml:space="preserve"> an addition under paragraph 92 for </w:t>
      </w:r>
      <w:r w:rsidRPr="00C21939">
        <w:rPr>
          <w:rFonts w:cstheme="minorHAnsi"/>
          <w:b/>
          <w:sz w:val="24"/>
          <w:szCs w:val="24"/>
        </w:rPr>
        <w:t>children with disabilities</w:t>
      </w:r>
      <w:r w:rsidRPr="00C21939">
        <w:rPr>
          <w:rFonts w:cstheme="minorHAnsi"/>
          <w:sz w:val="24"/>
          <w:szCs w:val="24"/>
        </w:rPr>
        <w:t xml:space="preserve"> to be involved in a </w:t>
      </w:r>
      <w:r w:rsidRPr="00C21939">
        <w:rPr>
          <w:rFonts w:cstheme="minorHAnsi"/>
          <w:b/>
          <w:sz w:val="24"/>
          <w:szCs w:val="24"/>
        </w:rPr>
        <w:t xml:space="preserve">meaningful way </w:t>
      </w:r>
      <w:r w:rsidRPr="00C21939">
        <w:rPr>
          <w:rFonts w:cstheme="minorHAnsi"/>
          <w:sz w:val="24"/>
          <w:szCs w:val="24"/>
        </w:rPr>
        <w:t>in the development of individualised deinstitutionalization plans, in line with Article 7 (3) of the CRPD and the principle of the best interests of the child. This is in light of the fact that the opinions of children with disabilities about where and how they want to live are often not well considered.</w:t>
      </w:r>
      <w:r w:rsidRPr="00C21939">
        <w:rPr>
          <w:rStyle w:val="FootnoteReference"/>
          <w:rFonts w:cstheme="minorHAnsi"/>
          <w:sz w:val="24"/>
          <w:szCs w:val="24"/>
        </w:rPr>
        <w:footnoteReference w:id="4"/>
      </w:r>
    </w:p>
    <w:p w14:paraId="42B63D50" w14:textId="77777777" w:rsidR="00031716" w:rsidRPr="00C21939" w:rsidRDefault="00031716" w:rsidP="006906EE">
      <w:pPr>
        <w:pStyle w:val="ListParagraph"/>
        <w:spacing w:after="200" w:line="276" w:lineRule="auto"/>
        <w:ind w:left="360"/>
        <w:rPr>
          <w:rFonts w:cstheme="minorHAnsi"/>
          <w:sz w:val="24"/>
          <w:szCs w:val="24"/>
        </w:rPr>
      </w:pPr>
    </w:p>
    <w:p w14:paraId="038CF9A6" w14:textId="77777777" w:rsidR="0058422F" w:rsidRPr="00C21939" w:rsidRDefault="0058422F" w:rsidP="006906EE">
      <w:pPr>
        <w:pStyle w:val="ListParagraph"/>
        <w:numPr>
          <w:ilvl w:val="0"/>
          <w:numId w:val="2"/>
        </w:numPr>
        <w:spacing w:after="200" w:line="276" w:lineRule="auto"/>
        <w:rPr>
          <w:rFonts w:cstheme="minorHAnsi"/>
          <w:sz w:val="24"/>
          <w:szCs w:val="24"/>
        </w:rPr>
      </w:pPr>
      <w:r w:rsidRPr="00C21939">
        <w:rPr>
          <w:rFonts w:cstheme="minorHAnsi"/>
          <w:sz w:val="24"/>
          <w:szCs w:val="24"/>
        </w:rPr>
        <w:t xml:space="preserve">The National Commission </w:t>
      </w:r>
      <w:r w:rsidRPr="00C21939">
        <w:rPr>
          <w:rFonts w:cstheme="minorHAnsi"/>
          <w:b/>
          <w:sz w:val="24"/>
          <w:szCs w:val="24"/>
        </w:rPr>
        <w:t>supports</w:t>
      </w:r>
      <w:r w:rsidRPr="00C21939">
        <w:rPr>
          <w:rFonts w:cstheme="minorHAnsi"/>
          <w:sz w:val="24"/>
          <w:szCs w:val="24"/>
        </w:rPr>
        <w:t xml:space="preserve"> the obligation laid down for State Parties to ensure comprehensive health care for persons leaving institutions on an equal basis with others. The National Commission </w:t>
      </w:r>
      <w:r w:rsidRPr="00C21939">
        <w:rPr>
          <w:rFonts w:cstheme="minorHAnsi"/>
          <w:b/>
          <w:sz w:val="24"/>
          <w:szCs w:val="24"/>
        </w:rPr>
        <w:t xml:space="preserve">proposes </w:t>
      </w:r>
      <w:r w:rsidRPr="00C21939">
        <w:rPr>
          <w:rFonts w:cstheme="minorHAnsi"/>
          <w:sz w:val="24"/>
          <w:szCs w:val="24"/>
        </w:rPr>
        <w:t xml:space="preserve">that the Guidelines specifically emphasise on mental health care, noting its direct relation to institutionalization. The Committee should obligate State Parties to </w:t>
      </w:r>
      <w:r w:rsidRPr="00C21939">
        <w:rPr>
          <w:rFonts w:cstheme="minorHAnsi"/>
          <w:b/>
          <w:sz w:val="24"/>
          <w:szCs w:val="24"/>
        </w:rPr>
        <w:t>adequately fund mental health care</w:t>
      </w:r>
      <w:r w:rsidRPr="00C21939">
        <w:rPr>
          <w:rFonts w:cstheme="minorHAnsi"/>
          <w:sz w:val="24"/>
          <w:szCs w:val="24"/>
        </w:rPr>
        <w:t xml:space="preserve">, noting that this sector is grossly underfunded in most States.  </w:t>
      </w:r>
    </w:p>
    <w:p w14:paraId="59450885" w14:textId="4BB53ABC" w:rsidR="00A921A7" w:rsidRPr="00C21939" w:rsidRDefault="00A921A7" w:rsidP="006906EE">
      <w:pPr>
        <w:pStyle w:val="ListParagraph"/>
        <w:spacing w:after="200" w:line="276" w:lineRule="auto"/>
        <w:ind w:left="360"/>
        <w:rPr>
          <w:rFonts w:cstheme="minorHAnsi"/>
          <w:sz w:val="24"/>
          <w:szCs w:val="24"/>
        </w:rPr>
      </w:pPr>
    </w:p>
    <w:p w14:paraId="21BA5810" w14:textId="71DE699F" w:rsidR="0058422F" w:rsidRPr="00C21939" w:rsidRDefault="0058422F" w:rsidP="006906EE">
      <w:pPr>
        <w:spacing w:line="276" w:lineRule="auto"/>
        <w:rPr>
          <w:rFonts w:cstheme="minorHAnsi"/>
          <w:b/>
          <w:sz w:val="24"/>
          <w:szCs w:val="24"/>
        </w:rPr>
      </w:pPr>
      <w:r w:rsidRPr="00C21939">
        <w:rPr>
          <w:rFonts w:cstheme="minorHAnsi"/>
          <w:b/>
          <w:sz w:val="24"/>
          <w:szCs w:val="24"/>
        </w:rPr>
        <w:t>Disaggregated data</w:t>
      </w:r>
    </w:p>
    <w:p w14:paraId="04D115A3" w14:textId="507BC633" w:rsidR="0058422F" w:rsidRPr="00C21939" w:rsidRDefault="0058422F" w:rsidP="006906EE">
      <w:pPr>
        <w:pStyle w:val="ListParagraph"/>
        <w:numPr>
          <w:ilvl w:val="0"/>
          <w:numId w:val="2"/>
        </w:numPr>
        <w:spacing w:after="200" w:line="276" w:lineRule="auto"/>
        <w:rPr>
          <w:rFonts w:cstheme="minorHAnsi"/>
          <w:sz w:val="24"/>
          <w:szCs w:val="24"/>
        </w:rPr>
      </w:pPr>
      <w:r w:rsidRPr="00C21939">
        <w:rPr>
          <w:rFonts w:cstheme="minorHAnsi"/>
          <w:sz w:val="24"/>
          <w:szCs w:val="24"/>
        </w:rPr>
        <w:t xml:space="preserve">The National Commission welcomes the provisions of the Guidelines relating to collection of disaggregated data </w:t>
      </w:r>
      <w:r w:rsidR="00C21939">
        <w:rPr>
          <w:rFonts w:cstheme="minorHAnsi"/>
          <w:sz w:val="24"/>
          <w:szCs w:val="24"/>
        </w:rPr>
        <w:t xml:space="preserve">of </w:t>
      </w:r>
      <w:r w:rsidRPr="00C21939">
        <w:rPr>
          <w:rFonts w:cstheme="minorHAnsi"/>
          <w:sz w:val="24"/>
          <w:szCs w:val="24"/>
        </w:rPr>
        <w:t>persons with disabilities in all kind</w:t>
      </w:r>
      <w:r w:rsidR="00A514CA">
        <w:rPr>
          <w:rFonts w:cstheme="minorHAnsi"/>
          <w:sz w:val="24"/>
          <w:szCs w:val="24"/>
        </w:rPr>
        <w:t>s</w:t>
      </w:r>
      <w:r w:rsidRPr="00C21939">
        <w:rPr>
          <w:rFonts w:cstheme="minorHAnsi"/>
          <w:sz w:val="24"/>
          <w:szCs w:val="24"/>
        </w:rPr>
        <w:t xml:space="preserve"> of institutions</w:t>
      </w:r>
      <w:r w:rsidRPr="00C21939">
        <w:rPr>
          <w:rFonts w:cstheme="minorHAnsi"/>
          <w:b/>
          <w:i/>
          <w:sz w:val="24"/>
          <w:szCs w:val="24"/>
        </w:rPr>
        <w:t xml:space="preserve">. </w:t>
      </w:r>
      <w:r w:rsidRPr="00C21939">
        <w:rPr>
          <w:rFonts w:cstheme="minorHAnsi"/>
          <w:sz w:val="24"/>
          <w:szCs w:val="24"/>
        </w:rPr>
        <w:t xml:space="preserve">The National Commission </w:t>
      </w:r>
      <w:r w:rsidRPr="00C21939">
        <w:rPr>
          <w:rFonts w:cstheme="minorHAnsi"/>
          <w:b/>
          <w:sz w:val="24"/>
          <w:szCs w:val="24"/>
        </w:rPr>
        <w:t>calls on</w:t>
      </w:r>
      <w:r w:rsidRPr="00C21939">
        <w:rPr>
          <w:rFonts w:cstheme="minorHAnsi"/>
          <w:sz w:val="24"/>
          <w:szCs w:val="24"/>
        </w:rPr>
        <w:t xml:space="preserve"> the Committee to amend paragraph 126 of the Guidelines to </w:t>
      </w:r>
      <w:r w:rsidR="00AD39C0" w:rsidRPr="00C21939">
        <w:rPr>
          <w:rFonts w:cstheme="minorHAnsi"/>
          <w:sz w:val="24"/>
          <w:szCs w:val="24"/>
        </w:rPr>
        <w:t xml:space="preserve">expressly </w:t>
      </w:r>
      <w:r w:rsidRPr="00C21939">
        <w:rPr>
          <w:rFonts w:cstheme="minorHAnsi"/>
          <w:sz w:val="24"/>
          <w:szCs w:val="24"/>
        </w:rPr>
        <w:t xml:space="preserve">include National Human Rights Institutions among the entities that should be allowed to access collected data on deinstitutionalization. </w:t>
      </w:r>
    </w:p>
    <w:p w14:paraId="6103EE47" w14:textId="77777777" w:rsidR="000A75FE" w:rsidRPr="00C21939" w:rsidRDefault="000A75FE" w:rsidP="006906EE">
      <w:pPr>
        <w:pStyle w:val="ListParagraph"/>
        <w:spacing w:after="200" w:line="276" w:lineRule="auto"/>
        <w:rPr>
          <w:rFonts w:cstheme="minorHAnsi"/>
          <w:sz w:val="24"/>
          <w:szCs w:val="24"/>
        </w:rPr>
      </w:pPr>
    </w:p>
    <w:p w14:paraId="6437CE0D" w14:textId="338FE5AD" w:rsidR="0058422F" w:rsidRPr="00C21939" w:rsidRDefault="0058422F" w:rsidP="00C21939">
      <w:pPr>
        <w:spacing w:after="0" w:line="276" w:lineRule="auto"/>
        <w:rPr>
          <w:rFonts w:cstheme="minorHAnsi"/>
          <w:b/>
          <w:sz w:val="24"/>
          <w:szCs w:val="24"/>
          <w:lang w:val="en-US"/>
        </w:rPr>
      </w:pPr>
      <w:r w:rsidRPr="00C21939">
        <w:rPr>
          <w:rFonts w:cstheme="minorHAnsi"/>
          <w:b/>
          <w:sz w:val="24"/>
          <w:szCs w:val="24"/>
          <w:lang w:val="en-US"/>
        </w:rPr>
        <w:t>Monitoring deinstitutionalization processes</w:t>
      </w:r>
    </w:p>
    <w:p w14:paraId="326AF298" w14:textId="77777777" w:rsidR="00F4401A" w:rsidRPr="00C21939" w:rsidRDefault="00F4401A" w:rsidP="00C21939">
      <w:pPr>
        <w:pStyle w:val="ListParagraph"/>
        <w:spacing w:after="0" w:line="276" w:lineRule="auto"/>
        <w:ind w:left="1080"/>
        <w:rPr>
          <w:rFonts w:cstheme="minorHAnsi"/>
          <w:b/>
          <w:sz w:val="24"/>
          <w:szCs w:val="24"/>
        </w:rPr>
      </w:pPr>
    </w:p>
    <w:p w14:paraId="4BE8BFA2" w14:textId="01DCC0A8" w:rsidR="0058422F" w:rsidRPr="00C21939" w:rsidRDefault="0058422F" w:rsidP="00C21939">
      <w:pPr>
        <w:pStyle w:val="ListParagraph"/>
        <w:numPr>
          <w:ilvl w:val="0"/>
          <w:numId w:val="2"/>
        </w:numPr>
        <w:spacing w:after="0" w:line="276" w:lineRule="auto"/>
        <w:rPr>
          <w:rFonts w:cstheme="minorHAnsi"/>
          <w:sz w:val="24"/>
          <w:szCs w:val="24"/>
        </w:rPr>
      </w:pPr>
      <w:r w:rsidRPr="00C21939">
        <w:rPr>
          <w:rFonts w:cstheme="minorHAnsi"/>
          <w:sz w:val="24"/>
          <w:szCs w:val="24"/>
        </w:rPr>
        <w:t>The National Commission recognizes the critical role played by national implementing and monitoring mechanisms under Article 33 of the Convention</w:t>
      </w:r>
      <w:r w:rsidR="00C21939" w:rsidRPr="00C21939">
        <w:rPr>
          <w:rFonts w:cstheme="minorHAnsi"/>
          <w:sz w:val="24"/>
          <w:szCs w:val="24"/>
        </w:rPr>
        <w:t xml:space="preserve">. We </w:t>
      </w:r>
      <w:r w:rsidRPr="00C21939">
        <w:rPr>
          <w:rFonts w:cstheme="minorHAnsi"/>
          <w:b/>
          <w:sz w:val="24"/>
          <w:szCs w:val="24"/>
        </w:rPr>
        <w:t>recommend that</w:t>
      </w:r>
      <w:r w:rsidRPr="00C21939">
        <w:rPr>
          <w:rFonts w:cstheme="minorHAnsi"/>
          <w:sz w:val="24"/>
          <w:szCs w:val="24"/>
        </w:rPr>
        <w:t xml:space="preserve"> paragraph 132 of the Guidelines include</w:t>
      </w:r>
      <w:r w:rsidR="00C21939" w:rsidRPr="00C21939">
        <w:rPr>
          <w:rFonts w:cstheme="minorHAnsi"/>
          <w:sz w:val="24"/>
          <w:szCs w:val="24"/>
        </w:rPr>
        <w:t>s</w:t>
      </w:r>
      <w:r w:rsidRPr="00C21939">
        <w:rPr>
          <w:rFonts w:cstheme="minorHAnsi"/>
          <w:sz w:val="24"/>
          <w:szCs w:val="24"/>
        </w:rPr>
        <w:t xml:space="preserve"> a provision for State </w:t>
      </w:r>
      <w:r w:rsidRPr="00C21939">
        <w:rPr>
          <w:rFonts w:cstheme="minorHAnsi"/>
          <w:sz w:val="24"/>
          <w:szCs w:val="24"/>
        </w:rPr>
        <w:lastRenderedPageBreak/>
        <w:t xml:space="preserve">Parties to implement recommendations of monitoring exercises from the designated focal points. In order to effectively protect and promote the rights of persons with disabilities and monitor deinstitutionalization during emergencies, the National Commission </w:t>
      </w:r>
      <w:r w:rsidRPr="00C21939">
        <w:rPr>
          <w:rFonts w:cstheme="minorHAnsi"/>
          <w:b/>
          <w:sz w:val="24"/>
          <w:szCs w:val="24"/>
        </w:rPr>
        <w:t>urges</w:t>
      </w:r>
      <w:r w:rsidRPr="00C21939">
        <w:rPr>
          <w:rFonts w:cstheme="minorHAnsi"/>
          <w:sz w:val="24"/>
          <w:szCs w:val="24"/>
        </w:rPr>
        <w:t xml:space="preserve"> the Committee to recommend that under paragraph 136 of the Guidelines, State Parties should recognize and classify National Human Rights Ins</w:t>
      </w:r>
      <w:r w:rsidR="00ED0D6A" w:rsidRPr="00C21939">
        <w:rPr>
          <w:rFonts w:cstheme="minorHAnsi"/>
          <w:sz w:val="24"/>
          <w:szCs w:val="24"/>
        </w:rPr>
        <w:t xml:space="preserve">titutions and their workers as </w:t>
      </w:r>
      <w:r w:rsidRPr="00C21939">
        <w:rPr>
          <w:rFonts w:cstheme="minorHAnsi"/>
          <w:sz w:val="24"/>
          <w:szCs w:val="24"/>
        </w:rPr>
        <w:t>essential service providers. This is from the backdrop that during Covid-19 period, States classified a section of workers and institutions as providing essential services thus allowing them to operate round the clock and were not affected by restriction of movement and curfews.</w:t>
      </w:r>
    </w:p>
    <w:p w14:paraId="18DAA75B" w14:textId="77777777" w:rsidR="00F4401A" w:rsidRPr="00C21939" w:rsidRDefault="00F4401A" w:rsidP="00F4401A">
      <w:pPr>
        <w:pStyle w:val="ListParagraph"/>
        <w:spacing w:after="200" w:line="276" w:lineRule="auto"/>
        <w:ind w:left="1080"/>
        <w:rPr>
          <w:rFonts w:cstheme="minorHAnsi"/>
          <w:sz w:val="24"/>
          <w:szCs w:val="24"/>
        </w:rPr>
      </w:pPr>
    </w:p>
    <w:p w14:paraId="37AB0F33" w14:textId="4BE980E8" w:rsidR="000A75FE" w:rsidRPr="00C21939" w:rsidRDefault="006B09ED" w:rsidP="00EE7021">
      <w:pPr>
        <w:spacing w:after="0" w:line="276" w:lineRule="auto"/>
        <w:rPr>
          <w:rFonts w:cstheme="minorHAnsi"/>
          <w:b/>
          <w:sz w:val="24"/>
          <w:szCs w:val="24"/>
        </w:rPr>
      </w:pPr>
      <w:r w:rsidRPr="00C21939">
        <w:rPr>
          <w:rFonts w:cstheme="minorHAnsi"/>
          <w:b/>
          <w:sz w:val="24"/>
          <w:szCs w:val="24"/>
        </w:rPr>
        <w:t>International cooperation</w:t>
      </w:r>
    </w:p>
    <w:p w14:paraId="580311A5" w14:textId="77777777" w:rsidR="00F4401A" w:rsidRPr="00C21939" w:rsidRDefault="00F4401A" w:rsidP="00F4401A">
      <w:pPr>
        <w:pStyle w:val="ListParagraph"/>
        <w:spacing w:after="0" w:line="276" w:lineRule="auto"/>
        <w:ind w:left="1080"/>
        <w:rPr>
          <w:rFonts w:cstheme="minorHAnsi"/>
          <w:b/>
          <w:sz w:val="24"/>
          <w:szCs w:val="24"/>
        </w:rPr>
      </w:pPr>
    </w:p>
    <w:p w14:paraId="692667B2" w14:textId="6844845F" w:rsidR="006B09ED" w:rsidRPr="00C21939" w:rsidRDefault="006B09ED" w:rsidP="00F4401A">
      <w:pPr>
        <w:pStyle w:val="ListParagraph"/>
        <w:numPr>
          <w:ilvl w:val="0"/>
          <w:numId w:val="2"/>
        </w:numPr>
        <w:spacing w:after="0" w:line="276" w:lineRule="auto"/>
        <w:rPr>
          <w:rFonts w:cstheme="minorHAnsi"/>
          <w:sz w:val="24"/>
          <w:szCs w:val="24"/>
        </w:rPr>
      </w:pPr>
      <w:r w:rsidRPr="00C21939">
        <w:rPr>
          <w:rFonts w:cstheme="minorHAnsi"/>
          <w:sz w:val="24"/>
          <w:szCs w:val="24"/>
        </w:rPr>
        <w:t xml:space="preserve">The National Commission </w:t>
      </w:r>
      <w:r w:rsidRPr="00C21939">
        <w:rPr>
          <w:rFonts w:cstheme="minorHAnsi"/>
          <w:b/>
          <w:sz w:val="24"/>
          <w:szCs w:val="24"/>
        </w:rPr>
        <w:t>recognizes</w:t>
      </w:r>
      <w:r w:rsidRPr="00C21939">
        <w:rPr>
          <w:rFonts w:cstheme="minorHAnsi"/>
          <w:sz w:val="24"/>
          <w:szCs w:val="24"/>
        </w:rPr>
        <w:t xml:space="preserve"> the importance of international cooperation in achieving deinstitutionalization of persons with disabilities. Therefore, it </w:t>
      </w:r>
      <w:r w:rsidRPr="00C21939">
        <w:rPr>
          <w:rFonts w:cstheme="minorHAnsi"/>
          <w:b/>
          <w:sz w:val="24"/>
          <w:szCs w:val="24"/>
        </w:rPr>
        <w:t>urges</w:t>
      </w:r>
      <w:r w:rsidRPr="00C21939">
        <w:rPr>
          <w:rFonts w:cstheme="minorHAnsi"/>
          <w:sz w:val="24"/>
          <w:szCs w:val="24"/>
        </w:rPr>
        <w:t xml:space="preserve"> </w:t>
      </w:r>
      <w:r w:rsidR="00593757" w:rsidRPr="00C21939">
        <w:rPr>
          <w:rFonts w:cstheme="minorHAnsi"/>
          <w:sz w:val="24"/>
          <w:szCs w:val="24"/>
        </w:rPr>
        <w:t xml:space="preserve">provision for </w:t>
      </w:r>
      <w:r w:rsidR="002B238D" w:rsidRPr="00C21939">
        <w:rPr>
          <w:rFonts w:cstheme="minorHAnsi"/>
          <w:sz w:val="24"/>
          <w:szCs w:val="24"/>
        </w:rPr>
        <w:t xml:space="preserve">State Parties </w:t>
      </w:r>
      <w:r w:rsidRPr="00C21939">
        <w:rPr>
          <w:rFonts w:cstheme="minorHAnsi"/>
          <w:sz w:val="24"/>
          <w:szCs w:val="24"/>
        </w:rPr>
        <w:t xml:space="preserve">to the CRPD, to regularly engage the Committee in monitoring </w:t>
      </w:r>
      <w:r w:rsidR="005F09CF" w:rsidRPr="00C21939">
        <w:rPr>
          <w:rFonts w:cstheme="minorHAnsi"/>
          <w:sz w:val="24"/>
          <w:szCs w:val="24"/>
        </w:rPr>
        <w:t>the</w:t>
      </w:r>
      <w:r w:rsidRPr="00C21939">
        <w:rPr>
          <w:rFonts w:cstheme="minorHAnsi"/>
          <w:sz w:val="24"/>
          <w:szCs w:val="24"/>
        </w:rPr>
        <w:t xml:space="preserve"> deinstitutionalization processes, including inviting the Committee</w:t>
      </w:r>
      <w:r w:rsidR="00C402A3" w:rsidRPr="00C21939">
        <w:rPr>
          <w:rFonts w:cstheme="minorHAnsi"/>
          <w:sz w:val="24"/>
          <w:szCs w:val="24"/>
        </w:rPr>
        <w:t xml:space="preserve"> and special mandates</w:t>
      </w:r>
      <w:r w:rsidRPr="00C21939">
        <w:rPr>
          <w:rFonts w:cstheme="minorHAnsi"/>
          <w:sz w:val="24"/>
          <w:szCs w:val="24"/>
        </w:rPr>
        <w:t xml:space="preserve"> for visits to witness and report on the progress made. </w:t>
      </w:r>
    </w:p>
    <w:p w14:paraId="15BFD66B" w14:textId="5A9ED8CE" w:rsidR="008301B6" w:rsidRPr="00C21939" w:rsidRDefault="008301B6" w:rsidP="006906EE">
      <w:pPr>
        <w:spacing w:line="360" w:lineRule="auto"/>
        <w:ind w:left="3600"/>
        <w:rPr>
          <w:rFonts w:cstheme="minorHAnsi"/>
          <w:b/>
          <w:sz w:val="24"/>
          <w:szCs w:val="24"/>
        </w:rPr>
      </w:pPr>
    </w:p>
    <w:p w14:paraId="1AF03639" w14:textId="3131D8EF" w:rsidR="005F09CF" w:rsidRDefault="005F09CF" w:rsidP="006906EE">
      <w:pPr>
        <w:spacing w:line="360" w:lineRule="auto"/>
        <w:ind w:left="3600"/>
        <w:rPr>
          <w:rFonts w:cstheme="minorHAnsi"/>
          <w:b/>
          <w:sz w:val="24"/>
          <w:szCs w:val="24"/>
        </w:rPr>
      </w:pPr>
    </w:p>
    <w:p w14:paraId="5CAB2756" w14:textId="77777777" w:rsidR="00F4401A" w:rsidRPr="00C21939" w:rsidRDefault="00F4401A" w:rsidP="006906EE">
      <w:pPr>
        <w:spacing w:line="360" w:lineRule="auto"/>
        <w:ind w:left="3600"/>
        <w:rPr>
          <w:rFonts w:cstheme="minorHAnsi"/>
          <w:b/>
          <w:sz w:val="24"/>
          <w:szCs w:val="24"/>
        </w:rPr>
      </w:pPr>
    </w:p>
    <w:p w14:paraId="16AD1056" w14:textId="100E0D2F" w:rsidR="00E92AE2" w:rsidRPr="00C21939" w:rsidRDefault="000A75FE" w:rsidP="006906EE">
      <w:pPr>
        <w:spacing w:line="360" w:lineRule="auto"/>
        <w:ind w:left="3600"/>
        <w:rPr>
          <w:rFonts w:cstheme="minorHAnsi"/>
          <w:bCs/>
          <w:sz w:val="24"/>
          <w:szCs w:val="24"/>
        </w:rPr>
      </w:pPr>
      <w:r w:rsidRPr="00C21939">
        <w:rPr>
          <w:rFonts w:cstheme="minorHAnsi"/>
          <w:bCs/>
          <w:sz w:val="24"/>
          <w:szCs w:val="24"/>
        </w:rPr>
        <w:t>………….</w:t>
      </w:r>
      <w:r w:rsidR="002F575C" w:rsidRPr="00C21939">
        <w:rPr>
          <w:rFonts w:cstheme="minorHAnsi"/>
          <w:bCs/>
          <w:sz w:val="24"/>
          <w:szCs w:val="24"/>
        </w:rPr>
        <w:t xml:space="preserve"> </w:t>
      </w:r>
      <w:r w:rsidRPr="00C21939">
        <w:rPr>
          <w:rFonts w:cstheme="minorHAnsi"/>
          <w:bCs/>
          <w:sz w:val="24"/>
          <w:szCs w:val="24"/>
        </w:rPr>
        <w:t>END</w:t>
      </w:r>
      <w:r w:rsidR="002F575C" w:rsidRPr="00C21939">
        <w:rPr>
          <w:rFonts w:cstheme="minorHAnsi"/>
          <w:bCs/>
          <w:sz w:val="24"/>
          <w:szCs w:val="24"/>
        </w:rPr>
        <w:t xml:space="preserve"> </w:t>
      </w:r>
      <w:r w:rsidRPr="00C21939">
        <w:rPr>
          <w:rFonts w:cstheme="minorHAnsi"/>
          <w:bCs/>
          <w:sz w:val="24"/>
          <w:szCs w:val="24"/>
        </w:rPr>
        <w:t>………</w:t>
      </w:r>
    </w:p>
    <w:sectPr w:rsidR="00E92AE2" w:rsidRPr="00C2193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AB6FC" w14:textId="77777777" w:rsidR="00AF2989" w:rsidRDefault="00AF2989" w:rsidP="0058422F">
      <w:pPr>
        <w:spacing w:after="0" w:line="240" w:lineRule="auto"/>
      </w:pPr>
      <w:r>
        <w:separator/>
      </w:r>
    </w:p>
  </w:endnote>
  <w:endnote w:type="continuationSeparator" w:id="0">
    <w:p w14:paraId="7CF6574C" w14:textId="77777777" w:rsidR="00AF2989" w:rsidRDefault="00AF2989" w:rsidP="0058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06556" w14:textId="5272CC3A" w:rsidR="008301B6" w:rsidRDefault="00CA5CA6">
    <w:pPr>
      <w:pStyle w:val="Footer"/>
    </w:pPr>
    <w:r>
      <w:fldChar w:fldCharType="begin"/>
    </w:r>
    <w:r>
      <w:instrText xml:space="preserve"> PAGE   \* MERGEFORMAT </w:instrText>
    </w:r>
    <w:r>
      <w:fldChar w:fldCharType="separate"/>
    </w:r>
    <w:r w:rsidR="009C393F" w:rsidRPr="009C393F">
      <w:rPr>
        <w:b/>
        <w:bCs/>
        <w:noProof/>
      </w:rPr>
      <w:t>8</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402DD" w14:textId="77777777" w:rsidR="00AF2989" w:rsidRDefault="00AF2989" w:rsidP="0058422F">
      <w:pPr>
        <w:spacing w:after="0" w:line="240" w:lineRule="auto"/>
      </w:pPr>
      <w:r>
        <w:separator/>
      </w:r>
    </w:p>
  </w:footnote>
  <w:footnote w:type="continuationSeparator" w:id="0">
    <w:p w14:paraId="3EB6856E" w14:textId="77777777" w:rsidR="00AF2989" w:rsidRDefault="00AF2989" w:rsidP="0058422F">
      <w:pPr>
        <w:spacing w:after="0" w:line="240" w:lineRule="auto"/>
      </w:pPr>
      <w:r>
        <w:continuationSeparator/>
      </w:r>
    </w:p>
  </w:footnote>
  <w:footnote w:id="1">
    <w:p w14:paraId="282114F1" w14:textId="4228EC68" w:rsidR="004763FD" w:rsidRPr="004763FD" w:rsidRDefault="004763FD" w:rsidP="00637630">
      <w:pPr>
        <w:pStyle w:val="FootnoteText"/>
        <w:rPr>
          <w:rFonts w:cstheme="minorHAnsi"/>
        </w:rPr>
      </w:pPr>
      <w:r w:rsidRPr="004763FD">
        <w:rPr>
          <w:rStyle w:val="FootnoteReference"/>
          <w:rFonts w:cstheme="minorHAnsi"/>
        </w:rPr>
        <w:footnoteRef/>
      </w:r>
      <w:r w:rsidRPr="004763FD">
        <w:rPr>
          <w:rFonts w:cstheme="minorHAnsi"/>
        </w:rPr>
        <w:t xml:space="preserve"> In Kenya for example, despite the fact that under the National Legal Aid Act and the Persons with Disabilities Act</w:t>
      </w:r>
      <w:r w:rsidR="00AD39C0">
        <w:rPr>
          <w:rFonts w:cstheme="minorHAnsi"/>
        </w:rPr>
        <w:t xml:space="preserve">, </w:t>
      </w:r>
      <w:r w:rsidRPr="004763FD">
        <w:rPr>
          <w:rFonts w:cstheme="minorHAnsi"/>
        </w:rPr>
        <w:t>2003, persons with disabilities in conflict with the law are entitled to legal aid in all matters; legal aid is provided to capital offenders.</w:t>
      </w:r>
    </w:p>
  </w:footnote>
  <w:footnote w:id="2">
    <w:p w14:paraId="4CEAC4D7" w14:textId="25E0BDEC" w:rsidR="00EE5215" w:rsidRDefault="00EE5215" w:rsidP="00637630">
      <w:pPr>
        <w:pStyle w:val="Default"/>
      </w:pPr>
      <w:r w:rsidRPr="004763FD">
        <w:rPr>
          <w:rStyle w:val="FootnoteReference"/>
          <w:rFonts w:asciiTheme="minorHAnsi" w:hAnsiTheme="minorHAnsi" w:cstheme="minorHAnsi"/>
          <w:sz w:val="20"/>
          <w:szCs w:val="20"/>
        </w:rPr>
        <w:footnoteRef/>
      </w:r>
      <w:r w:rsidRPr="004763FD">
        <w:rPr>
          <w:rFonts w:asciiTheme="minorHAnsi" w:hAnsiTheme="minorHAnsi" w:cstheme="minorHAnsi"/>
          <w:sz w:val="20"/>
          <w:szCs w:val="20"/>
        </w:rPr>
        <w:t xml:space="preserve"> For instance</w:t>
      </w:r>
      <w:r w:rsidR="004763FD">
        <w:rPr>
          <w:rFonts w:asciiTheme="minorHAnsi" w:hAnsiTheme="minorHAnsi" w:cstheme="minorHAnsi"/>
          <w:sz w:val="20"/>
          <w:szCs w:val="20"/>
        </w:rPr>
        <w:t>,</w:t>
      </w:r>
      <w:r w:rsidRPr="004763FD">
        <w:rPr>
          <w:rFonts w:asciiTheme="minorHAnsi" w:hAnsiTheme="minorHAnsi" w:cstheme="minorHAnsi"/>
          <w:sz w:val="20"/>
          <w:szCs w:val="20"/>
        </w:rPr>
        <w:t xml:space="preserve"> Sections 162-164 of the Criminal Procedure Code (Chapter 75) Laws of Kenya.</w:t>
      </w:r>
    </w:p>
  </w:footnote>
  <w:footnote w:id="3">
    <w:p w14:paraId="301C7B56" w14:textId="37022BC5" w:rsidR="000E5A45" w:rsidRDefault="000E5A45" w:rsidP="00637630">
      <w:pPr>
        <w:pStyle w:val="FootnoteText"/>
      </w:pPr>
      <w:r>
        <w:rPr>
          <w:rStyle w:val="FootnoteReference"/>
        </w:rPr>
        <w:footnoteRef/>
      </w:r>
      <w:r>
        <w:t xml:space="preserve"> See for instance section</w:t>
      </w:r>
      <w:r w:rsidR="00637630">
        <w:t>s 25 of the Penal Code (Chapter 63</w:t>
      </w:r>
      <w:r w:rsidR="00AD39C0">
        <w:t>)</w:t>
      </w:r>
      <w:r w:rsidR="00637630">
        <w:t xml:space="preserve"> Laws of Kenya and section </w:t>
      </w:r>
      <w:r w:rsidR="00AD39C0">
        <w:t xml:space="preserve">166 of the </w:t>
      </w:r>
      <w:r w:rsidR="00637630">
        <w:t>Criminal Procedure Code (Chapter 75) Laws of Kenya.</w:t>
      </w:r>
    </w:p>
  </w:footnote>
  <w:footnote w:id="4">
    <w:p w14:paraId="3B0C8DCE" w14:textId="77777777" w:rsidR="0058422F" w:rsidRPr="00CD6CBD" w:rsidRDefault="0058422F" w:rsidP="00637630">
      <w:pPr>
        <w:pStyle w:val="FootnoteText"/>
        <w:rPr>
          <w:lang w:val="en-GB"/>
        </w:rPr>
      </w:pPr>
      <w:r>
        <w:rPr>
          <w:rStyle w:val="FootnoteReference"/>
        </w:rPr>
        <w:footnoteRef/>
      </w:r>
      <w:r>
        <w:t xml:space="preserve"> United Nations Children’s Fund, “Deinstitutionalization for Children with Disabilities: Technical Guidance for UNICEF’s engagement in national reform efforts,” Hellen Jones (2019), available at </w:t>
      </w:r>
      <w:hyperlink r:id="rId1" w:history="1">
        <w:r w:rsidRPr="009D7DBB">
          <w:rPr>
            <w:rStyle w:val="Hyperlink"/>
          </w:rPr>
          <w:t>https://www.unicef.org/eca/media/13271/file</w:t>
        </w:r>
      </w:hyperlink>
      <w:r>
        <w:t xml:space="preserve"> p</w:t>
      </w:r>
      <w:r>
        <w:rPr>
          <w:lang w:val="en-GB"/>
        </w:rPr>
        <w:t xml:space="preserve">age 25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32FE"/>
      </v:shape>
    </w:pict>
  </w:numPicBullet>
  <w:abstractNum w:abstractNumId="0" w15:restartNumberingAfterBreak="0">
    <w:nsid w:val="0BD76B22"/>
    <w:multiLevelType w:val="hybridMultilevel"/>
    <w:tmpl w:val="897E332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D7329"/>
    <w:multiLevelType w:val="hybridMultilevel"/>
    <w:tmpl w:val="4C54BAE2"/>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A6F4540"/>
    <w:multiLevelType w:val="hybridMultilevel"/>
    <w:tmpl w:val="04903FEE"/>
    <w:lvl w:ilvl="0" w:tplc="42701034">
      <w:start w:val="1"/>
      <w:numFmt w:val="decimal"/>
      <w:suff w:val="nothing"/>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2106A"/>
    <w:multiLevelType w:val="hybridMultilevel"/>
    <w:tmpl w:val="6BF4FC5C"/>
    <w:lvl w:ilvl="0" w:tplc="8DD6E0E6">
      <w:start w:val="110"/>
      <w:numFmt w:val="decimal"/>
      <w:lvlText w:val="%1."/>
      <w:lvlJc w:val="left"/>
      <w:pPr>
        <w:ind w:left="890" w:hanging="5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A17103"/>
    <w:multiLevelType w:val="hybridMultilevel"/>
    <w:tmpl w:val="C11A82F6"/>
    <w:lvl w:ilvl="0" w:tplc="B7F6E2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E065D6"/>
    <w:multiLevelType w:val="hybridMultilevel"/>
    <w:tmpl w:val="0262B6C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A5759D"/>
    <w:multiLevelType w:val="hybridMultilevel"/>
    <w:tmpl w:val="9E96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C6522"/>
    <w:multiLevelType w:val="hybridMultilevel"/>
    <w:tmpl w:val="391650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454D7B"/>
    <w:multiLevelType w:val="multilevel"/>
    <w:tmpl w:val="2044185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52208B"/>
    <w:multiLevelType w:val="hybridMultilevel"/>
    <w:tmpl w:val="8A8E004E"/>
    <w:lvl w:ilvl="0" w:tplc="8B825E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60F43"/>
    <w:multiLevelType w:val="hybridMultilevel"/>
    <w:tmpl w:val="74405434"/>
    <w:lvl w:ilvl="0" w:tplc="106A15DA">
      <w:start w:val="1"/>
      <w:numFmt w:val="decimal"/>
      <w:pStyle w:val="BodyText1"/>
      <w:lvlText w:val="%1."/>
      <w:lvlJc w:val="left"/>
      <w:pPr>
        <w:ind w:left="643" w:hanging="360"/>
      </w:pPr>
      <w:rPr>
        <w:rFonts w:asciiTheme="minorHAnsi" w:hAnsiTheme="minorHAnsi" w:cstheme="minorHAnsi" w:hint="default"/>
        <w:sz w:val="20"/>
        <w:szCs w:val="20"/>
      </w:rPr>
    </w:lvl>
    <w:lvl w:ilvl="1" w:tplc="9A3A3DEE">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59E06848">
      <w:start w:val="1"/>
      <w:numFmt w:val="upperLetter"/>
      <w:lvlText w:val="%6."/>
      <w:lvlJc w:val="left"/>
      <w:pPr>
        <w:ind w:left="4500" w:hanging="36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7F52C64"/>
    <w:multiLevelType w:val="hybridMultilevel"/>
    <w:tmpl w:val="897E332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D5767"/>
    <w:multiLevelType w:val="hybridMultilevel"/>
    <w:tmpl w:val="232216D4"/>
    <w:lvl w:ilvl="0" w:tplc="8B825EC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867FE5"/>
    <w:multiLevelType w:val="hybridMultilevel"/>
    <w:tmpl w:val="8A185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781E34"/>
    <w:multiLevelType w:val="hybridMultilevel"/>
    <w:tmpl w:val="AE64A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083A3F"/>
    <w:multiLevelType w:val="hybridMultilevel"/>
    <w:tmpl w:val="DA4E5BEA"/>
    <w:lvl w:ilvl="0" w:tplc="99DE42F2">
      <w:start w:val="1"/>
      <w:numFmt w:val="upperLetter"/>
      <w:lvlText w:val="%1."/>
      <w:lvlJc w:val="left"/>
      <w:pPr>
        <w:ind w:left="382" w:hanging="264"/>
        <w:jc w:val="right"/>
      </w:pPr>
      <w:rPr>
        <w:rFonts w:ascii="Bookman Old Style" w:eastAsiaTheme="minorHAnsi" w:hAnsi="Bookman Old Style" w:cs="Tahoma"/>
        <w:b/>
        <w:bCs/>
        <w:w w:val="100"/>
        <w:sz w:val="24"/>
        <w:szCs w:val="24"/>
        <w:lang w:val="en-US" w:eastAsia="en-US" w:bidi="ar-SA"/>
      </w:rPr>
    </w:lvl>
    <w:lvl w:ilvl="1" w:tplc="E23498C4">
      <w:start w:val="1"/>
      <w:numFmt w:val="decimal"/>
      <w:lvlText w:val="%2."/>
      <w:lvlJc w:val="left"/>
      <w:pPr>
        <w:ind w:left="839" w:hanging="360"/>
      </w:pPr>
      <w:rPr>
        <w:rFonts w:ascii="Calibri" w:eastAsia="Calibri" w:hAnsi="Calibri" w:cs="Calibri" w:hint="default"/>
        <w:b/>
        <w:bCs/>
        <w:w w:val="100"/>
        <w:sz w:val="24"/>
        <w:szCs w:val="24"/>
        <w:lang w:val="en-US" w:eastAsia="en-US" w:bidi="ar-SA"/>
      </w:rPr>
    </w:lvl>
    <w:lvl w:ilvl="2" w:tplc="1E0C21DC">
      <w:numFmt w:val="bullet"/>
      <w:lvlText w:val="•"/>
      <w:lvlJc w:val="left"/>
      <w:pPr>
        <w:ind w:left="1813" w:hanging="360"/>
      </w:pPr>
      <w:rPr>
        <w:rFonts w:hint="default"/>
        <w:lang w:val="en-US" w:eastAsia="en-US" w:bidi="ar-SA"/>
      </w:rPr>
    </w:lvl>
    <w:lvl w:ilvl="3" w:tplc="4A7AA4E6">
      <w:numFmt w:val="bullet"/>
      <w:lvlText w:val="•"/>
      <w:lvlJc w:val="left"/>
      <w:pPr>
        <w:ind w:left="2786" w:hanging="360"/>
      </w:pPr>
      <w:rPr>
        <w:rFonts w:hint="default"/>
        <w:lang w:val="en-US" w:eastAsia="en-US" w:bidi="ar-SA"/>
      </w:rPr>
    </w:lvl>
    <w:lvl w:ilvl="4" w:tplc="9EE2B6EE">
      <w:numFmt w:val="bullet"/>
      <w:lvlText w:val="•"/>
      <w:lvlJc w:val="left"/>
      <w:pPr>
        <w:ind w:left="3760" w:hanging="360"/>
      </w:pPr>
      <w:rPr>
        <w:rFonts w:hint="default"/>
        <w:lang w:val="en-US" w:eastAsia="en-US" w:bidi="ar-SA"/>
      </w:rPr>
    </w:lvl>
    <w:lvl w:ilvl="5" w:tplc="80908F98">
      <w:numFmt w:val="bullet"/>
      <w:lvlText w:val="•"/>
      <w:lvlJc w:val="left"/>
      <w:pPr>
        <w:ind w:left="4733" w:hanging="360"/>
      </w:pPr>
      <w:rPr>
        <w:rFonts w:hint="default"/>
        <w:lang w:val="en-US" w:eastAsia="en-US" w:bidi="ar-SA"/>
      </w:rPr>
    </w:lvl>
    <w:lvl w:ilvl="6" w:tplc="3C9EC90A">
      <w:numFmt w:val="bullet"/>
      <w:lvlText w:val="•"/>
      <w:lvlJc w:val="left"/>
      <w:pPr>
        <w:ind w:left="5706" w:hanging="360"/>
      </w:pPr>
      <w:rPr>
        <w:rFonts w:hint="default"/>
        <w:lang w:val="en-US" w:eastAsia="en-US" w:bidi="ar-SA"/>
      </w:rPr>
    </w:lvl>
    <w:lvl w:ilvl="7" w:tplc="182EDB04">
      <w:numFmt w:val="bullet"/>
      <w:lvlText w:val="•"/>
      <w:lvlJc w:val="left"/>
      <w:pPr>
        <w:ind w:left="6680" w:hanging="360"/>
      </w:pPr>
      <w:rPr>
        <w:rFonts w:hint="default"/>
        <w:lang w:val="en-US" w:eastAsia="en-US" w:bidi="ar-SA"/>
      </w:rPr>
    </w:lvl>
    <w:lvl w:ilvl="8" w:tplc="E88039BA">
      <w:numFmt w:val="bullet"/>
      <w:lvlText w:val="•"/>
      <w:lvlJc w:val="left"/>
      <w:pPr>
        <w:ind w:left="7653" w:hanging="360"/>
      </w:pPr>
      <w:rPr>
        <w:rFonts w:hint="default"/>
        <w:lang w:val="en-US" w:eastAsia="en-US" w:bidi="ar-SA"/>
      </w:rPr>
    </w:lvl>
  </w:abstractNum>
  <w:abstractNum w:abstractNumId="16" w15:restartNumberingAfterBreak="0">
    <w:nsid w:val="7DD06779"/>
    <w:multiLevelType w:val="multilevel"/>
    <w:tmpl w:val="0E26078E"/>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2"/>
  </w:num>
  <w:num w:numId="3">
    <w:abstractNumId w:val="14"/>
  </w:num>
  <w:num w:numId="4">
    <w:abstractNumId w:val="13"/>
  </w:num>
  <w:num w:numId="5">
    <w:abstractNumId w:val="5"/>
  </w:num>
  <w:num w:numId="6">
    <w:abstractNumId w:val="16"/>
  </w:num>
  <w:num w:numId="7">
    <w:abstractNumId w:val="6"/>
  </w:num>
  <w:num w:numId="8">
    <w:abstractNumId w:val="7"/>
  </w:num>
  <w:num w:numId="9">
    <w:abstractNumId w:val="3"/>
  </w:num>
  <w:num w:numId="10">
    <w:abstractNumId w:val="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num>
  <w:num w:numId="14">
    <w:abstractNumId w:val="1"/>
  </w:num>
  <w:num w:numId="15">
    <w:abstractNumId w:val="4"/>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0D"/>
    <w:rsid w:val="0002370D"/>
    <w:rsid w:val="0002468D"/>
    <w:rsid w:val="00031716"/>
    <w:rsid w:val="00035293"/>
    <w:rsid w:val="00057A8A"/>
    <w:rsid w:val="000823DB"/>
    <w:rsid w:val="000A75FE"/>
    <w:rsid w:val="000C3308"/>
    <w:rsid w:val="000E5A45"/>
    <w:rsid w:val="00101EFE"/>
    <w:rsid w:val="00151C5D"/>
    <w:rsid w:val="001534E0"/>
    <w:rsid w:val="001852B2"/>
    <w:rsid w:val="00190DED"/>
    <w:rsid w:val="001B475A"/>
    <w:rsid w:val="001D5055"/>
    <w:rsid w:val="00214053"/>
    <w:rsid w:val="00261CCB"/>
    <w:rsid w:val="00296159"/>
    <w:rsid w:val="002B238D"/>
    <w:rsid w:val="002F575C"/>
    <w:rsid w:val="00303892"/>
    <w:rsid w:val="00335C78"/>
    <w:rsid w:val="00353BDB"/>
    <w:rsid w:val="003B7222"/>
    <w:rsid w:val="003E2DE0"/>
    <w:rsid w:val="00421BB3"/>
    <w:rsid w:val="004479CC"/>
    <w:rsid w:val="00472C67"/>
    <w:rsid w:val="004763FD"/>
    <w:rsid w:val="004D343C"/>
    <w:rsid w:val="004E5F89"/>
    <w:rsid w:val="004F07EA"/>
    <w:rsid w:val="004F1AD6"/>
    <w:rsid w:val="00515E63"/>
    <w:rsid w:val="00551706"/>
    <w:rsid w:val="00572926"/>
    <w:rsid w:val="0058422F"/>
    <w:rsid w:val="00590158"/>
    <w:rsid w:val="00593757"/>
    <w:rsid w:val="005B7509"/>
    <w:rsid w:val="005C2B48"/>
    <w:rsid w:val="005F09CF"/>
    <w:rsid w:val="00636C75"/>
    <w:rsid w:val="00637630"/>
    <w:rsid w:val="006512DA"/>
    <w:rsid w:val="006906EE"/>
    <w:rsid w:val="00690993"/>
    <w:rsid w:val="00696077"/>
    <w:rsid w:val="006971EB"/>
    <w:rsid w:val="006B09ED"/>
    <w:rsid w:val="006F6B0B"/>
    <w:rsid w:val="00704B0F"/>
    <w:rsid w:val="00724C6D"/>
    <w:rsid w:val="007310BC"/>
    <w:rsid w:val="00757BA5"/>
    <w:rsid w:val="007613A0"/>
    <w:rsid w:val="00774A83"/>
    <w:rsid w:val="0078616A"/>
    <w:rsid w:val="007B2FC1"/>
    <w:rsid w:val="007E22D3"/>
    <w:rsid w:val="007F15CC"/>
    <w:rsid w:val="007F4818"/>
    <w:rsid w:val="0082138E"/>
    <w:rsid w:val="00826F5D"/>
    <w:rsid w:val="008301B6"/>
    <w:rsid w:val="0083363E"/>
    <w:rsid w:val="008403A1"/>
    <w:rsid w:val="00842728"/>
    <w:rsid w:val="00845730"/>
    <w:rsid w:val="00862C48"/>
    <w:rsid w:val="00877903"/>
    <w:rsid w:val="00886CD6"/>
    <w:rsid w:val="00894369"/>
    <w:rsid w:val="008A7172"/>
    <w:rsid w:val="008E1ADC"/>
    <w:rsid w:val="008E4BCA"/>
    <w:rsid w:val="00953971"/>
    <w:rsid w:val="009838F8"/>
    <w:rsid w:val="009C393F"/>
    <w:rsid w:val="009C73A5"/>
    <w:rsid w:val="009E2EAD"/>
    <w:rsid w:val="009E37E2"/>
    <w:rsid w:val="009F1DFE"/>
    <w:rsid w:val="00A11951"/>
    <w:rsid w:val="00A17941"/>
    <w:rsid w:val="00A35CAE"/>
    <w:rsid w:val="00A50CFD"/>
    <w:rsid w:val="00A514CA"/>
    <w:rsid w:val="00A921A7"/>
    <w:rsid w:val="00AD39C0"/>
    <w:rsid w:val="00AF2989"/>
    <w:rsid w:val="00B02AFE"/>
    <w:rsid w:val="00B56959"/>
    <w:rsid w:val="00BA7318"/>
    <w:rsid w:val="00BB1CF2"/>
    <w:rsid w:val="00BB6035"/>
    <w:rsid w:val="00BD3BC7"/>
    <w:rsid w:val="00BE7327"/>
    <w:rsid w:val="00C21939"/>
    <w:rsid w:val="00C2258E"/>
    <w:rsid w:val="00C377A9"/>
    <w:rsid w:val="00C402A3"/>
    <w:rsid w:val="00C40757"/>
    <w:rsid w:val="00C43A9B"/>
    <w:rsid w:val="00C57A80"/>
    <w:rsid w:val="00C9556D"/>
    <w:rsid w:val="00CA5CA6"/>
    <w:rsid w:val="00CC60A2"/>
    <w:rsid w:val="00CF5D88"/>
    <w:rsid w:val="00D57765"/>
    <w:rsid w:val="00DB0375"/>
    <w:rsid w:val="00DB3C32"/>
    <w:rsid w:val="00DB7546"/>
    <w:rsid w:val="00DC3420"/>
    <w:rsid w:val="00DE39D8"/>
    <w:rsid w:val="00E51C7D"/>
    <w:rsid w:val="00E51D5A"/>
    <w:rsid w:val="00E811F3"/>
    <w:rsid w:val="00E838A5"/>
    <w:rsid w:val="00E92AE2"/>
    <w:rsid w:val="00EB4970"/>
    <w:rsid w:val="00EC19F1"/>
    <w:rsid w:val="00ED0D6A"/>
    <w:rsid w:val="00EE5215"/>
    <w:rsid w:val="00EE61B0"/>
    <w:rsid w:val="00EE7021"/>
    <w:rsid w:val="00EF53B4"/>
    <w:rsid w:val="00F36C67"/>
    <w:rsid w:val="00F4401A"/>
    <w:rsid w:val="00F47CF0"/>
    <w:rsid w:val="00F9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9A5C"/>
  <w15:chartTrackingRefBased/>
  <w15:docId w15:val="{7256D4AB-D660-4078-8353-3B2C2868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70D"/>
    <w:rPr>
      <w:lang w:val="en-GB"/>
    </w:rPr>
  </w:style>
  <w:style w:type="paragraph" w:styleId="Heading1">
    <w:name w:val="heading 1"/>
    <w:basedOn w:val="Normal"/>
    <w:next w:val="Normal"/>
    <w:link w:val="Heading1Char"/>
    <w:uiPriority w:val="9"/>
    <w:qFormat/>
    <w:rsid w:val="008427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90DED"/>
    <w:pPr>
      <w:spacing w:line="256" w:lineRule="auto"/>
      <w:ind w:left="720"/>
      <w:outlineLvl w:val="1"/>
    </w:pPr>
    <w:rPr>
      <w:rFonts w:eastAsia="Times New Roman"/>
      <w:b/>
      <w:bCs/>
      <w:lang w:val="en-US"/>
    </w:rPr>
  </w:style>
  <w:style w:type="paragraph" w:styleId="Heading3">
    <w:name w:val="heading 3"/>
    <w:basedOn w:val="Normal"/>
    <w:next w:val="Normal"/>
    <w:link w:val="Heading3Char"/>
    <w:uiPriority w:val="9"/>
    <w:unhideWhenUsed/>
    <w:qFormat/>
    <w:rsid w:val="006F6B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70D"/>
    <w:rPr>
      <w:color w:val="0563C1" w:themeColor="hyperlink"/>
      <w:u w:val="single"/>
    </w:rPr>
  </w:style>
  <w:style w:type="paragraph" w:styleId="ListParagraph">
    <w:name w:val="List Paragraph"/>
    <w:basedOn w:val="Normal"/>
    <w:uiPriority w:val="34"/>
    <w:qFormat/>
    <w:rsid w:val="0002370D"/>
    <w:pPr>
      <w:ind w:left="720"/>
      <w:contextualSpacing/>
    </w:pPr>
  </w:style>
  <w:style w:type="paragraph" w:styleId="FootnoteText">
    <w:name w:val="footnote text"/>
    <w:basedOn w:val="Normal"/>
    <w:link w:val="FootnoteTextChar"/>
    <w:uiPriority w:val="99"/>
    <w:semiHidden/>
    <w:unhideWhenUsed/>
    <w:rsid w:val="0058422F"/>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58422F"/>
    <w:rPr>
      <w:sz w:val="20"/>
      <w:szCs w:val="20"/>
    </w:rPr>
  </w:style>
  <w:style w:type="character" w:styleId="FootnoteReference">
    <w:name w:val="footnote reference"/>
    <w:basedOn w:val="DefaultParagraphFont"/>
    <w:uiPriority w:val="99"/>
    <w:semiHidden/>
    <w:unhideWhenUsed/>
    <w:rsid w:val="0058422F"/>
    <w:rPr>
      <w:vertAlign w:val="superscript"/>
    </w:rPr>
  </w:style>
  <w:style w:type="character" w:customStyle="1" w:styleId="Heading2Char">
    <w:name w:val="Heading 2 Char"/>
    <w:basedOn w:val="DefaultParagraphFont"/>
    <w:link w:val="Heading2"/>
    <w:uiPriority w:val="9"/>
    <w:rsid w:val="00190DED"/>
    <w:rPr>
      <w:rFonts w:eastAsia="Times New Roman"/>
      <w:b/>
      <w:bCs/>
    </w:rPr>
  </w:style>
  <w:style w:type="character" w:customStyle="1" w:styleId="BodytextChar">
    <w:name w:val="Body text Char"/>
    <w:basedOn w:val="DefaultParagraphFont"/>
    <w:link w:val="BodyText1"/>
    <w:locked/>
    <w:rsid w:val="00190DED"/>
    <w:rPr>
      <w:sz w:val="20"/>
      <w:szCs w:val="20"/>
    </w:rPr>
  </w:style>
  <w:style w:type="paragraph" w:customStyle="1" w:styleId="BodyText1">
    <w:name w:val="Body Text1"/>
    <w:basedOn w:val="Normal"/>
    <w:link w:val="BodytextChar"/>
    <w:qFormat/>
    <w:rsid w:val="00190DED"/>
    <w:pPr>
      <w:numPr>
        <w:numId w:val="11"/>
      </w:numPr>
      <w:spacing w:line="256" w:lineRule="auto"/>
      <w:jc w:val="both"/>
    </w:pPr>
    <w:rPr>
      <w:sz w:val="20"/>
      <w:szCs w:val="20"/>
      <w:lang w:val="en-US"/>
    </w:rPr>
  </w:style>
  <w:style w:type="character" w:customStyle="1" w:styleId="Heading3Char">
    <w:name w:val="Heading 3 Char"/>
    <w:basedOn w:val="DefaultParagraphFont"/>
    <w:link w:val="Heading3"/>
    <w:uiPriority w:val="9"/>
    <w:rsid w:val="006F6B0B"/>
    <w:rPr>
      <w:rFonts w:asciiTheme="majorHAnsi" w:eastAsiaTheme="majorEastAsia" w:hAnsiTheme="majorHAnsi" w:cstheme="majorBidi"/>
      <w:color w:val="1F4D78" w:themeColor="accent1" w:themeShade="7F"/>
      <w:sz w:val="24"/>
      <w:szCs w:val="24"/>
      <w:lang w:val="en-GB"/>
    </w:rPr>
  </w:style>
  <w:style w:type="character" w:customStyle="1" w:styleId="Heading1Char">
    <w:name w:val="Heading 1 Char"/>
    <w:basedOn w:val="DefaultParagraphFont"/>
    <w:link w:val="Heading1"/>
    <w:uiPriority w:val="9"/>
    <w:rsid w:val="00842728"/>
    <w:rPr>
      <w:rFonts w:asciiTheme="majorHAnsi" w:eastAsiaTheme="majorEastAsia" w:hAnsiTheme="majorHAnsi" w:cstheme="majorBidi"/>
      <w:color w:val="2E74B5" w:themeColor="accent1" w:themeShade="BF"/>
      <w:sz w:val="32"/>
      <w:szCs w:val="32"/>
      <w:lang w:val="en-GB"/>
    </w:rPr>
  </w:style>
  <w:style w:type="paragraph" w:styleId="BodyText">
    <w:name w:val="Body Text"/>
    <w:basedOn w:val="Normal"/>
    <w:link w:val="BodyTextChar0"/>
    <w:uiPriority w:val="1"/>
    <w:qFormat/>
    <w:rsid w:val="00842728"/>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0">
    <w:name w:val="Body Text Char"/>
    <w:basedOn w:val="DefaultParagraphFont"/>
    <w:link w:val="BodyText"/>
    <w:uiPriority w:val="1"/>
    <w:rsid w:val="00842728"/>
    <w:rPr>
      <w:rFonts w:ascii="Calibri" w:eastAsia="Calibri" w:hAnsi="Calibri" w:cs="Calibri"/>
      <w:sz w:val="24"/>
      <w:szCs w:val="24"/>
    </w:rPr>
  </w:style>
  <w:style w:type="paragraph" w:styleId="Header">
    <w:name w:val="header"/>
    <w:basedOn w:val="Normal"/>
    <w:link w:val="HeaderChar"/>
    <w:uiPriority w:val="99"/>
    <w:unhideWhenUsed/>
    <w:rsid w:val="00830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1B6"/>
    <w:rPr>
      <w:lang w:val="en-GB"/>
    </w:rPr>
  </w:style>
  <w:style w:type="paragraph" w:styleId="Footer">
    <w:name w:val="footer"/>
    <w:basedOn w:val="Normal"/>
    <w:link w:val="FooterChar"/>
    <w:uiPriority w:val="99"/>
    <w:unhideWhenUsed/>
    <w:rsid w:val="00830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1B6"/>
    <w:rPr>
      <w:lang w:val="en-GB"/>
    </w:rPr>
  </w:style>
  <w:style w:type="paragraph" w:styleId="Revision">
    <w:name w:val="Revision"/>
    <w:hidden/>
    <w:uiPriority w:val="99"/>
    <w:semiHidden/>
    <w:rsid w:val="004D343C"/>
    <w:pPr>
      <w:spacing w:after="0" w:line="240" w:lineRule="auto"/>
    </w:pPr>
    <w:rPr>
      <w:lang w:val="en-GB"/>
    </w:rPr>
  </w:style>
  <w:style w:type="character" w:styleId="CommentReference">
    <w:name w:val="annotation reference"/>
    <w:basedOn w:val="DefaultParagraphFont"/>
    <w:uiPriority w:val="99"/>
    <w:semiHidden/>
    <w:unhideWhenUsed/>
    <w:rsid w:val="00DE39D8"/>
    <w:rPr>
      <w:sz w:val="16"/>
      <w:szCs w:val="16"/>
    </w:rPr>
  </w:style>
  <w:style w:type="paragraph" w:styleId="CommentText">
    <w:name w:val="annotation text"/>
    <w:basedOn w:val="Normal"/>
    <w:link w:val="CommentTextChar"/>
    <w:uiPriority w:val="99"/>
    <w:semiHidden/>
    <w:unhideWhenUsed/>
    <w:rsid w:val="00DE39D8"/>
    <w:pPr>
      <w:spacing w:line="240" w:lineRule="auto"/>
    </w:pPr>
    <w:rPr>
      <w:sz w:val="20"/>
      <w:szCs w:val="20"/>
    </w:rPr>
  </w:style>
  <w:style w:type="character" w:customStyle="1" w:styleId="CommentTextChar">
    <w:name w:val="Comment Text Char"/>
    <w:basedOn w:val="DefaultParagraphFont"/>
    <w:link w:val="CommentText"/>
    <w:uiPriority w:val="99"/>
    <w:semiHidden/>
    <w:rsid w:val="00DE39D8"/>
    <w:rPr>
      <w:sz w:val="20"/>
      <w:szCs w:val="20"/>
      <w:lang w:val="en-GB"/>
    </w:rPr>
  </w:style>
  <w:style w:type="paragraph" w:styleId="CommentSubject">
    <w:name w:val="annotation subject"/>
    <w:basedOn w:val="CommentText"/>
    <w:next w:val="CommentText"/>
    <w:link w:val="CommentSubjectChar"/>
    <w:uiPriority w:val="99"/>
    <w:semiHidden/>
    <w:unhideWhenUsed/>
    <w:rsid w:val="00DE39D8"/>
    <w:rPr>
      <w:b/>
      <w:bCs/>
    </w:rPr>
  </w:style>
  <w:style w:type="character" w:customStyle="1" w:styleId="CommentSubjectChar">
    <w:name w:val="Comment Subject Char"/>
    <w:basedOn w:val="CommentTextChar"/>
    <w:link w:val="CommentSubject"/>
    <w:uiPriority w:val="99"/>
    <w:semiHidden/>
    <w:rsid w:val="00DE39D8"/>
    <w:rPr>
      <w:b/>
      <w:bCs/>
      <w:sz w:val="20"/>
      <w:szCs w:val="20"/>
      <w:lang w:val="en-GB"/>
    </w:rPr>
  </w:style>
  <w:style w:type="paragraph" w:customStyle="1" w:styleId="Default">
    <w:name w:val="Default"/>
    <w:rsid w:val="00953971"/>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nchr.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icef.org/eca/media/13271/fil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E0FD7-B400-4FCE-878B-776059BCD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2245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VILLARREAL LOPEZ Carla</cp:lastModifiedBy>
  <cp:revision>2</cp:revision>
  <dcterms:created xsi:type="dcterms:W3CDTF">2022-07-06T14:34:00Z</dcterms:created>
  <dcterms:modified xsi:type="dcterms:W3CDTF">2022-07-06T14:34:00Z</dcterms:modified>
</cp:coreProperties>
</file>