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46F37" w14:textId="68614145" w:rsidR="006A4B52" w:rsidRPr="00554B63" w:rsidRDefault="00944A44" w:rsidP="006804BB">
      <w:pPr>
        <w:pStyle w:val="Heading1"/>
        <w:jc w:val="center"/>
        <w:rPr>
          <w:sz w:val="32"/>
          <w:szCs w:val="32"/>
          <w:lang w:val="en-US"/>
        </w:rPr>
      </w:pPr>
      <w:r w:rsidRPr="00554B63">
        <w:rPr>
          <w:rFonts w:hint="eastAsia"/>
          <w:sz w:val="32"/>
          <w:szCs w:val="32"/>
          <w:lang w:val="en-US"/>
        </w:rPr>
        <w:t xml:space="preserve">Opinion to the Draft Guidelines on DI, including </w:t>
      </w:r>
      <w:r w:rsidR="0004249E" w:rsidRPr="006804BB">
        <w:rPr>
          <w:sz w:val="32"/>
          <w:szCs w:val="32"/>
          <w:lang w:val="en-US"/>
        </w:rPr>
        <w:t>in e</w:t>
      </w:r>
      <w:r w:rsidRPr="00554B63">
        <w:rPr>
          <w:rFonts w:hint="eastAsia"/>
          <w:sz w:val="32"/>
          <w:szCs w:val="32"/>
          <w:lang w:val="en-US"/>
        </w:rPr>
        <w:t>mergencies by the UN CRPD Committee</w:t>
      </w:r>
    </w:p>
    <w:p w14:paraId="485000D9" w14:textId="77777777" w:rsidR="00554B63" w:rsidRPr="00554B63" w:rsidRDefault="00554B63" w:rsidP="006804BB">
      <w:pPr>
        <w:ind w:left="357"/>
        <w:rPr>
          <w:lang w:val="en-US"/>
        </w:rPr>
      </w:pPr>
    </w:p>
    <w:p w14:paraId="106BE8F0" w14:textId="032F4AAA" w:rsidR="000E03C3" w:rsidRDefault="00FC1C3E" w:rsidP="006804BB">
      <w:pPr>
        <w:ind w:left="357"/>
      </w:pPr>
      <w:r w:rsidRPr="006F01E0">
        <w:t>202</w:t>
      </w:r>
      <w:r w:rsidR="006F01E0">
        <w:rPr>
          <w:rFonts w:hint="eastAsia"/>
        </w:rPr>
        <w:t>2</w:t>
      </w:r>
      <w:r w:rsidRPr="006F01E0">
        <w:t xml:space="preserve">. </w:t>
      </w:r>
      <w:r w:rsidR="000E03C3">
        <w:rPr>
          <w:lang w:val="en-US"/>
        </w:rPr>
        <w:t>7. 1</w:t>
      </w:r>
      <w:r w:rsidR="00554B63">
        <w:rPr>
          <w:rFonts w:hint="eastAsia"/>
          <w:lang w:val="en-US"/>
        </w:rPr>
        <w:t>4</w:t>
      </w:r>
      <w:r w:rsidRPr="006F01E0">
        <w:t xml:space="preserve">. </w:t>
      </w:r>
    </w:p>
    <w:p w14:paraId="278D46FE" w14:textId="71E95051" w:rsidR="006804BB" w:rsidRDefault="006804BB" w:rsidP="006804BB">
      <w:pPr>
        <w:ind w:left="357"/>
      </w:pPr>
    </w:p>
    <w:p w14:paraId="1EBB2FA9" w14:textId="77777777" w:rsidR="006804BB" w:rsidRDefault="006804BB" w:rsidP="006804BB">
      <w:pPr>
        <w:ind w:left="357"/>
      </w:pPr>
    </w:p>
    <w:p w14:paraId="0651B09B" w14:textId="77777777" w:rsidR="000E03C3" w:rsidRPr="006A4B52" w:rsidRDefault="00944A44" w:rsidP="006A4B52">
      <w:pPr>
        <w:spacing w:after="120"/>
        <w:ind w:left="357"/>
        <w:rPr>
          <w:b/>
          <w:bCs/>
          <w:lang w:val="en-US"/>
        </w:rPr>
      </w:pPr>
      <w:r w:rsidRPr="006A4B52">
        <w:rPr>
          <w:rFonts w:hint="eastAsia"/>
          <w:b/>
          <w:bCs/>
        </w:rPr>
        <w:t>Submitted by</w:t>
      </w:r>
      <w:r w:rsidR="002D51A2" w:rsidRPr="006A4B52">
        <w:rPr>
          <w:b/>
          <w:bCs/>
          <w:lang w:val="en-US"/>
        </w:rPr>
        <w:t xml:space="preserve"> </w:t>
      </w:r>
    </w:p>
    <w:p w14:paraId="0093A249" w14:textId="607BBEC0" w:rsidR="00944A44" w:rsidRPr="009133E3" w:rsidRDefault="00944A44" w:rsidP="006804BB">
      <w:pPr>
        <w:spacing w:line="276" w:lineRule="auto"/>
        <w:ind w:left="360"/>
        <w:rPr>
          <w:color w:val="000000" w:themeColor="text1"/>
        </w:rPr>
      </w:pPr>
      <w:bookmarkStart w:id="0" w:name="_GoBack"/>
      <w:r w:rsidRPr="009133E3">
        <w:rPr>
          <w:rFonts w:hint="eastAsia"/>
          <w:color w:val="000000" w:themeColor="text1"/>
        </w:rPr>
        <w:t>Korean Disability Forum</w:t>
      </w:r>
      <w:bookmarkEnd w:id="0"/>
      <w:r w:rsidRPr="009133E3">
        <w:rPr>
          <w:color w:val="000000" w:themeColor="text1"/>
          <w:vertAlign w:val="superscript"/>
        </w:rPr>
        <w:footnoteReference w:id="1"/>
      </w:r>
      <w:r w:rsidRPr="009133E3">
        <w:rPr>
          <w:color w:val="000000" w:themeColor="text1"/>
          <w:lang w:val="en-US"/>
        </w:rPr>
        <w:t xml:space="preserve">, </w:t>
      </w:r>
      <w:r w:rsidRPr="009133E3">
        <w:rPr>
          <w:rFonts w:hint="eastAsia"/>
          <w:color w:val="000000" w:themeColor="text1"/>
        </w:rPr>
        <w:t>FootAct</w:t>
      </w:r>
      <w:r w:rsidRPr="009133E3">
        <w:rPr>
          <w:color w:val="000000" w:themeColor="text1"/>
          <w:vertAlign w:val="superscript"/>
        </w:rPr>
        <w:footnoteReference w:id="2"/>
      </w:r>
      <w:r w:rsidRPr="009133E3">
        <w:rPr>
          <w:color w:val="000000" w:themeColor="text1"/>
          <w:lang w:val="en-US"/>
        </w:rPr>
        <w:t xml:space="preserve">, </w:t>
      </w:r>
      <w:r w:rsidRPr="009133E3">
        <w:rPr>
          <w:color w:val="000000" w:themeColor="text1"/>
        </w:rPr>
        <w:t>Korean Parents' Network for the People with Disabilities</w:t>
      </w:r>
      <w:r w:rsidRPr="009133E3">
        <w:rPr>
          <w:color w:val="000000" w:themeColor="text1"/>
          <w:vertAlign w:val="superscript"/>
        </w:rPr>
        <w:footnoteReference w:id="3"/>
      </w:r>
      <w:r w:rsidRPr="009133E3">
        <w:rPr>
          <w:color w:val="000000" w:themeColor="text1"/>
          <w:lang w:val="en-US"/>
        </w:rPr>
        <w:t>,</w:t>
      </w:r>
      <w:r w:rsidRPr="009133E3">
        <w:rPr>
          <w:rFonts w:hint="eastAsia"/>
          <w:color w:val="000000" w:themeColor="text1"/>
          <w:lang w:val="en-US"/>
        </w:rPr>
        <w:t xml:space="preserve"> </w:t>
      </w:r>
      <w:r w:rsidRPr="009133E3">
        <w:rPr>
          <w:color w:val="000000" w:themeColor="text1"/>
        </w:rPr>
        <w:t>Solidarity Against Disability Discrimination</w:t>
      </w:r>
      <w:r w:rsidRPr="009133E3">
        <w:rPr>
          <w:color w:val="000000" w:themeColor="text1"/>
          <w:vertAlign w:val="superscript"/>
        </w:rPr>
        <w:footnoteReference w:id="4"/>
      </w:r>
      <w:r w:rsidRPr="009133E3">
        <w:rPr>
          <w:color w:val="000000" w:themeColor="text1"/>
          <w:lang w:val="en-US"/>
        </w:rPr>
        <w:t xml:space="preserve">, </w:t>
      </w:r>
      <w:r w:rsidRPr="009133E3">
        <w:rPr>
          <w:rFonts w:hint="eastAsia"/>
          <w:color w:val="000000" w:themeColor="text1"/>
        </w:rPr>
        <w:t xml:space="preserve">Korea Council of Centers for </w:t>
      </w:r>
      <w:r w:rsidRPr="009133E3">
        <w:rPr>
          <w:rFonts w:hint="eastAsia"/>
          <w:color w:val="000000" w:themeColor="text1"/>
        </w:rPr>
        <w:lastRenderedPageBreak/>
        <w:t>Independent Living</w:t>
      </w:r>
      <w:r w:rsidRPr="009133E3">
        <w:rPr>
          <w:color w:val="000000" w:themeColor="text1"/>
          <w:vertAlign w:val="superscript"/>
        </w:rPr>
        <w:footnoteReference w:id="5"/>
      </w:r>
      <w:r w:rsidRPr="009133E3">
        <w:rPr>
          <w:color w:val="000000" w:themeColor="text1"/>
          <w:lang w:val="en-US"/>
        </w:rPr>
        <w:t xml:space="preserve">, </w:t>
      </w:r>
      <w:r w:rsidRPr="009133E3">
        <w:rPr>
          <w:rFonts w:hint="eastAsia"/>
          <w:color w:val="000000" w:themeColor="text1"/>
        </w:rPr>
        <w:t>Korea Solidarity for Human rights of disability people with Brain lesion</w:t>
      </w:r>
      <w:r w:rsidRPr="009133E3">
        <w:rPr>
          <w:color w:val="000000" w:themeColor="text1"/>
          <w:vertAlign w:val="superscript"/>
        </w:rPr>
        <w:footnoteReference w:id="6"/>
      </w:r>
    </w:p>
    <w:p w14:paraId="76202281" w14:textId="49D8A57A" w:rsidR="0004249E" w:rsidRPr="006A4B52" w:rsidRDefault="00944A44" w:rsidP="006A4B52">
      <w:pPr>
        <w:spacing w:after="120"/>
        <w:ind w:left="357"/>
        <w:rPr>
          <w:b/>
          <w:bCs/>
        </w:rPr>
      </w:pPr>
      <w:r w:rsidRPr="006A4B52">
        <w:rPr>
          <w:rFonts w:hint="eastAsia"/>
          <w:b/>
          <w:bCs/>
        </w:rPr>
        <w:t>C</w:t>
      </w:r>
      <w:r w:rsidRPr="006A4B52">
        <w:rPr>
          <w:b/>
          <w:bCs/>
        </w:rPr>
        <w:t>ontact detail</w:t>
      </w:r>
    </w:p>
    <w:p w14:paraId="287F673C" w14:textId="6074E2F7" w:rsidR="00D54251" w:rsidRPr="00944A44" w:rsidRDefault="00944A44" w:rsidP="006A4B52">
      <w:pPr>
        <w:spacing w:after="120" w:line="240" w:lineRule="auto"/>
        <w:ind w:left="357"/>
        <w:rPr>
          <w:lang w:val="en-US"/>
        </w:rPr>
      </w:pPr>
      <w:r w:rsidRPr="00944A44">
        <w:rPr>
          <w:rFonts w:hint="eastAsia"/>
          <w:lang w:val="en-US"/>
        </w:rPr>
        <w:t>H</w:t>
      </w:r>
      <w:r w:rsidRPr="00944A44">
        <w:rPr>
          <w:lang w:val="en-US"/>
        </w:rPr>
        <w:t>anbyol Choi</w:t>
      </w:r>
      <w:r w:rsidR="006A4B52">
        <w:rPr>
          <w:lang w:val="en-US"/>
        </w:rPr>
        <w:t>, Secretary General, Korean Disability Forum</w:t>
      </w:r>
    </w:p>
    <w:p w14:paraId="63AF7D48" w14:textId="427E555E" w:rsidR="00D54251" w:rsidRDefault="00CD5021" w:rsidP="006A4B52">
      <w:pPr>
        <w:spacing w:after="120" w:line="240" w:lineRule="auto"/>
        <w:ind w:left="357"/>
      </w:pPr>
      <w:hyperlink r:id="rId7" w:history="1">
        <w:r w:rsidR="00944A44" w:rsidRPr="00FE0957">
          <w:rPr>
            <w:rStyle w:val="Hyperlink"/>
            <w:rFonts w:asciiTheme="minorEastAsia" w:hAnsiTheme="minorEastAsia" w:cstheme="majorHAnsi"/>
          </w:rPr>
          <w:t>kdf@thekdf.org</w:t>
        </w:r>
      </w:hyperlink>
    </w:p>
    <w:p w14:paraId="017EC6D3" w14:textId="0CE47AFB" w:rsidR="006A4B52" w:rsidRPr="006A4B52" w:rsidRDefault="00944A44" w:rsidP="00554B63">
      <w:pPr>
        <w:spacing w:after="120" w:line="240" w:lineRule="auto"/>
        <w:ind w:left="357"/>
        <w:rPr>
          <w:lang w:val="en-US"/>
        </w:rPr>
      </w:pPr>
      <w:r>
        <w:rPr>
          <w:lang w:val="en-US"/>
        </w:rPr>
        <w:t>+82-10-2883-7280</w:t>
      </w:r>
    </w:p>
    <w:p w14:paraId="4305B03A" w14:textId="35F21654" w:rsidR="00D54251" w:rsidRPr="00554B63" w:rsidRDefault="00944A44" w:rsidP="00554B63">
      <w:pPr>
        <w:pStyle w:val="Heading2"/>
      </w:pPr>
      <w:r w:rsidRPr="00554B63">
        <w:rPr>
          <w:rFonts w:hint="eastAsia"/>
        </w:rPr>
        <w:t>B</w:t>
      </w:r>
      <w:r w:rsidRPr="00554B63">
        <w:t>ackground</w:t>
      </w:r>
    </w:p>
    <w:p w14:paraId="5E85B363" w14:textId="0DD3E55F" w:rsidR="00CC70D2" w:rsidRPr="00554B63" w:rsidRDefault="00CC70D2" w:rsidP="006804BB">
      <w:pPr>
        <w:rPr>
          <w:lang w:val="en-US"/>
        </w:rPr>
      </w:pPr>
      <w:r w:rsidRPr="00554B63">
        <w:rPr>
          <w:lang w:val="en-US"/>
        </w:rPr>
        <w:t>With gratitude to the Working group’s dedication during the COVID-19, we more than welcome the Guidelines on Deinstitutionalisation, including in emergencies. Korean civic groups translated the draft and gathered opinions. Please refer to the following two concerns by the Korean disability community.</w:t>
      </w:r>
    </w:p>
    <w:p w14:paraId="03DD867D" w14:textId="09754577" w:rsidR="00D54251" w:rsidRPr="006A4B52" w:rsidRDefault="00944A44" w:rsidP="00554B63">
      <w:pPr>
        <w:pStyle w:val="Heading2"/>
        <w:rPr>
          <w:lang w:val="en-US"/>
        </w:rPr>
      </w:pPr>
      <w:r w:rsidRPr="002D51A2">
        <w:rPr>
          <w:lang w:val="en-US"/>
        </w:rPr>
        <w:t xml:space="preserve"> Concerns </w:t>
      </w:r>
      <w:r w:rsidR="00CC70D2">
        <w:rPr>
          <w:lang w:val="en-US"/>
        </w:rPr>
        <w:t>over</w:t>
      </w:r>
      <w:r w:rsidRPr="002D51A2">
        <w:rPr>
          <w:lang w:val="en-US"/>
        </w:rPr>
        <w:t xml:space="preserve"> adapting DI guidelines to the Republic of Korea</w:t>
      </w:r>
    </w:p>
    <w:p w14:paraId="2D06B671" w14:textId="1CEB9E89" w:rsidR="00D54251" w:rsidRPr="00554B63" w:rsidRDefault="00944A44" w:rsidP="00554B63">
      <w:pPr>
        <w:pStyle w:val="Heading3"/>
      </w:pPr>
      <w:r w:rsidRPr="00554B63">
        <w:t>Report</w:t>
      </w:r>
      <w:r w:rsidR="00877231" w:rsidRPr="00554B63">
        <w:rPr>
          <w:rFonts w:hint="eastAsia"/>
        </w:rPr>
        <w:t xml:space="preserve"> </w:t>
      </w:r>
      <w:r w:rsidRPr="00554B63">
        <w:t>by States Parties about the implementation</w:t>
      </w:r>
    </w:p>
    <w:tbl>
      <w:tblPr>
        <w:tblStyle w:val="a"/>
        <w:tblW w:w="8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38"/>
      </w:tblGrid>
      <w:tr w:rsidR="00D54251" w:rsidRPr="00554B63" w14:paraId="69934631" w14:textId="77777777" w:rsidTr="006A4B52">
        <w:trPr>
          <w:trHeight w:val="1064"/>
        </w:trPr>
        <w:tc>
          <w:tcPr>
            <w:tcW w:w="8238" w:type="dxa"/>
            <w:shd w:val="clear" w:color="auto" w:fill="auto"/>
            <w:tcMar>
              <w:top w:w="100" w:type="dxa"/>
              <w:left w:w="100" w:type="dxa"/>
              <w:bottom w:w="100" w:type="dxa"/>
              <w:right w:w="100" w:type="dxa"/>
            </w:tcMar>
          </w:tcPr>
          <w:p w14:paraId="7591E144" w14:textId="5BED0ED2" w:rsidR="00D54251" w:rsidRPr="00944A44" w:rsidRDefault="00944A44" w:rsidP="006A4B52">
            <w:pPr>
              <w:spacing w:after="120" w:line="276" w:lineRule="auto"/>
              <w:ind w:left="357"/>
              <w:rPr>
                <w:lang w:val="en-US"/>
              </w:rPr>
            </w:pPr>
            <w:r>
              <w:rPr>
                <w:lang w:val="en-US"/>
              </w:rPr>
              <w:t>Related guideline</w:t>
            </w:r>
          </w:p>
          <w:p w14:paraId="7C01BBEC" w14:textId="4245C822" w:rsidR="00D54251" w:rsidRPr="00944A44" w:rsidRDefault="00944A44" w:rsidP="006A4B52">
            <w:pPr>
              <w:spacing w:after="120" w:line="276" w:lineRule="auto"/>
              <w:ind w:left="357"/>
              <w:rPr>
                <w:lang w:val="en-US"/>
              </w:rPr>
            </w:pPr>
            <w:r w:rsidRPr="00554B63">
              <w:rPr>
                <w:rFonts w:hint="eastAsia"/>
                <w:lang w:val="en-US"/>
              </w:rPr>
              <w:t>(</w:t>
            </w:r>
            <w:r>
              <w:rPr>
                <w:lang w:val="en-US"/>
              </w:rPr>
              <w:t>No contents currently)</w:t>
            </w:r>
          </w:p>
        </w:tc>
      </w:tr>
    </w:tbl>
    <w:p w14:paraId="4C9ACB06" w14:textId="77777777" w:rsidR="00D54251" w:rsidRPr="00554B63" w:rsidRDefault="00D54251" w:rsidP="006A4B52">
      <w:pPr>
        <w:rPr>
          <w:lang w:val="en-US"/>
        </w:rPr>
      </w:pPr>
    </w:p>
    <w:p w14:paraId="2ED81120" w14:textId="5F9C71FC" w:rsidR="00944A44" w:rsidRPr="002D51A2" w:rsidRDefault="00FC1C3E" w:rsidP="00554B63">
      <w:pPr>
        <w:pStyle w:val="Heading4"/>
        <w:ind w:firstLine="0"/>
      </w:pPr>
      <w:r w:rsidRPr="002D51A2">
        <w:t>1</w:t>
      </w:r>
      <w:r w:rsidR="002D51A2" w:rsidRPr="002D51A2">
        <w:t>)</w:t>
      </w:r>
      <w:r w:rsidRPr="002D51A2">
        <w:t xml:space="preserve"> </w:t>
      </w:r>
      <w:r w:rsidR="00944A44" w:rsidRPr="002D51A2">
        <w:rPr>
          <w:rFonts w:hint="eastAsia"/>
        </w:rPr>
        <w:t>C</w:t>
      </w:r>
      <w:r w:rsidR="00944A44" w:rsidRPr="002D51A2">
        <w:t xml:space="preserve">oncern </w:t>
      </w:r>
    </w:p>
    <w:p w14:paraId="58A22699" w14:textId="7D418ABC" w:rsidR="00944A44" w:rsidRPr="00554B63" w:rsidRDefault="00944A44" w:rsidP="00E23D34">
      <w:pPr>
        <w:pStyle w:val="Heading5"/>
        <w:rPr>
          <w:lang w:val="en-US"/>
        </w:rPr>
      </w:pPr>
      <w:r w:rsidRPr="00554B63">
        <w:rPr>
          <w:lang w:val="en-US"/>
        </w:rPr>
        <w:lastRenderedPageBreak/>
        <w:t>Passive policies by the government in following the guidelines</w:t>
      </w:r>
    </w:p>
    <w:p w14:paraId="6EEA178F" w14:textId="05CB15B8" w:rsidR="00944A44" w:rsidRPr="00554B63" w:rsidRDefault="00501F19" w:rsidP="006804BB">
      <w:pPr>
        <w:ind w:left="400"/>
        <w:rPr>
          <w:lang w:val="en-US"/>
        </w:rPr>
      </w:pPr>
      <w:r w:rsidRPr="00554B63">
        <w:rPr>
          <w:lang w:val="en-US"/>
        </w:rPr>
        <w:t>South Korean government implements a deinstitutionalization plan but lacks independent law and system. Therefore, it can lead to the superficial adoption of the guidelines by the government.</w:t>
      </w:r>
    </w:p>
    <w:p w14:paraId="2596B1ED" w14:textId="72869A58" w:rsidR="00944A44" w:rsidRPr="00554B63" w:rsidRDefault="00944A44" w:rsidP="00E23D34">
      <w:pPr>
        <w:pStyle w:val="Heading5"/>
        <w:rPr>
          <w:lang w:val="en-US"/>
        </w:rPr>
      </w:pPr>
      <w:r w:rsidRPr="00554B63">
        <w:rPr>
          <w:lang w:val="en-US"/>
        </w:rPr>
        <w:t xml:space="preserve"> Lack of will to deinstitutionalization after the COVID-19 crisis </w:t>
      </w:r>
    </w:p>
    <w:p w14:paraId="76F1190C" w14:textId="3E157C5F" w:rsidR="006804BB" w:rsidRDefault="00501F19" w:rsidP="00554B63">
      <w:pPr>
        <w:ind w:left="360"/>
      </w:pPr>
      <w:r w:rsidRPr="00554B63">
        <w:rPr>
          <w:lang w:val="en-US"/>
        </w:rPr>
        <w:t xml:space="preserve">The guidelines aim to urge States Parties’ actual implementation of deinstitutionalization, reflecting the worldwide experiences during the COVID-19 crisis. </w:t>
      </w:r>
      <w:r w:rsidRPr="00501F19">
        <w:t>However, as the South Korean government’s post-COVID-19 disability policy is still based on institutionalization, this purpose cannot be fully realized</w:t>
      </w:r>
      <w:r w:rsidR="006A4B52" w:rsidRPr="006804BB">
        <w:rPr>
          <w:lang w:val="en-US"/>
        </w:rPr>
        <w:t>.</w:t>
      </w:r>
    </w:p>
    <w:p w14:paraId="5844BC6D" w14:textId="47508452" w:rsidR="00944A44" w:rsidRPr="00DB7B9B" w:rsidRDefault="002D51A2" w:rsidP="00554B63">
      <w:pPr>
        <w:pStyle w:val="Heading4"/>
        <w:ind w:firstLine="0"/>
      </w:pPr>
      <w:r>
        <w:t>2)</w:t>
      </w:r>
      <w:r w:rsidR="00944A44" w:rsidRPr="00DB7B9B">
        <w:t xml:space="preserve"> Suggestion</w:t>
      </w:r>
    </w:p>
    <w:p w14:paraId="19C0F4A9" w14:textId="53F57F14" w:rsidR="00501F19" w:rsidRPr="00DB7B9B" w:rsidRDefault="00501F19" w:rsidP="006804BB">
      <w:pPr>
        <w:ind w:left="426" w:hanging="69"/>
      </w:pPr>
      <w:r w:rsidRPr="00501F19">
        <w:t>States parties should report the guidelines implementation status(ex. establishing a legal and political framework on DI) to the UN CRPD Committee, considering its direct and crucial impact on the lives and safety of persons with disabilities. Furthermore, this reporting system can harmonize the domestic system to the guidelines.</w:t>
      </w:r>
    </w:p>
    <w:tbl>
      <w:tblPr>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944A44" w:rsidRPr="00DB7B9B" w14:paraId="3C55196A" w14:textId="77777777" w:rsidTr="008C3D18">
        <w:tc>
          <w:tcPr>
            <w:tcW w:w="8309" w:type="dxa"/>
            <w:shd w:val="clear" w:color="auto" w:fill="auto"/>
            <w:tcMar>
              <w:top w:w="100" w:type="dxa"/>
              <w:left w:w="100" w:type="dxa"/>
              <w:bottom w:w="100" w:type="dxa"/>
              <w:right w:w="100" w:type="dxa"/>
            </w:tcMar>
          </w:tcPr>
          <w:p w14:paraId="518DCAB1" w14:textId="4958FD55" w:rsidR="00944A44" w:rsidRPr="006A4B52" w:rsidRDefault="002D51A2" w:rsidP="006A4B52">
            <w:pPr>
              <w:ind w:left="360"/>
              <w:jc w:val="center"/>
              <w:rPr>
                <w:lang w:val="en-US"/>
              </w:rPr>
            </w:pPr>
            <w:r>
              <w:rPr>
                <w:lang w:val="en-US"/>
              </w:rPr>
              <w:t>Amendment to guidelines</w:t>
            </w:r>
          </w:p>
          <w:p w14:paraId="47A5BD1F" w14:textId="3DF55E1B" w:rsidR="00944A44" w:rsidRPr="00DB7B9B" w:rsidRDefault="00944A44" w:rsidP="006A4B52">
            <w:pPr>
              <w:ind w:left="360"/>
              <w:rPr>
                <w:u w:val="single"/>
              </w:rPr>
            </w:pPr>
            <w:r w:rsidRPr="00DB7B9B">
              <w:t xml:space="preserve">States Parties are asked to submit </w:t>
            </w:r>
            <w:r w:rsidR="00501F19">
              <w:rPr>
                <w:lang w:val="en-US"/>
              </w:rPr>
              <w:t xml:space="preserve">a </w:t>
            </w:r>
            <w:r w:rsidRPr="00DB7B9B">
              <w:t>deinstitutionalization strategy – with specific measures(including legal framework), time-frame</w:t>
            </w:r>
            <w:r w:rsidR="00501F19">
              <w:rPr>
                <w:lang w:val="en-US"/>
              </w:rPr>
              <w:t>,</w:t>
            </w:r>
            <w:r w:rsidRPr="00DB7B9B">
              <w:t xml:space="preserve"> and budget - based on the UN CRPD, general comment 5</w:t>
            </w:r>
            <w:r w:rsidR="00E23D34">
              <w:rPr>
                <w:lang w:val="en-US"/>
              </w:rPr>
              <w:t>,</w:t>
            </w:r>
            <w:r w:rsidRPr="00DB7B9B">
              <w:t xml:space="preserve"> and DI guidelines.</w:t>
            </w:r>
          </w:p>
        </w:tc>
      </w:tr>
    </w:tbl>
    <w:p w14:paraId="715CE709" w14:textId="5FAC19F4" w:rsidR="006A4B52" w:rsidRPr="005E5F49" w:rsidRDefault="006A4B52">
      <w:pPr>
        <w:spacing w:after="0" w:line="276" w:lineRule="auto"/>
        <w:rPr>
          <w:b/>
          <w:bCs/>
          <w:lang w:val="en-US"/>
        </w:rPr>
      </w:pPr>
    </w:p>
    <w:p w14:paraId="12179D9B" w14:textId="616B6DB7" w:rsidR="00944A44" w:rsidRPr="00DB7B9B" w:rsidRDefault="00E23D34" w:rsidP="00554B63">
      <w:pPr>
        <w:pStyle w:val="Heading3"/>
      </w:pPr>
      <w:r>
        <w:t>A c</w:t>
      </w:r>
      <w:r w:rsidR="00A34668" w:rsidRPr="000E03C3">
        <w:t>areful approach to the ‘choice and autonomy’</w:t>
      </w:r>
    </w:p>
    <w:tbl>
      <w:tblPr>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944A44" w:rsidRPr="00DB7B9B" w14:paraId="26D4AF1E" w14:textId="77777777" w:rsidTr="008C3D18">
        <w:tc>
          <w:tcPr>
            <w:tcW w:w="8309" w:type="dxa"/>
            <w:shd w:val="clear" w:color="auto" w:fill="auto"/>
            <w:tcMar>
              <w:top w:w="100" w:type="dxa"/>
              <w:left w:w="100" w:type="dxa"/>
              <w:bottom w:w="100" w:type="dxa"/>
              <w:right w:w="100" w:type="dxa"/>
            </w:tcMar>
          </w:tcPr>
          <w:p w14:paraId="21AD68BF" w14:textId="43645395" w:rsidR="00944A44" w:rsidRPr="006A4B52" w:rsidRDefault="00944A44" w:rsidP="006A4B52">
            <w:pPr>
              <w:ind w:left="357"/>
              <w:jc w:val="center"/>
              <w:rPr>
                <w:b/>
                <w:bCs/>
              </w:rPr>
            </w:pPr>
            <w:bookmarkStart w:id="1" w:name="_heading=h.gjdgxs" w:colFirst="0" w:colLast="0"/>
            <w:bookmarkEnd w:id="1"/>
            <w:r w:rsidRPr="006A4B52">
              <w:rPr>
                <w:b/>
                <w:bCs/>
              </w:rPr>
              <w:lastRenderedPageBreak/>
              <w:t>Related guidelines</w:t>
            </w:r>
          </w:p>
          <w:p w14:paraId="17309705" w14:textId="4F64BE28" w:rsidR="00A34668" w:rsidRDefault="00944A44" w:rsidP="006A4B52">
            <w:pPr>
              <w:ind w:left="357"/>
            </w:pPr>
            <w:r w:rsidRPr="00DB7B9B">
              <w:t>91. The deinstitutionalization process starts while the person is still in the institution and should entail a transition plan customised to each person leaving the institution. All persons shall have an equal opportunity to be deinstitutionalized and to leave of their own volition at any time.</w:t>
            </w:r>
          </w:p>
          <w:p w14:paraId="7BFDDCDD" w14:textId="77777777" w:rsidR="006A4B52" w:rsidRDefault="000E03C3" w:rsidP="006A4B52">
            <w:pPr>
              <w:ind w:left="714" w:hanging="357"/>
              <w:rPr>
                <w:lang w:val="en-US"/>
              </w:rPr>
            </w:pPr>
            <w:r>
              <w:rPr>
                <w:rFonts w:hint="eastAsia"/>
              </w:rPr>
              <w:t>(</w:t>
            </w:r>
            <w:r>
              <w:rPr>
                <w:lang w:val="en-US"/>
              </w:rPr>
              <w:t>…)</w:t>
            </w:r>
          </w:p>
          <w:p w14:paraId="5906EF24" w14:textId="1623F1BF" w:rsidR="000E03C3" w:rsidRPr="000E03C3" w:rsidRDefault="000E03C3" w:rsidP="006A4B52">
            <w:pPr>
              <w:spacing w:line="276" w:lineRule="auto"/>
              <w:ind w:left="714" w:hanging="357"/>
              <w:rPr>
                <w:lang w:val="en-US"/>
              </w:rPr>
            </w:pPr>
            <w:r w:rsidRPr="000E03C3">
              <w:rPr>
                <w:lang w:val="en-US"/>
              </w:rPr>
              <w:t>93. Persons leaving institutions should:</w:t>
            </w:r>
          </w:p>
          <w:p w14:paraId="7A111D87" w14:textId="77777777" w:rsidR="000E03C3" w:rsidRPr="000E03C3" w:rsidRDefault="000E03C3" w:rsidP="006A4B52">
            <w:pPr>
              <w:spacing w:line="276" w:lineRule="auto"/>
              <w:ind w:left="360"/>
              <w:rPr>
                <w:lang w:val="en-US"/>
              </w:rPr>
            </w:pPr>
            <w:r w:rsidRPr="000E03C3">
              <w:rPr>
                <w:lang w:val="en-US"/>
              </w:rPr>
              <w:t>(a) Be respected as decision-makers, with support if required, in respect of all aspects of leaving institutions;</w:t>
            </w:r>
          </w:p>
          <w:p w14:paraId="7DA6C1FE" w14:textId="77777777" w:rsidR="000E03C3" w:rsidRPr="000E03C3" w:rsidRDefault="000E03C3" w:rsidP="006A4B52">
            <w:pPr>
              <w:spacing w:line="276" w:lineRule="auto"/>
              <w:ind w:left="360"/>
              <w:rPr>
                <w:lang w:val="en-US"/>
              </w:rPr>
            </w:pPr>
            <w:r w:rsidRPr="000E03C3">
              <w:rPr>
                <w:lang w:val="en-US"/>
              </w:rPr>
              <w:t>(b) Be provided with adequate time and opportunities for preparing physically and emotionally for living in the community. States Parties should ensure that all persons who request them have an individualized plan in place;</w:t>
            </w:r>
          </w:p>
          <w:p w14:paraId="016D3A84" w14:textId="77777777" w:rsidR="000E03C3" w:rsidRPr="000E03C3" w:rsidRDefault="000E03C3" w:rsidP="006A4B52">
            <w:pPr>
              <w:spacing w:line="276" w:lineRule="auto"/>
              <w:ind w:left="360"/>
              <w:rPr>
                <w:lang w:val="en-US"/>
              </w:rPr>
            </w:pPr>
            <w:r w:rsidRPr="000E03C3">
              <w:rPr>
                <w:lang w:val="en-US"/>
              </w:rPr>
              <w:t>(c) Be at the core of processes of individualized planning and respected as a survivor to whom reparations are due;</w:t>
            </w:r>
          </w:p>
          <w:p w14:paraId="566A9C90" w14:textId="77777777" w:rsidR="000E03C3" w:rsidRPr="000E03C3" w:rsidRDefault="000E03C3" w:rsidP="006A4B52">
            <w:pPr>
              <w:spacing w:line="276" w:lineRule="auto"/>
              <w:ind w:left="360"/>
              <w:rPr>
                <w:lang w:val="en-US"/>
              </w:rPr>
            </w:pPr>
            <w:r w:rsidRPr="000E03C3">
              <w:rPr>
                <w:lang w:val="en-US"/>
              </w:rPr>
              <w:t xml:space="preserve">(d) Be provided with full disclosure about the ending of institutionalization, and their will and preferences should be reflected in the plan. </w:t>
            </w:r>
          </w:p>
          <w:p w14:paraId="53052C82" w14:textId="77777777" w:rsidR="000E03C3" w:rsidRPr="000E03C3" w:rsidRDefault="000E03C3" w:rsidP="006A4B52">
            <w:pPr>
              <w:spacing w:line="276" w:lineRule="auto"/>
              <w:ind w:left="360"/>
              <w:rPr>
                <w:lang w:val="en-US"/>
              </w:rPr>
            </w:pPr>
            <w:r w:rsidRPr="000E03C3">
              <w:rPr>
                <w:lang w:val="en-US"/>
              </w:rPr>
              <w:t>(e) In preparation to leave the institution, be offered a wide range of experiences to assist with community integration to help build their experience, strengths, socialization, life skills, remove fears and gather positive experiences of living well and independently;</w:t>
            </w:r>
          </w:p>
          <w:p w14:paraId="2B5995CD" w14:textId="242ADDA9" w:rsidR="00944A44" w:rsidRPr="006A4B52" w:rsidRDefault="000E03C3" w:rsidP="006A4B52">
            <w:pPr>
              <w:spacing w:line="276" w:lineRule="auto"/>
              <w:ind w:left="357"/>
              <w:rPr>
                <w:lang w:val="en-US"/>
              </w:rPr>
            </w:pPr>
            <w:r w:rsidRPr="000E03C3">
              <w:rPr>
                <w:lang w:val="en-US"/>
              </w:rPr>
              <w:lastRenderedPageBreak/>
              <w:t>(f) Receive information about housing options, work and employment, individualized funding support, and all other measures necessary to ensure an adequate standard of living.</w:t>
            </w:r>
          </w:p>
        </w:tc>
      </w:tr>
    </w:tbl>
    <w:p w14:paraId="1CE67DB3" w14:textId="77777777" w:rsidR="00D54251" w:rsidRPr="006F01E0" w:rsidRDefault="00D54251" w:rsidP="006A4B52">
      <w:pPr>
        <w:ind w:left="714" w:hanging="357"/>
      </w:pPr>
    </w:p>
    <w:p w14:paraId="77195D15" w14:textId="0404EF70" w:rsidR="00D54251" w:rsidRPr="006F01E0" w:rsidRDefault="000E03C3" w:rsidP="00554B63">
      <w:pPr>
        <w:pStyle w:val="Heading4"/>
        <w:ind w:firstLine="0"/>
      </w:pPr>
      <w:r>
        <w:t>1)</w:t>
      </w:r>
      <w:r w:rsidR="00FC1C3E" w:rsidRPr="006F01E0">
        <w:t xml:space="preserve"> </w:t>
      </w:r>
      <w:r w:rsidR="006B0ACF">
        <w:rPr>
          <w:rFonts w:hint="eastAsia"/>
        </w:rPr>
        <w:t>C</w:t>
      </w:r>
      <w:r w:rsidR="006B0ACF">
        <w:t>oncerns</w:t>
      </w:r>
    </w:p>
    <w:p w14:paraId="76092B5B" w14:textId="77777777" w:rsidR="006B0ACF" w:rsidRPr="002D51A2" w:rsidRDefault="006B0ACF" w:rsidP="00E23D34">
      <w:pPr>
        <w:pStyle w:val="Heading5"/>
      </w:pPr>
      <w:r w:rsidRPr="006B0ACF">
        <w:t>Pro-institutionalization arguments by the government, institutions, and families</w:t>
      </w:r>
      <w:r w:rsidRPr="002D51A2">
        <w:rPr>
          <w:rFonts w:hint="eastAsia"/>
        </w:rPr>
        <w:t xml:space="preserve"> </w:t>
      </w:r>
    </w:p>
    <w:p w14:paraId="79B6E7F5" w14:textId="77777777" w:rsidR="00E23D34" w:rsidRPr="00E23D34" w:rsidRDefault="00E23D34" w:rsidP="00E23D34">
      <w:r w:rsidRPr="00E23D34">
        <w:t>UN CRPD and the DI guidelines declare that persons with disabilities have the right to choice and autonomy over their life. They also say institutionalization, a human right violation, cannot be an accommodation option for persons with disabilities.</w:t>
      </w:r>
    </w:p>
    <w:p w14:paraId="63AA8BC2" w14:textId="13DB91D4" w:rsidR="00516715" w:rsidRDefault="00516715" w:rsidP="00516715">
      <w:pPr>
        <w:rPr>
          <w:lang w:val="en-US"/>
        </w:rPr>
      </w:pPr>
      <w:r w:rsidRPr="00516715">
        <w:rPr>
          <w:lang w:val="en-US"/>
        </w:rPr>
        <w:t xml:space="preserve">However, the Korean government reverts the realization of the rights to DI of persons with disabilities by recognizing institutions as one of the desirable accommodation options. It is based on the discriminatory perception on the legal capacity and autonomy of persons with disabilities that they are incapable of making decisions with autonomy and that someone(i.e., institutions) should make a decision for them. </w:t>
      </w:r>
    </w:p>
    <w:p w14:paraId="75ED7812" w14:textId="1154220A" w:rsidR="006B0ACF" w:rsidRPr="00516715" w:rsidRDefault="00516715" w:rsidP="006804BB">
      <w:pPr>
        <w:rPr>
          <w:lang w:val="en-US"/>
        </w:rPr>
      </w:pPr>
      <w:r w:rsidRPr="00516715">
        <w:rPr>
          <w:lang w:val="en-US"/>
        </w:rPr>
        <w:t>Accordingly, not only the government but also institutions and families of persons with disabilities (especially learning/psychosocial disabilities) argue that the deinstitutionalization policy violates the autonomy and right to choice of persons with disabilities. They also insist that the institutions are “good and safe homes” for disabled people who are “not suitable for independent living in the community”. These strong oppositions are the biggest obstacles to realizing DI in Korea. </w:t>
      </w:r>
      <w:r w:rsidR="006B0ACF" w:rsidRPr="00516715">
        <w:rPr>
          <w:lang w:val="en-US"/>
        </w:rPr>
        <w:t xml:space="preserve"> </w:t>
      </w:r>
    </w:p>
    <w:p w14:paraId="173C0B2A" w14:textId="1474CFF7" w:rsidR="00DB7B9B" w:rsidRPr="002D51A2" w:rsidRDefault="006B0ACF" w:rsidP="00E23D34">
      <w:pPr>
        <w:pStyle w:val="Heading5"/>
      </w:pPr>
      <w:r w:rsidRPr="002D51A2">
        <w:t xml:space="preserve"> Lack of DI plan for the persons with high support requirements</w:t>
      </w:r>
    </w:p>
    <w:p w14:paraId="6A9A152D" w14:textId="0908A9DA" w:rsidR="006B0ACF" w:rsidRPr="006804BB" w:rsidRDefault="000E03C3" w:rsidP="00E23D34">
      <w:r w:rsidRPr="006804BB">
        <w:lastRenderedPageBreak/>
        <w:t xml:space="preserve"> </w:t>
      </w:r>
      <w:r w:rsidR="006B0ACF" w:rsidRPr="006804BB">
        <w:t>Even in</w:t>
      </w:r>
      <w:r w:rsidR="00516715" w:rsidRPr="006804BB">
        <w:rPr>
          <w:lang w:val="en-US"/>
        </w:rPr>
        <w:t xml:space="preserve"> </w:t>
      </w:r>
      <w:r w:rsidR="006B0ACF" w:rsidRPr="006804BB">
        <w:t>case</w:t>
      </w:r>
      <w:r w:rsidR="00516715" w:rsidRPr="006804BB">
        <w:rPr>
          <w:lang w:val="en-US"/>
        </w:rPr>
        <w:t>s</w:t>
      </w:r>
      <w:r w:rsidR="006B0ACF" w:rsidRPr="006804BB">
        <w:t xml:space="preserve"> of shutdown institution</w:t>
      </w:r>
      <w:r w:rsidR="00516715" w:rsidRPr="006804BB">
        <w:rPr>
          <w:lang w:val="en-US"/>
        </w:rPr>
        <w:t>s</w:t>
      </w:r>
      <w:r w:rsidR="006B0ACF" w:rsidRPr="006804BB">
        <w:t xml:space="preserve"> due to crimes(embezzlement, physical/sexual violence), the persons with high support requirements</w:t>
      </w:r>
      <w:r w:rsidR="00516715" w:rsidRPr="006804BB">
        <w:rPr>
          <w:lang w:val="en-US"/>
        </w:rPr>
        <w:t xml:space="preserve"> are tackled to leave institutions by families, institutions, and sometimes even governments</w:t>
      </w:r>
      <w:r w:rsidR="006B0ACF" w:rsidRPr="006804BB">
        <w:t xml:space="preserve">. </w:t>
      </w:r>
      <w:r w:rsidR="004A31B2" w:rsidRPr="006804BB">
        <w:rPr>
          <w:lang w:val="en-US"/>
        </w:rPr>
        <w:t>They even say</w:t>
      </w:r>
      <w:r w:rsidR="00516715" w:rsidRPr="006804BB">
        <w:rPr>
          <w:lang w:val="en-US"/>
        </w:rPr>
        <w:t xml:space="preserve"> </w:t>
      </w:r>
      <w:r w:rsidR="006B0ACF" w:rsidRPr="006804BB">
        <w:t xml:space="preserve">that DI of the persons with high support requirements is human rights violation, </w:t>
      </w:r>
      <w:r w:rsidR="004A31B2" w:rsidRPr="006804BB">
        <w:rPr>
          <w:lang w:val="en-US"/>
        </w:rPr>
        <w:t>because</w:t>
      </w:r>
      <w:r w:rsidR="006B0ACF" w:rsidRPr="006804BB">
        <w:t xml:space="preserve"> the government did not ‘clearly confirm’ their own will to leav</w:t>
      </w:r>
      <w:r w:rsidR="004A31B2" w:rsidRPr="006804BB">
        <w:rPr>
          <w:lang w:val="en-US"/>
        </w:rPr>
        <w:t>e</w:t>
      </w:r>
      <w:r w:rsidR="006B0ACF" w:rsidRPr="006804BB">
        <w:t xml:space="preserve"> institution.</w:t>
      </w:r>
      <w:r w:rsidR="006B0ACF" w:rsidRPr="006804BB">
        <w:rPr>
          <w:lang w:val="en-US"/>
        </w:rPr>
        <w:t xml:space="preserve"> </w:t>
      </w:r>
    </w:p>
    <w:p w14:paraId="53B61470" w14:textId="646CE97A" w:rsidR="00D54251" w:rsidRPr="004A31B2" w:rsidRDefault="004A31B2" w:rsidP="004A31B2">
      <w:r w:rsidRPr="004A31B2">
        <w:t xml:space="preserve">The UN CRPD, General Comment 5, and the draft guidelines on DI recognize the right of ALL persons with disabilities to live in the community and emphasize relevant obligations of States Parties. However, it is concerned that if </w:t>
      </w:r>
      <w:r>
        <w:rPr>
          <w:lang w:val="en-US"/>
        </w:rPr>
        <w:t>deinstitutionalization is allowed</w:t>
      </w:r>
      <w:r w:rsidRPr="004A31B2">
        <w:t xml:space="preserve"> only after confirming one's own volition, persons with high support requirements will be left in institutions under the excuse of "unidentified volition to leave."</w:t>
      </w:r>
    </w:p>
    <w:p w14:paraId="0B3AFAFC" w14:textId="50F861D9" w:rsidR="00D54251" w:rsidRDefault="00FC1C3E" w:rsidP="00554B63">
      <w:pPr>
        <w:pStyle w:val="Heading4"/>
        <w:ind w:firstLine="0"/>
      </w:pPr>
      <w:r w:rsidRPr="006F01E0">
        <w:t>2</w:t>
      </w:r>
      <w:r w:rsidR="000E03C3">
        <w:t>)</w:t>
      </w:r>
      <w:r w:rsidRPr="006F01E0">
        <w:t xml:space="preserve"> </w:t>
      </w:r>
      <w:r w:rsidR="006B0ACF">
        <w:rPr>
          <w:rFonts w:hint="eastAsia"/>
        </w:rPr>
        <w:t>S</w:t>
      </w:r>
      <w:r w:rsidR="006B0ACF">
        <w:t>uggestions</w:t>
      </w:r>
    </w:p>
    <w:p w14:paraId="7FBB53CA" w14:textId="4145D52C" w:rsidR="006B0ACF" w:rsidRPr="00DB7B9B" w:rsidRDefault="006B0ACF" w:rsidP="00E23D34">
      <w:r w:rsidRPr="000E03C3">
        <w:t>The “volition” should be confirme</w:t>
      </w:r>
      <w:r w:rsidR="00E23D34">
        <w:rPr>
          <w:lang w:val="en-US"/>
        </w:rPr>
        <w:t>d</w:t>
      </w:r>
      <w:r w:rsidRPr="000E03C3">
        <w:t xml:space="preserve"> in particular not when leaving institutions but when staying in insititutions for limited period of DI process</w:t>
      </w:r>
      <w:r w:rsidRPr="000E03C3">
        <w:rPr>
          <w:rFonts w:hint="eastAsia"/>
        </w:rPr>
        <w:t xml:space="preserve"> b</w:t>
      </w:r>
      <w:r w:rsidRPr="000E03C3">
        <w:t>y States Parties.</w:t>
      </w:r>
    </w:p>
    <w:p w14:paraId="5E152405" w14:textId="381E6F0B" w:rsidR="00D54251" w:rsidRPr="006F01E0" w:rsidRDefault="006A4B52" w:rsidP="00E23D34">
      <w:r w:rsidRPr="006A4B52">
        <w:t>For every person with disabilities in institutions, States Parties should take DI as the fundamental principle. Furthermore, the demand for maintaining institutions for any reasons(including social, economic circumstance of the person or their family, type of disability, and/or the range of required support, etc.) should be considered a human rights violation act.</w:t>
      </w:r>
    </w:p>
    <w:tbl>
      <w:tblPr>
        <w:tblStyle w:val="a2"/>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D54251" w:rsidRPr="006F01E0" w14:paraId="40FCDC5A" w14:textId="77777777">
        <w:tc>
          <w:tcPr>
            <w:tcW w:w="8309" w:type="dxa"/>
            <w:shd w:val="clear" w:color="auto" w:fill="auto"/>
            <w:tcMar>
              <w:top w:w="100" w:type="dxa"/>
              <w:left w:w="100" w:type="dxa"/>
              <w:bottom w:w="100" w:type="dxa"/>
              <w:right w:w="100" w:type="dxa"/>
            </w:tcMar>
          </w:tcPr>
          <w:p w14:paraId="6C13BBBD" w14:textId="7D082B3C" w:rsidR="00D54251" w:rsidRPr="00E10A24" w:rsidRDefault="00E10A24" w:rsidP="00E23D34">
            <w:pPr>
              <w:rPr>
                <w:lang w:val="en-US"/>
              </w:rPr>
            </w:pPr>
            <w:r>
              <w:rPr>
                <w:lang w:val="en-US"/>
              </w:rPr>
              <w:t>Amendment to the guidelines</w:t>
            </w:r>
          </w:p>
          <w:p w14:paraId="2DFD3280" w14:textId="77777777" w:rsidR="00E10A24" w:rsidRPr="00DB7B9B" w:rsidRDefault="00FC1C3E" w:rsidP="00E23D34">
            <w:pPr>
              <w:rPr>
                <w:lang w:val="en-GB"/>
              </w:rPr>
            </w:pPr>
            <w:r w:rsidRPr="006F01E0">
              <w:rPr>
                <w:rFonts w:asciiTheme="minorEastAsia" w:hAnsiTheme="minorEastAsia" w:cstheme="majorHAnsi"/>
                <w:b/>
                <w:sz w:val="30"/>
                <w:szCs w:val="30"/>
              </w:rPr>
              <w:t xml:space="preserve"> </w:t>
            </w:r>
            <w:bookmarkStart w:id="2" w:name="_Ref102215203"/>
            <w:r w:rsidR="00E10A24" w:rsidRPr="00DB7B9B">
              <w:rPr>
                <w:lang w:val="en-GB"/>
              </w:rPr>
              <w:t xml:space="preserve">91. The deinstitutionalization process starts while the person is still in the institution and should entail a transition plan customised to each person leaving </w:t>
            </w:r>
            <w:r w:rsidR="00E10A24" w:rsidRPr="00DB7B9B">
              <w:rPr>
                <w:lang w:val="en-GB"/>
              </w:rPr>
              <w:lastRenderedPageBreak/>
              <w:t xml:space="preserve">the institution. All persons shall have an equal opportunity to be deinstitutionalized and to leave </w:t>
            </w:r>
            <w:r w:rsidR="00E10A24" w:rsidRPr="00DB7B9B">
              <w:rPr>
                <w:b/>
                <w:bCs/>
                <w:strike/>
                <w:lang w:val="en-GB"/>
              </w:rPr>
              <w:t>of their own volition</w:t>
            </w:r>
            <w:r w:rsidR="00E10A24" w:rsidRPr="00DB7B9B">
              <w:rPr>
                <w:rFonts w:hint="eastAsia"/>
                <w:b/>
                <w:bCs/>
                <w:lang w:val="en-GB"/>
              </w:rPr>
              <w:t xml:space="preserve"> </w:t>
            </w:r>
            <w:r w:rsidR="00E10A24" w:rsidRPr="00DB7B9B">
              <w:rPr>
                <w:lang w:val="en-GB"/>
              </w:rPr>
              <w:t>at any time.</w:t>
            </w:r>
            <w:bookmarkEnd w:id="2"/>
            <w:r w:rsidR="00E10A24" w:rsidRPr="00DB7B9B">
              <w:rPr>
                <w:lang w:val="en-GB"/>
              </w:rPr>
              <w:t xml:space="preserve"> </w:t>
            </w:r>
          </w:p>
          <w:p w14:paraId="23C7619A" w14:textId="32F80F96" w:rsidR="00E10A24" w:rsidRPr="00E10A24" w:rsidRDefault="00E10A24" w:rsidP="00E23D34">
            <w:pPr>
              <w:rPr>
                <w:lang w:val="en-US"/>
              </w:rPr>
            </w:pPr>
            <w:r>
              <w:rPr>
                <w:rFonts w:hint="eastAsia"/>
              </w:rPr>
              <w:t>(</w:t>
            </w:r>
            <w:r>
              <w:rPr>
                <w:lang w:val="en-US"/>
              </w:rPr>
              <w:t>…)</w:t>
            </w:r>
          </w:p>
          <w:p w14:paraId="257F0278" w14:textId="5BEE2889" w:rsidR="00E10A24" w:rsidRPr="00DB7B9B" w:rsidRDefault="00E10A24" w:rsidP="00E23D34">
            <w:pPr>
              <w:rPr>
                <w:lang w:val="en-GB"/>
              </w:rPr>
            </w:pPr>
            <w:bookmarkStart w:id="3" w:name="_Ref102212309"/>
            <w:r w:rsidRPr="00DB7B9B">
              <w:rPr>
                <w:lang w:val="en-GB"/>
              </w:rPr>
              <w:t>93. Persons leaving institutions should:</w:t>
            </w:r>
          </w:p>
          <w:p w14:paraId="148E840C" w14:textId="5711B34E" w:rsidR="00E10A24" w:rsidRPr="00DB7B9B" w:rsidRDefault="00E10A24" w:rsidP="00E23D34">
            <w:pPr>
              <w:rPr>
                <w:lang w:val="en-GB"/>
              </w:rPr>
            </w:pPr>
            <w:r w:rsidRPr="00DB7B9B">
              <w:rPr>
                <w:lang w:val="en-GB"/>
              </w:rPr>
              <w:t xml:space="preserve">(a) Be respected as decision-makers, with support if required, in respect of all aspects of leaving institutions. In </w:t>
            </w:r>
            <w:r w:rsidRPr="00DB7B9B">
              <w:rPr>
                <w:lang w:val="en-US"/>
              </w:rPr>
              <w:t>th</w:t>
            </w:r>
            <w:r w:rsidR="00EB1D30">
              <w:rPr>
                <w:lang w:val="en-US"/>
              </w:rPr>
              <w:t xml:space="preserve">e process, deinstitutionalization should be taken as the principle. </w:t>
            </w:r>
            <w:r w:rsidR="00EB1D30" w:rsidRPr="002D51A2">
              <w:rPr>
                <w:b/>
                <w:bCs/>
                <w:u w:val="single"/>
                <w:lang w:val="en-US"/>
              </w:rPr>
              <w:t>Unless the person clearly expresse</w:t>
            </w:r>
            <w:r w:rsidR="006A4B52">
              <w:rPr>
                <w:b/>
                <w:bCs/>
                <w:u w:val="single"/>
                <w:lang w:val="en-US"/>
              </w:rPr>
              <w:t>s</w:t>
            </w:r>
            <w:r w:rsidR="00EB1D30" w:rsidRPr="002D51A2">
              <w:rPr>
                <w:b/>
                <w:bCs/>
                <w:u w:val="single"/>
                <w:lang w:val="en-US"/>
              </w:rPr>
              <w:t xml:space="preserve"> own will to stay in </w:t>
            </w:r>
            <w:r w:rsidR="006A4B52">
              <w:rPr>
                <w:b/>
                <w:bCs/>
                <w:u w:val="single"/>
                <w:lang w:val="en-US"/>
              </w:rPr>
              <w:t xml:space="preserve">the </w:t>
            </w:r>
            <w:r w:rsidR="00EB1D30" w:rsidRPr="002D51A2">
              <w:rPr>
                <w:b/>
                <w:bCs/>
                <w:u w:val="single"/>
                <w:lang w:val="en-US"/>
              </w:rPr>
              <w:t>institution, family or other relevant person’s demand to keep the</w:t>
            </w:r>
            <w:r w:rsidR="006A4B52">
              <w:rPr>
                <w:b/>
                <w:bCs/>
                <w:u w:val="single"/>
                <w:lang w:val="en-US"/>
              </w:rPr>
              <w:t xml:space="preserve"> person </w:t>
            </w:r>
            <w:r w:rsidR="00EB1D30" w:rsidRPr="002D51A2">
              <w:rPr>
                <w:b/>
                <w:bCs/>
                <w:u w:val="single"/>
                <w:lang w:val="en-US"/>
              </w:rPr>
              <w:t>in institution should be considered as a serious human rights</w:t>
            </w:r>
            <w:r w:rsidR="006A4B52">
              <w:rPr>
                <w:b/>
                <w:bCs/>
                <w:u w:val="single"/>
                <w:lang w:val="en-US"/>
              </w:rPr>
              <w:t xml:space="preserve"> violation</w:t>
            </w:r>
            <w:r w:rsidR="00EB1D30" w:rsidRPr="002D51A2">
              <w:rPr>
                <w:b/>
                <w:bCs/>
                <w:u w:val="single"/>
                <w:lang w:val="en-US"/>
              </w:rPr>
              <w:t>. The stay of one’s own volition should be limited to the period of deinstitutionalization plan by States Parties</w:t>
            </w:r>
            <w:r w:rsidR="00EB1D30" w:rsidRPr="002D51A2">
              <w:rPr>
                <w:u w:val="single"/>
                <w:lang w:val="en-US"/>
              </w:rPr>
              <w:t>;</w:t>
            </w:r>
          </w:p>
          <w:p w14:paraId="3A6C7AA7" w14:textId="2EEB352E" w:rsidR="00E10A24" w:rsidRPr="00DB7B9B" w:rsidRDefault="00E10A24" w:rsidP="00E23D34">
            <w:pPr>
              <w:rPr>
                <w:b/>
                <w:bCs/>
                <w:lang w:val="en-GB"/>
              </w:rPr>
            </w:pPr>
            <w:r w:rsidRPr="00DB7B9B">
              <w:rPr>
                <w:lang w:val="en-GB"/>
              </w:rPr>
              <w:t xml:space="preserve">(b) Be provided with adequate time and opportunities for preparing physically and emotionally for living in the community. States Parties should ensure that all persons </w:t>
            </w:r>
            <w:r w:rsidRPr="00DB7B9B">
              <w:rPr>
                <w:b/>
                <w:bCs/>
                <w:strike/>
                <w:lang w:val="en-GB"/>
              </w:rPr>
              <w:t>who request them</w:t>
            </w:r>
            <w:r w:rsidRPr="00DB7B9B">
              <w:rPr>
                <w:lang w:val="en-GB"/>
              </w:rPr>
              <w:t xml:space="preserve"> have an individualized plan in place</w:t>
            </w:r>
            <w:r w:rsidR="00EB1D30">
              <w:rPr>
                <w:lang w:val="en-GB"/>
              </w:rPr>
              <w:t>.</w:t>
            </w:r>
            <w:r w:rsidR="00EB1D30" w:rsidRPr="002D51A2">
              <w:rPr>
                <w:u w:val="single"/>
                <w:lang w:val="en-GB"/>
              </w:rPr>
              <w:t xml:space="preserve"> </w:t>
            </w:r>
            <w:r w:rsidR="00EB1D30" w:rsidRPr="002D51A2">
              <w:rPr>
                <w:b/>
                <w:bCs/>
                <w:u w:val="single"/>
                <w:lang w:val="en-GB"/>
              </w:rPr>
              <w:t xml:space="preserve">The individualised plan </w:t>
            </w:r>
            <w:r w:rsidR="002D51A2" w:rsidRPr="002D51A2">
              <w:rPr>
                <w:b/>
                <w:bCs/>
                <w:u w:val="single"/>
                <w:lang w:val="en-GB"/>
              </w:rPr>
              <w:t>should be launched immediately and accomplished within minimum period with maximum resources</w:t>
            </w:r>
            <w:r w:rsidRPr="00DB7B9B">
              <w:rPr>
                <w:b/>
                <w:bCs/>
                <w:u w:val="single"/>
                <w:lang w:val="en-GB"/>
              </w:rPr>
              <w:t>;</w:t>
            </w:r>
          </w:p>
          <w:p w14:paraId="6EAA3EA5" w14:textId="77777777" w:rsidR="00E10A24" w:rsidRPr="00DB7B9B" w:rsidRDefault="00E10A24" w:rsidP="00E23D34">
            <w:pPr>
              <w:rPr>
                <w:lang w:val="en-GB"/>
              </w:rPr>
            </w:pPr>
            <w:r w:rsidRPr="00DB7B9B">
              <w:rPr>
                <w:lang w:val="en-GB"/>
              </w:rPr>
              <w:t>(c) Be at the core of processes of individualized planning and respected as a survivor to whom reparations are due;</w:t>
            </w:r>
          </w:p>
          <w:p w14:paraId="143221F3" w14:textId="77777777" w:rsidR="00E10A24" w:rsidRPr="00DB7B9B" w:rsidRDefault="00E10A24" w:rsidP="00E23D34">
            <w:pPr>
              <w:rPr>
                <w:lang w:val="en-GB"/>
              </w:rPr>
            </w:pPr>
            <w:r w:rsidRPr="00DB7B9B">
              <w:rPr>
                <w:lang w:val="en-GB"/>
              </w:rPr>
              <w:t xml:space="preserve">(d) Be provided with full disclosure about the ending of institutionalization, and their will and preferences should be reflected in the plan. </w:t>
            </w:r>
          </w:p>
          <w:p w14:paraId="624D313B" w14:textId="77777777" w:rsidR="00E10A24" w:rsidRPr="00DB7B9B" w:rsidRDefault="00E10A24" w:rsidP="00E23D34">
            <w:pPr>
              <w:rPr>
                <w:lang w:val="en-GB"/>
              </w:rPr>
            </w:pPr>
            <w:r w:rsidRPr="00DB7B9B">
              <w:rPr>
                <w:lang w:val="en-GB"/>
              </w:rPr>
              <w:lastRenderedPageBreak/>
              <w:t>(e) In preparation to leave the institution, be offered a wide range of experiences to assist with community integration to help build their experience, strengths, socialization, life skills, remove fears and gather positive experiences of living well and independently;</w:t>
            </w:r>
          </w:p>
          <w:p w14:paraId="4AEEAA02" w14:textId="0480C60B" w:rsidR="005E518E" w:rsidRPr="006A4B52" w:rsidRDefault="00E10A24" w:rsidP="006804BB">
            <w:pPr>
              <w:rPr>
                <w:lang w:val="en-GB"/>
              </w:rPr>
            </w:pPr>
            <w:r w:rsidRPr="00DB7B9B">
              <w:rPr>
                <w:lang w:val="en-GB"/>
              </w:rPr>
              <w:t>(f) Receive information about housing options, work and employment, individualized funding support, and all other measures necessary to ensure an adequate standard of living.</w:t>
            </w:r>
            <w:bookmarkEnd w:id="3"/>
          </w:p>
        </w:tc>
      </w:tr>
    </w:tbl>
    <w:p w14:paraId="3F9E496E" w14:textId="77777777" w:rsidR="00D54251" w:rsidRPr="006F01E0" w:rsidRDefault="00D54251" w:rsidP="006A4B52"/>
    <w:sectPr w:rsidR="00D54251" w:rsidRPr="006F01E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F22EE" w14:textId="77777777" w:rsidR="00CD5021" w:rsidRDefault="00CD5021" w:rsidP="00E23D34">
      <w:r>
        <w:separator/>
      </w:r>
    </w:p>
  </w:endnote>
  <w:endnote w:type="continuationSeparator" w:id="0">
    <w:p w14:paraId="151ACCD3" w14:textId="77777777" w:rsidR="00CD5021" w:rsidRDefault="00CD5021" w:rsidP="00E2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98829" w14:textId="77777777" w:rsidR="00CD5021" w:rsidRDefault="00CD5021" w:rsidP="00E23D34">
      <w:r>
        <w:separator/>
      </w:r>
    </w:p>
  </w:footnote>
  <w:footnote w:type="continuationSeparator" w:id="0">
    <w:p w14:paraId="20547291" w14:textId="77777777" w:rsidR="00CD5021" w:rsidRDefault="00CD5021" w:rsidP="00E23D34">
      <w:r>
        <w:continuationSeparator/>
      </w:r>
    </w:p>
  </w:footnote>
  <w:footnote w:id="1">
    <w:p w14:paraId="064BE251" w14:textId="6D1D3FAA" w:rsidR="00944A44" w:rsidRPr="005E5F49" w:rsidRDefault="00944A44" w:rsidP="005E5F49">
      <w:pPr>
        <w:pStyle w:val="a5"/>
        <w:spacing w:after="120" w:line="240" w:lineRule="auto"/>
        <w:ind w:left="357"/>
        <w:rPr>
          <w:sz w:val="16"/>
          <w:szCs w:val="16"/>
        </w:rPr>
      </w:pPr>
      <w:r w:rsidRPr="005E5F49">
        <w:rPr>
          <w:sz w:val="16"/>
          <w:szCs w:val="16"/>
          <w:vertAlign w:val="superscript"/>
        </w:rPr>
        <w:footnoteRef/>
      </w:r>
      <w:r w:rsidR="00100466" w:rsidRPr="005E5F49">
        <w:rPr>
          <w:sz w:val="16"/>
          <w:szCs w:val="16"/>
        </w:rPr>
        <w:t>KDF</w:t>
      </w:r>
      <w:r w:rsidR="005E6698" w:rsidRPr="005E5F49">
        <w:rPr>
          <w:sz w:val="16"/>
          <w:szCs w:val="16"/>
        </w:rPr>
        <w:t>(</w:t>
      </w:r>
      <w:hyperlink r:id="rId1" w:history="1">
        <w:r w:rsidR="005E6698" w:rsidRPr="005E5F49">
          <w:rPr>
            <w:rStyle w:val="Hyperlink"/>
            <w:sz w:val="16"/>
            <w:szCs w:val="16"/>
          </w:rPr>
          <w:t>www.thekdf.org</w:t>
        </w:r>
      </w:hyperlink>
      <w:r w:rsidR="005E6698" w:rsidRPr="005E5F49">
        <w:rPr>
          <w:sz w:val="16"/>
          <w:szCs w:val="16"/>
        </w:rPr>
        <w:t>)</w:t>
      </w:r>
      <w:r w:rsidR="0004249E" w:rsidRPr="005E5F49">
        <w:rPr>
          <w:sz w:val="16"/>
          <w:szCs w:val="16"/>
        </w:rPr>
        <w:t xml:space="preserve"> is a coalition organization of 16 Disabled Peoples’ Organisations in the Republic of Korea. Since 2012, KDF has been working for </w:t>
      </w:r>
      <w:r w:rsidR="005E6698" w:rsidRPr="005E5F49">
        <w:rPr>
          <w:sz w:val="16"/>
          <w:szCs w:val="16"/>
        </w:rPr>
        <w:t xml:space="preserve">international </w:t>
      </w:r>
      <w:r w:rsidR="0004249E" w:rsidRPr="005E5F49">
        <w:rPr>
          <w:sz w:val="16"/>
          <w:szCs w:val="16"/>
        </w:rPr>
        <w:t xml:space="preserve">disability rights </w:t>
      </w:r>
      <w:r w:rsidR="005E6698" w:rsidRPr="005E5F49">
        <w:rPr>
          <w:sz w:val="16"/>
          <w:szCs w:val="16"/>
        </w:rPr>
        <w:t xml:space="preserve">advocacy including </w:t>
      </w:r>
      <w:r w:rsidR="0004249E" w:rsidRPr="005E5F49">
        <w:rPr>
          <w:sz w:val="16"/>
          <w:szCs w:val="16"/>
        </w:rPr>
        <w:t>disability-inclusive SDGs and</w:t>
      </w:r>
      <w:r w:rsidR="005E6698" w:rsidRPr="005E5F49">
        <w:rPr>
          <w:sz w:val="16"/>
          <w:szCs w:val="16"/>
        </w:rPr>
        <w:t xml:space="preserve"> UN CRPD. It has ECOSOC special consultative status since 2020.</w:t>
      </w:r>
    </w:p>
  </w:footnote>
  <w:footnote w:id="2">
    <w:p w14:paraId="605B6CCA" w14:textId="2629DC26" w:rsidR="00944A44" w:rsidRPr="005E5F49" w:rsidRDefault="00944A44" w:rsidP="005E5F49">
      <w:pPr>
        <w:pStyle w:val="a5"/>
        <w:spacing w:after="120" w:line="240" w:lineRule="auto"/>
        <w:ind w:left="357"/>
        <w:rPr>
          <w:sz w:val="16"/>
          <w:szCs w:val="16"/>
        </w:rPr>
      </w:pPr>
      <w:r w:rsidRPr="005E5F49">
        <w:rPr>
          <w:sz w:val="16"/>
          <w:szCs w:val="16"/>
          <w:vertAlign w:val="superscript"/>
        </w:rPr>
        <w:footnoteRef/>
      </w:r>
      <w:r w:rsidRPr="005E5F49">
        <w:rPr>
          <w:sz w:val="16"/>
          <w:szCs w:val="16"/>
        </w:rPr>
        <w:t xml:space="preserve"> </w:t>
      </w:r>
      <w:r w:rsidR="005E6698" w:rsidRPr="005E5F49">
        <w:rPr>
          <w:sz w:val="16"/>
          <w:szCs w:val="16"/>
        </w:rPr>
        <w:t>FootAct</w:t>
      </w:r>
      <w:r w:rsidRPr="005E5F49">
        <w:rPr>
          <w:sz w:val="16"/>
          <w:szCs w:val="16"/>
        </w:rPr>
        <w:t>(</w:t>
      </w:r>
      <w:hyperlink r:id="rId2">
        <w:r w:rsidRPr="005E5F49">
          <w:rPr>
            <w:color w:val="1155CC"/>
            <w:sz w:val="16"/>
            <w:szCs w:val="16"/>
            <w:u w:val="single"/>
          </w:rPr>
          <w:t>www.footact.org</w:t>
        </w:r>
      </w:hyperlink>
      <w:r w:rsidRPr="005E5F49">
        <w:rPr>
          <w:sz w:val="16"/>
          <w:szCs w:val="16"/>
        </w:rPr>
        <w:t xml:space="preserve">) </w:t>
      </w:r>
      <w:r w:rsidR="005E6698" w:rsidRPr="005E5F49">
        <w:rPr>
          <w:sz w:val="16"/>
          <w:szCs w:val="16"/>
        </w:rPr>
        <w:t xml:space="preserve">is the first deinstitutionalization organization in Korea and it has been working for </w:t>
      </w:r>
      <w:r w:rsidR="00D55AD8" w:rsidRPr="005E5F49">
        <w:rPr>
          <w:sz w:val="16"/>
          <w:szCs w:val="16"/>
        </w:rPr>
        <w:t>truth-seeking, law-making and research activities for deinstitutionalization, and establishing institution-community transition model since 2005.</w:t>
      </w:r>
      <w:r w:rsidRPr="005E5F49">
        <w:rPr>
          <w:sz w:val="16"/>
          <w:szCs w:val="16"/>
        </w:rPr>
        <w:t xml:space="preserve"> </w:t>
      </w:r>
    </w:p>
  </w:footnote>
  <w:footnote w:id="3">
    <w:p w14:paraId="0F91417B" w14:textId="6BBA2E76" w:rsidR="00944A44" w:rsidRPr="005E5F49" w:rsidRDefault="00944A44" w:rsidP="005E5F49">
      <w:pPr>
        <w:pStyle w:val="a5"/>
        <w:spacing w:after="120" w:line="240" w:lineRule="auto"/>
        <w:ind w:left="357"/>
        <w:rPr>
          <w:sz w:val="16"/>
          <w:szCs w:val="16"/>
        </w:rPr>
      </w:pPr>
      <w:r w:rsidRPr="005E5F49">
        <w:rPr>
          <w:sz w:val="16"/>
          <w:szCs w:val="16"/>
          <w:vertAlign w:val="superscript"/>
        </w:rPr>
        <w:footnoteRef/>
      </w:r>
      <w:r w:rsidRPr="005E5F49">
        <w:rPr>
          <w:sz w:val="16"/>
          <w:szCs w:val="16"/>
        </w:rPr>
        <w:t xml:space="preserve"> </w:t>
      </w:r>
      <w:r w:rsidR="00100466" w:rsidRPr="005E5F49">
        <w:rPr>
          <w:sz w:val="16"/>
          <w:szCs w:val="16"/>
        </w:rPr>
        <w:t>PNPD(</w:t>
      </w:r>
      <w:hyperlink r:id="rId3" w:history="1">
        <w:r w:rsidR="00100466" w:rsidRPr="005E5F49">
          <w:rPr>
            <w:rStyle w:val="Hyperlink"/>
            <w:sz w:val="16"/>
            <w:szCs w:val="16"/>
          </w:rPr>
          <w:t>www.bumo.or.kr</w:t>
        </w:r>
      </w:hyperlink>
      <w:r w:rsidR="00100466" w:rsidRPr="005E5F49">
        <w:rPr>
          <w:sz w:val="16"/>
          <w:szCs w:val="16"/>
        </w:rPr>
        <w:t xml:space="preserve">) </w:t>
      </w:r>
      <w:r w:rsidR="00100466" w:rsidRPr="005E5F49">
        <w:rPr>
          <w:sz w:val="16"/>
          <w:szCs w:val="16"/>
        </w:rPr>
        <w:t>is a national network of the parents with disabled children. The organization is working for protecting the rights of the persons with disabilities and their families and making a society that no one is left behind.</w:t>
      </w:r>
      <w:r w:rsidRPr="005E5F49">
        <w:rPr>
          <w:sz w:val="16"/>
          <w:szCs w:val="16"/>
        </w:rPr>
        <w:t xml:space="preserve"> </w:t>
      </w:r>
    </w:p>
  </w:footnote>
  <w:footnote w:id="4">
    <w:p w14:paraId="60E3D697" w14:textId="7D4E87A2" w:rsidR="00944A44" w:rsidRPr="005E5F49" w:rsidRDefault="00944A44" w:rsidP="005E5F49">
      <w:pPr>
        <w:pStyle w:val="a5"/>
        <w:spacing w:after="120" w:line="240" w:lineRule="auto"/>
        <w:ind w:left="357"/>
        <w:rPr>
          <w:sz w:val="16"/>
          <w:szCs w:val="16"/>
        </w:rPr>
      </w:pPr>
      <w:r w:rsidRPr="005E5F49">
        <w:rPr>
          <w:sz w:val="16"/>
          <w:szCs w:val="16"/>
          <w:vertAlign w:val="superscript"/>
        </w:rPr>
        <w:footnoteRef/>
      </w:r>
      <w:r w:rsidRPr="005E5F49">
        <w:rPr>
          <w:sz w:val="16"/>
          <w:szCs w:val="16"/>
        </w:rPr>
        <w:t xml:space="preserve"> </w:t>
      </w:r>
      <w:r w:rsidR="00100466" w:rsidRPr="005E5F49">
        <w:rPr>
          <w:rFonts w:hint="eastAsia"/>
          <w:sz w:val="16"/>
          <w:szCs w:val="16"/>
        </w:rPr>
        <w:t>S</w:t>
      </w:r>
      <w:r w:rsidR="00100466" w:rsidRPr="005E5F49">
        <w:rPr>
          <w:sz w:val="16"/>
          <w:szCs w:val="16"/>
        </w:rPr>
        <w:t>ADD(</w:t>
      </w:r>
      <w:hyperlink r:id="rId4" w:history="1">
        <w:r w:rsidR="00100466" w:rsidRPr="005E5F49">
          <w:rPr>
            <w:rStyle w:val="Hyperlink"/>
            <w:sz w:val="16"/>
            <w:szCs w:val="16"/>
          </w:rPr>
          <w:t>www.sadd.or.kr</w:t>
        </w:r>
      </w:hyperlink>
      <w:r w:rsidR="00100466" w:rsidRPr="005E5F49">
        <w:rPr>
          <w:sz w:val="16"/>
          <w:szCs w:val="16"/>
        </w:rPr>
        <w:t>)</w:t>
      </w:r>
      <w:r w:rsidR="00100466" w:rsidRPr="005E5F49">
        <w:rPr>
          <w:rFonts w:hint="eastAsia"/>
          <w:sz w:val="16"/>
          <w:szCs w:val="16"/>
        </w:rPr>
        <w:t xml:space="preserve"> </w:t>
      </w:r>
      <w:r w:rsidR="00100466" w:rsidRPr="005E5F49">
        <w:rPr>
          <w:sz w:val="16"/>
          <w:szCs w:val="16"/>
        </w:rPr>
        <w:t xml:space="preserve"> </w:t>
      </w:r>
      <w:r w:rsidR="00100466" w:rsidRPr="005E5F49">
        <w:rPr>
          <w:sz w:val="16"/>
          <w:szCs w:val="16"/>
        </w:rPr>
        <w:t>is a national disabled people’s organization and the members implement direct action to achieve full participation and equal opportunities of the persons with disabilities in the society</w:t>
      </w:r>
      <w:r w:rsidRPr="005E5F49">
        <w:rPr>
          <w:sz w:val="16"/>
          <w:szCs w:val="16"/>
        </w:rPr>
        <w:t>.</w:t>
      </w:r>
    </w:p>
  </w:footnote>
  <w:footnote w:id="5">
    <w:p w14:paraId="12D8A0B3" w14:textId="1FBB7A37" w:rsidR="00944A44" w:rsidRPr="005E5F49" w:rsidRDefault="00944A44" w:rsidP="005E5F49">
      <w:pPr>
        <w:pStyle w:val="a5"/>
        <w:spacing w:after="120" w:line="240" w:lineRule="auto"/>
        <w:ind w:left="357"/>
        <w:rPr>
          <w:sz w:val="16"/>
          <w:szCs w:val="16"/>
        </w:rPr>
      </w:pPr>
      <w:r w:rsidRPr="005E5F49">
        <w:rPr>
          <w:sz w:val="16"/>
          <w:szCs w:val="16"/>
          <w:vertAlign w:val="superscript"/>
        </w:rPr>
        <w:footnoteRef/>
      </w:r>
      <w:r w:rsidRPr="005E5F49">
        <w:rPr>
          <w:sz w:val="16"/>
          <w:szCs w:val="16"/>
        </w:rPr>
        <w:t xml:space="preserve"> </w:t>
      </w:r>
      <w:r w:rsidR="00100466" w:rsidRPr="005E5F49">
        <w:rPr>
          <w:sz w:val="16"/>
          <w:szCs w:val="16"/>
        </w:rPr>
        <w:t>KCIL</w:t>
      </w:r>
      <w:r w:rsidRPr="005E5F49">
        <w:rPr>
          <w:sz w:val="16"/>
          <w:szCs w:val="16"/>
        </w:rPr>
        <w:t>(</w:t>
      </w:r>
      <w:hyperlink r:id="rId5">
        <w:r w:rsidRPr="005E5F49">
          <w:rPr>
            <w:color w:val="1155CC"/>
            <w:sz w:val="16"/>
            <w:szCs w:val="16"/>
            <w:u w:val="single"/>
          </w:rPr>
          <w:t>www.kcil.or.kr</w:t>
        </w:r>
      </w:hyperlink>
      <w:r w:rsidRPr="005E5F49">
        <w:rPr>
          <w:sz w:val="16"/>
          <w:szCs w:val="16"/>
        </w:rPr>
        <w:t>)</w:t>
      </w:r>
      <w:r w:rsidR="00100466" w:rsidRPr="005E5F49">
        <w:rPr>
          <w:sz w:val="16"/>
          <w:szCs w:val="16"/>
        </w:rPr>
        <w:t xml:space="preserve"> is a coalition of Independent living centers</w:t>
      </w:r>
      <w:r w:rsidR="005032B5" w:rsidRPr="005E5F49">
        <w:rPr>
          <w:sz w:val="16"/>
          <w:szCs w:val="16"/>
        </w:rPr>
        <w:t xml:space="preserve"> which endeavor to protect the right to independent living in community of every persons with disabiltiies.</w:t>
      </w:r>
    </w:p>
  </w:footnote>
  <w:footnote w:id="6">
    <w:p w14:paraId="77693BE7" w14:textId="5FCB6DF8" w:rsidR="00944A44" w:rsidRPr="000E03C3" w:rsidRDefault="00944A44" w:rsidP="005E5F49">
      <w:pPr>
        <w:pStyle w:val="a5"/>
        <w:spacing w:after="120" w:line="240" w:lineRule="auto"/>
        <w:ind w:left="357"/>
      </w:pPr>
      <w:r w:rsidRPr="005E5F49">
        <w:rPr>
          <w:sz w:val="16"/>
          <w:szCs w:val="16"/>
          <w:vertAlign w:val="superscript"/>
        </w:rPr>
        <w:footnoteRef/>
      </w:r>
      <w:r w:rsidRPr="005E5F49">
        <w:rPr>
          <w:sz w:val="16"/>
          <w:szCs w:val="16"/>
        </w:rPr>
        <w:t xml:space="preserve"> </w:t>
      </w:r>
      <w:r w:rsidR="005032B5" w:rsidRPr="005E5F49">
        <w:rPr>
          <w:sz w:val="16"/>
          <w:szCs w:val="16"/>
        </w:rPr>
        <w:t>KSHB</w:t>
      </w:r>
      <w:r w:rsidRPr="005E5F49">
        <w:rPr>
          <w:sz w:val="16"/>
          <w:szCs w:val="16"/>
        </w:rPr>
        <w:t>(</w:t>
      </w:r>
      <w:hyperlink r:id="rId6">
        <w:r w:rsidRPr="005E5F49">
          <w:rPr>
            <w:color w:val="1155CC"/>
            <w:sz w:val="16"/>
            <w:szCs w:val="16"/>
            <w:u w:val="single"/>
          </w:rPr>
          <w:t>kshb.or.kr)</w:t>
        </w:r>
      </w:hyperlink>
      <w:r w:rsidRPr="005E5F49">
        <w:rPr>
          <w:sz w:val="16"/>
          <w:szCs w:val="16"/>
        </w:rPr>
        <w:t xml:space="preserve"> </w:t>
      </w:r>
      <w:r w:rsidR="005032B5" w:rsidRPr="005E5F49">
        <w:rPr>
          <w:sz w:val="16"/>
          <w:szCs w:val="16"/>
        </w:rPr>
        <w:t>is an organization of the persons with brain lesion and it is working to improve the rights and support for the persons with brain lesion</w:t>
      </w:r>
      <w:r w:rsidR="005032B5" w:rsidRPr="005E5F49">
        <w:rPr>
          <w:rFonts w:hint="eastAsia"/>
          <w:sz w:val="16"/>
          <w:szCs w:val="16"/>
        </w:rPr>
        <w:t>.</w:t>
      </w:r>
      <w:r w:rsidRPr="005E5F49">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8CC"/>
    <w:multiLevelType w:val="multilevel"/>
    <w:tmpl w:val="2364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111AB"/>
    <w:multiLevelType w:val="multilevel"/>
    <w:tmpl w:val="1AE88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C5C4B"/>
    <w:multiLevelType w:val="multilevel"/>
    <w:tmpl w:val="C5409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387483"/>
    <w:multiLevelType w:val="multilevel"/>
    <w:tmpl w:val="2ADC8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A51266"/>
    <w:multiLevelType w:val="multilevel"/>
    <w:tmpl w:val="F2EE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67273"/>
    <w:multiLevelType w:val="multilevel"/>
    <w:tmpl w:val="CBEE2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2531E"/>
    <w:multiLevelType w:val="multilevel"/>
    <w:tmpl w:val="F8F4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E3C84"/>
    <w:multiLevelType w:val="hybridMultilevel"/>
    <w:tmpl w:val="C9FC5290"/>
    <w:lvl w:ilvl="0" w:tplc="69544BBC">
      <w:start w:val="2022"/>
      <w:numFmt w:val="bullet"/>
      <w:lvlText w:val="-"/>
      <w:lvlJc w:val="left"/>
      <w:pPr>
        <w:ind w:left="760" w:hanging="360"/>
      </w:pPr>
      <w:rPr>
        <w:rFonts w:ascii="Arial" w:eastAsia="Arial" w:hAnsi="Arial" w:cs="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1A5C28"/>
    <w:multiLevelType w:val="multilevel"/>
    <w:tmpl w:val="7D92F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820650"/>
    <w:multiLevelType w:val="multilevel"/>
    <w:tmpl w:val="B2864B06"/>
    <w:lvl w:ilvl="0">
      <w:start w:val="1"/>
      <w:numFmt w:val="decimal"/>
      <w:pStyle w:val="Heading3"/>
      <w:lvlText w:val="%1."/>
      <w:lvlJc w:val="left"/>
      <w:pPr>
        <w:ind w:left="720" w:hanging="360"/>
      </w:pPr>
      <w:rPr>
        <w:u w:val="none"/>
      </w:rPr>
    </w:lvl>
    <w:lvl w:ilvl="1">
      <w:start w:val="1"/>
      <w:numFmt w:val="lowerLetter"/>
      <w:pStyle w:val="Heading5"/>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9D7394"/>
    <w:multiLevelType w:val="hybridMultilevel"/>
    <w:tmpl w:val="6A5A64E4"/>
    <w:lvl w:ilvl="0" w:tplc="BBD0C86C">
      <w:start w:val="25"/>
      <w:numFmt w:val="bullet"/>
      <w:lvlText w:val="-"/>
      <w:lvlJc w:val="left"/>
      <w:pPr>
        <w:ind w:left="760" w:hanging="360"/>
      </w:pPr>
      <w:rPr>
        <w:rFonts w:ascii="Malgun Gothic" w:eastAsia="Malgun Gothic" w:hAnsi="Malgun Gothic" w:cstheme="majorHAns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A217B9"/>
    <w:multiLevelType w:val="multilevel"/>
    <w:tmpl w:val="75F0D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2C6E77"/>
    <w:multiLevelType w:val="hybridMultilevel"/>
    <w:tmpl w:val="63B2FDF2"/>
    <w:lvl w:ilvl="0" w:tplc="E52411FC">
      <w:start w:val="2022"/>
      <w:numFmt w:val="bullet"/>
      <w:lvlText w:val="-"/>
      <w:lvlJc w:val="left"/>
      <w:pPr>
        <w:ind w:left="760" w:hanging="360"/>
      </w:pPr>
      <w:rPr>
        <w:rFonts w:ascii="Arial" w:eastAsia="Arial"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4C940FF"/>
    <w:multiLevelType w:val="multilevel"/>
    <w:tmpl w:val="970042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501252A"/>
    <w:multiLevelType w:val="multilevel"/>
    <w:tmpl w:val="CF767B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D5077E0"/>
    <w:multiLevelType w:val="hybridMultilevel"/>
    <w:tmpl w:val="4BB238FE"/>
    <w:lvl w:ilvl="0" w:tplc="BBD0C86C">
      <w:start w:val="25"/>
      <w:numFmt w:val="bullet"/>
      <w:lvlText w:val="-"/>
      <w:lvlJc w:val="left"/>
      <w:pPr>
        <w:ind w:left="760" w:hanging="360"/>
      </w:pPr>
      <w:rPr>
        <w:rFonts w:ascii="Malgun Gothic" w:eastAsia="Malgun Gothic" w:hAnsi="Malgun Gothic" w:cstheme="majorHAns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BC21E16"/>
    <w:multiLevelType w:val="multilevel"/>
    <w:tmpl w:val="CD1AE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61338D"/>
    <w:multiLevelType w:val="multilevel"/>
    <w:tmpl w:val="434E9518"/>
    <w:lvl w:ilvl="0">
      <w:start w:val="1"/>
      <w:numFmt w:val="lowerLetter"/>
      <w:lvlText w:val="%1."/>
      <w:lvlJc w:val="left"/>
      <w:pPr>
        <w:ind w:left="720" w:hanging="360"/>
      </w:pPr>
      <w:rPr>
        <w:rFonts w:ascii="Arial" w:eastAsiaTheme="minorEastAsia"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705DEA"/>
    <w:multiLevelType w:val="multilevel"/>
    <w:tmpl w:val="689C9640"/>
    <w:lvl w:ilvl="0">
      <w:start w:val="1"/>
      <w:numFmt w:val="upperRoman"/>
      <w:pStyle w:val="Heading2"/>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AE07C3"/>
    <w:multiLevelType w:val="multilevel"/>
    <w:tmpl w:val="1EDC3562"/>
    <w:styleLink w:val="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257CD5"/>
    <w:multiLevelType w:val="multilevel"/>
    <w:tmpl w:val="1EDC3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101C36"/>
    <w:multiLevelType w:val="multilevel"/>
    <w:tmpl w:val="E9EA6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4604D3"/>
    <w:multiLevelType w:val="multilevel"/>
    <w:tmpl w:val="A5FC5D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5CF0C73"/>
    <w:multiLevelType w:val="multilevel"/>
    <w:tmpl w:val="A1A48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4B0E14"/>
    <w:multiLevelType w:val="multilevel"/>
    <w:tmpl w:val="8C9CD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10104B"/>
    <w:multiLevelType w:val="multilevel"/>
    <w:tmpl w:val="7AB4E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4C6263"/>
    <w:multiLevelType w:val="multilevel"/>
    <w:tmpl w:val="81DE8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565F07"/>
    <w:multiLevelType w:val="multilevel"/>
    <w:tmpl w:val="A16C2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5E0A34"/>
    <w:multiLevelType w:val="multilevel"/>
    <w:tmpl w:val="5314A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2B3914"/>
    <w:multiLevelType w:val="multilevel"/>
    <w:tmpl w:val="D52A2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09491D"/>
    <w:multiLevelType w:val="multilevel"/>
    <w:tmpl w:val="2B1E7B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7"/>
  </w:num>
  <w:num w:numId="2">
    <w:abstractNumId w:val="13"/>
  </w:num>
  <w:num w:numId="3">
    <w:abstractNumId w:val="28"/>
  </w:num>
  <w:num w:numId="4">
    <w:abstractNumId w:val="8"/>
  </w:num>
  <w:num w:numId="5">
    <w:abstractNumId w:val="18"/>
  </w:num>
  <w:num w:numId="6">
    <w:abstractNumId w:val="17"/>
  </w:num>
  <w:num w:numId="7">
    <w:abstractNumId w:val="22"/>
  </w:num>
  <w:num w:numId="8">
    <w:abstractNumId w:val="29"/>
  </w:num>
  <w:num w:numId="9">
    <w:abstractNumId w:val="23"/>
  </w:num>
  <w:num w:numId="10">
    <w:abstractNumId w:val="16"/>
  </w:num>
  <w:num w:numId="11">
    <w:abstractNumId w:val="5"/>
  </w:num>
  <w:num w:numId="12">
    <w:abstractNumId w:val="25"/>
  </w:num>
  <w:num w:numId="13">
    <w:abstractNumId w:val="9"/>
  </w:num>
  <w:num w:numId="14">
    <w:abstractNumId w:val="24"/>
  </w:num>
  <w:num w:numId="15">
    <w:abstractNumId w:val="1"/>
  </w:num>
  <w:num w:numId="16">
    <w:abstractNumId w:val="6"/>
  </w:num>
  <w:num w:numId="17">
    <w:abstractNumId w:val="4"/>
  </w:num>
  <w:num w:numId="18">
    <w:abstractNumId w:val="15"/>
  </w:num>
  <w:num w:numId="19">
    <w:abstractNumId w:val="30"/>
  </w:num>
  <w:num w:numId="20">
    <w:abstractNumId w:val="26"/>
  </w:num>
  <w:num w:numId="21">
    <w:abstractNumId w:val="2"/>
  </w:num>
  <w:num w:numId="22">
    <w:abstractNumId w:val="11"/>
  </w:num>
  <w:num w:numId="23">
    <w:abstractNumId w:val="20"/>
  </w:num>
  <w:num w:numId="24">
    <w:abstractNumId w:val="14"/>
  </w:num>
  <w:num w:numId="25">
    <w:abstractNumId w:val="0"/>
  </w:num>
  <w:num w:numId="26">
    <w:abstractNumId w:val="3"/>
  </w:num>
  <w:num w:numId="27">
    <w:abstractNumId w:val="10"/>
  </w:num>
  <w:num w:numId="28">
    <w:abstractNumId w:val="7"/>
  </w:num>
  <w:num w:numId="29">
    <w:abstractNumId w:val="12"/>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51"/>
    <w:rsid w:val="00036B65"/>
    <w:rsid w:val="0004249E"/>
    <w:rsid w:val="0009348C"/>
    <w:rsid w:val="000E03C3"/>
    <w:rsid w:val="00100466"/>
    <w:rsid w:val="00144143"/>
    <w:rsid w:val="002D51A2"/>
    <w:rsid w:val="004A31B2"/>
    <w:rsid w:val="00501F19"/>
    <w:rsid w:val="005032B5"/>
    <w:rsid w:val="00516715"/>
    <w:rsid w:val="00554B63"/>
    <w:rsid w:val="005A5A44"/>
    <w:rsid w:val="005E518E"/>
    <w:rsid w:val="005E58E2"/>
    <w:rsid w:val="005E5F49"/>
    <w:rsid w:val="005E64BE"/>
    <w:rsid w:val="005E6698"/>
    <w:rsid w:val="006804BB"/>
    <w:rsid w:val="006A4B52"/>
    <w:rsid w:val="006B0ACF"/>
    <w:rsid w:val="006F01E0"/>
    <w:rsid w:val="007D6272"/>
    <w:rsid w:val="00874E45"/>
    <w:rsid w:val="00877231"/>
    <w:rsid w:val="008A054A"/>
    <w:rsid w:val="008B4644"/>
    <w:rsid w:val="009133E3"/>
    <w:rsid w:val="00944A44"/>
    <w:rsid w:val="00970D2B"/>
    <w:rsid w:val="009D7690"/>
    <w:rsid w:val="00A34668"/>
    <w:rsid w:val="00B0219F"/>
    <w:rsid w:val="00C7465C"/>
    <w:rsid w:val="00CC70D2"/>
    <w:rsid w:val="00CD5021"/>
    <w:rsid w:val="00D54251"/>
    <w:rsid w:val="00D55AD8"/>
    <w:rsid w:val="00E10A24"/>
    <w:rsid w:val="00E23D34"/>
    <w:rsid w:val="00EB1D30"/>
    <w:rsid w:val="00ED401F"/>
    <w:rsid w:val="00F64697"/>
    <w:rsid w:val="00F87CCA"/>
    <w:rsid w:val="00FC1C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2CB9"/>
  <w15:docId w15:val="{4268956C-20D1-4946-AB02-577B9B13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4BB"/>
    <w:pPr>
      <w:spacing w:after="288" w:line="360" w:lineRule="auto"/>
    </w:pPr>
    <w:rPr>
      <w:rFonts w:eastAsia="Arial"/>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ListParagraph"/>
    <w:next w:val="Normal"/>
    <w:uiPriority w:val="9"/>
    <w:unhideWhenUsed/>
    <w:qFormat/>
    <w:rsid w:val="00554B63"/>
    <w:pPr>
      <w:numPr>
        <w:numId w:val="5"/>
      </w:numPr>
      <w:ind w:leftChars="30" w:left="426"/>
      <w:outlineLvl w:val="1"/>
    </w:pPr>
    <w:rPr>
      <w:b/>
      <w:bCs/>
      <w:sz w:val="24"/>
      <w:szCs w:val="24"/>
    </w:rPr>
  </w:style>
  <w:style w:type="paragraph" w:styleId="Heading3">
    <w:name w:val="heading 3"/>
    <w:basedOn w:val="ListParagraph"/>
    <w:next w:val="Normal"/>
    <w:uiPriority w:val="9"/>
    <w:unhideWhenUsed/>
    <w:qFormat/>
    <w:rsid w:val="00554B63"/>
    <w:pPr>
      <w:numPr>
        <w:numId w:val="13"/>
      </w:numPr>
      <w:ind w:leftChars="-34" w:left="285"/>
      <w:outlineLvl w:val="2"/>
    </w:pPr>
    <w:rPr>
      <w:b/>
      <w:bCs/>
      <w:lang w:val="en-US"/>
    </w:rPr>
  </w:style>
  <w:style w:type="paragraph" w:styleId="Heading4">
    <w:name w:val="heading 4"/>
    <w:aliases w:val="1) 제목 4"/>
    <w:basedOn w:val="Heading3"/>
    <w:next w:val="Normal"/>
    <w:uiPriority w:val="9"/>
    <w:unhideWhenUsed/>
    <w:qFormat/>
    <w:rsid w:val="002D51A2"/>
    <w:pPr>
      <w:numPr>
        <w:numId w:val="0"/>
      </w:numPr>
      <w:ind w:left="567" w:hanging="360"/>
      <w:outlineLvl w:val="3"/>
    </w:pPr>
  </w:style>
  <w:style w:type="paragraph" w:styleId="Heading5">
    <w:name w:val="heading 5"/>
    <w:basedOn w:val="ListParagraph"/>
    <w:next w:val="Normal"/>
    <w:uiPriority w:val="9"/>
    <w:unhideWhenUsed/>
    <w:qFormat/>
    <w:rsid w:val="002D51A2"/>
    <w:pPr>
      <w:numPr>
        <w:ilvl w:val="1"/>
        <w:numId w:val="13"/>
      </w:numPr>
      <w:ind w:leftChars="0" w:left="709"/>
      <w:outlineLvl w:val="4"/>
    </w:p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7465C"/>
    <w:pPr>
      <w:ind w:leftChars="400" w:left="800"/>
    </w:pPr>
  </w:style>
  <w:style w:type="character" w:styleId="Hyperlink">
    <w:name w:val="Hyperlink"/>
    <w:basedOn w:val="DefaultParagraphFont"/>
    <w:uiPriority w:val="99"/>
    <w:unhideWhenUsed/>
    <w:rsid w:val="00944A44"/>
    <w:rPr>
      <w:color w:val="0000FF" w:themeColor="hyperlink"/>
      <w:u w:val="single"/>
    </w:rPr>
  </w:style>
  <w:style w:type="character" w:customStyle="1" w:styleId="UnresolvedMention">
    <w:name w:val="Unresolved Mention"/>
    <w:basedOn w:val="DefaultParagraphFont"/>
    <w:uiPriority w:val="99"/>
    <w:semiHidden/>
    <w:unhideWhenUsed/>
    <w:rsid w:val="00944A44"/>
    <w:rPr>
      <w:color w:val="605E5C"/>
      <w:shd w:val="clear" w:color="auto" w:fill="E1DFDD"/>
    </w:rPr>
  </w:style>
  <w:style w:type="paragraph" w:customStyle="1" w:styleId="a5">
    <w:name w:val="각주"/>
    <w:basedOn w:val="FootnoteText"/>
    <w:qFormat/>
    <w:rsid w:val="00D55AD8"/>
    <w:pPr>
      <w:spacing w:line="200" w:lineRule="exact"/>
    </w:pPr>
    <w:rPr>
      <w:rFonts w:ascii="Malgun Gothic" w:eastAsia="Malgun Gothic" w:hAnsi="Malgun Gothic" w:cs="Malgun Gothic"/>
      <w:sz w:val="18"/>
      <w:szCs w:val="18"/>
      <w:lang w:val="en-US"/>
    </w:rPr>
  </w:style>
  <w:style w:type="character" w:styleId="FollowedHyperlink">
    <w:name w:val="FollowedHyperlink"/>
    <w:basedOn w:val="DefaultParagraphFont"/>
    <w:uiPriority w:val="99"/>
    <w:semiHidden/>
    <w:unhideWhenUsed/>
    <w:rsid w:val="00100466"/>
    <w:rPr>
      <w:color w:val="800080" w:themeColor="followedHyperlink"/>
      <w:u w:val="single"/>
    </w:rPr>
  </w:style>
  <w:style w:type="paragraph" w:styleId="FootnoteText">
    <w:name w:val="footnote text"/>
    <w:basedOn w:val="Normal"/>
    <w:link w:val="FootnoteTextChar"/>
    <w:uiPriority w:val="99"/>
    <w:semiHidden/>
    <w:unhideWhenUsed/>
    <w:rsid w:val="00D55AD8"/>
    <w:pPr>
      <w:snapToGrid w:val="0"/>
    </w:pPr>
  </w:style>
  <w:style w:type="character" w:customStyle="1" w:styleId="FootnoteTextChar">
    <w:name w:val="Footnote Text Char"/>
    <w:basedOn w:val="DefaultParagraphFont"/>
    <w:link w:val="FootnoteText"/>
    <w:uiPriority w:val="99"/>
    <w:semiHidden/>
    <w:rsid w:val="00D55AD8"/>
    <w:rPr>
      <w:rFonts w:eastAsia="Arial"/>
    </w:rPr>
  </w:style>
  <w:style w:type="numbering" w:customStyle="1" w:styleId="1">
    <w:name w:val="현재 목록1"/>
    <w:uiPriority w:val="99"/>
    <w:rsid w:val="006804B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6854">
      <w:bodyDiv w:val="1"/>
      <w:marLeft w:val="0"/>
      <w:marRight w:val="0"/>
      <w:marTop w:val="0"/>
      <w:marBottom w:val="0"/>
      <w:divBdr>
        <w:top w:val="none" w:sz="0" w:space="0" w:color="auto"/>
        <w:left w:val="none" w:sz="0" w:space="0" w:color="auto"/>
        <w:bottom w:val="none" w:sz="0" w:space="0" w:color="auto"/>
        <w:right w:val="none" w:sz="0" w:space="0" w:color="auto"/>
      </w:divBdr>
    </w:div>
    <w:div w:id="595408043">
      <w:bodyDiv w:val="1"/>
      <w:marLeft w:val="0"/>
      <w:marRight w:val="0"/>
      <w:marTop w:val="0"/>
      <w:marBottom w:val="0"/>
      <w:divBdr>
        <w:top w:val="none" w:sz="0" w:space="0" w:color="auto"/>
        <w:left w:val="none" w:sz="0" w:space="0" w:color="auto"/>
        <w:bottom w:val="none" w:sz="0" w:space="0" w:color="auto"/>
        <w:right w:val="none" w:sz="0" w:space="0" w:color="auto"/>
      </w:divBdr>
    </w:div>
    <w:div w:id="1116869225">
      <w:bodyDiv w:val="1"/>
      <w:marLeft w:val="0"/>
      <w:marRight w:val="0"/>
      <w:marTop w:val="0"/>
      <w:marBottom w:val="0"/>
      <w:divBdr>
        <w:top w:val="none" w:sz="0" w:space="0" w:color="auto"/>
        <w:left w:val="none" w:sz="0" w:space="0" w:color="auto"/>
        <w:bottom w:val="none" w:sz="0" w:space="0" w:color="auto"/>
        <w:right w:val="none" w:sz="0" w:space="0" w:color="auto"/>
      </w:divBdr>
    </w:div>
    <w:div w:id="1176727806">
      <w:bodyDiv w:val="1"/>
      <w:marLeft w:val="0"/>
      <w:marRight w:val="0"/>
      <w:marTop w:val="0"/>
      <w:marBottom w:val="0"/>
      <w:divBdr>
        <w:top w:val="none" w:sz="0" w:space="0" w:color="auto"/>
        <w:left w:val="none" w:sz="0" w:space="0" w:color="auto"/>
        <w:bottom w:val="none" w:sz="0" w:space="0" w:color="auto"/>
        <w:right w:val="none" w:sz="0" w:space="0" w:color="auto"/>
      </w:divBdr>
    </w:div>
    <w:div w:id="1198010065">
      <w:bodyDiv w:val="1"/>
      <w:marLeft w:val="0"/>
      <w:marRight w:val="0"/>
      <w:marTop w:val="0"/>
      <w:marBottom w:val="0"/>
      <w:divBdr>
        <w:top w:val="none" w:sz="0" w:space="0" w:color="auto"/>
        <w:left w:val="none" w:sz="0" w:space="0" w:color="auto"/>
        <w:bottom w:val="none" w:sz="0" w:space="0" w:color="auto"/>
        <w:right w:val="none" w:sz="0" w:space="0" w:color="auto"/>
      </w:divBdr>
    </w:div>
    <w:div w:id="1262759158">
      <w:bodyDiv w:val="1"/>
      <w:marLeft w:val="0"/>
      <w:marRight w:val="0"/>
      <w:marTop w:val="0"/>
      <w:marBottom w:val="0"/>
      <w:divBdr>
        <w:top w:val="none" w:sz="0" w:space="0" w:color="auto"/>
        <w:left w:val="none" w:sz="0" w:space="0" w:color="auto"/>
        <w:bottom w:val="none" w:sz="0" w:space="0" w:color="auto"/>
        <w:right w:val="none" w:sz="0" w:space="0" w:color="auto"/>
      </w:divBdr>
    </w:div>
    <w:div w:id="1320498309">
      <w:bodyDiv w:val="1"/>
      <w:marLeft w:val="0"/>
      <w:marRight w:val="0"/>
      <w:marTop w:val="0"/>
      <w:marBottom w:val="0"/>
      <w:divBdr>
        <w:top w:val="none" w:sz="0" w:space="0" w:color="auto"/>
        <w:left w:val="none" w:sz="0" w:space="0" w:color="auto"/>
        <w:bottom w:val="none" w:sz="0" w:space="0" w:color="auto"/>
        <w:right w:val="none" w:sz="0" w:space="0" w:color="auto"/>
      </w:divBdr>
    </w:div>
    <w:div w:id="142949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df@thekd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umo.or.kr" TargetMode="External"/><Relationship Id="rId2" Type="http://schemas.openxmlformats.org/officeDocument/2006/relationships/hyperlink" Target="http://www.footact.org" TargetMode="External"/><Relationship Id="rId1" Type="http://schemas.openxmlformats.org/officeDocument/2006/relationships/hyperlink" Target="http://www.thekdf.org" TargetMode="External"/><Relationship Id="rId6" Type="http://schemas.openxmlformats.org/officeDocument/2006/relationships/hyperlink" Target="http://www.kshb.or.kr/main" TargetMode="External"/><Relationship Id="rId5" Type="http://schemas.openxmlformats.org/officeDocument/2006/relationships/hyperlink" Target="http://www.kcil.or.kr" TargetMode="External"/><Relationship Id="rId4" Type="http://schemas.openxmlformats.org/officeDocument/2006/relationships/hyperlink" Target="http://www.sadd.or.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1239</Words>
  <Characters>7067</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VILLARREAL LOPEZ Carla</dc:creator>
  <cp:lastModifiedBy>VILLARREAL LOPEZ Carla</cp:lastModifiedBy>
  <cp:revision>2</cp:revision>
  <dcterms:created xsi:type="dcterms:W3CDTF">2022-07-27T09:32:00Z</dcterms:created>
  <dcterms:modified xsi:type="dcterms:W3CDTF">2022-07-27T09:32:00Z</dcterms:modified>
</cp:coreProperties>
</file>