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1653" w14:textId="77777777" w:rsidR="000C0D3F" w:rsidRDefault="00937157" w:rsidP="00E307D1">
      <w:pPr>
        <w:pStyle w:val="HChG"/>
        <w:rPr>
          <w:lang w:val="fr-CH"/>
        </w:rPr>
      </w:pPr>
      <w:r w:rsidRPr="004A1AF3">
        <w:tab/>
      </w:r>
      <w:r w:rsidRPr="000C0D3F">
        <w:rPr>
          <w:lang w:val="fr-CH"/>
        </w:rPr>
        <w:t>Annex</w:t>
      </w:r>
    </w:p>
    <w:p w14:paraId="335E020E" w14:textId="4EDB9090" w:rsidR="00937157" w:rsidRDefault="000C0D3F" w:rsidP="00587574">
      <w:pPr>
        <w:pStyle w:val="HChG"/>
        <w:rPr>
          <w:b w:val="0"/>
          <w:bCs/>
          <w:sz w:val="20"/>
          <w:szCs w:val="14"/>
          <w:lang w:val="fr-CH"/>
        </w:rPr>
      </w:pPr>
      <w:r>
        <w:rPr>
          <w:lang w:val="fr-CH"/>
        </w:rPr>
        <w:tab/>
      </w:r>
      <w:r w:rsidR="00165CCC">
        <w:rPr>
          <w:lang w:val="fr-CH"/>
        </w:rPr>
        <w:tab/>
      </w:r>
      <w:r w:rsidR="00DE39E9">
        <w:rPr>
          <w:lang w:val="fr-CH"/>
        </w:rPr>
        <w:t>C</w:t>
      </w:r>
      <w:r w:rsidR="00E307D1" w:rsidRPr="000C0D3F">
        <w:rPr>
          <w:lang w:val="fr-CH"/>
        </w:rPr>
        <w:t>urricula vitae</w:t>
      </w:r>
      <w:r w:rsidR="00937157" w:rsidRPr="000C0D3F">
        <w:rPr>
          <w:b w:val="0"/>
          <w:bCs/>
          <w:sz w:val="20"/>
          <w:szCs w:val="14"/>
          <w:lang w:val="fr-CH"/>
        </w:rPr>
        <w:footnoteReference w:customMarkFollows="1" w:id="2"/>
        <w:t>*</w:t>
      </w:r>
    </w:p>
    <w:p w14:paraId="0C459820" w14:textId="77777777" w:rsidR="00937157" w:rsidRPr="004F4CD1" w:rsidRDefault="00937157" w:rsidP="000A1907">
      <w:pPr>
        <w:pStyle w:val="H1G"/>
        <w:rPr>
          <w:lang w:val="fr-FR"/>
        </w:rPr>
      </w:pPr>
      <w:r w:rsidRPr="004F4CD1">
        <w:rPr>
          <w:lang w:val="fr-FR"/>
        </w:rPr>
        <w:tab/>
      </w:r>
      <w:r w:rsidRPr="004F4CD1">
        <w:rPr>
          <w:lang w:val="fr-FR"/>
        </w:rPr>
        <w:tab/>
      </w:r>
      <w:bookmarkStart w:id="0" w:name="_Hlk109212384"/>
      <w:r w:rsidRPr="004F4CD1">
        <w:rPr>
          <w:lang w:val="fr-FR"/>
        </w:rPr>
        <w:t>Javier Palummo (Uruguay)</w:t>
      </w:r>
    </w:p>
    <w:bookmarkEnd w:id="0"/>
    <w:p w14:paraId="75BA8B43" w14:textId="78413D1F" w:rsidR="00937157" w:rsidRPr="004A1AF3" w:rsidRDefault="00937157" w:rsidP="00D3120B">
      <w:pPr>
        <w:pStyle w:val="HChG"/>
      </w:pPr>
      <w:r w:rsidRPr="004F4CD1">
        <w:rPr>
          <w:lang w:val="fr-FR"/>
        </w:rPr>
        <w:tab/>
      </w:r>
      <w:r w:rsidRPr="004A1AF3">
        <w:t>I.</w:t>
      </w:r>
      <w:r w:rsidRPr="004A1AF3">
        <w:tab/>
        <w:t xml:space="preserve">Academic </w:t>
      </w:r>
      <w:r w:rsidR="0021489A">
        <w:t>s</w:t>
      </w:r>
      <w:r w:rsidRPr="004A1AF3">
        <w:t>tudies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727"/>
        <w:gridCol w:w="5643"/>
      </w:tblGrid>
      <w:tr w:rsidR="00D3120B" w:rsidRPr="004A1AF3" w14:paraId="4B609739" w14:textId="77777777" w:rsidTr="00B37683">
        <w:trPr>
          <w:tblHeader/>
        </w:trPr>
        <w:tc>
          <w:tcPr>
            <w:tcW w:w="1727" w:type="dxa"/>
            <w:tcBorders>
              <w:top w:val="nil"/>
              <w:bottom w:val="nil"/>
            </w:tcBorders>
            <w:shd w:val="clear" w:color="auto" w:fill="auto"/>
          </w:tcPr>
          <w:p w14:paraId="107D6E7F" w14:textId="2C4EB43D" w:rsidR="00937157" w:rsidRPr="004A1AF3" w:rsidRDefault="00937157" w:rsidP="00D3120B">
            <w:pPr>
              <w:suppressAutoHyphens w:val="0"/>
              <w:spacing w:before="40" w:after="120" w:line="220" w:lineRule="exact"/>
              <w:ind w:right="113"/>
              <w:rPr>
                <w:i/>
                <w:iCs/>
              </w:rPr>
            </w:pPr>
            <w:r w:rsidRPr="004A1AF3">
              <w:rPr>
                <w:i/>
                <w:iCs/>
              </w:rPr>
              <w:t>2017</w:t>
            </w:r>
            <w:r w:rsidR="0056494D" w:rsidRPr="004A1AF3">
              <w:rPr>
                <w:i/>
                <w:iCs/>
              </w:rPr>
              <w:t>–</w:t>
            </w:r>
            <w:r w:rsidRPr="004A1AF3">
              <w:rPr>
                <w:i/>
                <w:iCs/>
              </w:rPr>
              <w:t>22</w:t>
            </w:r>
          </w:p>
        </w:tc>
        <w:tc>
          <w:tcPr>
            <w:tcW w:w="5643" w:type="dxa"/>
            <w:tcBorders>
              <w:top w:val="nil"/>
              <w:bottom w:val="nil"/>
            </w:tcBorders>
            <w:shd w:val="clear" w:color="auto" w:fill="auto"/>
          </w:tcPr>
          <w:p w14:paraId="3704BA01" w14:textId="77777777" w:rsidR="00937157" w:rsidRPr="004A1AF3" w:rsidRDefault="00937157" w:rsidP="00D3120B">
            <w:pPr>
              <w:suppressAutoHyphens w:val="0"/>
              <w:spacing w:before="40" w:after="120" w:line="220" w:lineRule="exact"/>
              <w:ind w:right="113"/>
            </w:pPr>
            <w:r w:rsidRPr="004A1AF3">
              <w:rPr>
                <w:b/>
                <w:bCs/>
              </w:rPr>
              <w:t>PhD in Human Rights</w:t>
            </w:r>
            <w:r w:rsidRPr="004A1AF3">
              <w:t>. Institute of Justice and Human Rights of the National University of Lanús, UNLA (Argentina). Thesis in process;</w:t>
            </w:r>
          </w:p>
        </w:tc>
      </w:tr>
      <w:tr w:rsidR="00D3120B" w:rsidRPr="004A1AF3" w14:paraId="0F1DB434" w14:textId="77777777" w:rsidTr="00B37683">
        <w:trPr>
          <w:tblHeader/>
        </w:trPr>
        <w:tc>
          <w:tcPr>
            <w:tcW w:w="1727" w:type="dxa"/>
            <w:tcBorders>
              <w:top w:val="nil"/>
            </w:tcBorders>
            <w:shd w:val="clear" w:color="auto" w:fill="auto"/>
          </w:tcPr>
          <w:p w14:paraId="53963DE6" w14:textId="617F8472" w:rsidR="00937157" w:rsidRPr="004A1AF3" w:rsidRDefault="00937157" w:rsidP="00D3120B">
            <w:pPr>
              <w:suppressAutoHyphens w:val="0"/>
              <w:spacing w:before="40" w:after="120" w:line="220" w:lineRule="exact"/>
              <w:ind w:right="113"/>
              <w:rPr>
                <w:i/>
                <w:iCs/>
              </w:rPr>
            </w:pPr>
            <w:r w:rsidRPr="004A1AF3">
              <w:rPr>
                <w:i/>
                <w:iCs/>
              </w:rPr>
              <w:t>2004</w:t>
            </w:r>
            <w:r w:rsidR="0056494D" w:rsidRPr="004A1AF3">
              <w:rPr>
                <w:i/>
                <w:iCs/>
              </w:rPr>
              <w:t>–</w:t>
            </w:r>
            <w:r w:rsidRPr="004A1AF3">
              <w:rPr>
                <w:i/>
                <w:iCs/>
              </w:rPr>
              <w:t>08</w:t>
            </w:r>
          </w:p>
        </w:tc>
        <w:tc>
          <w:tcPr>
            <w:tcW w:w="5643" w:type="dxa"/>
            <w:tcBorders>
              <w:top w:val="nil"/>
            </w:tcBorders>
            <w:shd w:val="clear" w:color="auto" w:fill="auto"/>
          </w:tcPr>
          <w:p w14:paraId="45D17260" w14:textId="630DB9CA" w:rsidR="00937157" w:rsidRPr="004A1AF3" w:rsidRDefault="00937157" w:rsidP="00D3120B">
            <w:pPr>
              <w:suppressAutoHyphens w:val="0"/>
              <w:spacing w:before="40" w:after="120" w:line="220" w:lineRule="exact"/>
              <w:ind w:right="113"/>
            </w:pPr>
            <w:r w:rsidRPr="004A1AF3">
              <w:rPr>
                <w:b/>
                <w:bCs/>
              </w:rPr>
              <w:t>MA in Public Policies and Children</w:t>
            </w:r>
            <w:r w:rsidR="00E97638">
              <w:rPr>
                <w:b/>
                <w:bCs/>
              </w:rPr>
              <w:t>’</w:t>
            </w:r>
            <w:r w:rsidRPr="004A1AF3">
              <w:rPr>
                <w:b/>
                <w:bCs/>
              </w:rPr>
              <w:t>s Rights</w:t>
            </w:r>
            <w:r w:rsidRPr="004A1AF3">
              <w:t>. Faculties of Social Sciences, Law, Medicine, Psychology of the University of the Republic, UDELAR (Uruguay);</w:t>
            </w:r>
          </w:p>
        </w:tc>
      </w:tr>
      <w:tr w:rsidR="00D3120B" w:rsidRPr="004A1AF3" w14:paraId="1A7DD9AD" w14:textId="77777777" w:rsidTr="00D3120B">
        <w:tc>
          <w:tcPr>
            <w:tcW w:w="1727" w:type="dxa"/>
            <w:shd w:val="clear" w:color="auto" w:fill="auto"/>
          </w:tcPr>
          <w:p w14:paraId="0196F4E1" w14:textId="14DA9C97" w:rsidR="00937157" w:rsidRPr="004A1AF3" w:rsidRDefault="00937157" w:rsidP="00D3120B">
            <w:pPr>
              <w:suppressAutoHyphens w:val="0"/>
              <w:spacing w:before="40" w:after="120" w:line="220" w:lineRule="exact"/>
              <w:ind w:right="113"/>
              <w:rPr>
                <w:i/>
                <w:iCs/>
              </w:rPr>
            </w:pPr>
            <w:r w:rsidRPr="004A1AF3">
              <w:rPr>
                <w:i/>
                <w:iCs/>
              </w:rPr>
              <w:t>2004</w:t>
            </w:r>
            <w:r w:rsidR="0056494D" w:rsidRPr="004A1AF3">
              <w:rPr>
                <w:i/>
                <w:iCs/>
              </w:rPr>
              <w:t>–</w:t>
            </w:r>
            <w:r w:rsidRPr="004A1AF3">
              <w:rPr>
                <w:i/>
                <w:iCs/>
              </w:rPr>
              <w:t>07</w:t>
            </w:r>
          </w:p>
        </w:tc>
        <w:tc>
          <w:tcPr>
            <w:tcW w:w="5643" w:type="dxa"/>
            <w:shd w:val="clear" w:color="auto" w:fill="auto"/>
          </w:tcPr>
          <w:p w14:paraId="173D01E1" w14:textId="4F0B1C80" w:rsidR="00937157" w:rsidRPr="004A1AF3" w:rsidRDefault="00937157" w:rsidP="00D3120B">
            <w:pPr>
              <w:suppressAutoHyphens w:val="0"/>
              <w:spacing w:before="40" w:after="120" w:line="220" w:lineRule="exact"/>
              <w:ind w:right="113"/>
            </w:pPr>
            <w:r w:rsidRPr="004A1AF3">
              <w:rPr>
                <w:b/>
                <w:bCs/>
              </w:rPr>
              <w:t>Specialization Diploma in Children</w:t>
            </w:r>
            <w:r w:rsidR="00E97638">
              <w:rPr>
                <w:b/>
                <w:bCs/>
              </w:rPr>
              <w:t>’</w:t>
            </w:r>
            <w:r w:rsidRPr="004A1AF3">
              <w:rPr>
                <w:b/>
                <w:bCs/>
              </w:rPr>
              <w:t>s Rights and Public Policies</w:t>
            </w:r>
            <w:r w:rsidRPr="004A1AF3">
              <w:t>, Faculties of Social Sciences, Law, Medicine and Psychology of the University of the Republic, UDELAR (Uruguay);</w:t>
            </w:r>
          </w:p>
        </w:tc>
      </w:tr>
      <w:tr w:rsidR="00D3120B" w:rsidRPr="004A1AF3" w14:paraId="580F9A19" w14:textId="77777777" w:rsidTr="00B37683">
        <w:tc>
          <w:tcPr>
            <w:tcW w:w="1727" w:type="dxa"/>
            <w:tcBorders>
              <w:bottom w:val="nil"/>
            </w:tcBorders>
            <w:shd w:val="clear" w:color="auto" w:fill="auto"/>
          </w:tcPr>
          <w:p w14:paraId="69148505" w14:textId="5DD5D2F2" w:rsidR="00937157" w:rsidRPr="004A1AF3" w:rsidRDefault="00937157" w:rsidP="00D3120B">
            <w:pPr>
              <w:suppressAutoHyphens w:val="0"/>
              <w:spacing w:before="40" w:after="120" w:line="220" w:lineRule="exact"/>
              <w:ind w:right="113"/>
              <w:rPr>
                <w:i/>
                <w:iCs/>
              </w:rPr>
            </w:pPr>
            <w:r w:rsidRPr="004A1AF3">
              <w:rPr>
                <w:i/>
                <w:iCs/>
              </w:rPr>
              <w:t>1994</w:t>
            </w:r>
            <w:r w:rsidR="0056494D" w:rsidRPr="004A1AF3">
              <w:rPr>
                <w:i/>
                <w:iCs/>
              </w:rPr>
              <w:t>–</w:t>
            </w:r>
            <w:r w:rsidRPr="004A1AF3">
              <w:rPr>
                <w:i/>
                <w:iCs/>
              </w:rPr>
              <w:t>01</w:t>
            </w:r>
          </w:p>
        </w:tc>
        <w:tc>
          <w:tcPr>
            <w:tcW w:w="5643" w:type="dxa"/>
            <w:tcBorders>
              <w:bottom w:val="nil"/>
            </w:tcBorders>
            <w:shd w:val="clear" w:color="auto" w:fill="auto"/>
          </w:tcPr>
          <w:p w14:paraId="533FF7BB" w14:textId="77777777" w:rsidR="00937157" w:rsidRPr="004A1AF3" w:rsidRDefault="00937157" w:rsidP="00D3120B">
            <w:pPr>
              <w:suppressAutoHyphens w:val="0"/>
              <w:spacing w:before="40" w:after="120" w:line="220" w:lineRule="exact"/>
              <w:ind w:right="113"/>
            </w:pPr>
            <w:r w:rsidRPr="004A1AF3">
              <w:rPr>
                <w:b/>
                <w:bCs/>
              </w:rPr>
              <w:t>Doctorate in Law and Social Sciences</w:t>
            </w:r>
            <w:r w:rsidRPr="004A1AF3">
              <w:t>, Faculty of Law of the University of the Republic, UDELAR (Uruguay);</w:t>
            </w:r>
          </w:p>
        </w:tc>
      </w:tr>
      <w:tr w:rsidR="00D3120B" w:rsidRPr="004A1AF3" w14:paraId="7AE91FA4" w14:textId="77777777" w:rsidTr="00B37683">
        <w:tc>
          <w:tcPr>
            <w:tcW w:w="1727" w:type="dxa"/>
            <w:tcBorders>
              <w:top w:val="nil"/>
              <w:bottom w:val="nil"/>
            </w:tcBorders>
            <w:shd w:val="clear" w:color="auto" w:fill="auto"/>
          </w:tcPr>
          <w:p w14:paraId="699790C3" w14:textId="00E9FE5F" w:rsidR="00937157" w:rsidRPr="004A1AF3" w:rsidRDefault="00937157" w:rsidP="00D3120B">
            <w:pPr>
              <w:suppressAutoHyphens w:val="0"/>
              <w:spacing w:before="40" w:after="120" w:line="220" w:lineRule="exact"/>
              <w:ind w:right="113"/>
              <w:rPr>
                <w:i/>
                <w:iCs/>
              </w:rPr>
            </w:pPr>
            <w:r w:rsidRPr="004A1AF3">
              <w:rPr>
                <w:i/>
                <w:iCs/>
              </w:rPr>
              <w:t>1994</w:t>
            </w:r>
            <w:r w:rsidR="0056494D" w:rsidRPr="004A1AF3">
              <w:rPr>
                <w:i/>
                <w:iCs/>
              </w:rPr>
              <w:t>–</w:t>
            </w:r>
            <w:r w:rsidRPr="004A1AF3">
              <w:rPr>
                <w:i/>
                <w:iCs/>
              </w:rPr>
              <w:t>98</w:t>
            </w:r>
          </w:p>
        </w:tc>
        <w:tc>
          <w:tcPr>
            <w:tcW w:w="5643" w:type="dxa"/>
            <w:tcBorders>
              <w:top w:val="nil"/>
              <w:bottom w:val="nil"/>
            </w:tcBorders>
            <w:shd w:val="clear" w:color="auto" w:fill="auto"/>
          </w:tcPr>
          <w:p w14:paraId="76998751" w14:textId="77777777" w:rsidR="00937157" w:rsidRPr="004A1AF3" w:rsidRDefault="00937157" w:rsidP="00D3120B">
            <w:pPr>
              <w:suppressAutoHyphens w:val="0"/>
              <w:spacing w:before="40" w:after="120" w:line="220" w:lineRule="exact"/>
              <w:ind w:right="113"/>
            </w:pPr>
            <w:r w:rsidRPr="004A1AF3">
              <w:rPr>
                <w:b/>
                <w:bCs/>
              </w:rPr>
              <w:t>Law Degree</w:t>
            </w:r>
            <w:r w:rsidRPr="004A1AF3">
              <w:t>, Faculty of Law of the University of the Republic, UDELAR (Uruguay).</w:t>
            </w:r>
          </w:p>
        </w:tc>
      </w:tr>
    </w:tbl>
    <w:p w14:paraId="5C6FC219" w14:textId="77777777" w:rsidR="00937157" w:rsidRPr="004A1AF3" w:rsidRDefault="00937157" w:rsidP="00D3120B">
      <w:pPr>
        <w:pStyle w:val="HChG"/>
      </w:pPr>
      <w:r w:rsidRPr="004A1AF3">
        <w:tab/>
        <w:t>II.</w:t>
      </w:r>
      <w:r w:rsidRPr="004A1AF3">
        <w:tab/>
        <w:t>Recent work experience</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727"/>
        <w:gridCol w:w="5643"/>
      </w:tblGrid>
      <w:tr w:rsidR="00D3120B" w:rsidRPr="004A1AF3" w14:paraId="4B009F6F" w14:textId="77777777" w:rsidTr="00B37683">
        <w:trPr>
          <w:tblHeader/>
        </w:trPr>
        <w:tc>
          <w:tcPr>
            <w:tcW w:w="1727" w:type="dxa"/>
            <w:tcBorders>
              <w:top w:val="nil"/>
              <w:bottom w:val="nil"/>
            </w:tcBorders>
            <w:shd w:val="clear" w:color="auto" w:fill="auto"/>
          </w:tcPr>
          <w:p w14:paraId="46762C19" w14:textId="77777777" w:rsidR="00937157" w:rsidRPr="004A1AF3" w:rsidRDefault="00937157" w:rsidP="00D3120B">
            <w:pPr>
              <w:suppressAutoHyphens w:val="0"/>
              <w:spacing w:before="40" w:after="120" w:line="220" w:lineRule="exact"/>
              <w:ind w:right="113"/>
              <w:rPr>
                <w:i/>
                <w:iCs/>
              </w:rPr>
            </w:pPr>
            <w:r w:rsidRPr="004A1AF3">
              <w:rPr>
                <w:i/>
                <w:iCs/>
              </w:rPr>
              <w:t>2022</w:t>
            </w:r>
          </w:p>
        </w:tc>
        <w:tc>
          <w:tcPr>
            <w:tcW w:w="5643" w:type="dxa"/>
            <w:tcBorders>
              <w:top w:val="nil"/>
              <w:bottom w:val="nil"/>
            </w:tcBorders>
            <w:shd w:val="clear" w:color="auto" w:fill="auto"/>
          </w:tcPr>
          <w:p w14:paraId="3E868DF4" w14:textId="77777777" w:rsidR="00937157" w:rsidRPr="004A1AF3" w:rsidRDefault="00937157" w:rsidP="00D3120B">
            <w:pPr>
              <w:suppressAutoHyphens w:val="0"/>
              <w:spacing w:before="40" w:after="120" w:line="220" w:lineRule="exact"/>
              <w:ind w:right="113"/>
            </w:pPr>
            <w:r w:rsidRPr="004A1AF3">
              <w:rPr>
                <w:b/>
                <w:bCs/>
              </w:rPr>
              <w:t>Vice-Chairman of the Advisory Committee of the United Nations Human Rights Council</w:t>
            </w:r>
            <w:r w:rsidRPr="004A1AF3">
              <w:t>. Geneva, Switzerland;</w:t>
            </w:r>
          </w:p>
        </w:tc>
      </w:tr>
      <w:tr w:rsidR="00D3120B" w:rsidRPr="004A1AF3" w14:paraId="1D309A21" w14:textId="77777777" w:rsidTr="00B37683">
        <w:trPr>
          <w:tblHeader/>
        </w:trPr>
        <w:tc>
          <w:tcPr>
            <w:tcW w:w="1727" w:type="dxa"/>
            <w:tcBorders>
              <w:top w:val="nil"/>
            </w:tcBorders>
            <w:shd w:val="clear" w:color="auto" w:fill="auto"/>
          </w:tcPr>
          <w:p w14:paraId="71F13E56" w14:textId="77777777" w:rsidR="00937157" w:rsidRPr="004A1AF3" w:rsidRDefault="00937157" w:rsidP="00D3120B">
            <w:pPr>
              <w:suppressAutoHyphens w:val="0"/>
              <w:spacing w:before="40" w:after="120" w:line="220" w:lineRule="exact"/>
              <w:ind w:right="113"/>
              <w:rPr>
                <w:i/>
                <w:iCs/>
              </w:rPr>
            </w:pPr>
            <w:r w:rsidRPr="004A1AF3">
              <w:rPr>
                <w:i/>
                <w:iCs/>
              </w:rPr>
              <w:t>2021</w:t>
            </w:r>
          </w:p>
        </w:tc>
        <w:tc>
          <w:tcPr>
            <w:tcW w:w="5643" w:type="dxa"/>
            <w:tcBorders>
              <w:top w:val="nil"/>
            </w:tcBorders>
            <w:shd w:val="clear" w:color="auto" w:fill="auto"/>
          </w:tcPr>
          <w:p w14:paraId="4EF1615A" w14:textId="77777777" w:rsidR="00937157" w:rsidRPr="004A1AF3" w:rsidRDefault="00937157" w:rsidP="00D3120B">
            <w:pPr>
              <w:suppressAutoHyphens w:val="0"/>
              <w:spacing w:before="40" w:after="120" w:line="220" w:lineRule="exact"/>
              <w:ind w:right="113"/>
            </w:pPr>
            <w:r w:rsidRPr="004A1AF3">
              <w:rPr>
                <w:b/>
                <w:bCs/>
              </w:rPr>
              <w:t>Rapporteur of the Advisory Committee of the United Nations Human Rights Council</w:t>
            </w:r>
            <w:r w:rsidRPr="004A1AF3">
              <w:t>. Geneva, Switzerland;</w:t>
            </w:r>
          </w:p>
        </w:tc>
      </w:tr>
      <w:tr w:rsidR="00D3120B" w:rsidRPr="004A1AF3" w14:paraId="0389B733" w14:textId="77777777" w:rsidTr="00D3120B">
        <w:tc>
          <w:tcPr>
            <w:tcW w:w="1727" w:type="dxa"/>
            <w:shd w:val="clear" w:color="auto" w:fill="auto"/>
          </w:tcPr>
          <w:p w14:paraId="6C95B50F" w14:textId="77777777" w:rsidR="00937157" w:rsidRPr="004A1AF3" w:rsidRDefault="00937157" w:rsidP="00D3120B">
            <w:pPr>
              <w:suppressAutoHyphens w:val="0"/>
              <w:spacing w:before="40" w:after="120" w:line="220" w:lineRule="exact"/>
              <w:ind w:right="113"/>
              <w:rPr>
                <w:i/>
                <w:iCs/>
              </w:rPr>
            </w:pPr>
            <w:r w:rsidRPr="004A1AF3">
              <w:rPr>
                <w:i/>
                <w:iCs/>
              </w:rPr>
              <w:t>2019</w:t>
            </w:r>
          </w:p>
        </w:tc>
        <w:tc>
          <w:tcPr>
            <w:tcW w:w="5643" w:type="dxa"/>
            <w:shd w:val="clear" w:color="auto" w:fill="auto"/>
          </w:tcPr>
          <w:p w14:paraId="464FEED2" w14:textId="77777777" w:rsidR="00937157" w:rsidRPr="004A1AF3" w:rsidRDefault="00937157" w:rsidP="00D3120B">
            <w:pPr>
              <w:suppressAutoHyphens w:val="0"/>
              <w:spacing w:before="40" w:after="120" w:line="220" w:lineRule="exact"/>
              <w:ind w:right="113"/>
            </w:pPr>
            <w:r w:rsidRPr="004A1AF3">
              <w:rPr>
                <w:b/>
                <w:bCs/>
              </w:rPr>
              <w:t>Member of the Advisory Committee of the United Nations Human Rights Council</w:t>
            </w:r>
            <w:r w:rsidRPr="004A1AF3">
              <w:t>. Geneva, Switzerland;</w:t>
            </w:r>
          </w:p>
        </w:tc>
      </w:tr>
      <w:tr w:rsidR="00D3120B" w:rsidRPr="004A1AF3" w14:paraId="220C1E6C" w14:textId="77777777" w:rsidTr="00D3120B">
        <w:tc>
          <w:tcPr>
            <w:tcW w:w="1727" w:type="dxa"/>
            <w:shd w:val="clear" w:color="auto" w:fill="auto"/>
          </w:tcPr>
          <w:p w14:paraId="5545C8E3" w14:textId="6BB311B6" w:rsidR="00937157" w:rsidRPr="004A1AF3" w:rsidRDefault="00937157" w:rsidP="00D3120B">
            <w:pPr>
              <w:suppressAutoHyphens w:val="0"/>
              <w:spacing w:before="40" w:after="120" w:line="220" w:lineRule="exact"/>
              <w:ind w:right="113"/>
              <w:rPr>
                <w:i/>
                <w:iCs/>
              </w:rPr>
            </w:pPr>
            <w:r w:rsidRPr="004A1AF3">
              <w:rPr>
                <w:i/>
                <w:iCs/>
              </w:rPr>
              <w:t>2015</w:t>
            </w:r>
            <w:r w:rsidR="007117B3">
              <w:rPr>
                <w:i/>
                <w:iCs/>
              </w:rPr>
              <w:t>–</w:t>
            </w:r>
          </w:p>
        </w:tc>
        <w:tc>
          <w:tcPr>
            <w:tcW w:w="5643" w:type="dxa"/>
            <w:shd w:val="clear" w:color="auto" w:fill="auto"/>
          </w:tcPr>
          <w:p w14:paraId="7138907E" w14:textId="77777777" w:rsidR="00937157" w:rsidRPr="004A1AF3" w:rsidRDefault="00937157" w:rsidP="00D3120B">
            <w:pPr>
              <w:suppressAutoHyphens w:val="0"/>
              <w:spacing w:before="40" w:after="120" w:line="220" w:lineRule="exact"/>
              <w:ind w:right="113"/>
            </w:pPr>
            <w:r w:rsidRPr="004A1AF3">
              <w:rPr>
                <w:b/>
                <w:bCs/>
              </w:rPr>
              <w:t>Director of Research and Information Management</w:t>
            </w:r>
            <w:r w:rsidRPr="004A1AF3">
              <w:t>. Institute of Public Policies on Human Rights of MERCOSUR (IPPDH), Buenos Aires, Argentina;</w:t>
            </w:r>
          </w:p>
        </w:tc>
      </w:tr>
      <w:tr w:rsidR="00D3120B" w:rsidRPr="004A1AF3" w14:paraId="70429457" w14:textId="77777777" w:rsidTr="00D3120B">
        <w:tc>
          <w:tcPr>
            <w:tcW w:w="1727" w:type="dxa"/>
            <w:shd w:val="clear" w:color="auto" w:fill="auto"/>
          </w:tcPr>
          <w:p w14:paraId="45F7D765" w14:textId="6C4F8C9E" w:rsidR="00937157" w:rsidRPr="004A1AF3" w:rsidRDefault="00937157" w:rsidP="00D3120B">
            <w:pPr>
              <w:suppressAutoHyphens w:val="0"/>
              <w:spacing w:before="40" w:after="120" w:line="220" w:lineRule="exact"/>
              <w:ind w:right="113"/>
              <w:rPr>
                <w:i/>
                <w:iCs/>
              </w:rPr>
            </w:pPr>
            <w:r w:rsidRPr="004A1AF3">
              <w:rPr>
                <w:i/>
                <w:iCs/>
              </w:rPr>
              <w:t>2012</w:t>
            </w:r>
            <w:r w:rsidR="0056494D" w:rsidRPr="004A1AF3">
              <w:rPr>
                <w:i/>
                <w:iCs/>
              </w:rPr>
              <w:t>–</w:t>
            </w:r>
            <w:r w:rsidRPr="004A1AF3">
              <w:rPr>
                <w:i/>
                <w:iCs/>
              </w:rPr>
              <w:t>14</w:t>
            </w:r>
          </w:p>
        </w:tc>
        <w:tc>
          <w:tcPr>
            <w:tcW w:w="5643" w:type="dxa"/>
            <w:shd w:val="clear" w:color="auto" w:fill="auto"/>
          </w:tcPr>
          <w:p w14:paraId="500F2671" w14:textId="5CF8CECC" w:rsidR="00937157" w:rsidRPr="004A1AF3" w:rsidRDefault="00937157" w:rsidP="00D3120B">
            <w:pPr>
              <w:suppressAutoHyphens w:val="0"/>
              <w:spacing w:before="40" w:after="120" w:line="220" w:lineRule="exact"/>
              <w:ind w:right="113"/>
            </w:pPr>
            <w:r w:rsidRPr="004A1AF3">
              <w:rPr>
                <w:b/>
                <w:bCs/>
              </w:rPr>
              <w:t>National Technical Assistant</w:t>
            </w:r>
            <w:r w:rsidRPr="004A1AF3">
              <w:t xml:space="preserve">. Project of the United Nations Entity for Gender Equality and the Empowerment of Women (UN WOMEN) and </w:t>
            </w:r>
            <w:r w:rsidRPr="004A1AF3">
              <w:rPr>
                <w:b/>
                <w:bCs/>
              </w:rPr>
              <w:t>Head of department of Regulation of Gender Policy</w:t>
            </w:r>
            <w:r w:rsidRPr="004A1AF3">
              <w:t xml:space="preserve"> in National Women</w:t>
            </w:r>
            <w:r w:rsidR="00E97638">
              <w:t>’</w:t>
            </w:r>
            <w:r w:rsidRPr="004A1AF3">
              <w:t>s Institute (INMUJERES) Uruguay;</w:t>
            </w:r>
          </w:p>
        </w:tc>
      </w:tr>
      <w:tr w:rsidR="00D3120B" w:rsidRPr="004A1AF3" w14:paraId="2B25A729" w14:textId="77777777" w:rsidTr="00D3120B">
        <w:tc>
          <w:tcPr>
            <w:tcW w:w="1727" w:type="dxa"/>
            <w:shd w:val="clear" w:color="auto" w:fill="auto"/>
          </w:tcPr>
          <w:p w14:paraId="4541BEE6" w14:textId="1FB554A9" w:rsidR="00937157" w:rsidRPr="004A1AF3" w:rsidRDefault="00937157" w:rsidP="00D3120B">
            <w:pPr>
              <w:suppressAutoHyphens w:val="0"/>
              <w:spacing w:before="40" w:after="120" w:line="220" w:lineRule="exact"/>
              <w:ind w:right="113"/>
              <w:rPr>
                <w:i/>
                <w:iCs/>
              </w:rPr>
            </w:pPr>
            <w:r w:rsidRPr="004A1AF3">
              <w:rPr>
                <w:i/>
                <w:iCs/>
              </w:rPr>
              <w:t>2009</w:t>
            </w:r>
            <w:r w:rsidR="0056494D" w:rsidRPr="004A1AF3">
              <w:rPr>
                <w:i/>
                <w:iCs/>
              </w:rPr>
              <w:t>–</w:t>
            </w:r>
            <w:r w:rsidRPr="004A1AF3">
              <w:rPr>
                <w:i/>
                <w:iCs/>
              </w:rPr>
              <w:t xml:space="preserve">2014 </w:t>
            </w:r>
          </w:p>
        </w:tc>
        <w:tc>
          <w:tcPr>
            <w:tcW w:w="5643" w:type="dxa"/>
            <w:shd w:val="clear" w:color="auto" w:fill="auto"/>
          </w:tcPr>
          <w:p w14:paraId="0645499C" w14:textId="4C9C60B5" w:rsidR="00937157" w:rsidRPr="004A1AF3" w:rsidRDefault="00937157" w:rsidP="00D3120B">
            <w:pPr>
              <w:suppressAutoHyphens w:val="0"/>
              <w:spacing w:before="40" w:after="120" w:line="220" w:lineRule="exact"/>
              <w:ind w:right="113"/>
            </w:pPr>
            <w:r w:rsidRPr="004A1AF3">
              <w:rPr>
                <w:b/>
                <w:bCs/>
              </w:rPr>
              <w:t>Regional Expert/Consultant</w:t>
            </w:r>
            <w:r w:rsidRPr="004A1AF3">
              <w:t>. United Nations Children</w:t>
            </w:r>
            <w:r w:rsidR="00E97638">
              <w:t>’</w:t>
            </w:r>
            <w:r w:rsidRPr="004A1AF3">
              <w:t>s Fund (UNICEF), Regional Office for Latin America and the Caribbean, Panama;</w:t>
            </w:r>
          </w:p>
        </w:tc>
      </w:tr>
      <w:tr w:rsidR="00D3120B" w:rsidRPr="004A1AF3" w14:paraId="789F7F42" w14:textId="77777777" w:rsidTr="00B37683">
        <w:tc>
          <w:tcPr>
            <w:tcW w:w="1727" w:type="dxa"/>
            <w:tcBorders>
              <w:bottom w:val="nil"/>
            </w:tcBorders>
            <w:shd w:val="clear" w:color="auto" w:fill="auto"/>
          </w:tcPr>
          <w:p w14:paraId="5E8AA04B" w14:textId="11DD09CB" w:rsidR="00937157" w:rsidRPr="004A1AF3" w:rsidRDefault="00937157" w:rsidP="00D3120B">
            <w:pPr>
              <w:suppressAutoHyphens w:val="0"/>
              <w:spacing w:before="40" w:after="120" w:line="220" w:lineRule="exact"/>
              <w:ind w:right="113"/>
              <w:rPr>
                <w:i/>
                <w:iCs/>
              </w:rPr>
            </w:pPr>
            <w:r w:rsidRPr="004A1AF3">
              <w:rPr>
                <w:i/>
                <w:iCs/>
              </w:rPr>
              <w:t>2009</w:t>
            </w:r>
            <w:r w:rsidR="0056494D" w:rsidRPr="004A1AF3">
              <w:rPr>
                <w:i/>
                <w:iCs/>
              </w:rPr>
              <w:t>–</w:t>
            </w:r>
            <w:r w:rsidRPr="004A1AF3">
              <w:rPr>
                <w:i/>
                <w:iCs/>
              </w:rPr>
              <w:t>11</w:t>
            </w:r>
          </w:p>
        </w:tc>
        <w:tc>
          <w:tcPr>
            <w:tcW w:w="5643" w:type="dxa"/>
            <w:tcBorders>
              <w:bottom w:val="nil"/>
            </w:tcBorders>
            <w:shd w:val="clear" w:color="auto" w:fill="auto"/>
          </w:tcPr>
          <w:p w14:paraId="07343344" w14:textId="23C4912F" w:rsidR="00937157" w:rsidRPr="004A1AF3" w:rsidRDefault="00937157" w:rsidP="00D3120B">
            <w:pPr>
              <w:suppressAutoHyphens w:val="0"/>
              <w:spacing w:before="40" w:after="120" w:line="220" w:lineRule="exact"/>
              <w:ind w:right="113"/>
            </w:pPr>
            <w:r w:rsidRPr="004A1AF3">
              <w:rPr>
                <w:b/>
                <w:bCs/>
              </w:rPr>
              <w:t>Specialist in Children</w:t>
            </w:r>
            <w:r w:rsidR="00E97638">
              <w:rPr>
                <w:b/>
                <w:bCs/>
              </w:rPr>
              <w:t>’</w:t>
            </w:r>
            <w:r w:rsidRPr="004A1AF3">
              <w:rPr>
                <w:b/>
                <w:bCs/>
              </w:rPr>
              <w:t>s Rights</w:t>
            </w:r>
            <w:r w:rsidRPr="004A1AF3">
              <w:t>. Inter-American Commission on Human Rights (IACHR) of the Organization of American States (OAS), Washington DC;</w:t>
            </w:r>
          </w:p>
        </w:tc>
      </w:tr>
      <w:tr w:rsidR="00D3120B" w:rsidRPr="004A1AF3" w14:paraId="2FD9F995" w14:textId="77777777" w:rsidTr="00B37683">
        <w:tc>
          <w:tcPr>
            <w:tcW w:w="1727" w:type="dxa"/>
            <w:tcBorders>
              <w:top w:val="nil"/>
              <w:bottom w:val="nil"/>
            </w:tcBorders>
            <w:shd w:val="clear" w:color="auto" w:fill="auto"/>
          </w:tcPr>
          <w:p w14:paraId="19E1F2BA" w14:textId="77777777" w:rsidR="00937157" w:rsidRPr="004A1AF3" w:rsidRDefault="00937157" w:rsidP="00D3120B">
            <w:pPr>
              <w:suppressAutoHyphens w:val="0"/>
              <w:spacing w:before="40" w:after="120" w:line="220" w:lineRule="exact"/>
              <w:ind w:right="113"/>
              <w:rPr>
                <w:i/>
                <w:iCs/>
              </w:rPr>
            </w:pPr>
            <w:r w:rsidRPr="004A1AF3">
              <w:rPr>
                <w:i/>
                <w:iCs/>
              </w:rPr>
              <w:t>2009</w:t>
            </w:r>
          </w:p>
        </w:tc>
        <w:tc>
          <w:tcPr>
            <w:tcW w:w="5643" w:type="dxa"/>
            <w:tcBorders>
              <w:top w:val="nil"/>
              <w:bottom w:val="nil"/>
            </w:tcBorders>
            <w:shd w:val="clear" w:color="auto" w:fill="auto"/>
          </w:tcPr>
          <w:p w14:paraId="0C2984D8" w14:textId="77777777" w:rsidR="00937157" w:rsidRPr="004A1AF3" w:rsidRDefault="00937157" w:rsidP="00D3120B">
            <w:pPr>
              <w:suppressAutoHyphens w:val="0"/>
              <w:spacing w:before="40" w:after="120" w:line="220" w:lineRule="exact"/>
              <w:ind w:right="113"/>
            </w:pPr>
            <w:r w:rsidRPr="004A1AF3">
              <w:rPr>
                <w:b/>
                <w:bCs/>
              </w:rPr>
              <w:t>Lawyer specialised in the rights of children and adolescents</w:t>
            </w:r>
            <w:r w:rsidRPr="004A1AF3">
              <w:t>. Institute of Children and Adolescent of Uruguay (INAU), Montevideo, Uruguay.</w:t>
            </w:r>
          </w:p>
        </w:tc>
      </w:tr>
    </w:tbl>
    <w:p w14:paraId="58489BEC" w14:textId="5CC99438" w:rsidR="00937157" w:rsidRPr="004A1AF3" w:rsidRDefault="00937157" w:rsidP="00D3120B">
      <w:pPr>
        <w:pStyle w:val="HChG"/>
      </w:pPr>
      <w:r w:rsidRPr="004A1AF3">
        <w:lastRenderedPageBreak/>
        <w:tab/>
        <w:t>III.</w:t>
      </w:r>
      <w:r w:rsidRPr="004A1AF3">
        <w:tab/>
        <w:t>Recent academic work experience</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727"/>
        <w:gridCol w:w="5643"/>
      </w:tblGrid>
      <w:tr w:rsidR="00D3120B" w:rsidRPr="004A1AF3" w14:paraId="0B4CB776" w14:textId="77777777" w:rsidTr="00EB3F60">
        <w:tc>
          <w:tcPr>
            <w:tcW w:w="1727" w:type="dxa"/>
            <w:tcBorders>
              <w:top w:val="nil"/>
              <w:bottom w:val="nil"/>
            </w:tcBorders>
            <w:shd w:val="clear" w:color="auto" w:fill="auto"/>
          </w:tcPr>
          <w:p w14:paraId="7492A1EB" w14:textId="77777777" w:rsidR="00937157" w:rsidRPr="004A1AF3" w:rsidRDefault="00937157" w:rsidP="00D3120B">
            <w:pPr>
              <w:suppressAutoHyphens w:val="0"/>
              <w:spacing w:before="40" w:after="120" w:line="220" w:lineRule="exact"/>
              <w:ind w:right="113"/>
              <w:rPr>
                <w:i/>
                <w:iCs/>
              </w:rPr>
            </w:pPr>
            <w:r w:rsidRPr="004A1AF3">
              <w:rPr>
                <w:i/>
                <w:iCs/>
              </w:rPr>
              <w:t>2020</w:t>
            </w:r>
          </w:p>
        </w:tc>
        <w:tc>
          <w:tcPr>
            <w:tcW w:w="5643" w:type="dxa"/>
            <w:tcBorders>
              <w:top w:val="nil"/>
              <w:bottom w:val="nil"/>
            </w:tcBorders>
            <w:shd w:val="clear" w:color="auto" w:fill="auto"/>
          </w:tcPr>
          <w:p w14:paraId="385AB7DF" w14:textId="77777777" w:rsidR="00937157" w:rsidRPr="004A1AF3" w:rsidRDefault="00937157" w:rsidP="00D3120B">
            <w:pPr>
              <w:suppressAutoHyphens w:val="0"/>
              <w:spacing w:before="40" w:after="120" w:line="220" w:lineRule="exact"/>
              <w:ind w:right="113"/>
            </w:pPr>
            <w:r w:rsidRPr="004A1AF3">
              <w:t xml:space="preserve">Academic member of the </w:t>
            </w:r>
            <w:r w:rsidRPr="004A1AF3">
              <w:rPr>
                <w:b/>
                <w:bCs/>
              </w:rPr>
              <w:t>Jean Monnet Center of Excellence</w:t>
            </w:r>
            <w:r w:rsidRPr="004A1AF3">
              <w:t xml:space="preserve"> of the </w:t>
            </w:r>
            <w:r w:rsidRPr="004A1AF3">
              <w:rPr>
                <w:b/>
                <w:bCs/>
              </w:rPr>
              <w:t>Faculty of Law of the University of Buenos Aires (UBA)</w:t>
            </w:r>
            <w:r w:rsidRPr="004A1AF3">
              <w:t>;</w:t>
            </w:r>
          </w:p>
        </w:tc>
      </w:tr>
      <w:tr w:rsidR="00D3120B" w:rsidRPr="004A1AF3" w14:paraId="6BDA3425" w14:textId="77777777" w:rsidTr="00EB3F60">
        <w:tc>
          <w:tcPr>
            <w:tcW w:w="1727" w:type="dxa"/>
            <w:tcBorders>
              <w:top w:val="nil"/>
              <w:bottom w:val="nil"/>
            </w:tcBorders>
            <w:shd w:val="clear" w:color="auto" w:fill="auto"/>
          </w:tcPr>
          <w:p w14:paraId="1926EE5B" w14:textId="4DD84CE3" w:rsidR="00937157" w:rsidRPr="004A1AF3" w:rsidRDefault="00937157" w:rsidP="00D3120B">
            <w:pPr>
              <w:suppressAutoHyphens w:val="0"/>
              <w:spacing w:before="40" w:after="120" w:line="220" w:lineRule="exact"/>
              <w:ind w:right="113"/>
              <w:rPr>
                <w:i/>
                <w:iCs/>
              </w:rPr>
            </w:pPr>
            <w:r w:rsidRPr="004A1AF3">
              <w:rPr>
                <w:i/>
                <w:iCs/>
              </w:rPr>
              <w:t>2019</w:t>
            </w:r>
            <w:r w:rsidR="0056494D" w:rsidRPr="004A1AF3">
              <w:rPr>
                <w:i/>
                <w:iCs/>
              </w:rPr>
              <w:t>–</w:t>
            </w:r>
          </w:p>
        </w:tc>
        <w:tc>
          <w:tcPr>
            <w:tcW w:w="5643" w:type="dxa"/>
            <w:tcBorders>
              <w:top w:val="nil"/>
              <w:bottom w:val="nil"/>
            </w:tcBorders>
            <w:shd w:val="clear" w:color="auto" w:fill="auto"/>
          </w:tcPr>
          <w:p w14:paraId="0592CD4A" w14:textId="77777777" w:rsidR="00937157" w:rsidRPr="004A1AF3" w:rsidRDefault="00937157" w:rsidP="00D3120B">
            <w:pPr>
              <w:suppressAutoHyphens w:val="0"/>
              <w:spacing w:before="40" w:after="120" w:line="220" w:lineRule="exact"/>
              <w:ind w:right="113"/>
            </w:pPr>
            <w:r w:rsidRPr="004A1AF3">
              <w:t xml:space="preserve">Associate Professor of the </w:t>
            </w:r>
            <w:r w:rsidRPr="004A1AF3">
              <w:rPr>
                <w:b/>
                <w:bCs/>
              </w:rPr>
              <w:t>Institute of Human Rights, Faculty of Law</w:t>
            </w:r>
            <w:r w:rsidRPr="004A1AF3">
              <w:t xml:space="preserve"> of the </w:t>
            </w:r>
            <w:r w:rsidRPr="004A1AF3">
              <w:rPr>
                <w:b/>
                <w:bCs/>
              </w:rPr>
              <w:t>University of the Republic (UDELAR)</w:t>
            </w:r>
            <w:r w:rsidRPr="004A1AF3">
              <w:t>;</w:t>
            </w:r>
          </w:p>
        </w:tc>
      </w:tr>
      <w:tr w:rsidR="00D3120B" w:rsidRPr="004A1AF3" w14:paraId="2D63B31C" w14:textId="77777777" w:rsidTr="004D258D">
        <w:tc>
          <w:tcPr>
            <w:tcW w:w="1727" w:type="dxa"/>
            <w:tcBorders>
              <w:top w:val="nil"/>
              <w:bottom w:val="nil"/>
            </w:tcBorders>
            <w:shd w:val="clear" w:color="auto" w:fill="auto"/>
          </w:tcPr>
          <w:p w14:paraId="2D0F6C59" w14:textId="73842E2F" w:rsidR="00937157" w:rsidRPr="004A1AF3" w:rsidRDefault="00937157" w:rsidP="00D3120B">
            <w:pPr>
              <w:suppressAutoHyphens w:val="0"/>
              <w:spacing w:before="40" w:after="120" w:line="220" w:lineRule="exact"/>
              <w:ind w:right="113"/>
              <w:rPr>
                <w:i/>
                <w:iCs/>
              </w:rPr>
            </w:pPr>
            <w:r w:rsidRPr="004A1AF3">
              <w:rPr>
                <w:i/>
                <w:iCs/>
              </w:rPr>
              <w:t>2019</w:t>
            </w:r>
            <w:r w:rsidR="0056494D" w:rsidRPr="004A1AF3">
              <w:rPr>
                <w:i/>
                <w:iCs/>
              </w:rPr>
              <w:t>–</w:t>
            </w:r>
            <w:r w:rsidRPr="004A1AF3">
              <w:rPr>
                <w:i/>
                <w:iCs/>
              </w:rPr>
              <w:t>22</w:t>
            </w:r>
          </w:p>
        </w:tc>
        <w:tc>
          <w:tcPr>
            <w:tcW w:w="5643" w:type="dxa"/>
            <w:tcBorders>
              <w:top w:val="nil"/>
              <w:bottom w:val="nil"/>
            </w:tcBorders>
            <w:shd w:val="clear" w:color="auto" w:fill="auto"/>
          </w:tcPr>
          <w:p w14:paraId="43BC6461" w14:textId="43B3C895" w:rsidR="00937157" w:rsidRPr="004A1AF3" w:rsidRDefault="00937157" w:rsidP="00D3120B">
            <w:pPr>
              <w:suppressAutoHyphens w:val="0"/>
              <w:spacing w:before="40" w:after="120" w:line="220" w:lineRule="exact"/>
              <w:ind w:right="113"/>
            </w:pPr>
            <w:r w:rsidRPr="004A1AF3">
              <w:t xml:space="preserve">Visiting professor in the </w:t>
            </w:r>
            <w:r w:rsidRPr="004A1AF3">
              <w:rPr>
                <w:b/>
                <w:bCs/>
              </w:rPr>
              <w:t>Master</w:t>
            </w:r>
            <w:r w:rsidR="00E97638">
              <w:rPr>
                <w:b/>
                <w:bCs/>
              </w:rPr>
              <w:t>’</w:t>
            </w:r>
            <w:r w:rsidRPr="004A1AF3">
              <w:rPr>
                <w:b/>
                <w:bCs/>
              </w:rPr>
              <w:t>s Degree in Human Rights and Democratization in Latin America and the Caribbean</w:t>
            </w:r>
            <w:r w:rsidRPr="004A1AF3">
              <w:t xml:space="preserve"> of the </w:t>
            </w:r>
            <w:r w:rsidRPr="004A1AF3">
              <w:rPr>
                <w:b/>
                <w:bCs/>
              </w:rPr>
              <w:t>National University of San Martín (UNSAM)</w:t>
            </w:r>
            <w:r w:rsidRPr="004A1AF3">
              <w:t>, Buenos Aires, Argentina;</w:t>
            </w:r>
          </w:p>
        </w:tc>
      </w:tr>
      <w:tr w:rsidR="00D3120B" w:rsidRPr="004A1AF3" w14:paraId="46D6D43E" w14:textId="77777777" w:rsidTr="004D258D">
        <w:tc>
          <w:tcPr>
            <w:tcW w:w="1727" w:type="dxa"/>
            <w:tcBorders>
              <w:top w:val="nil"/>
            </w:tcBorders>
            <w:shd w:val="clear" w:color="auto" w:fill="auto"/>
          </w:tcPr>
          <w:p w14:paraId="64DAF2CA" w14:textId="06A58833" w:rsidR="00937157" w:rsidRPr="004A1AF3" w:rsidRDefault="00937157" w:rsidP="00D3120B">
            <w:pPr>
              <w:suppressAutoHyphens w:val="0"/>
              <w:spacing w:before="40" w:after="120" w:line="220" w:lineRule="exact"/>
              <w:ind w:right="113"/>
              <w:rPr>
                <w:i/>
                <w:iCs/>
              </w:rPr>
            </w:pPr>
            <w:r w:rsidRPr="004A1AF3">
              <w:rPr>
                <w:i/>
                <w:iCs/>
              </w:rPr>
              <w:t>2019</w:t>
            </w:r>
            <w:r w:rsidR="0056494D" w:rsidRPr="004A1AF3">
              <w:rPr>
                <w:i/>
                <w:iCs/>
              </w:rPr>
              <w:t>–</w:t>
            </w:r>
          </w:p>
        </w:tc>
        <w:tc>
          <w:tcPr>
            <w:tcW w:w="5643" w:type="dxa"/>
            <w:tcBorders>
              <w:top w:val="nil"/>
            </w:tcBorders>
            <w:shd w:val="clear" w:color="auto" w:fill="auto"/>
          </w:tcPr>
          <w:p w14:paraId="3EA1235F" w14:textId="77777777" w:rsidR="00937157" w:rsidRPr="004A1AF3" w:rsidRDefault="00937157" w:rsidP="00D3120B">
            <w:pPr>
              <w:suppressAutoHyphens w:val="0"/>
              <w:spacing w:before="40" w:after="120" w:line="220" w:lineRule="exact"/>
              <w:ind w:right="113"/>
            </w:pPr>
            <w:r w:rsidRPr="004A1AF3">
              <w:t xml:space="preserve">Professor of the Diploma in Criminal Procedural Law of the </w:t>
            </w:r>
            <w:r w:rsidRPr="004A1AF3">
              <w:rPr>
                <w:b/>
                <w:bCs/>
              </w:rPr>
              <w:t>Criminal Thought Association (APP)</w:t>
            </w:r>
            <w:r w:rsidRPr="004A1AF3">
              <w:t xml:space="preserve"> and </w:t>
            </w:r>
            <w:r w:rsidRPr="004A1AF3">
              <w:rPr>
                <w:b/>
                <w:bCs/>
              </w:rPr>
              <w:t>National University of José C. Paz (UNPAZ)</w:t>
            </w:r>
            <w:r w:rsidRPr="004A1AF3">
              <w:t>, course on the Juvenile Criminal Process;</w:t>
            </w:r>
          </w:p>
        </w:tc>
      </w:tr>
      <w:tr w:rsidR="00D3120B" w:rsidRPr="004A1AF3" w14:paraId="31686104" w14:textId="77777777" w:rsidTr="00D3120B">
        <w:tc>
          <w:tcPr>
            <w:tcW w:w="1727" w:type="dxa"/>
            <w:shd w:val="clear" w:color="auto" w:fill="auto"/>
          </w:tcPr>
          <w:p w14:paraId="3A993B78" w14:textId="5970F419" w:rsidR="00937157" w:rsidRPr="004A1AF3" w:rsidRDefault="00937157" w:rsidP="00D3120B">
            <w:pPr>
              <w:suppressAutoHyphens w:val="0"/>
              <w:spacing w:before="40" w:after="120" w:line="220" w:lineRule="exact"/>
              <w:ind w:right="113"/>
              <w:rPr>
                <w:i/>
                <w:iCs/>
              </w:rPr>
            </w:pPr>
            <w:r w:rsidRPr="004A1AF3">
              <w:rPr>
                <w:i/>
                <w:iCs/>
              </w:rPr>
              <w:t>2018</w:t>
            </w:r>
            <w:r w:rsidR="0056494D" w:rsidRPr="004A1AF3">
              <w:rPr>
                <w:i/>
                <w:iCs/>
              </w:rPr>
              <w:t>–</w:t>
            </w:r>
          </w:p>
        </w:tc>
        <w:tc>
          <w:tcPr>
            <w:tcW w:w="5643" w:type="dxa"/>
            <w:shd w:val="clear" w:color="auto" w:fill="auto"/>
          </w:tcPr>
          <w:p w14:paraId="238B487B" w14:textId="365959CC" w:rsidR="00937157" w:rsidRPr="004A1AF3" w:rsidRDefault="00937157" w:rsidP="00D3120B">
            <w:pPr>
              <w:suppressAutoHyphens w:val="0"/>
              <w:spacing w:before="40" w:after="120" w:line="220" w:lineRule="exact"/>
              <w:ind w:right="113"/>
            </w:pPr>
            <w:r w:rsidRPr="004A1AF3">
              <w:t xml:space="preserve">Professor of Diplomas, Seminars and Postgraduate Courses at the </w:t>
            </w:r>
            <w:r w:rsidRPr="004A1AF3">
              <w:rPr>
                <w:b/>
                <w:bCs/>
              </w:rPr>
              <w:t>Faculty of Law of the University of Buenos Aires (UBA)</w:t>
            </w:r>
            <w:r w:rsidRPr="004A1AF3">
              <w:t xml:space="preserve">: Diplomas in </w:t>
            </w:r>
            <w:r w:rsidR="00E97638">
              <w:t>“</w:t>
            </w:r>
            <w:r w:rsidRPr="004A1AF3">
              <w:t>Equality and Non-Discrimination</w:t>
            </w:r>
            <w:r w:rsidR="00E97638">
              <w:t>”</w:t>
            </w:r>
            <w:r w:rsidRPr="004A1AF3">
              <w:t xml:space="preserve">; </w:t>
            </w:r>
            <w:r w:rsidR="00E97638">
              <w:t>“</w:t>
            </w:r>
            <w:r w:rsidRPr="004A1AF3">
              <w:t>Migrants and Refugee Protection</w:t>
            </w:r>
            <w:r w:rsidR="00E97638">
              <w:t>”</w:t>
            </w:r>
            <w:r w:rsidRPr="004A1AF3">
              <w:t xml:space="preserve">; and academic activities of the Jean Monnet Centre of Excellence </w:t>
            </w:r>
            <w:r w:rsidR="00E97638">
              <w:t>“</w:t>
            </w:r>
            <w:r w:rsidRPr="004A1AF3">
              <w:t>Regional Integration and Human Rights</w:t>
            </w:r>
            <w:r w:rsidR="00E97638">
              <w:t>”</w:t>
            </w:r>
            <w:r w:rsidRPr="004A1AF3">
              <w:t>;</w:t>
            </w:r>
          </w:p>
        </w:tc>
      </w:tr>
      <w:tr w:rsidR="00D3120B" w:rsidRPr="004A1AF3" w14:paraId="40DD443F" w14:textId="77777777" w:rsidTr="00D3120B">
        <w:tc>
          <w:tcPr>
            <w:tcW w:w="1727" w:type="dxa"/>
            <w:shd w:val="clear" w:color="auto" w:fill="auto"/>
          </w:tcPr>
          <w:p w14:paraId="0C5E9120" w14:textId="1252C79F" w:rsidR="00937157" w:rsidRPr="004A1AF3" w:rsidRDefault="00937157" w:rsidP="00D3120B">
            <w:pPr>
              <w:suppressAutoHyphens w:val="0"/>
              <w:spacing w:before="40" w:after="120" w:line="220" w:lineRule="exact"/>
              <w:ind w:right="113"/>
              <w:rPr>
                <w:i/>
                <w:iCs/>
              </w:rPr>
            </w:pPr>
            <w:r w:rsidRPr="004A1AF3">
              <w:rPr>
                <w:i/>
                <w:iCs/>
              </w:rPr>
              <w:t>2015</w:t>
            </w:r>
            <w:r w:rsidR="0056494D" w:rsidRPr="004A1AF3">
              <w:rPr>
                <w:i/>
                <w:iCs/>
              </w:rPr>
              <w:t>–</w:t>
            </w:r>
          </w:p>
        </w:tc>
        <w:tc>
          <w:tcPr>
            <w:tcW w:w="5643" w:type="dxa"/>
            <w:shd w:val="clear" w:color="auto" w:fill="auto"/>
          </w:tcPr>
          <w:p w14:paraId="22F234B8" w14:textId="77777777" w:rsidR="00937157" w:rsidRPr="004A1AF3" w:rsidRDefault="00937157" w:rsidP="00D3120B">
            <w:pPr>
              <w:suppressAutoHyphens w:val="0"/>
              <w:spacing w:before="40" w:after="120" w:line="220" w:lineRule="exact"/>
              <w:ind w:right="113"/>
            </w:pPr>
            <w:r w:rsidRPr="004A1AF3">
              <w:t xml:space="preserve">Director of the International School </w:t>
            </w:r>
            <w:r w:rsidRPr="004A1AF3">
              <w:rPr>
                <w:b/>
                <w:bCs/>
              </w:rPr>
              <w:t>of the Institute of Public Policies on Human Rights of MERCOSUR</w:t>
            </w:r>
            <w:r w:rsidRPr="004A1AF3">
              <w:t>, Buenos Aires, Argentina;</w:t>
            </w:r>
          </w:p>
        </w:tc>
      </w:tr>
      <w:tr w:rsidR="00D3120B" w:rsidRPr="004A1AF3" w14:paraId="1249855D" w14:textId="77777777" w:rsidTr="00D3120B">
        <w:tc>
          <w:tcPr>
            <w:tcW w:w="1727" w:type="dxa"/>
            <w:shd w:val="clear" w:color="auto" w:fill="auto"/>
          </w:tcPr>
          <w:p w14:paraId="038FF0B8" w14:textId="5F7BBB3B" w:rsidR="00937157" w:rsidRPr="004A1AF3" w:rsidRDefault="00937157" w:rsidP="00D3120B">
            <w:pPr>
              <w:suppressAutoHyphens w:val="0"/>
              <w:spacing w:before="40" w:after="120" w:line="220" w:lineRule="exact"/>
              <w:ind w:right="113"/>
              <w:rPr>
                <w:i/>
                <w:iCs/>
              </w:rPr>
            </w:pPr>
            <w:r w:rsidRPr="004A1AF3">
              <w:rPr>
                <w:i/>
                <w:iCs/>
              </w:rPr>
              <w:t>2015</w:t>
            </w:r>
            <w:r w:rsidR="0056494D" w:rsidRPr="004A1AF3">
              <w:rPr>
                <w:i/>
                <w:iCs/>
              </w:rPr>
              <w:t>–</w:t>
            </w:r>
          </w:p>
        </w:tc>
        <w:tc>
          <w:tcPr>
            <w:tcW w:w="5643" w:type="dxa"/>
            <w:shd w:val="clear" w:color="auto" w:fill="auto"/>
          </w:tcPr>
          <w:p w14:paraId="44126F6D" w14:textId="77777777" w:rsidR="00937157" w:rsidRPr="004A1AF3" w:rsidRDefault="00937157" w:rsidP="00D3120B">
            <w:pPr>
              <w:suppressAutoHyphens w:val="0"/>
              <w:spacing w:before="40" w:after="120" w:line="220" w:lineRule="exact"/>
              <w:ind w:right="113"/>
            </w:pPr>
            <w:r w:rsidRPr="004A1AF3">
              <w:t xml:space="preserve">Visiting Professor of the Inter-American Course on International Migration of the </w:t>
            </w:r>
            <w:r w:rsidRPr="004A1AF3">
              <w:rPr>
                <w:b/>
                <w:bCs/>
              </w:rPr>
              <w:t>International Organization for Migration (IOM)</w:t>
            </w:r>
            <w:r w:rsidRPr="004A1AF3">
              <w:t>, Regional Office for South America, Buenos Aires, Argentina;</w:t>
            </w:r>
          </w:p>
        </w:tc>
      </w:tr>
      <w:tr w:rsidR="00D3120B" w:rsidRPr="004A1AF3" w14:paraId="62747FB2" w14:textId="77777777" w:rsidTr="00DD5703">
        <w:tc>
          <w:tcPr>
            <w:tcW w:w="1727" w:type="dxa"/>
            <w:tcBorders>
              <w:bottom w:val="nil"/>
            </w:tcBorders>
            <w:shd w:val="clear" w:color="auto" w:fill="auto"/>
          </w:tcPr>
          <w:p w14:paraId="298DEF51" w14:textId="03D4A82E" w:rsidR="00937157" w:rsidRPr="004A1AF3" w:rsidRDefault="00937157" w:rsidP="00D3120B">
            <w:pPr>
              <w:suppressAutoHyphens w:val="0"/>
              <w:spacing w:before="40" w:after="120" w:line="220" w:lineRule="exact"/>
              <w:ind w:right="113"/>
              <w:rPr>
                <w:i/>
                <w:iCs/>
              </w:rPr>
            </w:pPr>
            <w:r w:rsidRPr="004A1AF3">
              <w:rPr>
                <w:i/>
                <w:iCs/>
              </w:rPr>
              <w:t>2012</w:t>
            </w:r>
            <w:r w:rsidR="0056494D" w:rsidRPr="004A1AF3">
              <w:rPr>
                <w:i/>
                <w:iCs/>
              </w:rPr>
              <w:t>–</w:t>
            </w:r>
            <w:r w:rsidRPr="004A1AF3">
              <w:rPr>
                <w:i/>
                <w:iCs/>
              </w:rPr>
              <w:t>14</w:t>
            </w:r>
          </w:p>
        </w:tc>
        <w:tc>
          <w:tcPr>
            <w:tcW w:w="5643" w:type="dxa"/>
            <w:tcBorders>
              <w:bottom w:val="nil"/>
            </w:tcBorders>
            <w:shd w:val="clear" w:color="auto" w:fill="auto"/>
          </w:tcPr>
          <w:p w14:paraId="4522C88C" w14:textId="77777777" w:rsidR="00937157" w:rsidRPr="004A1AF3" w:rsidRDefault="00937157" w:rsidP="00D3120B">
            <w:pPr>
              <w:suppressAutoHyphens w:val="0"/>
              <w:spacing w:before="40" w:after="120" w:line="220" w:lineRule="exact"/>
              <w:ind w:right="113"/>
            </w:pPr>
            <w:r w:rsidRPr="004A1AF3">
              <w:t xml:space="preserve">Professor in the Technician and Degree in Social Education, of the </w:t>
            </w:r>
            <w:r w:rsidRPr="004A1AF3">
              <w:rPr>
                <w:b/>
                <w:bCs/>
              </w:rPr>
              <w:t>Faculty of Human Sciences of the Catholic University of Uruguay Dámaso Antonio Larrañaga (UCUDAL)</w:t>
            </w:r>
            <w:r w:rsidRPr="004A1AF3">
              <w:t xml:space="preserve"> and in the career of Social Educator of the Council of </w:t>
            </w:r>
            <w:r w:rsidRPr="004A1AF3">
              <w:rPr>
                <w:b/>
                <w:bCs/>
              </w:rPr>
              <w:t>Training in Education, National Administration of Public Education (ANEP)</w:t>
            </w:r>
            <w:r w:rsidRPr="004A1AF3">
              <w:t>, Uruguay;</w:t>
            </w:r>
          </w:p>
        </w:tc>
      </w:tr>
      <w:tr w:rsidR="00D3120B" w:rsidRPr="004A1AF3" w14:paraId="73550B34" w14:textId="77777777" w:rsidTr="00DD5703">
        <w:tc>
          <w:tcPr>
            <w:tcW w:w="1727" w:type="dxa"/>
            <w:tcBorders>
              <w:top w:val="nil"/>
              <w:bottom w:val="nil"/>
            </w:tcBorders>
            <w:shd w:val="clear" w:color="auto" w:fill="auto"/>
          </w:tcPr>
          <w:p w14:paraId="2A53AB87" w14:textId="31C55A00" w:rsidR="00937157" w:rsidRPr="004A1AF3" w:rsidRDefault="00937157" w:rsidP="00D3120B">
            <w:pPr>
              <w:suppressAutoHyphens w:val="0"/>
              <w:spacing w:before="40" w:after="120" w:line="220" w:lineRule="exact"/>
              <w:ind w:right="113"/>
              <w:rPr>
                <w:i/>
                <w:iCs/>
              </w:rPr>
            </w:pPr>
            <w:r w:rsidRPr="004A1AF3">
              <w:rPr>
                <w:i/>
                <w:iCs/>
              </w:rPr>
              <w:t>2011</w:t>
            </w:r>
            <w:r w:rsidR="0056494D" w:rsidRPr="004A1AF3">
              <w:rPr>
                <w:i/>
                <w:iCs/>
              </w:rPr>
              <w:t>–</w:t>
            </w:r>
            <w:r w:rsidRPr="004A1AF3">
              <w:rPr>
                <w:i/>
                <w:iCs/>
              </w:rPr>
              <w:t>13</w:t>
            </w:r>
          </w:p>
        </w:tc>
        <w:tc>
          <w:tcPr>
            <w:tcW w:w="5643" w:type="dxa"/>
            <w:tcBorders>
              <w:top w:val="nil"/>
              <w:bottom w:val="nil"/>
            </w:tcBorders>
            <w:shd w:val="clear" w:color="auto" w:fill="auto"/>
          </w:tcPr>
          <w:p w14:paraId="66E8280B" w14:textId="77777777" w:rsidR="00937157" w:rsidRPr="004A1AF3" w:rsidRDefault="00937157" w:rsidP="00D3120B">
            <w:pPr>
              <w:suppressAutoHyphens w:val="0"/>
              <w:spacing w:before="40" w:after="120" w:line="220" w:lineRule="exact"/>
              <w:ind w:right="113"/>
            </w:pPr>
            <w:r w:rsidRPr="004A1AF3">
              <w:t xml:space="preserve">Professor at the </w:t>
            </w:r>
            <w:r w:rsidRPr="004A1AF3">
              <w:rPr>
                <w:b/>
                <w:bCs/>
              </w:rPr>
              <w:t>National School of Public Administration</w:t>
            </w:r>
            <w:r w:rsidRPr="004A1AF3">
              <w:t>, National Civil Service Office, Presidency of the Republic, Uruguay.</w:t>
            </w:r>
          </w:p>
        </w:tc>
      </w:tr>
    </w:tbl>
    <w:p w14:paraId="209BC899" w14:textId="7EF6AD17" w:rsidR="00937157" w:rsidRPr="004A1AF3" w:rsidRDefault="00937157" w:rsidP="00D3120B">
      <w:pPr>
        <w:pStyle w:val="HChG"/>
      </w:pPr>
      <w:r w:rsidRPr="004A1AF3">
        <w:tab/>
        <w:t>IV.</w:t>
      </w:r>
      <w:r w:rsidRPr="004A1AF3">
        <w:tab/>
        <w:t>Other courses (selection)</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727"/>
        <w:gridCol w:w="5643"/>
      </w:tblGrid>
      <w:tr w:rsidR="00D3120B" w:rsidRPr="004A1AF3" w14:paraId="0D3313E8" w14:textId="77777777" w:rsidTr="00DD5703">
        <w:tc>
          <w:tcPr>
            <w:tcW w:w="1727" w:type="dxa"/>
            <w:tcBorders>
              <w:top w:val="nil"/>
              <w:bottom w:val="nil"/>
            </w:tcBorders>
            <w:shd w:val="clear" w:color="auto" w:fill="auto"/>
          </w:tcPr>
          <w:p w14:paraId="136B4F0E" w14:textId="77777777" w:rsidR="00937157" w:rsidRPr="004A1AF3" w:rsidRDefault="00937157" w:rsidP="00D3120B">
            <w:pPr>
              <w:suppressAutoHyphens w:val="0"/>
              <w:spacing w:before="40" w:after="120" w:line="220" w:lineRule="exact"/>
              <w:ind w:right="113"/>
              <w:rPr>
                <w:i/>
                <w:iCs/>
              </w:rPr>
            </w:pPr>
            <w:r w:rsidRPr="004A1AF3">
              <w:rPr>
                <w:i/>
                <w:iCs/>
              </w:rPr>
              <w:t>2022</w:t>
            </w:r>
          </w:p>
        </w:tc>
        <w:tc>
          <w:tcPr>
            <w:tcW w:w="5643" w:type="dxa"/>
            <w:tcBorders>
              <w:top w:val="nil"/>
              <w:bottom w:val="nil"/>
            </w:tcBorders>
            <w:shd w:val="clear" w:color="auto" w:fill="auto"/>
          </w:tcPr>
          <w:p w14:paraId="16C48BC7" w14:textId="77777777" w:rsidR="00937157" w:rsidRPr="004A1AF3" w:rsidRDefault="00937157" w:rsidP="00D3120B">
            <w:pPr>
              <w:suppressAutoHyphens w:val="0"/>
              <w:spacing w:before="40" w:after="120" w:line="220" w:lineRule="exact"/>
              <w:ind w:right="113"/>
            </w:pPr>
            <w:r w:rsidRPr="004A1AF3">
              <w:rPr>
                <w:b/>
                <w:bCs/>
              </w:rPr>
              <w:t>Results-based management (RBM)</w:t>
            </w:r>
            <w:r w:rsidRPr="004A1AF3">
              <w:t>, Division of Data, Analytics, Planning and Monitoring, UNICEF, e-course;</w:t>
            </w:r>
          </w:p>
        </w:tc>
      </w:tr>
      <w:tr w:rsidR="00D3120B" w:rsidRPr="004A1AF3" w14:paraId="387C847B" w14:textId="77777777" w:rsidTr="00DD5703">
        <w:tc>
          <w:tcPr>
            <w:tcW w:w="1727" w:type="dxa"/>
            <w:tcBorders>
              <w:top w:val="nil"/>
            </w:tcBorders>
            <w:shd w:val="clear" w:color="auto" w:fill="auto"/>
          </w:tcPr>
          <w:p w14:paraId="7B8F711C" w14:textId="447668A6" w:rsidR="00937157" w:rsidRPr="004A1AF3" w:rsidRDefault="00937157" w:rsidP="00D3120B">
            <w:pPr>
              <w:suppressAutoHyphens w:val="0"/>
              <w:spacing w:before="40" w:after="120" w:line="220" w:lineRule="exact"/>
              <w:ind w:right="113"/>
              <w:rPr>
                <w:i/>
                <w:iCs/>
              </w:rPr>
            </w:pPr>
            <w:r w:rsidRPr="004A1AF3">
              <w:rPr>
                <w:i/>
                <w:iCs/>
              </w:rPr>
              <w:t>2019</w:t>
            </w:r>
            <w:r w:rsidR="0056494D" w:rsidRPr="004A1AF3">
              <w:rPr>
                <w:i/>
                <w:iCs/>
              </w:rPr>
              <w:t>–</w:t>
            </w:r>
          </w:p>
        </w:tc>
        <w:tc>
          <w:tcPr>
            <w:tcW w:w="5643" w:type="dxa"/>
            <w:tcBorders>
              <w:top w:val="nil"/>
            </w:tcBorders>
            <w:shd w:val="clear" w:color="auto" w:fill="auto"/>
          </w:tcPr>
          <w:p w14:paraId="48F34A77" w14:textId="77777777" w:rsidR="00937157" w:rsidRPr="004A1AF3" w:rsidRDefault="00937157" w:rsidP="00D3120B">
            <w:pPr>
              <w:suppressAutoHyphens w:val="0"/>
              <w:spacing w:before="40" w:after="120" w:line="220" w:lineRule="exact"/>
              <w:ind w:right="113"/>
            </w:pPr>
            <w:r w:rsidRPr="004A1AF3">
              <w:rPr>
                <w:b/>
                <w:bCs/>
              </w:rPr>
              <w:t>Advanced Course on Justiciability of Economic, Social and Cultural Rights: Theory and Practice</w:t>
            </w:r>
            <w:r w:rsidRPr="004A1AF3">
              <w:t>, Institute for Human Rights at Åbo Akademi University, Turku/Åbo, Finland;</w:t>
            </w:r>
          </w:p>
        </w:tc>
      </w:tr>
      <w:tr w:rsidR="00D3120B" w:rsidRPr="004A1AF3" w14:paraId="01B37EE4" w14:textId="77777777" w:rsidTr="00D3120B">
        <w:tc>
          <w:tcPr>
            <w:tcW w:w="1727" w:type="dxa"/>
            <w:shd w:val="clear" w:color="auto" w:fill="auto"/>
          </w:tcPr>
          <w:p w14:paraId="1BF346F1" w14:textId="77777777" w:rsidR="00937157" w:rsidRPr="004A1AF3" w:rsidRDefault="00937157" w:rsidP="00D3120B">
            <w:pPr>
              <w:suppressAutoHyphens w:val="0"/>
              <w:spacing w:before="40" w:after="120" w:line="220" w:lineRule="exact"/>
              <w:ind w:right="113"/>
              <w:rPr>
                <w:i/>
                <w:iCs/>
              </w:rPr>
            </w:pPr>
            <w:r w:rsidRPr="004A1AF3">
              <w:rPr>
                <w:i/>
                <w:iCs/>
              </w:rPr>
              <w:t>2019</w:t>
            </w:r>
          </w:p>
        </w:tc>
        <w:tc>
          <w:tcPr>
            <w:tcW w:w="5643" w:type="dxa"/>
            <w:shd w:val="clear" w:color="auto" w:fill="auto"/>
          </w:tcPr>
          <w:p w14:paraId="5EF54060" w14:textId="77777777" w:rsidR="00937157" w:rsidRPr="004A1AF3" w:rsidRDefault="00937157" w:rsidP="00D3120B">
            <w:pPr>
              <w:suppressAutoHyphens w:val="0"/>
              <w:spacing w:before="40" w:after="120" w:line="220" w:lineRule="exact"/>
              <w:ind w:right="113"/>
            </w:pPr>
            <w:r w:rsidRPr="004A1AF3">
              <w:rPr>
                <w:b/>
                <w:bCs/>
              </w:rPr>
              <w:t>Course for Latin America on International Refugee Law</w:t>
            </w:r>
            <w:r w:rsidRPr="004A1AF3">
              <w:t>, International Institute of Humanitarian Law, Sanremo, Italy;</w:t>
            </w:r>
          </w:p>
        </w:tc>
      </w:tr>
      <w:tr w:rsidR="00D3120B" w:rsidRPr="004A1AF3" w14:paraId="5697D00E" w14:textId="77777777" w:rsidTr="00D3120B">
        <w:tc>
          <w:tcPr>
            <w:tcW w:w="1727" w:type="dxa"/>
            <w:shd w:val="clear" w:color="auto" w:fill="auto"/>
          </w:tcPr>
          <w:p w14:paraId="5E17A666" w14:textId="77777777" w:rsidR="00937157" w:rsidRPr="004A1AF3" w:rsidRDefault="00937157" w:rsidP="00D3120B">
            <w:pPr>
              <w:suppressAutoHyphens w:val="0"/>
              <w:spacing w:before="40" w:after="120" w:line="220" w:lineRule="exact"/>
              <w:ind w:right="113"/>
              <w:rPr>
                <w:i/>
                <w:iCs/>
              </w:rPr>
            </w:pPr>
            <w:r w:rsidRPr="004A1AF3">
              <w:rPr>
                <w:i/>
                <w:iCs/>
              </w:rPr>
              <w:t>2008</w:t>
            </w:r>
          </w:p>
        </w:tc>
        <w:tc>
          <w:tcPr>
            <w:tcW w:w="5643" w:type="dxa"/>
            <w:shd w:val="clear" w:color="auto" w:fill="auto"/>
          </w:tcPr>
          <w:p w14:paraId="4C579263" w14:textId="4BED0BF4" w:rsidR="00937157" w:rsidRPr="004A1AF3" w:rsidRDefault="00937157" w:rsidP="00D3120B">
            <w:pPr>
              <w:suppressAutoHyphens w:val="0"/>
              <w:spacing w:before="40" w:after="120" w:line="220" w:lineRule="exact"/>
              <w:ind w:right="113"/>
            </w:pPr>
            <w:r w:rsidRPr="004A1AF3">
              <w:rPr>
                <w:b/>
                <w:bCs/>
              </w:rPr>
              <w:t>Specialized Program on Women</w:t>
            </w:r>
            <w:r w:rsidR="00E97638">
              <w:rPr>
                <w:b/>
                <w:bCs/>
              </w:rPr>
              <w:t>’</w:t>
            </w:r>
            <w:r w:rsidRPr="004A1AF3">
              <w:rPr>
                <w:b/>
                <w:bCs/>
              </w:rPr>
              <w:t>s Human Rights</w:t>
            </w:r>
            <w:r w:rsidRPr="004A1AF3">
              <w:t>. Raoul Wallenberg Institute for Human Rights and Humanitarian Law in Sweden; Institute of Democracy and Human Rights of the Pontifical Catholic University of Peru;</w:t>
            </w:r>
          </w:p>
        </w:tc>
      </w:tr>
      <w:tr w:rsidR="00D3120B" w:rsidRPr="004A1AF3" w14:paraId="309FD8D9" w14:textId="77777777" w:rsidTr="00D3120B">
        <w:tc>
          <w:tcPr>
            <w:tcW w:w="1727" w:type="dxa"/>
            <w:tcBorders>
              <w:bottom w:val="nil"/>
            </w:tcBorders>
            <w:shd w:val="clear" w:color="auto" w:fill="auto"/>
          </w:tcPr>
          <w:p w14:paraId="19159F1A" w14:textId="77777777" w:rsidR="00937157" w:rsidRPr="004A1AF3" w:rsidRDefault="00937157" w:rsidP="00D3120B">
            <w:pPr>
              <w:suppressAutoHyphens w:val="0"/>
              <w:spacing w:before="40" w:after="120" w:line="220" w:lineRule="exact"/>
              <w:ind w:right="113"/>
              <w:rPr>
                <w:i/>
                <w:iCs/>
              </w:rPr>
            </w:pPr>
            <w:r w:rsidRPr="004A1AF3">
              <w:rPr>
                <w:i/>
                <w:iCs/>
              </w:rPr>
              <w:t>2005</w:t>
            </w:r>
          </w:p>
        </w:tc>
        <w:tc>
          <w:tcPr>
            <w:tcW w:w="5643" w:type="dxa"/>
            <w:tcBorders>
              <w:bottom w:val="nil"/>
            </w:tcBorders>
            <w:shd w:val="clear" w:color="auto" w:fill="auto"/>
          </w:tcPr>
          <w:p w14:paraId="6D855F24" w14:textId="77777777" w:rsidR="00937157" w:rsidRPr="004A1AF3" w:rsidRDefault="00937157" w:rsidP="00D3120B">
            <w:pPr>
              <w:suppressAutoHyphens w:val="0"/>
              <w:spacing w:before="40" w:after="120" w:line="220" w:lineRule="exact"/>
              <w:ind w:right="113"/>
            </w:pPr>
            <w:r w:rsidRPr="004A1AF3">
              <w:rPr>
                <w:b/>
                <w:bCs/>
              </w:rPr>
              <w:t>Course on Jurisdictional Protection of the Rights of the Child</w:t>
            </w:r>
            <w:r w:rsidRPr="004A1AF3">
              <w:t>. At Universidad Diego Portales (UDP), Faculty of Law, Chile; Supreme Court of Justice, Paraguay; and UNICEF, in Asunción, Paraguay;</w:t>
            </w:r>
          </w:p>
        </w:tc>
      </w:tr>
      <w:tr w:rsidR="00D3120B" w:rsidRPr="004A1AF3" w14:paraId="50FAE520" w14:textId="77777777" w:rsidTr="00D3120B">
        <w:tc>
          <w:tcPr>
            <w:tcW w:w="1727" w:type="dxa"/>
            <w:tcBorders>
              <w:top w:val="nil"/>
              <w:bottom w:val="nil"/>
            </w:tcBorders>
            <w:shd w:val="clear" w:color="auto" w:fill="auto"/>
          </w:tcPr>
          <w:p w14:paraId="7F4EBE8A" w14:textId="77777777" w:rsidR="00937157" w:rsidRPr="004A1AF3" w:rsidRDefault="00937157" w:rsidP="00D3120B">
            <w:pPr>
              <w:suppressAutoHyphens w:val="0"/>
              <w:spacing w:before="40" w:after="120" w:line="220" w:lineRule="exact"/>
              <w:ind w:right="113"/>
              <w:rPr>
                <w:i/>
                <w:iCs/>
              </w:rPr>
            </w:pPr>
            <w:r w:rsidRPr="004A1AF3">
              <w:rPr>
                <w:i/>
                <w:iCs/>
              </w:rPr>
              <w:lastRenderedPageBreak/>
              <w:t>2004, 05 and 07</w:t>
            </w:r>
          </w:p>
        </w:tc>
        <w:tc>
          <w:tcPr>
            <w:tcW w:w="5643" w:type="dxa"/>
            <w:tcBorders>
              <w:top w:val="nil"/>
              <w:bottom w:val="nil"/>
            </w:tcBorders>
            <w:shd w:val="clear" w:color="auto" w:fill="auto"/>
          </w:tcPr>
          <w:p w14:paraId="0AF0BFCD" w14:textId="2FAEFC97" w:rsidR="00937157" w:rsidRPr="004A1AF3" w:rsidRDefault="00937157" w:rsidP="00905B68">
            <w:pPr>
              <w:keepLines/>
              <w:suppressAutoHyphens w:val="0"/>
              <w:spacing w:before="40" w:after="120" w:line="220" w:lineRule="exact"/>
              <w:ind w:right="113"/>
            </w:pPr>
            <w:r w:rsidRPr="004A1AF3">
              <w:rPr>
                <w:b/>
                <w:bCs/>
              </w:rPr>
              <w:t>International Colloquia on Human Rights. (2007)</w:t>
            </w:r>
            <w:r w:rsidRPr="004A1AF3">
              <w:t xml:space="preserve"> VII Colloquium </w:t>
            </w:r>
            <w:r w:rsidR="00E97638">
              <w:t>“</w:t>
            </w:r>
            <w:r w:rsidRPr="004A1AF3">
              <w:t>Strengthening Human Rights</w:t>
            </w:r>
            <w:r w:rsidR="00E97638">
              <w:t>”</w:t>
            </w:r>
            <w:r w:rsidRPr="004A1AF3">
              <w:t xml:space="preserve">, at the FGV, Brazil, Conectas-Sur, São Paulo. </w:t>
            </w:r>
            <w:r w:rsidRPr="004A1AF3">
              <w:rPr>
                <w:b/>
                <w:bCs/>
              </w:rPr>
              <w:t>(2005)</w:t>
            </w:r>
            <w:r w:rsidRPr="004A1AF3">
              <w:t xml:space="preserve"> V Colloquium </w:t>
            </w:r>
            <w:r w:rsidR="00E97638">
              <w:t>“</w:t>
            </w:r>
            <w:r w:rsidRPr="004A1AF3">
              <w:t>South-South Dialogue to Strengthen Human Rights</w:t>
            </w:r>
            <w:r w:rsidR="00E97638">
              <w:t>”</w:t>
            </w:r>
            <w:r w:rsidRPr="004A1AF3">
              <w:t xml:space="preserve">, at PUC-SP, Brazil, Conectas-Sur, São Paulo. </w:t>
            </w:r>
            <w:r w:rsidRPr="004A1AF3">
              <w:rPr>
                <w:b/>
                <w:bCs/>
              </w:rPr>
              <w:t>(2004)</w:t>
            </w:r>
            <w:r w:rsidRPr="004A1AF3">
              <w:t xml:space="preserve"> IV Colloquium </w:t>
            </w:r>
            <w:r w:rsidR="00E97638">
              <w:t>“</w:t>
            </w:r>
            <w:r w:rsidRPr="004A1AF3">
              <w:t>The Declaration and the UN Development Goals for the Millennium: challenges for human rights</w:t>
            </w:r>
            <w:r w:rsidR="00E97638">
              <w:t>”</w:t>
            </w:r>
            <w:r w:rsidRPr="004A1AF3">
              <w:t>, at PUC-SP, Brazil, Conectas-Sur, São Paulo;</w:t>
            </w:r>
          </w:p>
        </w:tc>
      </w:tr>
      <w:tr w:rsidR="00D3120B" w:rsidRPr="004A1AF3" w14:paraId="2346DA5E" w14:textId="77777777" w:rsidTr="00DD5703">
        <w:tc>
          <w:tcPr>
            <w:tcW w:w="1727" w:type="dxa"/>
            <w:tcBorders>
              <w:top w:val="nil"/>
              <w:bottom w:val="nil"/>
            </w:tcBorders>
            <w:shd w:val="clear" w:color="auto" w:fill="auto"/>
          </w:tcPr>
          <w:p w14:paraId="4434EBAB" w14:textId="54761EDF" w:rsidR="00937157" w:rsidRPr="004A1AF3" w:rsidRDefault="00937157" w:rsidP="00D3120B">
            <w:pPr>
              <w:suppressAutoHyphens w:val="0"/>
              <w:spacing w:before="40" w:after="120" w:line="220" w:lineRule="exact"/>
              <w:ind w:right="113"/>
              <w:rPr>
                <w:i/>
                <w:iCs/>
              </w:rPr>
            </w:pPr>
            <w:r w:rsidRPr="004A1AF3">
              <w:rPr>
                <w:i/>
                <w:iCs/>
              </w:rPr>
              <w:t>2003</w:t>
            </w:r>
            <w:r w:rsidR="0056494D" w:rsidRPr="004A1AF3">
              <w:rPr>
                <w:i/>
                <w:iCs/>
              </w:rPr>
              <w:t>–</w:t>
            </w:r>
          </w:p>
        </w:tc>
        <w:tc>
          <w:tcPr>
            <w:tcW w:w="5643" w:type="dxa"/>
            <w:tcBorders>
              <w:top w:val="nil"/>
              <w:bottom w:val="nil"/>
            </w:tcBorders>
            <w:shd w:val="clear" w:color="auto" w:fill="auto"/>
          </w:tcPr>
          <w:p w14:paraId="3D41E04E" w14:textId="77777777" w:rsidR="00937157" w:rsidRPr="004A1AF3" w:rsidRDefault="00937157" w:rsidP="00D3120B">
            <w:pPr>
              <w:suppressAutoHyphens w:val="0"/>
              <w:spacing w:before="40" w:after="120" w:line="220" w:lineRule="exact"/>
              <w:ind w:right="113"/>
            </w:pPr>
            <w:r w:rsidRPr="004A1AF3">
              <w:rPr>
                <w:b/>
                <w:bCs/>
              </w:rPr>
              <w:t>Course for Graduates in Juvenile Criminal Law</w:t>
            </w:r>
            <w:r w:rsidRPr="004A1AF3">
              <w:t>. Faculty of Law of the University of the Republic, UDELAR (Uruguay);</w:t>
            </w:r>
          </w:p>
        </w:tc>
      </w:tr>
      <w:tr w:rsidR="00D3120B" w:rsidRPr="004A1AF3" w14:paraId="54B3DBD8" w14:textId="77777777" w:rsidTr="00DD5703">
        <w:tc>
          <w:tcPr>
            <w:tcW w:w="1727" w:type="dxa"/>
            <w:tcBorders>
              <w:top w:val="nil"/>
              <w:bottom w:val="nil"/>
            </w:tcBorders>
            <w:shd w:val="clear" w:color="auto" w:fill="auto"/>
          </w:tcPr>
          <w:p w14:paraId="70340D4E" w14:textId="77777777" w:rsidR="00937157" w:rsidRPr="004A1AF3" w:rsidRDefault="00937157" w:rsidP="00D3120B">
            <w:pPr>
              <w:suppressAutoHyphens w:val="0"/>
              <w:spacing w:before="40" w:after="120" w:line="220" w:lineRule="exact"/>
              <w:ind w:right="113"/>
              <w:rPr>
                <w:i/>
                <w:iCs/>
              </w:rPr>
            </w:pPr>
            <w:r w:rsidRPr="004A1AF3">
              <w:rPr>
                <w:i/>
                <w:iCs/>
              </w:rPr>
              <w:t>2002</w:t>
            </w:r>
          </w:p>
        </w:tc>
        <w:tc>
          <w:tcPr>
            <w:tcW w:w="5643" w:type="dxa"/>
            <w:tcBorders>
              <w:top w:val="nil"/>
              <w:bottom w:val="nil"/>
            </w:tcBorders>
            <w:shd w:val="clear" w:color="auto" w:fill="auto"/>
          </w:tcPr>
          <w:p w14:paraId="17EF5C47" w14:textId="77777777" w:rsidR="00937157" w:rsidRPr="004A1AF3" w:rsidRDefault="00937157" w:rsidP="00D3120B">
            <w:pPr>
              <w:suppressAutoHyphens w:val="0"/>
              <w:spacing w:before="40" w:after="120" w:line="220" w:lineRule="exact"/>
              <w:ind w:right="113"/>
            </w:pPr>
            <w:r w:rsidRPr="004A1AF3">
              <w:rPr>
                <w:b/>
                <w:bCs/>
              </w:rPr>
              <w:t>Training course on Human Rights of Children and Adolescents</w:t>
            </w:r>
            <w:r w:rsidRPr="004A1AF3">
              <w:t>. Human Rights Center of the University of Chile.</w:t>
            </w:r>
          </w:p>
        </w:tc>
      </w:tr>
    </w:tbl>
    <w:p w14:paraId="1305D553" w14:textId="77777777" w:rsidR="00937157" w:rsidRPr="004A1AF3" w:rsidRDefault="00937157" w:rsidP="00D3120B">
      <w:pPr>
        <w:pStyle w:val="HChG"/>
      </w:pPr>
      <w:r w:rsidRPr="004A1AF3">
        <w:tab/>
        <w:t>V.</w:t>
      </w:r>
      <w:r w:rsidRPr="004A1AF3">
        <w:tab/>
        <w:t>Publications, articles and reports (selection)</w:t>
      </w:r>
    </w:p>
    <w:p w14:paraId="61D57B2F" w14:textId="353151EB"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Childhood in the context of international migration: access to justice, cooperation and coordination from a regional perspective, in: Espejo, Nicolás (Coordinator), Access to justice and comprehensive protection of the rights of children in contexts of international mobility, Supreme Court of Justice of the Nation, Mexico City, 2021;</w:t>
      </w:r>
    </w:p>
    <w:p w14:paraId="55E3B674" w14:textId="0BBEE3AE"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[Member of the drafting group] Impacts, opportunities and challenges that new and emerging digital technologies may entail in relation to the promotion and protection of human rights. Report of the Advisory Committee of the Human Rights Council, A/HRC/47/52, May 2021;</w:t>
      </w:r>
    </w:p>
    <w:p w14:paraId="1BDB6E10" w14:textId="230ED99B"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[Member of the drafting group] Current level of representation of women in human rights bodies and mechanisms: ensuring gender balance. Report of the Advisory Committee of the Human Rights Council, A/HRC/47/51, May 2021;</w:t>
      </w:r>
    </w:p>
    <w:p w14:paraId="4C1A2132" w14:textId="2CDFDC30"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Coordination and cooperation for the protection of the rights of children and adolescents in contexts of migration: the development of a regional experience, in: Pizzolo, Calogero (Coord.), Regional Integration and Human Rights: Points of Convergence, Astrea, Buenos Aires, 2021. ISBN: 978-987-706-384-4;</w:t>
      </w:r>
    </w:p>
    <w:p w14:paraId="21785CA6" w14:textId="70D81664"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Human rights as an instrument to guide public policy: a regional perspective, in: Electronic Journal of the Human Rights Council, No. 3, December 2020;</w:t>
      </w:r>
    </w:p>
    <w:p w14:paraId="21870BD9" w14:textId="2916F595"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[Member of the drafting group] Study on national policies and human rights. Report of the Advisory Committee of the Human Rights Council, A/HRC/45/39, July 2020;</w:t>
      </w:r>
    </w:p>
    <w:p w14:paraId="54DE3881" w14:textId="6D928576"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[Coordinator] LGTBI. Regional Compendium of Good Government Practices for the Guarantee and Protection of Rights, IPPDH-MERCOSUR, Buenos Aires, 2017. ISBN: 978-987-46093-3-5;</w:t>
      </w:r>
    </w:p>
    <w:p w14:paraId="6C2AA14D" w14:textId="54A2332F"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[Co-author] Judicial practices in the infringement processes of adolescents. Maldonado, Montevideo, Paysandú and Salto. 2005–2013, FJD, UNICEF, Montevideo, 2017. ISBN: 978-92-806-4889-8;</w:t>
      </w:r>
    </w:p>
    <w:p w14:paraId="3A7AEB27" w14:textId="6820FD4C"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[Co-author] Violence against children and adolescents. Judicial protection and institutional practices in the city of Montevideo, FJD, UNICEF, Montevideo, 2017. ISBN: 978-92-806-4872-0;</w:t>
      </w:r>
    </w:p>
    <w:p w14:paraId="189C0B77" w14:textId="126C846D"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[Coordination] Older Persons: towards a regional rights agenda, IPPDH-MERCOSUR, Buenos Aires, 2016. ISBN: 978-987-46093-1-1;</w:t>
      </w:r>
    </w:p>
    <w:p w14:paraId="357094F8" w14:textId="47D35B90"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[Coordination] A 40 years of the Condor, From repressive coordination to the construction of regional public policies on human rights, IPPDH-MERCOSUR, Buenos Aires, 2015. ISBN: 978-987-46093-0-4;</w:t>
      </w:r>
    </w:p>
    <w:p w14:paraId="3B0FC589" w14:textId="024FBB5C"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Juvenile Criminal Justice. Situation and perspectives in Latin America and the Caribbean, UNICEF, Panama, 2014;</w:t>
      </w:r>
    </w:p>
    <w:p w14:paraId="6719F1A2" w14:textId="17D93194" w:rsidR="00937157" w:rsidRPr="004A1AF3" w:rsidRDefault="009D395B" w:rsidP="009D395B">
      <w:pPr>
        <w:pStyle w:val="Bullet1G"/>
        <w:numPr>
          <w:ilvl w:val="0"/>
          <w:numId w:val="0"/>
        </w:numPr>
        <w:tabs>
          <w:tab w:val="left" w:pos="1701"/>
        </w:tabs>
        <w:ind w:left="1701" w:hanging="170"/>
      </w:pPr>
      <w:r w:rsidRPr="004A1AF3">
        <w:lastRenderedPageBreak/>
        <w:t>•</w:t>
      </w:r>
      <w:r w:rsidRPr="004A1AF3">
        <w:tab/>
      </w:r>
      <w:r w:rsidR="00937157" w:rsidRPr="004A1AF3">
        <w:t>[Consultant] IACHR, Right of the Child to the Family. Alternative care. Ending Institutionalization in the Americas (OEA/Ser.L/V/II. Doc. 54/13 October 17, 2013). Consultant in charge of the study and collaboration in the preparation of the report;</w:t>
      </w:r>
    </w:p>
    <w:p w14:paraId="6957BE06" w14:textId="6A108C09"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The situation of children and adolescents in protection and care institutions in Latin America and the Caribbean, UNICEF, Panama, 2013;</w:t>
      </w:r>
    </w:p>
    <w:p w14:paraId="6621D4C7" w14:textId="4B893705"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[Co-author] Boarding schools. Judicial practices of institutionalization for the protection of children and adolescents in the city of Montevideo, FJD, UNICEF, Montevideo, 2013;</w:t>
      </w:r>
    </w:p>
    <w:p w14:paraId="3AECC603" w14:textId="3FE83D6C"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[Coordination] Towards a State policy in deprivation of liberty. Dialogue, recommendations and proposals, SERPAJ, OSJ, Montevideo, 2012. ISBN: 978-9974-564-37-4;</w:t>
      </w:r>
    </w:p>
    <w:p w14:paraId="28753443" w14:textId="098EA1F7"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[Coordinator] Work within prisons and the employment of people released from the prison system. Legal and regulatory situation, ILO, Ministry of the Interior, Montevideo, 2011. ISBN: 978-9974-8340-0-2;</w:t>
      </w:r>
    </w:p>
    <w:p w14:paraId="3362B9A5" w14:textId="1A38A13F"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[Consultant] IACHR, Juvenile Justice and Human Rights in the Americas (OEA/Ser.L/V/II. Doc. 78 July 13, 2011). Consultant in charge of the study and collaboration in the preparation of the report;</w:t>
      </w:r>
    </w:p>
    <w:p w14:paraId="6D78B778" w14:textId="38BBDDCC"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[Co-author] Guide for the monitoring and political advocacy of organized civil society, Project J, United Nations System, United In Action Program, Montevideo, 2010;</w:t>
      </w:r>
    </w:p>
    <w:p w14:paraId="4B237034" w14:textId="41035AB6"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[Author] Situation of Citizen Security in Uruguay, in Guajardo García, Carlos (Ed.), Security and Prevention: The Situation of Argentina, Chile and Uruguay, International Center for the Prevention of Crime, Urban Security Program of the Alberto Hurtado University, Chile, 2009;</w:t>
      </w:r>
    </w:p>
    <w:p w14:paraId="29944D3D" w14:textId="5FE721AA"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[Coautor] Discrimination and human rights in Uruguay. The voice of children and adolescents. An example of Good Practice when Working on the Issue of Discrimination, Comité de Derechos del Niño Uruguay – Save the Children Sweden, 2005;</w:t>
      </w:r>
    </w:p>
    <w:p w14:paraId="3963E88A" w14:textId="625487B5" w:rsidR="00937157" w:rsidRPr="004A1AF3" w:rsidRDefault="009D395B" w:rsidP="009D395B">
      <w:pPr>
        <w:pStyle w:val="Bullet1G"/>
        <w:numPr>
          <w:ilvl w:val="0"/>
          <w:numId w:val="0"/>
        </w:numPr>
        <w:tabs>
          <w:tab w:val="left" w:pos="1701"/>
        </w:tabs>
        <w:ind w:left="1701" w:hanging="170"/>
      </w:pPr>
      <w:r w:rsidRPr="004A1AF3">
        <w:t>•</w:t>
      </w:r>
      <w:r w:rsidRPr="004A1AF3">
        <w:tab/>
      </w:r>
      <w:r w:rsidR="00937157" w:rsidRPr="004A1AF3">
        <w:t>[Co-author] The Process of Legislative Reform in Uruguay, in García Méndez, Emilio and Beloff, Mary (Comp.) Childhood, law and democracy in Latin America, II, Third edition, Temis S.A., Bogotá, 2004.</w:t>
      </w:r>
    </w:p>
    <w:p w14:paraId="48DCC5A2" w14:textId="77777777" w:rsidR="00937157" w:rsidRPr="004A1AF3" w:rsidRDefault="00937157" w:rsidP="00D3120B">
      <w:pPr>
        <w:pStyle w:val="HChG"/>
      </w:pPr>
      <w:r w:rsidRPr="004A1AF3">
        <w:tab/>
        <w:t>VI.</w:t>
      </w:r>
      <w:r w:rsidRPr="004A1AF3">
        <w:tab/>
        <w:t>Conferences and events</w:t>
      </w:r>
    </w:p>
    <w:p w14:paraId="5896A6FA" w14:textId="77777777" w:rsidR="00937157" w:rsidRPr="004A1AF3" w:rsidRDefault="00937157" w:rsidP="00937157">
      <w:pPr>
        <w:pStyle w:val="SingleTxtG"/>
      </w:pPr>
      <w:r w:rsidRPr="004A1AF3">
        <w:t>He has participated as a lecturer and speaker in numerous seminars and events.</w:t>
      </w:r>
    </w:p>
    <w:p w14:paraId="26909778" w14:textId="77777777" w:rsidR="00937157" w:rsidRPr="004A1AF3" w:rsidRDefault="00937157" w:rsidP="00D3120B">
      <w:pPr>
        <w:pStyle w:val="HChG"/>
      </w:pPr>
      <w:r w:rsidRPr="004A1AF3">
        <w:tab/>
        <w:t>VII.</w:t>
      </w:r>
      <w:r w:rsidRPr="004A1AF3">
        <w:tab/>
        <w:t>Participation in organizations and networks</w:t>
      </w:r>
    </w:p>
    <w:p w14:paraId="140F977C" w14:textId="77777777" w:rsidR="00937157" w:rsidRPr="004A1AF3" w:rsidRDefault="00937157" w:rsidP="00937157">
      <w:pPr>
        <w:pStyle w:val="SingleTxtG"/>
      </w:pPr>
      <w:r w:rsidRPr="004A1AF3">
        <w:t>He has integrated and advised non-governmental human rights institutions, held different positions in the Uruguayan Bar Association, and has integrated working and study groups, as well as networks of social entrepreneurs and human rights activists.</w:t>
      </w:r>
    </w:p>
    <w:p w14:paraId="35332F10" w14:textId="77777777" w:rsidR="00937157" w:rsidRPr="004A1AF3" w:rsidRDefault="00937157" w:rsidP="00D3120B">
      <w:pPr>
        <w:pStyle w:val="HChG"/>
      </w:pPr>
      <w:r w:rsidRPr="004A1AF3">
        <w:tab/>
        <w:t>VIII.</w:t>
      </w:r>
      <w:r w:rsidRPr="004A1AF3">
        <w:tab/>
        <w:t>Languages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03"/>
        <w:gridCol w:w="1304"/>
        <w:gridCol w:w="1304"/>
        <w:gridCol w:w="1304"/>
        <w:gridCol w:w="1955"/>
      </w:tblGrid>
      <w:tr w:rsidR="00D3120B" w:rsidRPr="004A1AF3" w14:paraId="31C7F81E" w14:textId="77777777" w:rsidTr="00D3120B">
        <w:trPr>
          <w:trHeight w:val="300"/>
          <w:tblHeader/>
        </w:trPr>
        <w:tc>
          <w:tcPr>
            <w:tcW w:w="1246" w:type="dxa"/>
            <w:tcBorders>
              <w:top w:val="single" w:sz="4" w:space="0" w:color="auto"/>
              <w:bottom w:val="single" w:sz="12" w:space="0" w:color="auto"/>
            </w:tcBorders>
            <w:shd w:val="clear" w:color="auto" w:fill="auto"/>
            <w:noWrap/>
            <w:vAlign w:val="bottom"/>
          </w:tcPr>
          <w:p w14:paraId="07A14970" w14:textId="77777777" w:rsidR="00937157" w:rsidRPr="004A1AF3" w:rsidRDefault="00937157" w:rsidP="00D3120B">
            <w:pPr>
              <w:suppressAutoHyphens w:val="0"/>
              <w:spacing w:before="80" w:after="80" w:line="200" w:lineRule="exact"/>
              <w:ind w:right="113"/>
              <w:rPr>
                <w:i/>
                <w:sz w:val="16"/>
              </w:rPr>
            </w:pPr>
          </w:p>
        </w:tc>
        <w:tc>
          <w:tcPr>
            <w:tcW w:w="1080" w:type="dxa"/>
            <w:tcBorders>
              <w:top w:val="single" w:sz="4" w:space="0" w:color="auto"/>
              <w:bottom w:val="single" w:sz="12" w:space="0" w:color="auto"/>
            </w:tcBorders>
            <w:shd w:val="clear" w:color="auto" w:fill="auto"/>
            <w:noWrap/>
            <w:vAlign w:val="bottom"/>
          </w:tcPr>
          <w:p w14:paraId="518B123F" w14:textId="77777777" w:rsidR="00937157" w:rsidRPr="004A1AF3" w:rsidRDefault="00937157" w:rsidP="00D3120B">
            <w:pPr>
              <w:suppressAutoHyphens w:val="0"/>
              <w:spacing w:before="80" w:after="80" w:line="200" w:lineRule="exact"/>
              <w:ind w:right="113"/>
              <w:rPr>
                <w:i/>
                <w:sz w:val="16"/>
              </w:rPr>
            </w:pPr>
            <w:r w:rsidRPr="004A1AF3">
              <w:rPr>
                <w:i/>
                <w:sz w:val="16"/>
              </w:rPr>
              <w:t>Writing</w:t>
            </w:r>
          </w:p>
        </w:tc>
        <w:tc>
          <w:tcPr>
            <w:tcW w:w="1080" w:type="dxa"/>
            <w:tcBorders>
              <w:top w:val="single" w:sz="4" w:space="0" w:color="auto"/>
              <w:bottom w:val="single" w:sz="12" w:space="0" w:color="auto"/>
            </w:tcBorders>
            <w:shd w:val="clear" w:color="auto" w:fill="auto"/>
            <w:noWrap/>
            <w:vAlign w:val="bottom"/>
          </w:tcPr>
          <w:p w14:paraId="5F47DC71" w14:textId="77777777" w:rsidR="00937157" w:rsidRPr="004A1AF3" w:rsidRDefault="00937157" w:rsidP="00D3120B">
            <w:pPr>
              <w:suppressAutoHyphens w:val="0"/>
              <w:spacing w:before="80" w:after="80" w:line="200" w:lineRule="exact"/>
              <w:ind w:right="113"/>
              <w:rPr>
                <w:i/>
                <w:sz w:val="16"/>
              </w:rPr>
            </w:pPr>
            <w:r w:rsidRPr="004A1AF3">
              <w:rPr>
                <w:i/>
                <w:sz w:val="16"/>
              </w:rPr>
              <w:t>Reading</w:t>
            </w:r>
          </w:p>
        </w:tc>
        <w:tc>
          <w:tcPr>
            <w:tcW w:w="1080" w:type="dxa"/>
            <w:tcBorders>
              <w:top w:val="single" w:sz="4" w:space="0" w:color="auto"/>
              <w:bottom w:val="single" w:sz="12" w:space="0" w:color="auto"/>
            </w:tcBorders>
            <w:shd w:val="clear" w:color="auto" w:fill="auto"/>
            <w:noWrap/>
            <w:vAlign w:val="bottom"/>
          </w:tcPr>
          <w:p w14:paraId="62E0C7EB" w14:textId="77777777" w:rsidR="00937157" w:rsidRPr="004A1AF3" w:rsidRDefault="00937157" w:rsidP="00D3120B">
            <w:pPr>
              <w:suppressAutoHyphens w:val="0"/>
              <w:spacing w:before="80" w:after="80" w:line="200" w:lineRule="exact"/>
              <w:ind w:right="113"/>
              <w:rPr>
                <w:i/>
                <w:sz w:val="16"/>
              </w:rPr>
            </w:pPr>
            <w:r w:rsidRPr="004A1AF3">
              <w:rPr>
                <w:i/>
                <w:sz w:val="16"/>
              </w:rPr>
              <w:t>Speaking</w:t>
            </w:r>
          </w:p>
        </w:tc>
        <w:tc>
          <w:tcPr>
            <w:tcW w:w="1620" w:type="dxa"/>
            <w:tcBorders>
              <w:top w:val="single" w:sz="4" w:space="0" w:color="auto"/>
              <w:bottom w:val="single" w:sz="12" w:space="0" w:color="auto"/>
            </w:tcBorders>
            <w:shd w:val="clear" w:color="auto" w:fill="auto"/>
            <w:noWrap/>
            <w:vAlign w:val="bottom"/>
          </w:tcPr>
          <w:p w14:paraId="64627FA6" w14:textId="77777777" w:rsidR="00937157" w:rsidRPr="004A1AF3" w:rsidRDefault="00937157" w:rsidP="00D3120B">
            <w:pPr>
              <w:suppressAutoHyphens w:val="0"/>
              <w:spacing w:before="80" w:after="80" w:line="200" w:lineRule="exact"/>
              <w:ind w:right="113"/>
              <w:rPr>
                <w:i/>
                <w:sz w:val="16"/>
              </w:rPr>
            </w:pPr>
            <w:r w:rsidRPr="004A1AF3">
              <w:rPr>
                <w:i/>
                <w:sz w:val="16"/>
              </w:rPr>
              <w:t>Listening</w:t>
            </w:r>
          </w:p>
        </w:tc>
      </w:tr>
      <w:tr w:rsidR="00D3120B" w:rsidRPr="004A1AF3" w14:paraId="616CE876" w14:textId="77777777" w:rsidTr="00D3120B">
        <w:trPr>
          <w:trHeight w:val="122"/>
        </w:trPr>
        <w:tc>
          <w:tcPr>
            <w:tcW w:w="1246" w:type="dxa"/>
            <w:tcBorders>
              <w:top w:val="single" w:sz="12" w:space="0" w:color="auto"/>
            </w:tcBorders>
            <w:shd w:val="clear" w:color="auto" w:fill="auto"/>
            <w:noWrap/>
          </w:tcPr>
          <w:p w14:paraId="5F86778E" w14:textId="77777777" w:rsidR="00937157" w:rsidRPr="004A1AF3" w:rsidRDefault="00937157" w:rsidP="00D3120B">
            <w:pPr>
              <w:suppressAutoHyphens w:val="0"/>
              <w:spacing w:before="40" w:after="120" w:line="220" w:lineRule="exact"/>
              <w:ind w:right="113"/>
            </w:pPr>
            <w:r w:rsidRPr="004A1AF3">
              <w:t>English</w:t>
            </w:r>
          </w:p>
        </w:tc>
        <w:tc>
          <w:tcPr>
            <w:tcW w:w="1080" w:type="dxa"/>
            <w:tcBorders>
              <w:top w:val="single" w:sz="12" w:space="0" w:color="auto"/>
            </w:tcBorders>
            <w:shd w:val="clear" w:color="auto" w:fill="auto"/>
            <w:noWrap/>
          </w:tcPr>
          <w:p w14:paraId="44A56890" w14:textId="77777777" w:rsidR="00937157" w:rsidRPr="004A1AF3" w:rsidRDefault="00937157" w:rsidP="00D3120B">
            <w:pPr>
              <w:suppressAutoHyphens w:val="0"/>
              <w:spacing w:before="40" w:after="120" w:line="220" w:lineRule="exact"/>
              <w:ind w:right="113"/>
            </w:pPr>
            <w:r w:rsidRPr="004A1AF3">
              <w:t>High</w:t>
            </w:r>
          </w:p>
        </w:tc>
        <w:tc>
          <w:tcPr>
            <w:tcW w:w="1080" w:type="dxa"/>
            <w:tcBorders>
              <w:top w:val="single" w:sz="12" w:space="0" w:color="auto"/>
            </w:tcBorders>
            <w:shd w:val="clear" w:color="auto" w:fill="auto"/>
            <w:noWrap/>
          </w:tcPr>
          <w:p w14:paraId="18A93E52" w14:textId="77777777" w:rsidR="00937157" w:rsidRPr="004A1AF3" w:rsidRDefault="00937157" w:rsidP="00D3120B">
            <w:pPr>
              <w:suppressAutoHyphens w:val="0"/>
              <w:spacing w:before="40" w:after="120" w:line="220" w:lineRule="exact"/>
              <w:ind w:right="113"/>
            </w:pPr>
            <w:r w:rsidRPr="004A1AF3">
              <w:t>High</w:t>
            </w:r>
          </w:p>
        </w:tc>
        <w:tc>
          <w:tcPr>
            <w:tcW w:w="1080" w:type="dxa"/>
            <w:tcBorders>
              <w:top w:val="single" w:sz="12" w:space="0" w:color="auto"/>
            </w:tcBorders>
            <w:shd w:val="clear" w:color="auto" w:fill="auto"/>
            <w:noWrap/>
          </w:tcPr>
          <w:p w14:paraId="2FC899BF" w14:textId="77777777" w:rsidR="00937157" w:rsidRPr="004A1AF3" w:rsidRDefault="00937157" w:rsidP="00D3120B">
            <w:pPr>
              <w:suppressAutoHyphens w:val="0"/>
              <w:spacing w:before="40" w:after="120" w:line="220" w:lineRule="exact"/>
              <w:ind w:right="113"/>
            </w:pPr>
            <w:r w:rsidRPr="004A1AF3">
              <w:t>Med</w:t>
            </w:r>
          </w:p>
        </w:tc>
        <w:tc>
          <w:tcPr>
            <w:tcW w:w="1620" w:type="dxa"/>
            <w:tcBorders>
              <w:top w:val="single" w:sz="12" w:space="0" w:color="auto"/>
            </w:tcBorders>
            <w:shd w:val="clear" w:color="auto" w:fill="auto"/>
            <w:noWrap/>
          </w:tcPr>
          <w:p w14:paraId="3DBEF294" w14:textId="77777777" w:rsidR="00937157" w:rsidRPr="004A1AF3" w:rsidRDefault="00937157" w:rsidP="00D3120B">
            <w:pPr>
              <w:suppressAutoHyphens w:val="0"/>
              <w:spacing w:before="40" w:after="120" w:line="220" w:lineRule="exact"/>
              <w:ind w:right="113"/>
            </w:pPr>
            <w:r w:rsidRPr="004A1AF3">
              <w:t>High</w:t>
            </w:r>
          </w:p>
        </w:tc>
      </w:tr>
      <w:tr w:rsidR="00D3120B" w:rsidRPr="004A1AF3" w14:paraId="71F4D151" w14:textId="77777777" w:rsidTr="00D3120B">
        <w:trPr>
          <w:trHeight w:val="84"/>
        </w:trPr>
        <w:tc>
          <w:tcPr>
            <w:tcW w:w="1246" w:type="dxa"/>
            <w:shd w:val="clear" w:color="auto" w:fill="auto"/>
            <w:noWrap/>
          </w:tcPr>
          <w:p w14:paraId="2A1EE8C3" w14:textId="77777777" w:rsidR="00937157" w:rsidRPr="004A1AF3" w:rsidRDefault="00937157" w:rsidP="00D3120B">
            <w:pPr>
              <w:suppressAutoHyphens w:val="0"/>
              <w:spacing w:before="40" w:after="120" w:line="220" w:lineRule="exact"/>
              <w:ind w:right="113"/>
            </w:pPr>
            <w:r w:rsidRPr="004A1AF3">
              <w:t>Portuguese</w:t>
            </w:r>
          </w:p>
        </w:tc>
        <w:tc>
          <w:tcPr>
            <w:tcW w:w="1080" w:type="dxa"/>
            <w:shd w:val="clear" w:color="auto" w:fill="auto"/>
            <w:noWrap/>
          </w:tcPr>
          <w:p w14:paraId="7ED437E9" w14:textId="77777777" w:rsidR="00937157" w:rsidRPr="004A1AF3" w:rsidRDefault="00937157" w:rsidP="00D3120B">
            <w:pPr>
              <w:suppressAutoHyphens w:val="0"/>
              <w:spacing w:before="40" w:after="120" w:line="220" w:lineRule="exact"/>
              <w:ind w:right="113"/>
            </w:pPr>
            <w:r w:rsidRPr="004A1AF3">
              <w:t>High</w:t>
            </w:r>
          </w:p>
        </w:tc>
        <w:tc>
          <w:tcPr>
            <w:tcW w:w="1080" w:type="dxa"/>
            <w:shd w:val="clear" w:color="auto" w:fill="auto"/>
            <w:noWrap/>
          </w:tcPr>
          <w:p w14:paraId="2E71D2E4" w14:textId="77777777" w:rsidR="00937157" w:rsidRPr="004A1AF3" w:rsidRDefault="00937157" w:rsidP="00D3120B">
            <w:pPr>
              <w:suppressAutoHyphens w:val="0"/>
              <w:spacing w:before="40" w:after="120" w:line="220" w:lineRule="exact"/>
              <w:ind w:right="113"/>
            </w:pPr>
            <w:r w:rsidRPr="004A1AF3">
              <w:t>High</w:t>
            </w:r>
          </w:p>
        </w:tc>
        <w:tc>
          <w:tcPr>
            <w:tcW w:w="1080" w:type="dxa"/>
            <w:shd w:val="clear" w:color="auto" w:fill="auto"/>
            <w:noWrap/>
          </w:tcPr>
          <w:p w14:paraId="5FB4485F" w14:textId="77777777" w:rsidR="00937157" w:rsidRPr="004A1AF3" w:rsidRDefault="00937157" w:rsidP="00D3120B">
            <w:pPr>
              <w:suppressAutoHyphens w:val="0"/>
              <w:spacing w:before="40" w:after="120" w:line="220" w:lineRule="exact"/>
              <w:ind w:right="113"/>
            </w:pPr>
            <w:r w:rsidRPr="004A1AF3">
              <w:t>Med</w:t>
            </w:r>
          </w:p>
        </w:tc>
        <w:tc>
          <w:tcPr>
            <w:tcW w:w="1620" w:type="dxa"/>
            <w:shd w:val="clear" w:color="auto" w:fill="auto"/>
            <w:noWrap/>
          </w:tcPr>
          <w:p w14:paraId="224952A9" w14:textId="77777777" w:rsidR="00937157" w:rsidRPr="004A1AF3" w:rsidRDefault="00937157" w:rsidP="00D3120B">
            <w:pPr>
              <w:suppressAutoHyphens w:val="0"/>
              <w:spacing w:before="40" w:after="120" w:line="220" w:lineRule="exact"/>
              <w:ind w:right="113"/>
            </w:pPr>
            <w:r w:rsidRPr="004A1AF3">
              <w:t>High</w:t>
            </w:r>
          </w:p>
        </w:tc>
      </w:tr>
    </w:tbl>
    <w:p w14:paraId="7BB260E5" w14:textId="36693A79" w:rsidR="004F4CD1" w:rsidRDefault="00937157" w:rsidP="004F4CD1">
      <w:pPr>
        <w:pStyle w:val="SingleTxtG"/>
        <w:spacing w:before="240"/>
      </w:pPr>
      <w:r w:rsidRPr="004A1AF3">
        <w:t>Montevideo, April 2022.</w:t>
      </w:r>
    </w:p>
    <w:p w14:paraId="0B1BCEA6" w14:textId="647500B7" w:rsidR="00165CCC" w:rsidRPr="000D5A2A" w:rsidRDefault="00035F65" w:rsidP="00165CCC">
      <w:pPr>
        <w:pStyle w:val="H1G"/>
        <w:rPr>
          <w:u w:val="single"/>
        </w:rPr>
      </w:pPr>
      <w:r>
        <w:br w:type="page"/>
      </w:r>
    </w:p>
    <w:p w14:paraId="685953BA" w14:textId="44BD3064" w:rsidR="00F845A9" w:rsidRPr="004A1AF3" w:rsidRDefault="00F845A9" w:rsidP="00834281">
      <w:pPr>
        <w:spacing w:before="240"/>
        <w:jc w:val="center"/>
        <w:rPr>
          <w:u w:val="single"/>
        </w:rPr>
      </w:pPr>
      <w:r w:rsidRPr="000D5A2A">
        <w:rPr>
          <w:u w:val="single"/>
        </w:rPr>
        <w:lastRenderedPageBreak/>
        <w:tab/>
      </w:r>
      <w:r w:rsidRPr="000D5A2A">
        <w:rPr>
          <w:u w:val="single"/>
        </w:rPr>
        <w:tab/>
      </w:r>
    </w:p>
    <w:sectPr w:rsidR="00F845A9" w:rsidRPr="004A1AF3" w:rsidSect="00CA1B04">
      <w:headerReference w:type="even" r:id="rId11"/>
      <w:headerReference w:type="default" r:id="rId12"/>
      <w:footerReference w:type="even" r:id="rId13"/>
      <w:footerReference w:type="default" r:id="rId14"/>
      <w:head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EBA9" w14:textId="77777777" w:rsidR="00DC3893" w:rsidRPr="00C47B2E" w:rsidRDefault="00DC3893" w:rsidP="00C47B2E">
      <w:pPr>
        <w:pStyle w:val="Footer"/>
      </w:pPr>
    </w:p>
  </w:endnote>
  <w:endnote w:type="continuationSeparator" w:id="0">
    <w:p w14:paraId="73333952" w14:textId="77777777" w:rsidR="00DC3893" w:rsidRPr="00C47B2E" w:rsidRDefault="00DC3893" w:rsidP="00C47B2E">
      <w:pPr>
        <w:pStyle w:val="Footer"/>
      </w:pPr>
    </w:p>
  </w:endnote>
  <w:endnote w:type="continuationNotice" w:id="1">
    <w:p w14:paraId="7D8B3EC7" w14:textId="77777777" w:rsidR="00DC3893" w:rsidRPr="00C47B2E" w:rsidRDefault="00DC389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9E7" w14:textId="3BBA1389" w:rsidR="00937157" w:rsidRDefault="00937157" w:rsidP="00937157">
    <w:pPr>
      <w:pStyle w:val="Footer"/>
      <w:tabs>
        <w:tab w:val="right" w:pos="9638"/>
      </w:tabs>
    </w:pP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32</w:t>
    </w:r>
    <w:r w:rsidRPr="009371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DE" w14:textId="4571861A" w:rsidR="00937157" w:rsidRDefault="00937157" w:rsidP="00937157">
    <w:pPr>
      <w:pStyle w:val="Footer"/>
      <w:tabs>
        <w:tab w:val="right" w:pos="9638"/>
      </w:tabs>
    </w:pPr>
    <w:r>
      <w:tab/>
    </w: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31</w:t>
    </w:r>
    <w:r w:rsidRPr="009371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9C9E" w14:textId="77777777" w:rsidR="00DC3893" w:rsidRPr="00C47B2E" w:rsidRDefault="00DC3893" w:rsidP="00C47B2E">
      <w:pPr>
        <w:tabs>
          <w:tab w:val="right" w:pos="2155"/>
        </w:tabs>
        <w:spacing w:after="80" w:line="240" w:lineRule="auto"/>
        <w:ind w:left="680"/>
      </w:pPr>
      <w:r>
        <w:rPr>
          <w:u w:val="single"/>
        </w:rPr>
        <w:tab/>
      </w:r>
    </w:p>
  </w:footnote>
  <w:footnote w:type="continuationSeparator" w:id="0">
    <w:p w14:paraId="45BEAD75" w14:textId="77777777" w:rsidR="00DC3893" w:rsidRPr="00C47B2E" w:rsidRDefault="00DC3893" w:rsidP="005E716E">
      <w:pPr>
        <w:tabs>
          <w:tab w:val="right" w:pos="2155"/>
        </w:tabs>
        <w:spacing w:after="80" w:line="240" w:lineRule="auto"/>
        <w:ind w:left="680"/>
      </w:pPr>
      <w:r>
        <w:rPr>
          <w:u w:val="single"/>
        </w:rPr>
        <w:tab/>
      </w:r>
    </w:p>
  </w:footnote>
  <w:footnote w:type="continuationNotice" w:id="1">
    <w:p w14:paraId="154C178E" w14:textId="77777777" w:rsidR="00DC3893" w:rsidRPr="00C47B2E" w:rsidRDefault="00DC3893" w:rsidP="00C47B2E">
      <w:pPr>
        <w:pStyle w:val="Footer"/>
      </w:pPr>
    </w:p>
  </w:footnote>
  <w:footnote w:id="2">
    <w:p w14:paraId="1EB98673" w14:textId="10A27DB5" w:rsidR="00937157" w:rsidRPr="00BA1C20" w:rsidRDefault="00937157" w:rsidP="00937157">
      <w:pPr>
        <w:pStyle w:val="FootnoteText"/>
      </w:pPr>
      <w:r w:rsidRPr="005864B7">
        <w:rPr>
          <w:rStyle w:val="Heading3Char"/>
        </w:rPr>
        <w:tab/>
      </w:r>
      <w:r w:rsidR="00165CCC">
        <w:rPr>
          <w:rStyle w:val="Heading3Char"/>
        </w:rPr>
        <w:tab/>
      </w:r>
      <w:r w:rsidR="00165CCC">
        <w:t>* Curricula vitae are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761" w14:textId="6F88A248" w:rsidR="00937157" w:rsidRDefault="00937157" w:rsidP="00937157">
    <w:pPr>
      <w:pStyle w:val="Header"/>
    </w:pPr>
    <w:r>
      <w:t>A/HRC/51/67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E4" w14:textId="24B4B5D1" w:rsidR="00937157" w:rsidRDefault="00937157" w:rsidP="00937157">
    <w:pPr>
      <w:pStyle w:val="Header"/>
      <w:jc w:val="right"/>
    </w:pPr>
    <w:r>
      <w:t>A/HRC/51/67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06EC" w14:textId="77777777" w:rsidR="00DE39E9" w:rsidRDefault="00DE39E9" w:rsidP="00DE39E9">
    <w:pPr>
      <w:pStyle w:val="Header"/>
      <w:jc w:val="right"/>
    </w:pPr>
    <w:r>
      <w:t>A/HRC/51/67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B22EB2"/>
    <w:multiLevelType w:val="hybridMultilevel"/>
    <w:tmpl w:val="BA6C45F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02DB4004"/>
    <w:multiLevelType w:val="hybridMultilevel"/>
    <w:tmpl w:val="6A581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681C7D"/>
    <w:multiLevelType w:val="hybridMultilevel"/>
    <w:tmpl w:val="F7C28D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BA1F31"/>
    <w:multiLevelType w:val="hybridMultilevel"/>
    <w:tmpl w:val="ED266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E5783"/>
    <w:multiLevelType w:val="hybridMultilevel"/>
    <w:tmpl w:val="1DA48F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A08D1"/>
    <w:multiLevelType w:val="hybridMultilevel"/>
    <w:tmpl w:val="FF92481C"/>
    <w:lvl w:ilvl="0" w:tplc="C3A0743C">
      <w:start w:val="1"/>
      <w:numFmt w:val="bullet"/>
      <w:lvlText w:val=""/>
      <w:lvlJc w:val="left"/>
      <w:pPr>
        <w:ind w:left="720" w:hanging="360"/>
      </w:pPr>
      <w:rPr>
        <w:rFonts w:ascii="Symbol" w:hAnsi="Symbol" w:hint="default"/>
        <w:color w:val="000000" w:themeColor="text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23E01178"/>
    <w:multiLevelType w:val="hybridMultilevel"/>
    <w:tmpl w:val="A652493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256A1B1C"/>
    <w:multiLevelType w:val="hybridMultilevel"/>
    <w:tmpl w:val="0A36F5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27EF2F2B"/>
    <w:multiLevelType w:val="hybridMultilevel"/>
    <w:tmpl w:val="82D466D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15:restartNumberingAfterBreak="0">
    <w:nsid w:val="28AF7250"/>
    <w:multiLevelType w:val="hybridMultilevel"/>
    <w:tmpl w:val="88301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FF6889"/>
    <w:multiLevelType w:val="hybridMultilevel"/>
    <w:tmpl w:val="E4DA0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423531C0"/>
    <w:multiLevelType w:val="hybridMultilevel"/>
    <w:tmpl w:val="C09C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F261E"/>
    <w:multiLevelType w:val="hybridMultilevel"/>
    <w:tmpl w:val="26EE0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5CAF62A7"/>
    <w:multiLevelType w:val="hybridMultilevel"/>
    <w:tmpl w:val="52585F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5D747948"/>
    <w:multiLevelType w:val="hybridMultilevel"/>
    <w:tmpl w:val="8C66A2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5B7846"/>
    <w:multiLevelType w:val="hybridMultilevel"/>
    <w:tmpl w:val="0AACD10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1256023"/>
    <w:multiLevelType w:val="hybridMultilevel"/>
    <w:tmpl w:val="6F7A024E"/>
    <w:lvl w:ilvl="0" w:tplc="58B82224">
      <w:numFmt w:val="bullet"/>
      <w:lvlText w:val="-"/>
      <w:lvlJc w:val="left"/>
      <w:pPr>
        <w:ind w:left="644" w:hanging="360"/>
      </w:pPr>
      <w:rPr>
        <w:rFonts w:ascii="Calibri" w:eastAsia="Times New Roman" w:hAnsi="Calibri" w:cs="Times New Roman" w:hint="default"/>
        <w:b/>
        <w:color w:val="365F91" w:themeColor="accent1" w:themeShade="BF"/>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73D08"/>
    <w:multiLevelType w:val="hybridMultilevel"/>
    <w:tmpl w:val="D6505B3E"/>
    <w:lvl w:ilvl="0" w:tplc="3314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
  </w:num>
  <w:num w:numId="4">
    <w:abstractNumId w:val="32"/>
  </w:num>
  <w:num w:numId="5">
    <w:abstractNumId w:val="34"/>
  </w:num>
  <w:num w:numId="6">
    <w:abstractNumId w:val="38"/>
  </w:num>
  <w:num w:numId="7">
    <w:abstractNumId w:val="15"/>
  </w:num>
  <w:num w:numId="8">
    <w:abstractNumId w:val="13"/>
  </w:num>
  <w:num w:numId="9">
    <w:abstractNumId w:val="35"/>
  </w:num>
  <w:num w:numId="10">
    <w:abstractNumId w:val="13"/>
  </w:num>
  <w:num w:numId="11">
    <w:abstractNumId w:val="35"/>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26"/>
  </w:num>
  <w:num w:numId="25">
    <w:abstractNumId w:val="37"/>
  </w:num>
  <w:num w:numId="26">
    <w:abstractNumId w:val="16"/>
  </w:num>
  <w:num w:numId="27">
    <w:abstractNumId w:val="39"/>
  </w:num>
  <w:num w:numId="28">
    <w:abstractNumId w:val="21"/>
  </w:num>
  <w:num w:numId="29">
    <w:abstractNumId w:val="14"/>
  </w:num>
  <w:num w:numId="30">
    <w:abstractNumId w:val="27"/>
  </w:num>
  <w:num w:numId="31">
    <w:abstractNumId w:val="22"/>
  </w:num>
  <w:num w:numId="32">
    <w:abstractNumId w:val="30"/>
  </w:num>
  <w:num w:numId="33">
    <w:abstractNumId w:val="17"/>
  </w:num>
  <w:num w:numId="34">
    <w:abstractNumId w:val="33"/>
  </w:num>
  <w:num w:numId="35">
    <w:abstractNumId w:val="20"/>
  </w:num>
  <w:num w:numId="36">
    <w:abstractNumId w:val="11"/>
  </w:num>
  <w:num w:numId="37">
    <w:abstractNumId w:val="19"/>
  </w:num>
  <w:num w:numId="38">
    <w:abstractNumId w:val="29"/>
  </w:num>
  <w:num w:numId="39">
    <w:abstractNumId w:val="31"/>
  </w:num>
  <w:num w:numId="40">
    <w:abstractNumId w:val="12"/>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56E3A"/>
    <w:rsid w:val="000269E3"/>
    <w:rsid w:val="00035F65"/>
    <w:rsid w:val="00046E92"/>
    <w:rsid w:val="00063C90"/>
    <w:rsid w:val="00066205"/>
    <w:rsid w:val="00067F5B"/>
    <w:rsid w:val="00072607"/>
    <w:rsid w:val="000A1907"/>
    <w:rsid w:val="000B397A"/>
    <w:rsid w:val="000C0D3F"/>
    <w:rsid w:val="000D3616"/>
    <w:rsid w:val="000D5A2A"/>
    <w:rsid w:val="00101B98"/>
    <w:rsid w:val="00165CCC"/>
    <w:rsid w:val="00171579"/>
    <w:rsid w:val="00182FC1"/>
    <w:rsid w:val="0019647E"/>
    <w:rsid w:val="001D4168"/>
    <w:rsid w:val="001D6263"/>
    <w:rsid w:val="00204DF5"/>
    <w:rsid w:val="0021489A"/>
    <w:rsid w:val="002213F2"/>
    <w:rsid w:val="00227F79"/>
    <w:rsid w:val="00230A40"/>
    <w:rsid w:val="00247E2C"/>
    <w:rsid w:val="00251841"/>
    <w:rsid w:val="00256E3A"/>
    <w:rsid w:val="002650FA"/>
    <w:rsid w:val="002A32CB"/>
    <w:rsid w:val="002B319E"/>
    <w:rsid w:val="002B31BC"/>
    <w:rsid w:val="002C667C"/>
    <w:rsid w:val="002C70ED"/>
    <w:rsid w:val="002D0E39"/>
    <w:rsid w:val="002D396E"/>
    <w:rsid w:val="002D6C53"/>
    <w:rsid w:val="002F5595"/>
    <w:rsid w:val="003145AC"/>
    <w:rsid w:val="00315650"/>
    <w:rsid w:val="00334F6A"/>
    <w:rsid w:val="00342AC8"/>
    <w:rsid w:val="00381D14"/>
    <w:rsid w:val="00382319"/>
    <w:rsid w:val="003825A8"/>
    <w:rsid w:val="003A0600"/>
    <w:rsid w:val="003B4550"/>
    <w:rsid w:val="003D4F20"/>
    <w:rsid w:val="0040017C"/>
    <w:rsid w:val="004277E4"/>
    <w:rsid w:val="00431B21"/>
    <w:rsid w:val="00434445"/>
    <w:rsid w:val="00461253"/>
    <w:rsid w:val="00464A75"/>
    <w:rsid w:val="00486E21"/>
    <w:rsid w:val="004A1AF3"/>
    <w:rsid w:val="004A2814"/>
    <w:rsid w:val="004B00C0"/>
    <w:rsid w:val="004C0622"/>
    <w:rsid w:val="004D10F9"/>
    <w:rsid w:val="004D258D"/>
    <w:rsid w:val="004E5AD9"/>
    <w:rsid w:val="004F4CD1"/>
    <w:rsid w:val="004F6FED"/>
    <w:rsid w:val="005042C2"/>
    <w:rsid w:val="005342CB"/>
    <w:rsid w:val="005524B0"/>
    <w:rsid w:val="0056494D"/>
    <w:rsid w:val="00587574"/>
    <w:rsid w:val="00591F9A"/>
    <w:rsid w:val="005C4F37"/>
    <w:rsid w:val="005D4F5B"/>
    <w:rsid w:val="005E5EAA"/>
    <w:rsid w:val="005E716E"/>
    <w:rsid w:val="0060231B"/>
    <w:rsid w:val="00606E53"/>
    <w:rsid w:val="00661076"/>
    <w:rsid w:val="00671516"/>
    <w:rsid w:val="00671529"/>
    <w:rsid w:val="00694BF6"/>
    <w:rsid w:val="0069585F"/>
    <w:rsid w:val="006A2644"/>
    <w:rsid w:val="006C0411"/>
    <w:rsid w:val="006C548F"/>
    <w:rsid w:val="0070489D"/>
    <w:rsid w:val="007117B3"/>
    <w:rsid w:val="00716B64"/>
    <w:rsid w:val="0072285C"/>
    <w:rsid w:val="007268F9"/>
    <w:rsid w:val="00733262"/>
    <w:rsid w:val="0074709D"/>
    <w:rsid w:val="00772C7C"/>
    <w:rsid w:val="00782BC7"/>
    <w:rsid w:val="007A2D11"/>
    <w:rsid w:val="007B032E"/>
    <w:rsid w:val="007C52B0"/>
    <w:rsid w:val="007C553E"/>
    <w:rsid w:val="007D281A"/>
    <w:rsid w:val="007F7812"/>
    <w:rsid w:val="00821889"/>
    <w:rsid w:val="00834281"/>
    <w:rsid w:val="00861B4E"/>
    <w:rsid w:val="008817E9"/>
    <w:rsid w:val="00882DAA"/>
    <w:rsid w:val="008C59D0"/>
    <w:rsid w:val="008E07B8"/>
    <w:rsid w:val="008E2B91"/>
    <w:rsid w:val="00905B68"/>
    <w:rsid w:val="00915FF6"/>
    <w:rsid w:val="009200E5"/>
    <w:rsid w:val="00937157"/>
    <w:rsid w:val="009411B4"/>
    <w:rsid w:val="00962A56"/>
    <w:rsid w:val="00967C2B"/>
    <w:rsid w:val="00991726"/>
    <w:rsid w:val="009B48B7"/>
    <w:rsid w:val="009C79C3"/>
    <w:rsid w:val="009D0139"/>
    <w:rsid w:val="009D395B"/>
    <w:rsid w:val="009D717D"/>
    <w:rsid w:val="009E2B15"/>
    <w:rsid w:val="009F2C45"/>
    <w:rsid w:val="009F5CDC"/>
    <w:rsid w:val="00A25B59"/>
    <w:rsid w:val="00A44DE0"/>
    <w:rsid w:val="00A71A4C"/>
    <w:rsid w:val="00A75895"/>
    <w:rsid w:val="00A775CF"/>
    <w:rsid w:val="00B06045"/>
    <w:rsid w:val="00B07078"/>
    <w:rsid w:val="00B37683"/>
    <w:rsid w:val="00B45B32"/>
    <w:rsid w:val="00B52EF4"/>
    <w:rsid w:val="00B65D62"/>
    <w:rsid w:val="00BF78D3"/>
    <w:rsid w:val="00C03015"/>
    <w:rsid w:val="00C0358D"/>
    <w:rsid w:val="00C25A39"/>
    <w:rsid w:val="00C307D5"/>
    <w:rsid w:val="00C35A27"/>
    <w:rsid w:val="00C47B2E"/>
    <w:rsid w:val="00C83804"/>
    <w:rsid w:val="00CA1B04"/>
    <w:rsid w:val="00D3120B"/>
    <w:rsid w:val="00D75CA8"/>
    <w:rsid w:val="00DA302F"/>
    <w:rsid w:val="00DC1EEE"/>
    <w:rsid w:val="00DC3893"/>
    <w:rsid w:val="00DD5703"/>
    <w:rsid w:val="00DE358C"/>
    <w:rsid w:val="00DE39E9"/>
    <w:rsid w:val="00E02C2B"/>
    <w:rsid w:val="00E05E76"/>
    <w:rsid w:val="00E24D0D"/>
    <w:rsid w:val="00E307D1"/>
    <w:rsid w:val="00E40B25"/>
    <w:rsid w:val="00E427A5"/>
    <w:rsid w:val="00E52109"/>
    <w:rsid w:val="00E62572"/>
    <w:rsid w:val="00E75317"/>
    <w:rsid w:val="00E86E3E"/>
    <w:rsid w:val="00E97638"/>
    <w:rsid w:val="00EB3F60"/>
    <w:rsid w:val="00EC2011"/>
    <w:rsid w:val="00ED6C48"/>
    <w:rsid w:val="00F26EF8"/>
    <w:rsid w:val="00F33AA1"/>
    <w:rsid w:val="00F401B3"/>
    <w:rsid w:val="00F4166E"/>
    <w:rsid w:val="00F45E68"/>
    <w:rsid w:val="00F52220"/>
    <w:rsid w:val="00F559EC"/>
    <w:rsid w:val="00F62074"/>
    <w:rsid w:val="00F65F5D"/>
    <w:rsid w:val="00F845A9"/>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D1EF"/>
  <w15:docId w15:val="{93CD3AD7-FF1E-4EBB-9245-F701288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tabs>
        <w:tab w:val="clear" w:pos="1304"/>
        <w:tab w:val="num" w:pos="1701"/>
      </w:tabs>
      <w:spacing w:after="120"/>
      <w:ind w:left="1701"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link w:val="TitleChar"/>
    <w:qFormat/>
    <w:rsid w:val="00937157"/>
    <w:pPr>
      <w:suppressAutoHyphens w:val="0"/>
      <w:kinsoku/>
      <w:overflowPunct/>
      <w:autoSpaceDE/>
      <w:autoSpaceDN/>
      <w:adjustRightInd/>
      <w:snapToGrid/>
      <w:spacing w:line="240" w:lineRule="auto"/>
      <w:jc w:val="center"/>
    </w:pPr>
    <w:rPr>
      <w:rFonts w:ascii="Courier New" w:eastAsia="Times New Roman" w:hAnsi="Courier New" w:cs="Courier New"/>
      <w:b/>
      <w:bCs/>
      <w:sz w:val="28"/>
      <w:szCs w:val="24"/>
      <w:lang w:val="es-ES_tradnl" w:eastAsia="es-ES"/>
    </w:rPr>
  </w:style>
  <w:style w:type="character" w:customStyle="1" w:styleId="TitleChar">
    <w:name w:val="Title Char"/>
    <w:basedOn w:val="DefaultParagraphFont"/>
    <w:link w:val="Title"/>
    <w:rsid w:val="00937157"/>
    <w:rPr>
      <w:rFonts w:ascii="Courier New" w:eastAsia="Times New Roman" w:hAnsi="Courier New" w:cs="Courier New"/>
      <w:b/>
      <w:bCs/>
      <w:sz w:val="28"/>
      <w:szCs w:val="24"/>
      <w:lang w:val="es-ES_tradnl" w:eastAsia="es-ES"/>
    </w:rPr>
  </w:style>
  <w:style w:type="paragraph" w:styleId="ListParagraph">
    <w:name w:val="List Paragraph"/>
    <w:basedOn w:val="Normal"/>
    <w:link w:val="ListParagraphChar"/>
    <w:uiPriority w:val="34"/>
    <w:qFormat/>
    <w:rsid w:val="0093715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basedOn w:val="DefaultParagraphFont"/>
    <w:link w:val="ListParagraph"/>
    <w:uiPriority w:val="34"/>
    <w:rsid w:val="00937157"/>
    <w:rPr>
      <w:rFonts w:eastAsiaTheme="minorHAnsi"/>
      <w:lang w:val="fr-CH" w:eastAsia="en-US"/>
    </w:rPr>
  </w:style>
  <w:style w:type="paragraph" w:styleId="NormalWeb">
    <w:name w:val="Normal (Web)"/>
    <w:basedOn w:val="Normal"/>
    <w:rsid w:val="00937157"/>
    <w:pPr>
      <w:suppressAutoHyphens w:val="0"/>
      <w:kinsoku/>
      <w:overflowPunct/>
      <w:autoSpaceDE/>
      <w:autoSpaceDN/>
      <w:adjustRightInd/>
      <w:snapToGrid/>
      <w:spacing w:before="100" w:beforeAutospacing="1" w:after="100" w:afterAutospacing="1" w:line="240" w:lineRule="auto"/>
    </w:pPr>
    <w:rPr>
      <w:rFonts w:ascii="Verdana" w:eastAsia="Times New Roman" w:hAnsi="Verdana"/>
      <w:sz w:val="17"/>
      <w:szCs w:val="17"/>
      <w:lang w:val="en-US"/>
    </w:rPr>
  </w:style>
  <w:style w:type="character" w:styleId="CommentReference">
    <w:name w:val="annotation reference"/>
    <w:basedOn w:val="DefaultParagraphFont"/>
    <w:uiPriority w:val="99"/>
    <w:semiHidden/>
    <w:unhideWhenUsed/>
    <w:rsid w:val="00937157"/>
    <w:rPr>
      <w:sz w:val="16"/>
      <w:szCs w:val="16"/>
    </w:rPr>
  </w:style>
  <w:style w:type="paragraph" w:styleId="CommentText">
    <w:name w:val="annotation text"/>
    <w:basedOn w:val="Normal"/>
    <w:link w:val="CommentTextChar"/>
    <w:uiPriority w:val="99"/>
    <w:semiHidden/>
    <w:unhideWhenUsed/>
    <w:rsid w:val="00937157"/>
    <w:pPr>
      <w:spacing w:line="240" w:lineRule="auto"/>
    </w:pPr>
  </w:style>
  <w:style w:type="character" w:customStyle="1" w:styleId="CommentTextChar">
    <w:name w:val="Comment Text Char"/>
    <w:basedOn w:val="DefaultParagraphFont"/>
    <w:link w:val="CommentText"/>
    <w:uiPriority w:val="99"/>
    <w:semiHidden/>
    <w:rsid w:val="0093715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7157"/>
    <w:rPr>
      <w:b/>
      <w:bCs/>
    </w:rPr>
  </w:style>
  <w:style w:type="character" w:customStyle="1" w:styleId="CommentSubjectChar">
    <w:name w:val="Comment Subject Char"/>
    <w:basedOn w:val="CommentTextChar"/>
    <w:link w:val="CommentSubject"/>
    <w:uiPriority w:val="99"/>
    <w:semiHidden/>
    <w:rsid w:val="00937157"/>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93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262f5ca969703594b2ab7368ae9202e1">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2c6e562af6a9bae5168cc45c6e42d2f8"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C6707-0153-4052-A6CF-7D3A2F57E4A4}">
  <ds:schemaRefs>
    <ds:schemaRef ds:uri="http://schemas.openxmlformats.org/officeDocument/2006/bibliography"/>
  </ds:schemaRefs>
</ds:datastoreItem>
</file>

<file path=customXml/itemProps2.xml><?xml version="1.0" encoding="utf-8"?>
<ds:datastoreItem xmlns:ds="http://schemas.openxmlformats.org/officeDocument/2006/customXml" ds:itemID="{A02EB6B2-BEE3-4C86-992E-330EB977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62A43-6891-469A-956E-0013C7143815}">
  <ds:schemaRefs>
    <ds:schemaRef ds:uri="http://schemas.microsoft.com/sharepoint/v3/contenttype/forms"/>
  </ds:schemaRefs>
</ds:datastoreItem>
</file>

<file path=customXml/itemProps4.xml><?xml version="1.0" encoding="utf-8"?>
<ds:datastoreItem xmlns:ds="http://schemas.openxmlformats.org/officeDocument/2006/customXml" ds:itemID="{90A73714-2150-4A11-837C-7DC914A417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A.dotm</Template>
  <TotalTime>7</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A/HRC/51/67</vt:lpstr>
    </vt:vector>
  </TitlesOfParts>
  <Company>DCM</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A/HRC/51/67</dc:title>
  <dc:subject>2210903</dc:subject>
  <dc:creator>dm</dc:creator>
  <cp:keywords/>
  <dc:description/>
  <cp:lastModifiedBy>Daniele Kirby</cp:lastModifiedBy>
  <cp:revision>5</cp:revision>
  <cp:lastPrinted>2022-07-22T08:16:00Z</cp:lastPrinted>
  <dcterms:created xsi:type="dcterms:W3CDTF">2022-11-10T11:11:00Z</dcterms:created>
  <dcterms:modified xsi:type="dcterms:W3CDTF">2022-11-10T12:07:00Z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