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024E" w14:textId="77777777" w:rsidR="002C74BD" w:rsidRDefault="002C74BD" w:rsidP="002C74BD">
      <w:pPr>
        <w:bidi/>
        <w:jc w:val="both"/>
        <w:rPr>
          <w:sz w:val="20"/>
          <w:szCs w:val="20"/>
        </w:rPr>
      </w:pPr>
    </w:p>
    <w:p w14:paraId="0CE13BB6" w14:textId="77777777" w:rsidR="002C74BD" w:rsidRDefault="002C74BD" w:rsidP="002C74BD">
      <w:pPr>
        <w:rPr>
          <w:rFonts w:ascii="Times New Roman" w:hAnsi="Times New Roman" w:cs="Times New Roman"/>
        </w:rPr>
      </w:pPr>
    </w:p>
    <w:p w14:paraId="37BC72A2" w14:textId="7A2C42AB" w:rsidR="002C74BD" w:rsidRDefault="002C74BD" w:rsidP="002C74BD">
      <w:pPr>
        <w:jc w:val="center"/>
        <w:rPr>
          <w:b/>
          <w:bCs/>
          <w:sz w:val="20"/>
          <w:szCs w:val="20"/>
          <w:rtl/>
        </w:rPr>
      </w:pPr>
      <w:r>
        <w:rPr>
          <w:rFonts w:ascii="Verdana" w:hAnsi="Verdana"/>
          <w:b/>
          <w:bCs/>
          <w:noProof/>
        </w:rPr>
        <w:drawing>
          <wp:inline distT="0" distB="0" distL="0" distR="0" wp14:anchorId="132FB128" wp14:editId="087E8E78">
            <wp:extent cx="5926455" cy="996315"/>
            <wp:effectExtent l="0" t="0" r="0" b="0"/>
            <wp:docPr id="1" name="Picture 1" descr="A picture containing text, font,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font, screenshot, logo&#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26455" cy="996315"/>
                    </a:xfrm>
                    <a:prstGeom prst="rect">
                      <a:avLst/>
                    </a:prstGeom>
                    <a:noFill/>
                    <a:ln>
                      <a:noFill/>
                    </a:ln>
                  </pic:spPr>
                </pic:pic>
              </a:graphicData>
            </a:graphic>
          </wp:inline>
        </w:drawing>
      </w:r>
    </w:p>
    <w:p w14:paraId="53868F8F" w14:textId="77777777" w:rsidR="002C74BD" w:rsidRPr="004D3E3A" w:rsidRDefault="002C74BD" w:rsidP="002C74BD">
      <w:pPr>
        <w:pStyle w:val="NormalWeb"/>
        <w:bidi/>
        <w:spacing w:after="240" w:afterAutospacing="0"/>
        <w:jc w:val="center"/>
        <w:rPr>
          <w:b/>
          <w:bCs/>
        </w:rPr>
      </w:pPr>
      <w:r w:rsidRPr="004D3E3A">
        <w:rPr>
          <w:rFonts w:hint="cs"/>
          <w:b/>
          <w:bCs/>
          <w:rtl/>
          <w:lang w:bidi="he-IL"/>
        </w:rPr>
        <w:t>לפי ועדת החקירה של האו"ם זכויותיהם של חברי הקהילה האזרחית מופרות על ידי כל הישויות בישראל ובשטח הפלסטיני הכבוש, וכי ההגבלות שמטילה ממשלת ישראל על הפלסטינים</w:t>
      </w:r>
      <w:r w:rsidRPr="004D3E3A">
        <w:rPr>
          <w:rFonts w:hint="cs"/>
          <w:b/>
          <w:bCs/>
          <w:lang w:bidi="he-IL"/>
        </w:rPr>
        <w:t xml:space="preserve"> </w:t>
      </w:r>
      <w:r w:rsidRPr="004D3E3A">
        <w:rPr>
          <w:b/>
          <w:bCs/>
          <w:rtl/>
        </w:rPr>
        <w:t>קשורות קשר הדוק</w:t>
      </w:r>
      <w:r w:rsidRPr="004D3E3A">
        <w:rPr>
          <w:rStyle w:val="Strong"/>
          <w:b w:val="0"/>
          <w:bCs w:val="0"/>
          <w:rtl/>
          <w:lang w:bidi="he-IL"/>
        </w:rPr>
        <w:t xml:space="preserve"> </w:t>
      </w:r>
      <w:r w:rsidRPr="004D3E3A">
        <w:rPr>
          <w:rFonts w:hint="cs"/>
          <w:b/>
          <w:bCs/>
          <w:rtl/>
          <w:lang w:bidi="he-IL"/>
        </w:rPr>
        <w:t>לכיבוש</w:t>
      </w:r>
    </w:p>
    <w:p w14:paraId="6C3E5190" w14:textId="77777777" w:rsidR="002C74BD" w:rsidRDefault="002C74BD" w:rsidP="002C74BD">
      <w:pPr>
        <w:jc w:val="both"/>
        <w:rPr>
          <w:rFonts w:ascii="Verdana" w:hAnsi="Verdana"/>
          <w:b/>
          <w:bCs/>
          <w:sz w:val="20"/>
          <w:szCs w:val="20"/>
          <w:rtl/>
        </w:rPr>
      </w:pPr>
    </w:p>
    <w:p w14:paraId="2DCC01BE" w14:textId="77777777" w:rsidR="002C74BD" w:rsidRDefault="002C74BD" w:rsidP="002C74BD">
      <w:pPr>
        <w:bidi/>
        <w:jc w:val="both"/>
        <w:rPr>
          <w:rFonts w:ascii="Verdana" w:hAnsi="Verdana"/>
          <w:sz w:val="20"/>
          <w:szCs w:val="20"/>
        </w:rPr>
      </w:pPr>
      <w:r>
        <w:rPr>
          <w:rFonts w:ascii="Arial" w:hAnsi="Arial" w:cs="Arial"/>
          <w:b/>
          <w:bCs/>
          <w:sz w:val="20"/>
          <w:szCs w:val="20"/>
          <w:rtl/>
          <w:lang w:bidi="he-IL"/>
        </w:rPr>
        <w:t>ז'נבה (</w:t>
      </w:r>
      <w:r>
        <w:rPr>
          <w:rFonts w:ascii="Verdana" w:hAnsi="Verdana"/>
          <w:b/>
          <w:bCs/>
          <w:sz w:val="20"/>
          <w:szCs w:val="20"/>
        </w:rPr>
        <w:t>8</w:t>
      </w:r>
      <w:r>
        <w:rPr>
          <w:rFonts w:ascii="Arial" w:hAnsi="Arial" w:cs="Arial"/>
          <w:b/>
          <w:bCs/>
          <w:sz w:val="20"/>
          <w:szCs w:val="20"/>
          <w:rtl/>
          <w:lang w:bidi="he-IL"/>
        </w:rPr>
        <w:t xml:space="preserve"> ביוני 2023)</w:t>
      </w:r>
      <w:r>
        <w:rPr>
          <w:rFonts w:ascii="Arial" w:hAnsi="Arial" w:cs="Arial"/>
          <w:sz w:val="20"/>
          <w:szCs w:val="20"/>
          <w:rtl/>
          <w:lang w:bidi="he-IL"/>
        </w:rPr>
        <w:t xml:space="preserve"> – זכויותיהם של אנשי החברה האזרחית בישראל ובשטח הפלסטיני הכבוש מופרות על ידי הרשויות בכל האזורים, באמצעות הטרדה, איומים, מעצרים, חקירות, מעצרים שרירותיים, עינויים ויחס בלתי אנושי ומשפיל, כך עולה </w:t>
      </w:r>
      <w:hyperlink r:id="rId9" w:history="1">
        <w:r>
          <w:rPr>
            <w:rStyle w:val="Hyperlink"/>
            <w:rFonts w:ascii="Arial" w:hAnsi="Arial" w:cs="Arial"/>
            <w:sz w:val="20"/>
            <w:szCs w:val="20"/>
            <w:rtl/>
            <w:lang w:bidi="he-IL"/>
          </w:rPr>
          <w:t>מדו"ח</w:t>
        </w:r>
      </w:hyperlink>
      <w:r>
        <w:rPr>
          <w:rFonts w:ascii="Arial" w:hAnsi="Arial" w:cs="Arial"/>
          <w:sz w:val="20"/>
          <w:szCs w:val="20"/>
          <w:rtl/>
          <w:lang w:bidi="he-IL"/>
        </w:rPr>
        <w:t xml:space="preserve"> למועצת זכויות האדם של האו"ם שפורסם היום על ידי </w:t>
      </w:r>
      <w:hyperlink r:id="rId10" w:history="1">
        <w:r>
          <w:rPr>
            <w:rStyle w:val="Hyperlink"/>
            <w:rFonts w:ascii="Arial" w:hAnsi="Arial" w:cs="Arial"/>
            <w:sz w:val="20"/>
            <w:szCs w:val="20"/>
            <w:rtl/>
            <w:lang w:bidi="he-IL"/>
          </w:rPr>
          <w:t>ועדת החקירה</w:t>
        </w:r>
      </w:hyperlink>
      <w:r>
        <w:rPr>
          <w:rFonts w:ascii="Arial" w:hAnsi="Arial" w:cs="Arial"/>
          <w:sz w:val="20"/>
          <w:szCs w:val="20"/>
          <w:rtl/>
          <w:lang w:bidi="he-IL"/>
        </w:rPr>
        <w:t xml:space="preserve"> הבינלאומית העצמאית של האו"ם על השטח הפלסטיני הכבוש כולל מזרח ירושלים וישראל</w:t>
      </w:r>
      <w:r>
        <w:rPr>
          <w:rFonts w:ascii="Verdana" w:hAnsi="Verdana"/>
          <w:sz w:val="20"/>
          <w:szCs w:val="20"/>
        </w:rPr>
        <w:t>.</w:t>
      </w:r>
    </w:p>
    <w:p w14:paraId="066B9664" w14:textId="77777777" w:rsidR="002C74BD" w:rsidRDefault="002C74BD" w:rsidP="002C74BD">
      <w:pPr>
        <w:jc w:val="both"/>
        <w:rPr>
          <w:rFonts w:ascii="Verdana" w:hAnsi="Verdana"/>
          <w:sz w:val="20"/>
          <w:szCs w:val="20"/>
        </w:rPr>
      </w:pPr>
    </w:p>
    <w:p w14:paraId="68752EED" w14:textId="77777777" w:rsidR="002C74BD" w:rsidRDefault="002C74BD" w:rsidP="002C74BD">
      <w:pPr>
        <w:bidi/>
        <w:jc w:val="both"/>
        <w:rPr>
          <w:sz w:val="20"/>
          <w:szCs w:val="20"/>
        </w:rPr>
      </w:pPr>
      <w:r>
        <w:rPr>
          <w:rFonts w:ascii="Arial" w:hAnsi="Arial" w:cs="Arial"/>
          <w:sz w:val="20"/>
          <w:szCs w:val="20"/>
          <w:rtl/>
          <w:lang w:bidi="he-IL"/>
        </w:rPr>
        <w:t>הדו"ח בחן התקפות, הגבלות והטרדות נגד גורמי החברה האזרחית בישראל ובשטח הפלסטיני הכבוש כולל מזרח ירושלים. לפי ממצאי הדו"ח רוב ההפרות מבוצעות על ידי הרשויות הישראליות כחלק ממטרתה של ממשלת ישראל להבטיח ולהעמיק את הכיבוש כמצב קבע על חשבון זכויותיו של העם הפלסטיני.</w:t>
      </w:r>
    </w:p>
    <w:p w14:paraId="72962791" w14:textId="77777777" w:rsidR="002C74BD" w:rsidRDefault="002C74BD" w:rsidP="002C74BD">
      <w:pPr>
        <w:bidi/>
        <w:jc w:val="both"/>
        <w:rPr>
          <w:sz w:val="20"/>
          <w:szCs w:val="20"/>
        </w:rPr>
      </w:pPr>
    </w:p>
    <w:p w14:paraId="0578CDFB" w14:textId="605EF355" w:rsidR="002C74BD" w:rsidRDefault="002C74BD" w:rsidP="002C74BD">
      <w:pPr>
        <w:bidi/>
        <w:jc w:val="both"/>
        <w:rPr>
          <w:sz w:val="20"/>
          <w:szCs w:val="20"/>
        </w:rPr>
      </w:pPr>
      <w:r>
        <w:rPr>
          <w:rFonts w:ascii="Arial" w:hAnsi="Arial" w:cs="Arial"/>
          <w:sz w:val="20"/>
          <w:szCs w:val="20"/>
          <w:rtl/>
          <w:lang w:bidi="he-IL"/>
        </w:rPr>
        <w:t xml:space="preserve">לפי הדו"ח ממשלת ישראל פעלה להגביל את המרחב האזרחי באמצעות אסטרטגיה של דה-לגיטימציה והשתקה. </w:t>
      </w:r>
      <w:r w:rsidR="00E42290">
        <w:rPr>
          <w:rFonts w:ascii="Arial" w:hAnsi="Arial" w:cs="Arial"/>
          <w:sz w:val="20"/>
          <w:szCs w:val="20"/>
          <w:rtl/>
          <w:lang w:bidi="he-IL"/>
        </w:rPr>
        <w:t>א</w:t>
      </w:r>
      <w:r w:rsidR="00E42290">
        <w:rPr>
          <w:rFonts w:ascii="Arial" w:hAnsi="Arial" w:cs="Arial" w:hint="cs"/>
          <w:sz w:val="20"/>
          <w:szCs w:val="20"/>
          <w:rtl/>
          <w:lang w:bidi="he-IL"/>
        </w:rPr>
        <w:t>ס</w:t>
      </w:r>
      <w:r w:rsidR="00E42290">
        <w:rPr>
          <w:rFonts w:ascii="Arial" w:hAnsi="Arial" w:cs="Arial"/>
          <w:sz w:val="20"/>
          <w:szCs w:val="20"/>
          <w:rtl/>
          <w:lang w:bidi="he-IL"/>
        </w:rPr>
        <w:t xml:space="preserve">טרטגיה </w:t>
      </w:r>
      <w:r>
        <w:rPr>
          <w:rFonts w:ascii="Arial" w:hAnsi="Arial" w:cs="Arial"/>
          <w:sz w:val="20"/>
          <w:szCs w:val="20"/>
          <w:rtl/>
          <w:lang w:bidi="he-IL"/>
        </w:rPr>
        <w:t>זו כוללת הפללת ארגוני חברה אזרחית פלסטיניים ואנשי הצוות על ידי הכרזתם כ”טרוריסטים”, הפעלת לחץ ואיום על מוסדות שנותנים במה לשיח בחברה האזרחית, הפעלת שדלנות מול תורמים ויישום צעדים שנועדו לקצץ במקורות המימון לחברה האזרחית.</w:t>
      </w:r>
    </w:p>
    <w:p w14:paraId="0682C3AB" w14:textId="77777777" w:rsidR="002C74BD" w:rsidRDefault="002C74BD" w:rsidP="002C74BD">
      <w:pPr>
        <w:jc w:val="both"/>
        <w:rPr>
          <w:sz w:val="20"/>
          <w:szCs w:val="20"/>
          <w:rtl/>
        </w:rPr>
      </w:pPr>
    </w:p>
    <w:p w14:paraId="61993469" w14:textId="77777777" w:rsidR="002C74BD" w:rsidRDefault="002C74BD" w:rsidP="002C74BD">
      <w:pPr>
        <w:bidi/>
        <w:jc w:val="both"/>
        <w:rPr>
          <w:rFonts w:ascii="Verdana" w:hAnsi="Verdana"/>
          <w:sz w:val="20"/>
          <w:szCs w:val="20"/>
          <w:rtl/>
        </w:rPr>
      </w:pPr>
      <w:r>
        <w:rPr>
          <w:rFonts w:ascii="Arial" w:hAnsi="Arial" w:cs="Arial"/>
          <w:sz w:val="20"/>
          <w:szCs w:val="20"/>
          <w:rtl/>
          <w:lang w:bidi="he-IL"/>
        </w:rPr>
        <w:t>אסטרטגיה זו מיושמת בישראל ובשטחים הפלסטיניים הכבושים נגד ארגונים ופעילי חברה אזרחית ישראלים ופלסטינים, וברחבי העולם נגד פעילים בינלאומיים למען זכויות הפלסטינים.</w:t>
      </w:r>
    </w:p>
    <w:p w14:paraId="4D7C9050" w14:textId="77777777" w:rsidR="002C74BD" w:rsidRDefault="002C74BD" w:rsidP="002C74BD">
      <w:pPr>
        <w:jc w:val="both"/>
        <w:rPr>
          <w:sz w:val="20"/>
          <w:szCs w:val="20"/>
          <w:rtl/>
        </w:rPr>
      </w:pPr>
    </w:p>
    <w:p w14:paraId="3EB923AE" w14:textId="77777777" w:rsidR="002C74BD" w:rsidRDefault="002C74BD" w:rsidP="002C74BD">
      <w:pPr>
        <w:bidi/>
        <w:jc w:val="both"/>
        <w:rPr>
          <w:sz w:val="20"/>
          <w:szCs w:val="20"/>
        </w:rPr>
      </w:pPr>
      <w:r>
        <w:rPr>
          <w:rFonts w:ascii="Arial" w:hAnsi="Arial" w:cs="Arial"/>
          <w:sz w:val="20"/>
          <w:szCs w:val="20"/>
          <w:rtl/>
          <w:lang w:bidi="he-IL"/>
        </w:rPr>
        <w:t>הדו"ח קבע כי הכרזת הרשויות הישראליות על שישה ארגונים פלסטיניים לא ממשלתיים כארגוני "טרור" ועל ארגון פלסטיני לא ממשלתי שביעי כבלתי חוקי אינה מוצדקת ומהווה הפרה של זכויות אדם בסיסיות, לרבות הזכויות לחופש ההתאגדות, הביטוי, הדעה, התקהלות בדרכי שלום, הפרטיות והזכות למשפט הוגן.</w:t>
      </w:r>
    </w:p>
    <w:p w14:paraId="5F9AA326" w14:textId="77777777" w:rsidR="002C74BD" w:rsidRDefault="002C74BD" w:rsidP="002C74BD">
      <w:pPr>
        <w:jc w:val="both"/>
        <w:rPr>
          <w:rFonts w:ascii="Verdana" w:hAnsi="Verdana"/>
          <w:sz w:val="20"/>
          <w:szCs w:val="20"/>
        </w:rPr>
      </w:pPr>
    </w:p>
    <w:p w14:paraId="4A71D9F2" w14:textId="77777777" w:rsidR="002C74BD" w:rsidRDefault="002C74BD" w:rsidP="002C74BD">
      <w:pPr>
        <w:bidi/>
        <w:jc w:val="both"/>
        <w:rPr>
          <w:sz w:val="20"/>
          <w:szCs w:val="20"/>
          <w:rtl/>
        </w:rPr>
      </w:pPr>
      <w:r>
        <w:rPr>
          <w:rFonts w:ascii="Arial" w:hAnsi="Arial" w:cs="Arial"/>
          <w:sz w:val="20"/>
          <w:szCs w:val="20"/>
          <w:rtl/>
          <w:lang w:bidi="he-IL"/>
        </w:rPr>
        <w:t xml:space="preserve">הדו"ח גם מצא כי הרשויות הפלסטיניות בגדה המערבית הכבושה וברצועת עזה תקפו מגיני זכויות אדם פלסטינים ופעילי חברה אזרחית במטרה להשתיק דעות מנוגדות. מעצרם ומאסרם של פעילים פלסטינים הן בידי הרשויות הישראליות והן הפלסטיניות צוין כמציאות קשה במיוחד עבור פעילים פלסטינים רבים. </w:t>
      </w:r>
    </w:p>
    <w:p w14:paraId="0CC2FD65" w14:textId="77777777" w:rsidR="002C74BD" w:rsidRDefault="002C74BD" w:rsidP="002C74BD">
      <w:pPr>
        <w:jc w:val="both"/>
        <w:rPr>
          <w:sz w:val="20"/>
          <w:szCs w:val="20"/>
        </w:rPr>
      </w:pPr>
    </w:p>
    <w:p w14:paraId="2F7FD56C" w14:textId="77777777" w:rsidR="002C74BD" w:rsidRDefault="002C74BD" w:rsidP="002C74BD">
      <w:pPr>
        <w:bidi/>
        <w:jc w:val="both"/>
        <w:rPr>
          <w:sz w:val="20"/>
          <w:szCs w:val="20"/>
        </w:rPr>
      </w:pPr>
      <w:r>
        <w:rPr>
          <w:rFonts w:ascii="Arial" w:hAnsi="Arial" w:cs="Arial"/>
          <w:sz w:val="20"/>
          <w:szCs w:val="20"/>
          <w:rtl/>
        </w:rPr>
        <w:t>"</w:t>
      </w:r>
      <w:r>
        <w:rPr>
          <w:rFonts w:ascii="Arial" w:hAnsi="Arial" w:cs="Arial"/>
          <w:sz w:val="20"/>
          <w:szCs w:val="20"/>
          <w:rtl/>
          <w:lang w:bidi="he-IL"/>
        </w:rPr>
        <w:t>היום פרסמנו דו"ח המתמקד בהשתקת החברה האזרחית בשטח הפלסטיני הכבוש ובישראל, והגענו למסקנה שכל הישויות הנושאות בחובה משפטית מגבלות את הזכויות לחופש הביטוי והחופש להתקהלות בדרכי שלום", אמרה נוואנתם פילאי, יו"ר הוועדה. "אנחנו מודאגים במיוחד ממצבם של מגיני זכויות האדם הפלסטינים, המתמודדים באופן שגרתי עם סדרה של צעדי ענישה כחלק ממדיניות משטר הכיבוש. לצעדים אלה יש השלכות מרחיקות לכת על ילדים ועלולים להוביל</w:t>
      </w:r>
      <w:r>
        <w:rPr>
          <w:rFonts w:ascii="Verdana" w:hAnsi="Verdana"/>
          <w:sz w:val="20"/>
          <w:szCs w:val="20"/>
          <w:lang w:bidi="he-IL"/>
        </w:rPr>
        <w:t xml:space="preserve"> </w:t>
      </w:r>
      <w:r>
        <w:rPr>
          <w:rFonts w:ascii="Arial" w:hAnsi="Arial" w:cs="Arial"/>
          <w:sz w:val="20"/>
          <w:szCs w:val="20"/>
          <w:rtl/>
          <w:lang w:bidi="he-IL"/>
        </w:rPr>
        <w:t>לפיצול משפחות ולהגברת הטראומה והפחד הנפשי".</w:t>
      </w:r>
    </w:p>
    <w:p w14:paraId="562B5FE2" w14:textId="77777777" w:rsidR="002C74BD" w:rsidRDefault="002C74BD" w:rsidP="002C74BD">
      <w:pPr>
        <w:jc w:val="both"/>
        <w:rPr>
          <w:sz w:val="20"/>
          <w:szCs w:val="20"/>
          <w:rtl/>
        </w:rPr>
      </w:pPr>
    </w:p>
    <w:p w14:paraId="590A3E29" w14:textId="77777777" w:rsidR="002C74BD" w:rsidRDefault="002C74BD" w:rsidP="002C74BD">
      <w:pPr>
        <w:bidi/>
        <w:jc w:val="both"/>
        <w:rPr>
          <w:sz w:val="20"/>
          <w:szCs w:val="20"/>
          <w:rtl/>
        </w:rPr>
      </w:pPr>
      <w:r>
        <w:rPr>
          <w:rFonts w:ascii="Arial" w:hAnsi="Arial" w:cs="Arial"/>
          <w:sz w:val="20"/>
          <w:szCs w:val="20"/>
          <w:rtl/>
          <w:lang w:bidi="he-IL"/>
        </w:rPr>
        <w:t>לצורך כתיבת הדו"ח הוועדה ערכה יותר מ-127 ראיונות עם קורבנות, עדים, מומחים ואחרים; שכללו שימועים פומביים וסגורים בז'נבה שהתקיימו בנובמבר 2022 ובמרץ 2023. כמו כן התקבלו 21 הגשות לקול הקורא שפרסמה הוועדה ב-2 בנובמבר 2022.</w:t>
      </w:r>
    </w:p>
    <w:p w14:paraId="78FF9BA9" w14:textId="77777777" w:rsidR="002C74BD" w:rsidRDefault="002C74BD" w:rsidP="002C74BD">
      <w:pPr>
        <w:jc w:val="both"/>
        <w:rPr>
          <w:sz w:val="20"/>
          <w:szCs w:val="20"/>
          <w:rtl/>
        </w:rPr>
      </w:pPr>
    </w:p>
    <w:p w14:paraId="01038A66" w14:textId="77777777" w:rsidR="002C74BD" w:rsidRDefault="002C74BD" w:rsidP="002C74BD">
      <w:pPr>
        <w:bidi/>
        <w:jc w:val="both"/>
        <w:rPr>
          <w:sz w:val="20"/>
          <w:szCs w:val="20"/>
        </w:rPr>
      </w:pPr>
      <w:r>
        <w:rPr>
          <w:rFonts w:ascii="Arial" w:hAnsi="Arial" w:cs="Arial"/>
          <w:sz w:val="20"/>
          <w:szCs w:val="20"/>
          <w:rtl/>
          <w:lang w:bidi="he-IL"/>
        </w:rPr>
        <w:t>הוועדה הקדישה חלק ניכר מהדו"ח לבחינת מדיניות ונהלים מגבילים, ולבדוק את השפעתן על קבוצות שונות של החברה האזרחית, לרבות עיתונאיות, מגינות זכויות אדם, אמנים ופעילי תרבות ומרכזי תרבות פלסטיניים המקדמים גיוון והכלה של הקהילה הלהט"בית.</w:t>
      </w:r>
    </w:p>
    <w:p w14:paraId="7FE12306" w14:textId="77777777" w:rsidR="002C74BD" w:rsidRDefault="002C74BD" w:rsidP="002C74BD">
      <w:pPr>
        <w:jc w:val="both"/>
        <w:rPr>
          <w:sz w:val="20"/>
          <w:szCs w:val="20"/>
          <w:rtl/>
        </w:rPr>
      </w:pPr>
    </w:p>
    <w:p w14:paraId="7B099151" w14:textId="77777777" w:rsidR="002C74BD" w:rsidRDefault="002C74BD" w:rsidP="002C74BD">
      <w:pPr>
        <w:bidi/>
        <w:jc w:val="both"/>
        <w:rPr>
          <w:sz w:val="20"/>
          <w:szCs w:val="20"/>
        </w:rPr>
      </w:pPr>
      <w:r>
        <w:rPr>
          <w:rFonts w:ascii="Arial" w:hAnsi="Arial" w:cs="Arial"/>
          <w:sz w:val="20"/>
          <w:szCs w:val="20"/>
          <w:rtl/>
          <w:lang w:bidi="he-IL"/>
        </w:rPr>
        <w:t>הדו"ח מצא כי עיתונאים פלסטינים מהווים מטרה ספציפית להתקפות וחשופים באופן עקבי לסדרה של הטרדות וצעדי ענישה מתוך כוונה להרתיע אותם מלהמשיך בעבודתם. עיתונאים ישראלים גם כן נמצאים תחת מעקב והטרדות הרשויות באופן הולך וגובר, ומחילים על עצמם צנזורה עצמית מחשש להטרדות ולאובדן תעסוקה.</w:t>
      </w:r>
    </w:p>
    <w:p w14:paraId="3918CAA2" w14:textId="77777777" w:rsidR="002C74BD" w:rsidRDefault="002C74BD" w:rsidP="002C74BD">
      <w:pPr>
        <w:jc w:val="both"/>
        <w:rPr>
          <w:sz w:val="20"/>
          <w:szCs w:val="20"/>
          <w:rtl/>
        </w:rPr>
      </w:pPr>
    </w:p>
    <w:p w14:paraId="07228C96" w14:textId="77777777" w:rsidR="002C74BD" w:rsidRDefault="002C74BD" w:rsidP="002C74BD">
      <w:pPr>
        <w:jc w:val="both"/>
        <w:rPr>
          <w:sz w:val="20"/>
          <w:szCs w:val="20"/>
        </w:rPr>
      </w:pPr>
    </w:p>
    <w:p w14:paraId="537800E7" w14:textId="77777777" w:rsidR="002C74BD" w:rsidRDefault="002C74BD" w:rsidP="002C74BD">
      <w:pPr>
        <w:bidi/>
        <w:jc w:val="both"/>
        <w:rPr>
          <w:rFonts w:ascii="Arial" w:hAnsi="Arial" w:cs="Arial"/>
          <w:sz w:val="20"/>
          <w:szCs w:val="20"/>
          <w:rtl/>
        </w:rPr>
      </w:pPr>
      <w:r>
        <w:rPr>
          <w:rFonts w:ascii="Arial" w:hAnsi="Arial" w:cs="Arial"/>
          <w:sz w:val="20"/>
          <w:szCs w:val="20"/>
          <w:rtl/>
          <w:lang w:bidi="he-IL"/>
        </w:rPr>
        <w:t xml:space="preserve">נשים מגינות זכויות אדם עומדות בפני סיכונים משמעותיים ומסומנות כמטרה בשל תפקידן ונראותן במאבקים לשינוי חברתי ופוליטי. הן מותקפות באופן ספציפי על ידי גורמים במדינה הפלסטינית וארגונים אנטי-מגדריים משום שהן נתפסות כמתנגדות לנורמות דתיות ותרבותיות ולסטטוס קוו. </w:t>
      </w:r>
    </w:p>
    <w:p w14:paraId="3DC7706A" w14:textId="77777777" w:rsidR="002C74BD" w:rsidRDefault="002C74BD" w:rsidP="002C74BD">
      <w:pPr>
        <w:bidi/>
        <w:jc w:val="both"/>
        <w:rPr>
          <w:sz w:val="20"/>
          <w:szCs w:val="20"/>
          <w:rtl/>
        </w:rPr>
      </w:pPr>
    </w:p>
    <w:p w14:paraId="27306BD3" w14:textId="77777777" w:rsidR="002C74BD" w:rsidRDefault="002C74BD" w:rsidP="002C74BD">
      <w:pPr>
        <w:bidi/>
        <w:jc w:val="both"/>
        <w:rPr>
          <w:rFonts w:ascii="Verdana" w:hAnsi="Verdana"/>
          <w:sz w:val="20"/>
          <w:szCs w:val="20"/>
        </w:rPr>
      </w:pPr>
      <w:r>
        <w:rPr>
          <w:rFonts w:ascii="Arial" w:hAnsi="Arial" w:cs="Arial"/>
          <w:sz w:val="20"/>
          <w:szCs w:val="20"/>
          <w:rtl/>
          <w:lang w:bidi="he-IL"/>
        </w:rPr>
        <w:lastRenderedPageBreak/>
        <w:t>הדו"ח גם מצא כי הפעילות של הרשויות הישראליות והפלסטיניות לצמצם את חופש הביטוי במרחב התרבותי תוך כדי פגיעה באמנים ובפעילי תרבות מהוות הפרה של זכויות תרבותיות</w:t>
      </w:r>
      <w:r>
        <w:rPr>
          <w:rFonts w:ascii="Verdana" w:hAnsi="Verdana"/>
          <w:sz w:val="20"/>
          <w:szCs w:val="20"/>
        </w:rPr>
        <w:t>.</w:t>
      </w:r>
    </w:p>
    <w:p w14:paraId="07A544EA" w14:textId="77777777" w:rsidR="002C74BD" w:rsidRDefault="002C74BD" w:rsidP="002C74BD">
      <w:pPr>
        <w:jc w:val="both"/>
        <w:rPr>
          <w:sz w:val="20"/>
          <w:szCs w:val="20"/>
          <w:rtl/>
        </w:rPr>
      </w:pPr>
    </w:p>
    <w:p w14:paraId="6A516E84" w14:textId="77777777" w:rsidR="002C74BD" w:rsidRDefault="002C74BD" w:rsidP="002C74BD">
      <w:pPr>
        <w:bidi/>
        <w:jc w:val="both"/>
        <w:rPr>
          <w:sz w:val="20"/>
          <w:szCs w:val="20"/>
        </w:rPr>
      </w:pPr>
      <w:r>
        <w:rPr>
          <w:rFonts w:ascii="Arial" w:hAnsi="Arial" w:cs="Arial"/>
          <w:sz w:val="20"/>
          <w:szCs w:val="20"/>
          <w:rtl/>
        </w:rPr>
        <w:t>"</w:t>
      </w:r>
      <w:r>
        <w:rPr>
          <w:rFonts w:ascii="Arial" w:hAnsi="Arial" w:cs="Arial"/>
          <w:sz w:val="20"/>
          <w:szCs w:val="20"/>
          <w:rtl/>
          <w:lang w:bidi="he-IL"/>
        </w:rPr>
        <w:t>הקצנו חשיבות גדולה להבנת ההשפעה של המרחב האזרחי המצמצם על קבוצות ספציפיות של פעילים, שחלקם חשופים יותר להתקפות וסובלים מנזק אישי משמעותי כתוצאה," אמר נציב הוועדה מילון קוטארי.</w:t>
      </w:r>
    </w:p>
    <w:p w14:paraId="5109AFEB" w14:textId="77777777" w:rsidR="002C74BD" w:rsidRDefault="002C74BD" w:rsidP="002C74BD">
      <w:pPr>
        <w:jc w:val="both"/>
        <w:rPr>
          <w:sz w:val="20"/>
          <w:szCs w:val="20"/>
        </w:rPr>
      </w:pPr>
    </w:p>
    <w:p w14:paraId="7BAEAEC6" w14:textId="77777777" w:rsidR="002C74BD" w:rsidRDefault="002C74BD" w:rsidP="002C74BD">
      <w:pPr>
        <w:bidi/>
        <w:jc w:val="both"/>
        <w:rPr>
          <w:sz w:val="20"/>
          <w:szCs w:val="20"/>
          <w:rtl/>
        </w:rPr>
      </w:pPr>
      <w:r>
        <w:rPr>
          <w:rFonts w:ascii="Arial" w:hAnsi="Arial" w:cs="Arial"/>
          <w:sz w:val="20"/>
          <w:szCs w:val="20"/>
          <w:rtl/>
          <w:lang w:bidi="he-IL"/>
        </w:rPr>
        <w:t>"נשים פעילות זכויות אדם ומפגינות חוות סטיגמות ובידוד בעלי אופי-מגדרי בולט בהשוואה לעמיתיהן הגברים, כולל אלימות מינית ומגדרית במהלך הפגנות ודרך מסעות הטרדה והכפשה מקוונים, שמטרתם היחידה היא להטיל בהן ספק בתוך החברה ולהרתיע אותן מפעילות במקומות ציבוריים." אמר קוטארי. "אנו גם מאוד מוטרדים מהפגיעה בזכות לחיי תרבות וחופש הביטוי בתרבות ואומנות אותה סקרנו בדו"ח, ובהקשר זה אנו מודאגים מאוד מהצהרות פוליטיקאים ישראלים שנועדו למחוק אלמנטים של התרבות והזהות הפלסטינית."</w:t>
      </w:r>
    </w:p>
    <w:p w14:paraId="7773CB0D" w14:textId="77777777" w:rsidR="002C74BD" w:rsidRDefault="002C74BD" w:rsidP="002C74BD">
      <w:pPr>
        <w:jc w:val="both"/>
        <w:rPr>
          <w:sz w:val="20"/>
          <w:szCs w:val="20"/>
          <w:rtl/>
        </w:rPr>
      </w:pPr>
    </w:p>
    <w:p w14:paraId="3041ABEF" w14:textId="77777777" w:rsidR="002C74BD" w:rsidRDefault="002C74BD" w:rsidP="002C74BD">
      <w:pPr>
        <w:bidi/>
        <w:jc w:val="both"/>
        <w:rPr>
          <w:sz w:val="20"/>
          <w:szCs w:val="20"/>
          <w:rtl/>
        </w:rPr>
      </w:pPr>
      <w:r>
        <w:rPr>
          <w:rFonts w:ascii="Arial" w:hAnsi="Arial" w:cs="Arial"/>
          <w:sz w:val="20"/>
          <w:szCs w:val="20"/>
          <w:rtl/>
          <w:lang w:bidi="he-IL"/>
        </w:rPr>
        <w:t>למרות שהדו"ח התמקד בעיקר בפעולות שננקטו על ידי ישויות הנושאות בחובה משפטית, הוא מצא גם כי ארגונים לא ממשלתיים מסוימים ממלאים תפקידי מפתח בהשתקת החברה האזרחית בשטח הפלסטיני הכבוש ובישראל ובהפעלת לחץ על אלה המנסים לקדם זכויות הפלסטינים ברחבי העולם. ארגונים לא ממשלתיים ימניים הפועלים במדינת ישראל ובחו"ל למעשה מיישמים ומקדמים את האסטרטגיה של ממשלת ישראל נגד החברה האזרחית. ארגונים פלסטיניים אנטי-מגדריים לזכויות האדם הפועלים בגדה המערבית הכבושה סמנו כמטרה נשים מגינות זכויות אדם פלסטיניות. הן הרשויות הישראליות והן הרשויות הפלסטיניות מאפשרות ובמקרים מסוימים מעודדות ותומכות בפעילותם של ארגונים לא ממשלתיים הפועלים נגד החברה האזרחית.</w:t>
      </w:r>
    </w:p>
    <w:p w14:paraId="626DAD30" w14:textId="77777777" w:rsidR="002C74BD" w:rsidRDefault="002C74BD" w:rsidP="002C74BD">
      <w:pPr>
        <w:jc w:val="both"/>
        <w:rPr>
          <w:sz w:val="20"/>
          <w:szCs w:val="20"/>
          <w:rtl/>
        </w:rPr>
      </w:pPr>
    </w:p>
    <w:p w14:paraId="249A0193" w14:textId="77777777" w:rsidR="002C74BD" w:rsidRDefault="002C74BD" w:rsidP="002C74BD">
      <w:pPr>
        <w:bidi/>
        <w:jc w:val="both"/>
        <w:rPr>
          <w:rFonts w:ascii="Verdana" w:hAnsi="Verdana"/>
          <w:sz w:val="20"/>
          <w:szCs w:val="20"/>
        </w:rPr>
      </w:pPr>
      <w:r>
        <w:rPr>
          <w:rFonts w:ascii="Arial" w:hAnsi="Arial" w:cs="Arial"/>
          <w:sz w:val="20"/>
          <w:szCs w:val="20"/>
          <w:rtl/>
          <w:lang w:bidi="he-IL"/>
        </w:rPr>
        <w:t>הדו"ח מצא יסוד סביר להסיק כי מספר פעולות ישראליות הננקטו נגד ארגוני חברה אזרחית עולות לכדי הפרה של משפט זכויות האדם הבינלאומי והמשפט הבינלאומי ההומניטארי ועלולות להוות פשעים לפי המשפט הבינלאומי. אלה כוללות מעצר שרירותי של חברי ארגוני חברה אזרחית והעברתם בכפייה מהשטח הפלסטיני הכבוש לישראל, תוך הפרה של אמנת ג'נבה הרביעית, שלילת מעמד תושבות במזרח ירושלים וגירושו של פעיל זכויות אדם ממזרח ירושלים.</w:t>
      </w:r>
    </w:p>
    <w:p w14:paraId="433B36E6" w14:textId="77777777" w:rsidR="002C74BD" w:rsidRDefault="002C74BD" w:rsidP="002C74BD">
      <w:pPr>
        <w:jc w:val="both"/>
        <w:rPr>
          <w:rFonts w:ascii="Verdana" w:hAnsi="Verdana"/>
          <w:sz w:val="20"/>
          <w:szCs w:val="20"/>
          <w:rtl/>
        </w:rPr>
      </w:pPr>
    </w:p>
    <w:p w14:paraId="51B5EEDE" w14:textId="77777777" w:rsidR="002C74BD" w:rsidRDefault="002C74BD" w:rsidP="002C74BD">
      <w:pPr>
        <w:bidi/>
        <w:jc w:val="both"/>
        <w:rPr>
          <w:sz w:val="20"/>
          <w:szCs w:val="20"/>
        </w:rPr>
      </w:pPr>
      <w:r>
        <w:rPr>
          <w:rFonts w:ascii="Arial" w:hAnsi="Arial" w:cs="Arial"/>
          <w:sz w:val="20"/>
          <w:szCs w:val="20"/>
          <w:rtl/>
        </w:rPr>
        <w:t>"</w:t>
      </w:r>
      <w:r>
        <w:rPr>
          <w:rFonts w:ascii="Arial" w:hAnsi="Arial" w:cs="Arial"/>
          <w:sz w:val="20"/>
          <w:szCs w:val="20"/>
          <w:rtl/>
          <w:lang w:bidi="he-IL"/>
        </w:rPr>
        <w:t>אין לנו ספק ששלילת מעמד התושבות במזרח ירושלים של מגן זכויות האדם, סלאח חמורי על סמך 'הפרת אמונים' לכאורה, מהווה פשע מלחמה," אמר נציב הוועדה כריס סידוטי. "דרישת אמונים מאנשים מוגנים בשטח כבוש היא הפרה מגונה של המשפט הבינלאומי ההומניטארי. שמרנו מידע על האנשים הנושאים באחריות למה שעלול לעלות לכדי פשע מלחמה של גירוש בלתי חוקי, כולל צדדים שלישיים כגון חברות תעופה ועובדיהן שסייעו בגירוש."</w:t>
      </w:r>
    </w:p>
    <w:p w14:paraId="4B99A845" w14:textId="77777777" w:rsidR="002C74BD" w:rsidRDefault="002C74BD" w:rsidP="002C74BD">
      <w:pPr>
        <w:jc w:val="both"/>
        <w:rPr>
          <w:sz w:val="20"/>
          <w:szCs w:val="20"/>
        </w:rPr>
      </w:pPr>
    </w:p>
    <w:p w14:paraId="60D92EF0" w14:textId="77777777" w:rsidR="002C74BD" w:rsidRDefault="002C74BD" w:rsidP="002C74BD">
      <w:pPr>
        <w:bidi/>
        <w:jc w:val="both"/>
        <w:rPr>
          <w:rFonts w:ascii="Verdana" w:hAnsi="Verdana"/>
          <w:sz w:val="20"/>
          <w:szCs w:val="20"/>
        </w:rPr>
      </w:pPr>
      <w:r>
        <w:rPr>
          <w:rFonts w:ascii="Arial" w:hAnsi="Arial" w:cs="Arial"/>
          <w:sz w:val="20"/>
          <w:szCs w:val="20"/>
          <w:rtl/>
          <w:lang w:bidi="he-IL"/>
        </w:rPr>
        <w:t>הדו"ח ממליץ לכל הישויות הנושאות בחובה משפטית להגן ולכבד את הזכויות להתאגדות, לחופש הביטוי והדעה ולחופש ההתקהלות בדרכי שלום, והזכויות הכלכליות, החברתיות והתרבותיות, לרבות בריאות, דיור וחינוך, וכי גורמי החברה האזרחית, לרבות מגיני זכויות אדם, עיתונאים ונשים מגינות זכויות אדם, יוכלו לנהל את פעילותם בצורה בטוחה, חופשית וללא הטרדה או פעולות תגמול.</w:t>
      </w:r>
    </w:p>
    <w:p w14:paraId="06EA9F28" w14:textId="77777777" w:rsidR="002C74BD" w:rsidRDefault="002C74BD" w:rsidP="002C74BD">
      <w:pPr>
        <w:jc w:val="both"/>
        <w:rPr>
          <w:rFonts w:ascii="Times New Roman" w:hAnsi="Times New Roman" w:cs="Times New Roman"/>
          <w:sz w:val="20"/>
          <w:szCs w:val="20"/>
          <w:rtl/>
        </w:rPr>
      </w:pPr>
    </w:p>
    <w:p w14:paraId="71E87F92" w14:textId="77777777" w:rsidR="002C74BD" w:rsidRDefault="002C74BD" w:rsidP="002C74BD">
      <w:pPr>
        <w:bidi/>
        <w:jc w:val="both"/>
        <w:rPr>
          <w:sz w:val="20"/>
          <w:szCs w:val="20"/>
        </w:rPr>
      </w:pPr>
      <w:r>
        <w:rPr>
          <w:rFonts w:ascii="Arial" w:hAnsi="Arial" w:cs="Arial"/>
          <w:sz w:val="20"/>
          <w:szCs w:val="20"/>
          <w:rtl/>
          <w:lang w:bidi="he-IL"/>
        </w:rPr>
        <w:t>עוד ממליץ הדו"ח כי משרד התובע של בית הדין הפלילי הבינלאומי ייתן עדיפות לחקירת המצב בשטח הפלסטיני הכבוש, לרבות זיהוי אנשים שבצעו פשעים ישירים, אנשים בעלי אחריות פיקודית ואנשים המסייעים לביצוע פשעים שנמצאים תחת סמכות בית הדין.</w:t>
      </w:r>
    </w:p>
    <w:p w14:paraId="7F72ED29" w14:textId="77777777" w:rsidR="002C74BD" w:rsidRDefault="002C74BD" w:rsidP="002C74BD">
      <w:pPr>
        <w:jc w:val="both"/>
        <w:rPr>
          <w:rFonts w:ascii="Verdana" w:hAnsi="Verdana"/>
          <w:color w:val="FF0000"/>
          <w:sz w:val="20"/>
          <w:szCs w:val="20"/>
        </w:rPr>
      </w:pPr>
    </w:p>
    <w:p w14:paraId="77013819" w14:textId="77777777" w:rsidR="002C74BD" w:rsidRDefault="002C74BD" w:rsidP="002C74BD">
      <w:pPr>
        <w:bidi/>
        <w:jc w:val="both"/>
        <w:rPr>
          <w:rFonts w:ascii="Verdana" w:hAnsi="Verdana"/>
          <w:sz w:val="20"/>
          <w:szCs w:val="20"/>
          <w:rtl/>
        </w:rPr>
      </w:pPr>
      <w:r>
        <w:rPr>
          <w:rFonts w:ascii="Arial" w:hAnsi="Arial" w:cs="Arial"/>
          <w:sz w:val="20"/>
          <w:szCs w:val="20"/>
          <w:rtl/>
          <w:lang w:bidi="he-IL"/>
        </w:rPr>
        <w:t>דו"ח מורחב יותר בצורת נייר חדר ישיבות (</w:t>
      </w:r>
      <w:r>
        <w:rPr>
          <w:rFonts w:ascii="Verdana" w:hAnsi="Verdana"/>
          <w:sz w:val="20"/>
          <w:szCs w:val="20"/>
        </w:rPr>
        <w:t>conference room paper</w:t>
      </w:r>
      <w:r>
        <w:rPr>
          <w:rFonts w:ascii="Arial" w:hAnsi="Arial" w:cs="Arial"/>
          <w:sz w:val="20"/>
          <w:szCs w:val="20"/>
          <w:rtl/>
          <w:lang w:bidi="he-IL"/>
        </w:rPr>
        <w:t>) שישלים את הדו"ח בן 22 העמודים (באנגלית) של הוועדה, יופץ במהלך</w:t>
      </w:r>
      <w:r>
        <w:rPr>
          <w:rFonts w:ascii="Arial" w:hAnsi="Arial" w:cs="Arial"/>
          <w:color w:val="FF0000"/>
          <w:sz w:val="20"/>
          <w:szCs w:val="20"/>
          <w:rtl/>
          <w:lang w:bidi="he-IL"/>
        </w:rPr>
        <w:t xml:space="preserve"> </w:t>
      </w:r>
      <w:r>
        <w:rPr>
          <w:rFonts w:ascii="Arial" w:hAnsi="Arial" w:cs="Arial"/>
          <w:sz w:val="20"/>
          <w:szCs w:val="20"/>
          <w:rtl/>
          <w:lang w:bidi="he-IL"/>
        </w:rPr>
        <w:t>המושב ה-53 של המועצה ביוני.</w:t>
      </w:r>
    </w:p>
    <w:p w14:paraId="04D2212E" w14:textId="77777777" w:rsidR="002C74BD" w:rsidRDefault="002C74BD" w:rsidP="002C74BD">
      <w:pPr>
        <w:bidi/>
        <w:jc w:val="both"/>
        <w:rPr>
          <w:rFonts w:ascii="Verdana" w:hAnsi="Verdana"/>
          <w:sz w:val="20"/>
          <w:szCs w:val="20"/>
        </w:rPr>
      </w:pPr>
    </w:p>
    <w:p w14:paraId="0C4F8C33" w14:textId="77777777" w:rsidR="002C74BD" w:rsidRDefault="002C74BD" w:rsidP="002C74BD">
      <w:pPr>
        <w:bidi/>
        <w:jc w:val="both"/>
        <w:rPr>
          <w:i/>
          <w:iCs/>
          <w:sz w:val="20"/>
          <w:szCs w:val="20"/>
        </w:rPr>
      </w:pPr>
    </w:p>
    <w:p w14:paraId="62C233A0" w14:textId="77777777" w:rsidR="002C74BD" w:rsidRDefault="002C74BD" w:rsidP="002C74BD">
      <w:pPr>
        <w:bidi/>
        <w:jc w:val="both"/>
        <w:rPr>
          <w:i/>
          <w:iCs/>
          <w:sz w:val="20"/>
          <w:szCs w:val="20"/>
          <w:lang w:bidi="he-IL"/>
        </w:rPr>
      </w:pPr>
      <w:r>
        <w:rPr>
          <w:rFonts w:ascii="Arial" w:hAnsi="Arial" w:cs="Arial"/>
          <w:i/>
          <w:iCs/>
          <w:sz w:val="20"/>
          <w:szCs w:val="20"/>
          <w:rtl/>
          <w:lang w:bidi="he-IL"/>
        </w:rPr>
        <w:t>סוף</w:t>
      </w:r>
      <w:r>
        <w:rPr>
          <w:rFonts w:ascii="Verdana" w:hAnsi="Verdana"/>
          <w:i/>
          <w:iCs/>
          <w:sz w:val="20"/>
          <w:szCs w:val="20"/>
        </w:rPr>
        <w:t>.</w:t>
      </w:r>
    </w:p>
    <w:p w14:paraId="4F437CAE" w14:textId="77777777" w:rsidR="002C74BD" w:rsidRDefault="002C74BD" w:rsidP="002C74BD">
      <w:pPr>
        <w:bidi/>
        <w:jc w:val="both"/>
        <w:rPr>
          <w:i/>
          <w:iCs/>
          <w:sz w:val="20"/>
          <w:szCs w:val="20"/>
          <w:lang w:bidi="he-IL"/>
        </w:rPr>
      </w:pPr>
    </w:p>
    <w:p w14:paraId="6B130D34" w14:textId="77777777" w:rsidR="002C74BD" w:rsidRDefault="002C74BD" w:rsidP="002C74BD">
      <w:pPr>
        <w:bidi/>
        <w:jc w:val="both"/>
        <w:rPr>
          <w:i/>
          <w:iCs/>
          <w:sz w:val="20"/>
          <w:szCs w:val="20"/>
          <w:rtl/>
          <w:lang w:bidi="he-IL"/>
        </w:rPr>
      </w:pPr>
      <w:r>
        <w:rPr>
          <w:rFonts w:hint="cs"/>
          <w:i/>
          <w:iCs/>
          <w:sz w:val="20"/>
          <w:szCs w:val="20"/>
          <w:rtl/>
          <w:lang w:bidi="he-IL"/>
        </w:rPr>
        <w:t xml:space="preserve">לקריאת הדו"ח המלא לחץ </w:t>
      </w:r>
      <w:hyperlink r:id="rId11" w:history="1">
        <w:r>
          <w:rPr>
            <w:rStyle w:val="Hyperlink"/>
            <w:rFonts w:hint="cs"/>
            <w:i/>
            <w:iCs/>
            <w:sz w:val="20"/>
            <w:szCs w:val="20"/>
            <w:rtl/>
            <w:lang w:bidi="he-IL"/>
          </w:rPr>
          <w:t>כאן</w:t>
        </w:r>
      </w:hyperlink>
      <w:r>
        <w:rPr>
          <w:rFonts w:hint="cs"/>
          <w:i/>
          <w:iCs/>
          <w:sz w:val="20"/>
          <w:szCs w:val="20"/>
          <w:rtl/>
          <w:lang w:bidi="he-IL"/>
        </w:rPr>
        <w:t xml:space="preserve">, לקריאת הדו"ח המורחב לחץ </w:t>
      </w:r>
      <w:hyperlink r:id="rId12" w:history="1">
        <w:r>
          <w:rPr>
            <w:rStyle w:val="Hyperlink"/>
            <w:rFonts w:hint="cs"/>
            <w:i/>
            <w:iCs/>
            <w:sz w:val="20"/>
            <w:szCs w:val="20"/>
            <w:rtl/>
            <w:lang w:bidi="he-IL"/>
          </w:rPr>
          <w:t>כאן</w:t>
        </w:r>
      </w:hyperlink>
      <w:r>
        <w:rPr>
          <w:rFonts w:hint="cs"/>
          <w:i/>
          <w:iCs/>
          <w:sz w:val="20"/>
          <w:szCs w:val="20"/>
          <w:rtl/>
          <w:lang w:bidi="he-IL"/>
        </w:rPr>
        <w:t xml:space="preserve">, ולקריאת הדו"ח בתרגום לא רשמי לעברית לחץ </w:t>
      </w:r>
      <w:hyperlink r:id="rId13" w:history="1">
        <w:r>
          <w:rPr>
            <w:rStyle w:val="Hyperlink"/>
            <w:rFonts w:hint="cs"/>
            <w:i/>
            <w:iCs/>
            <w:sz w:val="20"/>
            <w:szCs w:val="20"/>
            <w:rtl/>
            <w:lang w:bidi="he-IL"/>
          </w:rPr>
          <w:t>כאן</w:t>
        </w:r>
      </w:hyperlink>
      <w:r>
        <w:rPr>
          <w:rFonts w:hint="cs"/>
          <w:i/>
          <w:iCs/>
          <w:sz w:val="20"/>
          <w:szCs w:val="20"/>
          <w:rtl/>
          <w:lang w:bidi="he-IL"/>
        </w:rPr>
        <w:t>.</w:t>
      </w:r>
    </w:p>
    <w:p w14:paraId="54EE769B" w14:textId="77777777" w:rsidR="002C74BD" w:rsidRDefault="002C74BD" w:rsidP="002C74BD">
      <w:pPr>
        <w:bidi/>
        <w:jc w:val="both"/>
        <w:rPr>
          <w:i/>
          <w:iCs/>
          <w:sz w:val="20"/>
          <w:szCs w:val="20"/>
          <w:rtl/>
        </w:rPr>
      </w:pPr>
    </w:p>
    <w:p w14:paraId="5B48F5BE" w14:textId="77777777" w:rsidR="002C74BD" w:rsidRDefault="002C74BD" w:rsidP="002C74BD">
      <w:pPr>
        <w:bidi/>
        <w:jc w:val="both"/>
        <w:rPr>
          <w:i/>
          <w:iCs/>
          <w:sz w:val="20"/>
          <w:szCs w:val="20"/>
          <w:rtl/>
        </w:rPr>
      </w:pPr>
      <w:r>
        <w:rPr>
          <w:rFonts w:ascii="Arial" w:hAnsi="Arial" w:cs="Arial"/>
          <w:b/>
          <w:bCs/>
          <w:i/>
          <w:iCs/>
          <w:sz w:val="20"/>
          <w:szCs w:val="20"/>
          <w:rtl/>
          <w:lang w:bidi="he-IL"/>
        </w:rPr>
        <w:t>רקע</w:t>
      </w:r>
      <w:hyperlink r:id="rId14" w:history="1">
        <w:r>
          <w:rPr>
            <w:rStyle w:val="Hyperlink"/>
            <w:rFonts w:ascii="Arial" w:hAnsi="Arial" w:cs="Arial"/>
            <w:b/>
            <w:bCs/>
            <w:i/>
            <w:iCs/>
            <w:sz w:val="20"/>
            <w:szCs w:val="20"/>
            <w:rtl/>
            <w:lang w:bidi="he-IL"/>
          </w:rPr>
          <w:t>:</w:t>
        </w:r>
        <w:r>
          <w:rPr>
            <w:rStyle w:val="Hyperlink"/>
            <w:rFonts w:ascii="Arial" w:hAnsi="Arial" w:cs="Arial"/>
            <w:i/>
            <w:iCs/>
            <w:sz w:val="20"/>
            <w:szCs w:val="20"/>
            <w:rtl/>
            <w:lang w:bidi="he-IL"/>
          </w:rPr>
          <w:t xml:space="preserve"> מועצת זכויות האדם</w:t>
        </w:r>
      </w:hyperlink>
      <w:r>
        <w:rPr>
          <w:rFonts w:ascii="Arial" w:hAnsi="Arial" w:cs="Arial"/>
          <w:i/>
          <w:iCs/>
          <w:sz w:val="20"/>
          <w:szCs w:val="20"/>
          <w:rtl/>
          <w:lang w:bidi="he-IL"/>
        </w:rPr>
        <w:t xml:space="preserve"> של האו"ם הסמיכה את הוועדה ב-27 במאי 2021 "לחקור את כל ההפרות לכאורה של המשפט ההומניטרי הבינלאומי וכל ההפרות לכאורה של דיני זכויות האדם הבינלאומיים בשטחים הפלסטינים הכבושים, כולל מזרח ירושלים, ובישראל, עד ולאחר ה-13 באפריל 2021". ביולי 2021, הודיע נשיא מועצת זכויות האדם על מינוים של נוואנתם פילאי (דרום אפריקה), מילון קותארי (הודו) וכריסטופר סידוטי (אוסטרליה) לכהן כשלושת חברי הוועדה וציין כי גב' פילאי תכהן כיו"ר. עוד ביקשה </w:t>
      </w:r>
      <w:hyperlink r:id="rId15" w:history="1">
        <w:r>
          <w:rPr>
            <w:rStyle w:val="Hyperlink"/>
            <w:rFonts w:ascii="Arial" w:hAnsi="Arial" w:cs="Arial"/>
            <w:i/>
            <w:iCs/>
            <w:sz w:val="20"/>
            <w:szCs w:val="20"/>
            <w:rtl/>
            <w:lang w:bidi="he-IL"/>
          </w:rPr>
          <w:t>החלטה</w:t>
        </w:r>
        <w:r>
          <w:rPr>
            <w:rStyle w:val="Hyperlink"/>
            <w:rFonts w:ascii="Verdana" w:hAnsi="Verdana"/>
            <w:i/>
            <w:iCs/>
            <w:sz w:val="20"/>
            <w:szCs w:val="20"/>
          </w:rPr>
          <w:t xml:space="preserve"> A/HRC/RES/S-30/1</w:t>
        </w:r>
      </w:hyperlink>
      <w:r>
        <w:rPr>
          <w:rFonts w:ascii="Verdana" w:hAnsi="Verdana"/>
          <w:i/>
          <w:iCs/>
          <w:sz w:val="20"/>
          <w:szCs w:val="20"/>
        </w:rPr>
        <w:t xml:space="preserve"> </w:t>
      </w:r>
      <w:r>
        <w:rPr>
          <w:rFonts w:ascii="Arial" w:hAnsi="Arial" w:cs="Arial"/>
          <w:i/>
          <w:iCs/>
          <w:sz w:val="20"/>
          <w:szCs w:val="20"/>
          <w:rtl/>
          <w:lang w:bidi="he-IL"/>
        </w:rPr>
        <w:t>מוועדת החקירה "לחקור את כל גורמי השורש העיקריים למתחים חוזרים, חוסר יציבות והתארכות הסכסוך, לרבות אפליה ודיכוי שיטתיים על בסיס זהות לאומית, אתנית, גזעית או דתית". ועדת החקירה קיבלה מנדט לדווח למועצת זכויות האדם ולעצרת הכללית מדי שנה מיוני 2022 וספטמבר 2022, בהתאמה</w:t>
      </w:r>
      <w:r>
        <w:rPr>
          <w:rFonts w:ascii="Verdana" w:hAnsi="Verdana"/>
          <w:i/>
          <w:iCs/>
          <w:sz w:val="20"/>
          <w:szCs w:val="20"/>
        </w:rPr>
        <w:t>.</w:t>
      </w:r>
    </w:p>
    <w:p w14:paraId="19086746" w14:textId="77777777" w:rsidR="002C74BD" w:rsidRDefault="002C74BD" w:rsidP="002C74BD">
      <w:pPr>
        <w:jc w:val="both"/>
        <w:rPr>
          <w:sz w:val="20"/>
          <w:szCs w:val="20"/>
          <w:rtl/>
        </w:rPr>
      </w:pPr>
    </w:p>
    <w:p w14:paraId="726E9575" w14:textId="77777777" w:rsidR="002C74BD" w:rsidRDefault="002C74BD" w:rsidP="002C74BD">
      <w:pPr>
        <w:bidi/>
        <w:jc w:val="both"/>
        <w:rPr>
          <w:rFonts w:ascii="Arial" w:hAnsi="Arial" w:cs="Arial"/>
          <w:i/>
          <w:iCs/>
          <w:sz w:val="20"/>
          <w:szCs w:val="20"/>
          <w:rtl/>
        </w:rPr>
      </w:pPr>
      <w:r>
        <w:rPr>
          <w:rFonts w:ascii="Arial" w:hAnsi="Arial" w:cs="Arial"/>
          <w:b/>
          <w:bCs/>
          <w:i/>
          <w:iCs/>
          <w:sz w:val="20"/>
          <w:szCs w:val="20"/>
          <w:rtl/>
          <w:lang w:bidi="he-IL"/>
        </w:rPr>
        <w:t>מידע נוסף</w:t>
      </w:r>
      <w:r>
        <w:rPr>
          <w:rFonts w:ascii="Arial" w:hAnsi="Arial" w:cs="Arial"/>
          <w:i/>
          <w:iCs/>
          <w:sz w:val="20"/>
          <w:szCs w:val="20"/>
          <w:rtl/>
          <w:lang w:bidi="he-IL"/>
        </w:rPr>
        <w:t xml:space="preserve"> על עבודתה של ועדת החקירה הבינלאומית העצמאית של האו"ם על השטח הפלסטיני הכבוש, לרבות מזרח ירושלים ובישראל, ניתן למצוא בכתובת:</w:t>
      </w:r>
      <w:hyperlink r:id="rId16" w:history="1">
        <w:r>
          <w:rPr>
            <w:rStyle w:val="Hyperlink"/>
            <w:rFonts w:ascii="Arial" w:hAnsi="Arial" w:cs="Arial"/>
            <w:i/>
            <w:iCs/>
            <w:sz w:val="20"/>
            <w:szCs w:val="20"/>
            <w:rtl/>
          </w:rPr>
          <w:t xml:space="preserve"> </w:t>
        </w:r>
        <w:r>
          <w:rPr>
            <w:rStyle w:val="Hyperlink"/>
            <w:rFonts w:ascii="Verdana" w:hAnsi="Verdana"/>
            <w:i/>
            <w:iCs/>
            <w:sz w:val="20"/>
            <w:szCs w:val="20"/>
          </w:rPr>
          <w:t>https://www.ohchr.org/en/hr-bodies/hrc/co-israel/index</w:t>
        </w:r>
      </w:hyperlink>
    </w:p>
    <w:p w14:paraId="1768B014" w14:textId="77777777" w:rsidR="002C74BD" w:rsidRDefault="002C74BD" w:rsidP="002C74BD">
      <w:pPr>
        <w:pStyle w:val="xmsonormal"/>
        <w:shd w:val="clear" w:color="auto" w:fill="FFFFFF"/>
        <w:spacing w:before="0" w:beforeAutospacing="0" w:after="0" w:afterAutospacing="0" w:line="253" w:lineRule="atLeast"/>
        <w:jc w:val="both"/>
        <w:rPr>
          <w:i/>
          <w:iCs/>
          <w:sz w:val="20"/>
          <w:szCs w:val="20"/>
          <w:rtl/>
        </w:rPr>
      </w:pPr>
    </w:p>
    <w:p w14:paraId="2637AB6F" w14:textId="77777777" w:rsidR="002C74BD" w:rsidRDefault="002C74BD" w:rsidP="002C74BD">
      <w:pPr>
        <w:pStyle w:val="xmsonormal"/>
        <w:shd w:val="clear" w:color="auto" w:fill="FFFFFF"/>
        <w:bidi/>
        <w:spacing w:before="0" w:beforeAutospacing="0" w:after="0" w:afterAutospacing="0" w:line="253" w:lineRule="atLeast"/>
        <w:jc w:val="both"/>
        <w:rPr>
          <w:i/>
          <w:iCs/>
          <w:sz w:val="20"/>
          <w:szCs w:val="20"/>
        </w:rPr>
      </w:pPr>
      <w:r>
        <w:rPr>
          <w:rFonts w:ascii="Arial" w:hAnsi="Arial" w:cs="Arial"/>
          <w:b/>
          <w:bCs/>
          <w:i/>
          <w:iCs/>
          <w:color w:val="000000"/>
          <w:sz w:val="20"/>
          <w:szCs w:val="20"/>
          <w:rtl/>
          <w:lang w:eastAsia="en-US" w:bidi="he-IL"/>
        </w:rPr>
        <w:t>לקבלת מידע נוסף ולבקשות אמצעי וכלי תקשורת, אנא צרו קשר עם</w:t>
      </w:r>
      <w:r>
        <w:rPr>
          <w:rFonts w:ascii="Arial" w:hAnsi="Arial" w:cs="Arial"/>
          <w:i/>
          <w:iCs/>
          <w:color w:val="000000"/>
          <w:sz w:val="20"/>
          <w:szCs w:val="20"/>
          <w:rtl/>
          <w:lang w:eastAsia="en-US" w:bidi="he-IL"/>
        </w:rPr>
        <w:t>: טוד פיטמן, יועץ תקשורת למשימות החקירה של מועצת זכויות האדם, בכתובת</w:t>
      </w:r>
      <w:r>
        <w:rPr>
          <w:rFonts w:hint="cs"/>
          <w:i/>
          <w:iCs/>
          <w:color w:val="000000"/>
          <w:sz w:val="20"/>
          <w:szCs w:val="20"/>
          <w:rtl/>
          <w:lang w:bidi="he-IL"/>
        </w:rPr>
        <w:t xml:space="preserve"> </w:t>
      </w:r>
      <w:hyperlink r:id="rId17" w:history="1">
        <w:r>
          <w:rPr>
            <w:rStyle w:val="Hyperlink"/>
            <w:rFonts w:ascii="Verdana" w:hAnsi="Verdana"/>
            <w:i/>
            <w:iCs/>
            <w:sz w:val="20"/>
            <w:szCs w:val="20"/>
          </w:rPr>
          <w:t>todd.pitman@un.org</w:t>
        </w:r>
      </w:hyperlink>
      <w:r>
        <w:rPr>
          <w:rFonts w:ascii="Arial" w:hAnsi="Arial" w:cs="Arial"/>
          <w:i/>
          <w:iCs/>
          <w:color w:val="000000"/>
          <w:sz w:val="20"/>
          <w:szCs w:val="20"/>
          <w:rtl/>
          <w:lang w:eastAsia="en-US" w:bidi="he-IL"/>
        </w:rPr>
        <w:t>, נייד:</w:t>
      </w:r>
      <w:r>
        <w:rPr>
          <w:rFonts w:ascii="Verdana" w:hAnsi="Verdana"/>
          <w:i/>
          <w:iCs/>
          <w:color w:val="000000"/>
          <w:sz w:val="20"/>
          <w:szCs w:val="20"/>
          <w:lang w:eastAsia="en-US"/>
        </w:rPr>
        <w:t xml:space="preserve"> +41 76 691 176 </w:t>
      </w:r>
      <w:r>
        <w:rPr>
          <w:rFonts w:ascii="Arial" w:hAnsi="Arial" w:cs="Arial"/>
          <w:i/>
          <w:iCs/>
          <w:color w:val="000000"/>
          <w:sz w:val="20"/>
          <w:szCs w:val="20"/>
          <w:rtl/>
          <w:lang w:eastAsia="en-US" w:bidi="he-IL"/>
        </w:rPr>
        <w:t>, או פסקל סים, אחראי תקשורת של מועצת זכויות האדם, בכתובת</w:t>
      </w:r>
      <w:r>
        <w:rPr>
          <w:rFonts w:hint="cs"/>
          <w:i/>
          <w:iCs/>
          <w:color w:val="000000"/>
          <w:sz w:val="20"/>
          <w:szCs w:val="20"/>
          <w:rtl/>
          <w:lang w:bidi="he-IL"/>
        </w:rPr>
        <w:t xml:space="preserve"> </w:t>
      </w:r>
      <w:hyperlink r:id="rId18" w:history="1">
        <w:r>
          <w:rPr>
            <w:rStyle w:val="Hyperlink"/>
            <w:rFonts w:ascii="Verdana" w:hAnsi="Verdana"/>
            <w:i/>
            <w:iCs/>
            <w:sz w:val="20"/>
            <w:szCs w:val="20"/>
          </w:rPr>
          <w:t>simp@un.org</w:t>
        </w:r>
      </w:hyperlink>
      <w:r>
        <w:rPr>
          <w:rFonts w:hint="cs"/>
          <w:i/>
          <w:iCs/>
          <w:color w:val="000000"/>
          <w:sz w:val="20"/>
          <w:szCs w:val="20"/>
          <w:rtl/>
          <w:lang w:bidi="he-IL"/>
        </w:rPr>
        <w:t>.</w:t>
      </w:r>
    </w:p>
    <w:p w14:paraId="40B895B2" w14:textId="77777777" w:rsidR="002C74BD" w:rsidRDefault="002C74BD" w:rsidP="002C74BD">
      <w:pPr>
        <w:pStyle w:val="xmsonormal"/>
        <w:shd w:val="clear" w:color="auto" w:fill="FFFFFF"/>
        <w:spacing w:before="0" w:beforeAutospacing="0" w:after="0" w:afterAutospacing="0" w:line="253" w:lineRule="atLeast"/>
        <w:jc w:val="both"/>
        <w:rPr>
          <w:rFonts w:ascii="Calibri" w:hAnsi="Calibri" w:cs="Calibri"/>
          <w:i/>
          <w:iCs/>
          <w:color w:val="201F1E"/>
          <w:sz w:val="20"/>
          <w:szCs w:val="20"/>
          <w:rtl/>
        </w:rPr>
      </w:pPr>
    </w:p>
    <w:p w14:paraId="609A7F85" w14:textId="77777777" w:rsidR="00753F0C" w:rsidRPr="002C74BD" w:rsidRDefault="00753F0C" w:rsidP="002C74BD"/>
    <w:sectPr w:rsidR="00753F0C" w:rsidRPr="002C74BD" w:rsidSect="00FA4A9D">
      <w:pgSz w:w="11906" w:h="16838"/>
      <w:pgMar w:top="709" w:right="1133"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EEB6" w14:textId="77777777" w:rsidR="00076C7C" w:rsidRDefault="00076C7C" w:rsidP="0003055A">
      <w:r>
        <w:separator/>
      </w:r>
    </w:p>
  </w:endnote>
  <w:endnote w:type="continuationSeparator" w:id="0">
    <w:p w14:paraId="55E82A40" w14:textId="77777777" w:rsidR="00076C7C" w:rsidRDefault="00076C7C" w:rsidP="0003055A">
      <w:r>
        <w:continuationSeparator/>
      </w:r>
    </w:p>
  </w:endnote>
  <w:endnote w:type="continuationNotice" w:id="1">
    <w:p w14:paraId="769EB2A8" w14:textId="77777777" w:rsidR="00076C7C" w:rsidRDefault="00076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7C84" w14:textId="77777777" w:rsidR="00076C7C" w:rsidRDefault="00076C7C" w:rsidP="0003055A">
      <w:r>
        <w:separator/>
      </w:r>
    </w:p>
  </w:footnote>
  <w:footnote w:type="continuationSeparator" w:id="0">
    <w:p w14:paraId="4CAD388F" w14:textId="77777777" w:rsidR="00076C7C" w:rsidRDefault="00076C7C" w:rsidP="0003055A">
      <w:r>
        <w:continuationSeparator/>
      </w:r>
    </w:p>
  </w:footnote>
  <w:footnote w:type="continuationNotice" w:id="1">
    <w:p w14:paraId="6D818308" w14:textId="77777777" w:rsidR="00076C7C" w:rsidRDefault="00076C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368"/>
    <w:rsid w:val="00002BD6"/>
    <w:rsid w:val="00002E1B"/>
    <w:rsid w:val="00002EC1"/>
    <w:rsid w:val="0000506F"/>
    <w:rsid w:val="0000799E"/>
    <w:rsid w:val="00022BF4"/>
    <w:rsid w:val="00027575"/>
    <w:rsid w:val="0003055A"/>
    <w:rsid w:val="00032189"/>
    <w:rsid w:val="0003350B"/>
    <w:rsid w:val="00033E73"/>
    <w:rsid w:val="0004110A"/>
    <w:rsid w:val="00045023"/>
    <w:rsid w:val="00056EA8"/>
    <w:rsid w:val="0006027D"/>
    <w:rsid w:val="00070814"/>
    <w:rsid w:val="000725B9"/>
    <w:rsid w:val="00073A60"/>
    <w:rsid w:val="00076C7C"/>
    <w:rsid w:val="00077DB9"/>
    <w:rsid w:val="00080CC0"/>
    <w:rsid w:val="00082549"/>
    <w:rsid w:val="000905D4"/>
    <w:rsid w:val="00090CF8"/>
    <w:rsid w:val="00091BB6"/>
    <w:rsid w:val="00096721"/>
    <w:rsid w:val="000A00DD"/>
    <w:rsid w:val="000A01E0"/>
    <w:rsid w:val="000A3CD6"/>
    <w:rsid w:val="000A56EB"/>
    <w:rsid w:val="000A6FB8"/>
    <w:rsid w:val="000B2026"/>
    <w:rsid w:val="000C2139"/>
    <w:rsid w:val="000C3883"/>
    <w:rsid w:val="000C4DAF"/>
    <w:rsid w:val="000C58D6"/>
    <w:rsid w:val="000D3DF1"/>
    <w:rsid w:val="000D705E"/>
    <w:rsid w:val="000E4DAF"/>
    <w:rsid w:val="000E6AAC"/>
    <w:rsid w:val="000F4D8C"/>
    <w:rsid w:val="000F6F63"/>
    <w:rsid w:val="000F7ED3"/>
    <w:rsid w:val="0010129D"/>
    <w:rsid w:val="001014F5"/>
    <w:rsid w:val="0010518E"/>
    <w:rsid w:val="001251D5"/>
    <w:rsid w:val="00131B57"/>
    <w:rsid w:val="00132009"/>
    <w:rsid w:val="001369A0"/>
    <w:rsid w:val="0013731C"/>
    <w:rsid w:val="001374F0"/>
    <w:rsid w:val="0014009F"/>
    <w:rsid w:val="001417D0"/>
    <w:rsid w:val="00144BF5"/>
    <w:rsid w:val="00151817"/>
    <w:rsid w:val="001520F5"/>
    <w:rsid w:val="001539C2"/>
    <w:rsid w:val="00155F05"/>
    <w:rsid w:val="00156CB4"/>
    <w:rsid w:val="00160C26"/>
    <w:rsid w:val="00161941"/>
    <w:rsid w:val="00162490"/>
    <w:rsid w:val="00162EC7"/>
    <w:rsid w:val="00172223"/>
    <w:rsid w:val="00173FEF"/>
    <w:rsid w:val="00174F24"/>
    <w:rsid w:val="00176C25"/>
    <w:rsid w:val="00177006"/>
    <w:rsid w:val="0018468F"/>
    <w:rsid w:val="001860D2"/>
    <w:rsid w:val="00186817"/>
    <w:rsid w:val="00192FCD"/>
    <w:rsid w:val="00193892"/>
    <w:rsid w:val="00193927"/>
    <w:rsid w:val="00195383"/>
    <w:rsid w:val="0019571D"/>
    <w:rsid w:val="00197C61"/>
    <w:rsid w:val="001A0B87"/>
    <w:rsid w:val="001A2196"/>
    <w:rsid w:val="001A3841"/>
    <w:rsid w:val="001A6FE5"/>
    <w:rsid w:val="001B0C64"/>
    <w:rsid w:val="001B0C99"/>
    <w:rsid w:val="001B1B65"/>
    <w:rsid w:val="001B2E08"/>
    <w:rsid w:val="001B581C"/>
    <w:rsid w:val="001B62F9"/>
    <w:rsid w:val="001C695C"/>
    <w:rsid w:val="001D1E1C"/>
    <w:rsid w:val="001D1F1E"/>
    <w:rsid w:val="001D3800"/>
    <w:rsid w:val="001D6D61"/>
    <w:rsid w:val="001E0B40"/>
    <w:rsid w:val="001E5578"/>
    <w:rsid w:val="001F1AA8"/>
    <w:rsid w:val="001F6160"/>
    <w:rsid w:val="00201F16"/>
    <w:rsid w:val="002020F6"/>
    <w:rsid w:val="002048E2"/>
    <w:rsid w:val="002067F5"/>
    <w:rsid w:val="00207D99"/>
    <w:rsid w:val="00213F93"/>
    <w:rsid w:val="0021747B"/>
    <w:rsid w:val="002215A6"/>
    <w:rsid w:val="00227475"/>
    <w:rsid w:val="00232139"/>
    <w:rsid w:val="002323E7"/>
    <w:rsid w:val="00232A27"/>
    <w:rsid w:val="00232D0B"/>
    <w:rsid w:val="00234FF6"/>
    <w:rsid w:val="00237B24"/>
    <w:rsid w:val="002439BA"/>
    <w:rsid w:val="00247B7F"/>
    <w:rsid w:val="00255A07"/>
    <w:rsid w:val="00262107"/>
    <w:rsid w:val="0026454C"/>
    <w:rsid w:val="0026569C"/>
    <w:rsid w:val="00266478"/>
    <w:rsid w:val="0026654F"/>
    <w:rsid w:val="0027392D"/>
    <w:rsid w:val="00280CE2"/>
    <w:rsid w:val="00280CE9"/>
    <w:rsid w:val="00283380"/>
    <w:rsid w:val="00284639"/>
    <w:rsid w:val="002919F7"/>
    <w:rsid w:val="002A3549"/>
    <w:rsid w:val="002A663F"/>
    <w:rsid w:val="002A6CC8"/>
    <w:rsid w:val="002A77D5"/>
    <w:rsid w:val="002B1C80"/>
    <w:rsid w:val="002B1CE7"/>
    <w:rsid w:val="002B239A"/>
    <w:rsid w:val="002B380A"/>
    <w:rsid w:val="002B6F98"/>
    <w:rsid w:val="002C64F9"/>
    <w:rsid w:val="002C6AD7"/>
    <w:rsid w:val="002C74BD"/>
    <w:rsid w:val="002D0A19"/>
    <w:rsid w:val="002D1A8C"/>
    <w:rsid w:val="002D23FD"/>
    <w:rsid w:val="002D2C94"/>
    <w:rsid w:val="002D2F37"/>
    <w:rsid w:val="002D34F1"/>
    <w:rsid w:val="002D6D4B"/>
    <w:rsid w:val="002E32FE"/>
    <w:rsid w:val="002F4EAB"/>
    <w:rsid w:val="002F52B9"/>
    <w:rsid w:val="003023A7"/>
    <w:rsid w:val="00306392"/>
    <w:rsid w:val="00310107"/>
    <w:rsid w:val="00317576"/>
    <w:rsid w:val="00321C5C"/>
    <w:rsid w:val="00323B6C"/>
    <w:rsid w:val="00324F7E"/>
    <w:rsid w:val="00325726"/>
    <w:rsid w:val="00326B86"/>
    <w:rsid w:val="00330CBC"/>
    <w:rsid w:val="003352A3"/>
    <w:rsid w:val="00335342"/>
    <w:rsid w:val="003504FB"/>
    <w:rsid w:val="00351DCB"/>
    <w:rsid w:val="00352118"/>
    <w:rsid w:val="00352505"/>
    <w:rsid w:val="003556D2"/>
    <w:rsid w:val="0036053A"/>
    <w:rsid w:val="00363421"/>
    <w:rsid w:val="003643B8"/>
    <w:rsid w:val="0037292F"/>
    <w:rsid w:val="003731FD"/>
    <w:rsid w:val="00374282"/>
    <w:rsid w:val="003744BA"/>
    <w:rsid w:val="003747AF"/>
    <w:rsid w:val="00375EE9"/>
    <w:rsid w:val="003810FB"/>
    <w:rsid w:val="00390766"/>
    <w:rsid w:val="00391EBE"/>
    <w:rsid w:val="00394B13"/>
    <w:rsid w:val="003A17DD"/>
    <w:rsid w:val="003A18EA"/>
    <w:rsid w:val="003A62DD"/>
    <w:rsid w:val="003A6ED4"/>
    <w:rsid w:val="003B0E5A"/>
    <w:rsid w:val="003B3377"/>
    <w:rsid w:val="003B3AA6"/>
    <w:rsid w:val="003B626D"/>
    <w:rsid w:val="003C4054"/>
    <w:rsid w:val="003C57C7"/>
    <w:rsid w:val="003C5B46"/>
    <w:rsid w:val="003D4DCE"/>
    <w:rsid w:val="003E15EE"/>
    <w:rsid w:val="003E3FD1"/>
    <w:rsid w:val="003F1051"/>
    <w:rsid w:val="003F1DC6"/>
    <w:rsid w:val="004019AE"/>
    <w:rsid w:val="00401F97"/>
    <w:rsid w:val="0040399A"/>
    <w:rsid w:val="00413FDF"/>
    <w:rsid w:val="00416050"/>
    <w:rsid w:val="00417ED0"/>
    <w:rsid w:val="00420CB6"/>
    <w:rsid w:val="00421DEF"/>
    <w:rsid w:val="00430EED"/>
    <w:rsid w:val="00436372"/>
    <w:rsid w:val="00440A4D"/>
    <w:rsid w:val="0044247E"/>
    <w:rsid w:val="00445D13"/>
    <w:rsid w:val="00446DD0"/>
    <w:rsid w:val="00465702"/>
    <w:rsid w:val="004764B5"/>
    <w:rsid w:val="00480A21"/>
    <w:rsid w:val="00486908"/>
    <w:rsid w:val="0048713B"/>
    <w:rsid w:val="00491C68"/>
    <w:rsid w:val="0049417A"/>
    <w:rsid w:val="004A0CE6"/>
    <w:rsid w:val="004A338E"/>
    <w:rsid w:val="004A5990"/>
    <w:rsid w:val="004A6217"/>
    <w:rsid w:val="004B0098"/>
    <w:rsid w:val="004C167C"/>
    <w:rsid w:val="004C33BB"/>
    <w:rsid w:val="004C3E4F"/>
    <w:rsid w:val="004C675D"/>
    <w:rsid w:val="004D1E7F"/>
    <w:rsid w:val="004D38BA"/>
    <w:rsid w:val="004D3E3A"/>
    <w:rsid w:val="004D516D"/>
    <w:rsid w:val="004D782E"/>
    <w:rsid w:val="004E18E4"/>
    <w:rsid w:val="004E5383"/>
    <w:rsid w:val="004E7FC2"/>
    <w:rsid w:val="004F1DDD"/>
    <w:rsid w:val="004F60DF"/>
    <w:rsid w:val="00505059"/>
    <w:rsid w:val="00511836"/>
    <w:rsid w:val="00514203"/>
    <w:rsid w:val="0052003D"/>
    <w:rsid w:val="00524823"/>
    <w:rsid w:val="0053385C"/>
    <w:rsid w:val="00534DEF"/>
    <w:rsid w:val="00541ED3"/>
    <w:rsid w:val="00544BBC"/>
    <w:rsid w:val="00551F76"/>
    <w:rsid w:val="005523C6"/>
    <w:rsid w:val="00555FF6"/>
    <w:rsid w:val="00556274"/>
    <w:rsid w:val="005565DE"/>
    <w:rsid w:val="00556EAC"/>
    <w:rsid w:val="00560127"/>
    <w:rsid w:val="00562A8C"/>
    <w:rsid w:val="0056308D"/>
    <w:rsid w:val="00565928"/>
    <w:rsid w:val="00571297"/>
    <w:rsid w:val="00573A76"/>
    <w:rsid w:val="0057554C"/>
    <w:rsid w:val="0057601C"/>
    <w:rsid w:val="00584023"/>
    <w:rsid w:val="00587A96"/>
    <w:rsid w:val="005919E3"/>
    <w:rsid w:val="00592452"/>
    <w:rsid w:val="005A0D55"/>
    <w:rsid w:val="005A1D7D"/>
    <w:rsid w:val="005A3546"/>
    <w:rsid w:val="005A3550"/>
    <w:rsid w:val="005A717E"/>
    <w:rsid w:val="005B0B88"/>
    <w:rsid w:val="005B14A9"/>
    <w:rsid w:val="005B39E6"/>
    <w:rsid w:val="005B4EDC"/>
    <w:rsid w:val="005C2602"/>
    <w:rsid w:val="005C44D3"/>
    <w:rsid w:val="005D1B22"/>
    <w:rsid w:val="005D5932"/>
    <w:rsid w:val="005F2FC7"/>
    <w:rsid w:val="005F476D"/>
    <w:rsid w:val="006039CA"/>
    <w:rsid w:val="0061184E"/>
    <w:rsid w:val="0061631C"/>
    <w:rsid w:val="00622C63"/>
    <w:rsid w:val="006264E7"/>
    <w:rsid w:val="00641146"/>
    <w:rsid w:val="0064463A"/>
    <w:rsid w:val="00655F43"/>
    <w:rsid w:val="00670D75"/>
    <w:rsid w:val="0067154C"/>
    <w:rsid w:val="006716FF"/>
    <w:rsid w:val="00672043"/>
    <w:rsid w:val="00672685"/>
    <w:rsid w:val="00674148"/>
    <w:rsid w:val="00677433"/>
    <w:rsid w:val="006820A8"/>
    <w:rsid w:val="00684F31"/>
    <w:rsid w:val="006928B8"/>
    <w:rsid w:val="00697BFC"/>
    <w:rsid w:val="006A04BB"/>
    <w:rsid w:val="006A09A0"/>
    <w:rsid w:val="006A54AC"/>
    <w:rsid w:val="006A705D"/>
    <w:rsid w:val="006B35EC"/>
    <w:rsid w:val="006C13D4"/>
    <w:rsid w:val="006C469A"/>
    <w:rsid w:val="006C6DAB"/>
    <w:rsid w:val="006D6A72"/>
    <w:rsid w:val="006D6EFA"/>
    <w:rsid w:val="006E25FE"/>
    <w:rsid w:val="006F5633"/>
    <w:rsid w:val="006F629F"/>
    <w:rsid w:val="0070315E"/>
    <w:rsid w:val="00715EB0"/>
    <w:rsid w:val="00723C32"/>
    <w:rsid w:val="007260CD"/>
    <w:rsid w:val="0072653A"/>
    <w:rsid w:val="00731C30"/>
    <w:rsid w:val="007348FC"/>
    <w:rsid w:val="0073645B"/>
    <w:rsid w:val="00736FE4"/>
    <w:rsid w:val="00737B44"/>
    <w:rsid w:val="007408E7"/>
    <w:rsid w:val="00746A7C"/>
    <w:rsid w:val="00747929"/>
    <w:rsid w:val="00753F0C"/>
    <w:rsid w:val="00755004"/>
    <w:rsid w:val="00755EE4"/>
    <w:rsid w:val="007574CC"/>
    <w:rsid w:val="0076258F"/>
    <w:rsid w:val="007649D2"/>
    <w:rsid w:val="0076502A"/>
    <w:rsid w:val="00772B38"/>
    <w:rsid w:val="00774412"/>
    <w:rsid w:val="00776EF1"/>
    <w:rsid w:val="00784850"/>
    <w:rsid w:val="00785D03"/>
    <w:rsid w:val="00792006"/>
    <w:rsid w:val="007A2989"/>
    <w:rsid w:val="007A5DD1"/>
    <w:rsid w:val="007B0F2E"/>
    <w:rsid w:val="007C053D"/>
    <w:rsid w:val="007C0E89"/>
    <w:rsid w:val="007C573A"/>
    <w:rsid w:val="007D1A9A"/>
    <w:rsid w:val="007D3BDA"/>
    <w:rsid w:val="007D530A"/>
    <w:rsid w:val="007D574C"/>
    <w:rsid w:val="007D78C6"/>
    <w:rsid w:val="007E2BC6"/>
    <w:rsid w:val="007E3DF8"/>
    <w:rsid w:val="007F1780"/>
    <w:rsid w:val="008039BE"/>
    <w:rsid w:val="00812DEB"/>
    <w:rsid w:val="008178A2"/>
    <w:rsid w:val="00824913"/>
    <w:rsid w:val="0082565A"/>
    <w:rsid w:val="008260E0"/>
    <w:rsid w:val="00832FBA"/>
    <w:rsid w:val="00837F38"/>
    <w:rsid w:val="008424CA"/>
    <w:rsid w:val="00842F43"/>
    <w:rsid w:val="0084357F"/>
    <w:rsid w:val="00844515"/>
    <w:rsid w:val="00845ACD"/>
    <w:rsid w:val="00851421"/>
    <w:rsid w:val="008557A4"/>
    <w:rsid w:val="00856B55"/>
    <w:rsid w:val="008657AE"/>
    <w:rsid w:val="00866FFE"/>
    <w:rsid w:val="0086777B"/>
    <w:rsid w:val="0087039B"/>
    <w:rsid w:val="00872E76"/>
    <w:rsid w:val="00887B20"/>
    <w:rsid w:val="0089068D"/>
    <w:rsid w:val="00893419"/>
    <w:rsid w:val="00893DDD"/>
    <w:rsid w:val="0089490B"/>
    <w:rsid w:val="00896612"/>
    <w:rsid w:val="008A2DFA"/>
    <w:rsid w:val="008A5CB8"/>
    <w:rsid w:val="008A7222"/>
    <w:rsid w:val="008B4328"/>
    <w:rsid w:val="008B564B"/>
    <w:rsid w:val="008B7472"/>
    <w:rsid w:val="008C0E32"/>
    <w:rsid w:val="008C50C7"/>
    <w:rsid w:val="008C5C9B"/>
    <w:rsid w:val="008D043B"/>
    <w:rsid w:val="008D68E2"/>
    <w:rsid w:val="008E5816"/>
    <w:rsid w:val="008E7D8F"/>
    <w:rsid w:val="008F17DD"/>
    <w:rsid w:val="008F1AFA"/>
    <w:rsid w:val="008F1CBA"/>
    <w:rsid w:val="008F46CE"/>
    <w:rsid w:val="008F6CE8"/>
    <w:rsid w:val="00900876"/>
    <w:rsid w:val="00903A4C"/>
    <w:rsid w:val="00911AB9"/>
    <w:rsid w:val="0092024F"/>
    <w:rsid w:val="0093129D"/>
    <w:rsid w:val="00941C1C"/>
    <w:rsid w:val="00942792"/>
    <w:rsid w:val="00950683"/>
    <w:rsid w:val="0095349A"/>
    <w:rsid w:val="00955681"/>
    <w:rsid w:val="00957946"/>
    <w:rsid w:val="009631B5"/>
    <w:rsid w:val="00964EB5"/>
    <w:rsid w:val="00965813"/>
    <w:rsid w:val="00970427"/>
    <w:rsid w:val="009715CC"/>
    <w:rsid w:val="00976E35"/>
    <w:rsid w:val="00976F99"/>
    <w:rsid w:val="00977A58"/>
    <w:rsid w:val="00980DF9"/>
    <w:rsid w:val="00982736"/>
    <w:rsid w:val="00986AAF"/>
    <w:rsid w:val="00991718"/>
    <w:rsid w:val="00993C02"/>
    <w:rsid w:val="009A12BA"/>
    <w:rsid w:val="009A26AB"/>
    <w:rsid w:val="009B0571"/>
    <w:rsid w:val="009B1878"/>
    <w:rsid w:val="009B419D"/>
    <w:rsid w:val="009B61C5"/>
    <w:rsid w:val="009B7263"/>
    <w:rsid w:val="009C327A"/>
    <w:rsid w:val="009C7D8C"/>
    <w:rsid w:val="009C7E40"/>
    <w:rsid w:val="009D4F91"/>
    <w:rsid w:val="009D5167"/>
    <w:rsid w:val="009E1811"/>
    <w:rsid w:val="009E385E"/>
    <w:rsid w:val="009E57B7"/>
    <w:rsid w:val="009E58D9"/>
    <w:rsid w:val="009E6617"/>
    <w:rsid w:val="009F0B77"/>
    <w:rsid w:val="009F4A72"/>
    <w:rsid w:val="009F7694"/>
    <w:rsid w:val="00A015A1"/>
    <w:rsid w:val="00A0329F"/>
    <w:rsid w:val="00A10376"/>
    <w:rsid w:val="00A11E11"/>
    <w:rsid w:val="00A20333"/>
    <w:rsid w:val="00A21FF7"/>
    <w:rsid w:val="00A242CD"/>
    <w:rsid w:val="00A2456C"/>
    <w:rsid w:val="00A273EE"/>
    <w:rsid w:val="00A30073"/>
    <w:rsid w:val="00A42CC9"/>
    <w:rsid w:val="00A52E90"/>
    <w:rsid w:val="00A55788"/>
    <w:rsid w:val="00A56AC1"/>
    <w:rsid w:val="00A63791"/>
    <w:rsid w:val="00A648E4"/>
    <w:rsid w:val="00A663E2"/>
    <w:rsid w:val="00A66AB3"/>
    <w:rsid w:val="00A67002"/>
    <w:rsid w:val="00A711C0"/>
    <w:rsid w:val="00A80232"/>
    <w:rsid w:val="00A82847"/>
    <w:rsid w:val="00A83F7F"/>
    <w:rsid w:val="00A84528"/>
    <w:rsid w:val="00A87368"/>
    <w:rsid w:val="00AA512D"/>
    <w:rsid w:val="00AA6D0E"/>
    <w:rsid w:val="00AA7F97"/>
    <w:rsid w:val="00AB1488"/>
    <w:rsid w:val="00AB694D"/>
    <w:rsid w:val="00AC0EB7"/>
    <w:rsid w:val="00AC5C28"/>
    <w:rsid w:val="00AC5F1D"/>
    <w:rsid w:val="00AC735D"/>
    <w:rsid w:val="00AD035D"/>
    <w:rsid w:val="00AD0DC9"/>
    <w:rsid w:val="00AD7405"/>
    <w:rsid w:val="00AD7EAA"/>
    <w:rsid w:val="00AE0300"/>
    <w:rsid w:val="00AE4987"/>
    <w:rsid w:val="00AF06E0"/>
    <w:rsid w:val="00AF1B8B"/>
    <w:rsid w:val="00AF5F5C"/>
    <w:rsid w:val="00AF6C8B"/>
    <w:rsid w:val="00B051AE"/>
    <w:rsid w:val="00B0750C"/>
    <w:rsid w:val="00B0766B"/>
    <w:rsid w:val="00B11D52"/>
    <w:rsid w:val="00B12B6C"/>
    <w:rsid w:val="00B2253E"/>
    <w:rsid w:val="00B24E82"/>
    <w:rsid w:val="00B32444"/>
    <w:rsid w:val="00B351F3"/>
    <w:rsid w:val="00B36662"/>
    <w:rsid w:val="00B3700C"/>
    <w:rsid w:val="00B40F06"/>
    <w:rsid w:val="00B472A1"/>
    <w:rsid w:val="00B554D3"/>
    <w:rsid w:val="00B561B0"/>
    <w:rsid w:val="00B6016A"/>
    <w:rsid w:val="00B73D91"/>
    <w:rsid w:val="00B81AB5"/>
    <w:rsid w:val="00B82063"/>
    <w:rsid w:val="00B86861"/>
    <w:rsid w:val="00BA1BD7"/>
    <w:rsid w:val="00BA1CFF"/>
    <w:rsid w:val="00BB0487"/>
    <w:rsid w:val="00BB12B0"/>
    <w:rsid w:val="00BB50ED"/>
    <w:rsid w:val="00BC23D7"/>
    <w:rsid w:val="00BC2632"/>
    <w:rsid w:val="00BC358D"/>
    <w:rsid w:val="00BC7F2C"/>
    <w:rsid w:val="00BD1C6B"/>
    <w:rsid w:val="00BD616B"/>
    <w:rsid w:val="00BD7895"/>
    <w:rsid w:val="00BE0857"/>
    <w:rsid w:val="00BE3F30"/>
    <w:rsid w:val="00BE63B8"/>
    <w:rsid w:val="00BF14C1"/>
    <w:rsid w:val="00BF231A"/>
    <w:rsid w:val="00BF5FBA"/>
    <w:rsid w:val="00C120D5"/>
    <w:rsid w:val="00C121A0"/>
    <w:rsid w:val="00C12543"/>
    <w:rsid w:val="00C13398"/>
    <w:rsid w:val="00C160B5"/>
    <w:rsid w:val="00C31F68"/>
    <w:rsid w:val="00C327C6"/>
    <w:rsid w:val="00C47D1F"/>
    <w:rsid w:val="00C6523F"/>
    <w:rsid w:val="00C744A1"/>
    <w:rsid w:val="00C87C60"/>
    <w:rsid w:val="00C92319"/>
    <w:rsid w:val="00CA0547"/>
    <w:rsid w:val="00CA0BD6"/>
    <w:rsid w:val="00CA571F"/>
    <w:rsid w:val="00CA6040"/>
    <w:rsid w:val="00CA73FC"/>
    <w:rsid w:val="00CB58DF"/>
    <w:rsid w:val="00CC0017"/>
    <w:rsid w:val="00CC158C"/>
    <w:rsid w:val="00CC1EF1"/>
    <w:rsid w:val="00CC3467"/>
    <w:rsid w:val="00CD6056"/>
    <w:rsid w:val="00CD7C01"/>
    <w:rsid w:val="00CF13C8"/>
    <w:rsid w:val="00D052C3"/>
    <w:rsid w:val="00D052DF"/>
    <w:rsid w:val="00D055E6"/>
    <w:rsid w:val="00D10830"/>
    <w:rsid w:val="00D21D31"/>
    <w:rsid w:val="00D2421F"/>
    <w:rsid w:val="00D2477D"/>
    <w:rsid w:val="00D24BB2"/>
    <w:rsid w:val="00D30CB2"/>
    <w:rsid w:val="00D32838"/>
    <w:rsid w:val="00D34DA6"/>
    <w:rsid w:val="00D36C65"/>
    <w:rsid w:val="00D40453"/>
    <w:rsid w:val="00D407E1"/>
    <w:rsid w:val="00D42471"/>
    <w:rsid w:val="00D445FC"/>
    <w:rsid w:val="00D45807"/>
    <w:rsid w:val="00D47932"/>
    <w:rsid w:val="00D5299A"/>
    <w:rsid w:val="00D53E7C"/>
    <w:rsid w:val="00D57039"/>
    <w:rsid w:val="00D57557"/>
    <w:rsid w:val="00D5790B"/>
    <w:rsid w:val="00D62725"/>
    <w:rsid w:val="00D63343"/>
    <w:rsid w:val="00D6529E"/>
    <w:rsid w:val="00D67F17"/>
    <w:rsid w:val="00D84AB0"/>
    <w:rsid w:val="00D90348"/>
    <w:rsid w:val="00DA37E2"/>
    <w:rsid w:val="00DA4E04"/>
    <w:rsid w:val="00DA796E"/>
    <w:rsid w:val="00DB5F75"/>
    <w:rsid w:val="00DC0AE0"/>
    <w:rsid w:val="00DD4127"/>
    <w:rsid w:val="00DD453A"/>
    <w:rsid w:val="00DE326A"/>
    <w:rsid w:val="00DE32D8"/>
    <w:rsid w:val="00DE39C6"/>
    <w:rsid w:val="00DE3F9A"/>
    <w:rsid w:val="00DF33AE"/>
    <w:rsid w:val="00DF67EE"/>
    <w:rsid w:val="00E04AB7"/>
    <w:rsid w:val="00E1361E"/>
    <w:rsid w:val="00E17AB4"/>
    <w:rsid w:val="00E20CBF"/>
    <w:rsid w:val="00E2684D"/>
    <w:rsid w:val="00E30A67"/>
    <w:rsid w:val="00E34A31"/>
    <w:rsid w:val="00E3528F"/>
    <w:rsid w:val="00E35E71"/>
    <w:rsid w:val="00E42290"/>
    <w:rsid w:val="00E43CCE"/>
    <w:rsid w:val="00E43F39"/>
    <w:rsid w:val="00E44214"/>
    <w:rsid w:val="00E442E1"/>
    <w:rsid w:val="00E61D39"/>
    <w:rsid w:val="00E620A3"/>
    <w:rsid w:val="00E63922"/>
    <w:rsid w:val="00E9165A"/>
    <w:rsid w:val="00E919FD"/>
    <w:rsid w:val="00E92030"/>
    <w:rsid w:val="00EA05DB"/>
    <w:rsid w:val="00EA20E6"/>
    <w:rsid w:val="00EA456A"/>
    <w:rsid w:val="00EA5C8C"/>
    <w:rsid w:val="00EB5500"/>
    <w:rsid w:val="00EB5E8D"/>
    <w:rsid w:val="00EB73C7"/>
    <w:rsid w:val="00EC3472"/>
    <w:rsid w:val="00EC6069"/>
    <w:rsid w:val="00EC66C6"/>
    <w:rsid w:val="00EC70A0"/>
    <w:rsid w:val="00ED0E20"/>
    <w:rsid w:val="00ED1F1A"/>
    <w:rsid w:val="00ED2BEE"/>
    <w:rsid w:val="00ED6A33"/>
    <w:rsid w:val="00EE2C8C"/>
    <w:rsid w:val="00EE3419"/>
    <w:rsid w:val="00EE36D1"/>
    <w:rsid w:val="00EE3E3C"/>
    <w:rsid w:val="00EE529F"/>
    <w:rsid w:val="00EE79FA"/>
    <w:rsid w:val="00EF0C71"/>
    <w:rsid w:val="00EF20AC"/>
    <w:rsid w:val="00EF21C2"/>
    <w:rsid w:val="00EF463F"/>
    <w:rsid w:val="00F024D6"/>
    <w:rsid w:val="00F03D21"/>
    <w:rsid w:val="00F03FD7"/>
    <w:rsid w:val="00F2190B"/>
    <w:rsid w:val="00F25A2A"/>
    <w:rsid w:val="00F2627F"/>
    <w:rsid w:val="00F43F09"/>
    <w:rsid w:val="00F519FF"/>
    <w:rsid w:val="00F56031"/>
    <w:rsid w:val="00F626B5"/>
    <w:rsid w:val="00F63107"/>
    <w:rsid w:val="00F7369F"/>
    <w:rsid w:val="00F819E1"/>
    <w:rsid w:val="00F85B49"/>
    <w:rsid w:val="00F878D4"/>
    <w:rsid w:val="00F92092"/>
    <w:rsid w:val="00F947B0"/>
    <w:rsid w:val="00FA302E"/>
    <w:rsid w:val="00FA3043"/>
    <w:rsid w:val="00FA402F"/>
    <w:rsid w:val="00FA4164"/>
    <w:rsid w:val="00FA4A9D"/>
    <w:rsid w:val="00FA59DC"/>
    <w:rsid w:val="00FA6DB5"/>
    <w:rsid w:val="00FA7827"/>
    <w:rsid w:val="00FA79DA"/>
    <w:rsid w:val="00FB5338"/>
    <w:rsid w:val="00FC084D"/>
    <w:rsid w:val="00FC2C70"/>
    <w:rsid w:val="00FC33FE"/>
    <w:rsid w:val="00FC3CA3"/>
    <w:rsid w:val="00FD0919"/>
    <w:rsid w:val="00FD3896"/>
    <w:rsid w:val="00FD5082"/>
    <w:rsid w:val="00FD6868"/>
    <w:rsid w:val="00FE3016"/>
    <w:rsid w:val="00FE3162"/>
    <w:rsid w:val="00FE4822"/>
    <w:rsid w:val="00FE6B06"/>
    <w:rsid w:val="00FF4837"/>
    <w:rsid w:val="02C5EE0B"/>
    <w:rsid w:val="0375873C"/>
    <w:rsid w:val="045BB9B9"/>
    <w:rsid w:val="05424C9C"/>
    <w:rsid w:val="05BD21C6"/>
    <w:rsid w:val="07399926"/>
    <w:rsid w:val="0747BA38"/>
    <w:rsid w:val="0A8AB8A8"/>
    <w:rsid w:val="0BDAA5E0"/>
    <w:rsid w:val="0C848625"/>
    <w:rsid w:val="0CE7B4E0"/>
    <w:rsid w:val="0E11FC7F"/>
    <w:rsid w:val="0FAB16E2"/>
    <w:rsid w:val="0FEBC123"/>
    <w:rsid w:val="10D2FF6F"/>
    <w:rsid w:val="10E7A9DC"/>
    <w:rsid w:val="11524C4E"/>
    <w:rsid w:val="11CDD849"/>
    <w:rsid w:val="12B2A21A"/>
    <w:rsid w:val="14285E51"/>
    <w:rsid w:val="1470E0B3"/>
    <w:rsid w:val="168986D3"/>
    <w:rsid w:val="16E3431A"/>
    <w:rsid w:val="17B1D5BD"/>
    <w:rsid w:val="18ECB8B9"/>
    <w:rsid w:val="1E4EA0E8"/>
    <w:rsid w:val="1F9CDBE6"/>
    <w:rsid w:val="201009FA"/>
    <w:rsid w:val="21B344F6"/>
    <w:rsid w:val="22531183"/>
    <w:rsid w:val="22ECF3CF"/>
    <w:rsid w:val="230B210D"/>
    <w:rsid w:val="260DFEB3"/>
    <w:rsid w:val="275091E1"/>
    <w:rsid w:val="28027032"/>
    <w:rsid w:val="288E7F76"/>
    <w:rsid w:val="2B8AA288"/>
    <w:rsid w:val="2BDD7F08"/>
    <w:rsid w:val="2C3D7A37"/>
    <w:rsid w:val="2D68DF1E"/>
    <w:rsid w:val="2ED010CF"/>
    <w:rsid w:val="2F0A410C"/>
    <w:rsid w:val="2FC83D3D"/>
    <w:rsid w:val="30A6116D"/>
    <w:rsid w:val="314E9106"/>
    <w:rsid w:val="31697487"/>
    <w:rsid w:val="323AAF8C"/>
    <w:rsid w:val="32F3C5AC"/>
    <w:rsid w:val="33DDB22F"/>
    <w:rsid w:val="35798290"/>
    <w:rsid w:val="35EC1FC0"/>
    <w:rsid w:val="374FCD32"/>
    <w:rsid w:val="38B12352"/>
    <w:rsid w:val="3B010F05"/>
    <w:rsid w:val="3C089074"/>
    <w:rsid w:val="3CADF48E"/>
    <w:rsid w:val="3CE4C15E"/>
    <w:rsid w:val="3D849475"/>
    <w:rsid w:val="3E7FDBE5"/>
    <w:rsid w:val="3EB304E9"/>
    <w:rsid w:val="3F2064D6"/>
    <w:rsid w:val="3FA78BA3"/>
    <w:rsid w:val="401625F4"/>
    <w:rsid w:val="404A694D"/>
    <w:rsid w:val="41905ABC"/>
    <w:rsid w:val="41EF204C"/>
    <w:rsid w:val="4405AAF1"/>
    <w:rsid w:val="451F187C"/>
    <w:rsid w:val="46FD1873"/>
    <w:rsid w:val="49F31D64"/>
    <w:rsid w:val="4B0AF165"/>
    <w:rsid w:val="4C075819"/>
    <w:rsid w:val="4C9C12C2"/>
    <w:rsid w:val="4CCCC052"/>
    <w:rsid w:val="4DF7D46C"/>
    <w:rsid w:val="4EF995B6"/>
    <w:rsid w:val="4FDC8726"/>
    <w:rsid w:val="50028621"/>
    <w:rsid w:val="50661F0E"/>
    <w:rsid w:val="5100E1D7"/>
    <w:rsid w:val="529DCD4E"/>
    <w:rsid w:val="536C5DEB"/>
    <w:rsid w:val="539FCABF"/>
    <w:rsid w:val="53B5B1F0"/>
    <w:rsid w:val="54AEFC0E"/>
    <w:rsid w:val="54D5F976"/>
    <w:rsid w:val="560897F2"/>
    <w:rsid w:val="575532CD"/>
    <w:rsid w:val="5A0910B1"/>
    <w:rsid w:val="5A683786"/>
    <w:rsid w:val="5B01958E"/>
    <w:rsid w:val="5CAD7321"/>
    <w:rsid w:val="5D7ED0EC"/>
    <w:rsid w:val="5E34EBC5"/>
    <w:rsid w:val="5F3DCDC7"/>
    <w:rsid w:val="5FD8BC70"/>
    <w:rsid w:val="602F3486"/>
    <w:rsid w:val="6040BEFF"/>
    <w:rsid w:val="6280C9AF"/>
    <w:rsid w:val="63CB3322"/>
    <w:rsid w:val="6502A5A9"/>
    <w:rsid w:val="6597C56F"/>
    <w:rsid w:val="666461EE"/>
    <w:rsid w:val="695754C9"/>
    <w:rsid w:val="69FBDB6D"/>
    <w:rsid w:val="6DDD91BD"/>
    <w:rsid w:val="6FB3328F"/>
    <w:rsid w:val="708C451C"/>
    <w:rsid w:val="71921134"/>
    <w:rsid w:val="734A4103"/>
    <w:rsid w:val="7363D0B5"/>
    <w:rsid w:val="74B5FFDF"/>
    <w:rsid w:val="75208E4B"/>
    <w:rsid w:val="7631243C"/>
    <w:rsid w:val="763237A7"/>
    <w:rsid w:val="78C615F4"/>
    <w:rsid w:val="790F2A6D"/>
    <w:rsid w:val="79B2655D"/>
    <w:rsid w:val="79CAC9DC"/>
    <w:rsid w:val="7B9B96BE"/>
    <w:rsid w:val="7D0AE74B"/>
    <w:rsid w:val="7DA1267F"/>
    <w:rsid w:val="7DF52354"/>
    <w:rsid w:val="7EDC90A4"/>
    <w:rsid w:val="7EF6507B"/>
    <w:rsid w:val="7EF78671"/>
    <w:rsid w:val="7FA167B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5399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2BA"/>
    <w:rPr>
      <w:color w:val="0563C1" w:themeColor="hyperlink"/>
      <w:u w:val="single"/>
    </w:rPr>
  </w:style>
  <w:style w:type="character" w:styleId="CommentReference">
    <w:name w:val="annotation reference"/>
    <w:basedOn w:val="DefaultParagraphFont"/>
    <w:uiPriority w:val="99"/>
    <w:semiHidden/>
    <w:unhideWhenUsed/>
    <w:rsid w:val="009A12BA"/>
    <w:rPr>
      <w:sz w:val="16"/>
      <w:szCs w:val="16"/>
    </w:rPr>
  </w:style>
  <w:style w:type="paragraph" w:styleId="CommentText">
    <w:name w:val="annotation text"/>
    <w:basedOn w:val="Normal"/>
    <w:link w:val="CommentTextChar"/>
    <w:uiPriority w:val="99"/>
    <w:unhideWhenUsed/>
    <w:rsid w:val="009A12BA"/>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9A12BA"/>
    <w:rPr>
      <w:sz w:val="20"/>
      <w:szCs w:val="20"/>
    </w:rPr>
  </w:style>
  <w:style w:type="paragraph" w:styleId="CommentSubject">
    <w:name w:val="annotation subject"/>
    <w:basedOn w:val="CommentText"/>
    <w:next w:val="CommentText"/>
    <w:link w:val="CommentSubjectChar"/>
    <w:uiPriority w:val="99"/>
    <w:semiHidden/>
    <w:unhideWhenUsed/>
    <w:rsid w:val="009A12BA"/>
    <w:rPr>
      <w:b/>
      <w:bCs/>
    </w:rPr>
  </w:style>
  <w:style w:type="character" w:customStyle="1" w:styleId="CommentSubjectChar">
    <w:name w:val="Comment Subject Char"/>
    <w:basedOn w:val="CommentTextChar"/>
    <w:link w:val="CommentSubject"/>
    <w:uiPriority w:val="99"/>
    <w:semiHidden/>
    <w:rsid w:val="009A12BA"/>
    <w:rPr>
      <w:b/>
      <w:bCs/>
      <w:sz w:val="20"/>
      <w:szCs w:val="20"/>
    </w:rPr>
  </w:style>
  <w:style w:type="paragraph" w:styleId="BalloonText">
    <w:name w:val="Balloon Text"/>
    <w:basedOn w:val="Normal"/>
    <w:link w:val="BalloonTextChar"/>
    <w:uiPriority w:val="99"/>
    <w:semiHidden/>
    <w:unhideWhenUsed/>
    <w:rsid w:val="009A12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2BA"/>
    <w:rPr>
      <w:rFonts w:ascii="Segoe UI" w:hAnsi="Segoe UI" w:cs="Segoe UI"/>
      <w:sz w:val="18"/>
      <w:szCs w:val="18"/>
    </w:rPr>
  </w:style>
  <w:style w:type="character" w:customStyle="1" w:styleId="UnresolvedMention1">
    <w:name w:val="Unresolved Mention1"/>
    <w:basedOn w:val="DefaultParagraphFont"/>
    <w:uiPriority w:val="99"/>
    <w:unhideWhenUsed/>
    <w:rsid w:val="00837F38"/>
    <w:rPr>
      <w:color w:val="605E5C"/>
      <w:shd w:val="clear" w:color="auto" w:fill="E1DFDD"/>
    </w:rPr>
  </w:style>
  <w:style w:type="paragraph" w:customStyle="1" w:styleId="xmsonormal">
    <w:name w:val="x_msonormal"/>
    <w:basedOn w:val="Normal"/>
    <w:uiPriority w:val="99"/>
    <w:rsid w:val="00837F38"/>
    <w:pPr>
      <w:spacing w:before="100" w:beforeAutospacing="1" w:after="100" w:afterAutospacing="1"/>
    </w:pPr>
    <w:rPr>
      <w:rFonts w:ascii="Times New Roman" w:eastAsia="Times New Roman" w:hAnsi="Times New Roman" w:cs="Times New Roman"/>
      <w:sz w:val="24"/>
      <w:szCs w:val="24"/>
      <w:lang w:eastAsia="en-GB"/>
    </w:rPr>
  </w:style>
  <w:style w:type="character" w:styleId="FootnoteReference">
    <w:name w:val="footnote reference"/>
    <w:aliases w:val="4_G,ftref,a Footnote Reference,FZ,Appel note de bas de page,Footnotes refss,Footnote number,Footnote text,16 Point,Superscript 6 Point,Superscript 6 Point + 11 pt,Ref FNs Char,Footnote Ref,[0],Fago Fu?notenzeichen,R,Footnote Refernece"/>
    <w:basedOn w:val="DefaultParagraphFont"/>
    <w:link w:val="CharChar1CharCharCharChar1CharCharCharCharCharCharCharCharCharCharCharCharCharCharCharChar"/>
    <w:uiPriority w:val="99"/>
    <w:qFormat/>
    <w:rsid w:val="0003055A"/>
    <w:rPr>
      <w:rFonts w:ascii="Times New Roman" w:hAnsi="Times New Roman"/>
      <w:sz w:val="18"/>
      <w:vertAlign w:val="superscript"/>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 Char Char Char Char1,fn"/>
    <w:basedOn w:val="Normal"/>
    <w:link w:val="FootnoteTextChar"/>
    <w:uiPriority w:val="99"/>
    <w:qFormat/>
    <w:rsid w:val="0003055A"/>
    <w:pPr>
      <w:tabs>
        <w:tab w:val="right" w:pos="1021"/>
      </w:tabs>
      <w:spacing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basedOn w:val="DefaultParagraphFont"/>
    <w:link w:val="FootnoteText"/>
    <w:uiPriority w:val="99"/>
    <w:qFormat/>
    <w:rsid w:val="0003055A"/>
    <w:rPr>
      <w:rFonts w:ascii="Times New Roman" w:eastAsia="Times New Roman" w:hAnsi="Times New Roman" w:cs="Times New Roman"/>
      <w:sz w:val="18"/>
      <w:szCs w:val="20"/>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03055A"/>
    <w:pPr>
      <w:spacing w:after="160"/>
      <w:ind w:left="1296" w:right="1296"/>
    </w:pPr>
    <w:rPr>
      <w:rFonts w:ascii="Times New Roman" w:hAnsi="Times New Roman" w:cstheme="minorBidi"/>
      <w:sz w:val="18"/>
      <w:vertAlign w:val="superscript"/>
    </w:rPr>
  </w:style>
  <w:style w:type="paragraph" w:styleId="Revision">
    <w:name w:val="Revision"/>
    <w:hidden/>
    <w:uiPriority w:val="99"/>
    <w:semiHidden/>
    <w:rsid w:val="00207D99"/>
    <w:pPr>
      <w:spacing w:after="0" w:line="240" w:lineRule="auto"/>
    </w:pPr>
  </w:style>
  <w:style w:type="paragraph" w:styleId="Header">
    <w:name w:val="header"/>
    <w:basedOn w:val="Normal"/>
    <w:link w:val="HeaderChar"/>
    <w:uiPriority w:val="99"/>
    <w:unhideWhenUsed/>
    <w:rsid w:val="008178A2"/>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8178A2"/>
  </w:style>
  <w:style w:type="paragraph" w:styleId="Footer">
    <w:name w:val="footer"/>
    <w:basedOn w:val="Normal"/>
    <w:link w:val="FooterChar"/>
    <w:uiPriority w:val="99"/>
    <w:unhideWhenUsed/>
    <w:rsid w:val="008178A2"/>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8178A2"/>
  </w:style>
  <w:style w:type="paragraph" w:customStyle="1" w:styleId="SingleTxt">
    <w:name w:val="__Single Txt"/>
    <w:basedOn w:val="Normal"/>
    <w:rsid w:val="0026454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ascii="Times New Roman" w:hAnsi="Times New Roman" w:cs="Times New Roman"/>
      <w:spacing w:val="4"/>
      <w:w w:val="103"/>
      <w:kern w:val="14"/>
      <w:sz w:val="20"/>
      <w:szCs w:val="20"/>
    </w:rPr>
  </w:style>
  <w:style w:type="character" w:customStyle="1" w:styleId="Mention1">
    <w:name w:val="Mention1"/>
    <w:basedOn w:val="DefaultParagraphFont"/>
    <w:uiPriority w:val="99"/>
    <w:unhideWhenUsed/>
    <w:rsid w:val="00977A58"/>
    <w:rPr>
      <w:color w:val="2B579A"/>
      <w:shd w:val="clear" w:color="auto" w:fill="E1DFDD"/>
    </w:rPr>
  </w:style>
  <w:style w:type="character" w:styleId="UnresolvedMention">
    <w:name w:val="Unresolved Mention"/>
    <w:basedOn w:val="DefaultParagraphFont"/>
    <w:uiPriority w:val="99"/>
    <w:semiHidden/>
    <w:unhideWhenUsed/>
    <w:rsid w:val="00D45807"/>
    <w:rPr>
      <w:color w:val="605E5C"/>
      <w:shd w:val="clear" w:color="auto" w:fill="E1DFDD"/>
    </w:rPr>
  </w:style>
  <w:style w:type="character" w:styleId="FollowedHyperlink">
    <w:name w:val="FollowedHyperlink"/>
    <w:basedOn w:val="DefaultParagraphFont"/>
    <w:uiPriority w:val="99"/>
    <w:semiHidden/>
    <w:unhideWhenUsed/>
    <w:rsid w:val="00AC5C28"/>
    <w:rPr>
      <w:color w:val="954F72" w:themeColor="followedHyperlink"/>
      <w:u w:val="single"/>
    </w:rPr>
  </w:style>
  <w:style w:type="paragraph" w:styleId="NormalWeb">
    <w:name w:val="Normal (Web)"/>
    <w:basedOn w:val="Normal"/>
    <w:uiPriority w:val="99"/>
    <w:semiHidden/>
    <w:unhideWhenUsed/>
    <w:rsid w:val="009B0571"/>
    <w:pPr>
      <w:spacing w:before="100" w:beforeAutospacing="1" w:after="100" w:afterAutospacing="1"/>
    </w:pPr>
    <w:rPr>
      <w:lang w:eastAsia="en-GB"/>
    </w:rPr>
  </w:style>
  <w:style w:type="character" w:styleId="Strong">
    <w:name w:val="Strong"/>
    <w:basedOn w:val="DefaultParagraphFont"/>
    <w:uiPriority w:val="22"/>
    <w:qFormat/>
    <w:rsid w:val="009B05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401262">
      <w:bodyDiv w:val="1"/>
      <w:marLeft w:val="0"/>
      <w:marRight w:val="0"/>
      <w:marTop w:val="0"/>
      <w:marBottom w:val="0"/>
      <w:divBdr>
        <w:top w:val="none" w:sz="0" w:space="0" w:color="auto"/>
        <w:left w:val="none" w:sz="0" w:space="0" w:color="auto"/>
        <w:bottom w:val="none" w:sz="0" w:space="0" w:color="auto"/>
        <w:right w:val="none" w:sz="0" w:space="0" w:color="auto"/>
      </w:divBdr>
    </w:div>
    <w:div w:id="1355502903">
      <w:bodyDiv w:val="1"/>
      <w:marLeft w:val="0"/>
      <w:marRight w:val="0"/>
      <w:marTop w:val="0"/>
      <w:marBottom w:val="0"/>
      <w:divBdr>
        <w:top w:val="none" w:sz="0" w:space="0" w:color="auto"/>
        <w:left w:val="none" w:sz="0" w:space="0" w:color="auto"/>
        <w:bottom w:val="none" w:sz="0" w:space="0" w:color="auto"/>
        <w:right w:val="none" w:sz="0" w:space="0" w:color="auto"/>
      </w:divBdr>
    </w:div>
    <w:div w:id="175512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9A18.38B1CF90" TargetMode="External"/><Relationship Id="rId13" Type="http://schemas.openxmlformats.org/officeDocument/2006/relationships/hyperlink" Target="https://www.ohchr.org/sites/default/files/documents/hrbodies/hrcouncil/sessions-regular/session53/a-hrc-53-22-hebrew-unofficial-translation.pdf" TargetMode="External"/><Relationship Id="rId18" Type="http://schemas.openxmlformats.org/officeDocument/2006/relationships/hyperlink" Target="mailto:simp@un.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hchr.org/sites/default/files/documents/hrbodies/hrcouncil/sessions-regular/session53/A-HRC-53-CRP1.pdf" TargetMode="External"/><Relationship Id="rId17" Type="http://schemas.openxmlformats.org/officeDocument/2006/relationships/hyperlink" Target="mailto:todd.pitman@un.org" TargetMode="External"/><Relationship Id="rId2" Type="http://schemas.openxmlformats.org/officeDocument/2006/relationships/styles" Target="styles.xml"/><Relationship Id="rId16" Type="http://schemas.openxmlformats.org/officeDocument/2006/relationships/hyperlink" Target="https://www.ohchr.org/en/hr-bodies/hrc/co-israel/inde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02.safelinks.protection.outlook.com/?url=https%3A%2F%2Fundocs.org%2Fen%2FA%2FHRC%2F53%2F22&amp;data=05%7C01%7Ctodd.pitman%40un.org%7C102a03d07fb84ee6f9f008db681e97c4%7C0f9e35db544f4f60bdcc5ea416e6dc70%7C0%7C0%7C638218252836965520%7CUnknown%7CTWFpbGZsb3d8eyJWIjoiMC4wLjAwMDAiLCJQIjoiV2luMzIiLCJBTiI6Ik1haWwiLCJXVCI6Mn0%3D%7C3000%7C%7C%7C&amp;sdata=vB5832PkJu0jQRJc6%2BFltguqQUCLvgFm1M3%2FMem8xZw%3D&amp;reserved=0" TargetMode="External"/><Relationship Id="rId5" Type="http://schemas.openxmlformats.org/officeDocument/2006/relationships/footnotes" Target="footnotes.xml"/><Relationship Id="rId15" Type="http://schemas.openxmlformats.org/officeDocument/2006/relationships/hyperlink" Target="https://eur02.safelinks.protection.outlook.com/?url=https%3A%2F%2Fundocs.org%2FHome%2FMobile%3FFinalSymbol%3DA%252FHRC%252FRES%252FS-30%252F1%26Language%3DE%26DeviceType%3DDesktop%26LangRequested%3DFalse&amp;data=05%7C01%7Ctodd.pitman%40un.org%7C102a03d07fb84ee6f9f008db681e97c4%7C0f9e35db544f4f60bdcc5ea416e6dc70%7C0%7C0%7C638218252836965520%7CUnknown%7CTWFpbGZsb3d8eyJWIjoiMC4wLjAwMDAiLCJQIjoiV2luMzIiLCJBTiI6Ik1haWwiLCJXVCI6Mn0%3D%7C3000%7C%7C%7C&amp;sdata=l%2BVpQ2kMM2jiz7gIgDl03loboYulaXxcaMbSrSC773E%3D&amp;reserved=0" TargetMode="External"/><Relationship Id="rId10" Type="http://schemas.openxmlformats.org/officeDocument/2006/relationships/hyperlink" Target="https://www.ohchr.org/en/hr-bodies/hrc/co-israel/inde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hchr.org/sites/default/files/documents/hrbodies/hrcouncil/sessions-regular/session53/a-hrc-53-22-hebrew-unofficial-translation.pdf" TargetMode="External"/><Relationship Id="rId14" Type="http://schemas.openxmlformats.org/officeDocument/2006/relationships/hyperlink" Target="https://www.ohchr.org/en/hrbodies/hrc/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6CCE1-A889-47C2-950A-746391C3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Links>
    <vt:vector size="36" baseType="variant">
      <vt:variant>
        <vt:i4>2818090</vt:i4>
      </vt:variant>
      <vt:variant>
        <vt:i4>15</vt:i4>
      </vt:variant>
      <vt:variant>
        <vt:i4>0</vt:i4>
      </vt:variant>
      <vt:variant>
        <vt:i4>5</vt:i4>
      </vt:variant>
      <vt:variant>
        <vt:lpwstr>https://www.ohchr.org/en/hr-bodies/hrc/co-israel/index</vt:lpwstr>
      </vt:variant>
      <vt:variant>
        <vt:lpwstr/>
      </vt:variant>
      <vt:variant>
        <vt:i4>5898362</vt:i4>
      </vt:variant>
      <vt:variant>
        <vt:i4>12</vt:i4>
      </vt:variant>
      <vt:variant>
        <vt:i4>0</vt:i4>
      </vt:variant>
      <vt:variant>
        <vt:i4>5</vt:i4>
      </vt:variant>
      <vt:variant>
        <vt:lpwstr>mailto:simp@un.org</vt:lpwstr>
      </vt:variant>
      <vt:variant>
        <vt:lpwstr/>
      </vt:variant>
      <vt:variant>
        <vt:i4>3014736</vt:i4>
      </vt:variant>
      <vt:variant>
        <vt:i4>9</vt:i4>
      </vt:variant>
      <vt:variant>
        <vt:i4>0</vt:i4>
      </vt:variant>
      <vt:variant>
        <vt:i4>5</vt:i4>
      </vt:variant>
      <vt:variant>
        <vt:lpwstr>mailto:matthew.brown@un.org</vt:lpwstr>
      </vt:variant>
      <vt:variant>
        <vt:lpwstr/>
      </vt:variant>
      <vt:variant>
        <vt:i4>655370</vt:i4>
      </vt:variant>
      <vt:variant>
        <vt:i4>6</vt:i4>
      </vt:variant>
      <vt:variant>
        <vt:i4>0</vt:i4>
      </vt:variant>
      <vt:variant>
        <vt:i4>5</vt:i4>
      </vt:variant>
      <vt:variant>
        <vt:lpwstr>https://undocs.org/Home/Mobile?FinalSymbol=A%2FHRC%2FRES%2FS-30%2F1&amp;Language=E&amp;DeviceType=Desktop&amp;LangRequested=False</vt:lpwstr>
      </vt:variant>
      <vt:variant>
        <vt:lpwstr/>
      </vt:variant>
      <vt:variant>
        <vt:i4>2490485</vt:i4>
      </vt:variant>
      <vt:variant>
        <vt:i4>3</vt:i4>
      </vt:variant>
      <vt:variant>
        <vt:i4>0</vt:i4>
      </vt:variant>
      <vt:variant>
        <vt:i4>5</vt:i4>
      </vt:variant>
      <vt:variant>
        <vt:lpwstr>https://www.ohchr.org/en/hrbodies/hrc/home</vt:lpwstr>
      </vt:variant>
      <vt:variant>
        <vt:lpwstr/>
      </vt:variant>
      <vt:variant>
        <vt:i4>2818090</vt:i4>
      </vt:variant>
      <vt:variant>
        <vt:i4>0</vt:i4>
      </vt:variant>
      <vt:variant>
        <vt:i4>0</vt:i4>
      </vt:variant>
      <vt:variant>
        <vt:i4>5</vt:i4>
      </vt:variant>
      <vt:variant>
        <vt:lpwstr>https://www.ohchr.org/en/hr-bodies/hrc/co-israel/index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2023-06-08T13:02:00Z</dcterms:created>
  <dcterms:modified xsi:type="dcterms:W3CDTF">2023-06-08T16:07:00Z</dcterms:modified>
</cp:coreProperties>
</file>