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285"/>
        <w:tblOverlap w:val="never"/>
        <w:bidiVisual/>
        <w:tblW w:w="9639"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274"/>
        <w:gridCol w:w="4963"/>
        <w:gridCol w:w="3402"/>
      </w:tblGrid>
      <w:tr w:rsidR="006B3E27" w:rsidRPr="00ED7442" w14:paraId="3A704E14" w14:textId="77777777" w:rsidTr="00281242">
        <w:trPr>
          <w:trHeight w:hRule="exact" w:val="851"/>
        </w:trPr>
        <w:tc>
          <w:tcPr>
            <w:tcW w:w="1274" w:type="dxa"/>
            <w:tcBorders>
              <w:bottom w:val="single" w:sz="4" w:space="0" w:color="auto"/>
            </w:tcBorders>
            <w:shd w:val="clear" w:color="auto" w:fill="auto"/>
          </w:tcPr>
          <w:p w14:paraId="6D59217A" w14:textId="77777777" w:rsidR="006B3E27" w:rsidRPr="003E159A" w:rsidRDefault="006B3E27" w:rsidP="00281242">
            <w:pPr>
              <w:pStyle w:val="Roman1GA"/>
            </w:pPr>
          </w:p>
        </w:tc>
        <w:tc>
          <w:tcPr>
            <w:tcW w:w="4963" w:type="dxa"/>
            <w:tcBorders>
              <w:bottom w:val="single" w:sz="4" w:space="0" w:color="auto"/>
            </w:tcBorders>
            <w:shd w:val="clear" w:color="auto" w:fill="auto"/>
            <w:vAlign w:val="bottom"/>
          </w:tcPr>
          <w:p w14:paraId="0F663C89" w14:textId="4634A3EF" w:rsidR="006B3E27" w:rsidRPr="00281242" w:rsidRDefault="006B3E27" w:rsidP="00281242">
            <w:pPr>
              <w:spacing w:after="80" w:line="480" w:lineRule="exact"/>
              <w:jc w:val="left"/>
              <w:rPr>
                <w:sz w:val="40"/>
                <w:szCs w:val="40"/>
                <w:rtl/>
              </w:rPr>
            </w:pPr>
          </w:p>
        </w:tc>
        <w:tc>
          <w:tcPr>
            <w:tcW w:w="3402" w:type="dxa"/>
            <w:tcBorders>
              <w:bottom w:val="single" w:sz="4" w:space="0" w:color="auto"/>
            </w:tcBorders>
            <w:shd w:val="clear" w:color="auto" w:fill="auto"/>
            <w:vAlign w:val="bottom"/>
          </w:tcPr>
          <w:p w14:paraId="602D06F2" w14:textId="7AD39E7F" w:rsidR="006B3E27" w:rsidRPr="00281242" w:rsidRDefault="00A31529" w:rsidP="00BE69D6">
            <w:pPr>
              <w:bidi w:val="0"/>
              <w:spacing w:after="20"/>
              <w:jc w:val="left"/>
              <w:rPr>
                <w:szCs w:val="20"/>
                <w:rtl/>
              </w:rPr>
            </w:pPr>
            <w:r w:rsidRPr="00483428">
              <w:rPr>
                <w:sz w:val="40"/>
              </w:rPr>
              <w:t>A</w:t>
            </w:r>
            <w:r>
              <w:t>/HRC/</w:t>
            </w:r>
            <w:r w:rsidR="00BE69D6" w:rsidRPr="00BE69D6">
              <w:t>52/</w:t>
            </w:r>
            <w:r w:rsidR="00846E80">
              <w:t>7</w:t>
            </w:r>
            <w:r w:rsidR="00BE69D6" w:rsidRPr="00BE69D6">
              <w:t>/Add.1</w:t>
            </w:r>
          </w:p>
        </w:tc>
      </w:tr>
      <w:tr w:rsidR="006B3E27" w:rsidRPr="00ED7442" w14:paraId="2588D2E1" w14:textId="77777777" w:rsidTr="00281242">
        <w:trPr>
          <w:trHeight w:hRule="exact" w:val="2835"/>
        </w:trPr>
        <w:tc>
          <w:tcPr>
            <w:tcW w:w="1274" w:type="dxa"/>
            <w:tcBorders>
              <w:top w:val="single" w:sz="4" w:space="0" w:color="auto"/>
              <w:bottom w:val="single" w:sz="12" w:space="0" w:color="auto"/>
            </w:tcBorders>
            <w:shd w:val="clear" w:color="auto" w:fill="auto"/>
          </w:tcPr>
          <w:p w14:paraId="017018C8" w14:textId="060D832C" w:rsidR="006B3E27" w:rsidRPr="00281242" w:rsidRDefault="006B3E27" w:rsidP="00281242">
            <w:pPr>
              <w:jc w:val="center"/>
              <w:rPr>
                <w:sz w:val="56"/>
                <w:szCs w:val="56"/>
                <w:rtl/>
              </w:rPr>
            </w:pPr>
          </w:p>
        </w:tc>
        <w:tc>
          <w:tcPr>
            <w:tcW w:w="4963" w:type="dxa"/>
            <w:tcBorders>
              <w:top w:val="single" w:sz="4" w:space="0" w:color="auto"/>
              <w:bottom w:val="single" w:sz="12" w:space="0" w:color="auto"/>
            </w:tcBorders>
            <w:shd w:val="clear" w:color="auto" w:fill="auto"/>
          </w:tcPr>
          <w:p w14:paraId="44735705" w14:textId="211DA9DD" w:rsidR="006B3E27" w:rsidRPr="00281242" w:rsidRDefault="00C1603A" w:rsidP="00281242">
            <w:pPr>
              <w:spacing w:before="120" w:after="40" w:line="640" w:lineRule="exact"/>
              <w:jc w:val="left"/>
              <w:rPr>
                <w:b/>
                <w:bCs/>
                <w:sz w:val="56"/>
                <w:szCs w:val="56"/>
              </w:rPr>
            </w:pPr>
            <w:r>
              <w:rPr>
                <w:rFonts w:hint="cs"/>
                <w:b/>
                <w:bCs/>
                <w:sz w:val="56"/>
                <w:szCs w:val="56"/>
                <w:rtl/>
              </w:rPr>
              <w:t>Advance Version</w:t>
            </w:r>
            <w:bookmarkStart w:id="0" w:name="_GoBack"/>
            <w:bookmarkEnd w:id="0"/>
          </w:p>
        </w:tc>
        <w:tc>
          <w:tcPr>
            <w:tcW w:w="3402" w:type="dxa"/>
            <w:tcBorders>
              <w:top w:val="single" w:sz="4" w:space="0" w:color="auto"/>
              <w:bottom w:val="single" w:sz="12" w:space="0" w:color="auto"/>
            </w:tcBorders>
            <w:shd w:val="clear" w:color="auto" w:fill="auto"/>
          </w:tcPr>
          <w:p w14:paraId="17CA4A47" w14:textId="77777777" w:rsidR="00A31A27" w:rsidRDefault="00A31A27" w:rsidP="00A31A27">
            <w:pPr>
              <w:bidi w:val="0"/>
              <w:spacing w:before="240"/>
            </w:pPr>
            <w:r>
              <w:t>Distr.: General</w:t>
            </w:r>
          </w:p>
          <w:p w14:paraId="46903705" w14:textId="143DB039" w:rsidR="00A31A27" w:rsidRPr="00BE69D6" w:rsidRDefault="00226297" w:rsidP="00A31A27">
            <w:pPr>
              <w:bidi w:val="0"/>
            </w:pPr>
            <w:r>
              <w:t>1 March</w:t>
            </w:r>
            <w:r w:rsidR="00BE69D6" w:rsidRPr="00BE69D6">
              <w:t xml:space="preserve"> 2023</w:t>
            </w:r>
          </w:p>
          <w:p w14:paraId="675FE992" w14:textId="77777777" w:rsidR="00BE69D6" w:rsidRDefault="00BE69D6" w:rsidP="00A31A27">
            <w:pPr>
              <w:bidi w:val="0"/>
              <w:jc w:val="left"/>
            </w:pPr>
          </w:p>
          <w:p w14:paraId="1534CC28" w14:textId="66331E4E" w:rsidR="00A31529" w:rsidRPr="00281242" w:rsidRDefault="00A31A27" w:rsidP="00BE69D6">
            <w:pPr>
              <w:bidi w:val="0"/>
              <w:jc w:val="left"/>
              <w:rPr>
                <w:szCs w:val="20"/>
              </w:rPr>
            </w:pPr>
            <w:r>
              <w:t xml:space="preserve">Original: </w:t>
            </w:r>
            <w:r w:rsidR="00BE69D6" w:rsidRPr="00BE69D6">
              <w:t>Arabic</w:t>
            </w:r>
          </w:p>
        </w:tc>
      </w:tr>
    </w:tbl>
    <w:p w14:paraId="173A166A" w14:textId="77777777" w:rsidR="00BE69D6" w:rsidRPr="00890BC9" w:rsidRDefault="00BE69D6" w:rsidP="00BE69D6">
      <w:pPr>
        <w:pStyle w:val="H1"/>
        <w:rPr>
          <w:rtl/>
        </w:rPr>
      </w:pPr>
      <w:r w:rsidRPr="00890BC9">
        <w:rPr>
          <w:rFonts w:hint="cs"/>
          <w:rtl/>
        </w:rPr>
        <w:t>مجلس</w:t>
      </w:r>
      <w:r w:rsidRPr="00890BC9">
        <w:rPr>
          <w:rtl/>
        </w:rPr>
        <w:t xml:space="preserve"> حقوق الإنسان</w:t>
      </w:r>
    </w:p>
    <w:p w14:paraId="2A7AB0C2" w14:textId="77777777" w:rsidR="00BE69D6" w:rsidRDefault="00BE69D6" w:rsidP="00BE69D6">
      <w:pPr>
        <w:spacing w:line="380" w:lineRule="exact"/>
        <w:rPr>
          <w:b/>
          <w:bCs/>
          <w:rtl/>
        </w:rPr>
      </w:pPr>
      <w:r w:rsidRPr="00676923">
        <w:rPr>
          <w:b/>
          <w:bCs/>
          <w:rtl/>
        </w:rPr>
        <w:t>الدورة الثانية والخمسون</w:t>
      </w:r>
    </w:p>
    <w:p w14:paraId="3FDBCA8F" w14:textId="77777777" w:rsidR="00BE69D6" w:rsidRPr="000276DF" w:rsidRDefault="00BE69D6" w:rsidP="00BE69D6">
      <w:pPr>
        <w:spacing w:line="380" w:lineRule="exact"/>
        <w:textDirection w:val="tbRlV"/>
        <w:rPr>
          <w:rtl/>
          <w:lang w:val="ar-SA" w:eastAsia="zh-TW"/>
        </w:rPr>
      </w:pPr>
      <w:r w:rsidRPr="00676923">
        <w:rPr>
          <w:rtl/>
          <w:lang w:val="ar-SA" w:eastAsia="zh-TW"/>
        </w:rPr>
        <w:t>27 شباط/فبراير - 31 آذار/مارس 2023</w:t>
      </w:r>
    </w:p>
    <w:p w14:paraId="6DF69FBF" w14:textId="77777777" w:rsidR="00BE69D6" w:rsidRPr="00890BC9" w:rsidRDefault="00BE69D6" w:rsidP="00BE69D6">
      <w:pPr>
        <w:spacing w:line="380" w:lineRule="exact"/>
        <w:rPr>
          <w:rtl/>
        </w:rPr>
      </w:pPr>
      <w:r w:rsidRPr="00890BC9">
        <w:rPr>
          <w:rFonts w:hint="cs"/>
          <w:rtl/>
        </w:rPr>
        <w:t>البند 6 من جدول الأعمال</w:t>
      </w:r>
    </w:p>
    <w:p w14:paraId="295B4D63" w14:textId="77777777" w:rsidR="00BE69D6" w:rsidRPr="00890BC9" w:rsidRDefault="00BE69D6" w:rsidP="00BE69D6">
      <w:pPr>
        <w:spacing w:after="240" w:line="380" w:lineRule="exact"/>
        <w:rPr>
          <w:b/>
          <w:bCs/>
          <w:rtl/>
        </w:rPr>
      </w:pPr>
      <w:r w:rsidRPr="00890BC9">
        <w:rPr>
          <w:rFonts w:hint="cs"/>
          <w:b/>
          <w:bCs/>
          <w:rtl/>
        </w:rPr>
        <w:t>الاستعراض الدوري الشامل</w:t>
      </w:r>
    </w:p>
    <w:p w14:paraId="2EB49121" w14:textId="77777777" w:rsidR="00BE69D6" w:rsidRPr="00507A65" w:rsidRDefault="00BE69D6" w:rsidP="00BE69D6">
      <w:pPr>
        <w:framePr w:w="9792" w:h="432" w:hSpace="187" w:wrap="around" w:hAnchor="page" w:x="1196" w:yAlign="bottom"/>
        <w:spacing w:line="240" w:lineRule="auto"/>
        <w:rPr>
          <w:szCs w:val="10"/>
          <w:rtl/>
        </w:rPr>
      </w:pPr>
    </w:p>
    <w:p w14:paraId="60306160" w14:textId="77777777" w:rsidR="00BE69D6" w:rsidRPr="00507A65" w:rsidRDefault="00BE69D6" w:rsidP="00BE69D6">
      <w:pPr>
        <w:framePr w:w="9792" w:h="432" w:hSpace="187" w:wrap="around" w:hAnchor="page" w:x="1196" w:yAlign="bottom"/>
        <w:spacing w:line="240" w:lineRule="auto"/>
        <w:rPr>
          <w:szCs w:val="6"/>
          <w:rtl/>
        </w:rPr>
      </w:pPr>
      <w:r w:rsidRPr="00507A65">
        <w:rPr>
          <w:noProof/>
          <w:szCs w:val="6"/>
          <w:rtl/>
          <w:lang w:val="en-GB" w:eastAsia="en-GB"/>
        </w:rPr>
        <mc:AlternateContent>
          <mc:Choice Requires="wps">
            <w:drawing>
              <wp:anchor distT="0" distB="0" distL="114300" distR="114300" simplePos="0" relativeHeight="251658240" behindDoc="0" locked="0" layoutInCell="1" allowOverlap="1" wp14:anchorId="15E3666A" wp14:editId="4FDCA3D5">
                <wp:simplePos x="0" y="0"/>
                <wp:positionH relativeFrom="column">
                  <wp:posOffset>5029327</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EDE740A"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" strokecolor="#010000"/>
            </w:pict>
          </mc:Fallback>
        </mc:AlternateContent>
      </w:r>
    </w:p>
    <w:p w14:paraId="3B14772B" w14:textId="77777777" w:rsidR="00BE69D6" w:rsidRPr="00507A65" w:rsidRDefault="00BE69D6" w:rsidP="00BE69D6">
      <w:pPr>
        <w:framePr w:w="9792" w:h="432" w:hSpace="187" w:wrap="around" w:hAnchor="page" w:x="1196" w:yAlign="bottom"/>
        <w:tabs>
          <w:tab w:val="right" w:pos="996"/>
          <w:tab w:val="left" w:pos="1267"/>
        </w:tabs>
        <w:spacing w:after="80" w:line="300" w:lineRule="exact"/>
        <w:ind w:left="1267" w:right="1267" w:hanging="547"/>
        <w:rPr>
          <w:sz w:val="17"/>
          <w:szCs w:val="26"/>
        </w:rPr>
      </w:pPr>
      <w:r>
        <w:rPr>
          <w:rFonts w:hint="cs"/>
          <w:sz w:val="17"/>
          <w:szCs w:val="26"/>
          <w:rtl/>
        </w:rPr>
        <w:tab/>
        <w:t>*</w:t>
      </w:r>
      <w:r>
        <w:rPr>
          <w:sz w:val="17"/>
          <w:szCs w:val="26"/>
          <w:rtl/>
        </w:rPr>
        <w:tab/>
      </w:r>
      <w:r w:rsidRPr="007B5558">
        <w:rPr>
          <w:rFonts w:hint="cs"/>
          <w:sz w:val="17"/>
          <w:szCs w:val="26"/>
          <w:rtl/>
        </w:rPr>
        <w:t>تصدر هذه الوثيقة من دون تحرير رسمي.</w:t>
      </w:r>
    </w:p>
    <w:p w14:paraId="1B2C778D" w14:textId="77777777" w:rsidR="00BE69D6" w:rsidRPr="00890BC9" w:rsidRDefault="00BE69D6" w:rsidP="00BE69D6">
      <w:pPr>
        <w:pStyle w:val="HMGA"/>
        <w:rPr>
          <w:rtl/>
        </w:rPr>
      </w:pPr>
      <w:r w:rsidRPr="00890BC9">
        <w:rPr>
          <w:rtl/>
        </w:rPr>
        <w:tab/>
      </w:r>
      <w:r w:rsidRPr="00890BC9">
        <w:rPr>
          <w:rFonts w:hint="cs"/>
          <w:rtl/>
        </w:rPr>
        <w:tab/>
        <w:t>تقرير الفريق العامل المعني بالاستعراض الدوري الشامل</w:t>
      </w:r>
      <w:r>
        <w:rPr>
          <w:rFonts w:hint="cs"/>
          <w:rtl/>
        </w:rPr>
        <w:t>*</w:t>
      </w:r>
    </w:p>
    <w:p w14:paraId="13F32847" w14:textId="2A3EFB94" w:rsidR="00BE69D6" w:rsidRDefault="00BE69D6" w:rsidP="00BE69D6">
      <w:pPr>
        <w:pStyle w:val="HMGA"/>
        <w:rPr>
          <w:rtl/>
        </w:rPr>
      </w:pPr>
      <w:r w:rsidRPr="00890BC9">
        <w:rPr>
          <w:rtl/>
        </w:rPr>
        <w:tab/>
      </w:r>
      <w:r w:rsidRPr="00890BC9">
        <w:rPr>
          <w:rFonts w:hint="cs"/>
          <w:rtl/>
        </w:rPr>
        <w:tab/>
      </w:r>
      <w:r w:rsidR="00846E80" w:rsidRPr="00846E80">
        <w:rPr>
          <w:rtl/>
        </w:rPr>
        <w:t>المغرب</w:t>
      </w:r>
    </w:p>
    <w:p w14:paraId="725CED47" w14:textId="77777777" w:rsidR="00BE69D6" w:rsidRPr="00890BC9" w:rsidRDefault="00BE69D6" w:rsidP="00BE69D6">
      <w:pPr>
        <w:pStyle w:val="H23GA"/>
        <w:rPr>
          <w:rtl/>
        </w:rPr>
      </w:pPr>
      <w:r w:rsidRPr="00890BC9">
        <w:rPr>
          <w:rtl/>
        </w:rPr>
        <w:tab/>
      </w:r>
      <w:r w:rsidRPr="00890BC9">
        <w:rPr>
          <w:rFonts w:hint="cs"/>
          <w:rtl/>
        </w:rPr>
        <w:tab/>
        <w:t>إضافة</w:t>
      </w:r>
    </w:p>
    <w:p w14:paraId="7207B38D" w14:textId="77777777" w:rsidR="00BE69D6" w:rsidRDefault="00BE69D6" w:rsidP="00BE69D6">
      <w:pPr>
        <w:pStyle w:val="HChGA"/>
        <w:rPr>
          <w:rtl/>
        </w:rPr>
      </w:pPr>
      <w:r w:rsidRPr="00890BC9">
        <w:rPr>
          <w:rtl/>
        </w:rPr>
        <w:tab/>
      </w:r>
      <w:r w:rsidRPr="00890BC9">
        <w:rPr>
          <w:rFonts w:hint="cs"/>
          <w:rtl/>
        </w:rPr>
        <w:tab/>
        <w:t>آراء بشأن الاستنتاجات و/أو التوصيات، والالتزامات الطوعية والردود المقدمة من الدولة موضع الاستعراض</w:t>
      </w:r>
    </w:p>
    <w:p w14:paraId="4B0BF5CF" w14:textId="218D4DA1" w:rsidR="00BE69D6" w:rsidRDefault="00BE69D6" w:rsidP="00BE69D6">
      <w:pPr>
        <w:pStyle w:val="SingleTxtGA"/>
        <w:rPr>
          <w:rtl/>
          <w:lang w:val="fr-FR"/>
        </w:rPr>
      </w:pPr>
      <w:r>
        <w:rPr>
          <w:rtl/>
        </w:rPr>
        <w:br w:type="page"/>
      </w:r>
      <w:bookmarkStart w:id="1" w:name="_Hlk127439473"/>
    </w:p>
    <w:p w14:paraId="0815CECF" w14:textId="5C383449" w:rsidR="00846E80" w:rsidRPr="00711843" w:rsidRDefault="00846E80" w:rsidP="00846E80">
      <w:pPr>
        <w:pStyle w:val="HChGA"/>
        <w:rPr>
          <w:rFonts w:eastAsia="MS Mincho"/>
          <w:rtl/>
        </w:rPr>
      </w:pPr>
      <w:r w:rsidRPr="000276DF">
        <w:rPr>
          <w:rFonts w:hint="cs"/>
          <w:rtl/>
          <w:lang w:eastAsia="ar-SA"/>
        </w:rPr>
        <w:lastRenderedPageBreak/>
        <w:tab/>
      </w:r>
      <w:r w:rsidRPr="00846E80">
        <w:rPr>
          <w:rtl/>
          <w:lang w:eastAsia="ar-SA"/>
        </w:rPr>
        <w:t>أولا</w:t>
      </w:r>
      <w:r w:rsidRPr="00711843">
        <w:rPr>
          <w:rFonts w:eastAsia="MS Mincho"/>
          <w:rtl/>
        </w:rPr>
        <w:tab/>
      </w:r>
      <w:r w:rsidRPr="00846E80">
        <w:rPr>
          <w:rFonts w:eastAsia="MS Mincho"/>
          <w:rtl/>
        </w:rPr>
        <w:t>مقدمة</w:t>
      </w:r>
    </w:p>
    <w:p w14:paraId="55DED5A3" w14:textId="186D890E" w:rsidR="00846E80" w:rsidRPr="00846E80" w:rsidRDefault="00846E80" w:rsidP="00846E80">
      <w:pPr>
        <w:pStyle w:val="SingleTxtGA"/>
        <w:rPr>
          <w:rtl/>
        </w:rPr>
      </w:pPr>
      <w:r>
        <w:rPr>
          <w:rFonts w:hint="cs"/>
          <w:rtl/>
          <w:lang w:bidi="ar-EG"/>
        </w:rPr>
        <w:t>1</w:t>
      </w:r>
      <w:r w:rsidRPr="00846E80">
        <w:rPr>
          <w:rtl/>
          <w:lang w:bidi="ar-EG"/>
        </w:rPr>
        <w:t>-</w:t>
      </w:r>
      <w:r w:rsidRPr="00846E80">
        <w:rPr>
          <w:rtl/>
          <w:lang w:bidi="ar-EG"/>
        </w:rPr>
        <w:tab/>
      </w:r>
      <w:r w:rsidRPr="00846E80">
        <w:rPr>
          <w:rFonts w:hint="cs"/>
          <w:rtl/>
          <w:lang w:bidi="ar-MA"/>
        </w:rPr>
        <w:t>تود</w:t>
      </w:r>
      <w:r w:rsidRPr="00846E80">
        <w:rPr>
          <w:rtl/>
          <w:lang w:bidi="ar-MA"/>
        </w:rPr>
        <w:t xml:space="preserve"> </w:t>
      </w:r>
      <w:r w:rsidRPr="00846E80">
        <w:rPr>
          <w:rtl/>
          <w:lang w:bidi="ar-EG"/>
        </w:rPr>
        <w:t>المملكة المغربية</w:t>
      </w:r>
      <w:r w:rsidRPr="00846E80">
        <w:rPr>
          <w:rFonts w:hint="cs"/>
          <w:rtl/>
          <w:lang w:bidi="ar-EG"/>
        </w:rPr>
        <w:t xml:space="preserve">، </w:t>
      </w:r>
      <w:r w:rsidRPr="00846E80">
        <w:rPr>
          <w:rFonts w:hint="cs"/>
          <w:rtl/>
        </w:rPr>
        <w:t>ب</w:t>
      </w:r>
      <w:r w:rsidRPr="00846E80">
        <w:rPr>
          <w:rtl/>
        </w:rPr>
        <w:t xml:space="preserve">مناسبة اعتماد مجلس حقوق الإنسان لتقرير الفريق العامل المعني بالاستعراض الدوري الشامل حول تقريرها الوطني، برسم الجولة الرابعة لهذه الآلية، </w:t>
      </w:r>
      <w:r w:rsidRPr="00846E80">
        <w:rPr>
          <w:rFonts w:hint="cs"/>
          <w:rtl/>
        </w:rPr>
        <w:t xml:space="preserve">أن </w:t>
      </w:r>
      <w:r w:rsidRPr="00846E80">
        <w:rPr>
          <w:rtl/>
        </w:rPr>
        <w:t>تُجَدِّدَ التأكيد على التزامه</w:t>
      </w:r>
      <w:r w:rsidRPr="00846E80">
        <w:rPr>
          <w:rFonts w:hint="cs"/>
          <w:rtl/>
        </w:rPr>
        <w:t>ا</w:t>
      </w:r>
      <w:r w:rsidRPr="00846E80">
        <w:rPr>
          <w:lang w:val="fr-FR" w:bidi="ar-EG"/>
        </w:rPr>
        <w:t xml:space="preserve"> </w:t>
      </w:r>
      <w:r w:rsidRPr="00846E80">
        <w:rPr>
          <w:rtl/>
        </w:rPr>
        <w:t>بمواصلة جهودها لحماية حقوق الإنسان والنهوض بها والعمل على تعزيزها على المستويين الوطني والدولي، ومواصلة المشاركة الفاعلة والبناءة في أعمال مجلس حقوق الإنسان.</w:t>
      </w:r>
      <w:r w:rsidRPr="00846E80">
        <w:rPr>
          <w:rtl/>
          <w:lang w:bidi="ar-EG"/>
        </w:rPr>
        <w:t xml:space="preserve"> </w:t>
      </w:r>
      <w:r w:rsidRPr="00846E80">
        <w:rPr>
          <w:rtl/>
        </w:rPr>
        <w:t>كما تُجدد دعمها لآلية الاستعراض الدوري الشامل ولأهدافها النبيلة، وحرص</w:t>
      </w:r>
      <w:r w:rsidRPr="00846E80">
        <w:rPr>
          <w:rtl/>
          <w:lang w:bidi="ar-MA"/>
        </w:rPr>
        <w:t>ه</w:t>
      </w:r>
      <w:r w:rsidRPr="00846E80">
        <w:rPr>
          <w:rtl/>
        </w:rPr>
        <w:t>ا على دعم طابعها التعاوني.</w:t>
      </w:r>
    </w:p>
    <w:bookmarkEnd w:id="1"/>
    <w:p w14:paraId="24E1F4CC" w14:textId="42321B25" w:rsidR="00BE69D6" w:rsidRDefault="00BE69D6" w:rsidP="00BE69D6">
      <w:pPr>
        <w:pStyle w:val="SingleTxtGA"/>
        <w:rPr>
          <w:rtl/>
          <w:lang w:val="fr-FR" w:bidi="ar-EG"/>
        </w:rPr>
      </w:pPr>
      <w:r w:rsidRPr="00890BC9">
        <w:rPr>
          <w:rtl/>
          <w:lang w:val="fr-FR" w:bidi="ar-EG"/>
        </w:rPr>
        <w:t>2-</w:t>
      </w:r>
      <w:r w:rsidRPr="00890BC9">
        <w:rPr>
          <w:rtl/>
          <w:lang w:val="fr-FR" w:bidi="ar-EG"/>
        </w:rPr>
        <w:tab/>
      </w:r>
      <w:r w:rsidR="00846E80" w:rsidRPr="00846E80">
        <w:rPr>
          <w:rtl/>
          <w:lang w:val="fr-FR"/>
        </w:rPr>
        <w:t xml:space="preserve">تلقت المملكة المغربية، خلال الحوار التفاعلي برسم هذه الجولة، 306 توصية، حرصت على البت فيها، وفق المقاربة المتعارف عليها، في التفاعل مع الآليات الأممية لحقوق الإنسان، </w:t>
      </w:r>
      <w:r w:rsidR="00846E80" w:rsidRPr="00846E80">
        <w:rPr>
          <w:rtl/>
          <w:lang w:val="fr-FR"/>
        </w:rPr>
        <w:tab/>
        <w:t>مولية مجملها أهمية خاصة، بحكم اندراجها في عديد انشغالات السياسات والبرامج العمومية المتعلقة بحماية حقوق الإنسان والنهوض بها.</w:t>
      </w:r>
    </w:p>
    <w:p w14:paraId="0B78ED7C" w14:textId="0B0FA949" w:rsidR="00BE69D6" w:rsidRPr="00DC7062" w:rsidRDefault="00BE69D6" w:rsidP="00BE69D6">
      <w:pPr>
        <w:pStyle w:val="SingleTxtGA"/>
        <w:rPr>
          <w:lang w:bidi="ar-EG"/>
        </w:rPr>
      </w:pPr>
      <w:r w:rsidRPr="00890BC9">
        <w:rPr>
          <w:rtl/>
          <w:lang w:val="fr-FR" w:bidi="ar-EG"/>
        </w:rPr>
        <w:t>3-</w:t>
      </w:r>
      <w:r w:rsidRPr="00890BC9">
        <w:rPr>
          <w:rtl/>
          <w:lang w:val="fr-FR" w:bidi="ar-EG"/>
        </w:rPr>
        <w:tab/>
      </w:r>
      <w:r w:rsidR="00846E80" w:rsidRPr="00846E80">
        <w:rPr>
          <w:rtl/>
          <w:lang w:val="fr-FR"/>
        </w:rPr>
        <w:t>تؤكد المملكة المغربية، أنه من أصل 306 توصية قدمت لها، حظيت23</w:t>
      </w:r>
      <w:r w:rsidR="00846E80" w:rsidRPr="00846E80">
        <w:rPr>
          <w:rFonts w:hint="cs"/>
          <w:rtl/>
          <w:lang w:val="fr-FR"/>
        </w:rPr>
        <w:t>2</w:t>
      </w:r>
      <w:r w:rsidR="00846E80" w:rsidRPr="00846E80">
        <w:rPr>
          <w:rtl/>
          <w:lang w:val="fr-FR"/>
        </w:rPr>
        <w:t xml:space="preserve"> منها بالقبول، باعتبارها مفعلة أو في طور الإعمال.</w:t>
      </w:r>
    </w:p>
    <w:p w14:paraId="393B6A71" w14:textId="37234783" w:rsidR="00BE69D6" w:rsidRDefault="00BE69D6" w:rsidP="00BE69D6">
      <w:pPr>
        <w:pStyle w:val="SingleTxtGA"/>
        <w:rPr>
          <w:rtl/>
          <w:lang w:val="fr-FR" w:bidi="ar-EG"/>
        </w:rPr>
      </w:pPr>
      <w:r w:rsidRPr="00890BC9">
        <w:rPr>
          <w:sz w:val="18"/>
          <w:rtl/>
          <w:lang w:val="en-GB" w:bidi="ar-LY"/>
        </w:rPr>
        <w:t>4</w:t>
      </w:r>
      <w:r w:rsidRPr="00890BC9">
        <w:rPr>
          <w:rtl/>
          <w:lang w:val="fr-FR" w:bidi="ar-EG"/>
        </w:rPr>
        <w:t>-</w:t>
      </w:r>
      <w:r w:rsidRPr="00890BC9">
        <w:rPr>
          <w:rtl/>
          <w:lang w:val="fr-FR" w:bidi="ar-EG"/>
        </w:rPr>
        <w:tab/>
      </w:r>
      <w:r w:rsidR="00846E80" w:rsidRPr="00846E80">
        <w:rPr>
          <w:rtl/>
          <w:lang w:val="fr-FR"/>
        </w:rPr>
        <w:t>تشير المملكة المغربية من جهة أخرى،</w:t>
      </w:r>
      <w:r w:rsidR="00846E80" w:rsidRPr="00846E80">
        <w:rPr>
          <w:rFonts w:hint="cs"/>
          <w:rtl/>
          <w:lang w:val="fr-FR"/>
        </w:rPr>
        <w:t xml:space="preserve"> </w:t>
      </w:r>
      <w:r w:rsidR="00846E80" w:rsidRPr="00846E80">
        <w:rPr>
          <w:rFonts w:hint="cs"/>
          <w:rtl/>
          <w:lang w:val="fr-FR" w:bidi="ar-MA"/>
        </w:rPr>
        <w:t>إلى</w:t>
      </w:r>
      <w:r w:rsidR="00846E80" w:rsidRPr="00846E80">
        <w:rPr>
          <w:rtl/>
          <w:lang w:val="fr-FR"/>
        </w:rPr>
        <w:t xml:space="preserve"> أنها أخذت علما ب 6</w:t>
      </w:r>
      <w:r w:rsidR="00846E80" w:rsidRPr="00846E80">
        <w:rPr>
          <w:rFonts w:hint="cs"/>
          <w:rtl/>
          <w:lang w:val="fr-FR"/>
        </w:rPr>
        <w:t>9</w:t>
      </w:r>
      <w:r w:rsidR="00846E80" w:rsidRPr="00846E80">
        <w:rPr>
          <w:rtl/>
          <w:lang w:val="fr-FR"/>
        </w:rPr>
        <w:t xml:space="preserve"> توصية، من بينها 3</w:t>
      </w:r>
      <w:r w:rsidR="00846E80" w:rsidRPr="00846E80">
        <w:rPr>
          <w:rFonts w:hint="cs"/>
          <w:rtl/>
          <w:lang w:val="fr-FR"/>
        </w:rPr>
        <w:t>7</w:t>
      </w:r>
      <w:r w:rsidR="00846E80" w:rsidRPr="00846E80">
        <w:rPr>
          <w:rtl/>
          <w:lang w:val="fr-FR"/>
        </w:rPr>
        <w:t xml:space="preserve"> توصية مقبولة جزئيا و </w:t>
      </w:r>
      <w:r w:rsidR="00846E80" w:rsidRPr="00846E80">
        <w:rPr>
          <w:rFonts w:hint="cs"/>
          <w:rtl/>
          <w:lang w:val="fr-FR"/>
        </w:rPr>
        <w:t>32</w:t>
      </w:r>
      <w:r w:rsidR="00846E80" w:rsidRPr="00846E80">
        <w:rPr>
          <w:rtl/>
          <w:lang w:val="fr-FR"/>
        </w:rPr>
        <w:t xml:space="preserve"> توصية مرفوضة كليا.</w:t>
      </w:r>
    </w:p>
    <w:p w14:paraId="376F33F6" w14:textId="331776BB" w:rsidR="00BE69D6" w:rsidRDefault="00BE69D6" w:rsidP="00BE69D6">
      <w:pPr>
        <w:pStyle w:val="SingleTxtGA"/>
        <w:rPr>
          <w:rtl/>
          <w:lang w:val="fr-FR"/>
        </w:rPr>
      </w:pPr>
      <w:r>
        <w:rPr>
          <w:rFonts w:hint="cs"/>
          <w:sz w:val="18"/>
          <w:rtl/>
          <w:lang w:val="en-GB" w:bidi="ar-LY"/>
        </w:rPr>
        <w:t>5</w:t>
      </w:r>
      <w:r w:rsidRPr="00890BC9">
        <w:rPr>
          <w:rtl/>
          <w:lang w:val="fr-FR" w:bidi="ar-EG"/>
        </w:rPr>
        <w:t>-</w:t>
      </w:r>
      <w:r w:rsidRPr="00890BC9">
        <w:rPr>
          <w:rtl/>
          <w:lang w:val="fr-FR" w:bidi="ar-EG"/>
        </w:rPr>
        <w:tab/>
      </w:r>
      <w:r w:rsidR="00846E80" w:rsidRPr="00846E80">
        <w:rPr>
          <w:rtl/>
          <w:lang w:val="fr-FR"/>
        </w:rPr>
        <w:t>كما تشير المملكة المغربية إلى عدم قبولها ل 5 توصيات، باعتبارها لا تدخل ضمن صلاحيات مجلس حقوق الإنسان.</w:t>
      </w:r>
    </w:p>
    <w:p w14:paraId="12BE63A9" w14:textId="331028D4" w:rsidR="00846E80" w:rsidRPr="00711843" w:rsidRDefault="00846E80" w:rsidP="00846E80">
      <w:pPr>
        <w:pStyle w:val="HChGA"/>
        <w:rPr>
          <w:rFonts w:eastAsia="MS Mincho"/>
          <w:rtl/>
        </w:rPr>
      </w:pPr>
      <w:bookmarkStart w:id="2" w:name="_Hlk127282816"/>
      <w:r w:rsidRPr="000276DF">
        <w:rPr>
          <w:rFonts w:hint="cs"/>
          <w:rtl/>
          <w:lang w:eastAsia="ar-SA"/>
        </w:rPr>
        <w:tab/>
      </w:r>
      <w:r w:rsidRPr="00846E80">
        <w:rPr>
          <w:rtl/>
          <w:lang w:eastAsia="ar-SA"/>
        </w:rPr>
        <w:t>ثانيا</w:t>
      </w:r>
      <w:r w:rsidRPr="00711843">
        <w:rPr>
          <w:rFonts w:eastAsia="MS Mincho"/>
          <w:rtl/>
        </w:rPr>
        <w:tab/>
      </w:r>
      <w:r w:rsidRPr="00846E80">
        <w:rPr>
          <w:rFonts w:eastAsia="MS Mincho"/>
          <w:rtl/>
        </w:rPr>
        <w:t>التعاون مع المنظومة الأممية لحقوق الإنسان</w:t>
      </w:r>
    </w:p>
    <w:bookmarkEnd w:id="2"/>
    <w:p w14:paraId="40294613" w14:textId="7E440355" w:rsidR="00BE69D6" w:rsidRDefault="00BE69D6" w:rsidP="00BE69D6">
      <w:pPr>
        <w:pStyle w:val="SingleTxtGA"/>
        <w:rPr>
          <w:rtl/>
          <w:lang w:val="fr-FR" w:bidi="ar-EG"/>
        </w:rPr>
      </w:pPr>
      <w:r>
        <w:rPr>
          <w:rFonts w:hint="cs"/>
          <w:sz w:val="18"/>
          <w:rtl/>
          <w:lang w:val="en-GB" w:bidi="ar-LY"/>
        </w:rPr>
        <w:t>6</w:t>
      </w:r>
      <w:r w:rsidRPr="00890BC9">
        <w:rPr>
          <w:rtl/>
          <w:lang w:val="fr-FR" w:bidi="ar-EG"/>
        </w:rPr>
        <w:t>-</w:t>
      </w:r>
      <w:r w:rsidRPr="00890BC9">
        <w:rPr>
          <w:rtl/>
          <w:lang w:val="fr-FR" w:bidi="ar-EG"/>
        </w:rPr>
        <w:tab/>
      </w:r>
      <w:r w:rsidR="00846E80" w:rsidRPr="00846E80">
        <w:rPr>
          <w:rtl/>
          <w:lang w:val="fr-FR"/>
        </w:rPr>
        <w:t>اعتبرت المملكة المغربية على الدوام انخراطها في المنظومة الأممية لحقوق الإنسان، وسيلة أساسية لحماية حقوق الإنسان والنهوض بها. وقد توقف تقريرها الوطني عند مستوى ممارستها الاتفاقية</w:t>
      </w:r>
      <w:r w:rsidR="00846E80" w:rsidRPr="00846E80">
        <w:rPr>
          <w:rFonts w:hint="cs"/>
          <w:rtl/>
          <w:lang w:val="fr-FR"/>
        </w:rPr>
        <w:t>، بكافة أشكالها ومضامينها</w:t>
      </w:r>
      <w:r w:rsidR="00846E80" w:rsidRPr="00846E80">
        <w:rPr>
          <w:rtl/>
          <w:lang w:val="fr-FR"/>
        </w:rPr>
        <w:t>.</w:t>
      </w:r>
    </w:p>
    <w:p w14:paraId="568FF401" w14:textId="3BF9BDEB" w:rsidR="00BE69D6" w:rsidRDefault="00BE69D6" w:rsidP="00BE69D6">
      <w:pPr>
        <w:pStyle w:val="SingleTxtGA"/>
        <w:rPr>
          <w:rtl/>
          <w:lang w:val="fr-FR"/>
        </w:rPr>
      </w:pPr>
      <w:bookmarkStart w:id="3" w:name="_Hlk127282976"/>
      <w:r>
        <w:rPr>
          <w:rFonts w:hint="cs"/>
          <w:sz w:val="18"/>
          <w:rtl/>
          <w:lang w:val="en-GB" w:bidi="ar-LY"/>
        </w:rPr>
        <w:t>7</w:t>
      </w:r>
      <w:r w:rsidRPr="00890BC9">
        <w:rPr>
          <w:rtl/>
          <w:lang w:val="fr-FR" w:bidi="ar-EG"/>
        </w:rPr>
        <w:t>-</w:t>
      </w:r>
      <w:r w:rsidRPr="00890BC9">
        <w:rPr>
          <w:rtl/>
          <w:lang w:val="fr-FR" w:bidi="ar-EG"/>
        </w:rPr>
        <w:tab/>
      </w:r>
      <w:r w:rsidR="00846E80" w:rsidRPr="00846E80">
        <w:rPr>
          <w:rtl/>
          <w:lang w:val="fr-FR"/>
        </w:rPr>
        <w:t>تستحضر المملكة المغربية</w:t>
      </w:r>
      <w:r w:rsidR="00846E80" w:rsidRPr="00846E80">
        <w:rPr>
          <w:rtl/>
          <w:lang w:val="fr-FR" w:bidi="ar-MA"/>
        </w:rPr>
        <w:t>،</w:t>
      </w:r>
      <w:r w:rsidR="00846E80" w:rsidRPr="00846E80">
        <w:rPr>
          <w:rtl/>
          <w:lang w:val="fr-FR"/>
        </w:rPr>
        <w:t xml:space="preserve"> بالمناسبة، فلسفتها بشأن ممارستها الاتفاقية، المعتمدة على التدرج والحوار وتهييئ الشروط الموضوعية للإعمال والتفعيل، لضمان ملاءمة وتأهيل الإطار التشريعي والمؤسساتي واتخاذ التدابير الإجرائية الميسرة للوفاء بالتزاماتها الدولية</w:t>
      </w:r>
      <w:r w:rsidR="00846E80" w:rsidRPr="00846E80">
        <w:rPr>
          <w:rFonts w:hint="cs"/>
          <w:rtl/>
          <w:lang w:val="fr-FR"/>
        </w:rPr>
        <w:t>، التي تتولى إعمالها السلطات الدستورية، البرلمانية والحكومية والقضائية، وسائر المؤسسات المعنية، كل في نطاق اختصاصه ومجال تدخله.</w:t>
      </w:r>
    </w:p>
    <w:p w14:paraId="4F58B35E" w14:textId="4B1C9DB0" w:rsidR="007569CA" w:rsidRPr="00711843" w:rsidRDefault="007569CA" w:rsidP="007569CA">
      <w:pPr>
        <w:pStyle w:val="HChGA"/>
        <w:rPr>
          <w:rFonts w:eastAsia="MS Mincho"/>
          <w:rtl/>
        </w:rPr>
      </w:pPr>
      <w:r w:rsidRPr="000276DF">
        <w:rPr>
          <w:rFonts w:hint="cs"/>
          <w:rtl/>
          <w:lang w:eastAsia="ar-SA"/>
        </w:rPr>
        <w:tab/>
      </w:r>
      <w:r w:rsidRPr="007569CA">
        <w:rPr>
          <w:rtl/>
          <w:lang w:eastAsia="ar-SA"/>
        </w:rPr>
        <w:t>ثالثا</w:t>
      </w:r>
      <w:r w:rsidRPr="00711843">
        <w:rPr>
          <w:rFonts w:eastAsia="MS Mincho"/>
          <w:rtl/>
        </w:rPr>
        <w:tab/>
      </w:r>
      <w:r w:rsidRPr="007569CA">
        <w:rPr>
          <w:rFonts w:eastAsia="MS Mincho"/>
          <w:rtl/>
        </w:rPr>
        <w:t xml:space="preserve">موقف المملكة المغربية </w:t>
      </w:r>
      <w:r w:rsidRPr="007569CA">
        <w:rPr>
          <w:rFonts w:eastAsia="MS Mincho"/>
          <w:rtl/>
          <w:lang w:bidi="ar-MA"/>
        </w:rPr>
        <w:t>من</w:t>
      </w:r>
      <w:r w:rsidRPr="007569CA">
        <w:rPr>
          <w:rFonts w:eastAsia="MS Mincho"/>
          <w:rtl/>
        </w:rPr>
        <w:t xml:space="preserve"> التوصيات المقدمة</w:t>
      </w:r>
    </w:p>
    <w:bookmarkEnd w:id="3"/>
    <w:p w14:paraId="2B1FC0B7" w14:textId="47FA6312" w:rsidR="00BE69D6" w:rsidRPr="00676923" w:rsidRDefault="00BE69D6" w:rsidP="00BE69D6">
      <w:pPr>
        <w:pStyle w:val="SingleTxtGA"/>
        <w:rPr>
          <w:rtl/>
          <w:lang w:val="fr-FR"/>
        </w:rPr>
      </w:pPr>
      <w:r>
        <w:rPr>
          <w:rFonts w:hint="cs"/>
          <w:rtl/>
          <w:lang w:val="fr-FR" w:bidi="ar-LY"/>
        </w:rPr>
        <w:t>8</w:t>
      </w:r>
      <w:r w:rsidRPr="00676923">
        <w:rPr>
          <w:rtl/>
          <w:lang w:val="fr-FR" w:bidi="ar-EG"/>
        </w:rPr>
        <w:t>-</w:t>
      </w:r>
      <w:r w:rsidRPr="00676923">
        <w:rPr>
          <w:rtl/>
          <w:lang w:val="fr-FR" w:bidi="ar-EG"/>
        </w:rPr>
        <w:tab/>
      </w:r>
      <w:r w:rsidR="007569CA" w:rsidRPr="007569CA">
        <w:rPr>
          <w:rtl/>
          <w:lang w:val="fr-FR"/>
        </w:rPr>
        <w:t xml:space="preserve">ترحب المملكة المغربية </w:t>
      </w:r>
      <w:r w:rsidR="007569CA" w:rsidRPr="007569CA">
        <w:rPr>
          <w:rtl/>
          <w:lang w:val="fr-FR" w:bidi="ar-MA"/>
        </w:rPr>
        <w:t xml:space="preserve">بالاهتمام الدولي المتزايد </w:t>
      </w:r>
      <w:r w:rsidR="007569CA" w:rsidRPr="007569CA">
        <w:rPr>
          <w:rtl/>
          <w:lang w:val="fr-FR"/>
        </w:rPr>
        <w:t>بمسارها الحقوقي وبعديد الأوراش والإصلاحات المباشَرة خلال الفترة المشمولة بالتقرير الوطني.</w:t>
      </w:r>
    </w:p>
    <w:p w14:paraId="7C30E93E" w14:textId="4C922165" w:rsidR="00BE69D6" w:rsidRDefault="00BE69D6" w:rsidP="00BE69D6">
      <w:pPr>
        <w:pStyle w:val="SingleTxtGA"/>
        <w:rPr>
          <w:rtl/>
          <w:lang w:val="fr-FR"/>
        </w:rPr>
      </w:pPr>
      <w:r>
        <w:rPr>
          <w:rFonts w:hint="cs"/>
          <w:rtl/>
          <w:lang w:val="fr-FR" w:bidi="ar-LY"/>
        </w:rPr>
        <w:lastRenderedPageBreak/>
        <w:t>9</w:t>
      </w:r>
      <w:r w:rsidRPr="00676923">
        <w:rPr>
          <w:rtl/>
          <w:lang w:val="fr-FR" w:bidi="ar-EG"/>
        </w:rPr>
        <w:t>-</w:t>
      </w:r>
      <w:r w:rsidRPr="00676923">
        <w:rPr>
          <w:rtl/>
          <w:lang w:val="fr-FR" w:bidi="ar-EG"/>
        </w:rPr>
        <w:tab/>
      </w:r>
      <w:r w:rsidR="007569CA" w:rsidRPr="007569CA">
        <w:rPr>
          <w:rtl/>
          <w:lang w:val="fr-FR"/>
        </w:rPr>
        <w:t>تؤكد المملكة المغربية، على أن موقفها من التوصيات، سواء بالتأييد أو بالقبول الجزئي أو بالرفض الكلي أو بعدم القبول، تم طبقا للدستور وفي احترام تام لالتزاماتها بموجب الاتفاقيات الدولية التي صادقت عليها. (وتبرز ذلك الفقرات الموالية).</w:t>
      </w:r>
    </w:p>
    <w:p w14:paraId="1E049C59" w14:textId="39DFB6DA" w:rsidR="00BE69D6" w:rsidRDefault="00BE69D6" w:rsidP="00BE69D6">
      <w:pPr>
        <w:pStyle w:val="SingleTxtGA"/>
        <w:rPr>
          <w:rtl/>
          <w:lang w:val="fr-FR"/>
        </w:rPr>
      </w:pPr>
      <w:r>
        <w:rPr>
          <w:rFonts w:hint="cs"/>
          <w:rtl/>
          <w:lang w:val="fr-FR" w:bidi="ar-LY"/>
        </w:rPr>
        <w:t>10</w:t>
      </w:r>
      <w:r w:rsidRPr="00676923">
        <w:rPr>
          <w:rtl/>
          <w:lang w:val="fr-FR" w:bidi="ar-EG"/>
        </w:rPr>
        <w:t>-</w:t>
      </w:r>
      <w:r w:rsidRPr="00676923">
        <w:rPr>
          <w:rtl/>
          <w:lang w:val="fr-FR" w:bidi="ar-EG"/>
        </w:rPr>
        <w:tab/>
      </w:r>
      <w:r w:rsidR="007569CA" w:rsidRPr="007569CA">
        <w:rPr>
          <w:rtl/>
          <w:lang w:val="fr-FR"/>
        </w:rPr>
        <w:t>تؤيد المملكة المغربية 23</w:t>
      </w:r>
      <w:r w:rsidR="007569CA" w:rsidRPr="007569CA">
        <w:rPr>
          <w:rFonts w:hint="cs"/>
          <w:rtl/>
          <w:lang w:val="fr-FR"/>
        </w:rPr>
        <w:t>2</w:t>
      </w:r>
      <w:r w:rsidR="007569CA" w:rsidRPr="007569CA">
        <w:rPr>
          <w:rtl/>
          <w:lang w:val="fr-FR"/>
        </w:rPr>
        <w:t xml:space="preserve"> توصية، باعتبارها مفعلة أو في طور الإعمال، بحكم اندراج مضامينها في انشغالات السياسات والاستراتيجيات والبرامج العمومية، من حيث مواصلة التفاعل مع المنظومة الأممية لحقوق الإنسان، وإعمال المقتضيات الدستورية ذات الصلة، وتعزيز ملاءمة الإطار القانوني الوطني مع الاتفاقيات الدولية، ومواصلة ضمان التمتع بالحقوق والحريات، وتتبع إعمال تدابير خطة العمل الوطنية في مجال الديمقراطية وحقوق الإنسان، وكذا اندراجها في إطار الأوراش المهيكلة منذ سنة 2017، كورش الحماية الاجتماعية وإصلاح منظومة التربية والتكوين، وما أجري من تقويمات لبعض مشاريعها بمناسبة التصدي لجائحة كورونا، وصولا إلى اعتماد النموذج التنموي الجديد. وقد تم كل ذلك بانسجام مع أهداف التنمية المستدامة.</w:t>
      </w:r>
    </w:p>
    <w:p w14:paraId="2F00A984" w14:textId="7DE20245" w:rsidR="00BE69D6" w:rsidRPr="00676923" w:rsidRDefault="00BE69D6" w:rsidP="00BE69D6">
      <w:pPr>
        <w:pStyle w:val="SingleTxtGA"/>
        <w:rPr>
          <w:rtl/>
          <w:lang w:val="fr-FR"/>
        </w:rPr>
      </w:pPr>
      <w:r>
        <w:rPr>
          <w:rFonts w:hint="cs"/>
          <w:rtl/>
          <w:lang w:val="fr-FR" w:bidi="ar-LY"/>
        </w:rPr>
        <w:t>11</w:t>
      </w:r>
      <w:r w:rsidRPr="00676923">
        <w:rPr>
          <w:rtl/>
          <w:lang w:val="fr-FR" w:bidi="ar-EG"/>
        </w:rPr>
        <w:t>-</w:t>
      </w:r>
      <w:r w:rsidRPr="00676923">
        <w:rPr>
          <w:rtl/>
          <w:lang w:val="fr-FR" w:bidi="ar-EG"/>
        </w:rPr>
        <w:tab/>
      </w:r>
      <w:r w:rsidR="007569CA" w:rsidRPr="007569CA">
        <w:rPr>
          <w:rtl/>
          <w:lang w:val="fr-FR"/>
        </w:rPr>
        <w:t xml:space="preserve">تتصل موضوعات التوصيات المقبولة بالتقدم المحرز من حيث تعزيز الإطار القانوني للمجلس الوطني لحقوق الإنسان، </w:t>
      </w:r>
      <w:r w:rsidR="007569CA" w:rsidRPr="007569CA">
        <w:rPr>
          <w:rtl/>
          <w:lang w:val="fr-FR" w:bidi="ar-MA"/>
        </w:rPr>
        <w:t>تبعا</w:t>
      </w:r>
      <w:r w:rsidR="007569CA" w:rsidRPr="007569CA">
        <w:rPr>
          <w:rtl/>
          <w:lang w:val="fr-FR"/>
        </w:rPr>
        <w:t xml:space="preserve"> لمكانته الدستورية ولأدواره الحمائية، ومواصلة الحماية القانونية ضد التمييز بجميع أشكاله، وكذا ما يتصل بتعزيز ضمانات أساسية متعلقة بمناهضة </w:t>
      </w:r>
      <w:r w:rsidR="007569CA" w:rsidRPr="007569CA">
        <w:rPr>
          <w:rFonts w:hint="cs"/>
          <w:rtl/>
          <w:lang w:val="fr-FR"/>
        </w:rPr>
        <w:t>التعذيب</w:t>
      </w:r>
      <w:r w:rsidR="007569CA" w:rsidRPr="007569CA">
        <w:rPr>
          <w:lang w:val="fr-FR" w:bidi="ar-EG"/>
        </w:rPr>
        <w:t> </w:t>
      </w:r>
      <w:r w:rsidR="007569CA" w:rsidRPr="007569CA">
        <w:rPr>
          <w:rFonts w:hint="cs"/>
          <w:rtl/>
          <w:lang w:val="fr-FR" w:bidi="ar-MA"/>
        </w:rPr>
        <w:t>ومواصلة</w:t>
      </w:r>
      <w:r w:rsidR="007569CA" w:rsidRPr="007569CA">
        <w:rPr>
          <w:rtl/>
          <w:lang w:val="fr-FR" w:bidi="ar-MA"/>
        </w:rPr>
        <w:t xml:space="preserve"> تحسين وضعية السجناء</w:t>
      </w:r>
      <w:r w:rsidR="007569CA" w:rsidRPr="007569CA">
        <w:rPr>
          <w:rtl/>
          <w:lang w:val="fr-FR"/>
        </w:rPr>
        <w:t xml:space="preserve">، </w:t>
      </w:r>
      <w:r w:rsidR="007569CA" w:rsidRPr="007569CA">
        <w:rPr>
          <w:rFonts w:hint="cs"/>
          <w:rtl/>
          <w:lang w:val="fr-FR"/>
        </w:rPr>
        <w:t xml:space="preserve">وممارسة </w:t>
      </w:r>
      <w:r w:rsidR="007569CA" w:rsidRPr="007569CA">
        <w:rPr>
          <w:rtl/>
          <w:lang w:val="fr-FR"/>
        </w:rPr>
        <w:t xml:space="preserve">الصحافة </w:t>
      </w:r>
      <w:r w:rsidR="007569CA" w:rsidRPr="007569CA">
        <w:rPr>
          <w:rFonts w:hint="cs"/>
          <w:rtl/>
          <w:lang w:val="fr-FR"/>
        </w:rPr>
        <w:t>بكل</w:t>
      </w:r>
      <w:r w:rsidR="007569CA" w:rsidRPr="007569CA">
        <w:rPr>
          <w:rtl/>
          <w:lang w:val="fr-FR"/>
        </w:rPr>
        <w:t xml:space="preserve"> </w:t>
      </w:r>
      <w:r w:rsidR="007569CA" w:rsidRPr="007569CA">
        <w:rPr>
          <w:rFonts w:hint="cs"/>
          <w:rtl/>
          <w:lang w:val="fr-FR"/>
        </w:rPr>
        <w:t>ح</w:t>
      </w:r>
      <w:r w:rsidR="007569CA" w:rsidRPr="007569CA">
        <w:rPr>
          <w:rtl/>
          <w:lang w:val="fr-FR"/>
        </w:rPr>
        <w:t>رية، ومن حيث تنظيمها الذاتي وأخلاقياتها المهنية، وما يتعلق بمواصلة تجويد الإطار القانوني الضامن لحرية الرأي والتعبير والتجمع وتكوين الجمعيات، وما يهم ترسيخ اللامركزية</w:t>
      </w:r>
      <w:r w:rsidR="007569CA" w:rsidRPr="007569CA">
        <w:rPr>
          <w:rFonts w:hint="cs"/>
          <w:rtl/>
          <w:lang w:val="fr-FR"/>
        </w:rPr>
        <w:t xml:space="preserve"> في إطار الجهوية المتقدمة</w:t>
      </w:r>
      <w:r w:rsidR="007569CA" w:rsidRPr="007569CA">
        <w:rPr>
          <w:rtl/>
          <w:lang w:val="fr-FR"/>
        </w:rPr>
        <w:t>.</w:t>
      </w:r>
    </w:p>
    <w:p w14:paraId="47740944" w14:textId="2372EEDD" w:rsidR="00BE69D6" w:rsidRDefault="00BE69D6" w:rsidP="00BE69D6">
      <w:pPr>
        <w:pStyle w:val="SingleTxtGA"/>
        <w:rPr>
          <w:rtl/>
          <w:lang w:val="fr-FR"/>
        </w:rPr>
      </w:pPr>
      <w:r>
        <w:rPr>
          <w:rFonts w:hint="cs"/>
          <w:rtl/>
          <w:lang w:val="fr-FR" w:bidi="ar-LY"/>
        </w:rPr>
        <w:t>12</w:t>
      </w:r>
      <w:r w:rsidRPr="00676923">
        <w:rPr>
          <w:rtl/>
          <w:lang w:val="fr-FR" w:bidi="ar-EG"/>
        </w:rPr>
        <w:t>-</w:t>
      </w:r>
      <w:r w:rsidRPr="00676923">
        <w:rPr>
          <w:rtl/>
          <w:lang w:val="fr-FR" w:bidi="ar-EG"/>
        </w:rPr>
        <w:tab/>
      </w:r>
      <w:r w:rsidR="007569CA" w:rsidRPr="007569CA">
        <w:rPr>
          <w:rtl/>
          <w:lang w:val="fr-FR"/>
        </w:rPr>
        <w:t>كما تتصل التوصيات المقبولة بالسياسات والبرامج الهادفة إلى النهوض بالحقوق الفئوية، كحقوق الأطفال والأشخاص ذوي الإعاقة والمهاجرين، ومكافحة الاتجار بالبشر والوقاية منه، ومواصلة تفعيل السياسات والبرامج الضامنة للمساواة بين الجنسين ومحاربة العنف ضد النساء وتمكينهن اقتصاديا، والتربية والتكوين في مجال حقوق الإنسان، خاصة لدى المكلفين بإنفاذ القانون.</w:t>
      </w:r>
    </w:p>
    <w:p w14:paraId="6AE74C41" w14:textId="6E956B6E" w:rsidR="00BE69D6" w:rsidRDefault="00BE69D6" w:rsidP="00BE69D6">
      <w:pPr>
        <w:pStyle w:val="SingleTxtGA"/>
        <w:rPr>
          <w:rtl/>
          <w:lang w:val="fr-FR"/>
        </w:rPr>
      </w:pPr>
      <w:r>
        <w:rPr>
          <w:rFonts w:hint="cs"/>
          <w:rtl/>
          <w:lang w:val="fr-FR" w:bidi="ar-LY"/>
        </w:rPr>
        <w:t>13</w:t>
      </w:r>
      <w:r w:rsidRPr="00676923">
        <w:rPr>
          <w:rtl/>
          <w:lang w:val="fr-FR" w:bidi="ar-EG"/>
        </w:rPr>
        <w:t>-</w:t>
      </w:r>
      <w:r w:rsidRPr="00676923">
        <w:rPr>
          <w:rtl/>
          <w:lang w:val="fr-FR" w:bidi="ar-EG"/>
        </w:rPr>
        <w:tab/>
      </w:r>
      <w:r w:rsidR="007569CA" w:rsidRPr="007569CA">
        <w:rPr>
          <w:rtl/>
          <w:lang w:val="fr-FR"/>
        </w:rPr>
        <w:t>وتواصل المملكة المغربية ضمان التمتع بكافة الحقوق والحريات، موضوع التزاماتها الدولية، في ضوء الدستور ومبادئه، وفي مقدمتها ما يتصل بضمان المساواة ومكافحة التمييز، حيث يضمنه تصديره، وهو جزء منه، ويكفله القانون. وتواصل المحاكم الوطنية حماية مبدأ المساواة والتصدي للتمييز، من خلال أحكامها وقراراتها.</w:t>
      </w:r>
    </w:p>
    <w:p w14:paraId="36EBF2DA" w14:textId="425083D9" w:rsidR="00BE69D6" w:rsidRDefault="00BE69D6" w:rsidP="00BE69D6">
      <w:pPr>
        <w:pStyle w:val="SingleTxtGA"/>
        <w:rPr>
          <w:rtl/>
          <w:lang w:val="fr-FR"/>
        </w:rPr>
      </w:pPr>
      <w:r>
        <w:rPr>
          <w:rFonts w:hint="cs"/>
          <w:rtl/>
          <w:lang w:val="fr-FR" w:bidi="ar-LY"/>
        </w:rPr>
        <w:t>14</w:t>
      </w:r>
      <w:r w:rsidRPr="00676923">
        <w:rPr>
          <w:rtl/>
          <w:lang w:val="fr-FR" w:bidi="ar-EG"/>
        </w:rPr>
        <w:t>-</w:t>
      </w:r>
      <w:r w:rsidRPr="00676923">
        <w:rPr>
          <w:rtl/>
          <w:lang w:val="fr-FR" w:bidi="ar-EG"/>
        </w:rPr>
        <w:tab/>
      </w:r>
      <w:r w:rsidR="007569CA" w:rsidRPr="007569CA">
        <w:rPr>
          <w:rtl/>
          <w:lang w:val="fr-FR" w:bidi="ar-MA"/>
        </w:rPr>
        <w:t>كما تواصل</w:t>
      </w:r>
      <w:r w:rsidR="007569CA" w:rsidRPr="007569CA">
        <w:rPr>
          <w:rtl/>
          <w:lang w:val="fr-FR"/>
        </w:rPr>
        <w:t xml:space="preserve"> المملكة المغربية</w:t>
      </w:r>
      <w:r w:rsidR="007569CA" w:rsidRPr="007569CA">
        <w:rPr>
          <w:rFonts w:hint="cs"/>
          <w:rtl/>
          <w:lang w:val="fr-FR"/>
        </w:rPr>
        <w:t xml:space="preserve">، </w:t>
      </w:r>
      <w:r w:rsidR="007569CA" w:rsidRPr="007569CA">
        <w:rPr>
          <w:rtl/>
          <w:lang w:val="fr-FR"/>
        </w:rPr>
        <w:t>بشأن التوصيات المتعلقة باحترام حقوق الإنسان بالأقاليم الجنوبية للمملكة المغربية،</w:t>
      </w:r>
      <w:r w:rsidR="007569CA" w:rsidRPr="007569CA">
        <w:rPr>
          <w:rFonts w:hint="cs"/>
          <w:rtl/>
          <w:lang w:val="fr-FR"/>
        </w:rPr>
        <w:t xml:space="preserve"> </w:t>
      </w:r>
      <w:r w:rsidR="007569CA" w:rsidRPr="007569CA">
        <w:rPr>
          <w:rtl/>
          <w:lang w:val="fr-FR"/>
        </w:rPr>
        <w:t xml:space="preserve">تفاعلها الدائم مع سائر الآليات الأممية، انطلاقا من حرصها الشديد على نهج الانفتاح المستمر على الإجراءات الخاصة لمجلس حقوق الإنسان، واستعدادها الدائم </w:t>
      </w:r>
      <w:r w:rsidR="007569CA" w:rsidRPr="007569CA">
        <w:rPr>
          <w:rFonts w:hint="cs"/>
          <w:rtl/>
          <w:lang w:val="fr-FR"/>
        </w:rPr>
        <w:t>ل</w:t>
      </w:r>
      <w:r w:rsidR="007569CA" w:rsidRPr="007569CA">
        <w:rPr>
          <w:rtl/>
          <w:lang w:val="fr-FR"/>
        </w:rPr>
        <w:t>تشمل زياراتها الأقاليم الجنوبية للمملكة المغربية.</w:t>
      </w:r>
    </w:p>
    <w:p w14:paraId="14D0672B" w14:textId="12E9CDD2" w:rsidR="00BE69D6" w:rsidRDefault="00BE69D6" w:rsidP="00BE69D6">
      <w:pPr>
        <w:pStyle w:val="SingleTxtGA"/>
        <w:rPr>
          <w:rtl/>
          <w:lang w:val="fr-FR"/>
        </w:rPr>
      </w:pPr>
      <w:r>
        <w:rPr>
          <w:rFonts w:hint="cs"/>
          <w:rtl/>
          <w:lang w:val="fr-FR" w:bidi="ar-LY"/>
        </w:rPr>
        <w:t>15</w:t>
      </w:r>
      <w:r w:rsidRPr="00676923">
        <w:rPr>
          <w:rtl/>
          <w:lang w:val="fr-FR" w:bidi="ar-EG"/>
        </w:rPr>
        <w:t>-</w:t>
      </w:r>
      <w:r w:rsidRPr="00676923">
        <w:rPr>
          <w:rtl/>
          <w:lang w:val="fr-FR" w:bidi="ar-EG"/>
        </w:rPr>
        <w:tab/>
      </w:r>
      <w:r w:rsidR="007569CA" w:rsidRPr="007569CA">
        <w:rPr>
          <w:rtl/>
          <w:lang w:val="fr-FR"/>
        </w:rPr>
        <w:t>ويقدم الجدول الموالي أرقام التوصيات المقبولة:</w:t>
      </w:r>
    </w:p>
    <w:p w14:paraId="55A44057" w14:textId="632B68C4" w:rsidR="00584554" w:rsidRPr="00E46DC7" w:rsidRDefault="00584554" w:rsidP="00584554">
      <w:pPr>
        <w:pStyle w:val="SingleTxtGA"/>
        <w:rPr>
          <w:rFonts w:ascii="Traditional Arabic" w:hAnsi="Traditional Arabic"/>
          <w:sz w:val="28"/>
          <w:rtl/>
          <w:lang w:val="fr-FR"/>
        </w:rPr>
      </w:pPr>
      <w:r>
        <w:rPr>
          <w:rtl/>
          <w:lang w:val="fr-FR"/>
        </w:rPr>
        <w:lastRenderedPageBreak/>
        <w:tab/>
      </w:r>
      <w:bookmarkStart w:id="4" w:name="_Hlk127283686"/>
      <w:r w:rsidRPr="00E46DC7">
        <w:rPr>
          <w:rFonts w:ascii="Traditional Arabic" w:hAnsi="Traditional Arabic" w:hint="cs"/>
          <w:sz w:val="28"/>
        </w:rPr>
        <w:t>1</w:t>
      </w:r>
      <w:r>
        <w:rPr>
          <w:rFonts w:ascii="Traditional Arabic" w:hAnsi="Traditional Arabic"/>
          <w:sz w:val="28"/>
        </w:rPr>
        <w:t xml:space="preserve">, 2, 3, 15, 16, 17, 22, 23, 24, 25, 28, 29, 30, 31, </w:t>
      </w:r>
      <w:r w:rsidR="00CD6BDC">
        <w:rPr>
          <w:rFonts w:ascii="Traditional Arabic" w:hAnsi="Traditional Arabic"/>
          <w:sz w:val="28"/>
        </w:rPr>
        <w:t>3</w:t>
      </w:r>
      <w:r>
        <w:rPr>
          <w:rFonts w:ascii="Traditional Arabic" w:hAnsi="Traditional Arabic"/>
          <w:sz w:val="28"/>
        </w:rPr>
        <w:t>2, 33, 34, 35, 36, 37, 39, 40, 41, 42, 43, 44, 45, 46, 47, 48, 49, 50, 51, 52, 53, 54, 55, 56, 57, 58, 59, 60, 61, 62, 63, 64, 65, 66, 68, 69, 70, 77, 79, 80, 81, 82, 83, 84, 85, 86, 87, 88, 90, 91, 92, 93, 94, 95, 96, 97, 98, 99, 100, 101, 102, 103, 104, 105, 106, 108, 109, 110, 111, 112, 113</w:t>
      </w:r>
      <w:r w:rsidR="004E5943">
        <w:rPr>
          <w:rFonts w:ascii="Traditional Arabic" w:hAnsi="Traditional Arabic"/>
          <w:sz w:val="28"/>
        </w:rPr>
        <w:t xml:space="preserve">, 114, 115, 116, 117, 118, 119, 120, 121, 122, 123, 124, 125, 126, 127, 128, 129, 130, 131, 132, 133, 134, 135, 136, 137, 138, 139, 140, 141, 142, 143, 144, 145, 146, 147, 148, 149, 150, 151, 152, 153, 154, 155, 156, 157, 158, 159, 160, 161, 162, 163, 164, 165, 166, 167, 168, 169, 170, 171, 175, 176, 177, 178, 179, 180, 181, 182, 183, </w:t>
      </w:r>
      <w:r w:rsidR="00CD6BDC">
        <w:rPr>
          <w:rFonts w:ascii="Traditional Arabic" w:hAnsi="Traditional Arabic"/>
          <w:sz w:val="28"/>
        </w:rPr>
        <w:t xml:space="preserve">185, </w:t>
      </w:r>
      <w:r w:rsidR="004E5943">
        <w:rPr>
          <w:rFonts w:ascii="Traditional Arabic" w:hAnsi="Traditional Arabic"/>
          <w:sz w:val="28"/>
        </w:rPr>
        <w:t>186, 187, 192, 194, 197, 199, 200, 204, 205, 206, 207, 208, 209, 210, 211, 212, 213, 2</w:t>
      </w:r>
      <w:r w:rsidR="00CD6BDC">
        <w:rPr>
          <w:rFonts w:ascii="Traditional Arabic" w:hAnsi="Traditional Arabic"/>
          <w:sz w:val="28"/>
        </w:rPr>
        <w:t>1</w:t>
      </w:r>
      <w:r w:rsidR="004E5943">
        <w:rPr>
          <w:rFonts w:ascii="Traditional Arabic" w:hAnsi="Traditional Arabic"/>
          <w:sz w:val="28"/>
        </w:rPr>
        <w:t>4, 215, 216, 217, 218, 219, 222, 223, 224, 225, 226, 227, 228, 229, 231, 232, 234, 235, 236, 237, 238, 239, 240, 241, 242, 243, 246, 247, 248, 249, 250, 251, 252, 253, 254, 255, 256, 257, 258, 259, 260, 261, 262, 263, 264, 265, 266, 267, 268, 269, 270, 271, 276, 278, 284, 285, 286, 287, 288, 293, 301, 306</w:t>
      </w:r>
      <w:r w:rsidRPr="00E46DC7">
        <w:rPr>
          <w:rFonts w:ascii="Traditional Arabic" w:hAnsi="Traditional Arabic" w:hint="cs"/>
          <w:sz w:val="28"/>
        </w:rPr>
        <w:t>.</w:t>
      </w:r>
      <w:bookmarkStart w:id="5" w:name="_Hlk128412559"/>
      <w:bookmarkEnd w:id="4"/>
    </w:p>
    <w:bookmarkEnd w:id="5"/>
    <w:p w14:paraId="2B1C897D" w14:textId="2FAB948E" w:rsidR="00BE69D6" w:rsidRDefault="00BE69D6" w:rsidP="00BE69D6">
      <w:pPr>
        <w:pStyle w:val="SingleTxtGA"/>
        <w:rPr>
          <w:rtl/>
          <w:lang w:val="fr-FR"/>
        </w:rPr>
      </w:pPr>
      <w:r>
        <w:rPr>
          <w:rFonts w:hint="cs"/>
          <w:rtl/>
          <w:lang w:val="fr-FR" w:bidi="ar-EG"/>
        </w:rPr>
        <w:t>16</w:t>
      </w:r>
      <w:r w:rsidRPr="00676923">
        <w:rPr>
          <w:rtl/>
          <w:lang w:val="fr-FR" w:bidi="ar-EG"/>
        </w:rPr>
        <w:t>-</w:t>
      </w:r>
      <w:r w:rsidRPr="00676923">
        <w:rPr>
          <w:rtl/>
          <w:lang w:val="fr-FR" w:bidi="ar-EG"/>
        </w:rPr>
        <w:tab/>
      </w:r>
      <w:r w:rsidR="00904DB3" w:rsidRPr="00904DB3">
        <w:rPr>
          <w:rtl/>
          <w:lang w:val="fr-FR"/>
        </w:rPr>
        <w:t>تسجل المملكة المغربية، أخذها علما ب 3</w:t>
      </w:r>
      <w:r w:rsidR="00904DB3" w:rsidRPr="00904DB3">
        <w:rPr>
          <w:rFonts w:hint="cs"/>
          <w:rtl/>
          <w:lang w:val="fr-FR"/>
        </w:rPr>
        <w:t>7</w:t>
      </w:r>
      <w:r w:rsidR="00904DB3" w:rsidRPr="00904DB3">
        <w:rPr>
          <w:rtl/>
          <w:lang w:val="fr-FR"/>
        </w:rPr>
        <w:t xml:space="preserve"> توصية باعتبارها مقبولة جزئيا، ومرفوضة في الباقي، نظرا لتعلقها بالقضايا والموضوعات الآتية:</w:t>
      </w:r>
    </w:p>
    <w:p w14:paraId="46B8B218" w14:textId="571BCB04" w:rsidR="00904DB3" w:rsidRDefault="00904DB3" w:rsidP="00904DB3">
      <w:pPr>
        <w:numPr>
          <w:ilvl w:val="0"/>
          <w:numId w:val="3"/>
        </w:numPr>
        <w:tabs>
          <w:tab w:val="num" w:pos="1925"/>
          <w:tab w:val="num" w:pos="2240"/>
        </w:tabs>
        <w:suppressAutoHyphens/>
        <w:spacing w:after="120" w:line="380" w:lineRule="exact"/>
        <w:ind w:left="1925" w:right="1247" w:hanging="397"/>
        <w:rPr>
          <w:rFonts w:eastAsia="MS Mincho"/>
          <w:szCs w:val="30"/>
          <w:rtl/>
        </w:rPr>
      </w:pPr>
      <w:r w:rsidRPr="00904DB3">
        <w:rPr>
          <w:rFonts w:eastAsia="MS Mincho"/>
          <w:szCs w:val="30"/>
          <w:rtl/>
        </w:rPr>
        <w:t>الانضمام إلى نظام روما الأساسي للمحكمة الجنائية الدولية وملاءمة التشريع الوطني مع أحكامه، حيث تعيد المملكة المغربية التأكيد على موقفها المبدئي بشأن توقيعها على نظام روما الأساسي، وقد كرسه الدستور من خلال تجريم الإبادة والجرائم ضد الإنسانية وجرائم الحرب وكافة الانتهاكات الجسيمة لحقوق الإنسان، وتسجل بالمناسبة، تواصل اهتمامات بعض الفاعلين المدنيين بموضوع المصادقة. وتأخذ المملكة المغربية علما بالجزء الخاص بالانضمام الفوري واتخاذ تدابير فورية بشأنه، وتعتبره مرفوضا، وتسجل، في المجمل، أن هذا النظام لايزال موضوع أخذ ورد على المستوى الدولي، ولا يحظى بدعم عالمي واسع.</w:t>
      </w:r>
    </w:p>
    <w:p w14:paraId="60482F71" w14:textId="3D0D5F89" w:rsidR="00904DB3" w:rsidRPr="00904DB3" w:rsidRDefault="00904DB3" w:rsidP="00904DB3">
      <w:pPr>
        <w:numPr>
          <w:ilvl w:val="0"/>
          <w:numId w:val="3"/>
        </w:numPr>
        <w:tabs>
          <w:tab w:val="num" w:pos="1925"/>
          <w:tab w:val="num" w:pos="2240"/>
        </w:tabs>
        <w:suppressAutoHyphens/>
        <w:spacing w:after="120" w:line="380" w:lineRule="exact"/>
        <w:ind w:left="1925" w:right="1247" w:hanging="397"/>
        <w:rPr>
          <w:rFonts w:eastAsia="MS Mincho"/>
          <w:szCs w:val="30"/>
        </w:rPr>
      </w:pPr>
      <w:r w:rsidRPr="00904DB3">
        <w:rPr>
          <w:rFonts w:eastAsia="MS Mincho"/>
          <w:szCs w:val="30"/>
          <w:rtl/>
        </w:rPr>
        <w:t xml:space="preserve">الإلغاء التام لعقوبة الإعدام مع الحفاظ على وقف تنفيذها، حيث تعبر المملكة المغربية، في ظل التنصيص الدستوري على الحق في الحياة، عن موقفها المؤيد جزئيا لهذه التوصية، والمكرس باستمرار الوقف الفعلي لتنفيذ عقوبة الإعدام منذ سنة 1993، والمعزز بالعفو الملكي المنتظم الذي يُحَوِّلُ العديد من حالات الحكم بالإعدام إلى عقوبات أدنى، وتنامي التوجه التشريعي القاضي بتخفيض عدد الجرائم المعاقب عليها بالإعدام. كما تسجل بإيجابية، الحيوية المدنية التي تنشط جانبا هاما من النقاش العمومي المتواصل حول إلغاء هذه العقوبة، وترفض </w:t>
      </w:r>
      <w:r w:rsidRPr="00904DB3">
        <w:rPr>
          <w:rFonts w:eastAsia="MS Mincho"/>
          <w:szCs w:val="30"/>
          <w:rtl/>
        </w:rPr>
        <w:lastRenderedPageBreak/>
        <w:t>بالنتيجة ما يتعلق بالدعوة إلى الإلغاء الفوري الوارد في التوصيات ذات الصلة.</w:t>
      </w:r>
      <w:bookmarkStart w:id="6" w:name="_Hlk128412730"/>
    </w:p>
    <w:bookmarkEnd w:id="6"/>
    <w:p w14:paraId="4309EB29" w14:textId="6F8310F5" w:rsidR="00BE69D6" w:rsidRPr="00676923" w:rsidRDefault="00BE69D6" w:rsidP="00BE69D6">
      <w:pPr>
        <w:pStyle w:val="SingleTxtGA"/>
        <w:rPr>
          <w:rtl/>
          <w:lang w:val="fr-FR"/>
        </w:rPr>
      </w:pPr>
      <w:r>
        <w:rPr>
          <w:rFonts w:hint="cs"/>
          <w:rtl/>
          <w:lang w:val="fr-FR" w:bidi="ar-LY"/>
        </w:rPr>
        <w:t>17</w:t>
      </w:r>
      <w:r w:rsidRPr="00676923">
        <w:rPr>
          <w:rtl/>
          <w:lang w:val="fr-FR" w:bidi="ar-EG"/>
        </w:rPr>
        <w:t>-</w:t>
      </w:r>
      <w:r w:rsidRPr="00676923">
        <w:rPr>
          <w:rtl/>
          <w:lang w:val="fr-FR" w:bidi="ar-EG"/>
        </w:rPr>
        <w:tab/>
      </w:r>
      <w:r w:rsidR="00904DB3" w:rsidRPr="00904DB3">
        <w:rPr>
          <w:rtl/>
          <w:lang w:val="fr-FR"/>
        </w:rPr>
        <w:t>تلقت المملكة المغربية، مجموعة من التوصيات، ذات المواضيع المركبة والمستويات المتباينة، وسبق أن قدمت أعلاه توضيحات في شأن بعضها، كما هو الأمر بالنسبة للتوصيات الخاصة بالتمييز. وتشمل هذه التوصيات المركبة أجزاء بعضها مقبول والآخر مرفوض.</w:t>
      </w:r>
    </w:p>
    <w:p w14:paraId="6E8F5FE8" w14:textId="4C2BBA5E" w:rsidR="00BE69D6" w:rsidRDefault="00BE69D6" w:rsidP="00BE69D6">
      <w:pPr>
        <w:pStyle w:val="SingleTxtGA"/>
        <w:rPr>
          <w:rtl/>
          <w:lang w:val="fr-FR"/>
        </w:rPr>
      </w:pPr>
      <w:r>
        <w:rPr>
          <w:rFonts w:hint="cs"/>
          <w:rtl/>
          <w:lang w:val="fr-FR" w:bidi="ar-LY"/>
        </w:rPr>
        <w:t>18</w:t>
      </w:r>
      <w:r w:rsidRPr="00676923">
        <w:rPr>
          <w:rtl/>
          <w:lang w:val="fr-FR" w:bidi="ar-EG"/>
        </w:rPr>
        <w:t>-</w:t>
      </w:r>
      <w:r w:rsidRPr="00676923">
        <w:rPr>
          <w:rtl/>
          <w:lang w:val="fr-FR" w:bidi="ar-EG"/>
        </w:rPr>
        <w:tab/>
      </w:r>
      <w:r w:rsidR="00904DB3" w:rsidRPr="00904DB3">
        <w:rPr>
          <w:rtl/>
          <w:lang w:val="fr-FR"/>
        </w:rPr>
        <w:t>تندرج الأجزاء المقبولة في إطار مواصلة الإصلاح التشريعي المرتقب لمدونة الأسرة، في ظل الإرادة العليا للدولة، تبعا للإشكالات القانونية والواقعية المثارة أمام المحاكم. ويشمل هذا المستوى، الإشكالات القانونية المتعلقة بوضعية الأطفال، حماية لمصلحتهم الفضلى، عند الانحلال الأسري. ويظل موضوع زواج القاصر يحظى باهتمام واسع في أفق إلغائه.كما يبقى مطروحا، في ظل الإصلاح التشريعي، مواصلة البحث عن الحلول القانونية المكرسة للمبدأ الدستوري، بشأن المساواة وتمكين النساء من حقوقهم.</w:t>
      </w:r>
    </w:p>
    <w:p w14:paraId="59E34F6C" w14:textId="41FBC7DD" w:rsidR="00BE69D6" w:rsidRDefault="00BE69D6" w:rsidP="00BE69D6">
      <w:pPr>
        <w:pStyle w:val="SingleTxtGA"/>
        <w:rPr>
          <w:rtl/>
          <w:lang w:val="fr-FR"/>
        </w:rPr>
      </w:pPr>
      <w:r>
        <w:rPr>
          <w:rFonts w:hint="cs"/>
          <w:rtl/>
          <w:lang w:val="fr-FR" w:bidi="ar-LY"/>
        </w:rPr>
        <w:t>19</w:t>
      </w:r>
      <w:r w:rsidRPr="00676923">
        <w:rPr>
          <w:rtl/>
          <w:lang w:val="fr-FR" w:bidi="ar-EG"/>
        </w:rPr>
        <w:t>-</w:t>
      </w:r>
      <w:r w:rsidRPr="00676923">
        <w:rPr>
          <w:rtl/>
          <w:lang w:val="fr-FR" w:bidi="ar-EG"/>
        </w:rPr>
        <w:tab/>
      </w:r>
      <w:r w:rsidR="00904DB3" w:rsidRPr="00904DB3">
        <w:rPr>
          <w:rtl/>
          <w:lang w:val="fr-FR"/>
        </w:rPr>
        <w:t>ووردت ضمن الأجزاء المقبولة في التوصيات، مواضيع تهم حظر التمييز والعنف المرتكب ضد الأشخاص بسبب ميولاتهم وهوياتهم الجنسية، والحال أن القانون الوطني يضمن حقوق كافة الأفراد، كلما تعلق الأمر بال</w:t>
      </w:r>
      <w:r w:rsidR="00904DB3" w:rsidRPr="00904DB3">
        <w:rPr>
          <w:rFonts w:hint="cs"/>
          <w:rtl/>
          <w:lang w:val="fr-FR"/>
        </w:rPr>
        <w:t>تمتع</w:t>
      </w:r>
      <w:r w:rsidR="00904DB3" w:rsidRPr="00904DB3">
        <w:rPr>
          <w:rtl/>
          <w:lang w:val="fr-FR"/>
        </w:rPr>
        <w:t xml:space="preserve"> </w:t>
      </w:r>
      <w:r w:rsidR="00904DB3" w:rsidRPr="00904DB3">
        <w:rPr>
          <w:rFonts w:hint="cs"/>
          <w:rtl/>
          <w:lang w:val="fr-FR"/>
        </w:rPr>
        <w:t>با</w:t>
      </w:r>
      <w:r w:rsidR="00904DB3" w:rsidRPr="00904DB3">
        <w:rPr>
          <w:rtl/>
          <w:lang w:val="fr-FR"/>
        </w:rPr>
        <w:t>لحقوق الاقتصادية والاجتماعية والثقافية و</w:t>
      </w:r>
      <w:r w:rsidR="00904DB3" w:rsidRPr="00904DB3">
        <w:rPr>
          <w:rFonts w:hint="cs"/>
          <w:rtl/>
          <w:lang w:val="fr-FR"/>
        </w:rPr>
        <w:t>الولوج إلى مختلف المرافق والخدمات العمومية</w:t>
      </w:r>
      <w:r w:rsidR="00904DB3" w:rsidRPr="00904DB3">
        <w:rPr>
          <w:rtl/>
          <w:lang w:val="fr-FR"/>
        </w:rPr>
        <w:t>، بغض النظر عن أوضاعهم وخصوصياتهم.</w:t>
      </w:r>
    </w:p>
    <w:p w14:paraId="1C6A17CC" w14:textId="4A72CE85" w:rsidR="00BE69D6" w:rsidRPr="00676923" w:rsidRDefault="00BE69D6" w:rsidP="00BE69D6">
      <w:pPr>
        <w:pStyle w:val="SingleTxtGA"/>
        <w:rPr>
          <w:rtl/>
          <w:lang w:val="fr-FR"/>
        </w:rPr>
      </w:pPr>
      <w:r>
        <w:rPr>
          <w:rFonts w:hint="cs"/>
          <w:rtl/>
          <w:lang w:val="fr-FR" w:bidi="ar-LY"/>
        </w:rPr>
        <w:t>20</w:t>
      </w:r>
      <w:r w:rsidRPr="00676923">
        <w:rPr>
          <w:rtl/>
          <w:lang w:val="fr-FR" w:bidi="ar-EG"/>
        </w:rPr>
        <w:t>-</w:t>
      </w:r>
      <w:r w:rsidRPr="00676923">
        <w:rPr>
          <w:rtl/>
          <w:lang w:val="fr-FR" w:bidi="ar-EG"/>
        </w:rPr>
        <w:tab/>
      </w:r>
      <w:r w:rsidR="00904DB3" w:rsidRPr="00904DB3">
        <w:rPr>
          <w:rtl/>
          <w:lang w:val="fr-FR"/>
        </w:rPr>
        <w:t>وفي جميع الأحوال، تجدد المملكة المغربية تأكيدها على تعارض الأجزاء المرفوضة في هذه التوصيات المركبة، جزئيا أو كليا، تبعا للحالة، مع الثوابت الجامعة للأمة المغربية، ومرتكزات الممارسة الاتفاقية للمملكة المغربية في مجال حقوق الإنسان.</w:t>
      </w:r>
    </w:p>
    <w:p w14:paraId="33CD5BBB" w14:textId="2AB11598" w:rsidR="00BE69D6" w:rsidRDefault="00BE69D6" w:rsidP="00BE69D6">
      <w:pPr>
        <w:pStyle w:val="SingleTxtGA"/>
        <w:rPr>
          <w:rtl/>
          <w:lang w:val="fr-FR"/>
        </w:rPr>
      </w:pPr>
      <w:r>
        <w:rPr>
          <w:rFonts w:hint="cs"/>
          <w:rtl/>
          <w:lang w:val="fr-FR" w:bidi="ar-LY"/>
        </w:rPr>
        <w:t>21</w:t>
      </w:r>
      <w:r w:rsidRPr="00676923">
        <w:rPr>
          <w:rtl/>
          <w:lang w:val="fr-FR" w:bidi="ar-EG"/>
        </w:rPr>
        <w:t>-</w:t>
      </w:r>
      <w:r w:rsidRPr="00676923">
        <w:rPr>
          <w:rtl/>
          <w:lang w:val="fr-FR" w:bidi="ar-EG"/>
        </w:rPr>
        <w:tab/>
      </w:r>
      <w:r w:rsidR="00904DB3" w:rsidRPr="00904DB3">
        <w:rPr>
          <w:rtl/>
          <w:lang w:val="fr-FR"/>
        </w:rPr>
        <w:t xml:space="preserve">تعتبر المملكة المغربية الجزء المتعلق بالتعاون مع المبعوث الخاص للأمين العام للأمم المتحدة للأقاليم الجنوبية للمملكة المغربية، </w:t>
      </w:r>
      <w:r w:rsidR="00904DB3" w:rsidRPr="00904DB3">
        <w:rPr>
          <w:rFonts w:hint="cs"/>
          <w:rtl/>
          <w:lang w:val="fr-FR"/>
        </w:rPr>
        <w:t>والوارد في إحدى التوصيات،</w:t>
      </w:r>
      <w:r w:rsidR="00904DB3" w:rsidRPr="00904DB3">
        <w:rPr>
          <w:rtl/>
          <w:lang w:val="fr-FR"/>
        </w:rPr>
        <w:t xml:space="preserve"> لكون هذا الموضوع لا يدخل ضمن نظر ولاية مجلس حقوق الإنسان.</w:t>
      </w:r>
    </w:p>
    <w:p w14:paraId="387EB88C" w14:textId="7470D5AB" w:rsidR="00BE69D6" w:rsidRDefault="00BE69D6" w:rsidP="00BE69D6">
      <w:pPr>
        <w:pStyle w:val="SingleTxtGA"/>
        <w:rPr>
          <w:rtl/>
          <w:lang w:val="fr-FR"/>
        </w:rPr>
      </w:pPr>
      <w:r>
        <w:rPr>
          <w:rFonts w:hint="cs"/>
          <w:rtl/>
          <w:lang w:val="fr-FR" w:bidi="ar-LY"/>
        </w:rPr>
        <w:t>22</w:t>
      </w:r>
      <w:r w:rsidRPr="00676923">
        <w:rPr>
          <w:rtl/>
          <w:lang w:val="fr-FR" w:bidi="ar-EG"/>
        </w:rPr>
        <w:t>-</w:t>
      </w:r>
      <w:r w:rsidRPr="00676923">
        <w:rPr>
          <w:rtl/>
          <w:lang w:val="fr-FR" w:bidi="ar-EG"/>
        </w:rPr>
        <w:tab/>
      </w:r>
      <w:r w:rsidR="00904DB3" w:rsidRPr="00904DB3">
        <w:rPr>
          <w:rtl/>
          <w:lang w:val="fr-FR"/>
        </w:rPr>
        <w:t xml:space="preserve">تعبر المملكة المغربية عن قبولها الجزئي للتوصية المتعلقة بوضع آلية للمساءلة ورصد ومعالجة حقوق وحريات المواطنين بالأقاليم الجنوبية للمملكة المغربية، نظرا لوجود اللجان الجهوية للمجلس الوطني لحقوق الإنسان بالأقاليم الجنوبية، المعترف أمميا بمكانتها وأدوارها الحمائية، على مستوى الرصد والتدخل، والتي يتصل عملها </w:t>
      </w:r>
      <w:r w:rsidR="00904DB3" w:rsidRPr="00904DB3">
        <w:rPr>
          <w:rFonts w:hint="cs"/>
          <w:rtl/>
          <w:lang w:val="fr-FR"/>
        </w:rPr>
        <w:t>بالآليات الوطنية الثلاث</w:t>
      </w:r>
      <w:r w:rsidR="00904DB3" w:rsidRPr="00904DB3">
        <w:rPr>
          <w:rtl/>
          <w:lang w:val="fr-FR"/>
        </w:rPr>
        <w:t xml:space="preserve"> </w:t>
      </w:r>
      <w:r w:rsidR="00904DB3" w:rsidRPr="00904DB3">
        <w:rPr>
          <w:rFonts w:hint="cs"/>
          <w:rtl/>
          <w:lang w:val="fr-FR"/>
        </w:rPr>
        <w:t>لدى هذه المؤسسة الدستورية، والمعنية</w:t>
      </w:r>
      <w:r w:rsidR="00904DB3" w:rsidRPr="00904DB3">
        <w:rPr>
          <w:rtl/>
          <w:lang w:val="fr-FR"/>
        </w:rPr>
        <w:t xml:space="preserve"> </w:t>
      </w:r>
      <w:r w:rsidR="00904DB3" w:rsidRPr="00904DB3">
        <w:rPr>
          <w:rFonts w:hint="cs"/>
          <w:rtl/>
          <w:lang w:val="fr-FR"/>
        </w:rPr>
        <w:t>ب</w:t>
      </w:r>
      <w:r w:rsidR="00904DB3" w:rsidRPr="00904DB3">
        <w:rPr>
          <w:rtl/>
          <w:lang w:val="fr-FR"/>
        </w:rPr>
        <w:t>الوقاية من التعذيب</w:t>
      </w:r>
      <w:r w:rsidR="00904DB3" w:rsidRPr="00904DB3">
        <w:rPr>
          <w:b/>
          <w:bCs/>
          <w:rtl/>
          <w:lang w:val="fr-FR"/>
        </w:rPr>
        <w:t xml:space="preserve"> </w:t>
      </w:r>
      <w:r w:rsidR="00904DB3" w:rsidRPr="00904DB3">
        <w:rPr>
          <w:rtl/>
          <w:lang w:val="fr-FR"/>
        </w:rPr>
        <w:t>وتظلم الأطفال ضحايا انتهاكات</w:t>
      </w:r>
      <w:r w:rsidR="00904DB3" w:rsidRPr="00904DB3">
        <w:rPr>
          <w:rFonts w:hint="cs"/>
          <w:rtl/>
          <w:lang w:val="fr-FR"/>
        </w:rPr>
        <w:t xml:space="preserve"> حقوق الطفل</w:t>
      </w:r>
      <w:r w:rsidR="00904DB3" w:rsidRPr="00904DB3">
        <w:rPr>
          <w:rtl/>
          <w:lang w:val="fr-FR"/>
        </w:rPr>
        <w:t xml:space="preserve"> وحماية </w:t>
      </w:r>
      <w:r w:rsidR="00904DB3" w:rsidRPr="00904DB3">
        <w:rPr>
          <w:rFonts w:hint="cs"/>
          <w:rtl/>
          <w:lang w:val="fr-FR"/>
        </w:rPr>
        <w:t xml:space="preserve">حقوق </w:t>
      </w:r>
      <w:r w:rsidR="00904DB3" w:rsidRPr="00904DB3">
        <w:rPr>
          <w:rtl/>
          <w:lang w:val="fr-FR"/>
        </w:rPr>
        <w:t>الأشخاص في وضعية إعاقة.</w:t>
      </w:r>
      <w:r w:rsidR="00904DB3" w:rsidRPr="00904DB3">
        <w:rPr>
          <w:b/>
          <w:bCs/>
          <w:rtl/>
          <w:lang w:val="fr-FR"/>
        </w:rPr>
        <w:t xml:space="preserve"> </w:t>
      </w:r>
      <w:r w:rsidR="00904DB3" w:rsidRPr="00904DB3">
        <w:rPr>
          <w:rtl/>
          <w:lang w:val="fr-FR"/>
        </w:rPr>
        <w:t>ويباش</w:t>
      </w:r>
      <w:r w:rsidR="00904DB3" w:rsidRPr="00904DB3">
        <w:rPr>
          <w:rFonts w:hint="cs"/>
          <w:rtl/>
          <w:lang w:val="fr-FR"/>
        </w:rPr>
        <w:t>َ</w:t>
      </w:r>
      <w:r w:rsidR="00904DB3" w:rsidRPr="00904DB3">
        <w:rPr>
          <w:rtl/>
          <w:lang w:val="fr-FR"/>
        </w:rPr>
        <w:t>ر أيضا على هذا المستوى الترابي، عمل الوسيط كمؤسسة دستورية معنية بحماية المرتفقين من كل تعسف أو شطط أو تجاوز من طرف الإدارة. وبالنتيجة، وتبعا لذلك، ترفض المملكة المغربية باقي مشمولات التوصية.</w:t>
      </w:r>
    </w:p>
    <w:p w14:paraId="293DEEDF" w14:textId="515C20ED" w:rsidR="00BE69D6" w:rsidRDefault="00BE69D6" w:rsidP="00BE69D6">
      <w:pPr>
        <w:pStyle w:val="SingleTxtGA"/>
        <w:rPr>
          <w:rtl/>
          <w:lang w:val="fr-FR" w:bidi="ar-MA"/>
        </w:rPr>
      </w:pPr>
      <w:r>
        <w:rPr>
          <w:rFonts w:hint="cs"/>
          <w:rtl/>
          <w:lang w:val="fr-FR" w:bidi="ar-LY"/>
        </w:rPr>
        <w:t>23</w:t>
      </w:r>
      <w:r w:rsidRPr="00676923">
        <w:rPr>
          <w:rtl/>
          <w:lang w:val="fr-FR" w:bidi="ar-EG"/>
        </w:rPr>
        <w:t>-</w:t>
      </w:r>
      <w:r w:rsidRPr="00676923">
        <w:rPr>
          <w:rtl/>
          <w:lang w:val="fr-FR" w:bidi="ar-EG"/>
        </w:rPr>
        <w:tab/>
      </w:r>
      <w:r w:rsidR="00ED3001" w:rsidRPr="00ED3001">
        <w:rPr>
          <w:rtl/>
          <w:lang w:val="fr-FR"/>
        </w:rPr>
        <w:t>ويقدم الجدول الموالي أرقام التوصيات المقبولة جزئيا</w:t>
      </w:r>
      <w:r w:rsidR="00ED3001" w:rsidRPr="00ED3001">
        <w:rPr>
          <w:rtl/>
          <w:lang w:val="fr-FR" w:bidi="ar-MA"/>
        </w:rPr>
        <w:t>:</w:t>
      </w:r>
    </w:p>
    <w:p w14:paraId="1057568B" w14:textId="0634A8FD" w:rsidR="00ED3001" w:rsidRPr="00ED3001" w:rsidRDefault="000474F7" w:rsidP="00ED3001">
      <w:pPr>
        <w:pStyle w:val="SingleTxtGA"/>
        <w:rPr>
          <w:rFonts w:ascii="Traditional Arabic" w:hAnsi="Traditional Arabic"/>
          <w:sz w:val="28"/>
          <w:lang w:val="en-GB"/>
        </w:rPr>
      </w:pPr>
      <w:r>
        <w:rPr>
          <w:rFonts w:ascii="Traditional Arabic" w:hAnsi="Traditional Arabic"/>
          <w:sz w:val="28"/>
          <w:lang w:val="en-GB"/>
        </w:rPr>
        <w:lastRenderedPageBreak/>
        <w:t>11, 14, 18, 20, 67, 75, 78, 89, 107, 184, 188, 189, 191, 193, 195, 196, 198, 201, 202, 203, 220, 221, 230, 233, 244, 245, 272, 274, 289, 292, 295, 296, 298, 299, 300, 303, 304.</w:t>
      </w:r>
    </w:p>
    <w:p w14:paraId="019E7A95" w14:textId="519B91B6" w:rsidR="00BE69D6" w:rsidRDefault="00BE69D6" w:rsidP="00BE69D6">
      <w:pPr>
        <w:pStyle w:val="SingleTxtGA"/>
        <w:rPr>
          <w:rtl/>
          <w:lang w:val="fr-FR"/>
        </w:rPr>
      </w:pPr>
      <w:r>
        <w:rPr>
          <w:rFonts w:hint="cs"/>
          <w:rtl/>
          <w:lang w:val="fr-FR" w:bidi="ar-LY"/>
        </w:rPr>
        <w:t>24</w:t>
      </w:r>
      <w:r w:rsidRPr="00676923">
        <w:rPr>
          <w:rtl/>
          <w:lang w:val="fr-FR" w:bidi="ar-EG"/>
        </w:rPr>
        <w:t>-</w:t>
      </w:r>
      <w:r w:rsidRPr="00676923">
        <w:rPr>
          <w:rtl/>
          <w:lang w:val="fr-FR" w:bidi="ar-EG"/>
        </w:rPr>
        <w:tab/>
      </w:r>
      <w:r w:rsidR="00437E48" w:rsidRPr="00437E48">
        <w:rPr>
          <w:rtl/>
          <w:lang w:val="fr-FR"/>
        </w:rPr>
        <w:t xml:space="preserve">أخذت المملكة المغربية علما كذلك ب </w:t>
      </w:r>
      <w:r w:rsidR="00437E48" w:rsidRPr="00437E48">
        <w:rPr>
          <w:rFonts w:hint="cs"/>
          <w:rtl/>
          <w:lang w:val="fr-FR"/>
        </w:rPr>
        <w:t xml:space="preserve">32 </w:t>
      </w:r>
      <w:r w:rsidR="00437E48" w:rsidRPr="00437E48">
        <w:rPr>
          <w:rtl/>
          <w:lang w:val="fr-FR"/>
        </w:rPr>
        <w:t>توصية، وردت منفردة، قائمة بذاتها، وهي مرفوضة كليا، وتهم القضايا التالية:</w:t>
      </w:r>
    </w:p>
    <w:p w14:paraId="16FECB07" w14:textId="26E6DAE3" w:rsidR="00437E48" w:rsidRDefault="00437E48" w:rsidP="00437E48">
      <w:pPr>
        <w:numPr>
          <w:ilvl w:val="0"/>
          <w:numId w:val="3"/>
        </w:numPr>
        <w:tabs>
          <w:tab w:val="num" w:pos="1925"/>
          <w:tab w:val="num" w:pos="2240"/>
        </w:tabs>
        <w:suppressAutoHyphens/>
        <w:spacing w:after="120" w:line="380" w:lineRule="exact"/>
        <w:ind w:left="1925" w:right="1247" w:hanging="397"/>
        <w:rPr>
          <w:rFonts w:eastAsia="MS Mincho"/>
          <w:szCs w:val="30"/>
          <w:rtl/>
        </w:rPr>
      </w:pPr>
      <w:r w:rsidRPr="00437E48">
        <w:rPr>
          <w:rFonts w:eastAsia="MS Mincho"/>
          <w:b/>
          <w:bCs/>
          <w:szCs w:val="30"/>
          <w:rtl/>
        </w:rPr>
        <w:t xml:space="preserve">الانضمام الفوري لنظام روما للمحكمة الجنائية الدولية، </w:t>
      </w:r>
      <w:r w:rsidRPr="00437E48">
        <w:rPr>
          <w:rFonts w:eastAsia="MS Mincho"/>
          <w:szCs w:val="30"/>
          <w:rtl/>
        </w:rPr>
        <w:t>كما تم تعليله أعلاه.</w:t>
      </w:r>
    </w:p>
    <w:p w14:paraId="0167F33C" w14:textId="43D9D364" w:rsidR="00437E48" w:rsidRDefault="00437E48" w:rsidP="00437E48">
      <w:pPr>
        <w:numPr>
          <w:ilvl w:val="0"/>
          <w:numId w:val="3"/>
        </w:numPr>
        <w:tabs>
          <w:tab w:val="num" w:pos="1925"/>
          <w:tab w:val="num" w:pos="2240"/>
        </w:tabs>
        <w:suppressAutoHyphens/>
        <w:spacing w:after="120" w:line="380" w:lineRule="exact"/>
        <w:ind w:left="1925" w:right="1247" w:hanging="397"/>
        <w:rPr>
          <w:rFonts w:eastAsia="MS Mincho"/>
          <w:szCs w:val="30"/>
          <w:rtl/>
        </w:rPr>
      </w:pPr>
      <w:r w:rsidRPr="00437E48">
        <w:rPr>
          <w:rFonts w:eastAsia="MS Mincho"/>
          <w:b/>
          <w:bCs/>
          <w:szCs w:val="30"/>
          <w:rtl/>
        </w:rPr>
        <w:t>إلغاء أو تعديل بعض المقتضيات القانونية،</w:t>
      </w:r>
      <w:r w:rsidRPr="00437E48">
        <w:rPr>
          <w:rFonts w:eastAsia="MS Mincho"/>
          <w:szCs w:val="30"/>
          <w:rtl/>
        </w:rPr>
        <w:t xml:space="preserve"> كرفع التجريم عن العلاقات الجنسية خارج إطار الزواج والمطالبة بالإلغاء الفوري لبعض مواد مدونة الأسرة، تبعا لما تم تفسيره أعلاه.</w:t>
      </w:r>
    </w:p>
    <w:p w14:paraId="168F777A" w14:textId="6AFD5DDD" w:rsidR="00437E48" w:rsidRDefault="00437E48" w:rsidP="00437E48">
      <w:pPr>
        <w:numPr>
          <w:ilvl w:val="0"/>
          <w:numId w:val="3"/>
        </w:numPr>
        <w:tabs>
          <w:tab w:val="num" w:pos="1925"/>
          <w:tab w:val="num" w:pos="2240"/>
        </w:tabs>
        <w:suppressAutoHyphens/>
        <w:spacing w:after="120" w:line="380" w:lineRule="exact"/>
        <w:ind w:left="1925" w:right="1247" w:hanging="397"/>
        <w:rPr>
          <w:rFonts w:eastAsia="MS Mincho"/>
          <w:szCs w:val="30"/>
          <w:rtl/>
        </w:rPr>
      </w:pPr>
      <w:r w:rsidRPr="00437E48">
        <w:rPr>
          <w:rFonts w:eastAsia="MS Mincho"/>
          <w:b/>
          <w:bCs/>
          <w:szCs w:val="30"/>
          <w:rtl/>
        </w:rPr>
        <w:t>الإلغاء الفوري والتام لعقوبة الإعدام والانضمام للبروتوكول الاختياري الثاني الملحق بالعهد الدولي الخاص بالحقوق المدنية والسياسية</w:t>
      </w:r>
      <w:r w:rsidRPr="00437E48">
        <w:rPr>
          <w:rFonts w:eastAsia="MS Mincho" w:hint="cs"/>
          <w:b/>
          <w:bCs/>
          <w:szCs w:val="30"/>
          <w:rtl/>
        </w:rPr>
        <w:t>،</w:t>
      </w:r>
      <w:r w:rsidRPr="00437E48">
        <w:rPr>
          <w:rFonts w:eastAsia="MS Mincho"/>
          <w:b/>
          <w:bCs/>
          <w:szCs w:val="30"/>
          <w:rtl/>
        </w:rPr>
        <w:t xml:space="preserve"> </w:t>
      </w:r>
      <w:r w:rsidRPr="00437E48">
        <w:rPr>
          <w:rFonts w:eastAsia="MS Mincho"/>
          <w:szCs w:val="30"/>
          <w:rtl/>
        </w:rPr>
        <w:t>كما تم تفسيره أعلاه.</w:t>
      </w:r>
    </w:p>
    <w:p w14:paraId="1506D702" w14:textId="64E1E652" w:rsidR="00437E48" w:rsidRPr="00904DB3" w:rsidRDefault="00437E48" w:rsidP="00437E48">
      <w:pPr>
        <w:numPr>
          <w:ilvl w:val="0"/>
          <w:numId w:val="3"/>
        </w:numPr>
        <w:tabs>
          <w:tab w:val="num" w:pos="1925"/>
          <w:tab w:val="num" w:pos="2240"/>
        </w:tabs>
        <w:suppressAutoHyphens/>
        <w:spacing w:after="120" w:line="380" w:lineRule="exact"/>
        <w:ind w:left="1925" w:right="1247" w:hanging="397"/>
        <w:rPr>
          <w:rFonts w:eastAsia="MS Mincho"/>
          <w:szCs w:val="30"/>
        </w:rPr>
      </w:pPr>
      <w:r w:rsidRPr="00437E48">
        <w:rPr>
          <w:rFonts w:eastAsia="MS Mincho"/>
          <w:b/>
          <w:bCs/>
          <w:szCs w:val="30"/>
          <w:rtl/>
        </w:rPr>
        <w:t>التقيد بأحكام اتفاقية جنيف الرابعة (1949) بالأقاليم الجنوبية للمملكة المغربية</w:t>
      </w:r>
      <w:r w:rsidRPr="00437E48">
        <w:rPr>
          <w:rFonts w:eastAsia="MS Mincho"/>
          <w:szCs w:val="30"/>
          <w:rtl/>
        </w:rPr>
        <w:t>، لكونها لا تعرف نزاعا مسلحا.</w:t>
      </w:r>
    </w:p>
    <w:p w14:paraId="771C4D52" w14:textId="6DFA405C" w:rsidR="00BE69D6" w:rsidRDefault="00BE69D6" w:rsidP="00BE69D6">
      <w:pPr>
        <w:pStyle w:val="SingleTxtGA"/>
        <w:rPr>
          <w:rtl/>
          <w:lang w:val="fr-FR"/>
        </w:rPr>
      </w:pPr>
      <w:r>
        <w:rPr>
          <w:rFonts w:hint="cs"/>
          <w:rtl/>
          <w:lang w:val="fr-FR" w:bidi="ar-LY"/>
        </w:rPr>
        <w:t>25</w:t>
      </w:r>
      <w:r w:rsidRPr="00676923">
        <w:rPr>
          <w:rtl/>
          <w:lang w:val="fr-FR" w:bidi="ar-EG"/>
        </w:rPr>
        <w:t>-</w:t>
      </w:r>
      <w:r w:rsidRPr="00676923">
        <w:rPr>
          <w:rtl/>
          <w:lang w:val="fr-FR" w:bidi="ar-EG"/>
        </w:rPr>
        <w:tab/>
      </w:r>
      <w:r w:rsidR="00CB396F" w:rsidRPr="00CB396F">
        <w:rPr>
          <w:rtl/>
          <w:lang w:val="fr-FR"/>
        </w:rPr>
        <w:t>يقدم الجدول التالي أرقام التوصيات المرفوضة كليا</w:t>
      </w:r>
      <w:r w:rsidR="00CB396F">
        <w:rPr>
          <w:rFonts w:hint="cs"/>
          <w:rtl/>
          <w:lang w:val="fr-FR"/>
        </w:rPr>
        <w:t>:</w:t>
      </w:r>
    </w:p>
    <w:p w14:paraId="557D6CF4" w14:textId="3362E35C" w:rsidR="00CB396F" w:rsidRPr="00ED3001" w:rsidRDefault="00CB396F" w:rsidP="00CB396F">
      <w:pPr>
        <w:pStyle w:val="SingleTxtGA"/>
        <w:rPr>
          <w:rFonts w:ascii="Traditional Arabic" w:hAnsi="Traditional Arabic"/>
          <w:sz w:val="28"/>
          <w:lang w:val="en-GB"/>
        </w:rPr>
      </w:pPr>
      <w:r>
        <w:rPr>
          <w:rFonts w:ascii="Traditional Arabic" w:hAnsi="Traditional Arabic"/>
          <w:sz w:val="28"/>
          <w:lang w:val="en-GB"/>
        </w:rPr>
        <w:t>4, 5, 6, 7, 8, 9, 10, 12, 13, 19, 21, 26, 27, 38, 71, 72, 73, 74, 76, 172, 173, 174, 190, 273, 275, 277, 279, 280, 281, 282, 283, 297.</w:t>
      </w:r>
    </w:p>
    <w:p w14:paraId="110D7ED0" w14:textId="57543970" w:rsidR="00BE69D6" w:rsidRDefault="00BE69D6" w:rsidP="00BE69D6">
      <w:pPr>
        <w:pStyle w:val="SingleTxtGA"/>
        <w:rPr>
          <w:b/>
          <w:bCs/>
          <w:rtl/>
          <w:lang w:val="fr-FR"/>
        </w:rPr>
      </w:pPr>
      <w:r>
        <w:rPr>
          <w:rFonts w:hint="cs"/>
          <w:rtl/>
          <w:lang w:val="fr-FR" w:bidi="ar-LY"/>
        </w:rPr>
        <w:t>26</w:t>
      </w:r>
      <w:r w:rsidRPr="00676923">
        <w:rPr>
          <w:rtl/>
          <w:lang w:val="fr-FR" w:bidi="ar-EG"/>
        </w:rPr>
        <w:t>-</w:t>
      </w:r>
      <w:r w:rsidRPr="00676923">
        <w:rPr>
          <w:rtl/>
          <w:lang w:val="fr-FR" w:bidi="ar-EG"/>
        </w:rPr>
        <w:tab/>
      </w:r>
      <w:r w:rsidR="006924A6" w:rsidRPr="006924A6">
        <w:rPr>
          <w:b/>
          <w:bCs/>
          <w:rtl/>
          <w:lang w:val="fr-FR"/>
        </w:rPr>
        <w:t>وتبدي المملكة المغربية عدم قبولها ل</w:t>
      </w:r>
      <w:r w:rsidR="006924A6" w:rsidRPr="006924A6">
        <w:rPr>
          <w:rFonts w:hint="cs"/>
          <w:b/>
          <w:bCs/>
          <w:rtl/>
          <w:lang w:val="fr-FR"/>
        </w:rPr>
        <w:t xml:space="preserve">خمس </w:t>
      </w:r>
      <w:r w:rsidR="006924A6" w:rsidRPr="006924A6">
        <w:rPr>
          <w:b/>
          <w:bCs/>
          <w:rtl/>
          <w:lang w:val="fr-FR"/>
        </w:rPr>
        <w:t>(5)</w:t>
      </w:r>
      <w:r w:rsidR="006924A6" w:rsidRPr="006924A6">
        <w:rPr>
          <w:rFonts w:hint="cs"/>
          <w:b/>
          <w:bCs/>
          <w:rtl/>
          <w:lang w:val="fr-FR"/>
        </w:rPr>
        <w:t xml:space="preserve"> </w:t>
      </w:r>
      <w:r w:rsidR="006924A6" w:rsidRPr="006924A6">
        <w:rPr>
          <w:b/>
          <w:bCs/>
          <w:rtl/>
          <w:lang w:val="fr-FR"/>
        </w:rPr>
        <w:t>توصيات، تتعلق بالوحدة الترابية في إطار النزاع الإقليمي المعروض على مجلس الأمن، والتي لا علاقة لها بصلاحيات مجلس حقوق الإنسان.</w:t>
      </w:r>
    </w:p>
    <w:p w14:paraId="1C169BE0" w14:textId="6DC176C1" w:rsidR="006924A6" w:rsidRDefault="006924A6" w:rsidP="006924A6">
      <w:pPr>
        <w:pStyle w:val="SingleTxtGA"/>
        <w:rPr>
          <w:rtl/>
          <w:lang w:val="fr-FR"/>
        </w:rPr>
      </w:pPr>
      <w:r>
        <w:rPr>
          <w:rFonts w:hint="cs"/>
          <w:rtl/>
          <w:lang w:val="fr-FR"/>
        </w:rPr>
        <w:t>27-</w:t>
      </w:r>
      <w:r>
        <w:rPr>
          <w:rtl/>
          <w:lang w:val="fr-FR"/>
        </w:rPr>
        <w:tab/>
      </w:r>
      <w:r w:rsidRPr="006924A6">
        <w:rPr>
          <w:rtl/>
          <w:lang w:val="fr-FR"/>
        </w:rPr>
        <w:t>ويقدم الجدول التالي أرقام التوصيات غير المقبولة:</w:t>
      </w:r>
    </w:p>
    <w:p w14:paraId="526C2BF2" w14:textId="63CC66FD" w:rsidR="006924A6" w:rsidRPr="00ED3001" w:rsidRDefault="006924A6" w:rsidP="006924A6">
      <w:pPr>
        <w:pStyle w:val="SingleTxtGA"/>
        <w:rPr>
          <w:rFonts w:ascii="Traditional Arabic" w:hAnsi="Traditional Arabic"/>
          <w:sz w:val="28"/>
          <w:lang w:val="en-GB"/>
        </w:rPr>
      </w:pPr>
      <w:r>
        <w:rPr>
          <w:rFonts w:ascii="Traditional Arabic" w:hAnsi="Traditional Arabic"/>
          <w:sz w:val="28"/>
          <w:lang w:val="en-GB"/>
        </w:rPr>
        <w:t>290, 291, 294, 302, 305.</w:t>
      </w:r>
    </w:p>
    <w:p w14:paraId="24399DFD" w14:textId="285C9010" w:rsidR="00A31A27" w:rsidRPr="00A31A27" w:rsidRDefault="00A31A27" w:rsidP="00A31A27">
      <w:pPr>
        <w:spacing w:before="120"/>
        <w:jc w:val="center"/>
        <w:rPr>
          <w:u w:val="single"/>
          <w:rtl/>
          <w:lang w:eastAsia="zh-TW" w:bidi="ar-DZ"/>
        </w:rPr>
      </w:pPr>
      <w:r>
        <w:rPr>
          <w:u w:val="single"/>
          <w:rtl/>
          <w:lang w:eastAsia="zh-TW" w:bidi="ar-DZ"/>
        </w:rPr>
        <w:tab/>
      </w:r>
      <w:r>
        <w:rPr>
          <w:u w:val="single"/>
          <w:rtl/>
          <w:lang w:eastAsia="zh-TW" w:bidi="ar-DZ"/>
        </w:rPr>
        <w:tab/>
      </w:r>
      <w:r>
        <w:rPr>
          <w:u w:val="single"/>
          <w:rtl/>
          <w:lang w:eastAsia="zh-TW" w:bidi="ar-DZ"/>
        </w:rPr>
        <w:tab/>
      </w:r>
    </w:p>
    <w:sectPr w:rsidR="00A31A27" w:rsidRPr="00A31A27" w:rsidSect="009C6B1B">
      <w:headerReference w:type="even" r:id="rId11"/>
      <w:headerReference w:type="default" r:id="rId12"/>
      <w:footerReference w:type="even" r:id="rId13"/>
      <w:footerReference w:type="default" r:id="rId14"/>
      <w:endnotePr>
        <w:numFmt w:val="decimal"/>
      </w:endnotePr>
      <w:type w:val="continuous"/>
      <w:pgSz w:w="11907" w:h="16840" w:code="9"/>
      <w:pgMar w:top="1418" w:right="1134" w:bottom="1134" w:left="1134" w:header="851" w:footer="567"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6C603" w14:textId="77777777" w:rsidR="00D61D17" w:rsidRPr="002901D9" w:rsidRDefault="00D61D17" w:rsidP="002901D9">
      <w:pPr>
        <w:spacing w:after="60" w:line="240" w:lineRule="auto"/>
        <w:rPr>
          <w:i/>
          <w:iCs/>
        </w:rPr>
      </w:pPr>
      <w:r>
        <w:rPr>
          <w:rFonts w:hint="cs"/>
          <w:i/>
          <w:iCs/>
          <w:rtl/>
        </w:rPr>
        <w:t>الحواشي</w:t>
      </w:r>
    </w:p>
  </w:endnote>
  <w:endnote w:type="continuationSeparator" w:id="0">
    <w:p w14:paraId="081D1511" w14:textId="77777777" w:rsidR="00D61D17" w:rsidRDefault="00D61D17"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B2"/>
    <w:family w:val="roman"/>
    <w:pitch w:val="variable"/>
    <w:sig w:usb0="00000000"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48D1E" w14:textId="55A9DE8F" w:rsidR="009C6B1B" w:rsidRPr="00A31529" w:rsidRDefault="00A31529" w:rsidP="00A31529">
    <w:pPr>
      <w:pStyle w:val="Footer"/>
      <w:tabs>
        <w:tab w:val="right" w:pos="9598"/>
      </w:tabs>
      <w:rPr>
        <w:sz w:val="17"/>
      </w:rPr>
    </w:pPr>
    <w:r>
      <w:rPr>
        <w:sz w:val="17"/>
      </w:rPr>
      <w:tab/>
    </w:r>
    <w:r w:rsidRPr="00A31529">
      <w:rPr>
        <w:b/>
        <w:sz w:val="18"/>
      </w:rPr>
      <w:fldChar w:fldCharType="begin"/>
    </w:r>
    <w:r w:rsidRPr="00A31529">
      <w:rPr>
        <w:b/>
        <w:sz w:val="18"/>
      </w:rPr>
      <w:instrText xml:space="preserve"> PAGE  \* MERGEFORMAT </w:instrText>
    </w:r>
    <w:r w:rsidRPr="00A31529">
      <w:rPr>
        <w:b/>
        <w:sz w:val="18"/>
      </w:rPr>
      <w:fldChar w:fldCharType="separate"/>
    </w:r>
    <w:r w:rsidR="00C1603A">
      <w:rPr>
        <w:b/>
        <w:noProof/>
        <w:sz w:val="18"/>
      </w:rPr>
      <w:t>2</w:t>
    </w:r>
    <w:r w:rsidRPr="00A3152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04763" w14:textId="0AD679E9" w:rsidR="006959B0" w:rsidRPr="00A31529" w:rsidRDefault="00A31529" w:rsidP="006959B0">
    <w:pPr>
      <w:pStyle w:val="Footer"/>
      <w:tabs>
        <w:tab w:val="right" w:pos="9599"/>
      </w:tabs>
      <w:jc w:val="left"/>
      <w:rPr>
        <w:b/>
        <w:sz w:val="18"/>
        <w:lang w:val="en-US"/>
      </w:rPr>
    </w:pPr>
    <w:r w:rsidRPr="00A31529">
      <w:rPr>
        <w:b/>
        <w:sz w:val="18"/>
        <w:lang w:val="en-US"/>
      </w:rPr>
      <w:fldChar w:fldCharType="begin"/>
    </w:r>
    <w:r w:rsidRPr="00A31529">
      <w:rPr>
        <w:b/>
        <w:sz w:val="18"/>
        <w:lang w:val="en-US"/>
      </w:rPr>
      <w:instrText xml:space="preserve"> PAGE  \* MERGEFORMAT </w:instrText>
    </w:r>
    <w:r w:rsidRPr="00A31529">
      <w:rPr>
        <w:b/>
        <w:sz w:val="18"/>
        <w:lang w:val="en-US"/>
      </w:rPr>
      <w:fldChar w:fldCharType="separate"/>
    </w:r>
    <w:r w:rsidR="00C1603A">
      <w:rPr>
        <w:b/>
        <w:noProof/>
        <w:sz w:val="18"/>
        <w:lang w:val="en-US"/>
      </w:rPr>
      <w:t>5</w:t>
    </w:r>
    <w:r w:rsidRPr="00A31529">
      <w:rPr>
        <w:b/>
        <w:sz w:val="18"/>
        <w:lang w:val="en-US"/>
      </w:rPr>
      <w:fldChar w:fldCharType="end"/>
    </w:r>
    <w:r>
      <w:rPr>
        <w:b/>
        <w:sz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99C93" w14:textId="77777777" w:rsidR="00D61D17" w:rsidRPr="0054762C" w:rsidRDefault="00D61D17" w:rsidP="000E524A">
      <w:pPr>
        <w:pStyle w:val="Footer"/>
        <w:bidi/>
        <w:spacing w:after="80" w:line="200" w:lineRule="exact"/>
        <w:ind w:left="680"/>
      </w:pPr>
      <w:r>
        <w:rPr>
          <w:rtl/>
        </w:rPr>
        <w:t>__________</w:t>
      </w:r>
    </w:p>
  </w:footnote>
  <w:footnote w:type="continuationSeparator" w:id="0">
    <w:p w14:paraId="3D32AD32" w14:textId="77777777" w:rsidR="00D61D17" w:rsidRDefault="00D61D17" w:rsidP="006563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3D92" w14:textId="30A7FA56" w:rsidR="009C6B1B" w:rsidRPr="00A31529" w:rsidRDefault="00A31529" w:rsidP="00A31529">
    <w:pPr>
      <w:pStyle w:val="Header"/>
      <w:jc w:val="right"/>
    </w:pPr>
    <w:r w:rsidRPr="00A31529">
      <w:t>A/HRC/</w:t>
    </w:r>
    <w:r w:rsidR="00BE69D6">
      <w:t>52/</w:t>
    </w:r>
    <w:r w:rsidR="00846E80">
      <w:t>7</w:t>
    </w:r>
    <w:r w:rsidR="00BE69D6">
      <w:t>/Add.1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EF0D6" w14:textId="01B95825" w:rsidR="009C6B1B" w:rsidRPr="00A31529" w:rsidRDefault="00A31529" w:rsidP="00A31529">
    <w:pPr>
      <w:pStyle w:val="Header"/>
      <w:jc w:val="left"/>
    </w:pPr>
    <w:r w:rsidRPr="00A31529">
      <w:t>A/HRC/</w:t>
    </w:r>
    <w:r w:rsidR="00BE69D6">
      <w:t>52/</w:t>
    </w:r>
    <w:r w:rsidR="00846E80">
      <w:t>7</w:t>
    </w:r>
    <w:r w:rsidR="00BE69D6">
      <w:t>/Add.1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15:restartNumberingAfterBreak="0">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15:restartNumberingAfterBreak="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defaultTabStop w:val="567"/>
  <w:evenAndOddHeaders/>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17"/>
    <w:rsid w:val="000076D5"/>
    <w:rsid w:val="00043663"/>
    <w:rsid w:val="000474F7"/>
    <w:rsid w:val="000505CF"/>
    <w:rsid w:val="000D701C"/>
    <w:rsid w:val="000E2A71"/>
    <w:rsid w:val="000E524A"/>
    <w:rsid w:val="000F4D63"/>
    <w:rsid w:val="00160263"/>
    <w:rsid w:val="001773DB"/>
    <w:rsid w:val="00181F96"/>
    <w:rsid w:val="001A1371"/>
    <w:rsid w:val="001B346A"/>
    <w:rsid w:val="001E1CAD"/>
    <w:rsid w:val="001E290D"/>
    <w:rsid w:val="002144FA"/>
    <w:rsid w:val="00226297"/>
    <w:rsid w:val="0023469A"/>
    <w:rsid w:val="00243C8A"/>
    <w:rsid w:val="00267A0E"/>
    <w:rsid w:val="00281242"/>
    <w:rsid w:val="002901D9"/>
    <w:rsid w:val="002976C2"/>
    <w:rsid w:val="00325CC1"/>
    <w:rsid w:val="003260FF"/>
    <w:rsid w:val="00343D95"/>
    <w:rsid w:val="00374341"/>
    <w:rsid w:val="003D1062"/>
    <w:rsid w:val="003E159A"/>
    <w:rsid w:val="004205C7"/>
    <w:rsid w:val="00420D7B"/>
    <w:rsid w:val="00437E48"/>
    <w:rsid w:val="00442FBA"/>
    <w:rsid w:val="00450B21"/>
    <w:rsid w:val="00453B63"/>
    <w:rsid w:val="00455780"/>
    <w:rsid w:val="004B0A1C"/>
    <w:rsid w:val="004D298E"/>
    <w:rsid w:val="004E32F4"/>
    <w:rsid w:val="004E5943"/>
    <w:rsid w:val="00517BC9"/>
    <w:rsid w:val="005212F8"/>
    <w:rsid w:val="00527E4C"/>
    <w:rsid w:val="0054472E"/>
    <w:rsid w:val="0054762C"/>
    <w:rsid w:val="005662A9"/>
    <w:rsid w:val="005817D9"/>
    <w:rsid w:val="005827D4"/>
    <w:rsid w:val="00584554"/>
    <w:rsid w:val="0059622A"/>
    <w:rsid w:val="005C5878"/>
    <w:rsid w:val="005C7CEA"/>
    <w:rsid w:val="005D3C0B"/>
    <w:rsid w:val="005E5217"/>
    <w:rsid w:val="005F0FA4"/>
    <w:rsid w:val="005F30EE"/>
    <w:rsid w:val="0060470A"/>
    <w:rsid w:val="0060473A"/>
    <w:rsid w:val="00606EDF"/>
    <w:rsid w:val="00625C3C"/>
    <w:rsid w:val="00656392"/>
    <w:rsid w:val="00673245"/>
    <w:rsid w:val="0068781D"/>
    <w:rsid w:val="006924A6"/>
    <w:rsid w:val="006959B0"/>
    <w:rsid w:val="006B3E27"/>
    <w:rsid w:val="006B6507"/>
    <w:rsid w:val="006C104C"/>
    <w:rsid w:val="00731946"/>
    <w:rsid w:val="00733704"/>
    <w:rsid w:val="00740188"/>
    <w:rsid w:val="007569CA"/>
    <w:rsid w:val="00764796"/>
    <w:rsid w:val="0078071A"/>
    <w:rsid w:val="007A70BB"/>
    <w:rsid w:val="00846E80"/>
    <w:rsid w:val="00852A9A"/>
    <w:rsid w:val="008651D3"/>
    <w:rsid w:val="00871544"/>
    <w:rsid w:val="008930DB"/>
    <w:rsid w:val="00895D16"/>
    <w:rsid w:val="008F49E1"/>
    <w:rsid w:val="0090370F"/>
    <w:rsid w:val="00904DB3"/>
    <w:rsid w:val="009269D2"/>
    <w:rsid w:val="00942135"/>
    <w:rsid w:val="009521B0"/>
    <w:rsid w:val="00963FCC"/>
    <w:rsid w:val="009A7E9F"/>
    <w:rsid w:val="009C6B1B"/>
    <w:rsid w:val="009E5018"/>
    <w:rsid w:val="00A12B37"/>
    <w:rsid w:val="00A31529"/>
    <w:rsid w:val="00A31A27"/>
    <w:rsid w:val="00A50EC0"/>
    <w:rsid w:val="00A74331"/>
    <w:rsid w:val="00AB3BCA"/>
    <w:rsid w:val="00AB6758"/>
    <w:rsid w:val="00AF203E"/>
    <w:rsid w:val="00B13763"/>
    <w:rsid w:val="00B477A4"/>
    <w:rsid w:val="00B54045"/>
    <w:rsid w:val="00BA5E8B"/>
    <w:rsid w:val="00BE69D6"/>
    <w:rsid w:val="00C022F5"/>
    <w:rsid w:val="00C06421"/>
    <w:rsid w:val="00C1603A"/>
    <w:rsid w:val="00C438D7"/>
    <w:rsid w:val="00C53FE8"/>
    <w:rsid w:val="00C81B50"/>
    <w:rsid w:val="00CA655B"/>
    <w:rsid w:val="00CB1B44"/>
    <w:rsid w:val="00CB396F"/>
    <w:rsid w:val="00CB3C3C"/>
    <w:rsid w:val="00CD1801"/>
    <w:rsid w:val="00CD6BDC"/>
    <w:rsid w:val="00D10EF1"/>
    <w:rsid w:val="00D42810"/>
    <w:rsid w:val="00D61D17"/>
    <w:rsid w:val="00D914A7"/>
    <w:rsid w:val="00DD13C3"/>
    <w:rsid w:val="00DD596E"/>
    <w:rsid w:val="00DD621E"/>
    <w:rsid w:val="00DF0575"/>
    <w:rsid w:val="00E70E04"/>
    <w:rsid w:val="00E75996"/>
    <w:rsid w:val="00EC05A7"/>
    <w:rsid w:val="00EC4B6B"/>
    <w:rsid w:val="00ED3001"/>
    <w:rsid w:val="00ED7442"/>
    <w:rsid w:val="00EE0B18"/>
    <w:rsid w:val="00EF1EE5"/>
    <w:rsid w:val="00F6741C"/>
    <w:rsid w:val="00F763B4"/>
    <w:rsid w:val="00F900C3"/>
    <w:rsid w:val="00FC105F"/>
    <w:rsid w:val="00FC75D1"/>
    <w:rsid w:val="00FD28F3"/>
    <w:rsid w:val="00FD4BC9"/>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4A61A6B"/>
  <w15:docId w15:val="{87ABEA04-B69F-4AC4-A5FF-142A5A64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796"/>
    <w:pPr>
      <w:bidi/>
      <w:spacing w:line="240" w:lineRule="atLeast"/>
      <w:jc w:val="lowKashida"/>
    </w:pPr>
    <w:rPr>
      <w:rFonts w:ascii="Times New Roman" w:hAnsi="Times New Roman" w:cs="Traditional Arabic"/>
      <w:szCs w:val="28"/>
      <w:lang w:eastAsia="en-US"/>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Cambria" w:eastAsia="SimSun" w:hAnsi="Cambria" w:cs="Times New Roman"/>
      <w:b/>
      <w:bCs/>
      <w:color w:val="4F81BD"/>
    </w:rPr>
  </w:style>
  <w:style w:type="paragraph" w:styleId="Heading4">
    <w:name w:val="heading 4"/>
    <w:basedOn w:val="Normal"/>
    <w:next w:val="Normal"/>
    <w:link w:val="Heading4Char"/>
    <w:uiPriority w:val="9"/>
    <w:unhideWhenUsed/>
    <w:rsid w:val="00EC4B6B"/>
    <w:pPr>
      <w:keepNext/>
      <w:keepLines/>
      <w:spacing w:before="200"/>
      <w:outlineLvl w:val="3"/>
    </w:pPr>
    <w:rPr>
      <w:rFonts w:ascii="Cambria" w:eastAsia="SimSun" w:hAnsi="Cambria" w:cs="Times New Roman"/>
      <w:b/>
      <w:bCs/>
      <w:i/>
      <w:iCs/>
      <w:color w:val="4F81BD"/>
    </w:rPr>
  </w:style>
  <w:style w:type="paragraph" w:styleId="Heading5">
    <w:name w:val="heading 5"/>
    <w:basedOn w:val="Normal"/>
    <w:next w:val="Normal"/>
    <w:link w:val="Heading5Char"/>
    <w:uiPriority w:val="9"/>
    <w:unhideWhenUsed/>
    <w:rsid w:val="00EC4B6B"/>
    <w:pPr>
      <w:keepNext/>
      <w:keepLines/>
      <w:spacing w:before="200"/>
      <w:outlineLvl w:val="4"/>
    </w:pPr>
    <w:rPr>
      <w:rFonts w:ascii="Cambria" w:eastAsia="SimSun" w:hAnsi="Cambria" w:cs="Times New Roman"/>
      <w:color w:val="243F60"/>
    </w:rPr>
  </w:style>
  <w:style w:type="paragraph" w:styleId="Heading6">
    <w:name w:val="heading 6"/>
    <w:basedOn w:val="Normal"/>
    <w:next w:val="Normal"/>
    <w:link w:val="Heading6Char"/>
    <w:uiPriority w:val="9"/>
    <w:unhideWhenUsed/>
    <w:rsid w:val="00EC4B6B"/>
    <w:pPr>
      <w:keepNext/>
      <w:keepLines/>
      <w:spacing w:before="200"/>
      <w:outlineLvl w:val="5"/>
    </w:pPr>
    <w:rPr>
      <w:rFonts w:ascii="Cambria" w:eastAsia="SimSun" w:hAnsi="Cambria" w:cs="Times New Roman"/>
      <w:i/>
      <w:iCs/>
      <w:color w:val="243F60"/>
    </w:rPr>
  </w:style>
  <w:style w:type="paragraph" w:styleId="Heading7">
    <w:name w:val="heading 7"/>
    <w:basedOn w:val="Normal"/>
    <w:next w:val="Normal"/>
    <w:link w:val="Heading7Char"/>
    <w:uiPriority w:val="9"/>
    <w:unhideWhenUsed/>
    <w:rsid w:val="00EC4B6B"/>
    <w:pPr>
      <w:keepNext/>
      <w:keepLines/>
      <w:spacing w:before="200"/>
      <w:outlineLvl w:val="6"/>
    </w:pPr>
    <w:rPr>
      <w:rFonts w:ascii="Cambria" w:eastAsia="SimSun" w:hAnsi="Cambria" w:cs="Times New Roman"/>
      <w:i/>
      <w:iCs/>
      <w:color w:val="404040"/>
    </w:rPr>
  </w:style>
  <w:style w:type="paragraph" w:styleId="Heading8">
    <w:name w:val="heading 8"/>
    <w:basedOn w:val="Normal"/>
    <w:next w:val="Normal"/>
    <w:link w:val="Heading8Char"/>
    <w:uiPriority w:val="9"/>
    <w:unhideWhenUsed/>
    <w:rsid w:val="00EC4B6B"/>
    <w:pPr>
      <w:keepNext/>
      <w:keepLines/>
      <w:spacing w:before="200"/>
      <w:outlineLvl w:val="7"/>
    </w:pPr>
    <w:rPr>
      <w:rFonts w:ascii="Cambria" w:eastAsia="SimSun" w:hAnsi="Cambria" w:cs="Times New Roman"/>
      <w:color w:val="404040"/>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Cambria" w:eastAsia="SimSun"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link w:val="FootnoteText"/>
    <w:uiPriority w:val="99"/>
    <w:semiHidden/>
    <w:rsid w:val="001A1371"/>
    <w:rPr>
      <w:sz w:val="20"/>
      <w:szCs w:val="20"/>
    </w:rPr>
  </w:style>
  <w:style w:type="character" w:styleId="FootnoteReference">
    <w:name w:val="footnote reference"/>
    <w:aliases w:val="4_GA"/>
    <w:qFormat/>
    <w:rsid w:val="00764796"/>
    <w:rPr>
      <w:rFonts w:ascii="Times New Roman Bold" w:hAnsi="Times New Roman Bold" w:cs="Traditional Arabic"/>
      <w:b/>
      <w:kern w:val="0"/>
      <w:sz w:val="18"/>
      <w:szCs w:val="20"/>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link w:val="H23GAChar"/>
    <w:qFormat/>
    <w:rsid w:val="00764796"/>
    <w:pPr>
      <w:keepNext/>
      <w:keepLines/>
      <w:tabs>
        <w:tab w:val="right" w:pos="1021"/>
      </w:tabs>
      <w:suppressAutoHyphens/>
      <w:spacing w:before="240" w:after="120" w:line="380" w:lineRule="exact"/>
      <w:ind w:left="1247" w:right="1247" w:hanging="1247"/>
    </w:pPr>
    <w:rPr>
      <w:rFonts w:ascii="Times New Roman Bold" w:hAnsi="Times New Roman Bold"/>
      <w:b/>
      <w:bCs/>
      <w:lang w:eastAsia="ar-SA"/>
    </w:rPr>
  </w:style>
  <w:style w:type="paragraph" w:customStyle="1" w:styleId="H4GA">
    <w:name w:val="_ H_4_GA"/>
    <w:basedOn w:val="Normal"/>
    <w:next w:val="Normal"/>
    <w:qFormat/>
    <w:rsid w:val="00527E4C"/>
    <w:pPr>
      <w:keepNext/>
      <w:keepLines/>
      <w:tabs>
        <w:tab w:val="right" w:pos="1021"/>
      </w:tabs>
      <w:suppressAutoHyphens/>
      <w:spacing w:before="240" w:after="120" w:line="380" w:lineRule="exact"/>
      <w:ind w:left="1247" w:right="1247" w:hanging="1247"/>
    </w:pPr>
    <w:rPr>
      <w:i/>
      <w:iCs/>
    </w:rPr>
  </w:style>
  <w:style w:type="paragraph" w:customStyle="1" w:styleId="H56GA">
    <w:name w:val="_ H_5/6_GA"/>
    <w:basedOn w:val="Normal"/>
    <w:next w:val="Normal"/>
    <w:qFormat/>
    <w:rsid w:val="00527E4C"/>
    <w:pPr>
      <w:keepNext/>
      <w:keepLines/>
      <w:tabs>
        <w:tab w:val="right" w:pos="1021"/>
      </w:tabs>
      <w:suppressAutoHyphens/>
      <w:spacing w:before="240" w:after="120" w:line="380" w:lineRule="exact"/>
      <w:ind w:left="1247" w:right="1247" w:hanging="1247"/>
    </w:pPr>
  </w:style>
  <w:style w:type="paragraph" w:customStyle="1" w:styleId="SingleTxtGA">
    <w:name w:val="_ Single Txt_GA"/>
    <w:basedOn w:val="Normal"/>
    <w:link w:val="SingleTxtGAChar"/>
    <w:qFormat/>
    <w:rsid w:val="00AB3BCA"/>
    <w:pPr>
      <w:tabs>
        <w:tab w:val="left" w:pos="1928"/>
        <w:tab w:val="left" w:pos="2608"/>
        <w:tab w:val="left" w:pos="3289"/>
        <w:tab w:val="left" w:pos="3969"/>
        <w:tab w:val="left" w:pos="4649"/>
        <w:tab w:val="left" w:pos="5330"/>
      </w:tabs>
      <w:spacing w:after="120" w:line="36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AB3BCA"/>
    <w:pPr>
      <w:numPr>
        <w:numId w:val="8"/>
      </w:numPr>
      <w:suppressAutoHyphens/>
      <w:bidi w:val="0"/>
      <w:spacing w:after="120" w:line="360" w:lineRule="exact"/>
      <w:ind w:left="2494" w:right="1247" w:hanging="544"/>
    </w:pPr>
  </w:style>
  <w:style w:type="paragraph" w:customStyle="1" w:styleId="Bullet2GA">
    <w:name w:val="_Bullet 2_GA"/>
    <w:basedOn w:val="Normal"/>
    <w:qFormat/>
    <w:rsid w:val="00AB3BCA"/>
    <w:pPr>
      <w:numPr>
        <w:numId w:val="9"/>
      </w:numPr>
      <w:tabs>
        <w:tab w:val="left" w:pos="3062"/>
      </w:tabs>
      <w:suppressAutoHyphens/>
      <w:bidi w:val="0"/>
      <w:spacing w:after="120" w:line="360" w:lineRule="exact"/>
      <w:ind w:right="1247" w:hanging="35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764796"/>
    <w:pPr>
      <w:numPr>
        <w:numId w:val="10"/>
      </w:numPr>
      <w:ind w:left="2307" w:hanging="357"/>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764796"/>
    <w:pPr>
      <w:tabs>
        <w:tab w:val="right" w:pos="1021"/>
      </w:tabs>
      <w:spacing w:after="120" w:line="280" w:lineRule="exact"/>
      <w:ind w:left="1247" w:right="1247" w:hanging="1247"/>
    </w:pPr>
    <w:rPr>
      <w:sz w:val="18"/>
      <w:szCs w:val="26"/>
    </w:rPr>
  </w:style>
  <w:style w:type="character" w:customStyle="1" w:styleId="EndnoteTextChar">
    <w:name w:val="Endnote Text Char"/>
    <w:aliases w:val="2_ GA Char"/>
    <w:link w:val="EndnoteText"/>
    <w:rsid w:val="00764796"/>
    <w:rPr>
      <w:rFonts w:ascii="Times New Roman" w:hAnsi="Times New Roman" w:cs="Traditional Arabic"/>
      <w:sz w:val="18"/>
      <w:szCs w:val="26"/>
    </w:rPr>
  </w:style>
  <w:style w:type="character" w:customStyle="1" w:styleId="EndtnoteReference">
    <w:name w:val="Endtnote Reference"/>
    <w:aliases w:val="1_GA"/>
    <w:qFormat/>
    <w:rsid w:val="00764796"/>
    <w:rPr>
      <w:rFonts w:ascii="Times New Roman Bold" w:hAnsi="Times New Roman Bold" w:cs="Traditional Arabic"/>
      <w:b/>
      <w:kern w:val="0"/>
      <w:sz w:val="18"/>
      <w:szCs w:val="20"/>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764796"/>
    <w:pPr>
      <w:spacing w:after="60" w:line="28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link w:val="Heading1"/>
    <w:rsid w:val="00AB6758"/>
    <w:rPr>
      <w:rFonts w:ascii="Times New Roman" w:eastAsia="Times New Roman" w:hAnsi="Times New Roman" w:cs="Traditional Arabic"/>
      <w:sz w:val="20"/>
      <w:szCs w:val="30"/>
    </w:rPr>
  </w:style>
  <w:style w:type="character" w:styleId="PageNumber">
    <w:name w:val="page number"/>
    <w:aliases w:val="7_GA"/>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link w:val="Heading2"/>
    <w:uiPriority w:val="9"/>
    <w:rsid w:val="00455780"/>
    <w:rPr>
      <w:rFonts w:ascii="Cambria" w:eastAsia="SimSun" w:hAnsi="Cambria" w:cs="Times New Roman"/>
      <w:b/>
      <w:bCs/>
      <w:color w:val="4F81BD"/>
      <w:sz w:val="26"/>
      <w:szCs w:val="26"/>
    </w:rPr>
  </w:style>
  <w:style w:type="character" w:styleId="BookTitle">
    <w:name w:val="Book Title"/>
    <w:uiPriority w:val="33"/>
    <w:rsid w:val="00455780"/>
    <w:rPr>
      <w:b/>
      <w:bCs/>
      <w:smallCaps/>
      <w:spacing w:val="5"/>
    </w:rPr>
  </w:style>
  <w:style w:type="character" w:customStyle="1" w:styleId="Heading3Char">
    <w:name w:val="Heading 3 Char"/>
    <w:link w:val="Heading3"/>
    <w:uiPriority w:val="9"/>
    <w:rsid w:val="00EC4B6B"/>
    <w:rPr>
      <w:rFonts w:ascii="Cambria" w:eastAsia="SimSun" w:hAnsi="Cambria" w:cs="Times New Roman"/>
      <w:b/>
      <w:bCs/>
      <w:color w:val="4F81BD"/>
      <w:sz w:val="20"/>
      <w:szCs w:val="30"/>
    </w:rPr>
  </w:style>
  <w:style w:type="character" w:customStyle="1" w:styleId="Heading4Char">
    <w:name w:val="Heading 4 Char"/>
    <w:link w:val="Heading4"/>
    <w:uiPriority w:val="9"/>
    <w:rsid w:val="00EC4B6B"/>
    <w:rPr>
      <w:rFonts w:ascii="Cambria" w:eastAsia="SimSun" w:hAnsi="Cambria" w:cs="Times New Roman"/>
      <w:b/>
      <w:bCs/>
      <w:i/>
      <w:iCs/>
      <w:color w:val="4F81BD"/>
      <w:sz w:val="20"/>
      <w:szCs w:val="30"/>
    </w:rPr>
  </w:style>
  <w:style w:type="character" w:customStyle="1" w:styleId="Heading5Char">
    <w:name w:val="Heading 5 Char"/>
    <w:link w:val="Heading5"/>
    <w:uiPriority w:val="9"/>
    <w:rsid w:val="00EC4B6B"/>
    <w:rPr>
      <w:rFonts w:ascii="Cambria" w:eastAsia="SimSun" w:hAnsi="Cambria" w:cs="Times New Roman"/>
      <w:color w:val="243F60"/>
      <w:sz w:val="20"/>
      <w:szCs w:val="30"/>
    </w:rPr>
  </w:style>
  <w:style w:type="character" w:customStyle="1" w:styleId="Heading6Char">
    <w:name w:val="Heading 6 Char"/>
    <w:link w:val="Heading6"/>
    <w:uiPriority w:val="9"/>
    <w:rsid w:val="00EC4B6B"/>
    <w:rPr>
      <w:rFonts w:ascii="Cambria" w:eastAsia="SimSun" w:hAnsi="Cambria" w:cs="Times New Roman"/>
      <w:i/>
      <w:iCs/>
      <w:color w:val="243F60"/>
      <w:sz w:val="20"/>
      <w:szCs w:val="30"/>
    </w:rPr>
  </w:style>
  <w:style w:type="character" w:customStyle="1" w:styleId="Heading7Char">
    <w:name w:val="Heading 7 Char"/>
    <w:link w:val="Heading7"/>
    <w:uiPriority w:val="9"/>
    <w:rsid w:val="00EC4B6B"/>
    <w:rPr>
      <w:rFonts w:ascii="Cambria" w:eastAsia="SimSun" w:hAnsi="Cambria" w:cs="Times New Roman"/>
      <w:i/>
      <w:iCs/>
      <w:color w:val="404040"/>
      <w:sz w:val="20"/>
      <w:szCs w:val="30"/>
    </w:rPr>
  </w:style>
  <w:style w:type="character" w:customStyle="1" w:styleId="Heading8Char">
    <w:name w:val="Heading 8 Char"/>
    <w:link w:val="Heading8"/>
    <w:uiPriority w:val="9"/>
    <w:rsid w:val="00EC4B6B"/>
    <w:rPr>
      <w:rFonts w:ascii="Cambria" w:eastAsia="SimSun" w:hAnsi="Cambria" w:cs="Times New Roman"/>
      <w:color w:val="404040"/>
      <w:sz w:val="20"/>
      <w:szCs w:val="20"/>
    </w:rPr>
  </w:style>
  <w:style w:type="character" w:customStyle="1" w:styleId="Heading9Char">
    <w:name w:val="Heading 9 Char"/>
    <w:link w:val="Heading9"/>
    <w:uiPriority w:val="9"/>
    <w:rsid w:val="00EC4B6B"/>
    <w:rPr>
      <w:rFonts w:ascii="Cambria" w:eastAsia="SimSun" w:hAnsi="Cambria" w:cs="Times New Roman"/>
      <w:i/>
      <w:iCs/>
      <w:color w:val="404040"/>
      <w:sz w:val="20"/>
      <w:szCs w:val="20"/>
    </w:rPr>
  </w:style>
  <w:style w:type="paragraph" w:styleId="Title">
    <w:name w:val="Title"/>
    <w:basedOn w:val="Normal"/>
    <w:next w:val="Normal"/>
    <w:link w:val="TitleChar"/>
    <w:uiPriority w:val="10"/>
    <w:rsid w:val="00EC4B6B"/>
    <w:pPr>
      <w:pBdr>
        <w:bottom w:val="single" w:sz="8" w:space="4" w:color="4F81BD"/>
      </w:pBdr>
      <w:spacing w:after="300" w:line="240" w:lineRule="auto"/>
      <w:contextualSpacing/>
    </w:pPr>
    <w:rPr>
      <w:rFonts w:ascii="Cambria" w:eastAsia="SimSun" w:hAnsi="Cambria" w:cs="Times New Roman"/>
      <w:color w:val="17365D"/>
      <w:spacing w:val="5"/>
      <w:kern w:val="28"/>
      <w:sz w:val="52"/>
      <w:szCs w:val="52"/>
    </w:rPr>
  </w:style>
  <w:style w:type="character" w:customStyle="1" w:styleId="TitleChar">
    <w:name w:val="Title Char"/>
    <w:link w:val="Title"/>
    <w:uiPriority w:val="10"/>
    <w:rsid w:val="00EC4B6B"/>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11"/>
    <w:rsid w:val="00EC4B6B"/>
    <w:pPr>
      <w:numPr>
        <w:ilvl w:val="1"/>
      </w:numPr>
    </w:pPr>
    <w:rPr>
      <w:rFonts w:ascii="Cambria" w:eastAsia="SimSun" w:hAnsi="Cambria" w:cs="Times New Roman"/>
      <w:i/>
      <w:iCs/>
      <w:color w:val="4F81BD"/>
      <w:spacing w:val="15"/>
      <w:sz w:val="24"/>
      <w:szCs w:val="24"/>
    </w:rPr>
  </w:style>
  <w:style w:type="character" w:customStyle="1" w:styleId="SubtitleChar">
    <w:name w:val="Subtitle Char"/>
    <w:link w:val="Subtitle"/>
    <w:uiPriority w:val="11"/>
    <w:rsid w:val="00EC4B6B"/>
    <w:rPr>
      <w:rFonts w:ascii="Cambria" w:eastAsia="SimSun" w:hAnsi="Cambria" w:cs="Times New Roman"/>
      <w:i/>
      <w:iCs/>
      <w:color w:val="4F81BD"/>
      <w:spacing w:val="15"/>
      <w:sz w:val="24"/>
      <w:szCs w:val="24"/>
    </w:rPr>
  </w:style>
  <w:style w:type="character" w:styleId="SubtleEmphasis">
    <w:name w:val="Subtle Emphasis"/>
    <w:uiPriority w:val="19"/>
    <w:rsid w:val="00EC4B6B"/>
    <w:rPr>
      <w:i/>
      <w:iCs/>
      <w:color w:val="808080"/>
    </w:rPr>
  </w:style>
  <w:style w:type="table" w:styleId="ColorfulGrid-Accent6">
    <w:name w:val="Colorful Grid Accent 6"/>
    <w:basedOn w:val="TableNormal"/>
    <w:uiPriority w:val="73"/>
    <w:rsid w:val="00EC4B6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Emphasis">
    <w:name w:val="Emphasis"/>
    <w:uiPriority w:val="20"/>
    <w:rsid w:val="003260FF"/>
    <w:rPr>
      <w:i/>
      <w:iCs/>
    </w:rPr>
  </w:style>
  <w:style w:type="character" w:styleId="IntenseEmphasis">
    <w:name w:val="Intense Emphasis"/>
    <w:uiPriority w:val="21"/>
    <w:rsid w:val="003260FF"/>
    <w:rPr>
      <w:b/>
      <w:bCs/>
      <w:i/>
      <w:iCs/>
      <w:color w:val="4F81BD"/>
    </w:rPr>
  </w:style>
  <w:style w:type="character" w:styleId="Strong">
    <w:name w:val="Strong"/>
    <w:uiPriority w:val="22"/>
    <w:rsid w:val="003260FF"/>
    <w:rPr>
      <w:b/>
      <w:bCs/>
    </w:rPr>
  </w:style>
  <w:style w:type="paragraph" w:styleId="Quote">
    <w:name w:val="Quote"/>
    <w:basedOn w:val="Normal"/>
    <w:next w:val="Normal"/>
    <w:link w:val="QuoteChar"/>
    <w:uiPriority w:val="29"/>
    <w:rsid w:val="003260FF"/>
    <w:rPr>
      <w:i/>
      <w:iCs/>
      <w:color w:val="000000"/>
    </w:rPr>
  </w:style>
  <w:style w:type="character" w:customStyle="1" w:styleId="QuoteChar">
    <w:name w:val="Quote Char"/>
    <w:link w:val="Quote"/>
    <w:uiPriority w:val="29"/>
    <w:rsid w:val="003260FF"/>
    <w:rPr>
      <w:rFonts w:ascii="Times New Roman" w:hAnsi="Times New Roman" w:cs="Traditional Arabic"/>
      <w:i/>
      <w:iCs/>
      <w:color w:val="000000"/>
      <w:sz w:val="20"/>
      <w:szCs w:val="30"/>
    </w:rPr>
  </w:style>
  <w:style w:type="paragraph" w:styleId="IntenseQuote">
    <w:name w:val="Intense Quote"/>
    <w:basedOn w:val="Normal"/>
    <w:next w:val="Normal"/>
    <w:link w:val="IntenseQuoteChar"/>
    <w:uiPriority w:val="30"/>
    <w:rsid w:val="003260F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260FF"/>
    <w:rPr>
      <w:rFonts w:ascii="Times New Roman" w:hAnsi="Times New Roman" w:cs="Traditional Arabic"/>
      <w:b/>
      <w:bCs/>
      <w:i/>
      <w:iCs/>
      <w:color w:val="4F81BD"/>
      <w:sz w:val="20"/>
      <w:szCs w:val="30"/>
    </w:rPr>
  </w:style>
  <w:style w:type="character" w:styleId="SubtleReference">
    <w:name w:val="Subtle Reference"/>
    <w:uiPriority w:val="31"/>
    <w:rsid w:val="003260FF"/>
    <w:rPr>
      <w:smallCaps/>
      <w:color w:val="C0504D"/>
      <w:u w:val="single"/>
    </w:rPr>
  </w:style>
  <w:style w:type="character" w:styleId="IntenseReference">
    <w:name w:val="Intense Reference"/>
    <w:uiPriority w:val="32"/>
    <w:rsid w:val="003260FF"/>
    <w:rPr>
      <w:b/>
      <w:bCs/>
      <w:smallCaps/>
      <w:color w:val="C0504D"/>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EndnoteReference">
    <w:name w:val="endnote reference"/>
    <w:uiPriority w:val="99"/>
    <w:semiHidden/>
    <w:unhideWhenUsed/>
    <w:rsid w:val="00F900C3"/>
    <w:rPr>
      <w:vertAlign w:val="superscript"/>
    </w:rPr>
  </w:style>
  <w:style w:type="table" w:styleId="TableGrid">
    <w:name w:val="Table Grid"/>
    <w:basedOn w:val="TableNormal"/>
    <w:rsid w:val="006B3E27"/>
    <w:pPr>
      <w:bidi/>
      <w:jc w:val="lowKashida"/>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B3E27"/>
    <w:rPr>
      <w:rFonts w:ascii="Tahoma" w:hAnsi="Tahoma" w:cs="Tahoma"/>
      <w:sz w:val="16"/>
      <w:szCs w:val="16"/>
    </w:rPr>
  </w:style>
  <w:style w:type="paragraph" w:customStyle="1" w:styleId="SingleTxtG">
    <w:name w:val="_ Single Txt_G"/>
    <w:basedOn w:val="Normal"/>
    <w:link w:val="SingleTxtGChar"/>
    <w:qFormat/>
    <w:rsid w:val="00A31A27"/>
    <w:pPr>
      <w:suppressAutoHyphens/>
      <w:bidi w:val="0"/>
      <w:spacing w:after="120"/>
      <w:ind w:left="1134" w:right="1134"/>
      <w:jc w:val="both"/>
    </w:pPr>
    <w:rPr>
      <w:szCs w:val="30"/>
      <w:lang w:val="en-GB"/>
    </w:rPr>
  </w:style>
  <w:style w:type="paragraph" w:customStyle="1" w:styleId="HChG">
    <w:name w:val="_ H _Ch_G"/>
    <w:basedOn w:val="Normal"/>
    <w:next w:val="Normal"/>
    <w:link w:val="HChGChar"/>
    <w:rsid w:val="00A31A27"/>
    <w:pPr>
      <w:keepNext/>
      <w:keepLines/>
      <w:tabs>
        <w:tab w:val="right" w:pos="851"/>
      </w:tabs>
      <w:suppressAutoHyphens/>
      <w:bidi w:val="0"/>
      <w:spacing w:before="360" w:after="240" w:line="300" w:lineRule="exact"/>
      <w:ind w:left="1134" w:right="1134" w:hanging="1134"/>
      <w:jc w:val="left"/>
    </w:pPr>
    <w:rPr>
      <w:b/>
      <w:sz w:val="28"/>
      <w:szCs w:val="30"/>
      <w:lang w:val="en-GB"/>
    </w:rPr>
  </w:style>
  <w:style w:type="paragraph" w:customStyle="1" w:styleId="SMG">
    <w:name w:val="__S_M_G"/>
    <w:basedOn w:val="Normal"/>
    <w:next w:val="Normal"/>
    <w:rsid w:val="00A31A27"/>
    <w:pPr>
      <w:keepNext/>
      <w:keepLines/>
      <w:suppressAutoHyphens/>
      <w:bidi w:val="0"/>
      <w:spacing w:before="240" w:after="240" w:line="420" w:lineRule="exact"/>
      <w:ind w:left="1134" w:right="1134"/>
      <w:jc w:val="left"/>
    </w:pPr>
    <w:rPr>
      <w:rFonts w:hint="cs"/>
      <w:b/>
      <w:sz w:val="40"/>
      <w:szCs w:val="30"/>
      <w:lang w:val="en-GB"/>
    </w:rPr>
  </w:style>
  <w:style w:type="character" w:customStyle="1" w:styleId="SingleTxtGChar">
    <w:name w:val="_ Single Txt_G Char"/>
    <w:link w:val="SingleTxtG"/>
    <w:rsid w:val="00A31A27"/>
    <w:rPr>
      <w:rFonts w:ascii="Times New Roman" w:hAnsi="Times New Roman" w:cs="Traditional Arabic"/>
      <w:szCs w:val="30"/>
      <w:lang w:val="en-GB" w:eastAsia="en-US"/>
    </w:rPr>
  </w:style>
  <w:style w:type="character" w:customStyle="1" w:styleId="HChGChar">
    <w:name w:val="_ H _Ch_G Char"/>
    <w:link w:val="HChG"/>
    <w:rsid w:val="00A31A27"/>
    <w:rPr>
      <w:rFonts w:ascii="Times New Roman" w:hAnsi="Times New Roman" w:cs="Traditional Arabic"/>
      <w:b/>
      <w:sz w:val="28"/>
      <w:szCs w:val="30"/>
      <w:lang w:val="en-GB" w:eastAsia="en-US"/>
    </w:rPr>
  </w:style>
  <w:style w:type="paragraph" w:customStyle="1" w:styleId="H1">
    <w:name w:val="_ H_1"/>
    <w:basedOn w:val="Normal"/>
    <w:next w:val="Normal"/>
    <w:qFormat/>
    <w:rsid w:val="00BE69D6"/>
    <w:pPr>
      <w:keepNext/>
      <w:keepLines/>
      <w:spacing w:line="400" w:lineRule="exact"/>
      <w:outlineLvl w:val="0"/>
    </w:pPr>
    <w:rPr>
      <w:rFonts w:eastAsiaTheme="minorHAnsi"/>
      <w:b/>
      <w:bCs/>
      <w:w w:val="103"/>
      <w:kern w:val="14"/>
      <w:sz w:val="24"/>
      <w:szCs w:val="34"/>
    </w:rPr>
  </w:style>
  <w:style w:type="character" w:customStyle="1" w:styleId="SingleTxtGAChar">
    <w:name w:val="_ Single Txt_GA Char"/>
    <w:link w:val="SingleTxtGA"/>
    <w:rsid w:val="00BE69D6"/>
    <w:rPr>
      <w:rFonts w:ascii="Times New Roman" w:hAnsi="Times New Roman" w:cs="Traditional Arabic"/>
      <w:szCs w:val="28"/>
      <w:lang w:eastAsia="en-US"/>
    </w:rPr>
  </w:style>
  <w:style w:type="character" w:customStyle="1" w:styleId="H23GAChar">
    <w:name w:val="_ H_2/3_GA Char"/>
    <w:basedOn w:val="DefaultParagraphFont"/>
    <w:link w:val="H23GA"/>
    <w:rsid w:val="00BE69D6"/>
    <w:rPr>
      <w:rFonts w:ascii="Times New Roman Bold" w:hAnsi="Times New Roman Bold" w:cs="Traditional Arabic"/>
      <w:b/>
      <w:bCs/>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89B9A523FF84E9CADE6C6FDF39262" ma:contentTypeVersion="0" ma:contentTypeDescription="Create a new document." ma:contentTypeScope="" ma:versionID="492384d3aab1a672291b473361d36ec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C34AD-4F73-4CE5-9BEE-E1E2435B2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BE5596-80AF-44F7-8D47-5DCC03226E04}">
  <ds:schemaRefs>
    <ds:schemaRef ds:uri="http://schemas.microsoft.com/sharepoint/v3/contenttype/forms"/>
  </ds:schemaRefs>
</ds:datastoreItem>
</file>

<file path=customXml/itemProps3.xml><?xml version="1.0" encoding="utf-8"?>
<ds:datastoreItem xmlns:ds="http://schemas.openxmlformats.org/officeDocument/2006/customXml" ds:itemID="{B746BFDB-61DA-4536-B60D-04B9090A181E}">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A29D415A-BF88-45E5-8074-DC0F945F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6</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A/HRC/SS/#</vt:lpstr>
    </vt:vector>
  </TitlesOfParts>
  <Company>DCM</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A/HRC/SS/#</dc:title>
  <dc:subject>GE.</dc:subject>
  <dc:creator>IBAL</dc:creator>
  <cp:keywords>ODS No.</cp:keywords>
  <dc:description>Original: English _x000d_
Distribution: General_x000d_
Date:</dc:description>
  <cp:lastModifiedBy>Veronique Lanz</cp:lastModifiedBy>
  <cp:revision>2</cp:revision>
  <cp:lastPrinted>2020-10-22T09:30:00Z</cp:lastPrinted>
  <dcterms:created xsi:type="dcterms:W3CDTF">2023-03-10T07:22:00Z</dcterms:created>
  <dcterms:modified xsi:type="dcterms:W3CDTF">2023-03-10T07:22:00Z</dcterms:modified>
  <cp:category>Final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0x010100B6E89B9A523FF84E9CADE6C6FDF39262</vt:lpwstr>
  </property>
</Properties>
</file>