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1BA04B1" w14:textId="77777777" w:rsidTr="00DD7D05">
        <w:trPr>
          <w:trHeight w:val="851"/>
        </w:trPr>
        <w:tc>
          <w:tcPr>
            <w:tcW w:w="1259" w:type="dxa"/>
            <w:tcBorders>
              <w:top w:val="nil"/>
              <w:left w:val="nil"/>
              <w:bottom w:val="single" w:sz="4" w:space="0" w:color="auto"/>
              <w:right w:val="nil"/>
            </w:tcBorders>
          </w:tcPr>
          <w:p w14:paraId="1CC4932D"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3C4EE87C" w14:textId="1756C4B6"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A39AD4C" w14:textId="77777777" w:rsidR="00EC2011" w:rsidRDefault="00B479C3" w:rsidP="00B479C3">
            <w:pPr>
              <w:suppressAutoHyphens w:val="0"/>
              <w:spacing w:after="20"/>
              <w:jc w:val="right"/>
            </w:pPr>
            <w:r w:rsidRPr="00B479C3">
              <w:rPr>
                <w:sz w:val="40"/>
              </w:rPr>
              <w:t>A</w:t>
            </w:r>
            <w:r>
              <w:t>/HRC/52/76</w:t>
            </w:r>
          </w:p>
        </w:tc>
      </w:tr>
      <w:tr w:rsidR="00EC2011" w14:paraId="221E6B11" w14:textId="77777777" w:rsidTr="00DD7D05">
        <w:trPr>
          <w:trHeight w:val="2835"/>
        </w:trPr>
        <w:tc>
          <w:tcPr>
            <w:tcW w:w="1259" w:type="dxa"/>
            <w:tcBorders>
              <w:top w:val="single" w:sz="4" w:space="0" w:color="auto"/>
              <w:left w:val="nil"/>
              <w:bottom w:val="single" w:sz="12" w:space="0" w:color="auto"/>
              <w:right w:val="nil"/>
            </w:tcBorders>
          </w:tcPr>
          <w:p w14:paraId="6852CA19" w14:textId="2E723049"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4B200C14" w14:textId="55BF7ED9" w:rsidR="00EC2011" w:rsidRDefault="007B32BF"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77C43CB" w14:textId="77777777" w:rsidR="00EC2011" w:rsidRDefault="00B479C3" w:rsidP="00B479C3">
            <w:pPr>
              <w:spacing w:before="240"/>
            </w:pPr>
            <w:r>
              <w:t>Distr.: General</w:t>
            </w:r>
          </w:p>
          <w:p w14:paraId="65418521" w14:textId="16B4B563" w:rsidR="00B479C3" w:rsidRDefault="00B479C3" w:rsidP="00B479C3">
            <w:pPr>
              <w:suppressAutoHyphens w:val="0"/>
            </w:pPr>
            <w:r>
              <w:t>1</w:t>
            </w:r>
            <w:r w:rsidR="003E7D53">
              <w:t>5</w:t>
            </w:r>
            <w:r>
              <w:t xml:space="preserve"> March 2023</w:t>
            </w:r>
          </w:p>
          <w:p w14:paraId="1D9D40A5" w14:textId="77777777" w:rsidR="00B479C3" w:rsidRDefault="00B479C3" w:rsidP="00B479C3">
            <w:pPr>
              <w:suppressAutoHyphens w:val="0"/>
            </w:pPr>
          </w:p>
          <w:p w14:paraId="34C5C4DF" w14:textId="77777777" w:rsidR="00B479C3" w:rsidRDefault="00B479C3" w:rsidP="00B479C3">
            <w:pPr>
              <w:suppressAutoHyphens w:val="0"/>
            </w:pPr>
            <w:r>
              <w:t>Original: English</w:t>
            </w:r>
          </w:p>
        </w:tc>
      </w:tr>
    </w:tbl>
    <w:p w14:paraId="160E0B22" w14:textId="77777777" w:rsidR="00F6262F" w:rsidRDefault="00F6262F" w:rsidP="00F6262F">
      <w:pPr>
        <w:spacing w:before="120"/>
        <w:rPr>
          <w:b/>
          <w:sz w:val="24"/>
          <w:szCs w:val="24"/>
        </w:rPr>
      </w:pPr>
      <w:r>
        <w:rPr>
          <w:b/>
          <w:sz w:val="24"/>
          <w:szCs w:val="24"/>
        </w:rPr>
        <w:t>Human Rights Council</w:t>
      </w:r>
    </w:p>
    <w:p w14:paraId="33CDC522" w14:textId="77777777" w:rsidR="00F6262F" w:rsidRPr="00215EE1" w:rsidRDefault="00F6262F" w:rsidP="00F6262F">
      <w:pPr>
        <w:rPr>
          <w:b/>
        </w:rPr>
      </w:pPr>
      <w:r w:rsidRPr="00215EE1">
        <w:rPr>
          <w:b/>
        </w:rPr>
        <w:t>Fifty-second session</w:t>
      </w:r>
    </w:p>
    <w:p w14:paraId="78108283" w14:textId="77777777" w:rsidR="00F6262F" w:rsidRPr="00FD5FC8" w:rsidRDefault="00F6262F" w:rsidP="00F6262F">
      <w:r>
        <w:t>27 February–</w:t>
      </w:r>
      <w:r w:rsidRPr="00FD5FC8">
        <w:t>31 March 2023</w:t>
      </w:r>
    </w:p>
    <w:p w14:paraId="2C6BE1A3" w14:textId="77777777" w:rsidR="00F6262F" w:rsidRPr="00FD5FC8" w:rsidRDefault="00F6262F" w:rsidP="00F6262F">
      <w:r w:rsidRPr="00FD5FC8">
        <w:t>Agenda items 2 and 7</w:t>
      </w:r>
    </w:p>
    <w:p w14:paraId="41BC0268" w14:textId="77777777" w:rsidR="00F6262F" w:rsidRDefault="00F6262F" w:rsidP="00F6262F">
      <w:pPr>
        <w:rPr>
          <w:b/>
          <w:bCs/>
        </w:rPr>
      </w:pPr>
      <w:r w:rsidRPr="00FD5FC8">
        <w:rPr>
          <w:b/>
          <w:bCs/>
        </w:rPr>
        <w:t>Annual report of the United Nations High Commissioner for Human Rights</w:t>
      </w:r>
      <w:r w:rsidRPr="00FD5FC8">
        <w:rPr>
          <w:b/>
          <w:bCs/>
        </w:rPr>
        <w:br/>
        <w:t>and reports of the Office of the High Commissioner and the Secretary-General</w:t>
      </w:r>
    </w:p>
    <w:p w14:paraId="64B5219A" w14:textId="77777777" w:rsidR="00F6262F" w:rsidRPr="00FD5FC8" w:rsidRDefault="00F6262F" w:rsidP="00F6262F">
      <w:pPr>
        <w:spacing w:before="120"/>
        <w:rPr>
          <w:b/>
          <w:bCs/>
        </w:rPr>
      </w:pPr>
      <w:r w:rsidRPr="00FD5FC8">
        <w:rPr>
          <w:b/>
          <w:bCs/>
        </w:rPr>
        <w:t>Human rights situation in Palestine</w:t>
      </w:r>
      <w:r>
        <w:rPr>
          <w:b/>
          <w:bCs/>
        </w:rPr>
        <w:t xml:space="preserve"> </w:t>
      </w:r>
      <w:r w:rsidRPr="00FD5FC8">
        <w:rPr>
          <w:b/>
          <w:bCs/>
        </w:rPr>
        <w:t>and other occupied Arab territories</w:t>
      </w:r>
    </w:p>
    <w:p w14:paraId="13D6F846" w14:textId="77777777" w:rsidR="00F6262F" w:rsidRPr="00FD5FC8" w:rsidRDefault="00F6262F" w:rsidP="00F6262F">
      <w:pPr>
        <w:pStyle w:val="HChG"/>
      </w:pPr>
      <w:r w:rsidRPr="00FD5FC8">
        <w:tab/>
      </w:r>
      <w:r w:rsidRPr="00FD5FC8">
        <w:tab/>
        <w:t>Israeli settlements in the Occupied Palestinian</w:t>
      </w:r>
      <w:r>
        <w:t xml:space="preserve"> </w:t>
      </w:r>
      <w:r w:rsidRPr="00FD5FC8">
        <w:t>Territory, including East Jerusalem, and in the</w:t>
      </w:r>
      <w:r>
        <w:t xml:space="preserve"> </w:t>
      </w:r>
      <w:r w:rsidRPr="00FD5FC8">
        <w:t>occupied Syrian Golan</w:t>
      </w:r>
    </w:p>
    <w:p w14:paraId="38FF5B6A" w14:textId="77777777" w:rsidR="00F6262F" w:rsidRDefault="00F6262F" w:rsidP="00F6262F">
      <w:pPr>
        <w:pStyle w:val="H1G"/>
        <w:rPr>
          <w:b w:val="0"/>
          <w:sz w:val="20"/>
          <w:lang w:val="en-US"/>
        </w:rPr>
      </w:pPr>
      <w:r w:rsidRPr="00FD5FC8">
        <w:tab/>
      </w:r>
      <w:r w:rsidRPr="00FD5FC8">
        <w:tab/>
        <w:t>Report of the United Nations High Commissioner for</w:t>
      </w:r>
      <w:r>
        <w:t xml:space="preserve"> </w:t>
      </w:r>
      <w:r w:rsidRPr="00FD5FC8">
        <w:t>Human Rights</w:t>
      </w:r>
      <w:r w:rsidRPr="002815E1">
        <w:rPr>
          <w:rStyle w:val="FootnoteReference"/>
          <w:b w:val="0"/>
          <w:sz w:val="20"/>
          <w:vertAlign w:val="baseline"/>
          <w:lang w:val="en-US"/>
        </w:rPr>
        <w:footnoteReference w:customMarkFollows="1" w:id="2"/>
        <w:t>*</w:t>
      </w:r>
    </w:p>
    <w:tbl>
      <w:tblPr>
        <w:tblStyle w:val="TableGrid"/>
        <w:tblW w:w="0" w:type="auto"/>
        <w:jc w:val="center"/>
        <w:tblLook w:val="05E0" w:firstRow="1" w:lastRow="1" w:firstColumn="1" w:lastColumn="1" w:noHBand="0" w:noVBand="1"/>
      </w:tblPr>
      <w:tblGrid>
        <w:gridCol w:w="9629"/>
      </w:tblGrid>
      <w:tr w:rsidR="00F6262F" w14:paraId="62203E06" w14:textId="77777777" w:rsidTr="00412DE2">
        <w:trPr>
          <w:jc w:val="center"/>
        </w:trPr>
        <w:tc>
          <w:tcPr>
            <w:tcW w:w="9629" w:type="dxa"/>
            <w:tcBorders>
              <w:bottom w:val="nil"/>
            </w:tcBorders>
          </w:tcPr>
          <w:p w14:paraId="3762BE03" w14:textId="77777777" w:rsidR="00F6262F" w:rsidRPr="00781A17" w:rsidRDefault="00F6262F" w:rsidP="00412DE2">
            <w:pPr>
              <w:tabs>
                <w:tab w:val="left" w:pos="255"/>
              </w:tabs>
              <w:suppressAutoHyphens w:val="0"/>
              <w:spacing w:before="240" w:after="120"/>
              <w:rPr>
                <w:sz w:val="24"/>
              </w:rPr>
            </w:pPr>
            <w:r>
              <w:tab/>
            </w:r>
            <w:r>
              <w:rPr>
                <w:i/>
                <w:sz w:val="24"/>
              </w:rPr>
              <w:t>Summary</w:t>
            </w:r>
          </w:p>
        </w:tc>
      </w:tr>
      <w:tr w:rsidR="00F6262F" w14:paraId="1543F840" w14:textId="77777777" w:rsidTr="00412DE2">
        <w:trPr>
          <w:jc w:val="center"/>
        </w:trPr>
        <w:tc>
          <w:tcPr>
            <w:tcW w:w="9629" w:type="dxa"/>
            <w:tcBorders>
              <w:top w:val="nil"/>
              <w:bottom w:val="nil"/>
            </w:tcBorders>
            <w:shd w:val="clear" w:color="auto" w:fill="auto"/>
          </w:tcPr>
          <w:p w14:paraId="09F84A38" w14:textId="77777777" w:rsidR="00F6262F" w:rsidRDefault="00F6262F" w:rsidP="00412DE2">
            <w:pPr>
              <w:pStyle w:val="SingleTxtG"/>
            </w:pPr>
            <w:r>
              <w:tab/>
            </w:r>
            <w:r w:rsidRPr="00D7102A">
              <w:t>The present report, submitted pursuant to Human Rights Council resolution 49/29, provides an update on the implementation of the provisions of the resolution during the period from 1 November 2021 to 31 October 2022.</w:t>
            </w:r>
          </w:p>
        </w:tc>
      </w:tr>
      <w:tr w:rsidR="00F6262F" w14:paraId="298B0D0E" w14:textId="77777777" w:rsidTr="00412DE2">
        <w:trPr>
          <w:jc w:val="center"/>
        </w:trPr>
        <w:tc>
          <w:tcPr>
            <w:tcW w:w="9629" w:type="dxa"/>
            <w:tcBorders>
              <w:top w:val="nil"/>
            </w:tcBorders>
          </w:tcPr>
          <w:p w14:paraId="6B9761AD" w14:textId="77777777" w:rsidR="00F6262F" w:rsidRDefault="00F6262F" w:rsidP="00412DE2">
            <w:pPr>
              <w:suppressAutoHyphens w:val="0"/>
            </w:pPr>
          </w:p>
        </w:tc>
      </w:tr>
    </w:tbl>
    <w:p w14:paraId="56809871" w14:textId="77777777" w:rsidR="00F6262F" w:rsidRPr="00FD5FC8" w:rsidRDefault="00F6262F" w:rsidP="00F6262F">
      <w:pPr>
        <w:spacing w:after="200" w:line="276" w:lineRule="auto"/>
      </w:pPr>
      <w:r w:rsidRPr="00FD5FC8">
        <w:br w:type="page"/>
      </w:r>
    </w:p>
    <w:p w14:paraId="1E651666" w14:textId="77777777" w:rsidR="00F6262F" w:rsidRPr="00FD5FC8" w:rsidRDefault="00F6262F" w:rsidP="00F6262F">
      <w:pPr>
        <w:pStyle w:val="HChG"/>
      </w:pPr>
      <w:bookmarkStart w:id="0" w:name="_Toc536172799"/>
      <w:r w:rsidRPr="00FD5FC8">
        <w:lastRenderedPageBreak/>
        <w:tab/>
        <w:t>I.</w:t>
      </w:r>
      <w:r w:rsidRPr="00FD5FC8">
        <w:tab/>
        <w:t>Introduction</w:t>
      </w:r>
    </w:p>
    <w:p w14:paraId="2718F763" w14:textId="494EC875" w:rsidR="00F6262F" w:rsidRPr="00FD5FC8" w:rsidRDefault="00F6262F" w:rsidP="00F6262F">
      <w:pPr>
        <w:pStyle w:val="ParaNoG"/>
      </w:pPr>
      <w:r w:rsidRPr="00FD5FC8">
        <w:t>The present report</w:t>
      </w:r>
      <w:r w:rsidRPr="00FD5FC8">
        <w:rPr>
          <w:color w:val="000000"/>
          <w:shd w:val="clear" w:color="auto" w:fill="FFFFFF"/>
        </w:rPr>
        <w:t>, submitted pursuant to Human Rights Council resolution 49/29,</w:t>
      </w:r>
      <w:r w:rsidRPr="00FD5FC8">
        <w:t xml:space="preserve"> provides an update on the implementation </w:t>
      </w:r>
      <w:r>
        <w:t xml:space="preserve">of the provisions of the </w:t>
      </w:r>
      <w:r w:rsidRPr="00FD5FC8">
        <w:t xml:space="preserve">resolution </w:t>
      </w:r>
      <w:r>
        <w:t xml:space="preserve">during the period </w:t>
      </w:r>
      <w:r w:rsidRPr="00FD5FC8">
        <w:rPr>
          <w:color w:val="000000"/>
          <w:shd w:val="clear" w:color="auto" w:fill="FFFFFF"/>
        </w:rPr>
        <w:t>from 1 November 2021 to 31 October 2022.</w:t>
      </w:r>
      <w:r w:rsidRPr="00FD5FC8">
        <w:t xml:space="preserve"> The report takes stock of</w:t>
      </w:r>
      <w:r>
        <w:t xml:space="preserve"> </w:t>
      </w:r>
      <w:r w:rsidRPr="00FD5FC8">
        <w:t xml:space="preserve">developments during the 10 years since the </w:t>
      </w:r>
      <w:r>
        <w:t xml:space="preserve">adoption </w:t>
      </w:r>
      <w:r w:rsidRPr="00FD5FC8">
        <w:t>of</w:t>
      </w:r>
      <w:r>
        <w:t xml:space="preserve"> </w:t>
      </w:r>
      <w:r w:rsidRPr="00FD5FC8">
        <w:t>Council resolution 19/17</w:t>
      </w:r>
      <w:r>
        <w:t xml:space="preserve">, by which the Council </w:t>
      </w:r>
      <w:r w:rsidRPr="00FD5FC8">
        <w:t xml:space="preserve">established </w:t>
      </w:r>
      <w:r>
        <w:t>the</w:t>
      </w:r>
      <w:r w:rsidRPr="00FD5FC8">
        <w:t xml:space="preserve"> </w:t>
      </w:r>
      <w:r>
        <w:t>i</w:t>
      </w:r>
      <w:r w:rsidRPr="00FD5FC8">
        <w:t xml:space="preserve">ndependent </w:t>
      </w:r>
      <w:r>
        <w:t>i</w:t>
      </w:r>
      <w:r w:rsidRPr="00FD5FC8">
        <w:t xml:space="preserve">nternational </w:t>
      </w:r>
      <w:r>
        <w:t>f</w:t>
      </w:r>
      <w:r w:rsidRPr="00FD5FC8">
        <w:t xml:space="preserve">act-finding </w:t>
      </w:r>
      <w:r>
        <w:t>m</w:t>
      </w:r>
      <w:r w:rsidRPr="00FD5FC8">
        <w:t xml:space="preserve">ission to investigate the implications of the Israeli settlements on the </w:t>
      </w:r>
      <w:r>
        <w:t xml:space="preserve">civil, political, economic, </w:t>
      </w:r>
      <w:proofErr w:type="gramStart"/>
      <w:r>
        <w:t>social</w:t>
      </w:r>
      <w:proofErr w:type="gramEnd"/>
      <w:r>
        <w:t xml:space="preserve"> and cultural </w:t>
      </w:r>
      <w:r w:rsidRPr="00FD5FC8">
        <w:t>rights of Palestinian</w:t>
      </w:r>
      <w:r>
        <w:t xml:space="preserve"> people </w:t>
      </w:r>
      <w:r w:rsidRPr="00FD5FC8">
        <w:t>throughout the Occupied Palestinian Territory, including East Jerusalem.</w:t>
      </w:r>
      <w:r w:rsidRPr="00C430C7">
        <w:rPr>
          <w:rStyle w:val="FootnoteReference"/>
        </w:rPr>
        <w:footnoteReference w:id="3"/>
      </w:r>
      <w:r w:rsidRPr="00FD5FC8" w:rsidDel="00FA2654">
        <w:t xml:space="preserve"> </w:t>
      </w:r>
      <w:r w:rsidRPr="00FD5FC8">
        <w:t>It also contains an update on Israeli settlements in the occupied Syrian Golan</w:t>
      </w:r>
      <w:r>
        <w:t>.</w:t>
      </w:r>
    </w:p>
    <w:p w14:paraId="03D74A84" w14:textId="5C4E1C9E" w:rsidR="00F6262F" w:rsidRPr="00FD5FC8" w:rsidRDefault="00F6262F" w:rsidP="00F6262F">
      <w:pPr>
        <w:pStyle w:val="ParaNoG"/>
      </w:pPr>
      <w:r>
        <w:t>The advancement of s</w:t>
      </w:r>
      <w:r w:rsidRPr="00FD5FC8">
        <w:t>ettlement</w:t>
      </w:r>
      <w:r>
        <w:t>s</w:t>
      </w:r>
      <w:r w:rsidRPr="00FD5FC8">
        <w:t xml:space="preserve"> in the West Bank, including East Jerusalem, and the transfer</w:t>
      </w:r>
      <w:r>
        <w:t xml:space="preserve"> by </w:t>
      </w:r>
      <w:r w:rsidRPr="00FD5FC8">
        <w:t xml:space="preserve">Israel </w:t>
      </w:r>
      <w:r>
        <w:t xml:space="preserve">of its civilian </w:t>
      </w:r>
      <w:r w:rsidRPr="00FD5FC8">
        <w:t>population to the occupied territory</w:t>
      </w:r>
      <w:r>
        <w:t>,</w:t>
      </w:r>
      <w:r w:rsidRPr="00FD5FC8">
        <w:t xml:space="preserve"> in contravention of international law</w:t>
      </w:r>
      <w:r>
        <w:t>,</w:t>
      </w:r>
      <w:r w:rsidRPr="00C430C7">
        <w:rPr>
          <w:rStyle w:val="FootnoteReference"/>
        </w:rPr>
        <w:footnoteReference w:id="4"/>
      </w:r>
      <w:r w:rsidRPr="00FD5FC8">
        <w:t xml:space="preserve"> has continued over the decade. This has resulted in numerous systematic violations of </w:t>
      </w:r>
      <w:r>
        <w:t xml:space="preserve">the </w:t>
      </w:r>
      <w:r w:rsidRPr="00FD5FC8">
        <w:t xml:space="preserve">human rights of Palestinians. The report documents patterns of systematic discrimination in law, </w:t>
      </w:r>
      <w:proofErr w:type="gramStart"/>
      <w:r w:rsidRPr="00FD5FC8">
        <w:t>policy</w:t>
      </w:r>
      <w:proofErr w:type="gramEnd"/>
      <w:r w:rsidRPr="00FD5FC8">
        <w:t xml:space="preserve"> and practice, encompassing almost every sphere of life</w:t>
      </w:r>
      <w:r>
        <w:t>,</w:t>
      </w:r>
      <w:r w:rsidRPr="00FD5FC8">
        <w:t xml:space="preserve"> and examines, in particular, housing, land and property rights and the right to life, security of person and access to justice. </w:t>
      </w:r>
      <w:bookmarkStart w:id="1" w:name="_Hlk129705273"/>
      <w:r w:rsidRPr="00FD5FC8">
        <w:t>These violations have created a coercive environment which is forcing Palestinians to leave their homes and their lands in possible forcible transfer –</w:t>
      </w:r>
      <w:r w:rsidR="00150E66">
        <w:t xml:space="preserve"> </w:t>
      </w:r>
      <w:r>
        <w:t xml:space="preserve">a </w:t>
      </w:r>
      <w:r w:rsidRPr="00FD5FC8">
        <w:t>grave breach of the Fourth Geneva Convention, which may amount to a war crime</w:t>
      </w:r>
      <w:r w:rsidRPr="00C430C7">
        <w:rPr>
          <w:rStyle w:val="FootnoteReference"/>
        </w:rPr>
        <w:footnoteReference w:id="5"/>
      </w:r>
      <w:r w:rsidRPr="00FD5FC8">
        <w:t xml:space="preserve"> </w:t>
      </w:r>
      <w:r>
        <w:t xml:space="preserve">– </w:t>
      </w:r>
      <w:r w:rsidRPr="00FD5FC8">
        <w:t>and the ultimate result of the cumulative effect of the settlement enterprise</w:t>
      </w:r>
      <w:bookmarkEnd w:id="1"/>
      <w:r w:rsidRPr="00FD5FC8">
        <w:t>.</w:t>
      </w:r>
    </w:p>
    <w:p w14:paraId="75524A3F" w14:textId="106D66E8" w:rsidR="00F6262F" w:rsidRPr="00FD5FC8" w:rsidRDefault="00F6262F" w:rsidP="00F6262F">
      <w:pPr>
        <w:pStyle w:val="ParaNoG"/>
      </w:pPr>
      <w:r w:rsidRPr="00FD5FC8">
        <w:t>The findings in th</w:t>
      </w:r>
      <w:r>
        <w:t>e present</w:t>
      </w:r>
      <w:r w:rsidRPr="00FD5FC8">
        <w:t xml:space="preserve"> report are based on direct monitoring and other information</w:t>
      </w:r>
      <w:r>
        <w:t xml:space="preserve"> </w:t>
      </w:r>
      <w:r w:rsidRPr="00FD5FC8">
        <w:t>gathering conducted by the Office of the United Nations High Commissioner for Human Rights (OHCHR) in the Occupied Palestinian Territory</w:t>
      </w:r>
      <w:r>
        <w:t xml:space="preserve"> and on </w:t>
      </w:r>
      <w:r w:rsidRPr="00FD5FC8">
        <w:t xml:space="preserve">information provided by government sources, United Nations entities and non-governmental organizations (NGOs). The report should be read in conjunction with other related reports of the Secretary-General and </w:t>
      </w:r>
      <w:r>
        <w:t xml:space="preserve">of </w:t>
      </w:r>
      <w:r w:rsidRPr="00FD5FC8">
        <w:t>the High Commissioner for Human Rights submitted to the General Assembly and the Human Rights Council.</w:t>
      </w:r>
      <w:r w:rsidRPr="00C430C7">
        <w:rPr>
          <w:rStyle w:val="FootnoteReference"/>
        </w:rPr>
        <w:footnoteReference w:id="6"/>
      </w:r>
    </w:p>
    <w:p w14:paraId="70F737BD" w14:textId="670C526C" w:rsidR="00F6262F" w:rsidRPr="00FD5FC8" w:rsidRDefault="00F6262F" w:rsidP="00F6262F">
      <w:pPr>
        <w:pStyle w:val="HChG"/>
      </w:pPr>
      <w:r w:rsidRPr="00FD5FC8">
        <w:tab/>
        <w:t>II.</w:t>
      </w:r>
      <w:r w:rsidRPr="00FD5FC8">
        <w:tab/>
        <w:t>Legal framework</w:t>
      </w:r>
      <w:bookmarkEnd w:id="0"/>
    </w:p>
    <w:p w14:paraId="57223A61" w14:textId="0F6B2521" w:rsidR="00F6262F" w:rsidRPr="00FD5FC8" w:rsidRDefault="00F6262F" w:rsidP="00F6262F">
      <w:pPr>
        <w:pStyle w:val="ParaNoG"/>
      </w:pPr>
      <w:r>
        <w:t>I</w:t>
      </w:r>
      <w:r w:rsidRPr="00FD5FC8">
        <w:t xml:space="preserve">nternational human rights law and international humanitarian law </w:t>
      </w:r>
      <w:r>
        <w:t xml:space="preserve">apply </w:t>
      </w:r>
      <w:r w:rsidRPr="00FD5FC8">
        <w:t xml:space="preserve">concurrently in the Occupied Palestinian Territory, namely, Gaza and the West Bank, including East Jerusalem, and </w:t>
      </w:r>
      <w:r>
        <w:t>in</w:t>
      </w:r>
      <w:r w:rsidRPr="00FD5FC8">
        <w:t xml:space="preserve"> the occupied Syrian Golan. This includes the application of the </w:t>
      </w:r>
      <w:r w:rsidRPr="00F02EB7">
        <w:rPr>
          <w:rFonts w:asciiTheme="majorBidi" w:eastAsia="Cambria" w:hAnsiTheme="majorBidi" w:cstheme="majorBidi"/>
          <w:szCs w:val="18"/>
        </w:rPr>
        <w:t>Fourth Geneva Convention</w:t>
      </w:r>
      <w:r>
        <w:rPr>
          <w:rFonts w:asciiTheme="majorBidi" w:eastAsia="Cambria" w:hAnsiTheme="majorBidi" w:cstheme="majorBidi"/>
          <w:szCs w:val="18"/>
        </w:rPr>
        <w:t xml:space="preserve">, </w:t>
      </w:r>
      <w:r w:rsidRPr="00FD5FC8">
        <w:t>which is binding upon Israel as the occupying Power. A detailed analysis of the applicable legal framework can be found in previous reports of the Secretary-General.</w:t>
      </w:r>
      <w:r w:rsidRPr="00C430C7">
        <w:rPr>
          <w:rStyle w:val="FootnoteReference"/>
        </w:rPr>
        <w:footnoteReference w:id="7"/>
      </w:r>
      <w:bookmarkStart w:id="2" w:name="_Toc536172800"/>
    </w:p>
    <w:p w14:paraId="57268AA8" w14:textId="77777777" w:rsidR="00F6262F" w:rsidRPr="00875462" w:rsidRDefault="00F6262F" w:rsidP="00F6262F">
      <w:pPr>
        <w:pStyle w:val="HChG"/>
      </w:pPr>
      <w:r w:rsidRPr="00FD5FC8">
        <w:lastRenderedPageBreak/>
        <w:tab/>
        <w:t>III.</w:t>
      </w:r>
      <w:r w:rsidRPr="00FD5FC8">
        <w:tab/>
        <w:t>Update on settlement activities</w:t>
      </w:r>
      <w:bookmarkStart w:id="3" w:name="_Toc536172803"/>
      <w:bookmarkEnd w:id="2"/>
    </w:p>
    <w:p w14:paraId="7CA22CB0" w14:textId="77777777" w:rsidR="00F6262F" w:rsidRPr="00FD5FC8" w:rsidRDefault="00F6262F" w:rsidP="00F6262F">
      <w:pPr>
        <w:pStyle w:val="H1G"/>
      </w:pPr>
      <w:r w:rsidRPr="00FD5FC8">
        <w:tab/>
        <w:t>A.</w:t>
      </w:r>
      <w:r w:rsidRPr="00FD5FC8">
        <w:tab/>
        <w:t>Settlement expansion</w:t>
      </w:r>
    </w:p>
    <w:p w14:paraId="74995E16" w14:textId="1A2DBB66" w:rsidR="00F6262F" w:rsidRPr="00FD5FC8" w:rsidRDefault="00F6262F" w:rsidP="00F6262F">
      <w:pPr>
        <w:pStyle w:val="ParaNoG"/>
        <w:rPr>
          <w:shd w:val="clear" w:color="auto" w:fill="FFFFFF"/>
        </w:rPr>
      </w:pPr>
      <w:r w:rsidRPr="00FD5FC8">
        <w:rPr>
          <w:shd w:val="clear" w:color="auto" w:fill="FFFFFF"/>
        </w:rPr>
        <w:t xml:space="preserve">During the past </w:t>
      </w:r>
      <w:r>
        <w:rPr>
          <w:shd w:val="clear" w:color="auto" w:fill="FFFFFF"/>
        </w:rPr>
        <w:t>10</w:t>
      </w:r>
      <w:r w:rsidRPr="00FD5FC8">
        <w:rPr>
          <w:shd w:val="clear" w:color="auto" w:fill="FFFFFF"/>
        </w:rPr>
        <w:t xml:space="preserve"> years, the settlement population in the occupied West Bank, including East Jerusalem</w:t>
      </w:r>
      <w:r>
        <w:rPr>
          <w:shd w:val="clear" w:color="auto" w:fill="FFFFFF"/>
        </w:rPr>
        <w:t>,</w:t>
      </w:r>
      <w:r w:rsidRPr="00FD5FC8">
        <w:rPr>
          <w:shd w:val="clear" w:color="auto" w:fill="FFFFFF"/>
        </w:rPr>
        <w:t xml:space="preserve"> has grown from </w:t>
      </w:r>
      <w:r w:rsidRPr="00FD5FC8">
        <w:t>520,000</w:t>
      </w:r>
      <w:r w:rsidRPr="00C430C7">
        <w:rPr>
          <w:rStyle w:val="FootnoteReference"/>
        </w:rPr>
        <w:footnoteReference w:id="8"/>
      </w:r>
      <w:r w:rsidRPr="00FD5FC8">
        <w:rPr>
          <w:shd w:val="clear" w:color="auto" w:fill="FFFFFF"/>
        </w:rPr>
        <w:t xml:space="preserve"> in 2012 to </w:t>
      </w:r>
      <w:r>
        <w:rPr>
          <w:shd w:val="clear" w:color="auto" w:fill="FFFFFF"/>
        </w:rPr>
        <w:t>just under</w:t>
      </w:r>
      <w:r w:rsidRPr="00FD5FC8">
        <w:rPr>
          <w:shd w:val="clear" w:color="auto" w:fill="FFFFFF"/>
        </w:rPr>
        <w:t xml:space="preserve"> 700,000</w:t>
      </w:r>
      <w:r>
        <w:rPr>
          <w:shd w:val="clear" w:color="auto" w:fill="FFFFFF"/>
        </w:rPr>
        <w:t>.</w:t>
      </w:r>
      <w:r w:rsidRPr="00C430C7">
        <w:rPr>
          <w:rStyle w:val="FootnoteReference"/>
        </w:rPr>
        <w:footnoteReference w:id="9"/>
      </w:r>
      <w:r>
        <w:rPr>
          <w:shd w:val="clear" w:color="auto" w:fill="FFFFFF"/>
        </w:rPr>
        <w:t xml:space="preserve"> The population</w:t>
      </w:r>
      <w:r w:rsidRPr="00FD5FC8">
        <w:rPr>
          <w:shd w:val="clear" w:color="auto" w:fill="FFFFFF"/>
        </w:rPr>
        <w:t xml:space="preserve"> liv</w:t>
      </w:r>
      <w:r>
        <w:rPr>
          <w:shd w:val="clear" w:color="auto" w:fill="FFFFFF"/>
        </w:rPr>
        <w:t>es</w:t>
      </w:r>
      <w:r w:rsidRPr="00FD5FC8">
        <w:rPr>
          <w:shd w:val="clear" w:color="auto" w:fill="FFFFFF"/>
        </w:rPr>
        <w:t xml:space="preserve"> in 279 Israeli settlements spread across the West Bank</w:t>
      </w:r>
      <w:r>
        <w:rPr>
          <w:shd w:val="clear" w:color="auto" w:fill="FFFFFF"/>
        </w:rPr>
        <w:t>,</w:t>
      </w:r>
      <w:r w:rsidRPr="00FD5FC8">
        <w:rPr>
          <w:shd w:val="clear" w:color="auto" w:fill="FFFFFF"/>
        </w:rPr>
        <w:t xml:space="preserve"> including </w:t>
      </w:r>
      <w:r w:rsidRPr="00FD5FC8">
        <w:t>14 settlements in East Jerusalem</w:t>
      </w:r>
      <w:r>
        <w:t>,</w:t>
      </w:r>
      <w:r w:rsidRPr="00FD5FC8">
        <w:t xml:space="preserve"> with a total population of more than 229,000 persons.</w:t>
      </w:r>
      <w:r w:rsidRPr="00C430C7">
        <w:rPr>
          <w:rStyle w:val="FootnoteReference"/>
        </w:rPr>
        <w:footnoteReference w:id="10"/>
      </w:r>
      <w:r w:rsidRPr="00FD5FC8">
        <w:rPr>
          <w:shd w:val="clear" w:color="auto" w:fill="FFFFFF"/>
        </w:rPr>
        <w:t xml:space="preserve"> Of th</w:t>
      </w:r>
      <w:r>
        <w:rPr>
          <w:shd w:val="clear" w:color="auto" w:fill="FFFFFF"/>
        </w:rPr>
        <w:t>ose settlements</w:t>
      </w:r>
      <w:r w:rsidRPr="00FD5FC8">
        <w:rPr>
          <w:shd w:val="clear" w:color="auto" w:fill="FFFFFF"/>
        </w:rPr>
        <w:t xml:space="preserve">, at </w:t>
      </w:r>
      <w:r w:rsidRPr="00FD5FC8">
        <w:t xml:space="preserve">least 147 are </w:t>
      </w:r>
      <w:r w:rsidRPr="00FD5FC8">
        <w:rPr>
          <w:shd w:val="clear" w:color="auto" w:fill="FFFFFF"/>
        </w:rPr>
        <w:t xml:space="preserve">outposts, </w:t>
      </w:r>
      <w:r>
        <w:rPr>
          <w:shd w:val="clear" w:color="auto" w:fill="FFFFFF"/>
        </w:rPr>
        <w:t xml:space="preserve">which are </w:t>
      </w:r>
      <w:r w:rsidRPr="00FD5FC8">
        <w:rPr>
          <w:shd w:val="clear" w:color="auto" w:fill="FFFFFF"/>
        </w:rPr>
        <w:t>illegal even under Israeli domestic law</w:t>
      </w:r>
      <w:r>
        <w:rPr>
          <w:shd w:val="clear" w:color="auto" w:fill="FFFFFF"/>
        </w:rPr>
        <w:t>.</w:t>
      </w:r>
      <w:r w:rsidRPr="00C430C7">
        <w:rPr>
          <w:rStyle w:val="FootnoteReference"/>
        </w:rPr>
        <w:footnoteReference w:id="11"/>
      </w:r>
      <w:r w:rsidRPr="00FD5FC8">
        <w:rPr>
          <w:shd w:val="clear" w:color="auto" w:fill="FFFFFF"/>
        </w:rPr>
        <w:t xml:space="preserve"> </w:t>
      </w:r>
      <w:r w:rsidRPr="00FD5FC8">
        <w:t xml:space="preserve">The establishment and </w:t>
      </w:r>
      <w:r>
        <w:t xml:space="preserve">the </w:t>
      </w:r>
      <w:r w:rsidRPr="00FD5FC8">
        <w:t>expansion of settlements in the Occupied Palestinian Territory, including East Jerusalem, ha</w:t>
      </w:r>
      <w:r>
        <w:t>ve</w:t>
      </w:r>
      <w:r w:rsidRPr="00FD5FC8">
        <w:t xml:space="preserve"> no legal validity and constitute a flagrant violation of international law.</w:t>
      </w:r>
      <w:r w:rsidRPr="00FD5FC8">
        <w:rPr>
          <w:shd w:val="clear" w:color="auto" w:fill="FFFFFF"/>
        </w:rPr>
        <w:t xml:space="preserve"> </w:t>
      </w:r>
      <w:r>
        <w:t xml:space="preserve">The establishment and expansion of such settlements amount to the transfer by Israel of its population into the Occupied Palestinian Territory, which is prohibited under international humanitarian law. </w:t>
      </w:r>
      <w:r w:rsidRPr="00FD5FC8">
        <w:t>All measures aimed at altering the demographic composition, character and status of the Palestinian Territory occupied since 1967, including East Jerusalem</w:t>
      </w:r>
      <w:r>
        <w:t>,</w:t>
      </w:r>
      <w:r w:rsidRPr="00FD5FC8">
        <w:t xml:space="preserve"> violate international humanitarian law and </w:t>
      </w:r>
      <w:proofErr w:type="gramStart"/>
      <w:r>
        <w:t>a number of</w:t>
      </w:r>
      <w:proofErr w:type="gramEnd"/>
      <w:r>
        <w:t xml:space="preserve"> </w:t>
      </w:r>
      <w:r w:rsidRPr="00FD5FC8">
        <w:t>Security Council resolutions.</w:t>
      </w:r>
      <w:r w:rsidRPr="00C430C7">
        <w:rPr>
          <w:rStyle w:val="FootnoteReference"/>
        </w:rPr>
        <w:footnoteReference w:id="12"/>
      </w:r>
    </w:p>
    <w:p w14:paraId="3ABB5F77" w14:textId="243AD696" w:rsidR="00F6262F" w:rsidRPr="00FD5FC8" w:rsidRDefault="00F6262F" w:rsidP="00F6262F">
      <w:pPr>
        <w:pStyle w:val="ParaNoG"/>
        <w:rPr>
          <w:shd w:val="clear" w:color="auto" w:fill="FFFFFF"/>
        </w:rPr>
      </w:pPr>
      <w:r w:rsidRPr="00FD5FC8">
        <w:rPr>
          <w:shd w:val="clear" w:color="auto" w:fill="FFFFFF"/>
        </w:rPr>
        <w:t xml:space="preserve">Settlement </w:t>
      </w:r>
      <w:r>
        <w:rPr>
          <w:shd w:val="clear" w:color="auto" w:fill="FFFFFF"/>
        </w:rPr>
        <w:t>expansion has</w:t>
      </w:r>
      <w:r w:rsidRPr="00FD5FC8">
        <w:rPr>
          <w:shd w:val="clear" w:color="auto" w:fill="FFFFFF"/>
        </w:rPr>
        <w:t xml:space="preserve"> continued year </w:t>
      </w:r>
      <w:r>
        <w:rPr>
          <w:shd w:val="clear" w:color="auto" w:fill="FFFFFF"/>
        </w:rPr>
        <w:t>upon year over the course of</w:t>
      </w:r>
      <w:r w:rsidRPr="00FD5FC8">
        <w:rPr>
          <w:shd w:val="clear" w:color="auto" w:fill="FFFFFF"/>
        </w:rPr>
        <w:t xml:space="preserve"> the decade. During th</w:t>
      </w:r>
      <w:r>
        <w:rPr>
          <w:shd w:val="clear" w:color="auto" w:fill="FFFFFF"/>
        </w:rPr>
        <w:t>e present</w:t>
      </w:r>
      <w:r w:rsidRPr="00FD5FC8">
        <w:rPr>
          <w:shd w:val="clear" w:color="auto" w:fill="FFFFFF"/>
        </w:rPr>
        <w:t xml:space="preserve"> reporting cycle (1 November 2021</w:t>
      </w:r>
      <w:r>
        <w:rPr>
          <w:shd w:val="clear" w:color="auto" w:fill="FFFFFF"/>
        </w:rPr>
        <w:t>–</w:t>
      </w:r>
      <w:r w:rsidRPr="00FD5FC8">
        <w:rPr>
          <w:shd w:val="clear" w:color="auto" w:fill="FFFFFF"/>
        </w:rPr>
        <w:t xml:space="preserve">31 October 2022), </w:t>
      </w:r>
      <w:r w:rsidRPr="00FD5FC8">
        <w:rPr>
          <w:bdr w:val="none" w:sz="0" w:space="0" w:color="auto" w:frame="1"/>
        </w:rPr>
        <w:t>advancement or approval of new settlement plans increased</w:t>
      </w:r>
      <w:r>
        <w:rPr>
          <w:bdr w:val="none" w:sz="0" w:space="0" w:color="auto" w:frame="1"/>
        </w:rPr>
        <w:t>,</w:t>
      </w:r>
      <w:r w:rsidRPr="00C430C7">
        <w:rPr>
          <w:rStyle w:val="FootnoteReference"/>
        </w:rPr>
        <w:footnoteReference w:id="13"/>
      </w:r>
      <w:r w:rsidRPr="00FD5FC8">
        <w:rPr>
          <w:bdr w:val="none" w:sz="0" w:space="0" w:color="auto" w:frame="1"/>
        </w:rPr>
        <w:t xml:space="preserve"> while the number of tenders decreased</w:t>
      </w:r>
      <w:r>
        <w:rPr>
          <w:bdr w:val="none" w:sz="0" w:space="0" w:color="auto" w:frame="1"/>
        </w:rPr>
        <w:t>.</w:t>
      </w:r>
      <w:r w:rsidRPr="00C430C7">
        <w:rPr>
          <w:rStyle w:val="FootnoteReference"/>
        </w:rPr>
        <w:footnoteReference w:id="14"/>
      </w:r>
      <w:r w:rsidRPr="00FD5FC8">
        <w:rPr>
          <w:bdr w:val="none" w:sz="0" w:space="0" w:color="auto" w:frame="1"/>
        </w:rPr>
        <w:t xml:space="preserve"> </w:t>
      </w:r>
      <w:r w:rsidRPr="00FD5FC8">
        <w:rPr>
          <w:shd w:val="clear" w:color="auto" w:fill="FFFFFF"/>
        </w:rPr>
        <w:t xml:space="preserve">Official data on settlement construction </w:t>
      </w:r>
      <w:r>
        <w:rPr>
          <w:shd w:val="clear" w:color="auto" w:fill="FFFFFF"/>
        </w:rPr>
        <w:t>approvals</w:t>
      </w:r>
      <w:r w:rsidRPr="00FD5FC8">
        <w:rPr>
          <w:shd w:val="clear" w:color="auto" w:fill="FFFFFF"/>
        </w:rPr>
        <w:t xml:space="preserve"> indicated an average quarterly rate of 763</w:t>
      </w:r>
      <w:r>
        <w:rPr>
          <w:shd w:val="clear" w:color="auto" w:fill="FFFFFF"/>
        </w:rPr>
        <w:t xml:space="preserve"> </w:t>
      </w:r>
      <w:r w:rsidRPr="00FD5FC8">
        <w:rPr>
          <w:shd w:val="clear" w:color="auto" w:fill="FFFFFF"/>
        </w:rPr>
        <w:t>units.</w:t>
      </w:r>
      <w:r w:rsidRPr="00C430C7">
        <w:rPr>
          <w:rStyle w:val="FootnoteReference"/>
        </w:rPr>
        <w:footnoteReference w:id="15"/>
      </w:r>
      <w:r>
        <w:rPr>
          <w:shd w:val="clear" w:color="auto" w:fill="FFFFFF"/>
        </w:rPr>
        <w:t xml:space="preserve"> </w:t>
      </w:r>
      <w:r w:rsidRPr="00FD5FC8">
        <w:rPr>
          <w:bdr w:val="none" w:sz="0" w:space="0" w:color="auto" w:frame="1"/>
        </w:rPr>
        <w:t>O</w:t>
      </w:r>
      <w:r w:rsidRPr="00FD5FC8">
        <w:rPr>
          <w:shd w:val="clear" w:color="auto" w:fill="FFFFFF"/>
        </w:rPr>
        <w:t xml:space="preserve">n </w:t>
      </w:r>
      <w:r w:rsidRPr="00FD5FC8">
        <w:t xml:space="preserve">12 May alone, Israel </w:t>
      </w:r>
      <w:r w:rsidRPr="00645CCB">
        <w:t>advanced</w:t>
      </w:r>
      <w:r w:rsidRPr="00FD5FC8">
        <w:t xml:space="preserve"> some 20 plans for the construction of more than 4,000 housing units in Area C settlements, including </w:t>
      </w:r>
      <w:r>
        <w:t xml:space="preserve">in </w:t>
      </w:r>
      <w:r w:rsidRPr="00FD5FC8">
        <w:t>particularly sensitive areas across the Green Line.</w:t>
      </w:r>
      <w:r w:rsidRPr="00C430C7">
        <w:rPr>
          <w:rStyle w:val="FootnoteReference"/>
        </w:rPr>
        <w:footnoteReference w:id="16"/>
      </w:r>
      <w:r w:rsidRPr="00FD5FC8">
        <w:t xml:space="preserve"> Settlement advancements in and around East Jerusalem also continued, threatening to sever the connection between the southern </w:t>
      </w:r>
      <w:r>
        <w:t xml:space="preserve">West Bank </w:t>
      </w:r>
      <w:r w:rsidRPr="00FD5FC8">
        <w:t xml:space="preserve">and </w:t>
      </w:r>
      <w:r>
        <w:t xml:space="preserve">the </w:t>
      </w:r>
      <w:r w:rsidRPr="00FD5FC8">
        <w:t>northern West Bank and further detaching East Jerusalem from the rest of the West Bank. On 5 September 2022</w:t>
      </w:r>
      <w:r>
        <w:t>,</w:t>
      </w:r>
      <w:r w:rsidRPr="00FD5FC8">
        <w:t xml:space="preserve"> Israel advanced plans for some 700 units in the planned settlement of </w:t>
      </w:r>
      <w:proofErr w:type="spellStart"/>
      <w:r w:rsidRPr="00FD5FC8">
        <w:t>Givat</w:t>
      </w:r>
      <w:proofErr w:type="spellEnd"/>
      <w:r w:rsidRPr="00FD5FC8">
        <w:t xml:space="preserve"> </w:t>
      </w:r>
      <w:proofErr w:type="spellStart"/>
      <w:r w:rsidRPr="00FD5FC8">
        <w:t>Hashaked</w:t>
      </w:r>
      <w:proofErr w:type="spellEnd"/>
      <w:r w:rsidRPr="00FD5FC8">
        <w:t xml:space="preserve"> in East Jerusalem and planning processes </w:t>
      </w:r>
      <w:r>
        <w:t xml:space="preserve">moved forward </w:t>
      </w:r>
      <w:r w:rsidRPr="00FD5FC8">
        <w:t xml:space="preserve">for the expansion of </w:t>
      </w:r>
      <w:r>
        <w:t xml:space="preserve">the </w:t>
      </w:r>
      <w:r w:rsidRPr="00FD5FC8">
        <w:t xml:space="preserve">Har </w:t>
      </w:r>
      <w:proofErr w:type="spellStart"/>
      <w:r w:rsidRPr="00FD5FC8">
        <w:t>Gilo</w:t>
      </w:r>
      <w:proofErr w:type="spellEnd"/>
      <w:r w:rsidRPr="00FD5FC8">
        <w:t xml:space="preserve"> settlement on the lands of the Palestinian village of Al-</w:t>
      </w:r>
      <w:proofErr w:type="spellStart"/>
      <w:r w:rsidRPr="00FD5FC8">
        <w:t>Walaja</w:t>
      </w:r>
      <w:proofErr w:type="spellEnd"/>
      <w:r w:rsidRPr="00FD5FC8">
        <w:t xml:space="preserve">, placing over 304 Palestinian </w:t>
      </w:r>
      <w:r>
        <w:t>people</w:t>
      </w:r>
      <w:r w:rsidRPr="00FD5FC8">
        <w:t xml:space="preserve"> (151 children, 80 men and 73 women) under imminent risk of forced displacement.</w:t>
      </w:r>
      <w:r w:rsidRPr="00C430C7">
        <w:rPr>
          <w:rStyle w:val="FootnoteReference"/>
        </w:rPr>
        <w:footnoteReference w:id="17"/>
      </w:r>
    </w:p>
    <w:p w14:paraId="414A1A3E" w14:textId="77777777" w:rsidR="00F6262F" w:rsidRPr="00FD5FC8" w:rsidRDefault="00F6262F" w:rsidP="00F6262F">
      <w:pPr>
        <w:pStyle w:val="H23G"/>
        <w:rPr>
          <w:shd w:val="clear" w:color="auto" w:fill="FFFFFF"/>
        </w:rPr>
      </w:pPr>
      <w:r w:rsidRPr="00FD5FC8">
        <w:rPr>
          <w:shd w:val="clear" w:color="auto" w:fill="FFFFFF"/>
        </w:rPr>
        <w:tab/>
      </w:r>
      <w:r w:rsidRPr="00FD5FC8">
        <w:rPr>
          <w:shd w:val="clear" w:color="auto" w:fill="FFFFFF"/>
        </w:rPr>
        <w:tab/>
        <w:t>Consolidation of settlements and takeover of land and resources</w:t>
      </w:r>
    </w:p>
    <w:p w14:paraId="52DD9756" w14:textId="1774A1AF" w:rsidR="00F6262F" w:rsidRPr="00FD5FC8" w:rsidRDefault="00F6262F" w:rsidP="00F6262F">
      <w:pPr>
        <w:pStyle w:val="ParaNoG"/>
      </w:pPr>
      <w:r w:rsidRPr="00FD5FC8">
        <w:t>Whereas areas under settlement jurisdiction in Area C exceed half a million dunams, accounting for 15.1 per cent of Area C, Israel has expanded de facto control over much larger swathes of the West Bank, including East Jerusalem,</w:t>
      </w:r>
      <w:r w:rsidRPr="00C430C7">
        <w:rPr>
          <w:rStyle w:val="FootnoteReference"/>
        </w:rPr>
        <w:footnoteReference w:id="18"/>
      </w:r>
      <w:r w:rsidRPr="00FD5FC8">
        <w:t xml:space="preserve"> through a variety of means. The takeover of land and resources consolidates Israeli presence while severely infringing upon Palestinians’ freedom of movement, access to services and livelihoods</w:t>
      </w:r>
      <w:r>
        <w:t>,</w:t>
      </w:r>
      <w:r w:rsidRPr="00FD5FC8">
        <w:t xml:space="preserve"> </w:t>
      </w:r>
      <w:r>
        <w:t xml:space="preserve">in addition to </w:t>
      </w:r>
      <w:r w:rsidRPr="00FD5FC8">
        <w:t xml:space="preserve">their </w:t>
      </w:r>
      <w:r w:rsidRPr="00FD5FC8">
        <w:lastRenderedPageBreak/>
        <w:t>collective right to economic prosperity and the enjoyment of resources</w:t>
      </w:r>
      <w:r>
        <w:t>,</w:t>
      </w:r>
      <w:r w:rsidRPr="00C430C7">
        <w:rPr>
          <w:rStyle w:val="FootnoteReference"/>
        </w:rPr>
        <w:footnoteReference w:id="19"/>
      </w:r>
      <w:r w:rsidRPr="00FD5FC8">
        <w:t xml:space="preserve"> including arable land and water springs.</w:t>
      </w:r>
      <w:r w:rsidRPr="00C430C7">
        <w:rPr>
          <w:rStyle w:val="FootnoteReference"/>
        </w:rPr>
        <w:footnoteReference w:id="20"/>
      </w:r>
    </w:p>
    <w:p w14:paraId="1A039DC7" w14:textId="77777777" w:rsidR="00F6262F" w:rsidRPr="009E1B0C" w:rsidRDefault="00F6262F" w:rsidP="00A466E7">
      <w:pPr>
        <w:pStyle w:val="H4G"/>
      </w:pPr>
      <w:r w:rsidRPr="009E1B0C">
        <w:tab/>
      </w:r>
      <w:r w:rsidRPr="009E1B0C">
        <w:tab/>
        <w:t>Declarations of “State land”</w:t>
      </w:r>
    </w:p>
    <w:p w14:paraId="17C8A57A" w14:textId="6B497B3C" w:rsidR="00F6262F" w:rsidRPr="00FD5FC8" w:rsidRDefault="00F6262F" w:rsidP="00F6262F">
      <w:pPr>
        <w:pStyle w:val="ParaNoG"/>
        <w:rPr>
          <w:rFonts w:eastAsia="Calibri"/>
        </w:rPr>
      </w:pPr>
      <w:r w:rsidRPr="00FD5FC8">
        <w:t xml:space="preserve">Through the manipulative use of </w:t>
      </w:r>
      <w:r>
        <w:t>l</w:t>
      </w:r>
      <w:r w:rsidRPr="00FD5FC8">
        <w:t xml:space="preserve">and </w:t>
      </w:r>
      <w:r>
        <w:t>l</w:t>
      </w:r>
      <w:r w:rsidRPr="00FD5FC8">
        <w:t>aws applicable in the West Bank, Israel has declared more than 750,000 dunams of land in the West Bank as “</w:t>
      </w:r>
      <w:r>
        <w:t>S</w:t>
      </w:r>
      <w:r w:rsidRPr="00FD5FC8">
        <w:t>tate land”</w:t>
      </w:r>
      <w:r>
        <w:t>,</w:t>
      </w:r>
      <w:r w:rsidRPr="00FD5FC8">
        <w:t xml:space="preserve"> including lands that would have been classified as private property.</w:t>
      </w:r>
      <w:r w:rsidRPr="00C430C7">
        <w:rPr>
          <w:rStyle w:val="FootnoteReference"/>
        </w:rPr>
        <w:footnoteReference w:id="21"/>
      </w:r>
      <w:r w:rsidRPr="00FD5FC8">
        <w:t xml:space="preserve"> Under local laws, land registered as “</w:t>
      </w:r>
      <w:r>
        <w:t>S</w:t>
      </w:r>
      <w:r w:rsidRPr="00FD5FC8">
        <w:t xml:space="preserve">tate land” is intended for public use. Nevertheless, according to </w:t>
      </w:r>
      <w:r>
        <w:t xml:space="preserve">Yesh Din, an </w:t>
      </w:r>
      <w:r w:rsidRPr="00FD5FC8">
        <w:t>Israeli human rights organi</w:t>
      </w:r>
      <w:r>
        <w:t>z</w:t>
      </w:r>
      <w:r w:rsidRPr="00FD5FC8">
        <w:t xml:space="preserve">ation, 99.76 per cent of the </w:t>
      </w:r>
      <w:r>
        <w:t>S</w:t>
      </w:r>
      <w:r w:rsidRPr="00FD5FC8">
        <w:t>tate land allocated for use has been allocated for the benefit of Israeli settlements.</w:t>
      </w:r>
      <w:r w:rsidRPr="00C430C7">
        <w:rPr>
          <w:rStyle w:val="FootnoteReference"/>
        </w:rPr>
        <w:footnoteReference w:id="22"/>
      </w:r>
      <w:r w:rsidRPr="00FD5FC8">
        <w:t xml:space="preserve"> </w:t>
      </w:r>
      <w:r>
        <w:t xml:space="preserve">Under the </w:t>
      </w:r>
      <w:r>
        <w:rPr>
          <w:rFonts w:asciiTheme="majorBidi" w:hAnsiTheme="majorBidi" w:cstheme="majorBidi"/>
          <w:szCs w:val="18"/>
          <w:lang w:val="en-US"/>
        </w:rPr>
        <w:t>Regulations respecting the Laws and Customs of War on Land (the Hague Regulations),</w:t>
      </w:r>
      <w:r>
        <w:t xml:space="preserve"> t</w:t>
      </w:r>
      <w:r w:rsidRPr="00FD5FC8">
        <w:t>he occupying power is obliged to safeguard the capital of government and public properties and administer them in accordance with the rules of usufruct.</w:t>
      </w:r>
      <w:r w:rsidRPr="00C430C7">
        <w:rPr>
          <w:rStyle w:val="FootnoteReference"/>
        </w:rPr>
        <w:footnoteReference w:id="23"/>
      </w:r>
    </w:p>
    <w:p w14:paraId="0780E60E" w14:textId="77777777" w:rsidR="00F6262F" w:rsidRPr="00032747" w:rsidRDefault="00F6262F" w:rsidP="00A466E7">
      <w:pPr>
        <w:pStyle w:val="H4G"/>
        <w:rPr>
          <w:rFonts w:eastAsia="Calibri"/>
        </w:rPr>
      </w:pPr>
      <w:r w:rsidRPr="00032747">
        <w:tab/>
      </w:r>
      <w:r w:rsidRPr="00032747">
        <w:tab/>
        <w:t>Infrastructure</w:t>
      </w:r>
    </w:p>
    <w:p w14:paraId="77066B6B" w14:textId="1768D3AF" w:rsidR="00F6262F" w:rsidRPr="00FD5FC8" w:rsidRDefault="00F6262F" w:rsidP="00F6262F">
      <w:pPr>
        <w:pStyle w:val="ParaNoG"/>
        <w:rPr>
          <w:i/>
        </w:rPr>
      </w:pPr>
      <w:r w:rsidRPr="00FD5FC8">
        <w:t>Israel has spent billions of dollars on consolidat</w:t>
      </w:r>
      <w:r>
        <w:t xml:space="preserve">ing </w:t>
      </w:r>
      <w:r w:rsidRPr="00FD5FC8">
        <w:t xml:space="preserve">settlement blocs with networks of </w:t>
      </w:r>
      <w:r>
        <w:t xml:space="preserve">so-called </w:t>
      </w:r>
      <w:r w:rsidRPr="00FD5FC8">
        <w:t>bypass roads</w:t>
      </w:r>
      <w:r>
        <w:t>,</w:t>
      </w:r>
      <w:r w:rsidRPr="00FD5FC8">
        <w:t xml:space="preserve"> </w:t>
      </w:r>
      <w:r>
        <w:t xml:space="preserve">which are </w:t>
      </w:r>
      <w:r w:rsidRPr="00FD5FC8">
        <w:t xml:space="preserve">designed to circumvent </w:t>
      </w:r>
      <w:r>
        <w:t xml:space="preserve">the </w:t>
      </w:r>
      <w:r w:rsidRPr="00FD5FC8">
        <w:t>Palestinian presence in the West Bank.</w:t>
      </w:r>
      <w:r w:rsidRPr="00C430C7">
        <w:rPr>
          <w:rStyle w:val="FootnoteReference"/>
        </w:rPr>
        <w:footnoteReference w:id="24"/>
      </w:r>
      <w:r w:rsidRPr="00FD5FC8">
        <w:t xml:space="preserve"> A 1997 Israeli planning document explained that separate roads w</w:t>
      </w:r>
      <w:r>
        <w:t>ere</w:t>
      </w:r>
      <w:r w:rsidRPr="00FD5FC8">
        <w:t xml:space="preserve"> a preferred planning model because they “provide a better solution for the issue of segregation”.</w:t>
      </w:r>
      <w:r w:rsidRPr="00C430C7">
        <w:rPr>
          <w:rStyle w:val="FootnoteReference"/>
        </w:rPr>
        <w:footnoteReference w:id="25"/>
      </w:r>
      <w:r w:rsidRPr="00FD5FC8">
        <w:t xml:space="preserve"> Indeed, some roads are only for Israeli use, segregating Jewish and Palestinian travel</w:t>
      </w:r>
      <w:r>
        <w:t>l</w:t>
      </w:r>
      <w:r w:rsidRPr="00FD5FC8">
        <w:t>ers.</w:t>
      </w:r>
      <w:r w:rsidRPr="00C430C7">
        <w:rPr>
          <w:rStyle w:val="FootnoteReference"/>
        </w:rPr>
        <w:footnoteReference w:id="26"/>
      </w:r>
      <w:r w:rsidRPr="00FD5FC8">
        <w:t xml:space="preserve"> Even </w:t>
      </w:r>
      <w:r>
        <w:t>when</w:t>
      </w:r>
      <w:r w:rsidRPr="00FD5FC8">
        <w:t xml:space="preserve"> Palestinians are allowed to travel on some roads, they are primarily designed to connect settlements and outposts to each other, to Israel and to Jerusalem. In addition, an extensive system of checkpoints and roadblocks allows Israel to control access to the bypass roads and the main </w:t>
      </w:r>
      <w:r>
        <w:t xml:space="preserve">highways in the </w:t>
      </w:r>
      <w:r w:rsidRPr="00FD5FC8">
        <w:t>West Bank.</w:t>
      </w:r>
      <w:r w:rsidRPr="00C430C7">
        <w:rPr>
          <w:rStyle w:val="FootnoteReference"/>
        </w:rPr>
        <w:footnoteReference w:id="27"/>
      </w:r>
      <w:r w:rsidRPr="00FD5FC8">
        <w:t xml:space="preserve"> </w:t>
      </w:r>
      <w:r>
        <w:t>Furthermore, s</w:t>
      </w:r>
      <w:r w:rsidRPr="00FD5FC8">
        <w:t>ome roads segment Palestinian governorates into isolated enclaves of village clusters,</w:t>
      </w:r>
      <w:r w:rsidRPr="00C430C7">
        <w:rPr>
          <w:rStyle w:val="FootnoteReference"/>
        </w:rPr>
        <w:footnoteReference w:id="28"/>
      </w:r>
      <w:r w:rsidRPr="00FD5FC8">
        <w:t xml:space="preserve"> hindering connectivity and restricting Palestinians’ movement in the West Bank in a manner that severely infringes upon their freedom of movement and access to livelihoods and services, with</w:t>
      </w:r>
      <w:r>
        <w:t xml:space="preserve"> negative </w:t>
      </w:r>
      <w:r w:rsidRPr="00FD5FC8">
        <w:t>result</w:t>
      </w:r>
      <w:r>
        <w:t xml:space="preserve">s. For example, people </w:t>
      </w:r>
      <w:r w:rsidRPr="00FD5FC8">
        <w:t>who experience gender-based violence are not able to access life-saving services and quality care.</w:t>
      </w:r>
      <w:r w:rsidRPr="00C430C7">
        <w:rPr>
          <w:rStyle w:val="FootnoteReference"/>
        </w:rPr>
        <w:footnoteReference w:id="29"/>
      </w:r>
    </w:p>
    <w:p w14:paraId="4C53DAE3" w14:textId="616A400A" w:rsidR="00F6262F" w:rsidRPr="00FD5FC8" w:rsidRDefault="00F6262F" w:rsidP="00F6262F">
      <w:pPr>
        <w:pStyle w:val="ParaNoG"/>
        <w:rPr>
          <w:rFonts w:eastAsia="Calibri"/>
        </w:rPr>
      </w:pPr>
      <w:r w:rsidRPr="00FD5FC8">
        <w:t>Israel further consolidates settlements and outposts by providing them with water and sewerage, communications, powe</w:t>
      </w:r>
      <w:r>
        <w:t xml:space="preserve">r, </w:t>
      </w:r>
      <w:r w:rsidRPr="00FD5FC8">
        <w:t>security systems and educational and health care facilities, promoting connectivity and economic development of the settlement enterprise and normali</w:t>
      </w:r>
      <w:r>
        <w:t>z</w:t>
      </w:r>
      <w:r w:rsidRPr="00FD5FC8">
        <w:t xml:space="preserve">ing </w:t>
      </w:r>
      <w:r>
        <w:t xml:space="preserve">the </w:t>
      </w:r>
      <w:r w:rsidRPr="00FD5FC8">
        <w:t>settler presence in the Occupied Palestinian Territory.</w:t>
      </w:r>
      <w:r w:rsidRPr="00C430C7">
        <w:rPr>
          <w:rStyle w:val="FootnoteReference"/>
        </w:rPr>
        <w:footnoteReference w:id="30"/>
      </w:r>
      <w:r w:rsidRPr="00FD5FC8">
        <w:t xml:space="preserve"> As </w:t>
      </w:r>
      <w:r>
        <w:t>a result of the establishment of Israeli infrastructure</w:t>
      </w:r>
      <w:r w:rsidRPr="00FD5FC8">
        <w:t xml:space="preserve">, the population of </w:t>
      </w:r>
      <w:r>
        <w:t xml:space="preserve">the </w:t>
      </w:r>
      <w:r w:rsidRPr="00FD5FC8">
        <w:t>settlements has grow</w:t>
      </w:r>
      <w:r>
        <w:t>n</w:t>
      </w:r>
      <w:r w:rsidRPr="00FD5FC8">
        <w:t xml:space="preserve"> rapidly.</w:t>
      </w:r>
      <w:r w:rsidRPr="00C430C7">
        <w:rPr>
          <w:rStyle w:val="FootnoteReference"/>
        </w:rPr>
        <w:footnoteReference w:id="31"/>
      </w:r>
      <w:r w:rsidRPr="00FD5FC8">
        <w:t xml:space="preserve"> </w:t>
      </w:r>
      <w:r w:rsidRPr="00FD5FC8">
        <w:lastRenderedPageBreak/>
        <w:t>While occupation is inherently temporary in nature,</w:t>
      </w:r>
      <w:r w:rsidRPr="00C430C7">
        <w:rPr>
          <w:rStyle w:val="FootnoteReference"/>
        </w:rPr>
        <w:footnoteReference w:id="32"/>
      </w:r>
      <w:r w:rsidRPr="00FD5FC8">
        <w:t xml:space="preserve"> Israel continues to invest in and implement permanent infrastructure projects for the settlers. In 2017, the Prime Minister of Israel announced an </w:t>
      </w:r>
      <w:proofErr w:type="gramStart"/>
      <w:r w:rsidRPr="00FD5FC8">
        <w:t>800 million shekel</w:t>
      </w:r>
      <w:proofErr w:type="gramEnd"/>
      <w:r w:rsidRPr="00FD5FC8">
        <w:t xml:space="preserve"> plan for bypass roads, </w:t>
      </w:r>
      <w:r>
        <w:t xml:space="preserve">including </w:t>
      </w:r>
      <w:r w:rsidRPr="00FD5FC8">
        <w:t>lighting, cellular reception and protection of buses</w:t>
      </w:r>
      <w:r>
        <w:t>,</w:t>
      </w:r>
      <w:r w:rsidRPr="00FD5FC8">
        <w:t xml:space="preserve"> for the West Bank settlements.</w:t>
      </w:r>
      <w:r w:rsidRPr="00C430C7">
        <w:rPr>
          <w:rStyle w:val="FootnoteReference"/>
        </w:rPr>
        <w:footnoteReference w:id="33"/>
      </w:r>
    </w:p>
    <w:p w14:paraId="48010969" w14:textId="4427BB7D" w:rsidR="00F6262F" w:rsidRPr="00FD5FC8" w:rsidRDefault="00F6262F" w:rsidP="00F6262F">
      <w:pPr>
        <w:pStyle w:val="ParaNoG"/>
      </w:pPr>
      <w:r w:rsidRPr="00FD5FC8">
        <w:t xml:space="preserve">Advancement continued during the current reporting cycle, including the Eastern Ring Road, which is planned to bypass East Jerusalem and </w:t>
      </w:r>
      <w:r>
        <w:t xml:space="preserve">to </w:t>
      </w:r>
      <w:r w:rsidRPr="00FD5FC8">
        <w:t xml:space="preserve">connect the settlements south of Jerusalem with the settlements east of Jerusalem in the </w:t>
      </w:r>
      <w:proofErr w:type="spellStart"/>
      <w:r w:rsidRPr="00FD5FC8">
        <w:t>Ma’ale</w:t>
      </w:r>
      <w:proofErr w:type="spellEnd"/>
      <w:r w:rsidRPr="00FD5FC8">
        <w:t xml:space="preserve"> </w:t>
      </w:r>
      <w:proofErr w:type="spellStart"/>
      <w:r w:rsidRPr="00FD5FC8">
        <w:t>Adumim</w:t>
      </w:r>
      <w:proofErr w:type="spellEnd"/>
      <w:r w:rsidRPr="00FD5FC8">
        <w:t xml:space="preserve"> area.</w:t>
      </w:r>
      <w:r w:rsidRPr="00C430C7">
        <w:rPr>
          <w:rStyle w:val="FootnoteReference"/>
        </w:rPr>
        <w:footnoteReference w:id="34"/>
      </w:r>
      <w:r w:rsidRPr="00FD5FC8">
        <w:t xml:space="preserve"> For that purpose, Israel issued an expropriation order for about 55 dunams of land in the Palestinian village of A</w:t>
      </w:r>
      <w:r>
        <w:t>t</w:t>
      </w:r>
      <w:r w:rsidRPr="00FD5FC8">
        <w:t>-Tur, east of Jerusalem.</w:t>
      </w:r>
      <w:r w:rsidRPr="00C430C7">
        <w:rPr>
          <w:rStyle w:val="FootnoteReference"/>
        </w:rPr>
        <w:footnoteReference w:id="35"/>
      </w:r>
      <w:r w:rsidRPr="00FD5FC8">
        <w:t xml:space="preserve"> According to the Israeli organi</w:t>
      </w:r>
      <w:r>
        <w:t>z</w:t>
      </w:r>
      <w:r w:rsidRPr="00FD5FC8">
        <w:t xml:space="preserve">ation Peace Now, </w:t>
      </w:r>
      <w:r>
        <w:t xml:space="preserve">holders of </w:t>
      </w:r>
      <w:r w:rsidRPr="00FD5FC8">
        <w:t xml:space="preserve">Palestinian </w:t>
      </w:r>
      <w:r>
        <w:t xml:space="preserve">identification </w:t>
      </w:r>
      <w:r w:rsidRPr="00FD5FC8">
        <w:t>will not have access to the road.</w:t>
      </w:r>
      <w:r w:rsidRPr="00C430C7">
        <w:rPr>
          <w:rStyle w:val="FootnoteReference"/>
        </w:rPr>
        <w:footnoteReference w:id="36"/>
      </w:r>
    </w:p>
    <w:p w14:paraId="6AD2DDE7" w14:textId="77777777" w:rsidR="00F6262F" w:rsidRPr="009E1B0C" w:rsidRDefault="00F6262F" w:rsidP="00EC3989">
      <w:pPr>
        <w:pStyle w:val="H4G"/>
      </w:pPr>
      <w:r w:rsidRPr="009E1B0C">
        <w:tab/>
      </w:r>
      <w:r w:rsidRPr="009E1B0C">
        <w:tab/>
        <w:t>Outposts</w:t>
      </w:r>
    </w:p>
    <w:p w14:paraId="3697E22D" w14:textId="77777777" w:rsidR="00F6262F" w:rsidRPr="00FD5FC8" w:rsidRDefault="00F6262F" w:rsidP="00F6262F">
      <w:pPr>
        <w:pStyle w:val="ParaNoG"/>
      </w:pPr>
      <w:r w:rsidRPr="00FD5FC8">
        <w:t>There are currently 147 outposts</w:t>
      </w:r>
      <w:r>
        <w:t xml:space="preserve"> in </w:t>
      </w:r>
      <w:r w:rsidRPr="00FD5FC8">
        <w:t>the West Bank, 78 of which</w:t>
      </w:r>
      <w:r>
        <w:t xml:space="preserve"> have been </w:t>
      </w:r>
      <w:r w:rsidRPr="00FD5FC8">
        <w:t>erected since 2012</w:t>
      </w:r>
      <w:r>
        <w:t>.</w:t>
      </w:r>
      <w:r w:rsidRPr="00C430C7">
        <w:rPr>
          <w:rStyle w:val="FootnoteReference"/>
        </w:rPr>
        <w:footnoteReference w:id="37"/>
      </w:r>
      <w:r w:rsidRPr="00FD5FC8">
        <w:t xml:space="preserve"> </w:t>
      </w:r>
      <w:r>
        <w:t xml:space="preserve">Of that number, </w:t>
      </w:r>
      <w:r w:rsidRPr="00FD5FC8">
        <w:t xml:space="preserve">77 are “farms”, 66 </w:t>
      </w:r>
      <w:r>
        <w:t>of which have been</w:t>
      </w:r>
      <w:r w:rsidRPr="00FD5FC8">
        <w:t xml:space="preserve"> established in the past decade</w:t>
      </w:r>
      <w:r>
        <w:t>.</w:t>
      </w:r>
      <w:r w:rsidRPr="00C430C7">
        <w:rPr>
          <w:rStyle w:val="FootnoteReference"/>
        </w:rPr>
        <w:footnoteReference w:id="38"/>
      </w:r>
      <w:r w:rsidRPr="00FD5FC8">
        <w:t xml:space="preserve"> Although illegal</w:t>
      </w:r>
      <w:r>
        <w:t>,</w:t>
      </w:r>
      <w:r w:rsidRPr="00FD5FC8">
        <w:t xml:space="preserve"> even under Israeli law, outposts </w:t>
      </w:r>
      <w:r w:rsidRPr="00FD5FC8">
        <w:rPr>
          <w:rFonts w:asciiTheme="majorBidi" w:hAnsiTheme="majorBidi" w:cstheme="majorBidi"/>
          <w:color w:val="000000" w:themeColor="text1"/>
        </w:rPr>
        <w:t xml:space="preserve">are often strategically placed and </w:t>
      </w:r>
      <w:r w:rsidRPr="00FD5FC8">
        <w:t xml:space="preserve">play a key role in the takeover of Palestinian land. Israel employs different financial, </w:t>
      </w:r>
      <w:proofErr w:type="gramStart"/>
      <w:r w:rsidRPr="00FD5FC8">
        <w:t>legal</w:t>
      </w:r>
      <w:proofErr w:type="gramEnd"/>
      <w:r w:rsidRPr="00FD5FC8">
        <w:t xml:space="preserve"> and planning mechanisms to enable the establishment and expansion of outposts.</w:t>
      </w:r>
      <w:r w:rsidRPr="00C430C7">
        <w:rPr>
          <w:rStyle w:val="FootnoteReference"/>
        </w:rPr>
        <w:footnoteReference w:id="39"/>
      </w:r>
      <w:r w:rsidRPr="00FD5FC8">
        <w:t xml:space="preserve"> Outpost farms </w:t>
      </w:r>
      <w:r>
        <w:t xml:space="preserve">are often </w:t>
      </w:r>
      <w:r w:rsidRPr="00FD5FC8">
        <w:t>cent</w:t>
      </w:r>
      <w:r>
        <w:t>red</w:t>
      </w:r>
      <w:r w:rsidRPr="00FD5FC8">
        <w:t xml:space="preserve"> around a single caravan or </w:t>
      </w:r>
      <w:r>
        <w:t xml:space="preserve">a </w:t>
      </w:r>
      <w:r w:rsidRPr="00FD5FC8">
        <w:t xml:space="preserve">few illegal modular structures, </w:t>
      </w:r>
      <w:r>
        <w:t xml:space="preserve">gradually </w:t>
      </w:r>
      <w:r w:rsidRPr="00FD5FC8">
        <w:t xml:space="preserve">taking over the larger area around them for herding or farming. The resources needed to erect the farms are often minimal, enabling settlers to take over very large areas of land in a short </w:t>
      </w:r>
      <w:r>
        <w:t>period</w:t>
      </w:r>
      <w:r w:rsidRPr="00FD5FC8">
        <w:t xml:space="preserve"> of time.</w:t>
      </w:r>
      <w:r w:rsidRPr="00C430C7">
        <w:rPr>
          <w:rStyle w:val="FootnoteReference"/>
        </w:rPr>
        <w:footnoteReference w:id="40"/>
      </w:r>
      <w:r w:rsidRPr="00FD5FC8">
        <w:t xml:space="preserve"> In 2021, the </w:t>
      </w:r>
      <w:r>
        <w:t>h</w:t>
      </w:r>
      <w:r w:rsidRPr="00FD5FC8">
        <w:t xml:space="preserve">ead of </w:t>
      </w:r>
      <w:r>
        <w:t>Amana, a</w:t>
      </w:r>
      <w:r w:rsidRPr="00FD5FC8">
        <w:t xml:space="preserve"> settler organi</w:t>
      </w:r>
      <w:r>
        <w:t>z</w:t>
      </w:r>
      <w:r w:rsidRPr="00FD5FC8">
        <w:t>ation</w:t>
      </w:r>
      <w:r>
        <w:t xml:space="preserve">, discussed </w:t>
      </w:r>
      <w:r w:rsidRPr="00FD5FC8">
        <w:t>the intention of expanding outpost farms in Area C, affirming how they are a more efficient tool for seizing land than settlements.</w:t>
      </w:r>
      <w:r w:rsidRPr="00C430C7">
        <w:rPr>
          <w:rStyle w:val="FootnoteReference"/>
        </w:rPr>
        <w:footnoteReference w:id="41"/>
      </w:r>
    </w:p>
    <w:p w14:paraId="7BCCAA8A" w14:textId="6B43C9AE" w:rsidR="00F6262F" w:rsidRPr="00FD5FC8" w:rsidRDefault="00F6262F" w:rsidP="00F6262F">
      <w:pPr>
        <w:pStyle w:val="ParaNoG"/>
      </w:pPr>
      <w:r w:rsidRPr="00FD5FC8">
        <w:rPr>
          <w:color w:val="000000" w:themeColor="text1"/>
        </w:rPr>
        <w:t>M</w:t>
      </w:r>
      <w:r w:rsidRPr="00FD5FC8">
        <w:t>ost settler-related violence occurs in the vicinity of outposts and there appears to be a correlation between the expansion of outposts and settler attacks against Palestinians.</w:t>
      </w:r>
      <w:r w:rsidRPr="00C430C7">
        <w:rPr>
          <w:rStyle w:val="FootnoteReference"/>
        </w:rPr>
        <w:footnoteReference w:id="42"/>
      </w:r>
      <w:r w:rsidRPr="00FD5FC8">
        <w:t xml:space="preserve"> Israeli </w:t>
      </w:r>
      <w:r>
        <w:t>s</w:t>
      </w:r>
      <w:r w:rsidRPr="00FD5FC8">
        <w:t xml:space="preserve">ecurity </w:t>
      </w:r>
      <w:r>
        <w:t>f</w:t>
      </w:r>
      <w:r w:rsidRPr="00FD5FC8">
        <w:t>orces play a significant role in ensuring the protection of outposts and settlers.</w:t>
      </w:r>
      <w:r w:rsidRPr="00C430C7">
        <w:rPr>
          <w:rStyle w:val="FootnoteReference"/>
        </w:rPr>
        <w:footnoteReference w:id="43"/>
      </w:r>
      <w:r>
        <w:t xml:space="preserve"> L</w:t>
      </w:r>
      <w:r w:rsidRPr="00FD5FC8">
        <w:t xml:space="preserve">aw enforcement </w:t>
      </w:r>
      <w:r>
        <w:t xml:space="preserve">by </w:t>
      </w:r>
      <w:r w:rsidRPr="00FD5FC8">
        <w:t xml:space="preserve">Israeli </w:t>
      </w:r>
      <w:r>
        <w:t>s</w:t>
      </w:r>
      <w:r w:rsidRPr="00FD5FC8">
        <w:t xml:space="preserve">ecurity </w:t>
      </w:r>
      <w:r>
        <w:t>f</w:t>
      </w:r>
      <w:r w:rsidRPr="00FD5FC8">
        <w:t xml:space="preserve">orces is invariably discriminatory, </w:t>
      </w:r>
      <w:r>
        <w:t xml:space="preserve">in </w:t>
      </w:r>
      <w:r w:rsidRPr="00FD5FC8">
        <w:t xml:space="preserve">support </w:t>
      </w:r>
      <w:r>
        <w:t xml:space="preserve">of </w:t>
      </w:r>
      <w:r w:rsidRPr="00FD5FC8">
        <w:t>settler communities</w:t>
      </w:r>
      <w:r>
        <w:t xml:space="preserve">, </w:t>
      </w:r>
      <w:r w:rsidRPr="00FD5FC8">
        <w:t>including when they attack Palestinians</w:t>
      </w:r>
      <w:r>
        <w:t>,</w:t>
      </w:r>
      <w:r w:rsidRPr="00FD5FC8">
        <w:t xml:space="preserve"> </w:t>
      </w:r>
      <w:r>
        <w:t>and</w:t>
      </w:r>
      <w:r w:rsidRPr="00FD5FC8">
        <w:t xml:space="preserve"> against Palestinian</w:t>
      </w:r>
      <w:r>
        <w:t>s</w:t>
      </w:r>
      <w:r w:rsidRPr="00FD5FC8">
        <w:t xml:space="preserve"> attempt</w:t>
      </w:r>
      <w:r>
        <w:t xml:space="preserve">ing to </w:t>
      </w:r>
      <w:r w:rsidRPr="00FD5FC8">
        <w:t>protest against illegal outpost activity</w:t>
      </w:r>
      <w:r w:rsidRPr="00C430C7">
        <w:rPr>
          <w:rStyle w:val="FootnoteReference"/>
        </w:rPr>
        <w:footnoteReference w:id="44"/>
      </w:r>
      <w:r w:rsidRPr="00FD5FC8">
        <w:t xml:space="preserve">. </w:t>
      </w:r>
      <w:r w:rsidRPr="00FD5FC8">
        <w:rPr>
          <w:color w:val="000000" w:themeColor="text1"/>
        </w:rPr>
        <w:t>Previous reports</w:t>
      </w:r>
      <w:r w:rsidRPr="00C430C7">
        <w:rPr>
          <w:rStyle w:val="FootnoteReference"/>
        </w:rPr>
        <w:footnoteReference w:id="45"/>
      </w:r>
      <w:r w:rsidRPr="00FD5FC8">
        <w:rPr>
          <w:color w:val="000000" w:themeColor="text1"/>
        </w:rPr>
        <w:t xml:space="preserve"> have also </w:t>
      </w:r>
      <w:r w:rsidRPr="00FD5FC8">
        <w:rPr>
          <w:color w:val="000000" w:themeColor="text1"/>
        </w:rPr>
        <w:lastRenderedPageBreak/>
        <w:t xml:space="preserve">documented how outposts are viewed by government officials as a tool to “prevent Palestinian invasions” and acquire Israeli sovereignty </w:t>
      </w:r>
      <w:r>
        <w:rPr>
          <w:color w:val="000000" w:themeColor="text1"/>
        </w:rPr>
        <w:t>over land in</w:t>
      </w:r>
      <w:r w:rsidRPr="00FD5FC8">
        <w:rPr>
          <w:color w:val="000000" w:themeColor="text1"/>
        </w:rPr>
        <w:t xml:space="preserve"> Area C.</w:t>
      </w:r>
      <w:r w:rsidRPr="00C430C7">
        <w:rPr>
          <w:rStyle w:val="FootnoteReference"/>
        </w:rPr>
        <w:footnoteReference w:id="46"/>
      </w:r>
    </w:p>
    <w:p w14:paraId="75B77A4C" w14:textId="77777777" w:rsidR="00F6262F" w:rsidRPr="00FD5FC8" w:rsidRDefault="00F6262F" w:rsidP="00F6262F">
      <w:pPr>
        <w:pStyle w:val="ParaNoG"/>
      </w:pPr>
      <w:r w:rsidRPr="00FD5FC8">
        <w:t xml:space="preserve">Since 2012, Israel has sought to develop a domestic legal path to enable the retroactive legalization of outposts built without official approval, including those on </w:t>
      </w:r>
      <w:r>
        <w:t xml:space="preserve">land privately owned by </w:t>
      </w:r>
      <w:r w:rsidRPr="00FD5FC8">
        <w:t>Palestinia</w:t>
      </w:r>
      <w:r>
        <w:t>ns</w:t>
      </w:r>
      <w:r w:rsidRPr="00FD5FC8">
        <w:t>.</w:t>
      </w:r>
      <w:r w:rsidRPr="00C430C7">
        <w:rPr>
          <w:rStyle w:val="FootnoteReference"/>
        </w:rPr>
        <w:footnoteReference w:id="47"/>
      </w:r>
      <w:r w:rsidRPr="00FD5FC8">
        <w:t xml:space="preserve"> The 2012 Levy </w:t>
      </w:r>
      <w:r>
        <w:t>r</w:t>
      </w:r>
      <w:r w:rsidRPr="00FD5FC8">
        <w:t>eport</w:t>
      </w:r>
      <w:r>
        <w:t>,</w:t>
      </w:r>
      <w:r w:rsidRPr="00FD5FC8">
        <w:t xml:space="preserve"> commissioned by Israel</w:t>
      </w:r>
      <w:r>
        <w:t>,</w:t>
      </w:r>
      <w:r w:rsidRPr="00FD5FC8">
        <w:t xml:space="preserve"> provided the legal rationale for the legalization of most unauthorized settlement outposts.</w:t>
      </w:r>
      <w:r w:rsidRPr="00C430C7">
        <w:rPr>
          <w:rStyle w:val="FootnoteReference"/>
        </w:rPr>
        <w:footnoteReference w:id="48"/>
      </w:r>
      <w:r w:rsidRPr="00FD5FC8">
        <w:t xml:space="preserve"> This was followed by the publication of a position </w:t>
      </w:r>
      <w:r>
        <w:t xml:space="preserve">paper </w:t>
      </w:r>
      <w:r w:rsidRPr="00FD5FC8">
        <w:t>by the Ministry of Foreign Affairs in 2015, according to which the West Bank is not occupied territory and Israel has legitimate claims to it.</w:t>
      </w:r>
      <w:r w:rsidRPr="00C430C7">
        <w:rPr>
          <w:rStyle w:val="FootnoteReference"/>
        </w:rPr>
        <w:footnoteReference w:id="49"/>
      </w:r>
      <w:r w:rsidRPr="00FD5FC8">
        <w:t xml:space="preserve"> In 2016 and 2017, the Attorney General issued two legal opinions, allowing for the retroactive legalization of settlement units built on private Palestinian land when built in good faith, based on the assumption that </w:t>
      </w:r>
      <w:r>
        <w:t>they were built</w:t>
      </w:r>
      <w:r w:rsidRPr="00FD5FC8">
        <w:t xml:space="preserve"> on State land. This resulted in interference with the property of Palestinian landowners</w:t>
      </w:r>
      <w:r>
        <w:t xml:space="preserve">, </w:t>
      </w:r>
      <w:r w:rsidRPr="00FD5FC8">
        <w:t>who are protected persons</w:t>
      </w:r>
      <w:r>
        <w:t xml:space="preserve">, </w:t>
      </w:r>
      <w:r w:rsidRPr="00FD5FC8">
        <w:t>and ensure</w:t>
      </w:r>
      <w:r>
        <w:t>d</w:t>
      </w:r>
      <w:r w:rsidRPr="00FD5FC8">
        <w:t xml:space="preserve"> the welfare of Israeli residents.</w:t>
      </w:r>
      <w:r w:rsidRPr="00C430C7">
        <w:rPr>
          <w:rStyle w:val="FootnoteReference"/>
        </w:rPr>
        <w:footnoteReference w:id="50"/>
      </w:r>
      <w:r w:rsidRPr="00FD5FC8">
        <w:t xml:space="preserve"> In 2018, the </w:t>
      </w:r>
      <w:proofErr w:type="spellStart"/>
      <w:r w:rsidRPr="00FD5FC8">
        <w:t>Zandberg</w:t>
      </w:r>
      <w:proofErr w:type="spellEnd"/>
      <w:r w:rsidRPr="00FD5FC8">
        <w:t xml:space="preserve"> Committee, a technical team tasked with drafting a regularization plan, formulated unprecedented recommendations intended to legali</w:t>
      </w:r>
      <w:r>
        <w:t>z</w:t>
      </w:r>
      <w:r w:rsidRPr="00FD5FC8">
        <w:t>e thousands of unauthorized structures in the West Bank, including those built on privately owned Palestinian land.</w:t>
      </w:r>
      <w:r w:rsidRPr="00C430C7">
        <w:rPr>
          <w:rStyle w:val="FootnoteReference"/>
        </w:rPr>
        <w:footnoteReference w:id="51"/>
      </w:r>
    </w:p>
    <w:p w14:paraId="1ADBB3B7" w14:textId="7EBE40AB" w:rsidR="00F6262F" w:rsidRPr="00FD5FC8" w:rsidRDefault="00F6262F" w:rsidP="00F6262F">
      <w:pPr>
        <w:pStyle w:val="ParaNoG"/>
      </w:pPr>
      <w:r w:rsidRPr="00FD5FC8">
        <w:t>While a</w:t>
      </w:r>
      <w:r>
        <w:t xml:space="preserve"> </w:t>
      </w:r>
      <w:r w:rsidR="00DB0A51">
        <w:t>“</w:t>
      </w:r>
      <w:r>
        <w:t>r</w:t>
      </w:r>
      <w:r w:rsidRPr="00FD5FC8">
        <w:t xml:space="preserve">egularization </w:t>
      </w:r>
      <w:r>
        <w:t>l</w:t>
      </w:r>
      <w:r w:rsidRPr="00FD5FC8">
        <w:t>aw</w:t>
      </w:r>
      <w:r>
        <w:t>”</w:t>
      </w:r>
      <w:r w:rsidRPr="00FD5FC8">
        <w:t>,</w:t>
      </w:r>
      <w:r>
        <w:t xml:space="preserve"> </w:t>
      </w:r>
      <w:r w:rsidRPr="00FD5FC8">
        <w:t xml:space="preserve">introduced </w:t>
      </w:r>
      <w:r>
        <w:t xml:space="preserve">in 2017 </w:t>
      </w:r>
      <w:r w:rsidRPr="00FD5FC8">
        <w:t>to retroactively legalize outposts built on private Palestinian land and housing units built illegally in existing settlements,</w:t>
      </w:r>
      <w:r w:rsidRPr="00C430C7">
        <w:rPr>
          <w:rStyle w:val="FootnoteReference"/>
        </w:rPr>
        <w:footnoteReference w:id="52"/>
      </w:r>
      <w:r w:rsidRPr="00FD5FC8">
        <w:t xml:space="preserve"> was ruled unconstitutional in 2020, the Supreme </w:t>
      </w:r>
      <w:r>
        <w:t>C</w:t>
      </w:r>
      <w:r w:rsidRPr="00FD5FC8">
        <w:t>ourt determined that existing legal tools serve the purpose of regulari</w:t>
      </w:r>
      <w:r>
        <w:t>z</w:t>
      </w:r>
      <w:r w:rsidRPr="00FD5FC8">
        <w:t>ing, under domestic law, illegal Israeli construction on private Palestinian land.</w:t>
      </w:r>
      <w:r w:rsidRPr="00FD5FC8">
        <w:rPr>
          <w:rFonts w:asciiTheme="majorBidi" w:hAnsiTheme="majorBidi" w:cstheme="majorBidi"/>
        </w:rPr>
        <w:t xml:space="preserve"> </w:t>
      </w:r>
      <w:r w:rsidRPr="00C430C7">
        <w:rPr>
          <w:rStyle w:val="FootnoteReference"/>
        </w:rPr>
        <w:footnoteReference w:id="53"/>
      </w:r>
      <w:r w:rsidRPr="00FD5FC8">
        <w:t xml:space="preserve"> In 2022, the Supreme Court determined that the </w:t>
      </w:r>
      <w:proofErr w:type="spellStart"/>
      <w:r w:rsidRPr="00FD5FC8">
        <w:t>Mitzpeh</w:t>
      </w:r>
      <w:proofErr w:type="spellEnd"/>
      <w:r w:rsidRPr="00FD5FC8">
        <w:t xml:space="preserve"> </w:t>
      </w:r>
      <w:proofErr w:type="spellStart"/>
      <w:r w:rsidRPr="00FD5FC8">
        <w:t>Kramim</w:t>
      </w:r>
      <w:proofErr w:type="spellEnd"/>
      <w:r w:rsidRPr="00FD5FC8">
        <w:t xml:space="preserve"> outpost met the threshold of “good faith”, </w:t>
      </w:r>
      <w:proofErr w:type="gramStart"/>
      <w:r w:rsidRPr="00FD5FC8">
        <w:t xml:space="preserve">despite the </w:t>
      </w:r>
      <w:r>
        <w:t>fact that</w:t>
      </w:r>
      <w:proofErr w:type="gramEnd"/>
      <w:r>
        <w:t xml:space="preserve"> the </w:t>
      </w:r>
      <w:r w:rsidRPr="00FD5FC8">
        <w:t xml:space="preserve">land </w:t>
      </w:r>
      <w:r>
        <w:t xml:space="preserve">was </w:t>
      </w:r>
      <w:r w:rsidRPr="00FD5FC8">
        <w:t>known to be privately owned</w:t>
      </w:r>
      <w:r>
        <w:t>.</w:t>
      </w:r>
      <w:r w:rsidRPr="00C430C7">
        <w:rPr>
          <w:rStyle w:val="FootnoteReference"/>
        </w:rPr>
        <w:footnoteReference w:id="54"/>
      </w:r>
      <w:r w:rsidRPr="00FD5FC8">
        <w:t xml:space="preserve"> The decision set a worrying precedent for </w:t>
      </w:r>
      <w:r>
        <w:t xml:space="preserve">the </w:t>
      </w:r>
      <w:r w:rsidRPr="00FD5FC8">
        <w:t>retroactive legali</w:t>
      </w:r>
      <w:r>
        <w:t xml:space="preserve">zation of </w:t>
      </w:r>
      <w:r w:rsidRPr="00FD5FC8">
        <w:t xml:space="preserve">outposts on private Palestinian land in the West Bank. </w:t>
      </w:r>
      <w:r w:rsidRPr="00FD5FC8">
        <w:rPr>
          <w:rFonts w:asciiTheme="majorBidi" w:hAnsiTheme="majorBidi" w:cstheme="majorBidi"/>
        </w:rPr>
        <w:t xml:space="preserve">The establishment of settlements, including outposts, is a flagrant violation of </w:t>
      </w:r>
      <w:r w:rsidRPr="00FD5FC8">
        <w:t xml:space="preserve">international law, </w:t>
      </w:r>
      <w:r>
        <w:t>and o</w:t>
      </w:r>
      <w:r w:rsidRPr="00FD5FC8">
        <w:t xml:space="preserve">utposts </w:t>
      </w:r>
      <w:r>
        <w:t xml:space="preserve">are </w:t>
      </w:r>
      <w:r w:rsidRPr="00FD5FC8">
        <w:t>also considered illegal under Israeli domestic law.</w:t>
      </w:r>
    </w:p>
    <w:p w14:paraId="798A41ED" w14:textId="77777777" w:rsidR="00F6262F" w:rsidRPr="00AF6248" w:rsidRDefault="00F6262F" w:rsidP="009E38C8">
      <w:pPr>
        <w:pStyle w:val="H4G"/>
      </w:pPr>
      <w:r w:rsidRPr="00AF6248">
        <w:tab/>
      </w:r>
      <w:r w:rsidRPr="00AF6248">
        <w:tab/>
        <w:t xml:space="preserve">Areas closed or confiscated for “military </w:t>
      </w:r>
      <w:r w:rsidRPr="009E38C8">
        <w:t>purposes</w:t>
      </w:r>
      <w:r w:rsidRPr="00AF6248">
        <w:t>”</w:t>
      </w:r>
    </w:p>
    <w:p w14:paraId="4810281E" w14:textId="6B87755C" w:rsidR="00F6262F" w:rsidRPr="00FD5FC8" w:rsidRDefault="00F6262F" w:rsidP="00F6262F">
      <w:pPr>
        <w:pStyle w:val="ParaNoG"/>
      </w:pPr>
      <w:r w:rsidRPr="00FD5FC8">
        <w:t>Israel has declared some 1,765 million dunams of land, almost one third of West Bank and over half of Area C, as closed “military areas” for various purposes.</w:t>
      </w:r>
      <w:r w:rsidRPr="00C430C7">
        <w:rPr>
          <w:rStyle w:val="FootnoteReference"/>
        </w:rPr>
        <w:footnoteReference w:id="55"/>
      </w:r>
      <w:r w:rsidRPr="00FD5FC8">
        <w:t xml:space="preserve"> The areas include, but are not limited to, seam zone areas, special security areas near settlements and closed military firing zones. In addition, closure and seizure orders </w:t>
      </w:r>
      <w:r>
        <w:t xml:space="preserve">issued by the </w:t>
      </w:r>
      <w:r w:rsidRPr="00FD5FC8">
        <w:t>I</w:t>
      </w:r>
      <w:r>
        <w:t>srael security forces</w:t>
      </w:r>
      <w:r w:rsidRPr="00FD5FC8">
        <w:t xml:space="preserve"> prohibit Palestinian construction and severely curtail Palestinian freedom of movement.</w:t>
      </w:r>
    </w:p>
    <w:p w14:paraId="2EDFED07" w14:textId="77777777" w:rsidR="00F6262F" w:rsidRPr="00FD5FC8" w:rsidRDefault="00F6262F" w:rsidP="00F6262F">
      <w:pPr>
        <w:pStyle w:val="ParaNoG"/>
        <w:rPr>
          <w:bCs/>
        </w:rPr>
      </w:pPr>
      <w:r>
        <w:t>Since the 1970s, a</w:t>
      </w:r>
      <w:r w:rsidRPr="00FD5FC8">
        <w:t>pproximately 18 per cent of the West Bank</w:t>
      </w:r>
      <w:r>
        <w:t xml:space="preserve">, </w:t>
      </w:r>
      <w:r w:rsidRPr="00FD5FC8">
        <w:t>nearly 30 per</w:t>
      </w:r>
      <w:r>
        <w:t xml:space="preserve"> </w:t>
      </w:r>
      <w:r w:rsidRPr="00FD5FC8">
        <w:t>cent of Area C</w:t>
      </w:r>
      <w:r>
        <w:t>,</w:t>
      </w:r>
      <w:r w:rsidRPr="00FD5FC8">
        <w:t xml:space="preserve"> where </w:t>
      </w:r>
      <w:r w:rsidRPr="00FD5FC8">
        <w:rPr>
          <w:color w:val="000000"/>
        </w:rPr>
        <w:t>some 6,200 Palestinians currently liv</w:t>
      </w:r>
      <w:r>
        <w:t xml:space="preserve">e, </w:t>
      </w:r>
      <w:r w:rsidRPr="00FD5FC8">
        <w:t>has been designated by Israel as closed “</w:t>
      </w:r>
      <w:r>
        <w:t>m</w:t>
      </w:r>
      <w:r w:rsidRPr="00FD5FC8">
        <w:t>ilitary firing zones”</w:t>
      </w:r>
      <w:r w:rsidRPr="00FD5FC8">
        <w:rPr>
          <w:color w:val="000000"/>
        </w:rPr>
        <w:t xml:space="preserve">. </w:t>
      </w:r>
      <w:r w:rsidRPr="00FD5FC8">
        <w:t>Most of th</w:t>
      </w:r>
      <w:r>
        <w:t>at</w:t>
      </w:r>
      <w:r w:rsidRPr="00FD5FC8">
        <w:t xml:space="preserve"> land (78 per cent) is not being used for active military training.</w:t>
      </w:r>
      <w:r w:rsidRPr="00C430C7">
        <w:rPr>
          <w:rStyle w:val="FootnoteReference"/>
        </w:rPr>
        <w:footnoteReference w:id="56"/>
      </w:r>
      <w:r w:rsidRPr="00FD5FC8">
        <w:t xml:space="preserve"> </w:t>
      </w:r>
      <w:r>
        <w:t xml:space="preserve">Any </w:t>
      </w:r>
      <w:r w:rsidRPr="00FD5FC8">
        <w:t>Palestinian presence in such zones is prohibited without prior coordination with the Israeli authorities, which is rarely granted. Israel prohibits construction and development of Palestinian infrastructure and regularly order</w:t>
      </w:r>
      <w:r>
        <w:t>s</w:t>
      </w:r>
      <w:r w:rsidRPr="00FD5FC8">
        <w:t xml:space="preserve"> and carr</w:t>
      </w:r>
      <w:r>
        <w:t>ies</w:t>
      </w:r>
      <w:r w:rsidRPr="00FD5FC8">
        <w:t xml:space="preserve"> out </w:t>
      </w:r>
      <w:r>
        <w:t xml:space="preserve">the </w:t>
      </w:r>
      <w:r w:rsidRPr="00FD5FC8">
        <w:t>demolition and confiscat</w:t>
      </w:r>
      <w:r>
        <w:t xml:space="preserve">ion of </w:t>
      </w:r>
      <w:r w:rsidRPr="00FD5FC8">
        <w:t>Palestinian-owned property in firing zones.</w:t>
      </w:r>
      <w:r w:rsidRPr="00C430C7">
        <w:rPr>
          <w:rStyle w:val="FootnoteReference"/>
        </w:rPr>
        <w:footnoteReference w:id="57"/>
      </w:r>
    </w:p>
    <w:p w14:paraId="5F94EF1F" w14:textId="5B25F284" w:rsidR="00F6262F" w:rsidRPr="00FD5FC8" w:rsidRDefault="00F6262F" w:rsidP="00F6262F">
      <w:pPr>
        <w:pStyle w:val="ParaNoG"/>
      </w:pPr>
      <w:r w:rsidRPr="00FD5FC8">
        <w:lastRenderedPageBreak/>
        <w:t>In a decision of 28 February 2022 related to privately</w:t>
      </w:r>
      <w:r>
        <w:t xml:space="preserve"> </w:t>
      </w:r>
      <w:r w:rsidRPr="00FD5FC8">
        <w:t>owned Palestinian property in Hebron originally requisitioned by I</w:t>
      </w:r>
      <w:r>
        <w:t>srael security forces</w:t>
      </w:r>
      <w:r w:rsidRPr="00FD5FC8">
        <w:t xml:space="preserve"> but now slated for a new Jewish settlement, the High Court of Justice observed that </w:t>
      </w:r>
      <w:r>
        <w:t xml:space="preserve">a </w:t>
      </w:r>
      <w:r w:rsidRPr="00FD5FC8">
        <w:t xml:space="preserve">“civilian Jewish presence is part of the Israel </w:t>
      </w:r>
      <w:proofErr w:type="spellStart"/>
      <w:r w:rsidRPr="00FD5FC8">
        <w:t>Defense</w:t>
      </w:r>
      <w:proofErr w:type="spellEnd"/>
      <w:r w:rsidRPr="00FD5FC8">
        <w:t xml:space="preserve"> Forces</w:t>
      </w:r>
      <w:r>
        <w:t xml:space="preserve"> </w:t>
      </w:r>
      <w:r w:rsidRPr="00FD5FC8">
        <w:t>regional security doctrine in the area”</w:t>
      </w:r>
      <w:r>
        <w:t>.</w:t>
      </w:r>
      <w:r w:rsidRPr="00FD5FC8">
        <w:t xml:space="preserve"> This ruling represents a departure from a landmark ruling </w:t>
      </w:r>
      <w:r>
        <w:t xml:space="preserve">of 1979, </w:t>
      </w:r>
      <w:r w:rsidRPr="00FD5FC8">
        <w:t>which recogni</w:t>
      </w:r>
      <w:r>
        <w:t>z</w:t>
      </w:r>
      <w:r w:rsidRPr="00FD5FC8">
        <w:t>ed that the expropriation of land by military orders for the construction of settlements contravened international law.</w:t>
      </w:r>
      <w:r w:rsidRPr="00C430C7">
        <w:rPr>
          <w:rStyle w:val="FootnoteReference"/>
        </w:rPr>
        <w:footnoteReference w:id="58"/>
      </w:r>
      <w:r w:rsidRPr="00FD5FC8">
        <w:t xml:space="preserve"> The new judgment risks leading to </w:t>
      </w:r>
      <w:r>
        <w:t xml:space="preserve">the </w:t>
      </w:r>
      <w:r w:rsidRPr="00FD5FC8">
        <w:t xml:space="preserve">further expropriation of private Palestinian land for settlement expansion on the pretext of </w:t>
      </w:r>
      <w:r>
        <w:t xml:space="preserve">ensuring </w:t>
      </w:r>
      <w:r w:rsidRPr="00FD5FC8">
        <w:t>securit</w:t>
      </w:r>
      <w:r>
        <w:t xml:space="preserve">y, which is </w:t>
      </w:r>
      <w:r w:rsidRPr="00FD5FC8">
        <w:t>impermissible under international law.</w:t>
      </w:r>
      <w:r w:rsidRPr="00C430C7">
        <w:rPr>
          <w:rStyle w:val="FootnoteReference"/>
        </w:rPr>
        <w:footnoteReference w:id="59"/>
      </w:r>
    </w:p>
    <w:p w14:paraId="6FA66056" w14:textId="027B720F" w:rsidR="00F6262F" w:rsidRPr="00FD5FC8" w:rsidRDefault="00F6262F" w:rsidP="00F6262F">
      <w:pPr>
        <w:pStyle w:val="ParaNoG"/>
      </w:pPr>
      <w:r w:rsidRPr="00FD5FC8">
        <w:t>Israel has also declared lands within firing zones as “</w:t>
      </w:r>
      <w:r>
        <w:t>S</w:t>
      </w:r>
      <w:r w:rsidRPr="00FD5FC8">
        <w:t>tate land”</w:t>
      </w:r>
      <w:r>
        <w:t>,</w:t>
      </w:r>
      <w:r w:rsidRPr="00FD5FC8">
        <w:t xml:space="preserve"> opening them up to settlement activity. Since </w:t>
      </w:r>
      <w:r>
        <w:t xml:space="preserve">the </w:t>
      </w:r>
      <w:r w:rsidRPr="00FD5FC8">
        <w:t xml:space="preserve">1980s, over 40 per cent of land in the West Bank that Israel </w:t>
      </w:r>
      <w:r>
        <w:t xml:space="preserve">has </w:t>
      </w:r>
      <w:r w:rsidRPr="00FD5FC8">
        <w:t xml:space="preserve">declared </w:t>
      </w:r>
      <w:r>
        <w:t>S</w:t>
      </w:r>
      <w:r w:rsidRPr="00FD5FC8">
        <w:t>tate land is within firing zones.</w:t>
      </w:r>
      <w:r w:rsidRPr="00C430C7">
        <w:rPr>
          <w:rStyle w:val="FootnoteReference"/>
        </w:rPr>
        <w:footnoteReference w:id="60"/>
      </w:r>
      <w:r w:rsidRPr="00FD5FC8">
        <w:t xml:space="preserve"> Previous reports have also documented discriminatory law enforcement between Palestinians and settlers in firing zones.</w:t>
      </w:r>
      <w:r w:rsidRPr="00C430C7">
        <w:rPr>
          <w:rStyle w:val="FootnoteReference"/>
        </w:rPr>
        <w:footnoteReference w:id="61"/>
      </w:r>
    </w:p>
    <w:p w14:paraId="5CCAA88B" w14:textId="77777777" w:rsidR="00F6262F" w:rsidRPr="00AF6248" w:rsidRDefault="00F6262F" w:rsidP="00592057">
      <w:pPr>
        <w:pStyle w:val="H4G"/>
      </w:pPr>
      <w:r w:rsidRPr="00AF6248">
        <w:tab/>
      </w:r>
      <w:r w:rsidRPr="00AF6248">
        <w:tab/>
        <w:t>National parks and archaeology</w:t>
      </w:r>
    </w:p>
    <w:p w14:paraId="65B0CC83" w14:textId="1D8DCAD3" w:rsidR="00F6262F" w:rsidRPr="00FD5FC8" w:rsidRDefault="00F6262F" w:rsidP="00F6262F">
      <w:pPr>
        <w:pStyle w:val="ParaNoG"/>
      </w:pPr>
      <w:r w:rsidRPr="00FD5FC8" w:rsidDel="00AF03D0">
        <w:t>I</w:t>
      </w:r>
      <w:r w:rsidRPr="00FD5FC8">
        <w:t>srael has declared 48 “nature reserves” in the West Bank, covering at least 383,600 dunams of land, equivalent to about 7 per cent of the West Bank</w:t>
      </w:r>
      <w:r>
        <w:t xml:space="preserve">. </w:t>
      </w:r>
      <w:r w:rsidRPr="00FD5FC8">
        <w:t xml:space="preserve">Such nature reserves are effectively inaccessible for Palestinians, including those who may own </w:t>
      </w:r>
      <w:r>
        <w:t xml:space="preserve">the </w:t>
      </w:r>
      <w:r w:rsidRPr="00FD5FC8">
        <w:t>land.</w:t>
      </w:r>
      <w:r w:rsidRPr="00C430C7">
        <w:rPr>
          <w:rStyle w:val="FootnoteReference"/>
        </w:rPr>
        <w:footnoteReference w:id="62"/>
      </w:r>
      <w:r w:rsidRPr="00FD5FC8">
        <w:t xml:space="preserve"> During the present reporting cycle</w:t>
      </w:r>
      <w:r w:rsidRPr="00345FBE">
        <w:t xml:space="preserve">, Israel proceeded with plans to declare a nature reserve on approximately </w:t>
      </w:r>
      <w:r w:rsidRPr="00085D1F">
        <w:t>2</w:t>
      </w:r>
      <w:r w:rsidRPr="00345FBE">
        <w:t>2</w:t>
      </w:r>
      <w:r w:rsidRPr="00085D1F">
        <w:t>,258</w:t>
      </w:r>
      <w:r w:rsidRPr="00345FBE">
        <w:t xml:space="preserve"> dunams of land south of Jericho; some 6,070 dunams is on private Palestinian-owned property. The </w:t>
      </w:r>
      <w:proofErr w:type="spellStart"/>
      <w:r w:rsidRPr="00085D1F">
        <w:t>Nahal</w:t>
      </w:r>
      <w:proofErr w:type="spellEnd"/>
      <w:r w:rsidRPr="00085D1F">
        <w:t xml:space="preserve"> </w:t>
      </w:r>
      <w:proofErr w:type="spellStart"/>
      <w:r w:rsidRPr="00085D1F">
        <w:t>Og</w:t>
      </w:r>
      <w:proofErr w:type="spellEnd"/>
      <w:r w:rsidRPr="00FD5FC8">
        <w:t xml:space="preserve"> </w:t>
      </w:r>
      <w:r>
        <w:t>n</w:t>
      </w:r>
      <w:r w:rsidRPr="00FD5FC8">
        <w:t xml:space="preserve">ature </w:t>
      </w:r>
      <w:r>
        <w:t>r</w:t>
      </w:r>
      <w:r w:rsidRPr="00FD5FC8">
        <w:t>eserve is the largest reserve to be declared in 25 years.</w:t>
      </w:r>
      <w:r w:rsidRPr="00C430C7">
        <w:rPr>
          <w:rStyle w:val="FootnoteReference"/>
        </w:rPr>
        <w:footnoteReference w:id="63"/>
      </w:r>
    </w:p>
    <w:p w14:paraId="4AA2ACA2" w14:textId="77777777" w:rsidR="00F6262F" w:rsidRPr="00FD5FC8" w:rsidRDefault="00F6262F" w:rsidP="00F6262F">
      <w:pPr>
        <w:pStyle w:val="ParaNoG"/>
      </w:pPr>
      <w:r>
        <w:t xml:space="preserve">The </w:t>
      </w:r>
      <w:r w:rsidRPr="00FD5FC8">
        <w:t xml:space="preserve">archaeology policy </w:t>
      </w:r>
      <w:r>
        <w:t xml:space="preserve">of Israel </w:t>
      </w:r>
      <w:r w:rsidRPr="00FD5FC8">
        <w:t>appears to be another method used to take over land and expand settlements.</w:t>
      </w:r>
      <w:r w:rsidRPr="00C430C7">
        <w:rPr>
          <w:rStyle w:val="FootnoteReference"/>
        </w:rPr>
        <w:footnoteReference w:id="64"/>
      </w:r>
      <w:r w:rsidRPr="00FD5FC8">
        <w:t xml:space="preserve">According to the latest available data from the </w:t>
      </w:r>
      <w:r>
        <w:t>c</w:t>
      </w:r>
      <w:r w:rsidRPr="00FD5FC8">
        <w:t xml:space="preserve">oordinator of </w:t>
      </w:r>
      <w:r>
        <w:t>g</w:t>
      </w:r>
      <w:r w:rsidRPr="00FD5FC8">
        <w:t xml:space="preserve">overnment </w:t>
      </w:r>
      <w:r>
        <w:t>a</w:t>
      </w:r>
      <w:r w:rsidRPr="00FD5FC8">
        <w:t xml:space="preserve">ctivities in the </w:t>
      </w:r>
      <w:r>
        <w:t>occupied t</w:t>
      </w:r>
      <w:r w:rsidRPr="00FD5FC8">
        <w:t>erritories, in 2019, Israel issued 118 demolition orders and warnings for structures allegedly built on archaeological sites in the West Bank.</w:t>
      </w:r>
      <w:r w:rsidRPr="00FD5FC8">
        <w:rPr>
          <w:vertAlign w:val="superscript"/>
        </w:rPr>
        <w:t xml:space="preserve"> </w:t>
      </w:r>
      <w:r w:rsidRPr="00C430C7">
        <w:rPr>
          <w:rStyle w:val="FootnoteReference"/>
        </w:rPr>
        <w:footnoteReference w:id="65"/>
      </w:r>
      <w:r w:rsidRPr="00FD5FC8">
        <w:t xml:space="preserve"> The figure represents a 162 per</w:t>
      </w:r>
      <w:r>
        <w:t xml:space="preserve"> </w:t>
      </w:r>
      <w:r w:rsidRPr="00FD5FC8">
        <w:t xml:space="preserve">cent increase </w:t>
      </w:r>
      <w:r>
        <w:t xml:space="preserve">over a period of </w:t>
      </w:r>
      <w:r w:rsidRPr="00FD5FC8">
        <w:t>two years.</w:t>
      </w:r>
      <w:r w:rsidRPr="00C430C7">
        <w:rPr>
          <w:rStyle w:val="FootnoteReference"/>
        </w:rPr>
        <w:footnoteReference w:id="66"/>
      </w:r>
      <w:r w:rsidRPr="00FD5FC8">
        <w:t xml:space="preserve"> In some cases, archaeological excavations have preceded the establishment of new Israeli settlements</w:t>
      </w:r>
      <w:r>
        <w:t xml:space="preserve"> that </w:t>
      </w:r>
      <w:r w:rsidRPr="00FD5FC8">
        <w:t>had not yet received permits.</w:t>
      </w:r>
      <w:r w:rsidRPr="00C430C7">
        <w:rPr>
          <w:rStyle w:val="FootnoteReference"/>
        </w:rPr>
        <w:footnoteReference w:id="67"/>
      </w:r>
    </w:p>
    <w:p w14:paraId="5DC5A408" w14:textId="77CB6FE0" w:rsidR="00F6262F" w:rsidRPr="00FD5FC8" w:rsidRDefault="00F6262F" w:rsidP="00F6262F">
      <w:pPr>
        <w:pStyle w:val="ParaNoG"/>
      </w:pPr>
      <w:r w:rsidRPr="00FD5FC8">
        <w:t>During th</w:t>
      </w:r>
      <w:r>
        <w:t>e</w:t>
      </w:r>
      <w:r w:rsidRPr="00FD5FC8">
        <w:t xml:space="preserve"> reporting cycle, Israeli right-wing settler groups succeeded in transferring the responsibility </w:t>
      </w:r>
      <w:r>
        <w:t xml:space="preserve">for </w:t>
      </w:r>
      <w:r w:rsidRPr="00FD5FC8">
        <w:t xml:space="preserve">archaeological sites in Area </w:t>
      </w:r>
      <w:r>
        <w:t>C</w:t>
      </w:r>
      <w:r w:rsidRPr="00FD5FC8">
        <w:t xml:space="preserve"> </w:t>
      </w:r>
      <w:r w:rsidRPr="0082505A">
        <w:t>from the Staff Office for Archaeology of the Civil Administration to the Israel Antiquities Authority of the Ministry of Culture of Israel,</w:t>
      </w:r>
      <w:r w:rsidRPr="00C430C7">
        <w:rPr>
          <w:rStyle w:val="FootnoteReference"/>
        </w:rPr>
        <w:footnoteReference w:id="68"/>
      </w:r>
      <w:r w:rsidRPr="0082505A">
        <w:t xml:space="preserve"> further politicizing the administration of archaeological sites in the West Bank. The</w:t>
      </w:r>
      <w:r w:rsidRPr="00FD5FC8">
        <w:t xml:space="preserve"> extension of the jurisdiction of Israeli authorities to the occupied territory is inconsistent with </w:t>
      </w:r>
      <w:r>
        <w:t>international humanitarian law</w:t>
      </w:r>
      <w:r w:rsidRPr="00FD5FC8">
        <w:t xml:space="preserve"> and violates </w:t>
      </w:r>
      <w:r>
        <w:t xml:space="preserve">the </w:t>
      </w:r>
      <w:r w:rsidRPr="00FD5FC8">
        <w:t xml:space="preserve">obligation </w:t>
      </w:r>
      <w:r>
        <w:t xml:space="preserve">of Israel </w:t>
      </w:r>
      <w:r w:rsidRPr="00FD5FC8">
        <w:t xml:space="preserve">as </w:t>
      </w:r>
      <w:r>
        <w:t xml:space="preserve">the </w:t>
      </w:r>
      <w:r w:rsidRPr="00FD5FC8">
        <w:t xml:space="preserve">occupying </w:t>
      </w:r>
      <w:r>
        <w:t>P</w:t>
      </w:r>
      <w:r w:rsidRPr="00FD5FC8">
        <w:t xml:space="preserve">ower </w:t>
      </w:r>
      <w:r w:rsidRPr="00FD5FC8">
        <w:lastRenderedPageBreak/>
        <w:t>to support the competent national authorities of the occupied territory in safeguarding and preserving its cultural property.</w:t>
      </w:r>
      <w:r w:rsidRPr="00C430C7">
        <w:rPr>
          <w:rStyle w:val="FootnoteReference"/>
        </w:rPr>
        <w:footnoteReference w:id="69"/>
      </w:r>
    </w:p>
    <w:p w14:paraId="0232B74E" w14:textId="77777777" w:rsidR="00F6262F" w:rsidRPr="005E7709" w:rsidRDefault="00F6262F" w:rsidP="005E7709">
      <w:pPr>
        <w:pStyle w:val="H4G"/>
      </w:pPr>
      <w:r w:rsidRPr="00AF6248">
        <w:rPr>
          <w:lang w:eastAsia="en-GB"/>
        </w:rPr>
        <w:tab/>
      </w:r>
      <w:r w:rsidRPr="00AF6248">
        <w:rPr>
          <w:lang w:eastAsia="en-GB"/>
        </w:rPr>
        <w:tab/>
        <w:t>Settlement of title</w:t>
      </w:r>
    </w:p>
    <w:p w14:paraId="6EAECA21" w14:textId="77777777" w:rsidR="00F6262F" w:rsidRPr="00FD5FC8" w:rsidRDefault="00F6262F" w:rsidP="00F6262F">
      <w:pPr>
        <w:pStyle w:val="ParaNoG"/>
        <w:rPr>
          <w:b/>
          <w:bCs/>
        </w:rPr>
      </w:pPr>
      <w:r w:rsidRPr="00FD5FC8">
        <w:t>The examination of land ownership claims and land title registration in the West Bank (</w:t>
      </w:r>
      <w:r>
        <w:t>“</w:t>
      </w:r>
      <w:r w:rsidRPr="00FD5FC8">
        <w:t>settlement of title</w:t>
      </w:r>
      <w:r>
        <w:t>”</w:t>
      </w:r>
      <w:r w:rsidRPr="00FD5FC8">
        <w:t xml:space="preserve"> process) was halted at the start of the occupation, in line with the rules of international humanitarian law.</w:t>
      </w:r>
      <w:r w:rsidRPr="00C430C7">
        <w:rPr>
          <w:rStyle w:val="FootnoteReference"/>
        </w:rPr>
        <w:footnoteReference w:id="70"/>
      </w:r>
      <w:r w:rsidRPr="00FD5FC8">
        <w:t xml:space="preserve"> </w:t>
      </w:r>
      <w:r>
        <w:t>In 2018, in a reversal of its</w:t>
      </w:r>
      <w:r w:rsidRPr="00FD5FC8">
        <w:t xml:space="preserve"> long-standing position</w:t>
      </w:r>
      <w:r>
        <w:t xml:space="preserve">, </w:t>
      </w:r>
      <w:r w:rsidRPr="00FD5FC8">
        <w:t>Israel reinitiated the “settlement of title” process in East Jerusalem,</w:t>
      </w:r>
      <w:r w:rsidRPr="00C430C7">
        <w:rPr>
          <w:rStyle w:val="FootnoteReference"/>
        </w:rPr>
        <w:footnoteReference w:id="71"/>
      </w:r>
      <w:r w:rsidRPr="00FD5FC8">
        <w:t xml:space="preserve"> with the procedure largely being implemented in a non-transparent manner,</w:t>
      </w:r>
      <w:r w:rsidRPr="00C430C7">
        <w:rPr>
          <w:rStyle w:val="FootnoteReference"/>
        </w:rPr>
        <w:footnoteReference w:id="72"/>
      </w:r>
      <w:r w:rsidRPr="00FD5FC8">
        <w:t xml:space="preserve"> in areas where the </w:t>
      </w:r>
      <w:r>
        <w:t>S</w:t>
      </w:r>
      <w:r w:rsidRPr="00FD5FC8">
        <w:t>tate and/or settlers have a particular interest.</w:t>
      </w:r>
      <w:r w:rsidRPr="00C430C7">
        <w:rPr>
          <w:rStyle w:val="FootnoteReference"/>
        </w:rPr>
        <w:footnoteReference w:id="73"/>
      </w:r>
      <w:r w:rsidRPr="00FD5FC8">
        <w:t xml:space="preserve"> On 23 June 2022, the process was initiated in two highly sensitive areas in East Jerusalem</w:t>
      </w:r>
      <w:r w:rsidRPr="00345FBE">
        <w:t xml:space="preserve">, </w:t>
      </w:r>
      <w:r w:rsidRPr="00085D1F">
        <w:t>Abu Tor</w:t>
      </w:r>
      <w:r w:rsidRPr="00345FBE">
        <w:t>,</w:t>
      </w:r>
      <w:r w:rsidRPr="00FD5FC8">
        <w:t xml:space="preserve"> south of the Old City, where the blocs marked for settlement of title cover much of the neighbourhood and is home to hundreds of Palestinian families</w:t>
      </w:r>
      <w:r>
        <w:t>,</w:t>
      </w:r>
      <w:r w:rsidRPr="00FD5FC8">
        <w:t xml:space="preserve"> and </w:t>
      </w:r>
      <w:r w:rsidRPr="00345FBE">
        <w:t xml:space="preserve">the </w:t>
      </w:r>
      <w:r w:rsidRPr="00085D1F">
        <w:t>Umayyad Palace</w:t>
      </w:r>
      <w:r w:rsidRPr="00345FBE">
        <w:t xml:space="preserve"> area</w:t>
      </w:r>
      <w:r w:rsidRPr="00FD5FC8">
        <w:t>, a 20</w:t>
      </w:r>
      <w:r>
        <w:t>-</w:t>
      </w:r>
      <w:r w:rsidRPr="00FD5FC8">
        <w:t>dunam archaeological site below the Al Aqsa Mosque compound.</w:t>
      </w:r>
      <w:r w:rsidRPr="00C430C7">
        <w:rPr>
          <w:rStyle w:val="FootnoteReference"/>
        </w:rPr>
        <w:footnoteReference w:id="74"/>
      </w:r>
      <w:r w:rsidRPr="00FD5FC8">
        <w:t xml:space="preserve"> In August, the process was completed in the neighbourhood of Um Haroun in Sheikh Jarrah, formally registering the title of properties under the name of Jews who allegedly owned the land before 1948.</w:t>
      </w:r>
      <w:r w:rsidRPr="00C430C7">
        <w:rPr>
          <w:rStyle w:val="FootnoteReference"/>
        </w:rPr>
        <w:footnoteReference w:id="75"/>
      </w:r>
      <w:r w:rsidRPr="00FD5FC8">
        <w:t xml:space="preserve"> As </w:t>
      </w:r>
      <w:r>
        <w:t>at</w:t>
      </w:r>
      <w:r w:rsidRPr="00FD5FC8">
        <w:t xml:space="preserve"> the end of the reporting period, the registration had begun in 158 blocs throughout East Jerusalem.</w:t>
      </w:r>
      <w:r w:rsidRPr="00C430C7">
        <w:rPr>
          <w:rStyle w:val="FootnoteReference"/>
        </w:rPr>
        <w:footnoteReference w:id="76"/>
      </w:r>
      <w:bookmarkEnd w:id="3"/>
    </w:p>
    <w:p w14:paraId="428D46EE" w14:textId="62AD3348" w:rsidR="00F6262F" w:rsidRPr="00FD5FC8" w:rsidRDefault="00F6262F" w:rsidP="00F6262F">
      <w:pPr>
        <w:pStyle w:val="ParaNoG"/>
        <w:rPr>
          <w:b/>
          <w:bCs/>
        </w:rPr>
      </w:pPr>
      <w:r w:rsidRPr="00FD5FC8">
        <w:t xml:space="preserve">In November 2020, the Knesset “Subcommittee for Judea and Samaria” recommended the </w:t>
      </w:r>
      <w:r>
        <w:t xml:space="preserve">possibility of renewing the </w:t>
      </w:r>
      <w:r w:rsidRPr="00FD5FC8">
        <w:t>settlement of land titles in the West Ban</w:t>
      </w:r>
      <w:r>
        <w:t>k</w:t>
      </w:r>
      <w:r w:rsidRPr="00FD5FC8">
        <w:t>.</w:t>
      </w:r>
      <w:r w:rsidRPr="00C430C7">
        <w:rPr>
          <w:rStyle w:val="FootnoteReference"/>
        </w:rPr>
        <w:footnoteReference w:id="77"/>
      </w:r>
    </w:p>
    <w:p w14:paraId="40E6FB71" w14:textId="77777777" w:rsidR="00F6262F" w:rsidRPr="00FD5FC8" w:rsidRDefault="00F6262F" w:rsidP="00F6262F">
      <w:pPr>
        <w:pStyle w:val="H1G"/>
      </w:pPr>
      <w:r w:rsidRPr="00FD5FC8">
        <w:tab/>
        <w:t>B.</w:t>
      </w:r>
      <w:r w:rsidRPr="00FD5FC8">
        <w:tab/>
        <w:t>Impact of settlements on human rights</w:t>
      </w:r>
    </w:p>
    <w:p w14:paraId="7848F5DD" w14:textId="77777777" w:rsidR="00F6262F" w:rsidRPr="00FD5FC8" w:rsidRDefault="00F6262F" w:rsidP="00F6262F">
      <w:pPr>
        <w:pStyle w:val="H23G"/>
      </w:pPr>
      <w:r w:rsidRPr="00FD5FC8">
        <w:tab/>
      </w:r>
      <w:r w:rsidRPr="00FD5FC8">
        <w:tab/>
        <w:t xml:space="preserve">Housing, </w:t>
      </w:r>
      <w:proofErr w:type="gramStart"/>
      <w:r w:rsidRPr="00FD5FC8">
        <w:t>land</w:t>
      </w:r>
      <w:proofErr w:type="gramEnd"/>
      <w:r w:rsidRPr="00FD5FC8">
        <w:t xml:space="preserve"> and property rights</w:t>
      </w:r>
    </w:p>
    <w:p w14:paraId="220D1AFE" w14:textId="77777777" w:rsidR="00F6262F" w:rsidRPr="00FD5FC8" w:rsidRDefault="00F6262F" w:rsidP="00F6262F">
      <w:pPr>
        <w:pStyle w:val="ParaNoG"/>
      </w:pPr>
      <w:r w:rsidRPr="00FD5FC8">
        <w:t xml:space="preserve">For decades, Israeli authorities have ordered the demolition </w:t>
      </w:r>
      <w:r>
        <w:t xml:space="preserve">of </w:t>
      </w:r>
      <w:r w:rsidRPr="00FD5FC8">
        <w:t>Palestinian homes and property on the grounds that they lacked a building permit, despite the law of occupation prohibiting destruction of property, except for military necessity.</w:t>
      </w:r>
      <w:r w:rsidRPr="00C430C7">
        <w:rPr>
          <w:rStyle w:val="FootnoteReference"/>
        </w:rPr>
        <w:footnoteReference w:id="78"/>
      </w:r>
      <w:r w:rsidRPr="00FD5FC8">
        <w:t xml:space="preserve"> From 2012 to 2021, Israel demolished 6,821 Palestinian-owned structures in the West Bank, including East Jerusalem (Area C accounting for 77 per cent; East Jerusalem for 21 per cent), forcibly evicting 9,766 </w:t>
      </w:r>
      <w:r w:rsidRPr="00EB4617">
        <w:t>Palestinians (5,036 children, 2,483 men and 2,247 women).</w:t>
      </w:r>
      <w:r w:rsidRPr="00FD5FC8">
        <w:t xml:space="preserve"> Structures demolished included 2,525 residential structures, 1,502 donor-funded structures provided as humanitarian aid and 571 water, sanitation and hygiene structures. Twenty schools were affected by demolition or confiscation, </w:t>
      </w:r>
      <w:r>
        <w:t xml:space="preserve">affecting the education of </w:t>
      </w:r>
      <w:r w:rsidRPr="00FD5FC8">
        <w:t>1,297 children.</w:t>
      </w:r>
      <w:r w:rsidRPr="00C430C7">
        <w:rPr>
          <w:rStyle w:val="FootnoteReference"/>
        </w:rPr>
        <w:footnoteReference w:id="79"/>
      </w:r>
      <w:r w:rsidRPr="00FD5FC8">
        <w:t xml:space="preserve"> All but 131 of the total number of demolitions were in Area C or in East Jerusalem, and all but 146 were carried out on the grounds of a lack of Israeli-issued building permits.</w:t>
      </w:r>
    </w:p>
    <w:p w14:paraId="6BD157EA" w14:textId="77777777" w:rsidR="00F6262F" w:rsidRPr="00FD5FC8" w:rsidRDefault="00F6262F" w:rsidP="00F6262F">
      <w:pPr>
        <w:pStyle w:val="ParaNoG"/>
      </w:pPr>
      <w:r>
        <w:t>A</w:t>
      </w:r>
      <w:r w:rsidRPr="00FD5FC8">
        <w:t xml:space="preserve">larming levels of demolition continued </w:t>
      </w:r>
      <w:r>
        <w:t>during</w:t>
      </w:r>
      <w:r w:rsidRPr="00FD5FC8">
        <w:t xml:space="preserve"> the reporting period</w:t>
      </w:r>
      <w:r>
        <w:t>.</w:t>
      </w:r>
      <w:r w:rsidRPr="00FD5FC8">
        <w:t xml:space="preserve"> Israel demolished 914 Palestinian-owned structures in the West Bank, including East Jerusalem</w:t>
      </w:r>
      <w:r w:rsidRPr="00C430C7">
        <w:rPr>
          <w:rStyle w:val="FootnoteReference"/>
        </w:rPr>
        <w:footnoteReference w:id="80"/>
      </w:r>
      <w:r w:rsidRPr="00FD5FC8">
        <w:t xml:space="preserve"> </w:t>
      </w:r>
      <w:r w:rsidRPr="00FD5FC8">
        <w:lastRenderedPageBreak/>
        <w:t>(717 in Area C (78 per cent) and 166 (18 per cent) in East Jerusalem, forcibly evicting 1,079 Palestinians, including 521 children, 268 women and 284 men.</w:t>
      </w:r>
      <w:r w:rsidRPr="00C430C7">
        <w:rPr>
          <w:rStyle w:val="FootnoteReference"/>
        </w:rPr>
        <w:footnoteReference w:id="81"/>
      </w:r>
      <w:r w:rsidRPr="00FD5FC8">
        <w:t xml:space="preserve"> Demolished structures included 320 residential structures, 138 donor-funded structures provided as humanitarian aid, 50</w:t>
      </w:r>
      <w:r>
        <w:t xml:space="preserve"> water, sanitation and hygiene</w:t>
      </w:r>
      <w:r w:rsidRPr="00FD5FC8">
        <w:t xml:space="preserve"> </w:t>
      </w:r>
      <w:r>
        <w:t>facilities</w:t>
      </w:r>
      <w:r w:rsidRPr="00FD5FC8">
        <w:t xml:space="preserve"> and one school.</w:t>
      </w:r>
      <w:r w:rsidRPr="00C430C7">
        <w:rPr>
          <w:rStyle w:val="FootnoteReference"/>
        </w:rPr>
        <w:footnoteReference w:id="82"/>
      </w:r>
      <w:r w:rsidRPr="00FD5FC8">
        <w:t xml:space="preserve"> As of 31 October 2022, legal aid actors were covering at least 4,208 pending demolition and eviction orders against Palestinian structures,</w:t>
      </w:r>
      <w:r w:rsidRPr="00C430C7">
        <w:rPr>
          <w:rStyle w:val="FootnoteReference"/>
        </w:rPr>
        <w:footnoteReference w:id="83"/>
      </w:r>
      <w:r w:rsidRPr="00FD5FC8">
        <w:t xml:space="preserve"> with highest number of orders </w:t>
      </w:r>
      <w:r>
        <w:t xml:space="preserve">being </w:t>
      </w:r>
      <w:r w:rsidRPr="00FD5FC8">
        <w:t>in East Jerusalem</w:t>
      </w:r>
      <w:r>
        <w:t>,</w:t>
      </w:r>
      <w:r w:rsidRPr="00FD5FC8">
        <w:t xml:space="preserve"> followed by Ramallah, Bethlehem and Nablus. Destruction and appropriation of property in the occupied territory, </w:t>
      </w:r>
      <w:r>
        <w:t>un</w:t>
      </w:r>
      <w:r w:rsidRPr="00FD5FC8">
        <w:t>justified by military necessity and carried out unlawfully and wantonly</w:t>
      </w:r>
      <w:r>
        <w:t>,</w:t>
      </w:r>
      <w:r w:rsidRPr="00FD5FC8">
        <w:t xml:space="preserve"> is a grave breach of the Fourth Geneva Convention and thus amounts to a war crime.</w:t>
      </w:r>
      <w:r w:rsidRPr="00C430C7">
        <w:rPr>
          <w:rStyle w:val="FootnoteReference"/>
        </w:rPr>
        <w:footnoteReference w:id="84"/>
      </w:r>
      <w:r w:rsidRPr="00FD5FC8">
        <w:t xml:space="preserve"> </w:t>
      </w:r>
      <w:r>
        <w:t>T</w:t>
      </w:r>
      <w:r w:rsidRPr="00FD5FC8">
        <w:t>here are currently 56 schools with stop-work orders facing the risk of demolition across the West Bank and East Jerusalem</w:t>
      </w:r>
      <w:r>
        <w:t>. Such</w:t>
      </w:r>
      <w:r w:rsidRPr="00FD5FC8">
        <w:t xml:space="preserve"> </w:t>
      </w:r>
      <w:r>
        <w:t xml:space="preserve">stop-work orders affect </w:t>
      </w:r>
      <w:r w:rsidRPr="00FD5FC8">
        <w:t>the education of an estimated 6,550 students,</w:t>
      </w:r>
      <w:r w:rsidRPr="00C430C7">
        <w:rPr>
          <w:rStyle w:val="FootnoteReference"/>
        </w:rPr>
        <w:footnoteReference w:id="85"/>
      </w:r>
      <w:r w:rsidRPr="00FD5FC8">
        <w:t xml:space="preserve"> who also face heightened risk of forced child labour or early marriage,</w:t>
      </w:r>
      <w:r w:rsidRPr="00C430C7">
        <w:rPr>
          <w:rStyle w:val="FootnoteReference"/>
        </w:rPr>
        <w:footnoteReference w:id="86"/>
      </w:r>
      <w:r w:rsidRPr="00FD5FC8">
        <w:t xml:space="preserve"> in breach of the </w:t>
      </w:r>
      <w:r>
        <w:t xml:space="preserve">obligations of the </w:t>
      </w:r>
      <w:r w:rsidRPr="00FD5FC8">
        <w:t>occupying Power prohibiting the destruction of institutions dedicated to education.</w:t>
      </w:r>
      <w:r w:rsidRPr="00C430C7">
        <w:rPr>
          <w:rStyle w:val="FootnoteReference"/>
        </w:rPr>
        <w:footnoteReference w:id="87"/>
      </w:r>
    </w:p>
    <w:p w14:paraId="59269D73" w14:textId="4E952C7C" w:rsidR="00F6262F" w:rsidRPr="00FD5FC8" w:rsidRDefault="00F6262F" w:rsidP="00F6262F">
      <w:pPr>
        <w:pStyle w:val="ParaNoG"/>
      </w:pPr>
      <w:r w:rsidRPr="00FD5FC8">
        <w:t>Demolitions and ensuing forced evictions result in numerous human rights violations</w:t>
      </w:r>
      <w:r>
        <w:t xml:space="preserve">, with a negative impact on </w:t>
      </w:r>
      <w:r w:rsidRPr="00FD5FC8">
        <w:t>right</w:t>
      </w:r>
      <w:r>
        <w:t>s</w:t>
      </w:r>
      <w:r w:rsidRPr="00FD5FC8">
        <w:t xml:space="preserve"> to adequate housing, water, sanitation, health, education, family life, </w:t>
      </w:r>
      <w:proofErr w:type="gramStart"/>
      <w:r w:rsidRPr="00FD5FC8">
        <w:t>residency</w:t>
      </w:r>
      <w:proofErr w:type="gramEnd"/>
      <w:r w:rsidRPr="00FD5FC8">
        <w:t xml:space="preserve"> and freedom of movement.</w:t>
      </w:r>
      <w:r w:rsidRPr="00C430C7">
        <w:rPr>
          <w:rStyle w:val="FootnoteReference"/>
        </w:rPr>
        <w:footnoteReference w:id="88"/>
      </w:r>
      <w:r w:rsidRPr="00FD5FC8">
        <w:t xml:space="preserve"> Protection risks </w:t>
      </w:r>
      <w:r>
        <w:t xml:space="preserve">have been </w:t>
      </w:r>
      <w:r w:rsidRPr="00FD5FC8">
        <w:t>heightened</w:t>
      </w:r>
      <w:r>
        <w:t>,</w:t>
      </w:r>
      <w:r w:rsidRPr="00FD5FC8">
        <w:t xml:space="preserve"> and </w:t>
      </w:r>
      <w:r>
        <w:t xml:space="preserve">the </w:t>
      </w:r>
      <w:r w:rsidRPr="00FD5FC8">
        <w:t>coping capacities of communities affected,</w:t>
      </w:r>
      <w:r w:rsidRPr="00C430C7">
        <w:rPr>
          <w:rStyle w:val="FootnoteReference"/>
        </w:rPr>
        <w:footnoteReference w:id="89"/>
      </w:r>
      <w:r w:rsidRPr="00FD5FC8">
        <w:t xml:space="preserve"> with Palestinian women and girls disproportionally affected by distress and trauma</w:t>
      </w:r>
      <w:r>
        <w:t>.</w:t>
      </w:r>
      <w:r w:rsidRPr="00C430C7">
        <w:rPr>
          <w:rStyle w:val="FootnoteReference"/>
        </w:rPr>
        <w:footnoteReference w:id="90"/>
      </w:r>
    </w:p>
    <w:p w14:paraId="39731EEB" w14:textId="47C42F4E" w:rsidR="00F6262F" w:rsidRPr="00FD5FC8" w:rsidRDefault="00F6262F" w:rsidP="00F6262F">
      <w:pPr>
        <w:pStyle w:val="ParaNoG"/>
      </w:pPr>
      <w:r w:rsidRPr="00FD5FC8">
        <w:t xml:space="preserve">In recent years, Israel has introduced measures limiting </w:t>
      </w:r>
      <w:r>
        <w:t xml:space="preserve">the </w:t>
      </w:r>
      <w:r w:rsidRPr="00FD5FC8">
        <w:t xml:space="preserve">legal recourse for Palestinians in Area C, contributing to a notable deterioration in housing, </w:t>
      </w:r>
      <w:proofErr w:type="gramStart"/>
      <w:r w:rsidRPr="00FD5FC8">
        <w:t>land</w:t>
      </w:r>
      <w:proofErr w:type="gramEnd"/>
      <w:r w:rsidRPr="00FD5FC8">
        <w:t xml:space="preserve"> and property rights. Th</w:t>
      </w:r>
      <w:r>
        <w:t>ese measures</w:t>
      </w:r>
      <w:r w:rsidRPr="00FD5FC8">
        <w:t xml:space="preserve"> include Military Order No. 1797 regarding </w:t>
      </w:r>
      <w:r>
        <w:t xml:space="preserve">the </w:t>
      </w:r>
      <w:r w:rsidRPr="00FD5FC8">
        <w:t>removal of new structures,</w:t>
      </w:r>
      <w:r w:rsidRPr="00C430C7">
        <w:rPr>
          <w:rStyle w:val="FootnoteReference"/>
        </w:rPr>
        <w:footnoteReference w:id="91"/>
      </w:r>
      <w:r w:rsidRPr="00FD5FC8">
        <w:t xml:space="preserve"> allowing </w:t>
      </w:r>
      <w:r>
        <w:t xml:space="preserve">the Israeli Civil Administration </w:t>
      </w:r>
      <w:r w:rsidRPr="00FD5FC8">
        <w:t xml:space="preserve">to remove “new” structures after 96 hours of the issuance of a removal order. </w:t>
      </w:r>
      <w:r>
        <w:t>According to information from the Office for the Coordination of Humanitarian Affairs (OCHA), t</w:t>
      </w:r>
      <w:r w:rsidRPr="00FD5FC8">
        <w:t xml:space="preserve">he order has been implemented in 158 recorded incidents since it came into effect in 2018 and for 42 structures </w:t>
      </w:r>
      <w:r>
        <w:t>during</w:t>
      </w:r>
      <w:r w:rsidRPr="00FD5FC8">
        <w:t xml:space="preserve"> th</w:t>
      </w:r>
      <w:r>
        <w:t xml:space="preserve">e </w:t>
      </w:r>
      <w:r w:rsidRPr="00FD5FC8">
        <w:t>reporting period. Similarly, administrative orders introduced and/or amended in recent years</w:t>
      </w:r>
      <w:r w:rsidRPr="00C430C7">
        <w:rPr>
          <w:rStyle w:val="FootnoteReference"/>
        </w:rPr>
        <w:footnoteReference w:id="92"/>
      </w:r>
      <w:r w:rsidRPr="00FD5FC8">
        <w:t xml:space="preserve"> have resulted in a steady increase in </w:t>
      </w:r>
      <w:r>
        <w:t xml:space="preserve">the </w:t>
      </w:r>
      <w:r w:rsidRPr="00FD5FC8">
        <w:t>seizure of structures in Area C</w:t>
      </w:r>
      <w:r>
        <w:t xml:space="preserve">: </w:t>
      </w:r>
      <w:r w:rsidRPr="00FD5FC8">
        <w:t>from 6 in 2017</w:t>
      </w:r>
      <w:r>
        <w:t>,</w:t>
      </w:r>
      <w:r w:rsidRPr="00FD5FC8">
        <w:t xml:space="preserve"> 17 in 2018</w:t>
      </w:r>
      <w:r>
        <w:t>,</w:t>
      </w:r>
      <w:r w:rsidRPr="00FD5FC8">
        <w:t xml:space="preserve"> 27 in 2019</w:t>
      </w:r>
      <w:r>
        <w:t>,</w:t>
      </w:r>
      <w:r w:rsidRPr="00FD5FC8">
        <w:t xml:space="preserve"> 33 in 2020</w:t>
      </w:r>
      <w:r>
        <w:t xml:space="preserve"> </w:t>
      </w:r>
      <w:r w:rsidRPr="00FD5FC8">
        <w:t xml:space="preserve">and 82 in 2021. </w:t>
      </w:r>
      <w:r>
        <w:t>During t</w:t>
      </w:r>
      <w:r w:rsidRPr="00FD5FC8">
        <w:t>he reporting period</w:t>
      </w:r>
      <w:r>
        <w:t>,</w:t>
      </w:r>
      <w:r w:rsidRPr="00FD5FC8">
        <w:t xml:space="preserve"> 131 </w:t>
      </w:r>
      <w:r>
        <w:t xml:space="preserve">such </w:t>
      </w:r>
      <w:r w:rsidRPr="00FD5FC8">
        <w:t>seizures</w:t>
      </w:r>
      <w:r>
        <w:t xml:space="preserve"> were recorded.</w:t>
      </w:r>
      <w:r w:rsidRPr="00C430C7">
        <w:rPr>
          <w:rStyle w:val="FootnoteReference"/>
        </w:rPr>
        <w:footnoteReference w:id="93"/>
      </w:r>
    </w:p>
    <w:p w14:paraId="1075E48E" w14:textId="77777777" w:rsidR="00F6262F" w:rsidRPr="00FD5FC8" w:rsidRDefault="00F6262F" w:rsidP="00F6262F">
      <w:pPr>
        <w:pStyle w:val="ParaNoG"/>
      </w:pPr>
      <w:r w:rsidRPr="00FD5FC8">
        <w:t>These orders serve to circumvent procedures established under planning legislation, severely restricting the ability of Palestinians to be heard before a judicial body.</w:t>
      </w:r>
      <w:r>
        <w:t xml:space="preserve"> </w:t>
      </w:r>
      <w:r w:rsidRPr="00FD5FC8">
        <w:t xml:space="preserve">Further, significant political pressure is </w:t>
      </w:r>
      <w:r>
        <w:t xml:space="preserve">being </w:t>
      </w:r>
      <w:r w:rsidRPr="00FD5FC8">
        <w:t xml:space="preserve">exerted </w:t>
      </w:r>
      <w:r>
        <w:t xml:space="preserve">on the Israeli Civil Administration </w:t>
      </w:r>
      <w:r w:rsidRPr="00FD5FC8">
        <w:t xml:space="preserve">by pro-settlement </w:t>
      </w:r>
      <w:r>
        <w:t>m</w:t>
      </w:r>
      <w:r w:rsidRPr="00FD5FC8">
        <w:t xml:space="preserve">embers of Knesset and </w:t>
      </w:r>
      <w:r>
        <w:t xml:space="preserve">leaders of the </w:t>
      </w:r>
      <w:r w:rsidRPr="00FD5FC8">
        <w:t xml:space="preserve">settler movement to increase </w:t>
      </w:r>
      <w:r>
        <w:t xml:space="preserve">the </w:t>
      </w:r>
      <w:r w:rsidRPr="00FD5FC8">
        <w:t>enforcement of demolition orders.</w:t>
      </w:r>
      <w:r w:rsidRPr="00C430C7">
        <w:rPr>
          <w:rStyle w:val="FootnoteReference"/>
        </w:rPr>
        <w:footnoteReference w:id="94"/>
      </w:r>
    </w:p>
    <w:p w14:paraId="15CDE47E" w14:textId="77777777" w:rsidR="00F6262F" w:rsidRPr="00FD5FC8" w:rsidRDefault="00F6262F" w:rsidP="00F6262F">
      <w:pPr>
        <w:pStyle w:val="ParaNoG"/>
      </w:pPr>
      <w:proofErr w:type="gramStart"/>
      <w:r w:rsidRPr="00FD5FC8">
        <w:lastRenderedPageBreak/>
        <w:t>I</w:t>
      </w:r>
      <w:r>
        <w:t xml:space="preserve">t is clear that </w:t>
      </w:r>
      <w:r w:rsidRPr="00FD5FC8">
        <w:t>Israeli</w:t>
      </w:r>
      <w:proofErr w:type="gramEnd"/>
      <w:r w:rsidRPr="00FD5FC8">
        <w:t xml:space="preserve"> planning and zoning regimes in Area C and East Jerusalem are discriminatory,</w:t>
      </w:r>
      <w:r w:rsidRPr="00C430C7">
        <w:rPr>
          <w:rStyle w:val="FootnoteReference"/>
        </w:rPr>
        <w:footnoteReference w:id="95"/>
      </w:r>
      <w:r w:rsidRPr="00FD5FC8">
        <w:t xml:space="preserve"> rendering it almost impossible for Palestinians to obtain building permits.</w:t>
      </w:r>
      <w:r w:rsidRPr="00C430C7">
        <w:rPr>
          <w:rStyle w:val="FootnoteReference"/>
        </w:rPr>
        <w:footnoteReference w:id="96"/>
      </w:r>
      <w:r>
        <w:t xml:space="preserve"> D</w:t>
      </w:r>
      <w:r w:rsidRPr="00FD5FC8">
        <w:t xml:space="preserve">ata </w:t>
      </w:r>
      <w:r>
        <w:t xml:space="preserve">from the Israeli Civil Administration </w:t>
      </w:r>
      <w:r w:rsidRPr="00FD5FC8">
        <w:t xml:space="preserve">made public in December 2021 revealed that fewer than </w:t>
      </w:r>
      <w:r>
        <w:t>1</w:t>
      </w:r>
      <w:r w:rsidRPr="00FD5FC8">
        <w:t xml:space="preserve"> per cent of Palestinian construction permits (24 of 2</w:t>
      </w:r>
      <w:r>
        <w:t>,</w:t>
      </w:r>
      <w:r w:rsidRPr="00FD5FC8">
        <w:t>550) in Area C had been approved between 2016 and 2020.</w:t>
      </w:r>
      <w:r w:rsidRPr="00C430C7">
        <w:rPr>
          <w:rStyle w:val="FootnoteReference"/>
        </w:rPr>
        <w:footnoteReference w:id="97"/>
      </w:r>
      <w:r w:rsidRPr="007B04FC">
        <w:t xml:space="preserve"> </w:t>
      </w:r>
      <w:r w:rsidRPr="00FD5FC8">
        <w:t>In contrast, 8,356</w:t>
      </w:r>
      <w:r>
        <w:t xml:space="preserve"> </w:t>
      </w:r>
      <w:r w:rsidRPr="00FD5FC8">
        <w:t>permits for Israeli settlement housing</w:t>
      </w:r>
      <w:r>
        <w:t xml:space="preserve"> </w:t>
      </w:r>
      <w:r w:rsidRPr="00FD5FC8">
        <w:t>units were issued.</w:t>
      </w:r>
    </w:p>
    <w:p w14:paraId="16C38580" w14:textId="75219859" w:rsidR="00F6262F" w:rsidRPr="00FD5FC8" w:rsidRDefault="00F6262F" w:rsidP="00F6262F">
      <w:pPr>
        <w:pStyle w:val="ParaNoG"/>
      </w:pPr>
      <w:r w:rsidRPr="00FD5FC8">
        <w:t xml:space="preserve">In occupied East Jerusalem, Israel has zoned only 15 per cent of the area illegally annexed by Israel in 1967 for Palestinian housing needs, compared to 38 per cent allocated </w:t>
      </w:r>
      <w:r>
        <w:t>for</w:t>
      </w:r>
      <w:r w:rsidRPr="00FD5FC8">
        <w:t xml:space="preserve"> settlement construction.</w:t>
      </w:r>
      <w:r w:rsidRPr="00C430C7">
        <w:rPr>
          <w:rStyle w:val="FootnoteReference"/>
        </w:rPr>
        <w:footnoteReference w:id="98"/>
      </w:r>
      <w:r w:rsidRPr="0035397C">
        <w:t xml:space="preserve"> </w:t>
      </w:r>
      <w:r w:rsidRPr="00FD5FC8">
        <w:t xml:space="preserve">Data provided by the Jerusalem </w:t>
      </w:r>
      <w:r>
        <w:t>m</w:t>
      </w:r>
      <w:r w:rsidRPr="00FD5FC8">
        <w:t xml:space="preserve">unicipality show that while Palestinian </w:t>
      </w:r>
      <w:r>
        <w:t xml:space="preserve">people </w:t>
      </w:r>
      <w:r w:rsidRPr="00FD5FC8">
        <w:t>account for 38 per cent of the overall population of Jerusalem, between 1991 and 2018 only 16.5 per cent of building permits were issued for construction in Palestinian neighbo</w:t>
      </w:r>
      <w:r>
        <w:t>u</w:t>
      </w:r>
      <w:r w:rsidRPr="00FD5FC8">
        <w:t>rhoods, mainly for small-scale private projects.</w:t>
      </w:r>
      <w:r w:rsidRPr="00C430C7">
        <w:rPr>
          <w:rStyle w:val="FootnoteReference"/>
        </w:rPr>
        <w:footnoteReference w:id="99"/>
      </w:r>
      <w:r w:rsidRPr="0035397C">
        <w:t xml:space="preserve"> </w:t>
      </w:r>
      <w:r w:rsidRPr="00FD5FC8">
        <w:t xml:space="preserve">By contrast, 37.8 per cent of </w:t>
      </w:r>
      <w:r>
        <w:t xml:space="preserve">all </w:t>
      </w:r>
      <w:r w:rsidRPr="00FD5FC8">
        <w:t xml:space="preserve">permits were issued for settlement construction in East Jerusalem. As a result, a third of Palestinian homes in East Jerusalem have been built without the required Israeli permit, </w:t>
      </w:r>
      <w:r>
        <w:t xml:space="preserve">which </w:t>
      </w:r>
      <w:r w:rsidRPr="00FD5FC8">
        <w:t>makes them subject to demolition orders.</w:t>
      </w:r>
      <w:r w:rsidRPr="00C430C7">
        <w:rPr>
          <w:rStyle w:val="FootnoteReference"/>
        </w:rPr>
        <w:footnoteReference w:id="100"/>
      </w:r>
    </w:p>
    <w:p w14:paraId="65E53D2A" w14:textId="77777777" w:rsidR="00F6262F" w:rsidRPr="00FD5FC8" w:rsidRDefault="00F6262F" w:rsidP="00F6262F">
      <w:pPr>
        <w:pStyle w:val="ParaNoG"/>
      </w:pPr>
      <w:r w:rsidRPr="00FD5FC8">
        <w:t xml:space="preserve">Between 2012 and 2021, Israeli authorities demolished 1,407 Palestinian houses in East Jerusalem. </w:t>
      </w:r>
      <w:r>
        <w:t xml:space="preserve">Within the </w:t>
      </w:r>
      <w:r w:rsidRPr="00FD5FC8">
        <w:t>reporting period alone</w:t>
      </w:r>
      <w:r>
        <w:t>,</w:t>
      </w:r>
      <w:r w:rsidRPr="00FD5FC8">
        <w:t xml:space="preserve"> 166 houses were demolished and 86 </w:t>
      </w:r>
      <w:r>
        <w:t xml:space="preserve">were demolished by </w:t>
      </w:r>
      <w:r w:rsidRPr="00FD5FC8">
        <w:t xml:space="preserve">their owners. Demolitions </w:t>
      </w:r>
      <w:r>
        <w:t xml:space="preserve">owing to the </w:t>
      </w:r>
      <w:r w:rsidRPr="00FD5FC8">
        <w:t>lack of building permits appear to be on the increase</w:t>
      </w:r>
      <w:r>
        <w:t>,</w:t>
      </w:r>
      <w:r w:rsidRPr="00FD5FC8">
        <w:t xml:space="preserve"> with the number of structures demolished in East Jerusalem in 2021 (177) totalling approximately the same as </w:t>
      </w:r>
      <w:r>
        <w:t xml:space="preserve">the total over </w:t>
      </w:r>
      <w:r w:rsidRPr="00FD5FC8">
        <w:t>the past four years (2017</w:t>
      </w:r>
      <w:r>
        <w:t>–</w:t>
      </w:r>
      <w:r w:rsidRPr="00FD5FC8">
        <w:t>2020).</w:t>
      </w:r>
      <w:r w:rsidRPr="00C430C7">
        <w:rPr>
          <w:rStyle w:val="FootnoteReference"/>
        </w:rPr>
        <w:footnoteReference w:id="101"/>
      </w:r>
      <w:r w:rsidRPr="00FD5FC8">
        <w:t xml:space="preserve"> Fuelling the recent acceleration </w:t>
      </w:r>
      <w:r>
        <w:t xml:space="preserve">in the </w:t>
      </w:r>
      <w:r w:rsidRPr="00FD5FC8">
        <w:t xml:space="preserve">demolition of newly built Palestinian structures in East Jerusalem is </w:t>
      </w:r>
      <w:r>
        <w:t xml:space="preserve">the adoption of </w:t>
      </w:r>
      <w:r w:rsidRPr="00FD5FC8">
        <w:t>amendment 116 to the planning and building law</w:t>
      </w:r>
      <w:r>
        <w:t>,</w:t>
      </w:r>
      <w:r w:rsidRPr="00FD5FC8">
        <w:t xml:space="preserve"> </w:t>
      </w:r>
      <w:r>
        <w:t xml:space="preserve">effective </w:t>
      </w:r>
      <w:r w:rsidRPr="00FD5FC8">
        <w:t>from October 2017, enabling expedited demolitions</w:t>
      </w:r>
      <w:r w:rsidRPr="00C430C7">
        <w:rPr>
          <w:rStyle w:val="FootnoteReference"/>
        </w:rPr>
        <w:footnoteReference w:id="102"/>
      </w:r>
      <w:r w:rsidRPr="00FD5FC8">
        <w:t xml:space="preserve"> and further limiting opportunities for legal recourse. </w:t>
      </w:r>
      <w:r>
        <w:t>The</w:t>
      </w:r>
      <w:r w:rsidRPr="00FD5FC8">
        <w:t xml:space="preserve"> number of Palestinians in East Jerusalem </w:t>
      </w:r>
      <w:r>
        <w:t xml:space="preserve">who </w:t>
      </w:r>
      <w:r w:rsidRPr="00FD5FC8">
        <w:t>have been forced to self-demolish their properties</w:t>
      </w:r>
      <w:r>
        <w:t xml:space="preserve"> is on the rise</w:t>
      </w:r>
      <w:r w:rsidRPr="00FD5FC8">
        <w:t xml:space="preserve"> (16 structures in 2013; 58 in 2019</w:t>
      </w:r>
      <w:r>
        <w:t>;</w:t>
      </w:r>
      <w:r w:rsidRPr="00FD5FC8">
        <w:t xml:space="preserve"> 89 in 2020</w:t>
      </w:r>
      <w:r>
        <w:t>;</w:t>
      </w:r>
      <w:r w:rsidRPr="00FD5FC8">
        <w:t xml:space="preserve"> and 101 in 2022). This trend is on the rise since </w:t>
      </w:r>
      <w:r>
        <w:t xml:space="preserve">the </w:t>
      </w:r>
      <w:r w:rsidRPr="00FD5FC8">
        <w:t>new regulations came into force in 2018</w:t>
      </w:r>
      <w:r w:rsidRPr="00C430C7">
        <w:rPr>
          <w:rStyle w:val="FootnoteReference"/>
        </w:rPr>
        <w:footnoteReference w:id="103"/>
      </w:r>
      <w:r w:rsidRPr="00FD5FC8">
        <w:t xml:space="preserve"> </w:t>
      </w:r>
      <w:r>
        <w:t xml:space="preserve">– it is </w:t>
      </w:r>
      <w:r w:rsidRPr="00FD5FC8">
        <w:t xml:space="preserve">the only way to avoid paying </w:t>
      </w:r>
      <w:r>
        <w:t xml:space="preserve">the </w:t>
      </w:r>
      <w:r w:rsidRPr="00FD5FC8">
        <w:t>large fines and charges concomitant with the Israeli municipality carrying out the demolition</w:t>
      </w:r>
      <w:r>
        <w:t>.</w:t>
      </w:r>
      <w:r w:rsidRPr="00C430C7">
        <w:rPr>
          <w:rStyle w:val="FootnoteReference"/>
        </w:rPr>
        <w:footnoteReference w:id="104"/>
      </w:r>
    </w:p>
    <w:p w14:paraId="266860E8" w14:textId="77777777" w:rsidR="00F6262F" w:rsidRPr="00FD5FC8" w:rsidRDefault="00F6262F" w:rsidP="00F6262F">
      <w:pPr>
        <w:pStyle w:val="ParaNoG"/>
        <w:rPr>
          <w:rFonts w:eastAsia="Calibri"/>
        </w:rPr>
      </w:pPr>
      <w:r w:rsidRPr="00FD5FC8">
        <w:t>The Human Rights Committee has concluded</w:t>
      </w:r>
      <w:r>
        <w:t xml:space="preserve"> that</w:t>
      </w:r>
      <w:r w:rsidRPr="00FD5FC8">
        <w:t xml:space="preserve"> such </w:t>
      </w:r>
      <w:r>
        <w:t>“</w:t>
      </w:r>
      <w:r w:rsidRPr="00FD5FC8">
        <w:t>systematic practice of demolitions and forced evictions based on the discriminatory policies ha</w:t>
      </w:r>
      <w:r>
        <w:t>ve</w:t>
      </w:r>
      <w:r w:rsidRPr="00FD5FC8">
        <w:t xml:space="preserve"> led to the separation of Jewish and Palestinian communities in the Occupied Palestinian Territory, which amounts to racial segregation”.</w:t>
      </w:r>
      <w:r w:rsidRPr="00C430C7">
        <w:rPr>
          <w:rStyle w:val="FootnoteReference"/>
        </w:rPr>
        <w:footnoteReference w:id="105"/>
      </w:r>
    </w:p>
    <w:p w14:paraId="0D5A664C" w14:textId="53B9E9D9" w:rsidR="00F6262F" w:rsidRPr="00CB2D8E" w:rsidRDefault="00F6262F" w:rsidP="00866AAE">
      <w:pPr>
        <w:pStyle w:val="H4G"/>
        <w:rPr>
          <w:i w:val="0"/>
          <w:iCs/>
        </w:rPr>
      </w:pPr>
      <w:r w:rsidRPr="00AF6248">
        <w:tab/>
      </w:r>
      <w:r w:rsidRPr="00AF6248">
        <w:tab/>
        <w:t>Additional discriminatory laws in East Jerusalem</w:t>
      </w:r>
    </w:p>
    <w:p w14:paraId="6013260F" w14:textId="77777777" w:rsidR="00F6262F" w:rsidRPr="00FD5FC8" w:rsidRDefault="00F6262F" w:rsidP="00F6262F">
      <w:pPr>
        <w:pStyle w:val="ParaNoG"/>
      </w:pPr>
      <w:r w:rsidRPr="00FD5FC8">
        <w:t>The right to housing for Palestinians in East Jerusalem is further undermined by the Absentee</w:t>
      </w:r>
      <w:r>
        <w:t>s’</w:t>
      </w:r>
      <w:r w:rsidRPr="00FD5FC8">
        <w:t xml:space="preserve"> Property Law,</w:t>
      </w:r>
      <w:r w:rsidRPr="00C430C7">
        <w:rPr>
          <w:rStyle w:val="FootnoteReference"/>
        </w:rPr>
        <w:footnoteReference w:id="106"/>
      </w:r>
      <w:r w:rsidRPr="00CB2D8E">
        <w:t xml:space="preserve"> </w:t>
      </w:r>
      <w:r w:rsidRPr="00FD5FC8">
        <w:t xml:space="preserve">enacted in 1950, which allows the confiscation of property from Palestinians in areas where “the law of the State of Israel applies” if the owner of the property fled or was otherwise outside that area after </w:t>
      </w:r>
      <w:r>
        <w:t>27 November 1947.</w:t>
      </w:r>
      <w:r w:rsidRPr="00C430C7">
        <w:rPr>
          <w:rStyle w:val="FootnoteReference"/>
        </w:rPr>
        <w:footnoteReference w:id="107"/>
      </w:r>
      <w:r w:rsidRPr="00F14BCB">
        <w:t xml:space="preserve"> </w:t>
      </w:r>
      <w:r w:rsidRPr="00FD5FC8">
        <w:t>Since the illegal annexation of East Jerusalem under international law,</w:t>
      </w:r>
      <w:r w:rsidRPr="00C430C7">
        <w:rPr>
          <w:rStyle w:val="FootnoteReference"/>
        </w:rPr>
        <w:footnoteReference w:id="108"/>
      </w:r>
      <w:r w:rsidRPr="00FD5FC8">
        <w:t xml:space="preserve"> property owned by Palestinians </w:t>
      </w:r>
      <w:r w:rsidRPr="00FD5FC8">
        <w:lastRenderedPageBreak/>
        <w:t xml:space="preserve">residing outside the city has been determined to be “absentee property”, </w:t>
      </w:r>
      <w:r>
        <w:t xml:space="preserve">which, </w:t>
      </w:r>
      <w:r w:rsidRPr="00FD5FC8">
        <w:t>in some cases</w:t>
      </w:r>
      <w:r>
        <w:t>,</w:t>
      </w:r>
      <w:r w:rsidRPr="00FD5FC8">
        <w:t xml:space="preserve"> </w:t>
      </w:r>
      <w:r>
        <w:t xml:space="preserve">has been </w:t>
      </w:r>
      <w:r w:rsidRPr="00FD5FC8">
        <w:t>transferred or sold to settler organizations.</w:t>
      </w:r>
      <w:r w:rsidRPr="00C430C7">
        <w:rPr>
          <w:rStyle w:val="FootnoteReference"/>
        </w:rPr>
        <w:footnoteReference w:id="109"/>
      </w:r>
      <w:r w:rsidRPr="00FD5FC8">
        <w:t xml:space="preserve"> </w:t>
      </w:r>
      <w:r>
        <w:t>While t</w:t>
      </w:r>
      <w:r w:rsidRPr="00FD5FC8">
        <w:t xml:space="preserve">he Legal and Administrative Matters Law </w:t>
      </w:r>
      <w:r>
        <w:t xml:space="preserve">of 1970 </w:t>
      </w:r>
      <w:r w:rsidRPr="00FD5FC8">
        <w:t xml:space="preserve">permits claims for </w:t>
      </w:r>
      <w:r>
        <w:t xml:space="preserve">the </w:t>
      </w:r>
      <w:r w:rsidRPr="00FD5FC8">
        <w:t>restitution of property in East Jerusalem owned by Jewish persons before 1948,</w:t>
      </w:r>
      <w:r>
        <w:t xml:space="preserve"> </w:t>
      </w:r>
      <w:r w:rsidRPr="00FD5FC8">
        <w:t>it does not allow equivalent Palestinian claims of ownership in West Jerusalem. It is estimated that hundreds of properties have been taken over by settlers in East Jerusalem since the 1980s under the two laws, as well as through archaeological or tourism projects and transactions involving Palestinian property, including fraudulent purchases.</w:t>
      </w:r>
      <w:r w:rsidRPr="00C430C7">
        <w:rPr>
          <w:rStyle w:val="FootnoteReference"/>
        </w:rPr>
        <w:footnoteReference w:id="110"/>
      </w:r>
      <w:r w:rsidRPr="00B3083D">
        <w:t xml:space="preserve"> </w:t>
      </w:r>
      <w:r w:rsidRPr="00FD5FC8">
        <w:t>By applying the Absentee</w:t>
      </w:r>
      <w:r>
        <w:t>s’</w:t>
      </w:r>
      <w:r w:rsidRPr="00FD5FC8">
        <w:t xml:space="preserve"> Property Law and the Legal and Administrative Matters Law in East Jerusalem, Israel </w:t>
      </w:r>
      <w:r>
        <w:t xml:space="preserve">is </w:t>
      </w:r>
      <w:r w:rsidRPr="00FD5FC8">
        <w:t>exceeding the limited legislative authority that an occupying Power may exercise under international humanitarian law. Both laws are seemingly inconsistent with the obligation that private property in occupied territory must be respected and cannot be confiscated.</w:t>
      </w:r>
      <w:r w:rsidRPr="00C430C7">
        <w:rPr>
          <w:rStyle w:val="FootnoteReference"/>
        </w:rPr>
        <w:footnoteReference w:id="111"/>
      </w:r>
      <w:r w:rsidRPr="00B3083D">
        <w:t xml:space="preserve"> </w:t>
      </w:r>
      <w:r w:rsidRPr="00FD5FC8">
        <w:t xml:space="preserve">In addition, confiscations under the laws are carried out solely </w:t>
      </w:r>
      <w:proofErr w:type="gramStart"/>
      <w:r w:rsidRPr="00FD5FC8">
        <w:t>on the basis of</w:t>
      </w:r>
      <w:proofErr w:type="gramEnd"/>
      <w:r w:rsidRPr="00FD5FC8">
        <w:t xml:space="preserve"> the nationality or origin of the owner, rendering </w:t>
      </w:r>
      <w:r>
        <w:t>such laws</w:t>
      </w:r>
      <w:r w:rsidRPr="00FD5FC8">
        <w:t xml:space="preserve"> inherently discriminatory.</w:t>
      </w:r>
    </w:p>
    <w:p w14:paraId="59A7ECFB" w14:textId="77777777" w:rsidR="00F6262F" w:rsidRPr="00FD5FC8" w:rsidRDefault="00F6262F" w:rsidP="00F6262F">
      <w:pPr>
        <w:pStyle w:val="ParaNoG"/>
      </w:pPr>
      <w:r w:rsidRPr="00FD5FC8">
        <w:t>Within occupied East Jerusalem, at least 218 Palestinian households</w:t>
      </w:r>
      <w:r>
        <w:t>,</w:t>
      </w:r>
      <w:r w:rsidRPr="00841298">
        <w:t xml:space="preserve"> </w:t>
      </w:r>
      <w:r w:rsidRPr="00FD5FC8">
        <w:t xml:space="preserve">mostly in </w:t>
      </w:r>
      <w:r>
        <w:t xml:space="preserve">the </w:t>
      </w:r>
      <w:r w:rsidRPr="00FD5FC8">
        <w:t xml:space="preserve">neighbourhoods of Sheikh Jarrah and Silwan, are facing the threat of forced eviction, </w:t>
      </w:r>
      <w:r>
        <w:t xml:space="preserve">their </w:t>
      </w:r>
      <w:r w:rsidRPr="00FD5FC8">
        <w:t>residents liv</w:t>
      </w:r>
      <w:r>
        <w:t>ing</w:t>
      </w:r>
      <w:r w:rsidRPr="00FD5FC8">
        <w:t xml:space="preserve"> </w:t>
      </w:r>
      <w:r>
        <w:t xml:space="preserve">in </w:t>
      </w:r>
      <w:r w:rsidRPr="00FD5FC8">
        <w:t>constant fear and anxiety</w:t>
      </w:r>
      <w:r>
        <w:t>,</w:t>
      </w:r>
      <w:r w:rsidRPr="00FD5FC8">
        <w:t xml:space="preserve"> owing to cases filed in Israeli courts, primarily by Israeli settler organizations</w:t>
      </w:r>
      <w:r>
        <w:t>.</w:t>
      </w:r>
      <w:r w:rsidRPr="00C430C7">
        <w:rPr>
          <w:rStyle w:val="FootnoteReference"/>
        </w:rPr>
        <w:footnoteReference w:id="112"/>
      </w:r>
      <w:r w:rsidRPr="00FD5FC8">
        <w:t xml:space="preserve"> The settlement of title procedure coupled with discriminatory legal structure</w:t>
      </w:r>
      <w:r w:rsidRPr="00C430C7">
        <w:rPr>
          <w:rStyle w:val="FootnoteReference"/>
        </w:rPr>
        <w:footnoteReference w:id="113"/>
      </w:r>
      <w:r w:rsidRPr="00FD5FC8">
        <w:t xml:space="preserve"> and settlement expansion plans currently under</w:t>
      </w:r>
      <w:r>
        <w:t xml:space="preserve"> </w:t>
      </w:r>
      <w:r w:rsidRPr="00FD5FC8">
        <w:t>way</w:t>
      </w:r>
      <w:r w:rsidRPr="00C430C7">
        <w:rPr>
          <w:rStyle w:val="FootnoteReference"/>
        </w:rPr>
        <w:footnoteReference w:id="114"/>
      </w:r>
      <w:r w:rsidRPr="00FD5FC8">
        <w:t xml:space="preserve"> could cause a significant rise in eviction lawsuits against Palestinians residing in East Jerusalem.</w:t>
      </w:r>
    </w:p>
    <w:p w14:paraId="1A3B49BB" w14:textId="37B5D570" w:rsidR="00F6262F" w:rsidRPr="00A7393D" w:rsidRDefault="00F6262F" w:rsidP="00A7393D">
      <w:pPr>
        <w:pStyle w:val="H4G"/>
      </w:pPr>
      <w:r w:rsidRPr="00AF6248">
        <w:tab/>
      </w:r>
      <w:r w:rsidRPr="00AF6248">
        <w:tab/>
        <w:t>Settlement-related violence</w:t>
      </w:r>
    </w:p>
    <w:p w14:paraId="6F8837AA" w14:textId="77777777" w:rsidR="00F6262F" w:rsidRPr="00FD5FC8" w:rsidRDefault="00F6262F" w:rsidP="00F6262F">
      <w:pPr>
        <w:pStyle w:val="ParaNoG"/>
      </w:pPr>
      <w:r w:rsidRPr="00FD5FC8">
        <w:t>Settler violence adversely affects Palestinian society, violating a range of rights.</w:t>
      </w:r>
      <w:r w:rsidRPr="00C430C7">
        <w:rPr>
          <w:rStyle w:val="FootnoteReference"/>
        </w:rPr>
        <w:footnoteReference w:id="115"/>
      </w:r>
      <w:r w:rsidRPr="00FD5FC8">
        <w:t xml:space="preserve"> Over the past 10 years, OHCHR has documented how </w:t>
      </w:r>
      <w:r>
        <w:t>Israeli security forces</w:t>
      </w:r>
      <w:r w:rsidRPr="00FD5FC8">
        <w:t xml:space="preserve"> have not only stood by idly but </w:t>
      </w:r>
      <w:r>
        <w:t xml:space="preserve">have </w:t>
      </w:r>
      <w:r w:rsidRPr="00FD5FC8">
        <w:t>actively participated in the violence against Palestinians, including with deadly consequences.</w:t>
      </w:r>
      <w:r w:rsidRPr="00C430C7">
        <w:rPr>
          <w:rStyle w:val="FootnoteReference"/>
        </w:rPr>
        <w:footnoteReference w:id="116"/>
      </w:r>
      <w:r w:rsidRPr="00FD5FC8">
        <w:t xml:space="preserve"> The settler presence and violence</w:t>
      </w:r>
      <w:r>
        <w:t>, which</w:t>
      </w:r>
      <w:r w:rsidRPr="00FD5FC8">
        <w:t xml:space="preserve"> appears designed to terrori</w:t>
      </w:r>
      <w:r>
        <w:t>z</w:t>
      </w:r>
      <w:r w:rsidRPr="00FD5FC8">
        <w:t xml:space="preserve">e Palestinians as part of a </w:t>
      </w:r>
      <w:r w:rsidRPr="00FD5FC8">
        <w:rPr>
          <w:rFonts w:eastAsia="Calibri"/>
        </w:rPr>
        <w:t>calculated</w:t>
      </w:r>
      <w:r w:rsidRPr="00FD5FC8">
        <w:t xml:space="preserve"> and systematic effort to expand Israeli control beyond the settlement jurisdiction areas</w:t>
      </w:r>
      <w:r>
        <w:t>,</w:t>
      </w:r>
      <w:r w:rsidRPr="00FD5FC8">
        <w:t xml:space="preserve"> has also reduced Palestinians’ access to land and consolidated the presence and expansion of Israeli settlements and outposts.</w:t>
      </w:r>
      <w:r w:rsidRPr="00C430C7">
        <w:rPr>
          <w:rStyle w:val="FootnoteReference"/>
        </w:rPr>
        <w:footnoteReference w:id="117"/>
      </w:r>
      <w:r w:rsidRPr="00FD5FC8">
        <w:t xml:space="preserve"> The climate of fear and intimidation has </w:t>
      </w:r>
      <w:r>
        <w:t xml:space="preserve">had </w:t>
      </w:r>
      <w:r w:rsidRPr="00FD5FC8">
        <w:t>a serious psychological impact</w:t>
      </w:r>
      <w:r>
        <w:t xml:space="preserve"> on Palestinians</w:t>
      </w:r>
      <w:r w:rsidRPr="00C430C7">
        <w:rPr>
          <w:rStyle w:val="FootnoteReference"/>
        </w:rPr>
        <w:footnoteReference w:id="118"/>
      </w:r>
      <w:r w:rsidRPr="00FD5FC8">
        <w:t xml:space="preserve"> and </w:t>
      </w:r>
      <w:r>
        <w:t xml:space="preserve">the </w:t>
      </w:r>
      <w:r w:rsidRPr="00FD5FC8">
        <w:t xml:space="preserve">increasingly severe </w:t>
      </w:r>
      <w:r>
        <w:t xml:space="preserve">level of </w:t>
      </w:r>
      <w:r w:rsidRPr="00FD5FC8">
        <w:t xml:space="preserve">settler violence is a key component of </w:t>
      </w:r>
      <w:r>
        <w:t xml:space="preserve">the </w:t>
      </w:r>
      <w:r w:rsidRPr="00FD5FC8">
        <w:t xml:space="preserve">coercive environment, increasing </w:t>
      </w:r>
      <w:r>
        <w:t xml:space="preserve">their </w:t>
      </w:r>
      <w:r w:rsidRPr="00FD5FC8">
        <w:t>risk of forcible transfer.</w:t>
      </w:r>
    </w:p>
    <w:p w14:paraId="57CC5F74" w14:textId="77777777" w:rsidR="00F6262F" w:rsidRPr="00FD5FC8" w:rsidRDefault="00F6262F" w:rsidP="00F6262F">
      <w:pPr>
        <w:pStyle w:val="ParaNoG"/>
      </w:pPr>
      <w:r>
        <w:t>Over</w:t>
      </w:r>
      <w:r w:rsidRPr="00FD5FC8">
        <w:t xml:space="preserve"> the past 10 years there have been a total of 3,372 </w:t>
      </w:r>
      <w:r>
        <w:t xml:space="preserve">incidents of </w:t>
      </w:r>
      <w:r w:rsidRPr="00FD5FC8">
        <w:t>settler violence verified by the U</w:t>
      </w:r>
      <w:r>
        <w:t xml:space="preserve">nited </w:t>
      </w:r>
      <w:r w:rsidRPr="00FD5FC8">
        <w:t>N</w:t>
      </w:r>
      <w:r>
        <w:t>ations</w:t>
      </w:r>
      <w:r w:rsidRPr="00FD5FC8">
        <w:t xml:space="preserve">, </w:t>
      </w:r>
      <w:r>
        <w:t xml:space="preserve">including </w:t>
      </w:r>
      <w:r w:rsidRPr="00FD5FC8">
        <w:t>1</w:t>
      </w:r>
      <w:r>
        <w:t>,</w:t>
      </w:r>
      <w:r w:rsidRPr="00FD5FC8">
        <w:t xml:space="preserve">222 </w:t>
      </w:r>
      <w:r>
        <w:t xml:space="preserve">people </w:t>
      </w:r>
      <w:r w:rsidRPr="00FD5FC8">
        <w:t xml:space="preserve">injured (922 men, 102 women and 243 children). OHCHR </w:t>
      </w:r>
      <w:r>
        <w:t xml:space="preserve">has </w:t>
      </w:r>
      <w:r w:rsidRPr="00FD5FC8">
        <w:t>documented numerous cases of settlers attacking and terrifying women and girls, including pregnant</w:t>
      </w:r>
      <w:r w:rsidRPr="00C430C7">
        <w:rPr>
          <w:rStyle w:val="FootnoteReference"/>
        </w:rPr>
        <w:footnoteReference w:id="119"/>
      </w:r>
      <w:r w:rsidRPr="00FD5FC8">
        <w:t xml:space="preserve"> and elderly women, with stones, batons, pepper-spray, Molotov cocktails, </w:t>
      </w:r>
      <w:proofErr w:type="gramStart"/>
      <w:r w:rsidRPr="00FD5FC8">
        <w:t>dogs</w:t>
      </w:r>
      <w:proofErr w:type="gramEnd"/>
      <w:r w:rsidRPr="00FD5FC8">
        <w:t xml:space="preserve"> and firearms. As an added concern, OHCHR monitoring shows that settler violence has </w:t>
      </w:r>
      <w:r>
        <w:t xml:space="preserve">had </w:t>
      </w:r>
      <w:r w:rsidRPr="00FD5FC8">
        <w:t xml:space="preserve">an impact on women’s freedom of movement and </w:t>
      </w:r>
      <w:r>
        <w:t xml:space="preserve">has </w:t>
      </w:r>
      <w:r w:rsidRPr="00FD5FC8">
        <w:t>reinforce</w:t>
      </w:r>
      <w:r>
        <w:t>d</w:t>
      </w:r>
      <w:r w:rsidRPr="00FD5FC8">
        <w:t xml:space="preserve"> negative aspects of traditional gender roles in </w:t>
      </w:r>
      <w:r>
        <w:t xml:space="preserve">the </w:t>
      </w:r>
      <w:r w:rsidRPr="00FD5FC8">
        <w:t>Palestin</w:t>
      </w:r>
      <w:r>
        <w:t>ian community</w:t>
      </w:r>
      <w:r w:rsidRPr="00FD5FC8">
        <w:t>.</w:t>
      </w:r>
      <w:r w:rsidRPr="00C430C7">
        <w:rPr>
          <w:rStyle w:val="FootnoteReference"/>
        </w:rPr>
        <w:footnoteReference w:id="120"/>
      </w:r>
    </w:p>
    <w:p w14:paraId="5676D828" w14:textId="77777777" w:rsidR="00F6262F" w:rsidRPr="00FD5FC8" w:rsidRDefault="00F6262F" w:rsidP="00F6262F">
      <w:pPr>
        <w:pStyle w:val="ParaNoG"/>
      </w:pPr>
      <w:r w:rsidRPr="00FD5FC8">
        <w:lastRenderedPageBreak/>
        <w:t>During the present reporting period, settler violence further intensified</w:t>
      </w:r>
      <w:r>
        <w:t xml:space="preserve">, </w:t>
      </w:r>
      <w:r w:rsidRPr="00FD5FC8">
        <w:t>reach</w:t>
      </w:r>
      <w:r>
        <w:t>ing</w:t>
      </w:r>
      <w:r w:rsidRPr="00FD5FC8">
        <w:t xml:space="preserve"> the highest levels ever recorded by the United Nations.</w:t>
      </w:r>
      <w:r w:rsidRPr="00C430C7">
        <w:rPr>
          <w:rStyle w:val="FootnoteReference"/>
        </w:rPr>
        <w:footnoteReference w:id="121"/>
      </w:r>
      <w:r w:rsidRPr="00FD5FC8">
        <w:t xml:space="preserve"> There were 739 incidents of settler violence in the West Bank</w:t>
      </w:r>
      <w:r>
        <w:t>,</w:t>
      </w:r>
      <w:r w:rsidRPr="00FD5FC8">
        <w:t xml:space="preserve"> including East Jerusalem (502 incidents in the previous period), presenting an 89 per cent increase compared to 2012 when the U</w:t>
      </w:r>
      <w:r>
        <w:t xml:space="preserve">nited </w:t>
      </w:r>
      <w:r w:rsidRPr="00FD5FC8">
        <w:t>N</w:t>
      </w:r>
      <w:r>
        <w:t>ations</w:t>
      </w:r>
      <w:r w:rsidRPr="00FD5FC8">
        <w:t xml:space="preserve"> recorded 391 incidents. Settlers injured 248 Palestinians (207 men, 19 women and 22 children) and vandalized 10,810 trees and 668 vehicles. The severity of </w:t>
      </w:r>
      <w:r>
        <w:t xml:space="preserve">such </w:t>
      </w:r>
      <w:r w:rsidRPr="00FD5FC8">
        <w:t>attacks also intensified. Two Palestinian men were killed by settlers, while two Palestinians boys were killed either by I</w:t>
      </w:r>
      <w:r>
        <w:t>srael security forces</w:t>
      </w:r>
      <w:r w:rsidRPr="00FD5FC8">
        <w:t xml:space="preserve"> or settlers using firearms simultaneously.</w:t>
      </w:r>
    </w:p>
    <w:p w14:paraId="284F4967" w14:textId="40332EB7" w:rsidR="00F6262F" w:rsidRPr="00FD5FC8" w:rsidRDefault="00F6262F" w:rsidP="00F6262F">
      <w:pPr>
        <w:pStyle w:val="ParaNoG"/>
      </w:pPr>
      <w:r w:rsidRPr="00FD5FC8">
        <w:t xml:space="preserve">Settler violence and intimidation, which peaks during the annual olive harvest, </w:t>
      </w:r>
      <w:r>
        <w:t xml:space="preserve">seriously impedes </w:t>
      </w:r>
      <w:r w:rsidRPr="00FD5FC8">
        <w:t xml:space="preserve">farmers’ access to their land and </w:t>
      </w:r>
      <w:r>
        <w:t xml:space="preserve">their </w:t>
      </w:r>
      <w:r w:rsidRPr="00FD5FC8">
        <w:t xml:space="preserve">livelihoods, </w:t>
      </w:r>
      <w:r>
        <w:t xml:space="preserve">involves </w:t>
      </w:r>
      <w:r w:rsidRPr="00FD5FC8">
        <w:t xml:space="preserve">serious physical and psychological </w:t>
      </w:r>
      <w:r>
        <w:t>harm, which also targets</w:t>
      </w:r>
      <w:r w:rsidRPr="00FD5FC8">
        <w:t xml:space="preserve"> protective</w:t>
      </w:r>
      <w:r>
        <w:t>-</w:t>
      </w:r>
      <w:r w:rsidRPr="00FD5FC8">
        <w:t>presence volunteers. Violence during th</w:t>
      </w:r>
      <w:r>
        <w:t xml:space="preserve">e recent </w:t>
      </w:r>
      <w:r w:rsidRPr="00FD5FC8">
        <w:t xml:space="preserve">harvest season reached </w:t>
      </w:r>
      <w:proofErr w:type="gramStart"/>
      <w:r w:rsidRPr="00FD5FC8">
        <w:t>an all-time record</w:t>
      </w:r>
      <w:proofErr w:type="gramEnd"/>
      <w:r>
        <w:t>,</w:t>
      </w:r>
      <w:r w:rsidRPr="00FD5FC8">
        <w:t xml:space="preserve"> with 48 settler attacks involving property damage and 11 incidents resulting in 49 Palestinians injured (45 men, </w:t>
      </w:r>
      <w:r>
        <w:t>3</w:t>
      </w:r>
      <w:r w:rsidRPr="00FD5FC8">
        <w:t xml:space="preserve"> women and </w:t>
      </w:r>
      <w:r>
        <w:t>1</w:t>
      </w:r>
      <w:r w:rsidRPr="00FD5FC8">
        <w:t xml:space="preserve"> boy). </w:t>
      </w:r>
      <w:r>
        <w:t xml:space="preserve">During the harvest, </w:t>
      </w:r>
      <w:r w:rsidRPr="00FD5FC8">
        <w:t xml:space="preserve">1,400 Palestinian-owned trees were vandalized and approximately 1,000 were harvested by people believed to be Israeli settlers. </w:t>
      </w:r>
      <w:r>
        <w:t xml:space="preserve">In addition, </w:t>
      </w:r>
      <w:r w:rsidRPr="00FD5FC8">
        <w:t xml:space="preserve">30 Palestinians were injured by </w:t>
      </w:r>
      <w:r>
        <w:t xml:space="preserve">the Israeli security forces that </w:t>
      </w:r>
      <w:r w:rsidRPr="00FD5FC8">
        <w:t>intervened following a settler attack</w:t>
      </w:r>
      <w:r>
        <w:t xml:space="preserve"> – </w:t>
      </w:r>
      <w:r w:rsidRPr="00FD5FC8">
        <w:t>a concerning trend</w:t>
      </w:r>
      <w:r>
        <w:t>.</w:t>
      </w:r>
      <w:r w:rsidRPr="00C430C7">
        <w:rPr>
          <w:rStyle w:val="FootnoteReference"/>
        </w:rPr>
        <w:footnoteReference w:id="122"/>
      </w:r>
      <w:r w:rsidRPr="00FD5FC8">
        <w:t xml:space="preserve"> On 19 October, some 30 Israeli settlers attacked Palestinian farmers and Israeli activists picking olives near </w:t>
      </w:r>
      <w:proofErr w:type="spellStart"/>
      <w:r w:rsidRPr="00FD5FC8">
        <w:t>Ma’ale</w:t>
      </w:r>
      <w:proofErr w:type="spellEnd"/>
      <w:r w:rsidRPr="00FD5FC8">
        <w:t xml:space="preserve"> Amos settlement, southeast of Bethlehem. Settlers hit a 70-year</w:t>
      </w:r>
      <w:r>
        <w:t>-</w:t>
      </w:r>
      <w:r w:rsidRPr="00FD5FC8">
        <w:t>old Israeli woman activist with stones and batons</w:t>
      </w:r>
      <w:r>
        <w:t xml:space="preserve">, </w:t>
      </w:r>
      <w:r w:rsidRPr="00FD5FC8">
        <w:t>causing broken ribs</w:t>
      </w:r>
      <w:r>
        <w:t xml:space="preserve"> and</w:t>
      </w:r>
      <w:r w:rsidRPr="00FD5FC8">
        <w:t xml:space="preserve"> a broken hand</w:t>
      </w:r>
      <w:r>
        <w:t>.</w:t>
      </w:r>
    </w:p>
    <w:p w14:paraId="04BFCA37" w14:textId="2E379731" w:rsidR="00F6262F" w:rsidRPr="00FD5FC8" w:rsidRDefault="00F6262F" w:rsidP="00F6262F">
      <w:pPr>
        <w:pStyle w:val="ParaNoG"/>
      </w:pPr>
      <w:r w:rsidRPr="00FD5FC8">
        <w:t>Settlement guards appeared to play an active role in violent attacks. On 21 October</w:t>
      </w:r>
      <w:r>
        <w:t xml:space="preserve">, </w:t>
      </w:r>
      <w:r w:rsidRPr="00FD5FC8">
        <w:t xml:space="preserve">four Palestinian men picking </w:t>
      </w:r>
      <w:r>
        <w:t xml:space="preserve">fruit from </w:t>
      </w:r>
      <w:r w:rsidRPr="00FD5FC8">
        <w:t xml:space="preserve">their olive trees in Burin village in Nablus were attacked with stones and teargas by some 20 Israeli settlers from </w:t>
      </w:r>
      <w:r>
        <w:t xml:space="preserve">the </w:t>
      </w:r>
      <w:proofErr w:type="spellStart"/>
      <w:r w:rsidRPr="00FD5FC8">
        <w:t>Givat</w:t>
      </w:r>
      <w:proofErr w:type="spellEnd"/>
      <w:r w:rsidRPr="00FD5FC8">
        <w:t xml:space="preserve"> Ronen/</w:t>
      </w:r>
      <w:proofErr w:type="spellStart"/>
      <w:r w:rsidRPr="00FD5FC8">
        <w:t>Sneh</w:t>
      </w:r>
      <w:proofErr w:type="spellEnd"/>
      <w:r w:rsidRPr="00FD5FC8">
        <w:t xml:space="preserve"> </w:t>
      </w:r>
      <w:proofErr w:type="spellStart"/>
      <w:r w:rsidRPr="00FD5FC8">
        <w:t>Ya'akov</w:t>
      </w:r>
      <w:proofErr w:type="spellEnd"/>
      <w:r w:rsidRPr="00FD5FC8">
        <w:t xml:space="preserve"> outpost. Stone-throwing confrontations ensued between local Palestinians and settlers arriving from outposts near </w:t>
      </w:r>
      <w:r>
        <w:t xml:space="preserve">the </w:t>
      </w:r>
      <w:r w:rsidRPr="00FD5FC8">
        <w:t xml:space="preserve">Har </w:t>
      </w:r>
      <w:proofErr w:type="spellStart"/>
      <w:r w:rsidRPr="00FD5FC8">
        <w:t>Bracha</w:t>
      </w:r>
      <w:proofErr w:type="spellEnd"/>
      <w:r w:rsidRPr="00FD5FC8">
        <w:t xml:space="preserve"> and Yitzhar settlements. When </w:t>
      </w:r>
      <w:r>
        <w:t>Israeli security forces</w:t>
      </w:r>
      <w:r w:rsidRPr="00FD5FC8">
        <w:t xml:space="preserve"> intervened, an armed man in an </w:t>
      </w:r>
      <w:r>
        <w:t xml:space="preserve">Israeli security forces </w:t>
      </w:r>
      <w:r w:rsidRPr="00FD5FC8">
        <w:t>uniform assisted the settlers in throwing teargas canisters at the Palestinian crowd. He was filmed handing a tear gas grenade to a settler and showing him where to aim</w:t>
      </w:r>
      <w:r>
        <w:t>.</w:t>
      </w:r>
      <w:r w:rsidRPr="00C430C7">
        <w:rPr>
          <w:rStyle w:val="FootnoteReference"/>
        </w:rPr>
        <w:footnoteReference w:id="123"/>
      </w:r>
      <w:r w:rsidRPr="00FD5FC8">
        <w:t xml:space="preserve"> The man was later identified as the settlement guard of Har </w:t>
      </w:r>
      <w:proofErr w:type="spellStart"/>
      <w:r w:rsidRPr="00FD5FC8">
        <w:t>Bracha</w:t>
      </w:r>
      <w:proofErr w:type="spellEnd"/>
      <w:r w:rsidRPr="00FD5FC8">
        <w:t xml:space="preserve"> settlement. On 25 October,</w:t>
      </w:r>
      <w:r w:rsidRPr="00C430C7">
        <w:rPr>
          <w:rStyle w:val="FootnoteReference"/>
        </w:rPr>
        <w:footnoteReference w:id="124"/>
      </w:r>
      <w:r w:rsidRPr="00FD5FC8">
        <w:t xml:space="preserve"> Israeli media reported that the guard had been suspended pending a probe </w:t>
      </w:r>
      <w:r>
        <w:t xml:space="preserve">by the Israel </w:t>
      </w:r>
      <w:proofErr w:type="spellStart"/>
      <w:r>
        <w:t>Defense</w:t>
      </w:r>
      <w:proofErr w:type="spellEnd"/>
      <w:r>
        <w:t xml:space="preserve"> </w:t>
      </w:r>
      <w:proofErr w:type="gramStart"/>
      <w:r>
        <w:t>Forces</w:t>
      </w:r>
      <w:proofErr w:type="gramEnd"/>
      <w:r>
        <w:t xml:space="preserve"> </w:t>
      </w:r>
      <w:r w:rsidRPr="00FD5FC8">
        <w:t>but he was reinstated shortly after</w:t>
      </w:r>
      <w:r>
        <w:t>wards,</w:t>
      </w:r>
      <w:r w:rsidRPr="00FD5FC8">
        <w:t xml:space="preserve"> on 31 October.</w:t>
      </w:r>
      <w:r w:rsidRPr="00C430C7">
        <w:rPr>
          <w:rStyle w:val="FootnoteReference"/>
        </w:rPr>
        <w:footnoteReference w:id="125"/>
      </w:r>
    </w:p>
    <w:p w14:paraId="4CBD52A2" w14:textId="77777777" w:rsidR="00F6262F" w:rsidRPr="00FD5FC8" w:rsidRDefault="00F6262F" w:rsidP="00F6262F">
      <w:pPr>
        <w:pStyle w:val="ParaNoG"/>
      </w:pPr>
      <w:r w:rsidRPr="00FD5FC8">
        <w:t>Settlement guards actively participating in settler attacks ha</w:t>
      </w:r>
      <w:r>
        <w:t>ve</w:t>
      </w:r>
      <w:r w:rsidRPr="00FD5FC8">
        <w:t xml:space="preserve"> been documented as a trend over the years, including cases of civilian security guards shooting and killing Palestinians with live ammunition alongside settlers and </w:t>
      </w:r>
      <w:r>
        <w:t>Israeli security forces</w:t>
      </w:r>
      <w:r w:rsidRPr="00FD5FC8">
        <w:t>.</w:t>
      </w:r>
      <w:r w:rsidRPr="00C430C7">
        <w:rPr>
          <w:rStyle w:val="FootnoteReference"/>
        </w:rPr>
        <w:footnoteReference w:id="126"/>
      </w:r>
      <w:r w:rsidRPr="00FD5FC8">
        <w:t xml:space="preserve"> In the West Bank, </w:t>
      </w:r>
      <w:r>
        <w:t xml:space="preserve">security </w:t>
      </w:r>
      <w:r w:rsidRPr="00FD5FC8">
        <w:t xml:space="preserve">guards often live in settlements or outposts, identify as settlers and share a related ideology, while being paid for, trained and armed by </w:t>
      </w:r>
      <w:r>
        <w:t>the Israeli security forces</w:t>
      </w:r>
      <w:r w:rsidRPr="00FD5FC8">
        <w:t xml:space="preserve">, seemingly blurring the lines of law enforcement powers between </w:t>
      </w:r>
      <w:r>
        <w:t xml:space="preserve">them and the </w:t>
      </w:r>
      <w:r w:rsidRPr="00FD5FC8">
        <w:t>settlers.</w:t>
      </w:r>
      <w:r w:rsidRPr="00C430C7">
        <w:rPr>
          <w:rStyle w:val="FootnoteReference"/>
        </w:rPr>
        <w:footnoteReference w:id="127"/>
      </w:r>
      <w:r w:rsidRPr="00FD5FC8">
        <w:t xml:space="preserve"> In East Jerusalem settlements, the Ministry of Defence contracts security guards to protect settlers.</w:t>
      </w:r>
      <w:r w:rsidRPr="00C430C7">
        <w:rPr>
          <w:rStyle w:val="FootnoteReference"/>
        </w:rPr>
        <w:footnoteReference w:id="128"/>
      </w:r>
    </w:p>
    <w:p w14:paraId="1617E29A" w14:textId="530F4F00" w:rsidR="00F6262F" w:rsidRPr="00FD5FC8" w:rsidRDefault="00F6262F" w:rsidP="00F6262F">
      <w:pPr>
        <w:pStyle w:val="ParaNoG"/>
      </w:pPr>
      <w:r>
        <w:t>Violence by s</w:t>
      </w:r>
      <w:r w:rsidRPr="00FD5FC8">
        <w:t>ettler</w:t>
      </w:r>
      <w:r>
        <w:t>s</w:t>
      </w:r>
      <w:r w:rsidRPr="00FD5FC8">
        <w:t xml:space="preserve"> and </w:t>
      </w:r>
      <w:r>
        <w:t>the Israeli security forces</w:t>
      </w:r>
      <w:r w:rsidRPr="00FD5FC8">
        <w:t xml:space="preserve"> has become increasingly interwoven and, over the years, their distinction has become increasingly difficult to discern.</w:t>
      </w:r>
      <w:r w:rsidRPr="00C430C7">
        <w:rPr>
          <w:rStyle w:val="FootnoteReference"/>
        </w:rPr>
        <w:footnoteReference w:id="129"/>
      </w:r>
      <w:r w:rsidRPr="00FD5FC8">
        <w:t xml:space="preserve"> Since 2012, OHCHR has documented numerous incidents where settlers were recorded shooting at Palestinians side by side with </w:t>
      </w:r>
      <w:r>
        <w:t>the Israeli security forces</w:t>
      </w:r>
      <w:r w:rsidRPr="00FD5FC8">
        <w:t>.</w:t>
      </w:r>
      <w:r w:rsidRPr="00C430C7">
        <w:rPr>
          <w:rStyle w:val="FootnoteReference"/>
        </w:rPr>
        <w:footnoteReference w:id="130"/>
      </w:r>
      <w:r w:rsidRPr="00FD5FC8">
        <w:t xml:space="preserve"> That trend </w:t>
      </w:r>
      <w:r w:rsidRPr="00FD5FC8">
        <w:lastRenderedPageBreak/>
        <w:t>continued during the present reporting period</w:t>
      </w:r>
      <w:r>
        <w:t>.</w:t>
      </w:r>
      <w:r w:rsidRPr="00FD5FC8">
        <w:t xml:space="preserve"> On 29 July, </w:t>
      </w:r>
      <w:r>
        <w:t>Israeli security forces</w:t>
      </w:r>
      <w:r w:rsidRPr="00FD5FC8">
        <w:t xml:space="preserve"> and settlers, operating side by side, shot and killed a 15-year-old Palestinian boy and injured at least three other Palestinian men </w:t>
      </w:r>
      <w:r>
        <w:t xml:space="preserve">who were </w:t>
      </w:r>
      <w:proofErr w:type="gramStart"/>
      <w:r w:rsidRPr="00FD5FC8">
        <w:t>protesting against</w:t>
      </w:r>
      <w:proofErr w:type="gramEnd"/>
      <w:r w:rsidRPr="00FD5FC8">
        <w:t xml:space="preserve"> settler activities in Al </w:t>
      </w:r>
      <w:proofErr w:type="spellStart"/>
      <w:r w:rsidRPr="00FD5FC8">
        <w:t>Mughayyir</w:t>
      </w:r>
      <w:proofErr w:type="spellEnd"/>
      <w:r w:rsidRPr="00FD5FC8">
        <w:t xml:space="preserve"> village in Ramallah. The child was </w:t>
      </w:r>
      <w:r>
        <w:t>shot</w:t>
      </w:r>
      <w:r w:rsidRPr="00FD5FC8">
        <w:t xml:space="preserve"> in the back while running away and later died from his wounds. Eyewitnesses and </w:t>
      </w:r>
      <w:r w:rsidRPr="00390C77">
        <w:t>video footage indica</w:t>
      </w:r>
      <w:r>
        <w:t>t</w:t>
      </w:r>
      <w:r w:rsidRPr="00323758">
        <w:t xml:space="preserve">e </w:t>
      </w:r>
      <w:r>
        <w:t xml:space="preserve">that the </w:t>
      </w:r>
      <w:r w:rsidRPr="00390C77">
        <w:t>Israeli security</w:t>
      </w:r>
      <w:r>
        <w:t xml:space="preserve"> forces </w:t>
      </w:r>
      <w:r w:rsidRPr="00FD5FC8">
        <w:t>and the settlers were firing live ammunition simultaneously, making it impossible to determine who fired the lethal shots. In addition to raising concerns about unlawful killing and injury of Palestinians, th</w:t>
      </w:r>
      <w:r>
        <w:t>e</w:t>
      </w:r>
      <w:r w:rsidRPr="00FD5FC8">
        <w:t xml:space="preserve"> incident also highlights the role of the </w:t>
      </w:r>
      <w:r w:rsidRPr="00390C77">
        <w:t>Israeli security</w:t>
      </w:r>
      <w:r>
        <w:t xml:space="preserve"> forces </w:t>
      </w:r>
      <w:r w:rsidRPr="00FD5FC8">
        <w:t>in participating in and providing security cover for settlers carrying out acts that may amount to criminal offences against Palestinians.</w:t>
      </w:r>
    </w:p>
    <w:p w14:paraId="2D5CE7F1" w14:textId="77777777" w:rsidR="00F6262F" w:rsidRPr="00FD5FC8" w:rsidRDefault="00F6262F" w:rsidP="00F6262F">
      <w:pPr>
        <w:pStyle w:val="ParaNoG"/>
      </w:pPr>
      <w:r w:rsidRPr="00FD5FC8">
        <w:t xml:space="preserve">The incident demonstrates how </w:t>
      </w:r>
      <w:r>
        <w:t xml:space="preserve">the </w:t>
      </w:r>
      <w:r w:rsidRPr="00390C77">
        <w:t>Israeli security</w:t>
      </w:r>
      <w:r>
        <w:t xml:space="preserve"> forces </w:t>
      </w:r>
      <w:r w:rsidRPr="00FD5FC8">
        <w:t xml:space="preserve">use force to restrict and suppress Palestinian freedom of expression and assembly when demonstrating against the settlement enterprise and occupation. During the last decade, OHCHR has documented numerous cases of discriminatory law enforcement during demonstrations, </w:t>
      </w:r>
      <w:r>
        <w:t xml:space="preserve">including </w:t>
      </w:r>
      <w:r w:rsidRPr="00FD5FC8">
        <w:t xml:space="preserve">intimidation of protesters and journalists, mass arrests and </w:t>
      </w:r>
      <w:r>
        <w:t xml:space="preserve">the </w:t>
      </w:r>
      <w:r w:rsidRPr="00FD5FC8">
        <w:t xml:space="preserve">use of excessive force against mainly peaceful protesters, </w:t>
      </w:r>
      <w:r>
        <w:t xml:space="preserve">as well as the </w:t>
      </w:r>
      <w:r w:rsidRPr="00FD5FC8">
        <w:t>use of lethal force as crowd control measure.</w:t>
      </w:r>
      <w:r w:rsidRPr="00C430C7">
        <w:rPr>
          <w:rStyle w:val="FootnoteReference"/>
        </w:rPr>
        <w:footnoteReference w:id="131"/>
      </w:r>
      <w:r w:rsidRPr="00FD5FC8">
        <w:t xml:space="preserve"> In many incidents monitored by OHCHR, the use of firearms by </w:t>
      </w:r>
      <w:r>
        <w:t xml:space="preserve">the </w:t>
      </w:r>
      <w:r w:rsidRPr="00390C77">
        <w:t>Israeli security</w:t>
      </w:r>
      <w:r>
        <w:t xml:space="preserve"> forces </w:t>
      </w:r>
      <w:r w:rsidRPr="00FD5FC8">
        <w:t>appears to have been unnecessary or disproportionate, including using firearms without warning, where there was no threat to life or of serious injury or without first resorting to less extreme means, including less</w:t>
      </w:r>
      <w:r>
        <w:t xml:space="preserve"> </w:t>
      </w:r>
      <w:r w:rsidRPr="00FD5FC8">
        <w:t xml:space="preserve">lethal weapons. The use of firearms causing </w:t>
      </w:r>
      <w:r>
        <w:t xml:space="preserve">the </w:t>
      </w:r>
      <w:r w:rsidRPr="00FD5FC8">
        <w:t xml:space="preserve">death </w:t>
      </w:r>
      <w:r>
        <w:t xml:space="preserve">of individuals who were </w:t>
      </w:r>
      <w:r w:rsidRPr="00FD5FC8">
        <w:t>not posing a threat to life or serious injury constitutes a violation of the right to life</w:t>
      </w:r>
      <w:r w:rsidRPr="00C430C7">
        <w:rPr>
          <w:rStyle w:val="FootnoteReference"/>
        </w:rPr>
        <w:footnoteReference w:id="132"/>
      </w:r>
      <w:r w:rsidRPr="00FD5FC8">
        <w:t xml:space="preserve"> and may</w:t>
      </w:r>
      <w:r>
        <w:t xml:space="preserve"> be equivalent</w:t>
      </w:r>
      <w:r w:rsidRPr="00FD5FC8">
        <w:t xml:space="preserve"> to extrajudicial execution. In an occupation</w:t>
      </w:r>
      <w:r>
        <w:t xml:space="preserve"> situation</w:t>
      </w:r>
      <w:r w:rsidRPr="00FD5FC8">
        <w:t xml:space="preserve">, </w:t>
      </w:r>
      <w:r>
        <w:t xml:space="preserve">such actions </w:t>
      </w:r>
      <w:r w:rsidRPr="00FD5FC8">
        <w:t>may also amount to wilful killings under the Fourth Geneva Convention, which is a war crime.</w:t>
      </w:r>
      <w:r w:rsidRPr="00C430C7">
        <w:rPr>
          <w:rStyle w:val="FootnoteReference"/>
        </w:rPr>
        <w:footnoteReference w:id="133"/>
      </w:r>
    </w:p>
    <w:p w14:paraId="603AD2A7" w14:textId="77777777" w:rsidR="00F6262F" w:rsidRPr="00A7393D" w:rsidRDefault="00F6262F" w:rsidP="00A7393D">
      <w:pPr>
        <w:pStyle w:val="H4G"/>
      </w:pPr>
      <w:r w:rsidRPr="00AF6248">
        <w:tab/>
      </w:r>
      <w:r w:rsidRPr="00AF6248">
        <w:tab/>
        <w:t>Accountability</w:t>
      </w:r>
    </w:p>
    <w:p w14:paraId="4BB04328" w14:textId="77777777" w:rsidR="00F6262F" w:rsidRPr="00FD5FC8" w:rsidRDefault="00F6262F" w:rsidP="00F6262F">
      <w:pPr>
        <w:pStyle w:val="ParaNoG"/>
      </w:pPr>
      <w:r w:rsidRPr="00FD5FC8">
        <w:t xml:space="preserve">Over the past </w:t>
      </w:r>
      <w:r>
        <w:t>10</w:t>
      </w:r>
      <w:r w:rsidRPr="00FD5FC8">
        <w:t xml:space="preserve"> years, Israel has failed in its obligation to </w:t>
      </w:r>
      <w:proofErr w:type="gramStart"/>
      <w:r w:rsidRPr="00FD5FC8">
        <w:t xml:space="preserve">promptly, effectively and independently investigate and prosecute crimes against Palestinians committed by settlers and related violations by </w:t>
      </w:r>
      <w:r>
        <w:t xml:space="preserve">the </w:t>
      </w:r>
      <w:r w:rsidRPr="00390C77">
        <w:t>Israeli security</w:t>
      </w:r>
      <w:r>
        <w:t xml:space="preserve"> forces</w:t>
      </w:r>
      <w:r w:rsidRPr="00FD5FC8">
        <w:t xml:space="preserve"> and to provide justice to the victims</w:t>
      </w:r>
      <w:proofErr w:type="gramEnd"/>
      <w:r>
        <w:t>.</w:t>
      </w:r>
      <w:r w:rsidRPr="00C430C7">
        <w:rPr>
          <w:rStyle w:val="FootnoteReference"/>
        </w:rPr>
        <w:footnoteReference w:id="134"/>
      </w:r>
      <w:r w:rsidRPr="00FD5FC8">
        <w:t xml:space="preserve"> </w:t>
      </w:r>
      <w:r>
        <w:t>T</w:t>
      </w:r>
      <w:r w:rsidRPr="00FD5FC8">
        <w:t xml:space="preserve">he Human Rights Committee </w:t>
      </w:r>
      <w:r>
        <w:t xml:space="preserve">delivered </w:t>
      </w:r>
      <w:r w:rsidRPr="00FD5FC8">
        <w:t>point</w:t>
      </w:r>
      <w:r>
        <w:t>ed</w:t>
      </w:r>
      <w:r w:rsidRPr="00FD5FC8">
        <w:t xml:space="preserve"> criticism on the state of Israeli law enforcement in March 2022.</w:t>
      </w:r>
      <w:r w:rsidRPr="00C430C7">
        <w:rPr>
          <w:rStyle w:val="FootnoteReference"/>
        </w:rPr>
        <w:footnoteReference w:id="135"/>
      </w:r>
    </w:p>
    <w:p w14:paraId="440D445A" w14:textId="77777777" w:rsidR="00F6262F" w:rsidRPr="00FD5FC8" w:rsidRDefault="00F6262F" w:rsidP="00F6262F">
      <w:pPr>
        <w:pStyle w:val="ParaNoG"/>
      </w:pPr>
      <w:r w:rsidRPr="00FD5FC8">
        <w:t xml:space="preserve">Failure to protect Palestinians and deficiencies in the justice system to hold settlers accountable for violence against Palestinians, with </w:t>
      </w:r>
      <w:proofErr w:type="gramStart"/>
      <w:r w:rsidRPr="00FD5FC8">
        <w:t>particular obstacles</w:t>
      </w:r>
      <w:proofErr w:type="gramEnd"/>
      <w:r w:rsidRPr="00FD5FC8">
        <w:t xml:space="preserve"> to access to justice for women and girls, have been reported previously. Few complaints are submitted by Palestinians owing to distrust of the Israeli legal system and fear of reprisals.</w:t>
      </w:r>
      <w:r w:rsidRPr="00C430C7">
        <w:rPr>
          <w:rStyle w:val="FootnoteReference"/>
        </w:rPr>
        <w:footnoteReference w:id="136"/>
      </w:r>
      <w:r w:rsidRPr="00FD5FC8">
        <w:t xml:space="preserve"> Overall, these deficiencies sustain and exacerbate a climate of impunity for settler violence, encouraging </w:t>
      </w:r>
      <w:r>
        <w:t xml:space="preserve">the continuation of </w:t>
      </w:r>
      <w:r w:rsidRPr="00FD5FC8">
        <w:t>attacks.</w:t>
      </w:r>
      <w:r w:rsidRPr="00C430C7">
        <w:rPr>
          <w:rStyle w:val="FootnoteReference"/>
        </w:rPr>
        <w:footnoteReference w:id="137"/>
      </w:r>
      <w:r w:rsidRPr="00FD5FC8">
        <w:t xml:space="preserve"> Additionally, </w:t>
      </w:r>
      <w:r>
        <w:t xml:space="preserve">the </w:t>
      </w:r>
      <w:r w:rsidRPr="00FD5FC8">
        <w:t>above-mentioned attacks against Palestinians by settlers shooting side by side with the</w:t>
      </w:r>
      <w:r>
        <w:t xml:space="preserve"> Israeli security forces</w:t>
      </w:r>
      <w:r w:rsidRPr="00FD5FC8">
        <w:t xml:space="preserve">, add to such </w:t>
      </w:r>
      <w:r>
        <w:t xml:space="preserve">a </w:t>
      </w:r>
      <w:r w:rsidRPr="00FD5FC8">
        <w:t xml:space="preserve">climate. Settler violence against Palestinians serves as a method to take over </w:t>
      </w:r>
      <w:r>
        <w:t xml:space="preserve">land in the </w:t>
      </w:r>
      <w:r w:rsidRPr="00FD5FC8">
        <w:t>West Bank.</w:t>
      </w:r>
      <w:r w:rsidRPr="00C430C7">
        <w:rPr>
          <w:rStyle w:val="FootnoteReference"/>
        </w:rPr>
        <w:footnoteReference w:id="138"/>
      </w:r>
    </w:p>
    <w:p w14:paraId="4C03FCF9" w14:textId="77777777" w:rsidR="00F6262F" w:rsidRPr="00FD5FC8" w:rsidRDefault="00F6262F" w:rsidP="00F6262F">
      <w:pPr>
        <w:pStyle w:val="ParaNoG"/>
      </w:pPr>
      <w:r w:rsidRPr="00FD5FC8">
        <w:t>Despite some reported steps taken by Israel in the current reporting period, such as establishment of special teams to address ideologically</w:t>
      </w:r>
      <w:r>
        <w:t xml:space="preserve"> </w:t>
      </w:r>
      <w:r w:rsidRPr="00FD5FC8">
        <w:t>based offences</w:t>
      </w:r>
      <w:r w:rsidRPr="00C430C7">
        <w:rPr>
          <w:rStyle w:val="FootnoteReference"/>
        </w:rPr>
        <w:footnoteReference w:id="139"/>
      </w:r>
      <w:r w:rsidRPr="00FD5FC8">
        <w:t xml:space="preserve"> and some public calls for accountability</w:t>
      </w:r>
      <w:r w:rsidRPr="00C430C7">
        <w:rPr>
          <w:rStyle w:val="FootnoteReference"/>
        </w:rPr>
        <w:footnoteReference w:id="140"/>
      </w:r>
      <w:r w:rsidRPr="00FD5FC8">
        <w:t xml:space="preserve">, actual accountability measures remain gravely deficient. Little to no information has been made publicly available on investigations into killings of </w:t>
      </w:r>
      <w:r w:rsidRPr="00FD5FC8">
        <w:lastRenderedPageBreak/>
        <w:t xml:space="preserve">Palestinians by settlers, settlement guards or settler-related killings by </w:t>
      </w:r>
      <w:r>
        <w:t xml:space="preserve">the Israeli security </w:t>
      </w:r>
      <w:proofErr w:type="gramStart"/>
      <w:r>
        <w:t>forces</w:t>
      </w:r>
      <w:r w:rsidRPr="00FD5FC8">
        <w:t>, and</w:t>
      </w:r>
      <w:proofErr w:type="gramEnd"/>
      <w:r w:rsidRPr="00FD5FC8">
        <w:t xml:space="preserve"> obtaining information on status of cases </w:t>
      </w:r>
      <w:r>
        <w:t xml:space="preserve">has </w:t>
      </w:r>
      <w:r w:rsidRPr="00FD5FC8">
        <w:t>remained similarly challenging. On 25 August</w:t>
      </w:r>
      <w:r>
        <w:t>,</w:t>
      </w:r>
      <w:r w:rsidRPr="00FD5FC8">
        <w:t xml:space="preserve"> the </w:t>
      </w:r>
      <w:r>
        <w:t>S</w:t>
      </w:r>
      <w:r w:rsidRPr="00FD5FC8">
        <w:t xml:space="preserve">tate prosecution closed </w:t>
      </w:r>
      <w:r>
        <w:t xml:space="preserve">its </w:t>
      </w:r>
      <w:r w:rsidRPr="00FD5FC8">
        <w:t>investigation into the killing of a 27-year</w:t>
      </w:r>
      <w:r>
        <w:t>-</w:t>
      </w:r>
      <w:r w:rsidRPr="00FD5FC8">
        <w:t xml:space="preserve">old Palestinian man by a settler on 21 June in </w:t>
      </w:r>
      <w:r>
        <w:t xml:space="preserve">the village of </w:t>
      </w:r>
      <w:proofErr w:type="spellStart"/>
      <w:r w:rsidRPr="00FD5FC8">
        <w:t>Iskaka</w:t>
      </w:r>
      <w:proofErr w:type="spellEnd"/>
      <w:r w:rsidRPr="00FD5FC8">
        <w:t xml:space="preserve"> near </w:t>
      </w:r>
      <w:r>
        <w:t xml:space="preserve">the </w:t>
      </w:r>
      <w:r w:rsidRPr="00FD5FC8">
        <w:t xml:space="preserve">Ariel settlement. Even though the stabbing took place in the presence of </w:t>
      </w:r>
      <w:r>
        <w:t>the Israeli security forces</w:t>
      </w:r>
      <w:r w:rsidRPr="00FD5FC8">
        <w:t>, the authorities stated that self-defence could not be ruled out.</w:t>
      </w:r>
      <w:r w:rsidRPr="00C430C7">
        <w:rPr>
          <w:rStyle w:val="FootnoteReference"/>
        </w:rPr>
        <w:footnoteReference w:id="141"/>
      </w:r>
      <w:r w:rsidRPr="00FD5FC8">
        <w:t xml:space="preserve"> Regarding the events of </w:t>
      </w:r>
      <w:r w:rsidRPr="00085D1F">
        <w:t xml:space="preserve">28 September 2021, when dozens of settlers entered Umm </w:t>
      </w:r>
      <w:proofErr w:type="spellStart"/>
      <w:r w:rsidRPr="00085D1F">
        <w:t>Fagarah</w:t>
      </w:r>
      <w:proofErr w:type="spellEnd"/>
      <w:r w:rsidRPr="00085D1F">
        <w:t xml:space="preserve"> in </w:t>
      </w:r>
      <w:proofErr w:type="spellStart"/>
      <w:r w:rsidRPr="00085D1F">
        <w:t>Masafer</w:t>
      </w:r>
      <w:proofErr w:type="spellEnd"/>
      <w:r w:rsidRPr="00085D1F">
        <w:t xml:space="preserve"> </w:t>
      </w:r>
      <w:proofErr w:type="spellStart"/>
      <w:r w:rsidRPr="00085D1F">
        <w:t>Yatta</w:t>
      </w:r>
      <w:proofErr w:type="spellEnd"/>
      <w:r w:rsidRPr="00085D1F">
        <w:t>, attacking residents, homes and vandalizing property, injuring several Palestinians, including a toddler,</w:t>
      </w:r>
      <w:r w:rsidRPr="00FD5FC8">
        <w:t xml:space="preserve"> the </w:t>
      </w:r>
      <w:r>
        <w:t>S</w:t>
      </w:r>
      <w:r w:rsidRPr="00FD5FC8">
        <w:t>tate prosecutor filed indictments against only two persons.</w:t>
      </w:r>
      <w:r w:rsidRPr="00C430C7">
        <w:rPr>
          <w:rStyle w:val="FootnoteReference"/>
        </w:rPr>
        <w:footnoteReference w:id="142"/>
      </w:r>
      <w:r w:rsidRPr="00FD5FC8">
        <w:rPr>
          <w:sz w:val="16"/>
          <w:szCs w:val="16"/>
        </w:rPr>
        <w:t xml:space="preserve"> </w:t>
      </w:r>
      <w:r w:rsidRPr="00FD5FC8">
        <w:t xml:space="preserve">No information is available of further accountability measures into </w:t>
      </w:r>
      <w:r>
        <w:t xml:space="preserve">the </w:t>
      </w:r>
      <w:r w:rsidRPr="00FD5FC8">
        <w:t>killing of Palestinians by settlers during the previous reporting period.</w:t>
      </w:r>
      <w:r w:rsidRPr="00C430C7">
        <w:rPr>
          <w:rStyle w:val="FootnoteReference"/>
        </w:rPr>
        <w:footnoteReference w:id="143"/>
      </w:r>
    </w:p>
    <w:p w14:paraId="500CB2D9" w14:textId="7490AA84" w:rsidR="00F6262F" w:rsidRPr="00FD5FC8" w:rsidRDefault="00F6262F" w:rsidP="00F6262F">
      <w:pPr>
        <w:pStyle w:val="ParaNoG"/>
      </w:pPr>
      <w:r w:rsidRPr="00FD5FC8">
        <w:t xml:space="preserve">According to the latest </w:t>
      </w:r>
      <w:r>
        <w:t xml:space="preserve">report of the </w:t>
      </w:r>
      <w:r w:rsidRPr="00FD5FC8">
        <w:t xml:space="preserve">Ministry of Justice on </w:t>
      </w:r>
      <w:r>
        <w:t xml:space="preserve">the Israeli </w:t>
      </w:r>
      <w:r w:rsidRPr="00FD5FC8">
        <w:t xml:space="preserve">investigation and prosecution of </w:t>
      </w:r>
      <w:r>
        <w:t>“</w:t>
      </w:r>
      <w:r w:rsidRPr="00FD5FC8">
        <w:t>ideologically motivated offences</w:t>
      </w:r>
      <w:r>
        <w:t>”</w:t>
      </w:r>
      <w:r w:rsidRPr="00FD5FC8">
        <w:t xml:space="preserve"> against Palestinians,</w:t>
      </w:r>
      <w:r w:rsidRPr="00C430C7">
        <w:rPr>
          <w:rStyle w:val="FootnoteReference"/>
        </w:rPr>
        <w:footnoteReference w:id="144"/>
      </w:r>
      <w:r w:rsidRPr="00FD5FC8">
        <w:t xml:space="preserve"> 87 investigations were opened against Israeli suspects in 2021 while </w:t>
      </w:r>
      <w:r>
        <w:t>OCHA</w:t>
      </w:r>
      <w:r w:rsidRPr="00FD5FC8">
        <w:t xml:space="preserve"> documented 585 </w:t>
      </w:r>
      <w:r>
        <w:t xml:space="preserve">incidents of </w:t>
      </w:r>
      <w:r w:rsidRPr="00FD5FC8">
        <w:t>settler violence</w:t>
      </w:r>
      <w:r>
        <w:t xml:space="preserve"> in the same</w:t>
      </w:r>
      <w:r w:rsidRPr="00FD5FC8">
        <w:t xml:space="preserve"> year.</w:t>
      </w:r>
      <w:r w:rsidRPr="00C430C7">
        <w:rPr>
          <w:rStyle w:val="FootnoteReference"/>
        </w:rPr>
        <w:footnoteReference w:id="145"/>
      </w:r>
      <w:r w:rsidRPr="00FD5FC8">
        <w:t xml:space="preserve"> Of th</w:t>
      </w:r>
      <w:r>
        <w:t>at number</w:t>
      </w:r>
      <w:r w:rsidRPr="00FD5FC8">
        <w:t xml:space="preserve">, 49 cases remain under investigation, while 38 </w:t>
      </w:r>
      <w:r>
        <w:t>have been</w:t>
      </w:r>
      <w:r w:rsidRPr="00FD5FC8">
        <w:t xml:space="preserve"> closed</w:t>
      </w:r>
      <w:r>
        <w:t>,</w:t>
      </w:r>
      <w:r w:rsidRPr="00FD5FC8">
        <w:t xml:space="preserve"> including 19 indictments reportedly filed. The Ministry of Justice did not provide information on the number of complaints submitted by Palestinians.</w:t>
      </w:r>
    </w:p>
    <w:p w14:paraId="1236193C" w14:textId="114CEF67" w:rsidR="00F6262F" w:rsidRPr="00FD5FC8" w:rsidRDefault="00F6262F" w:rsidP="00F6262F">
      <w:pPr>
        <w:pStyle w:val="ParaNoG"/>
      </w:pPr>
      <w:r w:rsidRPr="00FD5FC8">
        <w:t xml:space="preserve">According to Yesh Din, 92 per cent of settler violence cases that </w:t>
      </w:r>
      <w:r>
        <w:t xml:space="preserve">the organization </w:t>
      </w:r>
      <w:r w:rsidRPr="00FD5FC8">
        <w:t>examined between 2005 and 2021 were closed without an indictment, while</w:t>
      </w:r>
      <w:r>
        <w:t xml:space="preserve"> </w:t>
      </w:r>
      <w:r w:rsidRPr="00FD5FC8">
        <w:t xml:space="preserve">approximately </w:t>
      </w:r>
      <w:r>
        <w:t xml:space="preserve">only </w:t>
      </w:r>
      <w:r w:rsidRPr="00FD5FC8">
        <w:t>3 per cent of investigations led to convictions.</w:t>
      </w:r>
      <w:r w:rsidRPr="00C430C7">
        <w:rPr>
          <w:rStyle w:val="FootnoteReference"/>
        </w:rPr>
        <w:footnoteReference w:id="146"/>
      </w:r>
      <w:r>
        <w:t xml:space="preserve"> </w:t>
      </w:r>
      <w:r w:rsidRPr="00FD5FC8">
        <w:t>Israeli</w:t>
      </w:r>
      <w:r>
        <w:t>s</w:t>
      </w:r>
      <w:r w:rsidRPr="00FD5FC8">
        <w:t xml:space="preserve"> who harm non-Palestinian</w:t>
      </w:r>
      <w:r>
        <w:t>s</w:t>
      </w:r>
      <w:r w:rsidRPr="00FD5FC8">
        <w:t xml:space="preserve"> in the West Bank </w:t>
      </w:r>
      <w:r>
        <w:t>are</w:t>
      </w:r>
      <w:r w:rsidRPr="00FD5FC8">
        <w:t xml:space="preserve"> six</w:t>
      </w:r>
      <w:r>
        <w:t xml:space="preserve"> </w:t>
      </w:r>
      <w:r w:rsidRPr="00FD5FC8">
        <w:t xml:space="preserve">times more likely to be indicted than if they harmed a Palestinian. </w:t>
      </w:r>
      <w:r>
        <w:t>F</w:t>
      </w:r>
      <w:r w:rsidRPr="00FD5FC8">
        <w:t>rom 2018 to 2020</w:t>
      </w:r>
      <w:r>
        <w:t>, c</w:t>
      </w:r>
      <w:r w:rsidRPr="00FD5FC8">
        <w:t xml:space="preserve">harges were filed in under </w:t>
      </w:r>
      <w:r>
        <w:t>4</w:t>
      </w:r>
      <w:r w:rsidRPr="00FD5FC8">
        <w:t xml:space="preserve"> per cent of settler violence cases.</w:t>
      </w:r>
      <w:r w:rsidRPr="00C430C7">
        <w:rPr>
          <w:rStyle w:val="FootnoteReference"/>
        </w:rPr>
        <w:footnoteReference w:id="147"/>
      </w:r>
      <w:r w:rsidRPr="00FD5FC8">
        <w:t xml:space="preserve"> </w:t>
      </w:r>
      <w:r w:rsidRPr="00FD5FC8">
        <w:rPr>
          <w:color w:val="242424"/>
          <w:shd w:val="clear" w:color="auto" w:fill="FFFFFF"/>
        </w:rPr>
        <w:t>In contrast, between 2018 and April 2021, 96 per</w:t>
      </w:r>
      <w:r>
        <w:rPr>
          <w:color w:val="242424"/>
          <w:shd w:val="clear" w:color="auto" w:fill="FFFFFF"/>
        </w:rPr>
        <w:t xml:space="preserve"> </w:t>
      </w:r>
      <w:r w:rsidRPr="00FD5FC8">
        <w:rPr>
          <w:color w:val="242424"/>
          <w:shd w:val="clear" w:color="auto" w:fill="FFFFFF"/>
        </w:rPr>
        <w:t xml:space="preserve">cent of investigations </w:t>
      </w:r>
      <w:r>
        <w:rPr>
          <w:color w:val="242424"/>
          <w:shd w:val="clear" w:color="auto" w:fill="FFFFFF"/>
        </w:rPr>
        <w:t xml:space="preserve">of </w:t>
      </w:r>
      <w:r w:rsidRPr="00FD5FC8">
        <w:rPr>
          <w:color w:val="242424"/>
          <w:shd w:val="clear" w:color="auto" w:fill="FFFFFF"/>
        </w:rPr>
        <w:t>Palestinian</w:t>
      </w:r>
      <w:r>
        <w:rPr>
          <w:color w:val="242424"/>
          <w:shd w:val="clear" w:color="auto" w:fill="FFFFFF"/>
        </w:rPr>
        <w:t xml:space="preserve"> violence</w:t>
      </w:r>
      <w:r w:rsidRPr="00FD5FC8">
        <w:rPr>
          <w:color w:val="242424"/>
          <w:shd w:val="clear" w:color="auto" w:fill="FFFFFF"/>
        </w:rPr>
        <w:t xml:space="preserve"> by the military prosecution ended with a conviction, with 99.6 per</w:t>
      </w:r>
      <w:r>
        <w:rPr>
          <w:color w:val="242424"/>
          <w:shd w:val="clear" w:color="auto" w:fill="FFFFFF"/>
        </w:rPr>
        <w:t xml:space="preserve"> </w:t>
      </w:r>
      <w:r w:rsidRPr="00FD5FC8">
        <w:rPr>
          <w:color w:val="242424"/>
          <w:shd w:val="clear" w:color="auto" w:fill="FFFFFF"/>
        </w:rPr>
        <w:t>cent based on plea deals</w:t>
      </w:r>
      <w:r w:rsidRPr="00FD5FC8">
        <w:t>.</w:t>
      </w:r>
      <w:r w:rsidRPr="00C430C7">
        <w:rPr>
          <w:rStyle w:val="FootnoteReference"/>
        </w:rPr>
        <w:footnoteReference w:id="148"/>
      </w:r>
    </w:p>
    <w:p w14:paraId="4072C393" w14:textId="77777777" w:rsidR="00F6262F" w:rsidRPr="00323758" w:rsidRDefault="00F6262F" w:rsidP="00F6262F">
      <w:pPr>
        <w:pStyle w:val="H1G"/>
        <w:rPr>
          <w:lang w:val="fr-CH"/>
        </w:rPr>
      </w:pPr>
      <w:r w:rsidRPr="00FD5FC8">
        <w:rPr>
          <w:color w:val="000000" w:themeColor="text1"/>
          <w:szCs w:val="24"/>
        </w:rPr>
        <w:tab/>
        <w:t>C.</w:t>
      </w:r>
      <w:r w:rsidRPr="00FD5FC8">
        <w:rPr>
          <w:color w:val="000000" w:themeColor="text1"/>
          <w:szCs w:val="24"/>
        </w:rPr>
        <w:tab/>
        <w:t>Coercive environment and forcible transfer</w:t>
      </w:r>
    </w:p>
    <w:p w14:paraId="0DC5C1C3" w14:textId="77777777" w:rsidR="00F6262F" w:rsidRPr="00FD5FC8" w:rsidRDefault="00F6262F" w:rsidP="00F6262F">
      <w:pPr>
        <w:pStyle w:val="ParaNoG"/>
      </w:pPr>
      <w:r w:rsidRPr="00FD5FC8">
        <w:t>The violations described above</w:t>
      </w:r>
      <w:r>
        <w:t>,</w:t>
      </w:r>
      <w:r w:rsidRPr="00FD5FC8">
        <w:t xml:space="preserve"> including settlement expansion, discriminatory Israeli land and planning policies and measures, demolitions, forced evictions and systematic and increasingly severe settler violence, both </w:t>
      </w:r>
      <w:r>
        <w:t xml:space="preserve">individually </w:t>
      </w:r>
      <w:r w:rsidRPr="00FD5FC8">
        <w:t>and cumulatively</w:t>
      </w:r>
      <w:r>
        <w:t>,</w:t>
      </w:r>
      <w:r w:rsidRPr="00FD5FC8">
        <w:t xml:space="preserve"> create a context whereby Palestinians are often left with no choice but to leave their place</w:t>
      </w:r>
      <w:r>
        <w:t>s</w:t>
      </w:r>
      <w:r w:rsidRPr="00FD5FC8">
        <w:t xml:space="preserve"> of residence.</w:t>
      </w:r>
      <w:r w:rsidRPr="00C430C7">
        <w:rPr>
          <w:rStyle w:val="FootnoteReference"/>
        </w:rPr>
        <w:footnoteReference w:id="149"/>
      </w:r>
      <w:r w:rsidRPr="00FD5FC8">
        <w:t xml:space="preserve"> Any population movement caused either through direct demolition of structures or forced evictions or </w:t>
      </w:r>
      <w:r>
        <w:t xml:space="preserve">by </w:t>
      </w:r>
      <w:r w:rsidRPr="00FD5FC8">
        <w:t>the implementation of</w:t>
      </w:r>
      <w:r>
        <w:t>,</w:t>
      </w:r>
      <w:r w:rsidRPr="00FD5FC8">
        <w:t xml:space="preserve"> or failure to protect from</w:t>
      </w:r>
      <w:r>
        <w:t>,</w:t>
      </w:r>
      <w:r w:rsidRPr="00FD5FC8">
        <w:t xml:space="preserve"> coercive measures that compel protected persons to move could amount to forcible transfer, a grave breach of the Fourth Geneva Convention</w:t>
      </w:r>
      <w:r>
        <w:t>,</w:t>
      </w:r>
      <w:r w:rsidRPr="00FD5FC8">
        <w:t xml:space="preserve"> constituting a war crime.</w:t>
      </w:r>
      <w:r w:rsidRPr="00C430C7">
        <w:rPr>
          <w:rStyle w:val="FootnoteReference"/>
        </w:rPr>
        <w:footnoteReference w:id="150"/>
      </w:r>
    </w:p>
    <w:p w14:paraId="76A703C5" w14:textId="77777777" w:rsidR="00F6262F" w:rsidRPr="00FD5FC8" w:rsidRDefault="00F6262F" w:rsidP="00F6262F">
      <w:pPr>
        <w:pStyle w:val="ParaNoG"/>
      </w:pPr>
      <w:r w:rsidRPr="00FD5FC8">
        <w:lastRenderedPageBreak/>
        <w:t>As referenced extensively in the jurisprudence of international criminal tribunals, the prohibition of forcible transfer is to be interpreted broadly</w:t>
      </w:r>
      <w:r w:rsidRPr="00C430C7">
        <w:rPr>
          <w:rStyle w:val="FootnoteReference"/>
        </w:rPr>
        <w:footnoteReference w:id="151"/>
      </w:r>
      <w:r w:rsidRPr="00FD5FC8">
        <w:t xml:space="preserve"> and may result from indirect measures</w:t>
      </w:r>
      <w:r>
        <w:t>,</w:t>
      </w:r>
      <w:r w:rsidRPr="00C430C7">
        <w:rPr>
          <w:rStyle w:val="FootnoteReference"/>
        </w:rPr>
        <w:footnoteReference w:id="152"/>
      </w:r>
      <w:r w:rsidRPr="00FD5FC8">
        <w:t xml:space="preserve"> </w:t>
      </w:r>
      <w:r>
        <w:t xml:space="preserve">including the creation of </w:t>
      </w:r>
      <w:r w:rsidRPr="00FD5FC8">
        <w:t>a coercive environment, where</w:t>
      </w:r>
      <w:r>
        <w:t>by</w:t>
      </w:r>
      <w:r w:rsidRPr="00FD5FC8">
        <w:t xml:space="preserve"> people are forced to leave against their </w:t>
      </w:r>
      <w:r>
        <w:t xml:space="preserve">genuine </w:t>
      </w:r>
      <w:r w:rsidRPr="00FD5FC8">
        <w:t>will.</w:t>
      </w:r>
      <w:r w:rsidRPr="00C430C7">
        <w:rPr>
          <w:rStyle w:val="FootnoteReference"/>
        </w:rPr>
        <w:footnoteReference w:id="153"/>
      </w:r>
      <w:r w:rsidRPr="00FD5FC8">
        <w:t xml:space="preserve"> In the past decade, the Secretary-General and the High Commissioner have expressed </w:t>
      </w:r>
      <w:r>
        <w:t xml:space="preserve">their </w:t>
      </w:r>
      <w:r w:rsidRPr="00FD5FC8">
        <w:t>repeated concern regarding the existence and intensity of a coercive environment in the West Bank, including East Jerusalem. Risk of forcible transfer and concern over actual cases where Palestinians appear to have been forcibly transferred has been reported on</w:t>
      </w:r>
      <w:r w:rsidRPr="00C430C7">
        <w:rPr>
          <w:rStyle w:val="FootnoteReference"/>
        </w:rPr>
        <w:footnoteReference w:id="154"/>
      </w:r>
      <w:r w:rsidRPr="00FD5FC8">
        <w:t xml:space="preserve"> with respect to Area C</w:t>
      </w:r>
      <w:r>
        <w:t>,</w:t>
      </w:r>
      <w:r w:rsidRPr="00C430C7">
        <w:rPr>
          <w:rStyle w:val="FootnoteReference"/>
        </w:rPr>
        <w:footnoteReference w:id="155"/>
      </w:r>
      <w:r w:rsidRPr="00FD5FC8">
        <w:t xml:space="preserve"> including the Jordan Valley</w:t>
      </w:r>
      <w:r>
        <w:t>,</w:t>
      </w:r>
      <w:r w:rsidRPr="00C430C7">
        <w:rPr>
          <w:rStyle w:val="FootnoteReference"/>
        </w:rPr>
        <w:footnoteReference w:id="156"/>
      </w:r>
      <w:r w:rsidRPr="00FD5FC8">
        <w:t xml:space="preserve"> the H2 area in Hebron</w:t>
      </w:r>
      <w:r w:rsidRPr="00C430C7">
        <w:rPr>
          <w:rStyle w:val="FootnoteReference"/>
        </w:rPr>
        <w:footnoteReference w:id="157"/>
      </w:r>
      <w:r w:rsidRPr="00FD5FC8">
        <w:t xml:space="preserve"> and East Jerusalem.</w:t>
      </w:r>
      <w:r w:rsidRPr="00C430C7">
        <w:rPr>
          <w:rStyle w:val="FootnoteReference"/>
        </w:rPr>
        <w:footnoteReference w:id="158"/>
      </w:r>
      <w:r w:rsidRPr="00FD5FC8">
        <w:t xml:space="preserve"> During th</w:t>
      </w:r>
      <w:r>
        <w:t>e</w:t>
      </w:r>
      <w:r w:rsidRPr="00FD5FC8">
        <w:t xml:space="preserve"> reporting period, the following three cases monitored by OHCHR have been of particular concern.</w:t>
      </w:r>
    </w:p>
    <w:p w14:paraId="004883AC" w14:textId="77777777" w:rsidR="00F6262F" w:rsidRPr="00A7393D" w:rsidRDefault="00F6262F" w:rsidP="00A7393D">
      <w:pPr>
        <w:pStyle w:val="H4G"/>
      </w:pPr>
      <w:r w:rsidRPr="00643637">
        <w:tab/>
      </w:r>
      <w:r w:rsidRPr="00643637">
        <w:tab/>
        <w:t>Ras al Tin</w:t>
      </w:r>
    </w:p>
    <w:p w14:paraId="78F00E8F" w14:textId="1CA0AEFE" w:rsidR="00F6262F" w:rsidRPr="00FD5FC8" w:rsidRDefault="00F6262F" w:rsidP="00F6262F">
      <w:pPr>
        <w:pStyle w:val="ParaNoG"/>
        <w:rPr>
          <w:i/>
          <w:iCs/>
        </w:rPr>
      </w:pPr>
      <w:r w:rsidRPr="00FD5FC8">
        <w:t>Ras al Tin is a Palestinian herding community</w:t>
      </w:r>
      <w:r w:rsidRPr="00C430C7">
        <w:rPr>
          <w:rStyle w:val="FootnoteReference"/>
        </w:rPr>
        <w:footnoteReference w:id="159"/>
      </w:r>
      <w:r w:rsidRPr="00FD5FC8">
        <w:t xml:space="preserve"> of approximately 35 households (240 people, including 150 children)</w:t>
      </w:r>
      <w:r>
        <w:t>,</w:t>
      </w:r>
      <w:r w:rsidRPr="00FD5FC8">
        <w:t xml:space="preserve"> located in Area C</w:t>
      </w:r>
      <w:r>
        <w:t>,</w:t>
      </w:r>
      <w:r w:rsidRPr="00FD5FC8">
        <w:t xml:space="preserve"> whose seasonally changing residential and herding areas are located in and next to an area that </w:t>
      </w:r>
      <w:r>
        <w:t xml:space="preserve">has been </w:t>
      </w:r>
      <w:r w:rsidRPr="00FD5FC8">
        <w:t>designated as a “firing zone”</w:t>
      </w:r>
      <w:r>
        <w:t>,</w:t>
      </w:r>
      <w:r w:rsidRPr="00FD5FC8">
        <w:t xml:space="preserve"> closed for Israeli military training.</w:t>
      </w:r>
      <w:r w:rsidRPr="00C430C7">
        <w:rPr>
          <w:rStyle w:val="FootnoteReference"/>
        </w:rPr>
        <w:footnoteReference w:id="160"/>
      </w:r>
      <w:r w:rsidRPr="00FD5FC8">
        <w:t xml:space="preserve"> The community has unceasingly been subjected to a range of increasing pressures</w:t>
      </w:r>
      <w:r>
        <w:t>,</w:t>
      </w:r>
      <w:r w:rsidRPr="00FD5FC8">
        <w:t xml:space="preserve"> including demolitions, confiscations of livelihood materials, settler violence and lack of protection from it, and excessive use of force by </w:t>
      </w:r>
      <w:r>
        <w:t>the Israeli security forces</w:t>
      </w:r>
      <w:r w:rsidRPr="00FD5FC8">
        <w:t>, which</w:t>
      </w:r>
      <w:r>
        <w:t>,</w:t>
      </w:r>
      <w:r w:rsidRPr="00FD5FC8">
        <w:t xml:space="preserve"> combined, created a coercive environment and </w:t>
      </w:r>
      <w:r>
        <w:t xml:space="preserve">presented a </w:t>
      </w:r>
      <w:r w:rsidRPr="00FD5FC8">
        <w:t>risk of forcible transfer for its residents. In 2009, demolition orders were issued against 13 families. In 2015, two homes were demolished</w:t>
      </w:r>
      <w:r>
        <w:t>,</w:t>
      </w:r>
      <w:r w:rsidRPr="00FD5FC8">
        <w:t xml:space="preserve"> affecting 11 people</w:t>
      </w:r>
      <w:r>
        <w:t>,</w:t>
      </w:r>
      <w:r w:rsidRPr="00FD5FC8">
        <w:t xml:space="preserve"> including seven children.</w:t>
      </w:r>
      <w:r w:rsidRPr="00C430C7">
        <w:rPr>
          <w:rStyle w:val="FootnoteReference"/>
        </w:rPr>
        <w:footnoteReference w:id="161"/>
      </w:r>
      <w:r w:rsidRPr="00FD5FC8">
        <w:t xml:space="preserve"> </w:t>
      </w:r>
      <w:r>
        <w:t>I</w:t>
      </w:r>
      <w:r w:rsidRPr="00FD5FC8">
        <w:t xml:space="preserve">n 2021, 84 Palestinians, including 53 children, lost their homes when </w:t>
      </w:r>
      <w:r>
        <w:t>Israeli security forces</w:t>
      </w:r>
      <w:r w:rsidRPr="00FD5FC8">
        <w:t xml:space="preserve"> confiscated 49 structures.</w:t>
      </w:r>
      <w:r w:rsidRPr="00C430C7">
        <w:rPr>
          <w:rStyle w:val="FootnoteReference"/>
        </w:rPr>
        <w:footnoteReference w:id="162"/>
      </w:r>
      <w:r w:rsidRPr="00FD5FC8">
        <w:t xml:space="preserve"> According to community members, </w:t>
      </w:r>
      <w:r>
        <w:t xml:space="preserve">the Israeli security forces </w:t>
      </w:r>
      <w:r w:rsidRPr="00FD5FC8">
        <w:t>verbally ordered the community</w:t>
      </w:r>
      <w:r>
        <w:t>, repeatedly,</w:t>
      </w:r>
      <w:r w:rsidRPr="00FD5FC8">
        <w:t xml:space="preserve"> to move to Area B. On 14 June and 6 July 2022, two serious settler attacks occurred</w:t>
      </w:r>
      <w:r>
        <w:t xml:space="preserve">; </w:t>
      </w:r>
      <w:r w:rsidRPr="00FD5FC8">
        <w:t xml:space="preserve">women </w:t>
      </w:r>
      <w:r>
        <w:t xml:space="preserve">were </w:t>
      </w:r>
      <w:r w:rsidRPr="00FD5FC8">
        <w:t xml:space="preserve">particularly </w:t>
      </w:r>
      <w:proofErr w:type="gramStart"/>
      <w:r>
        <w:t>affected</w:t>
      </w:r>
      <w:proofErr w:type="gramEnd"/>
      <w:r>
        <w:t xml:space="preserve"> </w:t>
      </w:r>
      <w:r w:rsidRPr="00FD5FC8">
        <w:t xml:space="preserve">and several residents </w:t>
      </w:r>
      <w:r>
        <w:t xml:space="preserve">were </w:t>
      </w:r>
      <w:r w:rsidRPr="00FD5FC8">
        <w:t>injured. This, combined with the pressures of the past years, including regular harassment by settlers, resulted in 19 households (99 people</w:t>
      </w:r>
      <w:r>
        <w:t>,</w:t>
      </w:r>
      <w:r w:rsidRPr="00FD5FC8">
        <w:t xml:space="preserve"> including 62 children) deciding to leave the area in July 2022. The families </w:t>
      </w:r>
      <w:r w:rsidRPr="007D1EFB">
        <w:t xml:space="preserve">relocated to </w:t>
      </w:r>
      <w:proofErr w:type="spellStart"/>
      <w:r w:rsidRPr="007D1EFB">
        <w:t>Kafr</w:t>
      </w:r>
      <w:proofErr w:type="spellEnd"/>
      <w:r w:rsidRPr="007D1EFB">
        <w:t xml:space="preserve"> Malek</w:t>
      </w:r>
      <w:r w:rsidRPr="00FD5FC8">
        <w:t xml:space="preserve"> village in Area B, where they faced harsh and unsustainable conditions</w:t>
      </w:r>
      <w:r>
        <w:t>, without</w:t>
      </w:r>
      <w:r w:rsidRPr="00FD5FC8">
        <w:t xml:space="preserve"> access to basic services</w:t>
      </w:r>
      <w:r>
        <w:t>,</w:t>
      </w:r>
      <w:r w:rsidRPr="00FD5FC8">
        <w:t xml:space="preserve"> such as water, health </w:t>
      </w:r>
      <w:r>
        <w:t>care</w:t>
      </w:r>
      <w:r w:rsidRPr="00FD5FC8">
        <w:t>, sustained electricity</w:t>
      </w:r>
      <w:r>
        <w:t>, water and sanitation and hygiene</w:t>
      </w:r>
      <w:r w:rsidRPr="00FD5FC8">
        <w:t xml:space="preserve"> facilities</w:t>
      </w:r>
      <w:r>
        <w:t xml:space="preserve">. Further, schools were located at </w:t>
      </w:r>
      <w:r w:rsidRPr="00FD5FC8">
        <w:t>long distances</w:t>
      </w:r>
      <w:r>
        <w:t xml:space="preserve"> from the village</w:t>
      </w:r>
      <w:r w:rsidRPr="00FD5FC8">
        <w:t>, disproportionally affecting women and children. As of September 2022</w:t>
      </w:r>
      <w:r>
        <w:t>,</w:t>
      </w:r>
      <w:r w:rsidRPr="00FD5FC8">
        <w:t xml:space="preserve"> OHCHR documented that the families remained in </w:t>
      </w:r>
      <w:proofErr w:type="spellStart"/>
      <w:r w:rsidRPr="00FD5FC8">
        <w:t>K</w:t>
      </w:r>
      <w:r>
        <w:t>a</w:t>
      </w:r>
      <w:r w:rsidRPr="00FD5FC8">
        <w:t>fr</w:t>
      </w:r>
      <w:proofErr w:type="spellEnd"/>
      <w:r w:rsidRPr="00FD5FC8">
        <w:t xml:space="preserve"> Malek. Two families who had remained in Ras Al Tin are planning to join them. It appears the families have moved permanently </w:t>
      </w:r>
      <w:proofErr w:type="gramStart"/>
      <w:r w:rsidRPr="00FD5FC8">
        <w:t>as a result of</w:t>
      </w:r>
      <w:proofErr w:type="gramEnd"/>
      <w:r w:rsidRPr="00FD5FC8">
        <w:t xml:space="preserve"> the accumulation of coercive elements</w:t>
      </w:r>
      <w:r>
        <w:t>,</w:t>
      </w:r>
      <w:r w:rsidRPr="00FD5FC8">
        <w:t xml:space="preserve"> raising concerns that forcible transfer may have taken place.</w:t>
      </w:r>
    </w:p>
    <w:p w14:paraId="2C6B832E" w14:textId="77777777" w:rsidR="00F6262F" w:rsidRPr="00A7393D" w:rsidRDefault="00F6262F" w:rsidP="00A7393D">
      <w:pPr>
        <w:pStyle w:val="H4G"/>
      </w:pPr>
      <w:r w:rsidRPr="00643637">
        <w:tab/>
      </w:r>
      <w:r w:rsidRPr="00643637">
        <w:tab/>
      </w:r>
      <w:proofErr w:type="spellStart"/>
      <w:r w:rsidRPr="00643637">
        <w:t>Masafer</w:t>
      </w:r>
      <w:proofErr w:type="spellEnd"/>
      <w:r w:rsidRPr="00643637">
        <w:t xml:space="preserve"> </w:t>
      </w:r>
      <w:proofErr w:type="spellStart"/>
      <w:r w:rsidRPr="00643637">
        <w:t>Yatta</w:t>
      </w:r>
      <w:proofErr w:type="spellEnd"/>
    </w:p>
    <w:p w14:paraId="33944DE9" w14:textId="77777777" w:rsidR="00F6262F" w:rsidRPr="00FD5FC8" w:rsidRDefault="00F6262F" w:rsidP="00F6262F">
      <w:pPr>
        <w:pStyle w:val="ParaNoG"/>
        <w:rPr>
          <w:i/>
          <w:iCs/>
        </w:rPr>
      </w:pPr>
      <w:r w:rsidRPr="00FD5FC8">
        <w:t>On 4 May 2022, the High Court of Justice rejected a petition against eviction orders issued to Palestinia</w:t>
      </w:r>
      <w:r>
        <w:t>ns belonging to</w:t>
      </w:r>
      <w:r w:rsidRPr="00FD5FC8">
        <w:t xml:space="preserve"> 12 herding communities in the Israeli-designated </w:t>
      </w:r>
      <w:r>
        <w:t>f</w:t>
      </w:r>
      <w:r w:rsidRPr="00FD5FC8">
        <w:t xml:space="preserve">iring </w:t>
      </w:r>
      <w:r>
        <w:lastRenderedPageBreak/>
        <w:t>z</w:t>
      </w:r>
      <w:r w:rsidRPr="00FD5FC8">
        <w:t xml:space="preserve">one 918 in </w:t>
      </w:r>
      <w:proofErr w:type="spellStart"/>
      <w:r w:rsidRPr="00FD5FC8">
        <w:t>Masafer</w:t>
      </w:r>
      <w:proofErr w:type="spellEnd"/>
      <w:r w:rsidRPr="00FD5FC8">
        <w:t xml:space="preserve"> </w:t>
      </w:r>
      <w:proofErr w:type="spellStart"/>
      <w:r w:rsidRPr="00FD5FC8">
        <w:t>Yatta</w:t>
      </w:r>
      <w:proofErr w:type="spellEnd"/>
      <w:r w:rsidRPr="00FD5FC8">
        <w:t>.</w:t>
      </w:r>
      <w:r w:rsidRPr="00C430C7">
        <w:rPr>
          <w:rStyle w:val="FootnoteReference"/>
        </w:rPr>
        <w:footnoteReference w:id="163"/>
      </w:r>
      <w:r>
        <w:t xml:space="preserve"> </w:t>
      </w:r>
      <w:r w:rsidRPr="00FD5FC8">
        <w:t>The petition had been ongoing since 2012.</w:t>
      </w:r>
      <w:r w:rsidRPr="00C430C7">
        <w:rPr>
          <w:rStyle w:val="FootnoteReference"/>
        </w:rPr>
        <w:footnoteReference w:id="164"/>
      </w:r>
      <w:r w:rsidRPr="00FD5FC8">
        <w:t xml:space="preserve"> The judgment is inconsistent with international law for its narrow interpretation of the prohibition of forcible transfer to cover only mass transfers and for privileging Israeli military law over international law obligations.</w:t>
      </w:r>
      <w:r w:rsidRPr="00C430C7">
        <w:rPr>
          <w:rStyle w:val="FootnoteReference"/>
        </w:rPr>
        <w:footnoteReference w:id="165"/>
      </w:r>
      <w:r w:rsidRPr="00FD5FC8">
        <w:t xml:space="preserve"> With </w:t>
      </w:r>
      <w:r>
        <w:t>the Israeli security forces</w:t>
      </w:r>
      <w:r w:rsidRPr="00FD5FC8">
        <w:t xml:space="preserve"> now enabled to implement eviction orders and </w:t>
      </w:r>
      <w:r>
        <w:t xml:space="preserve">to </w:t>
      </w:r>
      <w:r w:rsidRPr="00FD5FC8">
        <w:t>use the site for active military training</w:t>
      </w:r>
      <w:r>
        <w:t>,</w:t>
      </w:r>
      <w:r w:rsidRPr="00FD5FC8">
        <w:t xml:space="preserve"> 1,144 residents (282 men, 293 women, 299 boys, 270 girls) are at imminent risk of forced eviction and forcible transfer.</w:t>
      </w:r>
      <w:r w:rsidRPr="00C430C7">
        <w:rPr>
          <w:rStyle w:val="FootnoteReference"/>
        </w:rPr>
        <w:footnoteReference w:id="166"/>
      </w:r>
    </w:p>
    <w:p w14:paraId="5B7DA116" w14:textId="77777777" w:rsidR="00F6262F" w:rsidRPr="00FD5FC8" w:rsidRDefault="00F6262F" w:rsidP="00F6262F">
      <w:pPr>
        <w:pStyle w:val="ParaNoG"/>
        <w:rPr>
          <w:i/>
          <w:iCs/>
        </w:rPr>
      </w:pPr>
      <w:r w:rsidRPr="00FD5FC8">
        <w:t xml:space="preserve">Since the court ruling of 4 May, Israel </w:t>
      </w:r>
      <w:r>
        <w:t>has</w:t>
      </w:r>
      <w:r w:rsidRPr="00FD5FC8">
        <w:t xml:space="preserve"> intensified </w:t>
      </w:r>
      <w:r>
        <w:t>the</w:t>
      </w:r>
      <w:r w:rsidRPr="00FD5FC8">
        <w:t xml:space="preserve"> coercive environment by carrying out demolitions, issuing demolition</w:t>
      </w:r>
      <w:r>
        <w:t xml:space="preserve"> </w:t>
      </w:r>
      <w:r w:rsidRPr="00FD5FC8">
        <w:t xml:space="preserve">and military seizure orders, increasing </w:t>
      </w:r>
      <w:r>
        <w:t xml:space="preserve">the </w:t>
      </w:r>
      <w:r w:rsidRPr="00FD5FC8">
        <w:t>military presence and operations and imposing movement restrictions on residents and humanitarian responders</w:t>
      </w:r>
      <w:r>
        <w:t>,</w:t>
      </w:r>
      <w:r w:rsidRPr="00FD5FC8">
        <w:t xml:space="preserve"> including </w:t>
      </w:r>
      <w:r>
        <w:t xml:space="preserve">the establishment of </w:t>
      </w:r>
      <w:r w:rsidRPr="00FD5FC8">
        <w:t xml:space="preserve">checkpoints and </w:t>
      </w:r>
      <w:r>
        <w:t xml:space="preserve">the imposition of </w:t>
      </w:r>
      <w:r w:rsidRPr="00FD5FC8">
        <w:t xml:space="preserve">detentions, </w:t>
      </w:r>
      <w:r>
        <w:t xml:space="preserve">affecting </w:t>
      </w:r>
      <w:r w:rsidRPr="00FD5FC8">
        <w:t>access to education, health</w:t>
      </w:r>
      <w:r>
        <w:t xml:space="preserve"> </w:t>
      </w:r>
      <w:r w:rsidRPr="00FD5FC8">
        <w:t xml:space="preserve">care and </w:t>
      </w:r>
      <w:r>
        <w:t xml:space="preserve">people’s </w:t>
      </w:r>
      <w:r w:rsidRPr="00FD5FC8">
        <w:t xml:space="preserve">ability to sustain </w:t>
      </w:r>
      <w:r>
        <w:t xml:space="preserve">their </w:t>
      </w:r>
      <w:r w:rsidRPr="00FD5FC8">
        <w:t>livelihoods, particularly for female</w:t>
      </w:r>
      <w:r>
        <w:t>-</w:t>
      </w:r>
      <w:r w:rsidRPr="00FD5FC8">
        <w:t>headed households.</w:t>
      </w:r>
      <w:r w:rsidRPr="00C430C7">
        <w:rPr>
          <w:rStyle w:val="FootnoteReference"/>
        </w:rPr>
        <w:footnoteReference w:id="167"/>
      </w:r>
      <w:r w:rsidRPr="00FD5FC8">
        <w:t xml:space="preserve"> </w:t>
      </w:r>
      <w:r>
        <w:t xml:space="preserve">Thus far, </w:t>
      </w:r>
      <w:r w:rsidRPr="00FD5FC8">
        <w:t xml:space="preserve">25 structures in Khirbet at </w:t>
      </w:r>
      <w:proofErr w:type="spellStart"/>
      <w:r w:rsidRPr="00FD5FC8">
        <w:t>Tabban</w:t>
      </w:r>
      <w:proofErr w:type="spellEnd"/>
      <w:r w:rsidRPr="00FD5FC8">
        <w:t xml:space="preserve"> have already been demolished, resulting in </w:t>
      </w:r>
      <w:r>
        <w:t xml:space="preserve">the </w:t>
      </w:r>
      <w:r w:rsidRPr="00FD5FC8">
        <w:t>forced eviction of 64 people, who now live in tents or shelters provided by the humanitarian community. For some</w:t>
      </w:r>
      <w:r>
        <w:t xml:space="preserve"> people</w:t>
      </w:r>
      <w:r w:rsidRPr="00FD5FC8">
        <w:t xml:space="preserve">, this was the third time </w:t>
      </w:r>
      <w:r>
        <w:t>they had lost</w:t>
      </w:r>
      <w:r w:rsidRPr="00FD5FC8">
        <w:t xml:space="preserve"> their homes in less than a year. A further 35 demolition orders have been issued, affecting 77 structures, including homes. On 18 May, I</w:t>
      </w:r>
      <w:r>
        <w:t xml:space="preserve">sraeli security forces </w:t>
      </w:r>
      <w:r w:rsidRPr="00FD5FC8">
        <w:t xml:space="preserve">issued a military seizure order allowing the construction of a two-lane patrol road between </w:t>
      </w:r>
      <w:r w:rsidRPr="00085D1F">
        <w:t>Khirbet Bir al ‘</w:t>
      </w:r>
      <w:proofErr w:type="spellStart"/>
      <w:r w:rsidRPr="00085D1F">
        <w:t>Idd</w:t>
      </w:r>
      <w:proofErr w:type="spellEnd"/>
      <w:r w:rsidRPr="00085D1F">
        <w:t xml:space="preserve"> and communities,</w:t>
      </w:r>
      <w:r w:rsidRPr="00FD5FC8">
        <w:t xml:space="preserve"> which</w:t>
      </w:r>
      <w:r>
        <w:t>,</w:t>
      </w:r>
      <w:r w:rsidRPr="00FD5FC8">
        <w:t xml:space="preserve"> once complete, threatens to severely hamper</w:t>
      </w:r>
      <w:r>
        <w:t xml:space="preserve"> the </w:t>
      </w:r>
      <w:r w:rsidRPr="00FD5FC8">
        <w:t xml:space="preserve">movement </w:t>
      </w:r>
      <w:r>
        <w:t xml:space="preserve">of Palestinians </w:t>
      </w:r>
      <w:r w:rsidRPr="00FD5FC8">
        <w:t xml:space="preserve">and </w:t>
      </w:r>
      <w:r>
        <w:t xml:space="preserve">their </w:t>
      </w:r>
      <w:r w:rsidRPr="00FD5FC8">
        <w:t>access to hospitals and other basic services.</w:t>
      </w:r>
      <w:r w:rsidRPr="00C430C7">
        <w:rPr>
          <w:rStyle w:val="FootnoteReference"/>
        </w:rPr>
        <w:footnoteReference w:id="168"/>
      </w:r>
      <w:r w:rsidRPr="00FD5FC8">
        <w:t xml:space="preserve"> In June</w:t>
      </w:r>
      <w:r>
        <w:t xml:space="preserve"> 2022</w:t>
      </w:r>
      <w:r w:rsidRPr="00FD5FC8">
        <w:t>, military training exercises began, resulting in large</w:t>
      </w:r>
      <w:r>
        <w:t>-scale</w:t>
      </w:r>
      <w:r w:rsidRPr="00FD5FC8">
        <w:t xml:space="preserve"> military deployment and the establishment of more permanent presence </w:t>
      </w:r>
      <w:r>
        <w:t xml:space="preserve">of the Israeli security forces </w:t>
      </w:r>
      <w:r w:rsidRPr="00FD5FC8">
        <w:t>through the construction of a military base</w:t>
      </w:r>
      <w:r>
        <w:t>,</w:t>
      </w:r>
      <w:r w:rsidRPr="00FD5FC8">
        <w:t xml:space="preserve"> with firing ranges </w:t>
      </w:r>
      <w:r>
        <w:t xml:space="preserve">emplaced </w:t>
      </w:r>
      <w:r w:rsidRPr="00FD5FC8">
        <w:t>close to inhabited residential areas.</w:t>
      </w:r>
      <w:r w:rsidRPr="00C430C7">
        <w:rPr>
          <w:rStyle w:val="FootnoteReference"/>
        </w:rPr>
        <w:footnoteReference w:id="169"/>
      </w:r>
      <w:r w:rsidRPr="00FD5FC8">
        <w:t xml:space="preserve"> On 6 July 2022, the roof of a residential home was damaged by Israeli live ammunition fired during a training exercise while the family w</w:t>
      </w:r>
      <w:r>
        <w:t>as</w:t>
      </w:r>
      <w:r w:rsidRPr="00FD5FC8">
        <w:t xml:space="preserve"> inside the home</w:t>
      </w:r>
      <w:r w:rsidRPr="00C430C7">
        <w:rPr>
          <w:rStyle w:val="FootnoteReference"/>
        </w:rPr>
        <w:footnoteReference w:id="170"/>
      </w:r>
      <w:r w:rsidRPr="00FD5FC8">
        <w:t xml:space="preserve">. </w:t>
      </w:r>
      <w:r>
        <w:t>The Israeli security forces</w:t>
      </w:r>
      <w:r w:rsidRPr="00FD5FC8">
        <w:t xml:space="preserve"> </w:t>
      </w:r>
      <w:r>
        <w:t xml:space="preserve">have </w:t>
      </w:r>
      <w:r w:rsidRPr="00FD5FC8">
        <w:t>beg</w:t>
      </w:r>
      <w:r>
        <w:t>u</w:t>
      </w:r>
      <w:r w:rsidRPr="00FD5FC8">
        <w:t xml:space="preserve">n closely monitoring and restricting </w:t>
      </w:r>
      <w:r>
        <w:t xml:space="preserve">the </w:t>
      </w:r>
      <w:r w:rsidRPr="00FD5FC8">
        <w:t xml:space="preserve">movement of people in the area, even on days when training is not taking place, </w:t>
      </w:r>
      <w:r>
        <w:t xml:space="preserve">including by </w:t>
      </w:r>
      <w:r w:rsidRPr="00FD5FC8">
        <w:t xml:space="preserve">going house to house to photograph residents’ faces and </w:t>
      </w:r>
      <w:r>
        <w:t xml:space="preserve">check their </w:t>
      </w:r>
      <w:r w:rsidRPr="00FD5FC8">
        <w:t>identification documents.</w:t>
      </w:r>
      <w:r w:rsidRPr="00C430C7">
        <w:rPr>
          <w:rStyle w:val="FootnoteReference"/>
        </w:rPr>
        <w:footnoteReference w:id="171"/>
      </w:r>
      <w:r w:rsidRPr="00FD5FC8">
        <w:t xml:space="preserve"> </w:t>
      </w:r>
      <w:r>
        <w:t xml:space="preserve">In </w:t>
      </w:r>
      <w:r w:rsidRPr="00FD5FC8">
        <w:t>July</w:t>
      </w:r>
      <w:r>
        <w:t xml:space="preserve">, there were </w:t>
      </w:r>
      <w:r w:rsidRPr="00FD5FC8">
        <w:t xml:space="preserve">several cases of </w:t>
      </w:r>
      <w:r>
        <w:t xml:space="preserve">members of the </w:t>
      </w:r>
      <w:r w:rsidRPr="00FD5FC8">
        <w:t xml:space="preserve">community being stopped and detained for hours at newly established flying checkpoints, </w:t>
      </w:r>
      <w:r>
        <w:t xml:space="preserve">even </w:t>
      </w:r>
      <w:r w:rsidRPr="00FD5FC8">
        <w:t>outside military training periods</w:t>
      </w:r>
      <w:r>
        <w:t>.</w:t>
      </w:r>
      <w:r w:rsidRPr="00FD5FC8">
        <w:t xml:space="preserve"> </w:t>
      </w:r>
      <w:r>
        <w:t>I</w:t>
      </w:r>
      <w:r w:rsidRPr="00FD5FC8">
        <w:t>n addition</w:t>
      </w:r>
      <w:r>
        <w:t>,</w:t>
      </w:r>
      <w:r w:rsidRPr="00FD5FC8">
        <w:t xml:space="preserve"> </w:t>
      </w:r>
      <w:r>
        <w:t xml:space="preserve">representatives of </w:t>
      </w:r>
      <w:r w:rsidRPr="00FD5FC8">
        <w:t>humanitarian organi</w:t>
      </w:r>
      <w:r>
        <w:t>z</w:t>
      </w:r>
      <w:r w:rsidRPr="00FD5FC8">
        <w:t>ations and U</w:t>
      </w:r>
      <w:r>
        <w:t xml:space="preserve">nited </w:t>
      </w:r>
      <w:r w:rsidRPr="00FD5FC8">
        <w:t>N</w:t>
      </w:r>
      <w:r>
        <w:t>ations</w:t>
      </w:r>
      <w:r w:rsidRPr="00FD5FC8">
        <w:t xml:space="preserve"> personnel </w:t>
      </w:r>
      <w:r>
        <w:t xml:space="preserve">have been </w:t>
      </w:r>
      <w:r w:rsidRPr="00FD5FC8">
        <w:t xml:space="preserve">stopped, delayed and </w:t>
      </w:r>
      <w:r>
        <w:t xml:space="preserve">their </w:t>
      </w:r>
      <w:r w:rsidRPr="00FD5FC8">
        <w:t xml:space="preserve">cars seized and confiscated. On 29 July, a military seizure order was issued to construct a checkpoint in </w:t>
      </w:r>
      <w:r>
        <w:t>A</w:t>
      </w:r>
      <w:r w:rsidRPr="00FD5FC8">
        <w:t>t Tuwani</w:t>
      </w:r>
      <w:r>
        <w:t xml:space="preserve"> that </w:t>
      </w:r>
      <w:r w:rsidRPr="00FD5FC8">
        <w:t xml:space="preserve">would close off the main access road to </w:t>
      </w:r>
      <w:proofErr w:type="spellStart"/>
      <w:r w:rsidRPr="00FD5FC8">
        <w:t>Masafer</w:t>
      </w:r>
      <w:proofErr w:type="spellEnd"/>
      <w:r w:rsidRPr="00FD5FC8">
        <w:t xml:space="preserve"> </w:t>
      </w:r>
      <w:proofErr w:type="spellStart"/>
      <w:r w:rsidRPr="00FD5FC8">
        <w:t>Yatta</w:t>
      </w:r>
      <w:proofErr w:type="spellEnd"/>
      <w:r w:rsidRPr="00FD5FC8">
        <w:t xml:space="preserve">. On 11 August, </w:t>
      </w:r>
      <w:r>
        <w:t>Israeli security forces</w:t>
      </w:r>
      <w:r w:rsidRPr="00FD5FC8">
        <w:t xml:space="preserve"> placed concrete blocks at the entrance of At Tuwani in preparation for a road gate</w:t>
      </w:r>
      <w:r>
        <w:t xml:space="preserve">, which </w:t>
      </w:r>
      <w:proofErr w:type="gramStart"/>
      <w:r>
        <w:t>is</w:t>
      </w:r>
      <w:r w:rsidRPr="00FD5FC8">
        <w:t xml:space="preserve"> considered to be</w:t>
      </w:r>
      <w:proofErr w:type="gramEnd"/>
      <w:r w:rsidRPr="00FD5FC8">
        <w:t xml:space="preserve"> </w:t>
      </w:r>
      <w:r>
        <w:t xml:space="preserve">part of </w:t>
      </w:r>
      <w:r w:rsidRPr="00FD5FC8">
        <w:t>a larger checkpoint infrastructure</w:t>
      </w:r>
      <w:r>
        <w:t>.</w:t>
      </w:r>
      <w:r w:rsidRPr="00C430C7">
        <w:rPr>
          <w:rStyle w:val="FootnoteReference"/>
        </w:rPr>
        <w:footnoteReference w:id="172"/>
      </w:r>
    </w:p>
    <w:p w14:paraId="7D99A0BB" w14:textId="77777777" w:rsidR="00F6262F" w:rsidRPr="00FD5FC8" w:rsidRDefault="00F6262F" w:rsidP="00F6262F">
      <w:pPr>
        <w:pStyle w:val="ParaNoG"/>
        <w:rPr>
          <w:i/>
          <w:iCs/>
        </w:rPr>
      </w:pPr>
      <w:r w:rsidRPr="00FD5FC8">
        <w:t xml:space="preserve">The Secretary-General and the High Commissioner have repeatedly voiced deep concern regarding the possible forced evictions and forcible transfer of Palestinian families </w:t>
      </w:r>
      <w:r w:rsidRPr="00FD5FC8">
        <w:lastRenderedPageBreak/>
        <w:t xml:space="preserve">from their homes in </w:t>
      </w:r>
      <w:proofErr w:type="spellStart"/>
      <w:r w:rsidRPr="00FD5FC8">
        <w:t>Masafer</w:t>
      </w:r>
      <w:proofErr w:type="spellEnd"/>
      <w:r w:rsidRPr="00FD5FC8">
        <w:t xml:space="preserve"> </w:t>
      </w:r>
      <w:proofErr w:type="spellStart"/>
      <w:r w:rsidRPr="00FD5FC8">
        <w:t>Yatta</w:t>
      </w:r>
      <w:proofErr w:type="spellEnd"/>
      <w:r>
        <w:t>,</w:t>
      </w:r>
      <w:r w:rsidRPr="00FD5FC8">
        <w:t xml:space="preserve"> urging Israeli authorities to stop all military training to allow community members to stay in their homes in safety and dignity.</w:t>
      </w:r>
      <w:r w:rsidRPr="00C430C7">
        <w:rPr>
          <w:rStyle w:val="FootnoteReference"/>
        </w:rPr>
        <w:footnoteReference w:id="173"/>
      </w:r>
    </w:p>
    <w:p w14:paraId="09B81AAD" w14:textId="77777777" w:rsidR="00F6262F" w:rsidRPr="00A7393D" w:rsidRDefault="00F6262F" w:rsidP="00A7393D">
      <w:pPr>
        <w:pStyle w:val="H4G"/>
      </w:pPr>
      <w:r w:rsidRPr="008F213A">
        <w:tab/>
      </w:r>
      <w:r w:rsidRPr="008F213A">
        <w:tab/>
        <w:t>East Jerusalem</w:t>
      </w:r>
    </w:p>
    <w:p w14:paraId="76E41252" w14:textId="5847FE9F" w:rsidR="00F6262F" w:rsidRPr="00FD5FC8" w:rsidRDefault="00F6262F" w:rsidP="00F6262F">
      <w:pPr>
        <w:pStyle w:val="ParaNoG"/>
        <w:rPr>
          <w:i/>
          <w:iCs/>
        </w:rPr>
      </w:pPr>
      <w:r w:rsidRPr="00FD5FC8">
        <w:t xml:space="preserve">In Silwan, on 10 and 11 May </w:t>
      </w:r>
      <w:r w:rsidRPr="0082505A">
        <w:t>2022, demolitions caused the forcible eviction</w:t>
      </w:r>
      <w:r>
        <w:t xml:space="preserve"> of </w:t>
      </w:r>
      <w:r w:rsidRPr="00FD5FC8">
        <w:t xml:space="preserve">33 people, including 18 children. Approximately 74 Palestinians, including 42 children, remain at risk of impending forced eviction and possible forcible transfer following a demolition </w:t>
      </w:r>
      <w:r w:rsidRPr="00BE31E6">
        <w:t xml:space="preserve">order in Wadi </w:t>
      </w:r>
      <w:proofErr w:type="spellStart"/>
      <w:r w:rsidRPr="00BE31E6">
        <w:t>Qaddum</w:t>
      </w:r>
      <w:proofErr w:type="spellEnd"/>
      <w:r w:rsidRPr="00BE31E6">
        <w:t>.</w:t>
      </w:r>
      <w:r w:rsidRPr="00C430C7">
        <w:rPr>
          <w:rStyle w:val="FootnoteReference"/>
        </w:rPr>
        <w:footnoteReference w:id="174"/>
      </w:r>
      <w:r w:rsidRPr="00FD5FC8">
        <w:t xml:space="preserve"> In Sheikh Jarrah, tensions have remained high over the past years in the context of several rounds of planned forced evictions. In December 2021, the Salem family received an eviction notice based on a settler’s claim.</w:t>
      </w:r>
      <w:r w:rsidRPr="00C430C7">
        <w:rPr>
          <w:rStyle w:val="FootnoteReference"/>
        </w:rPr>
        <w:footnoteReference w:id="175"/>
      </w:r>
      <w:r w:rsidRPr="00FD5FC8">
        <w:t xml:space="preserve"> The proposed eviction would displace 12 people, including six children.</w:t>
      </w:r>
      <w:r w:rsidRPr="00C430C7">
        <w:rPr>
          <w:rStyle w:val="FootnoteReference"/>
        </w:rPr>
        <w:footnoteReference w:id="176"/>
      </w:r>
      <w:r w:rsidRPr="00FD5FC8">
        <w:t xml:space="preserve"> On 1 March 2022, the Israeli Supreme Court allowed four Sheikh Jarrah families facing eviction orders to stay in their homes as protected tenants until the conclusion of the process of settlement of land title. This ruling may provide a precedent and protect other families similarly facing eviction.</w:t>
      </w:r>
    </w:p>
    <w:p w14:paraId="269FCBD3" w14:textId="5CFFF4A6" w:rsidR="00F6262F" w:rsidRPr="00FD5FC8" w:rsidRDefault="00F6262F" w:rsidP="00F6262F">
      <w:pPr>
        <w:pStyle w:val="H1G"/>
      </w:pPr>
      <w:r w:rsidRPr="00FD5FC8">
        <w:tab/>
        <w:t>D.</w:t>
      </w:r>
      <w:r w:rsidRPr="00FD5FC8">
        <w:tab/>
        <w:t>Settlements in the occupied Syrian Golan</w:t>
      </w:r>
    </w:p>
    <w:p w14:paraId="5B5B3731" w14:textId="08F723F7" w:rsidR="00F6262F" w:rsidRPr="00FD5FC8" w:rsidRDefault="00F6262F" w:rsidP="00F6262F">
      <w:pPr>
        <w:pStyle w:val="ParaNoG"/>
      </w:pPr>
      <w:r w:rsidRPr="00FD5FC8">
        <w:t xml:space="preserve">Over the past decade, in the context of the Syrian </w:t>
      </w:r>
      <w:r>
        <w:t>c</w:t>
      </w:r>
      <w:r w:rsidRPr="00FD5FC8">
        <w:t xml:space="preserve">ivil </w:t>
      </w:r>
      <w:r>
        <w:t>w</w:t>
      </w:r>
      <w:r w:rsidRPr="00FD5FC8">
        <w:t xml:space="preserve">ar, Israel has regularly attacked Syrian military personnel and installations and </w:t>
      </w:r>
      <w:r>
        <w:t xml:space="preserve">has </w:t>
      </w:r>
      <w:r w:rsidRPr="00FD5FC8">
        <w:t>expanded Israeli settlements on the Golan. Following</w:t>
      </w:r>
      <w:r>
        <w:t xml:space="preserve"> the </w:t>
      </w:r>
      <w:r w:rsidRPr="00FD5FC8">
        <w:t xml:space="preserve">recognition of Israeli “sovereignty” over the Golan </w:t>
      </w:r>
      <w:r>
        <w:t xml:space="preserve">by the United States of America </w:t>
      </w:r>
      <w:r w:rsidRPr="00FD5FC8">
        <w:t xml:space="preserve">on 25 March 2019, Israel embarked on an unprecedented plan to double its settler population </w:t>
      </w:r>
      <w:r>
        <w:t>i</w:t>
      </w:r>
      <w:r w:rsidRPr="00FD5FC8">
        <w:t xml:space="preserve">n the Golan by 2027 and </w:t>
      </w:r>
      <w:r>
        <w:t xml:space="preserve">to </w:t>
      </w:r>
      <w:r w:rsidRPr="00FD5FC8">
        <w:t>increase the number of settlements from 34 to 36.</w:t>
      </w:r>
      <w:r w:rsidRPr="00C430C7">
        <w:rPr>
          <w:rStyle w:val="FootnoteReference"/>
        </w:rPr>
        <w:footnoteReference w:id="177"/>
      </w:r>
      <w:r w:rsidRPr="00FD5FC8">
        <w:t xml:space="preserve"> As documented in Security Council resolution 497 (1981), the Israeli decision to impose its laws, jurisdiction and administration in the occupied Syrian Golan is null and void and without international legal effect.</w:t>
      </w:r>
    </w:p>
    <w:p w14:paraId="55612EF6" w14:textId="4499C2CB" w:rsidR="00F6262F" w:rsidRPr="00FD5FC8" w:rsidRDefault="00F6262F" w:rsidP="00F6262F">
      <w:pPr>
        <w:pStyle w:val="ParaNoG"/>
        <w:rPr>
          <w:i/>
          <w:iCs/>
        </w:rPr>
      </w:pPr>
      <w:r w:rsidRPr="00FD5FC8">
        <w:t>Occupied Syrian Golan villages suffer from severe overcrowding. The seizure of lands for Israeli settlements, military zones, nature reserves and commercial activities</w:t>
      </w:r>
      <w:r>
        <w:t>,</w:t>
      </w:r>
      <w:r w:rsidRPr="00FD5FC8">
        <w:t xml:space="preserve"> </w:t>
      </w:r>
      <w:r>
        <w:t xml:space="preserve">including a </w:t>
      </w:r>
      <w:r w:rsidRPr="00FD5FC8">
        <w:t>wind turbine project</w:t>
      </w:r>
      <w:r>
        <w:t>,</w:t>
      </w:r>
      <w:r w:rsidRPr="00FD5FC8">
        <w:t xml:space="preserve"> continue to limit </w:t>
      </w:r>
      <w:r>
        <w:t xml:space="preserve">access of the </w:t>
      </w:r>
      <w:r w:rsidRPr="00FD5FC8">
        <w:t xml:space="preserve">Syrian population to land and water, in violation of their rights to adequate housing, food and health. The Syrian </w:t>
      </w:r>
      <w:r>
        <w:t>G</w:t>
      </w:r>
      <w:r w:rsidRPr="00FD5FC8">
        <w:t>overnment has formally protested the confiscation and appropriation of over six square kilometres of Syrian land for the construction of 42 wind turbines in the villages of Ain El-</w:t>
      </w:r>
      <w:proofErr w:type="spellStart"/>
      <w:r w:rsidRPr="00BE31E6">
        <w:t>Hajal</w:t>
      </w:r>
      <w:proofErr w:type="spellEnd"/>
      <w:r w:rsidRPr="00BE31E6">
        <w:t>, Al Mansura and Al-</w:t>
      </w:r>
      <w:proofErr w:type="spellStart"/>
      <w:r w:rsidRPr="00BE31E6">
        <w:t>Thaljiyat</w:t>
      </w:r>
      <w:proofErr w:type="spellEnd"/>
      <w:r w:rsidRPr="00BE31E6">
        <w:t xml:space="preserve">, and the imminent confiscation of another four square kilometres of agricultural land to facilitate the construction of another 41 wind turbines in the villages of </w:t>
      </w:r>
      <w:proofErr w:type="spellStart"/>
      <w:r w:rsidRPr="00BE31E6">
        <w:t>Madjal</w:t>
      </w:r>
      <w:proofErr w:type="spellEnd"/>
      <w:r w:rsidRPr="00BE31E6">
        <w:t xml:space="preserve"> Shams, Masada, </w:t>
      </w:r>
      <w:proofErr w:type="spellStart"/>
      <w:r w:rsidRPr="00BE31E6">
        <w:t>Buqaata</w:t>
      </w:r>
      <w:proofErr w:type="spellEnd"/>
      <w:r w:rsidRPr="00BE31E6">
        <w:t xml:space="preserve"> and Ein </w:t>
      </w:r>
      <w:proofErr w:type="spellStart"/>
      <w:r w:rsidRPr="00BE31E6">
        <w:t>Qiniya</w:t>
      </w:r>
      <w:proofErr w:type="spellEnd"/>
      <w:r w:rsidRPr="00FD5FC8">
        <w:t>.</w:t>
      </w:r>
      <w:r w:rsidRPr="00C430C7">
        <w:rPr>
          <w:rStyle w:val="FootnoteReference"/>
        </w:rPr>
        <w:footnoteReference w:id="178"/>
      </w:r>
      <w:r w:rsidRPr="00FD5FC8">
        <w:t xml:space="preserve"> </w:t>
      </w:r>
      <w:r>
        <w:t xml:space="preserve">The </w:t>
      </w:r>
      <w:r w:rsidRPr="00FD5FC8">
        <w:t>Syria</w:t>
      </w:r>
      <w:r>
        <w:t>n Arab Republic has</w:t>
      </w:r>
      <w:r w:rsidRPr="00FD5FC8">
        <w:t xml:space="preserve"> also expressed concern </w:t>
      </w:r>
      <w:r>
        <w:t>over</w:t>
      </w:r>
      <w:r w:rsidRPr="00FD5FC8">
        <w:t xml:space="preserve"> the health impacts for</w:t>
      </w:r>
      <w:r>
        <w:t xml:space="preserve"> its</w:t>
      </w:r>
      <w:r w:rsidRPr="00FD5FC8">
        <w:t xml:space="preserve"> population centres located within 10 kilometres of the 120 metre-tall turbines.</w:t>
      </w:r>
    </w:p>
    <w:p w14:paraId="0C537D3F" w14:textId="59D2BC96" w:rsidR="00F6262F" w:rsidRPr="00FD5FC8" w:rsidRDefault="00F6262F" w:rsidP="00F6262F">
      <w:pPr>
        <w:pStyle w:val="HChG"/>
      </w:pPr>
      <w:r w:rsidRPr="00FD5FC8">
        <w:tab/>
        <w:t>IV.</w:t>
      </w:r>
      <w:bookmarkStart w:id="7" w:name="_Toc536172813"/>
      <w:r w:rsidRPr="00FD5FC8">
        <w:tab/>
        <w:t>Conclusions and recommendations</w:t>
      </w:r>
      <w:bookmarkEnd w:id="7"/>
    </w:p>
    <w:p w14:paraId="79F8803F" w14:textId="77777777" w:rsidR="00F6262F" w:rsidRPr="000B08F6" w:rsidRDefault="00F6262F" w:rsidP="00F6262F">
      <w:pPr>
        <w:pStyle w:val="ParaNoG"/>
        <w:rPr>
          <w:b/>
          <w:bCs/>
        </w:rPr>
      </w:pPr>
      <w:r w:rsidRPr="000B08F6">
        <w:rPr>
          <w:b/>
          <w:bCs/>
        </w:rPr>
        <w:t>The establishment and expansion of settlements in the Occupied Palestinian Territory and the occupied Syrian Golan, authorized or unauthorized under Israeli law, amount to the transfer by Israel of its own civilian population into the territories it occupies, which is prohibited under international humanitarian law,</w:t>
      </w:r>
      <w:r w:rsidRPr="00C430C7">
        <w:rPr>
          <w:rStyle w:val="FootnoteReference"/>
        </w:rPr>
        <w:footnoteReference w:id="179"/>
      </w:r>
      <w:r w:rsidRPr="000B08F6">
        <w:rPr>
          <w:b/>
          <w:bCs/>
          <w:vertAlign w:val="superscript"/>
        </w:rPr>
        <w:t xml:space="preserve"> </w:t>
      </w:r>
      <w:r w:rsidRPr="000B08F6">
        <w:rPr>
          <w:b/>
          <w:bCs/>
        </w:rPr>
        <w:t xml:space="preserve">as consistently confirmed by the competent United Nations organs, including the International Court </w:t>
      </w:r>
      <w:r w:rsidRPr="000B08F6">
        <w:rPr>
          <w:b/>
          <w:bCs/>
        </w:rPr>
        <w:lastRenderedPageBreak/>
        <w:t>of Justice.</w:t>
      </w:r>
      <w:r w:rsidRPr="00C430C7">
        <w:rPr>
          <w:rStyle w:val="FootnoteReference"/>
        </w:rPr>
        <w:footnoteReference w:id="180"/>
      </w:r>
      <w:r w:rsidRPr="000B08F6">
        <w:rPr>
          <w:b/>
          <w:bCs/>
        </w:rPr>
        <w:t xml:space="preserve"> Such transfers amount to a war crime that may engage the individual criminal responsibility of those involved.</w:t>
      </w:r>
    </w:p>
    <w:p w14:paraId="4D5CF117" w14:textId="57E629C9" w:rsidR="00F6262F" w:rsidRPr="000B08F6" w:rsidRDefault="00F6262F" w:rsidP="00F6262F">
      <w:pPr>
        <w:pStyle w:val="ParaNoG"/>
        <w:rPr>
          <w:b/>
          <w:bCs/>
        </w:rPr>
      </w:pPr>
      <w:r w:rsidRPr="000B08F6">
        <w:rPr>
          <w:b/>
          <w:bCs/>
        </w:rPr>
        <w:t xml:space="preserve">The systematic takeover of land through various means, </w:t>
      </w:r>
      <w:r w:rsidRPr="000B08F6">
        <w:rPr>
          <w:b/>
          <w:bCs/>
          <w:color w:val="000000"/>
        </w:rPr>
        <w:t xml:space="preserve">including discriminatory Israeli laws and orders, </w:t>
      </w:r>
      <w:r w:rsidRPr="000B08F6">
        <w:rPr>
          <w:b/>
          <w:bCs/>
        </w:rPr>
        <w:t xml:space="preserve">continues to undergird settlement expansion in the West Bank, including East Jerusalem. The “settlement of titles” is illegal under international law and increases the risk of illegal appropriation of property and of possible </w:t>
      </w:r>
      <w:r w:rsidRPr="000B08F6">
        <w:rPr>
          <w:rFonts w:asciiTheme="majorBidi" w:hAnsiTheme="majorBidi" w:cstheme="majorBidi"/>
          <w:b/>
          <w:bCs/>
        </w:rPr>
        <w:t>forcible transfer.</w:t>
      </w:r>
      <w:r w:rsidRPr="00C430C7">
        <w:rPr>
          <w:rStyle w:val="FootnoteReference"/>
        </w:rPr>
        <w:footnoteReference w:id="181"/>
      </w:r>
      <w:r w:rsidRPr="000B08F6">
        <w:rPr>
          <w:rFonts w:asciiTheme="majorBidi" w:hAnsiTheme="majorBidi" w:cstheme="majorBidi"/>
          <w:b/>
          <w:bCs/>
        </w:rPr>
        <w:t xml:space="preserve"> Over the past decade there has been a significant shift in the position of the Government of Israel and its institutions – characterized by an increasingly emboldened stance aimed at accelerating control over land and resources and imposing Israeli sovereignty.</w:t>
      </w:r>
    </w:p>
    <w:p w14:paraId="0199D11B" w14:textId="33DDE9DA" w:rsidR="00F6262F" w:rsidRPr="000B08F6" w:rsidRDefault="00F6262F" w:rsidP="00F6262F">
      <w:pPr>
        <w:pStyle w:val="ParaNoG"/>
        <w:rPr>
          <w:b/>
          <w:bCs/>
        </w:rPr>
      </w:pPr>
      <w:r w:rsidRPr="000B08F6">
        <w:rPr>
          <w:b/>
          <w:bCs/>
        </w:rPr>
        <w:t xml:space="preserve">Discriminatory planning policies and practices, demolitions and forced evictions in the Occupied Palestinian Territory, including for the benefit of settler organizations, entail numerous human rights violations and are a key factor in the coercive environment which currently prevails. Displacement and “relocation” to alternative residential areas </w:t>
      </w:r>
      <w:proofErr w:type="gramStart"/>
      <w:r w:rsidRPr="000B08F6">
        <w:rPr>
          <w:b/>
          <w:bCs/>
        </w:rPr>
        <w:t>as a result of</w:t>
      </w:r>
      <w:proofErr w:type="gramEnd"/>
      <w:r w:rsidRPr="000B08F6">
        <w:rPr>
          <w:b/>
          <w:bCs/>
        </w:rPr>
        <w:t xml:space="preserve"> such an environment amounts to forcible transfer, contrary to the obligations of Israel under international humanitarian law and international human rights law.</w:t>
      </w:r>
      <w:r w:rsidRPr="00C430C7">
        <w:rPr>
          <w:rStyle w:val="FootnoteReference"/>
        </w:rPr>
        <w:footnoteReference w:id="182"/>
      </w:r>
    </w:p>
    <w:p w14:paraId="04F7B2CF" w14:textId="4048C791" w:rsidR="00F6262F" w:rsidRPr="000B08F6" w:rsidRDefault="00F6262F" w:rsidP="00F6262F">
      <w:pPr>
        <w:pStyle w:val="ParaNoG"/>
        <w:rPr>
          <w:b/>
          <w:bCs/>
        </w:rPr>
      </w:pPr>
      <w:r w:rsidRPr="000B08F6">
        <w:rPr>
          <w:b/>
          <w:bCs/>
        </w:rPr>
        <w:t>Settler violence has reached the highest levels ever recorded by the United Nations. Violence by settlers and the Israel security forces has become increasingly interwoven, including cases of settlers shooting side by side with the Israeli security forces.</w:t>
      </w:r>
      <w:r w:rsidRPr="00C430C7">
        <w:rPr>
          <w:rStyle w:val="FootnoteReference"/>
        </w:rPr>
        <w:footnoteReference w:id="183"/>
      </w:r>
      <w:r w:rsidRPr="000B08F6">
        <w:rPr>
          <w:b/>
          <w:bCs/>
        </w:rPr>
        <w:t xml:space="preserve"> Israel has repeatedly failed in its responsibility as the occupying Power to protect Palestinians and their property.</w:t>
      </w:r>
      <w:r w:rsidRPr="00C430C7">
        <w:rPr>
          <w:rStyle w:val="FootnoteReference"/>
        </w:rPr>
        <w:footnoteReference w:id="184"/>
      </w:r>
      <w:r w:rsidRPr="000B08F6">
        <w:rPr>
          <w:b/>
          <w:bCs/>
        </w:rPr>
        <w:t xml:space="preserve"> This contributes to worsening of the coercive environment and discrimination against Palestinians, with a prevailing climate of impunity for settler violence and for use of force by the Israeli security forces.</w:t>
      </w:r>
    </w:p>
    <w:p w14:paraId="2D9352F1" w14:textId="77777777" w:rsidR="00F6262F" w:rsidRPr="000B08F6" w:rsidRDefault="00F6262F" w:rsidP="00F6262F">
      <w:pPr>
        <w:pStyle w:val="ParaNoG"/>
        <w:rPr>
          <w:b/>
          <w:bCs/>
        </w:rPr>
      </w:pPr>
      <w:r w:rsidRPr="000B08F6">
        <w:rPr>
          <w:b/>
          <w:bCs/>
        </w:rPr>
        <w:t>The High Commissioner further recalls Security Council resolution 497 (1981), in which the Council decided that the decision of Israel to impose its laws, jurisdiction and administration in the occupied Syrian Golan was null and void and without international legal effect.</w:t>
      </w:r>
    </w:p>
    <w:p w14:paraId="07E1BF2E" w14:textId="77777777" w:rsidR="00F6262F" w:rsidRPr="000B08F6" w:rsidRDefault="00F6262F" w:rsidP="00F6262F">
      <w:pPr>
        <w:pStyle w:val="ParaNoG"/>
        <w:rPr>
          <w:b/>
          <w:bCs/>
        </w:rPr>
      </w:pPr>
      <w:proofErr w:type="gramStart"/>
      <w:r w:rsidRPr="000B08F6">
        <w:rPr>
          <w:b/>
          <w:bCs/>
        </w:rPr>
        <w:t>On the basis of</w:t>
      </w:r>
      <w:proofErr w:type="gramEnd"/>
      <w:r w:rsidRPr="000B08F6">
        <w:rPr>
          <w:b/>
          <w:bCs/>
        </w:rPr>
        <w:t xml:space="preserve"> the findings presented in the present and previous reports, the High Commissioner recommends that the Israeli authorities:</w:t>
      </w:r>
    </w:p>
    <w:p w14:paraId="7A6FF0CE" w14:textId="77777777" w:rsidR="00F6262F" w:rsidRPr="000B08F6" w:rsidRDefault="00F6262F" w:rsidP="00F6262F">
      <w:pPr>
        <w:pStyle w:val="SingleTxtG"/>
        <w:rPr>
          <w:b/>
          <w:bCs/>
        </w:rPr>
      </w:pPr>
      <w:r>
        <w:tab/>
      </w:r>
      <w:r w:rsidRPr="00181F63">
        <w:t>(a)</w:t>
      </w:r>
      <w:r>
        <w:tab/>
      </w:r>
      <w:r w:rsidRPr="000B08F6">
        <w:rPr>
          <w:b/>
          <w:bCs/>
        </w:rPr>
        <w:t>Immediately and completely cease and reverse all settlement development and related activities in the Occupied Palestinian Territory, including East Jerusalem, and in the occupied Syrian Golan, in accordance with relevant United Nations resolutions, including Security Council resolutions 497 (1981) and 2334 (2016</w:t>
      </w:r>
      <w:proofErr w:type="gramStart"/>
      <w:r w:rsidRPr="000B08F6">
        <w:rPr>
          <w:b/>
          <w:bCs/>
        </w:rPr>
        <w:t>);</w:t>
      </w:r>
      <w:proofErr w:type="gramEnd"/>
    </w:p>
    <w:p w14:paraId="33761406" w14:textId="77777777" w:rsidR="00F6262F" w:rsidRPr="000B08F6" w:rsidRDefault="00F6262F" w:rsidP="00F6262F">
      <w:pPr>
        <w:pStyle w:val="SingleTxtG"/>
        <w:rPr>
          <w:b/>
          <w:bCs/>
        </w:rPr>
      </w:pPr>
      <w:r w:rsidRPr="00181F63">
        <w:tab/>
        <w:t>(b)</w:t>
      </w:r>
      <w:r>
        <w:tab/>
      </w:r>
      <w:r w:rsidRPr="000B08F6">
        <w:rPr>
          <w:b/>
          <w:bCs/>
        </w:rPr>
        <w:t xml:space="preserve">Rescind all policies and practices contributing to a coercive environment and/or increasing the risk of forcible transfer of </w:t>
      </w:r>
      <w:proofErr w:type="gramStart"/>
      <w:r w:rsidRPr="000B08F6">
        <w:rPr>
          <w:b/>
          <w:bCs/>
        </w:rPr>
        <w:t>Palestinians;</w:t>
      </w:r>
      <w:proofErr w:type="gramEnd"/>
    </w:p>
    <w:p w14:paraId="53EAEBBE" w14:textId="77777777" w:rsidR="00F6262F" w:rsidRPr="000B08F6" w:rsidRDefault="00F6262F" w:rsidP="00F6262F">
      <w:pPr>
        <w:pStyle w:val="SingleTxtG"/>
        <w:rPr>
          <w:b/>
          <w:bCs/>
        </w:rPr>
      </w:pPr>
      <w:r w:rsidRPr="00181F63">
        <w:tab/>
        <w:t>(c)</w:t>
      </w:r>
      <w:r>
        <w:tab/>
      </w:r>
      <w:r w:rsidRPr="000B08F6">
        <w:rPr>
          <w:b/>
          <w:bCs/>
        </w:rPr>
        <w:t xml:space="preserve">Review planning laws and policies to ensure that they are compliant with the obligations of Israel under international human rights law and international humanitarian </w:t>
      </w:r>
      <w:proofErr w:type="gramStart"/>
      <w:r w:rsidRPr="000B08F6">
        <w:rPr>
          <w:b/>
          <w:bCs/>
        </w:rPr>
        <w:t>law;</w:t>
      </w:r>
      <w:proofErr w:type="gramEnd"/>
    </w:p>
    <w:p w14:paraId="7662AF63" w14:textId="77777777" w:rsidR="00F6262F" w:rsidRPr="000B08F6" w:rsidRDefault="00F6262F" w:rsidP="00F6262F">
      <w:pPr>
        <w:pStyle w:val="SingleTxtG"/>
        <w:rPr>
          <w:b/>
          <w:bCs/>
        </w:rPr>
      </w:pPr>
      <w:r w:rsidRPr="00181F63">
        <w:tab/>
        <w:t>(d)</w:t>
      </w:r>
      <w:r>
        <w:tab/>
      </w:r>
      <w:r w:rsidRPr="000B08F6">
        <w:rPr>
          <w:b/>
          <w:bCs/>
        </w:rPr>
        <w:t xml:space="preserve">Refrain from implementing evictions and demolition orders on the basis of discriminatory and unlawful planning policies and practices that may lead to the forcible transfer of Palestinians, affecting women </w:t>
      </w:r>
      <w:proofErr w:type="gramStart"/>
      <w:r w:rsidRPr="000B08F6">
        <w:rPr>
          <w:b/>
          <w:bCs/>
        </w:rPr>
        <w:t>disproportionally;</w:t>
      </w:r>
      <w:proofErr w:type="gramEnd"/>
    </w:p>
    <w:p w14:paraId="42EF613A" w14:textId="77777777" w:rsidR="00F6262F" w:rsidRPr="000B08F6" w:rsidRDefault="00F6262F" w:rsidP="00F6262F">
      <w:pPr>
        <w:pStyle w:val="SingleTxtG"/>
        <w:rPr>
          <w:b/>
          <w:bCs/>
        </w:rPr>
      </w:pPr>
      <w:r>
        <w:tab/>
      </w:r>
      <w:r w:rsidRPr="00181F63">
        <w:t>(e)</w:t>
      </w:r>
      <w:r>
        <w:tab/>
      </w:r>
      <w:r w:rsidRPr="000B08F6">
        <w:rPr>
          <w:b/>
          <w:bCs/>
        </w:rPr>
        <w:t>Take all steps necessary to protect the Palestinian population and their property from settler violence</w:t>
      </w:r>
      <w:r w:rsidRPr="000B08F6" w:rsidDel="009C435C">
        <w:rPr>
          <w:b/>
          <w:bCs/>
        </w:rPr>
        <w:t xml:space="preserve"> and ensure </w:t>
      </w:r>
      <w:r w:rsidRPr="000B08F6">
        <w:rPr>
          <w:b/>
          <w:bCs/>
        </w:rPr>
        <w:t xml:space="preserve">that all incidents of violence by settlers and Israeli security forces against Palestinians and damage to their property are promptly, effectively, thoroughly and transparently investigated, that perpetrators are prosecuted </w:t>
      </w:r>
      <w:r w:rsidRPr="000B08F6">
        <w:rPr>
          <w:b/>
          <w:bCs/>
        </w:rPr>
        <w:lastRenderedPageBreak/>
        <w:t>and, if convicted, punished with appropriate sanctions, and that victims are provided with effective remedies, including adequate compensation, in accordance with international standards</w:t>
      </w:r>
      <w:r w:rsidRPr="000B08F6" w:rsidDel="00844AD8">
        <w:rPr>
          <w:b/>
          <w:bCs/>
        </w:rPr>
        <w:t>;</w:t>
      </w:r>
    </w:p>
    <w:p w14:paraId="7471B613" w14:textId="77777777" w:rsidR="00F6262F" w:rsidRPr="000B08F6" w:rsidRDefault="00F6262F" w:rsidP="00F6262F">
      <w:pPr>
        <w:pStyle w:val="SingleTxtG"/>
        <w:rPr>
          <w:b/>
          <w:bCs/>
        </w:rPr>
      </w:pPr>
      <w:r>
        <w:tab/>
      </w:r>
      <w:r w:rsidRPr="00181F63">
        <w:t>(f)</w:t>
      </w:r>
      <w:r>
        <w:tab/>
      </w:r>
      <w:r w:rsidRPr="000B08F6">
        <w:rPr>
          <w:b/>
          <w:bCs/>
        </w:rPr>
        <w:t xml:space="preserve">Protect the rights to freedom of expression and peaceful assembly of Palestinians, refrain from all undue restriction, including use of force, and create an enabling environment for peaceful </w:t>
      </w:r>
      <w:proofErr w:type="gramStart"/>
      <w:r w:rsidRPr="000B08F6">
        <w:rPr>
          <w:b/>
          <w:bCs/>
        </w:rPr>
        <w:t>protests;</w:t>
      </w:r>
      <w:proofErr w:type="gramEnd"/>
    </w:p>
    <w:p w14:paraId="4962E618" w14:textId="77777777" w:rsidR="00F6262F" w:rsidRPr="000B08F6" w:rsidRDefault="00F6262F" w:rsidP="00F6262F">
      <w:pPr>
        <w:pStyle w:val="SingleTxtG"/>
        <w:rPr>
          <w:b/>
          <w:bCs/>
        </w:rPr>
      </w:pPr>
      <w:r>
        <w:tab/>
      </w:r>
      <w:r w:rsidRPr="00181F63">
        <w:t>(g)</w:t>
      </w:r>
      <w:r>
        <w:tab/>
      </w:r>
      <w:r w:rsidRPr="000B08F6">
        <w:rPr>
          <w:b/>
          <w:bCs/>
        </w:rPr>
        <w:t>End policies and practices within the occupied Syrian Golan that may lead to discrimination against protected persons.</w:t>
      </w:r>
    </w:p>
    <w:p w14:paraId="7279E2C7" w14:textId="18117376" w:rsidR="007268F9" w:rsidRPr="00E75317" w:rsidRDefault="00F6262F" w:rsidP="00335744">
      <w:pPr>
        <w:jc w:val="center"/>
      </w:pPr>
      <w:r w:rsidRPr="00C90274">
        <w:rPr>
          <w:u w:val="single"/>
          <w:lang w:val="en-US"/>
        </w:rPr>
        <w:tab/>
      </w:r>
      <w:r w:rsidRPr="00C90274">
        <w:rPr>
          <w:u w:val="single"/>
          <w:lang w:val="en-US"/>
        </w:rPr>
        <w:tab/>
      </w:r>
      <w:r w:rsidRPr="00C90274">
        <w:rPr>
          <w:u w:val="single"/>
          <w:lang w:val="en-US"/>
        </w:rPr>
        <w:tab/>
      </w:r>
    </w:p>
    <w:sectPr w:rsidR="007268F9" w:rsidRPr="00E75317" w:rsidSect="00CA1B0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EC55" w14:textId="77777777" w:rsidR="00C006EF" w:rsidRPr="00C47B2E" w:rsidRDefault="00C006EF" w:rsidP="00C47B2E">
      <w:pPr>
        <w:pStyle w:val="Footer"/>
      </w:pPr>
    </w:p>
  </w:endnote>
  <w:endnote w:type="continuationSeparator" w:id="0">
    <w:p w14:paraId="55E08EE7" w14:textId="77777777" w:rsidR="00C006EF" w:rsidRPr="00C47B2E" w:rsidRDefault="00C006EF" w:rsidP="00C47B2E">
      <w:pPr>
        <w:pStyle w:val="Footer"/>
      </w:pPr>
    </w:p>
  </w:endnote>
  <w:endnote w:type="continuationNotice" w:id="1">
    <w:p w14:paraId="3100A896" w14:textId="77777777" w:rsidR="00C006EF" w:rsidRPr="00C47B2E" w:rsidRDefault="00C006E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DDDB" w14:textId="00B8AB79" w:rsidR="00B479C3" w:rsidRDefault="00B479C3" w:rsidP="00B479C3">
    <w:pPr>
      <w:pStyle w:val="Footer"/>
      <w:tabs>
        <w:tab w:val="right" w:pos="9638"/>
      </w:tabs>
    </w:pPr>
    <w:r w:rsidRPr="00B479C3">
      <w:rPr>
        <w:b/>
        <w:bCs/>
        <w:sz w:val="18"/>
      </w:rPr>
      <w:fldChar w:fldCharType="begin"/>
    </w:r>
    <w:r w:rsidRPr="00B479C3">
      <w:rPr>
        <w:b/>
        <w:bCs/>
        <w:sz w:val="18"/>
      </w:rPr>
      <w:instrText xml:space="preserve"> PAGE  \* MERGEFORMAT </w:instrText>
    </w:r>
    <w:r w:rsidRPr="00B479C3">
      <w:rPr>
        <w:b/>
        <w:bCs/>
        <w:sz w:val="18"/>
      </w:rPr>
      <w:fldChar w:fldCharType="separate"/>
    </w:r>
    <w:r w:rsidRPr="00B479C3">
      <w:rPr>
        <w:b/>
        <w:bCs/>
        <w:noProof/>
        <w:sz w:val="18"/>
      </w:rPr>
      <w:t>2</w:t>
    </w:r>
    <w:r w:rsidRPr="00B479C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3309" w14:textId="4797043E" w:rsidR="00B479C3" w:rsidRDefault="00B479C3" w:rsidP="00B479C3">
    <w:pPr>
      <w:pStyle w:val="Footer"/>
      <w:tabs>
        <w:tab w:val="right" w:pos="9638"/>
      </w:tabs>
    </w:pPr>
    <w:r>
      <w:tab/>
    </w:r>
    <w:r w:rsidRPr="00B479C3">
      <w:rPr>
        <w:b/>
        <w:bCs/>
        <w:sz w:val="18"/>
      </w:rPr>
      <w:fldChar w:fldCharType="begin"/>
    </w:r>
    <w:r w:rsidRPr="00B479C3">
      <w:rPr>
        <w:b/>
        <w:bCs/>
        <w:sz w:val="18"/>
      </w:rPr>
      <w:instrText xml:space="preserve"> PAGE  \* MERGEFORMAT </w:instrText>
    </w:r>
    <w:r w:rsidRPr="00B479C3">
      <w:rPr>
        <w:b/>
        <w:bCs/>
        <w:sz w:val="18"/>
      </w:rPr>
      <w:fldChar w:fldCharType="separate"/>
    </w:r>
    <w:r w:rsidRPr="00B479C3">
      <w:rPr>
        <w:b/>
        <w:bCs/>
        <w:noProof/>
        <w:sz w:val="18"/>
      </w:rPr>
      <w:t>3</w:t>
    </w:r>
    <w:r w:rsidRPr="00B479C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B28B" w14:textId="0755C6CF" w:rsidR="00B479C3" w:rsidRPr="00B479C3" w:rsidRDefault="00B479C3" w:rsidP="00B479C3">
    <w:pPr>
      <w:pStyle w:val="Footer"/>
      <w:tabs>
        <w:tab w:val="right" w:pos="7370"/>
      </w:tabs>
      <w:kinsoku/>
      <w:overflowPunct/>
      <w:autoSpaceDE/>
      <w:autoSpaceDN/>
      <w:adjustRightInd/>
      <w:snapToGri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EA23" w14:textId="77777777" w:rsidR="00C006EF" w:rsidRPr="00C47B2E" w:rsidRDefault="00C006EF" w:rsidP="00C47B2E">
      <w:pPr>
        <w:tabs>
          <w:tab w:val="right" w:pos="2155"/>
        </w:tabs>
        <w:spacing w:after="80" w:line="240" w:lineRule="auto"/>
        <w:ind w:left="680"/>
      </w:pPr>
      <w:r>
        <w:rPr>
          <w:u w:val="single"/>
        </w:rPr>
        <w:tab/>
      </w:r>
    </w:p>
  </w:footnote>
  <w:footnote w:type="continuationSeparator" w:id="0">
    <w:p w14:paraId="30C89BDF" w14:textId="77777777" w:rsidR="00C006EF" w:rsidRPr="00C47B2E" w:rsidRDefault="00C006EF" w:rsidP="005E716E">
      <w:pPr>
        <w:tabs>
          <w:tab w:val="right" w:pos="2155"/>
        </w:tabs>
        <w:spacing w:after="80" w:line="240" w:lineRule="auto"/>
        <w:ind w:left="680"/>
      </w:pPr>
      <w:r>
        <w:rPr>
          <w:u w:val="single"/>
        </w:rPr>
        <w:tab/>
      </w:r>
    </w:p>
  </w:footnote>
  <w:footnote w:type="continuationNotice" w:id="1">
    <w:p w14:paraId="6172F880" w14:textId="77777777" w:rsidR="00C006EF" w:rsidRPr="00C47B2E" w:rsidRDefault="00C006EF" w:rsidP="00C47B2E">
      <w:pPr>
        <w:pStyle w:val="Footer"/>
      </w:pPr>
    </w:p>
  </w:footnote>
  <w:footnote w:id="2">
    <w:p w14:paraId="20AC9AE5" w14:textId="77777777" w:rsidR="00F6262F" w:rsidRPr="001A70EB" w:rsidRDefault="00F6262F" w:rsidP="00F6262F">
      <w:pPr>
        <w:pStyle w:val="FootnoteText"/>
      </w:pPr>
      <w:r w:rsidRPr="001A70EB">
        <w:rPr>
          <w:rStyle w:val="FootnoteReference"/>
          <w:vertAlign w:val="baseline"/>
        </w:rPr>
        <w:tab/>
      </w:r>
      <w:r w:rsidRPr="001A70EB">
        <w:rPr>
          <w:rStyle w:val="FootnoteReference"/>
          <w:sz w:val="20"/>
          <w:vertAlign w:val="baseline"/>
        </w:rPr>
        <w:t>*</w:t>
      </w:r>
      <w:r w:rsidRPr="001A70EB">
        <w:rPr>
          <w:rStyle w:val="FootnoteReference"/>
          <w:sz w:val="20"/>
          <w:vertAlign w:val="baseline"/>
        </w:rPr>
        <w:tab/>
      </w:r>
      <w:r w:rsidRPr="001A70EB">
        <w:t xml:space="preserve">The present report was submitted after the deadline </w:t>
      </w:r>
      <w:proofErr w:type="gramStart"/>
      <w:r w:rsidRPr="001A70EB">
        <w:t>so as to</w:t>
      </w:r>
      <w:proofErr w:type="gramEnd"/>
      <w:r w:rsidRPr="001A70EB">
        <w:t xml:space="preserve"> include the most recent information.</w:t>
      </w:r>
    </w:p>
  </w:footnote>
  <w:footnote w:id="3">
    <w:p w14:paraId="18BF0941" w14:textId="395D6EF8"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 w:history="1">
        <w:r w:rsidR="00A16F5C" w:rsidRPr="001A70EB">
          <w:rPr>
            <w:rStyle w:val="Hyperlink"/>
          </w:rPr>
          <w:t>A/HRC/22/63</w:t>
        </w:r>
      </w:hyperlink>
      <w:r w:rsidRPr="001A70EB">
        <w:rPr>
          <w:rFonts w:asciiTheme="majorBidi" w:hAnsiTheme="majorBidi" w:cstheme="majorBidi"/>
          <w:szCs w:val="18"/>
        </w:rPr>
        <w:t>.</w:t>
      </w:r>
    </w:p>
  </w:footnote>
  <w:footnote w:id="4">
    <w:p w14:paraId="73D2AFB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rPr>
          <w:rFonts w:asciiTheme="majorBidi" w:eastAsia="Cambria" w:hAnsiTheme="majorBidi" w:cstheme="majorBidi"/>
          <w:szCs w:val="18"/>
        </w:rPr>
        <w:t>Geneva Convention relative to the Protection of Civilian Persons in Time of War (</w:t>
      </w:r>
      <w:r w:rsidRPr="001A70EB">
        <w:rPr>
          <w:rFonts w:asciiTheme="majorBidi" w:hAnsiTheme="majorBidi" w:cstheme="majorBidi"/>
          <w:szCs w:val="18"/>
        </w:rPr>
        <w:t>Fourth Geneva Convention), art. 49.</w:t>
      </w:r>
    </w:p>
  </w:footnote>
  <w:footnote w:id="5">
    <w:p w14:paraId="74AC0D04" w14:textId="33D0FE4F"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Ibid., </w:t>
      </w:r>
      <w:r w:rsidRPr="001A70EB">
        <w:rPr>
          <w:szCs w:val="17"/>
        </w:rPr>
        <w:t xml:space="preserve">arts. 49 (1) and 147; Rome Statute of the International Criminal Court, art. 8 (2) (b) (viii); International Committee of the Red Cross (ICRC), Database on Customary International Humanitarian Law, rule 129; and </w:t>
      </w:r>
      <w:hyperlink r:id="rId2" w:history="1">
        <w:r w:rsidR="00A16F5C" w:rsidRPr="001A70EB">
          <w:rPr>
            <w:rStyle w:val="Hyperlink"/>
          </w:rPr>
          <w:t>A/76/336</w:t>
        </w:r>
      </w:hyperlink>
      <w:r w:rsidRPr="001A70EB">
        <w:rPr>
          <w:szCs w:val="17"/>
        </w:rPr>
        <w:t>, paras. 39 and 57.</w:t>
      </w:r>
    </w:p>
  </w:footnote>
  <w:footnote w:id="6">
    <w:p w14:paraId="077C574E" w14:textId="0AC8FE56"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3" w:history="1">
        <w:r w:rsidR="00A16F5C" w:rsidRPr="001A70EB">
          <w:rPr>
            <w:rStyle w:val="Hyperlink"/>
          </w:rPr>
          <w:t>A/72/564</w:t>
        </w:r>
      </w:hyperlink>
      <w:r w:rsidRPr="001A70EB">
        <w:t xml:space="preserve">, </w:t>
      </w:r>
      <w:hyperlink r:id="rId4" w:history="1">
        <w:r w:rsidR="00A16F5C" w:rsidRPr="001A70EB">
          <w:rPr>
            <w:rStyle w:val="Hyperlink"/>
          </w:rPr>
          <w:t>A/72/565</w:t>
        </w:r>
      </w:hyperlink>
      <w:r w:rsidRPr="001A70EB">
        <w:t xml:space="preserve">, </w:t>
      </w:r>
      <w:hyperlink r:id="rId5" w:history="1">
        <w:r w:rsidR="00A16F5C" w:rsidRPr="001A70EB">
          <w:rPr>
            <w:rStyle w:val="Hyperlink"/>
          </w:rPr>
          <w:t>A/75/376</w:t>
        </w:r>
      </w:hyperlink>
      <w:r w:rsidRPr="001A70EB">
        <w:t xml:space="preserve">, </w:t>
      </w:r>
      <w:hyperlink r:id="rId6" w:history="1">
        <w:r w:rsidR="00A16F5C" w:rsidRPr="001A70EB">
          <w:rPr>
            <w:rStyle w:val="Hyperlink"/>
          </w:rPr>
          <w:t>A/76/336</w:t>
        </w:r>
      </w:hyperlink>
      <w:r w:rsidRPr="001A70EB">
        <w:t xml:space="preserve">, </w:t>
      </w:r>
      <w:hyperlink r:id="rId7" w:history="1">
        <w:r w:rsidR="00A16F5C" w:rsidRPr="001A70EB">
          <w:rPr>
            <w:rStyle w:val="Hyperlink"/>
          </w:rPr>
          <w:t>A/77/493</w:t>
        </w:r>
      </w:hyperlink>
      <w:r w:rsidRPr="001A70EB">
        <w:t xml:space="preserve">, </w:t>
      </w:r>
      <w:hyperlink r:id="rId8" w:history="1">
        <w:r w:rsidR="00A16F5C" w:rsidRPr="001A70EB">
          <w:rPr>
            <w:rStyle w:val="Hyperlink"/>
          </w:rPr>
          <w:t>A/HRC/37/38</w:t>
        </w:r>
      </w:hyperlink>
      <w:r w:rsidRPr="001A70EB">
        <w:t xml:space="preserve">, </w:t>
      </w:r>
      <w:hyperlink r:id="rId9" w:history="1">
        <w:r w:rsidR="00A16F5C" w:rsidRPr="001A70EB">
          <w:rPr>
            <w:rStyle w:val="Hyperlink"/>
          </w:rPr>
          <w:t>A/HRC/37/42</w:t>
        </w:r>
      </w:hyperlink>
      <w:r w:rsidRPr="001A70EB">
        <w:t xml:space="preserve">, </w:t>
      </w:r>
      <w:hyperlink r:id="rId10" w:history="1">
        <w:r w:rsidR="00A16F5C" w:rsidRPr="001A70EB">
          <w:rPr>
            <w:rStyle w:val="Hyperlink"/>
          </w:rPr>
          <w:t>A/HRC/37/43</w:t>
        </w:r>
      </w:hyperlink>
      <w:r w:rsidRPr="001A70EB">
        <w:t xml:space="preserve">, </w:t>
      </w:r>
      <w:hyperlink r:id="rId11" w:history="1">
        <w:r w:rsidR="00A16F5C" w:rsidRPr="001A70EB">
          <w:rPr>
            <w:rStyle w:val="Hyperlink"/>
          </w:rPr>
          <w:t>A/HRC/40/42</w:t>
        </w:r>
      </w:hyperlink>
      <w:r w:rsidRPr="001A70EB">
        <w:t xml:space="preserve">, </w:t>
      </w:r>
      <w:hyperlink r:id="rId12" w:history="1">
        <w:r w:rsidR="00A16F5C" w:rsidRPr="001A70EB">
          <w:rPr>
            <w:rStyle w:val="Hyperlink"/>
          </w:rPr>
          <w:t>A/HRC/43/67</w:t>
        </w:r>
      </w:hyperlink>
      <w:r w:rsidRPr="001A70EB">
        <w:t xml:space="preserve">, </w:t>
      </w:r>
      <w:hyperlink r:id="rId13" w:history="1">
        <w:r w:rsidR="00A16F5C" w:rsidRPr="001A70EB">
          <w:rPr>
            <w:rStyle w:val="Hyperlink"/>
          </w:rPr>
          <w:t>A/HRC/46/65</w:t>
        </w:r>
      </w:hyperlink>
      <w:r w:rsidRPr="001A70EB">
        <w:t xml:space="preserve">, </w:t>
      </w:r>
      <w:hyperlink r:id="rId14" w:history="1">
        <w:r w:rsidR="00A16F5C" w:rsidRPr="001A70EB">
          <w:rPr>
            <w:rStyle w:val="Hyperlink"/>
          </w:rPr>
          <w:t>A/HRC/49/85</w:t>
        </w:r>
      </w:hyperlink>
      <w:r w:rsidRPr="001A70EB">
        <w:t xml:space="preserve"> and </w:t>
      </w:r>
      <w:hyperlink r:id="rId15" w:history="1">
        <w:r w:rsidR="00A16F5C" w:rsidRPr="001A70EB">
          <w:rPr>
            <w:rStyle w:val="Hyperlink"/>
          </w:rPr>
          <w:t>A/HRC/49/25</w:t>
        </w:r>
      </w:hyperlink>
      <w:r w:rsidRPr="001A70EB">
        <w:t>.</w:t>
      </w:r>
    </w:p>
  </w:footnote>
  <w:footnote w:id="7">
    <w:p w14:paraId="482E00C2" w14:textId="06781499"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ab/>
      </w:r>
      <w:hyperlink r:id="rId16" w:history="1">
        <w:r w:rsidR="00A16F5C" w:rsidRPr="001A70EB">
          <w:rPr>
            <w:rStyle w:val="Hyperlink"/>
          </w:rPr>
          <w:t>A/HRC/34/38</w:t>
        </w:r>
      </w:hyperlink>
      <w:r w:rsidRPr="001A70EB">
        <w:t xml:space="preserve"> and </w:t>
      </w:r>
      <w:hyperlink r:id="rId17" w:history="1">
        <w:r w:rsidR="00A16F5C" w:rsidRPr="001A70EB">
          <w:rPr>
            <w:rStyle w:val="Hyperlink"/>
          </w:rPr>
          <w:t>A/HRC/34/39</w:t>
        </w:r>
      </w:hyperlink>
      <w:r w:rsidRPr="001A70EB">
        <w:t>.</w:t>
      </w:r>
    </w:p>
  </w:footnote>
  <w:footnote w:id="8">
    <w:p w14:paraId="27DFFFE0" w14:textId="08FBC092"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8" w:history="1">
        <w:r w:rsidR="00A16F5C" w:rsidRPr="001A70EB">
          <w:rPr>
            <w:rStyle w:val="Hyperlink"/>
          </w:rPr>
          <w:t>A/HRC/22/63</w:t>
        </w:r>
      </w:hyperlink>
      <w:r w:rsidRPr="001A70EB">
        <w:t>, para. 28.</w:t>
      </w:r>
    </w:p>
  </w:footnote>
  <w:footnote w:id="9">
    <w:p w14:paraId="5767EF5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19" w:history="1">
        <w:r w:rsidRPr="001A70EB">
          <w:rPr>
            <w:rStyle w:val="Hyperlink"/>
          </w:rPr>
          <w:t>https://peacenow.org.il/en/settlements-watch/settlements-data/population</w:t>
        </w:r>
      </w:hyperlink>
      <w:r w:rsidRPr="001A70EB">
        <w:t xml:space="preserve"> (465,400</w:t>
      </w:r>
      <w:r w:rsidRPr="001A70EB">
        <w:rPr>
          <w:rFonts w:asciiTheme="majorBidi" w:hAnsiTheme="majorBidi" w:cstheme="majorBidi"/>
          <w:szCs w:val="18"/>
        </w:rPr>
        <w:t xml:space="preserve"> in the West Bank) and </w:t>
      </w:r>
      <w:hyperlink r:id="rId20" w:history="1">
        <w:r w:rsidRPr="001A70EB">
          <w:rPr>
            <w:rStyle w:val="Hyperlink"/>
          </w:rPr>
          <w:t>https://peacenow.org.il/en/settlements-watch/settlements-data/jerusalem (229,377 in East Jerusalem</w:t>
        </w:r>
      </w:hyperlink>
      <w:r w:rsidRPr="001A70EB">
        <w:rPr>
          <w:rFonts w:asciiTheme="majorBidi" w:hAnsiTheme="majorBidi" w:cstheme="majorBidi"/>
          <w:szCs w:val="18"/>
        </w:rPr>
        <w:t>).</w:t>
      </w:r>
    </w:p>
  </w:footnote>
  <w:footnote w:id="10">
    <w:p w14:paraId="4955DAE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Ibid.</w:t>
      </w:r>
    </w:p>
  </w:footnote>
  <w:footnote w:id="11">
    <w:p w14:paraId="7DBCE61A" w14:textId="5E9B0902"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 xml:space="preserve">Ministry of Foreign Affairs of Israel, “Summary of the opinion concerning unauthorized outposts”, 10 March 2005; and </w:t>
      </w:r>
      <w:hyperlink r:id="rId21" w:history="1">
        <w:r w:rsidR="00A16F5C" w:rsidRPr="001A70EB">
          <w:rPr>
            <w:rStyle w:val="Hyperlink"/>
          </w:rPr>
          <w:t>A/72/564</w:t>
        </w:r>
      </w:hyperlink>
      <w:r w:rsidRPr="001A70EB">
        <w:t>, para. 62.</w:t>
      </w:r>
    </w:p>
  </w:footnote>
  <w:footnote w:id="12">
    <w:p w14:paraId="52D46722"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rPr>
          <w:rFonts w:eastAsia="Cambria"/>
          <w:i/>
          <w:iCs/>
        </w:rPr>
        <w:t>Legal Consequences of Construction of a Wall in the Occupied Palestinian Territory</w:t>
      </w:r>
      <w:r w:rsidRPr="001A70EB">
        <w:rPr>
          <w:rFonts w:eastAsia="Cambria"/>
        </w:rPr>
        <w:t>,</w:t>
      </w:r>
      <w:r w:rsidRPr="001A70EB">
        <w:rPr>
          <w:i/>
          <w:iCs/>
        </w:rPr>
        <w:t xml:space="preserve"> Advisory Opinion, I.C.J. Reports 2004</w:t>
      </w:r>
      <w:r w:rsidRPr="001A70EB">
        <w:t xml:space="preserve"> (</w:t>
      </w:r>
      <w:hyperlink r:id="rId22" w:history="1">
        <w:r w:rsidRPr="001A70EB">
          <w:rPr>
            <w:rStyle w:val="Hyperlink"/>
          </w:rPr>
          <w:t>www.icj-cij.org/public/files/case-related/131/131-20040709-ADV-01-00-EN.pdf</w:t>
        </w:r>
      </w:hyperlink>
      <w:r w:rsidRPr="001A70EB">
        <w:t xml:space="preserve">), p. 136, and, for example, Security Council resolutions </w:t>
      </w:r>
      <w:r w:rsidRPr="001A70EB">
        <w:rPr>
          <w:rFonts w:asciiTheme="majorBidi" w:eastAsia="Cambria" w:hAnsiTheme="majorBidi" w:cstheme="majorBidi"/>
          <w:szCs w:val="18"/>
        </w:rPr>
        <w:t xml:space="preserve">465 (1980) and </w:t>
      </w:r>
      <w:r w:rsidRPr="001A70EB">
        <w:t>2334 (2016).</w:t>
      </w:r>
    </w:p>
  </w:footnote>
  <w:footnote w:id="13">
    <w:p w14:paraId="39856E93"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bookmarkStart w:id="4" w:name="_Hlk126845144"/>
      <w:r w:rsidRPr="001A70EB">
        <w:rPr>
          <w:rFonts w:asciiTheme="majorBidi" w:hAnsiTheme="majorBidi" w:cstheme="majorBidi"/>
          <w:szCs w:val="18"/>
        </w:rPr>
        <w:t>Office of the United Nations Special Coordinator for the Middle East Peace Process</w:t>
      </w:r>
      <w:bookmarkEnd w:id="4"/>
      <w:r w:rsidRPr="001A70EB">
        <w:t>: 9,280 units were advanced/approved, including 6,340 in East Jerusalem (7,100 in previous period).</w:t>
      </w:r>
    </w:p>
  </w:footnote>
  <w:footnote w:id="14">
    <w:p w14:paraId="4EEFD47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Ibid.</w:t>
      </w:r>
      <w:r w:rsidRPr="001A70EB">
        <w:t xml:space="preserve">: </w:t>
      </w:r>
      <w:r w:rsidRPr="001A70EB">
        <w:rPr>
          <w:bdr w:val="none" w:sz="0" w:space="0" w:color="auto" w:frame="1"/>
        </w:rPr>
        <w:t xml:space="preserve">tenders were issued for 400 unit </w:t>
      </w:r>
      <w:r w:rsidRPr="001A70EB">
        <w:t>(</w:t>
      </w:r>
      <w:r w:rsidRPr="001A70EB">
        <w:rPr>
          <w:shd w:val="clear" w:color="auto" w:fill="FFFFFF"/>
        </w:rPr>
        <w:t>3,600 in previous reporting period).</w:t>
      </w:r>
    </w:p>
  </w:footnote>
  <w:footnote w:id="15">
    <w:p w14:paraId="61B6DBFB"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Ibid.: </w:t>
      </w:r>
      <w:r w:rsidRPr="001A70EB">
        <w:t>figures between October 2021 and September 2022.</w:t>
      </w:r>
    </w:p>
  </w:footnote>
  <w:footnote w:id="16">
    <w:p w14:paraId="3F220499" w14:textId="77777777" w:rsidR="00F6262F" w:rsidRPr="001A70EB" w:rsidRDefault="00F6262F" w:rsidP="00F6262F">
      <w:pPr>
        <w:pStyle w:val="FootnoteText"/>
      </w:pPr>
      <w:r w:rsidRPr="001A70EB">
        <w:tab/>
      </w:r>
      <w:r w:rsidRPr="001A70EB">
        <w:rPr>
          <w:rStyle w:val="FootnoteReference"/>
        </w:rPr>
        <w:footnoteRef/>
      </w:r>
      <w:r w:rsidRPr="001A70EB">
        <w:tab/>
        <w:t xml:space="preserve">See </w:t>
      </w:r>
      <w:hyperlink r:id="rId23" w:history="1">
        <w:r w:rsidRPr="001A70EB">
          <w:rPr>
            <w:rStyle w:val="Hyperlink"/>
          </w:rPr>
          <w:t>https://unsco.unmissions.org/sites/default/files/report_of_the_secretary_general_on_the_implementation_of_scr2334_-_28_</w:t>
        </w:r>
        <w:bookmarkStart w:id="5" w:name="_Hlt129336368"/>
        <w:bookmarkStart w:id="6" w:name="_Hlt129336369"/>
        <w:r w:rsidRPr="001A70EB">
          <w:rPr>
            <w:rStyle w:val="Hyperlink"/>
          </w:rPr>
          <w:t>s</w:t>
        </w:r>
        <w:bookmarkEnd w:id="5"/>
        <w:bookmarkEnd w:id="6"/>
        <w:r w:rsidRPr="001A70EB">
          <w:rPr>
            <w:rStyle w:val="Hyperlink"/>
          </w:rPr>
          <w:t>eptember_2022.pdf</w:t>
        </w:r>
      </w:hyperlink>
      <w:r w:rsidRPr="001A70EB">
        <w:t>.</w:t>
      </w:r>
    </w:p>
  </w:footnote>
  <w:footnote w:id="17">
    <w:p w14:paraId="17174850" w14:textId="6A8D312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24" w:history="1">
        <w:r w:rsidRPr="001A70EB">
          <w:rPr>
            <w:rStyle w:val="Hyperlink"/>
          </w:rPr>
          <w:t>www.ir-amim.org.il/en/node/2861</w:t>
        </w:r>
      </w:hyperlink>
      <w:r w:rsidRPr="001A70EB">
        <w:t xml:space="preserve"> and </w:t>
      </w:r>
      <w:hyperlink r:id="rId25" w:history="1">
        <w:r w:rsidR="00A16F5C" w:rsidRPr="001A70EB">
          <w:rPr>
            <w:rStyle w:val="Hyperlink"/>
          </w:rPr>
          <w:t>A/HRC/46/65</w:t>
        </w:r>
      </w:hyperlink>
      <w:r w:rsidRPr="001A70EB">
        <w:t>, para. 46.</w:t>
      </w:r>
    </w:p>
  </w:footnote>
  <w:footnote w:id="18">
    <w:p w14:paraId="733DD9A9"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26" w:history="1">
        <w:r w:rsidRPr="001A70EB">
          <w:rPr>
            <w:rStyle w:val="Hyperlink"/>
          </w:rPr>
          <w:t>https://s3.eu-west-1.amazonaws.com/files.yesh-din.org/over+the+border+2022/Meever+Lagvul_ENG.pdf</w:t>
        </w:r>
      </w:hyperlink>
      <w:r w:rsidRPr="001A70EB">
        <w:rPr>
          <w:rFonts w:asciiTheme="majorBidi" w:hAnsiTheme="majorBidi" w:cstheme="majorBidi"/>
          <w:szCs w:val="18"/>
        </w:rPr>
        <w:t>.</w:t>
      </w:r>
    </w:p>
  </w:footnote>
  <w:footnote w:id="19">
    <w:p w14:paraId="26D415DE" w14:textId="593FC9B2"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27" w:history="1">
        <w:r w:rsidR="00A16F5C" w:rsidRPr="001A70EB">
          <w:rPr>
            <w:rStyle w:val="Hyperlink"/>
          </w:rPr>
          <w:t>A/77/356</w:t>
        </w:r>
      </w:hyperlink>
      <w:r w:rsidRPr="001A70EB">
        <w:t>.</w:t>
      </w:r>
    </w:p>
  </w:footnote>
  <w:footnote w:id="20">
    <w:p w14:paraId="3157A7A9" w14:textId="2B8D9374"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28" w:history="1">
        <w:r w:rsidR="00A16F5C" w:rsidRPr="001A70EB">
          <w:rPr>
            <w:rStyle w:val="Hyperlink"/>
          </w:rPr>
          <w:t>A/HRC/37/39</w:t>
        </w:r>
      </w:hyperlink>
      <w:r w:rsidRPr="001A70EB">
        <w:t>, para. 52.</w:t>
      </w:r>
    </w:p>
  </w:footnote>
  <w:footnote w:id="21">
    <w:p w14:paraId="0AC7D936" w14:textId="715E896D"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29" w:history="1">
        <w:r w:rsidRPr="001A70EB">
          <w:rPr>
            <w:rStyle w:val="Hyperlink"/>
          </w:rPr>
          <w:t>www.btselem.org/sites/default/files/sites/default/files2/publication/200205_land_grab_eng.pdf</w:t>
        </w:r>
      </w:hyperlink>
      <w:r w:rsidRPr="001A70EB">
        <w:t xml:space="preserve">, p. 51; see also </w:t>
      </w:r>
      <w:hyperlink r:id="rId30" w:history="1">
        <w:r w:rsidRPr="001A70EB">
          <w:rPr>
            <w:rStyle w:val="Hyperlink"/>
          </w:rPr>
          <w:t>www.btselem.org/sites/default/files/sites/default/files2/201203_under_the_guise_of_legality_eng.pdf</w:t>
        </w:r>
      </w:hyperlink>
      <w:r w:rsidRPr="001A70EB">
        <w:t xml:space="preserve">, p. 6, and </w:t>
      </w:r>
      <w:hyperlink r:id="rId31" w:history="1">
        <w:r w:rsidR="00A16F5C" w:rsidRPr="001A70EB">
          <w:rPr>
            <w:rStyle w:val="Hyperlink"/>
          </w:rPr>
          <w:t>A/77/328</w:t>
        </w:r>
      </w:hyperlink>
      <w:r w:rsidRPr="001A70EB">
        <w:t>, para. 33.</w:t>
      </w:r>
    </w:p>
  </w:footnote>
  <w:footnote w:id="22">
    <w:p w14:paraId="2FE4A5C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32" w:history="1">
        <w:r w:rsidRPr="001A70EB">
          <w:rPr>
            <w:rStyle w:val="Hyperlink"/>
          </w:rPr>
          <w:t>http://peacenow.org.il/wp-content/uploads/2018/07/Lands_Allocated_to_Palestinians_ENG.pdf</w:t>
        </w:r>
      </w:hyperlink>
      <w:r w:rsidRPr="001A70EB">
        <w:rPr>
          <w:rFonts w:asciiTheme="majorBidi" w:hAnsiTheme="majorBidi" w:cstheme="majorBidi"/>
          <w:szCs w:val="18"/>
        </w:rPr>
        <w:t>.</w:t>
      </w:r>
    </w:p>
  </w:footnote>
  <w:footnote w:id="23">
    <w:p w14:paraId="71B9008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Regulations respecting the Laws and Customs of War on Land (the </w:t>
      </w:r>
      <w:r w:rsidRPr="001A70EB">
        <w:t>Hague Regulations), art. 55.</w:t>
      </w:r>
    </w:p>
  </w:footnote>
  <w:footnote w:id="24">
    <w:p w14:paraId="61576768" w14:textId="5719FF2D"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33" w:history="1">
        <w:r w:rsidR="00A16F5C" w:rsidRPr="001A70EB">
          <w:rPr>
            <w:rStyle w:val="Hyperlink"/>
          </w:rPr>
          <w:t>A/77/328</w:t>
        </w:r>
      </w:hyperlink>
      <w:r w:rsidRPr="001A70EB">
        <w:t>, para. 25.</w:t>
      </w:r>
    </w:p>
  </w:footnote>
  <w:footnote w:id="25">
    <w:p w14:paraId="7126EB8D"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34" w:history="1">
        <w:r w:rsidRPr="001A70EB">
          <w:rPr>
            <w:rStyle w:val="Hyperlink"/>
          </w:rPr>
          <w:t>www.breakingthesilence.org.il/inside/wp-content/uploads/2020/12/Highway-to-Annexation-Final.pdf</w:t>
        </w:r>
      </w:hyperlink>
      <w:r w:rsidRPr="001A70EB">
        <w:rPr>
          <w:rFonts w:asciiTheme="majorBidi" w:hAnsiTheme="majorBidi" w:cstheme="majorBidi"/>
          <w:szCs w:val="18"/>
        </w:rPr>
        <w:t>,</w:t>
      </w:r>
      <w:r w:rsidRPr="001A70EB">
        <w:t xml:space="preserve"> p. 5.</w:t>
      </w:r>
    </w:p>
  </w:footnote>
  <w:footnote w:id="26">
    <w:p w14:paraId="7D277A34" w14:textId="52CB14F4"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35" w:history="1">
        <w:r w:rsidR="00A16F5C" w:rsidRPr="001A70EB">
          <w:rPr>
            <w:rStyle w:val="Hyperlink"/>
          </w:rPr>
          <w:t>A/77/328</w:t>
        </w:r>
      </w:hyperlink>
      <w:r w:rsidRPr="001A70EB">
        <w:t xml:space="preserve">, para. 80; see also </w:t>
      </w:r>
      <w:hyperlink r:id="rId36" w:history="1">
        <w:r w:rsidRPr="001A70EB">
          <w:rPr>
            <w:rStyle w:val="Hyperlink"/>
          </w:rPr>
          <w:t>www.breakingthesilence.org.il/inside/wp-content/uploads/2020/12/Highway-to-Annexation-Final.pdf</w:t>
        </w:r>
      </w:hyperlink>
      <w:r w:rsidRPr="001A70EB">
        <w:t xml:space="preserve"> and </w:t>
      </w:r>
      <w:hyperlink r:id="rId37" w:history="1">
        <w:r w:rsidRPr="001A70EB">
          <w:rPr>
            <w:rStyle w:val="Hyperlink"/>
          </w:rPr>
          <w:t>https://peacenow.org.il/en/the-roads-boom-in-2020</w:t>
        </w:r>
      </w:hyperlink>
      <w:r w:rsidRPr="001A70EB">
        <w:rPr>
          <w:rFonts w:asciiTheme="majorBidi" w:hAnsiTheme="majorBidi" w:cstheme="majorBidi"/>
          <w:szCs w:val="18"/>
        </w:rPr>
        <w:t>.</w:t>
      </w:r>
    </w:p>
  </w:footnote>
  <w:footnote w:id="27">
    <w:p w14:paraId="6E881200"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www.breakingthesilence.org.il/inside/wp-content/uploads/2020/12/Highway-to-Annexation-Final.pdf</w:t>
        </w:r>
      </w:hyperlink>
      <w:r w:rsidRPr="001A70EB">
        <w:t>.</w:t>
      </w:r>
    </w:p>
  </w:footnote>
  <w:footnote w:id="28">
    <w:p w14:paraId="7527869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38" w:history="1">
        <w:r w:rsidRPr="001A70EB">
          <w:rPr>
            <w:rStyle w:val="Hyperlink"/>
          </w:rPr>
          <w:t>www.jlac.ps/userfiles/Salfit-%20JLAC_pub.pdf</w:t>
        </w:r>
      </w:hyperlink>
      <w:r w:rsidRPr="001A70EB">
        <w:rPr>
          <w:rFonts w:eastAsia="Cambria"/>
        </w:rPr>
        <w:t xml:space="preserve"> and </w:t>
      </w:r>
      <w:hyperlink r:id="rId39" w:history="1">
        <w:r w:rsidRPr="001A70EB">
          <w:rPr>
            <w:rStyle w:val="Hyperlink"/>
          </w:rPr>
          <w:t>www.jlac.ps/userfiles/Dhar%20Al%20Maleh%20Appeal.pdf</w:t>
        </w:r>
      </w:hyperlink>
      <w:r w:rsidRPr="001A70EB">
        <w:rPr>
          <w:rFonts w:eastAsia="Cambria"/>
        </w:rPr>
        <w:t xml:space="preserve">; </w:t>
      </w:r>
      <w:hyperlink r:id="rId40" w:history="1">
        <w:r w:rsidRPr="001A70EB">
          <w:rPr>
            <w:rStyle w:val="Hyperlink"/>
          </w:rPr>
          <w:t>www.jlac.ps/userfiles/Qalqiliya-%20JLAC-%20EU%20feb%202020.pdf</w:t>
        </w:r>
      </w:hyperlink>
      <w:r w:rsidRPr="001A70EB">
        <w:rPr>
          <w:rFonts w:eastAsia="Cambria"/>
        </w:rPr>
        <w:t>.</w:t>
      </w:r>
    </w:p>
  </w:footnote>
  <w:footnote w:id="29">
    <w:p w14:paraId="0863C4D9" w14:textId="53EFC64E"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41" w:history="1">
        <w:r w:rsidRPr="001A70EB">
          <w:rPr>
            <w:rStyle w:val="Hyperlink"/>
          </w:rPr>
          <w:t>A/HRC/49/85</w:t>
        </w:r>
      </w:hyperlink>
      <w:r w:rsidRPr="001A70EB">
        <w:t>, para. 10.</w:t>
      </w:r>
    </w:p>
  </w:footnote>
  <w:footnote w:id="30">
    <w:p w14:paraId="768378E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42" w:history="1">
        <w:r w:rsidRPr="001A70EB">
          <w:rPr>
            <w:rStyle w:val="Hyperlink"/>
          </w:rPr>
          <w:t>A/77/328</w:t>
        </w:r>
      </w:hyperlink>
      <w:r w:rsidRPr="001A70EB">
        <w:t xml:space="preserve">, para. 25; see also </w:t>
      </w:r>
      <w:hyperlink r:id="rId43" w:history="1">
        <w:r w:rsidRPr="001A70EB">
          <w:rPr>
            <w:rStyle w:val="Hyperlink"/>
          </w:rPr>
          <w:t>http://peacenow.org.il/wp-content/uploads/2021/03/The-Roads-Boom-in-2020.pdf</w:t>
        </w:r>
      </w:hyperlink>
      <w:r w:rsidRPr="001A70EB">
        <w:rPr>
          <w:rFonts w:asciiTheme="majorBidi" w:hAnsiTheme="majorBidi" w:cstheme="majorBidi"/>
          <w:szCs w:val="18"/>
        </w:rPr>
        <w:t>.</w:t>
      </w:r>
    </w:p>
  </w:footnote>
  <w:footnote w:id="31">
    <w:p w14:paraId="2CC1CEA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www.breakingthesilence.org.il/inside/wp-content/uploads/2020/12/Highway-to-Annexation-Final.pdf</w:t>
        </w:r>
      </w:hyperlink>
      <w:r w:rsidRPr="001A70EB">
        <w:rPr>
          <w:rFonts w:asciiTheme="majorBidi" w:hAnsiTheme="majorBidi" w:cstheme="majorBidi"/>
          <w:szCs w:val="18"/>
        </w:rPr>
        <w:t>,</w:t>
      </w:r>
      <w:r w:rsidRPr="001A70EB">
        <w:t xml:space="preserve"> p. 5.</w:t>
      </w:r>
    </w:p>
  </w:footnote>
  <w:footnote w:id="32">
    <w:p w14:paraId="222167A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 xml:space="preserve">Hague Regulations, arts. 43 and 55, and </w:t>
      </w:r>
      <w:hyperlink r:id="rId44" w:history="1">
        <w:r w:rsidRPr="001A70EB">
          <w:rPr>
            <w:rStyle w:val="Hyperlink"/>
          </w:rPr>
          <w:t>A/76/336</w:t>
        </w:r>
      </w:hyperlink>
      <w:r w:rsidRPr="001A70EB">
        <w:t>, para. 13.</w:t>
      </w:r>
    </w:p>
  </w:footnote>
  <w:footnote w:id="33">
    <w:p w14:paraId="769372F2"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 xml:space="preserve">See </w:t>
      </w:r>
      <w:hyperlink r:id="rId45" w:history="1">
        <w:r w:rsidRPr="001A70EB">
          <w:rPr>
            <w:rStyle w:val="Hyperlink"/>
          </w:rPr>
          <w:t>https://www.israelnationalnews.com/news/237927</w:t>
        </w:r>
      </w:hyperlink>
      <w:r w:rsidRPr="001A70EB">
        <w:t xml:space="preserve">; see also </w:t>
      </w:r>
      <w:hyperlink r:id="rId46" w:history="1">
        <w:r w:rsidRPr="001A70EB">
          <w:rPr>
            <w:rStyle w:val="Hyperlink"/>
          </w:rPr>
          <w:t>A/HRC/37/43</w:t>
        </w:r>
      </w:hyperlink>
      <w:r w:rsidRPr="001A70EB">
        <w:t>, para. 18.</w:t>
      </w:r>
    </w:p>
  </w:footnote>
  <w:footnote w:id="34">
    <w:p w14:paraId="11ADADF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47" w:anchor=":~:text=The%20southern%20part%20of%20the%20Eastern%20Ring%20Road,by%20the%20Israeli%20government%20%28Resolution%203790%29%2C%20see%20below." w:history="1">
        <w:r w:rsidRPr="001A70EB">
          <w:rPr>
            <w:rStyle w:val="Hyperlink"/>
          </w:rPr>
          <w:t>https://peacenow.org.il/en/confiscation-order-for-the-eastern-ring-road-was-issued#:~:text=The%20southern%20part%20of%20the%20Eastern%20Ring%20Road,by%20the%20Israeli%20government%20%28Resolution%203790%29%2C%20see%20below.</w:t>
        </w:r>
      </w:hyperlink>
    </w:p>
  </w:footnote>
  <w:footnote w:id="35">
    <w:p w14:paraId="4EF7C6E7" w14:textId="77777777" w:rsidR="00F6262F" w:rsidRPr="001A70EB" w:rsidRDefault="00F6262F" w:rsidP="00F6262F">
      <w:pPr>
        <w:pStyle w:val="FootnoteText"/>
      </w:pPr>
      <w:r w:rsidRPr="001A70EB">
        <w:tab/>
      </w:r>
      <w:r w:rsidRPr="001A70EB">
        <w:rPr>
          <w:rStyle w:val="FootnoteReference"/>
        </w:rPr>
        <w:footnoteRef/>
      </w:r>
      <w:r w:rsidRPr="001A70EB">
        <w:tab/>
      </w:r>
      <w:hyperlink w:history="1">
        <w:r w:rsidRPr="001A70EB">
          <w:rPr>
            <w:rStyle w:val="Hyperlink"/>
          </w:rPr>
          <w:t>A/77/493, para.13.</w:t>
        </w:r>
      </w:hyperlink>
    </w:p>
  </w:footnote>
  <w:footnote w:id="36">
    <w:p w14:paraId="1296748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See</w:t>
      </w:r>
      <w:r w:rsidRPr="001A70EB">
        <w:rPr>
          <w:rFonts w:asciiTheme="majorBidi" w:hAnsiTheme="majorBidi" w:cstheme="majorBidi"/>
          <w:szCs w:val="18"/>
        </w:rPr>
        <w:t xml:space="preserve"> </w:t>
      </w:r>
      <w:hyperlink r:id="rId48" w:anchor=":~:text=The%20southern%20part%20of%20the%20Eastern%20Ring%20Road,by%20the%20Israeli%20government%20%28Resolution%203790%29%2C%20see%20below." w:history="1">
        <w:r w:rsidRPr="001A70EB">
          <w:rPr>
            <w:rStyle w:val="Hyperlink"/>
          </w:rPr>
          <w:t>https://peacenow.org.il/en/confiscation-order-for-the-eastern-ring-road-was-issued#:~:text=The%20southern%20part%20of%20the%20Eastern%20Ring%20Road,by%20the%20Israeli%20government%20%28Resolution%203790%29%2C%20see%20below.</w:t>
        </w:r>
      </w:hyperlink>
    </w:p>
  </w:footnote>
  <w:footnote w:id="37">
    <w:p w14:paraId="3100DBAC"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49" w:history="1">
        <w:r w:rsidRPr="001A70EB">
          <w:rPr>
            <w:rStyle w:val="Hyperlink"/>
          </w:rPr>
          <w:t>https://peacenow.org.il/en/settlements-watch/settlements-data/population</w:t>
        </w:r>
      </w:hyperlink>
      <w:r w:rsidRPr="001A70EB">
        <w:rPr>
          <w:rFonts w:asciiTheme="majorBidi" w:hAnsiTheme="majorBidi" w:cstheme="majorBidi"/>
          <w:szCs w:val="18"/>
        </w:rPr>
        <w:t>.</w:t>
      </w:r>
    </w:p>
  </w:footnote>
  <w:footnote w:id="38">
    <w:p w14:paraId="08F828A9"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50" w:history="1">
        <w:r w:rsidRPr="001A70EB">
          <w:rPr>
            <w:rStyle w:val="Hyperlink"/>
          </w:rPr>
          <w:t>a76eb4_9d3dee006d0e4decac505bf432bbd56e.pdf (keremnavot.org)</w:t>
        </w:r>
      </w:hyperlink>
      <w:r w:rsidRPr="001A70EB">
        <w:t>, p. 16.</w:t>
      </w:r>
    </w:p>
  </w:footnote>
  <w:footnote w:id="39">
    <w:p w14:paraId="333C8056"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r w:rsidRPr="001A70EB">
        <w:rPr>
          <w:rFonts w:asciiTheme="majorBidi" w:hAnsiTheme="majorBidi" w:cstheme="majorBidi"/>
          <w:szCs w:val="18"/>
        </w:rPr>
        <w:tab/>
      </w:r>
      <w:hyperlink r:id="rId51" w:history="1">
        <w:r w:rsidRPr="001A70EB">
          <w:rPr>
            <w:rStyle w:val="Hyperlink"/>
          </w:rPr>
          <w:t>www.btselem.org/press_releases/20210309_new_report_with_keren_navot_this_is_ours_and_this_too</w:t>
        </w:r>
      </w:hyperlink>
      <w:r w:rsidRPr="001A70EB">
        <w:rPr>
          <w:rFonts w:asciiTheme="majorBidi" w:hAnsiTheme="majorBidi" w:cstheme="majorBidi"/>
          <w:szCs w:val="18"/>
        </w:rPr>
        <w:t>.</w:t>
      </w:r>
    </w:p>
  </w:footnote>
  <w:footnote w:id="40">
    <w:p w14:paraId="33142BC6"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52" w:history="1">
        <w:r w:rsidRPr="001A70EB">
          <w:rPr>
            <w:rStyle w:val="Hyperlink"/>
          </w:rPr>
          <w:t>www.btselem.org/press_releases/20210309_new_report_with_keren_navot_this_is_ours_and_this_too</w:t>
        </w:r>
      </w:hyperlink>
      <w:r w:rsidRPr="001A70EB">
        <w:rPr>
          <w:rFonts w:asciiTheme="majorBidi" w:hAnsiTheme="majorBidi" w:cstheme="majorBidi"/>
          <w:szCs w:val="18"/>
        </w:rPr>
        <w:t>.</w:t>
      </w:r>
    </w:p>
  </w:footnote>
  <w:footnote w:id="41">
    <w:p w14:paraId="27E01E2D" w14:textId="64D8C67E"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53" w:history="1">
        <w:r w:rsidRPr="001A70EB">
          <w:rPr>
            <w:rStyle w:val="Hyperlink"/>
          </w:rPr>
          <w:t>www.haaretz.co.il/news/politics/.premium-1.9557640?utm_source=mailchimp&amp;utm_medium=email&amp;utm_content=author-alert&amp;utm_campaign=%D7%94%D7%92%D7%A8%20%D7%A9%D7%99%D7%96%D7%A3&amp;utm_term=20210222-10:52</w:t>
        </w:r>
      </w:hyperlink>
      <w:r w:rsidRPr="001A70EB">
        <w:rPr>
          <w:rFonts w:asciiTheme="majorBidi" w:hAnsiTheme="majorBidi" w:cstheme="majorBidi"/>
          <w:szCs w:val="18"/>
        </w:rPr>
        <w:t xml:space="preserve"> [in Hebrew].</w:t>
      </w:r>
    </w:p>
  </w:footnote>
  <w:footnote w:id="42">
    <w:p w14:paraId="5BF2769E"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54" w:history="1">
        <w:r w:rsidRPr="001A70EB">
          <w:rPr>
            <w:rStyle w:val="Hyperlink"/>
          </w:rPr>
          <w:t>A/HRC/49/85</w:t>
        </w:r>
      </w:hyperlink>
      <w:r w:rsidRPr="001A70EB">
        <w:t>, para. 40.</w:t>
      </w:r>
    </w:p>
  </w:footnote>
  <w:footnote w:id="43">
    <w:p w14:paraId="7FBD762B"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55" w:history="1">
        <w:r w:rsidRPr="001A70EB">
          <w:rPr>
            <w:rStyle w:val="Hyperlink"/>
          </w:rPr>
          <w:t>A/77/493</w:t>
        </w:r>
      </w:hyperlink>
      <w:r w:rsidRPr="001A70EB">
        <w:t>, para. 49.</w:t>
      </w:r>
    </w:p>
  </w:footnote>
  <w:footnote w:id="44">
    <w:p w14:paraId="226B499B"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 xml:space="preserve">See </w:t>
      </w:r>
      <w:hyperlink r:id="rId56" w:history="1">
        <w:r w:rsidRPr="001A70EB">
          <w:rPr>
            <w:rStyle w:val="Hyperlink"/>
          </w:rPr>
          <w:t>A/77/493</w:t>
        </w:r>
      </w:hyperlink>
      <w:r w:rsidRPr="001A70EB">
        <w:t xml:space="preserve">, paras. 7–8, and </w:t>
      </w:r>
      <w:hyperlink r:id="rId57" w:history="1">
        <w:r w:rsidRPr="001A70EB">
          <w:rPr>
            <w:rStyle w:val="Hyperlink"/>
          </w:rPr>
          <w:t>A/HRC/49/85</w:t>
        </w:r>
      </w:hyperlink>
      <w:r w:rsidRPr="001A70EB">
        <w:t>, paras. 40–49.</w:t>
      </w:r>
    </w:p>
  </w:footnote>
  <w:footnote w:id="45">
    <w:p w14:paraId="08F38E10"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58" w:history="1">
        <w:r w:rsidRPr="001A70EB">
          <w:rPr>
            <w:rStyle w:val="Hyperlink"/>
          </w:rPr>
          <w:t>A/77/493</w:t>
        </w:r>
      </w:hyperlink>
      <w:r w:rsidRPr="001A70EB">
        <w:t xml:space="preserve">, sect. B, and </w:t>
      </w:r>
      <w:hyperlink r:id="rId59" w:history="1">
        <w:r w:rsidRPr="001A70EB">
          <w:rPr>
            <w:rStyle w:val="Hyperlink"/>
          </w:rPr>
          <w:t>A/76/336</w:t>
        </w:r>
      </w:hyperlink>
      <w:r w:rsidRPr="001A70EB">
        <w:t>, sect. IV.</w:t>
      </w:r>
    </w:p>
  </w:footnote>
  <w:footnote w:id="46">
    <w:p w14:paraId="029DAB9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60" w:history="1">
        <w:r w:rsidRPr="001A70EB">
          <w:rPr>
            <w:rStyle w:val="Hyperlink"/>
          </w:rPr>
          <w:t>www.btselem.org/press_releases/20210309_new_report_with_keren_navot_this_is_ours_and_this_too</w:t>
        </w:r>
      </w:hyperlink>
      <w:r w:rsidRPr="001A70EB">
        <w:t>, p. 43.</w:t>
      </w:r>
    </w:p>
  </w:footnote>
  <w:footnote w:id="47">
    <w:p w14:paraId="75CDA1E3"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61" w:history="1">
        <w:r w:rsidRPr="001A70EB">
          <w:rPr>
            <w:rStyle w:val="Hyperlink"/>
          </w:rPr>
          <w:t>A/HRC/40/42</w:t>
        </w:r>
      </w:hyperlink>
      <w:r w:rsidRPr="001A70EB">
        <w:t>, para. 14.</w:t>
      </w:r>
    </w:p>
  </w:footnote>
  <w:footnote w:id="48">
    <w:p w14:paraId="6CC88B5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62" w:history="1">
        <w:r w:rsidRPr="001A70EB">
          <w:rPr>
            <w:rStyle w:val="Hyperlink"/>
          </w:rPr>
          <w:t>A/68/513</w:t>
        </w:r>
      </w:hyperlink>
      <w:r w:rsidRPr="001A70EB">
        <w:t xml:space="preserve"> and footnote 15.</w:t>
      </w:r>
    </w:p>
  </w:footnote>
  <w:footnote w:id="49">
    <w:p w14:paraId="64963530"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63" w:history="1">
        <w:r w:rsidRPr="001A70EB">
          <w:rPr>
            <w:rStyle w:val="Hyperlink"/>
          </w:rPr>
          <w:t>www.gov.il/en/departments/general/israeli-settlement-and-international-law</w:t>
        </w:r>
      </w:hyperlink>
      <w:r w:rsidRPr="001A70EB">
        <w:t>.</w:t>
      </w:r>
    </w:p>
  </w:footnote>
  <w:footnote w:id="50">
    <w:p w14:paraId="71834F4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64" w:history="1">
        <w:r w:rsidRPr="001A70EB">
          <w:rPr>
            <w:rStyle w:val="Hyperlink"/>
          </w:rPr>
          <w:t>A/73/410</w:t>
        </w:r>
      </w:hyperlink>
      <w:r w:rsidRPr="001A70EB">
        <w:t xml:space="preserve">, para. 13, and </w:t>
      </w:r>
      <w:hyperlink r:id="rId65" w:history="1">
        <w:r w:rsidRPr="001A70EB">
          <w:rPr>
            <w:rStyle w:val="Hyperlink"/>
          </w:rPr>
          <w:t>A/HRC/37/43</w:t>
        </w:r>
      </w:hyperlink>
      <w:r w:rsidRPr="001A70EB">
        <w:t>, para. 17.</w:t>
      </w:r>
    </w:p>
  </w:footnote>
  <w:footnote w:id="51">
    <w:p w14:paraId="55850C4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66" w:history="1">
        <w:r w:rsidRPr="001A70EB">
          <w:rPr>
            <w:rStyle w:val="Hyperlink"/>
          </w:rPr>
          <w:t>A/HRC/31/43</w:t>
        </w:r>
      </w:hyperlink>
      <w:r w:rsidRPr="001A70EB">
        <w:t>, para. 27.</w:t>
      </w:r>
    </w:p>
  </w:footnote>
  <w:footnote w:id="52">
    <w:p w14:paraId="6C35676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67" w:history="1">
        <w:r w:rsidRPr="001A70EB">
          <w:rPr>
            <w:rStyle w:val="Hyperlink"/>
          </w:rPr>
          <w:t>A/HRC/40/42</w:t>
        </w:r>
      </w:hyperlink>
      <w:r w:rsidRPr="001A70EB">
        <w:t>, para. 15.</w:t>
      </w:r>
    </w:p>
  </w:footnote>
  <w:footnote w:id="53">
    <w:p w14:paraId="57CC78D6"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68" w:history="1">
        <w:r w:rsidRPr="001A70EB">
          <w:rPr>
            <w:rStyle w:val="Hyperlink"/>
          </w:rPr>
          <w:t>A/HRC/46/65</w:t>
        </w:r>
      </w:hyperlink>
      <w:r w:rsidRPr="001A70EB">
        <w:t>, para. 16.</w:t>
      </w:r>
    </w:p>
  </w:footnote>
  <w:footnote w:id="54">
    <w:p w14:paraId="5A44A05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69" w:history="1">
        <w:r w:rsidRPr="001A70EB">
          <w:rPr>
            <w:rStyle w:val="Hyperlink"/>
          </w:rPr>
          <w:t>report_of_the_secretary_general_on_the_implementation_of_scr2334_-_28_september_2022.pdf (unmissions.org)</w:t>
        </w:r>
      </w:hyperlink>
      <w:r w:rsidRPr="001A70EB">
        <w:rPr>
          <w:rFonts w:asciiTheme="majorBidi" w:hAnsiTheme="majorBidi" w:cstheme="majorBidi"/>
          <w:szCs w:val="18"/>
        </w:rPr>
        <w:t>.</w:t>
      </w:r>
    </w:p>
  </w:footnote>
  <w:footnote w:id="55">
    <w:p w14:paraId="15C88B24"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www.keremnavot.org/_files/ugd/a76eb4_effeae08cbc9492fb589419b6348373c.pdf</w:t>
        </w:r>
      </w:hyperlink>
      <w:r w:rsidRPr="001A70EB">
        <w:rPr>
          <w:rFonts w:asciiTheme="majorBidi" w:hAnsiTheme="majorBidi" w:cstheme="majorBidi"/>
          <w:szCs w:val="18"/>
        </w:rPr>
        <w:t>,</w:t>
      </w:r>
      <w:r w:rsidRPr="001A70EB">
        <w:t xml:space="preserve"> p. 9.</w:t>
      </w:r>
    </w:p>
  </w:footnote>
  <w:footnote w:id="56">
    <w:p w14:paraId="498EB3E0" w14:textId="77777777" w:rsidR="00F6262F" w:rsidRPr="001A70EB" w:rsidRDefault="00F6262F" w:rsidP="00F6262F">
      <w:pPr>
        <w:pStyle w:val="FootnoteText"/>
      </w:pPr>
      <w:r w:rsidRPr="001A70EB">
        <w:tab/>
      </w:r>
      <w:r w:rsidRPr="001A70EB">
        <w:rPr>
          <w:rStyle w:val="FootnoteReference"/>
        </w:rPr>
        <w:footnoteRef/>
      </w:r>
      <w:r w:rsidRPr="001A70EB">
        <w:tab/>
      </w:r>
      <w:hyperlink w:history="1">
        <w:r w:rsidRPr="001A70EB">
          <w:rPr>
            <w:rStyle w:val="Hyperlink"/>
          </w:rPr>
          <w:t>See www.keremnavot.org/a-locked-garden</w:t>
        </w:r>
      </w:hyperlink>
      <w:r w:rsidRPr="001A70EB">
        <w:rPr>
          <w:rFonts w:asciiTheme="majorBidi" w:hAnsiTheme="majorBidi" w:cstheme="majorBidi"/>
          <w:szCs w:val="18"/>
        </w:rPr>
        <w:t xml:space="preserve">, </w:t>
      </w:r>
      <w:r w:rsidRPr="001A70EB">
        <w:rPr>
          <w:rFonts w:asciiTheme="majorBidi" w:hAnsiTheme="majorBidi" w:cstheme="majorBidi"/>
          <w:color w:val="000000" w:themeColor="text1"/>
          <w:szCs w:val="18"/>
        </w:rPr>
        <w:t>p. 10.</w:t>
      </w:r>
    </w:p>
  </w:footnote>
  <w:footnote w:id="57">
    <w:p w14:paraId="02978360"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www.btselem.org/sites/default/files/sites/default/files2/201306_area_c_report_eng.pdf</w:t>
        </w:r>
      </w:hyperlink>
      <w:r w:rsidRPr="001A70EB">
        <w:t>, p. 14.</w:t>
      </w:r>
    </w:p>
  </w:footnote>
  <w:footnote w:id="58">
    <w:p w14:paraId="0997BC0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70" w:history="1">
        <w:r w:rsidRPr="001A70EB">
          <w:rPr>
            <w:rStyle w:val="Hyperlink"/>
          </w:rPr>
          <w:t>A/77/328</w:t>
        </w:r>
      </w:hyperlink>
      <w:r w:rsidRPr="001A70EB">
        <w:t>, para. 32.</w:t>
      </w:r>
    </w:p>
  </w:footnote>
  <w:footnote w:id="59">
    <w:p w14:paraId="1D158E06"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71" w:history="1">
        <w:r w:rsidRPr="001A70EB">
          <w:rPr>
            <w:rStyle w:val="Hyperlink"/>
          </w:rPr>
          <w:t>A/77/493</w:t>
        </w:r>
      </w:hyperlink>
      <w:r w:rsidRPr="001A70EB">
        <w:t>, para. 9.</w:t>
      </w:r>
    </w:p>
  </w:footnote>
  <w:footnote w:id="60">
    <w:p w14:paraId="5EF6441A" w14:textId="77777777" w:rsidR="00F6262F" w:rsidRPr="001A70EB" w:rsidRDefault="00F6262F" w:rsidP="00F6262F">
      <w:pPr>
        <w:pStyle w:val="FootnoteText"/>
      </w:pPr>
      <w:r w:rsidRPr="001A70EB">
        <w:tab/>
      </w:r>
      <w:r w:rsidRPr="001A70EB">
        <w:rPr>
          <w:rStyle w:val="FootnoteReference"/>
        </w:rPr>
        <w:footnoteRef/>
      </w:r>
      <w:r w:rsidRPr="001A70EB">
        <w:tab/>
        <w:t xml:space="preserve">Information provided by the Office for the Coordination of Humanitarian Affairs (OCHA); see also </w:t>
      </w:r>
      <w:hyperlink r:id="rId72" w:history="1">
        <w:r w:rsidRPr="001A70EB">
          <w:rPr>
            <w:rStyle w:val="Hyperlink"/>
          </w:rPr>
          <w:t>A/72/564</w:t>
        </w:r>
      </w:hyperlink>
      <w:r w:rsidRPr="001A70EB">
        <w:t xml:space="preserve">, para. 47; and </w:t>
      </w:r>
      <w:hyperlink r:id="rId73" w:history="1">
        <w:r w:rsidRPr="001A70EB">
          <w:rPr>
            <w:rStyle w:val="Hyperlink"/>
          </w:rPr>
          <w:t>www.keremnavot.org/a-locked-garden</w:t>
        </w:r>
      </w:hyperlink>
      <w:r w:rsidRPr="001A70EB">
        <w:rPr>
          <w:rFonts w:asciiTheme="majorBidi" w:hAnsiTheme="majorBidi" w:cstheme="majorBidi"/>
          <w:szCs w:val="18"/>
        </w:rPr>
        <w:t>,</w:t>
      </w:r>
      <w:r w:rsidRPr="001A70EB" w:rsidDel="001B5701">
        <w:t xml:space="preserve"> </w:t>
      </w:r>
      <w:r w:rsidRPr="001A70EB">
        <w:rPr>
          <w:rFonts w:asciiTheme="majorBidi" w:hAnsiTheme="majorBidi" w:cstheme="majorBidi"/>
          <w:szCs w:val="18"/>
        </w:rPr>
        <w:t>p. 10.</w:t>
      </w:r>
    </w:p>
  </w:footnote>
  <w:footnote w:id="61">
    <w:p w14:paraId="289F726D"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74" w:history="1">
        <w:r w:rsidRPr="001A70EB">
          <w:rPr>
            <w:rStyle w:val="Hyperlink"/>
          </w:rPr>
          <w:t>A/76/336</w:t>
        </w:r>
      </w:hyperlink>
      <w:r w:rsidRPr="001A70EB">
        <w:t xml:space="preserve">, para. 41; see also </w:t>
      </w:r>
      <w:hyperlink r:id="rId75" w:history="1">
        <w:r w:rsidRPr="001A70EB">
          <w:rPr>
            <w:rStyle w:val="Hyperlink"/>
          </w:rPr>
          <w:t>www.haaretz.com/israel-news/2021-02-08/ty-article/.premium/israeli-soldiers-expel-palestinians-while-letting-settlers-stay-documents-reveal/0000017f-e8fb-da9b-a1ff-ecffb8d10000</w:t>
        </w:r>
      </w:hyperlink>
      <w:r w:rsidRPr="001A70EB">
        <w:t xml:space="preserve">; </w:t>
      </w:r>
      <w:hyperlink r:id="rId76" w:history="1">
        <w:r w:rsidRPr="001A70EB">
          <w:rPr>
            <w:rStyle w:val="Hyperlink"/>
          </w:rPr>
          <w:t>www.haaretz.com/israel-news/.premium-six-lies-about-the-cowboy-outposts-in-the-northern-jordan-valley-1.9539497</w:t>
        </w:r>
      </w:hyperlink>
      <w:r w:rsidRPr="001A70EB">
        <w:rPr>
          <w:rFonts w:asciiTheme="majorBidi" w:hAnsiTheme="majorBidi" w:cstheme="majorBidi"/>
          <w:szCs w:val="18"/>
        </w:rPr>
        <w:t xml:space="preserve">; and </w:t>
      </w:r>
      <w:hyperlink r:id="rId77" w:history="1">
        <w:r w:rsidRPr="001A70EB">
          <w:rPr>
            <w:rStyle w:val="Hyperlink"/>
          </w:rPr>
          <w:t>https://www.akevot.org.il/en/news-item/document-revealed-by-akevot-ariel-sharon-instructed-idf-to-create-training-zone-to-displace-palestinians/</w:t>
        </w:r>
      </w:hyperlink>
      <w:r w:rsidRPr="001A70EB">
        <w:rPr>
          <w:rFonts w:asciiTheme="majorBidi" w:hAnsiTheme="majorBidi" w:cstheme="majorBidi"/>
          <w:szCs w:val="18"/>
        </w:rPr>
        <w:t>.</w:t>
      </w:r>
    </w:p>
  </w:footnote>
  <w:footnote w:id="62">
    <w:p w14:paraId="07F57AA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www.ochaopt.org/content/settlement-expansion-around-israeli-declared-nature-reserve</w:t>
        </w:r>
      </w:hyperlink>
      <w:r w:rsidRPr="001A70EB">
        <w:rPr>
          <w:rFonts w:asciiTheme="majorBidi" w:hAnsiTheme="majorBidi" w:cstheme="majorBidi"/>
          <w:szCs w:val="18"/>
        </w:rPr>
        <w:t>.</w:t>
      </w:r>
    </w:p>
  </w:footnote>
  <w:footnote w:id="63">
    <w:p w14:paraId="6F6EC482"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78" w:history="1">
        <w:r w:rsidRPr="001A70EB">
          <w:rPr>
            <w:rStyle w:val="Hyperlink"/>
          </w:rPr>
          <w:t>https://unsco.unmissions.org/sites/default/files/sg_report_on_the_implementation_of_scr_2334_-_22_june_2022.pdf</w:t>
        </w:r>
      </w:hyperlink>
      <w:r w:rsidRPr="001A70EB">
        <w:rPr>
          <w:rFonts w:asciiTheme="majorBidi" w:hAnsiTheme="majorBidi" w:cstheme="majorBidi"/>
          <w:szCs w:val="18"/>
        </w:rPr>
        <w:t>.</w:t>
      </w:r>
    </w:p>
  </w:footnote>
  <w:footnote w:id="64">
    <w:p w14:paraId="0775B4C1"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79" w:history="1">
        <w:r w:rsidRPr="001A70EB">
          <w:rPr>
            <w:rStyle w:val="Hyperlink"/>
          </w:rPr>
          <w:t>https://s3-eu-west-1.amazonaws.com/files.yesh-din.org/Menachsim+Archeology/Menachsim+-+Eng+-+Web.pdf</w:t>
        </w:r>
      </w:hyperlink>
      <w:r w:rsidRPr="001A70EB">
        <w:rPr>
          <w:rFonts w:asciiTheme="majorBidi" w:hAnsiTheme="majorBidi" w:cstheme="majorBidi"/>
          <w:szCs w:val="18"/>
        </w:rPr>
        <w:t>.</w:t>
      </w:r>
    </w:p>
  </w:footnote>
  <w:footnote w:id="65">
    <w:p w14:paraId="49A3F79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80" w:history="1">
        <w:r w:rsidRPr="001A70EB">
          <w:rPr>
            <w:rStyle w:val="Hyperlink"/>
          </w:rPr>
          <w:t>https://emekshaveh.org/en/appropriating-the-past-israels-archaeological-practices-in-the-west-bank/</w:t>
        </w:r>
      </w:hyperlink>
      <w:r w:rsidRPr="001A70EB">
        <w:rPr>
          <w:rFonts w:asciiTheme="majorBidi" w:hAnsiTheme="majorBidi" w:cstheme="majorBidi"/>
          <w:szCs w:val="18"/>
        </w:rPr>
        <w:t>.</w:t>
      </w:r>
    </w:p>
  </w:footnote>
  <w:footnote w:id="66">
    <w:p w14:paraId="325E9E3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www.haaretz.com/israel-news/2020-06-23/ty-article/.premium/when-an-archaeological-find-can-evict-palestinians-from-their-home/0000017f-f484-d887-a7ff-fce402bb0000</w:t>
        </w:r>
      </w:hyperlink>
      <w:r w:rsidRPr="001A70EB">
        <w:rPr>
          <w:rFonts w:asciiTheme="majorBidi" w:hAnsiTheme="majorBidi" w:cstheme="majorBidi"/>
          <w:szCs w:val="18"/>
        </w:rPr>
        <w:t>.</w:t>
      </w:r>
    </w:p>
  </w:footnote>
  <w:footnote w:id="67">
    <w:p w14:paraId="72E8AAEC"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81" w:history="1">
        <w:r w:rsidRPr="001A70EB">
          <w:rPr>
            <w:rStyle w:val="Hyperlink"/>
          </w:rPr>
          <w:t>https://s3-eu-west-1.amazonaws.com/files.yesh-din.org/Menachsim+Archeology/Menachsim+-+Eng+-+Web.pdfthe Past</w:t>
        </w:r>
      </w:hyperlink>
      <w:r w:rsidRPr="001A70EB">
        <w:t>, pp. 20–22.</w:t>
      </w:r>
    </w:p>
  </w:footnote>
  <w:footnote w:id="68">
    <w:p w14:paraId="62F2251B"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82" w:history="1">
        <w:r w:rsidRPr="001A70EB">
          <w:rPr>
            <w:rStyle w:val="Hyperlink"/>
          </w:rPr>
          <w:t>www.haaretz.com/israel-news/2022-06-08/ty-article/.highlight/under-settler-pressure-israel-extends-antiquities-authoritys-powers-into-west-bank/00000181-42f8-df72-a5cb-c2ffa4660000</w:t>
        </w:r>
      </w:hyperlink>
      <w:r w:rsidRPr="001A70EB">
        <w:rPr>
          <w:rFonts w:asciiTheme="majorBidi" w:hAnsiTheme="majorBidi" w:cstheme="majorBidi"/>
          <w:szCs w:val="18"/>
        </w:rPr>
        <w:t>.</w:t>
      </w:r>
    </w:p>
  </w:footnote>
  <w:footnote w:id="69">
    <w:p w14:paraId="7E8662E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Hague Convention of 1 March 1954 relating to civil procedure, art. 5.</w:t>
      </w:r>
    </w:p>
  </w:footnote>
  <w:footnote w:id="70">
    <w:p w14:paraId="048E5AC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Hague Regulations, arts. 43 and 55.</w:t>
      </w:r>
    </w:p>
  </w:footnote>
  <w:footnote w:id="71">
    <w:p w14:paraId="643CF96D" w14:textId="77777777" w:rsidR="00F6262F" w:rsidRPr="001A70EB" w:rsidRDefault="00F6262F" w:rsidP="00F6262F">
      <w:pPr>
        <w:pStyle w:val="FootnoteText"/>
        <w:rPr>
          <w:color w:val="000000"/>
        </w:rPr>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83" w:history="1">
        <w:r w:rsidRPr="001A70EB">
          <w:rPr>
            <w:rStyle w:val="Hyperlink"/>
          </w:rPr>
          <w:t>A/77/493</w:t>
        </w:r>
      </w:hyperlink>
      <w:r w:rsidRPr="001A70EB">
        <w:rPr>
          <w:color w:val="000000"/>
        </w:rPr>
        <w:t xml:space="preserve">, para. 11, </w:t>
      </w:r>
      <w:hyperlink r:id="rId84" w:history="1">
        <w:r w:rsidRPr="001A70EB">
          <w:rPr>
            <w:rStyle w:val="Hyperlink"/>
          </w:rPr>
          <w:t>A/76/336</w:t>
        </w:r>
      </w:hyperlink>
      <w:r w:rsidRPr="001A70EB">
        <w:rPr>
          <w:color w:val="000000"/>
        </w:rPr>
        <w:t xml:space="preserve">, para. 13, and </w:t>
      </w:r>
      <w:hyperlink r:id="rId85" w:history="1">
        <w:r w:rsidRPr="001A70EB">
          <w:rPr>
            <w:rStyle w:val="Hyperlink"/>
          </w:rPr>
          <w:t>A/HRC/49/85</w:t>
        </w:r>
      </w:hyperlink>
      <w:r w:rsidRPr="001A70EB">
        <w:rPr>
          <w:color w:val="000000"/>
        </w:rPr>
        <w:t>, para. 11.</w:t>
      </w:r>
    </w:p>
  </w:footnote>
  <w:footnote w:id="72">
    <w:p w14:paraId="1239BDD7"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86" w:tgtFrame="_blank" w:tooltip="https://documents-dds-ny.un.org/doc/UNDOC/GEN/N21/262/91/PDF/N2126291.pdf?OpenElement" w:history="1">
        <w:r w:rsidRPr="001A70EB">
          <w:rPr>
            <w:rStyle w:val="Hyperlink"/>
          </w:rPr>
          <w:t>A/76/336</w:t>
        </w:r>
      </w:hyperlink>
      <w:r w:rsidRPr="001A70EB">
        <w:rPr>
          <w:color w:val="000000" w:themeColor="text1"/>
        </w:rPr>
        <w:t xml:space="preserve">, </w:t>
      </w:r>
      <w:r w:rsidRPr="001A70EB">
        <w:t>para. 13.</w:t>
      </w:r>
    </w:p>
  </w:footnote>
  <w:footnote w:id="73">
    <w:p w14:paraId="4C34A284" w14:textId="77777777" w:rsidR="00F6262F" w:rsidRPr="001A70EB" w:rsidRDefault="00F6262F" w:rsidP="00F6262F">
      <w:pPr>
        <w:pStyle w:val="FootnoteText"/>
        <w:rPr>
          <w:color w:val="000000"/>
        </w:rPr>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87" w:history="1">
        <w:r w:rsidRPr="001A70EB">
          <w:rPr>
            <w:rStyle w:val="Hyperlink"/>
          </w:rPr>
          <w:t>www.ir-amim.org.il/sites/default/files/Settlement%20of%20Title%20in%20East%20Jerusalem%20March%202022.pdf</w:t>
        </w:r>
      </w:hyperlink>
      <w:r w:rsidRPr="001A70EB">
        <w:rPr>
          <w:color w:val="0000FF"/>
        </w:rPr>
        <w:t>.</w:t>
      </w:r>
    </w:p>
  </w:footnote>
  <w:footnote w:id="74">
    <w:p w14:paraId="1A4B91C0" w14:textId="77777777" w:rsidR="00F6262F" w:rsidRPr="001A70EB" w:rsidRDefault="00F6262F" w:rsidP="00F6262F">
      <w:pPr>
        <w:pStyle w:val="FootnoteText"/>
        <w:rPr>
          <w:color w:val="000000"/>
        </w:rPr>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88" w:history="1">
        <w:r w:rsidRPr="001A70EB">
          <w:rPr>
            <w:rStyle w:val="Hyperlink"/>
          </w:rPr>
          <w:t>www.haaretz.com/israel-news/2022-06-26/ty-article/israel-moves-to-register-lands-near-al-aqsa-using-funds-earmarked-for-palestinians/00000181-a154-d19e-ab99-f575f89f0000</w:t>
        </w:r>
      </w:hyperlink>
      <w:r w:rsidRPr="001A70EB">
        <w:rPr>
          <w:color w:val="000000"/>
        </w:rPr>
        <w:t xml:space="preserve"> and </w:t>
      </w:r>
      <w:hyperlink r:id="rId89" w:history="1">
        <w:r w:rsidRPr="001A70EB">
          <w:rPr>
            <w:rStyle w:val="Hyperlink"/>
          </w:rPr>
          <w:t>https://mailchi.mp/ir-amim/in-a-dramatic-development-israel-initiates-settlement-of-land-title-adjacent-to-al-aqsa-across-abu-thor?e=5dfcd834de</w:t>
        </w:r>
      </w:hyperlink>
      <w:r w:rsidRPr="001A70EB">
        <w:rPr>
          <w:rFonts w:asciiTheme="majorBidi" w:hAnsiTheme="majorBidi" w:cstheme="majorBidi"/>
          <w:szCs w:val="18"/>
        </w:rPr>
        <w:t>.</w:t>
      </w:r>
    </w:p>
  </w:footnote>
  <w:footnote w:id="75">
    <w:p w14:paraId="60232686" w14:textId="77777777" w:rsidR="00F6262F" w:rsidRPr="001A70EB" w:rsidRDefault="00F6262F" w:rsidP="00F6262F">
      <w:pPr>
        <w:pStyle w:val="FootnoteText"/>
      </w:pPr>
      <w:r w:rsidRPr="001A70EB">
        <w:tab/>
      </w:r>
      <w:r w:rsidRPr="001A70EB">
        <w:rPr>
          <w:rStyle w:val="FootnoteReference"/>
        </w:rPr>
        <w:footnoteRef/>
      </w:r>
      <w:r w:rsidRPr="001A70EB">
        <w:tab/>
        <w:t xml:space="preserve">See </w:t>
      </w:r>
      <w:hyperlink r:id="rId90" w:history="1">
        <w:r w:rsidRPr="001A70EB">
          <w:rPr>
            <w:rStyle w:val="Hyperlink"/>
          </w:rPr>
          <w:t>www.ir-amim.org.il/sites/default/files/Settlement%20of%20Title%20in%20East%20Jerusalem%20March%202022.pdf</w:t>
        </w:r>
      </w:hyperlink>
      <w:r w:rsidRPr="001A70EB">
        <w:rPr>
          <w:rFonts w:asciiTheme="majorBidi" w:hAnsiTheme="majorBidi" w:cstheme="majorBidi"/>
          <w:szCs w:val="18"/>
        </w:rPr>
        <w:t>.</w:t>
      </w:r>
    </w:p>
  </w:footnote>
  <w:footnote w:id="76">
    <w:p w14:paraId="3F89D03A" w14:textId="77777777" w:rsidR="00F6262F" w:rsidRPr="001A70EB" w:rsidRDefault="00F6262F" w:rsidP="00F6262F">
      <w:pPr>
        <w:pStyle w:val="FootnoteText"/>
        <w:rPr>
          <w:color w:val="000000"/>
        </w:rPr>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91" w:history="1">
        <w:r w:rsidRPr="001A70EB">
          <w:rPr>
            <w:rStyle w:val="Hyperlink"/>
          </w:rPr>
          <w:t>www.gov.il/BlobFolder/news/matmedet-3790-2022/he/%D7%95%D7%A2%D7%93%D7%94%20%D7%9E%D7%AA%D7%9E%D7%93%D7%AA%202022.pdf</w:t>
        </w:r>
      </w:hyperlink>
      <w:hyperlink r:id="rId92" w:history="1">
        <w:r w:rsidRPr="001A70EB">
          <w:rPr>
            <w:rStyle w:val="Hyperlink"/>
          </w:rPr>
          <w:t>www.gov.il</w:t>
        </w:r>
      </w:hyperlink>
      <w:hyperlink r:id="rId93" w:history="1">
        <w:r w:rsidRPr="001A70EB">
          <w:rPr>
            <w:rStyle w:val="Hyperlink"/>
          </w:rPr>
          <w:t>)</w:t>
        </w:r>
      </w:hyperlink>
      <w:r w:rsidRPr="001A70EB">
        <w:rPr>
          <w:color w:val="000000"/>
        </w:rPr>
        <w:t>, p. 55.</w:t>
      </w:r>
    </w:p>
  </w:footnote>
  <w:footnote w:id="77">
    <w:p w14:paraId="250609F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94" w:history="1">
        <w:r w:rsidRPr="001A70EB">
          <w:rPr>
            <w:rStyle w:val="Hyperlink"/>
          </w:rPr>
          <w:t>A/76/336</w:t>
        </w:r>
      </w:hyperlink>
      <w:r w:rsidRPr="001A70EB">
        <w:t>, para. 13.</w:t>
      </w:r>
    </w:p>
  </w:footnote>
  <w:footnote w:id="78">
    <w:p w14:paraId="73B98B8B"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Fourth Geneva Convention, art. 53.</w:t>
      </w:r>
    </w:p>
  </w:footnote>
  <w:footnote w:id="79">
    <w:p w14:paraId="302B3787"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 xml:space="preserve">Education Cluster Occupied Palestinian Territory. </w:t>
      </w:r>
    </w:p>
  </w:footnote>
  <w:footnote w:id="80">
    <w:p w14:paraId="04FDFC6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The number was </w:t>
      </w:r>
      <w:r w:rsidRPr="001A70EB">
        <w:t>967 in the previous reporting period.</w:t>
      </w:r>
    </w:p>
  </w:footnote>
  <w:footnote w:id="81">
    <w:p w14:paraId="1EC8C467"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Information provided by OCHA</w:t>
      </w:r>
      <w:r w:rsidRPr="001A70EB">
        <w:t>.</w:t>
      </w:r>
    </w:p>
  </w:footnote>
  <w:footnote w:id="82">
    <w:p w14:paraId="172353C0"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Education Cluster Occupied Palestinian Territory.</w:t>
      </w:r>
    </w:p>
  </w:footnote>
  <w:footnote w:id="83">
    <w:p w14:paraId="4150A64C" w14:textId="4C57ACE9"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Norwegian Refugee Council</w:t>
      </w:r>
      <w:r w:rsidRPr="001A70EB">
        <w:t>.</w:t>
      </w:r>
    </w:p>
  </w:footnote>
  <w:footnote w:id="84">
    <w:p w14:paraId="4E087844" w14:textId="5A913DDC"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95" w:history="1">
        <w:r w:rsidRPr="001A70EB">
          <w:rPr>
            <w:rStyle w:val="Hyperlink"/>
          </w:rPr>
          <w:t>https://ihl-databases.icrc.org/en/ihl-treaties/gciv-1949</w:t>
        </w:r>
      </w:hyperlink>
      <w:r w:rsidRPr="001A70EB">
        <w:t>, art. 147.</w:t>
      </w:r>
    </w:p>
  </w:footnote>
  <w:footnote w:id="85">
    <w:p w14:paraId="35FAAD8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Education Cluster Occupied Palestinian Territory.</w:t>
      </w:r>
    </w:p>
  </w:footnote>
  <w:footnote w:id="86">
    <w:p w14:paraId="6CE10D2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96" w:history="1">
        <w:r w:rsidRPr="001A70EB">
          <w:rPr>
            <w:rStyle w:val="Hyperlink"/>
          </w:rPr>
          <w:t>www.savethechildren.es/sites/default/files/2021-06/Hope_under_the_rubble_STC.pdf.</w:t>
        </w:r>
      </w:hyperlink>
    </w:p>
  </w:footnote>
  <w:footnote w:id="87">
    <w:p w14:paraId="10C298F1"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Fourth Geneva Convention, arts. 49 and 147; Hague Regulations, arts. 46 and 56; and Security Council resolution 1612 (2005).</w:t>
      </w:r>
    </w:p>
  </w:footnote>
  <w:footnote w:id="88">
    <w:p w14:paraId="14720E20"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97" w:history="1">
        <w:r w:rsidRPr="001A70EB">
          <w:rPr>
            <w:rStyle w:val="Hyperlink"/>
          </w:rPr>
          <w:t>A/77/493</w:t>
        </w:r>
      </w:hyperlink>
      <w:r w:rsidRPr="001A70EB">
        <w:t xml:space="preserve">, paras. 26–27, and </w:t>
      </w:r>
      <w:hyperlink r:id="rId98" w:history="1">
        <w:r w:rsidRPr="001A70EB">
          <w:rPr>
            <w:rStyle w:val="Hyperlink"/>
          </w:rPr>
          <w:t>A/72/564</w:t>
        </w:r>
      </w:hyperlink>
      <w:r w:rsidRPr="001A70EB">
        <w:t>, paras. 25 and 49–50.</w:t>
      </w:r>
    </w:p>
  </w:footnote>
  <w:footnote w:id="89">
    <w:p w14:paraId="76949A6B"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99" w:history="1">
        <w:r w:rsidRPr="001A70EB">
          <w:rPr>
            <w:rStyle w:val="Hyperlink"/>
          </w:rPr>
          <w:t>A/77/493</w:t>
        </w:r>
      </w:hyperlink>
      <w:r w:rsidRPr="001A70EB">
        <w:t>, para. 65.</w:t>
      </w:r>
    </w:p>
  </w:footnote>
  <w:footnote w:id="90">
    <w:p w14:paraId="3DF4EEEF" w14:textId="77777777" w:rsidR="00F6262F" w:rsidRPr="001A70EB" w:rsidRDefault="00F6262F" w:rsidP="00F6262F">
      <w:pPr>
        <w:pStyle w:val="FootnoteText"/>
      </w:pPr>
      <w:r w:rsidRPr="001A70EB">
        <w:tab/>
      </w:r>
      <w:r w:rsidRPr="001A70EB">
        <w:rPr>
          <w:rStyle w:val="FootnoteReference"/>
        </w:rPr>
        <w:footnoteRef/>
      </w:r>
      <w:r w:rsidRPr="001A70EB">
        <w:tab/>
        <w:t xml:space="preserve">See </w:t>
      </w:r>
      <w:hyperlink r:id="rId100" w:history="1">
        <w:r w:rsidRPr="001A70EB">
          <w:rPr>
            <w:rStyle w:val="Hyperlink"/>
          </w:rPr>
          <w:t>www.globalprotectioncluster.org/sites/default/files/2022-08/opt_protection_analysis_update_westbank_aug2022.pdf</w:t>
        </w:r>
      </w:hyperlink>
      <w:r w:rsidRPr="001A70EB">
        <w:t xml:space="preserve">; </w:t>
      </w:r>
      <w:proofErr w:type="spellStart"/>
      <w:r w:rsidRPr="001A70EB">
        <w:t>see</w:t>
      </w:r>
      <w:proofErr w:type="spellEnd"/>
      <w:r w:rsidRPr="001A70EB">
        <w:t xml:space="preserve"> also </w:t>
      </w:r>
      <w:hyperlink r:id="rId101" w:history="1">
        <w:r w:rsidRPr="001A70EB">
          <w:rPr>
            <w:rStyle w:val="Hyperlink"/>
          </w:rPr>
          <w:t>CEDAW/C/ISR/CO/6</w:t>
        </w:r>
      </w:hyperlink>
      <w:r w:rsidRPr="001A70EB">
        <w:t>, paras. 32–33.</w:t>
      </w:r>
    </w:p>
  </w:footnote>
  <w:footnote w:id="91">
    <w:p w14:paraId="787F2E99" w14:textId="77777777" w:rsidR="00F6262F" w:rsidRPr="001A70EB" w:rsidRDefault="00F6262F" w:rsidP="00F6262F">
      <w:pPr>
        <w:pStyle w:val="FootnoteText"/>
      </w:pPr>
      <w:r w:rsidRPr="001A70EB">
        <w:tab/>
      </w:r>
      <w:r w:rsidRPr="001A70EB">
        <w:rPr>
          <w:rStyle w:val="FootnoteReference"/>
        </w:rPr>
        <w:footnoteRef/>
      </w:r>
      <w:r w:rsidRPr="001A70EB">
        <w:tab/>
        <w:t xml:space="preserve">See </w:t>
      </w:r>
      <w:hyperlink r:id="rId102" w:history="1">
        <w:r w:rsidRPr="001A70EB">
          <w:rPr>
            <w:rStyle w:val="Hyperlink"/>
          </w:rPr>
          <w:t>www.ochaopt.org/content/west-bank-demolitions-and-displacement-july-august-2022</w:t>
        </w:r>
      </w:hyperlink>
      <w:r w:rsidRPr="001A70EB">
        <w:t xml:space="preserve">; </w:t>
      </w:r>
      <w:proofErr w:type="spellStart"/>
      <w:r w:rsidRPr="001A70EB">
        <w:t>see</w:t>
      </w:r>
      <w:proofErr w:type="spellEnd"/>
      <w:r w:rsidRPr="001A70EB">
        <w:t xml:space="preserve"> also </w:t>
      </w:r>
      <w:hyperlink r:id="rId103" w:history="1">
        <w:r w:rsidRPr="001A70EB">
          <w:rPr>
            <w:rStyle w:val="Hyperlink"/>
          </w:rPr>
          <w:t>A/HRC/46/65</w:t>
        </w:r>
      </w:hyperlink>
      <w:r w:rsidRPr="001A70EB">
        <w:t>, para. 32.</w:t>
      </w:r>
    </w:p>
  </w:footnote>
  <w:footnote w:id="92">
    <w:p w14:paraId="422B9360" w14:textId="77777777" w:rsidR="00F6262F" w:rsidRPr="001A70EB" w:rsidRDefault="00F6262F" w:rsidP="00F6262F">
      <w:pPr>
        <w:pStyle w:val="FootnoteText"/>
      </w:pPr>
      <w:r w:rsidRPr="001A70EB">
        <w:tab/>
      </w:r>
      <w:r w:rsidRPr="001A70EB">
        <w:rPr>
          <w:rStyle w:val="FootnoteReference"/>
        </w:rPr>
        <w:footnoteRef/>
      </w:r>
      <w:r w:rsidRPr="001A70EB">
        <w:tab/>
        <w:t xml:space="preserve">See </w:t>
      </w:r>
      <w:hyperlink r:id="rId104" w:history="1">
        <w:r w:rsidRPr="001A70EB">
          <w:rPr>
            <w:rStyle w:val="Hyperlink"/>
          </w:rPr>
          <w:t>www.militarycourtwatch.org/files/server/MO%201651%20.pdf</w:t>
        </w:r>
      </w:hyperlink>
      <w:r w:rsidRPr="001A70EB">
        <w:t xml:space="preserve">; </w:t>
      </w:r>
      <w:hyperlink r:id="rId105" w:anchor="Seif6; and www.nevo.co.il/law_html/law65/666_038.htm" w:history="1">
        <w:r w:rsidRPr="001A70EB">
          <w:rPr>
            <w:rStyle w:val="Hyperlink"/>
          </w:rPr>
          <w:t>www.nevo.co.il/law_html/law65/666_038.htm#Seif6; and www.nevo.co.il/law_html/law65/666_038.htm</w:t>
        </w:r>
      </w:hyperlink>
      <w:r w:rsidRPr="001A70EB">
        <w:rPr>
          <w:rFonts w:asciiTheme="majorBidi" w:hAnsiTheme="majorBidi" w:cstheme="majorBidi"/>
          <w:szCs w:val="18"/>
        </w:rPr>
        <w:t xml:space="preserve"> concerning “mobile structures”.</w:t>
      </w:r>
    </w:p>
  </w:footnote>
  <w:footnote w:id="93">
    <w:p w14:paraId="1CC1A404"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Information provided by OCHA</w:t>
      </w:r>
      <w:r w:rsidRPr="001A70EB">
        <w:t>.</w:t>
      </w:r>
    </w:p>
  </w:footnote>
  <w:footnote w:id="94">
    <w:p w14:paraId="4BBDF4A2"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rPr>
          <w:rFonts w:eastAsia="Segoe UI"/>
          <w:color w:val="333333"/>
        </w:rPr>
        <w:t xml:space="preserve">Knesset Foreign Affairs and </w:t>
      </w:r>
      <w:proofErr w:type="spellStart"/>
      <w:r w:rsidRPr="001A70EB">
        <w:rPr>
          <w:rFonts w:eastAsia="Segoe UI"/>
          <w:color w:val="333333"/>
        </w:rPr>
        <w:t>Defense</w:t>
      </w:r>
      <w:proofErr w:type="spellEnd"/>
      <w:r w:rsidRPr="001A70EB">
        <w:rPr>
          <w:rFonts w:eastAsia="Segoe UI"/>
          <w:color w:val="333333"/>
        </w:rPr>
        <w:t xml:space="preserve"> Committee “Palestinian takeover of Area C”, 29 July 2020 and 13 August 2020.</w:t>
      </w:r>
    </w:p>
  </w:footnote>
  <w:footnote w:id="95">
    <w:p w14:paraId="515EDA1F" w14:textId="77777777" w:rsidR="00F6262F" w:rsidRPr="001A70EB" w:rsidRDefault="00F6262F" w:rsidP="00F6262F">
      <w:pPr>
        <w:pStyle w:val="FootnoteText"/>
        <w:rPr>
          <w:b/>
          <w:color w:val="242424"/>
        </w:rPr>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06" w:history="1">
        <w:r w:rsidRPr="001A70EB">
          <w:rPr>
            <w:rStyle w:val="Hyperlink"/>
          </w:rPr>
          <w:t>A/HRC/37/43</w:t>
        </w:r>
      </w:hyperlink>
      <w:r w:rsidRPr="001A70EB">
        <w:rPr>
          <w:color w:val="242424"/>
        </w:rPr>
        <w:t xml:space="preserve">, paras. 29–32, </w:t>
      </w:r>
      <w:hyperlink r:id="rId107" w:history="1">
        <w:r w:rsidRPr="001A70EB">
          <w:rPr>
            <w:rStyle w:val="Hyperlink"/>
          </w:rPr>
          <w:t>A/HRC/25/38</w:t>
        </w:r>
      </w:hyperlink>
      <w:r w:rsidRPr="001A70EB">
        <w:rPr>
          <w:color w:val="242424"/>
        </w:rPr>
        <w:t xml:space="preserve">, paras. 11–14, </w:t>
      </w:r>
      <w:hyperlink r:id="rId108" w:history="1">
        <w:r w:rsidRPr="001A70EB">
          <w:rPr>
            <w:rStyle w:val="Hyperlink"/>
          </w:rPr>
          <w:t>A/HRC/31/43</w:t>
        </w:r>
      </w:hyperlink>
      <w:r w:rsidRPr="001A70EB">
        <w:rPr>
          <w:color w:val="242424"/>
        </w:rPr>
        <w:t xml:space="preserve">, paras. 18 and 45, </w:t>
      </w:r>
      <w:hyperlink r:id="rId109" w:history="1">
        <w:r w:rsidRPr="001A70EB">
          <w:rPr>
            <w:rStyle w:val="Hyperlink"/>
          </w:rPr>
          <w:t>A/HRC/34/38</w:t>
        </w:r>
      </w:hyperlink>
      <w:r w:rsidRPr="001A70EB">
        <w:rPr>
          <w:color w:val="242424"/>
        </w:rPr>
        <w:t xml:space="preserve">, para. 25, and </w:t>
      </w:r>
      <w:hyperlink r:id="rId110" w:history="1">
        <w:r w:rsidRPr="001A70EB">
          <w:rPr>
            <w:rStyle w:val="Hyperlink"/>
          </w:rPr>
          <w:t>CERD/C/ISR/CO/14</w:t>
        </w:r>
        <w:r w:rsidRPr="001A70EB">
          <w:rPr>
            <w:rStyle w:val="Hyperlink"/>
          </w:rPr>
          <w:noBreakHyphen/>
          <w:t>16</w:t>
        </w:r>
      </w:hyperlink>
      <w:r w:rsidRPr="001A70EB">
        <w:rPr>
          <w:color w:val="242424"/>
        </w:rPr>
        <w:t>, para. 25.</w:t>
      </w:r>
    </w:p>
  </w:footnote>
  <w:footnote w:id="96">
    <w:p w14:paraId="3EE2A6FC"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Ibid., para. 26.</w:t>
      </w:r>
    </w:p>
  </w:footnote>
  <w:footnote w:id="97">
    <w:p w14:paraId="182CF594"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rPr>
          <w:lang w:bidi="he-IL"/>
        </w:rPr>
        <w:t xml:space="preserve">See </w:t>
      </w:r>
      <w:hyperlink r:id="rId111" w:history="1">
        <w:r w:rsidRPr="001A70EB">
          <w:rPr>
            <w:rStyle w:val="Hyperlink"/>
          </w:rPr>
          <w:t>https://www.haaretz.com/israel-news/2021-12-07/ty-article/.premium/demolition-orders-for-palestinians-in-west-banks-area-c-hit-five-year-record/0000017f-f234-d487-abff-f3fef38d0000</w:t>
        </w:r>
      </w:hyperlink>
      <w:r w:rsidRPr="001A70EB">
        <w:rPr>
          <w:lang w:bidi="he-IL"/>
        </w:rPr>
        <w:t>.</w:t>
      </w:r>
    </w:p>
  </w:footnote>
  <w:footnote w:id="98">
    <w:p w14:paraId="0FD5F50D"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12" w:history="1">
        <w:r w:rsidRPr="001A70EB">
          <w:rPr>
            <w:rStyle w:val="Hyperlink"/>
          </w:rPr>
          <w:t>A/HRC/43/67</w:t>
        </w:r>
      </w:hyperlink>
      <w:r w:rsidRPr="001A70EB">
        <w:rPr>
          <w:color w:val="242424"/>
        </w:rPr>
        <w:t>, para. 42.</w:t>
      </w:r>
    </w:p>
  </w:footnote>
  <w:footnote w:id="99">
    <w:p w14:paraId="1E26B5BD"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113" w:history="1">
        <w:r w:rsidRPr="001A70EB">
          <w:rPr>
            <w:rStyle w:val="Hyperlink"/>
          </w:rPr>
          <w:t>https://peacenow.org.il/en/jerusalem-municipal-data-reveals-stark-israeli-palestinian-discrepancy-in-construction-permits-in-jerusalem</w:t>
        </w:r>
      </w:hyperlink>
      <w:r w:rsidRPr="001A70EB">
        <w:t>.</w:t>
      </w:r>
    </w:p>
  </w:footnote>
  <w:footnote w:id="100">
    <w:p w14:paraId="4E16C81C"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Ibid.</w:t>
      </w:r>
    </w:p>
  </w:footnote>
  <w:footnote w:id="101">
    <w:p w14:paraId="5B07B9B4"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Information provided by OCHA</w:t>
      </w:r>
      <w:r w:rsidRPr="001A70EB">
        <w:t>.</w:t>
      </w:r>
    </w:p>
  </w:footnote>
  <w:footnote w:id="102">
    <w:p w14:paraId="526C1EE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14" w:history="1">
        <w:r w:rsidRPr="001A70EB">
          <w:rPr>
            <w:rStyle w:val="Hyperlink"/>
          </w:rPr>
          <w:t>A/HRC/43/67</w:t>
        </w:r>
      </w:hyperlink>
      <w:r w:rsidRPr="001A70EB">
        <w:rPr>
          <w:color w:val="242424"/>
        </w:rPr>
        <w:t>, para. 32.</w:t>
      </w:r>
    </w:p>
  </w:footnote>
  <w:footnote w:id="103">
    <w:p w14:paraId="18EB89EC"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Administrative Offenses Regulations 2018, and Planning and Building Law, art. 254 (9).</w:t>
      </w:r>
    </w:p>
  </w:footnote>
  <w:footnote w:id="104">
    <w:p w14:paraId="1F16E712"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15" w:history="1">
        <w:r w:rsidRPr="001A70EB">
          <w:rPr>
            <w:rStyle w:val="Hyperlink"/>
          </w:rPr>
          <w:t>A/77/493</w:t>
        </w:r>
      </w:hyperlink>
      <w:r w:rsidRPr="001A70EB">
        <w:t xml:space="preserve">, para. 17, and </w:t>
      </w:r>
      <w:hyperlink r:id="rId116" w:history="1">
        <w:r w:rsidRPr="001A70EB">
          <w:rPr>
            <w:rStyle w:val="Hyperlink"/>
          </w:rPr>
          <w:t>www.alhaq.org/advocacy/18827.html</w:t>
        </w:r>
      </w:hyperlink>
      <w:r w:rsidRPr="001A70EB">
        <w:rPr>
          <w:rFonts w:asciiTheme="majorBidi" w:hAnsiTheme="majorBidi" w:cstheme="majorBidi"/>
          <w:szCs w:val="18"/>
        </w:rPr>
        <w:t>.</w:t>
      </w:r>
    </w:p>
  </w:footnote>
  <w:footnote w:id="105">
    <w:p w14:paraId="4CAB6A31"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17" w:history="1">
        <w:r w:rsidRPr="001A70EB">
          <w:rPr>
            <w:rStyle w:val="Hyperlink"/>
          </w:rPr>
          <w:t>CCPR/C/ISR/CO/5</w:t>
        </w:r>
      </w:hyperlink>
      <w:r w:rsidRPr="001A70EB">
        <w:t>, para. 42.</w:t>
      </w:r>
    </w:p>
  </w:footnote>
  <w:footnote w:id="106">
    <w:p w14:paraId="6715ACAB"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118" w:history="1">
        <w:r w:rsidRPr="001A70EB">
          <w:rPr>
            <w:rStyle w:val="Hyperlink"/>
          </w:rPr>
          <w:t>https://www.adalah.org/uploads/oldfiles/Public/files/Discriminatory-Laws-Database/English/04-Absentees-Property-Law-1950.pdf</w:t>
        </w:r>
      </w:hyperlink>
      <w:r w:rsidRPr="001A70EB">
        <w:rPr>
          <w:rFonts w:asciiTheme="majorBidi" w:hAnsiTheme="majorBidi" w:cstheme="majorBidi"/>
          <w:szCs w:val="18"/>
        </w:rPr>
        <w:t>.</w:t>
      </w:r>
    </w:p>
  </w:footnote>
  <w:footnote w:id="107">
    <w:p w14:paraId="458E1847"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19" w:history="1">
        <w:r w:rsidRPr="001A70EB">
          <w:rPr>
            <w:rStyle w:val="Hyperlink"/>
          </w:rPr>
          <w:t>A/75/376</w:t>
        </w:r>
      </w:hyperlink>
      <w:r w:rsidRPr="001A70EB">
        <w:t xml:space="preserve">, para. 51, and </w:t>
      </w:r>
      <w:hyperlink r:id="rId120" w:history="1">
        <w:r w:rsidRPr="001A70EB">
          <w:rPr>
            <w:rStyle w:val="Hyperlink"/>
          </w:rPr>
          <w:t>A/70/351</w:t>
        </w:r>
      </w:hyperlink>
      <w:r w:rsidRPr="001A70EB">
        <w:t>, paras. 30 and 31.</w:t>
      </w:r>
    </w:p>
  </w:footnote>
  <w:footnote w:id="108">
    <w:p w14:paraId="774634CE"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21" w:history="1">
        <w:r w:rsidRPr="001A70EB">
          <w:rPr>
            <w:rStyle w:val="Hyperlink"/>
          </w:rPr>
          <w:t>A/75/376</w:t>
        </w:r>
      </w:hyperlink>
      <w:r w:rsidRPr="001A70EB">
        <w:t>, para. 51.</w:t>
      </w:r>
    </w:p>
  </w:footnote>
  <w:footnote w:id="109">
    <w:p w14:paraId="5B64BAF2"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 xml:space="preserve">Ibid.; see also </w:t>
      </w:r>
      <w:hyperlink r:id="rId122" w:history="1">
        <w:r w:rsidRPr="001A70EB">
          <w:rPr>
            <w:rStyle w:val="Hyperlink"/>
          </w:rPr>
          <w:t>https://law.acri.org.il/pdf/unsafe-space-en.pdf</w:t>
        </w:r>
      </w:hyperlink>
      <w:r w:rsidRPr="001A70EB">
        <w:t>, p. 35.</w:t>
      </w:r>
    </w:p>
  </w:footnote>
  <w:footnote w:id="110">
    <w:p w14:paraId="4264B659"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23" w:history="1">
        <w:r w:rsidRPr="001A70EB">
          <w:rPr>
            <w:rStyle w:val="Hyperlink"/>
          </w:rPr>
          <w:t>A/75/376</w:t>
        </w:r>
      </w:hyperlink>
      <w:r w:rsidRPr="001A70EB">
        <w:t xml:space="preserve">, para. 51, </w:t>
      </w:r>
      <w:hyperlink r:id="rId124" w:history="1">
        <w:r w:rsidRPr="001A70EB">
          <w:rPr>
            <w:rStyle w:val="Hyperlink"/>
          </w:rPr>
          <w:t>A/70/351</w:t>
        </w:r>
      </w:hyperlink>
      <w:r w:rsidRPr="001A70EB">
        <w:t xml:space="preserve">, paras. 29–36 and 49–51, and </w:t>
      </w:r>
      <w:hyperlink r:id="rId125" w:history="1">
        <w:r w:rsidRPr="001A70EB">
          <w:rPr>
            <w:rStyle w:val="Hyperlink"/>
          </w:rPr>
          <w:t>A/HRC/34/39</w:t>
        </w:r>
      </w:hyperlink>
      <w:r w:rsidRPr="001A70EB">
        <w:t>, para. 46.</w:t>
      </w:r>
    </w:p>
  </w:footnote>
  <w:footnote w:id="111">
    <w:p w14:paraId="2CB4456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The </w:t>
      </w:r>
      <w:r w:rsidRPr="001A70EB">
        <w:t xml:space="preserve">Hague Regulations, art. 46, and </w:t>
      </w:r>
      <w:hyperlink r:id="rId126" w:history="1">
        <w:r w:rsidRPr="001A70EB">
          <w:rPr>
            <w:rStyle w:val="Hyperlink"/>
          </w:rPr>
          <w:t>A/75/376</w:t>
        </w:r>
      </w:hyperlink>
      <w:r w:rsidRPr="001A70EB">
        <w:t>, para. 51.</w:t>
      </w:r>
    </w:p>
  </w:footnote>
  <w:footnote w:id="112">
    <w:p w14:paraId="1AD76EC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27" w:history="1">
        <w:r w:rsidRPr="001A70EB">
          <w:rPr>
            <w:rStyle w:val="Hyperlink"/>
          </w:rPr>
          <w:t>A/HRC/49/85</w:t>
        </w:r>
      </w:hyperlink>
      <w:r w:rsidRPr="001A70EB">
        <w:t>, para. 25.</w:t>
      </w:r>
    </w:p>
  </w:footnote>
  <w:footnote w:id="113">
    <w:p w14:paraId="55C20436"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128" w:history="1">
        <w:r w:rsidRPr="001A70EB">
          <w:rPr>
            <w:rStyle w:val="Hyperlink"/>
          </w:rPr>
          <w:t>https://mailchi.mp/ir-amim/strategic-bloc-of-land-between-east-jerusalem-abu-dis-covertly-transferred-into-state-hands-in-parallel-to-completion-of-land-registration?e=5dfcd834de</w:t>
        </w:r>
      </w:hyperlink>
      <w:r w:rsidRPr="001A70EB">
        <w:rPr>
          <w:rFonts w:asciiTheme="majorBidi" w:hAnsiTheme="majorBidi" w:cstheme="majorBidi"/>
          <w:szCs w:val="18"/>
        </w:rPr>
        <w:t>.</w:t>
      </w:r>
    </w:p>
  </w:footnote>
  <w:footnote w:id="114">
    <w:p w14:paraId="0F287ABD"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129" w:history="1">
        <w:r w:rsidRPr="001A70EB">
          <w:rPr>
            <w:rStyle w:val="Hyperlink"/>
          </w:rPr>
          <w:t>https://www.ir-amim.org.il/sites/default/files/Settlement%20of%20Title%20in%20East%20Jerusalem%20March%202022.pdf</w:t>
        </w:r>
      </w:hyperlink>
      <w:r w:rsidRPr="001A70EB">
        <w:rPr>
          <w:rFonts w:eastAsia="Calibri"/>
        </w:rPr>
        <w:t>.</w:t>
      </w:r>
    </w:p>
  </w:footnote>
  <w:footnote w:id="115">
    <w:p w14:paraId="1EF96673"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30" w:history="1">
        <w:r w:rsidRPr="001A70EB">
          <w:rPr>
            <w:rStyle w:val="Hyperlink"/>
          </w:rPr>
          <w:t>A/HRC/40/42</w:t>
        </w:r>
      </w:hyperlink>
      <w:r w:rsidRPr="001A70EB">
        <w:t>, para. 24.</w:t>
      </w:r>
    </w:p>
  </w:footnote>
  <w:footnote w:id="116">
    <w:p w14:paraId="60DC0FAF" w14:textId="3666FB6C"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31" w:history="1">
        <w:r w:rsidRPr="001A70EB">
          <w:rPr>
            <w:rStyle w:val="Hyperlink"/>
          </w:rPr>
          <w:t>A/77/493</w:t>
        </w:r>
      </w:hyperlink>
      <w:r w:rsidRPr="001A70EB">
        <w:t xml:space="preserve">, paras. 33–40, </w:t>
      </w:r>
      <w:hyperlink r:id="rId132" w:history="1">
        <w:r w:rsidRPr="001A70EB">
          <w:rPr>
            <w:rStyle w:val="Hyperlink"/>
          </w:rPr>
          <w:t>A/HRC/49/85</w:t>
        </w:r>
      </w:hyperlink>
      <w:r w:rsidRPr="001A70EB">
        <w:t xml:space="preserve">, paras. 13–19, </w:t>
      </w:r>
      <w:hyperlink r:id="rId133" w:history="1">
        <w:r w:rsidRPr="001A70EB">
          <w:rPr>
            <w:rStyle w:val="Hyperlink"/>
          </w:rPr>
          <w:t>A/76/336</w:t>
        </w:r>
      </w:hyperlink>
      <w:r w:rsidRPr="001A70EB">
        <w:t xml:space="preserve">, paras. 17–23, and </w:t>
      </w:r>
      <w:hyperlink r:id="rId134" w:history="1">
        <w:r w:rsidRPr="001A70EB">
          <w:rPr>
            <w:rStyle w:val="Hyperlink"/>
          </w:rPr>
          <w:t>A/75/376</w:t>
        </w:r>
      </w:hyperlink>
      <w:r w:rsidRPr="001A70EB">
        <w:t>, para. 17.</w:t>
      </w:r>
    </w:p>
  </w:footnote>
  <w:footnote w:id="117">
    <w:p w14:paraId="7552987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35" w:history="1">
        <w:r w:rsidRPr="001A70EB">
          <w:rPr>
            <w:rStyle w:val="Hyperlink"/>
          </w:rPr>
          <w:t>A/76/336</w:t>
        </w:r>
      </w:hyperlink>
      <w:r w:rsidRPr="001A70EB">
        <w:t xml:space="preserve">, para. 19, and </w:t>
      </w:r>
      <w:hyperlink r:id="rId136" w:history="1">
        <w:r w:rsidRPr="001A70EB">
          <w:rPr>
            <w:rStyle w:val="Hyperlink"/>
          </w:rPr>
          <w:t>A/HRC/40/42</w:t>
        </w:r>
      </w:hyperlink>
      <w:r w:rsidRPr="001A70EB">
        <w:t>, para. 24.</w:t>
      </w:r>
    </w:p>
  </w:footnote>
  <w:footnote w:id="118">
    <w:p w14:paraId="7CB02302"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37" w:history="1">
        <w:r w:rsidRPr="001A70EB">
          <w:rPr>
            <w:rStyle w:val="Hyperlink"/>
          </w:rPr>
          <w:t>A/HRC/40/42</w:t>
        </w:r>
      </w:hyperlink>
      <w:r w:rsidRPr="001A70EB">
        <w:t>, para. 48.</w:t>
      </w:r>
    </w:p>
  </w:footnote>
  <w:footnote w:id="119">
    <w:p w14:paraId="0C3C07D4" w14:textId="77777777" w:rsidR="00F6262F" w:rsidRPr="001A70EB" w:rsidRDefault="00F6262F" w:rsidP="00F6262F">
      <w:pPr>
        <w:pStyle w:val="FootnoteText"/>
      </w:pPr>
      <w:r w:rsidRPr="001A70EB">
        <w:tab/>
      </w:r>
      <w:r w:rsidRPr="001A70EB">
        <w:rPr>
          <w:rStyle w:val="FootnoteReference"/>
        </w:rPr>
        <w:footnoteRef/>
      </w:r>
      <w:r w:rsidRPr="001A70EB">
        <w:tab/>
      </w:r>
      <w:hyperlink r:id="rId138" w:history="1">
        <w:r w:rsidRPr="001A70EB">
          <w:rPr>
            <w:rStyle w:val="Hyperlink"/>
          </w:rPr>
          <w:t>A/75/376</w:t>
        </w:r>
      </w:hyperlink>
      <w:r w:rsidRPr="001A70EB">
        <w:t>, para. 21.</w:t>
      </w:r>
    </w:p>
  </w:footnote>
  <w:footnote w:id="120">
    <w:p w14:paraId="76050C7B"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39" w:history="1">
        <w:r w:rsidRPr="001A70EB">
          <w:rPr>
            <w:rStyle w:val="Hyperlink"/>
          </w:rPr>
          <w:t>A/HRC/40/42</w:t>
        </w:r>
      </w:hyperlink>
      <w:r w:rsidRPr="001A70EB">
        <w:t xml:space="preserve">, paras. 48–49, </w:t>
      </w:r>
      <w:hyperlink r:id="rId140" w:history="1">
        <w:r w:rsidRPr="001A70EB">
          <w:rPr>
            <w:rStyle w:val="Hyperlink"/>
          </w:rPr>
          <w:t>A/77/493</w:t>
        </w:r>
      </w:hyperlink>
      <w:r w:rsidRPr="001A70EB">
        <w:t xml:space="preserve">, para. 28, and </w:t>
      </w:r>
      <w:hyperlink r:id="rId141" w:history="1">
        <w:r w:rsidRPr="001A70EB">
          <w:rPr>
            <w:rStyle w:val="Hyperlink"/>
          </w:rPr>
          <w:t>A/HRC/46/63</w:t>
        </w:r>
      </w:hyperlink>
      <w:r w:rsidRPr="001A70EB">
        <w:t>.</w:t>
      </w:r>
    </w:p>
  </w:footnote>
  <w:footnote w:id="121">
    <w:p w14:paraId="3ABCBAED"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OCHA </w:t>
      </w:r>
      <w:r w:rsidRPr="001A70EB">
        <w:t xml:space="preserve">began tracking this behaviour in 2005; see also </w:t>
      </w:r>
      <w:hyperlink r:id="rId142" w:anchor="ftn_ref5" w:history="1">
        <w:r w:rsidRPr="001A70EB">
          <w:rPr>
            <w:rStyle w:val="Hyperlink"/>
          </w:rPr>
          <w:t>www.ochaopt.org/content/palestinians-resisting-forcible-transfer-masaffer-yatta#ftn_ref5</w:t>
        </w:r>
      </w:hyperlink>
      <w:r w:rsidRPr="001A70EB">
        <w:t>.</w:t>
      </w:r>
    </w:p>
  </w:footnote>
  <w:footnote w:id="122">
    <w:p w14:paraId="755BF3D4"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43" w:history="1">
        <w:r w:rsidRPr="001A70EB">
          <w:rPr>
            <w:rStyle w:val="Hyperlink"/>
          </w:rPr>
          <w:t>A/77/493</w:t>
        </w:r>
      </w:hyperlink>
      <w:r w:rsidRPr="001A70EB">
        <w:t xml:space="preserve">, paras. 33–40, </w:t>
      </w:r>
      <w:hyperlink r:id="rId144" w:history="1">
        <w:r w:rsidRPr="001A70EB">
          <w:rPr>
            <w:rStyle w:val="Hyperlink"/>
          </w:rPr>
          <w:t>A/HRC/49/85</w:t>
        </w:r>
      </w:hyperlink>
      <w:r w:rsidRPr="001A70EB">
        <w:t xml:space="preserve">, paras. 13–19, </w:t>
      </w:r>
      <w:hyperlink r:id="rId145" w:history="1">
        <w:r w:rsidRPr="001A70EB">
          <w:rPr>
            <w:rStyle w:val="Hyperlink"/>
          </w:rPr>
          <w:t>A/76/336</w:t>
        </w:r>
      </w:hyperlink>
      <w:r w:rsidRPr="001A70EB">
        <w:t xml:space="preserve">, paras. 17–23, and </w:t>
      </w:r>
      <w:hyperlink r:id="rId146" w:history="1">
        <w:r w:rsidRPr="001A70EB">
          <w:rPr>
            <w:rStyle w:val="Hyperlink"/>
          </w:rPr>
          <w:t>A/75/376</w:t>
        </w:r>
      </w:hyperlink>
      <w:r w:rsidRPr="001A70EB">
        <w:t>, para. 17.</w:t>
      </w:r>
    </w:p>
  </w:footnote>
  <w:footnote w:id="123">
    <w:p w14:paraId="63A61522" w14:textId="7A07F14E"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147" w:history="1">
        <w:r w:rsidRPr="001A70EB">
          <w:rPr>
            <w:rStyle w:val="Hyperlink"/>
          </w:rPr>
          <w:t>https://twitter.com/Yesh_Din/status/1583459965846818817</w:t>
        </w:r>
      </w:hyperlink>
      <w:r w:rsidRPr="001A70EB">
        <w:rPr>
          <w:rFonts w:asciiTheme="majorBidi" w:hAnsiTheme="majorBidi" w:cstheme="majorBidi"/>
          <w:szCs w:val="18"/>
        </w:rPr>
        <w:t>.</w:t>
      </w:r>
    </w:p>
  </w:footnote>
  <w:footnote w:id="124">
    <w:p w14:paraId="7585A2C6" w14:textId="1DC1463B"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t>See</w:t>
        </w:r>
        <w:r w:rsidRPr="001A70EB">
          <w:rPr>
            <w:rStyle w:val="Hyperlink"/>
          </w:rPr>
          <w:t xml:space="preserve"> </w:t>
        </w:r>
      </w:hyperlink>
      <w:hyperlink r:id="rId148" w:history="1">
        <w:r w:rsidRPr="001A70EB">
          <w:rPr>
            <w:rStyle w:val="Hyperlink"/>
          </w:rPr>
          <w:t>https://www.haaretz.com/middle-east-news/palestinians/2022-10-26/ty-article/.premium/israeli-army-suspends-official-who-helped-settlers-throw-gas-grenades-on-palestinians/00000184-12bd-df0c-a1dc-b3bfaa230000</w:t>
        </w:r>
      </w:hyperlink>
      <w:r w:rsidRPr="001A70EB">
        <w:rPr>
          <w:rFonts w:asciiTheme="majorBidi" w:hAnsiTheme="majorBidi" w:cstheme="majorBidi"/>
          <w:szCs w:val="18"/>
        </w:rPr>
        <w:t>.</w:t>
      </w:r>
    </w:p>
  </w:footnote>
  <w:footnote w:id="125">
    <w:p w14:paraId="22C27593" w14:textId="1AB019E1"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w:t>
        </w:r>
      </w:hyperlink>
      <w:r w:rsidRPr="001A70EB">
        <w:t xml:space="preserve"> </w:t>
      </w:r>
      <w:hyperlink r:id="rId149" w:history="1">
        <w:r w:rsidRPr="001A70EB">
          <w:rPr>
            <w:rStyle w:val="Hyperlink"/>
          </w:rPr>
          <w:t>https://www.haaretz.com/israel-news/2022-10-31/ty-article/.premium/israeli-army-reinstates-official-who-helped-settlers-tear-gas-palestinians/00000184-2d71-dc27-a19c-aff3aea20000</w:t>
        </w:r>
      </w:hyperlink>
      <w:r w:rsidRPr="001A70EB">
        <w:rPr>
          <w:rFonts w:asciiTheme="majorBidi" w:hAnsiTheme="majorBidi" w:cstheme="majorBidi"/>
          <w:szCs w:val="18"/>
        </w:rPr>
        <w:t>.</w:t>
      </w:r>
    </w:p>
  </w:footnote>
  <w:footnote w:id="126">
    <w:p w14:paraId="192554C2" w14:textId="70DD9B69"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50" w:history="1">
        <w:r w:rsidRPr="001A70EB">
          <w:rPr>
            <w:rStyle w:val="Hyperlink"/>
          </w:rPr>
          <w:t>A/HRC/49/85</w:t>
        </w:r>
      </w:hyperlink>
      <w:r w:rsidRPr="001A70EB">
        <w:t>, paras. 15 and 16.</w:t>
      </w:r>
    </w:p>
  </w:footnote>
  <w:footnote w:id="127">
    <w:p w14:paraId="48314D79"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51" w:history="1">
        <w:r w:rsidRPr="001A70EB">
          <w:rPr>
            <w:rStyle w:val="Hyperlink"/>
          </w:rPr>
          <w:t>A/77/493</w:t>
        </w:r>
      </w:hyperlink>
      <w:r w:rsidRPr="001A70EB">
        <w:rPr>
          <w:color w:val="000000"/>
          <w:bdr w:val="none" w:sz="0" w:space="0" w:color="auto" w:frame="1"/>
        </w:rPr>
        <w:t>, para. 40.</w:t>
      </w:r>
    </w:p>
  </w:footnote>
  <w:footnote w:id="128">
    <w:p w14:paraId="2676013C"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rPr>
          <w:color w:val="000000"/>
          <w:bdr w:val="none" w:sz="0" w:space="0" w:color="auto" w:frame="1"/>
        </w:rPr>
        <w:t>Ibid.</w:t>
      </w:r>
    </w:p>
  </w:footnote>
  <w:footnote w:id="129">
    <w:p w14:paraId="181A3251"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52" w:history="1">
        <w:r w:rsidRPr="001A70EB">
          <w:rPr>
            <w:rStyle w:val="Hyperlink"/>
          </w:rPr>
          <w:t>A/77/493</w:t>
        </w:r>
      </w:hyperlink>
      <w:r w:rsidRPr="001A70EB">
        <w:t>, para. 36.</w:t>
      </w:r>
    </w:p>
  </w:footnote>
  <w:footnote w:id="130">
    <w:p w14:paraId="400906E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53" w:history="1">
        <w:r w:rsidRPr="001A70EB">
          <w:rPr>
            <w:rStyle w:val="Hyperlink"/>
          </w:rPr>
          <w:t>A/77/493</w:t>
        </w:r>
      </w:hyperlink>
      <w:r w:rsidRPr="001A70EB">
        <w:t xml:space="preserve">, para. 35, </w:t>
      </w:r>
      <w:hyperlink r:id="rId154" w:history="1">
        <w:r w:rsidRPr="001A70EB">
          <w:rPr>
            <w:rStyle w:val="Hyperlink"/>
          </w:rPr>
          <w:t>A/76/336</w:t>
        </w:r>
      </w:hyperlink>
      <w:r w:rsidRPr="001A70EB">
        <w:t xml:space="preserve">, para. 44, </w:t>
      </w:r>
      <w:hyperlink r:id="rId155" w:history="1">
        <w:r w:rsidRPr="001A70EB">
          <w:rPr>
            <w:rStyle w:val="Hyperlink"/>
          </w:rPr>
          <w:t>A/HRC/49/85</w:t>
        </w:r>
      </w:hyperlink>
      <w:r w:rsidRPr="001A70EB">
        <w:t xml:space="preserve">, para. 54, and </w:t>
      </w:r>
      <w:hyperlink r:id="rId156" w:history="1">
        <w:r w:rsidRPr="001A70EB">
          <w:rPr>
            <w:rStyle w:val="Hyperlink"/>
          </w:rPr>
          <w:t>S/2022/504</w:t>
        </w:r>
      </w:hyperlink>
      <w:r w:rsidRPr="001A70EB">
        <w:t>.</w:t>
      </w:r>
    </w:p>
  </w:footnote>
  <w:footnote w:id="131">
    <w:p w14:paraId="355A653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57" w:history="1">
        <w:r w:rsidRPr="001A70EB">
          <w:rPr>
            <w:rStyle w:val="Hyperlink"/>
          </w:rPr>
          <w:t>A/HRC/49/85</w:t>
        </w:r>
      </w:hyperlink>
      <w:r w:rsidRPr="001A70EB">
        <w:t xml:space="preserve">, sect. IV, </w:t>
      </w:r>
      <w:hyperlink r:id="rId158" w:history="1">
        <w:r w:rsidRPr="001A70EB">
          <w:rPr>
            <w:rStyle w:val="Hyperlink"/>
          </w:rPr>
          <w:t>A/77/493</w:t>
        </w:r>
      </w:hyperlink>
      <w:r w:rsidRPr="001A70EB">
        <w:t xml:space="preserve">, para. 33, and </w:t>
      </w:r>
      <w:hyperlink r:id="rId159" w:history="1">
        <w:r w:rsidRPr="001A70EB">
          <w:rPr>
            <w:rStyle w:val="Hyperlink"/>
          </w:rPr>
          <w:t>A/HRC/49/85</w:t>
        </w:r>
      </w:hyperlink>
      <w:r w:rsidRPr="001A70EB">
        <w:t>, para. 41.</w:t>
      </w:r>
    </w:p>
  </w:footnote>
  <w:footnote w:id="132">
    <w:p w14:paraId="67EAE47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Universal Declaration of Human Rights</w:t>
      </w:r>
      <w:r w:rsidRPr="001A70EB">
        <w:t>, arts. 19 and 20; International Covenant on Civil and Political Rights, arts. 6 (1), 9 (1), 19 and 22; Hague Regulations of 1907, art. 46; and Fourth Geneva Convention, art. 27.</w:t>
      </w:r>
    </w:p>
  </w:footnote>
  <w:footnote w:id="133">
    <w:p w14:paraId="394CC855" w14:textId="05BA593B"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160" w:history="1">
        <w:r w:rsidRPr="001A70EB">
          <w:rPr>
            <w:rStyle w:val="Hyperlink"/>
          </w:rPr>
          <w:t>https://ihl-databases.icrc.org/en/ihl-treaties/gciv-1949</w:t>
        </w:r>
      </w:hyperlink>
      <w:r w:rsidRPr="001A70EB">
        <w:t>, art. 147.</w:t>
      </w:r>
    </w:p>
  </w:footnote>
  <w:footnote w:id="134">
    <w:p w14:paraId="51AE49CE"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61" w:history="1">
        <w:r w:rsidRPr="001A70EB">
          <w:rPr>
            <w:rStyle w:val="Hyperlink"/>
          </w:rPr>
          <w:t>A/77/493</w:t>
        </w:r>
      </w:hyperlink>
      <w:r w:rsidRPr="001A70EB">
        <w:t xml:space="preserve">, para. 78 (d), </w:t>
      </w:r>
      <w:hyperlink r:id="rId162" w:history="1">
        <w:r w:rsidRPr="001A70EB">
          <w:rPr>
            <w:rStyle w:val="Hyperlink"/>
          </w:rPr>
          <w:t>A/77/493</w:t>
        </w:r>
      </w:hyperlink>
      <w:r w:rsidRPr="001A70EB">
        <w:t xml:space="preserve">, para. 46, </w:t>
      </w:r>
      <w:hyperlink r:id="rId163" w:history="1">
        <w:r w:rsidRPr="001A70EB">
          <w:rPr>
            <w:rStyle w:val="Hyperlink"/>
          </w:rPr>
          <w:t>A/76/336</w:t>
        </w:r>
      </w:hyperlink>
      <w:r w:rsidRPr="001A70EB">
        <w:t xml:space="preserve">, para. 26, and </w:t>
      </w:r>
      <w:hyperlink r:id="rId164" w:history="1">
        <w:r w:rsidRPr="001A70EB">
          <w:rPr>
            <w:rStyle w:val="Hyperlink"/>
          </w:rPr>
          <w:t>A/HRC/49/85</w:t>
        </w:r>
      </w:hyperlink>
      <w:r w:rsidRPr="001A70EB">
        <w:t>, paras. 20–22.</w:t>
      </w:r>
    </w:p>
  </w:footnote>
  <w:footnote w:id="135">
    <w:p w14:paraId="26525761" w14:textId="58FDDEEF" w:rsidR="00F6262F" w:rsidRPr="001A70EB" w:rsidRDefault="00F6262F" w:rsidP="00F6262F">
      <w:pPr>
        <w:pStyle w:val="FootnoteText"/>
        <w:rPr>
          <w:szCs w:val="18"/>
        </w:rPr>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65" w:history="1">
        <w:r w:rsidRPr="001A70EB">
          <w:rPr>
            <w:rStyle w:val="Hyperlink"/>
          </w:rPr>
          <w:t>CCPR/C/ISR/CO/5</w:t>
        </w:r>
      </w:hyperlink>
      <w:r w:rsidRPr="001A70EB">
        <w:rPr>
          <w:rFonts w:asciiTheme="majorBidi" w:hAnsiTheme="majorBidi" w:cstheme="majorBidi"/>
          <w:szCs w:val="18"/>
        </w:rPr>
        <w:t>, paras. 24, 26 and 27.</w:t>
      </w:r>
    </w:p>
  </w:footnote>
  <w:footnote w:id="136">
    <w:p w14:paraId="3FEEDB29"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66" w:history="1">
        <w:r w:rsidRPr="001A70EB">
          <w:rPr>
            <w:rStyle w:val="Hyperlink"/>
          </w:rPr>
          <w:t>A/76/336</w:t>
        </w:r>
      </w:hyperlink>
      <w:r w:rsidRPr="001A70EB">
        <w:t>, para. 31.</w:t>
      </w:r>
    </w:p>
  </w:footnote>
  <w:footnote w:id="137">
    <w:p w14:paraId="495A9334"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67" w:history="1">
        <w:r w:rsidRPr="001A70EB">
          <w:rPr>
            <w:rStyle w:val="Hyperlink"/>
          </w:rPr>
          <w:t>A/77/493</w:t>
        </w:r>
      </w:hyperlink>
      <w:r w:rsidRPr="001A70EB">
        <w:t xml:space="preserve">, para. 47; </w:t>
      </w:r>
      <w:hyperlink r:id="rId168" w:history="1">
        <w:r w:rsidRPr="001A70EB">
          <w:rPr>
            <w:rStyle w:val="Hyperlink"/>
          </w:rPr>
          <w:t>A/76/336</w:t>
        </w:r>
      </w:hyperlink>
      <w:r w:rsidRPr="001A70EB">
        <w:t xml:space="preserve">, para. 31; and </w:t>
      </w:r>
      <w:hyperlink r:id="rId169" w:history="1">
        <w:r w:rsidRPr="001A70EB">
          <w:rPr>
            <w:rStyle w:val="Hyperlink"/>
          </w:rPr>
          <w:t>A/HRC/49/85</w:t>
        </w:r>
      </w:hyperlink>
      <w:r w:rsidRPr="001A70EB">
        <w:t>, para. 23.</w:t>
      </w:r>
    </w:p>
  </w:footnote>
  <w:footnote w:id="138">
    <w:p w14:paraId="32CE0D87"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www.btselem.org/sites/default/files/publications/202111_state_business_eng.pdf</w:t>
        </w:r>
      </w:hyperlink>
      <w:r w:rsidRPr="001A70EB">
        <w:t>.</w:t>
      </w:r>
    </w:p>
  </w:footnote>
  <w:footnote w:id="139">
    <w:p w14:paraId="25E9D381"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70" w:history="1">
        <w:r w:rsidRPr="001A70EB">
          <w:rPr>
            <w:rStyle w:val="Hyperlink"/>
          </w:rPr>
          <w:t>http://www.gov.il/BlobFolder/dynamiccollectorresultitem/hr-0007/he/human-rights-replay_investigation-and-prosecutionof-offences-against-palestinians.pdf</w:t>
        </w:r>
      </w:hyperlink>
      <w:r w:rsidRPr="001A70EB">
        <w:t>, March 2022.</w:t>
      </w:r>
    </w:p>
  </w:footnote>
  <w:footnote w:id="140">
    <w:p w14:paraId="1663BF14"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www.timesofisrael.com/coalition-members-condemn-settler-attack-with-some-calling-to-raze-outposts/</w:t>
        </w:r>
      </w:hyperlink>
      <w:r w:rsidRPr="001A70EB">
        <w:rPr>
          <w:rFonts w:asciiTheme="majorBidi" w:hAnsiTheme="majorBidi" w:cstheme="majorBidi"/>
          <w:szCs w:val="18"/>
        </w:rPr>
        <w:t>.</w:t>
      </w:r>
    </w:p>
  </w:footnote>
  <w:footnote w:id="141">
    <w:p w14:paraId="0BA6131F"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w:t>
        </w:r>
      </w:hyperlink>
      <w:r w:rsidRPr="001A70EB">
        <w:t>.</w:t>
      </w:r>
      <w:hyperlink r:id="rId171" w:history="1">
        <w:r w:rsidRPr="001A70EB">
          <w:rPr>
            <w:rStyle w:val="Hyperlink"/>
          </w:rPr>
          <w:t>haaretz.com/israel-news/2022-08-25/ty-article/.premium/israel-closes-case-against-settler-suspected-of-fatally-stabbing-palestinian/00000182-d597-d972-a7d6-dd9f49470000</w:t>
        </w:r>
      </w:hyperlink>
      <w:r w:rsidRPr="001A70EB">
        <w:t>.</w:t>
      </w:r>
    </w:p>
  </w:footnote>
  <w:footnote w:id="142">
    <w:p w14:paraId="7D38503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w:t>
        </w:r>
      </w:hyperlink>
      <w:r w:rsidRPr="001A70EB">
        <w:t>.</w:t>
      </w:r>
      <w:hyperlink r:id="rId172" w:history="1">
        <w:r w:rsidRPr="001A70EB">
          <w:rPr>
            <w:rStyle w:val="Hyperlink"/>
          </w:rPr>
          <w:t>haaretz.com/israel-news/2022-11-29/ty-article-magazine/.premium/witnesses-werent-questioned-and-cases-were-closed-the-palestinian-villagers-seek-justice/00000184-be27-d05a-a3b4-ff674bb30000</w:t>
        </w:r>
      </w:hyperlink>
      <w:r w:rsidRPr="001A70EB">
        <w:t>.</w:t>
      </w:r>
    </w:p>
  </w:footnote>
  <w:footnote w:id="143">
    <w:p w14:paraId="746A6AE1"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73" w:history="1">
        <w:r w:rsidRPr="001A70EB">
          <w:rPr>
            <w:rStyle w:val="Hyperlink"/>
          </w:rPr>
          <w:t>A/HRC/49/85</w:t>
        </w:r>
      </w:hyperlink>
      <w:r w:rsidRPr="001A70EB">
        <w:t>, para. 22.</w:t>
      </w:r>
    </w:p>
  </w:footnote>
  <w:footnote w:id="144">
    <w:p w14:paraId="3193215E" w14:textId="77777777" w:rsidR="00F6262F" w:rsidRPr="001A70EB" w:rsidRDefault="00F6262F" w:rsidP="00F6262F">
      <w:pPr>
        <w:pStyle w:val="FootnoteText"/>
        <w:rPr>
          <w:color w:val="000000" w:themeColor="text1"/>
        </w:rPr>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74" w:history="1">
        <w:r w:rsidRPr="001A70EB">
          <w:rPr>
            <w:rStyle w:val="Hyperlink"/>
          </w:rPr>
          <w:t>http://www.gov.il/BlobFolder/dynamiccollectorresultitem/hr-0007/he/human-rights-replay_investigation-and-prosecutionof-offences-against-palestinians.pdf</w:t>
        </w:r>
      </w:hyperlink>
      <w:r w:rsidRPr="001A70EB">
        <w:rPr>
          <w:color w:val="000000" w:themeColor="text1"/>
        </w:rPr>
        <w:t>.</w:t>
      </w:r>
    </w:p>
  </w:footnote>
  <w:footnote w:id="145">
    <w:p w14:paraId="7473CEB7" w14:textId="77777777" w:rsidR="00F6262F" w:rsidRPr="001A70EB" w:rsidRDefault="00F6262F" w:rsidP="00F6262F">
      <w:pPr>
        <w:pStyle w:val="FootnoteText"/>
        <w:rPr>
          <w:color w:val="000000" w:themeColor="text1"/>
        </w:rPr>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Information provided by OCHA</w:t>
      </w:r>
      <w:r w:rsidRPr="001A70EB">
        <w:rPr>
          <w:color w:val="000000" w:themeColor="text1"/>
        </w:rPr>
        <w:t>.</w:t>
      </w:r>
    </w:p>
  </w:footnote>
  <w:footnote w:id="146">
    <w:p w14:paraId="19CE2BD5" w14:textId="77777777" w:rsidR="00F6262F" w:rsidRPr="001A70EB" w:rsidRDefault="00F6262F" w:rsidP="00F6262F">
      <w:pPr>
        <w:pStyle w:val="FootnoteText"/>
        <w:rPr>
          <w:color w:val="000000" w:themeColor="text1"/>
        </w:rPr>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www.yesh-din.org/en/data-sheet-december-2021-law-enforcement-on-israeli-civilians-in-the-west-bank-settler-violence/</w:t>
        </w:r>
      </w:hyperlink>
      <w:r w:rsidRPr="001A70EB">
        <w:rPr>
          <w:rFonts w:asciiTheme="majorBidi" w:hAnsiTheme="majorBidi" w:cstheme="majorBidi"/>
          <w:szCs w:val="18"/>
        </w:rPr>
        <w:t>.</w:t>
      </w:r>
      <w:r w:rsidRPr="001A70EB">
        <w:fldChar w:fldCharType="begin"/>
      </w:r>
      <w:r w:rsidRPr="001A70EB">
        <w:instrText>https://www.yesh-din.org/en/data-sheet-december-2021-law-enforcement-on-israeli-civilians-in-the-west-bank-settler-violence/"</w:instrText>
      </w:r>
      <w:r w:rsidRPr="001A70EB">
        <w:fldChar w:fldCharType="separate"/>
      </w:r>
      <w:r w:rsidRPr="001A70EB">
        <w:rPr>
          <w:rFonts w:asciiTheme="majorBidi" w:hAnsiTheme="majorBidi" w:cstheme="majorBidi"/>
          <w:szCs w:val="18"/>
        </w:rPr>
        <w:t>https://www.yesh-din.org/en/data-sheet-december-2021-law-enforcement-on-israeli-civilians-in-the-west-bank-settler-violence/</w:t>
      </w:r>
      <w:r w:rsidRPr="001A70EB">
        <w:rPr>
          <w:rFonts w:asciiTheme="majorBidi" w:hAnsiTheme="majorBidi" w:cstheme="majorBidi"/>
          <w:szCs w:val="18"/>
        </w:rPr>
        <w:fldChar w:fldCharType="end"/>
      </w:r>
    </w:p>
  </w:footnote>
  <w:footnote w:id="147">
    <w:p w14:paraId="15744CD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rPr>
          <w:color w:val="000000" w:themeColor="text1"/>
          <w:bdr w:val="none" w:sz="0" w:space="0" w:color="auto" w:frame="1"/>
        </w:rPr>
        <w:t xml:space="preserve">See </w:t>
      </w:r>
      <w:hyperlink r:id="rId175" w:history="1">
        <w:r w:rsidRPr="001A70EB">
          <w:rPr>
            <w:rStyle w:val="Hyperlink"/>
          </w:rPr>
          <w:t>www.haaretz.com/israel-news/2022-02-07/ty-article-magazine/.premium/charges-are-pressed-in-just-4-of-settler-violence-cases/0000017f-e826-df2c-a1ff-fe77f5090000</w:t>
        </w:r>
      </w:hyperlink>
      <w:r w:rsidRPr="001A70EB">
        <w:rPr>
          <w:color w:val="000000" w:themeColor="text1"/>
          <w:bdr w:val="none" w:sz="0" w:space="0" w:color="auto" w:frame="1"/>
        </w:rPr>
        <w:t>.</w:t>
      </w:r>
    </w:p>
  </w:footnote>
  <w:footnote w:id="148">
    <w:p w14:paraId="29B4B25E"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 xml:space="preserve">See </w:t>
      </w:r>
      <w:hyperlink r:id="rId176" w:history="1">
        <w:r w:rsidRPr="001A70EB">
          <w:rPr>
            <w:rStyle w:val="Hyperlink"/>
          </w:rPr>
          <w:t>www.haaretz.com/israel-news/2022-04-25/ty-article-magazine/.highlight/israels-other-justice-system-has-rules-of-its-own/00000180-6566-d824-ad9e-e7664fa10000</w:t>
        </w:r>
      </w:hyperlink>
      <w:r w:rsidRPr="001A70EB">
        <w:t>.</w:t>
      </w:r>
    </w:p>
  </w:footnote>
  <w:footnote w:id="149">
    <w:p w14:paraId="142B86F5"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77" w:history="1">
        <w:r w:rsidRPr="001A70EB">
          <w:rPr>
            <w:rStyle w:val="Hyperlink"/>
          </w:rPr>
          <w:t>A/HRC/43/67</w:t>
        </w:r>
      </w:hyperlink>
      <w:r w:rsidRPr="001A70EB">
        <w:t>, paras. 41–59.</w:t>
      </w:r>
    </w:p>
  </w:footnote>
  <w:footnote w:id="150">
    <w:p w14:paraId="64E5316E"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78" w:history="1">
        <w:r w:rsidRPr="001A70EB">
          <w:rPr>
            <w:rStyle w:val="Hyperlink"/>
          </w:rPr>
          <w:t>A/HRC/43/67</w:t>
        </w:r>
      </w:hyperlink>
      <w:r w:rsidRPr="001A70EB">
        <w:t>, paras. 37–40; Fourth Geneva Convention, arts. 49 (1) and 147; Rome Statute, art. 8 (2) (b) (viii); International Covenant on Economic, Social and Cultural Rights, art. 11; and Committee on Economic, Social and Cultural Rights, general comment No.7 (1997).</w:t>
      </w:r>
    </w:p>
  </w:footnote>
  <w:footnote w:id="151">
    <w:p w14:paraId="47A62D4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International Criminal Court, </w:t>
      </w:r>
      <w:r w:rsidRPr="001A70EB">
        <w:t>PCNICC/2000/1/Add.2; and International Tribunal for the Former Yugoslavia, Case No. IT-95-9-T, 17 October 2003, para. 130.</w:t>
      </w:r>
    </w:p>
  </w:footnote>
  <w:footnote w:id="152">
    <w:p w14:paraId="4D24520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79" w:history="1">
        <w:r w:rsidRPr="001A70EB">
          <w:rPr>
            <w:rStyle w:val="Hyperlink"/>
          </w:rPr>
          <w:t>A/HRC/43/67</w:t>
        </w:r>
      </w:hyperlink>
      <w:r w:rsidRPr="001A70EB">
        <w:t>, para. 38.</w:t>
      </w:r>
    </w:p>
  </w:footnote>
  <w:footnote w:id="153">
    <w:p w14:paraId="056C2187"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80" w:history="1">
        <w:r w:rsidRPr="001A70EB">
          <w:rPr>
            <w:rStyle w:val="Hyperlink"/>
          </w:rPr>
          <w:t>A/HRC/43/67</w:t>
        </w:r>
      </w:hyperlink>
      <w:r w:rsidRPr="001A70EB">
        <w:t xml:space="preserve">, para. 40, and </w:t>
      </w:r>
      <w:hyperlink r:id="rId181" w:history="1">
        <w:r w:rsidRPr="001A70EB">
          <w:rPr>
            <w:rStyle w:val="Hyperlink"/>
          </w:rPr>
          <w:t>A/HRC/34/39</w:t>
        </w:r>
      </w:hyperlink>
      <w:r w:rsidRPr="001A70EB">
        <w:t>, para. 42.</w:t>
      </w:r>
    </w:p>
  </w:footnote>
  <w:footnote w:id="154">
    <w:p w14:paraId="204EEDFE"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82" w:history="1">
        <w:r w:rsidRPr="001A70EB">
          <w:rPr>
            <w:rStyle w:val="Hyperlink"/>
          </w:rPr>
          <w:t>A/77/493</w:t>
        </w:r>
      </w:hyperlink>
      <w:r w:rsidRPr="001A70EB">
        <w:t xml:space="preserve">, paras. 17–27 and 48–76, </w:t>
      </w:r>
      <w:hyperlink r:id="rId183" w:history="1">
        <w:r w:rsidRPr="001A70EB">
          <w:rPr>
            <w:rStyle w:val="Hyperlink"/>
          </w:rPr>
          <w:t>A/76/336</w:t>
        </w:r>
      </w:hyperlink>
      <w:r w:rsidRPr="001A70EB">
        <w:t xml:space="preserve">, paras. 37–57, and </w:t>
      </w:r>
      <w:hyperlink r:id="rId184" w:history="1">
        <w:r w:rsidRPr="001A70EB">
          <w:rPr>
            <w:rStyle w:val="Hyperlink"/>
          </w:rPr>
          <w:t>A/HRC/49/85</w:t>
        </w:r>
      </w:hyperlink>
      <w:r w:rsidRPr="001A70EB">
        <w:t>, paras. 28–29.</w:t>
      </w:r>
    </w:p>
  </w:footnote>
  <w:footnote w:id="155">
    <w:p w14:paraId="0F0CFAB9"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85" w:history="1">
        <w:r w:rsidRPr="001A70EB">
          <w:rPr>
            <w:rStyle w:val="Hyperlink"/>
          </w:rPr>
          <w:t>A/77/493</w:t>
        </w:r>
      </w:hyperlink>
      <w:r w:rsidRPr="001A70EB">
        <w:t xml:space="preserve">, paras. 20 and 21, </w:t>
      </w:r>
      <w:hyperlink r:id="rId186" w:history="1">
        <w:r w:rsidRPr="001A70EB">
          <w:rPr>
            <w:rStyle w:val="Hyperlink"/>
          </w:rPr>
          <w:t>A/HRC/43/67</w:t>
        </w:r>
      </w:hyperlink>
      <w:r w:rsidRPr="001A70EB">
        <w:t xml:space="preserve">, para. 33, </w:t>
      </w:r>
      <w:hyperlink r:id="rId187" w:history="1">
        <w:r w:rsidRPr="001A70EB">
          <w:rPr>
            <w:rStyle w:val="Hyperlink"/>
          </w:rPr>
          <w:t>A/HRC/34/39</w:t>
        </w:r>
      </w:hyperlink>
      <w:r w:rsidRPr="001A70EB">
        <w:t xml:space="preserve">, para. 44, and </w:t>
      </w:r>
      <w:hyperlink r:id="rId188" w:history="1">
        <w:r w:rsidRPr="001A70EB">
          <w:rPr>
            <w:rStyle w:val="Hyperlink"/>
          </w:rPr>
          <w:t>A/72/564</w:t>
        </w:r>
      </w:hyperlink>
      <w:r w:rsidRPr="001A70EB">
        <w:t>, paras. 36–57.</w:t>
      </w:r>
    </w:p>
  </w:footnote>
  <w:footnote w:id="156">
    <w:p w14:paraId="7FFB4FB0"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89" w:history="1">
        <w:r w:rsidRPr="001A70EB">
          <w:rPr>
            <w:rStyle w:val="Hyperlink"/>
          </w:rPr>
          <w:t>A/73/410</w:t>
        </w:r>
      </w:hyperlink>
      <w:r w:rsidRPr="001A70EB">
        <w:t>.</w:t>
      </w:r>
    </w:p>
  </w:footnote>
  <w:footnote w:id="157">
    <w:p w14:paraId="672D13E3"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90" w:history="1">
        <w:r w:rsidRPr="001A70EB">
          <w:rPr>
            <w:rStyle w:val="Hyperlink"/>
          </w:rPr>
          <w:t>A/71/355</w:t>
        </w:r>
      </w:hyperlink>
      <w:r w:rsidRPr="001A70EB">
        <w:t xml:space="preserve">, </w:t>
      </w:r>
      <w:hyperlink r:id="rId191" w:history="1">
        <w:r w:rsidRPr="001A70EB">
          <w:rPr>
            <w:rStyle w:val="Hyperlink"/>
          </w:rPr>
          <w:t>A/HRC/43/67</w:t>
        </w:r>
      </w:hyperlink>
      <w:r w:rsidRPr="001A70EB">
        <w:t xml:space="preserve"> and </w:t>
      </w:r>
      <w:hyperlink r:id="rId192" w:history="1">
        <w:r w:rsidRPr="001A70EB">
          <w:rPr>
            <w:rStyle w:val="Hyperlink"/>
          </w:rPr>
          <w:t>A/73/410</w:t>
        </w:r>
      </w:hyperlink>
      <w:r w:rsidRPr="001A70EB">
        <w:t>, para. 19.</w:t>
      </w:r>
    </w:p>
  </w:footnote>
  <w:footnote w:id="158">
    <w:p w14:paraId="4760DC8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193" w:history="1">
        <w:r w:rsidRPr="001A70EB">
          <w:rPr>
            <w:rStyle w:val="Hyperlink"/>
          </w:rPr>
          <w:t>A/HRC/37/43</w:t>
        </w:r>
      </w:hyperlink>
      <w:r w:rsidRPr="001A70EB">
        <w:t xml:space="preserve">, </w:t>
      </w:r>
      <w:hyperlink r:id="rId194" w:history="1">
        <w:r w:rsidRPr="001A70EB">
          <w:rPr>
            <w:rStyle w:val="Hyperlink"/>
          </w:rPr>
          <w:t>A/HRC/43/67</w:t>
        </w:r>
      </w:hyperlink>
      <w:r w:rsidRPr="001A70EB">
        <w:t xml:space="preserve"> and </w:t>
      </w:r>
      <w:hyperlink r:id="rId195" w:history="1">
        <w:r w:rsidRPr="001A70EB">
          <w:rPr>
            <w:rStyle w:val="Hyperlink"/>
          </w:rPr>
          <w:t>A/73/410</w:t>
        </w:r>
      </w:hyperlink>
      <w:r w:rsidRPr="001A70EB">
        <w:t>, para. 20.</w:t>
      </w:r>
    </w:p>
  </w:footnote>
  <w:footnote w:id="159">
    <w:p w14:paraId="69F92AE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 xml:space="preserve">The community has lived in Ras al Tin since 1988 and has been forced to move several times; see also </w:t>
      </w:r>
      <w:hyperlink r:id="rId196" w:history="1">
        <w:r w:rsidRPr="001A70EB">
          <w:rPr>
            <w:rStyle w:val="Hyperlink"/>
          </w:rPr>
          <w:t>www.haaretz.com/israel-news/twilight-zone/2022-07-21/ty-article-magazine/.highlight/a-palestinian-tribe-is-uprooted-for-the-seventh-time/00000182-228a-d15a-a197-73bf44770000</w:t>
        </w:r>
      </w:hyperlink>
      <w:r w:rsidRPr="001A70EB">
        <w:t>.</w:t>
      </w:r>
    </w:p>
  </w:footnote>
  <w:footnote w:id="160">
    <w:p w14:paraId="16F04739"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Declared a firing zone in 1967; see also OCHA Humanitarian Report: Ras al Tin, 18 July 2022 (</w:t>
      </w:r>
      <w:hyperlink r:id="rId197" w:history="1">
        <w:r w:rsidRPr="001A70EB">
          <w:rPr>
            <w:rStyle w:val="Hyperlink"/>
          </w:rPr>
          <w:t>https://www.unocha.org/media-centre/humanitarian-reports</w:t>
        </w:r>
      </w:hyperlink>
      <w:r w:rsidRPr="001A70EB">
        <w:t>).</w:t>
      </w:r>
    </w:p>
  </w:footnote>
  <w:footnote w:id="161">
    <w:p w14:paraId="1AE924FC"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OCHA Humanitarian Report: Ras al Tin, 18 July 2022.</w:t>
      </w:r>
    </w:p>
  </w:footnote>
  <w:footnote w:id="162">
    <w:p w14:paraId="7D3C91C3"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Ibid.</w:t>
      </w:r>
    </w:p>
  </w:footnote>
  <w:footnote w:id="163">
    <w:p w14:paraId="17B0EB37" w14:textId="2EE100A3" w:rsidR="00F6262F" w:rsidRPr="001A70EB" w:rsidRDefault="00F6262F" w:rsidP="00F6262F">
      <w:pPr>
        <w:pStyle w:val="FootnoteText"/>
      </w:pPr>
      <w:r w:rsidRPr="001A70EB">
        <w:tab/>
      </w:r>
      <w:r w:rsidRPr="001A70EB">
        <w:rPr>
          <w:rStyle w:val="FootnoteReference"/>
        </w:rPr>
        <w:footnoteRef/>
      </w:r>
      <w:r w:rsidRPr="001A70EB">
        <w:tab/>
        <w:t xml:space="preserve">See </w:t>
      </w:r>
      <w:hyperlink r:id="rId198" w:history="1">
        <w:r w:rsidRPr="001A70EB">
          <w:rPr>
            <w:rStyle w:val="Hyperlink"/>
          </w:rPr>
          <w:t>https://supreme.court.gov.il/sites/en/Pages/home.aspx</w:t>
        </w:r>
      </w:hyperlink>
      <w:r w:rsidRPr="001A70EB">
        <w:rPr>
          <w:rFonts w:asciiTheme="majorBidi" w:hAnsiTheme="majorBidi" w:cstheme="majorBidi"/>
          <w:szCs w:val="18"/>
        </w:rPr>
        <w:t xml:space="preserve">; see also, on </w:t>
      </w:r>
      <w:r w:rsidRPr="001A70EB">
        <w:rPr>
          <w:rFonts w:asciiTheme="majorBidi" w:hAnsiTheme="majorBidi" w:cstheme="majorBidi"/>
          <w:color w:val="000000" w:themeColor="text1"/>
          <w:szCs w:val="18"/>
        </w:rPr>
        <w:t xml:space="preserve">2 October 2022, the High Court of Justice of Israel rejected a petition to hold additional hearings, available at </w:t>
      </w:r>
      <w:hyperlink r:id="rId199" w:history="1">
        <w:r w:rsidRPr="001A70EB">
          <w:rPr>
            <w:rStyle w:val="Hyperlink"/>
          </w:rPr>
          <w:t>https://supremedecisions.court.gov.il/Home/Download?path=HebrewVerdicts/22/440/041/v15&amp;fileName=22041440.V15&amp;type=4</w:t>
        </w:r>
      </w:hyperlink>
      <w:r w:rsidRPr="001A70EB">
        <w:rPr>
          <w:rFonts w:asciiTheme="majorBidi" w:hAnsiTheme="majorBidi" w:cstheme="majorBidi"/>
          <w:szCs w:val="18"/>
        </w:rPr>
        <w:t xml:space="preserve"> [in Hebrew].</w:t>
      </w:r>
    </w:p>
  </w:footnote>
  <w:footnote w:id="164">
    <w:p w14:paraId="793C5CBE"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200" w:history="1">
        <w:r w:rsidRPr="001A70EB">
          <w:rPr>
            <w:rStyle w:val="Hyperlink"/>
          </w:rPr>
          <w:t>A/76/336</w:t>
        </w:r>
      </w:hyperlink>
      <w:r w:rsidRPr="001A70EB">
        <w:t>, paras. 50 and 51.</w:t>
      </w:r>
    </w:p>
  </w:footnote>
  <w:footnote w:id="165">
    <w:p w14:paraId="1BBED4F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201" w:history="1">
        <w:r w:rsidRPr="001A70EB">
          <w:rPr>
            <w:rStyle w:val="Hyperlink"/>
          </w:rPr>
          <w:t>A/77/493</w:t>
        </w:r>
      </w:hyperlink>
      <w:r w:rsidRPr="001A70EB">
        <w:t xml:space="preserve">, para. 19 and </w:t>
      </w:r>
      <w:hyperlink r:id="rId202" w:history="1">
        <w:r w:rsidRPr="001A70EB">
          <w:rPr>
            <w:rStyle w:val="Hyperlink"/>
          </w:rPr>
          <w:t>A/76/336</w:t>
        </w:r>
      </w:hyperlink>
      <w:r w:rsidRPr="001A70EB">
        <w:t xml:space="preserve">, paras. 55 and 56; see also </w:t>
      </w:r>
      <w:hyperlink r:id="rId203" w:history="1">
        <w:r w:rsidRPr="001A70EB">
          <w:rPr>
            <w:rStyle w:val="Hyperlink"/>
          </w:rPr>
          <w:t>www.ohchr.org/en/press-releases/2022/05/un-experts-alarmed-israel-high-court-ruling-masafer-yatta-and-risk-imminent</w:t>
        </w:r>
      </w:hyperlink>
      <w:r w:rsidRPr="001A70EB">
        <w:rPr>
          <w:rFonts w:asciiTheme="majorBidi" w:hAnsiTheme="majorBidi" w:cstheme="majorBidi"/>
          <w:szCs w:val="18"/>
        </w:rPr>
        <w:t>.</w:t>
      </w:r>
    </w:p>
  </w:footnote>
  <w:footnote w:id="166">
    <w:p w14:paraId="02FCEFF6"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204" w:history="1">
        <w:r w:rsidRPr="001A70EB">
          <w:rPr>
            <w:rStyle w:val="Hyperlink"/>
          </w:rPr>
          <w:t>A/HRC/49/85</w:t>
        </w:r>
      </w:hyperlink>
      <w:r w:rsidRPr="001A70EB">
        <w:t>, para. 26.</w:t>
      </w:r>
    </w:p>
  </w:footnote>
  <w:footnote w:id="167">
    <w:p w14:paraId="3C8E56E2"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www.ochaopt.org/content/masafer-yatta-communities-risk-forcible-transfer-june-2022</w:t>
        </w:r>
      </w:hyperlink>
      <w:r w:rsidRPr="001A70EB">
        <w:rPr>
          <w:rFonts w:asciiTheme="majorBidi" w:hAnsiTheme="majorBidi" w:cstheme="majorBidi"/>
          <w:szCs w:val="18"/>
        </w:rPr>
        <w:t>.</w:t>
      </w:r>
    </w:p>
  </w:footnote>
  <w:footnote w:id="168">
    <w:p w14:paraId="3BA7DD84"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Ibid.</w:t>
      </w:r>
    </w:p>
  </w:footnote>
  <w:footnote w:id="169">
    <w:p w14:paraId="31E9F163"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 xml:space="preserve">OCHA, Humanitarian Report: </w:t>
      </w:r>
      <w:proofErr w:type="spellStart"/>
      <w:r w:rsidRPr="001A70EB">
        <w:t>Masafer</w:t>
      </w:r>
      <w:proofErr w:type="spellEnd"/>
      <w:r w:rsidRPr="001A70EB">
        <w:t xml:space="preserve"> </w:t>
      </w:r>
      <w:proofErr w:type="spellStart"/>
      <w:r w:rsidRPr="001A70EB">
        <w:t>Yatta</w:t>
      </w:r>
      <w:proofErr w:type="spellEnd"/>
      <w:r w:rsidRPr="001A70EB">
        <w:t>, 17 August 2022 (</w:t>
      </w:r>
      <w:hyperlink r:id="rId205" w:history="1">
        <w:r w:rsidRPr="001A70EB">
          <w:rPr>
            <w:rStyle w:val="Hyperlink"/>
          </w:rPr>
          <w:t>https://www.unocha.org/media-centre/humanitarian-reports</w:t>
        </w:r>
      </w:hyperlink>
      <w:r w:rsidRPr="001A70EB">
        <w:t>).</w:t>
      </w:r>
    </w:p>
  </w:footnote>
  <w:footnote w:id="170">
    <w:p w14:paraId="76DE3409" w14:textId="08E22ABC"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www.ochaopt.org/poc/28-june-18-july-2022</w:t>
        </w:r>
      </w:hyperlink>
      <w:r w:rsidRPr="001A70EB">
        <w:t xml:space="preserve"> and </w:t>
      </w:r>
      <w:hyperlink r:id="rId206" w:history="1">
        <w:r w:rsidRPr="001A70EB">
          <w:rPr>
            <w:rStyle w:val="Hyperlink"/>
          </w:rPr>
          <w:t>www.haaretz.com/middle-east-news/palestinians/2022-09-21/ty-article-magazine/.premium/in-the-shadow-of-idf-live-fire-training-life-in-masafer-yatta-has-become-unbearable/00000183-5f7a-d722-abd7-5f7f1e380000</w:t>
        </w:r>
      </w:hyperlink>
      <w:r w:rsidRPr="001A70EB">
        <w:rPr>
          <w:rFonts w:asciiTheme="majorBidi" w:hAnsiTheme="majorBidi" w:cstheme="majorBidi"/>
          <w:szCs w:val="18"/>
        </w:rPr>
        <w:t>.</w:t>
      </w:r>
    </w:p>
  </w:footnote>
  <w:footnote w:id="171">
    <w:p w14:paraId="457F2BA4"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w:history="1">
        <w:r w:rsidRPr="001A70EB">
          <w:rPr>
            <w:rStyle w:val="Hyperlink"/>
          </w:rPr>
          <w:t>See www.ochaopt.org/content/masafer-yatta-communities-risk-forcible-transfer-june-2022</w:t>
        </w:r>
      </w:hyperlink>
      <w:r w:rsidRPr="001A70EB">
        <w:rPr>
          <w:rFonts w:asciiTheme="majorBidi" w:hAnsiTheme="majorBidi" w:cstheme="majorBidi"/>
          <w:szCs w:val="18"/>
        </w:rPr>
        <w:t>.</w:t>
      </w:r>
    </w:p>
  </w:footnote>
  <w:footnote w:id="172">
    <w:p w14:paraId="3AB9FB7C"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OCHA Humanitarian Report, 17 August 2022 (</w:t>
      </w:r>
      <w:hyperlink r:id="rId207" w:history="1">
        <w:r w:rsidRPr="001A70EB">
          <w:rPr>
            <w:rStyle w:val="Hyperlink"/>
          </w:rPr>
          <w:t>https://www.unocha.org/media-centre/humanitarian-reports</w:t>
        </w:r>
      </w:hyperlink>
      <w:r w:rsidRPr="001A70EB">
        <w:t>).</w:t>
      </w:r>
    </w:p>
  </w:footnote>
  <w:footnote w:id="173">
    <w:p w14:paraId="0BF193C6"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208" w:history="1">
        <w:r w:rsidRPr="001A70EB">
          <w:rPr>
            <w:rStyle w:val="Hyperlink"/>
          </w:rPr>
          <w:t>A/77/493</w:t>
        </w:r>
      </w:hyperlink>
      <w:r w:rsidRPr="001A70EB">
        <w:t xml:space="preserve">, para. 19, </w:t>
      </w:r>
      <w:hyperlink r:id="rId209" w:history="1">
        <w:r w:rsidRPr="001A70EB">
          <w:rPr>
            <w:rStyle w:val="Hyperlink"/>
          </w:rPr>
          <w:t>A/76/336</w:t>
        </w:r>
      </w:hyperlink>
      <w:r w:rsidRPr="001A70EB">
        <w:rPr>
          <w:color w:val="000000" w:themeColor="text1"/>
          <w:shd w:val="clear" w:color="auto" w:fill="FFFFFF"/>
        </w:rPr>
        <w:t xml:space="preserve">, paras. </w:t>
      </w:r>
      <w:r w:rsidRPr="001A70EB">
        <w:rPr>
          <w:color w:val="333333"/>
          <w:shd w:val="clear" w:color="auto" w:fill="FFFFFF"/>
        </w:rPr>
        <w:t xml:space="preserve">50–57; see also </w:t>
      </w:r>
      <w:hyperlink r:id="rId210" w:history="1">
        <w:r w:rsidRPr="001A70EB">
          <w:rPr>
            <w:rStyle w:val="Hyperlink"/>
          </w:rPr>
          <w:t>http://www.ochaopt.org/content/statement-united-nations-resident-and-humanitarian-coordinator-occupied-palestinian-territory-lynn-hastings</w:t>
        </w:r>
      </w:hyperlink>
      <w:r w:rsidRPr="001A70EB">
        <w:rPr>
          <w:b/>
          <w:bCs/>
          <w:color w:val="545454"/>
        </w:rPr>
        <w:t xml:space="preserve">; </w:t>
      </w:r>
      <w:hyperlink r:id="rId211" w:history="1">
        <w:r w:rsidRPr="001A70EB">
          <w:rPr>
            <w:rStyle w:val="Hyperlink"/>
          </w:rPr>
          <w:t>www.ohchr.org/en/press-releases/2022/05/un-experts-alarmed-israel-high-court-ruling-masafer-yatta-and-risk-imminent</w:t>
        </w:r>
      </w:hyperlink>
      <w:r w:rsidRPr="001A70EB">
        <w:rPr>
          <w:b/>
          <w:bCs/>
          <w:color w:val="545454"/>
        </w:rPr>
        <w:t xml:space="preserve">; </w:t>
      </w:r>
      <w:r w:rsidRPr="001A70EB">
        <w:rPr>
          <w:color w:val="545454"/>
        </w:rPr>
        <w:t xml:space="preserve">and </w:t>
      </w:r>
      <w:hyperlink r:id="rId212" w:history="1">
        <w:r w:rsidRPr="001A70EB">
          <w:rPr>
            <w:rStyle w:val="Hyperlink"/>
          </w:rPr>
          <w:t>https://www.btselem.org/sites/default/files/2022-10/ICC_preventive_intervention_eng.pdf</w:t>
        </w:r>
      </w:hyperlink>
      <w:r w:rsidRPr="001A70EB">
        <w:rPr>
          <w:rFonts w:asciiTheme="majorBidi" w:hAnsiTheme="majorBidi" w:cstheme="majorBidi"/>
          <w:szCs w:val="18"/>
        </w:rPr>
        <w:t>.</w:t>
      </w:r>
    </w:p>
  </w:footnote>
  <w:footnote w:id="174">
    <w:p w14:paraId="4DBED098"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t xml:space="preserve">See </w:t>
      </w:r>
      <w:hyperlink r:id="rId213" w:history="1">
        <w:r w:rsidRPr="001A70EB">
          <w:rPr>
            <w:rStyle w:val="Hyperlink"/>
          </w:rPr>
          <w:t>https://www.ir-amim.org.il/en/node/2867</w:t>
        </w:r>
      </w:hyperlink>
      <w:r w:rsidRPr="001A70EB">
        <w:rPr>
          <w:rFonts w:asciiTheme="majorBidi" w:hAnsiTheme="majorBidi" w:cstheme="majorBidi"/>
          <w:szCs w:val="18"/>
        </w:rPr>
        <w:t>.</w:t>
      </w:r>
    </w:p>
  </w:footnote>
  <w:footnote w:id="175">
    <w:p w14:paraId="2C5543DE"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214" w:history="1">
        <w:r w:rsidRPr="001A70EB">
          <w:rPr>
            <w:rStyle w:val="Hyperlink"/>
          </w:rPr>
          <w:t>A/HRC/49/85</w:t>
        </w:r>
      </w:hyperlink>
      <w:r w:rsidRPr="001A70EB">
        <w:t>, para. 32.</w:t>
      </w:r>
    </w:p>
  </w:footnote>
  <w:footnote w:id="176">
    <w:p w14:paraId="5E195DA9"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215" w:history="1">
        <w:r w:rsidRPr="001A70EB">
          <w:rPr>
            <w:rStyle w:val="Hyperlink"/>
          </w:rPr>
          <w:t>A/77/493</w:t>
        </w:r>
      </w:hyperlink>
      <w:r w:rsidRPr="001A70EB">
        <w:t>, para. 25.</w:t>
      </w:r>
    </w:p>
  </w:footnote>
  <w:footnote w:id="177">
    <w:p w14:paraId="0E2AF736" w14:textId="77777777" w:rsidR="00F6262F" w:rsidRPr="001A70EB" w:rsidRDefault="00F6262F" w:rsidP="00F6262F">
      <w:pPr>
        <w:pStyle w:val="FootnoteText"/>
      </w:pPr>
      <w:r w:rsidRPr="001A70EB">
        <w:tab/>
      </w:r>
      <w:r w:rsidRPr="001A70EB">
        <w:rPr>
          <w:rStyle w:val="FootnoteReference"/>
        </w:rPr>
        <w:footnoteRef/>
      </w:r>
      <w:r w:rsidRPr="001A70EB">
        <w:tab/>
        <w:t xml:space="preserve">See </w:t>
      </w:r>
      <w:hyperlink r:id="rId216" w:history="1">
        <w:r w:rsidRPr="001A70EB">
          <w:rPr>
            <w:rStyle w:val="Hyperlink"/>
          </w:rPr>
          <w:t>https://www.gov.il/en</w:t>
        </w:r>
      </w:hyperlink>
      <w:r w:rsidRPr="001A70EB">
        <w:t>.</w:t>
      </w:r>
    </w:p>
  </w:footnote>
  <w:footnote w:id="178">
    <w:p w14:paraId="215A8BC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t>Letter from the Permanent Representative of the Syrian Arab Republic to the United Nations High Commissioner for Human Rights, Michelle Bachelet, 29 July 2022.</w:t>
      </w:r>
    </w:p>
  </w:footnote>
  <w:footnote w:id="179">
    <w:p w14:paraId="29B18E90" w14:textId="77777777" w:rsidR="00F6262F" w:rsidRPr="001A70EB" w:rsidRDefault="00F6262F" w:rsidP="00F6262F">
      <w:pPr>
        <w:pStyle w:val="FootnoteText"/>
        <w:rPr>
          <w:rFonts w:eastAsia="Cambria"/>
        </w:rPr>
      </w:pPr>
      <w:r w:rsidRPr="001A70EB">
        <w:tab/>
      </w:r>
      <w:r w:rsidRPr="001A70EB">
        <w:rPr>
          <w:rStyle w:val="FootnoteReference"/>
        </w:rPr>
        <w:footnoteRef/>
      </w:r>
      <w:r w:rsidRPr="001A70EB">
        <w:tab/>
      </w:r>
      <w:r w:rsidRPr="001A70EB">
        <w:rPr>
          <w:rFonts w:eastAsia="Cambria"/>
        </w:rPr>
        <w:t>Fourth Geneva Convention, art. 49 (6).</w:t>
      </w:r>
    </w:p>
  </w:footnote>
  <w:footnote w:id="180">
    <w:p w14:paraId="1BB6FD69" w14:textId="77777777" w:rsidR="00F6262F" w:rsidRPr="001A70EB" w:rsidRDefault="00F6262F" w:rsidP="00F6262F">
      <w:pPr>
        <w:pStyle w:val="FootnoteText"/>
        <w:rPr>
          <w:rFonts w:eastAsia="Cambria"/>
        </w:rPr>
      </w:pPr>
      <w:r w:rsidRPr="001A70EB">
        <w:tab/>
      </w:r>
      <w:r w:rsidRPr="001A70EB">
        <w:rPr>
          <w:rStyle w:val="FootnoteReference"/>
        </w:rPr>
        <w:footnoteRef/>
      </w:r>
      <w:r w:rsidRPr="001A70EB">
        <w:tab/>
      </w:r>
      <w:bookmarkStart w:id="8" w:name="_Hlk126924549"/>
      <w:r w:rsidRPr="001A70EB">
        <w:rPr>
          <w:rFonts w:eastAsia="Cambria"/>
          <w:i/>
          <w:iCs/>
        </w:rPr>
        <w:t>Legal Consequences of Construction of a Wall in the Occupied Palestinian Territory</w:t>
      </w:r>
      <w:bookmarkEnd w:id="8"/>
      <w:r w:rsidRPr="001A70EB">
        <w:rPr>
          <w:rFonts w:eastAsia="Cambria"/>
        </w:rPr>
        <w:t xml:space="preserve">, </w:t>
      </w:r>
      <w:r w:rsidRPr="001A70EB">
        <w:rPr>
          <w:rFonts w:eastAsia="Cambria"/>
          <w:i/>
          <w:iCs/>
        </w:rPr>
        <w:t>Advisory Opinion, I.C.J. Reports 2004</w:t>
      </w:r>
      <w:r w:rsidRPr="001A70EB">
        <w:rPr>
          <w:rFonts w:eastAsia="Cambria"/>
        </w:rPr>
        <w:t>, p. 136; Security Council resolutions 465 (1980) and 2334 (2016); General Assembly resolutions 71/97 and 72/86; and Human Rights Council resolution 31/36.</w:t>
      </w:r>
    </w:p>
  </w:footnote>
  <w:footnote w:id="181">
    <w:p w14:paraId="5624697A"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r w:rsidRPr="001A70EB">
        <w:rPr>
          <w:rFonts w:eastAsia="Cambria"/>
          <w:i/>
          <w:iCs/>
        </w:rPr>
        <w:t xml:space="preserve">I.C.J. Reports </w:t>
      </w:r>
      <w:proofErr w:type="gramStart"/>
      <w:r w:rsidRPr="001A70EB">
        <w:rPr>
          <w:rFonts w:eastAsia="Cambria"/>
          <w:i/>
          <w:iCs/>
        </w:rPr>
        <w:t>2004</w:t>
      </w:r>
      <w:r w:rsidRPr="001A70EB">
        <w:rPr>
          <w:rFonts w:eastAsia="Cambria"/>
        </w:rPr>
        <w:t xml:space="preserve"> </w:t>
      </w:r>
      <w:r w:rsidRPr="001A70EB">
        <w:t>,</w:t>
      </w:r>
      <w:proofErr w:type="gramEnd"/>
      <w:r w:rsidRPr="001A70EB">
        <w:t xml:space="preserve"> p. 136.</w:t>
      </w:r>
    </w:p>
  </w:footnote>
  <w:footnote w:id="182">
    <w:p w14:paraId="4DEF6056" w14:textId="77777777" w:rsidR="00F6262F" w:rsidRPr="001A70EB" w:rsidRDefault="00F6262F" w:rsidP="00F6262F">
      <w:pPr>
        <w:pStyle w:val="FootnoteText"/>
      </w:pPr>
      <w:r w:rsidRPr="001A70EB">
        <w:tab/>
      </w:r>
      <w:r w:rsidRPr="001A70EB">
        <w:rPr>
          <w:rStyle w:val="FootnoteReference"/>
        </w:rPr>
        <w:footnoteRef/>
      </w:r>
      <w:r w:rsidRPr="001A70EB">
        <w:tab/>
        <w:t>Fourth Geneva Convention, art. 49 (6), and Rome Statute, art. 8 (2) (b) (viii).</w:t>
      </w:r>
    </w:p>
  </w:footnote>
  <w:footnote w:id="183">
    <w:p w14:paraId="734F961C" w14:textId="77777777" w:rsidR="00F6262F" w:rsidRPr="001A70EB" w:rsidRDefault="00F6262F" w:rsidP="00F6262F">
      <w:pPr>
        <w:pStyle w:val="FootnoteText"/>
      </w:pPr>
      <w:r w:rsidRPr="001A70EB">
        <w:rPr>
          <w:rFonts w:asciiTheme="majorBidi" w:hAnsiTheme="majorBidi" w:cstheme="majorBidi"/>
          <w:szCs w:val="18"/>
        </w:rPr>
        <w:tab/>
      </w:r>
      <w:r w:rsidRPr="001A70EB">
        <w:rPr>
          <w:rStyle w:val="FootnoteReference"/>
        </w:rPr>
        <w:footnoteRef/>
      </w:r>
      <w:r w:rsidRPr="001A70EB">
        <w:rPr>
          <w:rFonts w:asciiTheme="majorBidi" w:hAnsiTheme="majorBidi" w:cstheme="majorBidi"/>
          <w:szCs w:val="18"/>
        </w:rPr>
        <w:tab/>
      </w:r>
      <w:hyperlink r:id="rId217" w:history="1">
        <w:r w:rsidRPr="001A70EB">
          <w:rPr>
            <w:rStyle w:val="Hyperlink"/>
          </w:rPr>
          <w:t>A/77/493</w:t>
        </w:r>
      </w:hyperlink>
      <w:r w:rsidRPr="001A70EB">
        <w:t xml:space="preserve">, para. 36, and </w:t>
      </w:r>
      <w:hyperlink r:id="rId218" w:history="1">
        <w:r w:rsidRPr="001A70EB">
          <w:rPr>
            <w:rStyle w:val="Hyperlink"/>
          </w:rPr>
          <w:t>A/HRC/49/85</w:t>
        </w:r>
      </w:hyperlink>
      <w:r w:rsidRPr="001A70EB">
        <w:t>, paras. 15 and 16.</w:t>
      </w:r>
    </w:p>
  </w:footnote>
  <w:footnote w:id="184">
    <w:p w14:paraId="4F3EAC54" w14:textId="77777777" w:rsidR="00F6262F" w:rsidRPr="001A70EB" w:rsidRDefault="00F6262F" w:rsidP="00F6262F">
      <w:pPr>
        <w:pStyle w:val="FootnoteText"/>
      </w:pPr>
      <w:r w:rsidRPr="001A70EB">
        <w:tab/>
      </w:r>
      <w:r w:rsidRPr="001A70EB">
        <w:rPr>
          <w:rStyle w:val="FootnoteReference"/>
        </w:rPr>
        <w:footnoteRef/>
      </w:r>
      <w:r w:rsidRPr="001A70EB">
        <w:tab/>
        <w:t>The Hague Regulations, arts. 43 and 46, and Fourth Geneva Convention, art.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73C1" w14:textId="77777777" w:rsidR="00B479C3" w:rsidRDefault="00B479C3" w:rsidP="00B479C3">
    <w:pPr>
      <w:pStyle w:val="Header"/>
    </w:pPr>
    <w:r>
      <w:t>A/HRC/52/76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A4CB" w14:textId="77777777" w:rsidR="00B479C3" w:rsidRDefault="00B479C3" w:rsidP="00B479C3">
    <w:pPr>
      <w:pStyle w:val="Header"/>
      <w:jc w:val="right"/>
    </w:pPr>
    <w:r>
      <w:t>A/HRC/52/76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172B7E"/>
    <w:multiLevelType w:val="hybridMultilevel"/>
    <w:tmpl w:val="A5624070"/>
    <w:lvl w:ilvl="0" w:tplc="CB4E01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F4EB2"/>
    <w:multiLevelType w:val="hybridMultilevel"/>
    <w:tmpl w:val="758E2E3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48A2306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CA63B5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D07B2"/>
    <w:multiLevelType w:val="hybridMultilevel"/>
    <w:tmpl w:val="8DDE253A"/>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4899720">
    <w:abstractNumId w:val="6"/>
  </w:num>
  <w:num w:numId="2" w16cid:durableId="224074285">
    <w:abstractNumId w:val="5"/>
  </w:num>
  <w:num w:numId="3" w16cid:durableId="258568268">
    <w:abstractNumId w:val="0"/>
  </w:num>
  <w:num w:numId="4" w16cid:durableId="172574208">
    <w:abstractNumId w:val="10"/>
  </w:num>
  <w:num w:numId="5" w16cid:durableId="629089305">
    <w:abstractNumId w:val="11"/>
  </w:num>
  <w:num w:numId="6" w16cid:durableId="1619216976">
    <w:abstractNumId w:val="14"/>
  </w:num>
  <w:num w:numId="7" w16cid:durableId="1060058929">
    <w:abstractNumId w:val="3"/>
  </w:num>
  <w:num w:numId="8" w16cid:durableId="1657149229">
    <w:abstractNumId w:val="1"/>
  </w:num>
  <w:num w:numId="9" w16cid:durableId="854149081">
    <w:abstractNumId w:val="12"/>
  </w:num>
  <w:num w:numId="10" w16cid:durableId="1377310326">
    <w:abstractNumId w:val="1"/>
  </w:num>
  <w:num w:numId="11" w16cid:durableId="48380519">
    <w:abstractNumId w:val="12"/>
  </w:num>
  <w:num w:numId="12" w16cid:durableId="824588475">
    <w:abstractNumId w:val="9"/>
  </w:num>
  <w:num w:numId="13" w16cid:durableId="287972660">
    <w:abstractNumId w:val="8"/>
  </w:num>
  <w:num w:numId="14" w16cid:durableId="281157598">
    <w:abstractNumId w:val="2"/>
  </w:num>
  <w:num w:numId="15" w16cid:durableId="904801726">
    <w:abstractNumId w:val="13"/>
  </w:num>
  <w:num w:numId="16" w16cid:durableId="260332406">
    <w:abstractNumId w:val="7"/>
  </w:num>
  <w:num w:numId="17" w16cid:durableId="78987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45283D"/>
    <w:rsid w:val="000329AC"/>
    <w:rsid w:val="000353A6"/>
    <w:rsid w:val="00046E92"/>
    <w:rsid w:val="000568C4"/>
    <w:rsid w:val="00063C90"/>
    <w:rsid w:val="00072607"/>
    <w:rsid w:val="000A0BDE"/>
    <w:rsid w:val="000A4DC1"/>
    <w:rsid w:val="000F6965"/>
    <w:rsid w:val="00101B98"/>
    <w:rsid w:val="00150E66"/>
    <w:rsid w:val="001A3B2D"/>
    <w:rsid w:val="001A70EB"/>
    <w:rsid w:val="001B6F27"/>
    <w:rsid w:val="001C71A0"/>
    <w:rsid w:val="002202C1"/>
    <w:rsid w:val="00227F79"/>
    <w:rsid w:val="00247E2C"/>
    <w:rsid w:val="00251841"/>
    <w:rsid w:val="0027130B"/>
    <w:rsid w:val="002A32CB"/>
    <w:rsid w:val="002B319E"/>
    <w:rsid w:val="002D6C53"/>
    <w:rsid w:val="002F5595"/>
    <w:rsid w:val="00334F6A"/>
    <w:rsid w:val="00335744"/>
    <w:rsid w:val="00342AC8"/>
    <w:rsid w:val="0035397C"/>
    <w:rsid w:val="003A2674"/>
    <w:rsid w:val="003A587D"/>
    <w:rsid w:val="003B4550"/>
    <w:rsid w:val="003D6C75"/>
    <w:rsid w:val="003E7D53"/>
    <w:rsid w:val="0040017C"/>
    <w:rsid w:val="0045283D"/>
    <w:rsid w:val="0045680B"/>
    <w:rsid w:val="00461253"/>
    <w:rsid w:val="00482D7C"/>
    <w:rsid w:val="00486E21"/>
    <w:rsid w:val="004A2814"/>
    <w:rsid w:val="004C0622"/>
    <w:rsid w:val="004D10F9"/>
    <w:rsid w:val="005042C2"/>
    <w:rsid w:val="00516F0C"/>
    <w:rsid w:val="00592057"/>
    <w:rsid w:val="005C4F37"/>
    <w:rsid w:val="005E716E"/>
    <w:rsid w:val="005E7709"/>
    <w:rsid w:val="00627BB1"/>
    <w:rsid w:val="00661076"/>
    <w:rsid w:val="00671529"/>
    <w:rsid w:val="006B7233"/>
    <w:rsid w:val="006F478D"/>
    <w:rsid w:val="0070489D"/>
    <w:rsid w:val="00711537"/>
    <w:rsid w:val="0072285C"/>
    <w:rsid w:val="007268F9"/>
    <w:rsid w:val="007938E3"/>
    <w:rsid w:val="007B04FC"/>
    <w:rsid w:val="007B32BF"/>
    <w:rsid w:val="007B56D9"/>
    <w:rsid w:val="007C52B0"/>
    <w:rsid w:val="00813DB7"/>
    <w:rsid w:val="00822337"/>
    <w:rsid w:val="00861B4E"/>
    <w:rsid w:val="00866AAE"/>
    <w:rsid w:val="008819E4"/>
    <w:rsid w:val="00882DAA"/>
    <w:rsid w:val="008A3949"/>
    <w:rsid w:val="009411B4"/>
    <w:rsid w:val="00962A56"/>
    <w:rsid w:val="009A006B"/>
    <w:rsid w:val="009D0139"/>
    <w:rsid w:val="009D717D"/>
    <w:rsid w:val="009E38C8"/>
    <w:rsid w:val="009E49E9"/>
    <w:rsid w:val="009F5CDC"/>
    <w:rsid w:val="00A125F3"/>
    <w:rsid w:val="00A16F5C"/>
    <w:rsid w:val="00A466E7"/>
    <w:rsid w:val="00A71A4C"/>
    <w:rsid w:val="00A7393D"/>
    <w:rsid w:val="00A775CF"/>
    <w:rsid w:val="00AF69C0"/>
    <w:rsid w:val="00B06045"/>
    <w:rsid w:val="00B3083D"/>
    <w:rsid w:val="00B479C3"/>
    <w:rsid w:val="00B52EF4"/>
    <w:rsid w:val="00C006EF"/>
    <w:rsid w:val="00C03015"/>
    <w:rsid w:val="00C0358D"/>
    <w:rsid w:val="00C26CA5"/>
    <w:rsid w:val="00C35A27"/>
    <w:rsid w:val="00C47B2E"/>
    <w:rsid w:val="00C90274"/>
    <w:rsid w:val="00C93CAD"/>
    <w:rsid w:val="00CA020A"/>
    <w:rsid w:val="00CA1B04"/>
    <w:rsid w:val="00CB2D8E"/>
    <w:rsid w:val="00D16D9E"/>
    <w:rsid w:val="00DB0A51"/>
    <w:rsid w:val="00DF488D"/>
    <w:rsid w:val="00E02C2B"/>
    <w:rsid w:val="00E427A5"/>
    <w:rsid w:val="00E4790F"/>
    <w:rsid w:val="00E52109"/>
    <w:rsid w:val="00E75317"/>
    <w:rsid w:val="00E916F8"/>
    <w:rsid w:val="00E929C3"/>
    <w:rsid w:val="00EB60A8"/>
    <w:rsid w:val="00EC2011"/>
    <w:rsid w:val="00EC3989"/>
    <w:rsid w:val="00ED3129"/>
    <w:rsid w:val="00ED6C48"/>
    <w:rsid w:val="00EE6B22"/>
    <w:rsid w:val="00F14BCB"/>
    <w:rsid w:val="00F158B9"/>
    <w:rsid w:val="00F51F5A"/>
    <w:rsid w:val="00F6262F"/>
    <w:rsid w:val="00F65F5D"/>
    <w:rsid w:val="00F86A3A"/>
    <w:rsid w:val="00F92B24"/>
    <w:rsid w:val="00FB3EE9"/>
    <w:rsid w:val="00FB4679"/>
    <w:rsid w:val="00FE2048"/>
    <w:rsid w:val="00FF6289"/>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4A0EA"/>
  <w15:docId w15:val="{8BF38BB9-8875-44E1-8931-EE0AEE83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qFormat/>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qFormat/>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UnresolvedMention">
    <w:name w:val="Unresolved Mention"/>
    <w:basedOn w:val="DefaultParagraphFont"/>
    <w:uiPriority w:val="99"/>
    <w:semiHidden/>
    <w:unhideWhenUsed/>
    <w:rsid w:val="00F6262F"/>
    <w:rPr>
      <w:color w:val="605E5C"/>
      <w:shd w:val="clear" w:color="auto" w:fill="E1DFDD"/>
    </w:rPr>
  </w:style>
  <w:style w:type="character" w:customStyle="1" w:styleId="SingleTxtGChar">
    <w:name w:val="_ Single Txt_G Char"/>
    <w:link w:val="SingleTxtG"/>
    <w:locked/>
    <w:rsid w:val="00F6262F"/>
    <w:rPr>
      <w:rFonts w:ascii="Times New Roman" w:eastAsiaTheme="minorHAnsi" w:hAnsi="Times New Roman" w:cs="Times New Roman"/>
      <w:sz w:val="20"/>
      <w:szCs w:val="20"/>
      <w:lang w:eastAsia="en-US"/>
    </w:rPr>
  </w:style>
  <w:style w:type="paragraph" w:styleId="Revision">
    <w:name w:val="Revision"/>
    <w:hidden/>
    <w:uiPriority w:val="99"/>
    <w:semiHidden/>
    <w:rsid w:val="00F6262F"/>
    <w:pPr>
      <w:spacing w:after="0" w:line="240" w:lineRule="auto"/>
    </w:pPr>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sid w:val="00C90274"/>
    <w:rPr>
      <w:sz w:val="16"/>
      <w:szCs w:val="16"/>
    </w:rPr>
  </w:style>
  <w:style w:type="paragraph" w:styleId="CommentText">
    <w:name w:val="annotation text"/>
    <w:basedOn w:val="Normal"/>
    <w:link w:val="CommentTextChar"/>
    <w:uiPriority w:val="99"/>
    <w:semiHidden/>
    <w:unhideWhenUsed/>
    <w:rsid w:val="00C90274"/>
    <w:pPr>
      <w:spacing w:line="240" w:lineRule="auto"/>
    </w:pPr>
  </w:style>
  <w:style w:type="character" w:customStyle="1" w:styleId="CommentTextChar">
    <w:name w:val="Comment Text Char"/>
    <w:basedOn w:val="DefaultParagraphFont"/>
    <w:link w:val="CommentText"/>
    <w:uiPriority w:val="99"/>
    <w:semiHidden/>
    <w:rsid w:val="00C90274"/>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90274"/>
    <w:rPr>
      <w:b/>
      <w:bCs/>
    </w:rPr>
  </w:style>
  <w:style w:type="character" w:customStyle="1" w:styleId="CommentSubjectChar">
    <w:name w:val="Comment Subject Char"/>
    <w:basedOn w:val="CommentTextChar"/>
    <w:link w:val="CommentSubject"/>
    <w:uiPriority w:val="99"/>
    <w:semiHidden/>
    <w:rsid w:val="00C90274"/>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undocs.org/en/CCPR/C/ISR/CO/5" TargetMode="External"/><Relationship Id="rId21" Type="http://schemas.openxmlformats.org/officeDocument/2006/relationships/hyperlink" Target="http://undocs.org/en/A/72/564" TargetMode="External"/><Relationship Id="rId42" Type="http://schemas.openxmlformats.org/officeDocument/2006/relationships/hyperlink" Target="http://undocs.org/en/A/77/328" TargetMode="External"/><Relationship Id="rId63" Type="http://schemas.openxmlformats.org/officeDocument/2006/relationships/hyperlink" Target="http://www.gov.il/en/departments/general/israeli-settlement-and-international-law" TargetMode="External"/><Relationship Id="rId84" Type="http://schemas.openxmlformats.org/officeDocument/2006/relationships/hyperlink" Target="http://undocs.org/en/A/76/336" TargetMode="External"/><Relationship Id="rId138" Type="http://schemas.openxmlformats.org/officeDocument/2006/relationships/hyperlink" Target="http://undocs.org/en/A/75/376" TargetMode="External"/><Relationship Id="rId159" Type="http://schemas.openxmlformats.org/officeDocument/2006/relationships/hyperlink" Target="http://undocs.org/en/A/HRC/49/85" TargetMode="External"/><Relationship Id="rId170" Type="http://schemas.openxmlformats.org/officeDocument/2006/relationships/hyperlink" Target="http://www.gov.il/BlobFolder/dynamiccollectorresultitem/hr-0007/he/human-rights-replay_investigation-and-prosecutionof-offences-against-palestinians.pdf" TargetMode="External"/><Relationship Id="rId191" Type="http://schemas.openxmlformats.org/officeDocument/2006/relationships/hyperlink" Target="http://undocs.org/en/A/HRC/43/67" TargetMode="External"/><Relationship Id="rId205" Type="http://schemas.openxmlformats.org/officeDocument/2006/relationships/hyperlink" Target="https://www.unocha.org/media-centre/humanitarian-reports" TargetMode="External"/><Relationship Id="rId107" Type="http://schemas.openxmlformats.org/officeDocument/2006/relationships/hyperlink" Target="http://undocs.org/en/A/HRC/25/38" TargetMode="External"/><Relationship Id="rId11" Type="http://schemas.openxmlformats.org/officeDocument/2006/relationships/hyperlink" Target="http://undocs.org/en/A/HRC/40/42" TargetMode="External"/><Relationship Id="rId32" Type="http://schemas.openxmlformats.org/officeDocument/2006/relationships/hyperlink" Target="http://peacenow.org.il/wp-content/uploads/2018/07/Lands_Allocated_to_Palestinians_ENG.pdf" TargetMode="External"/><Relationship Id="rId53" Type="http://schemas.openxmlformats.org/officeDocument/2006/relationships/hyperlink" Target="http://www.haaretz.co.il/news/politics/.premium-1.9557640?utm_source=mailchimp&amp;utm_medium=email&amp;utm_content=author-alert&amp;utm_campaign=%D7%94%D7%92%D7%A8%20%D7%A9%D7%99%D7%96%D7%A3&amp;utm_term=20210222-10:52" TargetMode="External"/><Relationship Id="rId74" Type="http://schemas.openxmlformats.org/officeDocument/2006/relationships/hyperlink" Target="http://undocs.org/en/A/76/336" TargetMode="External"/><Relationship Id="rId128" Type="http://schemas.openxmlformats.org/officeDocument/2006/relationships/hyperlink" Target="https://mailchi.mp/ir-amim/strategic-bloc-of-land-between-east-jerusalem-abu-dis-covertly-transferred-into-state-hands-in-parallel-to-completion-of-land-registration?e=5dfcd834de" TargetMode="External"/><Relationship Id="rId149" Type="http://schemas.openxmlformats.org/officeDocument/2006/relationships/hyperlink" Target="https://www.haaretz.com/israel-news/2022-10-31/ty-article/.premium/israeli-army-reinstates-official-who-helped-settlers-tear-gas-palestinians/00000184-2d71-dc27-a19c-aff3aea20000" TargetMode="External"/><Relationship Id="rId5" Type="http://schemas.openxmlformats.org/officeDocument/2006/relationships/hyperlink" Target="http://undocs.org/en/A/75/376" TargetMode="External"/><Relationship Id="rId95" Type="http://schemas.openxmlformats.org/officeDocument/2006/relationships/hyperlink" Target="https://ihl-databases.icrc.org/en/ihl-treaties/gciv-1949" TargetMode="External"/><Relationship Id="rId160" Type="http://schemas.openxmlformats.org/officeDocument/2006/relationships/hyperlink" Target="https://ihl-databases.icrc.org/en/ihl-treaties/gciv-1949" TargetMode="External"/><Relationship Id="rId181" Type="http://schemas.openxmlformats.org/officeDocument/2006/relationships/hyperlink" Target="http://undocs.org/en/A/HRC/34/39" TargetMode="External"/><Relationship Id="rId216" Type="http://schemas.openxmlformats.org/officeDocument/2006/relationships/hyperlink" Target="https://www.gov.il/en" TargetMode="External"/><Relationship Id="rId22" Type="http://schemas.openxmlformats.org/officeDocument/2006/relationships/hyperlink" Target="http://www.icj-cij.org/public/files/case-related/131/131-20040709-ADV-01-00-EN.pdf" TargetMode="External"/><Relationship Id="rId43" Type="http://schemas.openxmlformats.org/officeDocument/2006/relationships/hyperlink" Target="http://peacenow.org.il/wp-content/uploads/2021/03/The-Roads-Boom-in-2020.pdf" TargetMode="External"/><Relationship Id="rId64" Type="http://schemas.openxmlformats.org/officeDocument/2006/relationships/hyperlink" Target="http://undocs.org/en/A/73/410" TargetMode="External"/><Relationship Id="rId118" Type="http://schemas.openxmlformats.org/officeDocument/2006/relationships/hyperlink" Target="https://www.adalah.org/uploads/oldfiles/Public/files/Discriminatory-Laws-Database/English/04-Absentees-Property-Law-1950.pdf" TargetMode="External"/><Relationship Id="rId139" Type="http://schemas.openxmlformats.org/officeDocument/2006/relationships/hyperlink" Target="http://undocs.org/en/A/HRC/40/42" TargetMode="External"/><Relationship Id="rId85" Type="http://schemas.openxmlformats.org/officeDocument/2006/relationships/hyperlink" Target="http://undocs.org/en/A/HRC/49/85" TargetMode="External"/><Relationship Id="rId150" Type="http://schemas.openxmlformats.org/officeDocument/2006/relationships/hyperlink" Target="http://undocs.org/en/A/HRC/49/85" TargetMode="External"/><Relationship Id="rId171" Type="http://schemas.openxmlformats.org/officeDocument/2006/relationships/hyperlink" Target="http://haaretz.com/israel-news/2022-08-25/ty-article/.premium/israel-closes-case-against-settler-suspected-of-fatally-stabbing-palestinian/00000182-d597-d972-a7d6-dd9f49470000" TargetMode="External"/><Relationship Id="rId192" Type="http://schemas.openxmlformats.org/officeDocument/2006/relationships/hyperlink" Target="http://undocs.org/en/A/73/410" TargetMode="External"/><Relationship Id="rId206" Type="http://schemas.openxmlformats.org/officeDocument/2006/relationships/hyperlink" Target="http://www.haaretz.com/middle-east-news/palestinians/2022-09-21/ty-article-magazine/.premium/in-the-shadow-of-idf-live-fire-training-life-in-masafer-yatta-has-become-unbearable/00000183-5f7a-d722-abd7-5f7f1e380000" TargetMode="External"/><Relationship Id="rId12" Type="http://schemas.openxmlformats.org/officeDocument/2006/relationships/hyperlink" Target="http://undocs.org/en/A/HRC/43/67" TargetMode="External"/><Relationship Id="rId33" Type="http://schemas.openxmlformats.org/officeDocument/2006/relationships/hyperlink" Target="http://undocs.org/en/A/77/328" TargetMode="External"/><Relationship Id="rId108" Type="http://schemas.openxmlformats.org/officeDocument/2006/relationships/hyperlink" Target="http://undocs.org/en/A/HRC/31/43" TargetMode="External"/><Relationship Id="rId129" Type="http://schemas.openxmlformats.org/officeDocument/2006/relationships/hyperlink" Target="https://www.ir-amim.org.il/sites/default/files/Settlement%20of%20Title%20in%20East%20Jerusalem%20March%202022.pdf" TargetMode="External"/><Relationship Id="rId54" Type="http://schemas.openxmlformats.org/officeDocument/2006/relationships/hyperlink" Target="http://undocs.org/en/A/HRC/49/85" TargetMode="External"/><Relationship Id="rId75" Type="http://schemas.openxmlformats.org/officeDocument/2006/relationships/hyperlink" Target="http://www.haaretz.com/israel-news/2021-02-08/ty-article/.premium/israeli-soldiers-expel-palestinians-while-letting-settlers-stay-documents-reveal/0000017f-e8fb-da9b-a1ff-ecffb8d10000" TargetMode="External"/><Relationship Id="rId96" Type="http://schemas.openxmlformats.org/officeDocument/2006/relationships/hyperlink" Target="http://www.savethechildren.es/sites/default/files/2021-06/Hope_under_the_rubble_STC.pdf." TargetMode="External"/><Relationship Id="rId140" Type="http://schemas.openxmlformats.org/officeDocument/2006/relationships/hyperlink" Target="http://undocs.org/en/A/77/493" TargetMode="External"/><Relationship Id="rId161" Type="http://schemas.openxmlformats.org/officeDocument/2006/relationships/hyperlink" Target="http://undocs.org/en/A/77/493" TargetMode="External"/><Relationship Id="rId182" Type="http://schemas.openxmlformats.org/officeDocument/2006/relationships/hyperlink" Target="http://undocs.org/en/A/77/493" TargetMode="External"/><Relationship Id="rId217" Type="http://schemas.openxmlformats.org/officeDocument/2006/relationships/hyperlink" Target="http://undocs.org/en/A/77/493" TargetMode="External"/><Relationship Id="rId6" Type="http://schemas.openxmlformats.org/officeDocument/2006/relationships/hyperlink" Target="http://undocs.org/en/A/76/336" TargetMode="External"/><Relationship Id="rId23" Type="http://schemas.openxmlformats.org/officeDocument/2006/relationships/hyperlink" Target="https://unsco.unmissions.org/sites/default/files/report_of_the_secretary_general_on_the_implementation_of_scr2334_-_28_september_2022.pdf" TargetMode="External"/><Relationship Id="rId119" Type="http://schemas.openxmlformats.org/officeDocument/2006/relationships/hyperlink" Target="http://undocs.org/en/A/75/376" TargetMode="External"/><Relationship Id="rId44" Type="http://schemas.openxmlformats.org/officeDocument/2006/relationships/hyperlink" Target="http://undocs.org/en/A/76/336" TargetMode="External"/><Relationship Id="rId65" Type="http://schemas.openxmlformats.org/officeDocument/2006/relationships/hyperlink" Target="http://undocs.org/en/A/HRC/37/43" TargetMode="External"/><Relationship Id="rId86" Type="http://schemas.openxmlformats.org/officeDocument/2006/relationships/hyperlink" Target="https://documents-dds-ny.un.org/doc/UNDOC/GEN/N21/262/91/PDF/N2126291.pdf?OpenElement" TargetMode="External"/><Relationship Id="rId130" Type="http://schemas.openxmlformats.org/officeDocument/2006/relationships/hyperlink" Target="http://undocs.org/en/A/HRC/40/42" TargetMode="External"/><Relationship Id="rId151" Type="http://schemas.openxmlformats.org/officeDocument/2006/relationships/hyperlink" Target="http://undocs.org/en/A/77/493" TargetMode="External"/><Relationship Id="rId172" Type="http://schemas.openxmlformats.org/officeDocument/2006/relationships/hyperlink" Target="http://www.haaretz.com/israel-news/2022-11-29/ty-article-magazine/.premium/witnesses-werent-questioned-and-cases-were-closed-the-palestinian-villagers-seek-justice/00000184-be27-d05a-a3b4-ff674bb30000" TargetMode="External"/><Relationship Id="rId193" Type="http://schemas.openxmlformats.org/officeDocument/2006/relationships/hyperlink" Target="http://undocs.org/en/A/HRC/37/43" TargetMode="External"/><Relationship Id="rId207" Type="http://schemas.openxmlformats.org/officeDocument/2006/relationships/hyperlink" Target="https://www.unocha.org/media-centre/humanitarian-reports" TargetMode="External"/><Relationship Id="rId13" Type="http://schemas.openxmlformats.org/officeDocument/2006/relationships/hyperlink" Target="http://undocs.org/en/A/HRC/46/65" TargetMode="External"/><Relationship Id="rId109" Type="http://schemas.openxmlformats.org/officeDocument/2006/relationships/hyperlink" Target="http://undocs.org/en/A/HRC/34/38" TargetMode="External"/><Relationship Id="rId34" Type="http://schemas.openxmlformats.org/officeDocument/2006/relationships/hyperlink" Target="http://www.breakingthesilence.org.il/inside/wp-content/uploads/2020/12/Highway-to-Annexation-Final.pdf" TargetMode="External"/><Relationship Id="rId55" Type="http://schemas.openxmlformats.org/officeDocument/2006/relationships/hyperlink" Target="http://undocs.org/en/A/77/493" TargetMode="External"/><Relationship Id="rId76" Type="http://schemas.openxmlformats.org/officeDocument/2006/relationships/hyperlink" Target="http://www.haaretz.com/israel-news/.premium-six-lies-about-the-cowboy-outposts-in-the-northern-jordan-valley-1.9539497" TargetMode="External"/><Relationship Id="rId97" Type="http://schemas.openxmlformats.org/officeDocument/2006/relationships/hyperlink" Target="http://undocs.org/en/A/77/493" TargetMode="External"/><Relationship Id="rId120" Type="http://schemas.openxmlformats.org/officeDocument/2006/relationships/hyperlink" Target="http://undocs.org/en/A/70/351" TargetMode="External"/><Relationship Id="rId141" Type="http://schemas.openxmlformats.org/officeDocument/2006/relationships/hyperlink" Target="http://undocs.org/en/A/HRC/46/63" TargetMode="External"/><Relationship Id="rId7" Type="http://schemas.openxmlformats.org/officeDocument/2006/relationships/hyperlink" Target="http://undocs.org/en/A/77/493" TargetMode="External"/><Relationship Id="rId162" Type="http://schemas.openxmlformats.org/officeDocument/2006/relationships/hyperlink" Target="http://undocs.org/en/A/77/493" TargetMode="External"/><Relationship Id="rId183" Type="http://schemas.openxmlformats.org/officeDocument/2006/relationships/hyperlink" Target="http://undocs.org/en/A/76/336" TargetMode="External"/><Relationship Id="rId218" Type="http://schemas.openxmlformats.org/officeDocument/2006/relationships/hyperlink" Target="http://undocs.org/en/A/HRC/49/85" TargetMode="External"/><Relationship Id="rId24" Type="http://schemas.openxmlformats.org/officeDocument/2006/relationships/hyperlink" Target="http://www.ir-amim.org.il/en/node/2861" TargetMode="External"/><Relationship Id="rId45" Type="http://schemas.openxmlformats.org/officeDocument/2006/relationships/hyperlink" Target="https://www.israelnationalnews.com/news/237927" TargetMode="External"/><Relationship Id="rId66" Type="http://schemas.openxmlformats.org/officeDocument/2006/relationships/hyperlink" Target="http://undocs.org/en/A/HRC/31/43" TargetMode="External"/><Relationship Id="rId87" Type="http://schemas.openxmlformats.org/officeDocument/2006/relationships/hyperlink" Target="http://www.ir-amim.org.il/sites/default/files/Settlement%20of%20Title%20in%20East%20Jerusalem%20March%202022.pdf" TargetMode="External"/><Relationship Id="rId110" Type="http://schemas.openxmlformats.org/officeDocument/2006/relationships/hyperlink" Target="http://undocs.org/en/CERD/C/ISR/CO/14-16" TargetMode="External"/><Relationship Id="rId131" Type="http://schemas.openxmlformats.org/officeDocument/2006/relationships/hyperlink" Target="http://undocs.org/en/A/77/493" TargetMode="External"/><Relationship Id="rId152" Type="http://schemas.openxmlformats.org/officeDocument/2006/relationships/hyperlink" Target="http://undocs.org/en/A/77/493" TargetMode="External"/><Relationship Id="rId173" Type="http://schemas.openxmlformats.org/officeDocument/2006/relationships/hyperlink" Target="http://undocs.org/en/A/HRC/49/85" TargetMode="External"/><Relationship Id="rId194" Type="http://schemas.openxmlformats.org/officeDocument/2006/relationships/hyperlink" Target="http://undocs.org/en/A/HRC/43/67" TargetMode="External"/><Relationship Id="rId208" Type="http://schemas.openxmlformats.org/officeDocument/2006/relationships/hyperlink" Target="http://undocs.org/en/A/77/493" TargetMode="External"/><Relationship Id="rId14" Type="http://schemas.openxmlformats.org/officeDocument/2006/relationships/hyperlink" Target="http://undocs.org/en/A/HRC/49/85" TargetMode="External"/><Relationship Id="rId30" Type="http://schemas.openxmlformats.org/officeDocument/2006/relationships/hyperlink" Target="http://www.btselem.org/sites/default/files/sites/default/files2/201203_under_the_guise_of_legality_eng.pdf" TargetMode="External"/><Relationship Id="rId35" Type="http://schemas.openxmlformats.org/officeDocument/2006/relationships/hyperlink" Target="http://undocs.org/en/A/77/328" TargetMode="External"/><Relationship Id="rId56" Type="http://schemas.openxmlformats.org/officeDocument/2006/relationships/hyperlink" Target="http://undocs.org/en/A/77/493" TargetMode="External"/><Relationship Id="rId77" Type="http://schemas.openxmlformats.org/officeDocument/2006/relationships/hyperlink" Target="https://www.akevot.org.il/en/news-item/document-revealed-by-akevot-ariel-sharon-instructed-idf-to-create-training-zone-to-displace-palestinians/" TargetMode="External"/><Relationship Id="rId100" Type="http://schemas.openxmlformats.org/officeDocument/2006/relationships/hyperlink" Target="http://www.globalprotectioncluster.org/sites/default/files/2022-08/opt_protection_analysis_update_westbank_aug2022.pdf" TargetMode="External"/><Relationship Id="rId105" Type="http://schemas.openxmlformats.org/officeDocument/2006/relationships/hyperlink" Target="http://www.nevo.co.il/law_html/law65/666_038.htm" TargetMode="External"/><Relationship Id="rId126" Type="http://schemas.openxmlformats.org/officeDocument/2006/relationships/hyperlink" Target="http://undocs.org/en/A/75/376" TargetMode="External"/><Relationship Id="rId147" Type="http://schemas.openxmlformats.org/officeDocument/2006/relationships/hyperlink" Target="https://twitter.com/Yesh_Din/status/1583459965846818817" TargetMode="External"/><Relationship Id="rId168" Type="http://schemas.openxmlformats.org/officeDocument/2006/relationships/hyperlink" Target="http://undocs.org/en/A/76/336" TargetMode="External"/><Relationship Id="rId8" Type="http://schemas.openxmlformats.org/officeDocument/2006/relationships/hyperlink" Target="http://undocs.org/en/A/HRC/37/38" TargetMode="External"/><Relationship Id="rId51" Type="http://schemas.openxmlformats.org/officeDocument/2006/relationships/hyperlink" Target="http://www.btselem.org/press_releases/20210309_new_report_with_keren_navot_this_is_ours_and_this_too" TargetMode="External"/><Relationship Id="rId72" Type="http://schemas.openxmlformats.org/officeDocument/2006/relationships/hyperlink" Target="http://undocs.org/en/A/72/564" TargetMode="External"/><Relationship Id="rId93" Type="http://schemas.openxmlformats.org/officeDocument/2006/relationships/hyperlink" Target="https://www.gov.il/BlobFolder/news/matmedet-3790-2022/he/%D7%95%D7%A2%D7%93%D7%94%20%D7%9E%D7%AA%D7%9E%D7%93%D7%AA%202022.pdf" TargetMode="External"/><Relationship Id="rId98" Type="http://schemas.openxmlformats.org/officeDocument/2006/relationships/hyperlink" Target="http://undocs.org/en/A/72/564" TargetMode="External"/><Relationship Id="rId121" Type="http://schemas.openxmlformats.org/officeDocument/2006/relationships/hyperlink" Target="http://undocs.org/en/A/75/376" TargetMode="External"/><Relationship Id="rId142" Type="http://schemas.openxmlformats.org/officeDocument/2006/relationships/hyperlink" Target="http://www.ochaopt.org/content/palestinians-resisting-forcible-transfer-masaffer-yatta" TargetMode="External"/><Relationship Id="rId163" Type="http://schemas.openxmlformats.org/officeDocument/2006/relationships/hyperlink" Target="http://undocs.org/en/A/76/336" TargetMode="External"/><Relationship Id="rId184" Type="http://schemas.openxmlformats.org/officeDocument/2006/relationships/hyperlink" Target="http://undocs.org/en/A/HRC/49/85" TargetMode="External"/><Relationship Id="rId189" Type="http://schemas.openxmlformats.org/officeDocument/2006/relationships/hyperlink" Target="http://undocs.org/en/A/73/410" TargetMode="External"/><Relationship Id="rId3" Type="http://schemas.openxmlformats.org/officeDocument/2006/relationships/hyperlink" Target="http://undocs.org/en/A/72/564" TargetMode="External"/><Relationship Id="rId214" Type="http://schemas.openxmlformats.org/officeDocument/2006/relationships/hyperlink" Target="http://undocs.org/en/A/HRC/49/85" TargetMode="External"/><Relationship Id="rId25" Type="http://schemas.openxmlformats.org/officeDocument/2006/relationships/hyperlink" Target="http://undocs.org/en/A/HRC/46/65" TargetMode="External"/><Relationship Id="rId46" Type="http://schemas.openxmlformats.org/officeDocument/2006/relationships/hyperlink" Target="http://undocs.org/en/A/HRC/37/43" TargetMode="External"/><Relationship Id="rId67" Type="http://schemas.openxmlformats.org/officeDocument/2006/relationships/hyperlink" Target="http://undocs.org/en/A/HRC/40/42" TargetMode="External"/><Relationship Id="rId116" Type="http://schemas.openxmlformats.org/officeDocument/2006/relationships/hyperlink" Target="http://www.alhaq.org/advocacy/18827.html" TargetMode="External"/><Relationship Id="rId137" Type="http://schemas.openxmlformats.org/officeDocument/2006/relationships/hyperlink" Target="http://undocs.org/en/A/HRC/40/42" TargetMode="External"/><Relationship Id="rId158" Type="http://schemas.openxmlformats.org/officeDocument/2006/relationships/hyperlink" Target="http://undocs.org/en/A/77/493" TargetMode="External"/><Relationship Id="rId20" Type="http://schemas.openxmlformats.org/officeDocument/2006/relationships/hyperlink" Target="https://peacenow.org.il/en/settlements-watch/settlements-data/jerusalem%20(229,377%20in%20East%20Jerusalem" TargetMode="External"/><Relationship Id="rId41" Type="http://schemas.openxmlformats.org/officeDocument/2006/relationships/hyperlink" Target="http://undocs.org/en/A/HRC/49/85" TargetMode="External"/><Relationship Id="rId62" Type="http://schemas.openxmlformats.org/officeDocument/2006/relationships/hyperlink" Target="http://undocs.org/en/A/68/513" TargetMode="External"/><Relationship Id="rId83" Type="http://schemas.openxmlformats.org/officeDocument/2006/relationships/hyperlink" Target="http://undocs.org/en/A/77/493" TargetMode="External"/><Relationship Id="rId88" Type="http://schemas.openxmlformats.org/officeDocument/2006/relationships/hyperlink" Target="http://www.haaretz.com/israel-news/2022-06-26/ty-article/israel-moves-to-register-lands-near-al-aqsa-using-funds-earmarked-for-palestinians/00000181-a154-d19e-ab99-f575f89f0000" TargetMode="External"/><Relationship Id="rId111" Type="http://schemas.openxmlformats.org/officeDocument/2006/relationships/hyperlink" Target="https://www.haaretz.com/israel-news/2021-12-07/ty-article/.premium/demolition-orders-for-palestinians-in-west-banks-area-c-hit-five-year-record/0000017f-f234-d487-abff-f3fef38d0000" TargetMode="External"/><Relationship Id="rId132" Type="http://schemas.openxmlformats.org/officeDocument/2006/relationships/hyperlink" Target="http://undocs.org/en/A/HRC/49/85" TargetMode="External"/><Relationship Id="rId153" Type="http://schemas.openxmlformats.org/officeDocument/2006/relationships/hyperlink" Target="http://undocs.org/en/A/77/493" TargetMode="External"/><Relationship Id="rId174" Type="http://schemas.openxmlformats.org/officeDocument/2006/relationships/hyperlink" Target="http://www.gov.il/BlobFolder/dynamiccollectorresultitem/hr-0007/he/human-rights-replay_investigation-and-prosecutionof-offences-against-palestinians.pdf" TargetMode="External"/><Relationship Id="rId179" Type="http://schemas.openxmlformats.org/officeDocument/2006/relationships/hyperlink" Target="http://undocs.org/en/A/HRC/43/67" TargetMode="External"/><Relationship Id="rId195" Type="http://schemas.openxmlformats.org/officeDocument/2006/relationships/hyperlink" Target="http://undocs.org/en/A/73/410" TargetMode="External"/><Relationship Id="rId209" Type="http://schemas.openxmlformats.org/officeDocument/2006/relationships/hyperlink" Target="https://www.un.org/unispal/document/israeli-settlements-in-the-opt-including-east-jerusalem-and-the-occupied-syrian-golan-secretary-general-report-a-76-336/" TargetMode="External"/><Relationship Id="rId190" Type="http://schemas.openxmlformats.org/officeDocument/2006/relationships/hyperlink" Target="http://undocs.org/en/A/71/355" TargetMode="External"/><Relationship Id="rId204" Type="http://schemas.openxmlformats.org/officeDocument/2006/relationships/hyperlink" Target="http://undocs.org/en/A/HRC/49/85" TargetMode="External"/><Relationship Id="rId15" Type="http://schemas.openxmlformats.org/officeDocument/2006/relationships/hyperlink" Target="http://undocs.org/en/A/HRC/49/25" TargetMode="External"/><Relationship Id="rId36" Type="http://schemas.openxmlformats.org/officeDocument/2006/relationships/hyperlink" Target="http://www.breakingthesilence.org.il/inside/wp-content/uploads/2020/12/Highway-to-Annexation-Final.pdf" TargetMode="External"/><Relationship Id="rId57" Type="http://schemas.openxmlformats.org/officeDocument/2006/relationships/hyperlink" Target="http://undocs.org/en/A/HRC/49/85" TargetMode="External"/><Relationship Id="rId106" Type="http://schemas.openxmlformats.org/officeDocument/2006/relationships/hyperlink" Target="http://undocs.org/en/A/HRC/37/43" TargetMode="External"/><Relationship Id="rId127" Type="http://schemas.openxmlformats.org/officeDocument/2006/relationships/hyperlink" Target="http://undocs.org/en/A/HRC/49/85" TargetMode="External"/><Relationship Id="rId10" Type="http://schemas.openxmlformats.org/officeDocument/2006/relationships/hyperlink" Target="http://undocs.org/en/A/HRC/37/43" TargetMode="External"/><Relationship Id="rId31" Type="http://schemas.openxmlformats.org/officeDocument/2006/relationships/hyperlink" Target="http://undocs.org/en/A/77/328" TargetMode="External"/><Relationship Id="rId52" Type="http://schemas.openxmlformats.org/officeDocument/2006/relationships/hyperlink" Target="http://www.btselem.org/press_releases/20210309_new_report_with_keren_navot_this_is_ours_and_this_too" TargetMode="External"/><Relationship Id="rId73" Type="http://schemas.openxmlformats.org/officeDocument/2006/relationships/hyperlink" Target="http://www.keremnavot.org/a-locked-garden" TargetMode="External"/><Relationship Id="rId78" Type="http://schemas.openxmlformats.org/officeDocument/2006/relationships/hyperlink" Target="https://unsco.unmissions.org/sites/default/files/sg_report_on_the_implementation_of_scr_2334_-_22_june_2022.pdf" TargetMode="External"/><Relationship Id="rId94" Type="http://schemas.openxmlformats.org/officeDocument/2006/relationships/hyperlink" Target="http://undocs.org/en/A/76/336" TargetMode="External"/><Relationship Id="rId99" Type="http://schemas.openxmlformats.org/officeDocument/2006/relationships/hyperlink" Target="http://undocs.org/en/A/77/493" TargetMode="External"/><Relationship Id="rId101" Type="http://schemas.openxmlformats.org/officeDocument/2006/relationships/hyperlink" Target="http://undocs.org/en/CEDAW/C/ISR/CO/6" TargetMode="External"/><Relationship Id="rId122" Type="http://schemas.openxmlformats.org/officeDocument/2006/relationships/hyperlink" Target="https://law.acri.org.il/pdf/unsafe-space-en.pdf" TargetMode="External"/><Relationship Id="rId143" Type="http://schemas.openxmlformats.org/officeDocument/2006/relationships/hyperlink" Target="http://undocs.org/en/A/77/493" TargetMode="External"/><Relationship Id="rId148" Type="http://schemas.openxmlformats.org/officeDocument/2006/relationships/hyperlink" Target="https://www.haaretz.com/middle-east-news/palestinians/2022-10-26/ty-article/.premium/israeli-army-suspends-official-who-helped-settlers-throw-gas-grenades-on-palestinians/00000184-12bd-df0c-a1dc-b3bfaa230000" TargetMode="External"/><Relationship Id="rId164" Type="http://schemas.openxmlformats.org/officeDocument/2006/relationships/hyperlink" Target="http://undocs.org/en/A/HRC/49/85" TargetMode="External"/><Relationship Id="rId169" Type="http://schemas.openxmlformats.org/officeDocument/2006/relationships/hyperlink" Target="http://undocs.org/en/A/HRC/49/85" TargetMode="External"/><Relationship Id="rId185" Type="http://schemas.openxmlformats.org/officeDocument/2006/relationships/hyperlink" Target="http://undocs.org/en/A/77/493" TargetMode="External"/><Relationship Id="rId4" Type="http://schemas.openxmlformats.org/officeDocument/2006/relationships/hyperlink" Target="http://undocs.org/en/A/72/565" TargetMode="External"/><Relationship Id="rId9" Type="http://schemas.openxmlformats.org/officeDocument/2006/relationships/hyperlink" Target="http://undocs.org/en/A/HRC/37/42" TargetMode="External"/><Relationship Id="rId180" Type="http://schemas.openxmlformats.org/officeDocument/2006/relationships/hyperlink" Target="http://undocs.org/en/A/HRC/43/67" TargetMode="External"/><Relationship Id="rId210" Type="http://schemas.openxmlformats.org/officeDocument/2006/relationships/hyperlink" Target="http://www.ochaopt.org/content/statement-united-nations-resident-and-humanitarian-coordinator-occupied-palestinian-territory-lynn-hastings" TargetMode="External"/><Relationship Id="rId215" Type="http://schemas.openxmlformats.org/officeDocument/2006/relationships/hyperlink" Target="http://undocs.org/en/A/77/493" TargetMode="External"/><Relationship Id="rId26" Type="http://schemas.openxmlformats.org/officeDocument/2006/relationships/hyperlink" Target="https://s3.eu-west-1.amazonaws.com/files.yesh-din.org/over+the+border+2022/Meever+Lagvul_ENG.pdf" TargetMode="External"/><Relationship Id="rId47" Type="http://schemas.openxmlformats.org/officeDocument/2006/relationships/hyperlink" Target="https://peacenow.org.il/en/confiscation-order-for-the-eastern-ring-road-was-issued" TargetMode="External"/><Relationship Id="rId68" Type="http://schemas.openxmlformats.org/officeDocument/2006/relationships/hyperlink" Target="http://undocs.org/en/A/HRC/46/65" TargetMode="External"/><Relationship Id="rId89" Type="http://schemas.openxmlformats.org/officeDocument/2006/relationships/hyperlink" Target="https://mailchi.mp/ir-amim/in-a-dramatic-development-israel-initiates-settlement-of-land-title-adjacent-to-al-aqsa-across-abu-thor?e=5dfcd834de" TargetMode="External"/><Relationship Id="rId112" Type="http://schemas.openxmlformats.org/officeDocument/2006/relationships/hyperlink" Target="http://undocs.org/en/A/HRC/43/67" TargetMode="External"/><Relationship Id="rId133" Type="http://schemas.openxmlformats.org/officeDocument/2006/relationships/hyperlink" Target="http://undocs.org/en/A/76/336" TargetMode="External"/><Relationship Id="rId154" Type="http://schemas.openxmlformats.org/officeDocument/2006/relationships/hyperlink" Target="http://undocs.org/en/A/76/336" TargetMode="External"/><Relationship Id="rId175" Type="http://schemas.openxmlformats.org/officeDocument/2006/relationships/hyperlink" Target="http://www.haaretz.com/israel-news/2022-02-07/ty-article-magazine/.premium/charges-are-pressed-in-just-4-of-settler-violence-cases/0000017f-e826-df2c-a1ff-fe77f5090000" TargetMode="External"/><Relationship Id="rId196" Type="http://schemas.openxmlformats.org/officeDocument/2006/relationships/hyperlink" Target="http://www.haaretz.com/israel-news/twilight-zone/2022-07-21/ty-article-magazine/.highlight/a-palestinian-tribe-is-uprooted-for-the-seventh-time/00000182-228a-d15a-a197-73bf44770000" TargetMode="External"/><Relationship Id="rId200" Type="http://schemas.openxmlformats.org/officeDocument/2006/relationships/hyperlink" Target="http://undocs.org/en/A/76/336" TargetMode="External"/><Relationship Id="rId16" Type="http://schemas.openxmlformats.org/officeDocument/2006/relationships/hyperlink" Target="http://undocs.org/en/A/HRC/34/38" TargetMode="External"/><Relationship Id="rId37" Type="http://schemas.openxmlformats.org/officeDocument/2006/relationships/hyperlink" Target="https://peacenow.org.il/en/the-roads-boom-in-2020" TargetMode="External"/><Relationship Id="rId58" Type="http://schemas.openxmlformats.org/officeDocument/2006/relationships/hyperlink" Target="http://undocs.org/en/A/77/493" TargetMode="External"/><Relationship Id="rId79" Type="http://schemas.openxmlformats.org/officeDocument/2006/relationships/hyperlink" Target="https://s3-eu-west-1.amazonaws.com/files.yesh-din.org/Menachsim+Archeology/Menachsim+-+Eng+-+Web.pdf" TargetMode="External"/><Relationship Id="rId102" Type="http://schemas.openxmlformats.org/officeDocument/2006/relationships/hyperlink" Target="http://www.ochaopt.org/content/west-bank-demolitions-and-displacement-july-august-2022" TargetMode="External"/><Relationship Id="rId123" Type="http://schemas.openxmlformats.org/officeDocument/2006/relationships/hyperlink" Target="http://undocs.org/en/A/75/376" TargetMode="External"/><Relationship Id="rId144" Type="http://schemas.openxmlformats.org/officeDocument/2006/relationships/hyperlink" Target="http://undocs.org/en/A/HRC/49/85" TargetMode="External"/><Relationship Id="rId90" Type="http://schemas.openxmlformats.org/officeDocument/2006/relationships/hyperlink" Target="http://www.ir-amim.org.il/sites/default/files/Settlement%20of%20Title%20in%20East%20Jerusalem%20March%202022.pdf" TargetMode="External"/><Relationship Id="rId165" Type="http://schemas.openxmlformats.org/officeDocument/2006/relationships/hyperlink" Target="http://undocs.org/en/CCPR/C/ISR/CO/5" TargetMode="External"/><Relationship Id="rId186" Type="http://schemas.openxmlformats.org/officeDocument/2006/relationships/hyperlink" Target="http://undocs.org/en/A/HRC/43/67" TargetMode="External"/><Relationship Id="rId211" Type="http://schemas.openxmlformats.org/officeDocument/2006/relationships/hyperlink" Target="http://www.ohchr.org/en/press-releases/2022/05/un-experts-alarmed-israel-high-court-ruling-masafer-yatta-and-risk-imminent" TargetMode="External"/><Relationship Id="rId27" Type="http://schemas.openxmlformats.org/officeDocument/2006/relationships/hyperlink" Target="http://undocs.org/en/A/77/356" TargetMode="External"/><Relationship Id="rId48" Type="http://schemas.openxmlformats.org/officeDocument/2006/relationships/hyperlink" Target="https://peacenow.org.il/en/confiscation-order-for-the-eastern-ring-road-was-issued" TargetMode="External"/><Relationship Id="rId69" Type="http://schemas.openxmlformats.org/officeDocument/2006/relationships/hyperlink" Target="https://unsco.unmissions.org/sites/default/files/report_of_the_secretary_general_on_the_implementation_of_scr2334_-_28_september_2022.pdf" TargetMode="External"/><Relationship Id="rId113" Type="http://schemas.openxmlformats.org/officeDocument/2006/relationships/hyperlink" Target="https://peacenow.org.il/en/jerusalem-municipal-data-reveals-stark-israeli-palestinian-discrepancy-in-construction-permits-in-jerusalem" TargetMode="External"/><Relationship Id="rId134" Type="http://schemas.openxmlformats.org/officeDocument/2006/relationships/hyperlink" Target="http://undocs.org/en/A/75/376" TargetMode="External"/><Relationship Id="rId80" Type="http://schemas.openxmlformats.org/officeDocument/2006/relationships/hyperlink" Target="https://emekshaveh.org/en/appropriating-the-past-israels-archaeological-practices-in-the-west-bank/" TargetMode="External"/><Relationship Id="rId155" Type="http://schemas.openxmlformats.org/officeDocument/2006/relationships/hyperlink" Target="http://undocs.org/en/A/HRC/49/85" TargetMode="External"/><Relationship Id="rId176" Type="http://schemas.openxmlformats.org/officeDocument/2006/relationships/hyperlink" Target="http://www.haaretz.com/israel-news/2022-04-25/ty-article-magazine/.highlight/israels-other-justice-system-has-rules-of-its-own/00000180-6566-d824-ad9e-e7664fa10000" TargetMode="External"/><Relationship Id="rId197" Type="http://schemas.openxmlformats.org/officeDocument/2006/relationships/hyperlink" Target="https://www.unocha.org/media-centre/humanitarian-reports" TargetMode="External"/><Relationship Id="rId201" Type="http://schemas.openxmlformats.org/officeDocument/2006/relationships/hyperlink" Target="http://undocs.org/en/A/77/493" TargetMode="External"/><Relationship Id="rId17" Type="http://schemas.openxmlformats.org/officeDocument/2006/relationships/hyperlink" Target="http://undocs.org/en/A/HRC/34/39" TargetMode="External"/><Relationship Id="rId38" Type="http://schemas.openxmlformats.org/officeDocument/2006/relationships/hyperlink" Target="http://www.jlac.ps/userfiles/Salfit-%20JLAC_pub.pdf" TargetMode="External"/><Relationship Id="rId59" Type="http://schemas.openxmlformats.org/officeDocument/2006/relationships/hyperlink" Target="http://undocs.org/en/A/76/336" TargetMode="External"/><Relationship Id="rId103" Type="http://schemas.openxmlformats.org/officeDocument/2006/relationships/hyperlink" Target="http://undocs.org/en/A/HRC/46/65" TargetMode="External"/><Relationship Id="rId124" Type="http://schemas.openxmlformats.org/officeDocument/2006/relationships/hyperlink" Target="http://undocs.org/en/A/70/351" TargetMode="External"/><Relationship Id="rId70" Type="http://schemas.openxmlformats.org/officeDocument/2006/relationships/hyperlink" Target="http://undocs.org/en/A/77/328" TargetMode="External"/><Relationship Id="rId91" Type="http://schemas.openxmlformats.org/officeDocument/2006/relationships/hyperlink" Target="http://www.gov.il/BlobFolder/news/matmedet-3790-2022/he/%D7%95%D7%A2%D7%93%D7%94%20%D7%9E%D7%AA%D7%9E%D7%93%D7%AA%202022.pdf" TargetMode="External"/><Relationship Id="rId145" Type="http://schemas.openxmlformats.org/officeDocument/2006/relationships/hyperlink" Target="http://undocs.org/en/A/76/336" TargetMode="External"/><Relationship Id="rId166" Type="http://schemas.openxmlformats.org/officeDocument/2006/relationships/hyperlink" Target="http://undocs.org/en/A/76/336" TargetMode="External"/><Relationship Id="rId187" Type="http://schemas.openxmlformats.org/officeDocument/2006/relationships/hyperlink" Target="http://undocs.org/en/A/HRC/34/39" TargetMode="External"/><Relationship Id="rId1" Type="http://schemas.openxmlformats.org/officeDocument/2006/relationships/hyperlink" Target="http://undocs.org/en/A/HRC/22/63" TargetMode="External"/><Relationship Id="rId212" Type="http://schemas.openxmlformats.org/officeDocument/2006/relationships/hyperlink" Target="https://www.btselem.org/sites/default/files/2022-10/ICC_preventive_intervention_eng.pdf" TargetMode="External"/><Relationship Id="rId28" Type="http://schemas.openxmlformats.org/officeDocument/2006/relationships/hyperlink" Target="http://undocs.org/en/A/HRC/37/39" TargetMode="External"/><Relationship Id="rId49" Type="http://schemas.openxmlformats.org/officeDocument/2006/relationships/hyperlink" Target="https://peacenow.org.il/en/settlements-watch/settlements-data/population" TargetMode="External"/><Relationship Id="rId114" Type="http://schemas.openxmlformats.org/officeDocument/2006/relationships/hyperlink" Target="http://undocs.org/en/A/HRC/43/67" TargetMode="External"/><Relationship Id="rId60" Type="http://schemas.openxmlformats.org/officeDocument/2006/relationships/hyperlink" Target="http://www.btselem.org/press_releases/20210309_new_report_with_keren_navot_this_is_ours_and_this_too" TargetMode="External"/><Relationship Id="rId81" Type="http://schemas.openxmlformats.org/officeDocument/2006/relationships/hyperlink" Target="https://s3-eu-west-1.amazonaws.com/files.yesh-din.org/Menachsim+Archeology/Menachsim+-+Eng+-+Web.pdfthe%20Past" TargetMode="External"/><Relationship Id="rId135" Type="http://schemas.openxmlformats.org/officeDocument/2006/relationships/hyperlink" Target="http://undocs.org/en/A/76/336" TargetMode="External"/><Relationship Id="rId156" Type="http://schemas.openxmlformats.org/officeDocument/2006/relationships/hyperlink" Target="http://undocs.org/en/S/2022/504" TargetMode="External"/><Relationship Id="rId177" Type="http://schemas.openxmlformats.org/officeDocument/2006/relationships/hyperlink" Target="http://undocs.org/en/A/HRC/43/67" TargetMode="External"/><Relationship Id="rId198" Type="http://schemas.openxmlformats.org/officeDocument/2006/relationships/hyperlink" Target="https://supreme.court.gov.il/sites/en/Pages/home.aspx" TargetMode="External"/><Relationship Id="rId202" Type="http://schemas.openxmlformats.org/officeDocument/2006/relationships/hyperlink" Target="http://undocs.org/en/A/76/336" TargetMode="External"/><Relationship Id="rId18" Type="http://schemas.openxmlformats.org/officeDocument/2006/relationships/hyperlink" Target="http://undocs.org/en/A/HRC/22/63" TargetMode="External"/><Relationship Id="rId39" Type="http://schemas.openxmlformats.org/officeDocument/2006/relationships/hyperlink" Target="http://www.jlac.ps/userfiles/Dhar%20Al%20Maleh%20Appeal.pdf" TargetMode="External"/><Relationship Id="rId50" Type="http://schemas.openxmlformats.org/officeDocument/2006/relationships/hyperlink" Target="https://www.keremnavot.org/_files/ugd/a76eb4_9d3dee006d0e4decac505bf432bbd56e.pdf" TargetMode="External"/><Relationship Id="rId104" Type="http://schemas.openxmlformats.org/officeDocument/2006/relationships/hyperlink" Target="http://www.militarycourtwatch.org/files/server/MO%201651%20.pdf" TargetMode="External"/><Relationship Id="rId125" Type="http://schemas.openxmlformats.org/officeDocument/2006/relationships/hyperlink" Target="http://undocs.org/en/A/HRC/34/39" TargetMode="External"/><Relationship Id="rId146" Type="http://schemas.openxmlformats.org/officeDocument/2006/relationships/hyperlink" Target="http://undocs.org/en/A/75/376" TargetMode="External"/><Relationship Id="rId167" Type="http://schemas.openxmlformats.org/officeDocument/2006/relationships/hyperlink" Target="http://undocs.org/en/A/77/493" TargetMode="External"/><Relationship Id="rId188" Type="http://schemas.openxmlformats.org/officeDocument/2006/relationships/hyperlink" Target="http://undocs.org/en/A/72/564" TargetMode="External"/><Relationship Id="rId71" Type="http://schemas.openxmlformats.org/officeDocument/2006/relationships/hyperlink" Target="http://undocs.org/en/A/77/493" TargetMode="External"/><Relationship Id="rId92" Type="http://schemas.openxmlformats.org/officeDocument/2006/relationships/hyperlink" Target="http://www.gov.il" TargetMode="External"/><Relationship Id="rId213" Type="http://schemas.openxmlformats.org/officeDocument/2006/relationships/hyperlink" Target="https://www.ir-amim.org.il/en/node/2867" TargetMode="External"/><Relationship Id="rId2" Type="http://schemas.openxmlformats.org/officeDocument/2006/relationships/hyperlink" Target="http://undocs.org/en/A/76/336" TargetMode="External"/><Relationship Id="rId29" Type="http://schemas.openxmlformats.org/officeDocument/2006/relationships/hyperlink" Target="http://www.btselem.org/sites/default/files/sites/default/files2/publication/200205_land_grab_eng.pdf" TargetMode="External"/><Relationship Id="rId40" Type="http://schemas.openxmlformats.org/officeDocument/2006/relationships/hyperlink" Target="http://www.jlac.ps/userfiles/Qalqiliya-%20JLAC-%20EU%20feb%202020.pdf" TargetMode="External"/><Relationship Id="rId115" Type="http://schemas.openxmlformats.org/officeDocument/2006/relationships/hyperlink" Target="http://undocs.org/en/A/77/493" TargetMode="External"/><Relationship Id="rId136" Type="http://schemas.openxmlformats.org/officeDocument/2006/relationships/hyperlink" Target="http://undocs.org/en/A/HRC/40/42" TargetMode="External"/><Relationship Id="rId157" Type="http://schemas.openxmlformats.org/officeDocument/2006/relationships/hyperlink" Target="http://undocs.org/en/A/HRC/49/85" TargetMode="External"/><Relationship Id="rId178" Type="http://schemas.openxmlformats.org/officeDocument/2006/relationships/hyperlink" Target="http://undocs.org/en/A/HRC/43/67" TargetMode="External"/><Relationship Id="rId61" Type="http://schemas.openxmlformats.org/officeDocument/2006/relationships/hyperlink" Target="http://undocs.org/en/A/HRC/40/42" TargetMode="External"/><Relationship Id="rId82" Type="http://schemas.openxmlformats.org/officeDocument/2006/relationships/hyperlink" Target="http://www.haaretz.com/israel-news/2022-06-08/ty-article/.highlight/under-settler-pressure-israel-extends-antiquities-authoritys-powers-into-west-bank/00000181-42f8-df72-a5cb-c2ffa4660000" TargetMode="External"/><Relationship Id="rId199" Type="http://schemas.openxmlformats.org/officeDocument/2006/relationships/hyperlink" Target="https://supremedecisions.court.gov.il/Home/Download?path=HebrewVerdicts/22/440/041/v15&amp;fileName=22041440.V15&amp;type=4" TargetMode="External"/><Relationship Id="rId203" Type="http://schemas.openxmlformats.org/officeDocument/2006/relationships/hyperlink" Target="http://www.ohchr.org/en/press-releases/2022/05/un-experts-alarmed-israel-high-court-ruling-masafer-yatta-and-risk-imminent" TargetMode="External"/><Relationship Id="rId19" Type="http://schemas.openxmlformats.org/officeDocument/2006/relationships/hyperlink" Target="https://peacenow.org.il/en/settlements-watch/settlements-data/popul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19</Pages>
  <Words>7879</Words>
  <Characters>44913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A/HRC/52/76</vt:lpstr>
    </vt:vector>
  </TitlesOfParts>
  <Company>DCM</Company>
  <LinksUpToDate>false</LinksUpToDate>
  <CharactersWithSpaces>52687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A/HRC/52/76</dc:title>
  <dc:subject>2302101</dc:subject>
  <dc:creator>pae</dc:creator>
  <cp:keywords/>
  <dc:description>final</dc:description>
  <cp:lastModifiedBy>Veronique</cp:lastModifiedBy>
  <cp:revision>2</cp:revision>
  <dcterms:created xsi:type="dcterms:W3CDTF">2023-03-28T08:47:00Z</dcterms:created>
  <dcterms:modified xsi:type="dcterms:W3CDTF">2023-03-28T08:47:00Z</dcterms:modified>
</cp:coreProperties>
</file>