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1B7F495" w14:textId="77777777" w:rsidTr="00562621">
        <w:trPr>
          <w:trHeight w:val="851"/>
        </w:trPr>
        <w:tc>
          <w:tcPr>
            <w:tcW w:w="1259" w:type="dxa"/>
            <w:tcBorders>
              <w:top w:val="nil"/>
              <w:left w:val="nil"/>
              <w:bottom w:val="single" w:sz="4" w:space="0" w:color="auto"/>
              <w:right w:val="nil"/>
            </w:tcBorders>
          </w:tcPr>
          <w:p w14:paraId="3ACF810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595232F" w14:textId="0432B32E"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573ACC7" w14:textId="6872B061" w:rsidR="00446DE4" w:rsidRPr="00DE3EC0" w:rsidRDefault="005649AD" w:rsidP="005649AD">
            <w:pPr>
              <w:jc w:val="right"/>
            </w:pPr>
            <w:r w:rsidRPr="005649AD">
              <w:rPr>
                <w:sz w:val="40"/>
              </w:rPr>
              <w:t>A</w:t>
            </w:r>
            <w:r>
              <w:t>/HRC/52/9/Add.1</w:t>
            </w:r>
          </w:p>
        </w:tc>
      </w:tr>
      <w:tr w:rsidR="003107FA" w14:paraId="54CFF296" w14:textId="77777777" w:rsidTr="00562621">
        <w:trPr>
          <w:trHeight w:val="2835"/>
        </w:trPr>
        <w:tc>
          <w:tcPr>
            <w:tcW w:w="1259" w:type="dxa"/>
            <w:tcBorders>
              <w:top w:val="single" w:sz="4" w:space="0" w:color="auto"/>
              <w:left w:val="nil"/>
              <w:bottom w:val="single" w:sz="12" w:space="0" w:color="auto"/>
              <w:right w:val="nil"/>
            </w:tcBorders>
          </w:tcPr>
          <w:p w14:paraId="492ECB00" w14:textId="7BFC7CE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32E94CC" w14:textId="2B371A66" w:rsidR="003107FA" w:rsidRPr="00B3317B" w:rsidRDefault="0021293F"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4AF8031A" w14:textId="77777777" w:rsidR="003107FA" w:rsidRDefault="005649AD" w:rsidP="005649AD">
            <w:pPr>
              <w:spacing w:before="240" w:line="240" w:lineRule="exact"/>
            </w:pPr>
            <w:r>
              <w:t>Distr.: General</w:t>
            </w:r>
          </w:p>
          <w:p w14:paraId="6ACB67CF" w14:textId="3E686D03" w:rsidR="005649AD" w:rsidRDefault="005649AD" w:rsidP="005649AD">
            <w:pPr>
              <w:spacing w:line="240" w:lineRule="exact"/>
            </w:pPr>
            <w:r>
              <w:t>1</w:t>
            </w:r>
            <w:r w:rsidR="00557BA8">
              <w:t>6</w:t>
            </w:r>
            <w:r>
              <w:t xml:space="preserve"> March 2023</w:t>
            </w:r>
          </w:p>
          <w:p w14:paraId="5DB71245" w14:textId="77777777" w:rsidR="005649AD" w:rsidRDefault="005649AD" w:rsidP="005649AD">
            <w:pPr>
              <w:spacing w:line="240" w:lineRule="exact"/>
            </w:pPr>
          </w:p>
          <w:p w14:paraId="4D0F08C3" w14:textId="5344D49B" w:rsidR="005649AD" w:rsidRDefault="005649AD" w:rsidP="005649AD">
            <w:pPr>
              <w:spacing w:line="240" w:lineRule="exact"/>
            </w:pPr>
            <w:r>
              <w:t>Original: English</w:t>
            </w:r>
          </w:p>
        </w:tc>
      </w:tr>
    </w:tbl>
    <w:p w14:paraId="31A8950D" w14:textId="77777777" w:rsidR="005649AD" w:rsidRPr="006C7248" w:rsidRDefault="005649AD" w:rsidP="005649AD">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8752" behindDoc="0" locked="0" layoutInCell="1" allowOverlap="0" wp14:anchorId="602FE4A2" wp14:editId="2862F4EB">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1A337" id="Rectangle 2" o:spid="_x0000_s1026" alt="Add" style="position:absolute;margin-left:432.25pt;margin-top:632.1pt;width:50.25pt;height:50.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2B6AD2E4" w14:textId="77777777" w:rsidR="005649AD" w:rsidRDefault="005649AD" w:rsidP="005649AD">
      <w:pPr>
        <w:rPr>
          <w:b/>
          <w:bCs/>
        </w:rPr>
      </w:pPr>
      <w:r>
        <w:rPr>
          <w:b/>
          <w:bCs/>
        </w:rPr>
        <w:t>Fifty-second</w:t>
      </w:r>
      <w:r w:rsidRPr="006C7248">
        <w:rPr>
          <w:b/>
          <w:bCs/>
        </w:rPr>
        <w:t xml:space="preserve"> session</w:t>
      </w:r>
    </w:p>
    <w:p w14:paraId="3C292D06" w14:textId="77777777" w:rsidR="005649AD" w:rsidRPr="00E8346E" w:rsidRDefault="005649AD" w:rsidP="005649AD">
      <w:pPr>
        <w:rPr>
          <w:bCs/>
        </w:rPr>
      </w:pPr>
      <w:r>
        <w:rPr>
          <w:bCs/>
        </w:rPr>
        <w:t>27 February–31 March 2023</w:t>
      </w:r>
    </w:p>
    <w:p w14:paraId="12B121DD" w14:textId="77777777" w:rsidR="005649AD" w:rsidRPr="006C7248" w:rsidRDefault="005649AD" w:rsidP="005649AD">
      <w:r w:rsidRPr="006C7248">
        <w:t>Agenda item 6</w:t>
      </w:r>
    </w:p>
    <w:p w14:paraId="306CD73B" w14:textId="77777777" w:rsidR="005649AD" w:rsidRPr="006C7248" w:rsidRDefault="005649AD" w:rsidP="005649AD">
      <w:pPr>
        <w:rPr>
          <w:b/>
        </w:rPr>
      </w:pPr>
      <w:r>
        <w:rPr>
          <w:b/>
        </w:rPr>
        <w:t>Universal periodic r</w:t>
      </w:r>
      <w:r w:rsidRPr="006C7248">
        <w:rPr>
          <w:b/>
        </w:rPr>
        <w:t>eview</w:t>
      </w:r>
    </w:p>
    <w:p w14:paraId="5A89B1E6" w14:textId="77777777" w:rsidR="005649AD" w:rsidRPr="006C7248" w:rsidRDefault="005649AD" w:rsidP="005649AD">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6F7A989F" w14:textId="70244961" w:rsidR="005649AD" w:rsidRPr="006C7248" w:rsidRDefault="005649AD" w:rsidP="005649AD">
      <w:pPr>
        <w:keepNext/>
        <w:keepLines/>
        <w:tabs>
          <w:tab w:val="right" w:pos="851"/>
        </w:tabs>
        <w:spacing w:before="360" w:after="240" w:line="300" w:lineRule="exact"/>
        <w:ind w:left="1134" w:right="1134" w:hanging="1134"/>
        <w:rPr>
          <w:b/>
          <w:sz w:val="28"/>
        </w:rPr>
      </w:pPr>
      <w:r>
        <w:rPr>
          <w:b/>
          <w:sz w:val="28"/>
        </w:rPr>
        <w:tab/>
      </w:r>
      <w:r>
        <w:rPr>
          <w:b/>
          <w:sz w:val="28"/>
        </w:rPr>
        <w:tab/>
      </w:r>
      <w:r w:rsidR="00601F89">
        <w:rPr>
          <w:b/>
          <w:sz w:val="28"/>
        </w:rPr>
        <w:t>Finland</w:t>
      </w:r>
    </w:p>
    <w:p w14:paraId="4D3E0452" w14:textId="77777777" w:rsidR="005649AD" w:rsidRPr="006C7248" w:rsidRDefault="005649AD" w:rsidP="005649AD">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5F38A1AB" w14:textId="77777777" w:rsidR="005649AD" w:rsidRPr="006C7248" w:rsidRDefault="005649AD" w:rsidP="005649AD">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33A0EEF3" w14:textId="1254B810" w:rsidR="005649AD" w:rsidRPr="005649AD" w:rsidRDefault="005649AD" w:rsidP="000D5519">
      <w:pPr>
        <w:pStyle w:val="SingleTxtG"/>
        <w:rPr>
          <w:lang w:val="en-US"/>
        </w:rPr>
      </w:pPr>
      <w:r w:rsidRPr="006C7248">
        <w:br w:type="page"/>
      </w:r>
      <w:r w:rsidR="000D5519">
        <w:lastRenderedPageBreak/>
        <w:tab/>
        <w:t>1.</w:t>
      </w:r>
      <w:r w:rsidR="000D5519">
        <w:tab/>
      </w:r>
      <w:r w:rsidRPr="005649AD">
        <w:rPr>
          <w:lang w:val="en-US"/>
        </w:rPr>
        <w:t>Finland welcomes the 229 recommendations made during its Fourth Universal Periodic Review on 9 November 2022. After careful examination, Finland is pleased to provide the responses below, with further information in the table annexed. Finland considers 14 of the recommendations to have distinct parts in need of different responses. Further information has been provided in the support</w:t>
      </w:r>
      <w:r w:rsidR="006E6698">
        <w:rPr>
          <w:lang w:val="en-US"/>
        </w:rPr>
        <w:t>ed</w:t>
      </w:r>
      <w:r w:rsidRPr="005649AD">
        <w:rPr>
          <w:lang w:val="en-US"/>
        </w:rPr>
        <w:t>/note</w:t>
      </w:r>
      <w:r w:rsidR="006E6698">
        <w:rPr>
          <w:lang w:val="en-US"/>
        </w:rPr>
        <w:t>d</w:t>
      </w:r>
      <w:r w:rsidRPr="005649AD">
        <w:rPr>
          <w:lang w:val="en-US"/>
        </w:rPr>
        <w:t xml:space="preserve"> section of the annex. Finland supports 168 recommendations and notes 47 as follows</w:t>
      </w:r>
      <w:r w:rsidRPr="00B913B7">
        <w:rPr>
          <w:lang w:val="en-US"/>
        </w:rPr>
        <w:t>:</w:t>
      </w:r>
    </w:p>
    <w:p w14:paraId="3FFB9F71" w14:textId="5CC24FB3" w:rsidR="005649AD" w:rsidRPr="000D5519" w:rsidRDefault="000D5519" w:rsidP="00B95B6D">
      <w:pPr>
        <w:pStyle w:val="H1G"/>
        <w:rPr>
          <w:lang w:val="en-US"/>
        </w:rPr>
      </w:pPr>
      <w:r>
        <w:rPr>
          <w:lang w:val="en-US"/>
        </w:rPr>
        <w:tab/>
      </w:r>
      <w:r>
        <w:rPr>
          <w:lang w:val="en-US"/>
        </w:rPr>
        <w:tab/>
      </w:r>
      <w:r w:rsidR="005649AD" w:rsidRPr="000D5519">
        <w:rPr>
          <w:lang w:val="en-US"/>
        </w:rPr>
        <w:t>Supported</w:t>
      </w:r>
    </w:p>
    <w:p w14:paraId="3320909D" w14:textId="07B3BC99" w:rsidR="005649AD" w:rsidRPr="005649AD" w:rsidRDefault="000D5519" w:rsidP="000D5519">
      <w:pPr>
        <w:pStyle w:val="SingleTxtG"/>
        <w:rPr>
          <w:lang w:val="en-US"/>
        </w:rPr>
      </w:pPr>
      <w:r>
        <w:rPr>
          <w:bCs/>
          <w:lang w:val="en-US"/>
        </w:rPr>
        <w:t>2.</w:t>
      </w:r>
      <w:r>
        <w:rPr>
          <w:bCs/>
          <w:lang w:val="en-US"/>
        </w:rPr>
        <w:tab/>
      </w:r>
      <w:r w:rsidR="005649AD" w:rsidRPr="005649AD">
        <w:rPr>
          <w:lang w:val="en-US"/>
        </w:rPr>
        <w:t>See the annex for further information.</w:t>
      </w:r>
    </w:p>
    <w:p w14:paraId="0358935B" w14:textId="28C7E806" w:rsidR="005649AD" w:rsidRPr="005649AD" w:rsidRDefault="000D5519" w:rsidP="00B95B6D">
      <w:pPr>
        <w:pStyle w:val="H23G"/>
        <w:rPr>
          <w:lang w:val="en-US"/>
        </w:rPr>
      </w:pPr>
      <w:r>
        <w:rPr>
          <w:lang w:val="en-US"/>
        </w:rPr>
        <w:tab/>
      </w:r>
      <w:r>
        <w:rPr>
          <w:lang w:val="en-US"/>
        </w:rPr>
        <w:tab/>
      </w:r>
      <w:r w:rsidR="005649AD" w:rsidRPr="005649AD">
        <w:rPr>
          <w:lang w:val="en-US"/>
        </w:rPr>
        <w:t xml:space="preserve">Scope of </w:t>
      </w:r>
      <w:r>
        <w:rPr>
          <w:lang w:val="en-US"/>
        </w:rPr>
        <w:t>i</w:t>
      </w:r>
      <w:r w:rsidR="005649AD" w:rsidRPr="005649AD">
        <w:rPr>
          <w:lang w:val="en-US"/>
        </w:rPr>
        <w:t xml:space="preserve">nternational </w:t>
      </w:r>
      <w:r>
        <w:rPr>
          <w:lang w:val="en-US"/>
        </w:rPr>
        <w:t>o</w:t>
      </w:r>
      <w:r w:rsidR="005649AD" w:rsidRPr="005649AD">
        <w:rPr>
          <w:lang w:val="en-US"/>
        </w:rPr>
        <w:t>bligations</w:t>
      </w:r>
    </w:p>
    <w:p w14:paraId="7819C600" w14:textId="2FB5D989" w:rsidR="005649AD" w:rsidRPr="005649AD" w:rsidRDefault="00B95B6D" w:rsidP="000D5519">
      <w:pPr>
        <w:pStyle w:val="SingleTxtG"/>
        <w:rPr>
          <w:i/>
          <w:lang w:val="en-US"/>
        </w:rPr>
      </w:pPr>
      <w:r>
        <w:rPr>
          <w:lang w:val="en-US"/>
        </w:rPr>
        <w:tab/>
      </w:r>
      <w:r>
        <w:rPr>
          <w:lang w:val="en-US"/>
        </w:rPr>
        <w:tab/>
      </w:r>
      <w:r w:rsidR="005649AD" w:rsidRPr="005649AD">
        <w:rPr>
          <w:lang w:val="en-US"/>
        </w:rPr>
        <w:t>138.5, 138.6, 138.7, 138.9, 138.10, 138.13, 138.15.</w:t>
      </w:r>
    </w:p>
    <w:p w14:paraId="66444028" w14:textId="47AF803D" w:rsidR="005649AD" w:rsidRPr="005649AD" w:rsidRDefault="000D5519" w:rsidP="00B95B6D">
      <w:pPr>
        <w:pStyle w:val="H23G"/>
        <w:rPr>
          <w:lang w:val="en-US"/>
        </w:rPr>
      </w:pPr>
      <w:r>
        <w:rPr>
          <w:lang w:val="en-US"/>
        </w:rPr>
        <w:tab/>
      </w:r>
      <w:r>
        <w:rPr>
          <w:lang w:val="en-US"/>
        </w:rPr>
        <w:tab/>
      </w:r>
      <w:r w:rsidR="001D601A">
        <w:rPr>
          <w:lang w:val="en-US"/>
        </w:rPr>
        <w:tab/>
      </w:r>
      <w:r w:rsidR="005649AD" w:rsidRPr="005649AD">
        <w:rPr>
          <w:lang w:val="en-US"/>
        </w:rPr>
        <w:t xml:space="preserve">National </w:t>
      </w:r>
      <w:r>
        <w:rPr>
          <w:lang w:val="en-US"/>
        </w:rPr>
        <w:t>l</w:t>
      </w:r>
      <w:r w:rsidR="005649AD" w:rsidRPr="005649AD">
        <w:rPr>
          <w:lang w:val="en-US"/>
        </w:rPr>
        <w:t xml:space="preserve">egal and </w:t>
      </w:r>
      <w:r>
        <w:rPr>
          <w:lang w:val="en-US"/>
        </w:rPr>
        <w:t>i</w:t>
      </w:r>
      <w:r w:rsidR="005649AD" w:rsidRPr="005649AD">
        <w:rPr>
          <w:lang w:val="en-US"/>
        </w:rPr>
        <w:t xml:space="preserve">nstitutional </w:t>
      </w:r>
      <w:r>
        <w:rPr>
          <w:lang w:val="en-US"/>
        </w:rPr>
        <w:t>f</w:t>
      </w:r>
      <w:r w:rsidR="005649AD" w:rsidRPr="005649AD">
        <w:rPr>
          <w:lang w:val="en-US"/>
        </w:rPr>
        <w:t>ramework</w:t>
      </w:r>
    </w:p>
    <w:p w14:paraId="635E3E0F" w14:textId="18976C1A" w:rsidR="005649AD" w:rsidRPr="005649AD" w:rsidRDefault="00B95B6D" w:rsidP="000D5519">
      <w:pPr>
        <w:pStyle w:val="SingleTxtG"/>
        <w:rPr>
          <w:lang w:val="en-US"/>
        </w:rPr>
      </w:pPr>
      <w:r>
        <w:rPr>
          <w:lang w:val="en-US"/>
        </w:rPr>
        <w:tab/>
      </w:r>
      <w:r>
        <w:rPr>
          <w:lang w:val="en-US"/>
        </w:rPr>
        <w:tab/>
      </w:r>
      <w:r w:rsidR="005649AD" w:rsidRPr="005649AD">
        <w:rPr>
          <w:lang w:val="en-US"/>
        </w:rPr>
        <w:t>138.19, 138.20, 138.27, 138.42, 138.83, 138.125.</w:t>
      </w:r>
    </w:p>
    <w:p w14:paraId="08EEE179" w14:textId="309CEB2C" w:rsidR="005649AD" w:rsidRPr="005649AD" w:rsidRDefault="000D5519" w:rsidP="004F68B2">
      <w:pPr>
        <w:pStyle w:val="H23G"/>
        <w:rPr>
          <w:lang w:val="en-US"/>
        </w:rPr>
      </w:pPr>
      <w:r>
        <w:rPr>
          <w:lang w:val="en-US"/>
        </w:rPr>
        <w:tab/>
      </w:r>
      <w:r>
        <w:rPr>
          <w:lang w:val="en-US"/>
        </w:rPr>
        <w:tab/>
      </w:r>
      <w:r w:rsidR="005649AD" w:rsidRPr="005649AD">
        <w:rPr>
          <w:lang w:val="en-US"/>
        </w:rPr>
        <w:t>Equality, non-discrimination, racism and hate speech</w:t>
      </w:r>
    </w:p>
    <w:p w14:paraId="4F4C8372" w14:textId="28D8FE50" w:rsidR="005649AD" w:rsidRPr="005649AD" w:rsidRDefault="00B95B6D" w:rsidP="000D5519">
      <w:pPr>
        <w:pStyle w:val="SingleTxtG"/>
        <w:rPr>
          <w:lang w:val="en-US"/>
        </w:rPr>
      </w:pPr>
      <w:r>
        <w:rPr>
          <w:lang w:val="en-US"/>
        </w:rPr>
        <w:tab/>
      </w:r>
      <w:r>
        <w:rPr>
          <w:lang w:val="en-US"/>
        </w:rPr>
        <w:tab/>
      </w:r>
      <w:r w:rsidR="005649AD" w:rsidRPr="005649AD">
        <w:rPr>
          <w:lang w:val="en-US"/>
        </w:rPr>
        <w:t>138.28, 138.29, 138.30, 138.31, 138.43, 138.44, 138.45, 138.46, 138.47, 138.48, 138.50, 138.51, 138.54, 138.56, 138.57, 138.59, 138.60, 138.61, 138.62, 138.64, 138.65, 138.66, 138.67, 138.68, 138.69, 138.71, 138.73, 138.74, 138.75, 138.76, 138.77, 138.99, 138.100.</w:t>
      </w:r>
    </w:p>
    <w:p w14:paraId="65DDBEE4" w14:textId="78B03ACC" w:rsidR="005649AD" w:rsidRPr="005649AD" w:rsidRDefault="000D5519" w:rsidP="004F68B2">
      <w:pPr>
        <w:pStyle w:val="H23G"/>
        <w:rPr>
          <w:lang w:val="en-US"/>
        </w:rPr>
      </w:pPr>
      <w:r>
        <w:rPr>
          <w:lang w:val="en-US"/>
        </w:rPr>
        <w:tab/>
      </w:r>
      <w:r>
        <w:rPr>
          <w:lang w:val="en-US"/>
        </w:rPr>
        <w:tab/>
      </w:r>
      <w:r w:rsidR="005649AD" w:rsidRPr="005649AD">
        <w:rPr>
          <w:lang w:val="en-US"/>
        </w:rPr>
        <w:t>Climate, environment, business and human rights</w:t>
      </w:r>
    </w:p>
    <w:p w14:paraId="06F12738" w14:textId="3A6E55EB" w:rsidR="005649AD" w:rsidRPr="005649AD" w:rsidRDefault="00B95B6D" w:rsidP="000D5519">
      <w:pPr>
        <w:pStyle w:val="SingleTxtG"/>
        <w:rPr>
          <w:lang w:val="en-US"/>
        </w:rPr>
      </w:pPr>
      <w:r>
        <w:rPr>
          <w:lang w:val="en-US"/>
        </w:rPr>
        <w:tab/>
      </w:r>
      <w:r>
        <w:rPr>
          <w:lang w:val="en-US"/>
        </w:rPr>
        <w:tab/>
      </w:r>
      <w:r w:rsidR="005649AD" w:rsidRPr="005649AD">
        <w:rPr>
          <w:lang w:val="en-US"/>
        </w:rPr>
        <w:t>138.126, 138.127, 138.128, 138.131.</w:t>
      </w:r>
    </w:p>
    <w:p w14:paraId="2956C47B" w14:textId="1BF61056" w:rsidR="005649AD" w:rsidRPr="005649AD" w:rsidRDefault="000D5519" w:rsidP="004F68B2">
      <w:pPr>
        <w:pStyle w:val="H23G"/>
        <w:rPr>
          <w:lang w:val="en-US"/>
        </w:rPr>
      </w:pPr>
      <w:r>
        <w:rPr>
          <w:lang w:val="en-US"/>
        </w:rPr>
        <w:tab/>
      </w:r>
      <w:r>
        <w:rPr>
          <w:lang w:val="en-US"/>
        </w:rPr>
        <w:tab/>
      </w:r>
      <w:r w:rsidR="005649AD" w:rsidRPr="005649AD">
        <w:rPr>
          <w:lang w:val="en-US"/>
        </w:rPr>
        <w:t>Right to life, liberty and security of persons</w:t>
      </w:r>
    </w:p>
    <w:p w14:paraId="00BC6659" w14:textId="5EC90F68" w:rsidR="005649AD" w:rsidRPr="005649AD" w:rsidRDefault="00B95B6D" w:rsidP="000D5519">
      <w:pPr>
        <w:pStyle w:val="SingleTxtG"/>
        <w:rPr>
          <w:lang w:val="en-US"/>
        </w:rPr>
      </w:pPr>
      <w:r>
        <w:rPr>
          <w:lang w:val="en-US"/>
        </w:rPr>
        <w:tab/>
      </w:r>
      <w:r w:rsidR="001D601A">
        <w:rPr>
          <w:lang w:val="en-US"/>
        </w:rPr>
        <w:tab/>
      </w:r>
      <w:r w:rsidR="005649AD" w:rsidRPr="005649AD">
        <w:rPr>
          <w:lang w:val="en-US"/>
        </w:rPr>
        <w:t>138.89, 138.90, 138.91, 138.92, 138.96, 138.97, 138.98.</w:t>
      </w:r>
    </w:p>
    <w:p w14:paraId="1650D074" w14:textId="6DE96778" w:rsidR="005649AD" w:rsidRPr="005649AD" w:rsidRDefault="000D5519" w:rsidP="004F68B2">
      <w:pPr>
        <w:pStyle w:val="H23G"/>
        <w:rPr>
          <w:lang w:val="en-US"/>
        </w:rPr>
      </w:pPr>
      <w:r>
        <w:rPr>
          <w:lang w:val="en-US"/>
        </w:rPr>
        <w:tab/>
      </w:r>
      <w:r>
        <w:rPr>
          <w:lang w:val="en-US"/>
        </w:rPr>
        <w:tab/>
      </w:r>
      <w:r w:rsidR="005649AD" w:rsidRPr="005649AD">
        <w:rPr>
          <w:lang w:val="en-US"/>
        </w:rPr>
        <w:t xml:space="preserve">Legal </w:t>
      </w:r>
      <w:r>
        <w:rPr>
          <w:lang w:val="en-US"/>
        </w:rPr>
        <w:t>s</w:t>
      </w:r>
      <w:r w:rsidR="005649AD" w:rsidRPr="005649AD">
        <w:rPr>
          <w:lang w:val="en-US"/>
        </w:rPr>
        <w:t>ystem</w:t>
      </w:r>
    </w:p>
    <w:p w14:paraId="3559A9AA" w14:textId="3E498CBD" w:rsidR="005649AD" w:rsidRPr="005649AD" w:rsidRDefault="00B95B6D" w:rsidP="000D5519">
      <w:pPr>
        <w:pStyle w:val="SingleTxtG"/>
        <w:rPr>
          <w:lang w:val="en-US"/>
        </w:rPr>
      </w:pPr>
      <w:r>
        <w:rPr>
          <w:lang w:val="en-US"/>
        </w:rPr>
        <w:tab/>
      </w:r>
      <w:r w:rsidR="001D601A">
        <w:rPr>
          <w:lang w:val="en-US"/>
        </w:rPr>
        <w:tab/>
      </w:r>
      <w:r w:rsidR="005649AD" w:rsidRPr="005649AD">
        <w:rPr>
          <w:lang w:val="en-US"/>
        </w:rPr>
        <w:t>138.86, 138.87, 138.88.</w:t>
      </w:r>
    </w:p>
    <w:p w14:paraId="52399206" w14:textId="50AD6A65" w:rsidR="005649AD" w:rsidRPr="005649AD" w:rsidRDefault="000D5519" w:rsidP="004F68B2">
      <w:pPr>
        <w:pStyle w:val="H23G"/>
        <w:rPr>
          <w:lang w:val="en-US"/>
        </w:rPr>
      </w:pPr>
      <w:r>
        <w:rPr>
          <w:lang w:val="en-US"/>
        </w:rPr>
        <w:tab/>
      </w:r>
      <w:r>
        <w:rPr>
          <w:lang w:val="en-US"/>
        </w:rPr>
        <w:tab/>
      </w:r>
      <w:r w:rsidR="00B95B6D">
        <w:rPr>
          <w:lang w:val="en-US"/>
        </w:rPr>
        <w:tab/>
      </w:r>
      <w:r w:rsidR="005649AD" w:rsidRPr="005649AD">
        <w:rPr>
          <w:lang w:val="en-US"/>
        </w:rPr>
        <w:t>Right to an adequate standard of living</w:t>
      </w:r>
    </w:p>
    <w:p w14:paraId="05A3D2A4" w14:textId="3D05B031" w:rsidR="005649AD" w:rsidRPr="005649AD" w:rsidRDefault="00B95B6D" w:rsidP="000D5519">
      <w:pPr>
        <w:pStyle w:val="SingleTxtG"/>
        <w:rPr>
          <w:lang w:val="en-US"/>
        </w:rPr>
      </w:pPr>
      <w:r>
        <w:rPr>
          <w:lang w:val="en-US"/>
        </w:rPr>
        <w:tab/>
      </w:r>
      <w:r w:rsidR="001D601A">
        <w:rPr>
          <w:lang w:val="en-US"/>
        </w:rPr>
        <w:tab/>
      </w:r>
      <w:r w:rsidR="005649AD" w:rsidRPr="005649AD">
        <w:rPr>
          <w:lang w:val="en-US"/>
        </w:rPr>
        <w:t>138.101, 138.102, 138.103, 138.104, 138.111, 138.202.</w:t>
      </w:r>
    </w:p>
    <w:p w14:paraId="0BF06D3B" w14:textId="65D5282E" w:rsidR="005649AD" w:rsidRPr="005649AD" w:rsidRDefault="000D5519" w:rsidP="00B95B6D">
      <w:pPr>
        <w:pStyle w:val="H23G"/>
        <w:rPr>
          <w:lang w:val="en-US"/>
        </w:rPr>
      </w:pPr>
      <w:r>
        <w:rPr>
          <w:lang w:val="en-US"/>
        </w:rPr>
        <w:tab/>
      </w:r>
      <w:r>
        <w:rPr>
          <w:lang w:val="en-US"/>
        </w:rPr>
        <w:tab/>
      </w:r>
      <w:r w:rsidR="005649AD" w:rsidRPr="005649AD">
        <w:rPr>
          <w:lang w:val="en-US"/>
        </w:rPr>
        <w:t>Right to health</w:t>
      </w:r>
    </w:p>
    <w:p w14:paraId="219B1D05" w14:textId="67CB9651" w:rsidR="005649AD" w:rsidRPr="005649AD" w:rsidRDefault="00B95B6D" w:rsidP="000D5519">
      <w:pPr>
        <w:pStyle w:val="SingleTxtG"/>
        <w:rPr>
          <w:lang w:val="en-US"/>
        </w:rPr>
      </w:pPr>
      <w:r>
        <w:rPr>
          <w:lang w:val="en-US"/>
        </w:rPr>
        <w:tab/>
      </w:r>
      <w:r>
        <w:rPr>
          <w:lang w:val="en-US"/>
        </w:rPr>
        <w:tab/>
      </w:r>
      <w:r w:rsidR="005649AD" w:rsidRPr="005649AD">
        <w:rPr>
          <w:lang w:val="en-US"/>
        </w:rPr>
        <w:t>138.105, 138.106, 138.107, 138.108, 138.109, 138.110, 138.112, 138.113, 138.115, 138.116, 138.118.</w:t>
      </w:r>
    </w:p>
    <w:p w14:paraId="78AFB5DF" w14:textId="0DDD2184" w:rsidR="005649AD" w:rsidRPr="005649AD" w:rsidRDefault="000D5519" w:rsidP="00B95B6D">
      <w:pPr>
        <w:pStyle w:val="H23G"/>
        <w:rPr>
          <w:lang w:val="en-US"/>
        </w:rPr>
      </w:pPr>
      <w:r>
        <w:rPr>
          <w:lang w:val="en-US"/>
        </w:rPr>
        <w:tab/>
      </w:r>
      <w:r>
        <w:rPr>
          <w:lang w:val="en-US"/>
        </w:rPr>
        <w:tab/>
      </w:r>
      <w:r w:rsidR="005649AD" w:rsidRPr="005649AD">
        <w:rPr>
          <w:lang w:val="en-US"/>
        </w:rPr>
        <w:t>Right to education</w:t>
      </w:r>
    </w:p>
    <w:p w14:paraId="07E12480" w14:textId="64B6532B" w:rsidR="005649AD" w:rsidRPr="005649AD" w:rsidRDefault="00B95B6D" w:rsidP="000D5519">
      <w:pPr>
        <w:pStyle w:val="SingleTxtG"/>
        <w:rPr>
          <w:lang w:val="en-US"/>
        </w:rPr>
      </w:pPr>
      <w:r>
        <w:rPr>
          <w:lang w:val="en-US"/>
        </w:rPr>
        <w:tab/>
      </w:r>
      <w:r>
        <w:rPr>
          <w:lang w:val="en-US"/>
        </w:rPr>
        <w:tab/>
      </w:r>
      <w:r w:rsidR="005649AD" w:rsidRPr="005649AD">
        <w:rPr>
          <w:lang w:val="en-US"/>
        </w:rPr>
        <w:t>138.119, 138.120, 138.121.</w:t>
      </w:r>
    </w:p>
    <w:p w14:paraId="74F94451" w14:textId="00C1C108" w:rsidR="005649AD" w:rsidRPr="005649AD" w:rsidRDefault="000D5519" w:rsidP="00B95B6D">
      <w:pPr>
        <w:pStyle w:val="H23G"/>
        <w:rPr>
          <w:lang w:val="en-US"/>
        </w:rPr>
      </w:pPr>
      <w:r>
        <w:rPr>
          <w:lang w:val="en-US"/>
        </w:rPr>
        <w:tab/>
      </w:r>
      <w:r>
        <w:rPr>
          <w:lang w:val="en-US"/>
        </w:rPr>
        <w:tab/>
      </w:r>
      <w:r w:rsidR="005649AD" w:rsidRPr="005649AD">
        <w:rPr>
          <w:lang w:val="en-US"/>
        </w:rPr>
        <w:t>Women and domestic violence</w:t>
      </w:r>
    </w:p>
    <w:p w14:paraId="19BECBCB" w14:textId="6B857575" w:rsidR="005649AD" w:rsidRPr="005649AD" w:rsidRDefault="00B95B6D" w:rsidP="000D5519">
      <w:pPr>
        <w:pStyle w:val="SingleTxtG"/>
        <w:rPr>
          <w:lang w:val="en-US"/>
        </w:rPr>
      </w:pPr>
      <w:r>
        <w:rPr>
          <w:lang w:val="en-US"/>
        </w:rPr>
        <w:tab/>
      </w:r>
      <w:r>
        <w:rPr>
          <w:lang w:val="en-US"/>
        </w:rPr>
        <w:tab/>
      </w:r>
      <w:r w:rsidR="005649AD" w:rsidRPr="005649AD">
        <w:rPr>
          <w:lang w:val="en-US"/>
        </w:rPr>
        <w:t>138.34, 138.35, 138.132, 138.133, 138.134, 138.135, 138.136, 138.137, 138.138, 138.139, 138.140, 138.141, 138.142, 138.143, 138.144, 138.145, 138.146, 138.147, 138.148, 138.149, 138.150, 138.151, 138.152, 138.153, 138.155, 138.158, 138.159, 138.160, 138.161, 138.162, 138.163, 138.164, 138.165, 138.166, 138.167, 138.168, 138.169, 138.170, 138.171, 138.172, 138.173, 138.174, 138.175, 138.176, 138.177, 138.178, 138.196.</w:t>
      </w:r>
    </w:p>
    <w:p w14:paraId="688A3C6D" w14:textId="218495EA" w:rsidR="005649AD" w:rsidRPr="005649AD" w:rsidRDefault="000D5519" w:rsidP="00B95B6D">
      <w:pPr>
        <w:pStyle w:val="H23G"/>
        <w:rPr>
          <w:lang w:val="en-US"/>
        </w:rPr>
      </w:pPr>
      <w:r>
        <w:rPr>
          <w:lang w:val="en-US"/>
        </w:rPr>
        <w:tab/>
      </w:r>
      <w:r>
        <w:rPr>
          <w:lang w:val="en-US"/>
        </w:rPr>
        <w:tab/>
      </w:r>
      <w:r w:rsidR="005649AD" w:rsidRPr="005649AD">
        <w:rPr>
          <w:lang w:val="en-US"/>
        </w:rPr>
        <w:t>Children</w:t>
      </w:r>
    </w:p>
    <w:p w14:paraId="1A3D239A" w14:textId="3899B8F5" w:rsidR="005649AD" w:rsidRPr="005649AD" w:rsidRDefault="00B95B6D" w:rsidP="000D5519">
      <w:pPr>
        <w:pStyle w:val="SingleTxtG"/>
        <w:rPr>
          <w:lang w:val="en-US"/>
        </w:rPr>
      </w:pPr>
      <w:r>
        <w:rPr>
          <w:lang w:val="en-US"/>
        </w:rPr>
        <w:tab/>
      </w:r>
      <w:r w:rsidR="001D601A">
        <w:rPr>
          <w:lang w:val="en-US"/>
        </w:rPr>
        <w:tab/>
      </w:r>
      <w:r w:rsidR="005649AD" w:rsidRPr="005649AD">
        <w:rPr>
          <w:lang w:val="en-US"/>
        </w:rPr>
        <w:t>138.114, 138.179, 138.186, 138.188.</w:t>
      </w:r>
    </w:p>
    <w:p w14:paraId="21555D35" w14:textId="015D8B41" w:rsidR="005649AD" w:rsidRPr="005649AD" w:rsidRDefault="000D5519" w:rsidP="00B95B6D">
      <w:pPr>
        <w:pStyle w:val="H23G"/>
        <w:rPr>
          <w:lang w:val="en-US"/>
        </w:rPr>
      </w:pPr>
      <w:r>
        <w:rPr>
          <w:lang w:val="en-US"/>
        </w:rPr>
        <w:lastRenderedPageBreak/>
        <w:tab/>
      </w:r>
      <w:r>
        <w:rPr>
          <w:lang w:val="en-US"/>
        </w:rPr>
        <w:tab/>
      </w:r>
      <w:r w:rsidR="005649AD" w:rsidRPr="005649AD">
        <w:rPr>
          <w:lang w:val="en-US"/>
        </w:rPr>
        <w:t>Minorities</w:t>
      </w:r>
    </w:p>
    <w:p w14:paraId="62E59178" w14:textId="0D61D8FD" w:rsidR="005649AD" w:rsidRPr="005649AD" w:rsidRDefault="001D601A" w:rsidP="000D5519">
      <w:pPr>
        <w:pStyle w:val="SingleTxtG"/>
        <w:rPr>
          <w:lang w:val="en-US"/>
        </w:rPr>
      </w:pPr>
      <w:r>
        <w:rPr>
          <w:lang w:val="en-US"/>
        </w:rPr>
        <w:tab/>
      </w:r>
      <w:r w:rsidR="00B95B6D">
        <w:rPr>
          <w:lang w:val="en-US"/>
        </w:rPr>
        <w:tab/>
      </w:r>
      <w:r w:rsidR="005649AD" w:rsidRPr="005649AD">
        <w:rPr>
          <w:lang w:val="en-US"/>
        </w:rPr>
        <w:t>138.21, 138.22, 138.23, 138.24, 138.25, 138.26, 138.199, 138.200, 138.201, 138.204, 138.205, 138.209, 138.210, 138.211, 138.212.</w:t>
      </w:r>
    </w:p>
    <w:p w14:paraId="5CB3118B" w14:textId="48A030FF" w:rsidR="005649AD" w:rsidRPr="005649AD" w:rsidRDefault="00284ACA" w:rsidP="00B95B6D">
      <w:pPr>
        <w:pStyle w:val="H23G"/>
        <w:rPr>
          <w:lang w:val="en-US"/>
        </w:rPr>
      </w:pPr>
      <w:r>
        <w:rPr>
          <w:lang w:val="en-US"/>
        </w:rPr>
        <w:tab/>
      </w:r>
      <w:r>
        <w:rPr>
          <w:lang w:val="en-US"/>
        </w:rPr>
        <w:tab/>
      </w:r>
      <w:r w:rsidR="005649AD" w:rsidRPr="005649AD">
        <w:rPr>
          <w:lang w:val="en-US"/>
        </w:rPr>
        <w:t>Persons with disabilities</w:t>
      </w:r>
    </w:p>
    <w:p w14:paraId="5CB4E8F8" w14:textId="68814CD4" w:rsidR="005649AD" w:rsidRPr="005649AD" w:rsidRDefault="00B95B6D" w:rsidP="00284ACA">
      <w:pPr>
        <w:pStyle w:val="SingleTxtG"/>
        <w:rPr>
          <w:lang w:val="en-US"/>
        </w:rPr>
      </w:pPr>
      <w:r>
        <w:rPr>
          <w:lang w:val="en-US"/>
        </w:rPr>
        <w:tab/>
      </w:r>
      <w:r w:rsidR="001D601A">
        <w:rPr>
          <w:lang w:val="en-US"/>
        </w:rPr>
        <w:tab/>
      </w:r>
      <w:r w:rsidR="005649AD" w:rsidRPr="005649AD">
        <w:rPr>
          <w:lang w:val="en-US"/>
        </w:rPr>
        <w:t>138.117, 138.190, 138.192, 138.193, 138.195, 138.197, 138.198.</w:t>
      </w:r>
    </w:p>
    <w:p w14:paraId="5EFC897F" w14:textId="4D1CC461" w:rsidR="005649AD" w:rsidRPr="005649AD" w:rsidRDefault="00284ACA" w:rsidP="00B95B6D">
      <w:pPr>
        <w:pStyle w:val="H23G"/>
        <w:rPr>
          <w:lang w:val="en-US"/>
        </w:rPr>
      </w:pPr>
      <w:r>
        <w:rPr>
          <w:lang w:val="en-US"/>
        </w:rPr>
        <w:tab/>
      </w:r>
      <w:r>
        <w:rPr>
          <w:lang w:val="en-US"/>
        </w:rPr>
        <w:tab/>
      </w:r>
      <w:r w:rsidR="005649AD" w:rsidRPr="005649AD">
        <w:rPr>
          <w:lang w:val="en-US"/>
        </w:rPr>
        <w:t>Migrants, refugees and asylum seekers</w:t>
      </w:r>
    </w:p>
    <w:p w14:paraId="1933B930" w14:textId="559C3A00" w:rsidR="005649AD" w:rsidRPr="005649AD" w:rsidRDefault="00B95B6D" w:rsidP="00284ACA">
      <w:pPr>
        <w:pStyle w:val="SingleTxtG"/>
        <w:rPr>
          <w:lang w:val="en-US"/>
        </w:rPr>
      </w:pPr>
      <w:r>
        <w:rPr>
          <w:lang w:val="en-US"/>
        </w:rPr>
        <w:tab/>
      </w:r>
      <w:r w:rsidR="001D601A">
        <w:rPr>
          <w:lang w:val="en-US"/>
        </w:rPr>
        <w:tab/>
      </w:r>
      <w:r w:rsidR="005649AD" w:rsidRPr="005649AD">
        <w:rPr>
          <w:lang w:val="en-US"/>
        </w:rPr>
        <w:t>138.52, 138.214, 138.215, 138.216, 138.217, 138.218, 138.219, 138.220, 138.222, 138.223, 138.224, 138.225, 138.226, 138.228, 138.229.</w:t>
      </w:r>
    </w:p>
    <w:p w14:paraId="70541710" w14:textId="192D8797" w:rsidR="005649AD" w:rsidRPr="005649AD" w:rsidRDefault="00284ACA" w:rsidP="00B95B6D">
      <w:pPr>
        <w:pStyle w:val="H1G"/>
        <w:rPr>
          <w:lang w:val="en-US"/>
        </w:rPr>
      </w:pPr>
      <w:r>
        <w:rPr>
          <w:lang w:val="en-US"/>
        </w:rPr>
        <w:tab/>
      </w:r>
      <w:r>
        <w:rPr>
          <w:lang w:val="en-US"/>
        </w:rPr>
        <w:tab/>
      </w:r>
      <w:r w:rsidR="005649AD" w:rsidRPr="005649AD">
        <w:rPr>
          <w:lang w:val="en-US"/>
        </w:rPr>
        <w:t>Supported/Noted</w:t>
      </w:r>
    </w:p>
    <w:p w14:paraId="6505BC98" w14:textId="2381F8E7" w:rsidR="005649AD" w:rsidRPr="005649AD" w:rsidRDefault="00B95B6D" w:rsidP="00284ACA">
      <w:pPr>
        <w:pStyle w:val="SingleTxtG"/>
        <w:rPr>
          <w:lang w:val="en-US"/>
        </w:rPr>
      </w:pPr>
      <w:r>
        <w:rPr>
          <w:lang w:val="en-US"/>
        </w:rPr>
        <w:t>3.</w:t>
      </w:r>
      <w:r>
        <w:rPr>
          <w:lang w:val="en-US"/>
        </w:rPr>
        <w:tab/>
      </w:r>
      <w:r w:rsidR="005649AD" w:rsidRPr="005649AD">
        <w:rPr>
          <w:lang w:val="en-US"/>
        </w:rPr>
        <w:t xml:space="preserve">The section of the recommendation, which is noted, is </w:t>
      </w:r>
      <w:r w:rsidR="005649AD" w:rsidRPr="005649AD">
        <w:rPr>
          <w:u w:val="single"/>
          <w:lang w:val="en-US"/>
        </w:rPr>
        <w:t>underlined</w:t>
      </w:r>
      <w:r w:rsidR="005649AD" w:rsidRPr="005649AD">
        <w:rPr>
          <w:lang w:val="en-US"/>
        </w:rPr>
        <w:t xml:space="preserve"> in the text. See the annex for further information.</w:t>
      </w:r>
    </w:p>
    <w:p w14:paraId="2820EFC2" w14:textId="725F12C6" w:rsidR="005649AD" w:rsidRPr="005649AD" w:rsidRDefault="00284ACA" w:rsidP="00B95B6D">
      <w:pPr>
        <w:pStyle w:val="H23G"/>
        <w:rPr>
          <w:lang w:val="en-US"/>
        </w:rPr>
      </w:pPr>
      <w:r>
        <w:rPr>
          <w:lang w:val="en-US"/>
        </w:rPr>
        <w:tab/>
      </w:r>
      <w:r>
        <w:rPr>
          <w:lang w:val="en-US"/>
        </w:rPr>
        <w:tab/>
      </w:r>
      <w:r w:rsidR="005649AD" w:rsidRPr="005649AD">
        <w:rPr>
          <w:lang w:val="en-US"/>
        </w:rPr>
        <w:t xml:space="preserve">Scope of </w:t>
      </w:r>
      <w:r>
        <w:rPr>
          <w:lang w:val="en-US"/>
        </w:rPr>
        <w:t>i</w:t>
      </w:r>
      <w:r w:rsidR="005649AD" w:rsidRPr="005649AD">
        <w:rPr>
          <w:lang w:val="en-US"/>
        </w:rPr>
        <w:t xml:space="preserve">nternational </w:t>
      </w:r>
      <w:r>
        <w:rPr>
          <w:lang w:val="en-US"/>
        </w:rPr>
        <w:t>o</w:t>
      </w:r>
      <w:r w:rsidR="005649AD" w:rsidRPr="005649AD">
        <w:rPr>
          <w:lang w:val="en-US"/>
        </w:rPr>
        <w:t>bligations</w:t>
      </w:r>
    </w:p>
    <w:p w14:paraId="0035250B" w14:textId="54338C79" w:rsidR="001D601A" w:rsidRDefault="00B95B6D" w:rsidP="001D601A">
      <w:pPr>
        <w:pStyle w:val="SingleTxtG"/>
        <w:tabs>
          <w:tab w:val="left" w:pos="1701"/>
          <w:tab w:val="left" w:pos="2552"/>
        </w:tabs>
        <w:rPr>
          <w:lang w:val="en-US"/>
        </w:rPr>
      </w:pPr>
      <w:r>
        <w:rPr>
          <w:lang w:val="en-US"/>
        </w:rPr>
        <w:tab/>
      </w:r>
      <w:r w:rsidR="005649AD" w:rsidRPr="005649AD">
        <w:rPr>
          <w:lang w:val="en-US"/>
        </w:rPr>
        <w:t>138.11</w:t>
      </w:r>
      <w:r>
        <w:rPr>
          <w:lang w:val="en-US"/>
        </w:rPr>
        <w:t xml:space="preserve">. </w:t>
      </w:r>
      <w:r w:rsidR="005649AD" w:rsidRPr="005649AD">
        <w:rPr>
          <w:u w:val="single"/>
          <w:lang w:val="en-US"/>
        </w:rPr>
        <w:t>Ratify ILO Convention No. 169, on Indigenous Peoples’ rights</w:t>
      </w:r>
      <w:r w:rsidR="005649AD" w:rsidRPr="005649AD">
        <w:rPr>
          <w:lang w:val="en-US"/>
        </w:rPr>
        <w:t xml:space="preserve">, and redouble efforts to ensure the realization of all of the human rights of the Indigenous Sami people, particularly to a healthy environment and to receive education, social care and health services in their own language; 138.14 </w:t>
      </w:r>
      <w:r w:rsidR="005649AD" w:rsidRPr="005649AD">
        <w:rPr>
          <w:u w:val="single"/>
          <w:lang w:val="en-US"/>
        </w:rPr>
        <w:t xml:space="preserve">finalize the ratification process of ILO Convention </w:t>
      </w:r>
      <w:proofErr w:type="gramStart"/>
      <w:r w:rsidR="005649AD" w:rsidRPr="005649AD">
        <w:rPr>
          <w:u w:val="single"/>
          <w:lang w:val="en-US"/>
        </w:rPr>
        <w:t>No. 169</w:t>
      </w:r>
      <w:r w:rsidR="005649AD" w:rsidRPr="005649AD">
        <w:rPr>
          <w:lang w:val="en-US"/>
        </w:rPr>
        <w:t>, and</w:t>
      </w:r>
      <w:proofErr w:type="gramEnd"/>
      <w:r w:rsidR="005649AD" w:rsidRPr="005649AD">
        <w:rPr>
          <w:lang w:val="en-US"/>
        </w:rPr>
        <w:t xml:space="preserve"> strengthen measures to obtain the free and informed consent of the Sami people on projects that affect them.</w:t>
      </w:r>
    </w:p>
    <w:p w14:paraId="51CAA4B7" w14:textId="619AF526" w:rsidR="005649AD" w:rsidRPr="005649AD" w:rsidRDefault="00B95B6D" w:rsidP="001D601A">
      <w:pPr>
        <w:pStyle w:val="SingleTxtG"/>
        <w:tabs>
          <w:tab w:val="left" w:pos="1701"/>
          <w:tab w:val="left" w:pos="2552"/>
        </w:tabs>
        <w:rPr>
          <w:lang w:val="en-US"/>
        </w:rPr>
      </w:pPr>
      <w:r>
        <w:rPr>
          <w:lang w:val="en-US"/>
        </w:rPr>
        <w:tab/>
      </w:r>
      <w:r w:rsidR="005649AD" w:rsidRPr="005649AD">
        <w:rPr>
          <w:lang w:val="en-US"/>
        </w:rPr>
        <w:t>138.18</w:t>
      </w:r>
      <w:r>
        <w:rPr>
          <w:lang w:val="en-US"/>
        </w:rPr>
        <w:t xml:space="preserve">. </w:t>
      </w:r>
      <w:r w:rsidR="005649AD" w:rsidRPr="005649AD">
        <w:rPr>
          <w:u w:val="single"/>
          <w:lang w:val="en-US"/>
        </w:rPr>
        <w:t xml:space="preserve">Withdraw the reservations to the Convention on the Status of Stateless Persons </w:t>
      </w:r>
      <w:r w:rsidR="005649AD" w:rsidRPr="005649AD">
        <w:rPr>
          <w:lang w:val="en-US"/>
        </w:rPr>
        <w:t>and strengthen its application system of the refuge institution, with international cooperation as one of the pillars for its implementation.</w:t>
      </w:r>
    </w:p>
    <w:p w14:paraId="22952A3B" w14:textId="34C80FFA" w:rsidR="005649AD" w:rsidRPr="005649AD" w:rsidRDefault="00284ACA" w:rsidP="00B95B6D">
      <w:pPr>
        <w:pStyle w:val="H23G"/>
        <w:rPr>
          <w:lang w:val="en-US"/>
        </w:rPr>
      </w:pPr>
      <w:r>
        <w:rPr>
          <w:lang w:val="en-US"/>
        </w:rPr>
        <w:tab/>
      </w:r>
      <w:r>
        <w:rPr>
          <w:lang w:val="en-US"/>
        </w:rPr>
        <w:tab/>
      </w:r>
      <w:r w:rsidR="005649AD" w:rsidRPr="005649AD">
        <w:rPr>
          <w:lang w:val="en-US"/>
        </w:rPr>
        <w:t>Equality, non-discrimination, racism and hate speech</w:t>
      </w:r>
    </w:p>
    <w:p w14:paraId="058D0A91" w14:textId="10BBAF90" w:rsidR="001D601A" w:rsidRDefault="001D601A" w:rsidP="001D601A">
      <w:pPr>
        <w:pStyle w:val="SingleTxtG"/>
        <w:tabs>
          <w:tab w:val="left" w:pos="1701"/>
          <w:tab w:val="left" w:pos="2552"/>
        </w:tabs>
        <w:rPr>
          <w:lang w:val="en-US"/>
        </w:rPr>
      </w:pPr>
      <w:r>
        <w:rPr>
          <w:lang w:val="en-US"/>
        </w:rPr>
        <w:tab/>
      </w:r>
      <w:r w:rsidR="005649AD" w:rsidRPr="005649AD">
        <w:rPr>
          <w:lang w:val="en-US"/>
        </w:rPr>
        <w:t>138.49</w:t>
      </w:r>
      <w:r w:rsidR="00B95B6D">
        <w:rPr>
          <w:lang w:val="en-US"/>
        </w:rPr>
        <w:t xml:space="preserve">. </w:t>
      </w:r>
      <w:r w:rsidR="005649AD" w:rsidRPr="00B913B7">
        <w:rPr>
          <w:u w:val="single"/>
          <w:lang w:val="en-US"/>
        </w:rPr>
        <w:t>Guarantee the application of more effective measures to combat racism, with adequate resources in all existing institutions and policies</w:t>
      </w:r>
      <w:r w:rsidR="005649AD" w:rsidRPr="005649AD">
        <w:rPr>
          <w:lang w:val="en-US"/>
        </w:rPr>
        <w:t xml:space="preserve">; ensure that the security forces receive mandatory training in human rights, especially in the fight against discrimination and hate speech; ensure that judicial authorities conduct prompt and impartial investigations and trials for hate crimes committed by police and security forces; and ensure a credible protection </w:t>
      </w:r>
      <w:proofErr w:type="spellStart"/>
      <w:r w:rsidR="005649AD" w:rsidRPr="005649AD">
        <w:rPr>
          <w:lang w:val="en-US"/>
        </w:rPr>
        <w:t>programme</w:t>
      </w:r>
      <w:proofErr w:type="spellEnd"/>
      <w:r w:rsidR="005649AD" w:rsidRPr="005649AD">
        <w:rPr>
          <w:lang w:val="en-US"/>
        </w:rPr>
        <w:t xml:space="preserve"> for victims.</w:t>
      </w:r>
    </w:p>
    <w:p w14:paraId="435C6445" w14:textId="7BC2681B" w:rsidR="005649AD" w:rsidRPr="00B913B7" w:rsidRDefault="00B95B6D" w:rsidP="001D601A">
      <w:pPr>
        <w:pStyle w:val="SingleTxtG"/>
        <w:tabs>
          <w:tab w:val="left" w:pos="1701"/>
          <w:tab w:val="left" w:pos="2552"/>
        </w:tabs>
        <w:rPr>
          <w:u w:val="single"/>
          <w:lang w:val="en-US"/>
        </w:rPr>
      </w:pPr>
      <w:r>
        <w:rPr>
          <w:lang w:val="en-US"/>
        </w:rPr>
        <w:tab/>
      </w:r>
      <w:r w:rsidR="005649AD" w:rsidRPr="005649AD">
        <w:rPr>
          <w:lang w:val="en-US"/>
        </w:rPr>
        <w:t>138.58</w:t>
      </w:r>
      <w:r>
        <w:rPr>
          <w:lang w:val="en-US"/>
        </w:rPr>
        <w:t xml:space="preserve">. </w:t>
      </w:r>
      <w:r w:rsidR="005649AD" w:rsidRPr="005649AD">
        <w:rPr>
          <w:lang w:val="en-US"/>
        </w:rPr>
        <w:t xml:space="preserve">Continue strengthening laws that combat racism and hate crimes </w:t>
      </w:r>
      <w:r w:rsidR="005649AD" w:rsidRPr="00B913B7">
        <w:rPr>
          <w:u w:val="single"/>
          <w:lang w:val="en-US"/>
        </w:rPr>
        <w:t>by ensuring effective and prompt investigations and prosecutions of hate crimes.</w:t>
      </w:r>
    </w:p>
    <w:p w14:paraId="1B0BD395" w14:textId="21619CC7" w:rsidR="005649AD" w:rsidRPr="005649AD" w:rsidRDefault="00284ACA" w:rsidP="00067F0E">
      <w:pPr>
        <w:pStyle w:val="H23G"/>
        <w:rPr>
          <w:lang w:val="en-US"/>
        </w:rPr>
      </w:pPr>
      <w:r>
        <w:rPr>
          <w:lang w:val="en-US"/>
        </w:rPr>
        <w:tab/>
      </w:r>
      <w:r>
        <w:rPr>
          <w:lang w:val="en-US"/>
        </w:rPr>
        <w:tab/>
      </w:r>
      <w:r w:rsidR="005649AD" w:rsidRPr="005649AD">
        <w:rPr>
          <w:lang w:val="en-US"/>
        </w:rPr>
        <w:t>Climate, the environment, business and human rights</w:t>
      </w:r>
    </w:p>
    <w:p w14:paraId="0BFB226D" w14:textId="6C20BDFB" w:rsidR="001D601A" w:rsidRPr="005649AD" w:rsidRDefault="00B95B6D" w:rsidP="001D601A">
      <w:pPr>
        <w:pStyle w:val="SingleTxtG"/>
        <w:tabs>
          <w:tab w:val="left" w:pos="1701"/>
          <w:tab w:val="left" w:pos="2552"/>
        </w:tabs>
        <w:rPr>
          <w:lang w:val="en-US"/>
        </w:rPr>
      </w:pPr>
      <w:r>
        <w:rPr>
          <w:lang w:val="en-US"/>
        </w:rPr>
        <w:tab/>
      </w:r>
      <w:r w:rsidR="005649AD" w:rsidRPr="005649AD">
        <w:rPr>
          <w:lang w:val="en-US"/>
        </w:rPr>
        <w:t>138.40</w:t>
      </w:r>
      <w:r>
        <w:rPr>
          <w:lang w:val="en-US"/>
        </w:rPr>
        <w:t xml:space="preserve">. </w:t>
      </w:r>
      <w:r w:rsidR="005649AD" w:rsidRPr="005649AD">
        <w:rPr>
          <w:lang w:val="en-US"/>
        </w:rPr>
        <w:t xml:space="preserve">Continue promoting a business and human rights agenda, </w:t>
      </w:r>
      <w:r w:rsidR="005649AD" w:rsidRPr="00B913B7">
        <w:rPr>
          <w:u w:val="single"/>
          <w:lang w:val="en-US"/>
        </w:rPr>
        <w:t>for example by providing technical cooperation and capacity-building activities for interested States in developing their national action plans and conducting human rights due diligence</w:t>
      </w:r>
      <w:r w:rsidR="005649AD" w:rsidRPr="005649AD">
        <w:rPr>
          <w:lang w:val="en-US"/>
        </w:rPr>
        <w:t>.</w:t>
      </w:r>
      <w:bookmarkStart w:id="0" w:name="_Hlk129790223"/>
    </w:p>
    <w:bookmarkEnd w:id="0"/>
    <w:p w14:paraId="0C9AB2F2" w14:textId="75612792" w:rsidR="005649AD" w:rsidRPr="005649AD" w:rsidRDefault="00284ACA" w:rsidP="00B95B6D">
      <w:pPr>
        <w:pStyle w:val="H23G"/>
        <w:rPr>
          <w:lang w:val="fi-FI"/>
        </w:rPr>
      </w:pPr>
      <w:r>
        <w:rPr>
          <w:lang w:val="fi-FI"/>
        </w:rPr>
        <w:tab/>
      </w:r>
      <w:r>
        <w:rPr>
          <w:lang w:val="fi-FI"/>
        </w:rPr>
        <w:tab/>
      </w:r>
      <w:r w:rsidR="005649AD" w:rsidRPr="005649AD">
        <w:rPr>
          <w:lang w:val="fi-FI"/>
        </w:rPr>
        <w:t xml:space="preserve">Legal </w:t>
      </w:r>
      <w:r>
        <w:rPr>
          <w:lang w:val="fi-FI"/>
        </w:rPr>
        <w:t>s</w:t>
      </w:r>
      <w:r w:rsidR="005649AD" w:rsidRPr="005649AD">
        <w:rPr>
          <w:lang w:val="fi-FI"/>
        </w:rPr>
        <w:t>ystem</w:t>
      </w:r>
    </w:p>
    <w:p w14:paraId="4DEDD2AD" w14:textId="3F252EDC" w:rsidR="001D601A" w:rsidRPr="005649AD" w:rsidRDefault="00B95B6D" w:rsidP="001D601A">
      <w:pPr>
        <w:pStyle w:val="SingleTxtG"/>
        <w:tabs>
          <w:tab w:val="left" w:pos="1701"/>
          <w:tab w:val="left" w:pos="2552"/>
        </w:tabs>
        <w:rPr>
          <w:lang w:val="en-US"/>
        </w:rPr>
      </w:pPr>
      <w:r>
        <w:rPr>
          <w:lang w:val="en-US"/>
        </w:rPr>
        <w:tab/>
      </w:r>
      <w:r w:rsidR="005649AD" w:rsidRPr="005649AD">
        <w:rPr>
          <w:lang w:val="en-US"/>
        </w:rPr>
        <w:t>138.85</w:t>
      </w:r>
      <w:r>
        <w:rPr>
          <w:lang w:val="en-US"/>
        </w:rPr>
        <w:t xml:space="preserve">. </w:t>
      </w:r>
      <w:r w:rsidR="005649AD" w:rsidRPr="005649AD">
        <w:rPr>
          <w:lang w:val="en-US"/>
        </w:rPr>
        <w:t xml:space="preserve">Encourage the reporting of hate crimes and </w:t>
      </w:r>
      <w:r w:rsidR="005649AD" w:rsidRPr="005649AD">
        <w:rPr>
          <w:u w:val="single"/>
          <w:lang w:val="en-US"/>
        </w:rPr>
        <w:t>ensure that hate crimes are thoroughly investigated</w:t>
      </w:r>
      <w:r w:rsidR="005649AD" w:rsidRPr="005649AD">
        <w:rPr>
          <w:lang w:val="en-US"/>
        </w:rPr>
        <w:t xml:space="preserve">, perpetrators </w:t>
      </w:r>
      <w:proofErr w:type="gramStart"/>
      <w:r w:rsidR="005649AD" w:rsidRPr="005649AD">
        <w:rPr>
          <w:lang w:val="en-US"/>
        </w:rPr>
        <w:t>prosecuted</w:t>
      </w:r>
      <w:proofErr w:type="gramEnd"/>
      <w:r w:rsidR="005649AD" w:rsidRPr="005649AD">
        <w:rPr>
          <w:lang w:val="en-US"/>
        </w:rPr>
        <w:t xml:space="preserve"> and victims provided with effective remedies.</w:t>
      </w:r>
    </w:p>
    <w:p w14:paraId="26018823" w14:textId="3F541FFC" w:rsidR="005649AD" w:rsidRPr="005649AD" w:rsidRDefault="00284ACA" w:rsidP="00B95B6D">
      <w:pPr>
        <w:pStyle w:val="H23G"/>
        <w:rPr>
          <w:lang w:val="fi-FI"/>
        </w:rPr>
      </w:pPr>
      <w:r>
        <w:rPr>
          <w:lang w:val="fi-FI"/>
        </w:rPr>
        <w:tab/>
      </w:r>
      <w:r>
        <w:rPr>
          <w:lang w:val="fi-FI"/>
        </w:rPr>
        <w:tab/>
      </w:r>
      <w:r w:rsidR="005649AD" w:rsidRPr="005649AD">
        <w:rPr>
          <w:lang w:val="fi-FI"/>
        </w:rPr>
        <w:t>Women and domestic violence</w:t>
      </w:r>
    </w:p>
    <w:p w14:paraId="143402A2" w14:textId="10837E53" w:rsidR="001D601A" w:rsidRPr="005649AD" w:rsidRDefault="001D601A" w:rsidP="001D601A">
      <w:pPr>
        <w:pStyle w:val="SingleTxtG"/>
        <w:tabs>
          <w:tab w:val="left" w:pos="1701"/>
          <w:tab w:val="left" w:pos="2552"/>
        </w:tabs>
        <w:rPr>
          <w:lang w:val="en-US"/>
        </w:rPr>
      </w:pPr>
      <w:r>
        <w:rPr>
          <w:lang w:val="en-US"/>
        </w:rPr>
        <w:tab/>
      </w:r>
      <w:r w:rsidR="005649AD" w:rsidRPr="005649AD">
        <w:rPr>
          <w:lang w:val="en-US"/>
        </w:rPr>
        <w:t>138.33</w:t>
      </w:r>
      <w:r w:rsidR="00B95B6D">
        <w:rPr>
          <w:lang w:val="en-US"/>
        </w:rPr>
        <w:t xml:space="preserve">. </w:t>
      </w:r>
      <w:r w:rsidR="005649AD" w:rsidRPr="005649AD">
        <w:rPr>
          <w:lang w:val="en-US"/>
        </w:rPr>
        <w:t xml:space="preserve">Continue to address sexual and gender-based violence, including </w:t>
      </w:r>
      <w:r w:rsidR="005649AD" w:rsidRPr="005649AD">
        <w:rPr>
          <w:u w:val="single"/>
          <w:lang w:val="en-US"/>
        </w:rPr>
        <w:t>by adopting specific legislation criminalizing forced marriage</w:t>
      </w:r>
      <w:r w:rsidR="005649AD" w:rsidRPr="005649AD">
        <w:rPr>
          <w:lang w:val="en-US"/>
        </w:rPr>
        <w:t>.</w:t>
      </w:r>
    </w:p>
    <w:p w14:paraId="358C2C0E" w14:textId="62CAD7EA" w:rsidR="005649AD" w:rsidRPr="005649AD" w:rsidRDefault="00284ACA" w:rsidP="00067F0E">
      <w:pPr>
        <w:pStyle w:val="H23G"/>
        <w:rPr>
          <w:lang w:val="fi-FI"/>
        </w:rPr>
      </w:pPr>
      <w:r>
        <w:rPr>
          <w:lang w:val="fi-FI"/>
        </w:rPr>
        <w:lastRenderedPageBreak/>
        <w:tab/>
      </w:r>
      <w:r>
        <w:rPr>
          <w:lang w:val="fi-FI"/>
        </w:rPr>
        <w:tab/>
      </w:r>
      <w:r w:rsidR="005649AD" w:rsidRPr="005649AD">
        <w:rPr>
          <w:lang w:val="fi-FI"/>
        </w:rPr>
        <w:t>Children</w:t>
      </w:r>
    </w:p>
    <w:p w14:paraId="6F91DFB9" w14:textId="7AD67F76" w:rsidR="001D601A" w:rsidRPr="005649AD" w:rsidRDefault="001D601A" w:rsidP="001D601A">
      <w:pPr>
        <w:pStyle w:val="SingleTxtG"/>
        <w:tabs>
          <w:tab w:val="left" w:pos="1701"/>
          <w:tab w:val="left" w:pos="2552"/>
        </w:tabs>
        <w:rPr>
          <w:lang w:val="en-US"/>
        </w:rPr>
      </w:pPr>
      <w:r>
        <w:rPr>
          <w:lang w:val="en-US"/>
        </w:rPr>
        <w:tab/>
      </w:r>
      <w:r w:rsidR="005649AD" w:rsidRPr="005649AD">
        <w:rPr>
          <w:lang w:val="en-US"/>
        </w:rPr>
        <w:t>138.180</w:t>
      </w:r>
      <w:r w:rsidR="00B95B6D">
        <w:rPr>
          <w:lang w:val="en-US"/>
        </w:rPr>
        <w:t xml:space="preserve">. </w:t>
      </w:r>
      <w:r w:rsidR="005649AD" w:rsidRPr="005649AD">
        <w:rPr>
          <w:lang w:val="en-US"/>
        </w:rPr>
        <w:t xml:space="preserve">Reform the immigration law, seeking to safeguard the best interests of the child, </w:t>
      </w:r>
      <w:r w:rsidR="005649AD" w:rsidRPr="005649AD">
        <w:rPr>
          <w:u w:val="single"/>
          <w:lang w:val="en-US"/>
        </w:rPr>
        <w:t>put an end to the detention of minors</w:t>
      </w:r>
      <w:r w:rsidR="005649AD" w:rsidRPr="005649AD">
        <w:rPr>
          <w:lang w:val="en-US"/>
        </w:rPr>
        <w:t>, and facilitate family reunification</w:t>
      </w:r>
      <w:r w:rsidR="005649AD" w:rsidRPr="00067F0E">
        <w:rPr>
          <w:lang w:val="en-US"/>
        </w:rPr>
        <w:t>;</w:t>
      </w:r>
      <w:r w:rsidR="00067F0E">
        <w:rPr>
          <w:lang w:val="en-US"/>
        </w:rPr>
        <w:t xml:space="preserve"> </w:t>
      </w:r>
      <w:r w:rsidR="005649AD" w:rsidRPr="005649AD">
        <w:rPr>
          <w:lang w:val="en-US"/>
        </w:rPr>
        <w:t>138.182</w:t>
      </w:r>
      <w:r w:rsidR="00B95B6D">
        <w:rPr>
          <w:lang w:val="en-US"/>
        </w:rPr>
        <w:t xml:space="preserve">. </w:t>
      </w:r>
      <w:r w:rsidR="005649AD" w:rsidRPr="005649AD">
        <w:rPr>
          <w:u w:val="single"/>
          <w:lang w:val="en-US"/>
        </w:rPr>
        <w:t>ensure that children are not detained for immigration-related purposes</w:t>
      </w:r>
      <w:r w:rsidR="005649AD" w:rsidRPr="005649AD">
        <w:rPr>
          <w:lang w:val="en-US"/>
        </w:rPr>
        <w:t xml:space="preserve"> and explore alternatives to detention that are appropriate for their age and specific circumstances; 138.183 </w:t>
      </w:r>
      <w:r w:rsidR="005649AD" w:rsidRPr="005649AD">
        <w:rPr>
          <w:u w:val="single"/>
          <w:lang w:val="en-US"/>
        </w:rPr>
        <w:t>prohibit the detention of children in migration</w:t>
      </w:r>
      <w:r w:rsidR="005649AD" w:rsidRPr="005649AD">
        <w:rPr>
          <w:lang w:val="en-US"/>
        </w:rPr>
        <w:t>, by developing alternatives to detention for children and their family members</w:t>
      </w:r>
      <w:r w:rsidR="005649AD" w:rsidRPr="00067F0E">
        <w:rPr>
          <w:lang w:val="en-US"/>
        </w:rPr>
        <w:t>;</w:t>
      </w:r>
      <w:r w:rsidR="00067F0E">
        <w:rPr>
          <w:lang w:val="en-US"/>
        </w:rPr>
        <w:t xml:space="preserve"> </w:t>
      </w:r>
      <w:r w:rsidR="005649AD" w:rsidRPr="005649AD">
        <w:rPr>
          <w:lang w:val="en-US"/>
        </w:rPr>
        <w:t>138.185</w:t>
      </w:r>
      <w:r w:rsidR="00B95B6D">
        <w:rPr>
          <w:lang w:val="en-US"/>
        </w:rPr>
        <w:t xml:space="preserve">. </w:t>
      </w:r>
      <w:r w:rsidR="005649AD" w:rsidRPr="005649AD">
        <w:rPr>
          <w:u w:val="single"/>
          <w:lang w:val="en-US"/>
        </w:rPr>
        <w:t>prohibit the detention of children for breach of immigration law</w:t>
      </w:r>
      <w:r w:rsidR="005649AD" w:rsidRPr="005649AD">
        <w:rPr>
          <w:lang w:val="en-US"/>
        </w:rPr>
        <w:t xml:space="preserve"> and provide alternatives to detention.</w:t>
      </w:r>
      <w:bookmarkStart w:id="1" w:name="_Hlk129790308"/>
    </w:p>
    <w:bookmarkEnd w:id="1"/>
    <w:p w14:paraId="694E616D" w14:textId="601592C8" w:rsidR="005649AD" w:rsidRPr="005649AD" w:rsidRDefault="00284ACA" w:rsidP="00067F0E">
      <w:pPr>
        <w:pStyle w:val="H23G"/>
        <w:rPr>
          <w:lang w:val="fi-FI"/>
        </w:rPr>
      </w:pPr>
      <w:r>
        <w:rPr>
          <w:lang w:val="fi-FI"/>
        </w:rPr>
        <w:tab/>
      </w:r>
      <w:r>
        <w:rPr>
          <w:lang w:val="fi-FI"/>
        </w:rPr>
        <w:tab/>
      </w:r>
      <w:r w:rsidR="005649AD" w:rsidRPr="005649AD">
        <w:rPr>
          <w:lang w:val="fi-FI"/>
        </w:rPr>
        <w:t>Minorities</w:t>
      </w:r>
    </w:p>
    <w:p w14:paraId="73EC42C6" w14:textId="13DA6F62" w:rsidR="001D601A" w:rsidRPr="005649AD" w:rsidRDefault="00067F0E" w:rsidP="001D601A">
      <w:pPr>
        <w:pStyle w:val="SingleTxtG"/>
        <w:tabs>
          <w:tab w:val="left" w:pos="1701"/>
          <w:tab w:val="left" w:pos="2552"/>
        </w:tabs>
        <w:rPr>
          <w:lang w:val="en-US"/>
        </w:rPr>
      </w:pPr>
      <w:r>
        <w:rPr>
          <w:lang w:val="en-US"/>
        </w:rPr>
        <w:tab/>
      </w:r>
      <w:r w:rsidR="005649AD" w:rsidRPr="005649AD">
        <w:rPr>
          <w:lang w:val="en-US"/>
        </w:rPr>
        <w:t>138.208</w:t>
      </w:r>
      <w:r>
        <w:rPr>
          <w:lang w:val="en-US"/>
        </w:rPr>
        <w:t xml:space="preserve">. </w:t>
      </w:r>
      <w:r w:rsidR="005649AD" w:rsidRPr="005649AD">
        <w:rPr>
          <w:u w:val="single"/>
          <w:lang w:val="en-US"/>
        </w:rPr>
        <w:t>Establish a comprehensive action plan</w:t>
      </w:r>
      <w:r w:rsidR="005649AD" w:rsidRPr="005649AD">
        <w:rPr>
          <w:lang w:val="en-US"/>
        </w:rPr>
        <w:t xml:space="preserve"> for the protection of the rights of LGBTQI+ persons, including the bodily integrity of intersex persons.</w:t>
      </w:r>
    </w:p>
    <w:p w14:paraId="38479531" w14:textId="6A658007" w:rsidR="005649AD" w:rsidRPr="005649AD" w:rsidRDefault="00284ACA" w:rsidP="00067F0E">
      <w:pPr>
        <w:pStyle w:val="H23G"/>
        <w:rPr>
          <w:lang w:val="en-US"/>
        </w:rPr>
      </w:pPr>
      <w:r>
        <w:rPr>
          <w:lang w:val="en-US"/>
        </w:rPr>
        <w:tab/>
      </w:r>
      <w:r>
        <w:rPr>
          <w:lang w:val="en-US"/>
        </w:rPr>
        <w:tab/>
      </w:r>
      <w:r w:rsidR="005649AD" w:rsidRPr="005649AD">
        <w:rPr>
          <w:lang w:val="en-US"/>
        </w:rPr>
        <w:t>Migrants, refugees and asylum seekers</w:t>
      </w:r>
    </w:p>
    <w:p w14:paraId="0B968EAE" w14:textId="22661B52" w:rsidR="001D601A" w:rsidRPr="005649AD" w:rsidRDefault="00067F0E" w:rsidP="001D601A">
      <w:pPr>
        <w:pStyle w:val="SingleTxtG"/>
        <w:tabs>
          <w:tab w:val="left" w:pos="1701"/>
          <w:tab w:val="left" w:pos="2552"/>
        </w:tabs>
        <w:rPr>
          <w:lang w:val="en-US"/>
        </w:rPr>
      </w:pPr>
      <w:r>
        <w:rPr>
          <w:lang w:val="en-US"/>
        </w:rPr>
        <w:tab/>
      </w:r>
      <w:r w:rsidR="005649AD" w:rsidRPr="005649AD">
        <w:rPr>
          <w:lang w:val="en-US"/>
        </w:rPr>
        <w:t>138.227</w:t>
      </w:r>
      <w:r>
        <w:rPr>
          <w:lang w:val="en-US"/>
        </w:rPr>
        <w:t xml:space="preserve">. </w:t>
      </w:r>
      <w:r w:rsidR="005649AD" w:rsidRPr="005649AD">
        <w:rPr>
          <w:lang w:val="en-US"/>
        </w:rPr>
        <w:t xml:space="preserve">Amend the Aliens Act </w:t>
      </w:r>
      <w:r w:rsidR="005649AD" w:rsidRPr="005649AD">
        <w:rPr>
          <w:u w:val="single"/>
          <w:lang w:val="en-US"/>
        </w:rPr>
        <w:t>by reintroducing residence permits on humanitarian grounds</w:t>
      </w:r>
      <w:r w:rsidR="005649AD" w:rsidRPr="005649AD">
        <w:rPr>
          <w:lang w:val="en-US"/>
        </w:rPr>
        <w:t>, by lifting income requirements for refugee family reunification, and by ensuring that asylum-seekers have effective access to affordable and quality health services.</w:t>
      </w:r>
    </w:p>
    <w:p w14:paraId="25F603BE" w14:textId="778AE762" w:rsidR="005649AD" w:rsidRPr="005649AD" w:rsidRDefault="00284ACA" w:rsidP="00067F0E">
      <w:pPr>
        <w:pStyle w:val="H1G"/>
        <w:rPr>
          <w:lang w:val="en-US"/>
        </w:rPr>
      </w:pPr>
      <w:r>
        <w:rPr>
          <w:lang w:val="en-US"/>
        </w:rPr>
        <w:tab/>
      </w:r>
      <w:r>
        <w:rPr>
          <w:lang w:val="en-US"/>
        </w:rPr>
        <w:tab/>
      </w:r>
      <w:r w:rsidR="005649AD" w:rsidRPr="005649AD">
        <w:rPr>
          <w:lang w:val="en-US"/>
        </w:rPr>
        <w:t>Noted</w:t>
      </w:r>
    </w:p>
    <w:p w14:paraId="69FA53E8" w14:textId="5CE32312" w:rsidR="005649AD" w:rsidRPr="005649AD" w:rsidRDefault="00284ACA" w:rsidP="00067F0E">
      <w:pPr>
        <w:pStyle w:val="H23G"/>
        <w:rPr>
          <w:lang w:val="en-US"/>
        </w:rPr>
      </w:pPr>
      <w:r>
        <w:rPr>
          <w:lang w:val="en-US"/>
        </w:rPr>
        <w:tab/>
      </w:r>
      <w:r>
        <w:rPr>
          <w:lang w:val="en-US"/>
        </w:rPr>
        <w:tab/>
      </w:r>
      <w:r w:rsidR="005649AD" w:rsidRPr="005649AD">
        <w:rPr>
          <w:lang w:val="en-US"/>
        </w:rPr>
        <w:t xml:space="preserve">Scope of </w:t>
      </w:r>
      <w:r>
        <w:rPr>
          <w:lang w:val="en-US"/>
        </w:rPr>
        <w:t>i</w:t>
      </w:r>
      <w:r w:rsidR="005649AD" w:rsidRPr="005649AD">
        <w:rPr>
          <w:lang w:val="en-US"/>
        </w:rPr>
        <w:t xml:space="preserve">nternational </w:t>
      </w:r>
      <w:r>
        <w:rPr>
          <w:lang w:val="en-US"/>
        </w:rPr>
        <w:t>o</w:t>
      </w:r>
      <w:r w:rsidR="005649AD" w:rsidRPr="005649AD">
        <w:rPr>
          <w:lang w:val="en-US"/>
        </w:rPr>
        <w:t>bligations</w:t>
      </w:r>
    </w:p>
    <w:p w14:paraId="01E5A26F" w14:textId="58A4C2CF" w:rsidR="005649AD" w:rsidRPr="005649AD" w:rsidRDefault="001D601A" w:rsidP="00284ACA">
      <w:pPr>
        <w:pStyle w:val="SingleTxtG"/>
        <w:rPr>
          <w:lang w:val="en-US"/>
        </w:rPr>
      </w:pPr>
      <w:r>
        <w:rPr>
          <w:lang w:val="en-US"/>
        </w:rPr>
        <w:tab/>
      </w:r>
      <w:r>
        <w:rPr>
          <w:lang w:val="en-US"/>
        </w:rPr>
        <w:tab/>
      </w:r>
      <w:r w:rsidR="005649AD" w:rsidRPr="005649AD">
        <w:rPr>
          <w:lang w:val="en-US"/>
        </w:rPr>
        <w:t>138.1, 138.2, 138.3, 138.4.</w:t>
      </w:r>
      <w:r w:rsidR="00067F0E">
        <w:rPr>
          <w:lang w:val="en-US"/>
        </w:rPr>
        <w:t xml:space="preserve"> </w:t>
      </w:r>
      <w:r w:rsidR="00284ACA">
        <w:rPr>
          <w:lang w:val="en-US"/>
        </w:rPr>
        <w:tab/>
      </w:r>
      <w:r w:rsidR="005649AD" w:rsidRPr="005649AD">
        <w:rPr>
          <w:lang w:val="en-US"/>
        </w:rPr>
        <w:t>The Government does not intend to ratify the International Convention on the Protection of the Rights of All Migrant Workers and Members of Their Families.</w:t>
      </w:r>
    </w:p>
    <w:p w14:paraId="4A60CAD0" w14:textId="626A7011" w:rsidR="001D601A" w:rsidRPr="005649AD" w:rsidRDefault="001D601A" w:rsidP="001D601A">
      <w:pPr>
        <w:pStyle w:val="SingleTxtG"/>
        <w:tabs>
          <w:tab w:val="left" w:pos="1701"/>
          <w:tab w:val="left" w:pos="2552"/>
        </w:tabs>
        <w:rPr>
          <w:lang w:val="en-US"/>
        </w:rPr>
      </w:pPr>
      <w:r>
        <w:rPr>
          <w:lang w:val="en-US"/>
        </w:rPr>
        <w:tab/>
      </w:r>
      <w:r w:rsidR="005649AD" w:rsidRPr="005649AD">
        <w:rPr>
          <w:lang w:val="en-US"/>
        </w:rPr>
        <w:t>138.8</w:t>
      </w:r>
      <w:r w:rsidR="00067F0E">
        <w:rPr>
          <w:lang w:val="en-US"/>
        </w:rPr>
        <w:t xml:space="preserve">. </w:t>
      </w:r>
      <w:r w:rsidR="005649AD" w:rsidRPr="005649AD">
        <w:rPr>
          <w:lang w:val="en-US"/>
        </w:rPr>
        <w:t>See comments for 138.11.</w:t>
      </w:r>
    </w:p>
    <w:p w14:paraId="1419C605" w14:textId="20951AF0" w:rsidR="005649AD" w:rsidRPr="005649AD" w:rsidRDefault="001D601A" w:rsidP="00284ACA">
      <w:pPr>
        <w:pStyle w:val="SingleTxtG"/>
        <w:rPr>
          <w:lang w:val="en-US"/>
        </w:rPr>
      </w:pPr>
      <w:r>
        <w:rPr>
          <w:lang w:val="en-US"/>
        </w:rPr>
        <w:tab/>
      </w:r>
      <w:r>
        <w:rPr>
          <w:lang w:val="en-US"/>
        </w:rPr>
        <w:tab/>
      </w:r>
      <w:r w:rsidR="005649AD" w:rsidRPr="005649AD">
        <w:rPr>
          <w:lang w:val="en-US"/>
        </w:rPr>
        <w:t>138.12, 138.16, 138.17.</w:t>
      </w:r>
    </w:p>
    <w:p w14:paraId="45506C0D" w14:textId="3465133C" w:rsidR="001D601A" w:rsidRPr="005649AD" w:rsidRDefault="001D601A" w:rsidP="001D601A">
      <w:pPr>
        <w:pStyle w:val="SingleTxtG"/>
        <w:tabs>
          <w:tab w:val="left" w:pos="1701"/>
          <w:tab w:val="left" w:pos="2552"/>
        </w:tabs>
        <w:rPr>
          <w:lang w:val="en-US"/>
        </w:rPr>
      </w:pPr>
      <w:r>
        <w:rPr>
          <w:lang w:val="en-US"/>
        </w:rPr>
        <w:tab/>
      </w:r>
      <w:r w:rsidR="005649AD" w:rsidRPr="005649AD">
        <w:rPr>
          <w:lang w:val="en-US"/>
        </w:rPr>
        <w:t>138.84</w:t>
      </w:r>
      <w:r w:rsidR="00067F0E">
        <w:rPr>
          <w:lang w:val="en-US"/>
        </w:rPr>
        <w:t xml:space="preserve">. </w:t>
      </w:r>
      <w:r w:rsidR="005649AD" w:rsidRPr="005649AD">
        <w:rPr>
          <w:lang w:val="en-US"/>
        </w:rPr>
        <w:t>National legislation is in accordance with Finland’s international treaty obligations.</w:t>
      </w:r>
    </w:p>
    <w:p w14:paraId="2BCF7CA6" w14:textId="779A61F4" w:rsidR="005649AD" w:rsidRPr="005649AD" w:rsidRDefault="001D601A" w:rsidP="00067F0E">
      <w:pPr>
        <w:pStyle w:val="SingleTxtG"/>
        <w:spacing w:after="60"/>
        <w:rPr>
          <w:lang w:val="en-US"/>
        </w:rPr>
      </w:pPr>
      <w:r>
        <w:rPr>
          <w:lang w:val="en-US"/>
        </w:rPr>
        <w:tab/>
      </w:r>
      <w:r>
        <w:rPr>
          <w:lang w:val="en-US"/>
        </w:rPr>
        <w:tab/>
      </w:r>
      <w:r w:rsidR="005649AD" w:rsidRPr="005649AD">
        <w:rPr>
          <w:lang w:val="en-US"/>
        </w:rPr>
        <w:t>138.129, 138.130.</w:t>
      </w:r>
      <w:r w:rsidR="00067F0E">
        <w:rPr>
          <w:lang w:val="en-US"/>
        </w:rPr>
        <w:t xml:space="preserve"> </w:t>
      </w:r>
      <w:r w:rsidR="005649AD" w:rsidRPr="005649AD">
        <w:rPr>
          <w:lang w:val="en-US"/>
        </w:rPr>
        <w:t xml:space="preserve">Finland will fully implement the sanctions imposed by the UN Security Council and the EU. The purpose of the sanctions is, among other things, to promote the </w:t>
      </w:r>
      <w:proofErr w:type="spellStart"/>
      <w:r w:rsidR="005649AD" w:rsidRPr="005649AD">
        <w:rPr>
          <w:lang w:val="en-US"/>
        </w:rPr>
        <w:t>realisation</w:t>
      </w:r>
      <w:proofErr w:type="spellEnd"/>
      <w:r w:rsidR="005649AD" w:rsidRPr="005649AD">
        <w:rPr>
          <w:lang w:val="en-US"/>
        </w:rPr>
        <w:t xml:space="preserve"> of human rights.</w:t>
      </w:r>
    </w:p>
    <w:p w14:paraId="28254A25" w14:textId="6C39BCE6" w:rsidR="005649AD" w:rsidRPr="005649AD" w:rsidRDefault="00284ACA" w:rsidP="00067F0E">
      <w:pPr>
        <w:pStyle w:val="H23G"/>
        <w:rPr>
          <w:lang w:val="en-US"/>
        </w:rPr>
      </w:pPr>
      <w:r>
        <w:rPr>
          <w:lang w:val="en-US"/>
        </w:rPr>
        <w:tab/>
      </w:r>
      <w:r>
        <w:rPr>
          <w:lang w:val="en-US"/>
        </w:rPr>
        <w:tab/>
      </w:r>
      <w:r w:rsidR="005649AD" w:rsidRPr="005649AD">
        <w:rPr>
          <w:lang w:val="en-US"/>
        </w:rPr>
        <w:t xml:space="preserve">National </w:t>
      </w:r>
      <w:r>
        <w:rPr>
          <w:lang w:val="en-US"/>
        </w:rPr>
        <w:t>l</w:t>
      </w:r>
      <w:r w:rsidR="005649AD" w:rsidRPr="005649AD">
        <w:rPr>
          <w:lang w:val="en-US"/>
        </w:rPr>
        <w:t xml:space="preserve">egal and </w:t>
      </w:r>
      <w:r>
        <w:rPr>
          <w:lang w:val="en-US"/>
        </w:rPr>
        <w:t>i</w:t>
      </w:r>
      <w:r w:rsidR="005649AD" w:rsidRPr="005649AD">
        <w:rPr>
          <w:lang w:val="en-US"/>
        </w:rPr>
        <w:t xml:space="preserve">nstitutional </w:t>
      </w:r>
      <w:r>
        <w:rPr>
          <w:lang w:val="en-US"/>
        </w:rPr>
        <w:t>f</w:t>
      </w:r>
      <w:r w:rsidR="005649AD" w:rsidRPr="005649AD">
        <w:rPr>
          <w:lang w:val="en-US"/>
        </w:rPr>
        <w:t>ramework</w:t>
      </w:r>
    </w:p>
    <w:p w14:paraId="7DEFB243" w14:textId="2B4F826C" w:rsidR="001D601A" w:rsidRPr="005649AD" w:rsidRDefault="001D601A" w:rsidP="001D601A">
      <w:pPr>
        <w:pStyle w:val="SingleTxtG"/>
        <w:tabs>
          <w:tab w:val="left" w:pos="1701"/>
          <w:tab w:val="left" w:pos="2552"/>
        </w:tabs>
        <w:rPr>
          <w:lang w:val="en-US"/>
        </w:rPr>
      </w:pPr>
      <w:r>
        <w:rPr>
          <w:lang w:val="en-US"/>
        </w:rPr>
        <w:tab/>
      </w:r>
      <w:r w:rsidR="005649AD" w:rsidRPr="005649AD">
        <w:rPr>
          <w:lang w:val="en-US"/>
        </w:rPr>
        <w:t>138.41</w:t>
      </w:r>
      <w:r w:rsidR="00067F0E">
        <w:rPr>
          <w:lang w:val="en-US"/>
        </w:rPr>
        <w:t xml:space="preserve">. </w:t>
      </w:r>
      <w:r w:rsidR="005649AD" w:rsidRPr="005649AD">
        <w:rPr>
          <w:lang w:val="en-US"/>
        </w:rPr>
        <w:t xml:space="preserve">Periodic reporting on the implementation of the key human rights treaties of the UN and the Council of Europe has been </w:t>
      </w:r>
      <w:proofErr w:type="spellStart"/>
      <w:r w:rsidR="005649AD" w:rsidRPr="005649AD">
        <w:rPr>
          <w:lang w:val="en-US"/>
        </w:rPr>
        <w:t>centralised</w:t>
      </w:r>
      <w:proofErr w:type="spellEnd"/>
      <w:r w:rsidR="005649AD" w:rsidRPr="005649AD">
        <w:rPr>
          <w:lang w:val="en-US"/>
        </w:rPr>
        <w:t xml:space="preserve"> to the Unit for Human Rights Courts and Conventions of the Legal Service of the Ministry for Foreign Affairs. The Unit follows up to the implementation of the recommendations and handles all related reporting. The Government’s fundamental rights and human rights network monitors the implementation of the recommendations.</w:t>
      </w:r>
    </w:p>
    <w:p w14:paraId="6CEB65A0" w14:textId="5874668B" w:rsidR="005649AD" w:rsidRPr="005649AD" w:rsidRDefault="00284ACA" w:rsidP="00067F0E">
      <w:pPr>
        <w:pStyle w:val="H23G"/>
        <w:rPr>
          <w:lang w:val="en-US"/>
        </w:rPr>
      </w:pPr>
      <w:r>
        <w:rPr>
          <w:lang w:val="en-US"/>
        </w:rPr>
        <w:tab/>
      </w:r>
      <w:r>
        <w:rPr>
          <w:lang w:val="en-US"/>
        </w:rPr>
        <w:tab/>
      </w:r>
      <w:r w:rsidR="005649AD" w:rsidRPr="005649AD">
        <w:rPr>
          <w:lang w:val="en-US"/>
        </w:rPr>
        <w:t>Equality, non-discrimination, racism and hate speech</w:t>
      </w:r>
    </w:p>
    <w:p w14:paraId="41D6996E" w14:textId="20613ADB" w:rsidR="001D601A" w:rsidRPr="005649AD" w:rsidRDefault="001D601A" w:rsidP="001D601A">
      <w:pPr>
        <w:pStyle w:val="SingleTxtG"/>
        <w:tabs>
          <w:tab w:val="left" w:pos="1701"/>
          <w:tab w:val="left" w:pos="2552"/>
        </w:tabs>
        <w:rPr>
          <w:lang w:val="en-US"/>
        </w:rPr>
      </w:pPr>
      <w:r>
        <w:rPr>
          <w:lang w:val="fi-FI"/>
        </w:rPr>
        <w:tab/>
      </w:r>
      <w:r w:rsidR="005649AD" w:rsidRPr="005649AD">
        <w:rPr>
          <w:lang w:val="fi-FI"/>
        </w:rPr>
        <w:t>138.36</w:t>
      </w:r>
      <w:r w:rsidR="00067F0E">
        <w:rPr>
          <w:lang w:val="fi-FI"/>
        </w:rPr>
        <w:t xml:space="preserve">. </w:t>
      </w:r>
      <w:r w:rsidR="005649AD" w:rsidRPr="005649AD">
        <w:rPr>
          <w:lang w:val="en-US"/>
        </w:rPr>
        <w:t>Finland’s national legislation is consistent with Finland’s international treaty obligations.</w:t>
      </w:r>
    </w:p>
    <w:p w14:paraId="393BAC8F" w14:textId="2F29C8BF" w:rsidR="00601F89" w:rsidRDefault="004F68B2" w:rsidP="004F68B2">
      <w:pPr>
        <w:pStyle w:val="SingleTxtG"/>
        <w:rPr>
          <w:lang w:val="en-US"/>
        </w:rPr>
      </w:pPr>
      <w:r>
        <w:rPr>
          <w:lang w:val="en-US"/>
        </w:rPr>
        <w:tab/>
      </w:r>
      <w:r>
        <w:rPr>
          <w:lang w:val="en-US"/>
        </w:rPr>
        <w:tab/>
      </w:r>
      <w:r w:rsidR="005649AD" w:rsidRPr="005649AD">
        <w:rPr>
          <w:lang w:val="en-US"/>
        </w:rPr>
        <w:t>138.55</w:t>
      </w:r>
    </w:p>
    <w:p w14:paraId="7057E52A" w14:textId="5FDCEB4C" w:rsidR="005649AD" w:rsidRPr="005649AD" w:rsidRDefault="005649AD" w:rsidP="00067F0E">
      <w:pPr>
        <w:pStyle w:val="Bullet2G"/>
        <w:rPr>
          <w:lang w:val="en-US"/>
        </w:rPr>
      </w:pPr>
      <w:r w:rsidRPr="005649AD">
        <w:rPr>
          <w:lang w:val="en-US"/>
        </w:rPr>
        <w:t>See comments for 138.49.</w:t>
      </w:r>
    </w:p>
    <w:p w14:paraId="76FF5D5D" w14:textId="4157BDA5" w:rsidR="005649AD" w:rsidRPr="005649AD" w:rsidRDefault="005649AD" w:rsidP="00067F0E">
      <w:pPr>
        <w:pStyle w:val="Bullet2G"/>
        <w:rPr>
          <w:lang w:val="en-US"/>
        </w:rPr>
      </w:pPr>
      <w:r w:rsidRPr="005649AD">
        <w:rPr>
          <w:lang w:val="en-US"/>
        </w:rPr>
        <w:t>The development of measures against ethnic profiling will be continued in broad-based cooperation. Attention will be paid to the oversight of legality.</w:t>
      </w:r>
    </w:p>
    <w:p w14:paraId="70FDB239" w14:textId="19CFE3E1" w:rsidR="004F68B2" w:rsidRPr="005649AD" w:rsidRDefault="004F68B2" w:rsidP="004F68B2">
      <w:pPr>
        <w:pStyle w:val="SingleTxtG"/>
        <w:tabs>
          <w:tab w:val="left" w:pos="1701"/>
          <w:tab w:val="left" w:pos="2552"/>
        </w:tabs>
        <w:rPr>
          <w:lang w:val="en-US"/>
        </w:rPr>
      </w:pPr>
      <w:r>
        <w:rPr>
          <w:lang w:val="fi-FI"/>
        </w:rPr>
        <w:tab/>
      </w:r>
      <w:r w:rsidR="005649AD" w:rsidRPr="005649AD">
        <w:rPr>
          <w:lang w:val="fi-FI"/>
        </w:rPr>
        <w:t>138.63</w:t>
      </w:r>
      <w:r w:rsidR="00067F0E">
        <w:rPr>
          <w:lang w:val="fi-FI"/>
        </w:rPr>
        <w:t xml:space="preserve">. </w:t>
      </w:r>
      <w:r w:rsidR="005649AD" w:rsidRPr="005649AD">
        <w:rPr>
          <w:lang w:val="en-US"/>
        </w:rPr>
        <w:t xml:space="preserve">The National Action Plan for the Prevention of Violent </w:t>
      </w:r>
      <w:proofErr w:type="spellStart"/>
      <w:r w:rsidR="005649AD" w:rsidRPr="005649AD">
        <w:rPr>
          <w:lang w:val="en-US"/>
        </w:rPr>
        <w:t>Radicalisation</w:t>
      </w:r>
      <w:proofErr w:type="spellEnd"/>
      <w:r w:rsidR="005649AD" w:rsidRPr="005649AD">
        <w:rPr>
          <w:lang w:val="en-US"/>
        </w:rPr>
        <w:t xml:space="preserve"> and Extremism will be in force for 2019-2023, and its continuation will be dependent of the Government </w:t>
      </w:r>
      <w:proofErr w:type="spellStart"/>
      <w:r w:rsidR="005649AD" w:rsidRPr="005649AD">
        <w:rPr>
          <w:lang w:val="en-US"/>
        </w:rPr>
        <w:t>Programme</w:t>
      </w:r>
      <w:proofErr w:type="spellEnd"/>
      <w:r w:rsidR="005649AD" w:rsidRPr="005649AD">
        <w:rPr>
          <w:lang w:val="en-US"/>
        </w:rPr>
        <w:t>.</w:t>
      </w:r>
    </w:p>
    <w:p w14:paraId="06F5B5A2" w14:textId="4C1B66EB" w:rsidR="005649AD" w:rsidRPr="005649AD" w:rsidRDefault="004F68B2" w:rsidP="004F68B2">
      <w:pPr>
        <w:pStyle w:val="SingleTxtG"/>
        <w:rPr>
          <w:lang w:val="en-US"/>
        </w:rPr>
      </w:pPr>
      <w:r>
        <w:rPr>
          <w:lang w:val="en-US"/>
        </w:rPr>
        <w:tab/>
      </w:r>
      <w:r>
        <w:rPr>
          <w:lang w:val="en-US"/>
        </w:rPr>
        <w:tab/>
      </w:r>
      <w:r w:rsidR="005649AD" w:rsidRPr="005649AD">
        <w:rPr>
          <w:lang w:val="en-US"/>
        </w:rPr>
        <w:t>138.70.</w:t>
      </w:r>
    </w:p>
    <w:p w14:paraId="14CF12AD" w14:textId="48132EF0" w:rsidR="00601F89" w:rsidRDefault="004F68B2" w:rsidP="004F68B2">
      <w:pPr>
        <w:pStyle w:val="SingleTxtG"/>
        <w:rPr>
          <w:lang w:val="fi-FI"/>
        </w:rPr>
      </w:pPr>
      <w:r>
        <w:rPr>
          <w:lang w:val="fi-FI"/>
        </w:rPr>
        <w:lastRenderedPageBreak/>
        <w:tab/>
      </w:r>
      <w:r>
        <w:rPr>
          <w:lang w:val="fi-FI"/>
        </w:rPr>
        <w:tab/>
      </w:r>
      <w:r w:rsidR="005649AD" w:rsidRPr="005649AD">
        <w:rPr>
          <w:lang w:val="fi-FI"/>
        </w:rPr>
        <w:t>138.72.</w:t>
      </w:r>
    </w:p>
    <w:p w14:paraId="5B02B046" w14:textId="6DD162FA" w:rsidR="005649AD" w:rsidRPr="005649AD" w:rsidRDefault="005649AD" w:rsidP="00067F0E">
      <w:pPr>
        <w:pStyle w:val="Bullet2G"/>
        <w:rPr>
          <w:lang w:val="en-US"/>
        </w:rPr>
      </w:pPr>
      <w:r w:rsidRPr="005649AD">
        <w:rPr>
          <w:lang w:val="en-US"/>
        </w:rPr>
        <w:t xml:space="preserve">Prompt investigation measures are </w:t>
      </w:r>
      <w:proofErr w:type="gramStart"/>
      <w:r w:rsidRPr="005649AD">
        <w:rPr>
          <w:lang w:val="en-US"/>
        </w:rPr>
        <w:t>resource-related</w:t>
      </w:r>
      <w:proofErr w:type="gramEnd"/>
      <w:r w:rsidRPr="005649AD">
        <w:rPr>
          <w:lang w:val="en-US"/>
        </w:rPr>
        <w:t>.</w:t>
      </w:r>
    </w:p>
    <w:p w14:paraId="1131670B" w14:textId="670C2214" w:rsidR="005649AD" w:rsidRPr="005649AD" w:rsidRDefault="005649AD" w:rsidP="00067F0E">
      <w:pPr>
        <w:pStyle w:val="Bullet2G"/>
        <w:rPr>
          <w:lang w:val="fi-FI"/>
        </w:rPr>
      </w:pPr>
      <w:r w:rsidRPr="005649AD">
        <w:rPr>
          <w:lang w:val="fi-FI"/>
        </w:rPr>
        <w:t>See comments for 138.58.</w:t>
      </w:r>
    </w:p>
    <w:p w14:paraId="613DD4B0" w14:textId="0FD14D0D" w:rsidR="005649AD" w:rsidRPr="005649AD" w:rsidRDefault="004F68B2" w:rsidP="00284ACA">
      <w:pPr>
        <w:pStyle w:val="SingleTxtG"/>
        <w:rPr>
          <w:lang w:val="en-US"/>
        </w:rPr>
      </w:pPr>
      <w:r>
        <w:rPr>
          <w:lang w:val="fi-FI"/>
        </w:rPr>
        <w:tab/>
      </w:r>
      <w:r>
        <w:rPr>
          <w:lang w:val="fi-FI"/>
        </w:rPr>
        <w:tab/>
      </w:r>
      <w:r w:rsidR="005649AD" w:rsidRPr="005649AD">
        <w:rPr>
          <w:lang w:val="fi-FI"/>
        </w:rPr>
        <w:t>138.78, 138.79, 138.80, 138.81, 138.82.</w:t>
      </w:r>
      <w:r w:rsidR="00067F0E">
        <w:rPr>
          <w:lang w:val="fi-FI"/>
        </w:rPr>
        <w:t xml:space="preserve"> </w:t>
      </w:r>
      <w:r w:rsidR="005649AD" w:rsidRPr="005649AD">
        <w:rPr>
          <w:lang w:val="en-US"/>
        </w:rPr>
        <w:t>The recommendation to take measures to inform the public of the right to refuse military service and to extend this possibility to alternative military service will be taken into account in connection with the possible call-up reform.</w:t>
      </w:r>
    </w:p>
    <w:p w14:paraId="7AC0F57B" w14:textId="2CDBAF5C" w:rsidR="005649AD" w:rsidRPr="005649AD" w:rsidRDefault="00284ACA" w:rsidP="00067F0E">
      <w:pPr>
        <w:pStyle w:val="H23G"/>
        <w:rPr>
          <w:lang w:val="en-US"/>
        </w:rPr>
      </w:pPr>
      <w:r>
        <w:rPr>
          <w:lang w:val="en-US"/>
        </w:rPr>
        <w:tab/>
      </w:r>
      <w:r>
        <w:rPr>
          <w:lang w:val="en-US"/>
        </w:rPr>
        <w:tab/>
      </w:r>
      <w:r w:rsidR="005649AD" w:rsidRPr="005649AD">
        <w:rPr>
          <w:lang w:val="en-US"/>
        </w:rPr>
        <w:t xml:space="preserve">Fundamental </w:t>
      </w:r>
      <w:r>
        <w:rPr>
          <w:lang w:val="en-US"/>
        </w:rPr>
        <w:t>f</w:t>
      </w:r>
      <w:r w:rsidR="005649AD" w:rsidRPr="005649AD">
        <w:rPr>
          <w:lang w:val="en-US"/>
        </w:rPr>
        <w:t>reedoms</w:t>
      </w:r>
    </w:p>
    <w:p w14:paraId="57966C37" w14:textId="42965C59" w:rsidR="005649AD" w:rsidRPr="005649AD" w:rsidRDefault="004F68B2" w:rsidP="00284ACA">
      <w:pPr>
        <w:pStyle w:val="SingleTxtG"/>
        <w:rPr>
          <w:lang w:val="en-US"/>
        </w:rPr>
      </w:pPr>
      <w:r>
        <w:rPr>
          <w:lang w:val="en-US"/>
        </w:rPr>
        <w:tab/>
      </w:r>
      <w:r>
        <w:rPr>
          <w:lang w:val="en-US"/>
        </w:rPr>
        <w:tab/>
      </w:r>
      <w:r w:rsidR="005649AD" w:rsidRPr="005649AD">
        <w:rPr>
          <w:lang w:val="en-US"/>
        </w:rPr>
        <w:t>138.38, 138.39, 138.94.</w:t>
      </w:r>
    </w:p>
    <w:p w14:paraId="40C24FA0" w14:textId="77777777" w:rsidR="005649AD" w:rsidRPr="005649AD" w:rsidRDefault="005649AD" w:rsidP="00067F0E">
      <w:pPr>
        <w:pStyle w:val="Bullet2G"/>
        <w:rPr>
          <w:lang w:val="en-US"/>
        </w:rPr>
      </w:pPr>
      <w:r w:rsidRPr="005649AD">
        <w:rPr>
          <w:lang w:val="en-US"/>
        </w:rPr>
        <w:t>The freedom of religion and conscience is guaranteed in the Constitution.</w:t>
      </w:r>
    </w:p>
    <w:p w14:paraId="79757833" w14:textId="77777777" w:rsidR="005649AD" w:rsidRPr="005649AD" w:rsidRDefault="005649AD" w:rsidP="00067F0E">
      <w:pPr>
        <w:pStyle w:val="Bullet2G"/>
        <w:rPr>
          <w:lang w:val="en-US"/>
        </w:rPr>
      </w:pPr>
      <w:r w:rsidRPr="005649AD">
        <w:rPr>
          <w:lang w:val="en-US"/>
        </w:rPr>
        <w:t>A government proposal (HE 186/2022) for an Act on animal welfare and related acts was submitted to Parliament on 22 September 2022. Parliament required that the current provisions be preserved. Under current legislation, animals belonging to mammals (in practice cattle, sheep, goats) must not be slaughtered without stunning, but stunning at the same time as the start of bleeding is required for slaughter.</w:t>
      </w:r>
    </w:p>
    <w:p w14:paraId="2A913CE2" w14:textId="77777777" w:rsidR="005649AD" w:rsidRPr="005649AD" w:rsidRDefault="005649AD" w:rsidP="00067F0E">
      <w:pPr>
        <w:pStyle w:val="Bullet2G"/>
        <w:rPr>
          <w:lang w:val="en-US"/>
        </w:rPr>
      </w:pPr>
      <w:r w:rsidRPr="005649AD">
        <w:rPr>
          <w:lang w:val="en-US"/>
        </w:rPr>
        <w:t>Since 2019, the State budget has included an appropriation for improving and maintaining the security of the Jewish Community of Helsinki. Central government funding related to the prevention of security threats against religious communities will continue to be allocated to communities that face the greatest threats and whose possibilities of funding their own security measures are weakest.</w:t>
      </w:r>
    </w:p>
    <w:p w14:paraId="20D9636D" w14:textId="77777777" w:rsidR="005649AD" w:rsidRPr="005649AD" w:rsidRDefault="005649AD" w:rsidP="00067F0E">
      <w:pPr>
        <w:pStyle w:val="Bullet2G"/>
        <w:rPr>
          <w:lang w:val="en-US"/>
        </w:rPr>
      </w:pPr>
      <w:r w:rsidRPr="005649AD">
        <w:rPr>
          <w:lang w:val="en-US"/>
        </w:rPr>
        <w:t>See comments for 138.203.</w:t>
      </w:r>
    </w:p>
    <w:p w14:paraId="02938E95" w14:textId="62C25C24" w:rsidR="004F68B2" w:rsidRPr="005649AD" w:rsidRDefault="004F68B2" w:rsidP="004F68B2">
      <w:pPr>
        <w:pStyle w:val="SingleTxtG"/>
        <w:tabs>
          <w:tab w:val="left" w:pos="1701"/>
          <w:tab w:val="left" w:pos="2552"/>
        </w:tabs>
        <w:rPr>
          <w:lang w:val="en-US"/>
        </w:rPr>
      </w:pPr>
      <w:r>
        <w:rPr>
          <w:lang w:val="en-US"/>
        </w:rPr>
        <w:tab/>
      </w:r>
      <w:r w:rsidR="005649AD" w:rsidRPr="005649AD">
        <w:rPr>
          <w:lang w:val="en-US"/>
        </w:rPr>
        <w:t>138.93</w:t>
      </w:r>
      <w:r w:rsidR="00067F0E">
        <w:rPr>
          <w:lang w:val="en-US"/>
        </w:rPr>
        <w:t xml:space="preserve">. </w:t>
      </w:r>
      <w:r w:rsidR="005649AD" w:rsidRPr="005649AD">
        <w:rPr>
          <w:lang w:val="en-US"/>
        </w:rPr>
        <w:t>National legislation is consistent with Finland’s international treaty obligations.</w:t>
      </w:r>
    </w:p>
    <w:p w14:paraId="16B40E36" w14:textId="414FD353" w:rsidR="004F68B2" w:rsidRPr="005649AD" w:rsidRDefault="004F68B2" w:rsidP="004F68B2">
      <w:pPr>
        <w:pStyle w:val="SingleTxtG"/>
        <w:tabs>
          <w:tab w:val="left" w:pos="1701"/>
          <w:tab w:val="left" w:pos="2552"/>
        </w:tabs>
        <w:rPr>
          <w:lang w:val="en-US"/>
        </w:rPr>
      </w:pPr>
      <w:r>
        <w:rPr>
          <w:lang w:val="en-US"/>
        </w:rPr>
        <w:tab/>
      </w:r>
      <w:r w:rsidR="005649AD" w:rsidRPr="005649AD">
        <w:rPr>
          <w:lang w:val="en-US"/>
        </w:rPr>
        <w:t>138.191</w:t>
      </w:r>
      <w:r w:rsidR="00067F0E">
        <w:rPr>
          <w:lang w:val="en-US"/>
        </w:rPr>
        <w:t xml:space="preserve">. </w:t>
      </w:r>
      <w:r w:rsidR="005649AD" w:rsidRPr="005649AD">
        <w:rPr>
          <w:lang w:val="en-US"/>
        </w:rPr>
        <w:t xml:space="preserve">Applications for discretionary government grants for promoting cultural diversity and combating racism can be submitted to the Arts Promotion Centre every year. The purpose of the grant is to promote the inclusion of cultural minorities, the </w:t>
      </w:r>
      <w:proofErr w:type="spellStart"/>
      <w:r w:rsidR="005649AD" w:rsidRPr="005649AD">
        <w:rPr>
          <w:lang w:val="en-US"/>
        </w:rPr>
        <w:t>realisation</w:t>
      </w:r>
      <w:proofErr w:type="spellEnd"/>
      <w:r w:rsidR="005649AD" w:rsidRPr="005649AD">
        <w:rPr>
          <w:lang w:val="en-US"/>
        </w:rPr>
        <w:t xml:space="preserve"> of cultural rights, intercultural dialogue and anti-racism activities. The final report Art, Culture and Diverse Finland of the Working Group on Cultural Policy, Immigrants and Promotion of Cultural Diversity appointed by the Ministry of Education and Culture was published in 2021. The final report proposes measures that concern cultural policy, funding of culture, employment, professional development, cultural services, intercultural dialogue as well as research-based information and statistics. Based on them, the Ministry is preparing an action plan for cultural diversity.</w:t>
      </w:r>
    </w:p>
    <w:p w14:paraId="0B4BF7C0" w14:textId="19A9DD30" w:rsidR="005649AD" w:rsidRPr="005649AD" w:rsidRDefault="00284ACA" w:rsidP="004F68B2">
      <w:pPr>
        <w:pStyle w:val="H4G"/>
        <w:rPr>
          <w:lang w:val="en-US"/>
        </w:rPr>
      </w:pPr>
      <w:r>
        <w:rPr>
          <w:lang w:val="en-US"/>
        </w:rPr>
        <w:tab/>
      </w:r>
      <w:r>
        <w:rPr>
          <w:lang w:val="en-US"/>
        </w:rPr>
        <w:tab/>
      </w:r>
      <w:r w:rsidR="005649AD" w:rsidRPr="005649AD">
        <w:rPr>
          <w:lang w:val="en-US"/>
        </w:rPr>
        <w:t>Family life</w:t>
      </w:r>
    </w:p>
    <w:p w14:paraId="7C6C368C" w14:textId="0888AA75" w:rsidR="005649AD" w:rsidRPr="004F68B2" w:rsidRDefault="004F68B2" w:rsidP="004F68B2">
      <w:pPr>
        <w:pStyle w:val="SingleTxtG"/>
      </w:pPr>
      <w:r>
        <w:rPr>
          <w:lang w:val="en-US"/>
        </w:rPr>
        <w:tab/>
      </w:r>
      <w:r>
        <w:rPr>
          <w:lang w:val="en-US"/>
        </w:rPr>
        <w:tab/>
      </w:r>
      <w:r w:rsidR="005649AD" w:rsidRPr="004F68B2">
        <w:t>138.32.</w:t>
      </w:r>
    </w:p>
    <w:p w14:paraId="5E7582BB" w14:textId="6166105A" w:rsidR="005649AD" w:rsidRPr="004F68B2" w:rsidRDefault="004F68B2" w:rsidP="004F68B2">
      <w:pPr>
        <w:pStyle w:val="SingleTxtG"/>
      </w:pPr>
      <w:r w:rsidRPr="004F68B2">
        <w:tab/>
      </w:r>
      <w:r w:rsidRPr="004F68B2">
        <w:tab/>
      </w:r>
      <w:r w:rsidR="005649AD" w:rsidRPr="004F68B2">
        <w:t>138.95.</w:t>
      </w:r>
    </w:p>
    <w:p w14:paraId="5D253319" w14:textId="23C47544" w:rsidR="005649AD" w:rsidRPr="004F68B2" w:rsidRDefault="004F68B2" w:rsidP="004F68B2">
      <w:pPr>
        <w:pStyle w:val="SingleTxtG"/>
      </w:pPr>
      <w:r w:rsidRPr="004F68B2">
        <w:tab/>
      </w:r>
      <w:r w:rsidRPr="004F68B2">
        <w:tab/>
      </w:r>
      <w:r w:rsidR="005649AD" w:rsidRPr="004F68B2">
        <w:t>138.213.</w:t>
      </w:r>
    </w:p>
    <w:p w14:paraId="0DAEC662" w14:textId="6FA45A5F" w:rsidR="005649AD" w:rsidRPr="005649AD" w:rsidRDefault="00284ACA" w:rsidP="00067F0E">
      <w:pPr>
        <w:pStyle w:val="H23G"/>
        <w:rPr>
          <w:lang w:val="en-US"/>
        </w:rPr>
      </w:pPr>
      <w:r>
        <w:rPr>
          <w:lang w:val="en-US"/>
        </w:rPr>
        <w:tab/>
      </w:r>
      <w:r>
        <w:rPr>
          <w:lang w:val="en-US"/>
        </w:rPr>
        <w:tab/>
      </w:r>
      <w:r w:rsidR="005649AD" w:rsidRPr="005649AD">
        <w:rPr>
          <w:lang w:val="en-US"/>
        </w:rPr>
        <w:t xml:space="preserve">Right to </w:t>
      </w:r>
      <w:r>
        <w:rPr>
          <w:lang w:val="en-US"/>
        </w:rPr>
        <w:t>e</w:t>
      </w:r>
      <w:r w:rsidR="005649AD" w:rsidRPr="005649AD">
        <w:rPr>
          <w:lang w:val="en-US"/>
        </w:rPr>
        <w:t>ducation</w:t>
      </w:r>
    </w:p>
    <w:p w14:paraId="04FD5115" w14:textId="410F035F" w:rsidR="005649AD" w:rsidRPr="005649AD" w:rsidRDefault="004F68B2" w:rsidP="00284ACA">
      <w:pPr>
        <w:pStyle w:val="SingleTxtG"/>
        <w:rPr>
          <w:lang w:val="en-US"/>
        </w:rPr>
      </w:pPr>
      <w:r>
        <w:rPr>
          <w:lang w:val="en-US"/>
        </w:rPr>
        <w:tab/>
      </w:r>
      <w:r>
        <w:rPr>
          <w:lang w:val="en-US"/>
        </w:rPr>
        <w:tab/>
      </w:r>
      <w:r w:rsidR="005649AD" w:rsidRPr="005649AD">
        <w:rPr>
          <w:lang w:val="en-US"/>
        </w:rPr>
        <w:t>138.124.</w:t>
      </w:r>
    </w:p>
    <w:p w14:paraId="051C3DF1" w14:textId="77777777" w:rsidR="005649AD" w:rsidRPr="005649AD" w:rsidRDefault="005649AD" w:rsidP="00067F0E">
      <w:pPr>
        <w:pStyle w:val="Bullet2G"/>
        <w:rPr>
          <w:lang w:val="en-US"/>
        </w:rPr>
      </w:pPr>
      <w:r w:rsidRPr="005649AD">
        <w:rPr>
          <w:lang w:val="en-US"/>
        </w:rPr>
        <w:t>See comments for 138.123.</w:t>
      </w:r>
    </w:p>
    <w:p w14:paraId="19F370FE" w14:textId="12A3FFEE" w:rsidR="005649AD" w:rsidRPr="00601F89" w:rsidRDefault="005649AD" w:rsidP="00067F0E">
      <w:pPr>
        <w:pStyle w:val="Bullet2G"/>
        <w:rPr>
          <w:lang w:val="en-US"/>
        </w:rPr>
      </w:pPr>
      <w:r w:rsidRPr="00601F89">
        <w:rPr>
          <w:lang w:val="en-US"/>
        </w:rPr>
        <w:t xml:space="preserve">Together with the Finnish National Agency for Education, the Ministry of Education and Culture launched a </w:t>
      </w:r>
      <w:proofErr w:type="spellStart"/>
      <w:r w:rsidRPr="00601F89">
        <w:rPr>
          <w:lang w:val="en-US"/>
        </w:rPr>
        <w:t>programme</w:t>
      </w:r>
      <w:proofErr w:type="spellEnd"/>
      <w:r w:rsidRPr="00601F89">
        <w:rPr>
          <w:lang w:val="en-US"/>
        </w:rPr>
        <w:t xml:space="preserve"> to improve the basic skills and language of instruction of pupils with an immigrant background.</w:t>
      </w:r>
      <w:r w:rsidR="00601F89" w:rsidRPr="00601F89">
        <w:rPr>
          <w:lang w:val="en-US"/>
        </w:rPr>
        <w:t xml:space="preserve"> </w:t>
      </w:r>
      <w:r w:rsidRPr="00601F89">
        <w:rPr>
          <w:lang w:val="en-US"/>
        </w:rPr>
        <w:t>The aim is for immigrants to have the prerequisites for further studies. The action plan seeks solutions to support and strengthen the basic skills and language skills of learners with an immigrant background.</w:t>
      </w:r>
    </w:p>
    <w:p w14:paraId="3302B485" w14:textId="36967946" w:rsidR="005649AD" w:rsidRPr="005649AD" w:rsidRDefault="00601F89" w:rsidP="00067F0E">
      <w:pPr>
        <w:pStyle w:val="H23G"/>
        <w:rPr>
          <w:lang w:val="en-US"/>
        </w:rPr>
      </w:pPr>
      <w:r>
        <w:rPr>
          <w:lang w:val="en-US"/>
        </w:rPr>
        <w:lastRenderedPageBreak/>
        <w:tab/>
      </w:r>
      <w:r>
        <w:rPr>
          <w:lang w:val="en-US"/>
        </w:rPr>
        <w:tab/>
      </w:r>
      <w:r w:rsidR="005649AD" w:rsidRPr="005649AD">
        <w:rPr>
          <w:lang w:val="en-US"/>
        </w:rPr>
        <w:t>Women and domestic violence</w:t>
      </w:r>
    </w:p>
    <w:p w14:paraId="48894C2E" w14:textId="54805758" w:rsidR="004F68B2" w:rsidRPr="005649AD" w:rsidRDefault="004F68B2" w:rsidP="004F68B2">
      <w:pPr>
        <w:pStyle w:val="SingleTxtG"/>
        <w:tabs>
          <w:tab w:val="left" w:pos="1701"/>
          <w:tab w:val="left" w:pos="2552"/>
        </w:tabs>
        <w:rPr>
          <w:lang w:val="en-US"/>
        </w:rPr>
      </w:pPr>
      <w:r>
        <w:rPr>
          <w:lang w:val="en-US"/>
        </w:rPr>
        <w:tab/>
      </w:r>
      <w:r w:rsidR="005649AD" w:rsidRPr="005649AD">
        <w:rPr>
          <w:lang w:val="en-US"/>
        </w:rPr>
        <w:t>138.37</w:t>
      </w:r>
      <w:r w:rsidR="00067F0E">
        <w:rPr>
          <w:lang w:val="en-US"/>
        </w:rPr>
        <w:t xml:space="preserve">. </w:t>
      </w:r>
      <w:r w:rsidR="005649AD" w:rsidRPr="005649AD">
        <w:rPr>
          <w:lang w:val="en-US"/>
        </w:rPr>
        <w:t>National legislation complies with Finland’s international treaty obligations.</w:t>
      </w:r>
    </w:p>
    <w:p w14:paraId="7934D884" w14:textId="774C6241" w:rsidR="004F68B2" w:rsidRPr="005649AD" w:rsidRDefault="004F68B2" w:rsidP="004F68B2">
      <w:pPr>
        <w:pStyle w:val="SingleTxtG"/>
        <w:tabs>
          <w:tab w:val="left" w:pos="1701"/>
          <w:tab w:val="left" w:pos="2552"/>
        </w:tabs>
        <w:rPr>
          <w:lang w:val="en-US"/>
        </w:rPr>
      </w:pPr>
      <w:r>
        <w:rPr>
          <w:lang w:val="en-US"/>
        </w:rPr>
        <w:tab/>
      </w:r>
      <w:r w:rsidR="005649AD" w:rsidRPr="005649AD">
        <w:rPr>
          <w:lang w:val="en-US"/>
        </w:rPr>
        <w:t>138.154</w:t>
      </w:r>
      <w:r w:rsidR="00067F0E">
        <w:rPr>
          <w:lang w:val="en-US"/>
        </w:rPr>
        <w:t xml:space="preserve">. </w:t>
      </w:r>
      <w:r w:rsidR="005649AD" w:rsidRPr="005649AD">
        <w:rPr>
          <w:lang w:val="en-US"/>
        </w:rPr>
        <w:t xml:space="preserve">The new Government </w:t>
      </w:r>
      <w:proofErr w:type="spellStart"/>
      <w:r w:rsidR="005649AD" w:rsidRPr="005649AD">
        <w:rPr>
          <w:lang w:val="en-US"/>
        </w:rPr>
        <w:t>Programme</w:t>
      </w:r>
      <w:proofErr w:type="spellEnd"/>
      <w:r w:rsidR="005649AD" w:rsidRPr="005649AD">
        <w:rPr>
          <w:lang w:val="en-US"/>
        </w:rPr>
        <w:t xml:space="preserve"> is not yet known. However, the implementation of the Action Plan for the Istanbul Convention 2022-2025 and the work of NAPE extends beyond the government term.</w:t>
      </w:r>
    </w:p>
    <w:p w14:paraId="6A5D2117" w14:textId="685B3663" w:rsidR="004F68B2" w:rsidRPr="005649AD" w:rsidRDefault="004F68B2" w:rsidP="004F68B2">
      <w:pPr>
        <w:pStyle w:val="SingleTxtG"/>
        <w:tabs>
          <w:tab w:val="left" w:pos="1701"/>
          <w:tab w:val="left" w:pos="2552"/>
        </w:tabs>
        <w:rPr>
          <w:lang w:val="en-US"/>
        </w:rPr>
      </w:pPr>
      <w:r>
        <w:rPr>
          <w:lang w:val="en-US"/>
        </w:rPr>
        <w:tab/>
      </w:r>
      <w:r w:rsidR="005649AD" w:rsidRPr="005649AD">
        <w:rPr>
          <w:lang w:val="en-US"/>
        </w:rPr>
        <w:t>138.156</w:t>
      </w:r>
      <w:r w:rsidR="00067F0E">
        <w:rPr>
          <w:lang w:val="en-US"/>
        </w:rPr>
        <w:t xml:space="preserve">. </w:t>
      </w:r>
      <w:r w:rsidR="005649AD" w:rsidRPr="005649AD">
        <w:rPr>
          <w:lang w:val="fi-FI"/>
        </w:rPr>
        <w:t xml:space="preserve">See comments for 138.137, 138.139 </w:t>
      </w:r>
      <w:r w:rsidR="00080F98">
        <w:rPr>
          <w:lang w:val="fi-FI"/>
        </w:rPr>
        <w:t>and</w:t>
      </w:r>
      <w:r w:rsidR="005649AD" w:rsidRPr="005649AD">
        <w:rPr>
          <w:lang w:val="fi-FI"/>
        </w:rPr>
        <w:t xml:space="preserve"> 138.149.</w:t>
      </w:r>
    </w:p>
    <w:p w14:paraId="07D266AD" w14:textId="730DBDA6" w:rsidR="005649AD" w:rsidRPr="005649AD" w:rsidRDefault="004F68B2" w:rsidP="00601F89">
      <w:pPr>
        <w:pStyle w:val="SingleTxtG"/>
        <w:rPr>
          <w:lang w:val="fi-FI"/>
        </w:rPr>
      </w:pPr>
      <w:r>
        <w:rPr>
          <w:lang w:val="fi-FI"/>
        </w:rPr>
        <w:tab/>
      </w:r>
      <w:r>
        <w:rPr>
          <w:lang w:val="fi-FI"/>
        </w:rPr>
        <w:tab/>
      </w:r>
      <w:r w:rsidR="005649AD" w:rsidRPr="005649AD">
        <w:rPr>
          <w:lang w:val="fi-FI"/>
        </w:rPr>
        <w:t>138.157.</w:t>
      </w:r>
    </w:p>
    <w:p w14:paraId="2DB9A376" w14:textId="77777777" w:rsidR="005649AD" w:rsidRPr="005649AD" w:rsidRDefault="005649AD" w:rsidP="00451C4D">
      <w:pPr>
        <w:pStyle w:val="Bullet2G"/>
        <w:rPr>
          <w:lang w:val="en-US"/>
        </w:rPr>
      </w:pPr>
      <w:r w:rsidRPr="005649AD">
        <w:rPr>
          <w:lang w:val="en-US"/>
        </w:rPr>
        <w:t>It is not possible to impose mandatory training on an independent judiciary.</w:t>
      </w:r>
    </w:p>
    <w:p w14:paraId="45C0AA94" w14:textId="77777777" w:rsidR="005649AD" w:rsidRPr="005649AD" w:rsidRDefault="005649AD" w:rsidP="00451C4D">
      <w:pPr>
        <w:pStyle w:val="Bullet2G"/>
        <w:rPr>
          <w:lang w:val="fi-FI"/>
        </w:rPr>
      </w:pPr>
      <w:r w:rsidRPr="005649AD">
        <w:rPr>
          <w:lang w:val="en-US"/>
        </w:rPr>
        <w:t>See recommendations for 1</w:t>
      </w:r>
      <w:r w:rsidRPr="005649AD">
        <w:rPr>
          <w:lang w:val="fi-FI"/>
        </w:rPr>
        <w:t>38.139 and 138.149.</w:t>
      </w:r>
    </w:p>
    <w:p w14:paraId="7F2E0DD1" w14:textId="5AB32042" w:rsidR="005649AD" w:rsidRPr="005649AD" w:rsidRDefault="00601F89" w:rsidP="00067F0E">
      <w:pPr>
        <w:pStyle w:val="H23G"/>
        <w:rPr>
          <w:lang w:val="fi-FI"/>
        </w:rPr>
      </w:pPr>
      <w:r>
        <w:rPr>
          <w:lang w:val="fi-FI"/>
        </w:rPr>
        <w:tab/>
      </w:r>
      <w:r>
        <w:rPr>
          <w:lang w:val="fi-FI"/>
        </w:rPr>
        <w:tab/>
      </w:r>
      <w:r w:rsidR="005649AD" w:rsidRPr="005649AD">
        <w:rPr>
          <w:lang w:val="fi-FI"/>
        </w:rPr>
        <w:t>Children</w:t>
      </w:r>
    </w:p>
    <w:p w14:paraId="1BC56690" w14:textId="34BD72A8" w:rsidR="005649AD" w:rsidRPr="005649AD" w:rsidRDefault="004F68B2" w:rsidP="00601F89">
      <w:pPr>
        <w:pStyle w:val="SingleTxtG"/>
        <w:rPr>
          <w:lang w:val="en-US"/>
        </w:rPr>
      </w:pPr>
      <w:r>
        <w:rPr>
          <w:lang w:val="en-US"/>
        </w:rPr>
        <w:tab/>
      </w:r>
      <w:r>
        <w:rPr>
          <w:lang w:val="en-US"/>
        </w:rPr>
        <w:tab/>
      </w:r>
      <w:r w:rsidR="005649AD" w:rsidRPr="005649AD">
        <w:rPr>
          <w:lang w:val="en-US"/>
        </w:rPr>
        <w:t>138.181, 138.184.</w:t>
      </w:r>
      <w:r w:rsidR="00067F0E">
        <w:rPr>
          <w:lang w:val="en-US"/>
        </w:rPr>
        <w:t xml:space="preserve"> </w:t>
      </w:r>
      <w:r w:rsidR="005649AD" w:rsidRPr="005649AD">
        <w:rPr>
          <w:lang w:val="en-US"/>
        </w:rPr>
        <w:t>In connection with the overall reform of the Aliens Act or otherwise at the national level, there is no intention or objective to prohibit the detention of minors altogether.</w:t>
      </w:r>
    </w:p>
    <w:p w14:paraId="7EFC67B1" w14:textId="6A52D61B" w:rsidR="005649AD" w:rsidRPr="005649AD" w:rsidRDefault="004F68B2" w:rsidP="00601F89">
      <w:pPr>
        <w:pStyle w:val="SingleTxtG"/>
        <w:rPr>
          <w:lang w:val="en-US"/>
        </w:rPr>
      </w:pPr>
      <w:r>
        <w:rPr>
          <w:lang w:val="en-US"/>
        </w:rPr>
        <w:tab/>
      </w:r>
      <w:r>
        <w:rPr>
          <w:lang w:val="en-US"/>
        </w:rPr>
        <w:tab/>
      </w:r>
      <w:r w:rsidR="005649AD" w:rsidRPr="005649AD">
        <w:rPr>
          <w:lang w:val="en-US"/>
        </w:rPr>
        <w:t>138.187.</w:t>
      </w:r>
    </w:p>
    <w:p w14:paraId="3422F926" w14:textId="43CF951E" w:rsidR="005649AD" w:rsidRPr="005649AD" w:rsidRDefault="004F68B2" w:rsidP="00601F89">
      <w:pPr>
        <w:pStyle w:val="SingleTxtG"/>
        <w:rPr>
          <w:lang w:val="en-US"/>
        </w:rPr>
      </w:pPr>
      <w:r>
        <w:rPr>
          <w:lang w:val="en-US"/>
        </w:rPr>
        <w:tab/>
      </w:r>
      <w:r>
        <w:rPr>
          <w:lang w:val="en-US"/>
        </w:rPr>
        <w:tab/>
      </w:r>
      <w:r w:rsidR="005649AD" w:rsidRPr="005649AD">
        <w:rPr>
          <w:lang w:val="en-US"/>
        </w:rPr>
        <w:t>138.189.</w:t>
      </w:r>
    </w:p>
    <w:p w14:paraId="35E078E1" w14:textId="2A587067" w:rsidR="005649AD" w:rsidRPr="005649AD" w:rsidRDefault="00601F89" w:rsidP="00067F0E">
      <w:pPr>
        <w:pStyle w:val="H23G"/>
        <w:rPr>
          <w:lang w:val="en-US"/>
        </w:rPr>
      </w:pPr>
      <w:r>
        <w:rPr>
          <w:lang w:val="en-US"/>
        </w:rPr>
        <w:tab/>
      </w:r>
      <w:r>
        <w:rPr>
          <w:lang w:val="en-US"/>
        </w:rPr>
        <w:tab/>
      </w:r>
      <w:r w:rsidR="005649AD" w:rsidRPr="005649AD">
        <w:rPr>
          <w:lang w:val="en-US"/>
        </w:rPr>
        <w:t>Minorities</w:t>
      </w:r>
    </w:p>
    <w:p w14:paraId="7F8A19B0" w14:textId="6A6740E9" w:rsidR="005649AD" w:rsidRPr="005649AD" w:rsidRDefault="004F68B2" w:rsidP="004F68B2">
      <w:pPr>
        <w:pStyle w:val="SingleTxtG"/>
        <w:rPr>
          <w:lang w:val="en-US"/>
        </w:rPr>
      </w:pPr>
      <w:r>
        <w:rPr>
          <w:lang w:val="en-US"/>
        </w:rPr>
        <w:tab/>
      </w:r>
      <w:r>
        <w:rPr>
          <w:lang w:val="en-US"/>
        </w:rPr>
        <w:tab/>
      </w:r>
      <w:r w:rsidR="005649AD" w:rsidRPr="005649AD">
        <w:rPr>
          <w:lang w:val="en-US"/>
        </w:rPr>
        <w:t>138.123</w:t>
      </w:r>
      <w:r w:rsidR="00601F89">
        <w:rPr>
          <w:lang w:val="en-US"/>
        </w:rPr>
        <w:t>.</w:t>
      </w:r>
    </w:p>
    <w:p w14:paraId="70087FDA" w14:textId="0E4251A1" w:rsidR="005649AD" w:rsidRPr="005649AD" w:rsidRDefault="005649AD" w:rsidP="00067F0E">
      <w:pPr>
        <w:pStyle w:val="Bullet2G"/>
        <w:rPr>
          <w:lang w:val="en-US"/>
        </w:rPr>
      </w:pPr>
      <w:r w:rsidRPr="005649AD">
        <w:rPr>
          <w:lang w:val="en-US"/>
        </w:rPr>
        <w:t xml:space="preserve">The National Agency for Education has launched a </w:t>
      </w:r>
      <w:proofErr w:type="spellStart"/>
      <w:r w:rsidRPr="005649AD">
        <w:rPr>
          <w:lang w:val="en-US"/>
        </w:rPr>
        <w:t>programme</w:t>
      </w:r>
      <w:proofErr w:type="spellEnd"/>
      <w:r w:rsidRPr="005649AD">
        <w:rPr>
          <w:lang w:val="en-US"/>
        </w:rPr>
        <w:t xml:space="preserve"> to revive the Romani language in Finland. This </w:t>
      </w:r>
      <w:proofErr w:type="spellStart"/>
      <w:r w:rsidRPr="005649AD">
        <w:rPr>
          <w:lang w:val="en-US"/>
        </w:rPr>
        <w:t>programme</w:t>
      </w:r>
      <w:proofErr w:type="spellEnd"/>
      <w:r w:rsidRPr="005649AD">
        <w:rPr>
          <w:lang w:val="en-US"/>
        </w:rPr>
        <w:t xml:space="preserve"> includes </w:t>
      </w:r>
      <w:r w:rsidRPr="005649AD">
        <w:rPr>
          <w:i/>
          <w:lang w:val="en-US"/>
        </w:rPr>
        <w:t>inter alia</w:t>
      </w:r>
      <w:r w:rsidRPr="005649AD">
        <w:rPr>
          <w:lang w:val="en-US"/>
        </w:rPr>
        <w:t xml:space="preserve"> proposals to clarify the university-level study path of Roma students to qualify as teachers. A sufficient number of qualifying teachers of the Romani language and leaders of various language clubs should also be ensured. A pilot project making use of remote connections and further development of teaching materials are also proposed to support Romani languag</w:t>
      </w:r>
      <w:r w:rsidR="000A10B5">
        <w:rPr>
          <w:lang w:val="en-US"/>
        </w:rPr>
        <w:t>e</w:t>
      </w:r>
      <w:r w:rsidRPr="005649AD">
        <w:rPr>
          <w:lang w:val="en-US"/>
        </w:rPr>
        <w:t xml:space="preserve"> teaching. The Ministry of Education and Culture supports vocational education and training for Roma people for instance by granting (on application, through performance decisions on vocational education and training) minimum student-years also on the basis of vocational education and training undertaken by Roma students. Providers of vocational education and training may be made increasingly aware of securing equal training opportunities for this population group, through information guidance and the award criteria described in the covering letters for performance decisions. </w:t>
      </w:r>
    </w:p>
    <w:p w14:paraId="111DC569" w14:textId="77777777" w:rsidR="005649AD" w:rsidRPr="005649AD" w:rsidRDefault="005649AD" w:rsidP="00067F0E">
      <w:pPr>
        <w:pStyle w:val="Bullet2G"/>
        <w:rPr>
          <w:lang w:val="en-US"/>
        </w:rPr>
      </w:pPr>
      <w:r w:rsidRPr="005649AD">
        <w:rPr>
          <w:lang w:val="en-US"/>
        </w:rPr>
        <w:t xml:space="preserve">The National Policy on Roma 2023-2030 has been adopted. This </w:t>
      </w:r>
      <w:proofErr w:type="spellStart"/>
      <w:r w:rsidRPr="005649AD">
        <w:rPr>
          <w:lang w:val="en-US"/>
        </w:rPr>
        <w:t>Programme</w:t>
      </w:r>
      <w:proofErr w:type="spellEnd"/>
      <w:r w:rsidRPr="005649AD">
        <w:rPr>
          <w:lang w:val="en-US"/>
        </w:rPr>
        <w:t xml:space="preserve"> contains measures to improve the participation, inclusion and equality of the Roma population in education and training (from early childhood education to university-level education) and in employment opportunities in the context of the </w:t>
      </w:r>
      <w:proofErr w:type="spellStart"/>
      <w:r w:rsidRPr="005649AD">
        <w:rPr>
          <w:lang w:val="en-US"/>
        </w:rPr>
        <w:t>programme</w:t>
      </w:r>
      <w:proofErr w:type="spellEnd"/>
      <w:r w:rsidRPr="005649AD">
        <w:rPr>
          <w:lang w:val="en-US"/>
        </w:rPr>
        <w:t xml:space="preserve"> to promote diversity in working life by addressing structural discrimination in working life and by facilitating training positions and employment for the Roma.</w:t>
      </w:r>
    </w:p>
    <w:p w14:paraId="3E2B0052" w14:textId="1CF06086" w:rsidR="005649AD" w:rsidRPr="005649AD" w:rsidRDefault="004F68B2" w:rsidP="00601F89">
      <w:pPr>
        <w:pStyle w:val="SingleTxtG"/>
        <w:rPr>
          <w:lang w:val="en-US"/>
        </w:rPr>
      </w:pPr>
      <w:r>
        <w:rPr>
          <w:lang w:val="en-US"/>
        </w:rPr>
        <w:tab/>
      </w:r>
      <w:r>
        <w:rPr>
          <w:lang w:val="en-US"/>
        </w:rPr>
        <w:tab/>
      </w:r>
      <w:r w:rsidR="005649AD" w:rsidRPr="005649AD">
        <w:rPr>
          <w:lang w:val="en-US"/>
        </w:rPr>
        <w:t>138.203.</w:t>
      </w:r>
    </w:p>
    <w:p w14:paraId="12B825F4" w14:textId="77777777" w:rsidR="005649AD" w:rsidRPr="005649AD" w:rsidRDefault="005649AD" w:rsidP="00067F0E">
      <w:pPr>
        <w:pStyle w:val="Bullet2G"/>
        <w:rPr>
          <w:lang w:val="en-US"/>
        </w:rPr>
      </w:pPr>
      <w:r w:rsidRPr="005649AD">
        <w:rPr>
          <w:lang w:val="en-US"/>
        </w:rPr>
        <w:t>See comments for 138.38, 138.39, 138.94.</w:t>
      </w:r>
    </w:p>
    <w:p w14:paraId="3D94C527" w14:textId="77777777" w:rsidR="005649AD" w:rsidRPr="005649AD" w:rsidRDefault="005649AD" w:rsidP="00067F0E">
      <w:pPr>
        <w:pStyle w:val="Bullet2G"/>
        <w:rPr>
          <w:lang w:val="en-US"/>
        </w:rPr>
      </w:pPr>
      <w:r w:rsidRPr="005649AD">
        <w:rPr>
          <w:lang w:val="en-US"/>
        </w:rPr>
        <w:t>The Non-discrimination Act ensures an equal treatment of all persons. An amendment of the Non-Discrimination Act (HE 148/2022) gives the Non-Discrimination Ombudsman the authority to process individual cases in working life and to issue a reasoned opinion on them. In addition, the National Non-Discrimination and Equality Tribunal may recommend the payment of compensation. The regulation on reasonable accommodation has been specified as well.</w:t>
      </w:r>
    </w:p>
    <w:p w14:paraId="5F8C6C07" w14:textId="0FB57916" w:rsidR="005649AD" w:rsidRPr="005649AD" w:rsidRDefault="004F68B2" w:rsidP="00601F89">
      <w:pPr>
        <w:pStyle w:val="SingleTxtG"/>
        <w:rPr>
          <w:lang w:val="en-US"/>
        </w:rPr>
      </w:pPr>
      <w:r>
        <w:rPr>
          <w:lang w:val="en-US"/>
        </w:rPr>
        <w:tab/>
      </w:r>
      <w:r>
        <w:rPr>
          <w:lang w:val="en-US"/>
        </w:rPr>
        <w:tab/>
      </w:r>
      <w:r w:rsidR="005649AD" w:rsidRPr="005649AD">
        <w:rPr>
          <w:lang w:val="en-US"/>
        </w:rPr>
        <w:t>138.206, 138.207.</w:t>
      </w:r>
      <w:r w:rsidR="00067F0E">
        <w:rPr>
          <w:lang w:val="en-US"/>
        </w:rPr>
        <w:t xml:space="preserve"> </w:t>
      </w:r>
      <w:r w:rsidR="005649AD" w:rsidRPr="005649AD">
        <w:rPr>
          <w:lang w:val="en-US"/>
        </w:rPr>
        <w:t>No separate action plan is currently planned.</w:t>
      </w:r>
    </w:p>
    <w:p w14:paraId="48CF4728" w14:textId="6887384D" w:rsidR="005649AD" w:rsidRPr="005649AD" w:rsidRDefault="00601F89" w:rsidP="00067F0E">
      <w:pPr>
        <w:pStyle w:val="H23G"/>
        <w:rPr>
          <w:lang w:val="en-US"/>
        </w:rPr>
      </w:pPr>
      <w:r>
        <w:rPr>
          <w:lang w:val="en-US"/>
        </w:rPr>
        <w:lastRenderedPageBreak/>
        <w:tab/>
      </w:r>
      <w:r>
        <w:rPr>
          <w:lang w:val="en-US"/>
        </w:rPr>
        <w:tab/>
      </w:r>
      <w:r w:rsidR="005649AD" w:rsidRPr="005649AD">
        <w:rPr>
          <w:lang w:val="en-US"/>
        </w:rPr>
        <w:t>Persons with disabilities</w:t>
      </w:r>
    </w:p>
    <w:p w14:paraId="52E997C1" w14:textId="6270A377" w:rsidR="005649AD" w:rsidRPr="005649AD" w:rsidRDefault="004F68B2" w:rsidP="00601F89">
      <w:pPr>
        <w:pStyle w:val="SingleTxtG"/>
        <w:rPr>
          <w:i/>
          <w:lang w:val="en-US"/>
        </w:rPr>
      </w:pPr>
      <w:r>
        <w:rPr>
          <w:lang w:val="en-US"/>
        </w:rPr>
        <w:tab/>
      </w:r>
      <w:r>
        <w:rPr>
          <w:lang w:val="en-US"/>
        </w:rPr>
        <w:tab/>
      </w:r>
      <w:r w:rsidR="005649AD" w:rsidRPr="005649AD">
        <w:rPr>
          <w:lang w:val="en-US"/>
        </w:rPr>
        <w:t>138.122.</w:t>
      </w:r>
    </w:p>
    <w:p w14:paraId="666FB93A" w14:textId="77777777" w:rsidR="005649AD" w:rsidRPr="005649AD" w:rsidRDefault="005649AD" w:rsidP="00067F0E">
      <w:pPr>
        <w:pStyle w:val="Bullet2G"/>
        <w:rPr>
          <w:lang w:val="en-US"/>
        </w:rPr>
      </w:pPr>
      <w:r w:rsidRPr="005649AD">
        <w:rPr>
          <w:lang w:val="en-US"/>
        </w:rPr>
        <w:t>The Act on the expansion of compulsory education entered into force on 1 August 2021. Compulsory education ends when the student reaches the age of 18 or when he or she completes an upper secondary qualification before that.</w:t>
      </w:r>
    </w:p>
    <w:p w14:paraId="6721D869" w14:textId="77777777" w:rsidR="005649AD" w:rsidRPr="005649AD" w:rsidRDefault="005649AD" w:rsidP="00067F0E">
      <w:pPr>
        <w:pStyle w:val="Bullet2G"/>
        <w:rPr>
          <w:lang w:val="en-US"/>
        </w:rPr>
      </w:pPr>
      <w:r w:rsidRPr="005649AD">
        <w:rPr>
          <w:lang w:val="en-US"/>
        </w:rPr>
        <w:t>As competence requirements are generally rising, finding employment these days generally requires at least an upper secondary level qualification. Expanding compulsory education and legislating for various types of support and a personal competence development plan ensure that individual needs are addressed in education and training.</w:t>
      </w:r>
    </w:p>
    <w:p w14:paraId="18781508" w14:textId="77777777" w:rsidR="005649AD" w:rsidRPr="005649AD" w:rsidRDefault="005649AD" w:rsidP="00067F0E">
      <w:pPr>
        <w:pStyle w:val="Bullet2G"/>
        <w:rPr>
          <w:lang w:val="en-US"/>
        </w:rPr>
      </w:pPr>
      <w:r w:rsidRPr="005649AD">
        <w:rPr>
          <w:lang w:val="en-US"/>
        </w:rPr>
        <w:t xml:space="preserve">A new preparatory education for </w:t>
      </w:r>
      <w:proofErr w:type="spellStart"/>
      <w:r w:rsidRPr="005649AD">
        <w:rPr>
          <w:lang w:val="en-US"/>
        </w:rPr>
        <w:t>programmes</w:t>
      </w:r>
      <w:proofErr w:type="spellEnd"/>
      <w:r w:rsidRPr="005649AD">
        <w:rPr>
          <w:lang w:val="en-US"/>
        </w:rPr>
        <w:t xml:space="preserve"> leading to a qualification (TUVA) was launched in autumn 2022, providing students with capabilities for transitioning to and completing an upper secondary qualification. Students in need of intensive special support may complete their compulsory education in preparatory education for work and independent living (TELMA).</w:t>
      </w:r>
    </w:p>
    <w:p w14:paraId="163BF090" w14:textId="0D407DEC" w:rsidR="004F68B2" w:rsidRPr="005649AD" w:rsidRDefault="004F68B2" w:rsidP="004F68B2">
      <w:pPr>
        <w:pStyle w:val="SingleTxtG"/>
        <w:tabs>
          <w:tab w:val="left" w:pos="1701"/>
          <w:tab w:val="left" w:pos="2552"/>
        </w:tabs>
        <w:rPr>
          <w:lang w:val="en-US"/>
        </w:rPr>
      </w:pPr>
      <w:r>
        <w:rPr>
          <w:lang w:val="en-US"/>
        </w:rPr>
        <w:tab/>
      </w:r>
      <w:r w:rsidR="005649AD" w:rsidRPr="005649AD">
        <w:rPr>
          <w:lang w:val="en-US"/>
        </w:rPr>
        <w:t>138.194</w:t>
      </w:r>
      <w:r w:rsidR="00067F0E">
        <w:rPr>
          <w:lang w:val="en-US"/>
        </w:rPr>
        <w:t xml:space="preserve">. </w:t>
      </w:r>
      <w:r w:rsidR="005649AD" w:rsidRPr="005649AD">
        <w:rPr>
          <w:lang w:val="fi-FI"/>
        </w:rPr>
        <w:t>See comments for 138.190.</w:t>
      </w:r>
    </w:p>
    <w:p w14:paraId="3487321E" w14:textId="71742F13" w:rsidR="005649AD" w:rsidRPr="005649AD" w:rsidRDefault="00601F89" w:rsidP="00067F0E">
      <w:pPr>
        <w:pStyle w:val="H23G"/>
        <w:rPr>
          <w:lang w:val="en-US"/>
        </w:rPr>
      </w:pPr>
      <w:r>
        <w:rPr>
          <w:lang w:val="en-US"/>
        </w:rPr>
        <w:tab/>
      </w:r>
      <w:r>
        <w:rPr>
          <w:lang w:val="en-US"/>
        </w:rPr>
        <w:tab/>
      </w:r>
      <w:r w:rsidR="005649AD" w:rsidRPr="005649AD">
        <w:rPr>
          <w:lang w:val="en-US"/>
        </w:rPr>
        <w:t>Migrants, refugees and asylum seekers</w:t>
      </w:r>
    </w:p>
    <w:p w14:paraId="00F189F5" w14:textId="05CC2D6C" w:rsidR="004F68B2" w:rsidRPr="005649AD" w:rsidRDefault="004F68B2" w:rsidP="004F68B2">
      <w:pPr>
        <w:pStyle w:val="SingleTxtG"/>
        <w:tabs>
          <w:tab w:val="left" w:pos="1701"/>
          <w:tab w:val="left" w:pos="2552"/>
        </w:tabs>
        <w:rPr>
          <w:lang w:val="en-US"/>
        </w:rPr>
      </w:pPr>
      <w:r>
        <w:rPr>
          <w:lang w:val="en-US"/>
        </w:rPr>
        <w:tab/>
      </w:r>
      <w:r w:rsidR="005649AD" w:rsidRPr="005649AD">
        <w:rPr>
          <w:lang w:val="en-US"/>
        </w:rPr>
        <w:t>138.53</w:t>
      </w:r>
      <w:r w:rsidR="00067F0E">
        <w:rPr>
          <w:lang w:val="en-US"/>
        </w:rPr>
        <w:t xml:space="preserve">. </w:t>
      </w:r>
      <w:r w:rsidR="005649AD" w:rsidRPr="005649AD">
        <w:rPr>
          <w:lang w:val="en-US"/>
        </w:rPr>
        <w:t>In Finland, universities decide independently on the content of their teaching. The Ministry of Education and Culture encourages universities to include goals related to human rights in their curricula at their own initiative, for instance in teacher training. The National Agency for Education funds, monitors and develops continuing education for education sector employees. The purpose and mission of this is to foster improved functioning of the education system and improved quality of teaching while supporting the implementation of education policy reforms. Training for education sector employees is being funded by about EUR 10 million per annum, with some 23,000 participants each year. One of the major themes in the period 2020–2023 covers promoting equality and non-discrimination; promoting inclusion, wellbeing and safety; and preventing bullying in learning communities. The Ministry of Education and Culture has appointed a steering group for development of democracy and human rights education. This steering group coordinates and supports education on democracy and human rights at educational institutions; inclusion of pupils and students; and improvement of the competence of teaching staff.</w:t>
      </w:r>
    </w:p>
    <w:p w14:paraId="0FEFDD62" w14:textId="55D8E532" w:rsidR="004F68B2" w:rsidRPr="005649AD" w:rsidRDefault="004F68B2" w:rsidP="004F68B2">
      <w:pPr>
        <w:pStyle w:val="SingleTxtG"/>
        <w:tabs>
          <w:tab w:val="left" w:pos="1701"/>
          <w:tab w:val="left" w:pos="2552"/>
        </w:tabs>
        <w:rPr>
          <w:lang w:val="en-US"/>
        </w:rPr>
      </w:pPr>
      <w:r>
        <w:rPr>
          <w:lang w:val="en-US"/>
        </w:rPr>
        <w:tab/>
      </w:r>
      <w:r w:rsidR="005649AD" w:rsidRPr="005649AD">
        <w:rPr>
          <w:lang w:val="en-US"/>
        </w:rPr>
        <w:t>138.221</w:t>
      </w:r>
      <w:r w:rsidR="00067F0E">
        <w:rPr>
          <w:lang w:val="en-US"/>
        </w:rPr>
        <w:t xml:space="preserve">. </w:t>
      </w:r>
      <w:r w:rsidR="005649AD" w:rsidRPr="005649AD">
        <w:rPr>
          <w:lang w:val="en-US"/>
        </w:rPr>
        <w:t>See comments for 138.49.</w:t>
      </w:r>
    </w:p>
    <w:p w14:paraId="31A1E9C6" w14:textId="562F25F4" w:rsidR="005649AD" w:rsidRPr="005649AD" w:rsidRDefault="00601F89" w:rsidP="00601F89">
      <w:pPr>
        <w:pStyle w:val="SingleTxtG"/>
        <w:rPr>
          <w:lang w:val="en-US"/>
        </w:rPr>
      </w:pPr>
      <w:r>
        <w:rPr>
          <w:lang w:val="en-US"/>
        </w:rPr>
        <w:t>4.</w:t>
      </w:r>
      <w:r>
        <w:rPr>
          <w:lang w:val="en-US"/>
        </w:rPr>
        <w:tab/>
      </w:r>
      <w:r w:rsidR="005649AD" w:rsidRPr="005649AD">
        <w:rPr>
          <w:lang w:val="en-US"/>
        </w:rPr>
        <w:t>The Government will submit a mid-term report on all recommendations in 2024.</w:t>
      </w:r>
    </w:p>
    <w:p w14:paraId="48B1ED02" w14:textId="34A025FF" w:rsidR="00CF586F" w:rsidRPr="00601F89" w:rsidRDefault="00601F89" w:rsidP="00601F89">
      <w:pPr>
        <w:spacing w:before="240"/>
        <w:ind w:left="1134" w:right="1134"/>
        <w:jc w:val="center"/>
        <w:rPr>
          <w:u w:val="single"/>
        </w:rPr>
      </w:pPr>
      <w:r>
        <w:rPr>
          <w:u w:val="single"/>
        </w:rPr>
        <w:tab/>
      </w:r>
      <w:r>
        <w:rPr>
          <w:u w:val="single"/>
        </w:rPr>
        <w:tab/>
      </w:r>
      <w:r>
        <w:rPr>
          <w:u w:val="single"/>
        </w:rPr>
        <w:tab/>
      </w:r>
      <w:r w:rsidR="00557BA8">
        <w:rPr>
          <w:u w:val="single"/>
        </w:rPr>
        <w:tab/>
      </w:r>
    </w:p>
    <w:sectPr w:rsidR="00CF586F" w:rsidRPr="00601F89" w:rsidSect="005649AD">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B98A" w14:textId="77777777" w:rsidR="005649AD" w:rsidRDefault="005649AD"/>
  </w:endnote>
  <w:endnote w:type="continuationSeparator" w:id="0">
    <w:p w14:paraId="10EA171D" w14:textId="77777777" w:rsidR="005649AD" w:rsidRDefault="005649AD"/>
  </w:endnote>
  <w:endnote w:type="continuationNotice" w:id="1">
    <w:p w14:paraId="3B0A388E" w14:textId="77777777" w:rsidR="005649AD" w:rsidRDefault="00564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3F6F" w14:textId="073F95CB" w:rsidR="005649AD" w:rsidRPr="005649AD" w:rsidRDefault="005649AD" w:rsidP="005649AD">
    <w:pPr>
      <w:pStyle w:val="Footer"/>
      <w:tabs>
        <w:tab w:val="right" w:pos="9638"/>
      </w:tabs>
      <w:rPr>
        <w:sz w:val="18"/>
      </w:rPr>
    </w:pPr>
    <w:r w:rsidRPr="005649AD">
      <w:rPr>
        <w:b/>
        <w:sz w:val="18"/>
      </w:rPr>
      <w:fldChar w:fldCharType="begin"/>
    </w:r>
    <w:r w:rsidRPr="005649AD">
      <w:rPr>
        <w:b/>
        <w:sz w:val="18"/>
      </w:rPr>
      <w:instrText xml:space="preserve"> PAGE  \* MERGEFORMAT </w:instrText>
    </w:r>
    <w:r w:rsidRPr="005649AD">
      <w:rPr>
        <w:b/>
        <w:sz w:val="18"/>
      </w:rPr>
      <w:fldChar w:fldCharType="separate"/>
    </w:r>
    <w:r w:rsidRPr="005649AD">
      <w:rPr>
        <w:b/>
        <w:noProof/>
        <w:sz w:val="18"/>
      </w:rPr>
      <w:t>2</w:t>
    </w:r>
    <w:r w:rsidRPr="005649A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4900" w14:textId="0A98FDC6" w:rsidR="005649AD" w:rsidRPr="005649AD" w:rsidRDefault="005649AD" w:rsidP="005649AD">
    <w:pPr>
      <w:pStyle w:val="Footer"/>
      <w:tabs>
        <w:tab w:val="right" w:pos="9638"/>
      </w:tabs>
      <w:rPr>
        <w:b/>
        <w:sz w:val="18"/>
      </w:rPr>
    </w:pPr>
    <w:r>
      <w:tab/>
    </w:r>
    <w:r w:rsidRPr="005649AD">
      <w:rPr>
        <w:b/>
        <w:sz w:val="18"/>
      </w:rPr>
      <w:fldChar w:fldCharType="begin"/>
    </w:r>
    <w:r w:rsidRPr="005649AD">
      <w:rPr>
        <w:b/>
        <w:sz w:val="18"/>
      </w:rPr>
      <w:instrText xml:space="preserve"> PAGE  \* MERGEFORMAT </w:instrText>
    </w:r>
    <w:r w:rsidRPr="005649AD">
      <w:rPr>
        <w:b/>
        <w:sz w:val="18"/>
      </w:rPr>
      <w:fldChar w:fldCharType="separate"/>
    </w:r>
    <w:r w:rsidRPr="005649AD">
      <w:rPr>
        <w:b/>
        <w:noProof/>
        <w:sz w:val="18"/>
      </w:rPr>
      <w:t>3</w:t>
    </w:r>
    <w:r w:rsidRPr="005649A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1CE7" w14:textId="77777777" w:rsidR="005649AD" w:rsidRPr="000B175B" w:rsidRDefault="005649AD" w:rsidP="000B175B">
      <w:pPr>
        <w:tabs>
          <w:tab w:val="right" w:pos="2155"/>
        </w:tabs>
        <w:spacing w:after="80"/>
        <w:ind w:left="680"/>
        <w:rPr>
          <w:u w:val="single"/>
        </w:rPr>
      </w:pPr>
      <w:r>
        <w:rPr>
          <w:u w:val="single"/>
        </w:rPr>
        <w:tab/>
      </w:r>
    </w:p>
  </w:footnote>
  <w:footnote w:type="continuationSeparator" w:id="0">
    <w:p w14:paraId="6774D28E" w14:textId="77777777" w:rsidR="005649AD" w:rsidRPr="00FC68B7" w:rsidRDefault="005649AD" w:rsidP="00FC68B7">
      <w:pPr>
        <w:tabs>
          <w:tab w:val="left" w:pos="2155"/>
        </w:tabs>
        <w:spacing w:after="80"/>
        <w:ind w:left="680"/>
        <w:rPr>
          <w:u w:val="single"/>
        </w:rPr>
      </w:pPr>
      <w:r>
        <w:rPr>
          <w:u w:val="single"/>
        </w:rPr>
        <w:tab/>
      </w:r>
    </w:p>
  </w:footnote>
  <w:footnote w:type="continuationNotice" w:id="1">
    <w:p w14:paraId="31A749B1" w14:textId="77777777" w:rsidR="005649AD" w:rsidRDefault="005649AD"/>
  </w:footnote>
  <w:footnote w:id="2">
    <w:p w14:paraId="775A9B95" w14:textId="77777777" w:rsidR="005649AD" w:rsidRPr="00904B47" w:rsidRDefault="005649AD" w:rsidP="005649AD">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877F" w14:textId="663DDC69" w:rsidR="005649AD" w:rsidRPr="005649AD" w:rsidRDefault="00B913B7">
    <w:pPr>
      <w:pStyle w:val="Header"/>
    </w:pPr>
    <w:fldSimple w:instr=" TITLE  \* MERGEFORMAT ">
      <w:r w:rsidR="00067F0E">
        <w:t>A/HRC/52/9/Add.1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FD3B" w14:textId="4E47F1D0" w:rsidR="005649AD" w:rsidRPr="005649AD" w:rsidRDefault="00B913B7" w:rsidP="005649AD">
    <w:pPr>
      <w:pStyle w:val="Header"/>
      <w:jc w:val="right"/>
    </w:pPr>
    <w:fldSimple w:instr=" TITLE  \* MERGEFORMAT ">
      <w:r w:rsidR="00067F0E">
        <w:t>A/HRC/52/9/Add.1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E038D"/>
    <w:multiLevelType w:val="hybridMultilevel"/>
    <w:tmpl w:val="BB0C3780"/>
    <w:lvl w:ilvl="0" w:tplc="8938B35A">
      <w:numFmt w:val="bullet"/>
      <w:lvlText w:val="•"/>
      <w:lvlJc w:val="left"/>
      <w:pPr>
        <w:ind w:left="1571" w:hanging="360"/>
      </w:pPr>
      <w:rPr>
        <w:rFonts w:ascii="Times New Roman" w:eastAsiaTheme="minorHAnsi" w:hAnsi="Times New Roman" w:cs="Times New Roman" w:hint="default"/>
      </w:rPr>
    </w:lvl>
    <w:lvl w:ilvl="1" w:tplc="8938B35A">
      <w:numFmt w:val="bullet"/>
      <w:lvlText w:val="•"/>
      <w:lvlJc w:val="left"/>
      <w:pPr>
        <w:ind w:left="2291" w:hanging="360"/>
      </w:pPr>
      <w:rPr>
        <w:rFonts w:ascii="Times New Roman" w:eastAsiaTheme="minorHAnsi" w:hAnsi="Times New Roman"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578AB"/>
    <w:multiLevelType w:val="hybridMultilevel"/>
    <w:tmpl w:val="A2485338"/>
    <w:lvl w:ilvl="0" w:tplc="8938B35A">
      <w:numFmt w:val="bullet"/>
      <w:lvlText w:val="•"/>
      <w:lvlJc w:val="left"/>
      <w:pPr>
        <w:ind w:left="1571" w:hanging="360"/>
      </w:pPr>
      <w:rPr>
        <w:rFonts w:ascii="Times New Roman" w:eastAsiaTheme="minorHAnsi" w:hAnsi="Times New Roman" w:cs="Times New Roman" w:hint="default"/>
      </w:rPr>
    </w:lvl>
    <w:lvl w:ilvl="1" w:tplc="8938B35A">
      <w:numFmt w:val="bullet"/>
      <w:lvlText w:val="•"/>
      <w:lvlJc w:val="left"/>
      <w:pPr>
        <w:ind w:left="2291" w:hanging="360"/>
      </w:pPr>
      <w:rPr>
        <w:rFonts w:ascii="Times New Roman" w:eastAsiaTheme="minorHAnsi" w:hAnsi="Times New Roman"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EA64A63"/>
    <w:multiLevelType w:val="hybridMultilevel"/>
    <w:tmpl w:val="FA8C6EB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C4D2709"/>
    <w:multiLevelType w:val="hybridMultilevel"/>
    <w:tmpl w:val="17D6B5F4"/>
    <w:lvl w:ilvl="0" w:tplc="8938B35A">
      <w:numFmt w:val="bullet"/>
      <w:lvlText w:val="•"/>
      <w:lvlJc w:val="left"/>
      <w:pPr>
        <w:ind w:left="1571" w:hanging="360"/>
      </w:pPr>
      <w:rPr>
        <w:rFonts w:ascii="Times New Roman" w:eastAsiaTheme="minorHAnsi" w:hAnsi="Times New Roman" w:cs="Times New Roman" w:hint="default"/>
      </w:rPr>
    </w:lvl>
    <w:lvl w:ilvl="1" w:tplc="8938B35A">
      <w:numFmt w:val="bullet"/>
      <w:lvlText w:val="•"/>
      <w:lvlJc w:val="left"/>
      <w:pPr>
        <w:ind w:left="2291" w:hanging="360"/>
      </w:pPr>
      <w:rPr>
        <w:rFonts w:ascii="Times New Roman" w:eastAsiaTheme="minorHAnsi" w:hAnsi="Times New Roman"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708440B7"/>
    <w:multiLevelType w:val="hybridMultilevel"/>
    <w:tmpl w:val="C8481022"/>
    <w:lvl w:ilvl="0" w:tplc="8938B35A">
      <w:numFmt w:val="bullet"/>
      <w:lvlText w:val="•"/>
      <w:lvlJc w:val="left"/>
      <w:pPr>
        <w:ind w:left="1571" w:hanging="360"/>
      </w:pPr>
      <w:rPr>
        <w:rFonts w:ascii="Times New Roman" w:eastAsiaTheme="minorHAnsi"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997152255">
    <w:abstractNumId w:val="8"/>
  </w:num>
  <w:num w:numId="2" w16cid:durableId="629284593">
    <w:abstractNumId w:val="5"/>
  </w:num>
  <w:num w:numId="3" w16cid:durableId="1596478786">
    <w:abstractNumId w:val="10"/>
  </w:num>
  <w:num w:numId="4" w16cid:durableId="1833370853">
    <w:abstractNumId w:val="4"/>
  </w:num>
  <w:num w:numId="5" w16cid:durableId="745148332">
    <w:abstractNumId w:val="0"/>
  </w:num>
  <w:num w:numId="6" w16cid:durableId="1353456622">
    <w:abstractNumId w:val="1"/>
  </w:num>
  <w:num w:numId="7" w16cid:durableId="338775424">
    <w:abstractNumId w:val="9"/>
  </w:num>
  <w:num w:numId="8" w16cid:durableId="955794484">
    <w:abstractNumId w:val="3"/>
  </w:num>
  <w:num w:numId="9" w16cid:durableId="528180425">
    <w:abstractNumId w:val="2"/>
  </w:num>
  <w:num w:numId="10" w16cid:durableId="1242760286">
    <w:abstractNumId w:val="11"/>
  </w:num>
  <w:num w:numId="11" w16cid:durableId="872228276">
    <w:abstractNumId w:val="12"/>
  </w:num>
  <w:num w:numId="12" w16cid:durableId="388261120">
    <w:abstractNumId w:val="6"/>
  </w:num>
  <w:num w:numId="13" w16cid:durableId="195732936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AD"/>
    <w:rsid w:val="00007F7F"/>
    <w:rsid w:val="00022DB5"/>
    <w:rsid w:val="000403D1"/>
    <w:rsid w:val="000449AA"/>
    <w:rsid w:val="00050F6B"/>
    <w:rsid w:val="00051BEF"/>
    <w:rsid w:val="0005662A"/>
    <w:rsid w:val="00067F0E"/>
    <w:rsid w:val="00072C8C"/>
    <w:rsid w:val="00073E70"/>
    <w:rsid w:val="00080F98"/>
    <w:rsid w:val="000876EB"/>
    <w:rsid w:val="00091419"/>
    <w:rsid w:val="000931C0"/>
    <w:rsid w:val="000A10B5"/>
    <w:rsid w:val="000B175B"/>
    <w:rsid w:val="000B2851"/>
    <w:rsid w:val="000B3A0F"/>
    <w:rsid w:val="000B4A3B"/>
    <w:rsid w:val="000C59D8"/>
    <w:rsid w:val="000D1851"/>
    <w:rsid w:val="000D5519"/>
    <w:rsid w:val="000E0415"/>
    <w:rsid w:val="00146D32"/>
    <w:rsid w:val="001509BA"/>
    <w:rsid w:val="001B4B04"/>
    <w:rsid w:val="001C6663"/>
    <w:rsid w:val="001C7895"/>
    <w:rsid w:val="001D26DF"/>
    <w:rsid w:val="001D601A"/>
    <w:rsid w:val="001E2790"/>
    <w:rsid w:val="00211E0B"/>
    <w:rsid w:val="00211E72"/>
    <w:rsid w:val="0021293F"/>
    <w:rsid w:val="00214047"/>
    <w:rsid w:val="0022130F"/>
    <w:rsid w:val="00237785"/>
    <w:rsid w:val="002410DD"/>
    <w:rsid w:val="002412C6"/>
    <w:rsid w:val="00241466"/>
    <w:rsid w:val="00253D58"/>
    <w:rsid w:val="0027725F"/>
    <w:rsid w:val="00284ACA"/>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C4D"/>
    <w:rsid w:val="00451EC3"/>
    <w:rsid w:val="004721B1"/>
    <w:rsid w:val="004859EC"/>
    <w:rsid w:val="00496A15"/>
    <w:rsid w:val="004B75D2"/>
    <w:rsid w:val="004D1140"/>
    <w:rsid w:val="004F55ED"/>
    <w:rsid w:val="004F68B2"/>
    <w:rsid w:val="0052176C"/>
    <w:rsid w:val="005261E5"/>
    <w:rsid w:val="005420F2"/>
    <w:rsid w:val="00542574"/>
    <w:rsid w:val="005436AB"/>
    <w:rsid w:val="00546924"/>
    <w:rsid w:val="00546DBF"/>
    <w:rsid w:val="00553D76"/>
    <w:rsid w:val="005552B5"/>
    <w:rsid w:val="00557BA8"/>
    <w:rsid w:val="0056117B"/>
    <w:rsid w:val="00562621"/>
    <w:rsid w:val="005649AD"/>
    <w:rsid w:val="00571365"/>
    <w:rsid w:val="005A0E16"/>
    <w:rsid w:val="005B3DB3"/>
    <w:rsid w:val="005B6E48"/>
    <w:rsid w:val="005D53BE"/>
    <w:rsid w:val="005E00AE"/>
    <w:rsid w:val="005E1712"/>
    <w:rsid w:val="00601F89"/>
    <w:rsid w:val="00611FC4"/>
    <w:rsid w:val="006176FB"/>
    <w:rsid w:val="00640B26"/>
    <w:rsid w:val="00655B60"/>
    <w:rsid w:val="00670741"/>
    <w:rsid w:val="00696BD6"/>
    <w:rsid w:val="006A6B9D"/>
    <w:rsid w:val="006A7392"/>
    <w:rsid w:val="006B3189"/>
    <w:rsid w:val="006B7D65"/>
    <w:rsid w:val="006D6DA6"/>
    <w:rsid w:val="006E564B"/>
    <w:rsid w:val="006E6698"/>
    <w:rsid w:val="006F13F0"/>
    <w:rsid w:val="006F5035"/>
    <w:rsid w:val="007065EB"/>
    <w:rsid w:val="00720183"/>
    <w:rsid w:val="0072632A"/>
    <w:rsid w:val="0074200B"/>
    <w:rsid w:val="0075238C"/>
    <w:rsid w:val="007A6296"/>
    <w:rsid w:val="007A79E4"/>
    <w:rsid w:val="007B6BA5"/>
    <w:rsid w:val="007C1917"/>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13B7"/>
    <w:rsid w:val="00B95B6D"/>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FDC8C"/>
  <w15:docId w15:val="{A02A1A5D-6A3C-4D0D-B944-BF04B398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5649AD"/>
    <w:rPr>
      <w:sz w:val="18"/>
      <w:lang w:val="en-GB" w:eastAsia="en-US"/>
    </w:rPr>
  </w:style>
  <w:style w:type="paragraph" w:styleId="Revision">
    <w:name w:val="Revision"/>
    <w:hidden/>
    <w:uiPriority w:val="99"/>
    <w:semiHidden/>
    <w:rsid w:val="006E6698"/>
    <w:rPr>
      <w:lang w:val="en-GB" w:eastAsia="en-US"/>
    </w:rPr>
  </w:style>
  <w:style w:type="character" w:styleId="CommentReference">
    <w:name w:val="annotation reference"/>
    <w:basedOn w:val="DefaultParagraphFont"/>
    <w:semiHidden/>
    <w:unhideWhenUsed/>
    <w:rsid w:val="00051BEF"/>
    <w:rPr>
      <w:sz w:val="16"/>
      <w:szCs w:val="16"/>
    </w:rPr>
  </w:style>
  <w:style w:type="paragraph" w:styleId="CommentText">
    <w:name w:val="annotation text"/>
    <w:basedOn w:val="Normal"/>
    <w:link w:val="CommentTextChar"/>
    <w:semiHidden/>
    <w:unhideWhenUsed/>
    <w:rsid w:val="00051BEF"/>
    <w:pPr>
      <w:spacing w:line="240" w:lineRule="auto"/>
    </w:pPr>
  </w:style>
  <w:style w:type="character" w:customStyle="1" w:styleId="CommentTextChar">
    <w:name w:val="Comment Text Char"/>
    <w:basedOn w:val="DefaultParagraphFont"/>
    <w:link w:val="CommentText"/>
    <w:semiHidden/>
    <w:rsid w:val="00051BEF"/>
    <w:rPr>
      <w:lang w:val="en-GB" w:eastAsia="en-US"/>
    </w:rPr>
  </w:style>
  <w:style w:type="paragraph" w:styleId="CommentSubject">
    <w:name w:val="annotation subject"/>
    <w:basedOn w:val="CommentText"/>
    <w:next w:val="CommentText"/>
    <w:link w:val="CommentSubjectChar"/>
    <w:semiHidden/>
    <w:unhideWhenUsed/>
    <w:rsid w:val="00051BEF"/>
    <w:rPr>
      <w:b/>
      <w:bCs/>
    </w:rPr>
  </w:style>
  <w:style w:type="character" w:customStyle="1" w:styleId="CommentSubjectChar">
    <w:name w:val="Comment Subject Char"/>
    <w:basedOn w:val="CommentTextChar"/>
    <w:link w:val="CommentSubject"/>
    <w:semiHidden/>
    <w:rsid w:val="00051BE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20C4-1ABA-4034-B7D8-2B9735FF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2</TotalTime>
  <Pages>7</Pages>
  <Words>2229</Words>
  <Characters>13643</Characters>
  <Application>Microsoft Office Word</Application>
  <DocSecurity>0</DocSecurity>
  <Lines>284</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A/HRC/52/9/Add.1</vt:lpstr>
      <vt:lpstr/>
    </vt:vector>
  </TitlesOfParts>
  <Company>CSD</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A/HRC/52/9/Add.1</dc:title>
  <dc:creator>IHARA Sumiko</dc:creator>
  <cp:lastModifiedBy>Veronique Lanz</cp:lastModifiedBy>
  <cp:revision>2</cp:revision>
  <cp:lastPrinted>2023-03-15T16:05:00Z</cp:lastPrinted>
  <dcterms:created xsi:type="dcterms:W3CDTF">2023-03-16T14:51:00Z</dcterms:created>
  <dcterms:modified xsi:type="dcterms:W3CDTF">2023-03-16T14:51:00Z</dcterms:modified>
</cp:coreProperties>
</file>