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35A59" w:rsidRPr="007C4E03" w14:paraId="09EA15F1" w14:textId="77777777" w:rsidTr="00EE40FA">
        <w:trPr>
          <w:trHeight w:val="851"/>
        </w:trPr>
        <w:tc>
          <w:tcPr>
            <w:tcW w:w="1276" w:type="dxa"/>
            <w:tcBorders>
              <w:top w:val="nil"/>
              <w:left w:val="nil"/>
              <w:bottom w:val="single" w:sz="4" w:space="0" w:color="auto"/>
              <w:right w:val="nil"/>
            </w:tcBorders>
          </w:tcPr>
          <w:p w14:paraId="513D2572" w14:textId="77777777" w:rsidR="00E35A59" w:rsidRPr="007C4E03" w:rsidRDefault="00E35A59" w:rsidP="00E35A59">
            <w:pPr>
              <w:spacing w:after="80" w:line="340" w:lineRule="exact"/>
              <w:rPr>
                <w:lang w:val="en-GB"/>
              </w:rPr>
            </w:pPr>
          </w:p>
        </w:tc>
        <w:tc>
          <w:tcPr>
            <w:tcW w:w="2268" w:type="dxa"/>
            <w:tcBorders>
              <w:top w:val="nil"/>
              <w:left w:val="nil"/>
              <w:bottom w:val="single" w:sz="4" w:space="0" w:color="auto"/>
              <w:right w:val="nil"/>
            </w:tcBorders>
            <w:vAlign w:val="bottom"/>
          </w:tcPr>
          <w:p w14:paraId="31D25CCF" w14:textId="2A35E593" w:rsidR="00E35A59" w:rsidRPr="007C4E03" w:rsidRDefault="00E35A59" w:rsidP="00E35A59">
            <w:pPr>
              <w:spacing w:after="80" w:line="300" w:lineRule="exact"/>
              <w:rPr>
                <w:sz w:val="28"/>
                <w:szCs w:val="28"/>
                <w:lang w:val="en-GB"/>
              </w:rPr>
            </w:pPr>
          </w:p>
        </w:tc>
        <w:tc>
          <w:tcPr>
            <w:tcW w:w="6232" w:type="dxa"/>
            <w:gridSpan w:val="2"/>
            <w:tcBorders>
              <w:top w:val="nil"/>
              <w:left w:val="nil"/>
              <w:bottom w:val="single" w:sz="4" w:space="0" w:color="auto"/>
              <w:right w:val="nil"/>
            </w:tcBorders>
            <w:vAlign w:val="bottom"/>
          </w:tcPr>
          <w:p w14:paraId="6E3F353B" w14:textId="77777777" w:rsidR="00E35A59" w:rsidRPr="007C4E03" w:rsidRDefault="00E35A59" w:rsidP="00E35A59">
            <w:pPr>
              <w:jc w:val="right"/>
              <w:rPr>
                <w:lang w:val="en-GB"/>
              </w:rPr>
            </w:pPr>
            <w:r w:rsidRPr="007C4E03">
              <w:rPr>
                <w:sz w:val="40"/>
                <w:lang w:val="en-GB"/>
              </w:rPr>
              <w:t>A</w:t>
            </w:r>
            <w:r w:rsidRPr="007C4E03">
              <w:rPr>
                <w:lang w:val="en-GB"/>
              </w:rPr>
              <w:t>/HRC/52/24</w:t>
            </w:r>
          </w:p>
        </w:tc>
      </w:tr>
      <w:tr w:rsidR="00E35A59" w:rsidRPr="008E501B" w14:paraId="3675E6B6" w14:textId="77777777" w:rsidTr="00EE40FA">
        <w:trPr>
          <w:trHeight w:val="2835"/>
        </w:trPr>
        <w:tc>
          <w:tcPr>
            <w:tcW w:w="1276" w:type="dxa"/>
            <w:tcBorders>
              <w:top w:val="single" w:sz="4" w:space="0" w:color="auto"/>
              <w:left w:val="nil"/>
              <w:bottom w:val="single" w:sz="12" w:space="0" w:color="auto"/>
              <w:right w:val="nil"/>
            </w:tcBorders>
          </w:tcPr>
          <w:p w14:paraId="74587B9D" w14:textId="0C05B584" w:rsidR="00E35A59" w:rsidRPr="007C4E03" w:rsidRDefault="00E35A59" w:rsidP="00E35A59">
            <w:pPr>
              <w:spacing w:before="120"/>
              <w:jc w:val="center"/>
              <w:rPr>
                <w:lang w:val="en-GB"/>
              </w:rPr>
            </w:pPr>
          </w:p>
        </w:tc>
        <w:tc>
          <w:tcPr>
            <w:tcW w:w="5528" w:type="dxa"/>
            <w:gridSpan w:val="2"/>
            <w:tcBorders>
              <w:top w:val="single" w:sz="4" w:space="0" w:color="auto"/>
              <w:left w:val="nil"/>
              <w:bottom w:val="single" w:sz="12" w:space="0" w:color="auto"/>
              <w:right w:val="nil"/>
            </w:tcBorders>
          </w:tcPr>
          <w:p w14:paraId="018B37AA" w14:textId="538566A1" w:rsidR="00E35A59" w:rsidRPr="007C4E03" w:rsidRDefault="00D809E4" w:rsidP="00E35A59">
            <w:pPr>
              <w:spacing w:before="120" w:line="420" w:lineRule="exact"/>
              <w:rPr>
                <w:b/>
                <w:sz w:val="40"/>
                <w:szCs w:val="40"/>
                <w:lang w:val="en-GB"/>
              </w:rPr>
            </w:pPr>
            <w:r>
              <w:rPr>
                <w:b/>
                <w:sz w:val="40"/>
                <w:szCs w:val="40"/>
                <w:lang w:val="en-GB"/>
              </w:rPr>
              <w:t>Unofficial English Translation</w:t>
            </w:r>
          </w:p>
        </w:tc>
        <w:tc>
          <w:tcPr>
            <w:tcW w:w="2835" w:type="dxa"/>
            <w:tcBorders>
              <w:top w:val="single" w:sz="4" w:space="0" w:color="auto"/>
              <w:left w:val="nil"/>
              <w:bottom w:val="single" w:sz="12" w:space="0" w:color="auto"/>
              <w:right w:val="nil"/>
            </w:tcBorders>
          </w:tcPr>
          <w:p w14:paraId="54E33186" w14:textId="77777777" w:rsidR="00E35A59" w:rsidRPr="007C4E03" w:rsidRDefault="00E35A59" w:rsidP="00E35A59">
            <w:pPr>
              <w:spacing w:before="240" w:line="240" w:lineRule="exact"/>
              <w:rPr>
                <w:lang w:val="en-GB"/>
              </w:rPr>
            </w:pPr>
            <w:r w:rsidRPr="007C4E03">
              <w:rPr>
                <w:lang w:val="en-GB"/>
              </w:rPr>
              <w:t>Distr. general</w:t>
            </w:r>
          </w:p>
          <w:p w14:paraId="2AEFC76F" w14:textId="77818444" w:rsidR="00E35A59" w:rsidRPr="007C4E03" w:rsidRDefault="00436E96" w:rsidP="00E35A59">
            <w:pPr>
              <w:spacing w:line="240" w:lineRule="exact"/>
              <w:rPr>
                <w:lang w:val="en-GB"/>
              </w:rPr>
            </w:pPr>
            <w:r>
              <w:rPr>
                <w:lang w:val="en-GB"/>
              </w:rPr>
              <w:t>28</w:t>
            </w:r>
            <w:r w:rsidRPr="007C4E03">
              <w:rPr>
                <w:lang w:val="en-GB"/>
              </w:rPr>
              <w:t xml:space="preserve"> </w:t>
            </w:r>
            <w:r w:rsidR="00E35A59" w:rsidRPr="007C4E03">
              <w:rPr>
                <w:lang w:val="en-GB"/>
              </w:rPr>
              <w:t>February 2023</w:t>
            </w:r>
          </w:p>
          <w:p w14:paraId="4BC2C5E4" w14:textId="77777777" w:rsidR="00E35A59" w:rsidRPr="007C4E03" w:rsidRDefault="00E35A59" w:rsidP="00E35A59">
            <w:pPr>
              <w:spacing w:line="240" w:lineRule="exact"/>
              <w:rPr>
                <w:lang w:val="en-GB"/>
              </w:rPr>
            </w:pPr>
          </w:p>
          <w:p w14:paraId="0A2E8A22" w14:textId="77777777" w:rsidR="00E35A59" w:rsidRPr="007C4E03" w:rsidRDefault="00E35A59" w:rsidP="00E35A59">
            <w:pPr>
              <w:spacing w:line="240" w:lineRule="exact"/>
              <w:rPr>
                <w:lang w:val="en-GB"/>
              </w:rPr>
            </w:pPr>
            <w:r w:rsidRPr="007C4E03">
              <w:rPr>
                <w:lang w:val="en-GB"/>
              </w:rPr>
              <w:t>Original: Spanish</w:t>
            </w:r>
          </w:p>
        </w:tc>
      </w:tr>
    </w:tbl>
    <w:p w14:paraId="64209BF9" w14:textId="77777777" w:rsidR="00E35A59" w:rsidRPr="007C4E03" w:rsidRDefault="00E35A59" w:rsidP="00E35A59">
      <w:pPr>
        <w:pBdr>
          <w:top w:val="nil"/>
          <w:left w:val="nil"/>
          <w:bottom w:val="nil"/>
          <w:right w:val="nil"/>
          <w:between w:val="nil"/>
          <w:bar w:val="nil"/>
        </w:pBdr>
        <w:spacing w:before="120"/>
        <w:rPr>
          <w:b/>
          <w:bCs/>
          <w:color w:val="000000"/>
          <w:sz w:val="24"/>
          <w:szCs w:val="24"/>
          <w:u w:color="000000"/>
          <w:bdr w:val="nil"/>
          <w:lang w:val="en-GB" w:eastAsia="en-GB"/>
          <w14:textOutline w14:w="12700" w14:cap="flat" w14:cmpd="sng" w14:algn="ctr">
            <w14:noFill/>
            <w14:prstDash w14:val="solid"/>
            <w14:miter w14:lim="400000"/>
          </w14:textOutline>
        </w:rPr>
      </w:pPr>
      <w:r w:rsidRPr="007C4E03">
        <w:rPr>
          <w:b/>
          <w:bCs/>
          <w:color w:val="000000"/>
          <w:sz w:val="24"/>
          <w:szCs w:val="24"/>
          <w:u w:color="000000"/>
          <w:bdr w:val="nil"/>
          <w:lang w:val="en-GB" w:eastAsia="en-GB"/>
          <w14:textOutline w14:w="12700" w14:cap="flat" w14:cmpd="sng" w14:algn="ctr">
            <w14:noFill/>
            <w14:prstDash w14:val="solid"/>
            <w14:miter w14:lim="400000"/>
          </w14:textOutline>
        </w:rPr>
        <w:t>Human Rights Council</w:t>
      </w:r>
      <w:bookmarkStart w:id="0" w:name="_GoBack"/>
      <w:bookmarkEnd w:id="0"/>
    </w:p>
    <w:p w14:paraId="520C80B7" w14:textId="77777777" w:rsidR="00E35A59" w:rsidRPr="007C4E03" w:rsidRDefault="00E35A59" w:rsidP="00E35A59">
      <w:pPr>
        <w:suppressAutoHyphens w:val="0"/>
        <w:spacing w:line="240" w:lineRule="auto"/>
        <w:jc w:val="both"/>
        <w:rPr>
          <w:b/>
          <w:lang w:val="en-GB"/>
        </w:rPr>
      </w:pPr>
      <w:r w:rsidRPr="007C4E03">
        <w:rPr>
          <w:b/>
          <w:lang w:val="en-GB"/>
        </w:rPr>
        <w:t>Fifty-second session</w:t>
      </w:r>
    </w:p>
    <w:p w14:paraId="44B2BD7A" w14:textId="77777777" w:rsidR="00E35A59" w:rsidRPr="007C4E03" w:rsidRDefault="00E35A59" w:rsidP="00E35A59">
      <w:pPr>
        <w:pBdr>
          <w:top w:val="nil"/>
          <w:left w:val="nil"/>
          <w:bottom w:val="nil"/>
          <w:right w:val="nil"/>
          <w:between w:val="nil"/>
          <w:bar w:val="nil"/>
        </w:pBdr>
        <w:rPr>
          <w:color w:val="000000"/>
          <w:u w:color="000000"/>
          <w:bdr w:val="nil"/>
          <w:lang w:val="en-GB" w:eastAsia="en-GB"/>
          <w14:textOutline w14:w="12700" w14:cap="flat" w14:cmpd="sng" w14:algn="ctr">
            <w14:noFill/>
            <w14:prstDash w14:val="solid"/>
            <w14:miter w14:lim="400000"/>
          </w14:textOutline>
        </w:rPr>
      </w:pPr>
      <w:r w:rsidRPr="007C4E03">
        <w:rPr>
          <w:bCs/>
          <w:lang w:val="en-GB"/>
        </w:rPr>
        <w:t>27 February–31 March 2023</w:t>
      </w:r>
      <w:r w:rsidRPr="007C4E03">
        <w:rPr>
          <w:bCs/>
          <w:lang w:val="en-GB"/>
        </w:rPr>
        <w:cr/>
      </w:r>
      <w:r w:rsidRPr="007C4E03">
        <w:rPr>
          <w:color w:val="000000"/>
          <w:u w:color="000000"/>
          <w:bdr w:val="nil"/>
          <w:lang w:val="en-GB" w:eastAsia="en-GB"/>
          <w14:textOutline w14:w="12700" w14:cap="flat" w14:cmpd="sng" w14:algn="ctr">
            <w14:noFill/>
            <w14:prstDash w14:val="solid"/>
            <w14:miter w14:lim="400000"/>
          </w14:textOutline>
        </w:rPr>
        <w:t>Agenda item 2</w:t>
      </w:r>
    </w:p>
    <w:p w14:paraId="181BD8B9" w14:textId="77777777" w:rsidR="00E35A59" w:rsidRPr="007C4E03" w:rsidRDefault="00E35A59" w:rsidP="00E35A59">
      <w:pPr>
        <w:pBdr>
          <w:top w:val="nil"/>
          <w:left w:val="nil"/>
          <w:bottom w:val="nil"/>
          <w:right w:val="nil"/>
          <w:between w:val="nil"/>
          <w:bar w:val="nil"/>
        </w:pBdr>
        <w:rPr>
          <w:b/>
          <w:bCs/>
          <w:lang w:val="en-GB"/>
        </w:rPr>
      </w:pPr>
      <w:r w:rsidRPr="007C4E03">
        <w:rPr>
          <w:b/>
          <w:bCs/>
          <w:lang w:val="en-GB"/>
        </w:rPr>
        <w:t xml:space="preserve">Annual report of the United Nations High Commissioner </w:t>
      </w:r>
    </w:p>
    <w:p w14:paraId="7F55FE28" w14:textId="77777777" w:rsidR="00E35A59" w:rsidRPr="007C4E03" w:rsidRDefault="00E35A59" w:rsidP="00E35A59">
      <w:pPr>
        <w:pBdr>
          <w:top w:val="nil"/>
          <w:left w:val="nil"/>
          <w:bottom w:val="nil"/>
          <w:right w:val="nil"/>
          <w:between w:val="nil"/>
          <w:bar w:val="nil"/>
        </w:pBdr>
        <w:rPr>
          <w:b/>
          <w:bCs/>
          <w:lang w:val="en-GB"/>
        </w:rPr>
      </w:pPr>
      <w:r w:rsidRPr="007C4E03">
        <w:rPr>
          <w:b/>
          <w:bCs/>
          <w:lang w:val="en-GB"/>
        </w:rPr>
        <w:t xml:space="preserve">for Human Rights and reports of the Office of the </w:t>
      </w:r>
    </w:p>
    <w:p w14:paraId="21043347" w14:textId="77777777" w:rsidR="00E35A59" w:rsidRPr="007C4E03" w:rsidRDefault="00E35A59" w:rsidP="00E35A59">
      <w:pPr>
        <w:pBdr>
          <w:top w:val="nil"/>
          <w:left w:val="nil"/>
          <w:bottom w:val="nil"/>
          <w:right w:val="nil"/>
          <w:between w:val="nil"/>
          <w:bar w:val="nil"/>
        </w:pBdr>
        <w:rPr>
          <w:rFonts w:eastAsia="Arial Unicode MS" w:cs="Arial Unicode MS"/>
          <w:color w:val="000000"/>
          <w:u w:color="000000"/>
          <w:bdr w:val="nil"/>
          <w:lang w:val="en-GB" w:eastAsia="en-GB"/>
        </w:rPr>
      </w:pPr>
      <w:r w:rsidRPr="007C4E03">
        <w:rPr>
          <w:b/>
          <w:bCs/>
          <w:lang w:val="en-GB"/>
        </w:rPr>
        <w:t>High Commissioner and the Secretary-General</w:t>
      </w:r>
      <w:r w:rsidRPr="007C4E03">
        <w:rPr>
          <w:rFonts w:eastAsia="Arial Unicode MS" w:cs="Arial Unicode MS"/>
          <w:color w:val="000000"/>
          <w:u w:color="000000"/>
          <w:bdr w:val="nil"/>
          <w:lang w:val="en-GB" w:eastAsia="en-GB"/>
        </w:rPr>
        <w:tab/>
      </w:r>
    </w:p>
    <w:p w14:paraId="392FF041" w14:textId="77777777" w:rsidR="00E35A59" w:rsidRPr="007C4E03" w:rsidRDefault="00E35A59" w:rsidP="00E35A59">
      <w:pPr>
        <w:keepNext/>
        <w:keepLines/>
        <w:pBdr>
          <w:top w:val="nil"/>
          <w:left w:val="nil"/>
          <w:bottom w:val="nil"/>
          <w:right w:val="nil"/>
          <w:between w:val="nil"/>
          <w:bar w:val="nil"/>
        </w:pBdr>
        <w:tabs>
          <w:tab w:val="right" w:pos="851"/>
        </w:tabs>
        <w:spacing w:before="360" w:after="240" w:line="300" w:lineRule="exact"/>
        <w:ind w:left="1134" w:right="1134" w:hanging="1134"/>
        <w:rPr>
          <w:b/>
          <w:bCs/>
          <w:color w:val="000000"/>
          <w:sz w:val="28"/>
          <w:szCs w:val="28"/>
          <w:u w:color="000000"/>
          <w:bdr w:val="nil"/>
          <w:lang w:val="en-GB" w:eastAsia="en-GB"/>
        </w:rPr>
      </w:pPr>
      <w:r w:rsidRPr="007C4E03">
        <w:rPr>
          <w:b/>
          <w:bCs/>
          <w:color w:val="000000"/>
          <w:sz w:val="28"/>
          <w:szCs w:val="28"/>
          <w:u w:color="000000"/>
          <w:bdr w:val="nil"/>
          <w:lang w:val="en-GB" w:eastAsia="en-GB"/>
        </w:rPr>
        <w:tab/>
      </w:r>
      <w:r w:rsidRPr="007C4E03">
        <w:rPr>
          <w:b/>
          <w:bCs/>
          <w:color w:val="000000"/>
          <w:sz w:val="28"/>
          <w:szCs w:val="28"/>
          <w:u w:color="000000"/>
          <w:bdr w:val="nil"/>
          <w:lang w:val="en-GB" w:eastAsia="en-GB"/>
        </w:rPr>
        <w:tab/>
      </w:r>
      <w:r w:rsidRPr="007C4E03">
        <w:rPr>
          <w:rFonts w:eastAsia="Arial Unicode MS" w:cs="Arial Unicode MS"/>
          <w:b/>
          <w:bCs/>
          <w:color w:val="000000"/>
          <w:sz w:val="28"/>
          <w:szCs w:val="28"/>
          <w:u w:color="000000"/>
          <w:bdr w:val="nil"/>
          <w:lang w:val="en-GB" w:eastAsia="en-GB"/>
        </w:rPr>
        <w:t>Situation of human rights in Honduras</w:t>
      </w:r>
    </w:p>
    <w:p w14:paraId="7F20AFB2" w14:textId="77777777" w:rsidR="00E35A59" w:rsidRPr="007C4E03" w:rsidRDefault="00E35A59" w:rsidP="00E35A59">
      <w:pPr>
        <w:keepNext/>
        <w:keepLines/>
        <w:pBdr>
          <w:top w:val="nil"/>
          <w:left w:val="nil"/>
          <w:bottom w:val="nil"/>
          <w:right w:val="nil"/>
          <w:between w:val="nil"/>
          <w:bar w:val="nil"/>
        </w:pBdr>
        <w:tabs>
          <w:tab w:val="right" w:pos="851"/>
        </w:tabs>
        <w:spacing w:before="360" w:after="240" w:line="270" w:lineRule="exact"/>
        <w:ind w:left="1134" w:right="1134" w:hanging="1134"/>
        <w:rPr>
          <w:b/>
          <w:bCs/>
          <w:color w:val="000000"/>
          <w:u w:color="000000"/>
          <w:bdr w:val="nil"/>
          <w:lang w:val="en-GB" w:eastAsia="en-GB"/>
        </w:rPr>
      </w:pPr>
      <w:r w:rsidRPr="007C4E03">
        <w:rPr>
          <w:b/>
          <w:bCs/>
          <w:color w:val="000000"/>
          <w:sz w:val="24"/>
          <w:szCs w:val="24"/>
          <w:u w:color="000000"/>
          <w:bdr w:val="nil"/>
          <w:lang w:val="en-GB" w:eastAsia="en-GB"/>
        </w:rPr>
        <w:tab/>
      </w:r>
      <w:r w:rsidRPr="007C4E03">
        <w:rPr>
          <w:b/>
          <w:bCs/>
          <w:color w:val="000000"/>
          <w:sz w:val="24"/>
          <w:szCs w:val="24"/>
          <w:u w:color="000000"/>
          <w:bdr w:val="nil"/>
          <w:lang w:val="en-GB" w:eastAsia="en-GB"/>
        </w:rPr>
        <w:tab/>
      </w:r>
      <w:r w:rsidRPr="007C4E03">
        <w:rPr>
          <w:b/>
          <w:bCs/>
          <w:sz w:val="24"/>
          <w:szCs w:val="24"/>
          <w:lang w:val="en-GB"/>
        </w:rPr>
        <w:t>Report of the United Nations High Commissioner for Human Rights</w:t>
      </w:r>
      <w:r w:rsidRPr="007C4E03">
        <w:rPr>
          <w:rFonts w:eastAsia="Arial Unicode MS" w:cs="Arial Unicode MS"/>
          <w:b/>
          <w:bCs/>
          <w:color w:val="000000"/>
          <w:sz w:val="24"/>
          <w:szCs w:val="24"/>
          <w:u w:color="000000"/>
          <w:bdr w:val="nil"/>
          <w:lang w:val="en-GB" w:eastAsia="en-GB"/>
        </w:rPr>
        <w:t>*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35A59" w:rsidRPr="008E501B" w14:paraId="2CC35076" w14:textId="77777777" w:rsidTr="00EE40FA">
        <w:trPr>
          <w:jc w:val="center"/>
        </w:trPr>
        <w:tc>
          <w:tcPr>
            <w:tcW w:w="9637" w:type="dxa"/>
            <w:shd w:val="clear" w:color="auto" w:fill="auto"/>
          </w:tcPr>
          <w:p w14:paraId="240147D0" w14:textId="77777777" w:rsidR="00E35A59" w:rsidRPr="007C4E03" w:rsidRDefault="00E35A59" w:rsidP="00E35A59">
            <w:pPr>
              <w:spacing w:before="240" w:after="120"/>
              <w:ind w:left="255"/>
              <w:rPr>
                <w:i/>
                <w:sz w:val="24"/>
                <w:lang w:val="en-GB"/>
              </w:rPr>
            </w:pPr>
            <w:r w:rsidRPr="007C4E03">
              <w:rPr>
                <w:i/>
                <w:sz w:val="24"/>
                <w:lang w:val="en-GB"/>
              </w:rPr>
              <w:t>Summary</w:t>
            </w:r>
          </w:p>
          <w:p w14:paraId="602CABAF" w14:textId="77777777" w:rsidR="00E35A59" w:rsidRPr="007C4E03" w:rsidRDefault="00E35A59" w:rsidP="00E35A59">
            <w:pPr>
              <w:autoSpaceDE w:val="0"/>
              <w:autoSpaceDN w:val="0"/>
              <w:adjustRightInd w:val="0"/>
              <w:spacing w:line="240" w:lineRule="auto"/>
              <w:ind w:left="1044" w:right="761"/>
              <w:rPr>
                <w:i/>
                <w:sz w:val="24"/>
                <w:lang w:val="en-GB"/>
              </w:rPr>
            </w:pPr>
            <w:r w:rsidRPr="007C4E03">
              <w:rPr>
                <w:lang w:val="en-GB"/>
              </w:rPr>
              <w:t>In the present report, the United Nations High Commissioner for Human Rights describes the human rights situation and the activities of his office in Honduras from 1 January to 31 December</w:t>
            </w:r>
            <w:r w:rsidRPr="007C4E03">
              <w:rPr>
                <w:rFonts w:eastAsia="Arial Unicode MS"/>
                <w:bdr w:val="nil"/>
                <w:lang w:val="en-GB" w:eastAsia="en-GB"/>
              </w:rPr>
              <w:t xml:space="preserve"> 2022. The report highlights the main progress and challenges in the promotion and protection of human rights, and concludes with recommendations to the State</w:t>
            </w:r>
            <w:r>
              <w:rPr>
                <w:rFonts w:eastAsia="Arial Unicode MS"/>
                <w:bdr w:val="nil"/>
                <w:lang w:val="en-GB" w:eastAsia="en-GB"/>
              </w:rPr>
              <w:t>.</w:t>
            </w:r>
            <w:r w:rsidRPr="007C4E03">
              <w:rPr>
                <w:rStyle w:val="FootnoteReference"/>
                <w:rFonts w:eastAsia="Arial Unicode MS"/>
                <w:sz w:val="20"/>
                <w:bdr w:val="nil"/>
                <w:vertAlign w:val="baseline"/>
                <w:lang w:val="en-GB" w:eastAsia="en-GB"/>
              </w:rPr>
              <w:t xml:space="preserve"> </w:t>
            </w:r>
            <w:r w:rsidRPr="007C4E03">
              <w:rPr>
                <w:rStyle w:val="FootnoteReference"/>
                <w:rFonts w:eastAsia="Arial Unicode MS"/>
                <w:sz w:val="20"/>
                <w:bdr w:val="nil"/>
                <w:vertAlign w:val="baseline"/>
                <w:lang w:val="en-GB" w:eastAsia="en-GB"/>
              </w:rPr>
              <w:footnoteReference w:customMarkFollows="1" w:id="2"/>
              <w:t>*</w:t>
            </w:r>
            <w:r w:rsidRPr="007C4E03">
              <w:rPr>
                <w:rFonts w:eastAsia="Arial Unicode MS"/>
                <w:bdr w:val="nil"/>
                <w:lang w:val="en-GB" w:eastAsia="en-GB"/>
              </w:rPr>
              <w:t xml:space="preserve"> </w:t>
            </w:r>
            <w:r w:rsidRPr="007C4E03">
              <w:rPr>
                <w:rStyle w:val="FootnoteReference"/>
                <w:rFonts w:eastAsia="Arial Unicode MS"/>
                <w:sz w:val="20"/>
                <w:bdr w:val="nil"/>
                <w:vertAlign w:val="baseline"/>
                <w:lang w:val="en-GB" w:eastAsia="en-GB"/>
              </w:rPr>
              <w:footnoteReference w:customMarkFollows="1" w:id="3"/>
              <w:t>**</w:t>
            </w:r>
          </w:p>
        </w:tc>
      </w:tr>
      <w:tr w:rsidR="00E35A59" w:rsidRPr="008E501B" w14:paraId="02B14243" w14:textId="77777777" w:rsidTr="00EE40FA">
        <w:trPr>
          <w:jc w:val="center"/>
        </w:trPr>
        <w:tc>
          <w:tcPr>
            <w:tcW w:w="9637" w:type="dxa"/>
            <w:shd w:val="clear" w:color="auto" w:fill="auto"/>
          </w:tcPr>
          <w:p w14:paraId="5BF28A52" w14:textId="77777777" w:rsidR="00E35A59" w:rsidRPr="007C4E03" w:rsidRDefault="00E35A59" w:rsidP="00E35A59">
            <w:pPr>
              <w:pStyle w:val="SingleTxtG"/>
              <w:rPr>
                <w:lang w:val="en-GB"/>
              </w:rPr>
            </w:pPr>
          </w:p>
        </w:tc>
      </w:tr>
      <w:tr w:rsidR="00E35A59" w:rsidRPr="008E501B" w14:paraId="092A7836" w14:textId="77777777" w:rsidTr="00EE40FA">
        <w:trPr>
          <w:jc w:val="center"/>
        </w:trPr>
        <w:tc>
          <w:tcPr>
            <w:tcW w:w="9637" w:type="dxa"/>
            <w:shd w:val="clear" w:color="auto" w:fill="auto"/>
          </w:tcPr>
          <w:p w14:paraId="6547A8FA" w14:textId="77777777" w:rsidR="00E35A59" w:rsidRPr="007C4E03" w:rsidRDefault="00E35A59" w:rsidP="00E35A59">
            <w:pPr>
              <w:rPr>
                <w:lang w:val="en-GB"/>
              </w:rPr>
            </w:pPr>
          </w:p>
        </w:tc>
      </w:tr>
    </w:tbl>
    <w:p w14:paraId="3D525DA0" w14:textId="77777777" w:rsidR="00E35A59" w:rsidRPr="007C4E03" w:rsidRDefault="00E35A59" w:rsidP="00E35A59">
      <w:pPr>
        <w:rPr>
          <w:lang w:val="en-GB"/>
        </w:rPr>
      </w:pPr>
    </w:p>
    <w:p w14:paraId="1BDE8AD5" w14:textId="77777777" w:rsidR="00E35A59" w:rsidRPr="007C4E03" w:rsidRDefault="00E35A59" w:rsidP="00E35A59">
      <w:pPr>
        <w:suppressAutoHyphens w:val="0"/>
        <w:spacing w:line="240" w:lineRule="auto"/>
        <w:rPr>
          <w:lang w:val="en-GB"/>
        </w:rPr>
      </w:pPr>
      <w:r w:rsidRPr="007C4E03">
        <w:rPr>
          <w:lang w:val="en-GB"/>
        </w:rPr>
        <w:br w:type="page"/>
      </w:r>
    </w:p>
    <w:p w14:paraId="5672EE25" w14:textId="2E7051D9" w:rsidR="00844FBB" w:rsidRPr="004B106A" w:rsidRDefault="00500F1A" w:rsidP="00500F1A">
      <w:pPr>
        <w:pStyle w:val="HChG"/>
        <w:rPr>
          <w:lang w:val="en-GB"/>
        </w:rPr>
      </w:pPr>
      <w:r w:rsidRPr="004B106A">
        <w:rPr>
          <w:lang w:val="en-GB"/>
        </w:rPr>
        <w:lastRenderedPageBreak/>
        <w:tab/>
        <w:t>I.</w:t>
      </w:r>
      <w:r w:rsidRPr="004B106A">
        <w:rPr>
          <w:lang w:val="en-GB"/>
        </w:rPr>
        <w:tab/>
      </w:r>
      <w:r w:rsidR="00D41A38" w:rsidRPr="004B106A">
        <w:rPr>
          <w:lang w:val="en-GB"/>
        </w:rPr>
        <w:t>Introduction</w:t>
      </w:r>
      <w:r w:rsidR="00844FBB" w:rsidRPr="004B106A">
        <w:rPr>
          <w:lang w:val="en-GB"/>
        </w:rPr>
        <w:t xml:space="preserve"> </w:t>
      </w:r>
    </w:p>
    <w:p w14:paraId="06A5BF30" w14:textId="1031E5D8" w:rsidR="004000F8" w:rsidRPr="004B106A" w:rsidRDefault="00182429" w:rsidP="004000F8">
      <w:pPr>
        <w:pStyle w:val="SingleTxtG"/>
        <w:rPr>
          <w:lang w:val="en-GB"/>
        </w:rPr>
      </w:pPr>
      <w:r w:rsidRPr="004B106A">
        <w:rPr>
          <w:lang w:val="en-GB"/>
        </w:rPr>
        <w:t>1.</w:t>
      </w:r>
      <w:r w:rsidRPr="004B106A">
        <w:rPr>
          <w:lang w:val="en-GB"/>
        </w:rPr>
        <w:tab/>
      </w:r>
      <w:r w:rsidR="004000F8" w:rsidRPr="004B106A">
        <w:rPr>
          <w:lang w:val="en-GB"/>
        </w:rPr>
        <w:t xml:space="preserve">This report is presented in accordance with Article V (4) of the agreement signed between the Office of the United Nations High Commissioner for Human Rights (OHCHR) and the Government of Honduras on </w:t>
      </w:r>
      <w:r w:rsidR="00CB3ABE" w:rsidRPr="004B106A">
        <w:rPr>
          <w:lang w:val="en-GB"/>
        </w:rPr>
        <w:t xml:space="preserve">4 </w:t>
      </w:r>
      <w:r w:rsidR="004000F8" w:rsidRPr="004B106A">
        <w:rPr>
          <w:lang w:val="en-GB"/>
        </w:rPr>
        <w:t>May 2015. The report and its analyses are based on information collected by OHCHR in the country, as well as information provided by state authorities, civil society and victims.</w:t>
      </w:r>
    </w:p>
    <w:p w14:paraId="3C02E3B8" w14:textId="56B440F2" w:rsidR="003343D1" w:rsidRPr="004B106A" w:rsidRDefault="00182429" w:rsidP="00C53E42">
      <w:pPr>
        <w:pStyle w:val="SingleTxtG"/>
        <w:rPr>
          <w:lang w:val="en-GB"/>
        </w:rPr>
      </w:pPr>
      <w:r w:rsidRPr="004B106A">
        <w:rPr>
          <w:lang w:val="en-GB"/>
        </w:rPr>
        <w:t>2.</w:t>
      </w:r>
      <w:r w:rsidRPr="004B106A">
        <w:rPr>
          <w:lang w:val="en-GB"/>
        </w:rPr>
        <w:tab/>
      </w:r>
      <w:r w:rsidR="003343D1" w:rsidRPr="004B106A">
        <w:rPr>
          <w:lang w:val="en-GB"/>
        </w:rPr>
        <w:t xml:space="preserve">OHCHR continued to observe the human rights situation in Honduras and provide technical assistance </w:t>
      </w:r>
      <w:r w:rsidR="00306958" w:rsidRPr="004B106A">
        <w:rPr>
          <w:lang w:val="en-GB"/>
        </w:rPr>
        <w:t xml:space="preserve">towards </w:t>
      </w:r>
      <w:r w:rsidR="003343D1" w:rsidRPr="004B106A">
        <w:rPr>
          <w:lang w:val="en-GB"/>
        </w:rPr>
        <w:t xml:space="preserve">the promotion and protection of human rights. The thematic priorities of the Office included strengthening the rule of law, particularly access to justice, promoting civic space and </w:t>
      </w:r>
      <w:r w:rsidR="006627E6" w:rsidRPr="004B106A">
        <w:rPr>
          <w:lang w:val="en-GB"/>
        </w:rPr>
        <w:t>public participation</w:t>
      </w:r>
      <w:r w:rsidR="003343D1" w:rsidRPr="004B106A">
        <w:rPr>
          <w:lang w:val="en-GB"/>
        </w:rPr>
        <w:t>, promoting economic, social, and cultural rights and measures to progressively achieve their full effectiveness, promoting equality and non</w:t>
      </w:r>
      <w:r w:rsidR="00FF76D3" w:rsidRPr="004B106A">
        <w:rPr>
          <w:lang w:val="en-GB"/>
        </w:rPr>
        <w:noBreakHyphen/>
      </w:r>
      <w:r w:rsidR="003343D1" w:rsidRPr="004B106A">
        <w:rPr>
          <w:lang w:val="en-GB"/>
        </w:rPr>
        <w:t xml:space="preserve">discrimination of </w:t>
      </w:r>
      <w:r w:rsidR="00B10C3E" w:rsidRPr="004B106A">
        <w:rPr>
          <w:lang w:val="en-GB"/>
        </w:rPr>
        <w:t xml:space="preserve">persons </w:t>
      </w:r>
      <w:r w:rsidR="003343D1" w:rsidRPr="004B106A">
        <w:rPr>
          <w:lang w:val="en-GB"/>
        </w:rPr>
        <w:t xml:space="preserve">in </w:t>
      </w:r>
      <w:r w:rsidR="00C53E42" w:rsidRPr="004B106A">
        <w:rPr>
          <w:lang w:val="en-GB"/>
        </w:rPr>
        <w:t xml:space="preserve">situation of </w:t>
      </w:r>
      <w:r w:rsidR="003343D1" w:rsidRPr="004B106A">
        <w:rPr>
          <w:lang w:val="en-GB"/>
        </w:rPr>
        <w:t>vulnerab</w:t>
      </w:r>
      <w:r w:rsidR="00C53E42" w:rsidRPr="004B106A">
        <w:rPr>
          <w:lang w:val="en-GB"/>
        </w:rPr>
        <w:t>ility</w:t>
      </w:r>
      <w:r w:rsidR="003343D1" w:rsidRPr="004B106A">
        <w:rPr>
          <w:lang w:val="en-GB"/>
        </w:rPr>
        <w:t xml:space="preserve">, as well as prevention and </w:t>
      </w:r>
      <w:r w:rsidR="00C53E42" w:rsidRPr="004B106A">
        <w:rPr>
          <w:lang w:val="en-GB"/>
        </w:rPr>
        <w:t xml:space="preserve">early </w:t>
      </w:r>
      <w:r w:rsidR="003343D1" w:rsidRPr="004B106A">
        <w:rPr>
          <w:lang w:val="en-GB"/>
        </w:rPr>
        <w:t>warning of social conflicts and human rights violations.</w:t>
      </w:r>
    </w:p>
    <w:p w14:paraId="0F2A456A" w14:textId="40561577" w:rsidR="006627E6" w:rsidRPr="004B106A" w:rsidRDefault="00182429" w:rsidP="006627E6">
      <w:pPr>
        <w:pStyle w:val="SingleTxtG"/>
        <w:rPr>
          <w:lang w:val="en-GB"/>
        </w:rPr>
      </w:pPr>
      <w:r w:rsidRPr="004B106A">
        <w:rPr>
          <w:lang w:val="en-GB"/>
        </w:rPr>
        <w:t>3.</w:t>
      </w:r>
      <w:r w:rsidRPr="004B106A">
        <w:rPr>
          <w:lang w:val="en-GB"/>
        </w:rPr>
        <w:tab/>
      </w:r>
      <w:r w:rsidR="006627E6" w:rsidRPr="004B106A">
        <w:rPr>
          <w:lang w:val="en-GB"/>
        </w:rPr>
        <w:t xml:space="preserve">OHCHR conducted 95 field missions to verify the human rights situation, including visits to detention </w:t>
      </w:r>
      <w:r w:rsidR="00511A33" w:rsidRPr="004B106A">
        <w:rPr>
          <w:lang w:val="en-GB"/>
        </w:rPr>
        <w:t>centres</w:t>
      </w:r>
      <w:r w:rsidR="006627E6" w:rsidRPr="004B106A">
        <w:rPr>
          <w:lang w:val="en-GB"/>
        </w:rPr>
        <w:t>. It implemented 80 technical assistance and institutional strengthening processes for state institutions, organized and supported 69 workshops and training sessions on human rights. Additionally, it monitored 47 judicial processes, including in emblematic human rights cases. OHCHR provided technical support to more than 400 civil society organizations and launched 13 communication campaigns to promote human rights.</w:t>
      </w:r>
    </w:p>
    <w:p w14:paraId="2A961051" w14:textId="77777777" w:rsidR="0052080C" w:rsidRPr="000E2CA8" w:rsidRDefault="002F1284" w:rsidP="00500F1A">
      <w:pPr>
        <w:pStyle w:val="HChG"/>
        <w:rPr>
          <w:lang w:val="en-GB"/>
        </w:rPr>
      </w:pPr>
      <w:r w:rsidRPr="004B106A">
        <w:rPr>
          <w:lang w:val="en-GB"/>
        </w:rPr>
        <w:tab/>
        <w:t>II</w:t>
      </w:r>
      <w:r w:rsidR="00844FBB" w:rsidRPr="004B106A">
        <w:rPr>
          <w:lang w:val="en-GB"/>
        </w:rPr>
        <w:t>.</w:t>
      </w:r>
      <w:r w:rsidR="00844FBB" w:rsidRPr="004B106A">
        <w:rPr>
          <w:lang w:val="en-GB"/>
        </w:rPr>
        <w:tab/>
      </w:r>
      <w:r w:rsidR="00844FBB" w:rsidRPr="000E2CA8">
        <w:rPr>
          <w:lang w:val="en-GB"/>
        </w:rPr>
        <w:t>Context</w:t>
      </w:r>
    </w:p>
    <w:p w14:paraId="678B7A08" w14:textId="3E04A2B2" w:rsidR="0049699B" w:rsidRPr="000E2CA8" w:rsidRDefault="002F1284" w:rsidP="00436E96">
      <w:pPr>
        <w:pStyle w:val="SingleTxtG"/>
        <w:rPr>
          <w:lang w:val="en-GB"/>
        </w:rPr>
      </w:pPr>
      <w:r w:rsidRPr="000E2CA8">
        <w:rPr>
          <w:lang w:val="en-GB"/>
        </w:rPr>
        <w:t>4.</w:t>
      </w:r>
      <w:r w:rsidRPr="000E2CA8">
        <w:rPr>
          <w:lang w:val="en-GB"/>
        </w:rPr>
        <w:tab/>
      </w:r>
      <w:r w:rsidR="0049699B" w:rsidRPr="000E2CA8">
        <w:rPr>
          <w:lang w:val="en-GB"/>
        </w:rPr>
        <w:t>The arrival of a new government on</w:t>
      </w:r>
      <w:r w:rsidR="00267907">
        <w:rPr>
          <w:lang w:val="en-GB"/>
        </w:rPr>
        <w:t xml:space="preserve"> 2</w:t>
      </w:r>
      <w:r w:rsidR="0049699B" w:rsidRPr="000E2CA8">
        <w:rPr>
          <w:lang w:val="en-GB"/>
        </w:rPr>
        <w:t xml:space="preserve"> January 2022, led by the country's first female president, with political will in the area of human rights and the fight against corruption, sets a new stage for human rights work in Honduras. The administration assumed its functions in a context of pre-existing structural </w:t>
      </w:r>
      <w:r w:rsidR="00511A33" w:rsidRPr="000E2CA8">
        <w:rPr>
          <w:lang w:val="en-GB"/>
        </w:rPr>
        <w:t>challenges</w:t>
      </w:r>
      <w:r w:rsidR="0049699B" w:rsidRPr="000E2CA8">
        <w:rPr>
          <w:lang w:val="en-GB"/>
        </w:rPr>
        <w:t xml:space="preserve"> underlying human rights violations: poverty and inequality, land conflicts, violence, insecurity, impunity, institutional weakness and patriarchal culture, among others. </w:t>
      </w:r>
      <w:r w:rsidR="00267907">
        <w:rPr>
          <w:lang w:val="en-GB"/>
        </w:rPr>
        <w:t xml:space="preserve">Such challenges </w:t>
      </w:r>
      <w:r w:rsidR="0049699B" w:rsidRPr="000E2CA8">
        <w:rPr>
          <w:lang w:val="en-GB"/>
        </w:rPr>
        <w:t>require short, medium and long-term measures to be resolved.</w:t>
      </w:r>
    </w:p>
    <w:p w14:paraId="23B1DA48" w14:textId="1A4FBAE5" w:rsidR="00DE62C5" w:rsidRPr="000E2CA8" w:rsidRDefault="002F1284" w:rsidP="00DE62C5">
      <w:pPr>
        <w:pStyle w:val="SingleTxtG"/>
        <w:rPr>
          <w:lang w:val="en-GB"/>
        </w:rPr>
      </w:pPr>
      <w:r w:rsidRPr="000E2CA8">
        <w:rPr>
          <w:lang w:val="en-GB"/>
        </w:rPr>
        <w:t>5.</w:t>
      </w:r>
      <w:r w:rsidRPr="000E2CA8">
        <w:rPr>
          <w:lang w:val="en-GB"/>
        </w:rPr>
        <w:tab/>
      </w:r>
      <w:r w:rsidR="00DE62C5" w:rsidRPr="000E2CA8">
        <w:rPr>
          <w:lang w:val="en-GB"/>
        </w:rPr>
        <w:t xml:space="preserve">OHCHR recognizes progress made by the State in 2022, including in accordance with recommendations made by the Office. These include the adoption of a legal framework to strengthen the independence of the Judiciary, the beginning of the progressive demilitarization of the penitentiary administration, the repeal of the Law for the Classification of Public </w:t>
      </w:r>
      <w:r w:rsidR="00DE62C5" w:rsidRPr="000E2CA8">
        <w:rPr>
          <w:lang w:val="en-GB"/>
        </w:rPr>
        <w:lastRenderedPageBreak/>
        <w:t xml:space="preserve">Documents Related to National Security and </w:t>
      </w:r>
      <w:r w:rsidR="004265AF">
        <w:rPr>
          <w:lang w:val="en-GB"/>
        </w:rPr>
        <w:t>Defence</w:t>
      </w:r>
      <w:r w:rsidR="00DE62C5" w:rsidRPr="000E2CA8">
        <w:rPr>
          <w:lang w:val="en-GB"/>
        </w:rPr>
        <w:t xml:space="preserve"> ("Secrecy Law"), the repeal of all regulations related to the Employment and Economic Development Zones, and advances in environmental matters.</w:t>
      </w:r>
    </w:p>
    <w:p w14:paraId="1575179C" w14:textId="77777777" w:rsidR="00725A48" w:rsidRPr="000E2CA8" w:rsidRDefault="007255FD" w:rsidP="00725A48">
      <w:pPr>
        <w:pStyle w:val="SingleTxtG"/>
        <w:rPr>
          <w:lang w:val="en-GB"/>
        </w:rPr>
      </w:pPr>
      <w:r w:rsidRPr="000E2CA8">
        <w:rPr>
          <w:lang w:val="en-GB"/>
        </w:rPr>
        <w:t>6.</w:t>
      </w:r>
      <w:r w:rsidRPr="000E2CA8">
        <w:rPr>
          <w:lang w:val="en-GB"/>
        </w:rPr>
        <w:tab/>
      </w:r>
      <w:r w:rsidR="00725A48" w:rsidRPr="000E2CA8">
        <w:rPr>
          <w:lang w:val="en-GB"/>
        </w:rPr>
        <w:t>The enjoyment of economic and social rights remains impacted by pre-existing high levels of poverty and inequality. The prevalence of conflict related to access to land and natural resources had a significant negative impact on the effective guarantee of human rights, particularly for indigenous peoples, Afro-Hondurans, and peasants.</w:t>
      </w:r>
    </w:p>
    <w:p w14:paraId="2E9FB2E8" w14:textId="4C0F3ACD" w:rsidR="009F4E22" w:rsidRPr="000E2CA8" w:rsidRDefault="007255FD" w:rsidP="00D959CC">
      <w:pPr>
        <w:pStyle w:val="SingleTxtG"/>
        <w:rPr>
          <w:lang w:val="en-GB"/>
        </w:rPr>
      </w:pPr>
      <w:r w:rsidRPr="000E2CA8">
        <w:rPr>
          <w:lang w:val="en-GB"/>
        </w:rPr>
        <w:t>7.</w:t>
      </w:r>
      <w:r w:rsidRPr="000E2CA8">
        <w:rPr>
          <w:lang w:val="en-GB"/>
        </w:rPr>
        <w:tab/>
      </w:r>
      <w:r w:rsidR="009F4E22" w:rsidRPr="000E2CA8">
        <w:rPr>
          <w:lang w:val="en-GB"/>
        </w:rPr>
        <w:t>In the area of Bajo Agu</w:t>
      </w:r>
      <w:r w:rsidR="00D959CC">
        <w:rPr>
          <w:lang w:val="en-GB"/>
        </w:rPr>
        <w:t>á</w:t>
      </w:r>
      <w:r w:rsidR="009F4E22" w:rsidRPr="000E2CA8">
        <w:rPr>
          <w:lang w:val="en-GB"/>
        </w:rPr>
        <w:t xml:space="preserve">n, the Government signed an agreement with the peasant movement aimed at finding durable solutions to the structural causes of the agrarian conflict in the </w:t>
      </w:r>
      <w:r w:rsidR="001E22A1" w:rsidRPr="000E2CA8">
        <w:rPr>
          <w:lang w:val="en-GB"/>
        </w:rPr>
        <w:t>zone</w:t>
      </w:r>
      <w:r w:rsidR="009F4E22" w:rsidRPr="000E2CA8">
        <w:rPr>
          <w:lang w:val="en-GB"/>
        </w:rPr>
        <w:t>.</w:t>
      </w:r>
    </w:p>
    <w:p w14:paraId="184BDC1C" w14:textId="0949B249" w:rsidR="001E22A1" w:rsidRPr="000E2CA8" w:rsidRDefault="007255FD" w:rsidP="001E22A1">
      <w:pPr>
        <w:pStyle w:val="SingleTxtG"/>
        <w:rPr>
          <w:lang w:val="en-GB"/>
        </w:rPr>
      </w:pPr>
      <w:r w:rsidRPr="000E2CA8">
        <w:rPr>
          <w:lang w:val="en-GB"/>
        </w:rPr>
        <w:t>8.</w:t>
      </w:r>
      <w:r w:rsidRPr="000E2CA8">
        <w:rPr>
          <w:lang w:val="en-GB"/>
        </w:rPr>
        <w:tab/>
      </w:r>
      <w:r w:rsidR="001E22A1" w:rsidRPr="000E2CA8">
        <w:rPr>
          <w:lang w:val="en-GB"/>
        </w:rPr>
        <w:t>The homicide rate was 35.83 per 100,000 inhabitants</w:t>
      </w:r>
      <w:r w:rsidR="003902FA" w:rsidRPr="000E2CA8">
        <w:rPr>
          <w:rStyle w:val="FootnoteReference"/>
          <w:lang w:val="en-GB"/>
        </w:rPr>
        <w:footnoteReference w:id="4"/>
      </w:r>
      <w:r w:rsidR="001E22A1" w:rsidRPr="000E2CA8">
        <w:rPr>
          <w:lang w:val="en-GB"/>
        </w:rPr>
        <w:t>, the lowest rate in the last 10 years. While this represents a decrease compared to 2021, violence and insecurity continued to affect the country, having a</w:t>
      </w:r>
      <w:r w:rsidR="007D6736" w:rsidRPr="000E2CA8">
        <w:rPr>
          <w:lang w:val="en-GB"/>
        </w:rPr>
        <w:t>n aggravated impact</w:t>
      </w:r>
      <w:r w:rsidR="001E22A1" w:rsidRPr="000E2CA8">
        <w:rPr>
          <w:lang w:val="en-GB"/>
        </w:rPr>
        <w:t xml:space="preserve"> on women and lesbian, gay, bisexual, transgender and intersex persons.</w:t>
      </w:r>
    </w:p>
    <w:p w14:paraId="609D1C71" w14:textId="2E3E58E3" w:rsidR="00780E9F" w:rsidRPr="000E2CA8" w:rsidRDefault="00811300" w:rsidP="00780E9F">
      <w:pPr>
        <w:pStyle w:val="SingleTxtG"/>
        <w:rPr>
          <w:lang w:val="en-GB"/>
        </w:rPr>
      </w:pPr>
      <w:r w:rsidRPr="000E2CA8">
        <w:rPr>
          <w:lang w:val="en-GB"/>
        </w:rPr>
        <w:t>9.</w:t>
      </w:r>
      <w:r w:rsidRPr="000E2CA8">
        <w:rPr>
          <w:lang w:val="en-GB"/>
        </w:rPr>
        <w:tab/>
      </w:r>
      <w:r w:rsidR="00ED10BA" w:rsidRPr="000E2CA8">
        <w:rPr>
          <w:lang w:val="en-GB"/>
        </w:rPr>
        <w:t xml:space="preserve">OHCHR </w:t>
      </w:r>
      <w:r w:rsidR="00780E9F" w:rsidRPr="000E2CA8">
        <w:rPr>
          <w:lang w:val="en-GB"/>
        </w:rPr>
        <w:t xml:space="preserve">provided technical assistance for the drafting and implementation of the Special Law on the Organization and Functioning of the Nominating Board for the </w:t>
      </w:r>
      <w:r w:rsidR="00E83909" w:rsidRPr="000E2CA8">
        <w:rPr>
          <w:lang w:val="en-GB"/>
        </w:rPr>
        <w:t>P</w:t>
      </w:r>
      <w:r w:rsidR="00780E9F" w:rsidRPr="000E2CA8">
        <w:rPr>
          <w:lang w:val="en-GB"/>
        </w:rPr>
        <w:t xml:space="preserve">roposal of </w:t>
      </w:r>
      <w:r w:rsidR="00E83909" w:rsidRPr="000E2CA8">
        <w:rPr>
          <w:lang w:val="en-GB"/>
        </w:rPr>
        <w:t>C</w:t>
      </w:r>
      <w:r w:rsidR="00780E9F" w:rsidRPr="000E2CA8">
        <w:rPr>
          <w:lang w:val="en-GB"/>
        </w:rPr>
        <w:t xml:space="preserve">andidates to the Supreme Court of Justice (Decree 74-2022) </w:t>
      </w:r>
      <w:r w:rsidR="00E83909" w:rsidRPr="000E2CA8">
        <w:rPr>
          <w:lang w:val="en-GB"/>
        </w:rPr>
        <w:t xml:space="preserve">adopted </w:t>
      </w:r>
      <w:r w:rsidR="00780E9F" w:rsidRPr="000E2CA8">
        <w:rPr>
          <w:lang w:val="en-GB"/>
        </w:rPr>
        <w:t>by the National Congress in July. This legal framework establishes objective selection criteria based on international standards on judicial independence</w:t>
      </w:r>
      <w:r w:rsidR="00903BFA" w:rsidRPr="000E2CA8">
        <w:rPr>
          <w:lang w:val="en-GB"/>
        </w:rPr>
        <w:t xml:space="preserve">, </w:t>
      </w:r>
      <w:r w:rsidR="00780E9F" w:rsidRPr="000E2CA8">
        <w:rPr>
          <w:lang w:val="en-GB"/>
        </w:rPr>
        <w:t xml:space="preserve">transparency, oversight, and </w:t>
      </w:r>
      <w:r w:rsidR="00055BDF" w:rsidRPr="000E2CA8">
        <w:rPr>
          <w:lang w:val="en-GB"/>
        </w:rPr>
        <w:t xml:space="preserve">public </w:t>
      </w:r>
      <w:r w:rsidR="00780E9F" w:rsidRPr="000E2CA8">
        <w:rPr>
          <w:lang w:val="en-GB"/>
        </w:rPr>
        <w:t xml:space="preserve">participation, as well as greater gender equity in the </w:t>
      </w:r>
      <w:r w:rsidR="003107AF" w:rsidRPr="000E2CA8">
        <w:rPr>
          <w:lang w:val="en-GB"/>
        </w:rPr>
        <w:t xml:space="preserve">composition </w:t>
      </w:r>
      <w:r w:rsidR="00780E9F" w:rsidRPr="000E2CA8">
        <w:rPr>
          <w:lang w:val="en-GB"/>
        </w:rPr>
        <w:t>of th</w:t>
      </w:r>
      <w:r w:rsidR="0048039A" w:rsidRPr="000E2CA8">
        <w:rPr>
          <w:lang w:val="en-GB"/>
        </w:rPr>
        <w:t>is Hi</w:t>
      </w:r>
      <w:r w:rsidR="00780E9F" w:rsidRPr="000E2CA8">
        <w:rPr>
          <w:lang w:val="en-GB"/>
        </w:rPr>
        <w:t xml:space="preserve">gh </w:t>
      </w:r>
      <w:r w:rsidR="0048039A" w:rsidRPr="000E2CA8">
        <w:rPr>
          <w:lang w:val="en-GB"/>
        </w:rPr>
        <w:t>C</w:t>
      </w:r>
      <w:r w:rsidR="00780E9F" w:rsidRPr="000E2CA8">
        <w:rPr>
          <w:lang w:val="en-GB"/>
        </w:rPr>
        <w:t>ourt.</w:t>
      </w:r>
    </w:p>
    <w:p w14:paraId="0600A43D" w14:textId="0E00430C" w:rsidR="0059220D" w:rsidRPr="000E2CA8" w:rsidRDefault="00811300" w:rsidP="00747023">
      <w:pPr>
        <w:pStyle w:val="SingleTxtG"/>
        <w:rPr>
          <w:color w:val="000000" w:themeColor="text1"/>
          <w:lang w:val="en-GB"/>
        </w:rPr>
      </w:pPr>
      <w:r w:rsidRPr="000E2CA8">
        <w:rPr>
          <w:color w:val="000000" w:themeColor="text1"/>
          <w:lang w:val="en-GB"/>
        </w:rPr>
        <w:t>1</w:t>
      </w:r>
      <w:r w:rsidR="00747023">
        <w:rPr>
          <w:color w:val="000000" w:themeColor="text1"/>
          <w:lang w:val="en-GB"/>
        </w:rPr>
        <w:t>0</w:t>
      </w:r>
      <w:r w:rsidRPr="000E2CA8">
        <w:rPr>
          <w:color w:val="000000" w:themeColor="text1"/>
          <w:lang w:val="en-GB"/>
        </w:rPr>
        <w:t>.</w:t>
      </w:r>
      <w:r w:rsidRPr="000E2CA8">
        <w:rPr>
          <w:color w:val="000000" w:themeColor="text1"/>
          <w:lang w:val="en-GB"/>
        </w:rPr>
        <w:tab/>
      </w:r>
      <w:r w:rsidR="0059220D" w:rsidRPr="000E2CA8">
        <w:rPr>
          <w:color w:val="000000" w:themeColor="text1"/>
          <w:lang w:val="en-GB"/>
        </w:rPr>
        <w:t xml:space="preserve">On 24 November, President Castro declared a National Security Emergency to combat extortion by organized crime groups. On </w:t>
      </w:r>
      <w:r w:rsidR="00003DE1" w:rsidRPr="000E2CA8">
        <w:rPr>
          <w:color w:val="000000" w:themeColor="text1"/>
          <w:lang w:val="en-GB"/>
        </w:rPr>
        <w:t xml:space="preserve">6 </w:t>
      </w:r>
      <w:r w:rsidR="0059220D" w:rsidRPr="000E2CA8">
        <w:rPr>
          <w:color w:val="000000" w:themeColor="text1"/>
          <w:lang w:val="en-GB"/>
        </w:rPr>
        <w:t>December, a State of Emergency (Decree 29</w:t>
      </w:r>
      <w:r w:rsidR="00003DE1" w:rsidRPr="000E2CA8">
        <w:rPr>
          <w:color w:val="000000" w:themeColor="text1"/>
          <w:lang w:val="en-GB"/>
        </w:rPr>
        <w:noBreakHyphen/>
      </w:r>
      <w:r w:rsidR="0059220D" w:rsidRPr="000E2CA8">
        <w:rPr>
          <w:color w:val="000000" w:themeColor="text1"/>
          <w:lang w:val="en-GB"/>
        </w:rPr>
        <w:t xml:space="preserve">2022) went into effect in </w:t>
      </w:r>
      <w:r w:rsidR="00003DE1" w:rsidRPr="000E2CA8">
        <w:rPr>
          <w:color w:val="000000" w:themeColor="text1"/>
          <w:lang w:val="en-GB"/>
        </w:rPr>
        <w:t xml:space="preserve">the </w:t>
      </w:r>
      <w:r w:rsidR="0059220D" w:rsidRPr="000E2CA8">
        <w:rPr>
          <w:color w:val="000000" w:themeColor="text1"/>
          <w:lang w:val="en-GB"/>
        </w:rPr>
        <w:t xml:space="preserve">162 </w:t>
      </w:r>
      <w:r w:rsidR="008E501B" w:rsidRPr="000E2CA8">
        <w:rPr>
          <w:color w:val="000000" w:themeColor="text1"/>
          <w:lang w:val="en-GB"/>
        </w:rPr>
        <w:t>neighbourhoods</w:t>
      </w:r>
      <w:r w:rsidR="0059220D" w:rsidRPr="000E2CA8">
        <w:rPr>
          <w:color w:val="000000" w:themeColor="text1"/>
          <w:lang w:val="en-GB"/>
        </w:rPr>
        <w:t xml:space="preserve"> of Tegucigalpa and San Pedro Sula with the highest crime rates. The main measures adopted were the suspension of the rights of personal liberty, freedom of association, assembly and movement. This</w:t>
      </w:r>
      <w:r w:rsidR="00D70EF8">
        <w:rPr>
          <w:color w:val="000000" w:themeColor="text1"/>
          <w:lang w:val="en-GB"/>
        </w:rPr>
        <w:t xml:space="preserve"> Decree </w:t>
      </w:r>
      <w:r w:rsidR="0059220D" w:rsidRPr="000E2CA8">
        <w:rPr>
          <w:color w:val="000000" w:themeColor="text1"/>
          <w:lang w:val="en-GB"/>
        </w:rPr>
        <w:t xml:space="preserve">also granted powers </w:t>
      </w:r>
      <w:r w:rsidR="00D45F68" w:rsidRPr="000E2CA8">
        <w:rPr>
          <w:color w:val="000000" w:themeColor="text1"/>
          <w:lang w:val="en-GB"/>
        </w:rPr>
        <w:t xml:space="preserve">to the police </w:t>
      </w:r>
      <w:r w:rsidR="0059220D" w:rsidRPr="000E2CA8">
        <w:rPr>
          <w:color w:val="000000" w:themeColor="text1"/>
          <w:lang w:val="en-GB"/>
        </w:rPr>
        <w:t>to carry out arrests and searches without a warrant. OHCHR reiterates the need to adopt a comprehensive security policy</w:t>
      </w:r>
      <w:r w:rsidR="0044778D" w:rsidRPr="000E2CA8">
        <w:rPr>
          <w:color w:val="000000" w:themeColor="text1"/>
          <w:lang w:val="en-GB"/>
        </w:rPr>
        <w:t>,</w:t>
      </w:r>
      <w:r w:rsidR="0059220D" w:rsidRPr="000E2CA8">
        <w:rPr>
          <w:color w:val="000000" w:themeColor="text1"/>
          <w:lang w:val="en-GB"/>
        </w:rPr>
        <w:t xml:space="preserve"> with emphasis on prevention and investigation</w:t>
      </w:r>
      <w:r w:rsidR="0044778D" w:rsidRPr="000E2CA8">
        <w:rPr>
          <w:color w:val="000000" w:themeColor="text1"/>
          <w:lang w:val="en-GB"/>
        </w:rPr>
        <w:t>,</w:t>
      </w:r>
      <w:r w:rsidR="0059220D" w:rsidRPr="000E2CA8">
        <w:rPr>
          <w:color w:val="000000" w:themeColor="text1"/>
          <w:lang w:val="en-GB"/>
        </w:rPr>
        <w:t xml:space="preserve"> that addresses the root causes of violence</w:t>
      </w:r>
      <w:r w:rsidR="00F75D8E" w:rsidRPr="000E2CA8">
        <w:rPr>
          <w:rStyle w:val="FootnoteReference"/>
          <w:color w:val="000000" w:themeColor="text1"/>
          <w:lang w:val="en-GB"/>
        </w:rPr>
        <w:footnoteReference w:id="5"/>
      </w:r>
      <w:r w:rsidR="0059220D" w:rsidRPr="000E2CA8">
        <w:rPr>
          <w:color w:val="000000" w:themeColor="text1"/>
          <w:lang w:val="en-GB"/>
        </w:rPr>
        <w:t xml:space="preserve">. The Office welcomes the </w:t>
      </w:r>
      <w:r w:rsidR="0059220D" w:rsidRPr="000E2CA8">
        <w:rPr>
          <w:color w:val="000000" w:themeColor="text1"/>
          <w:lang w:val="en-GB"/>
        </w:rPr>
        <w:lastRenderedPageBreak/>
        <w:t xml:space="preserve">establishment of a high-level inter-institutional roundtable to monitor the implementation of the </w:t>
      </w:r>
      <w:r w:rsidR="0044778D" w:rsidRPr="000E2CA8">
        <w:rPr>
          <w:color w:val="000000" w:themeColor="text1"/>
          <w:lang w:val="en-GB"/>
        </w:rPr>
        <w:t>S</w:t>
      </w:r>
      <w:r w:rsidR="0059220D" w:rsidRPr="000E2CA8">
        <w:rPr>
          <w:color w:val="000000" w:themeColor="text1"/>
          <w:lang w:val="en-GB"/>
        </w:rPr>
        <w:t xml:space="preserve">tate of </w:t>
      </w:r>
      <w:r w:rsidR="0044778D" w:rsidRPr="000E2CA8">
        <w:rPr>
          <w:color w:val="000000" w:themeColor="text1"/>
          <w:lang w:val="en-GB"/>
        </w:rPr>
        <w:t>E</w:t>
      </w:r>
      <w:r w:rsidR="0059220D" w:rsidRPr="000E2CA8">
        <w:rPr>
          <w:color w:val="000000" w:themeColor="text1"/>
          <w:lang w:val="en-GB"/>
        </w:rPr>
        <w:t>mergency.</w:t>
      </w:r>
    </w:p>
    <w:p w14:paraId="26FBC97D" w14:textId="6512EFED" w:rsidR="009C640C" w:rsidRPr="000E2CA8" w:rsidRDefault="00064044" w:rsidP="00064044">
      <w:pPr>
        <w:pStyle w:val="HChG"/>
        <w:ind w:hanging="567"/>
        <w:rPr>
          <w:lang w:val="en-GB"/>
        </w:rPr>
      </w:pPr>
      <w:r w:rsidRPr="000E2CA8">
        <w:rPr>
          <w:lang w:val="en-GB"/>
        </w:rPr>
        <w:t>III.</w:t>
      </w:r>
      <w:r w:rsidRPr="000E2CA8">
        <w:rPr>
          <w:lang w:val="en-GB"/>
        </w:rPr>
        <w:tab/>
      </w:r>
      <w:r w:rsidR="002B5164" w:rsidRPr="000E2CA8">
        <w:rPr>
          <w:lang w:val="en-GB"/>
        </w:rPr>
        <w:t>Development and Economic, Social, Cultural and Environmental rights</w:t>
      </w:r>
    </w:p>
    <w:p w14:paraId="786925A0" w14:textId="2245736F" w:rsidR="00501FAD" w:rsidRPr="000E2CA8" w:rsidRDefault="0084387B" w:rsidP="002B5164">
      <w:pPr>
        <w:pStyle w:val="SingleTxtG"/>
        <w:rPr>
          <w:lang w:val="en-GB"/>
        </w:rPr>
      </w:pPr>
      <w:r w:rsidRPr="00DE72B2">
        <w:rPr>
          <w:lang w:val="en-GB"/>
        </w:rPr>
        <w:t>11</w:t>
      </w:r>
      <w:r w:rsidR="002B5164" w:rsidRPr="00DE72B2">
        <w:rPr>
          <w:lang w:val="en-GB"/>
        </w:rPr>
        <w:t>.</w:t>
      </w:r>
      <w:r w:rsidR="002B5164" w:rsidRPr="000E2CA8">
        <w:rPr>
          <w:lang w:val="en-GB"/>
        </w:rPr>
        <w:tab/>
        <w:t xml:space="preserve">In April, the National Congress repealed Legislative Decree 263-2012 </w:t>
      </w:r>
      <w:r w:rsidR="00141EE6" w:rsidRPr="000E2CA8">
        <w:rPr>
          <w:lang w:val="en-GB"/>
        </w:rPr>
        <w:t xml:space="preserve">that </w:t>
      </w:r>
      <w:r w:rsidR="00005D31" w:rsidRPr="000E2CA8">
        <w:rPr>
          <w:lang w:val="en-GB"/>
        </w:rPr>
        <w:t xml:space="preserve">provided for </w:t>
      </w:r>
      <w:r w:rsidR="002B5164" w:rsidRPr="000E2CA8">
        <w:rPr>
          <w:lang w:val="en-GB"/>
        </w:rPr>
        <w:t xml:space="preserve">the creation and configuration of the ZEDEs (Employment and Economic Development Zones), as well as all </w:t>
      </w:r>
      <w:r w:rsidR="00141EE6" w:rsidRPr="000E2CA8">
        <w:rPr>
          <w:lang w:val="en-GB"/>
        </w:rPr>
        <w:t xml:space="preserve">associated </w:t>
      </w:r>
      <w:r w:rsidR="002B5164" w:rsidRPr="000E2CA8">
        <w:rPr>
          <w:lang w:val="en-GB"/>
        </w:rPr>
        <w:t>regulations</w:t>
      </w:r>
      <w:r w:rsidR="00C22735" w:rsidRPr="000E2CA8">
        <w:rPr>
          <w:rStyle w:val="FootnoteReference"/>
          <w:lang w:val="en-GB"/>
        </w:rPr>
        <w:footnoteReference w:id="6"/>
      </w:r>
      <w:r w:rsidR="002B5164" w:rsidRPr="000E2CA8">
        <w:rPr>
          <w:lang w:val="en-GB"/>
        </w:rPr>
        <w:t xml:space="preserve">. The Government announced that </w:t>
      </w:r>
      <w:r w:rsidR="00141EE6" w:rsidRPr="000E2CA8">
        <w:rPr>
          <w:lang w:val="en-GB"/>
        </w:rPr>
        <w:t xml:space="preserve">all </w:t>
      </w:r>
      <w:r w:rsidR="002B5164" w:rsidRPr="000E2CA8">
        <w:rPr>
          <w:lang w:val="en-GB"/>
        </w:rPr>
        <w:t xml:space="preserve">ZEDEs </w:t>
      </w:r>
      <w:r w:rsidR="00F02EA0" w:rsidRPr="000E2CA8">
        <w:rPr>
          <w:lang w:val="en-GB"/>
        </w:rPr>
        <w:t xml:space="preserve">remaining </w:t>
      </w:r>
      <w:r w:rsidR="002B5164" w:rsidRPr="000E2CA8">
        <w:rPr>
          <w:lang w:val="en-GB"/>
        </w:rPr>
        <w:t xml:space="preserve">in operation must be registered in one of the </w:t>
      </w:r>
      <w:r w:rsidR="00F02EA0" w:rsidRPr="000E2CA8">
        <w:rPr>
          <w:lang w:val="en-GB"/>
        </w:rPr>
        <w:t xml:space="preserve">existing </w:t>
      </w:r>
      <w:r w:rsidR="002B5164" w:rsidRPr="000E2CA8">
        <w:rPr>
          <w:lang w:val="en-GB"/>
        </w:rPr>
        <w:t xml:space="preserve">special </w:t>
      </w:r>
      <w:r w:rsidR="00F02EA0" w:rsidRPr="000E2CA8">
        <w:rPr>
          <w:lang w:val="en-GB"/>
        </w:rPr>
        <w:t xml:space="preserve">legal </w:t>
      </w:r>
      <w:r w:rsidR="002B5164" w:rsidRPr="000E2CA8">
        <w:rPr>
          <w:lang w:val="en-GB"/>
        </w:rPr>
        <w:t xml:space="preserve">regimes. OHCHR welcomes this repeal, which </w:t>
      </w:r>
      <w:r w:rsidR="0072050A" w:rsidRPr="000E2CA8">
        <w:rPr>
          <w:lang w:val="en-GB"/>
        </w:rPr>
        <w:t xml:space="preserve">reflects </w:t>
      </w:r>
      <w:r w:rsidR="002B5164" w:rsidRPr="000E2CA8">
        <w:rPr>
          <w:lang w:val="en-GB"/>
        </w:rPr>
        <w:t xml:space="preserve">recommendations made by the Office and human rights mechanisms, and urges that the measures for </w:t>
      </w:r>
      <w:r w:rsidR="00835953" w:rsidRPr="000E2CA8">
        <w:rPr>
          <w:lang w:val="en-GB"/>
        </w:rPr>
        <w:t>its</w:t>
      </w:r>
      <w:r w:rsidR="002B5164" w:rsidRPr="000E2CA8">
        <w:rPr>
          <w:lang w:val="en-GB"/>
        </w:rPr>
        <w:t xml:space="preserve"> implementation be carried out with the effective participation of the communities in the</w:t>
      </w:r>
      <w:r w:rsidR="00835953" w:rsidRPr="000E2CA8">
        <w:rPr>
          <w:lang w:val="en-GB"/>
        </w:rPr>
        <w:t xml:space="preserve"> impacted</w:t>
      </w:r>
      <w:r w:rsidR="002B5164" w:rsidRPr="000E2CA8">
        <w:rPr>
          <w:lang w:val="en-GB"/>
        </w:rPr>
        <w:t xml:space="preserve"> territories and </w:t>
      </w:r>
      <w:r w:rsidR="00141EE6" w:rsidRPr="000E2CA8">
        <w:rPr>
          <w:lang w:val="en-GB"/>
        </w:rPr>
        <w:t xml:space="preserve">for the guarantee of </w:t>
      </w:r>
      <w:r w:rsidR="002B5164" w:rsidRPr="000E2CA8">
        <w:rPr>
          <w:lang w:val="en-GB"/>
        </w:rPr>
        <w:t xml:space="preserve">that the right to free, prior and informed consultation </w:t>
      </w:r>
      <w:r w:rsidR="00141EE6" w:rsidRPr="000E2CA8">
        <w:rPr>
          <w:lang w:val="en-GB"/>
        </w:rPr>
        <w:t xml:space="preserve">of </w:t>
      </w:r>
      <w:r w:rsidR="002B5164" w:rsidRPr="000E2CA8">
        <w:rPr>
          <w:lang w:val="en-GB"/>
        </w:rPr>
        <w:t>indigenous and Afro</w:t>
      </w:r>
      <w:r w:rsidR="00141EE6" w:rsidRPr="000E2CA8">
        <w:rPr>
          <w:lang w:val="en-GB"/>
        </w:rPr>
        <w:noBreakHyphen/>
      </w:r>
      <w:r w:rsidR="002B5164" w:rsidRPr="000E2CA8">
        <w:rPr>
          <w:lang w:val="en-GB"/>
        </w:rPr>
        <w:t>Honduran peoples.</w:t>
      </w:r>
    </w:p>
    <w:p w14:paraId="5862F84E" w14:textId="39A840EC" w:rsidR="009C640C" w:rsidRPr="000E2CA8" w:rsidRDefault="00E83DE0" w:rsidP="0004050B">
      <w:pPr>
        <w:pStyle w:val="H1G"/>
        <w:rPr>
          <w:lang w:val="en-GB"/>
        </w:rPr>
      </w:pPr>
      <w:r w:rsidRPr="000E2CA8">
        <w:rPr>
          <w:lang w:val="en-GB"/>
        </w:rPr>
        <w:tab/>
      </w:r>
      <w:r w:rsidR="00CD18F3" w:rsidRPr="000E2CA8">
        <w:rPr>
          <w:lang w:val="en-GB"/>
        </w:rPr>
        <w:t>A</w:t>
      </w:r>
      <w:r w:rsidR="009C640C" w:rsidRPr="000E2CA8">
        <w:rPr>
          <w:lang w:val="en-GB"/>
        </w:rPr>
        <w:t xml:space="preserve">. </w:t>
      </w:r>
      <w:r w:rsidRPr="000E2CA8">
        <w:rPr>
          <w:lang w:val="en-GB"/>
        </w:rPr>
        <w:tab/>
      </w:r>
      <w:r w:rsidRPr="000E2CA8">
        <w:rPr>
          <w:lang w:val="en-GB"/>
        </w:rPr>
        <w:tab/>
      </w:r>
      <w:r w:rsidR="001767A9" w:rsidRPr="000E2CA8">
        <w:rPr>
          <w:lang w:val="en-GB"/>
        </w:rPr>
        <w:t>Access to economic, social, cultural and environmental rights</w:t>
      </w:r>
    </w:p>
    <w:p w14:paraId="64012BFF" w14:textId="62D8BB8A" w:rsidR="009B775F" w:rsidRPr="000E2CA8" w:rsidRDefault="0084387B" w:rsidP="00465AD1">
      <w:pPr>
        <w:pStyle w:val="SingleTxtG"/>
        <w:rPr>
          <w:lang w:val="en-GB" w:eastAsia="en-GB"/>
        </w:rPr>
      </w:pPr>
      <w:r>
        <w:rPr>
          <w:lang w:val="en-GB" w:eastAsia="en-GB"/>
        </w:rPr>
        <w:t>12</w:t>
      </w:r>
      <w:r w:rsidR="006B3281" w:rsidRPr="000E2CA8">
        <w:rPr>
          <w:lang w:val="en-GB" w:eastAsia="en-GB"/>
        </w:rPr>
        <w:t>.</w:t>
      </w:r>
      <w:r w:rsidR="006B3281" w:rsidRPr="000E2CA8">
        <w:rPr>
          <w:lang w:val="en-GB" w:eastAsia="en-GB"/>
        </w:rPr>
        <w:tab/>
      </w:r>
      <w:r w:rsidR="000B5865" w:rsidRPr="000E2CA8">
        <w:rPr>
          <w:lang w:val="en-GB"/>
        </w:rPr>
        <w:t>The enjoyment of these rights remains impacted by the high levels of pre-existing poverty and inequality, and by the socioeconomic effects of the COVID-19 pandemic and climate change, such as the tropical storms that affected the country. According to information published in July 2022, 73.6% of the population lived in poverty and 53.7% in extreme poverty</w:t>
      </w:r>
      <w:r w:rsidR="00386C76" w:rsidRPr="000E2CA8">
        <w:rPr>
          <w:rStyle w:val="FootnoteReference"/>
          <w:lang w:val="en-GB" w:eastAsia="en-GB"/>
        </w:rPr>
        <w:footnoteReference w:id="7"/>
      </w:r>
      <w:r w:rsidR="009C640C" w:rsidRPr="000E2CA8">
        <w:rPr>
          <w:lang w:val="en-GB" w:eastAsia="en-GB"/>
        </w:rPr>
        <w:t xml:space="preserve">. </w:t>
      </w:r>
      <w:r w:rsidR="009B775F" w:rsidRPr="000E2CA8">
        <w:rPr>
          <w:lang w:val="en-GB"/>
        </w:rPr>
        <w:t xml:space="preserve">In February, the National Congress declared a state of fiscal and financial emergency in the public sector to address the public debt of more than 197 billion lempiras contracted by previous </w:t>
      </w:r>
      <w:r w:rsidR="00D70EF8">
        <w:rPr>
          <w:lang w:val="en-GB"/>
        </w:rPr>
        <w:t>G</w:t>
      </w:r>
      <w:r w:rsidR="009B775F" w:rsidRPr="000E2CA8">
        <w:rPr>
          <w:lang w:val="en-GB"/>
        </w:rPr>
        <w:t>overnments</w:t>
      </w:r>
      <w:r w:rsidR="003F460F" w:rsidRPr="000E2CA8">
        <w:rPr>
          <w:rStyle w:val="FootnoteReference"/>
          <w:lang w:val="en-GB" w:eastAsia="en-GB"/>
        </w:rPr>
        <w:footnoteReference w:id="8"/>
      </w:r>
      <w:r w:rsidR="009C640C" w:rsidRPr="000E2CA8">
        <w:rPr>
          <w:lang w:val="en-GB" w:eastAsia="en-GB"/>
        </w:rPr>
        <w:t>.</w:t>
      </w:r>
      <w:r w:rsidR="00844F92" w:rsidRPr="000E2CA8">
        <w:rPr>
          <w:lang w:val="en-GB" w:eastAsia="en-GB"/>
        </w:rPr>
        <w:t xml:space="preserve"> </w:t>
      </w:r>
      <w:r w:rsidR="009B775F" w:rsidRPr="000E2CA8">
        <w:rPr>
          <w:lang w:val="en-GB"/>
        </w:rPr>
        <w:t xml:space="preserve">The Government established the Secretariat of State in the Office of Social Development to promote development and social protection, and the Solidarity Action Program for </w:t>
      </w:r>
      <w:r w:rsidR="001F4FC6" w:rsidRPr="000E2CA8">
        <w:rPr>
          <w:lang w:val="en-GB"/>
        </w:rPr>
        <w:t>persons in situation of vulnerability</w:t>
      </w:r>
      <w:r w:rsidR="009B775F" w:rsidRPr="000E2CA8">
        <w:rPr>
          <w:lang w:val="en-GB"/>
        </w:rPr>
        <w:t>.</w:t>
      </w:r>
    </w:p>
    <w:p w14:paraId="6BC063F3" w14:textId="309D0C90" w:rsidR="00641B65" w:rsidRPr="000E2CA8" w:rsidRDefault="0084387B" w:rsidP="00844F92">
      <w:pPr>
        <w:pStyle w:val="SingleTxtG"/>
        <w:rPr>
          <w:lang w:val="en-GB"/>
        </w:rPr>
      </w:pPr>
      <w:r>
        <w:rPr>
          <w:lang w:val="en-GB"/>
        </w:rPr>
        <w:t>13</w:t>
      </w:r>
      <w:r w:rsidR="006B3281" w:rsidRPr="000E2CA8">
        <w:rPr>
          <w:lang w:val="en-GB"/>
        </w:rPr>
        <w:t>.</w:t>
      </w:r>
      <w:r w:rsidR="006B3281" w:rsidRPr="000E2CA8">
        <w:rPr>
          <w:lang w:val="en-GB"/>
        </w:rPr>
        <w:tab/>
      </w:r>
      <w:r w:rsidR="00641B65" w:rsidRPr="000E2CA8">
        <w:rPr>
          <w:lang w:val="en-GB"/>
        </w:rPr>
        <w:t>Affected by global trends, high year-</w:t>
      </w:r>
      <w:r w:rsidR="00F1544E" w:rsidRPr="000E2CA8">
        <w:rPr>
          <w:lang w:val="en-GB"/>
        </w:rPr>
        <w:t>t</w:t>
      </w:r>
      <w:r w:rsidR="00641B65" w:rsidRPr="000E2CA8">
        <w:rPr>
          <w:lang w:val="en-GB"/>
        </w:rPr>
        <w:t xml:space="preserve">o-year inflation also impacted the purchasing power and consumption of Honduran households. The Office welcomes the budget modification that increased budget allocations in </w:t>
      </w:r>
      <w:r w:rsidR="00875595" w:rsidRPr="000E2CA8">
        <w:rPr>
          <w:lang w:val="en-GB"/>
        </w:rPr>
        <w:t xml:space="preserve">the </w:t>
      </w:r>
      <w:r w:rsidR="00641B65" w:rsidRPr="000E2CA8">
        <w:rPr>
          <w:lang w:val="en-GB"/>
        </w:rPr>
        <w:t xml:space="preserve">education and health </w:t>
      </w:r>
      <w:r w:rsidR="00875595" w:rsidRPr="000E2CA8">
        <w:rPr>
          <w:lang w:val="en-GB"/>
        </w:rPr>
        <w:t xml:space="preserve">sectors </w:t>
      </w:r>
      <w:r w:rsidR="00641B65" w:rsidRPr="000E2CA8">
        <w:rPr>
          <w:lang w:val="en-GB"/>
        </w:rPr>
        <w:t>through Decree</w:t>
      </w:r>
      <w:r w:rsidR="00875595" w:rsidRPr="000E2CA8">
        <w:rPr>
          <w:lang w:val="en-GB"/>
        </w:rPr>
        <w:t> </w:t>
      </w:r>
      <w:r w:rsidR="00641B65" w:rsidRPr="000E2CA8">
        <w:rPr>
          <w:lang w:val="en-GB"/>
        </w:rPr>
        <w:t>30</w:t>
      </w:r>
      <w:r w:rsidR="00875595" w:rsidRPr="000E2CA8">
        <w:rPr>
          <w:lang w:val="en-GB"/>
        </w:rPr>
        <w:noBreakHyphen/>
      </w:r>
      <w:r w:rsidR="00641B65" w:rsidRPr="000E2CA8">
        <w:rPr>
          <w:lang w:val="en-GB"/>
        </w:rPr>
        <w:t xml:space="preserve">2022. In June, the Government declared a state </w:t>
      </w:r>
      <w:r w:rsidR="00641B65" w:rsidRPr="000E2CA8">
        <w:rPr>
          <w:lang w:val="en-GB"/>
        </w:rPr>
        <w:lastRenderedPageBreak/>
        <w:t>of health emergency to address the shortage of medicine in the health system.</w:t>
      </w:r>
    </w:p>
    <w:p w14:paraId="6B518BAD" w14:textId="152AEE8B" w:rsidR="00522C8F" w:rsidRPr="000E2CA8" w:rsidRDefault="00154443" w:rsidP="0084387B">
      <w:pPr>
        <w:pStyle w:val="SingleTxtG"/>
        <w:rPr>
          <w:lang w:val="en-GB"/>
        </w:rPr>
      </w:pPr>
      <w:r w:rsidRPr="000E2CA8">
        <w:rPr>
          <w:lang w:val="en-GB"/>
        </w:rPr>
        <w:t>1</w:t>
      </w:r>
      <w:r w:rsidR="0084387B">
        <w:rPr>
          <w:lang w:val="en-GB"/>
        </w:rPr>
        <w:t>4</w:t>
      </w:r>
      <w:r w:rsidR="006B3281" w:rsidRPr="000E2CA8">
        <w:rPr>
          <w:lang w:val="en-GB"/>
        </w:rPr>
        <w:t>.</w:t>
      </w:r>
      <w:r w:rsidR="006B3281" w:rsidRPr="000E2CA8">
        <w:rPr>
          <w:lang w:val="en-GB"/>
        </w:rPr>
        <w:tab/>
      </w:r>
      <w:r w:rsidR="00522C8F" w:rsidRPr="000E2CA8">
        <w:rPr>
          <w:lang w:val="en-GB"/>
        </w:rPr>
        <w:t>The country's vulnerability to climate change impacted the guarantee, among others, of the right to food</w:t>
      </w:r>
      <w:r w:rsidR="00283155" w:rsidRPr="000E2CA8">
        <w:rPr>
          <w:lang w:val="en-GB"/>
        </w:rPr>
        <w:t xml:space="preserve"> and increased </w:t>
      </w:r>
      <w:r w:rsidR="00522C8F" w:rsidRPr="000E2CA8">
        <w:rPr>
          <w:lang w:val="en-GB"/>
        </w:rPr>
        <w:t xml:space="preserve">humanitarian needs. The floods in September led the Government to declare a 90-day state of national emergency. Storm Julia in October </w:t>
      </w:r>
      <w:r w:rsidR="00A14AE1" w:rsidRPr="000E2CA8">
        <w:rPr>
          <w:lang w:val="en-GB"/>
        </w:rPr>
        <w:t xml:space="preserve">impacted </w:t>
      </w:r>
      <w:r w:rsidR="00522C8F" w:rsidRPr="000E2CA8">
        <w:rPr>
          <w:lang w:val="en-GB"/>
        </w:rPr>
        <w:t xml:space="preserve">more than 144,000 </w:t>
      </w:r>
      <w:r w:rsidR="00A14AE1" w:rsidRPr="000E2CA8">
        <w:rPr>
          <w:lang w:val="en-GB"/>
        </w:rPr>
        <w:t xml:space="preserve">persons </w:t>
      </w:r>
      <w:r w:rsidR="00522C8F" w:rsidRPr="000E2CA8">
        <w:rPr>
          <w:lang w:val="en-GB"/>
        </w:rPr>
        <w:t xml:space="preserve">and </w:t>
      </w:r>
      <w:r w:rsidR="00AC1E06" w:rsidRPr="000E2CA8">
        <w:rPr>
          <w:lang w:val="en-GB"/>
        </w:rPr>
        <w:t xml:space="preserve">caused </w:t>
      </w:r>
      <w:r w:rsidR="00522C8F" w:rsidRPr="000E2CA8">
        <w:rPr>
          <w:lang w:val="en-GB"/>
        </w:rPr>
        <w:t>damage</w:t>
      </w:r>
      <w:r w:rsidR="00AC1E06" w:rsidRPr="000E2CA8">
        <w:rPr>
          <w:lang w:val="en-GB"/>
        </w:rPr>
        <w:t>s</w:t>
      </w:r>
      <w:r w:rsidR="00522C8F" w:rsidRPr="000E2CA8">
        <w:rPr>
          <w:lang w:val="en-GB"/>
        </w:rPr>
        <w:t xml:space="preserve"> in 15 of the 18 departments</w:t>
      </w:r>
      <w:r w:rsidR="00AC1E06" w:rsidRPr="000E2CA8">
        <w:rPr>
          <w:rStyle w:val="FootnoteReference"/>
          <w:lang w:val="en-GB"/>
        </w:rPr>
        <w:footnoteReference w:id="9"/>
      </w:r>
      <w:r w:rsidR="00522C8F" w:rsidRPr="000E2CA8">
        <w:rPr>
          <w:lang w:val="en-GB"/>
        </w:rPr>
        <w:t>. These adverse weather events, in addition to a humanitarian response such as the state of food emergency proclaimed in April, also require medium and long-term measures to mitigate the effects of climate change</w:t>
      </w:r>
      <w:r w:rsidR="00C72B2E" w:rsidRPr="000E2CA8">
        <w:rPr>
          <w:lang w:val="en-GB"/>
        </w:rPr>
        <w:t xml:space="preserve">, </w:t>
      </w:r>
      <w:r w:rsidR="00522C8F" w:rsidRPr="000E2CA8">
        <w:rPr>
          <w:lang w:val="en-GB"/>
        </w:rPr>
        <w:t xml:space="preserve">facilitate </w:t>
      </w:r>
      <w:r w:rsidR="00AC1E06" w:rsidRPr="000E2CA8">
        <w:rPr>
          <w:lang w:val="en-GB"/>
        </w:rPr>
        <w:t xml:space="preserve">the </w:t>
      </w:r>
      <w:r w:rsidR="00522C8F" w:rsidRPr="000E2CA8">
        <w:rPr>
          <w:lang w:val="en-GB"/>
        </w:rPr>
        <w:t xml:space="preserve">adaptation and </w:t>
      </w:r>
      <w:r w:rsidR="00C72B2E" w:rsidRPr="000E2CA8">
        <w:rPr>
          <w:lang w:val="en-GB"/>
        </w:rPr>
        <w:t xml:space="preserve">promote the </w:t>
      </w:r>
      <w:r w:rsidR="00522C8F" w:rsidRPr="000E2CA8">
        <w:rPr>
          <w:lang w:val="en-GB"/>
        </w:rPr>
        <w:t>resilience of the most affected population.</w:t>
      </w:r>
    </w:p>
    <w:p w14:paraId="35DEFFA1" w14:textId="590A8BA3" w:rsidR="00926799" w:rsidRPr="000E2CA8" w:rsidRDefault="0084387B" w:rsidP="004136BC">
      <w:pPr>
        <w:pStyle w:val="SingleTxtG"/>
        <w:rPr>
          <w:lang w:val="en-GB"/>
        </w:rPr>
      </w:pPr>
      <w:r>
        <w:rPr>
          <w:lang w:val="en-GB"/>
        </w:rPr>
        <w:t>15</w:t>
      </w:r>
      <w:r w:rsidR="00881190" w:rsidRPr="000E2CA8">
        <w:rPr>
          <w:lang w:val="en-GB"/>
        </w:rPr>
        <w:t>.</w:t>
      </w:r>
      <w:r w:rsidR="00881190" w:rsidRPr="000E2CA8">
        <w:rPr>
          <w:lang w:val="en-GB"/>
        </w:rPr>
        <w:tab/>
      </w:r>
      <w:r w:rsidR="009A180B" w:rsidRPr="000E2CA8">
        <w:rPr>
          <w:lang w:val="en-GB"/>
        </w:rPr>
        <w:t xml:space="preserve">Challenges persist in guaranteeing the right to food and health for the indigenous community of San Francisco de Locomapa, despite the fact that the Constitutional Chamber upheld in July the </w:t>
      </w:r>
      <w:r w:rsidR="001056BA" w:rsidRPr="000E2CA8">
        <w:rPr>
          <w:lang w:val="en-GB"/>
        </w:rPr>
        <w:t>amparo ruling of the Administrative Court of San Pedro Sula,</w:t>
      </w:r>
      <w:r w:rsidR="00841FED" w:rsidRPr="000E2CA8">
        <w:rPr>
          <w:lang w:val="en-GB"/>
        </w:rPr>
        <w:t xml:space="preserve"> </w:t>
      </w:r>
      <w:r w:rsidR="009A180B" w:rsidRPr="000E2CA8">
        <w:rPr>
          <w:lang w:val="en-GB"/>
        </w:rPr>
        <w:t xml:space="preserve">which established the obligation of the municipal corporation to install and equip health </w:t>
      </w:r>
      <w:r w:rsidR="008013BB" w:rsidRPr="000E2CA8">
        <w:rPr>
          <w:lang w:val="en-GB"/>
        </w:rPr>
        <w:t>centres</w:t>
      </w:r>
      <w:r w:rsidR="009A180B" w:rsidRPr="000E2CA8">
        <w:rPr>
          <w:lang w:val="en-GB"/>
        </w:rPr>
        <w:t xml:space="preserve"> in the communities and implement a plan to ensure their right to food. The Office urges the Yoro Municipality </w:t>
      </w:r>
      <w:r w:rsidR="00926799" w:rsidRPr="000E2CA8">
        <w:rPr>
          <w:lang w:val="en-GB"/>
        </w:rPr>
        <w:t xml:space="preserve">to move forward as soon as possible with the effective implementation of the </w:t>
      </w:r>
      <w:r w:rsidR="00C726A4">
        <w:rPr>
          <w:lang w:val="en-GB"/>
        </w:rPr>
        <w:t>sentence</w:t>
      </w:r>
      <w:r w:rsidR="00926799" w:rsidRPr="000E2CA8">
        <w:rPr>
          <w:lang w:val="en-GB"/>
        </w:rPr>
        <w:t>.</w:t>
      </w:r>
    </w:p>
    <w:p w14:paraId="03D174C1" w14:textId="1279165B" w:rsidR="00931F1F" w:rsidRPr="000E2CA8" w:rsidRDefault="00522C8F" w:rsidP="0084387B">
      <w:pPr>
        <w:pStyle w:val="SingleTxtG"/>
        <w:rPr>
          <w:lang w:val="en-GB"/>
        </w:rPr>
      </w:pPr>
      <w:r w:rsidRPr="000E2CA8">
        <w:rPr>
          <w:lang w:val="en-GB"/>
        </w:rPr>
        <w:t>1</w:t>
      </w:r>
      <w:r w:rsidR="0084387B">
        <w:rPr>
          <w:lang w:val="en-GB"/>
        </w:rPr>
        <w:t>6</w:t>
      </w:r>
      <w:r w:rsidRPr="000E2CA8">
        <w:rPr>
          <w:lang w:val="en-GB"/>
        </w:rPr>
        <w:t>.</w:t>
      </w:r>
      <w:r w:rsidRPr="000E2CA8">
        <w:rPr>
          <w:lang w:val="en-GB"/>
        </w:rPr>
        <w:tab/>
      </w:r>
      <w:r w:rsidR="00AA606C">
        <w:rPr>
          <w:lang w:val="en-GB"/>
        </w:rPr>
        <w:t>T</w:t>
      </w:r>
      <w:r w:rsidR="007776F2" w:rsidRPr="000E2CA8">
        <w:rPr>
          <w:lang w:val="en-GB"/>
        </w:rPr>
        <w:t xml:space="preserve">he </w:t>
      </w:r>
      <w:r w:rsidR="008013BB" w:rsidRPr="000E2CA8">
        <w:rPr>
          <w:lang w:val="en-GB"/>
        </w:rPr>
        <w:t>labour</w:t>
      </w:r>
      <w:r w:rsidRPr="000E2CA8">
        <w:rPr>
          <w:lang w:val="en-GB"/>
        </w:rPr>
        <w:t xml:space="preserve"> discrimination </w:t>
      </w:r>
      <w:r w:rsidR="007776F2" w:rsidRPr="000E2CA8">
        <w:rPr>
          <w:lang w:val="en-GB"/>
        </w:rPr>
        <w:t xml:space="preserve">of </w:t>
      </w:r>
      <w:r w:rsidRPr="000E2CA8">
        <w:rPr>
          <w:lang w:val="en-GB"/>
        </w:rPr>
        <w:t xml:space="preserve">domestic workers, </w:t>
      </w:r>
      <w:r w:rsidR="00D06CEF" w:rsidRPr="000E2CA8">
        <w:rPr>
          <w:lang w:val="en-GB"/>
        </w:rPr>
        <w:t xml:space="preserve">in </w:t>
      </w:r>
      <w:r w:rsidRPr="000E2CA8">
        <w:rPr>
          <w:lang w:val="en-GB"/>
        </w:rPr>
        <w:t xml:space="preserve">both law and in practice, </w:t>
      </w:r>
      <w:r w:rsidR="00AA606C">
        <w:rPr>
          <w:lang w:val="en-GB"/>
        </w:rPr>
        <w:t>is o</w:t>
      </w:r>
      <w:r w:rsidR="00AA606C" w:rsidRPr="000E2CA8">
        <w:rPr>
          <w:lang w:val="en-GB"/>
        </w:rPr>
        <w:t xml:space="preserve">f concern </w:t>
      </w:r>
      <w:r w:rsidRPr="000E2CA8">
        <w:rPr>
          <w:lang w:val="en-GB"/>
        </w:rPr>
        <w:t xml:space="preserve">due to </w:t>
      </w:r>
      <w:r w:rsidR="00260493" w:rsidRPr="000E2CA8">
        <w:rPr>
          <w:lang w:val="en-GB"/>
        </w:rPr>
        <w:t xml:space="preserve">the absence of </w:t>
      </w:r>
      <w:r w:rsidRPr="000E2CA8">
        <w:rPr>
          <w:lang w:val="en-GB"/>
        </w:rPr>
        <w:t xml:space="preserve">an adequate </w:t>
      </w:r>
      <w:r w:rsidR="001A07B8" w:rsidRPr="000E2CA8">
        <w:rPr>
          <w:lang w:val="en-GB"/>
        </w:rPr>
        <w:t xml:space="preserve">legal </w:t>
      </w:r>
      <w:r w:rsidRPr="000E2CA8">
        <w:rPr>
          <w:lang w:val="en-GB"/>
        </w:rPr>
        <w:t>framework for</w:t>
      </w:r>
      <w:r w:rsidR="00802E7A" w:rsidRPr="000E2CA8">
        <w:rPr>
          <w:lang w:val="en-GB"/>
        </w:rPr>
        <w:t xml:space="preserve"> integral </w:t>
      </w:r>
      <w:r w:rsidRPr="000E2CA8">
        <w:rPr>
          <w:lang w:val="en-GB"/>
        </w:rPr>
        <w:t xml:space="preserve">protection of their </w:t>
      </w:r>
      <w:r w:rsidR="008013BB" w:rsidRPr="000E2CA8">
        <w:rPr>
          <w:lang w:val="en-GB"/>
        </w:rPr>
        <w:t>labour</w:t>
      </w:r>
      <w:r w:rsidRPr="000E2CA8">
        <w:rPr>
          <w:lang w:val="en-GB"/>
        </w:rPr>
        <w:t xml:space="preserve"> rights.</w:t>
      </w:r>
    </w:p>
    <w:p w14:paraId="12FAF79C" w14:textId="7DB707F8" w:rsidR="009C640C" w:rsidRPr="000E2CA8" w:rsidRDefault="00D757C7" w:rsidP="00D757C7">
      <w:pPr>
        <w:pStyle w:val="H1G"/>
        <w:rPr>
          <w:lang w:val="en-GB"/>
        </w:rPr>
      </w:pPr>
      <w:r w:rsidRPr="000E2CA8">
        <w:rPr>
          <w:lang w:val="en-GB"/>
        </w:rPr>
        <w:tab/>
        <w:t>B.</w:t>
      </w:r>
      <w:r w:rsidRPr="000E2CA8">
        <w:rPr>
          <w:lang w:val="en-GB"/>
        </w:rPr>
        <w:tab/>
      </w:r>
      <w:r w:rsidR="002D39FB" w:rsidRPr="000E2CA8">
        <w:rPr>
          <w:lang w:val="en-GB"/>
        </w:rPr>
        <w:t>Access to Land and Natural Resources</w:t>
      </w:r>
    </w:p>
    <w:p w14:paraId="2E96C6D3" w14:textId="014C76DB" w:rsidR="00850EA0" w:rsidRPr="000E2CA8" w:rsidRDefault="00CD2550" w:rsidP="0084387B">
      <w:pPr>
        <w:pStyle w:val="SingleTxtG"/>
        <w:rPr>
          <w:lang w:val="en-GB"/>
        </w:rPr>
      </w:pPr>
      <w:r w:rsidRPr="000E2CA8">
        <w:rPr>
          <w:lang w:val="en-GB"/>
        </w:rPr>
        <w:t>1</w:t>
      </w:r>
      <w:r w:rsidR="0084387B">
        <w:rPr>
          <w:lang w:val="en-GB"/>
        </w:rPr>
        <w:t>7</w:t>
      </w:r>
      <w:r w:rsidR="008B1EAD" w:rsidRPr="000E2CA8">
        <w:rPr>
          <w:lang w:val="en-GB"/>
        </w:rPr>
        <w:t>.</w:t>
      </w:r>
      <w:r w:rsidR="008B1EAD" w:rsidRPr="000E2CA8">
        <w:rPr>
          <w:lang w:val="en-GB"/>
        </w:rPr>
        <w:tab/>
      </w:r>
      <w:r w:rsidR="00850EA0" w:rsidRPr="000E2CA8">
        <w:rPr>
          <w:lang w:val="en-GB"/>
        </w:rPr>
        <w:t>Social and environmental conflicts related to land and territory, alongside agrarian conflicts, have a strong negative impact on human rights and security, destabilize the country, and contribute directly to violence, displacement and migration. Inequitable access to land, territory and natural resources is one of the main causes of inequality and poverty. It is rooted in various factors, such as insecure land tenure and limited institutional capacity to resolve property rights and the overlap of private and ancestral land titles. This is further compounded by the existence of an economic development model based on extractive industries that has expanded over the last 12 years.</w:t>
      </w:r>
    </w:p>
    <w:p w14:paraId="6959AA37" w14:textId="1577464F" w:rsidR="00337F77" w:rsidRPr="000E2CA8" w:rsidRDefault="0084387B" w:rsidP="00294ED5">
      <w:pPr>
        <w:pStyle w:val="SingleTxtG"/>
        <w:rPr>
          <w:lang w:val="en-GB"/>
        </w:rPr>
      </w:pPr>
      <w:r>
        <w:rPr>
          <w:rFonts w:eastAsia="Calibri"/>
          <w:color w:val="000000" w:themeColor="text1"/>
          <w:lang w:val="en-GB"/>
        </w:rPr>
        <w:t>18</w:t>
      </w:r>
      <w:r w:rsidR="008B1EAD" w:rsidRPr="000E2CA8">
        <w:rPr>
          <w:rFonts w:eastAsia="Calibri"/>
          <w:color w:val="000000" w:themeColor="text1"/>
          <w:lang w:val="en-GB"/>
        </w:rPr>
        <w:t>.</w:t>
      </w:r>
      <w:r w:rsidR="008B1EAD" w:rsidRPr="000E2CA8">
        <w:rPr>
          <w:rFonts w:eastAsia="Calibri"/>
          <w:color w:val="000000" w:themeColor="text1"/>
          <w:lang w:val="en-GB"/>
        </w:rPr>
        <w:tab/>
      </w:r>
      <w:r w:rsidR="00A24156" w:rsidRPr="000E2CA8">
        <w:rPr>
          <w:lang w:val="en-GB"/>
        </w:rPr>
        <w:t xml:space="preserve">The Office documented that, over the last decade, this development model was enabled by expedited environmental licensing processes without the required </w:t>
      </w:r>
      <w:r w:rsidR="00A24156" w:rsidRPr="000E2CA8">
        <w:rPr>
          <w:lang w:val="en-GB"/>
        </w:rPr>
        <w:lastRenderedPageBreak/>
        <w:t xml:space="preserve">consultation and free, prior and informed consent of indigenous and Afro-Honduran peoples, in some cases also </w:t>
      </w:r>
      <w:r w:rsidR="00C519D3" w:rsidRPr="000E2CA8">
        <w:rPr>
          <w:lang w:val="en-GB"/>
        </w:rPr>
        <w:t xml:space="preserve">without the </w:t>
      </w:r>
      <w:r w:rsidR="00A24156" w:rsidRPr="000E2CA8">
        <w:rPr>
          <w:lang w:val="en-GB"/>
        </w:rPr>
        <w:t>effective evaluation and monitoring of its environmental impact. This has resulted in a high level of socio-environmental conflict with aggravated impact on indigenous and Afro</w:t>
      </w:r>
      <w:r w:rsidR="00C519D3" w:rsidRPr="000E2CA8">
        <w:rPr>
          <w:lang w:val="en-GB"/>
        </w:rPr>
        <w:noBreakHyphen/>
      </w:r>
      <w:r w:rsidR="00A24156" w:rsidRPr="000E2CA8">
        <w:rPr>
          <w:lang w:val="en-GB"/>
        </w:rPr>
        <w:t>Honduran peoples.</w:t>
      </w:r>
    </w:p>
    <w:p w14:paraId="236B1FEA" w14:textId="1BED80CD" w:rsidR="00CF0C91" w:rsidRPr="000E2CA8" w:rsidRDefault="0084387B" w:rsidP="0084387B">
      <w:pPr>
        <w:pStyle w:val="SingleTxtG"/>
        <w:rPr>
          <w:lang w:val="en-GB"/>
        </w:rPr>
      </w:pPr>
      <w:r>
        <w:rPr>
          <w:lang w:val="en-GB"/>
        </w:rPr>
        <w:t>19</w:t>
      </w:r>
      <w:r w:rsidR="008B1EAD" w:rsidRPr="000E2CA8">
        <w:rPr>
          <w:lang w:val="en-GB"/>
        </w:rPr>
        <w:t>.</w:t>
      </w:r>
      <w:r w:rsidR="008B1EAD" w:rsidRPr="000E2CA8">
        <w:rPr>
          <w:lang w:val="en-GB"/>
        </w:rPr>
        <w:tab/>
      </w:r>
      <w:r w:rsidR="001368C5" w:rsidRPr="000E2CA8">
        <w:rPr>
          <w:lang w:val="en-GB"/>
        </w:rPr>
        <w:t>OHCHR appreciates the prominence that environmental protection has had in Government policies, the commencement of a process of revision, suspension and cancellation of</w:t>
      </w:r>
      <w:r w:rsidR="00FF454A" w:rsidRPr="000E2CA8">
        <w:rPr>
          <w:lang w:val="en-GB"/>
        </w:rPr>
        <w:t xml:space="preserve"> environmental licenses, permits and concessions, and the non-granting of permits </w:t>
      </w:r>
      <w:r w:rsidR="000340E1" w:rsidRPr="000E2CA8">
        <w:rPr>
          <w:lang w:val="en-GB"/>
        </w:rPr>
        <w:t xml:space="preserve">in 2022 </w:t>
      </w:r>
      <w:r w:rsidR="00FF454A" w:rsidRPr="000E2CA8">
        <w:rPr>
          <w:lang w:val="en-GB"/>
        </w:rPr>
        <w:t>for extractive exploitation that threaten natural resources.</w:t>
      </w:r>
      <w:r w:rsidR="00CF0C91" w:rsidRPr="000E2CA8">
        <w:rPr>
          <w:lang w:val="en-GB"/>
        </w:rPr>
        <w:t xml:space="preserve"> The Office welcomes the openness of the Secretariat of Natural Resources and the Environment  to review the regulatory and administrative framework for environmental licensing with technical assistance by</w:t>
      </w:r>
      <w:r w:rsidR="00B710F2" w:rsidRPr="000E2CA8">
        <w:rPr>
          <w:lang w:val="en-GB"/>
        </w:rPr>
        <w:t xml:space="preserve"> OHCHR</w:t>
      </w:r>
      <w:r w:rsidR="00CF0C91" w:rsidRPr="000E2CA8">
        <w:rPr>
          <w:lang w:val="en-GB"/>
        </w:rPr>
        <w:t xml:space="preserve">. </w:t>
      </w:r>
      <w:r w:rsidR="0006657E" w:rsidRPr="000E2CA8">
        <w:rPr>
          <w:lang w:val="en-GB"/>
        </w:rPr>
        <w:t xml:space="preserve">Such </w:t>
      </w:r>
      <w:r w:rsidR="00CF0C91" w:rsidRPr="000E2CA8">
        <w:rPr>
          <w:lang w:val="en-GB"/>
        </w:rPr>
        <w:t>efforts must be accompanied by policies to reduce the adverse impacts of development projects on the environment, communities and territories of indigenous and Afro-Honduran peoples.</w:t>
      </w:r>
    </w:p>
    <w:p w14:paraId="2F91D6F9" w14:textId="01730B93" w:rsidR="00892860" w:rsidRPr="000E2CA8" w:rsidRDefault="00CD2550" w:rsidP="00892860">
      <w:pPr>
        <w:pStyle w:val="SingleTxtG"/>
        <w:rPr>
          <w:lang w:val="en-GB"/>
        </w:rPr>
      </w:pPr>
      <w:r w:rsidRPr="000E2CA8">
        <w:rPr>
          <w:lang w:val="en-GB"/>
        </w:rPr>
        <w:t>2</w:t>
      </w:r>
      <w:r w:rsidR="0084387B">
        <w:rPr>
          <w:lang w:val="en-GB"/>
        </w:rPr>
        <w:t>0</w:t>
      </w:r>
      <w:r w:rsidR="008B1EAD" w:rsidRPr="000E2CA8">
        <w:rPr>
          <w:lang w:val="en-GB"/>
        </w:rPr>
        <w:t>.</w:t>
      </w:r>
      <w:r w:rsidR="008B1EAD" w:rsidRPr="000E2CA8">
        <w:rPr>
          <w:lang w:val="en-GB"/>
        </w:rPr>
        <w:tab/>
      </w:r>
      <w:r w:rsidR="00892860" w:rsidRPr="000E2CA8">
        <w:rPr>
          <w:lang w:val="en-GB"/>
        </w:rPr>
        <w:t xml:space="preserve">In the Garifuna community of San Juan, Tela, the Office documented a dispute between community members asserting their ancestral territorial rights and third parties claiming property rights over the same territories, resulting from the failure of the State to recognize the integrity of said ancestral territory and the authorization by the Municipality for the sale of plots of land within this territory. The situation worsened in July when construction work began in the disputed territories, which also resulted in environmental damage to a lagoon within the protected area. The Office appreciates that the Government established a special commission to address the causes of this conflict and urges for the prompt implementation of the agreement signed </w:t>
      </w:r>
      <w:r w:rsidR="00630AAC" w:rsidRPr="000E2CA8">
        <w:rPr>
          <w:lang w:val="en-GB"/>
        </w:rPr>
        <w:t xml:space="preserve">between the </w:t>
      </w:r>
      <w:r w:rsidR="00892860" w:rsidRPr="000E2CA8">
        <w:rPr>
          <w:lang w:val="en-GB"/>
        </w:rPr>
        <w:t>authorities and community members represented by the Fraternal Black Organization of Honduras.</w:t>
      </w:r>
    </w:p>
    <w:p w14:paraId="5669589A" w14:textId="336269F8" w:rsidR="009874F5" w:rsidRPr="000E2CA8" w:rsidRDefault="00CD2550" w:rsidP="0084387B">
      <w:pPr>
        <w:pStyle w:val="SingleTxtG"/>
        <w:rPr>
          <w:lang w:val="en-GB"/>
        </w:rPr>
      </w:pPr>
      <w:r w:rsidRPr="000E2CA8">
        <w:rPr>
          <w:lang w:val="en-GB"/>
        </w:rPr>
        <w:t>2</w:t>
      </w:r>
      <w:r w:rsidR="0084387B">
        <w:rPr>
          <w:lang w:val="en-GB"/>
        </w:rPr>
        <w:t>1</w:t>
      </w:r>
      <w:r w:rsidR="008B1EAD" w:rsidRPr="000E2CA8">
        <w:rPr>
          <w:lang w:val="en-GB"/>
        </w:rPr>
        <w:t>.</w:t>
      </w:r>
      <w:r w:rsidR="008B1EAD" w:rsidRPr="000E2CA8">
        <w:rPr>
          <w:lang w:val="en-GB"/>
        </w:rPr>
        <w:tab/>
      </w:r>
      <w:r w:rsidR="009874F5" w:rsidRPr="000E2CA8">
        <w:rPr>
          <w:lang w:val="en-GB"/>
        </w:rPr>
        <w:t>The Office documented evictions as one of the main violations suffered by peasant, indigenous and Afro-Honduran peoples. The implementation of Decree 93-2021, which allows for preventive and immediate evictions without judicial control, aggravated land and territory conflicts. The State Attorney’s Directive issued in March that recognized the mandatory nature of judicial control and recommended avoiding preventive evictions represents an important development. OHCHR reiterates its concerns regarding the Decree and urges its prompt repeal</w:t>
      </w:r>
      <w:r w:rsidR="009874F5" w:rsidRPr="000E2CA8">
        <w:rPr>
          <w:rStyle w:val="FootnoteReference"/>
          <w:lang w:val="en-GB"/>
        </w:rPr>
        <w:footnoteReference w:id="10"/>
      </w:r>
      <w:r w:rsidR="009874F5" w:rsidRPr="000E2CA8">
        <w:rPr>
          <w:lang w:val="en-GB"/>
        </w:rPr>
        <w:t>.</w:t>
      </w:r>
    </w:p>
    <w:p w14:paraId="58EB309C" w14:textId="1661742D" w:rsidR="008A6FA0" w:rsidRPr="000E2CA8" w:rsidRDefault="00CD2550" w:rsidP="0084387B">
      <w:pPr>
        <w:pStyle w:val="SingleTxtG"/>
        <w:rPr>
          <w:lang w:val="en-GB"/>
        </w:rPr>
      </w:pPr>
      <w:r w:rsidRPr="000E2CA8">
        <w:rPr>
          <w:lang w:val="en-GB"/>
        </w:rPr>
        <w:t>2</w:t>
      </w:r>
      <w:r w:rsidR="0084387B">
        <w:rPr>
          <w:lang w:val="en-GB"/>
        </w:rPr>
        <w:t>2</w:t>
      </w:r>
      <w:r w:rsidR="008B1EAD" w:rsidRPr="000E2CA8">
        <w:rPr>
          <w:lang w:val="en-GB"/>
        </w:rPr>
        <w:t>.</w:t>
      </w:r>
      <w:r w:rsidR="008B1EAD" w:rsidRPr="000E2CA8">
        <w:rPr>
          <w:lang w:val="en-GB"/>
        </w:rPr>
        <w:tab/>
      </w:r>
      <w:r w:rsidR="0036098E" w:rsidRPr="000E2CA8">
        <w:rPr>
          <w:lang w:val="en-GB"/>
        </w:rPr>
        <w:t xml:space="preserve">The Office condemns the criminalization of six members of the Garifuna community of Punta Gorda that were charged with aggravated usurpation during a forced </w:t>
      </w:r>
      <w:r w:rsidR="0036098E" w:rsidRPr="000E2CA8">
        <w:rPr>
          <w:lang w:val="en-GB"/>
        </w:rPr>
        <w:lastRenderedPageBreak/>
        <w:t>eviction in November</w:t>
      </w:r>
      <w:r w:rsidR="00C726A4">
        <w:rPr>
          <w:lang w:val="en-GB"/>
        </w:rPr>
        <w:t>,</w:t>
      </w:r>
      <w:r w:rsidR="0036098E" w:rsidRPr="000E2CA8">
        <w:rPr>
          <w:lang w:val="en-GB"/>
        </w:rPr>
        <w:t xml:space="preserve"> implemented </w:t>
      </w:r>
      <w:r w:rsidR="009E5366" w:rsidRPr="000E2CA8">
        <w:rPr>
          <w:lang w:val="en-GB"/>
        </w:rPr>
        <w:t xml:space="preserve">in </w:t>
      </w:r>
      <w:r w:rsidR="0036098E" w:rsidRPr="000E2CA8">
        <w:rPr>
          <w:lang w:val="en-GB"/>
        </w:rPr>
        <w:t>the context of the community demanding recognition of their ancestral rights.  The Office welcomes the decision of the Roatán court to fully dismiss the case</w:t>
      </w:r>
      <w:r w:rsidR="00F72C10" w:rsidRPr="000E2CA8">
        <w:rPr>
          <w:lang w:val="en-GB"/>
        </w:rPr>
        <w:t xml:space="preserve">, </w:t>
      </w:r>
      <w:r w:rsidR="0036098E" w:rsidRPr="000E2CA8">
        <w:rPr>
          <w:lang w:val="en-GB"/>
        </w:rPr>
        <w:t>recogniz</w:t>
      </w:r>
      <w:r w:rsidR="00F72C10" w:rsidRPr="000E2CA8">
        <w:rPr>
          <w:lang w:val="en-GB"/>
        </w:rPr>
        <w:t xml:space="preserve">ing </w:t>
      </w:r>
      <w:r w:rsidR="0036098E" w:rsidRPr="000E2CA8">
        <w:rPr>
          <w:lang w:val="en-GB"/>
        </w:rPr>
        <w:t>the special relationship of the Garífuna people with their land and territory. OHCHR also followed up on the case of the Lenca community of Tierras del Padre, where a new eviction order was issued</w:t>
      </w:r>
      <w:r w:rsidR="00F337DE" w:rsidRPr="000E2CA8">
        <w:rPr>
          <w:lang w:val="en-GB"/>
        </w:rPr>
        <w:t xml:space="preserve"> on 23 November</w:t>
      </w:r>
      <w:r w:rsidR="0036098E" w:rsidRPr="000E2CA8">
        <w:rPr>
          <w:lang w:val="en-GB"/>
        </w:rPr>
        <w:t>, and later suspended. This order is in addition to the three eviction orders issued in previous years against this community.</w:t>
      </w:r>
    </w:p>
    <w:p w14:paraId="4646E168" w14:textId="78295928" w:rsidR="00F337DE" w:rsidRPr="000E2CA8" w:rsidRDefault="00CD2550" w:rsidP="0084387B">
      <w:pPr>
        <w:pStyle w:val="SingleTxtG"/>
        <w:rPr>
          <w:lang w:val="en-GB"/>
        </w:rPr>
      </w:pPr>
      <w:r w:rsidRPr="000E2CA8">
        <w:rPr>
          <w:lang w:val="en-GB"/>
        </w:rPr>
        <w:t>2</w:t>
      </w:r>
      <w:r w:rsidR="0084387B">
        <w:rPr>
          <w:lang w:val="en-GB"/>
        </w:rPr>
        <w:t>3</w:t>
      </w:r>
      <w:r w:rsidR="008B1EAD" w:rsidRPr="000E2CA8">
        <w:rPr>
          <w:lang w:val="en-GB"/>
        </w:rPr>
        <w:t>.</w:t>
      </w:r>
      <w:r w:rsidR="008B1EAD" w:rsidRPr="000E2CA8">
        <w:rPr>
          <w:lang w:val="en-GB"/>
        </w:rPr>
        <w:tab/>
      </w:r>
      <w:r w:rsidR="003E11AE" w:rsidRPr="000E2CA8">
        <w:rPr>
          <w:lang w:val="en-GB"/>
        </w:rPr>
        <w:t>The Office stresses the need for the State to adopt measures to implement the guarantees of non-repetition that the Inter-American Court of Human Rights established in its sentences regarding the Afro-Honduran communities of Triunfo de la Cruz and Punta Piedra, particularly the right to communal property and ownership rights of the communities, including through the delimitation, demarcation and titling of their lands in accordance with customary law and their values, uses and customs</w:t>
      </w:r>
      <w:r w:rsidR="003E11AE" w:rsidRPr="000E2CA8">
        <w:rPr>
          <w:rStyle w:val="FootnoteReference"/>
          <w:lang w:val="en-GB"/>
        </w:rPr>
        <w:footnoteReference w:id="11"/>
      </w:r>
      <w:r w:rsidR="003E11AE" w:rsidRPr="000E2CA8">
        <w:rPr>
          <w:lang w:val="en-GB"/>
        </w:rPr>
        <w:t>. The adoption and implementation of these measures must be carried out with the effective participation of the affected communities and the organizations that represent them.</w:t>
      </w:r>
    </w:p>
    <w:p w14:paraId="3924E1AE" w14:textId="7F45AE1A" w:rsidR="004B27B4" w:rsidRPr="000E2CA8" w:rsidRDefault="00CD2550" w:rsidP="004B27B4">
      <w:pPr>
        <w:pStyle w:val="SingleTxtG"/>
        <w:rPr>
          <w:lang w:val="en-GB"/>
        </w:rPr>
      </w:pPr>
      <w:r w:rsidRPr="000E2CA8">
        <w:rPr>
          <w:lang w:val="en-GB"/>
        </w:rPr>
        <w:t>2</w:t>
      </w:r>
      <w:r w:rsidR="0084387B">
        <w:rPr>
          <w:lang w:val="en-GB"/>
        </w:rPr>
        <w:t>4</w:t>
      </w:r>
      <w:r w:rsidR="008B1EAD" w:rsidRPr="000E2CA8">
        <w:rPr>
          <w:lang w:val="en-GB"/>
        </w:rPr>
        <w:t>.</w:t>
      </w:r>
      <w:r w:rsidR="008B1EAD" w:rsidRPr="000E2CA8">
        <w:rPr>
          <w:lang w:val="en-GB"/>
        </w:rPr>
        <w:tab/>
      </w:r>
      <w:r w:rsidR="004B27B4" w:rsidRPr="000E2CA8">
        <w:rPr>
          <w:lang w:val="en-GB"/>
        </w:rPr>
        <w:t>With regard</w:t>
      </w:r>
      <w:r w:rsidR="00832D55" w:rsidRPr="000E2CA8">
        <w:rPr>
          <w:lang w:val="en-GB"/>
        </w:rPr>
        <w:t>s</w:t>
      </w:r>
      <w:r w:rsidR="004B27B4" w:rsidRPr="000E2CA8">
        <w:rPr>
          <w:lang w:val="en-GB"/>
        </w:rPr>
        <w:t xml:space="preserve"> to agrarian conflicts, OHCHR welcomes the signing of the agreements between the Government and peasant groups in Bajo Agu</w:t>
      </w:r>
      <w:r w:rsidR="00D959CC">
        <w:rPr>
          <w:lang w:val="en-GB"/>
        </w:rPr>
        <w:t>á</w:t>
      </w:r>
      <w:r w:rsidR="004B27B4" w:rsidRPr="000E2CA8">
        <w:rPr>
          <w:lang w:val="en-GB"/>
        </w:rPr>
        <w:t>n on 22 February. These agreements represent an important first step towards addressing the historic conflict and they have already resulted in a decrease in forced evictions in the area. The implementation of the Tripartite Commission, key to ensuring a human rights approach in addressing the conflict, including for the investigation and prosecution of human rights violations and the adoption of reparation and non-repetition measures, remains pending.</w:t>
      </w:r>
      <w:r w:rsidR="004B27B4" w:rsidRPr="000E2CA8">
        <w:rPr>
          <w:rFonts w:eastAsia="Avenir"/>
          <w:lang w:val="en-GB" w:eastAsia="en-GB"/>
        </w:rPr>
        <w:tab/>
      </w:r>
    </w:p>
    <w:p w14:paraId="7D66C0CF" w14:textId="5996C105" w:rsidR="00BB15B2" w:rsidRPr="000E2CA8" w:rsidRDefault="00B24200" w:rsidP="0084387B">
      <w:pPr>
        <w:pStyle w:val="SingleTxtG"/>
        <w:rPr>
          <w:rFonts w:eastAsia="Avenir"/>
          <w:lang w:val="en-GB" w:eastAsia="en-GB"/>
        </w:rPr>
      </w:pPr>
      <w:r w:rsidRPr="000E2CA8">
        <w:rPr>
          <w:lang w:val="en-GB"/>
        </w:rPr>
        <w:t>2</w:t>
      </w:r>
      <w:r w:rsidR="0084387B">
        <w:rPr>
          <w:lang w:val="en-GB"/>
        </w:rPr>
        <w:t>5</w:t>
      </w:r>
      <w:r w:rsidRPr="000E2CA8">
        <w:rPr>
          <w:lang w:val="en-GB"/>
        </w:rPr>
        <w:t xml:space="preserve">. </w:t>
      </w:r>
      <w:r w:rsidR="00CA747B" w:rsidRPr="000E2CA8">
        <w:rPr>
          <w:rFonts w:eastAsia="Avenir"/>
          <w:lang w:val="en-GB" w:eastAsia="en-GB"/>
        </w:rPr>
        <w:t xml:space="preserve">OHCHR </w:t>
      </w:r>
      <w:r w:rsidR="00700D1F" w:rsidRPr="000E2CA8">
        <w:rPr>
          <w:rFonts w:eastAsia="Avenir"/>
          <w:lang w:val="en-GB" w:eastAsia="en-GB"/>
        </w:rPr>
        <w:t xml:space="preserve">acknowledges </w:t>
      </w:r>
      <w:r w:rsidR="00CA747B" w:rsidRPr="000E2CA8">
        <w:rPr>
          <w:rFonts w:eastAsia="Avenir"/>
          <w:lang w:val="en-GB" w:eastAsia="en-GB"/>
        </w:rPr>
        <w:t>the establishment</w:t>
      </w:r>
      <w:r w:rsidR="00E41270" w:rsidRPr="000E2CA8">
        <w:rPr>
          <w:rFonts w:eastAsia="Avenir"/>
          <w:lang w:val="en-GB" w:eastAsia="en-GB"/>
        </w:rPr>
        <w:t>,</w:t>
      </w:r>
      <w:r w:rsidR="00CA747B" w:rsidRPr="000E2CA8">
        <w:rPr>
          <w:rFonts w:eastAsia="Avenir"/>
          <w:lang w:val="en-GB" w:eastAsia="en-GB"/>
        </w:rPr>
        <w:t xml:space="preserve"> </w:t>
      </w:r>
      <w:r w:rsidR="00263D2A" w:rsidRPr="000E2CA8">
        <w:rPr>
          <w:rFonts w:eastAsia="Avenir"/>
          <w:lang w:val="en-GB" w:eastAsia="en-GB"/>
        </w:rPr>
        <w:t>by the Secretariat for Human Rights</w:t>
      </w:r>
      <w:r w:rsidR="00C26BAF" w:rsidRPr="000E2CA8">
        <w:rPr>
          <w:rFonts w:eastAsia="Avenir"/>
          <w:lang w:val="en-GB" w:eastAsia="en-GB"/>
        </w:rPr>
        <w:t xml:space="preserve"> with technical </w:t>
      </w:r>
      <w:r w:rsidR="005400EC" w:rsidRPr="000E2CA8">
        <w:rPr>
          <w:rFonts w:eastAsia="Avenir"/>
          <w:lang w:val="en-GB" w:eastAsia="en-GB"/>
        </w:rPr>
        <w:t>support by the Office</w:t>
      </w:r>
      <w:r w:rsidR="00263D2A" w:rsidRPr="000E2CA8">
        <w:rPr>
          <w:rFonts w:eastAsia="Avenir"/>
          <w:lang w:val="en-GB" w:eastAsia="en-GB"/>
        </w:rPr>
        <w:t xml:space="preserve">, </w:t>
      </w:r>
      <w:r w:rsidR="00CA747B" w:rsidRPr="000E2CA8">
        <w:rPr>
          <w:rFonts w:eastAsia="Avenir"/>
          <w:lang w:val="en-GB" w:eastAsia="en-GB"/>
        </w:rPr>
        <w:t>of the Inter</w:t>
      </w:r>
      <w:r w:rsidR="00263D2A" w:rsidRPr="000E2CA8">
        <w:rPr>
          <w:rFonts w:eastAsia="Avenir"/>
          <w:lang w:val="en-GB" w:eastAsia="en-GB"/>
        </w:rPr>
        <w:noBreakHyphen/>
      </w:r>
      <w:r w:rsidR="00CA747B" w:rsidRPr="000E2CA8">
        <w:rPr>
          <w:rFonts w:eastAsia="Avenir"/>
          <w:lang w:val="en-GB" w:eastAsia="en-GB"/>
        </w:rPr>
        <w:t>Institutional Round Table to address social conflicts</w:t>
      </w:r>
      <w:r w:rsidR="005400EC" w:rsidRPr="000E2CA8">
        <w:rPr>
          <w:rFonts w:eastAsia="Avenir"/>
          <w:lang w:val="en-GB" w:eastAsia="en-GB"/>
        </w:rPr>
        <w:t xml:space="preserve">, </w:t>
      </w:r>
      <w:r w:rsidR="00CA747B" w:rsidRPr="000E2CA8">
        <w:rPr>
          <w:rFonts w:eastAsia="Avenir"/>
          <w:lang w:val="en-GB" w:eastAsia="en-GB"/>
        </w:rPr>
        <w:t>including conflicts related to land and territory</w:t>
      </w:r>
      <w:r w:rsidR="005400EC" w:rsidRPr="000E2CA8">
        <w:rPr>
          <w:rFonts w:eastAsia="Avenir"/>
          <w:lang w:val="en-GB" w:eastAsia="en-GB"/>
        </w:rPr>
        <w:t xml:space="preserve">, </w:t>
      </w:r>
      <w:r w:rsidR="00845C17" w:rsidRPr="000E2CA8">
        <w:rPr>
          <w:rFonts w:eastAsia="Avenir"/>
          <w:lang w:val="en-GB" w:eastAsia="en-GB"/>
        </w:rPr>
        <w:t>with a human rights-based approach</w:t>
      </w:r>
      <w:r w:rsidR="00CA747B" w:rsidRPr="000E2CA8">
        <w:rPr>
          <w:rFonts w:eastAsia="Avenir"/>
          <w:lang w:val="en-GB" w:eastAsia="en-GB"/>
        </w:rPr>
        <w:t xml:space="preserve">. </w:t>
      </w:r>
      <w:r w:rsidR="00C87F76" w:rsidRPr="000E2CA8">
        <w:rPr>
          <w:rFonts w:eastAsia="Avenir"/>
          <w:lang w:val="en-GB" w:eastAsia="en-GB"/>
        </w:rPr>
        <w:t xml:space="preserve">Such </w:t>
      </w:r>
      <w:r w:rsidR="00CA747B" w:rsidRPr="000E2CA8">
        <w:rPr>
          <w:rFonts w:eastAsia="Avenir"/>
          <w:lang w:val="en-GB" w:eastAsia="en-GB"/>
        </w:rPr>
        <w:t xml:space="preserve">efforts </w:t>
      </w:r>
      <w:r w:rsidR="00B87409" w:rsidRPr="000E2CA8">
        <w:rPr>
          <w:rFonts w:eastAsia="Avenir"/>
          <w:lang w:val="en-GB" w:eastAsia="en-GB"/>
        </w:rPr>
        <w:t xml:space="preserve">should </w:t>
      </w:r>
      <w:r w:rsidR="00CA747B" w:rsidRPr="000E2CA8">
        <w:rPr>
          <w:rFonts w:eastAsia="Avenir"/>
          <w:lang w:val="en-GB" w:eastAsia="en-GB"/>
        </w:rPr>
        <w:t xml:space="preserve">be </w:t>
      </w:r>
      <w:r w:rsidR="00335E80" w:rsidRPr="000E2CA8">
        <w:rPr>
          <w:rFonts w:eastAsia="Avenir"/>
          <w:lang w:val="en-GB" w:eastAsia="en-GB"/>
        </w:rPr>
        <w:t xml:space="preserve">complemented </w:t>
      </w:r>
      <w:r w:rsidR="00CA747B" w:rsidRPr="000E2CA8">
        <w:rPr>
          <w:rFonts w:eastAsia="Avenir"/>
          <w:lang w:val="en-GB" w:eastAsia="en-GB"/>
        </w:rPr>
        <w:t>by policies to reduce the adverse impact of development projects on the environment, communities and the territories of indigenous and Afro-Honduran peoples.</w:t>
      </w:r>
    </w:p>
    <w:p w14:paraId="58BF33BC" w14:textId="3D82A154" w:rsidR="00B87409" w:rsidRPr="000E2CA8" w:rsidRDefault="009C640C" w:rsidP="00B807FF">
      <w:pPr>
        <w:pStyle w:val="SingleTxtG"/>
        <w:rPr>
          <w:rFonts w:eastAsia="Avenir"/>
          <w:lang w:val="en-GB"/>
        </w:rPr>
      </w:pPr>
      <w:r w:rsidRPr="000E2CA8">
        <w:rPr>
          <w:rFonts w:eastAsia="Avenir"/>
          <w:lang w:val="en-GB" w:eastAsia="en-GB"/>
        </w:rPr>
        <w:tab/>
      </w:r>
      <w:r w:rsidR="00CD2550" w:rsidRPr="000E2CA8">
        <w:rPr>
          <w:rFonts w:eastAsia="Avenir"/>
          <w:lang w:val="en-GB"/>
        </w:rPr>
        <w:t>2</w:t>
      </w:r>
      <w:r w:rsidR="0084387B">
        <w:rPr>
          <w:rFonts w:eastAsia="Avenir"/>
          <w:lang w:val="en-GB"/>
        </w:rPr>
        <w:t>6</w:t>
      </w:r>
      <w:r w:rsidR="008B1EAD" w:rsidRPr="000E2CA8">
        <w:rPr>
          <w:rFonts w:eastAsia="Avenir"/>
          <w:lang w:val="en-GB"/>
        </w:rPr>
        <w:t>.</w:t>
      </w:r>
      <w:r w:rsidR="008B1EAD" w:rsidRPr="000E2CA8">
        <w:rPr>
          <w:rFonts w:eastAsia="Avenir"/>
          <w:lang w:val="en-GB"/>
        </w:rPr>
        <w:tab/>
      </w:r>
      <w:r w:rsidR="000018F7" w:rsidRPr="000E2CA8">
        <w:rPr>
          <w:lang w:val="en-GB"/>
        </w:rPr>
        <w:t xml:space="preserve">Regarding the environmental and human rights impact of extractive projects, the Office followed up on the Guapinol, Azacualpa and Locomapa cases, among others, </w:t>
      </w:r>
      <w:r w:rsidR="00E022DB" w:rsidRPr="000E2CA8">
        <w:rPr>
          <w:lang w:val="en-GB"/>
        </w:rPr>
        <w:t xml:space="preserve">which highlight the importance of </w:t>
      </w:r>
      <w:r w:rsidR="000018F7" w:rsidRPr="000E2CA8">
        <w:rPr>
          <w:lang w:val="en-GB"/>
        </w:rPr>
        <w:t xml:space="preserve">the obligation of private companies to respect human rights and to prevent their </w:t>
      </w:r>
      <w:r w:rsidR="000018F7" w:rsidRPr="000E2CA8">
        <w:rPr>
          <w:lang w:val="en-GB"/>
        </w:rPr>
        <w:lastRenderedPageBreak/>
        <w:t xml:space="preserve">activities from causing or contributing to negative consequences </w:t>
      </w:r>
      <w:r w:rsidR="004D28D1" w:rsidRPr="000E2CA8">
        <w:rPr>
          <w:lang w:val="en-GB"/>
        </w:rPr>
        <w:t>o</w:t>
      </w:r>
      <w:r w:rsidR="000018F7" w:rsidRPr="000E2CA8">
        <w:rPr>
          <w:lang w:val="en-GB"/>
        </w:rPr>
        <w:t>n the communities where they operate.</w:t>
      </w:r>
    </w:p>
    <w:p w14:paraId="5EB1C8F3" w14:textId="07C5C383" w:rsidR="00915477" w:rsidRPr="000E2CA8" w:rsidRDefault="00CD2550" w:rsidP="0084387B">
      <w:pPr>
        <w:pStyle w:val="SingleTxtG"/>
        <w:rPr>
          <w:rFonts w:eastAsia="Avenir"/>
          <w:lang w:val="en-GB"/>
        </w:rPr>
      </w:pPr>
      <w:r w:rsidRPr="000E2CA8">
        <w:rPr>
          <w:rFonts w:eastAsia="Avenir"/>
          <w:lang w:val="en-GB"/>
        </w:rPr>
        <w:t>2</w:t>
      </w:r>
      <w:r w:rsidR="0084387B">
        <w:rPr>
          <w:rFonts w:eastAsia="Avenir"/>
          <w:lang w:val="en-GB"/>
        </w:rPr>
        <w:t>7</w:t>
      </w:r>
      <w:r w:rsidR="008B1EAD" w:rsidRPr="000E2CA8">
        <w:rPr>
          <w:rFonts w:eastAsia="Avenir"/>
          <w:lang w:val="en-GB"/>
        </w:rPr>
        <w:t>.</w:t>
      </w:r>
      <w:r w:rsidR="008B1EAD" w:rsidRPr="000E2CA8">
        <w:rPr>
          <w:rFonts w:eastAsia="Avenir"/>
          <w:lang w:val="en-GB"/>
        </w:rPr>
        <w:tab/>
      </w:r>
      <w:r w:rsidR="00915477" w:rsidRPr="000E2CA8">
        <w:rPr>
          <w:rFonts w:eastAsia="Avenir"/>
          <w:lang w:val="en-GB"/>
        </w:rPr>
        <w:t>The Office documented the environmental and social impacts of the mining project in the Carlos Escaleras National Park, authorized in 2014 following the reduction of the core zone of the park. The project has impacted the right to a healthy environment of surrounding communities, including their access to drinking water. Inspections conducted by the Secretariate of Natural Resources and the Environment concluded that the project does not comply with environmental control measures. In addition, in 2021 the Honduran Institute of Geology and Mines (INHGEOMIN) concluded that one of the mining operations was carried out outside of the authorized area and order</w:t>
      </w:r>
      <w:r w:rsidR="008A1982" w:rsidRPr="000E2CA8">
        <w:rPr>
          <w:rFonts w:eastAsia="Avenir"/>
          <w:lang w:val="en-GB"/>
        </w:rPr>
        <w:t xml:space="preserve">ed </w:t>
      </w:r>
      <w:r w:rsidR="00915477" w:rsidRPr="000E2CA8">
        <w:rPr>
          <w:rFonts w:eastAsia="Avenir"/>
          <w:lang w:val="en-GB"/>
        </w:rPr>
        <w:t>a halt of said operations.</w:t>
      </w:r>
    </w:p>
    <w:p w14:paraId="1D7CF3B5" w14:textId="473D89A9" w:rsidR="001D4793" w:rsidRPr="000E2CA8" w:rsidRDefault="00CD2550" w:rsidP="00D959CC">
      <w:pPr>
        <w:pStyle w:val="SingleTxtG"/>
        <w:rPr>
          <w:rFonts w:eastAsia="Avenir"/>
          <w:lang w:val="en-GB"/>
        </w:rPr>
      </w:pPr>
      <w:r w:rsidRPr="000E2CA8">
        <w:rPr>
          <w:rFonts w:eastAsia="Avenir"/>
          <w:lang w:val="en-GB"/>
        </w:rPr>
        <w:t>2</w:t>
      </w:r>
      <w:r w:rsidR="0084387B">
        <w:rPr>
          <w:rFonts w:eastAsia="Avenir"/>
          <w:lang w:val="en-GB"/>
        </w:rPr>
        <w:t>8</w:t>
      </w:r>
      <w:r w:rsidR="008B1EAD" w:rsidRPr="000E2CA8">
        <w:rPr>
          <w:rFonts w:eastAsia="Avenir"/>
          <w:lang w:val="en-GB"/>
        </w:rPr>
        <w:t>.</w:t>
      </w:r>
      <w:r w:rsidR="008B1EAD" w:rsidRPr="000E2CA8">
        <w:rPr>
          <w:rFonts w:eastAsia="Avenir"/>
          <w:lang w:val="en-GB"/>
        </w:rPr>
        <w:tab/>
      </w:r>
      <w:r w:rsidR="001D4793" w:rsidRPr="000E2CA8">
        <w:rPr>
          <w:rFonts w:eastAsia="Avenir"/>
          <w:lang w:val="en-GB"/>
        </w:rPr>
        <w:t xml:space="preserve">OHCHR documented the continued mining activities in the cemetery of the Azacualpa community in Copán, in contempt of court sentences that had ordered to stop the associated exhumation in the cemetery. There is an ongoing habeas corpus process against the mining company and the </w:t>
      </w:r>
      <w:r w:rsidR="009A64AA" w:rsidRPr="000E2CA8">
        <w:rPr>
          <w:lang w:val="en-GB"/>
        </w:rPr>
        <w:t>Secretariat</w:t>
      </w:r>
      <w:r w:rsidR="009A64AA" w:rsidRPr="000E2CA8">
        <w:rPr>
          <w:rFonts w:eastAsia="Avenir"/>
          <w:lang w:val="en-GB"/>
        </w:rPr>
        <w:t xml:space="preserve"> </w:t>
      </w:r>
      <w:r w:rsidR="001D4793" w:rsidRPr="000E2CA8">
        <w:rPr>
          <w:rFonts w:eastAsia="Avenir"/>
          <w:lang w:val="en-GB"/>
        </w:rPr>
        <w:t xml:space="preserve">of Health to disclose the location of the exhumed bodies. Since January, mining activities have expanded to new areas outside the cemetery. These activities are implemented under a license issued </w:t>
      </w:r>
      <w:r w:rsidR="008D18F6" w:rsidRPr="000E2CA8">
        <w:rPr>
          <w:rFonts w:eastAsia="Avenir"/>
          <w:lang w:val="en-GB"/>
        </w:rPr>
        <w:t xml:space="preserve">through </w:t>
      </w:r>
      <w:r w:rsidR="001D4793" w:rsidRPr="000E2CA8">
        <w:rPr>
          <w:rFonts w:eastAsia="Avenir"/>
          <w:lang w:val="en-GB"/>
        </w:rPr>
        <w:t>an expedited process</w:t>
      </w:r>
      <w:r w:rsidR="008D18F6" w:rsidRPr="000E2CA8">
        <w:rPr>
          <w:rFonts w:eastAsia="Avenir"/>
          <w:lang w:val="en-GB"/>
        </w:rPr>
        <w:t>,</w:t>
      </w:r>
      <w:r w:rsidR="001D4793" w:rsidRPr="000E2CA8">
        <w:rPr>
          <w:rFonts w:eastAsia="Avenir"/>
          <w:lang w:val="en-GB"/>
        </w:rPr>
        <w:t xml:space="preserve"> without the required inspections or assessments by INHGEOMIN. The process under which the licence was issued is currently </w:t>
      </w:r>
      <w:r w:rsidR="00EA3921">
        <w:rPr>
          <w:rFonts w:eastAsia="Avenir"/>
          <w:lang w:val="en-GB"/>
        </w:rPr>
        <w:t>under review</w:t>
      </w:r>
      <w:r w:rsidR="001D4793" w:rsidRPr="000E2CA8">
        <w:rPr>
          <w:rFonts w:eastAsia="Avenir"/>
          <w:lang w:val="en-GB"/>
        </w:rPr>
        <w:t xml:space="preserve"> by the new authorities.</w:t>
      </w:r>
      <w:r w:rsidR="00011BFD" w:rsidRPr="000E2CA8">
        <w:rPr>
          <w:rFonts w:eastAsia="Avenir"/>
          <w:lang w:val="en-GB"/>
        </w:rPr>
        <w:t xml:space="preserve"> </w:t>
      </w:r>
    </w:p>
    <w:p w14:paraId="72095723" w14:textId="2515EFEC" w:rsidR="008D18F6" w:rsidRPr="000E2CA8" w:rsidRDefault="0084387B" w:rsidP="0084387B">
      <w:pPr>
        <w:pStyle w:val="SingleTxtG"/>
        <w:rPr>
          <w:lang w:val="en-GB"/>
        </w:rPr>
      </w:pPr>
      <w:r>
        <w:rPr>
          <w:rFonts w:eastAsia="Avenir"/>
          <w:lang w:val="en-GB"/>
        </w:rPr>
        <w:t>29</w:t>
      </w:r>
      <w:r w:rsidR="008B1EAD" w:rsidRPr="000E2CA8">
        <w:rPr>
          <w:rFonts w:eastAsia="Avenir"/>
          <w:lang w:val="en-GB"/>
        </w:rPr>
        <w:t>.</w:t>
      </w:r>
      <w:r w:rsidR="008B1EAD" w:rsidRPr="000E2CA8">
        <w:rPr>
          <w:rFonts w:eastAsia="Avenir"/>
          <w:lang w:val="en-GB"/>
        </w:rPr>
        <w:tab/>
      </w:r>
      <w:r w:rsidR="00912FDE" w:rsidRPr="000E2CA8">
        <w:rPr>
          <w:rFonts w:eastAsia="Avenir"/>
          <w:lang w:val="en-GB"/>
        </w:rPr>
        <w:t>The Office documented the absence of mining licenses for operations in the Locomapa community, resulting in ongoing operations without State authorization and supervision</w:t>
      </w:r>
      <w:r w:rsidR="00912FDE" w:rsidRPr="000E2CA8">
        <w:rPr>
          <w:rStyle w:val="FootnoteReference"/>
          <w:rFonts w:eastAsia="Calibri"/>
          <w:lang w:val="en-GB"/>
        </w:rPr>
        <w:footnoteReference w:id="12"/>
      </w:r>
      <w:r w:rsidR="00912FDE" w:rsidRPr="000E2CA8">
        <w:rPr>
          <w:rFonts w:eastAsia="Calibri"/>
          <w:lang w:val="en-GB"/>
        </w:rPr>
        <w:t xml:space="preserve">. </w:t>
      </w:r>
      <w:r w:rsidR="00912FDE" w:rsidRPr="000E2CA8">
        <w:rPr>
          <w:rFonts w:eastAsia="Avenir"/>
          <w:lang w:val="en-GB"/>
        </w:rPr>
        <w:t>This situation has been aggravated by the lack of investigation of complaints of threats and intimidation against community members, as well as by the illegal exploitation of forest and mining resources enabled by acts that may constitute criminal association, money laundering and illegal possession of weapons.</w:t>
      </w:r>
    </w:p>
    <w:p w14:paraId="264DAEEE" w14:textId="2DC281BF" w:rsidR="008D18F6" w:rsidRPr="000E2CA8" w:rsidRDefault="00CD2550" w:rsidP="00B807FF">
      <w:pPr>
        <w:pStyle w:val="SingleTxtG"/>
        <w:rPr>
          <w:b/>
          <w:lang w:val="en-GB"/>
        </w:rPr>
      </w:pPr>
      <w:r w:rsidRPr="000E2CA8">
        <w:rPr>
          <w:lang w:val="en-GB"/>
        </w:rPr>
        <w:t>3</w:t>
      </w:r>
      <w:r w:rsidR="0084387B">
        <w:rPr>
          <w:lang w:val="en-GB"/>
        </w:rPr>
        <w:t>0</w:t>
      </w:r>
      <w:r w:rsidR="008B1EAD" w:rsidRPr="000E2CA8">
        <w:rPr>
          <w:lang w:val="en-GB"/>
        </w:rPr>
        <w:t>.</w:t>
      </w:r>
      <w:r w:rsidR="008B1EAD" w:rsidRPr="000E2CA8">
        <w:rPr>
          <w:lang w:val="en-GB"/>
        </w:rPr>
        <w:tab/>
      </w:r>
      <w:r w:rsidR="00ED3710" w:rsidRPr="000E2CA8">
        <w:rPr>
          <w:lang w:val="en-GB"/>
        </w:rPr>
        <w:t xml:space="preserve">OHCHR documented the dire consequences of the contamination of the Motagua River on the ecosystem and its negative impact on food security and water availability for the Barra del Río Motagua communities and the Masca Garífuna community. Resolving this contamination requires cooperation between Guatemala and Honduras, considering that </w:t>
      </w:r>
      <w:r w:rsidR="005C61EB" w:rsidRPr="000E2CA8">
        <w:rPr>
          <w:lang w:val="en-GB"/>
        </w:rPr>
        <w:t xml:space="preserve">a large part </w:t>
      </w:r>
      <w:r w:rsidR="00ED3710" w:rsidRPr="000E2CA8">
        <w:rPr>
          <w:lang w:val="en-GB"/>
        </w:rPr>
        <w:t>of the waste originates from at least 55 populated areas in Guatemala, flowing onwards into the Omoa Bay in Honduras.</w:t>
      </w:r>
    </w:p>
    <w:p w14:paraId="77A889BE" w14:textId="5F858084" w:rsidR="005C61EB" w:rsidRPr="000E2CA8" w:rsidRDefault="00CD2550" w:rsidP="00B807FF">
      <w:pPr>
        <w:pStyle w:val="SingleTxtG"/>
        <w:rPr>
          <w:rFonts w:eastAsia="Avenir"/>
          <w:lang w:val="en-GB"/>
        </w:rPr>
      </w:pPr>
      <w:r w:rsidRPr="000E2CA8">
        <w:rPr>
          <w:rFonts w:eastAsia="Avenir"/>
          <w:lang w:val="en-GB"/>
        </w:rPr>
        <w:t>3</w:t>
      </w:r>
      <w:r w:rsidR="0084387B">
        <w:rPr>
          <w:rFonts w:eastAsia="Avenir"/>
          <w:lang w:val="en-GB"/>
        </w:rPr>
        <w:t>1</w:t>
      </w:r>
      <w:r w:rsidR="00EB74B7" w:rsidRPr="000E2CA8">
        <w:rPr>
          <w:rFonts w:eastAsia="Avenir"/>
          <w:lang w:val="en-GB"/>
        </w:rPr>
        <w:t xml:space="preserve">.       </w:t>
      </w:r>
      <w:r w:rsidR="005E34EC" w:rsidRPr="000E2CA8">
        <w:rPr>
          <w:lang w:val="en-GB"/>
        </w:rPr>
        <w:t>The Office recognizes the efforts of the State of Honduras during the 27</w:t>
      </w:r>
      <w:r w:rsidR="005E34EC" w:rsidRPr="000E2CA8">
        <w:rPr>
          <w:vertAlign w:val="superscript"/>
          <w:lang w:val="en-GB"/>
        </w:rPr>
        <w:t>th</w:t>
      </w:r>
      <w:r w:rsidR="005E34EC" w:rsidRPr="000E2CA8">
        <w:rPr>
          <w:lang w:val="en-GB"/>
        </w:rPr>
        <w:t xml:space="preserve"> United Nations Climate Change </w:t>
      </w:r>
      <w:r w:rsidR="005E34EC" w:rsidRPr="000E2CA8">
        <w:rPr>
          <w:lang w:val="en-GB"/>
        </w:rPr>
        <w:lastRenderedPageBreak/>
        <w:t>Conference towards the establishment of a global Loss and Damage Fund.</w:t>
      </w:r>
      <w:r w:rsidR="005E34EC" w:rsidRPr="000E2CA8">
        <w:rPr>
          <w:rFonts w:eastAsia="Avenir"/>
          <w:lang w:val="en-GB"/>
        </w:rPr>
        <w:tab/>
      </w:r>
    </w:p>
    <w:p w14:paraId="36682D00" w14:textId="2D86AF2E" w:rsidR="009C640C" w:rsidRPr="000E2CA8" w:rsidRDefault="009E424A" w:rsidP="009E424A">
      <w:pPr>
        <w:pStyle w:val="HChG"/>
        <w:rPr>
          <w:lang w:val="en-GB"/>
        </w:rPr>
      </w:pPr>
      <w:r w:rsidRPr="000E2CA8">
        <w:rPr>
          <w:lang w:val="en-GB"/>
        </w:rPr>
        <w:t>IV.</w:t>
      </w:r>
      <w:r w:rsidRPr="000E2CA8">
        <w:rPr>
          <w:lang w:val="en-GB"/>
        </w:rPr>
        <w:tab/>
      </w:r>
      <w:r w:rsidR="002A02A5" w:rsidRPr="000E2CA8">
        <w:rPr>
          <w:lang w:val="en-GB"/>
        </w:rPr>
        <w:t xml:space="preserve"> </w:t>
      </w:r>
      <w:r w:rsidR="00C02172" w:rsidRPr="000E2CA8">
        <w:rPr>
          <w:rStyle w:val="normaltextrun"/>
          <w:lang w:val="en-GB"/>
        </w:rPr>
        <w:t>Rule of Law and Accountability</w:t>
      </w:r>
    </w:p>
    <w:p w14:paraId="09B6636E" w14:textId="7A5C0DFF" w:rsidR="009C640C" w:rsidRPr="000E2CA8" w:rsidRDefault="00194442" w:rsidP="00B03AE6">
      <w:pPr>
        <w:pStyle w:val="H1G"/>
        <w:numPr>
          <w:ilvl w:val="0"/>
          <w:numId w:val="37"/>
        </w:numPr>
        <w:rPr>
          <w:rFonts w:eastAsia="Calibri"/>
          <w:lang w:val="en-GB"/>
        </w:rPr>
      </w:pPr>
      <w:r w:rsidRPr="000E2CA8">
        <w:rPr>
          <w:rFonts w:eastAsia="Calibri"/>
          <w:lang w:val="en-GB"/>
        </w:rPr>
        <w:t xml:space="preserve">     </w:t>
      </w:r>
      <w:r w:rsidR="00C02172" w:rsidRPr="000E2CA8">
        <w:rPr>
          <w:rStyle w:val="normaltextrun"/>
          <w:lang w:val="en-GB"/>
        </w:rPr>
        <w:t>Judicial Independence</w:t>
      </w:r>
    </w:p>
    <w:p w14:paraId="735E5C28" w14:textId="6DF604FF" w:rsidR="00C02172" w:rsidRPr="000E2CA8" w:rsidRDefault="00CD2550" w:rsidP="0084387B">
      <w:pPr>
        <w:pStyle w:val="SingleTxtG"/>
        <w:rPr>
          <w:lang w:val="en-GB"/>
        </w:rPr>
      </w:pPr>
      <w:r w:rsidRPr="000E2CA8">
        <w:rPr>
          <w:rStyle w:val="normaltextrun"/>
          <w:lang w:val="en-GB"/>
        </w:rPr>
        <w:t>3</w:t>
      </w:r>
      <w:r w:rsidR="0084387B">
        <w:rPr>
          <w:rStyle w:val="normaltextrun"/>
          <w:lang w:val="en-GB"/>
        </w:rPr>
        <w:t>2</w:t>
      </w:r>
      <w:r w:rsidR="005138CD" w:rsidRPr="000E2CA8">
        <w:rPr>
          <w:rStyle w:val="normaltextrun"/>
          <w:lang w:val="en-GB"/>
        </w:rPr>
        <w:t>.</w:t>
      </w:r>
      <w:r w:rsidR="005138CD" w:rsidRPr="000E2CA8">
        <w:rPr>
          <w:rStyle w:val="normaltextrun"/>
          <w:lang w:val="en-GB"/>
        </w:rPr>
        <w:tab/>
      </w:r>
      <w:r w:rsidR="00C02172" w:rsidRPr="000E2CA8">
        <w:rPr>
          <w:rStyle w:val="normaltextrun"/>
          <w:lang w:val="en-GB"/>
        </w:rPr>
        <w:t xml:space="preserve">In 2022, progress was made towards strengthening the rule of law and judicial independence </w:t>
      </w:r>
      <w:r w:rsidR="00315235" w:rsidRPr="000E2CA8">
        <w:rPr>
          <w:rStyle w:val="normaltextrun"/>
          <w:lang w:val="en-GB"/>
        </w:rPr>
        <w:t xml:space="preserve">through </w:t>
      </w:r>
      <w:r w:rsidR="00C02172" w:rsidRPr="000E2CA8">
        <w:rPr>
          <w:rStyle w:val="normaltextrun"/>
          <w:lang w:val="en-GB"/>
        </w:rPr>
        <w:t xml:space="preserve">the implementation of </w:t>
      </w:r>
      <w:r w:rsidR="00862BCC" w:rsidRPr="000E2CA8">
        <w:rPr>
          <w:rStyle w:val="normaltextrun"/>
          <w:lang w:val="en-GB"/>
        </w:rPr>
        <w:t>the</w:t>
      </w:r>
      <w:r w:rsidR="00C02172" w:rsidRPr="000E2CA8">
        <w:rPr>
          <w:rStyle w:val="normaltextrun"/>
          <w:lang w:val="en-GB"/>
        </w:rPr>
        <w:t xml:space="preserve"> new legal framework for the election of Supreme Court justices. This framework</w:t>
      </w:r>
      <w:r w:rsidR="00005876" w:rsidRPr="000E2CA8">
        <w:rPr>
          <w:rStyle w:val="normaltextrun"/>
          <w:lang w:val="en-GB"/>
        </w:rPr>
        <w:t xml:space="preserve"> was</w:t>
      </w:r>
      <w:r w:rsidR="00C02172" w:rsidRPr="000E2CA8">
        <w:rPr>
          <w:rStyle w:val="normaltextrun"/>
          <w:lang w:val="en-GB"/>
        </w:rPr>
        <w:t xml:space="preserve"> </w:t>
      </w:r>
      <w:r w:rsidR="00862BCC" w:rsidRPr="000E2CA8">
        <w:rPr>
          <w:rStyle w:val="normaltextrun"/>
          <w:lang w:val="en-GB"/>
        </w:rPr>
        <w:t xml:space="preserve">adopted </w:t>
      </w:r>
      <w:r w:rsidR="00C02172" w:rsidRPr="000E2CA8">
        <w:rPr>
          <w:rStyle w:val="normaltextrun"/>
          <w:lang w:val="en-GB"/>
        </w:rPr>
        <w:t>by the National Congress</w:t>
      </w:r>
      <w:r w:rsidR="00862BCC" w:rsidRPr="000E2CA8">
        <w:rPr>
          <w:rStyle w:val="normaltextrun"/>
          <w:lang w:val="en-GB"/>
        </w:rPr>
        <w:t xml:space="preserve"> in July</w:t>
      </w:r>
      <w:r w:rsidR="002F223A" w:rsidRPr="000E2CA8">
        <w:rPr>
          <w:rStyle w:val="normaltextrun"/>
          <w:lang w:val="en-GB"/>
        </w:rPr>
        <w:t xml:space="preserve">, </w:t>
      </w:r>
      <w:r w:rsidR="00B81C38" w:rsidRPr="000E2CA8">
        <w:rPr>
          <w:rStyle w:val="normaltextrun"/>
          <w:lang w:val="en-GB"/>
        </w:rPr>
        <w:t xml:space="preserve">concluding </w:t>
      </w:r>
      <w:r w:rsidR="002F223A" w:rsidRPr="000E2CA8">
        <w:rPr>
          <w:rStyle w:val="normaltextrun"/>
          <w:lang w:val="en-GB"/>
        </w:rPr>
        <w:t xml:space="preserve">a process </w:t>
      </w:r>
      <w:r w:rsidR="00B81C38" w:rsidRPr="000E2CA8">
        <w:rPr>
          <w:rStyle w:val="normaltextrun"/>
          <w:lang w:val="en-GB"/>
        </w:rPr>
        <w:t xml:space="preserve">driven </w:t>
      </w:r>
      <w:r w:rsidR="002F223A" w:rsidRPr="000E2CA8">
        <w:rPr>
          <w:rStyle w:val="normaltextrun"/>
          <w:lang w:val="en-GB"/>
        </w:rPr>
        <w:t xml:space="preserve">by the </w:t>
      </w:r>
      <w:r w:rsidR="00C02172" w:rsidRPr="000E2CA8">
        <w:rPr>
          <w:rStyle w:val="normaltextrun"/>
          <w:lang w:val="en-GB"/>
        </w:rPr>
        <w:t>Secretariat for Transparency and the Fight against Corruption</w:t>
      </w:r>
      <w:r w:rsidR="00B81C38" w:rsidRPr="000E2CA8">
        <w:rPr>
          <w:rStyle w:val="normaltextrun"/>
          <w:lang w:val="en-GB"/>
        </w:rPr>
        <w:t xml:space="preserve">. </w:t>
      </w:r>
      <w:r w:rsidR="002F223A" w:rsidRPr="000E2CA8">
        <w:rPr>
          <w:rStyle w:val="normaltextrun"/>
          <w:lang w:val="en-GB"/>
        </w:rPr>
        <w:t xml:space="preserve">OHCHR </w:t>
      </w:r>
      <w:r w:rsidR="00B81C38" w:rsidRPr="000E2CA8">
        <w:rPr>
          <w:rStyle w:val="normaltextrun"/>
          <w:lang w:val="en-GB"/>
        </w:rPr>
        <w:t xml:space="preserve">provided </w:t>
      </w:r>
      <w:r w:rsidR="00C02172" w:rsidRPr="000E2CA8">
        <w:rPr>
          <w:rStyle w:val="normaltextrun"/>
          <w:lang w:val="en-GB"/>
        </w:rPr>
        <w:t xml:space="preserve">technical </w:t>
      </w:r>
      <w:r w:rsidR="002F223A" w:rsidRPr="000E2CA8">
        <w:rPr>
          <w:rStyle w:val="normaltextrun"/>
          <w:lang w:val="en-GB"/>
        </w:rPr>
        <w:t xml:space="preserve">support for the </w:t>
      </w:r>
      <w:r w:rsidR="00B81C38" w:rsidRPr="000E2CA8">
        <w:rPr>
          <w:rStyle w:val="normaltextrun"/>
          <w:lang w:val="en-GB"/>
        </w:rPr>
        <w:t xml:space="preserve">development </w:t>
      </w:r>
      <w:r w:rsidR="00C02172" w:rsidRPr="000E2CA8">
        <w:rPr>
          <w:rStyle w:val="normaltextrun"/>
          <w:lang w:val="en-GB"/>
        </w:rPr>
        <w:t xml:space="preserve">and </w:t>
      </w:r>
      <w:r w:rsidR="002F223A" w:rsidRPr="000E2CA8">
        <w:rPr>
          <w:rStyle w:val="normaltextrun"/>
          <w:lang w:val="en-GB"/>
        </w:rPr>
        <w:t xml:space="preserve">adoption of the </w:t>
      </w:r>
      <w:r w:rsidR="005A1ADC" w:rsidRPr="000E2CA8">
        <w:rPr>
          <w:rStyle w:val="normaltextrun"/>
          <w:lang w:val="en-GB"/>
        </w:rPr>
        <w:t>law</w:t>
      </w:r>
      <w:r w:rsidR="00B81C38" w:rsidRPr="000E2CA8">
        <w:rPr>
          <w:rStyle w:val="normaltextrun"/>
          <w:lang w:val="en-GB"/>
        </w:rPr>
        <w:t xml:space="preserve"> which introduces </w:t>
      </w:r>
      <w:r w:rsidR="00C02172" w:rsidRPr="000E2CA8">
        <w:rPr>
          <w:rStyle w:val="normaltextrun"/>
          <w:lang w:val="en-GB"/>
        </w:rPr>
        <w:t xml:space="preserve">guarantees of transparency, publicity, gender parity, </w:t>
      </w:r>
      <w:r w:rsidR="005A1ADC" w:rsidRPr="000E2CA8">
        <w:rPr>
          <w:rStyle w:val="normaltextrun"/>
          <w:lang w:val="en-GB"/>
        </w:rPr>
        <w:t xml:space="preserve">public </w:t>
      </w:r>
      <w:r w:rsidR="0048003A" w:rsidRPr="000E2CA8">
        <w:rPr>
          <w:rStyle w:val="normaltextrun"/>
          <w:lang w:val="en-GB"/>
        </w:rPr>
        <w:t>oversight</w:t>
      </w:r>
      <w:r w:rsidR="00C02172" w:rsidRPr="000E2CA8">
        <w:rPr>
          <w:rStyle w:val="normaltextrun"/>
          <w:lang w:val="en-GB"/>
        </w:rPr>
        <w:t>, and election based on objective criteria.</w:t>
      </w:r>
    </w:p>
    <w:p w14:paraId="63C056B5" w14:textId="72082C63" w:rsidR="004B76E9" w:rsidRPr="000E2CA8" w:rsidRDefault="00CD2550" w:rsidP="0084387B">
      <w:pPr>
        <w:pStyle w:val="SingleTxtG"/>
        <w:rPr>
          <w:rStyle w:val="normaltextrun"/>
          <w:lang w:val="en-GB"/>
        </w:rPr>
      </w:pPr>
      <w:r w:rsidRPr="000E2CA8">
        <w:rPr>
          <w:lang w:val="en-GB"/>
        </w:rPr>
        <w:t>3</w:t>
      </w:r>
      <w:r w:rsidR="0084387B">
        <w:rPr>
          <w:lang w:val="en-GB"/>
        </w:rPr>
        <w:t>3</w:t>
      </w:r>
      <w:r w:rsidR="005138CD" w:rsidRPr="000E2CA8">
        <w:rPr>
          <w:lang w:val="en-GB"/>
        </w:rPr>
        <w:t>.</w:t>
      </w:r>
      <w:r w:rsidR="005138CD" w:rsidRPr="000E2CA8">
        <w:rPr>
          <w:lang w:val="en-GB"/>
        </w:rPr>
        <w:tab/>
      </w:r>
      <w:r w:rsidR="004B76E9" w:rsidRPr="000E2CA8">
        <w:rPr>
          <w:rStyle w:val="normaltextrun"/>
          <w:lang w:val="en-GB"/>
        </w:rPr>
        <w:t xml:space="preserve">The Nominating Board, in charge of the process, was </w:t>
      </w:r>
      <w:r w:rsidR="00007CBF" w:rsidRPr="000E2CA8">
        <w:rPr>
          <w:rStyle w:val="normaltextrun"/>
          <w:lang w:val="en-GB"/>
        </w:rPr>
        <w:t xml:space="preserve">established </w:t>
      </w:r>
      <w:r w:rsidR="004B76E9" w:rsidRPr="000E2CA8">
        <w:rPr>
          <w:rStyle w:val="normaltextrun"/>
          <w:lang w:val="en-GB"/>
        </w:rPr>
        <w:t xml:space="preserve">in September, </w:t>
      </w:r>
      <w:r w:rsidR="00007CBF" w:rsidRPr="000E2CA8">
        <w:rPr>
          <w:rStyle w:val="normaltextrun"/>
          <w:lang w:val="en-GB"/>
        </w:rPr>
        <w:t xml:space="preserve">in </w:t>
      </w:r>
      <w:r w:rsidR="004B76E9" w:rsidRPr="000E2CA8">
        <w:rPr>
          <w:rStyle w:val="normaltextrun"/>
          <w:lang w:val="en-GB"/>
        </w:rPr>
        <w:t xml:space="preserve">a context of strong pressures and interests from various sectors. OHCHR provided technical </w:t>
      </w:r>
      <w:r w:rsidR="00DF7BC5" w:rsidRPr="000E2CA8">
        <w:rPr>
          <w:rStyle w:val="normaltextrun"/>
          <w:lang w:val="en-GB"/>
        </w:rPr>
        <w:t xml:space="preserve">assistance </w:t>
      </w:r>
      <w:r w:rsidR="004B76E9" w:rsidRPr="000E2CA8">
        <w:rPr>
          <w:rStyle w:val="normaltextrun"/>
          <w:lang w:val="en-GB"/>
        </w:rPr>
        <w:t xml:space="preserve">for the adoption of </w:t>
      </w:r>
      <w:r w:rsidR="00F8519A" w:rsidRPr="000E2CA8">
        <w:rPr>
          <w:rStyle w:val="normaltextrun"/>
          <w:lang w:val="en-GB"/>
        </w:rPr>
        <w:t xml:space="preserve">the operating </w:t>
      </w:r>
      <w:r w:rsidR="004B76E9" w:rsidRPr="000E2CA8">
        <w:rPr>
          <w:rStyle w:val="normaltextrun"/>
          <w:lang w:val="en-GB"/>
        </w:rPr>
        <w:t xml:space="preserve">procedures of the Board </w:t>
      </w:r>
      <w:r w:rsidR="0089410D" w:rsidRPr="000E2CA8">
        <w:rPr>
          <w:rStyle w:val="normaltextrun"/>
          <w:lang w:val="en-GB"/>
        </w:rPr>
        <w:t xml:space="preserve">based on </w:t>
      </w:r>
      <w:r w:rsidR="004B76E9" w:rsidRPr="000E2CA8">
        <w:rPr>
          <w:rStyle w:val="normaltextrun"/>
          <w:lang w:val="en-GB"/>
        </w:rPr>
        <w:t xml:space="preserve">the principles of objectivity and transparency. The Board received 185 self-nominations (132 men, 53 women) and will present a list of at least 45 candidates to the National Congress in January 2023 for the election of 15 new </w:t>
      </w:r>
      <w:r w:rsidR="008641E4" w:rsidRPr="000E2CA8">
        <w:rPr>
          <w:rStyle w:val="normaltextrun"/>
          <w:lang w:val="en-GB"/>
        </w:rPr>
        <w:t>justices</w:t>
      </w:r>
      <w:r w:rsidR="004B76E9" w:rsidRPr="000E2CA8">
        <w:rPr>
          <w:rStyle w:val="normaltextrun"/>
          <w:lang w:val="en-GB"/>
        </w:rPr>
        <w:t>.</w:t>
      </w:r>
    </w:p>
    <w:p w14:paraId="54F8A095" w14:textId="390865C3" w:rsidR="00803AFC" w:rsidRPr="000E2CA8" w:rsidRDefault="005138CD" w:rsidP="007E4C50">
      <w:pPr>
        <w:pStyle w:val="SingleTxtG"/>
        <w:rPr>
          <w:rStyle w:val="normaltextrun"/>
          <w:lang w:val="en-GB"/>
        </w:rPr>
      </w:pPr>
      <w:r w:rsidRPr="000E2CA8">
        <w:rPr>
          <w:rStyle w:val="normaltextrun"/>
          <w:lang w:val="en-GB"/>
        </w:rPr>
        <w:t>3</w:t>
      </w:r>
      <w:r w:rsidR="0084387B">
        <w:rPr>
          <w:rStyle w:val="normaltextrun"/>
          <w:lang w:val="en-GB"/>
        </w:rPr>
        <w:t>4</w:t>
      </w:r>
      <w:r w:rsidRPr="000E2CA8">
        <w:rPr>
          <w:rStyle w:val="normaltextrun"/>
          <w:lang w:val="en-GB"/>
        </w:rPr>
        <w:t>.</w:t>
      </w:r>
      <w:r w:rsidRPr="000E2CA8">
        <w:rPr>
          <w:rStyle w:val="normaltextrun"/>
          <w:lang w:val="en-GB"/>
        </w:rPr>
        <w:tab/>
      </w:r>
      <w:r w:rsidR="00803AFC" w:rsidRPr="000E2CA8">
        <w:rPr>
          <w:lang w:val="en-GB"/>
        </w:rPr>
        <w:t xml:space="preserve">The information received </w:t>
      </w:r>
      <w:r w:rsidR="00D16015" w:rsidRPr="000E2CA8">
        <w:rPr>
          <w:lang w:val="en-GB"/>
        </w:rPr>
        <w:t xml:space="preserve">regarding </w:t>
      </w:r>
      <w:r w:rsidR="00803AFC" w:rsidRPr="000E2CA8">
        <w:rPr>
          <w:lang w:val="en-GB"/>
        </w:rPr>
        <w:t xml:space="preserve">attacks and retaliation against justice </w:t>
      </w:r>
      <w:r w:rsidR="00B34EB2" w:rsidRPr="000E2CA8">
        <w:rPr>
          <w:lang w:val="en-GB"/>
        </w:rPr>
        <w:t xml:space="preserve">officials </w:t>
      </w:r>
      <w:r w:rsidR="00202F4C" w:rsidRPr="000E2CA8">
        <w:rPr>
          <w:lang w:val="en-GB"/>
        </w:rPr>
        <w:t xml:space="preserve">in relation to </w:t>
      </w:r>
      <w:r w:rsidR="00803AFC" w:rsidRPr="000E2CA8">
        <w:rPr>
          <w:lang w:val="en-GB"/>
        </w:rPr>
        <w:t xml:space="preserve">their work, particularly those linked to the anti-corruption circuit, is </w:t>
      </w:r>
      <w:r w:rsidR="00DE72B2">
        <w:rPr>
          <w:lang w:val="en-GB"/>
        </w:rPr>
        <w:t>of concern</w:t>
      </w:r>
      <w:r w:rsidR="00803AFC" w:rsidRPr="000E2CA8">
        <w:rPr>
          <w:lang w:val="en-GB"/>
        </w:rPr>
        <w:t xml:space="preserve">. The lack of an effective institutional response to protect the personal integrity, judicial independence and autonomy of justice </w:t>
      </w:r>
      <w:r w:rsidR="00202F4C" w:rsidRPr="000E2CA8">
        <w:rPr>
          <w:lang w:val="en-GB"/>
        </w:rPr>
        <w:t xml:space="preserve">officials </w:t>
      </w:r>
      <w:r w:rsidR="00803AFC" w:rsidRPr="000E2CA8">
        <w:rPr>
          <w:lang w:val="en-GB"/>
        </w:rPr>
        <w:t>represents an obstacle to their work, exacerbates their vulnerability, and negatively impacts access to justice.</w:t>
      </w:r>
    </w:p>
    <w:p w14:paraId="7EFBEA01" w14:textId="0633807F" w:rsidR="007E4C50" w:rsidRPr="004B106A" w:rsidRDefault="500AADC5" w:rsidP="00F36970">
      <w:pPr>
        <w:pStyle w:val="SingleTxtG"/>
        <w:rPr>
          <w:rStyle w:val="normaltextrun"/>
          <w:lang w:val="en-GB"/>
        </w:rPr>
      </w:pPr>
      <w:r w:rsidRPr="000E2CA8">
        <w:rPr>
          <w:rStyle w:val="normaltextrun"/>
          <w:lang w:val="en-GB"/>
        </w:rPr>
        <w:t>3</w:t>
      </w:r>
      <w:r w:rsidR="0084387B">
        <w:rPr>
          <w:rStyle w:val="normaltextrun"/>
          <w:lang w:val="en-GB"/>
        </w:rPr>
        <w:t>5</w:t>
      </w:r>
      <w:r w:rsidR="6BACD414" w:rsidRPr="000E2CA8">
        <w:rPr>
          <w:rStyle w:val="normaltextrun"/>
          <w:lang w:val="en-GB"/>
        </w:rPr>
        <w:t>.</w:t>
      </w:r>
      <w:r w:rsidR="005138CD" w:rsidRPr="000E2CA8">
        <w:rPr>
          <w:rStyle w:val="normaltextrun"/>
          <w:lang w:val="en-GB"/>
        </w:rPr>
        <w:tab/>
      </w:r>
      <w:r w:rsidR="00F36970" w:rsidRPr="000E2CA8">
        <w:rPr>
          <w:rStyle w:val="normaltextrun"/>
          <w:lang w:val="en-GB"/>
        </w:rPr>
        <w:t xml:space="preserve">OHCHR received information </w:t>
      </w:r>
      <w:r w:rsidR="00255807" w:rsidRPr="000E2CA8">
        <w:rPr>
          <w:rStyle w:val="normaltextrun"/>
          <w:lang w:val="en-GB"/>
        </w:rPr>
        <w:t xml:space="preserve">regarding </w:t>
      </w:r>
      <w:r w:rsidR="00F36970" w:rsidRPr="000E2CA8">
        <w:rPr>
          <w:rStyle w:val="normaltextrun"/>
          <w:lang w:val="en-GB"/>
        </w:rPr>
        <w:t xml:space="preserve">possible undue interference affecting the independence of justice </w:t>
      </w:r>
      <w:r w:rsidR="00255807" w:rsidRPr="000E2CA8">
        <w:rPr>
          <w:rStyle w:val="normaltextrun"/>
          <w:lang w:val="en-GB"/>
        </w:rPr>
        <w:t xml:space="preserve">officials </w:t>
      </w:r>
      <w:r w:rsidR="00F36970" w:rsidRPr="000E2CA8">
        <w:rPr>
          <w:rStyle w:val="normaltextrun"/>
          <w:lang w:val="en-GB"/>
        </w:rPr>
        <w:t>at the depa</w:t>
      </w:r>
      <w:r w:rsidR="00F36970" w:rsidRPr="004B106A">
        <w:rPr>
          <w:rStyle w:val="normaltextrun"/>
          <w:lang w:val="en-GB"/>
        </w:rPr>
        <w:t xml:space="preserve">rtmental level in judicial proceedings against human rights defenders. On </w:t>
      </w:r>
      <w:r w:rsidR="00887431" w:rsidRPr="004B106A">
        <w:rPr>
          <w:rStyle w:val="normaltextrun"/>
          <w:lang w:val="en-GB"/>
        </w:rPr>
        <w:t xml:space="preserve">9 </w:t>
      </w:r>
      <w:r w:rsidR="00F36970" w:rsidRPr="004B106A">
        <w:rPr>
          <w:rStyle w:val="normaltextrun"/>
          <w:lang w:val="en-GB"/>
        </w:rPr>
        <w:t>February, the Trujillo Sentencing Court convicted</w:t>
      </w:r>
      <w:r w:rsidR="00737BBF" w:rsidRPr="004B106A">
        <w:rPr>
          <w:rStyle w:val="FootnoteReference"/>
          <w:lang w:val="en-GB"/>
        </w:rPr>
        <w:footnoteReference w:id="13"/>
      </w:r>
      <w:r w:rsidR="00F36970" w:rsidRPr="004B106A">
        <w:rPr>
          <w:rStyle w:val="normaltextrun"/>
          <w:lang w:val="en-GB"/>
        </w:rPr>
        <w:t xml:space="preserve"> 6 of the 8 defenders of the Guapinol River</w:t>
      </w:r>
      <w:r w:rsidR="004C7E2D" w:rsidRPr="004B106A">
        <w:rPr>
          <w:rStyle w:val="FootnoteReference"/>
          <w:lang w:val="en-GB"/>
        </w:rPr>
        <w:footnoteReference w:id="14"/>
      </w:r>
      <w:r w:rsidR="00F36970" w:rsidRPr="004B106A">
        <w:rPr>
          <w:rStyle w:val="normaltextrun"/>
          <w:lang w:val="en-GB"/>
        </w:rPr>
        <w:t xml:space="preserve">, in a judicial process that did not comply with international </w:t>
      </w:r>
      <w:r w:rsidR="00A1217B" w:rsidRPr="004B106A">
        <w:rPr>
          <w:rStyle w:val="normaltextrun"/>
          <w:lang w:val="en-GB"/>
        </w:rPr>
        <w:t xml:space="preserve">fair trial </w:t>
      </w:r>
      <w:r w:rsidR="00F36970" w:rsidRPr="004B106A">
        <w:rPr>
          <w:rStyle w:val="normaltextrun"/>
          <w:lang w:val="en-GB"/>
        </w:rPr>
        <w:t>standards</w:t>
      </w:r>
      <w:r w:rsidR="004C7E2D" w:rsidRPr="004B106A">
        <w:rPr>
          <w:rStyle w:val="FootnoteReference"/>
          <w:lang w:val="en-GB"/>
        </w:rPr>
        <w:footnoteReference w:id="15"/>
      </w:r>
      <w:r w:rsidR="00F36970" w:rsidRPr="004B106A">
        <w:rPr>
          <w:rStyle w:val="normaltextrun"/>
          <w:lang w:val="en-GB"/>
        </w:rPr>
        <w:t xml:space="preserve">. On </w:t>
      </w:r>
      <w:r w:rsidR="00A1217B" w:rsidRPr="004B106A">
        <w:rPr>
          <w:rStyle w:val="normaltextrun"/>
          <w:lang w:val="en-GB"/>
        </w:rPr>
        <w:t xml:space="preserve">10 </w:t>
      </w:r>
      <w:r w:rsidR="00F36970" w:rsidRPr="004B106A">
        <w:rPr>
          <w:rStyle w:val="normaltextrun"/>
          <w:lang w:val="en-GB"/>
        </w:rPr>
        <w:t>February, the Constitutional Chamber granted a</w:t>
      </w:r>
      <w:r w:rsidR="00DE72B2">
        <w:rPr>
          <w:rStyle w:val="normaltextrun"/>
          <w:lang w:val="en-GB"/>
        </w:rPr>
        <w:t>n amparo</w:t>
      </w:r>
      <w:r w:rsidR="00BA38B1" w:rsidRPr="004B106A">
        <w:rPr>
          <w:rStyle w:val="FootnoteReference"/>
          <w:lang w:val="en-GB"/>
        </w:rPr>
        <w:footnoteReference w:id="16"/>
      </w:r>
      <w:r w:rsidR="00792B66" w:rsidRPr="004B106A">
        <w:rPr>
          <w:rStyle w:val="normaltextrun"/>
          <w:lang w:val="en-GB"/>
        </w:rPr>
        <w:t>,</w:t>
      </w:r>
      <w:r w:rsidR="00F36970" w:rsidRPr="004B106A">
        <w:rPr>
          <w:rStyle w:val="normaltextrun"/>
          <w:lang w:val="en-GB"/>
        </w:rPr>
        <w:t xml:space="preserve"> filed a year earlier, ordering the immediate </w:t>
      </w:r>
      <w:r w:rsidR="00F36970" w:rsidRPr="004B106A">
        <w:rPr>
          <w:rStyle w:val="normaltextrun"/>
          <w:lang w:val="en-GB"/>
        </w:rPr>
        <w:lastRenderedPageBreak/>
        <w:t xml:space="preserve">release of the defenders </w:t>
      </w:r>
      <w:r w:rsidR="00D04FC7" w:rsidRPr="004B106A">
        <w:rPr>
          <w:lang w:val="en-GB"/>
        </w:rPr>
        <w:t xml:space="preserve">as result of due process </w:t>
      </w:r>
      <w:r w:rsidR="00E765D8" w:rsidRPr="004B106A">
        <w:rPr>
          <w:lang w:val="en-GB"/>
        </w:rPr>
        <w:t>irregularities</w:t>
      </w:r>
      <w:r w:rsidR="004C7E2D" w:rsidRPr="004B106A">
        <w:rPr>
          <w:rStyle w:val="normaltextrun"/>
          <w:lang w:val="en-GB"/>
        </w:rPr>
        <w:t>.</w:t>
      </w:r>
    </w:p>
    <w:p w14:paraId="1F29C8A1" w14:textId="5DBDFFDE" w:rsidR="009C640C" w:rsidRPr="004B106A" w:rsidRDefault="003A3A0F" w:rsidP="003A3A0F">
      <w:pPr>
        <w:pStyle w:val="H1G"/>
        <w:rPr>
          <w:rFonts w:eastAsia="Calibri"/>
          <w:lang w:val="en-GB"/>
        </w:rPr>
      </w:pPr>
      <w:r w:rsidRPr="004B106A">
        <w:rPr>
          <w:rFonts w:eastAsia="Calibri"/>
          <w:lang w:val="en-GB"/>
        </w:rPr>
        <w:tab/>
        <w:t xml:space="preserve">B. </w:t>
      </w:r>
      <w:r w:rsidRPr="004B106A">
        <w:rPr>
          <w:rFonts w:eastAsia="Calibri"/>
          <w:lang w:val="en-GB"/>
        </w:rPr>
        <w:tab/>
      </w:r>
      <w:r w:rsidRPr="004B106A">
        <w:rPr>
          <w:rFonts w:eastAsia="Calibri"/>
          <w:lang w:val="en-GB"/>
        </w:rPr>
        <w:tab/>
      </w:r>
      <w:r w:rsidR="001319F5" w:rsidRPr="004B106A">
        <w:rPr>
          <w:rFonts w:eastAsia="Calibri"/>
          <w:lang w:val="en-GB"/>
        </w:rPr>
        <w:t>Access to Justice and Effective Judicial Protection</w:t>
      </w:r>
    </w:p>
    <w:p w14:paraId="78D5F354" w14:textId="7B64C99E" w:rsidR="009C640C" w:rsidRPr="004B106A" w:rsidRDefault="000E2523" w:rsidP="00F44D02">
      <w:pPr>
        <w:pStyle w:val="SingleTxtG"/>
        <w:rPr>
          <w:rStyle w:val="normaltextrun"/>
          <w:lang w:val="en-GB"/>
        </w:rPr>
      </w:pPr>
      <w:r w:rsidRPr="004B106A">
        <w:rPr>
          <w:rStyle w:val="normaltextrun"/>
          <w:lang w:val="en-GB"/>
        </w:rPr>
        <w:t>3</w:t>
      </w:r>
      <w:r w:rsidR="0084387B">
        <w:rPr>
          <w:rStyle w:val="normaltextrun"/>
          <w:lang w:val="en-GB"/>
        </w:rPr>
        <w:t>6</w:t>
      </w:r>
      <w:r w:rsidR="006029F5" w:rsidRPr="004B106A">
        <w:rPr>
          <w:rStyle w:val="normaltextrun"/>
          <w:lang w:val="en-GB"/>
        </w:rPr>
        <w:t>.</w:t>
      </w:r>
      <w:r w:rsidR="006029F5" w:rsidRPr="004B106A">
        <w:rPr>
          <w:rStyle w:val="normaltextrun"/>
          <w:lang w:val="en-GB"/>
        </w:rPr>
        <w:tab/>
      </w:r>
      <w:r w:rsidR="00AF0AEC" w:rsidRPr="004B106A">
        <w:rPr>
          <w:rFonts w:eastAsia="Calibri"/>
          <w:lang w:val="en-GB"/>
        </w:rPr>
        <w:t>The justice administration system remains characterized by high rates of impunity, structural barriers and systemic issues for accessing justice, mainly due to weak judicial independence, procedural delays and limited participation of victims of human rights violations in the criminal process.</w:t>
      </w:r>
    </w:p>
    <w:p w14:paraId="389717EE" w14:textId="48D011A4" w:rsidR="00D202D5" w:rsidRPr="00E253C8" w:rsidRDefault="000E2523" w:rsidP="0084387B">
      <w:pPr>
        <w:pStyle w:val="SingleTxtG"/>
        <w:rPr>
          <w:rFonts w:eastAsia="Calibri"/>
          <w:lang w:val="en-GB"/>
        </w:rPr>
      </w:pPr>
      <w:r w:rsidRPr="004B106A">
        <w:rPr>
          <w:rFonts w:eastAsia="Calibri"/>
          <w:lang w:val="en-GB"/>
        </w:rPr>
        <w:t>3</w:t>
      </w:r>
      <w:r w:rsidR="0084387B">
        <w:rPr>
          <w:rFonts w:eastAsia="Calibri"/>
          <w:lang w:val="en-GB"/>
        </w:rPr>
        <w:t>7</w:t>
      </w:r>
      <w:r w:rsidR="006029F5" w:rsidRPr="004B106A">
        <w:rPr>
          <w:rFonts w:eastAsia="Calibri"/>
          <w:lang w:val="en-GB"/>
        </w:rPr>
        <w:t>.</w:t>
      </w:r>
      <w:r w:rsidR="006029F5" w:rsidRPr="004B106A">
        <w:rPr>
          <w:rFonts w:eastAsia="Calibri"/>
          <w:lang w:val="en-GB"/>
        </w:rPr>
        <w:tab/>
      </w:r>
      <w:r w:rsidR="00D202D5" w:rsidRPr="00E253C8">
        <w:rPr>
          <w:rFonts w:eastAsia="Calibri"/>
          <w:lang w:val="en-GB"/>
        </w:rPr>
        <w:t xml:space="preserve">The Office reiterates </w:t>
      </w:r>
      <w:r w:rsidR="00CE10AE" w:rsidRPr="00E253C8">
        <w:rPr>
          <w:rFonts w:eastAsia="Calibri"/>
          <w:lang w:val="en-GB"/>
        </w:rPr>
        <w:t xml:space="preserve">its </w:t>
      </w:r>
      <w:r w:rsidR="00D202D5" w:rsidRPr="00E253C8">
        <w:rPr>
          <w:rFonts w:eastAsia="Calibri"/>
          <w:lang w:val="en-GB"/>
        </w:rPr>
        <w:t>concerns about the impunity for cases of serious human rights violations that occurred during the 1980s, the 2009 coup d'état, and the 2017 post-election crisis</w:t>
      </w:r>
      <w:r w:rsidR="00981A2F" w:rsidRPr="00E253C8">
        <w:rPr>
          <w:rStyle w:val="FootnoteReference"/>
          <w:rFonts w:eastAsia="Calibri"/>
          <w:lang w:val="en-GB"/>
        </w:rPr>
        <w:footnoteReference w:id="17"/>
      </w:r>
      <w:r w:rsidR="00D202D5" w:rsidRPr="00E253C8">
        <w:rPr>
          <w:rFonts w:eastAsia="Calibri"/>
          <w:lang w:val="en-GB"/>
        </w:rPr>
        <w:t xml:space="preserve">. Most of these cases remain under investigation without any concrete progress, and the victims continue </w:t>
      </w:r>
      <w:r w:rsidR="00CE10AE" w:rsidRPr="00E253C8">
        <w:rPr>
          <w:rFonts w:eastAsia="Calibri"/>
          <w:lang w:val="en-GB"/>
        </w:rPr>
        <w:t xml:space="preserve">without </w:t>
      </w:r>
      <w:r w:rsidR="00D202D5" w:rsidRPr="00E253C8">
        <w:rPr>
          <w:rFonts w:eastAsia="Calibri"/>
          <w:lang w:val="en-GB"/>
        </w:rPr>
        <w:t xml:space="preserve">access to truth, justice, and </w:t>
      </w:r>
      <w:r w:rsidR="009C2F46" w:rsidRPr="00E253C8">
        <w:rPr>
          <w:rFonts w:eastAsia="Calibri"/>
          <w:lang w:val="en-GB"/>
        </w:rPr>
        <w:t xml:space="preserve">integral </w:t>
      </w:r>
      <w:r w:rsidR="00D202D5" w:rsidRPr="00E253C8">
        <w:rPr>
          <w:rFonts w:eastAsia="Calibri"/>
          <w:lang w:val="en-GB"/>
        </w:rPr>
        <w:t>reparation.</w:t>
      </w:r>
    </w:p>
    <w:p w14:paraId="17A87069" w14:textId="2ADD6437" w:rsidR="00AD16A3" w:rsidRPr="00E253C8" w:rsidRDefault="000E2523" w:rsidP="0084387B">
      <w:pPr>
        <w:pStyle w:val="SingleTxtG"/>
        <w:rPr>
          <w:rFonts w:eastAsia="Calibri"/>
          <w:lang w:val="en-GB"/>
        </w:rPr>
      </w:pPr>
      <w:r w:rsidRPr="00E253C8">
        <w:rPr>
          <w:rFonts w:eastAsia="Calibri"/>
          <w:lang w:val="en-GB"/>
        </w:rPr>
        <w:t>3</w:t>
      </w:r>
      <w:r w:rsidR="0084387B">
        <w:rPr>
          <w:rFonts w:eastAsia="Calibri"/>
          <w:lang w:val="en-GB"/>
        </w:rPr>
        <w:t>8</w:t>
      </w:r>
      <w:r w:rsidR="006029F5" w:rsidRPr="00E253C8">
        <w:rPr>
          <w:rFonts w:eastAsia="Calibri"/>
          <w:lang w:val="en-GB"/>
        </w:rPr>
        <w:t>.</w:t>
      </w:r>
      <w:r w:rsidR="006029F5" w:rsidRPr="00E253C8">
        <w:rPr>
          <w:rFonts w:eastAsia="Calibri"/>
          <w:lang w:val="en-GB"/>
        </w:rPr>
        <w:tab/>
      </w:r>
      <w:r w:rsidR="00AD16A3" w:rsidRPr="00E253C8">
        <w:rPr>
          <w:rFonts w:eastAsia="Calibri"/>
          <w:lang w:val="en-GB"/>
        </w:rPr>
        <w:t xml:space="preserve">Several specialized prosecutors' offices of the State Attorney’s Office </w:t>
      </w:r>
      <w:r w:rsidR="0040114A">
        <w:rPr>
          <w:rFonts w:eastAsia="Calibri"/>
          <w:lang w:val="en-GB"/>
        </w:rPr>
        <w:t xml:space="preserve">lack </w:t>
      </w:r>
      <w:r w:rsidR="00AD16A3" w:rsidRPr="00E253C8">
        <w:rPr>
          <w:rFonts w:eastAsia="Calibri"/>
          <w:lang w:val="en-GB"/>
        </w:rPr>
        <w:t>sufficient resources or permanently assigned investigators, which negatively impacts the</w:t>
      </w:r>
      <w:r w:rsidR="0040114A">
        <w:rPr>
          <w:rFonts w:eastAsia="Calibri"/>
          <w:lang w:val="en-GB"/>
        </w:rPr>
        <w:t>ir</w:t>
      </w:r>
      <w:r w:rsidR="00AD16A3" w:rsidRPr="00E253C8">
        <w:rPr>
          <w:rFonts w:eastAsia="Calibri"/>
          <w:lang w:val="en-GB"/>
        </w:rPr>
        <w:t xml:space="preserve"> effective investigation capacity and limits the implementation of an effective criminal prosecution strategy. Consequently, most investigations are carried out without an analysis of the context, without establishing the criminal offenses that correspond to the gravity of the </w:t>
      </w:r>
      <w:r w:rsidR="00EE7831" w:rsidRPr="00E253C8">
        <w:rPr>
          <w:rFonts w:eastAsia="Calibri"/>
          <w:lang w:val="en-GB"/>
        </w:rPr>
        <w:t>violations</w:t>
      </w:r>
      <w:r w:rsidR="00AD16A3" w:rsidRPr="00E253C8">
        <w:rPr>
          <w:rFonts w:eastAsia="Calibri"/>
          <w:lang w:val="en-GB"/>
        </w:rPr>
        <w:t>, without characterization of the victims, or analysis of intellectual authorship and chain of command for cases involving the security forces and non-state actors.</w:t>
      </w:r>
    </w:p>
    <w:p w14:paraId="4D87C1B0" w14:textId="0ABE69F4" w:rsidR="00463FDD" w:rsidRPr="00E253C8" w:rsidRDefault="0084387B" w:rsidP="006D59C7">
      <w:pPr>
        <w:pStyle w:val="SingleTxtG"/>
        <w:rPr>
          <w:rFonts w:eastAsia="Calibri"/>
          <w:lang w:val="en-GB"/>
        </w:rPr>
      </w:pPr>
      <w:r>
        <w:rPr>
          <w:rFonts w:eastAsia="Calibri"/>
          <w:lang w:val="en-GB"/>
        </w:rPr>
        <w:t>39</w:t>
      </w:r>
      <w:r w:rsidR="1A6DA25C" w:rsidRPr="00E253C8">
        <w:rPr>
          <w:rFonts w:eastAsia="Calibri"/>
          <w:lang w:val="en-GB"/>
        </w:rPr>
        <w:t>.</w:t>
      </w:r>
      <w:r w:rsidR="30C0CD66" w:rsidRPr="00E253C8">
        <w:rPr>
          <w:lang w:val="en-GB"/>
        </w:rPr>
        <w:tab/>
      </w:r>
      <w:r w:rsidR="006D59C7" w:rsidRPr="00E253C8">
        <w:rPr>
          <w:rFonts w:eastAsia="Calibri"/>
          <w:lang w:val="en-GB"/>
        </w:rPr>
        <w:t xml:space="preserve">The publicity of hearings and the participation of victims in judicial proceedings </w:t>
      </w:r>
      <w:r w:rsidR="0062470E" w:rsidRPr="00E253C8">
        <w:rPr>
          <w:rFonts w:eastAsia="Calibri"/>
          <w:lang w:val="en-GB"/>
        </w:rPr>
        <w:t xml:space="preserve">remains </w:t>
      </w:r>
      <w:r w:rsidR="006D59C7" w:rsidRPr="00E253C8">
        <w:rPr>
          <w:rFonts w:eastAsia="Calibri"/>
          <w:lang w:val="en-GB"/>
        </w:rPr>
        <w:t xml:space="preserve">limited due to restrictions imposed in the context of the COVID-19 pandemic, limiting physical access to hearings. </w:t>
      </w:r>
      <w:r w:rsidR="008158D2">
        <w:rPr>
          <w:rFonts w:eastAsia="Calibri"/>
          <w:lang w:val="en-GB"/>
        </w:rPr>
        <w:t>C</w:t>
      </w:r>
      <w:r w:rsidR="006D59C7" w:rsidRPr="00E253C8">
        <w:rPr>
          <w:rFonts w:eastAsia="Calibri"/>
          <w:lang w:val="en-GB"/>
        </w:rPr>
        <w:t xml:space="preserve">ourts, particularly </w:t>
      </w:r>
      <w:r w:rsidR="0062470E" w:rsidRPr="00E253C8">
        <w:rPr>
          <w:rFonts w:eastAsia="Calibri"/>
          <w:lang w:val="en-GB"/>
        </w:rPr>
        <w:t xml:space="preserve">those </w:t>
      </w:r>
      <w:r w:rsidR="006D59C7" w:rsidRPr="00E253C8">
        <w:rPr>
          <w:rFonts w:eastAsia="Calibri"/>
          <w:lang w:val="en-GB"/>
        </w:rPr>
        <w:t xml:space="preserve">at the local level, did not adopt measures to mitigate the negative impact of </w:t>
      </w:r>
      <w:r w:rsidR="00174CD5" w:rsidRPr="00E253C8">
        <w:rPr>
          <w:rFonts w:eastAsia="Calibri"/>
          <w:lang w:val="en-GB"/>
        </w:rPr>
        <w:t>such</w:t>
      </w:r>
      <w:r w:rsidR="006D59C7" w:rsidRPr="00E253C8">
        <w:rPr>
          <w:rFonts w:eastAsia="Calibri"/>
          <w:lang w:val="en-GB"/>
        </w:rPr>
        <w:t xml:space="preserve"> restrictions</w:t>
      </w:r>
      <w:r w:rsidR="00ED6296" w:rsidRPr="00E253C8">
        <w:rPr>
          <w:rFonts w:eastAsia="Calibri"/>
          <w:lang w:val="en-GB"/>
        </w:rPr>
        <w:t xml:space="preserve"> on the </w:t>
      </w:r>
      <w:r w:rsidR="006D59C7" w:rsidRPr="00E253C8">
        <w:rPr>
          <w:rFonts w:eastAsia="Calibri"/>
          <w:lang w:val="en-GB"/>
        </w:rPr>
        <w:t>access to hearings and publicity of proceedings.</w:t>
      </w:r>
    </w:p>
    <w:p w14:paraId="66C386F8" w14:textId="04986A08" w:rsidR="009C640C" w:rsidRPr="00E253C8" w:rsidRDefault="00B807FF" w:rsidP="00F44D02">
      <w:pPr>
        <w:pStyle w:val="SingleTxtG"/>
        <w:rPr>
          <w:lang w:val="en-GB"/>
        </w:rPr>
      </w:pPr>
      <w:r w:rsidRPr="00E253C8">
        <w:rPr>
          <w:rStyle w:val="normaltextrun"/>
          <w:lang w:val="en-GB"/>
        </w:rPr>
        <w:t>4</w:t>
      </w:r>
      <w:r w:rsidR="0084387B">
        <w:rPr>
          <w:rStyle w:val="normaltextrun"/>
          <w:lang w:val="en-GB"/>
        </w:rPr>
        <w:t>0</w:t>
      </w:r>
      <w:r w:rsidR="006029F5" w:rsidRPr="00E253C8">
        <w:rPr>
          <w:rStyle w:val="normaltextrun"/>
          <w:lang w:val="en-GB"/>
        </w:rPr>
        <w:t>.</w:t>
      </w:r>
      <w:r w:rsidR="000E2523" w:rsidRPr="00E253C8">
        <w:rPr>
          <w:lang w:val="en-GB"/>
        </w:rPr>
        <w:tab/>
      </w:r>
      <w:r w:rsidR="003474D9" w:rsidRPr="00E253C8">
        <w:rPr>
          <w:lang w:val="en-GB"/>
        </w:rPr>
        <w:t>OHCHR documented harassment and reprisals against victims and witnesses who cooperate with investigations, as well as challenges for their effective protection, including lack of resources and risks due to the manner in which confidential information is handled.</w:t>
      </w:r>
    </w:p>
    <w:p w14:paraId="0B619124" w14:textId="62A1C387" w:rsidR="00197CF6" w:rsidRPr="00E253C8" w:rsidRDefault="00B807FF" w:rsidP="00197CF6">
      <w:pPr>
        <w:pStyle w:val="SingleTxtG"/>
        <w:rPr>
          <w:lang w:val="en-GB"/>
        </w:rPr>
      </w:pPr>
      <w:r w:rsidRPr="00E253C8">
        <w:rPr>
          <w:rStyle w:val="eop"/>
          <w:lang w:val="en-GB"/>
        </w:rPr>
        <w:t>4</w:t>
      </w:r>
      <w:r w:rsidR="0084387B">
        <w:rPr>
          <w:rStyle w:val="eop"/>
          <w:lang w:val="en-GB"/>
        </w:rPr>
        <w:t>1</w:t>
      </w:r>
      <w:r w:rsidR="006029F5" w:rsidRPr="00E253C8">
        <w:rPr>
          <w:rStyle w:val="eop"/>
          <w:lang w:val="en-GB"/>
        </w:rPr>
        <w:t>.</w:t>
      </w:r>
      <w:r w:rsidR="006029F5" w:rsidRPr="00E253C8">
        <w:rPr>
          <w:rStyle w:val="eop"/>
          <w:lang w:val="en-GB"/>
        </w:rPr>
        <w:tab/>
      </w:r>
      <w:r w:rsidR="00197CF6" w:rsidRPr="00E253C8">
        <w:rPr>
          <w:lang w:val="en-GB"/>
        </w:rPr>
        <w:t xml:space="preserve">OHCHR considers that </w:t>
      </w:r>
      <w:r w:rsidR="00E61CE3" w:rsidRPr="00E253C8">
        <w:rPr>
          <w:lang w:val="en-GB"/>
        </w:rPr>
        <w:t xml:space="preserve">the investigation </w:t>
      </w:r>
      <w:r w:rsidR="00197CF6" w:rsidRPr="00E253C8">
        <w:rPr>
          <w:lang w:val="en-GB"/>
        </w:rPr>
        <w:t xml:space="preserve">in the case of the unnecessary and excessive use of force by the Joint Task Force of the Armed Forces </w:t>
      </w:r>
      <w:r w:rsidR="00E24DFE" w:rsidRPr="00E253C8">
        <w:rPr>
          <w:lang w:val="en-GB"/>
        </w:rPr>
        <w:t xml:space="preserve">in 2021 </w:t>
      </w:r>
      <w:r w:rsidR="00197CF6" w:rsidRPr="00E253C8">
        <w:rPr>
          <w:lang w:val="en-GB"/>
        </w:rPr>
        <w:t>in the community of Ibans, Gracias a Dios</w:t>
      </w:r>
      <w:r w:rsidR="00292E5D" w:rsidRPr="00E253C8">
        <w:rPr>
          <w:lang w:val="en-GB"/>
        </w:rPr>
        <w:t>,</w:t>
      </w:r>
      <w:r w:rsidR="00197CF6" w:rsidRPr="00E253C8">
        <w:rPr>
          <w:lang w:val="en-GB"/>
        </w:rPr>
        <w:t xml:space="preserve"> against the Miskito indigenous people, was carried out without due diligence. OHCHR </w:t>
      </w:r>
      <w:r w:rsidR="00197CF6" w:rsidRPr="00E253C8">
        <w:rPr>
          <w:lang w:val="en-GB"/>
        </w:rPr>
        <w:lastRenderedPageBreak/>
        <w:t xml:space="preserve">also received allegations of lack of access to information and </w:t>
      </w:r>
      <w:r w:rsidR="00C93C01">
        <w:rPr>
          <w:lang w:val="en-GB"/>
        </w:rPr>
        <w:t>victim</w:t>
      </w:r>
      <w:r w:rsidR="00263956" w:rsidRPr="00E253C8">
        <w:rPr>
          <w:lang w:val="en-GB"/>
        </w:rPr>
        <w:t xml:space="preserve"> </w:t>
      </w:r>
      <w:r w:rsidR="00197CF6" w:rsidRPr="00E253C8">
        <w:rPr>
          <w:lang w:val="en-GB"/>
        </w:rPr>
        <w:t>participation</w:t>
      </w:r>
      <w:r w:rsidR="00263956" w:rsidRPr="00E253C8">
        <w:rPr>
          <w:rStyle w:val="FootnoteReference"/>
          <w:lang w:val="en-GB"/>
        </w:rPr>
        <w:footnoteReference w:id="18"/>
      </w:r>
      <w:r w:rsidR="00197CF6" w:rsidRPr="00E253C8">
        <w:rPr>
          <w:lang w:val="en-GB"/>
        </w:rPr>
        <w:t>.</w:t>
      </w:r>
    </w:p>
    <w:p w14:paraId="63A61F1C" w14:textId="79068349" w:rsidR="009C640C" w:rsidRPr="00E253C8" w:rsidRDefault="000E2523" w:rsidP="00F44D02">
      <w:pPr>
        <w:pStyle w:val="SingleTxtG"/>
        <w:rPr>
          <w:rFonts w:eastAsia="Calibri"/>
          <w:lang w:val="en-GB"/>
        </w:rPr>
      </w:pPr>
      <w:r w:rsidRPr="00E253C8">
        <w:rPr>
          <w:rFonts w:eastAsia="Calibri"/>
          <w:lang w:val="en-GB"/>
        </w:rPr>
        <w:t>4</w:t>
      </w:r>
      <w:r w:rsidR="0084387B">
        <w:rPr>
          <w:rFonts w:eastAsia="Calibri"/>
          <w:lang w:val="en-GB"/>
        </w:rPr>
        <w:t>2</w:t>
      </w:r>
      <w:r w:rsidR="006029F5" w:rsidRPr="00E253C8">
        <w:rPr>
          <w:rFonts w:eastAsia="Calibri"/>
          <w:lang w:val="en-GB"/>
        </w:rPr>
        <w:t>.</w:t>
      </w:r>
      <w:r w:rsidR="006029F5" w:rsidRPr="00E253C8">
        <w:rPr>
          <w:rFonts w:eastAsia="Calibri"/>
          <w:lang w:val="en-GB"/>
        </w:rPr>
        <w:tab/>
      </w:r>
      <w:r w:rsidR="007C5053" w:rsidRPr="00E253C8">
        <w:rPr>
          <w:lang w:val="en-GB"/>
        </w:rPr>
        <w:t>Effective access to justice with a gender perspective remains a challenge. Several key</w:t>
      </w:r>
      <w:r w:rsidR="00DE72B2">
        <w:rPr>
          <w:lang w:val="en-GB"/>
        </w:rPr>
        <w:t xml:space="preserve"> amparo requests </w:t>
      </w:r>
      <w:r w:rsidR="007C5053" w:rsidRPr="00E253C8">
        <w:rPr>
          <w:lang w:val="en-GB"/>
        </w:rPr>
        <w:t xml:space="preserve">and unconstitutionality appeals regarding sexual and reproductive rights and equal marriage remain pending before the Constitutional Chamber. </w:t>
      </w:r>
      <w:r w:rsidR="004E1F26" w:rsidRPr="00E253C8">
        <w:rPr>
          <w:lang w:val="en-GB"/>
        </w:rPr>
        <w:t>The judicial process i</w:t>
      </w:r>
      <w:r w:rsidR="007C5053" w:rsidRPr="00E253C8">
        <w:rPr>
          <w:lang w:val="en-GB"/>
        </w:rPr>
        <w:t>n the case of Keyla Martínez</w:t>
      </w:r>
      <w:r w:rsidR="007C5053" w:rsidRPr="00E253C8">
        <w:rPr>
          <w:rStyle w:val="FootnoteReference"/>
          <w:rFonts w:eastAsia="Calibri"/>
          <w:lang w:val="en-GB"/>
        </w:rPr>
        <w:footnoteReference w:id="19"/>
      </w:r>
      <w:r w:rsidR="004E1F26" w:rsidRPr="00E253C8">
        <w:rPr>
          <w:lang w:val="en-GB"/>
        </w:rPr>
        <w:t xml:space="preserve"> </w:t>
      </w:r>
      <w:r w:rsidR="007C5053" w:rsidRPr="00E253C8">
        <w:rPr>
          <w:lang w:val="en-GB"/>
        </w:rPr>
        <w:t xml:space="preserve">did </w:t>
      </w:r>
      <w:r w:rsidR="007C5053" w:rsidRPr="00DE72B2">
        <w:rPr>
          <w:lang w:val="en-GB"/>
        </w:rPr>
        <w:t xml:space="preserve">not have a gender perspective, including </w:t>
      </w:r>
      <w:r w:rsidR="004E1F26" w:rsidRPr="00DE72B2">
        <w:rPr>
          <w:lang w:val="en-GB"/>
        </w:rPr>
        <w:t xml:space="preserve">due to </w:t>
      </w:r>
      <w:r w:rsidR="007C5053" w:rsidRPr="00DE72B2">
        <w:rPr>
          <w:lang w:val="en-GB"/>
        </w:rPr>
        <w:t xml:space="preserve">the dismissal by the Constitutional Chamber of the </w:t>
      </w:r>
      <w:r w:rsidR="00DE72B2" w:rsidRPr="00DE72B2">
        <w:rPr>
          <w:lang w:val="en-GB"/>
        </w:rPr>
        <w:t xml:space="preserve">amparo </w:t>
      </w:r>
      <w:r w:rsidR="007C5053" w:rsidRPr="00DE72B2">
        <w:rPr>
          <w:lang w:val="en-GB"/>
        </w:rPr>
        <w:t>request filed by</w:t>
      </w:r>
      <w:r w:rsidR="007C5053" w:rsidRPr="00E253C8">
        <w:rPr>
          <w:lang w:val="en-GB"/>
        </w:rPr>
        <w:t xml:space="preserve"> the State Attorney’s Office against </w:t>
      </w:r>
      <w:r w:rsidR="00C068D4" w:rsidRPr="00E253C8">
        <w:rPr>
          <w:lang w:val="en-GB"/>
        </w:rPr>
        <w:t xml:space="preserve">the change of classification </w:t>
      </w:r>
      <w:r w:rsidR="007C5053" w:rsidRPr="00E253C8">
        <w:rPr>
          <w:lang w:val="en-GB"/>
        </w:rPr>
        <w:t>of the crime from femicide to homicide.</w:t>
      </w:r>
    </w:p>
    <w:p w14:paraId="51D51D41" w14:textId="5D73C37C" w:rsidR="00E03012" w:rsidRPr="00E253C8" w:rsidRDefault="00B807FF" w:rsidP="004143CF">
      <w:pPr>
        <w:pStyle w:val="SingleTxtG"/>
        <w:rPr>
          <w:lang w:val="en-GB"/>
        </w:rPr>
      </w:pPr>
      <w:r w:rsidRPr="00E253C8">
        <w:rPr>
          <w:lang w:val="en-GB"/>
        </w:rPr>
        <w:t>4</w:t>
      </w:r>
      <w:r w:rsidR="0084387B">
        <w:rPr>
          <w:lang w:val="en-GB"/>
        </w:rPr>
        <w:t>3</w:t>
      </w:r>
      <w:r w:rsidR="006029F5" w:rsidRPr="00E253C8">
        <w:rPr>
          <w:lang w:val="en-GB"/>
        </w:rPr>
        <w:t>.</w:t>
      </w:r>
      <w:r w:rsidR="006029F5" w:rsidRPr="00E253C8">
        <w:rPr>
          <w:lang w:val="en-GB"/>
        </w:rPr>
        <w:tab/>
      </w:r>
      <w:r w:rsidR="004143CF" w:rsidRPr="00E253C8">
        <w:rPr>
          <w:lang w:val="en-GB"/>
        </w:rPr>
        <w:t xml:space="preserve">In August, the Inter-American Court of Human Rights declared </w:t>
      </w:r>
      <w:r w:rsidR="0044481E" w:rsidRPr="00E253C8">
        <w:rPr>
          <w:lang w:val="en-GB"/>
        </w:rPr>
        <w:t xml:space="preserve">the </w:t>
      </w:r>
      <w:r w:rsidR="004143CF" w:rsidRPr="00E253C8">
        <w:rPr>
          <w:lang w:val="en-GB"/>
        </w:rPr>
        <w:t xml:space="preserve">international responsibility </w:t>
      </w:r>
      <w:r w:rsidR="0044481E" w:rsidRPr="00E253C8">
        <w:rPr>
          <w:lang w:val="en-GB"/>
        </w:rPr>
        <w:t xml:space="preserve">of Honduras </w:t>
      </w:r>
      <w:r w:rsidR="004143CF" w:rsidRPr="00E253C8">
        <w:rPr>
          <w:lang w:val="en-GB"/>
        </w:rPr>
        <w:t>for the extrajudicial execution of Herminio Deras in 1983</w:t>
      </w:r>
      <w:r w:rsidR="00076692" w:rsidRPr="00E253C8">
        <w:rPr>
          <w:rStyle w:val="FootnoteReference"/>
          <w:lang w:val="en-GB"/>
        </w:rPr>
        <w:footnoteReference w:id="20"/>
      </w:r>
      <w:r w:rsidR="004143CF" w:rsidRPr="00E253C8">
        <w:rPr>
          <w:lang w:val="en-GB"/>
        </w:rPr>
        <w:t xml:space="preserve"> and ordered the adoption of a national policy of historical memory. The </w:t>
      </w:r>
      <w:r w:rsidR="00076692" w:rsidRPr="00E253C8">
        <w:rPr>
          <w:lang w:val="en-GB"/>
        </w:rPr>
        <w:t>G</w:t>
      </w:r>
      <w:r w:rsidR="004143CF" w:rsidRPr="00E253C8">
        <w:rPr>
          <w:lang w:val="en-GB"/>
        </w:rPr>
        <w:t>overnment</w:t>
      </w:r>
      <w:r w:rsidR="003C6D24" w:rsidRPr="00E253C8">
        <w:rPr>
          <w:lang w:val="en-GB"/>
        </w:rPr>
        <w:t xml:space="preserve"> took steps towards the promotion </w:t>
      </w:r>
      <w:r w:rsidR="00076692" w:rsidRPr="00E253C8">
        <w:rPr>
          <w:lang w:val="en-GB"/>
        </w:rPr>
        <w:t xml:space="preserve">of </w:t>
      </w:r>
      <w:r w:rsidR="004143CF" w:rsidRPr="00E253C8">
        <w:rPr>
          <w:lang w:val="en-GB"/>
        </w:rPr>
        <w:t>memory and recognition of the victims of the 1980s and the 2009 coup d'état.</w:t>
      </w:r>
    </w:p>
    <w:p w14:paraId="1008393F" w14:textId="6BD7AB54" w:rsidR="009C640C" w:rsidRPr="00E253C8" w:rsidRDefault="001C7073" w:rsidP="001C7073">
      <w:pPr>
        <w:pStyle w:val="H1G"/>
        <w:rPr>
          <w:rFonts w:eastAsia="Calibri"/>
          <w:lang w:val="en-GB"/>
        </w:rPr>
      </w:pPr>
      <w:r w:rsidRPr="00E253C8">
        <w:rPr>
          <w:rFonts w:eastAsia="Calibri"/>
          <w:lang w:val="en-GB"/>
        </w:rPr>
        <w:tab/>
        <w:t>C.</w:t>
      </w:r>
      <w:r w:rsidRPr="00E253C8">
        <w:rPr>
          <w:rFonts w:eastAsia="Calibri"/>
          <w:lang w:val="en-GB"/>
        </w:rPr>
        <w:tab/>
      </w:r>
      <w:r w:rsidRPr="00E253C8">
        <w:rPr>
          <w:rFonts w:eastAsia="Calibri"/>
          <w:lang w:val="en-GB"/>
        </w:rPr>
        <w:tab/>
      </w:r>
      <w:r w:rsidR="00335972" w:rsidRPr="00E253C8">
        <w:rPr>
          <w:rStyle w:val="eop"/>
          <w:lang w:val="en-GB"/>
        </w:rPr>
        <w:t>Security and Human Rights</w:t>
      </w:r>
    </w:p>
    <w:p w14:paraId="77CD33C1" w14:textId="0F4F605A" w:rsidR="00335972" w:rsidRPr="00E253C8" w:rsidRDefault="00B807FF" w:rsidP="0084387B">
      <w:pPr>
        <w:pStyle w:val="SingleTxtG"/>
        <w:rPr>
          <w:rStyle w:val="eop"/>
          <w:lang w:val="en-GB"/>
        </w:rPr>
      </w:pPr>
      <w:r w:rsidRPr="00E253C8">
        <w:rPr>
          <w:rStyle w:val="eop"/>
          <w:lang w:val="en-GB"/>
        </w:rPr>
        <w:t>4</w:t>
      </w:r>
      <w:r w:rsidR="0084387B">
        <w:rPr>
          <w:rStyle w:val="eop"/>
          <w:lang w:val="en-GB"/>
        </w:rPr>
        <w:t>4</w:t>
      </w:r>
      <w:r w:rsidR="0077605C" w:rsidRPr="00E253C8">
        <w:rPr>
          <w:rStyle w:val="eop"/>
          <w:lang w:val="en-GB"/>
        </w:rPr>
        <w:t>.</w:t>
      </w:r>
      <w:r w:rsidR="0077605C" w:rsidRPr="00E253C8">
        <w:rPr>
          <w:rStyle w:val="eop"/>
          <w:lang w:val="en-GB"/>
        </w:rPr>
        <w:tab/>
      </w:r>
      <w:r w:rsidR="00335972" w:rsidRPr="00E253C8">
        <w:rPr>
          <w:rStyle w:val="eop"/>
          <w:lang w:val="en-GB"/>
        </w:rPr>
        <w:t xml:space="preserve">In 2022, the rate of violent deaths </w:t>
      </w:r>
      <w:r w:rsidR="006A0EE6" w:rsidRPr="00E253C8">
        <w:rPr>
          <w:rStyle w:val="eop"/>
          <w:lang w:val="en-GB"/>
        </w:rPr>
        <w:t xml:space="preserve">between January and September </w:t>
      </w:r>
      <w:r w:rsidR="00761434" w:rsidRPr="00E253C8">
        <w:rPr>
          <w:rStyle w:val="eop"/>
          <w:lang w:val="en-GB"/>
        </w:rPr>
        <w:t xml:space="preserve">decreased </w:t>
      </w:r>
      <w:r w:rsidR="00335972" w:rsidRPr="00E253C8">
        <w:rPr>
          <w:rStyle w:val="eop"/>
          <w:lang w:val="en-GB"/>
        </w:rPr>
        <w:t>by 13.2% for men and 14.7% for women compared to the same period in 2021</w:t>
      </w:r>
      <w:r w:rsidR="00335972" w:rsidRPr="00E253C8">
        <w:rPr>
          <w:rStyle w:val="FootnoteReference"/>
          <w:lang w:val="en-GB"/>
        </w:rPr>
        <w:footnoteReference w:id="21"/>
      </w:r>
      <w:r w:rsidR="00335972" w:rsidRPr="00E253C8">
        <w:rPr>
          <w:rStyle w:val="eop"/>
          <w:lang w:val="en-GB"/>
        </w:rPr>
        <w:t xml:space="preserve">. </w:t>
      </w:r>
      <w:r w:rsidR="00443249" w:rsidRPr="00E253C8">
        <w:rPr>
          <w:lang w:val="en-GB"/>
        </w:rPr>
        <w:t xml:space="preserve">It is concerning that </w:t>
      </w:r>
      <w:r w:rsidR="00335972" w:rsidRPr="00E253C8">
        <w:rPr>
          <w:rStyle w:val="eop"/>
          <w:lang w:val="en-GB"/>
        </w:rPr>
        <w:t xml:space="preserve">the use of firearms </w:t>
      </w:r>
      <w:r w:rsidR="006A0EE6">
        <w:rPr>
          <w:rStyle w:val="eop"/>
          <w:lang w:val="en-GB"/>
        </w:rPr>
        <w:t xml:space="preserve">remains </w:t>
      </w:r>
      <w:r w:rsidR="00335972" w:rsidRPr="00E253C8">
        <w:rPr>
          <w:rStyle w:val="eop"/>
          <w:lang w:val="en-GB"/>
        </w:rPr>
        <w:t>the main cause of violent deaths (77.8% for men, 69.3% for women), mainly due to the lack of effective gun control, and that young people are the most affected (40%).</w:t>
      </w:r>
    </w:p>
    <w:p w14:paraId="24518615" w14:textId="42224792" w:rsidR="00D110F3" w:rsidRPr="00E253C8" w:rsidRDefault="00B807FF" w:rsidP="0084387B">
      <w:pPr>
        <w:pStyle w:val="SingleTxtG"/>
        <w:rPr>
          <w:rStyle w:val="eop"/>
          <w:lang w:val="en-GB"/>
        </w:rPr>
      </w:pPr>
      <w:r w:rsidRPr="00E253C8">
        <w:rPr>
          <w:rStyle w:val="eop"/>
          <w:lang w:val="en-GB"/>
        </w:rPr>
        <w:t>4</w:t>
      </w:r>
      <w:r w:rsidR="0084387B">
        <w:rPr>
          <w:rStyle w:val="eop"/>
          <w:lang w:val="en-GB"/>
        </w:rPr>
        <w:t>5</w:t>
      </w:r>
      <w:r w:rsidR="0077605C" w:rsidRPr="00E253C8">
        <w:rPr>
          <w:rStyle w:val="eop"/>
          <w:lang w:val="en-GB"/>
        </w:rPr>
        <w:t>.</w:t>
      </w:r>
      <w:r w:rsidR="0077605C" w:rsidRPr="00E253C8">
        <w:rPr>
          <w:rStyle w:val="eop"/>
          <w:lang w:val="en-GB"/>
        </w:rPr>
        <w:tab/>
      </w:r>
      <w:r w:rsidR="00D110F3" w:rsidRPr="00E253C8">
        <w:rPr>
          <w:rStyle w:val="eop"/>
          <w:lang w:val="en-GB"/>
        </w:rPr>
        <w:t xml:space="preserve">The declared commitment of the Government to demilitarize citizen security is an important step forward; however, </w:t>
      </w:r>
      <w:r w:rsidR="00546048">
        <w:rPr>
          <w:rStyle w:val="eop"/>
          <w:lang w:val="en-GB"/>
        </w:rPr>
        <w:t xml:space="preserve">progress </w:t>
      </w:r>
      <w:r w:rsidR="00D110F3" w:rsidRPr="00E253C8">
        <w:rPr>
          <w:rStyle w:val="eop"/>
          <w:lang w:val="en-GB"/>
        </w:rPr>
        <w:t xml:space="preserve">has been hindered by the continued presence of the Public Order Military Police in undertaking citizen security tasks. </w:t>
      </w:r>
    </w:p>
    <w:p w14:paraId="15859B1C" w14:textId="27635AAB" w:rsidR="00076692" w:rsidRPr="00E253C8" w:rsidRDefault="00335972" w:rsidP="0084387B">
      <w:pPr>
        <w:pStyle w:val="SingleTxtG"/>
        <w:rPr>
          <w:rStyle w:val="eop"/>
          <w:lang w:val="en-GB"/>
        </w:rPr>
      </w:pPr>
      <w:r w:rsidRPr="00E253C8">
        <w:rPr>
          <w:rStyle w:val="eop"/>
          <w:lang w:val="en-GB"/>
        </w:rPr>
        <w:t>4</w:t>
      </w:r>
      <w:r w:rsidR="0084387B">
        <w:rPr>
          <w:rStyle w:val="eop"/>
          <w:lang w:val="en-GB"/>
        </w:rPr>
        <w:t>6</w:t>
      </w:r>
      <w:r w:rsidRPr="00E253C8">
        <w:rPr>
          <w:rStyle w:val="eop"/>
          <w:lang w:val="en-GB"/>
        </w:rPr>
        <w:t>.</w:t>
      </w:r>
      <w:r w:rsidRPr="00E253C8">
        <w:rPr>
          <w:rStyle w:val="eop"/>
          <w:lang w:val="en-GB"/>
        </w:rPr>
        <w:tab/>
        <w:t xml:space="preserve">In March, the National Congress repealed the "Secrecy Law", contributing to accountability and transparency in the public </w:t>
      </w:r>
      <w:r w:rsidR="00313018" w:rsidRPr="00E253C8">
        <w:rPr>
          <w:rStyle w:val="eop"/>
          <w:lang w:val="en-GB"/>
        </w:rPr>
        <w:t xml:space="preserve">administration </w:t>
      </w:r>
      <w:r w:rsidRPr="00E253C8">
        <w:rPr>
          <w:rStyle w:val="eop"/>
          <w:lang w:val="en-GB"/>
        </w:rPr>
        <w:t>of security and</w:t>
      </w:r>
      <w:r w:rsidR="00D20A56">
        <w:rPr>
          <w:rStyle w:val="eop"/>
          <w:lang w:val="en-GB"/>
        </w:rPr>
        <w:t xml:space="preserve"> defence</w:t>
      </w:r>
      <w:r w:rsidRPr="00E253C8">
        <w:rPr>
          <w:rStyle w:val="eop"/>
          <w:lang w:val="en-GB"/>
        </w:rPr>
        <w:t>.</w:t>
      </w:r>
    </w:p>
    <w:p w14:paraId="2F4E9284" w14:textId="3D1F5D0A" w:rsidR="00DD2581" w:rsidRPr="00E253C8" w:rsidRDefault="000E2523" w:rsidP="0084387B">
      <w:pPr>
        <w:pStyle w:val="SingleTxtG"/>
        <w:rPr>
          <w:rStyle w:val="eop"/>
          <w:lang w:val="en-GB"/>
        </w:rPr>
      </w:pPr>
      <w:r w:rsidRPr="00E253C8">
        <w:rPr>
          <w:rStyle w:val="eop"/>
          <w:lang w:val="en-GB"/>
        </w:rPr>
        <w:t>4</w:t>
      </w:r>
      <w:r w:rsidR="0084387B">
        <w:rPr>
          <w:rStyle w:val="eop"/>
          <w:lang w:val="en-GB"/>
        </w:rPr>
        <w:t>7</w:t>
      </w:r>
      <w:r w:rsidR="0077605C" w:rsidRPr="00E253C8">
        <w:rPr>
          <w:rStyle w:val="eop"/>
          <w:lang w:val="en-GB"/>
        </w:rPr>
        <w:t>.</w:t>
      </w:r>
      <w:r w:rsidR="0077605C" w:rsidRPr="00E253C8">
        <w:rPr>
          <w:rStyle w:val="eop"/>
          <w:lang w:val="en-GB"/>
        </w:rPr>
        <w:tab/>
      </w:r>
      <w:r w:rsidR="002068E3" w:rsidRPr="00E253C8">
        <w:rPr>
          <w:rStyle w:val="eop"/>
          <w:lang w:val="en-GB"/>
        </w:rPr>
        <w:t>The Office welcomes the closure of the National Inter-Institutional Security Force and the transfer of the National Anti-Mara and Gang</w:t>
      </w:r>
      <w:r w:rsidR="00546048">
        <w:rPr>
          <w:rStyle w:val="eop"/>
          <w:lang w:val="en-GB"/>
        </w:rPr>
        <w:t>s</w:t>
      </w:r>
      <w:r w:rsidR="002068E3" w:rsidRPr="00E253C8">
        <w:rPr>
          <w:rStyle w:val="eop"/>
          <w:lang w:val="en-GB"/>
        </w:rPr>
        <w:t xml:space="preserve"> Force to the Secretariat of Security through the </w:t>
      </w:r>
      <w:r w:rsidR="00DD2581" w:rsidRPr="00E253C8">
        <w:rPr>
          <w:rStyle w:val="eop"/>
          <w:lang w:val="en-GB"/>
        </w:rPr>
        <w:t xml:space="preserve">establishment </w:t>
      </w:r>
      <w:r w:rsidR="002068E3" w:rsidRPr="00E253C8">
        <w:rPr>
          <w:rStyle w:val="eop"/>
          <w:lang w:val="en-GB"/>
        </w:rPr>
        <w:t xml:space="preserve">of the </w:t>
      </w:r>
      <w:r w:rsidR="00133CEE" w:rsidRPr="00E253C8">
        <w:rPr>
          <w:rStyle w:val="eop"/>
          <w:lang w:val="en-GB"/>
        </w:rPr>
        <w:t xml:space="preserve">Police Directorate against </w:t>
      </w:r>
      <w:r w:rsidR="002068E3" w:rsidRPr="00E253C8">
        <w:rPr>
          <w:rStyle w:val="eop"/>
          <w:lang w:val="en-GB"/>
        </w:rPr>
        <w:t>Mara</w:t>
      </w:r>
      <w:r w:rsidR="005F000E" w:rsidRPr="00E253C8">
        <w:rPr>
          <w:rStyle w:val="eop"/>
          <w:lang w:val="en-GB"/>
        </w:rPr>
        <w:t xml:space="preserve">s, </w:t>
      </w:r>
      <w:r w:rsidR="002068E3" w:rsidRPr="00E253C8">
        <w:rPr>
          <w:rStyle w:val="eop"/>
          <w:lang w:val="en-GB"/>
        </w:rPr>
        <w:t>Gang</w:t>
      </w:r>
      <w:r w:rsidR="00546048">
        <w:rPr>
          <w:rStyle w:val="eop"/>
          <w:lang w:val="en-GB"/>
        </w:rPr>
        <w:t>s</w:t>
      </w:r>
      <w:r w:rsidR="002068E3" w:rsidRPr="00E253C8">
        <w:rPr>
          <w:rStyle w:val="eop"/>
          <w:lang w:val="en-GB"/>
        </w:rPr>
        <w:t xml:space="preserve"> </w:t>
      </w:r>
      <w:r w:rsidR="005F000E" w:rsidRPr="00E253C8">
        <w:rPr>
          <w:rStyle w:val="eop"/>
          <w:lang w:val="en-GB"/>
        </w:rPr>
        <w:t xml:space="preserve">and </w:t>
      </w:r>
      <w:r w:rsidR="002068E3" w:rsidRPr="00E253C8">
        <w:rPr>
          <w:rStyle w:val="eop"/>
          <w:lang w:val="en-GB"/>
        </w:rPr>
        <w:t xml:space="preserve">Organized Crime. However, this transfer </w:t>
      </w:r>
      <w:r w:rsidR="00DD2581" w:rsidRPr="00E253C8">
        <w:rPr>
          <w:rStyle w:val="eop"/>
          <w:lang w:val="en-GB"/>
        </w:rPr>
        <w:t xml:space="preserve">did not </w:t>
      </w:r>
      <w:r w:rsidR="002068E3" w:rsidRPr="00E253C8">
        <w:rPr>
          <w:rStyle w:val="eop"/>
          <w:lang w:val="en-GB"/>
        </w:rPr>
        <w:t xml:space="preserve">result in a decrease in the </w:t>
      </w:r>
      <w:r w:rsidR="002068E3" w:rsidRPr="00E253C8">
        <w:rPr>
          <w:rStyle w:val="eop"/>
          <w:lang w:val="en-GB"/>
        </w:rPr>
        <w:lastRenderedPageBreak/>
        <w:t xml:space="preserve">number of cases of unnecessary or disproportionate use of force. </w:t>
      </w:r>
    </w:p>
    <w:p w14:paraId="1C48729A" w14:textId="2B471498" w:rsidR="002068E3" w:rsidRPr="00E253C8" w:rsidRDefault="002068E3" w:rsidP="0084387B">
      <w:pPr>
        <w:pStyle w:val="SingleTxtG"/>
        <w:rPr>
          <w:rStyle w:val="eop"/>
          <w:lang w:val="en-GB"/>
        </w:rPr>
      </w:pPr>
      <w:r w:rsidRPr="00E253C8">
        <w:rPr>
          <w:rStyle w:val="eop"/>
          <w:lang w:val="en-GB"/>
        </w:rPr>
        <w:t>4</w:t>
      </w:r>
      <w:r w:rsidR="0084387B">
        <w:rPr>
          <w:rStyle w:val="eop"/>
          <w:lang w:val="en-GB"/>
        </w:rPr>
        <w:t>8</w:t>
      </w:r>
      <w:r w:rsidRPr="00E253C8">
        <w:rPr>
          <w:rStyle w:val="eop"/>
          <w:lang w:val="en-GB"/>
        </w:rPr>
        <w:t>. Abuses by the National Anti-Mara and Gang</w:t>
      </w:r>
      <w:r w:rsidR="00546048">
        <w:rPr>
          <w:rStyle w:val="eop"/>
          <w:lang w:val="en-GB"/>
        </w:rPr>
        <w:t>s</w:t>
      </w:r>
      <w:r w:rsidRPr="00E253C8">
        <w:rPr>
          <w:rStyle w:val="eop"/>
          <w:lang w:val="en-GB"/>
        </w:rPr>
        <w:t xml:space="preserve"> Force continued to be reported. On 25 February, the Office documented an irregular raid in Marcovia, Choluteca, when </w:t>
      </w:r>
      <w:r w:rsidR="00134AF5" w:rsidRPr="00E253C8">
        <w:rPr>
          <w:rStyle w:val="eop"/>
          <w:lang w:val="en-GB"/>
        </w:rPr>
        <w:t xml:space="preserve">officers from </w:t>
      </w:r>
      <w:r w:rsidRPr="00E253C8">
        <w:rPr>
          <w:rStyle w:val="eop"/>
          <w:lang w:val="en-GB"/>
        </w:rPr>
        <w:t xml:space="preserve">this Force made unnecessary use of lethal weapons, firing </w:t>
      </w:r>
      <w:r w:rsidR="00134AF5" w:rsidRPr="00E253C8">
        <w:rPr>
          <w:rStyle w:val="eop"/>
          <w:lang w:val="en-GB"/>
        </w:rPr>
        <w:t xml:space="preserve">against </w:t>
      </w:r>
      <w:r w:rsidRPr="00E253C8">
        <w:rPr>
          <w:rStyle w:val="eop"/>
          <w:lang w:val="en-GB"/>
        </w:rPr>
        <w:t>the population</w:t>
      </w:r>
      <w:r w:rsidR="00D507D6" w:rsidRPr="00E253C8">
        <w:rPr>
          <w:rStyle w:val="eop"/>
          <w:lang w:val="en-GB"/>
        </w:rPr>
        <w:t xml:space="preserve">, </w:t>
      </w:r>
      <w:r w:rsidR="00EA63DB" w:rsidRPr="00E253C8">
        <w:rPr>
          <w:rStyle w:val="eop"/>
          <w:lang w:val="en-GB"/>
        </w:rPr>
        <w:t xml:space="preserve">killing one and wounding four other men. </w:t>
      </w:r>
      <w:r w:rsidR="00D26BB9">
        <w:rPr>
          <w:rStyle w:val="eop"/>
          <w:lang w:val="en-GB"/>
        </w:rPr>
        <w:t>While t</w:t>
      </w:r>
      <w:r w:rsidRPr="00E253C8">
        <w:rPr>
          <w:rStyle w:val="eop"/>
          <w:lang w:val="en-GB"/>
        </w:rPr>
        <w:t>he investigation continues</w:t>
      </w:r>
      <w:r w:rsidR="00096915" w:rsidRPr="00E253C8">
        <w:rPr>
          <w:rStyle w:val="eop"/>
          <w:lang w:val="en-GB"/>
        </w:rPr>
        <w:t xml:space="preserve">, no charges have been made </w:t>
      </w:r>
      <w:r w:rsidRPr="00E253C8">
        <w:rPr>
          <w:rStyle w:val="eop"/>
          <w:lang w:val="en-GB"/>
        </w:rPr>
        <w:t xml:space="preserve">against the alleged perpetrators, </w:t>
      </w:r>
      <w:r w:rsidR="00D507D6" w:rsidRPr="00E253C8">
        <w:rPr>
          <w:rStyle w:val="eop"/>
          <w:lang w:val="en-GB"/>
        </w:rPr>
        <w:t xml:space="preserve">thereby </w:t>
      </w:r>
      <w:r w:rsidRPr="00E253C8">
        <w:rPr>
          <w:rStyle w:val="eop"/>
          <w:lang w:val="en-GB"/>
        </w:rPr>
        <w:t xml:space="preserve">compromising </w:t>
      </w:r>
      <w:r w:rsidR="00D507D6" w:rsidRPr="00E253C8">
        <w:rPr>
          <w:rStyle w:val="eop"/>
          <w:lang w:val="en-GB"/>
        </w:rPr>
        <w:t xml:space="preserve">the right to </w:t>
      </w:r>
      <w:r w:rsidRPr="00E253C8">
        <w:rPr>
          <w:rStyle w:val="eop"/>
          <w:lang w:val="en-GB"/>
        </w:rPr>
        <w:t>prompt and effective justice for the victims.</w:t>
      </w:r>
    </w:p>
    <w:p w14:paraId="451A7D66" w14:textId="5DD8DDB8" w:rsidR="00637FDA" w:rsidRPr="00E253C8" w:rsidRDefault="0084387B" w:rsidP="0084387B">
      <w:pPr>
        <w:pStyle w:val="SingleTxtG"/>
        <w:rPr>
          <w:rStyle w:val="eop"/>
          <w:lang w:val="en-GB"/>
        </w:rPr>
      </w:pPr>
      <w:r>
        <w:rPr>
          <w:rStyle w:val="eop"/>
          <w:lang w:val="en-GB"/>
        </w:rPr>
        <w:t>49</w:t>
      </w:r>
      <w:r w:rsidR="004D367B" w:rsidRPr="00E253C8">
        <w:rPr>
          <w:rStyle w:val="eop"/>
          <w:lang w:val="en-GB"/>
        </w:rPr>
        <w:t>.</w:t>
      </w:r>
      <w:r w:rsidR="004D367B" w:rsidRPr="00E253C8">
        <w:rPr>
          <w:rStyle w:val="eop"/>
          <w:lang w:val="en-GB"/>
        </w:rPr>
        <w:tab/>
        <w:t xml:space="preserve">On 31 May, members of said Force fired shots during a foot chase </w:t>
      </w:r>
      <w:r w:rsidR="003355B9" w:rsidRPr="00E253C8">
        <w:rPr>
          <w:rStyle w:val="eop"/>
          <w:lang w:val="en-GB"/>
        </w:rPr>
        <w:t xml:space="preserve">of </w:t>
      </w:r>
      <w:r w:rsidR="004D367B" w:rsidRPr="00E253C8">
        <w:rPr>
          <w:rStyle w:val="eop"/>
          <w:lang w:val="en-GB"/>
        </w:rPr>
        <w:t>a 21</w:t>
      </w:r>
      <w:r w:rsidR="004D367B" w:rsidRPr="00E253C8">
        <w:rPr>
          <w:rStyle w:val="eop"/>
          <w:lang w:val="en-GB"/>
        </w:rPr>
        <w:noBreakHyphen/>
        <w:t>year</w:t>
      </w:r>
      <w:r w:rsidR="004D367B" w:rsidRPr="00E253C8">
        <w:rPr>
          <w:rStyle w:val="eop"/>
          <w:lang w:val="en-GB"/>
        </w:rPr>
        <w:noBreakHyphen/>
        <w:t xml:space="preserve">old man who was under investigation for allegedly assaulting a Police officer </w:t>
      </w:r>
      <w:r w:rsidR="00520D98" w:rsidRPr="00E253C8">
        <w:rPr>
          <w:rStyle w:val="eop"/>
          <w:lang w:val="en-GB"/>
        </w:rPr>
        <w:t xml:space="preserve">during </w:t>
      </w:r>
      <w:r w:rsidR="004D367B" w:rsidRPr="00E253C8">
        <w:rPr>
          <w:rStyle w:val="eop"/>
          <w:lang w:val="en-GB"/>
        </w:rPr>
        <w:t xml:space="preserve">a </w:t>
      </w:r>
      <w:r w:rsidR="00520D98" w:rsidRPr="00E253C8">
        <w:rPr>
          <w:rStyle w:val="eop"/>
          <w:lang w:val="en-GB"/>
        </w:rPr>
        <w:t xml:space="preserve">football </w:t>
      </w:r>
      <w:r w:rsidR="004D367B" w:rsidRPr="00E253C8">
        <w:rPr>
          <w:rStyle w:val="eop"/>
          <w:lang w:val="en-GB"/>
        </w:rPr>
        <w:t xml:space="preserve">match. The Office documented the excessive use of force </w:t>
      </w:r>
      <w:r w:rsidR="00F13A2B" w:rsidRPr="00E253C8">
        <w:rPr>
          <w:rStyle w:val="eop"/>
          <w:lang w:val="en-GB"/>
        </w:rPr>
        <w:t xml:space="preserve">during </w:t>
      </w:r>
      <w:r w:rsidR="004D367B" w:rsidRPr="00E253C8">
        <w:rPr>
          <w:rStyle w:val="eop"/>
          <w:lang w:val="en-GB"/>
        </w:rPr>
        <w:t xml:space="preserve">illegal and arbitrary searches of homes without warrants </w:t>
      </w:r>
      <w:r w:rsidR="00014824" w:rsidRPr="00E253C8">
        <w:rPr>
          <w:rStyle w:val="eop"/>
          <w:lang w:val="en-GB"/>
        </w:rPr>
        <w:t xml:space="preserve">in the context of </w:t>
      </w:r>
      <w:r w:rsidR="004D367B" w:rsidRPr="00E253C8">
        <w:rPr>
          <w:rStyle w:val="eop"/>
          <w:lang w:val="en-GB"/>
        </w:rPr>
        <w:t xml:space="preserve">search </w:t>
      </w:r>
      <w:r w:rsidR="00131A48" w:rsidRPr="00E253C8">
        <w:rPr>
          <w:rStyle w:val="eop"/>
          <w:lang w:val="en-GB"/>
        </w:rPr>
        <w:t>operations</w:t>
      </w:r>
      <w:r w:rsidR="00933DFC">
        <w:rPr>
          <w:rStyle w:val="eop"/>
          <w:lang w:val="en-GB"/>
        </w:rPr>
        <w:t xml:space="preserve"> for the man</w:t>
      </w:r>
      <w:r w:rsidR="004D367B" w:rsidRPr="00E253C8">
        <w:rPr>
          <w:rStyle w:val="eop"/>
          <w:lang w:val="en-GB"/>
        </w:rPr>
        <w:t xml:space="preserve">. After the </w:t>
      </w:r>
      <w:r w:rsidR="00131A48" w:rsidRPr="00E253C8">
        <w:rPr>
          <w:rStyle w:val="eop"/>
          <w:lang w:val="en-GB"/>
        </w:rPr>
        <w:t xml:space="preserve">State Attorney’s </w:t>
      </w:r>
      <w:r w:rsidR="004D367B" w:rsidRPr="00E253C8">
        <w:rPr>
          <w:rStyle w:val="eop"/>
          <w:lang w:val="en-GB"/>
        </w:rPr>
        <w:t xml:space="preserve">Office filed an </w:t>
      </w:r>
      <w:r w:rsidR="006A5099" w:rsidRPr="00E253C8">
        <w:rPr>
          <w:rStyle w:val="eop"/>
          <w:lang w:val="en-GB"/>
        </w:rPr>
        <w:t xml:space="preserve">appeal </w:t>
      </w:r>
      <w:r w:rsidR="006767F5" w:rsidRPr="00E253C8">
        <w:rPr>
          <w:rStyle w:val="eop"/>
          <w:lang w:val="en-GB"/>
        </w:rPr>
        <w:t xml:space="preserve">based </w:t>
      </w:r>
      <w:r w:rsidR="004D367B" w:rsidRPr="00E253C8">
        <w:rPr>
          <w:rStyle w:val="eop"/>
          <w:lang w:val="en-GB"/>
        </w:rPr>
        <w:t xml:space="preserve">on the Minnesota protocol, on </w:t>
      </w:r>
      <w:r w:rsidR="006767F5" w:rsidRPr="00E253C8">
        <w:rPr>
          <w:rStyle w:val="eop"/>
          <w:lang w:val="en-GB"/>
        </w:rPr>
        <w:t xml:space="preserve">23 </w:t>
      </w:r>
      <w:r w:rsidR="004D367B" w:rsidRPr="00E253C8">
        <w:rPr>
          <w:rStyle w:val="eop"/>
          <w:lang w:val="en-GB"/>
        </w:rPr>
        <w:t>October</w:t>
      </w:r>
      <w:r w:rsidR="006767F5" w:rsidRPr="00E253C8">
        <w:rPr>
          <w:rStyle w:val="eop"/>
          <w:lang w:val="en-GB"/>
        </w:rPr>
        <w:t xml:space="preserve"> </w:t>
      </w:r>
      <w:r w:rsidR="004D367B" w:rsidRPr="00E253C8">
        <w:rPr>
          <w:rStyle w:val="eop"/>
          <w:lang w:val="en-GB"/>
        </w:rPr>
        <w:t>the Criminal Court of San Pedro Sula indicted four members of the Force for murder, torture, concealment and falsification of public documents</w:t>
      </w:r>
      <w:r w:rsidR="0076268F" w:rsidRPr="00E253C8">
        <w:rPr>
          <w:rStyle w:val="FootnoteReference"/>
          <w:lang w:val="en-GB"/>
        </w:rPr>
        <w:footnoteReference w:id="22"/>
      </w:r>
      <w:r w:rsidR="004D367B" w:rsidRPr="00E253C8">
        <w:rPr>
          <w:rStyle w:val="eop"/>
          <w:lang w:val="en-GB"/>
        </w:rPr>
        <w:t>.</w:t>
      </w:r>
    </w:p>
    <w:p w14:paraId="4E204686" w14:textId="30994F6A" w:rsidR="00393375" w:rsidRPr="00E253C8" w:rsidRDefault="000E2523" w:rsidP="002905F4">
      <w:pPr>
        <w:pStyle w:val="SingleTxtG"/>
        <w:rPr>
          <w:rStyle w:val="eop"/>
          <w:lang w:val="en-GB"/>
        </w:rPr>
      </w:pPr>
      <w:r w:rsidRPr="00E253C8">
        <w:rPr>
          <w:rStyle w:val="eop"/>
          <w:lang w:val="en-GB"/>
        </w:rPr>
        <w:t>5</w:t>
      </w:r>
      <w:r w:rsidR="0084387B">
        <w:rPr>
          <w:rStyle w:val="eop"/>
          <w:lang w:val="en-GB"/>
        </w:rPr>
        <w:t>0</w:t>
      </w:r>
      <w:r w:rsidR="00440DCF" w:rsidRPr="00E253C8">
        <w:rPr>
          <w:rStyle w:val="eop"/>
          <w:lang w:val="en-GB"/>
        </w:rPr>
        <w:t>.</w:t>
      </w:r>
      <w:r w:rsidR="00440DCF" w:rsidRPr="00E253C8">
        <w:rPr>
          <w:rStyle w:val="eop"/>
          <w:lang w:val="en-GB"/>
        </w:rPr>
        <w:tab/>
      </w:r>
      <w:r w:rsidR="00940AEE" w:rsidRPr="00E253C8">
        <w:rPr>
          <w:rStyle w:val="eop"/>
          <w:lang w:val="en-GB"/>
        </w:rPr>
        <w:t xml:space="preserve">The Office </w:t>
      </w:r>
      <w:r w:rsidR="00952DBD" w:rsidRPr="00E253C8">
        <w:rPr>
          <w:rStyle w:val="eop"/>
          <w:lang w:val="en-GB"/>
        </w:rPr>
        <w:t xml:space="preserve">registered </w:t>
      </w:r>
      <w:r w:rsidR="00940AEE" w:rsidRPr="00E253C8">
        <w:rPr>
          <w:rStyle w:val="eop"/>
          <w:lang w:val="en-GB"/>
        </w:rPr>
        <w:t>the death</w:t>
      </w:r>
      <w:r w:rsidR="002F2977" w:rsidRPr="00E253C8">
        <w:rPr>
          <w:rStyle w:val="eop"/>
          <w:lang w:val="en-GB"/>
        </w:rPr>
        <w:t>s</w:t>
      </w:r>
      <w:r w:rsidR="00940AEE" w:rsidRPr="00E253C8">
        <w:rPr>
          <w:rStyle w:val="eop"/>
          <w:lang w:val="en-GB"/>
        </w:rPr>
        <w:t xml:space="preserve"> of three men in connection with an incident </w:t>
      </w:r>
      <w:r w:rsidR="00952DBD" w:rsidRPr="00E253C8">
        <w:rPr>
          <w:rStyle w:val="eop"/>
          <w:lang w:val="en-GB"/>
        </w:rPr>
        <w:t xml:space="preserve">that took place on 11 </w:t>
      </w:r>
      <w:r w:rsidR="00940AEE" w:rsidRPr="00E253C8">
        <w:rPr>
          <w:rStyle w:val="eop"/>
          <w:lang w:val="en-GB"/>
        </w:rPr>
        <w:t>September during a training course for professionals aspiring to become Auxiliary Police Officers at the National Police Academy in La Paz.</w:t>
      </w:r>
      <w:r w:rsidR="00393375" w:rsidRPr="00E253C8">
        <w:rPr>
          <w:rStyle w:val="eop"/>
          <w:lang w:val="en-GB"/>
        </w:rPr>
        <w:t xml:space="preserve"> </w:t>
      </w:r>
      <w:r w:rsidR="005B118D" w:rsidRPr="00E253C8">
        <w:rPr>
          <w:lang w:val="en-GB"/>
        </w:rPr>
        <w:t xml:space="preserve">The deaths occurred after </w:t>
      </w:r>
      <w:r w:rsidR="00397C37" w:rsidRPr="00E253C8">
        <w:rPr>
          <w:lang w:val="en-GB"/>
        </w:rPr>
        <w:t xml:space="preserve">some 500 </w:t>
      </w:r>
      <w:r w:rsidR="004E2FCC" w:rsidRPr="00E253C8">
        <w:rPr>
          <w:lang w:val="en-GB"/>
        </w:rPr>
        <w:t xml:space="preserve">registered </w:t>
      </w:r>
      <w:r w:rsidR="00393375" w:rsidRPr="00E253C8">
        <w:rPr>
          <w:lang w:val="en-GB"/>
        </w:rPr>
        <w:t xml:space="preserve">trainees </w:t>
      </w:r>
      <w:r w:rsidR="00397C37" w:rsidRPr="00E253C8">
        <w:rPr>
          <w:lang w:val="en-GB"/>
        </w:rPr>
        <w:t xml:space="preserve">were subjected to </w:t>
      </w:r>
      <w:r w:rsidR="005B118D" w:rsidRPr="00E253C8">
        <w:rPr>
          <w:lang w:val="en-GB"/>
        </w:rPr>
        <w:t>excessive and disproportionate training exercises.</w:t>
      </w:r>
      <w:r w:rsidR="002905F4" w:rsidRPr="00E253C8">
        <w:rPr>
          <w:lang w:val="en-GB"/>
        </w:rPr>
        <w:t xml:space="preserve"> </w:t>
      </w:r>
      <w:r w:rsidR="00393375" w:rsidRPr="00E253C8">
        <w:rPr>
          <w:rStyle w:val="eop"/>
          <w:lang w:val="en-GB"/>
        </w:rPr>
        <w:t>The health of a</w:t>
      </w:r>
      <w:r w:rsidR="00940AEE" w:rsidRPr="00E253C8">
        <w:rPr>
          <w:rStyle w:val="eop"/>
          <w:lang w:val="en-GB"/>
        </w:rPr>
        <w:t xml:space="preserve">t least 35 other people </w:t>
      </w:r>
      <w:r w:rsidR="00393375" w:rsidRPr="00E253C8">
        <w:rPr>
          <w:rStyle w:val="eop"/>
          <w:lang w:val="en-GB"/>
        </w:rPr>
        <w:t xml:space="preserve">was </w:t>
      </w:r>
      <w:r w:rsidR="00940AEE" w:rsidRPr="00E253C8">
        <w:rPr>
          <w:rStyle w:val="eop"/>
          <w:lang w:val="en-GB"/>
        </w:rPr>
        <w:t xml:space="preserve">seriously affected </w:t>
      </w:r>
      <w:r w:rsidR="00393375" w:rsidRPr="00E253C8">
        <w:rPr>
          <w:rStyle w:val="eop"/>
          <w:lang w:val="en-GB"/>
        </w:rPr>
        <w:t>as well</w:t>
      </w:r>
      <w:r w:rsidR="002905F4" w:rsidRPr="00E253C8">
        <w:rPr>
          <w:rStyle w:val="eop"/>
          <w:lang w:val="en-GB"/>
        </w:rPr>
        <w:t xml:space="preserve">. </w:t>
      </w:r>
      <w:r w:rsidR="00393375" w:rsidRPr="00E253C8">
        <w:rPr>
          <w:rStyle w:val="eop"/>
          <w:lang w:val="en-GB"/>
        </w:rPr>
        <w:t xml:space="preserve"> </w:t>
      </w:r>
      <w:r w:rsidR="002905F4" w:rsidRPr="00E253C8">
        <w:rPr>
          <w:lang w:val="en-GB"/>
        </w:rPr>
        <w:t xml:space="preserve">It is concerning that the ongoing investigation remains under the </w:t>
      </w:r>
      <w:r w:rsidR="00933DFC">
        <w:rPr>
          <w:lang w:val="en-GB"/>
        </w:rPr>
        <w:t xml:space="preserve">auspices </w:t>
      </w:r>
      <w:r w:rsidR="002905F4" w:rsidRPr="00E253C8">
        <w:rPr>
          <w:lang w:val="en-GB"/>
        </w:rPr>
        <w:t xml:space="preserve">of the Police Investigations Directorate, which may lack independence as it is </w:t>
      </w:r>
      <w:r w:rsidR="00933DFC">
        <w:rPr>
          <w:lang w:val="en-GB"/>
        </w:rPr>
        <w:t xml:space="preserve">an integral </w:t>
      </w:r>
      <w:r w:rsidR="002905F4" w:rsidRPr="00E253C8">
        <w:rPr>
          <w:lang w:val="en-GB"/>
        </w:rPr>
        <w:t>part of the police</w:t>
      </w:r>
      <w:r w:rsidR="00933DFC">
        <w:rPr>
          <w:lang w:val="en-GB"/>
        </w:rPr>
        <w:t xml:space="preserve"> service</w:t>
      </w:r>
      <w:r w:rsidR="002905F4" w:rsidRPr="00E253C8">
        <w:rPr>
          <w:lang w:val="en-GB"/>
        </w:rPr>
        <w:t>.</w:t>
      </w:r>
    </w:p>
    <w:p w14:paraId="1AE25B34" w14:textId="49E70149" w:rsidR="009C640C" w:rsidRPr="00E253C8" w:rsidRDefault="00752B00" w:rsidP="00871715">
      <w:pPr>
        <w:pStyle w:val="H1G"/>
        <w:rPr>
          <w:rFonts w:eastAsia="Calibri"/>
          <w:lang w:val="en-GB"/>
        </w:rPr>
      </w:pPr>
      <w:r w:rsidRPr="00E253C8">
        <w:rPr>
          <w:rFonts w:eastAsia="Calibri"/>
          <w:lang w:val="en-GB"/>
        </w:rPr>
        <w:tab/>
        <w:t>D.</w:t>
      </w:r>
      <w:r w:rsidRPr="00E253C8">
        <w:rPr>
          <w:rFonts w:eastAsia="Calibri"/>
          <w:lang w:val="en-GB"/>
        </w:rPr>
        <w:tab/>
      </w:r>
      <w:r w:rsidRPr="00E253C8">
        <w:rPr>
          <w:rFonts w:eastAsia="Calibri"/>
          <w:lang w:val="en-GB"/>
        </w:rPr>
        <w:tab/>
      </w:r>
      <w:r w:rsidR="00B10795" w:rsidRPr="00E253C8">
        <w:rPr>
          <w:rFonts w:eastAsia="Calibri"/>
          <w:lang w:val="en-GB"/>
        </w:rPr>
        <w:t>Prison system and persons deprived of liberty</w:t>
      </w:r>
    </w:p>
    <w:p w14:paraId="5062A3EE" w14:textId="1855D352" w:rsidR="00B10795" w:rsidRPr="00E253C8" w:rsidRDefault="000E2523" w:rsidP="0084387B">
      <w:pPr>
        <w:pStyle w:val="SingleTxtG"/>
        <w:rPr>
          <w:lang w:val="en-GB"/>
        </w:rPr>
      </w:pPr>
      <w:r w:rsidRPr="00E253C8">
        <w:rPr>
          <w:rStyle w:val="eop"/>
          <w:lang w:val="en-GB"/>
        </w:rPr>
        <w:t>5</w:t>
      </w:r>
      <w:r w:rsidR="0084387B">
        <w:rPr>
          <w:rStyle w:val="eop"/>
          <w:lang w:val="en-GB"/>
        </w:rPr>
        <w:t>1</w:t>
      </w:r>
      <w:r w:rsidR="005C3C1F" w:rsidRPr="00E253C8">
        <w:rPr>
          <w:rStyle w:val="eop"/>
          <w:lang w:val="en-GB"/>
        </w:rPr>
        <w:t>.</w:t>
      </w:r>
      <w:r w:rsidR="005C3C1F" w:rsidRPr="00E253C8">
        <w:rPr>
          <w:rStyle w:val="eop"/>
          <w:lang w:val="en-GB"/>
        </w:rPr>
        <w:tab/>
      </w:r>
      <w:r w:rsidR="00B10795" w:rsidRPr="00E253C8">
        <w:rPr>
          <w:rFonts w:eastAsia="Calibri"/>
          <w:lang w:val="en-GB"/>
        </w:rPr>
        <w:t xml:space="preserve">The Government </w:t>
      </w:r>
      <w:r w:rsidR="0001230A" w:rsidRPr="00E253C8">
        <w:rPr>
          <w:rFonts w:eastAsia="Calibri"/>
          <w:lang w:val="en-GB"/>
        </w:rPr>
        <w:t xml:space="preserve">initiated </w:t>
      </w:r>
      <w:r w:rsidR="00B10795" w:rsidRPr="00E253C8">
        <w:rPr>
          <w:rFonts w:eastAsia="Calibri"/>
          <w:lang w:val="en-GB"/>
        </w:rPr>
        <w:t>the demilitariz</w:t>
      </w:r>
      <w:r w:rsidR="00877FB8" w:rsidRPr="00E253C8">
        <w:rPr>
          <w:rFonts w:eastAsia="Calibri"/>
          <w:lang w:val="en-GB"/>
        </w:rPr>
        <w:t xml:space="preserve">ation of </w:t>
      </w:r>
      <w:r w:rsidR="00B10795" w:rsidRPr="00E253C8">
        <w:rPr>
          <w:rFonts w:eastAsia="Calibri"/>
          <w:lang w:val="en-GB"/>
        </w:rPr>
        <w:t xml:space="preserve">the prison system in March with the initial transfer of </w:t>
      </w:r>
      <w:r w:rsidR="006A3F7E" w:rsidRPr="00E253C8">
        <w:rPr>
          <w:rFonts w:eastAsia="Calibri"/>
          <w:lang w:val="en-GB"/>
        </w:rPr>
        <w:t xml:space="preserve">the </w:t>
      </w:r>
      <w:r w:rsidR="006E7C69" w:rsidRPr="00E253C8">
        <w:rPr>
          <w:rFonts w:eastAsia="Calibri"/>
          <w:lang w:val="en-GB"/>
        </w:rPr>
        <w:t xml:space="preserve">administration of </w:t>
      </w:r>
      <w:r w:rsidR="00B10795" w:rsidRPr="00E253C8">
        <w:rPr>
          <w:rFonts w:eastAsia="Calibri"/>
          <w:lang w:val="en-GB"/>
        </w:rPr>
        <w:t>prison</w:t>
      </w:r>
      <w:r w:rsidR="006E7C69" w:rsidRPr="00E253C8">
        <w:rPr>
          <w:rFonts w:eastAsia="Calibri"/>
          <w:lang w:val="en-GB"/>
        </w:rPr>
        <w:t xml:space="preserve">s </w:t>
      </w:r>
      <w:r w:rsidR="00B10795" w:rsidRPr="00E253C8">
        <w:rPr>
          <w:rFonts w:eastAsia="Calibri"/>
          <w:lang w:val="en-GB"/>
        </w:rPr>
        <w:t>from the Armed Forces to the National Police</w:t>
      </w:r>
      <w:r w:rsidR="00FA39ED" w:rsidRPr="00E253C8">
        <w:rPr>
          <w:rFonts w:eastAsia="Calibri"/>
          <w:lang w:val="en-GB"/>
        </w:rPr>
        <w:t xml:space="preserve">, </w:t>
      </w:r>
      <w:r w:rsidR="00546592">
        <w:rPr>
          <w:rFonts w:eastAsia="Calibri"/>
          <w:lang w:val="en-GB"/>
        </w:rPr>
        <w:t>making</w:t>
      </w:r>
      <w:r w:rsidR="00FA39ED" w:rsidRPr="00E253C8">
        <w:rPr>
          <w:rFonts w:eastAsia="Calibri"/>
          <w:lang w:val="en-GB"/>
        </w:rPr>
        <w:t xml:space="preserve"> </w:t>
      </w:r>
      <w:r w:rsidR="00B10795" w:rsidRPr="00E253C8">
        <w:rPr>
          <w:rFonts w:eastAsia="Calibri"/>
          <w:lang w:val="en-GB"/>
        </w:rPr>
        <w:t xml:space="preserve">an important step towards strengthening the National Penitentiary Institute. In August, the Government declared a </w:t>
      </w:r>
      <w:r w:rsidR="006E52CC" w:rsidRPr="00E253C8">
        <w:rPr>
          <w:rFonts w:eastAsia="Calibri"/>
          <w:lang w:val="en-GB"/>
        </w:rPr>
        <w:t>year</w:t>
      </w:r>
      <w:r w:rsidR="009C7D6C" w:rsidRPr="00E253C8">
        <w:rPr>
          <w:rFonts w:eastAsia="Calibri"/>
          <w:lang w:val="en-GB"/>
        </w:rPr>
        <w:t>-</w:t>
      </w:r>
      <w:r w:rsidR="00D701BE" w:rsidRPr="00E253C8">
        <w:rPr>
          <w:rFonts w:eastAsia="Calibri"/>
          <w:lang w:val="en-GB"/>
        </w:rPr>
        <w:t xml:space="preserve">long </w:t>
      </w:r>
      <w:r w:rsidR="00B10795" w:rsidRPr="00E253C8">
        <w:rPr>
          <w:rFonts w:eastAsia="Calibri"/>
          <w:lang w:val="en-GB"/>
        </w:rPr>
        <w:t>state of emergency</w:t>
      </w:r>
      <w:r w:rsidR="006D2ADB" w:rsidRPr="00E253C8">
        <w:rPr>
          <w:rStyle w:val="FootnoteReference"/>
          <w:lang w:val="en-GB"/>
        </w:rPr>
        <w:footnoteReference w:id="23"/>
      </w:r>
      <w:r w:rsidR="00B10795" w:rsidRPr="00E253C8">
        <w:rPr>
          <w:rFonts w:eastAsia="Calibri"/>
          <w:lang w:val="en-GB"/>
        </w:rPr>
        <w:t xml:space="preserve"> in the national penitentiary</w:t>
      </w:r>
      <w:r w:rsidR="00361484" w:rsidRPr="00E253C8">
        <w:rPr>
          <w:rFonts w:eastAsia="Calibri"/>
          <w:lang w:val="en-GB"/>
        </w:rPr>
        <w:t xml:space="preserve"> to facilitate </w:t>
      </w:r>
      <w:r w:rsidR="006E52CC" w:rsidRPr="00E253C8">
        <w:rPr>
          <w:rFonts w:eastAsia="Calibri"/>
          <w:lang w:val="en-GB"/>
        </w:rPr>
        <w:t xml:space="preserve">its </w:t>
      </w:r>
      <w:r w:rsidR="00B10795" w:rsidRPr="00E253C8">
        <w:rPr>
          <w:rFonts w:eastAsia="Calibri"/>
          <w:lang w:val="en-GB"/>
        </w:rPr>
        <w:t xml:space="preserve">demilitarization and </w:t>
      </w:r>
      <w:r w:rsidR="006E52CC" w:rsidRPr="00E253C8">
        <w:rPr>
          <w:rFonts w:eastAsia="Calibri"/>
          <w:lang w:val="en-GB"/>
        </w:rPr>
        <w:t xml:space="preserve">the </w:t>
      </w:r>
      <w:r w:rsidR="00B10795" w:rsidRPr="00E253C8">
        <w:rPr>
          <w:rFonts w:eastAsia="Calibri"/>
          <w:lang w:val="en-GB"/>
        </w:rPr>
        <w:t>progressive reform of the system</w:t>
      </w:r>
      <w:r w:rsidR="00E4683A" w:rsidRPr="00E253C8">
        <w:rPr>
          <w:rFonts w:eastAsia="Calibri"/>
          <w:lang w:val="en-GB"/>
        </w:rPr>
        <w:t xml:space="preserve">. </w:t>
      </w:r>
      <w:r w:rsidR="00E4683A" w:rsidRPr="00E253C8">
        <w:rPr>
          <w:rFonts w:eastAsia="Calibri"/>
          <w:lang w:val="en-GB"/>
        </w:rPr>
        <w:lastRenderedPageBreak/>
        <w:t xml:space="preserve">As part of this process, </w:t>
      </w:r>
      <w:r w:rsidR="00B10795" w:rsidRPr="00E253C8">
        <w:rPr>
          <w:rFonts w:eastAsia="Calibri"/>
          <w:lang w:val="en-GB"/>
        </w:rPr>
        <w:t xml:space="preserve">the Police </w:t>
      </w:r>
      <w:r w:rsidR="006D2ADB" w:rsidRPr="00E253C8">
        <w:rPr>
          <w:rFonts w:eastAsia="Calibri"/>
          <w:lang w:val="en-GB"/>
        </w:rPr>
        <w:t xml:space="preserve">is expected to </w:t>
      </w:r>
      <w:r w:rsidR="00B10795" w:rsidRPr="00E253C8">
        <w:rPr>
          <w:rFonts w:eastAsia="Calibri"/>
          <w:lang w:val="en-GB"/>
        </w:rPr>
        <w:t xml:space="preserve">gradually transfer </w:t>
      </w:r>
      <w:r w:rsidR="006E7C69" w:rsidRPr="00E253C8">
        <w:rPr>
          <w:rFonts w:eastAsia="Calibri"/>
          <w:lang w:val="en-GB"/>
        </w:rPr>
        <w:t xml:space="preserve">the </w:t>
      </w:r>
      <w:r w:rsidR="00B10795" w:rsidRPr="00E253C8">
        <w:rPr>
          <w:rFonts w:eastAsia="Calibri"/>
          <w:lang w:val="en-GB"/>
        </w:rPr>
        <w:t xml:space="preserve">administration </w:t>
      </w:r>
      <w:r w:rsidR="006E7C69" w:rsidRPr="00E253C8">
        <w:rPr>
          <w:rFonts w:eastAsia="Calibri"/>
          <w:lang w:val="en-GB"/>
        </w:rPr>
        <w:t xml:space="preserve">of prisons </w:t>
      </w:r>
      <w:r w:rsidR="00B10795" w:rsidRPr="00E253C8">
        <w:rPr>
          <w:rFonts w:eastAsia="Calibri"/>
          <w:lang w:val="en-GB"/>
        </w:rPr>
        <w:t xml:space="preserve">to the National Penitentiary Institute. </w:t>
      </w:r>
    </w:p>
    <w:p w14:paraId="76F3F2CE" w14:textId="61D61213" w:rsidR="00E4683A" w:rsidRPr="00E253C8" w:rsidRDefault="000E2523" w:rsidP="0084387B">
      <w:pPr>
        <w:pStyle w:val="SingleTxtG"/>
        <w:rPr>
          <w:lang w:val="en-GB"/>
        </w:rPr>
      </w:pPr>
      <w:r w:rsidRPr="00E253C8">
        <w:rPr>
          <w:rStyle w:val="eop"/>
          <w:lang w:val="en-GB"/>
        </w:rPr>
        <w:t>5</w:t>
      </w:r>
      <w:r w:rsidR="0084387B">
        <w:rPr>
          <w:rStyle w:val="eop"/>
          <w:lang w:val="en-GB"/>
        </w:rPr>
        <w:t>2</w:t>
      </w:r>
      <w:r w:rsidR="5669D731" w:rsidRPr="00E253C8">
        <w:rPr>
          <w:rStyle w:val="eop"/>
          <w:lang w:val="en-GB"/>
        </w:rPr>
        <w:t>.</w:t>
      </w:r>
      <w:r w:rsidRPr="00E253C8">
        <w:rPr>
          <w:lang w:val="en-GB"/>
        </w:rPr>
        <w:tab/>
      </w:r>
      <w:r w:rsidR="00E4683A" w:rsidRPr="00E253C8">
        <w:rPr>
          <w:rFonts w:eastAsia="Calibri"/>
          <w:lang w:val="en-GB"/>
        </w:rPr>
        <w:t xml:space="preserve">As of December, the National Penitentiary System housed an average of 19,842 adult inmates in the country's 25 penitentiary </w:t>
      </w:r>
      <w:r w:rsidR="004265AF" w:rsidRPr="00E253C8">
        <w:rPr>
          <w:rFonts w:eastAsia="Calibri"/>
          <w:lang w:val="en-GB"/>
        </w:rPr>
        <w:t>centres</w:t>
      </w:r>
      <w:r w:rsidR="00E4683A" w:rsidRPr="00E253C8">
        <w:rPr>
          <w:rFonts w:eastAsia="Calibri"/>
          <w:lang w:val="en-GB"/>
        </w:rPr>
        <w:t xml:space="preserve">, </w:t>
      </w:r>
      <w:r w:rsidR="00AD0378" w:rsidRPr="00E253C8">
        <w:rPr>
          <w:rFonts w:eastAsia="Calibri"/>
          <w:lang w:val="en-GB"/>
        </w:rPr>
        <w:t xml:space="preserve">despite only having the </w:t>
      </w:r>
      <w:r w:rsidR="00E4683A" w:rsidRPr="00E253C8">
        <w:rPr>
          <w:rFonts w:eastAsia="Calibri"/>
          <w:lang w:val="en-GB"/>
        </w:rPr>
        <w:t xml:space="preserve">capacity to house 14,780 </w:t>
      </w:r>
      <w:r w:rsidR="00AD0378" w:rsidRPr="00E253C8">
        <w:rPr>
          <w:rFonts w:eastAsia="Calibri"/>
          <w:lang w:val="en-GB"/>
        </w:rPr>
        <w:t>persons</w:t>
      </w:r>
      <w:r w:rsidR="00E4683A" w:rsidRPr="00E253C8">
        <w:rPr>
          <w:rFonts w:eastAsia="Calibri"/>
          <w:lang w:val="en-GB"/>
        </w:rPr>
        <w:t xml:space="preserve">, resulting in an overcrowding rate of 34.2%. At least 51.6% of the prison population does not have a final sentence. </w:t>
      </w:r>
      <w:r w:rsidR="008F3E0C" w:rsidRPr="00E253C8">
        <w:rPr>
          <w:rFonts w:eastAsia="Calibri"/>
          <w:lang w:val="en-GB"/>
        </w:rPr>
        <w:t xml:space="preserve">The absence of </w:t>
      </w:r>
      <w:r w:rsidR="00EB6499" w:rsidRPr="00E253C8">
        <w:rPr>
          <w:rFonts w:eastAsia="Calibri"/>
          <w:lang w:val="en-GB"/>
        </w:rPr>
        <w:t xml:space="preserve">guidelines for the </w:t>
      </w:r>
      <w:r w:rsidR="00E4683A" w:rsidRPr="00E253C8">
        <w:rPr>
          <w:rFonts w:eastAsia="Calibri"/>
          <w:lang w:val="en-GB"/>
        </w:rPr>
        <w:t xml:space="preserve">classification of persons deprived of liberty that would allow for adequate prison management in accordance with international human rights standards and reduce </w:t>
      </w:r>
      <w:r w:rsidR="004964DA" w:rsidRPr="00E253C8">
        <w:rPr>
          <w:rFonts w:eastAsia="Calibri"/>
          <w:lang w:val="en-GB"/>
        </w:rPr>
        <w:t xml:space="preserve">prison </w:t>
      </w:r>
      <w:r w:rsidR="00E4683A" w:rsidRPr="00E253C8">
        <w:rPr>
          <w:rFonts w:eastAsia="Calibri"/>
          <w:lang w:val="en-GB"/>
        </w:rPr>
        <w:t>violence</w:t>
      </w:r>
      <w:r w:rsidR="008F3E0C" w:rsidRPr="00E253C8">
        <w:rPr>
          <w:rFonts w:eastAsia="Calibri"/>
          <w:lang w:val="en-GB"/>
        </w:rPr>
        <w:t xml:space="preserve"> is concerning</w:t>
      </w:r>
      <w:r w:rsidR="00E4683A" w:rsidRPr="00E253C8">
        <w:rPr>
          <w:rFonts w:eastAsia="Calibri"/>
          <w:lang w:val="en-GB"/>
        </w:rPr>
        <w:t>.</w:t>
      </w:r>
    </w:p>
    <w:p w14:paraId="641F9182" w14:textId="6F339040" w:rsidR="004E4B9C" w:rsidRPr="00E253C8" w:rsidRDefault="000E2523" w:rsidP="004E4B9C">
      <w:pPr>
        <w:pStyle w:val="SingleTxtG"/>
        <w:rPr>
          <w:rStyle w:val="eop"/>
          <w:lang w:val="en-GB"/>
        </w:rPr>
      </w:pPr>
      <w:r w:rsidRPr="00E253C8">
        <w:rPr>
          <w:rStyle w:val="eop"/>
          <w:lang w:val="en-GB"/>
        </w:rPr>
        <w:t>5</w:t>
      </w:r>
      <w:r w:rsidR="0084387B">
        <w:rPr>
          <w:rStyle w:val="eop"/>
          <w:lang w:val="en-GB"/>
        </w:rPr>
        <w:t>3</w:t>
      </w:r>
      <w:r w:rsidR="005C3C1F" w:rsidRPr="00E253C8">
        <w:rPr>
          <w:rStyle w:val="eop"/>
          <w:lang w:val="en-GB"/>
        </w:rPr>
        <w:t>.</w:t>
      </w:r>
      <w:r w:rsidR="005C3C1F" w:rsidRPr="00E253C8">
        <w:rPr>
          <w:rStyle w:val="eop"/>
          <w:lang w:val="en-GB"/>
        </w:rPr>
        <w:tab/>
      </w:r>
      <w:r w:rsidR="004E4B9C" w:rsidRPr="00E253C8">
        <w:rPr>
          <w:rStyle w:val="eop"/>
          <w:lang w:val="en-GB"/>
        </w:rPr>
        <w:t>Although OHCHR documented only one prison riot compared to the six documented in 2021, the number of violent deaths in prisons remained high</w:t>
      </w:r>
      <w:r w:rsidR="001E4015" w:rsidRPr="00E253C8">
        <w:rPr>
          <w:rStyle w:val="eop"/>
          <w:lang w:val="en-GB"/>
        </w:rPr>
        <w:t>,</w:t>
      </w:r>
      <w:r w:rsidR="004E4B9C" w:rsidRPr="00E253C8">
        <w:rPr>
          <w:rStyle w:val="eop"/>
          <w:lang w:val="en-GB"/>
        </w:rPr>
        <w:t xml:space="preserve"> with 17 deaths </w:t>
      </w:r>
      <w:r w:rsidR="00E44502" w:rsidRPr="00E253C8">
        <w:rPr>
          <w:rStyle w:val="eop"/>
          <w:lang w:val="en-GB"/>
        </w:rPr>
        <w:t xml:space="preserve">registered </w:t>
      </w:r>
      <w:r w:rsidR="004E4B9C" w:rsidRPr="00E253C8">
        <w:rPr>
          <w:rStyle w:val="eop"/>
          <w:lang w:val="en-GB"/>
        </w:rPr>
        <w:t>in 2022. According to monitoring</w:t>
      </w:r>
      <w:r w:rsidR="00E44502" w:rsidRPr="00E253C8">
        <w:rPr>
          <w:rStyle w:val="eop"/>
          <w:lang w:val="en-GB"/>
        </w:rPr>
        <w:t xml:space="preserve"> by the Office</w:t>
      </w:r>
      <w:r w:rsidR="004E4B9C" w:rsidRPr="00E253C8">
        <w:rPr>
          <w:rStyle w:val="eop"/>
          <w:lang w:val="en-GB"/>
        </w:rPr>
        <w:t xml:space="preserve">, </w:t>
      </w:r>
      <w:r w:rsidR="001E4015" w:rsidRPr="00E253C8">
        <w:rPr>
          <w:rStyle w:val="eop"/>
          <w:lang w:val="en-GB"/>
        </w:rPr>
        <w:t xml:space="preserve">such </w:t>
      </w:r>
      <w:r w:rsidR="004E4B9C" w:rsidRPr="00E253C8">
        <w:rPr>
          <w:rStyle w:val="eop"/>
          <w:lang w:val="en-GB"/>
        </w:rPr>
        <w:t xml:space="preserve">deaths were the result of </w:t>
      </w:r>
      <w:r w:rsidR="00F4691D" w:rsidRPr="00E253C8">
        <w:rPr>
          <w:rStyle w:val="eop"/>
          <w:lang w:val="en-GB"/>
        </w:rPr>
        <w:t xml:space="preserve">the existence of </w:t>
      </w:r>
      <w:r w:rsidR="004E4B9C" w:rsidRPr="00E253C8">
        <w:rPr>
          <w:rStyle w:val="eop"/>
          <w:lang w:val="en-GB"/>
        </w:rPr>
        <w:t xml:space="preserve">a </w:t>
      </w:r>
      <w:r w:rsidR="00546592">
        <w:rPr>
          <w:rStyle w:val="eop"/>
          <w:lang w:val="en-GB"/>
        </w:rPr>
        <w:t xml:space="preserve">system of </w:t>
      </w:r>
      <w:r w:rsidR="004E4B9C" w:rsidRPr="00E253C8">
        <w:rPr>
          <w:rStyle w:val="eop"/>
          <w:lang w:val="en-GB"/>
        </w:rPr>
        <w:t>self</w:t>
      </w:r>
      <w:r w:rsidR="00F4691D" w:rsidRPr="00E253C8">
        <w:rPr>
          <w:rStyle w:val="eop"/>
          <w:lang w:val="en-GB"/>
        </w:rPr>
        <w:noBreakHyphen/>
      </w:r>
      <w:r w:rsidR="004E4B9C" w:rsidRPr="00E253C8">
        <w:rPr>
          <w:rStyle w:val="eop"/>
          <w:lang w:val="en-GB"/>
        </w:rPr>
        <w:t>govern</w:t>
      </w:r>
      <w:r w:rsidR="00546592">
        <w:rPr>
          <w:rStyle w:val="eop"/>
          <w:lang w:val="en-GB"/>
        </w:rPr>
        <w:t xml:space="preserve">ance </w:t>
      </w:r>
      <w:r w:rsidR="00F4691D" w:rsidRPr="00E253C8">
        <w:rPr>
          <w:rStyle w:val="eop"/>
          <w:lang w:val="en-GB"/>
        </w:rPr>
        <w:t xml:space="preserve">by </w:t>
      </w:r>
      <w:r w:rsidR="004E4B9C" w:rsidRPr="00E253C8">
        <w:rPr>
          <w:rStyle w:val="eop"/>
          <w:lang w:val="en-GB"/>
        </w:rPr>
        <w:t>persons deprived of liberty</w:t>
      </w:r>
      <w:r w:rsidR="00F4691D" w:rsidRPr="00E253C8">
        <w:rPr>
          <w:rStyle w:val="eop"/>
          <w:lang w:val="en-GB"/>
        </w:rPr>
        <w:t>,</w:t>
      </w:r>
      <w:r w:rsidR="004E4B9C" w:rsidRPr="00E253C8">
        <w:rPr>
          <w:rStyle w:val="eop"/>
          <w:lang w:val="en-GB"/>
        </w:rPr>
        <w:t xml:space="preserve"> with the acquiescence of the authorities</w:t>
      </w:r>
      <w:r w:rsidR="00CC7CB8" w:rsidRPr="00E253C8">
        <w:rPr>
          <w:rStyle w:val="eop"/>
          <w:lang w:val="en-GB"/>
        </w:rPr>
        <w:t xml:space="preserve">, resulting in the </w:t>
      </w:r>
      <w:r w:rsidR="004E4B9C" w:rsidRPr="00E253C8">
        <w:rPr>
          <w:rStyle w:val="eop"/>
          <w:lang w:val="en-GB"/>
        </w:rPr>
        <w:t xml:space="preserve">lack of effective control of </w:t>
      </w:r>
      <w:r w:rsidR="00CA7A44" w:rsidRPr="00E253C8">
        <w:rPr>
          <w:rStyle w:val="eop"/>
          <w:lang w:val="en-GB"/>
        </w:rPr>
        <w:t xml:space="preserve">prison </w:t>
      </w:r>
      <w:r w:rsidR="004265AF" w:rsidRPr="00E253C8">
        <w:rPr>
          <w:rStyle w:val="eop"/>
          <w:lang w:val="en-GB"/>
        </w:rPr>
        <w:t>centres</w:t>
      </w:r>
      <w:r w:rsidR="00CA7A44" w:rsidRPr="00E253C8">
        <w:rPr>
          <w:rStyle w:val="eop"/>
          <w:lang w:val="en-GB"/>
        </w:rPr>
        <w:t xml:space="preserve">, </w:t>
      </w:r>
      <w:r w:rsidR="004E4B9C" w:rsidRPr="00E253C8">
        <w:rPr>
          <w:rStyle w:val="eop"/>
          <w:lang w:val="en-GB"/>
        </w:rPr>
        <w:t xml:space="preserve">violation of </w:t>
      </w:r>
      <w:r w:rsidR="00991832" w:rsidRPr="00E253C8">
        <w:rPr>
          <w:rStyle w:val="eop"/>
          <w:lang w:val="en-GB"/>
        </w:rPr>
        <w:t xml:space="preserve">the </w:t>
      </w:r>
      <w:r w:rsidR="004E4B9C" w:rsidRPr="00E253C8">
        <w:rPr>
          <w:rStyle w:val="eop"/>
          <w:lang w:val="en-GB"/>
        </w:rPr>
        <w:t xml:space="preserve">personal integrity and discrimination </w:t>
      </w:r>
      <w:r w:rsidR="00991832" w:rsidRPr="00E253C8">
        <w:rPr>
          <w:rStyle w:val="eop"/>
          <w:lang w:val="en-GB"/>
        </w:rPr>
        <w:t xml:space="preserve">of </w:t>
      </w:r>
      <w:r w:rsidR="004E4B9C" w:rsidRPr="00E253C8">
        <w:rPr>
          <w:rStyle w:val="eop"/>
          <w:lang w:val="en-GB"/>
        </w:rPr>
        <w:t xml:space="preserve">detainees, including </w:t>
      </w:r>
      <w:r w:rsidR="00FE6EDF" w:rsidRPr="00E253C8">
        <w:rPr>
          <w:rStyle w:val="eop"/>
          <w:lang w:val="en-GB"/>
        </w:rPr>
        <w:t xml:space="preserve">due to </w:t>
      </w:r>
      <w:r w:rsidR="004E4B9C" w:rsidRPr="00E253C8">
        <w:rPr>
          <w:rStyle w:val="eop"/>
          <w:lang w:val="en-GB"/>
        </w:rPr>
        <w:t xml:space="preserve">extortion </w:t>
      </w:r>
      <w:r w:rsidR="00FE6EDF" w:rsidRPr="00E253C8">
        <w:rPr>
          <w:rStyle w:val="eop"/>
          <w:lang w:val="en-GB"/>
        </w:rPr>
        <w:t xml:space="preserve">within </w:t>
      </w:r>
      <w:r w:rsidR="004E4B9C" w:rsidRPr="00E253C8">
        <w:rPr>
          <w:rStyle w:val="eop"/>
          <w:lang w:val="en-GB"/>
        </w:rPr>
        <w:t xml:space="preserve">the </w:t>
      </w:r>
      <w:r w:rsidR="004265AF" w:rsidRPr="00E253C8">
        <w:rPr>
          <w:rStyle w:val="eop"/>
          <w:lang w:val="en-GB"/>
        </w:rPr>
        <w:t>centres</w:t>
      </w:r>
      <w:r w:rsidR="004E4B9C" w:rsidRPr="00E253C8">
        <w:rPr>
          <w:rStyle w:val="eop"/>
          <w:lang w:val="en-GB"/>
        </w:rPr>
        <w:t xml:space="preserve">. </w:t>
      </w:r>
    </w:p>
    <w:p w14:paraId="37C4EEB5" w14:textId="339EB78F" w:rsidR="00872AEE" w:rsidRPr="00E253C8" w:rsidRDefault="0084387B" w:rsidP="00872AEE">
      <w:pPr>
        <w:pStyle w:val="SingleTxtG"/>
        <w:rPr>
          <w:rStyle w:val="eop"/>
          <w:lang w:val="en-GB"/>
        </w:rPr>
      </w:pPr>
      <w:r>
        <w:rPr>
          <w:rStyle w:val="eop"/>
          <w:lang w:val="en-GB"/>
        </w:rPr>
        <w:t>54</w:t>
      </w:r>
      <w:r w:rsidR="004E4B9C" w:rsidRPr="00E253C8">
        <w:rPr>
          <w:rStyle w:val="eop"/>
          <w:lang w:val="en-GB"/>
        </w:rPr>
        <w:t>.</w:t>
      </w:r>
      <w:r w:rsidR="004E4B9C" w:rsidRPr="00E253C8">
        <w:rPr>
          <w:rStyle w:val="eop"/>
          <w:lang w:val="en-GB"/>
        </w:rPr>
        <w:tab/>
        <w:t xml:space="preserve">The Office welcomes the appointment of the three national commissioners to the National Committee for the Prevention of Torture, Cruel, Inhuman or Degrading Treatment or Punishment. </w:t>
      </w:r>
      <w:r w:rsidR="00872AEE" w:rsidRPr="00E253C8">
        <w:rPr>
          <w:rStyle w:val="eop"/>
          <w:lang w:val="en-GB"/>
        </w:rPr>
        <w:t xml:space="preserve">The Office </w:t>
      </w:r>
      <w:r w:rsidR="002E174B" w:rsidRPr="00E253C8">
        <w:rPr>
          <w:rStyle w:val="eop"/>
          <w:lang w:val="en-GB"/>
        </w:rPr>
        <w:t xml:space="preserve">remains </w:t>
      </w:r>
      <w:r w:rsidR="00872AEE" w:rsidRPr="00E253C8">
        <w:rPr>
          <w:rStyle w:val="eop"/>
          <w:lang w:val="en-GB"/>
        </w:rPr>
        <w:t>concerned about the independence, administrative autonomy, and budgetary resources of the Committee.</w:t>
      </w:r>
    </w:p>
    <w:p w14:paraId="49EF05F3" w14:textId="660168AF" w:rsidR="009C640C" w:rsidRPr="00E253C8" w:rsidRDefault="00A06FDD" w:rsidP="004F0716">
      <w:pPr>
        <w:pStyle w:val="H1G"/>
        <w:rPr>
          <w:rFonts w:eastAsia="Calibri"/>
          <w:lang w:val="en-GB"/>
        </w:rPr>
      </w:pPr>
      <w:r w:rsidRPr="00E253C8">
        <w:rPr>
          <w:rFonts w:eastAsia="Calibri"/>
          <w:lang w:val="en-GB"/>
        </w:rPr>
        <w:tab/>
      </w:r>
      <w:r w:rsidR="004F0716" w:rsidRPr="00E253C8">
        <w:rPr>
          <w:rFonts w:eastAsia="Calibri"/>
          <w:lang w:val="en-GB"/>
        </w:rPr>
        <w:t>E</w:t>
      </w:r>
      <w:r w:rsidRPr="00E253C8">
        <w:rPr>
          <w:rFonts w:eastAsia="Calibri"/>
          <w:lang w:val="en-GB"/>
        </w:rPr>
        <w:t>.</w:t>
      </w:r>
      <w:r w:rsidRPr="00E253C8">
        <w:rPr>
          <w:rFonts w:eastAsia="Calibri"/>
          <w:lang w:val="en-GB"/>
        </w:rPr>
        <w:tab/>
      </w:r>
      <w:r w:rsidRPr="00E253C8">
        <w:rPr>
          <w:rFonts w:eastAsia="Calibri"/>
          <w:lang w:val="en-GB"/>
        </w:rPr>
        <w:tab/>
      </w:r>
      <w:r w:rsidR="00D948AF" w:rsidRPr="00E253C8">
        <w:rPr>
          <w:rFonts w:eastAsia="Calibri"/>
          <w:lang w:val="en-GB"/>
        </w:rPr>
        <w:t>Corruption and Human Rights</w:t>
      </w:r>
    </w:p>
    <w:p w14:paraId="60F8D751" w14:textId="120466C9" w:rsidR="00D948AF" w:rsidRPr="00E253C8" w:rsidRDefault="00D948AF" w:rsidP="0084387B">
      <w:pPr>
        <w:pStyle w:val="SingleTxtG"/>
        <w:rPr>
          <w:rFonts w:eastAsia="Calibri"/>
          <w:lang w:val="en-GB"/>
        </w:rPr>
      </w:pPr>
      <w:r w:rsidRPr="00E253C8">
        <w:rPr>
          <w:rFonts w:eastAsia="Calibri"/>
          <w:lang w:val="en-GB"/>
        </w:rPr>
        <w:t>5</w:t>
      </w:r>
      <w:r w:rsidR="0084387B">
        <w:rPr>
          <w:rFonts w:eastAsia="Calibri"/>
          <w:lang w:val="en-GB"/>
        </w:rPr>
        <w:t>5</w:t>
      </w:r>
      <w:r w:rsidRPr="00E253C8">
        <w:rPr>
          <w:rFonts w:eastAsia="Calibri"/>
          <w:lang w:val="en-GB"/>
        </w:rPr>
        <w:t>.</w:t>
      </w:r>
      <w:r w:rsidRPr="00E253C8">
        <w:rPr>
          <w:rFonts w:eastAsia="Calibri"/>
          <w:lang w:val="en-GB"/>
        </w:rPr>
        <w:tab/>
        <w:t xml:space="preserve">On 14 February, the President requested the Secretary-General of the United Nations to establish an International Commission against Impunity and Corruption in Honduras. On </w:t>
      </w:r>
      <w:r w:rsidR="00555778" w:rsidRPr="00E253C8">
        <w:rPr>
          <w:rFonts w:eastAsia="Calibri"/>
          <w:lang w:val="en-GB"/>
        </w:rPr>
        <w:t xml:space="preserve">15 </w:t>
      </w:r>
      <w:r w:rsidRPr="00E253C8">
        <w:rPr>
          <w:rFonts w:eastAsia="Calibri"/>
          <w:lang w:val="en-GB"/>
        </w:rPr>
        <w:t xml:space="preserve">December, the </w:t>
      </w:r>
      <w:r w:rsidR="00555778" w:rsidRPr="00E253C8">
        <w:rPr>
          <w:rFonts w:eastAsia="Calibri"/>
          <w:lang w:val="en-GB"/>
        </w:rPr>
        <w:t xml:space="preserve">United Nations </w:t>
      </w:r>
      <w:r w:rsidRPr="00E253C8">
        <w:rPr>
          <w:rFonts w:eastAsia="Calibri"/>
          <w:lang w:val="en-GB"/>
        </w:rPr>
        <w:t xml:space="preserve">Secretariat and the Government signed a preliminary memorandum of understanding towards the possible establishment of an international anti-corruption mechanism. </w:t>
      </w:r>
    </w:p>
    <w:p w14:paraId="2EB1197C" w14:textId="0F6A662E" w:rsidR="00D948AF" w:rsidRPr="00E253C8" w:rsidRDefault="00D948AF" w:rsidP="0084387B">
      <w:pPr>
        <w:pStyle w:val="SingleTxtG"/>
        <w:rPr>
          <w:rFonts w:eastAsia="Calibri"/>
          <w:lang w:val="en-GB"/>
        </w:rPr>
      </w:pPr>
      <w:r w:rsidRPr="00E253C8">
        <w:rPr>
          <w:rFonts w:eastAsia="Calibri"/>
          <w:lang w:val="en-GB"/>
        </w:rPr>
        <w:t>5</w:t>
      </w:r>
      <w:r w:rsidR="0084387B">
        <w:rPr>
          <w:rFonts w:eastAsia="Calibri"/>
          <w:lang w:val="en-GB"/>
        </w:rPr>
        <w:t>6</w:t>
      </w:r>
      <w:r w:rsidRPr="00E253C8">
        <w:rPr>
          <w:rFonts w:eastAsia="Calibri"/>
          <w:lang w:val="en-GB"/>
        </w:rPr>
        <w:t>.</w:t>
      </w:r>
      <w:r w:rsidRPr="00E253C8">
        <w:rPr>
          <w:rFonts w:eastAsia="Calibri"/>
          <w:lang w:val="en-GB"/>
        </w:rPr>
        <w:tab/>
        <w:t>Honduras is among the 25 most corrupt countries in the world</w:t>
      </w:r>
      <w:r w:rsidR="00263C34" w:rsidRPr="00E253C8">
        <w:rPr>
          <w:rStyle w:val="FootnoteReference"/>
          <w:rFonts w:eastAsia="Calibri"/>
          <w:lang w:val="en-GB"/>
        </w:rPr>
        <w:footnoteReference w:id="24"/>
      </w:r>
      <w:r w:rsidRPr="00E253C8">
        <w:rPr>
          <w:rFonts w:eastAsia="Calibri"/>
          <w:lang w:val="en-GB"/>
        </w:rPr>
        <w:t xml:space="preserve">. The anti-corruption circuit of the Judiciary </w:t>
      </w:r>
      <w:r w:rsidR="00C23D03">
        <w:rPr>
          <w:rFonts w:eastAsia="Calibri"/>
          <w:lang w:val="en-GB"/>
        </w:rPr>
        <w:t xml:space="preserve">registered </w:t>
      </w:r>
      <w:r w:rsidRPr="00E253C8">
        <w:rPr>
          <w:rFonts w:eastAsia="Calibri"/>
          <w:lang w:val="en-GB"/>
        </w:rPr>
        <w:t>306 cases and appeals at its different levels between 2017 and 2022</w:t>
      </w:r>
      <w:r w:rsidR="00824F1D" w:rsidRPr="00E253C8">
        <w:rPr>
          <w:rStyle w:val="FootnoteReference"/>
          <w:rFonts w:eastAsia="Calibri"/>
          <w:lang w:val="en-GB"/>
        </w:rPr>
        <w:footnoteReference w:id="25"/>
      </w:r>
      <w:r w:rsidRPr="00E253C8">
        <w:rPr>
          <w:rFonts w:eastAsia="Calibri"/>
          <w:lang w:val="en-GB"/>
        </w:rPr>
        <w:t xml:space="preserve">, </w:t>
      </w:r>
      <w:r w:rsidR="00824F1D" w:rsidRPr="00E253C8">
        <w:rPr>
          <w:rFonts w:eastAsia="Calibri"/>
          <w:lang w:val="en-GB"/>
        </w:rPr>
        <w:t xml:space="preserve">a sharp contrast to the </w:t>
      </w:r>
      <w:r w:rsidRPr="00E253C8">
        <w:rPr>
          <w:rFonts w:eastAsia="Calibri"/>
          <w:lang w:val="en-GB"/>
        </w:rPr>
        <w:t>889 complaints for corruption offenses according to civil society sources</w:t>
      </w:r>
      <w:r w:rsidR="00263C34" w:rsidRPr="00E253C8">
        <w:rPr>
          <w:rStyle w:val="FootnoteReference"/>
          <w:rFonts w:eastAsia="Calibri"/>
          <w:lang w:val="en-GB"/>
        </w:rPr>
        <w:footnoteReference w:id="26"/>
      </w:r>
      <w:r w:rsidRPr="00E253C8">
        <w:rPr>
          <w:rFonts w:eastAsia="Calibri"/>
          <w:lang w:val="en-GB"/>
        </w:rPr>
        <w:t>.</w:t>
      </w:r>
    </w:p>
    <w:p w14:paraId="183902C5" w14:textId="2F4784F3" w:rsidR="00450267" w:rsidRPr="00E253C8" w:rsidRDefault="000E2523" w:rsidP="00F44D02">
      <w:pPr>
        <w:pStyle w:val="SingleTxtG"/>
        <w:rPr>
          <w:rFonts w:eastAsia="Calibri"/>
          <w:lang w:val="en-GB"/>
        </w:rPr>
      </w:pPr>
      <w:r w:rsidRPr="00E253C8">
        <w:rPr>
          <w:rFonts w:eastAsia="Calibri"/>
          <w:lang w:val="en-GB"/>
        </w:rPr>
        <w:lastRenderedPageBreak/>
        <w:t>5</w:t>
      </w:r>
      <w:r w:rsidR="0084387B">
        <w:rPr>
          <w:rFonts w:eastAsia="Calibri"/>
          <w:lang w:val="en-GB"/>
        </w:rPr>
        <w:t>7</w:t>
      </w:r>
      <w:r w:rsidR="00D323B4" w:rsidRPr="00E253C8">
        <w:rPr>
          <w:rFonts w:eastAsia="Calibri"/>
          <w:lang w:val="en-GB"/>
        </w:rPr>
        <w:t>.</w:t>
      </w:r>
      <w:r w:rsidR="00D323B4" w:rsidRPr="00E253C8">
        <w:rPr>
          <w:rFonts w:eastAsia="Calibri"/>
          <w:lang w:val="en-GB"/>
        </w:rPr>
        <w:tab/>
      </w:r>
      <w:r w:rsidR="00450267" w:rsidRPr="00E253C8">
        <w:rPr>
          <w:rFonts w:eastAsia="Calibri"/>
          <w:lang w:val="en-GB"/>
        </w:rPr>
        <w:t>The criminal prosecution of corruption and the recognition of its victims depends to a large extent on the preservation of the structures established with the support of the</w:t>
      </w:r>
      <w:r w:rsidR="00D13E4E" w:rsidRPr="00E253C8">
        <w:rPr>
          <w:rFonts w:eastAsia="Calibri"/>
          <w:lang w:val="en-GB"/>
        </w:rPr>
        <w:t xml:space="preserve"> Mission to Support the Fight against Corruption and Impunity in Honduras</w:t>
      </w:r>
      <w:r w:rsidR="00450267" w:rsidRPr="00E253C8">
        <w:rPr>
          <w:rFonts w:eastAsia="Calibri"/>
          <w:lang w:val="en-GB"/>
        </w:rPr>
        <w:t xml:space="preserve">, particularly the </w:t>
      </w:r>
      <w:r w:rsidR="00EC1BD0" w:rsidRPr="00E253C8">
        <w:rPr>
          <w:rFonts w:eastAsia="Calibri"/>
          <w:lang w:val="en-GB"/>
        </w:rPr>
        <w:t xml:space="preserve">State Attorney’s </w:t>
      </w:r>
      <w:r w:rsidR="00450267" w:rsidRPr="00E253C8">
        <w:rPr>
          <w:rFonts w:eastAsia="Calibri"/>
          <w:lang w:val="en-GB"/>
        </w:rPr>
        <w:t>Specialized Prosecutorial Unit against Corruption Networks (UFERCO) and the special criminal jurisdiction with national territorial competence in corruption matters. The National Congress approved Decree 67-2022 which</w:t>
      </w:r>
      <w:r w:rsidR="00EE17EF" w:rsidRPr="00E253C8">
        <w:rPr>
          <w:rFonts w:eastAsia="Calibri"/>
          <w:lang w:val="en-GB"/>
        </w:rPr>
        <w:t xml:space="preserve">, among granting other powers, </w:t>
      </w:r>
      <w:r w:rsidR="00450267" w:rsidRPr="00E253C8">
        <w:rPr>
          <w:rFonts w:eastAsia="Calibri"/>
          <w:lang w:val="en-GB"/>
        </w:rPr>
        <w:t>temporarily authorize</w:t>
      </w:r>
      <w:r w:rsidR="00EE17EF" w:rsidRPr="00E253C8">
        <w:rPr>
          <w:rFonts w:eastAsia="Calibri"/>
          <w:lang w:val="en-GB"/>
        </w:rPr>
        <w:t>d</w:t>
      </w:r>
      <w:r w:rsidR="00450267" w:rsidRPr="00E253C8">
        <w:rPr>
          <w:rFonts w:eastAsia="Calibri"/>
          <w:lang w:val="en-GB"/>
        </w:rPr>
        <w:t xml:space="preserve"> UFERCO to </w:t>
      </w:r>
      <w:r w:rsidR="00073645" w:rsidRPr="00E253C8">
        <w:rPr>
          <w:rFonts w:eastAsia="Calibri"/>
          <w:lang w:val="en-GB"/>
        </w:rPr>
        <w:t xml:space="preserve">undertake criminal prosecution </w:t>
      </w:r>
      <w:r w:rsidR="00450267" w:rsidRPr="00E253C8">
        <w:rPr>
          <w:rFonts w:eastAsia="Calibri"/>
          <w:lang w:val="en-GB"/>
        </w:rPr>
        <w:t xml:space="preserve">without prior approval </w:t>
      </w:r>
      <w:r w:rsidR="00073645" w:rsidRPr="00E253C8">
        <w:rPr>
          <w:rFonts w:eastAsia="Calibri"/>
          <w:lang w:val="en-GB"/>
        </w:rPr>
        <w:t xml:space="preserve">by </w:t>
      </w:r>
      <w:r w:rsidR="00450267" w:rsidRPr="00E253C8">
        <w:rPr>
          <w:rFonts w:eastAsia="Calibri"/>
          <w:lang w:val="en-GB"/>
        </w:rPr>
        <w:t>the Attorney General, order</w:t>
      </w:r>
      <w:r w:rsidR="00EE17EF" w:rsidRPr="00E253C8">
        <w:rPr>
          <w:rFonts w:eastAsia="Calibri"/>
          <w:lang w:val="en-GB"/>
        </w:rPr>
        <w:t>ed</w:t>
      </w:r>
      <w:r w:rsidR="00450267" w:rsidRPr="00E253C8">
        <w:rPr>
          <w:rFonts w:eastAsia="Calibri"/>
          <w:lang w:val="en-GB"/>
        </w:rPr>
        <w:t xml:space="preserve"> a budget increase</w:t>
      </w:r>
      <w:r w:rsidR="00EE17EF" w:rsidRPr="00E253C8">
        <w:rPr>
          <w:rFonts w:eastAsia="Calibri"/>
          <w:lang w:val="en-GB"/>
        </w:rPr>
        <w:t>,</w:t>
      </w:r>
      <w:r w:rsidR="00450267" w:rsidRPr="00E253C8">
        <w:rPr>
          <w:rFonts w:eastAsia="Calibri"/>
          <w:lang w:val="en-GB"/>
        </w:rPr>
        <w:t xml:space="preserve"> and strengthen</w:t>
      </w:r>
      <w:r w:rsidR="00EE17EF" w:rsidRPr="00E253C8">
        <w:rPr>
          <w:rFonts w:eastAsia="Calibri"/>
          <w:lang w:val="en-GB"/>
        </w:rPr>
        <w:t>ed</w:t>
      </w:r>
      <w:r w:rsidR="00450267" w:rsidRPr="00E253C8">
        <w:rPr>
          <w:rFonts w:eastAsia="Calibri"/>
          <w:lang w:val="en-GB"/>
        </w:rPr>
        <w:t xml:space="preserve"> the stability of its personnel - a reform questioned by the </w:t>
      </w:r>
      <w:r w:rsidR="00EE17EF" w:rsidRPr="00E253C8">
        <w:rPr>
          <w:rFonts w:eastAsia="Calibri"/>
          <w:lang w:val="en-GB"/>
        </w:rPr>
        <w:t xml:space="preserve">State Attorney’s </w:t>
      </w:r>
      <w:r w:rsidR="00450267" w:rsidRPr="00E253C8">
        <w:rPr>
          <w:rFonts w:eastAsia="Calibri"/>
          <w:lang w:val="en-GB"/>
        </w:rPr>
        <w:t xml:space="preserve">Office. In November, the discussion of the </w:t>
      </w:r>
      <w:r w:rsidR="00E15335" w:rsidRPr="00E253C8">
        <w:rPr>
          <w:rFonts w:eastAsia="Calibri"/>
          <w:lang w:val="en-GB"/>
        </w:rPr>
        <w:t xml:space="preserve">draft Law on </w:t>
      </w:r>
      <w:r w:rsidR="00450267" w:rsidRPr="00E253C8">
        <w:rPr>
          <w:rFonts w:eastAsia="Calibri"/>
          <w:lang w:val="en-GB"/>
        </w:rPr>
        <w:t xml:space="preserve">Effective Collaboration </w:t>
      </w:r>
      <w:r w:rsidR="00E15335" w:rsidRPr="00E253C8">
        <w:rPr>
          <w:rFonts w:eastAsia="Calibri"/>
          <w:lang w:val="en-GB"/>
        </w:rPr>
        <w:t xml:space="preserve">started </w:t>
      </w:r>
      <w:r w:rsidR="00450267" w:rsidRPr="00E253C8">
        <w:rPr>
          <w:rFonts w:eastAsia="Calibri"/>
          <w:lang w:val="en-GB"/>
        </w:rPr>
        <w:t>in the National Congress</w:t>
      </w:r>
      <w:r w:rsidR="00A42368" w:rsidRPr="00E253C8">
        <w:rPr>
          <w:rFonts w:eastAsia="Calibri"/>
          <w:lang w:val="en-GB"/>
        </w:rPr>
        <w:t xml:space="preserve">, the adoption of which </w:t>
      </w:r>
      <w:r w:rsidR="00EC6410" w:rsidRPr="00E253C8">
        <w:rPr>
          <w:rFonts w:eastAsia="Calibri"/>
          <w:lang w:val="en-GB"/>
        </w:rPr>
        <w:t xml:space="preserve">would </w:t>
      </w:r>
      <w:r w:rsidR="00450267" w:rsidRPr="00E253C8">
        <w:rPr>
          <w:rFonts w:eastAsia="Calibri"/>
          <w:lang w:val="en-GB"/>
        </w:rPr>
        <w:t>provide an important instrument for the prosecution of corruption.</w:t>
      </w:r>
    </w:p>
    <w:p w14:paraId="137EAE4F" w14:textId="4632572B" w:rsidR="00ED52C8" w:rsidRPr="00E253C8" w:rsidRDefault="000E2523" w:rsidP="0084387B">
      <w:pPr>
        <w:pStyle w:val="SingleTxtG"/>
        <w:rPr>
          <w:rFonts w:eastAsia="Calibri"/>
          <w:lang w:val="en-GB"/>
        </w:rPr>
      </w:pPr>
      <w:r w:rsidRPr="00E253C8">
        <w:rPr>
          <w:rFonts w:eastAsia="Calibri"/>
          <w:lang w:val="en-GB"/>
        </w:rPr>
        <w:t>5</w:t>
      </w:r>
      <w:r w:rsidR="0084387B">
        <w:rPr>
          <w:rFonts w:eastAsia="Calibri"/>
          <w:lang w:val="en-GB"/>
        </w:rPr>
        <w:t>8</w:t>
      </w:r>
      <w:r w:rsidR="00D323B4" w:rsidRPr="00E253C8">
        <w:rPr>
          <w:rFonts w:eastAsia="Calibri"/>
          <w:lang w:val="en-GB"/>
        </w:rPr>
        <w:t>.</w:t>
      </w:r>
      <w:r w:rsidR="00D323B4" w:rsidRPr="00E253C8">
        <w:rPr>
          <w:rFonts w:eastAsia="Calibri"/>
          <w:lang w:val="en-GB"/>
        </w:rPr>
        <w:tab/>
      </w:r>
      <w:r w:rsidR="00ED52C8" w:rsidRPr="00E253C8">
        <w:rPr>
          <w:rFonts w:eastAsia="Calibri"/>
          <w:lang w:val="en-GB"/>
        </w:rPr>
        <w:t xml:space="preserve">The State Attorney's Office obtained convictions in </w:t>
      </w:r>
      <w:r w:rsidR="00D628A2" w:rsidRPr="00E253C8">
        <w:rPr>
          <w:rFonts w:eastAsia="Calibri"/>
          <w:lang w:val="en-GB"/>
        </w:rPr>
        <w:t xml:space="preserve">high impact cases before </w:t>
      </w:r>
      <w:r w:rsidR="00ED52C8" w:rsidRPr="00E253C8">
        <w:rPr>
          <w:rFonts w:eastAsia="Calibri"/>
          <w:lang w:val="en-GB"/>
        </w:rPr>
        <w:t>the anti</w:t>
      </w:r>
      <w:r w:rsidR="00D628A2" w:rsidRPr="00E253C8">
        <w:rPr>
          <w:rFonts w:eastAsia="Calibri"/>
          <w:lang w:val="en-GB"/>
        </w:rPr>
        <w:noBreakHyphen/>
      </w:r>
      <w:r w:rsidR="00ED52C8" w:rsidRPr="00E253C8">
        <w:rPr>
          <w:rFonts w:eastAsia="Calibri"/>
          <w:lang w:val="en-GB"/>
        </w:rPr>
        <w:t xml:space="preserve">corruption judicial circuit, </w:t>
      </w:r>
      <w:r w:rsidR="00D628A2" w:rsidRPr="00E253C8">
        <w:rPr>
          <w:rFonts w:eastAsia="Calibri"/>
          <w:lang w:val="en-GB"/>
        </w:rPr>
        <w:t xml:space="preserve">including </w:t>
      </w:r>
      <w:r w:rsidR="00ED52C8" w:rsidRPr="00E253C8">
        <w:rPr>
          <w:rFonts w:eastAsia="Calibri"/>
          <w:lang w:val="en-GB"/>
        </w:rPr>
        <w:t xml:space="preserve">the "2020 Mobile Hospital Fraud", "Caja Chica de la Dama" and in one of the </w:t>
      </w:r>
      <w:r w:rsidR="00AA33D8" w:rsidRPr="00E253C8">
        <w:rPr>
          <w:rFonts w:eastAsia="Calibri"/>
          <w:lang w:val="en-GB"/>
        </w:rPr>
        <w:t xml:space="preserve">investigation </w:t>
      </w:r>
      <w:r w:rsidR="00ED52C8" w:rsidRPr="00E253C8">
        <w:rPr>
          <w:rFonts w:eastAsia="Calibri"/>
          <w:lang w:val="en-GB"/>
        </w:rPr>
        <w:t xml:space="preserve">lines of corruption against the Honduran Social Security Institute. </w:t>
      </w:r>
    </w:p>
    <w:p w14:paraId="6C7BE0BE" w14:textId="5ADF7420" w:rsidR="00F447B9" w:rsidRPr="00E253C8" w:rsidRDefault="0084387B" w:rsidP="00F447B9">
      <w:pPr>
        <w:pStyle w:val="SingleTxtG"/>
        <w:rPr>
          <w:rFonts w:eastAsia="Calibri"/>
          <w:lang w:val="en-GB"/>
        </w:rPr>
      </w:pPr>
      <w:r>
        <w:rPr>
          <w:rFonts w:eastAsia="Calibri"/>
          <w:lang w:val="en-GB"/>
        </w:rPr>
        <w:t>59</w:t>
      </w:r>
      <w:r w:rsidR="00F447B9" w:rsidRPr="00E253C8">
        <w:rPr>
          <w:rFonts w:eastAsia="Calibri"/>
          <w:lang w:val="en-GB"/>
        </w:rPr>
        <w:t xml:space="preserve">. The Government established the Secretariat of State in the Offices of Transparency and Fight against Corruption to prevent and combat corruption in the exercise of public and private functions. </w:t>
      </w:r>
      <w:r w:rsidR="00A84405" w:rsidRPr="00E253C8">
        <w:rPr>
          <w:rFonts w:eastAsia="Calibri"/>
          <w:lang w:val="en-GB"/>
        </w:rPr>
        <w:t>One important advance was t</w:t>
      </w:r>
      <w:r w:rsidR="00F447B9" w:rsidRPr="00E253C8">
        <w:rPr>
          <w:rFonts w:eastAsia="Calibri"/>
          <w:lang w:val="en-GB"/>
        </w:rPr>
        <w:t>he repeal of decrees authorizing the creation of trus</w:t>
      </w:r>
      <w:r w:rsidR="0042682E" w:rsidRPr="00E253C8">
        <w:rPr>
          <w:rFonts w:eastAsia="Calibri"/>
          <w:lang w:val="en-GB"/>
        </w:rPr>
        <w:t>ts</w:t>
      </w:r>
      <w:r w:rsidR="00F447B9" w:rsidRPr="00E253C8">
        <w:rPr>
          <w:rFonts w:eastAsia="Calibri"/>
          <w:lang w:val="en-GB"/>
        </w:rPr>
        <w:t xml:space="preserve">. </w:t>
      </w:r>
    </w:p>
    <w:p w14:paraId="437EEC34" w14:textId="010C5FFE" w:rsidR="00C83C69" w:rsidRPr="00E253C8" w:rsidRDefault="0084387B" w:rsidP="00ED52C8">
      <w:pPr>
        <w:pStyle w:val="SingleTxtG"/>
        <w:rPr>
          <w:rFonts w:eastAsia="Calibri"/>
          <w:lang w:val="en-GB"/>
        </w:rPr>
      </w:pPr>
      <w:r>
        <w:rPr>
          <w:rFonts w:eastAsia="Calibri"/>
          <w:lang w:val="en-GB"/>
        </w:rPr>
        <w:t>60</w:t>
      </w:r>
      <w:r w:rsidR="00ED52C8" w:rsidRPr="00E253C8">
        <w:rPr>
          <w:rFonts w:eastAsia="Calibri"/>
          <w:lang w:val="en-GB"/>
        </w:rPr>
        <w:t>.</w:t>
      </w:r>
      <w:r w:rsidR="00ED52C8" w:rsidRPr="00E253C8">
        <w:rPr>
          <w:rFonts w:eastAsia="Calibri"/>
          <w:lang w:val="en-GB"/>
        </w:rPr>
        <w:tab/>
        <w:t xml:space="preserve">It </w:t>
      </w:r>
      <w:r w:rsidR="00D76B22" w:rsidRPr="00E253C8">
        <w:rPr>
          <w:rFonts w:eastAsia="Calibri"/>
          <w:lang w:val="en-GB"/>
        </w:rPr>
        <w:t xml:space="preserve">remains </w:t>
      </w:r>
      <w:r w:rsidR="00ED52C8" w:rsidRPr="00E253C8">
        <w:rPr>
          <w:rFonts w:eastAsia="Calibri"/>
          <w:lang w:val="en-GB"/>
        </w:rPr>
        <w:t xml:space="preserve">necessary to repeal the decrees known as the "Pact of Impunity" including </w:t>
      </w:r>
      <w:r w:rsidR="00C23D03">
        <w:rPr>
          <w:rFonts w:eastAsia="Calibri"/>
          <w:lang w:val="en-GB"/>
        </w:rPr>
        <w:t>D</w:t>
      </w:r>
      <w:r w:rsidR="00ED52C8" w:rsidRPr="00E253C8">
        <w:rPr>
          <w:rFonts w:eastAsia="Calibri"/>
          <w:lang w:val="en-GB"/>
        </w:rPr>
        <w:t xml:space="preserve">ecree 116-2019 and </w:t>
      </w:r>
      <w:r w:rsidR="00C23D03">
        <w:rPr>
          <w:rFonts w:eastAsia="Calibri"/>
          <w:lang w:val="en-GB"/>
        </w:rPr>
        <w:t>D</w:t>
      </w:r>
      <w:r w:rsidR="00ED52C8" w:rsidRPr="00E253C8">
        <w:rPr>
          <w:rFonts w:eastAsia="Calibri"/>
          <w:lang w:val="en-GB"/>
        </w:rPr>
        <w:t>ecrees 57-2020 and 93-2021 that interpret and reform articles of the Criminal Procedure Code and the Money Laundering Law</w:t>
      </w:r>
      <w:r w:rsidR="00D76B22" w:rsidRPr="00E253C8">
        <w:rPr>
          <w:rStyle w:val="FootnoteReference"/>
          <w:rFonts w:eastAsia="Calibri"/>
          <w:lang w:val="en-GB"/>
        </w:rPr>
        <w:footnoteReference w:id="27"/>
      </w:r>
      <w:r w:rsidR="00ED52C8" w:rsidRPr="00E253C8">
        <w:rPr>
          <w:rFonts w:eastAsia="Calibri"/>
          <w:lang w:val="en-GB"/>
        </w:rPr>
        <w:t>.</w:t>
      </w:r>
    </w:p>
    <w:p w14:paraId="57175C03" w14:textId="714B948D" w:rsidR="009C640C" w:rsidRPr="00E253C8" w:rsidRDefault="00406DBC" w:rsidP="00406DBC">
      <w:pPr>
        <w:pStyle w:val="HChG"/>
        <w:rPr>
          <w:lang w:val="en-GB"/>
        </w:rPr>
      </w:pPr>
      <w:r w:rsidRPr="00E253C8">
        <w:rPr>
          <w:lang w:val="en-GB"/>
        </w:rPr>
        <w:tab/>
        <w:t>V.</w:t>
      </w:r>
      <w:r w:rsidRPr="00E253C8">
        <w:rPr>
          <w:lang w:val="en-GB"/>
        </w:rPr>
        <w:tab/>
      </w:r>
      <w:r w:rsidRPr="00E253C8">
        <w:rPr>
          <w:lang w:val="en-GB"/>
        </w:rPr>
        <w:tab/>
      </w:r>
      <w:r w:rsidR="008B5019" w:rsidRPr="00E253C8">
        <w:rPr>
          <w:rFonts w:eastAsia="Calibri"/>
          <w:lang w:val="en-GB"/>
        </w:rPr>
        <w:t>Civic Space and Public Participation</w:t>
      </w:r>
    </w:p>
    <w:p w14:paraId="16568AD4" w14:textId="50DB008D" w:rsidR="008B5019" w:rsidRPr="00E253C8" w:rsidRDefault="0084387B" w:rsidP="007C5A2B">
      <w:pPr>
        <w:pStyle w:val="SingleTxtG"/>
        <w:rPr>
          <w:rFonts w:eastAsia="Calibri"/>
          <w:lang w:val="en-GB"/>
        </w:rPr>
      </w:pPr>
      <w:r>
        <w:rPr>
          <w:rFonts w:eastAsia="Calibri"/>
          <w:lang w:val="en-GB"/>
        </w:rPr>
        <w:t>61</w:t>
      </w:r>
      <w:r w:rsidR="008B5019" w:rsidRPr="00E253C8">
        <w:rPr>
          <w:rFonts w:eastAsia="Calibri"/>
          <w:lang w:val="en-GB"/>
        </w:rPr>
        <w:t>.</w:t>
      </w:r>
      <w:r w:rsidR="008B5019" w:rsidRPr="00E253C8">
        <w:rPr>
          <w:rFonts w:eastAsia="Calibri"/>
          <w:lang w:val="en-GB"/>
        </w:rPr>
        <w:tab/>
        <w:t xml:space="preserve">The Office recognizes efforts </w:t>
      </w:r>
      <w:r w:rsidR="00895DC2" w:rsidRPr="00E253C8">
        <w:rPr>
          <w:rFonts w:eastAsia="Calibri"/>
          <w:lang w:val="en-GB"/>
        </w:rPr>
        <w:t>made by the e</w:t>
      </w:r>
      <w:r w:rsidR="008B5019" w:rsidRPr="00E253C8">
        <w:rPr>
          <w:rFonts w:eastAsia="Calibri"/>
          <w:lang w:val="en-GB"/>
        </w:rPr>
        <w:t xml:space="preserve">xecutive and </w:t>
      </w:r>
      <w:r w:rsidR="00895DC2" w:rsidRPr="00E253C8">
        <w:rPr>
          <w:rFonts w:eastAsia="Calibri"/>
          <w:lang w:val="en-GB"/>
        </w:rPr>
        <w:t>l</w:t>
      </w:r>
      <w:r w:rsidR="008B5019" w:rsidRPr="00E253C8">
        <w:rPr>
          <w:rFonts w:eastAsia="Calibri"/>
          <w:lang w:val="en-GB"/>
        </w:rPr>
        <w:t xml:space="preserve">egislative </w:t>
      </w:r>
      <w:r w:rsidR="00895DC2" w:rsidRPr="00E253C8">
        <w:rPr>
          <w:rFonts w:eastAsia="Calibri"/>
          <w:lang w:val="en-GB"/>
        </w:rPr>
        <w:t xml:space="preserve">powers </w:t>
      </w:r>
      <w:r w:rsidR="008B5019" w:rsidRPr="00E253C8">
        <w:rPr>
          <w:rFonts w:eastAsia="Calibri"/>
          <w:lang w:val="en-GB"/>
        </w:rPr>
        <w:t xml:space="preserve">to </w:t>
      </w:r>
      <w:r w:rsidR="00895DC2" w:rsidRPr="00E253C8">
        <w:rPr>
          <w:rFonts w:eastAsia="Calibri"/>
          <w:lang w:val="en-GB"/>
        </w:rPr>
        <w:t xml:space="preserve">advance towards the effective </w:t>
      </w:r>
      <w:r w:rsidR="008B5019" w:rsidRPr="00E253C8">
        <w:rPr>
          <w:rFonts w:eastAsia="Calibri"/>
          <w:lang w:val="en-GB"/>
        </w:rPr>
        <w:t xml:space="preserve">exercise of rights related to </w:t>
      </w:r>
      <w:r w:rsidR="00895DC2" w:rsidRPr="00E253C8">
        <w:rPr>
          <w:rFonts w:eastAsia="Calibri"/>
          <w:lang w:val="en-GB"/>
        </w:rPr>
        <w:t xml:space="preserve">public </w:t>
      </w:r>
      <w:r w:rsidR="008B5019" w:rsidRPr="00E253C8">
        <w:rPr>
          <w:rFonts w:eastAsia="Calibri"/>
          <w:lang w:val="en-GB"/>
        </w:rPr>
        <w:t xml:space="preserve">participation. However, structural </w:t>
      </w:r>
      <w:r w:rsidR="00441B22" w:rsidRPr="00E253C8">
        <w:rPr>
          <w:rFonts w:eastAsia="Calibri"/>
          <w:lang w:val="en-GB"/>
        </w:rPr>
        <w:t>challenges</w:t>
      </w:r>
      <w:r w:rsidR="008B5019" w:rsidRPr="00E253C8">
        <w:rPr>
          <w:rFonts w:eastAsia="Calibri"/>
          <w:lang w:val="en-GB"/>
        </w:rPr>
        <w:t xml:space="preserve"> and institutional practices persist</w:t>
      </w:r>
      <w:r w:rsidR="007C5A2B">
        <w:rPr>
          <w:rFonts w:eastAsia="Calibri"/>
          <w:lang w:val="en-GB"/>
        </w:rPr>
        <w:t>,</w:t>
      </w:r>
      <w:r w:rsidR="008B5019" w:rsidRPr="00E253C8">
        <w:rPr>
          <w:rFonts w:eastAsia="Calibri"/>
          <w:lang w:val="en-GB"/>
        </w:rPr>
        <w:t xml:space="preserve"> affect</w:t>
      </w:r>
      <w:r w:rsidR="007C5A2B">
        <w:rPr>
          <w:rFonts w:eastAsia="Calibri"/>
          <w:lang w:val="en-GB"/>
        </w:rPr>
        <w:t>ing</w:t>
      </w:r>
      <w:r w:rsidR="008B5019" w:rsidRPr="00E253C8">
        <w:rPr>
          <w:rFonts w:eastAsia="Calibri"/>
          <w:lang w:val="en-GB"/>
        </w:rPr>
        <w:t xml:space="preserve"> the exercise of the</w:t>
      </w:r>
      <w:r w:rsidR="004265AF">
        <w:rPr>
          <w:rFonts w:eastAsia="Calibri"/>
          <w:lang w:val="en-GB"/>
        </w:rPr>
        <w:t xml:space="preserve"> defence</w:t>
      </w:r>
      <w:r w:rsidR="008B5019" w:rsidRPr="00E253C8">
        <w:rPr>
          <w:rFonts w:eastAsia="Calibri"/>
          <w:lang w:val="en-GB"/>
        </w:rPr>
        <w:t xml:space="preserve"> of human rights and the rights to participate in the management of public affairs, peaceful assembly, freedom of expression, access to information and freedom of association, </w:t>
      </w:r>
      <w:r w:rsidR="0091659A" w:rsidRPr="00E253C8">
        <w:rPr>
          <w:rFonts w:eastAsia="Calibri"/>
          <w:lang w:val="en-GB"/>
        </w:rPr>
        <w:t xml:space="preserve">thus </w:t>
      </w:r>
      <w:r w:rsidR="008B5019" w:rsidRPr="00E253C8">
        <w:rPr>
          <w:rFonts w:eastAsia="Calibri"/>
          <w:lang w:val="en-GB"/>
        </w:rPr>
        <w:t>weakening the civic space.</w:t>
      </w:r>
    </w:p>
    <w:p w14:paraId="1D90713C" w14:textId="1D5CDAB0" w:rsidR="006F1B19" w:rsidRPr="00E253C8" w:rsidRDefault="0084387B" w:rsidP="00736532">
      <w:pPr>
        <w:pStyle w:val="SingleTxtG"/>
        <w:rPr>
          <w:lang w:val="en-GB"/>
        </w:rPr>
      </w:pPr>
      <w:r>
        <w:rPr>
          <w:rFonts w:eastAsia="Calibri"/>
          <w:lang w:val="en-GB"/>
        </w:rPr>
        <w:t>62</w:t>
      </w:r>
      <w:r w:rsidR="008B5019" w:rsidRPr="00E253C8">
        <w:rPr>
          <w:rFonts w:eastAsia="Calibri"/>
          <w:lang w:val="en-GB"/>
        </w:rPr>
        <w:t>.</w:t>
      </w:r>
      <w:r w:rsidR="008B5019" w:rsidRPr="00E253C8">
        <w:rPr>
          <w:rFonts w:eastAsia="Calibri"/>
          <w:lang w:val="en-GB"/>
        </w:rPr>
        <w:tab/>
        <w:t>In September, the General Directorate of Information and Press of the Government of the Republic</w:t>
      </w:r>
      <w:r w:rsidR="005A5435" w:rsidRPr="00E253C8">
        <w:rPr>
          <w:rFonts w:eastAsia="Calibri"/>
          <w:lang w:val="en-GB"/>
        </w:rPr>
        <w:t xml:space="preserve"> was </w:t>
      </w:r>
      <w:r w:rsidR="006C77D6" w:rsidRPr="00E253C8">
        <w:rPr>
          <w:rFonts w:eastAsia="Calibri"/>
          <w:lang w:val="en-GB"/>
        </w:rPr>
        <w:t>established by</w:t>
      </w:r>
      <w:r w:rsidR="00441B22">
        <w:rPr>
          <w:rFonts w:eastAsia="Calibri"/>
          <w:lang w:val="en-GB"/>
        </w:rPr>
        <w:t xml:space="preserve"> way of</w:t>
      </w:r>
      <w:r w:rsidR="006C77D6" w:rsidRPr="00E253C8">
        <w:rPr>
          <w:rFonts w:eastAsia="Calibri"/>
          <w:lang w:val="en-GB"/>
        </w:rPr>
        <w:t xml:space="preserve"> </w:t>
      </w:r>
      <w:r w:rsidR="005A5435" w:rsidRPr="00E253C8">
        <w:rPr>
          <w:rFonts w:eastAsia="Calibri"/>
          <w:lang w:val="en-GB"/>
        </w:rPr>
        <w:t>Decree PCM-023-2022</w:t>
      </w:r>
      <w:r w:rsidR="008B5019" w:rsidRPr="00E253C8">
        <w:rPr>
          <w:rFonts w:eastAsia="Calibri"/>
          <w:lang w:val="en-GB"/>
        </w:rPr>
        <w:t>.</w:t>
      </w:r>
      <w:r w:rsidR="00736532" w:rsidRPr="00E253C8">
        <w:rPr>
          <w:rFonts w:eastAsia="Calibri"/>
          <w:lang w:val="en-GB"/>
        </w:rPr>
        <w:t xml:space="preserve"> </w:t>
      </w:r>
      <w:r w:rsidR="006F1B19" w:rsidRPr="00E253C8">
        <w:rPr>
          <w:lang w:val="en-GB"/>
        </w:rPr>
        <w:t xml:space="preserve">The wording of the Decree is concerning as it does not provide </w:t>
      </w:r>
      <w:r w:rsidR="006F1B19" w:rsidRPr="00E253C8">
        <w:rPr>
          <w:lang w:val="en-GB"/>
        </w:rPr>
        <w:lastRenderedPageBreak/>
        <w:t>clarity on the objective and functions of the Directorate</w:t>
      </w:r>
      <w:r w:rsidR="0022672B" w:rsidRPr="00E253C8">
        <w:rPr>
          <w:lang w:val="en-GB"/>
        </w:rPr>
        <w:t xml:space="preserve">. The Decree </w:t>
      </w:r>
      <w:r w:rsidR="006F1B19" w:rsidRPr="00E253C8">
        <w:rPr>
          <w:lang w:val="en-GB"/>
        </w:rPr>
        <w:t xml:space="preserve">requires clarification to avoid generating an obstacle to the plurality and diversity of media, excessive State control, and </w:t>
      </w:r>
      <w:r w:rsidR="0022672B" w:rsidRPr="00E253C8">
        <w:rPr>
          <w:lang w:val="en-GB"/>
        </w:rPr>
        <w:t xml:space="preserve">in order </w:t>
      </w:r>
      <w:r w:rsidR="006F1B19" w:rsidRPr="00E253C8">
        <w:rPr>
          <w:lang w:val="en-GB"/>
        </w:rPr>
        <w:t xml:space="preserve">not </w:t>
      </w:r>
      <w:r w:rsidR="0022672B" w:rsidRPr="00E253C8">
        <w:rPr>
          <w:lang w:val="en-GB"/>
        </w:rPr>
        <w:t xml:space="preserve">to hinder </w:t>
      </w:r>
      <w:r w:rsidR="006F1B19" w:rsidRPr="00E253C8">
        <w:rPr>
          <w:lang w:val="en-GB"/>
        </w:rPr>
        <w:t>the full and safe exercise of freedom of expression.</w:t>
      </w:r>
    </w:p>
    <w:p w14:paraId="52A04DED" w14:textId="605E17AF" w:rsidR="00AA0CF9" w:rsidRPr="00E253C8" w:rsidRDefault="000E2523" w:rsidP="00AA0CF9">
      <w:pPr>
        <w:pStyle w:val="SingleTxtG"/>
        <w:rPr>
          <w:lang w:val="en-GB"/>
        </w:rPr>
      </w:pPr>
      <w:r w:rsidRPr="00E253C8">
        <w:rPr>
          <w:lang w:val="en-GB"/>
        </w:rPr>
        <w:t>6</w:t>
      </w:r>
      <w:r w:rsidR="0084387B">
        <w:rPr>
          <w:lang w:val="en-GB"/>
        </w:rPr>
        <w:t>3</w:t>
      </w:r>
      <w:r w:rsidR="00777796" w:rsidRPr="00E253C8">
        <w:rPr>
          <w:lang w:val="en-GB"/>
        </w:rPr>
        <w:t>.</w:t>
      </w:r>
      <w:r w:rsidR="00777796" w:rsidRPr="00E253C8">
        <w:rPr>
          <w:lang w:val="en-GB"/>
        </w:rPr>
        <w:tab/>
      </w:r>
      <w:r w:rsidR="00AA0CF9" w:rsidRPr="00E253C8">
        <w:rPr>
          <w:lang w:val="en-GB"/>
        </w:rPr>
        <w:t xml:space="preserve">The Office recorded at least 173 attacks against human rights defenders and journalists in 2022, resulting in a total of 242 victims, of which 191 were human rights defenders and 51 journalists. Of these victims, 147 (60.7%) were dedicated to defending land, territory, and the environment, 36 (14.9%) to journalism, and 19 (7.9%) to defending and promoting the rights of LGBTI persons. Of the total, 117 victims (48.3%) were cisgender men, 66 (27.3%) were cisgender women, 5 (2.1%) were transgender women, and 1 (0.4%) was a transgender man. In 53 cases (21.9%), the attacks were against organizations, media outlets, or other </w:t>
      </w:r>
      <w:r w:rsidR="00441B22">
        <w:rPr>
          <w:lang w:val="en-GB"/>
        </w:rPr>
        <w:t>groups</w:t>
      </w:r>
      <w:r w:rsidR="00AA0CF9" w:rsidRPr="00E253C8">
        <w:rPr>
          <w:lang w:val="en-GB"/>
        </w:rPr>
        <w:t>. Additionally, 68 (28.1%) were indigenous and 26 (10.7%) were Afro-Honduran.</w:t>
      </w:r>
    </w:p>
    <w:p w14:paraId="6013D270" w14:textId="323FF646" w:rsidR="008B4C9F" w:rsidRPr="00E253C8" w:rsidRDefault="000E2523" w:rsidP="0084387B">
      <w:pPr>
        <w:pStyle w:val="SingleTxtG"/>
        <w:rPr>
          <w:lang w:val="en-GB"/>
        </w:rPr>
      </w:pPr>
      <w:r w:rsidRPr="00E253C8">
        <w:rPr>
          <w:lang w:val="en-GB"/>
        </w:rPr>
        <w:t>6</w:t>
      </w:r>
      <w:r w:rsidR="0084387B">
        <w:rPr>
          <w:lang w:val="en-GB"/>
        </w:rPr>
        <w:t>4</w:t>
      </w:r>
      <w:r w:rsidR="00777796" w:rsidRPr="00E253C8">
        <w:rPr>
          <w:lang w:val="en-GB"/>
        </w:rPr>
        <w:t>.</w:t>
      </w:r>
      <w:r w:rsidR="00777796" w:rsidRPr="00E253C8">
        <w:rPr>
          <w:lang w:val="en-GB"/>
        </w:rPr>
        <w:tab/>
      </w:r>
      <w:r w:rsidR="005B5E2A" w:rsidRPr="00E253C8">
        <w:rPr>
          <w:lang w:val="en-GB"/>
        </w:rPr>
        <w:t xml:space="preserve">It is noteworthy that 3 out of 4 attacks are against those who defend land, territory, and the environment, a </w:t>
      </w:r>
      <w:r w:rsidR="00594EA6" w:rsidRPr="00E253C8">
        <w:rPr>
          <w:lang w:val="en-GB"/>
        </w:rPr>
        <w:t xml:space="preserve">number </w:t>
      </w:r>
      <w:r w:rsidR="005B5E2A" w:rsidRPr="00E253C8">
        <w:rPr>
          <w:lang w:val="en-GB"/>
        </w:rPr>
        <w:t xml:space="preserve">that </w:t>
      </w:r>
      <w:r w:rsidR="00594EA6" w:rsidRPr="00E253C8">
        <w:rPr>
          <w:lang w:val="en-GB"/>
        </w:rPr>
        <w:t xml:space="preserve">showcases </w:t>
      </w:r>
      <w:r w:rsidR="005B5E2A" w:rsidRPr="00E253C8">
        <w:rPr>
          <w:lang w:val="en-GB"/>
        </w:rPr>
        <w:t xml:space="preserve">their extreme situation of risk. </w:t>
      </w:r>
      <w:r w:rsidR="008B4C9F" w:rsidRPr="00E253C8">
        <w:rPr>
          <w:lang w:val="en-GB"/>
        </w:rPr>
        <w:t xml:space="preserve">Of the defenders who were victims of attacks between 2021 and 2022, 24.8% were Afro-Honduran, which demonstrates </w:t>
      </w:r>
      <w:r w:rsidR="00EA5ACD" w:rsidRPr="00E253C8">
        <w:rPr>
          <w:lang w:val="en-GB"/>
        </w:rPr>
        <w:t xml:space="preserve">the </w:t>
      </w:r>
      <w:r w:rsidR="008B4C9F" w:rsidRPr="00E253C8">
        <w:rPr>
          <w:lang w:val="en-GB"/>
        </w:rPr>
        <w:t xml:space="preserve">disproportionate impact </w:t>
      </w:r>
      <w:r w:rsidR="004D47C8" w:rsidRPr="00E253C8">
        <w:rPr>
          <w:lang w:val="en-GB"/>
        </w:rPr>
        <w:t>on</w:t>
      </w:r>
      <w:r w:rsidR="008B4C9F" w:rsidRPr="00E253C8">
        <w:rPr>
          <w:lang w:val="en-GB"/>
        </w:rPr>
        <w:t xml:space="preserve"> </w:t>
      </w:r>
      <w:r w:rsidR="00EA5ACD" w:rsidRPr="00E253C8">
        <w:rPr>
          <w:lang w:val="en-GB"/>
        </w:rPr>
        <w:t xml:space="preserve">this </w:t>
      </w:r>
      <w:r w:rsidR="008B4C9F" w:rsidRPr="00E253C8">
        <w:rPr>
          <w:lang w:val="en-GB"/>
        </w:rPr>
        <w:t>community that represents 0.7% of the population</w:t>
      </w:r>
      <w:r w:rsidR="004D47C8" w:rsidRPr="00E253C8">
        <w:rPr>
          <w:rStyle w:val="FootnoteReference"/>
          <w:lang w:val="en-GB"/>
        </w:rPr>
        <w:footnoteReference w:id="28"/>
      </w:r>
      <w:r w:rsidR="008B4C9F" w:rsidRPr="00E253C8">
        <w:rPr>
          <w:lang w:val="en-GB"/>
        </w:rPr>
        <w:t>.</w:t>
      </w:r>
    </w:p>
    <w:p w14:paraId="619750DF" w14:textId="77BF5E00" w:rsidR="00E23805" w:rsidRPr="00E253C8" w:rsidRDefault="000E2523" w:rsidP="00E23805">
      <w:pPr>
        <w:pStyle w:val="SingleTxtG"/>
        <w:rPr>
          <w:lang w:val="en-GB"/>
        </w:rPr>
      </w:pPr>
      <w:r w:rsidRPr="00E253C8">
        <w:rPr>
          <w:lang w:val="en-GB"/>
        </w:rPr>
        <w:t>6</w:t>
      </w:r>
      <w:r w:rsidR="0084387B">
        <w:rPr>
          <w:lang w:val="en-GB"/>
        </w:rPr>
        <w:t>5</w:t>
      </w:r>
      <w:r w:rsidR="00777796" w:rsidRPr="00E253C8">
        <w:rPr>
          <w:lang w:val="en-GB"/>
        </w:rPr>
        <w:t>.</w:t>
      </w:r>
      <w:r w:rsidR="00777796" w:rsidRPr="00E253C8">
        <w:rPr>
          <w:lang w:val="en-GB"/>
        </w:rPr>
        <w:tab/>
      </w:r>
      <w:r w:rsidR="00E23805" w:rsidRPr="00E253C8">
        <w:rPr>
          <w:lang w:val="en-GB"/>
        </w:rPr>
        <w:t>OHCHR documented 11 murders of human rights defenders and 3 journalists (12 cisgender men and 2 transgender women). Of these victims, 6 (42.9%) were dedicated to defending land, territory, and the environment, and 3 (21.4%) were defending the rights of the LGBTI community, including 2 transgender women. Although attacks against these groups have decreased compared to the previous year, it is concerning that murders have increased.</w:t>
      </w:r>
    </w:p>
    <w:p w14:paraId="4BC5B6A0" w14:textId="2FA29B82" w:rsidR="00443B38" w:rsidRPr="00E253C8" w:rsidRDefault="0084387B" w:rsidP="00C069C1">
      <w:pPr>
        <w:pStyle w:val="SingleTxtG"/>
        <w:rPr>
          <w:lang w:val="en-GB"/>
        </w:rPr>
      </w:pPr>
      <w:r>
        <w:rPr>
          <w:lang w:val="en-GB"/>
        </w:rPr>
        <w:t>66</w:t>
      </w:r>
      <w:r w:rsidR="00C069C1" w:rsidRPr="00E253C8">
        <w:rPr>
          <w:lang w:val="en-GB"/>
        </w:rPr>
        <w:t>.</w:t>
      </w:r>
      <w:r w:rsidR="00C069C1" w:rsidRPr="00E253C8">
        <w:rPr>
          <w:lang w:val="en-GB"/>
        </w:rPr>
        <w:tab/>
      </w:r>
      <w:r w:rsidR="009552E8" w:rsidRPr="00E253C8">
        <w:rPr>
          <w:lang w:val="en-GB"/>
        </w:rPr>
        <w:t xml:space="preserve">Other </w:t>
      </w:r>
      <w:r w:rsidR="00C069C1" w:rsidRPr="00E253C8">
        <w:rPr>
          <w:lang w:val="en-GB"/>
        </w:rPr>
        <w:t>frequent</w:t>
      </w:r>
      <w:r w:rsidR="00441B22">
        <w:rPr>
          <w:lang w:val="en-GB"/>
        </w:rPr>
        <w:t>ly</w:t>
      </w:r>
      <w:r w:rsidR="00C069C1" w:rsidRPr="00E253C8">
        <w:rPr>
          <w:lang w:val="en-GB"/>
        </w:rPr>
        <w:t xml:space="preserve"> </w:t>
      </w:r>
      <w:r w:rsidR="00B321B7" w:rsidRPr="00E253C8">
        <w:rPr>
          <w:lang w:val="en-GB"/>
        </w:rPr>
        <w:t xml:space="preserve">recorded </w:t>
      </w:r>
      <w:r w:rsidR="00C069C1" w:rsidRPr="00E253C8">
        <w:rPr>
          <w:lang w:val="en-GB"/>
        </w:rPr>
        <w:t xml:space="preserve">incidents against defenders and journalists, in addition to murders, </w:t>
      </w:r>
      <w:r w:rsidR="00B321B7" w:rsidRPr="00E253C8">
        <w:rPr>
          <w:lang w:val="en-GB"/>
        </w:rPr>
        <w:t xml:space="preserve">were </w:t>
      </w:r>
      <w:r w:rsidR="00C069C1" w:rsidRPr="00E253C8">
        <w:rPr>
          <w:lang w:val="en-GB"/>
        </w:rPr>
        <w:t xml:space="preserve">41 acts of intimidation or harassment, 39 cases of threats, 11 acts of smear campaigns, 10 physical attacks and 10 attempted homicides. The departments </w:t>
      </w:r>
      <w:r w:rsidR="009F2930" w:rsidRPr="00E253C8">
        <w:rPr>
          <w:lang w:val="en-GB"/>
        </w:rPr>
        <w:t xml:space="preserve">with highest prevalence of incidents were </w:t>
      </w:r>
      <w:r w:rsidR="00C069C1" w:rsidRPr="00E253C8">
        <w:rPr>
          <w:lang w:val="en-GB"/>
        </w:rPr>
        <w:t xml:space="preserve">Francisco Morazán (57 cases-32.94%), Colón (21 cases-12.13%), Atlántida (20 cases-11.56%), and La Paz (18 cases-10.40%). In addition to the Central District, the departments with the highest number of attacks </w:t>
      </w:r>
      <w:r w:rsidR="00914EDA" w:rsidRPr="00E253C8">
        <w:rPr>
          <w:lang w:val="en-GB"/>
        </w:rPr>
        <w:t>we</w:t>
      </w:r>
      <w:r w:rsidR="00C069C1" w:rsidRPr="00E253C8">
        <w:rPr>
          <w:lang w:val="en-GB"/>
        </w:rPr>
        <w:t>re those with a high presence of indigenous, Afro-Honduran and peasant communities.</w:t>
      </w:r>
    </w:p>
    <w:p w14:paraId="0A4A00C6" w14:textId="736321D4" w:rsidR="003E7F5E" w:rsidRPr="00E253C8" w:rsidRDefault="00B807FF" w:rsidP="0084387B">
      <w:pPr>
        <w:pStyle w:val="SingleTxtG"/>
        <w:rPr>
          <w:rFonts w:eastAsia="Calibri"/>
          <w:lang w:val="en-GB"/>
        </w:rPr>
      </w:pPr>
      <w:r w:rsidRPr="00E253C8">
        <w:rPr>
          <w:lang w:val="en-GB"/>
        </w:rPr>
        <w:t>6</w:t>
      </w:r>
      <w:r w:rsidR="0084387B">
        <w:rPr>
          <w:lang w:val="en-GB"/>
        </w:rPr>
        <w:t>7</w:t>
      </w:r>
      <w:r w:rsidR="00777796" w:rsidRPr="00E253C8">
        <w:rPr>
          <w:lang w:val="en-GB"/>
        </w:rPr>
        <w:t>.</w:t>
      </w:r>
      <w:r w:rsidR="00777796" w:rsidRPr="00E253C8">
        <w:rPr>
          <w:lang w:val="en-GB"/>
        </w:rPr>
        <w:tab/>
      </w:r>
      <w:r w:rsidR="003E7F5E" w:rsidRPr="00E253C8">
        <w:rPr>
          <w:rFonts w:eastAsia="Calibri"/>
          <w:lang w:val="en-GB"/>
        </w:rPr>
        <w:t xml:space="preserve">The effective investigation of crimes against human rights defenders remains a challenge. Of the 14 </w:t>
      </w:r>
      <w:r w:rsidR="00F01C6C" w:rsidRPr="00E253C8">
        <w:rPr>
          <w:rFonts w:eastAsia="Calibri"/>
          <w:lang w:val="en-GB"/>
        </w:rPr>
        <w:t xml:space="preserve">cases of </w:t>
      </w:r>
      <w:r w:rsidR="003E7F5E" w:rsidRPr="00E253C8">
        <w:rPr>
          <w:rFonts w:eastAsia="Calibri"/>
          <w:lang w:val="en-GB"/>
        </w:rPr>
        <w:t xml:space="preserve">killings documented by the Office in 2022, only two </w:t>
      </w:r>
      <w:r w:rsidR="003E7F5E" w:rsidRPr="00E253C8">
        <w:rPr>
          <w:rFonts w:eastAsia="Calibri"/>
          <w:lang w:val="en-GB"/>
        </w:rPr>
        <w:lastRenderedPageBreak/>
        <w:t>resulted in convictions. One of them is for the murder of Thalía Rodríguez, a trans woman defender of the rights of the LGBTI population, population with HIV</w:t>
      </w:r>
      <w:r w:rsidR="00BE04C7" w:rsidRPr="00E253C8">
        <w:rPr>
          <w:rFonts w:eastAsia="Calibri"/>
          <w:lang w:val="en-GB"/>
        </w:rPr>
        <w:noBreakHyphen/>
      </w:r>
      <w:r w:rsidR="003E7F5E" w:rsidRPr="00E253C8">
        <w:rPr>
          <w:rFonts w:eastAsia="Calibri"/>
          <w:lang w:val="en-GB"/>
        </w:rPr>
        <w:t xml:space="preserve">AIDS and trans women sex workers, murdered in January allegedly by three armed individuals. The oral and public trial ended with the conviction of one person for murder, while the other two </w:t>
      </w:r>
      <w:r w:rsidR="003D4879">
        <w:rPr>
          <w:rFonts w:eastAsia="Calibri"/>
          <w:lang w:val="en-GB"/>
        </w:rPr>
        <w:t xml:space="preserve">are </w:t>
      </w:r>
      <w:r w:rsidR="00BE04C7" w:rsidRPr="00E253C8">
        <w:rPr>
          <w:rFonts w:eastAsia="Calibri"/>
          <w:lang w:val="en-GB"/>
        </w:rPr>
        <w:t xml:space="preserve">yet </w:t>
      </w:r>
      <w:r w:rsidR="003D4879">
        <w:rPr>
          <w:rFonts w:eastAsia="Calibri"/>
          <w:lang w:val="en-GB"/>
        </w:rPr>
        <w:t xml:space="preserve">to be </w:t>
      </w:r>
      <w:r w:rsidR="003E7F5E" w:rsidRPr="00E253C8">
        <w:rPr>
          <w:rFonts w:eastAsia="Calibri"/>
          <w:lang w:val="en-GB"/>
        </w:rPr>
        <w:t>captured.</w:t>
      </w:r>
    </w:p>
    <w:p w14:paraId="50956A30" w14:textId="1C6034EB" w:rsidR="00F26F82" w:rsidRPr="00E253C8" w:rsidRDefault="000E2523" w:rsidP="0084387B">
      <w:pPr>
        <w:pStyle w:val="SingleTxtG"/>
        <w:rPr>
          <w:rFonts w:eastAsia="Calibri"/>
          <w:lang w:val="en-GB"/>
        </w:rPr>
      </w:pPr>
      <w:r w:rsidRPr="00E253C8">
        <w:rPr>
          <w:lang w:val="en-GB"/>
        </w:rPr>
        <w:t>6</w:t>
      </w:r>
      <w:r w:rsidR="0084387B">
        <w:rPr>
          <w:lang w:val="en-GB"/>
        </w:rPr>
        <w:t>8</w:t>
      </w:r>
      <w:r w:rsidR="00777796" w:rsidRPr="00E253C8">
        <w:rPr>
          <w:lang w:val="en-GB"/>
        </w:rPr>
        <w:t>.</w:t>
      </w:r>
      <w:r w:rsidR="00777796" w:rsidRPr="00E253C8">
        <w:rPr>
          <w:lang w:val="en-GB"/>
        </w:rPr>
        <w:tab/>
      </w:r>
      <w:r w:rsidR="006B716E" w:rsidRPr="00E253C8">
        <w:rPr>
          <w:lang w:val="en-GB"/>
        </w:rPr>
        <w:t>Of concern is the recurring practice of misuse of criminal law against defenders, particularly those dedicated to defending land, territory, and the environment, as well as those who publicly oppose large-scale business activities and/or development projects.</w:t>
      </w:r>
      <w:r w:rsidR="00D90EA7" w:rsidRPr="00E253C8">
        <w:rPr>
          <w:rFonts w:eastAsia="Calibri"/>
          <w:lang w:val="en-GB"/>
        </w:rPr>
        <w:t xml:space="preserve"> </w:t>
      </w:r>
      <w:r w:rsidR="00F26F82" w:rsidRPr="00E253C8">
        <w:rPr>
          <w:rFonts w:eastAsia="Calibri"/>
          <w:lang w:val="en-GB"/>
        </w:rPr>
        <w:t xml:space="preserve">The analysis of emblematic cases of the misuse of the criminal justice system </w:t>
      </w:r>
      <w:r w:rsidR="002C73AE" w:rsidRPr="00E253C8">
        <w:rPr>
          <w:rFonts w:eastAsia="Calibri"/>
          <w:lang w:val="en-GB"/>
        </w:rPr>
        <w:t xml:space="preserve">by OHCHR </w:t>
      </w:r>
      <w:r w:rsidR="00F26F82" w:rsidRPr="00E253C8">
        <w:rPr>
          <w:rFonts w:eastAsia="Calibri"/>
          <w:lang w:val="en-GB"/>
        </w:rPr>
        <w:t xml:space="preserve">indicates that: (a) the most frequently </w:t>
      </w:r>
      <w:r w:rsidR="00602F5D">
        <w:rPr>
          <w:rFonts w:eastAsia="Calibri"/>
          <w:lang w:val="en-GB"/>
        </w:rPr>
        <w:t xml:space="preserve">used </w:t>
      </w:r>
      <w:r w:rsidR="00602F5D" w:rsidRPr="00E253C8">
        <w:rPr>
          <w:rFonts w:eastAsia="Calibri"/>
          <w:lang w:val="en-GB"/>
        </w:rPr>
        <w:t xml:space="preserve">criminal </w:t>
      </w:r>
      <w:r w:rsidR="00602F5D">
        <w:rPr>
          <w:rFonts w:eastAsia="Calibri"/>
          <w:lang w:val="en-GB"/>
        </w:rPr>
        <w:t>charges are those of</w:t>
      </w:r>
      <w:r w:rsidR="00F26F82" w:rsidRPr="00E253C8">
        <w:rPr>
          <w:rFonts w:eastAsia="Calibri"/>
          <w:lang w:val="en-GB"/>
        </w:rPr>
        <w:t xml:space="preserve"> "usurpation", "alteration of terms and boundaries" and "damage to private property"; (b) the accusations are mainly promoted by corporate and private actors; and (c) the accusations tend to be collective, based on a general accusation against a group of people without distinguishing or individualizing the conducts or their degree of participation. </w:t>
      </w:r>
      <w:r w:rsidR="00904E65">
        <w:rPr>
          <w:rFonts w:eastAsia="Calibri"/>
          <w:lang w:val="en-GB"/>
        </w:rPr>
        <w:t>The misuse of criminal law</w:t>
      </w:r>
      <w:r w:rsidR="00D25354" w:rsidRPr="00E253C8">
        <w:rPr>
          <w:lang w:val="en-GB"/>
        </w:rPr>
        <w:t xml:space="preserve"> not only hinders</w:t>
      </w:r>
      <w:r w:rsidR="00F26F82" w:rsidRPr="00E253C8">
        <w:rPr>
          <w:rFonts w:eastAsia="Calibri"/>
          <w:lang w:val="en-GB"/>
        </w:rPr>
        <w:t xml:space="preserve"> the work of defenders and the exercise of their freedom of expression, </w:t>
      </w:r>
      <w:r w:rsidR="00D25354" w:rsidRPr="00E253C8">
        <w:rPr>
          <w:rFonts w:eastAsia="Calibri"/>
          <w:lang w:val="en-GB"/>
        </w:rPr>
        <w:t xml:space="preserve">but </w:t>
      </w:r>
      <w:r w:rsidR="00F26F82" w:rsidRPr="00E253C8">
        <w:rPr>
          <w:rFonts w:eastAsia="Calibri"/>
          <w:lang w:val="en-GB"/>
        </w:rPr>
        <w:t xml:space="preserve">also weakens the social fabric of </w:t>
      </w:r>
      <w:r w:rsidR="00D90EA7" w:rsidRPr="00E253C8">
        <w:rPr>
          <w:rFonts w:eastAsia="Calibri"/>
          <w:lang w:val="en-GB"/>
        </w:rPr>
        <w:t xml:space="preserve">affected </w:t>
      </w:r>
      <w:r w:rsidR="00F26F82" w:rsidRPr="00E253C8">
        <w:rPr>
          <w:rFonts w:eastAsia="Calibri"/>
          <w:lang w:val="en-GB"/>
        </w:rPr>
        <w:t>communit</w:t>
      </w:r>
      <w:r w:rsidR="00D90EA7" w:rsidRPr="00E253C8">
        <w:rPr>
          <w:rFonts w:eastAsia="Calibri"/>
          <w:lang w:val="en-GB"/>
        </w:rPr>
        <w:t>ies</w:t>
      </w:r>
      <w:r w:rsidR="00F26F82" w:rsidRPr="00E253C8">
        <w:rPr>
          <w:rFonts w:eastAsia="Calibri"/>
          <w:lang w:val="en-GB"/>
        </w:rPr>
        <w:t>.</w:t>
      </w:r>
    </w:p>
    <w:p w14:paraId="2A91E90F" w14:textId="46BCBD2F" w:rsidR="00412791" w:rsidRPr="00E253C8" w:rsidRDefault="0084387B" w:rsidP="00412791">
      <w:pPr>
        <w:pStyle w:val="SingleTxtG"/>
        <w:rPr>
          <w:lang w:val="en-GB"/>
        </w:rPr>
      </w:pPr>
      <w:r>
        <w:rPr>
          <w:lang w:val="en-GB"/>
        </w:rPr>
        <w:t>69</w:t>
      </w:r>
      <w:r w:rsidR="00412791" w:rsidRPr="00E253C8">
        <w:rPr>
          <w:lang w:val="en-GB"/>
        </w:rPr>
        <w:t>.</w:t>
      </w:r>
      <w:r w:rsidR="00412791" w:rsidRPr="00E253C8">
        <w:rPr>
          <w:lang w:val="en-GB"/>
        </w:rPr>
        <w:tab/>
        <w:t xml:space="preserve">One such example is the case of the 29 members of the Lenca Indigenous Council of Nueva Palestina who, in the context of their </w:t>
      </w:r>
      <w:r w:rsidR="004265AF">
        <w:rPr>
          <w:lang w:val="en-GB"/>
        </w:rPr>
        <w:t>defence</w:t>
      </w:r>
      <w:r w:rsidR="00412791" w:rsidRPr="00E253C8">
        <w:rPr>
          <w:lang w:val="en-GB"/>
        </w:rPr>
        <w:t xml:space="preserve"> of their territory, were </w:t>
      </w:r>
      <w:r w:rsidR="00A33111" w:rsidRPr="00E253C8">
        <w:rPr>
          <w:lang w:val="en-GB"/>
        </w:rPr>
        <w:t>accused</w:t>
      </w:r>
      <w:r w:rsidR="00412791" w:rsidRPr="00E253C8">
        <w:rPr>
          <w:lang w:val="en-GB"/>
        </w:rPr>
        <w:t xml:space="preserve"> in May 2022 for the alleged crime of aggravated usurpation and alteration of terms or boundaries by a private individual. In the same case, journalist Sonia Pérez, correspondent of Radio Progreso, who was covering the case at the time of the events, was charged with the same crimes. The case </w:t>
      </w:r>
      <w:r w:rsidR="00A2588E" w:rsidRPr="00E253C8">
        <w:rPr>
          <w:lang w:val="en-GB"/>
        </w:rPr>
        <w:t xml:space="preserve">was permanently </w:t>
      </w:r>
      <w:r w:rsidR="00412791" w:rsidRPr="00E253C8">
        <w:rPr>
          <w:lang w:val="en-GB"/>
        </w:rPr>
        <w:t xml:space="preserve">dismissed </w:t>
      </w:r>
      <w:r w:rsidR="00A2588E" w:rsidRPr="00E253C8">
        <w:rPr>
          <w:lang w:val="en-GB"/>
        </w:rPr>
        <w:t xml:space="preserve">in </w:t>
      </w:r>
      <w:r w:rsidR="00412791" w:rsidRPr="00E253C8">
        <w:rPr>
          <w:lang w:val="en-GB"/>
        </w:rPr>
        <w:t xml:space="preserve">July 2022. </w:t>
      </w:r>
    </w:p>
    <w:p w14:paraId="3AA6A7E3" w14:textId="417A83ED" w:rsidR="00412791" w:rsidRPr="00E253C8" w:rsidRDefault="00145B6E" w:rsidP="0084387B">
      <w:pPr>
        <w:pStyle w:val="SingleTxtG"/>
        <w:rPr>
          <w:lang w:val="en-GB"/>
        </w:rPr>
      </w:pPr>
      <w:r w:rsidRPr="00E253C8">
        <w:rPr>
          <w:rFonts w:eastAsia="Calibri"/>
          <w:lang w:val="en-GB"/>
        </w:rPr>
        <w:t>7</w:t>
      </w:r>
      <w:r w:rsidR="0084387B">
        <w:rPr>
          <w:rFonts w:eastAsia="Calibri"/>
          <w:lang w:val="en-GB"/>
        </w:rPr>
        <w:t>0</w:t>
      </w:r>
      <w:r w:rsidRPr="00E253C8">
        <w:rPr>
          <w:rFonts w:eastAsia="Calibri"/>
          <w:lang w:val="en-GB"/>
        </w:rPr>
        <w:t>.</w:t>
      </w:r>
      <w:r w:rsidRPr="00E253C8">
        <w:rPr>
          <w:rFonts w:eastAsia="Calibri"/>
          <w:lang w:val="en-GB"/>
        </w:rPr>
        <w:tab/>
      </w:r>
      <w:r w:rsidR="00412791" w:rsidRPr="00E253C8">
        <w:rPr>
          <w:lang w:val="en-GB"/>
        </w:rPr>
        <w:t>Of concern are the severe delays in judicial proceedings against defenders, such as the case initiated in 2020 against the Lenca defenders Víctor Vásquez and José Santos Vigil Girón, from La Paz, for alleged forced displacement, and the proceedings against the Garífuna community of Cristales and Río Negro, Colón, in which 32 human rights defenders were charged usurpation.</w:t>
      </w:r>
    </w:p>
    <w:p w14:paraId="6CBEF5BF" w14:textId="5166E8FC" w:rsidR="00D15BFB" w:rsidRPr="004B106A" w:rsidRDefault="00412791" w:rsidP="0084387B">
      <w:pPr>
        <w:pStyle w:val="SingleTxtG"/>
        <w:rPr>
          <w:lang w:val="en-GB"/>
        </w:rPr>
      </w:pPr>
      <w:r w:rsidRPr="00E253C8">
        <w:rPr>
          <w:lang w:val="en-GB"/>
        </w:rPr>
        <w:t>7</w:t>
      </w:r>
      <w:r w:rsidR="0084387B">
        <w:rPr>
          <w:lang w:val="en-GB"/>
        </w:rPr>
        <w:t>1</w:t>
      </w:r>
      <w:r w:rsidRPr="00E253C8">
        <w:rPr>
          <w:lang w:val="en-GB"/>
        </w:rPr>
        <w:t>.</w:t>
      </w:r>
      <w:r w:rsidRPr="00E253C8">
        <w:rPr>
          <w:lang w:val="en-GB"/>
        </w:rPr>
        <w:tab/>
      </w:r>
      <w:r w:rsidR="00877FB8" w:rsidRPr="00E253C8">
        <w:rPr>
          <w:lang w:val="en-GB"/>
        </w:rPr>
        <w:t>T</w:t>
      </w:r>
      <w:r w:rsidRPr="00E253C8">
        <w:rPr>
          <w:lang w:val="en-GB"/>
        </w:rPr>
        <w:t xml:space="preserve">he Office </w:t>
      </w:r>
      <w:r w:rsidR="007F1A04" w:rsidRPr="00E253C8">
        <w:rPr>
          <w:lang w:val="en-GB"/>
        </w:rPr>
        <w:t xml:space="preserve">finalized </w:t>
      </w:r>
      <w:r w:rsidR="00960FFC">
        <w:rPr>
          <w:lang w:val="en-GB"/>
        </w:rPr>
        <w:t xml:space="preserve">its analysis </w:t>
      </w:r>
      <w:r w:rsidRPr="00E253C8">
        <w:rPr>
          <w:lang w:val="en-GB"/>
        </w:rPr>
        <w:t xml:space="preserve">of </w:t>
      </w:r>
      <w:r w:rsidR="00960FFC">
        <w:rPr>
          <w:lang w:val="en-GB"/>
        </w:rPr>
        <w:t xml:space="preserve">status of </w:t>
      </w:r>
      <w:r w:rsidRPr="00E253C8">
        <w:rPr>
          <w:lang w:val="en-GB"/>
        </w:rPr>
        <w:t xml:space="preserve">the National Protection System for </w:t>
      </w:r>
      <w:r w:rsidR="00D313C1" w:rsidRPr="00E253C8">
        <w:rPr>
          <w:lang w:val="en-GB"/>
        </w:rPr>
        <w:t>H</w:t>
      </w:r>
      <w:r w:rsidRPr="00E253C8">
        <w:rPr>
          <w:lang w:val="en-GB"/>
        </w:rPr>
        <w:t xml:space="preserve">uman </w:t>
      </w:r>
      <w:r w:rsidR="00D313C1" w:rsidRPr="00E253C8">
        <w:rPr>
          <w:lang w:val="en-GB"/>
        </w:rPr>
        <w:t>R</w:t>
      </w:r>
      <w:r w:rsidRPr="00E253C8">
        <w:rPr>
          <w:lang w:val="en-GB"/>
        </w:rPr>
        <w:t xml:space="preserve">ights </w:t>
      </w:r>
      <w:r w:rsidR="00D313C1" w:rsidRPr="00E253C8">
        <w:rPr>
          <w:lang w:val="en-GB"/>
        </w:rPr>
        <w:t>D</w:t>
      </w:r>
      <w:r w:rsidRPr="00E253C8">
        <w:rPr>
          <w:lang w:val="en-GB"/>
        </w:rPr>
        <w:t xml:space="preserve">efenders, </w:t>
      </w:r>
      <w:r w:rsidR="00D313C1" w:rsidRPr="00E253C8">
        <w:rPr>
          <w:lang w:val="en-GB"/>
        </w:rPr>
        <w:t>J</w:t>
      </w:r>
      <w:r w:rsidRPr="00E253C8">
        <w:rPr>
          <w:lang w:val="en-GB"/>
        </w:rPr>
        <w:t xml:space="preserve">ournalists, </w:t>
      </w:r>
      <w:r w:rsidR="00D313C1" w:rsidRPr="00E253C8">
        <w:rPr>
          <w:lang w:val="en-GB"/>
        </w:rPr>
        <w:t>S</w:t>
      </w:r>
      <w:r w:rsidRPr="00E253C8">
        <w:rPr>
          <w:lang w:val="en-GB"/>
        </w:rPr>
        <w:t xml:space="preserve">ocial </w:t>
      </w:r>
      <w:r w:rsidR="00D313C1" w:rsidRPr="00E253C8">
        <w:rPr>
          <w:lang w:val="en-GB"/>
        </w:rPr>
        <w:t>C</w:t>
      </w:r>
      <w:r w:rsidRPr="00E253C8">
        <w:rPr>
          <w:lang w:val="en-GB"/>
        </w:rPr>
        <w:t xml:space="preserve">ommunicators and </w:t>
      </w:r>
      <w:r w:rsidR="00D313C1" w:rsidRPr="00E253C8">
        <w:rPr>
          <w:lang w:val="en-GB"/>
        </w:rPr>
        <w:t>J</w:t>
      </w:r>
      <w:r w:rsidRPr="00E253C8">
        <w:rPr>
          <w:lang w:val="en-GB"/>
        </w:rPr>
        <w:t xml:space="preserve">ustice </w:t>
      </w:r>
      <w:r w:rsidR="00D313C1" w:rsidRPr="00E253C8">
        <w:rPr>
          <w:lang w:val="en-GB"/>
        </w:rPr>
        <w:t>o</w:t>
      </w:r>
      <w:r w:rsidRPr="00E253C8">
        <w:rPr>
          <w:lang w:val="en-GB"/>
        </w:rPr>
        <w:t xml:space="preserve">perators (the System), </w:t>
      </w:r>
      <w:r w:rsidR="00703F34" w:rsidRPr="00E253C8">
        <w:rPr>
          <w:lang w:val="en-GB"/>
        </w:rPr>
        <w:t xml:space="preserve">through </w:t>
      </w:r>
      <w:r w:rsidRPr="00E253C8">
        <w:rPr>
          <w:lang w:val="en-GB"/>
        </w:rPr>
        <w:t>a participato</w:t>
      </w:r>
      <w:r w:rsidRPr="004B106A">
        <w:rPr>
          <w:lang w:val="en-GB"/>
        </w:rPr>
        <w:t>ry consultation process</w:t>
      </w:r>
      <w:r w:rsidR="00052268">
        <w:rPr>
          <w:lang w:val="en-GB"/>
        </w:rPr>
        <w:t xml:space="preserve">. The </w:t>
      </w:r>
      <w:r w:rsidR="00960FFC">
        <w:rPr>
          <w:lang w:val="en-GB"/>
        </w:rPr>
        <w:t xml:space="preserve">analysis </w:t>
      </w:r>
      <w:r w:rsidR="00703F34" w:rsidRPr="004B106A">
        <w:rPr>
          <w:lang w:val="en-GB"/>
        </w:rPr>
        <w:t xml:space="preserve">identifies </w:t>
      </w:r>
      <w:r w:rsidRPr="004B106A">
        <w:rPr>
          <w:lang w:val="en-GB"/>
        </w:rPr>
        <w:t xml:space="preserve">opportunities and challenges </w:t>
      </w:r>
      <w:r w:rsidR="00703F34" w:rsidRPr="004B106A">
        <w:rPr>
          <w:lang w:val="en-GB"/>
        </w:rPr>
        <w:t xml:space="preserve">for </w:t>
      </w:r>
      <w:r w:rsidRPr="004B106A">
        <w:rPr>
          <w:lang w:val="en-GB"/>
        </w:rPr>
        <w:t xml:space="preserve">the System as of </w:t>
      </w:r>
      <w:r w:rsidR="0099792D" w:rsidRPr="004B106A">
        <w:rPr>
          <w:lang w:val="en-GB"/>
        </w:rPr>
        <w:t xml:space="preserve">31 </w:t>
      </w:r>
      <w:r w:rsidRPr="004B106A">
        <w:rPr>
          <w:lang w:val="en-GB"/>
        </w:rPr>
        <w:t xml:space="preserve">December 2021 and concludes with findings that </w:t>
      </w:r>
      <w:r w:rsidR="00703F34" w:rsidRPr="004B106A">
        <w:rPr>
          <w:lang w:val="en-GB"/>
        </w:rPr>
        <w:t xml:space="preserve">informed </w:t>
      </w:r>
      <w:r w:rsidRPr="004B106A">
        <w:rPr>
          <w:lang w:val="en-GB"/>
        </w:rPr>
        <w:t xml:space="preserve">the development of the </w:t>
      </w:r>
      <w:r w:rsidR="00A92CD5" w:rsidRPr="004B106A">
        <w:rPr>
          <w:lang w:val="en-GB"/>
        </w:rPr>
        <w:t xml:space="preserve">Institutional Strengthening </w:t>
      </w:r>
      <w:r w:rsidRPr="004B106A">
        <w:rPr>
          <w:lang w:val="en-GB"/>
        </w:rPr>
        <w:t xml:space="preserve">Plan </w:t>
      </w:r>
      <w:r w:rsidR="00A92CD5" w:rsidRPr="004B106A">
        <w:rPr>
          <w:lang w:val="en-GB"/>
        </w:rPr>
        <w:t xml:space="preserve">for </w:t>
      </w:r>
      <w:r w:rsidRPr="004B106A">
        <w:rPr>
          <w:lang w:val="en-GB"/>
        </w:rPr>
        <w:t xml:space="preserve">the System, </w:t>
      </w:r>
      <w:r w:rsidR="0099792D" w:rsidRPr="004B106A">
        <w:rPr>
          <w:lang w:val="en-GB"/>
        </w:rPr>
        <w:t xml:space="preserve">which was provided </w:t>
      </w:r>
      <w:r w:rsidRPr="004B106A">
        <w:rPr>
          <w:lang w:val="en-GB"/>
        </w:rPr>
        <w:t xml:space="preserve">to authorities as part of </w:t>
      </w:r>
      <w:r w:rsidR="0099792D" w:rsidRPr="004B106A">
        <w:rPr>
          <w:lang w:val="en-GB"/>
        </w:rPr>
        <w:t xml:space="preserve">OHCHR </w:t>
      </w:r>
      <w:r w:rsidRPr="004B106A">
        <w:rPr>
          <w:lang w:val="en-GB"/>
        </w:rPr>
        <w:t>technical assistance.</w:t>
      </w:r>
    </w:p>
    <w:p w14:paraId="06914150" w14:textId="485B2C4C" w:rsidR="00BF1005" w:rsidRPr="00E253C8" w:rsidRDefault="000E2523" w:rsidP="00463FB4">
      <w:pPr>
        <w:pStyle w:val="SingleTxtG"/>
        <w:rPr>
          <w:lang w:val="en-GB"/>
        </w:rPr>
      </w:pPr>
      <w:r w:rsidRPr="004B106A">
        <w:rPr>
          <w:lang w:val="en-GB"/>
        </w:rPr>
        <w:t>7</w:t>
      </w:r>
      <w:r w:rsidR="0084387B">
        <w:rPr>
          <w:lang w:val="en-GB"/>
        </w:rPr>
        <w:t>2</w:t>
      </w:r>
      <w:r w:rsidR="00777796" w:rsidRPr="004B106A">
        <w:rPr>
          <w:lang w:val="en-GB"/>
        </w:rPr>
        <w:t>.</w:t>
      </w:r>
      <w:r w:rsidR="00777796" w:rsidRPr="004B106A">
        <w:rPr>
          <w:lang w:val="en-GB"/>
        </w:rPr>
        <w:tab/>
      </w:r>
      <w:r w:rsidR="00BF1005" w:rsidRPr="004B106A">
        <w:rPr>
          <w:lang w:val="en-GB"/>
        </w:rPr>
        <w:t xml:space="preserve">The </w:t>
      </w:r>
      <w:r w:rsidR="00960FFC" w:rsidRPr="00960FFC">
        <w:rPr>
          <w:lang w:val="en-GB"/>
        </w:rPr>
        <w:t xml:space="preserve">analysis </w:t>
      </w:r>
      <w:r w:rsidR="00BF1005" w:rsidRPr="004B106A">
        <w:rPr>
          <w:lang w:val="en-GB"/>
        </w:rPr>
        <w:t xml:space="preserve">highlights: (a) the </w:t>
      </w:r>
      <w:r w:rsidR="00C62A7A" w:rsidRPr="004B106A">
        <w:rPr>
          <w:lang w:val="en-GB"/>
        </w:rPr>
        <w:t xml:space="preserve">lack of </w:t>
      </w:r>
      <w:r w:rsidR="00BF1005" w:rsidRPr="004B106A">
        <w:rPr>
          <w:lang w:val="en-GB"/>
        </w:rPr>
        <w:t xml:space="preserve">sufficient financial, human, and technical resources for the System </w:t>
      </w:r>
      <w:r w:rsidR="00BF1005" w:rsidRPr="004B106A">
        <w:rPr>
          <w:lang w:val="en-GB"/>
        </w:rPr>
        <w:lastRenderedPageBreak/>
        <w:t xml:space="preserve">to </w:t>
      </w:r>
      <w:r w:rsidR="00835748" w:rsidRPr="004B106A">
        <w:rPr>
          <w:lang w:val="en-GB"/>
        </w:rPr>
        <w:t>fulfil</w:t>
      </w:r>
      <w:r w:rsidR="00BF1005" w:rsidRPr="004B106A">
        <w:rPr>
          <w:lang w:val="en-GB"/>
        </w:rPr>
        <w:t xml:space="preserve"> its functions and obligations; (b) the absence of shared responsibility among institutions in addressing cases </w:t>
      </w:r>
      <w:r w:rsidR="00CE4119">
        <w:rPr>
          <w:lang w:val="en-GB"/>
        </w:rPr>
        <w:t xml:space="preserve">and </w:t>
      </w:r>
      <w:r w:rsidR="00BF1005" w:rsidRPr="004B106A">
        <w:rPr>
          <w:lang w:val="en-GB"/>
        </w:rPr>
        <w:t>advanc</w:t>
      </w:r>
      <w:r w:rsidR="00CE4119">
        <w:rPr>
          <w:lang w:val="en-GB"/>
        </w:rPr>
        <w:t>ing</w:t>
      </w:r>
      <w:r w:rsidR="00BF1005" w:rsidRPr="004B106A">
        <w:rPr>
          <w:lang w:val="en-GB"/>
        </w:rPr>
        <w:t xml:space="preserve"> towards a conducive environment for the </w:t>
      </w:r>
      <w:r w:rsidR="00BF1005" w:rsidRPr="00E253C8">
        <w:rPr>
          <w:lang w:val="en-GB"/>
        </w:rPr>
        <w:t xml:space="preserve">target population; and (c) the lack of clarity, both among civil society actors and the </w:t>
      </w:r>
      <w:r w:rsidR="00AB085B" w:rsidRPr="00E253C8">
        <w:rPr>
          <w:lang w:val="en-GB"/>
        </w:rPr>
        <w:t>S</w:t>
      </w:r>
      <w:r w:rsidR="00BF1005" w:rsidRPr="00E253C8">
        <w:rPr>
          <w:lang w:val="en-GB"/>
        </w:rPr>
        <w:t>tate, regarding the purpose, scope, functions, and target population of the System.</w:t>
      </w:r>
    </w:p>
    <w:p w14:paraId="16B01D00" w14:textId="48E44839" w:rsidR="009C640C" w:rsidRPr="00E253C8" w:rsidRDefault="000E2523" w:rsidP="0084387B">
      <w:pPr>
        <w:pStyle w:val="SingleTxtG"/>
        <w:rPr>
          <w:rFonts w:eastAsia="Calibri"/>
          <w:lang w:val="en-GB"/>
        </w:rPr>
      </w:pPr>
      <w:r w:rsidRPr="00E253C8">
        <w:rPr>
          <w:rFonts w:eastAsia="Calibri"/>
          <w:lang w:val="en-GB"/>
        </w:rPr>
        <w:t>7</w:t>
      </w:r>
      <w:r w:rsidR="0084387B">
        <w:rPr>
          <w:rFonts w:eastAsia="Calibri"/>
          <w:lang w:val="en-GB"/>
        </w:rPr>
        <w:t>3</w:t>
      </w:r>
      <w:r w:rsidR="00777796" w:rsidRPr="00E253C8">
        <w:rPr>
          <w:rFonts w:eastAsia="Calibri"/>
          <w:lang w:val="en-GB"/>
        </w:rPr>
        <w:t>.</w:t>
      </w:r>
      <w:r w:rsidR="00777796" w:rsidRPr="00E253C8">
        <w:rPr>
          <w:rFonts w:eastAsia="Calibri"/>
          <w:lang w:val="en-GB"/>
        </w:rPr>
        <w:tab/>
      </w:r>
      <w:r w:rsidR="00D43130" w:rsidRPr="00E253C8">
        <w:rPr>
          <w:rFonts w:eastAsia="Calibri"/>
          <w:lang w:val="en-GB"/>
        </w:rPr>
        <w:t xml:space="preserve">Despite the increase of its budget in 2022, </w:t>
      </w:r>
      <w:r w:rsidR="003C4968" w:rsidRPr="00E253C8">
        <w:rPr>
          <w:rFonts w:eastAsia="Calibri"/>
          <w:lang w:val="en-GB"/>
        </w:rPr>
        <w:t xml:space="preserve">the System faced challenges in providing an effective and timely response to applicants, beneficiaries and their representatives. The National Protection Council did not </w:t>
      </w:r>
      <w:r w:rsidR="00B92A4D">
        <w:rPr>
          <w:rFonts w:eastAsia="Calibri"/>
          <w:lang w:val="en-GB"/>
        </w:rPr>
        <w:t xml:space="preserve">meet </w:t>
      </w:r>
      <w:r w:rsidR="003C4968" w:rsidRPr="00E253C8">
        <w:rPr>
          <w:rFonts w:eastAsia="Calibri"/>
          <w:lang w:val="en-GB"/>
        </w:rPr>
        <w:t xml:space="preserve">regularly </w:t>
      </w:r>
      <w:r w:rsidR="00B92A4D">
        <w:rPr>
          <w:rFonts w:eastAsia="Calibri"/>
          <w:lang w:val="en-GB"/>
        </w:rPr>
        <w:t xml:space="preserve">with the </w:t>
      </w:r>
      <w:r w:rsidR="003C4968" w:rsidRPr="00E253C8">
        <w:rPr>
          <w:rFonts w:eastAsia="Calibri"/>
          <w:lang w:val="en-GB"/>
        </w:rPr>
        <w:t>once</w:t>
      </w:r>
      <w:r w:rsidR="00B92A4D">
        <w:rPr>
          <w:rFonts w:eastAsia="Calibri"/>
          <w:lang w:val="en-GB"/>
        </w:rPr>
        <w:noBreakHyphen/>
      </w:r>
      <w:r w:rsidR="003C4968" w:rsidRPr="00E253C8">
        <w:rPr>
          <w:rFonts w:eastAsia="Calibri"/>
          <w:lang w:val="en-GB"/>
        </w:rPr>
        <w:t>per</w:t>
      </w:r>
      <w:r w:rsidR="00B92A4D">
        <w:rPr>
          <w:rFonts w:eastAsia="Calibri"/>
          <w:lang w:val="en-GB"/>
        </w:rPr>
        <w:noBreakHyphen/>
      </w:r>
      <w:r w:rsidR="003C4968" w:rsidRPr="00E253C8">
        <w:rPr>
          <w:rFonts w:eastAsia="Calibri"/>
          <w:lang w:val="en-GB"/>
        </w:rPr>
        <w:t xml:space="preserve">month frequency or with the configuration required by Law. As this body is responsible for the supervision, governance and decision making of the System, its inactivity translates in absence of strategic actions and timely measures to advance in providing a safer environment for the </w:t>
      </w:r>
      <w:r w:rsidR="004265AF">
        <w:rPr>
          <w:rFonts w:eastAsia="Calibri"/>
          <w:lang w:val="en-GB"/>
        </w:rPr>
        <w:t>defence</w:t>
      </w:r>
      <w:r w:rsidR="003C4968" w:rsidRPr="00E253C8">
        <w:rPr>
          <w:rFonts w:eastAsia="Calibri"/>
          <w:lang w:val="en-GB"/>
        </w:rPr>
        <w:t xml:space="preserve"> of human rights and freedom of expression.</w:t>
      </w:r>
    </w:p>
    <w:p w14:paraId="4A26242E" w14:textId="6010B0B2" w:rsidR="009C640C" w:rsidRPr="00E253C8" w:rsidRDefault="004038A0" w:rsidP="0084387B">
      <w:pPr>
        <w:pStyle w:val="SingleTxtG"/>
        <w:rPr>
          <w:rFonts w:eastAsia="Calibri"/>
          <w:lang w:val="en-GB"/>
        </w:rPr>
      </w:pPr>
      <w:r w:rsidRPr="00E253C8">
        <w:rPr>
          <w:rFonts w:eastAsia="Calibri"/>
          <w:lang w:val="en-GB"/>
        </w:rPr>
        <w:t>7</w:t>
      </w:r>
      <w:r w:rsidR="0084387B">
        <w:rPr>
          <w:rFonts w:eastAsia="Calibri"/>
          <w:lang w:val="en-GB"/>
        </w:rPr>
        <w:t>4</w:t>
      </w:r>
      <w:r w:rsidR="004832D4" w:rsidRPr="00E253C8">
        <w:rPr>
          <w:rFonts w:eastAsia="Calibri"/>
          <w:lang w:val="en-GB"/>
        </w:rPr>
        <w:t>.</w:t>
      </w:r>
      <w:r w:rsidR="004832D4" w:rsidRPr="00E253C8">
        <w:rPr>
          <w:rFonts w:eastAsia="Calibri"/>
          <w:lang w:val="en-GB"/>
        </w:rPr>
        <w:tab/>
      </w:r>
      <w:r w:rsidR="00FD74D1" w:rsidRPr="00E253C8">
        <w:rPr>
          <w:rFonts w:eastAsia="Calibri"/>
          <w:lang w:val="en-GB"/>
        </w:rPr>
        <w:t xml:space="preserve">The total number of cases under protection </w:t>
      </w:r>
      <w:r w:rsidR="003E143F">
        <w:rPr>
          <w:rFonts w:eastAsia="Calibri"/>
          <w:lang w:val="en-GB"/>
        </w:rPr>
        <w:t>by</w:t>
      </w:r>
      <w:r w:rsidR="00FD74D1" w:rsidRPr="00E253C8">
        <w:rPr>
          <w:rFonts w:eastAsia="Calibri"/>
          <w:lang w:val="en-GB"/>
        </w:rPr>
        <w:t xml:space="preserve"> the National Protection Mechanism at the end of the year stood at 181, of which 33 </w:t>
      </w:r>
      <w:r w:rsidR="00F21D3B">
        <w:rPr>
          <w:rFonts w:eastAsia="Calibri"/>
          <w:lang w:val="en-GB"/>
        </w:rPr>
        <w:t xml:space="preserve">were </w:t>
      </w:r>
      <w:r w:rsidR="00FD74D1" w:rsidRPr="00E253C8">
        <w:rPr>
          <w:rFonts w:eastAsia="Calibri"/>
          <w:lang w:val="en-GB"/>
        </w:rPr>
        <w:t>referred by the Inter-American System for the Protection of Human Rights. The Office notes that, despite the fact that the number of cases increased by 41% compared to the previous year, the number of technical staff of the System remains the same.</w:t>
      </w:r>
    </w:p>
    <w:p w14:paraId="24A6730D" w14:textId="3FC21696" w:rsidR="00127E66" w:rsidRPr="00E253C8" w:rsidRDefault="00127E66" w:rsidP="0084387B">
      <w:pPr>
        <w:pStyle w:val="SingleTxtG"/>
        <w:rPr>
          <w:rFonts w:eastAsia="Calibri"/>
          <w:lang w:val="en-GB"/>
        </w:rPr>
      </w:pPr>
      <w:r w:rsidRPr="00E253C8">
        <w:rPr>
          <w:rFonts w:eastAsia="Calibri"/>
          <w:lang w:val="en-GB"/>
        </w:rPr>
        <w:t>7</w:t>
      </w:r>
      <w:r w:rsidR="0084387B">
        <w:rPr>
          <w:rFonts w:eastAsia="Calibri"/>
          <w:lang w:val="en-GB"/>
        </w:rPr>
        <w:t>5</w:t>
      </w:r>
      <w:r w:rsidRPr="00E253C8">
        <w:rPr>
          <w:rFonts w:eastAsia="Calibri"/>
          <w:lang w:val="en-GB"/>
        </w:rPr>
        <w:t>.</w:t>
      </w:r>
      <w:r w:rsidRPr="00E253C8">
        <w:rPr>
          <w:rFonts w:eastAsia="Calibri"/>
          <w:lang w:val="en-GB"/>
        </w:rPr>
        <w:tab/>
        <w:t xml:space="preserve">The National Protection System faces technical, administrative and financial obstacles that </w:t>
      </w:r>
      <w:r w:rsidR="00443E6A" w:rsidRPr="00E253C8">
        <w:rPr>
          <w:rFonts w:eastAsia="Calibri"/>
          <w:lang w:val="en-GB"/>
        </w:rPr>
        <w:t xml:space="preserve">prevent it from taking </w:t>
      </w:r>
      <w:r w:rsidRPr="00E253C8">
        <w:rPr>
          <w:rFonts w:eastAsia="Calibri"/>
          <w:lang w:val="en-GB"/>
        </w:rPr>
        <w:t>timely and appropriate measures.</w:t>
      </w:r>
    </w:p>
    <w:p w14:paraId="08CD9253" w14:textId="34A4E4F5" w:rsidR="009C640C" w:rsidRPr="00E253C8" w:rsidRDefault="003F7FB6" w:rsidP="003F7FB6">
      <w:pPr>
        <w:pStyle w:val="HChG"/>
        <w:rPr>
          <w:lang w:val="en-GB"/>
        </w:rPr>
      </w:pPr>
      <w:r w:rsidRPr="00E253C8">
        <w:rPr>
          <w:lang w:val="en-GB"/>
        </w:rPr>
        <w:tab/>
        <w:t>VI.</w:t>
      </w:r>
      <w:r w:rsidRPr="00E253C8">
        <w:rPr>
          <w:lang w:val="en-GB"/>
        </w:rPr>
        <w:tab/>
      </w:r>
      <w:r w:rsidR="00791E16" w:rsidRPr="00E253C8">
        <w:rPr>
          <w:rStyle w:val="normaltextrun"/>
          <w:lang w:val="en-GB"/>
        </w:rPr>
        <w:t>Equality and non-discrimination</w:t>
      </w:r>
    </w:p>
    <w:p w14:paraId="2994414B" w14:textId="3A863E9D" w:rsidR="00791E16" w:rsidRPr="00E253C8" w:rsidRDefault="00791E16" w:rsidP="0084387B">
      <w:pPr>
        <w:pStyle w:val="SingleTxtG"/>
        <w:rPr>
          <w:rStyle w:val="normaltextrun"/>
          <w:lang w:val="en-GB"/>
        </w:rPr>
      </w:pPr>
      <w:r w:rsidRPr="00E253C8">
        <w:rPr>
          <w:rStyle w:val="normaltextrun"/>
          <w:lang w:val="en-GB"/>
        </w:rPr>
        <w:t>7</w:t>
      </w:r>
      <w:r w:rsidR="0084387B">
        <w:rPr>
          <w:rStyle w:val="normaltextrun"/>
          <w:lang w:val="en-GB"/>
        </w:rPr>
        <w:t>6</w:t>
      </w:r>
      <w:r w:rsidRPr="00E253C8">
        <w:rPr>
          <w:rStyle w:val="normaltextrun"/>
          <w:lang w:val="en-GB"/>
        </w:rPr>
        <w:t>.</w:t>
      </w:r>
      <w:r w:rsidRPr="00E253C8">
        <w:rPr>
          <w:rStyle w:val="normaltextrun"/>
          <w:lang w:val="en-GB"/>
        </w:rPr>
        <w:tab/>
        <w:t xml:space="preserve">The direct and indirect discrimination in the public and private spheres, as well as intersectoral forms of discrimination against groups in </w:t>
      </w:r>
      <w:r w:rsidR="004058DC" w:rsidRPr="00E253C8">
        <w:rPr>
          <w:rStyle w:val="normaltextrun"/>
          <w:lang w:val="en-GB"/>
        </w:rPr>
        <w:t>situation of vulnerability</w:t>
      </w:r>
      <w:r w:rsidRPr="00E253C8">
        <w:rPr>
          <w:rStyle w:val="normaltextrun"/>
          <w:lang w:val="en-GB"/>
        </w:rPr>
        <w:t xml:space="preserve">, reman a challenge. </w:t>
      </w:r>
    </w:p>
    <w:p w14:paraId="6CE36F27" w14:textId="0ACFB478" w:rsidR="009C640C" w:rsidRPr="00E253C8" w:rsidRDefault="00076103" w:rsidP="00076103">
      <w:pPr>
        <w:pStyle w:val="H1G"/>
        <w:rPr>
          <w:lang w:val="en-GB"/>
        </w:rPr>
      </w:pPr>
      <w:r w:rsidRPr="00E253C8">
        <w:rPr>
          <w:lang w:val="en-GB"/>
        </w:rPr>
        <w:tab/>
        <w:t>A.</w:t>
      </w:r>
      <w:r w:rsidRPr="00E253C8">
        <w:rPr>
          <w:lang w:val="en-GB"/>
        </w:rPr>
        <w:tab/>
      </w:r>
      <w:r w:rsidRPr="00E253C8">
        <w:rPr>
          <w:lang w:val="en-GB"/>
        </w:rPr>
        <w:tab/>
      </w:r>
      <w:r w:rsidR="004058DC" w:rsidRPr="00E253C8">
        <w:rPr>
          <w:rStyle w:val="normaltextrun"/>
          <w:lang w:val="en-GB"/>
        </w:rPr>
        <w:t>Women's rights</w:t>
      </w:r>
    </w:p>
    <w:p w14:paraId="12C865D7" w14:textId="68678102" w:rsidR="004058DC" w:rsidRPr="00E253C8" w:rsidRDefault="004058DC" w:rsidP="0084387B">
      <w:pPr>
        <w:pStyle w:val="SingleTxtG"/>
        <w:rPr>
          <w:rStyle w:val="normaltextrun"/>
          <w:lang w:val="en-GB"/>
        </w:rPr>
      </w:pPr>
      <w:r w:rsidRPr="00E253C8">
        <w:rPr>
          <w:rStyle w:val="normaltextrun"/>
          <w:lang w:val="en-GB"/>
        </w:rPr>
        <w:t>7</w:t>
      </w:r>
      <w:r w:rsidR="0084387B">
        <w:rPr>
          <w:rStyle w:val="normaltextrun"/>
          <w:lang w:val="en-GB"/>
        </w:rPr>
        <w:t>7</w:t>
      </w:r>
      <w:r w:rsidRPr="00E253C8">
        <w:rPr>
          <w:rStyle w:val="normaltextrun"/>
          <w:lang w:val="en-GB"/>
        </w:rPr>
        <w:t>.</w:t>
      </w:r>
      <w:r w:rsidRPr="00E253C8">
        <w:rPr>
          <w:rStyle w:val="normaltextrun"/>
          <w:lang w:val="en-GB"/>
        </w:rPr>
        <w:tab/>
        <w:t xml:space="preserve">Women continue to face barriers in the exercise of their rights in </w:t>
      </w:r>
      <w:r w:rsidR="00833062" w:rsidRPr="00E253C8">
        <w:rPr>
          <w:rStyle w:val="normaltextrun"/>
          <w:lang w:val="en-GB"/>
        </w:rPr>
        <w:t xml:space="preserve">both </w:t>
      </w:r>
      <w:r w:rsidRPr="00E253C8">
        <w:rPr>
          <w:rStyle w:val="normaltextrun"/>
          <w:lang w:val="en-GB"/>
        </w:rPr>
        <w:t xml:space="preserve">the public and private </w:t>
      </w:r>
      <w:r w:rsidR="00833062" w:rsidRPr="00E253C8">
        <w:rPr>
          <w:rStyle w:val="normaltextrun"/>
          <w:lang w:val="en-GB"/>
        </w:rPr>
        <w:t>domain</w:t>
      </w:r>
      <w:r w:rsidRPr="00E253C8">
        <w:rPr>
          <w:rStyle w:val="normaltextrun"/>
          <w:lang w:val="en-GB"/>
        </w:rPr>
        <w:t xml:space="preserve">. Violence against </w:t>
      </w:r>
      <w:r w:rsidR="00833062" w:rsidRPr="00E253C8">
        <w:rPr>
          <w:rStyle w:val="normaltextrun"/>
          <w:lang w:val="en-GB"/>
        </w:rPr>
        <w:t>women</w:t>
      </w:r>
      <w:r w:rsidRPr="00E253C8">
        <w:rPr>
          <w:rStyle w:val="normaltextrun"/>
          <w:lang w:val="en-GB"/>
        </w:rPr>
        <w:t xml:space="preserve">, limited recognition of their human rights, including sexual and reproductive rights, and other factors of inequality </w:t>
      </w:r>
      <w:r w:rsidR="00F501D3" w:rsidRPr="00E253C8">
        <w:rPr>
          <w:rStyle w:val="normaltextrun"/>
          <w:lang w:val="en-GB"/>
        </w:rPr>
        <w:t>evidence</w:t>
      </w:r>
      <w:r w:rsidR="00B30ECA" w:rsidRPr="00E253C8">
        <w:rPr>
          <w:rStyle w:val="normaltextrun"/>
          <w:lang w:val="en-GB"/>
        </w:rPr>
        <w:t xml:space="preserve"> </w:t>
      </w:r>
      <w:r w:rsidRPr="00E253C8">
        <w:rPr>
          <w:rStyle w:val="normaltextrun"/>
          <w:lang w:val="en-GB"/>
        </w:rPr>
        <w:t xml:space="preserve">a pattern of discrimination that has been repeatedly </w:t>
      </w:r>
      <w:r w:rsidR="00F501D3" w:rsidRPr="00E253C8">
        <w:rPr>
          <w:rStyle w:val="normaltextrun"/>
          <w:lang w:val="en-GB"/>
        </w:rPr>
        <w:t xml:space="preserve">highlighted </w:t>
      </w:r>
      <w:r w:rsidRPr="00E253C8">
        <w:rPr>
          <w:rStyle w:val="normaltextrun"/>
          <w:lang w:val="en-GB"/>
        </w:rPr>
        <w:t xml:space="preserve">by international human rights mechanisms. </w:t>
      </w:r>
    </w:p>
    <w:p w14:paraId="7E99FDE6" w14:textId="10E90039" w:rsidR="00791E16" w:rsidRPr="00E253C8" w:rsidRDefault="00791E16" w:rsidP="0084387B">
      <w:pPr>
        <w:pStyle w:val="SingleTxtG"/>
        <w:rPr>
          <w:rStyle w:val="normaltextrun"/>
          <w:lang w:val="en-GB"/>
        </w:rPr>
      </w:pPr>
      <w:r w:rsidRPr="00E253C8">
        <w:rPr>
          <w:rStyle w:val="normaltextrun"/>
          <w:lang w:val="en-GB"/>
        </w:rPr>
        <w:t>7</w:t>
      </w:r>
      <w:r w:rsidR="0084387B">
        <w:rPr>
          <w:rStyle w:val="normaltextrun"/>
          <w:lang w:val="en-GB"/>
        </w:rPr>
        <w:t>8</w:t>
      </w:r>
      <w:r w:rsidRPr="00E253C8">
        <w:rPr>
          <w:rStyle w:val="normaltextrun"/>
          <w:lang w:val="en-GB"/>
        </w:rPr>
        <w:t>.</w:t>
      </w:r>
      <w:r w:rsidRPr="00E253C8">
        <w:rPr>
          <w:rStyle w:val="normaltextrun"/>
          <w:lang w:val="en-GB"/>
        </w:rPr>
        <w:tab/>
        <w:t xml:space="preserve">The Office recognizes the efforts of the Executive Branch to move towards </w:t>
      </w:r>
      <w:r w:rsidR="00673998" w:rsidRPr="00E253C8">
        <w:rPr>
          <w:rStyle w:val="normaltextrun"/>
          <w:lang w:val="en-GB"/>
        </w:rPr>
        <w:t xml:space="preserve">the </w:t>
      </w:r>
      <w:r w:rsidRPr="00E253C8">
        <w:rPr>
          <w:rStyle w:val="normaltextrun"/>
          <w:lang w:val="en-GB"/>
        </w:rPr>
        <w:t xml:space="preserve">accession to the Optional Protocol to the Convention on the Elimination of Discrimination against Women (CEDAW) and calls for its </w:t>
      </w:r>
      <w:r w:rsidR="00673998" w:rsidRPr="00E253C8">
        <w:rPr>
          <w:rStyle w:val="normaltextrun"/>
          <w:lang w:val="en-GB"/>
        </w:rPr>
        <w:t xml:space="preserve">adoption </w:t>
      </w:r>
      <w:r w:rsidRPr="00E253C8">
        <w:rPr>
          <w:rStyle w:val="normaltextrun"/>
          <w:lang w:val="en-GB"/>
        </w:rPr>
        <w:t xml:space="preserve">by the National Congress. The </w:t>
      </w:r>
      <w:r w:rsidR="00673998" w:rsidRPr="00E253C8">
        <w:rPr>
          <w:rStyle w:val="normaltextrun"/>
          <w:lang w:val="en-GB"/>
        </w:rPr>
        <w:t xml:space="preserve">adoption </w:t>
      </w:r>
      <w:r w:rsidRPr="00E253C8">
        <w:rPr>
          <w:rStyle w:val="normaltextrun"/>
          <w:lang w:val="en-GB"/>
        </w:rPr>
        <w:t xml:space="preserve">of the </w:t>
      </w:r>
      <w:r w:rsidRPr="00E253C8">
        <w:rPr>
          <w:rStyle w:val="normaltextrun"/>
          <w:lang w:val="en-GB"/>
        </w:rPr>
        <w:lastRenderedPageBreak/>
        <w:t xml:space="preserve">Comprehensive Law on Violence against Women, the Law on Shelters for Victims of Gender-Based Violence, and the Law on Domestic Work </w:t>
      </w:r>
      <w:r w:rsidR="00613563" w:rsidRPr="00E253C8">
        <w:rPr>
          <w:rStyle w:val="normaltextrun"/>
          <w:lang w:val="en-GB"/>
        </w:rPr>
        <w:t xml:space="preserve">remain </w:t>
      </w:r>
      <w:r w:rsidRPr="00E253C8">
        <w:rPr>
          <w:rStyle w:val="normaltextrun"/>
          <w:lang w:val="en-GB"/>
        </w:rPr>
        <w:t>pending.</w:t>
      </w:r>
    </w:p>
    <w:p w14:paraId="0AA0E907" w14:textId="48B4F66D" w:rsidR="009F41F4" w:rsidRPr="00E253C8" w:rsidRDefault="0084387B" w:rsidP="009F41F4">
      <w:pPr>
        <w:pStyle w:val="SingleTxtG"/>
        <w:rPr>
          <w:lang w:val="en-GB"/>
        </w:rPr>
      </w:pPr>
      <w:r>
        <w:rPr>
          <w:lang w:val="en-GB"/>
        </w:rPr>
        <w:t>79</w:t>
      </w:r>
      <w:r w:rsidR="009F41F4" w:rsidRPr="00E253C8">
        <w:rPr>
          <w:lang w:val="en-GB"/>
        </w:rPr>
        <w:t>.</w:t>
      </w:r>
      <w:r w:rsidR="009F41F4" w:rsidRPr="00E253C8">
        <w:rPr>
          <w:lang w:val="en-GB"/>
        </w:rPr>
        <w:tab/>
        <w:t xml:space="preserve">Violence against women </w:t>
      </w:r>
      <w:r w:rsidR="00CD0536" w:rsidRPr="00E253C8">
        <w:rPr>
          <w:lang w:val="en-GB"/>
        </w:rPr>
        <w:t xml:space="preserve">remains </w:t>
      </w:r>
      <w:r w:rsidR="00AC26F5" w:rsidRPr="00E253C8">
        <w:rPr>
          <w:lang w:val="en-GB"/>
        </w:rPr>
        <w:t>extremely serious</w:t>
      </w:r>
      <w:r w:rsidR="009F41F4" w:rsidRPr="00E253C8">
        <w:rPr>
          <w:lang w:val="en-GB"/>
        </w:rPr>
        <w:t xml:space="preserve">. The National Violence Observatory </w:t>
      </w:r>
      <w:r w:rsidR="00AC26F5" w:rsidRPr="00E253C8">
        <w:rPr>
          <w:lang w:val="en-GB"/>
        </w:rPr>
        <w:t xml:space="preserve">at </w:t>
      </w:r>
      <w:r w:rsidR="009F41F4" w:rsidRPr="00E253C8">
        <w:rPr>
          <w:lang w:val="en-GB"/>
        </w:rPr>
        <w:t>the National Autonomous University of Honduras reported 252</w:t>
      </w:r>
      <w:r w:rsidR="00357A3D" w:rsidRPr="00E253C8">
        <w:rPr>
          <w:rStyle w:val="FootnoteReference"/>
          <w:lang w:val="en-GB"/>
        </w:rPr>
        <w:footnoteReference w:id="29"/>
      </w:r>
      <w:r w:rsidR="009F41F4" w:rsidRPr="00E253C8">
        <w:rPr>
          <w:lang w:val="en-GB"/>
        </w:rPr>
        <w:t xml:space="preserve"> violent deaths of women and femicides </w:t>
      </w:r>
      <w:r w:rsidR="00C7249D" w:rsidRPr="00E253C8">
        <w:rPr>
          <w:lang w:val="en-GB"/>
        </w:rPr>
        <w:t xml:space="preserve">between </w:t>
      </w:r>
      <w:r w:rsidR="009F41F4" w:rsidRPr="00E253C8">
        <w:rPr>
          <w:lang w:val="en-GB"/>
        </w:rPr>
        <w:t xml:space="preserve">January </w:t>
      </w:r>
      <w:r w:rsidR="00C7249D" w:rsidRPr="00E253C8">
        <w:rPr>
          <w:lang w:val="en-GB"/>
        </w:rPr>
        <w:t xml:space="preserve">and </w:t>
      </w:r>
      <w:r w:rsidR="009F41F4" w:rsidRPr="00E253C8">
        <w:rPr>
          <w:lang w:val="en-GB"/>
        </w:rPr>
        <w:t xml:space="preserve">October 2022, compared to 330 cases registered in all of 2021. </w:t>
      </w:r>
    </w:p>
    <w:p w14:paraId="5A185D60" w14:textId="658013EE" w:rsidR="009F41F4" w:rsidRPr="00E253C8" w:rsidRDefault="0084387B" w:rsidP="009F41F4">
      <w:pPr>
        <w:pStyle w:val="SingleTxtG"/>
        <w:rPr>
          <w:lang w:val="en-GB"/>
        </w:rPr>
      </w:pPr>
      <w:r>
        <w:rPr>
          <w:lang w:val="en-GB"/>
        </w:rPr>
        <w:t>80</w:t>
      </w:r>
      <w:r w:rsidR="009F41F4" w:rsidRPr="00E253C8">
        <w:rPr>
          <w:lang w:val="en-GB"/>
        </w:rPr>
        <w:t>.</w:t>
      </w:r>
      <w:r w:rsidR="009F41F4" w:rsidRPr="00E253C8">
        <w:rPr>
          <w:lang w:val="en-GB"/>
        </w:rPr>
        <w:tab/>
        <w:t xml:space="preserve">The </w:t>
      </w:r>
      <w:r w:rsidR="00043A78" w:rsidRPr="00E253C8">
        <w:rPr>
          <w:lang w:val="en-GB"/>
        </w:rPr>
        <w:t xml:space="preserve">State Attorney’s </w:t>
      </w:r>
      <w:r w:rsidR="009F41F4" w:rsidRPr="00E253C8">
        <w:rPr>
          <w:lang w:val="en-GB"/>
        </w:rPr>
        <w:t xml:space="preserve">Office, the Technical Agency </w:t>
      </w:r>
      <w:r w:rsidR="00043A78" w:rsidRPr="00E253C8">
        <w:rPr>
          <w:lang w:val="en-GB"/>
        </w:rPr>
        <w:t xml:space="preserve">for </w:t>
      </w:r>
      <w:r w:rsidR="009F41F4" w:rsidRPr="00E253C8">
        <w:rPr>
          <w:lang w:val="en-GB"/>
        </w:rPr>
        <w:t xml:space="preserve">Criminal Investigation and the Police </w:t>
      </w:r>
      <w:r w:rsidR="00105C07" w:rsidRPr="00E253C8">
        <w:rPr>
          <w:lang w:val="en-GB"/>
        </w:rPr>
        <w:t xml:space="preserve">Investigative </w:t>
      </w:r>
      <w:r w:rsidR="009F41F4" w:rsidRPr="00E253C8">
        <w:rPr>
          <w:lang w:val="en-GB"/>
        </w:rPr>
        <w:t xml:space="preserve">Directorate lack specialized protocols for the investigation of violence against women, including femicide and violent deaths, with a differentiated approach. </w:t>
      </w:r>
      <w:r w:rsidR="00105C07" w:rsidRPr="00E253C8">
        <w:rPr>
          <w:lang w:val="en-GB"/>
        </w:rPr>
        <w:t xml:space="preserve">This is compounded by the </w:t>
      </w:r>
      <w:r w:rsidR="009F41F4" w:rsidRPr="00E253C8">
        <w:rPr>
          <w:lang w:val="en-GB"/>
        </w:rPr>
        <w:t xml:space="preserve">limited availability of trained personnel and </w:t>
      </w:r>
      <w:r w:rsidR="00DF66AA" w:rsidRPr="00E253C8">
        <w:rPr>
          <w:lang w:val="en-GB"/>
        </w:rPr>
        <w:t xml:space="preserve">required </w:t>
      </w:r>
      <w:r w:rsidR="009F41F4" w:rsidRPr="00E253C8">
        <w:rPr>
          <w:lang w:val="en-GB"/>
        </w:rPr>
        <w:t xml:space="preserve">facilities, such as morgues, to allow for effective investigation of </w:t>
      </w:r>
      <w:r w:rsidR="00CA5D85" w:rsidRPr="00E253C8">
        <w:rPr>
          <w:lang w:val="en-GB"/>
        </w:rPr>
        <w:t xml:space="preserve">such </w:t>
      </w:r>
      <w:r w:rsidR="009F41F4" w:rsidRPr="00E253C8">
        <w:rPr>
          <w:lang w:val="en-GB"/>
        </w:rPr>
        <w:t>cases.</w:t>
      </w:r>
    </w:p>
    <w:p w14:paraId="19B726D8" w14:textId="0AE13B7C" w:rsidR="009F41F4" w:rsidRPr="00E253C8" w:rsidRDefault="0084387B" w:rsidP="009F41F4">
      <w:pPr>
        <w:pStyle w:val="SingleTxtG"/>
        <w:rPr>
          <w:lang w:val="en-GB"/>
        </w:rPr>
      </w:pPr>
      <w:r>
        <w:rPr>
          <w:lang w:val="en-GB"/>
        </w:rPr>
        <w:t>81</w:t>
      </w:r>
      <w:r w:rsidR="009F41F4" w:rsidRPr="00E253C8">
        <w:rPr>
          <w:lang w:val="en-GB"/>
        </w:rPr>
        <w:t>.</w:t>
      </w:r>
      <w:r w:rsidR="009F41F4" w:rsidRPr="00E253C8">
        <w:rPr>
          <w:lang w:val="en-GB"/>
        </w:rPr>
        <w:tab/>
        <w:t xml:space="preserve">As of </w:t>
      </w:r>
      <w:r w:rsidR="00DF66AA" w:rsidRPr="00E253C8">
        <w:rPr>
          <w:lang w:val="en-GB"/>
        </w:rPr>
        <w:t xml:space="preserve">31 </w:t>
      </w:r>
      <w:r w:rsidR="009F41F4" w:rsidRPr="00E253C8">
        <w:rPr>
          <w:lang w:val="en-GB"/>
        </w:rPr>
        <w:t xml:space="preserve">October, the </w:t>
      </w:r>
      <w:r w:rsidR="00DF66AA" w:rsidRPr="00E253C8">
        <w:rPr>
          <w:lang w:val="en-GB"/>
        </w:rPr>
        <w:t xml:space="preserve">State Attorney’s </w:t>
      </w:r>
      <w:r w:rsidR="009F41F4" w:rsidRPr="00E253C8">
        <w:rPr>
          <w:lang w:val="en-GB"/>
        </w:rPr>
        <w:t>Office registered 292 reports of domestic abuse, while the 911</w:t>
      </w:r>
      <w:r w:rsidR="000164A6" w:rsidRPr="00E253C8">
        <w:rPr>
          <w:lang w:val="en-GB"/>
        </w:rPr>
        <w:t>-S</w:t>
      </w:r>
      <w:r w:rsidR="009F41F4" w:rsidRPr="00E253C8">
        <w:rPr>
          <w:lang w:val="en-GB"/>
        </w:rPr>
        <w:t xml:space="preserve">ystem </w:t>
      </w:r>
      <w:r w:rsidR="000164A6" w:rsidRPr="00E253C8">
        <w:rPr>
          <w:lang w:val="en-GB"/>
        </w:rPr>
        <w:t xml:space="preserve">registered </w:t>
      </w:r>
      <w:r w:rsidR="009F41F4" w:rsidRPr="00E253C8">
        <w:rPr>
          <w:lang w:val="en-GB"/>
        </w:rPr>
        <w:t xml:space="preserve">50,351 reports of domestic abuse. It is </w:t>
      </w:r>
      <w:r w:rsidR="005D0C7C" w:rsidRPr="00E253C8">
        <w:rPr>
          <w:lang w:val="en-GB"/>
        </w:rPr>
        <w:t xml:space="preserve">concerning </w:t>
      </w:r>
      <w:r w:rsidR="009F41F4" w:rsidRPr="00E253C8">
        <w:rPr>
          <w:lang w:val="en-GB"/>
        </w:rPr>
        <w:t xml:space="preserve">that the majority of registered cases do not reach the justice system, which </w:t>
      </w:r>
      <w:r w:rsidR="005D0C7C" w:rsidRPr="00E253C8">
        <w:rPr>
          <w:lang w:val="en-GB"/>
        </w:rPr>
        <w:t xml:space="preserve">demonstrates the </w:t>
      </w:r>
      <w:r w:rsidR="009F41F4" w:rsidRPr="00E253C8">
        <w:rPr>
          <w:lang w:val="en-GB"/>
        </w:rPr>
        <w:t>high level of impunity and the need for greater inter-institutional coordination to provide timely response to victims.</w:t>
      </w:r>
    </w:p>
    <w:p w14:paraId="67D883D4" w14:textId="615E9C92" w:rsidR="00D9127A" w:rsidRPr="00E253C8" w:rsidRDefault="004038A0" w:rsidP="0084387B">
      <w:pPr>
        <w:pStyle w:val="SingleTxtG"/>
        <w:rPr>
          <w:lang w:val="en-GB"/>
        </w:rPr>
      </w:pPr>
      <w:r w:rsidRPr="00E253C8">
        <w:rPr>
          <w:rStyle w:val="normaltextrun"/>
          <w:lang w:val="en-GB"/>
        </w:rPr>
        <w:t>8</w:t>
      </w:r>
      <w:r w:rsidR="0084387B">
        <w:rPr>
          <w:rStyle w:val="normaltextrun"/>
          <w:lang w:val="en-GB"/>
        </w:rPr>
        <w:t>2</w:t>
      </w:r>
      <w:r w:rsidR="00DC14D1" w:rsidRPr="00E253C8">
        <w:rPr>
          <w:rStyle w:val="normaltextrun"/>
          <w:lang w:val="en-GB"/>
        </w:rPr>
        <w:t>.</w:t>
      </w:r>
      <w:r w:rsidR="00DC14D1" w:rsidRPr="00E253C8">
        <w:rPr>
          <w:rStyle w:val="normaltextrun"/>
          <w:lang w:val="en-GB"/>
        </w:rPr>
        <w:tab/>
      </w:r>
      <w:r w:rsidR="00D9127A" w:rsidRPr="00E253C8">
        <w:rPr>
          <w:lang w:val="en-GB"/>
        </w:rPr>
        <w:t xml:space="preserve">The partial authorization for the exceptional use of emergency contraceptive pills in the Comprehensive Care Protocol for Victims and Survivors of Sexual Violence approved in December is a positive step. However, women's sexual and reproductive rights </w:t>
      </w:r>
      <w:r w:rsidR="001912A2" w:rsidRPr="00E253C8">
        <w:rPr>
          <w:lang w:val="en-GB"/>
        </w:rPr>
        <w:t xml:space="preserve">remain </w:t>
      </w:r>
      <w:r w:rsidR="00D9127A" w:rsidRPr="00E253C8">
        <w:rPr>
          <w:lang w:val="en-GB"/>
        </w:rPr>
        <w:t xml:space="preserve">severely restricted, including by the criminalization of abortion. </w:t>
      </w:r>
      <w:r w:rsidR="00F3647B">
        <w:rPr>
          <w:lang w:val="en-GB"/>
        </w:rPr>
        <w:t>OHCHR</w:t>
      </w:r>
      <w:r w:rsidR="00D9127A" w:rsidRPr="00E253C8">
        <w:rPr>
          <w:lang w:val="en-GB"/>
        </w:rPr>
        <w:t xml:space="preserve"> echoes the recommendations of the </w:t>
      </w:r>
      <w:r w:rsidR="001912A2" w:rsidRPr="00E253C8">
        <w:rPr>
          <w:lang w:val="en-GB"/>
        </w:rPr>
        <w:t xml:space="preserve">CEDAW </w:t>
      </w:r>
      <w:r w:rsidR="00D9127A" w:rsidRPr="00E253C8">
        <w:rPr>
          <w:lang w:val="en-GB"/>
        </w:rPr>
        <w:t>Committee</w:t>
      </w:r>
      <w:r w:rsidR="002A1205" w:rsidRPr="00E253C8">
        <w:rPr>
          <w:rStyle w:val="FootnoteReference"/>
          <w:lang w:val="en-GB"/>
        </w:rPr>
        <w:footnoteReference w:id="30"/>
      </w:r>
      <w:r w:rsidR="00D9127A" w:rsidRPr="00E253C8">
        <w:rPr>
          <w:lang w:val="en-GB"/>
        </w:rPr>
        <w:t xml:space="preserve"> </w:t>
      </w:r>
      <w:r w:rsidR="00FF41BF" w:rsidRPr="00E253C8">
        <w:rPr>
          <w:lang w:val="en-GB"/>
        </w:rPr>
        <w:t xml:space="preserve">for </w:t>
      </w:r>
      <w:r w:rsidR="00D9127A" w:rsidRPr="00E253C8">
        <w:rPr>
          <w:lang w:val="en-GB"/>
        </w:rPr>
        <w:t xml:space="preserve">the </w:t>
      </w:r>
      <w:r w:rsidR="00084921" w:rsidRPr="00E253C8">
        <w:rPr>
          <w:lang w:val="en-GB"/>
        </w:rPr>
        <w:t xml:space="preserve">legalization </w:t>
      </w:r>
      <w:r w:rsidR="00D9127A" w:rsidRPr="00E253C8">
        <w:rPr>
          <w:lang w:val="en-GB"/>
        </w:rPr>
        <w:t>of abortion</w:t>
      </w:r>
      <w:r w:rsidR="00D75852" w:rsidRPr="00E253C8">
        <w:rPr>
          <w:lang w:val="en-GB"/>
        </w:rPr>
        <w:t xml:space="preserve"> </w:t>
      </w:r>
      <w:r w:rsidR="00F7777C" w:rsidRPr="00E253C8">
        <w:rPr>
          <w:lang w:val="en-GB"/>
        </w:rPr>
        <w:t xml:space="preserve">in the </w:t>
      </w:r>
      <w:r w:rsidR="00D75852" w:rsidRPr="00E253C8">
        <w:rPr>
          <w:lang w:val="en-GB"/>
        </w:rPr>
        <w:t xml:space="preserve">three identified </w:t>
      </w:r>
      <w:r w:rsidR="00F7777C" w:rsidRPr="00E253C8">
        <w:rPr>
          <w:lang w:val="en-GB"/>
        </w:rPr>
        <w:t xml:space="preserve">circumstances </w:t>
      </w:r>
      <w:r w:rsidR="00D9127A" w:rsidRPr="00E253C8">
        <w:rPr>
          <w:lang w:val="en-GB"/>
        </w:rPr>
        <w:t>and the distribution and commercialization of emergency contraceptives.</w:t>
      </w:r>
    </w:p>
    <w:p w14:paraId="5292483D" w14:textId="1C77E43F" w:rsidR="009C640C" w:rsidRPr="00E253C8" w:rsidRDefault="006862A8" w:rsidP="006862A8">
      <w:pPr>
        <w:pStyle w:val="H1G"/>
        <w:rPr>
          <w:lang w:val="en-GB"/>
        </w:rPr>
      </w:pPr>
      <w:bookmarkStart w:id="3" w:name="_Hlk119514199"/>
      <w:bookmarkEnd w:id="3"/>
      <w:r w:rsidRPr="00E253C8">
        <w:rPr>
          <w:lang w:val="en-GB"/>
        </w:rPr>
        <w:tab/>
        <w:t>B.</w:t>
      </w:r>
      <w:r w:rsidRPr="00E253C8">
        <w:rPr>
          <w:lang w:val="en-GB"/>
        </w:rPr>
        <w:tab/>
      </w:r>
      <w:r w:rsidRPr="00E253C8">
        <w:rPr>
          <w:lang w:val="en-GB"/>
        </w:rPr>
        <w:tab/>
      </w:r>
      <w:r w:rsidR="00FE265D" w:rsidRPr="00E253C8">
        <w:rPr>
          <w:lang w:val="en-GB"/>
        </w:rPr>
        <w:t xml:space="preserve">Rights of </w:t>
      </w:r>
      <w:r w:rsidR="00FE265D" w:rsidRPr="00E253C8">
        <w:rPr>
          <w:rFonts w:eastAsia="Calibri"/>
          <w:lang w:val="en-GB"/>
        </w:rPr>
        <w:t xml:space="preserve">Lesbian, Gay, Bisexual, Transgender, Transsexual and Intersex </w:t>
      </w:r>
      <w:r w:rsidR="00D037CD" w:rsidRPr="00E253C8">
        <w:rPr>
          <w:rFonts w:eastAsia="Calibri"/>
          <w:lang w:val="en-GB"/>
        </w:rPr>
        <w:t>Persons</w:t>
      </w:r>
    </w:p>
    <w:p w14:paraId="2E0ECF84" w14:textId="3DC573D9" w:rsidR="00D037CD" w:rsidRPr="00E253C8" w:rsidRDefault="00D037CD" w:rsidP="0084387B">
      <w:pPr>
        <w:pStyle w:val="SingleTxtG"/>
        <w:rPr>
          <w:rFonts w:eastAsia="Calibri"/>
          <w:lang w:val="en-GB"/>
        </w:rPr>
      </w:pPr>
      <w:r w:rsidRPr="00E253C8">
        <w:rPr>
          <w:rFonts w:eastAsia="Calibri"/>
          <w:lang w:val="en-GB"/>
        </w:rPr>
        <w:t>8</w:t>
      </w:r>
      <w:r w:rsidR="0084387B">
        <w:rPr>
          <w:rFonts w:eastAsia="Calibri"/>
          <w:lang w:val="en-GB"/>
        </w:rPr>
        <w:t>3</w:t>
      </w:r>
      <w:r w:rsidRPr="00E253C8">
        <w:rPr>
          <w:rFonts w:eastAsia="Calibri"/>
          <w:lang w:val="en-GB"/>
        </w:rPr>
        <w:t>.</w:t>
      </w:r>
      <w:r w:rsidRPr="00E253C8">
        <w:rPr>
          <w:rFonts w:eastAsia="Calibri"/>
          <w:lang w:val="en-GB"/>
        </w:rPr>
        <w:tab/>
        <w:t>Lesbian, gay, bisexual, transgender and intersex (LGBTI) persons remain victims of widespread stigmatization and discrimination that perpetuate violence against them due to their sexual orientation, gender identity or expression. The</w:t>
      </w:r>
      <w:r w:rsidR="003271A5" w:rsidRPr="00E253C8">
        <w:rPr>
          <w:rFonts w:eastAsia="Calibri"/>
          <w:lang w:val="en-GB"/>
        </w:rPr>
        <w:t xml:space="preserve"> Observatory of the </w:t>
      </w:r>
      <w:r w:rsidR="00DF15C9" w:rsidRPr="00E253C8">
        <w:rPr>
          <w:rFonts w:eastAsia="Calibri"/>
          <w:lang w:val="en-GB"/>
        </w:rPr>
        <w:t xml:space="preserve">Catracchas Lesbian Network </w:t>
      </w:r>
      <w:r w:rsidRPr="00E253C8">
        <w:rPr>
          <w:rFonts w:eastAsia="Calibri"/>
          <w:lang w:val="en-GB"/>
        </w:rPr>
        <w:t xml:space="preserve">reported an increase in violence </w:t>
      </w:r>
      <w:r w:rsidR="00674336" w:rsidRPr="00E253C8">
        <w:rPr>
          <w:rFonts w:eastAsia="Calibri"/>
          <w:lang w:val="en-GB"/>
        </w:rPr>
        <w:t xml:space="preserve">in 2022 </w:t>
      </w:r>
      <w:r w:rsidRPr="00E253C8">
        <w:rPr>
          <w:rFonts w:eastAsia="Calibri"/>
          <w:lang w:val="en-GB"/>
        </w:rPr>
        <w:t xml:space="preserve">against LGBTI </w:t>
      </w:r>
      <w:r w:rsidR="004608CD" w:rsidRPr="00E253C8">
        <w:rPr>
          <w:rFonts w:eastAsia="Calibri"/>
          <w:lang w:val="en-GB"/>
        </w:rPr>
        <w:t>persons</w:t>
      </w:r>
      <w:r w:rsidRPr="00E253C8">
        <w:rPr>
          <w:rFonts w:eastAsia="Calibri"/>
          <w:lang w:val="en-GB"/>
        </w:rPr>
        <w:t xml:space="preserve"> resulting in 43 murders (26 gay, 11 </w:t>
      </w:r>
      <w:r w:rsidRPr="00E253C8">
        <w:rPr>
          <w:rFonts w:eastAsia="Calibri"/>
          <w:lang w:val="en-GB"/>
        </w:rPr>
        <w:lastRenderedPageBreak/>
        <w:t xml:space="preserve">lesbian and six trans </w:t>
      </w:r>
      <w:r w:rsidR="00E542AB">
        <w:rPr>
          <w:rFonts w:eastAsia="Calibri"/>
          <w:lang w:val="en-GB"/>
        </w:rPr>
        <w:t>persons</w:t>
      </w:r>
      <w:r w:rsidRPr="00E253C8">
        <w:rPr>
          <w:rFonts w:eastAsia="Calibri"/>
          <w:lang w:val="en-GB"/>
        </w:rPr>
        <w:t xml:space="preserve">) and two disappearances. Only eight of these cases are under criminal investigation. </w:t>
      </w:r>
    </w:p>
    <w:p w14:paraId="5064DF1C" w14:textId="05A9793D" w:rsidR="00674336" w:rsidRPr="00E253C8" w:rsidRDefault="00674336" w:rsidP="0084387B">
      <w:pPr>
        <w:pStyle w:val="SingleTxtG"/>
        <w:rPr>
          <w:rFonts w:eastAsia="Calibri"/>
          <w:lang w:val="en-GB"/>
        </w:rPr>
      </w:pPr>
      <w:r w:rsidRPr="00E253C8">
        <w:rPr>
          <w:rFonts w:eastAsia="Calibri"/>
          <w:lang w:val="en-GB"/>
        </w:rPr>
        <w:t>8</w:t>
      </w:r>
      <w:r w:rsidR="0084387B">
        <w:rPr>
          <w:rFonts w:eastAsia="Calibri"/>
          <w:lang w:val="en-GB"/>
        </w:rPr>
        <w:t>4</w:t>
      </w:r>
      <w:r w:rsidRPr="00E253C8">
        <w:rPr>
          <w:rFonts w:eastAsia="Calibri"/>
          <w:lang w:val="en-GB"/>
        </w:rPr>
        <w:t>.</w:t>
      </w:r>
      <w:r w:rsidRPr="00E253C8">
        <w:rPr>
          <w:rFonts w:eastAsia="Calibri"/>
          <w:lang w:val="en-GB"/>
        </w:rPr>
        <w:tab/>
        <w:t xml:space="preserve">Despite efforts by the State to </w:t>
      </w:r>
      <w:r w:rsidR="006E259E" w:rsidRPr="00E253C8">
        <w:rPr>
          <w:rFonts w:eastAsia="Calibri"/>
          <w:lang w:val="en-GB"/>
        </w:rPr>
        <w:t xml:space="preserve">implement </w:t>
      </w:r>
      <w:r w:rsidRPr="00E253C8">
        <w:rPr>
          <w:rFonts w:eastAsia="Calibri"/>
          <w:lang w:val="en-GB"/>
        </w:rPr>
        <w:t xml:space="preserve">the sentence of the Inter-American Court of Human Rights in the case of Vicky Hernandez v. Honduras, </w:t>
      </w:r>
      <w:r w:rsidR="00232B54" w:rsidRPr="00E253C8">
        <w:rPr>
          <w:rFonts w:eastAsia="Calibri"/>
          <w:lang w:val="en-GB"/>
        </w:rPr>
        <w:t xml:space="preserve">such as </w:t>
      </w:r>
      <w:r w:rsidRPr="00E253C8">
        <w:rPr>
          <w:rFonts w:eastAsia="Calibri"/>
          <w:lang w:val="en-GB"/>
        </w:rPr>
        <w:t xml:space="preserve">progress in the development of a protocol for </w:t>
      </w:r>
      <w:r w:rsidR="00D553EE" w:rsidRPr="00E253C8">
        <w:rPr>
          <w:rFonts w:eastAsia="Calibri"/>
          <w:lang w:val="en-GB"/>
        </w:rPr>
        <w:t xml:space="preserve">the </w:t>
      </w:r>
      <w:r w:rsidRPr="00E253C8">
        <w:rPr>
          <w:rFonts w:eastAsia="Calibri"/>
          <w:lang w:val="en-GB"/>
        </w:rPr>
        <w:t xml:space="preserve">investigation and administration of justice </w:t>
      </w:r>
      <w:r w:rsidR="00D553EE" w:rsidRPr="00E253C8">
        <w:rPr>
          <w:rFonts w:eastAsia="Calibri"/>
          <w:lang w:val="en-GB"/>
        </w:rPr>
        <w:t>i</w:t>
      </w:r>
      <w:r w:rsidR="00E542AB">
        <w:rPr>
          <w:rFonts w:eastAsia="Calibri"/>
          <w:lang w:val="en-GB"/>
        </w:rPr>
        <w:t>n</w:t>
      </w:r>
      <w:r w:rsidR="00D553EE" w:rsidRPr="00E253C8">
        <w:rPr>
          <w:rFonts w:eastAsia="Calibri"/>
          <w:lang w:val="en-GB"/>
        </w:rPr>
        <w:t xml:space="preserve"> </w:t>
      </w:r>
      <w:r w:rsidRPr="00E253C8">
        <w:rPr>
          <w:rFonts w:eastAsia="Calibri"/>
          <w:lang w:val="en-GB"/>
        </w:rPr>
        <w:t xml:space="preserve">cases of </w:t>
      </w:r>
      <w:r w:rsidR="0074281A" w:rsidRPr="00E253C8">
        <w:rPr>
          <w:rFonts w:eastAsia="Calibri"/>
          <w:lang w:val="en-GB"/>
        </w:rPr>
        <w:t xml:space="preserve">violence against </w:t>
      </w:r>
      <w:r w:rsidRPr="00E253C8">
        <w:rPr>
          <w:rFonts w:eastAsia="Calibri"/>
          <w:lang w:val="en-GB"/>
        </w:rPr>
        <w:t xml:space="preserve">LGBTI </w:t>
      </w:r>
      <w:r w:rsidR="0074281A" w:rsidRPr="00E253C8">
        <w:rPr>
          <w:rFonts w:eastAsia="Calibri"/>
          <w:lang w:val="en-GB"/>
        </w:rPr>
        <w:t>persons</w:t>
      </w:r>
      <w:r w:rsidRPr="00E253C8">
        <w:rPr>
          <w:rFonts w:eastAsia="Calibri"/>
          <w:lang w:val="en-GB"/>
        </w:rPr>
        <w:t xml:space="preserve">, several </w:t>
      </w:r>
      <w:r w:rsidR="00A80803" w:rsidRPr="00E253C8">
        <w:rPr>
          <w:rFonts w:eastAsia="Calibri"/>
          <w:lang w:val="en-GB"/>
        </w:rPr>
        <w:t xml:space="preserve">other </w:t>
      </w:r>
      <w:r w:rsidRPr="00E253C8">
        <w:rPr>
          <w:rFonts w:eastAsia="Calibri"/>
          <w:lang w:val="en-GB"/>
        </w:rPr>
        <w:t xml:space="preserve">actions </w:t>
      </w:r>
      <w:r w:rsidR="0074281A" w:rsidRPr="00E253C8">
        <w:rPr>
          <w:rFonts w:eastAsia="Calibri"/>
          <w:lang w:val="en-GB"/>
        </w:rPr>
        <w:t xml:space="preserve">remain </w:t>
      </w:r>
      <w:r w:rsidRPr="00E253C8">
        <w:rPr>
          <w:rFonts w:eastAsia="Calibri"/>
          <w:lang w:val="en-GB"/>
        </w:rPr>
        <w:t xml:space="preserve">pending, </w:t>
      </w:r>
      <w:r w:rsidR="00232B54" w:rsidRPr="00E253C8">
        <w:rPr>
          <w:rFonts w:eastAsia="Calibri"/>
          <w:lang w:val="en-GB"/>
        </w:rPr>
        <w:t xml:space="preserve">including </w:t>
      </w:r>
      <w:r w:rsidRPr="00E253C8">
        <w:rPr>
          <w:rFonts w:eastAsia="Calibri"/>
          <w:lang w:val="en-GB"/>
        </w:rPr>
        <w:t xml:space="preserve">the development of a procedure for the recognition of gender identity. </w:t>
      </w:r>
    </w:p>
    <w:p w14:paraId="5B8870CB" w14:textId="74044BE0" w:rsidR="00FE265D" w:rsidRPr="00E253C8" w:rsidRDefault="00FE265D" w:rsidP="0084387B">
      <w:pPr>
        <w:pStyle w:val="SingleTxtG"/>
        <w:rPr>
          <w:rFonts w:eastAsia="Calibri"/>
          <w:lang w:val="en-GB"/>
        </w:rPr>
      </w:pPr>
      <w:r w:rsidRPr="00E253C8">
        <w:rPr>
          <w:rFonts w:eastAsia="Calibri"/>
          <w:lang w:val="en-GB"/>
        </w:rPr>
        <w:t>8</w:t>
      </w:r>
      <w:r w:rsidR="0084387B">
        <w:rPr>
          <w:rFonts w:eastAsia="Calibri"/>
          <w:lang w:val="en-GB"/>
        </w:rPr>
        <w:t>5</w:t>
      </w:r>
      <w:r w:rsidRPr="00E253C8">
        <w:rPr>
          <w:rFonts w:eastAsia="Calibri"/>
          <w:lang w:val="en-GB"/>
        </w:rPr>
        <w:t>.</w:t>
      </w:r>
      <w:r w:rsidRPr="00E253C8">
        <w:rPr>
          <w:rFonts w:eastAsia="Calibri"/>
          <w:lang w:val="en-GB"/>
        </w:rPr>
        <w:tab/>
        <w:t xml:space="preserve">The Organic Law </w:t>
      </w:r>
      <w:r w:rsidR="006D3CA0" w:rsidRPr="00E253C8">
        <w:rPr>
          <w:rFonts w:eastAsia="Calibri"/>
          <w:lang w:val="en-GB"/>
        </w:rPr>
        <w:t xml:space="preserve">on </w:t>
      </w:r>
      <w:r w:rsidRPr="00E253C8">
        <w:rPr>
          <w:rFonts w:eastAsia="Calibri"/>
          <w:lang w:val="en-GB"/>
        </w:rPr>
        <w:t>the National Registry of Persons</w:t>
      </w:r>
      <w:r w:rsidR="006D3CA0" w:rsidRPr="00E253C8">
        <w:rPr>
          <w:rStyle w:val="FootnoteReference"/>
          <w:rFonts w:eastAsia="Calibri"/>
          <w:lang w:val="en-GB"/>
        </w:rPr>
        <w:footnoteReference w:id="31"/>
      </w:r>
      <w:r w:rsidRPr="00E253C8">
        <w:rPr>
          <w:rFonts w:eastAsia="Calibri"/>
          <w:lang w:val="en-GB"/>
        </w:rPr>
        <w:t xml:space="preserve"> and its </w:t>
      </w:r>
      <w:r w:rsidR="0087349B" w:rsidRPr="00E253C8">
        <w:rPr>
          <w:rFonts w:eastAsia="Calibri"/>
          <w:lang w:val="en-GB"/>
        </w:rPr>
        <w:t xml:space="preserve">supplementary </w:t>
      </w:r>
      <w:r w:rsidRPr="00E253C8">
        <w:rPr>
          <w:rFonts w:eastAsia="Calibri"/>
          <w:lang w:val="en-GB"/>
        </w:rPr>
        <w:t xml:space="preserve">regulations do not allow </w:t>
      </w:r>
      <w:r w:rsidR="0087349B" w:rsidRPr="00E253C8">
        <w:rPr>
          <w:rFonts w:eastAsia="Calibri"/>
          <w:lang w:val="en-GB"/>
        </w:rPr>
        <w:t xml:space="preserve">for </w:t>
      </w:r>
      <w:r w:rsidRPr="00E253C8">
        <w:rPr>
          <w:rFonts w:eastAsia="Calibri"/>
          <w:lang w:val="en-GB"/>
        </w:rPr>
        <w:t>the legal recognition of gender identity of trans persons, including in the National Registry of Persons.</w:t>
      </w:r>
    </w:p>
    <w:p w14:paraId="21A029F8" w14:textId="56ED460D" w:rsidR="009C640C" w:rsidRPr="00E253C8" w:rsidRDefault="00501675" w:rsidP="00501675">
      <w:pPr>
        <w:pStyle w:val="H1G"/>
        <w:rPr>
          <w:lang w:val="en-GB"/>
        </w:rPr>
      </w:pPr>
      <w:r w:rsidRPr="00E253C8">
        <w:rPr>
          <w:lang w:val="en-GB"/>
        </w:rPr>
        <w:tab/>
        <w:t>C.</w:t>
      </w:r>
      <w:r w:rsidRPr="00E253C8">
        <w:rPr>
          <w:lang w:val="en-GB"/>
        </w:rPr>
        <w:tab/>
      </w:r>
      <w:r w:rsidRPr="00E253C8">
        <w:rPr>
          <w:lang w:val="en-GB"/>
        </w:rPr>
        <w:tab/>
      </w:r>
      <w:r w:rsidR="00D927A6" w:rsidRPr="00E253C8">
        <w:rPr>
          <w:lang w:val="en-GB"/>
        </w:rPr>
        <w:t>Rights of Persons with Disabilities</w:t>
      </w:r>
    </w:p>
    <w:p w14:paraId="4A805CEA" w14:textId="519CD7B9" w:rsidR="00D927A6" w:rsidRPr="00E253C8" w:rsidRDefault="00D927A6" w:rsidP="0084387B">
      <w:pPr>
        <w:pStyle w:val="SingleTxtG"/>
        <w:rPr>
          <w:lang w:val="en-GB"/>
        </w:rPr>
      </w:pPr>
      <w:r w:rsidRPr="00E253C8">
        <w:rPr>
          <w:lang w:val="en-GB"/>
        </w:rPr>
        <w:t>8</w:t>
      </w:r>
      <w:r w:rsidR="0084387B">
        <w:rPr>
          <w:lang w:val="en-GB"/>
        </w:rPr>
        <w:t>6</w:t>
      </w:r>
      <w:r w:rsidRPr="00E253C8">
        <w:rPr>
          <w:lang w:val="en-GB"/>
        </w:rPr>
        <w:t>.</w:t>
      </w:r>
      <w:r w:rsidRPr="00E253C8">
        <w:rPr>
          <w:lang w:val="en-GB"/>
        </w:rPr>
        <w:tab/>
      </w:r>
      <w:r w:rsidR="000B60DB" w:rsidRPr="00E253C8">
        <w:rPr>
          <w:lang w:val="en-GB"/>
        </w:rPr>
        <w:t>T</w:t>
      </w:r>
      <w:r w:rsidRPr="00E253C8">
        <w:rPr>
          <w:lang w:val="en-GB"/>
        </w:rPr>
        <w:t xml:space="preserve">he Secretariat </w:t>
      </w:r>
      <w:r w:rsidR="00E072CF" w:rsidRPr="00E253C8">
        <w:rPr>
          <w:lang w:val="en-GB"/>
        </w:rPr>
        <w:t>for</w:t>
      </w:r>
      <w:r w:rsidRPr="00E253C8">
        <w:rPr>
          <w:lang w:val="en-GB"/>
        </w:rPr>
        <w:t xml:space="preserve"> Social Development </w:t>
      </w:r>
      <w:r w:rsidR="00E072CF" w:rsidRPr="00E253C8">
        <w:rPr>
          <w:lang w:val="en-GB"/>
        </w:rPr>
        <w:t xml:space="preserve">together with </w:t>
      </w:r>
      <w:r w:rsidRPr="00E253C8">
        <w:rPr>
          <w:lang w:val="en-GB"/>
        </w:rPr>
        <w:t xml:space="preserve">civil society developed a proposal for </w:t>
      </w:r>
      <w:r w:rsidR="000447CC" w:rsidRPr="00E253C8">
        <w:rPr>
          <w:lang w:val="en-GB"/>
        </w:rPr>
        <w:t>the</w:t>
      </w:r>
      <w:r w:rsidRPr="00E253C8">
        <w:rPr>
          <w:lang w:val="en-GB"/>
        </w:rPr>
        <w:t xml:space="preserve"> comprehensive reform of the Law on Equity and Integral Development </w:t>
      </w:r>
      <w:r w:rsidR="000447CC" w:rsidRPr="00E253C8">
        <w:rPr>
          <w:lang w:val="en-GB"/>
        </w:rPr>
        <w:t xml:space="preserve">of </w:t>
      </w:r>
      <w:r w:rsidRPr="00E253C8">
        <w:rPr>
          <w:lang w:val="en-GB"/>
        </w:rPr>
        <w:t xml:space="preserve">Persons with Disabilities (Decree 160-2005), with technical support </w:t>
      </w:r>
      <w:r w:rsidR="006B1DA8" w:rsidRPr="00E253C8">
        <w:rPr>
          <w:lang w:val="en-GB"/>
        </w:rPr>
        <w:t xml:space="preserve">by </w:t>
      </w:r>
      <w:r w:rsidRPr="00E253C8">
        <w:rPr>
          <w:lang w:val="en-GB"/>
        </w:rPr>
        <w:t>OHCHR. The proposal</w:t>
      </w:r>
      <w:r w:rsidR="00CF442A" w:rsidRPr="00E253C8">
        <w:rPr>
          <w:lang w:val="en-GB"/>
        </w:rPr>
        <w:t xml:space="preserve">, which </w:t>
      </w:r>
      <w:r w:rsidR="006B1DA8" w:rsidRPr="00E253C8">
        <w:rPr>
          <w:lang w:val="en-GB"/>
        </w:rPr>
        <w:t xml:space="preserve">aims </w:t>
      </w:r>
      <w:r w:rsidRPr="00E253C8">
        <w:rPr>
          <w:lang w:val="en-GB"/>
        </w:rPr>
        <w:t>to recognize and protect the rights of persons with disabilities in accordance with the International Convention on the Rights of Persons with Disabilities</w:t>
      </w:r>
      <w:r w:rsidR="00B62F2E" w:rsidRPr="00E253C8">
        <w:rPr>
          <w:lang w:val="en-GB"/>
        </w:rPr>
        <w:t xml:space="preserve">, is </w:t>
      </w:r>
      <w:r w:rsidR="001F0E62" w:rsidRPr="00E253C8">
        <w:rPr>
          <w:lang w:val="en-GB"/>
        </w:rPr>
        <w:t xml:space="preserve">undergoing consultations before being submitted </w:t>
      </w:r>
      <w:r w:rsidRPr="00E253C8">
        <w:rPr>
          <w:lang w:val="en-GB"/>
        </w:rPr>
        <w:t xml:space="preserve">to the National Congress. </w:t>
      </w:r>
    </w:p>
    <w:p w14:paraId="77AB4AB3" w14:textId="6AF65514" w:rsidR="009C640C" w:rsidRPr="00E253C8" w:rsidRDefault="000E5D63" w:rsidP="00501675">
      <w:pPr>
        <w:pStyle w:val="H1G"/>
        <w:rPr>
          <w:lang w:val="en-GB"/>
        </w:rPr>
      </w:pPr>
      <w:r w:rsidRPr="00E253C8">
        <w:rPr>
          <w:lang w:val="en-GB"/>
        </w:rPr>
        <w:tab/>
      </w:r>
      <w:r w:rsidR="00501675" w:rsidRPr="00E253C8">
        <w:rPr>
          <w:lang w:val="en-GB"/>
        </w:rPr>
        <w:t>D.</w:t>
      </w:r>
      <w:r w:rsidR="00501675" w:rsidRPr="00E253C8">
        <w:rPr>
          <w:lang w:val="en-GB"/>
        </w:rPr>
        <w:tab/>
      </w:r>
      <w:r w:rsidR="00501675" w:rsidRPr="00E253C8">
        <w:rPr>
          <w:lang w:val="en-GB"/>
        </w:rPr>
        <w:tab/>
      </w:r>
      <w:r w:rsidR="009E502E" w:rsidRPr="00E253C8">
        <w:rPr>
          <w:lang w:val="en-GB"/>
        </w:rPr>
        <w:t>Rights of indigenous and Afro-Honduran peoples</w:t>
      </w:r>
    </w:p>
    <w:p w14:paraId="33EA0ECB" w14:textId="5F5EA58E" w:rsidR="009E502E" w:rsidRPr="00E253C8" w:rsidRDefault="009E502E" w:rsidP="0084387B">
      <w:pPr>
        <w:pStyle w:val="SingleTxtG"/>
        <w:rPr>
          <w:lang w:val="en-GB"/>
        </w:rPr>
      </w:pPr>
      <w:r w:rsidRPr="00E253C8">
        <w:rPr>
          <w:lang w:val="en-GB"/>
        </w:rPr>
        <w:t>8</w:t>
      </w:r>
      <w:r w:rsidR="0084387B">
        <w:rPr>
          <w:lang w:val="en-GB"/>
        </w:rPr>
        <w:t>7</w:t>
      </w:r>
      <w:r w:rsidRPr="00E253C8">
        <w:rPr>
          <w:lang w:val="en-GB"/>
        </w:rPr>
        <w:t>.</w:t>
      </w:r>
      <w:r w:rsidRPr="00E253C8">
        <w:rPr>
          <w:lang w:val="en-GB"/>
        </w:rPr>
        <w:tab/>
        <w:t>The historical structural barriers faced by indigenous and Afro-Honduran peoples persist, resulting in discrimination and serious violations of their rights</w:t>
      </w:r>
      <w:r w:rsidR="00630DA4" w:rsidRPr="00E253C8">
        <w:rPr>
          <w:lang w:val="en-GB"/>
        </w:rPr>
        <w:t xml:space="preserve"> and </w:t>
      </w:r>
      <w:r w:rsidRPr="00E253C8">
        <w:rPr>
          <w:lang w:val="en-GB"/>
        </w:rPr>
        <w:t>contribut</w:t>
      </w:r>
      <w:r w:rsidR="0049324F" w:rsidRPr="00E253C8">
        <w:rPr>
          <w:lang w:val="en-GB"/>
        </w:rPr>
        <w:t>ing</w:t>
      </w:r>
      <w:r w:rsidRPr="00E253C8">
        <w:rPr>
          <w:lang w:val="en-GB"/>
        </w:rPr>
        <w:t xml:space="preserve"> to their exclusion</w:t>
      </w:r>
      <w:r w:rsidR="00630DA4" w:rsidRPr="00E253C8">
        <w:rPr>
          <w:lang w:val="en-GB"/>
        </w:rPr>
        <w:t>,</w:t>
      </w:r>
      <w:r w:rsidRPr="00E253C8">
        <w:rPr>
          <w:lang w:val="en-GB"/>
        </w:rPr>
        <w:t xml:space="preserve"> including in decisions </w:t>
      </w:r>
      <w:r w:rsidR="00047514" w:rsidRPr="00E253C8">
        <w:rPr>
          <w:lang w:val="en-GB"/>
        </w:rPr>
        <w:t xml:space="preserve">with </w:t>
      </w:r>
      <w:r w:rsidRPr="00E253C8">
        <w:rPr>
          <w:lang w:val="en-GB"/>
        </w:rPr>
        <w:t xml:space="preserve">direct impact on them. There is </w:t>
      </w:r>
      <w:r w:rsidR="005B220F" w:rsidRPr="00E253C8">
        <w:rPr>
          <w:lang w:val="en-GB"/>
        </w:rPr>
        <w:t xml:space="preserve">no </w:t>
      </w:r>
      <w:r w:rsidRPr="00E253C8">
        <w:rPr>
          <w:lang w:val="en-GB"/>
        </w:rPr>
        <w:t xml:space="preserve">adequate </w:t>
      </w:r>
      <w:r w:rsidR="00630DA4" w:rsidRPr="00E253C8">
        <w:rPr>
          <w:lang w:val="en-GB"/>
        </w:rPr>
        <w:t xml:space="preserve">legal </w:t>
      </w:r>
      <w:r w:rsidRPr="00E253C8">
        <w:rPr>
          <w:lang w:val="en-GB"/>
        </w:rPr>
        <w:t xml:space="preserve">framework that effectively recognizes and guarantees their right to consultation and free, prior and informed consent. </w:t>
      </w:r>
    </w:p>
    <w:p w14:paraId="3D50D2CF" w14:textId="4A57C7AC" w:rsidR="005B220F" w:rsidRPr="00E253C8" w:rsidRDefault="005B220F" w:rsidP="0084387B">
      <w:pPr>
        <w:pStyle w:val="SingleTxtG"/>
        <w:rPr>
          <w:lang w:val="en-GB"/>
        </w:rPr>
      </w:pPr>
      <w:r w:rsidRPr="00E253C8">
        <w:rPr>
          <w:lang w:val="en-GB"/>
        </w:rPr>
        <w:t>8</w:t>
      </w:r>
      <w:r w:rsidR="0084387B">
        <w:rPr>
          <w:lang w:val="en-GB"/>
        </w:rPr>
        <w:t>8</w:t>
      </w:r>
      <w:r w:rsidRPr="00E253C8">
        <w:rPr>
          <w:lang w:val="en-GB"/>
        </w:rPr>
        <w:t>.</w:t>
      </w:r>
      <w:r w:rsidRPr="00E253C8">
        <w:rPr>
          <w:lang w:val="en-GB"/>
        </w:rPr>
        <w:tab/>
        <w:t xml:space="preserve">Indigenous and Afro-Honduran peoples </w:t>
      </w:r>
      <w:r w:rsidR="00D97604" w:rsidRPr="00E253C8">
        <w:rPr>
          <w:lang w:val="en-GB"/>
        </w:rPr>
        <w:t xml:space="preserve">face </w:t>
      </w:r>
      <w:r w:rsidR="00F127DA" w:rsidRPr="00E253C8">
        <w:rPr>
          <w:lang w:val="en-GB"/>
        </w:rPr>
        <w:t xml:space="preserve">challenges to access </w:t>
      </w:r>
      <w:r w:rsidRPr="00E253C8">
        <w:rPr>
          <w:lang w:val="en-GB"/>
        </w:rPr>
        <w:t xml:space="preserve">justice and impunity for human rights violations committed against them. </w:t>
      </w:r>
      <w:r w:rsidR="00207FE4" w:rsidRPr="00E253C8">
        <w:rPr>
          <w:lang w:val="en-GB"/>
        </w:rPr>
        <w:t>T</w:t>
      </w:r>
      <w:r w:rsidRPr="00E253C8">
        <w:rPr>
          <w:lang w:val="en-GB"/>
        </w:rPr>
        <w:t xml:space="preserve">he majority of the complaints received by the Office of the Prosecutor for Ethnic Groups and Cultural Heritage were </w:t>
      </w:r>
      <w:r w:rsidR="007C62D3" w:rsidRPr="00E253C8">
        <w:rPr>
          <w:lang w:val="en-GB"/>
        </w:rPr>
        <w:t xml:space="preserve">related </w:t>
      </w:r>
      <w:r w:rsidRPr="00E253C8">
        <w:rPr>
          <w:lang w:val="en-GB"/>
        </w:rPr>
        <w:t xml:space="preserve">to violations of the land and territories of indigenous and Garifuna peoples (35%), followed by violations of their life and </w:t>
      </w:r>
      <w:r w:rsidR="007C62D3" w:rsidRPr="00E253C8">
        <w:rPr>
          <w:lang w:val="en-GB"/>
        </w:rPr>
        <w:t xml:space="preserve">physical </w:t>
      </w:r>
      <w:r w:rsidRPr="00E253C8">
        <w:rPr>
          <w:lang w:val="en-GB"/>
        </w:rPr>
        <w:t>integrity (25%)</w:t>
      </w:r>
      <w:r w:rsidR="006B3D7C" w:rsidRPr="00E253C8">
        <w:rPr>
          <w:rStyle w:val="FootnoteReference"/>
          <w:lang w:val="en-GB"/>
        </w:rPr>
        <w:footnoteReference w:id="32"/>
      </w:r>
      <w:r w:rsidRPr="00E253C8">
        <w:rPr>
          <w:lang w:val="en-GB"/>
        </w:rPr>
        <w:t xml:space="preserve">. </w:t>
      </w:r>
      <w:r w:rsidR="006B3D7C" w:rsidRPr="00E253C8">
        <w:rPr>
          <w:lang w:val="en-GB"/>
        </w:rPr>
        <w:t>A</w:t>
      </w:r>
      <w:r w:rsidRPr="00E253C8">
        <w:rPr>
          <w:lang w:val="en-GB"/>
        </w:rPr>
        <w:t xml:space="preserve">dequate measures are </w:t>
      </w:r>
      <w:r w:rsidR="006B3D7C" w:rsidRPr="00E253C8">
        <w:rPr>
          <w:lang w:val="en-GB"/>
        </w:rPr>
        <w:lastRenderedPageBreak/>
        <w:t xml:space="preserve">also required </w:t>
      </w:r>
      <w:r w:rsidRPr="00E253C8">
        <w:rPr>
          <w:lang w:val="en-GB"/>
        </w:rPr>
        <w:t>for the protection of their rights in the administrative sphere.</w:t>
      </w:r>
    </w:p>
    <w:p w14:paraId="54F10C0F" w14:textId="0CD721C4" w:rsidR="00E81434" w:rsidRPr="00E253C8" w:rsidRDefault="0084387B" w:rsidP="00E81434">
      <w:pPr>
        <w:pStyle w:val="SingleTxtG"/>
        <w:rPr>
          <w:lang w:val="en-GB"/>
        </w:rPr>
      </w:pPr>
      <w:r>
        <w:rPr>
          <w:lang w:val="en-GB"/>
        </w:rPr>
        <w:t>89</w:t>
      </w:r>
      <w:r w:rsidR="00E81434" w:rsidRPr="00E253C8">
        <w:rPr>
          <w:lang w:val="en-GB"/>
        </w:rPr>
        <w:t>.</w:t>
      </w:r>
      <w:r w:rsidR="00E81434" w:rsidRPr="00E253C8">
        <w:rPr>
          <w:lang w:val="en-GB"/>
        </w:rPr>
        <w:tab/>
      </w:r>
      <w:r w:rsidR="006B3D7C" w:rsidRPr="00E253C8">
        <w:rPr>
          <w:lang w:val="en-GB"/>
        </w:rPr>
        <w:t xml:space="preserve">Regarding </w:t>
      </w:r>
      <w:r w:rsidR="00E81434" w:rsidRPr="00E253C8">
        <w:rPr>
          <w:lang w:val="en-GB"/>
        </w:rPr>
        <w:t xml:space="preserve">the Miskito divers who engage in </w:t>
      </w:r>
      <w:r w:rsidR="00E216F1" w:rsidRPr="00E253C8">
        <w:rPr>
          <w:lang w:val="en-GB"/>
        </w:rPr>
        <w:t xml:space="preserve">dive </w:t>
      </w:r>
      <w:r w:rsidR="00E81434" w:rsidRPr="00E253C8">
        <w:rPr>
          <w:lang w:val="en-GB"/>
        </w:rPr>
        <w:t xml:space="preserve">fishing in a context of </w:t>
      </w:r>
      <w:r w:rsidR="00835748" w:rsidRPr="00E253C8">
        <w:rPr>
          <w:lang w:val="en-GB"/>
        </w:rPr>
        <w:t>labour</w:t>
      </w:r>
      <w:r w:rsidR="00E81434" w:rsidRPr="00E253C8">
        <w:rPr>
          <w:lang w:val="en-GB"/>
        </w:rPr>
        <w:t xml:space="preserve"> exploitation by fishing companies, the State </w:t>
      </w:r>
      <w:r w:rsidR="00AD01E0" w:rsidRPr="00E253C8">
        <w:rPr>
          <w:lang w:val="en-GB"/>
        </w:rPr>
        <w:t xml:space="preserve">initiated the implementation of </w:t>
      </w:r>
      <w:r w:rsidR="00E81434" w:rsidRPr="00E253C8">
        <w:rPr>
          <w:lang w:val="en-GB"/>
        </w:rPr>
        <w:t xml:space="preserve">the </w:t>
      </w:r>
      <w:r w:rsidR="00AD01E0" w:rsidRPr="00E253C8">
        <w:rPr>
          <w:lang w:val="en-GB"/>
        </w:rPr>
        <w:t xml:space="preserve">sentence </w:t>
      </w:r>
      <w:r w:rsidR="00E81434" w:rsidRPr="00E253C8">
        <w:rPr>
          <w:lang w:val="en-GB"/>
        </w:rPr>
        <w:t xml:space="preserve">of the Inter-American Court of Human Rights in the case of Lemoth Morris v. Honduras (2021). It is necessary to advance </w:t>
      </w:r>
      <w:r w:rsidR="00E542AB">
        <w:rPr>
          <w:lang w:val="en-GB"/>
        </w:rPr>
        <w:t xml:space="preserve">with the implementation of </w:t>
      </w:r>
      <w:r w:rsidR="00E81434" w:rsidRPr="00E253C8">
        <w:rPr>
          <w:lang w:val="en-GB"/>
        </w:rPr>
        <w:t>other related structural measures, such as strengthening the health system in the Mosquitia.</w:t>
      </w:r>
    </w:p>
    <w:p w14:paraId="1EF9BD41" w14:textId="0B2D91DB" w:rsidR="009C640C" w:rsidRPr="00E253C8" w:rsidRDefault="00607B10" w:rsidP="00607B10">
      <w:pPr>
        <w:pStyle w:val="H1G"/>
        <w:rPr>
          <w:lang w:val="en-GB"/>
        </w:rPr>
      </w:pPr>
      <w:r w:rsidRPr="00E253C8">
        <w:rPr>
          <w:lang w:val="en-GB"/>
        </w:rPr>
        <w:tab/>
        <w:t>E.</w:t>
      </w:r>
      <w:r w:rsidRPr="00E253C8">
        <w:rPr>
          <w:lang w:val="en-GB"/>
        </w:rPr>
        <w:tab/>
      </w:r>
      <w:r w:rsidR="001D03C5" w:rsidRPr="00E253C8">
        <w:rPr>
          <w:lang w:val="en-GB"/>
        </w:rPr>
        <w:t>People on the move</w:t>
      </w:r>
    </w:p>
    <w:p w14:paraId="7CAFD51E" w14:textId="3BEA9DDC" w:rsidR="009C640C" w:rsidRPr="00E253C8" w:rsidRDefault="0084387B" w:rsidP="00402F3D">
      <w:pPr>
        <w:pStyle w:val="SingleTxtG"/>
        <w:rPr>
          <w:lang w:val="en-GB"/>
        </w:rPr>
      </w:pPr>
      <w:r>
        <w:rPr>
          <w:lang w:val="en-GB"/>
        </w:rPr>
        <w:t>90</w:t>
      </w:r>
      <w:r w:rsidR="000E5D63" w:rsidRPr="00E253C8">
        <w:rPr>
          <w:lang w:val="en-GB"/>
        </w:rPr>
        <w:t>.</w:t>
      </w:r>
      <w:r w:rsidR="000E5D63" w:rsidRPr="00E253C8">
        <w:rPr>
          <w:lang w:val="en-GB"/>
        </w:rPr>
        <w:tab/>
      </w:r>
      <w:r w:rsidR="00EB7EB7" w:rsidRPr="00E253C8">
        <w:rPr>
          <w:lang w:val="en-GB"/>
        </w:rPr>
        <w:t>Compared to previous years, OHCHR registered an increase in mixed migratory movements and an increased presence of families and women with children in migratory routes, taking alternate routes and moving in smaller groups.</w:t>
      </w:r>
    </w:p>
    <w:p w14:paraId="2BF3C76A" w14:textId="499E00CD" w:rsidR="009C640C" w:rsidRPr="00E253C8" w:rsidRDefault="00DB2BCB" w:rsidP="0084387B">
      <w:pPr>
        <w:pStyle w:val="SingleTxtG"/>
        <w:rPr>
          <w:lang w:val="en-GB"/>
        </w:rPr>
      </w:pPr>
      <w:r w:rsidRPr="00E253C8">
        <w:rPr>
          <w:lang w:val="en-GB"/>
        </w:rPr>
        <w:t>9</w:t>
      </w:r>
      <w:r w:rsidR="0084387B">
        <w:rPr>
          <w:lang w:val="en-GB"/>
        </w:rPr>
        <w:t>1</w:t>
      </w:r>
      <w:r w:rsidR="000E5D63" w:rsidRPr="00E253C8">
        <w:rPr>
          <w:lang w:val="en-GB"/>
        </w:rPr>
        <w:t>.</w:t>
      </w:r>
      <w:r w:rsidR="000E5D63" w:rsidRPr="00E253C8">
        <w:rPr>
          <w:lang w:val="en-GB"/>
        </w:rPr>
        <w:tab/>
      </w:r>
      <w:r w:rsidR="00977273" w:rsidRPr="00E253C8">
        <w:rPr>
          <w:lang w:val="en-GB"/>
        </w:rPr>
        <w:t>According to the National Migration Institute, in 2022, 188,858 migrants entered the country irregularly</w:t>
      </w:r>
      <w:r w:rsidR="00977273" w:rsidRPr="00E253C8">
        <w:rPr>
          <w:rStyle w:val="FootnoteReference"/>
          <w:lang w:val="en-GB"/>
        </w:rPr>
        <w:footnoteReference w:id="33"/>
      </w:r>
      <w:r w:rsidR="00977273" w:rsidRPr="00E253C8">
        <w:rPr>
          <w:lang w:val="en-GB"/>
        </w:rPr>
        <w:t>, mostly from Cuba, Venezuela, Ecuador and Haiti. According to the Honduran Consular and Migration Observatory, 88,855 Honduran migrants were returned to the country, the vast majority from Mexico (45,961) and the United States (42,090).</w:t>
      </w:r>
    </w:p>
    <w:p w14:paraId="2E239A3D" w14:textId="48AC8228" w:rsidR="009C640C" w:rsidRPr="00E253C8" w:rsidRDefault="00DB2BCB" w:rsidP="0084387B">
      <w:pPr>
        <w:pStyle w:val="SingleTxtG"/>
        <w:rPr>
          <w:lang w:val="en-GB"/>
        </w:rPr>
      </w:pPr>
      <w:r w:rsidRPr="00E253C8">
        <w:rPr>
          <w:lang w:val="en-GB"/>
        </w:rPr>
        <w:t>9</w:t>
      </w:r>
      <w:r w:rsidR="0084387B">
        <w:rPr>
          <w:lang w:val="en-GB"/>
        </w:rPr>
        <w:t>2</w:t>
      </w:r>
      <w:r w:rsidR="000E5D63" w:rsidRPr="00E253C8">
        <w:rPr>
          <w:lang w:val="en-GB"/>
        </w:rPr>
        <w:t>.</w:t>
      </w:r>
      <w:r w:rsidR="000E5D63" w:rsidRPr="00E253C8">
        <w:rPr>
          <w:lang w:val="en-GB"/>
        </w:rPr>
        <w:tab/>
      </w:r>
      <w:r w:rsidR="00C124BA" w:rsidRPr="00E253C8">
        <w:rPr>
          <w:lang w:val="en-GB"/>
        </w:rPr>
        <w:t>Of concern is the overcrowding of shelters due to the significant increase in transit migratory flows, which on occasion makes it impossible for migrants to find refuge. OHCHR recorded that unaccompanied minors, pregnant women and mothers with children, indigenous people and migrants from the LGBTI community are most often exposed to discrimination and violence.</w:t>
      </w:r>
    </w:p>
    <w:p w14:paraId="1D642D2F" w14:textId="4D771B83" w:rsidR="009C640C" w:rsidRPr="00E253C8" w:rsidRDefault="00DB2BCB" w:rsidP="0084387B">
      <w:pPr>
        <w:pStyle w:val="SingleTxtG"/>
        <w:rPr>
          <w:lang w:val="en-GB"/>
        </w:rPr>
      </w:pPr>
      <w:r w:rsidRPr="00E253C8">
        <w:rPr>
          <w:lang w:val="en-GB"/>
        </w:rPr>
        <w:t>9</w:t>
      </w:r>
      <w:r w:rsidR="0084387B">
        <w:rPr>
          <w:lang w:val="en-GB"/>
        </w:rPr>
        <w:t>3</w:t>
      </w:r>
      <w:r w:rsidR="000E5D63" w:rsidRPr="00E253C8">
        <w:rPr>
          <w:lang w:val="en-GB"/>
        </w:rPr>
        <w:t>.</w:t>
      </w:r>
      <w:r w:rsidR="000E5D63" w:rsidRPr="00E253C8">
        <w:rPr>
          <w:lang w:val="en-GB"/>
        </w:rPr>
        <w:tab/>
      </w:r>
      <w:r w:rsidR="00B80FDC" w:rsidRPr="00E253C8">
        <w:rPr>
          <w:lang w:val="en-GB"/>
        </w:rPr>
        <w:t>The National Congress approved a 90-day amnesty in May for migrants who entered the country irregularly, exempting them from the payment of the administrative penalty foreseen in the Migration and Foreigners Law. The measure came into effect in August and has since been extended until June 2023, granting these persons the possibility of regularizing their temporary stay.</w:t>
      </w:r>
    </w:p>
    <w:p w14:paraId="3D0C293E" w14:textId="5B4CC15C" w:rsidR="00B80809" w:rsidRPr="00E253C8" w:rsidRDefault="00DB2BCB" w:rsidP="00E7182C">
      <w:pPr>
        <w:pStyle w:val="SingleTxtG"/>
        <w:rPr>
          <w:lang w:val="en-GB"/>
        </w:rPr>
      </w:pPr>
      <w:r w:rsidRPr="00E253C8">
        <w:rPr>
          <w:lang w:val="en-GB"/>
        </w:rPr>
        <w:t>9</w:t>
      </w:r>
      <w:r w:rsidR="00E7182C">
        <w:rPr>
          <w:lang w:val="en-GB"/>
        </w:rPr>
        <w:t>4</w:t>
      </w:r>
      <w:r w:rsidR="000E5D63" w:rsidRPr="00E253C8">
        <w:rPr>
          <w:lang w:val="en-GB"/>
        </w:rPr>
        <w:t>.</w:t>
      </w:r>
      <w:r w:rsidR="000E5D63" w:rsidRPr="00E253C8">
        <w:rPr>
          <w:lang w:val="en-GB"/>
        </w:rPr>
        <w:tab/>
      </w:r>
      <w:r w:rsidR="00B80809" w:rsidRPr="00E253C8">
        <w:rPr>
          <w:lang w:val="en-GB"/>
        </w:rPr>
        <w:t xml:space="preserve">OHCHR welcomes the adoption in December of the Law for the Prevention, Attention and Protection of Internally Displaced Persons as a fundamental step </w:t>
      </w:r>
      <w:r w:rsidR="004654AC" w:rsidRPr="00E253C8">
        <w:rPr>
          <w:lang w:val="en-GB"/>
        </w:rPr>
        <w:t xml:space="preserve">towards </w:t>
      </w:r>
      <w:r w:rsidR="00B80809" w:rsidRPr="00E253C8">
        <w:rPr>
          <w:lang w:val="en-GB"/>
        </w:rPr>
        <w:t xml:space="preserve">their comprehensive </w:t>
      </w:r>
      <w:r w:rsidR="0038791C" w:rsidRPr="00E253C8">
        <w:rPr>
          <w:lang w:val="en-GB"/>
        </w:rPr>
        <w:t xml:space="preserve">protection, as well as </w:t>
      </w:r>
      <w:r w:rsidR="00B80809" w:rsidRPr="00E253C8">
        <w:rPr>
          <w:lang w:val="en-GB"/>
        </w:rPr>
        <w:t>calls on the Government to move forward with its regulation and implementation.</w:t>
      </w:r>
    </w:p>
    <w:p w14:paraId="20996A3E" w14:textId="64F54518" w:rsidR="009C640C" w:rsidRPr="00E253C8" w:rsidRDefault="003313A3" w:rsidP="003313A3">
      <w:pPr>
        <w:pStyle w:val="HChG"/>
        <w:rPr>
          <w:lang w:val="en-GB"/>
        </w:rPr>
      </w:pPr>
      <w:r w:rsidRPr="00E253C8">
        <w:rPr>
          <w:lang w:val="en-GB"/>
        </w:rPr>
        <w:lastRenderedPageBreak/>
        <w:tab/>
        <w:t>VII.</w:t>
      </w:r>
      <w:r w:rsidRPr="00E253C8">
        <w:rPr>
          <w:lang w:val="en-GB"/>
        </w:rPr>
        <w:tab/>
      </w:r>
      <w:r w:rsidRPr="00E253C8">
        <w:rPr>
          <w:lang w:val="en-GB"/>
        </w:rPr>
        <w:tab/>
      </w:r>
      <w:r w:rsidR="006823A8" w:rsidRPr="00E253C8">
        <w:rPr>
          <w:lang w:val="en-GB"/>
        </w:rPr>
        <w:t>Recommendations</w:t>
      </w:r>
    </w:p>
    <w:p w14:paraId="2A4E7F36" w14:textId="63D13767" w:rsidR="009C640C" w:rsidRPr="00E253C8" w:rsidRDefault="00DB2BCB" w:rsidP="00E7182C">
      <w:pPr>
        <w:pStyle w:val="SingleTxtG"/>
        <w:rPr>
          <w:b/>
          <w:bCs/>
          <w:lang w:val="en-GB"/>
        </w:rPr>
      </w:pPr>
      <w:r w:rsidRPr="00E253C8">
        <w:rPr>
          <w:b/>
          <w:bCs/>
          <w:lang w:val="en-GB"/>
        </w:rPr>
        <w:t>9</w:t>
      </w:r>
      <w:r w:rsidR="00E7182C">
        <w:rPr>
          <w:b/>
          <w:bCs/>
          <w:lang w:val="en-GB"/>
        </w:rPr>
        <w:t>5</w:t>
      </w:r>
      <w:r w:rsidR="00832564" w:rsidRPr="00E253C8">
        <w:rPr>
          <w:b/>
          <w:bCs/>
          <w:lang w:val="en-GB"/>
        </w:rPr>
        <w:t>.</w:t>
      </w:r>
      <w:r w:rsidR="00832564" w:rsidRPr="00E253C8">
        <w:rPr>
          <w:b/>
          <w:bCs/>
          <w:lang w:val="en-GB"/>
        </w:rPr>
        <w:tab/>
      </w:r>
      <w:r w:rsidR="003B1A3C" w:rsidRPr="00E253C8">
        <w:rPr>
          <w:rStyle w:val="eop"/>
          <w:b/>
          <w:bCs/>
          <w:lang w:val="en-GB"/>
        </w:rPr>
        <w:t>OHCHR reiterates its commitment to continue supporting the efforts of Honduras to respect and guarantee human rights for all persons. The Office reiterates the recommendations contained in its previous reports and urges the authorities to implement them</w:t>
      </w:r>
      <w:r w:rsidR="003B1A3C" w:rsidRPr="00E253C8">
        <w:rPr>
          <w:rStyle w:val="FootnoteReference"/>
          <w:b/>
          <w:bCs/>
          <w:lang w:val="en-GB"/>
        </w:rPr>
        <w:footnoteReference w:id="34"/>
      </w:r>
      <w:r w:rsidR="003B1A3C" w:rsidRPr="00E253C8">
        <w:rPr>
          <w:rStyle w:val="eop"/>
          <w:b/>
          <w:bCs/>
          <w:lang w:val="en-GB"/>
        </w:rPr>
        <w:t>. OHCHR further urges the authorities to:</w:t>
      </w:r>
    </w:p>
    <w:p w14:paraId="7777BA1B" w14:textId="5FBF613D" w:rsidR="009C640C" w:rsidRPr="00E253C8" w:rsidRDefault="00446FF4" w:rsidP="00D8701B">
      <w:pPr>
        <w:pStyle w:val="SingleTxtG"/>
        <w:ind w:firstLine="567"/>
        <w:rPr>
          <w:b/>
          <w:bCs/>
          <w:lang w:val="en-GB"/>
        </w:rPr>
      </w:pPr>
      <w:r w:rsidRPr="00E253C8">
        <w:rPr>
          <w:b/>
          <w:bCs/>
          <w:lang w:val="en-GB"/>
        </w:rPr>
        <w:t>a)</w:t>
      </w:r>
      <w:r w:rsidRPr="00E253C8">
        <w:rPr>
          <w:b/>
          <w:bCs/>
          <w:lang w:val="en-GB"/>
        </w:rPr>
        <w:tab/>
      </w:r>
      <w:r w:rsidR="00F331CA" w:rsidRPr="00E253C8">
        <w:rPr>
          <w:rStyle w:val="eop"/>
          <w:b/>
          <w:bCs/>
          <w:lang w:val="en-GB"/>
        </w:rPr>
        <w:t>Adopt a comprehensive national human rights action plan that also includes the guarantee of economic, social, cultural and environmental rights, with a differentiated focus on populations in situations of vulnerability.</w:t>
      </w:r>
    </w:p>
    <w:p w14:paraId="472BA55B" w14:textId="2193482B" w:rsidR="009C640C" w:rsidRPr="00E253C8" w:rsidRDefault="0002228D" w:rsidP="00D8701B">
      <w:pPr>
        <w:pStyle w:val="SingleTxtG"/>
        <w:ind w:firstLine="567"/>
        <w:rPr>
          <w:rStyle w:val="eop"/>
          <w:b/>
          <w:bCs/>
          <w:lang w:val="en-GB"/>
        </w:rPr>
      </w:pPr>
      <w:r w:rsidRPr="00E253C8">
        <w:rPr>
          <w:rStyle w:val="eop"/>
          <w:b/>
          <w:bCs/>
          <w:lang w:val="en-GB"/>
        </w:rPr>
        <w:t>b) Approve and implement a citizen security policy with a human rights approach that ensures gradual demilitarization, both at the operational level as well as at the institutional culture level, promoting civilian vision and leadership in the sector.</w:t>
      </w:r>
    </w:p>
    <w:p w14:paraId="70735E29" w14:textId="2599F0F1" w:rsidR="0038791C" w:rsidRPr="00E253C8" w:rsidRDefault="00DA4834" w:rsidP="00D8701B">
      <w:pPr>
        <w:pStyle w:val="SingleTxtG"/>
        <w:ind w:firstLine="567"/>
        <w:rPr>
          <w:rStyle w:val="eop"/>
          <w:b/>
          <w:bCs/>
          <w:lang w:val="en-GB"/>
        </w:rPr>
      </w:pPr>
      <w:r w:rsidRPr="00E253C8">
        <w:rPr>
          <w:rStyle w:val="eop"/>
          <w:b/>
          <w:bCs/>
          <w:lang w:val="en-GB"/>
        </w:rPr>
        <w:t xml:space="preserve">c) </w:t>
      </w:r>
      <w:r w:rsidRPr="00E253C8">
        <w:rPr>
          <w:rStyle w:val="eop"/>
          <w:b/>
          <w:bCs/>
          <w:lang w:val="en-GB"/>
        </w:rPr>
        <w:tab/>
      </w:r>
      <w:r w:rsidR="00C518CD" w:rsidRPr="00E253C8">
        <w:rPr>
          <w:rStyle w:val="eop"/>
          <w:b/>
          <w:bCs/>
          <w:lang w:val="en-GB"/>
        </w:rPr>
        <w:t xml:space="preserve">Comprehensively address the challenge of insecurity and violence through a human rights approach, prioritizing the prevention, investigation and sanction. Declarations of State of Emergency and suspension of fundamental rights must only be adopted in strict compliance with international human rights law. All </w:t>
      </w:r>
      <w:r w:rsidR="00AD2D6D" w:rsidRPr="00E253C8">
        <w:rPr>
          <w:rStyle w:val="eop"/>
          <w:b/>
          <w:bCs/>
          <w:lang w:val="en-GB"/>
        </w:rPr>
        <w:t>actions</w:t>
      </w:r>
      <w:r w:rsidR="00C518CD" w:rsidRPr="00E253C8">
        <w:rPr>
          <w:rStyle w:val="eop"/>
          <w:b/>
          <w:bCs/>
          <w:lang w:val="en-GB"/>
        </w:rPr>
        <w:t xml:space="preserve"> taken in th</w:t>
      </w:r>
      <w:r w:rsidR="00EB4870">
        <w:rPr>
          <w:rStyle w:val="eop"/>
          <w:b/>
          <w:bCs/>
          <w:lang w:val="en-GB"/>
        </w:rPr>
        <w:t>e</w:t>
      </w:r>
      <w:r w:rsidR="00C518CD" w:rsidRPr="00E253C8">
        <w:rPr>
          <w:rStyle w:val="eop"/>
          <w:b/>
          <w:bCs/>
          <w:lang w:val="en-GB"/>
        </w:rPr>
        <w:t xml:space="preserve"> context of such measures must be proportional, temporary in nature and limited to those strictly required by the exigencies of the situation.</w:t>
      </w:r>
    </w:p>
    <w:p w14:paraId="14F03D63" w14:textId="1DC3E8CB" w:rsidR="009C640C" w:rsidRPr="00E253C8" w:rsidRDefault="00B56203" w:rsidP="00B56203">
      <w:pPr>
        <w:pStyle w:val="SingleTxtG"/>
        <w:ind w:firstLine="567"/>
        <w:rPr>
          <w:rStyle w:val="eop"/>
          <w:b/>
          <w:bCs/>
          <w:lang w:val="en-GB"/>
        </w:rPr>
      </w:pPr>
      <w:r w:rsidRPr="00E253C8">
        <w:rPr>
          <w:rStyle w:val="eop"/>
          <w:b/>
          <w:bCs/>
          <w:lang w:val="en-GB"/>
        </w:rPr>
        <w:t>d)</w:t>
      </w:r>
      <w:r w:rsidRPr="00E253C8">
        <w:rPr>
          <w:rStyle w:val="eop"/>
          <w:b/>
          <w:bCs/>
          <w:lang w:val="en-GB"/>
        </w:rPr>
        <w:tab/>
      </w:r>
      <w:r w:rsidR="00B748E3" w:rsidRPr="00E253C8">
        <w:rPr>
          <w:rStyle w:val="eop"/>
          <w:b/>
          <w:bCs/>
          <w:lang w:val="en-GB"/>
        </w:rPr>
        <w:t>Strengthen the independence of the justice sector by revising the constitutional and legal framework of the Judicial Branch through the adoption of its organic law and that of the Council of the Judiciary, as well as the framework for the State Attorney’s Office, with particular attention to the election of the Attorney General.</w:t>
      </w:r>
    </w:p>
    <w:p w14:paraId="1AF114EB" w14:textId="4516CE16" w:rsidR="00B748E3" w:rsidRPr="00E253C8" w:rsidRDefault="00B56203" w:rsidP="00B748E3">
      <w:pPr>
        <w:pStyle w:val="SingleTxtG"/>
        <w:ind w:firstLine="567"/>
        <w:rPr>
          <w:rStyle w:val="eop"/>
          <w:b/>
          <w:bCs/>
          <w:lang w:val="en-GB"/>
        </w:rPr>
      </w:pPr>
      <w:r w:rsidRPr="00E253C8">
        <w:rPr>
          <w:rStyle w:val="eop"/>
          <w:b/>
          <w:bCs/>
          <w:lang w:val="en-GB"/>
        </w:rPr>
        <w:t xml:space="preserve">e) </w:t>
      </w:r>
      <w:r w:rsidRPr="00E253C8">
        <w:rPr>
          <w:rStyle w:val="eop"/>
          <w:b/>
          <w:bCs/>
          <w:lang w:val="en-GB"/>
        </w:rPr>
        <w:tab/>
      </w:r>
      <w:r w:rsidR="00B748E3" w:rsidRPr="00E253C8">
        <w:rPr>
          <w:rStyle w:val="eop"/>
          <w:b/>
          <w:bCs/>
          <w:lang w:val="en-GB"/>
        </w:rPr>
        <w:t>Adopt the necessary measures, including legislative measures, to guarantee truth, justice, memory and reparation for the victims of human rights violations, including those from the 1980s, the 2009 coup d'état, and the 2017 post</w:t>
      </w:r>
      <w:r w:rsidR="00B748E3" w:rsidRPr="00E253C8">
        <w:rPr>
          <w:rStyle w:val="eop"/>
          <w:b/>
          <w:bCs/>
          <w:lang w:val="en-GB"/>
        </w:rPr>
        <w:noBreakHyphen/>
        <w:t xml:space="preserve">electoral crisis. </w:t>
      </w:r>
    </w:p>
    <w:p w14:paraId="6DA976F1" w14:textId="3008A5BD" w:rsidR="0006130B" w:rsidRPr="00E253C8" w:rsidRDefault="00B56203" w:rsidP="00922B42">
      <w:pPr>
        <w:pStyle w:val="SingleTxtG"/>
        <w:ind w:firstLine="567"/>
        <w:rPr>
          <w:rStyle w:val="eop"/>
          <w:b/>
          <w:bCs/>
          <w:lang w:val="en-GB"/>
        </w:rPr>
      </w:pPr>
      <w:r w:rsidRPr="00E253C8">
        <w:rPr>
          <w:rStyle w:val="eop"/>
          <w:b/>
          <w:bCs/>
          <w:lang w:val="en-GB"/>
        </w:rPr>
        <w:t>f)</w:t>
      </w:r>
      <w:r w:rsidRPr="00E253C8">
        <w:rPr>
          <w:rStyle w:val="eop"/>
          <w:b/>
          <w:bCs/>
          <w:lang w:val="en-GB"/>
        </w:rPr>
        <w:tab/>
      </w:r>
      <w:r w:rsidR="0006130B" w:rsidRPr="00E253C8">
        <w:rPr>
          <w:rStyle w:val="eop"/>
          <w:b/>
          <w:bCs/>
          <w:lang w:val="en-GB"/>
        </w:rPr>
        <w:t>Strengthen the National Protection System for Human Rights Defenders, Journalists, Social Communicators and Justice Operators</w:t>
      </w:r>
      <w:r w:rsidR="000B1689">
        <w:rPr>
          <w:rStyle w:val="eop"/>
          <w:b/>
          <w:bCs/>
          <w:lang w:val="en-GB"/>
        </w:rPr>
        <w:t>,</w:t>
      </w:r>
      <w:r w:rsidR="0006130B" w:rsidRPr="00E253C8">
        <w:rPr>
          <w:rStyle w:val="eop"/>
          <w:b/>
          <w:bCs/>
          <w:lang w:val="en-GB"/>
        </w:rPr>
        <w:t xml:space="preserve"> in line with the Institutional Strengthening Plan presented by OHCHR. </w:t>
      </w:r>
    </w:p>
    <w:p w14:paraId="2F97E5FC" w14:textId="72FB5E61" w:rsidR="009C640C" w:rsidRPr="00E253C8" w:rsidRDefault="00B56203" w:rsidP="00922B42">
      <w:pPr>
        <w:pStyle w:val="SingleTxtG"/>
        <w:ind w:firstLine="567"/>
        <w:rPr>
          <w:rStyle w:val="eop"/>
          <w:b/>
          <w:bCs/>
          <w:lang w:val="en-GB"/>
        </w:rPr>
      </w:pPr>
      <w:r w:rsidRPr="00E253C8">
        <w:rPr>
          <w:rStyle w:val="eop"/>
          <w:b/>
          <w:bCs/>
          <w:lang w:val="en-GB"/>
        </w:rPr>
        <w:lastRenderedPageBreak/>
        <w:t>g)</w:t>
      </w:r>
      <w:r w:rsidRPr="00E253C8">
        <w:rPr>
          <w:rStyle w:val="eop"/>
          <w:b/>
          <w:bCs/>
          <w:lang w:val="en-GB"/>
        </w:rPr>
        <w:tab/>
      </w:r>
      <w:r w:rsidR="009143FE" w:rsidRPr="00E253C8">
        <w:rPr>
          <w:rStyle w:val="eop"/>
          <w:b/>
          <w:bCs/>
          <w:lang w:val="en-GB"/>
        </w:rPr>
        <w:t xml:space="preserve">Strengthen the human, financial and technical investigation capacities of the police and the State Attorney’s Office, including the adoption of differentiated protocols for crimes against human rights defenders, women, LGBTI persons, among others, that guarantee due diligence and </w:t>
      </w:r>
      <w:r w:rsidR="000B1689">
        <w:rPr>
          <w:rStyle w:val="eop"/>
          <w:b/>
          <w:bCs/>
          <w:lang w:val="en-GB"/>
        </w:rPr>
        <w:t xml:space="preserve">reduce </w:t>
      </w:r>
      <w:r w:rsidR="009143FE" w:rsidRPr="00E253C8">
        <w:rPr>
          <w:rStyle w:val="eop"/>
          <w:b/>
          <w:bCs/>
          <w:lang w:val="en-GB"/>
        </w:rPr>
        <w:t>impunity.</w:t>
      </w:r>
    </w:p>
    <w:p w14:paraId="715EB894" w14:textId="29B5AB2C" w:rsidR="0038791C" w:rsidRPr="00E253C8" w:rsidRDefault="00B56203" w:rsidP="00922B42">
      <w:pPr>
        <w:pStyle w:val="SingleTxtG"/>
        <w:ind w:firstLine="567"/>
        <w:rPr>
          <w:rStyle w:val="eop"/>
          <w:b/>
          <w:bCs/>
          <w:lang w:val="en-GB"/>
        </w:rPr>
      </w:pPr>
      <w:r w:rsidRPr="00E253C8">
        <w:rPr>
          <w:rStyle w:val="eop"/>
          <w:b/>
          <w:bCs/>
          <w:lang w:val="en-GB"/>
        </w:rPr>
        <w:t>h)</w:t>
      </w:r>
      <w:r w:rsidRPr="00E253C8">
        <w:rPr>
          <w:rStyle w:val="eop"/>
          <w:b/>
          <w:bCs/>
          <w:lang w:val="en-GB"/>
        </w:rPr>
        <w:tab/>
      </w:r>
      <w:r w:rsidR="00F95378" w:rsidRPr="00E253C8">
        <w:rPr>
          <w:rStyle w:val="eop"/>
          <w:b/>
          <w:bCs/>
          <w:lang w:val="en-GB"/>
        </w:rPr>
        <w:t xml:space="preserve">Strengthen the Witness and Victim Protection Program run by the State Attorney’s Office, as well as implement protection mechanisms for judicial operators and </w:t>
      </w:r>
      <w:proofErr w:type="spellStart"/>
      <w:r w:rsidR="00F95378" w:rsidRPr="00E253C8">
        <w:rPr>
          <w:rStyle w:val="eop"/>
          <w:b/>
          <w:bCs/>
          <w:lang w:val="en-GB"/>
        </w:rPr>
        <w:t>whistleblowers</w:t>
      </w:r>
      <w:proofErr w:type="spellEnd"/>
      <w:r w:rsidR="00F95378" w:rsidRPr="00E253C8">
        <w:rPr>
          <w:rStyle w:val="eop"/>
          <w:b/>
          <w:bCs/>
          <w:lang w:val="en-GB"/>
        </w:rPr>
        <w:t>, guaranteeing their effectiveness.</w:t>
      </w:r>
      <w:r w:rsidR="009C640C" w:rsidRPr="00E253C8">
        <w:rPr>
          <w:rStyle w:val="eop"/>
          <w:b/>
          <w:bCs/>
          <w:lang w:val="en-GB"/>
        </w:rPr>
        <w:t xml:space="preserve"> </w:t>
      </w:r>
    </w:p>
    <w:p w14:paraId="59DC0345" w14:textId="6B30F631" w:rsidR="009C640C" w:rsidRPr="00E253C8" w:rsidRDefault="00B56203" w:rsidP="00922B42">
      <w:pPr>
        <w:pStyle w:val="SingleTxtG"/>
        <w:ind w:firstLine="567"/>
        <w:rPr>
          <w:rStyle w:val="eop"/>
          <w:b/>
          <w:bCs/>
          <w:lang w:val="en-GB"/>
        </w:rPr>
      </w:pPr>
      <w:r w:rsidRPr="00E253C8">
        <w:rPr>
          <w:rStyle w:val="eop"/>
          <w:b/>
          <w:bCs/>
          <w:lang w:val="en-GB"/>
        </w:rPr>
        <w:t>i)</w:t>
      </w:r>
      <w:r w:rsidRPr="00E253C8">
        <w:rPr>
          <w:rStyle w:val="eop"/>
          <w:b/>
          <w:bCs/>
          <w:lang w:val="en-GB"/>
        </w:rPr>
        <w:tab/>
      </w:r>
      <w:r w:rsidR="009D42E0">
        <w:rPr>
          <w:rStyle w:val="eop"/>
          <w:b/>
          <w:bCs/>
          <w:lang w:val="en-GB"/>
        </w:rPr>
        <w:t>Establish</w:t>
      </w:r>
      <w:r w:rsidR="00CA60BB" w:rsidRPr="00E253C8">
        <w:rPr>
          <w:rStyle w:val="eop"/>
          <w:b/>
          <w:bCs/>
          <w:lang w:val="en-GB"/>
        </w:rPr>
        <w:t xml:space="preserve"> a sustainable economic development model that guarantees equitable access to land, territory and natural resources based on policies that make effective the rights of indigenous and Afro-Honduran peoples, peasants and other historically excluded groups.   </w:t>
      </w:r>
    </w:p>
    <w:p w14:paraId="6876517E" w14:textId="61E96145" w:rsidR="009C640C" w:rsidRPr="00E253C8" w:rsidRDefault="00B56203" w:rsidP="00922B42">
      <w:pPr>
        <w:pStyle w:val="SingleTxtG"/>
        <w:ind w:firstLine="567"/>
        <w:rPr>
          <w:rStyle w:val="eop"/>
          <w:b/>
          <w:bCs/>
          <w:lang w:val="en-GB"/>
        </w:rPr>
      </w:pPr>
      <w:r w:rsidRPr="00E253C8">
        <w:rPr>
          <w:b/>
          <w:bCs/>
          <w:lang w:val="en-GB"/>
        </w:rPr>
        <w:t>j)</w:t>
      </w:r>
      <w:r w:rsidRPr="00E253C8">
        <w:rPr>
          <w:b/>
          <w:bCs/>
          <w:lang w:val="en-GB"/>
        </w:rPr>
        <w:tab/>
      </w:r>
      <w:r w:rsidR="00371E9E" w:rsidRPr="00E253C8">
        <w:rPr>
          <w:rStyle w:val="eop"/>
          <w:b/>
          <w:bCs/>
          <w:lang w:val="en-GB"/>
        </w:rPr>
        <w:t>Guarantee the right to a healthy environment, through a reform of the institutional and legal frameworks that regulate the granting of concessions for extractive projects, including the revision of environmental licensing process</w:t>
      </w:r>
      <w:r w:rsidR="009D42E0">
        <w:rPr>
          <w:rStyle w:val="eop"/>
          <w:b/>
          <w:bCs/>
          <w:lang w:val="en-GB"/>
        </w:rPr>
        <w:t>es</w:t>
      </w:r>
      <w:r w:rsidR="00371E9E" w:rsidRPr="00E253C8">
        <w:rPr>
          <w:rStyle w:val="eop"/>
          <w:b/>
          <w:bCs/>
          <w:lang w:val="en-GB"/>
        </w:rPr>
        <w:t>.</w:t>
      </w:r>
    </w:p>
    <w:p w14:paraId="1E215067" w14:textId="1B16E06B" w:rsidR="009C640C" w:rsidRPr="00E253C8" w:rsidRDefault="00B56203" w:rsidP="00922B42">
      <w:pPr>
        <w:pStyle w:val="SingleTxtG"/>
        <w:ind w:firstLine="567"/>
        <w:rPr>
          <w:b/>
          <w:bCs/>
          <w:lang w:val="en-GB"/>
        </w:rPr>
      </w:pPr>
      <w:r w:rsidRPr="00E253C8">
        <w:rPr>
          <w:rFonts w:eastAsiaTheme="minorEastAsia"/>
          <w:b/>
          <w:bCs/>
          <w:lang w:val="en-GB"/>
        </w:rPr>
        <w:t>k)</w:t>
      </w:r>
      <w:r w:rsidRPr="00E253C8">
        <w:rPr>
          <w:rFonts w:eastAsiaTheme="minorEastAsia"/>
          <w:b/>
          <w:bCs/>
          <w:lang w:val="en-GB"/>
        </w:rPr>
        <w:tab/>
      </w:r>
      <w:r w:rsidR="00C50D1C" w:rsidRPr="00E253C8">
        <w:rPr>
          <w:rStyle w:val="eop"/>
          <w:b/>
          <w:bCs/>
          <w:lang w:val="en-GB"/>
        </w:rPr>
        <w:t>Sign and implement the Escazú Agreement.</w:t>
      </w:r>
    </w:p>
    <w:p w14:paraId="7F163C08" w14:textId="6CD4086D" w:rsidR="009C640C" w:rsidRPr="00E253C8" w:rsidRDefault="00B56203" w:rsidP="00922B42">
      <w:pPr>
        <w:pStyle w:val="SingleTxtG"/>
        <w:ind w:firstLine="567"/>
        <w:rPr>
          <w:rStyle w:val="eop"/>
          <w:b/>
          <w:bCs/>
          <w:lang w:val="en-GB"/>
        </w:rPr>
      </w:pPr>
      <w:r w:rsidRPr="00E253C8">
        <w:rPr>
          <w:rStyle w:val="eop"/>
          <w:b/>
          <w:bCs/>
          <w:lang w:val="en-GB"/>
        </w:rPr>
        <w:t>l)</w:t>
      </w:r>
      <w:r w:rsidRPr="00E253C8">
        <w:rPr>
          <w:rStyle w:val="eop"/>
          <w:b/>
          <w:bCs/>
          <w:lang w:val="en-GB"/>
        </w:rPr>
        <w:tab/>
      </w:r>
      <w:r w:rsidR="006F42D5" w:rsidRPr="00E253C8">
        <w:rPr>
          <w:rStyle w:val="eop"/>
          <w:b/>
          <w:bCs/>
          <w:lang w:val="en-GB"/>
        </w:rPr>
        <w:t>Adopt an adequate legal framework to guarantee the right to consultation and free, prior and informed consent of indigenous and Afro-Honduran peoples, in accordance with international standards.</w:t>
      </w:r>
    </w:p>
    <w:p w14:paraId="1309FD17" w14:textId="055ABDBD" w:rsidR="009C640C" w:rsidRPr="00E253C8" w:rsidRDefault="00B56203" w:rsidP="00922B42">
      <w:pPr>
        <w:pStyle w:val="SingleTxtG"/>
        <w:ind w:firstLine="567"/>
        <w:rPr>
          <w:rFonts w:eastAsia="Calibri"/>
          <w:b/>
          <w:bCs/>
          <w:lang w:val="en-GB"/>
        </w:rPr>
      </w:pPr>
      <w:r w:rsidRPr="00E253C8">
        <w:rPr>
          <w:rFonts w:eastAsia="Calibri"/>
          <w:b/>
          <w:bCs/>
          <w:lang w:val="en-GB"/>
        </w:rPr>
        <w:t>m)</w:t>
      </w:r>
      <w:r w:rsidRPr="00E253C8">
        <w:rPr>
          <w:rFonts w:eastAsia="Calibri"/>
          <w:b/>
          <w:bCs/>
          <w:lang w:val="en-GB"/>
        </w:rPr>
        <w:tab/>
      </w:r>
      <w:r w:rsidR="00A02E99" w:rsidRPr="00E253C8">
        <w:rPr>
          <w:rStyle w:val="eop"/>
          <w:b/>
          <w:bCs/>
          <w:lang w:val="en-GB"/>
        </w:rPr>
        <w:t>Implement mechanisms to address the structural causes of the conflict in Bajo Agu</w:t>
      </w:r>
      <w:r w:rsidR="00D959CC">
        <w:rPr>
          <w:rStyle w:val="eop"/>
          <w:b/>
          <w:bCs/>
          <w:lang w:val="en-GB"/>
        </w:rPr>
        <w:t>á</w:t>
      </w:r>
      <w:r w:rsidR="00A02E99" w:rsidRPr="00E253C8">
        <w:rPr>
          <w:rStyle w:val="eop"/>
          <w:b/>
          <w:bCs/>
          <w:lang w:val="en-GB"/>
        </w:rPr>
        <w:t>n that guarantee reparation and non-repetition, including the Tripartite Commission foreseen in the February 2022 Agreements.</w:t>
      </w:r>
    </w:p>
    <w:p w14:paraId="013F0A57" w14:textId="2BC43C65" w:rsidR="009C640C" w:rsidRPr="00E253C8" w:rsidRDefault="00B56203" w:rsidP="00922B42">
      <w:pPr>
        <w:pStyle w:val="SingleTxtG"/>
        <w:ind w:firstLine="567"/>
        <w:rPr>
          <w:rStyle w:val="eop"/>
          <w:b/>
          <w:bCs/>
          <w:lang w:val="en-GB"/>
        </w:rPr>
      </w:pPr>
      <w:r w:rsidRPr="00E253C8">
        <w:rPr>
          <w:rStyle w:val="eop"/>
          <w:b/>
          <w:bCs/>
          <w:lang w:val="en-GB"/>
        </w:rPr>
        <w:t>n)</w:t>
      </w:r>
      <w:r w:rsidRPr="00E253C8">
        <w:rPr>
          <w:rStyle w:val="eop"/>
          <w:b/>
          <w:bCs/>
          <w:lang w:val="en-GB"/>
        </w:rPr>
        <w:tab/>
      </w:r>
      <w:r w:rsidR="0076268F" w:rsidRPr="00E253C8">
        <w:rPr>
          <w:rStyle w:val="eop"/>
          <w:b/>
          <w:bCs/>
          <w:lang w:val="en-GB"/>
        </w:rPr>
        <w:t xml:space="preserve">Revise the internal regulations of the National </w:t>
      </w:r>
      <w:r w:rsidR="004265AF">
        <w:rPr>
          <w:rStyle w:val="eop"/>
          <w:b/>
          <w:bCs/>
          <w:lang w:val="en-GB"/>
        </w:rPr>
        <w:t>Defence</w:t>
      </w:r>
      <w:r w:rsidR="0076268F" w:rsidRPr="00E253C8">
        <w:rPr>
          <w:rStyle w:val="eop"/>
          <w:b/>
          <w:bCs/>
          <w:lang w:val="en-GB"/>
        </w:rPr>
        <w:t xml:space="preserve"> and Security Council to clarify its mandate and adjust it to international human rights obligations, respecting the independence of the Judiciary and the State Attorney’s Office.</w:t>
      </w:r>
    </w:p>
    <w:p w14:paraId="6A7C5ACF" w14:textId="7C2F760C" w:rsidR="0038791C" w:rsidRPr="00E253C8" w:rsidRDefault="00B56203" w:rsidP="00922B42">
      <w:pPr>
        <w:pStyle w:val="SingleTxtG"/>
        <w:ind w:firstLine="567"/>
        <w:rPr>
          <w:rStyle w:val="eop"/>
          <w:b/>
          <w:bCs/>
          <w:lang w:val="en-GB"/>
        </w:rPr>
      </w:pPr>
      <w:r w:rsidRPr="00E253C8">
        <w:rPr>
          <w:rStyle w:val="eop"/>
          <w:b/>
          <w:bCs/>
          <w:lang w:val="en-GB"/>
        </w:rPr>
        <w:t>o)</w:t>
      </w:r>
      <w:r w:rsidRPr="00E253C8">
        <w:rPr>
          <w:rStyle w:val="eop"/>
          <w:b/>
          <w:bCs/>
          <w:lang w:val="en-GB"/>
        </w:rPr>
        <w:tab/>
      </w:r>
      <w:r w:rsidR="0076268F" w:rsidRPr="00E253C8">
        <w:rPr>
          <w:rStyle w:val="eop"/>
          <w:b/>
          <w:bCs/>
          <w:lang w:val="en-GB"/>
        </w:rPr>
        <w:t>Advance in the establishment and implementation of the plan for the gradual transfer of the penitentiary administration from the National Police to the National Penitentiary Institute.</w:t>
      </w:r>
    </w:p>
    <w:p w14:paraId="02C9BB3C" w14:textId="77777777" w:rsidR="00654DA4" w:rsidRPr="00E253C8" w:rsidRDefault="00B56203" w:rsidP="00654DA4">
      <w:pPr>
        <w:pStyle w:val="SingleTxtG"/>
        <w:ind w:firstLine="567"/>
        <w:rPr>
          <w:b/>
          <w:bCs/>
          <w:lang w:val="en-GB"/>
        </w:rPr>
      </w:pPr>
      <w:r w:rsidRPr="00E253C8">
        <w:rPr>
          <w:rFonts w:eastAsia="Calibri"/>
          <w:b/>
          <w:bCs/>
          <w:lang w:val="en-GB"/>
        </w:rPr>
        <w:t>p)</w:t>
      </w:r>
      <w:r w:rsidRPr="00E253C8">
        <w:rPr>
          <w:rFonts w:eastAsia="Calibri"/>
          <w:b/>
          <w:bCs/>
          <w:lang w:val="en-GB"/>
        </w:rPr>
        <w:tab/>
      </w:r>
      <w:r w:rsidR="00654DA4" w:rsidRPr="00E253C8">
        <w:rPr>
          <w:b/>
          <w:bCs/>
          <w:lang w:val="en-GB"/>
        </w:rPr>
        <w:t>Advance in the prevention and prosecution of corruption through the approval of the National Transparency and Anti-Corruption Strategy and the installation of an international mechanism against corruption and impunity.</w:t>
      </w:r>
    </w:p>
    <w:p w14:paraId="0FAB2D10" w14:textId="18847C6F" w:rsidR="009C640C" w:rsidRPr="00E253C8" w:rsidRDefault="00B56203" w:rsidP="00922B42">
      <w:pPr>
        <w:pStyle w:val="SingleTxtG"/>
        <w:ind w:firstLine="567"/>
        <w:rPr>
          <w:rStyle w:val="eop"/>
          <w:b/>
          <w:bCs/>
          <w:lang w:val="en-GB"/>
        </w:rPr>
      </w:pPr>
      <w:r w:rsidRPr="00E253C8">
        <w:rPr>
          <w:rStyle w:val="eop"/>
          <w:b/>
          <w:bCs/>
          <w:lang w:val="en-GB"/>
        </w:rPr>
        <w:lastRenderedPageBreak/>
        <w:t>q)</w:t>
      </w:r>
      <w:r w:rsidRPr="00E253C8">
        <w:rPr>
          <w:rStyle w:val="eop"/>
          <w:b/>
          <w:bCs/>
          <w:lang w:val="en-GB"/>
        </w:rPr>
        <w:tab/>
      </w:r>
      <w:r w:rsidR="00440597" w:rsidRPr="00E253C8">
        <w:rPr>
          <w:b/>
          <w:bCs/>
          <w:lang w:val="en-GB"/>
        </w:rPr>
        <w:t>Adapt the regulatory framework and adopt institutional practices to strengthen, promote and protect civic space in accordance with the international obligations</w:t>
      </w:r>
      <w:r w:rsidR="00523846">
        <w:rPr>
          <w:b/>
          <w:bCs/>
          <w:lang w:val="en-GB"/>
        </w:rPr>
        <w:t xml:space="preserve"> of the State</w:t>
      </w:r>
      <w:r w:rsidR="00440597" w:rsidRPr="00E253C8">
        <w:rPr>
          <w:b/>
          <w:bCs/>
          <w:lang w:val="en-GB"/>
        </w:rPr>
        <w:t>.</w:t>
      </w:r>
    </w:p>
    <w:p w14:paraId="34EC6FAB" w14:textId="552C2AE9" w:rsidR="009C640C" w:rsidRPr="00E253C8" w:rsidRDefault="00B56203" w:rsidP="00922B42">
      <w:pPr>
        <w:pStyle w:val="SingleTxtG"/>
        <w:ind w:firstLine="567"/>
        <w:rPr>
          <w:rStyle w:val="eop"/>
          <w:b/>
          <w:bCs/>
          <w:lang w:val="en-GB"/>
        </w:rPr>
      </w:pPr>
      <w:r w:rsidRPr="00E253C8">
        <w:rPr>
          <w:rStyle w:val="eop"/>
          <w:b/>
          <w:bCs/>
          <w:lang w:val="en-GB"/>
        </w:rPr>
        <w:t>r)</w:t>
      </w:r>
      <w:r w:rsidRPr="00E253C8">
        <w:rPr>
          <w:rStyle w:val="eop"/>
          <w:b/>
          <w:bCs/>
          <w:lang w:val="en-GB"/>
        </w:rPr>
        <w:tab/>
      </w:r>
      <w:r w:rsidR="00C200CB" w:rsidRPr="00E253C8">
        <w:rPr>
          <w:b/>
          <w:bCs/>
          <w:lang w:val="en-GB"/>
        </w:rPr>
        <w:t>Prevent and avoid the misuse of criminal law against human rights defenders, journalists, justice operators and anyone exercising freedom of expression.</w:t>
      </w:r>
    </w:p>
    <w:p w14:paraId="6D84B714" w14:textId="0EFBE80E" w:rsidR="009C640C" w:rsidRPr="00E253C8" w:rsidRDefault="00B56203" w:rsidP="00922B42">
      <w:pPr>
        <w:pStyle w:val="SingleTxtG"/>
        <w:ind w:firstLine="567"/>
        <w:rPr>
          <w:b/>
          <w:bCs/>
          <w:lang w:val="en-GB"/>
        </w:rPr>
      </w:pPr>
      <w:r w:rsidRPr="00E253C8">
        <w:rPr>
          <w:rStyle w:val="eop"/>
          <w:b/>
          <w:bCs/>
          <w:lang w:val="en-GB"/>
        </w:rPr>
        <w:t>s)</w:t>
      </w:r>
      <w:r w:rsidRPr="00E253C8">
        <w:rPr>
          <w:rStyle w:val="eop"/>
          <w:b/>
          <w:bCs/>
          <w:lang w:val="en-GB"/>
        </w:rPr>
        <w:tab/>
      </w:r>
      <w:r w:rsidR="00C200CB" w:rsidRPr="00E253C8">
        <w:rPr>
          <w:b/>
          <w:bCs/>
          <w:lang w:val="en-GB"/>
        </w:rPr>
        <w:t>Strengthen the capacit</w:t>
      </w:r>
      <w:r w:rsidR="00523846">
        <w:rPr>
          <w:b/>
          <w:bCs/>
          <w:lang w:val="en-GB"/>
        </w:rPr>
        <w:t>y</w:t>
      </w:r>
      <w:r w:rsidR="00C200CB" w:rsidRPr="00E253C8">
        <w:rPr>
          <w:b/>
          <w:bCs/>
          <w:lang w:val="en-GB"/>
        </w:rPr>
        <w:t xml:space="preserve"> of relevant institutions and authorities to adequately </w:t>
      </w:r>
      <w:r w:rsidR="00AD59F7">
        <w:rPr>
          <w:b/>
          <w:bCs/>
          <w:lang w:val="en-GB"/>
        </w:rPr>
        <w:t xml:space="preserve">assist </w:t>
      </w:r>
      <w:r w:rsidR="00C200CB" w:rsidRPr="00E253C8">
        <w:rPr>
          <w:b/>
          <w:bCs/>
          <w:lang w:val="en-GB"/>
        </w:rPr>
        <w:t>migrants and forcibly displaced persons and guarantee the protection and exercise of their human rights.</w:t>
      </w:r>
    </w:p>
    <w:p w14:paraId="177070CE" w14:textId="5B246368" w:rsidR="009C640C" w:rsidRPr="00E253C8" w:rsidRDefault="00B56203" w:rsidP="00922B42">
      <w:pPr>
        <w:pStyle w:val="SingleTxtG"/>
        <w:ind w:firstLine="567"/>
        <w:rPr>
          <w:rStyle w:val="eop"/>
          <w:b/>
          <w:bCs/>
          <w:lang w:val="en-GB"/>
        </w:rPr>
      </w:pPr>
      <w:r w:rsidRPr="00E253C8">
        <w:rPr>
          <w:rStyle w:val="eop"/>
          <w:b/>
          <w:bCs/>
          <w:lang w:val="en-GB"/>
        </w:rPr>
        <w:t>t)</w:t>
      </w:r>
      <w:r w:rsidRPr="00E253C8">
        <w:rPr>
          <w:rStyle w:val="eop"/>
          <w:b/>
          <w:bCs/>
          <w:lang w:val="en-GB"/>
        </w:rPr>
        <w:tab/>
      </w:r>
      <w:r w:rsidR="00DF086F" w:rsidRPr="00E253C8">
        <w:rPr>
          <w:b/>
          <w:bCs/>
          <w:lang w:val="en-GB"/>
        </w:rPr>
        <w:t>Adopt the policies and legal reforms necessary to guarantee the human rights of women, in particular to a life free of violence and to sexual and reproductive health</w:t>
      </w:r>
      <w:r w:rsidR="009C640C" w:rsidRPr="00E253C8">
        <w:rPr>
          <w:rStyle w:val="eop"/>
          <w:b/>
          <w:bCs/>
          <w:lang w:val="en-GB"/>
        </w:rPr>
        <w:t xml:space="preserve">. </w:t>
      </w:r>
    </w:p>
    <w:p w14:paraId="4FA45019" w14:textId="043AF365" w:rsidR="009C640C" w:rsidRPr="00E253C8" w:rsidRDefault="00B56203" w:rsidP="001B3BF1">
      <w:pPr>
        <w:pStyle w:val="SingleTxtG"/>
        <w:ind w:firstLine="567"/>
        <w:rPr>
          <w:b/>
          <w:bCs/>
          <w:lang w:val="en-GB"/>
        </w:rPr>
      </w:pPr>
      <w:r w:rsidRPr="00E253C8">
        <w:rPr>
          <w:rStyle w:val="eop"/>
          <w:b/>
          <w:bCs/>
          <w:lang w:val="en-GB"/>
        </w:rPr>
        <w:t>u)</w:t>
      </w:r>
      <w:r w:rsidRPr="00E253C8">
        <w:rPr>
          <w:rStyle w:val="eop"/>
          <w:b/>
          <w:bCs/>
          <w:lang w:val="en-GB"/>
        </w:rPr>
        <w:tab/>
      </w:r>
      <w:r w:rsidR="00C66270" w:rsidRPr="00E253C8">
        <w:rPr>
          <w:b/>
          <w:bCs/>
          <w:lang w:val="en-GB"/>
        </w:rPr>
        <w:t xml:space="preserve">Adopt comprehensive anti-discrimination legislation against LGBTI people that covers all prohibited grounds of discrimination. Concurrently, review current regulations and repeal discriminatory provisions, including the Law of the National Registry of Persons and its </w:t>
      </w:r>
      <w:r w:rsidR="00566571" w:rsidRPr="00E253C8">
        <w:rPr>
          <w:b/>
          <w:bCs/>
          <w:lang w:val="en-GB"/>
        </w:rPr>
        <w:t>bylaws</w:t>
      </w:r>
      <w:r w:rsidR="00C66270" w:rsidRPr="00E253C8">
        <w:rPr>
          <w:b/>
          <w:bCs/>
          <w:lang w:val="en-GB"/>
        </w:rPr>
        <w:t>.</w:t>
      </w:r>
    </w:p>
    <w:p w14:paraId="6DA1B0F0" w14:textId="24BB6ACE" w:rsidR="009C640C" w:rsidRPr="00E253C8" w:rsidRDefault="00B56203" w:rsidP="001B3BF1">
      <w:pPr>
        <w:pStyle w:val="SingleTxtG"/>
        <w:ind w:firstLine="567"/>
        <w:rPr>
          <w:b/>
          <w:bCs/>
          <w:lang w:val="en-GB"/>
        </w:rPr>
      </w:pPr>
      <w:r w:rsidRPr="00E253C8">
        <w:rPr>
          <w:b/>
          <w:bCs/>
          <w:lang w:val="en-GB"/>
        </w:rPr>
        <w:t>v)</w:t>
      </w:r>
      <w:r w:rsidRPr="00E253C8">
        <w:rPr>
          <w:b/>
          <w:bCs/>
          <w:lang w:val="en-GB"/>
        </w:rPr>
        <w:tab/>
      </w:r>
      <w:r w:rsidR="00DE44B2" w:rsidRPr="00E253C8">
        <w:rPr>
          <w:b/>
          <w:bCs/>
          <w:lang w:val="en-GB"/>
        </w:rPr>
        <w:t>Adopt a Law on Domestic Worker and ratify ILO Convention 189, as well as establish a comprehensive care system as a pillar of welfare and social protection policy</w:t>
      </w:r>
      <w:r w:rsidR="009C640C" w:rsidRPr="00E253C8">
        <w:rPr>
          <w:b/>
          <w:bCs/>
          <w:lang w:val="en-GB"/>
        </w:rPr>
        <w:t xml:space="preserve">. </w:t>
      </w:r>
    </w:p>
    <w:p w14:paraId="7F90208D" w14:textId="0FD0B03F" w:rsidR="00654DA4" w:rsidRPr="004B106A" w:rsidRDefault="00B56203" w:rsidP="00A14B06">
      <w:pPr>
        <w:pStyle w:val="SingleTxtG"/>
        <w:ind w:firstLine="567"/>
        <w:rPr>
          <w:b/>
          <w:bCs/>
          <w:lang w:val="en-GB"/>
        </w:rPr>
      </w:pPr>
      <w:r w:rsidRPr="00E253C8">
        <w:rPr>
          <w:rStyle w:val="eop"/>
          <w:b/>
          <w:bCs/>
          <w:lang w:val="en-GB"/>
        </w:rPr>
        <w:t>w)</w:t>
      </w:r>
      <w:r w:rsidRPr="00E253C8">
        <w:rPr>
          <w:rStyle w:val="eop"/>
          <w:b/>
          <w:bCs/>
          <w:lang w:val="en-GB"/>
        </w:rPr>
        <w:tab/>
      </w:r>
      <w:r w:rsidR="00A14B06" w:rsidRPr="00E253C8">
        <w:rPr>
          <w:b/>
          <w:bCs/>
          <w:lang w:val="en-GB"/>
        </w:rPr>
        <w:t>Adopt the integral reform of Decree No. 160-2005 - Law on Equity and Integral Development for Persons with Disabilities and harmonize it with the Convention on the Rights of Persons with Disabilities.</w:t>
      </w:r>
    </w:p>
    <w:sectPr w:rsidR="00654DA4" w:rsidRPr="004B106A" w:rsidSect="001962C0">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5955" w14:textId="77777777" w:rsidR="00381464" w:rsidRDefault="00381464"/>
  </w:endnote>
  <w:endnote w:type="continuationSeparator" w:id="0">
    <w:p w14:paraId="39C66C8E" w14:textId="77777777" w:rsidR="00381464" w:rsidRDefault="00381464"/>
  </w:endnote>
  <w:endnote w:type="continuationNotice" w:id="1">
    <w:p w14:paraId="721BBC5E" w14:textId="77777777" w:rsidR="00381464" w:rsidRDefault="0038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venir">
    <w:altName w:val="Calibri"/>
    <w:charset w:val="4D"/>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AF52" w14:textId="55214CAB" w:rsidR="00683487" w:rsidRPr="001962C0" w:rsidRDefault="00683487" w:rsidP="001962C0">
    <w:pPr>
      <w:pStyle w:val="Footer"/>
      <w:tabs>
        <w:tab w:val="right" w:pos="9638"/>
      </w:tabs>
    </w:pPr>
    <w:r w:rsidRPr="001962C0">
      <w:rPr>
        <w:b/>
        <w:sz w:val="18"/>
      </w:rPr>
      <w:fldChar w:fldCharType="begin"/>
    </w:r>
    <w:r w:rsidRPr="001962C0">
      <w:rPr>
        <w:b/>
        <w:sz w:val="18"/>
      </w:rPr>
      <w:instrText xml:space="preserve"> PAGE  \* MERGEFORMAT </w:instrText>
    </w:r>
    <w:r w:rsidRPr="001962C0">
      <w:rPr>
        <w:b/>
        <w:sz w:val="18"/>
      </w:rPr>
      <w:fldChar w:fldCharType="separate"/>
    </w:r>
    <w:r w:rsidR="00D809E4">
      <w:rPr>
        <w:b/>
        <w:noProof/>
        <w:sz w:val="18"/>
      </w:rPr>
      <w:t>14</w:t>
    </w:r>
    <w:r w:rsidRPr="001962C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89A3" w14:textId="4D489CB6" w:rsidR="00683487" w:rsidRPr="001962C0" w:rsidRDefault="00683487" w:rsidP="001962C0">
    <w:pPr>
      <w:pStyle w:val="Footer"/>
      <w:tabs>
        <w:tab w:val="right" w:pos="9638"/>
      </w:tabs>
      <w:rPr>
        <w:b/>
        <w:sz w:val="18"/>
      </w:rPr>
    </w:pPr>
    <w:r>
      <w:tab/>
    </w:r>
    <w:r w:rsidRPr="001962C0">
      <w:rPr>
        <w:b/>
        <w:sz w:val="18"/>
      </w:rPr>
      <w:fldChar w:fldCharType="begin"/>
    </w:r>
    <w:r w:rsidRPr="001962C0">
      <w:rPr>
        <w:b/>
        <w:sz w:val="18"/>
      </w:rPr>
      <w:instrText xml:space="preserve"> PAGE  \* MERGEFORMAT </w:instrText>
    </w:r>
    <w:r w:rsidRPr="001962C0">
      <w:rPr>
        <w:b/>
        <w:sz w:val="18"/>
      </w:rPr>
      <w:fldChar w:fldCharType="separate"/>
    </w:r>
    <w:r w:rsidR="00D809E4">
      <w:rPr>
        <w:b/>
        <w:noProof/>
        <w:sz w:val="18"/>
      </w:rPr>
      <w:t>15</w:t>
    </w:r>
    <w:r w:rsidRPr="001962C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297A" w14:textId="21DC9F5B" w:rsidR="00683487" w:rsidRPr="001962C0" w:rsidRDefault="00683487" w:rsidP="00542574">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7B5E" w14:textId="77777777" w:rsidR="00381464" w:rsidRPr="000B175B" w:rsidRDefault="00381464" w:rsidP="000B175B">
      <w:pPr>
        <w:tabs>
          <w:tab w:val="right" w:pos="2155"/>
        </w:tabs>
        <w:spacing w:after="80"/>
        <w:ind w:left="680"/>
        <w:rPr>
          <w:u w:val="single"/>
        </w:rPr>
      </w:pPr>
      <w:r>
        <w:rPr>
          <w:u w:val="single"/>
        </w:rPr>
        <w:tab/>
      </w:r>
    </w:p>
  </w:footnote>
  <w:footnote w:type="continuationSeparator" w:id="0">
    <w:p w14:paraId="6BE43EBD" w14:textId="77777777" w:rsidR="00381464" w:rsidRPr="00FC68B7" w:rsidRDefault="00381464" w:rsidP="00FC68B7">
      <w:pPr>
        <w:tabs>
          <w:tab w:val="left" w:pos="2155"/>
        </w:tabs>
        <w:spacing w:after="80"/>
        <w:ind w:left="680"/>
        <w:rPr>
          <w:u w:val="single"/>
        </w:rPr>
      </w:pPr>
      <w:r>
        <w:rPr>
          <w:u w:val="single"/>
        </w:rPr>
        <w:tab/>
      </w:r>
    </w:p>
  </w:footnote>
  <w:footnote w:type="continuationNotice" w:id="1">
    <w:p w14:paraId="108BFF2F" w14:textId="77777777" w:rsidR="00381464" w:rsidRDefault="00381464"/>
  </w:footnote>
  <w:footnote w:id="2">
    <w:p w14:paraId="2198735B" w14:textId="77777777" w:rsidR="00E35A59" w:rsidRPr="007C4E03" w:rsidRDefault="00E35A59" w:rsidP="00E35A59">
      <w:pPr>
        <w:pStyle w:val="FootnoteText"/>
        <w:rPr>
          <w:sz w:val="20"/>
          <w:lang w:val="en-US"/>
        </w:rPr>
      </w:pPr>
      <w:r>
        <w:rPr>
          <w:rStyle w:val="FootnoteReference"/>
        </w:rPr>
        <w:tab/>
      </w:r>
      <w:r w:rsidRPr="00FC1E74">
        <w:rPr>
          <w:rStyle w:val="FootnoteReference"/>
          <w:sz w:val="20"/>
          <w:vertAlign w:val="baseline"/>
        </w:rPr>
        <w:t>*</w:t>
      </w:r>
      <w:r w:rsidRPr="00FC1E74">
        <w:rPr>
          <w:rStyle w:val="FootnoteReference"/>
          <w:sz w:val="20"/>
          <w:vertAlign w:val="baseline"/>
        </w:rPr>
        <w:tab/>
      </w:r>
      <w:r w:rsidRPr="007C4E03">
        <w:rPr>
          <w:sz w:val="20"/>
        </w:rPr>
        <w:t>The summary of the report is circulated in all official languages. The report itself, which is annexed to the summary, is circulated in the language of submission and in English only.</w:t>
      </w:r>
      <w:r w:rsidRPr="007C4E03" w:rsidDel="007C4E03">
        <w:rPr>
          <w:rStyle w:val="FootnoteReference"/>
          <w:sz w:val="20"/>
          <w:vertAlign w:val="baseline"/>
        </w:rPr>
        <w:t xml:space="preserve"> </w:t>
      </w:r>
    </w:p>
  </w:footnote>
  <w:footnote w:id="3">
    <w:p w14:paraId="708E3E0D" w14:textId="77777777" w:rsidR="00E35A59" w:rsidRPr="00FC1E74" w:rsidRDefault="00E35A59" w:rsidP="00E35A59">
      <w:pPr>
        <w:pStyle w:val="FootnoteText"/>
        <w:rPr>
          <w:lang w:val="en-US"/>
        </w:rPr>
      </w:pPr>
      <w:r w:rsidRPr="007C4E03">
        <w:rPr>
          <w:rStyle w:val="FootnoteReference"/>
          <w:sz w:val="20"/>
        </w:rPr>
        <w:tab/>
      </w:r>
      <w:r w:rsidRPr="007C4E03">
        <w:rPr>
          <w:rStyle w:val="FootnoteReference"/>
          <w:sz w:val="20"/>
          <w:vertAlign w:val="baseline"/>
        </w:rPr>
        <w:t>**</w:t>
      </w:r>
      <w:r w:rsidRPr="007C4E03">
        <w:rPr>
          <w:rStyle w:val="FootnoteReference"/>
          <w:sz w:val="20"/>
          <w:vertAlign w:val="baseline"/>
        </w:rPr>
        <w:tab/>
      </w:r>
      <w:r w:rsidRPr="007C4E03">
        <w:rPr>
          <w:sz w:val="20"/>
        </w:rPr>
        <w:t>The present report was submitted after the deadline in order to reflect latest developments.</w:t>
      </w:r>
    </w:p>
  </w:footnote>
  <w:footnote w:id="4">
    <w:p w14:paraId="68A670AF" w14:textId="77777777" w:rsidR="003902FA" w:rsidRPr="00C7546A" w:rsidRDefault="003902FA" w:rsidP="003902FA">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r>
      <w:hyperlink r:id="rId1" w:history="1">
        <w:r w:rsidRPr="00C7546A">
          <w:rPr>
            <w:rStyle w:val="Hyperlink"/>
            <w:lang w:val="en-CA"/>
          </w:rPr>
          <w:t>www.sepol.hn/artisistem/images/sepol-images/files/PDF/INFOGRAFICO%20ANUAL(2022).pdf</w:t>
        </w:r>
      </w:hyperlink>
    </w:p>
  </w:footnote>
  <w:footnote w:id="5">
    <w:p w14:paraId="770F8543" w14:textId="77777777" w:rsidR="00F75D8E" w:rsidRPr="00B524EE" w:rsidRDefault="00F75D8E" w:rsidP="00F75D8E">
      <w:pPr>
        <w:pStyle w:val="FootnoteText"/>
        <w:ind w:hanging="141"/>
      </w:pPr>
      <w:r>
        <w:rPr>
          <w:rStyle w:val="FootnoteReference"/>
        </w:rPr>
        <w:footnoteRef/>
      </w:r>
      <w:r w:rsidRPr="00B524EE">
        <w:t xml:space="preserve"> https://oacnudh.hn/oacnudh-llama-a-adoptar-respuestas-integrales-de-combate-a-la-violencia-y-criminalidad-organizada-a-partir-de-un-enfoque-de-derechos-humanos/</w:t>
      </w:r>
    </w:p>
  </w:footnote>
  <w:footnote w:id="6">
    <w:p w14:paraId="2EB3F8F7" w14:textId="299FE9A9" w:rsidR="00C22735" w:rsidRPr="00C7546A" w:rsidRDefault="00C22735" w:rsidP="00C22735">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w:t>
      </w:r>
      <w:r w:rsidR="007F200A">
        <w:rPr>
          <w:lang w:val="en-CA"/>
        </w:rPr>
        <w:t xml:space="preserve">Legislative Decrees </w:t>
      </w:r>
      <w:r w:rsidRPr="00C7546A">
        <w:rPr>
          <w:lang w:val="en-CA"/>
        </w:rPr>
        <w:t>32-2022, 33-2022.</w:t>
      </w:r>
    </w:p>
  </w:footnote>
  <w:footnote w:id="7">
    <w:p w14:paraId="3C7EF5C5" w14:textId="7600F9B0" w:rsidR="00683487" w:rsidRPr="00C7546A" w:rsidRDefault="00683487" w:rsidP="00386C76">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w:t>
      </w:r>
      <w:bookmarkStart w:id="1" w:name="_Hlk124784279"/>
      <w:r w:rsidRPr="00C7546A">
        <w:rPr>
          <w:lang w:val="en-CA"/>
        </w:rPr>
        <w:t>https://www.ine.gob.hn/V3/imag-doc/2022/07/Boletin-Dia-de-la-poblacion-11-de-julio-1.pdf</w:t>
      </w:r>
    </w:p>
    <w:bookmarkEnd w:id="1"/>
  </w:footnote>
  <w:footnote w:id="8">
    <w:p w14:paraId="058C2F5E" w14:textId="32D906CF" w:rsidR="00683487" w:rsidRPr="00C7546A" w:rsidRDefault="00683487" w:rsidP="003F460F">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w:t>
      </w:r>
      <w:r w:rsidR="007F200A">
        <w:rPr>
          <w:lang w:val="en-CA"/>
        </w:rPr>
        <w:t xml:space="preserve">Legislative Decree </w:t>
      </w:r>
      <w:r w:rsidRPr="00C7546A">
        <w:rPr>
          <w:lang w:val="en-CA"/>
        </w:rPr>
        <w:t>no. 8-2022</w:t>
      </w:r>
    </w:p>
  </w:footnote>
  <w:footnote w:id="9">
    <w:p w14:paraId="12B6F824" w14:textId="77777777" w:rsidR="00AC1E06" w:rsidRPr="00C7546A" w:rsidRDefault="00AC1E06" w:rsidP="00AC1E06">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https://reliefweb.int/report/honduras/honduras-tormenta-tropical-julia-informe-de-situacion-no-01-12-de-octubre-de-2022</w:t>
      </w:r>
    </w:p>
  </w:footnote>
  <w:footnote w:id="10">
    <w:p w14:paraId="2278E988" w14:textId="22E2F173" w:rsidR="009874F5" w:rsidRPr="00DE72B2" w:rsidRDefault="009874F5" w:rsidP="009874F5">
      <w:pPr>
        <w:pStyle w:val="FootnoteText"/>
        <w:widowControl w:val="0"/>
        <w:tabs>
          <w:tab w:val="clear" w:pos="1021"/>
          <w:tab w:val="right" w:pos="1020"/>
        </w:tabs>
        <w:rPr>
          <w:lang w:val="es-ES"/>
        </w:rPr>
      </w:pPr>
      <w:r w:rsidRPr="00C7546A">
        <w:rPr>
          <w:lang w:val="en-CA"/>
        </w:rPr>
        <w:tab/>
      </w:r>
      <w:r w:rsidRPr="00C7546A">
        <w:rPr>
          <w:rStyle w:val="FootnoteReference"/>
          <w:lang w:val="en-CA"/>
        </w:rPr>
        <w:footnoteRef/>
      </w:r>
      <w:r w:rsidRPr="00DE72B2">
        <w:rPr>
          <w:lang w:val="es-ES"/>
        </w:rPr>
        <w:tab/>
        <w:t xml:space="preserve">A/HRC/49/21, </w:t>
      </w:r>
      <w:r w:rsidR="00057340" w:rsidRPr="00DE72B2">
        <w:rPr>
          <w:lang w:val="es-ES"/>
        </w:rPr>
        <w:t>par.</w:t>
      </w:r>
      <w:r w:rsidRPr="00DE72B2">
        <w:rPr>
          <w:lang w:val="es-ES"/>
        </w:rPr>
        <w:t xml:space="preserve"> 8, 35, 40.</w:t>
      </w:r>
    </w:p>
  </w:footnote>
  <w:footnote w:id="11">
    <w:p w14:paraId="10E584CC" w14:textId="151F280A" w:rsidR="003E11AE" w:rsidRPr="00853481" w:rsidRDefault="003E11AE" w:rsidP="003E11AE">
      <w:pPr>
        <w:pStyle w:val="FootnoteText"/>
        <w:widowControl w:val="0"/>
        <w:tabs>
          <w:tab w:val="clear" w:pos="1021"/>
          <w:tab w:val="right" w:pos="1020"/>
        </w:tabs>
        <w:rPr>
          <w:lang w:val="es-ES"/>
        </w:rPr>
      </w:pPr>
      <w:r w:rsidRPr="00DE72B2">
        <w:rPr>
          <w:lang w:val="es-ES"/>
        </w:rPr>
        <w:tab/>
      </w:r>
      <w:r w:rsidRPr="00C7546A">
        <w:rPr>
          <w:rStyle w:val="FootnoteReference"/>
          <w:lang w:val="en-CA"/>
        </w:rPr>
        <w:footnoteRef/>
      </w:r>
      <w:r w:rsidRPr="00853481">
        <w:rPr>
          <w:lang w:val="es-ES"/>
        </w:rPr>
        <w:tab/>
      </w:r>
      <w:r w:rsidR="000E40CF" w:rsidRPr="00853481">
        <w:rPr>
          <w:lang w:val="es-ES"/>
        </w:rPr>
        <w:t>Case</w:t>
      </w:r>
      <w:r w:rsidR="00A926A0" w:rsidRPr="00853481">
        <w:rPr>
          <w:lang w:val="es-ES"/>
        </w:rPr>
        <w:t>s</w:t>
      </w:r>
      <w:r w:rsidRPr="00853481">
        <w:rPr>
          <w:i/>
          <w:iCs/>
          <w:lang w:val="es-ES"/>
        </w:rPr>
        <w:t xml:space="preserve"> </w:t>
      </w:r>
      <w:r w:rsidR="00A14ECF" w:rsidRPr="00853481">
        <w:rPr>
          <w:i/>
          <w:iCs/>
          <w:lang w:val="es-ES"/>
        </w:rPr>
        <w:t xml:space="preserve">Comunidad Garífuna Triunfo de la Cruz </w:t>
      </w:r>
      <w:r w:rsidR="00A14ECF" w:rsidRPr="00853481">
        <w:rPr>
          <w:lang w:val="es-ES"/>
        </w:rPr>
        <w:t>and</w:t>
      </w:r>
      <w:r w:rsidR="00A14ECF" w:rsidRPr="00853481">
        <w:rPr>
          <w:i/>
          <w:iCs/>
          <w:lang w:val="es-ES"/>
        </w:rPr>
        <w:t xml:space="preserve"> Comunidad Garífuna de Punta Piedra, </w:t>
      </w:r>
      <w:r w:rsidR="00C7546A" w:rsidRPr="00853481">
        <w:rPr>
          <w:lang w:val="es-ES"/>
        </w:rPr>
        <w:t>Sentences of</w:t>
      </w:r>
      <w:r w:rsidR="00C7546A" w:rsidRPr="00853481">
        <w:rPr>
          <w:i/>
          <w:iCs/>
          <w:lang w:val="es-ES"/>
        </w:rPr>
        <w:t xml:space="preserve"> </w:t>
      </w:r>
      <w:r w:rsidR="00C7546A" w:rsidRPr="00853481">
        <w:rPr>
          <w:lang w:val="es-ES"/>
        </w:rPr>
        <w:t>October 2015</w:t>
      </w:r>
    </w:p>
  </w:footnote>
  <w:footnote w:id="12">
    <w:p w14:paraId="1B5F1ADB" w14:textId="5327509D" w:rsidR="00912FDE" w:rsidRPr="00C7546A" w:rsidRDefault="00912FDE" w:rsidP="00912FDE">
      <w:pPr>
        <w:pStyle w:val="FootnoteText"/>
        <w:widowControl w:val="0"/>
        <w:tabs>
          <w:tab w:val="clear" w:pos="1021"/>
          <w:tab w:val="right" w:pos="1020"/>
        </w:tabs>
        <w:rPr>
          <w:lang w:val="en-CA"/>
        </w:rPr>
      </w:pPr>
      <w:r w:rsidRPr="00853481">
        <w:rPr>
          <w:lang w:val="es-ES"/>
        </w:rPr>
        <w:tab/>
      </w:r>
      <w:r w:rsidRPr="00C7546A">
        <w:rPr>
          <w:rStyle w:val="FootnoteReference"/>
          <w:lang w:val="en-CA"/>
        </w:rPr>
        <w:footnoteRef/>
      </w:r>
      <w:r w:rsidRPr="00C7546A">
        <w:rPr>
          <w:lang w:val="en-CA"/>
        </w:rPr>
        <w:tab/>
      </w:r>
      <w:r w:rsidR="000E40CF" w:rsidRPr="00C7546A">
        <w:rPr>
          <w:lang w:val="en-CA"/>
        </w:rPr>
        <w:t xml:space="preserve">Information provided by </w:t>
      </w:r>
      <w:r w:rsidRPr="00C7546A">
        <w:rPr>
          <w:lang w:val="en-CA"/>
        </w:rPr>
        <w:t xml:space="preserve">INHGEOMIN, </w:t>
      </w:r>
      <w:r w:rsidR="000E40CF" w:rsidRPr="00C7546A">
        <w:rPr>
          <w:lang w:val="en-CA"/>
        </w:rPr>
        <w:t xml:space="preserve">Letter dated </w:t>
      </w:r>
      <w:r w:rsidRPr="00C7546A">
        <w:rPr>
          <w:lang w:val="en-CA"/>
        </w:rPr>
        <w:t xml:space="preserve">30 </w:t>
      </w:r>
      <w:r w:rsidR="000E40CF" w:rsidRPr="00C7546A">
        <w:rPr>
          <w:lang w:val="en-CA"/>
        </w:rPr>
        <w:t xml:space="preserve">November </w:t>
      </w:r>
      <w:r w:rsidRPr="00C7546A">
        <w:rPr>
          <w:lang w:val="en-CA"/>
        </w:rPr>
        <w:t>2022</w:t>
      </w:r>
      <w:r w:rsidRPr="00C7546A">
        <w:rPr>
          <w:i/>
          <w:iCs/>
          <w:lang w:val="en-CA"/>
        </w:rPr>
        <w:t>.</w:t>
      </w:r>
    </w:p>
  </w:footnote>
  <w:footnote w:id="13">
    <w:p w14:paraId="26E9DE6B" w14:textId="38A52109" w:rsidR="00737BBF" w:rsidRPr="00853481" w:rsidRDefault="00737BBF" w:rsidP="00737BBF">
      <w:pPr>
        <w:pStyle w:val="FootnoteText"/>
        <w:widowControl w:val="0"/>
        <w:tabs>
          <w:tab w:val="clear" w:pos="1021"/>
          <w:tab w:val="right" w:pos="1020"/>
        </w:tabs>
        <w:rPr>
          <w:lang w:val="en-US"/>
        </w:rPr>
      </w:pPr>
      <w:r w:rsidRPr="00853481">
        <w:rPr>
          <w:lang w:val="en-US"/>
        </w:rPr>
        <w:tab/>
      </w:r>
      <w:r w:rsidRPr="00FC1E74">
        <w:rPr>
          <w:rStyle w:val="FootnoteReference"/>
        </w:rPr>
        <w:footnoteRef/>
      </w:r>
      <w:r w:rsidRPr="00853481">
        <w:rPr>
          <w:lang w:val="en-US"/>
        </w:rPr>
        <w:tab/>
        <w:t>Case file number TSTC-20-2021</w:t>
      </w:r>
    </w:p>
  </w:footnote>
  <w:footnote w:id="14">
    <w:p w14:paraId="2428D9C0" w14:textId="29A5CC15" w:rsidR="004C7E2D" w:rsidRPr="00C7546A" w:rsidRDefault="004C7E2D" w:rsidP="004C7E2D">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A/HRC/49/21, </w:t>
      </w:r>
      <w:r w:rsidR="00057340" w:rsidRPr="00C7546A">
        <w:rPr>
          <w:lang w:val="en-CA"/>
        </w:rPr>
        <w:t>par.</w:t>
      </w:r>
      <w:r w:rsidRPr="00C7546A">
        <w:rPr>
          <w:lang w:val="en-CA"/>
        </w:rPr>
        <w:t xml:space="preserve"> 19. </w:t>
      </w:r>
    </w:p>
  </w:footnote>
  <w:footnote w:id="15">
    <w:p w14:paraId="718D8C6B" w14:textId="77777777" w:rsidR="004C7E2D" w:rsidRPr="008E501B" w:rsidRDefault="004C7E2D" w:rsidP="004C7E2D">
      <w:pPr>
        <w:pStyle w:val="FootnoteText"/>
        <w:rPr>
          <w:lang w:val="it-IT"/>
        </w:rPr>
      </w:pPr>
      <w:r w:rsidRPr="00C7546A">
        <w:rPr>
          <w:lang w:val="en-CA"/>
        </w:rPr>
        <w:tab/>
      </w:r>
      <w:r w:rsidRPr="00C7546A">
        <w:rPr>
          <w:rStyle w:val="FootnoteReference"/>
          <w:lang w:val="en-CA"/>
        </w:rPr>
        <w:footnoteRef/>
      </w:r>
      <w:r w:rsidRPr="008E501B">
        <w:rPr>
          <w:lang w:val="it-IT"/>
        </w:rPr>
        <w:t xml:space="preserve"> </w:t>
      </w:r>
      <w:r w:rsidRPr="008E501B">
        <w:rPr>
          <w:lang w:val="it-IT"/>
        </w:rPr>
        <w:tab/>
        <w:t>A/HRC/WGAD/2020/85</w:t>
      </w:r>
    </w:p>
  </w:footnote>
  <w:footnote w:id="16">
    <w:p w14:paraId="0CE9E43B" w14:textId="7CB8C453" w:rsidR="00BA38B1" w:rsidRPr="008E501B" w:rsidRDefault="00BA38B1" w:rsidP="00BA38B1">
      <w:pPr>
        <w:pStyle w:val="FootnoteText"/>
        <w:widowControl w:val="0"/>
        <w:tabs>
          <w:tab w:val="clear" w:pos="1021"/>
          <w:tab w:val="right" w:pos="1020"/>
        </w:tabs>
        <w:rPr>
          <w:lang w:val="it-IT"/>
        </w:rPr>
      </w:pPr>
      <w:r w:rsidRPr="008E501B">
        <w:rPr>
          <w:lang w:val="it-IT"/>
        </w:rPr>
        <w:tab/>
      </w:r>
      <w:r w:rsidRPr="00DE72B2">
        <w:rPr>
          <w:rStyle w:val="FootnoteReference"/>
        </w:rPr>
        <w:footnoteRef/>
      </w:r>
      <w:r w:rsidRPr="008E501B">
        <w:rPr>
          <w:lang w:val="it-IT"/>
        </w:rPr>
        <w:tab/>
      </w:r>
      <w:r w:rsidR="00DE72B2" w:rsidRPr="008E501B">
        <w:rPr>
          <w:lang w:val="it-IT"/>
        </w:rPr>
        <w:t>Amparo</w:t>
      </w:r>
      <w:r w:rsidRPr="008E501B">
        <w:rPr>
          <w:lang w:val="it-IT"/>
        </w:rPr>
        <w:t xml:space="preserve"> SCO-0919-2020</w:t>
      </w:r>
    </w:p>
  </w:footnote>
  <w:footnote w:id="17">
    <w:p w14:paraId="59402FD6" w14:textId="51076E3C" w:rsidR="00981A2F" w:rsidRPr="001D635A" w:rsidRDefault="00981A2F" w:rsidP="00981A2F">
      <w:pPr>
        <w:pStyle w:val="FootnoteText"/>
        <w:widowControl w:val="0"/>
        <w:tabs>
          <w:tab w:val="clear" w:pos="1021"/>
          <w:tab w:val="right" w:pos="1020"/>
        </w:tabs>
        <w:rPr>
          <w:lang w:val="fr-CH"/>
        </w:rPr>
      </w:pPr>
      <w:r w:rsidRPr="008E501B">
        <w:rPr>
          <w:lang w:val="it-IT"/>
        </w:rPr>
        <w:tab/>
      </w:r>
      <w:r w:rsidRPr="00C7546A">
        <w:rPr>
          <w:rStyle w:val="FootnoteReference"/>
          <w:lang w:val="en-CA"/>
        </w:rPr>
        <w:footnoteRef/>
      </w:r>
      <w:r w:rsidRPr="001D635A">
        <w:rPr>
          <w:lang w:val="fr-CH"/>
        </w:rPr>
        <w:tab/>
        <w:t xml:space="preserve">A/HRC/46/75, </w:t>
      </w:r>
      <w:r w:rsidR="00057340" w:rsidRPr="001D635A">
        <w:rPr>
          <w:lang w:val="fr-CH"/>
        </w:rPr>
        <w:t>par.</w:t>
      </w:r>
      <w:r w:rsidRPr="001D635A">
        <w:rPr>
          <w:lang w:val="fr-CH"/>
        </w:rPr>
        <w:t xml:space="preserve"> </w:t>
      </w:r>
      <w:proofErr w:type="gramStart"/>
      <w:r w:rsidRPr="001D635A">
        <w:rPr>
          <w:lang w:val="fr-CH"/>
        </w:rPr>
        <w:t>10.;</w:t>
      </w:r>
      <w:proofErr w:type="gramEnd"/>
      <w:r w:rsidRPr="001D635A">
        <w:rPr>
          <w:lang w:val="fr-CH"/>
        </w:rPr>
        <w:t xml:space="preserve"> A/HRC/49/21, </w:t>
      </w:r>
      <w:r w:rsidR="00057340" w:rsidRPr="001D635A">
        <w:rPr>
          <w:lang w:val="fr-CH"/>
        </w:rPr>
        <w:t>par.</w:t>
      </w:r>
      <w:r w:rsidRPr="001D635A">
        <w:rPr>
          <w:lang w:val="fr-CH"/>
        </w:rPr>
        <w:t xml:space="preserve"> 20</w:t>
      </w:r>
    </w:p>
  </w:footnote>
  <w:footnote w:id="18">
    <w:p w14:paraId="03D4B06F" w14:textId="5C8B3D93" w:rsidR="00263956" w:rsidRPr="001D635A" w:rsidRDefault="00263956" w:rsidP="00263956">
      <w:pPr>
        <w:pStyle w:val="FootnoteText"/>
        <w:widowControl w:val="0"/>
        <w:tabs>
          <w:tab w:val="clear" w:pos="1021"/>
          <w:tab w:val="right" w:pos="1020"/>
        </w:tabs>
        <w:rPr>
          <w:lang w:val="fr-CH"/>
        </w:rPr>
      </w:pPr>
      <w:r w:rsidRPr="001D635A">
        <w:rPr>
          <w:lang w:val="fr-CH"/>
        </w:rPr>
        <w:tab/>
      </w:r>
      <w:r w:rsidRPr="00C7546A">
        <w:rPr>
          <w:rStyle w:val="FootnoteReference"/>
          <w:lang w:val="en-CA"/>
        </w:rPr>
        <w:footnoteRef/>
      </w:r>
      <w:r w:rsidRPr="001D635A">
        <w:rPr>
          <w:lang w:val="fr-CH"/>
        </w:rPr>
        <w:tab/>
        <w:t xml:space="preserve">A/HRC/49/21, </w:t>
      </w:r>
      <w:r w:rsidR="00057340" w:rsidRPr="001D635A">
        <w:rPr>
          <w:lang w:val="fr-CH"/>
        </w:rPr>
        <w:t>par.</w:t>
      </w:r>
      <w:r w:rsidRPr="001D635A">
        <w:rPr>
          <w:lang w:val="fr-CH"/>
        </w:rPr>
        <w:t xml:space="preserve"> 27</w:t>
      </w:r>
    </w:p>
  </w:footnote>
  <w:footnote w:id="19">
    <w:p w14:paraId="26F42DC7" w14:textId="209FCEDD" w:rsidR="007C5053" w:rsidRPr="001D635A" w:rsidRDefault="007C5053" w:rsidP="007C5053">
      <w:pPr>
        <w:pStyle w:val="FootnoteText"/>
        <w:widowControl w:val="0"/>
        <w:tabs>
          <w:tab w:val="clear" w:pos="1021"/>
          <w:tab w:val="right" w:pos="1020"/>
        </w:tabs>
        <w:rPr>
          <w:lang w:val="fr-CH"/>
        </w:rPr>
      </w:pPr>
      <w:r w:rsidRPr="001D635A">
        <w:rPr>
          <w:lang w:val="fr-CH"/>
        </w:rPr>
        <w:tab/>
      </w:r>
      <w:r w:rsidRPr="00C7546A">
        <w:rPr>
          <w:rStyle w:val="FootnoteReference"/>
          <w:lang w:val="en-CA"/>
        </w:rPr>
        <w:footnoteRef/>
      </w:r>
      <w:r w:rsidRPr="001D635A">
        <w:rPr>
          <w:lang w:val="fr-CH"/>
        </w:rPr>
        <w:tab/>
      </w:r>
      <w:r w:rsidRPr="001D635A">
        <w:rPr>
          <w:i/>
          <w:iCs/>
          <w:lang w:val="fr-CH"/>
        </w:rPr>
        <w:t>Ibid</w:t>
      </w:r>
      <w:r w:rsidRPr="001D635A">
        <w:rPr>
          <w:lang w:val="fr-CH"/>
        </w:rPr>
        <w:t xml:space="preserve">., </w:t>
      </w:r>
      <w:r w:rsidR="00057340" w:rsidRPr="001D635A">
        <w:rPr>
          <w:lang w:val="fr-CH"/>
        </w:rPr>
        <w:t>par.</w:t>
      </w:r>
      <w:r w:rsidRPr="001D635A">
        <w:rPr>
          <w:lang w:val="fr-CH"/>
        </w:rPr>
        <w:t xml:space="preserve"> 26</w:t>
      </w:r>
    </w:p>
  </w:footnote>
  <w:footnote w:id="20">
    <w:p w14:paraId="52B9C69A" w14:textId="29962D32" w:rsidR="00076692" w:rsidRPr="00C7546A" w:rsidRDefault="00076692" w:rsidP="00076692">
      <w:pPr>
        <w:pStyle w:val="FootnoteText"/>
        <w:widowControl w:val="0"/>
        <w:tabs>
          <w:tab w:val="clear" w:pos="1021"/>
          <w:tab w:val="right" w:pos="1020"/>
        </w:tabs>
        <w:rPr>
          <w:lang w:val="en-CA"/>
        </w:rPr>
      </w:pPr>
      <w:r w:rsidRPr="001D635A">
        <w:rPr>
          <w:lang w:val="fr-CH"/>
        </w:rPr>
        <w:tab/>
      </w:r>
      <w:r w:rsidRPr="00C7546A">
        <w:rPr>
          <w:rStyle w:val="FootnoteReference"/>
          <w:lang w:val="en-CA"/>
        </w:rPr>
        <w:footnoteRef/>
      </w:r>
      <w:r w:rsidRPr="00C7546A">
        <w:rPr>
          <w:lang w:val="en-CA"/>
        </w:rPr>
        <w:tab/>
      </w:r>
      <w:r w:rsidR="0036581A" w:rsidRPr="00C7546A">
        <w:rPr>
          <w:lang w:val="en-CA"/>
        </w:rPr>
        <w:t>Case</w:t>
      </w:r>
      <w:r w:rsidRPr="00C7546A">
        <w:rPr>
          <w:i/>
          <w:iCs/>
          <w:lang w:val="en-CA"/>
        </w:rPr>
        <w:t xml:space="preserve"> Deras García</w:t>
      </w:r>
      <w:r w:rsidRPr="00C7546A">
        <w:rPr>
          <w:lang w:val="en-CA"/>
        </w:rPr>
        <w:t xml:space="preserve">, </w:t>
      </w:r>
      <w:r w:rsidR="00057340" w:rsidRPr="00C7546A">
        <w:rPr>
          <w:lang w:val="en-CA"/>
        </w:rPr>
        <w:t>S</w:t>
      </w:r>
      <w:r w:rsidR="0036581A" w:rsidRPr="00C7546A">
        <w:rPr>
          <w:lang w:val="en-CA"/>
        </w:rPr>
        <w:t xml:space="preserve">entence of </w:t>
      </w:r>
      <w:r w:rsidRPr="00C7546A">
        <w:rPr>
          <w:lang w:val="en-CA"/>
        </w:rPr>
        <w:t xml:space="preserve">25 </w:t>
      </w:r>
      <w:r w:rsidR="0036581A" w:rsidRPr="00C7546A">
        <w:rPr>
          <w:lang w:val="en-CA"/>
        </w:rPr>
        <w:t xml:space="preserve">August </w:t>
      </w:r>
      <w:r w:rsidRPr="00C7546A">
        <w:rPr>
          <w:lang w:val="en-CA"/>
        </w:rPr>
        <w:t xml:space="preserve">2022, </w:t>
      </w:r>
      <w:r w:rsidR="0036581A" w:rsidRPr="00C7546A">
        <w:rPr>
          <w:lang w:val="en-CA"/>
        </w:rPr>
        <w:t>par</w:t>
      </w:r>
      <w:r w:rsidRPr="00C7546A">
        <w:rPr>
          <w:lang w:val="en-CA"/>
        </w:rPr>
        <w:t>. 142</w:t>
      </w:r>
    </w:p>
  </w:footnote>
  <w:footnote w:id="21">
    <w:p w14:paraId="16475D97" w14:textId="77777777" w:rsidR="00335972" w:rsidRPr="00C7546A" w:rsidRDefault="00335972" w:rsidP="00335972">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InfoSegura</w:t>
      </w:r>
    </w:p>
  </w:footnote>
  <w:footnote w:id="22">
    <w:p w14:paraId="75E2F6BC" w14:textId="77777777" w:rsidR="0076268F" w:rsidRPr="00C7546A" w:rsidRDefault="0076268F" w:rsidP="0076268F">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https://www.mp.hn/publicaciones/auto-de-formal-procesamiento-para-cuatro-policias-vinculados-a-muerte-de-aficionado-del-real-espana/</w:t>
      </w:r>
    </w:p>
  </w:footnote>
  <w:footnote w:id="23">
    <w:p w14:paraId="6AFE1AAE" w14:textId="77777777" w:rsidR="006D2ADB" w:rsidRPr="00C7546A" w:rsidRDefault="006D2ADB" w:rsidP="006D2ADB">
      <w:pPr>
        <w:pStyle w:val="FootnoteText"/>
        <w:rPr>
          <w:lang w:val="en-CA"/>
        </w:rPr>
      </w:pPr>
      <w:r w:rsidRPr="00C7546A">
        <w:rPr>
          <w:lang w:val="en-CA"/>
        </w:rPr>
        <w:tab/>
        <w:t xml:space="preserve">                    </w:t>
      </w:r>
      <w:r w:rsidRPr="00C7546A">
        <w:rPr>
          <w:rStyle w:val="FootnoteReference"/>
          <w:lang w:val="en-CA"/>
        </w:rPr>
        <w:footnoteRef/>
      </w:r>
      <w:r w:rsidRPr="00C7546A">
        <w:rPr>
          <w:lang w:val="en-CA"/>
        </w:rPr>
        <w:t xml:space="preserve">   https://www.tsc.gob.hn/web/leyes/PCM-03-2022.pdf</w:t>
      </w:r>
    </w:p>
  </w:footnote>
  <w:footnote w:id="24">
    <w:p w14:paraId="4CAD9FD5" w14:textId="77777777" w:rsidR="00263C34" w:rsidRPr="00C7546A" w:rsidRDefault="00263C34" w:rsidP="00263C34">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w:t>
      </w:r>
      <w:bookmarkStart w:id="2" w:name="_Hlk124785425"/>
      <w:r w:rsidRPr="00C7546A">
        <w:rPr>
          <w:lang w:val="en-CA"/>
        </w:rPr>
        <w:t>https://www.transparency.org/en/cpi/2021</w:t>
      </w:r>
      <w:bookmarkEnd w:id="2"/>
    </w:p>
  </w:footnote>
  <w:footnote w:id="25">
    <w:p w14:paraId="68B259EA" w14:textId="78247597" w:rsidR="00824F1D" w:rsidRPr="00C7546A" w:rsidRDefault="00824F1D" w:rsidP="00824F1D">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w:t>
      </w:r>
      <w:r w:rsidR="0036581A" w:rsidRPr="00C7546A">
        <w:rPr>
          <w:lang w:val="en-CA"/>
        </w:rPr>
        <w:t>Judicial Branch Statistics Unit</w:t>
      </w:r>
    </w:p>
  </w:footnote>
  <w:footnote w:id="26">
    <w:p w14:paraId="244FB04E" w14:textId="77777777" w:rsidR="00263C34" w:rsidRPr="00C7546A" w:rsidRDefault="00263C34" w:rsidP="00263C34">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 https://estadodepais.asjhonduras.com/corrupcion_transparencia</w:t>
      </w:r>
    </w:p>
  </w:footnote>
  <w:footnote w:id="27">
    <w:p w14:paraId="2A93E29D" w14:textId="71000FDB" w:rsidR="00D76B22" w:rsidRPr="00C7546A" w:rsidRDefault="00D76B22" w:rsidP="00D76B22">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 xml:space="preserve">A/HRC/49/21, </w:t>
      </w:r>
      <w:r w:rsidR="0036581A" w:rsidRPr="00C7546A">
        <w:rPr>
          <w:lang w:val="en-CA"/>
        </w:rPr>
        <w:t>par</w:t>
      </w:r>
      <w:r w:rsidRPr="00C7546A">
        <w:rPr>
          <w:lang w:val="en-CA"/>
        </w:rPr>
        <w:t>. 36.</w:t>
      </w:r>
    </w:p>
  </w:footnote>
  <w:footnote w:id="28">
    <w:p w14:paraId="12EAEB0D" w14:textId="33997463" w:rsidR="004D47C8" w:rsidRPr="00C7546A" w:rsidRDefault="004D47C8" w:rsidP="004D47C8">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r>
      <w:r w:rsidR="0036581A" w:rsidRPr="00C7546A">
        <w:rPr>
          <w:lang w:val="en-CA"/>
        </w:rPr>
        <w:t xml:space="preserve">Population and Housing Census </w:t>
      </w:r>
      <w:r w:rsidRPr="00C7546A">
        <w:rPr>
          <w:lang w:val="en-CA"/>
        </w:rPr>
        <w:t>2013.</w:t>
      </w:r>
    </w:p>
  </w:footnote>
  <w:footnote w:id="29">
    <w:p w14:paraId="0802BE32" w14:textId="77777777" w:rsidR="00357A3D" w:rsidRPr="00853481" w:rsidRDefault="00357A3D" w:rsidP="00357A3D">
      <w:pPr>
        <w:pStyle w:val="FootnoteText"/>
        <w:widowControl w:val="0"/>
        <w:tabs>
          <w:tab w:val="clear" w:pos="1021"/>
          <w:tab w:val="right" w:pos="1020"/>
        </w:tabs>
        <w:rPr>
          <w:lang w:val="en-US"/>
        </w:rPr>
      </w:pPr>
      <w:r w:rsidRPr="00853481">
        <w:rPr>
          <w:lang w:val="en-US"/>
        </w:rPr>
        <w:tab/>
      </w:r>
      <w:r w:rsidRPr="00FC1E74">
        <w:rPr>
          <w:rStyle w:val="FootnoteReference"/>
        </w:rPr>
        <w:footnoteRef/>
      </w:r>
      <w:r w:rsidRPr="00853481">
        <w:rPr>
          <w:lang w:val="en-US"/>
        </w:rPr>
        <w:tab/>
        <w:t>https://iudpas.unah.edu.hn/dmsdocument/14049-boletin-infografico-muerte-violenta-mujeres-enero-octubre-2022-preliminares-ed-12</w:t>
      </w:r>
    </w:p>
  </w:footnote>
  <w:footnote w:id="30">
    <w:p w14:paraId="467F62DB" w14:textId="154CFF7E" w:rsidR="002A1205" w:rsidRPr="00C7546A" w:rsidRDefault="002A1205" w:rsidP="002A1205">
      <w:pPr>
        <w:pStyle w:val="FootnoteText"/>
        <w:widowControl w:val="0"/>
        <w:tabs>
          <w:tab w:val="clear" w:pos="1021"/>
          <w:tab w:val="right" w:pos="1020"/>
        </w:tabs>
        <w:rPr>
          <w:lang w:val="en-CA"/>
        </w:rPr>
      </w:pPr>
      <w:r w:rsidRPr="00853481">
        <w:rPr>
          <w:lang w:val="en-US"/>
        </w:rPr>
        <w:tab/>
      </w:r>
      <w:r w:rsidRPr="00C7546A">
        <w:rPr>
          <w:rStyle w:val="FootnoteReference"/>
          <w:lang w:val="en-CA"/>
        </w:rPr>
        <w:footnoteRef/>
      </w:r>
      <w:r w:rsidRPr="00C7546A">
        <w:rPr>
          <w:lang w:val="en-CA"/>
        </w:rPr>
        <w:tab/>
        <w:t xml:space="preserve">CEDAW/C/HND/CO/9, </w:t>
      </w:r>
      <w:r w:rsidR="00B93AF9" w:rsidRPr="00C7546A">
        <w:rPr>
          <w:lang w:val="en-CA"/>
        </w:rPr>
        <w:t>par</w:t>
      </w:r>
      <w:r w:rsidRPr="00C7546A">
        <w:rPr>
          <w:lang w:val="en-CA"/>
        </w:rPr>
        <w:t xml:space="preserve">. 39n </w:t>
      </w:r>
    </w:p>
  </w:footnote>
  <w:footnote w:id="31">
    <w:p w14:paraId="2C8A96C4" w14:textId="4F1B3BE1" w:rsidR="006D3CA0" w:rsidRPr="00C7546A" w:rsidRDefault="006D3CA0" w:rsidP="006D3CA0">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r>
      <w:r w:rsidR="00A14B06" w:rsidRPr="00C7546A">
        <w:rPr>
          <w:lang w:val="en-CA"/>
        </w:rPr>
        <w:t>Decree</w:t>
      </w:r>
      <w:r w:rsidRPr="00C7546A">
        <w:rPr>
          <w:lang w:val="en-CA"/>
        </w:rPr>
        <w:t xml:space="preserve"> 152-87, Art. 84</w:t>
      </w:r>
    </w:p>
  </w:footnote>
  <w:footnote w:id="32">
    <w:p w14:paraId="655F8CFF" w14:textId="74D7BD0B" w:rsidR="006B3D7C" w:rsidRPr="00C7546A" w:rsidRDefault="006B3D7C" w:rsidP="006B3D7C">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r>
      <w:r w:rsidR="00B93AF9" w:rsidRPr="00C7546A">
        <w:rPr>
          <w:lang w:val="en-CA"/>
        </w:rPr>
        <w:t xml:space="preserve">State Attorney’s Office, Letter </w:t>
      </w:r>
      <w:r w:rsidRPr="00C7546A">
        <w:rPr>
          <w:lang w:val="en-CA"/>
        </w:rPr>
        <w:t xml:space="preserve">DGF-2170-2022, 30 </w:t>
      </w:r>
      <w:r w:rsidR="00B93AF9" w:rsidRPr="00C7546A">
        <w:rPr>
          <w:lang w:val="en-CA"/>
        </w:rPr>
        <w:t xml:space="preserve">November </w:t>
      </w:r>
      <w:r w:rsidRPr="00C7546A">
        <w:rPr>
          <w:lang w:val="en-CA"/>
        </w:rPr>
        <w:t>2022</w:t>
      </w:r>
    </w:p>
  </w:footnote>
  <w:footnote w:id="33">
    <w:p w14:paraId="09645D54" w14:textId="77777777" w:rsidR="00977273" w:rsidRPr="00C7546A" w:rsidRDefault="00977273" w:rsidP="00977273">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http://inm.gob.hn/estadisticas.html</w:t>
      </w:r>
    </w:p>
  </w:footnote>
  <w:footnote w:id="34">
    <w:p w14:paraId="771B743A" w14:textId="77777777" w:rsidR="003B1A3C" w:rsidRPr="00C7546A" w:rsidRDefault="003B1A3C" w:rsidP="003B1A3C">
      <w:pPr>
        <w:pStyle w:val="FootnoteText"/>
        <w:widowControl w:val="0"/>
        <w:tabs>
          <w:tab w:val="clear" w:pos="1021"/>
          <w:tab w:val="right" w:pos="1020"/>
        </w:tabs>
        <w:rPr>
          <w:lang w:val="en-CA"/>
        </w:rPr>
      </w:pPr>
      <w:r w:rsidRPr="00C7546A">
        <w:rPr>
          <w:lang w:val="en-CA"/>
        </w:rPr>
        <w:tab/>
      </w:r>
      <w:r w:rsidRPr="00C7546A">
        <w:rPr>
          <w:rStyle w:val="FootnoteReference"/>
          <w:lang w:val="en-CA"/>
        </w:rPr>
        <w:footnoteRef/>
      </w:r>
      <w:r w:rsidRPr="00C7546A">
        <w:rPr>
          <w:lang w:val="en-CA"/>
        </w:rPr>
        <w:tab/>
        <w:t>A/HRC/49/21, A/HRC/46/75, A/HRC/43/3/Add.2, A /HRC/40/3/Add.2, A/HRC/34/3/Add.2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F1B4" w14:textId="64AFDCA4" w:rsidR="00683487" w:rsidRPr="001962C0" w:rsidRDefault="00D809E4">
    <w:pPr>
      <w:pStyle w:val="Header"/>
    </w:pPr>
    <w:r>
      <w:fldChar w:fldCharType="begin"/>
    </w:r>
    <w:r>
      <w:instrText>TITLE  \* MERGEFORMAT</w:instrText>
    </w:r>
    <w:r>
      <w:fldChar w:fldCharType="separate"/>
    </w:r>
    <w:r w:rsidR="00E97DA4">
      <w:t>A/HRC/52/24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DF0E" w14:textId="123FD78C" w:rsidR="00683487" w:rsidRPr="001962C0" w:rsidRDefault="00D809E4" w:rsidP="001962C0">
    <w:pPr>
      <w:pStyle w:val="Header"/>
      <w:jc w:val="right"/>
    </w:pPr>
    <w:r>
      <w:fldChar w:fldCharType="begin"/>
    </w:r>
    <w:r>
      <w:instrText>TITLE  \* MERGEFORMAT</w:instrText>
    </w:r>
    <w:r>
      <w:fldChar w:fldCharType="separate"/>
    </w:r>
    <w:r w:rsidR="00E97DA4">
      <w:t>A/HRC/52/24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B1C51"/>
    <w:multiLevelType w:val="hybridMultilevel"/>
    <w:tmpl w:val="2A2AE76C"/>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6DE185D"/>
    <w:multiLevelType w:val="hybridMultilevel"/>
    <w:tmpl w:val="C4F6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DAA509"/>
    <w:multiLevelType w:val="hybridMultilevel"/>
    <w:tmpl w:val="FFFFFFFF"/>
    <w:lvl w:ilvl="0" w:tplc="948663D2">
      <w:start w:val="1"/>
      <w:numFmt w:val="bullet"/>
      <w:lvlText w:val=""/>
      <w:lvlJc w:val="left"/>
      <w:pPr>
        <w:ind w:left="720" w:hanging="360"/>
      </w:pPr>
      <w:rPr>
        <w:rFonts w:ascii="Symbol" w:hAnsi="Symbol" w:hint="default"/>
      </w:rPr>
    </w:lvl>
    <w:lvl w:ilvl="1" w:tplc="FCF01DBC">
      <w:start w:val="1"/>
      <w:numFmt w:val="bullet"/>
      <w:lvlText w:val=""/>
      <w:lvlJc w:val="left"/>
      <w:pPr>
        <w:ind w:left="1440" w:hanging="360"/>
      </w:pPr>
      <w:rPr>
        <w:rFonts w:ascii="Symbol" w:hAnsi="Symbol" w:hint="default"/>
      </w:rPr>
    </w:lvl>
    <w:lvl w:ilvl="2" w:tplc="3FC49C38">
      <w:start w:val="1"/>
      <w:numFmt w:val="bullet"/>
      <w:lvlText w:val=""/>
      <w:lvlJc w:val="left"/>
      <w:pPr>
        <w:ind w:left="2160" w:hanging="360"/>
      </w:pPr>
      <w:rPr>
        <w:rFonts w:ascii="Wingdings" w:hAnsi="Wingdings" w:hint="default"/>
      </w:rPr>
    </w:lvl>
    <w:lvl w:ilvl="3" w:tplc="8264DEA4">
      <w:start w:val="1"/>
      <w:numFmt w:val="bullet"/>
      <w:lvlText w:val=""/>
      <w:lvlJc w:val="left"/>
      <w:pPr>
        <w:ind w:left="2880" w:hanging="360"/>
      </w:pPr>
      <w:rPr>
        <w:rFonts w:ascii="Symbol" w:hAnsi="Symbol" w:hint="default"/>
      </w:rPr>
    </w:lvl>
    <w:lvl w:ilvl="4" w:tplc="CE2633D4">
      <w:start w:val="1"/>
      <w:numFmt w:val="bullet"/>
      <w:lvlText w:val="o"/>
      <w:lvlJc w:val="left"/>
      <w:pPr>
        <w:ind w:left="3600" w:hanging="360"/>
      </w:pPr>
      <w:rPr>
        <w:rFonts w:ascii="Courier New" w:hAnsi="Courier New" w:hint="default"/>
      </w:rPr>
    </w:lvl>
    <w:lvl w:ilvl="5" w:tplc="B9BCF28E">
      <w:start w:val="1"/>
      <w:numFmt w:val="bullet"/>
      <w:lvlText w:val=""/>
      <w:lvlJc w:val="left"/>
      <w:pPr>
        <w:ind w:left="4320" w:hanging="360"/>
      </w:pPr>
      <w:rPr>
        <w:rFonts w:ascii="Wingdings" w:hAnsi="Wingdings" w:hint="default"/>
      </w:rPr>
    </w:lvl>
    <w:lvl w:ilvl="6" w:tplc="F3CEBF78">
      <w:start w:val="1"/>
      <w:numFmt w:val="bullet"/>
      <w:lvlText w:val=""/>
      <w:lvlJc w:val="left"/>
      <w:pPr>
        <w:ind w:left="5040" w:hanging="360"/>
      </w:pPr>
      <w:rPr>
        <w:rFonts w:ascii="Symbol" w:hAnsi="Symbol" w:hint="default"/>
      </w:rPr>
    </w:lvl>
    <w:lvl w:ilvl="7" w:tplc="E3280538">
      <w:start w:val="1"/>
      <w:numFmt w:val="bullet"/>
      <w:lvlText w:val="o"/>
      <w:lvlJc w:val="left"/>
      <w:pPr>
        <w:ind w:left="5760" w:hanging="360"/>
      </w:pPr>
      <w:rPr>
        <w:rFonts w:ascii="Courier New" w:hAnsi="Courier New" w:hint="default"/>
      </w:rPr>
    </w:lvl>
    <w:lvl w:ilvl="8" w:tplc="8C2AD182">
      <w:start w:val="1"/>
      <w:numFmt w:val="bullet"/>
      <w:lvlText w:val=""/>
      <w:lvlJc w:val="left"/>
      <w:pPr>
        <w:ind w:left="6480" w:hanging="360"/>
      </w:pPr>
      <w:rPr>
        <w:rFonts w:ascii="Wingdings" w:hAnsi="Wingdings" w:hint="default"/>
      </w:rPr>
    </w:lvl>
  </w:abstractNum>
  <w:abstractNum w:abstractNumId="5" w15:restartNumberingAfterBreak="0">
    <w:nsid w:val="10CBA145"/>
    <w:multiLevelType w:val="hybridMultilevel"/>
    <w:tmpl w:val="FFFFFFFF"/>
    <w:lvl w:ilvl="0" w:tplc="85B037C4">
      <w:start w:val="1"/>
      <w:numFmt w:val="bullet"/>
      <w:lvlText w:val="·"/>
      <w:lvlJc w:val="left"/>
      <w:pPr>
        <w:ind w:left="720" w:hanging="360"/>
      </w:pPr>
      <w:rPr>
        <w:rFonts w:ascii="Symbol" w:hAnsi="Symbol" w:hint="default"/>
      </w:rPr>
    </w:lvl>
    <w:lvl w:ilvl="1" w:tplc="EA44B5DC">
      <w:start w:val="1"/>
      <w:numFmt w:val="bullet"/>
      <w:lvlText w:val="o"/>
      <w:lvlJc w:val="left"/>
      <w:pPr>
        <w:ind w:left="1440" w:hanging="360"/>
      </w:pPr>
      <w:rPr>
        <w:rFonts w:ascii="Courier New" w:hAnsi="Courier New" w:hint="default"/>
      </w:rPr>
    </w:lvl>
    <w:lvl w:ilvl="2" w:tplc="523E853C">
      <w:start w:val="1"/>
      <w:numFmt w:val="bullet"/>
      <w:lvlText w:val=""/>
      <w:lvlJc w:val="left"/>
      <w:pPr>
        <w:ind w:left="2160" w:hanging="360"/>
      </w:pPr>
      <w:rPr>
        <w:rFonts w:ascii="Wingdings" w:hAnsi="Wingdings" w:hint="default"/>
      </w:rPr>
    </w:lvl>
    <w:lvl w:ilvl="3" w:tplc="DD68A142">
      <w:start w:val="1"/>
      <w:numFmt w:val="bullet"/>
      <w:lvlText w:val=""/>
      <w:lvlJc w:val="left"/>
      <w:pPr>
        <w:ind w:left="2880" w:hanging="360"/>
      </w:pPr>
      <w:rPr>
        <w:rFonts w:ascii="Symbol" w:hAnsi="Symbol" w:hint="default"/>
      </w:rPr>
    </w:lvl>
    <w:lvl w:ilvl="4" w:tplc="02CA7910">
      <w:start w:val="1"/>
      <w:numFmt w:val="bullet"/>
      <w:lvlText w:val="o"/>
      <w:lvlJc w:val="left"/>
      <w:pPr>
        <w:ind w:left="3600" w:hanging="360"/>
      </w:pPr>
      <w:rPr>
        <w:rFonts w:ascii="Courier New" w:hAnsi="Courier New" w:hint="default"/>
      </w:rPr>
    </w:lvl>
    <w:lvl w:ilvl="5" w:tplc="F44488E0">
      <w:start w:val="1"/>
      <w:numFmt w:val="bullet"/>
      <w:lvlText w:val=""/>
      <w:lvlJc w:val="left"/>
      <w:pPr>
        <w:ind w:left="4320" w:hanging="360"/>
      </w:pPr>
      <w:rPr>
        <w:rFonts w:ascii="Wingdings" w:hAnsi="Wingdings" w:hint="default"/>
      </w:rPr>
    </w:lvl>
    <w:lvl w:ilvl="6" w:tplc="5CACB23A">
      <w:start w:val="1"/>
      <w:numFmt w:val="bullet"/>
      <w:lvlText w:val=""/>
      <w:lvlJc w:val="left"/>
      <w:pPr>
        <w:ind w:left="5040" w:hanging="360"/>
      </w:pPr>
      <w:rPr>
        <w:rFonts w:ascii="Symbol" w:hAnsi="Symbol" w:hint="default"/>
      </w:rPr>
    </w:lvl>
    <w:lvl w:ilvl="7" w:tplc="F6B03EA2">
      <w:start w:val="1"/>
      <w:numFmt w:val="bullet"/>
      <w:lvlText w:val="o"/>
      <w:lvlJc w:val="left"/>
      <w:pPr>
        <w:ind w:left="5760" w:hanging="360"/>
      </w:pPr>
      <w:rPr>
        <w:rFonts w:ascii="Courier New" w:hAnsi="Courier New" w:hint="default"/>
      </w:rPr>
    </w:lvl>
    <w:lvl w:ilvl="8" w:tplc="1DEEA91A">
      <w:start w:val="1"/>
      <w:numFmt w:val="bullet"/>
      <w:lvlText w:val=""/>
      <w:lvlJc w:val="left"/>
      <w:pPr>
        <w:ind w:left="6480" w:hanging="360"/>
      </w:pPr>
      <w:rPr>
        <w:rFonts w:ascii="Wingdings" w:hAnsi="Wingdings" w:hint="default"/>
      </w:rPr>
    </w:lvl>
  </w:abstractNum>
  <w:abstractNum w:abstractNumId="6" w15:restartNumberingAfterBreak="0">
    <w:nsid w:val="186AB28D"/>
    <w:multiLevelType w:val="hybridMultilevel"/>
    <w:tmpl w:val="FFFFFFFF"/>
    <w:lvl w:ilvl="0" w:tplc="132A8286">
      <w:start w:val="1"/>
      <w:numFmt w:val="bullet"/>
      <w:lvlText w:val="·"/>
      <w:lvlJc w:val="left"/>
      <w:pPr>
        <w:ind w:left="720" w:hanging="360"/>
      </w:pPr>
      <w:rPr>
        <w:rFonts w:ascii="Symbol" w:hAnsi="Symbol" w:hint="default"/>
      </w:rPr>
    </w:lvl>
    <w:lvl w:ilvl="1" w:tplc="BD920180">
      <w:start w:val="1"/>
      <w:numFmt w:val="bullet"/>
      <w:lvlText w:val="o"/>
      <w:lvlJc w:val="left"/>
      <w:pPr>
        <w:ind w:left="1440" w:hanging="360"/>
      </w:pPr>
      <w:rPr>
        <w:rFonts w:ascii="&quot;Courier New&quot;" w:hAnsi="&quot;Courier New&quot;" w:hint="default"/>
      </w:rPr>
    </w:lvl>
    <w:lvl w:ilvl="2" w:tplc="05500712">
      <w:start w:val="1"/>
      <w:numFmt w:val="bullet"/>
      <w:lvlText w:val=""/>
      <w:lvlJc w:val="left"/>
      <w:pPr>
        <w:ind w:left="2160" w:hanging="360"/>
      </w:pPr>
      <w:rPr>
        <w:rFonts w:ascii="Wingdings" w:hAnsi="Wingdings" w:hint="default"/>
      </w:rPr>
    </w:lvl>
    <w:lvl w:ilvl="3" w:tplc="7B026EF2">
      <w:start w:val="1"/>
      <w:numFmt w:val="bullet"/>
      <w:lvlText w:val=""/>
      <w:lvlJc w:val="left"/>
      <w:pPr>
        <w:ind w:left="2880" w:hanging="360"/>
      </w:pPr>
      <w:rPr>
        <w:rFonts w:ascii="Symbol" w:hAnsi="Symbol" w:hint="default"/>
      </w:rPr>
    </w:lvl>
    <w:lvl w:ilvl="4" w:tplc="D758073C">
      <w:start w:val="1"/>
      <w:numFmt w:val="bullet"/>
      <w:lvlText w:val="o"/>
      <w:lvlJc w:val="left"/>
      <w:pPr>
        <w:ind w:left="3600" w:hanging="360"/>
      </w:pPr>
      <w:rPr>
        <w:rFonts w:ascii="Courier New" w:hAnsi="Courier New" w:hint="default"/>
      </w:rPr>
    </w:lvl>
    <w:lvl w:ilvl="5" w:tplc="EB70E1A6">
      <w:start w:val="1"/>
      <w:numFmt w:val="bullet"/>
      <w:lvlText w:val=""/>
      <w:lvlJc w:val="left"/>
      <w:pPr>
        <w:ind w:left="4320" w:hanging="360"/>
      </w:pPr>
      <w:rPr>
        <w:rFonts w:ascii="Wingdings" w:hAnsi="Wingdings" w:hint="default"/>
      </w:rPr>
    </w:lvl>
    <w:lvl w:ilvl="6" w:tplc="331867FE">
      <w:start w:val="1"/>
      <w:numFmt w:val="bullet"/>
      <w:lvlText w:val=""/>
      <w:lvlJc w:val="left"/>
      <w:pPr>
        <w:ind w:left="5040" w:hanging="360"/>
      </w:pPr>
      <w:rPr>
        <w:rFonts w:ascii="Symbol" w:hAnsi="Symbol" w:hint="default"/>
      </w:rPr>
    </w:lvl>
    <w:lvl w:ilvl="7" w:tplc="0E7CFC3C">
      <w:start w:val="1"/>
      <w:numFmt w:val="bullet"/>
      <w:lvlText w:val="o"/>
      <w:lvlJc w:val="left"/>
      <w:pPr>
        <w:ind w:left="5760" w:hanging="360"/>
      </w:pPr>
      <w:rPr>
        <w:rFonts w:ascii="Courier New" w:hAnsi="Courier New" w:hint="default"/>
      </w:rPr>
    </w:lvl>
    <w:lvl w:ilvl="8" w:tplc="4390648E">
      <w:start w:val="1"/>
      <w:numFmt w:val="bullet"/>
      <w:lvlText w:val=""/>
      <w:lvlJc w:val="left"/>
      <w:pPr>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3397817"/>
    <w:multiLevelType w:val="hybridMultilevel"/>
    <w:tmpl w:val="84C4BED0"/>
    <w:lvl w:ilvl="0" w:tplc="1F9CE6D2">
      <w:start w:val="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A14A85"/>
    <w:multiLevelType w:val="hybridMultilevel"/>
    <w:tmpl w:val="B81E0970"/>
    <w:lvl w:ilvl="0" w:tplc="98D00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E41E2"/>
    <w:multiLevelType w:val="hybridMultilevel"/>
    <w:tmpl w:val="D542BCF6"/>
    <w:lvl w:ilvl="0" w:tplc="B6E28E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83AE9"/>
    <w:multiLevelType w:val="hybridMultilevel"/>
    <w:tmpl w:val="5E48569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E5E1941"/>
    <w:multiLevelType w:val="hybridMultilevel"/>
    <w:tmpl w:val="A5D8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BAEA"/>
    <w:multiLevelType w:val="hybridMultilevel"/>
    <w:tmpl w:val="D7DA6FA0"/>
    <w:lvl w:ilvl="0" w:tplc="B4F80F1C">
      <w:start w:val="1"/>
      <w:numFmt w:val="decimal"/>
      <w:lvlText w:val="%1."/>
      <w:lvlJc w:val="left"/>
      <w:pPr>
        <w:ind w:left="720" w:hanging="360"/>
      </w:pPr>
    </w:lvl>
    <w:lvl w:ilvl="1" w:tplc="292CD306">
      <w:start w:val="1"/>
      <w:numFmt w:val="lowerLetter"/>
      <w:lvlText w:val="%2."/>
      <w:lvlJc w:val="left"/>
      <w:pPr>
        <w:ind w:left="1440" w:hanging="360"/>
      </w:pPr>
    </w:lvl>
    <w:lvl w:ilvl="2" w:tplc="22CC464A">
      <w:start w:val="1"/>
      <w:numFmt w:val="lowerRoman"/>
      <w:lvlText w:val="%3."/>
      <w:lvlJc w:val="right"/>
      <w:pPr>
        <w:ind w:left="2160" w:hanging="180"/>
      </w:pPr>
    </w:lvl>
    <w:lvl w:ilvl="3" w:tplc="F7029D0A">
      <w:start w:val="1"/>
      <w:numFmt w:val="decimal"/>
      <w:lvlText w:val="%4."/>
      <w:lvlJc w:val="left"/>
      <w:pPr>
        <w:ind w:left="2880" w:hanging="360"/>
      </w:pPr>
    </w:lvl>
    <w:lvl w:ilvl="4" w:tplc="2A0ED3D2">
      <w:start w:val="1"/>
      <w:numFmt w:val="lowerLetter"/>
      <w:lvlText w:val="%5."/>
      <w:lvlJc w:val="left"/>
      <w:pPr>
        <w:ind w:left="3600" w:hanging="360"/>
      </w:pPr>
    </w:lvl>
    <w:lvl w:ilvl="5" w:tplc="D160CDAC">
      <w:start w:val="1"/>
      <w:numFmt w:val="lowerRoman"/>
      <w:lvlText w:val="%6."/>
      <w:lvlJc w:val="right"/>
      <w:pPr>
        <w:ind w:left="4320" w:hanging="180"/>
      </w:pPr>
    </w:lvl>
    <w:lvl w:ilvl="6" w:tplc="F854380E">
      <w:start w:val="1"/>
      <w:numFmt w:val="decimal"/>
      <w:lvlText w:val="%7."/>
      <w:lvlJc w:val="left"/>
      <w:pPr>
        <w:ind w:left="5040" w:hanging="360"/>
      </w:pPr>
    </w:lvl>
    <w:lvl w:ilvl="7" w:tplc="039256D0">
      <w:start w:val="1"/>
      <w:numFmt w:val="lowerLetter"/>
      <w:lvlText w:val="%8."/>
      <w:lvlJc w:val="left"/>
      <w:pPr>
        <w:ind w:left="5760" w:hanging="360"/>
      </w:pPr>
    </w:lvl>
    <w:lvl w:ilvl="8" w:tplc="03A42A1C">
      <w:start w:val="1"/>
      <w:numFmt w:val="lowerRoman"/>
      <w:lvlText w:val="%9."/>
      <w:lvlJc w:val="right"/>
      <w:pPr>
        <w:ind w:left="6480" w:hanging="180"/>
      </w:pPr>
    </w:lvl>
  </w:abstractNum>
  <w:abstractNum w:abstractNumId="16" w15:restartNumberingAfterBreak="0">
    <w:nsid w:val="399B27AD"/>
    <w:multiLevelType w:val="hybridMultilevel"/>
    <w:tmpl w:val="FFFFFFFF"/>
    <w:lvl w:ilvl="0" w:tplc="C0D4419E">
      <w:start w:val="1"/>
      <w:numFmt w:val="decimal"/>
      <w:lvlText w:val="%1."/>
      <w:lvlJc w:val="left"/>
      <w:pPr>
        <w:ind w:left="720" w:hanging="360"/>
      </w:pPr>
    </w:lvl>
    <w:lvl w:ilvl="1" w:tplc="BEEC0144">
      <w:start w:val="1"/>
      <w:numFmt w:val="lowerLetter"/>
      <w:lvlText w:val="%2."/>
      <w:lvlJc w:val="left"/>
      <w:pPr>
        <w:ind w:left="1440" w:hanging="360"/>
      </w:pPr>
    </w:lvl>
    <w:lvl w:ilvl="2" w:tplc="F09082E2">
      <w:start w:val="1"/>
      <w:numFmt w:val="lowerRoman"/>
      <w:lvlText w:val="%3."/>
      <w:lvlJc w:val="right"/>
      <w:pPr>
        <w:ind w:left="2160" w:hanging="180"/>
      </w:pPr>
    </w:lvl>
    <w:lvl w:ilvl="3" w:tplc="9FF4FD66">
      <w:start w:val="1"/>
      <w:numFmt w:val="decimal"/>
      <w:lvlText w:val="%4."/>
      <w:lvlJc w:val="left"/>
      <w:pPr>
        <w:ind w:left="2880" w:hanging="360"/>
      </w:pPr>
    </w:lvl>
    <w:lvl w:ilvl="4" w:tplc="D7160540">
      <w:start w:val="1"/>
      <w:numFmt w:val="lowerLetter"/>
      <w:lvlText w:val="%5."/>
      <w:lvlJc w:val="left"/>
      <w:pPr>
        <w:ind w:left="3600" w:hanging="360"/>
      </w:pPr>
    </w:lvl>
    <w:lvl w:ilvl="5" w:tplc="E084DD06">
      <w:start w:val="1"/>
      <w:numFmt w:val="lowerRoman"/>
      <w:lvlText w:val="%6."/>
      <w:lvlJc w:val="right"/>
      <w:pPr>
        <w:ind w:left="4320" w:hanging="180"/>
      </w:pPr>
    </w:lvl>
    <w:lvl w:ilvl="6" w:tplc="C92E7C3C">
      <w:start w:val="1"/>
      <w:numFmt w:val="decimal"/>
      <w:lvlText w:val="%7."/>
      <w:lvlJc w:val="left"/>
      <w:pPr>
        <w:ind w:left="5040" w:hanging="360"/>
      </w:pPr>
    </w:lvl>
    <w:lvl w:ilvl="7" w:tplc="B1941322">
      <w:start w:val="1"/>
      <w:numFmt w:val="lowerLetter"/>
      <w:lvlText w:val="%8."/>
      <w:lvlJc w:val="left"/>
      <w:pPr>
        <w:ind w:left="5760" w:hanging="360"/>
      </w:pPr>
    </w:lvl>
    <w:lvl w:ilvl="8" w:tplc="7450ADD2">
      <w:start w:val="1"/>
      <w:numFmt w:val="lowerRoman"/>
      <w:lvlText w:val="%9."/>
      <w:lvlJc w:val="right"/>
      <w:pPr>
        <w:ind w:left="6480" w:hanging="180"/>
      </w:pPr>
    </w:lvl>
  </w:abstractNum>
  <w:abstractNum w:abstractNumId="17" w15:restartNumberingAfterBreak="0">
    <w:nsid w:val="3C30DEF6"/>
    <w:multiLevelType w:val="hybridMultilevel"/>
    <w:tmpl w:val="FFFFFFFF"/>
    <w:lvl w:ilvl="0" w:tplc="881C1F7A">
      <w:start w:val="1"/>
      <w:numFmt w:val="lowerLetter"/>
      <w:lvlText w:val="%1."/>
      <w:lvlJc w:val="left"/>
      <w:pPr>
        <w:ind w:left="720" w:hanging="360"/>
      </w:pPr>
    </w:lvl>
    <w:lvl w:ilvl="1" w:tplc="D168349A">
      <w:start w:val="1"/>
      <w:numFmt w:val="lowerLetter"/>
      <w:lvlText w:val="%2."/>
      <w:lvlJc w:val="left"/>
      <w:pPr>
        <w:ind w:left="1440" w:hanging="360"/>
      </w:pPr>
    </w:lvl>
    <w:lvl w:ilvl="2" w:tplc="59A46CF4">
      <w:start w:val="1"/>
      <w:numFmt w:val="lowerRoman"/>
      <w:lvlText w:val="%3."/>
      <w:lvlJc w:val="right"/>
      <w:pPr>
        <w:ind w:left="2160" w:hanging="180"/>
      </w:pPr>
    </w:lvl>
    <w:lvl w:ilvl="3" w:tplc="3662B9B6">
      <w:start w:val="1"/>
      <w:numFmt w:val="decimal"/>
      <w:lvlText w:val="%4."/>
      <w:lvlJc w:val="left"/>
      <w:pPr>
        <w:ind w:left="2880" w:hanging="360"/>
      </w:pPr>
    </w:lvl>
    <w:lvl w:ilvl="4" w:tplc="0CCE970E">
      <w:start w:val="1"/>
      <w:numFmt w:val="lowerLetter"/>
      <w:lvlText w:val="%5."/>
      <w:lvlJc w:val="left"/>
      <w:pPr>
        <w:ind w:left="3600" w:hanging="360"/>
      </w:pPr>
    </w:lvl>
    <w:lvl w:ilvl="5" w:tplc="8CF0439C">
      <w:start w:val="1"/>
      <w:numFmt w:val="lowerRoman"/>
      <w:lvlText w:val="%6."/>
      <w:lvlJc w:val="right"/>
      <w:pPr>
        <w:ind w:left="4320" w:hanging="180"/>
      </w:pPr>
    </w:lvl>
    <w:lvl w:ilvl="6" w:tplc="2E9A4136">
      <w:start w:val="1"/>
      <w:numFmt w:val="decimal"/>
      <w:lvlText w:val="%7."/>
      <w:lvlJc w:val="left"/>
      <w:pPr>
        <w:ind w:left="5040" w:hanging="360"/>
      </w:pPr>
    </w:lvl>
    <w:lvl w:ilvl="7" w:tplc="2166BDCE">
      <w:start w:val="1"/>
      <w:numFmt w:val="lowerLetter"/>
      <w:lvlText w:val="%8."/>
      <w:lvlJc w:val="left"/>
      <w:pPr>
        <w:ind w:left="5760" w:hanging="360"/>
      </w:pPr>
    </w:lvl>
    <w:lvl w:ilvl="8" w:tplc="3288D0F4">
      <w:start w:val="1"/>
      <w:numFmt w:val="lowerRoman"/>
      <w:lvlText w:val="%9."/>
      <w:lvlJc w:val="right"/>
      <w:pPr>
        <w:ind w:left="6480" w:hanging="180"/>
      </w:pPr>
    </w:lvl>
  </w:abstractNum>
  <w:abstractNum w:abstractNumId="18" w15:restartNumberingAfterBreak="0">
    <w:nsid w:val="3C320F9D"/>
    <w:multiLevelType w:val="hybridMultilevel"/>
    <w:tmpl w:val="88EA13AC"/>
    <w:lvl w:ilvl="0" w:tplc="9DA06AD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644D6"/>
    <w:multiLevelType w:val="hybridMultilevel"/>
    <w:tmpl w:val="EE34EFB6"/>
    <w:lvl w:ilvl="0" w:tplc="6576F22A">
      <w:start w:val="1"/>
      <w:numFmt w:val="upperLetter"/>
      <w:lvlText w:val="%1."/>
      <w:lvlJc w:val="left"/>
      <w:pPr>
        <w:ind w:left="1417" w:hanging="85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1909DE3"/>
    <w:multiLevelType w:val="hybridMultilevel"/>
    <w:tmpl w:val="FFFFFFFF"/>
    <w:lvl w:ilvl="0" w:tplc="FABCAB7E">
      <w:start w:val="1"/>
      <w:numFmt w:val="bullet"/>
      <w:lvlText w:val="·"/>
      <w:lvlJc w:val="left"/>
      <w:pPr>
        <w:ind w:left="720" w:hanging="360"/>
      </w:pPr>
      <w:rPr>
        <w:rFonts w:ascii="Symbol" w:hAnsi="Symbol" w:hint="default"/>
      </w:rPr>
    </w:lvl>
    <w:lvl w:ilvl="1" w:tplc="7C30E52C">
      <w:start w:val="1"/>
      <w:numFmt w:val="bullet"/>
      <w:lvlText w:val="o"/>
      <w:lvlJc w:val="left"/>
      <w:pPr>
        <w:ind w:left="1440" w:hanging="360"/>
      </w:pPr>
      <w:rPr>
        <w:rFonts w:ascii="Courier New" w:hAnsi="Courier New" w:hint="default"/>
      </w:rPr>
    </w:lvl>
    <w:lvl w:ilvl="2" w:tplc="4DCE504E">
      <w:start w:val="1"/>
      <w:numFmt w:val="bullet"/>
      <w:lvlText w:val=""/>
      <w:lvlJc w:val="left"/>
      <w:pPr>
        <w:ind w:left="2160" w:hanging="360"/>
      </w:pPr>
      <w:rPr>
        <w:rFonts w:ascii="Wingdings" w:hAnsi="Wingdings" w:hint="default"/>
      </w:rPr>
    </w:lvl>
    <w:lvl w:ilvl="3" w:tplc="2F505996">
      <w:start w:val="1"/>
      <w:numFmt w:val="bullet"/>
      <w:lvlText w:val=""/>
      <w:lvlJc w:val="left"/>
      <w:pPr>
        <w:ind w:left="2880" w:hanging="360"/>
      </w:pPr>
      <w:rPr>
        <w:rFonts w:ascii="Symbol" w:hAnsi="Symbol" w:hint="default"/>
      </w:rPr>
    </w:lvl>
    <w:lvl w:ilvl="4" w:tplc="435A286C">
      <w:start w:val="1"/>
      <w:numFmt w:val="bullet"/>
      <w:lvlText w:val="o"/>
      <w:lvlJc w:val="left"/>
      <w:pPr>
        <w:ind w:left="3600" w:hanging="360"/>
      </w:pPr>
      <w:rPr>
        <w:rFonts w:ascii="Courier New" w:hAnsi="Courier New" w:hint="default"/>
      </w:rPr>
    </w:lvl>
    <w:lvl w:ilvl="5" w:tplc="17FC7B24">
      <w:start w:val="1"/>
      <w:numFmt w:val="bullet"/>
      <w:lvlText w:val=""/>
      <w:lvlJc w:val="left"/>
      <w:pPr>
        <w:ind w:left="4320" w:hanging="360"/>
      </w:pPr>
      <w:rPr>
        <w:rFonts w:ascii="Wingdings" w:hAnsi="Wingdings" w:hint="default"/>
      </w:rPr>
    </w:lvl>
    <w:lvl w:ilvl="6" w:tplc="904094D8">
      <w:start w:val="1"/>
      <w:numFmt w:val="bullet"/>
      <w:lvlText w:val=""/>
      <w:lvlJc w:val="left"/>
      <w:pPr>
        <w:ind w:left="5040" w:hanging="360"/>
      </w:pPr>
      <w:rPr>
        <w:rFonts w:ascii="Symbol" w:hAnsi="Symbol" w:hint="default"/>
      </w:rPr>
    </w:lvl>
    <w:lvl w:ilvl="7" w:tplc="866E9848">
      <w:start w:val="1"/>
      <w:numFmt w:val="bullet"/>
      <w:lvlText w:val="o"/>
      <w:lvlJc w:val="left"/>
      <w:pPr>
        <w:ind w:left="5760" w:hanging="360"/>
      </w:pPr>
      <w:rPr>
        <w:rFonts w:ascii="Courier New" w:hAnsi="Courier New" w:hint="default"/>
      </w:rPr>
    </w:lvl>
    <w:lvl w:ilvl="8" w:tplc="68A2A5CA">
      <w:start w:val="1"/>
      <w:numFmt w:val="bullet"/>
      <w:lvlText w:val=""/>
      <w:lvlJc w:val="left"/>
      <w:pPr>
        <w:ind w:left="6480" w:hanging="360"/>
      </w:pPr>
      <w:rPr>
        <w:rFonts w:ascii="Wingdings" w:hAnsi="Wingdings" w:hint="default"/>
      </w:rPr>
    </w:lvl>
  </w:abstractNum>
  <w:abstractNum w:abstractNumId="21" w15:restartNumberingAfterBreak="0">
    <w:nsid w:val="42A9B79F"/>
    <w:multiLevelType w:val="hybridMultilevel"/>
    <w:tmpl w:val="FFFFFFFF"/>
    <w:lvl w:ilvl="0" w:tplc="15BC4E14">
      <w:start w:val="1"/>
      <w:numFmt w:val="bullet"/>
      <w:lvlText w:val="·"/>
      <w:lvlJc w:val="left"/>
      <w:pPr>
        <w:ind w:left="1440" w:hanging="360"/>
      </w:pPr>
      <w:rPr>
        <w:rFonts w:ascii="Symbol" w:hAnsi="Symbol" w:hint="default"/>
      </w:rPr>
    </w:lvl>
    <w:lvl w:ilvl="1" w:tplc="AC3C0314">
      <w:start w:val="1"/>
      <w:numFmt w:val="bullet"/>
      <w:lvlText w:val="o"/>
      <w:lvlJc w:val="left"/>
      <w:pPr>
        <w:ind w:left="2160" w:hanging="360"/>
      </w:pPr>
      <w:rPr>
        <w:rFonts w:ascii="&quot;Courier New&quot;" w:hAnsi="&quot;Courier New&quot;" w:hint="default"/>
      </w:rPr>
    </w:lvl>
    <w:lvl w:ilvl="2" w:tplc="54604424">
      <w:start w:val="1"/>
      <w:numFmt w:val="bullet"/>
      <w:lvlText w:val=""/>
      <w:lvlJc w:val="left"/>
      <w:pPr>
        <w:ind w:left="2880" w:hanging="360"/>
      </w:pPr>
      <w:rPr>
        <w:rFonts w:ascii="Wingdings" w:hAnsi="Wingdings" w:hint="default"/>
      </w:rPr>
    </w:lvl>
    <w:lvl w:ilvl="3" w:tplc="98F2052A">
      <w:start w:val="1"/>
      <w:numFmt w:val="bullet"/>
      <w:lvlText w:val=""/>
      <w:lvlJc w:val="left"/>
      <w:pPr>
        <w:ind w:left="3600" w:hanging="360"/>
      </w:pPr>
      <w:rPr>
        <w:rFonts w:ascii="Symbol" w:hAnsi="Symbol" w:hint="default"/>
      </w:rPr>
    </w:lvl>
    <w:lvl w:ilvl="4" w:tplc="6BD653A8">
      <w:start w:val="1"/>
      <w:numFmt w:val="bullet"/>
      <w:lvlText w:val="o"/>
      <w:lvlJc w:val="left"/>
      <w:pPr>
        <w:ind w:left="4320" w:hanging="360"/>
      </w:pPr>
      <w:rPr>
        <w:rFonts w:ascii="Courier New" w:hAnsi="Courier New" w:hint="default"/>
      </w:rPr>
    </w:lvl>
    <w:lvl w:ilvl="5" w:tplc="EAB6EF0E">
      <w:start w:val="1"/>
      <w:numFmt w:val="bullet"/>
      <w:lvlText w:val=""/>
      <w:lvlJc w:val="left"/>
      <w:pPr>
        <w:ind w:left="5040" w:hanging="360"/>
      </w:pPr>
      <w:rPr>
        <w:rFonts w:ascii="Wingdings" w:hAnsi="Wingdings" w:hint="default"/>
      </w:rPr>
    </w:lvl>
    <w:lvl w:ilvl="6" w:tplc="ADD67122">
      <w:start w:val="1"/>
      <w:numFmt w:val="bullet"/>
      <w:lvlText w:val=""/>
      <w:lvlJc w:val="left"/>
      <w:pPr>
        <w:ind w:left="5760" w:hanging="360"/>
      </w:pPr>
      <w:rPr>
        <w:rFonts w:ascii="Symbol" w:hAnsi="Symbol" w:hint="default"/>
      </w:rPr>
    </w:lvl>
    <w:lvl w:ilvl="7" w:tplc="8C9A6F2E">
      <w:start w:val="1"/>
      <w:numFmt w:val="bullet"/>
      <w:lvlText w:val="o"/>
      <w:lvlJc w:val="left"/>
      <w:pPr>
        <w:ind w:left="6480" w:hanging="360"/>
      </w:pPr>
      <w:rPr>
        <w:rFonts w:ascii="Courier New" w:hAnsi="Courier New" w:hint="default"/>
      </w:rPr>
    </w:lvl>
    <w:lvl w:ilvl="8" w:tplc="AF7CC532">
      <w:start w:val="1"/>
      <w:numFmt w:val="bullet"/>
      <w:lvlText w:val=""/>
      <w:lvlJc w:val="left"/>
      <w:pPr>
        <w:ind w:left="7200" w:hanging="360"/>
      </w:pPr>
      <w:rPr>
        <w:rFonts w:ascii="Wingdings" w:hAnsi="Wingdings" w:hint="default"/>
      </w:rPr>
    </w:lvl>
  </w:abstractNum>
  <w:abstractNum w:abstractNumId="22" w15:restartNumberingAfterBreak="0">
    <w:nsid w:val="4394558F"/>
    <w:multiLevelType w:val="hybridMultilevel"/>
    <w:tmpl w:val="C756A2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3FAC338"/>
    <w:multiLevelType w:val="hybridMultilevel"/>
    <w:tmpl w:val="FFFFFFFF"/>
    <w:lvl w:ilvl="0" w:tplc="9056DDCC">
      <w:start w:val="1"/>
      <w:numFmt w:val="bullet"/>
      <w:lvlText w:val="·"/>
      <w:lvlJc w:val="left"/>
      <w:pPr>
        <w:ind w:left="720" w:hanging="360"/>
      </w:pPr>
      <w:rPr>
        <w:rFonts w:ascii="Symbol" w:hAnsi="Symbol" w:hint="default"/>
      </w:rPr>
    </w:lvl>
    <w:lvl w:ilvl="1" w:tplc="5E348C3A">
      <w:start w:val="1"/>
      <w:numFmt w:val="bullet"/>
      <w:lvlText w:val="o"/>
      <w:lvlJc w:val="left"/>
      <w:pPr>
        <w:ind w:left="1440" w:hanging="360"/>
      </w:pPr>
      <w:rPr>
        <w:rFonts w:ascii="Courier New" w:hAnsi="Courier New" w:hint="default"/>
      </w:rPr>
    </w:lvl>
    <w:lvl w:ilvl="2" w:tplc="085E4FC8">
      <w:start w:val="1"/>
      <w:numFmt w:val="bullet"/>
      <w:lvlText w:val=""/>
      <w:lvlJc w:val="left"/>
      <w:pPr>
        <w:ind w:left="2160" w:hanging="360"/>
      </w:pPr>
      <w:rPr>
        <w:rFonts w:ascii="Wingdings" w:hAnsi="Wingdings" w:hint="default"/>
      </w:rPr>
    </w:lvl>
    <w:lvl w:ilvl="3" w:tplc="3FF62370">
      <w:start w:val="1"/>
      <w:numFmt w:val="bullet"/>
      <w:lvlText w:val=""/>
      <w:lvlJc w:val="left"/>
      <w:pPr>
        <w:ind w:left="2880" w:hanging="360"/>
      </w:pPr>
      <w:rPr>
        <w:rFonts w:ascii="Symbol" w:hAnsi="Symbol" w:hint="default"/>
      </w:rPr>
    </w:lvl>
    <w:lvl w:ilvl="4" w:tplc="E98A18AA">
      <w:start w:val="1"/>
      <w:numFmt w:val="bullet"/>
      <w:lvlText w:val="o"/>
      <w:lvlJc w:val="left"/>
      <w:pPr>
        <w:ind w:left="3600" w:hanging="360"/>
      </w:pPr>
      <w:rPr>
        <w:rFonts w:ascii="Courier New" w:hAnsi="Courier New" w:hint="default"/>
      </w:rPr>
    </w:lvl>
    <w:lvl w:ilvl="5" w:tplc="7C7285B2">
      <w:start w:val="1"/>
      <w:numFmt w:val="bullet"/>
      <w:lvlText w:val=""/>
      <w:lvlJc w:val="left"/>
      <w:pPr>
        <w:ind w:left="4320" w:hanging="360"/>
      </w:pPr>
      <w:rPr>
        <w:rFonts w:ascii="Wingdings" w:hAnsi="Wingdings" w:hint="default"/>
      </w:rPr>
    </w:lvl>
    <w:lvl w:ilvl="6" w:tplc="8654EF62">
      <w:start w:val="1"/>
      <w:numFmt w:val="bullet"/>
      <w:lvlText w:val=""/>
      <w:lvlJc w:val="left"/>
      <w:pPr>
        <w:ind w:left="5040" w:hanging="360"/>
      </w:pPr>
      <w:rPr>
        <w:rFonts w:ascii="Symbol" w:hAnsi="Symbol" w:hint="default"/>
      </w:rPr>
    </w:lvl>
    <w:lvl w:ilvl="7" w:tplc="4BD0C360">
      <w:start w:val="1"/>
      <w:numFmt w:val="bullet"/>
      <w:lvlText w:val="o"/>
      <w:lvlJc w:val="left"/>
      <w:pPr>
        <w:ind w:left="5760" w:hanging="360"/>
      </w:pPr>
      <w:rPr>
        <w:rFonts w:ascii="Courier New" w:hAnsi="Courier New" w:hint="default"/>
      </w:rPr>
    </w:lvl>
    <w:lvl w:ilvl="8" w:tplc="D6CE2F2E">
      <w:start w:val="1"/>
      <w:numFmt w:val="bullet"/>
      <w:lvlText w:val=""/>
      <w:lvlJc w:val="left"/>
      <w:pPr>
        <w:ind w:left="6480" w:hanging="360"/>
      </w:pPr>
      <w:rPr>
        <w:rFonts w:ascii="Wingdings" w:hAnsi="Wingdings" w:hint="default"/>
      </w:rPr>
    </w:lvl>
  </w:abstractNum>
  <w:abstractNum w:abstractNumId="24"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276D79"/>
    <w:multiLevelType w:val="hybridMultilevel"/>
    <w:tmpl w:val="0E5C667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6" w15:restartNumberingAfterBreak="0">
    <w:nsid w:val="57D5DF8C"/>
    <w:multiLevelType w:val="hybridMultilevel"/>
    <w:tmpl w:val="FFFFFFFF"/>
    <w:lvl w:ilvl="0" w:tplc="34842A5E">
      <w:start w:val="1"/>
      <w:numFmt w:val="bullet"/>
      <w:lvlText w:val="·"/>
      <w:lvlJc w:val="left"/>
      <w:pPr>
        <w:ind w:left="720" w:hanging="360"/>
      </w:pPr>
      <w:rPr>
        <w:rFonts w:ascii="Symbol" w:hAnsi="Symbol" w:hint="default"/>
      </w:rPr>
    </w:lvl>
    <w:lvl w:ilvl="1" w:tplc="BFE41522">
      <w:start w:val="1"/>
      <w:numFmt w:val="bullet"/>
      <w:lvlText w:val="o"/>
      <w:lvlJc w:val="left"/>
      <w:pPr>
        <w:ind w:left="1440" w:hanging="360"/>
      </w:pPr>
      <w:rPr>
        <w:rFonts w:ascii="Courier New" w:hAnsi="Courier New" w:hint="default"/>
      </w:rPr>
    </w:lvl>
    <w:lvl w:ilvl="2" w:tplc="0762805E">
      <w:start w:val="1"/>
      <w:numFmt w:val="bullet"/>
      <w:lvlText w:val=""/>
      <w:lvlJc w:val="left"/>
      <w:pPr>
        <w:ind w:left="2160" w:hanging="360"/>
      </w:pPr>
      <w:rPr>
        <w:rFonts w:ascii="Wingdings" w:hAnsi="Wingdings" w:hint="default"/>
      </w:rPr>
    </w:lvl>
    <w:lvl w:ilvl="3" w:tplc="089CA5DA">
      <w:start w:val="1"/>
      <w:numFmt w:val="bullet"/>
      <w:lvlText w:val=""/>
      <w:lvlJc w:val="left"/>
      <w:pPr>
        <w:ind w:left="2880" w:hanging="360"/>
      </w:pPr>
      <w:rPr>
        <w:rFonts w:ascii="Symbol" w:hAnsi="Symbol" w:hint="default"/>
      </w:rPr>
    </w:lvl>
    <w:lvl w:ilvl="4" w:tplc="07885170">
      <w:start w:val="1"/>
      <w:numFmt w:val="bullet"/>
      <w:lvlText w:val="o"/>
      <w:lvlJc w:val="left"/>
      <w:pPr>
        <w:ind w:left="3600" w:hanging="360"/>
      </w:pPr>
      <w:rPr>
        <w:rFonts w:ascii="Courier New" w:hAnsi="Courier New" w:hint="default"/>
      </w:rPr>
    </w:lvl>
    <w:lvl w:ilvl="5" w:tplc="888E4868">
      <w:start w:val="1"/>
      <w:numFmt w:val="bullet"/>
      <w:lvlText w:val=""/>
      <w:lvlJc w:val="left"/>
      <w:pPr>
        <w:ind w:left="4320" w:hanging="360"/>
      </w:pPr>
      <w:rPr>
        <w:rFonts w:ascii="Wingdings" w:hAnsi="Wingdings" w:hint="default"/>
      </w:rPr>
    </w:lvl>
    <w:lvl w:ilvl="6" w:tplc="2F844840">
      <w:start w:val="1"/>
      <w:numFmt w:val="bullet"/>
      <w:lvlText w:val=""/>
      <w:lvlJc w:val="left"/>
      <w:pPr>
        <w:ind w:left="5040" w:hanging="360"/>
      </w:pPr>
      <w:rPr>
        <w:rFonts w:ascii="Symbol" w:hAnsi="Symbol" w:hint="default"/>
      </w:rPr>
    </w:lvl>
    <w:lvl w:ilvl="7" w:tplc="49A80976">
      <w:start w:val="1"/>
      <w:numFmt w:val="bullet"/>
      <w:lvlText w:val="o"/>
      <w:lvlJc w:val="left"/>
      <w:pPr>
        <w:ind w:left="5760" w:hanging="360"/>
      </w:pPr>
      <w:rPr>
        <w:rFonts w:ascii="Courier New" w:hAnsi="Courier New" w:hint="default"/>
      </w:rPr>
    </w:lvl>
    <w:lvl w:ilvl="8" w:tplc="5BA673FA">
      <w:start w:val="1"/>
      <w:numFmt w:val="bullet"/>
      <w:lvlText w:val=""/>
      <w:lvlJc w:val="left"/>
      <w:pPr>
        <w:ind w:left="6480" w:hanging="360"/>
      </w:pPr>
      <w:rPr>
        <w:rFonts w:ascii="Wingdings" w:hAnsi="Wingdings" w:hint="default"/>
      </w:rPr>
    </w:lvl>
  </w:abstractNum>
  <w:abstractNum w:abstractNumId="27" w15:restartNumberingAfterBreak="0">
    <w:nsid w:val="5A523B84"/>
    <w:multiLevelType w:val="hybridMultilevel"/>
    <w:tmpl w:val="00C02A28"/>
    <w:lvl w:ilvl="0" w:tplc="F0C41E70">
      <w:start w:val="1"/>
      <w:numFmt w:val="upperRoman"/>
      <w:pStyle w:val="ListBulle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28777"/>
    <w:multiLevelType w:val="hybridMultilevel"/>
    <w:tmpl w:val="FFFFFFFF"/>
    <w:lvl w:ilvl="0" w:tplc="DAFE00B4">
      <w:start w:val="1"/>
      <w:numFmt w:val="bullet"/>
      <w:lvlText w:val="·"/>
      <w:lvlJc w:val="left"/>
      <w:pPr>
        <w:ind w:left="720" w:hanging="360"/>
      </w:pPr>
      <w:rPr>
        <w:rFonts w:ascii="Symbol" w:hAnsi="Symbol" w:hint="default"/>
      </w:rPr>
    </w:lvl>
    <w:lvl w:ilvl="1" w:tplc="4828A4BE">
      <w:start w:val="1"/>
      <w:numFmt w:val="bullet"/>
      <w:lvlText w:val="o"/>
      <w:lvlJc w:val="left"/>
      <w:pPr>
        <w:ind w:left="1440" w:hanging="360"/>
      </w:pPr>
      <w:rPr>
        <w:rFonts w:ascii="&quot;Courier New&quot;" w:hAnsi="&quot;Courier New&quot;" w:hint="default"/>
      </w:rPr>
    </w:lvl>
    <w:lvl w:ilvl="2" w:tplc="91A4A404">
      <w:start w:val="1"/>
      <w:numFmt w:val="bullet"/>
      <w:lvlText w:val=""/>
      <w:lvlJc w:val="left"/>
      <w:pPr>
        <w:ind w:left="2160" w:hanging="360"/>
      </w:pPr>
      <w:rPr>
        <w:rFonts w:ascii="Wingdings" w:hAnsi="Wingdings" w:hint="default"/>
      </w:rPr>
    </w:lvl>
    <w:lvl w:ilvl="3" w:tplc="B72CA1C4">
      <w:start w:val="1"/>
      <w:numFmt w:val="bullet"/>
      <w:lvlText w:val=""/>
      <w:lvlJc w:val="left"/>
      <w:pPr>
        <w:ind w:left="2880" w:hanging="360"/>
      </w:pPr>
      <w:rPr>
        <w:rFonts w:ascii="Symbol" w:hAnsi="Symbol" w:hint="default"/>
      </w:rPr>
    </w:lvl>
    <w:lvl w:ilvl="4" w:tplc="4EEACB40">
      <w:start w:val="1"/>
      <w:numFmt w:val="bullet"/>
      <w:lvlText w:val="o"/>
      <w:lvlJc w:val="left"/>
      <w:pPr>
        <w:ind w:left="3600" w:hanging="360"/>
      </w:pPr>
      <w:rPr>
        <w:rFonts w:ascii="Courier New" w:hAnsi="Courier New" w:hint="default"/>
      </w:rPr>
    </w:lvl>
    <w:lvl w:ilvl="5" w:tplc="0382CE62">
      <w:start w:val="1"/>
      <w:numFmt w:val="bullet"/>
      <w:lvlText w:val=""/>
      <w:lvlJc w:val="left"/>
      <w:pPr>
        <w:ind w:left="4320" w:hanging="360"/>
      </w:pPr>
      <w:rPr>
        <w:rFonts w:ascii="Wingdings" w:hAnsi="Wingdings" w:hint="default"/>
      </w:rPr>
    </w:lvl>
    <w:lvl w:ilvl="6" w:tplc="36247966">
      <w:start w:val="1"/>
      <w:numFmt w:val="bullet"/>
      <w:lvlText w:val=""/>
      <w:lvlJc w:val="left"/>
      <w:pPr>
        <w:ind w:left="5040" w:hanging="360"/>
      </w:pPr>
      <w:rPr>
        <w:rFonts w:ascii="Symbol" w:hAnsi="Symbol" w:hint="default"/>
      </w:rPr>
    </w:lvl>
    <w:lvl w:ilvl="7" w:tplc="D0F0FE0A">
      <w:start w:val="1"/>
      <w:numFmt w:val="bullet"/>
      <w:lvlText w:val="o"/>
      <w:lvlJc w:val="left"/>
      <w:pPr>
        <w:ind w:left="5760" w:hanging="360"/>
      </w:pPr>
      <w:rPr>
        <w:rFonts w:ascii="Courier New" w:hAnsi="Courier New" w:hint="default"/>
      </w:rPr>
    </w:lvl>
    <w:lvl w:ilvl="8" w:tplc="8A7C41B8">
      <w:start w:val="1"/>
      <w:numFmt w:val="bullet"/>
      <w:lvlText w:val=""/>
      <w:lvlJc w:val="left"/>
      <w:pPr>
        <w:ind w:left="6480" w:hanging="360"/>
      </w:pPr>
      <w:rPr>
        <w:rFonts w:ascii="Wingdings" w:hAnsi="Wingdings" w:hint="default"/>
      </w:rPr>
    </w:lvl>
  </w:abstractNum>
  <w:abstractNum w:abstractNumId="29" w15:restartNumberingAfterBreak="0">
    <w:nsid w:val="63CB3CA0"/>
    <w:multiLevelType w:val="hybridMultilevel"/>
    <w:tmpl w:val="88EA13AC"/>
    <w:lvl w:ilvl="0" w:tplc="9DA06AD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28381"/>
    <w:multiLevelType w:val="hybridMultilevel"/>
    <w:tmpl w:val="FFFFFFFF"/>
    <w:lvl w:ilvl="0" w:tplc="00483E1E">
      <w:start w:val="1"/>
      <w:numFmt w:val="bullet"/>
      <w:lvlText w:val="·"/>
      <w:lvlJc w:val="left"/>
      <w:pPr>
        <w:ind w:left="720" w:hanging="360"/>
      </w:pPr>
      <w:rPr>
        <w:rFonts w:ascii="Symbol" w:hAnsi="Symbol" w:hint="default"/>
      </w:rPr>
    </w:lvl>
    <w:lvl w:ilvl="1" w:tplc="8A7E8EEA">
      <w:start w:val="1"/>
      <w:numFmt w:val="bullet"/>
      <w:lvlText w:val="o"/>
      <w:lvlJc w:val="left"/>
      <w:pPr>
        <w:ind w:left="1440" w:hanging="360"/>
      </w:pPr>
      <w:rPr>
        <w:rFonts w:ascii="Courier New" w:hAnsi="Courier New" w:hint="default"/>
      </w:rPr>
    </w:lvl>
    <w:lvl w:ilvl="2" w:tplc="1F042948">
      <w:start w:val="1"/>
      <w:numFmt w:val="bullet"/>
      <w:lvlText w:val=""/>
      <w:lvlJc w:val="left"/>
      <w:pPr>
        <w:ind w:left="2160" w:hanging="360"/>
      </w:pPr>
      <w:rPr>
        <w:rFonts w:ascii="Wingdings" w:hAnsi="Wingdings" w:hint="default"/>
      </w:rPr>
    </w:lvl>
    <w:lvl w:ilvl="3" w:tplc="0080877A">
      <w:start w:val="1"/>
      <w:numFmt w:val="bullet"/>
      <w:lvlText w:val=""/>
      <w:lvlJc w:val="left"/>
      <w:pPr>
        <w:ind w:left="2880" w:hanging="360"/>
      </w:pPr>
      <w:rPr>
        <w:rFonts w:ascii="Symbol" w:hAnsi="Symbol" w:hint="default"/>
      </w:rPr>
    </w:lvl>
    <w:lvl w:ilvl="4" w:tplc="C5749FB6">
      <w:start w:val="1"/>
      <w:numFmt w:val="bullet"/>
      <w:lvlText w:val="o"/>
      <w:lvlJc w:val="left"/>
      <w:pPr>
        <w:ind w:left="3600" w:hanging="360"/>
      </w:pPr>
      <w:rPr>
        <w:rFonts w:ascii="Courier New" w:hAnsi="Courier New" w:hint="default"/>
      </w:rPr>
    </w:lvl>
    <w:lvl w:ilvl="5" w:tplc="75607BE8">
      <w:start w:val="1"/>
      <w:numFmt w:val="bullet"/>
      <w:lvlText w:val=""/>
      <w:lvlJc w:val="left"/>
      <w:pPr>
        <w:ind w:left="4320" w:hanging="360"/>
      </w:pPr>
      <w:rPr>
        <w:rFonts w:ascii="Wingdings" w:hAnsi="Wingdings" w:hint="default"/>
      </w:rPr>
    </w:lvl>
    <w:lvl w:ilvl="6" w:tplc="E78A4168">
      <w:start w:val="1"/>
      <w:numFmt w:val="bullet"/>
      <w:lvlText w:val=""/>
      <w:lvlJc w:val="left"/>
      <w:pPr>
        <w:ind w:left="5040" w:hanging="360"/>
      </w:pPr>
      <w:rPr>
        <w:rFonts w:ascii="Symbol" w:hAnsi="Symbol" w:hint="default"/>
      </w:rPr>
    </w:lvl>
    <w:lvl w:ilvl="7" w:tplc="A4640F96">
      <w:start w:val="1"/>
      <w:numFmt w:val="bullet"/>
      <w:lvlText w:val="o"/>
      <w:lvlJc w:val="left"/>
      <w:pPr>
        <w:ind w:left="5760" w:hanging="360"/>
      </w:pPr>
      <w:rPr>
        <w:rFonts w:ascii="Courier New" w:hAnsi="Courier New" w:hint="default"/>
      </w:rPr>
    </w:lvl>
    <w:lvl w:ilvl="8" w:tplc="4E9E63AE">
      <w:start w:val="1"/>
      <w:numFmt w:val="bullet"/>
      <w:lvlText w:val=""/>
      <w:lvlJc w:val="left"/>
      <w:pPr>
        <w:ind w:left="6480" w:hanging="360"/>
      </w:pPr>
      <w:rPr>
        <w:rFonts w:ascii="Wingdings" w:hAnsi="Wingdings" w:hint="default"/>
      </w:rPr>
    </w:lvl>
  </w:abstractNum>
  <w:abstractNum w:abstractNumId="31" w15:restartNumberingAfterBreak="0">
    <w:nsid w:val="67B21724"/>
    <w:multiLevelType w:val="hybridMultilevel"/>
    <w:tmpl w:val="FFFFFFFF"/>
    <w:lvl w:ilvl="0" w:tplc="16A051F0">
      <w:start w:val="1"/>
      <w:numFmt w:val="bullet"/>
      <w:lvlText w:val="·"/>
      <w:lvlJc w:val="left"/>
      <w:pPr>
        <w:ind w:left="720" w:hanging="360"/>
      </w:pPr>
      <w:rPr>
        <w:rFonts w:ascii="Symbol" w:hAnsi="Symbol" w:hint="default"/>
      </w:rPr>
    </w:lvl>
    <w:lvl w:ilvl="1" w:tplc="C180DE20">
      <w:start w:val="1"/>
      <w:numFmt w:val="bullet"/>
      <w:lvlText w:val="o"/>
      <w:lvlJc w:val="left"/>
      <w:pPr>
        <w:ind w:left="1440" w:hanging="360"/>
      </w:pPr>
      <w:rPr>
        <w:rFonts w:ascii="&quot;Courier New&quot;" w:hAnsi="&quot;Courier New&quot;" w:hint="default"/>
      </w:rPr>
    </w:lvl>
    <w:lvl w:ilvl="2" w:tplc="120CD9D4">
      <w:start w:val="1"/>
      <w:numFmt w:val="bullet"/>
      <w:lvlText w:val=""/>
      <w:lvlJc w:val="left"/>
      <w:pPr>
        <w:ind w:left="2160" w:hanging="360"/>
      </w:pPr>
      <w:rPr>
        <w:rFonts w:ascii="Wingdings" w:hAnsi="Wingdings" w:hint="default"/>
      </w:rPr>
    </w:lvl>
    <w:lvl w:ilvl="3" w:tplc="2A6CD182">
      <w:start w:val="1"/>
      <w:numFmt w:val="bullet"/>
      <w:lvlText w:val=""/>
      <w:lvlJc w:val="left"/>
      <w:pPr>
        <w:ind w:left="2880" w:hanging="360"/>
      </w:pPr>
      <w:rPr>
        <w:rFonts w:ascii="Symbol" w:hAnsi="Symbol" w:hint="default"/>
      </w:rPr>
    </w:lvl>
    <w:lvl w:ilvl="4" w:tplc="EBCC6FE4">
      <w:start w:val="1"/>
      <w:numFmt w:val="bullet"/>
      <w:lvlText w:val="o"/>
      <w:lvlJc w:val="left"/>
      <w:pPr>
        <w:ind w:left="3600" w:hanging="360"/>
      </w:pPr>
      <w:rPr>
        <w:rFonts w:ascii="Courier New" w:hAnsi="Courier New" w:hint="default"/>
      </w:rPr>
    </w:lvl>
    <w:lvl w:ilvl="5" w:tplc="E482EBCE">
      <w:start w:val="1"/>
      <w:numFmt w:val="bullet"/>
      <w:lvlText w:val=""/>
      <w:lvlJc w:val="left"/>
      <w:pPr>
        <w:ind w:left="4320" w:hanging="360"/>
      </w:pPr>
      <w:rPr>
        <w:rFonts w:ascii="Wingdings" w:hAnsi="Wingdings" w:hint="default"/>
      </w:rPr>
    </w:lvl>
    <w:lvl w:ilvl="6" w:tplc="D91809FC">
      <w:start w:val="1"/>
      <w:numFmt w:val="bullet"/>
      <w:lvlText w:val=""/>
      <w:lvlJc w:val="left"/>
      <w:pPr>
        <w:ind w:left="5040" w:hanging="360"/>
      </w:pPr>
      <w:rPr>
        <w:rFonts w:ascii="Symbol" w:hAnsi="Symbol" w:hint="default"/>
      </w:rPr>
    </w:lvl>
    <w:lvl w:ilvl="7" w:tplc="486E2ACA">
      <w:start w:val="1"/>
      <w:numFmt w:val="bullet"/>
      <w:lvlText w:val="o"/>
      <w:lvlJc w:val="left"/>
      <w:pPr>
        <w:ind w:left="5760" w:hanging="360"/>
      </w:pPr>
      <w:rPr>
        <w:rFonts w:ascii="Courier New" w:hAnsi="Courier New" w:hint="default"/>
      </w:rPr>
    </w:lvl>
    <w:lvl w:ilvl="8" w:tplc="FEBE4676">
      <w:start w:val="1"/>
      <w:numFmt w:val="bullet"/>
      <w:lvlText w:val=""/>
      <w:lvlJc w:val="left"/>
      <w:pPr>
        <w:ind w:left="6480" w:hanging="360"/>
      </w:pPr>
      <w:rPr>
        <w:rFonts w:ascii="Wingdings" w:hAnsi="Wingdings" w:hint="default"/>
      </w:rPr>
    </w:lvl>
  </w:abstractNum>
  <w:abstractNum w:abstractNumId="32" w15:restartNumberingAfterBreak="0">
    <w:nsid w:val="70413214"/>
    <w:multiLevelType w:val="hybridMultilevel"/>
    <w:tmpl w:val="CD582FB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56185"/>
    <w:multiLevelType w:val="hybridMultilevel"/>
    <w:tmpl w:val="D30C0348"/>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D34CB7"/>
    <w:multiLevelType w:val="hybridMultilevel"/>
    <w:tmpl w:val="A390333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33F1535"/>
    <w:multiLevelType w:val="hybridMultilevel"/>
    <w:tmpl w:val="5AE8FCCE"/>
    <w:lvl w:ilvl="0" w:tplc="5D0028FA">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7E143A4"/>
    <w:multiLevelType w:val="multilevel"/>
    <w:tmpl w:val="4846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98AB6"/>
    <w:multiLevelType w:val="hybridMultilevel"/>
    <w:tmpl w:val="FFFFFFFF"/>
    <w:lvl w:ilvl="0" w:tplc="5D04E8D4">
      <w:start w:val="1"/>
      <w:numFmt w:val="bullet"/>
      <w:lvlText w:val="·"/>
      <w:lvlJc w:val="left"/>
      <w:pPr>
        <w:ind w:left="720" w:hanging="360"/>
      </w:pPr>
      <w:rPr>
        <w:rFonts w:ascii="Symbol" w:hAnsi="Symbol" w:hint="default"/>
      </w:rPr>
    </w:lvl>
    <w:lvl w:ilvl="1" w:tplc="D284D0FE">
      <w:start w:val="1"/>
      <w:numFmt w:val="bullet"/>
      <w:lvlText w:val="o"/>
      <w:lvlJc w:val="left"/>
      <w:pPr>
        <w:ind w:left="1440" w:hanging="360"/>
      </w:pPr>
      <w:rPr>
        <w:rFonts w:ascii="Courier New" w:hAnsi="Courier New" w:hint="default"/>
      </w:rPr>
    </w:lvl>
    <w:lvl w:ilvl="2" w:tplc="4A82F38E">
      <w:start w:val="1"/>
      <w:numFmt w:val="bullet"/>
      <w:lvlText w:val=""/>
      <w:lvlJc w:val="left"/>
      <w:pPr>
        <w:ind w:left="2160" w:hanging="360"/>
      </w:pPr>
      <w:rPr>
        <w:rFonts w:ascii="Wingdings" w:hAnsi="Wingdings" w:hint="default"/>
      </w:rPr>
    </w:lvl>
    <w:lvl w:ilvl="3" w:tplc="437A1C7C">
      <w:start w:val="1"/>
      <w:numFmt w:val="bullet"/>
      <w:lvlText w:val=""/>
      <w:lvlJc w:val="left"/>
      <w:pPr>
        <w:ind w:left="2880" w:hanging="360"/>
      </w:pPr>
      <w:rPr>
        <w:rFonts w:ascii="Symbol" w:hAnsi="Symbol" w:hint="default"/>
      </w:rPr>
    </w:lvl>
    <w:lvl w:ilvl="4" w:tplc="2DB60D60">
      <w:start w:val="1"/>
      <w:numFmt w:val="bullet"/>
      <w:lvlText w:val="o"/>
      <w:lvlJc w:val="left"/>
      <w:pPr>
        <w:ind w:left="3600" w:hanging="360"/>
      </w:pPr>
      <w:rPr>
        <w:rFonts w:ascii="Courier New" w:hAnsi="Courier New" w:hint="default"/>
      </w:rPr>
    </w:lvl>
    <w:lvl w:ilvl="5" w:tplc="81CA9860">
      <w:start w:val="1"/>
      <w:numFmt w:val="bullet"/>
      <w:lvlText w:val=""/>
      <w:lvlJc w:val="left"/>
      <w:pPr>
        <w:ind w:left="4320" w:hanging="360"/>
      </w:pPr>
      <w:rPr>
        <w:rFonts w:ascii="Wingdings" w:hAnsi="Wingdings" w:hint="default"/>
      </w:rPr>
    </w:lvl>
    <w:lvl w:ilvl="6" w:tplc="40ECF2E4">
      <w:start w:val="1"/>
      <w:numFmt w:val="bullet"/>
      <w:lvlText w:val=""/>
      <w:lvlJc w:val="left"/>
      <w:pPr>
        <w:ind w:left="5040" w:hanging="360"/>
      </w:pPr>
      <w:rPr>
        <w:rFonts w:ascii="Symbol" w:hAnsi="Symbol" w:hint="default"/>
      </w:rPr>
    </w:lvl>
    <w:lvl w:ilvl="7" w:tplc="AB0097DC">
      <w:start w:val="1"/>
      <w:numFmt w:val="bullet"/>
      <w:lvlText w:val="o"/>
      <w:lvlJc w:val="left"/>
      <w:pPr>
        <w:ind w:left="5760" w:hanging="360"/>
      </w:pPr>
      <w:rPr>
        <w:rFonts w:ascii="Courier New" w:hAnsi="Courier New" w:hint="default"/>
      </w:rPr>
    </w:lvl>
    <w:lvl w:ilvl="8" w:tplc="761688B4">
      <w:start w:val="1"/>
      <w:numFmt w:val="bullet"/>
      <w:lvlText w:val=""/>
      <w:lvlJc w:val="left"/>
      <w:pPr>
        <w:ind w:left="6480" w:hanging="360"/>
      </w:pPr>
      <w:rPr>
        <w:rFonts w:ascii="Wingdings" w:hAnsi="Wingdings" w:hint="default"/>
      </w:rPr>
    </w:lvl>
  </w:abstractNum>
  <w:abstractNum w:abstractNumId="38" w15:restartNumberingAfterBreak="0">
    <w:nsid w:val="7F040774"/>
    <w:multiLevelType w:val="hybridMultilevel"/>
    <w:tmpl w:val="08063718"/>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F0D4B52"/>
    <w:multiLevelType w:val="hybridMultilevel"/>
    <w:tmpl w:val="FFFFFFFF"/>
    <w:lvl w:ilvl="0" w:tplc="518260F2">
      <w:start w:val="1"/>
      <w:numFmt w:val="lowerLetter"/>
      <w:lvlText w:val="%1."/>
      <w:lvlJc w:val="left"/>
      <w:pPr>
        <w:ind w:left="720" w:hanging="360"/>
      </w:pPr>
    </w:lvl>
    <w:lvl w:ilvl="1" w:tplc="A4D887E2">
      <w:start w:val="1"/>
      <w:numFmt w:val="lowerLetter"/>
      <w:lvlText w:val="%2."/>
      <w:lvlJc w:val="left"/>
      <w:pPr>
        <w:ind w:left="1440" w:hanging="360"/>
      </w:pPr>
    </w:lvl>
    <w:lvl w:ilvl="2" w:tplc="6324BDA6">
      <w:start w:val="1"/>
      <w:numFmt w:val="lowerRoman"/>
      <w:lvlText w:val="%3."/>
      <w:lvlJc w:val="right"/>
      <w:pPr>
        <w:ind w:left="2160" w:hanging="180"/>
      </w:pPr>
    </w:lvl>
    <w:lvl w:ilvl="3" w:tplc="161214B2">
      <w:start w:val="1"/>
      <w:numFmt w:val="decimal"/>
      <w:lvlText w:val="%4."/>
      <w:lvlJc w:val="left"/>
      <w:pPr>
        <w:ind w:left="2880" w:hanging="360"/>
      </w:pPr>
    </w:lvl>
    <w:lvl w:ilvl="4" w:tplc="559E0CBA">
      <w:start w:val="1"/>
      <w:numFmt w:val="lowerLetter"/>
      <w:lvlText w:val="%5."/>
      <w:lvlJc w:val="left"/>
      <w:pPr>
        <w:ind w:left="3600" w:hanging="360"/>
      </w:pPr>
    </w:lvl>
    <w:lvl w:ilvl="5" w:tplc="93BE5AC2">
      <w:start w:val="1"/>
      <w:numFmt w:val="lowerRoman"/>
      <w:lvlText w:val="%6."/>
      <w:lvlJc w:val="right"/>
      <w:pPr>
        <w:ind w:left="4320" w:hanging="180"/>
      </w:pPr>
    </w:lvl>
    <w:lvl w:ilvl="6" w:tplc="478C2CDE">
      <w:start w:val="1"/>
      <w:numFmt w:val="decimal"/>
      <w:lvlText w:val="%7."/>
      <w:lvlJc w:val="left"/>
      <w:pPr>
        <w:ind w:left="5040" w:hanging="360"/>
      </w:pPr>
    </w:lvl>
    <w:lvl w:ilvl="7" w:tplc="B0CE4DE8">
      <w:start w:val="1"/>
      <w:numFmt w:val="lowerLetter"/>
      <w:lvlText w:val="%8."/>
      <w:lvlJc w:val="left"/>
      <w:pPr>
        <w:ind w:left="5760" w:hanging="360"/>
      </w:pPr>
    </w:lvl>
    <w:lvl w:ilvl="8" w:tplc="216CA7D4">
      <w:start w:val="1"/>
      <w:numFmt w:val="lowerRoman"/>
      <w:lvlText w:val="%9."/>
      <w:lvlJc w:val="right"/>
      <w:pPr>
        <w:ind w:left="6480" w:hanging="180"/>
      </w:pPr>
    </w:lvl>
  </w:abstractNum>
  <w:num w:numId="1">
    <w:abstractNumId w:val="14"/>
  </w:num>
  <w:num w:numId="2">
    <w:abstractNumId w:val="7"/>
  </w:num>
  <w:num w:numId="3">
    <w:abstractNumId w:val="8"/>
  </w:num>
  <w:num w:numId="4">
    <w:abstractNumId w:val="24"/>
  </w:num>
  <w:num w:numId="5">
    <w:abstractNumId w:val="0"/>
  </w:num>
  <w:num w:numId="6">
    <w:abstractNumId w:val="3"/>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5"/>
  </w:num>
  <w:num w:numId="11">
    <w:abstractNumId w:val="20"/>
  </w:num>
  <w:num w:numId="12">
    <w:abstractNumId w:val="21"/>
  </w:num>
  <w:num w:numId="13">
    <w:abstractNumId w:val="28"/>
  </w:num>
  <w:num w:numId="14">
    <w:abstractNumId w:val="31"/>
  </w:num>
  <w:num w:numId="15">
    <w:abstractNumId w:val="6"/>
  </w:num>
  <w:num w:numId="16">
    <w:abstractNumId w:val="17"/>
  </w:num>
  <w:num w:numId="17">
    <w:abstractNumId w:val="37"/>
  </w:num>
  <w:num w:numId="18">
    <w:abstractNumId w:val="39"/>
  </w:num>
  <w:num w:numId="19">
    <w:abstractNumId w:val="23"/>
  </w:num>
  <w:num w:numId="20">
    <w:abstractNumId w:val="5"/>
  </w:num>
  <w:num w:numId="21">
    <w:abstractNumId w:val="30"/>
  </w:num>
  <w:num w:numId="22">
    <w:abstractNumId w:val="26"/>
  </w:num>
  <w:num w:numId="23">
    <w:abstractNumId w:val="16"/>
  </w:num>
  <w:num w:numId="24">
    <w:abstractNumId w:val="4"/>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9"/>
  </w:num>
  <w:num w:numId="28">
    <w:abstractNumId w:val="22"/>
  </w:num>
  <w:num w:numId="29">
    <w:abstractNumId w:val="2"/>
  </w:num>
  <w:num w:numId="30">
    <w:abstractNumId w:val="15"/>
  </w:num>
  <w:num w:numId="31">
    <w:abstractNumId w:val="18"/>
  </w:num>
  <w:num w:numId="32">
    <w:abstractNumId w:val="32"/>
  </w:num>
  <w:num w:numId="33">
    <w:abstractNumId w:val="13"/>
  </w:num>
  <w:num w:numId="34">
    <w:abstractNumId w:val="33"/>
  </w:num>
  <w:num w:numId="35">
    <w:abstractNumId w:val="34"/>
  </w:num>
  <w:num w:numId="36">
    <w:abstractNumId w:val="1"/>
  </w:num>
  <w:num w:numId="37">
    <w:abstractNumId w:val="19"/>
  </w:num>
  <w:num w:numId="38">
    <w:abstractNumId w:val="38"/>
  </w:num>
  <w:num w:numId="39">
    <w:abstractNumId w:val="12"/>
  </w:num>
  <w:num w:numId="40">
    <w:abstractNumId w:val="10"/>
  </w:num>
  <w:num w:numId="41">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es-ES" w:vendorID="64" w:dllVersion="0" w:nlCheck="1" w:checkStyle="0"/>
  <w:activeWritingStyle w:appName="MSWord" w:lang="es-419" w:vendorID="64" w:dllVersion="0" w:nlCheck="1" w:checkStyle="0"/>
  <w:activeWritingStyle w:appName="MSWord" w:lang="es-HN" w:vendorID="64" w:dllVersion="0" w:nlCheck="1" w:checkStyle="0"/>
  <w:activeWritingStyle w:appName="MSWord" w:lang="es-AR" w:vendorID="64" w:dllVersion="0" w:nlCheck="1" w:checkStyle="0"/>
  <w:activeWritingStyle w:appName="MSWord" w:lang="en-GB" w:vendorID="64" w:dllVersion="0" w:nlCheck="1" w:checkStyle="0"/>
  <w:activeWritingStyle w:appName="MSWord" w:lang="es-ES" w:vendorID="64" w:dllVersion="6" w:nlCheck="1" w:checkStyle="0"/>
  <w:activeWritingStyle w:appName="MSWord" w:lang="es-HN" w:vendorID="64" w:dllVersion="6" w:nlCheck="1" w:checkStyle="0"/>
  <w:activeWritingStyle w:appName="MSWord" w:lang="es-AR" w:vendorID="64" w:dllVersion="6" w:nlCheck="1" w:checkStyle="0"/>
  <w:activeWritingStyle w:appName="MSWord" w:lang="es-419"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0"/>
  <w:activeWritingStyle w:appName="MSWord" w:lang="en-US"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131078" w:nlCheck="1" w:checkStyle="0"/>
  <w:activeWritingStyle w:appName="MSWord" w:lang="en-CA"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C0"/>
    <w:rsid w:val="000018F7"/>
    <w:rsid w:val="00002072"/>
    <w:rsid w:val="00003DE1"/>
    <w:rsid w:val="0000429E"/>
    <w:rsid w:val="00005876"/>
    <w:rsid w:val="00005D31"/>
    <w:rsid w:val="00007CBF"/>
    <w:rsid w:val="00011BFD"/>
    <w:rsid w:val="0001230A"/>
    <w:rsid w:val="00012548"/>
    <w:rsid w:val="000143BB"/>
    <w:rsid w:val="00014824"/>
    <w:rsid w:val="0001581D"/>
    <w:rsid w:val="000164A6"/>
    <w:rsid w:val="00020628"/>
    <w:rsid w:val="0002228D"/>
    <w:rsid w:val="00023C85"/>
    <w:rsid w:val="000328F5"/>
    <w:rsid w:val="00033C2C"/>
    <w:rsid w:val="000340E1"/>
    <w:rsid w:val="00036005"/>
    <w:rsid w:val="000403D1"/>
    <w:rsid w:val="0004050B"/>
    <w:rsid w:val="00040E12"/>
    <w:rsid w:val="00041F15"/>
    <w:rsid w:val="00043A78"/>
    <w:rsid w:val="000447CC"/>
    <w:rsid w:val="000449AA"/>
    <w:rsid w:val="000471F4"/>
    <w:rsid w:val="00047514"/>
    <w:rsid w:val="00050F6B"/>
    <w:rsid w:val="00051CAE"/>
    <w:rsid w:val="00052268"/>
    <w:rsid w:val="00053976"/>
    <w:rsid w:val="000556EF"/>
    <w:rsid w:val="00055BDF"/>
    <w:rsid w:val="00055D8E"/>
    <w:rsid w:val="00056144"/>
    <w:rsid w:val="00057340"/>
    <w:rsid w:val="0006130B"/>
    <w:rsid w:val="0006157A"/>
    <w:rsid w:val="00064044"/>
    <w:rsid w:val="0006627C"/>
    <w:rsid w:val="0006657E"/>
    <w:rsid w:val="00066D1E"/>
    <w:rsid w:val="00070FC6"/>
    <w:rsid w:val="00071A78"/>
    <w:rsid w:val="000720D1"/>
    <w:rsid w:val="00072C8C"/>
    <w:rsid w:val="00072D1F"/>
    <w:rsid w:val="00073645"/>
    <w:rsid w:val="00073E70"/>
    <w:rsid w:val="00073E8A"/>
    <w:rsid w:val="0007473D"/>
    <w:rsid w:val="00076103"/>
    <w:rsid w:val="00076692"/>
    <w:rsid w:val="00077AE1"/>
    <w:rsid w:val="00080354"/>
    <w:rsid w:val="00083ABC"/>
    <w:rsid w:val="00083C7E"/>
    <w:rsid w:val="00084921"/>
    <w:rsid w:val="000905E1"/>
    <w:rsid w:val="00091419"/>
    <w:rsid w:val="000922EA"/>
    <w:rsid w:val="000931C0"/>
    <w:rsid w:val="000943A2"/>
    <w:rsid w:val="0009646D"/>
    <w:rsid w:val="00096915"/>
    <w:rsid w:val="0009778C"/>
    <w:rsid w:val="000A1455"/>
    <w:rsid w:val="000A55D1"/>
    <w:rsid w:val="000B1689"/>
    <w:rsid w:val="000B175B"/>
    <w:rsid w:val="000B3A0F"/>
    <w:rsid w:val="000B3D4B"/>
    <w:rsid w:val="000B3D4C"/>
    <w:rsid w:val="000B5865"/>
    <w:rsid w:val="000B60DB"/>
    <w:rsid w:val="000C4D46"/>
    <w:rsid w:val="000C5BFD"/>
    <w:rsid w:val="000C7B91"/>
    <w:rsid w:val="000D7BC4"/>
    <w:rsid w:val="000E0415"/>
    <w:rsid w:val="000E2523"/>
    <w:rsid w:val="000E28C5"/>
    <w:rsid w:val="000E2CA8"/>
    <w:rsid w:val="000E40CF"/>
    <w:rsid w:val="000E43DA"/>
    <w:rsid w:val="000E5D63"/>
    <w:rsid w:val="000E67F4"/>
    <w:rsid w:val="000F3328"/>
    <w:rsid w:val="000F60C3"/>
    <w:rsid w:val="0010117E"/>
    <w:rsid w:val="0010196C"/>
    <w:rsid w:val="00103F7C"/>
    <w:rsid w:val="001056BA"/>
    <w:rsid w:val="00105C07"/>
    <w:rsid w:val="00107454"/>
    <w:rsid w:val="00112D9B"/>
    <w:rsid w:val="00113158"/>
    <w:rsid w:val="001133D9"/>
    <w:rsid w:val="00114222"/>
    <w:rsid w:val="00114570"/>
    <w:rsid w:val="00114690"/>
    <w:rsid w:val="001178F5"/>
    <w:rsid w:val="00124A07"/>
    <w:rsid w:val="001267E8"/>
    <w:rsid w:val="00127E66"/>
    <w:rsid w:val="001319F5"/>
    <w:rsid w:val="00131A48"/>
    <w:rsid w:val="00133CEE"/>
    <w:rsid w:val="00134AF5"/>
    <w:rsid w:val="001368C5"/>
    <w:rsid w:val="00140F82"/>
    <w:rsid w:val="0014113E"/>
    <w:rsid w:val="00141EE6"/>
    <w:rsid w:val="001448BD"/>
    <w:rsid w:val="00145B6E"/>
    <w:rsid w:val="00146D32"/>
    <w:rsid w:val="001509BA"/>
    <w:rsid w:val="00154211"/>
    <w:rsid w:val="00154443"/>
    <w:rsid w:val="00163DD2"/>
    <w:rsid w:val="00164216"/>
    <w:rsid w:val="00164492"/>
    <w:rsid w:val="00164CC4"/>
    <w:rsid w:val="00167091"/>
    <w:rsid w:val="001675DE"/>
    <w:rsid w:val="00170FE0"/>
    <w:rsid w:val="001736AC"/>
    <w:rsid w:val="001739C7"/>
    <w:rsid w:val="00174CD5"/>
    <w:rsid w:val="0017587B"/>
    <w:rsid w:val="001767A9"/>
    <w:rsid w:val="0017708E"/>
    <w:rsid w:val="00181EDA"/>
    <w:rsid w:val="00182429"/>
    <w:rsid w:val="0018257C"/>
    <w:rsid w:val="001826DD"/>
    <w:rsid w:val="00182DB3"/>
    <w:rsid w:val="00184F17"/>
    <w:rsid w:val="001912A2"/>
    <w:rsid w:val="00191EBC"/>
    <w:rsid w:val="00194387"/>
    <w:rsid w:val="00194442"/>
    <w:rsid w:val="001962C0"/>
    <w:rsid w:val="00197CF6"/>
    <w:rsid w:val="001A07B8"/>
    <w:rsid w:val="001A0C56"/>
    <w:rsid w:val="001A1E21"/>
    <w:rsid w:val="001A5D48"/>
    <w:rsid w:val="001A72C7"/>
    <w:rsid w:val="001A7DB1"/>
    <w:rsid w:val="001B08D2"/>
    <w:rsid w:val="001B3A34"/>
    <w:rsid w:val="001B3B9F"/>
    <w:rsid w:val="001B3BF1"/>
    <w:rsid w:val="001B431D"/>
    <w:rsid w:val="001B4B04"/>
    <w:rsid w:val="001B7AC6"/>
    <w:rsid w:val="001C5D6D"/>
    <w:rsid w:val="001C6663"/>
    <w:rsid w:val="001C7073"/>
    <w:rsid w:val="001C7895"/>
    <w:rsid w:val="001C7D17"/>
    <w:rsid w:val="001D03C5"/>
    <w:rsid w:val="001D0ABC"/>
    <w:rsid w:val="001D0AE4"/>
    <w:rsid w:val="001D1BC1"/>
    <w:rsid w:val="001D26DF"/>
    <w:rsid w:val="001D3F7E"/>
    <w:rsid w:val="001D4793"/>
    <w:rsid w:val="001D635A"/>
    <w:rsid w:val="001D68A0"/>
    <w:rsid w:val="001E0A4E"/>
    <w:rsid w:val="001E1FC7"/>
    <w:rsid w:val="001E22A1"/>
    <w:rsid w:val="001E4015"/>
    <w:rsid w:val="001F06D4"/>
    <w:rsid w:val="001F0E62"/>
    <w:rsid w:val="001F30D8"/>
    <w:rsid w:val="001F39AC"/>
    <w:rsid w:val="001F46A6"/>
    <w:rsid w:val="001F4D66"/>
    <w:rsid w:val="001F4FC6"/>
    <w:rsid w:val="001F5AE1"/>
    <w:rsid w:val="001F5FFD"/>
    <w:rsid w:val="001F733E"/>
    <w:rsid w:val="001F7CEF"/>
    <w:rsid w:val="00202F4C"/>
    <w:rsid w:val="00202FCF"/>
    <w:rsid w:val="00203414"/>
    <w:rsid w:val="002043CF"/>
    <w:rsid w:val="00205A1A"/>
    <w:rsid w:val="002068E3"/>
    <w:rsid w:val="00207A9A"/>
    <w:rsid w:val="00207FE4"/>
    <w:rsid w:val="00211A5A"/>
    <w:rsid w:val="00211E0B"/>
    <w:rsid w:val="00211E72"/>
    <w:rsid w:val="00212C5D"/>
    <w:rsid w:val="00213F2B"/>
    <w:rsid w:val="00214047"/>
    <w:rsid w:val="0022130F"/>
    <w:rsid w:val="002227B9"/>
    <w:rsid w:val="00222BBE"/>
    <w:rsid w:val="00225DFE"/>
    <w:rsid w:val="0022672B"/>
    <w:rsid w:val="00231F40"/>
    <w:rsid w:val="00232B54"/>
    <w:rsid w:val="00233287"/>
    <w:rsid w:val="00235720"/>
    <w:rsid w:val="00236946"/>
    <w:rsid w:val="00237785"/>
    <w:rsid w:val="00241466"/>
    <w:rsid w:val="00243B4F"/>
    <w:rsid w:val="00244200"/>
    <w:rsid w:val="0024667D"/>
    <w:rsid w:val="00247FAE"/>
    <w:rsid w:val="002508E6"/>
    <w:rsid w:val="00253D58"/>
    <w:rsid w:val="00254A6C"/>
    <w:rsid w:val="002553DD"/>
    <w:rsid w:val="00255807"/>
    <w:rsid w:val="0025610D"/>
    <w:rsid w:val="00257FF6"/>
    <w:rsid w:val="002600E7"/>
    <w:rsid w:val="00260493"/>
    <w:rsid w:val="00261612"/>
    <w:rsid w:val="0026176B"/>
    <w:rsid w:val="00263956"/>
    <w:rsid w:val="00263C34"/>
    <w:rsid w:val="00263D2A"/>
    <w:rsid w:val="00265CAA"/>
    <w:rsid w:val="00266DB7"/>
    <w:rsid w:val="00267907"/>
    <w:rsid w:val="00271C3A"/>
    <w:rsid w:val="0027261B"/>
    <w:rsid w:val="00274DE9"/>
    <w:rsid w:val="00275587"/>
    <w:rsid w:val="0027604D"/>
    <w:rsid w:val="00280EBB"/>
    <w:rsid w:val="002816AA"/>
    <w:rsid w:val="00283155"/>
    <w:rsid w:val="00286BE3"/>
    <w:rsid w:val="002905F4"/>
    <w:rsid w:val="00290A24"/>
    <w:rsid w:val="00291E25"/>
    <w:rsid w:val="00292E5D"/>
    <w:rsid w:val="00294ED5"/>
    <w:rsid w:val="00294EF7"/>
    <w:rsid w:val="00297141"/>
    <w:rsid w:val="002A02A5"/>
    <w:rsid w:val="002A0EE6"/>
    <w:rsid w:val="002A1205"/>
    <w:rsid w:val="002A2566"/>
    <w:rsid w:val="002A3A1F"/>
    <w:rsid w:val="002A3D56"/>
    <w:rsid w:val="002A3DA2"/>
    <w:rsid w:val="002A447C"/>
    <w:rsid w:val="002A4BE5"/>
    <w:rsid w:val="002A5D31"/>
    <w:rsid w:val="002A7C57"/>
    <w:rsid w:val="002B2D7F"/>
    <w:rsid w:val="002B44FE"/>
    <w:rsid w:val="002B5164"/>
    <w:rsid w:val="002B5A3D"/>
    <w:rsid w:val="002C0119"/>
    <w:rsid w:val="002C21F0"/>
    <w:rsid w:val="002C73AE"/>
    <w:rsid w:val="002D2531"/>
    <w:rsid w:val="002D39FB"/>
    <w:rsid w:val="002D7686"/>
    <w:rsid w:val="002E174B"/>
    <w:rsid w:val="002E5FC5"/>
    <w:rsid w:val="002E61B5"/>
    <w:rsid w:val="002F1284"/>
    <w:rsid w:val="002F1B27"/>
    <w:rsid w:val="002F1EFA"/>
    <w:rsid w:val="002F223A"/>
    <w:rsid w:val="002F2977"/>
    <w:rsid w:val="002F4ABD"/>
    <w:rsid w:val="002F6044"/>
    <w:rsid w:val="002F744F"/>
    <w:rsid w:val="00300ABB"/>
    <w:rsid w:val="00303F57"/>
    <w:rsid w:val="0030509F"/>
    <w:rsid w:val="00306958"/>
    <w:rsid w:val="003107AF"/>
    <w:rsid w:val="003107FA"/>
    <w:rsid w:val="00313018"/>
    <w:rsid w:val="0031424D"/>
    <w:rsid w:val="00315235"/>
    <w:rsid w:val="00316491"/>
    <w:rsid w:val="003212EF"/>
    <w:rsid w:val="0032160C"/>
    <w:rsid w:val="003229D8"/>
    <w:rsid w:val="00325454"/>
    <w:rsid w:val="00325909"/>
    <w:rsid w:val="003271A5"/>
    <w:rsid w:val="00330024"/>
    <w:rsid w:val="00330C83"/>
    <w:rsid w:val="003313A3"/>
    <w:rsid w:val="00332ACF"/>
    <w:rsid w:val="003343D1"/>
    <w:rsid w:val="003355B9"/>
    <w:rsid w:val="00335972"/>
    <w:rsid w:val="00335A2F"/>
    <w:rsid w:val="00335E80"/>
    <w:rsid w:val="0033658B"/>
    <w:rsid w:val="00337F77"/>
    <w:rsid w:val="00340F64"/>
    <w:rsid w:val="003414A3"/>
    <w:rsid w:val="0034221B"/>
    <w:rsid w:val="00345E5F"/>
    <w:rsid w:val="003474D9"/>
    <w:rsid w:val="003531F1"/>
    <w:rsid w:val="00353DDE"/>
    <w:rsid w:val="0035675E"/>
    <w:rsid w:val="003578B5"/>
    <w:rsid w:val="00357A3D"/>
    <w:rsid w:val="00357B3B"/>
    <w:rsid w:val="0036098E"/>
    <w:rsid w:val="00361484"/>
    <w:rsid w:val="003620CC"/>
    <w:rsid w:val="00362FDB"/>
    <w:rsid w:val="003637A8"/>
    <w:rsid w:val="0036581A"/>
    <w:rsid w:val="00366057"/>
    <w:rsid w:val="00371E9E"/>
    <w:rsid w:val="00374824"/>
    <w:rsid w:val="0037748D"/>
    <w:rsid w:val="00381464"/>
    <w:rsid w:val="00381486"/>
    <w:rsid w:val="00386C76"/>
    <w:rsid w:val="00386E95"/>
    <w:rsid w:val="0038706F"/>
    <w:rsid w:val="0038791C"/>
    <w:rsid w:val="003902FA"/>
    <w:rsid w:val="0039164C"/>
    <w:rsid w:val="0039277A"/>
    <w:rsid w:val="00393375"/>
    <w:rsid w:val="003937A4"/>
    <w:rsid w:val="00396BB4"/>
    <w:rsid w:val="003972E0"/>
    <w:rsid w:val="00397C37"/>
    <w:rsid w:val="003A11FE"/>
    <w:rsid w:val="003A3A0F"/>
    <w:rsid w:val="003A5B3C"/>
    <w:rsid w:val="003B1A3C"/>
    <w:rsid w:val="003B72B8"/>
    <w:rsid w:val="003C0667"/>
    <w:rsid w:val="003C1EFD"/>
    <w:rsid w:val="003C2CC4"/>
    <w:rsid w:val="003C370C"/>
    <w:rsid w:val="003C4968"/>
    <w:rsid w:val="003C4DE3"/>
    <w:rsid w:val="003C6D24"/>
    <w:rsid w:val="003D18B9"/>
    <w:rsid w:val="003D1D2F"/>
    <w:rsid w:val="003D4879"/>
    <w:rsid w:val="003D4B23"/>
    <w:rsid w:val="003D4E43"/>
    <w:rsid w:val="003D4E49"/>
    <w:rsid w:val="003D55F6"/>
    <w:rsid w:val="003D6F5D"/>
    <w:rsid w:val="003E11AE"/>
    <w:rsid w:val="003E143F"/>
    <w:rsid w:val="003E5C9B"/>
    <w:rsid w:val="003E7E3D"/>
    <w:rsid w:val="003E7F5E"/>
    <w:rsid w:val="003F460F"/>
    <w:rsid w:val="003F4726"/>
    <w:rsid w:val="003F4DE6"/>
    <w:rsid w:val="003F55F5"/>
    <w:rsid w:val="003F56DF"/>
    <w:rsid w:val="003F7FB6"/>
    <w:rsid w:val="004000F8"/>
    <w:rsid w:val="00400150"/>
    <w:rsid w:val="0040114A"/>
    <w:rsid w:val="00401771"/>
    <w:rsid w:val="00402F3D"/>
    <w:rsid w:val="004038A0"/>
    <w:rsid w:val="004045E3"/>
    <w:rsid w:val="004058DC"/>
    <w:rsid w:val="00405975"/>
    <w:rsid w:val="00406355"/>
    <w:rsid w:val="00406DBC"/>
    <w:rsid w:val="00410CFF"/>
    <w:rsid w:val="00412791"/>
    <w:rsid w:val="004136BC"/>
    <w:rsid w:val="00413B22"/>
    <w:rsid w:val="004143CF"/>
    <w:rsid w:val="0041492D"/>
    <w:rsid w:val="00414FEB"/>
    <w:rsid w:val="00415104"/>
    <w:rsid w:val="004170AC"/>
    <w:rsid w:val="00421505"/>
    <w:rsid w:val="00422737"/>
    <w:rsid w:val="00424C80"/>
    <w:rsid w:val="004265AF"/>
    <w:rsid w:val="0042682E"/>
    <w:rsid w:val="004321BB"/>
    <w:rsid w:val="00432463"/>
    <w:rsid w:val="00432499"/>
    <w:rsid w:val="004325CB"/>
    <w:rsid w:val="0043536E"/>
    <w:rsid w:val="00436E96"/>
    <w:rsid w:val="00440597"/>
    <w:rsid w:val="00440DCF"/>
    <w:rsid w:val="004413A1"/>
    <w:rsid w:val="00441B22"/>
    <w:rsid w:val="00443249"/>
    <w:rsid w:val="00443B38"/>
    <w:rsid w:val="00443E6A"/>
    <w:rsid w:val="0044481E"/>
    <w:rsid w:val="0044503A"/>
    <w:rsid w:val="00446DE4"/>
    <w:rsid w:val="00446FF4"/>
    <w:rsid w:val="0044778D"/>
    <w:rsid w:val="00450267"/>
    <w:rsid w:val="00451C13"/>
    <w:rsid w:val="00451EC3"/>
    <w:rsid w:val="00453C58"/>
    <w:rsid w:val="004554EE"/>
    <w:rsid w:val="00457F1A"/>
    <w:rsid w:val="004608CD"/>
    <w:rsid w:val="004635F4"/>
    <w:rsid w:val="00463FB4"/>
    <w:rsid w:val="00463FDD"/>
    <w:rsid w:val="004647E3"/>
    <w:rsid w:val="004654AC"/>
    <w:rsid w:val="0046599D"/>
    <w:rsid w:val="00465AD1"/>
    <w:rsid w:val="00466BC9"/>
    <w:rsid w:val="00470A37"/>
    <w:rsid w:val="00470C7F"/>
    <w:rsid w:val="0047498D"/>
    <w:rsid w:val="0048003A"/>
    <w:rsid w:val="0048039A"/>
    <w:rsid w:val="004832D4"/>
    <w:rsid w:val="004859EC"/>
    <w:rsid w:val="00487D45"/>
    <w:rsid w:val="0049041A"/>
    <w:rsid w:val="00491E69"/>
    <w:rsid w:val="0049324F"/>
    <w:rsid w:val="004964DA"/>
    <w:rsid w:val="0049699B"/>
    <w:rsid w:val="00496A15"/>
    <w:rsid w:val="004A5686"/>
    <w:rsid w:val="004B106A"/>
    <w:rsid w:val="004B27B4"/>
    <w:rsid w:val="004B38C3"/>
    <w:rsid w:val="004B3ADD"/>
    <w:rsid w:val="004B4F94"/>
    <w:rsid w:val="004B557C"/>
    <w:rsid w:val="004B76E9"/>
    <w:rsid w:val="004C1B6E"/>
    <w:rsid w:val="004C45D6"/>
    <w:rsid w:val="004C4D6F"/>
    <w:rsid w:val="004C55A7"/>
    <w:rsid w:val="004C7E2D"/>
    <w:rsid w:val="004D1D30"/>
    <w:rsid w:val="004D28D1"/>
    <w:rsid w:val="004D367B"/>
    <w:rsid w:val="004D3DD9"/>
    <w:rsid w:val="004D47C8"/>
    <w:rsid w:val="004D50AB"/>
    <w:rsid w:val="004D78DD"/>
    <w:rsid w:val="004E0C50"/>
    <w:rsid w:val="004E1D40"/>
    <w:rsid w:val="004E1F26"/>
    <w:rsid w:val="004E2FCC"/>
    <w:rsid w:val="004E33FB"/>
    <w:rsid w:val="004E361F"/>
    <w:rsid w:val="004E3943"/>
    <w:rsid w:val="004E4B9C"/>
    <w:rsid w:val="004E57BE"/>
    <w:rsid w:val="004F0716"/>
    <w:rsid w:val="004F3A52"/>
    <w:rsid w:val="004F55ED"/>
    <w:rsid w:val="00500D8E"/>
    <w:rsid w:val="00500E21"/>
    <w:rsid w:val="00500F1A"/>
    <w:rsid w:val="00501675"/>
    <w:rsid w:val="00501FAD"/>
    <w:rsid w:val="005027D9"/>
    <w:rsid w:val="00511A33"/>
    <w:rsid w:val="005120EB"/>
    <w:rsid w:val="005138CD"/>
    <w:rsid w:val="00514963"/>
    <w:rsid w:val="00517760"/>
    <w:rsid w:val="0052080C"/>
    <w:rsid w:val="00520D98"/>
    <w:rsid w:val="0052176C"/>
    <w:rsid w:val="00522104"/>
    <w:rsid w:val="005228AE"/>
    <w:rsid w:val="00522C8F"/>
    <w:rsid w:val="00523846"/>
    <w:rsid w:val="00523919"/>
    <w:rsid w:val="0052415A"/>
    <w:rsid w:val="005261E5"/>
    <w:rsid w:val="00530025"/>
    <w:rsid w:val="00530CAF"/>
    <w:rsid w:val="0053268B"/>
    <w:rsid w:val="005400EC"/>
    <w:rsid w:val="005420F2"/>
    <w:rsid w:val="00542574"/>
    <w:rsid w:val="005436AB"/>
    <w:rsid w:val="00545E75"/>
    <w:rsid w:val="00546048"/>
    <w:rsid w:val="00546592"/>
    <w:rsid w:val="00546DBF"/>
    <w:rsid w:val="0055366F"/>
    <w:rsid w:val="00553B06"/>
    <w:rsid w:val="005549F2"/>
    <w:rsid w:val="005552B5"/>
    <w:rsid w:val="00555778"/>
    <w:rsid w:val="005608DF"/>
    <w:rsid w:val="00561CE8"/>
    <w:rsid w:val="00565213"/>
    <w:rsid w:val="00566505"/>
    <w:rsid w:val="00566571"/>
    <w:rsid w:val="005670DF"/>
    <w:rsid w:val="005703D3"/>
    <w:rsid w:val="00571365"/>
    <w:rsid w:val="005731F9"/>
    <w:rsid w:val="00574E1E"/>
    <w:rsid w:val="005775E9"/>
    <w:rsid w:val="00577D9A"/>
    <w:rsid w:val="00581836"/>
    <w:rsid w:val="00584FE3"/>
    <w:rsid w:val="00587C92"/>
    <w:rsid w:val="0059220D"/>
    <w:rsid w:val="005925A6"/>
    <w:rsid w:val="00594EA6"/>
    <w:rsid w:val="00595748"/>
    <w:rsid w:val="00596F13"/>
    <w:rsid w:val="00597880"/>
    <w:rsid w:val="005A188F"/>
    <w:rsid w:val="005A1ADC"/>
    <w:rsid w:val="005A2235"/>
    <w:rsid w:val="005A2A2D"/>
    <w:rsid w:val="005A4E3A"/>
    <w:rsid w:val="005A5435"/>
    <w:rsid w:val="005B048C"/>
    <w:rsid w:val="005B118D"/>
    <w:rsid w:val="005B220F"/>
    <w:rsid w:val="005B2356"/>
    <w:rsid w:val="005B277C"/>
    <w:rsid w:val="005B2928"/>
    <w:rsid w:val="005B31EF"/>
    <w:rsid w:val="005B3DB3"/>
    <w:rsid w:val="005B5E26"/>
    <w:rsid w:val="005B5E2A"/>
    <w:rsid w:val="005B6E48"/>
    <w:rsid w:val="005C3AA3"/>
    <w:rsid w:val="005C3C1F"/>
    <w:rsid w:val="005C61EB"/>
    <w:rsid w:val="005D0899"/>
    <w:rsid w:val="005D0A06"/>
    <w:rsid w:val="005D0C7C"/>
    <w:rsid w:val="005D7D26"/>
    <w:rsid w:val="005E2A01"/>
    <w:rsid w:val="005E34EC"/>
    <w:rsid w:val="005E677F"/>
    <w:rsid w:val="005F000E"/>
    <w:rsid w:val="005F2A1E"/>
    <w:rsid w:val="005F42AE"/>
    <w:rsid w:val="005F43C8"/>
    <w:rsid w:val="005F44AC"/>
    <w:rsid w:val="005F6286"/>
    <w:rsid w:val="005F635C"/>
    <w:rsid w:val="005F6FD0"/>
    <w:rsid w:val="005F7FB4"/>
    <w:rsid w:val="006028BF"/>
    <w:rsid w:val="006029F5"/>
    <w:rsid w:val="00602F5D"/>
    <w:rsid w:val="00602F87"/>
    <w:rsid w:val="0060626B"/>
    <w:rsid w:val="00606E88"/>
    <w:rsid w:val="00607B10"/>
    <w:rsid w:val="00611FC4"/>
    <w:rsid w:val="00612EC6"/>
    <w:rsid w:val="00612F92"/>
    <w:rsid w:val="00613563"/>
    <w:rsid w:val="00613EEA"/>
    <w:rsid w:val="006153F8"/>
    <w:rsid w:val="006166A4"/>
    <w:rsid w:val="00616D4D"/>
    <w:rsid w:val="006176FB"/>
    <w:rsid w:val="00617C5F"/>
    <w:rsid w:val="00620065"/>
    <w:rsid w:val="00620F29"/>
    <w:rsid w:val="00624343"/>
    <w:rsid w:val="0062470E"/>
    <w:rsid w:val="006262D3"/>
    <w:rsid w:val="006301B4"/>
    <w:rsid w:val="00630AAC"/>
    <w:rsid w:val="00630B46"/>
    <w:rsid w:val="00630DA4"/>
    <w:rsid w:val="00632E17"/>
    <w:rsid w:val="00633E43"/>
    <w:rsid w:val="00634026"/>
    <w:rsid w:val="00635FE3"/>
    <w:rsid w:val="006364BF"/>
    <w:rsid w:val="00637FDA"/>
    <w:rsid w:val="00640B26"/>
    <w:rsid w:val="00641601"/>
    <w:rsid w:val="00641B65"/>
    <w:rsid w:val="006454EF"/>
    <w:rsid w:val="0065064C"/>
    <w:rsid w:val="00651339"/>
    <w:rsid w:val="0065150C"/>
    <w:rsid w:val="00651968"/>
    <w:rsid w:val="006529E4"/>
    <w:rsid w:val="00653567"/>
    <w:rsid w:val="00654DA4"/>
    <w:rsid w:val="00654DEE"/>
    <w:rsid w:val="006579D8"/>
    <w:rsid w:val="00661A4A"/>
    <w:rsid w:val="006627E6"/>
    <w:rsid w:val="00666C5D"/>
    <w:rsid w:val="00667445"/>
    <w:rsid w:val="00667907"/>
    <w:rsid w:val="00670741"/>
    <w:rsid w:val="006722EC"/>
    <w:rsid w:val="00673998"/>
    <w:rsid w:val="00673DE6"/>
    <w:rsid w:val="00674336"/>
    <w:rsid w:val="00674D77"/>
    <w:rsid w:val="006767F5"/>
    <w:rsid w:val="00680364"/>
    <w:rsid w:val="00680863"/>
    <w:rsid w:val="00682272"/>
    <w:rsid w:val="006823A8"/>
    <w:rsid w:val="00682563"/>
    <w:rsid w:val="00683487"/>
    <w:rsid w:val="0068378D"/>
    <w:rsid w:val="00685B06"/>
    <w:rsid w:val="006862A8"/>
    <w:rsid w:val="00687CAE"/>
    <w:rsid w:val="00691098"/>
    <w:rsid w:val="006A0EE6"/>
    <w:rsid w:val="006A2588"/>
    <w:rsid w:val="006A290E"/>
    <w:rsid w:val="006A3426"/>
    <w:rsid w:val="006A39B5"/>
    <w:rsid w:val="006A3F7E"/>
    <w:rsid w:val="006A4294"/>
    <w:rsid w:val="006A43A1"/>
    <w:rsid w:val="006A5099"/>
    <w:rsid w:val="006A58D2"/>
    <w:rsid w:val="006A7392"/>
    <w:rsid w:val="006B0FF8"/>
    <w:rsid w:val="006B1C90"/>
    <w:rsid w:val="006B1DA8"/>
    <w:rsid w:val="006B1EB8"/>
    <w:rsid w:val="006B3189"/>
    <w:rsid w:val="006B3281"/>
    <w:rsid w:val="006B3D7C"/>
    <w:rsid w:val="006B504B"/>
    <w:rsid w:val="006B716E"/>
    <w:rsid w:val="006B7D65"/>
    <w:rsid w:val="006C12B1"/>
    <w:rsid w:val="006C4179"/>
    <w:rsid w:val="006C6507"/>
    <w:rsid w:val="006C77D6"/>
    <w:rsid w:val="006D04CB"/>
    <w:rsid w:val="006D2ADB"/>
    <w:rsid w:val="006D3805"/>
    <w:rsid w:val="006D3CA0"/>
    <w:rsid w:val="006D3F3D"/>
    <w:rsid w:val="006D43F4"/>
    <w:rsid w:val="006D59C7"/>
    <w:rsid w:val="006E1808"/>
    <w:rsid w:val="006E19B0"/>
    <w:rsid w:val="006E259E"/>
    <w:rsid w:val="006E4110"/>
    <w:rsid w:val="006E4457"/>
    <w:rsid w:val="006E52CC"/>
    <w:rsid w:val="006E564B"/>
    <w:rsid w:val="006E5A14"/>
    <w:rsid w:val="006E7C69"/>
    <w:rsid w:val="006E7D91"/>
    <w:rsid w:val="006F099A"/>
    <w:rsid w:val="006F1B19"/>
    <w:rsid w:val="006F42D5"/>
    <w:rsid w:val="006F67A8"/>
    <w:rsid w:val="006F6A61"/>
    <w:rsid w:val="006F70E6"/>
    <w:rsid w:val="00700D1F"/>
    <w:rsid w:val="0070125D"/>
    <w:rsid w:val="00703140"/>
    <w:rsid w:val="00703F34"/>
    <w:rsid w:val="007043BA"/>
    <w:rsid w:val="00705C08"/>
    <w:rsid w:val="00710455"/>
    <w:rsid w:val="00710D06"/>
    <w:rsid w:val="007202EE"/>
    <w:rsid w:val="0072050A"/>
    <w:rsid w:val="0072339C"/>
    <w:rsid w:val="007255FD"/>
    <w:rsid w:val="00725A48"/>
    <w:rsid w:val="0072632A"/>
    <w:rsid w:val="007273C8"/>
    <w:rsid w:val="00736532"/>
    <w:rsid w:val="00737BBF"/>
    <w:rsid w:val="0074200B"/>
    <w:rsid w:val="0074281A"/>
    <w:rsid w:val="00743766"/>
    <w:rsid w:val="00744339"/>
    <w:rsid w:val="0074465D"/>
    <w:rsid w:val="00746465"/>
    <w:rsid w:val="00746D5E"/>
    <w:rsid w:val="00747023"/>
    <w:rsid w:val="00747918"/>
    <w:rsid w:val="00747A4B"/>
    <w:rsid w:val="00752B00"/>
    <w:rsid w:val="0075571B"/>
    <w:rsid w:val="007561EA"/>
    <w:rsid w:val="00761434"/>
    <w:rsid w:val="007624EA"/>
    <w:rsid w:val="0076268F"/>
    <w:rsid w:val="00764F96"/>
    <w:rsid w:val="00766EB5"/>
    <w:rsid w:val="00772364"/>
    <w:rsid w:val="0077605C"/>
    <w:rsid w:val="007776F2"/>
    <w:rsid w:val="00777796"/>
    <w:rsid w:val="00780E9F"/>
    <w:rsid w:val="0078476A"/>
    <w:rsid w:val="00791E16"/>
    <w:rsid w:val="00792B66"/>
    <w:rsid w:val="00792C71"/>
    <w:rsid w:val="00797004"/>
    <w:rsid w:val="007A038A"/>
    <w:rsid w:val="007A14CD"/>
    <w:rsid w:val="007A44C0"/>
    <w:rsid w:val="007A6296"/>
    <w:rsid w:val="007B23BA"/>
    <w:rsid w:val="007B39F4"/>
    <w:rsid w:val="007B6BA5"/>
    <w:rsid w:val="007C13E2"/>
    <w:rsid w:val="007C1B62"/>
    <w:rsid w:val="007C3390"/>
    <w:rsid w:val="007C4352"/>
    <w:rsid w:val="007C4F4B"/>
    <w:rsid w:val="007C5053"/>
    <w:rsid w:val="007C5A2B"/>
    <w:rsid w:val="007C62D3"/>
    <w:rsid w:val="007D04AB"/>
    <w:rsid w:val="007D0AD0"/>
    <w:rsid w:val="007D2CDC"/>
    <w:rsid w:val="007D5327"/>
    <w:rsid w:val="007D6736"/>
    <w:rsid w:val="007E0453"/>
    <w:rsid w:val="007E0C9D"/>
    <w:rsid w:val="007E23B5"/>
    <w:rsid w:val="007E28B1"/>
    <w:rsid w:val="007E38AE"/>
    <w:rsid w:val="007E3B9A"/>
    <w:rsid w:val="007E3BB6"/>
    <w:rsid w:val="007E4C50"/>
    <w:rsid w:val="007E652C"/>
    <w:rsid w:val="007F1545"/>
    <w:rsid w:val="007F1A04"/>
    <w:rsid w:val="007F200A"/>
    <w:rsid w:val="007F5651"/>
    <w:rsid w:val="007F5BEF"/>
    <w:rsid w:val="007F6611"/>
    <w:rsid w:val="008013BB"/>
    <w:rsid w:val="008025D9"/>
    <w:rsid w:val="00802E7A"/>
    <w:rsid w:val="00803AFC"/>
    <w:rsid w:val="00805958"/>
    <w:rsid w:val="008060DF"/>
    <w:rsid w:val="00811300"/>
    <w:rsid w:val="008155C3"/>
    <w:rsid w:val="008158D2"/>
    <w:rsid w:val="008175E9"/>
    <w:rsid w:val="00821FB3"/>
    <w:rsid w:val="0082243E"/>
    <w:rsid w:val="0082357A"/>
    <w:rsid w:val="00823DBE"/>
    <w:rsid w:val="008242D7"/>
    <w:rsid w:val="00824F1D"/>
    <w:rsid w:val="00825655"/>
    <w:rsid w:val="008272A4"/>
    <w:rsid w:val="00827609"/>
    <w:rsid w:val="00831A87"/>
    <w:rsid w:val="00832564"/>
    <w:rsid w:val="00832D55"/>
    <w:rsid w:val="00833062"/>
    <w:rsid w:val="008339B9"/>
    <w:rsid w:val="00835748"/>
    <w:rsid w:val="00835953"/>
    <w:rsid w:val="008376FE"/>
    <w:rsid w:val="00841FED"/>
    <w:rsid w:val="00842AFF"/>
    <w:rsid w:val="0084387B"/>
    <w:rsid w:val="00844F92"/>
    <w:rsid w:val="00844FBB"/>
    <w:rsid w:val="00845C17"/>
    <w:rsid w:val="00850EA0"/>
    <w:rsid w:val="00853481"/>
    <w:rsid w:val="00853591"/>
    <w:rsid w:val="00855262"/>
    <w:rsid w:val="00856282"/>
    <w:rsid w:val="00856CD2"/>
    <w:rsid w:val="00857454"/>
    <w:rsid w:val="00862571"/>
    <w:rsid w:val="00862743"/>
    <w:rsid w:val="00862BCC"/>
    <w:rsid w:val="008641E4"/>
    <w:rsid w:val="00870DBD"/>
    <w:rsid w:val="00871715"/>
    <w:rsid w:val="00871FD5"/>
    <w:rsid w:val="00872127"/>
    <w:rsid w:val="00872AEE"/>
    <w:rsid w:val="0087349B"/>
    <w:rsid w:val="00875595"/>
    <w:rsid w:val="00877210"/>
    <w:rsid w:val="00877E78"/>
    <w:rsid w:val="00877FB8"/>
    <w:rsid w:val="00880EC7"/>
    <w:rsid w:val="00881190"/>
    <w:rsid w:val="0088487D"/>
    <w:rsid w:val="00887431"/>
    <w:rsid w:val="00891825"/>
    <w:rsid w:val="00892860"/>
    <w:rsid w:val="0089410D"/>
    <w:rsid w:val="00895DC2"/>
    <w:rsid w:val="008979B1"/>
    <w:rsid w:val="008A01AC"/>
    <w:rsid w:val="008A1900"/>
    <w:rsid w:val="008A1982"/>
    <w:rsid w:val="008A4B57"/>
    <w:rsid w:val="008A5C05"/>
    <w:rsid w:val="008A68FB"/>
    <w:rsid w:val="008A6B25"/>
    <w:rsid w:val="008A6C4F"/>
    <w:rsid w:val="008A6FA0"/>
    <w:rsid w:val="008B1C5A"/>
    <w:rsid w:val="008B1EAD"/>
    <w:rsid w:val="008B2D0D"/>
    <w:rsid w:val="008B4C9F"/>
    <w:rsid w:val="008B4FB0"/>
    <w:rsid w:val="008B5019"/>
    <w:rsid w:val="008B5CB4"/>
    <w:rsid w:val="008C1E4D"/>
    <w:rsid w:val="008C2665"/>
    <w:rsid w:val="008C2B41"/>
    <w:rsid w:val="008C46E0"/>
    <w:rsid w:val="008C4B92"/>
    <w:rsid w:val="008C693F"/>
    <w:rsid w:val="008D0FD7"/>
    <w:rsid w:val="008D1299"/>
    <w:rsid w:val="008D18F6"/>
    <w:rsid w:val="008D2C85"/>
    <w:rsid w:val="008D55A7"/>
    <w:rsid w:val="008D6D57"/>
    <w:rsid w:val="008D77C7"/>
    <w:rsid w:val="008E0E46"/>
    <w:rsid w:val="008E2037"/>
    <w:rsid w:val="008E31A0"/>
    <w:rsid w:val="008E38EF"/>
    <w:rsid w:val="008E43DD"/>
    <w:rsid w:val="008E501B"/>
    <w:rsid w:val="008E7B7E"/>
    <w:rsid w:val="008F1729"/>
    <w:rsid w:val="008F1F23"/>
    <w:rsid w:val="008F3D47"/>
    <w:rsid w:val="008F3E0C"/>
    <w:rsid w:val="008F6083"/>
    <w:rsid w:val="008F7B59"/>
    <w:rsid w:val="0090292E"/>
    <w:rsid w:val="00903BFA"/>
    <w:rsid w:val="00904CAF"/>
    <w:rsid w:val="00904E65"/>
    <w:rsid w:val="00907C3F"/>
    <w:rsid w:val="00912E0D"/>
    <w:rsid w:val="00912FDE"/>
    <w:rsid w:val="009143FE"/>
    <w:rsid w:val="00914EDA"/>
    <w:rsid w:val="00915477"/>
    <w:rsid w:val="0091659A"/>
    <w:rsid w:val="00917FE4"/>
    <w:rsid w:val="00920D8A"/>
    <w:rsid w:val="00922B42"/>
    <w:rsid w:val="009253A0"/>
    <w:rsid w:val="00926799"/>
    <w:rsid w:val="00927522"/>
    <w:rsid w:val="00931F1F"/>
    <w:rsid w:val="009333DF"/>
    <w:rsid w:val="00933DFC"/>
    <w:rsid w:val="009354AF"/>
    <w:rsid w:val="00935588"/>
    <w:rsid w:val="00935DA8"/>
    <w:rsid w:val="00936E4C"/>
    <w:rsid w:val="0093707B"/>
    <w:rsid w:val="009400EB"/>
    <w:rsid w:val="00940AEE"/>
    <w:rsid w:val="0094236D"/>
    <w:rsid w:val="009427E3"/>
    <w:rsid w:val="00946604"/>
    <w:rsid w:val="009467AF"/>
    <w:rsid w:val="00947E45"/>
    <w:rsid w:val="00952DBD"/>
    <w:rsid w:val="009550A7"/>
    <w:rsid w:val="009552E8"/>
    <w:rsid w:val="0095586F"/>
    <w:rsid w:val="00956D9B"/>
    <w:rsid w:val="0095743E"/>
    <w:rsid w:val="0096007D"/>
    <w:rsid w:val="00960FFC"/>
    <w:rsid w:val="00962CA9"/>
    <w:rsid w:val="00963CBA"/>
    <w:rsid w:val="00963DF5"/>
    <w:rsid w:val="00964E2C"/>
    <w:rsid w:val="009654B7"/>
    <w:rsid w:val="00965EEE"/>
    <w:rsid w:val="00966ABA"/>
    <w:rsid w:val="00966C3A"/>
    <w:rsid w:val="00971405"/>
    <w:rsid w:val="009722A3"/>
    <w:rsid w:val="009726BC"/>
    <w:rsid w:val="009727EC"/>
    <w:rsid w:val="00973B42"/>
    <w:rsid w:val="009743B8"/>
    <w:rsid w:val="009745A5"/>
    <w:rsid w:val="00977273"/>
    <w:rsid w:val="00980747"/>
    <w:rsid w:val="00981A2F"/>
    <w:rsid w:val="00983B2A"/>
    <w:rsid w:val="00986530"/>
    <w:rsid w:val="009874F5"/>
    <w:rsid w:val="00987836"/>
    <w:rsid w:val="00991261"/>
    <w:rsid w:val="00991832"/>
    <w:rsid w:val="00994496"/>
    <w:rsid w:val="0099792D"/>
    <w:rsid w:val="009A097C"/>
    <w:rsid w:val="009A0B83"/>
    <w:rsid w:val="009A180B"/>
    <w:rsid w:val="009A26D2"/>
    <w:rsid w:val="009A6418"/>
    <w:rsid w:val="009A64AA"/>
    <w:rsid w:val="009B279E"/>
    <w:rsid w:val="009B29C9"/>
    <w:rsid w:val="009B3800"/>
    <w:rsid w:val="009B4A58"/>
    <w:rsid w:val="009B5A8C"/>
    <w:rsid w:val="009B726E"/>
    <w:rsid w:val="009B775F"/>
    <w:rsid w:val="009C1605"/>
    <w:rsid w:val="009C2F46"/>
    <w:rsid w:val="009C62A6"/>
    <w:rsid w:val="009C640C"/>
    <w:rsid w:val="009C7D6C"/>
    <w:rsid w:val="009D017A"/>
    <w:rsid w:val="009D3D22"/>
    <w:rsid w:val="009D42AF"/>
    <w:rsid w:val="009D42E0"/>
    <w:rsid w:val="009D4B1A"/>
    <w:rsid w:val="009D50DB"/>
    <w:rsid w:val="009D69F3"/>
    <w:rsid w:val="009D7798"/>
    <w:rsid w:val="009E424A"/>
    <w:rsid w:val="009E502E"/>
    <w:rsid w:val="009E5366"/>
    <w:rsid w:val="009F01A9"/>
    <w:rsid w:val="009F0CB1"/>
    <w:rsid w:val="009F118C"/>
    <w:rsid w:val="009F2930"/>
    <w:rsid w:val="009F41F4"/>
    <w:rsid w:val="009F4E22"/>
    <w:rsid w:val="009F626E"/>
    <w:rsid w:val="009F714F"/>
    <w:rsid w:val="009F7611"/>
    <w:rsid w:val="00A0055A"/>
    <w:rsid w:val="00A02E99"/>
    <w:rsid w:val="00A0483D"/>
    <w:rsid w:val="00A05937"/>
    <w:rsid w:val="00A05A6E"/>
    <w:rsid w:val="00A05E0B"/>
    <w:rsid w:val="00A06F70"/>
    <w:rsid w:val="00A06FDD"/>
    <w:rsid w:val="00A10A0A"/>
    <w:rsid w:val="00A11359"/>
    <w:rsid w:val="00A12047"/>
    <w:rsid w:val="00A1217B"/>
    <w:rsid w:val="00A1349D"/>
    <w:rsid w:val="00A1427D"/>
    <w:rsid w:val="00A14AE1"/>
    <w:rsid w:val="00A14B06"/>
    <w:rsid w:val="00A14ECF"/>
    <w:rsid w:val="00A163B4"/>
    <w:rsid w:val="00A177D0"/>
    <w:rsid w:val="00A2050F"/>
    <w:rsid w:val="00A24156"/>
    <w:rsid w:val="00A2588E"/>
    <w:rsid w:val="00A264B4"/>
    <w:rsid w:val="00A33111"/>
    <w:rsid w:val="00A33241"/>
    <w:rsid w:val="00A3485D"/>
    <w:rsid w:val="00A3617F"/>
    <w:rsid w:val="00A42368"/>
    <w:rsid w:val="00A42F83"/>
    <w:rsid w:val="00A45095"/>
    <w:rsid w:val="00A4634F"/>
    <w:rsid w:val="00A515B6"/>
    <w:rsid w:val="00A52419"/>
    <w:rsid w:val="00A52ADB"/>
    <w:rsid w:val="00A57981"/>
    <w:rsid w:val="00A6486F"/>
    <w:rsid w:val="00A72F22"/>
    <w:rsid w:val="00A748A6"/>
    <w:rsid w:val="00A76BE8"/>
    <w:rsid w:val="00A773BC"/>
    <w:rsid w:val="00A80803"/>
    <w:rsid w:val="00A81CB0"/>
    <w:rsid w:val="00A82ECC"/>
    <w:rsid w:val="00A84405"/>
    <w:rsid w:val="00A8787C"/>
    <w:rsid w:val="00A879A4"/>
    <w:rsid w:val="00A87E95"/>
    <w:rsid w:val="00A90ADF"/>
    <w:rsid w:val="00A92310"/>
    <w:rsid w:val="00A926A0"/>
    <w:rsid w:val="00A92CD5"/>
    <w:rsid w:val="00A92E29"/>
    <w:rsid w:val="00A93400"/>
    <w:rsid w:val="00A94248"/>
    <w:rsid w:val="00A9496D"/>
    <w:rsid w:val="00A97710"/>
    <w:rsid w:val="00AA0CF9"/>
    <w:rsid w:val="00AA3249"/>
    <w:rsid w:val="00AA33D8"/>
    <w:rsid w:val="00AA4AB1"/>
    <w:rsid w:val="00AA606C"/>
    <w:rsid w:val="00AA61AB"/>
    <w:rsid w:val="00AA633A"/>
    <w:rsid w:val="00AB0507"/>
    <w:rsid w:val="00AB085B"/>
    <w:rsid w:val="00AB26C0"/>
    <w:rsid w:val="00AB40D7"/>
    <w:rsid w:val="00AB5659"/>
    <w:rsid w:val="00AC1E06"/>
    <w:rsid w:val="00AC26F5"/>
    <w:rsid w:val="00AC4FB3"/>
    <w:rsid w:val="00AC6ABA"/>
    <w:rsid w:val="00AC7705"/>
    <w:rsid w:val="00AD01E0"/>
    <w:rsid w:val="00AD0378"/>
    <w:rsid w:val="00AD09E9"/>
    <w:rsid w:val="00AD1544"/>
    <w:rsid w:val="00AD16A3"/>
    <w:rsid w:val="00AD2D6D"/>
    <w:rsid w:val="00AD59F7"/>
    <w:rsid w:val="00AE6ACD"/>
    <w:rsid w:val="00AE77F7"/>
    <w:rsid w:val="00AE7ACA"/>
    <w:rsid w:val="00AF0576"/>
    <w:rsid w:val="00AF0AEC"/>
    <w:rsid w:val="00AF22B8"/>
    <w:rsid w:val="00AF37A1"/>
    <w:rsid w:val="00AF3829"/>
    <w:rsid w:val="00AF3BCC"/>
    <w:rsid w:val="00AF3C14"/>
    <w:rsid w:val="00AF3FF9"/>
    <w:rsid w:val="00AF473A"/>
    <w:rsid w:val="00AF7D51"/>
    <w:rsid w:val="00B02E00"/>
    <w:rsid w:val="00B037F0"/>
    <w:rsid w:val="00B03AE6"/>
    <w:rsid w:val="00B05EAD"/>
    <w:rsid w:val="00B061B0"/>
    <w:rsid w:val="00B06E17"/>
    <w:rsid w:val="00B0761C"/>
    <w:rsid w:val="00B0767B"/>
    <w:rsid w:val="00B10795"/>
    <w:rsid w:val="00B10C3E"/>
    <w:rsid w:val="00B125F9"/>
    <w:rsid w:val="00B14F5C"/>
    <w:rsid w:val="00B20529"/>
    <w:rsid w:val="00B24200"/>
    <w:rsid w:val="00B30179"/>
    <w:rsid w:val="00B30ECA"/>
    <w:rsid w:val="00B31165"/>
    <w:rsid w:val="00B321B7"/>
    <w:rsid w:val="00B3317B"/>
    <w:rsid w:val="00B334DC"/>
    <w:rsid w:val="00B3399B"/>
    <w:rsid w:val="00B34ACE"/>
    <w:rsid w:val="00B34B53"/>
    <w:rsid w:val="00B34EB2"/>
    <w:rsid w:val="00B3631A"/>
    <w:rsid w:val="00B37A5A"/>
    <w:rsid w:val="00B409E3"/>
    <w:rsid w:val="00B425FE"/>
    <w:rsid w:val="00B453A8"/>
    <w:rsid w:val="00B524EE"/>
    <w:rsid w:val="00B53013"/>
    <w:rsid w:val="00B56203"/>
    <w:rsid w:val="00B572AC"/>
    <w:rsid w:val="00B609E1"/>
    <w:rsid w:val="00B61028"/>
    <w:rsid w:val="00B6121C"/>
    <w:rsid w:val="00B62F2E"/>
    <w:rsid w:val="00B679CE"/>
    <w:rsid w:val="00B67F5E"/>
    <w:rsid w:val="00B710F2"/>
    <w:rsid w:val="00B714FF"/>
    <w:rsid w:val="00B73E65"/>
    <w:rsid w:val="00B7416E"/>
    <w:rsid w:val="00B748E3"/>
    <w:rsid w:val="00B74D2A"/>
    <w:rsid w:val="00B75A3C"/>
    <w:rsid w:val="00B807FF"/>
    <w:rsid w:val="00B80809"/>
    <w:rsid w:val="00B80FDC"/>
    <w:rsid w:val="00B81C38"/>
    <w:rsid w:val="00B81E12"/>
    <w:rsid w:val="00B835E0"/>
    <w:rsid w:val="00B83D1B"/>
    <w:rsid w:val="00B86AF9"/>
    <w:rsid w:val="00B86D38"/>
    <w:rsid w:val="00B87409"/>
    <w:rsid w:val="00B87E6C"/>
    <w:rsid w:val="00B902A1"/>
    <w:rsid w:val="00B92A4D"/>
    <w:rsid w:val="00B933BE"/>
    <w:rsid w:val="00B93AF9"/>
    <w:rsid w:val="00B955FC"/>
    <w:rsid w:val="00B95B06"/>
    <w:rsid w:val="00B97FA8"/>
    <w:rsid w:val="00BA1C57"/>
    <w:rsid w:val="00BA2143"/>
    <w:rsid w:val="00BA38B1"/>
    <w:rsid w:val="00BA48EA"/>
    <w:rsid w:val="00BA49A7"/>
    <w:rsid w:val="00BA67A7"/>
    <w:rsid w:val="00BB05C8"/>
    <w:rsid w:val="00BB09EA"/>
    <w:rsid w:val="00BB15B2"/>
    <w:rsid w:val="00BB2356"/>
    <w:rsid w:val="00BB36A8"/>
    <w:rsid w:val="00BB6C7E"/>
    <w:rsid w:val="00BC1385"/>
    <w:rsid w:val="00BC234E"/>
    <w:rsid w:val="00BC5BB6"/>
    <w:rsid w:val="00BC69E7"/>
    <w:rsid w:val="00BC74E9"/>
    <w:rsid w:val="00BD2397"/>
    <w:rsid w:val="00BD36A2"/>
    <w:rsid w:val="00BD409B"/>
    <w:rsid w:val="00BD59EC"/>
    <w:rsid w:val="00BD600F"/>
    <w:rsid w:val="00BD6995"/>
    <w:rsid w:val="00BD76E8"/>
    <w:rsid w:val="00BE04C7"/>
    <w:rsid w:val="00BE2824"/>
    <w:rsid w:val="00BE618E"/>
    <w:rsid w:val="00BE65AC"/>
    <w:rsid w:val="00BF0F88"/>
    <w:rsid w:val="00BF1005"/>
    <w:rsid w:val="00BF458E"/>
    <w:rsid w:val="00BF57EA"/>
    <w:rsid w:val="00BF6720"/>
    <w:rsid w:val="00BF6A05"/>
    <w:rsid w:val="00C018E6"/>
    <w:rsid w:val="00C01F5F"/>
    <w:rsid w:val="00C02172"/>
    <w:rsid w:val="00C05DE6"/>
    <w:rsid w:val="00C066C4"/>
    <w:rsid w:val="00C068D4"/>
    <w:rsid w:val="00C069C1"/>
    <w:rsid w:val="00C07AB4"/>
    <w:rsid w:val="00C124BA"/>
    <w:rsid w:val="00C1306F"/>
    <w:rsid w:val="00C16B85"/>
    <w:rsid w:val="00C200CB"/>
    <w:rsid w:val="00C21438"/>
    <w:rsid w:val="00C22735"/>
    <w:rsid w:val="00C23D03"/>
    <w:rsid w:val="00C24693"/>
    <w:rsid w:val="00C26BAF"/>
    <w:rsid w:val="00C26EF4"/>
    <w:rsid w:val="00C276BB"/>
    <w:rsid w:val="00C278B0"/>
    <w:rsid w:val="00C27F7E"/>
    <w:rsid w:val="00C349AB"/>
    <w:rsid w:val="00C34F2B"/>
    <w:rsid w:val="00C35F0B"/>
    <w:rsid w:val="00C35FCD"/>
    <w:rsid w:val="00C4055C"/>
    <w:rsid w:val="00C429FD"/>
    <w:rsid w:val="00C43683"/>
    <w:rsid w:val="00C463DD"/>
    <w:rsid w:val="00C50D1C"/>
    <w:rsid w:val="00C518CD"/>
    <w:rsid w:val="00C519D3"/>
    <w:rsid w:val="00C53E42"/>
    <w:rsid w:val="00C55D26"/>
    <w:rsid w:val="00C57769"/>
    <w:rsid w:val="00C57E5F"/>
    <w:rsid w:val="00C62037"/>
    <w:rsid w:val="00C62A7A"/>
    <w:rsid w:val="00C6311B"/>
    <w:rsid w:val="00C63121"/>
    <w:rsid w:val="00C64458"/>
    <w:rsid w:val="00C645E1"/>
    <w:rsid w:val="00C65F44"/>
    <w:rsid w:val="00C66270"/>
    <w:rsid w:val="00C6711F"/>
    <w:rsid w:val="00C67301"/>
    <w:rsid w:val="00C7249D"/>
    <w:rsid w:val="00C726A4"/>
    <w:rsid w:val="00C72B2E"/>
    <w:rsid w:val="00C745C3"/>
    <w:rsid w:val="00C7546A"/>
    <w:rsid w:val="00C81733"/>
    <w:rsid w:val="00C81764"/>
    <w:rsid w:val="00C831BA"/>
    <w:rsid w:val="00C83C69"/>
    <w:rsid w:val="00C84F6D"/>
    <w:rsid w:val="00C87F76"/>
    <w:rsid w:val="00C915C1"/>
    <w:rsid w:val="00C93C01"/>
    <w:rsid w:val="00C94465"/>
    <w:rsid w:val="00C9646C"/>
    <w:rsid w:val="00C97CF3"/>
    <w:rsid w:val="00CA21E3"/>
    <w:rsid w:val="00CA26A3"/>
    <w:rsid w:val="00CA418B"/>
    <w:rsid w:val="00CA52DA"/>
    <w:rsid w:val="00CA5D85"/>
    <w:rsid w:val="00CA60BB"/>
    <w:rsid w:val="00CA747B"/>
    <w:rsid w:val="00CA7A44"/>
    <w:rsid w:val="00CA7AC8"/>
    <w:rsid w:val="00CB0AB8"/>
    <w:rsid w:val="00CB3ABE"/>
    <w:rsid w:val="00CB7072"/>
    <w:rsid w:val="00CC0B55"/>
    <w:rsid w:val="00CC139E"/>
    <w:rsid w:val="00CC20EF"/>
    <w:rsid w:val="00CC2F63"/>
    <w:rsid w:val="00CC4E8A"/>
    <w:rsid w:val="00CC544D"/>
    <w:rsid w:val="00CC5D91"/>
    <w:rsid w:val="00CC66FF"/>
    <w:rsid w:val="00CC7CB8"/>
    <w:rsid w:val="00CD0536"/>
    <w:rsid w:val="00CD18F3"/>
    <w:rsid w:val="00CD2550"/>
    <w:rsid w:val="00CD454A"/>
    <w:rsid w:val="00CD4D41"/>
    <w:rsid w:val="00CD5D2F"/>
    <w:rsid w:val="00CD641A"/>
    <w:rsid w:val="00CD657D"/>
    <w:rsid w:val="00CD72C7"/>
    <w:rsid w:val="00CE10AE"/>
    <w:rsid w:val="00CE4119"/>
    <w:rsid w:val="00CE4394"/>
    <w:rsid w:val="00CE4A8F"/>
    <w:rsid w:val="00CE6251"/>
    <w:rsid w:val="00CE787C"/>
    <w:rsid w:val="00CF082F"/>
    <w:rsid w:val="00CF0C91"/>
    <w:rsid w:val="00CF442A"/>
    <w:rsid w:val="00CF4CEB"/>
    <w:rsid w:val="00CF58C0"/>
    <w:rsid w:val="00CF6186"/>
    <w:rsid w:val="00CF7D43"/>
    <w:rsid w:val="00D009E4"/>
    <w:rsid w:val="00D01CB0"/>
    <w:rsid w:val="00D037CD"/>
    <w:rsid w:val="00D03D14"/>
    <w:rsid w:val="00D0462D"/>
    <w:rsid w:val="00D04FC7"/>
    <w:rsid w:val="00D06CEF"/>
    <w:rsid w:val="00D105DE"/>
    <w:rsid w:val="00D10DE8"/>
    <w:rsid w:val="00D110F3"/>
    <w:rsid w:val="00D11129"/>
    <w:rsid w:val="00D12C7E"/>
    <w:rsid w:val="00D13CBB"/>
    <w:rsid w:val="00D13E4E"/>
    <w:rsid w:val="00D152E1"/>
    <w:rsid w:val="00D15BFB"/>
    <w:rsid w:val="00D16015"/>
    <w:rsid w:val="00D16758"/>
    <w:rsid w:val="00D202A2"/>
    <w:rsid w:val="00D202D5"/>
    <w:rsid w:val="00D2031B"/>
    <w:rsid w:val="00D20A56"/>
    <w:rsid w:val="00D22332"/>
    <w:rsid w:val="00D22F2B"/>
    <w:rsid w:val="00D238D3"/>
    <w:rsid w:val="00D23A76"/>
    <w:rsid w:val="00D23AF4"/>
    <w:rsid w:val="00D23B6E"/>
    <w:rsid w:val="00D25354"/>
    <w:rsid w:val="00D25878"/>
    <w:rsid w:val="00D25FC5"/>
    <w:rsid w:val="00D25FE2"/>
    <w:rsid w:val="00D26BB9"/>
    <w:rsid w:val="00D30548"/>
    <w:rsid w:val="00D313C1"/>
    <w:rsid w:val="00D315FB"/>
    <w:rsid w:val="00D323B4"/>
    <w:rsid w:val="00D33E93"/>
    <w:rsid w:val="00D35239"/>
    <w:rsid w:val="00D35B0A"/>
    <w:rsid w:val="00D41A38"/>
    <w:rsid w:val="00D42FA9"/>
    <w:rsid w:val="00D43130"/>
    <w:rsid w:val="00D431A0"/>
    <w:rsid w:val="00D43252"/>
    <w:rsid w:val="00D43714"/>
    <w:rsid w:val="00D43867"/>
    <w:rsid w:val="00D45F68"/>
    <w:rsid w:val="00D507D6"/>
    <w:rsid w:val="00D50873"/>
    <w:rsid w:val="00D52DCE"/>
    <w:rsid w:val="00D53AB9"/>
    <w:rsid w:val="00D550F9"/>
    <w:rsid w:val="00D553EE"/>
    <w:rsid w:val="00D56B2A"/>
    <w:rsid w:val="00D61249"/>
    <w:rsid w:val="00D61787"/>
    <w:rsid w:val="00D61B15"/>
    <w:rsid w:val="00D628A2"/>
    <w:rsid w:val="00D6326D"/>
    <w:rsid w:val="00D635BE"/>
    <w:rsid w:val="00D64572"/>
    <w:rsid w:val="00D67E7B"/>
    <w:rsid w:val="00D701BE"/>
    <w:rsid w:val="00D70DF0"/>
    <w:rsid w:val="00D70EF8"/>
    <w:rsid w:val="00D71482"/>
    <w:rsid w:val="00D757C7"/>
    <w:rsid w:val="00D75852"/>
    <w:rsid w:val="00D76B22"/>
    <w:rsid w:val="00D77C59"/>
    <w:rsid w:val="00D809E4"/>
    <w:rsid w:val="00D80CBD"/>
    <w:rsid w:val="00D80D12"/>
    <w:rsid w:val="00D83ACE"/>
    <w:rsid w:val="00D84B08"/>
    <w:rsid w:val="00D8701B"/>
    <w:rsid w:val="00D90EA7"/>
    <w:rsid w:val="00D9127A"/>
    <w:rsid w:val="00D92694"/>
    <w:rsid w:val="00D927A4"/>
    <w:rsid w:val="00D927A6"/>
    <w:rsid w:val="00D948AF"/>
    <w:rsid w:val="00D959CC"/>
    <w:rsid w:val="00D962C6"/>
    <w:rsid w:val="00D97604"/>
    <w:rsid w:val="00D978C6"/>
    <w:rsid w:val="00DA0A91"/>
    <w:rsid w:val="00DA0D63"/>
    <w:rsid w:val="00DA2FD5"/>
    <w:rsid w:val="00DA35A7"/>
    <w:rsid w:val="00DA4107"/>
    <w:rsid w:val="00DA42E0"/>
    <w:rsid w:val="00DA4303"/>
    <w:rsid w:val="00DA4834"/>
    <w:rsid w:val="00DA4A8C"/>
    <w:rsid w:val="00DA6639"/>
    <w:rsid w:val="00DA67AD"/>
    <w:rsid w:val="00DA6C04"/>
    <w:rsid w:val="00DB18CE"/>
    <w:rsid w:val="00DB2BCB"/>
    <w:rsid w:val="00DB4295"/>
    <w:rsid w:val="00DB4AB8"/>
    <w:rsid w:val="00DB4E26"/>
    <w:rsid w:val="00DB6C94"/>
    <w:rsid w:val="00DC0841"/>
    <w:rsid w:val="00DC14D1"/>
    <w:rsid w:val="00DC2A08"/>
    <w:rsid w:val="00DC5F8D"/>
    <w:rsid w:val="00DC6016"/>
    <w:rsid w:val="00DC7B82"/>
    <w:rsid w:val="00DD0A87"/>
    <w:rsid w:val="00DD1E7D"/>
    <w:rsid w:val="00DD2581"/>
    <w:rsid w:val="00DD2979"/>
    <w:rsid w:val="00DD29AE"/>
    <w:rsid w:val="00DD2CFB"/>
    <w:rsid w:val="00DD400F"/>
    <w:rsid w:val="00DD5486"/>
    <w:rsid w:val="00DD5CF4"/>
    <w:rsid w:val="00DE063B"/>
    <w:rsid w:val="00DE3D86"/>
    <w:rsid w:val="00DE3EC0"/>
    <w:rsid w:val="00DE41B0"/>
    <w:rsid w:val="00DE44B2"/>
    <w:rsid w:val="00DE4F72"/>
    <w:rsid w:val="00DE62C5"/>
    <w:rsid w:val="00DE72B2"/>
    <w:rsid w:val="00DE7D8F"/>
    <w:rsid w:val="00DF086F"/>
    <w:rsid w:val="00DF15C9"/>
    <w:rsid w:val="00DF29EE"/>
    <w:rsid w:val="00DF642F"/>
    <w:rsid w:val="00DF66AA"/>
    <w:rsid w:val="00DF7BC5"/>
    <w:rsid w:val="00E022DB"/>
    <w:rsid w:val="00E03012"/>
    <w:rsid w:val="00E057E8"/>
    <w:rsid w:val="00E060FF"/>
    <w:rsid w:val="00E072CF"/>
    <w:rsid w:val="00E10721"/>
    <w:rsid w:val="00E12B6B"/>
    <w:rsid w:val="00E130AB"/>
    <w:rsid w:val="00E1503C"/>
    <w:rsid w:val="00E15335"/>
    <w:rsid w:val="00E17B6F"/>
    <w:rsid w:val="00E216F1"/>
    <w:rsid w:val="00E21EC9"/>
    <w:rsid w:val="00E23805"/>
    <w:rsid w:val="00E24DFE"/>
    <w:rsid w:val="00E253C8"/>
    <w:rsid w:val="00E25D11"/>
    <w:rsid w:val="00E339D4"/>
    <w:rsid w:val="00E33D25"/>
    <w:rsid w:val="00E35A59"/>
    <w:rsid w:val="00E36A3B"/>
    <w:rsid w:val="00E36C1F"/>
    <w:rsid w:val="00E41270"/>
    <w:rsid w:val="00E438D9"/>
    <w:rsid w:val="00E44502"/>
    <w:rsid w:val="00E44681"/>
    <w:rsid w:val="00E45B27"/>
    <w:rsid w:val="00E4683A"/>
    <w:rsid w:val="00E5036D"/>
    <w:rsid w:val="00E507D1"/>
    <w:rsid w:val="00E542AB"/>
    <w:rsid w:val="00E5644E"/>
    <w:rsid w:val="00E619EC"/>
    <w:rsid w:val="00E61B19"/>
    <w:rsid w:val="00E61CE3"/>
    <w:rsid w:val="00E64E6E"/>
    <w:rsid w:val="00E664E6"/>
    <w:rsid w:val="00E66A47"/>
    <w:rsid w:val="00E710FD"/>
    <w:rsid w:val="00E7182C"/>
    <w:rsid w:val="00E7260F"/>
    <w:rsid w:val="00E762ED"/>
    <w:rsid w:val="00E765D8"/>
    <w:rsid w:val="00E81434"/>
    <w:rsid w:val="00E83264"/>
    <w:rsid w:val="00E83909"/>
    <w:rsid w:val="00E83C7B"/>
    <w:rsid w:val="00E83DE0"/>
    <w:rsid w:val="00E84A07"/>
    <w:rsid w:val="00E85E08"/>
    <w:rsid w:val="00E87B8B"/>
    <w:rsid w:val="00E911B5"/>
    <w:rsid w:val="00E93222"/>
    <w:rsid w:val="00E93ED9"/>
    <w:rsid w:val="00E96115"/>
    <w:rsid w:val="00E96630"/>
    <w:rsid w:val="00E97DA4"/>
    <w:rsid w:val="00EA0DA5"/>
    <w:rsid w:val="00EA14AF"/>
    <w:rsid w:val="00EA18D3"/>
    <w:rsid w:val="00EA2DDF"/>
    <w:rsid w:val="00EA3921"/>
    <w:rsid w:val="00EA52D8"/>
    <w:rsid w:val="00EA5ACD"/>
    <w:rsid w:val="00EA63DB"/>
    <w:rsid w:val="00EB0FB9"/>
    <w:rsid w:val="00EB4870"/>
    <w:rsid w:val="00EB6499"/>
    <w:rsid w:val="00EB6BDF"/>
    <w:rsid w:val="00EB74B7"/>
    <w:rsid w:val="00EB7EB7"/>
    <w:rsid w:val="00EC1BD0"/>
    <w:rsid w:val="00EC1F04"/>
    <w:rsid w:val="00EC5785"/>
    <w:rsid w:val="00EC6178"/>
    <w:rsid w:val="00EC6410"/>
    <w:rsid w:val="00ED0894"/>
    <w:rsid w:val="00ED10BA"/>
    <w:rsid w:val="00ED13E3"/>
    <w:rsid w:val="00ED31AD"/>
    <w:rsid w:val="00ED3710"/>
    <w:rsid w:val="00ED52C8"/>
    <w:rsid w:val="00ED6296"/>
    <w:rsid w:val="00ED7476"/>
    <w:rsid w:val="00ED7A2A"/>
    <w:rsid w:val="00ED7F51"/>
    <w:rsid w:val="00EE0886"/>
    <w:rsid w:val="00EE17EF"/>
    <w:rsid w:val="00EE239E"/>
    <w:rsid w:val="00EE3766"/>
    <w:rsid w:val="00EE5B9D"/>
    <w:rsid w:val="00EE7144"/>
    <w:rsid w:val="00EE7831"/>
    <w:rsid w:val="00EF15E3"/>
    <w:rsid w:val="00EF1D7F"/>
    <w:rsid w:val="00EF1E3A"/>
    <w:rsid w:val="00EF4EF4"/>
    <w:rsid w:val="00EF5BDB"/>
    <w:rsid w:val="00EF70A2"/>
    <w:rsid w:val="00F00A26"/>
    <w:rsid w:val="00F014FD"/>
    <w:rsid w:val="00F01C6C"/>
    <w:rsid w:val="00F02EA0"/>
    <w:rsid w:val="00F07FD9"/>
    <w:rsid w:val="00F127DA"/>
    <w:rsid w:val="00F127DB"/>
    <w:rsid w:val="00F13A2B"/>
    <w:rsid w:val="00F1544E"/>
    <w:rsid w:val="00F157F0"/>
    <w:rsid w:val="00F1626B"/>
    <w:rsid w:val="00F17BFB"/>
    <w:rsid w:val="00F20ABF"/>
    <w:rsid w:val="00F21D3B"/>
    <w:rsid w:val="00F2236F"/>
    <w:rsid w:val="00F23933"/>
    <w:rsid w:val="00F26F82"/>
    <w:rsid w:val="00F2701A"/>
    <w:rsid w:val="00F30490"/>
    <w:rsid w:val="00F331CA"/>
    <w:rsid w:val="00F337DE"/>
    <w:rsid w:val="00F33B5F"/>
    <w:rsid w:val="00F358CE"/>
    <w:rsid w:val="00F3647B"/>
    <w:rsid w:val="00F36970"/>
    <w:rsid w:val="00F37A2A"/>
    <w:rsid w:val="00F40E75"/>
    <w:rsid w:val="00F447B9"/>
    <w:rsid w:val="00F44D02"/>
    <w:rsid w:val="00F4691D"/>
    <w:rsid w:val="00F46F3C"/>
    <w:rsid w:val="00F501D3"/>
    <w:rsid w:val="00F52936"/>
    <w:rsid w:val="00F606E9"/>
    <w:rsid w:val="00F6252A"/>
    <w:rsid w:val="00F63ABF"/>
    <w:rsid w:val="00F64C11"/>
    <w:rsid w:val="00F6715F"/>
    <w:rsid w:val="00F67646"/>
    <w:rsid w:val="00F71EA9"/>
    <w:rsid w:val="00F72C10"/>
    <w:rsid w:val="00F74F6F"/>
    <w:rsid w:val="00F75D8E"/>
    <w:rsid w:val="00F75E5E"/>
    <w:rsid w:val="00F7777C"/>
    <w:rsid w:val="00F81575"/>
    <w:rsid w:val="00F8233F"/>
    <w:rsid w:val="00F8519A"/>
    <w:rsid w:val="00F93620"/>
    <w:rsid w:val="00F94FED"/>
    <w:rsid w:val="00F95378"/>
    <w:rsid w:val="00FA1B58"/>
    <w:rsid w:val="00FA2200"/>
    <w:rsid w:val="00FA289E"/>
    <w:rsid w:val="00FA39ED"/>
    <w:rsid w:val="00FA4206"/>
    <w:rsid w:val="00FA4F7A"/>
    <w:rsid w:val="00FA70FE"/>
    <w:rsid w:val="00FA7DF3"/>
    <w:rsid w:val="00FB0005"/>
    <w:rsid w:val="00FB0222"/>
    <w:rsid w:val="00FB109D"/>
    <w:rsid w:val="00FB14E3"/>
    <w:rsid w:val="00FB2945"/>
    <w:rsid w:val="00FB56B0"/>
    <w:rsid w:val="00FC1347"/>
    <w:rsid w:val="00FC1E74"/>
    <w:rsid w:val="00FC2929"/>
    <w:rsid w:val="00FC5EDE"/>
    <w:rsid w:val="00FC68B7"/>
    <w:rsid w:val="00FC6ECB"/>
    <w:rsid w:val="00FD082C"/>
    <w:rsid w:val="00FD30CA"/>
    <w:rsid w:val="00FD4171"/>
    <w:rsid w:val="00FD74D1"/>
    <w:rsid w:val="00FD7C12"/>
    <w:rsid w:val="00FD7E48"/>
    <w:rsid w:val="00FE0A61"/>
    <w:rsid w:val="00FE265D"/>
    <w:rsid w:val="00FE6EDF"/>
    <w:rsid w:val="00FF0671"/>
    <w:rsid w:val="00FF41BF"/>
    <w:rsid w:val="00FF454A"/>
    <w:rsid w:val="00FF6A96"/>
    <w:rsid w:val="00FF6B2F"/>
    <w:rsid w:val="00FF76D3"/>
    <w:rsid w:val="01EFF846"/>
    <w:rsid w:val="05657E18"/>
    <w:rsid w:val="057BBE80"/>
    <w:rsid w:val="07105CC7"/>
    <w:rsid w:val="07A633EE"/>
    <w:rsid w:val="07B55878"/>
    <w:rsid w:val="08D27BEC"/>
    <w:rsid w:val="0AE79670"/>
    <w:rsid w:val="0C217EA3"/>
    <w:rsid w:val="0C8366D1"/>
    <w:rsid w:val="0CA3B1CC"/>
    <w:rsid w:val="0D76F32B"/>
    <w:rsid w:val="0DF25F9E"/>
    <w:rsid w:val="0E535752"/>
    <w:rsid w:val="120E0996"/>
    <w:rsid w:val="1609BFCE"/>
    <w:rsid w:val="1A6DA25C"/>
    <w:rsid w:val="1D5F534E"/>
    <w:rsid w:val="1DA44A3D"/>
    <w:rsid w:val="1FDD8A26"/>
    <w:rsid w:val="20257856"/>
    <w:rsid w:val="218179E3"/>
    <w:rsid w:val="222B3C8D"/>
    <w:rsid w:val="2275D637"/>
    <w:rsid w:val="2334A97B"/>
    <w:rsid w:val="2411A698"/>
    <w:rsid w:val="24AB8D48"/>
    <w:rsid w:val="25D3E509"/>
    <w:rsid w:val="26A5F88E"/>
    <w:rsid w:val="276B8B8D"/>
    <w:rsid w:val="27915F9B"/>
    <w:rsid w:val="293531D0"/>
    <w:rsid w:val="2BA8EA33"/>
    <w:rsid w:val="2C75F479"/>
    <w:rsid w:val="2F7394AA"/>
    <w:rsid w:val="2FF917D8"/>
    <w:rsid w:val="3076FEDD"/>
    <w:rsid w:val="30C0CD66"/>
    <w:rsid w:val="314A4365"/>
    <w:rsid w:val="32F1BE3C"/>
    <w:rsid w:val="36162CA4"/>
    <w:rsid w:val="3834FA77"/>
    <w:rsid w:val="3A752ACC"/>
    <w:rsid w:val="3ABD18FC"/>
    <w:rsid w:val="3E27FF07"/>
    <w:rsid w:val="3F297A5C"/>
    <w:rsid w:val="40B16955"/>
    <w:rsid w:val="42360A36"/>
    <w:rsid w:val="428CB9DF"/>
    <w:rsid w:val="440A6349"/>
    <w:rsid w:val="457D5294"/>
    <w:rsid w:val="468FB37F"/>
    <w:rsid w:val="49F76296"/>
    <w:rsid w:val="4C480009"/>
    <w:rsid w:val="4D885632"/>
    <w:rsid w:val="500AADC5"/>
    <w:rsid w:val="50EBD3CD"/>
    <w:rsid w:val="52C5AAB1"/>
    <w:rsid w:val="539F4BA3"/>
    <w:rsid w:val="53C914E4"/>
    <w:rsid w:val="554350CF"/>
    <w:rsid w:val="55582B78"/>
    <w:rsid w:val="5669D731"/>
    <w:rsid w:val="57FD4282"/>
    <w:rsid w:val="58192D57"/>
    <w:rsid w:val="58FC8684"/>
    <w:rsid w:val="5A9F7A22"/>
    <w:rsid w:val="5B87107E"/>
    <w:rsid w:val="5BD3C206"/>
    <w:rsid w:val="5D18C84A"/>
    <w:rsid w:val="623B2A30"/>
    <w:rsid w:val="6276DEC5"/>
    <w:rsid w:val="63D6FA91"/>
    <w:rsid w:val="6572CAF2"/>
    <w:rsid w:val="65BC873E"/>
    <w:rsid w:val="65CF9075"/>
    <w:rsid w:val="66F591B7"/>
    <w:rsid w:val="670C9D5A"/>
    <w:rsid w:val="6758579F"/>
    <w:rsid w:val="68CF689B"/>
    <w:rsid w:val="6A1450FD"/>
    <w:rsid w:val="6A42FE5E"/>
    <w:rsid w:val="6A9D83AD"/>
    <w:rsid w:val="6ABFEA85"/>
    <w:rsid w:val="6BACD414"/>
    <w:rsid w:val="6C67F282"/>
    <w:rsid w:val="6CC965C3"/>
    <w:rsid w:val="7132B0F4"/>
    <w:rsid w:val="7190CE68"/>
    <w:rsid w:val="726412F0"/>
    <w:rsid w:val="77D37E04"/>
    <w:rsid w:val="7E56CCD6"/>
    <w:rsid w:val="7FEE52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3E68"/>
  <w15:docId w15:val="{EA838D1D-4457-48C8-B034-AB96482F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link w:val="Heading1Char"/>
    <w:uiPriority w:val="9"/>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s refss,16 Point,Superscript 6 Point,Char Char,FO,Знак сноски 1,referencia nota al pie"/>
    <w:basedOn w:val="DefaultParagraphFont"/>
    <w:link w:val="ListBullet1"/>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link w:val="HeaderChar"/>
    <w:uiPriority w:val="99"/>
    <w:qFormat/>
    <w:rsid w:val="002C0119"/>
    <w:pPr>
      <w:pBdr>
        <w:bottom w:val="single" w:sz="4" w:space="4" w:color="auto"/>
      </w:pBdr>
      <w:spacing w:line="240" w:lineRule="auto"/>
    </w:pPr>
    <w:rPr>
      <w:b/>
      <w:sz w:val="18"/>
      <w:lang w:val="en-GB"/>
    </w:rPr>
  </w:style>
  <w:style w:type="table" w:styleId="TableGrid">
    <w:name w:val="Table Grid"/>
    <w:basedOn w:val="TableNormal"/>
    <w:uiPriority w:val="59"/>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uiPriority w:val="99"/>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uiPriority w:val="99"/>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BA1C57"/>
    <w:rPr>
      <w:sz w:val="18"/>
      <w:lang w:val="en-GB" w:eastAsia="en-US"/>
    </w:rPr>
  </w:style>
  <w:style w:type="paragraph" w:customStyle="1" w:styleId="ListBullet1">
    <w:name w:val="List Bullet1"/>
    <w:basedOn w:val="Normal"/>
    <w:next w:val="ListBullet"/>
    <w:link w:val="FootnoteReference"/>
    <w:uiPriority w:val="99"/>
    <w:semiHidden/>
    <w:unhideWhenUsed/>
    <w:rsid w:val="00BA1C57"/>
    <w:pPr>
      <w:suppressAutoHyphens w:val="0"/>
      <w:spacing w:after="200" w:line="276" w:lineRule="auto"/>
      <w:ind w:left="720" w:hanging="360"/>
      <w:contextualSpacing/>
      <w:jc w:val="both"/>
    </w:pPr>
    <w:rPr>
      <w:sz w:val="18"/>
      <w:vertAlign w:val="superscript"/>
      <w:lang w:val="fr-FR" w:eastAsia="fr-FR"/>
    </w:rPr>
  </w:style>
  <w:style w:type="paragraph" w:styleId="ListBullet">
    <w:name w:val="List Bullet"/>
    <w:basedOn w:val="Normal"/>
    <w:semiHidden/>
    <w:rsid w:val="00BA1C57"/>
    <w:pPr>
      <w:numPr>
        <w:numId w:val="7"/>
      </w:numPr>
      <w:contextualSpacing/>
    </w:pPr>
  </w:style>
  <w:style w:type="paragraph" w:styleId="ListParagraph">
    <w:name w:val="List Paragraph"/>
    <w:basedOn w:val="Normal"/>
    <w:uiPriority w:val="34"/>
    <w:qFormat/>
    <w:rsid w:val="009C640C"/>
    <w:pPr>
      <w:suppressAutoHyphens w:val="0"/>
      <w:spacing w:line="240" w:lineRule="auto"/>
      <w:ind w:left="720"/>
      <w:contextualSpacing/>
    </w:pPr>
    <w:rPr>
      <w:rFonts w:ascii="Calibri" w:eastAsiaTheme="minorHAnsi" w:hAnsi="Calibri" w:cs="Calibri"/>
      <w:sz w:val="22"/>
      <w:szCs w:val="22"/>
      <w:lang w:val="en-GB"/>
    </w:rPr>
  </w:style>
  <w:style w:type="paragraph" w:styleId="CommentText">
    <w:name w:val="annotation text"/>
    <w:basedOn w:val="Normal"/>
    <w:link w:val="CommentTextChar"/>
    <w:uiPriority w:val="99"/>
    <w:unhideWhenUsed/>
    <w:rsid w:val="009C640C"/>
    <w:pPr>
      <w:suppressAutoHyphens w:val="0"/>
      <w:spacing w:line="240" w:lineRule="auto"/>
    </w:pPr>
    <w:rPr>
      <w:rFonts w:ascii="Calibri" w:eastAsiaTheme="minorHAnsi" w:hAnsi="Calibri" w:cs="Calibri"/>
      <w:lang w:val="en-GB"/>
    </w:rPr>
  </w:style>
  <w:style w:type="character" w:customStyle="1" w:styleId="CommentTextChar">
    <w:name w:val="Comment Text Char"/>
    <w:basedOn w:val="DefaultParagraphFont"/>
    <w:link w:val="CommentText"/>
    <w:uiPriority w:val="99"/>
    <w:rsid w:val="009C640C"/>
    <w:rPr>
      <w:rFonts w:ascii="Calibri" w:eastAsiaTheme="minorHAnsi" w:hAnsi="Calibri" w:cs="Calibri"/>
      <w:lang w:val="en-GB" w:eastAsia="en-US"/>
    </w:rPr>
  </w:style>
  <w:style w:type="character" w:styleId="CommentReference">
    <w:name w:val="annotation reference"/>
    <w:basedOn w:val="DefaultParagraphFont"/>
    <w:uiPriority w:val="99"/>
    <w:semiHidden/>
    <w:unhideWhenUsed/>
    <w:rsid w:val="009C640C"/>
    <w:rPr>
      <w:sz w:val="16"/>
      <w:szCs w:val="16"/>
    </w:rPr>
  </w:style>
  <w:style w:type="paragraph" w:styleId="CommentSubject">
    <w:name w:val="annotation subject"/>
    <w:basedOn w:val="CommentText"/>
    <w:next w:val="CommentText"/>
    <w:link w:val="CommentSubjectChar"/>
    <w:uiPriority w:val="99"/>
    <w:semiHidden/>
    <w:unhideWhenUsed/>
    <w:rsid w:val="009C640C"/>
    <w:rPr>
      <w:b/>
      <w:bCs/>
    </w:rPr>
  </w:style>
  <w:style w:type="character" w:customStyle="1" w:styleId="CommentSubjectChar">
    <w:name w:val="Comment Subject Char"/>
    <w:basedOn w:val="CommentTextChar"/>
    <w:link w:val="CommentSubject"/>
    <w:uiPriority w:val="99"/>
    <w:semiHidden/>
    <w:rsid w:val="009C640C"/>
    <w:rPr>
      <w:rFonts w:ascii="Calibri" w:eastAsiaTheme="minorHAnsi" w:hAnsi="Calibri" w:cs="Calibri"/>
      <w:b/>
      <w:bCs/>
      <w:lang w:val="en-GB" w:eastAsia="en-US"/>
    </w:rPr>
  </w:style>
  <w:style w:type="paragraph" w:customStyle="1" w:styleId="paragraph">
    <w:name w:val="paragraph"/>
    <w:basedOn w:val="Normal"/>
    <w:rsid w:val="009C640C"/>
    <w:pPr>
      <w:suppressAutoHyphens w:val="0"/>
      <w:spacing w:before="100" w:beforeAutospacing="1" w:after="100" w:afterAutospacing="1" w:line="240" w:lineRule="auto"/>
    </w:pPr>
    <w:rPr>
      <w:sz w:val="24"/>
      <w:szCs w:val="24"/>
      <w:lang w:val="en-GB" w:eastAsia="en-GB"/>
    </w:rPr>
  </w:style>
  <w:style w:type="character" w:customStyle="1" w:styleId="normaltextrun">
    <w:name w:val="normaltextrun"/>
    <w:basedOn w:val="DefaultParagraphFont"/>
    <w:rsid w:val="009C640C"/>
  </w:style>
  <w:style w:type="character" w:customStyle="1" w:styleId="eop">
    <w:name w:val="eop"/>
    <w:basedOn w:val="DefaultParagraphFont"/>
    <w:rsid w:val="009C640C"/>
  </w:style>
  <w:style w:type="paragraph" w:styleId="Revision">
    <w:name w:val="Revision"/>
    <w:hidden/>
    <w:uiPriority w:val="99"/>
    <w:semiHidden/>
    <w:rsid w:val="009C640C"/>
    <w:rPr>
      <w:rFonts w:ascii="Calibri" w:eastAsiaTheme="minorHAnsi" w:hAnsi="Calibri" w:cs="Calibri"/>
      <w:sz w:val="22"/>
      <w:szCs w:val="22"/>
      <w:lang w:val="en-GB" w:eastAsia="en-US"/>
    </w:rPr>
  </w:style>
  <w:style w:type="character" w:customStyle="1" w:styleId="HeaderChar">
    <w:name w:val="Header Char"/>
    <w:aliases w:val="6_G Char"/>
    <w:basedOn w:val="DefaultParagraphFont"/>
    <w:link w:val="Header"/>
    <w:uiPriority w:val="99"/>
    <w:rsid w:val="009C640C"/>
    <w:rPr>
      <w:b/>
      <w:sz w:val="18"/>
      <w:lang w:val="en-GB" w:eastAsia="en-US"/>
    </w:rPr>
  </w:style>
  <w:style w:type="character" w:customStyle="1" w:styleId="FooterChar">
    <w:name w:val="Footer Char"/>
    <w:aliases w:val="3_G Char"/>
    <w:basedOn w:val="DefaultParagraphFont"/>
    <w:link w:val="Footer"/>
    <w:uiPriority w:val="99"/>
    <w:rsid w:val="009C640C"/>
    <w:rPr>
      <w:sz w:val="16"/>
      <w:lang w:val="en-GB" w:eastAsia="en-US"/>
    </w:rPr>
  </w:style>
  <w:style w:type="character" w:customStyle="1" w:styleId="Heading1Char">
    <w:name w:val="Heading 1 Char"/>
    <w:aliases w:val="Table_G Char"/>
    <w:basedOn w:val="DefaultParagraphFont"/>
    <w:link w:val="Heading1"/>
    <w:uiPriority w:val="9"/>
    <w:rsid w:val="009C640C"/>
    <w:rPr>
      <w:lang w:val="en-GB" w:eastAsia="en-US"/>
    </w:rPr>
  </w:style>
  <w:style w:type="character" w:customStyle="1" w:styleId="Mention1">
    <w:name w:val="Mention1"/>
    <w:basedOn w:val="DefaultParagraphFont"/>
    <w:uiPriority w:val="99"/>
    <w:unhideWhenUsed/>
    <w:rsid w:val="009C640C"/>
    <w:rPr>
      <w:color w:val="2B579A"/>
      <w:shd w:val="clear" w:color="auto" w:fill="E6E6E6"/>
    </w:rPr>
  </w:style>
  <w:style w:type="character" w:customStyle="1" w:styleId="Mention2">
    <w:name w:val="Mention2"/>
    <w:basedOn w:val="DefaultParagraphFont"/>
    <w:uiPriority w:val="99"/>
    <w:unhideWhenUsed/>
    <w:rsid w:val="009C640C"/>
    <w:rPr>
      <w:color w:val="2B579A"/>
      <w:shd w:val="clear" w:color="auto" w:fill="E1DFDD"/>
    </w:rPr>
  </w:style>
  <w:style w:type="character" w:customStyle="1" w:styleId="UnresolvedMention1">
    <w:name w:val="Unresolved Mention1"/>
    <w:basedOn w:val="DefaultParagraphFont"/>
    <w:uiPriority w:val="99"/>
    <w:semiHidden/>
    <w:unhideWhenUsed/>
    <w:rsid w:val="009C640C"/>
    <w:rPr>
      <w:color w:val="605E5C"/>
      <w:shd w:val="clear" w:color="auto" w:fill="E1DFDD"/>
    </w:rPr>
  </w:style>
  <w:style w:type="character" w:customStyle="1" w:styleId="UnresolvedMention2">
    <w:name w:val="Unresolved Mention2"/>
    <w:basedOn w:val="DefaultParagraphFont"/>
    <w:uiPriority w:val="99"/>
    <w:semiHidden/>
    <w:unhideWhenUsed/>
    <w:rsid w:val="009C640C"/>
    <w:rPr>
      <w:color w:val="605E5C"/>
      <w:shd w:val="clear" w:color="auto" w:fill="E1DFDD"/>
    </w:rPr>
  </w:style>
  <w:style w:type="character" w:customStyle="1" w:styleId="UnresolvedMention3">
    <w:name w:val="Unresolved Mention3"/>
    <w:basedOn w:val="DefaultParagraphFont"/>
    <w:uiPriority w:val="99"/>
    <w:semiHidden/>
    <w:unhideWhenUsed/>
    <w:rsid w:val="00920D8A"/>
    <w:rPr>
      <w:color w:val="605E5C"/>
      <w:shd w:val="clear" w:color="auto" w:fill="E1DFDD"/>
    </w:rPr>
  </w:style>
  <w:style w:type="character" w:customStyle="1" w:styleId="UnresolvedMention4">
    <w:name w:val="Unresolved Mention4"/>
    <w:basedOn w:val="DefaultParagraphFont"/>
    <w:uiPriority w:val="99"/>
    <w:semiHidden/>
    <w:unhideWhenUsed/>
    <w:rsid w:val="00B20529"/>
    <w:rPr>
      <w:color w:val="605E5C"/>
      <w:shd w:val="clear" w:color="auto" w:fill="E1DFDD"/>
    </w:rPr>
  </w:style>
  <w:style w:type="character" w:styleId="Emphasis">
    <w:name w:val="Emphasis"/>
    <w:basedOn w:val="DefaultParagraphFont"/>
    <w:uiPriority w:val="20"/>
    <w:qFormat/>
    <w:rsid w:val="00F2701A"/>
    <w:rPr>
      <w:i/>
      <w:iCs/>
    </w:rPr>
  </w:style>
  <w:style w:type="character" w:customStyle="1" w:styleId="UnresolvedMention5">
    <w:name w:val="Unresolved Mention5"/>
    <w:basedOn w:val="DefaultParagraphFont"/>
    <w:uiPriority w:val="99"/>
    <w:semiHidden/>
    <w:unhideWhenUsed/>
    <w:rsid w:val="002A4BE5"/>
    <w:rPr>
      <w:color w:val="605E5C"/>
      <w:shd w:val="clear" w:color="auto" w:fill="E1DFDD"/>
    </w:rPr>
  </w:style>
  <w:style w:type="character" w:customStyle="1" w:styleId="UnresolvedMention6">
    <w:name w:val="Unresolved Mention6"/>
    <w:basedOn w:val="DefaultParagraphFont"/>
    <w:uiPriority w:val="99"/>
    <w:semiHidden/>
    <w:unhideWhenUsed/>
    <w:rsid w:val="007E38AE"/>
    <w:rPr>
      <w:color w:val="605E5C"/>
      <w:shd w:val="clear" w:color="auto" w:fill="E1DFDD"/>
    </w:rPr>
  </w:style>
  <w:style w:type="character" w:customStyle="1" w:styleId="UnresolvedMention7">
    <w:name w:val="Unresolved Mention7"/>
    <w:basedOn w:val="DefaultParagraphFont"/>
    <w:uiPriority w:val="99"/>
    <w:semiHidden/>
    <w:unhideWhenUsed/>
    <w:rsid w:val="00B524EE"/>
    <w:rPr>
      <w:color w:val="605E5C"/>
      <w:shd w:val="clear" w:color="auto" w:fill="E1DFDD"/>
    </w:rPr>
  </w:style>
  <w:style w:type="paragraph" w:styleId="NormalWeb">
    <w:name w:val="Normal (Web)"/>
    <w:basedOn w:val="Normal"/>
    <w:uiPriority w:val="99"/>
    <w:semiHidden/>
    <w:unhideWhenUsed/>
    <w:rsid w:val="004000F8"/>
    <w:pPr>
      <w:suppressAutoHyphens w:val="0"/>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691">
      <w:bodyDiv w:val="1"/>
      <w:marLeft w:val="0"/>
      <w:marRight w:val="0"/>
      <w:marTop w:val="0"/>
      <w:marBottom w:val="0"/>
      <w:divBdr>
        <w:top w:val="none" w:sz="0" w:space="0" w:color="auto"/>
        <w:left w:val="none" w:sz="0" w:space="0" w:color="auto"/>
        <w:bottom w:val="none" w:sz="0" w:space="0" w:color="auto"/>
        <w:right w:val="none" w:sz="0" w:space="0" w:color="auto"/>
      </w:divBdr>
    </w:div>
    <w:div w:id="153376012">
      <w:bodyDiv w:val="1"/>
      <w:marLeft w:val="0"/>
      <w:marRight w:val="0"/>
      <w:marTop w:val="0"/>
      <w:marBottom w:val="0"/>
      <w:divBdr>
        <w:top w:val="none" w:sz="0" w:space="0" w:color="auto"/>
        <w:left w:val="none" w:sz="0" w:space="0" w:color="auto"/>
        <w:bottom w:val="none" w:sz="0" w:space="0" w:color="auto"/>
        <w:right w:val="none" w:sz="0" w:space="0" w:color="auto"/>
      </w:divBdr>
      <w:divsChild>
        <w:div w:id="1607615887">
          <w:marLeft w:val="0"/>
          <w:marRight w:val="0"/>
          <w:marTop w:val="0"/>
          <w:marBottom w:val="0"/>
          <w:divBdr>
            <w:top w:val="none" w:sz="0" w:space="0" w:color="auto"/>
            <w:left w:val="none" w:sz="0" w:space="0" w:color="auto"/>
            <w:bottom w:val="none" w:sz="0" w:space="0" w:color="auto"/>
            <w:right w:val="none" w:sz="0" w:space="0" w:color="auto"/>
          </w:divBdr>
          <w:divsChild>
            <w:div w:id="773861735">
              <w:marLeft w:val="0"/>
              <w:marRight w:val="0"/>
              <w:marTop w:val="0"/>
              <w:marBottom w:val="0"/>
              <w:divBdr>
                <w:top w:val="none" w:sz="0" w:space="0" w:color="auto"/>
                <w:left w:val="none" w:sz="0" w:space="0" w:color="auto"/>
                <w:bottom w:val="none" w:sz="0" w:space="0" w:color="auto"/>
                <w:right w:val="none" w:sz="0" w:space="0" w:color="auto"/>
              </w:divBdr>
              <w:divsChild>
                <w:div w:id="12326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6004">
      <w:bodyDiv w:val="1"/>
      <w:marLeft w:val="0"/>
      <w:marRight w:val="0"/>
      <w:marTop w:val="0"/>
      <w:marBottom w:val="0"/>
      <w:divBdr>
        <w:top w:val="none" w:sz="0" w:space="0" w:color="auto"/>
        <w:left w:val="none" w:sz="0" w:space="0" w:color="auto"/>
        <w:bottom w:val="none" w:sz="0" w:space="0" w:color="auto"/>
        <w:right w:val="none" w:sz="0" w:space="0" w:color="auto"/>
      </w:divBdr>
      <w:divsChild>
        <w:div w:id="1320310573">
          <w:marLeft w:val="0"/>
          <w:marRight w:val="0"/>
          <w:marTop w:val="0"/>
          <w:marBottom w:val="0"/>
          <w:divBdr>
            <w:top w:val="none" w:sz="0" w:space="0" w:color="auto"/>
            <w:left w:val="none" w:sz="0" w:space="0" w:color="auto"/>
            <w:bottom w:val="none" w:sz="0" w:space="0" w:color="auto"/>
            <w:right w:val="none" w:sz="0" w:space="0" w:color="auto"/>
          </w:divBdr>
          <w:divsChild>
            <w:div w:id="1839344481">
              <w:marLeft w:val="0"/>
              <w:marRight w:val="0"/>
              <w:marTop w:val="0"/>
              <w:marBottom w:val="0"/>
              <w:divBdr>
                <w:top w:val="none" w:sz="0" w:space="0" w:color="auto"/>
                <w:left w:val="none" w:sz="0" w:space="0" w:color="auto"/>
                <w:bottom w:val="none" w:sz="0" w:space="0" w:color="auto"/>
                <w:right w:val="none" w:sz="0" w:space="0" w:color="auto"/>
              </w:divBdr>
              <w:divsChild>
                <w:div w:id="5038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4234">
      <w:bodyDiv w:val="1"/>
      <w:marLeft w:val="0"/>
      <w:marRight w:val="0"/>
      <w:marTop w:val="0"/>
      <w:marBottom w:val="0"/>
      <w:divBdr>
        <w:top w:val="none" w:sz="0" w:space="0" w:color="auto"/>
        <w:left w:val="none" w:sz="0" w:space="0" w:color="auto"/>
        <w:bottom w:val="none" w:sz="0" w:space="0" w:color="auto"/>
        <w:right w:val="none" w:sz="0" w:space="0" w:color="auto"/>
      </w:divBdr>
      <w:divsChild>
        <w:div w:id="1355426404">
          <w:marLeft w:val="0"/>
          <w:marRight w:val="0"/>
          <w:marTop w:val="0"/>
          <w:marBottom w:val="0"/>
          <w:divBdr>
            <w:top w:val="none" w:sz="0" w:space="0" w:color="auto"/>
            <w:left w:val="none" w:sz="0" w:space="0" w:color="auto"/>
            <w:bottom w:val="none" w:sz="0" w:space="0" w:color="auto"/>
            <w:right w:val="none" w:sz="0" w:space="0" w:color="auto"/>
          </w:divBdr>
          <w:divsChild>
            <w:div w:id="1859343755">
              <w:marLeft w:val="0"/>
              <w:marRight w:val="0"/>
              <w:marTop w:val="0"/>
              <w:marBottom w:val="0"/>
              <w:divBdr>
                <w:top w:val="none" w:sz="0" w:space="0" w:color="auto"/>
                <w:left w:val="none" w:sz="0" w:space="0" w:color="auto"/>
                <w:bottom w:val="none" w:sz="0" w:space="0" w:color="auto"/>
                <w:right w:val="none" w:sz="0" w:space="0" w:color="auto"/>
              </w:divBdr>
              <w:divsChild>
                <w:div w:id="21341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3525">
      <w:bodyDiv w:val="1"/>
      <w:marLeft w:val="0"/>
      <w:marRight w:val="0"/>
      <w:marTop w:val="0"/>
      <w:marBottom w:val="0"/>
      <w:divBdr>
        <w:top w:val="none" w:sz="0" w:space="0" w:color="auto"/>
        <w:left w:val="none" w:sz="0" w:space="0" w:color="auto"/>
        <w:bottom w:val="none" w:sz="0" w:space="0" w:color="auto"/>
        <w:right w:val="none" w:sz="0" w:space="0" w:color="auto"/>
      </w:divBdr>
      <w:divsChild>
        <w:div w:id="1976642882">
          <w:marLeft w:val="0"/>
          <w:marRight w:val="0"/>
          <w:marTop w:val="0"/>
          <w:marBottom w:val="0"/>
          <w:divBdr>
            <w:top w:val="none" w:sz="0" w:space="0" w:color="auto"/>
            <w:left w:val="none" w:sz="0" w:space="0" w:color="auto"/>
            <w:bottom w:val="none" w:sz="0" w:space="0" w:color="auto"/>
            <w:right w:val="none" w:sz="0" w:space="0" w:color="auto"/>
          </w:divBdr>
          <w:divsChild>
            <w:div w:id="1356735794">
              <w:marLeft w:val="0"/>
              <w:marRight w:val="0"/>
              <w:marTop w:val="0"/>
              <w:marBottom w:val="0"/>
              <w:divBdr>
                <w:top w:val="none" w:sz="0" w:space="0" w:color="auto"/>
                <w:left w:val="none" w:sz="0" w:space="0" w:color="auto"/>
                <w:bottom w:val="none" w:sz="0" w:space="0" w:color="auto"/>
                <w:right w:val="none" w:sz="0" w:space="0" w:color="auto"/>
              </w:divBdr>
              <w:divsChild>
                <w:div w:id="18416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9504">
      <w:bodyDiv w:val="1"/>
      <w:marLeft w:val="0"/>
      <w:marRight w:val="0"/>
      <w:marTop w:val="0"/>
      <w:marBottom w:val="0"/>
      <w:divBdr>
        <w:top w:val="none" w:sz="0" w:space="0" w:color="auto"/>
        <w:left w:val="none" w:sz="0" w:space="0" w:color="auto"/>
        <w:bottom w:val="none" w:sz="0" w:space="0" w:color="auto"/>
        <w:right w:val="none" w:sz="0" w:space="0" w:color="auto"/>
      </w:divBdr>
      <w:divsChild>
        <w:div w:id="392168704">
          <w:marLeft w:val="0"/>
          <w:marRight w:val="0"/>
          <w:marTop w:val="0"/>
          <w:marBottom w:val="0"/>
          <w:divBdr>
            <w:top w:val="none" w:sz="0" w:space="0" w:color="auto"/>
            <w:left w:val="none" w:sz="0" w:space="0" w:color="auto"/>
            <w:bottom w:val="none" w:sz="0" w:space="0" w:color="auto"/>
            <w:right w:val="none" w:sz="0" w:space="0" w:color="auto"/>
          </w:divBdr>
          <w:divsChild>
            <w:div w:id="1437024384">
              <w:marLeft w:val="0"/>
              <w:marRight w:val="0"/>
              <w:marTop w:val="0"/>
              <w:marBottom w:val="0"/>
              <w:divBdr>
                <w:top w:val="none" w:sz="0" w:space="0" w:color="auto"/>
                <w:left w:val="none" w:sz="0" w:space="0" w:color="auto"/>
                <w:bottom w:val="none" w:sz="0" w:space="0" w:color="auto"/>
                <w:right w:val="none" w:sz="0" w:space="0" w:color="auto"/>
              </w:divBdr>
              <w:divsChild>
                <w:div w:id="20550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9370">
      <w:bodyDiv w:val="1"/>
      <w:marLeft w:val="0"/>
      <w:marRight w:val="0"/>
      <w:marTop w:val="0"/>
      <w:marBottom w:val="0"/>
      <w:divBdr>
        <w:top w:val="none" w:sz="0" w:space="0" w:color="auto"/>
        <w:left w:val="none" w:sz="0" w:space="0" w:color="auto"/>
        <w:bottom w:val="none" w:sz="0" w:space="0" w:color="auto"/>
        <w:right w:val="none" w:sz="0" w:space="0" w:color="auto"/>
      </w:divBdr>
      <w:divsChild>
        <w:div w:id="295987366">
          <w:marLeft w:val="0"/>
          <w:marRight w:val="0"/>
          <w:marTop w:val="0"/>
          <w:marBottom w:val="0"/>
          <w:divBdr>
            <w:top w:val="none" w:sz="0" w:space="0" w:color="auto"/>
            <w:left w:val="none" w:sz="0" w:space="0" w:color="auto"/>
            <w:bottom w:val="none" w:sz="0" w:space="0" w:color="auto"/>
            <w:right w:val="none" w:sz="0" w:space="0" w:color="auto"/>
          </w:divBdr>
          <w:divsChild>
            <w:div w:id="1439061799">
              <w:marLeft w:val="0"/>
              <w:marRight w:val="0"/>
              <w:marTop w:val="0"/>
              <w:marBottom w:val="0"/>
              <w:divBdr>
                <w:top w:val="none" w:sz="0" w:space="0" w:color="auto"/>
                <w:left w:val="none" w:sz="0" w:space="0" w:color="auto"/>
                <w:bottom w:val="none" w:sz="0" w:space="0" w:color="auto"/>
                <w:right w:val="none" w:sz="0" w:space="0" w:color="auto"/>
              </w:divBdr>
              <w:divsChild>
                <w:div w:id="12819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5227">
      <w:bodyDiv w:val="1"/>
      <w:marLeft w:val="0"/>
      <w:marRight w:val="0"/>
      <w:marTop w:val="0"/>
      <w:marBottom w:val="0"/>
      <w:divBdr>
        <w:top w:val="none" w:sz="0" w:space="0" w:color="auto"/>
        <w:left w:val="none" w:sz="0" w:space="0" w:color="auto"/>
        <w:bottom w:val="none" w:sz="0" w:space="0" w:color="auto"/>
        <w:right w:val="none" w:sz="0" w:space="0" w:color="auto"/>
      </w:divBdr>
      <w:divsChild>
        <w:div w:id="752555973">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sChild>
                <w:div w:id="20211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111">
      <w:bodyDiv w:val="1"/>
      <w:marLeft w:val="0"/>
      <w:marRight w:val="0"/>
      <w:marTop w:val="0"/>
      <w:marBottom w:val="0"/>
      <w:divBdr>
        <w:top w:val="none" w:sz="0" w:space="0" w:color="auto"/>
        <w:left w:val="none" w:sz="0" w:space="0" w:color="auto"/>
        <w:bottom w:val="none" w:sz="0" w:space="0" w:color="auto"/>
        <w:right w:val="none" w:sz="0" w:space="0" w:color="auto"/>
      </w:divBdr>
    </w:div>
    <w:div w:id="1699233431">
      <w:bodyDiv w:val="1"/>
      <w:marLeft w:val="0"/>
      <w:marRight w:val="0"/>
      <w:marTop w:val="0"/>
      <w:marBottom w:val="0"/>
      <w:divBdr>
        <w:top w:val="none" w:sz="0" w:space="0" w:color="auto"/>
        <w:left w:val="none" w:sz="0" w:space="0" w:color="auto"/>
        <w:bottom w:val="none" w:sz="0" w:space="0" w:color="auto"/>
        <w:right w:val="none" w:sz="0" w:space="0" w:color="auto"/>
      </w:divBdr>
      <w:divsChild>
        <w:div w:id="480387971">
          <w:marLeft w:val="0"/>
          <w:marRight w:val="0"/>
          <w:marTop w:val="0"/>
          <w:marBottom w:val="0"/>
          <w:divBdr>
            <w:top w:val="none" w:sz="0" w:space="0" w:color="auto"/>
            <w:left w:val="none" w:sz="0" w:space="0" w:color="auto"/>
            <w:bottom w:val="none" w:sz="0" w:space="0" w:color="auto"/>
            <w:right w:val="none" w:sz="0" w:space="0" w:color="auto"/>
          </w:divBdr>
          <w:divsChild>
            <w:div w:id="567309101">
              <w:marLeft w:val="0"/>
              <w:marRight w:val="0"/>
              <w:marTop w:val="0"/>
              <w:marBottom w:val="0"/>
              <w:divBdr>
                <w:top w:val="none" w:sz="0" w:space="0" w:color="auto"/>
                <w:left w:val="none" w:sz="0" w:space="0" w:color="auto"/>
                <w:bottom w:val="none" w:sz="0" w:space="0" w:color="auto"/>
                <w:right w:val="none" w:sz="0" w:space="0" w:color="auto"/>
              </w:divBdr>
              <w:divsChild>
                <w:div w:id="12892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87083">
      <w:bodyDiv w:val="1"/>
      <w:marLeft w:val="0"/>
      <w:marRight w:val="0"/>
      <w:marTop w:val="0"/>
      <w:marBottom w:val="0"/>
      <w:divBdr>
        <w:top w:val="none" w:sz="0" w:space="0" w:color="auto"/>
        <w:left w:val="none" w:sz="0" w:space="0" w:color="auto"/>
        <w:bottom w:val="none" w:sz="0" w:space="0" w:color="auto"/>
        <w:right w:val="none" w:sz="0" w:space="0" w:color="auto"/>
      </w:divBdr>
      <w:divsChild>
        <w:div w:id="655839314">
          <w:marLeft w:val="0"/>
          <w:marRight w:val="0"/>
          <w:marTop w:val="0"/>
          <w:marBottom w:val="0"/>
          <w:divBdr>
            <w:top w:val="none" w:sz="0" w:space="0" w:color="auto"/>
            <w:left w:val="none" w:sz="0" w:space="0" w:color="auto"/>
            <w:bottom w:val="none" w:sz="0" w:space="0" w:color="auto"/>
            <w:right w:val="none" w:sz="0" w:space="0" w:color="auto"/>
          </w:divBdr>
          <w:divsChild>
            <w:div w:id="1914463520">
              <w:marLeft w:val="0"/>
              <w:marRight w:val="0"/>
              <w:marTop w:val="0"/>
              <w:marBottom w:val="0"/>
              <w:divBdr>
                <w:top w:val="none" w:sz="0" w:space="0" w:color="auto"/>
                <w:left w:val="none" w:sz="0" w:space="0" w:color="auto"/>
                <w:bottom w:val="none" w:sz="0" w:space="0" w:color="auto"/>
                <w:right w:val="none" w:sz="0" w:space="0" w:color="auto"/>
              </w:divBdr>
              <w:divsChild>
                <w:div w:id="21239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9919">
      <w:bodyDiv w:val="1"/>
      <w:marLeft w:val="0"/>
      <w:marRight w:val="0"/>
      <w:marTop w:val="0"/>
      <w:marBottom w:val="0"/>
      <w:divBdr>
        <w:top w:val="none" w:sz="0" w:space="0" w:color="auto"/>
        <w:left w:val="none" w:sz="0" w:space="0" w:color="auto"/>
        <w:bottom w:val="none" w:sz="0" w:space="0" w:color="auto"/>
        <w:right w:val="none" w:sz="0" w:space="0" w:color="auto"/>
      </w:divBdr>
      <w:divsChild>
        <w:div w:id="584534634">
          <w:marLeft w:val="0"/>
          <w:marRight w:val="0"/>
          <w:marTop w:val="0"/>
          <w:marBottom w:val="0"/>
          <w:divBdr>
            <w:top w:val="none" w:sz="0" w:space="0" w:color="auto"/>
            <w:left w:val="none" w:sz="0" w:space="0" w:color="auto"/>
            <w:bottom w:val="none" w:sz="0" w:space="0" w:color="auto"/>
            <w:right w:val="none" w:sz="0" w:space="0" w:color="auto"/>
          </w:divBdr>
          <w:divsChild>
            <w:div w:id="2087799137">
              <w:marLeft w:val="0"/>
              <w:marRight w:val="0"/>
              <w:marTop w:val="0"/>
              <w:marBottom w:val="0"/>
              <w:divBdr>
                <w:top w:val="none" w:sz="0" w:space="0" w:color="auto"/>
                <w:left w:val="none" w:sz="0" w:space="0" w:color="auto"/>
                <w:bottom w:val="none" w:sz="0" w:space="0" w:color="auto"/>
                <w:right w:val="none" w:sz="0" w:space="0" w:color="auto"/>
              </w:divBdr>
              <w:divsChild>
                <w:div w:id="2725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5549">
      <w:bodyDiv w:val="1"/>
      <w:marLeft w:val="0"/>
      <w:marRight w:val="0"/>
      <w:marTop w:val="0"/>
      <w:marBottom w:val="0"/>
      <w:divBdr>
        <w:top w:val="none" w:sz="0" w:space="0" w:color="auto"/>
        <w:left w:val="none" w:sz="0" w:space="0" w:color="auto"/>
        <w:bottom w:val="none" w:sz="0" w:space="0" w:color="auto"/>
        <w:right w:val="none" w:sz="0" w:space="0" w:color="auto"/>
      </w:divBdr>
      <w:divsChild>
        <w:div w:id="850337560">
          <w:marLeft w:val="0"/>
          <w:marRight w:val="0"/>
          <w:marTop w:val="0"/>
          <w:marBottom w:val="0"/>
          <w:divBdr>
            <w:top w:val="none" w:sz="0" w:space="0" w:color="auto"/>
            <w:left w:val="none" w:sz="0" w:space="0" w:color="auto"/>
            <w:bottom w:val="none" w:sz="0" w:space="0" w:color="auto"/>
            <w:right w:val="none" w:sz="0" w:space="0" w:color="auto"/>
          </w:divBdr>
          <w:divsChild>
            <w:div w:id="1623222584">
              <w:marLeft w:val="0"/>
              <w:marRight w:val="0"/>
              <w:marTop w:val="0"/>
              <w:marBottom w:val="0"/>
              <w:divBdr>
                <w:top w:val="none" w:sz="0" w:space="0" w:color="auto"/>
                <w:left w:val="none" w:sz="0" w:space="0" w:color="auto"/>
                <w:bottom w:val="none" w:sz="0" w:space="0" w:color="auto"/>
                <w:right w:val="none" w:sz="0" w:space="0" w:color="auto"/>
              </w:divBdr>
              <w:divsChild>
                <w:div w:id="9029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pol.hn/artisistem/images/sepol-images/files/PDF/INFOGRAFICO%20ANUAL(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E8EF-D271-4798-9F93-2420BD50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1</TotalTime>
  <Pages>15</Pages>
  <Words>7623</Words>
  <Characters>43457</Characters>
  <Application>Microsoft Office Word</Application>
  <DocSecurity>4</DocSecurity>
  <Lines>362</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A/HRC/52/24</vt:lpstr>
      <vt:lpstr>A/HRC/52/24</vt:lpstr>
    </vt:vector>
  </TitlesOfParts>
  <Company>CSD</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A/HRC/52/24</dc:title>
  <dc:subject/>
  <dc:creator>CEVALLOS Ana-Gabriela</dc:creator>
  <cp:keywords/>
  <cp:lastModifiedBy>Veronique Lanz</cp:lastModifiedBy>
  <cp:revision>2</cp:revision>
  <cp:lastPrinted>2023-02-28T11:51:00Z</cp:lastPrinted>
  <dcterms:created xsi:type="dcterms:W3CDTF">2023-03-02T08:16:00Z</dcterms:created>
  <dcterms:modified xsi:type="dcterms:W3CDTF">2023-03-02T08:16:00Z</dcterms:modified>
</cp:coreProperties>
</file>