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142"/>
        <w:gridCol w:w="2819"/>
      </w:tblGrid>
      <w:tr w:rsidR="002D5AAC" w14:paraId="7FC5DE74" w14:textId="77777777" w:rsidTr="00865660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5D22979B" w14:textId="77777777" w:rsidR="002D5AAC" w:rsidRDefault="002D5AAC" w:rsidP="004D019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131F0A0D" w14:textId="77777777" w:rsidR="002D5AAC" w:rsidRPr="00BD33EE" w:rsidRDefault="00DF71B9" w:rsidP="00782C09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28D1480D" w14:textId="09CEB710" w:rsidR="002D5AAC" w:rsidRDefault="004D019D" w:rsidP="004D019D">
            <w:pPr>
              <w:jc w:val="right"/>
            </w:pPr>
            <w:r w:rsidRPr="004D019D">
              <w:rPr>
                <w:sz w:val="40"/>
              </w:rPr>
              <w:t>A</w:t>
            </w:r>
            <w:r>
              <w:t>/HRC/55/67</w:t>
            </w:r>
          </w:p>
        </w:tc>
      </w:tr>
      <w:tr w:rsidR="002D5AAC" w:rsidRPr="00DA050D" w14:paraId="3B45244D" w14:textId="77777777" w:rsidTr="00782C09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4F41022" w14:textId="77777777" w:rsidR="002D5AAC" w:rsidRDefault="002E5067" w:rsidP="00782C09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487B7A6" wp14:editId="259D3A2B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1BDC45" w14:textId="77777777" w:rsidR="002D5AAC" w:rsidRPr="00033EE1" w:rsidRDefault="00DF71B9" w:rsidP="00782C09">
            <w:pPr>
              <w:spacing w:before="120" w:line="360" w:lineRule="exact"/>
              <w:rPr>
                <w:b/>
                <w:sz w:val="34"/>
                <w:szCs w:val="34"/>
              </w:rPr>
            </w:pPr>
            <w:r w:rsidRPr="006F285F">
              <w:rPr>
                <w:b/>
                <w:spacing w:val="-4"/>
                <w:sz w:val="40"/>
                <w:szCs w:val="40"/>
              </w:rPr>
              <w:t>Генеральная Ассамблея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31E90F51" w14:textId="77777777" w:rsidR="00153D64" w:rsidRPr="00153D64" w:rsidRDefault="00153D64" w:rsidP="00153D64">
            <w:pPr>
              <w:spacing w:before="240"/>
              <w:rPr>
                <w:lang w:val="en-US"/>
              </w:rPr>
            </w:pPr>
            <w:r w:rsidRPr="00153D64">
              <w:rPr>
                <w:lang w:val="en-US"/>
              </w:rPr>
              <w:t>Distr.: General</w:t>
            </w:r>
          </w:p>
          <w:p w14:paraId="54FD543E" w14:textId="77777777" w:rsidR="00153D64" w:rsidRPr="00153D64" w:rsidRDefault="00153D64" w:rsidP="00153D64">
            <w:pPr>
              <w:suppressAutoHyphens w:val="0"/>
              <w:rPr>
                <w:lang w:val="en-US"/>
              </w:rPr>
            </w:pPr>
            <w:r w:rsidRPr="00153D64">
              <w:rPr>
                <w:lang w:val="en-US"/>
              </w:rPr>
              <w:t>2 February 2024</w:t>
            </w:r>
          </w:p>
          <w:p w14:paraId="1595A2BF" w14:textId="57F9BA94" w:rsidR="00153D64" w:rsidRPr="00153D64" w:rsidRDefault="00153D64" w:rsidP="00153D64">
            <w:pPr>
              <w:suppressAutoHyphens w:val="0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01DDF679" w14:textId="28913328" w:rsidR="004D019D" w:rsidRPr="00153D64" w:rsidRDefault="00153D64" w:rsidP="00153D64">
            <w:pPr>
              <w:spacing w:line="240" w:lineRule="exact"/>
              <w:rPr>
                <w:lang w:val="en-US"/>
              </w:rPr>
            </w:pPr>
            <w:r w:rsidRPr="00153D64">
              <w:rPr>
                <w:lang w:val="en-US"/>
              </w:rPr>
              <w:t>Original: English</w:t>
            </w:r>
          </w:p>
        </w:tc>
      </w:tr>
    </w:tbl>
    <w:p w14:paraId="668E6C1E" w14:textId="77777777" w:rsidR="00DF71B9" w:rsidRPr="007D3D4F" w:rsidRDefault="00DF71B9" w:rsidP="006F0B59">
      <w:pPr>
        <w:spacing w:before="120"/>
        <w:rPr>
          <w:b/>
          <w:sz w:val="24"/>
          <w:szCs w:val="24"/>
        </w:rPr>
      </w:pPr>
      <w:r w:rsidRPr="001313C8">
        <w:rPr>
          <w:b/>
          <w:sz w:val="24"/>
          <w:szCs w:val="24"/>
        </w:rPr>
        <w:t>Совет по правам человека</w:t>
      </w:r>
    </w:p>
    <w:p w14:paraId="3160E40C" w14:textId="77777777" w:rsidR="007D3D4F" w:rsidRPr="00CF40C5" w:rsidRDefault="007D3D4F" w:rsidP="007D3D4F">
      <w:pPr>
        <w:rPr>
          <w:b/>
          <w:bCs/>
          <w:color w:val="000000" w:themeColor="text1"/>
        </w:rPr>
      </w:pPr>
      <w:bookmarkStart w:id="0" w:name="_Hlk113277881"/>
      <w:r w:rsidRPr="00CF40C5">
        <w:rPr>
          <w:b/>
          <w:bCs/>
          <w:color w:val="000000" w:themeColor="text1"/>
        </w:rPr>
        <w:t>Пятьдесят пятая сессия</w:t>
      </w:r>
    </w:p>
    <w:p w14:paraId="6D1972EE" w14:textId="77777777" w:rsidR="007D3D4F" w:rsidRPr="000D642A" w:rsidRDefault="007D3D4F" w:rsidP="007D3D4F">
      <w:pPr>
        <w:rPr>
          <w:color w:val="000000" w:themeColor="text1"/>
        </w:rPr>
      </w:pPr>
      <w:r w:rsidRPr="000D642A">
        <w:rPr>
          <w:color w:val="000000" w:themeColor="text1"/>
        </w:rPr>
        <w:t>26</w:t>
      </w:r>
      <w:r>
        <w:rPr>
          <w:color w:val="000000" w:themeColor="text1"/>
        </w:rPr>
        <w:t> февраля —</w:t>
      </w:r>
      <w:r w:rsidRPr="000D642A">
        <w:rPr>
          <w:color w:val="000000" w:themeColor="text1"/>
        </w:rPr>
        <w:t xml:space="preserve"> 5 апреля 2024</w:t>
      </w:r>
      <w:r>
        <w:rPr>
          <w:color w:val="000000" w:themeColor="text1"/>
        </w:rPr>
        <w:t> года</w:t>
      </w:r>
    </w:p>
    <w:p w14:paraId="045AF4BF" w14:textId="77777777" w:rsidR="007D3D4F" w:rsidRPr="00CF40C5" w:rsidRDefault="007D3D4F" w:rsidP="007D3D4F">
      <w:pPr>
        <w:rPr>
          <w:color w:val="000000" w:themeColor="text1"/>
        </w:rPr>
      </w:pPr>
      <w:bookmarkStart w:id="1" w:name="_Hlk113277890"/>
      <w:bookmarkEnd w:id="0"/>
      <w:r w:rsidRPr="00CF40C5">
        <w:rPr>
          <w:color w:val="000000" w:themeColor="text1"/>
        </w:rPr>
        <w:t>Пункт 4 повестки дня</w:t>
      </w:r>
    </w:p>
    <w:p w14:paraId="306C0699" w14:textId="33DE150F" w:rsidR="007D3D4F" w:rsidRPr="00CF40C5" w:rsidRDefault="007D3D4F" w:rsidP="007D3D4F">
      <w:pPr>
        <w:rPr>
          <w:b/>
          <w:bCs/>
          <w:color w:val="000000" w:themeColor="text1"/>
        </w:rPr>
      </w:pPr>
      <w:bookmarkStart w:id="2" w:name="_Hlk113277976"/>
      <w:bookmarkEnd w:id="1"/>
      <w:r w:rsidRPr="000D642A">
        <w:rPr>
          <w:b/>
          <w:bCs/>
          <w:color w:val="000000" w:themeColor="text1"/>
        </w:rPr>
        <w:t xml:space="preserve">Ситуации в области прав человека, </w:t>
      </w:r>
      <w:r>
        <w:rPr>
          <w:b/>
          <w:bCs/>
          <w:color w:val="000000" w:themeColor="text1"/>
        </w:rPr>
        <w:br/>
      </w:r>
      <w:r w:rsidRPr="000D642A">
        <w:rPr>
          <w:b/>
          <w:bCs/>
          <w:color w:val="000000" w:themeColor="text1"/>
        </w:rPr>
        <w:t>требующие внимания со стороны Совета</w:t>
      </w:r>
    </w:p>
    <w:p w14:paraId="3B45F2CD" w14:textId="6D1403AE" w:rsidR="007D3D4F" w:rsidRPr="00CF40C5" w:rsidRDefault="007D3D4F" w:rsidP="007D3D4F">
      <w:pPr>
        <w:pStyle w:val="HChG"/>
      </w:pPr>
      <w:r w:rsidRPr="00CF40C5">
        <w:tab/>
      </w:r>
      <w:r w:rsidRPr="00CF40C5">
        <w:tab/>
        <w:t xml:space="preserve">Доклад независимой </w:t>
      </w:r>
      <w:r w:rsidRPr="007D3D4F">
        <w:t>международной</w:t>
      </w:r>
      <w:r w:rsidRPr="00CF40C5">
        <w:t xml:space="preserve"> миссии </w:t>
      </w:r>
      <w:r>
        <w:br/>
      </w:r>
      <w:r w:rsidRPr="00CF40C5">
        <w:t>по установлению фактов</w:t>
      </w:r>
      <w:bookmarkEnd w:id="2"/>
      <w:r w:rsidRPr="00CF40C5">
        <w:t xml:space="preserve"> </w:t>
      </w:r>
      <w:r>
        <w:t xml:space="preserve">относительно </w:t>
      </w:r>
      <w:r>
        <w:br/>
      </w:r>
      <w:r w:rsidRPr="00CF40C5">
        <w:t>Исламской Республик</w:t>
      </w:r>
      <w:r>
        <w:t>и</w:t>
      </w:r>
      <w:r w:rsidRPr="00CF40C5">
        <w:t xml:space="preserve"> </w:t>
      </w:r>
      <w:r w:rsidRPr="00FC28A7">
        <w:rPr>
          <w:szCs w:val="28"/>
        </w:rPr>
        <w:footnoteReference w:customMarkFollows="1" w:id="1"/>
        <w:t>Иран</w:t>
      </w:r>
      <w:r w:rsidRPr="00CF40C5">
        <w:rPr>
          <w:b w:val="0"/>
          <w:bCs/>
          <w:sz w:val="20"/>
          <w:szCs w:val="14"/>
        </w:rPr>
        <w:t>*</w:t>
      </w:r>
    </w:p>
    <w:tbl>
      <w:tblPr>
        <w:tblStyle w:val="TableGrid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7D3D4F" w:rsidRPr="006D7E0B" w14:paraId="29E68080" w14:textId="77777777" w:rsidTr="006708BC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05806670" w14:textId="77777777" w:rsidR="007D3D4F" w:rsidRDefault="007D3D4F" w:rsidP="006708BC">
            <w:pPr>
              <w:tabs>
                <w:tab w:val="left" w:pos="255"/>
              </w:tabs>
              <w:suppressAutoHyphens w:val="0"/>
              <w:spacing w:before="240" w:after="120"/>
              <w:rPr>
                <w:sz w:val="24"/>
                <w:lang w:val="en-GB"/>
              </w:rPr>
            </w:pPr>
            <w:r w:rsidRPr="00CF40C5">
              <w:tab/>
            </w:r>
            <w:proofErr w:type="spellStart"/>
            <w:r w:rsidRPr="006D7E0B">
              <w:rPr>
                <w:i/>
                <w:sz w:val="24"/>
                <w:lang w:val="en-GB"/>
              </w:rPr>
              <w:t>Резюме</w:t>
            </w:r>
            <w:proofErr w:type="spellEnd"/>
          </w:p>
        </w:tc>
      </w:tr>
      <w:tr w:rsidR="007D3D4F" w:rsidRPr="005E2AFA" w14:paraId="45B2ADF4" w14:textId="77777777" w:rsidTr="006708BC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0ADC6F9E" w14:textId="6D0F16EB" w:rsidR="007D3D4F" w:rsidRPr="00CF40C5" w:rsidRDefault="007D3D4F" w:rsidP="006708BC">
            <w:pPr>
              <w:pStyle w:val="SingleTxtG"/>
            </w:pPr>
            <w:r w:rsidRPr="00CF40C5">
              <w:tab/>
            </w:r>
            <w:r w:rsidRPr="005F544F">
              <w:t>В настоящем докладе, представл</w:t>
            </w:r>
            <w:r>
              <w:t>яемом</w:t>
            </w:r>
            <w:r w:rsidRPr="005F544F">
              <w:t xml:space="preserve"> Совету по правам человека в соответствии с резолюцией</w:t>
            </w:r>
            <w:r>
              <w:t> </w:t>
            </w:r>
            <w:hyperlink r:id="rId8" w:history="1">
              <w:r w:rsidRPr="00CA5CF7">
                <w:rPr>
                  <w:rStyle w:val="Hyperlink"/>
                </w:rPr>
                <w:t>S-35/1</w:t>
              </w:r>
            </w:hyperlink>
            <w:r w:rsidRPr="005F544F">
              <w:t xml:space="preserve">, содержатся выводы независимой международной миссии по установлению фактов </w:t>
            </w:r>
            <w:r>
              <w:t>относительно</w:t>
            </w:r>
            <w:r w:rsidRPr="005F544F">
              <w:t xml:space="preserve"> Исламской Республики Иран в соответствии с международным правом прав человека и, в соответствующих случаях, в отношении преступлений по международному праву.</w:t>
            </w:r>
            <w:r w:rsidRPr="00CF40C5">
              <w:t xml:space="preserve"> В докладе миссия излагает свои выводы относительно протестов, начавшихся 16</w:t>
            </w:r>
            <w:r>
              <w:t> сентября</w:t>
            </w:r>
            <w:r w:rsidRPr="00CF40C5">
              <w:t xml:space="preserve"> 2022</w:t>
            </w:r>
            <w:r>
              <w:t> года</w:t>
            </w:r>
            <w:r w:rsidRPr="00CF40C5">
              <w:t xml:space="preserve"> в контексте движения </w:t>
            </w:r>
            <w:r>
              <w:t>«</w:t>
            </w:r>
            <w:r w:rsidRPr="00CF40C5">
              <w:t>Женщина, жизнь, свобода</w:t>
            </w:r>
            <w:r>
              <w:t>»</w:t>
            </w:r>
            <w:r w:rsidRPr="00CF40C5">
              <w:t xml:space="preserve">, особенно в отношении женщин и детей. В нем содержатся выводы о смерти </w:t>
            </w:r>
            <w:r>
              <w:t>во время содержания под стражей</w:t>
            </w:r>
            <w:r w:rsidRPr="00CF40C5">
              <w:t xml:space="preserve"> Джины Махсы Амини и о других серьезных нарушениях прав человека, совершенных в отношении </w:t>
            </w:r>
            <w:r>
              <w:t xml:space="preserve">участников </w:t>
            </w:r>
            <w:r w:rsidRPr="00CF40C5">
              <w:t>протест</w:t>
            </w:r>
            <w:r>
              <w:t>ов</w:t>
            </w:r>
            <w:r w:rsidRPr="00CF40C5">
              <w:t xml:space="preserve"> и других лиц, в том числе о применении силы, арестах и задержаниях, обращении </w:t>
            </w:r>
            <w:r>
              <w:t>во время содержания под стражей</w:t>
            </w:r>
            <w:r w:rsidRPr="00CF40C5">
              <w:t xml:space="preserve">, цифровом пространстве и судебных разбирательствах, связанных с протестами. </w:t>
            </w:r>
            <w:r>
              <w:t xml:space="preserve">В его заключительной части дана </w:t>
            </w:r>
            <w:r w:rsidRPr="00830308">
              <w:t>оценк</w:t>
            </w:r>
            <w:r>
              <w:t>а</w:t>
            </w:r>
            <w:r w:rsidRPr="00830308">
              <w:t xml:space="preserve"> ответственности государств за выявленные нарушения</w:t>
            </w:r>
            <w:r>
              <w:t xml:space="preserve"> и сформулированы </w:t>
            </w:r>
            <w:r w:rsidRPr="00830308">
              <w:t>рекомендаци</w:t>
            </w:r>
            <w:r>
              <w:t>и</w:t>
            </w:r>
            <w:r w:rsidRPr="00830308">
              <w:t>, в том числе относительно ответственности и возмещения ущерба.</w:t>
            </w:r>
          </w:p>
        </w:tc>
      </w:tr>
      <w:tr w:rsidR="007D3D4F" w:rsidRPr="005E2AFA" w14:paraId="0A557A64" w14:textId="77777777" w:rsidTr="006708BC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72C85443" w14:textId="77777777" w:rsidR="007D3D4F" w:rsidRPr="00CF40C5" w:rsidRDefault="007D3D4F" w:rsidP="006708BC">
            <w:pPr>
              <w:suppressAutoHyphens w:val="0"/>
            </w:pPr>
          </w:p>
        </w:tc>
      </w:tr>
    </w:tbl>
    <w:p w14:paraId="0C44FF1C" w14:textId="77777777" w:rsidR="007D3D4F" w:rsidRPr="00CF40C5" w:rsidRDefault="007D3D4F" w:rsidP="007D3D4F">
      <w:pPr>
        <w:pStyle w:val="SingleTxtG"/>
      </w:pPr>
      <w:r w:rsidRPr="00CF40C5">
        <w:br w:type="page"/>
      </w:r>
    </w:p>
    <w:p w14:paraId="4DFB922A" w14:textId="77777777" w:rsidR="007D3D4F" w:rsidRPr="00CF40C5" w:rsidRDefault="007D3D4F" w:rsidP="007D3D4F">
      <w:pPr>
        <w:pStyle w:val="HChG"/>
      </w:pPr>
      <w:r w:rsidRPr="00CF40C5">
        <w:lastRenderedPageBreak/>
        <w:tab/>
      </w:r>
      <w:r w:rsidRPr="006D7E0B">
        <w:t>I</w:t>
      </w:r>
      <w:r w:rsidRPr="00CF40C5">
        <w:t>.</w:t>
      </w:r>
      <w:r w:rsidRPr="00CF40C5">
        <w:tab/>
        <w:t>Введение</w:t>
      </w:r>
    </w:p>
    <w:p w14:paraId="4723298D" w14:textId="59A415BB" w:rsidR="007D3D4F" w:rsidRPr="00CF40C5" w:rsidRDefault="007D3D4F" w:rsidP="007D3D4F">
      <w:pPr>
        <w:pStyle w:val="SingleTxtG"/>
      </w:pPr>
      <w:r w:rsidRPr="00CF40C5">
        <w:t>1.</w:t>
      </w:r>
      <w:r>
        <w:tab/>
      </w:r>
      <w:r w:rsidRPr="00CF40C5">
        <w:t>В своей резолюции</w:t>
      </w:r>
      <w:r>
        <w:t> </w:t>
      </w:r>
      <w:hyperlink r:id="rId9" w:history="1">
        <w:r w:rsidRPr="00CA5CF7">
          <w:rPr>
            <w:rStyle w:val="Hyperlink"/>
          </w:rPr>
          <w:t>S-35/1</w:t>
        </w:r>
      </w:hyperlink>
      <w:r w:rsidRPr="00CF40C5">
        <w:t xml:space="preserve"> Совет по правам человека учредил независимую международную миссию по установлению фактов </w:t>
      </w:r>
      <w:r>
        <w:t>относительно</w:t>
      </w:r>
      <w:r w:rsidRPr="00CF40C5">
        <w:t xml:space="preserve"> Исламской Республик</w:t>
      </w:r>
      <w:r>
        <w:t>и</w:t>
      </w:r>
      <w:r w:rsidRPr="00CF40C5">
        <w:t xml:space="preserve"> Иран для тщательного и независимого расследования предполагаемых нарушений прав человека в Исламской Республике Иран</w:t>
      </w:r>
      <w:r>
        <w:t xml:space="preserve">, которые </w:t>
      </w:r>
      <w:r w:rsidRPr="00CF40C5">
        <w:t>связ</w:t>
      </w:r>
      <w:r>
        <w:t>аны</w:t>
      </w:r>
      <w:r w:rsidRPr="00CF40C5">
        <w:t xml:space="preserve"> с протестами, начавшимися 16</w:t>
      </w:r>
      <w:r>
        <w:t> сентября</w:t>
      </w:r>
      <w:r w:rsidRPr="00CF40C5">
        <w:t xml:space="preserve"> 2022</w:t>
      </w:r>
      <w:r>
        <w:t> года</w:t>
      </w:r>
      <w:r w:rsidRPr="00CF40C5">
        <w:t xml:space="preserve">, особенно в отношении женщин и детей; установления фактов и обстоятельств, связанных с предполагаемыми нарушениями; </w:t>
      </w:r>
      <w:r>
        <w:t xml:space="preserve">осуществления </w:t>
      </w:r>
      <w:r w:rsidRPr="00CF40C5">
        <w:t xml:space="preserve">сбора, обобщения и анализа доказательств таких нарушений и сохранения этих доказательств с целью </w:t>
      </w:r>
      <w:r>
        <w:t>осуществления</w:t>
      </w:r>
      <w:r w:rsidRPr="00CF40C5">
        <w:t xml:space="preserve"> сотрудничества </w:t>
      </w:r>
      <w:r w:rsidRPr="001C239F">
        <w:t>в любых юридических разбирательствах</w:t>
      </w:r>
      <w:r w:rsidRPr="00CF40C5">
        <w:t>. В соответствии с резолюцией</w:t>
      </w:r>
      <w:r>
        <w:t> </w:t>
      </w:r>
      <w:hyperlink r:id="rId10" w:history="1">
        <w:r w:rsidRPr="00CA5CF7">
          <w:rPr>
            <w:rStyle w:val="Hyperlink"/>
          </w:rPr>
          <w:t>S-35/1</w:t>
        </w:r>
      </w:hyperlink>
      <w:r w:rsidRPr="00CF40C5">
        <w:t xml:space="preserve"> миссия подготовила настоящий доклад для пятьдесят пятой сессии Совета и выпущенный в качестве документа зала заседаний</w:t>
      </w:r>
      <w:r>
        <w:t xml:space="preserve"> </w:t>
      </w:r>
      <w:r w:rsidRPr="00CF40C5">
        <w:t>расширенный доклад, в котором подробно изл</w:t>
      </w:r>
      <w:r>
        <w:t>агаются</w:t>
      </w:r>
      <w:r w:rsidRPr="00CF40C5">
        <w:t xml:space="preserve"> факты, </w:t>
      </w:r>
      <w:r>
        <w:t>правовые позиции</w:t>
      </w:r>
      <w:r w:rsidRPr="00CF40C5">
        <w:t xml:space="preserve"> и рекомендации.</w:t>
      </w:r>
    </w:p>
    <w:p w14:paraId="2AFDED53" w14:textId="77777777" w:rsidR="007D3D4F" w:rsidRPr="00CF40C5" w:rsidRDefault="007D3D4F" w:rsidP="007D3D4F">
      <w:pPr>
        <w:pStyle w:val="SingleTxtG"/>
      </w:pPr>
      <w:r w:rsidRPr="00CF40C5">
        <w:t>2.</w:t>
      </w:r>
      <w:r w:rsidRPr="00CF40C5">
        <w:tab/>
        <w:t xml:space="preserve">Совет по правам человека настоятельно призвал правительство Исламской Республики Иран в полной мере сотрудничать с миссией, предоставить ей беспрепятственный доступ в страну и обеспечить ее информацией, необходимой для выполнения ее мандата. Миссия </w:t>
      </w:r>
      <w:r>
        <w:t xml:space="preserve">выражает </w:t>
      </w:r>
      <w:r w:rsidRPr="00CF40C5">
        <w:t>сожале</w:t>
      </w:r>
      <w:r>
        <w:t>ние в связи с</w:t>
      </w:r>
      <w:r w:rsidRPr="00CF40C5">
        <w:t xml:space="preserve"> отсутстви</w:t>
      </w:r>
      <w:r>
        <w:t>ем</w:t>
      </w:r>
      <w:r w:rsidRPr="00CF40C5">
        <w:t xml:space="preserve"> сотрудничества со стороны</w:t>
      </w:r>
      <w:r>
        <w:t xml:space="preserve"> </w:t>
      </w:r>
      <w:r w:rsidRPr="00CF40C5">
        <w:t xml:space="preserve">правительства, в том числе в вопросах доступа в страну и предоставления информации, а также </w:t>
      </w:r>
      <w:r>
        <w:t>в связи с тем</w:t>
      </w:r>
      <w:r w:rsidRPr="00CF40C5">
        <w:t>, что оно не ответило на 20</w:t>
      </w:r>
      <w:r>
        <w:t> </w:t>
      </w:r>
      <w:r w:rsidRPr="00CF40C5">
        <w:t>писем, направленных миссией по состоянию на 22</w:t>
      </w:r>
      <w:r>
        <w:t> </w:t>
      </w:r>
      <w:r w:rsidRPr="00CF40C5">
        <w:t>января 2024</w:t>
      </w:r>
      <w:r>
        <w:t> года</w:t>
      </w:r>
      <w:r w:rsidRPr="00CF40C5">
        <w:t xml:space="preserve">. </w:t>
      </w:r>
      <w:r w:rsidRPr="009D2EBA">
        <w:t xml:space="preserve">Отмечая свое взаимодействие с назначенным правительством Специальным комитетом по расследованию </w:t>
      </w:r>
      <w:r>
        <w:t xml:space="preserve">беспорядков </w:t>
      </w:r>
      <w:r w:rsidRPr="009D2EBA">
        <w:t>2022</w:t>
      </w:r>
      <w:r>
        <w:t> </w:t>
      </w:r>
      <w:r w:rsidRPr="009D2EBA">
        <w:t>год</w:t>
      </w:r>
      <w:r>
        <w:t>а</w:t>
      </w:r>
      <w:r w:rsidRPr="009D2EBA">
        <w:t xml:space="preserve">, миссия </w:t>
      </w:r>
      <w:r>
        <w:t xml:space="preserve">выражает </w:t>
      </w:r>
      <w:r w:rsidRPr="009D2EBA">
        <w:t>сожале</w:t>
      </w:r>
      <w:r>
        <w:t xml:space="preserve">ние по поводу </w:t>
      </w:r>
      <w:r w:rsidRPr="009D2EBA">
        <w:t>отсутстви</w:t>
      </w:r>
      <w:r>
        <w:t>я</w:t>
      </w:r>
      <w:r w:rsidRPr="009D2EBA">
        <w:t xml:space="preserve"> какого-либо ответа</w:t>
      </w:r>
      <w:r>
        <w:t xml:space="preserve"> по </w:t>
      </w:r>
      <w:r w:rsidRPr="009D2EBA">
        <w:t>существ</w:t>
      </w:r>
      <w:r>
        <w:t>у</w:t>
      </w:r>
      <w:r w:rsidRPr="009D2EBA">
        <w:t>.</w:t>
      </w:r>
    </w:p>
    <w:p w14:paraId="6A866097" w14:textId="77777777" w:rsidR="007D3D4F" w:rsidRPr="00CF40C5" w:rsidRDefault="007D3D4F" w:rsidP="007D3D4F">
      <w:pPr>
        <w:pStyle w:val="SingleTxtG"/>
      </w:pPr>
      <w:r w:rsidRPr="00CF40C5">
        <w:t>3.</w:t>
      </w:r>
      <w:r w:rsidRPr="00CF40C5">
        <w:tab/>
      </w:r>
      <w:r w:rsidRPr="00DF2952">
        <w:t>Миссия также столкнулась</w:t>
      </w:r>
      <w:r w:rsidRPr="00CF40C5">
        <w:t xml:space="preserve"> с трудностями, связанными с введенными правительством в отношении </w:t>
      </w:r>
      <w:r w:rsidRPr="001240B7">
        <w:t>онлайново</w:t>
      </w:r>
      <w:r>
        <w:t>го</w:t>
      </w:r>
      <w:r w:rsidRPr="001240B7">
        <w:t xml:space="preserve"> общени</w:t>
      </w:r>
      <w:r>
        <w:t xml:space="preserve">я </w:t>
      </w:r>
      <w:r w:rsidRPr="00CF40C5">
        <w:t xml:space="preserve">ограничениями, затрагивающими </w:t>
      </w:r>
      <w:r>
        <w:t>наземные</w:t>
      </w:r>
      <w:r w:rsidRPr="00CF40C5">
        <w:t xml:space="preserve"> и мобильные сети, усиленн</w:t>
      </w:r>
      <w:r>
        <w:t>ым</w:t>
      </w:r>
      <w:r w:rsidRPr="00CF40C5">
        <w:t xml:space="preserve"> электронн</w:t>
      </w:r>
      <w:r>
        <w:t>ым наблюдением</w:t>
      </w:r>
      <w:r w:rsidRPr="00CF40C5">
        <w:t xml:space="preserve">, а также преследованиями и запугиванием жертв, свидетелей и их семей внутри страны и за ее пределами. </w:t>
      </w:r>
      <w:r w:rsidRPr="001240B7">
        <w:t xml:space="preserve">Эти меры привели к повсеместному страху, удерживающему многих людей от </w:t>
      </w:r>
      <w:r>
        <w:t xml:space="preserve">взаимодействия с </w:t>
      </w:r>
      <w:r w:rsidRPr="001240B7">
        <w:t>мисси</w:t>
      </w:r>
      <w:r>
        <w:t>ей</w:t>
      </w:r>
      <w:r w:rsidRPr="001240B7">
        <w:t>.</w:t>
      </w:r>
    </w:p>
    <w:p w14:paraId="40348016" w14:textId="77777777" w:rsidR="007D3D4F" w:rsidRPr="00CF40C5" w:rsidRDefault="007D3D4F" w:rsidP="007D3D4F">
      <w:pPr>
        <w:pStyle w:val="SingleTxtG"/>
      </w:pPr>
      <w:r w:rsidRPr="00CF40C5">
        <w:t>4.</w:t>
      </w:r>
      <w:r w:rsidRPr="00CF40C5">
        <w:tab/>
        <w:t xml:space="preserve">Тем не менее миссия собрала достаточно информации и доказательств, чтобы установить факты и сделать выводы о том, что были совершены нарушения </w:t>
      </w:r>
      <w:r>
        <w:t>международного права в области прав человека</w:t>
      </w:r>
      <w:r w:rsidRPr="00CF40C5">
        <w:t>, а также преступления по международному праву.</w:t>
      </w:r>
    </w:p>
    <w:p w14:paraId="39228FCE" w14:textId="77777777" w:rsidR="007D3D4F" w:rsidRPr="00CF40C5" w:rsidRDefault="007D3D4F" w:rsidP="007D3D4F">
      <w:pPr>
        <w:pStyle w:val="HChG"/>
      </w:pPr>
      <w:r w:rsidRPr="00CF40C5">
        <w:tab/>
      </w:r>
      <w:r w:rsidRPr="006D7E0B">
        <w:t>II</w:t>
      </w:r>
      <w:r w:rsidRPr="00CF40C5">
        <w:t>.</w:t>
      </w:r>
      <w:r w:rsidRPr="00CF40C5">
        <w:tab/>
        <w:t>Методология и правовая база</w:t>
      </w:r>
    </w:p>
    <w:p w14:paraId="7DF39412" w14:textId="69DABB2F" w:rsidR="007D3D4F" w:rsidRPr="00CF40C5" w:rsidRDefault="007D3D4F" w:rsidP="007D3D4F">
      <w:pPr>
        <w:pStyle w:val="SingleTxtG"/>
      </w:pPr>
      <w:r w:rsidRPr="00CF40C5">
        <w:t>5.</w:t>
      </w:r>
      <w:r w:rsidRPr="00CF40C5">
        <w:tab/>
        <w:t>Миссия опубликовала круг своих полномочий в июле 2023</w:t>
      </w:r>
      <w:r>
        <w:t> года</w:t>
      </w:r>
      <w:r w:rsidRPr="006D7E0B">
        <w:rPr>
          <w:rStyle w:val="FootnoteReference"/>
        </w:rPr>
        <w:footnoteReference w:id="2"/>
      </w:r>
      <w:r>
        <w:t>.</w:t>
      </w:r>
      <w:r w:rsidRPr="00CF40C5">
        <w:t xml:space="preserve"> Она гарантировала</w:t>
      </w:r>
      <w:r w:rsidRPr="006E226B">
        <w:t xml:space="preserve"> строгое соблюдение принципов «не навреди», независимости, беспристрастности, объективности, прозрачности и добросовестности во всей своей деятельности.</w:t>
      </w:r>
    </w:p>
    <w:p w14:paraId="04846643" w14:textId="77777777" w:rsidR="007D3D4F" w:rsidRPr="00CF40C5" w:rsidRDefault="007D3D4F" w:rsidP="007D3D4F">
      <w:pPr>
        <w:pStyle w:val="SingleTxtG"/>
      </w:pPr>
      <w:r w:rsidRPr="00CF40C5">
        <w:t>6.</w:t>
      </w:r>
      <w:r w:rsidRPr="00CF40C5">
        <w:tab/>
        <w:t>Миссия опиралась на следующую информацию и доказательства: законы, указы, постановления и стратегии, официальные заявления и доклады, а также судебные документы, изданные иранскими властями; подробные интервью с жертвами и свидетелями; медицинские снимки, документы и независимые отчеты; проверенные фотографии и видеозаписи; спутниковые снимки.</w:t>
      </w:r>
    </w:p>
    <w:p w14:paraId="6653C538" w14:textId="074BF902" w:rsidR="007D3D4F" w:rsidRPr="00CF40C5" w:rsidRDefault="007D3D4F" w:rsidP="007D3D4F">
      <w:pPr>
        <w:pStyle w:val="SingleTxtG"/>
      </w:pPr>
      <w:r w:rsidRPr="00CF40C5">
        <w:t>7.</w:t>
      </w:r>
      <w:r w:rsidRPr="00CF40C5">
        <w:tab/>
        <w:t>В тех случаях, когда миссия считала информацию достоверной, а источник заслуживающим доверия и надежным, она использовала вторичные источники для подтверждения и контекстуализации первичных источников и</w:t>
      </w:r>
      <w:r>
        <w:t xml:space="preserve"> признаков</w:t>
      </w:r>
      <w:r w:rsidRPr="00CF40C5">
        <w:t xml:space="preserve">. </w:t>
      </w:r>
      <w:r>
        <w:br/>
      </w:r>
      <w:r w:rsidRPr="00CF40C5">
        <w:t>Эти источники включали информацию, предоставленную миссии структурами Организации Объединенных Наций и правозащитными организациями.</w:t>
      </w:r>
    </w:p>
    <w:p w14:paraId="36C1EDFB" w14:textId="089C69AB" w:rsidR="007D3D4F" w:rsidRPr="00CF40C5" w:rsidRDefault="007D3D4F" w:rsidP="007D3D4F">
      <w:pPr>
        <w:pStyle w:val="SingleTxtG"/>
      </w:pPr>
      <w:r w:rsidRPr="00CF40C5">
        <w:t>8.</w:t>
      </w:r>
      <w:r>
        <w:tab/>
      </w:r>
      <w:r w:rsidRPr="00200CC1">
        <w:t>Из-за ограниченности времени и ресурсов, а также ограниченного доступа миссия определ</w:t>
      </w:r>
      <w:r>
        <w:t>я</w:t>
      </w:r>
      <w:r w:rsidRPr="00200CC1">
        <w:t xml:space="preserve">ла приоритетность инцидентов с учетом серьезности обвинений, </w:t>
      </w:r>
      <w:r>
        <w:br/>
      </w:r>
      <w:r w:rsidRPr="00200CC1">
        <w:lastRenderedPageBreak/>
        <w:t xml:space="preserve">их </w:t>
      </w:r>
      <w:r>
        <w:t>показательного</w:t>
      </w:r>
      <w:r w:rsidRPr="00200CC1">
        <w:t xml:space="preserve"> характера и имеющейся информации. </w:t>
      </w:r>
      <w:r w:rsidRPr="00CF40C5">
        <w:t>Поэтому представленные выводы не являются исчерпывающими.</w:t>
      </w:r>
    </w:p>
    <w:p w14:paraId="48D37A98" w14:textId="77777777" w:rsidR="007D3D4F" w:rsidRPr="00CF40C5" w:rsidRDefault="007D3D4F" w:rsidP="007D3D4F">
      <w:pPr>
        <w:pStyle w:val="SingleTxtG"/>
      </w:pPr>
      <w:r w:rsidRPr="00CF40C5">
        <w:t>9.</w:t>
      </w:r>
      <w:r>
        <w:tab/>
      </w:r>
      <w:r w:rsidRPr="00CF40C5">
        <w:t>С</w:t>
      </w:r>
      <w:r>
        <w:t xml:space="preserve"> </w:t>
      </w:r>
      <w:r w:rsidRPr="00CF40C5">
        <w:t xml:space="preserve">учетом того, что миссия уделяла особое внимание женщинам и детям, она также применяла межсекторальный подход. Она уделяла первоочередное внимание воздействию нарушений на жертв, принимая во внимание их пересекающуюся идентичность и/или структурную дискриминацию по признакам возраста, пола, гендера, сексуальной ориентации, гендерной идентичности, социально-экономического положения, политических взглядов, религии или убеждений, этнической </w:t>
      </w:r>
      <w:r w:rsidRPr="00200CC1">
        <w:t xml:space="preserve">или национальной </w:t>
      </w:r>
      <w:r w:rsidRPr="00CF40C5">
        <w:t>принадлежности.</w:t>
      </w:r>
    </w:p>
    <w:p w14:paraId="7412ECD6" w14:textId="77777777" w:rsidR="007D3D4F" w:rsidRPr="00CF40C5" w:rsidRDefault="007D3D4F" w:rsidP="007D3D4F">
      <w:pPr>
        <w:pStyle w:val="SingleTxtG"/>
      </w:pPr>
      <w:r w:rsidRPr="00CF40C5">
        <w:t>10.</w:t>
      </w:r>
      <w:r>
        <w:tab/>
      </w:r>
      <w:r w:rsidRPr="00CF40C5">
        <w:t>В соответствии с</w:t>
      </w:r>
      <w:r>
        <w:t xml:space="preserve"> </w:t>
      </w:r>
      <w:r w:rsidRPr="00CF40C5">
        <w:t xml:space="preserve">общей практикой органов </w:t>
      </w:r>
      <w:r>
        <w:t xml:space="preserve">по расследованию </w:t>
      </w:r>
      <w:r w:rsidRPr="00CF40C5">
        <w:t xml:space="preserve">Организации Объединенных Наций миссия применяла </w:t>
      </w:r>
      <w:r w:rsidRPr="00192C8A">
        <w:t>критерий доказанности</w:t>
      </w:r>
      <w:r w:rsidRPr="00CF40C5">
        <w:t xml:space="preserve"> </w:t>
      </w:r>
      <w:r>
        <w:t>«</w:t>
      </w:r>
      <w:r w:rsidRPr="00CF40C5">
        <w:t>разумные основания полагать</w:t>
      </w:r>
      <w:r>
        <w:t>»</w:t>
      </w:r>
      <w:r w:rsidRPr="00CF40C5">
        <w:t>.</w:t>
      </w:r>
    </w:p>
    <w:p w14:paraId="1514C2DC" w14:textId="77777777" w:rsidR="007D3D4F" w:rsidRPr="00CF40C5" w:rsidRDefault="007D3D4F" w:rsidP="007D3D4F">
      <w:pPr>
        <w:pStyle w:val="SingleTxtG"/>
      </w:pPr>
      <w:r w:rsidRPr="00CF40C5">
        <w:t>11.</w:t>
      </w:r>
      <w:r>
        <w:tab/>
      </w:r>
      <w:r w:rsidRPr="00CF40C5">
        <w:t>В</w:t>
      </w:r>
      <w:r>
        <w:t xml:space="preserve"> </w:t>
      </w:r>
      <w:r w:rsidRPr="00CF40C5">
        <w:t xml:space="preserve">качестве основы для своего расследования миссия использовала прежде всего международное право прав человека, а также рассматривала, в соответствующих случаях, другие обязательства государств по международному договорному и обычному праву, в том числе в отношении преступлений по международному праву. Миссия также рассмотрела </w:t>
      </w:r>
      <w:r>
        <w:t>законодательную основу Ирана</w:t>
      </w:r>
      <w:r w:rsidRPr="00CF40C5">
        <w:t>.</w:t>
      </w:r>
    </w:p>
    <w:p w14:paraId="588421CD" w14:textId="77777777" w:rsidR="007D3D4F" w:rsidRPr="00CF40C5" w:rsidRDefault="007D3D4F" w:rsidP="007D3D4F">
      <w:pPr>
        <w:pStyle w:val="SingleTxtG"/>
      </w:pPr>
      <w:r w:rsidRPr="00CF40C5">
        <w:t>12.</w:t>
      </w:r>
      <w:r>
        <w:tab/>
      </w:r>
      <w:r w:rsidRPr="00CF40C5">
        <w:t xml:space="preserve">Миссия благодарна всем, кто внес вклад в расследование, предоставив материалы и аналитические </w:t>
      </w:r>
      <w:r>
        <w:t>выкладки</w:t>
      </w:r>
      <w:r w:rsidRPr="00CF40C5">
        <w:t xml:space="preserve">, и особенно жертвам, их семьям и свидетелям, которые рискнули </w:t>
      </w:r>
      <w:r>
        <w:t xml:space="preserve">предоставить информацию из </w:t>
      </w:r>
      <w:r w:rsidRPr="00CF40C5">
        <w:t xml:space="preserve">первых </w:t>
      </w:r>
      <w:r>
        <w:t>рук</w:t>
      </w:r>
      <w:r w:rsidRPr="00CF40C5">
        <w:t>. Ни при каких обстоятельствах никто не должен подвергаться репрессиям за сотрудничество с миссией.</w:t>
      </w:r>
    </w:p>
    <w:p w14:paraId="601191EF" w14:textId="77777777" w:rsidR="007D3D4F" w:rsidRPr="00CF40C5" w:rsidRDefault="007D3D4F" w:rsidP="007D3D4F">
      <w:pPr>
        <w:pStyle w:val="HChG"/>
      </w:pPr>
      <w:r w:rsidRPr="00CF40C5">
        <w:tab/>
      </w:r>
      <w:r w:rsidRPr="006D7E0B">
        <w:t>III</w:t>
      </w:r>
      <w:r w:rsidRPr="00CF40C5">
        <w:t>.</w:t>
      </w:r>
      <w:r w:rsidRPr="00CF40C5">
        <w:tab/>
      </w:r>
      <w:r w:rsidRPr="00E342F7">
        <w:t>Справочная информация</w:t>
      </w:r>
    </w:p>
    <w:p w14:paraId="1D185D36" w14:textId="77777777" w:rsidR="007D3D4F" w:rsidRPr="00CF40C5" w:rsidRDefault="007D3D4F" w:rsidP="007D3D4F">
      <w:pPr>
        <w:pStyle w:val="SingleTxtG"/>
      </w:pPr>
      <w:r w:rsidRPr="00CF40C5">
        <w:t>13.</w:t>
      </w:r>
      <w:r>
        <w:tab/>
      </w:r>
      <w:r w:rsidRPr="00CF40C5">
        <w:t xml:space="preserve">Движение </w:t>
      </w:r>
      <w:r>
        <w:t>«</w:t>
      </w:r>
      <w:r w:rsidRPr="00CF40C5">
        <w:t>Женщина, жизнь, свобода</w:t>
      </w:r>
      <w:r>
        <w:t>»</w:t>
      </w:r>
      <w:r w:rsidRPr="00CF40C5">
        <w:t xml:space="preserve"> возникло на фоне долгой истории протестных движений, </w:t>
      </w:r>
      <w:r>
        <w:t xml:space="preserve">включая </w:t>
      </w:r>
      <w:r w:rsidRPr="008919E4">
        <w:t>женский активизм</w:t>
      </w:r>
      <w:r w:rsidRPr="00CF40C5">
        <w:t>, в Исламской Республике Иран. Оно выдвинуло на первый план требовани</w:t>
      </w:r>
      <w:r>
        <w:t>е</w:t>
      </w:r>
      <w:r w:rsidRPr="00CF40C5">
        <w:t xml:space="preserve"> ликвид</w:t>
      </w:r>
      <w:r>
        <w:t>ировать</w:t>
      </w:r>
      <w:r w:rsidRPr="00CF40C5">
        <w:t xml:space="preserve"> укоренивш</w:t>
      </w:r>
      <w:r>
        <w:t>ую</w:t>
      </w:r>
      <w:r w:rsidRPr="00CF40C5">
        <w:t>ся дискриминаци</w:t>
      </w:r>
      <w:r>
        <w:t>ю</w:t>
      </w:r>
      <w:r w:rsidRPr="00CF40C5">
        <w:t xml:space="preserve"> в отношении женщин и </w:t>
      </w:r>
      <w:r>
        <w:t>девочек</w:t>
      </w:r>
      <w:r w:rsidRPr="00CF40C5">
        <w:t>, воплощенн</w:t>
      </w:r>
      <w:r>
        <w:t>ую</w:t>
      </w:r>
      <w:r w:rsidRPr="00CF40C5">
        <w:t xml:space="preserve"> в законодательстве страны об обязательном ношении хиджаба. Протесты, вызванные смертью </w:t>
      </w:r>
      <w:r>
        <w:t>во время содержания под стражей</w:t>
      </w:r>
      <w:r w:rsidRPr="00CF40C5">
        <w:t xml:space="preserve"> Джины Махсы Амини, </w:t>
      </w:r>
      <w:r>
        <w:t xml:space="preserve">иранской девушки </w:t>
      </w:r>
      <w:r w:rsidRPr="00CF40C5">
        <w:t>курдско</w:t>
      </w:r>
      <w:r>
        <w:t>го происхождения</w:t>
      </w:r>
      <w:r w:rsidRPr="00CF40C5">
        <w:t xml:space="preserve">, после ее ареста за </w:t>
      </w:r>
      <w:r>
        <w:t>«</w:t>
      </w:r>
      <w:r w:rsidRPr="00CF40C5">
        <w:t>неподобающее</w:t>
      </w:r>
      <w:r>
        <w:t>»</w:t>
      </w:r>
      <w:r w:rsidRPr="00CF40C5">
        <w:t xml:space="preserve"> ношение хиджаба в Тегеране, начались 16</w:t>
      </w:r>
      <w:r>
        <w:t> сентября</w:t>
      </w:r>
      <w:r w:rsidRPr="00CF40C5">
        <w:t xml:space="preserve"> 2022</w:t>
      </w:r>
      <w:r>
        <w:t> года</w:t>
      </w:r>
      <w:r w:rsidRPr="00CF40C5">
        <w:t xml:space="preserve"> и распространились по всей стране. </w:t>
      </w:r>
      <w:r>
        <w:t>О</w:t>
      </w:r>
      <w:r w:rsidRPr="00CF40C5">
        <w:t xml:space="preserve">ни </w:t>
      </w:r>
      <w:r>
        <w:t xml:space="preserve">побудили к действию </w:t>
      </w:r>
      <w:r w:rsidRPr="00CF40C5">
        <w:t>женщин, мужчин и детей из различных этнических, религиозных и социально-экономических слоев</w:t>
      </w:r>
      <w:r>
        <w:t xml:space="preserve"> населения, которых соединило воедино целое </w:t>
      </w:r>
      <w:r w:rsidRPr="00CF40C5">
        <w:t>множеств</w:t>
      </w:r>
      <w:r>
        <w:t>о оснований для недовольства</w:t>
      </w:r>
      <w:r w:rsidRPr="00CF40C5">
        <w:t xml:space="preserve">. Протесты </w:t>
      </w:r>
      <w:r>
        <w:t>стали</w:t>
      </w:r>
      <w:r w:rsidRPr="00CF40C5">
        <w:t xml:space="preserve"> беспрецедентными благодаря лидерству женщин и молодежи, их охвату и продолжительности и, в конечном счете, жестокой реакции</w:t>
      </w:r>
      <w:r>
        <w:t xml:space="preserve"> со стороны</w:t>
      </w:r>
      <w:r w:rsidRPr="00CF40C5">
        <w:t xml:space="preserve"> государства, что побудило Совет по правам человека учредить миссию.</w:t>
      </w:r>
    </w:p>
    <w:p w14:paraId="4ABC9CDC" w14:textId="77777777" w:rsidR="007D3D4F" w:rsidRPr="00CF40C5" w:rsidRDefault="007D3D4F" w:rsidP="007D3D4F">
      <w:pPr>
        <w:pStyle w:val="SingleTxtG"/>
      </w:pPr>
      <w:r w:rsidRPr="00CF40C5">
        <w:t>14.</w:t>
      </w:r>
      <w:r w:rsidRPr="00CF40C5">
        <w:tab/>
      </w:r>
      <w:r w:rsidRPr="00EF053A">
        <w:t xml:space="preserve">Как и в случае с предыдущими протестными движениями </w:t>
      </w:r>
      <w:r w:rsidRPr="00CF40C5">
        <w:t>в Исламской Республике Иран, реакция на протесты</w:t>
      </w:r>
      <w:r>
        <w:t>, походившие</w:t>
      </w:r>
      <w:r w:rsidRPr="00CF40C5">
        <w:t xml:space="preserve"> под лозунгом </w:t>
      </w:r>
      <w:r>
        <w:t>«</w:t>
      </w:r>
      <w:r w:rsidRPr="00CF40C5">
        <w:t>Женщина, жизнь, свобода</w:t>
      </w:r>
      <w:r>
        <w:t>»,</w:t>
      </w:r>
      <w:r w:rsidRPr="00CF40C5">
        <w:t xml:space="preserve"> была отмечена репрессиями и безнаказанностью. Власти очерняли </w:t>
      </w:r>
      <w:r>
        <w:t xml:space="preserve">участников </w:t>
      </w:r>
      <w:r w:rsidRPr="00CF40C5">
        <w:t>протест</w:t>
      </w:r>
      <w:r>
        <w:t>ов</w:t>
      </w:r>
      <w:r w:rsidRPr="00CF40C5">
        <w:t xml:space="preserve">, применяли физическое, психологическое и сексуальное насилие, судебные преследования и широкий спектр других средств для подавления мирного инакомыслия, о чем подробно говорится в настоящем докладе. Особенно пострадали </w:t>
      </w:r>
      <w:r>
        <w:t>районы</w:t>
      </w:r>
      <w:r w:rsidRPr="00CF40C5">
        <w:t>, где проживают меньшинства.</w:t>
      </w:r>
    </w:p>
    <w:p w14:paraId="40DA7F42" w14:textId="1E58B4FD" w:rsidR="007D3D4F" w:rsidRPr="00CF40C5" w:rsidRDefault="007D3D4F" w:rsidP="007D3D4F">
      <w:pPr>
        <w:pStyle w:val="SingleTxtG"/>
      </w:pPr>
      <w:r w:rsidRPr="00CF40C5">
        <w:t>15.</w:t>
      </w:r>
      <w:r w:rsidRPr="00CF40C5">
        <w:tab/>
        <w:t xml:space="preserve">Хотя уличные протесты в основном утихли, их последствия и другие формы протеста продолжаются, наряду с государственными репрессиями. В своем докладе </w:t>
      </w:r>
      <w:r w:rsidRPr="00B9353D">
        <w:t>миссия излагает результаты продолжавшегося в течение года расследования утверждений о нарушениях прав человека, связанных с протестами, и рассказывает о мужественных акт</w:t>
      </w:r>
      <w:r>
        <w:t>ах</w:t>
      </w:r>
      <w:r w:rsidRPr="00B9353D">
        <w:t xml:space="preserve"> неповиновения и сопротивления со стороны отдельных лиц по всей стране</w:t>
      </w:r>
      <w:r w:rsidRPr="006D7E0B">
        <w:rPr>
          <w:rStyle w:val="FootnoteReference"/>
        </w:rPr>
        <w:footnoteReference w:id="3"/>
      </w:r>
      <w:r>
        <w:t>.</w:t>
      </w:r>
    </w:p>
    <w:p w14:paraId="1950F0EE" w14:textId="77777777" w:rsidR="007D3D4F" w:rsidRPr="00CF40C5" w:rsidRDefault="007D3D4F" w:rsidP="007D3D4F">
      <w:pPr>
        <w:pStyle w:val="HChG"/>
      </w:pPr>
      <w:r w:rsidRPr="00CF40C5">
        <w:lastRenderedPageBreak/>
        <w:tab/>
      </w:r>
      <w:r w:rsidRPr="006D7E0B">
        <w:t>IV</w:t>
      </w:r>
      <w:r w:rsidRPr="00CF40C5">
        <w:t>.</w:t>
      </w:r>
      <w:r w:rsidRPr="00CF40C5">
        <w:tab/>
        <w:t xml:space="preserve">Смерть </w:t>
      </w:r>
      <w:r>
        <w:t>во время содержания под стражей</w:t>
      </w:r>
      <w:r w:rsidRPr="00CF40C5">
        <w:t xml:space="preserve"> Джины Махс</w:t>
      </w:r>
      <w:r>
        <w:t>ы</w:t>
      </w:r>
      <w:r w:rsidRPr="00CF40C5">
        <w:t xml:space="preserve"> Амини</w:t>
      </w:r>
    </w:p>
    <w:p w14:paraId="513787CB" w14:textId="77777777" w:rsidR="007D3D4F" w:rsidRPr="00CF40C5" w:rsidRDefault="007D3D4F" w:rsidP="007D3D4F">
      <w:pPr>
        <w:pStyle w:val="SingleTxtG"/>
      </w:pPr>
      <w:r w:rsidRPr="00CF40C5">
        <w:t>16.</w:t>
      </w:r>
      <w:r w:rsidRPr="00CF40C5">
        <w:tab/>
      </w:r>
      <w:r w:rsidRPr="00BB4C7D">
        <w:t xml:space="preserve">Миссия проанализировала информацию и доказательства, касающиеся смерти г-жи Амини во время содержания под стражей </w:t>
      </w:r>
      <w:r>
        <w:t>в</w:t>
      </w:r>
      <w:r w:rsidRPr="00CF40C5">
        <w:t xml:space="preserve"> </w:t>
      </w:r>
      <w:r>
        <w:t>«</w:t>
      </w:r>
      <w:r w:rsidRPr="00CF40C5">
        <w:t>полиции нравов</w:t>
      </w:r>
      <w:r>
        <w:t>»</w:t>
      </w:r>
      <w:r w:rsidRPr="00CF40C5">
        <w:t>.</w:t>
      </w:r>
    </w:p>
    <w:p w14:paraId="5A614C76" w14:textId="7F380C94" w:rsidR="007D3D4F" w:rsidRPr="00CF40C5" w:rsidRDefault="007D3D4F" w:rsidP="007D3D4F">
      <w:pPr>
        <w:pStyle w:val="SingleTxtG"/>
      </w:pPr>
      <w:r w:rsidRPr="00CF40C5">
        <w:t>17.</w:t>
      </w:r>
      <w:r w:rsidRPr="00CF40C5">
        <w:tab/>
        <w:t>Миссия установила, что 13</w:t>
      </w:r>
      <w:r>
        <w:t> сентября</w:t>
      </w:r>
      <w:r w:rsidRPr="00CF40C5">
        <w:t xml:space="preserve"> 2022</w:t>
      </w:r>
      <w:r>
        <w:t> года</w:t>
      </w:r>
      <w:r w:rsidRPr="00CF40C5">
        <w:t>, примерно в 18</w:t>
      </w:r>
      <w:r>
        <w:t xml:space="preserve"> ч </w:t>
      </w:r>
      <w:r w:rsidRPr="00CF40C5">
        <w:t>30</w:t>
      </w:r>
      <w:r>
        <w:t> мин</w:t>
      </w:r>
      <w:r w:rsidRPr="00CF40C5">
        <w:t xml:space="preserve">, </w:t>
      </w:r>
      <w:r w:rsidR="00CA5CF7">
        <w:br/>
      </w:r>
      <w:r w:rsidRPr="00CF40C5">
        <w:t xml:space="preserve">г-жа Амини была арестована полицией нравов, когда она выходила </w:t>
      </w:r>
      <w:r>
        <w:t>из</w:t>
      </w:r>
      <w:r w:rsidRPr="00CF40C5">
        <w:t xml:space="preserve"> станции метро </w:t>
      </w:r>
      <w:r>
        <w:t>«</w:t>
      </w:r>
      <w:r w:rsidRPr="00CF40C5">
        <w:t>Шахид Хаккани</w:t>
      </w:r>
      <w:r>
        <w:t>»</w:t>
      </w:r>
      <w:r w:rsidRPr="00CF40C5">
        <w:t xml:space="preserve"> в Тегеране, </w:t>
      </w:r>
      <w:r w:rsidRPr="00C302F8">
        <w:t xml:space="preserve">якобы за </w:t>
      </w:r>
      <w:r>
        <w:t xml:space="preserve">то, что она </w:t>
      </w:r>
      <w:r w:rsidRPr="003D5AF6">
        <w:t>надела хиджаб «неподобающим образом»</w:t>
      </w:r>
      <w:r w:rsidRPr="00CF40C5">
        <w:t xml:space="preserve">. Полиция нравов доставила г-жу Амини в фургоне в следственный изолятор </w:t>
      </w:r>
      <w:r>
        <w:t>«</w:t>
      </w:r>
      <w:r w:rsidRPr="00CF40C5">
        <w:t>Возара</w:t>
      </w:r>
      <w:r>
        <w:t>»</w:t>
      </w:r>
      <w:r w:rsidRPr="00CF40C5">
        <w:t xml:space="preserve"> для прохождения </w:t>
      </w:r>
      <w:r>
        <w:t>«</w:t>
      </w:r>
      <w:r w:rsidRPr="00CF40C5">
        <w:t>курса перевоспитания</w:t>
      </w:r>
      <w:r>
        <w:t>»</w:t>
      </w:r>
      <w:r w:rsidRPr="00CF40C5">
        <w:t>. Через 26</w:t>
      </w:r>
      <w:r>
        <w:t> </w:t>
      </w:r>
      <w:r w:rsidRPr="00CF40C5">
        <w:t xml:space="preserve">минут после прибытия она </w:t>
      </w:r>
      <w:r w:rsidRPr="00FB169E">
        <w:t>потеряла сознание</w:t>
      </w:r>
      <w:r w:rsidRPr="00CF40C5">
        <w:t xml:space="preserve"> и </w:t>
      </w:r>
      <w:r>
        <w:t xml:space="preserve">еще </w:t>
      </w:r>
      <w:r w:rsidRPr="00CF40C5">
        <w:t>через 30</w:t>
      </w:r>
      <w:r>
        <w:t> </w:t>
      </w:r>
      <w:r w:rsidRPr="00CF40C5">
        <w:t xml:space="preserve">минут была перевезена в больницу </w:t>
      </w:r>
      <w:r>
        <w:t>«</w:t>
      </w:r>
      <w:r w:rsidRPr="00CF40C5">
        <w:t>Каср</w:t>
      </w:r>
      <w:r>
        <w:t>а»</w:t>
      </w:r>
      <w:r w:rsidRPr="00CF40C5">
        <w:t xml:space="preserve">. </w:t>
      </w:r>
      <w:r w:rsidR="00CA5CF7">
        <w:br/>
      </w:r>
      <w:r w:rsidRPr="0088139B">
        <w:t>Той же ночью ее родителям сообщили, что ее перевели в больницу «с опозданием», «</w:t>
      </w:r>
      <w:r>
        <w:t xml:space="preserve">когда мозг был </w:t>
      </w:r>
      <w:r w:rsidRPr="0088139B">
        <w:t xml:space="preserve">уже мертв». </w:t>
      </w:r>
      <w:r w:rsidRPr="00CF40C5">
        <w:t>Ее отец, которому было разрешено хотя бы раз увидеть ее в больнице, неоднократно публично заявлял, что во время этого посещения он видел синяки на ее ногах и кровь, капающую из уха. 16</w:t>
      </w:r>
      <w:r>
        <w:t> сентября</w:t>
      </w:r>
      <w:r w:rsidRPr="00CF40C5">
        <w:t xml:space="preserve"> г-жа Амини умерла. 17</w:t>
      </w:r>
      <w:r>
        <w:t> сентября</w:t>
      </w:r>
      <w:r w:rsidRPr="00CF40C5">
        <w:t xml:space="preserve"> ее тело было перевезено в ее родной город </w:t>
      </w:r>
      <w:r>
        <w:t>Секкез</w:t>
      </w:r>
      <w:r w:rsidRPr="00CF40C5">
        <w:t xml:space="preserve">, где она была похоронена. В официальном свидетельстве о смерти указано, что она умерла от </w:t>
      </w:r>
      <w:r>
        <w:t>«</w:t>
      </w:r>
      <w:r w:rsidRPr="00CF40C5">
        <w:t>неизвестных причин</w:t>
      </w:r>
      <w:r>
        <w:t>»</w:t>
      </w:r>
      <w:r w:rsidRPr="00CF40C5">
        <w:t>.</w:t>
      </w:r>
    </w:p>
    <w:p w14:paraId="61BF4346" w14:textId="77777777" w:rsidR="007D3D4F" w:rsidRPr="00CF40C5" w:rsidRDefault="007D3D4F" w:rsidP="007D3D4F">
      <w:pPr>
        <w:pStyle w:val="SingleTxtG"/>
      </w:pPr>
      <w:r w:rsidRPr="00CF40C5">
        <w:t>18.</w:t>
      </w:r>
      <w:r w:rsidRPr="00CF40C5">
        <w:tab/>
      </w:r>
      <w:r w:rsidRPr="009E1C4A">
        <w:t>Миссия</w:t>
      </w:r>
      <w:r w:rsidRPr="00CF40C5">
        <w:t xml:space="preserve"> подчеркивает произвольный характер ареста и содержания под стражей</w:t>
      </w:r>
      <w:r>
        <w:t xml:space="preserve"> </w:t>
      </w:r>
      <w:r w:rsidRPr="00CF40C5">
        <w:t>г-жи Амини, которые были основаны на регулирующих обязательное ношение хиджаба</w:t>
      </w:r>
      <w:r>
        <w:t xml:space="preserve"> </w:t>
      </w:r>
      <w:r w:rsidRPr="00CF40C5">
        <w:t xml:space="preserve">законах и </w:t>
      </w:r>
      <w:r>
        <w:t xml:space="preserve">мерах </w:t>
      </w:r>
      <w:r w:rsidRPr="00CF40C5">
        <w:t>политик</w:t>
      </w:r>
      <w:r>
        <w:t>и</w:t>
      </w:r>
      <w:r w:rsidRPr="00CF40C5">
        <w:t xml:space="preserve">, которые </w:t>
      </w:r>
      <w:r w:rsidRPr="00A15D76">
        <w:t>фундаментально</w:t>
      </w:r>
      <w:r w:rsidRPr="00CF40C5">
        <w:t xml:space="preserve"> дискриминируют женщин и </w:t>
      </w:r>
      <w:r>
        <w:t>девочек</w:t>
      </w:r>
      <w:r w:rsidRPr="00CF40C5">
        <w:t xml:space="preserve"> и не допустимы в соответствии с международным правом прав человека. Эти законы и </w:t>
      </w:r>
      <w:r>
        <w:t xml:space="preserve">меры </w:t>
      </w:r>
      <w:r w:rsidRPr="00CF40C5">
        <w:t>политик</w:t>
      </w:r>
      <w:r>
        <w:t>и</w:t>
      </w:r>
      <w:r w:rsidRPr="00CF40C5">
        <w:t xml:space="preserve"> нарушают права на свободу выражения мнений, свободу религии или убеждений и автономию женщин и </w:t>
      </w:r>
      <w:r>
        <w:t>девочек</w:t>
      </w:r>
      <w:r w:rsidRPr="00CF40C5">
        <w:t xml:space="preserve">. Арест и содержание под стражей г-жи Амини, предшествовавшие ее смерти </w:t>
      </w:r>
      <w:r>
        <w:t>в заключении</w:t>
      </w:r>
      <w:r w:rsidRPr="00CF40C5">
        <w:t>, представляли собой нарушение ее права на личн</w:t>
      </w:r>
      <w:r>
        <w:t>ую</w:t>
      </w:r>
      <w:r w:rsidRPr="00CF40C5">
        <w:t xml:space="preserve"> свободу.</w:t>
      </w:r>
    </w:p>
    <w:p w14:paraId="0184D0AA" w14:textId="1E2D6F6E" w:rsidR="007D3D4F" w:rsidRPr="00CF40C5" w:rsidRDefault="007D3D4F" w:rsidP="007D3D4F">
      <w:pPr>
        <w:pStyle w:val="SingleTxtG"/>
      </w:pPr>
      <w:r w:rsidRPr="00CF40C5">
        <w:t>19.</w:t>
      </w:r>
      <w:r>
        <w:tab/>
      </w:r>
      <w:r w:rsidRPr="00CF40C5">
        <w:t>Когда человек получает травму или умирает в месте содержания под стражей, существует общая презумпция ответственности государства в силу контроля, осуществляемого государством над теми, кого оно содержит под стражей. Исходя из</w:t>
      </w:r>
      <w:r>
        <w:t xml:space="preserve"> </w:t>
      </w:r>
      <w:r w:rsidRPr="00CF40C5">
        <w:t xml:space="preserve">имеющихся доказательств, предполагаемые осложнения, возникшие после операции, </w:t>
      </w:r>
      <w:r>
        <w:t>перенесенной</w:t>
      </w:r>
      <w:r w:rsidRPr="00CF40C5">
        <w:t xml:space="preserve"> г-ж</w:t>
      </w:r>
      <w:r>
        <w:t>ой</w:t>
      </w:r>
      <w:r w:rsidRPr="00CF40C5">
        <w:t xml:space="preserve"> Амини в детстве, можно исключить в качестве непосредственной причины ее смерти. У миссии есть </w:t>
      </w:r>
      <w:r w:rsidRPr="00FF146E">
        <w:t xml:space="preserve">разумные </w:t>
      </w:r>
      <w:r w:rsidRPr="00CF40C5">
        <w:t>основания полагать, что ее смерть наступила в результате внешних причин. Она установила наличие на теле г-жи Амини</w:t>
      </w:r>
      <w:r>
        <w:t xml:space="preserve"> </w:t>
      </w:r>
      <w:r w:rsidRPr="00FF146E">
        <w:t>следов</w:t>
      </w:r>
      <w:r>
        <w:t xml:space="preserve"> </w:t>
      </w:r>
      <w:r w:rsidRPr="00CF40C5">
        <w:t xml:space="preserve">травм, нанесенных ей во время содержания под стражей </w:t>
      </w:r>
      <w:r>
        <w:t xml:space="preserve">в </w:t>
      </w:r>
      <w:r w:rsidRPr="00CF40C5">
        <w:t>полици</w:t>
      </w:r>
      <w:r>
        <w:t>и</w:t>
      </w:r>
      <w:r w:rsidRPr="00CF40C5">
        <w:t xml:space="preserve"> нравов. </w:t>
      </w:r>
      <w:r w:rsidRPr="00FF146E">
        <w:t xml:space="preserve">Основываясь на доказательствах и примерах насилия со стороны полиции нравов при обеспечении обязательного ношения женщинами хиджаба, миссия убеждена, </w:t>
      </w:r>
      <w:r>
        <w:br/>
      </w:r>
      <w:r w:rsidRPr="00FF146E">
        <w:t xml:space="preserve">что г-жа Амини подверглась физическому насилию, которое привело к ее смерти. </w:t>
      </w:r>
      <w:r>
        <w:br/>
      </w:r>
      <w:r w:rsidRPr="00FF146E">
        <w:t xml:space="preserve">На этом основании государство несет ответственность за ее </w:t>
      </w:r>
      <w:r w:rsidRPr="00B02CA9">
        <w:t>незаконно</w:t>
      </w:r>
      <w:r>
        <w:t>е</w:t>
      </w:r>
      <w:r w:rsidRPr="00B02CA9">
        <w:t xml:space="preserve"> лишени</w:t>
      </w:r>
      <w:r>
        <w:t>е</w:t>
      </w:r>
      <w:r w:rsidRPr="00B02CA9">
        <w:t xml:space="preserve"> жизни</w:t>
      </w:r>
      <w:r w:rsidRPr="00FF146E">
        <w:t>.</w:t>
      </w:r>
    </w:p>
    <w:p w14:paraId="5F45C360" w14:textId="5972FBC9" w:rsidR="007D3D4F" w:rsidRPr="00CF40C5" w:rsidRDefault="007D3D4F" w:rsidP="007D3D4F">
      <w:pPr>
        <w:pStyle w:val="SingleTxtG"/>
      </w:pPr>
      <w:r w:rsidRPr="00CF40C5">
        <w:t>20.</w:t>
      </w:r>
      <w:r w:rsidRPr="00CF40C5">
        <w:tab/>
        <w:t>Миссия также пришла к выводу</w:t>
      </w:r>
      <w:r>
        <w:t xml:space="preserve"> о том</w:t>
      </w:r>
      <w:r w:rsidRPr="00CF40C5">
        <w:t xml:space="preserve">, что правительство не выполнило свою обязанность по оперативному, эффективному и тщательному, независимому, беспристрастному и прозрачному расследованию </w:t>
      </w:r>
      <w:r w:rsidRPr="00263FF3">
        <w:t>предположительно незаконного лишения жизни</w:t>
      </w:r>
      <w:r w:rsidRPr="00CF40C5">
        <w:t xml:space="preserve"> в нарушение </w:t>
      </w:r>
      <w:r>
        <w:t>международного права в области прав человека</w:t>
      </w:r>
      <w:r w:rsidRPr="00CF40C5">
        <w:t>. Вместо этого иранские власти предприняли активные шаги по сокрытию правды о смерти</w:t>
      </w:r>
      <w:r>
        <w:t xml:space="preserve"> </w:t>
      </w:r>
      <w:r>
        <w:br/>
      </w:r>
      <w:r w:rsidRPr="00CF40C5">
        <w:t xml:space="preserve">г-жи Амини, в том числе </w:t>
      </w:r>
      <w:r>
        <w:t>от</w:t>
      </w:r>
      <w:r w:rsidRPr="00CF40C5">
        <w:t xml:space="preserve"> ее семьи и широкой общественности. </w:t>
      </w:r>
      <w:r w:rsidRPr="00D043B5">
        <w:t xml:space="preserve">В частности, </w:t>
      </w:r>
      <w:r>
        <w:t xml:space="preserve">против ее родственников были использованы </w:t>
      </w:r>
      <w:r w:rsidRPr="00D043B5">
        <w:t xml:space="preserve">судебное преследование и запугивание, чтобы заставить их замолчать и удержать их от обращения за правовой помощью. </w:t>
      </w:r>
      <w:r w:rsidRPr="00CF40C5">
        <w:t xml:space="preserve">Некоторые члены семьи подверглись произвольному аресту, а адвокат семьи, Салех Никбахт, </w:t>
      </w:r>
      <w:r>
        <w:br/>
      </w:r>
      <w:r w:rsidRPr="00CF40C5">
        <w:t>и три журналиста, Нилуфар Хамеди, Элахе Мохаммади и Назила Маруфян, которые сообщили о смерти г-жи Амини, были арестованы, привлечены к ответственности и приговорены к тюремному заключению.</w:t>
      </w:r>
    </w:p>
    <w:p w14:paraId="12652DDE" w14:textId="77777777" w:rsidR="007D3D4F" w:rsidRPr="00CF40C5" w:rsidRDefault="007D3D4F" w:rsidP="007D3D4F">
      <w:pPr>
        <w:pStyle w:val="HChG"/>
      </w:pPr>
      <w:bookmarkStart w:id="3" w:name="_Hlk155165758"/>
      <w:r w:rsidRPr="00CF40C5">
        <w:tab/>
      </w:r>
      <w:r w:rsidRPr="006D7E0B">
        <w:t>V</w:t>
      </w:r>
      <w:r w:rsidRPr="00CF40C5">
        <w:t>.</w:t>
      </w:r>
      <w:r w:rsidRPr="00CF40C5">
        <w:tab/>
        <w:t>Протесты, начавшиеся 16</w:t>
      </w:r>
      <w:r>
        <w:t> сентября</w:t>
      </w:r>
      <w:r w:rsidRPr="00CF40C5">
        <w:t xml:space="preserve"> 2022</w:t>
      </w:r>
      <w:r>
        <w:t> года</w:t>
      </w:r>
    </w:p>
    <w:p w14:paraId="4E9D637B" w14:textId="57DC9EEA" w:rsidR="007D3D4F" w:rsidRPr="00CF40C5" w:rsidRDefault="007D3D4F" w:rsidP="007D3D4F">
      <w:pPr>
        <w:pStyle w:val="SingleTxtG"/>
      </w:pPr>
      <w:r w:rsidRPr="00CF40C5">
        <w:t>21.</w:t>
      </w:r>
      <w:r w:rsidRPr="00CF40C5">
        <w:tab/>
        <w:t xml:space="preserve">Право на мирные собрания строго ограничено иранским законодательством. </w:t>
      </w:r>
      <w:r w:rsidRPr="00B74777">
        <w:t xml:space="preserve">Организация протестов и участие в них фактически криминализированы в отношении </w:t>
      </w:r>
      <w:r w:rsidRPr="00B74777">
        <w:lastRenderedPageBreak/>
        <w:t xml:space="preserve">публичных собраний, которые считаются критическими по отношению к Исламской Республике. </w:t>
      </w:r>
      <w:r w:rsidRPr="00CF40C5">
        <w:t xml:space="preserve">Власти причисляют участников движения </w:t>
      </w:r>
      <w:r>
        <w:t>«</w:t>
      </w:r>
      <w:r w:rsidRPr="00CF40C5">
        <w:t>Женщина, жизнь, свобода</w:t>
      </w:r>
      <w:r>
        <w:t>»</w:t>
      </w:r>
      <w:r w:rsidRPr="00CF40C5">
        <w:t xml:space="preserve"> </w:t>
      </w:r>
      <w:r>
        <w:br/>
      </w:r>
      <w:r w:rsidRPr="00CF40C5">
        <w:t xml:space="preserve">к </w:t>
      </w:r>
      <w:r>
        <w:t>«</w:t>
      </w:r>
      <w:r w:rsidRPr="00CF40C5">
        <w:t>бунтовщикам</w:t>
      </w:r>
      <w:r>
        <w:t>»</w:t>
      </w:r>
      <w:r w:rsidRPr="00CF40C5">
        <w:t xml:space="preserve"> или </w:t>
      </w:r>
      <w:r>
        <w:t xml:space="preserve">«вражеским </w:t>
      </w:r>
      <w:r w:rsidRPr="00CF40C5">
        <w:t>агентам</w:t>
      </w:r>
      <w:r>
        <w:t>»</w:t>
      </w:r>
      <w:r w:rsidRPr="00CF40C5">
        <w:t>, тем самым квалифицируя поведение, защищенное международным правом прав человека, как угрозу общественному порядку или национальной безопасности</w:t>
      </w:r>
      <w:r w:rsidRPr="006D7E0B">
        <w:rPr>
          <w:rStyle w:val="FootnoteReference"/>
        </w:rPr>
        <w:footnoteReference w:id="4"/>
      </w:r>
      <w:r>
        <w:t>.</w:t>
      </w:r>
      <w:r w:rsidRPr="00CF40C5">
        <w:t xml:space="preserve"> Хотя международное право прав человека допускает ограничения по соображениям национальной безопасности и общественного порядка, такие меры должны быть как можно менее интрузивными и допустимы в отношении мирных протестов</w:t>
      </w:r>
      <w:r>
        <w:t xml:space="preserve"> </w:t>
      </w:r>
      <w:r w:rsidRPr="00CF40C5">
        <w:t>лишь в исключительных случаях. Миссия признает, что были убиты и ранены</w:t>
      </w:r>
      <w:r w:rsidRPr="00B61A8D">
        <w:t xml:space="preserve"> </w:t>
      </w:r>
      <w:r w:rsidRPr="00CF40C5">
        <w:t xml:space="preserve">сотрудники сил безопасности, и </w:t>
      </w:r>
      <w:r>
        <w:t>выявила</w:t>
      </w:r>
      <w:r w:rsidRPr="00CF40C5">
        <w:t xml:space="preserve"> случаи насилия со стороны протестующих, но </w:t>
      </w:r>
      <w:r w:rsidRPr="00B61A8D">
        <w:t>пришла к выводу</w:t>
      </w:r>
      <w:r>
        <w:t xml:space="preserve"> о том</w:t>
      </w:r>
      <w:r w:rsidRPr="00CF40C5">
        <w:t>, что подавляющее большинство протестов были мирными.</w:t>
      </w:r>
    </w:p>
    <w:p w14:paraId="06FE4A9E" w14:textId="77777777" w:rsidR="007D3D4F" w:rsidRPr="00CF40C5" w:rsidRDefault="007D3D4F" w:rsidP="007D3D4F">
      <w:pPr>
        <w:pStyle w:val="H1G"/>
      </w:pPr>
      <w:bookmarkStart w:id="4" w:name="_Hlk155165247"/>
      <w:r w:rsidRPr="00CF40C5">
        <w:tab/>
        <w:t>А.</w:t>
      </w:r>
      <w:r>
        <w:tab/>
      </w:r>
      <w:r w:rsidRPr="00CF40C5">
        <w:t>Применение силы</w:t>
      </w:r>
    </w:p>
    <w:p w14:paraId="64813636" w14:textId="0E19B37E" w:rsidR="007D3D4F" w:rsidRPr="00CF40C5" w:rsidRDefault="007D3D4F" w:rsidP="007D3D4F">
      <w:pPr>
        <w:pStyle w:val="SingleTxtG"/>
      </w:pPr>
      <w:r w:rsidRPr="00CF40C5">
        <w:t>22.</w:t>
      </w:r>
      <w:r w:rsidRPr="00CF40C5">
        <w:tab/>
        <w:t>Государственные власти не пред</w:t>
      </w:r>
      <w:r>
        <w:t>о</w:t>
      </w:r>
      <w:r w:rsidRPr="00CF40C5">
        <w:t>ставили подробных цифр или дезагрегированных данных о лицах, убитых и раненых в ходе протестов. Однако правительство объявило, что в результате протестов погибли 75 или более сотрудников правоохранительных органов, а 7</w:t>
      </w:r>
      <w:r w:rsidRPr="007D3D4F">
        <w:t>000</w:t>
      </w:r>
      <w:r w:rsidRPr="00CF40C5">
        <w:t xml:space="preserve"> из них получили ранения</w:t>
      </w:r>
      <w:r w:rsidR="00080604" w:rsidRPr="006D7E0B">
        <w:rPr>
          <w:rStyle w:val="FootnoteReference"/>
        </w:rPr>
        <w:footnoteReference w:id="5"/>
      </w:r>
      <w:r w:rsidRPr="00CF40C5">
        <w:t xml:space="preserve">. </w:t>
      </w:r>
      <w:r>
        <w:br/>
      </w:r>
      <w:r w:rsidRPr="00CF40C5">
        <w:t>По</w:t>
      </w:r>
      <w:r>
        <w:t xml:space="preserve"> </w:t>
      </w:r>
      <w:r w:rsidRPr="00CF40C5">
        <w:t>состоянию на сентябрь 2023</w:t>
      </w:r>
      <w:r>
        <w:t> года</w:t>
      </w:r>
      <w:r w:rsidRPr="00CF40C5">
        <w:t>, по достоверным данным, погиб 551</w:t>
      </w:r>
      <w:r>
        <w:t> </w:t>
      </w:r>
      <w:r w:rsidRPr="00CF40C5">
        <w:t xml:space="preserve">человек, </w:t>
      </w:r>
      <w:r>
        <w:t>включая</w:t>
      </w:r>
      <w:r w:rsidRPr="00CF40C5">
        <w:t xml:space="preserve"> 49</w:t>
      </w:r>
      <w:r>
        <w:t> </w:t>
      </w:r>
      <w:r w:rsidRPr="00CF40C5">
        <w:t>женщин и 68</w:t>
      </w:r>
      <w:r>
        <w:t> </w:t>
      </w:r>
      <w:r w:rsidRPr="00CF40C5">
        <w:t>детей</w:t>
      </w:r>
      <w:r>
        <w:t>.</w:t>
      </w:r>
      <w:r w:rsidRPr="00CF40C5">
        <w:t xml:space="preserve"> </w:t>
      </w:r>
      <w:r>
        <w:t>Было ранено одинаковое число ж</w:t>
      </w:r>
      <w:r w:rsidRPr="00CF40C5">
        <w:t>енщин и мужчин. Смертельные случаи были зафиксированы по меньшей мере в 26 из 31</w:t>
      </w:r>
      <w:r>
        <w:t> </w:t>
      </w:r>
      <w:r w:rsidRPr="00CF40C5">
        <w:t>провинции, причем наибольшее число жертв</w:t>
      </w:r>
      <w:r>
        <w:t> —</w:t>
      </w:r>
      <w:r w:rsidRPr="00CF40C5">
        <w:t xml:space="preserve"> в </w:t>
      </w:r>
      <w:r>
        <w:t>районах</w:t>
      </w:r>
      <w:r w:rsidRPr="00CF40C5">
        <w:t xml:space="preserve"> прожива</w:t>
      </w:r>
      <w:r>
        <w:t>ния</w:t>
      </w:r>
      <w:r w:rsidRPr="00CF40C5">
        <w:t xml:space="preserve"> меньшинств, в частности в провинции Систан и Белуджистан, в курдских р</w:t>
      </w:r>
      <w:r>
        <w:t>айонах</w:t>
      </w:r>
      <w:r w:rsidRPr="00CF40C5">
        <w:t xml:space="preserve"> страны (Курдистан и Керманшах), а также в некоторых </w:t>
      </w:r>
      <w:r>
        <w:t>частях</w:t>
      </w:r>
      <w:r w:rsidRPr="00CF40C5">
        <w:t xml:space="preserve"> Западного Азербайджана. Наибольшее число погибших за один день</w:t>
      </w:r>
      <w:r>
        <w:t>,</w:t>
      </w:r>
      <w:r w:rsidRPr="00CF40C5">
        <w:t xml:space="preserve"> 104</w:t>
      </w:r>
      <w:r>
        <w:t> </w:t>
      </w:r>
      <w:r w:rsidRPr="00CF40C5">
        <w:t>человека</w:t>
      </w:r>
      <w:r>
        <w:t>,</w:t>
      </w:r>
      <w:r w:rsidRPr="00CF40C5">
        <w:t xml:space="preserve"> было зарегистрировано 30</w:t>
      </w:r>
      <w:r>
        <w:t> сентября</w:t>
      </w:r>
      <w:r w:rsidRPr="00CF40C5">
        <w:t xml:space="preserve"> 2022</w:t>
      </w:r>
      <w:r>
        <w:t> года</w:t>
      </w:r>
      <w:r w:rsidRPr="00CF40C5">
        <w:t xml:space="preserve"> во время протестов после пятничной молитвы в городе Захедан</w:t>
      </w:r>
      <w:r>
        <w:t>е</w:t>
      </w:r>
      <w:r w:rsidRPr="00CF40C5">
        <w:t xml:space="preserve">, </w:t>
      </w:r>
      <w:r>
        <w:t xml:space="preserve">расположенном в </w:t>
      </w:r>
      <w:r w:rsidRPr="00CF40C5">
        <w:t>провинци</w:t>
      </w:r>
      <w:r>
        <w:t>и</w:t>
      </w:r>
      <w:r w:rsidRPr="00CF40C5">
        <w:t xml:space="preserve"> Систан и Белуджистан.</w:t>
      </w:r>
    </w:p>
    <w:p w14:paraId="4C0992E7" w14:textId="77777777" w:rsidR="007D3D4F" w:rsidRPr="00CF40C5" w:rsidRDefault="007D3D4F" w:rsidP="007D3D4F">
      <w:pPr>
        <w:pStyle w:val="SingleTxtG"/>
      </w:pPr>
      <w:bookmarkStart w:id="5" w:name="_Hlk156556513"/>
      <w:r w:rsidRPr="00CF40C5">
        <w:t>23.</w:t>
      </w:r>
      <w:r>
        <w:tab/>
      </w:r>
      <w:bookmarkEnd w:id="5"/>
      <w:r w:rsidRPr="0090515C">
        <w:t>Миссия расследовала применение силы силами безопасности в ходе протестов в период с 16</w:t>
      </w:r>
      <w:r>
        <w:t> </w:t>
      </w:r>
      <w:r w:rsidRPr="0090515C">
        <w:t>сентября по 21</w:t>
      </w:r>
      <w:r>
        <w:t> ноября</w:t>
      </w:r>
      <w:r w:rsidRPr="0090515C">
        <w:t xml:space="preserve"> 2022</w:t>
      </w:r>
      <w:r>
        <w:t> </w:t>
      </w:r>
      <w:r w:rsidRPr="0090515C">
        <w:t>года в 14</w:t>
      </w:r>
      <w:r>
        <w:t> </w:t>
      </w:r>
      <w:r w:rsidRPr="0090515C">
        <w:t>провинциях, в частности в показательных случаях, которые миссия считает репрезентативными для выявленных ею моделей применения силы.</w:t>
      </w:r>
    </w:p>
    <w:p w14:paraId="2655873B" w14:textId="4182CE50" w:rsidR="007D3D4F" w:rsidRPr="00CF40C5" w:rsidRDefault="007D3D4F" w:rsidP="007D3D4F">
      <w:pPr>
        <w:pStyle w:val="SingleTxtG"/>
      </w:pPr>
      <w:r w:rsidRPr="00CF40C5">
        <w:t>24.</w:t>
      </w:r>
      <w:r w:rsidRPr="00CF40C5">
        <w:tab/>
      </w:r>
      <w:r w:rsidRPr="000D269C">
        <w:t>Миссия установила</w:t>
      </w:r>
      <w:r w:rsidRPr="00CF40C5">
        <w:t>, что в большинстве случаев</w:t>
      </w:r>
      <w:r>
        <w:t xml:space="preserve"> </w:t>
      </w:r>
      <w:r w:rsidRPr="00CF40C5">
        <w:t xml:space="preserve">силы безопасности используют огнестрельное оружие, в том числе автоматы и дробовики, снаряженные </w:t>
      </w:r>
      <w:r>
        <w:t xml:space="preserve">боеприпасами </w:t>
      </w:r>
      <w:r w:rsidRPr="00CF40C5">
        <w:t>с</w:t>
      </w:r>
      <w:r>
        <w:t xml:space="preserve"> множеством шариков</w:t>
      </w:r>
      <w:r w:rsidRPr="00CF40C5">
        <w:t xml:space="preserve">, что приводит к гибели людей. Миссия также обнаружила практику использования боеприпасов, отнесенных к категории </w:t>
      </w:r>
      <w:r>
        <w:t>«</w:t>
      </w:r>
      <w:r w:rsidRPr="00CF40C5">
        <w:t>менее смертоносных</w:t>
      </w:r>
      <w:r>
        <w:t>»</w:t>
      </w:r>
      <w:r w:rsidRPr="00CF40C5">
        <w:t xml:space="preserve">, включая боеприпасы, содержащие несколько </w:t>
      </w:r>
      <w:r>
        <w:t>поражающих элементов</w:t>
      </w:r>
      <w:r w:rsidRPr="00CF40C5">
        <w:t xml:space="preserve"> кинетического действия, </w:t>
      </w:r>
      <w:r>
        <w:t xml:space="preserve">выходящих </w:t>
      </w:r>
      <w:r w:rsidRPr="00CF40C5">
        <w:t>за предел</w:t>
      </w:r>
      <w:r>
        <w:t>ы</w:t>
      </w:r>
      <w:r w:rsidRPr="00CF40C5">
        <w:t xml:space="preserve"> соответствующих параметров. </w:t>
      </w:r>
      <w:r>
        <w:br/>
      </w:r>
      <w:r w:rsidRPr="00CF40C5">
        <w:t xml:space="preserve">В одном документе, основанном на официальном коммюнике, должностные лица судебных органов подтвердили, что в течение одного вечера Командование правоохранительных органов Исламской Республики Иран (известное как </w:t>
      </w:r>
      <w:r>
        <w:t>«</w:t>
      </w:r>
      <w:r w:rsidRPr="00CF40C5">
        <w:t>Фараджа</w:t>
      </w:r>
      <w:r>
        <w:t>»</w:t>
      </w:r>
      <w:r w:rsidRPr="00CF40C5">
        <w:t>), Корпус стражей исламской революции</w:t>
      </w:r>
      <w:r>
        <w:t xml:space="preserve"> </w:t>
      </w:r>
      <w:r w:rsidRPr="00CF40C5">
        <w:t xml:space="preserve">и </w:t>
      </w:r>
      <w:r>
        <w:t>ополченцы басидж</w:t>
      </w:r>
      <w:r w:rsidRPr="00CF40C5">
        <w:t xml:space="preserve"> выпустили более 300</w:t>
      </w:r>
      <w:r>
        <w:t> </w:t>
      </w:r>
      <w:r w:rsidRPr="00CF40C5">
        <w:t>боевых патронов и более десятка холостых патронов, используя такое оружие, как АК-47, МП5 (</w:t>
      </w:r>
      <w:r w:rsidRPr="00CC0964">
        <w:t>пистолет</w:t>
      </w:r>
      <w:r>
        <w:t>ы</w:t>
      </w:r>
      <w:r w:rsidRPr="00CC0964">
        <w:t>-пулемет</w:t>
      </w:r>
      <w:r>
        <w:t>ы</w:t>
      </w:r>
      <w:r w:rsidRPr="00CF40C5">
        <w:t>) и пистолеты, почти 300</w:t>
      </w:r>
      <w:r>
        <w:t> </w:t>
      </w:r>
      <w:r w:rsidRPr="00CF40C5">
        <w:t>патронов, заряженных несколькими резиновыми</w:t>
      </w:r>
      <w:r>
        <w:t xml:space="preserve"> шариками</w:t>
      </w:r>
      <w:r w:rsidRPr="00CF40C5">
        <w:t>, и 40</w:t>
      </w:r>
      <w:r>
        <w:t> </w:t>
      </w:r>
      <w:r w:rsidRPr="00CF40C5">
        <w:t xml:space="preserve">резиновых пуль. В документе отмечается, что силы безопасности также использовали </w:t>
      </w:r>
      <w:r w:rsidRPr="00902E50">
        <w:t>химически</w:t>
      </w:r>
      <w:r>
        <w:t>е</w:t>
      </w:r>
      <w:r w:rsidRPr="00902E50">
        <w:t xml:space="preserve"> веществ</w:t>
      </w:r>
      <w:r>
        <w:t>а</w:t>
      </w:r>
      <w:r w:rsidRPr="00902E50">
        <w:t xml:space="preserve"> раздражающего действия</w:t>
      </w:r>
      <w:r w:rsidRPr="00CF40C5">
        <w:t>, акустические и дымовые гранаты.</w:t>
      </w:r>
    </w:p>
    <w:p w14:paraId="3A3197B5" w14:textId="77777777" w:rsidR="007D3D4F" w:rsidRPr="00CF40C5" w:rsidRDefault="007D3D4F" w:rsidP="007D3D4F">
      <w:pPr>
        <w:pStyle w:val="SingleTxtG"/>
      </w:pPr>
      <w:r w:rsidRPr="00CF40C5">
        <w:t>25.</w:t>
      </w:r>
      <w:r w:rsidRPr="00CF40C5">
        <w:tab/>
        <w:t>Миссия установила, что силы безопасности применяли</w:t>
      </w:r>
      <w:r>
        <w:t xml:space="preserve"> </w:t>
      </w:r>
      <w:r w:rsidRPr="00CF40C5">
        <w:t xml:space="preserve">смертоносную силу против демонстрантов в ситуациях, когда не было непосредственной угрозы </w:t>
      </w:r>
      <w:r>
        <w:t>причинения смерти или нанесения серьезных травм</w:t>
      </w:r>
      <w:r w:rsidRPr="00CF40C5">
        <w:t xml:space="preserve">. Акты насилия со стороны отдельных протестующих, такие как бросание камней, поджог шин или создание препятствий правоохранительным органам, не создают непосредственной угрозы </w:t>
      </w:r>
      <w:r>
        <w:t>причинения смерти или нанесения серьезных травм</w:t>
      </w:r>
      <w:r w:rsidRPr="00CF40C5">
        <w:t xml:space="preserve">, которая оправдывала бы </w:t>
      </w:r>
      <w:r w:rsidRPr="00CF40C5">
        <w:lastRenderedPageBreak/>
        <w:t xml:space="preserve">применение смертоносной силы. </w:t>
      </w:r>
      <w:r w:rsidRPr="002E3565">
        <w:t>Точно так же насилие со стороны протестующих на более раннем этапе или в другой части протеста не оправдывает применение смертоносной силы, поскольку не существует непосредственной угрозы.</w:t>
      </w:r>
      <w:r w:rsidRPr="002E3565" w:rsidDel="00052EE0">
        <w:t xml:space="preserve"> </w:t>
      </w:r>
      <w:r>
        <w:t>Проведение п</w:t>
      </w:r>
      <w:r w:rsidRPr="00CF40C5" w:rsidDel="00052EE0">
        <w:t>ротест</w:t>
      </w:r>
      <w:r>
        <w:t>а</w:t>
      </w:r>
      <w:r w:rsidRPr="00CF40C5" w:rsidDel="00052EE0">
        <w:t xml:space="preserve"> перед правительственным зданием или базой </w:t>
      </w:r>
      <w:r w:rsidRPr="00CF40C5">
        <w:t>сил безопасности</w:t>
      </w:r>
      <w:r w:rsidRPr="00CF40C5" w:rsidDel="00052EE0">
        <w:t xml:space="preserve">, скандирование лозунгов, </w:t>
      </w:r>
      <w:r>
        <w:t xml:space="preserve">оказание </w:t>
      </w:r>
      <w:r w:rsidRPr="00CF40C5" w:rsidDel="00052EE0">
        <w:t>помощ</w:t>
      </w:r>
      <w:r>
        <w:t>и</w:t>
      </w:r>
      <w:r w:rsidRPr="00CF40C5" w:rsidDel="00052EE0">
        <w:t xml:space="preserve"> другим </w:t>
      </w:r>
      <w:r>
        <w:t xml:space="preserve">лицам </w:t>
      </w:r>
      <w:r w:rsidRPr="00CF40C5" w:rsidDel="00052EE0">
        <w:t xml:space="preserve">или вождение автомобиля </w:t>
      </w:r>
      <w:r>
        <w:t xml:space="preserve">в непосредственной </w:t>
      </w:r>
      <w:r w:rsidRPr="00CF40C5">
        <w:t>близости</w:t>
      </w:r>
      <w:r>
        <w:t> —</w:t>
      </w:r>
      <w:r w:rsidRPr="00CF40C5">
        <w:t xml:space="preserve"> это </w:t>
      </w:r>
      <w:r w:rsidRPr="00CF40C5" w:rsidDel="00052EE0">
        <w:t xml:space="preserve">по сути мирные действия. </w:t>
      </w:r>
      <w:r w:rsidRPr="00CF40C5">
        <w:t xml:space="preserve">Жертвы, убитые и раненые в результате применения смертоносной силы, когда они или другие люди занимались подобной деятельностью, не представляли непосредственной угрозы. </w:t>
      </w:r>
      <w:r w:rsidRPr="00EF4774">
        <w:t xml:space="preserve">Таким образом, что касается расследованных инцидентов, то применение смертоносной силы было незаконным, а целенаправленные убийства </w:t>
      </w:r>
      <w:r>
        <w:t xml:space="preserve">участников </w:t>
      </w:r>
      <w:r w:rsidRPr="00EF4774">
        <w:t>протест</w:t>
      </w:r>
      <w:r>
        <w:t>ов</w:t>
      </w:r>
      <w:r w:rsidRPr="00EF4774">
        <w:t xml:space="preserve"> представляли собой внесудебные казни.</w:t>
      </w:r>
    </w:p>
    <w:p w14:paraId="1B95DA37" w14:textId="77777777" w:rsidR="007D3D4F" w:rsidRPr="00CF40C5" w:rsidRDefault="007D3D4F" w:rsidP="007D3D4F">
      <w:pPr>
        <w:pStyle w:val="SingleTxtG"/>
      </w:pPr>
      <w:r w:rsidRPr="00CF40C5">
        <w:t>26.</w:t>
      </w:r>
      <w:r w:rsidRPr="00CF40C5">
        <w:tab/>
        <w:t xml:space="preserve">Миссия выявила случаи применения смертоносной силы для разгона протестов, включая беспорядочную, бессмысленную и неизбирательную стрельбу из дробовиков и другого оружия, заряженного боеприпасами, содержащими множество металлических </w:t>
      </w:r>
      <w:r>
        <w:t>шариков</w:t>
      </w:r>
      <w:r w:rsidRPr="00CF40C5">
        <w:t xml:space="preserve"> </w:t>
      </w:r>
      <w:r>
        <w:t xml:space="preserve">или дробь, </w:t>
      </w:r>
      <w:r w:rsidRPr="00CF40C5">
        <w:t xml:space="preserve">по протестующим и прохожим. Силы безопасности </w:t>
      </w:r>
      <w:r>
        <w:t>стреляли</w:t>
      </w:r>
      <w:r w:rsidRPr="00CF40C5">
        <w:t xml:space="preserve"> боеприпасами, содержащими множество металлических </w:t>
      </w:r>
      <w:r>
        <w:t>шариков</w:t>
      </w:r>
      <w:r w:rsidRPr="00CF40C5">
        <w:t>, в</w:t>
      </w:r>
      <w:r>
        <w:t xml:space="preserve"> </w:t>
      </w:r>
      <w:r w:rsidRPr="00CF40C5">
        <w:t>жизненно важные части тела протестующих и прохожих, включая лицо, голову, шею и область гениталий. Использование боеприпасов, содержащих металлическ</w:t>
      </w:r>
      <w:r>
        <w:t>ую дробь</w:t>
      </w:r>
      <w:r w:rsidRPr="00CF40C5">
        <w:t>, в ходе акций протеста равносильно неизбирательному применению, поскольку это чревато серьезными травмами для протестующих и прохожих, и является незаконным.</w:t>
      </w:r>
    </w:p>
    <w:p w14:paraId="5EE13331" w14:textId="135A3010" w:rsidR="007D3D4F" w:rsidRPr="00CF40C5" w:rsidRDefault="007D3D4F" w:rsidP="007D3D4F">
      <w:pPr>
        <w:pStyle w:val="SingleTxtG"/>
      </w:pPr>
      <w:r w:rsidRPr="00CF40C5">
        <w:t>27.</w:t>
      </w:r>
      <w:r>
        <w:tab/>
      </w:r>
      <w:r w:rsidRPr="00CF40C5">
        <w:t xml:space="preserve">Миссия также расследовала использование оружия и боеприпасов менее смертоносными способами. </w:t>
      </w:r>
      <w:r w:rsidRPr="0092646D">
        <w:t xml:space="preserve">По сообщениям Высшего совета по правам человека Исламской Республики Иран, </w:t>
      </w:r>
      <w:r>
        <w:t xml:space="preserve">участники </w:t>
      </w:r>
      <w:r w:rsidRPr="0092646D">
        <w:t>протест</w:t>
      </w:r>
      <w:r>
        <w:t>ов</w:t>
      </w:r>
      <w:r w:rsidRPr="0092646D">
        <w:t xml:space="preserve"> нанесли обширный ущерб частной собственности, а также общественным и религиозным местам</w:t>
      </w:r>
      <w:r w:rsidRPr="006D7E0B">
        <w:rPr>
          <w:rStyle w:val="FootnoteReference"/>
        </w:rPr>
        <w:footnoteReference w:id="6"/>
      </w:r>
      <w:r>
        <w:t>.</w:t>
      </w:r>
      <w:r w:rsidRPr="00CF40C5">
        <w:t xml:space="preserve"> Миссия подтвердила некоторые утверждения о материальном ущербе, но пришла к выводу</w:t>
      </w:r>
      <w:r>
        <w:t xml:space="preserve"> о том</w:t>
      </w:r>
      <w:r w:rsidRPr="00CF40C5">
        <w:t xml:space="preserve">, что даже применение так называемой менее смертоносной силы, такой как слезоточивый газ или водометы, было непропорциональным из-за </w:t>
      </w:r>
      <w:r>
        <w:t>ее</w:t>
      </w:r>
      <w:r w:rsidRPr="00CF40C5">
        <w:t xml:space="preserve"> неизбирательного воздействия на демонстрантов, особенно на тех, кто протестовал мирно. </w:t>
      </w:r>
      <w:r w:rsidRPr="00DF5C06">
        <w:t>Более того, хотя снаряды кинетического действия, такие как резиновые пули, относятся к категории менее смертоносных, боеприпасы, стреляющие несколькими резиновыми пулями за один выстрел, сопряжены с риском и привод</w:t>
      </w:r>
      <w:r>
        <w:t>или</w:t>
      </w:r>
      <w:r w:rsidRPr="00DF5C06">
        <w:t xml:space="preserve"> к травмам глаз и ослеплению протестующих и прохожих.</w:t>
      </w:r>
    </w:p>
    <w:p w14:paraId="0075B606" w14:textId="77777777" w:rsidR="007D3D4F" w:rsidRPr="00CF40C5" w:rsidRDefault="007D3D4F" w:rsidP="007D3D4F">
      <w:pPr>
        <w:pStyle w:val="SingleTxtG"/>
      </w:pPr>
      <w:r w:rsidRPr="00CF40C5">
        <w:t>28.</w:t>
      </w:r>
      <w:r w:rsidRPr="00CF40C5">
        <w:tab/>
        <w:t xml:space="preserve">Миссия установила, что в результате применения как смертоносной, так и менее смертоносной силы протестующие получили обширные, необратимые и </w:t>
      </w:r>
      <w:r w:rsidRPr="009A0B13">
        <w:t>калечащи</w:t>
      </w:r>
      <w:r>
        <w:t>е</w:t>
      </w:r>
      <w:r w:rsidRPr="009A0B13">
        <w:t xml:space="preserve"> увеч</w:t>
      </w:r>
      <w:r>
        <w:t>ья</w:t>
      </w:r>
      <w:r w:rsidRPr="00CF40C5">
        <w:t xml:space="preserve">. </w:t>
      </w:r>
      <w:r w:rsidRPr="009A0B13">
        <w:t>Судебно-медицинские экспертизы и медицинские отчеты зафиксировали серьезные повреждения и разрушения черепов, мозговой ткани и внутренних органов тех, в кого стреляли, которые были вызваны применением различных видов оружия и боеприпасов.</w:t>
      </w:r>
    </w:p>
    <w:p w14:paraId="3ED4A1C7" w14:textId="77777777" w:rsidR="007D3D4F" w:rsidRPr="00CF40C5" w:rsidRDefault="007D3D4F" w:rsidP="007D3D4F">
      <w:pPr>
        <w:pStyle w:val="SingleTxtG"/>
      </w:pPr>
      <w:r w:rsidRPr="00CF40C5">
        <w:t>29.</w:t>
      </w:r>
      <w:r w:rsidRPr="00CF40C5">
        <w:tab/>
        <w:t>Миссия установила, что протестующие и прохожие, в том числе женщины и дети, получ</w:t>
      </w:r>
      <w:r>
        <w:t>или</w:t>
      </w:r>
      <w:r w:rsidRPr="00CF40C5">
        <w:t xml:space="preserve"> травмы глаз, что прив</w:t>
      </w:r>
      <w:r>
        <w:t>ело</w:t>
      </w:r>
      <w:r w:rsidRPr="00CF40C5">
        <w:t xml:space="preserve"> к частичной или полной потере зрения, сказ</w:t>
      </w:r>
      <w:r>
        <w:t>алось</w:t>
      </w:r>
      <w:r w:rsidRPr="00CF40C5">
        <w:t xml:space="preserve"> на их физическом и психическом здоровье, а в отношении детей</w:t>
      </w:r>
      <w:r>
        <w:t> —</w:t>
      </w:r>
      <w:r w:rsidRPr="00CF40C5">
        <w:t xml:space="preserve"> на их об</w:t>
      </w:r>
      <w:r>
        <w:t>учении</w:t>
      </w:r>
      <w:r w:rsidRPr="00CF40C5">
        <w:t xml:space="preserve">. </w:t>
      </w:r>
      <w:r>
        <w:t>Один с</w:t>
      </w:r>
      <w:r w:rsidRPr="00CF40C5">
        <w:t>видетель, потерявший зрение на один глаз, вспом</w:t>
      </w:r>
      <w:r>
        <w:t>нил</w:t>
      </w:r>
      <w:r w:rsidRPr="00CF40C5">
        <w:t xml:space="preserve">, как сотрудник сил безопасности с </w:t>
      </w:r>
      <w:r>
        <w:t xml:space="preserve">метрового </w:t>
      </w:r>
      <w:r w:rsidRPr="00CF40C5">
        <w:t xml:space="preserve">расстояния направил ему в голову </w:t>
      </w:r>
      <w:r w:rsidRPr="00BE1CEF">
        <w:t>пейнтбольное ружь</w:t>
      </w:r>
      <w:r>
        <w:t>е</w:t>
      </w:r>
      <w:r w:rsidRPr="00CF40C5">
        <w:t xml:space="preserve">, заряженное резиновыми пулями. </w:t>
      </w:r>
      <w:r w:rsidRPr="00765AC7">
        <w:t xml:space="preserve">Миссия отмечает сдерживающий и охлаждающий эффект таких травм, поскольку они навсегда оставляют следы на жертвах, по сути «клеймя» их как </w:t>
      </w:r>
      <w:r>
        <w:t xml:space="preserve">участников </w:t>
      </w:r>
      <w:r w:rsidRPr="00765AC7">
        <w:t>протест</w:t>
      </w:r>
      <w:r>
        <w:t>ов</w:t>
      </w:r>
      <w:r w:rsidRPr="00765AC7">
        <w:t xml:space="preserve">. </w:t>
      </w:r>
      <w:r w:rsidRPr="00CF40C5">
        <w:t>В условиях, когда протесты фактически криминализированы, миссия убеждена, что такой эффект был намеренным.</w:t>
      </w:r>
    </w:p>
    <w:p w14:paraId="7E4F1F77" w14:textId="77777777" w:rsidR="007D3D4F" w:rsidRPr="00CF40C5" w:rsidRDefault="007D3D4F" w:rsidP="007D3D4F">
      <w:pPr>
        <w:pStyle w:val="SingleTxtG"/>
      </w:pPr>
      <w:r w:rsidRPr="00CF40C5">
        <w:t>30.</w:t>
      </w:r>
      <w:r w:rsidRPr="00CF40C5">
        <w:tab/>
      </w:r>
      <w:r>
        <w:t>Наблюдалась</w:t>
      </w:r>
      <w:r w:rsidRPr="00CF40C5">
        <w:t xml:space="preserve"> тенденция, когда силы безопасности нападали на </w:t>
      </w:r>
      <w:r>
        <w:t xml:space="preserve">отдельных участников </w:t>
      </w:r>
      <w:r w:rsidRPr="00CF40C5">
        <w:t>протест</w:t>
      </w:r>
      <w:r>
        <w:t>ов</w:t>
      </w:r>
      <w:r w:rsidRPr="00CF40C5">
        <w:t xml:space="preserve">, основываясь на дискриминационных признаках, таких как пол и этническая принадлежность. Одной женщине </w:t>
      </w:r>
      <w:r>
        <w:t>пригрозили</w:t>
      </w:r>
      <w:r w:rsidRPr="00CF40C5">
        <w:t xml:space="preserve">, что в нее </w:t>
      </w:r>
      <w:r>
        <w:t>вы</w:t>
      </w:r>
      <w:r w:rsidRPr="00CF40C5">
        <w:t>стрелят, если она не наденет хиджаб, а других женщин называли шлюхами и говорили</w:t>
      </w:r>
      <w:r>
        <w:t xml:space="preserve"> им</w:t>
      </w:r>
      <w:r w:rsidRPr="00CF40C5">
        <w:t xml:space="preserve">, что </w:t>
      </w:r>
      <w:r>
        <w:t>такого понятия, как «</w:t>
      </w:r>
      <w:r w:rsidRPr="00CF40C5">
        <w:t>женщин</w:t>
      </w:r>
      <w:r>
        <w:t>а</w:t>
      </w:r>
      <w:r w:rsidRPr="00CF40C5">
        <w:t>, жизнь, свобода</w:t>
      </w:r>
      <w:r>
        <w:t>» не существует</w:t>
      </w:r>
      <w:r w:rsidRPr="00CF40C5">
        <w:t>, после чего стреляли в них.</w:t>
      </w:r>
    </w:p>
    <w:p w14:paraId="3C770B2C" w14:textId="05F28D30" w:rsidR="007D3D4F" w:rsidRPr="00CF40C5" w:rsidRDefault="007D3D4F" w:rsidP="007D3D4F">
      <w:pPr>
        <w:pStyle w:val="SingleTxtG"/>
      </w:pPr>
      <w:r w:rsidRPr="00CF40C5">
        <w:lastRenderedPageBreak/>
        <w:t>31.</w:t>
      </w:r>
      <w:r w:rsidRPr="00CF40C5">
        <w:tab/>
      </w:r>
      <w:r w:rsidRPr="00541A27">
        <w:t xml:space="preserve">Отсутствие экстренной медицинской помощи усугубляло ситуацию. </w:t>
      </w:r>
      <w:r>
        <w:br/>
      </w:r>
      <w:r w:rsidRPr="00CF40C5">
        <w:t xml:space="preserve">В некоторых случаях силы безопасности использовали для транспортировки машины скорой помощи. Раненым </w:t>
      </w:r>
      <w:r>
        <w:t xml:space="preserve">участникам </w:t>
      </w:r>
      <w:r w:rsidRPr="00CF40C5">
        <w:t>протест</w:t>
      </w:r>
      <w:r>
        <w:t>ов</w:t>
      </w:r>
      <w:r w:rsidRPr="00CF40C5">
        <w:t xml:space="preserve"> регулярно отказывали в приеме в больницах, окруженных </w:t>
      </w:r>
      <w:r>
        <w:t xml:space="preserve">большим числом </w:t>
      </w:r>
      <w:r w:rsidRPr="00CF40C5">
        <w:t>полицейски</w:t>
      </w:r>
      <w:r>
        <w:t>х</w:t>
      </w:r>
      <w:r w:rsidRPr="00CF40C5">
        <w:t>. Министерство здравоохранения официально предписало медицинскому персоналу сообщать обо всех, кто обращается за медицинской помощью в связи с полученными травмами. Силы безопасности преследовали, арестовывали и задерживали медицинских работников.</w:t>
      </w:r>
    </w:p>
    <w:p w14:paraId="3DF46309" w14:textId="6A1FF125" w:rsidR="007D3D4F" w:rsidRPr="00CF40C5" w:rsidRDefault="007D3D4F" w:rsidP="007D3D4F">
      <w:pPr>
        <w:pStyle w:val="SingleTxtG"/>
      </w:pPr>
      <w:r w:rsidRPr="00CF40C5">
        <w:t>32.</w:t>
      </w:r>
      <w:r w:rsidRPr="00CF40C5">
        <w:tab/>
        <w:t xml:space="preserve">Миссия пришла к выводу, что силы безопасности прибегали к неоправданному и непропорциональному применению </w:t>
      </w:r>
      <w:r w:rsidR="00151356">
        <w:t xml:space="preserve">смертоносной </w:t>
      </w:r>
      <w:r w:rsidRPr="00CF40C5">
        <w:t xml:space="preserve">силы, убивая и раня протестующих, которые не представляли непосредственной угрозы </w:t>
      </w:r>
      <w:r w:rsidRPr="00A959B8">
        <w:t>причинения смерти или нанесения серьезных травм</w:t>
      </w:r>
      <w:r w:rsidRPr="00CF40C5">
        <w:t>, тем самым совершая незаконные</w:t>
      </w:r>
      <w:r>
        <w:t xml:space="preserve"> убийства </w:t>
      </w:r>
      <w:r w:rsidRPr="00CF40C5">
        <w:t>и внесудебные казни.</w:t>
      </w:r>
      <w:bookmarkEnd w:id="3"/>
      <w:bookmarkEnd w:id="4"/>
    </w:p>
    <w:p w14:paraId="6388381E" w14:textId="77777777" w:rsidR="007D3D4F" w:rsidRPr="00CF40C5" w:rsidRDefault="007D3D4F" w:rsidP="007D3D4F">
      <w:pPr>
        <w:pStyle w:val="H1G"/>
      </w:pPr>
      <w:r w:rsidRPr="00CF40C5">
        <w:tab/>
      </w:r>
      <w:r w:rsidRPr="006D7E0B">
        <w:t>B</w:t>
      </w:r>
      <w:r w:rsidRPr="00CF40C5">
        <w:t>.</w:t>
      </w:r>
      <w:r w:rsidRPr="00CF40C5">
        <w:tab/>
        <w:t>Аресты и задержания в контексте протестов</w:t>
      </w:r>
    </w:p>
    <w:p w14:paraId="7BDDCDA8" w14:textId="77777777" w:rsidR="007D3D4F" w:rsidRPr="00CF40C5" w:rsidRDefault="007D3D4F" w:rsidP="007D3D4F">
      <w:pPr>
        <w:pStyle w:val="SingleTxtG"/>
      </w:pPr>
      <w:r w:rsidRPr="00CF40C5">
        <w:t>33.</w:t>
      </w:r>
      <w:r w:rsidRPr="00CF40C5">
        <w:tab/>
        <w:t xml:space="preserve">Миссия </w:t>
      </w:r>
      <w:r>
        <w:t>выявила</w:t>
      </w:r>
      <w:r w:rsidRPr="00CF40C5">
        <w:t xml:space="preserve"> широко распространенную практику произвольных арестов и задержаний протестующих силами безопасности за различные виды защищ</w:t>
      </w:r>
      <w:r>
        <w:t>енного</w:t>
      </w:r>
      <w:r w:rsidRPr="00CF40C5">
        <w:t xml:space="preserve"> поведения, такие как танцы, скандирование или написание лозунгов на стенах и подача звуковых сигналов автомобилями. Власти также арестовывали членов семей</w:t>
      </w:r>
      <w:r>
        <w:t xml:space="preserve"> </w:t>
      </w:r>
      <w:r w:rsidRPr="00CF40C5">
        <w:t xml:space="preserve">протестующих, добивавшихся возмещения ущерба, их сторонников (адвокатов, медицинских работников) и тех, кто выражал солидарность, учителей, артистов, спортсменов и </w:t>
      </w:r>
      <w:r w:rsidRPr="00F51B7B">
        <w:t>популярны</w:t>
      </w:r>
      <w:r>
        <w:t>х</w:t>
      </w:r>
      <w:r w:rsidRPr="00F51B7B">
        <w:t xml:space="preserve"> в социальных сетях блогер</w:t>
      </w:r>
      <w:r>
        <w:t>ов</w:t>
      </w:r>
      <w:r w:rsidRPr="00CF40C5">
        <w:t>. Власти также арестовывали и задерживали тех, кто стремился раскрыть правду о нарушениях прав человека, например журналистов и правозащитников.</w:t>
      </w:r>
    </w:p>
    <w:p w14:paraId="0727A26A" w14:textId="28752605" w:rsidR="007D3D4F" w:rsidRPr="00CF40C5" w:rsidRDefault="007D3D4F" w:rsidP="007D3D4F">
      <w:pPr>
        <w:pStyle w:val="SingleTxtG"/>
      </w:pPr>
      <w:r w:rsidRPr="00CF40C5">
        <w:t>34.</w:t>
      </w:r>
      <w:r w:rsidRPr="00CF40C5">
        <w:tab/>
      </w:r>
      <w:r w:rsidRPr="002809A5">
        <w:t>Тысячи женщин,</w:t>
      </w:r>
      <w:r w:rsidRPr="00CF40C5">
        <w:t xml:space="preserve"> мужчин и детей были арестованы по всей стране. </w:t>
      </w:r>
      <w:r>
        <w:br/>
      </w:r>
      <w:r w:rsidRPr="00CF40C5">
        <w:t>Не предоставив никаких публичных данных о количестве арестованных и задержанных, в феврале 2023</w:t>
      </w:r>
      <w:r>
        <w:t> года</w:t>
      </w:r>
      <w:r w:rsidRPr="00CF40C5">
        <w:t xml:space="preserve"> правительство заявило, что 22</w:t>
      </w:r>
      <w:r>
        <w:t> </w:t>
      </w:r>
      <w:r w:rsidRPr="007D3D4F">
        <w:t>000</w:t>
      </w:r>
      <w:r>
        <w:t> </w:t>
      </w:r>
      <w:r w:rsidRPr="00CF40C5">
        <w:t>человек были помилованы в связи с протестами</w:t>
      </w:r>
      <w:r w:rsidRPr="006D7E0B">
        <w:rPr>
          <w:rStyle w:val="FootnoteReference"/>
        </w:rPr>
        <w:footnoteReference w:id="7"/>
      </w:r>
      <w:r>
        <w:t>.</w:t>
      </w:r>
      <w:r w:rsidRPr="00CF40C5">
        <w:t xml:space="preserve"> По данным некоторых правозащитных организаций, число задержанных во время протестов может достигать 60</w:t>
      </w:r>
      <w:r>
        <w:t> </w:t>
      </w:r>
      <w:r w:rsidRPr="007D3D4F">
        <w:t>000</w:t>
      </w:r>
      <w:r>
        <w:t> </w:t>
      </w:r>
      <w:r w:rsidRPr="00CF40C5">
        <w:t xml:space="preserve">человек. </w:t>
      </w:r>
      <w:bookmarkStart w:id="6" w:name="_Hlk156614087"/>
      <w:r w:rsidRPr="00CF40C5">
        <w:t>Власти заявили, что средний возраст арестованных составляет 15</w:t>
      </w:r>
      <w:r>
        <w:t> </w:t>
      </w:r>
      <w:r w:rsidRPr="00CF40C5">
        <w:t>лет</w:t>
      </w:r>
      <w:bookmarkEnd w:id="6"/>
      <w:r w:rsidRPr="006D7E0B">
        <w:rPr>
          <w:rStyle w:val="FootnoteReference"/>
        </w:rPr>
        <w:footnoteReference w:id="8"/>
      </w:r>
      <w:r>
        <w:t>.</w:t>
      </w:r>
    </w:p>
    <w:p w14:paraId="168E8411" w14:textId="77777777" w:rsidR="007D3D4F" w:rsidRPr="00CF40C5" w:rsidRDefault="007D3D4F" w:rsidP="007D3D4F">
      <w:pPr>
        <w:pStyle w:val="SingleTxtG"/>
      </w:pPr>
      <w:r w:rsidRPr="00CF40C5">
        <w:t>35.</w:t>
      </w:r>
      <w:r>
        <w:tab/>
      </w:r>
      <w:r w:rsidRPr="00CF40C5">
        <w:t>Во время и после протестов</w:t>
      </w:r>
      <w:r>
        <w:t xml:space="preserve"> </w:t>
      </w:r>
      <w:r w:rsidRPr="00CF40C5">
        <w:t>силы безопасности и разведки также проводили целенаправленные рейды по домам и рабочим местам</w:t>
      </w:r>
      <w:r>
        <w:t xml:space="preserve"> </w:t>
      </w:r>
      <w:r w:rsidRPr="00CF40C5">
        <w:t>протестующих, а также в их школ</w:t>
      </w:r>
      <w:r>
        <w:t>ы</w:t>
      </w:r>
      <w:r w:rsidRPr="00CF40C5">
        <w:t xml:space="preserve"> и университет</w:t>
      </w:r>
      <w:r>
        <w:t>ы</w:t>
      </w:r>
      <w:r w:rsidRPr="00CF40C5">
        <w:t xml:space="preserve"> с целью ареста, обыска и изъятия имущества. Такие рейды проводились даже во время поминальных церемоний или похорон. Протестующих выявляли с помощью средств разведки и наблюдения, таких как беспилотники и камеры наблюдения. Сотрудники служб безопасности и разведки, в большом </w:t>
      </w:r>
      <w:r>
        <w:t>числе</w:t>
      </w:r>
      <w:r w:rsidRPr="00CF40C5">
        <w:t xml:space="preserve"> присутствовавшие возле больниц, задерживали раненых </w:t>
      </w:r>
      <w:r>
        <w:t xml:space="preserve">участников </w:t>
      </w:r>
      <w:r w:rsidRPr="00CF40C5">
        <w:t>протест</w:t>
      </w:r>
      <w:r>
        <w:t>ов</w:t>
      </w:r>
      <w:r w:rsidRPr="00CF40C5">
        <w:t>, которые обращались за медицинской помощью.</w:t>
      </w:r>
    </w:p>
    <w:p w14:paraId="746D458E" w14:textId="77777777" w:rsidR="007D3D4F" w:rsidRPr="00CF40C5" w:rsidRDefault="007D3D4F" w:rsidP="007D3D4F">
      <w:pPr>
        <w:pStyle w:val="SingleTxtG"/>
      </w:pPr>
      <w:r w:rsidRPr="00CF40C5">
        <w:t>36.</w:t>
      </w:r>
      <w:r w:rsidRPr="00CF40C5">
        <w:tab/>
        <w:t>Аресты проводили агенты в штатском, иногда в масках, скрывающих их лица и личност</w:t>
      </w:r>
      <w:r>
        <w:t>ь</w:t>
      </w:r>
      <w:r w:rsidRPr="00CF40C5">
        <w:t>. Лицам, арестованным вне мест проведения протестов, как правило, не предъявляли ордер</w:t>
      </w:r>
      <w:r>
        <w:t>а</w:t>
      </w:r>
      <w:r w:rsidRPr="00CF40C5">
        <w:t xml:space="preserve"> на арест и не сообщали о причинах ареста. </w:t>
      </w:r>
      <w:r w:rsidRPr="006B487C">
        <w:t>Лица, арестованные или переведенные в места содержания под стражей, обычно подвергались физическому и гендерному насилию и словесным оскорблениям.</w:t>
      </w:r>
    </w:p>
    <w:p w14:paraId="1F12606F" w14:textId="77777777" w:rsidR="007D3D4F" w:rsidRPr="00CF40C5" w:rsidRDefault="007D3D4F" w:rsidP="007D3D4F">
      <w:pPr>
        <w:pStyle w:val="SingleTxtG"/>
      </w:pPr>
      <w:r w:rsidRPr="00CF40C5">
        <w:t>37.</w:t>
      </w:r>
      <w:r w:rsidRPr="00CF40C5">
        <w:tab/>
      </w:r>
      <w:r w:rsidRPr="006B487C">
        <w:t>Женщин жестоко арестовывали</w:t>
      </w:r>
      <w:r>
        <w:t>,</w:t>
      </w:r>
      <w:r w:rsidRPr="006B487C">
        <w:t xml:space="preserve"> и сотрудник</w:t>
      </w:r>
      <w:r>
        <w:t>и</w:t>
      </w:r>
      <w:r w:rsidRPr="006B487C">
        <w:t xml:space="preserve"> сил безопасности </w:t>
      </w:r>
      <w:r>
        <w:t xml:space="preserve">прикасались </w:t>
      </w:r>
      <w:r w:rsidRPr="006B487C">
        <w:t xml:space="preserve">к </w:t>
      </w:r>
      <w:r>
        <w:t xml:space="preserve">их </w:t>
      </w:r>
      <w:r w:rsidRPr="006B487C">
        <w:t>гениталиям, часто во время транспортировки в места содержания под стражей.</w:t>
      </w:r>
      <w:r>
        <w:t xml:space="preserve"> </w:t>
      </w:r>
      <w:r w:rsidRPr="00CF40C5">
        <w:t xml:space="preserve">Некоторые женщины были арестованы у себя дома за участие в протестах, что позволяет предположить, что для их выявления использовалась слежка. </w:t>
      </w:r>
      <w:r w:rsidRPr="006B487C">
        <w:t xml:space="preserve">Правозащитницы и </w:t>
      </w:r>
      <w:r>
        <w:t>женщины</w:t>
      </w:r>
      <w:r w:rsidRPr="006B487C">
        <w:t>, к</w:t>
      </w:r>
      <w:r>
        <w:t>оторые</w:t>
      </w:r>
      <w:r w:rsidRPr="006B487C">
        <w:t xml:space="preserve">, как считается, играли заметную роль в протестах, были арестованы или вызваны для отбывания ранее </w:t>
      </w:r>
      <w:r w:rsidRPr="001075B4">
        <w:t>отсроченных наказаний</w:t>
      </w:r>
      <w:r w:rsidRPr="006B487C">
        <w:t>, чтобы помешать им участвовать в протестах.</w:t>
      </w:r>
    </w:p>
    <w:p w14:paraId="1F0A41F1" w14:textId="1EF22DDC" w:rsidR="007D3D4F" w:rsidRPr="00CF40C5" w:rsidRDefault="007D3D4F" w:rsidP="007D3D4F">
      <w:pPr>
        <w:pStyle w:val="SingleTxtG"/>
      </w:pPr>
      <w:r w:rsidRPr="00CF40C5">
        <w:lastRenderedPageBreak/>
        <w:t>38.</w:t>
      </w:r>
      <w:r w:rsidRPr="00CF40C5">
        <w:tab/>
        <w:t xml:space="preserve">Протестующих доставляли с завязанными глазами в неизвестные места содержания под стражей в автомобилях без опознавательных знаков и, в некоторых случаях, в машинах скорой помощи. Государственные власти содержали их </w:t>
      </w:r>
      <w:r>
        <w:t xml:space="preserve">под стражей </w:t>
      </w:r>
      <w:r w:rsidRPr="00CF40C5">
        <w:t xml:space="preserve">в различных местах, включая полицейские участки, тюрьмы и неопознанные или неофициальные тайные места содержания под стражей (военные казармы, спортивные объекты, частные дома и квартиры, </w:t>
      </w:r>
      <w:r w:rsidRPr="001075B4">
        <w:t xml:space="preserve">ветхие </w:t>
      </w:r>
      <w:r>
        <w:t>постройки</w:t>
      </w:r>
      <w:r w:rsidRPr="00CF40C5">
        <w:t xml:space="preserve"> и подземные помещения, принадлежащие Министерству внутренних дел или разведывательному подразделению Корпуса стражей исламской революции). </w:t>
      </w:r>
      <w:r w:rsidRPr="003F542C">
        <w:t xml:space="preserve">Арестованных либо не регистрировали, либо регистрировали со значительными задержками, а иногда только после того, как их принуждали к даче показаний способом, противоречащим </w:t>
      </w:r>
      <w:r w:rsidRPr="00CF40C5">
        <w:t xml:space="preserve">даже иранским </w:t>
      </w:r>
      <w:r w:rsidRPr="00613FCE">
        <w:t>уголовно-процессуальны</w:t>
      </w:r>
      <w:r>
        <w:t>м</w:t>
      </w:r>
      <w:r w:rsidRPr="00613FCE">
        <w:t xml:space="preserve"> норм</w:t>
      </w:r>
      <w:r>
        <w:t>ам</w:t>
      </w:r>
      <w:r w:rsidRPr="006D7E0B">
        <w:rPr>
          <w:rStyle w:val="FootnoteReference"/>
        </w:rPr>
        <w:footnoteReference w:id="9"/>
      </w:r>
      <w:r>
        <w:t>.</w:t>
      </w:r>
    </w:p>
    <w:p w14:paraId="67907631" w14:textId="77777777" w:rsidR="007D3D4F" w:rsidRPr="00CF40C5" w:rsidRDefault="007D3D4F" w:rsidP="007D3D4F">
      <w:pPr>
        <w:pStyle w:val="SingleTxtG"/>
      </w:pPr>
      <w:r w:rsidRPr="00CF40C5">
        <w:t>39.</w:t>
      </w:r>
      <w:r w:rsidRPr="00CF40C5">
        <w:tab/>
      </w:r>
      <w:bookmarkStart w:id="8" w:name="_Hlk156615081"/>
      <w:r w:rsidRPr="00A37674">
        <w:t>Сотни детей, некоторым из которых было всего 10</w:t>
      </w:r>
      <w:r>
        <w:t> </w:t>
      </w:r>
      <w:r w:rsidRPr="00A37674">
        <w:t xml:space="preserve">лет, включая девочек, были арестованы во время и после протестов, в том числе в ходе широкомасштабных арестов, и содержались вместе со взрослыми в местах лишения свободы. </w:t>
      </w:r>
      <w:r w:rsidRPr="00CF40C5">
        <w:t xml:space="preserve">Другие были доставлены в центры содержания несовершеннолетних или психиатрические лечебницы с целью их </w:t>
      </w:r>
      <w:r>
        <w:t>«</w:t>
      </w:r>
      <w:r w:rsidRPr="00CF40C5">
        <w:t>перевоспитания</w:t>
      </w:r>
      <w:r>
        <w:t>»</w:t>
      </w:r>
      <w:r w:rsidRPr="00CF40C5">
        <w:t>.</w:t>
      </w:r>
      <w:bookmarkEnd w:id="8"/>
    </w:p>
    <w:p w14:paraId="2C13261F" w14:textId="4BD6231E" w:rsidR="007D3D4F" w:rsidRPr="00CF40C5" w:rsidRDefault="007D3D4F" w:rsidP="007D3D4F">
      <w:pPr>
        <w:pStyle w:val="SingleTxtG"/>
      </w:pPr>
      <w:r w:rsidRPr="00CF40C5">
        <w:t>40.</w:t>
      </w:r>
      <w:r w:rsidRPr="00CF40C5">
        <w:tab/>
        <w:t>Даже ограниченное право на помощь адвоката из списка адвокатов</w:t>
      </w:r>
      <w:r>
        <w:t>,</w:t>
      </w:r>
      <w:r w:rsidRPr="00CF40C5">
        <w:t xml:space="preserve"> утвержденных глав</w:t>
      </w:r>
      <w:r>
        <w:t>ой</w:t>
      </w:r>
      <w:r w:rsidRPr="00CF40C5">
        <w:t xml:space="preserve"> судебной власти</w:t>
      </w:r>
      <w:r w:rsidRPr="006D7E0B">
        <w:rPr>
          <w:rStyle w:val="FootnoteReference"/>
        </w:rPr>
        <w:footnoteReference w:id="10"/>
      </w:r>
      <w:r>
        <w:t>,</w:t>
      </w:r>
      <w:r w:rsidRPr="00CF40C5">
        <w:t xml:space="preserve"> не было реализовано, равно как и право на незамедлительную доставку в независимый и беспристрастный судебный орган.</w:t>
      </w:r>
    </w:p>
    <w:p w14:paraId="75AA3173" w14:textId="77777777" w:rsidR="007D3D4F" w:rsidRPr="00CF40C5" w:rsidRDefault="007D3D4F" w:rsidP="007D3D4F">
      <w:pPr>
        <w:pStyle w:val="SingleTxtG"/>
      </w:pPr>
      <w:r w:rsidRPr="00CF40C5">
        <w:t>41.</w:t>
      </w:r>
      <w:r w:rsidRPr="00CF40C5">
        <w:tab/>
        <w:t xml:space="preserve">Иранские власти регулярно </w:t>
      </w:r>
      <w:r>
        <w:t>со</w:t>
      </w:r>
      <w:r w:rsidRPr="00CF40C5">
        <w:t xml:space="preserve">держали задержанных без связи с внешним миром и/или в длительном одиночном заключении, отказываясь информировать их семьи об их местонахождении, что в некоторых случаях </w:t>
      </w:r>
      <w:r w:rsidRPr="00262FD3">
        <w:t xml:space="preserve">лишало их защиты закона </w:t>
      </w:r>
      <w:r w:rsidRPr="00CF40C5">
        <w:t>и приравнивалось к насильственному исчезновению. В большинстве случаев, расследованных миссией, задержанные были освобождены, но только после того, как их семьи внесли чрезмерную сумму залога.</w:t>
      </w:r>
    </w:p>
    <w:p w14:paraId="1D37FFD7" w14:textId="77777777" w:rsidR="007D3D4F" w:rsidRPr="00CF40C5" w:rsidRDefault="007D3D4F" w:rsidP="007D3D4F">
      <w:pPr>
        <w:pStyle w:val="H1G"/>
      </w:pPr>
      <w:r w:rsidRPr="00CF40C5">
        <w:tab/>
      </w:r>
      <w:r w:rsidRPr="006D7E0B">
        <w:t>C</w:t>
      </w:r>
      <w:r w:rsidRPr="00CF40C5">
        <w:t>.</w:t>
      </w:r>
      <w:r w:rsidRPr="00CF40C5">
        <w:tab/>
        <w:t>Пытки и жестокое, бесчеловечное или унижающее достоинство обращение или наказание</w:t>
      </w:r>
    </w:p>
    <w:p w14:paraId="085EA6B6" w14:textId="77777777" w:rsidR="007D3D4F" w:rsidRPr="00CF40C5" w:rsidRDefault="007D3D4F" w:rsidP="007D3D4F">
      <w:pPr>
        <w:pStyle w:val="SingleTxtG"/>
      </w:pPr>
      <w:r w:rsidRPr="00CF40C5">
        <w:t>42.</w:t>
      </w:r>
      <w:r w:rsidRPr="00CF40C5">
        <w:tab/>
        <w:t>Миссия установила, что иранские государственные служащие намеренно применяли пытки в таких целях, как получение признания, получение информации, наказание, запугивание, унижение, принуждение</w:t>
      </w:r>
      <w:r>
        <w:t>,</w:t>
      </w:r>
      <w:r w:rsidRPr="00CF40C5">
        <w:t xml:space="preserve"> или по причинам, основанным на дискриминации, а также для предотвращения участия в протестах. </w:t>
      </w:r>
      <w:r w:rsidRPr="00824795">
        <w:t>Кроме того, из-за угрозы такого обращения многие из арестованных, зачастую молодые люди, да</w:t>
      </w:r>
      <w:r>
        <w:t>ва</w:t>
      </w:r>
      <w:r w:rsidRPr="00824795">
        <w:t>ли признательные показания в ответ на требования следователей.</w:t>
      </w:r>
    </w:p>
    <w:p w14:paraId="322E5229" w14:textId="77777777" w:rsidR="007D3D4F" w:rsidRPr="00CF40C5" w:rsidRDefault="007D3D4F" w:rsidP="007D3D4F">
      <w:pPr>
        <w:pStyle w:val="SingleTxtG"/>
      </w:pPr>
      <w:r w:rsidRPr="00CF40C5">
        <w:t>43.</w:t>
      </w:r>
      <w:r w:rsidRPr="00CF40C5">
        <w:tab/>
        <w:t xml:space="preserve">Пытки и </w:t>
      </w:r>
      <w:r>
        <w:t>неправомерное</w:t>
      </w:r>
      <w:r w:rsidRPr="00CF40C5">
        <w:t xml:space="preserve"> обращение обычно начинались при аресте и продолжались во время перевода в места содержания под стражей, включая полицейские участки, места содержания под стражей Корпуса стражей исламской революции и Министерства разведки, а также тюрьмы, управляемые Государственной организацией тюрем и исправительно-воспитательных мер (Пенитенциарная организация). Задержанные, включая детей, подвергались длительным и неоднократным допросам, во время которых им завязывали глаза или надевали капюшоны и подвергали различным формам физического и психологического </w:t>
      </w:r>
      <w:r>
        <w:t>надругательства</w:t>
      </w:r>
      <w:r w:rsidRPr="00CF40C5">
        <w:t xml:space="preserve">, приравниваемого к пыткам. </w:t>
      </w:r>
      <w:r w:rsidRPr="00497B78">
        <w:t xml:space="preserve">Это включало </w:t>
      </w:r>
      <w:r>
        <w:t xml:space="preserve">в себя </w:t>
      </w:r>
      <w:r w:rsidRPr="00497B78">
        <w:t xml:space="preserve">физическое насилие, такое как удары руками, ногами, избиение, порка и прижигание, применение электрошока, подвешивание и </w:t>
      </w:r>
      <w:r>
        <w:t>неудобные позы</w:t>
      </w:r>
      <w:r w:rsidRPr="00497B78">
        <w:t xml:space="preserve">. </w:t>
      </w:r>
      <w:r w:rsidRPr="00CF40C5">
        <w:t>Многи</w:t>
      </w:r>
      <w:r>
        <w:t>х</w:t>
      </w:r>
      <w:r w:rsidRPr="00CF40C5">
        <w:t xml:space="preserve"> задержанны</w:t>
      </w:r>
      <w:r>
        <w:t>х</w:t>
      </w:r>
      <w:r w:rsidRPr="00CF40C5">
        <w:t>, в том числе дет</w:t>
      </w:r>
      <w:r>
        <w:t>ей</w:t>
      </w:r>
      <w:r w:rsidRPr="00CF40C5">
        <w:t xml:space="preserve">, </w:t>
      </w:r>
      <w:r>
        <w:t xml:space="preserve">заставляли принимать </w:t>
      </w:r>
      <w:r w:rsidRPr="00CF40C5">
        <w:t>неизвестные вещества</w:t>
      </w:r>
      <w:r>
        <w:t xml:space="preserve"> или </w:t>
      </w:r>
      <w:r w:rsidRPr="00CF40C5">
        <w:t xml:space="preserve">насильно </w:t>
      </w:r>
      <w:r>
        <w:t xml:space="preserve">им их </w:t>
      </w:r>
      <w:r w:rsidRPr="00CF40C5">
        <w:t xml:space="preserve">вводили. Большинство жертв сообщили, что они не имели доступа к медицинской помощи, несмотря на травмы, полученные в результате пыток. </w:t>
      </w:r>
      <w:r w:rsidRPr="00E558C6">
        <w:t>Задержанные систематически подвергались словесным оскорблениям, в том числе оскорблениям сексуального характера или по этническому и религиозному признак</w:t>
      </w:r>
      <w:r>
        <w:t>ам</w:t>
      </w:r>
      <w:r w:rsidRPr="00E558C6">
        <w:t xml:space="preserve">. </w:t>
      </w:r>
      <w:r>
        <w:t xml:space="preserve">Содержавшие их </w:t>
      </w:r>
      <w:r w:rsidRPr="00892934">
        <w:t xml:space="preserve">власти также применяли различные формы психологических пыток и </w:t>
      </w:r>
      <w:r>
        <w:t>неправомерного</w:t>
      </w:r>
      <w:r w:rsidRPr="00892934">
        <w:t xml:space="preserve"> </w:t>
      </w:r>
      <w:r w:rsidRPr="00892934">
        <w:lastRenderedPageBreak/>
        <w:t xml:space="preserve">обращения, включая одиночное заключение на срок от одной ночи до нескольких недель, а также угрозы смертью, изнасилованием и причинением вреда членам семьи. </w:t>
      </w:r>
      <w:r w:rsidRPr="00CF40C5">
        <w:t>Наиболее вопиющие формы насилия, включая сексуальное и гендерное насилие, имели место в неофициальных местах содержания под стражей, находящихся в ведении Корпуса стражей исламской революции и Министерства разведки.</w:t>
      </w:r>
    </w:p>
    <w:p w14:paraId="3612B1A8" w14:textId="77777777" w:rsidR="007D3D4F" w:rsidRPr="00CF40C5" w:rsidRDefault="007D3D4F" w:rsidP="007D3D4F">
      <w:pPr>
        <w:pStyle w:val="SingleTxtG"/>
      </w:pPr>
      <w:r w:rsidRPr="00CF40C5">
        <w:t>44.</w:t>
      </w:r>
      <w:r w:rsidRPr="00CF40C5">
        <w:tab/>
      </w:r>
      <w:r w:rsidRPr="00EE65CF">
        <w:t>Миссия установила, что дет</w:t>
      </w:r>
      <w:r>
        <w:t>и</w:t>
      </w:r>
      <w:r w:rsidRPr="00EE65CF">
        <w:t xml:space="preserve"> </w:t>
      </w:r>
      <w:r>
        <w:t>со</w:t>
      </w:r>
      <w:r w:rsidRPr="00EE65CF">
        <w:t>держали</w:t>
      </w:r>
      <w:r>
        <w:t>сь</w:t>
      </w:r>
      <w:r w:rsidRPr="00EE65CF">
        <w:t xml:space="preserve"> в течение нескольких дней или даже недель как в официальных, так и в неофициальных местах содержания под стражей, не зная причин их задержания, не имея контактов со своими семьями или возможности </w:t>
      </w:r>
      <w:r>
        <w:t xml:space="preserve">прибегнуть к помощи </w:t>
      </w:r>
      <w:r w:rsidRPr="00EE65CF">
        <w:t xml:space="preserve">законного представителя. </w:t>
      </w:r>
      <w:r w:rsidRPr="00CF40C5">
        <w:t>Как и взрослые, они подвергались жестоким физическим, психологическим и сексуальным пыткам, включая изнасилование.</w:t>
      </w:r>
    </w:p>
    <w:p w14:paraId="06364DCE" w14:textId="77777777" w:rsidR="007D3D4F" w:rsidRPr="00CF40C5" w:rsidRDefault="007D3D4F" w:rsidP="007D3D4F">
      <w:pPr>
        <w:pStyle w:val="SingleTxtG"/>
      </w:pPr>
      <w:r w:rsidRPr="00CF40C5">
        <w:t>45.</w:t>
      </w:r>
      <w:r w:rsidRPr="00CF40C5">
        <w:tab/>
        <w:t xml:space="preserve">Миссия </w:t>
      </w:r>
      <w:r w:rsidRPr="00EE65CF">
        <w:t xml:space="preserve">выявила </w:t>
      </w:r>
      <w:r w:rsidRPr="00CF40C5">
        <w:t>несколько случаев смерти в результате пыток</w:t>
      </w:r>
      <w:r>
        <w:t xml:space="preserve"> во время содержания под стражей</w:t>
      </w:r>
      <w:r w:rsidRPr="00CF40C5">
        <w:t xml:space="preserve">. </w:t>
      </w:r>
      <w:r>
        <w:t>Раненым</w:t>
      </w:r>
      <w:r w:rsidRPr="00CF40C5">
        <w:t xml:space="preserve"> отказывали в медицинской помощи или они не сообщали о пытках, когда их освобождали, опасаясь </w:t>
      </w:r>
      <w:r>
        <w:t>мести</w:t>
      </w:r>
      <w:r w:rsidRPr="00CF40C5">
        <w:t>. Некоторые протестующие получили медицинскую помощь и психологическую поддержку только после переезда за границу.</w:t>
      </w:r>
    </w:p>
    <w:p w14:paraId="6C538E28" w14:textId="77777777" w:rsidR="007D3D4F" w:rsidRPr="00CF40C5" w:rsidRDefault="007D3D4F" w:rsidP="007D3D4F">
      <w:pPr>
        <w:pStyle w:val="H23G"/>
      </w:pPr>
      <w:r w:rsidRPr="00CF40C5">
        <w:tab/>
        <w:t>1.</w:t>
      </w:r>
      <w:r w:rsidRPr="00CF40C5">
        <w:tab/>
        <w:t>Сексуальное и гендерное насилие</w:t>
      </w:r>
    </w:p>
    <w:p w14:paraId="5C8188D2" w14:textId="77777777" w:rsidR="007D3D4F" w:rsidRPr="00CF40C5" w:rsidRDefault="007D3D4F" w:rsidP="007D3D4F">
      <w:pPr>
        <w:pStyle w:val="SingleTxtG"/>
      </w:pPr>
      <w:r w:rsidRPr="00CF40C5">
        <w:t>46.</w:t>
      </w:r>
      <w:r w:rsidRPr="00CF40C5">
        <w:tab/>
      </w:r>
      <w:r w:rsidRPr="00237444">
        <w:t>Миссия установила практику сексуального и гендерного насилия, соверша</w:t>
      </w:r>
      <w:r>
        <w:t>вшегося</w:t>
      </w:r>
      <w:r w:rsidRPr="00237444">
        <w:t xml:space="preserve"> государственными властями в местах содержания под стражей. </w:t>
      </w:r>
      <w:r>
        <w:t>Эта практика</w:t>
      </w:r>
      <w:r w:rsidRPr="00CF40C5">
        <w:t xml:space="preserve"> включал</w:t>
      </w:r>
      <w:r>
        <w:t>а в себя</w:t>
      </w:r>
      <w:r w:rsidRPr="00CF40C5">
        <w:t xml:space="preserve"> изнасилование, в том числе с применением предмета, угрозы изнасиловани</w:t>
      </w:r>
      <w:r>
        <w:t>ем</w:t>
      </w:r>
      <w:r w:rsidRPr="00CF40C5">
        <w:t>, воздействие электрическим током на гениталии, принудительное обнажение, ощупывание, прикосновения и другие формы сексуального насилия. Миссия установила, что сексуальному и гендерному насилию подвергались задержанные женщины, мужчины и дети, в том числе ЛГБТК</w:t>
      </w:r>
      <w:r>
        <w:t>И</w:t>
      </w:r>
      <w:r w:rsidRPr="00CF40C5">
        <w:t>+</w:t>
      </w:r>
      <w:r>
        <w:t xml:space="preserve"> люди</w:t>
      </w:r>
      <w:r w:rsidRPr="00CF40C5">
        <w:t>, арестованные в связи с протестами.</w:t>
      </w:r>
    </w:p>
    <w:p w14:paraId="706AB687" w14:textId="77777777" w:rsidR="007D3D4F" w:rsidRPr="00CF40C5" w:rsidRDefault="007D3D4F" w:rsidP="007D3D4F">
      <w:pPr>
        <w:pStyle w:val="SingleTxtG"/>
      </w:pPr>
      <w:r w:rsidRPr="00CF40C5">
        <w:t>47.</w:t>
      </w:r>
      <w:r w:rsidRPr="00CF40C5">
        <w:tab/>
      </w:r>
      <w:r w:rsidRPr="000215F0">
        <w:t>В качестве примера</w:t>
      </w:r>
      <w:r w:rsidRPr="00CF40C5">
        <w:t xml:space="preserve"> можно привести случай с </w:t>
      </w:r>
      <w:r>
        <w:t xml:space="preserve">одной участницей </w:t>
      </w:r>
      <w:r w:rsidRPr="00CF40C5">
        <w:t>протест</w:t>
      </w:r>
      <w:r>
        <w:t>ов</w:t>
      </w:r>
      <w:r w:rsidRPr="00CF40C5">
        <w:t>, котор</w:t>
      </w:r>
      <w:r>
        <w:t>ую</w:t>
      </w:r>
      <w:r w:rsidRPr="00CF40C5">
        <w:t xml:space="preserve"> арестова</w:t>
      </w:r>
      <w:r>
        <w:t>ли</w:t>
      </w:r>
      <w:r w:rsidRPr="00CF40C5">
        <w:t xml:space="preserve"> в ноябре 2022</w:t>
      </w:r>
      <w:r>
        <w:t> года</w:t>
      </w:r>
      <w:r w:rsidRPr="00CF40C5">
        <w:t xml:space="preserve"> в провинции Керманшах</w:t>
      </w:r>
      <w:r>
        <w:t xml:space="preserve"> и</w:t>
      </w:r>
      <w:r w:rsidRPr="00CF40C5">
        <w:t xml:space="preserve"> достав</w:t>
      </w:r>
      <w:r>
        <w:t>или</w:t>
      </w:r>
      <w:r w:rsidRPr="00CF40C5">
        <w:t xml:space="preserve"> в неофициальный центр содержания под стражей и </w:t>
      </w:r>
      <w:r>
        <w:t xml:space="preserve">которую </w:t>
      </w:r>
      <w:r w:rsidRPr="00CF40C5">
        <w:t>сотрудник</w:t>
      </w:r>
      <w:r>
        <w:t>и</w:t>
      </w:r>
      <w:r w:rsidRPr="00CF40C5">
        <w:t xml:space="preserve"> службы безопасности несколько часов допрашивал</w:t>
      </w:r>
      <w:r>
        <w:t>и</w:t>
      </w:r>
      <w:r w:rsidRPr="00CF40C5">
        <w:t xml:space="preserve"> о ее предполагаемой роли в протестах, после чего отвели </w:t>
      </w:r>
      <w:r>
        <w:t xml:space="preserve">ее </w:t>
      </w:r>
      <w:r w:rsidRPr="00CF40C5">
        <w:t xml:space="preserve">в другую комнату для </w:t>
      </w:r>
      <w:r>
        <w:t>«</w:t>
      </w:r>
      <w:r w:rsidRPr="00CF40C5">
        <w:t>личного досмотра</w:t>
      </w:r>
      <w:r>
        <w:t>»</w:t>
      </w:r>
      <w:r w:rsidRPr="00CF40C5">
        <w:t xml:space="preserve">. Когда она раздевалась, в комнату вошли один мужчина и одна женщина в </w:t>
      </w:r>
      <w:r>
        <w:t>хиджабе</w:t>
      </w:r>
      <w:r w:rsidRPr="00CF40C5">
        <w:rPr>
          <w:i/>
          <w:iCs/>
        </w:rPr>
        <w:t xml:space="preserve">, </w:t>
      </w:r>
      <w:r>
        <w:t xml:space="preserve">являвшиеся агентами, </w:t>
      </w:r>
      <w:r w:rsidRPr="00CF40C5">
        <w:t>заставили ее лечь на пол и удержива</w:t>
      </w:r>
      <w:r>
        <w:t>ли</w:t>
      </w:r>
      <w:r w:rsidRPr="00CF40C5">
        <w:t xml:space="preserve"> ее, </w:t>
      </w:r>
      <w:r>
        <w:t xml:space="preserve">пока ее </w:t>
      </w:r>
      <w:r w:rsidRPr="00CF40C5">
        <w:t>насиловал друг</w:t>
      </w:r>
      <w:r>
        <w:t>ой</w:t>
      </w:r>
      <w:r w:rsidRPr="00CF40C5">
        <w:t xml:space="preserve"> агент-мужчин</w:t>
      </w:r>
      <w:r>
        <w:t>а</w:t>
      </w:r>
      <w:r w:rsidRPr="00CF40C5">
        <w:t>. После этого тот же агент, который ее удерживал, также изнасиловал ее.</w:t>
      </w:r>
    </w:p>
    <w:p w14:paraId="48E95BDE" w14:textId="77777777" w:rsidR="007D3D4F" w:rsidRPr="00CF40C5" w:rsidRDefault="007D3D4F" w:rsidP="007D3D4F">
      <w:pPr>
        <w:pStyle w:val="SingleTxtG"/>
      </w:pPr>
      <w:r w:rsidRPr="00CF40C5">
        <w:t>48.</w:t>
      </w:r>
      <w:r w:rsidRPr="00CF40C5">
        <w:tab/>
        <w:t xml:space="preserve">На фоне безнаказанности за сексуальное и гендерное насилие силы безопасности играли на социальной и культурной стигме, связанной с сексуальным и гендерным насилием, чтобы посеять страх, унизить и наказать женщин, мужчин и детей, включая </w:t>
      </w:r>
      <w:r w:rsidRPr="00AF37EC">
        <w:t>ЛГБТКИ+ люд</w:t>
      </w:r>
      <w:r>
        <w:t>ей,</w:t>
      </w:r>
      <w:r w:rsidRPr="00CF40C5">
        <w:t xml:space="preserve"> или членов их семей за участие в протестах. Сексуальное и гендерное насилие часто сопровождалось оскорблениями </w:t>
      </w:r>
      <w:r w:rsidRPr="009967B8">
        <w:t xml:space="preserve">по гендерному признаку </w:t>
      </w:r>
      <w:r w:rsidRPr="00CF40C5">
        <w:t xml:space="preserve">в адрес протестующих женщин, которых называли </w:t>
      </w:r>
      <w:r>
        <w:t>«</w:t>
      </w:r>
      <w:r w:rsidRPr="00CF40C5">
        <w:t>шлюхами</w:t>
      </w:r>
      <w:r>
        <w:t>»</w:t>
      </w:r>
      <w:r w:rsidRPr="00CF40C5">
        <w:t xml:space="preserve">, </w:t>
      </w:r>
      <w:r>
        <w:t>«</w:t>
      </w:r>
      <w:r w:rsidRPr="00CF40C5">
        <w:t>потаскухами</w:t>
      </w:r>
      <w:r>
        <w:t>»</w:t>
      </w:r>
      <w:r w:rsidRPr="00CF40C5">
        <w:t xml:space="preserve"> и </w:t>
      </w:r>
      <w:r>
        <w:t>«</w:t>
      </w:r>
      <w:r w:rsidRPr="00CF40C5">
        <w:t>проститутками</w:t>
      </w:r>
      <w:r>
        <w:t>»</w:t>
      </w:r>
      <w:r w:rsidRPr="00CF40C5">
        <w:t xml:space="preserve">, у которых </w:t>
      </w:r>
      <w:r>
        <w:t>«</w:t>
      </w:r>
      <w:r w:rsidRPr="00CF40C5">
        <w:t>нет чести</w:t>
      </w:r>
      <w:r>
        <w:t>»</w:t>
      </w:r>
      <w:r w:rsidRPr="00CF40C5">
        <w:t xml:space="preserve">, которые </w:t>
      </w:r>
      <w:r>
        <w:t>«</w:t>
      </w:r>
      <w:r w:rsidRPr="00CF40C5">
        <w:t xml:space="preserve">готовы </w:t>
      </w:r>
      <w:r>
        <w:t>обнажиться»</w:t>
      </w:r>
      <w:r w:rsidRPr="00CF40C5">
        <w:t xml:space="preserve"> и распространяют </w:t>
      </w:r>
      <w:r>
        <w:t>«</w:t>
      </w:r>
      <w:r w:rsidRPr="00CF40C5">
        <w:t>безнравственность</w:t>
      </w:r>
      <w:r>
        <w:t>»</w:t>
      </w:r>
      <w:r w:rsidRPr="00CF40C5">
        <w:t xml:space="preserve">. В некоторых случаях власти оправдывали сексуальное насилие тем, что это </w:t>
      </w:r>
      <w:r>
        <w:t>«</w:t>
      </w:r>
      <w:r w:rsidRPr="00CF40C5">
        <w:t>свобода, котор</w:t>
      </w:r>
      <w:r>
        <w:t>ой</w:t>
      </w:r>
      <w:r w:rsidRPr="00CF40C5">
        <w:t xml:space="preserve"> они хот</w:t>
      </w:r>
      <w:r>
        <w:t>ели»</w:t>
      </w:r>
      <w:r w:rsidRPr="00CF40C5">
        <w:t xml:space="preserve">. </w:t>
      </w:r>
      <w:r w:rsidRPr="00096879">
        <w:t>Миссия установила явные проявления жестокости по отношению к протестующим на основании их пола и фактической или предполагаемой сексуальной ориентации или гендерной идентичности.</w:t>
      </w:r>
    </w:p>
    <w:p w14:paraId="3B76332F" w14:textId="77777777" w:rsidR="007D3D4F" w:rsidRPr="00CF40C5" w:rsidRDefault="007D3D4F" w:rsidP="007D3D4F">
      <w:pPr>
        <w:pStyle w:val="SingleTxtG"/>
      </w:pPr>
      <w:bookmarkStart w:id="9" w:name="_Hlk156616667"/>
      <w:r w:rsidRPr="00CF40C5">
        <w:t>49.</w:t>
      </w:r>
      <w:r w:rsidRPr="00CF40C5">
        <w:tab/>
        <w:t>Сексуальное и гендерное насилие, в частности, имеет глубокие и долговременные последствия для психического и физического здоровья жертв. Пострадавшие рискуют подвергнуться двойной виктимизации из-за связанной с этим стигмы и стыда, а также из-за воздействия дискриминационных законов, которые не только не защищают их, но, напротив, могут привести к их криминализации.</w:t>
      </w:r>
      <w:bookmarkEnd w:id="9"/>
      <w:r w:rsidRPr="00CF40C5">
        <w:t xml:space="preserve"> Эти факторы приводят к занижению числа сообщений, что позволяет предположить, что уровень сексуального и гендерного насилия, хотя он и так очень велик, может быть еще выше.</w:t>
      </w:r>
    </w:p>
    <w:p w14:paraId="40965C41" w14:textId="77777777" w:rsidR="007D3D4F" w:rsidRPr="00CF40C5" w:rsidRDefault="007D3D4F" w:rsidP="007D3D4F">
      <w:pPr>
        <w:pStyle w:val="H23G"/>
      </w:pPr>
      <w:r w:rsidRPr="00CF40C5">
        <w:lastRenderedPageBreak/>
        <w:tab/>
        <w:t>2.</w:t>
      </w:r>
      <w:r w:rsidRPr="00CF40C5">
        <w:tab/>
        <w:t>Условия содержания под стражей</w:t>
      </w:r>
    </w:p>
    <w:p w14:paraId="635DFCB5" w14:textId="710E19B3" w:rsidR="007D3D4F" w:rsidRPr="00CF40C5" w:rsidRDefault="007D3D4F" w:rsidP="007D3D4F">
      <w:pPr>
        <w:pStyle w:val="SingleTxtG"/>
      </w:pPr>
      <w:r w:rsidRPr="00CF40C5">
        <w:t>50.</w:t>
      </w:r>
      <w:r w:rsidRPr="00CF40C5">
        <w:tab/>
        <w:t xml:space="preserve">Миссия установила, что условия содержания под стражей женщин, мужчин и детей, арестованных в связи с протестами, были ужасающими как в официальных, </w:t>
      </w:r>
      <w:r>
        <w:br/>
      </w:r>
      <w:r w:rsidRPr="00CF40C5">
        <w:t xml:space="preserve">так и в неофициальных центрах содержания под стражей по всей стране, что равносильно бесчеловечному, </w:t>
      </w:r>
      <w:r>
        <w:t>неправомерному</w:t>
      </w:r>
      <w:r w:rsidRPr="00CF40C5">
        <w:t xml:space="preserve"> или унижающему достоинство обращению, а в некоторых случаях и пыткам.</w:t>
      </w:r>
    </w:p>
    <w:p w14:paraId="27B49674" w14:textId="77777777" w:rsidR="007D3D4F" w:rsidRPr="00CF40C5" w:rsidRDefault="007D3D4F" w:rsidP="007D3D4F">
      <w:pPr>
        <w:pStyle w:val="SingleTxtG"/>
      </w:pPr>
      <w:r w:rsidRPr="00CF40C5">
        <w:t>51.</w:t>
      </w:r>
      <w:r w:rsidRPr="00CF40C5">
        <w:tab/>
        <w:t>Задержанны</w:t>
      </w:r>
      <w:r>
        <w:t>х</w:t>
      </w:r>
      <w:r w:rsidRPr="00CF40C5">
        <w:t xml:space="preserve"> содержали в переполненных</w:t>
      </w:r>
      <w:r>
        <w:t>, небольших</w:t>
      </w:r>
      <w:r w:rsidRPr="00CF40C5">
        <w:t xml:space="preserve"> и </w:t>
      </w:r>
      <w:r>
        <w:t>грязных</w:t>
      </w:r>
      <w:r w:rsidRPr="00CF40C5">
        <w:t xml:space="preserve"> камерах без постельных принадлежностей, при круглосуточно включенном свете или в полной темноте. Большинство лиц, задержанных в связи с протестами, сообщили, что им предоставляли недостаточное и некачественное питание и воду, отказывали в медицинской помощи или предоставляли только базовые лекарства, даже если у них были серьезные заболевания.</w:t>
      </w:r>
    </w:p>
    <w:p w14:paraId="55FCACCB" w14:textId="77777777" w:rsidR="007D3D4F" w:rsidRPr="00CF40C5" w:rsidRDefault="007D3D4F" w:rsidP="007D3D4F">
      <w:pPr>
        <w:pStyle w:val="H1G"/>
      </w:pPr>
      <w:r w:rsidRPr="00CF40C5">
        <w:tab/>
      </w:r>
      <w:r w:rsidRPr="006D7E0B">
        <w:t>D</w:t>
      </w:r>
      <w:r w:rsidRPr="00CF40C5">
        <w:t>.</w:t>
      </w:r>
      <w:r w:rsidRPr="00CF40C5">
        <w:tab/>
      </w:r>
      <w:r w:rsidRPr="007527E6">
        <w:t>Судебные процессы</w:t>
      </w:r>
    </w:p>
    <w:p w14:paraId="597DBA9E" w14:textId="77777777" w:rsidR="007D3D4F" w:rsidRPr="00CF40C5" w:rsidRDefault="007D3D4F" w:rsidP="007D3D4F">
      <w:pPr>
        <w:pStyle w:val="SingleTxtG"/>
      </w:pPr>
      <w:r w:rsidRPr="00CF40C5">
        <w:t>52.</w:t>
      </w:r>
      <w:r w:rsidRPr="00CF40C5">
        <w:tab/>
        <w:t>Миссия установила факт преследования и наказания лиц за поведение, защи</w:t>
      </w:r>
      <w:r>
        <w:t>щенное законом</w:t>
      </w:r>
      <w:r w:rsidRPr="00CF40C5">
        <w:t xml:space="preserve">, включая участие в мирных протестах, законное выражение несогласия с законами и практикой, дискриминирующими женщин и </w:t>
      </w:r>
      <w:r>
        <w:t>девочек</w:t>
      </w:r>
      <w:r w:rsidRPr="00CF40C5">
        <w:t xml:space="preserve">, танцы и </w:t>
      </w:r>
      <w:r w:rsidRPr="007F17A6">
        <w:t>аплодисмент</w:t>
      </w:r>
      <w:r>
        <w:t>ы</w:t>
      </w:r>
      <w:r w:rsidRPr="007F17A6">
        <w:t xml:space="preserve"> </w:t>
      </w:r>
      <w:r w:rsidRPr="00CF40C5">
        <w:t>под музыку, скандирование лозунгов и размещение информации в социальных сетях в связи с протестами.</w:t>
      </w:r>
    </w:p>
    <w:p w14:paraId="476D1531" w14:textId="77777777" w:rsidR="007D3D4F" w:rsidRPr="00CF40C5" w:rsidRDefault="007D3D4F" w:rsidP="007D3D4F">
      <w:pPr>
        <w:pStyle w:val="SingleTxtG"/>
      </w:pPr>
      <w:r w:rsidRPr="00CF40C5">
        <w:t>53.</w:t>
      </w:r>
      <w:r w:rsidRPr="00CF40C5">
        <w:tab/>
        <w:t xml:space="preserve">Уголовные и революционные суды осудили и приговорили протестующих </w:t>
      </w:r>
      <w:r w:rsidRPr="00CF40C5" w:rsidDel="0074291A">
        <w:t xml:space="preserve">за </w:t>
      </w:r>
      <w:r w:rsidRPr="00CF40C5">
        <w:t xml:space="preserve">эти действия на основании нечетко сформулированных уголовных обвинений, включая </w:t>
      </w:r>
      <w:r>
        <w:t>«</w:t>
      </w:r>
      <w:r w:rsidRPr="00CF40C5">
        <w:t xml:space="preserve">распространение пропаганды </w:t>
      </w:r>
      <w:r>
        <w:t>против существующего строя»</w:t>
      </w:r>
      <w:r w:rsidRPr="00CF40C5">
        <w:t xml:space="preserve">, </w:t>
      </w:r>
      <w:r>
        <w:t>«</w:t>
      </w:r>
      <w:r w:rsidRPr="008B6EE2">
        <w:t>организацию собраний и участие в заговоре с целью подрыва безопасности</w:t>
      </w:r>
      <w:r>
        <w:t>»</w:t>
      </w:r>
      <w:r w:rsidRPr="00CF40C5">
        <w:t xml:space="preserve">, </w:t>
      </w:r>
      <w:r>
        <w:t>«</w:t>
      </w:r>
      <w:r w:rsidRPr="00CF40C5">
        <w:t>нарушение общественного порядка</w:t>
      </w:r>
      <w:r>
        <w:t>»</w:t>
      </w:r>
      <w:r w:rsidRPr="00CF40C5">
        <w:t xml:space="preserve">, </w:t>
      </w:r>
      <w:r>
        <w:t>«</w:t>
      </w:r>
      <w:r w:rsidRPr="00CF40C5">
        <w:t>создание группы или объединения и членство в них с целью подорвать безопасность страны</w:t>
      </w:r>
      <w:r>
        <w:t>»</w:t>
      </w:r>
      <w:r w:rsidRPr="00CF40C5">
        <w:t xml:space="preserve">, </w:t>
      </w:r>
      <w:r>
        <w:t>«</w:t>
      </w:r>
      <w:r w:rsidRPr="00CF40C5">
        <w:t xml:space="preserve">распространение лжи с целью </w:t>
      </w:r>
      <w:r w:rsidRPr="006F1002">
        <w:t xml:space="preserve">вызвать возмущение </w:t>
      </w:r>
      <w:r w:rsidRPr="00CF40C5">
        <w:t>общественно</w:t>
      </w:r>
      <w:r>
        <w:t>го</w:t>
      </w:r>
      <w:r w:rsidRPr="00CF40C5">
        <w:t xml:space="preserve"> мнени</w:t>
      </w:r>
      <w:r>
        <w:t>я»</w:t>
      </w:r>
      <w:r w:rsidRPr="00CF40C5">
        <w:t xml:space="preserve">, </w:t>
      </w:r>
      <w:r>
        <w:t>«</w:t>
      </w:r>
      <w:r w:rsidRPr="00CF40C5">
        <w:t xml:space="preserve">оскорбление </w:t>
      </w:r>
      <w:r>
        <w:t>руководителя»</w:t>
      </w:r>
      <w:r w:rsidRPr="00CF40C5">
        <w:t xml:space="preserve"> и </w:t>
      </w:r>
      <w:r>
        <w:t>«</w:t>
      </w:r>
      <w:r w:rsidRPr="00CF40C5">
        <w:t>оскорбление святынь ислама</w:t>
      </w:r>
      <w:r>
        <w:t>»</w:t>
      </w:r>
      <w:r w:rsidRPr="00CF40C5">
        <w:t>.</w:t>
      </w:r>
    </w:p>
    <w:p w14:paraId="3ED2D1D1" w14:textId="73585D26" w:rsidR="007D3D4F" w:rsidRPr="00CF40C5" w:rsidRDefault="007D3D4F" w:rsidP="007D3D4F">
      <w:pPr>
        <w:pStyle w:val="SingleTxtG"/>
      </w:pPr>
      <w:r w:rsidRPr="00CF40C5">
        <w:t>54.</w:t>
      </w:r>
      <w:r w:rsidRPr="00CF40C5">
        <w:tab/>
        <w:t xml:space="preserve">Такие приговоры стали возможны, в частности, из-за расплывчатых и неопределенных положений об исключениях из конституционно признанных прав и положений Исламского уголовного кодекса, в том числе тех, которые касаются </w:t>
      </w:r>
      <w:r>
        <w:t>«</w:t>
      </w:r>
      <w:r w:rsidRPr="00CF40C5">
        <w:t>оскорбления</w:t>
      </w:r>
      <w:r>
        <w:t>»</w:t>
      </w:r>
      <w:r w:rsidRPr="00CF40C5">
        <w:t xml:space="preserve"> ислама, религиозных деятелей или властей. Такие положения допускают широкое толкование, противоречащее принцип</w:t>
      </w:r>
      <w:r w:rsidR="00C42323">
        <w:t>у</w:t>
      </w:r>
      <w:r w:rsidRPr="00CF40C5">
        <w:t xml:space="preserve"> законности. Они </w:t>
      </w:r>
      <w:r>
        <w:t>обычно</w:t>
      </w:r>
      <w:r w:rsidRPr="00CF40C5">
        <w:t xml:space="preserve"> использ</w:t>
      </w:r>
      <w:r>
        <w:t>уются</w:t>
      </w:r>
      <w:r w:rsidRPr="00CF40C5">
        <w:t xml:space="preserve"> </w:t>
      </w:r>
      <w:r>
        <w:t>по отношению к защите свободы слова</w:t>
      </w:r>
      <w:r w:rsidRPr="00CF40C5">
        <w:t>, для подавления реального или предполагаемого инакомыслия и оппозиции, в том числе в контексте протестов</w:t>
      </w:r>
      <w:r w:rsidRPr="006D7E0B">
        <w:rPr>
          <w:rStyle w:val="FootnoteReference"/>
        </w:rPr>
        <w:footnoteReference w:id="11"/>
      </w:r>
      <w:r>
        <w:t>.</w:t>
      </w:r>
      <w:r w:rsidRPr="00CF40C5">
        <w:t xml:space="preserve"> Некоторые из этих преступлений караются смертной казнью, длительным тюремным заключением или приговорами, которые равносильны пыткам и </w:t>
      </w:r>
      <w:r>
        <w:t>неправомерному</w:t>
      </w:r>
      <w:r w:rsidRPr="00CF40C5">
        <w:t xml:space="preserve"> обращению, например порк</w:t>
      </w:r>
      <w:r>
        <w:t>ой</w:t>
      </w:r>
      <w:r w:rsidRPr="00CF40C5">
        <w:t>.</w:t>
      </w:r>
    </w:p>
    <w:p w14:paraId="38C810AC" w14:textId="77777777" w:rsidR="007D3D4F" w:rsidRPr="00CF40C5" w:rsidRDefault="007D3D4F" w:rsidP="007D3D4F">
      <w:pPr>
        <w:pStyle w:val="SingleTxtG"/>
      </w:pPr>
      <w:r w:rsidRPr="00CF40C5">
        <w:t>55.</w:t>
      </w:r>
      <w:r w:rsidRPr="00CF40C5">
        <w:tab/>
        <w:t xml:space="preserve">В контексте структурного отсутствия независимости и беспристрастности судебной системы миссия установила, что судьи уголовных и революционных судов проявляют явную предвзятость в отношении </w:t>
      </w:r>
      <w:r>
        <w:t xml:space="preserve">участников </w:t>
      </w:r>
      <w:r w:rsidRPr="00CF40C5">
        <w:t>протест</w:t>
      </w:r>
      <w:r>
        <w:t>ов</w:t>
      </w:r>
      <w:r w:rsidRPr="00CF40C5">
        <w:t xml:space="preserve"> и реальной или предполагаемой политической оппозиции, систематически отклоняют жалобы на пытки и </w:t>
      </w:r>
      <w:r>
        <w:t>неправомерное обращение</w:t>
      </w:r>
      <w:r w:rsidRPr="00CF40C5">
        <w:t xml:space="preserve">, а при осуждении </w:t>
      </w:r>
      <w:r>
        <w:t xml:space="preserve">участников </w:t>
      </w:r>
      <w:r w:rsidRPr="00CF40C5">
        <w:t>протест</w:t>
      </w:r>
      <w:r>
        <w:t>ов</w:t>
      </w:r>
      <w:r w:rsidRPr="00CF40C5">
        <w:t xml:space="preserve"> опираются на признания, полученные под пытками. Об отсутствии беспристрастности свидетельствуют также поспешные и суммарные </w:t>
      </w:r>
      <w:r w:rsidRPr="00FB4F67">
        <w:t xml:space="preserve">закрытые </w:t>
      </w:r>
      <w:r w:rsidRPr="00CF40C5">
        <w:t>разбирательства и систематические нарушения гарантий справедливого судебного разбирательства.</w:t>
      </w:r>
    </w:p>
    <w:p w14:paraId="6E3476D7" w14:textId="77777777" w:rsidR="007D3D4F" w:rsidRPr="00CF40C5" w:rsidRDefault="007D3D4F" w:rsidP="007D3D4F">
      <w:pPr>
        <w:pStyle w:val="SingleTxtG"/>
      </w:pPr>
      <w:r w:rsidRPr="00CF40C5">
        <w:t>56.</w:t>
      </w:r>
      <w:r w:rsidRPr="00CF40C5">
        <w:tab/>
      </w:r>
      <w:r w:rsidRPr="00FB4F67">
        <w:t xml:space="preserve">Государственные и аффилированные с государством средства массовой информации обнародовали заявления лиц, </w:t>
      </w:r>
      <w:r>
        <w:t xml:space="preserve">оговоривших </w:t>
      </w:r>
      <w:r w:rsidRPr="00FB4F67">
        <w:t xml:space="preserve">себя и/или других, включая видеозаписи </w:t>
      </w:r>
      <w:r>
        <w:t>«</w:t>
      </w:r>
      <w:r w:rsidRPr="00FB4F67">
        <w:t>признаний</w:t>
      </w:r>
      <w:r>
        <w:t>»</w:t>
      </w:r>
      <w:r w:rsidRPr="00FB4F67">
        <w:t xml:space="preserve"> шести человек, казненных в связи с протестами, которые были показаны в эфире до вынесения им обвинительного приговора. </w:t>
      </w:r>
      <w:r w:rsidRPr="00CF40C5">
        <w:t xml:space="preserve">Во многих случаях </w:t>
      </w:r>
      <w:r>
        <w:t>«</w:t>
      </w:r>
      <w:r w:rsidRPr="00CF40C5">
        <w:t>признания</w:t>
      </w:r>
      <w:r>
        <w:t>»</w:t>
      </w:r>
      <w:r w:rsidRPr="00CF40C5">
        <w:t xml:space="preserve"> были записаны на пленку вскоре после ареста и до начала судебного разбирательства и получены под пытками или другим </w:t>
      </w:r>
      <w:r>
        <w:t>неправомерным способом</w:t>
      </w:r>
      <w:r w:rsidRPr="00CF40C5">
        <w:t xml:space="preserve"> </w:t>
      </w:r>
      <w:r>
        <w:t xml:space="preserve">при </w:t>
      </w:r>
      <w:r w:rsidRPr="00CF40C5">
        <w:t>отсутстви</w:t>
      </w:r>
      <w:r>
        <w:t>и</w:t>
      </w:r>
      <w:r w:rsidRPr="00CF40C5">
        <w:t xml:space="preserve"> адвокатов.</w:t>
      </w:r>
    </w:p>
    <w:p w14:paraId="6DC00692" w14:textId="1FFA69DA" w:rsidR="007D3D4F" w:rsidRPr="00CF40C5" w:rsidRDefault="007D3D4F" w:rsidP="007D3D4F">
      <w:pPr>
        <w:pStyle w:val="SingleTxtG"/>
      </w:pPr>
      <w:r w:rsidRPr="00CF40C5">
        <w:lastRenderedPageBreak/>
        <w:t>57.</w:t>
      </w:r>
      <w:r w:rsidRPr="00CF40C5">
        <w:tab/>
        <w:t xml:space="preserve">Подавляющее большинство задержанных не имели доступа к адвокату в течение всего расследования. Тем, </w:t>
      </w:r>
      <w:r>
        <w:t>у кого он был</w:t>
      </w:r>
      <w:r w:rsidRPr="00A50C2F">
        <w:t>,</w:t>
      </w:r>
      <w:r w:rsidRPr="00CF40C5">
        <w:t xml:space="preserve"> регулярно отказывали в доступе к независимо назначенным адвокатам, в том числе во время судебного разбирательства. Миссия также установила, что ограниченное число адвокатов в списке, утвержденном главой судебной власти в некоторых провинциях, их тесные связи с судебными властями и предвзятое отношение некоторых из них к </w:t>
      </w:r>
      <w:r>
        <w:t xml:space="preserve">участникам </w:t>
      </w:r>
      <w:r w:rsidRPr="00CF40C5">
        <w:t>протест</w:t>
      </w:r>
      <w:r>
        <w:t>ов</w:t>
      </w:r>
      <w:r w:rsidRPr="00CF40C5">
        <w:t xml:space="preserve"> также способствовали ущемлению права последних на защиту. Некоторые из них были представлены адвокатами по собственному выбору только на стадии апелляции, после вынесения решения.</w:t>
      </w:r>
    </w:p>
    <w:p w14:paraId="7AC9019A" w14:textId="351574CD" w:rsidR="007D3D4F" w:rsidRPr="00CF40C5" w:rsidRDefault="007D3D4F" w:rsidP="007D3D4F">
      <w:pPr>
        <w:pStyle w:val="SingleTxtG"/>
      </w:pPr>
      <w:r w:rsidRPr="00CF40C5">
        <w:t>58.</w:t>
      </w:r>
      <w:r w:rsidRPr="00CF40C5">
        <w:tab/>
        <w:t>Лица, подвергшиеся уголовному преследованию, как правило, не имели доступа к материалам своих дел во время следствия, что лишало их возможности подготовить свою защиту</w:t>
      </w:r>
      <w:r w:rsidRPr="006D7E0B">
        <w:rPr>
          <w:rStyle w:val="FootnoteReference"/>
        </w:rPr>
        <w:footnoteReference w:id="12"/>
      </w:r>
      <w:r>
        <w:t>.</w:t>
      </w:r>
      <w:r w:rsidRPr="00CF40C5">
        <w:t xml:space="preserve"> В некоторых случаях </w:t>
      </w:r>
      <w:r>
        <w:t xml:space="preserve">участников </w:t>
      </w:r>
      <w:r w:rsidRPr="00CF40C5">
        <w:t>протест</w:t>
      </w:r>
      <w:r>
        <w:t>ов</w:t>
      </w:r>
      <w:r w:rsidRPr="00CF40C5">
        <w:t xml:space="preserve"> судили в двух параллельных процессах за одно и то же деяние, в котором их обвиняли: один раз в уголовном суде и один раз в революционном суде.</w:t>
      </w:r>
    </w:p>
    <w:p w14:paraId="0C4F66D0" w14:textId="77777777" w:rsidR="007D3D4F" w:rsidRPr="00CF40C5" w:rsidRDefault="007D3D4F" w:rsidP="007D3D4F">
      <w:pPr>
        <w:pStyle w:val="SingleTxtG"/>
      </w:pPr>
      <w:r w:rsidRPr="00CF40C5">
        <w:t>59.</w:t>
      </w:r>
      <w:r w:rsidRPr="00CF40C5">
        <w:tab/>
      </w:r>
      <w:r w:rsidRPr="005C5742">
        <w:t xml:space="preserve">Судебные слушания часто проводились за закрытыми дверями, и членам семей и независимо назначенным адвокатам обычно отказывали в доступе. </w:t>
      </w:r>
      <w:r>
        <w:t>Участников п</w:t>
      </w:r>
      <w:r w:rsidRPr="00CF40C5">
        <w:t>ротест</w:t>
      </w:r>
      <w:r>
        <w:t>ов</w:t>
      </w:r>
      <w:r w:rsidRPr="00CF40C5">
        <w:t xml:space="preserve"> судили в порядке упрощенного судопроизводства, явно стремясь удержать других от </w:t>
      </w:r>
      <w:r>
        <w:t xml:space="preserve">участия в </w:t>
      </w:r>
      <w:r w:rsidRPr="00CF40C5">
        <w:t>протест</w:t>
      </w:r>
      <w:r>
        <w:t>ах</w:t>
      </w:r>
      <w:r w:rsidRPr="00CF40C5">
        <w:t>. В большинстве случаев проводилось только одно судебное заседание, иногда длившееся всего несколько минут, и в отсутствие свидетелей</w:t>
      </w:r>
      <w:r>
        <w:t xml:space="preserve"> защиты</w:t>
      </w:r>
      <w:r w:rsidRPr="00CF40C5">
        <w:t>.</w:t>
      </w:r>
    </w:p>
    <w:p w14:paraId="5D27E266" w14:textId="132EBD22" w:rsidR="007D3D4F" w:rsidRPr="00CF40C5" w:rsidRDefault="007D3D4F" w:rsidP="007D3D4F">
      <w:pPr>
        <w:pStyle w:val="SingleTxtG"/>
      </w:pPr>
      <w:r w:rsidRPr="00CF40C5">
        <w:t>60.</w:t>
      </w:r>
      <w:r w:rsidRPr="00CF40C5">
        <w:tab/>
        <w:t xml:space="preserve">Миссия выявила практику вынесения постановлений о приостановлении уголовного преследования и условных приговоров с целью создания сдерживающего фактора для протестов или выражения инакомыслия. </w:t>
      </w:r>
      <w:bookmarkStart w:id="10" w:name="_Hlk156618678"/>
      <w:r w:rsidRPr="00CF40C5">
        <w:t>5</w:t>
      </w:r>
      <w:r>
        <w:t> февраля</w:t>
      </w:r>
      <w:r w:rsidRPr="00CF40C5">
        <w:t xml:space="preserve"> 2023</w:t>
      </w:r>
      <w:r>
        <w:t> года</w:t>
      </w:r>
      <w:r w:rsidRPr="00CF40C5">
        <w:t xml:space="preserve"> судебные органы объявили предварительные условия для предоставления государственного помилования, которые включали требование о признании вины и выражении раскаяния даже для тех, кто не был осужден ни за одно преступление, в нарушение их права на презумпцию невиновности</w:t>
      </w:r>
      <w:bookmarkEnd w:id="10"/>
      <w:r w:rsidRPr="006D7E0B">
        <w:rPr>
          <w:rStyle w:val="FootnoteReference"/>
        </w:rPr>
        <w:footnoteReference w:id="13"/>
      </w:r>
      <w:r>
        <w:t>.</w:t>
      </w:r>
    </w:p>
    <w:p w14:paraId="5E253CAB" w14:textId="77777777" w:rsidR="007D3D4F" w:rsidRPr="00CF40C5" w:rsidRDefault="007D3D4F" w:rsidP="007D3D4F">
      <w:pPr>
        <w:pStyle w:val="H1G"/>
      </w:pPr>
      <w:r w:rsidRPr="00CF40C5">
        <w:tab/>
      </w:r>
      <w:r w:rsidRPr="006D7E0B">
        <w:t>E</w:t>
      </w:r>
      <w:r w:rsidRPr="00CF40C5">
        <w:t>.</w:t>
      </w:r>
      <w:r w:rsidRPr="00CF40C5">
        <w:tab/>
        <w:t>Применение смертной казни в контексте протестов</w:t>
      </w:r>
    </w:p>
    <w:p w14:paraId="55954F40" w14:textId="77777777" w:rsidR="007D3D4F" w:rsidRPr="00CF40C5" w:rsidRDefault="007D3D4F" w:rsidP="007D3D4F">
      <w:pPr>
        <w:pStyle w:val="SingleTxtG"/>
      </w:pPr>
      <w:r w:rsidRPr="00CF40C5" w:rsidDel="003C7A09">
        <w:t>61.</w:t>
      </w:r>
      <w:r w:rsidRPr="00CF40C5" w:rsidDel="003C7A09">
        <w:tab/>
      </w:r>
      <w:r w:rsidRPr="00CF40C5">
        <w:t xml:space="preserve">Хотя правительство не предоставило никакой информации о количестве смертных приговоров, вынесенных </w:t>
      </w:r>
      <w:r>
        <w:t xml:space="preserve">участникам </w:t>
      </w:r>
      <w:r w:rsidRPr="00CF40C5">
        <w:t>протест</w:t>
      </w:r>
      <w:r>
        <w:t>ов</w:t>
      </w:r>
      <w:r w:rsidRPr="00CF40C5">
        <w:t>, есть достоверная информация о том, что по состоянию на январь 2024</w:t>
      </w:r>
      <w:r>
        <w:t> года</w:t>
      </w:r>
      <w:r w:rsidRPr="00CF40C5">
        <w:t xml:space="preserve"> суды вынесли смертные приговоры по меньшей мере 28</w:t>
      </w:r>
      <w:r>
        <w:t> </w:t>
      </w:r>
      <w:r w:rsidRPr="00CF40C5">
        <w:t>лицам в связи с протестами. Из этих 28</w:t>
      </w:r>
      <w:r>
        <w:t> </w:t>
      </w:r>
      <w:r w:rsidRPr="00CF40C5">
        <w:t>человек 9</w:t>
      </w:r>
      <w:r>
        <w:t> </w:t>
      </w:r>
      <w:r w:rsidRPr="00CF40C5">
        <w:t>молодых людей были казнены в декабре 2022</w:t>
      </w:r>
      <w:r>
        <w:t> года</w:t>
      </w:r>
      <w:r w:rsidRPr="00CF40C5">
        <w:t xml:space="preserve">, </w:t>
      </w:r>
      <w:r>
        <w:t xml:space="preserve">в </w:t>
      </w:r>
      <w:r w:rsidRPr="00CF40C5">
        <w:t>январе, мае, ноябре и декабре 2023</w:t>
      </w:r>
      <w:r>
        <w:t> года</w:t>
      </w:r>
      <w:r w:rsidRPr="00CF40C5">
        <w:t xml:space="preserve"> и </w:t>
      </w:r>
      <w:r>
        <w:t xml:space="preserve">в </w:t>
      </w:r>
      <w:r w:rsidRPr="00CF40C5">
        <w:t>январе 2024</w:t>
      </w:r>
      <w:r>
        <w:t> года</w:t>
      </w:r>
      <w:r w:rsidRPr="00CF40C5">
        <w:t>, а еще как минимум 6</w:t>
      </w:r>
      <w:r>
        <w:t> </w:t>
      </w:r>
      <w:r w:rsidRPr="00CF40C5">
        <w:t>человек, по сообщениям, оставались приговоренными к смертной казни, причем некоторым из них на момент подготовки настоящего документа грозила неминуемая казнь. Миссия зафиксировала данные</w:t>
      </w:r>
      <w:r>
        <w:t>, касающиеся</w:t>
      </w:r>
      <w:r w:rsidRPr="00CF40C5">
        <w:t xml:space="preserve"> более 100</w:t>
      </w:r>
      <w:r>
        <w:t> </w:t>
      </w:r>
      <w:r w:rsidRPr="00CF40C5">
        <w:t>человек, включая 5</w:t>
      </w:r>
      <w:r>
        <w:t> </w:t>
      </w:r>
      <w:r w:rsidRPr="00CF40C5">
        <w:t xml:space="preserve">женщин, которым, как сообщается, были предъявлены обвинения в преступлениях, связанных с протестами, за которые потенциально может быть вынесен смертный приговор. </w:t>
      </w:r>
      <w:bookmarkStart w:id="11" w:name="_Hlk150865395"/>
      <w:bookmarkEnd w:id="11"/>
      <w:r w:rsidRPr="00CF40C5">
        <w:t xml:space="preserve">Судебные разбирательства в отношении девяти казненных были отмечены серьезными нарушениями их прав на справедливое судебное разбирательство и надлежащую правовую процедуру. Другие были осуждены за преступления, которые либо не </w:t>
      </w:r>
      <w:r>
        <w:t xml:space="preserve">входят в </w:t>
      </w:r>
      <w:r w:rsidRPr="00CF40C5">
        <w:t xml:space="preserve">категорию наиболее тяжких, либо подпадают под </w:t>
      </w:r>
      <w:r>
        <w:t xml:space="preserve">пользующиеся </w:t>
      </w:r>
      <w:r w:rsidRPr="00CF40C5">
        <w:t>защит</w:t>
      </w:r>
      <w:r>
        <w:t>ой</w:t>
      </w:r>
      <w:r w:rsidRPr="00CF40C5">
        <w:t xml:space="preserve"> прав</w:t>
      </w:r>
      <w:r>
        <w:t>а</w:t>
      </w:r>
      <w:r w:rsidRPr="00CF40C5">
        <w:t xml:space="preserve">. </w:t>
      </w:r>
      <w:r w:rsidRPr="00030F42">
        <w:t>Одним из примеров может служить Джавад Рухи, которому было вынесено три смертных приговора, в том числе по обвинению в «вероотступничестве», все из которых были отменены до того, как он умер в заключении 31 августа 2023 года, после заслуживающих доверия обвинений в пытках.</w:t>
      </w:r>
    </w:p>
    <w:p w14:paraId="5C0E3000" w14:textId="18DF6DF9" w:rsidR="007D3D4F" w:rsidRPr="00CF40C5" w:rsidRDefault="007D3D4F" w:rsidP="007D3D4F">
      <w:pPr>
        <w:pStyle w:val="SingleTxtG"/>
      </w:pPr>
      <w:bookmarkStart w:id="12" w:name="_Hlk156619087"/>
      <w:r w:rsidRPr="00CF40C5">
        <w:t>62.</w:t>
      </w:r>
      <w:r w:rsidRPr="00CF40C5">
        <w:tab/>
      </w:r>
      <w:r w:rsidRPr="00C467F6">
        <w:t xml:space="preserve">Миссия установила, что судебные разбирательства, приведшие к вынесению смертных приговоров, проводились в упрощенном порядке на фоне неоднократных призывов государственных властей ускорить судебные процессы и привести в </w:t>
      </w:r>
      <w:r w:rsidRPr="00C467F6">
        <w:lastRenderedPageBreak/>
        <w:t>исполнение смертные приговоры</w:t>
      </w:r>
      <w:r w:rsidRPr="006D7E0B">
        <w:rPr>
          <w:rStyle w:val="FootnoteReference"/>
        </w:rPr>
        <w:footnoteReference w:id="14"/>
      </w:r>
      <w:r>
        <w:t>.</w:t>
      </w:r>
      <w:r w:rsidRPr="00CF40C5">
        <w:t xml:space="preserve"> </w:t>
      </w:r>
      <w:bookmarkEnd w:id="12"/>
      <w:r w:rsidRPr="00FA6FB3">
        <w:t xml:space="preserve">Власти также казнили лиц, осужденных за преступления, караемые смертной казнью, спустя всего несколько недель после их ареста и/или даты вынесения приговора. </w:t>
      </w:r>
      <w:r w:rsidRPr="00CF40C5">
        <w:t xml:space="preserve">Публичная казнь Маджидрезы Рахнаварда </w:t>
      </w:r>
      <w:r w:rsidR="00B04920">
        <w:br/>
      </w:r>
      <w:r w:rsidRPr="00CF40C5">
        <w:t>в декабре 2022</w:t>
      </w:r>
      <w:r>
        <w:t> года</w:t>
      </w:r>
      <w:r w:rsidRPr="00CF40C5">
        <w:t>, вторая за двухлетний перерыв в публичных казнях, была проведена всего через три недели после его ареста. Аналогичным образом, Мохаммад Мехди Карами и Сейед Мохаммад Хоссейни были казнены всего через два месяца после совершения преступлений, в которых они обвинялись.</w:t>
      </w:r>
    </w:p>
    <w:p w14:paraId="27546377" w14:textId="77777777" w:rsidR="007D3D4F" w:rsidRPr="00CF40C5" w:rsidRDefault="007D3D4F" w:rsidP="007D3D4F">
      <w:pPr>
        <w:pStyle w:val="SingleTxtG"/>
      </w:pPr>
      <w:bookmarkStart w:id="13" w:name="_Hlk152822352"/>
      <w:bookmarkEnd w:id="13"/>
      <w:r w:rsidRPr="00CF40C5">
        <w:t>63.</w:t>
      </w:r>
      <w:r w:rsidRPr="00CF40C5">
        <w:tab/>
      </w:r>
      <w:r w:rsidRPr="0075195E">
        <w:t>Суды</w:t>
      </w:r>
      <w:r w:rsidRPr="00CF40C5">
        <w:t xml:space="preserve"> опирались на признания, полученные под пытками и </w:t>
      </w:r>
      <w:r>
        <w:t>с помощью</w:t>
      </w:r>
      <w:r w:rsidRPr="00CF40C5">
        <w:t xml:space="preserve"> </w:t>
      </w:r>
      <w:r>
        <w:t xml:space="preserve">неправомерного </w:t>
      </w:r>
      <w:r w:rsidRPr="00CF40C5">
        <w:t>обращени</w:t>
      </w:r>
      <w:r>
        <w:t>я</w:t>
      </w:r>
      <w:r w:rsidRPr="00CF40C5">
        <w:t>. Власти не проводили расследований по делам, в которых обвиняемые отказались от самооговоров в суде и в которых обвиняемыми, их адвокатами и членами их семей были высказаны, в том числе публично,</w:t>
      </w:r>
      <w:r>
        <w:t xml:space="preserve"> </w:t>
      </w:r>
      <w:r w:rsidRPr="00CF40C5">
        <w:t xml:space="preserve">обвинения в применении пыток и принуждении к признанию. </w:t>
      </w:r>
      <w:r w:rsidRPr="0075195E">
        <w:t>В случаях, когда поступали заявления о пытках и принуждении к признанию, власти приводили в исполнение смертные приговоры, не проводя никаких расследований.</w:t>
      </w:r>
    </w:p>
    <w:p w14:paraId="6B78A28C" w14:textId="77777777" w:rsidR="007D3D4F" w:rsidRPr="00CF40C5" w:rsidRDefault="007D3D4F" w:rsidP="007D3D4F">
      <w:pPr>
        <w:pStyle w:val="SingleTxtG"/>
        <w:rPr>
          <w:lang w:bidi="ar-LB"/>
        </w:rPr>
      </w:pPr>
      <w:r w:rsidRPr="00CF40C5">
        <w:t>64.</w:t>
      </w:r>
      <w:r w:rsidRPr="00CF40C5">
        <w:tab/>
        <w:t xml:space="preserve">Миссия установила, что казни Мохсена Шекари, Маджирдрезы Рахнаварда, Мохаммада Мехди Карами, Сейеда Мохаммада Хоссейни, Маджида Каземи, Саида Ягуби, Салеха Мирхашеми, Милада Зохреванда и Мохаммада Гобадлу, совершенные после </w:t>
      </w:r>
      <w:r w:rsidRPr="00FE1313">
        <w:t>упрощенной процедуры</w:t>
      </w:r>
      <w:r>
        <w:t xml:space="preserve"> </w:t>
      </w:r>
      <w:r w:rsidRPr="00CF40C5">
        <w:t xml:space="preserve">и без справедливого судебного разбирательства и надлежащих процессуальных гарантий, представляют собой незаконное и произвольное лишение их права на жизнь и нарушают </w:t>
      </w:r>
      <w:r w:rsidRPr="00CF40C5">
        <w:rPr>
          <w:lang w:bidi="ar-LB"/>
        </w:rPr>
        <w:t xml:space="preserve">запрет на применение пыток и </w:t>
      </w:r>
      <w:r>
        <w:rPr>
          <w:lang w:bidi="ar-LB"/>
        </w:rPr>
        <w:t>неправомерного</w:t>
      </w:r>
      <w:r w:rsidRPr="00CF40C5">
        <w:rPr>
          <w:lang w:bidi="ar-LB"/>
        </w:rPr>
        <w:t xml:space="preserve"> обращения.</w:t>
      </w:r>
    </w:p>
    <w:p w14:paraId="0E00B84B" w14:textId="77777777" w:rsidR="007D3D4F" w:rsidRPr="00CF40C5" w:rsidRDefault="007D3D4F" w:rsidP="007D3D4F">
      <w:pPr>
        <w:pStyle w:val="H1G"/>
      </w:pPr>
      <w:r w:rsidRPr="00CF40C5">
        <w:tab/>
      </w:r>
      <w:r w:rsidRPr="006D7E0B">
        <w:t>F</w:t>
      </w:r>
      <w:r w:rsidRPr="00CF40C5">
        <w:t>.</w:t>
      </w:r>
      <w:r w:rsidRPr="00CF40C5">
        <w:tab/>
        <w:t>Члены семьи</w:t>
      </w:r>
    </w:p>
    <w:p w14:paraId="4CAACA38" w14:textId="77777777" w:rsidR="007D3D4F" w:rsidRPr="00CF40C5" w:rsidRDefault="007D3D4F" w:rsidP="007D3D4F">
      <w:pPr>
        <w:pStyle w:val="SingleTxtG"/>
      </w:pPr>
      <w:r w:rsidRPr="00CF40C5">
        <w:t>65.</w:t>
      </w:r>
      <w:r w:rsidRPr="00CF40C5">
        <w:tab/>
        <w:t xml:space="preserve">Государственные власти предприняли согласованные действия, чтобы скрыть правду об убитых </w:t>
      </w:r>
      <w:r>
        <w:t xml:space="preserve">участниках </w:t>
      </w:r>
      <w:r w:rsidRPr="00CF40C5">
        <w:t>протест</w:t>
      </w:r>
      <w:r>
        <w:t>ов</w:t>
      </w:r>
      <w:r w:rsidRPr="00CF40C5">
        <w:t xml:space="preserve"> и заставить замолчать их семьи. Семьи подвергались преследованиям после того, как они рассказывали, в том числе в средствах массовой информации, об убийствах или ранениях своих близких, проводили поминальные мероприятия или подавали официальные жалобы. Преследования усиливались непосредственно перед традиционными траурными ритуалами, проводимыми на третий и сороковой день после смерти и в дни рождения погибших, когда семьи пытались собраться на местах захоронений.</w:t>
      </w:r>
    </w:p>
    <w:p w14:paraId="4F1CB04B" w14:textId="77777777" w:rsidR="007D3D4F" w:rsidRPr="00CF40C5" w:rsidRDefault="007D3D4F" w:rsidP="007D3D4F">
      <w:pPr>
        <w:pStyle w:val="SingleTxtG"/>
      </w:pPr>
      <w:r w:rsidRPr="00CF40C5">
        <w:t>66.</w:t>
      </w:r>
      <w:r w:rsidRPr="00CF40C5">
        <w:tab/>
        <w:t xml:space="preserve">Государственные власти угрожали скорбящим семьям захоронением тел их близких в неустановленных местах, если семьи не будут хранить молчание и соблюдать жесткие ограничения на похороны и поминки. На семьи оказывалось давление, чтобы они хоронили своих близких быстро, </w:t>
      </w:r>
      <w:r w:rsidRPr="00CF40C5">
        <w:rPr>
          <w:lang w:bidi="ar-LB"/>
        </w:rPr>
        <w:t xml:space="preserve">без похоронных церемоний и </w:t>
      </w:r>
      <w:r w:rsidRPr="00CF40C5">
        <w:t xml:space="preserve">в присутствии только ближайших родственников, при этом запрещалось скандировать лозунги. Во многих случаях на церемониях похорон присутствовали сотрудники служб безопасности и разведки. </w:t>
      </w:r>
      <w:r>
        <w:t xml:space="preserve">Сотрудники </w:t>
      </w:r>
      <w:r w:rsidRPr="00C00674">
        <w:t>государственной безопасности совершали налеты на дома родственников или кладбища, применяли насилие, наносили ранения, арестовывали и задерживали членов семей жертв и других участников траурных мероприятий.</w:t>
      </w:r>
    </w:p>
    <w:p w14:paraId="1AA400F2" w14:textId="77777777" w:rsidR="007D3D4F" w:rsidRPr="00CF40C5" w:rsidRDefault="007D3D4F" w:rsidP="007D3D4F">
      <w:pPr>
        <w:pStyle w:val="SingleTxtG"/>
      </w:pPr>
      <w:r w:rsidRPr="00CF40C5">
        <w:t>67.</w:t>
      </w:r>
      <w:r w:rsidRPr="00CF40C5">
        <w:tab/>
        <w:t xml:space="preserve">В ряде случаев должностные лица принуждали семьи </w:t>
      </w:r>
      <w:r>
        <w:t>участников протестов</w:t>
      </w:r>
      <w:r w:rsidRPr="00CF40C5">
        <w:t xml:space="preserve"> записывать на видео </w:t>
      </w:r>
      <w:r>
        <w:t>«</w:t>
      </w:r>
      <w:r w:rsidRPr="00CF40C5">
        <w:t>интервью</w:t>
      </w:r>
      <w:r>
        <w:t>»</w:t>
      </w:r>
      <w:r w:rsidRPr="00CF40C5">
        <w:t xml:space="preserve"> или подписывать заявления о том, что их близкие были убиты </w:t>
      </w:r>
      <w:r>
        <w:t>«</w:t>
      </w:r>
      <w:r w:rsidRPr="00CF40C5">
        <w:t>бунтовщиками</w:t>
      </w:r>
      <w:r>
        <w:t>»</w:t>
      </w:r>
      <w:r w:rsidRPr="00CF40C5">
        <w:t xml:space="preserve"> или </w:t>
      </w:r>
      <w:r>
        <w:t>«</w:t>
      </w:r>
      <w:r w:rsidRPr="00CF40C5">
        <w:t>оппозиционными группами</w:t>
      </w:r>
      <w:r>
        <w:t>»</w:t>
      </w:r>
      <w:r w:rsidRPr="00CF40C5">
        <w:t xml:space="preserve">. Кроме того, государственные власти вызывали членов семей на допрос, арестовывали, задерживали </w:t>
      </w:r>
      <w:r>
        <w:t xml:space="preserve">их </w:t>
      </w:r>
      <w:r w:rsidRPr="00CF40C5">
        <w:t xml:space="preserve">и предъявляли им обвинения или преследовали </w:t>
      </w:r>
      <w:r>
        <w:t xml:space="preserve">их </w:t>
      </w:r>
      <w:r w:rsidRPr="00CF40C5">
        <w:t>в судебном порядке за нечетко</w:t>
      </w:r>
      <w:r w:rsidRPr="00DD0E5B">
        <w:t xml:space="preserve"> </w:t>
      </w:r>
      <w:r w:rsidRPr="00CF40C5">
        <w:t xml:space="preserve">сформулированные преступления против национальной безопасности, приговаривая к тюремному заключению и порке. Государственные власти также преследовали и запугивали некоторых членов семей жертв, заставляя их изменить изображения и слова, выгравированные на надгробиях убитых </w:t>
      </w:r>
      <w:r>
        <w:t>участников протестов</w:t>
      </w:r>
      <w:r w:rsidRPr="00CF40C5">
        <w:t xml:space="preserve">. Могилы повреждали, </w:t>
      </w:r>
      <w:r>
        <w:t>портили</w:t>
      </w:r>
      <w:r w:rsidRPr="00CF40C5">
        <w:t xml:space="preserve"> или разрушали, стира</w:t>
      </w:r>
      <w:r>
        <w:t>я</w:t>
      </w:r>
      <w:r w:rsidRPr="00CF40C5">
        <w:t xml:space="preserve"> упоминания о движении </w:t>
      </w:r>
      <w:r>
        <w:t>«</w:t>
      </w:r>
      <w:r w:rsidRPr="00CF40C5">
        <w:t>Женщина, жизнь, свобода</w:t>
      </w:r>
      <w:r>
        <w:t>»</w:t>
      </w:r>
      <w:r w:rsidRPr="00CF40C5">
        <w:t>.</w:t>
      </w:r>
    </w:p>
    <w:p w14:paraId="20C4F345" w14:textId="77777777" w:rsidR="007D3D4F" w:rsidRPr="00CF40C5" w:rsidRDefault="007D3D4F" w:rsidP="007D3D4F">
      <w:pPr>
        <w:pStyle w:val="HChG"/>
      </w:pPr>
      <w:bookmarkStart w:id="14" w:name="_Hlk155249743"/>
      <w:r w:rsidRPr="00CF40C5">
        <w:lastRenderedPageBreak/>
        <w:tab/>
      </w:r>
      <w:r w:rsidRPr="006D7E0B">
        <w:t>VI</w:t>
      </w:r>
      <w:r w:rsidRPr="00CF40C5">
        <w:t>.</w:t>
      </w:r>
      <w:r w:rsidRPr="00CF40C5">
        <w:tab/>
        <w:t xml:space="preserve">Репрессии, связанные с протестами и поддержкой движения </w:t>
      </w:r>
      <w:r>
        <w:t>«</w:t>
      </w:r>
      <w:r w:rsidRPr="00CF40C5">
        <w:t>Женщина, жизнь, свобода</w:t>
      </w:r>
      <w:r>
        <w:t>»</w:t>
      </w:r>
    </w:p>
    <w:bookmarkEnd w:id="14"/>
    <w:p w14:paraId="3EB5701D" w14:textId="77777777" w:rsidR="007D3D4F" w:rsidRPr="00CF40C5" w:rsidRDefault="007D3D4F" w:rsidP="007D3D4F">
      <w:pPr>
        <w:pStyle w:val="H1G"/>
      </w:pPr>
      <w:r w:rsidRPr="00CF40C5">
        <w:tab/>
        <w:t>А.</w:t>
      </w:r>
      <w:r>
        <w:tab/>
      </w:r>
      <w:r w:rsidRPr="00CF40C5">
        <w:t xml:space="preserve">Женщины и </w:t>
      </w:r>
      <w:r>
        <w:t>девочки</w:t>
      </w:r>
      <w:r w:rsidRPr="00CF40C5">
        <w:t xml:space="preserve">, </w:t>
      </w:r>
      <w:r>
        <w:t>игнорирующие</w:t>
      </w:r>
      <w:r w:rsidRPr="00CF40C5">
        <w:t xml:space="preserve"> закон</w:t>
      </w:r>
      <w:r>
        <w:t>ы</w:t>
      </w:r>
      <w:r w:rsidRPr="00CF40C5">
        <w:t xml:space="preserve"> о хиджабе</w:t>
      </w:r>
    </w:p>
    <w:p w14:paraId="519ADE67" w14:textId="42697F93" w:rsidR="007D3D4F" w:rsidRPr="00CF40C5" w:rsidRDefault="007D3D4F" w:rsidP="007D3D4F">
      <w:pPr>
        <w:pStyle w:val="SingleTxtG"/>
      </w:pPr>
      <w:r w:rsidRPr="00CF40C5">
        <w:t>68.</w:t>
      </w:r>
      <w:r w:rsidRPr="00CF40C5">
        <w:tab/>
        <w:t>После гибели</w:t>
      </w:r>
      <w:r>
        <w:t xml:space="preserve"> </w:t>
      </w:r>
      <w:r w:rsidRPr="00CF40C5">
        <w:t xml:space="preserve">г-жи Амини женщины и </w:t>
      </w:r>
      <w:r>
        <w:t>девочки</w:t>
      </w:r>
      <w:r w:rsidRPr="00CF40C5">
        <w:t xml:space="preserve"> все чаще </w:t>
      </w:r>
      <w:r>
        <w:t>игнорируют</w:t>
      </w:r>
      <w:r w:rsidRPr="00CF40C5">
        <w:t xml:space="preserve"> закон</w:t>
      </w:r>
      <w:r>
        <w:t>ы</w:t>
      </w:r>
      <w:r w:rsidRPr="00CF40C5">
        <w:t xml:space="preserve"> об обязательном ношении хиджаба, выступая против глубоко укоренившейся гендерной дискриминации в законодательстве и на практике. Миссия установила, что с декабря 2022</w:t>
      </w:r>
      <w:r>
        <w:t> года</w:t>
      </w:r>
      <w:r w:rsidRPr="00CF40C5">
        <w:t xml:space="preserve"> государственные власти приняли новые меры по усилению контроля за соблюдением этих законов и постановлений, затрагивающих основные свободы</w:t>
      </w:r>
      <w:r>
        <w:t> —</w:t>
      </w:r>
      <w:r w:rsidRPr="00CF40C5">
        <w:t xml:space="preserve"> выражения мнений, религии или убеждений</w:t>
      </w:r>
      <w:r w:rsidR="00B04920" w:rsidRPr="00B04920">
        <w:t xml:space="preserve"> </w:t>
      </w:r>
      <w:r>
        <w:t>—</w:t>
      </w:r>
      <w:r w:rsidRPr="00CF40C5">
        <w:t xml:space="preserve"> и автономи</w:t>
      </w:r>
      <w:r>
        <w:t>ю</w:t>
      </w:r>
      <w:r w:rsidRPr="00CF40C5">
        <w:t xml:space="preserve"> женщин и </w:t>
      </w:r>
      <w:r>
        <w:t>девочек</w:t>
      </w:r>
      <w:r w:rsidRPr="00CF40C5">
        <w:t xml:space="preserve">, </w:t>
      </w:r>
      <w:r w:rsidR="00B04920">
        <w:br/>
      </w:r>
      <w:r w:rsidRPr="00CF40C5">
        <w:t xml:space="preserve">а также их доступ к образованию, здравоохранению и средствам к существованию. </w:t>
      </w:r>
      <w:r w:rsidRPr="00467E02">
        <w:t xml:space="preserve">Ужесточение наказания за несоблюдение норм происходит на фоне более широкой кампании преследования, запугивания, слежки и насилия, проводимой против тех женщин и </w:t>
      </w:r>
      <w:r>
        <w:t>девочек</w:t>
      </w:r>
      <w:r w:rsidRPr="00467E02">
        <w:t>, которые публично бросают вызов этим нормам, и тех, кто их поддерживает, особенно мужчин.</w:t>
      </w:r>
    </w:p>
    <w:p w14:paraId="3D52F567" w14:textId="77777777" w:rsidR="007D3D4F" w:rsidRPr="00CF40C5" w:rsidRDefault="007D3D4F" w:rsidP="007D3D4F">
      <w:pPr>
        <w:pStyle w:val="SingleTxtG"/>
      </w:pPr>
      <w:r w:rsidRPr="00CF40C5">
        <w:t>69.</w:t>
      </w:r>
      <w:r w:rsidRPr="00CF40C5">
        <w:tab/>
      </w:r>
      <w:r w:rsidRPr="00561441">
        <w:t>Несмотря на появившиеся в декабре 2022</w:t>
      </w:r>
      <w:r>
        <w:t> </w:t>
      </w:r>
      <w:r w:rsidRPr="00561441">
        <w:t>года сообщения о расформировании полиции нравов, впоследствии опровергнутые официальными государственными СМИ, 17</w:t>
      </w:r>
      <w:r>
        <w:t> </w:t>
      </w:r>
      <w:r w:rsidRPr="00561441">
        <w:t>июля 2023</w:t>
      </w:r>
      <w:r>
        <w:t> </w:t>
      </w:r>
      <w:r w:rsidRPr="00561441">
        <w:t>года представитель Командовани</w:t>
      </w:r>
      <w:r>
        <w:t>я</w:t>
      </w:r>
      <w:r w:rsidRPr="00561441">
        <w:t xml:space="preserve"> правоохранительных органов Исламской Республики Иран объявил о развертывании пеших и автомобильных патрулей и пригрозил женщин</w:t>
      </w:r>
      <w:r>
        <w:t>ам</w:t>
      </w:r>
      <w:r w:rsidRPr="00561441">
        <w:t xml:space="preserve"> и дев</w:t>
      </w:r>
      <w:r>
        <w:t>очкам</w:t>
      </w:r>
      <w:r w:rsidRPr="00561441">
        <w:t>, которые не соблюда</w:t>
      </w:r>
      <w:r>
        <w:t>ют</w:t>
      </w:r>
      <w:r w:rsidRPr="00561441">
        <w:t xml:space="preserve"> законы об обязательном ношении хиджаба, что они будут «</w:t>
      </w:r>
      <w:r>
        <w:t xml:space="preserve">переданы в руки </w:t>
      </w:r>
      <w:r w:rsidRPr="00561441">
        <w:t>судебны</w:t>
      </w:r>
      <w:r>
        <w:t>х</w:t>
      </w:r>
      <w:r w:rsidRPr="00561441">
        <w:t xml:space="preserve"> орган</w:t>
      </w:r>
      <w:r>
        <w:t>ов</w:t>
      </w:r>
      <w:r w:rsidRPr="00561441">
        <w:t xml:space="preserve">». </w:t>
      </w:r>
      <w:r w:rsidRPr="00CF40C5">
        <w:t xml:space="preserve">В настоящее время государственные служащие, включая сотрудников сил безопасности, судебных органов и Корпуса стражей исламской революции, следят за соблюдением законов об обязательном ношении хиджаба. </w:t>
      </w:r>
      <w:r w:rsidRPr="00A72D26">
        <w:t xml:space="preserve">За последний год ответственность за соблюдение закона была возложена на частный сектор и частных лиц, поскольку для обеспечения соблюдения </w:t>
      </w:r>
      <w:r>
        <w:t xml:space="preserve">требования об </w:t>
      </w:r>
      <w:r w:rsidRPr="00A72D26">
        <w:t>обязательно</w:t>
      </w:r>
      <w:r>
        <w:t>м</w:t>
      </w:r>
      <w:r w:rsidRPr="00A72D26">
        <w:t xml:space="preserve"> ношени</w:t>
      </w:r>
      <w:r>
        <w:t>и</w:t>
      </w:r>
      <w:r w:rsidRPr="00A72D26">
        <w:t xml:space="preserve"> хиджаба был</w:t>
      </w:r>
      <w:r>
        <w:t>о</w:t>
      </w:r>
      <w:r w:rsidRPr="00A72D26">
        <w:t xml:space="preserve"> объявлен</w:t>
      </w:r>
      <w:r>
        <w:t>о о введении</w:t>
      </w:r>
      <w:r w:rsidRPr="00A72D26">
        <w:t xml:space="preserve"> </w:t>
      </w:r>
      <w:r>
        <w:t xml:space="preserve">комплексной системы </w:t>
      </w:r>
      <w:r w:rsidRPr="00A72D26">
        <w:t>запретительных и карательных правовых мер.</w:t>
      </w:r>
    </w:p>
    <w:p w14:paraId="329D3E0B" w14:textId="340F21FE" w:rsidR="007D3D4F" w:rsidRPr="00CF40C5" w:rsidRDefault="007D3D4F" w:rsidP="007D3D4F">
      <w:pPr>
        <w:pStyle w:val="SingleTxtG"/>
      </w:pPr>
      <w:r w:rsidRPr="00CF40C5">
        <w:t>70.</w:t>
      </w:r>
      <w:r w:rsidRPr="00CF40C5">
        <w:tab/>
        <w:t>Эти меры включают в себя принятие законопроекта о поддержке семьи путем поощрения культуры целомудрия и хиджаба. В</w:t>
      </w:r>
      <w:r>
        <w:t xml:space="preserve"> </w:t>
      </w:r>
      <w:r w:rsidRPr="00CF40C5">
        <w:t>законопроекте предусмотрены меры</w:t>
      </w:r>
      <w:r>
        <w:t>, направленные на</w:t>
      </w:r>
      <w:r w:rsidR="00371D70" w:rsidRPr="00371D70">
        <w:t>:</w:t>
      </w:r>
      <w:r>
        <w:t xml:space="preserve"> </w:t>
      </w:r>
      <w:r w:rsidRPr="00CF40C5">
        <w:t>а)</w:t>
      </w:r>
      <w:r>
        <w:t> </w:t>
      </w:r>
      <w:r w:rsidRPr="00CF40C5">
        <w:t>ужесточени</w:t>
      </w:r>
      <w:r>
        <w:t>е</w:t>
      </w:r>
      <w:r w:rsidRPr="00CF40C5">
        <w:t xml:space="preserve"> наказаний за </w:t>
      </w:r>
      <w:r>
        <w:t xml:space="preserve">акты </w:t>
      </w:r>
      <w:r w:rsidRPr="00CF40C5">
        <w:t>несоблюдения</w:t>
      </w:r>
      <w:r>
        <w:t xml:space="preserve"> и </w:t>
      </w:r>
      <w:r w:rsidRPr="006954EF">
        <w:t>пропаганд</w:t>
      </w:r>
      <w:r>
        <w:t>у</w:t>
      </w:r>
      <w:r w:rsidRPr="006954EF">
        <w:t xml:space="preserve"> несоблюдения</w:t>
      </w:r>
      <w:r w:rsidRPr="00CF40C5">
        <w:t xml:space="preserve">; </w:t>
      </w:r>
      <w:r w:rsidRPr="006D7E0B">
        <w:t>b</w:t>
      </w:r>
      <w:r w:rsidRPr="00CF40C5">
        <w:t>)</w:t>
      </w:r>
      <w:r>
        <w:t> </w:t>
      </w:r>
      <w:r w:rsidRPr="00CF40C5">
        <w:t>распределени</w:t>
      </w:r>
      <w:r>
        <w:t>е</w:t>
      </w:r>
      <w:r w:rsidRPr="00CF40C5">
        <w:t xml:space="preserve"> полномочий по обеспечению соблюдения закона между государственными учреждениями; с)</w:t>
      </w:r>
      <w:r>
        <w:t> </w:t>
      </w:r>
      <w:r w:rsidRPr="00CF40C5">
        <w:t>возложени</w:t>
      </w:r>
      <w:r>
        <w:t>е</w:t>
      </w:r>
      <w:r w:rsidRPr="00CF40C5">
        <w:t xml:space="preserve"> ответственности за соблюдение и обеспечение соблюдения закона на частные структуры; и </w:t>
      </w:r>
      <w:r w:rsidRPr="006D7E0B">
        <w:t>d</w:t>
      </w:r>
      <w:r w:rsidRPr="00CF40C5">
        <w:t>)</w:t>
      </w:r>
      <w:r>
        <w:t> </w:t>
      </w:r>
      <w:r w:rsidRPr="00CF40C5">
        <w:t>расширени</w:t>
      </w:r>
      <w:r>
        <w:t>е</w:t>
      </w:r>
      <w:r w:rsidRPr="00CF40C5">
        <w:t xml:space="preserve"> существующей гендерной сегрегации в различных областях, включая университеты, больницы и государственные учреждения и помещения. Хотя законопроект также включает в себя </w:t>
      </w:r>
      <w:r w:rsidRPr="00167D77">
        <w:t>требования к внешнему виду и одежде</w:t>
      </w:r>
      <w:r w:rsidRPr="00CF40C5">
        <w:t>, применимы</w:t>
      </w:r>
      <w:r>
        <w:t>е</w:t>
      </w:r>
      <w:r w:rsidRPr="00CF40C5">
        <w:t xml:space="preserve"> к мужчинам, он явно направлен против женщин и усугубляет и без того дискриминационную правовую базу, регулирующую обязательн</w:t>
      </w:r>
      <w:r>
        <w:t xml:space="preserve">ое ношение </w:t>
      </w:r>
      <w:r w:rsidRPr="00CF40C5">
        <w:t>хиджаб</w:t>
      </w:r>
      <w:r>
        <w:t>а</w:t>
      </w:r>
      <w:r w:rsidRPr="00CF40C5">
        <w:t xml:space="preserve"> женщин</w:t>
      </w:r>
      <w:r>
        <w:t>ами</w:t>
      </w:r>
      <w:r w:rsidRPr="00CF40C5">
        <w:t xml:space="preserve"> и </w:t>
      </w:r>
      <w:r>
        <w:t>девочками</w:t>
      </w:r>
      <w:r w:rsidRPr="00CF40C5">
        <w:t xml:space="preserve">. </w:t>
      </w:r>
      <w:bookmarkStart w:id="15" w:name="_Hlk156620192"/>
      <w:r w:rsidRPr="00CF40C5">
        <w:t xml:space="preserve">Несмотря на то, что законопроект еще не принят, чиновники приказали полиции не дожидаться его утверждения, а немедленно приступить к его реализации. </w:t>
      </w:r>
      <w:bookmarkEnd w:id="15"/>
      <w:r w:rsidRPr="00CF40C5">
        <w:t xml:space="preserve">Власти наложили штрафы и закрыли множество предприятий, включая кафе, рестораны, аптеки, частные врачебные кабинеты, туристические агентства и частные компании, за несоблюдение законов об обязательном ношении хиджаба. </w:t>
      </w:r>
      <w:r w:rsidRPr="00953EBC">
        <w:t xml:space="preserve">Законы и </w:t>
      </w:r>
      <w:r>
        <w:t xml:space="preserve">меры </w:t>
      </w:r>
      <w:r w:rsidRPr="00953EBC">
        <w:t>политик</w:t>
      </w:r>
      <w:r>
        <w:t>и</w:t>
      </w:r>
      <w:r w:rsidRPr="00953EBC">
        <w:t xml:space="preserve"> в отношении обязательного ношения хиджаба оказывают не</w:t>
      </w:r>
      <w:r>
        <w:t>соизмеримо</w:t>
      </w:r>
      <w:r w:rsidRPr="00953EBC">
        <w:t xml:space="preserve"> сильное воздействие на женщин из неблагополучных социально-экономических слоев, не в последнюю очередь из-за крупных штрафов за несоблюдение.</w:t>
      </w:r>
    </w:p>
    <w:p w14:paraId="55620CBA" w14:textId="2DA213E2" w:rsidR="007D3D4F" w:rsidRPr="00CF40C5" w:rsidRDefault="007D3D4F" w:rsidP="007D3D4F">
      <w:pPr>
        <w:pStyle w:val="SingleTxtG"/>
      </w:pPr>
      <w:r w:rsidRPr="00CF40C5">
        <w:t>71.</w:t>
      </w:r>
      <w:r w:rsidRPr="00CF40C5">
        <w:tab/>
        <w:t>В феврале 2023</w:t>
      </w:r>
      <w:r>
        <w:t> года</w:t>
      </w:r>
      <w:r w:rsidRPr="00CF40C5">
        <w:t xml:space="preserve"> власти усилили меры по выявлению и наказанию женщин и </w:t>
      </w:r>
      <w:r>
        <w:t>девочек,</w:t>
      </w:r>
      <w:r w:rsidRPr="00CF40C5">
        <w:t xml:space="preserve"> не</w:t>
      </w:r>
      <w:r>
        <w:t xml:space="preserve"> </w:t>
      </w:r>
      <w:r w:rsidRPr="00CF40C5">
        <w:t>соблюд</w:t>
      </w:r>
      <w:r>
        <w:t>ающих</w:t>
      </w:r>
      <w:r w:rsidRPr="00CF40C5">
        <w:t xml:space="preserve"> закон</w:t>
      </w:r>
      <w:r>
        <w:t>ы</w:t>
      </w:r>
      <w:r w:rsidRPr="00CF40C5">
        <w:t xml:space="preserve"> об обязательном ношении хиджаба, в том числе за счет расширения использования камер видеонаблюдения в общественных местах</w:t>
      </w:r>
      <w:r>
        <w:t>, одобренного</w:t>
      </w:r>
      <w:r w:rsidRPr="00CF40C5">
        <w:t xml:space="preserve"> на самом высоком правительственном уровне</w:t>
      </w:r>
      <w:r w:rsidRPr="006D7E0B">
        <w:rPr>
          <w:rStyle w:val="FootnoteReference"/>
        </w:rPr>
        <w:footnoteReference w:id="15"/>
      </w:r>
      <w:r>
        <w:t>.</w:t>
      </w:r>
      <w:r w:rsidRPr="00CF40C5">
        <w:t xml:space="preserve"> Чиновники </w:t>
      </w:r>
      <w:r w:rsidRPr="00CF40C5">
        <w:lastRenderedPageBreak/>
        <w:t xml:space="preserve">предупредили нарушителей закона, что им </w:t>
      </w:r>
      <w:r>
        <w:t>«</w:t>
      </w:r>
      <w:r w:rsidRPr="00CF40C5">
        <w:t>грозит социальная изоляция</w:t>
      </w:r>
      <w:r>
        <w:t>»</w:t>
      </w:r>
      <w:r w:rsidRPr="006D7E0B">
        <w:rPr>
          <w:rStyle w:val="FootnoteReference"/>
        </w:rPr>
        <w:footnoteReference w:id="16"/>
      </w:r>
      <w:r>
        <w:t>.</w:t>
      </w:r>
      <w:r w:rsidRPr="00CF40C5">
        <w:t xml:space="preserve"> Генеральная прокуратура приказала полиции </w:t>
      </w:r>
      <w:r>
        <w:t>«</w:t>
      </w:r>
      <w:r w:rsidRPr="00CF40C5">
        <w:t>решительно противодействовать снятию хиджаба женщинами и дев</w:t>
      </w:r>
      <w:r>
        <w:t>очками»</w:t>
      </w:r>
      <w:r w:rsidRPr="006D7E0B">
        <w:rPr>
          <w:rStyle w:val="FootnoteReference"/>
        </w:rPr>
        <w:footnoteReference w:id="17"/>
      </w:r>
      <w:r>
        <w:t>.</w:t>
      </w:r>
      <w:r w:rsidRPr="00CF40C5">
        <w:t xml:space="preserve"> Женщины, не нос</w:t>
      </w:r>
      <w:r>
        <w:t>ившие</w:t>
      </w:r>
      <w:r w:rsidRPr="00CF40C5">
        <w:t xml:space="preserve"> хиджаб за рулем или в машине, получали текстовые сообщения с предупреждением о наказании за несоблюдение закона, включая конфискацию автомобиля, штрафы, аннулирование удостоверения личности и лишение возможности пользоваться государственными услугами, в том числе банковскими</w:t>
      </w:r>
      <w:r w:rsidRPr="006D7E0B">
        <w:rPr>
          <w:rStyle w:val="FootnoteReference"/>
        </w:rPr>
        <w:footnoteReference w:id="18"/>
      </w:r>
      <w:r>
        <w:t>.</w:t>
      </w:r>
      <w:r w:rsidRPr="00CF40C5">
        <w:t xml:space="preserve"> 14</w:t>
      </w:r>
      <w:r>
        <w:t> </w:t>
      </w:r>
      <w:r w:rsidRPr="00CF40C5">
        <w:t>июня 2023</w:t>
      </w:r>
      <w:r>
        <w:t> года</w:t>
      </w:r>
      <w:r w:rsidRPr="00CF40C5">
        <w:t xml:space="preserve"> представитель полиции объявил, что с 25</w:t>
      </w:r>
      <w:r>
        <w:t> </w:t>
      </w:r>
      <w:r w:rsidRPr="00CF40C5">
        <w:t>апреля 2023</w:t>
      </w:r>
      <w:r>
        <w:t> года</w:t>
      </w:r>
      <w:r w:rsidRPr="00CF40C5">
        <w:t xml:space="preserve"> полиция отправила 991</w:t>
      </w:r>
      <w:r>
        <w:t> </w:t>
      </w:r>
      <w:r w:rsidRPr="00CF40C5">
        <w:t>176</w:t>
      </w:r>
      <w:r>
        <w:t> </w:t>
      </w:r>
      <w:r w:rsidRPr="006D7E0B">
        <w:t>SMS</w:t>
      </w:r>
      <w:r w:rsidRPr="00CF40C5">
        <w:t xml:space="preserve">-сообщений с предупреждениями женщинам, </w:t>
      </w:r>
      <w:r>
        <w:t xml:space="preserve">на </w:t>
      </w:r>
      <w:r w:rsidRPr="00CF40C5">
        <w:t>которы</w:t>
      </w:r>
      <w:r>
        <w:t>х</w:t>
      </w:r>
      <w:r w:rsidRPr="00CF40C5">
        <w:t xml:space="preserve"> </w:t>
      </w:r>
      <w:r>
        <w:t>предположительно не было хиджаба</w:t>
      </w:r>
      <w:r w:rsidRPr="00CF40C5">
        <w:t xml:space="preserve">, когда на камеру были сняты их автомобили; </w:t>
      </w:r>
      <w:r>
        <w:t>направила</w:t>
      </w:r>
      <w:r w:rsidRPr="00CF40C5">
        <w:t xml:space="preserve"> 133</w:t>
      </w:r>
      <w:r>
        <w:t> </w:t>
      </w:r>
      <w:r w:rsidRPr="00CF40C5">
        <w:t>174</w:t>
      </w:r>
      <w:r>
        <w:t> </w:t>
      </w:r>
      <w:r w:rsidRPr="006D7E0B">
        <w:t>SMS</w:t>
      </w:r>
      <w:r w:rsidRPr="00CF40C5">
        <w:t>-сообщения с требованием обездвижить автомобили; конфисковала 2</w:t>
      </w:r>
      <w:r w:rsidR="00E46BC6" w:rsidRPr="00E46BC6">
        <w:t>000</w:t>
      </w:r>
      <w:r>
        <w:t> </w:t>
      </w:r>
      <w:r w:rsidRPr="00CF40C5">
        <w:t xml:space="preserve">автомобилей; и передала в </w:t>
      </w:r>
      <w:r>
        <w:t xml:space="preserve">руки </w:t>
      </w:r>
      <w:r w:rsidRPr="00CF40C5">
        <w:t>судебны</w:t>
      </w:r>
      <w:r>
        <w:t>х</w:t>
      </w:r>
      <w:r w:rsidRPr="00CF40C5">
        <w:t xml:space="preserve"> орган</w:t>
      </w:r>
      <w:r>
        <w:t>ов</w:t>
      </w:r>
      <w:r w:rsidRPr="00CF40C5">
        <w:t xml:space="preserve"> более 4</w:t>
      </w:r>
      <w:r w:rsidR="00E46BC6" w:rsidRPr="00E46BC6">
        <w:t>000</w:t>
      </w:r>
      <w:r>
        <w:t> </w:t>
      </w:r>
      <w:r w:rsidRPr="00CF40C5">
        <w:t>предполагаемых рецидивисто</w:t>
      </w:r>
      <w:r>
        <w:t>к</w:t>
      </w:r>
      <w:r w:rsidRPr="00CF40C5">
        <w:t>. В своем заявлении он также отметил, что полиция составила 108</w:t>
      </w:r>
      <w:r>
        <w:t> </w:t>
      </w:r>
      <w:r w:rsidRPr="00CF40C5">
        <w:t>211</w:t>
      </w:r>
      <w:r>
        <w:t> </w:t>
      </w:r>
      <w:r w:rsidRPr="00CF40C5">
        <w:t xml:space="preserve">сообщений о предполагаемых нарушениях закона об обязательном ношении хиджаба на предприятиях, выявила и передала в </w:t>
      </w:r>
      <w:r>
        <w:t xml:space="preserve">руки </w:t>
      </w:r>
      <w:r w:rsidRPr="00CF40C5">
        <w:t>судебны</w:t>
      </w:r>
      <w:r>
        <w:t>х</w:t>
      </w:r>
      <w:r w:rsidRPr="00CF40C5">
        <w:t xml:space="preserve"> орган</w:t>
      </w:r>
      <w:r>
        <w:t>ов</w:t>
      </w:r>
      <w:r w:rsidRPr="00CF40C5">
        <w:t xml:space="preserve"> 301</w:t>
      </w:r>
      <w:r>
        <w:t> </w:t>
      </w:r>
      <w:r w:rsidRPr="00CF40C5">
        <w:t>предполагаем</w:t>
      </w:r>
      <w:r>
        <w:t>ую</w:t>
      </w:r>
      <w:r w:rsidRPr="00CF40C5">
        <w:t xml:space="preserve"> нарушител</w:t>
      </w:r>
      <w:r>
        <w:t>ьницу</w:t>
      </w:r>
      <w:r w:rsidRPr="006D7E0B">
        <w:rPr>
          <w:rStyle w:val="FootnoteReference"/>
        </w:rPr>
        <w:footnoteReference w:id="19"/>
      </w:r>
      <w:r>
        <w:t>.</w:t>
      </w:r>
      <w:r w:rsidRPr="00CF40C5">
        <w:t xml:space="preserve"> Государственные власти также публично предупредили женщин и </w:t>
      </w:r>
      <w:r>
        <w:t>девочек</w:t>
      </w:r>
      <w:r w:rsidRPr="00CF40C5">
        <w:t xml:space="preserve"> о том, что они будут лишены </w:t>
      </w:r>
      <w:r>
        <w:t xml:space="preserve">возможностей </w:t>
      </w:r>
      <w:r w:rsidRPr="00CF40C5">
        <w:t>образования</w:t>
      </w:r>
      <w:r w:rsidRPr="006D7E0B">
        <w:rPr>
          <w:rStyle w:val="FootnoteReference"/>
        </w:rPr>
        <w:footnoteReference w:id="20"/>
      </w:r>
      <w:r w:rsidRPr="00CF40C5">
        <w:t xml:space="preserve"> и </w:t>
      </w:r>
      <w:r>
        <w:t xml:space="preserve">охраны </w:t>
      </w:r>
      <w:r w:rsidRPr="00CF40C5">
        <w:t>здоровья, если будут уличены в нарушении законов и правил об обязательном ношении хиджаба</w:t>
      </w:r>
      <w:r w:rsidRPr="006D7E0B">
        <w:rPr>
          <w:rStyle w:val="FootnoteReference"/>
        </w:rPr>
        <w:footnoteReference w:id="21"/>
      </w:r>
      <w:r>
        <w:t>.</w:t>
      </w:r>
      <w:r w:rsidRPr="00CF40C5">
        <w:t xml:space="preserve"> За отказ носить хиджаб </w:t>
      </w:r>
      <w:r>
        <w:t xml:space="preserve">в </w:t>
      </w:r>
      <w:r w:rsidRPr="00CF40C5">
        <w:t>обязательн</w:t>
      </w:r>
      <w:r>
        <w:t xml:space="preserve">ом порядке </w:t>
      </w:r>
      <w:r w:rsidRPr="00CF40C5">
        <w:t>студенток отстраняли от занятий</w:t>
      </w:r>
      <w:r>
        <w:t>,</w:t>
      </w:r>
      <w:r w:rsidRPr="00CF40C5">
        <w:t xml:space="preserve"> исключали из университетов</w:t>
      </w:r>
      <w:r>
        <w:t xml:space="preserve">, выселяли </w:t>
      </w:r>
      <w:r w:rsidRPr="00CF40C5">
        <w:t>и</w:t>
      </w:r>
      <w:r>
        <w:t>з</w:t>
      </w:r>
      <w:r w:rsidRPr="00CF40C5">
        <w:t xml:space="preserve"> общежитий, угрожали </w:t>
      </w:r>
      <w:r>
        <w:t xml:space="preserve">им </w:t>
      </w:r>
      <w:r w:rsidRPr="00CF40C5">
        <w:t xml:space="preserve">нулевыми оценками или не допускали </w:t>
      </w:r>
      <w:r>
        <w:t xml:space="preserve">их </w:t>
      </w:r>
      <w:r w:rsidRPr="00CF40C5">
        <w:t>к выпускным экзаменам. В октябре 2023</w:t>
      </w:r>
      <w:r>
        <w:t> года</w:t>
      </w:r>
      <w:r w:rsidRPr="00CF40C5">
        <w:t xml:space="preserve"> в провинции </w:t>
      </w:r>
      <w:r>
        <w:t>Мазендаран</w:t>
      </w:r>
      <w:r w:rsidRPr="00CF40C5">
        <w:t xml:space="preserve"> у женщины-врача была отозвана лицензия на медицинскую деятельность после того, как она появилась на публичной церемонии награждения без обязательного хиджаба</w:t>
      </w:r>
      <w:r w:rsidRPr="006D7E0B">
        <w:rPr>
          <w:rStyle w:val="FootnoteReference"/>
        </w:rPr>
        <w:footnoteReference w:id="22"/>
      </w:r>
      <w:r>
        <w:t>.</w:t>
      </w:r>
      <w:r w:rsidRPr="00CF40C5">
        <w:t xml:space="preserve"> В суды не допускаются женщины и </w:t>
      </w:r>
      <w:r>
        <w:t>девочки</w:t>
      </w:r>
      <w:r w:rsidRPr="00CF40C5">
        <w:t>, не носящие обязательн</w:t>
      </w:r>
      <w:r>
        <w:t>ого</w:t>
      </w:r>
      <w:r w:rsidRPr="00CF40C5">
        <w:t xml:space="preserve"> хиджаб</w:t>
      </w:r>
      <w:r>
        <w:t>а</w:t>
      </w:r>
      <w:r w:rsidRPr="00CF40C5">
        <w:t xml:space="preserve">, что негативно сказывается на их доступе к правосудию. </w:t>
      </w:r>
      <w:r w:rsidRPr="00FE5CD0">
        <w:t xml:space="preserve">Национальная полиция разработала телефонное приложение </w:t>
      </w:r>
      <w:r>
        <w:t>«Назер»</w:t>
      </w:r>
      <w:r w:rsidRPr="00FE5CD0">
        <w:t>, позволяющее сотрудникам службы безопасности и прошедшим проверку волонтерам сообщать о нарушениях женщинами закона об обязательном ношении хиджаба.</w:t>
      </w:r>
      <w:r>
        <w:t xml:space="preserve"> </w:t>
      </w:r>
      <w:r w:rsidRPr="00FE5CD0">
        <w:t>Ранее власти создали телефонную линию и службу обмена сообщениями, чтобы представители общественности могли сообщать о правонарушител</w:t>
      </w:r>
      <w:r>
        <w:t>ьницах</w:t>
      </w:r>
      <w:r w:rsidRPr="00FE5CD0">
        <w:t>.</w:t>
      </w:r>
    </w:p>
    <w:p w14:paraId="2D8F2884" w14:textId="4397E1DE" w:rsidR="007D3D4F" w:rsidRPr="00CF40C5" w:rsidRDefault="007D3D4F" w:rsidP="007D3D4F">
      <w:pPr>
        <w:pStyle w:val="SingleTxtG"/>
      </w:pPr>
      <w:r w:rsidRPr="00CF40C5">
        <w:t>72.</w:t>
      </w:r>
      <w:r w:rsidRPr="00CF40C5">
        <w:tab/>
        <w:t xml:space="preserve">Продолжают поступать сообщения о случаях попыток </w:t>
      </w:r>
      <w:r>
        <w:t xml:space="preserve">проведения </w:t>
      </w:r>
      <w:r w:rsidRPr="00CF40C5">
        <w:t>арест</w:t>
      </w:r>
      <w:r>
        <w:t>ов</w:t>
      </w:r>
      <w:r w:rsidRPr="00CF40C5">
        <w:t xml:space="preserve"> с применением насилия, что соответствует ранее установленной практике насилия в отношении женщин и </w:t>
      </w:r>
      <w:r>
        <w:t>девочек</w:t>
      </w:r>
      <w:r w:rsidRPr="00CF40C5">
        <w:t xml:space="preserve">, пренебрегающих законом об обязательном ношении хиджаба в общественных местах. Миссия обнаружила, что санкционированные государством пытки и бесчеловечные и унижающие достоинство наказания, такие как </w:t>
      </w:r>
      <w:r>
        <w:t>порка</w:t>
      </w:r>
      <w:r w:rsidRPr="00CF40C5">
        <w:t xml:space="preserve">, </w:t>
      </w:r>
      <w:r w:rsidRPr="0003119A">
        <w:t xml:space="preserve">принуждение к </w:t>
      </w:r>
      <w:r>
        <w:t>мытью</w:t>
      </w:r>
      <w:r w:rsidRPr="00CF40C5">
        <w:t xml:space="preserve"> </w:t>
      </w:r>
      <w:r w:rsidRPr="0003119A">
        <w:t>трупов</w:t>
      </w:r>
      <w:r>
        <w:t xml:space="preserve"> </w:t>
      </w:r>
      <w:r w:rsidRPr="00CF40C5">
        <w:t xml:space="preserve">и направление на психиатрическое лечение, </w:t>
      </w:r>
      <w:r w:rsidR="00371D70">
        <w:br/>
      </w:r>
      <w:r w:rsidRPr="00CF40C5">
        <w:t>по-прежнему применяются в качестве формы наказания за несоблюдение закона.</w:t>
      </w:r>
    </w:p>
    <w:p w14:paraId="68122DD6" w14:textId="37D49F44" w:rsidR="007D3D4F" w:rsidRPr="00CF40C5" w:rsidRDefault="007D3D4F" w:rsidP="007D3D4F">
      <w:pPr>
        <w:pStyle w:val="SingleTxtG"/>
      </w:pPr>
      <w:r w:rsidRPr="00CF40C5">
        <w:t>73.</w:t>
      </w:r>
      <w:r w:rsidRPr="00CF40C5">
        <w:tab/>
        <w:t>1</w:t>
      </w:r>
      <w:r>
        <w:t> октября</w:t>
      </w:r>
      <w:r w:rsidRPr="00CF40C5">
        <w:t xml:space="preserve"> 2023</w:t>
      </w:r>
      <w:r>
        <w:t> года</w:t>
      </w:r>
      <w:r w:rsidRPr="00CF40C5">
        <w:t xml:space="preserve"> молодая студентка Армита Гараванд впала в кому после того, как ее толкнули в вагоне метро после ссоры с женщинами, следящими за соблюдением </w:t>
      </w:r>
      <w:r>
        <w:t xml:space="preserve">требования о ношении </w:t>
      </w:r>
      <w:r w:rsidRPr="00CF40C5">
        <w:t xml:space="preserve">хиджаба. </w:t>
      </w:r>
      <w:r w:rsidRPr="0003119A">
        <w:t>28</w:t>
      </w:r>
      <w:r>
        <w:t> </w:t>
      </w:r>
      <w:r w:rsidRPr="0003119A">
        <w:t xml:space="preserve">октября государственные СМИ сообщили, что ее смерть наступила в результате падения и удара о землю из-за </w:t>
      </w:r>
      <w:r>
        <w:t>перепада</w:t>
      </w:r>
      <w:r w:rsidRPr="0003119A">
        <w:t xml:space="preserve"> кровяного давления. </w:t>
      </w:r>
      <w:r w:rsidRPr="00CF40C5">
        <w:t>Государственны</w:t>
      </w:r>
      <w:r>
        <w:t>е</w:t>
      </w:r>
      <w:r w:rsidRPr="00CF40C5">
        <w:t xml:space="preserve"> власт</w:t>
      </w:r>
      <w:r>
        <w:t>и</w:t>
      </w:r>
      <w:r w:rsidRPr="00CF40C5">
        <w:t xml:space="preserve"> предприня</w:t>
      </w:r>
      <w:r>
        <w:t>ли</w:t>
      </w:r>
      <w:r w:rsidRPr="00CF40C5">
        <w:t xml:space="preserve"> действия, напоминающие случай</w:t>
      </w:r>
      <w:r>
        <w:t xml:space="preserve"> </w:t>
      </w:r>
      <w:r w:rsidRPr="00CF40C5">
        <w:t xml:space="preserve">г-жи Амини, с целью затушевать обстоятельства, приведшие к смерти г-жи Гараванд, в том числе путем ареста и </w:t>
      </w:r>
      <w:r>
        <w:t>осуждения</w:t>
      </w:r>
      <w:r w:rsidRPr="00CF40C5">
        <w:t xml:space="preserve"> журналист</w:t>
      </w:r>
      <w:r>
        <w:t>ов</w:t>
      </w:r>
      <w:r w:rsidRPr="00CF40C5">
        <w:t>, освещавши</w:t>
      </w:r>
      <w:r>
        <w:t>х</w:t>
      </w:r>
      <w:r w:rsidRPr="00CF40C5">
        <w:t xml:space="preserve"> этот инцидент. Г-жа Гараванд была доставлена в военный госпиталь </w:t>
      </w:r>
      <w:r>
        <w:t>«</w:t>
      </w:r>
      <w:r w:rsidRPr="00CF40C5">
        <w:t>Фардж</w:t>
      </w:r>
      <w:r>
        <w:t>»</w:t>
      </w:r>
      <w:r w:rsidRPr="00CF40C5">
        <w:t xml:space="preserve"> в Тегеране, где силы безопасности, по сообщениям, не позволили ее родителям получить к ней</w:t>
      </w:r>
      <w:r>
        <w:t xml:space="preserve"> </w:t>
      </w:r>
      <w:r w:rsidRPr="00CF40C5">
        <w:t>доступ. Государственные власти не обнародовали видеозаписи</w:t>
      </w:r>
      <w:r>
        <w:t xml:space="preserve">, сделанные в </w:t>
      </w:r>
      <w:r w:rsidRPr="00CF40C5">
        <w:t>вагон</w:t>
      </w:r>
      <w:r>
        <w:t>е</w:t>
      </w:r>
      <w:r w:rsidRPr="00CF40C5">
        <w:t xml:space="preserve"> метро</w:t>
      </w:r>
      <w:r>
        <w:t>,</w:t>
      </w:r>
      <w:r w:rsidRPr="00CF40C5">
        <w:t xml:space="preserve"> и не опубликовали никаких медицинских заключений. </w:t>
      </w:r>
      <w:r w:rsidRPr="00975359">
        <w:t>По сообщениям, во время ее похорон в Тегеране 29</w:t>
      </w:r>
      <w:r>
        <w:t> </w:t>
      </w:r>
      <w:r w:rsidRPr="00975359">
        <w:t>октября 2023</w:t>
      </w:r>
      <w:r>
        <w:t> </w:t>
      </w:r>
      <w:r w:rsidRPr="00975359">
        <w:t xml:space="preserve">года присутствовавшие сотрудники сил безопасности запугивали и преследовали тех, </w:t>
      </w:r>
      <w:r w:rsidR="00BB4779">
        <w:br/>
      </w:r>
      <w:r w:rsidRPr="00975359">
        <w:lastRenderedPageBreak/>
        <w:t xml:space="preserve">кто оплакивал ее смерть, и арестовали несколько женщин, в том числе известного адвоката по правам человека Насрин Сотуде, которая присутствовала на похоронах, </w:t>
      </w:r>
      <w:r w:rsidR="00BB4779">
        <w:br/>
      </w:r>
      <w:r w:rsidRPr="00975359">
        <w:t xml:space="preserve">за то, что </w:t>
      </w:r>
      <w:r>
        <w:t xml:space="preserve">на ней </w:t>
      </w:r>
      <w:r w:rsidRPr="00975359">
        <w:t xml:space="preserve">не </w:t>
      </w:r>
      <w:r>
        <w:t>было</w:t>
      </w:r>
      <w:r w:rsidRPr="00975359">
        <w:t xml:space="preserve"> обязательн</w:t>
      </w:r>
      <w:r>
        <w:t>ого</w:t>
      </w:r>
      <w:r w:rsidRPr="00975359">
        <w:t xml:space="preserve"> хиджаб</w:t>
      </w:r>
      <w:r>
        <w:t>а</w:t>
      </w:r>
      <w:r w:rsidRPr="00975359">
        <w:t xml:space="preserve">. </w:t>
      </w:r>
      <w:r w:rsidRPr="00CF40C5">
        <w:t>Миссия считает, что государство не выполнило своего обязательства по расследованию смерти г-жи Гараванд и, в случае выявления нарушени</w:t>
      </w:r>
      <w:r>
        <w:t>я</w:t>
      </w:r>
      <w:r w:rsidRPr="00CF40C5">
        <w:t>, по привлечению к ответственности виновных, будь то государственные должностные лица или частные лица и организации. Миссия продолжает расследова</w:t>
      </w:r>
      <w:r>
        <w:t>ть</w:t>
      </w:r>
      <w:r w:rsidRPr="00CF40C5">
        <w:t xml:space="preserve"> причин</w:t>
      </w:r>
      <w:r>
        <w:t>у</w:t>
      </w:r>
      <w:r w:rsidRPr="00CF40C5">
        <w:t xml:space="preserve"> (причин</w:t>
      </w:r>
      <w:r>
        <w:t>ы</w:t>
      </w:r>
      <w:r w:rsidRPr="00CF40C5">
        <w:t>) смерти г-жи Гараванд.</w:t>
      </w:r>
    </w:p>
    <w:p w14:paraId="1C755B70" w14:textId="77777777" w:rsidR="007D3D4F" w:rsidRPr="00CF40C5" w:rsidRDefault="007D3D4F" w:rsidP="007D3D4F">
      <w:pPr>
        <w:pStyle w:val="H1G"/>
      </w:pPr>
      <w:r w:rsidRPr="00CF40C5">
        <w:tab/>
      </w:r>
      <w:r w:rsidRPr="006D7E0B">
        <w:t>B</w:t>
      </w:r>
      <w:r w:rsidRPr="00CF40C5">
        <w:t>.</w:t>
      </w:r>
      <w:r w:rsidRPr="00CF40C5">
        <w:tab/>
        <w:t>Студенты и преподаватели</w:t>
      </w:r>
    </w:p>
    <w:p w14:paraId="5D41925B" w14:textId="77777777" w:rsidR="007D3D4F" w:rsidRPr="00CF40C5" w:rsidRDefault="007D3D4F" w:rsidP="007D3D4F">
      <w:pPr>
        <w:pStyle w:val="SingleTxtG"/>
      </w:pPr>
      <w:r w:rsidRPr="00CF40C5">
        <w:t>74.</w:t>
      </w:r>
      <w:r w:rsidRPr="00CF40C5">
        <w:tab/>
      </w:r>
      <w:r w:rsidRPr="00E50344">
        <w:t xml:space="preserve">Студенты, преподаватели и сотрудники университетов индивидуально и коллективно составляли ведущую силу протестов. </w:t>
      </w:r>
      <w:r w:rsidRPr="00CF40C5">
        <w:t>Протесты начались в нескольких университетах Тегерана 18</w:t>
      </w:r>
      <w:r>
        <w:t> сентября</w:t>
      </w:r>
      <w:r w:rsidRPr="00CF40C5">
        <w:t xml:space="preserve"> 2022</w:t>
      </w:r>
      <w:r>
        <w:t> года</w:t>
      </w:r>
      <w:r w:rsidRPr="00CF40C5">
        <w:t>. В течение нескольких дней студенты 111</w:t>
      </w:r>
      <w:r>
        <w:t> </w:t>
      </w:r>
      <w:r w:rsidRPr="00CF40C5">
        <w:t>университетов объявили о бойкоте занятий. Значительные протесты вспыхнули в средних школах, особенно в школах для</w:t>
      </w:r>
      <w:r>
        <w:t xml:space="preserve"> </w:t>
      </w:r>
      <w:r w:rsidRPr="00CF40C5">
        <w:t xml:space="preserve">девочек, и в университетах. Студенты устраивали шествия между своими школами и домами, </w:t>
      </w:r>
      <w:r>
        <w:t xml:space="preserve">исполняли </w:t>
      </w:r>
      <w:r w:rsidRPr="00E50344">
        <w:t xml:space="preserve">танцы </w:t>
      </w:r>
      <w:r w:rsidRPr="00CF40C5">
        <w:t>и пели песни протеста.</w:t>
      </w:r>
    </w:p>
    <w:p w14:paraId="37988F84" w14:textId="77777777" w:rsidR="007D3D4F" w:rsidRPr="00CF40C5" w:rsidRDefault="007D3D4F" w:rsidP="007D3D4F">
      <w:pPr>
        <w:pStyle w:val="SingleTxtG"/>
      </w:pPr>
      <w:r w:rsidRPr="00CF40C5">
        <w:t>75.</w:t>
      </w:r>
      <w:r w:rsidRPr="00CF40C5">
        <w:tab/>
        <w:t xml:space="preserve">Миссия установила факты крайней жестокости по отношению к студентам, включая убийства, произвольные аресты и задержания, пытки и </w:t>
      </w:r>
      <w:r>
        <w:t>неправомерное обращение</w:t>
      </w:r>
      <w:r w:rsidRPr="00CF40C5">
        <w:t xml:space="preserve">, отстранение от </w:t>
      </w:r>
      <w:r>
        <w:t xml:space="preserve">занятий </w:t>
      </w:r>
      <w:r w:rsidRPr="00CF40C5">
        <w:t xml:space="preserve">или отчисление, выселение из общежитий, систематические притеснения и запугивания. </w:t>
      </w:r>
      <w:r>
        <w:t>По</w:t>
      </w:r>
      <w:r w:rsidRPr="00CF40C5">
        <w:t xml:space="preserve"> достоверной информации, студенты подверглись арестам и задержаниям в 30 из 31</w:t>
      </w:r>
      <w:r>
        <w:t> </w:t>
      </w:r>
      <w:r w:rsidRPr="00CF40C5">
        <w:t xml:space="preserve">провинции страны, причем большинство арестов происходило в провинции Тегеран и в </w:t>
      </w:r>
      <w:r>
        <w:t xml:space="preserve">районах проживания </w:t>
      </w:r>
      <w:r w:rsidRPr="00CF40C5">
        <w:t>многочисленны</w:t>
      </w:r>
      <w:r>
        <w:t>х</w:t>
      </w:r>
      <w:r w:rsidRPr="00CF40C5">
        <w:t xml:space="preserve"> этнически</w:t>
      </w:r>
      <w:r>
        <w:t>х</w:t>
      </w:r>
      <w:r w:rsidRPr="00CF40C5">
        <w:t xml:space="preserve"> меньшинств. Миссия </w:t>
      </w:r>
      <w:r>
        <w:t xml:space="preserve">раздобыла </w:t>
      </w:r>
      <w:r w:rsidRPr="00CF40C5">
        <w:t>достоверную информацию о 817</w:t>
      </w:r>
      <w:r>
        <w:t> </w:t>
      </w:r>
      <w:r w:rsidRPr="00CF40C5">
        <w:t>случаях ареста и задержания студентов, включая женщин, в связи с протестами и установила ряд случаев массовых арестов студентов.</w:t>
      </w:r>
    </w:p>
    <w:p w14:paraId="72C6885A" w14:textId="77777777" w:rsidR="007D3D4F" w:rsidRPr="00CF40C5" w:rsidRDefault="007D3D4F" w:rsidP="007D3D4F">
      <w:pPr>
        <w:pStyle w:val="SingleTxtG"/>
      </w:pPr>
      <w:r w:rsidRPr="00CF40C5">
        <w:t>76.</w:t>
      </w:r>
      <w:r w:rsidRPr="00CF40C5">
        <w:tab/>
        <w:t>Школы, университеты и студенческие общежития подвергались рейдам со стороны сил безопасности, а студенты</w:t>
      </w:r>
      <w:r>
        <w:t> —</w:t>
      </w:r>
      <w:r w:rsidRPr="00CF40C5">
        <w:t xml:space="preserve"> жестоким нападениям с применением дубинок и электрошокеров, слезоточивого газа и беспорядочной стрельбы боевыми патронами. </w:t>
      </w:r>
      <w:r w:rsidRPr="004D70F6">
        <w:t xml:space="preserve">Ярким примером этого стало подавление акции протеста, организованной в Технологическом университете </w:t>
      </w:r>
      <w:r>
        <w:t>им. </w:t>
      </w:r>
      <w:r w:rsidRPr="004D70F6">
        <w:t>Шариф</w:t>
      </w:r>
      <w:r>
        <w:t>а</w:t>
      </w:r>
      <w:r w:rsidRPr="004D70F6">
        <w:t xml:space="preserve"> в Тегеране 2</w:t>
      </w:r>
      <w:r>
        <w:t> </w:t>
      </w:r>
      <w:r w:rsidRPr="004D70F6">
        <w:t>октября 2022</w:t>
      </w:r>
      <w:r>
        <w:t> </w:t>
      </w:r>
      <w:r w:rsidRPr="004D70F6">
        <w:t xml:space="preserve">года: </w:t>
      </w:r>
      <w:r>
        <w:t>ополченцы басидж</w:t>
      </w:r>
      <w:r w:rsidRPr="004D70F6">
        <w:t xml:space="preserve"> и агенты в штатском ворвались в университет и через ворота открыли огонь</w:t>
      </w:r>
      <w:r>
        <w:t>, применяя</w:t>
      </w:r>
      <w:r w:rsidRPr="004D70F6">
        <w:t xml:space="preserve"> дробовик</w:t>
      </w:r>
      <w:r>
        <w:t>и</w:t>
      </w:r>
      <w:r w:rsidRPr="004D70F6">
        <w:t>, слезоточив</w:t>
      </w:r>
      <w:r>
        <w:t>ый</w:t>
      </w:r>
      <w:r w:rsidRPr="004D70F6">
        <w:t xml:space="preserve"> газ, резиновы</w:t>
      </w:r>
      <w:r>
        <w:t>е</w:t>
      </w:r>
      <w:r w:rsidRPr="004D70F6">
        <w:t xml:space="preserve"> пул</w:t>
      </w:r>
      <w:r>
        <w:t>и</w:t>
      </w:r>
      <w:r w:rsidRPr="004D70F6">
        <w:t xml:space="preserve"> и </w:t>
      </w:r>
      <w:r w:rsidRPr="00670200">
        <w:t>шарик</w:t>
      </w:r>
      <w:r>
        <w:t>и</w:t>
      </w:r>
      <w:r w:rsidRPr="00670200">
        <w:t xml:space="preserve"> с маркирующим красителем</w:t>
      </w:r>
      <w:r w:rsidRPr="004D70F6">
        <w:t>, избивая студентов и массово арестовывая их вместе с преподавателями.</w:t>
      </w:r>
    </w:p>
    <w:p w14:paraId="4569D6E3" w14:textId="2CCD887E" w:rsidR="007D3D4F" w:rsidRPr="00CF40C5" w:rsidRDefault="007D3D4F" w:rsidP="007D3D4F">
      <w:pPr>
        <w:pStyle w:val="SingleTxtG"/>
      </w:pPr>
      <w:r w:rsidRPr="00CF40C5">
        <w:t>77.</w:t>
      </w:r>
      <w:r w:rsidRPr="00CF40C5">
        <w:tab/>
        <w:t>В апреле 2023</w:t>
      </w:r>
      <w:r>
        <w:t> года</w:t>
      </w:r>
      <w:r w:rsidRPr="00CF40C5">
        <w:t xml:space="preserve"> Национальный совет студенческих союзов сообщил, что более 435</w:t>
      </w:r>
      <w:r>
        <w:t> </w:t>
      </w:r>
      <w:r w:rsidRPr="00CF40C5">
        <w:t>студентов в университетах по всей стране были отстранены от занятий или исключены за участие в общенациональных акциях протеста. Другие покинули свои школы или университеты, опасаясь мести со стороны сотрудников служб безопасности. В августе 2023</w:t>
      </w:r>
      <w:r>
        <w:t> года</w:t>
      </w:r>
      <w:r w:rsidRPr="00CF40C5">
        <w:t xml:space="preserve"> </w:t>
      </w:r>
      <w:r>
        <w:t xml:space="preserve">один </w:t>
      </w:r>
      <w:r w:rsidRPr="00CF40C5">
        <w:t>новостной канал, управляемый студентами университетов, опубликовал список из 2843</w:t>
      </w:r>
      <w:r>
        <w:t> </w:t>
      </w:r>
      <w:r w:rsidRPr="00CF40C5">
        <w:t>студентов, которые были вызваны в дисциплинарные комитеты за их предполагаемую роль в протестах.</w:t>
      </w:r>
    </w:p>
    <w:p w14:paraId="0865956A" w14:textId="63FA10A7" w:rsidR="007D3D4F" w:rsidRPr="00CF40C5" w:rsidRDefault="007D3D4F" w:rsidP="007D3D4F">
      <w:pPr>
        <w:pStyle w:val="SingleTxtG"/>
      </w:pPr>
      <w:r w:rsidRPr="00CF40C5">
        <w:t>78.</w:t>
      </w:r>
      <w:r w:rsidRPr="00CF40C5">
        <w:tab/>
        <w:t xml:space="preserve">Многим </w:t>
      </w:r>
      <w:r>
        <w:t xml:space="preserve">преподавателям </w:t>
      </w:r>
      <w:r w:rsidRPr="00CF40C5">
        <w:t xml:space="preserve">и лидерам профсоюзов </w:t>
      </w:r>
      <w:r>
        <w:t>преподавателей</w:t>
      </w:r>
      <w:r w:rsidRPr="00CF40C5">
        <w:t xml:space="preserve"> были предъявлены обвинения в серьезных преступлениях против национальной безопасности за их участие в протестах. </w:t>
      </w:r>
      <w:r w:rsidRPr="00157548">
        <w:t xml:space="preserve">Миссия также установила практику непрозрачных отстранений и увольнений, принудительного выхода на пенсию, сокращения заработной платы и других произвольных мер возмездия против преподавателей и научных работников за их участие в протестах и несоблюдение закона об обязательном ношении хиджаба. </w:t>
      </w:r>
      <w:r>
        <w:t>По</w:t>
      </w:r>
      <w:r w:rsidRPr="00CF40C5">
        <w:t xml:space="preserve"> достоверной информации, государственные власти также принимали меры для удержания и найма только лояльных Исламской Республике</w:t>
      </w:r>
      <w:r w:rsidRPr="006D7E0B">
        <w:rPr>
          <w:rStyle w:val="FootnoteReference"/>
        </w:rPr>
        <w:footnoteReference w:id="23"/>
      </w:r>
      <w:r w:rsidRPr="00CF40C5">
        <w:t xml:space="preserve"> преподавателей и исключали других, в том числе тех, кто </w:t>
      </w:r>
      <w:r>
        <w:t xml:space="preserve">участвовал в </w:t>
      </w:r>
      <w:r w:rsidRPr="00CF40C5">
        <w:t>профсоюзной деятельност</w:t>
      </w:r>
      <w:r>
        <w:t>и</w:t>
      </w:r>
      <w:r w:rsidRPr="00CF40C5">
        <w:t xml:space="preserve"> и деятельност</w:t>
      </w:r>
      <w:r>
        <w:t>и</w:t>
      </w:r>
      <w:r w:rsidRPr="00CF40C5">
        <w:t xml:space="preserve"> организаций гражданского общества.</w:t>
      </w:r>
    </w:p>
    <w:p w14:paraId="3C21B9E8" w14:textId="5D23FAA4" w:rsidR="007D3D4F" w:rsidRPr="00CF40C5" w:rsidRDefault="007D3D4F" w:rsidP="007D3D4F">
      <w:pPr>
        <w:pStyle w:val="SingleTxtG"/>
      </w:pPr>
      <w:bookmarkStart w:id="16" w:name="_Hlk156622099"/>
      <w:r w:rsidRPr="00CF40C5">
        <w:lastRenderedPageBreak/>
        <w:t>79.</w:t>
      </w:r>
      <w:r w:rsidRPr="00CF40C5">
        <w:tab/>
        <w:t>21</w:t>
      </w:r>
      <w:r>
        <w:t> сентября</w:t>
      </w:r>
      <w:r w:rsidRPr="00CF40C5">
        <w:t xml:space="preserve"> 2023</w:t>
      </w:r>
      <w:r>
        <w:t> года</w:t>
      </w:r>
      <w:r w:rsidRPr="00CF40C5">
        <w:t xml:space="preserve"> министр образования объявил, что в 2023</w:t>
      </w:r>
      <w:r>
        <w:t> </w:t>
      </w:r>
      <w:r w:rsidRPr="00CF40C5">
        <w:t>году около 20</w:t>
      </w:r>
      <w:r>
        <w:t> </w:t>
      </w:r>
      <w:r w:rsidR="00E46BC6" w:rsidRPr="00E46BC6">
        <w:t>000</w:t>
      </w:r>
      <w:r>
        <w:t> </w:t>
      </w:r>
      <w:r w:rsidRPr="00CF40C5">
        <w:t xml:space="preserve">директоров школ были </w:t>
      </w:r>
      <w:r>
        <w:t>«</w:t>
      </w:r>
      <w:r w:rsidRPr="00CF40C5">
        <w:t>заменены, чтобы изменить ситуацию в школах</w:t>
      </w:r>
      <w:r>
        <w:t>»</w:t>
      </w:r>
      <w:r w:rsidRPr="006D7E0B">
        <w:rPr>
          <w:rStyle w:val="FootnoteReference"/>
        </w:rPr>
        <w:footnoteReference w:id="24"/>
      </w:r>
      <w:r>
        <w:t>.</w:t>
      </w:r>
      <w:r w:rsidRPr="00CF40C5">
        <w:t xml:space="preserve"> 29</w:t>
      </w:r>
      <w:r>
        <w:t> октября</w:t>
      </w:r>
      <w:r w:rsidRPr="00CF40C5">
        <w:t xml:space="preserve"> 2023</w:t>
      </w:r>
      <w:r>
        <w:t> года</w:t>
      </w:r>
      <w:r w:rsidRPr="00CF40C5">
        <w:t xml:space="preserve"> иранские СМИ сообщили, что в университетах идет процесс </w:t>
      </w:r>
      <w:r>
        <w:t>«</w:t>
      </w:r>
      <w:r w:rsidRPr="00CF40C5">
        <w:t>очищения</w:t>
      </w:r>
      <w:r>
        <w:t>»</w:t>
      </w:r>
      <w:r w:rsidRPr="00CF40C5">
        <w:t xml:space="preserve">, в результате чего ряд преподавателей и школьных администраторов были уволены или </w:t>
      </w:r>
      <w:r>
        <w:t>выгнаны</w:t>
      </w:r>
      <w:r w:rsidRPr="00CF40C5">
        <w:t>, и что эта тенденция будет продолжаться</w:t>
      </w:r>
      <w:bookmarkEnd w:id="16"/>
      <w:r w:rsidRPr="006D7E0B">
        <w:rPr>
          <w:rStyle w:val="FootnoteReference"/>
        </w:rPr>
        <w:footnoteReference w:id="25"/>
      </w:r>
      <w:r>
        <w:t>.</w:t>
      </w:r>
    </w:p>
    <w:p w14:paraId="74E5CE2C" w14:textId="77777777" w:rsidR="007D3D4F" w:rsidRPr="00CF40C5" w:rsidRDefault="007D3D4F" w:rsidP="007D3D4F">
      <w:pPr>
        <w:pStyle w:val="H1G"/>
      </w:pPr>
      <w:r w:rsidRPr="00CF40C5">
        <w:tab/>
      </w:r>
      <w:r w:rsidRPr="006D7E0B">
        <w:t>C</w:t>
      </w:r>
      <w:r w:rsidRPr="00CF40C5">
        <w:t>.</w:t>
      </w:r>
      <w:r w:rsidRPr="00CF40C5">
        <w:tab/>
        <w:t>Адвокаты</w:t>
      </w:r>
    </w:p>
    <w:p w14:paraId="2F236678" w14:textId="77777777" w:rsidR="007D3D4F" w:rsidRPr="00CF40C5" w:rsidRDefault="007D3D4F" w:rsidP="007D3D4F">
      <w:pPr>
        <w:pStyle w:val="SingleTxtG"/>
      </w:pPr>
      <w:r w:rsidRPr="00CF40C5">
        <w:t>80.</w:t>
      </w:r>
      <w:r>
        <w:tab/>
      </w:r>
      <w:r w:rsidRPr="00CF40C5">
        <w:t>Адвокаты,</w:t>
      </w:r>
      <w:r>
        <w:t xml:space="preserve"> </w:t>
      </w:r>
      <w:r w:rsidRPr="00CF40C5">
        <w:t xml:space="preserve">представлявшие лиц, которым были предъявлены обвинения по делам, связанным с протестами, и/или публично выражавшие солидарность с </w:t>
      </w:r>
      <w:r>
        <w:t>участниками протестов</w:t>
      </w:r>
      <w:r w:rsidRPr="00CF40C5">
        <w:t xml:space="preserve">, подвергались репрессиям, включая запугивание путем вызовов и допросов в спецслужбах, угрозы и фактическое отстранение от работы в адвокатуре, аресты и содержание под стражей, пытки и другие виды </w:t>
      </w:r>
      <w:r>
        <w:t>неправомерного обращения</w:t>
      </w:r>
      <w:r w:rsidRPr="00CF40C5">
        <w:t>, а также уголовное преследование.</w:t>
      </w:r>
    </w:p>
    <w:p w14:paraId="7C1EE66D" w14:textId="48535A77" w:rsidR="007D3D4F" w:rsidRPr="00CF40C5" w:rsidRDefault="007D3D4F" w:rsidP="007D3D4F">
      <w:pPr>
        <w:pStyle w:val="SingleTxtG"/>
      </w:pPr>
      <w:r w:rsidRPr="00CF40C5">
        <w:t>81.</w:t>
      </w:r>
      <w:r w:rsidRPr="00CF40C5">
        <w:tab/>
        <w:t>Миссия установила, что государственные власти арестовывали</w:t>
      </w:r>
      <w:r>
        <w:t xml:space="preserve"> и</w:t>
      </w:r>
      <w:r w:rsidRPr="00CF40C5">
        <w:t xml:space="preserve"> задерживали</w:t>
      </w:r>
      <w:r>
        <w:t xml:space="preserve"> </w:t>
      </w:r>
      <w:r w:rsidRPr="00CF40C5">
        <w:t xml:space="preserve">адвокатов, предъявляли </w:t>
      </w:r>
      <w:r>
        <w:t xml:space="preserve">им </w:t>
      </w:r>
      <w:r w:rsidRPr="00CF40C5">
        <w:t xml:space="preserve">обвинения и преследовали </w:t>
      </w:r>
      <w:r>
        <w:t xml:space="preserve">их </w:t>
      </w:r>
      <w:r w:rsidRPr="00CF40C5">
        <w:t xml:space="preserve">в связи с их профессиональной деятельностью по представлению интересов их клиентов, в том числе за оказание юридической помощи и содействия </w:t>
      </w:r>
      <w:r>
        <w:t xml:space="preserve">участникам </w:t>
      </w:r>
      <w:r w:rsidRPr="00CF40C5">
        <w:t>протест</w:t>
      </w:r>
      <w:r>
        <w:t>ов</w:t>
      </w:r>
      <w:r w:rsidRPr="00CF40C5">
        <w:t xml:space="preserve"> и их семьям; осуждение пыток и </w:t>
      </w:r>
      <w:r>
        <w:t>неправомерного обращения</w:t>
      </w:r>
      <w:r w:rsidRPr="00CF40C5">
        <w:t xml:space="preserve"> с их клиентами; выражение своего мнения, в том числе в знак солидарности с протестами; и дачу интервью средствам массовой информации. С</w:t>
      </w:r>
      <w:r>
        <w:t xml:space="preserve"> сентября</w:t>
      </w:r>
      <w:r w:rsidRPr="00CF40C5">
        <w:t xml:space="preserve"> 2022</w:t>
      </w:r>
      <w:r>
        <w:t> года</w:t>
      </w:r>
      <w:r w:rsidRPr="00CF40C5">
        <w:t xml:space="preserve"> 157</w:t>
      </w:r>
      <w:r>
        <w:t> </w:t>
      </w:r>
      <w:r w:rsidRPr="00CF40C5">
        <w:t xml:space="preserve">адвокатов подверглись различным формам судебного преследования, 57 из них были арестованы. </w:t>
      </w:r>
      <w:r w:rsidRPr="00A03FA3">
        <w:t>Государственные власти подверг</w:t>
      </w:r>
      <w:r>
        <w:t>а</w:t>
      </w:r>
      <w:r w:rsidRPr="00A03FA3">
        <w:t xml:space="preserve">ли коллегии адвокатов усиленному давлению, требуя принятия дисциплинарных мер в отношении многих адвокатов, </w:t>
      </w:r>
      <w:r w:rsidR="00E46BC6">
        <w:br/>
      </w:r>
      <w:r w:rsidRPr="00A03FA3">
        <w:t>а революционны</w:t>
      </w:r>
      <w:r>
        <w:t>е</w:t>
      </w:r>
      <w:r w:rsidRPr="00A03FA3">
        <w:t xml:space="preserve"> и уголовны</w:t>
      </w:r>
      <w:r>
        <w:t>е</w:t>
      </w:r>
      <w:r w:rsidRPr="00A03FA3">
        <w:t xml:space="preserve"> суды запре</w:t>
      </w:r>
      <w:r>
        <w:t>ща</w:t>
      </w:r>
      <w:r w:rsidRPr="00A03FA3">
        <w:t xml:space="preserve">ли адвокатам заниматься адвокатской деятельностью. </w:t>
      </w:r>
      <w:r w:rsidRPr="00EF4599">
        <w:t>Власти также приняли законодательство, направленное на дальнейшее снижение независимости ассоциаций адвокатов путем вмешательства администрации и судебных органов в такие вопросы, как выдача лицензий на ведение адвокатской деятельности и надзор за поведением адвокатов.</w:t>
      </w:r>
    </w:p>
    <w:p w14:paraId="487AE5D3" w14:textId="77777777" w:rsidR="007D3D4F" w:rsidRPr="00CF40C5" w:rsidRDefault="007D3D4F" w:rsidP="007D3D4F">
      <w:pPr>
        <w:pStyle w:val="SingleTxtG"/>
        <w:rPr>
          <w:lang w:bidi="ar-LB"/>
        </w:rPr>
      </w:pPr>
      <w:r w:rsidRPr="00CF40C5">
        <w:t>82.</w:t>
      </w:r>
      <w:r w:rsidRPr="00CF40C5">
        <w:tab/>
      </w:r>
      <w:r w:rsidRPr="003A68FD">
        <w:t xml:space="preserve">Адвокаты, опрошенные миссией, неоднократно выражали обеспокоенность по поводу страха подвергнуться судебному преследованию </w:t>
      </w:r>
      <w:r>
        <w:t xml:space="preserve">в связи с </w:t>
      </w:r>
      <w:r w:rsidRPr="003A68FD">
        <w:t>защит</w:t>
      </w:r>
      <w:r>
        <w:t>ой</w:t>
      </w:r>
      <w:r w:rsidRPr="003A68FD">
        <w:t xml:space="preserve"> </w:t>
      </w:r>
      <w:r>
        <w:t>участников протестов</w:t>
      </w:r>
      <w:r w:rsidRPr="00CF40C5">
        <w:t xml:space="preserve">. Несколько адвокатов были вынуждены покинуть страну из-за судебных преследований. Две </w:t>
      </w:r>
      <w:r w:rsidRPr="00CF40C5">
        <w:rPr>
          <w:lang w:bidi="ar-LB"/>
        </w:rPr>
        <w:t xml:space="preserve">женщины-адвоката </w:t>
      </w:r>
      <w:r w:rsidRPr="003A68FD">
        <w:rPr>
          <w:lang w:bidi="ar-LB"/>
        </w:rPr>
        <w:t xml:space="preserve">скончались </w:t>
      </w:r>
      <w:r w:rsidRPr="00CF40C5">
        <w:rPr>
          <w:lang w:bidi="ar-LB"/>
        </w:rPr>
        <w:t xml:space="preserve">вскоре после заключения под стражу </w:t>
      </w:r>
      <w:r>
        <w:rPr>
          <w:lang w:bidi="ar-LB"/>
        </w:rPr>
        <w:t xml:space="preserve">за их </w:t>
      </w:r>
      <w:r w:rsidRPr="00CF40C5">
        <w:rPr>
          <w:lang w:bidi="ar-LB"/>
        </w:rPr>
        <w:t>работ</w:t>
      </w:r>
      <w:r>
        <w:rPr>
          <w:lang w:bidi="ar-LB"/>
        </w:rPr>
        <w:t xml:space="preserve">у, связанную с </w:t>
      </w:r>
      <w:r w:rsidRPr="00CF40C5">
        <w:rPr>
          <w:lang w:bidi="ar-LB"/>
        </w:rPr>
        <w:t>протест</w:t>
      </w:r>
      <w:r>
        <w:rPr>
          <w:lang w:bidi="ar-LB"/>
        </w:rPr>
        <w:t>ами</w:t>
      </w:r>
      <w:r w:rsidRPr="00CF40C5">
        <w:rPr>
          <w:lang w:bidi="ar-LB"/>
        </w:rPr>
        <w:t>.</w:t>
      </w:r>
    </w:p>
    <w:p w14:paraId="2DCF9DCE" w14:textId="77777777" w:rsidR="007D3D4F" w:rsidRPr="00CF40C5" w:rsidRDefault="007D3D4F" w:rsidP="007D3D4F">
      <w:pPr>
        <w:pStyle w:val="H1G"/>
      </w:pPr>
      <w:r w:rsidRPr="00CF40C5">
        <w:tab/>
      </w:r>
      <w:r>
        <w:rPr>
          <w:lang w:val="fr-FR"/>
        </w:rPr>
        <w:t>D</w:t>
      </w:r>
      <w:r w:rsidRPr="00CF40C5">
        <w:t>.</w:t>
      </w:r>
      <w:r>
        <w:tab/>
      </w:r>
      <w:r w:rsidRPr="00CF40C5">
        <w:t>Журналисты</w:t>
      </w:r>
    </w:p>
    <w:p w14:paraId="10E5ACA0" w14:textId="77777777" w:rsidR="007D3D4F" w:rsidRPr="00CF40C5" w:rsidRDefault="007D3D4F" w:rsidP="007D3D4F">
      <w:pPr>
        <w:pStyle w:val="SingleTxtG"/>
      </w:pPr>
      <w:r w:rsidRPr="00CF40C5">
        <w:t>83.</w:t>
      </w:r>
      <w:r w:rsidRPr="00CF40C5">
        <w:tab/>
        <w:t>Миссия установила, что государственные власти арестовали, задержали, подвергли судебному преследованию и осудили более 100</w:t>
      </w:r>
      <w:r>
        <w:t> </w:t>
      </w:r>
      <w:r w:rsidRPr="00CF40C5">
        <w:t xml:space="preserve">журналистов и работников СМИ только за освещение протестов, проведение расследований, публикацию своих мнений или предоставление слова или платформы жертвам протестов и членам их семей. </w:t>
      </w:r>
      <w:r w:rsidRPr="004D0964">
        <w:t xml:space="preserve">Неправительственные организации сообщили об аресте рекордного числа женщин-журналистов </w:t>
      </w:r>
      <w:r>
        <w:t>(</w:t>
      </w:r>
      <w:r w:rsidRPr="004D0964">
        <w:t>31</w:t>
      </w:r>
      <w:r>
        <w:t>)</w:t>
      </w:r>
      <w:r w:rsidRPr="004D0964">
        <w:t xml:space="preserve"> во время протестов.</w:t>
      </w:r>
    </w:p>
    <w:p w14:paraId="561C1FDC" w14:textId="77777777" w:rsidR="007D3D4F" w:rsidRPr="00CF40C5" w:rsidRDefault="007D3D4F" w:rsidP="007D3D4F">
      <w:pPr>
        <w:pStyle w:val="SingleTxtG"/>
      </w:pPr>
      <w:r w:rsidRPr="00CF40C5">
        <w:t>84.</w:t>
      </w:r>
      <w:r w:rsidRPr="00CF40C5">
        <w:tab/>
        <w:t xml:space="preserve">Миссия также установила, что государственные власти </w:t>
      </w:r>
      <w:r>
        <w:t xml:space="preserve">подвергали </w:t>
      </w:r>
      <w:r w:rsidRPr="00CF40C5">
        <w:t>преследова</w:t>
      </w:r>
      <w:r>
        <w:t>ниям</w:t>
      </w:r>
      <w:r w:rsidRPr="00CF40C5">
        <w:t>, угро</w:t>
      </w:r>
      <w:r>
        <w:t>зам</w:t>
      </w:r>
      <w:r w:rsidRPr="00CF40C5">
        <w:t xml:space="preserve"> и запугива</w:t>
      </w:r>
      <w:r>
        <w:t>ниям</w:t>
      </w:r>
      <w:r w:rsidRPr="00CF40C5">
        <w:t xml:space="preserve"> журналистов и других работников средств массовой информации, работающих за пределами страны, в том числе сотрудников Персидской службы Би-Би-Си, телевидения </w:t>
      </w:r>
      <w:r>
        <w:t>«</w:t>
      </w:r>
      <w:r w:rsidRPr="00CF40C5">
        <w:t>Иран</w:t>
      </w:r>
      <w:r>
        <w:t xml:space="preserve"> интернэшнл»</w:t>
      </w:r>
      <w:r w:rsidRPr="00CF40C5">
        <w:t xml:space="preserve">, </w:t>
      </w:r>
      <w:r>
        <w:t>«</w:t>
      </w:r>
      <w:r w:rsidRPr="00CF40C5">
        <w:t>Голоса Америки</w:t>
      </w:r>
      <w:r>
        <w:t>»</w:t>
      </w:r>
      <w:r w:rsidRPr="00CF40C5">
        <w:t xml:space="preserve">, </w:t>
      </w:r>
      <w:r>
        <w:t>веб-сайта «</w:t>
      </w:r>
      <w:r w:rsidRPr="006D7E0B">
        <w:t>IranWire</w:t>
      </w:r>
      <w:r>
        <w:t>»</w:t>
      </w:r>
      <w:r w:rsidRPr="00CF40C5">
        <w:t xml:space="preserve"> и </w:t>
      </w:r>
      <w:r w:rsidRPr="001A3608">
        <w:t>«Дойче велле»</w:t>
      </w:r>
      <w:r w:rsidRPr="00CF40C5">
        <w:t>. Иранские власти вызывали</w:t>
      </w:r>
      <w:r>
        <w:t xml:space="preserve"> </w:t>
      </w:r>
      <w:r w:rsidRPr="00CF40C5">
        <w:t>член</w:t>
      </w:r>
      <w:r>
        <w:t>ов</w:t>
      </w:r>
      <w:r w:rsidRPr="00CF40C5">
        <w:t xml:space="preserve"> семей этих журналистов и работников СМИ, угрожали</w:t>
      </w:r>
      <w:r>
        <w:t xml:space="preserve"> им</w:t>
      </w:r>
      <w:r w:rsidRPr="00CF40C5">
        <w:t>, а в некоторых случаях арестовывали</w:t>
      </w:r>
      <w:r>
        <w:t xml:space="preserve"> и</w:t>
      </w:r>
      <w:r w:rsidRPr="00CF40C5">
        <w:t xml:space="preserve"> задерживали </w:t>
      </w:r>
      <w:r>
        <w:t xml:space="preserve">их </w:t>
      </w:r>
      <w:r w:rsidRPr="00CF40C5">
        <w:t xml:space="preserve">и предъявляли </w:t>
      </w:r>
      <w:r>
        <w:t xml:space="preserve">им </w:t>
      </w:r>
      <w:r w:rsidRPr="00CF40C5">
        <w:t xml:space="preserve">обвинения в явной попытке оказать давление </w:t>
      </w:r>
      <w:r>
        <w:t xml:space="preserve">на этих </w:t>
      </w:r>
      <w:r w:rsidRPr="00CF40C5">
        <w:t>журналистов и работников</w:t>
      </w:r>
      <w:r>
        <w:t xml:space="preserve"> </w:t>
      </w:r>
      <w:r w:rsidRPr="00CF40C5">
        <w:t>СМИ и помешать им освещать события в стране. 19</w:t>
      </w:r>
      <w:r>
        <w:t> октября</w:t>
      </w:r>
      <w:r w:rsidRPr="00CF40C5">
        <w:t xml:space="preserve"> 2022</w:t>
      </w:r>
      <w:r>
        <w:t> года</w:t>
      </w:r>
      <w:r w:rsidRPr="00CF40C5">
        <w:t xml:space="preserve"> Министерство иностранных дел наложило санкции на Персидскую службу Би-би-си и телевидение </w:t>
      </w:r>
      <w:r>
        <w:t>«</w:t>
      </w:r>
      <w:r w:rsidRPr="00CF40C5">
        <w:t>Иран</w:t>
      </w:r>
      <w:r>
        <w:t xml:space="preserve"> интернэшнл»</w:t>
      </w:r>
      <w:r w:rsidRPr="00CF40C5">
        <w:t xml:space="preserve">, а также заморозило </w:t>
      </w:r>
      <w:r w:rsidRPr="00CF40C5">
        <w:lastRenderedPageBreak/>
        <w:t xml:space="preserve">активы их сотрудников. </w:t>
      </w:r>
      <w:r w:rsidRPr="00611482">
        <w:t>Журналистам также поступали серьезные угрозы, в том числе их жизни и личной безопасности, что в некоторых странах приводило к вмешательству полиции.</w:t>
      </w:r>
      <w:r>
        <w:t xml:space="preserve"> </w:t>
      </w:r>
      <w:r w:rsidRPr="00CF40C5">
        <w:t xml:space="preserve">Журналисты, особенно </w:t>
      </w:r>
      <w:r>
        <w:t xml:space="preserve">из числа </w:t>
      </w:r>
      <w:r w:rsidRPr="00CF40C5">
        <w:t>женщин, столкнулись с усиленной диффамацией, преследованиями и напад</w:t>
      </w:r>
      <w:r>
        <w:t>ками</w:t>
      </w:r>
      <w:r w:rsidRPr="00CF40C5">
        <w:t xml:space="preserve"> в Интернете.</w:t>
      </w:r>
    </w:p>
    <w:p w14:paraId="0FFF1B6F" w14:textId="77777777" w:rsidR="007D3D4F" w:rsidRPr="00CF40C5" w:rsidRDefault="007D3D4F" w:rsidP="007D3D4F">
      <w:pPr>
        <w:pStyle w:val="H1G"/>
      </w:pPr>
      <w:r w:rsidRPr="00CF40C5">
        <w:tab/>
      </w:r>
      <w:r w:rsidRPr="006D7E0B">
        <w:t>E</w:t>
      </w:r>
      <w:r w:rsidRPr="00CF40C5">
        <w:t>.</w:t>
      </w:r>
      <w:r w:rsidRPr="00CF40C5">
        <w:tab/>
        <w:t>Другие целевые группы</w:t>
      </w:r>
    </w:p>
    <w:p w14:paraId="48CC2300" w14:textId="77777777" w:rsidR="007D3D4F" w:rsidRPr="00CF40C5" w:rsidRDefault="007D3D4F" w:rsidP="007D3D4F">
      <w:pPr>
        <w:pStyle w:val="SingleTxtG"/>
      </w:pPr>
      <w:r w:rsidRPr="00CF40C5">
        <w:t>85.</w:t>
      </w:r>
      <w:r w:rsidRPr="00CF40C5">
        <w:tab/>
      </w:r>
      <w:r w:rsidRPr="001E50BF">
        <w:t xml:space="preserve">Миссия обнаружила ряд других групп, которые стали объектом преследования за поддержку движения «Женщина, жизнь, свобода», включая правозащитников, художников и спортсменов, </w:t>
      </w:r>
      <w:r w:rsidRPr="00F51B7B">
        <w:t>популярны</w:t>
      </w:r>
      <w:r>
        <w:t>х</w:t>
      </w:r>
      <w:r w:rsidRPr="00F51B7B">
        <w:t xml:space="preserve"> в социальных сетях блогер</w:t>
      </w:r>
      <w:r>
        <w:t>ов</w:t>
      </w:r>
      <w:r w:rsidRPr="001E50BF">
        <w:t xml:space="preserve">, а также граждан с двойным и иностранным гражданством. </w:t>
      </w:r>
      <w:r w:rsidRPr="00CF40C5">
        <w:t>Полный обзор содержится в документе зала заседаний.</w:t>
      </w:r>
    </w:p>
    <w:p w14:paraId="5A67A13F" w14:textId="77777777" w:rsidR="007D3D4F" w:rsidRPr="00CF40C5" w:rsidRDefault="007D3D4F" w:rsidP="007D3D4F">
      <w:pPr>
        <w:pStyle w:val="H1G"/>
      </w:pPr>
      <w:r w:rsidRPr="00CF40C5">
        <w:tab/>
      </w:r>
      <w:r w:rsidRPr="006D7E0B">
        <w:t>F</w:t>
      </w:r>
      <w:r w:rsidRPr="00CF40C5">
        <w:t>.</w:t>
      </w:r>
      <w:r w:rsidRPr="00CF40C5">
        <w:tab/>
        <w:t xml:space="preserve">Запугивание и </w:t>
      </w:r>
      <w:r>
        <w:t>возмездие в отношении</w:t>
      </w:r>
      <w:r w:rsidRPr="00CF40C5">
        <w:t xml:space="preserve"> школьниц: школьные отравления</w:t>
      </w:r>
    </w:p>
    <w:p w14:paraId="54A1DD74" w14:textId="5B63CC6E" w:rsidR="007D3D4F" w:rsidRPr="00CF40C5" w:rsidRDefault="007D3D4F" w:rsidP="007D3D4F">
      <w:pPr>
        <w:pStyle w:val="SingleTxtG"/>
      </w:pPr>
      <w:r w:rsidRPr="00CF40C5">
        <w:t>86.</w:t>
      </w:r>
      <w:r w:rsidRPr="00CF40C5">
        <w:tab/>
        <w:t>30</w:t>
      </w:r>
      <w:r>
        <w:t> ноября</w:t>
      </w:r>
      <w:r w:rsidRPr="00CF40C5">
        <w:t xml:space="preserve"> 2022</w:t>
      </w:r>
      <w:r>
        <w:t> года</w:t>
      </w:r>
      <w:r w:rsidRPr="00CF40C5">
        <w:t>, через два месяца после начала общенациональных протестов, первые случаи отравления в школах были зарегистрированы в священном городе Кум</w:t>
      </w:r>
      <w:r>
        <w:t>е</w:t>
      </w:r>
      <w:r w:rsidRPr="00CF40C5">
        <w:t>, где 18</w:t>
      </w:r>
      <w:r>
        <w:t> девочек</w:t>
      </w:r>
      <w:r w:rsidRPr="00CF40C5">
        <w:t xml:space="preserve"> из технического училища </w:t>
      </w:r>
      <w:r>
        <w:t>«</w:t>
      </w:r>
      <w:r w:rsidRPr="00CF40C5">
        <w:t>Нур</w:t>
      </w:r>
      <w:r>
        <w:t>»</w:t>
      </w:r>
      <w:r w:rsidRPr="00CF40C5">
        <w:t xml:space="preserve"> были доставлены в больницу после того, как у них возникли проблемы с дыханием, головокружение и тошнота. В последующие месяцы продолжали поступать сообщения о</w:t>
      </w:r>
      <w:r w:rsidRPr="007467DD">
        <w:t xml:space="preserve"> школьных отравлениях </w:t>
      </w:r>
      <w:r w:rsidRPr="00CF40C5">
        <w:t xml:space="preserve">в Куме и других провинциях, </w:t>
      </w:r>
      <w:r w:rsidRPr="007467DD">
        <w:t xml:space="preserve">которые участились </w:t>
      </w:r>
      <w:r w:rsidRPr="00CF40C5">
        <w:t>к марту 2023</w:t>
      </w:r>
      <w:r>
        <w:t> года</w:t>
      </w:r>
      <w:r w:rsidRPr="006D7E0B">
        <w:rPr>
          <w:rStyle w:val="FootnoteReference"/>
        </w:rPr>
        <w:footnoteReference w:id="26"/>
      </w:r>
      <w:r>
        <w:t>,</w:t>
      </w:r>
      <w:r w:rsidRPr="00CF40C5">
        <w:t xml:space="preserve"> </w:t>
      </w:r>
      <w:r w:rsidR="00E46BC6">
        <w:br/>
      </w:r>
      <w:r w:rsidRPr="00CF40C5">
        <w:t xml:space="preserve">а затем </w:t>
      </w:r>
      <w:r w:rsidRPr="007467DD">
        <w:t xml:space="preserve">пошли на спад </w:t>
      </w:r>
      <w:r w:rsidRPr="00CF40C5">
        <w:t>к осени 2023</w:t>
      </w:r>
      <w:r>
        <w:t> года</w:t>
      </w:r>
      <w:r w:rsidRPr="00CF40C5">
        <w:t>, причем последний случай был зафиксирован в ноябре 2023</w:t>
      </w:r>
      <w:r>
        <w:t> года</w:t>
      </w:r>
      <w:r w:rsidRPr="006D7E0B">
        <w:rPr>
          <w:rStyle w:val="FootnoteReference"/>
        </w:rPr>
        <w:footnoteReference w:id="27"/>
      </w:r>
      <w:r>
        <w:t>.</w:t>
      </w:r>
      <w:r w:rsidRPr="00CF40C5">
        <w:t xml:space="preserve"> Государственные власти признали, что пострадали тысячи </w:t>
      </w:r>
      <w:r>
        <w:t>учащихся</w:t>
      </w:r>
      <w:r w:rsidRPr="00CF40C5">
        <w:t>, в особенности девочки</w:t>
      </w:r>
      <w:r w:rsidRPr="006D7E0B">
        <w:rPr>
          <w:rStyle w:val="FootnoteReference"/>
        </w:rPr>
        <w:footnoteReference w:id="28"/>
      </w:r>
      <w:r>
        <w:t>.</w:t>
      </w:r>
    </w:p>
    <w:p w14:paraId="60B996BC" w14:textId="77777777" w:rsidR="007D3D4F" w:rsidRPr="00CF40C5" w:rsidRDefault="007D3D4F" w:rsidP="007D3D4F">
      <w:pPr>
        <w:pStyle w:val="SingleTxtG"/>
      </w:pPr>
      <w:r w:rsidRPr="00CF40C5">
        <w:t>87.</w:t>
      </w:r>
      <w:r w:rsidRPr="00CF40C5">
        <w:tab/>
        <w:t>Миссия расследовала эти беспрецедентные по своему характеру события, учитывая их временн</w:t>
      </w:r>
      <w:r>
        <w:t>ý</w:t>
      </w:r>
      <w:r w:rsidRPr="00CF40C5">
        <w:t xml:space="preserve">ю близость к общенациональным протестам, в которых школьницы принимали самое активное участие, и утверждения о том, что отравления в школах были вызваны стремлением подавить сопротивление, вселить </w:t>
      </w:r>
      <w:r>
        <w:t xml:space="preserve">в </w:t>
      </w:r>
      <w:r w:rsidRPr="00CF40C5">
        <w:t>детей страх и наказать</w:t>
      </w:r>
      <w:r>
        <w:t xml:space="preserve"> их</w:t>
      </w:r>
      <w:r w:rsidRPr="00CF40C5">
        <w:t>, в частности девочек и их семьи, за их роль в протестах. Медицинские и другие источники говорят о том, что, хотя симптомы были временными (от нескольких часов до нескольких дней), нельзя исключать долгосрочных побочных эффектов.</w:t>
      </w:r>
    </w:p>
    <w:p w14:paraId="4AD8A434" w14:textId="77777777" w:rsidR="007D3D4F" w:rsidRPr="00CF40C5" w:rsidRDefault="007D3D4F" w:rsidP="007D3D4F">
      <w:pPr>
        <w:pStyle w:val="SingleTxtG"/>
      </w:pPr>
      <w:r w:rsidRPr="00CF40C5">
        <w:t>88.</w:t>
      </w:r>
      <w:r w:rsidRPr="00CF40C5">
        <w:tab/>
        <w:t>Миссия сделала несколько юридических выводов и заключений на основе изученной информации, в том числе на основе реакции властей на отравления, хотя она не может сделать выводы о природе веществ, вызвавших симптомы, с которыми столкнулись</w:t>
      </w:r>
      <w:r>
        <w:t xml:space="preserve"> учащиеся</w:t>
      </w:r>
      <w:r w:rsidRPr="00CF40C5">
        <w:t>.</w:t>
      </w:r>
    </w:p>
    <w:p w14:paraId="74204D08" w14:textId="77777777" w:rsidR="007D3D4F" w:rsidRPr="00CF40C5" w:rsidRDefault="007D3D4F" w:rsidP="007D3D4F">
      <w:pPr>
        <w:pStyle w:val="SingleTxtG"/>
      </w:pPr>
      <w:r w:rsidRPr="00CF40C5">
        <w:t>89.</w:t>
      </w:r>
      <w:r w:rsidRPr="00CF40C5">
        <w:tab/>
        <w:t xml:space="preserve">Из-за противоречивых официальных объяснений не было прозрачности в отношении обвинений в отравлении. </w:t>
      </w:r>
      <w:r w:rsidRPr="0078541E">
        <w:t>Однако достоверн</w:t>
      </w:r>
      <w:r>
        <w:t>ые сведения</w:t>
      </w:r>
      <w:r w:rsidRPr="0078541E">
        <w:t xml:space="preserve"> позволя</w:t>
      </w:r>
      <w:r>
        <w:t>ю</w:t>
      </w:r>
      <w:r w:rsidRPr="0078541E">
        <w:t>т предположить, что жертвам и их семьям было отказано в доступе к информации о причинах отравления. В отчетах и заявлениях правительства о расследованиях по-разному упоминаются азот, «</w:t>
      </w:r>
      <w:r>
        <w:t xml:space="preserve">зловонные </w:t>
      </w:r>
      <w:r w:rsidRPr="0078541E">
        <w:t>бомбы», слезоточивый газ и перцовый аэрозоль или присутствие «пахуч</w:t>
      </w:r>
      <w:r>
        <w:t>его</w:t>
      </w:r>
      <w:r w:rsidRPr="0078541E">
        <w:t xml:space="preserve"> веществ</w:t>
      </w:r>
      <w:r>
        <w:t>а</w:t>
      </w:r>
      <w:r w:rsidRPr="0078541E">
        <w:t xml:space="preserve">» в школах и вокруг них, хотя в них отмечается, что эти вещества «не токсичны». </w:t>
      </w:r>
      <w:r w:rsidRPr="00CF40C5">
        <w:t xml:space="preserve">В то же время официальные лица называли эти события </w:t>
      </w:r>
      <w:r>
        <w:t>«</w:t>
      </w:r>
      <w:r w:rsidRPr="00CF40C5">
        <w:t>слухами</w:t>
      </w:r>
      <w:r>
        <w:t>»</w:t>
      </w:r>
      <w:r w:rsidRPr="006D7E0B">
        <w:rPr>
          <w:rStyle w:val="FootnoteReference"/>
        </w:rPr>
        <w:footnoteReference w:id="29"/>
      </w:r>
      <w:r w:rsidRPr="00CF40C5">
        <w:t xml:space="preserve"> или результатом </w:t>
      </w:r>
      <w:r>
        <w:t>«</w:t>
      </w:r>
      <w:r w:rsidRPr="00CF40C5">
        <w:t>массовой истерии</w:t>
      </w:r>
      <w:r>
        <w:t>»</w:t>
      </w:r>
      <w:r w:rsidRPr="00CF40C5">
        <w:t>, что говорит о том, что власти не воспринимали эти инциденты всерьез.</w:t>
      </w:r>
    </w:p>
    <w:p w14:paraId="16382C90" w14:textId="77777777" w:rsidR="007D3D4F" w:rsidRPr="00CF40C5" w:rsidRDefault="007D3D4F" w:rsidP="007D3D4F">
      <w:pPr>
        <w:pStyle w:val="SingleTxtG"/>
      </w:pPr>
      <w:r w:rsidRPr="00CF40C5">
        <w:t>90.</w:t>
      </w:r>
      <w:r w:rsidRPr="00CF40C5">
        <w:tab/>
        <w:t xml:space="preserve">Миссия считает вероятным, что </w:t>
      </w:r>
      <w:r>
        <w:t xml:space="preserve">школьные </w:t>
      </w:r>
      <w:r w:rsidRPr="00CF40C5">
        <w:t xml:space="preserve">отравления могли быть совершены с целью запугать и/или наказать школьниц за их участие в движении </w:t>
      </w:r>
      <w:r>
        <w:t>«</w:t>
      </w:r>
      <w:r w:rsidRPr="00CF40C5">
        <w:t>Женщина, жизнь, свобода</w:t>
      </w:r>
      <w:r>
        <w:t>»</w:t>
      </w:r>
      <w:r w:rsidRPr="00CF40C5">
        <w:t xml:space="preserve"> или </w:t>
      </w:r>
      <w:r>
        <w:t>отбить у них охоту нарушать</w:t>
      </w:r>
      <w:r w:rsidRPr="00CF40C5">
        <w:t xml:space="preserve"> закон</w:t>
      </w:r>
      <w:r>
        <w:t>ы</w:t>
      </w:r>
      <w:r w:rsidRPr="00CF40C5">
        <w:t xml:space="preserve"> об обязательном ношении хиджаба. Этот вывод основан на времени, когда произошли эти события, а также на их </w:t>
      </w:r>
      <w:r w:rsidRPr="00CF40C5">
        <w:lastRenderedPageBreak/>
        <w:t>беспрецедентном и масштабном характере, затрагивающем в первую очередь девочек, в то время, когда вопрос о праве женщин и девочек на равенство находился в центре общественного обсуждения. Маловероятно, что школьные отравления такого масштаба могли произойти без участия государства в той или иной форме. В связи с этим миссия считает, что были нарушены права на образование, здоровье и эффективные средства правовой защиты.</w:t>
      </w:r>
    </w:p>
    <w:p w14:paraId="04123F26" w14:textId="396609FD" w:rsidR="007D3D4F" w:rsidRPr="00CF40C5" w:rsidRDefault="007D3D4F" w:rsidP="007D3D4F">
      <w:pPr>
        <w:pStyle w:val="HChG"/>
      </w:pPr>
      <w:r w:rsidRPr="00CF40C5">
        <w:tab/>
      </w:r>
      <w:r w:rsidRPr="006D7E0B">
        <w:t>VII</w:t>
      </w:r>
      <w:r w:rsidRPr="00CF40C5">
        <w:t>.</w:t>
      </w:r>
      <w:r w:rsidRPr="00CF40C5">
        <w:tab/>
        <w:t xml:space="preserve">Положение этнических и религиозных меньшинств </w:t>
      </w:r>
      <w:r w:rsidR="003211F9">
        <w:br/>
      </w:r>
      <w:r w:rsidRPr="00CF40C5">
        <w:t>в контексте протестов</w:t>
      </w:r>
    </w:p>
    <w:p w14:paraId="4B0D3613" w14:textId="77777777" w:rsidR="007D3D4F" w:rsidRPr="00CF40C5" w:rsidRDefault="007D3D4F" w:rsidP="007D3D4F">
      <w:pPr>
        <w:pStyle w:val="SingleTxtG"/>
      </w:pPr>
      <w:r w:rsidRPr="00CF40C5">
        <w:t>91.</w:t>
      </w:r>
      <w:r w:rsidRPr="00CF40C5">
        <w:tab/>
      </w:r>
      <w:r w:rsidRPr="005E2AFA">
        <w:t>Смерть</w:t>
      </w:r>
      <w:r w:rsidRPr="00CF40C5">
        <w:t xml:space="preserve"> г-жи Амини вызвала широкий спектр реакций среди этнических и религиозных меньшинств страны. Ее курдская идентичность и курдский лозунг </w:t>
      </w:r>
      <w:r>
        <w:t>«</w:t>
      </w:r>
      <w:r w:rsidRPr="00CF40C5">
        <w:t>Джин, Джиян, Азади</w:t>
      </w:r>
      <w:r>
        <w:t>»</w:t>
      </w:r>
      <w:r w:rsidRPr="00CF40C5">
        <w:t xml:space="preserve">, или </w:t>
      </w:r>
      <w:r>
        <w:t>«</w:t>
      </w:r>
      <w:r w:rsidRPr="00CF40C5">
        <w:t>Женщина, жизнь, свобода</w:t>
      </w:r>
      <w:r>
        <w:t>»</w:t>
      </w:r>
      <w:r w:rsidRPr="00CF40C5">
        <w:t xml:space="preserve">, стали призывом к сплочению этнических групп по всей стране, выдвинув на первый план их давние </w:t>
      </w:r>
      <w:r w:rsidRPr="00665AFB">
        <w:t>обиды</w:t>
      </w:r>
      <w:r w:rsidRPr="00CF40C5">
        <w:t xml:space="preserve">, </w:t>
      </w:r>
      <w:r>
        <w:t>вызванные</w:t>
      </w:r>
      <w:r w:rsidRPr="00CF40C5">
        <w:t xml:space="preserve"> структурной дискриминаци</w:t>
      </w:r>
      <w:r>
        <w:t>ей</w:t>
      </w:r>
      <w:r w:rsidRPr="00CF40C5">
        <w:t xml:space="preserve"> и маргинализаци</w:t>
      </w:r>
      <w:r>
        <w:t>ей</w:t>
      </w:r>
      <w:r w:rsidRPr="00CF40C5">
        <w:t xml:space="preserve"> в законодательстве и на практике.</w:t>
      </w:r>
    </w:p>
    <w:p w14:paraId="54E04341" w14:textId="77777777" w:rsidR="007D3D4F" w:rsidRPr="00CF40C5" w:rsidRDefault="007D3D4F" w:rsidP="007D3D4F">
      <w:pPr>
        <w:pStyle w:val="SingleTxtG"/>
      </w:pPr>
      <w:r w:rsidRPr="00CF40C5">
        <w:t>92.</w:t>
      </w:r>
      <w:r w:rsidRPr="00CF40C5">
        <w:tab/>
        <w:t>Сразу после похорон</w:t>
      </w:r>
      <w:r>
        <w:t xml:space="preserve"> </w:t>
      </w:r>
      <w:r w:rsidRPr="00CF40C5">
        <w:t xml:space="preserve">г-жи Амини протесты начались в ее родном городе </w:t>
      </w:r>
      <w:r>
        <w:t>Секкезе</w:t>
      </w:r>
      <w:r w:rsidRPr="00CF40C5">
        <w:t xml:space="preserve">, а затем распространились на </w:t>
      </w:r>
      <w:r>
        <w:t>районы</w:t>
      </w:r>
      <w:r w:rsidRPr="00CF40C5">
        <w:t>, населенные меньшинствами, включая Хузестан, Восточный Азербайджан, Западный Азербайджан, Керманшах, Курдистан, Л</w:t>
      </w:r>
      <w:r>
        <w:t>у</w:t>
      </w:r>
      <w:r w:rsidRPr="00CF40C5">
        <w:t xml:space="preserve">рестан, Илам и Систан и Белуджистан. Эпицентрами протестного движения стали город Захедан в Систане и Белуджистане, города </w:t>
      </w:r>
      <w:r w:rsidRPr="00FD7266">
        <w:t>Сенендедж</w:t>
      </w:r>
      <w:r w:rsidRPr="00CF40C5">
        <w:t>, С</w:t>
      </w:r>
      <w:r>
        <w:t>е</w:t>
      </w:r>
      <w:r w:rsidRPr="00CF40C5">
        <w:t>кке</w:t>
      </w:r>
      <w:r>
        <w:t>з</w:t>
      </w:r>
      <w:r w:rsidRPr="00CF40C5">
        <w:t xml:space="preserve"> и М</w:t>
      </w:r>
      <w:r>
        <w:t>е</w:t>
      </w:r>
      <w:r w:rsidRPr="00CF40C5">
        <w:t>риван в Курдистане и город М</w:t>
      </w:r>
      <w:r>
        <w:t>е</w:t>
      </w:r>
      <w:r w:rsidRPr="00CF40C5">
        <w:t>хабад в Западном Азербайджане. Спустя год после начала протестов люди продолжают регулярно собираться и протестовать в Захедане, особенно после пятничной молитвы.</w:t>
      </w:r>
    </w:p>
    <w:p w14:paraId="3A80F1F9" w14:textId="77777777" w:rsidR="007D3D4F" w:rsidRPr="00CF40C5" w:rsidRDefault="007D3D4F" w:rsidP="007D3D4F">
      <w:pPr>
        <w:pStyle w:val="SingleTxtG"/>
      </w:pPr>
      <w:r w:rsidRPr="00CF40C5">
        <w:t>93.</w:t>
      </w:r>
      <w:r w:rsidRPr="00CF40C5">
        <w:tab/>
      </w:r>
      <w:r w:rsidRPr="00FA6FE9">
        <w:t xml:space="preserve">Миссия установила, что реакция правительства на протесты в непропорциональной степени затронула этнические, религиозные и другие меньшинства, в частности преимущественно курдов-суннитов и белуджей. </w:t>
      </w:r>
      <w:r w:rsidRPr="00CF40C5">
        <w:t xml:space="preserve">В первые дни протестов правительство представило движение </w:t>
      </w:r>
      <w:r>
        <w:t>«</w:t>
      </w:r>
      <w:r w:rsidRPr="00CF40C5">
        <w:t>Женщина, жизнь, свобода</w:t>
      </w:r>
      <w:r>
        <w:t>»</w:t>
      </w:r>
      <w:r w:rsidRPr="00CF40C5">
        <w:t xml:space="preserve"> как </w:t>
      </w:r>
      <w:r w:rsidRPr="001575C2">
        <w:t>раскольнический мятеж</w:t>
      </w:r>
      <w:r w:rsidRPr="00CF40C5">
        <w:t>, угрожающ</w:t>
      </w:r>
      <w:r>
        <w:t>ий</w:t>
      </w:r>
      <w:r w:rsidRPr="00CF40C5">
        <w:t xml:space="preserve"> единству нации, и обвинило сепаратистские группы. Миссия обнаружила, что должностные лица в районах проживания меньшинств постоянно повторяли эту риторику в отношении протестующих представителей этнических меньшинств, в том числе во время задержания, когда их называли </w:t>
      </w:r>
      <w:r>
        <w:t>«</w:t>
      </w:r>
      <w:r w:rsidRPr="00CF40C5">
        <w:t>террористами</w:t>
      </w:r>
      <w:r>
        <w:t>»</w:t>
      </w:r>
      <w:r w:rsidRPr="00CF40C5">
        <w:t xml:space="preserve"> и </w:t>
      </w:r>
      <w:r>
        <w:t>«пропагандистами насилия»</w:t>
      </w:r>
      <w:r w:rsidRPr="00CF40C5">
        <w:t xml:space="preserve"> на основании их этнической и религиозной принадлежности.</w:t>
      </w:r>
    </w:p>
    <w:p w14:paraId="7FCFC3BB" w14:textId="1A9A029C" w:rsidR="007D3D4F" w:rsidRPr="00CF40C5" w:rsidRDefault="007D3D4F" w:rsidP="007D3D4F">
      <w:pPr>
        <w:pStyle w:val="SingleTxtG"/>
      </w:pPr>
      <w:r w:rsidRPr="00CF40C5">
        <w:t>94.</w:t>
      </w:r>
      <w:r w:rsidRPr="00CF40C5">
        <w:tab/>
        <w:t>Силы безопасности убили и ранили непропорционально большое число демонстрантов в районах, населенных преимущественно меньшинствами, в том числе в многочисленных городах и поселках в преимущественно курдских районах, таких как М</w:t>
      </w:r>
      <w:r>
        <w:t>е</w:t>
      </w:r>
      <w:r w:rsidRPr="00CF40C5">
        <w:t xml:space="preserve">хабад, </w:t>
      </w:r>
      <w:r w:rsidRPr="00FD7266">
        <w:t>Сенендедж</w:t>
      </w:r>
      <w:r w:rsidRPr="00CF40C5">
        <w:t>, Джаванруд</w:t>
      </w:r>
      <w:r w:rsidRPr="006D7E0B">
        <w:rPr>
          <w:rStyle w:val="FootnoteReference"/>
        </w:rPr>
        <w:footnoteReference w:id="30"/>
      </w:r>
      <w:r w:rsidRPr="00CF40C5">
        <w:t xml:space="preserve"> и Пиранш</w:t>
      </w:r>
      <w:r>
        <w:t>е</w:t>
      </w:r>
      <w:r w:rsidRPr="00CF40C5">
        <w:t>хр.</w:t>
      </w:r>
    </w:p>
    <w:p w14:paraId="6094DAD0" w14:textId="77777777" w:rsidR="007D3D4F" w:rsidRPr="00CF40C5" w:rsidRDefault="007D3D4F" w:rsidP="007D3D4F">
      <w:pPr>
        <w:pStyle w:val="SingleTxtG"/>
      </w:pPr>
      <w:r w:rsidRPr="00CF40C5">
        <w:t>95.</w:t>
      </w:r>
      <w:r>
        <w:tab/>
      </w:r>
      <w:r w:rsidRPr="00CF40C5">
        <w:t>В</w:t>
      </w:r>
      <w:r>
        <w:t xml:space="preserve"> </w:t>
      </w:r>
      <w:r w:rsidRPr="00CF40C5">
        <w:t>ответ на протесты в районах проживания меньшинств, в частности в провинции Систан и Белудж</w:t>
      </w:r>
      <w:r>
        <w:t>и</w:t>
      </w:r>
      <w:r w:rsidRPr="00CF40C5">
        <w:t>стан и курдских районах,</w:t>
      </w:r>
      <w:r>
        <w:t xml:space="preserve"> </w:t>
      </w:r>
      <w:r w:rsidRPr="00CF40C5">
        <w:t>правительство применило смертоносное оружие и боеприпасы, которые обычно используются вооруженными силами.</w:t>
      </w:r>
    </w:p>
    <w:p w14:paraId="499B3D65" w14:textId="2162CA07" w:rsidR="007D3D4F" w:rsidRPr="00CF40C5" w:rsidRDefault="007D3D4F" w:rsidP="007D3D4F">
      <w:pPr>
        <w:pStyle w:val="SingleTxtG"/>
      </w:pPr>
      <w:r w:rsidRPr="00CF40C5">
        <w:t>96.</w:t>
      </w:r>
      <w:r w:rsidRPr="00CF40C5">
        <w:tab/>
      </w:r>
      <w:r>
        <w:t>«</w:t>
      </w:r>
      <w:r w:rsidRPr="00CF40C5">
        <w:t>Кровавая пятница</w:t>
      </w:r>
      <w:r>
        <w:t>»</w:t>
      </w:r>
      <w:r w:rsidRPr="00CF40C5">
        <w:t xml:space="preserve"> 20</w:t>
      </w:r>
      <w:r>
        <w:t> сентября</w:t>
      </w:r>
      <w:r w:rsidRPr="00CF40C5">
        <w:t xml:space="preserve"> 2022</w:t>
      </w:r>
      <w:r>
        <w:t> года</w:t>
      </w:r>
      <w:r w:rsidRPr="00CF40C5">
        <w:t xml:space="preserve"> в Захедане стала самым </w:t>
      </w:r>
      <w:r>
        <w:t>показательным</w:t>
      </w:r>
      <w:r w:rsidRPr="00CF40C5">
        <w:t xml:space="preserve"> из этих инцидентов. Поводом для протестов в Захедане послужило изнасилование девочки-белуджи, предположительно совершенное начальником местной полиции в городе </w:t>
      </w:r>
      <w:r w:rsidRPr="00BD39F3">
        <w:t>Чахбехар</w:t>
      </w:r>
      <w:r>
        <w:t>е</w:t>
      </w:r>
      <w:r w:rsidRPr="00CF40C5">
        <w:t xml:space="preserve">. Власти разместили необычно большое </w:t>
      </w:r>
      <w:r>
        <w:t xml:space="preserve">число сотрудников </w:t>
      </w:r>
      <w:r w:rsidRPr="00CF40C5">
        <w:t xml:space="preserve">сил безопасности на зданиях возле молитвенного комплекса </w:t>
      </w:r>
      <w:r>
        <w:t>Большая мечеть</w:t>
      </w:r>
      <w:r w:rsidRPr="00CF40C5">
        <w:t xml:space="preserve"> Мосалла в Захедане, а также на прилегающих площадях и улицах. Примерно во время полуденной молитвы силы безопасности открыли огонь из автоматов </w:t>
      </w:r>
      <w:r w:rsidR="003211F9">
        <w:br/>
      </w:r>
      <w:r w:rsidRPr="00CF40C5">
        <w:t xml:space="preserve">(АК-47) из полицейского участка перед молитвенным комплексом, целясь в мирных жителей. По достоверной информации, в результате обстрела боевыми патронами </w:t>
      </w:r>
      <w:r w:rsidRPr="00CF40C5">
        <w:lastRenderedPageBreak/>
        <w:t>погибли 103</w:t>
      </w:r>
      <w:r>
        <w:t xml:space="preserve"> человека из числа </w:t>
      </w:r>
      <w:r w:rsidRPr="00CF40C5">
        <w:t>верующ</w:t>
      </w:r>
      <w:r>
        <w:t>их</w:t>
      </w:r>
      <w:r w:rsidRPr="00CF40C5">
        <w:t>, демонстрантов и прохожих</w:t>
      </w:r>
      <w:r>
        <w:t xml:space="preserve"> и</w:t>
      </w:r>
      <w:r w:rsidRPr="00CF40C5">
        <w:t xml:space="preserve"> 350 получили ранения.</w:t>
      </w:r>
    </w:p>
    <w:p w14:paraId="638F31BE" w14:textId="77777777" w:rsidR="007D3D4F" w:rsidRPr="00CF40C5" w:rsidRDefault="007D3D4F" w:rsidP="007D3D4F">
      <w:pPr>
        <w:pStyle w:val="SingleTxtG"/>
      </w:pPr>
      <w:r w:rsidRPr="00CF40C5">
        <w:t>97.</w:t>
      </w:r>
      <w:r w:rsidRPr="00CF40C5">
        <w:tab/>
      </w:r>
      <w:r w:rsidRPr="009A6AD8">
        <w:t xml:space="preserve">Миссия установила, что во время допросов или в качестве наказания за протесты к задержанным из числа этнических или религиозных меньшинств применялись особенно жестокие и грубые методы пыток. </w:t>
      </w:r>
      <w:r w:rsidRPr="00CF40C5">
        <w:t>Женщины</w:t>
      </w:r>
      <w:r>
        <w:t xml:space="preserve">, принадлежащие к </w:t>
      </w:r>
      <w:r w:rsidRPr="00CF40C5">
        <w:t>таки</w:t>
      </w:r>
      <w:r>
        <w:t>м</w:t>
      </w:r>
      <w:r w:rsidRPr="00CF40C5">
        <w:t xml:space="preserve"> меньшинств</w:t>
      </w:r>
      <w:r>
        <w:t>ам,</w:t>
      </w:r>
      <w:r w:rsidRPr="00CF40C5">
        <w:t xml:space="preserve"> подвергались сексуальному и гендерному насилию, включая изнасилования, и унижались по причине их белуджской или курдской принадлежности или за то, что они суннит</w:t>
      </w:r>
      <w:r>
        <w:t>ки</w:t>
      </w:r>
      <w:r w:rsidRPr="00CF40C5">
        <w:t>.</w:t>
      </w:r>
    </w:p>
    <w:p w14:paraId="07742F00" w14:textId="77777777" w:rsidR="007D3D4F" w:rsidRPr="00CF40C5" w:rsidRDefault="007D3D4F" w:rsidP="007D3D4F">
      <w:pPr>
        <w:pStyle w:val="SingleTxtG"/>
      </w:pPr>
      <w:r w:rsidRPr="00CF40C5">
        <w:t>98.</w:t>
      </w:r>
      <w:r w:rsidRPr="00CF40C5">
        <w:tab/>
        <w:t>Миссия также проанализировала воздействие протестов на другие этнические и религиозные меньшинства, о чем подробно говорится в документе зала заседаний.</w:t>
      </w:r>
    </w:p>
    <w:p w14:paraId="0F3BD8D6" w14:textId="77777777" w:rsidR="007D3D4F" w:rsidRPr="00CF40C5" w:rsidRDefault="007D3D4F" w:rsidP="007D3D4F">
      <w:pPr>
        <w:pStyle w:val="HChG"/>
      </w:pPr>
      <w:r w:rsidRPr="00CF40C5">
        <w:tab/>
      </w:r>
      <w:r w:rsidRPr="006D7E0B">
        <w:t>VIII</w:t>
      </w:r>
      <w:r w:rsidRPr="00CF40C5">
        <w:t>.</w:t>
      </w:r>
      <w:r w:rsidRPr="00CF40C5">
        <w:tab/>
        <w:t>Цифровое пространство и протесты</w:t>
      </w:r>
    </w:p>
    <w:p w14:paraId="05FA4850" w14:textId="77777777" w:rsidR="007D3D4F" w:rsidRPr="00CF40C5" w:rsidRDefault="007D3D4F" w:rsidP="007D3D4F">
      <w:pPr>
        <w:pStyle w:val="SingleTxtG"/>
      </w:pPr>
      <w:r w:rsidRPr="00CF40C5">
        <w:t>99.</w:t>
      </w:r>
      <w:r w:rsidRPr="00CF40C5">
        <w:tab/>
        <w:t>Во время протестов иранские власти ввели ограничения на подключение к Интернету и платформам социальных сетей, а также использовали онлайн-слежку, чтобы сорвать или предотвратить протесты.</w:t>
      </w:r>
    </w:p>
    <w:p w14:paraId="6DB4CBDF" w14:textId="77777777" w:rsidR="007D3D4F" w:rsidRPr="00CF40C5" w:rsidRDefault="007D3D4F" w:rsidP="007D3D4F">
      <w:pPr>
        <w:pStyle w:val="SingleTxtG"/>
      </w:pPr>
      <w:r w:rsidRPr="00CF40C5">
        <w:t>100.</w:t>
      </w:r>
      <w:r w:rsidRPr="00CF40C5">
        <w:tab/>
        <w:t xml:space="preserve">Миссия установила факт отключения Интернета и блокирования платформ социальных сетей и служб обмена сообщениями во время протестов и в местах </w:t>
      </w:r>
      <w:r>
        <w:t xml:space="preserve">их </w:t>
      </w:r>
      <w:r w:rsidRPr="00CF40C5">
        <w:t xml:space="preserve">проведения. </w:t>
      </w:r>
      <w:r>
        <w:t>По</w:t>
      </w:r>
      <w:r w:rsidRPr="00CF40C5">
        <w:t xml:space="preserve"> достоверной информации, перебои в работе Интернета начались сразу после начала протестов 17</w:t>
      </w:r>
      <w:r>
        <w:t> сентября</w:t>
      </w:r>
      <w:r w:rsidRPr="00CF40C5">
        <w:t xml:space="preserve"> 2022</w:t>
      </w:r>
      <w:r>
        <w:t> года</w:t>
      </w:r>
      <w:r w:rsidRPr="00CF40C5">
        <w:t>, преимущественно в районах, населенных меньшинствами. Интернет-соединение было практически отключено в Захедане 30</w:t>
      </w:r>
      <w:r>
        <w:t> сентября</w:t>
      </w:r>
      <w:r w:rsidRPr="00CF40C5">
        <w:t xml:space="preserve"> 2022</w:t>
      </w:r>
      <w:r>
        <w:t> года</w:t>
      </w:r>
      <w:r w:rsidRPr="00CF40C5">
        <w:t xml:space="preserve"> во время </w:t>
      </w:r>
      <w:r>
        <w:t>«</w:t>
      </w:r>
      <w:r w:rsidRPr="00CF40C5">
        <w:t>кровавой пятницы</w:t>
      </w:r>
      <w:r>
        <w:t>»</w:t>
      </w:r>
      <w:r w:rsidRPr="00CF40C5">
        <w:t>, и такие локальные перебои продолжались систематически во время пятничных молитв в Захедане на протяжении всего 2023</w:t>
      </w:r>
      <w:r>
        <w:t> года</w:t>
      </w:r>
      <w:r w:rsidRPr="00CF40C5">
        <w:t>.</w:t>
      </w:r>
    </w:p>
    <w:p w14:paraId="4BFE2DA9" w14:textId="28C06698" w:rsidR="007D3D4F" w:rsidRPr="00CF40C5" w:rsidRDefault="007D3D4F" w:rsidP="007D3D4F">
      <w:pPr>
        <w:pStyle w:val="SingleTxtG"/>
      </w:pPr>
      <w:r w:rsidRPr="00CF40C5">
        <w:t>101.</w:t>
      </w:r>
      <w:r w:rsidRPr="00CF40C5">
        <w:tab/>
        <w:t xml:space="preserve">Даже если для введения некоторых </w:t>
      </w:r>
      <w:r>
        <w:t>мер по отключению Интернета</w:t>
      </w:r>
      <w:r w:rsidRPr="00CF40C5">
        <w:t xml:space="preserve">, расследованных миссией, имелись законные основания, а именно предотвращение подстрекательства к насилию, эти ограничения не отвечали критериям законности, необходимости, соразмерности и недискриминации. </w:t>
      </w:r>
      <w:r>
        <w:t xml:space="preserve">Отключения происходили </w:t>
      </w:r>
      <w:r w:rsidRPr="00CF40C5">
        <w:t xml:space="preserve">на обширных </w:t>
      </w:r>
      <w:r>
        <w:t>пространствах</w:t>
      </w:r>
      <w:r w:rsidRPr="00CF40C5">
        <w:t xml:space="preserve"> страны и в течение длительных </w:t>
      </w:r>
      <w:r>
        <w:t xml:space="preserve">промежутков </w:t>
      </w:r>
      <w:r w:rsidRPr="00CF40C5">
        <w:t>времени или же в определенном районе на регулярной основе. Ограничения были равносильны полному отключению, которое не является необходимым для достижения законной цели. Учитывая неизбирательное и широкомасштабное воздействие</w:t>
      </w:r>
      <w:r>
        <w:t xml:space="preserve"> </w:t>
      </w:r>
      <w:r w:rsidRPr="00CF40C5">
        <w:t>отключени</w:t>
      </w:r>
      <w:r>
        <w:t>й</w:t>
      </w:r>
      <w:r w:rsidRPr="00CF40C5">
        <w:t xml:space="preserve">, </w:t>
      </w:r>
      <w:r w:rsidR="003211F9">
        <w:br/>
      </w:r>
      <w:r w:rsidRPr="00CF40C5">
        <w:t xml:space="preserve">в том числе на средства к существованию широких слоев населения, особенно женщин, зависящих от экономической деятельности в Интернете, </w:t>
      </w:r>
      <w:r>
        <w:t xml:space="preserve">эти меры </w:t>
      </w:r>
      <w:r w:rsidRPr="00CF40C5">
        <w:t>также не были соразмерными и не представляли собой наименее интрузивный инструмент для достижения законной цели.</w:t>
      </w:r>
    </w:p>
    <w:p w14:paraId="712A8BC7" w14:textId="72EECD2A" w:rsidR="007D3D4F" w:rsidRPr="00CF40C5" w:rsidRDefault="007D3D4F" w:rsidP="007D3D4F">
      <w:pPr>
        <w:pStyle w:val="SingleTxtG"/>
      </w:pPr>
      <w:r w:rsidRPr="00CF40C5">
        <w:t>102.</w:t>
      </w:r>
      <w:r w:rsidRPr="00CF40C5">
        <w:tab/>
        <w:t>На фоне продолжающихся усилий по созданию национальной структуры Интернета внутренняя правовая база позволяет широкому кругу государственных органов безопасности осуществлять бесконтрольный контроль над доступом</w:t>
      </w:r>
      <w:r>
        <w:t xml:space="preserve"> </w:t>
      </w:r>
      <w:r w:rsidRPr="00CF40C5">
        <w:t>населения к киберпространству, а также регулировать контент.</w:t>
      </w:r>
    </w:p>
    <w:p w14:paraId="084133E7" w14:textId="77777777" w:rsidR="007D3D4F" w:rsidRPr="00CF40C5" w:rsidRDefault="007D3D4F" w:rsidP="007D3D4F">
      <w:pPr>
        <w:pStyle w:val="SingleTxtG"/>
      </w:pPr>
      <w:r w:rsidRPr="00CF40C5">
        <w:t>103.</w:t>
      </w:r>
      <w:r w:rsidRPr="00CF40C5">
        <w:tab/>
        <w:t>Государственные власти угрожали</w:t>
      </w:r>
      <w:r>
        <w:t xml:space="preserve"> </w:t>
      </w:r>
      <w:r w:rsidRPr="00CF40C5">
        <w:t>л</w:t>
      </w:r>
      <w:r>
        <w:t>юдям</w:t>
      </w:r>
      <w:r w:rsidRPr="00CF40C5">
        <w:t>, запугивали</w:t>
      </w:r>
      <w:r>
        <w:t xml:space="preserve"> их</w:t>
      </w:r>
      <w:r w:rsidRPr="00CF40C5">
        <w:t>, вызывали в суд и арестовывали в связи с протест</w:t>
      </w:r>
      <w:r>
        <w:t>ным контентом</w:t>
      </w:r>
      <w:r w:rsidRPr="00CF40C5">
        <w:t xml:space="preserve">, размещенным на платформах социальных сетей. Такой контент включал в себя </w:t>
      </w:r>
      <w:r>
        <w:t xml:space="preserve">послания с выражением </w:t>
      </w:r>
      <w:r w:rsidRPr="00CF40C5">
        <w:t xml:space="preserve">солидарности с протестующими, сообщения о нарушениях, совершенных государством, фотографии, размещенные ранеными </w:t>
      </w:r>
      <w:r>
        <w:t>участниками протестов</w:t>
      </w:r>
      <w:r w:rsidRPr="00CF40C5">
        <w:t xml:space="preserve">, и предложения юридической и медицинской помощи для </w:t>
      </w:r>
      <w:r>
        <w:t>участников протестов</w:t>
      </w:r>
      <w:r w:rsidRPr="00CF40C5">
        <w:t xml:space="preserve"> и их семей. Власти использовали контент социальных сетей в качестве доказательств для предъявления уголовных обвинений по различным основаниям, таким как </w:t>
      </w:r>
      <w:r>
        <w:t>«</w:t>
      </w:r>
      <w:r w:rsidRPr="00CF40C5">
        <w:t xml:space="preserve">пропаганда </w:t>
      </w:r>
      <w:r>
        <w:t>против существующего строя»</w:t>
      </w:r>
      <w:r w:rsidRPr="00CF40C5">
        <w:t xml:space="preserve">, </w:t>
      </w:r>
      <w:r>
        <w:t>«</w:t>
      </w:r>
      <w:r w:rsidRPr="00CF40C5">
        <w:t>распространение лжи</w:t>
      </w:r>
      <w:r>
        <w:t>»</w:t>
      </w:r>
      <w:r w:rsidRPr="00CF40C5">
        <w:t xml:space="preserve"> и </w:t>
      </w:r>
      <w:r>
        <w:t>«</w:t>
      </w:r>
      <w:r w:rsidRPr="00CF40C5">
        <w:t xml:space="preserve">оскорбление Верховного </w:t>
      </w:r>
      <w:r>
        <w:t>руководителя»</w:t>
      </w:r>
      <w:r w:rsidRPr="00CF40C5">
        <w:t xml:space="preserve">. Содержание личных </w:t>
      </w:r>
      <w:r>
        <w:t>учетных записей</w:t>
      </w:r>
      <w:r w:rsidRPr="00CF40C5">
        <w:t xml:space="preserve"> в </w:t>
      </w:r>
      <w:r>
        <w:t>«Инстаграме»</w:t>
      </w:r>
      <w:r w:rsidRPr="00CF40C5">
        <w:t xml:space="preserve"> использовалось в качестве доказательств в ходе уголовн</w:t>
      </w:r>
      <w:r>
        <w:t>ых</w:t>
      </w:r>
      <w:r w:rsidRPr="00CF40C5">
        <w:t xml:space="preserve"> процесс</w:t>
      </w:r>
      <w:r>
        <w:t>ов</w:t>
      </w:r>
      <w:r w:rsidRPr="00CF40C5">
        <w:t xml:space="preserve"> по обвинениям, предусматривающим суровое наказание, включая смертную казнь. Законопроект о хиджабе и целомудрии также предусматривает уголовную ответственность за выражение в Интернете мнений, критикующих обязательное ношение хиджаба.</w:t>
      </w:r>
    </w:p>
    <w:p w14:paraId="4870D9E4" w14:textId="77777777" w:rsidR="007D3D4F" w:rsidRPr="00CF40C5" w:rsidRDefault="007D3D4F" w:rsidP="007D3D4F">
      <w:pPr>
        <w:pStyle w:val="SingleTxtG"/>
      </w:pPr>
      <w:r w:rsidRPr="00CF40C5">
        <w:lastRenderedPageBreak/>
        <w:t>104.</w:t>
      </w:r>
      <w:r w:rsidRPr="00CF40C5">
        <w:tab/>
        <w:t xml:space="preserve">Власти, по-видимому, попустительствовали </w:t>
      </w:r>
      <w:r w:rsidRPr="00D055E8">
        <w:t>раскрыти</w:t>
      </w:r>
      <w:r>
        <w:t>ю</w:t>
      </w:r>
      <w:r w:rsidRPr="00D055E8">
        <w:t xml:space="preserve"> и распространени</w:t>
      </w:r>
      <w:r>
        <w:t>ю</w:t>
      </w:r>
      <w:r w:rsidRPr="00D055E8">
        <w:t xml:space="preserve"> личных данных</w:t>
      </w:r>
      <w:r w:rsidRPr="00CF40C5">
        <w:t>, клеветнически</w:t>
      </w:r>
      <w:r>
        <w:t>м</w:t>
      </w:r>
      <w:r w:rsidRPr="00CF40C5">
        <w:t xml:space="preserve"> кампания</w:t>
      </w:r>
      <w:r>
        <w:t>м</w:t>
      </w:r>
      <w:r w:rsidRPr="00CF40C5">
        <w:t xml:space="preserve"> и други</w:t>
      </w:r>
      <w:r>
        <w:t>м</w:t>
      </w:r>
      <w:r w:rsidRPr="00CF40C5">
        <w:t xml:space="preserve"> унизительны</w:t>
      </w:r>
      <w:r>
        <w:t>м</w:t>
      </w:r>
      <w:r w:rsidRPr="00CF40C5">
        <w:t xml:space="preserve"> форма</w:t>
      </w:r>
      <w:r>
        <w:t>м</w:t>
      </w:r>
      <w:r w:rsidRPr="00CF40C5">
        <w:t xml:space="preserve"> преследования в Интернете, а то и активно участвовали в </w:t>
      </w:r>
      <w:r>
        <w:t xml:space="preserve">этом, по отношению к </w:t>
      </w:r>
      <w:r w:rsidRPr="00CF40C5">
        <w:t>женщин</w:t>
      </w:r>
      <w:r>
        <w:t>ам</w:t>
      </w:r>
      <w:r w:rsidRPr="00CF40C5">
        <w:t xml:space="preserve"> и други</w:t>
      </w:r>
      <w:r>
        <w:t>м</w:t>
      </w:r>
      <w:r w:rsidRPr="00CF40C5">
        <w:t xml:space="preserve"> лиц</w:t>
      </w:r>
      <w:r>
        <w:t>ам</w:t>
      </w:r>
      <w:r w:rsidRPr="00CF40C5">
        <w:t>, включая ЛГБТК</w:t>
      </w:r>
      <w:r>
        <w:t>И</w:t>
      </w:r>
      <w:r w:rsidRPr="00CF40C5">
        <w:t>+</w:t>
      </w:r>
      <w:r>
        <w:t xml:space="preserve"> людей</w:t>
      </w:r>
      <w:r w:rsidRPr="00CF40C5">
        <w:t>, за их поддержку протест</w:t>
      </w:r>
      <w:r>
        <w:t xml:space="preserve">ов </w:t>
      </w:r>
      <w:r w:rsidRPr="00CF40C5">
        <w:t>или участие в</w:t>
      </w:r>
      <w:r>
        <w:t xml:space="preserve"> них</w:t>
      </w:r>
      <w:r w:rsidRPr="00CF40C5">
        <w:t>. В этой связи власти не выполнили свои обязанности по защите и реализации прав на свободу выражения мнений и неприкосновенность частной жизни.</w:t>
      </w:r>
    </w:p>
    <w:p w14:paraId="2C63E9C7" w14:textId="77777777" w:rsidR="007D3D4F" w:rsidRPr="00CF40C5" w:rsidRDefault="007D3D4F" w:rsidP="007D3D4F">
      <w:pPr>
        <w:pStyle w:val="HChG"/>
      </w:pPr>
      <w:r w:rsidRPr="00CF40C5">
        <w:tab/>
      </w:r>
      <w:r w:rsidRPr="006D7E0B">
        <w:t>IX</w:t>
      </w:r>
      <w:r w:rsidRPr="00CF40C5">
        <w:t>.</w:t>
      </w:r>
      <w:r w:rsidRPr="00CF40C5">
        <w:tab/>
        <w:t>Подотчетность</w:t>
      </w:r>
    </w:p>
    <w:p w14:paraId="100C4AFE" w14:textId="77777777" w:rsidR="007D3D4F" w:rsidRPr="00CF40C5" w:rsidRDefault="007D3D4F" w:rsidP="007D3D4F">
      <w:pPr>
        <w:pStyle w:val="H1G"/>
        <w:rPr>
          <w:lang w:eastAsia="en-GB"/>
        </w:rPr>
      </w:pPr>
      <w:r w:rsidRPr="00CF40C5">
        <w:rPr>
          <w:lang w:eastAsia="en-GB"/>
        </w:rPr>
        <w:tab/>
      </w:r>
      <w:r w:rsidRPr="006D7E0B">
        <w:rPr>
          <w:lang w:eastAsia="en-GB"/>
        </w:rPr>
        <w:t>A</w:t>
      </w:r>
      <w:r w:rsidRPr="00CF40C5">
        <w:rPr>
          <w:lang w:eastAsia="en-GB"/>
        </w:rPr>
        <w:t>.</w:t>
      </w:r>
      <w:r w:rsidRPr="00CF40C5">
        <w:rPr>
          <w:lang w:eastAsia="en-GB"/>
        </w:rPr>
        <w:tab/>
        <w:t xml:space="preserve">Нарушения </w:t>
      </w:r>
      <w:r>
        <w:rPr>
          <w:lang w:eastAsia="en-GB"/>
        </w:rPr>
        <w:t>международного права в области прав человека</w:t>
      </w:r>
    </w:p>
    <w:p w14:paraId="42A5A1A1" w14:textId="0711F4FE" w:rsidR="007D3D4F" w:rsidRPr="00CF40C5" w:rsidRDefault="007D3D4F" w:rsidP="007D3D4F">
      <w:pPr>
        <w:pStyle w:val="SingleTxtG"/>
      </w:pPr>
      <w:r w:rsidRPr="00CF40C5">
        <w:t>105.</w:t>
      </w:r>
      <w:r w:rsidRPr="00CF40C5">
        <w:tab/>
        <w:t xml:space="preserve">Миссия </w:t>
      </w:r>
      <w:r w:rsidRPr="005837F4">
        <w:t xml:space="preserve">имеет </w:t>
      </w:r>
      <w:r w:rsidRPr="00CF40C5">
        <w:t>разумные основания полагать, что иранские власти совершили серьезные нарушения прав человека в контексте протестов, начавшихся 16</w:t>
      </w:r>
      <w:r>
        <w:t> сентября</w:t>
      </w:r>
      <w:r w:rsidRPr="00CF40C5">
        <w:t xml:space="preserve"> 2022</w:t>
      </w:r>
      <w:r>
        <w:t> года</w:t>
      </w:r>
      <w:r w:rsidRPr="00CF40C5">
        <w:t>. Они включали в себя нарушения прав</w:t>
      </w:r>
      <w:r>
        <w:t>а</w:t>
      </w:r>
      <w:r w:rsidRPr="00CF40C5">
        <w:t xml:space="preserve"> на жизнь, </w:t>
      </w:r>
      <w:r>
        <w:t xml:space="preserve">права </w:t>
      </w:r>
      <w:r w:rsidRPr="00CF40C5">
        <w:t xml:space="preserve">не подвергаться пыткам и </w:t>
      </w:r>
      <w:r>
        <w:t>неправомерному</w:t>
      </w:r>
      <w:r w:rsidRPr="00CF40C5">
        <w:t xml:space="preserve"> обращению, </w:t>
      </w:r>
      <w:r>
        <w:t xml:space="preserve">прав </w:t>
      </w:r>
      <w:r w:rsidRPr="00CF40C5">
        <w:t>на безопасность и личн</w:t>
      </w:r>
      <w:r>
        <w:t>ую</w:t>
      </w:r>
      <w:r w:rsidRPr="00CF40C5">
        <w:t xml:space="preserve"> свободу, </w:t>
      </w:r>
      <w:r w:rsidR="003211F9">
        <w:br/>
      </w:r>
      <w:r w:rsidRPr="00CF40C5">
        <w:t xml:space="preserve">на справедливое судебное разбирательство и надлежащую правовую процедуру, </w:t>
      </w:r>
      <w:r w:rsidR="003211F9">
        <w:br/>
      </w:r>
      <w:r w:rsidRPr="00CF40C5">
        <w:t xml:space="preserve">на эффективное средство правовой защиты, на свободу религии или убеждений, </w:t>
      </w:r>
      <w:r w:rsidR="003211F9">
        <w:br/>
      </w:r>
      <w:r w:rsidRPr="00CF40C5">
        <w:t>на выражение мнения, на мирные собрания и на ассоциацию, а также прав на неприкосновенность частной жизни, здоровье, образование, средства к существованию и труд.</w:t>
      </w:r>
    </w:p>
    <w:p w14:paraId="67366F88" w14:textId="77777777" w:rsidR="007D3D4F" w:rsidRPr="00CF40C5" w:rsidRDefault="007D3D4F" w:rsidP="007D3D4F">
      <w:pPr>
        <w:pStyle w:val="SingleTxtG"/>
      </w:pPr>
      <w:r w:rsidRPr="00CF40C5">
        <w:t>106.</w:t>
      </w:r>
      <w:r w:rsidRPr="00CF40C5">
        <w:tab/>
        <w:t>Миссия считает, что право на равенство и недискриминацию по признак</w:t>
      </w:r>
      <w:r>
        <w:t>ам</w:t>
      </w:r>
      <w:r w:rsidRPr="00CF40C5">
        <w:t xml:space="preserve"> пола, гендера, возраста, религии или убеждений, политических или иных взглядов было нарушено. Особенно серьезными были нарушения прав женщин и детей, а также прав этнических и религиозных меньшинств.</w:t>
      </w:r>
    </w:p>
    <w:p w14:paraId="2E61B0A4" w14:textId="4E41BFD0" w:rsidR="007D3D4F" w:rsidRPr="00CF40C5" w:rsidRDefault="007D3D4F" w:rsidP="007D3D4F">
      <w:pPr>
        <w:pStyle w:val="SingleTxtG"/>
      </w:pPr>
      <w:r w:rsidRPr="00CF40C5">
        <w:t>107.</w:t>
      </w:r>
      <w:r w:rsidRPr="00CF40C5">
        <w:tab/>
      </w:r>
      <w:r w:rsidRPr="00C409A7">
        <w:t>Миссия пришла к выводу</w:t>
      </w:r>
      <w:r>
        <w:t xml:space="preserve"> о том</w:t>
      </w:r>
      <w:r w:rsidRPr="00C409A7">
        <w:t xml:space="preserve">, что Исламская Республика Иран совершила ряд масштабных, продолжительных и непрерывных действий, которые по отдельности представляют собой нарушения прав человека, направленные против женщин, девочек и лиц, выражающих поддержку гендерному равенству и правам женщин и девочек, </w:t>
      </w:r>
      <w:r w:rsidR="00BB4779">
        <w:br/>
      </w:r>
      <w:r>
        <w:t>а</w:t>
      </w:r>
      <w:r w:rsidRPr="00C409A7">
        <w:t xml:space="preserve"> в совокупности представляют собой то, что миссия оценивает как преследование по гендерному признаку в контексте протестов и связанного с ними подавления основных прав. </w:t>
      </w:r>
      <w:r w:rsidRPr="00CF40C5">
        <w:t>Миссия считает, что гендерные преследования происходят на фоне институционализированной системы дискриминации и элементов сегрегации в отношении женщин и девочек. Иранские женщины и девочки жестко лишены широкого спектра основных прав, включая право на жизнь, право на свободу от пыток, свободу выражения мнений, свободу вероисповедания, право на участие в общественной жизни, личную неприкосновенность и автономию, а также доступ к образованию и здравоохранению. Кроме того, реализуя государственную политику, силы безопасности применяют преследования, включая изнасилования и другие формы сексуального и гендерного насилия, с целью дискриминации женщин и девочек, мужчин и мальчиков, поддерживающих требования гендерного равенства и ЛГБТК</w:t>
      </w:r>
      <w:r>
        <w:t>И</w:t>
      </w:r>
      <w:r w:rsidRPr="00CF40C5">
        <w:t>+</w:t>
      </w:r>
      <w:r>
        <w:t xml:space="preserve"> людей</w:t>
      </w:r>
      <w:r w:rsidRPr="00CF40C5">
        <w:t xml:space="preserve">, </w:t>
      </w:r>
      <w:r w:rsidRPr="007A0DCF">
        <w:t>чтобы заставить замолчать, сдержать и наказать протестующих и их сторонников</w:t>
      </w:r>
      <w:r w:rsidRPr="00CF40C5">
        <w:t xml:space="preserve">. </w:t>
      </w:r>
      <w:bookmarkStart w:id="20" w:name="_Hlk156514384"/>
      <w:r w:rsidRPr="006528CC">
        <w:t xml:space="preserve">Власти обеспечивают соблюдение дискриминационных законов с помощью насильственных мер, включая убийства, тюремное заключение, пытки, изнасилования и другие формы сексуального насилия. </w:t>
      </w:r>
      <w:r w:rsidRPr="00CF40C5">
        <w:t>Женщины и девочки подвергаются дальнейшим нарушениям из-за многочисленных форм дискриминации по признаку их политических или иных взглядов, этнической принадлежности, социально-экономического положения, сексуальной ориентации или гендерной идентичности.</w:t>
      </w:r>
      <w:bookmarkEnd w:id="20"/>
    </w:p>
    <w:p w14:paraId="74C23D32" w14:textId="77777777" w:rsidR="007D3D4F" w:rsidRPr="00CF40C5" w:rsidRDefault="007D3D4F" w:rsidP="007D3D4F">
      <w:pPr>
        <w:pStyle w:val="H1G"/>
        <w:rPr>
          <w:lang w:eastAsia="en-GB"/>
        </w:rPr>
      </w:pPr>
      <w:r w:rsidRPr="00CF40C5">
        <w:rPr>
          <w:lang w:eastAsia="en-GB"/>
        </w:rPr>
        <w:tab/>
      </w:r>
      <w:r w:rsidRPr="006D7E0B">
        <w:rPr>
          <w:lang w:eastAsia="en-GB"/>
        </w:rPr>
        <w:t>B</w:t>
      </w:r>
      <w:r w:rsidRPr="00CF40C5">
        <w:rPr>
          <w:lang w:eastAsia="en-GB"/>
        </w:rPr>
        <w:t>.</w:t>
      </w:r>
      <w:r w:rsidRPr="00CF40C5">
        <w:rPr>
          <w:lang w:eastAsia="en-GB"/>
        </w:rPr>
        <w:tab/>
        <w:t>Преступления по международному праву</w:t>
      </w:r>
    </w:p>
    <w:p w14:paraId="5AB29B27" w14:textId="77777777" w:rsidR="007D3D4F" w:rsidRPr="00CF40C5" w:rsidRDefault="007D3D4F" w:rsidP="007D3D4F">
      <w:pPr>
        <w:pStyle w:val="SingleTxtG"/>
        <w:rPr>
          <w:lang w:eastAsia="en-GB"/>
        </w:rPr>
      </w:pPr>
      <w:r w:rsidRPr="00CF40C5">
        <w:rPr>
          <w:lang w:eastAsia="en-GB"/>
        </w:rPr>
        <w:t>108.</w:t>
      </w:r>
      <w:r w:rsidRPr="00CF40C5">
        <w:rPr>
          <w:lang w:eastAsia="en-GB"/>
        </w:rPr>
        <w:tab/>
      </w:r>
      <w:r w:rsidRPr="00CF40C5">
        <w:t xml:space="preserve">Миссия также установила, что многие из серьезных нарушений прав человека, изложенных в настоящем докладе, представляют собой преступления против человечности, в частности убийства, лишение свободы, пытки, изнасилования и другие формы сексуального насилия, </w:t>
      </w:r>
      <w:r>
        <w:t xml:space="preserve">преследование, </w:t>
      </w:r>
      <w:r w:rsidRPr="00CF40C5">
        <w:t>насильственные исчезновения и другие бесчеловечные действия, которые соверш</w:t>
      </w:r>
      <w:r>
        <w:t>аются</w:t>
      </w:r>
      <w:r w:rsidRPr="00CF40C5">
        <w:t xml:space="preserve"> в рамках широкомасштабного </w:t>
      </w:r>
      <w:r w:rsidRPr="00CF40C5">
        <w:lastRenderedPageBreak/>
        <w:t>и систематического нападения на гражданск</w:t>
      </w:r>
      <w:r>
        <w:t xml:space="preserve">их лиц, </w:t>
      </w:r>
      <w:r w:rsidRPr="00CF40C5">
        <w:t xml:space="preserve">а именно </w:t>
      </w:r>
      <w:r>
        <w:t xml:space="preserve">на </w:t>
      </w:r>
      <w:r w:rsidRPr="00CF40C5">
        <w:t xml:space="preserve">женщин, девочек и других лиц, выражающих поддержку правам человека. </w:t>
      </w:r>
      <w:r w:rsidRPr="00364906">
        <w:t xml:space="preserve">Совершение подобных преступлений в контексте лишения основных прав жертв, вызванного и усугубленного дискриминационными намерениями, приводит миссию к выводу о том, что совершено преступление против человечности, заключающееся в преследовании по признаку пола. </w:t>
      </w:r>
      <w:r w:rsidRPr="00621D7A">
        <w:t>Миссия считает, что это преследование по гендерному признаку пересекается с дискриминацией по этническому и религиозному признак</w:t>
      </w:r>
      <w:r>
        <w:t>ам</w:t>
      </w:r>
      <w:r w:rsidRPr="00621D7A">
        <w:t>.</w:t>
      </w:r>
    </w:p>
    <w:p w14:paraId="10F707E7" w14:textId="2D48823D" w:rsidR="007D3D4F" w:rsidRPr="00CF40C5" w:rsidRDefault="007D3D4F" w:rsidP="007D3D4F">
      <w:pPr>
        <w:pStyle w:val="SingleTxtG"/>
        <w:rPr>
          <w:lang w:eastAsia="en-GB"/>
        </w:rPr>
      </w:pPr>
      <w:r w:rsidRPr="00CF40C5">
        <w:rPr>
          <w:lang w:eastAsia="en-GB"/>
        </w:rPr>
        <w:t>109.</w:t>
      </w:r>
      <w:r w:rsidRPr="00CF40C5">
        <w:rPr>
          <w:lang w:eastAsia="en-GB"/>
        </w:rPr>
        <w:tab/>
      </w:r>
      <w:r w:rsidRPr="00CF40C5">
        <w:t>Изуч</w:t>
      </w:r>
      <w:r>
        <w:t>ив</w:t>
      </w:r>
      <w:r w:rsidRPr="00CF40C5">
        <w:t xml:space="preserve"> контекстуальные элементы, необходимые для </w:t>
      </w:r>
      <w:r>
        <w:t xml:space="preserve">установления </w:t>
      </w:r>
      <w:r w:rsidRPr="00CF40C5">
        <w:t xml:space="preserve">преступлений против человечности в свете международной </w:t>
      </w:r>
      <w:r w:rsidRPr="002E2096">
        <w:t>судебной практики</w:t>
      </w:r>
      <w:r w:rsidRPr="00CF40C5">
        <w:t xml:space="preserve">, миссия считает, что </w:t>
      </w:r>
      <w:r w:rsidRPr="002E2096">
        <w:t>нападени</w:t>
      </w:r>
      <w:r w:rsidR="00BA019F">
        <w:t>е</w:t>
      </w:r>
      <w:r>
        <w:t xml:space="preserve"> на </w:t>
      </w:r>
      <w:r w:rsidRPr="002E2096">
        <w:t>гражданск</w:t>
      </w:r>
      <w:r>
        <w:t>их лиц</w:t>
      </w:r>
      <w:r w:rsidRPr="00CF40C5">
        <w:t xml:space="preserve">, как </w:t>
      </w:r>
      <w:r>
        <w:t>это</w:t>
      </w:r>
      <w:r w:rsidRPr="00CF40C5">
        <w:t xml:space="preserve"> определен</w:t>
      </w:r>
      <w:r>
        <w:t>о</w:t>
      </w:r>
      <w:r w:rsidRPr="00CF40C5">
        <w:t xml:space="preserve"> выше, носил</w:t>
      </w:r>
      <w:r w:rsidR="00035D3D">
        <w:t>о</w:t>
      </w:r>
      <w:r w:rsidRPr="00CF40C5">
        <w:t xml:space="preserve"> </w:t>
      </w:r>
      <w:r>
        <w:t>«</w:t>
      </w:r>
      <w:r w:rsidRPr="00CF40C5">
        <w:t>широкомасштабный характер</w:t>
      </w:r>
      <w:r>
        <w:t>»</w:t>
      </w:r>
      <w:r w:rsidRPr="00CF40C5">
        <w:t xml:space="preserve">, исходя из </w:t>
      </w:r>
      <w:r>
        <w:t>числа</w:t>
      </w:r>
      <w:r w:rsidRPr="00CF40C5">
        <w:t xml:space="preserve"> и многочисленности жертв, широкого </w:t>
      </w:r>
      <w:r>
        <w:t>диапазона</w:t>
      </w:r>
      <w:r w:rsidRPr="00CF40C5">
        <w:t xml:space="preserve"> мест, в которых были обнаружены жертвы, и, в частности, распространенности по всей стране повторяющихся форм нарушений, равнозначных преступлениям. Миссия также считает, что нападени</w:t>
      </w:r>
      <w:r w:rsidR="00160F7C">
        <w:t>е</w:t>
      </w:r>
      <w:r w:rsidRPr="00CF40C5">
        <w:t xml:space="preserve"> носил</w:t>
      </w:r>
      <w:r w:rsidR="00160F7C">
        <w:t>о</w:t>
      </w:r>
      <w:r w:rsidRPr="00CF40C5">
        <w:t xml:space="preserve"> </w:t>
      </w:r>
      <w:r>
        <w:t>«</w:t>
      </w:r>
      <w:r w:rsidRPr="00CF40C5">
        <w:t>систематический характер</w:t>
      </w:r>
      <w:r>
        <w:t>»</w:t>
      </w:r>
      <w:r w:rsidRPr="00CF40C5">
        <w:t xml:space="preserve"> в силу </w:t>
      </w:r>
      <w:r w:rsidRPr="00816D37">
        <w:t xml:space="preserve">организованного характера </w:t>
      </w:r>
      <w:r w:rsidRPr="00CF40C5">
        <w:t>преступлений и маловероятности их случайного совершения. Совершение преступлений представителями государства не было случайным, спонтанным или изолированным. Напротив, преступления совершались в рамках организованного поведения, после инструкций, поощрения и одобрения со стороны высокопоставленных государственных органов и старших сотрудников государственных учреждений и осуществлялись большим числом физических исполнителей.</w:t>
      </w:r>
    </w:p>
    <w:p w14:paraId="6FF6EF7F" w14:textId="51B92305" w:rsidR="007D3D4F" w:rsidRPr="00CF40C5" w:rsidRDefault="007D3D4F" w:rsidP="007D3D4F">
      <w:pPr>
        <w:pStyle w:val="SingleTxtG"/>
      </w:pPr>
      <w:r w:rsidRPr="00CF40C5">
        <w:rPr>
          <w:lang w:eastAsia="en-GB"/>
        </w:rPr>
        <w:t>110.</w:t>
      </w:r>
      <w:r w:rsidRPr="00CF40C5">
        <w:rPr>
          <w:lang w:eastAsia="en-GB"/>
        </w:rPr>
        <w:tab/>
      </w:r>
      <w:r w:rsidRPr="00CF40C5">
        <w:t xml:space="preserve">Что касается </w:t>
      </w:r>
      <w:r w:rsidRPr="00EB2D98">
        <w:t>необходимо</w:t>
      </w:r>
      <w:r>
        <w:t>го</w:t>
      </w:r>
      <w:r w:rsidRPr="00EB2D98">
        <w:t xml:space="preserve"> услови</w:t>
      </w:r>
      <w:r>
        <w:t xml:space="preserve">я — </w:t>
      </w:r>
      <w:r w:rsidRPr="00CF40C5">
        <w:t>соверш</w:t>
      </w:r>
      <w:r>
        <w:t>ения</w:t>
      </w:r>
      <w:r w:rsidRPr="00CF40C5">
        <w:t xml:space="preserve"> эти</w:t>
      </w:r>
      <w:r>
        <w:t>х</w:t>
      </w:r>
      <w:r w:rsidRPr="00CF40C5">
        <w:t xml:space="preserve"> нарушени</w:t>
      </w:r>
      <w:r>
        <w:t>й</w:t>
      </w:r>
      <w:r w:rsidRPr="00CF40C5">
        <w:t xml:space="preserve"> </w:t>
      </w:r>
      <w:r w:rsidRPr="00CB1E9C">
        <w:t xml:space="preserve">в целях проведения политики государства или организации </w:t>
      </w:r>
      <w:r w:rsidRPr="00CF40C5">
        <w:t xml:space="preserve">или </w:t>
      </w:r>
      <w:r w:rsidRPr="00CB1E9C">
        <w:t>в целях содействия такой политике</w:t>
      </w:r>
      <w:r w:rsidRPr="00CF40C5">
        <w:t xml:space="preserve">, то исходя из совокупности поведения государственных властей, включая заявления их должностных лиц, продолжающуюся безнаказанность предполагаемых исполнителей и неспособность государства осудить такое поведение, у миссии есть разумные основания сделать вывод о том, что основные акты были совершены </w:t>
      </w:r>
      <w:r w:rsidRPr="00CB1E9C">
        <w:t>в целях содействия политик</w:t>
      </w:r>
      <w:r>
        <w:t>е</w:t>
      </w:r>
      <w:r w:rsidRPr="00CB1E9C">
        <w:t xml:space="preserve"> государства</w:t>
      </w:r>
      <w:r w:rsidRPr="00CF40C5">
        <w:t xml:space="preserve">. Миссия, в частности, убеждена, что </w:t>
      </w:r>
      <w:r w:rsidR="009939AC">
        <w:t xml:space="preserve">акты </w:t>
      </w:r>
      <w:r w:rsidRPr="00CF40C5">
        <w:t>были спланированы, срежиссированы и организованы различными государственными структурами и предполагали скоординированные действия, а также вложение значительного объема государственных ресурсов.</w:t>
      </w:r>
    </w:p>
    <w:p w14:paraId="6F4EDF62" w14:textId="77777777" w:rsidR="007D3D4F" w:rsidRPr="00CF40C5" w:rsidRDefault="007D3D4F" w:rsidP="007D3D4F">
      <w:pPr>
        <w:pStyle w:val="H1G"/>
        <w:rPr>
          <w:lang w:eastAsia="en-GB"/>
        </w:rPr>
      </w:pPr>
      <w:r w:rsidRPr="00CF40C5">
        <w:rPr>
          <w:lang w:eastAsia="en-GB"/>
        </w:rPr>
        <w:tab/>
      </w:r>
      <w:r w:rsidRPr="006D7E0B">
        <w:rPr>
          <w:lang w:eastAsia="en-GB"/>
        </w:rPr>
        <w:t>C</w:t>
      </w:r>
      <w:r w:rsidRPr="00CF40C5">
        <w:rPr>
          <w:lang w:eastAsia="en-GB"/>
        </w:rPr>
        <w:t>.</w:t>
      </w:r>
      <w:r w:rsidRPr="00CF40C5">
        <w:rPr>
          <w:lang w:eastAsia="en-GB"/>
        </w:rPr>
        <w:tab/>
        <w:t>Ответственность</w:t>
      </w:r>
    </w:p>
    <w:p w14:paraId="3FDCA35E" w14:textId="77777777" w:rsidR="007D3D4F" w:rsidRPr="00CF40C5" w:rsidRDefault="007D3D4F" w:rsidP="007D3D4F">
      <w:pPr>
        <w:pStyle w:val="SingleTxtG"/>
      </w:pPr>
      <w:r w:rsidRPr="00CF40C5">
        <w:rPr>
          <w:lang w:bidi="ar-LB"/>
        </w:rPr>
        <w:t>111.</w:t>
      </w:r>
      <w:r>
        <w:rPr>
          <w:lang w:bidi="ar-LB"/>
        </w:rPr>
        <w:tab/>
        <w:t>Р</w:t>
      </w:r>
      <w:r w:rsidRPr="00CF40C5">
        <w:t>азличны</w:t>
      </w:r>
      <w:r>
        <w:t>е</w:t>
      </w:r>
      <w:r w:rsidRPr="00CF40C5">
        <w:t xml:space="preserve"> подразделени</w:t>
      </w:r>
      <w:r>
        <w:t>я</w:t>
      </w:r>
      <w:r w:rsidRPr="00CF40C5">
        <w:t xml:space="preserve"> государственных сил безопасности, </w:t>
      </w:r>
      <w:r>
        <w:t xml:space="preserve">сотрудники которых были </w:t>
      </w:r>
      <w:r w:rsidRPr="00CF40C5">
        <w:t xml:space="preserve">как в форме, так и в штатском, участвовали в неоправданном и непропорциональном применении силы, что привело к незаконным убийствам и ранениям, в первую очередь Корпус стражей исламской революции, </w:t>
      </w:r>
      <w:r>
        <w:t>ополчение басидж</w:t>
      </w:r>
      <w:r w:rsidRPr="00CF40C5">
        <w:t xml:space="preserve"> и Командование правоохранительных органов Исламской Республики Иран (</w:t>
      </w:r>
      <w:r>
        <w:t>«</w:t>
      </w:r>
      <w:r w:rsidRPr="00CF40C5">
        <w:t>Фараджа</w:t>
      </w:r>
      <w:r>
        <w:t>»</w:t>
      </w:r>
      <w:r w:rsidRPr="00CF40C5">
        <w:t>), включая его специальные силы.</w:t>
      </w:r>
    </w:p>
    <w:p w14:paraId="0E74353A" w14:textId="77777777" w:rsidR="007D3D4F" w:rsidRPr="00CF40C5" w:rsidRDefault="007D3D4F" w:rsidP="007D3D4F">
      <w:pPr>
        <w:pStyle w:val="SingleTxtG"/>
      </w:pPr>
      <w:r w:rsidRPr="00CF40C5">
        <w:t>112.</w:t>
      </w:r>
      <w:r w:rsidRPr="00CF40C5">
        <w:tab/>
        <w:t xml:space="preserve">В массовых арестах участвовал целый ряд различных сил, включая Министерство разведки, агентов разведки, </w:t>
      </w:r>
      <w:r>
        <w:t>ополченцев басидж</w:t>
      </w:r>
      <w:r w:rsidRPr="00CF40C5">
        <w:t xml:space="preserve">, Корпус стражей исламской революции, полицию нравов и агентов </w:t>
      </w:r>
      <w:r>
        <w:t>«</w:t>
      </w:r>
      <w:r w:rsidRPr="00CF40C5">
        <w:t>Фарадж</w:t>
      </w:r>
      <w:r>
        <w:t>и»</w:t>
      </w:r>
      <w:r w:rsidRPr="00CF40C5">
        <w:t>. Жертвы, включая детей, подвергались произвольным задержаниям, пыткам, сексуальному и гендерному насилию и насильственным исчезновениям в различных местах содержания под стражей. К официальным местам содержания под стражей относятся полицейские участки, тюрьмы, находящиеся в ведении Пенитенциарн</w:t>
      </w:r>
      <w:r>
        <w:t>ой</w:t>
      </w:r>
      <w:r w:rsidRPr="00CF40C5">
        <w:t xml:space="preserve"> организации, и объекты, находящиеся в ведении </w:t>
      </w:r>
      <w:r>
        <w:t>ополченцев басидж</w:t>
      </w:r>
      <w:r w:rsidRPr="00CF40C5">
        <w:t xml:space="preserve"> и Корпуса стражей исламской революции, а к неофициальным местам содержания под стражей относятся секретные объекты, находящиеся в ведении Министерства разведки, Корпуса стражей исламской революции и </w:t>
      </w:r>
      <w:r>
        <w:t>ополченцев басидж</w:t>
      </w:r>
      <w:r w:rsidRPr="00CF40C5">
        <w:t>.</w:t>
      </w:r>
    </w:p>
    <w:p w14:paraId="1B2AB103" w14:textId="77777777" w:rsidR="007D3D4F" w:rsidRPr="00CF40C5" w:rsidRDefault="007D3D4F" w:rsidP="007D3D4F">
      <w:pPr>
        <w:pStyle w:val="SingleTxtG"/>
        <w:rPr>
          <w:lang w:bidi="ar-LB"/>
        </w:rPr>
      </w:pPr>
      <w:r w:rsidRPr="00CF40C5">
        <w:rPr>
          <w:lang w:bidi="ar-LB"/>
        </w:rPr>
        <w:t>113.</w:t>
      </w:r>
      <w:r w:rsidRPr="00CF40C5">
        <w:rPr>
          <w:lang w:bidi="ar-LB"/>
        </w:rPr>
        <w:tab/>
      </w:r>
      <w:r w:rsidRPr="00CF40C5">
        <w:t xml:space="preserve">Прокуроры и судьи, особенно в революционных судах, использовали признания, полученные под пытками, осуждали </w:t>
      </w:r>
      <w:r>
        <w:t>участников протестов</w:t>
      </w:r>
      <w:r w:rsidRPr="00CF40C5">
        <w:t xml:space="preserve"> по нечетко сформулированным обвинениям и приговаривали их к смерти. Они также несут ответственность за нарушения </w:t>
      </w:r>
      <w:r>
        <w:t xml:space="preserve">гарантий </w:t>
      </w:r>
      <w:r w:rsidRPr="00CF40C5">
        <w:t xml:space="preserve">справедливого судебного разбирательства. Прокуроры и судебные органы применяли дискриминационные законы в отношении </w:t>
      </w:r>
      <w:r w:rsidRPr="00CF40C5">
        <w:lastRenderedPageBreak/>
        <w:t>женщин и девочек, в частности в связи с обязательн</w:t>
      </w:r>
      <w:r>
        <w:t>ы</w:t>
      </w:r>
      <w:r w:rsidRPr="00CF40C5">
        <w:t>м ношени</w:t>
      </w:r>
      <w:r>
        <w:t>ем</w:t>
      </w:r>
      <w:r w:rsidRPr="00CF40C5">
        <w:t xml:space="preserve"> хиджаба, что приводило к произвольным задержаниям и санкционированным государством пыткам и </w:t>
      </w:r>
      <w:r>
        <w:t>неправомерному</w:t>
      </w:r>
      <w:r w:rsidRPr="00CF40C5">
        <w:t xml:space="preserve"> обращению, например </w:t>
      </w:r>
      <w:r>
        <w:t>порке</w:t>
      </w:r>
      <w:r w:rsidRPr="00CF40C5">
        <w:t>.</w:t>
      </w:r>
    </w:p>
    <w:p w14:paraId="4FD589BE" w14:textId="77777777" w:rsidR="007D3D4F" w:rsidRPr="00CF40C5" w:rsidRDefault="007D3D4F" w:rsidP="007D3D4F">
      <w:pPr>
        <w:pStyle w:val="SingleTxtG"/>
      </w:pPr>
      <w:r w:rsidRPr="00CF40C5">
        <w:rPr>
          <w:lang w:bidi="ar-LB"/>
        </w:rPr>
        <w:t>114.</w:t>
      </w:r>
      <w:r w:rsidRPr="00CF40C5">
        <w:rPr>
          <w:lang w:bidi="ar-LB"/>
        </w:rPr>
        <w:tab/>
      </w:r>
      <w:r w:rsidRPr="00FC2DB0">
        <w:rPr>
          <w:lang w:bidi="ar-LB"/>
        </w:rPr>
        <w:t>Высокопоставленные представители государственной власти поощряли, санкционировали и одобряли нарушения прав человека, делая заявления, оправдывающие действия и поведение сил безопасности;</w:t>
      </w:r>
      <w:r w:rsidRPr="00CF40C5">
        <w:rPr>
          <w:lang w:bidi="ar-LB"/>
        </w:rPr>
        <w:t xml:space="preserve"> проводили кампанию дезинформации, изображая протестующих </w:t>
      </w:r>
      <w:r>
        <w:rPr>
          <w:lang w:bidi="ar-LB"/>
        </w:rPr>
        <w:t>«</w:t>
      </w:r>
      <w:r w:rsidRPr="00CF40C5">
        <w:rPr>
          <w:lang w:bidi="ar-LB"/>
        </w:rPr>
        <w:t>террористами</w:t>
      </w:r>
      <w:r>
        <w:rPr>
          <w:lang w:bidi="ar-LB"/>
        </w:rPr>
        <w:t>»</w:t>
      </w:r>
      <w:r w:rsidRPr="00CF40C5">
        <w:rPr>
          <w:lang w:bidi="ar-LB"/>
        </w:rPr>
        <w:t xml:space="preserve"> или группами</w:t>
      </w:r>
      <w:r>
        <w:rPr>
          <w:lang w:bidi="ar-LB"/>
        </w:rPr>
        <w:t xml:space="preserve"> «</w:t>
      </w:r>
      <w:r w:rsidRPr="00CF40C5">
        <w:rPr>
          <w:lang w:bidi="ar-LB"/>
        </w:rPr>
        <w:t>сепаратист</w:t>
      </w:r>
      <w:r>
        <w:rPr>
          <w:lang w:bidi="ar-LB"/>
        </w:rPr>
        <w:t>ов»</w:t>
      </w:r>
      <w:r w:rsidRPr="00CF40C5">
        <w:rPr>
          <w:lang w:bidi="ar-LB"/>
        </w:rPr>
        <w:t xml:space="preserve">; и </w:t>
      </w:r>
      <w:r>
        <w:rPr>
          <w:lang w:bidi="ar-LB"/>
        </w:rPr>
        <w:t xml:space="preserve">бранили </w:t>
      </w:r>
      <w:r w:rsidRPr="00CF40C5">
        <w:rPr>
          <w:lang w:bidi="ar-LB"/>
        </w:rPr>
        <w:t xml:space="preserve">характер и поведение женщин, используя гендерные и женоненавистнические оскорбления. Кроме того, </w:t>
      </w:r>
      <w:r w:rsidRPr="00CF40C5">
        <w:t xml:space="preserve">власти на самом высоком государственном уровне, включая Верховного </w:t>
      </w:r>
      <w:r>
        <w:t>руководителя</w:t>
      </w:r>
      <w:r w:rsidRPr="00CF40C5">
        <w:t xml:space="preserve">, старших членов Корпуса стражей исламской революции, </w:t>
      </w:r>
      <w:r>
        <w:t>ополчения басидж</w:t>
      </w:r>
      <w:r w:rsidRPr="00CF40C5">
        <w:t xml:space="preserve">, Командования правоохранительных органов Исламской Республики Иран, прокуратуры, Высшего совета по киберпространству и Высшего совета национальной безопасности, главу судебной системы, революционные и уголовные суды, тюремные власти, включая директоров ряда центров содержания под стражей, Министерство разведки и Министерство внутренних дел, участвовали в нарушениях, пособничали или иным образом способствовали им либо знали или сознательно игнорировали информацию об их совершении и не </w:t>
      </w:r>
      <w:r>
        <w:t xml:space="preserve">пожелали </w:t>
      </w:r>
      <w:r w:rsidRPr="00CF40C5">
        <w:t>предотврати</w:t>
      </w:r>
      <w:r>
        <w:t>ть</w:t>
      </w:r>
      <w:r w:rsidRPr="00CF40C5">
        <w:t xml:space="preserve"> их и наказа</w:t>
      </w:r>
      <w:r>
        <w:t>ть за них</w:t>
      </w:r>
      <w:r w:rsidRPr="00CF40C5">
        <w:t>.</w:t>
      </w:r>
    </w:p>
    <w:p w14:paraId="4E122D11" w14:textId="77777777" w:rsidR="007D3D4F" w:rsidRPr="00CF40C5" w:rsidRDefault="007D3D4F" w:rsidP="007D3D4F">
      <w:pPr>
        <w:pStyle w:val="SingleTxtG"/>
      </w:pPr>
      <w:r w:rsidRPr="00CF40C5">
        <w:t>115.</w:t>
      </w:r>
      <w:r w:rsidRPr="00CF40C5">
        <w:tab/>
        <w:t>Миссия провела расследование в отношении личностей непосредственных исполнителей, которые совершали</w:t>
      </w:r>
      <w:r>
        <w:t xml:space="preserve"> </w:t>
      </w:r>
      <w:r w:rsidRPr="00CF40C5">
        <w:t>нарушени</w:t>
      </w:r>
      <w:r>
        <w:t>я</w:t>
      </w:r>
      <w:r w:rsidRPr="00CF40C5">
        <w:t>, приказывали</w:t>
      </w:r>
      <w:r>
        <w:t xml:space="preserve"> их совершать</w:t>
      </w:r>
      <w:r w:rsidRPr="00CF40C5">
        <w:t xml:space="preserve">, подстрекали или склоняли к </w:t>
      </w:r>
      <w:r>
        <w:t xml:space="preserve">их </w:t>
      </w:r>
      <w:r w:rsidRPr="00CF40C5">
        <w:t>совершению. В рамках расследования ответственности начальников миссия установила порядок подчинения в различных подразделениях. Эта информация включена в документ зала заседаний. Информация о личности и ответственности отдельных лиц, включая начальников, включена в конфиденциальный список.</w:t>
      </w:r>
    </w:p>
    <w:p w14:paraId="2A57C65C" w14:textId="77777777" w:rsidR="007D3D4F" w:rsidRPr="00CF40C5" w:rsidRDefault="007D3D4F" w:rsidP="007D3D4F">
      <w:pPr>
        <w:pStyle w:val="H1G"/>
        <w:rPr>
          <w:lang w:eastAsia="en-GB"/>
        </w:rPr>
      </w:pPr>
      <w:r w:rsidRPr="00CF40C5">
        <w:rPr>
          <w:lang w:eastAsia="en-GB"/>
        </w:rPr>
        <w:tab/>
      </w:r>
      <w:r w:rsidRPr="006D7E0B">
        <w:rPr>
          <w:lang w:eastAsia="en-GB"/>
        </w:rPr>
        <w:t>D</w:t>
      </w:r>
      <w:r w:rsidRPr="00CF40C5">
        <w:rPr>
          <w:lang w:eastAsia="en-GB"/>
        </w:rPr>
        <w:t>.</w:t>
      </w:r>
      <w:r w:rsidRPr="00CF40C5">
        <w:rPr>
          <w:lang w:eastAsia="en-GB"/>
        </w:rPr>
        <w:tab/>
        <w:t>Безнаказанность</w:t>
      </w:r>
    </w:p>
    <w:p w14:paraId="04618174" w14:textId="77777777" w:rsidR="007D3D4F" w:rsidRPr="00CF40C5" w:rsidRDefault="007D3D4F" w:rsidP="007D3D4F">
      <w:pPr>
        <w:pStyle w:val="SingleTxtG"/>
      </w:pPr>
      <w:r w:rsidRPr="00CF40C5">
        <w:t>116.</w:t>
      </w:r>
      <w:r w:rsidRPr="00CF40C5">
        <w:tab/>
        <w:t>Миссия не обнаружила никаких свидетельств наличия эффективных внутренних средств правовой защиты для жертв нарушений прав человека и установила, что власти не расследовали утверждения о нарушениях прав человека, не преследовали и не наказывали виновных, а также намеренно и систематически препятствовали любым усилиям жертв и их семей добиться возмещения ущерба и установить истину.</w:t>
      </w:r>
    </w:p>
    <w:p w14:paraId="2BB0044D" w14:textId="77777777" w:rsidR="007D3D4F" w:rsidRPr="00CF40C5" w:rsidRDefault="007D3D4F" w:rsidP="007D3D4F">
      <w:pPr>
        <w:pStyle w:val="SingleTxtG"/>
      </w:pPr>
      <w:r w:rsidRPr="00CF40C5">
        <w:t>117.</w:t>
      </w:r>
      <w:r w:rsidRPr="00CF40C5">
        <w:tab/>
        <w:t>Хотя иранские власти объявили о проведении ряда расследований, включая создание Специального комитета по расследованию беспорядков 2022</w:t>
      </w:r>
      <w:r>
        <w:t> года</w:t>
      </w:r>
      <w:r w:rsidRPr="00CF40C5">
        <w:t xml:space="preserve">, </w:t>
      </w:r>
      <w:r>
        <w:t>эти расследования</w:t>
      </w:r>
      <w:r w:rsidRPr="00CF40C5">
        <w:t xml:space="preserve"> не отвечают международным стандартам в области прав человека, применимым к внутренним расследованиям, и миссия не обнаружила никаких свидетельств проведения уголовных расследований по заявлениям о нарушениях прав человека, о которых говорится в настоящем докладе, а также никаких свидетельств судебного преследования виновных или предоставления каких-либо других форм возмещения ущерба жертвам.</w:t>
      </w:r>
    </w:p>
    <w:p w14:paraId="1AA1CA8D" w14:textId="77777777" w:rsidR="007D3D4F" w:rsidRPr="00CF40C5" w:rsidRDefault="007D3D4F" w:rsidP="007D3D4F">
      <w:pPr>
        <w:pStyle w:val="SingleTxtG"/>
      </w:pPr>
      <w:r w:rsidRPr="00CF40C5">
        <w:t>118.</w:t>
      </w:r>
      <w:r w:rsidRPr="00CF40C5">
        <w:tab/>
      </w:r>
      <w:r w:rsidRPr="00BA27BB">
        <w:t xml:space="preserve">Лишенные своих прав на равенство, </w:t>
      </w:r>
      <w:r>
        <w:t>установление истины</w:t>
      </w:r>
      <w:r w:rsidRPr="00BA27BB">
        <w:t xml:space="preserve">, справедливость и возмещение ущерба, жертвы подвергаются воздействию системы правосудия, которой не хватает независимости, прозрачности и подотчетности. </w:t>
      </w:r>
      <w:r w:rsidRPr="00CF40C5">
        <w:t xml:space="preserve">Судьи, прокуроры, сотрудники </w:t>
      </w:r>
      <w:r w:rsidRPr="00BA27BB">
        <w:t xml:space="preserve">разведки </w:t>
      </w:r>
      <w:r w:rsidRPr="00CF40C5">
        <w:t>и адвокаты из списка, утвержденного</w:t>
      </w:r>
      <w:r>
        <w:t xml:space="preserve"> </w:t>
      </w:r>
      <w:r w:rsidRPr="00CF40C5">
        <w:t>главой судебной власти, действовали сообща, чтобы отрицать и скрывать нарушения, выгораживать виновных, наказывать и заставлять молчать тех, кто добивается привлечения к ответственности.</w:t>
      </w:r>
    </w:p>
    <w:p w14:paraId="4BE44F20" w14:textId="77777777" w:rsidR="007D3D4F" w:rsidRPr="00CF40C5" w:rsidRDefault="007D3D4F" w:rsidP="007D3D4F">
      <w:pPr>
        <w:pStyle w:val="H1G"/>
        <w:rPr>
          <w:lang w:eastAsia="en-GB"/>
        </w:rPr>
      </w:pPr>
      <w:r w:rsidRPr="00CF40C5">
        <w:rPr>
          <w:lang w:eastAsia="en-GB"/>
        </w:rPr>
        <w:tab/>
      </w:r>
      <w:r w:rsidRPr="006D7E0B">
        <w:rPr>
          <w:lang w:eastAsia="en-GB"/>
        </w:rPr>
        <w:t>E</w:t>
      </w:r>
      <w:r w:rsidRPr="00CF40C5">
        <w:rPr>
          <w:lang w:eastAsia="en-GB"/>
        </w:rPr>
        <w:t>.</w:t>
      </w:r>
      <w:r>
        <w:rPr>
          <w:lang w:eastAsia="en-GB"/>
        </w:rPr>
        <w:tab/>
        <w:t>Возможности</w:t>
      </w:r>
      <w:r w:rsidRPr="00CF40C5">
        <w:rPr>
          <w:lang w:eastAsia="en-GB"/>
        </w:rPr>
        <w:t xml:space="preserve"> привлечения к ответственности за пределами Исламской Республики Иран</w:t>
      </w:r>
    </w:p>
    <w:p w14:paraId="10BC588B" w14:textId="6995B37C" w:rsidR="007D3D4F" w:rsidRPr="00CF40C5" w:rsidRDefault="007D3D4F" w:rsidP="007D3D4F">
      <w:pPr>
        <w:pStyle w:val="SingleTxtG"/>
      </w:pPr>
      <w:r w:rsidRPr="00CF40C5">
        <w:t>119.</w:t>
      </w:r>
      <w:r w:rsidRPr="00CF40C5">
        <w:tab/>
        <w:t>В</w:t>
      </w:r>
      <w:r>
        <w:t>виду</w:t>
      </w:r>
      <w:r w:rsidRPr="00CF40C5">
        <w:t xml:space="preserve"> отсутстви</w:t>
      </w:r>
      <w:r>
        <w:t>я</w:t>
      </w:r>
      <w:r w:rsidRPr="00CF40C5">
        <w:t xml:space="preserve"> эффективных средств правовой защиты внутри страны единственными доступными вариантами привлечения к ответственности являются правовые средства</w:t>
      </w:r>
      <w:r>
        <w:t>, предусмотренные</w:t>
      </w:r>
      <w:r w:rsidRPr="00CF40C5">
        <w:t xml:space="preserve"> за пределами страны на национальном и международном уровнях. В частности, миссия пришла к выводу, что третьи </w:t>
      </w:r>
      <w:r w:rsidRPr="00CF40C5">
        <w:lastRenderedPageBreak/>
        <w:t>государства, осуществляющие универсальную юрисдикцию в отношении нарушений, описанных в настоящем докладе, представляют собой важн</w:t>
      </w:r>
      <w:r>
        <w:t>ое средство</w:t>
      </w:r>
      <w:r w:rsidRPr="00CF40C5">
        <w:t xml:space="preserve"> привлечения к ответственности </w:t>
      </w:r>
      <w:r>
        <w:t xml:space="preserve">для </w:t>
      </w:r>
      <w:r w:rsidRPr="00CF40C5">
        <w:t xml:space="preserve">жертв, в том числе </w:t>
      </w:r>
      <w:r>
        <w:t xml:space="preserve">для тех из них, кто </w:t>
      </w:r>
      <w:r w:rsidRPr="00CF40C5">
        <w:t>наход</w:t>
      </w:r>
      <w:r>
        <w:t>ится</w:t>
      </w:r>
      <w:r w:rsidRPr="00CF40C5">
        <w:t xml:space="preserve"> на территории третьих государств. При расследовании и судебном преследовании деяний, описанных в настоящем докладе, государства могут использовать различные методы и инструменты, включая начало структурных расследований, создание совместн</w:t>
      </w:r>
      <w:r w:rsidR="00885B48">
        <w:t>ой</w:t>
      </w:r>
      <w:r w:rsidRPr="00CF40C5">
        <w:t xml:space="preserve"> следственн</w:t>
      </w:r>
      <w:r w:rsidR="00885B48">
        <w:t>ой</w:t>
      </w:r>
      <w:r w:rsidRPr="00CF40C5">
        <w:t xml:space="preserve"> групп</w:t>
      </w:r>
      <w:r w:rsidR="00885B48">
        <w:t>ы</w:t>
      </w:r>
      <w:r w:rsidRPr="00CF40C5">
        <w:t>, розыск предполагаемых преступников и направление официальных запросов о судебной помощи для получения соответствующей информации, в том числе от миссии.</w:t>
      </w:r>
    </w:p>
    <w:p w14:paraId="249D7EC6" w14:textId="77777777" w:rsidR="007D3D4F" w:rsidRPr="00CF40C5" w:rsidRDefault="007D3D4F" w:rsidP="007D3D4F">
      <w:pPr>
        <w:pStyle w:val="SingleTxtG"/>
      </w:pPr>
      <w:r w:rsidRPr="00CF40C5">
        <w:t>120.</w:t>
      </w:r>
      <w:r w:rsidRPr="00CF40C5">
        <w:tab/>
        <w:t xml:space="preserve">На международном уровне некоторые из нарушений, описанных в настоящем докладе, могут также подпадать под юрисдикцию Международного Суда, в том числе в связи с осуществлением Международной конвенции о ликвидации всех форм расовой дискриминации, </w:t>
      </w:r>
      <w:r>
        <w:t xml:space="preserve">благодаря чему </w:t>
      </w:r>
      <w:r w:rsidRPr="00CF40C5">
        <w:t>жертвы могут воспользоваться обяз</w:t>
      </w:r>
      <w:r>
        <w:t>ывающим</w:t>
      </w:r>
      <w:r w:rsidRPr="00CF40C5">
        <w:t xml:space="preserve"> постановлением о временных мерах в соответствии со статьей</w:t>
      </w:r>
      <w:r>
        <w:t> </w:t>
      </w:r>
      <w:r w:rsidRPr="00CF40C5">
        <w:t>41 Статута</w:t>
      </w:r>
      <w:r>
        <w:t xml:space="preserve"> </w:t>
      </w:r>
      <w:r w:rsidRPr="00CF40C5">
        <w:t>Суда для сохранения своих прав.</w:t>
      </w:r>
    </w:p>
    <w:p w14:paraId="49154733" w14:textId="77777777" w:rsidR="007D3D4F" w:rsidRPr="00CF40C5" w:rsidRDefault="007D3D4F" w:rsidP="007D3D4F">
      <w:pPr>
        <w:pStyle w:val="SingleTxtG"/>
      </w:pPr>
      <w:r w:rsidRPr="00CF40C5">
        <w:t>121.</w:t>
      </w:r>
      <w:r w:rsidRPr="00CF40C5">
        <w:tab/>
        <w:t xml:space="preserve">В свете обязательства предоставлять жертвам нарушений адекватные, эффективные, быстрые и надлежащие средства правовой защиты, включая установление истины и возмещение ущерба, такие как компенсация, реституция, реабилитация и </w:t>
      </w:r>
      <w:r w:rsidRPr="006A4D98">
        <w:t>сатисфакци</w:t>
      </w:r>
      <w:r>
        <w:t>я</w:t>
      </w:r>
      <w:r w:rsidRPr="00CF40C5">
        <w:t xml:space="preserve">, миссия отмечает необходимость </w:t>
      </w:r>
      <w:r>
        <w:t xml:space="preserve">принятия </w:t>
      </w:r>
      <w:r w:rsidRPr="00CF40C5">
        <w:t>как на национальном, так и на международном уровнях инициатив в отношении жертв нарушений, описанных в настоящем докладе.</w:t>
      </w:r>
    </w:p>
    <w:p w14:paraId="50593E20" w14:textId="77777777" w:rsidR="007D3D4F" w:rsidRPr="00CF40C5" w:rsidRDefault="007D3D4F" w:rsidP="007D3D4F">
      <w:pPr>
        <w:pStyle w:val="HChG"/>
      </w:pPr>
      <w:r w:rsidRPr="00CF40C5">
        <w:tab/>
      </w:r>
      <w:r w:rsidRPr="006D7E0B">
        <w:t>X</w:t>
      </w:r>
      <w:r w:rsidRPr="00CF40C5">
        <w:t>.</w:t>
      </w:r>
      <w:r w:rsidRPr="00CF40C5">
        <w:tab/>
        <w:t>Выводы и рекомендации</w:t>
      </w:r>
    </w:p>
    <w:p w14:paraId="0AB14039" w14:textId="77777777" w:rsidR="007D3D4F" w:rsidRPr="00CF40C5" w:rsidRDefault="007D3D4F" w:rsidP="007D3D4F">
      <w:pPr>
        <w:pStyle w:val="SingleTxtG"/>
        <w:rPr>
          <w:b/>
          <w:bCs/>
          <w:lang w:eastAsia="en-GB"/>
        </w:rPr>
      </w:pPr>
      <w:r w:rsidRPr="00CF40C5">
        <w:rPr>
          <w:lang w:eastAsia="en-GB"/>
        </w:rPr>
        <w:t>122.</w:t>
      </w:r>
      <w:r w:rsidRPr="00CF40C5">
        <w:rPr>
          <w:lang w:eastAsia="en-GB"/>
        </w:rPr>
        <w:tab/>
      </w:r>
      <w:r w:rsidRPr="00437D32">
        <w:rPr>
          <w:b/>
          <w:bCs/>
        </w:rPr>
        <w:t>Повсеместная и глубоко укоренившаяся структурная и институционализированная дискриминация в отношении женщин и девочек, пронизывающая все сферы их общественной и частной жизни, стала одновременно и спусковым крючком, и</w:t>
      </w:r>
      <w:r w:rsidRPr="00CF40C5">
        <w:rPr>
          <w:b/>
          <w:bCs/>
        </w:rPr>
        <w:t xml:space="preserve"> способствующим </w:t>
      </w:r>
      <w:r w:rsidRPr="00437D32">
        <w:rPr>
          <w:b/>
          <w:bCs/>
        </w:rPr>
        <w:t>фактором</w:t>
      </w:r>
      <w:r w:rsidRPr="00CF40C5">
        <w:rPr>
          <w:b/>
          <w:bCs/>
        </w:rPr>
        <w:t xml:space="preserve"> </w:t>
      </w:r>
      <w:r>
        <w:rPr>
          <w:b/>
          <w:bCs/>
        </w:rPr>
        <w:t xml:space="preserve">для </w:t>
      </w:r>
      <w:r w:rsidRPr="00CF40C5">
        <w:rPr>
          <w:b/>
          <w:bCs/>
        </w:rPr>
        <w:t>широко распространенны</w:t>
      </w:r>
      <w:r>
        <w:rPr>
          <w:b/>
          <w:bCs/>
        </w:rPr>
        <w:t>х</w:t>
      </w:r>
      <w:r w:rsidRPr="00CF40C5">
        <w:rPr>
          <w:b/>
          <w:bCs/>
        </w:rPr>
        <w:t xml:space="preserve"> серьезны</w:t>
      </w:r>
      <w:r>
        <w:rPr>
          <w:b/>
          <w:bCs/>
        </w:rPr>
        <w:t>х</w:t>
      </w:r>
      <w:r w:rsidRPr="00CF40C5">
        <w:rPr>
          <w:b/>
          <w:bCs/>
        </w:rPr>
        <w:t xml:space="preserve"> нарушени</w:t>
      </w:r>
      <w:r>
        <w:rPr>
          <w:b/>
          <w:bCs/>
        </w:rPr>
        <w:t>й</w:t>
      </w:r>
      <w:r w:rsidRPr="00CF40C5">
        <w:rPr>
          <w:b/>
          <w:bCs/>
        </w:rPr>
        <w:t xml:space="preserve"> прав человека и преступлени</w:t>
      </w:r>
      <w:r>
        <w:rPr>
          <w:b/>
          <w:bCs/>
        </w:rPr>
        <w:t>й</w:t>
      </w:r>
      <w:r w:rsidRPr="00CF40C5">
        <w:rPr>
          <w:b/>
          <w:bCs/>
        </w:rPr>
        <w:t xml:space="preserve"> по международному праву, соверш</w:t>
      </w:r>
      <w:r>
        <w:rPr>
          <w:b/>
          <w:bCs/>
        </w:rPr>
        <w:t>аемым</w:t>
      </w:r>
      <w:r w:rsidRPr="00CF40C5">
        <w:rPr>
          <w:b/>
          <w:bCs/>
        </w:rPr>
        <w:t xml:space="preserve"> в отношении женщин и девочек в Исламской Республике Иран, а также других лиц, выступающих за равенство и права человека, в контексте движения </w:t>
      </w:r>
      <w:r>
        <w:rPr>
          <w:b/>
          <w:bCs/>
        </w:rPr>
        <w:t>«</w:t>
      </w:r>
      <w:r w:rsidRPr="00CF40C5">
        <w:rPr>
          <w:b/>
          <w:bCs/>
        </w:rPr>
        <w:t>Женщина, жизнь, свобода</w:t>
      </w:r>
      <w:r>
        <w:rPr>
          <w:b/>
          <w:bCs/>
        </w:rPr>
        <w:t>»</w:t>
      </w:r>
      <w:r w:rsidRPr="00CF40C5">
        <w:rPr>
          <w:b/>
          <w:bCs/>
        </w:rPr>
        <w:t xml:space="preserve">. Аспекты </w:t>
      </w:r>
      <w:r w:rsidRPr="00615503">
        <w:rPr>
          <w:b/>
          <w:bCs/>
        </w:rPr>
        <w:t>интерсекционн</w:t>
      </w:r>
      <w:r w:rsidRPr="00CF40C5">
        <w:rPr>
          <w:b/>
          <w:bCs/>
        </w:rPr>
        <w:t xml:space="preserve">ой дискриминации по этническому и религиозному признакам </w:t>
      </w:r>
      <w:r w:rsidRPr="00615503">
        <w:rPr>
          <w:b/>
          <w:bCs/>
        </w:rPr>
        <w:t xml:space="preserve">сформировали </w:t>
      </w:r>
      <w:r w:rsidRPr="00CF40C5">
        <w:rPr>
          <w:b/>
          <w:bCs/>
        </w:rPr>
        <w:t xml:space="preserve">опыт насилия и несправедливости, </w:t>
      </w:r>
      <w:r w:rsidRPr="00615503">
        <w:rPr>
          <w:b/>
          <w:bCs/>
        </w:rPr>
        <w:t>от которого пострадали многие в контексте протестов и их последствий</w:t>
      </w:r>
      <w:r w:rsidRPr="00CF40C5">
        <w:rPr>
          <w:b/>
          <w:bCs/>
        </w:rPr>
        <w:t>.</w:t>
      </w:r>
    </w:p>
    <w:p w14:paraId="4CF98214" w14:textId="56F06B45" w:rsidR="007D3D4F" w:rsidRPr="00CF40C5" w:rsidRDefault="007D3D4F" w:rsidP="007D3D4F">
      <w:pPr>
        <w:pStyle w:val="SingleTxtG"/>
        <w:rPr>
          <w:b/>
          <w:bCs/>
        </w:rPr>
      </w:pPr>
      <w:r w:rsidRPr="00CF40C5">
        <w:t>123.</w:t>
      </w:r>
      <w:r w:rsidRPr="00CF40C5">
        <w:tab/>
      </w:r>
      <w:r w:rsidRPr="004479BA">
        <w:rPr>
          <w:b/>
          <w:bCs/>
        </w:rPr>
        <w:t xml:space="preserve">Учитывая серьезность своих выводов, миссия настоятельно призывает иранские власти прекратить все казни и немедленно и безоговорочно освободить всех лиц, произвольно арестованных и задержанных в контексте протестов или за несоблюдение </w:t>
      </w:r>
      <w:r>
        <w:rPr>
          <w:b/>
          <w:bCs/>
        </w:rPr>
        <w:t xml:space="preserve">требования об </w:t>
      </w:r>
      <w:r w:rsidRPr="004479BA">
        <w:rPr>
          <w:b/>
          <w:bCs/>
        </w:rPr>
        <w:t>обязательного ношени</w:t>
      </w:r>
      <w:r>
        <w:rPr>
          <w:b/>
          <w:bCs/>
        </w:rPr>
        <w:t>и</w:t>
      </w:r>
      <w:r w:rsidRPr="004479BA">
        <w:rPr>
          <w:b/>
          <w:bCs/>
        </w:rPr>
        <w:t xml:space="preserve"> хиджаба или пропаганду против </w:t>
      </w:r>
      <w:r>
        <w:rPr>
          <w:b/>
          <w:bCs/>
        </w:rPr>
        <w:t>этого требования</w:t>
      </w:r>
      <w:r w:rsidRPr="004479BA">
        <w:rPr>
          <w:b/>
          <w:bCs/>
        </w:rPr>
        <w:t>;</w:t>
      </w:r>
      <w:r w:rsidRPr="00CF40C5">
        <w:rPr>
          <w:b/>
          <w:bCs/>
        </w:rPr>
        <w:t xml:space="preserve"> прекратить судебное преследование </w:t>
      </w:r>
      <w:r>
        <w:rPr>
          <w:b/>
          <w:bCs/>
        </w:rPr>
        <w:t>участников протестов</w:t>
      </w:r>
      <w:r w:rsidRPr="00CF40C5">
        <w:rPr>
          <w:b/>
          <w:bCs/>
        </w:rPr>
        <w:t xml:space="preserve">, жертв и их семей; отменить или изменить законы, дискриминирующие женщин и девочек, а также мужчин и мальчиков, </w:t>
      </w:r>
      <w:r w:rsidR="003211F9">
        <w:rPr>
          <w:b/>
          <w:bCs/>
        </w:rPr>
        <w:br/>
      </w:r>
      <w:r w:rsidRPr="00CF40C5">
        <w:rPr>
          <w:b/>
          <w:bCs/>
        </w:rPr>
        <w:t xml:space="preserve">в частности законы об обязательном </w:t>
      </w:r>
      <w:r>
        <w:rPr>
          <w:b/>
          <w:bCs/>
        </w:rPr>
        <w:t xml:space="preserve">ношении </w:t>
      </w:r>
      <w:r w:rsidRPr="00CF40C5">
        <w:rPr>
          <w:b/>
          <w:bCs/>
        </w:rPr>
        <w:t>хиджаб</w:t>
      </w:r>
      <w:r>
        <w:rPr>
          <w:b/>
          <w:bCs/>
        </w:rPr>
        <w:t>а</w:t>
      </w:r>
      <w:r w:rsidRPr="00CF40C5">
        <w:rPr>
          <w:b/>
          <w:bCs/>
        </w:rPr>
        <w:t xml:space="preserve">; </w:t>
      </w:r>
      <w:r w:rsidRPr="004479BA">
        <w:rPr>
          <w:b/>
          <w:bCs/>
        </w:rPr>
        <w:t xml:space="preserve">и ликвидировать систему преследования, обеспечивающую </w:t>
      </w:r>
      <w:r>
        <w:rPr>
          <w:b/>
          <w:bCs/>
        </w:rPr>
        <w:t>их</w:t>
      </w:r>
      <w:r w:rsidRPr="004479BA">
        <w:rPr>
          <w:b/>
          <w:bCs/>
        </w:rPr>
        <w:t xml:space="preserve"> соблюдение.</w:t>
      </w:r>
    </w:p>
    <w:p w14:paraId="1B001C06" w14:textId="77777777" w:rsidR="007D3D4F" w:rsidRPr="00CF40C5" w:rsidRDefault="007D3D4F" w:rsidP="007D3D4F">
      <w:pPr>
        <w:pStyle w:val="SingleTxtG"/>
        <w:rPr>
          <w:b/>
          <w:bCs/>
        </w:rPr>
      </w:pPr>
      <w:r w:rsidRPr="00CF40C5">
        <w:t>124.</w:t>
      </w:r>
      <w:r w:rsidRPr="00CF40C5">
        <w:tab/>
      </w:r>
      <w:r w:rsidRPr="00CF40C5">
        <w:rPr>
          <w:b/>
          <w:bCs/>
        </w:rPr>
        <w:t>Миссия призывает иранские власти обеспечить правосудие, установление истины и возмещение ущерба жертвам нарушений прав человека в связи с протестами, начавшимися 16</w:t>
      </w:r>
      <w:r>
        <w:rPr>
          <w:b/>
          <w:bCs/>
        </w:rPr>
        <w:t> сентября</w:t>
      </w:r>
      <w:r w:rsidRPr="00CF40C5">
        <w:rPr>
          <w:b/>
          <w:bCs/>
        </w:rPr>
        <w:t xml:space="preserve"> 2022</w:t>
      </w:r>
      <w:r>
        <w:rPr>
          <w:b/>
          <w:bCs/>
        </w:rPr>
        <w:t> года</w:t>
      </w:r>
      <w:r w:rsidRPr="00CF40C5">
        <w:rPr>
          <w:b/>
          <w:bCs/>
        </w:rPr>
        <w:t xml:space="preserve">, </w:t>
      </w:r>
      <w:r w:rsidRPr="00AA6EB7">
        <w:rPr>
          <w:b/>
          <w:bCs/>
        </w:rPr>
        <w:t xml:space="preserve">пострадавшим </w:t>
      </w:r>
      <w:r w:rsidRPr="00CF40C5">
        <w:rPr>
          <w:b/>
          <w:bCs/>
        </w:rPr>
        <w:t xml:space="preserve">и их семьям в соответствии с международными стандартами в области прав человека. В свете повсеместной безнаказанности и структурной дискриминации внутри страны государствам-членам следует изучить возможности привлечения к ответственности на международном и национальном уровнях за пределами страны, а также предоставить жертвам </w:t>
      </w:r>
      <w:r w:rsidRPr="00FD2128">
        <w:rPr>
          <w:b/>
          <w:bCs/>
        </w:rPr>
        <w:t xml:space="preserve">преобразующее </w:t>
      </w:r>
      <w:r w:rsidRPr="00CF40C5">
        <w:rPr>
          <w:b/>
          <w:bCs/>
        </w:rPr>
        <w:t>возмещение</w:t>
      </w:r>
      <w:r>
        <w:rPr>
          <w:b/>
          <w:bCs/>
        </w:rPr>
        <w:t xml:space="preserve"> ущерба</w:t>
      </w:r>
      <w:r w:rsidRPr="00CF40C5">
        <w:rPr>
          <w:b/>
          <w:bCs/>
        </w:rPr>
        <w:t xml:space="preserve">, включая реституцию, компенсацию, реабилитацию, </w:t>
      </w:r>
      <w:r>
        <w:rPr>
          <w:b/>
          <w:bCs/>
        </w:rPr>
        <w:t>сатисфакцию</w:t>
      </w:r>
      <w:r w:rsidRPr="00CF40C5">
        <w:rPr>
          <w:b/>
          <w:bCs/>
        </w:rPr>
        <w:t xml:space="preserve"> (например, </w:t>
      </w:r>
      <w:r w:rsidRPr="000B2366">
        <w:rPr>
          <w:b/>
          <w:bCs/>
        </w:rPr>
        <w:t>поминовение жертв и воздание им памяти</w:t>
      </w:r>
      <w:r w:rsidRPr="00CF40C5">
        <w:rPr>
          <w:b/>
          <w:bCs/>
        </w:rPr>
        <w:t xml:space="preserve">) и гарантии неповторения. В этом контексте государства-члены должны предоставлять убежище и гуманитарные визы, а также оказывать медицинскую и другую жизненно необходимую помощь </w:t>
      </w:r>
      <w:r w:rsidRPr="00CF40C5">
        <w:rPr>
          <w:b/>
          <w:bCs/>
        </w:rPr>
        <w:lastRenderedPageBreak/>
        <w:t>жертвам, в том числе тем, кто спасается от преследований за участие в протест</w:t>
      </w:r>
      <w:r>
        <w:rPr>
          <w:b/>
          <w:bCs/>
        </w:rPr>
        <w:t>ах</w:t>
      </w:r>
      <w:r w:rsidRPr="00CF40C5">
        <w:rPr>
          <w:b/>
          <w:bCs/>
        </w:rPr>
        <w:t xml:space="preserve"> </w:t>
      </w:r>
      <w:r>
        <w:rPr>
          <w:b/>
          <w:bCs/>
        </w:rPr>
        <w:t xml:space="preserve">или </w:t>
      </w:r>
      <w:r w:rsidRPr="00CF40C5">
        <w:rPr>
          <w:b/>
          <w:bCs/>
        </w:rPr>
        <w:t>защит</w:t>
      </w:r>
      <w:r>
        <w:rPr>
          <w:b/>
          <w:bCs/>
        </w:rPr>
        <w:t>у</w:t>
      </w:r>
      <w:r w:rsidRPr="00CF40C5">
        <w:rPr>
          <w:b/>
          <w:bCs/>
        </w:rPr>
        <w:t xml:space="preserve"> прав человека в контексте протестов в Исламской Республике Иран.</w:t>
      </w:r>
    </w:p>
    <w:p w14:paraId="6E3FD517" w14:textId="77777777" w:rsidR="007D3D4F" w:rsidRPr="00CF40C5" w:rsidRDefault="007D3D4F" w:rsidP="007D3D4F">
      <w:pPr>
        <w:pStyle w:val="SingleTxtG"/>
        <w:rPr>
          <w:b/>
          <w:bCs/>
        </w:rPr>
      </w:pPr>
      <w:r w:rsidRPr="00CF40C5">
        <w:t>125.</w:t>
      </w:r>
      <w:r w:rsidRPr="00CF40C5">
        <w:tab/>
      </w:r>
      <w:r w:rsidRPr="00CF40C5">
        <w:rPr>
          <w:b/>
          <w:bCs/>
        </w:rPr>
        <w:t xml:space="preserve">Несмотря на </w:t>
      </w:r>
      <w:r>
        <w:rPr>
          <w:b/>
          <w:bCs/>
        </w:rPr>
        <w:t>важные</w:t>
      </w:r>
      <w:r w:rsidRPr="00CF40C5">
        <w:rPr>
          <w:b/>
          <w:bCs/>
        </w:rPr>
        <w:t xml:space="preserve"> выводы, миссия могла бы</w:t>
      </w:r>
      <w:r>
        <w:rPr>
          <w:b/>
          <w:bCs/>
        </w:rPr>
        <w:t>,</w:t>
      </w:r>
      <w:r w:rsidRPr="00CF40C5">
        <w:rPr>
          <w:b/>
          <w:bCs/>
        </w:rPr>
        <w:t xml:space="preserve"> име</w:t>
      </w:r>
      <w:r>
        <w:rPr>
          <w:b/>
          <w:bCs/>
        </w:rPr>
        <w:t>й она</w:t>
      </w:r>
      <w:r w:rsidRPr="00CF40C5">
        <w:rPr>
          <w:b/>
          <w:bCs/>
        </w:rPr>
        <w:t xml:space="preserve"> в своем распоряжении больше времени, усилить документирование </w:t>
      </w:r>
      <w:r>
        <w:rPr>
          <w:b/>
          <w:bCs/>
        </w:rPr>
        <w:t xml:space="preserve">выявленной ею </w:t>
      </w:r>
      <w:r w:rsidRPr="00CF40C5">
        <w:rPr>
          <w:b/>
          <w:bCs/>
        </w:rPr>
        <w:t xml:space="preserve">структурной и институционализированной дискриминации, лежащей в основе протестов, и обеспечить эффективное сохранение доказательств для использования в </w:t>
      </w:r>
      <w:r w:rsidRPr="006307B3">
        <w:rPr>
          <w:b/>
          <w:bCs/>
        </w:rPr>
        <w:t>судебных</w:t>
      </w:r>
      <w:r w:rsidRPr="00CF40C5">
        <w:rPr>
          <w:b/>
          <w:bCs/>
        </w:rPr>
        <w:t xml:space="preserve"> разбирательствах.</w:t>
      </w:r>
    </w:p>
    <w:p w14:paraId="21DEB510" w14:textId="77777777" w:rsidR="007D3D4F" w:rsidRPr="00CF40C5" w:rsidRDefault="007D3D4F" w:rsidP="007D3D4F">
      <w:pPr>
        <w:pStyle w:val="SingleTxtG"/>
        <w:rPr>
          <w:b/>
          <w:bCs/>
        </w:rPr>
      </w:pPr>
      <w:r w:rsidRPr="00CF40C5">
        <w:t>126.</w:t>
      </w:r>
      <w:r w:rsidRPr="00CF40C5">
        <w:tab/>
      </w:r>
      <w:r w:rsidRPr="00314A71">
        <w:rPr>
          <w:b/>
          <w:bCs/>
        </w:rPr>
        <w:t>Храбрость</w:t>
      </w:r>
      <w:r>
        <w:t xml:space="preserve"> </w:t>
      </w:r>
      <w:r w:rsidRPr="00CF40C5">
        <w:rPr>
          <w:b/>
          <w:bCs/>
        </w:rPr>
        <w:t xml:space="preserve">и стойкость женщин, мужчин и детей из движения </w:t>
      </w:r>
      <w:r>
        <w:rPr>
          <w:b/>
          <w:bCs/>
        </w:rPr>
        <w:t>«</w:t>
      </w:r>
      <w:r w:rsidRPr="00CF40C5">
        <w:rPr>
          <w:b/>
          <w:bCs/>
        </w:rPr>
        <w:t>Женщина, жизнь, свобода</w:t>
      </w:r>
      <w:r>
        <w:rPr>
          <w:b/>
          <w:bCs/>
        </w:rPr>
        <w:t>»</w:t>
      </w:r>
      <w:r w:rsidRPr="00CF40C5">
        <w:rPr>
          <w:b/>
          <w:bCs/>
        </w:rPr>
        <w:t xml:space="preserve"> подчеркивают острую необходимость глобальной солидарности с теми, кто продолжает бороться за равенство, справедливость, права на свободу выражения мнений и мирных собраний, а также права женщин и девочек в Исламской Республике Иран.</w:t>
      </w:r>
    </w:p>
    <w:p w14:paraId="77D4FB41" w14:textId="77777777" w:rsidR="007D3D4F" w:rsidRPr="00CF40C5" w:rsidRDefault="007D3D4F" w:rsidP="007D3D4F">
      <w:pPr>
        <w:spacing w:before="240"/>
        <w:jc w:val="center"/>
        <w:rPr>
          <w:u w:val="single"/>
        </w:rPr>
      </w:pPr>
      <w:r w:rsidRPr="00CF40C5">
        <w:rPr>
          <w:u w:val="single"/>
        </w:rPr>
        <w:tab/>
      </w:r>
      <w:r w:rsidRPr="00CF40C5">
        <w:rPr>
          <w:u w:val="single"/>
        </w:rPr>
        <w:tab/>
      </w:r>
      <w:r w:rsidRPr="00CF40C5">
        <w:rPr>
          <w:u w:val="single"/>
        </w:rPr>
        <w:tab/>
      </w:r>
    </w:p>
    <w:p w14:paraId="39828A83" w14:textId="77777777" w:rsidR="00CB0692" w:rsidRPr="007D3D4F" w:rsidRDefault="00CB0692" w:rsidP="002E5067"/>
    <w:sectPr w:rsidR="00CB0692" w:rsidRPr="007D3D4F" w:rsidSect="004D019D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8E73" w14:textId="77777777" w:rsidR="00A62191" w:rsidRPr="00A312BC" w:rsidRDefault="00A62191" w:rsidP="00A312BC"/>
  </w:endnote>
  <w:endnote w:type="continuationSeparator" w:id="0">
    <w:p w14:paraId="2742CDAA" w14:textId="77777777" w:rsidR="00A62191" w:rsidRPr="00A312BC" w:rsidRDefault="00A6219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9B5F" w14:textId="60DBD487" w:rsidR="004D019D" w:rsidRPr="004D019D" w:rsidRDefault="004D019D">
    <w:pPr>
      <w:pStyle w:val="Footer"/>
    </w:pPr>
    <w:r w:rsidRPr="004D019D">
      <w:rPr>
        <w:b/>
        <w:sz w:val="18"/>
      </w:rPr>
      <w:fldChar w:fldCharType="begin"/>
    </w:r>
    <w:r w:rsidRPr="004D019D">
      <w:rPr>
        <w:b/>
        <w:sz w:val="18"/>
      </w:rPr>
      <w:instrText xml:space="preserve"> PAGE  \* MERGEFORMAT </w:instrText>
    </w:r>
    <w:r w:rsidRPr="004D019D">
      <w:rPr>
        <w:b/>
        <w:sz w:val="18"/>
      </w:rPr>
      <w:fldChar w:fldCharType="separate"/>
    </w:r>
    <w:r w:rsidRPr="004D019D">
      <w:rPr>
        <w:b/>
        <w:noProof/>
        <w:sz w:val="18"/>
      </w:rPr>
      <w:t>2</w:t>
    </w:r>
    <w:r w:rsidRPr="004D019D">
      <w:rPr>
        <w:b/>
        <w:sz w:val="18"/>
      </w:rPr>
      <w:fldChar w:fldCharType="end"/>
    </w:r>
    <w:r>
      <w:rPr>
        <w:b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825E" w14:textId="6C752BD6" w:rsidR="004D019D" w:rsidRPr="004D019D" w:rsidRDefault="004D019D" w:rsidP="004D019D">
    <w:pPr>
      <w:pStyle w:val="Footer"/>
      <w:tabs>
        <w:tab w:val="clear" w:pos="9639"/>
        <w:tab w:val="right" w:pos="9638"/>
      </w:tabs>
      <w:rPr>
        <w:b/>
        <w:sz w:val="18"/>
      </w:rPr>
    </w:pPr>
    <w:r>
      <w:tab/>
    </w:r>
    <w:r w:rsidRPr="004D019D">
      <w:rPr>
        <w:b/>
        <w:sz w:val="18"/>
      </w:rPr>
      <w:fldChar w:fldCharType="begin"/>
    </w:r>
    <w:r w:rsidRPr="004D019D">
      <w:rPr>
        <w:b/>
        <w:sz w:val="18"/>
      </w:rPr>
      <w:instrText xml:space="preserve"> PAGE  \* MERGEFORMAT </w:instrText>
    </w:r>
    <w:r w:rsidRPr="004D019D">
      <w:rPr>
        <w:b/>
        <w:sz w:val="18"/>
      </w:rPr>
      <w:fldChar w:fldCharType="separate"/>
    </w:r>
    <w:r w:rsidRPr="004D019D">
      <w:rPr>
        <w:b/>
        <w:noProof/>
        <w:sz w:val="18"/>
      </w:rPr>
      <w:t>3</w:t>
    </w:r>
    <w:r w:rsidRPr="004D019D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40EA" w14:textId="77777777" w:rsidR="00A62191" w:rsidRPr="001075E9" w:rsidRDefault="00A6219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251742E" w14:textId="77777777" w:rsidR="00A62191" w:rsidRDefault="00A6219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0B7E1A7" w14:textId="77777777" w:rsidR="007D3D4F" w:rsidRPr="00CF40C5" w:rsidRDefault="007D3D4F" w:rsidP="007D3D4F">
      <w:pPr>
        <w:pStyle w:val="FootnoteText"/>
      </w:pPr>
      <w:r>
        <w:tab/>
      </w:r>
      <w:r w:rsidRPr="00CF40C5">
        <w:rPr>
          <w:sz w:val="20"/>
        </w:rPr>
        <w:t>*</w:t>
      </w:r>
      <w:r w:rsidRPr="00CF40C5">
        <w:rPr>
          <w:sz w:val="20"/>
        </w:rPr>
        <w:tab/>
      </w:r>
      <w:r w:rsidRPr="00F70475">
        <w:t>В силу обстоятельств, не зависящих от представившей документ стороны, было принято решение издать настоящий документ после стандартной даты его опубликования.</w:t>
      </w:r>
    </w:p>
  </w:footnote>
  <w:footnote w:id="2">
    <w:p w14:paraId="69589304" w14:textId="2149217D" w:rsidR="007D3D4F" w:rsidRPr="006E226B" w:rsidRDefault="007D3D4F" w:rsidP="007D3D4F">
      <w:pPr>
        <w:pStyle w:val="FootnoteText"/>
        <w:rPr>
          <w:lang w:val="en-US"/>
        </w:rPr>
      </w:pPr>
      <w:r w:rsidRPr="00CF40C5">
        <w:tab/>
      </w:r>
      <w:r w:rsidRPr="007018C1">
        <w:rPr>
          <w:rStyle w:val="FootnoteReference"/>
        </w:rPr>
        <w:footnoteRef/>
      </w:r>
      <w:r w:rsidRPr="006E226B">
        <w:rPr>
          <w:lang w:val="en-US"/>
        </w:rPr>
        <w:tab/>
        <w:t xml:space="preserve">URL: </w:t>
      </w:r>
      <w:hyperlink r:id="rId1" w:history="1">
        <w:r w:rsidRPr="00A34ABF">
          <w:rPr>
            <w:rStyle w:val="Hyperlink"/>
            <w:lang w:val="en-US"/>
          </w:rPr>
          <w:t>https://www.ohchr.org/en/hr-bodies/hrc/ffm-iran/index</w:t>
        </w:r>
      </w:hyperlink>
      <w:r w:rsidRPr="006E226B">
        <w:rPr>
          <w:lang w:val="en-US"/>
        </w:rPr>
        <w:t>.</w:t>
      </w:r>
      <w:r>
        <w:rPr>
          <w:lang w:val="en-US"/>
        </w:rPr>
        <w:t xml:space="preserve"> </w:t>
      </w:r>
    </w:p>
  </w:footnote>
  <w:footnote w:id="3">
    <w:p w14:paraId="060CE802" w14:textId="3E069A42" w:rsidR="007D3D4F" w:rsidRPr="00CF40C5" w:rsidRDefault="007D3D4F" w:rsidP="007D3D4F">
      <w:pPr>
        <w:pStyle w:val="FootnoteText"/>
      </w:pPr>
      <w:r w:rsidRPr="006E226B">
        <w:rPr>
          <w:lang w:val="en-US"/>
        </w:rPr>
        <w:tab/>
      </w:r>
      <w:r w:rsidRPr="007018C1">
        <w:rPr>
          <w:rStyle w:val="FootnoteReference"/>
        </w:rPr>
        <w:footnoteRef/>
      </w:r>
      <w:r w:rsidRPr="00CF40C5">
        <w:tab/>
      </w:r>
      <w:r w:rsidRPr="008715F0">
        <w:t xml:space="preserve">Подробную информацию об основных материалах и </w:t>
      </w:r>
      <w:r>
        <w:t xml:space="preserve">проведенном </w:t>
      </w:r>
      <w:r w:rsidRPr="008715F0">
        <w:t>мисси</w:t>
      </w:r>
      <w:r>
        <w:t xml:space="preserve">ей </w:t>
      </w:r>
      <w:r w:rsidRPr="008715F0">
        <w:t xml:space="preserve">анализе </w:t>
      </w:r>
      <w:r>
        <w:br/>
      </w:r>
      <w:r w:rsidRPr="008715F0">
        <w:t>см. в документе зала заседаний.</w:t>
      </w:r>
    </w:p>
  </w:footnote>
  <w:footnote w:id="4">
    <w:p w14:paraId="382D4941" w14:textId="77777777" w:rsidR="007D3D4F" w:rsidRPr="00CF40C5" w:rsidRDefault="007D3D4F" w:rsidP="007D3D4F">
      <w:pPr>
        <w:pStyle w:val="FootnoteText"/>
        <w:rPr>
          <w:rFonts w:asciiTheme="majorBidi" w:hAnsiTheme="majorBidi" w:cstheme="majorBidi"/>
        </w:rPr>
      </w:pPr>
      <w:r w:rsidRPr="00CF40C5">
        <w:rPr>
          <w:rFonts w:asciiTheme="majorBidi" w:hAnsiTheme="majorBidi" w:cstheme="majorBidi"/>
        </w:rPr>
        <w:tab/>
      </w:r>
      <w:r w:rsidRPr="007018C1">
        <w:rPr>
          <w:rStyle w:val="FootnoteReference"/>
        </w:rPr>
        <w:footnoteRef/>
      </w:r>
      <w:r w:rsidRPr="00CF40C5">
        <w:rPr>
          <w:rFonts w:asciiTheme="majorBidi" w:hAnsiTheme="majorBidi" w:cstheme="majorBidi"/>
        </w:rPr>
        <w:tab/>
        <w:t>Доклады Высшего совета по правам человека Исламской Республики Иран, 15 октября 2022</w:t>
      </w:r>
      <w:r>
        <w:rPr>
          <w:rFonts w:asciiTheme="majorBidi" w:hAnsiTheme="majorBidi" w:cstheme="majorBidi"/>
        </w:rPr>
        <w:t> </w:t>
      </w:r>
      <w:r w:rsidRPr="00CF40C5">
        <w:rPr>
          <w:rFonts w:asciiTheme="majorBidi" w:hAnsiTheme="majorBidi" w:cstheme="majorBidi"/>
        </w:rPr>
        <w:t>года, 20 ноября 2022 года и 7 февраля 2023 года.</w:t>
      </w:r>
    </w:p>
  </w:footnote>
  <w:footnote w:id="5">
    <w:p w14:paraId="1B4653AA" w14:textId="77777777" w:rsidR="00080604" w:rsidRPr="00CF40C5" w:rsidRDefault="00080604" w:rsidP="00080604">
      <w:pPr>
        <w:pStyle w:val="FootnoteText"/>
      </w:pPr>
      <w:r w:rsidRPr="00CF40C5">
        <w:tab/>
      </w:r>
      <w:r w:rsidRPr="007018C1">
        <w:rPr>
          <w:rStyle w:val="FootnoteReference"/>
        </w:rPr>
        <w:footnoteRef/>
      </w:r>
      <w:r w:rsidRPr="00CF40C5">
        <w:tab/>
      </w:r>
      <w:r w:rsidRPr="00CF40C5">
        <w:rPr>
          <w:rFonts w:asciiTheme="majorBidi" w:hAnsiTheme="majorBidi" w:cstheme="majorBidi"/>
        </w:rPr>
        <w:t xml:space="preserve">Заявление </w:t>
      </w:r>
      <w:r w:rsidRPr="00CF40C5">
        <w:t xml:space="preserve">Генерального секретаря Высшего совета по правам человека </w:t>
      </w:r>
      <w:r w:rsidRPr="00CF40C5">
        <w:rPr>
          <w:rFonts w:asciiTheme="majorBidi" w:hAnsiTheme="majorBidi" w:cstheme="majorBidi"/>
        </w:rPr>
        <w:t xml:space="preserve">Исламской Республики Иран </w:t>
      </w:r>
      <w:r w:rsidRPr="00CF40C5">
        <w:t>на пятьдесят третьей сессии Совета по правам человека, 5 июля 2023 года.</w:t>
      </w:r>
    </w:p>
  </w:footnote>
  <w:footnote w:id="6">
    <w:p w14:paraId="4A566C2C" w14:textId="77777777" w:rsidR="007D3D4F" w:rsidRPr="00CF40C5" w:rsidRDefault="007D3D4F" w:rsidP="007D3D4F">
      <w:pPr>
        <w:pStyle w:val="FootnoteText"/>
      </w:pPr>
      <w:r w:rsidRPr="00CF40C5">
        <w:tab/>
      </w:r>
      <w:r w:rsidRPr="007018C1">
        <w:rPr>
          <w:rStyle w:val="FootnoteReference"/>
        </w:rPr>
        <w:footnoteRef/>
      </w:r>
      <w:r w:rsidRPr="00CF40C5">
        <w:tab/>
      </w:r>
      <w:r w:rsidRPr="00CF40C5">
        <w:rPr>
          <w:rFonts w:asciiTheme="majorBidi" w:hAnsiTheme="majorBidi" w:cstheme="majorBidi"/>
        </w:rPr>
        <w:t>Доклады Высшего совета Исламской Республики Иран</w:t>
      </w:r>
      <w:r w:rsidRPr="00CF40C5">
        <w:t>, 15 октября 2022 года, 20 ноября 2022</w:t>
      </w:r>
      <w:r>
        <w:t> </w:t>
      </w:r>
      <w:r w:rsidRPr="00CF40C5">
        <w:t>года и 7 февраля 2023 года.</w:t>
      </w:r>
    </w:p>
  </w:footnote>
  <w:footnote w:id="7">
    <w:p w14:paraId="7080A774" w14:textId="7E625F62" w:rsidR="007D3D4F" w:rsidRPr="00CE0DC5" w:rsidRDefault="007D3D4F" w:rsidP="007D3D4F">
      <w:pPr>
        <w:pStyle w:val="FootnoteText"/>
        <w:rPr>
          <w:rFonts w:asciiTheme="majorBidi" w:hAnsiTheme="majorBidi" w:cstheme="majorBidi"/>
          <w:szCs w:val="18"/>
        </w:rPr>
      </w:pPr>
      <w:r w:rsidRPr="00CF40C5">
        <w:rPr>
          <w:rFonts w:asciiTheme="majorBidi" w:hAnsiTheme="majorBidi" w:cstheme="majorBidi"/>
          <w:szCs w:val="18"/>
        </w:rPr>
        <w:tab/>
      </w:r>
      <w:r w:rsidRPr="007018C1">
        <w:rPr>
          <w:rStyle w:val="FootnoteReference"/>
        </w:rPr>
        <w:footnoteRef/>
      </w:r>
      <w:r w:rsidRPr="00CE0DC5">
        <w:rPr>
          <w:rFonts w:asciiTheme="majorBidi" w:hAnsiTheme="majorBidi" w:cstheme="majorBidi"/>
          <w:szCs w:val="18"/>
        </w:rPr>
        <w:tab/>
      </w:r>
      <w:hyperlink w:history="1"/>
      <w:proofErr w:type="gramStart"/>
      <w:r w:rsidRPr="007D3D4F">
        <w:rPr>
          <w:rFonts w:asciiTheme="majorBidi" w:eastAsiaTheme="minorHAnsi" w:hAnsiTheme="majorBidi" w:cstheme="majorBidi"/>
          <w:szCs w:val="18"/>
          <w:lang w:val="fr-CH"/>
        </w:rPr>
        <w:t>URL</w:t>
      </w:r>
      <w:r w:rsidRPr="007D3D4F">
        <w:rPr>
          <w:rFonts w:asciiTheme="majorBidi" w:eastAsiaTheme="minorHAnsi" w:hAnsiTheme="majorBidi" w:cstheme="majorBidi"/>
          <w:szCs w:val="18"/>
        </w:rPr>
        <w:t>:</w:t>
      </w:r>
      <w:proofErr w:type="gramEnd"/>
      <w:r w:rsidRPr="007D3D4F">
        <w:rPr>
          <w:rFonts w:asciiTheme="majorBidi" w:eastAsiaTheme="minorHAnsi" w:hAnsiTheme="majorBidi" w:cstheme="majorBidi"/>
          <w:szCs w:val="18"/>
        </w:rPr>
        <w:t xml:space="preserve"> </w:t>
      </w:r>
      <w:hyperlink r:id="rId2" w:history="1">
        <w:r w:rsidRPr="00A34ABF">
          <w:rPr>
            <w:rStyle w:val="Hyperlink"/>
            <w:rFonts w:asciiTheme="majorBidi" w:eastAsiaTheme="minorHAnsi" w:hAnsiTheme="majorBidi" w:cstheme="majorBidi"/>
            <w:szCs w:val="18"/>
          </w:rPr>
          <w:t>https://en.irna.ir/news/85056317/</w:t>
        </w:r>
      </w:hyperlink>
      <w:r w:rsidRPr="007D3D4F">
        <w:rPr>
          <w:rFonts w:asciiTheme="majorBidi" w:eastAsiaTheme="minorHAnsi" w:hAnsiTheme="majorBidi" w:cstheme="majorBidi"/>
          <w:szCs w:val="18"/>
        </w:rPr>
        <w:t xml:space="preserve"> </w:t>
      </w:r>
      <w:r w:rsidRPr="00CE0DC5">
        <w:rPr>
          <w:rFonts w:asciiTheme="majorBidi" w:hAnsiTheme="majorBidi" w:cstheme="majorBidi"/>
          <w:szCs w:val="18"/>
        </w:rPr>
        <w:t>(на персидском языке).</w:t>
      </w:r>
    </w:p>
  </w:footnote>
  <w:footnote w:id="8">
    <w:p w14:paraId="12A4F452" w14:textId="6E2F9B73" w:rsidR="007D3D4F" w:rsidRPr="00CF40C5" w:rsidRDefault="007D3D4F" w:rsidP="007D3D4F">
      <w:pPr>
        <w:pStyle w:val="FootnoteText"/>
        <w:rPr>
          <w:szCs w:val="18"/>
        </w:rPr>
      </w:pPr>
      <w:r w:rsidRPr="00CE0DC5">
        <w:rPr>
          <w:szCs w:val="18"/>
        </w:rPr>
        <w:tab/>
      </w:r>
      <w:r w:rsidRPr="007018C1">
        <w:rPr>
          <w:rStyle w:val="FootnoteReference"/>
        </w:rPr>
        <w:footnoteRef/>
      </w:r>
      <w:bookmarkStart w:id="7" w:name="_Hlk156903028"/>
      <w:r w:rsidRPr="00CF40C5">
        <w:rPr>
          <w:szCs w:val="18"/>
        </w:rPr>
        <w:tab/>
      </w:r>
      <w:bookmarkEnd w:id="7"/>
      <w:r>
        <w:rPr>
          <w:szCs w:val="18"/>
        </w:rPr>
        <w:t xml:space="preserve">URL: </w:t>
      </w:r>
      <w:hyperlink r:id="rId3" w:history="1">
        <w:r w:rsidRPr="00A34ABF">
          <w:rPr>
            <w:rStyle w:val="Hyperlink"/>
            <w:szCs w:val="18"/>
          </w:rPr>
          <w:t>https://www.irna.ir/news/84904665</w:t>
        </w:r>
      </w:hyperlink>
      <w:r w:rsidRPr="007D3D4F">
        <w:rPr>
          <w:szCs w:val="18"/>
        </w:rPr>
        <w:t xml:space="preserve"> </w:t>
      </w:r>
      <w:r w:rsidRPr="00CF40C5">
        <w:rPr>
          <w:szCs w:val="18"/>
        </w:rPr>
        <w:t>(на персидском языке).</w:t>
      </w:r>
    </w:p>
  </w:footnote>
  <w:footnote w:id="9">
    <w:p w14:paraId="5D3DA5E9" w14:textId="77777777" w:rsidR="007D3D4F" w:rsidRPr="00CF40C5" w:rsidRDefault="007D3D4F" w:rsidP="007D3D4F">
      <w:pPr>
        <w:pStyle w:val="FootnoteText"/>
        <w:rPr>
          <w:szCs w:val="18"/>
        </w:rPr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r w:rsidRPr="00CF40C5">
        <w:rPr>
          <w:szCs w:val="18"/>
        </w:rPr>
        <w:tab/>
        <w:t xml:space="preserve">Уголовно-процессуальный </w:t>
      </w:r>
      <w:r w:rsidRPr="00CF40C5">
        <w:t>кодекс</w:t>
      </w:r>
      <w:r w:rsidRPr="00CF40C5">
        <w:rPr>
          <w:szCs w:val="18"/>
        </w:rPr>
        <w:t>, ст.</w:t>
      </w:r>
      <w:r>
        <w:rPr>
          <w:szCs w:val="18"/>
        </w:rPr>
        <w:t> </w:t>
      </w:r>
      <w:r w:rsidRPr="00CF40C5">
        <w:rPr>
          <w:szCs w:val="18"/>
        </w:rPr>
        <w:t>49, и исполнительный подзаконный акт о создании полицейски</w:t>
      </w:r>
      <w:r>
        <w:rPr>
          <w:szCs w:val="18"/>
        </w:rPr>
        <w:t>х</w:t>
      </w:r>
      <w:r w:rsidRPr="00CF40C5">
        <w:rPr>
          <w:szCs w:val="18"/>
        </w:rPr>
        <w:t xml:space="preserve"> изолятор</w:t>
      </w:r>
      <w:r>
        <w:rPr>
          <w:szCs w:val="18"/>
        </w:rPr>
        <w:t xml:space="preserve">ов, </w:t>
      </w:r>
      <w:r w:rsidRPr="00CF40C5">
        <w:rPr>
          <w:szCs w:val="18"/>
        </w:rPr>
        <w:t>управлении</w:t>
      </w:r>
      <w:r>
        <w:rPr>
          <w:szCs w:val="18"/>
        </w:rPr>
        <w:t xml:space="preserve"> ими</w:t>
      </w:r>
      <w:r w:rsidRPr="00CF40C5">
        <w:rPr>
          <w:szCs w:val="18"/>
        </w:rPr>
        <w:t xml:space="preserve"> и надзоре за ними, ст</w:t>
      </w:r>
      <w:r>
        <w:rPr>
          <w:szCs w:val="18"/>
        </w:rPr>
        <w:t>. </w:t>
      </w:r>
      <w:r w:rsidRPr="00CF40C5">
        <w:rPr>
          <w:szCs w:val="18"/>
        </w:rPr>
        <w:t>47.</w:t>
      </w:r>
    </w:p>
  </w:footnote>
  <w:footnote w:id="10">
    <w:p w14:paraId="2112B75C" w14:textId="77777777" w:rsidR="007D3D4F" w:rsidRPr="00CF40C5" w:rsidRDefault="007D3D4F" w:rsidP="007D3D4F">
      <w:pPr>
        <w:pStyle w:val="FootnoteText"/>
        <w:rPr>
          <w:szCs w:val="18"/>
        </w:rPr>
      </w:pPr>
      <w:r w:rsidRPr="00CF40C5">
        <w:tab/>
      </w:r>
      <w:r w:rsidRPr="007018C1">
        <w:rPr>
          <w:rStyle w:val="FootnoteReference"/>
        </w:rPr>
        <w:footnoteRef/>
      </w:r>
      <w:r w:rsidRPr="00CF40C5">
        <w:tab/>
        <w:t>Уголовно-процессуальный кодекс, ст</w:t>
      </w:r>
      <w:r>
        <w:t>. </w:t>
      </w:r>
      <w:r w:rsidRPr="00CF40C5">
        <w:t>48.</w:t>
      </w:r>
    </w:p>
  </w:footnote>
  <w:footnote w:id="11">
    <w:p w14:paraId="6611047C" w14:textId="77777777" w:rsidR="007D3D4F" w:rsidRPr="00CF40C5" w:rsidRDefault="007D3D4F" w:rsidP="007D3D4F">
      <w:pPr>
        <w:pStyle w:val="FootnoteText"/>
        <w:rPr>
          <w:szCs w:val="18"/>
        </w:rPr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r w:rsidRPr="00CF40C5">
        <w:rPr>
          <w:szCs w:val="18"/>
        </w:rPr>
        <w:tab/>
      </w:r>
      <w:r w:rsidRPr="00CF40C5">
        <w:t xml:space="preserve">Исламский </w:t>
      </w:r>
      <w:r w:rsidRPr="00CF40C5">
        <w:rPr>
          <w:szCs w:val="18"/>
          <w:lang w:bidi="fa-IR"/>
        </w:rPr>
        <w:t xml:space="preserve">уголовный </w:t>
      </w:r>
      <w:r w:rsidRPr="00CF40C5">
        <w:rPr>
          <w:szCs w:val="18"/>
        </w:rPr>
        <w:t>кодекс, ст</w:t>
      </w:r>
      <w:r>
        <w:rPr>
          <w:szCs w:val="18"/>
        </w:rPr>
        <w:t>. </w:t>
      </w:r>
      <w:r w:rsidRPr="00CF40C5">
        <w:rPr>
          <w:szCs w:val="18"/>
        </w:rPr>
        <w:t>262, 513, 514 и 609.</w:t>
      </w:r>
    </w:p>
  </w:footnote>
  <w:footnote w:id="12">
    <w:p w14:paraId="35E5EE80" w14:textId="77777777" w:rsidR="007D3D4F" w:rsidRPr="00CF40C5" w:rsidRDefault="007D3D4F" w:rsidP="007D3D4F">
      <w:pPr>
        <w:pStyle w:val="FootnoteText"/>
        <w:rPr>
          <w:szCs w:val="18"/>
        </w:rPr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r w:rsidRPr="00CF40C5">
        <w:rPr>
          <w:szCs w:val="18"/>
        </w:rPr>
        <w:tab/>
        <w:t>Уголовно-процессуальный кодекс, ст</w:t>
      </w:r>
      <w:r>
        <w:rPr>
          <w:szCs w:val="18"/>
        </w:rPr>
        <w:t>. </w:t>
      </w:r>
      <w:r w:rsidRPr="00CF40C5">
        <w:rPr>
          <w:szCs w:val="18"/>
        </w:rPr>
        <w:t>191, 351 и примечание к ст.</w:t>
      </w:r>
      <w:r>
        <w:rPr>
          <w:szCs w:val="18"/>
        </w:rPr>
        <w:t> </w:t>
      </w:r>
      <w:r w:rsidRPr="00CF40C5">
        <w:rPr>
          <w:szCs w:val="18"/>
        </w:rPr>
        <w:t>351.</w:t>
      </w:r>
    </w:p>
  </w:footnote>
  <w:footnote w:id="13">
    <w:p w14:paraId="50FB7C17" w14:textId="38D9577D" w:rsidR="007D3D4F" w:rsidRPr="00CF40C5" w:rsidRDefault="007D3D4F" w:rsidP="007D3D4F">
      <w:pPr>
        <w:pStyle w:val="FootnoteText"/>
      </w:pPr>
      <w:r w:rsidRPr="00CF40C5">
        <w:tab/>
      </w:r>
      <w:r w:rsidRPr="007018C1">
        <w:rPr>
          <w:rStyle w:val="FootnoteReference"/>
        </w:rPr>
        <w:footnoteRef/>
      </w:r>
      <w:r w:rsidRPr="00CF40C5">
        <w:tab/>
      </w:r>
      <w:proofErr w:type="gramStart"/>
      <w:r>
        <w:rPr>
          <w:lang w:val="fr-CH"/>
        </w:rPr>
        <w:t>URL</w:t>
      </w:r>
      <w:r w:rsidRPr="00CB5989">
        <w:t>:</w:t>
      </w:r>
      <w:proofErr w:type="gramEnd"/>
      <w:r w:rsidRPr="00CF40C5">
        <w:t xml:space="preserve"> </w:t>
      </w:r>
      <w:hyperlink r:id="rId4" w:history="1">
        <w:r w:rsidRPr="00A34ABF">
          <w:rPr>
            <w:rStyle w:val="Hyperlink"/>
          </w:rPr>
          <w:t>https://www.</w:t>
        </w:r>
        <w:r w:rsidRPr="00A34ABF">
          <w:rPr>
            <w:rStyle w:val="Hyperlink"/>
            <w:rFonts w:eastAsiaTheme="minorHAnsi"/>
          </w:rPr>
          <w:t>irna.ir/news/85020213/</w:t>
        </w:r>
      </w:hyperlink>
      <w:r w:rsidRPr="008D6BA0">
        <w:t xml:space="preserve"> </w:t>
      </w:r>
      <w:r w:rsidRPr="00CF40C5">
        <w:t>(на персидском языке).</w:t>
      </w:r>
    </w:p>
  </w:footnote>
  <w:footnote w:id="14">
    <w:p w14:paraId="5AD46528" w14:textId="45C1DA1D" w:rsidR="007D3D4F" w:rsidRPr="00CF40C5" w:rsidRDefault="007D3D4F" w:rsidP="007D3D4F">
      <w:pPr>
        <w:pStyle w:val="FootnoteText"/>
        <w:rPr>
          <w:szCs w:val="18"/>
        </w:rPr>
      </w:pPr>
      <w:r w:rsidRPr="00CF40C5">
        <w:tab/>
      </w:r>
      <w:r w:rsidRPr="007018C1">
        <w:rPr>
          <w:rStyle w:val="FootnoteReference"/>
        </w:rPr>
        <w:footnoteRef/>
      </w:r>
      <w:r w:rsidRPr="00CF40C5">
        <w:tab/>
      </w:r>
      <w:proofErr w:type="gramStart"/>
      <w:r>
        <w:rPr>
          <w:lang w:val="fr-CH"/>
        </w:rPr>
        <w:t>URL</w:t>
      </w:r>
      <w:r w:rsidRPr="00CB5989">
        <w:t>:</w:t>
      </w:r>
      <w:proofErr w:type="gramEnd"/>
      <w:r w:rsidRPr="00CF40C5">
        <w:t xml:space="preserve"> </w:t>
      </w:r>
      <w:hyperlink r:id="rId5" w:history="1">
        <w:r w:rsidRPr="00A34ABF">
          <w:rPr>
            <w:rStyle w:val="Hyperlink"/>
          </w:rPr>
          <w:t>https://www.</w:t>
        </w:r>
        <w:r w:rsidRPr="00A34ABF">
          <w:rPr>
            <w:rStyle w:val="Hyperlink"/>
            <w:rFonts w:eastAsiaTheme="minorHAnsi"/>
          </w:rPr>
          <w:t>irna.ir/news/84934370/</w:t>
        </w:r>
      </w:hyperlink>
      <w:r w:rsidRPr="007D3D4F">
        <w:rPr>
          <w:rFonts w:eastAsiaTheme="minorHAnsi"/>
        </w:rPr>
        <w:t xml:space="preserve"> </w:t>
      </w:r>
      <w:r w:rsidRPr="00CF40C5">
        <w:t>(на персидском языке).</w:t>
      </w:r>
    </w:p>
  </w:footnote>
  <w:footnote w:id="15">
    <w:p w14:paraId="21399177" w14:textId="7683F312" w:rsidR="007D3D4F" w:rsidRPr="00CF40C5" w:rsidRDefault="007D3D4F" w:rsidP="007D3D4F">
      <w:pPr>
        <w:pStyle w:val="FootnoteText"/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r w:rsidRPr="00CF40C5">
        <w:rPr>
          <w:szCs w:val="18"/>
        </w:rPr>
        <w:tab/>
      </w:r>
      <w:r>
        <w:rPr>
          <w:szCs w:val="18"/>
        </w:rPr>
        <w:t>URL:</w:t>
      </w:r>
      <w:r w:rsidRPr="00CF40C5">
        <w:rPr>
          <w:szCs w:val="18"/>
        </w:rPr>
        <w:t xml:space="preserve"> </w:t>
      </w:r>
      <w:hyperlink r:id="rId6" w:history="1">
        <w:r w:rsidR="00B04920" w:rsidRPr="00A34ABF">
          <w:rPr>
            <w:rStyle w:val="Hyperlink"/>
            <w:szCs w:val="18"/>
          </w:rPr>
          <w:t>https://www.mehrnews.com/news/5811295/</w:t>
        </w:r>
      </w:hyperlink>
      <w:r w:rsidR="00B04920" w:rsidRPr="00B04920">
        <w:rPr>
          <w:szCs w:val="18"/>
        </w:rPr>
        <w:t xml:space="preserve"> </w:t>
      </w:r>
      <w:r w:rsidRPr="00CF40C5">
        <w:rPr>
          <w:szCs w:val="18"/>
        </w:rPr>
        <w:t>(на персидском языке).</w:t>
      </w:r>
    </w:p>
  </w:footnote>
  <w:footnote w:id="16">
    <w:p w14:paraId="388E4538" w14:textId="0B4573C6" w:rsidR="007D3D4F" w:rsidRPr="00CF40C5" w:rsidRDefault="007D3D4F" w:rsidP="007D3D4F">
      <w:pPr>
        <w:pStyle w:val="FootnoteText"/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r w:rsidRPr="00CF40C5">
        <w:rPr>
          <w:szCs w:val="18"/>
        </w:rPr>
        <w:tab/>
      </w:r>
      <w:r w:rsidRPr="00DA1202">
        <w:rPr>
          <w:szCs w:val="18"/>
        </w:rPr>
        <w:t xml:space="preserve">URL: </w:t>
      </w:r>
      <w:hyperlink r:id="rId7" w:history="1">
        <w:r w:rsidR="00E46BC6" w:rsidRPr="00A34ABF">
          <w:rPr>
            <w:rStyle w:val="Hyperlink"/>
            <w:szCs w:val="18"/>
          </w:rPr>
          <w:t>https://www.setaresobh.ir/fa/Main/Detail/94860</w:t>
        </w:r>
      </w:hyperlink>
      <w:r w:rsidR="00E46BC6" w:rsidRPr="00E46BC6">
        <w:rPr>
          <w:szCs w:val="18"/>
        </w:rPr>
        <w:t xml:space="preserve"> </w:t>
      </w:r>
      <w:r w:rsidRPr="00CF40C5">
        <w:rPr>
          <w:szCs w:val="18"/>
        </w:rPr>
        <w:t>(на персидском языке).</w:t>
      </w:r>
    </w:p>
  </w:footnote>
  <w:footnote w:id="17">
    <w:p w14:paraId="450237A8" w14:textId="3C1C2FE8" w:rsidR="007D3D4F" w:rsidRPr="00CF40C5" w:rsidRDefault="007D3D4F" w:rsidP="007D3D4F">
      <w:pPr>
        <w:pStyle w:val="FootnoteText"/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r w:rsidRPr="00CF40C5">
        <w:rPr>
          <w:szCs w:val="18"/>
        </w:rPr>
        <w:tab/>
      </w:r>
      <w:r>
        <w:rPr>
          <w:szCs w:val="18"/>
        </w:rPr>
        <w:t>URL:</w:t>
      </w:r>
      <w:r w:rsidRPr="00CF40C5">
        <w:rPr>
          <w:szCs w:val="18"/>
        </w:rPr>
        <w:t xml:space="preserve"> </w:t>
      </w:r>
      <w:hyperlink r:id="rId8" w:history="1">
        <w:r w:rsidR="00E46BC6" w:rsidRPr="00A34ABF">
          <w:rPr>
            <w:rStyle w:val="Hyperlink"/>
            <w:szCs w:val="18"/>
          </w:rPr>
          <w:t>https://www.isna.ir/news/1401102013051/</w:t>
        </w:r>
      </w:hyperlink>
      <w:r w:rsidR="00E46BC6" w:rsidRPr="00E46BC6">
        <w:rPr>
          <w:szCs w:val="18"/>
        </w:rPr>
        <w:t xml:space="preserve"> </w:t>
      </w:r>
      <w:r w:rsidRPr="00CF40C5">
        <w:rPr>
          <w:szCs w:val="18"/>
        </w:rPr>
        <w:t>(на персидском языке).</w:t>
      </w:r>
    </w:p>
  </w:footnote>
  <w:footnote w:id="18">
    <w:p w14:paraId="011DF85C" w14:textId="7D24C644" w:rsidR="007D3D4F" w:rsidRPr="00CF40C5" w:rsidRDefault="007D3D4F" w:rsidP="007D3D4F">
      <w:pPr>
        <w:pStyle w:val="FootnoteText"/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r w:rsidRPr="00CF40C5">
        <w:rPr>
          <w:szCs w:val="18"/>
        </w:rPr>
        <w:tab/>
      </w:r>
      <w:r>
        <w:rPr>
          <w:szCs w:val="18"/>
        </w:rPr>
        <w:t>URL:</w:t>
      </w:r>
      <w:r w:rsidRPr="00CF40C5">
        <w:rPr>
          <w:szCs w:val="18"/>
        </w:rPr>
        <w:t xml:space="preserve"> </w:t>
      </w:r>
      <w:hyperlink r:id="rId9" w:history="1">
        <w:r w:rsidR="00E46BC6" w:rsidRPr="00A34ABF">
          <w:rPr>
            <w:rStyle w:val="Hyperlink"/>
            <w:szCs w:val="18"/>
          </w:rPr>
          <w:t>https://www.khabaronline.ir/news/1727083/</w:t>
        </w:r>
      </w:hyperlink>
      <w:r w:rsidR="00E46BC6" w:rsidRPr="00E46BC6">
        <w:rPr>
          <w:szCs w:val="18"/>
        </w:rPr>
        <w:t xml:space="preserve"> </w:t>
      </w:r>
      <w:r w:rsidRPr="00CF40C5">
        <w:rPr>
          <w:szCs w:val="18"/>
        </w:rPr>
        <w:t>(на персидском языке).</w:t>
      </w:r>
    </w:p>
  </w:footnote>
  <w:footnote w:id="19">
    <w:p w14:paraId="75CD8A1B" w14:textId="3231B9D0" w:rsidR="007D3D4F" w:rsidRPr="00CF40C5" w:rsidRDefault="007D3D4F" w:rsidP="007D3D4F">
      <w:pPr>
        <w:pStyle w:val="FootnoteText"/>
        <w:rPr>
          <w:szCs w:val="18"/>
        </w:rPr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r w:rsidRPr="00CF40C5">
        <w:rPr>
          <w:szCs w:val="18"/>
        </w:rPr>
        <w:tab/>
      </w:r>
      <w:r>
        <w:rPr>
          <w:szCs w:val="18"/>
        </w:rPr>
        <w:t>URL:</w:t>
      </w:r>
      <w:r w:rsidRPr="00CF40C5">
        <w:rPr>
          <w:szCs w:val="18"/>
        </w:rPr>
        <w:t xml:space="preserve"> </w:t>
      </w:r>
      <w:hyperlink r:id="rId10" w:history="1">
        <w:r w:rsidR="00E46BC6" w:rsidRPr="00A34ABF">
          <w:rPr>
            <w:rStyle w:val="Hyperlink"/>
            <w:szCs w:val="18"/>
          </w:rPr>
          <w:t>https://www.armanmeli.ir</w:t>
        </w:r>
      </w:hyperlink>
      <w:r w:rsidR="00E46BC6" w:rsidRPr="00E46BC6">
        <w:rPr>
          <w:szCs w:val="18"/>
        </w:rPr>
        <w:t xml:space="preserve"> </w:t>
      </w:r>
      <w:r w:rsidRPr="00CF40C5">
        <w:rPr>
          <w:szCs w:val="18"/>
        </w:rPr>
        <w:t>(на персидском языке).</w:t>
      </w:r>
    </w:p>
  </w:footnote>
  <w:footnote w:id="20">
    <w:p w14:paraId="69381FD9" w14:textId="23039D87" w:rsidR="007D3D4F" w:rsidRPr="00CF40C5" w:rsidRDefault="007D3D4F" w:rsidP="007D3D4F">
      <w:pPr>
        <w:pStyle w:val="FootnoteText"/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r w:rsidRPr="00CF40C5">
        <w:rPr>
          <w:szCs w:val="18"/>
        </w:rPr>
        <w:tab/>
      </w:r>
      <w:r>
        <w:rPr>
          <w:szCs w:val="18"/>
        </w:rPr>
        <w:t>URL:</w:t>
      </w:r>
      <w:r w:rsidRPr="00CF40C5">
        <w:rPr>
          <w:szCs w:val="18"/>
        </w:rPr>
        <w:t xml:space="preserve"> </w:t>
      </w:r>
      <w:hyperlink r:id="rId11" w:history="1">
        <w:r w:rsidR="00E46BC6" w:rsidRPr="00A34ABF">
          <w:rPr>
            <w:rStyle w:val="Hyperlink"/>
            <w:szCs w:val="18"/>
          </w:rPr>
          <w:t>https://www.iribnews.ir/fa/news/3804380/</w:t>
        </w:r>
      </w:hyperlink>
      <w:r w:rsidR="00E46BC6" w:rsidRPr="00E46BC6">
        <w:rPr>
          <w:szCs w:val="18"/>
        </w:rPr>
        <w:t xml:space="preserve"> </w:t>
      </w:r>
      <w:r w:rsidRPr="00CF40C5">
        <w:rPr>
          <w:szCs w:val="18"/>
        </w:rPr>
        <w:t>(на персидском языке).</w:t>
      </w:r>
    </w:p>
  </w:footnote>
  <w:footnote w:id="21">
    <w:p w14:paraId="292ABEBF" w14:textId="54BE5B80" w:rsidR="007D3D4F" w:rsidRPr="00CF40C5" w:rsidRDefault="007D3D4F" w:rsidP="007D3D4F">
      <w:pPr>
        <w:pStyle w:val="FootnoteText"/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r w:rsidRPr="00CF40C5">
        <w:rPr>
          <w:szCs w:val="18"/>
        </w:rPr>
        <w:tab/>
      </w:r>
      <w:r>
        <w:rPr>
          <w:szCs w:val="18"/>
        </w:rPr>
        <w:t>URL:</w:t>
      </w:r>
      <w:r w:rsidRPr="00CF40C5">
        <w:rPr>
          <w:szCs w:val="18"/>
        </w:rPr>
        <w:t xml:space="preserve"> </w:t>
      </w:r>
      <w:hyperlink r:id="rId12" w:history="1">
        <w:r w:rsidR="00E46BC6" w:rsidRPr="00A34ABF">
          <w:rPr>
            <w:rStyle w:val="Hyperlink"/>
            <w:szCs w:val="18"/>
          </w:rPr>
          <w:t>https://www.isna.ir/news/1402011405203/</w:t>
        </w:r>
      </w:hyperlink>
      <w:r w:rsidR="00E46BC6" w:rsidRPr="00E46BC6">
        <w:rPr>
          <w:szCs w:val="18"/>
        </w:rPr>
        <w:t xml:space="preserve"> </w:t>
      </w:r>
      <w:r w:rsidRPr="00CF40C5">
        <w:rPr>
          <w:szCs w:val="18"/>
        </w:rPr>
        <w:t>(на персидском языке).</w:t>
      </w:r>
      <w:r w:rsidR="006D1D35">
        <w:fldChar w:fldCharType="begin"/>
      </w:r>
      <w:r w:rsidR="006D1D35">
        <w:instrText>HYPERLINK "https://bit.ly/44US3C2"</w:instrText>
      </w:r>
      <w:r w:rsidR="006D1D35">
        <w:fldChar w:fldCharType="separate"/>
      </w:r>
      <w:r w:rsidR="006D1D35">
        <w:fldChar w:fldCharType="end"/>
      </w:r>
    </w:p>
  </w:footnote>
  <w:footnote w:id="22">
    <w:p w14:paraId="67E462FA" w14:textId="325CCA66" w:rsidR="007D3D4F" w:rsidRPr="00CF40C5" w:rsidRDefault="007D3D4F" w:rsidP="007D3D4F">
      <w:pPr>
        <w:pStyle w:val="FootnoteText"/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r w:rsidRPr="00CF40C5">
        <w:rPr>
          <w:szCs w:val="18"/>
        </w:rPr>
        <w:tab/>
      </w:r>
      <w:r>
        <w:rPr>
          <w:szCs w:val="18"/>
        </w:rPr>
        <w:t>URL:</w:t>
      </w:r>
      <w:r w:rsidRPr="00CF40C5">
        <w:rPr>
          <w:szCs w:val="18"/>
        </w:rPr>
        <w:t xml:space="preserve"> </w:t>
      </w:r>
      <w:hyperlink r:id="rId13" w:history="1">
        <w:r w:rsidR="00E46BC6" w:rsidRPr="00A34ABF">
          <w:rPr>
            <w:rStyle w:val="Hyperlink"/>
            <w:szCs w:val="18"/>
          </w:rPr>
          <w:t>https://www.farsnews.ir/mazandaran/news/14020804000524/</w:t>
        </w:r>
      </w:hyperlink>
      <w:r w:rsidR="00E46BC6" w:rsidRPr="00E46BC6">
        <w:rPr>
          <w:szCs w:val="18"/>
        </w:rPr>
        <w:t xml:space="preserve"> </w:t>
      </w:r>
      <w:r w:rsidRPr="00CF40C5">
        <w:rPr>
          <w:szCs w:val="18"/>
        </w:rPr>
        <w:t>(на персидском языке).</w:t>
      </w:r>
    </w:p>
  </w:footnote>
  <w:footnote w:id="23">
    <w:p w14:paraId="3FB5F680" w14:textId="5712285A" w:rsidR="007D3D4F" w:rsidRPr="00CF40C5" w:rsidRDefault="007D3D4F" w:rsidP="007D3D4F">
      <w:pPr>
        <w:pStyle w:val="FootnoteText"/>
      </w:pPr>
      <w:r w:rsidRPr="00CF40C5">
        <w:tab/>
      </w:r>
      <w:r w:rsidRPr="007018C1">
        <w:rPr>
          <w:rStyle w:val="FootnoteReference"/>
        </w:rPr>
        <w:footnoteRef/>
      </w:r>
      <w:r>
        <w:tab/>
      </w:r>
      <w:r w:rsidRPr="00046D57">
        <w:t xml:space="preserve">URL: </w:t>
      </w:r>
      <w:hyperlink r:id="rId14" w:history="1">
        <w:r w:rsidR="00E46BC6" w:rsidRPr="00A34ABF">
          <w:rPr>
            <w:rStyle w:val="Hyperlink"/>
          </w:rPr>
          <w:t>https://www.entekhab.ir/fa/news/739805</w:t>
        </w:r>
      </w:hyperlink>
      <w:r w:rsidR="00E46BC6" w:rsidRPr="00E46BC6">
        <w:t xml:space="preserve"> </w:t>
      </w:r>
      <w:r w:rsidRPr="00CF40C5">
        <w:t>(на персидском языке).</w:t>
      </w:r>
    </w:p>
  </w:footnote>
  <w:footnote w:id="24">
    <w:p w14:paraId="42BE52A2" w14:textId="4AEF5C18" w:rsidR="007D3D4F" w:rsidRPr="00CF40C5" w:rsidRDefault="007D3D4F" w:rsidP="007D3D4F">
      <w:pPr>
        <w:pStyle w:val="FootnoteText"/>
      </w:pPr>
      <w:r w:rsidRPr="00CF40C5">
        <w:tab/>
      </w:r>
      <w:r w:rsidRPr="007018C1">
        <w:rPr>
          <w:rStyle w:val="FootnoteReference"/>
        </w:rPr>
        <w:footnoteRef/>
      </w:r>
      <w:r w:rsidRPr="00CF40C5">
        <w:tab/>
      </w:r>
      <w:r>
        <w:t>URL:</w:t>
      </w:r>
      <w:r w:rsidRPr="00CF40C5">
        <w:t xml:space="preserve"> </w:t>
      </w:r>
      <w:hyperlink r:id="rId15" w:history="1">
        <w:r w:rsidR="00E46BC6" w:rsidRPr="00A34ABF">
          <w:rPr>
            <w:rStyle w:val="Hyperlink"/>
          </w:rPr>
          <w:t>https://www.isna.ir/news/1402063019032/</w:t>
        </w:r>
      </w:hyperlink>
      <w:r w:rsidR="00E46BC6" w:rsidRPr="00E46BC6">
        <w:t xml:space="preserve"> </w:t>
      </w:r>
      <w:r w:rsidRPr="00CF40C5">
        <w:t>(на персидском языке).</w:t>
      </w:r>
    </w:p>
  </w:footnote>
  <w:footnote w:id="25">
    <w:p w14:paraId="1A74EB4B" w14:textId="75EE1D85" w:rsidR="007D3D4F" w:rsidRPr="00CF40C5" w:rsidRDefault="007D3D4F" w:rsidP="007D3D4F">
      <w:pPr>
        <w:pStyle w:val="FootnoteText"/>
        <w:rPr>
          <w:szCs w:val="18"/>
        </w:rPr>
      </w:pPr>
      <w:r w:rsidRPr="00CF40C5">
        <w:tab/>
      </w:r>
      <w:r w:rsidRPr="007018C1">
        <w:rPr>
          <w:rStyle w:val="FootnoteReference"/>
        </w:rPr>
        <w:footnoteRef/>
      </w:r>
      <w:r w:rsidRPr="00CF40C5">
        <w:tab/>
      </w:r>
      <w:r w:rsidRPr="00D914A8">
        <w:t xml:space="preserve">URL: </w:t>
      </w:r>
      <w:hyperlink r:id="rId16" w:history="1">
        <w:r w:rsidR="00E46BC6" w:rsidRPr="00A34ABF">
          <w:rPr>
            <w:rStyle w:val="Hyperlink"/>
          </w:rPr>
          <w:t>https://www.etemadonline.com/</w:t>
        </w:r>
      </w:hyperlink>
      <w:r w:rsidR="00E46BC6" w:rsidRPr="00E46BC6">
        <w:t xml:space="preserve"> </w:t>
      </w:r>
      <w:r w:rsidRPr="00CF40C5">
        <w:t>(на персидском языке).</w:t>
      </w:r>
    </w:p>
  </w:footnote>
  <w:footnote w:id="26">
    <w:p w14:paraId="127358F1" w14:textId="62BE4B92" w:rsidR="007D3D4F" w:rsidRPr="00CF40C5" w:rsidRDefault="007D3D4F" w:rsidP="007D3D4F">
      <w:pPr>
        <w:pStyle w:val="FootnoteText"/>
        <w:rPr>
          <w:highlight w:val="yellow"/>
        </w:rPr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r w:rsidRPr="00CF40C5">
        <w:rPr>
          <w:szCs w:val="18"/>
        </w:rPr>
        <w:tab/>
        <w:t xml:space="preserve">Высший совет Исламской Республики Иран, </w:t>
      </w:r>
      <w:r>
        <w:rPr>
          <w:szCs w:val="18"/>
        </w:rPr>
        <w:t>«</w:t>
      </w:r>
      <w:r w:rsidRPr="00CF40C5">
        <w:rPr>
          <w:szCs w:val="18"/>
        </w:rPr>
        <w:t xml:space="preserve">Второй </w:t>
      </w:r>
      <w:r>
        <w:rPr>
          <w:szCs w:val="18"/>
        </w:rPr>
        <w:t xml:space="preserve">информационный </w:t>
      </w:r>
      <w:r w:rsidRPr="00CF40C5">
        <w:rPr>
          <w:szCs w:val="18"/>
        </w:rPr>
        <w:t xml:space="preserve">доклад </w:t>
      </w:r>
      <w:r w:rsidR="003211F9">
        <w:rPr>
          <w:szCs w:val="18"/>
        </w:rPr>
        <w:br/>
      </w:r>
      <w:r w:rsidRPr="00CF40C5">
        <w:rPr>
          <w:szCs w:val="18"/>
        </w:rPr>
        <w:t>о предполагаемом отравлении студентов в Исламской Республике Иран</w:t>
      </w:r>
      <w:r>
        <w:rPr>
          <w:szCs w:val="18"/>
        </w:rPr>
        <w:t>»</w:t>
      </w:r>
      <w:r w:rsidRPr="00CF40C5">
        <w:rPr>
          <w:szCs w:val="18"/>
        </w:rPr>
        <w:t>, май 2023</w:t>
      </w:r>
      <w:r>
        <w:rPr>
          <w:szCs w:val="18"/>
        </w:rPr>
        <w:t> </w:t>
      </w:r>
      <w:r w:rsidRPr="00CF40C5">
        <w:rPr>
          <w:szCs w:val="18"/>
        </w:rPr>
        <w:t>г</w:t>
      </w:r>
      <w:r>
        <w:rPr>
          <w:szCs w:val="18"/>
        </w:rPr>
        <w:t>ода</w:t>
      </w:r>
      <w:r w:rsidRPr="00CF40C5">
        <w:rPr>
          <w:szCs w:val="18"/>
        </w:rPr>
        <w:t>.</w:t>
      </w:r>
    </w:p>
  </w:footnote>
  <w:footnote w:id="27">
    <w:p w14:paraId="6E27CDF8" w14:textId="73D5E088" w:rsidR="007D3D4F" w:rsidRPr="00CF40C5" w:rsidRDefault="007D3D4F" w:rsidP="007D3D4F">
      <w:pPr>
        <w:pStyle w:val="FootnoteText"/>
      </w:pPr>
      <w:r w:rsidRPr="00CF40C5">
        <w:tab/>
      </w:r>
      <w:r w:rsidRPr="007018C1">
        <w:rPr>
          <w:rStyle w:val="FootnoteReference"/>
        </w:rPr>
        <w:footnoteRef/>
      </w:r>
      <w:bookmarkStart w:id="17" w:name="_Hlk156910071"/>
      <w:r w:rsidRPr="00CF40C5">
        <w:tab/>
      </w:r>
      <w:r>
        <w:t>URL:</w:t>
      </w:r>
      <w:r w:rsidRPr="00CF40C5">
        <w:t xml:space="preserve"> </w:t>
      </w:r>
      <w:hyperlink r:id="rId17" w:history="1">
        <w:r w:rsidR="003211F9" w:rsidRPr="00A34ABF">
          <w:rPr>
            <w:rStyle w:val="Hyperlink"/>
          </w:rPr>
          <w:t>https://www.mehrnews.com/news/5930549/</w:t>
        </w:r>
      </w:hyperlink>
      <w:r w:rsidR="003211F9">
        <w:t xml:space="preserve"> </w:t>
      </w:r>
      <w:r w:rsidRPr="00CF40C5">
        <w:t>(на персидском языке).</w:t>
      </w:r>
      <w:bookmarkEnd w:id="17"/>
    </w:p>
  </w:footnote>
  <w:footnote w:id="28">
    <w:p w14:paraId="08159AAF" w14:textId="6370356C" w:rsidR="007D3D4F" w:rsidRPr="00CF40C5" w:rsidRDefault="007D3D4F" w:rsidP="007D3D4F">
      <w:pPr>
        <w:pStyle w:val="FootnoteText"/>
        <w:rPr>
          <w:szCs w:val="18"/>
        </w:rPr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bookmarkStart w:id="18" w:name="_Hlk156910085"/>
      <w:r w:rsidRPr="00CF40C5">
        <w:rPr>
          <w:szCs w:val="18"/>
        </w:rPr>
        <w:tab/>
      </w:r>
      <w:r>
        <w:rPr>
          <w:szCs w:val="18"/>
        </w:rPr>
        <w:t>URL:</w:t>
      </w:r>
      <w:r w:rsidRPr="00CF40C5">
        <w:rPr>
          <w:szCs w:val="18"/>
        </w:rPr>
        <w:t xml:space="preserve"> </w:t>
      </w:r>
      <w:hyperlink r:id="rId18" w:history="1">
        <w:r w:rsidR="003211F9" w:rsidRPr="00A34ABF">
          <w:rPr>
            <w:rStyle w:val="Hyperlink"/>
            <w:szCs w:val="18"/>
          </w:rPr>
          <w:t>https://www.etemadonline.com/</w:t>
        </w:r>
      </w:hyperlink>
      <w:r w:rsidR="003211F9">
        <w:rPr>
          <w:szCs w:val="18"/>
        </w:rPr>
        <w:t xml:space="preserve"> </w:t>
      </w:r>
      <w:r w:rsidRPr="00CF40C5">
        <w:rPr>
          <w:szCs w:val="18"/>
        </w:rPr>
        <w:t>(на персидском языке).</w:t>
      </w:r>
      <w:bookmarkEnd w:id="18"/>
    </w:p>
  </w:footnote>
  <w:footnote w:id="29">
    <w:p w14:paraId="3FDBDB27" w14:textId="6CC013D3" w:rsidR="007D3D4F" w:rsidRPr="00D81512" w:rsidRDefault="007D3D4F" w:rsidP="007D3D4F">
      <w:pPr>
        <w:pStyle w:val="FootnoteText"/>
        <w:rPr>
          <w:szCs w:val="18"/>
          <w:lang w:val="en-US"/>
        </w:rPr>
      </w:pPr>
      <w:r w:rsidRPr="00CF40C5">
        <w:rPr>
          <w:szCs w:val="18"/>
        </w:rPr>
        <w:tab/>
      </w:r>
      <w:r w:rsidRPr="007018C1">
        <w:rPr>
          <w:rStyle w:val="FootnoteReference"/>
        </w:rPr>
        <w:footnoteRef/>
      </w:r>
      <w:r w:rsidRPr="00D81512">
        <w:rPr>
          <w:szCs w:val="18"/>
          <w:lang w:val="en-US"/>
        </w:rPr>
        <w:tab/>
      </w:r>
      <w:r w:rsidRPr="007D3D4F">
        <w:rPr>
          <w:lang w:val="en-US"/>
        </w:rPr>
        <w:t xml:space="preserve">“No signs of toxic substances discovered in schools: Intelligence Ministry”, </w:t>
      </w:r>
      <w:r w:rsidRPr="007D3D4F">
        <w:rPr>
          <w:i/>
          <w:iCs/>
          <w:lang w:val="en-US"/>
        </w:rPr>
        <w:t>Tehran Times</w:t>
      </w:r>
      <w:r w:rsidRPr="007D3D4F">
        <w:rPr>
          <w:lang w:val="en-US"/>
        </w:rPr>
        <w:t xml:space="preserve">, </w:t>
      </w:r>
      <w:r w:rsidR="003211F9">
        <w:rPr>
          <w:lang w:val="en-US"/>
        </w:rPr>
        <w:br/>
      </w:r>
      <w:r w:rsidRPr="007D3D4F">
        <w:rPr>
          <w:lang w:val="en-US"/>
        </w:rPr>
        <w:t>29 April 2023.</w:t>
      </w:r>
    </w:p>
  </w:footnote>
  <w:footnote w:id="30">
    <w:p w14:paraId="70734E1E" w14:textId="01FED866" w:rsidR="007D3D4F" w:rsidRPr="005E2AFA" w:rsidRDefault="007D3D4F" w:rsidP="007D3D4F">
      <w:pPr>
        <w:pStyle w:val="FootnoteText"/>
        <w:rPr>
          <w:lang w:val="en-US"/>
        </w:rPr>
      </w:pPr>
      <w:r w:rsidRPr="00D81512">
        <w:rPr>
          <w:lang w:val="en-US"/>
        </w:rPr>
        <w:tab/>
      </w:r>
      <w:r w:rsidRPr="007018C1">
        <w:rPr>
          <w:rStyle w:val="FootnoteReference"/>
        </w:rPr>
        <w:footnoteRef/>
      </w:r>
      <w:r w:rsidRPr="005E2AFA">
        <w:rPr>
          <w:lang w:val="en-US"/>
        </w:rPr>
        <w:tab/>
      </w:r>
      <w:r w:rsidRPr="00CF40C5">
        <w:t>См</w:t>
      </w:r>
      <w:r w:rsidRPr="005E2AFA">
        <w:rPr>
          <w:lang w:val="en-US"/>
        </w:rPr>
        <w:t>.</w:t>
      </w:r>
      <w:bookmarkStart w:id="19" w:name="_Hlk157418523"/>
      <w:r w:rsidRPr="005E2AFA">
        <w:rPr>
          <w:szCs w:val="18"/>
          <w:lang w:val="en-US"/>
        </w:rPr>
        <w:t xml:space="preserve"> </w:t>
      </w:r>
      <w:proofErr w:type="spellStart"/>
      <w:r w:rsidRPr="007D3D4F">
        <w:rPr>
          <w:szCs w:val="18"/>
          <w:lang w:val="en-US"/>
        </w:rPr>
        <w:t>Hengaw</w:t>
      </w:r>
      <w:proofErr w:type="spellEnd"/>
      <w:r w:rsidRPr="007D3D4F">
        <w:rPr>
          <w:szCs w:val="18"/>
          <w:lang w:val="en-US"/>
        </w:rPr>
        <w:t xml:space="preserve"> Organization for Human Rights, #MahsaAmini, #JinaAmini, #IranRevolution2022, 21 November 2022, </w:t>
      </w:r>
      <w:r w:rsidRPr="00EF2B67">
        <w:rPr>
          <w:szCs w:val="18"/>
          <w:lang w:val="en-US"/>
        </w:rPr>
        <w:t>UR</w:t>
      </w:r>
      <w:r>
        <w:rPr>
          <w:szCs w:val="18"/>
          <w:lang w:val="en-US"/>
        </w:rPr>
        <w:t xml:space="preserve">L: </w:t>
      </w:r>
      <w:hyperlink r:id="rId19" w:history="1">
        <w:r w:rsidR="003211F9" w:rsidRPr="00A34ABF">
          <w:rPr>
            <w:rStyle w:val="Hyperlink"/>
            <w:sz w:val="16"/>
            <w:szCs w:val="16"/>
            <w:lang w:val="en-US"/>
          </w:rPr>
          <w:t>https://twitter.com/i/status/1594675897617076226</w:t>
        </w:r>
      </w:hyperlink>
      <w:r w:rsidRPr="005E2AFA">
        <w:rPr>
          <w:sz w:val="16"/>
          <w:szCs w:val="16"/>
          <w:lang w:val="en-US"/>
        </w:rPr>
        <w:t>.</w:t>
      </w:r>
      <w:bookmarkEnd w:id="19"/>
      <w:r w:rsidR="003211F9">
        <w:rPr>
          <w:sz w:val="16"/>
          <w:szCs w:val="16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5C2E" w14:textId="335A8F5A" w:rsidR="004D019D" w:rsidRPr="004D019D" w:rsidRDefault="006D1D35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5B4767">
      <w:t>A/HRC/55/67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DC53" w14:textId="37698961" w:rsidR="004D019D" w:rsidRPr="004D019D" w:rsidRDefault="006D1D35" w:rsidP="004D019D">
    <w:pPr>
      <w:pStyle w:val="Header"/>
      <w:jc w:val="right"/>
    </w:pPr>
    <w:r>
      <w:fldChar w:fldCharType="begin"/>
    </w:r>
    <w:r>
      <w:instrText xml:space="preserve"> TITLE  </w:instrText>
    </w:r>
    <w:r>
      <w:instrText xml:space="preserve">\* MERGEFORMAT </w:instrText>
    </w:r>
    <w:r>
      <w:fldChar w:fldCharType="separate"/>
    </w:r>
    <w:r w:rsidR="005B4767">
      <w:t>A/HRC/55/67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75900"/>
    <w:multiLevelType w:val="hybridMultilevel"/>
    <w:tmpl w:val="4816FD6E"/>
    <w:lvl w:ilvl="0" w:tplc="2D4416A2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421093"/>
    <w:multiLevelType w:val="multilevel"/>
    <w:tmpl w:val="050885A4"/>
    <w:lvl w:ilvl="0">
      <w:start w:val="1"/>
      <w:numFmt w:val="decimal"/>
      <w:suff w:val="space"/>
      <w:lvlText w:val="%1."/>
      <w:lvlJc w:val="left"/>
      <w:pPr>
        <w:ind w:left="596" w:hanging="45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714" w:hanging="286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12" w:hanging="312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2376"/>
        </w:tabs>
        <w:ind w:left="2738" w:hanging="2738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3096"/>
        </w:tabs>
        <w:ind w:left="3458" w:hanging="34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hint="default"/>
      </w:rPr>
    </w:lvl>
  </w:abstractNum>
  <w:abstractNum w:abstractNumId="15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30AD0"/>
    <w:multiLevelType w:val="hybridMultilevel"/>
    <w:tmpl w:val="B13E15D6"/>
    <w:lvl w:ilvl="0" w:tplc="7E46B9FA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19" w15:restartNumberingAfterBreak="0">
    <w:nsid w:val="24F91DA3"/>
    <w:multiLevelType w:val="hybridMultilevel"/>
    <w:tmpl w:val="61EAE974"/>
    <w:lvl w:ilvl="0" w:tplc="47B0A988">
      <w:start w:val="1"/>
      <w:numFmt w:val="upperLetter"/>
      <w:lvlText w:val="%1."/>
      <w:lvlJc w:val="left"/>
      <w:pPr>
        <w:ind w:left="1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7" w:hanging="360"/>
      </w:pPr>
    </w:lvl>
    <w:lvl w:ilvl="2" w:tplc="0809001B" w:tentative="1">
      <w:start w:val="1"/>
      <w:numFmt w:val="lowerRoman"/>
      <w:lvlText w:val="%3."/>
      <w:lvlJc w:val="right"/>
      <w:pPr>
        <w:ind w:left="2927" w:hanging="180"/>
      </w:pPr>
    </w:lvl>
    <w:lvl w:ilvl="3" w:tplc="0809000F" w:tentative="1">
      <w:start w:val="1"/>
      <w:numFmt w:val="decimal"/>
      <w:lvlText w:val="%4."/>
      <w:lvlJc w:val="left"/>
      <w:pPr>
        <w:ind w:left="3647" w:hanging="360"/>
      </w:pPr>
    </w:lvl>
    <w:lvl w:ilvl="4" w:tplc="08090019" w:tentative="1">
      <w:start w:val="1"/>
      <w:numFmt w:val="lowerLetter"/>
      <w:lvlText w:val="%5."/>
      <w:lvlJc w:val="left"/>
      <w:pPr>
        <w:ind w:left="4367" w:hanging="360"/>
      </w:pPr>
    </w:lvl>
    <w:lvl w:ilvl="5" w:tplc="0809001B" w:tentative="1">
      <w:start w:val="1"/>
      <w:numFmt w:val="lowerRoman"/>
      <w:lvlText w:val="%6."/>
      <w:lvlJc w:val="right"/>
      <w:pPr>
        <w:ind w:left="5087" w:hanging="180"/>
      </w:pPr>
    </w:lvl>
    <w:lvl w:ilvl="6" w:tplc="0809000F" w:tentative="1">
      <w:start w:val="1"/>
      <w:numFmt w:val="decimal"/>
      <w:lvlText w:val="%7."/>
      <w:lvlJc w:val="left"/>
      <w:pPr>
        <w:ind w:left="5807" w:hanging="360"/>
      </w:pPr>
    </w:lvl>
    <w:lvl w:ilvl="7" w:tplc="08090019" w:tentative="1">
      <w:start w:val="1"/>
      <w:numFmt w:val="lowerLetter"/>
      <w:lvlText w:val="%8."/>
      <w:lvlJc w:val="left"/>
      <w:pPr>
        <w:ind w:left="6527" w:hanging="360"/>
      </w:pPr>
    </w:lvl>
    <w:lvl w:ilvl="8" w:tplc="08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0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D2FCA"/>
    <w:multiLevelType w:val="hybridMultilevel"/>
    <w:tmpl w:val="24809BA0"/>
    <w:lvl w:ilvl="0" w:tplc="260C034E">
      <w:start w:val="1"/>
      <w:numFmt w:val="upperLetter"/>
      <w:lvlText w:val="%1."/>
      <w:lvlJc w:val="left"/>
      <w:pPr>
        <w:ind w:left="1127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727B5"/>
    <w:multiLevelType w:val="hybridMultilevel"/>
    <w:tmpl w:val="F26E2D08"/>
    <w:lvl w:ilvl="0" w:tplc="D8889A9C">
      <w:start w:val="1"/>
      <w:numFmt w:val="bullet"/>
      <w:lvlText w:val=""/>
      <w:lvlJc w:val="left"/>
      <w:pPr>
        <w:ind w:left="24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24" w15:restartNumberingAfterBreak="0">
    <w:nsid w:val="396B04F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456276"/>
    <w:multiLevelType w:val="hybridMultilevel"/>
    <w:tmpl w:val="19149710"/>
    <w:lvl w:ilvl="0" w:tplc="F4AAAF66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6" w15:restartNumberingAfterBreak="0">
    <w:nsid w:val="448E3659"/>
    <w:multiLevelType w:val="hybridMultilevel"/>
    <w:tmpl w:val="E592AA34"/>
    <w:lvl w:ilvl="0" w:tplc="C5BE9EBA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87" w:hanging="360"/>
      </w:pPr>
    </w:lvl>
    <w:lvl w:ilvl="2" w:tplc="0809001B" w:tentative="1">
      <w:start w:val="1"/>
      <w:numFmt w:val="lowerRoman"/>
      <w:lvlText w:val="%3."/>
      <w:lvlJc w:val="right"/>
      <w:pPr>
        <w:ind w:left="2907" w:hanging="180"/>
      </w:pPr>
    </w:lvl>
    <w:lvl w:ilvl="3" w:tplc="0809000F" w:tentative="1">
      <w:start w:val="1"/>
      <w:numFmt w:val="decimal"/>
      <w:lvlText w:val="%4."/>
      <w:lvlJc w:val="left"/>
      <w:pPr>
        <w:ind w:left="3627" w:hanging="360"/>
      </w:pPr>
    </w:lvl>
    <w:lvl w:ilvl="4" w:tplc="08090019" w:tentative="1">
      <w:start w:val="1"/>
      <w:numFmt w:val="lowerLetter"/>
      <w:lvlText w:val="%5."/>
      <w:lvlJc w:val="left"/>
      <w:pPr>
        <w:ind w:left="4347" w:hanging="360"/>
      </w:pPr>
    </w:lvl>
    <w:lvl w:ilvl="5" w:tplc="0809001B" w:tentative="1">
      <w:start w:val="1"/>
      <w:numFmt w:val="lowerRoman"/>
      <w:lvlText w:val="%6."/>
      <w:lvlJc w:val="right"/>
      <w:pPr>
        <w:ind w:left="5067" w:hanging="180"/>
      </w:pPr>
    </w:lvl>
    <w:lvl w:ilvl="6" w:tplc="0809000F" w:tentative="1">
      <w:start w:val="1"/>
      <w:numFmt w:val="decimal"/>
      <w:lvlText w:val="%7."/>
      <w:lvlJc w:val="left"/>
      <w:pPr>
        <w:ind w:left="5787" w:hanging="360"/>
      </w:pPr>
    </w:lvl>
    <w:lvl w:ilvl="7" w:tplc="08090019" w:tentative="1">
      <w:start w:val="1"/>
      <w:numFmt w:val="lowerLetter"/>
      <w:lvlText w:val="%8."/>
      <w:lvlJc w:val="left"/>
      <w:pPr>
        <w:ind w:left="6507" w:hanging="360"/>
      </w:pPr>
    </w:lvl>
    <w:lvl w:ilvl="8" w:tplc="08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47C524B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7DD2E2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B873962"/>
    <w:multiLevelType w:val="multilevel"/>
    <w:tmpl w:val="F392EF6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669A5"/>
    <w:multiLevelType w:val="hybridMultilevel"/>
    <w:tmpl w:val="2B7A5FDC"/>
    <w:lvl w:ilvl="0" w:tplc="CB30AD4E">
      <w:start w:val="1"/>
      <w:numFmt w:val="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 w:tplc="0F70B65E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 w:tplc="B732967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 w:tplc="09DE0840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 w:tplc="E21CD82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 w:tplc="9F7C0478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 w:tplc="E32E073C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 w:tplc="E6445CF2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 w:tplc="0AD26E8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32" w15:restartNumberingAfterBreak="0">
    <w:nsid w:val="51073BB1"/>
    <w:multiLevelType w:val="hybridMultilevel"/>
    <w:tmpl w:val="F25C6D30"/>
    <w:lvl w:ilvl="0" w:tplc="B25E34C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113960"/>
    <w:multiLevelType w:val="multilevel"/>
    <w:tmpl w:val="9C92F84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64F14A04"/>
    <w:multiLevelType w:val="hybridMultilevel"/>
    <w:tmpl w:val="0F8E0BF2"/>
    <w:lvl w:ilvl="0" w:tplc="F404D8B4">
      <w:start w:val="1"/>
      <w:numFmt w:val="bullet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39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62366"/>
    <w:multiLevelType w:val="hybridMultilevel"/>
    <w:tmpl w:val="523E6D94"/>
    <w:lvl w:ilvl="0" w:tplc="E24C15DA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438576A"/>
    <w:multiLevelType w:val="hybridMultilevel"/>
    <w:tmpl w:val="3F9A8398"/>
    <w:lvl w:ilvl="0" w:tplc="C8D644C8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4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F2E65D6"/>
    <w:multiLevelType w:val="hybridMultilevel"/>
    <w:tmpl w:val="16226072"/>
    <w:lvl w:ilvl="0" w:tplc="08090013">
      <w:start w:val="1"/>
      <w:numFmt w:val="upperRoman"/>
      <w:lvlText w:val="%1."/>
      <w:lvlJc w:val="righ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998" w:hanging="360"/>
      </w:pPr>
    </w:lvl>
    <w:lvl w:ilvl="2" w:tplc="0809001B" w:tentative="1">
      <w:start w:val="1"/>
      <w:numFmt w:val="lowerRoman"/>
      <w:lvlText w:val="%3."/>
      <w:lvlJc w:val="right"/>
      <w:pPr>
        <w:ind w:left="3718" w:hanging="180"/>
      </w:pPr>
    </w:lvl>
    <w:lvl w:ilvl="3" w:tplc="0809000F" w:tentative="1">
      <w:start w:val="1"/>
      <w:numFmt w:val="decimal"/>
      <w:lvlText w:val="%4."/>
      <w:lvlJc w:val="left"/>
      <w:pPr>
        <w:ind w:left="4438" w:hanging="360"/>
      </w:pPr>
    </w:lvl>
    <w:lvl w:ilvl="4" w:tplc="08090019" w:tentative="1">
      <w:start w:val="1"/>
      <w:numFmt w:val="lowerLetter"/>
      <w:lvlText w:val="%5."/>
      <w:lvlJc w:val="left"/>
      <w:pPr>
        <w:ind w:left="5158" w:hanging="360"/>
      </w:pPr>
    </w:lvl>
    <w:lvl w:ilvl="5" w:tplc="0809001B" w:tentative="1">
      <w:start w:val="1"/>
      <w:numFmt w:val="lowerRoman"/>
      <w:lvlText w:val="%6."/>
      <w:lvlJc w:val="right"/>
      <w:pPr>
        <w:ind w:left="5878" w:hanging="180"/>
      </w:pPr>
    </w:lvl>
    <w:lvl w:ilvl="6" w:tplc="0809000F" w:tentative="1">
      <w:start w:val="1"/>
      <w:numFmt w:val="decimal"/>
      <w:lvlText w:val="%7."/>
      <w:lvlJc w:val="left"/>
      <w:pPr>
        <w:ind w:left="6598" w:hanging="360"/>
      </w:pPr>
    </w:lvl>
    <w:lvl w:ilvl="7" w:tplc="08090019" w:tentative="1">
      <w:start w:val="1"/>
      <w:numFmt w:val="lowerLetter"/>
      <w:lvlText w:val="%8."/>
      <w:lvlJc w:val="left"/>
      <w:pPr>
        <w:ind w:left="7318" w:hanging="360"/>
      </w:pPr>
    </w:lvl>
    <w:lvl w:ilvl="8" w:tplc="0809001B" w:tentative="1">
      <w:start w:val="1"/>
      <w:numFmt w:val="lowerRoman"/>
      <w:lvlText w:val="%9."/>
      <w:lvlJc w:val="right"/>
      <w:pPr>
        <w:ind w:left="8038" w:hanging="180"/>
      </w:pPr>
    </w:lvl>
  </w:abstractNum>
  <w:num w:numId="1" w16cid:durableId="1064834768">
    <w:abstractNumId w:val="41"/>
  </w:num>
  <w:num w:numId="2" w16cid:durableId="1192887755">
    <w:abstractNumId w:val="22"/>
  </w:num>
  <w:num w:numId="3" w16cid:durableId="2094547693">
    <w:abstractNumId w:val="16"/>
  </w:num>
  <w:num w:numId="4" w16cid:durableId="1780682905">
    <w:abstractNumId w:val="42"/>
  </w:num>
  <w:num w:numId="5" w16cid:durableId="2138524873">
    <w:abstractNumId w:val="33"/>
  </w:num>
  <w:num w:numId="6" w16cid:durableId="2070836126">
    <w:abstractNumId w:val="8"/>
  </w:num>
  <w:num w:numId="7" w16cid:durableId="1350061836">
    <w:abstractNumId w:val="3"/>
  </w:num>
  <w:num w:numId="8" w16cid:durableId="1254585543">
    <w:abstractNumId w:val="2"/>
  </w:num>
  <w:num w:numId="9" w16cid:durableId="814644090">
    <w:abstractNumId w:val="1"/>
  </w:num>
  <w:num w:numId="10" w16cid:durableId="1873835464">
    <w:abstractNumId w:val="0"/>
  </w:num>
  <w:num w:numId="11" w16cid:durableId="1841116919">
    <w:abstractNumId w:val="9"/>
  </w:num>
  <w:num w:numId="12" w16cid:durableId="1487823203">
    <w:abstractNumId w:val="7"/>
  </w:num>
  <w:num w:numId="13" w16cid:durableId="1185703201">
    <w:abstractNumId w:val="6"/>
  </w:num>
  <w:num w:numId="14" w16cid:durableId="1727021274">
    <w:abstractNumId w:val="5"/>
  </w:num>
  <w:num w:numId="15" w16cid:durableId="1264612721">
    <w:abstractNumId w:val="4"/>
  </w:num>
  <w:num w:numId="16" w16cid:durableId="840857181">
    <w:abstractNumId w:val="39"/>
  </w:num>
  <w:num w:numId="17" w16cid:durableId="925771318">
    <w:abstractNumId w:val="30"/>
  </w:num>
  <w:num w:numId="18" w16cid:durableId="820007276">
    <w:abstractNumId w:val="34"/>
  </w:num>
  <w:num w:numId="19" w16cid:durableId="1483085535">
    <w:abstractNumId w:val="39"/>
  </w:num>
  <w:num w:numId="20" w16cid:durableId="1542282767">
    <w:abstractNumId w:val="30"/>
  </w:num>
  <w:num w:numId="21" w16cid:durableId="2141990459">
    <w:abstractNumId w:val="34"/>
  </w:num>
  <w:num w:numId="22" w16cid:durableId="179702587">
    <w:abstractNumId w:val="20"/>
  </w:num>
  <w:num w:numId="23" w16cid:durableId="125588671">
    <w:abstractNumId w:val="17"/>
  </w:num>
  <w:num w:numId="24" w16cid:durableId="1548301893">
    <w:abstractNumId w:val="10"/>
  </w:num>
  <w:num w:numId="25" w16cid:durableId="1130593280">
    <w:abstractNumId w:val="36"/>
  </w:num>
  <w:num w:numId="26" w16cid:durableId="1434125995">
    <w:abstractNumId w:val="37"/>
  </w:num>
  <w:num w:numId="27" w16cid:durableId="2118867588">
    <w:abstractNumId w:val="44"/>
  </w:num>
  <w:num w:numId="28" w16cid:durableId="1363899286">
    <w:abstractNumId w:val="15"/>
  </w:num>
  <w:num w:numId="29" w16cid:durableId="221451650">
    <w:abstractNumId w:val="11"/>
  </w:num>
  <w:num w:numId="30" w16cid:durableId="1451127773">
    <w:abstractNumId w:val="40"/>
  </w:num>
  <w:num w:numId="31" w16cid:durableId="805514619">
    <w:abstractNumId w:val="24"/>
  </w:num>
  <w:num w:numId="32" w16cid:durableId="207305919">
    <w:abstractNumId w:val="28"/>
  </w:num>
  <w:num w:numId="33" w16cid:durableId="558060172">
    <w:abstractNumId w:val="27"/>
  </w:num>
  <w:num w:numId="34" w16cid:durableId="48119526">
    <w:abstractNumId w:val="29"/>
  </w:num>
  <w:num w:numId="35" w16cid:durableId="819613177">
    <w:abstractNumId w:val="13"/>
  </w:num>
  <w:num w:numId="36" w16cid:durableId="26106840">
    <w:abstractNumId w:val="18"/>
  </w:num>
  <w:num w:numId="37" w16cid:durableId="846022733">
    <w:abstractNumId w:val="31"/>
  </w:num>
  <w:num w:numId="38" w16cid:durableId="2016762984">
    <w:abstractNumId w:val="38"/>
  </w:num>
  <w:num w:numId="39" w16cid:durableId="1343162806">
    <w:abstractNumId w:val="25"/>
  </w:num>
  <w:num w:numId="40" w16cid:durableId="805124176">
    <w:abstractNumId w:val="45"/>
  </w:num>
  <w:num w:numId="41" w16cid:durableId="58553367">
    <w:abstractNumId w:val="12"/>
  </w:num>
  <w:num w:numId="42" w16cid:durableId="1876387331">
    <w:abstractNumId w:val="14"/>
  </w:num>
  <w:num w:numId="43" w16cid:durableId="1216700958">
    <w:abstractNumId w:val="35"/>
  </w:num>
  <w:num w:numId="44" w16cid:durableId="1763915100">
    <w:abstractNumId w:val="21"/>
  </w:num>
  <w:num w:numId="45" w16cid:durableId="1114134507">
    <w:abstractNumId w:val="43"/>
  </w:num>
  <w:num w:numId="46" w16cid:durableId="741828413">
    <w:abstractNumId w:val="26"/>
  </w:num>
  <w:num w:numId="47" w16cid:durableId="1782147747">
    <w:abstractNumId w:val="19"/>
  </w:num>
  <w:num w:numId="48" w16cid:durableId="1278180326">
    <w:abstractNumId w:val="32"/>
  </w:num>
  <w:num w:numId="49" w16cid:durableId="2125464791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91"/>
    <w:rsid w:val="00033EE1"/>
    <w:rsid w:val="00035D3D"/>
    <w:rsid w:val="00040272"/>
    <w:rsid w:val="00041EA6"/>
    <w:rsid w:val="00042B72"/>
    <w:rsid w:val="000558BD"/>
    <w:rsid w:val="00080604"/>
    <w:rsid w:val="000842B4"/>
    <w:rsid w:val="000B57E7"/>
    <w:rsid w:val="000B6373"/>
    <w:rsid w:val="000F09DF"/>
    <w:rsid w:val="000F61B2"/>
    <w:rsid w:val="001075E9"/>
    <w:rsid w:val="00151356"/>
    <w:rsid w:val="00153D64"/>
    <w:rsid w:val="00160F7C"/>
    <w:rsid w:val="00174B9A"/>
    <w:rsid w:val="00180183"/>
    <w:rsid w:val="0018024D"/>
    <w:rsid w:val="0018649F"/>
    <w:rsid w:val="00196389"/>
    <w:rsid w:val="001B3EF6"/>
    <w:rsid w:val="001C7A89"/>
    <w:rsid w:val="001D2F1E"/>
    <w:rsid w:val="002360CF"/>
    <w:rsid w:val="002501D7"/>
    <w:rsid w:val="00272A35"/>
    <w:rsid w:val="002A2EFC"/>
    <w:rsid w:val="002C0E18"/>
    <w:rsid w:val="002D5AAC"/>
    <w:rsid w:val="002E5067"/>
    <w:rsid w:val="002F405F"/>
    <w:rsid w:val="002F7EEC"/>
    <w:rsid w:val="00301299"/>
    <w:rsid w:val="00305C08"/>
    <w:rsid w:val="00307FB6"/>
    <w:rsid w:val="00312B45"/>
    <w:rsid w:val="00317339"/>
    <w:rsid w:val="003211F9"/>
    <w:rsid w:val="00322004"/>
    <w:rsid w:val="003334ED"/>
    <w:rsid w:val="003402C2"/>
    <w:rsid w:val="00351986"/>
    <w:rsid w:val="00371D70"/>
    <w:rsid w:val="00381C24"/>
    <w:rsid w:val="003958D0"/>
    <w:rsid w:val="003B00E5"/>
    <w:rsid w:val="003B3FBC"/>
    <w:rsid w:val="00407B78"/>
    <w:rsid w:val="00424203"/>
    <w:rsid w:val="004516DA"/>
    <w:rsid w:val="00452493"/>
    <w:rsid w:val="00454E07"/>
    <w:rsid w:val="00472C5C"/>
    <w:rsid w:val="00484B62"/>
    <w:rsid w:val="004D019D"/>
    <w:rsid w:val="0050108D"/>
    <w:rsid w:val="00513081"/>
    <w:rsid w:val="00517901"/>
    <w:rsid w:val="00526683"/>
    <w:rsid w:val="00541726"/>
    <w:rsid w:val="005709E0"/>
    <w:rsid w:val="00572E19"/>
    <w:rsid w:val="005961C8"/>
    <w:rsid w:val="005B4767"/>
    <w:rsid w:val="005D7914"/>
    <w:rsid w:val="005E2B41"/>
    <w:rsid w:val="005F0B42"/>
    <w:rsid w:val="00671959"/>
    <w:rsid w:val="00681A10"/>
    <w:rsid w:val="006A1BC7"/>
    <w:rsid w:val="006A1ED8"/>
    <w:rsid w:val="006C2031"/>
    <w:rsid w:val="006C6883"/>
    <w:rsid w:val="006D1D35"/>
    <w:rsid w:val="006D461A"/>
    <w:rsid w:val="006F0B59"/>
    <w:rsid w:val="006F35EE"/>
    <w:rsid w:val="007021FF"/>
    <w:rsid w:val="00707123"/>
    <w:rsid w:val="00712895"/>
    <w:rsid w:val="00757357"/>
    <w:rsid w:val="00782C09"/>
    <w:rsid w:val="007D3BD5"/>
    <w:rsid w:val="007D3D4F"/>
    <w:rsid w:val="007D5A02"/>
    <w:rsid w:val="00825F8D"/>
    <w:rsid w:val="00834B71"/>
    <w:rsid w:val="0086254C"/>
    <w:rsid w:val="0086445C"/>
    <w:rsid w:val="00865660"/>
    <w:rsid w:val="00885B48"/>
    <w:rsid w:val="00894693"/>
    <w:rsid w:val="008A08D7"/>
    <w:rsid w:val="008B6909"/>
    <w:rsid w:val="008D261C"/>
    <w:rsid w:val="00906890"/>
    <w:rsid w:val="00911BE4"/>
    <w:rsid w:val="009275CF"/>
    <w:rsid w:val="00936A21"/>
    <w:rsid w:val="00951972"/>
    <w:rsid w:val="009604DF"/>
    <w:rsid w:val="009608F3"/>
    <w:rsid w:val="009675B6"/>
    <w:rsid w:val="009865A4"/>
    <w:rsid w:val="009939AC"/>
    <w:rsid w:val="009A24AC"/>
    <w:rsid w:val="00A01942"/>
    <w:rsid w:val="00A10122"/>
    <w:rsid w:val="00A17F27"/>
    <w:rsid w:val="00A312BC"/>
    <w:rsid w:val="00A62191"/>
    <w:rsid w:val="00A84021"/>
    <w:rsid w:val="00A84D35"/>
    <w:rsid w:val="00A917B3"/>
    <w:rsid w:val="00AB4B51"/>
    <w:rsid w:val="00B04920"/>
    <w:rsid w:val="00B10CC7"/>
    <w:rsid w:val="00B25BD7"/>
    <w:rsid w:val="00B539E7"/>
    <w:rsid w:val="00B62458"/>
    <w:rsid w:val="00B72A19"/>
    <w:rsid w:val="00BA019F"/>
    <w:rsid w:val="00BB4779"/>
    <w:rsid w:val="00BC18B2"/>
    <w:rsid w:val="00BC42FA"/>
    <w:rsid w:val="00BD33EE"/>
    <w:rsid w:val="00BE0674"/>
    <w:rsid w:val="00C106D6"/>
    <w:rsid w:val="00C42323"/>
    <w:rsid w:val="00C60F0C"/>
    <w:rsid w:val="00C805C9"/>
    <w:rsid w:val="00C80CF3"/>
    <w:rsid w:val="00C92939"/>
    <w:rsid w:val="00CA1679"/>
    <w:rsid w:val="00CA5CF7"/>
    <w:rsid w:val="00CB0692"/>
    <w:rsid w:val="00CB151C"/>
    <w:rsid w:val="00CE5A1A"/>
    <w:rsid w:val="00CF55F6"/>
    <w:rsid w:val="00D33D63"/>
    <w:rsid w:val="00D90028"/>
    <w:rsid w:val="00D90138"/>
    <w:rsid w:val="00DA050D"/>
    <w:rsid w:val="00DC2121"/>
    <w:rsid w:val="00DD78D1"/>
    <w:rsid w:val="00DE7565"/>
    <w:rsid w:val="00DF71B9"/>
    <w:rsid w:val="00E37A7A"/>
    <w:rsid w:val="00E46BC6"/>
    <w:rsid w:val="00E71476"/>
    <w:rsid w:val="00E73F76"/>
    <w:rsid w:val="00EA2AAD"/>
    <w:rsid w:val="00EA2C9F"/>
    <w:rsid w:val="00EA420E"/>
    <w:rsid w:val="00EB71F4"/>
    <w:rsid w:val="00EC27E8"/>
    <w:rsid w:val="00EC3F0F"/>
    <w:rsid w:val="00ED0BDA"/>
    <w:rsid w:val="00EF1360"/>
    <w:rsid w:val="00EF3220"/>
    <w:rsid w:val="00F07AD5"/>
    <w:rsid w:val="00F1107A"/>
    <w:rsid w:val="00F43903"/>
    <w:rsid w:val="00F525BC"/>
    <w:rsid w:val="00F571C2"/>
    <w:rsid w:val="00F67B1C"/>
    <w:rsid w:val="00F94155"/>
    <w:rsid w:val="00F9783F"/>
    <w:rsid w:val="00FC4671"/>
    <w:rsid w:val="00FD057A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C01DF"/>
  <w15:docId w15:val="{BDE96E4C-1B7A-4AC4-A5F3-698CAED9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7E8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Heading1">
    <w:name w:val="heading 1"/>
    <w:aliases w:val="Table_G"/>
    <w:basedOn w:val="Normal"/>
    <w:next w:val="Normal"/>
    <w:link w:val="Heading1Char"/>
    <w:uiPriority w:val="9"/>
    <w:qFormat/>
    <w:rsid w:val="00BE0674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04DF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04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604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04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604DF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604D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604D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604DF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0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21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Normal"/>
    <w:next w:val="Normal"/>
    <w:qFormat/>
    <w:rsid w:val="00BE067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Normal"/>
    <w:next w:val="Normal"/>
    <w:qFormat/>
    <w:rsid w:val="00BE067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Normal"/>
    <w:next w:val="Normal"/>
    <w:qFormat/>
    <w:rsid w:val="00BE067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Normal"/>
    <w:next w:val="Normal"/>
    <w:qFormat/>
    <w:rsid w:val="00BE06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Normal"/>
    <w:next w:val="Normal"/>
    <w:qFormat/>
    <w:rsid w:val="00BE06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Normal"/>
    <w:next w:val="Normal"/>
    <w:qFormat/>
    <w:rsid w:val="00BE067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Normal"/>
    <w:qFormat/>
    <w:rsid w:val="00DC2121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Normal"/>
    <w:next w:val="Normal"/>
    <w:qFormat/>
    <w:rsid w:val="00BE0674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Normal"/>
    <w:next w:val="Normal"/>
    <w:qFormat/>
    <w:rsid w:val="00BE0674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Normal"/>
    <w:next w:val="Normal"/>
    <w:qFormat/>
    <w:rsid w:val="00BE0674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Normal"/>
    <w:next w:val="Normal"/>
    <w:qFormat/>
    <w:rsid w:val="00BE0674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Normal"/>
    <w:qFormat/>
    <w:rsid w:val="00BE0674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Normal"/>
    <w:qFormat/>
    <w:rsid w:val="00BE0674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Normal"/>
    <w:next w:val="Normal"/>
    <w:qFormat/>
    <w:rsid w:val="00DC2121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BE0674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BE0674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"/>
    <w:basedOn w:val="Normal"/>
    <w:next w:val="Normal"/>
    <w:link w:val="HeaderChar"/>
    <w:qFormat/>
    <w:rsid w:val="00BE0674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 Char"/>
    <w:basedOn w:val="DefaultParagraphFont"/>
    <w:link w:val="Header"/>
    <w:rsid w:val="00BE0674"/>
    <w:rPr>
      <w:b/>
      <w:sz w:val="18"/>
      <w:lang w:val="en-GB" w:eastAsia="ru-RU"/>
    </w:rPr>
  </w:style>
  <w:style w:type="character" w:styleId="PageNumber">
    <w:name w:val="page number"/>
    <w:aliases w:val="7_G"/>
    <w:basedOn w:val="DefaultParagraphFont"/>
    <w:qFormat/>
    <w:rsid w:val="00BE0674"/>
    <w:rPr>
      <w:rFonts w:ascii="Times New Roman" w:hAnsi="Times New Roman"/>
      <w:b/>
      <w:sz w:val="18"/>
    </w:rPr>
  </w:style>
  <w:style w:type="paragraph" w:styleId="Footer">
    <w:name w:val="footer"/>
    <w:aliases w:val="3_G"/>
    <w:basedOn w:val="Normal"/>
    <w:link w:val="FooterChar"/>
    <w:qFormat/>
    <w:rsid w:val="00BE0674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 Char"/>
    <w:basedOn w:val="DefaultParagraphFont"/>
    <w:link w:val="Footer"/>
    <w:rsid w:val="00BE0674"/>
    <w:rPr>
      <w:sz w:val="16"/>
      <w:lang w:val="en-GB" w:eastAsia="ru-RU"/>
    </w:rPr>
  </w:style>
  <w:style w:type="character" w:styleId="FootnoteReference">
    <w:name w:val="footnote reference"/>
    <w:aliases w:val="4_G"/>
    <w:basedOn w:val="DefaultParagraphFont"/>
    <w:qFormat/>
    <w:rsid w:val="00BE0674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BE0674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rsid w:val="00EC27E8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noteText">
    <w:name w:val="footnote text"/>
    <w:aliases w:val="5_G"/>
    <w:basedOn w:val="Normal"/>
    <w:link w:val="FootnoteTextChar"/>
    <w:qFormat/>
    <w:rsid w:val="00BE0674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BE0674"/>
    <w:rPr>
      <w:sz w:val="18"/>
      <w:lang w:val="ru-RU" w:eastAsia="ru-RU"/>
    </w:rPr>
  </w:style>
  <w:style w:type="paragraph" w:styleId="EndnoteText">
    <w:name w:val="endnote text"/>
    <w:aliases w:val="2_G"/>
    <w:basedOn w:val="FootnoteText"/>
    <w:link w:val="EndnoteTextChar"/>
    <w:qFormat/>
    <w:rsid w:val="00BE0674"/>
  </w:style>
  <w:style w:type="character" w:customStyle="1" w:styleId="EndnoteTextChar">
    <w:name w:val="Endnote Text Char"/>
    <w:aliases w:val="2_G Char"/>
    <w:basedOn w:val="DefaultParagraphFont"/>
    <w:link w:val="EndnoteText"/>
    <w:rsid w:val="00BE0674"/>
    <w:rPr>
      <w:sz w:val="18"/>
      <w:lang w:val="ru-RU" w:eastAsia="ru-RU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BE0674"/>
    <w:rPr>
      <w:rFonts w:cs="Arial"/>
      <w:b/>
      <w:bCs/>
      <w:szCs w:val="32"/>
      <w:lang w:val="ru-RU" w:eastAsia="ru-RU"/>
    </w:rPr>
  </w:style>
  <w:style w:type="character" w:styleId="Hyperlink">
    <w:name w:val="Hyperlink"/>
    <w:basedOn w:val="DefaultParagraphFont"/>
    <w:rsid w:val="00BE0674"/>
    <w:rPr>
      <w:color w:val="0000FF"/>
      <w:u w:val="none"/>
    </w:rPr>
  </w:style>
  <w:style w:type="character" w:styleId="FollowedHyperlink">
    <w:name w:val="FollowedHyperlink"/>
    <w:basedOn w:val="DefaultParagraphFont"/>
    <w:rsid w:val="00BE0674"/>
    <w:rPr>
      <w:color w:val="0000FF"/>
      <w:u w:val="none"/>
    </w:rPr>
  </w:style>
  <w:style w:type="numbering" w:styleId="111111">
    <w:name w:val="Outline List 2"/>
    <w:basedOn w:val="NoList"/>
    <w:semiHidden/>
    <w:rsid w:val="007D3D4F"/>
    <w:pPr>
      <w:numPr>
        <w:numId w:val="26"/>
      </w:numPr>
    </w:pPr>
  </w:style>
  <w:style w:type="numbering" w:styleId="1ai">
    <w:name w:val="Outline List 1"/>
    <w:basedOn w:val="NoList"/>
    <w:semiHidden/>
    <w:rsid w:val="007D3D4F"/>
    <w:pPr>
      <w:numPr>
        <w:numId w:val="27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D3D4F"/>
    <w:rPr>
      <w:rFonts w:eastAsiaTheme="minorHAnsi" w:cs="Arial"/>
      <w:bCs/>
      <w:iCs/>
      <w:szCs w:val="28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D3D4F"/>
    <w:rPr>
      <w:rFonts w:ascii="Arial" w:eastAsiaTheme="minorHAnsi" w:hAnsi="Arial" w:cs="Arial"/>
      <w:b/>
      <w:bCs/>
      <w:sz w:val="26"/>
      <w:szCs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D3D4F"/>
    <w:rPr>
      <w:rFonts w:eastAsiaTheme="minorHAnsi" w:cstheme="minorBidi"/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D3D4F"/>
    <w:rPr>
      <w:rFonts w:eastAsia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D3D4F"/>
    <w:rPr>
      <w:rFonts w:eastAsiaTheme="minorHAnsi" w:cstheme="minorBidi"/>
      <w:b/>
      <w:bCs/>
      <w:sz w:val="22"/>
      <w:szCs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7D3D4F"/>
    <w:rPr>
      <w:rFonts w:eastAsiaTheme="minorHAnsi" w:cstheme="minorBidi"/>
      <w:sz w:val="24"/>
      <w:szCs w:val="24"/>
      <w:lang w:val="ru-RU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7D3D4F"/>
    <w:rPr>
      <w:rFonts w:eastAsiaTheme="minorHAnsi" w:cstheme="minorBidi"/>
      <w:i/>
      <w:iCs/>
      <w:sz w:val="24"/>
      <w:szCs w:val="24"/>
      <w:lang w:val="ru-R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D4F"/>
    <w:rPr>
      <w:rFonts w:ascii="Arial" w:eastAsiaTheme="minorHAnsi" w:hAnsi="Arial" w:cs="Arial"/>
      <w:sz w:val="22"/>
      <w:szCs w:val="22"/>
      <w:lang w:val="ru-RU" w:eastAsia="en-US"/>
    </w:rPr>
  </w:style>
  <w:style w:type="character" w:styleId="BookTitle">
    <w:name w:val="Book Title"/>
    <w:basedOn w:val="DefaultParagraphFont"/>
    <w:uiPriority w:val="33"/>
    <w:rsid w:val="007D3D4F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7D3D4F"/>
    <w:pPr>
      <w:ind w:left="1296" w:right="1296"/>
    </w:pPr>
    <w:rPr>
      <w:rFonts w:eastAsiaTheme="minorHAnsi"/>
      <w:spacing w:val="4"/>
      <w:w w:val="103"/>
      <w:kern w:val="1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3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docs.org/ru/A/HRC/RES/S-35/1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ndocs.org/ru/A/HRC/RES/S-35/1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undocs.org/ru/A/HRC/RES/S-35/1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na.ir/news/1401102013051/" TargetMode="External"/><Relationship Id="rId13" Type="http://schemas.openxmlformats.org/officeDocument/2006/relationships/hyperlink" Target="https://www.farsnews.ir/mazandaran/news/14020804000524/" TargetMode="External"/><Relationship Id="rId18" Type="http://schemas.openxmlformats.org/officeDocument/2006/relationships/hyperlink" Target="https://www.etemadonline.com/" TargetMode="External"/><Relationship Id="rId3" Type="http://schemas.openxmlformats.org/officeDocument/2006/relationships/hyperlink" Target="https://www.irna.ir/news/84904665" TargetMode="External"/><Relationship Id="rId7" Type="http://schemas.openxmlformats.org/officeDocument/2006/relationships/hyperlink" Target="https://www.setaresobh.ir/fa/Main/Detail/94860" TargetMode="External"/><Relationship Id="rId12" Type="http://schemas.openxmlformats.org/officeDocument/2006/relationships/hyperlink" Target="https://www.isna.ir/news/1402011405203/" TargetMode="External"/><Relationship Id="rId17" Type="http://schemas.openxmlformats.org/officeDocument/2006/relationships/hyperlink" Target="https://www.mehrnews.com/news/5930549/" TargetMode="External"/><Relationship Id="rId2" Type="http://schemas.openxmlformats.org/officeDocument/2006/relationships/hyperlink" Target="https://en.irna.ir/news/85056317/" TargetMode="External"/><Relationship Id="rId16" Type="http://schemas.openxmlformats.org/officeDocument/2006/relationships/hyperlink" Target="https://www.etemadonline.com/" TargetMode="External"/><Relationship Id="rId1" Type="http://schemas.openxmlformats.org/officeDocument/2006/relationships/hyperlink" Target="https://www.ohchr.org/en/hr-bodies/hrc/ffm-iran/index" TargetMode="External"/><Relationship Id="rId6" Type="http://schemas.openxmlformats.org/officeDocument/2006/relationships/hyperlink" Target="https://www.mehrnews.com/news/5811295/" TargetMode="External"/><Relationship Id="rId11" Type="http://schemas.openxmlformats.org/officeDocument/2006/relationships/hyperlink" Target="https://www.iribnews.ir/fa/news/3804380/" TargetMode="External"/><Relationship Id="rId5" Type="http://schemas.openxmlformats.org/officeDocument/2006/relationships/hyperlink" Target="https://www.irna.ir/news/84934370/" TargetMode="External"/><Relationship Id="rId15" Type="http://schemas.openxmlformats.org/officeDocument/2006/relationships/hyperlink" Target="https://www.isna.ir/news/1402063019032/" TargetMode="External"/><Relationship Id="rId10" Type="http://schemas.openxmlformats.org/officeDocument/2006/relationships/hyperlink" Target="https://www.armanmeli.ir" TargetMode="External"/><Relationship Id="rId19" Type="http://schemas.openxmlformats.org/officeDocument/2006/relationships/hyperlink" Target="https://twitter.com/i/status/1594675897617076226" TargetMode="External"/><Relationship Id="rId4" Type="http://schemas.openxmlformats.org/officeDocument/2006/relationships/hyperlink" Target="https://www.irna.ir/news/85020213/" TargetMode="External"/><Relationship Id="rId9" Type="http://schemas.openxmlformats.org/officeDocument/2006/relationships/hyperlink" Target="https://www.khabaronline.ir/news/1727083/" TargetMode="External"/><Relationship Id="rId14" Type="http://schemas.openxmlformats.org/officeDocument/2006/relationships/hyperlink" Target="https://www.entekhab.ir/fa/news/7398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_HR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3" ma:contentTypeDescription="Create a new document." ma:contentTypeScope="" ma:versionID="d8e1f86316230a8c46c779257df8fe6b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f1e5e4911cbe53465694d25e0c1ad037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020ff-48ad-4b90-98f4-7161a6f3b6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F350FB1E-E09B-42C9-9086-E2F8592FD9C2}"/>
</file>

<file path=customXml/itemProps2.xml><?xml version="1.0" encoding="utf-8"?>
<ds:datastoreItem xmlns:ds="http://schemas.openxmlformats.org/officeDocument/2006/customXml" ds:itemID="{2ABACA1B-F9B8-41BF-9217-7B567F1E884B}"/>
</file>

<file path=customXml/itemProps3.xml><?xml version="1.0" encoding="utf-8"?>
<ds:datastoreItem xmlns:ds="http://schemas.openxmlformats.org/officeDocument/2006/customXml" ds:itemID="{5F328466-871F-4B12-B4C1-99E19812E5C3}"/>
</file>

<file path=docProps/app.xml><?xml version="1.0" encoding="utf-8"?>
<Properties xmlns="http://schemas.openxmlformats.org/officeDocument/2006/extended-properties" xmlns:vt="http://schemas.openxmlformats.org/officeDocument/2006/docPropsVTypes">
  <Template>A_HRC.dotm</Template>
  <TotalTime>1</TotalTime>
  <Pages>24</Pages>
  <Words>12411</Words>
  <Characters>68263</Characters>
  <Application>Microsoft Office Word</Application>
  <DocSecurity>0</DocSecurity>
  <Lines>568</Lines>
  <Paragraphs>161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A/HRC/55/67</vt:lpstr>
      <vt:lpstr>A/</vt:lpstr>
      <vt:lpstr>A/</vt:lpstr>
      <vt:lpstr>A/</vt:lpstr>
    </vt:vector>
  </TitlesOfParts>
  <Company>DCM</Company>
  <LinksUpToDate>false</LinksUpToDate>
  <CharactersWithSpaces>80513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Kumar</dc:title>
  <dc:subject/>
  <dc:creator>Ekaterina SALYNSKAYA</dc:creator>
  <cp:keywords/>
  <cp:lastModifiedBy>Veronique Lanz</cp:lastModifiedBy>
  <cp:revision>2</cp:revision>
  <cp:lastPrinted>2024-03-04T14:36:00Z</cp:lastPrinted>
  <dcterms:created xsi:type="dcterms:W3CDTF">2024-03-08T10:57:00Z</dcterms:created>
  <dcterms:modified xsi:type="dcterms:W3CDTF">2024-03-08T10:57:00Z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  <property fmtid="{D5CDD505-2E9C-101B-9397-08002B2CF9AE}" pid="14" name="ContentTypeId">
    <vt:lpwstr>0x010100F5AB59289BFBAB4F9FD152C776C60BDD</vt:lpwstr>
  </property>
  <property fmtid="{D5CDD505-2E9C-101B-9397-08002B2CF9AE}" pid="15" name="_ExtendedDescription">
    <vt:lpwstr>FW&amp;#58; Request to post A/HRC/55/67 - Report of the Independent International Fact-Finding Mission on the Islamic Republic of Iran</vt:lpwstr>
  </property>
</Properties>
</file>