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0328F5" w14:paraId="75B200C2" w14:textId="77777777" w:rsidTr="0043536E">
        <w:trPr>
          <w:trHeight w:val="851"/>
        </w:trPr>
        <w:tc>
          <w:tcPr>
            <w:tcW w:w="1276" w:type="dxa"/>
            <w:tcBorders>
              <w:top w:val="nil"/>
              <w:left w:val="nil"/>
              <w:bottom w:val="single" w:sz="4" w:space="0" w:color="auto"/>
              <w:right w:val="nil"/>
            </w:tcBorders>
          </w:tcPr>
          <w:p w14:paraId="4B7C6A2F" w14:textId="77777777" w:rsidR="00446DE4" w:rsidRPr="000328F5" w:rsidRDefault="00446DE4" w:rsidP="0043536E">
            <w:pPr>
              <w:spacing w:after="80" w:line="340" w:lineRule="exact"/>
            </w:pPr>
          </w:p>
        </w:tc>
        <w:tc>
          <w:tcPr>
            <w:tcW w:w="2268" w:type="dxa"/>
            <w:tcBorders>
              <w:top w:val="nil"/>
              <w:left w:val="nil"/>
              <w:bottom w:val="single" w:sz="4" w:space="0" w:color="auto"/>
              <w:right w:val="nil"/>
            </w:tcBorders>
            <w:vAlign w:val="bottom"/>
          </w:tcPr>
          <w:p w14:paraId="7F027A17" w14:textId="4345AEDA" w:rsidR="00446DE4" w:rsidRPr="000328F5" w:rsidRDefault="003A7581" w:rsidP="0043536E">
            <w:pPr>
              <w:spacing w:after="80" w:line="300" w:lineRule="exact"/>
              <w:rPr>
                <w:sz w:val="28"/>
                <w:szCs w:val="28"/>
              </w:rPr>
            </w:pPr>
            <w:r w:rsidRPr="000328F5">
              <w:rPr>
                <w:sz w:val="28"/>
              </w:rPr>
              <w:t>s</w:t>
            </w:r>
          </w:p>
        </w:tc>
        <w:tc>
          <w:tcPr>
            <w:tcW w:w="6232" w:type="dxa"/>
            <w:gridSpan w:val="2"/>
            <w:tcBorders>
              <w:top w:val="nil"/>
              <w:left w:val="nil"/>
              <w:bottom w:val="single" w:sz="4" w:space="0" w:color="auto"/>
              <w:right w:val="nil"/>
            </w:tcBorders>
            <w:vAlign w:val="bottom"/>
          </w:tcPr>
          <w:p w14:paraId="1D12CF93" w14:textId="079BAE2F" w:rsidR="00446DE4" w:rsidRPr="000328F5" w:rsidRDefault="006F6C30" w:rsidP="006F6C30">
            <w:pPr>
              <w:jc w:val="right"/>
            </w:pPr>
            <w:r w:rsidRPr="006F6C30">
              <w:rPr>
                <w:sz w:val="40"/>
              </w:rPr>
              <w:t>A</w:t>
            </w:r>
            <w:r>
              <w:t>/HRC/55/2</w:t>
            </w:r>
            <w:r w:rsidR="00826C25">
              <w:t>2</w:t>
            </w:r>
          </w:p>
        </w:tc>
      </w:tr>
      <w:tr w:rsidR="003107FA" w:rsidRPr="000328F5" w14:paraId="530DF6AA" w14:textId="77777777" w:rsidTr="0043536E">
        <w:trPr>
          <w:trHeight w:val="2835"/>
        </w:trPr>
        <w:tc>
          <w:tcPr>
            <w:tcW w:w="1276" w:type="dxa"/>
            <w:tcBorders>
              <w:top w:val="single" w:sz="4" w:space="0" w:color="auto"/>
              <w:left w:val="nil"/>
              <w:bottom w:val="single" w:sz="12" w:space="0" w:color="auto"/>
              <w:right w:val="nil"/>
            </w:tcBorders>
          </w:tcPr>
          <w:p w14:paraId="48D401D2" w14:textId="5C910A51" w:rsidR="003107FA" w:rsidRPr="000328F5" w:rsidRDefault="003107FA" w:rsidP="0043536E">
            <w:pPr>
              <w:spacing w:before="120"/>
              <w:jc w:val="center"/>
            </w:pPr>
          </w:p>
        </w:tc>
        <w:tc>
          <w:tcPr>
            <w:tcW w:w="5528" w:type="dxa"/>
            <w:gridSpan w:val="2"/>
            <w:tcBorders>
              <w:top w:val="single" w:sz="4" w:space="0" w:color="auto"/>
              <w:left w:val="nil"/>
              <w:bottom w:val="single" w:sz="12" w:space="0" w:color="auto"/>
              <w:right w:val="nil"/>
            </w:tcBorders>
          </w:tcPr>
          <w:p w14:paraId="0856AC22" w14:textId="05850EAF" w:rsidR="003107FA" w:rsidRPr="000328F5" w:rsidRDefault="0089227B" w:rsidP="0043536E">
            <w:pPr>
              <w:spacing w:before="120" w:line="420" w:lineRule="exact"/>
              <w:rPr>
                <w:b/>
                <w:sz w:val="40"/>
                <w:szCs w:val="40"/>
              </w:rPr>
            </w:pPr>
            <w:proofErr w:type="spellStart"/>
            <w:r>
              <w:rPr>
                <w:b/>
                <w:sz w:val="40"/>
                <w:szCs w:val="40"/>
              </w:rPr>
              <w:t>Advance</w:t>
            </w:r>
            <w:proofErr w:type="spellEnd"/>
            <w:r>
              <w:rPr>
                <w:b/>
                <w:sz w:val="40"/>
                <w:szCs w:val="40"/>
              </w:rPr>
              <w:t xml:space="preserve"> </w:t>
            </w:r>
            <w:proofErr w:type="spellStart"/>
            <w:r>
              <w:rPr>
                <w:b/>
                <w:sz w:val="40"/>
                <w:szCs w:val="40"/>
              </w:rPr>
              <w:t>unedited</w:t>
            </w:r>
            <w:proofErr w:type="spellEnd"/>
            <w:r>
              <w:rPr>
                <w:b/>
                <w:sz w:val="40"/>
                <w:szCs w:val="40"/>
              </w:rPr>
              <w:t xml:space="preserve"> </w:t>
            </w:r>
            <w:proofErr w:type="spellStart"/>
            <w:r>
              <w:rPr>
                <w:b/>
                <w:sz w:val="40"/>
                <w:szCs w:val="40"/>
              </w:rPr>
              <w:t>version</w:t>
            </w:r>
            <w:proofErr w:type="spellEnd"/>
          </w:p>
        </w:tc>
        <w:tc>
          <w:tcPr>
            <w:tcW w:w="2835" w:type="dxa"/>
            <w:tcBorders>
              <w:top w:val="single" w:sz="4" w:space="0" w:color="auto"/>
              <w:left w:val="nil"/>
              <w:bottom w:val="single" w:sz="12" w:space="0" w:color="auto"/>
              <w:right w:val="nil"/>
            </w:tcBorders>
          </w:tcPr>
          <w:p w14:paraId="00165BD6" w14:textId="3F0C1D2E" w:rsidR="003107FA" w:rsidRDefault="006F6C30" w:rsidP="006F6C30">
            <w:pPr>
              <w:spacing w:before="240" w:line="240" w:lineRule="exact"/>
            </w:pPr>
            <w:proofErr w:type="spellStart"/>
            <w:r>
              <w:t>Distr</w:t>
            </w:r>
            <w:proofErr w:type="spellEnd"/>
            <w:r>
              <w:t>. general</w:t>
            </w:r>
            <w:r>
              <w:br/>
            </w:r>
            <w:r w:rsidR="00F367A1">
              <w:t>1</w:t>
            </w:r>
            <w:r w:rsidR="007944C3">
              <w:t xml:space="preserve"> </w:t>
            </w:r>
            <w:r w:rsidR="00AD5315">
              <w:t xml:space="preserve">de </w:t>
            </w:r>
            <w:r w:rsidR="00F367A1">
              <w:t>marzo</w:t>
            </w:r>
            <w:r w:rsidR="007944C3">
              <w:t xml:space="preserve"> </w:t>
            </w:r>
            <w:r w:rsidR="00AD5315">
              <w:t xml:space="preserve">de </w:t>
            </w:r>
            <w:r w:rsidR="007944C3">
              <w:t>2024</w:t>
            </w:r>
          </w:p>
          <w:p w14:paraId="74CDDF28" w14:textId="77777777" w:rsidR="006F6C30" w:rsidRDefault="006F6C30" w:rsidP="006F6C30">
            <w:pPr>
              <w:spacing w:line="240" w:lineRule="exact"/>
            </w:pPr>
          </w:p>
          <w:p w14:paraId="18F6E723" w14:textId="77777777" w:rsidR="006F6C30" w:rsidRPr="000328F5" w:rsidRDefault="006F6C30" w:rsidP="006F6C30">
            <w:pPr>
              <w:spacing w:line="240" w:lineRule="exact"/>
            </w:pPr>
            <w:r>
              <w:t>Original: español</w:t>
            </w:r>
          </w:p>
        </w:tc>
      </w:tr>
    </w:tbl>
    <w:p w14:paraId="7860FC55" w14:textId="207EF028" w:rsidR="006F6C30" w:rsidRDefault="006F6C30" w:rsidP="00451EC3">
      <w:r w:rsidRPr="00DD3224">
        <w:rPr>
          <w:b/>
          <w:sz w:val="24"/>
          <w:szCs w:val="24"/>
        </w:rPr>
        <w:t>Consejo de Derechos Humanos</w:t>
      </w:r>
    </w:p>
    <w:p w14:paraId="732C417A" w14:textId="74E37343" w:rsidR="006F6C30" w:rsidRDefault="006F6C30" w:rsidP="006F6C30">
      <w:pPr>
        <w:widowControl w:val="0"/>
        <w:suppressAutoHyphens w:val="0"/>
        <w:autoSpaceDE w:val="0"/>
        <w:autoSpaceDN w:val="0"/>
        <w:spacing w:before="11" w:line="240" w:lineRule="auto"/>
        <w:rPr>
          <w:b/>
          <w:bCs/>
        </w:rPr>
      </w:pPr>
      <w:r w:rsidRPr="006F6C30">
        <w:rPr>
          <w:b/>
          <w:bCs/>
        </w:rPr>
        <w:t>55° período de sesiones</w:t>
      </w:r>
    </w:p>
    <w:p w14:paraId="6BF02E98" w14:textId="4E962719" w:rsidR="006F6C30" w:rsidRDefault="006F6C30" w:rsidP="006F6C30">
      <w:pPr>
        <w:widowControl w:val="0"/>
        <w:suppressAutoHyphens w:val="0"/>
        <w:autoSpaceDE w:val="0"/>
        <w:autoSpaceDN w:val="0"/>
        <w:spacing w:before="11" w:line="240" w:lineRule="auto"/>
      </w:pPr>
      <w:r w:rsidRPr="006F6C30">
        <w:t>26 de febrero a 5 de abril de 2024</w:t>
      </w:r>
    </w:p>
    <w:p w14:paraId="709D5680" w14:textId="5FFE8216" w:rsidR="006F6C30" w:rsidRDefault="006F6C30" w:rsidP="006F6C30">
      <w:pPr>
        <w:widowControl w:val="0"/>
        <w:suppressAutoHyphens w:val="0"/>
        <w:autoSpaceDE w:val="0"/>
        <w:autoSpaceDN w:val="0"/>
        <w:spacing w:before="11" w:line="240" w:lineRule="auto"/>
      </w:pPr>
      <w:r>
        <w:t>Tema 2 de la agenda</w:t>
      </w:r>
    </w:p>
    <w:p w14:paraId="0DF99788" w14:textId="77777777" w:rsidR="00DD3224" w:rsidRPr="00DD3224" w:rsidRDefault="00DD3224" w:rsidP="00DD3224">
      <w:pPr>
        <w:widowControl w:val="0"/>
        <w:suppressAutoHyphens w:val="0"/>
        <w:autoSpaceDE w:val="0"/>
        <w:autoSpaceDN w:val="0"/>
        <w:spacing w:before="11" w:line="240" w:lineRule="auto"/>
        <w:rPr>
          <w:b/>
        </w:rPr>
      </w:pPr>
      <w:r w:rsidRPr="00DD3224">
        <w:rPr>
          <w:b/>
        </w:rPr>
        <w:t xml:space="preserve">Informe anual del Alto Comisionado de las Naciones Unidas </w:t>
      </w:r>
    </w:p>
    <w:p w14:paraId="3B370157" w14:textId="11F2A373" w:rsidR="00DD3224" w:rsidRPr="00DD3224" w:rsidRDefault="00DD3224" w:rsidP="00DD3224">
      <w:pPr>
        <w:widowControl w:val="0"/>
        <w:suppressAutoHyphens w:val="0"/>
        <w:autoSpaceDE w:val="0"/>
        <w:autoSpaceDN w:val="0"/>
        <w:spacing w:before="11" w:line="240" w:lineRule="auto"/>
        <w:rPr>
          <w:b/>
        </w:rPr>
      </w:pPr>
      <w:r w:rsidRPr="00DD3224">
        <w:rPr>
          <w:b/>
        </w:rPr>
        <w:t xml:space="preserve">para los Derechos Humanos e informes de la Oficina </w:t>
      </w:r>
    </w:p>
    <w:p w14:paraId="1A4A698D" w14:textId="483B44A4" w:rsidR="006F6C30" w:rsidRDefault="00DD3224" w:rsidP="00DD3224">
      <w:pPr>
        <w:widowControl w:val="0"/>
        <w:suppressAutoHyphens w:val="0"/>
        <w:autoSpaceDE w:val="0"/>
        <w:autoSpaceDN w:val="0"/>
        <w:spacing w:before="11" w:line="240" w:lineRule="auto"/>
        <w:rPr>
          <w:b/>
        </w:rPr>
      </w:pPr>
      <w:r w:rsidRPr="00DD3224">
        <w:rPr>
          <w:b/>
        </w:rPr>
        <w:t xml:space="preserve">del Alto Comisionado y del </w:t>
      </w:r>
      <w:proofErr w:type="gramStart"/>
      <w:r w:rsidRPr="00DD3224">
        <w:rPr>
          <w:b/>
        </w:rPr>
        <w:t>Secretario General</w:t>
      </w:r>
      <w:proofErr w:type="gramEnd"/>
    </w:p>
    <w:p w14:paraId="3DD0918F" w14:textId="0110336A" w:rsidR="00DD3224" w:rsidRDefault="00DD3224" w:rsidP="00DD3224">
      <w:pPr>
        <w:pStyle w:val="HChG"/>
        <w:rPr>
          <w:sz w:val="20"/>
        </w:rPr>
      </w:pPr>
      <w:r>
        <w:tab/>
      </w:r>
      <w:r>
        <w:tab/>
      </w:r>
      <w:r w:rsidRPr="0096655B">
        <w:t xml:space="preserve">Situación de los derechos humanos en </w:t>
      </w:r>
      <w:r w:rsidR="00F367A1">
        <w:t>Honduras</w:t>
      </w:r>
      <w:r w:rsidRPr="00277C75">
        <w:rPr>
          <w:rStyle w:val="FootnoteReference"/>
          <w:b w:val="0"/>
          <w:bCs/>
          <w:sz w:val="20"/>
          <w:vertAlign w:val="baseline"/>
        </w:rPr>
        <w:footnoteReference w:customMarkFollows="1" w:id="2"/>
        <w:t>*</w:t>
      </w:r>
      <w:r w:rsidRPr="00277C75">
        <w:rPr>
          <w:b w:val="0"/>
          <w:bCs/>
          <w:position w:val="6"/>
          <w:sz w:val="20"/>
        </w:rPr>
        <w:t>,</w:t>
      </w:r>
      <w:r w:rsidRPr="00277C75">
        <w:rPr>
          <w:rStyle w:val="FootnoteReference"/>
          <w:b w:val="0"/>
          <w:bCs/>
          <w:sz w:val="20"/>
          <w:vertAlign w:val="baseline"/>
        </w:rPr>
        <w:footnoteReference w:customMarkFollows="1" w:id="3"/>
        <w:t>**</w:t>
      </w:r>
    </w:p>
    <w:p w14:paraId="04229848" w14:textId="00AE997A" w:rsidR="00DD3224" w:rsidRPr="00AD5315" w:rsidRDefault="00DD3224" w:rsidP="00277C75">
      <w:pPr>
        <w:pStyle w:val="H1G"/>
      </w:pPr>
      <w:r>
        <w:tab/>
      </w:r>
      <w:r w:rsidRPr="00AD5315">
        <w:tab/>
        <w:t xml:space="preserve">Informe del Alto Comisionado de las Naciones Unidas para </w:t>
      </w:r>
      <w:r w:rsidR="00AD5315" w:rsidRPr="00AD5315">
        <w:t>los Derechos</w:t>
      </w:r>
      <w:r w:rsidRPr="00AD5315">
        <w:rPr>
          <w:spacing w:val="-1"/>
        </w:rPr>
        <w:t xml:space="preserve"> </w:t>
      </w:r>
      <w:r w:rsidRPr="00AD5315">
        <w:t>Humanos</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DD3224" w14:paraId="517C9197" w14:textId="77777777" w:rsidTr="00C6263E">
        <w:trPr>
          <w:jc w:val="center"/>
        </w:trPr>
        <w:tc>
          <w:tcPr>
            <w:tcW w:w="9637" w:type="dxa"/>
            <w:shd w:val="clear" w:color="auto" w:fill="auto"/>
          </w:tcPr>
          <w:p w14:paraId="6AA8316A" w14:textId="77777777" w:rsidR="00DD3224" w:rsidRPr="00C6263E" w:rsidRDefault="00DD3224" w:rsidP="00C6263E">
            <w:pPr>
              <w:spacing w:before="240" w:after="120"/>
              <w:ind w:left="255"/>
              <w:rPr>
                <w:i/>
                <w:sz w:val="24"/>
              </w:rPr>
            </w:pPr>
            <w:r w:rsidRPr="00C6263E">
              <w:rPr>
                <w:i/>
                <w:sz w:val="24"/>
              </w:rPr>
              <w:t>Resumen</w:t>
            </w:r>
          </w:p>
        </w:tc>
      </w:tr>
      <w:tr w:rsidR="00DD3224" w14:paraId="5CD37FE5" w14:textId="77777777" w:rsidTr="00C6263E">
        <w:trPr>
          <w:jc w:val="center"/>
        </w:trPr>
        <w:tc>
          <w:tcPr>
            <w:tcW w:w="9637" w:type="dxa"/>
            <w:shd w:val="clear" w:color="auto" w:fill="auto"/>
          </w:tcPr>
          <w:p w14:paraId="32EA2D2A" w14:textId="650C9499" w:rsidR="00DD3224" w:rsidRDefault="00F367A1" w:rsidP="00277C75">
            <w:pPr>
              <w:pStyle w:val="SingleTxtG"/>
              <w:ind w:firstLine="567"/>
            </w:pPr>
            <w:r w:rsidRPr="00F367A1">
              <w:t>En el presente informe del Alto Comisionado de las Naciones Unidas para los Derechos Humanos se describe la situación de derechos humanos del 1 de enero al 31 de diciembre de 2023. En el informe se destacan los principales avances y desafíos en la promoción y protección de los derechos humanos y se concluye con recomendaciones al Estado.</w:t>
            </w:r>
          </w:p>
        </w:tc>
      </w:tr>
      <w:tr w:rsidR="00DD3224" w14:paraId="443BF0E1" w14:textId="77777777" w:rsidTr="00C6263E">
        <w:trPr>
          <w:jc w:val="center"/>
        </w:trPr>
        <w:tc>
          <w:tcPr>
            <w:tcW w:w="9637" w:type="dxa"/>
            <w:shd w:val="clear" w:color="auto" w:fill="auto"/>
          </w:tcPr>
          <w:p w14:paraId="38DE53A7" w14:textId="77777777" w:rsidR="00DD3224" w:rsidRDefault="00DD3224" w:rsidP="00C6263E"/>
        </w:tc>
      </w:tr>
    </w:tbl>
    <w:p w14:paraId="7F261526" w14:textId="4E4AA354" w:rsidR="00DD3224" w:rsidRDefault="00052860" w:rsidP="00052860">
      <w:pPr>
        <w:pStyle w:val="HChG"/>
      </w:pPr>
      <w:r>
        <w:br w:type="page"/>
      </w:r>
      <w:r>
        <w:lastRenderedPageBreak/>
        <w:t>Anexo</w:t>
      </w:r>
    </w:p>
    <w:p w14:paraId="787D8648" w14:textId="7BD981D5" w:rsidR="00052860" w:rsidRDefault="00052860" w:rsidP="00052860">
      <w:pPr>
        <w:pStyle w:val="HChG"/>
      </w:pPr>
      <w:r>
        <w:tab/>
      </w:r>
      <w:r>
        <w:tab/>
        <w:t>Informe del Alto Comisionado de las Naciones Unidas para</w:t>
      </w:r>
      <w:r>
        <w:rPr>
          <w:spacing w:val="-67"/>
        </w:rPr>
        <w:t xml:space="preserve"> </w:t>
      </w:r>
      <w:r>
        <w:t>los Derechos Humanos sobre la situación de los derechos</w:t>
      </w:r>
      <w:r>
        <w:rPr>
          <w:spacing w:val="1"/>
        </w:rPr>
        <w:t xml:space="preserve"> </w:t>
      </w:r>
      <w:r>
        <w:t>humanos en</w:t>
      </w:r>
      <w:r>
        <w:rPr>
          <w:spacing w:val="-1"/>
        </w:rPr>
        <w:t xml:space="preserve"> </w:t>
      </w:r>
      <w:r w:rsidR="00826C25">
        <w:t>Honduras</w:t>
      </w:r>
    </w:p>
    <w:p w14:paraId="28A8F427" w14:textId="6FE7D594" w:rsidR="00052860" w:rsidRPr="00052860" w:rsidRDefault="00052860" w:rsidP="00801FD6">
      <w:pPr>
        <w:pStyle w:val="HChG"/>
        <w:suppressAutoHyphens w:val="0"/>
        <w:jc w:val="both"/>
      </w:pPr>
      <w:r>
        <w:tab/>
        <w:t>I.</w:t>
      </w:r>
      <w:r>
        <w:tab/>
      </w:r>
      <w:r w:rsidRPr="00052860">
        <w:t>Introducción</w:t>
      </w:r>
    </w:p>
    <w:p w14:paraId="78776C46" w14:textId="77777777" w:rsidR="00826C25" w:rsidRPr="00154C83" w:rsidRDefault="00826C25" w:rsidP="00826C25">
      <w:pPr>
        <w:pStyle w:val="SingleTxtG"/>
        <w:numPr>
          <w:ilvl w:val="1"/>
          <w:numId w:val="7"/>
        </w:numPr>
        <w:suppressAutoHyphens w:val="0"/>
        <w:spacing w:line="240" w:lineRule="auto"/>
        <w:ind w:left="1134" w:firstLine="0"/>
        <w:rPr>
          <w:lang w:val="es-HN"/>
        </w:rPr>
      </w:pPr>
      <w:r w:rsidRPr="00CD4B3B">
        <w:rPr>
          <w:lang w:val="es-HN"/>
        </w:rPr>
        <w:t>Este informe se presenta de conformidad con el artículo V (4) del acuerdo suscrito entre la Oficina del Alto Comisionado de las Naciones Unidas para los Derechos Humanos (OACNUDH) y el Gobierno de Honduras el 4 de mayo de 2015. El informe y sus análisis se basan en información recopilada por OACNUDH en el país e información proporcionada por autoridades estatales, sociedad civil y víctimas.</w:t>
      </w:r>
    </w:p>
    <w:p w14:paraId="1881C4CD" w14:textId="77777777" w:rsidR="00826C25" w:rsidRPr="00E61B7B" w:rsidRDefault="00826C25" w:rsidP="00F367A1">
      <w:pPr>
        <w:pStyle w:val="SingleTxtG"/>
        <w:numPr>
          <w:ilvl w:val="1"/>
          <w:numId w:val="7"/>
        </w:numPr>
        <w:suppressAutoHyphens w:val="0"/>
        <w:spacing w:line="240" w:lineRule="auto"/>
        <w:ind w:left="1134" w:firstLine="0"/>
        <w:rPr>
          <w:lang w:val="es-HN"/>
        </w:rPr>
      </w:pPr>
      <w:r>
        <w:rPr>
          <w:lang w:val="es-HN"/>
        </w:rPr>
        <w:t>OACNUDH</w:t>
      </w:r>
      <w:r w:rsidRPr="00E61B7B">
        <w:rPr>
          <w:lang w:val="es-HN"/>
        </w:rPr>
        <w:t xml:space="preserve"> continuó observando </w:t>
      </w:r>
      <w:r w:rsidRPr="00B47C04">
        <w:rPr>
          <w:i/>
          <w:iCs/>
          <w:lang w:val="es-HN"/>
        </w:rPr>
        <w:t>in situ</w:t>
      </w:r>
      <w:r w:rsidRPr="00E61B7B">
        <w:rPr>
          <w:lang w:val="es-HN"/>
        </w:rPr>
        <w:t xml:space="preserve"> la situación de derechos humanos en Honduras y brindando asistencia técnica para la promoción y protección de los derechos humanos. </w:t>
      </w:r>
      <w:r>
        <w:rPr>
          <w:lang w:val="es-HN"/>
        </w:rPr>
        <w:t>L</w:t>
      </w:r>
      <w:r w:rsidRPr="00E61B7B">
        <w:rPr>
          <w:lang w:val="es-HN"/>
        </w:rPr>
        <w:t>a Oficina</w:t>
      </w:r>
      <w:r>
        <w:rPr>
          <w:lang w:val="es-HN"/>
        </w:rPr>
        <w:t xml:space="preserve"> continuó las prioridades temáticas de años anteriores, </w:t>
      </w:r>
      <w:r w:rsidRPr="00E61B7B">
        <w:rPr>
          <w:lang w:val="es-HN"/>
        </w:rPr>
        <w:t>incluye</w:t>
      </w:r>
      <w:r>
        <w:rPr>
          <w:lang w:val="es-HN"/>
        </w:rPr>
        <w:t>ndo</w:t>
      </w:r>
      <w:r w:rsidRPr="00E61B7B">
        <w:rPr>
          <w:lang w:val="es-HN"/>
        </w:rPr>
        <w:t xml:space="preserve"> el fortalecimiento del </w:t>
      </w:r>
      <w:r>
        <w:rPr>
          <w:lang w:val="es-HN"/>
        </w:rPr>
        <w:t>e</w:t>
      </w:r>
      <w:r w:rsidRPr="00E61B7B">
        <w:rPr>
          <w:lang w:val="es-HN"/>
        </w:rPr>
        <w:t xml:space="preserve">stado de derecho, particularmente el acceso a la justicia, la promoción del espacio cívico y participación ciudadana, la promoción de los derechos económicos, sociales y culturales y </w:t>
      </w:r>
      <w:r>
        <w:rPr>
          <w:lang w:val="es-HN"/>
        </w:rPr>
        <w:t xml:space="preserve">el derecho a </w:t>
      </w:r>
      <w:r w:rsidRPr="00166725">
        <w:rPr>
          <w:color w:val="000000" w:themeColor="text1"/>
        </w:rPr>
        <w:t>un medio ambiente limpio, saludable y sostenible</w:t>
      </w:r>
      <w:r w:rsidRPr="00E61B7B">
        <w:rPr>
          <w:lang w:val="es-HN"/>
        </w:rPr>
        <w:t>, la promoción de la igualdad y la no discriminación de personas en situación de vulnerabilidad, así como la prevención y alerta temprana de conflictos sociales y de violaciones de derechos humanos.</w:t>
      </w:r>
    </w:p>
    <w:p w14:paraId="45679A41" w14:textId="77777777" w:rsidR="00826C25" w:rsidRPr="00E61B7B" w:rsidRDefault="00826C25" w:rsidP="00F367A1">
      <w:pPr>
        <w:pStyle w:val="SingleTxtG"/>
        <w:numPr>
          <w:ilvl w:val="1"/>
          <w:numId w:val="7"/>
        </w:numPr>
        <w:suppressAutoHyphens w:val="0"/>
        <w:spacing w:line="240" w:lineRule="auto"/>
        <w:ind w:left="1134" w:firstLine="0"/>
        <w:rPr>
          <w:lang w:val="es-HN"/>
        </w:rPr>
      </w:pPr>
      <w:r w:rsidRPr="00E61B7B">
        <w:rPr>
          <w:lang w:val="es-HN"/>
        </w:rPr>
        <w:t>OACNUDH realizó 214 misiones a terreno para verificar la situación de derechos humanos, incluyendo 25 visitas a centros penitenciarios. Desarrolló 184 procesos de asistencia técnica y fortalecimiento institucional dirigidos a instituciones estatales, realizó 53 talleres y capacitaciones y monitoreó 44 procesos judiciales. También brindó apoyo técnico a más de 140 organizaciones de la sociedad civil e implementó 13 campañas de comunicación para promover los derechos humanos.</w:t>
      </w:r>
    </w:p>
    <w:p w14:paraId="329588C7" w14:textId="77777777" w:rsidR="00826C25" w:rsidRPr="00E61B7B" w:rsidRDefault="00826C25" w:rsidP="00826C25">
      <w:pPr>
        <w:pStyle w:val="HChG"/>
      </w:pPr>
      <w:r>
        <w:rPr>
          <w:lang w:val="es-HN"/>
        </w:rPr>
        <w:tab/>
        <w:t>II.</w:t>
      </w:r>
      <w:r>
        <w:rPr>
          <w:lang w:val="es-HN"/>
        </w:rPr>
        <w:tab/>
      </w:r>
      <w:r w:rsidRPr="00E61B7B">
        <w:rPr>
          <w:lang w:val="es-HN"/>
        </w:rPr>
        <w:t>Contexto</w:t>
      </w:r>
    </w:p>
    <w:p w14:paraId="2DAD19FA" w14:textId="6AB06778" w:rsidR="00826C25" w:rsidRDefault="00826C25" w:rsidP="00F367A1">
      <w:pPr>
        <w:pStyle w:val="SingleTxtG"/>
        <w:numPr>
          <w:ilvl w:val="1"/>
          <w:numId w:val="7"/>
        </w:numPr>
        <w:suppressAutoHyphens w:val="0"/>
        <w:spacing w:line="240" w:lineRule="auto"/>
        <w:ind w:left="1134" w:firstLine="0"/>
        <w:rPr>
          <w:lang w:val="es-HN"/>
        </w:rPr>
      </w:pPr>
      <w:r>
        <w:rPr>
          <w:lang w:val="es-HN"/>
        </w:rPr>
        <w:t>OACNUDH</w:t>
      </w:r>
      <w:r w:rsidRPr="00E61B7B">
        <w:rPr>
          <w:lang w:val="es-HN"/>
        </w:rPr>
        <w:t xml:space="preserve"> reconoce </w:t>
      </w:r>
      <w:r w:rsidR="00C61CE9">
        <w:rPr>
          <w:lang w:val="es-HN"/>
        </w:rPr>
        <w:t>los esfuerzos del Estado para avanzar en la promoción y protección de los derechos humanos, en particular para reducir los niveles de desigualdad. También reconoce</w:t>
      </w:r>
      <w:r w:rsidR="00C61CE9" w:rsidRPr="00E61B7B">
        <w:rPr>
          <w:lang w:val="es-HN"/>
        </w:rPr>
        <w:t xml:space="preserve"> </w:t>
      </w:r>
      <w:r w:rsidRPr="00E61B7B">
        <w:rPr>
          <w:lang w:val="es-HN"/>
        </w:rPr>
        <w:t>la apertura y voluntad del Estado de Honduras expresado</w:t>
      </w:r>
      <w:r>
        <w:rPr>
          <w:lang w:val="es-HN"/>
        </w:rPr>
        <w:t>s</w:t>
      </w:r>
      <w:r w:rsidRPr="00E61B7B">
        <w:rPr>
          <w:lang w:val="es-HN"/>
        </w:rPr>
        <w:t xml:space="preserve"> en las diferentes solicitudes de asistencia técnica formuladas a la Oficina para apoyar procesos de reformas estructurales en materia de derechos humanos, </w:t>
      </w:r>
      <w:r>
        <w:rPr>
          <w:lang w:val="es-HN"/>
        </w:rPr>
        <w:t>así como</w:t>
      </w:r>
      <w:r w:rsidRPr="00E61B7B">
        <w:rPr>
          <w:lang w:val="es-HN"/>
        </w:rPr>
        <w:t xml:space="preserve"> la iniciativa que llevó a la </w:t>
      </w:r>
      <w:r>
        <w:rPr>
          <w:lang w:val="es-HN"/>
        </w:rPr>
        <w:t>adopción</w:t>
      </w:r>
      <w:r w:rsidRPr="00E61B7B">
        <w:rPr>
          <w:lang w:val="es-HN"/>
        </w:rPr>
        <w:t xml:space="preserve"> de la Resolución 54/30 por el Consejo de Derechos Humanos.</w:t>
      </w:r>
      <w:r>
        <w:rPr>
          <w:lang w:val="es-HN"/>
        </w:rPr>
        <w:t xml:space="preserve"> </w:t>
      </w:r>
    </w:p>
    <w:p w14:paraId="4368B90A" w14:textId="77777777" w:rsidR="00826C25" w:rsidRPr="006B0CBF" w:rsidRDefault="00826C25" w:rsidP="00F367A1">
      <w:pPr>
        <w:pStyle w:val="SingleTxtG"/>
        <w:numPr>
          <w:ilvl w:val="1"/>
          <w:numId w:val="7"/>
        </w:numPr>
        <w:suppressAutoHyphens w:val="0"/>
        <w:spacing w:line="240" w:lineRule="auto"/>
        <w:ind w:left="1134" w:firstLine="0"/>
        <w:rPr>
          <w:lang w:val="es-HN"/>
        </w:rPr>
      </w:pPr>
      <w:r w:rsidRPr="006B0CBF">
        <w:rPr>
          <w:lang w:val="es-HN"/>
        </w:rPr>
        <w:t xml:space="preserve">La situación que se describe en el presente informe se da en un contexto de problemas estructurales que </w:t>
      </w:r>
      <w:r>
        <w:rPr>
          <w:lang w:val="es-HN"/>
        </w:rPr>
        <w:t xml:space="preserve">subyacen a las violaciones de los derechos humanos y </w:t>
      </w:r>
      <w:r w:rsidRPr="006B0CBF">
        <w:rPr>
          <w:lang w:val="es-HN"/>
        </w:rPr>
        <w:t>ameritan medidas a corto, mediano y largo plazo para resolverse. Según cifras oficiales, los niveles de pobreza se redujeron de 73.6% en 2021 a 64.1% en 2023</w:t>
      </w:r>
      <w:r>
        <w:rPr>
          <w:lang w:val="es-HN"/>
        </w:rPr>
        <w:t xml:space="preserve">, </w:t>
      </w:r>
      <w:r w:rsidRPr="006B0CBF">
        <w:rPr>
          <w:lang w:val="es-HN"/>
        </w:rPr>
        <w:t>la pobreza extrema de un 53.7% en 2021 a 41.5% en 2023</w:t>
      </w:r>
      <w:r>
        <w:rPr>
          <w:rStyle w:val="FootnoteReference"/>
          <w:lang w:val="es-HN"/>
        </w:rPr>
        <w:footnoteReference w:id="4"/>
      </w:r>
      <w:r w:rsidRPr="006B0CBF">
        <w:rPr>
          <w:lang w:val="es-HN"/>
        </w:rPr>
        <w:t>, mientras que la desigualdad también se redujo considerablemente pasando el coeficiente de Gini de 0.61 en 2021 a 0.51 en 2023</w:t>
      </w:r>
      <w:r>
        <w:rPr>
          <w:rStyle w:val="FootnoteReference"/>
          <w:lang w:val="es-HN"/>
        </w:rPr>
        <w:footnoteReference w:id="5"/>
      </w:r>
      <w:r w:rsidRPr="006B0CBF">
        <w:rPr>
          <w:lang w:val="es-HN"/>
        </w:rPr>
        <w:t>. Sin embargo, el goce de derechos socioeconómicos continúa siendo afectado por la desigualdad, pobreza y la falta de acceso equitativo a la tierra y a los recursos naturales</w:t>
      </w:r>
      <w:r>
        <w:rPr>
          <w:lang w:val="es-HN"/>
        </w:rPr>
        <w:t>,</w:t>
      </w:r>
      <w:r w:rsidRPr="006B0CBF">
        <w:rPr>
          <w:lang w:val="es-HN"/>
        </w:rPr>
        <w:t xml:space="preserve"> particularmente para </w:t>
      </w:r>
      <w:r>
        <w:rPr>
          <w:lang w:val="es-HN"/>
        </w:rPr>
        <w:t xml:space="preserve">los </w:t>
      </w:r>
      <w:r w:rsidRPr="006B0CBF">
        <w:rPr>
          <w:lang w:val="es-HN"/>
        </w:rPr>
        <w:t xml:space="preserve">Pueblos Indígenas, </w:t>
      </w:r>
      <w:proofErr w:type="spellStart"/>
      <w:r w:rsidRPr="006B0CBF">
        <w:rPr>
          <w:lang w:val="es-HN"/>
        </w:rPr>
        <w:t>afrohondureños</w:t>
      </w:r>
      <w:proofErr w:type="spellEnd"/>
      <w:r w:rsidRPr="006B0CBF">
        <w:rPr>
          <w:lang w:val="es-HN"/>
        </w:rPr>
        <w:t xml:space="preserve"> y campesinos, lo que impide avances significativos en la consolidación de un modelo de desarrollo equitativo y sostenible.</w:t>
      </w:r>
    </w:p>
    <w:p w14:paraId="238FA015" w14:textId="77777777" w:rsidR="00826C25" w:rsidRPr="008673AC" w:rsidRDefault="00826C25" w:rsidP="00F367A1">
      <w:pPr>
        <w:pStyle w:val="SingleTxtG"/>
        <w:numPr>
          <w:ilvl w:val="1"/>
          <w:numId w:val="7"/>
        </w:numPr>
        <w:suppressAutoHyphens w:val="0"/>
        <w:spacing w:line="240" w:lineRule="auto"/>
        <w:ind w:left="1134" w:firstLine="0"/>
        <w:rPr>
          <w:lang w:val="es-HN"/>
        </w:rPr>
      </w:pPr>
      <w:r w:rsidRPr="0010044A">
        <w:t xml:space="preserve">La Oficina también observó que algunas empresas </w:t>
      </w:r>
      <w:r>
        <w:t xml:space="preserve">han incumplido con su obligación </w:t>
      </w:r>
      <w:r w:rsidRPr="0010044A">
        <w:t>de respetar los derechos humanos, particularmente en el marco del desarrollo y ejecución de proyectos extractivos, generando impactos negativos en las personas y el medio ambiente</w:t>
      </w:r>
      <w:r>
        <w:rPr>
          <w:rStyle w:val="FootnoteReference"/>
        </w:rPr>
        <w:footnoteReference w:id="6"/>
      </w:r>
      <w:r w:rsidRPr="0010044A">
        <w:t>.</w:t>
      </w:r>
    </w:p>
    <w:p w14:paraId="57FD0B3C" w14:textId="77777777" w:rsidR="00826C25" w:rsidRPr="00E61B7B" w:rsidRDefault="00826C25" w:rsidP="00F367A1">
      <w:pPr>
        <w:pStyle w:val="SingleTxtG"/>
        <w:numPr>
          <w:ilvl w:val="1"/>
          <w:numId w:val="7"/>
        </w:numPr>
        <w:suppressAutoHyphens w:val="0"/>
        <w:spacing w:line="240" w:lineRule="auto"/>
        <w:ind w:left="1134" w:firstLine="0"/>
        <w:rPr>
          <w:lang w:val="es-HN"/>
        </w:rPr>
      </w:pPr>
      <w:r>
        <w:rPr>
          <w:lang w:val="es-HN"/>
        </w:rPr>
        <w:lastRenderedPageBreak/>
        <w:t xml:space="preserve">La falta de consenso en el Congreso Nacional impidió la adopción de leyes y retrasó la elección de ciertas autoridades, principalmente el </w:t>
      </w:r>
      <w:proofErr w:type="gramStart"/>
      <w:r>
        <w:rPr>
          <w:lang w:val="es-HN"/>
        </w:rPr>
        <w:t>Fiscal General</w:t>
      </w:r>
      <w:proofErr w:type="gramEnd"/>
      <w:r>
        <w:rPr>
          <w:lang w:val="es-HN"/>
        </w:rPr>
        <w:t xml:space="preserve"> y Adjunto.</w:t>
      </w:r>
    </w:p>
    <w:p w14:paraId="21A4F330" w14:textId="25754478" w:rsidR="00826C25" w:rsidRDefault="00826C25" w:rsidP="00F367A1">
      <w:pPr>
        <w:pStyle w:val="SingleTxtG"/>
        <w:numPr>
          <w:ilvl w:val="1"/>
          <w:numId w:val="7"/>
        </w:numPr>
        <w:suppressAutoHyphens w:val="0"/>
        <w:spacing w:line="240" w:lineRule="auto"/>
        <w:ind w:left="1134" w:firstLine="0"/>
        <w:rPr>
          <w:lang w:val="es-HN"/>
        </w:rPr>
      </w:pPr>
      <w:r w:rsidRPr="00E61B7B">
        <w:rPr>
          <w:lang w:val="es-HN"/>
        </w:rPr>
        <w:t xml:space="preserve">La violencia e inseguridad continúan afectando al país. Según fuentes oficiales, la tasa de homicidios registró una disminución de aproximadamente 17% con respecto al año anterior, pasando de 38.2 en 2022 a 31.14 por 100,000 habitantes en 2023, principalmente por arma de fuego (74.8% de los casos). Sin embargo, se </w:t>
      </w:r>
      <w:r w:rsidR="001B356D" w:rsidRPr="00E61B7B">
        <w:rPr>
          <w:lang w:val="es-HN"/>
        </w:rPr>
        <w:t>regist</w:t>
      </w:r>
      <w:r w:rsidR="001B356D">
        <w:rPr>
          <w:lang w:val="es-HN"/>
        </w:rPr>
        <w:t>raron</w:t>
      </w:r>
      <w:r w:rsidR="001B356D" w:rsidRPr="00E61B7B">
        <w:rPr>
          <w:lang w:val="es-HN"/>
        </w:rPr>
        <w:t xml:space="preserve"> </w:t>
      </w:r>
      <w:r w:rsidRPr="00E61B7B">
        <w:rPr>
          <w:lang w:val="es-HN"/>
        </w:rPr>
        <w:t>380 muertes violentas de mujeres, representando un incremento de 24.2% con relación al 2022</w:t>
      </w:r>
      <w:r w:rsidRPr="0010044A">
        <w:rPr>
          <w:vertAlign w:val="superscript"/>
        </w:rPr>
        <w:footnoteReference w:id="7"/>
      </w:r>
      <w:r w:rsidRPr="00E61B7B">
        <w:rPr>
          <w:lang w:val="es-HN"/>
        </w:rPr>
        <w:t>.</w:t>
      </w:r>
    </w:p>
    <w:p w14:paraId="50122B9D" w14:textId="248B7281" w:rsidR="00826C25" w:rsidRPr="00E61B7B" w:rsidRDefault="00826C25" w:rsidP="00F367A1">
      <w:pPr>
        <w:pStyle w:val="SingleTxtG"/>
        <w:numPr>
          <w:ilvl w:val="1"/>
          <w:numId w:val="7"/>
        </w:numPr>
        <w:suppressAutoHyphens w:val="0"/>
        <w:spacing w:line="240" w:lineRule="auto"/>
        <w:ind w:left="1134" w:firstLine="0"/>
        <w:rPr>
          <w:lang w:val="es-HN"/>
        </w:rPr>
      </w:pPr>
      <w:r>
        <w:rPr>
          <w:lang w:val="es-HN"/>
        </w:rPr>
        <w:t>El</w:t>
      </w:r>
      <w:r w:rsidRPr="00E61B7B">
        <w:rPr>
          <w:lang w:val="es-HN"/>
        </w:rPr>
        <w:t xml:space="preserve"> estado de excepción</w:t>
      </w:r>
      <w:r>
        <w:rPr>
          <w:lang w:val="es-HN"/>
        </w:rPr>
        <w:t>,</w:t>
      </w:r>
      <w:r w:rsidRPr="00E61B7B">
        <w:rPr>
          <w:lang w:val="es-HN"/>
        </w:rPr>
        <w:t xml:space="preserve"> </w:t>
      </w:r>
      <w:r>
        <w:rPr>
          <w:lang w:val="es-HN"/>
        </w:rPr>
        <w:t xml:space="preserve">declarado inicialmente el 6 de diciembre de 2022, </w:t>
      </w:r>
      <w:r w:rsidRPr="00E61B7B">
        <w:rPr>
          <w:lang w:val="es-HN"/>
        </w:rPr>
        <w:t>se renovó en ocho ocasiones</w:t>
      </w:r>
      <w:r>
        <w:rPr>
          <w:lang w:val="es-HN"/>
        </w:rPr>
        <w:t xml:space="preserve"> </w:t>
      </w:r>
      <w:r w:rsidR="001B356D">
        <w:rPr>
          <w:lang w:val="es-HN"/>
        </w:rPr>
        <w:t>durante</w:t>
      </w:r>
      <w:r>
        <w:rPr>
          <w:lang w:val="es-HN"/>
        </w:rPr>
        <w:t xml:space="preserve"> 2023</w:t>
      </w:r>
      <w:r w:rsidRPr="00E61B7B">
        <w:rPr>
          <w:rStyle w:val="FootnoteReference"/>
          <w:rFonts w:eastAsia="Calibri"/>
          <w:lang w:val="es-HN"/>
        </w:rPr>
        <w:footnoteReference w:id="8"/>
      </w:r>
      <w:r w:rsidRPr="00E61B7B">
        <w:rPr>
          <w:lang w:val="es-HN"/>
        </w:rPr>
        <w:t xml:space="preserve"> y se extendió a los 18 departamentos del país. Éste suspende seis </w:t>
      </w:r>
      <w:r>
        <w:rPr>
          <w:lang w:val="es-HN"/>
        </w:rPr>
        <w:t>derechos</w:t>
      </w:r>
      <w:r w:rsidRPr="00E61B7B">
        <w:rPr>
          <w:rStyle w:val="FootnoteReference"/>
          <w:rFonts w:eastAsia="Calibri"/>
          <w:lang w:val="es-HN"/>
        </w:rPr>
        <w:footnoteReference w:id="9"/>
      </w:r>
      <w:r w:rsidRPr="00E61B7B">
        <w:rPr>
          <w:lang w:val="es-HN"/>
        </w:rPr>
        <w:t>, tales como los derechos de libertad personal, libertad de asociación, reunión y circulación</w:t>
      </w:r>
      <w:r>
        <w:rPr>
          <w:lang w:val="es-HN"/>
        </w:rPr>
        <w:t>. Por otra parte,</w:t>
      </w:r>
      <w:r w:rsidRPr="00E61B7B">
        <w:rPr>
          <w:lang w:val="es-HN"/>
        </w:rPr>
        <w:t xml:space="preserve"> otorga a las fuerzas de seguridad y de defensa la facultad de realizar detenciones y allanamientos sin orden judicial.</w:t>
      </w:r>
    </w:p>
    <w:p w14:paraId="64200232" w14:textId="77777777" w:rsidR="00826C25" w:rsidRPr="00E61B7B" w:rsidRDefault="00826C25" w:rsidP="00F367A1">
      <w:pPr>
        <w:pStyle w:val="SingleTxtG"/>
        <w:numPr>
          <w:ilvl w:val="1"/>
          <w:numId w:val="7"/>
        </w:numPr>
        <w:suppressAutoHyphens w:val="0"/>
        <w:spacing w:line="240" w:lineRule="auto"/>
        <w:ind w:left="1134" w:firstLine="0"/>
        <w:rPr>
          <w:lang w:val="es-HN"/>
        </w:rPr>
      </w:pPr>
      <w:r>
        <w:rPr>
          <w:lang w:val="es-HN"/>
        </w:rPr>
        <w:t>OACNUDH</w:t>
      </w:r>
      <w:r w:rsidRPr="00E61B7B">
        <w:rPr>
          <w:lang w:val="es-HN"/>
        </w:rPr>
        <w:t xml:space="preserve"> registró un aumento considerable en los ataques contra personas defensoras de derechos humanos, principalmente contra quienes defienden la tierra, el territorio y el medio ambiente, y periodistas, sin que se haya brindado una repuesta efectiva del Estado frente a la situación de riesgo que est</w:t>
      </w:r>
      <w:r>
        <w:rPr>
          <w:lang w:val="es-HN"/>
        </w:rPr>
        <w:t>as personas</w:t>
      </w:r>
      <w:r w:rsidRPr="00E61B7B">
        <w:rPr>
          <w:lang w:val="es-HN"/>
        </w:rPr>
        <w:t xml:space="preserve"> enfrentan</w:t>
      </w:r>
      <w:r>
        <w:rPr>
          <w:rStyle w:val="FootnoteReference"/>
          <w:lang w:val="es-HN"/>
        </w:rPr>
        <w:footnoteReference w:id="10"/>
      </w:r>
      <w:r w:rsidRPr="00E61B7B">
        <w:rPr>
          <w:lang w:val="es-HN"/>
        </w:rPr>
        <w:t xml:space="preserve">. </w:t>
      </w:r>
    </w:p>
    <w:p w14:paraId="3B01220A" w14:textId="77777777" w:rsidR="00826C25" w:rsidRPr="00E61B7B" w:rsidRDefault="00826C25" w:rsidP="00F367A1">
      <w:pPr>
        <w:pStyle w:val="SingleTxtG"/>
        <w:numPr>
          <w:ilvl w:val="1"/>
          <w:numId w:val="7"/>
        </w:numPr>
        <w:suppressAutoHyphens w:val="0"/>
        <w:spacing w:line="240" w:lineRule="auto"/>
        <w:ind w:left="1134" w:firstLine="0"/>
        <w:rPr>
          <w:lang w:val="es-HN"/>
        </w:rPr>
      </w:pPr>
      <w:r w:rsidRPr="00E61B7B">
        <w:rPr>
          <w:lang w:val="es-HN"/>
        </w:rPr>
        <w:t xml:space="preserve"> </w:t>
      </w:r>
      <w:r>
        <w:rPr>
          <w:lang w:val="es-HN"/>
        </w:rPr>
        <w:t>M</w:t>
      </w:r>
      <w:r w:rsidRPr="00E61B7B">
        <w:rPr>
          <w:lang w:val="es-HN"/>
        </w:rPr>
        <w:t xml:space="preserve">ás de medio millón de personas </w:t>
      </w:r>
      <w:r>
        <w:rPr>
          <w:lang w:val="es-HN"/>
        </w:rPr>
        <w:t xml:space="preserve">en situación de movilidad </w:t>
      </w:r>
      <w:r w:rsidRPr="00E61B7B">
        <w:rPr>
          <w:lang w:val="es-HN"/>
        </w:rPr>
        <w:t xml:space="preserve">transitaron por Honduras, siendo 2023 el año con el mayor número de entradas </w:t>
      </w:r>
      <w:r>
        <w:rPr>
          <w:lang w:val="es-HN"/>
        </w:rPr>
        <w:t>de personas migrantes</w:t>
      </w:r>
      <w:r w:rsidRPr="00E61B7B">
        <w:rPr>
          <w:lang w:val="es-HN"/>
        </w:rPr>
        <w:t xml:space="preserve"> hasta la fecha. Esta situación ha desbordado la capacidad de respuesta del Estado y de las organizaciones humanitarias.</w:t>
      </w:r>
    </w:p>
    <w:p w14:paraId="3583A65C" w14:textId="77777777" w:rsidR="00826C25" w:rsidRPr="00E61B7B" w:rsidRDefault="00826C25" w:rsidP="00826C25">
      <w:pPr>
        <w:pStyle w:val="HChG"/>
        <w:rPr>
          <w:rFonts w:eastAsia="Calibri"/>
          <w:lang w:val="es-HN"/>
        </w:rPr>
      </w:pPr>
      <w:r>
        <w:rPr>
          <w:rFonts w:eastAsia="Calibri"/>
          <w:lang w:val="es-HN"/>
        </w:rPr>
        <w:tab/>
        <w:t>III.</w:t>
      </w:r>
      <w:r>
        <w:rPr>
          <w:rFonts w:eastAsia="Calibri"/>
          <w:lang w:val="es-HN"/>
        </w:rPr>
        <w:tab/>
      </w:r>
      <w:r w:rsidRPr="00E61B7B">
        <w:rPr>
          <w:rFonts w:eastAsia="Calibri"/>
          <w:lang w:val="es-HN"/>
        </w:rPr>
        <w:t xml:space="preserve">Estado de </w:t>
      </w:r>
      <w:r>
        <w:t>d</w:t>
      </w:r>
      <w:r w:rsidRPr="00E61B7B">
        <w:t>erecho</w:t>
      </w:r>
      <w:r w:rsidRPr="00E61B7B">
        <w:rPr>
          <w:rFonts w:eastAsia="Calibri"/>
          <w:lang w:val="es-HN"/>
        </w:rPr>
        <w:t xml:space="preserve"> y </w:t>
      </w:r>
      <w:r>
        <w:rPr>
          <w:rFonts w:eastAsia="Calibri"/>
          <w:lang w:val="es-HN"/>
        </w:rPr>
        <w:t>r</w:t>
      </w:r>
      <w:r w:rsidRPr="00E61B7B">
        <w:rPr>
          <w:rFonts w:eastAsia="Calibri"/>
          <w:lang w:val="es-HN"/>
        </w:rPr>
        <w:t xml:space="preserve">endición de </w:t>
      </w:r>
      <w:r>
        <w:rPr>
          <w:rFonts w:eastAsia="Calibri"/>
          <w:lang w:val="es-HN"/>
        </w:rPr>
        <w:t>c</w:t>
      </w:r>
      <w:r w:rsidRPr="00E61B7B">
        <w:rPr>
          <w:rFonts w:eastAsia="Calibri"/>
          <w:lang w:val="es-HN"/>
        </w:rPr>
        <w:t xml:space="preserve">uentas </w:t>
      </w:r>
    </w:p>
    <w:p w14:paraId="1691F144" w14:textId="77777777" w:rsidR="00826C25" w:rsidRPr="00E61B7B" w:rsidRDefault="00826C25" w:rsidP="00826C25">
      <w:pPr>
        <w:pStyle w:val="H1G"/>
        <w:rPr>
          <w:rFonts w:eastAsia="Calibri"/>
          <w:lang w:val="es-HN"/>
        </w:rPr>
      </w:pPr>
      <w:r>
        <w:rPr>
          <w:rFonts w:eastAsia="Calibri"/>
          <w:lang w:val="es-HN"/>
        </w:rPr>
        <w:tab/>
        <w:t>A.</w:t>
      </w:r>
      <w:r>
        <w:rPr>
          <w:rFonts w:eastAsia="Calibri"/>
          <w:lang w:val="es-HN"/>
        </w:rPr>
        <w:tab/>
      </w:r>
      <w:r w:rsidRPr="00E61B7B">
        <w:rPr>
          <w:rFonts w:eastAsia="Calibri"/>
          <w:lang w:val="es-HN"/>
        </w:rPr>
        <w:t>I</w:t>
      </w:r>
      <w:r>
        <w:rPr>
          <w:rFonts w:eastAsia="Calibri"/>
          <w:lang w:val="es-HN"/>
        </w:rPr>
        <w:t>nstituciones</w:t>
      </w:r>
      <w:r w:rsidRPr="00E61B7B">
        <w:rPr>
          <w:rFonts w:eastAsia="Calibri"/>
          <w:lang w:val="es-HN"/>
        </w:rPr>
        <w:t xml:space="preserve"> judicial</w:t>
      </w:r>
      <w:r>
        <w:rPr>
          <w:rFonts w:eastAsia="Calibri"/>
          <w:lang w:val="es-HN"/>
        </w:rPr>
        <w:t>es</w:t>
      </w:r>
    </w:p>
    <w:p w14:paraId="77E16902" w14:textId="77777777" w:rsidR="00826C25" w:rsidRDefault="00826C25" w:rsidP="00F367A1">
      <w:pPr>
        <w:pStyle w:val="SingleTxtG"/>
        <w:numPr>
          <w:ilvl w:val="1"/>
          <w:numId w:val="7"/>
        </w:numPr>
        <w:suppressAutoHyphens w:val="0"/>
        <w:spacing w:line="240" w:lineRule="auto"/>
        <w:ind w:left="1134" w:firstLine="0"/>
        <w:rPr>
          <w:lang w:val="es-HN"/>
        </w:rPr>
      </w:pPr>
      <w:r w:rsidRPr="006B0CBF">
        <w:rPr>
          <w:lang w:val="es-HN"/>
        </w:rPr>
        <w:t xml:space="preserve">El Congreso Nacional eligió en febrero a 15 nuevos magistrados y magistradas de la Corte Suprema de Justicia, incluyendo ocho mujeres, entre ellas la </w:t>
      </w:r>
      <w:proofErr w:type="gramStart"/>
      <w:r w:rsidRPr="006B0CBF">
        <w:rPr>
          <w:lang w:val="es-HN"/>
        </w:rPr>
        <w:t>Presidenta</w:t>
      </w:r>
      <w:proofErr w:type="gramEnd"/>
      <w:r w:rsidRPr="006B0CBF">
        <w:rPr>
          <w:lang w:val="es-HN"/>
        </w:rPr>
        <w:t xml:space="preserve"> y un magistrado garífuna, respetando el principio de equidad de género y de pluralidad</w:t>
      </w:r>
      <w:r w:rsidRPr="008F5A86">
        <w:rPr>
          <w:vertAlign w:val="superscript"/>
        </w:rPr>
        <w:footnoteReference w:id="11"/>
      </w:r>
      <w:r>
        <w:rPr>
          <w:lang w:val="es-HN"/>
        </w:rPr>
        <w:t>.</w:t>
      </w:r>
      <w:r w:rsidRPr="006B0CBF">
        <w:rPr>
          <w:lang w:val="es-HN"/>
        </w:rPr>
        <w:t xml:space="preserve"> </w:t>
      </w:r>
      <w:r>
        <w:rPr>
          <w:lang w:val="es-HN"/>
        </w:rPr>
        <w:t>Queda pendiente l</w:t>
      </w:r>
      <w:r w:rsidRPr="006B0CBF">
        <w:rPr>
          <w:lang w:val="es-HN"/>
        </w:rPr>
        <w:t xml:space="preserve">a aprobación de un proyecto de Ley de Consejo de la Judicatura y de Carrera Judicial </w:t>
      </w:r>
      <w:r>
        <w:rPr>
          <w:lang w:val="es-HN"/>
        </w:rPr>
        <w:t xml:space="preserve">que </w:t>
      </w:r>
      <w:r w:rsidRPr="006B0CBF">
        <w:rPr>
          <w:lang w:val="es-HN"/>
        </w:rPr>
        <w:t>establecería la separación de las funciones administrativas y judiciales.</w:t>
      </w:r>
    </w:p>
    <w:p w14:paraId="1D86717B" w14:textId="77777777" w:rsidR="00826C25" w:rsidRPr="006B0CBF" w:rsidRDefault="00826C25" w:rsidP="00F367A1">
      <w:pPr>
        <w:pStyle w:val="SingleTxtG"/>
        <w:numPr>
          <w:ilvl w:val="1"/>
          <w:numId w:val="7"/>
        </w:numPr>
        <w:suppressAutoHyphens w:val="0"/>
        <w:spacing w:line="240" w:lineRule="auto"/>
        <w:ind w:left="1134" w:firstLine="0"/>
        <w:rPr>
          <w:lang w:val="es-HN"/>
        </w:rPr>
      </w:pPr>
      <w:r w:rsidRPr="006B0CBF">
        <w:rPr>
          <w:lang w:val="es-HN"/>
        </w:rPr>
        <w:t xml:space="preserve">Ante la falta de consenso en el Congreso Nacional para nombrar al </w:t>
      </w:r>
      <w:proofErr w:type="gramStart"/>
      <w:r w:rsidRPr="006B0CBF">
        <w:rPr>
          <w:lang w:val="es-HN"/>
        </w:rPr>
        <w:t>Fiscal General</w:t>
      </w:r>
      <w:proofErr w:type="gramEnd"/>
      <w:r w:rsidRPr="006B0CBF">
        <w:rPr>
          <w:lang w:val="es-HN"/>
        </w:rPr>
        <w:t xml:space="preserve"> y Adjunto en periodo de sesiones extraordinarias, la Comisión Permanente</w:t>
      </w:r>
      <w:r w:rsidRPr="00E61B7B">
        <w:rPr>
          <w:rStyle w:val="FootnoteReference"/>
          <w:rFonts w:eastAsia="Calibri"/>
          <w:lang w:val="es-HN"/>
        </w:rPr>
        <w:footnoteReference w:id="12"/>
      </w:r>
      <w:r w:rsidRPr="006B0CBF">
        <w:rPr>
          <w:lang w:val="es-HN"/>
        </w:rPr>
        <w:t>, compuesta mayoritariamente por diputados del partido de Gobierno, eligió el 1 de noviembre con carácter interino</w:t>
      </w:r>
      <w:r w:rsidRPr="00E61B7B">
        <w:rPr>
          <w:rStyle w:val="FootnoteReference"/>
          <w:rFonts w:eastAsia="Calibri"/>
          <w:lang w:val="es-HN"/>
        </w:rPr>
        <w:footnoteReference w:id="13"/>
      </w:r>
      <w:r w:rsidRPr="006B0CBF">
        <w:rPr>
          <w:lang w:val="es-HN"/>
        </w:rPr>
        <w:t xml:space="preserve"> al Fiscal General y Adjunto</w:t>
      </w:r>
      <w:r>
        <w:rPr>
          <w:lang w:val="es-HN"/>
        </w:rPr>
        <w:t xml:space="preserve">. Ambos formaban parte de los candidatos propuestos por la Junta Proponente en </w:t>
      </w:r>
      <w:r w:rsidRPr="00614563">
        <w:rPr>
          <w:lang w:val="es-HN"/>
        </w:rPr>
        <w:t xml:space="preserve">la </w:t>
      </w:r>
      <w:r>
        <w:rPr>
          <w:lang w:val="es-HN"/>
        </w:rPr>
        <w:t>n</w:t>
      </w:r>
      <w:r w:rsidRPr="00614563">
        <w:rPr>
          <w:lang w:val="es-HN"/>
        </w:rPr>
        <w:t xml:space="preserve">ómina de </w:t>
      </w:r>
      <w:r>
        <w:rPr>
          <w:lang w:val="es-HN"/>
        </w:rPr>
        <w:t>c</w:t>
      </w:r>
      <w:r w:rsidRPr="00614563">
        <w:rPr>
          <w:lang w:val="es-HN"/>
        </w:rPr>
        <w:t>andidatos/as presentada al Congreso Nacional</w:t>
      </w:r>
      <w:r w:rsidRPr="006B0CBF">
        <w:rPr>
          <w:lang w:val="es-HN"/>
        </w:rPr>
        <w:t>.</w:t>
      </w:r>
    </w:p>
    <w:p w14:paraId="49BC49FC" w14:textId="77777777" w:rsidR="00826C25" w:rsidRPr="00E61B7B" w:rsidRDefault="00826C25" w:rsidP="00826C25">
      <w:pPr>
        <w:pStyle w:val="H1G"/>
        <w:rPr>
          <w:rFonts w:eastAsia="Calibri"/>
        </w:rPr>
      </w:pPr>
      <w:r>
        <w:rPr>
          <w:rFonts w:eastAsia="Calibri"/>
          <w:lang w:val="es-HN"/>
        </w:rPr>
        <w:tab/>
        <w:t>B.</w:t>
      </w:r>
      <w:r>
        <w:rPr>
          <w:rFonts w:eastAsia="Calibri"/>
          <w:lang w:val="es-HN"/>
        </w:rPr>
        <w:tab/>
      </w:r>
      <w:r w:rsidRPr="00E61B7B">
        <w:rPr>
          <w:rFonts w:eastAsia="Calibri"/>
          <w:lang w:val="es-HN"/>
        </w:rPr>
        <w:t>Acceso a la justicia y a la tutela judicial efectiva</w:t>
      </w:r>
    </w:p>
    <w:p w14:paraId="576F1B44" w14:textId="77777777" w:rsidR="00826C25" w:rsidRDefault="00826C25" w:rsidP="00F367A1">
      <w:pPr>
        <w:pStyle w:val="SingleTxtG"/>
        <w:numPr>
          <w:ilvl w:val="1"/>
          <w:numId w:val="7"/>
        </w:numPr>
        <w:suppressAutoHyphens w:val="0"/>
        <w:spacing w:line="240" w:lineRule="auto"/>
        <w:ind w:left="1134" w:firstLine="0"/>
        <w:rPr>
          <w:lang w:val="es-HN"/>
        </w:rPr>
      </w:pPr>
      <w:r w:rsidRPr="006B0CBF">
        <w:rPr>
          <w:lang w:val="es-HN"/>
        </w:rPr>
        <w:t xml:space="preserve">Las altas tasas de impunidad debido a la falta de investigaciones efectivas, demoras procesales injustificadas, la limitada posibilidad de participación de las víctimas en el proceso penal, y la </w:t>
      </w:r>
      <w:r>
        <w:rPr>
          <w:lang w:val="es-HN"/>
        </w:rPr>
        <w:t xml:space="preserve">falta de </w:t>
      </w:r>
      <w:r w:rsidRPr="006B0CBF">
        <w:rPr>
          <w:lang w:val="es-HN"/>
        </w:rPr>
        <w:t>protección adecuada a las víctimas, familiares y testigos, siguen constituyendo desafíos para el acceso a la justicia</w:t>
      </w:r>
      <w:r w:rsidRPr="00E61B7B">
        <w:rPr>
          <w:rStyle w:val="FootnoteReference"/>
          <w:lang w:val="es-HN"/>
        </w:rPr>
        <w:footnoteReference w:id="14"/>
      </w:r>
      <w:r w:rsidRPr="006B0CBF">
        <w:rPr>
          <w:lang w:val="es-HN"/>
        </w:rPr>
        <w:t>.</w:t>
      </w:r>
    </w:p>
    <w:p w14:paraId="5C75EDEC" w14:textId="77777777" w:rsidR="00826C25" w:rsidRPr="006B0CBF" w:rsidRDefault="00826C25" w:rsidP="00F367A1">
      <w:pPr>
        <w:pStyle w:val="SingleTxtG"/>
        <w:numPr>
          <w:ilvl w:val="1"/>
          <w:numId w:val="7"/>
        </w:numPr>
        <w:suppressAutoHyphens w:val="0"/>
        <w:spacing w:line="240" w:lineRule="auto"/>
        <w:ind w:left="1134" w:firstLine="0"/>
        <w:rPr>
          <w:lang w:val="es-HN"/>
        </w:rPr>
      </w:pPr>
      <w:r w:rsidRPr="006B0CBF">
        <w:rPr>
          <w:lang w:val="es-HN"/>
        </w:rPr>
        <w:t xml:space="preserve">En la mayoría de los casos de presuntas violaciones de derechos humanos que involucran a fuerzas de seguridad y armadas monitoreados por la Oficina, la investigación y </w:t>
      </w:r>
      <w:r w:rsidRPr="006B0CBF">
        <w:rPr>
          <w:lang w:val="es-HN"/>
        </w:rPr>
        <w:lastRenderedPageBreak/>
        <w:t>juzgamiento no ha</w:t>
      </w:r>
      <w:r>
        <w:rPr>
          <w:lang w:val="es-HN"/>
        </w:rPr>
        <w:t>n</w:t>
      </w:r>
      <w:r w:rsidRPr="006B0CBF">
        <w:rPr>
          <w:lang w:val="es-HN"/>
        </w:rPr>
        <w:t xml:space="preserve"> permitido el establecimiento de los presuntos responsables, ni la determinación de la responsabilidad de mando</w:t>
      </w:r>
      <w:r w:rsidRPr="00E61B7B">
        <w:rPr>
          <w:rStyle w:val="FootnoteReference"/>
          <w:lang w:val="es-HN"/>
        </w:rPr>
        <w:footnoteReference w:id="15"/>
      </w:r>
      <w:r w:rsidRPr="006B0CBF">
        <w:rPr>
          <w:lang w:val="es-HN"/>
        </w:rPr>
        <w:t>.</w:t>
      </w:r>
    </w:p>
    <w:p w14:paraId="333557FE" w14:textId="77777777" w:rsidR="00826C25" w:rsidRDefault="00826C25" w:rsidP="00F367A1">
      <w:pPr>
        <w:pStyle w:val="SingleTxtG"/>
        <w:numPr>
          <w:ilvl w:val="1"/>
          <w:numId w:val="7"/>
        </w:numPr>
        <w:suppressAutoHyphens w:val="0"/>
        <w:spacing w:line="240" w:lineRule="auto"/>
        <w:ind w:left="1134" w:firstLine="0"/>
        <w:rPr>
          <w:lang w:val="es-HN"/>
        </w:rPr>
      </w:pPr>
      <w:r w:rsidRPr="00E61B7B">
        <w:rPr>
          <w:lang w:val="es-HN"/>
        </w:rPr>
        <w:t>La huelga de fiscales que inició en marzo y duró 79 días resultó en el cierre de muchas oficinas, reduciendo significativamente la atención al público, el curso de investigaciones y</w:t>
      </w:r>
      <w:r>
        <w:rPr>
          <w:lang w:val="es-HN"/>
        </w:rPr>
        <w:t xml:space="preserve"> otras funciones del Ministerio Público</w:t>
      </w:r>
      <w:r>
        <w:rPr>
          <w:rStyle w:val="FootnoteReference"/>
          <w:lang w:val="es-HN"/>
        </w:rPr>
        <w:footnoteReference w:id="16"/>
      </w:r>
      <w:r>
        <w:rPr>
          <w:lang w:val="es-HN"/>
        </w:rPr>
        <w:t>.</w:t>
      </w:r>
    </w:p>
    <w:p w14:paraId="207D7C46" w14:textId="77777777" w:rsidR="00826C25" w:rsidRDefault="00826C25" w:rsidP="00F367A1">
      <w:pPr>
        <w:pStyle w:val="SingleTxtG"/>
        <w:numPr>
          <w:ilvl w:val="1"/>
          <w:numId w:val="7"/>
        </w:numPr>
        <w:suppressAutoHyphens w:val="0"/>
        <w:spacing w:line="240" w:lineRule="auto"/>
        <w:ind w:left="1134" w:firstLine="0"/>
        <w:rPr>
          <w:lang w:val="es-HN"/>
        </w:rPr>
      </w:pPr>
      <w:r w:rsidRPr="008F5A86">
        <w:rPr>
          <w:lang w:val="es-HN"/>
        </w:rPr>
        <w:t xml:space="preserve">OACNUDH documentó casos relacionados con la conflictividad en torno al acceso y propiedad de tierras en las que las diligencias de investigación del Ministerio Público no se llevaron acabo de acuerdo con los estándares de debida diligencia. Uno de estos fue la muerte de Kevin </w:t>
      </w:r>
      <w:proofErr w:type="spellStart"/>
      <w:r w:rsidRPr="008F5A86">
        <w:rPr>
          <w:lang w:val="es-HN"/>
        </w:rPr>
        <w:t>Nazael</w:t>
      </w:r>
      <w:proofErr w:type="spellEnd"/>
      <w:r w:rsidRPr="008F5A86">
        <w:rPr>
          <w:lang w:val="es-HN"/>
        </w:rPr>
        <w:t xml:space="preserve"> Meza Ordoñez, integrante de la Empresa Asociativa Campesina de Isleta en Tocoa, presuntamente por agentes de fuerzas de seguridad. La Oficina observó serios retrasos y falta de exhaustividad en el aseguramiento de la escena del crimen, el levantamiento del cuerpo y la realización de la autopsia. </w:t>
      </w:r>
      <w:r>
        <w:rPr>
          <w:lang w:val="es-HN"/>
        </w:rPr>
        <w:t>Por otra parte, e</w:t>
      </w:r>
      <w:r w:rsidRPr="008F5A86">
        <w:rPr>
          <w:lang w:val="es-HN"/>
        </w:rPr>
        <w:t>l Ministerio Público presentó un requerimiento fiscal en contra de varios integrantes de dicha empresa, acusados por usurpación agravada a raíz de un desalojo</w:t>
      </w:r>
      <w:r>
        <w:rPr>
          <w:rStyle w:val="FootnoteReference"/>
          <w:lang w:val="es-HN"/>
        </w:rPr>
        <w:footnoteReference w:id="17"/>
      </w:r>
      <w:r w:rsidRPr="008F5A86">
        <w:rPr>
          <w:lang w:val="es-HN"/>
        </w:rPr>
        <w:t>.</w:t>
      </w:r>
    </w:p>
    <w:p w14:paraId="09154A79" w14:textId="77777777" w:rsidR="00826C25" w:rsidRDefault="00826C25" w:rsidP="00F367A1">
      <w:pPr>
        <w:pStyle w:val="SingleTxtG"/>
        <w:numPr>
          <w:ilvl w:val="1"/>
          <w:numId w:val="7"/>
        </w:numPr>
        <w:suppressAutoHyphens w:val="0"/>
        <w:spacing w:line="240" w:lineRule="auto"/>
        <w:ind w:left="1134" w:firstLine="0"/>
        <w:rPr>
          <w:lang w:val="es-HN"/>
        </w:rPr>
      </w:pPr>
      <w:r w:rsidRPr="000C6740">
        <w:rPr>
          <w:lang w:val="es-HN"/>
        </w:rPr>
        <w:t>En dos procesos judiciales con relación a las muertes de Keyla Mart</w:t>
      </w:r>
      <w:r>
        <w:rPr>
          <w:lang w:val="es-HN"/>
        </w:rPr>
        <w:t>í</w:t>
      </w:r>
      <w:r w:rsidRPr="000C6740">
        <w:rPr>
          <w:lang w:val="es-HN"/>
        </w:rPr>
        <w:t>nez en 2021</w:t>
      </w:r>
      <w:r w:rsidRPr="00831CBA">
        <w:rPr>
          <w:rStyle w:val="FootnoteReference"/>
          <w:lang w:val="es-HN"/>
        </w:rPr>
        <w:footnoteReference w:id="18"/>
      </w:r>
      <w:r w:rsidRPr="000C6740">
        <w:rPr>
          <w:lang w:val="es-HN"/>
        </w:rPr>
        <w:t xml:space="preserve"> y de Marcos Pineda en 2022</w:t>
      </w:r>
      <w:r>
        <w:rPr>
          <w:lang w:val="es-HN"/>
        </w:rPr>
        <w:t xml:space="preserve">, </w:t>
      </w:r>
      <w:proofErr w:type="gramStart"/>
      <w:r w:rsidRPr="000C6740">
        <w:rPr>
          <w:lang w:val="es-HN"/>
        </w:rPr>
        <w:t>un joven lenca miembro</w:t>
      </w:r>
      <w:proofErr w:type="gramEnd"/>
      <w:r w:rsidRPr="000C6740">
        <w:rPr>
          <w:lang w:val="es-HN"/>
        </w:rPr>
        <w:t xml:space="preserve"> del Consejo Cívico de Organizaciones Populares e Indígenas de Honduras (COPINH), presuntamente cometidas por miembros de las fuerzas de seguridad</w:t>
      </w:r>
      <w:r>
        <w:rPr>
          <w:lang w:val="es-HN"/>
        </w:rPr>
        <w:t>,</w:t>
      </w:r>
      <w:r w:rsidRPr="000C6740">
        <w:rPr>
          <w:lang w:val="es-HN"/>
        </w:rPr>
        <w:t xml:space="preserve"> los tribunales de sentencia resolvieron reducir la pena o absolver de los cargos a alguno de los acusados. Ambas resoluciones carecieron de un análisis sobre la legalidad del uso de la fuerza por parte de los acusados con arreglo al derecho internacional de los derechos humanos. </w:t>
      </w:r>
    </w:p>
    <w:p w14:paraId="10D6AA8C" w14:textId="77777777" w:rsidR="00826C25" w:rsidRPr="000C6740" w:rsidRDefault="00826C25" w:rsidP="00F367A1">
      <w:pPr>
        <w:pStyle w:val="SingleTxtG"/>
        <w:numPr>
          <w:ilvl w:val="1"/>
          <w:numId w:val="7"/>
        </w:numPr>
        <w:suppressAutoHyphens w:val="0"/>
        <w:spacing w:line="240" w:lineRule="auto"/>
        <w:ind w:left="1134" w:firstLine="0"/>
        <w:rPr>
          <w:lang w:val="es-HN"/>
        </w:rPr>
      </w:pPr>
      <w:r w:rsidRPr="000C6740">
        <w:rPr>
          <w:lang w:val="es-HN"/>
        </w:rPr>
        <w:t>Los casos de violaciones de derechos humanos de los años 80, del Golpe de Estado del 2009 y de la crisis postelectoral de 2017 no han presentado avances en la investigación y continúan en la impunidad</w:t>
      </w:r>
      <w:r>
        <w:rPr>
          <w:rStyle w:val="FootnoteReference"/>
          <w:lang w:val="es-HN"/>
        </w:rPr>
        <w:footnoteReference w:id="19"/>
      </w:r>
      <w:r w:rsidRPr="000C6740">
        <w:rPr>
          <w:lang w:val="es-HN"/>
        </w:rPr>
        <w:t>. En agosto, el Comité de Familiares de Detenidos-Desaparecidos en Honduras (COFADEH) presentó una iniciativa de Ley de víctimas de violaciones de derechos humanos cometidas durante la implementación de la Doctrina de Seguridad Nacional entre 1980</w:t>
      </w:r>
      <w:r>
        <w:rPr>
          <w:lang w:val="es-HN"/>
        </w:rPr>
        <w:t xml:space="preserve"> </w:t>
      </w:r>
      <w:r w:rsidRPr="000C6740">
        <w:rPr>
          <w:lang w:val="es-HN"/>
        </w:rPr>
        <w:t>y</w:t>
      </w:r>
      <w:r>
        <w:rPr>
          <w:lang w:val="es-HN"/>
        </w:rPr>
        <w:t xml:space="preserve"> </w:t>
      </w:r>
      <w:r w:rsidRPr="000C6740">
        <w:rPr>
          <w:lang w:val="es-HN"/>
        </w:rPr>
        <w:t xml:space="preserve">1993, elaborada con asistencia técnica de OACNUDH, en relación con los derechos a la verdad, la memoria, la justicia, la reparación, así como garantías de no repetición. </w:t>
      </w:r>
    </w:p>
    <w:p w14:paraId="1659853E" w14:textId="77777777" w:rsidR="00826C25" w:rsidRPr="00E61B7B" w:rsidRDefault="00826C25" w:rsidP="00826C25">
      <w:pPr>
        <w:pStyle w:val="H1G"/>
        <w:rPr>
          <w:rFonts w:eastAsia="Calibri"/>
          <w:lang w:val="es-HN"/>
        </w:rPr>
      </w:pPr>
      <w:r>
        <w:rPr>
          <w:rFonts w:eastAsia="Calibri"/>
          <w:lang w:val="es-HN"/>
        </w:rPr>
        <w:tab/>
        <w:t>C.</w:t>
      </w:r>
      <w:r>
        <w:rPr>
          <w:rFonts w:eastAsia="Calibri"/>
          <w:lang w:val="es-HN"/>
        </w:rPr>
        <w:tab/>
      </w:r>
      <w:r w:rsidRPr="00E61B7B">
        <w:rPr>
          <w:rFonts w:eastAsia="Calibri"/>
          <w:lang w:val="es-HN"/>
        </w:rPr>
        <w:t xml:space="preserve">Seguridad y Derechos Humanos </w:t>
      </w:r>
    </w:p>
    <w:p w14:paraId="035960D6" w14:textId="77777777" w:rsidR="00826C25" w:rsidRDefault="00826C25" w:rsidP="00F367A1">
      <w:pPr>
        <w:pStyle w:val="SingleTxtG"/>
        <w:numPr>
          <w:ilvl w:val="1"/>
          <w:numId w:val="7"/>
        </w:numPr>
        <w:suppressAutoHyphens w:val="0"/>
        <w:spacing w:line="240" w:lineRule="auto"/>
        <w:ind w:left="1134" w:firstLine="0"/>
        <w:rPr>
          <w:lang w:val="es-HN"/>
        </w:rPr>
      </w:pPr>
      <w:r w:rsidRPr="0014720E">
        <w:rPr>
          <w:lang w:val="es-HN"/>
        </w:rPr>
        <w:t>El estado de excepción adoptado el 6 de diciembre de 2022 para luchar contra los delitos de extorsión y otros delitos conexos, ha sido prorrogado en ocho ocasiones</w:t>
      </w:r>
      <w:r>
        <w:rPr>
          <w:rStyle w:val="FootnoteReference"/>
          <w:lang w:val="es-HN"/>
        </w:rPr>
        <w:footnoteReference w:id="20"/>
      </w:r>
      <w:r w:rsidRPr="0014720E">
        <w:rPr>
          <w:lang w:val="es-HN"/>
        </w:rPr>
        <w:t xml:space="preserve"> y ampliado a todo el país. Esta medida otorga facultades a la Policía Nacional para realizar, en cooperación con Policía Militar del Orden Público (PMOP), detenciones y allanamientos sin orden judicial, lo que podría generar riesgos de violaciones a los derechos humanos, incluidos al debido proceso</w:t>
      </w:r>
      <w:r>
        <w:rPr>
          <w:rStyle w:val="FootnoteReference"/>
          <w:lang w:val="es-HN"/>
        </w:rPr>
        <w:footnoteReference w:id="21"/>
      </w:r>
      <w:r w:rsidRPr="0014720E">
        <w:rPr>
          <w:lang w:val="es-HN"/>
        </w:rPr>
        <w:t>. Preocupa la duración prolongada del estado de excepción sin que se haya justificado su necesidad, proporcionalidad e idoneidad</w:t>
      </w:r>
      <w:r>
        <w:rPr>
          <w:rStyle w:val="FootnoteReference"/>
          <w:lang w:val="es-HN"/>
        </w:rPr>
        <w:footnoteReference w:id="22"/>
      </w:r>
      <w:r w:rsidRPr="0014720E">
        <w:rPr>
          <w:lang w:val="es-HN"/>
        </w:rPr>
        <w:t xml:space="preserve">, y sin que existan controles judiciales </w:t>
      </w:r>
      <w:r>
        <w:rPr>
          <w:lang w:val="es-HN"/>
        </w:rPr>
        <w:t>adecuados</w:t>
      </w:r>
      <w:r w:rsidRPr="0014720E">
        <w:rPr>
          <w:lang w:val="es-HN"/>
        </w:rPr>
        <w:t>. En al menos tres ocasiones, los decretos ejecutivos se implementaron sin ratificación del Congreso.</w:t>
      </w:r>
    </w:p>
    <w:p w14:paraId="16E4A5E5" w14:textId="77777777" w:rsidR="00826C25" w:rsidRDefault="00826C25" w:rsidP="00F367A1">
      <w:pPr>
        <w:pStyle w:val="SingleTxtG"/>
        <w:numPr>
          <w:ilvl w:val="1"/>
          <w:numId w:val="7"/>
        </w:numPr>
        <w:suppressAutoHyphens w:val="0"/>
        <w:spacing w:line="240" w:lineRule="auto"/>
        <w:ind w:left="1134" w:firstLine="0"/>
        <w:rPr>
          <w:lang w:val="es-HN"/>
        </w:rPr>
      </w:pPr>
      <w:r w:rsidRPr="0014720E">
        <w:rPr>
          <w:lang w:val="es-HN"/>
        </w:rPr>
        <w:t xml:space="preserve">OACNUDH ha recibido información sobre presuntas violaciones a los derechos humanos que se habrían cometido en el marco de la implementación del estado de excepción, en su mayoría por la Dirección Policial Anti-Maras y Pandillas contra el Crimen Organizado (DIPAMPCO) y la Policía Militar de Orden Público. Esto incluye siete casos que podrían constituir desapariciones forzadas (seis hombres, una mujer transgénero), cinco ejecuciones extrajudiciales (cinco hombres), cuatro de tortura y otros tratos crueles inhumanos y </w:t>
      </w:r>
      <w:r w:rsidRPr="0014720E">
        <w:rPr>
          <w:lang w:val="es-HN"/>
        </w:rPr>
        <w:lastRenderedPageBreak/>
        <w:t xml:space="preserve">degradantes (cuatro hombres) y uno de violencia sexual (una mujer), además de alegaciones sobre detenciones ilegales, uso excesivo de la fuerza, abusos durante allanamientos de morada sin orden judicial e implantación de pruebas, en particular en los departamentos de Cortés, Yoro y Francisco Morazán. </w:t>
      </w:r>
    </w:p>
    <w:p w14:paraId="5CBD05DA" w14:textId="77777777" w:rsidR="00826C25" w:rsidRDefault="00826C25" w:rsidP="00F367A1">
      <w:pPr>
        <w:pStyle w:val="SingleTxtG"/>
        <w:numPr>
          <w:ilvl w:val="1"/>
          <w:numId w:val="7"/>
        </w:numPr>
        <w:suppressAutoHyphens w:val="0"/>
        <w:spacing w:line="240" w:lineRule="auto"/>
        <w:ind w:left="1134" w:firstLine="0"/>
        <w:rPr>
          <w:lang w:val="es-HN"/>
        </w:rPr>
      </w:pPr>
      <w:r w:rsidRPr="0014720E">
        <w:rPr>
          <w:lang w:val="es-HN"/>
        </w:rPr>
        <w:t xml:space="preserve">OACNUDH también ha recibido alegaciones de represalias en contra de las personas denunciantes por parte de las mismas fuerzas de seguridad y la falta de medidas de protección en el proceso de búsqueda del paradero de sus familiares. Uno de los casos de desaparición forzada en el contexto de estado de excepción es el de un joven de 20 años, que habría sido desaparecido presuntamente por la Dirección Policial </w:t>
      </w:r>
      <w:proofErr w:type="gramStart"/>
      <w:r w:rsidRPr="0014720E">
        <w:rPr>
          <w:lang w:val="es-HN"/>
        </w:rPr>
        <w:t>Anti Maras</w:t>
      </w:r>
      <w:proofErr w:type="gramEnd"/>
      <w:r w:rsidRPr="0014720E">
        <w:rPr>
          <w:lang w:val="es-HN"/>
        </w:rPr>
        <w:t xml:space="preserve"> y Pandillas contra el Crimen Organizado (DIPAMPCO) el 7 de marzo en San Pedro Sula. Los familiares interpusieron denuncia ante el Ministerio Público y fueron presuntamente objeto de amenazas. El 9 de junio su padre fue asesinado en su vivienda. El 19 de julio, el hermano fue detenido por la Policía Nacional, acusado de participar en una masacre que habría tenido lugar el mismo día que él habría permanecido en el velorio de su padre.</w:t>
      </w:r>
    </w:p>
    <w:p w14:paraId="5A9656DB" w14:textId="77777777" w:rsidR="00826C25" w:rsidRDefault="00826C25" w:rsidP="00F367A1">
      <w:pPr>
        <w:pStyle w:val="SingleTxtG"/>
        <w:numPr>
          <w:ilvl w:val="1"/>
          <w:numId w:val="7"/>
        </w:numPr>
        <w:suppressAutoHyphens w:val="0"/>
        <w:spacing w:line="240" w:lineRule="auto"/>
        <w:ind w:left="1134" w:firstLine="0"/>
        <w:rPr>
          <w:lang w:val="es-HN"/>
        </w:rPr>
      </w:pPr>
      <w:r w:rsidRPr="0014720E">
        <w:rPr>
          <w:lang w:val="es-HN"/>
        </w:rPr>
        <w:t>Según fuentes oficiales, en el marco del estado de excepción la Policía Nacional realizó alrededor de 24,563 detenciones (1,581 mujeres y 322 menores desde 13 años) y más de 16,988 allanamientos</w:t>
      </w:r>
      <w:r>
        <w:rPr>
          <w:rStyle w:val="FootnoteReference"/>
          <w:lang w:val="es-HN"/>
        </w:rPr>
        <w:footnoteReference w:id="23"/>
      </w:r>
      <w:r w:rsidRPr="0014720E">
        <w:rPr>
          <w:lang w:val="es-HN"/>
        </w:rPr>
        <w:t>.</w:t>
      </w:r>
    </w:p>
    <w:p w14:paraId="548F0785" w14:textId="77777777" w:rsidR="00826C25" w:rsidRDefault="00826C25" w:rsidP="00F367A1">
      <w:pPr>
        <w:pStyle w:val="SingleTxtG"/>
        <w:numPr>
          <w:ilvl w:val="1"/>
          <w:numId w:val="7"/>
        </w:numPr>
        <w:suppressAutoHyphens w:val="0"/>
        <w:spacing w:line="240" w:lineRule="auto"/>
        <w:ind w:left="1134" w:firstLine="0"/>
        <w:rPr>
          <w:lang w:val="es-HN"/>
        </w:rPr>
      </w:pPr>
      <w:r w:rsidRPr="0014720E">
        <w:rPr>
          <w:lang w:val="es-HN"/>
        </w:rPr>
        <w:t>Asimismo, la Policía Militar de Orden Público ha realizado 1,333 detenciones, 74 de ellas a menores</w:t>
      </w:r>
      <w:r>
        <w:rPr>
          <w:rStyle w:val="FootnoteReference"/>
          <w:lang w:val="es-HN"/>
        </w:rPr>
        <w:footnoteReference w:id="24"/>
      </w:r>
      <w:r w:rsidRPr="0014720E">
        <w:rPr>
          <w:lang w:val="es-HN"/>
        </w:rPr>
        <w:t>. La carencia de un registro único de personas detenidas impide controlar la legalidad de las detenciones.</w:t>
      </w:r>
    </w:p>
    <w:p w14:paraId="0E204BBE" w14:textId="77777777" w:rsidR="00826C25" w:rsidRPr="0014720E" w:rsidRDefault="00826C25" w:rsidP="00F367A1">
      <w:pPr>
        <w:pStyle w:val="SingleTxtG"/>
        <w:numPr>
          <w:ilvl w:val="1"/>
          <w:numId w:val="7"/>
        </w:numPr>
        <w:suppressAutoHyphens w:val="0"/>
        <w:spacing w:line="240" w:lineRule="auto"/>
        <w:ind w:left="1134" w:firstLine="0"/>
        <w:rPr>
          <w:lang w:val="es-HN"/>
        </w:rPr>
      </w:pPr>
      <w:r w:rsidRPr="0014720E">
        <w:rPr>
          <w:lang w:val="es-HN"/>
        </w:rPr>
        <w:t xml:space="preserve">En el periodo del informe, no se dieron pasos significativos para la adopción de una política integral </w:t>
      </w:r>
      <w:r>
        <w:rPr>
          <w:lang w:val="es-HN"/>
        </w:rPr>
        <w:t xml:space="preserve">de seguridad </w:t>
      </w:r>
      <w:r w:rsidRPr="0014720E">
        <w:rPr>
          <w:lang w:val="es-HN"/>
        </w:rPr>
        <w:t>con enfoque de derechos humanos con énfasis en la prevención e investigación que aborde las causas estructurales de la violencia y la inseguridad</w:t>
      </w:r>
      <w:r>
        <w:rPr>
          <w:rStyle w:val="FootnoteReference"/>
          <w:lang w:val="es-HN"/>
        </w:rPr>
        <w:footnoteReference w:id="25"/>
      </w:r>
      <w:r w:rsidRPr="0014720E">
        <w:rPr>
          <w:lang w:val="es-HN"/>
        </w:rPr>
        <w:t>.</w:t>
      </w:r>
      <w:r>
        <w:rPr>
          <w:lang w:val="es-HN"/>
        </w:rPr>
        <w:t xml:space="preserve"> </w:t>
      </w:r>
    </w:p>
    <w:p w14:paraId="08066403" w14:textId="77777777" w:rsidR="00826C25" w:rsidRPr="00E61B7B" w:rsidRDefault="00826C25" w:rsidP="00826C25">
      <w:pPr>
        <w:pStyle w:val="H1G"/>
        <w:rPr>
          <w:rFonts w:eastAsia="Calibri"/>
          <w:lang w:val="es-HN"/>
        </w:rPr>
      </w:pPr>
      <w:r>
        <w:rPr>
          <w:rFonts w:eastAsia="Calibri"/>
          <w:lang w:val="es-HN"/>
        </w:rPr>
        <w:tab/>
        <w:t>D.</w:t>
      </w:r>
      <w:r>
        <w:rPr>
          <w:rFonts w:eastAsia="Calibri"/>
          <w:lang w:val="es-HN"/>
        </w:rPr>
        <w:tab/>
      </w:r>
      <w:r w:rsidRPr="00E61B7B">
        <w:rPr>
          <w:rFonts w:eastAsia="Calibri"/>
          <w:lang w:val="es-HN"/>
        </w:rPr>
        <w:t>Sistema penitenciario y personas privadas de libertad</w:t>
      </w:r>
    </w:p>
    <w:p w14:paraId="78376C1A" w14:textId="526C6D1F" w:rsidR="00826C25" w:rsidRPr="00E61B7B" w:rsidRDefault="00826C25" w:rsidP="00F367A1">
      <w:pPr>
        <w:pStyle w:val="SingleTxtG"/>
        <w:numPr>
          <w:ilvl w:val="1"/>
          <w:numId w:val="7"/>
        </w:numPr>
        <w:suppressAutoHyphens w:val="0"/>
        <w:spacing w:line="240" w:lineRule="auto"/>
        <w:ind w:left="1134" w:firstLine="0"/>
        <w:rPr>
          <w:lang w:val="es-HN"/>
        </w:rPr>
      </w:pPr>
      <w:r>
        <w:rPr>
          <w:lang w:val="es-HN"/>
        </w:rPr>
        <w:t xml:space="preserve">Durante </w:t>
      </w:r>
      <w:r w:rsidR="0050341D">
        <w:rPr>
          <w:lang w:val="es-HN"/>
        </w:rPr>
        <w:t>2023</w:t>
      </w:r>
      <w:r>
        <w:rPr>
          <w:lang w:val="es-HN"/>
        </w:rPr>
        <w:t xml:space="preserve">, persistieron </w:t>
      </w:r>
      <w:r w:rsidRPr="00E61B7B">
        <w:rPr>
          <w:lang w:val="es-HN"/>
        </w:rPr>
        <w:t>incidentes frecuentes de violencia e inseguridad y problemas estructurales</w:t>
      </w:r>
      <w:r>
        <w:rPr>
          <w:lang w:val="es-HN"/>
        </w:rPr>
        <w:t xml:space="preserve"> en el sistema penitenciario</w:t>
      </w:r>
      <w:r w:rsidRPr="00E61B7B">
        <w:rPr>
          <w:lang w:val="es-HN"/>
        </w:rPr>
        <w:t xml:space="preserve"> tales como hacinamiento, infraestructura inadecuada, autogobierno, corrupción</w:t>
      </w:r>
      <w:r>
        <w:rPr>
          <w:lang w:val="es-HN"/>
        </w:rPr>
        <w:t>. La política penitenciaria</w:t>
      </w:r>
      <w:r w:rsidRPr="00E61B7B">
        <w:rPr>
          <w:lang w:val="es-HN"/>
        </w:rPr>
        <w:t xml:space="preserve"> prioriza un enfoque punitivo en detrimento </w:t>
      </w:r>
      <w:r w:rsidR="00D74C7A">
        <w:rPr>
          <w:lang w:val="es-HN"/>
        </w:rPr>
        <w:t>de</w:t>
      </w:r>
      <w:r w:rsidR="00D74C7A" w:rsidRPr="00E61B7B">
        <w:rPr>
          <w:lang w:val="es-HN"/>
        </w:rPr>
        <w:t xml:space="preserve"> </w:t>
      </w:r>
      <w:r w:rsidRPr="00E61B7B">
        <w:rPr>
          <w:lang w:val="es-HN"/>
        </w:rPr>
        <w:t>la reinserción social</w:t>
      </w:r>
      <w:r>
        <w:rPr>
          <w:lang w:val="es-HN"/>
        </w:rPr>
        <w:t xml:space="preserve">. En este contexto, </w:t>
      </w:r>
      <w:r w:rsidRPr="00E61B7B">
        <w:rPr>
          <w:lang w:val="es-HN"/>
        </w:rPr>
        <w:t>las personas privadas de libertad</w:t>
      </w:r>
      <w:r>
        <w:rPr>
          <w:lang w:val="es-HN"/>
        </w:rPr>
        <w:t xml:space="preserve"> enfrentan diversos obstáculos para ejercer sus derechos</w:t>
      </w:r>
      <w:r w:rsidRPr="00E61B7B">
        <w:rPr>
          <w:lang w:val="es-HN"/>
        </w:rPr>
        <w:t xml:space="preserve">. </w:t>
      </w:r>
      <w:r>
        <w:rPr>
          <w:lang w:val="es-HN"/>
        </w:rPr>
        <w:t xml:space="preserve">OACNUDH </w:t>
      </w:r>
      <w:r w:rsidRPr="00E61B7B">
        <w:rPr>
          <w:lang w:val="es-HN"/>
        </w:rPr>
        <w:t>registr</w:t>
      </w:r>
      <w:r>
        <w:rPr>
          <w:lang w:val="es-HN"/>
        </w:rPr>
        <w:t>ó</w:t>
      </w:r>
      <w:r w:rsidRPr="00E61B7B">
        <w:rPr>
          <w:lang w:val="es-HN"/>
        </w:rPr>
        <w:t xml:space="preserve"> al menos 56 muertes de personas privadas de libertad. </w:t>
      </w:r>
    </w:p>
    <w:p w14:paraId="013B1750" w14:textId="77777777" w:rsidR="00826C25" w:rsidRPr="00E61B7B" w:rsidRDefault="00826C25" w:rsidP="00F367A1">
      <w:pPr>
        <w:pStyle w:val="SingleTxtG"/>
        <w:numPr>
          <w:ilvl w:val="1"/>
          <w:numId w:val="7"/>
        </w:numPr>
        <w:suppressAutoHyphens w:val="0"/>
        <w:spacing w:line="240" w:lineRule="auto"/>
        <w:ind w:left="1134" w:firstLine="0"/>
        <w:rPr>
          <w:lang w:val="es-HN"/>
        </w:rPr>
      </w:pPr>
      <w:r w:rsidRPr="00E61B7B">
        <w:rPr>
          <w:lang w:val="es-HN"/>
        </w:rPr>
        <w:t>El Sistema Nacional Penitenciario alberga en promedio 19,141 personas adultas</w:t>
      </w:r>
      <w:r>
        <w:rPr>
          <w:lang w:val="es-HN"/>
        </w:rPr>
        <w:t xml:space="preserve"> (</w:t>
      </w:r>
      <w:r w:rsidRPr="00E61B7B">
        <w:rPr>
          <w:lang w:val="es-HN"/>
        </w:rPr>
        <w:t>17,982 hombres</w:t>
      </w:r>
      <w:r>
        <w:rPr>
          <w:lang w:val="es-HN"/>
        </w:rPr>
        <w:t xml:space="preserve">, </w:t>
      </w:r>
      <w:r w:rsidRPr="00E61B7B">
        <w:rPr>
          <w:lang w:val="es-HN"/>
        </w:rPr>
        <w:t>1,159 mujeres</w:t>
      </w:r>
      <w:r>
        <w:rPr>
          <w:lang w:val="es-HN"/>
        </w:rPr>
        <w:t>)</w:t>
      </w:r>
      <w:r w:rsidRPr="00E61B7B">
        <w:rPr>
          <w:lang w:val="es-HN"/>
        </w:rPr>
        <w:t xml:space="preserve"> en los 25 centros penitenciarios del país, aunque sólo cuenta con capacidad para alojar 14,780 personas. Se ha registrado una disminución del 6% de índice de hacinamiento con respecto a 2022, a pesar de que el nivel permanece alto (28.09%). </w:t>
      </w:r>
      <w:r>
        <w:rPr>
          <w:lang w:val="es-HN"/>
        </w:rPr>
        <w:t>El 45.44% de l</w:t>
      </w:r>
      <w:r w:rsidRPr="00E61B7B">
        <w:rPr>
          <w:lang w:val="es-HN"/>
        </w:rPr>
        <w:t xml:space="preserve">a población penitenciaria </w:t>
      </w:r>
      <w:r>
        <w:rPr>
          <w:lang w:val="es-HN"/>
        </w:rPr>
        <w:t xml:space="preserve">está </w:t>
      </w:r>
      <w:r w:rsidRPr="00E61B7B">
        <w:rPr>
          <w:lang w:val="es-HN"/>
        </w:rPr>
        <w:t>en prisión preventiva</w:t>
      </w:r>
      <w:r w:rsidRPr="00E61B7B">
        <w:rPr>
          <w:rStyle w:val="FootnoteReference"/>
          <w:rFonts w:eastAsia="Calibri"/>
          <w:lang w:val="es-HN"/>
        </w:rPr>
        <w:footnoteReference w:id="26"/>
      </w:r>
      <w:r>
        <w:rPr>
          <w:lang w:val="es-HN"/>
        </w:rPr>
        <w:t xml:space="preserve"> como resultado del uso excesivo de la prisión preventiva y las demoras en los procesos judiciales</w:t>
      </w:r>
      <w:r w:rsidRPr="00E61B7B">
        <w:rPr>
          <w:lang w:val="es-HN"/>
        </w:rPr>
        <w:t xml:space="preserve">. </w:t>
      </w:r>
    </w:p>
    <w:p w14:paraId="52FA00E6" w14:textId="77777777" w:rsidR="00826C25" w:rsidRDefault="00826C25" w:rsidP="00F367A1">
      <w:pPr>
        <w:pStyle w:val="SingleTxtG"/>
        <w:numPr>
          <w:ilvl w:val="1"/>
          <w:numId w:val="7"/>
        </w:numPr>
        <w:suppressAutoHyphens w:val="0"/>
        <w:spacing w:line="240" w:lineRule="auto"/>
        <w:ind w:left="1134" w:firstLine="0"/>
        <w:rPr>
          <w:lang w:val="es-HN"/>
        </w:rPr>
      </w:pPr>
      <w:r w:rsidRPr="00E61B7B">
        <w:rPr>
          <w:lang w:val="es-HN"/>
        </w:rPr>
        <w:t>Entre enero y junio se documentaron seis enfrentamientos en centros de máxima seguridad con uso de armas de fuego y explosivos que dejaron cuatro hombres privados de libertad muertos, uno desaparecido y al menos 42 heridos. Tras dichos incidentes, el Gobierno estableció una Comisión Interventora compuesta por autoridades civiles para reformar y modernizar gradualmente el sistema penitenciario. Se adoptó un “Plan de intervención de Solución contra el Crimen”</w:t>
      </w:r>
      <w:r w:rsidRPr="00E61B7B">
        <w:rPr>
          <w:rStyle w:val="FootnoteReference"/>
          <w:rFonts w:eastAsia="Calibri"/>
          <w:lang w:val="es-HN"/>
        </w:rPr>
        <w:footnoteReference w:id="27"/>
      </w:r>
      <w:r w:rsidRPr="00E61B7B">
        <w:rPr>
          <w:lang w:val="es-HN"/>
        </w:rPr>
        <w:t xml:space="preserve"> que contenía medidas importantes como la clasificación de las personas privadas de libertad y la depuración de los agentes penitenciarios. </w:t>
      </w:r>
    </w:p>
    <w:p w14:paraId="5C01512B" w14:textId="77777777" w:rsidR="00826C25" w:rsidRPr="00333A4A" w:rsidRDefault="00826C25" w:rsidP="00F367A1">
      <w:pPr>
        <w:pStyle w:val="SingleTxtG"/>
        <w:numPr>
          <w:ilvl w:val="1"/>
          <w:numId w:val="7"/>
        </w:numPr>
        <w:suppressAutoHyphens w:val="0"/>
        <w:spacing w:line="240" w:lineRule="auto"/>
        <w:ind w:left="1134" w:firstLine="0"/>
        <w:rPr>
          <w:lang w:val="es-HN"/>
        </w:rPr>
      </w:pPr>
      <w:r>
        <w:rPr>
          <w:lang w:val="es-HN"/>
        </w:rPr>
        <w:t xml:space="preserve">El 20 de junio </w:t>
      </w:r>
      <w:r w:rsidRPr="00E61B7B">
        <w:rPr>
          <w:lang w:val="es-HN"/>
        </w:rPr>
        <w:t xml:space="preserve">46 mujeres </w:t>
      </w:r>
      <w:r>
        <w:rPr>
          <w:lang w:val="es-HN"/>
        </w:rPr>
        <w:t xml:space="preserve">fueron asesinadas </w:t>
      </w:r>
      <w:r w:rsidRPr="00E61B7B">
        <w:rPr>
          <w:lang w:val="es-HN"/>
        </w:rPr>
        <w:t>en la Penitenciaría Nacional Femenina de Adaptación Social mediante armas de fuego, armas blancas y un incendio provocado por otro grupo de privadas de libertad.</w:t>
      </w:r>
      <w:r>
        <w:rPr>
          <w:lang w:val="es-HN"/>
        </w:rPr>
        <w:t xml:space="preserve"> Este hecho resultó en la ratificación d</w:t>
      </w:r>
      <w:r w:rsidRPr="00333A4A">
        <w:rPr>
          <w:lang w:val="es-HN"/>
        </w:rPr>
        <w:t>el estado de emergencia en el sistema penitenciario nacional</w:t>
      </w:r>
      <w:r>
        <w:rPr>
          <w:lang w:val="es-HN"/>
        </w:rPr>
        <w:t>,</w:t>
      </w:r>
      <w:r w:rsidRPr="00333A4A">
        <w:rPr>
          <w:lang w:val="es-HN"/>
        </w:rPr>
        <w:t xml:space="preserve"> a través de Decreto Ejecutivo 28/2023, delegando facultades a la Policía Miliar del Orden Público de las Fuerzas Armadas (PMO</w:t>
      </w:r>
      <w:r>
        <w:rPr>
          <w:lang w:val="es-HN"/>
        </w:rPr>
        <w:t>P</w:t>
      </w:r>
      <w:r w:rsidRPr="00333A4A">
        <w:rPr>
          <w:lang w:val="es-HN"/>
        </w:rPr>
        <w:t xml:space="preserve">) </w:t>
      </w:r>
      <w:r w:rsidRPr="00333A4A">
        <w:rPr>
          <w:lang w:val="es-HN"/>
        </w:rPr>
        <w:lastRenderedPageBreak/>
        <w:t xml:space="preserve">en </w:t>
      </w:r>
      <w:r>
        <w:rPr>
          <w:lang w:val="es-HN"/>
        </w:rPr>
        <w:t>c</w:t>
      </w:r>
      <w:r w:rsidRPr="00333A4A">
        <w:rPr>
          <w:lang w:val="es-HN"/>
        </w:rPr>
        <w:t>alidad de Comisión Interventora del Sistema Penitenciario Nacional</w:t>
      </w:r>
      <w:r>
        <w:rPr>
          <w:lang w:val="es-HN"/>
        </w:rPr>
        <w:t>,</w:t>
      </w:r>
      <w:r w:rsidRPr="00333A4A">
        <w:rPr>
          <w:lang w:val="es-HN"/>
        </w:rPr>
        <w:t xml:space="preserve"> por un periodo de un año.</w:t>
      </w:r>
      <w:r>
        <w:rPr>
          <w:lang w:val="es-HN"/>
        </w:rPr>
        <w:t xml:space="preserve"> </w:t>
      </w:r>
    </w:p>
    <w:p w14:paraId="3993CD37" w14:textId="09020D91" w:rsidR="00826C25" w:rsidRPr="00E61B7B" w:rsidRDefault="00826C25" w:rsidP="00F367A1">
      <w:pPr>
        <w:pStyle w:val="SingleTxtG"/>
        <w:numPr>
          <w:ilvl w:val="1"/>
          <w:numId w:val="7"/>
        </w:numPr>
        <w:suppressAutoHyphens w:val="0"/>
        <w:spacing w:line="240" w:lineRule="auto"/>
        <w:ind w:left="1134" w:firstLine="0"/>
        <w:rPr>
          <w:lang w:val="es-HN"/>
        </w:rPr>
      </w:pPr>
      <w:r w:rsidRPr="00E61B7B">
        <w:rPr>
          <w:lang w:val="es-HN"/>
        </w:rPr>
        <w:t xml:space="preserve">La intervención de la Policía Militar del Orden Público inició con operativos intensivos de requisa de armas y objetos ilícitos en los cuatro centros de máxima seguridad y posteriormente en los centros de media y mínima seguridad durante junio y julio. OACNUDH </w:t>
      </w:r>
      <w:r>
        <w:rPr>
          <w:lang w:val="es-HN"/>
        </w:rPr>
        <w:t xml:space="preserve">entrevistó </w:t>
      </w:r>
      <w:r w:rsidRPr="00E61B7B">
        <w:rPr>
          <w:lang w:val="es-HN"/>
        </w:rPr>
        <w:t xml:space="preserve">a más de 500 personas privadas de libertad </w:t>
      </w:r>
      <w:r w:rsidR="00D74C7A">
        <w:rPr>
          <w:lang w:val="es-HN"/>
        </w:rPr>
        <w:t>en</w:t>
      </w:r>
      <w:r w:rsidRPr="00E61B7B">
        <w:rPr>
          <w:lang w:val="es-HN"/>
        </w:rPr>
        <w:t xml:space="preserve"> 25 visitas a nueve centros penitenciarios, constatando que dichos operativos fueron realizados con un uso excesivo de la fuerza</w:t>
      </w:r>
      <w:r>
        <w:rPr>
          <w:lang w:val="es-HN"/>
        </w:rPr>
        <w:t>, incluso</w:t>
      </w:r>
      <w:r w:rsidRPr="00E61B7B">
        <w:rPr>
          <w:lang w:val="es-HN"/>
        </w:rPr>
        <w:t xml:space="preserve"> contra personas que no prestaron resistencia a la intervención. Las personas habrían sido expuestas durante largas horas al sol, </w:t>
      </w:r>
      <w:r>
        <w:rPr>
          <w:lang w:val="es-HN"/>
        </w:rPr>
        <w:t>golpeadas</w:t>
      </w:r>
      <w:r w:rsidRPr="00E61B7B">
        <w:rPr>
          <w:lang w:val="es-HN"/>
        </w:rPr>
        <w:t xml:space="preserve">, resultando varias personas heridas e incluso ocasionando presuntamente la muerte de un detenido por insuficiencia cardiaca en el centro penitenciario de Danlí (El Paraíso). Además, </w:t>
      </w:r>
      <w:r>
        <w:rPr>
          <w:lang w:val="es-HN"/>
        </w:rPr>
        <w:t xml:space="preserve">las personas detenidas no tuvieron </w:t>
      </w:r>
      <w:r w:rsidRPr="00E61B7B">
        <w:rPr>
          <w:lang w:val="es-HN"/>
        </w:rPr>
        <w:t xml:space="preserve">agua y comida por más de 24 horas, </w:t>
      </w:r>
      <w:r>
        <w:rPr>
          <w:lang w:val="es-HN"/>
        </w:rPr>
        <w:t xml:space="preserve">ni acceso inmediato </w:t>
      </w:r>
      <w:r w:rsidRPr="00E61B7B">
        <w:rPr>
          <w:lang w:val="es-HN"/>
        </w:rPr>
        <w:t>a atención médica adecuada</w:t>
      </w:r>
      <w:r>
        <w:rPr>
          <w:lang w:val="es-HN"/>
        </w:rPr>
        <w:t>. Por otra parte,</w:t>
      </w:r>
      <w:r w:rsidRPr="00E61B7B" w:rsidDel="008C1820">
        <w:rPr>
          <w:lang w:val="es-HN"/>
        </w:rPr>
        <w:t xml:space="preserve"> </w:t>
      </w:r>
      <w:r>
        <w:rPr>
          <w:lang w:val="es-HN"/>
        </w:rPr>
        <w:t xml:space="preserve">algunas personas habrían sido amenazadas por la Policía Militar del Orden Público. </w:t>
      </w:r>
    </w:p>
    <w:p w14:paraId="763494B6" w14:textId="77777777" w:rsidR="00826C25" w:rsidRPr="00E61B7B" w:rsidRDefault="00826C25" w:rsidP="00F367A1">
      <w:pPr>
        <w:pStyle w:val="SingleTxtG"/>
        <w:numPr>
          <w:ilvl w:val="1"/>
          <w:numId w:val="7"/>
        </w:numPr>
        <w:suppressAutoHyphens w:val="0"/>
        <w:spacing w:line="240" w:lineRule="auto"/>
        <w:ind w:left="1134" w:firstLine="0"/>
        <w:rPr>
          <w:lang w:val="es-HN"/>
        </w:rPr>
      </w:pPr>
      <w:r w:rsidRPr="00E61B7B">
        <w:rPr>
          <w:lang w:val="es-HN"/>
        </w:rPr>
        <w:t>La Policía Militar del Orden Público restringió durante al menos un mes el acceso a los centros penitenciarios a entidades de derechos humanos como el Comisionado Nacional de los Derechos Humanos en Honduras (CONADEH) y el Mecanismo Nacional de prevención de la tortura (MNP-CONAPREV), así como a operadores judiciales. La Oficina ha registrado dos reyertas desde el inicio de la intervención de la Policía Militar.</w:t>
      </w:r>
    </w:p>
    <w:p w14:paraId="5A3A133C" w14:textId="77777777" w:rsidR="00826C25" w:rsidRDefault="00826C25" w:rsidP="00F367A1">
      <w:pPr>
        <w:pStyle w:val="SingleTxtG"/>
        <w:numPr>
          <w:ilvl w:val="1"/>
          <w:numId w:val="7"/>
        </w:numPr>
        <w:suppressAutoHyphens w:val="0"/>
        <w:spacing w:line="240" w:lineRule="auto"/>
        <w:ind w:left="1134" w:firstLine="0"/>
        <w:rPr>
          <w:lang w:val="es-HN"/>
        </w:rPr>
      </w:pPr>
      <w:r w:rsidRPr="00E61B7B">
        <w:rPr>
          <w:lang w:val="es-HN"/>
        </w:rPr>
        <w:t xml:space="preserve">El MNP-CONAPREV recibió 197 denuncias, mientras que el Poder Judicial habría recibido 235 quejas relacionadas a personas privadas de la libertad, </w:t>
      </w:r>
      <w:r>
        <w:rPr>
          <w:lang w:val="es-HN"/>
        </w:rPr>
        <w:t xml:space="preserve">en contra de la Policía Militar del Orden Público sobre alegaciones relacionadas con </w:t>
      </w:r>
      <w:r w:rsidRPr="00E61B7B">
        <w:rPr>
          <w:lang w:val="es-HN"/>
        </w:rPr>
        <w:t xml:space="preserve">la integridad física, psicológica y el acceso a la salud. El </w:t>
      </w:r>
      <w:r>
        <w:rPr>
          <w:lang w:val="es-HN"/>
        </w:rPr>
        <w:t>MNP-</w:t>
      </w:r>
      <w:r w:rsidRPr="00E61B7B">
        <w:rPr>
          <w:lang w:val="es-HN"/>
        </w:rPr>
        <w:t xml:space="preserve">CONAPREV y el CONADEH han referido 219 solicitudes de exámenes forenses </w:t>
      </w:r>
      <w:r>
        <w:rPr>
          <w:lang w:val="es-HN"/>
        </w:rPr>
        <w:t xml:space="preserve">a la Dirección de Medicina Forense del Ministerio Público </w:t>
      </w:r>
      <w:r w:rsidRPr="00E61B7B">
        <w:rPr>
          <w:lang w:val="es-HN"/>
        </w:rPr>
        <w:t>por posibles actos de tortura o malos tratos desde junio, de las que se han realizado únicamente 59 debido a las restricciones de salidas y entradas impuestas en los centros penales</w:t>
      </w:r>
      <w:r w:rsidRPr="00E61B7B">
        <w:rPr>
          <w:rStyle w:val="FootnoteReference"/>
          <w:rFonts w:eastAsia="Calibri"/>
          <w:lang w:val="es-HN"/>
        </w:rPr>
        <w:footnoteReference w:id="28"/>
      </w:r>
      <w:r w:rsidRPr="00E61B7B">
        <w:rPr>
          <w:lang w:val="es-HN"/>
        </w:rPr>
        <w:t>.</w:t>
      </w:r>
      <w:r>
        <w:rPr>
          <w:lang w:val="es-HN"/>
        </w:rPr>
        <w:t xml:space="preserve"> </w:t>
      </w:r>
    </w:p>
    <w:p w14:paraId="0100CE3A" w14:textId="77777777" w:rsidR="00826C25" w:rsidRPr="00E61B7B" w:rsidRDefault="00826C25" w:rsidP="00826C25">
      <w:pPr>
        <w:pStyle w:val="H1G"/>
        <w:rPr>
          <w:rFonts w:eastAsia="Calibri"/>
          <w:lang w:val="es-HN"/>
        </w:rPr>
      </w:pPr>
      <w:r>
        <w:rPr>
          <w:rFonts w:eastAsia="Calibri"/>
          <w:lang w:val="es-HN"/>
        </w:rPr>
        <w:tab/>
        <w:t>E.</w:t>
      </w:r>
      <w:r>
        <w:rPr>
          <w:rFonts w:eastAsia="Calibri"/>
          <w:lang w:val="es-HN"/>
        </w:rPr>
        <w:tab/>
      </w:r>
      <w:r w:rsidRPr="00E61B7B">
        <w:rPr>
          <w:rFonts w:eastAsia="Calibri"/>
          <w:lang w:val="es-HN"/>
        </w:rPr>
        <w:t>Corrupción y Derechos Humanos</w:t>
      </w:r>
    </w:p>
    <w:p w14:paraId="16F429FD" w14:textId="77777777" w:rsidR="00826C25" w:rsidRDefault="00826C25" w:rsidP="00F367A1">
      <w:pPr>
        <w:pStyle w:val="SingleTxtG"/>
        <w:numPr>
          <w:ilvl w:val="1"/>
          <w:numId w:val="7"/>
        </w:numPr>
        <w:suppressAutoHyphens w:val="0"/>
        <w:spacing w:line="240" w:lineRule="auto"/>
        <w:ind w:left="1134" w:firstLine="0"/>
        <w:rPr>
          <w:lang w:val="es-HN"/>
        </w:rPr>
      </w:pPr>
      <w:r w:rsidRPr="00467301">
        <w:rPr>
          <w:lang w:val="es-HN"/>
        </w:rPr>
        <w:t>En octubre, la Unidad Fiscal Especializada contra Redes de Corrupción del Ministerio Público (UFERCO)</w:t>
      </w:r>
      <w:r>
        <w:rPr>
          <w:lang w:val="es-HN"/>
        </w:rPr>
        <w:t xml:space="preserve"> </w:t>
      </w:r>
      <w:r w:rsidRPr="00467301">
        <w:rPr>
          <w:lang w:val="es-HN"/>
        </w:rPr>
        <w:t>presentó acusación contra los expresidentes Porfirio Lobo Sosa y Juan Orlando Hernández en el caso Pandora II. El requerimiento fiscal, que incluye a otros seis exfuncionarios, se presentó ante la Corte Suprema de Justicia debido a que el expresidente Hernández ostenta todavía la calidad de diputado al Parlamento Centroamericano</w:t>
      </w:r>
      <w:r>
        <w:rPr>
          <w:rStyle w:val="FootnoteReference"/>
          <w:lang w:val="es-HN"/>
        </w:rPr>
        <w:footnoteReference w:id="29"/>
      </w:r>
      <w:r>
        <w:rPr>
          <w:lang w:val="es-HN"/>
        </w:rPr>
        <w:t xml:space="preserve"> </w:t>
      </w:r>
      <w:r w:rsidRPr="00467301">
        <w:rPr>
          <w:lang w:val="es-HN"/>
        </w:rPr>
        <w:t>y por lo tanto tiene inmunidad</w:t>
      </w:r>
      <w:r>
        <w:rPr>
          <w:lang w:val="es-HN"/>
        </w:rPr>
        <w:t>.</w:t>
      </w:r>
    </w:p>
    <w:p w14:paraId="2FFB9B1D" w14:textId="77777777" w:rsidR="00826C25" w:rsidRDefault="00826C25" w:rsidP="00F367A1">
      <w:pPr>
        <w:pStyle w:val="SingleTxtG"/>
        <w:numPr>
          <w:ilvl w:val="1"/>
          <w:numId w:val="7"/>
        </w:numPr>
        <w:suppressAutoHyphens w:val="0"/>
        <w:spacing w:line="240" w:lineRule="auto"/>
        <w:ind w:left="1134" w:firstLine="0"/>
        <w:rPr>
          <w:lang w:val="es-HN"/>
        </w:rPr>
      </w:pPr>
      <w:r w:rsidRPr="00467301">
        <w:rPr>
          <w:lang w:val="es-HN"/>
        </w:rPr>
        <w:t>La Oficina saluda la derogación por el Congreso de los decretos 116-2019 y 57-2020 y la reforma parcial del 93-2021, que formaban parte del llamado “Pacto de Impunidad”. Sin embargo,</w:t>
      </w:r>
      <w:r>
        <w:rPr>
          <w:lang w:val="es-HN"/>
        </w:rPr>
        <w:t xml:space="preserve"> </w:t>
      </w:r>
      <w:r w:rsidRPr="00467301">
        <w:rPr>
          <w:lang w:val="es-HN"/>
        </w:rPr>
        <w:t>la aprobación de la Ley de Colaboración Eficaz y otras reformas legales necesarias son esenciales para fortalecer las capacidades del Estado en la lucha eficaz contra la corrupción</w:t>
      </w:r>
      <w:r>
        <w:rPr>
          <w:lang w:val="es-HN"/>
        </w:rPr>
        <w:t xml:space="preserve">, </w:t>
      </w:r>
      <w:r w:rsidRPr="00467301">
        <w:rPr>
          <w:lang w:val="es-HN"/>
        </w:rPr>
        <w:t>así como asignar suficientes recursos a las entidades encargadas de la investigación y persecución penal de la corrupción como la UFERCO.</w:t>
      </w:r>
    </w:p>
    <w:p w14:paraId="627A8275" w14:textId="77777777" w:rsidR="00826C25" w:rsidRPr="00467301" w:rsidRDefault="00826C25" w:rsidP="00F367A1">
      <w:pPr>
        <w:pStyle w:val="SingleTxtG"/>
        <w:numPr>
          <w:ilvl w:val="1"/>
          <w:numId w:val="7"/>
        </w:numPr>
        <w:suppressAutoHyphens w:val="0"/>
        <w:spacing w:line="240" w:lineRule="auto"/>
        <w:ind w:left="1134" w:firstLine="0"/>
        <w:rPr>
          <w:rFonts w:eastAsia="Calibri"/>
          <w:b/>
          <w:sz w:val="28"/>
          <w:lang w:val="es-HN"/>
        </w:rPr>
      </w:pPr>
      <w:r w:rsidRPr="00467301">
        <w:rPr>
          <w:lang w:val="es-HN"/>
        </w:rPr>
        <w:t>Se produjeron cuatro visitas al país del grupo de expertos de la ONU</w:t>
      </w:r>
      <w:r>
        <w:rPr>
          <w:rStyle w:val="FootnoteReference"/>
          <w:lang w:val="es-HN"/>
        </w:rPr>
        <w:footnoteReference w:id="30"/>
      </w:r>
      <w:r w:rsidRPr="00467301">
        <w:rPr>
          <w:lang w:val="es-HN"/>
        </w:rPr>
        <w:t xml:space="preserve"> para proporcionar asistencia técnica al Estado para el posible establecimiento de la Comisión Internacional Contra la Corrupción e Impunidad en Honduras. En diciembre, la Asamblea General de la ONU solicitó al </w:t>
      </w:r>
      <w:proofErr w:type="gramStart"/>
      <w:r w:rsidRPr="00467301">
        <w:rPr>
          <w:lang w:val="es-HN"/>
        </w:rPr>
        <w:t>Secretario General</w:t>
      </w:r>
      <w:proofErr w:type="gramEnd"/>
      <w:r w:rsidRPr="00467301">
        <w:rPr>
          <w:lang w:val="es-HN"/>
        </w:rPr>
        <w:t xml:space="preserve"> apoyar la iniciativa del Gobierno en la lucha contra la corrupción y la impunidad</w:t>
      </w:r>
      <w:r>
        <w:rPr>
          <w:rStyle w:val="FootnoteReference"/>
          <w:lang w:val="es-HN"/>
        </w:rPr>
        <w:footnoteReference w:id="31"/>
      </w:r>
      <w:r w:rsidRPr="00467301">
        <w:rPr>
          <w:lang w:val="es-HN"/>
        </w:rPr>
        <w:t>.</w:t>
      </w:r>
    </w:p>
    <w:p w14:paraId="10EBBFAD" w14:textId="77777777" w:rsidR="00826C25" w:rsidRPr="00E61B7B" w:rsidRDefault="00826C25" w:rsidP="00826C25">
      <w:pPr>
        <w:pStyle w:val="HChG"/>
        <w:rPr>
          <w:lang w:val="es-HN"/>
        </w:rPr>
      </w:pPr>
      <w:r>
        <w:rPr>
          <w:rFonts w:eastAsia="Calibri"/>
          <w:lang w:val="es-HN"/>
        </w:rPr>
        <w:lastRenderedPageBreak/>
        <w:tab/>
        <w:t>IV.</w:t>
      </w:r>
      <w:r>
        <w:rPr>
          <w:rFonts w:eastAsia="Calibri"/>
          <w:lang w:val="es-HN"/>
        </w:rPr>
        <w:tab/>
      </w:r>
      <w:r w:rsidRPr="00E61B7B">
        <w:rPr>
          <w:rFonts w:eastAsia="Calibri"/>
          <w:lang w:val="es-HN"/>
        </w:rPr>
        <w:t>Desarrollo y derechos económicos, sociales y culturales</w:t>
      </w:r>
    </w:p>
    <w:p w14:paraId="3F2500B4" w14:textId="77777777" w:rsidR="00826C25" w:rsidRPr="00E61B7B" w:rsidRDefault="00826C25" w:rsidP="00F367A1">
      <w:pPr>
        <w:pStyle w:val="SingleTxtG"/>
        <w:numPr>
          <w:ilvl w:val="1"/>
          <w:numId w:val="7"/>
        </w:numPr>
        <w:suppressAutoHyphens w:val="0"/>
        <w:spacing w:line="240" w:lineRule="auto"/>
        <w:ind w:left="1134" w:firstLine="0"/>
        <w:rPr>
          <w:lang w:val="es-HN"/>
        </w:rPr>
      </w:pPr>
      <w:r>
        <w:rPr>
          <w:lang w:val="es-HN"/>
        </w:rPr>
        <w:t>E</w:t>
      </w:r>
      <w:r w:rsidRPr="00E61B7B">
        <w:rPr>
          <w:lang w:val="es-HN"/>
        </w:rPr>
        <w:t>l PIB de Honduras creció aproximadamente un 3,4%</w:t>
      </w:r>
      <w:r>
        <w:rPr>
          <w:lang w:val="es-HN"/>
        </w:rPr>
        <w:t xml:space="preserve"> en 2023</w:t>
      </w:r>
      <w:r w:rsidRPr="00E61B7B">
        <w:rPr>
          <w:lang w:val="es-HN"/>
        </w:rPr>
        <w:t>, superando la media de la región</w:t>
      </w:r>
      <w:r w:rsidRPr="00E61B7B">
        <w:rPr>
          <w:rStyle w:val="FootnoteReference"/>
          <w:lang w:val="es-HN"/>
        </w:rPr>
        <w:footnoteReference w:id="32"/>
      </w:r>
      <w:r w:rsidRPr="00E61B7B">
        <w:rPr>
          <w:lang w:val="es-HN"/>
        </w:rPr>
        <w:t>. La economía ha mostrado resiliencia frente a shocks internos y externos</w:t>
      </w:r>
      <w:r w:rsidRPr="00E61B7B">
        <w:rPr>
          <w:rStyle w:val="FootnoteReference"/>
          <w:lang w:val="es-HN"/>
        </w:rPr>
        <w:footnoteReference w:id="33"/>
      </w:r>
      <w:r>
        <w:rPr>
          <w:lang w:val="es-HN"/>
        </w:rPr>
        <w:t xml:space="preserve"> y se ha incrementado</w:t>
      </w:r>
      <w:r w:rsidRPr="00E61B7B">
        <w:rPr>
          <w:lang w:val="es-HN"/>
        </w:rPr>
        <w:t xml:space="preserve"> la inversión pública</w:t>
      </w:r>
      <w:r w:rsidRPr="00E61B7B">
        <w:rPr>
          <w:rStyle w:val="FootnoteReference"/>
          <w:lang w:val="es-HN"/>
        </w:rPr>
        <w:footnoteReference w:id="34"/>
      </w:r>
      <w:r>
        <w:rPr>
          <w:lang w:val="es-HN"/>
        </w:rPr>
        <w:t xml:space="preserve"> y</w:t>
      </w:r>
      <w:r w:rsidRPr="00E61B7B">
        <w:rPr>
          <w:lang w:val="es-HN"/>
        </w:rPr>
        <w:t xml:space="preserve"> la inversión orientada a la producción agrícola</w:t>
      </w:r>
      <w:r>
        <w:rPr>
          <w:lang w:val="es-HN"/>
        </w:rPr>
        <w:t>.</w:t>
      </w:r>
    </w:p>
    <w:p w14:paraId="0998BD5B" w14:textId="77777777" w:rsidR="00826C25" w:rsidRPr="00E61B7B" w:rsidRDefault="00826C25" w:rsidP="00F367A1">
      <w:pPr>
        <w:pStyle w:val="SingleTxtG"/>
        <w:numPr>
          <w:ilvl w:val="1"/>
          <w:numId w:val="7"/>
        </w:numPr>
        <w:suppressAutoHyphens w:val="0"/>
        <w:spacing w:line="240" w:lineRule="auto"/>
        <w:ind w:left="1134" w:firstLine="0"/>
        <w:rPr>
          <w:lang w:val="es-HN"/>
        </w:rPr>
      </w:pPr>
      <w:r w:rsidRPr="00E61B7B">
        <w:rPr>
          <w:lang w:val="es-HN"/>
        </w:rPr>
        <w:t>En 2023, el pago del servicio de la deuda externa constituyó 21% del total del presupuesto, siendo la partida presupuestaria más elevada del país, superior al 16% presupuestado para la Secretaría de Educación y al 11% para la Secretaría de Salud</w:t>
      </w:r>
      <w:r w:rsidRPr="00E61B7B">
        <w:rPr>
          <w:rStyle w:val="FootnoteReference"/>
          <w:lang w:val="es-HN"/>
        </w:rPr>
        <w:footnoteReference w:id="35"/>
      </w:r>
      <w:r w:rsidRPr="00E61B7B">
        <w:rPr>
          <w:lang w:val="es-HN"/>
        </w:rPr>
        <w:t>. El elevado endeudamiento, equivalente al 47.1% del PIB en 2023</w:t>
      </w:r>
      <w:r w:rsidRPr="00E61B7B">
        <w:rPr>
          <w:rStyle w:val="FootnoteReference"/>
          <w:lang w:val="es-HN"/>
        </w:rPr>
        <w:footnoteReference w:id="36"/>
      </w:r>
      <w:r w:rsidRPr="00E61B7B">
        <w:rPr>
          <w:lang w:val="es-HN"/>
        </w:rPr>
        <w:t xml:space="preserve">, y el pago del servicio de la deuda externa es uno de los factores que impide </w:t>
      </w:r>
      <w:r>
        <w:rPr>
          <w:lang w:val="es-HN"/>
        </w:rPr>
        <w:t>al Estado disponer de un porcentaje más alto del presupuesto destinado a políticas para disminuir la desigualdad, así como para lograr la plena efectividad y disfrute de los derechos humanos</w:t>
      </w:r>
      <w:r w:rsidRPr="00E61B7B">
        <w:rPr>
          <w:rStyle w:val="FootnoteReference"/>
          <w:lang w:val="es-HN"/>
        </w:rPr>
        <w:footnoteReference w:id="37"/>
      </w:r>
      <w:r w:rsidRPr="00E61B7B">
        <w:rPr>
          <w:lang w:val="es-HN"/>
        </w:rPr>
        <w:t>.</w:t>
      </w:r>
    </w:p>
    <w:p w14:paraId="43A4F5DE" w14:textId="77777777" w:rsidR="00826C25" w:rsidRDefault="00826C25" w:rsidP="00F367A1">
      <w:pPr>
        <w:pStyle w:val="SingleTxtG"/>
        <w:numPr>
          <w:ilvl w:val="1"/>
          <w:numId w:val="7"/>
        </w:numPr>
        <w:suppressAutoHyphens w:val="0"/>
        <w:spacing w:line="240" w:lineRule="auto"/>
        <w:ind w:left="1134" w:firstLine="0"/>
        <w:rPr>
          <w:lang w:val="es-HN"/>
        </w:rPr>
      </w:pPr>
      <w:r w:rsidRPr="00E0515A">
        <w:rPr>
          <w:lang w:val="es-HN"/>
        </w:rPr>
        <w:t xml:space="preserve">La Oficina reitera que el marco regulatorio de las Zonas de Empleo y Desarrollo Económico </w:t>
      </w:r>
      <w:r>
        <w:rPr>
          <w:lang w:val="es-HN"/>
        </w:rPr>
        <w:t>(</w:t>
      </w:r>
      <w:r w:rsidRPr="00E0515A">
        <w:rPr>
          <w:lang w:val="es-HN"/>
        </w:rPr>
        <w:t>ZEDE</w:t>
      </w:r>
      <w:r>
        <w:rPr>
          <w:lang w:val="es-HN"/>
        </w:rPr>
        <w:t>)</w:t>
      </w:r>
      <w:r w:rsidRPr="00E0515A">
        <w:rPr>
          <w:lang w:val="es-HN"/>
        </w:rPr>
        <w:t xml:space="preserve"> y su implementación podrían afectar negativamente: i) el derecho a la consulta previa, libre e informada, habida cuenta de la existencia de pueblos indígenas y </w:t>
      </w:r>
      <w:proofErr w:type="spellStart"/>
      <w:r w:rsidRPr="00E0515A">
        <w:rPr>
          <w:lang w:val="es-HN"/>
        </w:rPr>
        <w:t>afrohondureños</w:t>
      </w:r>
      <w:proofErr w:type="spellEnd"/>
      <w:r w:rsidRPr="00E0515A">
        <w:rPr>
          <w:lang w:val="es-HN"/>
        </w:rPr>
        <w:t xml:space="preserve"> en la jurisdicción de las ZEDE; </w:t>
      </w:r>
      <w:proofErr w:type="spellStart"/>
      <w:r w:rsidRPr="00E0515A">
        <w:rPr>
          <w:lang w:val="es-HN"/>
        </w:rPr>
        <w:t>ii</w:t>
      </w:r>
      <w:proofErr w:type="spellEnd"/>
      <w:r w:rsidRPr="00E0515A">
        <w:rPr>
          <w:lang w:val="es-HN"/>
        </w:rPr>
        <w:t xml:space="preserve">) la tutela del derecho a la propiedad frente a eventuales expropiaciones; </w:t>
      </w:r>
      <w:proofErr w:type="spellStart"/>
      <w:r w:rsidRPr="00E0515A">
        <w:rPr>
          <w:lang w:val="es-HN"/>
        </w:rPr>
        <w:t>iii</w:t>
      </w:r>
      <w:proofErr w:type="spellEnd"/>
      <w:r w:rsidRPr="00E0515A">
        <w:rPr>
          <w:lang w:val="es-HN"/>
        </w:rPr>
        <w:t xml:space="preserve">) el acceso a la salud, educación y seguridad social, cuya eventual privatización excluiría a quienes no puedan pagar sus costos; </w:t>
      </w:r>
      <w:proofErr w:type="spellStart"/>
      <w:r w:rsidRPr="00E0515A">
        <w:rPr>
          <w:lang w:val="es-HN"/>
        </w:rPr>
        <w:t>iv</w:t>
      </w:r>
      <w:proofErr w:type="spellEnd"/>
      <w:r w:rsidRPr="00E0515A">
        <w:rPr>
          <w:lang w:val="es-HN"/>
        </w:rPr>
        <w:t>) el derecho a la información de las personas que viven en las comunidades afectadas, dada la opacidad con la que se ha llevado a cabo el proceso de negociación e instalación de las respectivas ZEDE.</w:t>
      </w:r>
      <w:r>
        <w:rPr>
          <w:rStyle w:val="FootnoteReference"/>
          <w:lang w:val="es-HN"/>
        </w:rPr>
        <w:footnoteReference w:id="38"/>
      </w:r>
      <w:r w:rsidRPr="00E0515A">
        <w:rPr>
          <w:lang w:val="es-HN"/>
        </w:rPr>
        <w:t xml:space="preserve"> Las disposiciones que derogan el marco normativo relativo a las ZEDE, adoptadas en 2022,</w:t>
      </w:r>
      <w:r>
        <w:rPr>
          <w:lang w:val="es-HN"/>
        </w:rPr>
        <w:t xml:space="preserve"> </w:t>
      </w:r>
      <w:r w:rsidRPr="00E0515A">
        <w:rPr>
          <w:lang w:val="es-HN"/>
        </w:rPr>
        <w:t xml:space="preserve">no ha surtido sus plenos efectos jurídicos debido a la falta de ratificación de la derogación de la reforma constitucional respectiva. </w:t>
      </w:r>
    </w:p>
    <w:p w14:paraId="05C4F88C" w14:textId="7F9C318E" w:rsidR="00826C25" w:rsidRPr="00593C5F" w:rsidRDefault="0018662F" w:rsidP="00593C5F">
      <w:pPr>
        <w:pStyle w:val="SingleTxtG"/>
        <w:numPr>
          <w:ilvl w:val="1"/>
          <w:numId w:val="7"/>
        </w:numPr>
        <w:suppressAutoHyphens w:val="0"/>
        <w:spacing w:line="240" w:lineRule="auto"/>
        <w:ind w:left="1134" w:firstLine="0"/>
        <w:rPr>
          <w:lang w:val="es-HN"/>
        </w:rPr>
      </w:pPr>
      <w:bookmarkStart w:id="1" w:name="_Hlk160193184"/>
      <w:r w:rsidRPr="00593C5F">
        <w:rPr>
          <w:lang w:val="es-HN"/>
        </w:rPr>
        <w:t xml:space="preserve">OACNUDH reconoce los avances </w:t>
      </w:r>
      <w:r w:rsidR="00441221" w:rsidRPr="00593C5F">
        <w:rPr>
          <w:lang w:val="es-HN"/>
        </w:rPr>
        <w:t>realizados por el</w:t>
      </w:r>
      <w:r w:rsidRPr="00593C5F">
        <w:rPr>
          <w:lang w:val="es-HN"/>
        </w:rPr>
        <w:t xml:space="preserve"> Estado para elaborar y ejecutar políticas públicas que promuev</w:t>
      </w:r>
      <w:r w:rsidR="00593C5F" w:rsidRPr="00593C5F">
        <w:rPr>
          <w:lang w:val="es-HN"/>
        </w:rPr>
        <w:t>e</w:t>
      </w:r>
      <w:r w:rsidRPr="00593C5F">
        <w:rPr>
          <w:lang w:val="es-HN"/>
        </w:rPr>
        <w:t>n el desarrollo equitativo y sostenible, en las que los derechos humanos y la protección del medioambiente t</w:t>
      </w:r>
      <w:r w:rsidR="00593C5F" w:rsidRPr="00593C5F">
        <w:rPr>
          <w:lang w:val="es-HN"/>
        </w:rPr>
        <w:t>ienen</w:t>
      </w:r>
      <w:r w:rsidRPr="00593C5F">
        <w:rPr>
          <w:lang w:val="es-HN"/>
        </w:rPr>
        <w:t xml:space="preserve"> un rol central, </w:t>
      </w:r>
      <w:r w:rsidR="00CA7049" w:rsidRPr="00593C5F">
        <w:rPr>
          <w:lang w:val="es-HN"/>
        </w:rPr>
        <w:t xml:space="preserve">así como esfuerzos por proponer </w:t>
      </w:r>
      <w:r w:rsidR="00441221" w:rsidRPr="00593C5F">
        <w:rPr>
          <w:lang w:val="es-HN"/>
        </w:rPr>
        <w:t>modificaciones a</w:t>
      </w:r>
      <w:r w:rsidRPr="00593C5F">
        <w:rPr>
          <w:lang w:val="es-HN"/>
        </w:rPr>
        <w:t xml:space="preserve">l marco legal </w:t>
      </w:r>
      <w:r w:rsidR="00441221" w:rsidRPr="00593C5F">
        <w:rPr>
          <w:lang w:val="es-HN"/>
        </w:rPr>
        <w:t>con la finalidad de establecer</w:t>
      </w:r>
      <w:r w:rsidRPr="00593C5F">
        <w:rPr>
          <w:lang w:val="es-HN"/>
        </w:rPr>
        <w:t xml:space="preserve"> un sistema tributario progresivo y </w:t>
      </w:r>
      <w:r w:rsidR="00593C5F" w:rsidRPr="00593C5F">
        <w:rPr>
          <w:lang w:val="es-HN"/>
        </w:rPr>
        <w:t xml:space="preserve">que </w:t>
      </w:r>
      <w:r w:rsidRPr="00593C5F">
        <w:rPr>
          <w:lang w:val="es-HN"/>
        </w:rPr>
        <w:t>promueva una distribución más justa de los recursos.</w:t>
      </w:r>
      <w:bookmarkEnd w:id="1"/>
    </w:p>
    <w:p w14:paraId="707FD71E" w14:textId="77777777" w:rsidR="00826C25" w:rsidRPr="00E61B7B" w:rsidRDefault="00826C25" w:rsidP="00826C25">
      <w:pPr>
        <w:pStyle w:val="H1G"/>
        <w:rPr>
          <w:rFonts w:eastAsia="Calibri"/>
          <w:lang w:val="es-HN"/>
        </w:rPr>
      </w:pPr>
      <w:r>
        <w:rPr>
          <w:rFonts w:eastAsia="Calibri"/>
          <w:lang w:val="es-HN"/>
        </w:rPr>
        <w:tab/>
        <w:t>A.</w:t>
      </w:r>
      <w:r>
        <w:rPr>
          <w:rFonts w:eastAsia="Calibri"/>
          <w:lang w:val="es-HN"/>
        </w:rPr>
        <w:tab/>
      </w:r>
      <w:r w:rsidRPr="00E61B7B">
        <w:rPr>
          <w:rFonts w:eastAsia="Calibri"/>
          <w:lang w:val="es-HN"/>
        </w:rPr>
        <w:t>Acceso a los derechos económicos, sociales y culturales</w:t>
      </w:r>
    </w:p>
    <w:p w14:paraId="736C85F1" w14:textId="77777777" w:rsidR="00826C25" w:rsidRPr="00E61B7B" w:rsidRDefault="00826C25" w:rsidP="00F367A1">
      <w:pPr>
        <w:pStyle w:val="SingleTxtG"/>
        <w:numPr>
          <w:ilvl w:val="1"/>
          <w:numId w:val="7"/>
        </w:numPr>
        <w:suppressAutoHyphens w:val="0"/>
        <w:spacing w:line="240" w:lineRule="auto"/>
        <w:ind w:left="1134" w:firstLine="0"/>
        <w:rPr>
          <w:lang w:val="es-HN"/>
        </w:rPr>
      </w:pPr>
      <w:r w:rsidRPr="00E61B7B">
        <w:rPr>
          <w:lang w:val="es-HN"/>
        </w:rPr>
        <w:t>En 2023</w:t>
      </w:r>
      <w:r>
        <w:rPr>
          <w:lang w:val="es-HN"/>
        </w:rPr>
        <w:t xml:space="preserve">, </w:t>
      </w:r>
      <w:r w:rsidRPr="00E61B7B">
        <w:rPr>
          <w:lang w:val="es-HN"/>
        </w:rPr>
        <w:t xml:space="preserve">se </w:t>
      </w:r>
      <w:r>
        <w:rPr>
          <w:lang w:val="es-HN"/>
        </w:rPr>
        <w:t>registró un</w:t>
      </w:r>
      <w:r w:rsidRPr="00E61B7B">
        <w:rPr>
          <w:lang w:val="es-HN"/>
        </w:rPr>
        <w:t xml:space="preserve"> desabastecimiento de medicamentos e insumos quirúrgicos en el sistema de salud y paralizaciones en centros de salud y hospitales</w:t>
      </w:r>
      <w:r>
        <w:rPr>
          <w:lang w:val="es-HN"/>
        </w:rPr>
        <w:t xml:space="preserve"> públicos</w:t>
      </w:r>
      <w:r w:rsidRPr="00E61B7B">
        <w:rPr>
          <w:lang w:val="es-HN"/>
        </w:rPr>
        <w:t xml:space="preserve">, afectando principalmente a las personas de escasos recursos. </w:t>
      </w:r>
    </w:p>
    <w:p w14:paraId="255B6C0F" w14:textId="77777777" w:rsidR="00826C25" w:rsidRDefault="00826C25" w:rsidP="00F367A1">
      <w:pPr>
        <w:pStyle w:val="SingleTxtG"/>
        <w:numPr>
          <w:ilvl w:val="1"/>
          <w:numId w:val="7"/>
        </w:numPr>
        <w:suppressAutoHyphens w:val="0"/>
        <w:spacing w:line="240" w:lineRule="auto"/>
        <w:ind w:left="1134" w:firstLine="0"/>
        <w:rPr>
          <w:lang w:val="es-HN"/>
        </w:rPr>
      </w:pPr>
      <w:r w:rsidRPr="00535F28">
        <w:rPr>
          <w:lang w:val="es-HN"/>
        </w:rPr>
        <w:t>Los impactos de los fenómenos climatológicos adversos de años anteriores siguen generando retos para asegurar la disponibilidad de alimentos en cantidad y calidad suficientes para satisfacer las necesidades alimentarias de la población. La sequía en el Corredor Seco se ha visto agravada por los efectos del fenómeno El Niño. Desde abril, se han registrado los niveles de precipitaciones más bajos en Centroamérica de los últimos 43 años, lo que se ha traducido en la pérdida de cosechas y disminución en los cultivos</w:t>
      </w:r>
      <w:r w:rsidRPr="00E61B7B">
        <w:rPr>
          <w:rStyle w:val="FootnoteReference"/>
          <w:rFonts w:eastAsia="Calibri"/>
          <w:lang w:val="es-HN"/>
        </w:rPr>
        <w:footnoteReference w:id="39"/>
      </w:r>
      <w:r w:rsidRPr="00535F28">
        <w:rPr>
          <w:lang w:val="es-HN"/>
        </w:rPr>
        <w:t>, contribuyendo a la migración y desplazamiento de las comunidades afectadas</w:t>
      </w:r>
      <w:r w:rsidRPr="00E61B7B">
        <w:rPr>
          <w:rStyle w:val="FootnoteReference"/>
          <w:lang w:val="es-HN"/>
        </w:rPr>
        <w:footnoteReference w:id="40"/>
      </w:r>
      <w:r w:rsidRPr="00535F28">
        <w:rPr>
          <w:lang w:val="es-HN"/>
        </w:rPr>
        <w:t>.</w:t>
      </w:r>
    </w:p>
    <w:p w14:paraId="3F4D3884" w14:textId="77777777" w:rsidR="00826C25" w:rsidRPr="00535F28" w:rsidRDefault="00826C25" w:rsidP="00F367A1">
      <w:pPr>
        <w:pStyle w:val="SingleTxtG"/>
        <w:numPr>
          <w:ilvl w:val="1"/>
          <w:numId w:val="7"/>
        </w:numPr>
        <w:suppressAutoHyphens w:val="0"/>
        <w:spacing w:line="240" w:lineRule="auto"/>
        <w:ind w:left="1134" w:firstLine="0"/>
        <w:rPr>
          <w:lang w:val="es-HN"/>
        </w:rPr>
      </w:pPr>
      <w:r w:rsidRPr="00535F28">
        <w:rPr>
          <w:lang w:val="es-HN"/>
        </w:rPr>
        <w:t xml:space="preserve">La sentencia de amparo del Juzgado de Letras de lo Contencioso-Administrativo de San Pedro Sula que exige la garantía efectiva de los derechos a la alimentación y a la salud </w:t>
      </w:r>
      <w:r w:rsidRPr="00535F28">
        <w:rPr>
          <w:lang w:val="es-HN"/>
        </w:rPr>
        <w:lastRenderedPageBreak/>
        <w:t xml:space="preserve">de la comunidad indígena tolupán de San Francisco de </w:t>
      </w:r>
      <w:proofErr w:type="spellStart"/>
      <w:r w:rsidRPr="00535F28">
        <w:rPr>
          <w:lang w:val="es-HN"/>
        </w:rPr>
        <w:t>Locomapa</w:t>
      </w:r>
      <w:proofErr w:type="spellEnd"/>
      <w:r w:rsidRPr="00535F28">
        <w:rPr>
          <w:lang w:val="es-HN"/>
        </w:rPr>
        <w:t xml:space="preserve"> está pendiente de implementación por parte de la corporación municipal</w:t>
      </w:r>
      <w:r w:rsidRPr="00E61B7B">
        <w:rPr>
          <w:rStyle w:val="FootnoteReference"/>
          <w:rFonts w:eastAsia="Calibri"/>
          <w:lang w:val="es-HN"/>
        </w:rPr>
        <w:footnoteReference w:id="41"/>
      </w:r>
      <w:r>
        <w:rPr>
          <w:lang w:val="es-HN"/>
        </w:rPr>
        <w:t>.</w:t>
      </w:r>
      <w:r w:rsidRPr="00535F28">
        <w:rPr>
          <w:lang w:val="es-HN"/>
        </w:rPr>
        <w:t xml:space="preserve"> </w:t>
      </w:r>
    </w:p>
    <w:p w14:paraId="107DFB38" w14:textId="77777777" w:rsidR="00826C25" w:rsidRPr="00D82F1F" w:rsidRDefault="00826C25" w:rsidP="00F367A1">
      <w:pPr>
        <w:pStyle w:val="SingleTxtG"/>
        <w:numPr>
          <w:ilvl w:val="1"/>
          <w:numId w:val="7"/>
        </w:numPr>
        <w:suppressAutoHyphens w:val="0"/>
        <w:spacing w:line="240" w:lineRule="auto"/>
        <w:ind w:left="1134" w:firstLine="0"/>
        <w:rPr>
          <w:lang w:val="es-HN"/>
        </w:rPr>
      </w:pPr>
      <w:r w:rsidRPr="00D82F1F">
        <w:rPr>
          <w:lang w:val="es-HN"/>
        </w:rPr>
        <w:t xml:space="preserve">La Oficina recibió información y dio seguimiento a la situación de 240 mujeres trabajadoras del sector maquila quienes alegan padecer enfermedades derivadas de las condiciones de trabajo, varias de las cuales </w:t>
      </w:r>
      <w:r>
        <w:rPr>
          <w:lang w:val="es-HN"/>
        </w:rPr>
        <w:t>fueron despedidas</w:t>
      </w:r>
      <w:r w:rsidRPr="00D82F1F">
        <w:rPr>
          <w:lang w:val="es-HN"/>
        </w:rPr>
        <w:t>.</w:t>
      </w:r>
      <w:r>
        <w:rPr>
          <w:lang w:val="es-HN"/>
        </w:rPr>
        <w:t xml:space="preserve"> </w:t>
      </w:r>
    </w:p>
    <w:p w14:paraId="4C1B4FF6" w14:textId="77777777" w:rsidR="00826C25" w:rsidRPr="00E61B7B" w:rsidRDefault="00826C25" w:rsidP="00826C25">
      <w:pPr>
        <w:pStyle w:val="H1G"/>
        <w:rPr>
          <w:rFonts w:eastAsia="Calibri"/>
          <w:lang w:val="es-HN"/>
        </w:rPr>
      </w:pPr>
      <w:r>
        <w:rPr>
          <w:rFonts w:eastAsia="Calibri"/>
          <w:lang w:val="es-HN"/>
        </w:rPr>
        <w:tab/>
        <w:t>B.</w:t>
      </w:r>
      <w:r>
        <w:rPr>
          <w:rFonts w:eastAsia="Calibri"/>
          <w:lang w:val="es-HN"/>
        </w:rPr>
        <w:tab/>
      </w:r>
      <w:r w:rsidRPr="00E61B7B">
        <w:rPr>
          <w:rFonts w:eastAsia="Calibri"/>
          <w:lang w:val="es-HN"/>
        </w:rPr>
        <w:t>Acceso a la tierra, recursos naturales y medio ambiente</w:t>
      </w:r>
    </w:p>
    <w:p w14:paraId="4ED7682F" w14:textId="77777777" w:rsidR="00826C25" w:rsidRPr="00E61B7B" w:rsidRDefault="00826C25" w:rsidP="00F367A1">
      <w:pPr>
        <w:pStyle w:val="SingleTxtG"/>
        <w:numPr>
          <w:ilvl w:val="1"/>
          <w:numId w:val="7"/>
        </w:numPr>
        <w:suppressAutoHyphens w:val="0"/>
        <w:spacing w:line="240" w:lineRule="auto"/>
        <w:ind w:left="1134" w:firstLine="0"/>
        <w:rPr>
          <w:lang w:val="es-HN"/>
        </w:rPr>
      </w:pPr>
      <w:bookmarkStart w:id="2" w:name="_Hlk153981962"/>
      <w:r>
        <w:rPr>
          <w:lang w:val="es-HN"/>
        </w:rPr>
        <w:t xml:space="preserve">El Gobierno inició </w:t>
      </w:r>
      <w:r w:rsidRPr="00E61B7B">
        <w:rPr>
          <w:lang w:val="es-HN"/>
        </w:rPr>
        <w:t>el proceso de reforma del sistema de licenciamiento ambiental con un enfoque de derechos humanos</w:t>
      </w:r>
      <w:r>
        <w:rPr>
          <w:lang w:val="es-HN"/>
        </w:rPr>
        <w:t xml:space="preserve"> a partir de asistencia técnica de la Oficina</w:t>
      </w:r>
      <w:r w:rsidRPr="00E61B7B">
        <w:rPr>
          <w:lang w:val="es-HN"/>
        </w:rPr>
        <w:t xml:space="preserve">. </w:t>
      </w:r>
      <w:r>
        <w:rPr>
          <w:lang w:val="es-HN"/>
        </w:rPr>
        <w:t>OACNUDH valora la voluntad del Gobierno de priorizar la protección del medio ambiente y los recursos naturales.</w:t>
      </w:r>
    </w:p>
    <w:p w14:paraId="38C4A86B" w14:textId="77777777" w:rsidR="00826C25" w:rsidRPr="00E61B7B" w:rsidRDefault="00826C25" w:rsidP="00F367A1">
      <w:pPr>
        <w:pStyle w:val="SingleTxtG"/>
        <w:numPr>
          <w:ilvl w:val="1"/>
          <w:numId w:val="7"/>
        </w:numPr>
        <w:suppressAutoHyphens w:val="0"/>
        <w:spacing w:line="240" w:lineRule="auto"/>
        <w:ind w:left="1134" w:firstLine="0"/>
        <w:rPr>
          <w:lang w:val="es-HN"/>
        </w:rPr>
      </w:pPr>
      <w:r>
        <w:rPr>
          <w:lang w:val="es-HN"/>
        </w:rPr>
        <w:t>Durante su visita al país, e</w:t>
      </w:r>
      <w:r w:rsidRPr="00E61B7B">
        <w:rPr>
          <w:lang w:val="es-HN"/>
        </w:rPr>
        <w:t xml:space="preserve">l Relator Especial sobre la promoción y protección de los derechos humanos en el contexto del cambio climático </w:t>
      </w:r>
      <w:r>
        <w:rPr>
          <w:lang w:val="es-HN"/>
        </w:rPr>
        <w:t xml:space="preserve">afirmó </w:t>
      </w:r>
      <w:r w:rsidRPr="00E61B7B">
        <w:rPr>
          <w:lang w:val="es-HN"/>
        </w:rPr>
        <w:t>que Honduras es uno de los países más vulnerables y afectados por el cambio climático, principalmente por las inundaciones, huracanes y sequías que afectan adversamente los derechos humanos y el desarrollo económico y social</w:t>
      </w:r>
      <w:r>
        <w:rPr>
          <w:rStyle w:val="FootnoteReference"/>
          <w:lang w:val="es-HN"/>
        </w:rPr>
        <w:footnoteReference w:id="42"/>
      </w:r>
      <w:r>
        <w:rPr>
          <w:lang w:val="es-HN"/>
        </w:rPr>
        <w:t>.</w:t>
      </w:r>
      <w:r w:rsidRPr="00E61B7B">
        <w:rPr>
          <w:lang w:val="es-HN"/>
        </w:rPr>
        <w:t xml:space="preserve"> </w:t>
      </w:r>
    </w:p>
    <w:p w14:paraId="6B7DE670" w14:textId="77777777" w:rsidR="00826C25" w:rsidRDefault="00826C25" w:rsidP="00F367A1">
      <w:pPr>
        <w:pStyle w:val="SingleTxtG"/>
        <w:numPr>
          <w:ilvl w:val="1"/>
          <w:numId w:val="7"/>
        </w:numPr>
        <w:suppressAutoHyphens w:val="0"/>
        <w:spacing w:line="240" w:lineRule="auto"/>
        <w:ind w:left="1134" w:firstLine="0"/>
        <w:rPr>
          <w:lang w:val="es-HN"/>
        </w:rPr>
      </w:pPr>
      <w:r w:rsidRPr="00AC201E">
        <w:rPr>
          <w:lang w:val="es-HN"/>
        </w:rPr>
        <w:t xml:space="preserve">OACNUDH observó que los conflictos sociales, ambientales y agrarios relacionados con la tierra y territorio continuaron impactando negativamente en los derechos humanos. Esta conflictividad deriva de problemas históricos como la distribución inequitativa de la tierra y recursos, la inseguridad en la tenencia de la tierra, las debilidades de la institucionalidad para decidir los derechos de propiedad y la superposición de títulos privados sobre títulos ancestrales, la falta de consulta y consentimiento libre, previo e informado de Pueblos Indígenas y </w:t>
      </w:r>
      <w:proofErr w:type="spellStart"/>
      <w:r w:rsidRPr="00AC201E">
        <w:rPr>
          <w:lang w:val="es-HN"/>
        </w:rPr>
        <w:t>afrohondureños</w:t>
      </w:r>
      <w:proofErr w:type="spellEnd"/>
      <w:r w:rsidRPr="00AC201E">
        <w:rPr>
          <w:lang w:val="es-HN"/>
        </w:rPr>
        <w:t>, así como irregularidades en la autorización y concesión de proyectos empresariales, principalmente extractivos.</w:t>
      </w:r>
    </w:p>
    <w:p w14:paraId="57FE4129" w14:textId="66FFA19C" w:rsidR="00826C25" w:rsidRDefault="00826C25" w:rsidP="00F367A1">
      <w:pPr>
        <w:pStyle w:val="SingleTxtG"/>
        <w:numPr>
          <w:ilvl w:val="1"/>
          <w:numId w:val="7"/>
        </w:numPr>
        <w:suppressAutoHyphens w:val="0"/>
        <w:spacing w:line="240" w:lineRule="auto"/>
        <w:ind w:left="1134" w:firstLine="0"/>
        <w:rPr>
          <w:lang w:val="es-HN"/>
        </w:rPr>
      </w:pPr>
      <w:r w:rsidRPr="00AC201E">
        <w:rPr>
          <w:lang w:val="es-HN"/>
        </w:rPr>
        <w:t>La Oficina observó</w:t>
      </w:r>
      <w:r>
        <w:rPr>
          <w:lang w:val="es-HN"/>
        </w:rPr>
        <w:t xml:space="preserve">, incluida en su actividad de monitoreo de varios casos específicos como </w:t>
      </w:r>
      <w:r w:rsidRPr="00AC201E">
        <w:rPr>
          <w:lang w:val="es-HN"/>
        </w:rPr>
        <w:t xml:space="preserve">Guapinol, Azacualpa, </w:t>
      </w:r>
      <w:proofErr w:type="spellStart"/>
      <w:r w:rsidRPr="00AC201E">
        <w:rPr>
          <w:lang w:val="es-HN"/>
        </w:rPr>
        <w:t>Jilamito</w:t>
      </w:r>
      <w:proofErr w:type="spellEnd"/>
      <w:r w:rsidRPr="00AC201E">
        <w:rPr>
          <w:lang w:val="es-HN"/>
        </w:rPr>
        <w:t xml:space="preserve">, Pajuiles y </w:t>
      </w:r>
      <w:proofErr w:type="spellStart"/>
      <w:r w:rsidRPr="00AC201E">
        <w:rPr>
          <w:lang w:val="es-HN"/>
        </w:rPr>
        <w:t>Locomapa</w:t>
      </w:r>
      <w:proofErr w:type="spellEnd"/>
      <w:r>
        <w:rPr>
          <w:lang w:val="es-HN"/>
        </w:rPr>
        <w:t>,</w:t>
      </w:r>
      <w:r w:rsidRPr="00AC201E">
        <w:rPr>
          <w:lang w:val="es-HN"/>
        </w:rPr>
        <w:t xml:space="preserve"> que algunas actividades empresariales, principalmente vinculadas a proyectos extractivos, impactaron negativamente en el disfrute de los derechos humanos y el derecho al medio ambiente limpio, saludable y sostenible, </w:t>
      </w:r>
      <w:r>
        <w:rPr>
          <w:lang w:val="es-HN"/>
        </w:rPr>
        <w:t>constituyendo en algunos casos posibles abusos de derechos humanos por parte de las empresas.</w:t>
      </w:r>
      <w:r w:rsidR="0026052E">
        <w:rPr>
          <w:lang w:val="es-HN"/>
        </w:rPr>
        <w:t xml:space="preserve"> </w:t>
      </w:r>
      <w:r w:rsidR="0026052E" w:rsidRPr="0026052E">
        <w:rPr>
          <w:lang w:val="es-HN"/>
        </w:rPr>
        <w:t>También observó que el Estado enfrenta retos en la regulación y control con relación a estas actividades empresariales.</w:t>
      </w:r>
    </w:p>
    <w:p w14:paraId="5016A014" w14:textId="77777777" w:rsidR="00826C25" w:rsidRDefault="00826C25" w:rsidP="00F367A1">
      <w:pPr>
        <w:pStyle w:val="SingleTxtG"/>
        <w:numPr>
          <w:ilvl w:val="1"/>
          <w:numId w:val="7"/>
        </w:numPr>
        <w:suppressAutoHyphens w:val="0"/>
        <w:spacing w:line="240" w:lineRule="auto"/>
        <w:ind w:left="1134" w:firstLine="0"/>
        <w:rPr>
          <w:lang w:val="es-HN"/>
        </w:rPr>
      </w:pPr>
      <w:r>
        <w:rPr>
          <w:lang w:val="es-HN"/>
        </w:rPr>
        <w:t xml:space="preserve">El 5 de diciembre, </w:t>
      </w:r>
      <w:r w:rsidRPr="00AC201E">
        <w:rPr>
          <w:lang w:val="es-HN"/>
        </w:rPr>
        <w:t>la Corte Suprema de Justicia</w:t>
      </w:r>
      <w:r>
        <w:rPr>
          <w:lang w:val="es-HN"/>
        </w:rPr>
        <w:t>, en el marco de una</w:t>
      </w:r>
      <w:r w:rsidRPr="00AC201E">
        <w:rPr>
          <w:lang w:val="es-HN"/>
        </w:rPr>
        <w:t xml:space="preserve"> tutela </w:t>
      </w:r>
      <w:r>
        <w:rPr>
          <w:lang w:val="es-HN"/>
        </w:rPr>
        <w:t>sobre el</w:t>
      </w:r>
      <w:r w:rsidRPr="00AC201E">
        <w:rPr>
          <w:lang w:val="es-HN"/>
        </w:rPr>
        <w:t xml:space="preserve"> derecho al agua y la salud, orden</w:t>
      </w:r>
      <w:r>
        <w:rPr>
          <w:lang w:val="es-HN"/>
        </w:rPr>
        <w:t>ó</w:t>
      </w:r>
      <w:r w:rsidRPr="00AC201E">
        <w:rPr>
          <w:lang w:val="es-HN"/>
        </w:rPr>
        <w:t xml:space="preserve"> </w:t>
      </w:r>
      <w:r>
        <w:rPr>
          <w:lang w:val="es-HN"/>
        </w:rPr>
        <w:t>la paralización de</w:t>
      </w:r>
      <w:r w:rsidRPr="00AC201E">
        <w:rPr>
          <w:lang w:val="es-HN"/>
        </w:rPr>
        <w:t xml:space="preserve"> las obras del proyecto hidroeléctrico en el río </w:t>
      </w:r>
      <w:proofErr w:type="spellStart"/>
      <w:r w:rsidRPr="00AC201E">
        <w:rPr>
          <w:lang w:val="es-HN"/>
        </w:rPr>
        <w:t>Mezapa</w:t>
      </w:r>
      <w:proofErr w:type="spellEnd"/>
      <w:r w:rsidRPr="00AC201E">
        <w:rPr>
          <w:lang w:val="es-HN"/>
        </w:rPr>
        <w:t xml:space="preserve"> de la comunidad de Pajuiles, hasta que </w:t>
      </w:r>
      <w:r>
        <w:rPr>
          <w:lang w:val="es-HN"/>
        </w:rPr>
        <w:t xml:space="preserve">se </w:t>
      </w:r>
      <w:r w:rsidRPr="00AC201E">
        <w:rPr>
          <w:lang w:val="es-HN"/>
        </w:rPr>
        <w:t>cumpla</w:t>
      </w:r>
      <w:r>
        <w:rPr>
          <w:lang w:val="es-HN"/>
        </w:rPr>
        <w:t>n</w:t>
      </w:r>
      <w:r w:rsidRPr="00AC201E">
        <w:rPr>
          <w:lang w:val="es-HN"/>
        </w:rPr>
        <w:t xml:space="preserve"> las medidas de mitigación ambiental ordenadas por la Secretaría de Recursos Naturales y Ambiente (SERNA)</w:t>
      </w:r>
      <w:r>
        <w:rPr>
          <w:rStyle w:val="FootnoteReference"/>
          <w:lang w:val="es-HN"/>
        </w:rPr>
        <w:footnoteReference w:id="43"/>
      </w:r>
      <w:r w:rsidRPr="00AC201E">
        <w:rPr>
          <w:lang w:val="es-HN"/>
        </w:rPr>
        <w:t>.</w:t>
      </w:r>
    </w:p>
    <w:p w14:paraId="0F080579" w14:textId="77777777" w:rsidR="00826C25" w:rsidRDefault="00826C25" w:rsidP="00F367A1">
      <w:pPr>
        <w:pStyle w:val="SingleTxtG"/>
        <w:numPr>
          <w:ilvl w:val="1"/>
          <w:numId w:val="7"/>
        </w:numPr>
        <w:suppressAutoHyphens w:val="0"/>
        <w:spacing w:line="240" w:lineRule="auto"/>
        <w:ind w:left="1134" w:firstLine="0"/>
        <w:rPr>
          <w:lang w:val="es-HN"/>
        </w:rPr>
      </w:pPr>
      <w:r w:rsidRPr="00AC201E">
        <w:rPr>
          <w:lang w:val="es-HN"/>
        </w:rPr>
        <w:t>En el Parque Nacional Montaña de Botaderos, Carlos Escaleras Mejía, OACNUDH ha documentado, con preocupación, que persiste la alta conflictividad social e impactos negativos en los derechos humanos y el medio ambiente</w:t>
      </w:r>
      <w:bookmarkStart w:id="3" w:name="_Hlk159675529"/>
      <w:r>
        <w:rPr>
          <w:lang w:val="es-HN"/>
        </w:rPr>
        <w:t xml:space="preserve"> causados por un proyecto minero</w:t>
      </w:r>
      <w:bookmarkEnd w:id="3"/>
      <w:r w:rsidRPr="00AC201E">
        <w:rPr>
          <w:lang w:val="es-HN"/>
        </w:rPr>
        <w:t>, incluyendo el uso de agua</w:t>
      </w:r>
      <w:r>
        <w:rPr>
          <w:rStyle w:val="FootnoteReference"/>
          <w:lang w:val="es-HN"/>
        </w:rPr>
        <w:footnoteReference w:id="44"/>
      </w:r>
      <w:r w:rsidRPr="00AC201E">
        <w:rPr>
          <w:lang w:val="es-HN"/>
        </w:rPr>
        <w:t xml:space="preserve">. Además, los habitantes de las comunidades que se oponen de forma pacífica al proyecto empresarial de carácter extractivo enfrentan riesgos de seguridad y criminalización. </w:t>
      </w:r>
    </w:p>
    <w:p w14:paraId="41C69D24" w14:textId="77777777" w:rsidR="00826C25" w:rsidRDefault="00826C25" w:rsidP="00F367A1">
      <w:pPr>
        <w:pStyle w:val="SingleTxtG"/>
        <w:numPr>
          <w:ilvl w:val="1"/>
          <w:numId w:val="7"/>
        </w:numPr>
        <w:suppressAutoHyphens w:val="0"/>
        <w:spacing w:line="240" w:lineRule="auto"/>
        <w:ind w:left="1134" w:firstLine="0"/>
        <w:rPr>
          <w:lang w:val="es-HN"/>
        </w:rPr>
      </w:pPr>
      <w:r w:rsidRPr="00AC201E">
        <w:rPr>
          <w:lang w:val="es-HN"/>
        </w:rPr>
        <w:t xml:space="preserve">Según el monitoreo de la Oficina, persiste la alta conflictividad social en la comunidad indígena tolupán de San Francisco de </w:t>
      </w:r>
      <w:proofErr w:type="spellStart"/>
      <w:r w:rsidRPr="00AC201E">
        <w:rPr>
          <w:lang w:val="es-HN"/>
        </w:rPr>
        <w:t>Locomapa</w:t>
      </w:r>
      <w:proofErr w:type="spellEnd"/>
      <w:r w:rsidRPr="00AC201E">
        <w:rPr>
          <w:lang w:val="es-HN"/>
        </w:rPr>
        <w:t xml:space="preserve"> debido a las amenazas e intimidación contra sus miembros por terceros ajenos de la comunidad</w:t>
      </w:r>
      <w:r>
        <w:rPr>
          <w:rStyle w:val="FootnoteReference"/>
          <w:lang w:val="es-HN"/>
        </w:rPr>
        <w:footnoteReference w:id="45"/>
      </w:r>
      <w:r w:rsidRPr="00AC201E">
        <w:rPr>
          <w:lang w:val="es-HN"/>
        </w:rPr>
        <w:t>, a pesar de que el Ministerio Público presentó acusación penal en contra del gerente de una empresa</w:t>
      </w:r>
      <w:r>
        <w:rPr>
          <w:lang w:val="es-HN"/>
        </w:rPr>
        <w:t xml:space="preserve"> privada</w:t>
      </w:r>
      <w:r w:rsidRPr="00AC201E">
        <w:rPr>
          <w:lang w:val="es-HN"/>
        </w:rPr>
        <w:t xml:space="preserve"> por explotación ilegal de los recursos naturales en perjuicio de la comunidad indígena</w:t>
      </w:r>
      <w:r>
        <w:rPr>
          <w:rStyle w:val="FootnoteReference"/>
          <w:lang w:val="es-HN"/>
        </w:rPr>
        <w:footnoteReference w:id="46"/>
      </w:r>
      <w:r w:rsidRPr="00AC201E">
        <w:rPr>
          <w:lang w:val="es-HN"/>
        </w:rPr>
        <w:t>.</w:t>
      </w:r>
    </w:p>
    <w:p w14:paraId="7B875207" w14:textId="77777777" w:rsidR="00826C25" w:rsidRDefault="00826C25" w:rsidP="00F367A1">
      <w:pPr>
        <w:pStyle w:val="SingleTxtG"/>
        <w:numPr>
          <w:ilvl w:val="1"/>
          <w:numId w:val="7"/>
        </w:numPr>
        <w:suppressAutoHyphens w:val="0"/>
        <w:spacing w:line="240" w:lineRule="auto"/>
        <w:ind w:left="1134" w:firstLine="0"/>
        <w:rPr>
          <w:lang w:val="es-HN"/>
        </w:rPr>
      </w:pPr>
      <w:r w:rsidRPr="00AC201E">
        <w:rPr>
          <w:lang w:val="es-HN"/>
        </w:rPr>
        <w:lastRenderedPageBreak/>
        <w:t>La Sala de lo Constitucional de la Corte Suprema dictó una sentencia de amparo en el proceso penal contra miembros de la comunidad indígena lenca de Tierras del Padre, reconociendo su derecho a la propiedad colectiva y estableciendo que se había vulnerado sus derechos a la defensa y al debido proceso. La Sala ordenó que el conflicto sobre la propiedad se resuelva por la vía civil</w:t>
      </w:r>
      <w:r>
        <w:rPr>
          <w:rStyle w:val="FootnoteReference"/>
          <w:lang w:val="es-HN"/>
        </w:rPr>
        <w:footnoteReference w:id="47"/>
      </w:r>
      <w:r w:rsidRPr="00AC201E">
        <w:rPr>
          <w:lang w:val="es-HN"/>
        </w:rPr>
        <w:t>.</w:t>
      </w:r>
      <w:r>
        <w:rPr>
          <w:lang w:val="es-HN"/>
        </w:rPr>
        <w:t xml:space="preserve"> </w:t>
      </w:r>
    </w:p>
    <w:p w14:paraId="1162E296" w14:textId="77777777" w:rsidR="00826C25" w:rsidRDefault="00826C25" w:rsidP="00F367A1">
      <w:pPr>
        <w:pStyle w:val="SingleTxtG"/>
        <w:numPr>
          <w:ilvl w:val="1"/>
          <w:numId w:val="7"/>
        </w:numPr>
        <w:suppressAutoHyphens w:val="0"/>
        <w:spacing w:line="240" w:lineRule="auto"/>
        <w:ind w:left="1134" w:firstLine="0"/>
        <w:rPr>
          <w:lang w:val="es-HN"/>
        </w:rPr>
      </w:pPr>
      <w:r w:rsidRPr="00AC201E">
        <w:rPr>
          <w:lang w:val="es-HN"/>
        </w:rPr>
        <w:t>En 2023, la Oficina documentó la ejecución de al menos 37 desalojos, la mayoría en perjuicio de empresas campesinas y cooperativas agrarias, siendo los departamentos con mayor incidencia Colón (8), Atlántida (8) y Yoro (6). En algunos se documentaron hechos de violencia, incluyendo tres personas integrantes de las cooperativas heridas por arma de fuego, incluyendo en uno de los casos provocado por la Policía Nacional. Además, se han registrado procesos penales en contra de las personas desalojadas. Muchos de estos desalojos fueron ordenados conforme al uso de la figura de “desalojo preventivo” prevista en el Decreto 93-2021. Preocupa la adopción de órdenes de desalojo</w:t>
      </w:r>
      <w:r>
        <w:rPr>
          <w:lang w:val="es-HN"/>
        </w:rPr>
        <w:t>,</w:t>
      </w:r>
      <w:r w:rsidRPr="00AC201E">
        <w:rPr>
          <w:lang w:val="es-HN"/>
        </w:rPr>
        <w:t xml:space="preserve"> contra comunidades campesinas, Pueblos Indígenas y </w:t>
      </w:r>
      <w:proofErr w:type="spellStart"/>
      <w:r w:rsidRPr="00AC201E">
        <w:rPr>
          <w:lang w:val="es-HN"/>
        </w:rPr>
        <w:t>afrohondureños</w:t>
      </w:r>
      <w:proofErr w:type="spellEnd"/>
      <w:r>
        <w:rPr>
          <w:rStyle w:val="FootnoteReference"/>
          <w:lang w:val="es-HN"/>
        </w:rPr>
        <w:footnoteReference w:id="48"/>
      </w:r>
      <w:r w:rsidRPr="00AC201E">
        <w:rPr>
          <w:lang w:val="es-HN"/>
        </w:rPr>
        <w:t>, que no habrían observado las obligaciones y estándares internacionales de derechos humanos</w:t>
      </w:r>
      <w:r>
        <w:rPr>
          <w:rStyle w:val="FootnoteReference"/>
          <w:lang w:val="es-HN"/>
        </w:rPr>
        <w:footnoteReference w:id="49"/>
      </w:r>
      <w:r w:rsidRPr="00AC201E">
        <w:rPr>
          <w:lang w:val="es-HN"/>
        </w:rPr>
        <w:t>.</w:t>
      </w:r>
    </w:p>
    <w:p w14:paraId="199B5AB4" w14:textId="77777777" w:rsidR="00826C25" w:rsidRDefault="00826C25" w:rsidP="00F367A1">
      <w:pPr>
        <w:pStyle w:val="SingleTxtG"/>
        <w:numPr>
          <w:ilvl w:val="1"/>
          <w:numId w:val="7"/>
        </w:numPr>
        <w:suppressAutoHyphens w:val="0"/>
        <w:spacing w:line="240" w:lineRule="auto"/>
        <w:ind w:left="1134" w:firstLine="0"/>
        <w:rPr>
          <w:lang w:val="es-HN"/>
        </w:rPr>
      </w:pPr>
      <w:r>
        <w:rPr>
          <w:lang w:val="es-HN"/>
        </w:rPr>
        <w:t>En u</w:t>
      </w:r>
      <w:r w:rsidRPr="00E61B7B">
        <w:rPr>
          <w:lang w:val="es-HN"/>
        </w:rPr>
        <w:t>n caso documentado por</w:t>
      </w:r>
      <w:r>
        <w:rPr>
          <w:lang w:val="es-HN"/>
        </w:rPr>
        <w:t xml:space="preserve"> OACNUDH</w:t>
      </w:r>
      <w:r w:rsidRPr="00E61B7B">
        <w:rPr>
          <w:lang w:val="es-HN"/>
        </w:rPr>
        <w:t xml:space="preserve"> el desalojo </w:t>
      </w:r>
      <w:r>
        <w:rPr>
          <w:lang w:val="es-HN"/>
        </w:rPr>
        <w:t xml:space="preserve">fue </w:t>
      </w:r>
      <w:r w:rsidRPr="00E61B7B">
        <w:rPr>
          <w:lang w:val="es-HN"/>
        </w:rPr>
        <w:t xml:space="preserve">ejecutado </w:t>
      </w:r>
      <w:r>
        <w:rPr>
          <w:lang w:val="es-HN"/>
        </w:rPr>
        <w:t xml:space="preserve">por la Policía Nacional </w:t>
      </w:r>
      <w:r w:rsidRPr="00E61B7B">
        <w:rPr>
          <w:lang w:val="es-HN"/>
        </w:rPr>
        <w:t>sin orden judicial</w:t>
      </w:r>
      <w:r>
        <w:rPr>
          <w:lang w:val="es-HN"/>
        </w:rPr>
        <w:t>,</w:t>
      </w:r>
      <w:r w:rsidRPr="00E61B7B">
        <w:rPr>
          <w:lang w:val="es-HN"/>
        </w:rPr>
        <w:t xml:space="preserve"> en perjuicio de 52 personas del Consejo Indígena Lenca de Río Bonito </w:t>
      </w:r>
      <w:r>
        <w:rPr>
          <w:lang w:val="es-HN"/>
        </w:rPr>
        <w:t>de</w:t>
      </w:r>
      <w:r w:rsidRPr="00E61B7B">
        <w:rPr>
          <w:lang w:val="es-HN"/>
        </w:rPr>
        <w:t xml:space="preserve"> un terreno que la comunidad utilizaba para el cultivo y en el que habitó por más de 40 años. Vari</w:t>
      </w:r>
      <w:r>
        <w:rPr>
          <w:lang w:val="es-HN"/>
        </w:rPr>
        <w:t xml:space="preserve">os miembros de la comunidad fueron denunciados por </w:t>
      </w:r>
      <w:r w:rsidRPr="00E61B7B">
        <w:rPr>
          <w:lang w:val="es-HN"/>
        </w:rPr>
        <w:t xml:space="preserve">el delito de usurpación. </w:t>
      </w:r>
      <w:r>
        <w:rPr>
          <w:lang w:val="es-HN"/>
        </w:rPr>
        <w:t>Por otra parte, en el contexto de la ejecución de dos desalojos contra</w:t>
      </w:r>
      <w:r w:rsidRPr="00E61B7B">
        <w:rPr>
          <w:lang w:val="es-HN"/>
        </w:rPr>
        <w:t xml:space="preserve"> la Empresa Asociativa Campesina de Isletas (EACI) en el Bajo Aguán</w:t>
      </w:r>
      <w:r>
        <w:rPr>
          <w:lang w:val="es-HN"/>
        </w:rPr>
        <w:t xml:space="preserve">, se registraron </w:t>
      </w:r>
      <w:r w:rsidRPr="00E61B7B">
        <w:rPr>
          <w:lang w:val="es-HN"/>
        </w:rPr>
        <w:t xml:space="preserve">hechos violentos que resultaron </w:t>
      </w:r>
      <w:r>
        <w:rPr>
          <w:lang w:val="es-HN"/>
        </w:rPr>
        <w:t xml:space="preserve">en una persona herida y </w:t>
      </w:r>
      <w:r w:rsidRPr="00E61B7B">
        <w:rPr>
          <w:lang w:val="es-HN"/>
        </w:rPr>
        <w:t xml:space="preserve">la muerte de </w:t>
      </w:r>
      <w:r>
        <w:rPr>
          <w:lang w:val="es-HN"/>
        </w:rPr>
        <w:t xml:space="preserve">otra </w:t>
      </w:r>
      <w:r w:rsidRPr="00E61B7B">
        <w:rPr>
          <w:lang w:val="es-HN"/>
        </w:rPr>
        <w:t>persona herida</w:t>
      </w:r>
      <w:r>
        <w:rPr>
          <w:lang w:val="es-HN"/>
        </w:rPr>
        <w:t xml:space="preserve">. Nueve </w:t>
      </w:r>
      <w:r w:rsidRPr="00E61B7B">
        <w:rPr>
          <w:lang w:val="es-HN"/>
        </w:rPr>
        <w:t>personas</w:t>
      </w:r>
      <w:r>
        <w:rPr>
          <w:lang w:val="es-HN"/>
        </w:rPr>
        <w:t>, integrantes de la empresa campesina, fueron denunciadas por el delito de</w:t>
      </w:r>
      <w:r w:rsidRPr="00E61B7B">
        <w:rPr>
          <w:lang w:val="es-HN"/>
        </w:rPr>
        <w:t xml:space="preserve"> usurpación. En noviembre, se ejecutó el desalojo de 41 familias cuyos miembros pertenecían a la Empresa Campesina Agua Blanca Sur en el Progreso, Yoro, en condiciones climatológicas adversas y sin un plan de reubicación, resultando en la afectación, e incluso destrucción, de sus viviendas y sus medios de vida, dejando muchas de esas familias </w:t>
      </w:r>
      <w:r>
        <w:rPr>
          <w:lang w:val="es-HN"/>
        </w:rPr>
        <w:t>sin un lugar donde vivir</w:t>
      </w:r>
      <w:r w:rsidRPr="00E61B7B">
        <w:rPr>
          <w:lang w:val="es-HN"/>
        </w:rPr>
        <w:t xml:space="preserve">. </w:t>
      </w:r>
    </w:p>
    <w:p w14:paraId="77F3666E" w14:textId="77777777" w:rsidR="00826C25" w:rsidRDefault="00826C25" w:rsidP="00F367A1">
      <w:pPr>
        <w:pStyle w:val="SingleTxtG"/>
        <w:numPr>
          <w:ilvl w:val="1"/>
          <w:numId w:val="7"/>
        </w:numPr>
        <w:suppressAutoHyphens w:val="0"/>
        <w:spacing w:line="240" w:lineRule="auto"/>
        <w:ind w:left="1134" w:firstLine="0"/>
        <w:rPr>
          <w:lang w:val="es-HN"/>
        </w:rPr>
      </w:pPr>
      <w:r w:rsidRPr="005F6DC1">
        <w:rPr>
          <w:lang w:val="es-HN"/>
        </w:rPr>
        <w:t>En junio se creó la Comisión de Seguridad Agraria y Acceso a la Tierra para dar respuesta a la conflictividad vinculada a la tierra</w:t>
      </w:r>
      <w:r>
        <w:rPr>
          <w:rStyle w:val="FootnoteReference"/>
          <w:lang w:val="es-HN"/>
        </w:rPr>
        <w:footnoteReference w:id="50"/>
      </w:r>
      <w:r w:rsidRPr="005F6DC1">
        <w:rPr>
          <w:lang w:val="es-HN"/>
        </w:rPr>
        <w:t>. Preocupa que esta Comisión fue establecida en el marco del Consejo Nacional de Defensa y Seguridad, con enfoque centrado en seguridad, y con mandato de ejecutar urgentemente toda orden judicial de desalojo existente, y aplicar los delitos de usurpación en flagrancia permanente y desplazamiento forzado</w:t>
      </w:r>
      <w:r>
        <w:rPr>
          <w:rStyle w:val="FootnoteReference"/>
          <w:lang w:val="es-HN"/>
        </w:rPr>
        <w:footnoteReference w:id="51"/>
      </w:r>
      <w:r w:rsidRPr="005F6DC1">
        <w:rPr>
          <w:lang w:val="es-HN"/>
        </w:rPr>
        <w:t>.</w:t>
      </w:r>
    </w:p>
    <w:p w14:paraId="4FAD8F42" w14:textId="77777777" w:rsidR="00826C25" w:rsidRDefault="00826C25" w:rsidP="00F367A1">
      <w:pPr>
        <w:pStyle w:val="SingleTxtG"/>
        <w:numPr>
          <w:ilvl w:val="1"/>
          <w:numId w:val="7"/>
        </w:numPr>
        <w:suppressAutoHyphens w:val="0"/>
        <w:spacing w:line="240" w:lineRule="auto"/>
        <w:ind w:left="1134" w:firstLine="0"/>
        <w:rPr>
          <w:lang w:val="es-HN"/>
        </w:rPr>
      </w:pPr>
      <w:r w:rsidRPr="005F6DC1">
        <w:rPr>
          <w:lang w:val="es-HN"/>
        </w:rPr>
        <w:t>La Mesa Interinstitucional para el abordaje de los conflictos sociales elaboró un Protocolo para la prevención de la conflictividad vinculada a la tierra, territorio y el medio ambiente, con la asistencia técnica de OACNUDH. La Mesa ha facilitado la respuesta institucional coordinada en los casos de Tierras del Padre, las Crucitas del Picacho y otros en el departamento de La Paz.</w:t>
      </w:r>
    </w:p>
    <w:p w14:paraId="505DB636" w14:textId="77777777" w:rsidR="00826C25" w:rsidRPr="005F6DC1" w:rsidRDefault="00826C25" w:rsidP="00F367A1">
      <w:pPr>
        <w:pStyle w:val="SingleTxtG"/>
        <w:numPr>
          <w:ilvl w:val="1"/>
          <w:numId w:val="7"/>
        </w:numPr>
        <w:suppressAutoHyphens w:val="0"/>
        <w:spacing w:line="240" w:lineRule="auto"/>
        <w:ind w:left="1134" w:firstLine="0"/>
        <w:rPr>
          <w:lang w:val="es-HN"/>
        </w:rPr>
      </w:pPr>
      <w:r w:rsidRPr="005F6DC1">
        <w:rPr>
          <w:lang w:val="es-HN"/>
        </w:rPr>
        <w:t xml:space="preserve">La Oficina saluda los esfuerzos realizados para avanzar en la instalación de la Comisión Tripartita prevista en los acuerdos del 22 de febrero de 2022 entre el Gobierno y los grupos campesinos del Bajo Aguán. La operacionalización de la Comisión se ha visto demorada por la falta de recursos suficientes para su puesta en marcha. </w:t>
      </w:r>
    </w:p>
    <w:bookmarkEnd w:id="2"/>
    <w:p w14:paraId="36240A49" w14:textId="77777777" w:rsidR="00826C25" w:rsidRPr="00E61B7B" w:rsidRDefault="00826C25" w:rsidP="00826C25">
      <w:pPr>
        <w:pStyle w:val="HChG"/>
        <w:rPr>
          <w:rFonts w:eastAsia="Calibri"/>
          <w:lang w:val="es-HN"/>
        </w:rPr>
      </w:pPr>
      <w:r>
        <w:rPr>
          <w:rFonts w:eastAsia="Calibri"/>
          <w:lang w:val="es-HN"/>
        </w:rPr>
        <w:tab/>
        <w:t>V.</w:t>
      </w:r>
      <w:r>
        <w:rPr>
          <w:rFonts w:eastAsia="Calibri"/>
          <w:lang w:val="es-HN"/>
        </w:rPr>
        <w:tab/>
      </w:r>
      <w:bookmarkStart w:id="4" w:name="_Hlk159602975"/>
      <w:r w:rsidRPr="00E61B7B">
        <w:rPr>
          <w:rFonts w:eastAsia="Calibri"/>
          <w:lang w:val="es-HN"/>
        </w:rPr>
        <w:t xml:space="preserve">Espacio cívico y participación ciudadana </w:t>
      </w:r>
    </w:p>
    <w:p w14:paraId="1FAB761A" w14:textId="77777777" w:rsidR="00826C25" w:rsidRDefault="00826C25" w:rsidP="00F367A1">
      <w:pPr>
        <w:pStyle w:val="SingleTxtG"/>
        <w:numPr>
          <w:ilvl w:val="1"/>
          <w:numId w:val="7"/>
        </w:numPr>
        <w:suppressAutoHyphens w:val="0"/>
        <w:spacing w:line="240" w:lineRule="auto"/>
        <w:ind w:left="1134" w:firstLine="0"/>
        <w:rPr>
          <w:lang w:val="es-HN"/>
        </w:rPr>
      </w:pPr>
      <w:r w:rsidRPr="005F6DC1">
        <w:rPr>
          <w:lang w:val="es-HN"/>
        </w:rPr>
        <w:t xml:space="preserve">Persisten problemas estructurales y prácticas institucionales que restringen indebidamente el espacio cívico, afectando el ejercicio de defensa de derechos humanos, el derecho a la libertad de expresión, acceso a la información y la participación en asuntos públicos. </w:t>
      </w:r>
    </w:p>
    <w:p w14:paraId="0FDE8649" w14:textId="77777777" w:rsidR="00826C25" w:rsidRPr="005F6DC1" w:rsidRDefault="00826C25" w:rsidP="00F367A1">
      <w:pPr>
        <w:pStyle w:val="SingleTxtG"/>
        <w:numPr>
          <w:ilvl w:val="1"/>
          <w:numId w:val="7"/>
        </w:numPr>
        <w:suppressAutoHyphens w:val="0"/>
        <w:spacing w:line="240" w:lineRule="auto"/>
        <w:ind w:left="1134" w:firstLine="0"/>
        <w:rPr>
          <w:lang w:val="es-HN"/>
        </w:rPr>
      </w:pPr>
      <w:r w:rsidRPr="005F6DC1">
        <w:rPr>
          <w:lang w:val="es-HN"/>
        </w:rPr>
        <w:lastRenderedPageBreak/>
        <w:t xml:space="preserve">La Oficina ha recibido numerosos reportes de organizaciones de sociedad civil y medios de comunicación que no pudieron acceder a información de interés público debido que sus solicitudes no fueron respondidas de manera adecuada u oportuna por la autoridad competente o </w:t>
      </w:r>
      <w:r>
        <w:rPr>
          <w:lang w:val="es-HN"/>
        </w:rPr>
        <w:t>habrían sido</w:t>
      </w:r>
      <w:r w:rsidRPr="005F6DC1">
        <w:rPr>
          <w:lang w:val="es-HN"/>
        </w:rPr>
        <w:t xml:space="preserve"> denegadas sin una justificación suficiente, indicándose que la información solicitada era “reservada” o “confidencial”.</w:t>
      </w:r>
    </w:p>
    <w:p w14:paraId="66D252E4" w14:textId="77777777" w:rsidR="00826C25" w:rsidRPr="005F6DC1" w:rsidRDefault="00826C25" w:rsidP="00F367A1">
      <w:pPr>
        <w:pStyle w:val="SingleTxtG"/>
        <w:numPr>
          <w:ilvl w:val="1"/>
          <w:numId w:val="7"/>
        </w:numPr>
        <w:suppressAutoHyphens w:val="0"/>
        <w:spacing w:line="240" w:lineRule="auto"/>
        <w:ind w:left="1134" w:firstLine="0"/>
        <w:rPr>
          <w:lang w:val="es-HN"/>
        </w:rPr>
      </w:pPr>
      <w:r w:rsidRPr="005F6DC1">
        <w:rPr>
          <w:lang w:val="es-HN"/>
        </w:rPr>
        <w:t>La Oficina observó que, los ataques</w:t>
      </w:r>
      <w:r>
        <w:rPr>
          <w:rStyle w:val="FootnoteReference"/>
          <w:lang w:val="es-HN"/>
        </w:rPr>
        <w:footnoteReference w:id="52"/>
      </w:r>
      <w:r w:rsidRPr="005F6DC1">
        <w:rPr>
          <w:lang w:val="es-HN"/>
        </w:rPr>
        <w:t xml:space="preserve"> contra personas y organizaciones defensoras de derechos humanos y periodistas, aumentaron significativamente en comparación con los dos años anteriores, incluyendo los asesinatos. Ante el incremento de la situación de riesgo que enfrentan personas defensoras de derechos humanos, preocupa la falta de respuesta efectiva del Sistema Nacional de Protección, principalmente la falta de implementación oportuna y eficaz de medidas idóneas de protección.</w:t>
      </w:r>
    </w:p>
    <w:p w14:paraId="2DC2F3C2" w14:textId="77777777" w:rsidR="00826C25" w:rsidRPr="005F6DC1" w:rsidRDefault="00826C25" w:rsidP="00F367A1">
      <w:pPr>
        <w:pStyle w:val="SingleTxtG"/>
        <w:numPr>
          <w:ilvl w:val="1"/>
          <w:numId w:val="7"/>
        </w:numPr>
        <w:suppressAutoHyphens w:val="0"/>
        <w:spacing w:line="240" w:lineRule="auto"/>
        <w:ind w:left="1134" w:firstLine="0"/>
        <w:rPr>
          <w:lang w:val="es-HN"/>
        </w:rPr>
      </w:pPr>
      <w:r w:rsidRPr="005F6DC1">
        <w:rPr>
          <w:lang w:val="es-HN"/>
        </w:rPr>
        <w:t xml:space="preserve">OACNUDH registró al menos 363 ataques contra 453 víctimas que incluyen tanto individuos como organizaciones, de las cuales 308 se dedican a la defensa de los derechos humanos y 145 al periodismo. La Oficina contactó a 395 de estas (87.2%) para identificar necesidades específicas de protección y concretar acciones conjuntas en el marco de su mandato. </w:t>
      </w:r>
    </w:p>
    <w:p w14:paraId="2B0E27C7" w14:textId="77777777" w:rsidR="00826C25" w:rsidRPr="005F6DC1" w:rsidRDefault="00826C25" w:rsidP="00F367A1">
      <w:pPr>
        <w:pStyle w:val="SingleTxtG"/>
        <w:numPr>
          <w:ilvl w:val="1"/>
          <w:numId w:val="7"/>
        </w:numPr>
        <w:suppressAutoHyphens w:val="0"/>
        <w:spacing w:line="240" w:lineRule="auto"/>
        <w:ind w:left="1134" w:firstLine="0"/>
        <w:rPr>
          <w:lang w:val="es-HN"/>
        </w:rPr>
      </w:pPr>
      <w:r w:rsidRPr="005F6DC1">
        <w:rPr>
          <w:lang w:val="es-HN"/>
        </w:rPr>
        <w:t>De estas, 54.1% estaban dedicadas a la defensa de la tierra, el territorio y el medio ambiente</w:t>
      </w:r>
      <w:r>
        <w:rPr>
          <w:lang w:val="es-HN"/>
        </w:rPr>
        <w:t>,</w:t>
      </w:r>
      <w:r w:rsidRPr="005F6DC1">
        <w:rPr>
          <w:lang w:val="es-HN"/>
        </w:rPr>
        <w:t xml:space="preserve"> 15.5% al periodismo, 13.5% a los derechos de las personas LGBTI, y el resto a otros tipos de defensa. Del total, 200 víctimas (44.2%) son hombres, 127 (</w:t>
      </w:r>
      <w:r>
        <w:rPr>
          <w:lang w:val="es-HN"/>
        </w:rPr>
        <w:t xml:space="preserve">30.2 </w:t>
      </w:r>
      <w:r w:rsidRPr="005F6DC1">
        <w:rPr>
          <w:lang w:val="es-HN"/>
        </w:rPr>
        <w:t xml:space="preserve">%) mujeres, </w:t>
      </w:r>
      <w:r>
        <w:rPr>
          <w:lang w:val="es-HN"/>
        </w:rPr>
        <w:t xml:space="preserve">incluyendo </w:t>
      </w:r>
      <w:r w:rsidRPr="005F6DC1">
        <w:rPr>
          <w:lang w:val="es-HN"/>
        </w:rPr>
        <w:t xml:space="preserve">10 mujeres transgénero. El 31.5% de las personas y organizaciones defensoras de derechos humanos que sufrieron ataques eran indígenas y </w:t>
      </w:r>
      <w:proofErr w:type="spellStart"/>
      <w:r w:rsidRPr="005F6DC1">
        <w:rPr>
          <w:lang w:val="es-HN"/>
        </w:rPr>
        <w:t>afrohondureños</w:t>
      </w:r>
      <w:proofErr w:type="spellEnd"/>
      <w:r w:rsidRPr="005F6DC1">
        <w:rPr>
          <w:lang w:val="es-HN"/>
        </w:rPr>
        <w:t xml:space="preserve">. </w:t>
      </w:r>
    </w:p>
    <w:p w14:paraId="5918D003" w14:textId="77777777" w:rsidR="00826C25" w:rsidRPr="005F6DC1" w:rsidRDefault="00826C25" w:rsidP="00F367A1">
      <w:pPr>
        <w:pStyle w:val="SingleTxtG"/>
        <w:numPr>
          <w:ilvl w:val="1"/>
          <w:numId w:val="7"/>
        </w:numPr>
        <w:suppressAutoHyphens w:val="0"/>
        <w:spacing w:line="240" w:lineRule="auto"/>
        <w:ind w:left="1134" w:firstLine="0"/>
        <w:rPr>
          <w:lang w:val="es-HN"/>
        </w:rPr>
      </w:pPr>
      <w:r w:rsidRPr="005F6DC1">
        <w:rPr>
          <w:lang w:val="es-HN"/>
        </w:rPr>
        <w:t xml:space="preserve">OACNUDH documentó al menos 15 asesinatos de personas defensoras y 2 periodistas, de las cuales 15 eran hombres y 2 mujeres. De estas víctimas, 13 estaban dedicadas a la defensa de la tierra, el territorio y el medio ambiente, 2 a los derechos de las personas LGBTI y 2 al periodismo, entre ellas, 2 eran mujeres transgénero. Además, OACNUDH registró la desaparición de una mujer trans defensora LGBTI. El 2023 ha sido el segundo año con mayor número de asesinatos de personas defensoras registrados por la Oficina desde su instalación en el país en 2015, sólo superado por el 2019. La mayoría de los casos continúan en impunidad, resultando en un obstáculo significativo para la defensa de derechos humanos. </w:t>
      </w:r>
    </w:p>
    <w:p w14:paraId="27F0F150" w14:textId="77777777" w:rsidR="00826C25" w:rsidRPr="005F6DC1" w:rsidRDefault="00826C25" w:rsidP="00F367A1">
      <w:pPr>
        <w:pStyle w:val="SingleTxtG"/>
        <w:numPr>
          <w:ilvl w:val="1"/>
          <w:numId w:val="7"/>
        </w:numPr>
        <w:suppressAutoHyphens w:val="0"/>
        <w:spacing w:line="240" w:lineRule="auto"/>
        <w:ind w:left="1134" w:firstLine="0"/>
        <w:rPr>
          <w:lang w:val="es-HN"/>
        </w:rPr>
      </w:pPr>
      <w:r w:rsidRPr="005F6DC1">
        <w:rPr>
          <w:lang w:val="es-HN"/>
        </w:rPr>
        <w:t xml:space="preserve">Entre los ataques registrados con mayor frecuencia por parte de OACNUDH, se encuentran 81 casos de amenazas y 70 actos de intimidación u hostigamiento contra personas defensoras y periodistas. Con particular incidencia resaltan los departamentos de Francisco Morazán (129 casos), Colón (58 casos) y Cortés (50 casos). </w:t>
      </w:r>
    </w:p>
    <w:p w14:paraId="616644F4" w14:textId="77777777" w:rsidR="00826C25" w:rsidRPr="005F6DC1" w:rsidRDefault="00826C25" w:rsidP="00F367A1">
      <w:pPr>
        <w:pStyle w:val="SingleTxtG"/>
        <w:numPr>
          <w:ilvl w:val="1"/>
          <w:numId w:val="7"/>
        </w:numPr>
        <w:suppressAutoHyphens w:val="0"/>
        <w:spacing w:line="240" w:lineRule="auto"/>
        <w:ind w:left="1134" w:firstLine="0"/>
        <w:rPr>
          <w:lang w:val="es-HN"/>
        </w:rPr>
      </w:pPr>
      <w:r w:rsidRPr="005F6DC1">
        <w:rPr>
          <w:lang w:val="es-HN"/>
        </w:rPr>
        <w:t xml:space="preserve">Del total de 245 personas defensoras de la tierra y el territorio víctimas de ataques, 108 eran personas indígenas y/o </w:t>
      </w:r>
      <w:proofErr w:type="spellStart"/>
      <w:r w:rsidRPr="005F6DC1">
        <w:rPr>
          <w:lang w:val="es-HN"/>
        </w:rPr>
        <w:t>afrohondureñas</w:t>
      </w:r>
      <w:proofErr w:type="spellEnd"/>
      <w:r w:rsidRPr="005F6DC1">
        <w:rPr>
          <w:lang w:val="es-HN"/>
        </w:rPr>
        <w:t>. El 66.5% de los casos se concentran en los departamentos de Colón, Francisco Morazán y Yoro. En 2023, OACNUDH registró 99 mujeres defensoras indígenas o afro hondureñas víctimas de ataques, de las cuales 97% son defensoras de la tierra, territorio o el medio ambiente.</w:t>
      </w:r>
    </w:p>
    <w:p w14:paraId="2B703C01" w14:textId="77777777" w:rsidR="00826C25" w:rsidRPr="005F6DC1" w:rsidRDefault="00826C25" w:rsidP="00F367A1">
      <w:pPr>
        <w:pStyle w:val="SingleTxtG"/>
        <w:numPr>
          <w:ilvl w:val="1"/>
          <w:numId w:val="7"/>
        </w:numPr>
        <w:suppressAutoHyphens w:val="0"/>
        <w:spacing w:line="240" w:lineRule="auto"/>
        <w:ind w:left="1134" w:firstLine="0"/>
        <w:rPr>
          <w:lang w:val="es-HN"/>
        </w:rPr>
      </w:pPr>
      <w:r w:rsidRPr="005F6DC1">
        <w:rPr>
          <w:lang w:val="es-HN"/>
        </w:rPr>
        <w:t xml:space="preserve">La Oficina registró 145 ataques contra quienes ejercen la libertad de expresión, representando un incremento considerable y superando incluso al año electoral 2021 (93 casos). Particularmente, la Oficina observa que el 24.8% de los ataques ocurridos contra periodistas, fueron dirigidos contra quienes brindan cobertura a la defensa de los derechos de las personas LGBTI. </w:t>
      </w:r>
    </w:p>
    <w:p w14:paraId="0BBAB368" w14:textId="77777777" w:rsidR="00826C25" w:rsidRPr="005F6DC1" w:rsidRDefault="00826C25" w:rsidP="00F367A1">
      <w:pPr>
        <w:pStyle w:val="SingleTxtG"/>
        <w:numPr>
          <w:ilvl w:val="1"/>
          <w:numId w:val="7"/>
        </w:numPr>
        <w:suppressAutoHyphens w:val="0"/>
        <w:spacing w:line="240" w:lineRule="auto"/>
        <w:ind w:left="1134" w:firstLine="0"/>
        <w:rPr>
          <w:lang w:val="es-HN"/>
        </w:rPr>
      </w:pPr>
      <w:r w:rsidRPr="005F6DC1">
        <w:rPr>
          <w:lang w:val="es-HN"/>
        </w:rPr>
        <w:t xml:space="preserve">Del total de las personas defensoras que han sufrido un ataque en 2023, según registros de OACNUDH, al menos 63 (20.4%) han sido víctimas de ataques ocurridos en el marco de la conflictividad social en las zonas de desarrollo de proyectos económicos en las inmediaciones del Parque Nacional Carlos Escaleras Mejía y el conflicto agrario del Bajo Aguán. Es de gran preocupación que al menos 7 de los 15 asesinatos de personas defensoras registradas durante el año hayan sido en esta zona. </w:t>
      </w:r>
    </w:p>
    <w:p w14:paraId="1481435F" w14:textId="77777777" w:rsidR="00826C25" w:rsidRPr="005F6DC1" w:rsidRDefault="00826C25" w:rsidP="00F367A1">
      <w:pPr>
        <w:pStyle w:val="SingleTxtG"/>
        <w:numPr>
          <w:ilvl w:val="1"/>
          <w:numId w:val="7"/>
        </w:numPr>
        <w:suppressAutoHyphens w:val="0"/>
        <w:spacing w:line="240" w:lineRule="auto"/>
        <w:ind w:left="1134" w:firstLine="0"/>
        <w:rPr>
          <w:lang w:val="es-HN"/>
        </w:rPr>
      </w:pPr>
      <w:r w:rsidRPr="4DF99CBA">
        <w:rPr>
          <w:lang w:val="es-HN"/>
        </w:rPr>
        <w:t xml:space="preserve">El Estado, con apoyo técnico de OACNUDH, avanzó en un proceso de armonización legislativa para la revisión de los tipos penales de forma que éstos observen estrictamente el principio de legalidad y el requerimiento de previsibilidad jurídica, </w:t>
      </w:r>
      <w:proofErr w:type="gramStart"/>
      <w:r w:rsidRPr="4DF99CBA">
        <w:rPr>
          <w:lang w:val="es-HN"/>
        </w:rPr>
        <w:t>de acuerdo al</w:t>
      </w:r>
      <w:proofErr w:type="gramEnd"/>
      <w:r w:rsidRPr="4DF99CBA">
        <w:rPr>
          <w:lang w:val="es-HN"/>
        </w:rPr>
        <w:t xml:space="preserve"> derecho </w:t>
      </w:r>
      <w:r w:rsidRPr="4DF99CBA">
        <w:rPr>
          <w:lang w:val="es-HN"/>
        </w:rPr>
        <w:lastRenderedPageBreak/>
        <w:t>internacional de los derechos humanos, a fin de prevenir la interpretación y uso arbitrario de derecho penal en contra de personas defensoras y periodistas. Resulta preocupante que permanezcan vigentes disposiciones penales contra el honor u otras disposiciones que pudieran ser utilizadas para restringir indebidamente el ejercicio de la libertad de expresión e incentivar la autocensura.</w:t>
      </w:r>
    </w:p>
    <w:p w14:paraId="3E025BE5" w14:textId="77777777" w:rsidR="00826C25" w:rsidRPr="005F6DC1" w:rsidRDefault="00826C25" w:rsidP="00F367A1">
      <w:pPr>
        <w:pStyle w:val="SingleTxtG"/>
        <w:numPr>
          <w:ilvl w:val="1"/>
          <w:numId w:val="7"/>
        </w:numPr>
        <w:suppressAutoHyphens w:val="0"/>
        <w:spacing w:line="240" w:lineRule="auto"/>
        <w:ind w:left="1134" w:firstLine="0"/>
        <w:rPr>
          <w:lang w:val="es-HN"/>
        </w:rPr>
      </w:pPr>
      <w:r w:rsidRPr="005F6DC1">
        <w:rPr>
          <w:lang w:val="es-HN"/>
        </w:rPr>
        <w:t>OACNUDH reitera su preocupación por el uso indebido del sistema penal en contra de personas defensoras y periodistas en el marco del ejercicio legítimo en la defensa de derechos humanos a través de la imputación de tipos penales, especialmente contra quienes ejercen la defensa de la tierra, el territorio y el medio ambiente, se oponen a los proyectos extractivos, o dan cobertura a estos procesos</w:t>
      </w:r>
      <w:r>
        <w:rPr>
          <w:rStyle w:val="FootnoteReference"/>
          <w:lang w:val="es-HN"/>
        </w:rPr>
        <w:footnoteReference w:id="53"/>
      </w:r>
      <w:r w:rsidRPr="005F6DC1">
        <w:rPr>
          <w:lang w:val="es-HN"/>
        </w:rPr>
        <w:t xml:space="preserve">. </w:t>
      </w:r>
    </w:p>
    <w:p w14:paraId="7B8C257F" w14:textId="77777777" w:rsidR="00826C25" w:rsidRPr="002F3880" w:rsidRDefault="00826C25" w:rsidP="00F367A1">
      <w:pPr>
        <w:pStyle w:val="SingleTxtG"/>
        <w:numPr>
          <w:ilvl w:val="1"/>
          <w:numId w:val="7"/>
        </w:numPr>
        <w:suppressAutoHyphens w:val="0"/>
        <w:spacing w:line="240" w:lineRule="auto"/>
        <w:ind w:left="1134" w:firstLine="0"/>
        <w:rPr>
          <w:lang w:val="es-HN"/>
        </w:rPr>
      </w:pPr>
      <w:r w:rsidRPr="4DF99CBA">
        <w:rPr>
          <w:lang w:val="es-HN"/>
        </w:rPr>
        <w:t xml:space="preserve">Destaca los casos en contra de los defensores de la Asociación por el desarrollo de la península de Zacate Grande, Santos Hernández y Abel Pérez, éste último también periodista de la radio comunitaria “La Voz de Zacate Grande”, así como contra la defensora de la tierra </w:t>
      </w:r>
      <w:proofErr w:type="spellStart"/>
      <w:r w:rsidRPr="4DF99CBA">
        <w:rPr>
          <w:lang w:val="es-HN"/>
        </w:rPr>
        <w:t>Nolvia</w:t>
      </w:r>
      <w:proofErr w:type="spellEnd"/>
      <w:r w:rsidRPr="4DF99CBA">
        <w:rPr>
          <w:lang w:val="es-HN"/>
        </w:rPr>
        <w:t xml:space="preserve"> Obando, integrante del movimiento de mujeres campesinas “Las Galileas”, acusados por el delito de usurpación y privados de su libertad por 211 y 149 días, respectivamente. </w:t>
      </w:r>
    </w:p>
    <w:p w14:paraId="4A877A03" w14:textId="77777777" w:rsidR="00826C25" w:rsidRPr="005F6DC1" w:rsidRDefault="00826C25" w:rsidP="00F367A1">
      <w:pPr>
        <w:pStyle w:val="SingleTxtG"/>
        <w:numPr>
          <w:ilvl w:val="1"/>
          <w:numId w:val="7"/>
        </w:numPr>
        <w:suppressAutoHyphens w:val="0"/>
        <w:spacing w:line="240" w:lineRule="auto"/>
        <w:ind w:left="1134" w:firstLine="0"/>
        <w:rPr>
          <w:lang w:val="es-HN"/>
        </w:rPr>
      </w:pPr>
      <w:r w:rsidRPr="4DF99CBA">
        <w:rPr>
          <w:lang w:val="es-HN"/>
        </w:rPr>
        <w:t xml:space="preserve">OACNUDH registró detenciones por parte de las fuerzas de seguridad a personas defensoras que habían sido previamente absueltas o sobreseídas debido a que los sistemas de registro y control de la Policía Nacional no se actualizan de acuerdo con las resoluciones del Poder Judicial. </w:t>
      </w:r>
    </w:p>
    <w:p w14:paraId="4A60AF1D" w14:textId="77777777" w:rsidR="00826C25" w:rsidRPr="002F3880" w:rsidRDefault="00826C25" w:rsidP="00F367A1">
      <w:pPr>
        <w:pStyle w:val="SingleTxtG"/>
        <w:numPr>
          <w:ilvl w:val="1"/>
          <w:numId w:val="7"/>
        </w:numPr>
        <w:suppressAutoHyphens w:val="0"/>
        <w:spacing w:line="240" w:lineRule="auto"/>
        <w:ind w:left="1134" w:firstLine="0"/>
        <w:rPr>
          <w:lang w:val="es-HN"/>
        </w:rPr>
      </w:pPr>
      <w:r w:rsidRPr="4DF99CBA">
        <w:rPr>
          <w:lang w:val="es-HN"/>
        </w:rPr>
        <w:t xml:space="preserve">En septiembre, el Tribunal de Sentencias de Tela absolvió a las personas defensoras de la comunidad de </w:t>
      </w:r>
      <w:proofErr w:type="spellStart"/>
      <w:r w:rsidRPr="4DF99CBA">
        <w:rPr>
          <w:lang w:val="es-HN"/>
        </w:rPr>
        <w:t>Jilamito</w:t>
      </w:r>
      <w:proofErr w:type="spellEnd"/>
      <w:r w:rsidRPr="4DF99CBA">
        <w:rPr>
          <w:lang w:val="es-HN"/>
        </w:rPr>
        <w:t>, en el marco del proceso penal contra ellas, iniciado en 2017, por oponerse a un proyecto hidroeléctrico que afectaba el acceso al agua a la comunidad.</w:t>
      </w:r>
    </w:p>
    <w:p w14:paraId="7A2AC632" w14:textId="77777777" w:rsidR="00826C25" w:rsidRDefault="00826C25" w:rsidP="00F367A1">
      <w:pPr>
        <w:pStyle w:val="SingleTxtG"/>
        <w:numPr>
          <w:ilvl w:val="1"/>
          <w:numId w:val="7"/>
        </w:numPr>
        <w:suppressAutoHyphens w:val="0"/>
        <w:spacing w:line="240" w:lineRule="auto"/>
        <w:ind w:left="1134" w:firstLine="0"/>
        <w:rPr>
          <w:lang w:val="es-HN"/>
        </w:rPr>
      </w:pPr>
      <w:r w:rsidRPr="00DF3D95">
        <w:rPr>
          <w:lang w:val="es-HN"/>
        </w:rPr>
        <w:t>El Sistema Nacional de Protección para las y los defensores de derechos humanos, periodistas, comunicadores sociales y operadores de justicia (SNP) continuó enfrentado serios desafíos para cumplir con su mandato, debido a la falta de asignación presupuestaria, la falta de implementación de las medidas de protección, la falta de personal suficiente e idóneo, la carencia de herramientas técnicas para el cumplimiento de sus funciones y la falta de corresponsabilidad de las diferentes entidades del Estado en la protección de personas defensoras de derechos humanos</w:t>
      </w:r>
      <w:r>
        <w:rPr>
          <w:rStyle w:val="FootnoteReference"/>
          <w:lang w:val="es-HN"/>
        </w:rPr>
        <w:footnoteReference w:id="54"/>
      </w:r>
      <w:r w:rsidRPr="00DF3D95">
        <w:rPr>
          <w:lang w:val="es-HN"/>
        </w:rPr>
        <w:t xml:space="preserve">. </w:t>
      </w:r>
    </w:p>
    <w:p w14:paraId="56026420" w14:textId="77777777" w:rsidR="00826C25" w:rsidRDefault="00826C25" w:rsidP="00F367A1">
      <w:pPr>
        <w:pStyle w:val="SingleTxtG"/>
        <w:numPr>
          <w:ilvl w:val="1"/>
          <w:numId w:val="7"/>
        </w:numPr>
        <w:suppressAutoHyphens w:val="0"/>
        <w:spacing w:line="240" w:lineRule="auto"/>
        <w:ind w:left="1134" w:firstLine="0"/>
        <w:rPr>
          <w:lang w:val="es-HN"/>
        </w:rPr>
      </w:pPr>
      <w:r w:rsidRPr="00DF3D95">
        <w:rPr>
          <w:lang w:val="es-HN"/>
        </w:rPr>
        <w:t>El total de casos bajo protección del Sistema Nacional, al cierre del año era de un total de 202, de los cuales 35 derivados del Sistema Interamericano de Protección de Derechos Humanos. De estos, 153 fueron casos de personas defensoras, 16 de personas comunicadoras, 15 de periodistas y 18 de operadores de justicia. En 2023, el Sistema Nacional recibió 68 solicitudes de protección, de las cuales 62 fueron admitidas</w:t>
      </w:r>
      <w:r>
        <w:rPr>
          <w:rStyle w:val="FootnoteReference"/>
          <w:lang w:val="es-HN"/>
        </w:rPr>
        <w:footnoteReference w:id="55"/>
      </w:r>
      <w:r w:rsidRPr="00DF3D95">
        <w:rPr>
          <w:lang w:val="es-HN"/>
        </w:rPr>
        <w:t xml:space="preserve">. </w:t>
      </w:r>
    </w:p>
    <w:p w14:paraId="34C7F21F" w14:textId="77777777" w:rsidR="00826C25" w:rsidRDefault="00826C25" w:rsidP="00F367A1">
      <w:pPr>
        <w:pStyle w:val="SingleTxtG"/>
        <w:numPr>
          <w:ilvl w:val="1"/>
          <w:numId w:val="7"/>
        </w:numPr>
        <w:suppressAutoHyphens w:val="0"/>
        <w:spacing w:line="240" w:lineRule="auto"/>
        <w:ind w:left="1134" w:firstLine="0"/>
        <w:rPr>
          <w:lang w:val="es-HN"/>
        </w:rPr>
      </w:pPr>
      <w:r w:rsidRPr="009772D3">
        <w:rPr>
          <w:lang w:val="es-HN"/>
        </w:rPr>
        <w:t xml:space="preserve">El Consejo Nacional de Protección, como el espacio conjunto de diálogo y toma de decisiones del SNP entre el Estado y la sociedad civil, ha sesionado ocho veces de forma ordinaria durante 2023. La Dirección General del Sistema de Protección, el órgano ejecutor de la protección brindada por el Sistema </w:t>
      </w:r>
      <w:proofErr w:type="gramStart"/>
      <w:r w:rsidRPr="009772D3">
        <w:rPr>
          <w:lang w:val="es-HN"/>
        </w:rPr>
        <w:t>Nacional,</w:t>
      </w:r>
      <w:proofErr w:type="gramEnd"/>
      <w:r w:rsidRPr="009772D3">
        <w:rPr>
          <w:lang w:val="es-HN"/>
        </w:rPr>
        <w:t xml:space="preserve"> también enfrenta retos significativos, entre ellos la falta de personal suficiente, situación que se agravó en 2023, teniendo el menor número de personal técnico asignado desde 2016</w:t>
      </w:r>
      <w:r>
        <w:rPr>
          <w:rStyle w:val="FootnoteReference"/>
          <w:lang w:val="es-HN"/>
        </w:rPr>
        <w:footnoteReference w:id="56"/>
      </w:r>
      <w:r w:rsidRPr="009772D3">
        <w:rPr>
          <w:lang w:val="es-HN"/>
        </w:rPr>
        <w:t>.</w:t>
      </w:r>
    </w:p>
    <w:p w14:paraId="75A06893" w14:textId="75305C78" w:rsidR="00826C25" w:rsidRPr="009772D3" w:rsidRDefault="00826C25" w:rsidP="00F367A1">
      <w:pPr>
        <w:pStyle w:val="SingleTxtG"/>
        <w:numPr>
          <w:ilvl w:val="1"/>
          <w:numId w:val="7"/>
        </w:numPr>
        <w:suppressAutoHyphens w:val="0"/>
        <w:spacing w:line="240" w:lineRule="auto"/>
        <w:ind w:left="1134" w:firstLine="0"/>
        <w:rPr>
          <w:lang w:val="es-HN"/>
        </w:rPr>
      </w:pPr>
      <w:r>
        <w:rPr>
          <w:rStyle w:val="ui-provider"/>
        </w:rPr>
        <w:t>La Oficina reconoce los esfuerzos realizados por las instituciones que conforman el Comité Técnico del Mecanismo de Protección (CTMP), órgano interinstitucional encargado de determinar los planes de protección, para abordar la mora de sesiones existente y acordar planes de protección. Sin embargo, las medidas otorgadas siguen siendo implementadas fuera de tiempo y forma. Por ejemplo, a pesar de las medidas de protección a favor de Miriam Miranda, defensora garífuna y Coordinadora General de la Organización Fraternal Negra Hondureña (OFRANEH), en septiembre fue víctima de un ataque en su domicilio</w:t>
      </w:r>
      <w:r w:rsidR="009079A6">
        <w:rPr>
          <w:rStyle w:val="FootnoteReference"/>
        </w:rPr>
        <w:footnoteReference w:id="57"/>
      </w:r>
      <w:r>
        <w:rPr>
          <w:rStyle w:val="ui-provider"/>
        </w:rPr>
        <w:t xml:space="preserve">, que el equipo de seguridad asignado habría podido detectar en último momento, lo que da cuenta de la persistencia de un serio riesgo para su seguridad; y, por tanto, la necesidad de contar con una protección reforzada. La sesión del Comité Técnico para revisar sus medidas de </w:t>
      </w:r>
      <w:r>
        <w:rPr>
          <w:rStyle w:val="ui-provider"/>
        </w:rPr>
        <w:lastRenderedPageBreak/>
        <w:t>seguridad se llevó cabo un mes después del ataque, con la presencia de tres de las cuatro instituciones que lo conforman.</w:t>
      </w:r>
      <w:bookmarkEnd w:id="4"/>
      <w:r w:rsidRPr="009772D3">
        <w:rPr>
          <w:lang w:val="es-HN"/>
        </w:rPr>
        <w:tab/>
      </w:r>
    </w:p>
    <w:p w14:paraId="25D8BD06" w14:textId="5D9B7BF6" w:rsidR="00826C25" w:rsidRPr="00E61B7B" w:rsidRDefault="009079A6" w:rsidP="00826C25">
      <w:pPr>
        <w:pStyle w:val="HChG"/>
        <w:rPr>
          <w:rFonts w:eastAsia="Calibri"/>
          <w:lang w:val="es-HN"/>
        </w:rPr>
      </w:pPr>
      <w:r>
        <w:rPr>
          <w:lang w:val="es-HN"/>
        </w:rPr>
        <w:tab/>
      </w:r>
      <w:r w:rsidR="00826C25">
        <w:rPr>
          <w:lang w:val="es-HN"/>
        </w:rPr>
        <w:t>VI.</w:t>
      </w:r>
      <w:r w:rsidR="00826C25">
        <w:rPr>
          <w:lang w:val="es-HN"/>
        </w:rPr>
        <w:tab/>
      </w:r>
      <w:r w:rsidR="00826C25" w:rsidRPr="00E61B7B">
        <w:rPr>
          <w:rFonts w:eastAsia="Calibri"/>
          <w:lang w:val="es-HN"/>
        </w:rPr>
        <w:t>Igualdad y no discriminación</w:t>
      </w:r>
    </w:p>
    <w:p w14:paraId="06D85F22" w14:textId="77777777" w:rsidR="00826C25" w:rsidRPr="00E61B7B" w:rsidRDefault="00826C25" w:rsidP="00826C25">
      <w:pPr>
        <w:pStyle w:val="H1G"/>
        <w:rPr>
          <w:rFonts w:eastAsia="Calibri"/>
          <w:lang w:val="es-HN"/>
        </w:rPr>
      </w:pPr>
      <w:r>
        <w:rPr>
          <w:rFonts w:eastAsia="Calibri"/>
          <w:lang w:val="es-HN"/>
        </w:rPr>
        <w:tab/>
        <w:t>A.</w:t>
      </w:r>
      <w:r>
        <w:rPr>
          <w:rFonts w:eastAsia="Calibri"/>
          <w:lang w:val="es-HN"/>
        </w:rPr>
        <w:tab/>
      </w:r>
      <w:r w:rsidRPr="00E61B7B">
        <w:rPr>
          <w:rFonts w:eastAsia="Calibri"/>
          <w:lang w:val="es-HN"/>
        </w:rPr>
        <w:t>Derechos de las mujeres</w:t>
      </w:r>
    </w:p>
    <w:p w14:paraId="35C6478F" w14:textId="77777777" w:rsidR="00826C25" w:rsidRDefault="00826C25" w:rsidP="00F367A1">
      <w:pPr>
        <w:pStyle w:val="SingleTxtG"/>
        <w:numPr>
          <w:ilvl w:val="1"/>
          <w:numId w:val="7"/>
        </w:numPr>
        <w:suppressAutoHyphens w:val="0"/>
        <w:spacing w:line="240" w:lineRule="auto"/>
        <w:ind w:left="1134" w:firstLine="0"/>
        <w:rPr>
          <w:lang w:val="es-HN"/>
        </w:rPr>
      </w:pPr>
      <w:r w:rsidRPr="00E71696">
        <w:rPr>
          <w:lang w:val="es-HN"/>
        </w:rPr>
        <w:t>La violencia contra las mujeres se ha agravado en 2023, registrándose 380 muertes violentas de mujeres, que incluye las 46 privadas de libertad asesinadas en junio</w:t>
      </w:r>
      <w:r>
        <w:rPr>
          <w:rStyle w:val="FootnoteReference"/>
          <w:lang w:val="es-HN"/>
        </w:rPr>
        <w:footnoteReference w:id="58"/>
      </w:r>
      <w:r w:rsidRPr="00E71696">
        <w:rPr>
          <w:lang w:val="es-HN"/>
        </w:rPr>
        <w:t>, representando un incremento de aproximadamente 24.2% comparado con 2022</w:t>
      </w:r>
      <w:r>
        <w:rPr>
          <w:rStyle w:val="FootnoteReference"/>
          <w:lang w:val="es-HN"/>
        </w:rPr>
        <w:footnoteReference w:id="59"/>
      </w:r>
      <w:r w:rsidRPr="00E71696">
        <w:rPr>
          <w:lang w:val="es-HN"/>
        </w:rPr>
        <w:t>. Otros observatorios de la violencia contra las mujeres confirman la misma tendencia</w:t>
      </w:r>
      <w:r>
        <w:rPr>
          <w:rStyle w:val="FootnoteReference"/>
          <w:lang w:val="es-HN"/>
        </w:rPr>
        <w:footnoteReference w:id="60"/>
      </w:r>
      <w:r w:rsidRPr="00E71696">
        <w:rPr>
          <w:lang w:val="es-HN"/>
        </w:rPr>
        <w:t xml:space="preserve">. El sistema 911 registró 78,214 denuncias de violencia contra las mujeres a noviembre 2023. </w:t>
      </w:r>
    </w:p>
    <w:p w14:paraId="12B4193C" w14:textId="77777777" w:rsidR="00826C25" w:rsidRDefault="00826C25" w:rsidP="00F367A1">
      <w:pPr>
        <w:pStyle w:val="SingleTxtG"/>
        <w:numPr>
          <w:ilvl w:val="1"/>
          <w:numId w:val="7"/>
        </w:numPr>
        <w:suppressAutoHyphens w:val="0"/>
        <w:spacing w:line="240" w:lineRule="auto"/>
        <w:ind w:left="1134" w:firstLine="0"/>
        <w:rPr>
          <w:lang w:val="es-HN"/>
        </w:rPr>
      </w:pPr>
      <w:r w:rsidRPr="4DF99CBA">
        <w:rPr>
          <w:lang w:val="es-HN"/>
        </w:rPr>
        <w:t>El abordaje integral a la violencia por razón de género requiere acelerar la adopción de políticas públicas integrales y aprobación de normas legales adecuadas que garanticen la prevención y la protección de las mujeres. La Ley especial integral contra las violencias hacia las mujeres, presentada al Poder Ejecutivo en 2022, no ha sido remitida al Congreso. Por otra parte, el Congreso no ha aprobado la Ley de Casas Refugios para las Víctima de la Violencia Basada en Género.</w:t>
      </w:r>
      <w:r>
        <w:rPr>
          <w:lang w:val="es-HN"/>
        </w:rPr>
        <w:t xml:space="preserve"> OACNUDH saluda las acciones acordadas en el marco de la Comisión </w:t>
      </w:r>
      <w:r w:rsidRPr="006A76B7">
        <w:rPr>
          <w:lang w:val="es-HN"/>
        </w:rPr>
        <w:t>Interinstitucional de Seguimiento a las Investigaciones de Muertes Violentas de Mujeres y Femicidios</w:t>
      </w:r>
      <w:r>
        <w:rPr>
          <w:lang w:val="es-HN"/>
        </w:rPr>
        <w:t xml:space="preserve"> y llama a su implementación.</w:t>
      </w:r>
    </w:p>
    <w:p w14:paraId="2238D5EF" w14:textId="77777777" w:rsidR="00826C25" w:rsidRDefault="00826C25" w:rsidP="00F367A1">
      <w:pPr>
        <w:pStyle w:val="SingleTxtG"/>
        <w:numPr>
          <w:ilvl w:val="1"/>
          <w:numId w:val="7"/>
        </w:numPr>
        <w:suppressAutoHyphens w:val="0"/>
        <w:spacing w:line="240" w:lineRule="auto"/>
        <w:ind w:left="1134" w:firstLine="0"/>
        <w:rPr>
          <w:lang w:val="es-HN"/>
        </w:rPr>
      </w:pPr>
      <w:r w:rsidRPr="4DF99CBA">
        <w:rPr>
          <w:lang w:val="es-HN"/>
        </w:rPr>
        <w:t xml:space="preserve">En el proceso judicial relativo al caso de Keyla Martínez, perpetrado por un agente policial, la Sala de lo Constitucional de la Corte Suprema denegó un amparo presentado por el Ministerio Público en contra del cambio de calificación del delito de femicidio a homicidio imprudente, cuya condena es menor, sin incorporar el enfoque de género en su análisis y consideración del caso. </w:t>
      </w:r>
    </w:p>
    <w:p w14:paraId="79740212" w14:textId="77777777" w:rsidR="00826C25" w:rsidRDefault="00826C25" w:rsidP="00F367A1">
      <w:pPr>
        <w:pStyle w:val="SingleTxtG"/>
        <w:numPr>
          <w:ilvl w:val="1"/>
          <w:numId w:val="7"/>
        </w:numPr>
        <w:suppressAutoHyphens w:val="0"/>
        <w:spacing w:line="240" w:lineRule="auto"/>
        <w:ind w:left="1134" w:firstLine="0"/>
        <w:rPr>
          <w:lang w:val="es-HN"/>
        </w:rPr>
      </w:pPr>
      <w:r w:rsidRPr="4DF99CBA">
        <w:rPr>
          <w:lang w:val="es-HN"/>
        </w:rPr>
        <w:t xml:space="preserve">La información en posesión de OACNUDH parece indicar que los casos de criminalización por aborto y parricidio de mujeres afectan principalmente a jóvenes y en algunos casos a mujeres indígenas. OACNUDH dio seguimiento a dos casos en contra de mujeres jóvenes acusadas, identificando prejuicios y falta de exhaustividad en la investigación del Ministerio Público, incluyendo la Dirección de Medicina Forense. </w:t>
      </w:r>
    </w:p>
    <w:p w14:paraId="72805AFB" w14:textId="77777777" w:rsidR="00826C25" w:rsidRDefault="00826C25" w:rsidP="00F367A1">
      <w:pPr>
        <w:pStyle w:val="SingleTxtG"/>
        <w:numPr>
          <w:ilvl w:val="1"/>
          <w:numId w:val="7"/>
        </w:numPr>
        <w:suppressAutoHyphens w:val="0"/>
        <w:spacing w:line="240" w:lineRule="auto"/>
        <w:ind w:left="1134" w:firstLine="0"/>
        <w:rPr>
          <w:lang w:val="es-HN"/>
        </w:rPr>
      </w:pPr>
      <w:r w:rsidRPr="4DF99CBA">
        <w:rPr>
          <w:lang w:val="es-HN"/>
        </w:rPr>
        <w:t xml:space="preserve">En lo que refiere a los derechos sexuales y reproductivos de las mujeres, OACNUDH saluda la firma del Acuerdo Ejecutivo número 75-2023, a través del cual se garantiza y promueve la libre promoción, uso, acceso, venta y compra de la Píldora Anticonceptiva de Emergencia (PAE) en Honduras. No obstante, el acceso a la píldora no se ha garantizado en hospitales públicos, incluyendo para mujeres víctimas de violencia sexual. </w:t>
      </w:r>
    </w:p>
    <w:p w14:paraId="412F457F" w14:textId="77777777" w:rsidR="00826C25" w:rsidRDefault="00826C25" w:rsidP="00F367A1">
      <w:pPr>
        <w:pStyle w:val="SingleTxtG"/>
        <w:numPr>
          <w:ilvl w:val="1"/>
          <w:numId w:val="7"/>
        </w:numPr>
        <w:suppressAutoHyphens w:val="0"/>
        <w:spacing w:line="240" w:lineRule="auto"/>
        <w:ind w:left="1134" w:firstLine="0"/>
        <w:rPr>
          <w:lang w:val="es-HN"/>
        </w:rPr>
      </w:pPr>
      <w:r w:rsidRPr="00E71696">
        <w:rPr>
          <w:lang w:val="es-HN"/>
        </w:rPr>
        <w:t>El marzo, la Corte Suprema de Justicia desestimó los recursos de inconstitucionalidad con relación a la prohibición absoluta del aborto. La Oficina lamenta la decisión del Gobierno de vetar la Ley para la Prevención de Embarazos en Adolescentes, la cual promueve el acceso a la información sobre salud sexual en centros educativos</w:t>
      </w:r>
      <w:r>
        <w:rPr>
          <w:rStyle w:val="FootnoteReference"/>
          <w:lang w:val="es-HN"/>
        </w:rPr>
        <w:footnoteReference w:id="61"/>
      </w:r>
      <w:r w:rsidRPr="00E71696">
        <w:rPr>
          <w:lang w:val="es-HN"/>
        </w:rPr>
        <w:t xml:space="preserve">. </w:t>
      </w:r>
    </w:p>
    <w:p w14:paraId="4D89EBC8" w14:textId="77777777" w:rsidR="00826C25" w:rsidRPr="00E61B7B" w:rsidRDefault="00826C25" w:rsidP="009079A6">
      <w:pPr>
        <w:pStyle w:val="H1G"/>
        <w:ind w:hanging="504"/>
        <w:rPr>
          <w:rFonts w:eastAsia="Calibri"/>
          <w:lang w:val="es-HN"/>
        </w:rPr>
      </w:pPr>
      <w:r>
        <w:rPr>
          <w:rFonts w:eastAsia="Calibri"/>
          <w:lang w:val="es-HN"/>
        </w:rPr>
        <w:tab/>
        <w:t>B.</w:t>
      </w:r>
      <w:r>
        <w:rPr>
          <w:rFonts w:eastAsia="Calibri"/>
          <w:lang w:val="es-HN"/>
        </w:rPr>
        <w:tab/>
      </w:r>
      <w:r w:rsidRPr="00E71696">
        <w:rPr>
          <w:rFonts w:eastAsia="Calibri"/>
          <w:lang w:val="es-HN"/>
        </w:rPr>
        <w:t>Derechos de las Personas Lesbianas, Gais, Bisexuales, Transgénero e Intersexuales</w:t>
      </w:r>
    </w:p>
    <w:p w14:paraId="3F273EE8" w14:textId="77777777" w:rsidR="00826C25" w:rsidRDefault="00826C25" w:rsidP="00F367A1">
      <w:pPr>
        <w:pStyle w:val="SingleTxtG"/>
        <w:numPr>
          <w:ilvl w:val="1"/>
          <w:numId w:val="7"/>
        </w:numPr>
        <w:suppressAutoHyphens w:val="0"/>
        <w:spacing w:line="240" w:lineRule="auto"/>
        <w:ind w:left="1134" w:firstLine="0"/>
        <w:rPr>
          <w:lang w:val="es-HN"/>
        </w:rPr>
      </w:pPr>
      <w:r w:rsidRPr="4DF99CBA">
        <w:rPr>
          <w:lang w:val="es-HN"/>
        </w:rPr>
        <w:t xml:space="preserve">Diversos factores, como los estereotipos de género y un marco normativo adecuado que garantice plenamente los derechos de las personas LGBTI, contribuyen a la violencia y discriminación en su contra. </w:t>
      </w:r>
    </w:p>
    <w:p w14:paraId="5FA52FA8" w14:textId="77777777" w:rsidR="00826C25" w:rsidRDefault="00826C25" w:rsidP="00F367A1">
      <w:pPr>
        <w:pStyle w:val="SingleTxtG"/>
        <w:numPr>
          <w:ilvl w:val="1"/>
          <w:numId w:val="7"/>
        </w:numPr>
        <w:suppressAutoHyphens w:val="0"/>
        <w:spacing w:line="240" w:lineRule="auto"/>
        <w:ind w:left="1134" w:firstLine="0"/>
        <w:rPr>
          <w:lang w:val="es-HN"/>
        </w:rPr>
      </w:pPr>
      <w:r w:rsidRPr="4DF99CBA">
        <w:rPr>
          <w:lang w:val="es-HN"/>
        </w:rPr>
        <w:t xml:space="preserve">Según indicó el Observatorio de la Red Lésbica </w:t>
      </w:r>
      <w:proofErr w:type="spellStart"/>
      <w:r w:rsidRPr="4DF99CBA">
        <w:rPr>
          <w:lang w:val="es-HN"/>
        </w:rPr>
        <w:t>Cattrachas</w:t>
      </w:r>
      <w:proofErr w:type="spellEnd"/>
      <w:r w:rsidRPr="4DF99CBA">
        <w:rPr>
          <w:lang w:val="es-HN"/>
        </w:rPr>
        <w:t xml:space="preserve"> a OACNUDH, en 2023 se reportaron 47 casos de muertes violentas de personas LGBTI (12 mujeres lesbianas, 17 </w:t>
      </w:r>
      <w:r w:rsidRPr="4DF99CBA">
        <w:rPr>
          <w:lang w:val="es-HN"/>
        </w:rPr>
        <w:lastRenderedPageBreak/>
        <w:t xml:space="preserve">hombres gais y 18 personas trans) y una desaparición, de los cuales sólo ocho se encuentran bajo investigación penal. </w:t>
      </w:r>
    </w:p>
    <w:p w14:paraId="5F223704" w14:textId="77777777" w:rsidR="00826C25" w:rsidRDefault="00826C25" w:rsidP="00F367A1">
      <w:pPr>
        <w:pStyle w:val="SingleTxtG"/>
        <w:numPr>
          <w:ilvl w:val="1"/>
          <w:numId w:val="7"/>
        </w:numPr>
        <w:suppressAutoHyphens w:val="0"/>
        <w:spacing w:line="240" w:lineRule="auto"/>
        <w:ind w:left="1134" w:firstLine="0"/>
        <w:rPr>
          <w:lang w:val="es-HN"/>
        </w:rPr>
      </w:pPr>
      <w:r w:rsidRPr="00E71696">
        <w:rPr>
          <w:lang w:val="es-HN"/>
        </w:rPr>
        <w:t>Existen múltiples barreras que les impide el acceso efectivo a la justicia, en particular la falta de capacidad y de instrumentos técnicos y prácticos para la investigación penal eficaz de la violencia contra las personas LGBTI</w:t>
      </w:r>
      <w:r>
        <w:rPr>
          <w:rStyle w:val="FootnoteReference"/>
          <w:lang w:val="es-HN"/>
        </w:rPr>
        <w:footnoteReference w:id="62"/>
      </w:r>
      <w:r w:rsidRPr="00E71696">
        <w:rPr>
          <w:lang w:val="es-HN"/>
        </w:rPr>
        <w:t>. A más de dos años de la sentencia de la Corte Interamericana de Derechos Humanos en el caso Vicky Hernandez, está pendiente la adopción de un procedimiento para el reconocimiento de la identidad de género y un protocolo de investigación y administración de justicia en casos de violencia contra las personas LGBTI</w:t>
      </w:r>
      <w:r>
        <w:rPr>
          <w:rStyle w:val="FootnoteReference"/>
          <w:lang w:val="es-HN"/>
        </w:rPr>
        <w:footnoteReference w:id="63"/>
      </w:r>
      <w:r w:rsidRPr="00E71696">
        <w:rPr>
          <w:lang w:val="es-HN"/>
        </w:rPr>
        <w:t xml:space="preserve">. </w:t>
      </w:r>
    </w:p>
    <w:p w14:paraId="3EA57F60" w14:textId="77777777" w:rsidR="00826C25" w:rsidRDefault="00826C25" w:rsidP="00F367A1">
      <w:pPr>
        <w:pStyle w:val="SingleTxtG"/>
        <w:numPr>
          <w:ilvl w:val="1"/>
          <w:numId w:val="7"/>
        </w:numPr>
        <w:suppressAutoHyphens w:val="0"/>
        <w:spacing w:line="240" w:lineRule="auto"/>
        <w:ind w:left="1134" w:firstLine="0"/>
        <w:rPr>
          <w:lang w:val="es-HN"/>
        </w:rPr>
      </w:pPr>
      <w:r w:rsidRPr="00E71696">
        <w:rPr>
          <w:lang w:val="es-HN"/>
        </w:rPr>
        <w:t>La Ley Orgánica del Registro Nacional de las Personas y su reglamento no permiten el reconocimiento legal de la identidad de género de las personas trans, incluyendo en el Registro Nacional de las Personas</w:t>
      </w:r>
      <w:r>
        <w:rPr>
          <w:rStyle w:val="FootnoteReference"/>
          <w:lang w:val="es-HN"/>
        </w:rPr>
        <w:footnoteReference w:id="64"/>
      </w:r>
      <w:r w:rsidRPr="00E71696">
        <w:rPr>
          <w:lang w:val="es-HN"/>
        </w:rPr>
        <w:t>.</w:t>
      </w:r>
    </w:p>
    <w:p w14:paraId="6E14676E" w14:textId="77777777" w:rsidR="00826C25" w:rsidRPr="00E71696" w:rsidRDefault="00826C25" w:rsidP="00F367A1">
      <w:pPr>
        <w:pStyle w:val="SingleTxtG"/>
        <w:numPr>
          <w:ilvl w:val="1"/>
          <w:numId w:val="7"/>
        </w:numPr>
        <w:suppressAutoHyphens w:val="0"/>
        <w:spacing w:line="240" w:lineRule="auto"/>
        <w:ind w:left="1134" w:firstLine="0"/>
        <w:rPr>
          <w:lang w:val="es-HN"/>
        </w:rPr>
      </w:pPr>
      <w:r w:rsidRPr="4DF99CBA">
        <w:rPr>
          <w:lang w:val="es-HN"/>
        </w:rPr>
        <w:t xml:space="preserve">La Sala de lo Constitucional de la Corte Suprema de Justicia, en marzo, declaró sin lugar un recurso de reposición de la denegación de un recurso de inconstitucionalidad del 2022 sobre la prohibición del matrimonio entre dos personas del mismo sexo por “desestimación por repetición”, siendo este el tercer caso de recurso de inconstitucionalidad </w:t>
      </w:r>
      <w:bookmarkStart w:id="5" w:name="_Hlk159676148"/>
      <w:r w:rsidRPr="4DF99CBA">
        <w:rPr>
          <w:lang w:val="es-HN"/>
        </w:rPr>
        <w:t>desestimado</w:t>
      </w:r>
      <w:bookmarkEnd w:id="5"/>
      <w:r w:rsidRPr="4DF99CBA">
        <w:rPr>
          <w:lang w:val="es-HN"/>
        </w:rPr>
        <w:t xml:space="preserve"> en los últimos dos años.</w:t>
      </w:r>
    </w:p>
    <w:p w14:paraId="1FD0D3D6" w14:textId="77777777" w:rsidR="00826C25" w:rsidRPr="00E61B7B" w:rsidRDefault="00826C25" w:rsidP="00826C25">
      <w:pPr>
        <w:pStyle w:val="H1G"/>
        <w:ind w:left="0" w:firstLine="0"/>
        <w:rPr>
          <w:rFonts w:eastAsia="Calibri"/>
          <w:lang w:val="es-HN"/>
        </w:rPr>
      </w:pPr>
      <w:r>
        <w:rPr>
          <w:rFonts w:eastAsia="Calibri"/>
          <w:lang w:val="es-HN"/>
        </w:rPr>
        <w:tab/>
        <w:t>C.</w:t>
      </w:r>
      <w:r>
        <w:rPr>
          <w:rFonts w:eastAsia="Calibri"/>
          <w:lang w:val="es-HN"/>
        </w:rPr>
        <w:tab/>
      </w:r>
      <w:r w:rsidRPr="00E61B7B">
        <w:rPr>
          <w:rFonts w:eastAsia="Calibri"/>
          <w:lang w:val="es-HN"/>
        </w:rPr>
        <w:t xml:space="preserve">Derechos de los Pueblos Indígenas y </w:t>
      </w:r>
      <w:proofErr w:type="spellStart"/>
      <w:r w:rsidRPr="00E61B7B">
        <w:rPr>
          <w:rFonts w:eastAsia="Calibri"/>
          <w:lang w:val="es-HN"/>
        </w:rPr>
        <w:t>afrohondureños</w:t>
      </w:r>
      <w:proofErr w:type="spellEnd"/>
      <w:r w:rsidRPr="00E61B7B">
        <w:rPr>
          <w:rFonts w:eastAsia="Calibri"/>
          <w:lang w:val="es-HN"/>
        </w:rPr>
        <w:t xml:space="preserve"> </w:t>
      </w:r>
    </w:p>
    <w:p w14:paraId="295B695F" w14:textId="77777777" w:rsidR="00826C25" w:rsidRDefault="00826C25" w:rsidP="00F367A1">
      <w:pPr>
        <w:pStyle w:val="SingleTxtG"/>
        <w:numPr>
          <w:ilvl w:val="1"/>
          <w:numId w:val="7"/>
        </w:numPr>
        <w:suppressAutoHyphens w:val="0"/>
        <w:spacing w:line="240" w:lineRule="auto"/>
        <w:ind w:left="1134" w:firstLine="0"/>
        <w:rPr>
          <w:lang w:val="es-HN"/>
        </w:rPr>
      </w:pPr>
      <w:r w:rsidRPr="00487297">
        <w:rPr>
          <w:lang w:val="es-HN"/>
        </w:rPr>
        <w:t xml:space="preserve">Persisten las barreras estructurales históricas que enfrentan los Pueblos Indígenas y </w:t>
      </w:r>
      <w:proofErr w:type="spellStart"/>
      <w:r w:rsidRPr="00487297">
        <w:rPr>
          <w:lang w:val="es-HN"/>
        </w:rPr>
        <w:t>afrohondureños</w:t>
      </w:r>
      <w:proofErr w:type="spellEnd"/>
      <w:r w:rsidRPr="00487297">
        <w:rPr>
          <w:lang w:val="es-HN"/>
        </w:rPr>
        <w:t xml:space="preserve">, que resultan </w:t>
      </w:r>
      <w:r w:rsidRPr="4DF99CBA">
        <w:rPr>
          <w:i/>
          <w:iCs/>
          <w:lang w:val="es-HN"/>
        </w:rPr>
        <w:t xml:space="preserve">inter </w:t>
      </w:r>
      <w:proofErr w:type="spellStart"/>
      <w:r w:rsidRPr="4DF99CBA">
        <w:rPr>
          <w:i/>
          <w:iCs/>
          <w:lang w:val="es-HN"/>
        </w:rPr>
        <w:t>alia</w:t>
      </w:r>
      <w:proofErr w:type="spellEnd"/>
      <w:r w:rsidRPr="00487297">
        <w:rPr>
          <w:lang w:val="es-HN"/>
        </w:rPr>
        <w:t xml:space="preserve"> en desigualdad y discriminación, exclusión histórica y afectaciones a sus derechos</w:t>
      </w:r>
      <w:r w:rsidRPr="00487297">
        <w:rPr>
          <w:vertAlign w:val="superscript"/>
        </w:rPr>
        <w:footnoteReference w:id="65"/>
      </w:r>
      <w:r w:rsidRPr="00487297">
        <w:rPr>
          <w:lang w:val="es-HN"/>
        </w:rPr>
        <w:t>.</w:t>
      </w:r>
    </w:p>
    <w:p w14:paraId="32E636EE" w14:textId="77777777" w:rsidR="00826C25" w:rsidRDefault="00826C25" w:rsidP="00F367A1">
      <w:pPr>
        <w:pStyle w:val="SingleTxtG"/>
        <w:numPr>
          <w:ilvl w:val="1"/>
          <w:numId w:val="7"/>
        </w:numPr>
        <w:suppressAutoHyphens w:val="0"/>
        <w:spacing w:line="240" w:lineRule="auto"/>
        <w:ind w:left="1134" w:firstLine="0"/>
        <w:rPr>
          <w:lang w:val="es-HN"/>
        </w:rPr>
      </w:pPr>
      <w:r w:rsidRPr="4DF99CBA">
        <w:rPr>
          <w:lang w:val="es-HN"/>
        </w:rPr>
        <w:t xml:space="preserve">La falta de reconocimiento de los derechos de propiedad y posesión tradicional de los Pueblos Indígenas y </w:t>
      </w:r>
      <w:proofErr w:type="spellStart"/>
      <w:r w:rsidRPr="4DF99CBA">
        <w:rPr>
          <w:lang w:val="es-HN"/>
        </w:rPr>
        <w:t>afrohondureños</w:t>
      </w:r>
      <w:proofErr w:type="spellEnd"/>
      <w:r w:rsidRPr="4DF99CBA">
        <w:rPr>
          <w:lang w:val="es-HN"/>
        </w:rPr>
        <w:t xml:space="preserve"> sobre sus tierras y territorios ancestrales, así como la regulación inadecuada de las actividades empresariales, genera grave impacto en el ejercicio y disfrute de sus derechos humanos, incluyendo a la perdida de la cultura, los conocimientos ancestrales y los medios de vida de estos pueblos. La Oficina considera esencial que las autoridades, en el marco de sus competencias, adopten medidas para garantizar estos derechos, incluyendo el posible impacto de actividad empresarial extractiva y turística con relación a sus tierras, territorios y recursos naturales.</w:t>
      </w:r>
    </w:p>
    <w:p w14:paraId="44D624FF" w14:textId="77777777" w:rsidR="00826C25" w:rsidRDefault="00826C25" w:rsidP="00F367A1">
      <w:pPr>
        <w:pStyle w:val="SingleTxtG"/>
        <w:numPr>
          <w:ilvl w:val="1"/>
          <w:numId w:val="7"/>
        </w:numPr>
        <w:suppressAutoHyphens w:val="0"/>
        <w:spacing w:line="240" w:lineRule="auto"/>
        <w:ind w:left="1134" w:firstLine="0"/>
        <w:rPr>
          <w:lang w:val="es-HN"/>
        </w:rPr>
      </w:pPr>
      <w:r w:rsidRPr="00487297">
        <w:rPr>
          <w:lang w:val="es-HN"/>
        </w:rPr>
        <w:t>Sigue pendiente la implementación de las reparaciones ordenadas por la Corte Interamericana de Derechos Humanos en 2015 en los casos de las comunidades Garífunas de Punta Piedra y Triunfo de la Cruz, para asegurar el goce efectivo del derecho a la propiedad comunal y a la posesión de sus territorios ancestrales</w:t>
      </w:r>
      <w:r w:rsidRPr="00487297">
        <w:rPr>
          <w:vertAlign w:val="superscript"/>
        </w:rPr>
        <w:footnoteReference w:id="66"/>
      </w:r>
      <w:r w:rsidRPr="00487297">
        <w:rPr>
          <w:lang w:val="es-HN"/>
        </w:rPr>
        <w:t>.</w:t>
      </w:r>
    </w:p>
    <w:p w14:paraId="665630FD" w14:textId="77777777" w:rsidR="00826C25" w:rsidRDefault="00826C25" w:rsidP="00F367A1">
      <w:pPr>
        <w:pStyle w:val="SingleTxtG"/>
        <w:numPr>
          <w:ilvl w:val="1"/>
          <w:numId w:val="7"/>
        </w:numPr>
        <w:suppressAutoHyphens w:val="0"/>
        <w:spacing w:line="240" w:lineRule="auto"/>
        <w:ind w:left="1134" w:firstLine="0"/>
        <w:rPr>
          <w:lang w:val="es-HN"/>
        </w:rPr>
      </w:pPr>
      <w:r w:rsidRPr="4DF99CBA">
        <w:rPr>
          <w:lang w:val="es-HN"/>
        </w:rPr>
        <w:t xml:space="preserve">En marzo, el Estado realizó el acto de perdón público en Puerto Lempira, reconociendo su responsabilidad internacional y los agravios cometidos en contra de las víctimas en la sentencia dictada por la Corte Interamericana de Derechos Humanos en el caso de los Buzos </w:t>
      </w:r>
      <w:proofErr w:type="spellStart"/>
      <w:r w:rsidRPr="4DF99CBA">
        <w:rPr>
          <w:lang w:val="es-HN"/>
        </w:rPr>
        <w:t>Miskitos</w:t>
      </w:r>
      <w:proofErr w:type="spellEnd"/>
      <w:r w:rsidRPr="4DF99CBA">
        <w:rPr>
          <w:lang w:val="es-HN"/>
        </w:rPr>
        <w:t xml:space="preserve"> (</w:t>
      </w:r>
      <w:proofErr w:type="spellStart"/>
      <w:r w:rsidRPr="4DF99CBA">
        <w:rPr>
          <w:lang w:val="es-HN"/>
        </w:rPr>
        <w:t>Lemoth</w:t>
      </w:r>
      <w:proofErr w:type="spellEnd"/>
      <w:r w:rsidRPr="4DF99CBA">
        <w:rPr>
          <w:lang w:val="es-HN"/>
        </w:rPr>
        <w:t xml:space="preserve"> Morris vs. Honduras, 2021). Sigue pendiente la implementación de otras medidas ordenadas por la Corte en su sentencia. </w:t>
      </w:r>
    </w:p>
    <w:p w14:paraId="13A23866" w14:textId="77777777" w:rsidR="00826C25" w:rsidRPr="00E61B7B" w:rsidRDefault="00826C25" w:rsidP="00826C25">
      <w:pPr>
        <w:pStyle w:val="H1G"/>
        <w:rPr>
          <w:rFonts w:eastAsia="Calibri"/>
          <w:lang w:val="es-HN"/>
        </w:rPr>
      </w:pPr>
      <w:r>
        <w:rPr>
          <w:rFonts w:eastAsia="Calibri"/>
          <w:lang w:val="es-HN"/>
        </w:rPr>
        <w:tab/>
        <w:t>D.</w:t>
      </w:r>
      <w:r>
        <w:rPr>
          <w:rFonts w:eastAsia="Calibri"/>
          <w:lang w:val="es-HN"/>
        </w:rPr>
        <w:tab/>
      </w:r>
      <w:r w:rsidRPr="00E61B7B">
        <w:rPr>
          <w:rFonts w:eastAsia="Calibri"/>
          <w:lang w:val="es-HN"/>
        </w:rPr>
        <w:t xml:space="preserve">Personas </w:t>
      </w:r>
      <w:r>
        <w:rPr>
          <w:rFonts w:eastAsia="Calibri"/>
          <w:lang w:val="es-HN"/>
        </w:rPr>
        <w:t>en</w:t>
      </w:r>
      <w:r w:rsidRPr="00E61B7B">
        <w:rPr>
          <w:rFonts w:eastAsia="Calibri"/>
          <w:lang w:val="es-HN"/>
        </w:rPr>
        <w:t xml:space="preserve"> situación de movilidad </w:t>
      </w:r>
    </w:p>
    <w:p w14:paraId="515A5667" w14:textId="77777777" w:rsidR="00826C25" w:rsidRDefault="00826C25" w:rsidP="00F367A1">
      <w:pPr>
        <w:pStyle w:val="SingleTxtG"/>
        <w:numPr>
          <w:ilvl w:val="1"/>
          <w:numId w:val="7"/>
        </w:numPr>
        <w:suppressAutoHyphens w:val="0"/>
        <w:spacing w:line="240" w:lineRule="auto"/>
        <w:ind w:left="1134" w:firstLine="0"/>
        <w:rPr>
          <w:lang w:val="es-HN"/>
        </w:rPr>
      </w:pPr>
      <w:r w:rsidRPr="00487297">
        <w:rPr>
          <w:lang w:val="es-HN"/>
        </w:rPr>
        <w:t>El Instituto Nacional de Migración registró en 2023 la cifra más elevada de ingresos irregulares respecto a años anteriores, con un total de 512,3</w:t>
      </w:r>
      <w:r>
        <w:rPr>
          <w:lang w:val="es-HN"/>
        </w:rPr>
        <w:t>51</w:t>
      </w:r>
      <w:r>
        <w:rPr>
          <w:rStyle w:val="FootnoteReference"/>
          <w:lang w:val="es-HN"/>
        </w:rPr>
        <w:footnoteReference w:id="67"/>
      </w:r>
      <w:r>
        <w:rPr>
          <w:lang w:val="es-HN"/>
        </w:rPr>
        <w:t xml:space="preserve"> </w:t>
      </w:r>
      <w:r w:rsidRPr="00487297">
        <w:rPr>
          <w:lang w:val="es-HN"/>
        </w:rPr>
        <w:t xml:space="preserve">personas en movimientos migratorios mixtos de 115 nacionalidades. </w:t>
      </w:r>
    </w:p>
    <w:p w14:paraId="11B193D9" w14:textId="77777777" w:rsidR="00826C25" w:rsidRDefault="00826C25" w:rsidP="00F367A1">
      <w:pPr>
        <w:pStyle w:val="SingleTxtG"/>
        <w:numPr>
          <w:ilvl w:val="1"/>
          <w:numId w:val="7"/>
        </w:numPr>
        <w:suppressAutoHyphens w:val="0"/>
        <w:spacing w:line="240" w:lineRule="auto"/>
        <w:ind w:left="1134" w:firstLine="0"/>
        <w:rPr>
          <w:lang w:val="es-HN"/>
        </w:rPr>
      </w:pPr>
      <w:r w:rsidRPr="00487297">
        <w:rPr>
          <w:lang w:val="es-HN"/>
        </w:rPr>
        <w:t xml:space="preserve">El número de personas hondureñas retornadas disminuyó significativamente, con relación a 2022, a 52,812, siendo la mayoría procedente de Estados Unidos (36,119) y </w:t>
      </w:r>
      <w:r w:rsidRPr="00487297">
        <w:rPr>
          <w:lang w:val="es-HN"/>
        </w:rPr>
        <w:lastRenderedPageBreak/>
        <w:t>México (15,065)</w:t>
      </w:r>
      <w:r>
        <w:rPr>
          <w:rStyle w:val="FootnoteReference"/>
          <w:lang w:val="es-HN"/>
        </w:rPr>
        <w:footnoteReference w:id="68"/>
      </w:r>
      <w:r w:rsidRPr="00487297">
        <w:rPr>
          <w:lang w:val="es-HN"/>
        </w:rPr>
        <w:t>. Según la Oficina de Aduanas y Protección Fronteriza de Estados Unidos, entre enero y octubre de 2023, se registraron 194,986 detenciones en la frontera sur de Estados Unidos con personas de nacionalidad hondureña</w:t>
      </w:r>
      <w:r>
        <w:rPr>
          <w:rStyle w:val="FootnoteReference"/>
          <w:lang w:val="es-HN"/>
        </w:rPr>
        <w:footnoteReference w:id="69"/>
      </w:r>
      <w:r w:rsidRPr="00487297">
        <w:rPr>
          <w:lang w:val="es-HN"/>
        </w:rPr>
        <w:t xml:space="preserve">, con alta presencia de familias y menores no acompañados. </w:t>
      </w:r>
    </w:p>
    <w:p w14:paraId="6481AAEB" w14:textId="77777777" w:rsidR="00826C25" w:rsidRDefault="00826C25" w:rsidP="00F367A1">
      <w:pPr>
        <w:pStyle w:val="SingleTxtG"/>
        <w:numPr>
          <w:ilvl w:val="1"/>
          <w:numId w:val="7"/>
        </w:numPr>
        <w:suppressAutoHyphens w:val="0"/>
        <w:spacing w:line="240" w:lineRule="auto"/>
        <w:ind w:left="1134" w:firstLine="0"/>
        <w:rPr>
          <w:lang w:val="es-HN"/>
        </w:rPr>
      </w:pPr>
      <w:r w:rsidRPr="00487297">
        <w:rPr>
          <w:lang w:val="es-HN"/>
        </w:rPr>
        <w:t>La Oficina observó que el Estado enfrentó desafíos para atender las necesidades humanitarias de la población migrante en tránsito, específicamente en el acceso a servicios básicos como agua, alimentación, alojamiento temporal y servicios de salud. Personas migrantes se han visto forzadas a pernoctar en condiciones de precariedad y hacinamiento en espacios públicos ante la carencia de alojamiento temporal, enfrentan sobrecostos en el transporte y están más expuestas a casos de extorsión y violencia</w:t>
      </w:r>
      <w:r>
        <w:rPr>
          <w:rStyle w:val="FootnoteReference"/>
          <w:lang w:val="es-HN"/>
        </w:rPr>
        <w:footnoteReference w:id="70"/>
      </w:r>
      <w:r w:rsidRPr="00487297">
        <w:rPr>
          <w:lang w:val="es-HN"/>
        </w:rPr>
        <w:t>.</w:t>
      </w:r>
    </w:p>
    <w:p w14:paraId="5D86F753" w14:textId="77777777" w:rsidR="00826C25" w:rsidRPr="00487297" w:rsidRDefault="00826C25" w:rsidP="00F367A1">
      <w:pPr>
        <w:pStyle w:val="SingleTxtG"/>
        <w:numPr>
          <w:ilvl w:val="1"/>
          <w:numId w:val="7"/>
        </w:numPr>
        <w:suppressAutoHyphens w:val="0"/>
        <w:spacing w:line="240" w:lineRule="auto"/>
        <w:ind w:left="1134" w:firstLine="0"/>
        <w:rPr>
          <w:lang w:val="es-HN"/>
        </w:rPr>
      </w:pPr>
      <w:r w:rsidRPr="00487297">
        <w:rPr>
          <w:lang w:val="es-HN"/>
        </w:rPr>
        <w:t>La Oficina saluda las prórrogas del Decreto de Amnistía Migratoria</w:t>
      </w:r>
      <w:r>
        <w:rPr>
          <w:rStyle w:val="FootnoteReference"/>
          <w:lang w:val="es-HN"/>
        </w:rPr>
        <w:footnoteReference w:id="71"/>
      </w:r>
      <w:r w:rsidRPr="00487297">
        <w:rPr>
          <w:lang w:val="es-HN"/>
        </w:rPr>
        <w:t>, que exime del pago de multas administrativas a quienes ingresan de manera irregular al país. Asimismo, OACNUDH saluda la entrada en vigor de la Ley para la Prevención, Atención y Protección de las Personas Desplazadas Internamente</w:t>
      </w:r>
      <w:r>
        <w:rPr>
          <w:rStyle w:val="FootnoteReference"/>
          <w:lang w:val="es-HN"/>
        </w:rPr>
        <w:footnoteReference w:id="72"/>
      </w:r>
      <w:r w:rsidRPr="00487297">
        <w:rPr>
          <w:lang w:val="es-HN"/>
        </w:rPr>
        <w:t>, así como la instalación de su principal órgano, la Comisión Interinstitucional para la Protección de Personas Desplazadas Forzadamente</w:t>
      </w:r>
      <w:r>
        <w:rPr>
          <w:rStyle w:val="FootnoteReference"/>
          <w:lang w:val="es-HN"/>
        </w:rPr>
        <w:footnoteReference w:id="73"/>
      </w:r>
      <w:r w:rsidRPr="00487297">
        <w:rPr>
          <w:lang w:val="es-HN"/>
        </w:rPr>
        <w:t>.</w:t>
      </w:r>
    </w:p>
    <w:p w14:paraId="1DCB11F5" w14:textId="77777777" w:rsidR="00826C25" w:rsidRPr="00E61B7B" w:rsidRDefault="00826C25" w:rsidP="00826C25">
      <w:pPr>
        <w:pStyle w:val="HChG"/>
        <w:rPr>
          <w:rFonts w:eastAsia="Calibri"/>
          <w:lang w:val="es-HN"/>
        </w:rPr>
      </w:pPr>
      <w:r>
        <w:rPr>
          <w:lang w:val="es-HN"/>
        </w:rPr>
        <w:tab/>
        <w:t>VII.</w:t>
      </w:r>
      <w:r>
        <w:rPr>
          <w:lang w:val="es-HN"/>
        </w:rPr>
        <w:tab/>
      </w:r>
      <w:r w:rsidRPr="00E61B7B">
        <w:rPr>
          <w:lang w:val="es-HN"/>
        </w:rPr>
        <w:t>Recomendaciones</w:t>
      </w:r>
    </w:p>
    <w:p w14:paraId="127C9F93" w14:textId="77777777" w:rsidR="00826C25" w:rsidRPr="00487297" w:rsidRDefault="00826C25" w:rsidP="00F367A1">
      <w:pPr>
        <w:pStyle w:val="SingleTxtG"/>
        <w:numPr>
          <w:ilvl w:val="1"/>
          <w:numId w:val="7"/>
        </w:numPr>
        <w:suppressAutoHyphens w:val="0"/>
        <w:spacing w:line="240" w:lineRule="auto"/>
        <w:ind w:left="1134" w:firstLine="0"/>
        <w:rPr>
          <w:b/>
          <w:bCs/>
        </w:rPr>
      </w:pPr>
      <w:r w:rsidRPr="00487297">
        <w:rPr>
          <w:b/>
          <w:bCs/>
        </w:rPr>
        <w:t xml:space="preserve">La Oficina </w:t>
      </w:r>
      <w:r>
        <w:rPr>
          <w:b/>
          <w:bCs/>
        </w:rPr>
        <w:t xml:space="preserve">reitera </w:t>
      </w:r>
      <w:r w:rsidRPr="00E61B7B">
        <w:rPr>
          <w:b/>
          <w:bCs/>
        </w:rPr>
        <w:t>las recomendaciones contenidas en sus informes anteriores</w:t>
      </w:r>
      <w:bookmarkStart w:id="6" w:name="_Hlk159676370"/>
      <w:r>
        <w:rPr>
          <w:rStyle w:val="FootnoteReference"/>
          <w:b/>
          <w:bCs/>
        </w:rPr>
        <w:footnoteReference w:id="74"/>
      </w:r>
      <w:bookmarkEnd w:id="6"/>
      <w:r w:rsidRPr="00E61B7B">
        <w:rPr>
          <w:b/>
          <w:bCs/>
        </w:rPr>
        <w:t xml:space="preserve"> e insta a las autoridades a implementarlas. OACNUDH re</w:t>
      </w:r>
      <w:r>
        <w:rPr>
          <w:b/>
          <w:bCs/>
        </w:rPr>
        <w:t>itera</w:t>
      </w:r>
      <w:r w:rsidRPr="00E61B7B">
        <w:rPr>
          <w:b/>
          <w:bCs/>
        </w:rPr>
        <w:t xml:space="preserve"> su compromiso de continuar apoyando al Estado de Honduras en el respeto y garantía de los derechos humanos y recomienda:</w:t>
      </w:r>
      <w:r w:rsidRPr="00487297">
        <w:rPr>
          <w:b/>
          <w:bCs/>
        </w:rPr>
        <w:t xml:space="preserve"> </w:t>
      </w:r>
    </w:p>
    <w:p w14:paraId="52028D63" w14:textId="77777777" w:rsidR="00826C25" w:rsidRPr="00E61B7B" w:rsidRDefault="00826C25" w:rsidP="00826C25">
      <w:pPr>
        <w:pStyle w:val="SingleTxtG"/>
        <w:numPr>
          <w:ilvl w:val="0"/>
          <w:numId w:val="49"/>
        </w:numPr>
        <w:suppressAutoHyphens w:val="0"/>
        <w:spacing w:line="240" w:lineRule="auto"/>
        <w:ind w:left="1134" w:firstLine="567"/>
        <w:rPr>
          <w:b/>
          <w:bCs/>
        </w:rPr>
      </w:pPr>
      <w:r>
        <w:rPr>
          <w:b/>
          <w:bCs/>
        </w:rPr>
        <w:t xml:space="preserve">Elaborar e implementar políticas públicas, teniendo como un abordaje central los derechos humanos y la protección del medio ambiente, para promover el desarrollo equitativo y sostenible, que reduzca significativamente </w:t>
      </w:r>
      <w:r w:rsidRPr="00E61B7B">
        <w:rPr>
          <w:b/>
          <w:bCs/>
        </w:rPr>
        <w:t>la pobreza y desigualdad</w:t>
      </w:r>
      <w:r>
        <w:rPr>
          <w:b/>
          <w:bCs/>
        </w:rPr>
        <w:t>.</w:t>
      </w:r>
    </w:p>
    <w:p w14:paraId="46F6F7A4" w14:textId="77777777" w:rsidR="00826C25" w:rsidRPr="00E61B7B" w:rsidRDefault="00826C25" w:rsidP="00826C25">
      <w:pPr>
        <w:pStyle w:val="SingleTxtG"/>
        <w:numPr>
          <w:ilvl w:val="0"/>
          <w:numId w:val="49"/>
        </w:numPr>
        <w:suppressAutoHyphens w:val="0"/>
        <w:spacing w:line="240" w:lineRule="auto"/>
        <w:ind w:left="1134" w:firstLine="567"/>
        <w:rPr>
          <w:b/>
          <w:bCs/>
        </w:rPr>
      </w:pPr>
      <w:r>
        <w:rPr>
          <w:b/>
          <w:bCs/>
        </w:rPr>
        <w:t>Fortalecer el</w:t>
      </w:r>
      <w:r w:rsidRPr="00E61B7B">
        <w:rPr>
          <w:b/>
          <w:bCs/>
        </w:rPr>
        <w:t xml:space="preserve"> Sistema Nacional de Protección para las y los defensores de derechos humanos, periodistas, comunicadores sociales y operadores de justicia,</w:t>
      </w:r>
      <w:r>
        <w:rPr>
          <w:b/>
          <w:bCs/>
        </w:rPr>
        <w:t xml:space="preserve"> con el fin de asegurar su efectivo funcionamiento y </w:t>
      </w:r>
      <w:r w:rsidRPr="00E61B7B">
        <w:rPr>
          <w:b/>
          <w:bCs/>
        </w:rPr>
        <w:t xml:space="preserve">la corresponsabilidad de las instituciones que lo conforman. </w:t>
      </w:r>
    </w:p>
    <w:p w14:paraId="0B871EE8" w14:textId="77777777" w:rsidR="00826C25" w:rsidRPr="00E61B7B" w:rsidRDefault="00826C25" w:rsidP="00826C25">
      <w:pPr>
        <w:pStyle w:val="SingleTxtG"/>
        <w:numPr>
          <w:ilvl w:val="0"/>
          <w:numId w:val="49"/>
        </w:numPr>
        <w:suppressAutoHyphens w:val="0"/>
        <w:spacing w:line="240" w:lineRule="auto"/>
        <w:ind w:left="1134" w:firstLine="567"/>
        <w:rPr>
          <w:b/>
          <w:bCs/>
        </w:rPr>
      </w:pPr>
      <w:r w:rsidRPr="00E61B7B">
        <w:rPr>
          <w:b/>
          <w:bCs/>
        </w:rPr>
        <w:t xml:space="preserve">Adoptar las políticas y reformas legales necesarias para garantizar los derechos humanos de las mujeres, incluyendo los derechos sexuales y reproductivos, así como a una vida libre de violencia. </w:t>
      </w:r>
    </w:p>
    <w:p w14:paraId="59B952F7" w14:textId="77777777" w:rsidR="00826C25" w:rsidRPr="00E61B7B" w:rsidRDefault="00826C25" w:rsidP="00826C25">
      <w:pPr>
        <w:pStyle w:val="SingleTxtG"/>
        <w:numPr>
          <w:ilvl w:val="0"/>
          <w:numId w:val="49"/>
        </w:numPr>
        <w:suppressAutoHyphens w:val="0"/>
        <w:spacing w:line="240" w:lineRule="auto"/>
        <w:ind w:left="1134" w:firstLine="567"/>
        <w:rPr>
          <w:b/>
          <w:bCs/>
        </w:rPr>
      </w:pPr>
      <w:r w:rsidRPr="00E61B7B">
        <w:rPr>
          <w:b/>
          <w:bCs/>
        </w:rPr>
        <w:t xml:space="preserve">Promover el espacio cívico y la participación ciudadana en los asuntos públicos, asegurando la libertad de expresión y el acceso a la información. </w:t>
      </w:r>
    </w:p>
    <w:p w14:paraId="35B0BFC6" w14:textId="77777777" w:rsidR="00826C25" w:rsidRPr="00E61B7B" w:rsidRDefault="00826C25" w:rsidP="00826C25">
      <w:pPr>
        <w:pStyle w:val="SingleTxtG"/>
        <w:numPr>
          <w:ilvl w:val="0"/>
          <w:numId w:val="49"/>
        </w:numPr>
        <w:suppressAutoHyphens w:val="0"/>
        <w:spacing w:line="240" w:lineRule="auto"/>
        <w:ind w:left="1134" w:firstLine="567"/>
        <w:rPr>
          <w:b/>
          <w:bCs/>
        </w:rPr>
      </w:pPr>
      <w:r>
        <w:rPr>
          <w:b/>
          <w:bCs/>
        </w:rPr>
        <w:t>Adoptar la</w:t>
      </w:r>
      <w:r w:rsidRPr="00E61B7B">
        <w:rPr>
          <w:b/>
          <w:bCs/>
        </w:rPr>
        <w:t xml:space="preserve"> Ley sobre el Consejo de la Judicatura y la Carrera Judicial que separe las funciones jurisdiccionales de las administrativas.</w:t>
      </w:r>
    </w:p>
    <w:p w14:paraId="58B9D3F0" w14:textId="77777777" w:rsidR="00826C25" w:rsidRPr="00E61B7B" w:rsidRDefault="00826C25" w:rsidP="00826C25">
      <w:pPr>
        <w:pStyle w:val="SingleTxtG"/>
        <w:numPr>
          <w:ilvl w:val="0"/>
          <w:numId w:val="49"/>
        </w:numPr>
        <w:suppressAutoHyphens w:val="0"/>
        <w:spacing w:line="240" w:lineRule="auto"/>
        <w:ind w:left="1134" w:firstLine="567"/>
        <w:rPr>
          <w:b/>
          <w:bCs/>
        </w:rPr>
      </w:pPr>
      <w:r w:rsidRPr="00E61B7B">
        <w:rPr>
          <w:b/>
          <w:bCs/>
        </w:rPr>
        <w:t xml:space="preserve">Garantizar el acceso a la justicia de las víctimas de violaciones de derechos humanos </w:t>
      </w:r>
      <w:r>
        <w:rPr>
          <w:b/>
          <w:bCs/>
        </w:rPr>
        <w:t xml:space="preserve">que incluya </w:t>
      </w:r>
      <w:r w:rsidRPr="00E61B7B">
        <w:rPr>
          <w:b/>
          <w:bCs/>
        </w:rPr>
        <w:t xml:space="preserve">la perspectiva de género y </w:t>
      </w:r>
      <w:r>
        <w:rPr>
          <w:b/>
          <w:bCs/>
        </w:rPr>
        <w:t>un enfoque interseccional en los procesos y resoluciones judiciales</w:t>
      </w:r>
      <w:r w:rsidRPr="00E61B7B">
        <w:rPr>
          <w:b/>
          <w:bCs/>
        </w:rPr>
        <w:t xml:space="preserve">. </w:t>
      </w:r>
    </w:p>
    <w:p w14:paraId="6C048330" w14:textId="77777777" w:rsidR="00826C25" w:rsidRPr="00E61B7B" w:rsidRDefault="00826C25" w:rsidP="00826C25">
      <w:pPr>
        <w:pStyle w:val="SingleTxtG"/>
        <w:numPr>
          <w:ilvl w:val="0"/>
          <w:numId w:val="49"/>
        </w:numPr>
        <w:suppressAutoHyphens w:val="0"/>
        <w:spacing w:line="240" w:lineRule="auto"/>
        <w:ind w:left="1134" w:firstLine="567"/>
        <w:rPr>
          <w:b/>
          <w:bCs/>
        </w:rPr>
      </w:pPr>
      <w:r w:rsidRPr="00E61B7B">
        <w:rPr>
          <w:b/>
          <w:bCs/>
        </w:rPr>
        <w:t xml:space="preserve">Implementar una política de seguridad ciudadana con enfoque de derechos humanos que fortalezca la prevención e investigación </w:t>
      </w:r>
      <w:r w:rsidRPr="000116E9">
        <w:rPr>
          <w:b/>
          <w:bCs/>
          <w:lang w:val="es-HN"/>
        </w:rPr>
        <w:t>que aborde las causas estructurales de la violencia y la inseguridad</w:t>
      </w:r>
      <w:r>
        <w:rPr>
          <w:b/>
          <w:bCs/>
          <w:lang w:val="es-HN"/>
        </w:rPr>
        <w:t>. Las declaraciones de estado de emergencia y la suspensión de derecho deben ser excepcionales y cumplir estrictamente con el derecho internacional de los derechos humanos</w:t>
      </w:r>
      <w:r w:rsidRPr="00E61B7B">
        <w:rPr>
          <w:b/>
          <w:bCs/>
        </w:rPr>
        <w:t xml:space="preserve">. </w:t>
      </w:r>
    </w:p>
    <w:p w14:paraId="0429C2F3" w14:textId="77777777" w:rsidR="00826C25" w:rsidRPr="00E61B7B" w:rsidRDefault="00826C25" w:rsidP="00826C25">
      <w:pPr>
        <w:pStyle w:val="SingleTxtG"/>
        <w:numPr>
          <w:ilvl w:val="0"/>
          <w:numId w:val="49"/>
        </w:numPr>
        <w:suppressAutoHyphens w:val="0"/>
        <w:spacing w:line="240" w:lineRule="auto"/>
        <w:ind w:left="1134" w:firstLine="567"/>
        <w:rPr>
          <w:b/>
          <w:bCs/>
        </w:rPr>
      </w:pPr>
      <w:r>
        <w:rPr>
          <w:b/>
          <w:bCs/>
        </w:rPr>
        <w:lastRenderedPageBreak/>
        <w:t xml:space="preserve">Adoptar todas las medidas necesarias para asegurar que el uso de la fuerza por </w:t>
      </w:r>
      <w:r w:rsidRPr="00E61B7B">
        <w:rPr>
          <w:b/>
          <w:bCs/>
        </w:rPr>
        <w:t>la Policía Nacional y Policía Militar de Orden Público</w:t>
      </w:r>
      <w:r>
        <w:rPr>
          <w:b/>
          <w:bCs/>
        </w:rPr>
        <w:t>,</w:t>
      </w:r>
      <w:r w:rsidRPr="00E61B7B">
        <w:rPr>
          <w:b/>
          <w:bCs/>
        </w:rPr>
        <w:t xml:space="preserve"> en el marco de sus funciones</w:t>
      </w:r>
      <w:r>
        <w:rPr>
          <w:b/>
          <w:bCs/>
        </w:rPr>
        <w:t>, se lleve a cabo en estricto cumplimiento con los estándares internacionales de derechos humanos, así como asegurar la rendición de cuentas, incluidas ante las autoridades judiciales</w:t>
      </w:r>
      <w:r w:rsidRPr="00E61B7B">
        <w:rPr>
          <w:b/>
          <w:bCs/>
        </w:rPr>
        <w:t xml:space="preserve">. </w:t>
      </w:r>
    </w:p>
    <w:p w14:paraId="51289727" w14:textId="77777777" w:rsidR="00826C25" w:rsidRPr="00E61B7B" w:rsidRDefault="00826C25" w:rsidP="00826C25">
      <w:pPr>
        <w:pStyle w:val="SingleTxtG"/>
        <w:numPr>
          <w:ilvl w:val="0"/>
          <w:numId w:val="49"/>
        </w:numPr>
        <w:suppressAutoHyphens w:val="0"/>
        <w:spacing w:line="240" w:lineRule="auto"/>
        <w:ind w:left="1134" w:firstLine="567"/>
        <w:rPr>
          <w:b/>
          <w:bCs/>
        </w:rPr>
      </w:pPr>
      <w:r w:rsidRPr="00E61B7B">
        <w:rPr>
          <w:b/>
          <w:bCs/>
        </w:rPr>
        <w:t xml:space="preserve">Asegurar </w:t>
      </w:r>
      <w:r>
        <w:rPr>
          <w:b/>
          <w:bCs/>
        </w:rPr>
        <w:t xml:space="preserve">que </w:t>
      </w:r>
      <w:r w:rsidRPr="00E61B7B">
        <w:rPr>
          <w:b/>
          <w:bCs/>
        </w:rPr>
        <w:t xml:space="preserve">la elección de un </w:t>
      </w:r>
      <w:proofErr w:type="gramStart"/>
      <w:r w:rsidRPr="00E61B7B">
        <w:rPr>
          <w:b/>
          <w:bCs/>
        </w:rPr>
        <w:t>Fiscal</w:t>
      </w:r>
      <w:r>
        <w:rPr>
          <w:b/>
          <w:bCs/>
        </w:rPr>
        <w:t xml:space="preserve"> </w:t>
      </w:r>
      <w:r w:rsidRPr="00E61B7B">
        <w:rPr>
          <w:b/>
          <w:bCs/>
        </w:rPr>
        <w:t>General</w:t>
      </w:r>
      <w:proofErr w:type="gramEnd"/>
      <w:r w:rsidRPr="00E61B7B">
        <w:rPr>
          <w:b/>
          <w:bCs/>
        </w:rPr>
        <w:t xml:space="preserve"> y Adjunto de carácter permanente, </w:t>
      </w:r>
      <w:r>
        <w:rPr>
          <w:b/>
          <w:bCs/>
        </w:rPr>
        <w:t>se realice en base a</w:t>
      </w:r>
      <w:r w:rsidRPr="00E61B7B">
        <w:rPr>
          <w:b/>
          <w:bCs/>
        </w:rPr>
        <w:t xml:space="preserve"> criterios de objetividad, capacidad, idoneidad e integridad. </w:t>
      </w:r>
    </w:p>
    <w:p w14:paraId="1D3B99D2" w14:textId="77777777" w:rsidR="00826C25" w:rsidRPr="00E61B7B" w:rsidRDefault="00826C25" w:rsidP="00826C25">
      <w:pPr>
        <w:pStyle w:val="SingleTxtG"/>
        <w:numPr>
          <w:ilvl w:val="0"/>
          <w:numId w:val="49"/>
        </w:numPr>
        <w:suppressAutoHyphens w:val="0"/>
        <w:spacing w:line="240" w:lineRule="auto"/>
        <w:ind w:left="1134" w:firstLine="567"/>
        <w:rPr>
          <w:b/>
          <w:bCs/>
        </w:rPr>
      </w:pPr>
      <w:r w:rsidRPr="00E61B7B">
        <w:rPr>
          <w:b/>
          <w:bCs/>
        </w:rPr>
        <w:t>Fortalecer la capacidad del Ministerio Público y garantizar la debida diligencia en las investigaciones de violaciones a los derechos humanos,</w:t>
      </w:r>
      <w:r>
        <w:rPr>
          <w:b/>
          <w:bCs/>
        </w:rPr>
        <w:t xml:space="preserve"> con especial atención a los casos sobre</w:t>
      </w:r>
      <w:r w:rsidRPr="00E61B7B">
        <w:rPr>
          <w:b/>
          <w:bCs/>
        </w:rPr>
        <w:t xml:space="preserve"> violencia contra las mujeres, las personas LGBTI y las personas defensoras de los derechos humanos. </w:t>
      </w:r>
    </w:p>
    <w:p w14:paraId="1288E149" w14:textId="77777777" w:rsidR="00826C25" w:rsidRPr="00E61B7B" w:rsidRDefault="00826C25" w:rsidP="00826C25">
      <w:pPr>
        <w:pStyle w:val="SingleTxtG"/>
        <w:numPr>
          <w:ilvl w:val="0"/>
          <w:numId w:val="49"/>
        </w:numPr>
        <w:suppressAutoHyphens w:val="0"/>
        <w:spacing w:line="240" w:lineRule="auto"/>
        <w:ind w:left="1134" w:firstLine="567"/>
        <w:rPr>
          <w:b/>
          <w:bCs/>
        </w:rPr>
      </w:pPr>
      <w:r w:rsidRPr="00E61B7B">
        <w:rPr>
          <w:b/>
          <w:bCs/>
        </w:rPr>
        <w:t xml:space="preserve">Adoptar medidas efectivas para reducir la conflictividad vinculada a la tierra a través de un marco legal e institucional que permita su titulación, reconociendo los derechos ancestrales de Pueblos Indígenas y </w:t>
      </w:r>
      <w:proofErr w:type="spellStart"/>
      <w:r w:rsidRPr="00E61B7B">
        <w:rPr>
          <w:b/>
          <w:bCs/>
        </w:rPr>
        <w:t>afrohondureños</w:t>
      </w:r>
      <w:proofErr w:type="spellEnd"/>
      <w:r w:rsidRPr="00E61B7B">
        <w:rPr>
          <w:b/>
          <w:bCs/>
        </w:rPr>
        <w:t xml:space="preserve">, así como el acceso a la tierra para grupos campesinos y otros grupos históricamente excluidos. </w:t>
      </w:r>
    </w:p>
    <w:p w14:paraId="283778C0" w14:textId="77777777" w:rsidR="00826C25" w:rsidRPr="00E61B7B" w:rsidRDefault="00826C25" w:rsidP="00826C25">
      <w:pPr>
        <w:pStyle w:val="SingleTxtG"/>
        <w:numPr>
          <w:ilvl w:val="0"/>
          <w:numId w:val="49"/>
        </w:numPr>
        <w:suppressAutoHyphens w:val="0"/>
        <w:spacing w:line="240" w:lineRule="auto"/>
        <w:ind w:left="1134" w:firstLine="567"/>
        <w:rPr>
          <w:b/>
          <w:bCs/>
        </w:rPr>
      </w:pPr>
      <w:r w:rsidRPr="00E61B7B">
        <w:rPr>
          <w:b/>
          <w:bCs/>
        </w:rPr>
        <w:t xml:space="preserve">Instalar y </w:t>
      </w:r>
      <w:r>
        <w:rPr>
          <w:b/>
          <w:bCs/>
        </w:rPr>
        <w:t>asegurar el funcionamiento de</w:t>
      </w:r>
      <w:r w:rsidRPr="00E61B7B">
        <w:rPr>
          <w:b/>
          <w:bCs/>
        </w:rPr>
        <w:t xml:space="preserve"> la Comisión Tripartita para el abordaje estructural de la conflictividad agraria del Bajo Aguán que garantice medidas de reparación y no repetición.</w:t>
      </w:r>
    </w:p>
    <w:p w14:paraId="73201F4F" w14:textId="77777777" w:rsidR="00826C25" w:rsidRPr="00E61B7B" w:rsidRDefault="00826C25" w:rsidP="00826C25">
      <w:pPr>
        <w:pStyle w:val="SingleTxtG"/>
        <w:numPr>
          <w:ilvl w:val="0"/>
          <w:numId w:val="49"/>
        </w:numPr>
        <w:suppressAutoHyphens w:val="0"/>
        <w:spacing w:line="240" w:lineRule="auto"/>
        <w:ind w:left="1134" w:firstLine="567"/>
        <w:rPr>
          <w:b/>
          <w:bCs/>
        </w:rPr>
      </w:pPr>
      <w:r>
        <w:rPr>
          <w:b/>
          <w:bCs/>
        </w:rPr>
        <w:t>Asegurar el funcionamiento de</w:t>
      </w:r>
      <w:r w:rsidRPr="00E61B7B">
        <w:rPr>
          <w:b/>
          <w:bCs/>
        </w:rPr>
        <w:t xml:space="preserve"> la Comisión Intersectorial de Alto Nivel para el Cumplimiento de los Compromisos emitidos por los Sistemas de Protección Internacional de Derechos Humanos en casos que implican violaciones a los derechos de las comunidades garífunas.</w:t>
      </w:r>
    </w:p>
    <w:p w14:paraId="325E176E" w14:textId="77777777" w:rsidR="00826C25" w:rsidRPr="00E61B7B" w:rsidRDefault="00826C25" w:rsidP="00826C25">
      <w:pPr>
        <w:pStyle w:val="SingleTxtG"/>
        <w:numPr>
          <w:ilvl w:val="0"/>
          <w:numId w:val="49"/>
        </w:numPr>
        <w:suppressAutoHyphens w:val="0"/>
        <w:spacing w:line="240" w:lineRule="auto"/>
        <w:ind w:left="1134" w:firstLine="567"/>
        <w:rPr>
          <w:b/>
          <w:bCs/>
        </w:rPr>
      </w:pPr>
      <w:r>
        <w:rPr>
          <w:b/>
          <w:bCs/>
        </w:rPr>
        <w:t>R</w:t>
      </w:r>
      <w:r w:rsidRPr="00E61B7B">
        <w:rPr>
          <w:b/>
          <w:bCs/>
        </w:rPr>
        <w:t>eforma</w:t>
      </w:r>
      <w:r>
        <w:rPr>
          <w:b/>
          <w:bCs/>
        </w:rPr>
        <w:t>r</w:t>
      </w:r>
      <w:r w:rsidRPr="00E61B7B">
        <w:rPr>
          <w:b/>
          <w:bCs/>
        </w:rPr>
        <w:t xml:space="preserve"> del marco normativo ambiental, incluyendo la reforma del proceso de licenciamiento ambiental, así como adoptar medidas de mitigación y adaptación al cambio climático.</w:t>
      </w:r>
    </w:p>
    <w:p w14:paraId="5EB5A902" w14:textId="77777777" w:rsidR="00826C25" w:rsidRPr="00E61B7B" w:rsidRDefault="00826C25" w:rsidP="00826C25">
      <w:pPr>
        <w:pStyle w:val="SingleTxtG"/>
        <w:numPr>
          <w:ilvl w:val="0"/>
          <w:numId w:val="49"/>
        </w:numPr>
        <w:suppressAutoHyphens w:val="0"/>
        <w:spacing w:line="240" w:lineRule="auto"/>
        <w:ind w:left="1134" w:firstLine="567"/>
        <w:rPr>
          <w:b/>
          <w:bCs/>
        </w:rPr>
      </w:pPr>
      <w:r w:rsidRPr="00E61B7B">
        <w:rPr>
          <w:b/>
          <w:bCs/>
        </w:rPr>
        <w:t xml:space="preserve">Adoptar medidas </w:t>
      </w:r>
      <w:r>
        <w:rPr>
          <w:b/>
          <w:bCs/>
        </w:rPr>
        <w:t xml:space="preserve">de control y rendición de cuentas </w:t>
      </w:r>
      <w:r w:rsidRPr="00E61B7B">
        <w:rPr>
          <w:b/>
          <w:bCs/>
        </w:rPr>
        <w:t xml:space="preserve">necesarias para asegurar el respeto a los derechos humanos por parte de las empresas nacionales y transnacionales conforme a los Principios Rectores sobre las Empresas y los Derechos Humanos. </w:t>
      </w:r>
    </w:p>
    <w:p w14:paraId="7A218797" w14:textId="77777777" w:rsidR="00826C25" w:rsidRPr="00E61B7B" w:rsidRDefault="00826C25" w:rsidP="00826C25">
      <w:pPr>
        <w:pStyle w:val="SingleTxtG"/>
        <w:numPr>
          <w:ilvl w:val="0"/>
          <w:numId w:val="49"/>
        </w:numPr>
        <w:suppressAutoHyphens w:val="0"/>
        <w:spacing w:line="240" w:lineRule="auto"/>
        <w:ind w:left="1134" w:firstLine="567"/>
        <w:rPr>
          <w:b/>
          <w:bCs/>
        </w:rPr>
      </w:pPr>
      <w:r>
        <w:rPr>
          <w:b/>
          <w:bCs/>
        </w:rPr>
        <w:t>D</w:t>
      </w:r>
      <w:r w:rsidRPr="00E61B7B">
        <w:rPr>
          <w:b/>
          <w:bCs/>
        </w:rPr>
        <w:t>eroga</w:t>
      </w:r>
      <w:r>
        <w:rPr>
          <w:b/>
          <w:bCs/>
        </w:rPr>
        <w:t xml:space="preserve">r </w:t>
      </w:r>
      <w:r w:rsidRPr="00E61B7B">
        <w:rPr>
          <w:b/>
          <w:bCs/>
        </w:rPr>
        <w:t>el Decreto 93-2021</w:t>
      </w:r>
      <w:r>
        <w:rPr>
          <w:b/>
          <w:bCs/>
        </w:rPr>
        <w:t xml:space="preserve"> para fortalecer el espacio cívico y prevenir los desalojos indebidos</w:t>
      </w:r>
      <w:r w:rsidRPr="00E61B7B">
        <w:rPr>
          <w:b/>
          <w:bCs/>
        </w:rPr>
        <w:t xml:space="preserve">. </w:t>
      </w:r>
    </w:p>
    <w:p w14:paraId="735BB233" w14:textId="77777777" w:rsidR="00826C25" w:rsidRPr="00E61B7B" w:rsidRDefault="00826C25" w:rsidP="00826C25">
      <w:pPr>
        <w:pStyle w:val="SingleTxtG"/>
        <w:numPr>
          <w:ilvl w:val="0"/>
          <w:numId w:val="49"/>
        </w:numPr>
        <w:suppressAutoHyphens w:val="0"/>
        <w:spacing w:line="240" w:lineRule="auto"/>
        <w:ind w:left="1134" w:firstLine="567"/>
        <w:rPr>
          <w:b/>
          <w:bCs/>
        </w:rPr>
      </w:pPr>
      <w:r>
        <w:rPr>
          <w:b/>
          <w:bCs/>
        </w:rPr>
        <w:t>Adoptar</w:t>
      </w:r>
      <w:r w:rsidRPr="00E61B7B">
        <w:rPr>
          <w:b/>
          <w:bCs/>
        </w:rPr>
        <w:t xml:space="preserve"> medidas efectivas </w:t>
      </w:r>
      <w:r>
        <w:rPr>
          <w:b/>
          <w:bCs/>
        </w:rPr>
        <w:t>para</w:t>
      </w:r>
      <w:r w:rsidRPr="00E61B7B">
        <w:rPr>
          <w:b/>
          <w:bCs/>
        </w:rPr>
        <w:t xml:space="preserve"> prevenir el uso indebido del derecho penal en contra de las personas defensoras de los derechos humanos, </w:t>
      </w:r>
      <w:r>
        <w:rPr>
          <w:b/>
          <w:bCs/>
        </w:rPr>
        <w:t>y periodistas</w:t>
      </w:r>
      <w:r w:rsidRPr="00E61B7B">
        <w:rPr>
          <w:b/>
          <w:bCs/>
        </w:rPr>
        <w:t xml:space="preserve">. </w:t>
      </w:r>
    </w:p>
    <w:p w14:paraId="1FD04298" w14:textId="77777777" w:rsidR="00826C25" w:rsidRPr="00E61B7B" w:rsidRDefault="00826C25" w:rsidP="00826C25">
      <w:pPr>
        <w:pStyle w:val="SingleTxtG"/>
        <w:numPr>
          <w:ilvl w:val="0"/>
          <w:numId w:val="49"/>
        </w:numPr>
        <w:suppressAutoHyphens w:val="0"/>
        <w:spacing w:line="240" w:lineRule="auto"/>
        <w:ind w:left="1134" w:firstLine="567"/>
        <w:rPr>
          <w:b/>
          <w:bCs/>
        </w:rPr>
      </w:pPr>
      <w:r>
        <w:rPr>
          <w:b/>
          <w:bCs/>
        </w:rPr>
        <w:t xml:space="preserve">Adoptar las medidas necesarias para garantizar y hacer efectivo </w:t>
      </w:r>
      <w:r w:rsidRPr="00E61B7B">
        <w:rPr>
          <w:b/>
          <w:bCs/>
        </w:rPr>
        <w:t xml:space="preserve">el derecho a la verdad, memoria, reparación y garantías de no repetición en los casos de graves violaciones de derechos humanos ocurridas en los años 80 y 90, incluyendo a través de la aprobación de la Ley de víctimas de la Doctrina de Seguridad Nacional. </w:t>
      </w:r>
    </w:p>
    <w:p w14:paraId="139782A2" w14:textId="77777777" w:rsidR="00826C25" w:rsidRPr="00E61B7B" w:rsidRDefault="00826C25" w:rsidP="00826C25">
      <w:pPr>
        <w:pStyle w:val="SingleTxtG"/>
        <w:numPr>
          <w:ilvl w:val="0"/>
          <w:numId w:val="49"/>
        </w:numPr>
        <w:suppressAutoHyphens w:val="0"/>
        <w:spacing w:line="240" w:lineRule="auto"/>
        <w:ind w:left="1134" w:firstLine="567"/>
        <w:rPr>
          <w:b/>
          <w:bCs/>
        </w:rPr>
      </w:pPr>
      <w:r w:rsidRPr="00E61B7B">
        <w:rPr>
          <w:b/>
          <w:bCs/>
        </w:rPr>
        <w:t xml:space="preserve">Fortalecer la capacidad institucional </w:t>
      </w:r>
      <w:r>
        <w:rPr>
          <w:b/>
          <w:bCs/>
        </w:rPr>
        <w:t xml:space="preserve">del Ministerio Público, y en particular de la Agencia Técnica de Investigación Criminal, </w:t>
      </w:r>
      <w:r w:rsidRPr="00E61B7B">
        <w:rPr>
          <w:b/>
          <w:bCs/>
        </w:rPr>
        <w:t xml:space="preserve">para </w:t>
      </w:r>
      <w:r>
        <w:rPr>
          <w:b/>
          <w:bCs/>
        </w:rPr>
        <w:t xml:space="preserve">la investigación y </w:t>
      </w:r>
      <w:r w:rsidRPr="00E61B7B">
        <w:rPr>
          <w:b/>
          <w:bCs/>
        </w:rPr>
        <w:t xml:space="preserve">búsqueda efectiva y diligente de las víctimas de desaparición forzada del presente y del pasado. </w:t>
      </w:r>
    </w:p>
    <w:p w14:paraId="367B4A48" w14:textId="77777777" w:rsidR="00826C25" w:rsidRPr="00E61B7B" w:rsidRDefault="00826C25" w:rsidP="00826C25">
      <w:pPr>
        <w:pStyle w:val="SingleTxtG"/>
        <w:numPr>
          <w:ilvl w:val="0"/>
          <w:numId w:val="49"/>
        </w:numPr>
        <w:suppressAutoHyphens w:val="0"/>
        <w:spacing w:line="240" w:lineRule="auto"/>
        <w:ind w:left="1134" w:firstLine="567"/>
        <w:rPr>
          <w:b/>
          <w:bCs/>
        </w:rPr>
      </w:pPr>
      <w:r>
        <w:rPr>
          <w:b/>
          <w:bCs/>
        </w:rPr>
        <w:t>T</w:t>
      </w:r>
      <w:r w:rsidRPr="00E61B7B">
        <w:rPr>
          <w:b/>
          <w:bCs/>
        </w:rPr>
        <w:t>raslad</w:t>
      </w:r>
      <w:r>
        <w:rPr>
          <w:b/>
          <w:bCs/>
        </w:rPr>
        <w:t>ar</w:t>
      </w:r>
      <w:r w:rsidRPr="00E61B7B">
        <w:rPr>
          <w:b/>
          <w:bCs/>
        </w:rPr>
        <w:t xml:space="preserve"> el control y manejo del sistema penitenciario de la Policía Militar de Orden Público </w:t>
      </w:r>
      <w:r>
        <w:rPr>
          <w:b/>
          <w:bCs/>
        </w:rPr>
        <w:t>a la autoridad civil y elaborar e implementar políticas públicas que prioricen</w:t>
      </w:r>
      <w:r w:rsidRPr="00E61B7B">
        <w:rPr>
          <w:b/>
          <w:bCs/>
        </w:rPr>
        <w:t xml:space="preserve"> la rehabilitación y reinserción social de las personas privadas de libertad. Además, </w:t>
      </w:r>
      <w:r>
        <w:rPr>
          <w:b/>
          <w:bCs/>
        </w:rPr>
        <w:t>adoptar las</w:t>
      </w:r>
      <w:r w:rsidRPr="00E61B7B">
        <w:rPr>
          <w:b/>
          <w:bCs/>
        </w:rPr>
        <w:t xml:space="preserve"> medidas </w:t>
      </w:r>
      <w:r>
        <w:rPr>
          <w:b/>
          <w:bCs/>
        </w:rPr>
        <w:t xml:space="preserve">necesarias para asegurar que </w:t>
      </w:r>
      <w:r w:rsidRPr="00E61B7B">
        <w:rPr>
          <w:b/>
          <w:bCs/>
        </w:rPr>
        <w:t>el uso de la prisión preventiva</w:t>
      </w:r>
      <w:r>
        <w:rPr>
          <w:b/>
          <w:bCs/>
        </w:rPr>
        <w:t xml:space="preserve"> sea una medida excepcional</w:t>
      </w:r>
      <w:r w:rsidRPr="00E61B7B">
        <w:rPr>
          <w:b/>
          <w:bCs/>
        </w:rPr>
        <w:t>.</w:t>
      </w:r>
    </w:p>
    <w:p w14:paraId="32DD864C" w14:textId="77777777" w:rsidR="00826C25" w:rsidRPr="00E61B7B" w:rsidRDefault="00826C25" w:rsidP="00826C25">
      <w:pPr>
        <w:pStyle w:val="SingleTxtG"/>
        <w:numPr>
          <w:ilvl w:val="0"/>
          <w:numId w:val="49"/>
        </w:numPr>
        <w:suppressAutoHyphens w:val="0"/>
        <w:spacing w:line="240" w:lineRule="auto"/>
        <w:ind w:left="1134" w:firstLine="567"/>
        <w:rPr>
          <w:b/>
          <w:bCs/>
        </w:rPr>
      </w:pPr>
      <w:r>
        <w:rPr>
          <w:b/>
          <w:bCs/>
        </w:rPr>
        <w:t>Desarrollar medidas legales e institucionales para g</w:t>
      </w:r>
      <w:r w:rsidRPr="00E61B7B">
        <w:rPr>
          <w:b/>
          <w:bCs/>
        </w:rPr>
        <w:t xml:space="preserve">arantizar el derecho a la consulta y al consentimiento previo, libre e informado de los Pueblos Indígenas y </w:t>
      </w:r>
      <w:proofErr w:type="spellStart"/>
      <w:r w:rsidRPr="00E61B7B">
        <w:rPr>
          <w:b/>
          <w:bCs/>
        </w:rPr>
        <w:t>afrohondureños</w:t>
      </w:r>
      <w:proofErr w:type="spellEnd"/>
      <w:r w:rsidRPr="00E61B7B">
        <w:rPr>
          <w:b/>
          <w:bCs/>
        </w:rPr>
        <w:t xml:space="preserve"> en los proyectos que los afectan. </w:t>
      </w:r>
    </w:p>
    <w:p w14:paraId="7775D8CA" w14:textId="77777777" w:rsidR="00826C25" w:rsidRPr="00E61B7B" w:rsidRDefault="00826C25" w:rsidP="00826C25">
      <w:pPr>
        <w:pStyle w:val="SingleTxtG"/>
        <w:numPr>
          <w:ilvl w:val="0"/>
          <w:numId w:val="49"/>
        </w:numPr>
        <w:suppressAutoHyphens w:val="0"/>
        <w:spacing w:line="240" w:lineRule="auto"/>
        <w:ind w:left="1134" w:firstLine="567"/>
        <w:rPr>
          <w:b/>
          <w:bCs/>
        </w:rPr>
      </w:pPr>
      <w:r w:rsidRPr="00E61B7B">
        <w:rPr>
          <w:b/>
          <w:bCs/>
        </w:rPr>
        <w:t>Adoptar las medidas necesarias para erradicar</w:t>
      </w:r>
      <w:r>
        <w:rPr>
          <w:b/>
          <w:bCs/>
        </w:rPr>
        <w:t xml:space="preserve"> toda forma de</w:t>
      </w:r>
      <w:r w:rsidRPr="00E61B7B">
        <w:rPr>
          <w:b/>
          <w:bCs/>
        </w:rPr>
        <w:t xml:space="preserve"> discriminación</w:t>
      </w:r>
      <w:r>
        <w:rPr>
          <w:b/>
          <w:bCs/>
        </w:rPr>
        <w:t>, con especial atención en la discriminación</w:t>
      </w:r>
      <w:r w:rsidRPr="00E61B7B">
        <w:rPr>
          <w:b/>
          <w:bCs/>
        </w:rPr>
        <w:t xml:space="preserve"> por motivos de orientación sexual y de género</w:t>
      </w:r>
      <w:r>
        <w:rPr>
          <w:b/>
          <w:bCs/>
        </w:rPr>
        <w:t xml:space="preserve">, incluyendo la </w:t>
      </w:r>
      <w:r w:rsidRPr="00E61B7B">
        <w:rPr>
          <w:b/>
          <w:bCs/>
        </w:rPr>
        <w:t>deroga</w:t>
      </w:r>
      <w:r>
        <w:rPr>
          <w:b/>
          <w:bCs/>
        </w:rPr>
        <w:t xml:space="preserve">ción </w:t>
      </w:r>
      <w:r w:rsidRPr="00E61B7B">
        <w:rPr>
          <w:b/>
          <w:bCs/>
        </w:rPr>
        <w:t>o modifica</w:t>
      </w:r>
      <w:r>
        <w:rPr>
          <w:b/>
          <w:bCs/>
        </w:rPr>
        <w:t>ción</w:t>
      </w:r>
      <w:r w:rsidRPr="00E61B7B">
        <w:rPr>
          <w:b/>
          <w:bCs/>
        </w:rPr>
        <w:t xml:space="preserve"> </w:t>
      </w:r>
      <w:r>
        <w:rPr>
          <w:b/>
          <w:bCs/>
        </w:rPr>
        <w:t xml:space="preserve">de </w:t>
      </w:r>
      <w:r w:rsidRPr="00E61B7B">
        <w:rPr>
          <w:b/>
          <w:bCs/>
        </w:rPr>
        <w:t>disposiciones</w:t>
      </w:r>
      <w:r>
        <w:rPr>
          <w:b/>
          <w:bCs/>
        </w:rPr>
        <w:t xml:space="preserve"> legales, </w:t>
      </w:r>
      <w:r>
        <w:rPr>
          <w:b/>
          <w:bCs/>
        </w:rPr>
        <w:lastRenderedPageBreak/>
        <w:t>como</w:t>
      </w:r>
      <w:r w:rsidRPr="00E61B7B">
        <w:rPr>
          <w:b/>
          <w:bCs/>
        </w:rPr>
        <w:t xml:space="preserve"> la Ley del Registro Nacional de las Personas y su Reglamento, </w:t>
      </w:r>
      <w:r>
        <w:rPr>
          <w:b/>
          <w:bCs/>
        </w:rPr>
        <w:t>de forma que estas sean compatibles con el derecho y los estándares internacionales</w:t>
      </w:r>
      <w:r w:rsidRPr="00E61B7B">
        <w:rPr>
          <w:b/>
          <w:bCs/>
        </w:rPr>
        <w:t xml:space="preserve"> de derechos humanos.</w:t>
      </w:r>
    </w:p>
    <w:p w14:paraId="7F0AACA6" w14:textId="77777777" w:rsidR="00826C25" w:rsidRPr="00E61B7B" w:rsidRDefault="00826C25" w:rsidP="00826C25">
      <w:pPr>
        <w:pStyle w:val="SingleTxtG"/>
        <w:numPr>
          <w:ilvl w:val="0"/>
          <w:numId w:val="49"/>
        </w:numPr>
        <w:suppressAutoHyphens w:val="0"/>
        <w:spacing w:line="240" w:lineRule="auto"/>
        <w:ind w:left="1134" w:firstLine="567"/>
        <w:rPr>
          <w:b/>
          <w:bCs/>
        </w:rPr>
      </w:pPr>
      <w:r w:rsidRPr="00E61B7B">
        <w:rPr>
          <w:b/>
          <w:bCs/>
        </w:rPr>
        <w:t>Incrementar los recursos materiales y humanos del CONADEH y el MNP</w:t>
      </w:r>
      <w:r>
        <w:rPr>
          <w:b/>
          <w:bCs/>
        </w:rPr>
        <w:noBreakHyphen/>
      </w:r>
      <w:r w:rsidRPr="00E61B7B">
        <w:rPr>
          <w:b/>
          <w:bCs/>
        </w:rPr>
        <w:t xml:space="preserve">CONAPREV para fortalecer su labor en la protección de derechos humanos. </w:t>
      </w:r>
    </w:p>
    <w:p w14:paraId="578E5277" w14:textId="77777777" w:rsidR="00826C25" w:rsidRPr="00E61B7B" w:rsidRDefault="00826C25" w:rsidP="00826C25">
      <w:pPr>
        <w:pStyle w:val="SingleTxtG"/>
        <w:numPr>
          <w:ilvl w:val="0"/>
          <w:numId w:val="49"/>
        </w:numPr>
        <w:suppressAutoHyphens w:val="0"/>
        <w:spacing w:line="240" w:lineRule="auto"/>
        <w:ind w:left="1134" w:firstLine="567"/>
        <w:rPr>
          <w:b/>
          <w:bCs/>
        </w:rPr>
      </w:pPr>
      <w:r w:rsidRPr="00E61B7B">
        <w:rPr>
          <w:b/>
          <w:bCs/>
        </w:rPr>
        <w:t xml:space="preserve">Ratificar </w:t>
      </w:r>
      <w:r w:rsidRPr="00843EA9">
        <w:rPr>
          <w:b/>
          <w:bCs/>
        </w:rPr>
        <w:t>e</w:t>
      </w:r>
      <w:r w:rsidRPr="000116E9">
        <w:rPr>
          <w:b/>
          <w:bCs/>
        </w:rPr>
        <w:t xml:space="preserve">l Convenio sobre </w:t>
      </w:r>
      <w:proofErr w:type="gramStart"/>
      <w:r w:rsidRPr="000116E9">
        <w:rPr>
          <w:b/>
          <w:bCs/>
        </w:rPr>
        <w:t>las Trabajadoras y los Trabajadores</w:t>
      </w:r>
      <w:proofErr w:type="gramEnd"/>
      <w:r w:rsidRPr="000116E9">
        <w:rPr>
          <w:b/>
          <w:bCs/>
        </w:rPr>
        <w:t xml:space="preserve"> Domésticos, 2011 (núm. 189) de la Organización Internacional del Trabajo</w:t>
      </w:r>
      <w:r w:rsidRPr="00E61B7B">
        <w:rPr>
          <w:b/>
          <w:bCs/>
        </w:rPr>
        <w:t xml:space="preserve"> y adoptar un marco legal que regule el trabajo doméstico. </w:t>
      </w:r>
    </w:p>
    <w:p w14:paraId="69A93354" w14:textId="2079D5DB" w:rsidR="00826C25" w:rsidRPr="00052860" w:rsidRDefault="00826C25" w:rsidP="004C7221">
      <w:pPr>
        <w:pStyle w:val="SingleTxtG"/>
        <w:numPr>
          <w:ilvl w:val="0"/>
          <w:numId w:val="49"/>
        </w:numPr>
        <w:suppressAutoHyphens w:val="0"/>
        <w:spacing w:line="240" w:lineRule="auto"/>
        <w:ind w:left="1134" w:firstLine="567"/>
      </w:pPr>
      <w:r w:rsidRPr="00E61B7B">
        <w:rPr>
          <w:b/>
          <w:bCs/>
        </w:rPr>
        <w:t xml:space="preserve">Adherirse </w:t>
      </w:r>
      <w:r>
        <w:rPr>
          <w:b/>
          <w:bCs/>
        </w:rPr>
        <w:t xml:space="preserve">al </w:t>
      </w:r>
      <w:r w:rsidRPr="000116E9">
        <w:rPr>
          <w:b/>
          <w:bCs/>
          <w:lang w:val="es-HN"/>
        </w:rPr>
        <w:t>Acuerdo Regional sobre el Acceso a la Información, la Participación Pública y el Acceso a la Justicia en Asuntos Ambientales en América Latina y el Caribe (Acuerdo de Escazú)</w:t>
      </w:r>
      <w:r>
        <w:rPr>
          <w:b/>
          <w:bCs/>
          <w:lang w:val="es-HN"/>
        </w:rPr>
        <w:t>.</w:t>
      </w:r>
    </w:p>
    <w:p w14:paraId="4AD02CAC" w14:textId="274C4CCE" w:rsidR="00CE261F" w:rsidRPr="00052860" w:rsidRDefault="00CE261F" w:rsidP="00CE261F">
      <w:pPr>
        <w:pStyle w:val="SingleTxtG"/>
        <w:spacing w:before="240" w:after="0"/>
        <w:jc w:val="center"/>
        <w:rPr>
          <w:b/>
          <w:bCs/>
          <w:u w:val="single"/>
        </w:rPr>
      </w:pPr>
      <w:r>
        <w:rPr>
          <w:b/>
          <w:bCs/>
          <w:u w:val="single"/>
        </w:rPr>
        <w:tab/>
      </w:r>
      <w:r>
        <w:rPr>
          <w:b/>
          <w:bCs/>
          <w:u w:val="single"/>
        </w:rPr>
        <w:tab/>
      </w:r>
      <w:r>
        <w:rPr>
          <w:b/>
          <w:bCs/>
          <w:u w:val="single"/>
        </w:rPr>
        <w:tab/>
      </w:r>
      <w:r w:rsidR="007B0F54">
        <w:rPr>
          <w:b/>
          <w:bCs/>
          <w:u w:val="single"/>
        </w:rPr>
        <w:tab/>
      </w:r>
    </w:p>
    <w:sectPr w:rsidR="00CE261F" w:rsidRPr="00052860" w:rsidSect="001A13A0">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9196A" w14:textId="77777777" w:rsidR="001A13A0" w:rsidRDefault="001A13A0"/>
  </w:endnote>
  <w:endnote w:type="continuationSeparator" w:id="0">
    <w:p w14:paraId="07CDD6C3" w14:textId="77777777" w:rsidR="001A13A0" w:rsidRDefault="001A13A0"/>
  </w:endnote>
  <w:endnote w:type="continuationNotice" w:id="1">
    <w:p w14:paraId="741EF549" w14:textId="77777777" w:rsidR="001A13A0" w:rsidRDefault="001A13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FC9F" w14:textId="77777777" w:rsidR="006F6C30" w:rsidRPr="006F6C30" w:rsidRDefault="006F6C30" w:rsidP="006F6C30">
    <w:pPr>
      <w:pStyle w:val="Footer"/>
      <w:tabs>
        <w:tab w:val="right" w:pos="9638"/>
      </w:tabs>
    </w:pPr>
    <w:r w:rsidRPr="006F6C30">
      <w:rPr>
        <w:b/>
        <w:sz w:val="18"/>
      </w:rPr>
      <w:fldChar w:fldCharType="begin"/>
    </w:r>
    <w:r w:rsidRPr="006F6C30">
      <w:rPr>
        <w:b/>
        <w:sz w:val="18"/>
      </w:rPr>
      <w:instrText xml:space="preserve"> PAGE  \* MERGEFORMAT </w:instrText>
    </w:r>
    <w:r w:rsidRPr="006F6C30">
      <w:rPr>
        <w:b/>
        <w:sz w:val="18"/>
      </w:rPr>
      <w:fldChar w:fldCharType="separate"/>
    </w:r>
    <w:r w:rsidRPr="006F6C30">
      <w:rPr>
        <w:b/>
        <w:noProof/>
        <w:sz w:val="18"/>
      </w:rPr>
      <w:t>2</w:t>
    </w:r>
    <w:r w:rsidRPr="006F6C3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DB48A" w14:textId="77777777" w:rsidR="006F6C30" w:rsidRPr="006F6C30" w:rsidRDefault="006F6C30" w:rsidP="006F6C30">
    <w:pPr>
      <w:pStyle w:val="Footer"/>
      <w:tabs>
        <w:tab w:val="right" w:pos="9638"/>
      </w:tabs>
      <w:rPr>
        <w:b/>
        <w:sz w:val="18"/>
      </w:rPr>
    </w:pPr>
    <w:r>
      <w:tab/>
    </w:r>
    <w:r w:rsidRPr="006F6C30">
      <w:rPr>
        <w:b/>
        <w:sz w:val="18"/>
      </w:rPr>
      <w:fldChar w:fldCharType="begin"/>
    </w:r>
    <w:r w:rsidRPr="006F6C30">
      <w:rPr>
        <w:b/>
        <w:sz w:val="18"/>
      </w:rPr>
      <w:instrText xml:space="preserve"> PAGE  \* MERGEFORMAT </w:instrText>
    </w:r>
    <w:r w:rsidRPr="006F6C30">
      <w:rPr>
        <w:b/>
        <w:sz w:val="18"/>
      </w:rPr>
      <w:fldChar w:fldCharType="separate"/>
    </w:r>
    <w:r w:rsidRPr="006F6C30">
      <w:rPr>
        <w:b/>
        <w:noProof/>
        <w:sz w:val="18"/>
      </w:rPr>
      <w:t>3</w:t>
    </w:r>
    <w:r w:rsidRPr="006F6C3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17A8F" w14:textId="77777777" w:rsidR="0089227B" w:rsidRDefault="00892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04588" w14:textId="77777777" w:rsidR="001A13A0" w:rsidRPr="000B175B" w:rsidRDefault="001A13A0" w:rsidP="000B175B">
      <w:pPr>
        <w:tabs>
          <w:tab w:val="right" w:pos="2155"/>
        </w:tabs>
        <w:spacing w:after="80"/>
        <w:ind w:left="680"/>
        <w:rPr>
          <w:u w:val="single"/>
        </w:rPr>
      </w:pPr>
      <w:r>
        <w:rPr>
          <w:u w:val="single"/>
        </w:rPr>
        <w:tab/>
      </w:r>
    </w:p>
  </w:footnote>
  <w:footnote w:type="continuationSeparator" w:id="0">
    <w:p w14:paraId="6BC3450A" w14:textId="77777777" w:rsidR="001A13A0" w:rsidRPr="00FC68B7" w:rsidRDefault="001A13A0" w:rsidP="00FC68B7">
      <w:pPr>
        <w:tabs>
          <w:tab w:val="left" w:pos="2155"/>
        </w:tabs>
        <w:spacing w:after="80"/>
        <w:ind w:left="680"/>
        <w:rPr>
          <w:u w:val="single"/>
        </w:rPr>
      </w:pPr>
      <w:r>
        <w:rPr>
          <w:u w:val="single"/>
        </w:rPr>
        <w:tab/>
      </w:r>
    </w:p>
  </w:footnote>
  <w:footnote w:type="continuationNotice" w:id="1">
    <w:p w14:paraId="54E11244" w14:textId="77777777" w:rsidR="001A13A0" w:rsidRDefault="001A13A0"/>
  </w:footnote>
  <w:footnote w:id="2">
    <w:p w14:paraId="5ED65C9B" w14:textId="7F999DC7" w:rsidR="00DD3224" w:rsidRPr="00DD3224" w:rsidRDefault="00DD3224">
      <w:pPr>
        <w:pStyle w:val="FootnoteText"/>
        <w:rPr>
          <w:lang w:val="es-ES"/>
        </w:rPr>
      </w:pPr>
      <w:r w:rsidRPr="00DD3224">
        <w:rPr>
          <w:rStyle w:val="FootnoteReference"/>
          <w:lang w:val="es-ES"/>
        </w:rPr>
        <w:tab/>
      </w:r>
      <w:r w:rsidRPr="00DD3224">
        <w:rPr>
          <w:rStyle w:val="FootnoteReference"/>
          <w:sz w:val="20"/>
          <w:vertAlign w:val="baseline"/>
          <w:lang w:val="es-ES"/>
        </w:rPr>
        <w:t>*</w:t>
      </w:r>
      <w:r w:rsidRPr="00DD3224">
        <w:rPr>
          <w:rStyle w:val="FootnoteReference"/>
          <w:sz w:val="20"/>
          <w:vertAlign w:val="baseline"/>
          <w:lang w:val="es-ES"/>
        </w:rPr>
        <w:tab/>
      </w:r>
      <w:r w:rsidR="00DB701B">
        <w:rPr>
          <w:lang w:val="es-ES"/>
        </w:rPr>
        <w:t>Este informe se presentó fuera de plazo a los servicios de conferencias para incluir en él la información más reciente.</w:t>
      </w:r>
    </w:p>
  </w:footnote>
  <w:footnote w:id="3">
    <w:p w14:paraId="6BB943A1" w14:textId="58D8E4BC" w:rsidR="00DD3224" w:rsidRPr="00DD3224" w:rsidRDefault="00DD3224" w:rsidP="00047F20">
      <w:pPr>
        <w:pStyle w:val="FootnoteText"/>
        <w:rPr>
          <w:lang w:val="es-ES"/>
        </w:rPr>
      </w:pPr>
      <w:r w:rsidRPr="00DD3224">
        <w:rPr>
          <w:rStyle w:val="FootnoteReference"/>
          <w:lang w:val="es-ES"/>
        </w:rPr>
        <w:tab/>
      </w:r>
      <w:r w:rsidRPr="00DD3224">
        <w:rPr>
          <w:rStyle w:val="FootnoteReference"/>
          <w:sz w:val="20"/>
          <w:vertAlign w:val="baseline"/>
          <w:lang w:val="es-ES"/>
        </w:rPr>
        <w:t>**</w:t>
      </w:r>
      <w:r w:rsidRPr="00DD3224">
        <w:rPr>
          <w:rStyle w:val="FootnoteReference"/>
          <w:sz w:val="20"/>
          <w:vertAlign w:val="baseline"/>
          <w:lang w:val="es-ES"/>
        </w:rPr>
        <w:tab/>
      </w:r>
      <w:r w:rsidRPr="00DD3224">
        <w:rPr>
          <w:lang w:val="es-ES"/>
        </w:rPr>
        <w:t>El resumen del presente informe se distribuye en todos los idiomas oficiales. El informe propiamente</w:t>
      </w:r>
      <w:r w:rsidR="00047F20">
        <w:rPr>
          <w:lang w:val="es-ES"/>
        </w:rPr>
        <w:t xml:space="preserve"> </w:t>
      </w:r>
      <w:r w:rsidRPr="00DD3224">
        <w:rPr>
          <w:lang w:val="es-ES"/>
        </w:rPr>
        <w:t>dicho, que figura en el anexo, se distribuye únicamente en el idioma en que se presentó y en inglés</w:t>
      </w:r>
      <w:r w:rsidR="007944C3">
        <w:rPr>
          <w:lang w:val="es-ES"/>
        </w:rPr>
        <w:t>.</w:t>
      </w:r>
    </w:p>
  </w:footnote>
  <w:footnote w:id="4">
    <w:p w14:paraId="050C9B78" w14:textId="4C99C152" w:rsidR="00826C25" w:rsidRPr="00AC201E" w:rsidRDefault="009079A6" w:rsidP="009079A6">
      <w:pPr>
        <w:pStyle w:val="FootnoteText"/>
        <w:rPr>
          <w:lang w:val="es-HN"/>
        </w:rPr>
      </w:pPr>
      <w:r>
        <w:rPr>
          <w:lang w:val="es-HN"/>
        </w:rPr>
        <w:tab/>
      </w:r>
      <w:r w:rsidR="00826C25" w:rsidRPr="00AC201E">
        <w:rPr>
          <w:rStyle w:val="FootnoteReference"/>
          <w:lang w:val="es-HN"/>
        </w:rPr>
        <w:footnoteRef/>
      </w:r>
      <w:r>
        <w:rPr>
          <w:lang w:val="es-HN"/>
        </w:rPr>
        <w:tab/>
      </w:r>
      <w:r w:rsidR="00826C25" w:rsidRPr="00AC201E">
        <w:rPr>
          <w:lang w:val="es-HN"/>
        </w:rPr>
        <w:t>https://ine.gob.hn/v4/2023/12/05/el-instituto-nacional-de-estadistica-ine-socializa-logros-significativos-en-la-reduccion-de-la-pobreza-en-honduras/</w:t>
      </w:r>
      <w:r w:rsidR="003A7581">
        <w:rPr>
          <w:lang w:val="es-HN"/>
        </w:rPr>
        <w:t>.</w:t>
      </w:r>
    </w:p>
  </w:footnote>
  <w:footnote w:id="5">
    <w:p w14:paraId="4FB508DC" w14:textId="419A35FD" w:rsidR="00826C25" w:rsidRPr="00AC201E" w:rsidRDefault="009079A6" w:rsidP="00826C25">
      <w:pPr>
        <w:pStyle w:val="FootnoteText"/>
        <w:rPr>
          <w:lang w:val="es-HN"/>
        </w:rPr>
      </w:pPr>
      <w:r>
        <w:rPr>
          <w:lang w:val="es-HN"/>
        </w:rPr>
        <w:tab/>
      </w:r>
      <w:r w:rsidR="00826C25" w:rsidRPr="00AC201E">
        <w:rPr>
          <w:rStyle w:val="FootnoteReference"/>
          <w:lang w:val="es-HN"/>
        </w:rPr>
        <w:footnoteRef/>
      </w:r>
      <w:r>
        <w:rPr>
          <w:lang w:val="es-HN"/>
        </w:rPr>
        <w:tab/>
      </w:r>
      <w:r w:rsidR="00646782" w:rsidRPr="000F0D17">
        <w:rPr>
          <w:lang w:val="es-AR"/>
        </w:rPr>
        <w:t>https://ine.gob.hn/v4/ephpm/</w:t>
      </w:r>
      <w:r w:rsidR="00826C25" w:rsidRPr="00AC201E">
        <w:rPr>
          <w:szCs w:val="18"/>
          <w:lang w:val="es-HN"/>
        </w:rPr>
        <w:t>, Cuadro 6</w:t>
      </w:r>
      <w:r w:rsidR="003A7581">
        <w:rPr>
          <w:szCs w:val="18"/>
          <w:lang w:val="es-HN"/>
        </w:rPr>
        <w:t>.</w:t>
      </w:r>
    </w:p>
  </w:footnote>
  <w:footnote w:id="6">
    <w:p w14:paraId="6F21B796" w14:textId="75F50585" w:rsidR="00826C25" w:rsidRPr="00AC201E" w:rsidRDefault="009079A6" w:rsidP="00826C25">
      <w:pPr>
        <w:pStyle w:val="FootnoteText"/>
        <w:rPr>
          <w:lang w:val="es-HN"/>
        </w:rPr>
      </w:pPr>
      <w:r>
        <w:rPr>
          <w:lang w:val="es-HN"/>
        </w:rPr>
        <w:tab/>
      </w:r>
      <w:r w:rsidR="00826C25" w:rsidRPr="00AC201E">
        <w:rPr>
          <w:rStyle w:val="FootnoteReference"/>
          <w:lang w:val="es-HN"/>
        </w:rPr>
        <w:footnoteRef/>
      </w:r>
      <w:r>
        <w:rPr>
          <w:lang w:val="es-HN"/>
        </w:rPr>
        <w:tab/>
      </w:r>
      <w:r w:rsidR="00826C25">
        <w:rPr>
          <w:lang w:val="es-HN"/>
        </w:rPr>
        <w:t xml:space="preserve">Ver </w:t>
      </w:r>
      <w:proofErr w:type="spellStart"/>
      <w:r w:rsidR="00826C25">
        <w:rPr>
          <w:lang w:val="es-HN"/>
        </w:rPr>
        <w:t>p</w:t>
      </w:r>
      <w:r w:rsidR="00826C25" w:rsidRPr="00AC201E">
        <w:rPr>
          <w:lang w:val="es-HN"/>
        </w:rPr>
        <w:t>árrs</w:t>
      </w:r>
      <w:proofErr w:type="spellEnd"/>
      <w:r w:rsidR="00826C25" w:rsidRPr="00AC201E">
        <w:rPr>
          <w:lang w:val="es-HN"/>
        </w:rPr>
        <w:t xml:space="preserve">. 47, 48; A/HRC/52/24 </w:t>
      </w:r>
      <w:proofErr w:type="spellStart"/>
      <w:r w:rsidR="00826C25" w:rsidRPr="00AC201E">
        <w:rPr>
          <w:lang w:val="es-HN"/>
        </w:rPr>
        <w:t>párrs</w:t>
      </w:r>
      <w:proofErr w:type="spellEnd"/>
      <w:r w:rsidR="00826C25" w:rsidRPr="00AC201E">
        <w:rPr>
          <w:lang w:val="es-HN"/>
        </w:rPr>
        <w:t>. 15, 26, 28, 29</w:t>
      </w:r>
      <w:r w:rsidR="00720CDD">
        <w:rPr>
          <w:lang w:val="es-HN"/>
        </w:rPr>
        <w:t>.</w:t>
      </w:r>
    </w:p>
  </w:footnote>
  <w:footnote w:id="7">
    <w:p w14:paraId="7B8CE342" w14:textId="749BE290" w:rsidR="00826C25" w:rsidRPr="00AC201E" w:rsidRDefault="009079A6" w:rsidP="00826C25">
      <w:pPr>
        <w:pStyle w:val="FootnoteText"/>
        <w:rPr>
          <w:szCs w:val="18"/>
          <w:lang w:val="es-HN"/>
        </w:rPr>
      </w:pPr>
      <w:r>
        <w:rPr>
          <w:szCs w:val="18"/>
          <w:lang w:val="es-HN"/>
        </w:rPr>
        <w:tab/>
      </w:r>
      <w:r w:rsidR="00826C25" w:rsidRPr="00AC201E">
        <w:rPr>
          <w:rStyle w:val="FootnoteReference"/>
          <w:szCs w:val="18"/>
          <w:lang w:val="es-HN"/>
        </w:rPr>
        <w:footnoteRef/>
      </w:r>
      <w:r>
        <w:rPr>
          <w:szCs w:val="18"/>
          <w:lang w:val="es-HN"/>
        </w:rPr>
        <w:tab/>
      </w:r>
      <w:r w:rsidR="000F0D17" w:rsidRPr="000F0D17">
        <w:rPr>
          <w:lang w:val="es-AR"/>
        </w:rPr>
        <w:t>https://www.sepol.hn/sepol-estadisticas-honduras.php?id=158</w:t>
      </w:r>
      <w:r w:rsidR="00826C25" w:rsidRPr="00AC201E">
        <w:rPr>
          <w:szCs w:val="18"/>
          <w:lang w:val="es-HN"/>
        </w:rPr>
        <w:t>, Infografía 2023.</w:t>
      </w:r>
    </w:p>
  </w:footnote>
  <w:footnote w:id="8">
    <w:p w14:paraId="66F75F39" w14:textId="0E960A6E" w:rsidR="00826C25" w:rsidRPr="00AC201E" w:rsidRDefault="009079A6" w:rsidP="00826C25">
      <w:pPr>
        <w:pStyle w:val="FootnoteText"/>
        <w:rPr>
          <w:szCs w:val="18"/>
          <w:lang w:val="es-HN"/>
        </w:rPr>
      </w:pPr>
      <w:r>
        <w:rPr>
          <w:szCs w:val="18"/>
          <w:lang w:val="es-HN"/>
        </w:rPr>
        <w:tab/>
      </w:r>
      <w:r w:rsidR="00826C25" w:rsidRPr="00AC201E">
        <w:rPr>
          <w:rStyle w:val="FootnoteReference"/>
          <w:szCs w:val="18"/>
          <w:lang w:val="es-HN"/>
        </w:rPr>
        <w:footnoteRef/>
      </w:r>
      <w:r>
        <w:rPr>
          <w:szCs w:val="18"/>
          <w:lang w:val="es-HN"/>
        </w:rPr>
        <w:tab/>
      </w:r>
      <w:r w:rsidR="00826C25" w:rsidRPr="00AC201E">
        <w:rPr>
          <w:szCs w:val="18"/>
          <w:lang w:val="es-HN"/>
        </w:rPr>
        <w:t>PCM 46-2023, diciembre 2023</w:t>
      </w:r>
      <w:r w:rsidR="00720CDD">
        <w:rPr>
          <w:szCs w:val="18"/>
          <w:lang w:val="es-HN"/>
        </w:rPr>
        <w:t>.</w:t>
      </w:r>
    </w:p>
  </w:footnote>
  <w:footnote w:id="9">
    <w:p w14:paraId="3B0CFE7A" w14:textId="78319916" w:rsidR="00826C25" w:rsidRPr="00AC201E" w:rsidRDefault="009079A6" w:rsidP="00826C25">
      <w:pPr>
        <w:pStyle w:val="FootnoteText"/>
        <w:rPr>
          <w:szCs w:val="18"/>
          <w:lang w:val="es-HN"/>
        </w:rPr>
      </w:pPr>
      <w:r>
        <w:rPr>
          <w:szCs w:val="18"/>
          <w:lang w:val="es-HN"/>
        </w:rPr>
        <w:tab/>
      </w:r>
      <w:r w:rsidR="00826C25" w:rsidRPr="00AC201E">
        <w:rPr>
          <w:rStyle w:val="FootnoteReference"/>
          <w:szCs w:val="18"/>
          <w:lang w:val="es-HN"/>
        </w:rPr>
        <w:footnoteRef/>
      </w:r>
      <w:r>
        <w:rPr>
          <w:szCs w:val="18"/>
          <w:lang w:val="es-HN"/>
        </w:rPr>
        <w:tab/>
      </w:r>
      <w:r w:rsidR="00826C25" w:rsidRPr="00AC201E">
        <w:rPr>
          <w:szCs w:val="18"/>
          <w:lang w:val="es-HN"/>
        </w:rPr>
        <w:t>A/HRC/52/24, párr. 10.</w:t>
      </w:r>
    </w:p>
  </w:footnote>
  <w:footnote w:id="10">
    <w:p w14:paraId="7C8B4FF4" w14:textId="0CFE7BCC" w:rsidR="00826C25" w:rsidRPr="00AC201E" w:rsidRDefault="009079A6" w:rsidP="00826C25">
      <w:pPr>
        <w:pStyle w:val="FootnoteText"/>
        <w:rPr>
          <w:lang w:val="es-HN"/>
        </w:rPr>
      </w:pPr>
      <w:r>
        <w:rPr>
          <w:lang w:val="es-HN"/>
        </w:rPr>
        <w:tab/>
      </w:r>
      <w:r w:rsidR="00826C25" w:rsidRPr="00AC201E">
        <w:rPr>
          <w:rStyle w:val="FootnoteReference"/>
          <w:lang w:val="es-HN"/>
        </w:rPr>
        <w:footnoteRef/>
      </w:r>
      <w:r>
        <w:rPr>
          <w:lang w:val="es-HN"/>
        </w:rPr>
        <w:tab/>
      </w:r>
      <w:r w:rsidR="00826C25" w:rsidRPr="00AC201E">
        <w:rPr>
          <w:lang w:val="es-HN"/>
        </w:rPr>
        <w:t xml:space="preserve">Ver </w:t>
      </w:r>
      <w:r w:rsidR="00826C25" w:rsidRPr="00E7060D">
        <w:rPr>
          <w:lang w:val="es-HN"/>
        </w:rPr>
        <w:t>párr. 62-69</w:t>
      </w:r>
      <w:r w:rsidR="00720CDD">
        <w:rPr>
          <w:lang w:val="es-HN"/>
        </w:rPr>
        <w:t>.</w:t>
      </w:r>
    </w:p>
  </w:footnote>
  <w:footnote w:id="11">
    <w:p w14:paraId="07874858" w14:textId="3C3B8CEC" w:rsidR="00826C25" w:rsidRPr="00AC201E" w:rsidRDefault="009079A6" w:rsidP="00826C25">
      <w:pPr>
        <w:pStyle w:val="FootnoteText"/>
        <w:rPr>
          <w:lang w:val="es-HN"/>
        </w:rPr>
      </w:pPr>
      <w:r>
        <w:rPr>
          <w:lang w:val="es-HN"/>
        </w:rPr>
        <w:tab/>
      </w:r>
      <w:r w:rsidR="00826C25" w:rsidRPr="00AC201E">
        <w:rPr>
          <w:rStyle w:val="FootnoteReference"/>
          <w:lang w:val="es-HN"/>
        </w:rPr>
        <w:footnoteRef/>
      </w:r>
      <w:r>
        <w:rPr>
          <w:lang w:val="es-HN"/>
        </w:rPr>
        <w:tab/>
      </w:r>
      <w:r w:rsidR="00826C25" w:rsidRPr="00AC201E">
        <w:rPr>
          <w:lang w:val="es-HN"/>
        </w:rPr>
        <w:t>A/HRC/52/24, párr. 32.</w:t>
      </w:r>
    </w:p>
  </w:footnote>
  <w:footnote w:id="12">
    <w:p w14:paraId="6BEEFF74" w14:textId="7D563744" w:rsidR="00826C25" w:rsidRPr="00AC201E" w:rsidRDefault="009079A6" w:rsidP="009079A6">
      <w:pPr>
        <w:pStyle w:val="FootnoteText"/>
        <w:rPr>
          <w:szCs w:val="18"/>
          <w:lang w:val="es-HN"/>
        </w:rPr>
      </w:pPr>
      <w:r>
        <w:rPr>
          <w:szCs w:val="18"/>
          <w:lang w:val="es-HN"/>
        </w:rPr>
        <w:tab/>
      </w:r>
      <w:r w:rsidR="00826C25" w:rsidRPr="00AC201E">
        <w:rPr>
          <w:rStyle w:val="FootnoteReference"/>
          <w:szCs w:val="18"/>
          <w:lang w:val="es-HN"/>
        </w:rPr>
        <w:footnoteRef/>
      </w:r>
      <w:r>
        <w:rPr>
          <w:szCs w:val="18"/>
          <w:lang w:val="es-HN"/>
        </w:rPr>
        <w:tab/>
      </w:r>
      <w:r w:rsidR="00826C25" w:rsidRPr="00AC201E">
        <w:rPr>
          <w:szCs w:val="18"/>
          <w:lang w:val="es-HN"/>
        </w:rPr>
        <w:t xml:space="preserve">Órgano que se instala durante los recesos del Congreso Nacional entre 31 de octubre y 25 de enero cada año. </w:t>
      </w:r>
    </w:p>
  </w:footnote>
  <w:footnote w:id="13">
    <w:p w14:paraId="4ACAFAC7" w14:textId="1002098D" w:rsidR="00826C25" w:rsidRPr="00AC201E" w:rsidRDefault="009079A6" w:rsidP="00826C25">
      <w:pPr>
        <w:pStyle w:val="FootnoteText"/>
        <w:rPr>
          <w:szCs w:val="18"/>
          <w:lang w:val="es-HN"/>
        </w:rPr>
      </w:pPr>
      <w:r>
        <w:rPr>
          <w:szCs w:val="18"/>
          <w:lang w:val="es-HN"/>
        </w:rPr>
        <w:tab/>
      </w:r>
      <w:r w:rsidR="00826C25" w:rsidRPr="00AC201E">
        <w:rPr>
          <w:rStyle w:val="FootnoteReference"/>
          <w:szCs w:val="18"/>
          <w:lang w:val="es-HN"/>
        </w:rPr>
        <w:footnoteRef/>
      </w:r>
      <w:r>
        <w:rPr>
          <w:szCs w:val="18"/>
          <w:lang w:val="es-HN"/>
        </w:rPr>
        <w:tab/>
      </w:r>
      <w:r w:rsidR="00826C25" w:rsidRPr="00AC201E">
        <w:rPr>
          <w:szCs w:val="18"/>
          <w:lang w:val="es-HN"/>
        </w:rPr>
        <w:t>Resolución No. 001-2023-CP/CN.</w:t>
      </w:r>
    </w:p>
  </w:footnote>
  <w:footnote w:id="14">
    <w:p w14:paraId="68038506" w14:textId="54160486" w:rsidR="00826C25" w:rsidRPr="00B71062" w:rsidRDefault="009079A6" w:rsidP="00826C25">
      <w:pPr>
        <w:pStyle w:val="FootnoteText"/>
        <w:rPr>
          <w:szCs w:val="18"/>
        </w:rPr>
      </w:pPr>
      <w:r>
        <w:rPr>
          <w:szCs w:val="18"/>
          <w:lang w:val="es-HN"/>
        </w:rPr>
        <w:tab/>
      </w:r>
      <w:r w:rsidR="00826C25" w:rsidRPr="00AC201E">
        <w:rPr>
          <w:rStyle w:val="FootnoteReference"/>
          <w:szCs w:val="18"/>
          <w:lang w:val="es-HN"/>
        </w:rPr>
        <w:footnoteRef/>
      </w:r>
      <w:r>
        <w:rPr>
          <w:szCs w:val="18"/>
          <w:lang w:val="es-HN"/>
        </w:rPr>
        <w:tab/>
      </w:r>
      <w:r w:rsidR="00826C25" w:rsidRPr="00AC201E">
        <w:rPr>
          <w:szCs w:val="18"/>
          <w:lang w:val="es-HN"/>
        </w:rPr>
        <w:t xml:space="preserve">A/HRC/54/22/Add.2 párr. </w:t>
      </w:r>
      <w:r w:rsidR="00826C25" w:rsidRPr="00B71062">
        <w:rPr>
          <w:szCs w:val="18"/>
        </w:rPr>
        <w:t>36, 38</w:t>
      </w:r>
      <w:r w:rsidR="003A7581">
        <w:rPr>
          <w:szCs w:val="18"/>
        </w:rPr>
        <w:t>.</w:t>
      </w:r>
    </w:p>
  </w:footnote>
  <w:footnote w:id="15">
    <w:p w14:paraId="6A132420" w14:textId="173F981E" w:rsidR="00826C25" w:rsidRPr="00B71062" w:rsidRDefault="009079A6" w:rsidP="00826C25">
      <w:pPr>
        <w:pStyle w:val="FootnoteText"/>
        <w:rPr>
          <w:szCs w:val="18"/>
        </w:rPr>
      </w:pPr>
      <w:r>
        <w:rPr>
          <w:szCs w:val="18"/>
        </w:rPr>
        <w:tab/>
      </w:r>
      <w:r w:rsidR="00826C25" w:rsidRPr="00AC201E">
        <w:rPr>
          <w:rStyle w:val="FootnoteReference"/>
          <w:szCs w:val="18"/>
          <w:lang w:val="es-HN"/>
        </w:rPr>
        <w:footnoteRef/>
      </w:r>
      <w:r>
        <w:rPr>
          <w:szCs w:val="18"/>
        </w:rPr>
        <w:tab/>
      </w:r>
      <w:r w:rsidR="00826C25" w:rsidRPr="00B71062">
        <w:rPr>
          <w:szCs w:val="18"/>
        </w:rPr>
        <w:t xml:space="preserve">A/HRC/54/22/Add.2 </w:t>
      </w:r>
      <w:proofErr w:type="spellStart"/>
      <w:r w:rsidR="00826C25" w:rsidRPr="00B71062">
        <w:rPr>
          <w:szCs w:val="18"/>
        </w:rPr>
        <w:t>párr</w:t>
      </w:r>
      <w:proofErr w:type="spellEnd"/>
      <w:r w:rsidR="00826C25" w:rsidRPr="00B71062">
        <w:rPr>
          <w:szCs w:val="18"/>
        </w:rPr>
        <w:t>. 48.</w:t>
      </w:r>
    </w:p>
  </w:footnote>
  <w:footnote w:id="16">
    <w:p w14:paraId="7B5DBD82" w14:textId="065AA916" w:rsidR="00826C25" w:rsidRPr="00B71062" w:rsidRDefault="009079A6" w:rsidP="00826C25">
      <w:pPr>
        <w:pStyle w:val="FootnoteText"/>
      </w:pPr>
      <w:r>
        <w:tab/>
      </w:r>
      <w:r w:rsidR="00826C25" w:rsidRPr="00AC201E">
        <w:rPr>
          <w:rStyle w:val="FootnoteReference"/>
          <w:lang w:val="es-HN"/>
        </w:rPr>
        <w:footnoteRef/>
      </w:r>
      <w:r>
        <w:tab/>
      </w:r>
      <w:hyperlink r:id="rId1" w:history="1">
        <w:r w:rsidR="00826C25" w:rsidRPr="00B71062">
          <w:t>https://conadeh.hn/wp-content/uploads/2024/02/Alerta-Temprana-No.-001-2023-MP-1.pdf</w:t>
        </w:r>
      </w:hyperlink>
      <w:r w:rsidR="003A7581">
        <w:t>.</w:t>
      </w:r>
    </w:p>
  </w:footnote>
  <w:footnote w:id="17">
    <w:p w14:paraId="563C14EB" w14:textId="0EAC62E5" w:rsidR="00826C25" w:rsidRPr="00AC201E" w:rsidRDefault="009079A6" w:rsidP="00826C25">
      <w:pPr>
        <w:pStyle w:val="FootnoteText"/>
        <w:rPr>
          <w:lang w:val="es-HN"/>
        </w:rPr>
      </w:pPr>
      <w:r w:rsidRPr="00C61CE9">
        <w:tab/>
      </w:r>
      <w:r w:rsidR="00826C25" w:rsidRPr="00AC201E">
        <w:rPr>
          <w:rStyle w:val="FootnoteReference"/>
          <w:lang w:val="es-HN"/>
        </w:rPr>
        <w:footnoteRef/>
      </w:r>
      <w:r>
        <w:rPr>
          <w:lang w:val="es-HN"/>
        </w:rPr>
        <w:tab/>
      </w:r>
      <w:r w:rsidR="00826C25" w:rsidRPr="00AC201E">
        <w:rPr>
          <w:lang w:val="es-HN"/>
        </w:rPr>
        <w:t>Juzgado de Letras con Competencia Nacional, expediente 51-2023</w:t>
      </w:r>
      <w:r w:rsidR="003A7581">
        <w:rPr>
          <w:lang w:val="es-HN"/>
        </w:rPr>
        <w:t>.</w:t>
      </w:r>
    </w:p>
  </w:footnote>
  <w:footnote w:id="18">
    <w:p w14:paraId="59FB5C67" w14:textId="4A16647E" w:rsidR="00826C25" w:rsidRPr="00AC201E" w:rsidRDefault="009079A6" w:rsidP="00826C25">
      <w:pPr>
        <w:pStyle w:val="FootnoteText"/>
        <w:rPr>
          <w:szCs w:val="18"/>
          <w:lang w:val="es-HN"/>
        </w:rPr>
      </w:pPr>
      <w:r>
        <w:rPr>
          <w:szCs w:val="18"/>
          <w:lang w:val="es-HN"/>
        </w:rPr>
        <w:tab/>
      </w:r>
      <w:r w:rsidR="00826C25" w:rsidRPr="00AC201E">
        <w:rPr>
          <w:rStyle w:val="FootnoteReference"/>
          <w:szCs w:val="18"/>
          <w:lang w:val="es-HN"/>
        </w:rPr>
        <w:footnoteRef/>
      </w:r>
      <w:r>
        <w:rPr>
          <w:szCs w:val="18"/>
          <w:lang w:val="es-HN"/>
        </w:rPr>
        <w:tab/>
      </w:r>
      <w:r w:rsidR="00826C25" w:rsidRPr="00AC201E">
        <w:rPr>
          <w:szCs w:val="18"/>
          <w:lang w:val="es-HN"/>
        </w:rPr>
        <w:t>A/HRC/49/21, párr. 26</w:t>
      </w:r>
      <w:r w:rsidR="00720CDD">
        <w:rPr>
          <w:szCs w:val="18"/>
          <w:lang w:val="es-HN"/>
        </w:rPr>
        <w:t>.</w:t>
      </w:r>
    </w:p>
  </w:footnote>
  <w:footnote w:id="19">
    <w:p w14:paraId="1B14BDE0" w14:textId="1980F861" w:rsidR="00826C25" w:rsidRPr="00AC201E" w:rsidRDefault="009079A6" w:rsidP="00826C25">
      <w:pPr>
        <w:pStyle w:val="FootnoteText"/>
        <w:rPr>
          <w:lang w:val="es-HN"/>
        </w:rPr>
      </w:pPr>
      <w:r>
        <w:rPr>
          <w:lang w:val="es-HN"/>
        </w:rPr>
        <w:tab/>
      </w:r>
      <w:r w:rsidR="00826C25" w:rsidRPr="00AC201E">
        <w:rPr>
          <w:rStyle w:val="FootnoteReference"/>
          <w:lang w:val="es-HN"/>
        </w:rPr>
        <w:footnoteRef/>
      </w:r>
      <w:r>
        <w:rPr>
          <w:lang w:val="es-HN"/>
        </w:rPr>
        <w:tab/>
      </w:r>
      <w:r w:rsidR="00826C25" w:rsidRPr="00AC201E">
        <w:rPr>
          <w:lang w:val="es-HN"/>
        </w:rPr>
        <w:t>A/HRC/52/24, párr. 37</w:t>
      </w:r>
      <w:r w:rsidR="00720CDD">
        <w:rPr>
          <w:lang w:val="es-HN"/>
        </w:rPr>
        <w:t>.</w:t>
      </w:r>
    </w:p>
  </w:footnote>
  <w:footnote w:id="20">
    <w:p w14:paraId="05C507C8" w14:textId="6AB3C9A8" w:rsidR="00826C25" w:rsidRPr="00AC201E" w:rsidRDefault="009079A6" w:rsidP="00826C25">
      <w:pPr>
        <w:pStyle w:val="FootnoteText"/>
        <w:rPr>
          <w:lang w:val="es-HN"/>
        </w:rPr>
      </w:pPr>
      <w:r>
        <w:rPr>
          <w:lang w:val="es-HN"/>
        </w:rPr>
        <w:tab/>
      </w:r>
      <w:r w:rsidR="00826C25" w:rsidRPr="00AC201E">
        <w:rPr>
          <w:rStyle w:val="FootnoteReference"/>
          <w:lang w:val="es-HN"/>
        </w:rPr>
        <w:footnoteRef/>
      </w:r>
      <w:r>
        <w:rPr>
          <w:lang w:val="es-HN"/>
        </w:rPr>
        <w:tab/>
      </w:r>
      <w:r w:rsidR="00826C25" w:rsidRPr="00AC201E">
        <w:rPr>
          <w:lang w:val="es-HN"/>
        </w:rPr>
        <w:t>PCM 46-2023, diciembre 2023</w:t>
      </w:r>
      <w:r w:rsidR="00720CDD">
        <w:rPr>
          <w:lang w:val="es-HN"/>
        </w:rPr>
        <w:t>.</w:t>
      </w:r>
    </w:p>
  </w:footnote>
  <w:footnote w:id="21">
    <w:p w14:paraId="72C8291E" w14:textId="1D0CC9F4" w:rsidR="00826C25" w:rsidRPr="00AC201E" w:rsidRDefault="009079A6" w:rsidP="00826C25">
      <w:pPr>
        <w:pStyle w:val="FootnoteText"/>
        <w:rPr>
          <w:lang w:val="es-HN"/>
        </w:rPr>
      </w:pPr>
      <w:r w:rsidRPr="00C61CE9">
        <w:rPr>
          <w:lang w:val="es-AR"/>
        </w:rPr>
        <w:tab/>
      </w:r>
      <w:r w:rsidR="00826C25" w:rsidRPr="00AC201E">
        <w:rPr>
          <w:rStyle w:val="FootnoteReference"/>
          <w:lang w:val="es-HN"/>
        </w:rPr>
        <w:footnoteRef/>
      </w:r>
      <w:r w:rsidRPr="00593C5F">
        <w:rPr>
          <w:lang w:val="es-AR"/>
        </w:rPr>
        <w:tab/>
      </w:r>
      <w:r w:rsidR="00826C25" w:rsidRPr="00593C5F">
        <w:rPr>
          <w:lang w:val="es-AR"/>
        </w:rPr>
        <w:t>CCPR/C/21/Rev.1/</w:t>
      </w:r>
      <w:proofErr w:type="spellStart"/>
      <w:r w:rsidR="00826C25" w:rsidRPr="00593C5F">
        <w:rPr>
          <w:lang w:val="es-AR"/>
        </w:rPr>
        <w:t>Add</w:t>
      </w:r>
      <w:proofErr w:type="spellEnd"/>
      <w:r w:rsidR="00826C25" w:rsidRPr="00593C5F">
        <w:rPr>
          <w:lang w:val="es-AR"/>
        </w:rPr>
        <w:t xml:space="preserve">. 11, 2011, </w:t>
      </w:r>
      <w:proofErr w:type="spellStart"/>
      <w:r w:rsidR="00826C25" w:rsidRPr="00593C5F">
        <w:rPr>
          <w:lang w:val="es-AR"/>
        </w:rPr>
        <w:t>párrs</w:t>
      </w:r>
      <w:proofErr w:type="spellEnd"/>
      <w:r w:rsidR="00826C25" w:rsidRPr="00593C5F">
        <w:rPr>
          <w:lang w:val="es-AR"/>
        </w:rPr>
        <w:t xml:space="preserve">. </w:t>
      </w:r>
      <w:r w:rsidR="00826C25" w:rsidRPr="00AC201E">
        <w:rPr>
          <w:lang w:val="es-HN"/>
        </w:rPr>
        <w:t>11 al 16</w:t>
      </w:r>
      <w:r w:rsidR="003A7581">
        <w:rPr>
          <w:lang w:val="es-HN"/>
        </w:rPr>
        <w:t>.</w:t>
      </w:r>
    </w:p>
  </w:footnote>
  <w:footnote w:id="22">
    <w:p w14:paraId="04AA9718" w14:textId="6BB86BCF" w:rsidR="00826C25" w:rsidRPr="00AC201E" w:rsidRDefault="009079A6" w:rsidP="00826C25">
      <w:pPr>
        <w:pStyle w:val="FootnoteText"/>
        <w:rPr>
          <w:lang w:val="es-HN"/>
        </w:rPr>
      </w:pPr>
      <w:r>
        <w:rPr>
          <w:lang w:val="es-HN"/>
        </w:rPr>
        <w:tab/>
      </w:r>
      <w:r w:rsidR="00826C25" w:rsidRPr="00AC201E">
        <w:rPr>
          <w:rStyle w:val="FootnoteReference"/>
          <w:lang w:val="es-HN"/>
        </w:rPr>
        <w:footnoteRef/>
      </w:r>
      <w:r>
        <w:rPr>
          <w:lang w:val="es-HN"/>
        </w:rPr>
        <w:tab/>
      </w:r>
      <w:hyperlink r:id="rId2" w:history="1">
        <w:r w:rsidR="00826C25" w:rsidRPr="000F0D17">
          <w:rPr>
            <w:rStyle w:val="Hyperlink"/>
            <w:lang w:val="es-HN"/>
          </w:rPr>
          <w:t>https://oacnudh.hn/6-de-diciembre-de-2023-a-un-ano-del-estado-de-excepcion-en-honduras-oacnudh-llama-al-estado-a-reconsiderar-el-uso-de-medidas-excepcionales-y-a-abordar-la-inseguridad-de-manera-integral-y-con-enfasi/</w:t>
        </w:r>
      </w:hyperlink>
      <w:r w:rsidR="003A7581">
        <w:rPr>
          <w:rStyle w:val="Hyperlink"/>
          <w:lang w:val="es-HN"/>
        </w:rPr>
        <w:t>.</w:t>
      </w:r>
    </w:p>
  </w:footnote>
  <w:footnote w:id="23">
    <w:p w14:paraId="1F732938" w14:textId="300E5FB5" w:rsidR="00826C25" w:rsidRPr="00AC201E" w:rsidRDefault="009079A6" w:rsidP="00826C25">
      <w:pPr>
        <w:pStyle w:val="FootnoteText"/>
        <w:rPr>
          <w:lang w:val="es-HN"/>
        </w:rPr>
      </w:pPr>
      <w:r>
        <w:rPr>
          <w:lang w:val="es-HN"/>
        </w:rPr>
        <w:tab/>
      </w:r>
      <w:r w:rsidR="00826C25" w:rsidRPr="00AC201E">
        <w:rPr>
          <w:rStyle w:val="FootnoteReference"/>
          <w:lang w:val="es-HN"/>
        </w:rPr>
        <w:footnoteRef/>
      </w:r>
      <w:r>
        <w:rPr>
          <w:lang w:val="es-HN"/>
        </w:rPr>
        <w:tab/>
      </w:r>
      <w:r w:rsidR="00826C25" w:rsidRPr="00AC201E">
        <w:rPr>
          <w:lang w:val="es-HN"/>
        </w:rPr>
        <w:t>Oficio SEDS-No.3113-2023, 04 de diciembre de 2023</w:t>
      </w:r>
      <w:r w:rsidR="00720CDD">
        <w:rPr>
          <w:lang w:val="es-HN"/>
        </w:rPr>
        <w:t>.</w:t>
      </w:r>
    </w:p>
  </w:footnote>
  <w:footnote w:id="24">
    <w:p w14:paraId="20011759" w14:textId="1A892ADF" w:rsidR="00826C25" w:rsidRPr="00AC201E" w:rsidRDefault="009079A6" w:rsidP="00826C25">
      <w:pPr>
        <w:pStyle w:val="FootnoteText"/>
        <w:rPr>
          <w:lang w:val="es-HN"/>
        </w:rPr>
      </w:pPr>
      <w:r>
        <w:rPr>
          <w:lang w:val="es-HN"/>
        </w:rPr>
        <w:tab/>
      </w:r>
      <w:r w:rsidR="00826C25" w:rsidRPr="00AC201E">
        <w:rPr>
          <w:rStyle w:val="FootnoteReference"/>
          <w:lang w:val="es-HN"/>
        </w:rPr>
        <w:footnoteRef/>
      </w:r>
      <w:r>
        <w:rPr>
          <w:lang w:val="es-HN"/>
        </w:rPr>
        <w:tab/>
      </w:r>
      <w:r w:rsidR="00826C25" w:rsidRPr="00AC201E">
        <w:rPr>
          <w:lang w:val="es-HN"/>
        </w:rPr>
        <w:t>D.S.E. Oficio No. 2755-12-2023</w:t>
      </w:r>
      <w:r w:rsidR="00720CDD">
        <w:rPr>
          <w:lang w:val="es-HN"/>
        </w:rPr>
        <w:t>.</w:t>
      </w:r>
    </w:p>
  </w:footnote>
  <w:footnote w:id="25">
    <w:p w14:paraId="64E9682D" w14:textId="6E09E842" w:rsidR="00826C25" w:rsidRPr="00AC201E" w:rsidRDefault="009079A6" w:rsidP="00826C25">
      <w:pPr>
        <w:pStyle w:val="FootnoteText"/>
        <w:rPr>
          <w:lang w:val="es-HN"/>
        </w:rPr>
      </w:pPr>
      <w:r>
        <w:rPr>
          <w:lang w:val="es-HN"/>
        </w:rPr>
        <w:tab/>
      </w:r>
      <w:r w:rsidR="00826C25" w:rsidRPr="00AC201E">
        <w:rPr>
          <w:rStyle w:val="FootnoteReference"/>
          <w:lang w:val="es-HN"/>
        </w:rPr>
        <w:footnoteRef/>
      </w:r>
      <w:r>
        <w:rPr>
          <w:lang w:val="es-HN"/>
        </w:rPr>
        <w:tab/>
      </w:r>
      <w:r w:rsidR="00826C25" w:rsidRPr="00AC201E">
        <w:rPr>
          <w:lang w:val="es-HN"/>
        </w:rPr>
        <w:t>A/HRC/52/24, párr. 10</w:t>
      </w:r>
      <w:r w:rsidR="00720CDD">
        <w:rPr>
          <w:lang w:val="es-HN"/>
        </w:rPr>
        <w:t>.</w:t>
      </w:r>
    </w:p>
  </w:footnote>
  <w:footnote w:id="26">
    <w:p w14:paraId="694E850D" w14:textId="5F1DEB21" w:rsidR="00826C25" w:rsidRPr="00AC201E" w:rsidRDefault="009079A6" w:rsidP="00826C25">
      <w:pPr>
        <w:pStyle w:val="FootnoteText"/>
        <w:rPr>
          <w:szCs w:val="18"/>
          <w:lang w:val="es-HN"/>
        </w:rPr>
      </w:pPr>
      <w:r>
        <w:rPr>
          <w:szCs w:val="18"/>
          <w:lang w:val="es-HN"/>
        </w:rPr>
        <w:tab/>
      </w:r>
      <w:r w:rsidR="00826C25" w:rsidRPr="00AC201E">
        <w:rPr>
          <w:rStyle w:val="FootnoteReference"/>
          <w:szCs w:val="18"/>
          <w:lang w:val="es-HN"/>
        </w:rPr>
        <w:footnoteRef/>
      </w:r>
      <w:r>
        <w:rPr>
          <w:szCs w:val="18"/>
          <w:lang w:val="es-HN"/>
        </w:rPr>
        <w:tab/>
      </w:r>
      <w:r w:rsidR="00826C25" w:rsidRPr="00AC201E">
        <w:rPr>
          <w:szCs w:val="18"/>
          <w:lang w:val="es-HN"/>
        </w:rPr>
        <w:t xml:space="preserve">Instituto Nacional Penitenciario, oficio DN-INP-381-2023, 15 de diciembre de 2023. </w:t>
      </w:r>
    </w:p>
  </w:footnote>
  <w:footnote w:id="27">
    <w:p w14:paraId="0453237C" w14:textId="5F1565D1" w:rsidR="00826C25" w:rsidRPr="00AC201E" w:rsidRDefault="009079A6" w:rsidP="00826C25">
      <w:pPr>
        <w:pStyle w:val="FootnoteText"/>
        <w:rPr>
          <w:szCs w:val="18"/>
          <w:lang w:val="es-HN"/>
        </w:rPr>
      </w:pPr>
      <w:r>
        <w:rPr>
          <w:szCs w:val="18"/>
          <w:lang w:val="es-HN"/>
        </w:rPr>
        <w:tab/>
      </w:r>
      <w:r w:rsidR="00826C25" w:rsidRPr="00AC201E">
        <w:rPr>
          <w:rStyle w:val="FootnoteReference"/>
          <w:szCs w:val="18"/>
          <w:lang w:val="es-HN"/>
        </w:rPr>
        <w:footnoteRef/>
      </w:r>
      <w:r>
        <w:rPr>
          <w:szCs w:val="18"/>
          <w:lang w:val="es-HN"/>
        </w:rPr>
        <w:tab/>
      </w:r>
      <w:r w:rsidR="00826C25" w:rsidRPr="00425570">
        <w:rPr>
          <w:szCs w:val="18"/>
          <w:lang w:val="es-HN"/>
        </w:rPr>
        <w:t>https://spe.gob.hn/posts/58</w:t>
      </w:r>
      <w:r w:rsidR="003A7581">
        <w:rPr>
          <w:szCs w:val="18"/>
          <w:lang w:val="es-HN"/>
        </w:rPr>
        <w:t>.</w:t>
      </w:r>
      <w:r w:rsidR="00826C25" w:rsidRPr="00AC201E">
        <w:rPr>
          <w:szCs w:val="18"/>
          <w:lang w:val="es-HN"/>
        </w:rPr>
        <w:t xml:space="preserve"> </w:t>
      </w:r>
    </w:p>
  </w:footnote>
  <w:footnote w:id="28">
    <w:p w14:paraId="048504C6" w14:textId="179D852B" w:rsidR="00826C25" w:rsidRPr="00AC201E" w:rsidRDefault="009079A6" w:rsidP="00826C25">
      <w:pPr>
        <w:pStyle w:val="FootnoteText"/>
        <w:rPr>
          <w:szCs w:val="18"/>
          <w:lang w:val="es-HN"/>
        </w:rPr>
      </w:pPr>
      <w:r>
        <w:rPr>
          <w:szCs w:val="18"/>
          <w:lang w:val="es-HN"/>
        </w:rPr>
        <w:tab/>
      </w:r>
      <w:r w:rsidR="00826C25" w:rsidRPr="00AC201E">
        <w:rPr>
          <w:rStyle w:val="FootnoteReference"/>
          <w:szCs w:val="18"/>
          <w:lang w:val="es-HN"/>
        </w:rPr>
        <w:footnoteRef/>
      </w:r>
      <w:r>
        <w:rPr>
          <w:szCs w:val="18"/>
          <w:lang w:val="es-HN"/>
        </w:rPr>
        <w:tab/>
      </w:r>
      <w:r w:rsidR="00826C25" w:rsidRPr="00AC201E">
        <w:rPr>
          <w:szCs w:val="18"/>
          <w:lang w:val="es-HN"/>
        </w:rPr>
        <w:t>Información recibida de CONADEH y CONAPREV, diciembre 2023.</w:t>
      </w:r>
    </w:p>
  </w:footnote>
  <w:footnote w:id="29">
    <w:p w14:paraId="7D220F6E" w14:textId="57487920" w:rsidR="00826C25" w:rsidRPr="00AC201E" w:rsidRDefault="009079A6" w:rsidP="00826C25">
      <w:pPr>
        <w:pStyle w:val="FootnoteText"/>
        <w:rPr>
          <w:lang w:val="es-HN"/>
        </w:rPr>
      </w:pPr>
      <w:r>
        <w:rPr>
          <w:lang w:val="es-HN"/>
        </w:rPr>
        <w:tab/>
      </w:r>
      <w:r w:rsidR="00826C25" w:rsidRPr="00AC201E">
        <w:rPr>
          <w:rStyle w:val="FootnoteReference"/>
          <w:lang w:val="es-HN"/>
        </w:rPr>
        <w:footnoteRef/>
      </w:r>
      <w:r>
        <w:rPr>
          <w:lang w:val="es-HN"/>
        </w:rPr>
        <w:tab/>
      </w:r>
      <w:r w:rsidRPr="00A35D31">
        <w:rPr>
          <w:lang w:val="es-HN"/>
        </w:rPr>
        <w:t>https://www.mp.hn/publicaciones/pandora-ii-uferco-acusa-a-expresidentes-juan-orlando-hernandez-y-porfirio- lobo-sosa/</w:t>
      </w:r>
      <w:r w:rsidR="003A7581">
        <w:rPr>
          <w:lang w:val="es-HN"/>
        </w:rPr>
        <w:t>.</w:t>
      </w:r>
    </w:p>
  </w:footnote>
  <w:footnote w:id="30">
    <w:p w14:paraId="677598DF" w14:textId="125B9599" w:rsidR="00826C25" w:rsidRPr="00C61CE9" w:rsidRDefault="009079A6" w:rsidP="00826C25">
      <w:pPr>
        <w:pStyle w:val="FootnoteText"/>
        <w:rPr>
          <w:lang w:val="es-HN"/>
        </w:rPr>
      </w:pPr>
      <w:r>
        <w:rPr>
          <w:lang w:val="es-HN"/>
        </w:rPr>
        <w:tab/>
      </w:r>
      <w:r w:rsidR="00826C25" w:rsidRPr="00AC201E">
        <w:rPr>
          <w:rStyle w:val="FootnoteReference"/>
          <w:lang w:val="es-HN"/>
        </w:rPr>
        <w:footnoteRef/>
      </w:r>
      <w:r>
        <w:rPr>
          <w:lang w:val="es-HN"/>
        </w:rPr>
        <w:tab/>
      </w:r>
      <w:r w:rsidR="00826C25" w:rsidRPr="00AC201E">
        <w:rPr>
          <w:lang w:val="es-HN"/>
        </w:rPr>
        <w:t>https://www.un.org/sg/en/content/sg/note-correspondents/2023-07-07/note-correspondents-%E2%80%93</w:t>
      </w:r>
      <w:r w:rsidR="00826C25" w:rsidRPr="00C61CE9">
        <w:rPr>
          <w:lang w:val="es-HN"/>
        </w:rPr>
        <w:t>-the-deployment-of-group-of-experts-honduras-scroll-down-for-spanish-version</w:t>
      </w:r>
      <w:r w:rsidR="003A7581">
        <w:rPr>
          <w:lang w:val="es-HN"/>
        </w:rPr>
        <w:t>.</w:t>
      </w:r>
    </w:p>
  </w:footnote>
  <w:footnote w:id="31">
    <w:p w14:paraId="25768146" w14:textId="52EFDEF0" w:rsidR="00826C25" w:rsidRPr="00C61CE9" w:rsidRDefault="009079A6" w:rsidP="00826C25">
      <w:pPr>
        <w:pStyle w:val="FootnoteText"/>
        <w:rPr>
          <w:lang w:val="es-HN"/>
        </w:rPr>
      </w:pPr>
      <w:r w:rsidRPr="00C61CE9">
        <w:rPr>
          <w:lang w:val="es-HN"/>
        </w:rPr>
        <w:tab/>
      </w:r>
      <w:r w:rsidR="00826C25" w:rsidRPr="00AC201E">
        <w:rPr>
          <w:rStyle w:val="FootnoteReference"/>
          <w:lang w:val="es-HN"/>
        </w:rPr>
        <w:footnoteRef/>
      </w:r>
      <w:r w:rsidRPr="00C61CE9">
        <w:rPr>
          <w:lang w:val="es-HN"/>
        </w:rPr>
        <w:tab/>
      </w:r>
      <w:r w:rsidR="00826C25" w:rsidRPr="00C61CE9">
        <w:rPr>
          <w:lang w:val="es-HN"/>
        </w:rPr>
        <w:t>A/78/L.33</w:t>
      </w:r>
      <w:r w:rsidR="003A7581">
        <w:rPr>
          <w:lang w:val="es-HN"/>
        </w:rPr>
        <w:t>.</w:t>
      </w:r>
    </w:p>
  </w:footnote>
  <w:footnote w:id="32">
    <w:p w14:paraId="4E4A213D" w14:textId="5E86C14F" w:rsidR="00826C25" w:rsidRPr="00C61CE9" w:rsidRDefault="009079A6" w:rsidP="00826C25">
      <w:pPr>
        <w:pStyle w:val="FootnoteText"/>
        <w:rPr>
          <w:szCs w:val="18"/>
          <w:lang w:val="es-HN"/>
        </w:rPr>
      </w:pPr>
      <w:r w:rsidRPr="00C61CE9">
        <w:rPr>
          <w:szCs w:val="18"/>
          <w:lang w:val="es-HN"/>
        </w:rPr>
        <w:tab/>
      </w:r>
      <w:r w:rsidR="00826C25" w:rsidRPr="00AC201E">
        <w:rPr>
          <w:rStyle w:val="FootnoteReference"/>
          <w:szCs w:val="18"/>
          <w:lang w:val="es-HN"/>
        </w:rPr>
        <w:footnoteRef/>
      </w:r>
      <w:r w:rsidRPr="00C61CE9">
        <w:rPr>
          <w:szCs w:val="18"/>
          <w:lang w:val="es-HN"/>
        </w:rPr>
        <w:tab/>
      </w:r>
      <w:r w:rsidR="00826C25" w:rsidRPr="00C61CE9">
        <w:rPr>
          <w:szCs w:val="18"/>
          <w:lang w:val="es-HN"/>
        </w:rPr>
        <w:t>https://repositorio.cepal.org</w:t>
      </w:r>
      <w:r w:rsidR="003A7581">
        <w:rPr>
          <w:szCs w:val="18"/>
          <w:lang w:val="es-HN"/>
        </w:rPr>
        <w:t>.</w:t>
      </w:r>
      <w:r w:rsidR="00826C25" w:rsidRPr="00C61CE9">
        <w:rPr>
          <w:szCs w:val="18"/>
          <w:lang w:val="es-HN"/>
        </w:rPr>
        <w:t xml:space="preserve"> </w:t>
      </w:r>
    </w:p>
  </w:footnote>
  <w:footnote w:id="33">
    <w:p w14:paraId="054C77D3" w14:textId="72B2CC69" w:rsidR="00826C25" w:rsidRPr="00425570" w:rsidRDefault="009079A6" w:rsidP="00826C25">
      <w:pPr>
        <w:pStyle w:val="FootnoteText"/>
        <w:rPr>
          <w:szCs w:val="18"/>
          <w:lang w:val="es-HN"/>
        </w:rPr>
      </w:pPr>
      <w:r w:rsidRPr="00C61CE9">
        <w:rPr>
          <w:szCs w:val="18"/>
          <w:lang w:val="es-HN"/>
        </w:rPr>
        <w:tab/>
      </w:r>
      <w:r w:rsidR="00826C25" w:rsidRPr="00AC201E">
        <w:rPr>
          <w:rStyle w:val="FootnoteReference"/>
          <w:szCs w:val="18"/>
          <w:lang w:val="es-HN"/>
        </w:rPr>
        <w:footnoteRef/>
      </w:r>
      <w:r w:rsidRPr="00425570">
        <w:rPr>
          <w:szCs w:val="18"/>
          <w:lang w:val="es-HN"/>
        </w:rPr>
        <w:tab/>
      </w:r>
      <w:hyperlink r:id="rId3" w:history="1">
        <w:r w:rsidR="00425570" w:rsidRPr="00425570">
          <w:rPr>
            <w:rStyle w:val="Hyperlink"/>
            <w:szCs w:val="18"/>
            <w:lang w:val="es-HN"/>
          </w:rPr>
          <w:t>https://www.imf.org/es/News/Articles/2023/09/21/pr23321-honduras-imf-executive-board-approve-</w:t>
        </w:r>
      </w:hyperlink>
      <w:r w:rsidR="00826C25" w:rsidRPr="00425570">
        <w:rPr>
          <w:szCs w:val="18"/>
          <w:lang w:val="es-HN"/>
        </w:rPr>
        <w:t>d-ecf-for-honduras</w:t>
      </w:r>
      <w:r w:rsidR="003A7581">
        <w:rPr>
          <w:szCs w:val="18"/>
          <w:lang w:val="es-HN"/>
        </w:rPr>
        <w:t>.</w:t>
      </w:r>
    </w:p>
  </w:footnote>
  <w:footnote w:id="34">
    <w:p w14:paraId="619D9572" w14:textId="5058DABE" w:rsidR="00826C25" w:rsidRPr="00AC201E" w:rsidRDefault="009079A6" w:rsidP="00826C25">
      <w:pPr>
        <w:pStyle w:val="FootnoteText"/>
        <w:rPr>
          <w:szCs w:val="18"/>
          <w:lang w:val="es-HN"/>
        </w:rPr>
      </w:pPr>
      <w:r w:rsidRPr="00425570">
        <w:rPr>
          <w:szCs w:val="18"/>
          <w:lang w:val="es-HN"/>
        </w:rPr>
        <w:tab/>
      </w:r>
      <w:r w:rsidR="00826C25" w:rsidRPr="00AC201E">
        <w:rPr>
          <w:rStyle w:val="FootnoteReference"/>
          <w:szCs w:val="18"/>
          <w:lang w:val="es-HN"/>
        </w:rPr>
        <w:footnoteRef/>
      </w:r>
      <w:r>
        <w:rPr>
          <w:szCs w:val="18"/>
          <w:lang w:val="es-HN"/>
        </w:rPr>
        <w:tab/>
      </w:r>
      <w:r w:rsidR="00826C25" w:rsidRPr="00AC201E">
        <w:rPr>
          <w:szCs w:val="18"/>
          <w:lang w:val="es-HN"/>
        </w:rPr>
        <w:t>Secretaría de Finanzas, Informe General de Inversión Pública, Tercer Trimestre 2023</w:t>
      </w:r>
      <w:r w:rsidR="003A7581">
        <w:rPr>
          <w:szCs w:val="18"/>
          <w:lang w:val="es-HN"/>
        </w:rPr>
        <w:t>.</w:t>
      </w:r>
    </w:p>
  </w:footnote>
  <w:footnote w:id="35">
    <w:p w14:paraId="757B0E4D" w14:textId="652B5CE7" w:rsidR="00826C25" w:rsidRPr="00AC201E" w:rsidRDefault="009079A6" w:rsidP="00826C25">
      <w:pPr>
        <w:pStyle w:val="FootnoteText"/>
        <w:rPr>
          <w:szCs w:val="18"/>
          <w:lang w:val="es-HN"/>
        </w:rPr>
      </w:pPr>
      <w:r>
        <w:rPr>
          <w:szCs w:val="18"/>
          <w:lang w:val="es-HN"/>
        </w:rPr>
        <w:tab/>
      </w:r>
      <w:r w:rsidR="00826C25" w:rsidRPr="00AC201E">
        <w:rPr>
          <w:rStyle w:val="FootnoteReference"/>
          <w:szCs w:val="18"/>
          <w:lang w:val="es-HN"/>
        </w:rPr>
        <w:footnoteRef/>
      </w:r>
      <w:r>
        <w:rPr>
          <w:szCs w:val="18"/>
          <w:lang w:val="es-HN"/>
        </w:rPr>
        <w:tab/>
      </w:r>
      <w:r w:rsidR="00826C25" w:rsidRPr="00AC201E">
        <w:rPr>
          <w:szCs w:val="18"/>
          <w:lang w:val="es-HN"/>
        </w:rPr>
        <w:t>Decreto Legislativo 157-2022</w:t>
      </w:r>
      <w:r w:rsidR="00720CDD">
        <w:rPr>
          <w:szCs w:val="18"/>
          <w:lang w:val="es-HN"/>
        </w:rPr>
        <w:t>.</w:t>
      </w:r>
    </w:p>
  </w:footnote>
  <w:footnote w:id="36">
    <w:p w14:paraId="0CE0A2A7" w14:textId="6E39A920" w:rsidR="00826C25" w:rsidRPr="00AC201E" w:rsidRDefault="009079A6" w:rsidP="00826C25">
      <w:pPr>
        <w:pStyle w:val="FootnoteText"/>
        <w:ind w:right="-46"/>
        <w:rPr>
          <w:szCs w:val="18"/>
          <w:lang w:val="es-HN"/>
        </w:rPr>
      </w:pPr>
      <w:r>
        <w:rPr>
          <w:szCs w:val="18"/>
          <w:lang w:val="es-HN"/>
        </w:rPr>
        <w:tab/>
      </w:r>
      <w:r w:rsidR="00826C25" w:rsidRPr="00AC201E">
        <w:rPr>
          <w:rStyle w:val="FootnoteReference"/>
          <w:szCs w:val="18"/>
          <w:lang w:val="es-HN"/>
        </w:rPr>
        <w:footnoteRef/>
      </w:r>
      <w:r>
        <w:rPr>
          <w:szCs w:val="18"/>
          <w:lang w:val="es-HN"/>
        </w:rPr>
        <w:tab/>
      </w:r>
      <w:r w:rsidR="00826C25" w:rsidRPr="00AC201E">
        <w:rPr>
          <w:szCs w:val="18"/>
          <w:lang w:val="es-HN"/>
        </w:rPr>
        <w:t>Secretaría de Finanzas, Deuda Pública de la Administración Central Honduras, Tercer Trimestre 2023</w:t>
      </w:r>
    </w:p>
  </w:footnote>
  <w:footnote w:id="37">
    <w:p w14:paraId="20CC8BC1" w14:textId="7E6DF6FA" w:rsidR="00826C25" w:rsidRPr="00AC201E" w:rsidRDefault="009079A6" w:rsidP="00826C25">
      <w:pPr>
        <w:pStyle w:val="FootnoteText"/>
        <w:rPr>
          <w:szCs w:val="18"/>
          <w:lang w:val="es-HN"/>
        </w:rPr>
      </w:pPr>
      <w:r>
        <w:rPr>
          <w:szCs w:val="18"/>
          <w:lang w:val="es-HN"/>
        </w:rPr>
        <w:tab/>
      </w:r>
      <w:r w:rsidR="00826C25" w:rsidRPr="00AC201E">
        <w:rPr>
          <w:rStyle w:val="FootnoteReference"/>
          <w:szCs w:val="18"/>
          <w:lang w:val="es-HN"/>
        </w:rPr>
        <w:footnoteRef/>
      </w:r>
      <w:r>
        <w:rPr>
          <w:szCs w:val="18"/>
          <w:lang w:val="es-HN"/>
        </w:rPr>
        <w:tab/>
      </w:r>
      <w:bookmarkStart w:id="0" w:name="_Hlk158996337"/>
      <w:r w:rsidR="00826C25" w:rsidRPr="00AC201E">
        <w:rPr>
          <w:szCs w:val="18"/>
          <w:lang w:val="es-HN"/>
        </w:rPr>
        <w:t>A/HRC/26/28</w:t>
      </w:r>
      <w:bookmarkEnd w:id="0"/>
      <w:r w:rsidR="00826C25" w:rsidRPr="00AC201E">
        <w:rPr>
          <w:szCs w:val="18"/>
          <w:lang w:val="es-HN"/>
        </w:rPr>
        <w:t>, párr. 25</w:t>
      </w:r>
      <w:r w:rsidR="00720CDD">
        <w:rPr>
          <w:szCs w:val="18"/>
          <w:lang w:val="es-HN"/>
        </w:rPr>
        <w:t>.</w:t>
      </w:r>
    </w:p>
  </w:footnote>
  <w:footnote w:id="38">
    <w:p w14:paraId="621A2F99" w14:textId="56FE440B" w:rsidR="00826C25" w:rsidRPr="00AC201E" w:rsidRDefault="009079A6" w:rsidP="00826C25">
      <w:pPr>
        <w:pStyle w:val="FootnoteText"/>
        <w:rPr>
          <w:lang w:val="es-HN"/>
        </w:rPr>
      </w:pPr>
      <w:r>
        <w:rPr>
          <w:lang w:val="es-HN"/>
        </w:rPr>
        <w:tab/>
      </w:r>
      <w:r w:rsidR="00826C25" w:rsidRPr="00AC201E">
        <w:rPr>
          <w:rStyle w:val="FootnoteReference"/>
          <w:lang w:val="es-HN"/>
        </w:rPr>
        <w:footnoteRef/>
      </w:r>
      <w:r>
        <w:rPr>
          <w:lang w:val="es-HN"/>
        </w:rPr>
        <w:tab/>
      </w:r>
      <w:r w:rsidR="00826C25" w:rsidRPr="00AC201E">
        <w:rPr>
          <w:lang w:val="es-HN"/>
        </w:rPr>
        <w:t>A/HRC/49/21, párr. 60</w:t>
      </w:r>
      <w:r w:rsidR="00720CDD">
        <w:rPr>
          <w:lang w:val="es-HN"/>
        </w:rPr>
        <w:t>.</w:t>
      </w:r>
    </w:p>
  </w:footnote>
  <w:footnote w:id="39">
    <w:p w14:paraId="3304F19D" w14:textId="7BCC9BF0" w:rsidR="00826C25" w:rsidRPr="00AC201E" w:rsidRDefault="009079A6" w:rsidP="00826C25">
      <w:pPr>
        <w:pStyle w:val="FootnoteText"/>
        <w:ind w:left="1170" w:hanging="1170"/>
        <w:rPr>
          <w:szCs w:val="18"/>
          <w:lang w:val="es-HN"/>
        </w:rPr>
      </w:pPr>
      <w:r>
        <w:rPr>
          <w:szCs w:val="18"/>
          <w:lang w:val="es-HN"/>
        </w:rPr>
        <w:tab/>
      </w:r>
      <w:r w:rsidR="00826C25" w:rsidRPr="00AC201E">
        <w:rPr>
          <w:rStyle w:val="FootnoteReference"/>
          <w:szCs w:val="18"/>
          <w:lang w:val="es-HN"/>
        </w:rPr>
        <w:footnoteRef/>
      </w:r>
      <w:r>
        <w:rPr>
          <w:szCs w:val="18"/>
          <w:lang w:val="es-HN"/>
        </w:rPr>
        <w:tab/>
      </w:r>
      <w:r w:rsidRPr="00425570">
        <w:rPr>
          <w:szCs w:val="18"/>
          <w:lang w:val="es-HN"/>
        </w:rPr>
        <w:t>https://www.unocha.org/publications/report/world/efectos-y-consecuencias-humanitarias-del-fenomeno-de-el-nino-en-america-latina-y-el-caribe-20232024</w:t>
      </w:r>
      <w:r w:rsidR="003A7581">
        <w:rPr>
          <w:szCs w:val="18"/>
          <w:lang w:val="es-HN"/>
        </w:rPr>
        <w:t>.</w:t>
      </w:r>
    </w:p>
  </w:footnote>
  <w:footnote w:id="40">
    <w:p w14:paraId="60F501BC" w14:textId="73873C1F" w:rsidR="00826C25" w:rsidRPr="00C61CE9" w:rsidRDefault="009079A6" w:rsidP="009079A6">
      <w:pPr>
        <w:pStyle w:val="FootnoteText"/>
        <w:ind w:left="1170" w:hanging="1170"/>
        <w:rPr>
          <w:szCs w:val="18"/>
          <w:lang w:val="es-HN"/>
        </w:rPr>
      </w:pPr>
      <w:r>
        <w:rPr>
          <w:szCs w:val="18"/>
          <w:lang w:val="es-HN"/>
        </w:rPr>
        <w:tab/>
      </w:r>
      <w:r w:rsidR="00826C25" w:rsidRPr="00AC201E">
        <w:rPr>
          <w:rStyle w:val="FootnoteReference"/>
          <w:szCs w:val="18"/>
          <w:lang w:val="es-HN"/>
        </w:rPr>
        <w:footnoteRef/>
      </w:r>
      <w:r>
        <w:rPr>
          <w:szCs w:val="18"/>
          <w:lang w:val="es-HN"/>
        </w:rPr>
        <w:tab/>
      </w:r>
      <w:hyperlink r:id="rId4" w:history="1">
        <w:r w:rsidRPr="00C12411">
          <w:rPr>
            <w:rStyle w:val="Hyperlink"/>
            <w:szCs w:val="18"/>
            <w:lang w:val="es-HN"/>
          </w:rPr>
          <w:t>https://www.ohchr.org/sites/default/files/documents/issues/climatechange/statements/eom-statement-honduras-</w:t>
        </w:r>
      </w:hyperlink>
      <w:r w:rsidR="00826C25" w:rsidRPr="00C61CE9">
        <w:rPr>
          <w:szCs w:val="18"/>
          <w:lang w:val="es-HN"/>
        </w:rPr>
        <w:t>sr-climate-2023-09-27-sp.pdf</w:t>
      </w:r>
      <w:r w:rsidR="003A7581">
        <w:rPr>
          <w:szCs w:val="18"/>
          <w:lang w:val="es-HN"/>
        </w:rPr>
        <w:t>.</w:t>
      </w:r>
    </w:p>
  </w:footnote>
  <w:footnote w:id="41">
    <w:p w14:paraId="32507E90" w14:textId="0B48FBED" w:rsidR="00826C25" w:rsidRPr="00425570" w:rsidRDefault="009079A6" w:rsidP="00826C25">
      <w:pPr>
        <w:pStyle w:val="FootnoteText"/>
        <w:ind w:left="1170" w:hanging="1170"/>
        <w:rPr>
          <w:szCs w:val="18"/>
        </w:rPr>
      </w:pPr>
      <w:r w:rsidRPr="00C61CE9">
        <w:rPr>
          <w:szCs w:val="18"/>
          <w:lang w:val="es-HN"/>
        </w:rPr>
        <w:tab/>
      </w:r>
      <w:r w:rsidR="00826C25" w:rsidRPr="00AC201E">
        <w:rPr>
          <w:rStyle w:val="FootnoteReference"/>
          <w:szCs w:val="18"/>
          <w:lang w:val="es-HN"/>
        </w:rPr>
        <w:footnoteRef/>
      </w:r>
      <w:r w:rsidRPr="00425570">
        <w:rPr>
          <w:szCs w:val="18"/>
        </w:rPr>
        <w:tab/>
      </w:r>
      <w:r w:rsidR="00826C25" w:rsidRPr="00425570">
        <w:rPr>
          <w:szCs w:val="18"/>
        </w:rPr>
        <w:t xml:space="preserve">A/HRC/52/24, </w:t>
      </w:r>
      <w:proofErr w:type="spellStart"/>
      <w:r w:rsidR="00826C25" w:rsidRPr="00425570">
        <w:rPr>
          <w:szCs w:val="18"/>
        </w:rPr>
        <w:t>párr</w:t>
      </w:r>
      <w:proofErr w:type="spellEnd"/>
      <w:r w:rsidR="00826C25" w:rsidRPr="00425570">
        <w:rPr>
          <w:szCs w:val="18"/>
        </w:rPr>
        <w:t>. 15</w:t>
      </w:r>
      <w:r w:rsidR="00720CDD" w:rsidRPr="00425570">
        <w:rPr>
          <w:szCs w:val="18"/>
        </w:rPr>
        <w:t>.</w:t>
      </w:r>
    </w:p>
  </w:footnote>
  <w:footnote w:id="42">
    <w:p w14:paraId="7EEB9E55" w14:textId="4A446B42" w:rsidR="00826C25" w:rsidRPr="00425570" w:rsidRDefault="009079A6" w:rsidP="00826C25">
      <w:pPr>
        <w:pStyle w:val="FootnoteText"/>
        <w:ind w:left="1170" w:hanging="1170"/>
      </w:pPr>
      <w:r w:rsidRPr="00425570">
        <w:tab/>
      </w:r>
      <w:r w:rsidR="00826C25" w:rsidRPr="00AC201E">
        <w:rPr>
          <w:rStyle w:val="FootnoteReference"/>
          <w:lang w:val="es-HN"/>
        </w:rPr>
        <w:footnoteRef/>
      </w:r>
      <w:r w:rsidRPr="00425570">
        <w:tab/>
      </w:r>
      <w:hyperlink r:id="rId5" w:history="1">
        <w:r w:rsidR="00425570">
          <w:rPr>
            <w:rStyle w:val="Hyperlink"/>
            <w:szCs w:val="18"/>
          </w:rPr>
          <w:t>https://www.ohchr.org/sites/default/files/documents/issues/climatechange/statements/eom-statement-honduras-</w:t>
        </w:r>
      </w:hyperlink>
      <w:r w:rsidR="00826C25" w:rsidRPr="00425570">
        <w:rPr>
          <w:szCs w:val="18"/>
        </w:rPr>
        <w:t>023-09-27-sp.pdf</w:t>
      </w:r>
    </w:p>
  </w:footnote>
  <w:footnote w:id="43">
    <w:p w14:paraId="30262D7F" w14:textId="500E89C0" w:rsidR="00826C25" w:rsidRPr="00AC201E" w:rsidRDefault="009079A6" w:rsidP="009079A6">
      <w:pPr>
        <w:pStyle w:val="FootnoteText"/>
        <w:ind w:left="1170" w:hanging="1170"/>
        <w:rPr>
          <w:lang w:val="es-HN"/>
        </w:rPr>
      </w:pPr>
      <w:r w:rsidRPr="00425570">
        <w:tab/>
      </w:r>
      <w:r w:rsidR="00826C25" w:rsidRPr="00AC201E">
        <w:rPr>
          <w:rStyle w:val="FootnoteReference"/>
          <w:lang w:val="es-HN"/>
        </w:rPr>
        <w:footnoteRef/>
      </w:r>
      <w:r>
        <w:rPr>
          <w:lang w:val="es-HN"/>
        </w:rPr>
        <w:tab/>
      </w:r>
      <w:r w:rsidR="00826C25" w:rsidRPr="00AC201E">
        <w:rPr>
          <w:lang w:val="es-HN"/>
        </w:rPr>
        <w:t xml:space="preserve">SCO-0816-2018, 5 de diciembre </w:t>
      </w:r>
      <w:r w:rsidR="00720CDD">
        <w:rPr>
          <w:lang w:val="es-HN"/>
        </w:rPr>
        <w:t xml:space="preserve">de </w:t>
      </w:r>
      <w:r w:rsidR="00826C25" w:rsidRPr="00AC201E">
        <w:rPr>
          <w:lang w:val="es-HN"/>
        </w:rPr>
        <w:t>2023</w:t>
      </w:r>
      <w:r w:rsidR="00720CDD">
        <w:rPr>
          <w:lang w:val="es-HN"/>
        </w:rPr>
        <w:t>.</w:t>
      </w:r>
    </w:p>
  </w:footnote>
  <w:footnote w:id="44">
    <w:p w14:paraId="43AC3C79" w14:textId="4BEE0C3A" w:rsidR="00826C25" w:rsidRPr="00B71062" w:rsidRDefault="009079A6" w:rsidP="009079A6">
      <w:pPr>
        <w:pStyle w:val="FootnoteText"/>
        <w:ind w:left="1170" w:hanging="1170"/>
        <w:rPr>
          <w:lang w:val="es-ES"/>
        </w:rPr>
      </w:pPr>
      <w:r>
        <w:rPr>
          <w:lang w:val="es-ES"/>
        </w:rPr>
        <w:tab/>
      </w:r>
      <w:r w:rsidR="00826C25">
        <w:rPr>
          <w:rStyle w:val="FootnoteReference"/>
        </w:rPr>
        <w:footnoteRef/>
      </w:r>
      <w:r>
        <w:rPr>
          <w:lang w:val="es-ES"/>
        </w:rPr>
        <w:tab/>
      </w:r>
      <w:r w:rsidR="00826C25" w:rsidRPr="00B71062">
        <w:rPr>
          <w:lang w:val="es-ES"/>
        </w:rPr>
        <w:t>A/HRC/52/24, párr. 27</w:t>
      </w:r>
      <w:r w:rsidR="00720CDD">
        <w:rPr>
          <w:lang w:val="es-ES"/>
        </w:rPr>
        <w:t>.</w:t>
      </w:r>
    </w:p>
  </w:footnote>
  <w:footnote w:id="45">
    <w:p w14:paraId="4198D7E8" w14:textId="261A6DDF" w:rsidR="00826C25" w:rsidRPr="00B71062" w:rsidRDefault="009079A6" w:rsidP="00826C25">
      <w:pPr>
        <w:pStyle w:val="FootnoteText"/>
        <w:rPr>
          <w:lang w:val="es-ES"/>
        </w:rPr>
      </w:pPr>
      <w:r>
        <w:rPr>
          <w:lang w:val="es-ES"/>
        </w:rPr>
        <w:tab/>
      </w:r>
      <w:r w:rsidR="00826C25">
        <w:rPr>
          <w:rStyle w:val="FootnoteReference"/>
        </w:rPr>
        <w:footnoteRef/>
      </w:r>
      <w:r>
        <w:rPr>
          <w:lang w:val="es-ES"/>
        </w:rPr>
        <w:tab/>
      </w:r>
      <w:r w:rsidR="00826C25" w:rsidRPr="00B71062">
        <w:rPr>
          <w:lang w:val="es-ES"/>
        </w:rPr>
        <w:t>https://www.oas.org/es/cidh/decisiones/mc/2023/res_83-23_mc_416-13_hn_es.pdf</w:t>
      </w:r>
      <w:r w:rsidR="003A7581">
        <w:rPr>
          <w:lang w:val="es-ES"/>
        </w:rPr>
        <w:t>.</w:t>
      </w:r>
    </w:p>
  </w:footnote>
  <w:footnote w:id="46">
    <w:p w14:paraId="4CA1F68A" w14:textId="5EF5BA2F" w:rsidR="00826C25" w:rsidRPr="00B71062" w:rsidRDefault="009079A6" w:rsidP="00826C25">
      <w:pPr>
        <w:pStyle w:val="FootnoteText"/>
        <w:rPr>
          <w:lang w:val="es-ES"/>
        </w:rPr>
      </w:pPr>
      <w:r>
        <w:rPr>
          <w:lang w:val="es-ES"/>
        </w:rPr>
        <w:tab/>
      </w:r>
      <w:r w:rsidR="00826C25">
        <w:rPr>
          <w:rStyle w:val="FootnoteReference"/>
        </w:rPr>
        <w:footnoteRef/>
      </w:r>
      <w:r>
        <w:rPr>
          <w:lang w:val="es-ES"/>
        </w:rPr>
        <w:tab/>
      </w:r>
      <w:hyperlink r:id="rId6" w:history="1">
        <w:r w:rsidR="00425570">
          <w:rPr>
            <w:rStyle w:val="Hyperlink"/>
            <w:lang w:val="es-ES"/>
          </w:rPr>
          <w:t>https://www.mp.hn/publicaciones/fiscalia-de-las-etnias-presenta-requerimiento-fiscal-contra-un-extranjero-por-</w:t>
        </w:r>
      </w:hyperlink>
      <w:r w:rsidR="00826C25" w:rsidRPr="00B71062">
        <w:rPr>
          <w:lang w:val="es-ES"/>
        </w:rPr>
        <w:t>lito-en-perjuicio-de-los-tolupanes/</w:t>
      </w:r>
      <w:r w:rsidR="003A7581">
        <w:rPr>
          <w:lang w:val="es-ES"/>
        </w:rPr>
        <w:t>.</w:t>
      </w:r>
    </w:p>
  </w:footnote>
  <w:footnote w:id="47">
    <w:p w14:paraId="7C7BDE2D" w14:textId="5E2D6E8C" w:rsidR="00826C25" w:rsidRPr="00B71062" w:rsidRDefault="009079A6" w:rsidP="00826C25">
      <w:pPr>
        <w:pStyle w:val="FootnoteText"/>
        <w:rPr>
          <w:lang w:val="es-ES"/>
        </w:rPr>
      </w:pPr>
      <w:r>
        <w:rPr>
          <w:lang w:val="es-ES"/>
        </w:rPr>
        <w:tab/>
      </w:r>
      <w:r w:rsidR="00826C25">
        <w:rPr>
          <w:rStyle w:val="FootnoteReference"/>
        </w:rPr>
        <w:footnoteRef/>
      </w:r>
      <w:r>
        <w:rPr>
          <w:lang w:val="es-ES"/>
        </w:rPr>
        <w:tab/>
      </w:r>
      <w:r w:rsidR="00826C25" w:rsidRPr="00B71062">
        <w:rPr>
          <w:lang w:val="es-ES"/>
        </w:rPr>
        <w:t>Corte Suprema de Justicia; AP-136, 406, 407, 408 y 277-2019, 9 de junio de 2023</w:t>
      </w:r>
      <w:r w:rsidR="00720CDD">
        <w:rPr>
          <w:lang w:val="es-ES"/>
        </w:rPr>
        <w:t>.</w:t>
      </w:r>
    </w:p>
  </w:footnote>
  <w:footnote w:id="48">
    <w:p w14:paraId="3110EDE6" w14:textId="664A395D" w:rsidR="00826C25" w:rsidRPr="00B71062" w:rsidRDefault="009079A6" w:rsidP="00826C25">
      <w:pPr>
        <w:pStyle w:val="FootnoteText"/>
        <w:rPr>
          <w:lang w:val="es-ES"/>
        </w:rPr>
      </w:pPr>
      <w:r>
        <w:rPr>
          <w:lang w:val="es-ES"/>
        </w:rPr>
        <w:tab/>
      </w:r>
      <w:r w:rsidR="00826C25">
        <w:rPr>
          <w:rStyle w:val="FootnoteReference"/>
        </w:rPr>
        <w:footnoteRef/>
      </w:r>
      <w:r>
        <w:rPr>
          <w:lang w:val="es-ES"/>
        </w:rPr>
        <w:tab/>
      </w:r>
      <w:r w:rsidR="00826C25" w:rsidRPr="00B71062">
        <w:rPr>
          <w:lang w:val="es-ES"/>
        </w:rPr>
        <w:t>Véase, entre otras: Juzgado de Letras con Competencia Nacional, 16 de octubre de 2023, Expediente 51-2023.</w:t>
      </w:r>
      <w:r>
        <w:rPr>
          <w:lang w:val="es-ES"/>
        </w:rPr>
        <w:t xml:space="preserve"> </w:t>
      </w:r>
      <w:r w:rsidR="00826C25" w:rsidRPr="00B71062">
        <w:rPr>
          <w:lang w:val="es-ES"/>
        </w:rPr>
        <w:t>Juzgado de Letras de El Progreso, Yoro, 1 de noviembre de 2023. Expediente 257-2023</w:t>
      </w:r>
    </w:p>
  </w:footnote>
  <w:footnote w:id="49">
    <w:p w14:paraId="71836C1D" w14:textId="4B85D033" w:rsidR="00826C25" w:rsidRPr="00B71062" w:rsidRDefault="009079A6" w:rsidP="00826C25">
      <w:pPr>
        <w:pStyle w:val="FootnoteText"/>
        <w:rPr>
          <w:lang w:val="es-ES"/>
        </w:rPr>
      </w:pPr>
      <w:r>
        <w:rPr>
          <w:lang w:val="es-ES"/>
        </w:rPr>
        <w:tab/>
      </w:r>
      <w:r w:rsidR="00826C25">
        <w:rPr>
          <w:rStyle w:val="FootnoteReference"/>
        </w:rPr>
        <w:footnoteRef/>
      </w:r>
      <w:r>
        <w:rPr>
          <w:lang w:val="es-ES"/>
        </w:rPr>
        <w:tab/>
      </w:r>
      <w:r w:rsidR="00955EDD" w:rsidRPr="00955EDD">
        <w:rPr>
          <w:lang w:val="es-ES"/>
        </w:rPr>
        <w:t>E/1992/23, E/1998/22, anexo IV</w:t>
      </w:r>
      <w:r w:rsidR="00826C25" w:rsidRPr="00B71062">
        <w:rPr>
          <w:lang w:val="es-ES"/>
        </w:rPr>
        <w:t>.</w:t>
      </w:r>
    </w:p>
  </w:footnote>
  <w:footnote w:id="50">
    <w:p w14:paraId="3E3E2ABC" w14:textId="13F4836E" w:rsidR="00826C25" w:rsidRPr="00B71062" w:rsidRDefault="009079A6" w:rsidP="00826C25">
      <w:pPr>
        <w:pStyle w:val="FootnoteText"/>
        <w:rPr>
          <w:lang w:val="es-ES"/>
        </w:rPr>
      </w:pPr>
      <w:r>
        <w:rPr>
          <w:lang w:val="es-ES"/>
        </w:rPr>
        <w:tab/>
      </w:r>
      <w:r w:rsidR="00826C25">
        <w:rPr>
          <w:rStyle w:val="FootnoteReference"/>
        </w:rPr>
        <w:footnoteRef/>
      </w:r>
      <w:r>
        <w:rPr>
          <w:lang w:val="es-ES"/>
        </w:rPr>
        <w:tab/>
      </w:r>
      <w:hyperlink r:id="rId7" w:history="1">
        <w:r w:rsidR="00826C25" w:rsidRPr="00637FB5">
          <w:rPr>
            <w:rStyle w:val="Hyperlink"/>
            <w:szCs w:val="18"/>
            <w:lang w:val="es-HN"/>
          </w:rPr>
          <w:t>https://gobiernosolidario.sgjd.gob.hn/6336/presidenta-xiomara-castro-anuncia-la-creacion-de-una-comision-</w:t>
        </w:r>
      </w:hyperlink>
      <w:r w:rsidR="00826C25" w:rsidRPr="000928B6">
        <w:rPr>
          <w:szCs w:val="18"/>
          <w:lang w:val="es-HN"/>
        </w:rPr>
        <w:t>seguridad-agraria-en-honduras/</w:t>
      </w:r>
      <w:r w:rsidR="003A7581">
        <w:rPr>
          <w:szCs w:val="18"/>
          <w:lang w:val="es-HN"/>
        </w:rPr>
        <w:t>.</w:t>
      </w:r>
    </w:p>
  </w:footnote>
  <w:footnote w:id="51">
    <w:p w14:paraId="71FA4C1B" w14:textId="1034439F" w:rsidR="00826C25" w:rsidRPr="00B71062" w:rsidRDefault="009079A6" w:rsidP="00826C25">
      <w:pPr>
        <w:pStyle w:val="FootnoteText"/>
        <w:rPr>
          <w:lang w:val="es-ES"/>
        </w:rPr>
      </w:pPr>
      <w:r>
        <w:rPr>
          <w:lang w:val="es-ES"/>
        </w:rPr>
        <w:tab/>
      </w:r>
      <w:r w:rsidR="00826C25">
        <w:rPr>
          <w:rStyle w:val="FootnoteReference"/>
        </w:rPr>
        <w:footnoteRef/>
      </w:r>
      <w:r>
        <w:rPr>
          <w:lang w:val="es-ES"/>
        </w:rPr>
        <w:tab/>
      </w:r>
      <w:r w:rsidR="00826C25" w:rsidRPr="000928B6">
        <w:rPr>
          <w:szCs w:val="18"/>
          <w:lang w:val="es-HN"/>
        </w:rPr>
        <w:t>Acuerdo No. CNDS-002/2023</w:t>
      </w:r>
      <w:r w:rsidR="00720CDD">
        <w:rPr>
          <w:szCs w:val="18"/>
          <w:lang w:val="es-HN"/>
        </w:rPr>
        <w:t>.</w:t>
      </w:r>
    </w:p>
  </w:footnote>
  <w:footnote w:id="52">
    <w:p w14:paraId="2A469189" w14:textId="540DFD6C" w:rsidR="00826C25" w:rsidRPr="005F6DC1" w:rsidRDefault="009079A6" w:rsidP="009079A6">
      <w:pPr>
        <w:pStyle w:val="FootnoteText"/>
        <w:rPr>
          <w:lang w:val="es-HN"/>
        </w:rPr>
      </w:pPr>
      <w:r>
        <w:rPr>
          <w:lang w:val="es-HN"/>
        </w:rPr>
        <w:tab/>
      </w:r>
      <w:r w:rsidR="00826C25" w:rsidRPr="005F6DC1">
        <w:rPr>
          <w:rStyle w:val="FootnoteReference"/>
          <w:lang w:val="es-HN"/>
        </w:rPr>
        <w:footnoteRef/>
      </w:r>
      <w:r>
        <w:rPr>
          <w:lang w:val="es-HN"/>
        </w:rPr>
        <w:tab/>
      </w:r>
      <w:r w:rsidR="00826C25" w:rsidRPr="005F6DC1">
        <w:rPr>
          <w:lang w:val="es-HN"/>
        </w:rPr>
        <w:t>El monitoreo de la Oficina incluye bajo la categoría de “ataques” hechos tales como amenazas, intento de homicidio, robo de información, inviolabilidad de las comunicaciones, daños a la propiedad, desprestigio, privación de la libertad, ataques en línea, entre otros.</w:t>
      </w:r>
    </w:p>
  </w:footnote>
  <w:footnote w:id="53">
    <w:p w14:paraId="7049F3A2" w14:textId="62535A59" w:rsidR="00826C25" w:rsidRPr="00E10B0A" w:rsidRDefault="009079A6" w:rsidP="00826C25">
      <w:pPr>
        <w:pStyle w:val="FootnoteText"/>
        <w:rPr>
          <w:lang w:val="es-HN"/>
        </w:rPr>
      </w:pPr>
      <w:r>
        <w:rPr>
          <w:lang w:val="es-ES"/>
        </w:rPr>
        <w:tab/>
      </w:r>
      <w:r w:rsidR="00826C25">
        <w:rPr>
          <w:rStyle w:val="FootnoteReference"/>
        </w:rPr>
        <w:footnoteRef/>
      </w:r>
      <w:r>
        <w:rPr>
          <w:lang w:val="es-ES"/>
        </w:rPr>
        <w:tab/>
      </w:r>
      <w:r w:rsidR="00826C25" w:rsidRPr="00B71062">
        <w:rPr>
          <w:lang w:val="es-ES"/>
        </w:rPr>
        <w:t xml:space="preserve">A/HRC/52/24, </w:t>
      </w:r>
      <w:proofErr w:type="spellStart"/>
      <w:r w:rsidR="00826C25" w:rsidRPr="00B71062">
        <w:rPr>
          <w:lang w:val="es-ES"/>
        </w:rPr>
        <w:t>párrs</w:t>
      </w:r>
      <w:proofErr w:type="spellEnd"/>
      <w:r w:rsidR="00826C25" w:rsidRPr="00B71062">
        <w:rPr>
          <w:lang w:val="es-ES"/>
        </w:rPr>
        <w:t>. 68, 69</w:t>
      </w:r>
      <w:r w:rsidR="00826C25">
        <w:rPr>
          <w:lang w:val="es-ES"/>
        </w:rPr>
        <w:t xml:space="preserve">. </w:t>
      </w:r>
    </w:p>
  </w:footnote>
  <w:footnote w:id="54">
    <w:p w14:paraId="601476E6" w14:textId="2662CB16" w:rsidR="00826C25" w:rsidRPr="00B71062" w:rsidRDefault="009079A6" w:rsidP="00826C25">
      <w:pPr>
        <w:pStyle w:val="FootnoteText"/>
        <w:rPr>
          <w:lang w:val="es-ES"/>
        </w:rPr>
      </w:pPr>
      <w:r>
        <w:rPr>
          <w:lang w:val="es-ES"/>
        </w:rPr>
        <w:tab/>
      </w:r>
      <w:r w:rsidR="00826C25">
        <w:rPr>
          <w:rStyle w:val="FootnoteReference"/>
        </w:rPr>
        <w:footnoteRef/>
      </w:r>
      <w:r>
        <w:rPr>
          <w:lang w:val="es-ES"/>
        </w:rPr>
        <w:tab/>
      </w:r>
      <w:r w:rsidR="00826C25" w:rsidRPr="00B71062">
        <w:rPr>
          <w:lang w:val="es-ES"/>
        </w:rPr>
        <w:t>https://oacnudh.hn/wp-content/uploads/2022/07/Diagnostico_WEB_220707.pdf</w:t>
      </w:r>
      <w:r w:rsidR="003A7581">
        <w:rPr>
          <w:lang w:val="es-ES"/>
        </w:rPr>
        <w:t>.</w:t>
      </w:r>
    </w:p>
  </w:footnote>
  <w:footnote w:id="55">
    <w:p w14:paraId="0C2248DF" w14:textId="65215952" w:rsidR="00826C25" w:rsidRPr="00B71062" w:rsidRDefault="009079A6" w:rsidP="00826C25">
      <w:pPr>
        <w:pStyle w:val="FootnoteText"/>
        <w:rPr>
          <w:lang w:val="es-ES"/>
        </w:rPr>
      </w:pPr>
      <w:r>
        <w:rPr>
          <w:lang w:val="es-ES"/>
        </w:rPr>
        <w:tab/>
      </w:r>
      <w:r w:rsidR="00826C25">
        <w:rPr>
          <w:rStyle w:val="FootnoteReference"/>
        </w:rPr>
        <w:footnoteRef/>
      </w:r>
      <w:r>
        <w:rPr>
          <w:lang w:val="es-ES"/>
        </w:rPr>
        <w:tab/>
      </w:r>
      <w:r w:rsidR="00826C25" w:rsidRPr="00B71062">
        <w:rPr>
          <w:lang w:val="es-ES"/>
        </w:rPr>
        <w:t>Oficio SEDH-DGSP-236-2023, 3 de noviembre de 2023</w:t>
      </w:r>
      <w:r w:rsidR="00720CDD">
        <w:rPr>
          <w:lang w:val="es-ES"/>
        </w:rPr>
        <w:t>.</w:t>
      </w:r>
    </w:p>
  </w:footnote>
  <w:footnote w:id="56">
    <w:p w14:paraId="1A525B65" w14:textId="0BBA4B48" w:rsidR="00826C25" w:rsidRPr="00B71062" w:rsidRDefault="009079A6" w:rsidP="00826C25">
      <w:pPr>
        <w:pStyle w:val="FootnoteText"/>
        <w:rPr>
          <w:lang w:val="es-ES"/>
        </w:rPr>
      </w:pPr>
      <w:r>
        <w:rPr>
          <w:lang w:val="es-ES"/>
        </w:rPr>
        <w:tab/>
      </w:r>
      <w:r w:rsidR="00826C25">
        <w:rPr>
          <w:rStyle w:val="FootnoteReference"/>
        </w:rPr>
        <w:footnoteRef/>
      </w:r>
      <w:r>
        <w:rPr>
          <w:lang w:val="es-ES"/>
        </w:rPr>
        <w:tab/>
      </w:r>
      <w:r w:rsidR="00826C25" w:rsidRPr="00B71062">
        <w:rPr>
          <w:lang w:val="es-ES"/>
        </w:rPr>
        <w:t>Ibid</w:t>
      </w:r>
      <w:r w:rsidR="00720CDD">
        <w:rPr>
          <w:lang w:val="es-ES"/>
        </w:rPr>
        <w:t>.</w:t>
      </w:r>
    </w:p>
  </w:footnote>
  <w:footnote w:id="57">
    <w:p w14:paraId="2717E170" w14:textId="3715C058" w:rsidR="009079A6" w:rsidRPr="00C61CE9" w:rsidRDefault="009079A6" w:rsidP="009079A6">
      <w:pPr>
        <w:pStyle w:val="FootnoteText"/>
        <w:rPr>
          <w:lang w:val="es-AR"/>
        </w:rPr>
      </w:pPr>
      <w:r w:rsidRPr="00C61CE9">
        <w:rPr>
          <w:lang w:val="es-AR"/>
        </w:rPr>
        <w:tab/>
      </w:r>
      <w:r>
        <w:rPr>
          <w:rStyle w:val="FootnoteReference"/>
        </w:rPr>
        <w:footnoteRef/>
      </w:r>
      <w:r w:rsidRPr="00C61CE9">
        <w:rPr>
          <w:lang w:val="es-AR"/>
        </w:rPr>
        <w:tab/>
      </w:r>
      <w:r w:rsidRPr="00C629BA">
        <w:rPr>
          <w:lang w:val="es-AR"/>
        </w:rPr>
        <w:t>https://oacnudh.hn/20-de-septiembre-de-2023-oacnudh-expresa-preocupacion-por-la-falta-de-revision-del-plan-de-proteccion-de-la-defensora-miriam-miranda</w:t>
      </w:r>
      <w:r w:rsidR="003A7581">
        <w:rPr>
          <w:lang w:val="es-AR"/>
        </w:rPr>
        <w:t>.</w:t>
      </w:r>
    </w:p>
  </w:footnote>
  <w:footnote w:id="58">
    <w:p w14:paraId="3746DDC6" w14:textId="2C82E8AE" w:rsidR="00826C25" w:rsidRPr="00B71062" w:rsidRDefault="009079A6" w:rsidP="00826C25">
      <w:pPr>
        <w:pStyle w:val="FootnoteText"/>
        <w:rPr>
          <w:lang w:val="es-ES"/>
        </w:rPr>
      </w:pPr>
      <w:r>
        <w:rPr>
          <w:lang w:val="es-ES"/>
        </w:rPr>
        <w:tab/>
      </w:r>
      <w:r w:rsidR="00826C25">
        <w:rPr>
          <w:rStyle w:val="FootnoteReference"/>
        </w:rPr>
        <w:footnoteRef/>
      </w:r>
      <w:r>
        <w:rPr>
          <w:lang w:val="es-ES"/>
        </w:rPr>
        <w:tab/>
      </w:r>
      <w:r w:rsidR="00826C25" w:rsidRPr="007B0BCF">
        <w:rPr>
          <w:szCs w:val="18"/>
          <w:lang w:val="es-HN"/>
        </w:rPr>
        <w:t xml:space="preserve">Ver párr. </w:t>
      </w:r>
      <w:r w:rsidR="00826C25">
        <w:rPr>
          <w:szCs w:val="18"/>
          <w:lang w:val="es-HN"/>
        </w:rPr>
        <w:t>30.</w:t>
      </w:r>
    </w:p>
  </w:footnote>
  <w:footnote w:id="59">
    <w:p w14:paraId="34B6CD7F" w14:textId="5190777F" w:rsidR="00826C25" w:rsidRPr="00B71062" w:rsidRDefault="009079A6" w:rsidP="00826C25">
      <w:pPr>
        <w:pStyle w:val="FootnoteText"/>
        <w:rPr>
          <w:lang w:val="es-ES"/>
        </w:rPr>
      </w:pPr>
      <w:r>
        <w:rPr>
          <w:lang w:val="es-ES"/>
        </w:rPr>
        <w:tab/>
      </w:r>
      <w:r w:rsidR="00826C25">
        <w:rPr>
          <w:rStyle w:val="FootnoteReference"/>
        </w:rPr>
        <w:footnoteRef/>
      </w:r>
      <w:r>
        <w:rPr>
          <w:lang w:val="es-ES"/>
        </w:rPr>
        <w:tab/>
      </w:r>
      <w:r w:rsidR="00826C25" w:rsidRPr="000928B6">
        <w:rPr>
          <w:szCs w:val="18"/>
          <w:lang w:val="es-HN"/>
        </w:rPr>
        <w:t>https://www.sepol.hn/sepol-estadisticas-honduras.php?id=158, Infografía 2023</w:t>
      </w:r>
      <w:r w:rsidR="00720CDD">
        <w:rPr>
          <w:szCs w:val="18"/>
          <w:lang w:val="es-HN"/>
        </w:rPr>
        <w:t>.</w:t>
      </w:r>
    </w:p>
  </w:footnote>
  <w:footnote w:id="60">
    <w:p w14:paraId="7B524E68" w14:textId="2A35E13B" w:rsidR="00826C25" w:rsidRPr="00B71062" w:rsidRDefault="009079A6" w:rsidP="00826C25">
      <w:pPr>
        <w:pStyle w:val="FootnoteText"/>
        <w:rPr>
          <w:lang w:val="es-ES"/>
        </w:rPr>
      </w:pPr>
      <w:r>
        <w:rPr>
          <w:lang w:val="es-ES"/>
        </w:rPr>
        <w:tab/>
      </w:r>
      <w:r w:rsidR="00826C25">
        <w:rPr>
          <w:rStyle w:val="FootnoteReference"/>
        </w:rPr>
        <w:footnoteRef/>
      </w:r>
      <w:r>
        <w:rPr>
          <w:lang w:val="es-ES"/>
        </w:rPr>
        <w:tab/>
      </w:r>
      <w:hyperlink r:id="rId8" w:history="1">
        <w:r w:rsidR="00A35D31">
          <w:rPr>
            <w:rStyle w:val="Hyperlink"/>
            <w:lang w:val="es-ES"/>
          </w:rPr>
          <w:t>https://iudpas.unah.edu.hn/dmsdocument/15970-infografia-muerte-violenta-de-mujeres-datos-preliminares-enero-</w:t>
        </w:r>
      </w:hyperlink>
      <w:r w:rsidR="00826C25" w:rsidRPr="00B71062">
        <w:rPr>
          <w:lang w:val="es-ES"/>
        </w:rPr>
        <w:t>2023-ed16.</w:t>
      </w:r>
    </w:p>
  </w:footnote>
  <w:footnote w:id="61">
    <w:p w14:paraId="79361354" w14:textId="5880B008" w:rsidR="00826C25" w:rsidRPr="00B71062" w:rsidRDefault="009079A6" w:rsidP="00826C25">
      <w:pPr>
        <w:pStyle w:val="FootnoteText"/>
        <w:rPr>
          <w:lang w:val="es-ES"/>
        </w:rPr>
      </w:pPr>
      <w:r>
        <w:rPr>
          <w:lang w:val="es-ES"/>
        </w:rPr>
        <w:tab/>
      </w:r>
      <w:r w:rsidR="00826C25">
        <w:rPr>
          <w:rStyle w:val="FootnoteReference"/>
        </w:rPr>
        <w:footnoteRef/>
      </w:r>
      <w:r>
        <w:rPr>
          <w:lang w:val="es-ES"/>
        </w:rPr>
        <w:tab/>
      </w:r>
      <w:hyperlink r:id="rId9" w:history="1">
        <w:r w:rsidR="00826C25" w:rsidRPr="00B71062">
          <w:rPr>
            <w:rStyle w:val="Hyperlink"/>
            <w:lang w:val="es-ES"/>
          </w:rPr>
          <w:t>https://honduras.un.org/es/234541-comunicado-sobre-la-ley-de-educaci%C3%B3n-integral-de-</w:t>
        </w:r>
      </w:hyperlink>
      <w:r w:rsidR="00826C25" w:rsidRPr="00B71062">
        <w:rPr>
          <w:lang w:val="es-ES"/>
        </w:rPr>
        <w:t>prevenci%C3%B3n-al-embarazo-adolescente</w:t>
      </w:r>
      <w:r w:rsidR="003A7581">
        <w:rPr>
          <w:lang w:val="es-ES"/>
        </w:rPr>
        <w:t>.</w:t>
      </w:r>
    </w:p>
  </w:footnote>
  <w:footnote w:id="62">
    <w:p w14:paraId="2A907BD9" w14:textId="3E69A900" w:rsidR="00826C25" w:rsidRPr="00B71062" w:rsidRDefault="009079A6" w:rsidP="00826C25">
      <w:pPr>
        <w:pStyle w:val="FootnoteText"/>
        <w:rPr>
          <w:lang w:val="es-ES"/>
        </w:rPr>
      </w:pPr>
      <w:r>
        <w:rPr>
          <w:lang w:val="es-ES"/>
        </w:rPr>
        <w:tab/>
      </w:r>
      <w:r w:rsidR="00826C25">
        <w:rPr>
          <w:rStyle w:val="FootnoteReference"/>
        </w:rPr>
        <w:footnoteRef/>
      </w:r>
      <w:r>
        <w:rPr>
          <w:lang w:val="es-ES"/>
        </w:rPr>
        <w:tab/>
      </w:r>
      <w:r w:rsidR="00826C25" w:rsidRPr="00B71062">
        <w:rPr>
          <w:lang w:val="es-ES"/>
        </w:rPr>
        <w:t>Corte IDH, sentencia Vicky Hernández vs Honduras, 2021, párr.152</w:t>
      </w:r>
      <w:r w:rsidR="00720CDD">
        <w:rPr>
          <w:lang w:val="es-ES"/>
        </w:rPr>
        <w:t>.</w:t>
      </w:r>
    </w:p>
  </w:footnote>
  <w:footnote w:id="63">
    <w:p w14:paraId="03EBF0E7" w14:textId="7F0B31AB" w:rsidR="00826C25" w:rsidRPr="00B71062" w:rsidRDefault="009079A6" w:rsidP="00826C25">
      <w:pPr>
        <w:pStyle w:val="FootnoteText"/>
        <w:rPr>
          <w:lang w:val="es-ES"/>
        </w:rPr>
      </w:pPr>
      <w:r>
        <w:rPr>
          <w:lang w:val="es-ES"/>
        </w:rPr>
        <w:tab/>
      </w:r>
      <w:r w:rsidR="00826C25">
        <w:rPr>
          <w:rStyle w:val="FootnoteReference"/>
        </w:rPr>
        <w:footnoteRef/>
      </w:r>
      <w:r>
        <w:rPr>
          <w:lang w:val="es-ES"/>
        </w:rPr>
        <w:tab/>
      </w:r>
      <w:proofErr w:type="spellStart"/>
      <w:r w:rsidR="00826C25" w:rsidRPr="00B71062">
        <w:rPr>
          <w:lang w:val="es-ES"/>
        </w:rPr>
        <w:t>Ibid</w:t>
      </w:r>
      <w:proofErr w:type="spellEnd"/>
      <w:r w:rsidR="00826C25" w:rsidRPr="00B71062">
        <w:rPr>
          <w:lang w:val="es-ES"/>
        </w:rPr>
        <w:t>, punto resolutivo 15 y 16</w:t>
      </w:r>
      <w:r w:rsidR="00720CDD">
        <w:rPr>
          <w:lang w:val="es-ES"/>
        </w:rPr>
        <w:t>.</w:t>
      </w:r>
    </w:p>
  </w:footnote>
  <w:footnote w:id="64">
    <w:p w14:paraId="0D8582D2" w14:textId="22EB71C3" w:rsidR="00826C25" w:rsidRPr="00B71062" w:rsidRDefault="009079A6" w:rsidP="00826C25">
      <w:pPr>
        <w:pStyle w:val="FootnoteText"/>
        <w:rPr>
          <w:lang w:val="es-ES"/>
        </w:rPr>
      </w:pPr>
      <w:r>
        <w:rPr>
          <w:lang w:val="es-ES"/>
        </w:rPr>
        <w:tab/>
      </w:r>
      <w:r w:rsidR="00826C25">
        <w:rPr>
          <w:rStyle w:val="FootnoteReference"/>
        </w:rPr>
        <w:footnoteRef/>
      </w:r>
      <w:r>
        <w:rPr>
          <w:lang w:val="es-ES"/>
        </w:rPr>
        <w:tab/>
      </w:r>
      <w:r w:rsidR="00826C25" w:rsidRPr="00B71062">
        <w:rPr>
          <w:lang w:val="es-ES"/>
        </w:rPr>
        <w:t>A/HRC/52/24, párr. 85</w:t>
      </w:r>
      <w:r w:rsidR="00720CDD">
        <w:rPr>
          <w:lang w:val="es-ES"/>
        </w:rPr>
        <w:t>.</w:t>
      </w:r>
    </w:p>
  </w:footnote>
  <w:footnote w:id="65">
    <w:p w14:paraId="55F86EE8" w14:textId="01A9E623" w:rsidR="00826C25" w:rsidRPr="00B71062" w:rsidRDefault="009079A6" w:rsidP="00826C25">
      <w:pPr>
        <w:pStyle w:val="FootnoteText"/>
        <w:rPr>
          <w:lang w:val="es-ES"/>
        </w:rPr>
      </w:pPr>
      <w:r>
        <w:rPr>
          <w:lang w:val="es-ES"/>
        </w:rPr>
        <w:tab/>
      </w:r>
      <w:r w:rsidR="00826C25">
        <w:rPr>
          <w:rStyle w:val="FootnoteReference"/>
        </w:rPr>
        <w:footnoteRef/>
      </w:r>
      <w:r>
        <w:rPr>
          <w:lang w:val="es-ES"/>
        </w:rPr>
        <w:tab/>
      </w:r>
      <w:proofErr w:type="spellStart"/>
      <w:r w:rsidR="00826C25" w:rsidRPr="000928B6">
        <w:rPr>
          <w:szCs w:val="18"/>
          <w:lang w:val="es-HN"/>
        </w:rPr>
        <w:t>Ibid</w:t>
      </w:r>
      <w:proofErr w:type="spellEnd"/>
      <w:r w:rsidR="00826C25" w:rsidRPr="000928B6">
        <w:rPr>
          <w:szCs w:val="18"/>
          <w:lang w:val="es-HN"/>
        </w:rPr>
        <w:t>, párr. 87</w:t>
      </w:r>
      <w:r w:rsidR="00720CDD">
        <w:rPr>
          <w:szCs w:val="18"/>
          <w:lang w:val="es-HN"/>
        </w:rPr>
        <w:t>.</w:t>
      </w:r>
    </w:p>
  </w:footnote>
  <w:footnote w:id="66">
    <w:p w14:paraId="36C39219" w14:textId="433D30C9" w:rsidR="00826C25" w:rsidRPr="00B71062" w:rsidRDefault="009079A6" w:rsidP="00826C25">
      <w:pPr>
        <w:pStyle w:val="FootnoteText"/>
        <w:rPr>
          <w:lang w:val="es-ES"/>
        </w:rPr>
      </w:pPr>
      <w:r>
        <w:rPr>
          <w:lang w:val="es-ES"/>
        </w:rPr>
        <w:tab/>
      </w:r>
      <w:r w:rsidR="00826C25">
        <w:rPr>
          <w:rStyle w:val="FootnoteReference"/>
        </w:rPr>
        <w:footnoteRef/>
      </w:r>
      <w:r>
        <w:rPr>
          <w:lang w:val="es-ES"/>
        </w:rPr>
        <w:tab/>
      </w:r>
      <w:r w:rsidR="00826C25" w:rsidRPr="00B71062">
        <w:rPr>
          <w:lang w:val="es-ES"/>
        </w:rPr>
        <w:t>Corte IDH, punto resolutivo 9, y puntos resolutivos 6 y 7, respectivamente.</w:t>
      </w:r>
    </w:p>
  </w:footnote>
  <w:footnote w:id="67">
    <w:p w14:paraId="07C89E6E" w14:textId="5BEE085C" w:rsidR="00826C25" w:rsidRPr="00B71062" w:rsidRDefault="009079A6" w:rsidP="00826C25">
      <w:pPr>
        <w:pStyle w:val="FootnoteText"/>
        <w:rPr>
          <w:lang w:val="es-ES"/>
        </w:rPr>
      </w:pPr>
      <w:r>
        <w:rPr>
          <w:lang w:val="es-ES"/>
        </w:rPr>
        <w:tab/>
      </w:r>
      <w:r w:rsidR="00826C25">
        <w:rPr>
          <w:rStyle w:val="FootnoteReference"/>
        </w:rPr>
        <w:footnoteRef/>
      </w:r>
      <w:r>
        <w:rPr>
          <w:lang w:val="es-ES"/>
        </w:rPr>
        <w:tab/>
      </w:r>
      <w:r w:rsidR="00826C25" w:rsidRPr="000928B6">
        <w:rPr>
          <w:szCs w:val="18"/>
          <w:lang w:val="es-HN"/>
        </w:rPr>
        <w:t>https://inm.gob.hn/migracion-irregular.html</w:t>
      </w:r>
      <w:r w:rsidR="003A7581">
        <w:rPr>
          <w:szCs w:val="18"/>
          <w:lang w:val="es-HN"/>
        </w:rPr>
        <w:t>.</w:t>
      </w:r>
    </w:p>
  </w:footnote>
  <w:footnote w:id="68">
    <w:p w14:paraId="3672912B" w14:textId="55C38903" w:rsidR="00826C25" w:rsidRPr="00B71062" w:rsidRDefault="009079A6" w:rsidP="00826C25">
      <w:pPr>
        <w:pStyle w:val="FootnoteText"/>
        <w:rPr>
          <w:lang w:val="es-ES"/>
        </w:rPr>
      </w:pPr>
      <w:r>
        <w:rPr>
          <w:lang w:val="es-ES"/>
        </w:rPr>
        <w:tab/>
      </w:r>
      <w:r w:rsidR="00826C25">
        <w:rPr>
          <w:rStyle w:val="FootnoteReference"/>
        </w:rPr>
        <w:footnoteRef/>
      </w:r>
      <w:r>
        <w:rPr>
          <w:lang w:val="es-ES"/>
        </w:rPr>
        <w:tab/>
      </w:r>
      <w:r w:rsidR="00826C25" w:rsidRPr="00B71062">
        <w:rPr>
          <w:lang w:val="es-ES"/>
        </w:rPr>
        <w:t>https://inm.gob.hn/estadisticas.html</w:t>
      </w:r>
      <w:r w:rsidR="003A7581">
        <w:rPr>
          <w:lang w:val="es-ES"/>
        </w:rPr>
        <w:t>.</w:t>
      </w:r>
    </w:p>
  </w:footnote>
  <w:footnote w:id="69">
    <w:p w14:paraId="6437E2BB" w14:textId="496C1EE4" w:rsidR="00826C25" w:rsidRPr="00B71062" w:rsidRDefault="009079A6" w:rsidP="00826C25">
      <w:pPr>
        <w:pStyle w:val="FootnoteText"/>
        <w:rPr>
          <w:lang w:val="es-ES"/>
        </w:rPr>
      </w:pPr>
      <w:r>
        <w:rPr>
          <w:lang w:val="es-ES"/>
        </w:rPr>
        <w:tab/>
      </w:r>
      <w:r w:rsidR="00826C25">
        <w:rPr>
          <w:rStyle w:val="FootnoteReference"/>
        </w:rPr>
        <w:footnoteRef/>
      </w:r>
      <w:r>
        <w:rPr>
          <w:lang w:val="es-ES"/>
        </w:rPr>
        <w:tab/>
      </w:r>
      <w:r w:rsidR="00826C25" w:rsidRPr="00B71062">
        <w:rPr>
          <w:lang w:val="es-ES"/>
        </w:rPr>
        <w:t>https://www.cbp.gov/newsroom/stats/southwest-land-border-encounters</w:t>
      </w:r>
      <w:r w:rsidR="003A7581">
        <w:rPr>
          <w:lang w:val="es-ES"/>
        </w:rPr>
        <w:t>.</w:t>
      </w:r>
    </w:p>
  </w:footnote>
  <w:footnote w:id="70">
    <w:p w14:paraId="4F01FE0B" w14:textId="2A5D947D" w:rsidR="00826C25" w:rsidRPr="00B71062" w:rsidRDefault="009079A6" w:rsidP="00826C25">
      <w:pPr>
        <w:pStyle w:val="FootnoteText"/>
        <w:rPr>
          <w:lang w:val="es-ES"/>
        </w:rPr>
      </w:pPr>
      <w:r>
        <w:rPr>
          <w:lang w:val="es-ES"/>
        </w:rPr>
        <w:tab/>
      </w:r>
      <w:r w:rsidR="00826C25">
        <w:rPr>
          <w:rStyle w:val="FootnoteReference"/>
        </w:rPr>
        <w:footnoteRef/>
      </w:r>
      <w:r>
        <w:rPr>
          <w:lang w:val="es-ES"/>
        </w:rPr>
        <w:tab/>
      </w:r>
      <w:r w:rsidR="00826C25" w:rsidRPr="00B71062">
        <w:rPr>
          <w:lang w:val="es-ES"/>
        </w:rPr>
        <w:t>Clúster de Protección. Reporte de situación No. 4 / a noviembre 2023</w:t>
      </w:r>
      <w:r w:rsidR="00720CDD">
        <w:rPr>
          <w:lang w:val="es-ES"/>
        </w:rPr>
        <w:t>.</w:t>
      </w:r>
    </w:p>
  </w:footnote>
  <w:footnote w:id="71">
    <w:p w14:paraId="1A7BCB3C" w14:textId="5D2D83FE" w:rsidR="00826C25" w:rsidRPr="00B71062" w:rsidRDefault="009079A6" w:rsidP="00826C25">
      <w:pPr>
        <w:pStyle w:val="FootnoteText"/>
        <w:rPr>
          <w:lang w:val="es-ES"/>
        </w:rPr>
      </w:pPr>
      <w:r>
        <w:rPr>
          <w:lang w:val="es-ES"/>
        </w:rPr>
        <w:tab/>
      </w:r>
      <w:r w:rsidR="00826C25">
        <w:rPr>
          <w:rStyle w:val="FootnoteReference"/>
        </w:rPr>
        <w:footnoteRef/>
      </w:r>
      <w:r>
        <w:rPr>
          <w:lang w:val="es-ES"/>
        </w:rPr>
        <w:tab/>
      </w:r>
      <w:r w:rsidR="00826C25" w:rsidRPr="00B71062">
        <w:rPr>
          <w:lang w:val="es-ES"/>
        </w:rPr>
        <w:t>Decreto No. 39-2023</w:t>
      </w:r>
      <w:r w:rsidR="00720CDD">
        <w:rPr>
          <w:lang w:val="es-ES"/>
        </w:rPr>
        <w:t>.</w:t>
      </w:r>
    </w:p>
  </w:footnote>
  <w:footnote w:id="72">
    <w:p w14:paraId="1A306B1B" w14:textId="53E9F2C2" w:rsidR="00826C25" w:rsidRPr="00B71062" w:rsidRDefault="009079A6" w:rsidP="00826C25">
      <w:pPr>
        <w:pStyle w:val="FootnoteText"/>
        <w:rPr>
          <w:lang w:val="es-ES"/>
        </w:rPr>
      </w:pPr>
      <w:r>
        <w:rPr>
          <w:lang w:val="es-ES"/>
        </w:rPr>
        <w:tab/>
      </w:r>
      <w:r w:rsidR="00826C25">
        <w:rPr>
          <w:rStyle w:val="FootnoteReference"/>
        </w:rPr>
        <w:footnoteRef/>
      </w:r>
      <w:r>
        <w:rPr>
          <w:lang w:val="es-ES"/>
        </w:rPr>
        <w:tab/>
      </w:r>
      <w:r w:rsidR="00826C25" w:rsidRPr="00B71062">
        <w:rPr>
          <w:lang w:val="es-ES"/>
        </w:rPr>
        <w:t>https://www.tsc.gob.hn/web/leyes/Decreto-154-2022.pdf</w:t>
      </w:r>
      <w:r w:rsidR="003A7581">
        <w:rPr>
          <w:lang w:val="es-ES"/>
        </w:rPr>
        <w:t>.</w:t>
      </w:r>
    </w:p>
  </w:footnote>
  <w:footnote w:id="73">
    <w:p w14:paraId="4E89A806" w14:textId="5112E5D3" w:rsidR="00826C25" w:rsidRPr="00B71062" w:rsidRDefault="009079A6" w:rsidP="00826C25">
      <w:pPr>
        <w:pStyle w:val="FootnoteText"/>
        <w:rPr>
          <w:lang w:val="es-ES"/>
        </w:rPr>
      </w:pPr>
      <w:r>
        <w:rPr>
          <w:lang w:val="es-ES"/>
        </w:rPr>
        <w:tab/>
      </w:r>
      <w:r w:rsidR="00826C25">
        <w:rPr>
          <w:rStyle w:val="FootnoteReference"/>
        </w:rPr>
        <w:footnoteRef/>
      </w:r>
      <w:r>
        <w:rPr>
          <w:lang w:val="es-ES"/>
        </w:rPr>
        <w:tab/>
      </w:r>
      <w:r w:rsidR="00826C25" w:rsidRPr="00B71062">
        <w:rPr>
          <w:lang w:val="es-ES"/>
        </w:rPr>
        <w:t>https://twitter.com/sedhHonduras/status/1680026867124916225</w:t>
      </w:r>
      <w:r w:rsidR="003A7581">
        <w:rPr>
          <w:lang w:val="es-ES"/>
        </w:rPr>
        <w:t>.</w:t>
      </w:r>
    </w:p>
  </w:footnote>
  <w:footnote w:id="74">
    <w:p w14:paraId="11FFD762" w14:textId="5D07B853" w:rsidR="00826C25" w:rsidRPr="004C01E1" w:rsidRDefault="009079A6" w:rsidP="00826C25">
      <w:pPr>
        <w:pStyle w:val="FootnoteText"/>
        <w:rPr>
          <w:lang w:val="en-US"/>
        </w:rPr>
      </w:pPr>
      <w:r w:rsidRPr="00C61CE9">
        <w:rPr>
          <w:lang w:val="es-ES"/>
        </w:rPr>
        <w:tab/>
      </w:r>
      <w:r w:rsidR="00826C25">
        <w:rPr>
          <w:rStyle w:val="FootnoteReference"/>
        </w:rPr>
        <w:footnoteRef/>
      </w:r>
      <w:r>
        <w:tab/>
      </w:r>
      <w:r w:rsidR="00826C25" w:rsidRPr="004C01E1">
        <w:t>A/HRC/52/24</w:t>
      </w:r>
      <w:r w:rsidR="00826C25">
        <w:t xml:space="preserve">, </w:t>
      </w:r>
      <w:r w:rsidR="00826C25" w:rsidRPr="004C01E1">
        <w:t>A/HRC/49/21, A/HRC/46/75, A/HRC/43/3/Add.2, A /HRC/40/3/Add.2, A/HRC/34/3/Add.2</w:t>
      </w:r>
      <w:r w:rsidR="003A758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76F7" w14:textId="04D66437" w:rsidR="006F6C30" w:rsidRPr="006F6C30" w:rsidRDefault="0089227B">
    <w:pPr>
      <w:pStyle w:val="Header"/>
    </w:pPr>
    <w:r>
      <w:rPr>
        <w:noProof/>
      </w:rPr>
      <w:pict w14:anchorId="2EAED9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88313" o:spid="_x0000_s1026" type="#_x0000_t136" style="position:absolute;margin-left:0;margin-top:0;width:752.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r>
      <w:fldChar w:fldCharType="begin"/>
    </w:r>
    <w:r>
      <w:instrText xml:space="preserve"> TITLE  \* MERGEFORMAT </w:instrText>
    </w:r>
    <w:r>
      <w:fldChar w:fldCharType="separate"/>
    </w:r>
    <w:r w:rsidR="006F6C30">
      <w:t>A/HRC/55/2</w:t>
    </w:r>
    <w:r>
      <w:fldChar w:fldCharType="end"/>
    </w:r>
    <w:r w:rsidR="00CA3754">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88492" w14:textId="1F0EE9C3" w:rsidR="006F6C30" w:rsidRPr="006F6C30" w:rsidRDefault="0089227B" w:rsidP="006F6C30">
    <w:pPr>
      <w:pStyle w:val="Header"/>
      <w:jc w:val="right"/>
    </w:pPr>
    <w:r>
      <w:rPr>
        <w:noProof/>
      </w:rPr>
      <w:pict w14:anchorId="4BE4AE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88314" o:spid="_x0000_s1027" type="#_x0000_t136" style="position:absolute;left:0;text-align:left;margin-left:0;margin-top:0;width:752.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r>
      <w:fldChar w:fldCharType="begin"/>
    </w:r>
    <w:r>
      <w:instrText xml:space="preserve"> TITLE  \* MERGEFORMAT </w:instrText>
    </w:r>
    <w:r>
      <w:fldChar w:fldCharType="separate"/>
    </w:r>
    <w:r w:rsidR="006F6C30">
      <w:t>A/HRC/55/2</w:t>
    </w:r>
    <w:r>
      <w:fldChar w:fldCharType="end"/>
    </w:r>
    <w:r w:rsidR="00CA3754">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A212" w14:textId="2AC092F6" w:rsidR="0089227B" w:rsidRDefault="0089227B">
    <w:pPr>
      <w:pStyle w:val="Header"/>
    </w:pPr>
    <w:r>
      <w:rPr>
        <w:noProof/>
      </w:rPr>
      <w:pict w14:anchorId="71F3A2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88312" o:spid="_x0000_s1025" type="#_x0000_t136" style="position:absolute;margin-left:0;margin-top:0;width:752.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5C255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F5AE2"/>
    <w:multiLevelType w:val="hybridMultilevel"/>
    <w:tmpl w:val="AD52A2E8"/>
    <w:lvl w:ilvl="0" w:tplc="37589EFA">
      <w:start w:val="36"/>
      <w:numFmt w:val="decimal"/>
      <w:lvlText w:val="%1."/>
      <w:lvlJc w:val="left"/>
      <w:pPr>
        <w:ind w:left="1778" w:hanging="360"/>
      </w:pPr>
      <w:rPr>
        <w:rFonts w:asciiTheme="majorBidi" w:hAnsiTheme="majorBidi" w:cstheme="majorBidi" w:hint="default"/>
      </w:rPr>
    </w:lvl>
    <w:lvl w:ilvl="1" w:tplc="100A0019">
      <w:start w:val="1"/>
      <w:numFmt w:val="lowerLetter"/>
      <w:lvlText w:val="%2."/>
      <w:lvlJc w:val="left"/>
      <w:pPr>
        <w:ind w:left="2356" w:hanging="360"/>
      </w:pPr>
    </w:lvl>
    <w:lvl w:ilvl="2" w:tplc="100A001B" w:tentative="1">
      <w:start w:val="1"/>
      <w:numFmt w:val="lowerRoman"/>
      <w:lvlText w:val="%3."/>
      <w:lvlJc w:val="right"/>
      <w:pPr>
        <w:ind w:left="3076" w:hanging="180"/>
      </w:pPr>
    </w:lvl>
    <w:lvl w:ilvl="3" w:tplc="100A000F" w:tentative="1">
      <w:start w:val="1"/>
      <w:numFmt w:val="decimal"/>
      <w:lvlText w:val="%4."/>
      <w:lvlJc w:val="left"/>
      <w:pPr>
        <w:ind w:left="3796" w:hanging="360"/>
      </w:pPr>
    </w:lvl>
    <w:lvl w:ilvl="4" w:tplc="100A0019" w:tentative="1">
      <w:start w:val="1"/>
      <w:numFmt w:val="lowerLetter"/>
      <w:lvlText w:val="%5."/>
      <w:lvlJc w:val="left"/>
      <w:pPr>
        <w:ind w:left="4516" w:hanging="360"/>
      </w:pPr>
    </w:lvl>
    <w:lvl w:ilvl="5" w:tplc="100A001B" w:tentative="1">
      <w:start w:val="1"/>
      <w:numFmt w:val="lowerRoman"/>
      <w:lvlText w:val="%6."/>
      <w:lvlJc w:val="right"/>
      <w:pPr>
        <w:ind w:left="5236" w:hanging="180"/>
      </w:pPr>
    </w:lvl>
    <w:lvl w:ilvl="6" w:tplc="100A000F" w:tentative="1">
      <w:start w:val="1"/>
      <w:numFmt w:val="decimal"/>
      <w:lvlText w:val="%7."/>
      <w:lvlJc w:val="left"/>
      <w:pPr>
        <w:ind w:left="5956" w:hanging="360"/>
      </w:pPr>
    </w:lvl>
    <w:lvl w:ilvl="7" w:tplc="100A0019" w:tentative="1">
      <w:start w:val="1"/>
      <w:numFmt w:val="lowerLetter"/>
      <w:lvlText w:val="%8."/>
      <w:lvlJc w:val="left"/>
      <w:pPr>
        <w:ind w:left="6676" w:hanging="360"/>
      </w:pPr>
    </w:lvl>
    <w:lvl w:ilvl="8" w:tplc="100A001B" w:tentative="1">
      <w:start w:val="1"/>
      <w:numFmt w:val="lowerRoman"/>
      <w:lvlText w:val="%9."/>
      <w:lvlJc w:val="right"/>
      <w:pPr>
        <w:ind w:left="7396" w:hanging="180"/>
      </w:pPr>
    </w:lvl>
  </w:abstractNum>
  <w:abstractNum w:abstractNumId="2"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7F3B55"/>
    <w:multiLevelType w:val="hybridMultilevel"/>
    <w:tmpl w:val="5E8ED806"/>
    <w:lvl w:ilvl="0" w:tplc="F1668F06">
      <w:start w:val="103"/>
      <w:numFmt w:val="decimal"/>
      <w:lvlText w:val="%1."/>
      <w:lvlJc w:val="left"/>
      <w:pPr>
        <w:ind w:left="1778" w:hanging="360"/>
      </w:pPr>
      <w:rPr>
        <w:rFonts w:hint="default"/>
      </w:rPr>
    </w:lvl>
    <w:lvl w:ilvl="1" w:tplc="100A0019" w:tentative="1">
      <w:start w:val="1"/>
      <w:numFmt w:val="lowerLetter"/>
      <w:lvlText w:val="%2."/>
      <w:lvlJc w:val="left"/>
      <w:pPr>
        <w:ind w:left="2498" w:hanging="360"/>
      </w:pPr>
    </w:lvl>
    <w:lvl w:ilvl="2" w:tplc="100A001B" w:tentative="1">
      <w:start w:val="1"/>
      <w:numFmt w:val="lowerRoman"/>
      <w:lvlText w:val="%3."/>
      <w:lvlJc w:val="right"/>
      <w:pPr>
        <w:ind w:left="3218" w:hanging="180"/>
      </w:pPr>
    </w:lvl>
    <w:lvl w:ilvl="3" w:tplc="100A000F" w:tentative="1">
      <w:start w:val="1"/>
      <w:numFmt w:val="decimal"/>
      <w:lvlText w:val="%4."/>
      <w:lvlJc w:val="left"/>
      <w:pPr>
        <w:ind w:left="3938" w:hanging="360"/>
      </w:pPr>
    </w:lvl>
    <w:lvl w:ilvl="4" w:tplc="100A0019" w:tentative="1">
      <w:start w:val="1"/>
      <w:numFmt w:val="lowerLetter"/>
      <w:lvlText w:val="%5."/>
      <w:lvlJc w:val="left"/>
      <w:pPr>
        <w:ind w:left="4658" w:hanging="360"/>
      </w:pPr>
    </w:lvl>
    <w:lvl w:ilvl="5" w:tplc="100A001B" w:tentative="1">
      <w:start w:val="1"/>
      <w:numFmt w:val="lowerRoman"/>
      <w:lvlText w:val="%6."/>
      <w:lvlJc w:val="right"/>
      <w:pPr>
        <w:ind w:left="5378" w:hanging="180"/>
      </w:pPr>
    </w:lvl>
    <w:lvl w:ilvl="6" w:tplc="100A000F" w:tentative="1">
      <w:start w:val="1"/>
      <w:numFmt w:val="decimal"/>
      <w:lvlText w:val="%7."/>
      <w:lvlJc w:val="left"/>
      <w:pPr>
        <w:ind w:left="6098" w:hanging="360"/>
      </w:pPr>
    </w:lvl>
    <w:lvl w:ilvl="7" w:tplc="100A0019" w:tentative="1">
      <w:start w:val="1"/>
      <w:numFmt w:val="lowerLetter"/>
      <w:lvlText w:val="%8."/>
      <w:lvlJc w:val="left"/>
      <w:pPr>
        <w:ind w:left="6818" w:hanging="360"/>
      </w:pPr>
    </w:lvl>
    <w:lvl w:ilvl="8" w:tplc="100A001B" w:tentative="1">
      <w:start w:val="1"/>
      <w:numFmt w:val="lowerRoman"/>
      <w:lvlText w:val="%9."/>
      <w:lvlJc w:val="right"/>
      <w:pPr>
        <w:ind w:left="7538" w:hanging="180"/>
      </w:pPr>
    </w:lvl>
  </w:abstractNum>
  <w:abstractNum w:abstractNumId="4" w15:restartNumberingAfterBreak="0">
    <w:nsid w:val="03D65F0D"/>
    <w:multiLevelType w:val="hybridMultilevel"/>
    <w:tmpl w:val="10DAC090"/>
    <w:lvl w:ilvl="0" w:tplc="FFFFFFFF">
      <w:start w:val="19"/>
      <w:numFmt w:val="decimal"/>
      <w:lvlText w:val="%1."/>
      <w:lvlJc w:val="left"/>
      <w:pPr>
        <w:ind w:left="1078" w:hanging="360"/>
      </w:pPr>
      <w:rPr>
        <w:rFonts w:hint="default"/>
      </w:rPr>
    </w:lvl>
    <w:lvl w:ilvl="1" w:tplc="FFFFFFFF" w:tentative="1">
      <w:start w:val="1"/>
      <w:numFmt w:val="lowerLetter"/>
      <w:lvlText w:val="%2."/>
      <w:lvlJc w:val="left"/>
      <w:pPr>
        <w:ind w:left="1798" w:hanging="360"/>
      </w:pPr>
    </w:lvl>
    <w:lvl w:ilvl="2" w:tplc="FFFFFFFF" w:tentative="1">
      <w:start w:val="1"/>
      <w:numFmt w:val="lowerRoman"/>
      <w:lvlText w:val="%3."/>
      <w:lvlJc w:val="right"/>
      <w:pPr>
        <w:ind w:left="2518" w:hanging="180"/>
      </w:pPr>
    </w:lvl>
    <w:lvl w:ilvl="3" w:tplc="FFFFFFFF" w:tentative="1">
      <w:start w:val="1"/>
      <w:numFmt w:val="decimal"/>
      <w:lvlText w:val="%4."/>
      <w:lvlJc w:val="left"/>
      <w:pPr>
        <w:ind w:left="3238" w:hanging="360"/>
      </w:pPr>
    </w:lvl>
    <w:lvl w:ilvl="4" w:tplc="FFFFFFFF" w:tentative="1">
      <w:start w:val="1"/>
      <w:numFmt w:val="lowerLetter"/>
      <w:lvlText w:val="%5."/>
      <w:lvlJc w:val="left"/>
      <w:pPr>
        <w:ind w:left="3958" w:hanging="360"/>
      </w:pPr>
    </w:lvl>
    <w:lvl w:ilvl="5" w:tplc="FFFFFFFF" w:tentative="1">
      <w:start w:val="1"/>
      <w:numFmt w:val="lowerRoman"/>
      <w:lvlText w:val="%6."/>
      <w:lvlJc w:val="right"/>
      <w:pPr>
        <w:ind w:left="4678" w:hanging="180"/>
      </w:pPr>
    </w:lvl>
    <w:lvl w:ilvl="6" w:tplc="FFFFFFFF" w:tentative="1">
      <w:start w:val="1"/>
      <w:numFmt w:val="decimal"/>
      <w:lvlText w:val="%7."/>
      <w:lvlJc w:val="left"/>
      <w:pPr>
        <w:ind w:left="5398" w:hanging="360"/>
      </w:pPr>
    </w:lvl>
    <w:lvl w:ilvl="7" w:tplc="FFFFFFFF" w:tentative="1">
      <w:start w:val="1"/>
      <w:numFmt w:val="lowerLetter"/>
      <w:lvlText w:val="%8."/>
      <w:lvlJc w:val="left"/>
      <w:pPr>
        <w:ind w:left="6118" w:hanging="360"/>
      </w:pPr>
    </w:lvl>
    <w:lvl w:ilvl="8" w:tplc="FFFFFFFF" w:tentative="1">
      <w:start w:val="1"/>
      <w:numFmt w:val="lowerRoman"/>
      <w:lvlText w:val="%9."/>
      <w:lvlJc w:val="right"/>
      <w:pPr>
        <w:ind w:left="6838" w:hanging="180"/>
      </w:pPr>
    </w:lvl>
  </w:abstractNum>
  <w:abstractNum w:abstractNumId="5" w15:restartNumberingAfterBreak="0">
    <w:nsid w:val="081D7743"/>
    <w:multiLevelType w:val="hybridMultilevel"/>
    <w:tmpl w:val="49BE88E4"/>
    <w:lvl w:ilvl="0" w:tplc="FFFFFFFF">
      <w:start w:val="1"/>
      <w:numFmt w:val="decimal"/>
      <w:lvlText w:val="%1."/>
      <w:lvlJc w:val="left"/>
      <w:pPr>
        <w:ind w:left="2838" w:hanging="569"/>
      </w:pPr>
      <w:rPr>
        <w:spacing w:val="0"/>
        <w:w w:val="99"/>
        <w:sz w:val="20"/>
        <w:szCs w:val="20"/>
        <w:lang w:val="es-ES" w:eastAsia="en-US" w:bidi="ar-SA"/>
      </w:rPr>
    </w:lvl>
    <w:lvl w:ilvl="1" w:tplc="F2C4FAB6">
      <w:start w:val="1"/>
      <w:numFmt w:val="lowerLetter"/>
      <w:lvlText w:val="%2)"/>
      <w:lvlJc w:val="left"/>
      <w:pPr>
        <w:ind w:left="1691" w:hanging="567"/>
      </w:pPr>
      <w:rPr>
        <w:rFonts w:ascii="Times New Roman" w:eastAsia="Times New Roman" w:hAnsi="Times New Roman" w:cs="Times New Roman" w:hint="default"/>
        <w:w w:val="99"/>
        <w:sz w:val="20"/>
        <w:szCs w:val="20"/>
        <w:lang w:val="es-ES" w:eastAsia="en-US" w:bidi="ar-SA"/>
      </w:rPr>
    </w:lvl>
    <w:lvl w:ilvl="2" w:tplc="C0BA5940">
      <w:numFmt w:val="bullet"/>
      <w:lvlText w:val="•"/>
      <w:lvlJc w:val="left"/>
      <w:pPr>
        <w:ind w:left="3410" w:hanging="567"/>
      </w:pPr>
      <w:rPr>
        <w:rFonts w:hint="default"/>
        <w:lang w:val="es-ES" w:eastAsia="en-US" w:bidi="ar-SA"/>
      </w:rPr>
    </w:lvl>
    <w:lvl w:ilvl="3" w:tplc="5B1CA70E">
      <w:numFmt w:val="bullet"/>
      <w:lvlText w:val="•"/>
      <w:lvlJc w:val="left"/>
      <w:pPr>
        <w:ind w:left="4272" w:hanging="567"/>
      </w:pPr>
      <w:rPr>
        <w:rFonts w:hint="default"/>
        <w:lang w:val="es-ES" w:eastAsia="en-US" w:bidi="ar-SA"/>
      </w:rPr>
    </w:lvl>
    <w:lvl w:ilvl="4" w:tplc="5E74DE74">
      <w:numFmt w:val="bullet"/>
      <w:lvlText w:val="•"/>
      <w:lvlJc w:val="left"/>
      <w:pPr>
        <w:ind w:left="5135" w:hanging="567"/>
      </w:pPr>
      <w:rPr>
        <w:rFonts w:hint="default"/>
        <w:lang w:val="es-ES" w:eastAsia="en-US" w:bidi="ar-SA"/>
      </w:rPr>
    </w:lvl>
    <w:lvl w:ilvl="5" w:tplc="A4FCDC1E">
      <w:numFmt w:val="bullet"/>
      <w:lvlText w:val="•"/>
      <w:lvlJc w:val="left"/>
      <w:pPr>
        <w:ind w:left="5998" w:hanging="567"/>
      </w:pPr>
      <w:rPr>
        <w:rFonts w:hint="default"/>
        <w:lang w:val="es-ES" w:eastAsia="en-US" w:bidi="ar-SA"/>
      </w:rPr>
    </w:lvl>
    <w:lvl w:ilvl="6" w:tplc="E6B6889E">
      <w:numFmt w:val="bullet"/>
      <w:lvlText w:val="•"/>
      <w:lvlJc w:val="left"/>
      <w:pPr>
        <w:ind w:left="6860" w:hanging="567"/>
      </w:pPr>
      <w:rPr>
        <w:rFonts w:hint="default"/>
        <w:lang w:val="es-ES" w:eastAsia="en-US" w:bidi="ar-SA"/>
      </w:rPr>
    </w:lvl>
    <w:lvl w:ilvl="7" w:tplc="8BD87656">
      <w:numFmt w:val="bullet"/>
      <w:lvlText w:val="•"/>
      <w:lvlJc w:val="left"/>
      <w:pPr>
        <w:ind w:left="7723" w:hanging="567"/>
      </w:pPr>
      <w:rPr>
        <w:rFonts w:hint="default"/>
        <w:lang w:val="es-ES" w:eastAsia="en-US" w:bidi="ar-SA"/>
      </w:rPr>
    </w:lvl>
    <w:lvl w:ilvl="8" w:tplc="24E25C6A">
      <w:numFmt w:val="bullet"/>
      <w:lvlText w:val="•"/>
      <w:lvlJc w:val="left"/>
      <w:pPr>
        <w:ind w:left="8586" w:hanging="567"/>
      </w:pPr>
      <w:rPr>
        <w:rFonts w:hint="default"/>
        <w:lang w:val="es-ES" w:eastAsia="en-US" w:bidi="ar-SA"/>
      </w:rPr>
    </w:lvl>
  </w:abstractNum>
  <w:abstractNum w:abstractNumId="6" w15:restartNumberingAfterBreak="0">
    <w:nsid w:val="092F08DA"/>
    <w:multiLevelType w:val="hybridMultilevel"/>
    <w:tmpl w:val="345C14F8"/>
    <w:lvl w:ilvl="0" w:tplc="6D967454">
      <w:start w:val="1"/>
      <w:numFmt w:val="upperLetter"/>
      <w:lvlText w:val="%1."/>
      <w:lvlJc w:val="left"/>
      <w:pPr>
        <w:ind w:left="1212" w:hanging="8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8A31BA"/>
    <w:multiLevelType w:val="hybridMultilevel"/>
    <w:tmpl w:val="00306BEE"/>
    <w:lvl w:ilvl="0" w:tplc="7D6C2270">
      <w:start w:val="41"/>
      <w:numFmt w:val="decimal"/>
      <w:lvlText w:val="%1."/>
      <w:lvlJc w:val="left"/>
      <w:pPr>
        <w:ind w:left="1626" w:hanging="360"/>
      </w:pPr>
      <w:rPr>
        <w:rFonts w:hint="default"/>
      </w:rPr>
    </w:lvl>
    <w:lvl w:ilvl="1" w:tplc="100A0019" w:tentative="1">
      <w:start w:val="1"/>
      <w:numFmt w:val="lowerLetter"/>
      <w:lvlText w:val="%2."/>
      <w:lvlJc w:val="left"/>
      <w:pPr>
        <w:ind w:left="2346" w:hanging="360"/>
      </w:pPr>
    </w:lvl>
    <w:lvl w:ilvl="2" w:tplc="100A001B" w:tentative="1">
      <w:start w:val="1"/>
      <w:numFmt w:val="lowerRoman"/>
      <w:lvlText w:val="%3."/>
      <w:lvlJc w:val="right"/>
      <w:pPr>
        <w:ind w:left="3066" w:hanging="180"/>
      </w:pPr>
    </w:lvl>
    <w:lvl w:ilvl="3" w:tplc="100A000F" w:tentative="1">
      <w:start w:val="1"/>
      <w:numFmt w:val="decimal"/>
      <w:lvlText w:val="%4."/>
      <w:lvlJc w:val="left"/>
      <w:pPr>
        <w:ind w:left="3786" w:hanging="360"/>
      </w:pPr>
    </w:lvl>
    <w:lvl w:ilvl="4" w:tplc="100A0019" w:tentative="1">
      <w:start w:val="1"/>
      <w:numFmt w:val="lowerLetter"/>
      <w:lvlText w:val="%5."/>
      <w:lvlJc w:val="left"/>
      <w:pPr>
        <w:ind w:left="4506" w:hanging="360"/>
      </w:pPr>
    </w:lvl>
    <w:lvl w:ilvl="5" w:tplc="100A001B" w:tentative="1">
      <w:start w:val="1"/>
      <w:numFmt w:val="lowerRoman"/>
      <w:lvlText w:val="%6."/>
      <w:lvlJc w:val="right"/>
      <w:pPr>
        <w:ind w:left="5226" w:hanging="180"/>
      </w:pPr>
    </w:lvl>
    <w:lvl w:ilvl="6" w:tplc="100A000F" w:tentative="1">
      <w:start w:val="1"/>
      <w:numFmt w:val="decimal"/>
      <w:lvlText w:val="%7."/>
      <w:lvlJc w:val="left"/>
      <w:pPr>
        <w:ind w:left="5946" w:hanging="360"/>
      </w:pPr>
    </w:lvl>
    <w:lvl w:ilvl="7" w:tplc="100A0019" w:tentative="1">
      <w:start w:val="1"/>
      <w:numFmt w:val="lowerLetter"/>
      <w:lvlText w:val="%8."/>
      <w:lvlJc w:val="left"/>
      <w:pPr>
        <w:ind w:left="6666" w:hanging="360"/>
      </w:pPr>
    </w:lvl>
    <w:lvl w:ilvl="8" w:tplc="100A001B" w:tentative="1">
      <w:start w:val="1"/>
      <w:numFmt w:val="lowerRoman"/>
      <w:lvlText w:val="%9."/>
      <w:lvlJc w:val="right"/>
      <w:pPr>
        <w:ind w:left="7386" w:hanging="180"/>
      </w:pPr>
    </w:lvl>
  </w:abstractNum>
  <w:abstractNum w:abstractNumId="8"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12010D92"/>
    <w:multiLevelType w:val="hybridMultilevel"/>
    <w:tmpl w:val="198C7C5A"/>
    <w:lvl w:ilvl="0" w:tplc="F202F950">
      <w:start w:val="1"/>
      <w:numFmt w:val="decimal"/>
      <w:lvlText w:val="%1."/>
      <w:lvlJc w:val="left"/>
      <w:pPr>
        <w:ind w:left="720" w:hanging="360"/>
      </w:pPr>
    </w:lvl>
    <w:lvl w:ilvl="1" w:tplc="3C169608">
      <w:start w:val="1"/>
      <w:numFmt w:val="lowerLetter"/>
      <w:lvlText w:val="%2."/>
      <w:lvlJc w:val="left"/>
      <w:pPr>
        <w:ind w:left="1440" w:hanging="360"/>
      </w:pPr>
    </w:lvl>
    <w:lvl w:ilvl="2" w:tplc="33B03D7E">
      <w:start w:val="1"/>
      <w:numFmt w:val="lowerRoman"/>
      <w:lvlText w:val="%3."/>
      <w:lvlJc w:val="right"/>
      <w:pPr>
        <w:ind w:left="2160" w:hanging="180"/>
      </w:pPr>
    </w:lvl>
    <w:lvl w:ilvl="3" w:tplc="5CC8BD50">
      <w:start w:val="1"/>
      <w:numFmt w:val="decimal"/>
      <w:lvlText w:val="%4."/>
      <w:lvlJc w:val="left"/>
      <w:pPr>
        <w:ind w:left="2880" w:hanging="360"/>
      </w:pPr>
    </w:lvl>
    <w:lvl w:ilvl="4" w:tplc="4BCC55CA">
      <w:start w:val="1"/>
      <w:numFmt w:val="lowerLetter"/>
      <w:lvlText w:val="%5."/>
      <w:lvlJc w:val="left"/>
      <w:pPr>
        <w:ind w:left="3600" w:hanging="360"/>
      </w:pPr>
    </w:lvl>
    <w:lvl w:ilvl="5" w:tplc="93F47E9C">
      <w:start w:val="1"/>
      <w:numFmt w:val="lowerRoman"/>
      <w:lvlText w:val="%6."/>
      <w:lvlJc w:val="right"/>
      <w:pPr>
        <w:ind w:left="4320" w:hanging="180"/>
      </w:pPr>
    </w:lvl>
    <w:lvl w:ilvl="6" w:tplc="8AF2FF7A">
      <w:start w:val="1"/>
      <w:numFmt w:val="decimal"/>
      <w:lvlText w:val="%7."/>
      <w:lvlJc w:val="left"/>
      <w:pPr>
        <w:ind w:left="5040" w:hanging="360"/>
      </w:pPr>
    </w:lvl>
    <w:lvl w:ilvl="7" w:tplc="B0BA51D4">
      <w:start w:val="1"/>
      <w:numFmt w:val="lowerLetter"/>
      <w:lvlText w:val="%8."/>
      <w:lvlJc w:val="left"/>
      <w:pPr>
        <w:ind w:left="5760" w:hanging="360"/>
      </w:pPr>
    </w:lvl>
    <w:lvl w:ilvl="8" w:tplc="A8C05C92">
      <w:start w:val="1"/>
      <w:numFmt w:val="lowerRoman"/>
      <w:lvlText w:val="%9."/>
      <w:lvlJc w:val="right"/>
      <w:pPr>
        <w:ind w:left="6480" w:hanging="180"/>
      </w:pPr>
    </w:lvl>
  </w:abstractNum>
  <w:abstractNum w:abstractNumId="10" w15:restartNumberingAfterBreak="0">
    <w:nsid w:val="14024165"/>
    <w:multiLevelType w:val="hybridMultilevel"/>
    <w:tmpl w:val="F8104074"/>
    <w:lvl w:ilvl="0" w:tplc="266ED098">
      <w:start w:val="1"/>
      <w:numFmt w:val="decimal"/>
      <w:lvlText w:val="%1."/>
      <w:lvlJc w:val="left"/>
      <w:pPr>
        <w:ind w:left="1440" w:hanging="360"/>
      </w:pPr>
    </w:lvl>
    <w:lvl w:ilvl="1" w:tplc="DD1CF506">
      <w:start w:val="1"/>
      <w:numFmt w:val="decimal"/>
      <w:lvlText w:val="%2."/>
      <w:lvlJc w:val="left"/>
      <w:pPr>
        <w:ind w:left="1440" w:hanging="360"/>
      </w:pPr>
    </w:lvl>
    <w:lvl w:ilvl="2" w:tplc="7D1051C4">
      <w:start w:val="1"/>
      <w:numFmt w:val="decimal"/>
      <w:lvlText w:val="%3."/>
      <w:lvlJc w:val="left"/>
      <w:pPr>
        <w:ind w:left="1440" w:hanging="360"/>
      </w:pPr>
    </w:lvl>
    <w:lvl w:ilvl="3" w:tplc="369A26FC">
      <w:start w:val="1"/>
      <w:numFmt w:val="decimal"/>
      <w:lvlText w:val="%4."/>
      <w:lvlJc w:val="left"/>
      <w:pPr>
        <w:ind w:left="1440" w:hanging="360"/>
      </w:pPr>
    </w:lvl>
    <w:lvl w:ilvl="4" w:tplc="1514234A">
      <w:start w:val="1"/>
      <w:numFmt w:val="decimal"/>
      <w:lvlText w:val="%5."/>
      <w:lvlJc w:val="left"/>
      <w:pPr>
        <w:ind w:left="1440" w:hanging="360"/>
      </w:pPr>
    </w:lvl>
    <w:lvl w:ilvl="5" w:tplc="4A667E3A">
      <w:start w:val="1"/>
      <w:numFmt w:val="decimal"/>
      <w:lvlText w:val="%6."/>
      <w:lvlJc w:val="left"/>
      <w:pPr>
        <w:ind w:left="1440" w:hanging="360"/>
      </w:pPr>
    </w:lvl>
    <w:lvl w:ilvl="6" w:tplc="E1F4E364">
      <w:start w:val="1"/>
      <w:numFmt w:val="decimal"/>
      <w:lvlText w:val="%7."/>
      <w:lvlJc w:val="left"/>
      <w:pPr>
        <w:ind w:left="1440" w:hanging="360"/>
      </w:pPr>
    </w:lvl>
    <w:lvl w:ilvl="7" w:tplc="1D688640">
      <w:start w:val="1"/>
      <w:numFmt w:val="decimal"/>
      <w:lvlText w:val="%8."/>
      <w:lvlJc w:val="left"/>
      <w:pPr>
        <w:ind w:left="1440" w:hanging="360"/>
      </w:pPr>
    </w:lvl>
    <w:lvl w:ilvl="8" w:tplc="A98A96AA">
      <w:start w:val="1"/>
      <w:numFmt w:val="decimal"/>
      <w:lvlText w:val="%9."/>
      <w:lvlJc w:val="left"/>
      <w:pPr>
        <w:ind w:left="1440" w:hanging="360"/>
      </w:pPr>
    </w:lvl>
  </w:abstractNum>
  <w:abstractNum w:abstractNumId="11" w15:restartNumberingAfterBreak="0">
    <w:nsid w:val="18326A02"/>
    <w:multiLevelType w:val="hybridMultilevel"/>
    <w:tmpl w:val="25580CD6"/>
    <w:lvl w:ilvl="0" w:tplc="B74211D8">
      <w:start w:val="1"/>
      <w:numFmt w:val="upperLetter"/>
      <w:lvlText w:val="%1."/>
      <w:lvlJc w:val="left"/>
      <w:pPr>
        <w:ind w:left="1345" w:hanging="360"/>
        <w:jc w:val="right"/>
      </w:pPr>
      <w:rPr>
        <w:rFonts w:ascii="Times New Roman" w:eastAsia="Times New Roman" w:hAnsi="Times New Roman" w:cs="Times New Roman" w:hint="default"/>
        <w:b/>
        <w:bCs/>
        <w:color w:val="auto"/>
        <w:spacing w:val="-1"/>
        <w:w w:val="99"/>
        <w:sz w:val="24"/>
        <w:szCs w:val="24"/>
        <w:lang w:val="es-ES" w:eastAsia="en-US" w:bidi="ar-SA"/>
      </w:rPr>
    </w:lvl>
    <w:lvl w:ilvl="1" w:tplc="178233AE">
      <w:numFmt w:val="bullet"/>
      <w:lvlText w:val="•"/>
      <w:lvlJc w:val="left"/>
      <w:pPr>
        <w:ind w:left="2194" w:hanging="360"/>
      </w:pPr>
      <w:rPr>
        <w:rFonts w:hint="default"/>
        <w:lang w:val="es-ES" w:eastAsia="en-US" w:bidi="ar-SA"/>
      </w:rPr>
    </w:lvl>
    <w:lvl w:ilvl="2" w:tplc="E89E89AE">
      <w:numFmt w:val="bullet"/>
      <w:lvlText w:val="•"/>
      <w:lvlJc w:val="left"/>
      <w:pPr>
        <w:ind w:left="3049" w:hanging="360"/>
      </w:pPr>
      <w:rPr>
        <w:rFonts w:hint="default"/>
        <w:lang w:val="es-ES" w:eastAsia="en-US" w:bidi="ar-SA"/>
      </w:rPr>
    </w:lvl>
    <w:lvl w:ilvl="3" w:tplc="38569B18">
      <w:numFmt w:val="bullet"/>
      <w:lvlText w:val="•"/>
      <w:lvlJc w:val="left"/>
      <w:pPr>
        <w:ind w:left="3903" w:hanging="360"/>
      </w:pPr>
      <w:rPr>
        <w:rFonts w:hint="default"/>
        <w:lang w:val="es-ES" w:eastAsia="en-US" w:bidi="ar-SA"/>
      </w:rPr>
    </w:lvl>
    <w:lvl w:ilvl="4" w:tplc="5ACC98AC">
      <w:numFmt w:val="bullet"/>
      <w:lvlText w:val="•"/>
      <w:lvlJc w:val="left"/>
      <w:pPr>
        <w:ind w:left="4758" w:hanging="360"/>
      </w:pPr>
      <w:rPr>
        <w:rFonts w:hint="default"/>
        <w:lang w:val="es-ES" w:eastAsia="en-US" w:bidi="ar-SA"/>
      </w:rPr>
    </w:lvl>
    <w:lvl w:ilvl="5" w:tplc="AA46BD3A">
      <w:numFmt w:val="bullet"/>
      <w:lvlText w:val="•"/>
      <w:lvlJc w:val="left"/>
      <w:pPr>
        <w:ind w:left="5613" w:hanging="360"/>
      </w:pPr>
      <w:rPr>
        <w:rFonts w:hint="default"/>
        <w:lang w:val="es-ES" w:eastAsia="en-US" w:bidi="ar-SA"/>
      </w:rPr>
    </w:lvl>
    <w:lvl w:ilvl="6" w:tplc="F83CA706">
      <w:numFmt w:val="bullet"/>
      <w:lvlText w:val="•"/>
      <w:lvlJc w:val="left"/>
      <w:pPr>
        <w:ind w:left="6467" w:hanging="360"/>
      </w:pPr>
      <w:rPr>
        <w:rFonts w:hint="default"/>
        <w:lang w:val="es-ES" w:eastAsia="en-US" w:bidi="ar-SA"/>
      </w:rPr>
    </w:lvl>
    <w:lvl w:ilvl="7" w:tplc="051086F0">
      <w:numFmt w:val="bullet"/>
      <w:lvlText w:val="•"/>
      <w:lvlJc w:val="left"/>
      <w:pPr>
        <w:ind w:left="7322" w:hanging="360"/>
      </w:pPr>
      <w:rPr>
        <w:rFonts w:hint="default"/>
        <w:lang w:val="es-ES" w:eastAsia="en-US" w:bidi="ar-SA"/>
      </w:rPr>
    </w:lvl>
    <w:lvl w:ilvl="8" w:tplc="1CFE9662">
      <w:numFmt w:val="bullet"/>
      <w:lvlText w:val="•"/>
      <w:lvlJc w:val="left"/>
      <w:pPr>
        <w:ind w:left="8177" w:hanging="360"/>
      </w:pPr>
      <w:rPr>
        <w:rFonts w:hint="default"/>
        <w:lang w:val="es-ES" w:eastAsia="en-US" w:bidi="ar-SA"/>
      </w:rPr>
    </w:lvl>
  </w:abstractNum>
  <w:abstractNum w:abstractNumId="12" w15:restartNumberingAfterBreak="0">
    <w:nsid w:val="19F4649B"/>
    <w:multiLevelType w:val="hybridMultilevel"/>
    <w:tmpl w:val="CC4E7C22"/>
    <w:lvl w:ilvl="0" w:tplc="75B880F2">
      <w:start w:val="6"/>
      <w:numFmt w:val="decimal"/>
      <w:lvlText w:val="%1."/>
      <w:lvlJc w:val="left"/>
      <w:pPr>
        <w:ind w:left="2062" w:hanging="360"/>
      </w:pPr>
      <w:rPr>
        <w:rFonts w:asciiTheme="majorBidi" w:hAnsiTheme="majorBidi" w:cstheme="majorBidi" w:hint="default"/>
        <w:b w:val="0"/>
        <w:bCs w:val="0"/>
        <w:color w:val="auto"/>
        <w:sz w:val="20"/>
        <w:szCs w:val="20"/>
      </w:rPr>
    </w:lvl>
    <w:lvl w:ilvl="1" w:tplc="87846A7C">
      <w:start w:val="1"/>
      <w:numFmt w:val="lowerLetter"/>
      <w:lvlText w:val="%2)"/>
      <w:lvlJc w:val="left"/>
      <w:pPr>
        <w:ind w:left="2160" w:hanging="360"/>
      </w:pPr>
      <w:rPr>
        <w:b w:val="0"/>
        <w:bCs w:val="0"/>
      </w:rPr>
    </w:lvl>
    <w:lvl w:ilvl="2" w:tplc="100A001B">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13" w15:restartNumberingAfterBreak="0">
    <w:nsid w:val="1BA06FEB"/>
    <w:multiLevelType w:val="hybridMultilevel"/>
    <w:tmpl w:val="C5A008C0"/>
    <w:lvl w:ilvl="0" w:tplc="50565510">
      <w:start w:val="66"/>
      <w:numFmt w:val="decimal"/>
      <w:lvlText w:val="%1."/>
      <w:lvlJc w:val="left"/>
      <w:pPr>
        <w:ind w:left="1986" w:hanging="360"/>
      </w:pPr>
      <w:rPr>
        <w:rFonts w:hint="default"/>
      </w:rPr>
    </w:lvl>
    <w:lvl w:ilvl="1" w:tplc="100A0019" w:tentative="1">
      <w:start w:val="1"/>
      <w:numFmt w:val="lowerLetter"/>
      <w:lvlText w:val="%2."/>
      <w:lvlJc w:val="left"/>
      <w:pPr>
        <w:ind w:left="2706" w:hanging="360"/>
      </w:pPr>
    </w:lvl>
    <w:lvl w:ilvl="2" w:tplc="100A001B" w:tentative="1">
      <w:start w:val="1"/>
      <w:numFmt w:val="lowerRoman"/>
      <w:lvlText w:val="%3."/>
      <w:lvlJc w:val="right"/>
      <w:pPr>
        <w:ind w:left="3426" w:hanging="180"/>
      </w:pPr>
    </w:lvl>
    <w:lvl w:ilvl="3" w:tplc="100A000F" w:tentative="1">
      <w:start w:val="1"/>
      <w:numFmt w:val="decimal"/>
      <w:lvlText w:val="%4."/>
      <w:lvlJc w:val="left"/>
      <w:pPr>
        <w:ind w:left="4146" w:hanging="360"/>
      </w:pPr>
    </w:lvl>
    <w:lvl w:ilvl="4" w:tplc="100A0019" w:tentative="1">
      <w:start w:val="1"/>
      <w:numFmt w:val="lowerLetter"/>
      <w:lvlText w:val="%5."/>
      <w:lvlJc w:val="left"/>
      <w:pPr>
        <w:ind w:left="4866" w:hanging="360"/>
      </w:pPr>
    </w:lvl>
    <w:lvl w:ilvl="5" w:tplc="100A001B" w:tentative="1">
      <w:start w:val="1"/>
      <w:numFmt w:val="lowerRoman"/>
      <w:lvlText w:val="%6."/>
      <w:lvlJc w:val="right"/>
      <w:pPr>
        <w:ind w:left="5586" w:hanging="180"/>
      </w:pPr>
    </w:lvl>
    <w:lvl w:ilvl="6" w:tplc="100A000F" w:tentative="1">
      <w:start w:val="1"/>
      <w:numFmt w:val="decimal"/>
      <w:lvlText w:val="%7."/>
      <w:lvlJc w:val="left"/>
      <w:pPr>
        <w:ind w:left="6306" w:hanging="360"/>
      </w:pPr>
    </w:lvl>
    <w:lvl w:ilvl="7" w:tplc="100A0019" w:tentative="1">
      <w:start w:val="1"/>
      <w:numFmt w:val="lowerLetter"/>
      <w:lvlText w:val="%8."/>
      <w:lvlJc w:val="left"/>
      <w:pPr>
        <w:ind w:left="7026" w:hanging="360"/>
      </w:pPr>
    </w:lvl>
    <w:lvl w:ilvl="8" w:tplc="100A001B" w:tentative="1">
      <w:start w:val="1"/>
      <w:numFmt w:val="lowerRoman"/>
      <w:lvlText w:val="%9."/>
      <w:lvlJc w:val="right"/>
      <w:pPr>
        <w:ind w:left="7746" w:hanging="180"/>
      </w:pPr>
    </w:lvl>
  </w:abstractNum>
  <w:abstractNum w:abstractNumId="14" w15:restartNumberingAfterBreak="0">
    <w:nsid w:val="1D4B0AAB"/>
    <w:multiLevelType w:val="hybridMultilevel"/>
    <w:tmpl w:val="5936C6F6"/>
    <w:lvl w:ilvl="0" w:tplc="91C6C2F2">
      <w:start w:val="7"/>
      <w:numFmt w:val="upperRoman"/>
      <w:lvlText w:val="%1."/>
      <w:lvlJc w:val="left"/>
      <w:pPr>
        <w:ind w:left="1986" w:hanging="720"/>
      </w:pPr>
      <w:rPr>
        <w:rFonts w:hint="default"/>
      </w:rPr>
    </w:lvl>
    <w:lvl w:ilvl="1" w:tplc="100A0019">
      <w:start w:val="1"/>
      <w:numFmt w:val="lowerLetter"/>
      <w:lvlText w:val="%2."/>
      <w:lvlJc w:val="left"/>
      <w:pPr>
        <w:ind w:left="2346" w:hanging="360"/>
      </w:pPr>
    </w:lvl>
    <w:lvl w:ilvl="2" w:tplc="100A001B" w:tentative="1">
      <w:start w:val="1"/>
      <w:numFmt w:val="lowerRoman"/>
      <w:lvlText w:val="%3."/>
      <w:lvlJc w:val="right"/>
      <w:pPr>
        <w:ind w:left="3066" w:hanging="180"/>
      </w:pPr>
    </w:lvl>
    <w:lvl w:ilvl="3" w:tplc="100A000F" w:tentative="1">
      <w:start w:val="1"/>
      <w:numFmt w:val="decimal"/>
      <w:lvlText w:val="%4."/>
      <w:lvlJc w:val="left"/>
      <w:pPr>
        <w:ind w:left="3786" w:hanging="360"/>
      </w:pPr>
    </w:lvl>
    <w:lvl w:ilvl="4" w:tplc="100A0019" w:tentative="1">
      <w:start w:val="1"/>
      <w:numFmt w:val="lowerLetter"/>
      <w:lvlText w:val="%5."/>
      <w:lvlJc w:val="left"/>
      <w:pPr>
        <w:ind w:left="4506" w:hanging="360"/>
      </w:pPr>
    </w:lvl>
    <w:lvl w:ilvl="5" w:tplc="100A001B" w:tentative="1">
      <w:start w:val="1"/>
      <w:numFmt w:val="lowerRoman"/>
      <w:lvlText w:val="%6."/>
      <w:lvlJc w:val="right"/>
      <w:pPr>
        <w:ind w:left="5226" w:hanging="180"/>
      </w:pPr>
    </w:lvl>
    <w:lvl w:ilvl="6" w:tplc="100A000F" w:tentative="1">
      <w:start w:val="1"/>
      <w:numFmt w:val="decimal"/>
      <w:lvlText w:val="%7."/>
      <w:lvlJc w:val="left"/>
      <w:pPr>
        <w:ind w:left="5946" w:hanging="360"/>
      </w:pPr>
    </w:lvl>
    <w:lvl w:ilvl="7" w:tplc="100A0019" w:tentative="1">
      <w:start w:val="1"/>
      <w:numFmt w:val="lowerLetter"/>
      <w:lvlText w:val="%8."/>
      <w:lvlJc w:val="left"/>
      <w:pPr>
        <w:ind w:left="6666" w:hanging="360"/>
      </w:pPr>
    </w:lvl>
    <w:lvl w:ilvl="8" w:tplc="100A001B" w:tentative="1">
      <w:start w:val="1"/>
      <w:numFmt w:val="lowerRoman"/>
      <w:lvlText w:val="%9."/>
      <w:lvlJc w:val="right"/>
      <w:pPr>
        <w:ind w:left="7386" w:hanging="180"/>
      </w:pPr>
    </w:lvl>
  </w:abstractNum>
  <w:abstractNum w:abstractNumId="15"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2937B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1E3D8CC1"/>
    <w:multiLevelType w:val="hybridMultilevel"/>
    <w:tmpl w:val="FFFFFFFF"/>
    <w:lvl w:ilvl="0" w:tplc="A8125074">
      <w:start w:val="6"/>
      <w:numFmt w:val="decimal"/>
      <w:lvlText w:val="%1."/>
      <w:lvlJc w:val="left"/>
      <w:pPr>
        <w:ind w:left="720" w:hanging="360"/>
      </w:pPr>
    </w:lvl>
    <w:lvl w:ilvl="1" w:tplc="F400512A">
      <w:start w:val="1"/>
      <w:numFmt w:val="lowerLetter"/>
      <w:lvlText w:val="%2."/>
      <w:lvlJc w:val="left"/>
      <w:pPr>
        <w:ind w:left="1440" w:hanging="360"/>
      </w:pPr>
    </w:lvl>
    <w:lvl w:ilvl="2" w:tplc="2E40D09E">
      <w:start w:val="1"/>
      <w:numFmt w:val="lowerRoman"/>
      <w:lvlText w:val="%3."/>
      <w:lvlJc w:val="right"/>
      <w:pPr>
        <w:ind w:left="2160" w:hanging="180"/>
      </w:pPr>
    </w:lvl>
    <w:lvl w:ilvl="3" w:tplc="CE66CFD8">
      <w:start w:val="1"/>
      <w:numFmt w:val="decimal"/>
      <w:lvlText w:val="%4."/>
      <w:lvlJc w:val="left"/>
      <w:pPr>
        <w:ind w:left="2880" w:hanging="360"/>
      </w:pPr>
    </w:lvl>
    <w:lvl w:ilvl="4" w:tplc="1F9864EE">
      <w:start w:val="1"/>
      <w:numFmt w:val="lowerLetter"/>
      <w:lvlText w:val="%5."/>
      <w:lvlJc w:val="left"/>
      <w:pPr>
        <w:ind w:left="3600" w:hanging="360"/>
      </w:pPr>
    </w:lvl>
    <w:lvl w:ilvl="5" w:tplc="81460376">
      <w:start w:val="1"/>
      <w:numFmt w:val="lowerRoman"/>
      <w:lvlText w:val="%6."/>
      <w:lvlJc w:val="right"/>
      <w:pPr>
        <w:ind w:left="4320" w:hanging="180"/>
      </w:pPr>
    </w:lvl>
    <w:lvl w:ilvl="6" w:tplc="0D92F48E">
      <w:start w:val="1"/>
      <w:numFmt w:val="decimal"/>
      <w:lvlText w:val="%7."/>
      <w:lvlJc w:val="left"/>
      <w:pPr>
        <w:ind w:left="5040" w:hanging="360"/>
      </w:pPr>
    </w:lvl>
    <w:lvl w:ilvl="7" w:tplc="9E70BD8E">
      <w:start w:val="1"/>
      <w:numFmt w:val="lowerLetter"/>
      <w:lvlText w:val="%8."/>
      <w:lvlJc w:val="left"/>
      <w:pPr>
        <w:ind w:left="5760" w:hanging="360"/>
      </w:pPr>
    </w:lvl>
    <w:lvl w:ilvl="8" w:tplc="95123946">
      <w:start w:val="1"/>
      <w:numFmt w:val="lowerRoman"/>
      <w:lvlText w:val="%9."/>
      <w:lvlJc w:val="right"/>
      <w:pPr>
        <w:ind w:left="6480" w:hanging="180"/>
      </w:pPr>
    </w:lvl>
  </w:abstractNum>
  <w:abstractNum w:abstractNumId="18" w15:restartNumberingAfterBreak="0">
    <w:nsid w:val="2129529E"/>
    <w:multiLevelType w:val="hybridMultilevel"/>
    <w:tmpl w:val="A8D0A486"/>
    <w:lvl w:ilvl="0" w:tplc="2B2A6CC0">
      <w:start w:val="1"/>
      <w:numFmt w:val="decimal"/>
      <w:lvlText w:val="%1."/>
      <w:lvlJc w:val="left"/>
      <w:pPr>
        <w:ind w:left="1854" w:hanging="360"/>
      </w:pPr>
      <w:rPr>
        <w:rFonts w:ascii="Times New Roman" w:hAnsi="Times New Roman" w:cs="Times New Roman" w:hint="default"/>
        <w:b w:val="0"/>
        <w:bCs/>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220E25C9"/>
    <w:multiLevelType w:val="hybridMultilevel"/>
    <w:tmpl w:val="B366CEC4"/>
    <w:lvl w:ilvl="0" w:tplc="2974CA50">
      <w:start w:val="1"/>
      <w:numFmt w:val="upperLetter"/>
      <w:lvlText w:val="%1."/>
      <w:lvlJc w:val="left"/>
      <w:pPr>
        <w:ind w:left="1212" w:hanging="8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726DE9"/>
    <w:multiLevelType w:val="hybridMultilevel"/>
    <w:tmpl w:val="7DACA40C"/>
    <w:lvl w:ilvl="0" w:tplc="A07C21FE">
      <w:start w:val="1"/>
      <w:numFmt w:val="upperLetter"/>
      <w:lvlText w:val="%1."/>
      <w:lvlJc w:val="left"/>
      <w:pPr>
        <w:ind w:left="9150" w:hanging="852"/>
      </w:pPr>
      <w:rPr>
        <w:rFonts w:hint="default"/>
      </w:rPr>
    </w:lvl>
    <w:lvl w:ilvl="1" w:tplc="08090019">
      <w:start w:val="1"/>
      <w:numFmt w:val="lowerLetter"/>
      <w:lvlText w:val="%2."/>
      <w:lvlJc w:val="left"/>
      <w:pPr>
        <w:ind w:left="9378" w:hanging="360"/>
      </w:pPr>
    </w:lvl>
    <w:lvl w:ilvl="2" w:tplc="0809001B" w:tentative="1">
      <w:start w:val="1"/>
      <w:numFmt w:val="lowerRoman"/>
      <w:lvlText w:val="%3."/>
      <w:lvlJc w:val="right"/>
      <w:pPr>
        <w:ind w:left="10098" w:hanging="180"/>
      </w:pPr>
    </w:lvl>
    <w:lvl w:ilvl="3" w:tplc="0809000F" w:tentative="1">
      <w:start w:val="1"/>
      <w:numFmt w:val="decimal"/>
      <w:lvlText w:val="%4."/>
      <w:lvlJc w:val="left"/>
      <w:pPr>
        <w:ind w:left="10818" w:hanging="360"/>
      </w:pPr>
    </w:lvl>
    <w:lvl w:ilvl="4" w:tplc="08090019" w:tentative="1">
      <w:start w:val="1"/>
      <w:numFmt w:val="lowerLetter"/>
      <w:lvlText w:val="%5."/>
      <w:lvlJc w:val="left"/>
      <w:pPr>
        <w:ind w:left="11538" w:hanging="360"/>
      </w:pPr>
    </w:lvl>
    <w:lvl w:ilvl="5" w:tplc="0809001B" w:tentative="1">
      <w:start w:val="1"/>
      <w:numFmt w:val="lowerRoman"/>
      <w:lvlText w:val="%6."/>
      <w:lvlJc w:val="right"/>
      <w:pPr>
        <w:ind w:left="12258" w:hanging="180"/>
      </w:pPr>
    </w:lvl>
    <w:lvl w:ilvl="6" w:tplc="0809000F" w:tentative="1">
      <w:start w:val="1"/>
      <w:numFmt w:val="decimal"/>
      <w:lvlText w:val="%7."/>
      <w:lvlJc w:val="left"/>
      <w:pPr>
        <w:ind w:left="12978" w:hanging="360"/>
      </w:pPr>
    </w:lvl>
    <w:lvl w:ilvl="7" w:tplc="08090019" w:tentative="1">
      <w:start w:val="1"/>
      <w:numFmt w:val="lowerLetter"/>
      <w:lvlText w:val="%8."/>
      <w:lvlJc w:val="left"/>
      <w:pPr>
        <w:ind w:left="13698" w:hanging="360"/>
      </w:pPr>
    </w:lvl>
    <w:lvl w:ilvl="8" w:tplc="0809001B" w:tentative="1">
      <w:start w:val="1"/>
      <w:numFmt w:val="lowerRoman"/>
      <w:lvlText w:val="%9."/>
      <w:lvlJc w:val="right"/>
      <w:pPr>
        <w:ind w:left="14418" w:hanging="180"/>
      </w:pPr>
    </w:lvl>
  </w:abstractNum>
  <w:abstractNum w:abstractNumId="21" w15:restartNumberingAfterBreak="0">
    <w:nsid w:val="28BB4FB6"/>
    <w:multiLevelType w:val="hybridMultilevel"/>
    <w:tmpl w:val="799828CE"/>
    <w:lvl w:ilvl="0" w:tplc="2FF051F6">
      <w:start w:val="99"/>
      <w:numFmt w:val="decimal"/>
      <w:lvlText w:val="%1."/>
      <w:lvlJc w:val="left"/>
      <w:pPr>
        <w:ind w:left="1211" w:hanging="360"/>
      </w:pPr>
      <w:rPr>
        <w:rFonts w:hint="default"/>
      </w:rPr>
    </w:lvl>
    <w:lvl w:ilvl="1" w:tplc="100A0019">
      <w:start w:val="1"/>
      <w:numFmt w:val="lowerLetter"/>
      <w:lvlText w:val="%2."/>
      <w:lvlJc w:val="left"/>
      <w:pPr>
        <w:ind w:left="2346" w:hanging="360"/>
      </w:pPr>
    </w:lvl>
    <w:lvl w:ilvl="2" w:tplc="100A001B" w:tentative="1">
      <w:start w:val="1"/>
      <w:numFmt w:val="lowerRoman"/>
      <w:lvlText w:val="%3."/>
      <w:lvlJc w:val="right"/>
      <w:pPr>
        <w:ind w:left="3066" w:hanging="180"/>
      </w:pPr>
    </w:lvl>
    <w:lvl w:ilvl="3" w:tplc="100A000F" w:tentative="1">
      <w:start w:val="1"/>
      <w:numFmt w:val="decimal"/>
      <w:lvlText w:val="%4."/>
      <w:lvlJc w:val="left"/>
      <w:pPr>
        <w:ind w:left="3786" w:hanging="360"/>
      </w:pPr>
    </w:lvl>
    <w:lvl w:ilvl="4" w:tplc="100A0019" w:tentative="1">
      <w:start w:val="1"/>
      <w:numFmt w:val="lowerLetter"/>
      <w:lvlText w:val="%5."/>
      <w:lvlJc w:val="left"/>
      <w:pPr>
        <w:ind w:left="4506" w:hanging="360"/>
      </w:pPr>
    </w:lvl>
    <w:lvl w:ilvl="5" w:tplc="100A001B" w:tentative="1">
      <w:start w:val="1"/>
      <w:numFmt w:val="lowerRoman"/>
      <w:lvlText w:val="%6."/>
      <w:lvlJc w:val="right"/>
      <w:pPr>
        <w:ind w:left="5226" w:hanging="180"/>
      </w:pPr>
    </w:lvl>
    <w:lvl w:ilvl="6" w:tplc="100A000F" w:tentative="1">
      <w:start w:val="1"/>
      <w:numFmt w:val="decimal"/>
      <w:lvlText w:val="%7."/>
      <w:lvlJc w:val="left"/>
      <w:pPr>
        <w:ind w:left="5946" w:hanging="360"/>
      </w:pPr>
    </w:lvl>
    <w:lvl w:ilvl="7" w:tplc="100A0019" w:tentative="1">
      <w:start w:val="1"/>
      <w:numFmt w:val="lowerLetter"/>
      <w:lvlText w:val="%8."/>
      <w:lvlJc w:val="left"/>
      <w:pPr>
        <w:ind w:left="6666" w:hanging="360"/>
      </w:pPr>
    </w:lvl>
    <w:lvl w:ilvl="8" w:tplc="100A001B" w:tentative="1">
      <w:start w:val="1"/>
      <w:numFmt w:val="lowerRoman"/>
      <w:lvlText w:val="%9."/>
      <w:lvlJc w:val="right"/>
      <w:pPr>
        <w:ind w:left="7386" w:hanging="180"/>
      </w:pPr>
    </w:lvl>
  </w:abstractNum>
  <w:abstractNum w:abstractNumId="22" w15:restartNumberingAfterBreak="0">
    <w:nsid w:val="2A0B1ED2"/>
    <w:multiLevelType w:val="hybridMultilevel"/>
    <w:tmpl w:val="47E2FB8A"/>
    <w:lvl w:ilvl="0" w:tplc="FFFFFFFF">
      <w:start w:val="1"/>
      <w:numFmt w:val="upperLetter"/>
      <w:lvlText w:val="%1."/>
      <w:lvlJc w:val="left"/>
      <w:pPr>
        <w:ind w:left="1266" w:hanging="514"/>
      </w:pPr>
      <w:rPr>
        <w:b/>
        <w:bCs/>
        <w:spacing w:val="-1"/>
        <w:w w:val="99"/>
        <w:sz w:val="24"/>
        <w:szCs w:val="24"/>
        <w:lang w:val="es-ES" w:eastAsia="en-US" w:bidi="ar-SA"/>
      </w:rPr>
    </w:lvl>
    <w:lvl w:ilvl="1" w:tplc="113C9510">
      <w:numFmt w:val="bullet"/>
      <w:lvlText w:val="•"/>
      <w:lvlJc w:val="left"/>
      <w:pPr>
        <w:ind w:left="2122" w:hanging="514"/>
      </w:pPr>
      <w:rPr>
        <w:rFonts w:hint="default"/>
        <w:lang w:val="es-ES" w:eastAsia="en-US" w:bidi="ar-SA"/>
      </w:rPr>
    </w:lvl>
    <w:lvl w:ilvl="2" w:tplc="1422D9CC">
      <w:numFmt w:val="bullet"/>
      <w:lvlText w:val="•"/>
      <w:lvlJc w:val="left"/>
      <w:pPr>
        <w:ind w:left="2985" w:hanging="514"/>
      </w:pPr>
      <w:rPr>
        <w:rFonts w:hint="default"/>
        <w:lang w:val="es-ES" w:eastAsia="en-US" w:bidi="ar-SA"/>
      </w:rPr>
    </w:lvl>
    <w:lvl w:ilvl="3" w:tplc="0666F698">
      <w:numFmt w:val="bullet"/>
      <w:lvlText w:val="•"/>
      <w:lvlJc w:val="left"/>
      <w:pPr>
        <w:ind w:left="3847" w:hanging="514"/>
      </w:pPr>
      <w:rPr>
        <w:rFonts w:hint="default"/>
        <w:lang w:val="es-ES" w:eastAsia="en-US" w:bidi="ar-SA"/>
      </w:rPr>
    </w:lvl>
    <w:lvl w:ilvl="4" w:tplc="BDEED93C">
      <w:numFmt w:val="bullet"/>
      <w:lvlText w:val="•"/>
      <w:lvlJc w:val="left"/>
      <w:pPr>
        <w:ind w:left="4710" w:hanging="514"/>
      </w:pPr>
      <w:rPr>
        <w:rFonts w:hint="default"/>
        <w:lang w:val="es-ES" w:eastAsia="en-US" w:bidi="ar-SA"/>
      </w:rPr>
    </w:lvl>
    <w:lvl w:ilvl="5" w:tplc="575E05BC">
      <w:numFmt w:val="bullet"/>
      <w:lvlText w:val="•"/>
      <w:lvlJc w:val="left"/>
      <w:pPr>
        <w:ind w:left="5573" w:hanging="514"/>
      </w:pPr>
      <w:rPr>
        <w:rFonts w:hint="default"/>
        <w:lang w:val="es-ES" w:eastAsia="en-US" w:bidi="ar-SA"/>
      </w:rPr>
    </w:lvl>
    <w:lvl w:ilvl="6" w:tplc="78D4F07E">
      <w:numFmt w:val="bullet"/>
      <w:lvlText w:val="•"/>
      <w:lvlJc w:val="left"/>
      <w:pPr>
        <w:ind w:left="6435" w:hanging="514"/>
      </w:pPr>
      <w:rPr>
        <w:rFonts w:hint="default"/>
        <w:lang w:val="es-ES" w:eastAsia="en-US" w:bidi="ar-SA"/>
      </w:rPr>
    </w:lvl>
    <w:lvl w:ilvl="7" w:tplc="A53A3894">
      <w:numFmt w:val="bullet"/>
      <w:lvlText w:val="•"/>
      <w:lvlJc w:val="left"/>
      <w:pPr>
        <w:ind w:left="7298" w:hanging="514"/>
      </w:pPr>
      <w:rPr>
        <w:rFonts w:hint="default"/>
        <w:lang w:val="es-ES" w:eastAsia="en-US" w:bidi="ar-SA"/>
      </w:rPr>
    </w:lvl>
    <w:lvl w:ilvl="8" w:tplc="E43EC1BC">
      <w:numFmt w:val="bullet"/>
      <w:lvlText w:val="•"/>
      <w:lvlJc w:val="left"/>
      <w:pPr>
        <w:ind w:left="8161" w:hanging="514"/>
      </w:pPr>
      <w:rPr>
        <w:rFonts w:hint="default"/>
        <w:lang w:val="es-ES" w:eastAsia="en-US" w:bidi="ar-SA"/>
      </w:rPr>
    </w:lvl>
  </w:abstractNum>
  <w:abstractNum w:abstractNumId="23" w15:restartNumberingAfterBreak="0">
    <w:nsid w:val="2AB75FE0"/>
    <w:multiLevelType w:val="hybridMultilevel"/>
    <w:tmpl w:val="F70666B6"/>
    <w:lvl w:ilvl="0" w:tplc="4380F22A">
      <w:start w:val="36"/>
      <w:numFmt w:val="decimal"/>
      <w:lvlText w:val="%1."/>
      <w:lvlJc w:val="left"/>
      <w:pPr>
        <w:ind w:left="1438" w:hanging="360"/>
      </w:pPr>
      <w:rPr>
        <w:rFonts w:hint="default"/>
        <w:sz w:val="20"/>
      </w:rPr>
    </w:lvl>
    <w:lvl w:ilvl="1" w:tplc="100A0019" w:tentative="1">
      <w:start w:val="1"/>
      <w:numFmt w:val="lowerLetter"/>
      <w:lvlText w:val="%2."/>
      <w:lvlJc w:val="left"/>
      <w:pPr>
        <w:ind w:left="2158" w:hanging="360"/>
      </w:pPr>
    </w:lvl>
    <w:lvl w:ilvl="2" w:tplc="100A001B" w:tentative="1">
      <w:start w:val="1"/>
      <w:numFmt w:val="lowerRoman"/>
      <w:lvlText w:val="%3."/>
      <w:lvlJc w:val="right"/>
      <w:pPr>
        <w:ind w:left="2878" w:hanging="180"/>
      </w:pPr>
    </w:lvl>
    <w:lvl w:ilvl="3" w:tplc="100A000F" w:tentative="1">
      <w:start w:val="1"/>
      <w:numFmt w:val="decimal"/>
      <w:lvlText w:val="%4."/>
      <w:lvlJc w:val="left"/>
      <w:pPr>
        <w:ind w:left="3598" w:hanging="360"/>
      </w:pPr>
    </w:lvl>
    <w:lvl w:ilvl="4" w:tplc="100A0019" w:tentative="1">
      <w:start w:val="1"/>
      <w:numFmt w:val="lowerLetter"/>
      <w:lvlText w:val="%5."/>
      <w:lvlJc w:val="left"/>
      <w:pPr>
        <w:ind w:left="4318" w:hanging="360"/>
      </w:pPr>
    </w:lvl>
    <w:lvl w:ilvl="5" w:tplc="100A001B" w:tentative="1">
      <w:start w:val="1"/>
      <w:numFmt w:val="lowerRoman"/>
      <w:lvlText w:val="%6."/>
      <w:lvlJc w:val="right"/>
      <w:pPr>
        <w:ind w:left="5038" w:hanging="180"/>
      </w:pPr>
    </w:lvl>
    <w:lvl w:ilvl="6" w:tplc="100A000F" w:tentative="1">
      <w:start w:val="1"/>
      <w:numFmt w:val="decimal"/>
      <w:lvlText w:val="%7."/>
      <w:lvlJc w:val="left"/>
      <w:pPr>
        <w:ind w:left="5758" w:hanging="360"/>
      </w:pPr>
    </w:lvl>
    <w:lvl w:ilvl="7" w:tplc="100A0019" w:tentative="1">
      <w:start w:val="1"/>
      <w:numFmt w:val="lowerLetter"/>
      <w:lvlText w:val="%8."/>
      <w:lvlJc w:val="left"/>
      <w:pPr>
        <w:ind w:left="6478" w:hanging="360"/>
      </w:pPr>
    </w:lvl>
    <w:lvl w:ilvl="8" w:tplc="100A001B" w:tentative="1">
      <w:start w:val="1"/>
      <w:numFmt w:val="lowerRoman"/>
      <w:lvlText w:val="%9."/>
      <w:lvlJc w:val="right"/>
      <w:pPr>
        <w:ind w:left="7198" w:hanging="180"/>
      </w:pPr>
    </w:lvl>
  </w:abstractNum>
  <w:abstractNum w:abstractNumId="24" w15:restartNumberingAfterBreak="0">
    <w:nsid w:val="2B81351D"/>
    <w:multiLevelType w:val="hybridMultilevel"/>
    <w:tmpl w:val="A42CA5AC"/>
    <w:lvl w:ilvl="0" w:tplc="580C5156">
      <w:start w:val="1"/>
      <w:numFmt w:val="upperLetter"/>
      <w:lvlText w:val="%1."/>
      <w:lvlJc w:val="left"/>
      <w:pPr>
        <w:ind w:left="1266" w:hanging="514"/>
      </w:pPr>
      <w:rPr>
        <w:rFonts w:ascii="Times New Roman" w:eastAsia="Times New Roman" w:hAnsi="Times New Roman" w:cs="Times New Roman" w:hint="default"/>
        <w:b/>
        <w:bCs/>
        <w:color w:val="auto"/>
        <w:spacing w:val="-1"/>
        <w:w w:val="99"/>
        <w:sz w:val="24"/>
        <w:szCs w:val="24"/>
        <w:lang w:val="es-ES" w:eastAsia="en-US" w:bidi="ar-SA"/>
      </w:rPr>
    </w:lvl>
    <w:lvl w:ilvl="1" w:tplc="BE520326">
      <w:numFmt w:val="bullet"/>
      <w:lvlText w:val="•"/>
      <w:lvlJc w:val="left"/>
      <w:pPr>
        <w:ind w:left="2122" w:hanging="514"/>
      </w:pPr>
      <w:rPr>
        <w:rFonts w:hint="default"/>
        <w:lang w:val="es-ES" w:eastAsia="en-US" w:bidi="ar-SA"/>
      </w:rPr>
    </w:lvl>
    <w:lvl w:ilvl="2" w:tplc="364429FA">
      <w:numFmt w:val="bullet"/>
      <w:lvlText w:val="•"/>
      <w:lvlJc w:val="left"/>
      <w:pPr>
        <w:ind w:left="2985" w:hanging="514"/>
      </w:pPr>
      <w:rPr>
        <w:rFonts w:hint="default"/>
        <w:lang w:val="es-ES" w:eastAsia="en-US" w:bidi="ar-SA"/>
      </w:rPr>
    </w:lvl>
    <w:lvl w:ilvl="3" w:tplc="DE8AF584">
      <w:numFmt w:val="bullet"/>
      <w:lvlText w:val="•"/>
      <w:lvlJc w:val="left"/>
      <w:pPr>
        <w:ind w:left="3847" w:hanging="514"/>
      </w:pPr>
      <w:rPr>
        <w:rFonts w:hint="default"/>
        <w:lang w:val="es-ES" w:eastAsia="en-US" w:bidi="ar-SA"/>
      </w:rPr>
    </w:lvl>
    <w:lvl w:ilvl="4" w:tplc="4FACFBE0">
      <w:numFmt w:val="bullet"/>
      <w:lvlText w:val="•"/>
      <w:lvlJc w:val="left"/>
      <w:pPr>
        <w:ind w:left="4710" w:hanging="514"/>
      </w:pPr>
      <w:rPr>
        <w:rFonts w:hint="default"/>
        <w:lang w:val="es-ES" w:eastAsia="en-US" w:bidi="ar-SA"/>
      </w:rPr>
    </w:lvl>
    <w:lvl w:ilvl="5" w:tplc="7150A076">
      <w:numFmt w:val="bullet"/>
      <w:lvlText w:val="•"/>
      <w:lvlJc w:val="left"/>
      <w:pPr>
        <w:ind w:left="5573" w:hanging="514"/>
      </w:pPr>
      <w:rPr>
        <w:rFonts w:hint="default"/>
        <w:lang w:val="es-ES" w:eastAsia="en-US" w:bidi="ar-SA"/>
      </w:rPr>
    </w:lvl>
    <w:lvl w:ilvl="6" w:tplc="5178DA0A">
      <w:numFmt w:val="bullet"/>
      <w:lvlText w:val="•"/>
      <w:lvlJc w:val="left"/>
      <w:pPr>
        <w:ind w:left="6435" w:hanging="514"/>
      </w:pPr>
      <w:rPr>
        <w:rFonts w:hint="default"/>
        <w:lang w:val="es-ES" w:eastAsia="en-US" w:bidi="ar-SA"/>
      </w:rPr>
    </w:lvl>
    <w:lvl w:ilvl="7" w:tplc="577C9AF8">
      <w:numFmt w:val="bullet"/>
      <w:lvlText w:val="•"/>
      <w:lvlJc w:val="left"/>
      <w:pPr>
        <w:ind w:left="7298" w:hanging="514"/>
      </w:pPr>
      <w:rPr>
        <w:rFonts w:hint="default"/>
        <w:lang w:val="es-ES" w:eastAsia="en-US" w:bidi="ar-SA"/>
      </w:rPr>
    </w:lvl>
    <w:lvl w:ilvl="8" w:tplc="8506BB26">
      <w:numFmt w:val="bullet"/>
      <w:lvlText w:val="•"/>
      <w:lvlJc w:val="left"/>
      <w:pPr>
        <w:ind w:left="8161" w:hanging="514"/>
      </w:pPr>
      <w:rPr>
        <w:rFonts w:hint="default"/>
        <w:lang w:val="es-ES" w:eastAsia="en-US" w:bidi="ar-SA"/>
      </w:rPr>
    </w:lvl>
  </w:abstractNum>
  <w:abstractNum w:abstractNumId="25" w15:restartNumberingAfterBreak="0">
    <w:nsid w:val="2D764D36"/>
    <w:multiLevelType w:val="hybridMultilevel"/>
    <w:tmpl w:val="4FA26202"/>
    <w:lvl w:ilvl="0" w:tplc="2FF051F6">
      <w:start w:val="35"/>
      <w:numFmt w:val="decimal"/>
      <w:lvlText w:val="%1."/>
      <w:lvlJc w:val="left"/>
      <w:pPr>
        <w:ind w:left="1626" w:hanging="360"/>
      </w:pPr>
      <w:rPr>
        <w:rFonts w:hint="default"/>
      </w:rPr>
    </w:lvl>
    <w:lvl w:ilvl="1" w:tplc="100A0019" w:tentative="1">
      <w:start w:val="1"/>
      <w:numFmt w:val="lowerLetter"/>
      <w:lvlText w:val="%2."/>
      <w:lvlJc w:val="left"/>
      <w:pPr>
        <w:ind w:left="2346" w:hanging="360"/>
      </w:pPr>
    </w:lvl>
    <w:lvl w:ilvl="2" w:tplc="100A001B" w:tentative="1">
      <w:start w:val="1"/>
      <w:numFmt w:val="lowerRoman"/>
      <w:lvlText w:val="%3."/>
      <w:lvlJc w:val="right"/>
      <w:pPr>
        <w:ind w:left="3066" w:hanging="180"/>
      </w:pPr>
    </w:lvl>
    <w:lvl w:ilvl="3" w:tplc="100A000F" w:tentative="1">
      <w:start w:val="1"/>
      <w:numFmt w:val="decimal"/>
      <w:lvlText w:val="%4."/>
      <w:lvlJc w:val="left"/>
      <w:pPr>
        <w:ind w:left="3786" w:hanging="360"/>
      </w:pPr>
    </w:lvl>
    <w:lvl w:ilvl="4" w:tplc="100A0019" w:tentative="1">
      <w:start w:val="1"/>
      <w:numFmt w:val="lowerLetter"/>
      <w:lvlText w:val="%5."/>
      <w:lvlJc w:val="left"/>
      <w:pPr>
        <w:ind w:left="4506" w:hanging="360"/>
      </w:pPr>
    </w:lvl>
    <w:lvl w:ilvl="5" w:tplc="100A001B" w:tentative="1">
      <w:start w:val="1"/>
      <w:numFmt w:val="lowerRoman"/>
      <w:lvlText w:val="%6."/>
      <w:lvlJc w:val="right"/>
      <w:pPr>
        <w:ind w:left="5226" w:hanging="180"/>
      </w:pPr>
    </w:lvl>
    <w:lvl w:ilvl="6" w:tplc="100A000F" w:tentative="1">
      <w:start w:val="1"/>
      <w:numFmt w:val="decimal"/>
      <w:lvlText w:val="%7."/>
      <w:lvlJc w:val="left"/>
      <w:pPr>
        <w:ind w:left="5946" w:hanging="360"/>
      </w:pPr>
    </w:lvl>
    <w:lvl w:ilvl="7" w:tplc="100A0019" w:tentative="1">
      <w:start w:val="1"/>
      <w:numFmt w:val="lowerLetter"/>
      <w:lvlText w:val="%8."/>
      <w:lvlJc w:val="left"/>
      <w:pPr>
        <w:ind w:left="6666" w:hanging="360"/>
      </w:pPr>
    </w:lvl>
    <w:lvl w:ilvl="8" w:tplc="100A001B" w:tentative="1">
      <w:start w:val="1"/>
      <w:numFmt w:val="lowerRoman"/>
      <w:lvlText w:val="%9."/>
      <w:lvlJc w:val="right"/>
      <w:pPr>
        <w:ind w:left="7386" w:hanging="180"/>
      </w:pPr>
    </w:lvl>
  </w:abstractNum>
  <w:abstractNum w:abstractNumId="2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973F43"/>
    <w:multiLevelType w:val="hybridMultilevel"/>
    <w:tmpl w:val="6122D0AA"/>
    <w:lvl w:ilvl="0" w:tplc="8A4CFA48">
      <w:start w:val="72"/>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36410BA2"/>
    <w:multiLevelType w:val="hybridMultilevel"/>
    <w:tmpl w:val="FB5CA136"/>
    <w:lvl w:ilvl="0" w:tplc="2974CA50">
      <w:start w:val="1"/>
      <w:numFmt w:val="upperLetter"/>
      <w:lvlText w:val="%1."/>
      <w:lvlJc w:val="left"/>
      <w:pPr>
        <w:ind w:left="1212" w:hanging="8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91470DD"/>
    <w:multiLevelType w:val="hybridMultilevel"/>
    <w:tmpl w:val="112C0614"/>
    <w:lvl w:ilvl="0" w:tplc="2FF051F6">
      <w:start w:val="75"/>
      <w:numFmt w:val="decimal"/>
      <w:lvlText w:val="%1."/>
      <w:lvlJc w:val="left"/>
      <w:pPr>
        <w:ind w:left="1626" w:hanging="360"/>
      </w:pPr>
      <w:rPr>
        <w:rFonts w:hint="default"/>
      </w:rPr>
    </w:lvl>
    <w:lvl w:ilvl="1" w:tplc="100A0019" w:tentative="1">
      <w:start w:val="1"/>
      <w:numFmt w:val="lowerLetter"/>
      <w:lvlText w:val="%2."/>
      <w:lvlJc w:val="left"/>
      <w:pPr>
        <w:ind w:left="2346" w:hanging="360"/>
      </w:pPr>
    </w:lvl>
    <w:lvl w:ilvl="2" w:tplc="100A001B" w:tentative="1">
      <w:start w:val="1"/>
      <w:numFmt w:val="lowerRoman"/>
      <w:lvlText w:val="%3."/>
      <w:lvlJc w:val="right"/>
      <w:pPr>
        <w:ind w:left="3066" w:hanging="180"/>
      </w:pPr>
    </w:lvl>
    <w:lvl w:ilvl="3" w:tplc="100A000F" w:tentative="1">
      <w:start w:val="1"/>
      <w:numFmt w:val="decimal"/>
      <w:lvlText w:val="%4."/>
      <w:lvlJc w:val="left"/>
      <w:pPr>
        <w:ind w:left="3786" w:hanging="360"/>
      </w:pPr>
    </w:lvl>
    <w:lvl w:ilvl="4" w:tplc="100A0019" w:tentative="1">
      <w:start w:val="1"/>
      <w:numFmt w:val="lowerLetter"/>
      <w:lvlText w:val="%5."/>
      <w:lvlJc w:val="left"/>
      <w:pPr>
        <w:ind w:left="4506" w:hanging="360"/>
      </w:pPr>
    </w:lvl>
    <w:lvl w:ilvl="5" w:tplc="100A001B" w:tentative="1">
      <w:start w:val="1"/>
      <w:numFmt w:val="lowerRoman"/>
      <w:lvlText w:val="%6."/>
      <w:lvlJc w:val="right"/>
      <w:pPr>
        <w:ind w:left="5226" w:hanging="180"/>
      </w:pPr>
    </w:lvl>
    <w:lvl w:ilvl="6" w:tplc="100A000F" w:tentative="1">
      <w:start w:val="1"/>
      <w:numFmt w:val="decimal"/>
      <w:lvlText w:val="%7."/>
      <w:lvlJc w:val="left"/>
      <w:pPr>
        <w:ind w:left="5946" w:hanging="360"/>
      </w:pPr>
    </w:lvl>
    <w:lvl w:ilvl="7" w:tplc="100A0019" w:tentative="1">
      <w:start w:val="1"/>
      <w:numFmt w:val="lowerLetter"/>
      <w:lvlText w:val="%8."/>
      <w:lvlJc w:val="left"/>
      <w:pPr>
        <w:ind w:left="6666" w:hanging="360"/>
      </w:pPr>
    </w:lvl>
    <w:lvl w:ilvl="8" w:tplc="100A001B" w:tentative="1">
      <w:start w:val="1"/>
      <w:numFmt w:val="lowerRoman"/>
      <w:lvlText w:val="%9."/>
      <w:lvlJc w:val="right"/>
      <w:pPr>
        <w:ind w:left="7386" w:hanging="180"/>
      </w:pPr>
    </w:lvl>
  </w:abstractNum>
  <w:abstractNum w:abstractNumId="30" w15:restartNumberingAfterBreak="0">
    <w:nsid w:val="3A55161B"/>
    <w:multiLevelType w:val="hybridMultilevel"/>
    <w:tmpl w:val="9E00E238"/>
    <w:lvl w:ilvl="0" w:tplc="7534C0B0">
      <w:start w:val="1"/>
      <w:numFmt w:val="upperRoman"/>
      <w:lvlText w:val="%1."/>
      <w:lvlJc w:val="left"/>
      <w:pPr>
        <w:ind w:left="718" w:hanging="435"/>
        <w:jc w:val="right"/>
      </w:pPr>
      <w:rPr>
        <w:rFonts w:hint="default"/>
        <w:b/>
        <w:bCs/>
        <w:w w:val="99"/>
        <w:lang w:val="es-ES" w:eastAsia="en-US" w:bidi="ar-SA"/>
      </w:rPr>
    </w:lvl>
    <w:lvl w:ilvl="1" w:tplc="3532448E">
      <w:start w:val="1"/>
      <w:numFmt w:val="decimal"/>
      <w:lvlText w:val="%2."/>
      <w:lvlJc w:val="left"/>
      <w:pPr>
        <w:ind w:left="1266" w:hanging="569"/>
      </w:pPr>
      <w:rPr>
        <w:rFonts w:ascii="Times New Roman" w:eastAsia="Times New Roman" w:hAnsi="Times New Roman" w:cs="Times New Roman" w:hint="default"/>
        <w:b w:val="0"/>
        <w:bCs/>
        <w:spacing w:val="0"/>
        <w:w w:val="99"/>
        <w:sz w:val="20"/>
        <w:szCs w:val="20"/>
        <w:lang w:val="es-ES" w:eastAsia="en-US" w:bidi="ar-SA"/>
      </w:rPr>
    </w:lvl>
    <w:lvl w:ilvl="2" w:tplc="E68C3924">
      <w:numFmt w:val="bullet"/>
      <w:lvlText w:val="•"/>
      <w:lvlJc w:val="left"/>
      <w:pPr>
        <w:ind w:left="2985" w:hanging="569"/>
      </w:pPr>
      <w:rPr>
        <w:rFonts w:hint="default"/>
        <w:lang w:val="es-ES" w:eastAsia="en-US" w:bidi="ar-SA"/>
      </w:rPr>
    </w:lvl>
    <w:lvl w:ilvl="3" w:tplc="991087D0">
      <w:numFmt w:val="bullet"/>
      <w:lvlText w:val="•"/>
      <w:lvlJc w:val="left"/>
      <w:pPr>
        <w:ind w:left="3847" w:hanging="569"/>
      </w:pPr>
      <w:rPr>
        <w:rFonts w:hint="default"/>
        <w:lang w:val="es-ES" w:eastAsia="en-US" w:bidi="ar-SA"/>
      </w:rPr>
    </w:lvl>
    <w:lvl w:ilvl="4" w:tplc="D40C5FEE">
      <w:numFmt w:val="bullet"/>
      <w:lvlText w:val="•"/>
      <w:lvlJc w:val="left"/>
      <w:pPr>
        <w:ind w:left="4710" w:hanging="569"/>
      </w:pPr>
      <w:rPr>
        <w:rFonts w:hint="default"/>
        <w:lang w:val="es-ES" w:eastAsia="en-US" w:bidi="ar-SA"/>
      </w:rPr>
    </w:lvl>
    <w:lvl w:ilvl="5" w:tplc="9D6A7514">
      <w:numFmt w:val="bullet"/>
      <w:lvlText w:val="•"/>
      <w:lvlJc w:val="left"/>
      <w:pPr>
        <w:ind w:left="5573" w:hanging="569"/>
      </w:pPr>
      <w:rPr>
        <w:rFonts w:hint="default"/>
        <w:lang w:val="es-ES" w:eastAsia="en-US" w:bidi="ar-SA"/>
      </w:rPr>
    </w:lvl>
    <w:lvl w:ilvl="6" w:tplc="EF1EF57C">
      <w:numFmt w:val="bullet"/>
      <w:lvlText w:val="•"/>
      <w:lvlJc w:val="left"/>
      <w:pPr>
        <w:ind w:left="6435" w:hanging="569"/>
      </w:pPr>
      <w:rPr>
        <w:rFonts w:hint="default"/>
        <w:lang w:val="es-ES" w:eastAsia="en-US" w:bidi="ar-SA"/>
      </w:rPr>
    </w:lvl>
    <w:lvl w:ilvl="7" w:tplc="2D92A5AE">
      <w:numFmt w:val="bullet"/>
      <w:lvlText w:val="•"/>
      <w:lvlJc w:val="left"/>
      <w:pPr>
        <w:ind w:left="7298" w:hanging="569"/>
      </w:pPr>
      <w:rPr>
        <w:rFonts w:hint="default"/>
        <w:lang w:val="es-ES" w:eastAsia="en-US" w:bidi="ar-SA"/>
      </w:rPr>
    </w:lvl>
    <w:lvl w:ilvl="8" w:tplc="73A049E6">
      <w:numFmt w:val="bullet"/>
      <w:lvlText w:val="•"/>
      <w:lvlJc w:val="left"/>
      <w:pPr>
        <w:ind w:left="8161" w:hanging="569"/>
      </w:pPr>
      <w:rPr>
        <w:rFonts w:hint="default"/>
        <w:lang w:val="es-ES" w:eastAsia="en-US" w:bidi="ar-SA"/>
      </w:rPr>
    </w:lvl>
  </w:abstractNum>
  <w:abstractNum w:abstractNumId="31" w15:restartNumberingAfterBreak="0">
    <w:nsid w:val="3DE70233"/>
    <w:multiLevelType w:val="hybridMultilevel"/>
    <w:tmpl w:val="10DAC090"/>
    <w:lvl w:ilvl="0" w:tplc="06042468">
      <w:start w:val="19"/>
      <w:numFmt w:val="decimal"/>
      <w:lvlText w:val="%1."/>
      <w:lvlJc w:val="left"/>
      <w:pPr>
        <w:ind w:left="1078" w:hanging="360"/>
      </w:pPr>
      <w:rPr>
        <w:rFonts w:hint="default"/>
      </w:rPr>
    </w:lvl>
    <w:lvl w:ilvl="1" w:tplc="100A0019" w:tentative="1">
      <w:start w:val="1"/>
      <w:numFmt w:val="lowerLetter"/>
      <w:lvlText w:val="%2."/>
      <w:lvlJc w:val="left"/>
      <w:pPr>
        <w:ind w:left="1798" w:hanging="360"/>
      </w:pPr>
    </w:lvl>
    <w:lvl w:ilvl="2" w:tplc="100A001B" w:tentative="1">
      <w:start w:val="1"/>
      <w:numFmt w:val="lowerRoman"/>
      <w:lvlText w:val="%3."/>
      <w:lvlJc w:val="right"/>
      <w:pPr>
        <w:ind w:left="2518" w:hanging="180"/>
      </w:pPr>
    </w:lvl>
    <w:lvl w:ilvl="3" w:tplc="100A000F" w:tentative="1">
      <w:start w:val="1"/>
      <w:numFmt w:val="decimal"/>
      <w:lvlText w:val="%4."/>
      <w:lvlJc w:val="left"/>
      <w:pPr>
        <w:ind w:left="3238" w:hanging="360"/>
      </w:pPr>
    </w:lvl>
    <w:lvl w:ilvl="4" w:tplc="100A0019" w:tentative="1">
      <w:start w:val="1"/>
      <w:numFmt w:val="lowerLetter"/>
      <w:lvlText w:val="%5."/>
      <w:lvlJc w:val="left"/>
      <w:pPr>
        <w:ind w:left="3958" w:hanging="360"/>
      </w:pPr>
    </w:lvl>
    <w:lvl w:ilvl="5" w:tplc="100A001B" w:tentative="1">
      <w:start w:val="1"/>
      <w:numFmt w:val="lowerRoman"/>
      <w:lvlText w:val="%6."/>
      <w:lvlJc w:val="right"/>
      <w:pPr>
        <w:ind w:left="4678" w:hanging="180"/>
      </w:pPr>
    </w:lvl>
    <w:lvl w:ilvl="6" w:tplc="100A000F" w:tentative="1">
      <w:start w:val="1"/>
      <w:numFmt w:val="decimal"/>
      <w:lvlText w:val="%7."/>
      <w:lvlJc w:val="left"/>
      <w:pPr>
        <w:ind w:left="5398" w:hanging="360"/>
      </w:pPr>
    </w:lvl>
    <w:lvl w:ilvl="7" w:tplc="100A0019" w:tentative="1">
      <w:start w:val="1"/>
      <w:numFmt w:val="lowerLetter"/>
      <w:lvlText w:val="%8."/>
      <w:lvlJc w:val="left"/>
      <w:pPr>
        <w:ind w:left="6118" w:hanging="360"/>
      </w:pPr>
    </w:lvl>
    <w:lvl w:ilvl="8" w:tplc="100A001B" w:tentative="1">
      <w:start w:val="1"/>
      <w:numFmt w:val="lowerRoman"/>
      <w:lvlText w:val="%9."/>
      <w:lvlJc w:val="right"/>
      <w:pPr>
        <w:ind w:left="6838" w:hanging="180"/>
      </w:pPr>
    </w:lvl>
  </w:abstractNum>
  <w:abstractNum w:abstractNumId="32" w15:restartNumberingAfterBreak="0">
    <w:nsid w:val="467D6A1B"/>
    <w:multiLevelType w:val="hybridMultilevel"/>
    <w:tmpl w:val="C3F8BD82"/>
    <w:lvl w:ilvl="0" w:tplc="100A000F">
      <w:start w:val="1"/>
      <w:numFmt w:val="decimal"/>
      <w:lvlText w:val="%1."/>
      <w:lvlJc w:val="left"/>
      <w:pPr>
        <w:ind w:left="1986" w:hanging="360"/>
      </w:pPr>
    </w:lvl>
    <w:lvl w:ilvl="1" w:tplc="100A0019" w:tentative="1">
      <w:start w:val="1"/>
      <w:numFmt w:val="lowerLetter"/>
      <w:lvlText w:val="%2."/>
      <w:lvlJc w:val="left"/>
      <w:pPr>
        <w:ind w:left="2706" w:hanging="360"/>
      </w:pPr>
    </w:lvl>
    <w:lvl w:ilvl="2" w:tplc="100A001B" w:tentative="1">
      <w:start w:val="1"/>
      <w:numFmt w:val="lowerRoman"/>
      <w:lvlText w:val="%3."/>
      <w:lvlJc w:val="right"/>
      <w:pPr>
        <w:ind w:left="3426" w:hanging="180"/>
      </w:pPr>
    </w:lvl>
    <w:lvl w:ilvl="3" w:tplc="100A000F" w:tentative="1">
      <w:start w:val="1"/>
      <w:numFmt w:val="decimal"/>
      <w:lvlText w:val="%4."/>
      <w:lvlJc w:val="left"/>
      <w:pPr>
        <w:ind w:left="4146" w:hanging="360"/>
      </w:pPr>
    </w:lvl>
    <w:lvl w:ilvl="4" w:tplc="100A0019" w:tentative="1">
      <w:start w:val="1"/>
      <w:numFmt w:val="lowerLetter"/>
      <w:lvlText w:val="%5."/>
      <w:lvlJc w:val="left"/>
      <w:pPr>
        <w:ind w:left="4866" w:hanging="360"/>
      </w:pPr>
    </w:lvl>
    <w:lvl w:ilvl="5" w:tplc="100A001B" w:tentative="1">
      <w:start w:val="1"/>
      <w:numFmt w:val="lowerRoman"/>
      <w:lvlText w:val="%6."/>
      <w:lvlJc w:val="right"/>
      <w:pPr>
        <w:ind w:left="5586" w:hanging="180"/>
      </w:pPr>
    </w:lvl>
    <w:lvl w:ilvl="6" w:tplc="100A000F" w:tentative="1">
      <w:start w:val="1"/>
      <w:numFmt w:val="decimal"/>
      <w:lvlText w:val="%7."/>
      <w:lvlJc w:val="left"/>
      <w:pPr>
        <w:ind w:left="6306" w:hanging="360"/>
      </w:pPr>
    </w:lvl>
    <w:lvl w:ilvl="7" w:tplc="100A0019" w:tentative="1">
      <w:start w:val="1"/>
      <w:numFmt w:val="lowerLetter"/>
      <w:lvlText w:val="%8."/>
      <w:lvlJc w:val="left"/>
      <w:pPr>
        <w:ind w:left="7026" w:hanging="360"/>
      </w:pPr>
    </w:lvl>
    <w:lvl w:ilvl="8" w:tplc="100A001B" w:tentative="1">
      <w:start w:val="1"/>
      <w:numFmt w:val="lowerRoman"/>
      <w:lvlText w:val="%9."/>
      <w:lvlJc w:val="right"/>
      <w:pPr>
        <w:ind w:left="7746" w:hanging="180"/>
      </w:pPr>
    </w:lvl>
  </w:abstractNum>
  <w:abstractNum w:abstractNumId="33" w15:restartNumberingAfterBreak="0">
    <w:nsid w:val="481F089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C146B25"/>
    <w:multiLevelType w:val="hybridMultilevel"/>
    <w:tmpl w:val="EF5C62EE"/>
    <w:lvl w:ilvl="0" w:tplc="08090017">
      <w:start w:val="1"/>
      <w:numFmt w:val="lowerLetter"/>
      <w:lvlText w:val="%1)"/>
      <w:lvlJc w:val="left"/>
      <w:pPr>
        <w:ind w:left="502"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5FB4B98"/>
    <w:multiLevelType w:val="hybridMultilevel"/>
    <w:tmpl w:val="5CB4E61C"/>
    <w:lvl w:ilvl="0" w:tplc="2FF051F6">
      <w:start w:val="55"/>
      <w:numFmt w:val="decimal"/>
      <w:lvlText w:val="%1."/>
      <w:lvlJc w:val="left"/>
      <w:pPr>
        <w:ind w:left="1626" w:hanging="360"/>
      </w:pPr>
      <w:rPr>
        <w:rFonts w:hint="default"/>
      </w:rPr>
    </w:lvl>
    <w:lvl w:ilvl="1" w:tplc="100A0019" w:tentative="1">
      <w:start w:val="1"/>
      <w:numFmt w:val="lowerLetter"/>
      <w:lvlText w:val="%2."/>
      <w:lvlJc w:val="left"/>
      <w:pPr>
        <w:ind w:left="2346" w:hanging="360"/>
      </w:pPr>
    </w:lvl>
    <w:lvl w:ilvl="2" w:tplc="100A001B" w:tentative="1">
      <w:start w:val="1"/>
      <w:numFmt w:val="lowerRoman"/>
      <w:lvlText w:val="%3."/>
      <w:lvlJc w:val="right"/>
      <w:pPr>
        <w:ind w:left="3066" w:hanging="180"/>
      </w:pPr>
    </w:lvl>
    <w:lvl w:ilvl="3" w:tplc="100A000F" w:tentative="1">
      <w:start w:val="1"/>
      <w:numFmt w:val="decimal"/>
      <w:lvlText w:val="%4."/>
      <w:lvlJc w:val="left"/>
      <w:pPr>
        <w:ind w:left="3786" w:hanging="360"/>
      </w:pPr>
    </w:lvl>
    <w:lvl w:ilvl="4" w:tplc="100A0019" w:tentative="1">
      <w:start w:val="1"/>
      <w:numFmt w:val="lowerLetter"/>
      <w:lvlText w:val="%5."/>
      <w:lvlJc w:val="left"/>
      <w:pPr>
        <w:ind w:left="4506" w:hanging="360"/>
      </w:pPr>
    </w:lvl>
    <w:lvl w:ilvl="5" w:tplc="100A001B" w:tentative="1">
      <w:start w:val="1"/>
      <w:numFmt w:val="lowerRoman"/>
      <w:lvlText w:val="%6."/>
      <w:lvlJc w:val="right"/>
      <w:pPr>
        <w:ind w:left="5226" w:hanging="180"/>
      </w:pPr>
    </w:lvl>
    <w:lvl w:ilvl="6" w:tplc="100A000F" w:tentative="1">
      <w:start w:val="1"/>
      <w:numFmt w:val="decimal"/>
      <w:lvlText w:val="%7."/>
      <w:lvlJc w:val="left"/>
      <w:pPr>
        <w:ind w:left="5946" w:hanging="360"/>
      </w:pPr>
    </w:lvl>
    <w:lvl w:ilvl="7" w:tplc="100A0019" w:tentative="1">
      <w:start w:val="1"/>
      <w:numFmt w:val="lowerLetter"/>
      <w:lvlText w:val="%8."/>
      <w:lvlJc w:val="left"/>
      <w:pPr>
        <w:ind w:left="6666" w:hanging="360"/>
      </w:pPr>
    </w:lvl>
    <w:lvl w:ilvl="8" w:tplc="100A001B" w:tentative="1">
      <w:start w:val="1"/>
      <w:numFmt w:val="lowerRoman"/>
      <w:lvlText w:val="%9."/>
      <w:lvlJc w:val="right"/>
      <w:pPr>
        <w:ind w:left="7386" w:hanging="180"/>
      </w:pPr>
    </w:lvl>
  </w:abstractNum>
  <w:abstractNum w:abstractNumId="36" w15:restartNumberingAfterBreak="0">
    <w:nsid w:val="59500F89"/>
    <w:multiLevelType w:val="hybridMultilevel"/>
    <w:tmpl w:val="1E50413E"/>
    <w:lvl w:ilvl="0" w:tplc="A8683BF8">
      <w:start w:val="4"/>
      <w:numFmt w:val="decimal"/>
      <w:lvlText w:val="%1."/>
      <w:lvlJc w:val="left"/>
      <w:pPr>
        <w:ind w:left="1626" w:hanging="360"/>
      </w:pPr>
      <w:rPr>
        <w:rFonts w:hint="default"/>
      </w:rPr>
    </w:lvl>
    <w:lvl w:ilvl="1" w:tplc="100A0019" w:tentative="1">
      <w:start w:val="1"/>
      <w:numFmt w:val="lowerLetter"/>
      <w:lvlText w:val="%2."/>
      <w:lvlJc w:val="left"/>
      <w:pPr>
        <w:ind w:left="2346" w:hanging="360"/>
      </w:pPr>
    </w:lvl>
    <w:lvl w:ilvl="2" w:tplc="100A001B" w:tentative="1">
      <w:start w:val="1"/>
      <w:numFmt w:val="lowerRoman"/>
      <w:lvlText w:val="%3."/>
      <w:lvlJc w:val="right"/>
      <w:pPr>
        <w:ind w:left="3066" w:hanging="180"/>
      </w:pPr>
    </w:lvl>
    <w:lvl w:ilvl="3" w:tplc="100A000F" w:tentative="1">
      <w:start w:val="1"/>
      <w:numFmt w:val="decimal"/>
      <w:lvlText w:val="%4."/>
      <w:lvlJc w:val="left"/>
      <w:pPr>
        <w:ind w:left="3786" w:hanging="360"/>
      </w:pPr>
    </w:lvl>
    <w:lvl w:ilvl="4" w:tplc="100A0019" w:tentative="1">
      <w:start w:val="1"/>
      <w:numFmt w:val="lowerLetter"/>
      <w:lvlText w:val="%5."/>
      <w:lvlJc w:val="left"/>
      <w:pPr>
        <w:ind w:left="4506" w:hanging="360"/>
      </w:pPr>
    </w:lvl>
    <w:lvl w:ilvl="5" w:tplc="100A001B" w:tentative="1">
      <w:start w:val="1"/>
      <w:numFmt w:val="lowerRoman"/>
      <w:lvlText w:val="%6."/>
      <w:lvlJc w:val="right"/>
      <w:pPr>
        <w:ind w:left="5226" w:hanging="180"/>
      </w:pPr>
    </w:lvl>
    <w:lvl w:ilvl="6" w:tplc="100A000F" w:tentative="1">
      <w:start w:val="1"/>
      <w:numFmt w:val="decimal"/>
      <w:lvlText w:val="%7."/>
      <w:lvlJc w:val="left"/>
      <w:pPr>
        <w:ind w:left="5946" w:hanging="360"/>
      </w:pPr>
    </w:lvl>
    <w:lvl w:ilvl="7" w:tplc="100A0019" w:tentative="1">
      <w:start w:val="1"/>
      <w:numFmt w:val="lowerLetter"/>
      <w:lvlText w:val="%8."/>
      <w:lvlJc w:val="left"/>
      <w:pPr>
        <w:ind w:left="6666" w:hanging="360"/>
      </w:pPr>
    </w:lvl>
    <w:lvl w:ilvl="8" w:tplc="100A001B" w:tentative="1">
      <w:start w:val="1"/>
      <w:numFmt w:val="lowerRoman"/>
      <w:lvlText w:val="%9."/>
      <w:lvlJc w:val="right"/>
      <w:pPr>
        <w:ind w:left="7386" w:hanging="180"/>
      </w:pPr>
    </w:lvl>
  </w:abstractNum>
  <w:abstractNum w:abstractNumId="37" w15:restartNumberingAfterBreak="0">
    <w:nsid w:val="60879352"/>
    <w:multiLevelType w:val="hybridMultilevel"/>
    <w:tmpl w:val="FFFFFFFF"/>
    <w:lvl w:ilvl="0" w:tplc="D5D607F2">
      <w:start w:val="6"/>
      <w:numFmt w:val="decimal"/>
      <w:lvlText w:val="%1."/>
      <w:lvlJc w:val="left"/>
      <w:pPr>
        <w:ind w:left="720" w:hanging="360"/>
      </w:pPr>
    </w:lvl>
    <w:lvl w:ilvl="1" w:tplc="484CDE30">
      <w:start w:val="1"/>
      <w:numFmt w:val="lowerLetter"/>
      <w:lvlText w:val="%2."/>
      <w:lvlJc w:val="left"/>
      <w:pPr>
        <w:ind w:left="1440" w:hanging="360"/>
      </w:pPr>
    </w:lvl>
    <w:lvl w:ilvl="2" w:tplc="69A40E5E">
      <w:start w:val="1"/>
      <w:numFmt w:val="lowerRoman"/>
      <w:lvlText w:val="%3."/>
      <w:lvlJc w:val="right"/>
      <w:pPr>
        <w:ind w:left="2160" w:hanging="180"/>
      </w:pPr>
    </w:lvl>
    <w:lvl w:ilvl="3" w:tplc="8048D0D2">
      <w:start w:val="1"/>
      <w:numFmt w:val="decimal"/>
      <w:lvlText w:val="%4."/>
      <w:lvlJc w:val="left"/>
      <w:pPr>
        <w:ind w:left="2880" w:hanging="360"/>
      </w:pPr>
    </w:lvl>
    <w:lvl w:ilvl="4" w:tplc="AD96E1A2">
      <w:start w:val="1"/>
      <w:numFmt w:val="lowerLetter"/>
      <w:lvlText w:val="%5."/>
      <w:lvlJc w:val="left"/>
      <w:pPr>
        <w:ind w:left="3600" w:hanging="360"/>
      </w:pPr>
    </w:lvl>
    <w:lvl w:ilvl="5" w:tplc="B9C2B6D8">
      <w:start w:val="1"/>
      <w:numFmt w:val="lowerRoman"/>
      <w:lvlText w:val="%6."/>
      <w:lvlJc w:val="right"/>
      <w:pPr>
        <w:ind w:left="4320" w:hanging="180"/>
      </w:pPr>
    </w:lvl>
    <w:lvl w:ilvl="6" w:tplc="308EFF90">
      <w:start w:val="1"/>
      <w:numFmt w:val="decimal"/>
      <w:lvlText w:val="%7."/>
      <w:lvlJc w:val="left"/>
      <w:pPr>
        <w:ind w:left="5040" w:hanging="360"/>
      </w:pPr>
    </w:lvl>
    <w:lvl w:ilvl="7" w:tplc="DB82CB18">
      <w:start w:val="1"/>
      <w:numFmt w:val="lowerLetter"/>
      <w:lvlText w:val="%8."/>
      <w:lvlJc w:val="left"/>
      <w:pPr>
        <w:ind w:left="5760" w:hanging="360"/>
      </w:pPr>
    </w:lvl>
    <w:lvl w:ilvl="8" w:tplc="E54ACBF8">
      <w:start w:val="1"/>
      <w:numFmt w:val="lowerRoman"/>
      <w:lvlText w:val="%9."/>
      <w:lvlJc w:val="right"/>
      <w:pPr>
        <w:ind w:left="6480" w:hanging="180"/>
      </w:pPr>
    </w:lvl>
  </w:abstractNum>
  <w:abstractNum w:abstractNumId="38" w15:restartNumberingAfterBreak="0">
    <w:nsid w:val="616115DB"/>
    <w:multiLevelType w:val="hybridMultilevel"/>
    <w:tmpl w:val="4656B8A4"/>
    <w:lvl w:ilvl="0" w:tplc="24E61176">
      <w:start w:val="31"/>
      <w:numFmt w:val="decimal"/>
      <w:lvlText w:val="%1."/>
      <w:lvlJc w:val="left"/>
      <w:pPr>
        <w:ind w:left="1440" w:hanging="360"/>
      </w:pPr>
      <w:rPr>
        <w:rFonts w:hint="default"/>
        <w:sz w:val="19"/>
      </w:r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39" w15:restartNumberingAfterBreak="0">
    <w:nsid w:val="62E820CC"/>
    <w:multiLevelType w:val="hybridMultilevel"/>
    <w:tmpl w:val="2906402A"/>
    <w:lvl w:ilvl="0" w:tplc="DAC8C100">
      <w:start w:val="1"/>
      <w:numFmt w:val="decimal"/>
      <w:lvlText w:val="%1."/>
      <w:lvlJc w:val="left"/>
      <w:pPr>
        <w:ind w:left="360" w:hanging="360"/>
      </w:pPr>
    </w:lvl>
    <w:lvl w:ilvl="1" w:tplc="C11CD9D2">
      <w:start w:val="1"/>
      <w:numFmt w:val="lowerLetter"/>
      <w:lvlText w:val="%2."/>
      <w:lvlJc w:val="left"/>
      <w:pPr>
        <w:ind w:left="1080" w:hanging="360"/>
      </w:pPr>
    </w:lvl>
    <w:lvl w:ilvl="2" w:tplc="CDDE3446">
      <w:start w:val="1"/>
      <w:numFmt w:val="lowerRoman"/>
      <w:lvlText w:val="%3."/>
      <w:lvlJc w:val="right"/>
      <w:pPr>
        <w:ind w:left="1800" w:hanging="180"/>
      </w:pPr>
    </w:lvl>
    <w:lvl w:ilvl="3" w:tplc="E41C9418">
      <w:start w:val="1"/>
      <w:numFmt w:val="decimal"/>
      <w:lvlText w:val="%4."/>
      <w:lvlJc w:val="left"/>
      <w:pPr>
        <w:ind w:left="2520" w:hanging="360"/>
      </w:pPr>
    </w:lvl>
    <w:lvl w:ilvl="4" w:tplc="F704F976">
      <w:start w:val="1"/>
      <w:numFmt w:val="lowerLetter"/>
      <w:lvlText w:val="%5."/>
      <w:lvlJc w:val="left"/>
      <w:pPr>
        <w:ind w:left="3240" w:hanging="360"/>
      </w:pPr>
    </w:lvl>
    <w:lvl w:ilvl="5" w:tplc="DE8665EC">
      <w:start w:val="1"/>
      <w:numFmt w:val="lowerRoman"/>
      <w:lvlText w:val="%6."/>
      <w:lvlJc w:val="right"/>
      <w:pPr>
        <w:ind w:left="3960" w:hanging="180"/>
      </w:pPr>
    </w:lvl>
    <w:lvl w:ilvl="6" w:tplc="92BCA8C4">
      <w:start w:val="1"/>
      <w:numFmt w:val="decimal"/>
      <w:lvlText w:val="%7."/>
      <w:lvlJc w:val="left"/>
      <w:pPr>
        <w:ind w:left="4680" w:hanging="360"/>
      </w:pPr>
    </w:lvl>
    <w:lvl w:ilvl="7" w:tplc="054C74E2">
      <w:start w:val="1"/>
      <w:numFmt w:val="lowerLetter"/>
      <w:lvlText w:val="%8."/>
      <w:lvlJc w:val="left"/>
      <w:pPr>
        <w:ind w:left="5400" w:hanging="360"/>
      </w:pPr>
    </w:lvl>
    <w:lvl w:ilvl="8" w:tplc="A4642ACA">
      <w:start w:val="1"/>
      <w:numFmt w:val="lowerRoman"/>
      <w:lvlText w:val="%9."/>
      <w:lvlJc w:val="right"/>
      <w:pPr>
        <w:ind w:left="6120" w:hanging="180"/>
      </w:pPr>
    </w:lvl>
  </w:abstractNum>
  <w:abstractNum w:abstractNumId="40" w15:restartNumberingAfterBreak="0">
    <w:nsid w:val="65471868"/>
    <w:multiLevelType w:val="hybridMultilevel"/>
    <w:tmpl w:val="405A097C"/>
    <w:lvl w:ilvl="0" w:tplc="FFFFFFFF">
      <w:start w:val="55"/>
      <w:numFmt w:val="decimal"/>
      <w:lvlText w:val="%1."/>
      <w:lvlJc w:val="left"/>
      <w:pPr>
        <w:ind w:left="1636" w:hanging="360"/>
      </w:pPr>
      <w:rPr>
        <w:rFonts w:hint="default"/>
      </w:rPr>
    </w:lvl>
    <w:lvl w:ilvl="1" w:tplc="FFFFFFFF" w:tentative="1">
      <w:start w:val="1"/>
      <w:numFmt w:val="lowerLetter"/>
      <w:lvlText w:val="%2."/>
      <w:lvlJc w:val="left"/>
      <w:pPr>
        <w:ind w:left="2346" w:hanging="360"/>
      </w:pPr>
    </w:lvl>
    <w:lvl w:ilvl="2" w:tplc="FFFFFFFF" w:tentative="1">
      <w:start w:val="1"/>
      <w:numFmt w:val="lowerRoman"/>
      <w:lvlText w:val="%3."/>
      <w:lvlJc w:val="right"/>
      <w:pPr>
        <w:ind w:left="3066" w:hanging="180"/>
      </w:pPr>
    </w:lvl>
    <w:lvl w:ilvl="3" w:tplc="FFFFFFFF" w:tentative="1">
      <w:start w:val="1"/>
      <w:numFmt w:val="decimal"/>
      <w:lvlText w:val="%4."/>
      <w:lvlJc w:val="left"/>
      <w:pPr>
        <w:ind w:left="3786" w:hanging="360"/>
      </w:pPr>
    </w:lvl>
    <w:lvl w:ilvl="4" w:tplc="FFFFFFFF" w:tentative="1">
      <w:start w:val="1"/>
      <w:numFmt w:val="lowerLetter"/>
      <w:lvlText w:val="%5."/>
      <w:lvlJc w:val="left"/>
      <w:pPr>
        <w:ind w:left="4506" w:hanging="360"/>
      </w:pPr>
    </w:lvl>
    <w:lvl w:ilvl="5" w:tplc="FFFFFFFF" w:tentative="1">
      <w:start w:val="1"/>
      <w:numFmt w:val="lowerRoman"/>
      <w:lvlText w:val="%6."/>
      <w:lvlJc w:val="right"/>
      <w:pPr>
        <w:ind w:left="5226" w:hanging="180"/>
      </w:pPr>
    </w:lvl>
    <w:lvl w:ilvl="6" w:tplc="FFFFFFFF" w:tentative="1">
      <w:start w:val="1"/>
      <w:numFmt w:val="decimal"/>
      <w:lvlText w:val="%7."/>
      <w:lvlJc w:val="left"/>
      <w:pPr>
        <w:ind w:left="5946" w:hanging="360"/>
      </w:pPr>
    </w:lvl>
    <w:lvl w:ilvl="7" w:tplc="FFFFFFFF" w:tentative="1">
      <w:start w:val="1"/>
      <w:numFmt w:val="lowerLetter"/>
      <w:lvlText w:val="%8."/>
      <w:lvlJc w:val="left"/>
      <w:pPr>
        <w:ind w:left="6666" w:hanging="360"/>
      </w:pPr>
    </w:lvl>
    <w:lvl w:ilvl="8" w:tplc="FFFFFFFF" w:tentative="1">
      <w:start w:val="1"/>
      <w:numFmt w:val="lowerRoman"/>
      <w:lvlText w:val="%9."/>
      <w:lvlJc w:val="right"/>
      <w:pPr>
        <w:ind w:left="7386" w:hanging="180"/>
      </w:pPr>
    </w:lvl>
  </w:abstractNum>
  <w:abstractNum w:abstractNumId="41" w15:restartNumberingAfterBreak="0">
    <w:nsid w:val="67406786"/>
    <w:multiLevelType w:val="hybridMultilevel"/>
    <w:tmpl w:val="B85E8B06"/>
    <w:lvl w:ilvl="0" w:tplc="08F612A6">
      <w:start w:val="1"/>
      <w:numFmt w:val="decimal"/>
      <w:lvlText w:val="%1."/>
      <w:lvlJc w:val="left"/>
      <w:pPr>
        <w:ind w:left="720" w:hanging="360"/>
      </w:pPr>
    </w:lvl>
    <w:lvl w:ilvl="1" w:tplc="CDE8BB32">
      <w:start w:val="1"/>
      <w:numFmt w:val="lowerLetter"/>
      <w:lvlText w:val="%2."/>
      <w:lvlJc w:val="left"/>
      <w:pPr>
        <w:ind w:left="1440" w:hanging="360"/>
      </w:pPr>
    </w:lvl>
    <w:lvl w:ilvl="2" w:tplc="070C9886">
      <w:start w:val="1"/>
      <w:numFmt w:val="lowerRoman"/>
      <w:lvlText w:val="%3."/>
      <w:lvlJc w:val="right"/>
      <w:pPr>
        <w:ind w:left="2160" w:hanging="180"/>
      </w:pPr>
    </w:lvl>
    <w:lvl w:ilvl="3" w:tplc="DEF871F2">
      <w:start w:val="1"/>
      <w:numFmt w:val="decimal"/>
      <w:lvlText w:val="%4."/>
      <w:lvlJc w:val="left"/>
      <w:pPr>
        <w:ind w:left="2880" w:hanging="360"/>
      </w:pPr>
    </w:lvl>
    <w:lvl w:ilvl="4" w:tplc="F5CC54C0">
      <w:start w:val="1"/>
      <w:numFmt w:val="lowerLetter"/>
      <w:lvlText w:val="%5."/>
      <w:lvlJc w:val="left"/>
      <w:pPr>
        <w:ind w:left="3600" w:hanging="360"/>
      </w:pPr>
    </w:lvl>
    <w:lvl w:ilvl="5" w:tplc="9B7C6FA4">
      <w:start w:val="1"/>
      <w:numFmt w:val="lowerRoman"/>
      <w:lvlText w:val="%6."/>
      <w:lvlJc w:val="right"/>
      <w:pPr>
        <w:ind w:left="4320" w:hanging="180"/>
      </w:pPr>
    </w:lvl>
    <w:lvl w:ilvl="6" w:tplc="5D7024F2">
      <w:start w:val="1"/>
      <w:numFmt w:val="decimal"/>
      <w:lvlText w:val="%7."/>
      <w:lvlJc w:val="left"/>
      <w:pPr>
        <w:ind w:left="5040" w:hanging="360"/>
      </w:pPr>
    </w:lvl>
    <w:lvl w:ilvl="7" w:tplc="B3C2B8B8">
      <w:start w:val="1"/>
      <w:numFmt w:val="lowerLetter"/>
      <w:lvlText w:val="%8."/>
      <w:lvlJc w:val="left"/>
      <w:pPr>
        <w:ind w:left="5760" w:hanging="360"/>
      </w:pPr>
    </w:lvl>
    <w:lvl w:ilvl="8" w:tplc="11461B4C">
      <w:start w:val="1"/>
      <w:numFmt w:val="lowerRoman"/>
      <w:lvlText w:val="%9."/>
      <w:lvlJc w:val="right"/>
      <w:pPr>
        <w:ind w:left="6480" w:hanging="180"/>
      </w:pPr>
    </w:lvl>
  </w:abstractNum>
  <w:abstractNum w:abstractNumId="42" w15:restartNumberingAfterBreak="0">
    <w:nsid w:val="67A02781"/>
    <w:multiLevelType w:val="hybridMultilevel"/>
    <w:tmpl w:val="E416B266"/>
    <w:lvl w:ilvl="0" w:tplc="5E0084F4">
      <w:start w:val="29"/>
      <w:numFmt w:val="decimal"/>
      <w:lvlText w:val="%1."/>
      <w:lvlJc w:val="left"/>
      <w:pPr>
        <w:ind w:left="1438" w:hanging="360"/>
      </w:pPr>
      <w:rPr>
        <w:rFonts w:hint="default"/>
      </w:rPr>
    </w:lvl>
    <w:lvl w:ilvl="1" w:tplc="100A0019" w:tentative="1">
      <w:start w:val="1"/>
      <w:numFmt w:val="lowerLetter"/>
      <w:lvlText w:val="%2."/>
      <w:lvlJc w:val="left"/>
      <w:pPr>
        <w:ind w:left="2158" w:hanging="360"/>
      </w:pPr>
    </w:lvl>
    <w:lvl w:ilvl="2" w:tplc="100A001B" w:tentative="1">
      <w:start w:val="1"/>
      <w:numFmt w:val="lowerRoman"/>
      <w:lvlText w:val="%3."/>
      <w:lvlJc w:val="right"/>
      <w:pPr>
        <w:ind w:left="2878" w:hanging="180"/>
      </w:pPr>
    </w:lvl>
    <w:lvl w:ilvl="3" w:tplc="100A000F" w:tentative="1">
      <w:start w:val="1"/>
      <w:numFmt w:val="decimal"/>
      <w:lvlText w:val="%4."/>
      <w:lvlJc w:val="left"/>
      <w:pPr>
        <w:ind w:left="3598" w:hanging="360"/>
      </w:pPr>
    </w:lvl>
    <w:lvl w:ilvl="4" w:tplc="100A0019" w:tentative="1">
      <w:start w:val="1"/>
      <w:numFmt w:val="lowerLetter"/>
      <w:lvlText w:val="%5."/>
      <w:lvlJc w:val="left"/>
      <w:pPr>
        <w:ind w:left="4318" w:hanging="360"/>
      </w:pPr>
    </w:lvl>
    <w:lvl w:ilvl="5" w:tplc="100A001B" w:tentative="1">
      <w:start w:val="1"/>
      <w:numFmt w:val="lowerRoman"/>
      <w:lvlText w:val="%6."/>
      <w:lvlJc w:val="right"/>
      <w:pPr>
        <w:ind w:left="5038" w:hanging="180"/>
      </w:pPr>
    </w:lvl>
    <w:lvl w:ilvl="6" w:tplc="100A000F" w:tentative="1">
      <w:start w:val="1"/>
      <w:numFmt w:val="decimal"/>
      <w:lvlText w:val="%7."/>
      <w:lvlJc w:val="left"/>
      <w:pPr>
        <w:ind w:left="5758" w:hanging="360"/>
      </w:pPr>
    </w:lvl>
    <w:lvl w:ilvl="7" w:tplc="100A0019" w:tentative="1">
      <w:start w:val="1"/>
      <w:numFmt w:val="lowerLetter"/>
      <w:lvlText w:val="%8."/>
      <w:lvlJc w:val="left"/>
      <w:pPr>
        <w:ind w:left="6478" w:hanging="360"/>
      </w:pPr>
    </w:lvl>
    <w:lvl w:ilvl="8" w:tplc="100A001B" w:tentative="1">
      <w:start w:val="1"/>
      <w:numFmt w:val="lowerRoman"/>
      <w:lvlText w:val="%9."/>
      <w:lvlJc w:val="right"/>
      <w:pPr>
        <w:ind w:left="7198" w:hanging="180"/>
      </w:pPr>
    </w:lvl>
  </w:abstractNum>
  <w:abstractNum w:abstractNumId="43" w15:restartNumberingAfterBreak="0">
    <w:nsid w:val="6A476FC0"/>
    <w:multiLevelType w:val="hybridMultilevel"/>
    <w:tmpl w:val="D02A8EB2"/>
    <w:lvl w:ilvl="0" w:tplc="DE34EEF4">
      <w:start w:val="1"/>
      <w:numFmt w:val="upperLetter"/>
      <w:lvlText w:val="%1."/>
      <w:lvlJc w:val="left"/>
      <w:pPr>
        <w:ind w:left="5802" w:hanging="514"/>
      </w:pPr>
      <w:rPr>
        <w:rFonts w:ascii="Times New Roman" w:eastAsia="Times New Roman" w:hAnsi="Times New Roman" w:cs="Times New Roman" w:hint="default"/>
        <w:b/>
        <w:bCs/>
        <w:spacing w:val="-1"/>
        <w:w w:val="99"/>
        <w:sz w:val="24"/>
        <w:szCs w:val="24"/>
        <w:lang w:val="es-ES" w:eastAsia="en-US" w:bidi="ar-SA"/>
      </w:rPr>
    </w:lvl>
    <w:lvl w:ilvl="1" w:tplc="8CF8959A">
      <w:numFmt w:val="bullet"/>
      <w:lvlText w:val="•"/>
      <w:lvlJc w:val="left"/>
      <w:pPr>
        <w:ind w:left="6658" w:hanging="514"/>
      </w:pPr>
      <w:rPr>
        <w:rFonts w:hint="default"/>
        <w:lang w:val="es-ES" w:eastAsia="en-US" w:bidi="ar-SA"/>
      </w:rPr>
    </w:lvl>
    <w:lvl w:ilvl="2" w:tplc="D310B4A4">
      <w:numFmt w:val="bullet"/>
      <w:lvlText w:val="•"/>
      <w:lvlJc w:val="left"/>
      <w:pPr>
        <w:ind w:left="7521" w:hanging="514"/>
      </w:pPr>
      <w:rPr>
        <w:rFonts w:hint="default"/>
        <w:lang w:val="es-ES" w:eastAsia="en-US" w:bidi="ar-SA"/>
      </w:rPr>
    </w:lvl>
    <w:lvl w:ilvl="3" w:tplc="8FB48996">
      <w:numFmt w:val="bullet"/>
      <w:lvlText w:val="•"/>
      <w:lvlJc w:val="left"/>
      <w:pPr>
        <w:ind w:left="8383" w:hanging="514"/>
      </w:pPr>
      <w:rPr>
        <w:rFonts w:hint="default"/>
        <w:lang w:val="es-ES" w:eastAsia="en-US" w:bidi="ar-SA"/>
      </w:rPr>
    </w:lvl>
    <w:lvl w:ilvl="4" w:tplc="CA640548">
      <w:numFmt w:val="bullet"/>
      <w:lvlText w:val="•"/>
      <w:lvlJc w:val="left"/>
      <w:pPr>
        <w:ind w:left="9246" w:hanging="514"/>
      </w:pPr>
      <w:rPr>
        <w:rFonts w:hint="default"/>
        <w:lang w:val="es-ES" w:eastAsia="en-US" w:bidi="ar-SA"/>
      </w:rPr>
    </w:lvl>
    <w:lvl w:ilvl="5" w:tplc="0A7EBF78">
      <w:numFmt w:val="bullet"/>
      <w:lvlText w:val="•"/>
      <w:lvlJc w:val="left"/>
      <w:pPr>
        <w:ind w:left="10109" w:hanging="514"/>
      </w:pPr>
      <w:rPr>
        <w:rFonts w:hint="default"/>
        <w:lang w:val="es-ES" w:eastAsia="en-US" w:bidi="ar-SA"/>
      </w:rPr>
    </w:lvl>
    <w:lvl w:ilvl="6" w:tplc="F24E32F4">
      <w:numFmt w:val="bullet"/>
      <w:lvlText w:val="•"/>
      <w:lvlJc w:val="left"/>
      <w:pPr>
        <w:ind w:left="10971" w:hanging="514"/>
      </w:pPr>
      <w:rPr>
        <w:rFonts w:hint="default"/>
        <w:lang w:val="es-ES" w:eastAsia="en-US" w:bidi="ar-SA"/>
      </w:rPr>
    </w:lvl>
    <w:lvl w:ilvl="7" w:tplc="36A609E4">
      <w:numFmt w:val="bullet"/>
      <w:lvlText w:val="•"/>
      <w:lvlJc w:val="left"/>
      <w:pPr>
        <w:ind w:left="11834" w:hanging="514"/>
      </w:pPr>
      <w:rPr>
        <w:rFonts w:hint="default"/>
        <w:lang w:val="es-ES" w:eastAsia="en-US" w:bidi="ar-SA"/>
      </w:rPr>
    </w:lvl>
    <w:lvl w:ilvl="8" w:tplc="CB089FDE">
      <w:numFmt w:val="bullet"/>
      <w:lvlText w:val="•"/>
      <w:lvlJc w:val="left"/>
      <w:pPr>
        <w:ind w:left="12697" w:hanging="514"/>
      </w:pPr>
      <w:rPr>
        <w:rFonts w:hint="default"/>
        <w:lang w:val="es-ES" w:eastAsia="en-US" w:bidi="ar-SA"/>
      </w:rPr>
    </w:lvl>
  </w:abstractNum>
  <w:abstractNum w:abstractNumId="44" w15:restartNumberingAfterBreak="0">
    <w:nsid w:val="71CA5D2C"/>
    <w:multiLevelType w:val="hybridMultilevel"/>
    <w:tmpl w:val="5B8A50E2"/>
    <w:lvl w:ilvl="0" w:tplc="725A711A">
      <w:start w:val="1"/>
      <w:numFmt w:val="bullet"/>
      <w:lvlText w:val="-"/>
      <w:lvlJc w:val="left"/>
      <w:pPr>
        <w:ind w:left="720" w:hanging="360"/>
      </w:pPr>
      <w:rPr>
        <w:rFonts w:ascii="Calibri" w:hAnsi="Calibri" w:hint="default"/>
      </w:rPr>
    </w:lvl>
    <w:lvl w:ilvl="1" w:tplc="7234CA26">
      <w:start w:val="1"/>
      <w:numFmt w:val="bullet"/>
      <w:lvlText w:val="o"/>
      <w:lvlJc w:val="left"/>
      <w:pPr>
        <w:ind w:left="1440" w:hanging="360"/>
      </w:pPr>
      <w:rPr>
        <w:rFonts w:ascii="Courier New" w:hAnsi="Courier New" w:hint="default"/>
      </w:rPr>
    </w:lvl>
    <w:lvl w:ilvl="2" w:tplc="8FFAD2D4">
      <w:start w:val="1"/>
      <w:numFmt w:val="bullet"/>
      <w:lvlText w:val=""/>
      <w:lvlJc w:val="left"/>
      <w:pPr>
        <w:ind w:left="2160" w:hanging="360"/>
      </w:pPr>
      <w:rPr>
        <w:rFonts w:ascii="Wingdings" w:hAnsi="Wingdings" w:hint="default"/>
      </w:rPr>
    </w:lvl>
    <w:lvl w:ilvl="3" w:tplc="89703620">
      <w:start w:val="1"/>
      <w:numFmt w:val="bullet"/>
      <w:lvlText w:val=""/>
      <w:lvlJc w:val="left"/>
      <w:pPr>
        <w:ind w:left="2880" w:hanging="360"/>
      </w:pPr>
      <w:rPr>
        <w:rFonts w:ascii="Symbol" w:hAnsi="Symbol" w:hint="default"/>
      </w:rPr>
    </w:lvl>
    <w:lvl w:ilvl="4" w:tplc="DFEA9516">
      <w:start w:val="1"/>
      <w:numFmt w:val="bullet"/>
      <w:lvlText w:val="o"/>
      <w:lvlJc w:val="left"/>
      <w:pPr>
        <w:ind w:left="3600" w:hanging="360"/>
      </w:pPr>
      <w:rPr>
        <w:rFonts w:ascii="Courier New" w:hAnsi="Courier New" w:hint="default"/>
      </w:rPr>
    </w:lvl>
    <w:lvl w:ilvl="5" w:tplc="17FC5CD2">
      <w:start w:val="1"/>
      <w:numFmt w:val="bullet"/>
      <w:lvlText w:val=""/>
      <w:lvlJc w:val="left"/>
      <w:pPr>
        <w:ind w:left="4320" w:hanging="360"/>
      </w:pPr>
      <w:rPr>
        <w:rFonts w:ascii="Wingdings" w:hAnsi="Wingdings" w:hint="default"/>
      </w:rPr>
    </w:lvl>
    <w:lvl w:ilvl="6" w:tplc="6DC8123C">
      <w:start w:val="1"/>
      <w:numFmt w:val="bullet"/>
      <w:lvlText w:val=""/>
      <w:lvlJc w:val="left"/>
      <w:pPr>
        <w:ind w:left="5040" w:hanging="360"/>
      </w:pPr>
      <w:rPr>
        <w:rFonts w:ascii="Symbol" w:hAnsi="Symbol" w:hint="default"/>
      </w:rPr>
    </w:lvl>
    <w:lvl w:ilvl="7" w:tplc="DD9C4830">
      <w:start w:val="1"/>
      <w:numFmt w:val="bullet"/>
      <w:lvlText w:val="o"/>
      <w:lvlJc w:val="left"/>
      <w:pPr>
        <w:ind w:left="5760" w:hanging="360"/>
      </w:pPr>
      <w:rPr>
        <w:rFonts w:ascii="Courier New" w:hAnsi="Courier New" w:hint="default"/>
      </w:rPr>
    </w:lvl>
    <w:lvl w:ilvl="8" w:tplc="D856EB5A">
      <w:start w:val="1"/>
      <w:numFmt w:val="bullet"/>
      <w:lvlText w:val=""/>
      <w:lvlJc w:val="left"/>
      <w:pPr>
        <w:ind w:left="6480" w:hanging="360"/>
      </w:pPr>
      <w:rPr>
        <w:rFonts w:ascii="Wingdings" w:hAnsi="Wingdings" w:hint="default"/>
      </w:rPr>
    </w:lvl>
  </w:abstractNum>
  <w:abstractNum w:abstractNumId="45" w15:restartNumberingAfterBreak="0">
    <w:nsid w:val="785F76AB"/>
    <w:multiLevelType w:val="hybridMultilevel"/>
    <w:tmpl w:val="7C2ABDFA"/>
    <w:lvl w:ilvl="0" w:tplc="C0DEA168">
      <w:start w:val="1"/>
      <w:numFmt w:val="decimal"/>
      <w:lvlText w:val="%1."/>
      <w:lvlJc w:val="left"/>
      <w:pPr>
        <w:ind w:left="720" w:hanging="360"/>
      </w:pPr>
    </w:lvl>
    <w:lvl w:ilvl="1" w:tplc="849CF94C">
      <w:start w:val="1"/>
      <w:numFmt w:val="lowerLetter"/>
      <w:lvlText w:val="%2."/>
      <w:lvlJc w:val="left"/>
      <w:pPr>
        <w:ind w:left="1440" w:hanging="360"/>
      </w:pPr>
    </w:lvl>
    <w:lvl w:ilvl="2" w:tplc="6FEE94FE">
      <w:start w:val="1"/>
      <w:numFmt w:val="lowerRoman"/>
      <w:lvlText w:val="%3."/>
      <w:lvlJc w:val="right"/>
      <w:pPr>
        <w:ind w:left="2160" w:hanging="180"/>
      </w:pPr>
    </w:lvl>
    <w:lvl w:ilvl="3" w:tplc="6B1C7166">
      <w:start w:val="1"/>
      <w:numFmt w:val="decimal"/>
      <w:lvlText w:val="%4."/>
      <w:lvlJc w:val="left"/>
      <w:pPr>
        <w:ind w:left="2880" w:hanging="360"/>
      </w:pPr>
    </w:lvl>
    <w:lvl w:ilvl="4" w:tplc="DA1CEA3E">
      <w:start w:val="1"/>
      <w:numFmt w:val="lowerLetter"/>
      <w:lvlText w:val="%5."/>
      <w:lvlJc w:val="left"/>
      <w:pPr>
        <w:ind w:left="3600" w:hanging="360"/>
      </w:pPr>
    </w:lvl>
    <w:lvl w:ilvl="5" w:tplc="DF42A2A6">
      <w:start w:val="1"/>
      <w:numFmt w:val="lowerRoman"/>
      <w:lvlText w:val="%6."/>
      <w:lvlJc w:val="right"/>
      <w:pPr>
        <w:ind w:left="4320" w:hanging="180"/>
      </w:pPr>
    </w:lvl>
    <w:lvl w:ilvl="6" w:tplc="62167938">
      <w:start w:val="1"/>
      <w:numFmt w:val="decimal"/>
      <w:lvlText w:val="%7."/>
      <w:lvlJc w:val="left"/>
      <w:pPr>
        <w:ind w:left="5040" w:hanging="360"/>
      </w:pPr>
    </w:lvl>
    <w:lvl w:ilvl="7" w:tplc="BA68C9D4">
      <w:start w:val="1"/>
      <w:numFmt w:val="lowerLetter"/>
      <w:lvlText w:val="%8."/>
      <w:lvlJc w:val="left"/>
      <w:pPr>
        <w:ind w:left="5760" w:hanging="360"/>
      </w:pPr>
    </w:lvl>
    <w:lvl w:ilvl="8" w:tplc="817AA82C">
      <w:start w:val="1"/>
      <w:numFmt w:val="lowerRoman"/>
      <w:lvlText w:val="%9."/>
      <w:lvlJc w:val="right"/>
      <w:pPr>
        <w:ind w:left="6480" w:hanging="180"/>
      </w:pPr>
    </w:lvl>
  </w:abstractNum>
  <w:abstractNum w:abstractNumId="46" w15:restartNumberingAfterBreak="0">
    <w:nsid w:val="7907670A"/>
    <w:multiLevelType w:val="hybridMultilevel"/>
    <w:tmpl w:val="24FAD1C4"/>
    <w:lvl w:ilvl="0" w:tplc="DC16C244">
      <w:start w:val="55"/>
      <w:numFmt w:val="decimal"/>
      <w:lvlText w:val="%1."/>
      <w:lvlJc w:val="left"/>
      <w:pPr>
        <w:ind w:left="1494" w:hanging="360"/>
      </w:pPr>
      <w:rPr>
        <w:rFonts w:hint="default"/>
        <w:b w:val="0"/>
        <w:bCs/>
        <w:color w:val="auto"/>
        <w:sz w:val="20"/>
        <w:szCs w:val="20"/>
      </w:rPr>
    </w:lvl>
    <w:lvl w:ilvl="1" w:tplc="FFFFFFFF" w:tentative="1">
      <w:start w:val="1"/>
      <w:numFmt w:val="lowerLetter"/>
      <w:lvlText w:val="%2."/>
      <w:lvlJc w:val="left"/>
      <w:pPr>
        <w:ind w:left="2204" w:hanging="360"/>
      </w:pPr>
    </w:lvl>
    <w:lvl w:ilvl="2" w:tplc="FFFFFFFF" w:tentative="1">
      <w:start w:val="1"/>
      <w:numFmt w:val="lowerRoman"/>
      <w:lvlText w:val="%3."/>
      <w:lvlJc w:val="right"/>
      <w:pPr>
        <w:ind w:left="2924" w:hanging="180"/>
      </w:pPr>
    </w:lvl>
    <w:lvl w:ilvl="3" w:tplc="FFFFFFFF" w:tentative="1">
      <w:start w:val="1"/>
      <w:numFmt w:val="decimal"/>
      <w:lvlText w:val="%4."/>
      <w:lvlJc w:val="left"/>
      <w:pPr>
        <w:ind w:left="3644" w:hanging="360"/>
      </w:pPr>
    </w:lvl>
    <w:lvl w:ilvl="4" w:tplc="FFFFFFFF" w:tentative="1">
      <w:start w:val="1"/>
      <w:numFmt w:val="lowerLetter"/>
      <w:lvlText w:val="%5."/>
      <w:lvlJc w:val="left"/>
      <w:pPr>
        <w:ind w:left="4364" w:hanging="360"/>
      </w:pPr>
    </w:lvl>
    <w:lvl w:ilvl="5" w:tplc="FFFFFFFF" w:tentative="1">
      <w:start w:val="1"/>
      <w:numFmt w:val="lowerRoman"/>
      <w:lvlText w:val="%6."/>
      <w:lvlJc w:val="right"/>
      <w:pPr>
        <w:ind w:left="5084" w:hanging="180"/>
      </w:pPr>
    </w:lvl>
    <w:lvl w:ilvl="6" w:tplc="FFFFFFFF" w:tentative="1">
      <w:start w:val="1"/>
      <w:numFmt w:val="decimal"/>
      <w:lvlText w:val="%7."/>
      <w:lvlJc w:val="left"/>
      <w:pPr>
        <w:ind w:left="5804" w:hanging="360"/>
      </w:pPr>
    </w:lvl>
    <w:lvl w:ilvl="7" w:tplc="FFFFFFFF" w:tentative="1">
      <w:start w:val="1"/>
      <w:numFmt w:val="lowerLetter"/>
      <w:lvlText w:val="%8."/>
      <w:lvlJc w:val="left"/>
      <w:pPr>
        <w:ind w:left="6524" w:hanging="360"/>
      </w:pPr>
    </w:lvl>
    <w:lvl w:ilvl="8" w:tplc="FFFFFFFF" w:tentative="1">
      <w:start w:val="1"/>
      <w:numFmt w:val="lowerRoman"/>
      <w:lvlText w:val="%9."/>
      <w:lvlJc w:val="right"/>
      <w:pPr>
        <w:ind w:left="7244" w:hanging="180"/>
      </w:pPr>
    </w:lvl>
  </w:abstractNum>
  <w:abstractNum w:abstractNumId="47" w15:restartNumberingAfterBreak="0">
    <w:nsid w:val="7DEC1BC1"/>
    <w:multiLevelType w:val="hybridMultilevel"/>
    <w:tmpl w:val="27E039C2"/>
    <w:lvl w:ilvl="0" w:tplc="56D6CC32">
      <w:start w:val="36"/>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8" w15:restartNumberingAfterBreak="0">
    <w:nsid w:val="7F5E0B93"/>
    <w:multiLevelType w:val="hybridMultilevel"/>
    <w:tmpl w:val="49BE88E4"/>
    <w:lvl w:ilvl="0" w:tplc="FFFFFFFF">
      <w:start w:val="1"/>
      <w:numFmt w:val="decimal"/>
      <w:lvlText w:val="%1."/>
      <w:lvlJc w:val="left"/>
      <w:pPr>
        <w:ind w:left="1266" w:hanging="569"/>
      </w:pPr>
      <w:rPr>
        <w:spacing w:val="0"/>
        <w:w w:val="99"/>
        <w:sz w:val="20"/>
        <w:szCs w:val="20"/>
        <w:lang w:val="es-ES" w:eastAsia="en-US" w:bidi="ar-SA"/>
      </w:rPr>
    </w:lvl>
    <w:lvl w:ilvl="1" w:tplc="FFFFFFFF">
      <w:start w:val="1"/>
      <w:numFmt w:val="lowerLetter"/>
      <w:lvlText w:val="%2)"/>
      <w:lvlJc w:val="left"/>
      <w:pPr>
        <w:ind w:left="1266" w:hanging="567"/>
      </w:pPr>
      <w:rPr>
        <w:rFonts w:ascii="Times New Roman" w:eastAsia="Times New Roman" w:hAnsi="Times New Roman" w:cs="Times New Roman" w:hint="default"/>
        <w:w w:val="99"/>
        <w:sz w:val="20"/>
        <w:szCs w:val="20"/>
        <w:lang w:val="es-ES" w:eastAsia="en-US" w:bidi="ar-SA"/>
      </w:rPr>
    </w:lvl>
    <w:lvl w:ilvl="2" w:tplc="FFFFFFFF">
      <w:numFmt w:val="bullet"/>
      <w:lvlText w:val="•"/>
      <w:lvlJc w:val="left"/>
      <w:pPr>
        <w:ind w:left="2985" w:hanging="567"/>
      </w:pPr>
      <w:rPr>
        <w:rFonts w:hint="default"/>
        <w:lang w:val="es-ES" w:eastAsia="en-US" w:bidi="ar-SA"/>
      </w:rPr>
    </w:lvl>
    <w:lvl w:ilvl="3" w:tplc="FFFFFFFF">
      <w:numFmt w:val="bullet"/>
      <w:lvlText w:val="•"/>
      <w:lvlJc w:val="left"/>
      <w:pPr>
        <w:ind w:left="3847" w:hanging="567"/>
      </w:pPr>
      <w:rPr>
        <w:rFonts w:hint="default"/>
        <w:lang w:val="es-ES" w:eastAsia="en-US" w:bidi="ar-SA"/>
      </w:rPr>
    </w:lvl>
    <w:lvl w:ilvl="4" w:tplc="FFFFFFFF">
      <w:numFmt w:val="bullet"/>
      <w:lvlText w:val="•"/>
      <w:lvlJc w:val="left"/>
      <w:pPr>
        <w:ind w:left="4710" w:hanging="567"/>
      </w:pPr>
      <w:rPr>
        <w:rFonts w:hint="default"/>
        <w:lang w:val="es-ES" w:eastAsia="en-US" w:bidi="ar-SA"/>
      </w:rPr>
    </w:lvl>
    <w:lvl w:ilvl="5" w:tplc="FFFFFFFF">
      <w:numFmt w:val="bullet"/>
      <w:lvlText w:val="•"/>
      <w:lvlJc w:val="left"/>
      <w:pPr>
        <w:ind w:left="5573" w:hanging="567"/>
      </w:pPr>
      <w:rPr>
        <w:rFonts w:hint="default"/>
        <w:lang w:val="es-ES" w:eastAsia="en-US" w:bidi="ar-SA"/>
      </w:rPr>
    </w:lvl>
    <w:lvl w:ilvl="6" w:tplc="FFFFFFFF">
      <w:numFmt w:val="bullet"/>
      <w:lvlText w:val="•"/>
      <w:lvlJc w:val="left"/>
      <w:pPr>
        <w:ind w:left="6435" w:hanging="567"/>
      </w:pPr>
      <w:rPr>
        <w:rFonts w:hint="default"/>
        <w:lang w:val="es-ES" w:eastAsia="en-US" w:bidi="ar-SA"/>
      </w:rPr>
    </w:lvl>
    <w:lvl w:ilvl="7" w:tplc="FFFFFFFF">
      <w:numFmt w:val="bullet"/>
      <w:lvlText w:val="•"/>
      <w:lvlJc w:val="left"/>
      <w:pPr>
        <w:ind w:left="7298" w:hanging="567"/>
      </w:pPr>
      <w:rPr>
        <w:rFonts w:hint="default"/>
        <w:lang w:val="es-ES" w:eastAsia="en-US" w:bidi="ar-SA"/>
      </w:rPr>
    </w:lvl>
    <w:lvl w:ilvl="8" w:tplc="FFFFFFFF">
      <w:numFmt w:val="bullet"/>
      <w:lvlText w:val="•"/>
      <w:lvlJc w:val="left"/>
      <w:pPr>
        <w:ind w:left="8161" w:hanging="567"/>
      </w:pPr>
      <w:rPr>
        <w:rFonts w:hint="default"/>
        <w:lang w:val="es-ES" w:eastAsia="en-US" w:bidi="ar-SA"/>
      </w:rPr>
    </w:lvl>
  </w:abstractNum>
  <w:abstractNum w:abstractNumId="49" w15:restartNumberingAfterBreak="0">
    <w:nsid w:val="7F7B5A1D"/>
    <w:multiLevelType w:val="hybridMultilevel"/>
    <w:tmpl w:val="49BE88E4"/>
    <w:lvl w:ilvl="0" w:tplc="FFFFFFFF">
      <w:start w:val="6"/>
      <w:numFmt w:val="decimal"/>
      <w:lvlText w:val="%1."/>
      <w:lvlJc w:val="left"/>
      <w:pPr>
        <w:ind w:left="1266" w:hanging="569"/>
      </w:pPr>
      <w:rPr>
        <w:rFonts w:ascii="Times New Roman" w:eastAsia="Times New Roman" w:hAnsi="Times New Roman" w:cs="Times New Roman" w:hint="default"/>
        <w:spacing w:val="0"/>
        <w:w w:val="99"/>
        <w:sz w:val="20"/>
        <w:szCs w:val="20"/>
        <w:lang w:val="es-ES" w:eastAsia="en-US" w:bidi="ar-SA"/>
      </w:rPr>
    </w:lvl>
    <w:lvl w:ilvl="1" w:tplc="FFFFFFFF">
      <w:start w:val="1"/>
      <w:numFmt w:val="lowerLetter"/>
      <w:lvlText w:val="%2)"/>
      <w:lvlJc w:val="left"/>
      <w:pPr>
        <w:ind w:left="1266" w:hanging="567"/>
      </w:pPr>
      <w:rPr>
        <w:rFonts w:ascii="Times New Roman" w:eastAsia="Times New Roman" w:hAnsi="Times New Roman" w:cs="Times New Roman" w:hint="default"/>
        <w:w w:val="99"/>
        <w:sz w:val="20"/>
        <w:szCs w:val="20"/>
        <w:lang w:val="es-ES" w:eastAsia="en-US" w:bidi="ar-SA"/>
      </w:rPr>
    </w:lvl>
    <w:lvl w:ilvl="2" w:tplc="FFFFFFFF">
      <w:numFmt w:val="bullet"/>
      <w:lvlText w:val="•"/>
      <w:lvlJc w:val="left"/>
      <w:pPr>
        <w:ind w:left="2985" w:hanging="567"/>
      </w:pPr>
      <w:rPr>
        <w:rFonts w:hint="default"/>
        <w:lang w:val="es-ES" w:eastAsia="en-US" w:bidi="ar-SA"/>
      </w:rPr>
    </w:lvl>
    <w:lvl w:ilvl="3" w:tplc="FFFFFFFF">
      <w:numFmt w:val="bullet"/>
      <w:lvlText w:val="•"/>
      <w:lvlJc w:val="left"/>
      <w:pPr>
        <w:ind w:left="3847" w:hanging="567"/>
      </w:pPr>
      <w:rPr>
        <w:rFonts w:hint="default"/>
        <w:lang w:val="es-ES" w:eastAsia="en-US" w:bidi="ar-SA"/>
      </w:rPr>
    </w:lvl>
    <w:lvl w:ilvl="4" w:tplc="FFFFFFFF">
      <w:numFmt w:val="bullet"/>
      <w:lvlText w:val="•"/>
      <w:lvlJc w:val="left"/>
      <w:pPr>
        <w:ind w:left="4710" w:hanging="567"/>
      </w:pPr>
      <w:rPr>
        <w:rFonts w:hint="default"/>
        <w:lang w:val="es-ES" w:eastAsia="en-US" w:bidi="ar-SA"/>
      </w:rPr>
    </w:lvl>
    <w:lvl w:ilvl="5" w:tplc="FFFFFFFF">
      <w:numFmt w:val="bullet"/>
      <w:lvlText w:val="•"/>
      <w:lvlJc w:val="left"/>
      <w:pPr>
        <w:ind w:left="5573" w:hanging="567"/>
      </w:pPr>
      <w:rPr>
        <w:rFonts w:hint="default"/>
        <w:lang w:val="es-ES" w:eastAsia="en-US" w:bidi="ar-SA"/>
      </w:rPr>
    </w:lvl>
    <w:lvl w:ilvl="6" w:tplc="FFFFFFFF">
      <w:numFmt w:val="bullet"/>
      <w:lvlText w:val="•"/>
      <w:lvlJc w:val="left"/>
      <w:pPr>
        <w:ind w:left="6435" w:hanging="567"/>
      </w:pPr>
      <w:rPr>
        <w:rFonts w:hint="default"/>
        <w:lang w:val="es-ES" w:eastAsia="en-US" w:bidi="ar-SA"/>
      </w:rPr>
    </w:lvl>
    <w:lvl w:ilvl="7" w:tplc="FFFFFFFF">
      <w:numFmt w:val="bullet"/>
      <w:lvlText w:val="•"/>
      <w:lvlJc w:val="left"/>
      <w:pPr>
        <w:ind w:left="7298" w:hanging="567"/>
      </w:pPr>
      <w:rPr>
        <w:rFonts w:hint="default"/>
        <w:lang w:val="es-ES" w:eastAsia="en-US" w:bidi="ar-SA"/>
      </w:rPr>
    </w:lvl>
    <w:lvl w:ilvl="8" w:tplc="FFFFFFFF">
      <w:numFmt w:val="bullet"/>
      <w:lvlText w:val="•"/>
      <w:lvlJc w:val="left"/>
      <w:pPr>
        <w:ind w:left="8161" w:hanging="567"/>
      </w:pPr>
      <w:rPr>
        <w:rFonts w:hint="default"/>
        <w:lang w:val="es-ES" w:eastAsia="en-US" w:bidi="ar-SA"/>
      </w:rPr>
    </w:lvl>
  </w:abstractNum>
  <w:num w:numId="1" w16cid:durableId="933630522">
    <w:abstractNumId w:val="26"/>
  </w:num>
  <w:num w:numId="2" w16cid:durableId="1237743132">
    <w:abstractNumId w:val="15"/>
  </w:num>
  <w:num w:numId="3" w16cid:durableId="1464957621">
    <w:abstractNumId w:val="16"/>
  </w:num>
  <w:num w:numId="4" w16cid:durableId="1183712703">
    <w:abstractNumId w:val="33"/>
  </w:num>
  <w:num w:numId="5" w16cid:durableId="1431467400">
    <w:abstractNumId w:val="2"/>
  </w:num>
  <w:num w:numId="6" w16cid:durableId="593633722">
    <w:abstractNumId w:val="8"/>
  </w:num>
  <w:num w:numId="7" w16cid:durableId="697044435">
    <w:abstractNumId w:val="30"/>
  </w:num>
  <w:num w:numId="8" w16cid:durableId="151723166">
    <w:abstractNumId w:val="11"/>
  </w:num>
  <w:num w:numId="9" w16cid:durableId="131295427">
    <w:abstractNumId w:val="22"/>
  </w:num>
  <w:num w:numId="10" w16cid:durableId="1548251138">
    <w:abstractNumId w:val="43"/>
  </w:num>
  <w:num w:numId="11" w16cid:durableId="1232428654">
    <w:abstractNumId w:val="24"/>
  </w:num>
  <w:num w:numId="12" w16cid:durableId="1735355527">
    <w:abstractNumId w:val="5"/>
  </w:num>
  <w:num w:numId="13" w16cid:durableId="858616076">
    <w:abstractNumId w:val="45"/>
  </w:num>
  <w:num w:numId="14" w16cid:durableId="953902305">
    <w:abstractNumId w:val="44"/>
  </w:num>
  <w:num w:numId="15" w16cid:durableId="1549561201">
    <w:abstractNumId w:val="9"/>
  </w:num>
  <w:num w:numId="16" w16cid:durableId="1640844386">
    <w:abstractNumId w:val="41"/>
  </w:num>
  <w:num w:numId="17" w16cid:durableId="439568942">
    <w:abstractNumId w:val="49"/>
  </w:num>
  <w:num w:numId="18" w16cid:durableId="391513290">
    <w:abstractNumId w:val="48"/>
  </w:num>
  <w:num w:numId="19" w16cid:durableId="1741564235">
    <w:abstractNumId w:val="36"/>
  </w:num>
  <w:num w:numId="20" w16cid:durableId="1639335974">
    <w:abstractNumId w:val="13"/>
  </w:num>
  <w:num w:numId="21" w16cid:durableId="695153822">
    <w:abstractNumId w:val="12"/>
  </w:num>
  <w:num w:numId="22" w16cid:durableId="1402211028">
    <w:abstractNumId w:val="38"/>
  </w:num>
  <w:num w:numId="23" w16cid:durableId="663702947">
    <w:abstractNumId w:val="7"/>
  </w:num>
  <w:num w:numId="24" w16cid:durableId="652759611">
    <w:abstractNumId w:val="35"/>
  </w:num>
  <w:num w:numId="25" w16cid:durableId="2068067760">
    <w:abstractNumId w:val="27"/>
  </w:num>
  <w:num w:numId="26" w16cid:durableId="1578902184">
    <w:abstractNumId w:val="21"/>
  </w:num>
  <w:num w:numId="27" w16cid:durableId="996303718">
    <w:abstractNumId w:val="32"/>
  </w:num>
  <w:num w:numId="28" w16cid:durableId="741122">
    <w:abstractNumId w:val="10"/>
  </w:num>
  <w:num w:numId="29" w16cid:durableId="1236277680">
    <w:abstractNumId w:val="40"/>
  </w:num>
  <w:num w:numId="30" w16cid:durableId="932401798">
    <w:abstractNumId w:val="46"/>
  </w:num>
  <w:num w:numId="31" w16cid:durableId="531000020">
    <w:abstractNumId w:val="3"/>
  </w:num>
  <w:num w:numId="32" w16cid:durableId="222062704">
    <w:abstractNumId w:val="29"/>
  </w:num>
  <w:num w:numId="33" w16cid:durableId="1456174219">
    <w:abstractNumId w:val="31"/>
  </w:num>
  <w:num w:numId="34" w16cid:durableId="1080440689">
    <w:abstractNumId w:val="25"/>
  </w:num>
  <w:num w:numId="35" w16cid:durableId="883298585">
    <w:abstractNumId w:val="4"/>
  </w:num>
  <w:num w:numId="36" w16cid:durableId="560408659">
    <w:abstractNumId w:val="23"/>
  </w:num>
  <w:num w:numId="37" w16cid:durableId="766927705">
    <w:abstractNumId w:val="42"/>
  </w:num>
  <w:num w:numId="38" w16cid:durableId="106316353">
    <w:abstractNumId w:val="47"/>
  </w:num>
  <w:num w:numId="39" w16cid:durableId="2073891647">
    <w:abstractNumId w:val="1"/>
  </w:num>
  <w:num w:numId="40" w16cid:durableId="2026322873">
    <w:abstractNumId w:val="14"/>
  </w:num>
  <w:num w:numId="41" w16cid:durableId="1484395284">
    <w:abstractNumId w:val="17"/>
  </w:num>
  <w:num w:numId="42" w16cid:durableId="665592648">
    <w:abstractNumId w:val="37"/>
  </w:num>
  <w:num w:numId="43" w16cid:durableId="660811708">
    <w:abstractNumId w:val="0"/>
  </w:num>
  <w:num w:numId="44" w16cid:durableId="95579147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34393187">
    <w:abstractNumId w:val="20"/>
  </w:num>
  <w:num w:numId="46" w16cid:durableId="711611911">
    <w:abstractNumId w:val="28"/>
  </w:num>
  <w:num w:numId="47" w16cid:durableId="1790315751">
    <w:abstractNumId w:val="6"/>
  </w:num>
  <w:num w:numId="48" w16cid:durableId="1344164274">
    <w:abstractNumId w:val="19"/>
  </w:num>
  <w:num w:numId="49" w16cid:durableId="498230173">
    <w:abstractNumId w:val="34"/>
  </w:num>
  <w:num w:numId="50" w16cid:durableId="1794132310">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n-GB" w:vendorID="64" w:dllVersion="0" w:nlCheck="1" w:checkStyle="0"/>
  <w:activeWritingStyle w:appName="MSWord" w:lang="es-GT"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419" w:vendorID="64" w:dllVersion="0" w:nlCheck="1" w:checkStyle="0"/>
  <w:activeWritingStyle w:appName="MSWord" w:lang="es-CO" w:vendorID="64" w:dllVersion="0" w:nlCheck="1" w:checkStyle="0"/>
  <w:activeWritingStyle w:appName="MSWord" w:lang="en-US" w:vendorID="64" w:dllVersion="0" w:nlCheck="1" w:checkStyle="0"/>
  <w:activeWritingStyle w:appName="MSWord" w:lang="es-HN" w:vendorID="64" w:dllVersion="0" w:nlCheck="1" w:checkStyle="0"/>
  <w:activeWritingStyle w:appName="MSWord" w:lang="es-A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C30"/>
    <w:rsid w:val="00023BCE"/>
    <w:rsid w:val="00032851"/>
    <w:rsid w:val="000328F5"/>
    <w:rsid w:val="000403D1"/>
    <w:rsid w:val="000449AA"/>
    <w:rsid w:val="00047F20"/>
    <w:rsid w:val="00050F6B"/>
    <w:rsid w:val="00052860"/>
    <w:rsid w:val="000720D1"/>
    <w:rsid w:val="00072C8C"/>
    <w:rsid w:val="00073E70"/>
    <w:rsid w:val="00091419"/>
    <w:rsid w:val="000931C0"/>
    <w:rsid w:val="000B0146"/>
    <w:rsid w:val="000B175B"/>
    <w:rsid w:val="000B3A0F"/>
    <w:rsid w:val="000E0415"/>
    <w:rsid w:val="000F0D17"/>
    <w:rsid w:val="00120B4F"/>
    <w:rsid w:val="00146D32"/>
    <w:rsid w:val="001509BA"/>
    <w:rsid w:val="00177D76"/>
    <w:rsid w:val="00184F17"/>
    <w:rsid w:val="0018662F"/>
    <w:rsid w:val="001A13A0"/>
    <w:rsid w:val="001B356D"/>
    <w:rsid w:val="001B4B04"/>
    <w:rsid w:val="001C6663"/>
    <w:rsid w:val="001C7895"/>
    <w:rsid w:val="001D26DF"/>
    <w:rsid w:val="002043CF"/>
    <w:rsid w:val="00211E0B"/>
    <w:rsid w:val="00211E3F"/>
    <w:rsid w:val="00211E72"/>
    <w:rsid w:val="00214047"/>
    <w:rsid w:val="0022130F"/>
    <w:rsid w:val="002338F4"/>
    <w:rsid w:val="00237785"/>
    <w:rsid w:val="00241466"/>
    <w:rsid w:val="00253D58"/>
    <w:rsid w:val="0026052E"/>
    <w:rsid w:val="00277C75"/>
    <w:rsid w:val="00281EA0"/>
    <w:rsid w:val="00286555"/>
    <w:rsid w:val="002C0119"/>
    <w:rsid w:val="002C21F0"/>
    <w:rsid w:val="003107FA"/>
    <w:rsid w:val="003229D8"/>
    <w:rsid w:val="003331C9"/>
    <w:rsid w:val="00335A2F"/>
    <w:rsid w:val="0039277A"/>
    <w:rsid w:val="003972E0"/>
    <w:rsid w:val="003A7581"/>
    <w:rsid w:val="003C2CC4"/>
    <w:rsid w:val="003D4B23"/>
    <w:rsid w:val="00424C80"/>
    <w:rsid w:val="00425570"/>
    <w:rsid w:val="004325CB"/>
    <w:rsid w:val="0043536E"/>
    <w:rsid w:val="00441221"/>
    <w:rsid w:val="0044503A"/>
    <w:rsid w:val="00446DE4"/>
    <w:rsid w:val="00451EC3"/>
    <w:rsid w:val="00484047"/>
    <w:rsid w:val="004859EC"/>
    <w:rsid w:val="00496A15"/>
    <w:rsid w:val="004C7221"/>
    <w:rsid w:val="004F55ED"/>
    <w:rsid w:val="0050341D"/>
    <w:rsid w:val="005120EB"/>
    <w:rsid w:val="0052176C"/>
    <w:rsid w:val="005261E5"/>
    <w:rsid w:val="005420F2"/>
    <w:rsid w:val="00542574"/>
    <w:rsid w:val="005436AB"/>
    <w:rsid w:val="00546DBF"/>
    <w:rsid w:val="005552B5"/>
    <w:rsid w:val="00560043"/>
    <w:rsid w:val="00571365"/>
    <w:rsid w:val="00593C5F"/>
    <w:rsid w:val="005B048C"/>
    <w:rsid w:val="005B3DB3"/>
    <w:rsid w:val="005B6E48"/>
    <w:rsid w:val="005E2A01"/>
    <w:rsid w:val="005F2A1E"/>
    <w:rsid w:val="00611FC4"/>
    <w:rsid w:val="006176FB"/>
    <w:rsid w:val="006301B4"/>
    <w:rsid w:val="00640B26"/>
    <w:rsid w:val="00642500"/>
    <w:rsid w:val="00646782"/>
    <w:rsid w:val="00670741"/>
    <w:rsid w:val="00680088"/>
    <w:rsid w:val="006A7392"/>
    <w:rsid w:val="006B3189"/>
    <w:rsid w:val="006B7D65"/>
    <w:rsid w:val="006E564B"/>
    <w:rsid w:val="006F01FF"/>
    <w:rsid w:val="006F6C30"/>
    <w:rsid w:val="00713193"/>
    <w:rsid w:val="00720CDD"/>
    <w:rsid w:val="0072632A"/>
    <w:rsid w:val="0074200B"/>
    <w:rsid w:val="00745C8B"/>
    <w:rsid w:val="00751600"/>
    <w:rsid w:val="007944C3"/>
    <w:rsid w:val="007A6296"/>
    <w:rsid w:val="007B0F54"/>
    <w:rsid w:val="007B6BA5"/>
    <w:rsid w:val="007C1B62"/>
    <w:rsid w:val="007C3390"/>
    <w:rsid w:val="007C4F4B"/>
    <w:rsid w:val="007D2CDC"/>
    <w:rsid w:val="007D5327"/>
    <w:rsid w:val="007F6611"/>
    <w:rsid w:val="00801FD6"/>
    <w:rsid w:val="008155C3"/>
    <w:rsid w:val="008175E9"/>
    <w:rsid w:val="0082243E"/>
    <w:rsid w:val="008242D7"/>
    <w:rsid w:val="00826C25"/>
    <w:rsid w:val="00831E0C"/>
    <w:rsid w:val="0084096E"/>
    <w:rsid w:val="008433F9"/>
    <w:rsid w:val="008441F5"/>
    <w:rsid w:val="00856CD2"/>
    <w:rsid w:val="00870DBD"/>
    <w:rsid w:val="00871FD5"/>
    <w:rsid w:val="0088487D"/>
    <w:rsid w:val="0089227B"/>
    <w:rsid w:val="008979B1"/>
    <w:rsid w:val="008A6B25"/>
    <w:rsid w:val="008A6C4F"/>
    <w:rsid w:val="008B115C"/>
    <w:rsid w:val="008B60CA"/>
    <w:rsid w:val="008C1E4D"/>
    <w:rsid w:val="008E0E46"/>
    <w:rsid w:val="008F1729"/>
    <w:rsid w:val="009079A6"/>
    <w:rsid w:val="00907C3F"/>
    <w:rsid w:val="0092304F"/>
    <w:rsid w:val="0093707B"/>
    <w:rsid w:val="009400EB"/>
    <w:rsid w:val="009427E3"/>
    <w:rsid w:val="0094315A"/>
    <w:rsid w:val="00955EDD"/>
    <w:rsid w:val="00956D9B"/>
    <w:rsid w:val="00963CBA"/>
    <w:rsid w:val="009654B7"/>
    <w:rsid w:val="00987836"/>
    <w:rsid w:val="00991261"/>
    <w:rsid w:val="009940D7"/>
    <w:rsid w:val="009A0B83"/>
    <w:rsid w:val="009B3800"/>
    <w:rsid w:val="009D50DB"/>
    <w:rsid w:val="00A05E0B"/>
    <w:rsid w:val="00A1427D"/>
    <w:rsid w:val="00A35D31"/>
    <w:rsid w:val="00A4634F"/>
    <w:rsid w:val="00A72F22"/>
    <w:rsid w:val="00A748A6"/>
    <w:rsid w:val="00A879A4"/>
    <w:rsid w:val="00A87E95"/>
    <w:rsid w:val="00A92E29"/>
    <w:rsid w:val="00AD09E9"/>
    <w:rsid w:val="00AD5315"/>
    <w:rsid w:val="00AF0576"/>
    <w:rsid w:val="00AF3829"/>
    <w:rsid w:val="00B037F0"/>
    <w:rsid w:val="00B30179"/>
    <w:rsid w:val="00B3317B"/>
    <w:rsid w:val="00B334DC"/>
    <w:rsid w:val="00B3631A"/>
    <w:rsid w:val="00B41E6E"/>
    <w:rsid w:val="00B46D53"/>
    <w:rsid w:val="00B53013"/>
    <w:rsid w:val="00B572AC"/>
    <w:rsid w:val="00B67F5E"/>
    <w:rsid w:val="00B73E65"/>
    <w:rsid w:val="00B81E12"/>
    <w:rsid w:val="00B87E6C"/>
    <w:rsid w:val="00B97FA8"/>
    <w:rsid w:val="00BC1385"/>
    <w:rsid w:val="00BC3BBB"/>
    <w:rsid w:val="00BC74E9"/>
    <w:rsid w:val="00BE618E"/>
    <w:rsid w:val="00C24693"/>
    <w:rsid w:val="00C35F0B"/>
    <w:rsid w:val="00C429FD"/>
    <w:rsid w:val="00C463DD"/>
    <w:rsid w:val="00C61CE9"/>
    <w:rsid w:val="00C64458"/>
    <w:rsid w:val="00C66E88"/>
    <w:rsid w:val="00C745C3"/>
    <w:rsid w:val="00C81733"/>
    <w:rsid w:val="00C9625E"/>
    <w:rsid w:val="00CA3754"/>
    <w:rsid w:val="00CA7049"/>
    <w:rsid w:val="00CA72E9"/>
    <w:rsid w:val="00CB0AB8"/>
    <w:rsid w:val="00CB7072"/>
    <w:rsid w:val="00CC0B55"/>
    <w:rsid w:val="00CC4E8A"/>
    <w:rsid w:val="00CE261F"/>
    <w:rsid w:val="00CE4A8F"/>
    <w:rsid w:val="00CF7D43"/>
    <w:rsid w:val="00D11129"/>
    <w:rsid w:val="00D2031B"/>
    <w:rsid w:val="00D21425"/>
    <w:rsid w:val="00D22332"/>
    <w:rsid w:val="00D25FE2"/>
    <w:rsid w:val="00D43252"/>
    <w:rsid w:val="00D43867"/>
    <w:rsid w:val="00D550F9"/>
    <w:rsid w:val="00D74C7A"/>
    <w:rsid w:val="00D74D52"/>
    <w:rsid w:val="00D978C6"/>
    <w:rsid w:val="00DA07BB"/>
    <w:rsid w:val="00DA67AD"/>
    <w:rsid w:val="00DB18CE"/>
    <w:rsid w:val="00DB701B"/>
    <w:rsid w:val="00DD3224"/>
    <w:rsid w:val="00DD7FBA"/>
    <w:rsid w:val="00DE3EC0"/>
    <w:rsid w:val="00E12B6B"/>
    <w:rsid w:val="00E130AB"/>
    <w:rsid w:val="00E438D9"/>
    <w:rsid w:val="00E5644E"/>
    <w:rsid w:val="00E7260F"/>
    <w:rsid w:val="00E73F6D"/>
    <w:rsid w:val="00E96630"/>
    <w:rsid w:val="00EB0FB9"/>
    <w:rsid w:val="00ED7A2A"/>
    <w:rsid w:val="00EF1D7F"/>
    <w:rsid w:val="00EF5BDB"/>
    <w:rsid w:val="00F07FD9"/>
    <w:rsid w:val="00F23933"/>
    <w:rsid w:val="00F367A1"/>
    <w:rsid w:val="00F40E75"/>
    <w:rsid w:val="00F52936"/>
    <w:rsid w:val="00FA7DF3"/>
    <w:rsid w:val="00FB4A50"/>
    <w:rsid w:val="00FC68B7"/>
    <w:rsid w:val="00FD42C7"/>
    <w:rsid w:val="00FD7C1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E8C11"/>
  <w15:docId w15:val="{60C74503-85B9-4EED-981A-35DA55241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43CF"/>
    <w:pPr>
      <w:suppressAutoHyphens/>
      <w:spacing w:line="240" w:lineRule="atLeast"/>
    </w:pPr>
    <w:rPr>
      <w:lang w:val="es-ES" w:eastAsia="en-US"/>
    </w:rPr>
  </w:style>
  <w:style w:type="paragraph" w:styleId="Heading1">
    <w:name w:val="heading 1"/>
    <w:aliases w:val="Table_G"/>
    <w:basedOn w:val="SingleTxtG"/>
    <w:next w:val="SingleTxtG"/>
    <w:link w:val="Heading1Char"/>
    <w:uiPriority w:val="9"/>
    <w:qFormat/>
    <w:rsid w:val="002C0119"/>
    <w:pPr>
      <w:spacing w:after="0" w:line="240" w:lineRule="auto"/>
      <w:ind w:right="0"/>
      <w:jc w:val="left"/>
      <w:outlineLvl w:val="0"/>
    </w:pPr>
    <w:rPr>
      <w:lang w:val="en-GB"/>
    </w:rPr>
  </w:style>
  <w:style w:type="paragraph" w:styleId="Heading2">
    <w:name w:val="heading 2"/>
    <w:basedOn w:val="Normal"/>
    <w:next w:val="Normal"/>
    <w:link w:val="Heading2Char"/>
    <w:uiPriority w:val="9"/>
    <w:qFormat/>
    <w:rsid w:val="002C0119"/>
    <w:pPr>
      <w:spacing w:line="240" w:lineRule="auto"/>
      <w:outlineLvl w:val="1"/>
    </w:pPr>
    <w:rPr>
      <w:lang w:val="en-GB"/>
    </w:rPr>
  </w:style>
  <w:style w:type="paragraph" w:styleId="Heading3">
    <w:name w:val="heading 3"/>
    <w:basedOn w:val="Normal"/>
    <w:next w:val="Normal"/>
    <w:semiHidden/>
    <w:qFormat/>
    <w:rsid w:val="002C0119"/>
    <w:pPr>
      <w:spacing w:line="240" w:lineRule="auto"/>
      <w:outlineLvl w:val="2"/>
    </w:pPr>
    <w:rPr>
      <w:lang w:val="en-GB"/>
    </w:rPr>
  </w:style>
  <w:style w:type="paragraph" w:styleId="Heading4">
    <w:name w:val="heading 4"/>
    <w:basedOn w:val="Normal"/>
    <w:next w:val="Normal"/>
    <w:semiHidden/>
    <w:qFormat/>
    <w:rsid w:val="002C0119"/>
    <w:pPr>
      <w:spacing w:line="240" w:lineRule="auto"/>
      <w:outlineLvl w:val="3"/>
    </w:pPr>
    <w:rPr>
      <w:lang w:val="en-GB"/>
    </w:rPr>
  </w:style>
  <w:style w:type="paragraph" w:styleId="Heading5">
    <w:name w:val="heading 5"/>
    <w:basedOn w:val="Normal"/>
    <w:next w:val="Normal"/>
    <w:semiHidden/>
    <w:qFormat/>
    <w:rsid w:val="002C0119"/>
    <w:pPr>
      <w:spacing w:line="240" w:lineRule="auto"/>
      <w:outlineLvl w:val="4"/>
    </w:pPr>
    <w:rPr>
      <w:lang w:val="en-GB"/>
    </w:rPr>
  </w:style>
  <w:style w:type="paragraph" w:styleId="Heading6">
    <w:name w:val="heading 6"/>
    <w:basedOn w:val="Normal"/>
    <w:next w:val="Normal"/>
    <w:semiHidden/>
    <w:qFormat/>
    <w:rsid w:val="002C0119"/>
    <w:pPr>
      <w:spacing w:line="240" w:lineRule="auto"/>
      <w:outlineLvl w:val="5"/>
    </w:pPr>
    <w:rPr>
      <w:lang w:val="en-GB"/>
    </w:rPr>
  </w:style>
  <w:style w:type="paragraph" w:styleId="Heading7">
    <w:name w:val="heading 7"/>
    <w:basedOn w:val="Normal"/>
    <w:next w:val="Normal"/>
    <w:semiHidden/>
    <w:qFormat/>
    <w:rsid w:val="002C0119"/>
    <w:pPr>
      <w:spacing w:line="240" w:lineRule="auto"/>
      <w:outlineLvl w:val="6"/>
    </w:pPr>
    <w:rPr>
      <w:lang w:val="en-GB"/>
    </w:rPr>
  </w:style>
  <w:style w:type="paragraph" w:styleId="Heading8">
    <w:name w:val="heading 8"/>
    <w:basedOn w:val="Normal"/>
    <w:next w:val="Normal"/>
    <w:semiHidden/>
    <w:qFormat/>
    <w:rsid w:val="002C0119"/>
    <w:pPr>
      <w:spacing w:line="240" w:lineRule="auto"/>
      <w:outlineLvl w:val="7"/>
    </w:pPr>
    <w:rPr>
      <w:lang w:val="en-GB"/>
    </w:rPr>
  </w:style>
  <w:style w:type="paragraph" w:styleId="Heading9">
    <w:name w:val="heading 9"/>
    <w:basedOn w:val="Normal"/>
    <w:next w:val="Normal"/>
    <w:semiHidden/>
    <w:qFormat/>
    <w:rsid w:val="002C0119"/>
    <w:p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pPr>
      <w:spacing w:after="120"/>
      <w:ind w:left="1134" w:right="1134"/>
      <w:jc w:val="both"/>
    </w:pPr>
  </w:style>
  <w:style w:type="paragraph" w:customStyle="1" w:styleId="HMG">
    <w:name w:val="_ H __M_G"/>
    <w:basedOn w:val="Normal"/>
    <w:next w:val="Normal"/>
    <w:qFormat/>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List Bullet Char"/>
    <w:basedOn w:val="DefaultParagraphFont"/>
    <w:link w:val="ListBullet"/>
    <w:uiPriority w:val="99"/>
    <w:semiHidden/>
    <w:qFormat/>
    <w:rsid w:val="002C0119"/>
    <w:rPr>
      <w:sz w:val="18"/>
      <w:vertAlign w:val="superscript"/>
    </w:rPr>
  </w:style>
  <w:style w:type="character" w:styleId="EndnoteReference">
    <w:name w:val="endnote reference"/>
    <w:aliases w:val="1_G"/>
    <w:basedOn w:val="FootnoteReference"/>
    <w:qFormat/>
    <w:rsid w:val="002C0119"/>
    <w:rPr>
      <w:rFonts w:ascii="Times New Roman" w:hAnsi="Times New Roman"/>
      <w:sz w:val="18"/>
      <w:vertAlign w:val="superscript"/>
    </w:rPr>
  </w:style>
  <w:style w:type="paragraph" w:styleId="Header">
    <w:name w:val="header"/>
    <w:aliases w:val="6_G"/>
    <w:basedOn w:val="Normal"/>
    <w:link w:val="HeaderChar"/>
    <w:uiPriority w:val="99"/>
    <w:qFormat/>
    <w:rsid w:val="002C0119"/>
    <w:pPr>
      <w:pBdr>
        <w:bottom w:val="single" w:sz="4" w:space="4" w:color="auto"/>
      </w:pBdr>
      <w:spacing w:line="240" w:lineRule="auto"/>
    </w:pPr>
    <w:rPr>
      <w:b/>
      <w:sz w:val="18"/>
      <w:lang w:val="en-GB"/>
    </w:rPr>
  </w:style>
  <w:style w:type="table" w:styleId="TableGrid">
    <w:name w:val="Table Grid"/>
    <w:basedOn w:val="TableNormal"/>
    <w:rsid w:val="002C011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6301B4"/>
    <w:rPr>
      <w:color w:val="auto"/>
      <w:u w:val="none"/>
    </w:rPr>
  </w:style>
  <w:style w:type="character" w:styleId="FollowedHyperlink">
    <w:name w:val="FollowedHyperlink"/>
    <w:basedOn w:val="DefaultParagraphFont"/>
    <w:uiPriority w:val="99"/>
    <w:semiHidden/>
    <w:rsid w:val="006301B4"/>
    <w:rPr>
      <w:color w:val="auto"/>
      <w:u w:val="none"/>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FA Fußnotentext,Texto nota pie Car Car Car,Texto nota pie Car Car,Footnote Text Char1 Char,Ca,C,ft,FA"/>
    <w:basedOn w:val="Normal"/>
    <w:link w:val="FootnoteTextChar"/>
    <w:uiPriority w:val="99"/>
    <w:qFormat/>
    <w:rsid w:val="002C0119"/>
    <w:pPr>
      <w:tabs>
        <w:tab w:val="right" w:pos="1021"/>
      </w:tabs>
      <w:spacing w:line="220" w:lineRule="exact"/>
      <w:ind w:left="1134" w:right="1134" w:hanging="1134"/>
    </w:pPr>
    <w:rPr>
      <w:sz w:val="18"/>
      <w:lang w:val="en-GB"/>
    </w:rPr>
  </w:style>
  <w:style w:type="paragraph" w:styleId="EndnoteText">
    <w:name w:val="endnote text"/>
    <w:aliases w:val="2_G"/>
    <w:basedOn w:val="FootnoteText"/>
    <w:qFormat/>
    <w:rsid w:val="002C0119"/>
  </w:style>
  <w:style w:type="character" w:styleId="PageNumber">
    <w:name w:val="page number"/>
    <w:aliases w:val="7_G"/>
    <w:basedOn w:val="DefaultParagraphFont"/>
    <w:qFormat/>
    <w:rsid w:val="002C0119"/>
    <w:rPr>
      <w:rFonts w:ascii="Times New Roman" w:hAnsi="Times New Roman"/>
      <w:b/>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qFormat/>
    <w:rsid w:val="0072632A"/>
    <w:pPr>
      <w:numPr>
        <w:numId w:val="1"/>
      </w:numPr>
      <w:spacing w:after="120"/>
      <w:ind w:right="1134"/>
      <w:jc w:val="both"/>
    </w:pPr>
  </w:style>
  <w:style w:type="paragraph" w:styleId="Footer">
    <w:name w:val="footer"/>
    <w:aliases w:val="3_G"/>
    <w:basedOn w:val="Normal"/>
    <w:link w:val="FooterChar"/>
    <w:uiPriority w:val="99"/>
    <w:qFormat/>
    <w:rsid w:val="002C0119"/>
    <w:pPr>
      <w:spacing w:line="240" w:lineRule="auto"/>
    </w:pPr>
    <w:rPr>
      <w:sz w:val="16"/>
      <w:lang w:val="en-GB"/>
    </w:rPr>
  </w:style>
  <w:style w:type="paragraph" w:customStyle="1" w:styleId="Bullet2G">
    <w:name w:val="_Bullet 2_G"/>
    <w:basedOn w:val="Normal"/>
    <w:qFormat/>
    <w:rsid w:val="003C2CC4"/>
    <w:pPr>
      <w:numPr>
        <w:numId w:val="2"/>
      </w:numPr>
      <w:spacing w:after="120"/>
      <w:ind w:right="1134"/>
      <w:jc w:val="both"/>
    </w:pPr>
  </w:style>
  <w:style w:type="paragraph" w:customStyle="1" w:styleId="H1G">
    <w:name w:val="_ H_1_G"/>
    <w:basedOn w:val="Normal"/>
    <w:next w:val="Normal"/>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B3631A"/>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C81733"/>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C81733"/>
    <w:rPr>
      <w:rFonts w:ascii="Tahoma" w:hAnsi="Tahoma" w:cs="Tahoma"/>
      <w:sz w:val="16"/>
      <w:szCs w:val="16"/>
      <w:lang w:val="es-ES" w:eastAsia="en-US"/>
    </w:rPr>
  </w:style>
  <w:style w:type="paragraph" w:customStyle="1" w:styleId="ParNoG">
    <w:name w:val="_ParNo_G"/>
    <w:basedOn w:val="SingleTxtG"/>
    <w:qFormat/>
    <w:rsid w:val="005F2A1E"/>
    <w:pPr>
      <w:numPr>
        <w:numId w:val="6"/>
      </w:numPr>
      <w:kinsoku w:val="0"/>
      <w:overflowPunct w:val="0"/>
      <w:autoSpaceDE w:val="0"/>
      <w:autoSpaceDN w:val="0"/>
      <w:adjustRightInd w:val="0"/>
      <w:snapToGrid w:val="0"/>
    </w:pPr>
  </w:style>
  <w:style w:type="character" w:customStyle="1" w:styleId="Heading2Char">
    <w:name w:val="Heading 2 Char"/>
    <w:basedOn w:val="DefaultParagraphFont"/>
    <w:link w:val="Heading2"/>
    <w:uiPriority w:val="9"/>
    <w:rsid w:val="00DD3224"/>
    <w:rPr>
      <w:lang w:val="en-GB" w:eastAsia="en-US"/>
    </w:rPr>
  </w:style>
  <w:style w:type="character" w:customStyle="1" w:styleId="Heading1Char">
    <w:name w:val="Heading 1 Char"/>
    <w:aliases w:val="Table_G Char"/>
    <w:basedOn w:val="DefaultParagraphFont"/>
    <w:link w:val="Heading1"/>
    <w:uiPriority w:val="9"/>
    <w:rsid w:val="00052860"/>
    <w:rPr>
      <w:lang w:val="en-GB" w:eastAsia="en-US"/>
    </w:rPr>
  </w:style>
  <w:style w:type="paragraph" w:styleId="BodyText">
    <w:name w:val="Body Text"/>
    <w:basedOn w:val="Normal"/>
    <w:link w:val="BodyTextChar"/>
    <w:uiPriority w:val="1"/>
    <w:qFormat/>
    <w:rsid w:val="00052860"/>
    <w:pPr>
      <w:widowControl w:val="0"/>
      <w:suppressAutoHyphens w:val="0"/>
      <w:autoSpaceDE w:val="0"/>
      <w:autoSpaceDN w:val="0"/>
      <w:spacing w:line="240" w:lineRule="auto"/>
    </w:pPr>
  </w:style>
  <w:style w:type="character" w:customStyle="1" w:styleId="BodyTextChar">
    <w:name w:val="Body Text Char"/>
    <w:basedOn w:val="DefaultParagraphFont"/>
    <w:link w:val="BodyText"/>
    <w:uiPriority w:val="1"/>
    <w:rsid w:val="00052860"/>
    <w:rPr>
      <w:lang w:val="es-ES" w:eastAsia="en-US"/>
    </w:rPr>
  </w:style>
  <w:style w:type="paragraph" w:styleId="ListParagraph">
    <w:name w:val="List Paragraph"/>
    <w:basedOn w:val="Normal"/>
    <w:uiPriority w:val="34"/>
    <w:qFormat/>
    <w:rsid w:val="00052860"/>
    <w:pPr>
      <w:widowControl w:val="0"/>
      <w:suppressAutoHyphens w:val="0"/>
      <w:autoSpaceDE w:val="0"/>
      <w:autoSpaceDN w:val="0"/>
      <w:spacing w:line="240" w:lineRule="auto"/>
      <w:ind w:left="1266" w:right="1245"/>
      <w:jc w:val="both"/>
    </w:pPr>
    <w:rPr>
      <w:sz w:val="22"/>
      <w:szCs w:val="22"/>
    </w:rPr>
  </w:style>
  <w:style w:type="paragraph" w:customStyle="1" w:styleId="TableParagraph">
    <w:name w:val="Table Paragraph"/>
    <w:basedOn w:val="Normal"/>
    <w:uiPriority w:val="1"/>
    <w:qFormat/>
    <w:rsid w:val="00052860"/>
    <w:pPr>
      <w:widowControl w:val="0"/>
      <w:suppressAutoHyphens w:val="0"/>
      <w:autoSpaceDE w:val="0"/>
      <w:autoSpaceDN w:val="0"/>
      <w:spacing w:line="240" w:lineRule="auto"/>
    </w:pPr>
    <w:rPr>
      <w:sz w:val="22"/>
      <w:szCs w:val="22"/>
    </w:rPr>
  </w:style>
  <w:style w:type="character" w:customStyle="1" w:styleId="HeaderChar">
    <w:name w:val="Header Char"/>
    <w:aliases w:val="6_G Char"/>
    <w:basedOn w:val="DefaultParagraphFont"/>
    <w:link w:val="Header"/>
    <w:uiPriority w:val="99"/>
    <w:rsid w:val="00052860"/>
    <w:rPr>
      <w:b/>
      <w:sz w:val="18"/>
      <w:lang w:val="en-GB" w:eastAsia="en-US"/>
    </w:rPr>
  </w:style>
  <w:style w:type="character" w:customStyle="1" w:styleId="FooterChar">
    <w:name w:val="Footer Char"/>
    <w:aliases w:val="3_G Char"/>
    <w:basedOn w:val="DefaultParagraphFont"/>
    <w:link w:val="Footer"/>
    <w:uiPriority w:val="99"/>
    <w:rsid w:val="00052860"/>
    <w:rPr>
      <w:sz w:val="16"/>
      <w:lang w:val="en-GB" w:eastAsia="en-US"/>
    </w:rPr>
  </w:style>
  <w:style w:type="paragraph" w:styleId="Revision">
    <w:name w:val="Revision"/>
    <w:hidden/>
    <w:uiPriority w:val="99"/>
    <w:semiHidden/>
    <w:rsid w:val="00052860"/>
    <w:rPr>
      <w:sz w:val="22"/>
      <w:szCs w:val="22"/>
      <w:lang w:val="es-ES" w:eastAsia="en-US"/>
    </w:rPr>
  </w:style>
  <w:style w:type="character" w:customStyle="1" w:styleId="FootnoteTextChar">
    <w:name w:val="Footnote Text Char"/>
    <w:aliases w:val="5_G Char,Footnote Text Char Char Char Char Char Char,Footnote Text Char Char Char Char Char1,Footnote reference Char,FA Fu Char,Footnote Text Char Char Char Char1,FA Fußnotentext Char,Texto nota pie Car Car Car Char,Ca Char,C Char"/>
    <w:basedOn w:val="DefaultParagraphFont"/>
    <w:link w:val="FootnoteText"/>
    <w:uiPriority w:val="99"/>
    <w:rsid w:val="00052860"/>
    <w:rPr>
      <w:sz w:val="18"/>
      <w:lang w:val="en-GB" w:eastAsia="en-US"/>
    </w:rPr>
  </w:style>
  <w:style w:type="character" w:styleId="CommentReference">
    <w:name w:val="annotation reference"/>
    <w:basedOn w:val="DefaultParagraphFont"/>
    <w:uiPriority w:val="99"/>
    <w:semiHidden/>
    <w:unhideWhenUsed/>
    <w:rsid w:val="00052860"/>
    <w:rPr>
      <w:sz w:val="16"/>
      <w:szCs w:val="16"/>
    </w:rPr>
  </w:style>
  <w:style w:type="paragraph" w:styleId="CommentText">
    <w:name w:val="annotation text"/>
    <w:basedOn w:val="Normal"/>
    <w:link w:val="CommentTextChar"/>
    <w:uiPriority w:val="99"/>
    <w:unhideWhenUsed/>
    <w:rsid w:val="00052860"/>
    <w:pPr>
      <w:widowControl w:val="0"/>
      <w:suppressAutoHyphens w:val="0"/>
      <w:autoSpaceDE w:val="0"/>
      <w:autoSpaceDN w:val="0"/>
      <w:spacing w:line="240" w:lineRule="auto"/>
    </w:pPr>
  </w:style>
  <w:style w:type="character" w:customStyle="1" w:styleId="CommentTextChar">
    <w:name w:val="Comment Text Char"/>
    <w:basedOn w:val="DefaultParagraphFont"/>
    <w:link w:val="CommentText"/>
    <w:uiPriority w:val="99"/>
    <w:rsid w:val="00052860"/>
    <w:rPr>
      <w:lang w:val="es-ES" w:eastAsia="en-US"/>
    </w:rPr>
  </w:style>
  <w:style w:type="paragraph" w:styleId="CommentSubject">
    <w:name w:val="annotation subject"/>
    <w:basedOn w:val="CommentText"/>
    <w:next w:val="CommentText"/>
    <w:link w:val="CommentSubjectChar"/>
    <w:uiPriority w:val="99"/>
    <w:semiHidden/>
    <w:unhideWhenUsed/>
    <w:rsid w:val="00052860"/>
    <w:rPr>
      <w:b/>
      <w:bCs/>
    </w:rPr>
  </w:style>
  <w:style w:type="character" w:customStyle="1" w:styleId="CommentSubjectChar">
    <w:name w:val="Comment Subject Char"/>
    <w:basedOn w:val="CommentTextChar"/>
    <w:link w:val="CommentSubject"/>
    <w:uiPriority w:val="99"/>
    <w:semiHidden/>
    <w:rsid w:val="00052860"/>
    <w:rPr>
      <w:b/>
      <w:bCs/>
      <w:lang w:val="es-ES" w:eastAsia="en-US"/>
    </w:rPr>
  </w:style>
  <w:style w:type="table" w:customStyle="1" w:styleId="TableNormal1">
    <w:name w:val="Table Normal1"/>
    <w:uiPriority w:val="2"/>
    <w:semiHidden/>
    <w:unhideWhenUsed/>
    <w:qFormat/>
    <w:rsid w:val="0005286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rtejustify">
    <w:name w:val="rtejustify"/>
    <w:basedOn w:val="Normal"/>
    <w:rsid w:val="00052860"/>
    <w:pPr>
      <w:suppressAutoHyphens w:val="0"/>
      <w:spacing w:before="100" w:beforeAutospacing="1" w:after="100" w:afterAutospacing="1" w:line="240" w:lineRule="auto"/>
    </w:pPr>
    <w:rPr>
      <w:sz w:val="24"/>
      <w:szCs w:val="24"/>
      <w:lang w:val="es-GT" w:eastAsia="zh-CN"/>
    </w:rPr>
  </w:style>
  <w:style w:type="character" w:customStyle="1" w:styleId="normaltextrun">
    <w:name w:val="normaltextrun"/>
    <w:basedOn w:val="DefaultParagraphFont"/>
    <w:rsid w:val="00052860"/>
  </w:style>
  <w:style w:type="paragraph" w:customStyle="1" w:styleId="paragraph">
    <w:name w:val="paragraph"/>
    <w:basedOn w:val="Normal"/>
    <w:rsid w:val="00052860"/>
    <w:pPr>
      <w:suppressAutoHyphens w:val="0"/>
      <w:spacing w:before="100" w:beforeAutospacing="1" w:after="100" w:afterAutospacing="1" w:line="240" w:lineRule="auto"/>
    </w:pPr>
    <w:rPr>
      <w:sz w:val="24"/>
      <w:szCs w:val="24"/>
      <w:lang w:val="es-GT" w:eastAsia="zh-CN"/>
    </w:rPr>
  </w:style>
  <w:style w:type="character" w:customStyle="1" w:styleId="superscript">
    <w:name w:val="superscript"/>
    <w:basedOn w:val="DefaultParagraphFont"/>
    <w:rsid w:val="00052860"/>
  </w:style>
  <w:style w:type="character" w:customStyle="1" w:styleId="eop">
    <w:name w:val="eop"/>
    <w:basedOn w:val="DefaultParagraphFont"/>
    <w:rsid w:val="00052860"/>
  </w:style>
  <w:style w:type="character" w:customStyle="1" w:styleId="tabchar">
    <w:name w:val="tabchar"/>
    <w:basedOn w:val="DefaultParagraphFont"/>
    <w:rsid w:val="00052860"/>
  </w:style>
  <w:style w:type="character" w:styleId="UnresolvedMention">
    <w:name w:val="Unresolved Mention"/>
    <w:basedOn w:val="DefaultParagraphFont"/>
    <w:uiPriority w:val="99"/>
    <w:semiHidden/>
    <w:unhideWhenUsed/>
    <w:rsid w:val="00052860"/>
    <w:rPr>
      <w:color w:val="605E5C"/>
      <w:shd w:val="clear" w:color="auto" w:fill="E1DFDD"/>
    </w:rPr>
  </w:style>
  <w:style w:type="character" w:styleId="Mention">
    <w:name w:val="Mention"/>
    <w:basedOn w:val="DefaultParagraphFont"/>
    <w:uiPriority w:val="99"/>
    <w:unhideWhenUsed/>
    <w:rsid w:val="00052860"/>
    <w:rPr>
      <w:color w:val="2B579A"/>
      <w:shd w:val="clear" w:color="auto" w:fill="E1DFDD"/>
    </w:rPr>
  </w:style>
  <w:style w:type="character" w:customStyle="1" w:styleId="cf01">
    <w:name w:val="cf01"/>
    <w:basedOn w:val="DefaultParagraphFont"/>
    <w:rsid w:val="00052860"/>
    <w:rPr>
      <w:rFonts w:ascii="Segoe UI" w:hAnsi="Segoe UI" w:cs="Segoe UI" w:hint="default"/>
      <w:sz w:val="18"/>
      <w:szCs w:val="18"/>
    </w:rPr>
  </w:style>
  <w:style w:type="paragraph" w:styleId="ListBullet">
    <w:name w:val="List Bullet"/>
    <w:basedOn w:val="Normal"/>
    <w:link w:val="FootnoteReference"/>
    <w:uiPriority w:val="99"/>
    <w:semiHidden/>
    <w:unhideWhenUsed/>
    <w:rsid w:val="00052860"/>
    <w:pPr>
      <w:numPr>
        <w:numId w:val="43"/>
      </w:numPr>
      <w:suppressAutoHyphens w:val="0"/>
      <w:spacing w:after="200" w:line="276" w:lineRule="auto"/>
      <w:contextualSpacing/>
      <w:jc w:val="both"/>
    </w:pPr>
    <w:rPr>
      <w:sz w:val="18"/>
      <w:vertAlign w:val="superscript"/>
      <w:lang w:val="fr-FR" w:eastAsia="fr-FR"/>
    </w:rPr>
  </w:style>
  <w:style w:type="character" w:customStyle="1" w:styleId="SingleTxtGChar">
    <w:name w:val="_ Single Txt_G Char"/>
    <w:link w:val="SingleTxtG"/>
    <w:rsid w:val="00052860"/>
    <w:rPr>
      <w:lang w:val="es-ES" w:eastAsia="en-US"/>
    </w:rPr>
  </w:style>
  <w:style w:type="character" w:customStyle="1" w:styleId="ui-provider">
    <w:name w:val="ui-provider"/>
    <w:basedOn w:val="DefaultParagraphFont"/>
    <w:rsid w:val="00826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19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iudpas.unah.edu.hn/dmsdocument/15970-infografia-muerte-violenta-de-mujeres-datos-preliminares-enero-" TargetMode="External"/><Relationship Id="rId3" Type="http://schemas.openxmlformats.org/officeDocument/2006/relationships/hyperlink" Target="https://www.imf.org/es/News/Articles/2023/09/21/pr23321-honduras-imf-executive-board-approve-" TargetMode="External"/><Relationship Id="rId7" Type="http://schemas.openxmlformats.org/officeDocument/2006/relationships/hyperlink" Target="https://gobiernosolidario.sgjd.gob.hn/6336/presidenta-xiomara-castro-anuncia-la-creacion-de-una-comision-" TargetMode="External"/><Relationship Id="rId2" Type="http://schemas.openxmlformats.org/officeDocument/2006/relationships/hyperlink" Target="https://oacnudh.hn/6-de-diciembre-de-2023-a-un-ano-del-estado-de-excepcion-en-honduras-oacnudh-llama-al-" TargetMode="External"/><Relationship Id="rId1" Type="http://schemas.openxmlformats.org/officeDocument/2006/relationships/hyperlink" Target="https://conadeh.hn/wp-content/uploads/2024/02/Alerta-Temprana-No.-001-2023-MP-1.pdf" TargetMode="External"/><Relationship Id="rId6" Type="http://schemas.openxmlformats.org/officeDocument/2006/relationships/hyperlink" Target="https://www.mp.hn/publicaciones/fiscalia-de-las-etnias-presenta-requerimiento-fiscal-contra-un-extranjero-por-" TargetMode="External"/><Relationship Id="rId5" Type="http://schemas.openxmlformats.org/officeDocument/2006/relationships/hyperlink" Target="https://www.ohchr.org/sites/default/files/documents/issues/climatechange/statements/eom-statement-honduras-" TargetMode="External"/><Relationship Id="rId4" Type="http://schemas.openxmlformats.org/officeDocument/2006/relationships/hyperlink" Target="https://www.ohchr.org/sites/default/files/documents/issues/climatechange/statements/eom-statement-honduras-" TargetMode="External"/><Relationship Id="rId9" Type="http://schemas.openxmlformats.org/officeDocument/2006/relationships/hyperlink" Target="https://honduras.un.org/es/234541-comunicado-sobre-la-ley-de-educaci%C3%B3n-integral-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S.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27EA0-24CF-45EB-84CB-25286F014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A_S.dotm</Template>
  <TotalTime>1</TotalTime>
  <Pages>16</Pages>
  <Words>7908</Words>
  <Characters>43495</Characters>
  <Application>Microsoft Office Word</Application>
  <DocSecurity>0</DocSecurity>
  <Lines>362</Lines>
  <Paragraphs>102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A/HRC/55/21</vt:lpstr>
      <vt:lpstr/>
    </vt:vector>
  </TitlesOfParts>
  <Company>CSD</Company>
  <LinksUpToDate>false</LinksUpToDate>
  <CharactersWithSpaces>51301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A/HRC/55/21</dc:title>
  <dc:creator>ANELL MARDERO Nelida</dc:creator>
  <cp:lastModifiedBy>Veronique Lanz</cp:lastModifiedBy>
  <cp:revision>2</cp:revision>
  <cp:lastPrinted>2008-01-29T08:30:00Z</cp:lastPrinted>
  <dcterms:created xsi:type="dcterms:W3CDTF">2024-03-01T14:25:00Z</dcterms:created>
  <dcterms:modified xsi:type="dcterms:W3CDTF">2024-03-01T14:25:00Z</dcterms:modified>
</cp:coreProperties>
</file>