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1DC21EB5" w14:textId="77777777" w:rsidTr="00433E00">
        <w:trPr>
          <w:trHeight w:val="851"/>
        </w:trPr>
        <w:tc>
          <w:tcPr>
            <w:tcW w:w="1259" w:type="dxa"/>
            <w:tcBorders>
              <w:top w:val="nil"/>
              <w:left w:val="nil"/>
              <w:bottom w:val="single" w:sz="4" w:space="0" w:color="auto"/>
              <w:right w:val="nil"/>
            </w:tcBorders>
          </w:tcPr>
          <w:p w14:paraId="7C058B64"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7BC17742" w14:textId="3DE8D9DF"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8090999" w14:textId="77777777" w:rsidR="00446DE4" w:rsidRPr="000328F5" w:rsidRDefault="00433E00" w:rsidP="00433E00">
            <w:pPr>
              <w:jc w:val="right"/>
            </w:pPr>
            <w:r w:rsidRPr="00433E00">
              <w:rPr>
                <w:sz w:val="40"/>
              </w:rPr>
              <w:t>A</w:t>
            </w:r>
            <w:r>
              <w:t>/HRC/55/17/Add.1</w:t>
            </w:r>
          </w:p>
        </w:tc>
      </w:tr>
      <w:tr w:rsidR="003107FA" w:rsidRPr="000328F5" w14:paraId="27E7C165" w14:textId="77777777" w:rsidTr="00433E00">
        <w:trPr>
          <w:trHeight w:val="2835"/>
        </w:trPr>
        <w:tc>
          <w:tcPr>
            <w:tcW w:w="1259" w:type="dxa"/>
            <w:tcBorders>
              <w:top w:val="single" w:sz="4" w:space="0" w:color="auto"/>
              <w:left w:val="nil"/>
              <w:bottom w:val="single" w:sz="12" w:space="0" w:color="auto"/>
              <w:right w:val="nil"/>
            </w:tcBorders>
          </w:tcPr>
          <w:p w14:paraId="3B20BD5A" w14:textId="6A50EEDF"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720CF6FD" w14:textId="2A5CC3D8" w:rsidR="003107FA" w:rsidRPr="000328F5" w:rsidRDefault="00F57854"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766C4B2E" w14:textId="77777777" w:rsidR="003107FA" w:rsidRDefault="00433E00" w:rsidP="00433E00">
            <w:pPr>
              <w:spacing w:before="240" w:line="240" w:lineRule="exact"/>
            </w:pPr>
            <w:proofErr w:type="spellStart"/>
            <w:r>
              <w:t>Distr</w:t>
            </w:r>
            <w:proofErr w:type="spellEnd"/>
            <w:r>
              <w:t>. general</w:t>
            </w:r>
          </w:p>
          <w:p w14:paraId="338D2CE8" w14:textId="6FCFA4B6" w:rsidR="00433E00" w:rsidRDefault="00587AD2" w:rsidP="00433E00">
            <w:pPr>
              <w:spacing w:line="240" w:lineRule="exact"/>
            </w:pPr>
            <w:r>
              <w:t>4</w:t>
            </w:r>
            <w:r w:rsidR="00433E00">
              <w:t xml:space="preserve"> de marzo de 2024</w:t>
            </w:r>
          </w:p>
          <w:p w14:paraId="4A008A3C" w14:textId="77777777" w:rsidR="00433E00" w:rsidRDefault="00433E00" w:rsidP="00433E00">
            <w:pPr>
              <w:spacing w:line="240" w:lineRule="exact"/>
            </w:pPr>
          </w:p>
          <w:p w14:paraId="11C4045B" w14:textId="77777777" w:rsidR="00433E00" w:rsidRPr="000328F5" w:rsidRDefault="00433E00" w:rsidP="00433E00">
            <w:pPr>
              <w:spacing w:line="240" w:lineRule="exact"/>
            </w:pPr>
            <w:r>
              <w:t>Original: español</w:t>
            </w:r>
          </w:p>
        </w:tc>
      </w:tr>
    </w:tbl>
    <w:p w14:paraId="144C6C78" w14:textId="77777777" w:rsidR="00433E00" w:rsidRPr="00766159" w:rsidRDefault="00433E00" w:rsidP="00433E00">
      <w:pPr>
        <w:suppressAutoHyphens w:val="0"/>
        <w:spacing w:before="120"/>
        <w:rPr>
          <w:rFonts w:eastAsia="MS Mincho"/>
          <w:b/>
          <w:bCs/>
          <w:sz w:val="24"/>
          <w:szCs w:val="24"/>
          <w:lang w:eastAsia="es-ES"/>
        </w:rPr>
      </w:pPr>
      <w:r w:rsidRPr="00766159">
        <w:rPr>
          <w:rFonts w:eastAsia="MS Mincho"/>
          <w:b/>
          <w:bCs/>
          <w:sz w:val="24"/>
          <w:szCs w:val="24"/>
          <w:lang w:eastAsia="es-ES"/>
        </w:rPr>
        <w:t>Consejo de Derechos Humanos</w:t>
      </w:r>
    </w:p>
    <w:p w14:paraId="52E9F76F" w14:textId="77777777" w:rsidR="00433E00" w:rsidRPr="00766159" w:rsidRDefault="00433E00" w:rsidP="00433E00">
      <w:pPr>
        <w:suppressAutoHyphens w:val="0"/>
        <w:rPr>
          <w:rFonts w:eastAsia="MS Mincho"/>
          <w:b/>
          <w:bCs/>
          <w:lang w:eastAsia="es-ES"/>
        </w:rPr>
      </w:pPr>
      <w:r w:rsidRPr="00766159">
        <w:rPr>
          <w:rFonts w:eastAsia="MS Mincho"/>
          <w:b/>
          <w:bCs/>
          <w:lang w:eastAsia="es-ES"/>
        </w:rPr>
        <w:t>5</w:t>
      </w:r>
      <w:r>
        <w:rPr>
          <w:rFonts w:eastAsia="MS Mincho"/>
          <w:b/>
          <w:bCs/>
          <w:lang w:eastAsia="es-ES"/>
        </w:rPr>
        <w:t>5</w:t>
      </w:r>
      <w:r w:rsidRPr="00766159">
        <w:rPr>
          <w:rFonts w:eastAsia="MS Mincho"/>
          <w:b/>
          <w:bCs/>
          <w:lang w:eastAsia="es-ES"/>
        </w:rPr>
        <w:t>º período de sesiones</w:t>
      </w:r>
    </w:p>
    <w:p w14:paraId="74C62DDF" w14:textId="77777777" w:rsidR="00433E00" w:rsidRPr="00766159" w:rsidRDefault="00433E00" w:rsidP="00433E00">
      <w:pPr>
        <w:suppressAutoHyphens w:val="0"/>
        <w:rPr>
          <w:rFonts w:eastAsia="MS Mincho"/>
          <w:bCs/>
          <w:lang w:val="fr-FR" w:eastAsia="es-ES"/>
        </w:rPr>
      </w:pPr>
      <w:r>
        <w:rPr>
          <w:rFonts w:eastAsia="MS Mincho"/>
          <w:bCs/>
          <w:lang w:val="fr-FR" w:eastAsia="es-ES"/>
        </w:rPr>
        <w:t>26</w:t>
      </w:r>
      <w:r w:rsidRPr="00766159">
        <w:rPr>
          <w:rFonts w:eastAsia="MS Mincho"/>
          <w:bCs/>
          <w:lang w:val="fr-FR" w:eastAsia="es-ES"/>
        </w:rPr>
        <w:t xml:space="preserve"> de </w:t>
      </w:r>
      <w:proofErr w:type="spellStart"/>
      <w:r>
        <w:rPr>
          <w:rFonts w:eastAsia="MS Mincho"/>
          <w:bCs/>
          <w:lang w:val="fr-FR" w:eastAsia="es-ES"/>
        </w:rPr>
        <w:t>febrero</w:t>
      </w:r>
      <w:proofErr w:type="spellEnd"/>
      <w:r w:rsidRPr="00766159">
        <w:rPr>
          <w:rFonts w:eastAsia="MS Mincho"/>
          <w:bCs/>
          <w:lang w:val="fr-FR" w:eastAsia="es-ES"/>
        </w:rPr>
        <w:t>–</w:t>
      </w:r>
      <w:r>
        <w:rPr>
          <w:rFonts w:eastAsia="MS Mincho"/>
          <w:bCs/>
          <w:lang w:val="fr-FR" w:eastAsia="es-ES"/>
        </w:rPr>
        <w:t>5</w:t>
      </w:r>
      <w:r w:rsidRPr="00766159">
        <w:rPr>
          <w:rFonts w:eastAsia="MS Mincho"/>
          <w:bCs/>
          <w:lang w:val="fr-FR" w:eastAsia="es-ES"/>
        </w:rPr>
        <w:t xml:space="preserve"> de </w:t>
      </w:r>
      <w:proofErr w:type="spellStart"/>
      <w:r>
        <w:rPr>
          <w:rFonts w:eastAsia="MS Mincho"/>
          <w:bCs/>
          <w:lang w:val="fr-FR" w:eastAsia="es-ES"/>
        </w:rPr>
        <w:t>abril</w:t>
      </w:r>
      <w:proofErr w:type="spellEnd"/>
      <w:r w:rsidRPr="00766159">
        <w:rPr>
          <w:rFonts w:eastAsia="MS Mincho"/>
          <w:bCs/>
          <w:lang w:val="fr-FR" w:eastAsia="es-ES"/>
        </w:rPr>
        <w:t xml:space="preserve"> de 202</w:t>
      </w:r>
      <w:r>
        <w:rPr>
          <w:rFonts w:eastAsia="MS Mincho"/>
          <w:bCs/>
          <w:lang w:val="fr-FR" w:eastAsia="es-ES"/>
        </w:rPr>
        <w:t>4</w:t>
      </w:r>
    </w:p>
    <w:p w14:paraId="71DAA7F7" w14:textId="77777777" w:rsidR="00433E00" w:rsidRPr="00766159" w:rsidRDefault="00433E00" w:rsidP="00433E00">
      <w:pPr>
        <w:suppressAutoHyphens w:val="0"/>
        <w:rPr>
          <w:rFonts w:eastAsia="MS Mincho"/>
          <w:lang w:eastAsia="es-ES"/>
        </w:rPr>
      </w:pPr>
      <w:r w:rsidRPr="00766159">
        <w:rPr>
          <w:rFonts w:eastAsia="MS Mincho"/>
          <w:lang w:eastAsia="es-ES"/>
        </w:rPr>
        <w:t>Tema 6 de la agenda</w:t>
      </w:r>
    </w:p>
    <w:p w14:paraId="6C6A948E" w14:textId="77777777" w:rsidR="00433E00" w:rsidRPr="00766159" w:rsidRDefault="00433E00" w:rsidP="00433E00">
      <w:pPr>
        <w:suppressAutoHyphens w:val="0"/>
        <w:rPr>
          <w:rFonts w:eastAsia="MS Mincho"/>
          <w:b/>
          <w:lang w:eastAsia="es-ES"/>
        </w:rPr>
      </w:pPr>
      <w:r w:rsidRPr="00766159">
        <w:rPr>
          <w:rFonts w:eastAsia="MS Mincho"/>
          <w:b/>
          <w:lang w:eastAsia="es-ES"/>
        </w:rPr>
        <w:t>Examen periódico universal</w:t>
      </w:r>
    </w:p>
    <w:p w14:paraId="4FD20618" w14:textId="77777777" w:rsidR="00433E00" w:rsidRPr="00766159" w:rsidRDefault="00433E00" w:rsidP="00433E00">
      <w:pPr>
        <w:keepNext/>
        <w:keepLines/>
        <w:tabs>
          <w:tab w:val="right" w:pos="851"/>
        </w:tabs>
        <w:spacing w:before="360" w:after="240" w:line="300" w:lineRule="exact"/>
        <w:ind w:left="1134" w:right="1134" w:hanging="1134"/>
        <w:rPr>
          <w:rFonts w:eastAsia="MS Mincho"/>
          <w:b/>
          <w:sz w:val="28"/>
          <w:lang w:eastAsia="es-ES"/>
        </w:rPr>
      </w:pPr>
      <w:r w:rsidRPr="00766159">
        <w:rPr>
          <w:rFonts w:eastAsia="MS Mincho"/>
          <w:b/>
          <w:sz w:val="28"/>
          <w:lang w:eastAsia="es-ES"/>
        </w:rPr>
        <w:tab/>
      </w:r>
      <w:r w:rsidRPr="00766159">
        <w:rPr>
          <w:rFonts w:eastAsia="MS Mincho"/>
          <w:b/>
          <w:sz w:val="28"/>
          <w:lang w:eastAsia="es-ES"/>
        </w:rPr>
        <w:tab/>
        <w:t xml:space="preserve">Informe del Grupo de Trabajo sobre el Examen </w:t>
      </w:r>
      <w:r w:rsidRPr="00766159">
        <w:rPr>
          <w:rFonts w:eastAsia="MS Mincho"/>
          <w:b/>
          <w:sz w:val="28"/>
          <w:lang w:eastAsia="es-ES"/>
        </w:rPr>
        <w:br/>
        <w:t>Periódico Universal</w:t>
      </w:r>
      <w:r w:rsidRPr="00766159">
        <w:rPr>
          <w:rFonts w:eastAsia="MS Mincho"/>
          <w:lang w:eastAsia="es-ES"/>
        </w:rPr>
        <w:footnoteReference w:customMarkFollows="1" w:id="2"/>
        <w:t>*</w:t>
      </w:r>
    </w:p>
    <w:p w14:paraId="47409FF5" w14:textId="2E56107E" w:rsidR="00433E00" w:rsidRPr="00766159" w:rsidRDefault="00433E00" w:rsidP="00433E00">
      <w:pPr>
        <w:keepNext/>
        <w:keepLines/>
        <w:tabs>
          <w:tab w:val="right" w:pos="851"/>
        </w:tabs>
        <w:spacing w:before="360" w:after="240" w:line="300" w:lineRule="exact"/>
        <w:ind w:left="1134" w:right="1134" w:hanging="1134"/>
        <w:rPr>
          <w:rFonts w:eastAsia="MS Mincho"/>
          <w:b/>
          <w:sz w:val="28"/>
          <w:lang w:eastAsia="es-ES"/>
        </w:rPr>
      </w:pPr>
      <w:r w:rsidRPr="00766159">
        <w:rPr>
          <w:rFonts w:eastAsia="MS Mincho"/>
          <w:b/>
          <w:sz w:val="28"/>
          <w:lang w:eastAsia="es-ES"/>
        </w:rPr>
        <w:tab/>
      </w:r>
      <w:r w:rsidRPr="00766159">
        <w:rPr>
          <w:rFonts w:eastAsia="MS Mincho"/>
          <w:b/>
          <w:sz w:val="28"/>
          <w:lang w:eastAsia="es-ES"/>
        </w:rPr>
        <w:tab/>
      </w:r>
      <w:r>
        <w:rPr>
          <w:rFonts w:eastAsia="MS Mincho"/>
          <w:b/>
          <w:sz w:val="28"/>
          <w:lang w:eastAsia="es-ES"/>
        </w:rPr>
        <w:t>Cuba</w:t>
      </w:r>
    </w:p>
    <w:p w14:paraId="154560A9" w14:textId="77777777" w:rsidR="00433E00" w:rsidRPr="00766159" w:rsidRDefault="00433E00" w:rsidP="00433E00">
      <w:pPr>
        <w:keepNext/>
        <w:keepLines/>
        <w:tabs>
          <w:tab w:val="right" w:pos="851"/>
        </w:tabs>
        <w:spacing w:before="360" w:after="240" w:line="270" w:lineRule="exact"/>
        <w:ind w:left="1134" w:right="1134" w:hanging="1134"/>
        <w:rPr>
          <w:rFonts w:eastAsia="MS Mincho"/>
          <w:b/>
          <w:sz w:val="24"/>
          <w:lang w:eastAsia="es-ES"/>
        </w:rPr>
      </w:pPr>
      <w:r w:rsidRPr="00766159">
        <w:rPr>
          <w:rFonts w:eastAsia="MS Mincho"/>
          <w:b/>
          <w:sz w:val="24"/>
          <w:lang w:eastAsia="es-ES"/>
        </w:rPr>
        <w:tab/>
      </w:r>
      <w:r w:rsidRPr="00766159">
        <w:rPr>
          <w:rFonts w:eastAsia="MS Mincho"/>
          <w:b/>
          <w:sz w:val="24"/>
          <w:lang w:eastAsia="es-ES"/>
        </w:rPr>
        <w:tab/>
        <w:t>Adición</w:t>
      </w:r>
    </w:p>
    <w:p w14:paraId="2199E107" w14:textId="77777777" w:rsidR="00433E00" w:rsidRPr="00766159" w:rsidRDefault="00433E00" w:rsidP="00433E00">
      <w:pPr>
        <w:keepNext/>
        <w:keepLines/>
        <w:tabs>
          <w:tab w:val="right" w:pos="851"/>
        </w:tabs>
        <w:spacing w:before="360" w:after="240" w:line="270" w:lineRule="exact"/>
        <w:ind w:left="1134" w:right="1134" w:hanging="1134"/>
        <w:rPr>
          <w:rFonts w:eastAsia="MS Mincho"/>
          <w:b/>
          <w:sz w:val="24"/>
          <w:lang w:eastAsia="es-ES"/>
        </w:rPr>
      </w:pPr>
      <w:r w:rsidRPr="00766159">
        <w:rPr>
          <w:rFonts w:eastAsia="MS Mincho"/>
          <w:b/>
          <w:sz w:val="24"/>
          <w:lang w:eastAsia="es-ES"/>
        </w:rPr>
        <w:tab/>
      </w:r>
      <w:r w:rsidRPr="00766159">
        <w:rPr>
          <w:rFonts w:eastAsia="MS Mincho"/>
          <w:b/>
          <w:sz w:val="24"/>
          <w:lang w:eastAsia="es-ES"/>
        </w:rPr>
        <w:tab/>
        <w:t>Observaciones sobre las conclusiones y/o recomendaciones</w:t>
      </w:r>
      <w:r>
        <w:rPr>
          <w:rFonts w:eastAsia="MS Mincho"/>
          <w:b/>
          <w:sz w:val="24"/>
          <w:lang w:eastAsia="es-ES"/>
        </w:rPr>
        <w:t>,</w:t>
      </w:r>
      <w:r w:rsidRPr="00766159">
        <w:rPr>
          <w:rFonts w:eastAsia="MS Mincho"/>
          <w:b/>
          <w:sz w:val="24"/>
          <w:lang w:eastAsia="es-ES"/>
        </w:rPr>
        <w:t xml:space="preserve"> compromisos voluntarios y respuestas del Estado examinado</w:t>
      </w:r>
    </w:p>
    <w:p w14:paraId="5ED616AA" w14:textId="5841949D" w:rsidR="00433E00" w:rsidRPr="00433E00" w:rsidRDefault="00433E00" w:rsidP="00433E00">
      <w:pPr>
        <w:pStyle w:val="SingleTxtG"/>
        <w:rPr>
          <w:rFonts w:eastAsia="MS Mincho"/>
        </w:rPr>
      </w:pPr>
      <w:r w:rsidRPr="00766159">
        <w:rPr>
          <w:rFonts w:eastAsia="MS Mincho"/>
        </w:rPr>
        <w:br w:type="page"/>
      </w:r>
      <w:r>
        <w:rPr>
          <w:rFonts w:eastAsia="MS Mincho"/>
        </w:rPr>
        <w:lastRenderedPageBreak/>
        <w:t>1.</w:t>
      </w:r>
      <w:r>
        <w:rPr>
          <w:rFonts w:eastAsia="MS Mincho"/>
        </w:rPr>
        <w:tab/>
      </w:r>
      <w:r w:rsidRPr="00433E00">
        <w:rPr>
          <w:rFonts w:eastAsia="MS Mincho"/>
        </w:rPr>
        <w:t>La Misión quisiera llamar a su atención que, de 361 recomendaciones recibidas, 6 se han dividido en varias partes, a saber:</w:t>
      </w:r>
    </w:p>
    <w:p w14:paraId="51DC1D91" w14:textId="3DAD2DD6" w:rsidR="00433E00" w:rsidRPr="00433E00" w:rsidRDefault="00433E00" w:rsidP="00433E00">
      <w:pPr>
        <w:pStyle w:val="Bullet1G"/>
        <w:rPr>
          <w:lang w:eastAsia="es-ES"/>
        </w:rPr>
      </w:pPr>
      <w:r w:rsidRPr="00433E00">
        <w:rPr>
          <w:lang w:val="es-ES_tradnl" w:eastAsia="es-ES"/>
        </w:rPr>
        <w:t xml:space="preserve">La </w:t>
      </w:r>
      <w:r w:rsidRPr="00433E00">
        <w:rPr>
          <w:lang w:eastAsia="es-ES"/>
        </w:rPr>
        <w:t>Recomendación 44.64. La primera parte cuenta con el apoyo y de la segunda parte se tomó nota.</w:t>
      </w:r>
    </w:p>
    <w:p w14:paraId="03AD5993" w14:textId="77777777" w:rsidR="00433E00" w:rsidRPr="00433E00" w:rsidRDefault="00433E00" w:rsidP="00433E00">
      <w:pPr>
        <w:pStyle w:val="Bullet1G"/>
        <w:rPr>
          <w:lang w:eastAsia="es-ES"/>
        </w:rPr>
      </w:pPr>
      <w:r w:rsidRPr="00433E00">
        <w:rPr>
          <w:lang w:eastAsia="es-ES"/>
        </w:rPr>
        <w:t>Recomendación 44.94. La primera parte cuenta con el apoyo y la otra no.</w:t>
      </w:r>
    </w:p>
    <w:p w14:paraId="65E9DD5F" w14:textId="77777777" w:rsidR="00433E00" w:rsidRPr="00433E00" w:rsidRDefault="00433E00" w:rsidP="00433E00">
      <w:pPr>
        <w:pStyle w:val="Bullet1G"/>
        <w:rPr>
          <w:lang w:eastAsia="es-ES"/>
        </w:rPr>
      </w:pPr>
      <w:r w:rsidRPr="00433E00">
        <w:rPr>
          <w:lang w:eastAsia="es-ES"/>
        </w:rPr>
        <w:t>Recomendación 44.139. Las primera y tercera parte cuentan con el apoyo, la segunda parte no.</w:t>
      </w:r>
    </w:p>
    <w:p w14:paraId="0A2D83AA" w14:textId="77777777" w:rsidR="00433E00" w:rsidRPr="00433E00" w:rsidRDefault="00433E00" w:rsidP="00433E00">
      <w:pPr>
        <w:pStyle w:val="Bullet1G"/>
        <w:rPr>
          <w:lang w:eastAsia="es-ES"/>
        </w:rPr>
      </w:pPr>
      <w:r w:rsidRPr="00433E00">
        <w:rPr>
          <w:lang w:eastAsia="es-ES"/>
        </w:rPr>
        <w:t>Recomendación 44.172. La primera parte cuenta con el apoyo y la otra no.</w:t>
      </w:r>
    </w:p>
    <w:p w14:paraId="74CA9DD9" w14:textId="6B73A1B3" w:rsidR="00433E00" w:rsidRPr="00433E00" w:rsidRDefault="00433E00" w:rsidP="00433E00">
      <w:pPr>
        <w:pStyle w:val="Bullet1G"/>
        <w:rPr>
          <w:lang w:eastAsia="es-ES"/>
        </w:rPr>
      </w:pPr>
      <w:r w:rsidRPr="00433E00">
        <w:rPr>
          <w:lang w:eastAsia="es-ES"/>
        </w:rPr>
        <w:t>Recomendación 44.292. La segunda parte cuenta con el apoyo y de la primera parte se tomó nota.</w:t>
      </w:r>
    </w:p>
    <w:p w14:paraId="0BC88A2A" w14:textId="4E0F3448" w:rsidR="00433E00" w:rsidRPr="00433E00" w:rsidRDefault="00433E00" w:rsidP="00433E00">
      <w:pPr>
        <w:pStyle w:val="Bullet1G"/>
        <w:rPr>
          <w:rFonts w:eastAsia="MS Mincho"/>
        </w:rPr>
      </w:pPr>
      <w:r w:rsidRPr="00433E00">
        <w:rPr>
          <w:lang w:eastAsia="es-ES"/>
        </w:rPr>
        <w:t>Recomendación 44.295. Las primera y tercera parte cuentan con el apoyo y de la segunda parte se tomó nota.</w:t>
      </w:r>
    </w:p>
    <w:p w14:paraId="43A01226" w14:textId="3E9F9E18" w:rsidR="00433E00" w:rsidRPr="00433E00" w:rsidRDefault="00B67A26" w:rsidP="00B67A26">
      <w:pPr>
        <w:pStyle w:val="SingleTxtG"/>
        <w:rPr>
          <w:rFonts w:eastAsia="MS Mincho"/>
        </w:rPr>
      </w:pPr>
      <w:r>
        <w:rPr>
          <w:rFonts w:eastAsia="MS Mincho"/>
        </w:rPr>
        <w:t>2.</w:t>
      </w:r>
      <w:r>
        <w:rPr>
          <w:rFonts w:eastAsia="MS Mincho"/>
        </w:rPr>
        <w:tab/>
      </w:r>
      <w:r w:rsidR="00433E00" w:rsidRPr="00433E00">
        <w:rPr>
          <w:rFonts w:eastAsia="MS Mincho"/>
        </w:rPr>
        <w:t>La Misión tiene a bien trasladar que estas recomendaciones se han contabilizado solo una vez para no alterar el número final de recomendaciones recibidas, a pesar de que se dividieron a los efectos de nuestra posición.</w:t>
      </w:r>
    </w:p>
    <w:p w14:paraId="3855897F" w14:textId="3D095530" w:rsidR="00433E00" w:rsidRDefault="00B67A26" w:rsidP="00B67A26">
      <w:pPr>
        <w:pStyle w:val="SingleTxtG"/>
        <w:rPr>
          <w:rFonts w:eastAsia="MS Mincho"/>
        </w:rPr>
      </w:pPr>
      <w:r>
        <w:rPr>
          <w:rFonts w:eastAsia="MS Mincho"/>
        </w:rPr>
        <w:t>3.</w:t>
      </w:r>
      <w:r>
        <w:rPr>
          <w:rFonts w:eastAsia="MS Mincho"/>
        </w:rPr>
        <w:tab/>
      </w:r>
      <w:r w:rsidR="00433E00" w:rsidRPr="00433E00">
        <w:rPr>
          <w:rFonts w:eastAsia="MS Mincho"/>
        </w:rPr>
        <w:t>En tal sentido, Cuba aceptaría 292 (81%), tomaría nota de 41 (11.3%) y rechazaría 28 (7.7%).</w:t>
      </w:r>
    </w:p>
    <w:p w14:paraId="743539BC" w14:textId="26C9EB7B" w:rsidR="00433E00" w:rsidRPr="00433E00" w:rsidRDefault="00433E00" w:rsidP="00433E00">
      <w:pPr>
        <w:pStyle w:val="HChG"/>
        <w:rPr>
          <w:rFonts w:eastAsia="MS Mincho"/>
        </w:rPr>
      </w:pPr>
      <w:r>
        <w:rPr>
          <w:rFonts w:eastAsia="MS Mincho"/>
        </w:rPr>
        <w:tab/>
      </w:r>
      <w:r>
        <w:rPr>
          <w:rFonts w:eastAsia="MS Mincho"/>
        </w:rPr>
        <w:tab/>
      </w:r>
      <w:r w:rsidRPr="00433E00">
        <w:rPr>
          <w:rFonts w:eastAsia="MS Mincho"/>
        </w:rPr>
        <w:t xml:space="preserve">Posición de </w:t>
      </w:r>
      <w:r>
        <w:rPr>
          <w:rFonts w:eastAsia="MS Mincho"/>
        </w:rPr>
        <w:t>C</w:t>
      </w:r>
      <w:r w:rsidRPr="00433E00">
        <w:rPr>
          <w:rFonts w:eastAsia="MS Mincho"/>
        </w:rPr>
        <w:t xml:space="preserve">uba sobre las recomendaciones recibidas en su cuarto </w:t>
      </w:r>
      <w:r>
        <w:rPr>
          <w:rFonts w:eastAsia="MS Mincho"/>
        </w:rPr>
        <w:t>E</w:t>
      </w:r>
      <w:r w:rsidRPr="00433E00">
        <w:rPr>
          <w:rFonts w:eastAsia="MS Mincho"/>
        </w:rPr>
        <w:t xml:space="preserve">xamen </w:t>
      </w:r>
      <w:r>
        <w:rPr>
          <w:rFonts w:eastAsia="MS Mincho"/>
        </w:rPr>
        <w:t>P</w:t>
      </w:r>
      <w:r w:rsidRPr="00433E00">
        <w:rPr>
          <w:rFonts w:eastAsia="MS Mincho"/>
        </w:rPr>
        <w:t xml:space="preserve">eriódico </w:t>
      </w:r>
      <w:r>
        <w:rPr>
          <w:rFonts w:eastAsia="MS Mincho"/>
        </w:rPr>
        <w:t>U</w:t>
      </w:r>
      <w:r w:rsidRPr="00433E00">
        <w:rPr>
          <w:rFonts w:eastAsia="MS Mincho"/>
        </w:rPr>
        <w:t>niversal</w:t>
      </w:r>
    </w:p>
    <w:p w14:paraId="38F4C733" w14:textId="0D99D260" w:rsidR="00433E00" w:rsidRPr="00433E00" w:rsidRDefault="00B67A26" w:rsidP="00433E00">
      <w:pPr>
        <w:pStyle w:val="SingleTxtG"/>
        <w:rPr>
          <w:rFonts w:eastAsia="MS Mincho"/>
        </w:rPr>
      </w:pPr>
      <w:r>
        <w:rPr>
          <w:rFonts w:eastAsia="MS Mincho"/>
        </w:rPr>
        <w:t>4.</w:t>
      </w:r>
      <w:r>
        <w:rPr>
          <w:rFonts w:eastAsia="MS Mincho"/>
        </w:rPr>
        <w:tab/>
      </w:r>
      <w:r w:rsidR="00433E00" w:rsidRPr="00433E00">
        <w:rPr>
          <w:rFonts w:eastAsia="MS Mincho"/>
        </w:rPr>
        <w:t>Cuba participó constructivamente en el cuarto ciclo del Examen Periódico Universal (EPU). Reiteró su apoyo incondicional al mecanismo del EPU como la vía adecuada para impulsar la efectiva promoción y protección de todos los derechos humanos para todos.</w:t>
      </w:r>
    </w:p>
    <w:p w14:paraId="218ACA91" w14:textId="67BF4A19" w:rsidR="00433E00" w:rsidRPr="00433E00" w:rsidRDefault="00B67A26" w:rsidP="00433E00">
      <w:pPr>
        <w:pStyle w:val="SingleTxtG"/>
        <w:rPr>
          <w:rFonts w:eastAsia="MS Mincho"/>
        </w:rPr>
      </w:pPr>
      <w:r>
        <w:rPr>
          <w:rFonts w:eastAsia="MS Mincho"/>
        </w:rPr>
        <w:t>5.</w:t>
      </w:r>
      <w:r>
        <w:rPr>
          <w:rFonts w:eastAsia="MS Mincho"/>
        </w:rPr>
        <w:tab/>
      </w:r>
      <w:r w:rsidR="00433E00" w:rsidRPr="00433E00">
        <w:rPr>
          <w:rFonts w:eastAsia="MS Mincho"/>
        </w:rPr>
        <w:t>Cuba tomó nota de los comentarios realizados por las delegaciones que intervinieron en el debate e indicó que examinaría las 361 recomendaciones recibidas durante el examen, el 15 de noviembre de 2023, para su posterior evaluación.</w:t>
      </w:r>
    </w:p>
    <w:p w14:paraId="6489EAC0" w14:textId="56C1E9EA" w:rsidR="00433E00" w:rsidRPr="00433E00" w:rsidRDefault="00B67A26" w:rsidP="00433E00">
      <w:pPr>
        <w:pStyle w:val="SingleTxtG"/>
        <w:rPr>
          <w:rFonts w:eastAsia="MS Mincho"/>
        </w:rPr>
      </w:pPr>
      <w:r>
        <w:rPr>
          <w:rFonts w:eastAsia="MS Mincho"/>
        </w:rPr>
        <w:t>6.</w:t>
      </w:r>
      <w:r>
        <w:rPr>
          <w:rFonts w:eastAsia="MS Mincho"/>
        </w:rPr>
        <w:tab/>
      </w:r>
      <w:r w:rsidR="00433E00" w:rsidRPr="00433E00">
        <w:rPr>
          <w:rFonts w:eastAsia="MS Mincho"/>
        </w:rPr>
        <w:t>Durante los meses subsiguientes, el Gobierno de Cuba estudió las recomendaciones. Para decidir su posición sobre estas, se celebraron amplias consultas con los interesados pertinentes, incluidas las organizaciones de la sociedad civil.</w:t>
      </w:r>
    </w:p>
    <w:p w14:paraId="19FFABEF" w14:textId="778EC1D7" w:rsidR="00433E00" w:rsidRPr="00433E00" w:rsidRDefault="00B67A26" w:rsidP="00433E00">
      <w:pPr>
        <w:pStyle w:val="SingleTxtG"/>
        <w:rPr>
          <w:rFonts w:eastAsia="MS Mincho"/>
        </w:rPr>
      </w:pPr>
      <w:r>
        <w:rPr>
          <w:rFonts w:eastAsia="MS Mincho"/>
        </w:rPr>
        <w:t>7.</w:t>
      </w:r>
      <w:r>
        <w:rPr>
          <w:rFonts w:eastAsia="MS Mincho"/>
        </w:rPr>
        <w:tab/>
      </w:r>
      <w:r w:rsidR="00433E00" w:rsidRPr="00433E00">
        <w:rPr>
          <w:rFonts w:eastAsia="MS Mincho"/>
        </w:rPr>
        <w:t>En el presente documento se expresa la aceptación de la gran mayoría de las recomendaciones, pues Cuba comparte los propósitos de las mismas, está resuelta a ponerlas en práctica o porque ya se encuentran en fase de implementación.</w:t>
      </w:r>
    </w:p>
    <w:p w14:paraId="00739DAF" w14:textId="39DFCFBD" w:rsidR="00433E00" w:rsidRPr="00433E00" w:rsidRDefault="00B67A26" w:rsidP="00433E00">
      <w:pPr>
        <w:pStyle w:val="SingleTxtG"/>
        <w:rPr>
          <w:rFonts w:eastAsia="MS Mincho"/>
        </w:rPr>
      </w:pPr>
      <w:r>
        <w:rPr>
          <w:rFonts w:eastAsia="MS Mincho"/>
        </w:rPr>
        <w:t>8.</w:t>
      </w:r>
      <w:r>
        <w:rPr>
          <w:rFonts w:eastAsia="MS Mincho"/>
        </w:rPr>
        <w:tab/>
      </w:r>
      <w:r w:rsidR="00433E00" w:rsidRPr="00433E00">
        <w:rPr>
          <w:rFonts w:eastAsia="MS Mincho"/>
        </w:rPr>
        <w:t xml:space="preserve">En relación con un grupo de recomendaciones, sobre las que no es posible asegurar su cumplimiento por el momento, se ha tomado nota. </w:t>
      </w:r>
    </w:p>
    <w:p w14:paraId="6E74FC57" w14:textId="54E55C2E" w:rsidR="00433E00" w:rsidRPr="00433E00" w:rsidRDefault="00B67A26" w:rsidP="00433E00">
      <w:pPr>
        <w:pStyle w:val="SingleTxtG"/>
        <w:rPr>
          <w:rFonts w:eastAsia="MS Mincho"/>
        </w:rPr>
      </w:pPr>
      <w:r>
        <w:rPr>
          <w:rFonts w:eastAsia="MS Mincho"/>
        </w:rPr>
        <w:t>9.</w:t>
      </w:r>
      <w:r>
        <w:rPr>
          <w:rFonts w:eastAsia="MS Mincho"/>
        </w:rPr>
        <w:tab/>
      </w:r>
      <w:r w:rsidR="00433E00" w:rsidRPr="00433E00">
        <w:rPr>
          <w:rFonts w:eastAsia="MS Mincho"/>
        </w:rPr>
        <w:t>Solo 28 recomendaciones, que son incompatibles con los principios constitucionales y el ordenamiento jurídico interno, y cuyo contenido es contrario al espíritu de cooperación y respeto que debe primar en el EPU, no cuentan con el apoyo de Cuba.</w:t>
      </w:r>
    </w:p>
    <w:p w14:paraId="19019789" w14:textId="001EF941" w:rsidR="00433E00" w:rsidRPr="00433E00" w:rsidRDefault="00B67A26" w:rsidP="00433E00">
      <w:pPr>
        <w:pStyle w:val="SingleTxtG"/>
        <w:rPr>
          <w:rFonts w:eastAsia="MS Mincho"/>
        </w:rPr>
      </w:pPr>
      <w:r>
        <w:rPr>
          <w:rFonts w:eastAsia="MS Mincho"/>
        </w:rPr>
        <w:t>10.</w:t>
      </w:r>
      <w:r>
        <w:rPr>
          <w:rFonts w:eastAsia="MS Mincho"/>
        </w:rPr>
        <w:tab/>
      </w:r>
      <w:r w:rsidR="00433E00" w:rsidRPr="00433E00">
        <w:rPr>
          <w:rFonts w:eastAsia="MS Mincho"/>
        </w:rPr>
        <w:t>Por último, Cuba reitera su compromiso de continuar cooperando con la maquinaria de derechos humanos del sistema de las Naciones Unidas, en particular con el Consejo de Derechos Humanos y su Mecanismo de Examen Periódico Universal.</w:t>
      </w:r>
    </w:p>
    <w:p w14:paraId="6D1F206F" w14:textId="60C128A5" w:rsidR="00433E00" w:rsidRPr="00433E00" w:rsidRDefault="00B67A26" w:rsidP="00433E00">
      <w:pPr>
        <w:pStyle w:val="SingleTxtG"/>
        <w:rPr>
          <w:rFonts w:eastAsia="MS Mincho"/>
        </w:rPr>
      </w:pPr>
      <w:r>
        <w:rPr>
          <w:rFonts w:eastAsia="MS Mincho"/>
        </w:rPr>
        <w:t>11.</w:t>
      </w:r>
      <w:r>
        <w:rPr>
          <w:rFonts w:eastAsia="MS Mincho"/>
        </w:rPr>
        <w:tab/>
      </w:r>
      <w:r w:rsidR="00433E00" w:rsidRPr="00433E00">
        <w:rPr>
          <w:rFonts w:eastAsia="MS Mincho"/>
        </w:rPr>
        <w:t>El Gobierno cubano mantiene su compromiso de mantener un diálogo franco, recíproco y genuino relativo a los temas de derechos humanos sobre la base del respeto a la dignidad y la soberanía de todos los Estados y todos los pueblos.</w:t>
      </w:r>
    </w:p>
    <w:p w14:paraId="5E2C2EF8" w14:textId="7E11659A" w:rsidR="00433E00" w:rsidRPr="00433E00" w:rsidRDefault="00B67A26" w:rsidP="00433E00">
      <w:pPr>
        <w:pStyle w:val="SingleTxtG"/>
        <w:rPr>
          <w:rFonts w:eastAsia="MS Mincho"/>
        </w:rPr>
      </w:pPr>
      <w:r>
        <w:rPr>
          <w:rFonts w:eastAsia="MS Mincho"/>
        </w:rPr>
        <w:t>12.</w:t>
      </w:r>
      <w:r>
        <w:rPr>
          <w:rFonts w:eastAsia="MS Mincho"/>
        </w:rPr>
        <w:tab/>
      </w:r>
      <w:r w:rsidR="00433E00" w:rsidRPr="00433E00">
        <w:rPr>
          <w:rFonts w:eastAsia="MS Mincho"/>
        </w:rPr>
        <w:t>La posición del Gobierno de Cuba con respecto a las recomendaciones formuladas durante el EPU es la siguiente</w:t>
      </w:r>
      <w:r w:rsidR="009150A9">
        <w:rPr>
          <w:rFonts w:eastAsia="MS Mincho"/>
        </w:rPr>
        <w:t>.</w:t>
      </w:r>
    </w:p>
    <w:p w14:paraId="6012C89E" w14:textId="7A029201" w:rsidR="00433E00" w:rsidRPr="00433E00" w:rsidRDefault="00B67A26" w:rsidP="00B67A26">
      <w:pPr>
        <w:pStyle w:val="HChG"/>
        <w:rPr>
          <w:rFonts w:eastAsia="MS Mincho"/>
        </w:rPr>
      </w:pPr>
      <w:r>
        <w:rPr>
          <w:rFonts w:eastAsia="MS Mincho"/>
        </w:rPr>
        <w:lastRenderedPageBreak/>
        <w:tab/>
      </w:r>
      <w:r>
        <w:rPr>
          <w:rFonts w:eastAsia="MS Mincho"/>
        </w:rPr>
        <w:tab/>
      </w:r>
      <w:r w:rsidR="00433E00" w:rsidRPr="00433E00">
        <w:rPr>
          <w:rFonts w:eastAsia="MS Mincho"/>
        </w:rPr>
        <w:t>Recomendaciones que cuentan con el apoyo del Gobierno de Cuba (292)</w:t>
      </w:r>
    </w:p>
    <w:p w14:paraId="4BA73E26" w14:textId="54EE50E6" w:rsidR="00433E00" w:rsidRPr="00433E00" w:rsidRDefault="00B67A26" w:rsidP="00B67A26">
      <w:pPr>
        <w:pStyle w:val="SingleTxtG"/>
        <w:rPr>
          <w:rFonts w:eastAsia="MS Mincho"/>
        </w:rPr>
      </w:pPr>
      <w:r>
        <w:rPr>
          <w:rFonts w:eastAsia="MS Mincho"/>
        </w:rPr>
        <w:t>13.</w:t>
      </w:r>
      <w:r>
        <w:rPr>
          <w:rFonts w:eastAsia="MS Mincho"/>
        </w:rPr>
        <w:tab/>
      </w:r>
      <w:r w:rsidR="00433E00" w:rsidRPr="00433E00">
        <w:rPr>
          <w:rFonts w:eastAsia="MS Mincho"/>
        </w:rPr>
        <w:t>44.1; 44.7; 44.13; 44.15; 44.16; 44.18; 44.20; 44.22; 44.24; 44.28; 44.30; 44.31; 44.32; 44.33; 44.35; 44.36; 44.37; 44.38; 44.39; 44.40; 44.41; 44.42; 44.43; 44.44; 44.45; 44.46; 44.47; 44.48; 44.49; 44.50; 44.51; 44.52; 44.53; 44.60; 44.61; 44.62; 44.63; primera parte de la recomendación 44.64; 44.65; 44.66; 44.67; 44.68; 44.69; 44.70: 44.71; 44.72; 44.73; 44.74; 44.75; 44.76; 44.77; 44.78; 44.79; 44.87; 44.89; 44.91; primera parte de la recomendación 44.94; 44.97; 44.98; 44.100; 44.103; 44.104; 44.105; 44.106; 44.107; 44.108; 44.109; 44.110; 44.111; 44.113; 44.114; 44.115; 44.116; 44.117; 44.118; 44.120; 44.122; 44.123; 44.125; 44.128; 44.129; 44.130; 44.131; 44.132; 44.133; 44.134; 44.135; 44.136; 44.137; 44.138; primera y tercera parte de la recomendación 44.139; 44.140; 44.143; 44.144; 44.145; 44.146; 44.147; 44.150; 44.151; 44.154; 44.157; 44.161; 44.162; 44.163; 44.164; 44.167; 44.168; 44.170; 44.171; primera parte de la recomendación 44.172; 44.173; 44.174; 44.177; 44.179; 44.180; 44.181; 44.182; 44.183; 44.184; 44.185; 44.186; 44.187; 44.188; 44.189; 44.190; 44.191; 44.192; 44.193; 44.194; 44.195; 44.196; 44.197; 44.199; 44.201; 44.202; 44.203; 44.204; 44.205; 44.206; 44.207; 44.208; 44.209; 44.210; 44.211; 44.212; 44.213; 44.214; 44.215; 44.216; 44.217; 44.218; 44.219; 44.220; 44.222; 44.223; 44.224; 44.225; 44.226; 44.227; 44.228; 44.229; 44.230; 44.231; 44.232; 44.233; 44.234; 44.235; 44.236; 44.237; 44.238; 44.239; 44.240; 44.241; 44.242; 44.243; 44.244; 44.245; 44.246; 44.247; 44.248; 44.249; 44.250; 44.251; 44.252; 44.253; 44.254; 44.255; 44.256; 44.257; 44.258; 44.259; 44.260; 44.261; 44.262; 44.263; 44.264; 44.265; 44.266; 44.267; 44.268; 44.269; 44.270; 44.271; 44.272; 44.273; 44.274; 44.275; 44.276; 44.277; 44.278; 44.279; 44.280; 44.281; 44.282; 44.283; 44.284; 44.285; 44.286; 44.287; 44.288; 44.289; 44.290; 44.291; segunda parte de la recomendación 44.292; 44.293; 44.294; primera y tercera parte de la recomendación 44.295; 44.296; 44.297; 44.298; 44.299; 44.300; 44.301; 44.302; 44.303; 44.305; 44.306; 44.307; 44.308; 44.309; 44.310; 44.311; 44.312; 44.313; 44.314; 44.315; 44.316; 44.317; 44.318; 44.319; 44.320; 44.321; 44.322; 44.323; 44.324; 44.325; 44.326; 44.327; 44.328; 44.329; 44.330; 44.331; 44.332; 44.333; 44.334; 44.335; 44.336; 44.337; 44.338; 44.339; 44.340; 44.341; 44.342; 44.343; 44.344; 44.345; 44.346; 44.347; 44.348; 44.349; 44.350; 44.351; 44.352; 44.353; 44.354; 44.355; 44.356; 44.357; 44.358; 44.359; 44.360; 44.361.</w:t>
      </w:r>
    </w:p>
    <w:p w14:paraId="6A080F18" w14:textId="7E314698" w:rsidR="00433E00" w:rsidRPr="00433E00" w:rsidRDefault="00B67A26" w:rsidP="00B67A26">
      <w:pPr>
        <w:pStyle w:val="HChG"/>
        <w:rPr>
          <w:rFonts w:eastAsia="MS Mincho"/>
        </w:rPr>
      </w:pPr>
      <w:r>
        <w:rPr>
          <w:rFonts w:eastAsia="MS Mincho"/>
        </w:rPr>
        <w:tab/>
      </w:r>
      <w:r>
        <w:rPr>
          <w:rFonts w:eastAsia="MS Mincho"/>
        </w:rPr>
        <w:tab/>
      </w:r>
      <w:r w:rsidR="00433E00" w:rsidRPr="00433E00">
        <w:rPr>
          <w:rFonts w:eastAsia="MS Mincho"/>
        </w:rPr>
        <w:t>Recomendaciones de las que el Gobierno de Cuba ha tomado nota (41)</w:t>
      </w:r>
    </w:p>
    <w:p w14:paraId="5237FD02" w14:textId="1C2EAF29" w:rsidR="00433E00" w:rsidRPr="00433E00" w:rsidRDefault="00B67A26" w:rsidP="00B67A26">
      <w:pPr>
        <w:pStyle w:val="SingleTxtG"/>
        <w:rPr>
          <w:rFonts w:eastAsia="MS Mincho"/>
        </w:rPr>
      </w:pPr>
      <w:r>
        <w:rPr>
          <w:rFonts w:eastAsia="MS Mincho"/>
        </w:rPr>
        <w:t>14.</w:t>
      </w:r>
      <w:r>
        <w:rPr>
          <w:rFonts w:eastAsia="MS Mincho"/>
        </w:rPr>
        <w:tab/>
      </w:r>
      <w:r w:rsidR="00433E00" w:rsidRPr="00433E00">
        <w:rPr>
          <w:rFonts w:eastAsia="MS Mincho"/>
        </w:rPr>
        <w:t>44.2; 44.3; 44.4; 44.5; 44.6; 44.8; 44.9; 44.10; 44.11; 44.12; 44.14; 44.17; 44.19; 44.21; 44.23; 44.25; 44.26; 44.27; 44.29; 44.34; 44.54; 44.55; 44.56; 44.57; 44.58; 44.59; segunda parte de la recomendación 44.64; 44.80; 44.81; 44.82; 44.83; 44.84; 44.85; 44.86; 44.88; 44.90; 44.121; 44.124; 44.142; 44.158; 44.165; primera parte de la recomendación 44.292; segunda parte de la recomendación 44.295; 44.304.</w:t>
      </w:r>
    </w:p>
    <w:p w14:paraId="48F22824" w14:textId="5061B6A8" w:rsidR="00433E00" w:rsidRPr="00433E00" w:rsidRDefault="00B67A26" w:rsidP="00B67A26">
      <w:pPr>
        <w:pStyle w:val="SingleTxtG"/>
        <w:rPr>
          <w:rFonts w:eastAsia="MS Mincho"/>
        </w:rPr>
      </w:pPr>
      <w:r>
        <w:rPr>
          <w:rFonts w:eastAsia="MS Mincho"/>
        </w:rPr>
        <w:t>15.</w:t>
      </w:r>
      <w:r>
        <w:rPr>
          <w:rFonts w:eastAsia="MS Mincho"/>
        </w:rPr>
        <w:tab/>
      </w:r>
      <w:r w:rsidR="00433E00" w:rsidRPr="00433E00">
        <w:rPr>
          <w:rFonts w:eastAsia="MS Mincho"/>
        </w:rPr>
        <w:t>Cuba toma nota sobre estas recomendaciones. Muchos de los temas que abordan son aplicados por Cuba o se están dando o prevén dar pasos para su cumplimiento. Debido a la manera en que algunas de ellas han sido redactadas, no es posible asegurar su cumplimiento por el momento. Estas continuarán siendo analizadas acorde con las leyes cubanas, los procesos institucionales del país y los principios que rigen al sistema político soberanamente escogido por el pueblo cubano.</w:t>
      </w:r>
    </w:p>
    <w:p w14:paraId="0CFAD4EF" w14:textId="438460E1" w:rsidR="00433E00" w:rsidRPr="00433E00" w:rsidRDefault="00B67A26" w:rsidP="00B67A26">
      <w:pPr>
        <w:pStyle w:val="HChG"/>
        <w:rPr>
          <w:rFonts w:eastAsia="MS Mincho"/>
        </w:rPr>
      </w:pPr>
      <w:r>
        <w:rPr>
          <w:rFonts w:eastAsia="MS Mincho"/>
        </w:rPr>
        <w:tab/>
      </w:r>
      <w:r>
        <w:rPr>
          <w:rFonts w:eastAsia="MS Mincho"/>
        </w:rPr>
        <w:tab/>
      </w:r>
      <w:r w:rsidR="00433E00" w:rsidRPr="00433E00">
        <w:rPr>
          <w:rFonts w:eastAsia="MS Mincho"/>
        </w:rPr>
        <w:t>Recomendaciones que no cuentan con el apoyo del Gobierno de Cuba (28)</w:t>
      </w:r>
    </w:p>
    <w:p w14:paraId="0DC77EDD" w14:textId="1A971AC0" w:rsidR="00433E00" w:rsidRPr="00433E00" w:rsidRDefault="00B67A26" w:rsidP="00B67A26">
      <w:pPr>
        <w:pStyle w:val="SingleTxtG"/>
        <w:rPr>
          <w:rFonts w:eastAsia="MS Mincho"/>
        </w:rPr>
      </w:pPr>
      <w:r>
        <w:rPr>
          <w:rFonts w:eastAsia="MS Mincho"/>
        </w:rPr>
        <w:t>16.</w:t>
      </w:r>
      <w:r>
        <w:rPr>
          <w:rFonts w:eastAsia="MS Mincho"/>
        </w:rPr>
        <w:tab/>
      </w:r>
      <w:r w:rsidR="00433E00" w:rsidRPr="00433E00">
        <w:rPr>
          <w:rFonts w:eastAsia="MS Mincho"/>
        </w:rPr>
        <w:t>44.92; 44.93; segunda parte de la recomendación 44.94; 44.95; 44.96; 44.99; 44.101; 44.102; 44.112; 44.119; 44.126; 44.127; segunda parte de la recomendación 44.139; 44.141; 44.148; 44.149; 44.152; 44.153; 44.155; 44.156; 44.159; 44.160; 44.166; 44.169; segunda parte de la recomendación 44.172; 44.175; 44.176; 44.178; 44.198; 44.200; 44.221.</w:t>
      </w:r>
    </w:p>
    <w:p w14:paraId="00F30B39" w14:textId="54ADA366" w:rsidR="00433E00" w:rsidRDefault="00B67A26" w:rsidP="00B67A26">
      <w:pPr>
        <w:pStyle w:val="SingleTxtG"/>
      </w:pPr>
      <w:r>
        <w:rPr>
          <w:rFonts w:eastAsia="MS Mincho"/>
        </w:rPr>
        <w:lastRenderedPageBreak/>
        <w:t>17.</w:t>
      </w:r>
      <w:r>
        <w:rPr>
          <w:rFonts w:eastAsia="MS Mincho"/>
        </w:rPr>
        <w:tab/>
      </w:r>
      <w:r w:rsidR="00433E00" w:rsidRPr="00433E00">
        <w:rPr>
          <w:rFonts w:eastAsia="MS Mincho"/>
        </w:rPr>
        <w:t>Este grupo minoritario de recomendaciones no cuenta con el apoyo del Gobierno de Cuba pues son sesgadas políticamente y construidas sobre bases falsas, derivadas de los intentos de desacreditar a Cuba por parte de quienes, con sus ambiciones hegemónicas, se niegan a aceptar la diversidad y el derecho de libre determinación del pueblo cubano. Esas recomendaciones no se avienen al espíritu de cooperación y respeto que exige este ejercicio.</w:t>
      </w:r>
    </w:p>
    <w:p w14:paraId="070240C8" w14:textId="24626356" w:rsidR="00FD7C12" w:rsidRPr="00B67A26" w:rsidRDefault="00B67A26" w:rsidP="00B67A26">
      <w:pPr>
        <w:spacing w:before="240"/>
        <w:ind w:left="1134" w:right="1134"/>
        <w:jc w:val="center"/>
        <w:rPr>
          <w:u w:val="single"/>
        </w:rPr>
      </w:pPr>
      <w:r>
        <w:rPr>
          <w:u w:val="single"/>
        </w:rPr>
        <w:tab/>
      </w:r>
      <w:r>
        <w:rPr>
          <w:u w:val="single"/>
        </w:rPr>
        <w:tab/>
      </w:r>
      <w:r>
        <w:rPr>
          <w:u w:val="single"/>
        </w:rPr>
        <w:tab/>
      </w:r>
    </w:p>
    <w:sectPr w:rsidR="00FD7C12" w:rsidRPr="00B67A26" w:rsidSect="00433E0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D7FA" w14:textId="77777777" w:rsidR="00433E00" w:rsidRDefault="00433E00"/>
  </w:endnote>
  <w:endnote w:type="continuationSeparator" w:id="0">
    <w:p w14:paraId="3D1889D0" w14:textId="77777777" w:rsidR="00433E00" w:rsidRDefault="00433E00"/>
  </w:endnote>
  <w:endnote w:type="continuationNotice" w:id="1">
    <w:p w14:paraId="504BF710" w14:textId="77777777" w:rsidR="00433E00" w:rsidRDefault="0043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59D" w14:textId="77777777" w:rsidR="00433E00" w:rsidRPr="00433E00" w:rsidRDefault="00433E00" w:rsidP="00433E00">
    <w:pPr>
      <w:pStyle w:val="Footer"/>
      <w:tabs>
        <w:tab w:val="right" w:pos="9638"/>
      </w:tabs>
    </w:pPr>
    <w:r w:rsidRPr="00433E00">
      <w:rPr>
        <w:b/>
        <w:sz w:val="18"/>
      </w:rPr>
      <w:fldChar w:fldCharType="begin"/>
    </w:r>
    <w:r w:rsidRPr="00433E00">
      <w:rPr>
        <w:b/>
        <w:sz w:val="18"/>
      </w:rPr>
      <w:instrText xml:space="preserve"> PAGE  \* MERGEFORMAT </w:instrText>
    </w:r>
    <w:r w:rsidRPr="00433E00">
      <w:rPr>
        <w:b/>
        <w:sz w:val="18"/>
      </w:rPr>
      <w:fldChar w:fldCharType="separate"/>
    </w:r>
    <w:r w:rsidRPr="00433E00">
      <w:rPr>
        <w:b/>
        <w:noProof/>
        <w:sz w:val="18"/>
      </w:rPr>
      <w:t>2</w:t>
    </w:r>
    <w:r w:rsidRPr="00433E0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461B" w14:textId="77777777" w:rsidR="00433E00" w:rsidRPr="00433E00" w:rsidRDefault="00433E00" w:rsidP="00433E00">
    <w:pPr>
      <w:pStyle w:val="Footer"/>
      <w:tabs>
        <w:tab w:val="right" w:pos="9638"/>
      </w:tabs>
      <w:rPr>
        <w:b/>
        <w:sz w:val="18"/>
      </w:rPr>
    </w:pPr>
    <w:r>
      <w:tab/>
    </w:r>
    <w:r w:rsidRPr="00433E00">
      <w:rPr>
        <w:b/>
        <w:sz w:val="18"/>
      </w:rPr>
      <w:fldChar w:fldCharType="begin"/>
    </w:r>
    <w:r w:rsidRPr="00433E00">
      <w:rPr>
        <w:b/>
        <w:sz w:val="18"/>
      </w:rPr>
      <w:instrText xml:space="preserve"> PAGE  \* MERGEFORMAT </w:instrText>
    </w:r>
    <w:r w:rsidRPr="00433E00">
      <w:rPr>
        <w:b/>
        <w:sz w:val="18"/>
      </w:rPr>
      <w:fldChar w:fldCharType="separate"/>
    </w:r>
    <w:r w:rsidRPr="00433E00">
      <w:rPr>
        <w:b/>
        <w:noProof/>
        <w:sz w:val="18"/>
      </w:rPr>
      <w:t>3</w:t>
    </w:r>
    <w:r w:rsidRPr="00433E0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6A3C" w14:textId="77777777" w:rsidR="00F57854" w:rsidRDefault="00F5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57F5" w14:textId="77777777" w:rsidR="00433E00" w:rsidRPr="000B175B" w:rsidRDefault="00433E00" w:rsidP="000B175B">
      <w:pPr>
        <w:tabs>
          <w:tab w:val="right" w:pos="2155"/>
        </w:tabs>
        <w:spacing w:after="80"/>
        <w:ind w:left="680"/>
        <w:rPr>
          <w:u w:val="single"/>
        </w:rPr>
      </w:pPr>
      <w:r>
        <w:rPr>
          <w:u w:val="single"/>
        </w:rPr>
        <w:tab/>
      </w:r>
    </w:p>
  </w:footnote>
  <w:footnote w:type="continuationSeparator" w:id="0">
    <w:p w14:paraId="302F411E" w14:textId="77777777" w:rsidR="00433E00" w:rsidRPr="00FC68B7" w:rsidRDefault="00433E00" w:rsidP="00FC68B7">
      <w:pPr>
        <w:tabs>
          <w:tab w:val="left" w:pos="2155"/>
        </w:tabs>
        <w:spacing w:after="80"/>
        <w:ind w:left="680"/>
        <w:rPr>
          <w:u w:val="single"/>
        </w:rPr>
      </w:pPr>
      <w:r>
        <w:rPr>
          <w:u w:val="single"/>
        </w:rPr>
        <w:tab/>
      </w:r>
    </w:p>
  </w:footnote>
  <w:footnote w:type="continuationNotice" w:id="1">
    <w:p w14:paraId="3A274AA3" w14:textId="77777777" w:rsidR="00433E00" w:rsidRDefault="00433E00"/>
  </w:footnote>
  <w:footnote w:id="2">
    <w:p w14:paraId="590A317E" w14:textId="77777777" w:rsidR="00433E00" w:rsidRDefault="00433E00" w:rsidP="00433E00">
      <w:pPr>
        <w:pStyle w:val="FootnoteText"/>
        <w:rPr>
          <w:sz w:val="20"/>
          <w:lang w:val="fr-CH"/>
        </w:rPr>
      </w:pPr>
      <w:r>
        <w:tab/>
      </w:r>
      <w:r w:rsidRPr="00E50623">
        <w:rPr>
          <w:rStyle w:val="FootnoteReference"/>
          <w:sz w:val="20"/>
          <w:vertAlign w:val="baseline"/>
          <w:lang w:val="fr-CH"/>
        </w:rPr>
        <w:t>*</w:t>
      </w:r>
      <w:r>
        <w:rPr>
          <w:lang w:val="fr-CH"/>
        </w:rPr>
        <w:tab/>
      </w:r>
      <w:r w:rsidRPr="00AF7E98">
        <w:rPr>
          <w:lang w:val="es-ES"/>
        </w:rPr>
        <w:t>El presente documento se publica sin haber sido objeto de revisión editorial oficial.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A58" w14:textId="04EE79A1" w:rsidR="00433E00" w:rsidRPr="00433E00" w:rsidRDefault="00D07A43">
    <w:pPr>
      <w:pStyle w:val="Header"/>
    </w:pPr>
    <w:r>
      <w:rPr>
        <w:noProof/>
      </w:rPr>
      <w:pict w14:anchorId="0F066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266"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433E00">
        <w:t>A/HRC/55/17/Add.1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98DD" w14:textId="4B8DA3E6" w:rsidR="00433E00" w:rsidRPr="00433E00" w:rsidRDefault="00D07A43" w:rsidP="00433E00">
    <w:pPr>
      <w:pStyle w:val="Header"/>
      <w:jc w:val="right"/>
    </w:pPr>
    <w:r>
      <w:rPr>
        <w:noProof/>
      </w:rPr>
      <w:pict w14:anchorId="7FADD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267"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433E00">
        <w:t>A/HRC/55/17/Add.1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C29B" w14:textId="275EDAED" w:rsidR="00F57854" w:rsidRDefault="00D07A43">
    <w:pPr>
      <w:pStyle w:val="Header"/>
    </w:pPr>
    <w:r>
      <w:rPr>
        <w:noProof/>
      </w:rPr>
      <w:pict w14:anchorId="40FF9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265"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38B15FE"/>
    <w:multiLevelType w:val="hybridMultilevel"/>
    <w:tmpl w:val="73BC894A"/>
    <w:lvl w:ilvl="0" w:tplc="82F20912">
      <w:start w:val="4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0942982">
    <w:abstractNumId w:val="4"/>
  </w:num>
  <w:num w:numId="2" w16cid:durableId="1727752620">
    <w:abstractNumId w:val="2"/>
  </w:num>
  <w:num w:numId="3" w16cid:durableId="73867392">
    <w:abstractNumId w:val="3"/>
  </w:num>
  <w:num w:numId="4" w16cid:durableId="770664868">
    <w:abstractNumId w:val="5"/>
  </w:num>
  <w:num w:numId="5" w16cid:durableId="699088955">
    <w:abstractNumId w:val="0"/>
  </w:num>
  <w:num w:numId="6" w16cid:durableId="2029328705">
    <w:abstractNumId w:val="1"/>
  </w:num>
  <w:num w:numId="7" w16cid:durableId="127293397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00"/>
    <w:rsid w:val="000328F5"/>
    <w:rsid w:val="000403D1"/>
    <w:rsid w:val="000449AA"/>
    <w:rsid w:val="00050F6B"/>
    <w:rsid w:val="000720D1"/>
    <w:rsid w:val="00072C8C"/>
    <w:rsid w:val="00073E70"/>
    <w:rsid w:val="00091419"/>
    <w:rsid w:val="000931C0"/>
    <w:rsid w:val="000B175B"/>
    <w:rsid w:val="000B3A0F"/>
    <w:rsid w:val="000E0415"/>
    <w:rsid w:val="00146D32"/>
    <w:rsid w:val="001509BA"/>
    <w:rsid w:val="00184F17"/>
    <w:rsid w:val="001B4B04"/>
    <w:rsid w:val="001C6663"/>
    <w:rsid w:val="001C7895"/>
    <w:rsid w:val="001D26DF"/>
    <w:rsid w:val="002043CF"/>
    <w:rsid w:val="00211E0B"/>
    <w:rsid w:val="00211E72"/>
    <w:rsid w:val="00214047"/>
    <w:rsid w:val="0022130F"/>
    <w:rsid w:val="00237785"/>
    <w:rsid w:val="00241466"/>
    <w:rsid w:val="00253D58"/>
    <w:rsid w:val="002C0119"/>
    <w:rsid w:val="002C21F0"/>
    <w:rsid w:val="003107FA"/>
    <w:rsid w:val="003229D8"/>
    <w:rsid w:val="00335A2F"/>
    <w:rsid w:val="0039277A"/>
    <w:rsid w:val="003972E0"/>
    <w:rsid w:val="003C2CC4"/>
    <w:rsid w:val="003D4B23"/>
    <w:rsid w:val="00424C80"/>
    <w:rsid w:val="004325CB"/>
    <w:rsid w:val="00433E00"/>
    <w:rsid w:val="0043536E"/>
    <w:rsid w:val="0044503A"/>
    <w:rsid w:val="00446DE4"/>
    <w:rsid w:val="00451EC3"/>
    <w:rsid w:val="004859EC"/>
    <w:rsid w:val="00496A15"/>
    <w:rsid w:val="004F55ED"/>
    <w:rsid w:val="005120EB"/>
    <w:rsid w:val="0052176C"/>
    <w:rsid w:val="005261E5"/>
    <w:rsid w:val="005420F2"/>
    <w:rsid w:val="00542574"/>
    <w:rsid w:val="005436AB"/>
    <w:rsid w:val="00546DBF"/>
    <w:rsid w:val="005552B5"/>
    <w:rsid w:val="00571365"/>
    <w:rsid w:val="00587AD2"/>
    <w:rsid w:val="005B048C"/>
    <w:rsid w:val="005B3DB3"/>
    <w:rsid w:val="005B6E48"/>
    <w:rsid w:val="005E2A01"/>
    <w:rsid w:val="005F2A1E"/>
    <w:rsid w:val="00611FC4"/>
    <w:rsid w:val="006176FB"/>
    <w:rsid w:val="006301B4"/>
    <w:rsid w:val="00640B26"/>
    <w:rsid w:val="00670741"/>
    <w:rsid w:val="006A7392"/>
    <w:rsid w:val="006B3189"/>
    <w:rsid w:val="006B7D65"/>
    <w:rsid w:val="006E564B"/>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70DBD"/>
    <w:rsid w:val="00871FD5"/>
    <w:rsid w:val="0088487D"/>
    <w:rsid w:val="008979B1"/>
    <w:rsid w:val="008A6B25"/>
    <w:rsid w:val="008A6C4F"/>
    <w:rsid w:val="008C1E4D"/>
    <w:rsid w:val="008E0E46"/>
    <w:rsid w:val="008F1729"/>
    <w:rsid w:val="00907C3F"/>
    <w:rsid w:val="009150A9"/>
    <w:rsid w:val="0093707B"/>
    <w:rsid w:val="009400EB"/>
    <w:rsid w:val="009427E3"/>
    <w:rsid w:val="00956D9B"/>
    <w:rsid w:val="00963CBA"/>
    <w:rsid w:val="009654B7"/>
    <w:rsid w:val="00987836"/>
    <w:rsid w:val="00991261"/>
    <w:rsid w:val="009A0B83"/>
    <w:rsid w:val="009B3800"/>
    <w:rsid w:val="009D50DB"/>
    <w:rsid w:val="00A05E0B"/>
    <w:rsid w:val="00A1427D"/>
    <w:rsid w:val="00A4634F"/>
    <w:rsid w:val="00A72F22"/>
    <w:rsid w:val="00A748A6"/>
    <w:rsid w:val="00A879A4"/>
    <w:rsid w:val="00A87E95"/>
    <w:rsid w:val="00A92E29"/>
    <w:rsid w:val="00A9500C"/>
    <w:rsid w:val="00AD09E9"/>
    <w:rsid w:val="00AF0576"/>
    <w:rsid w:val="00AF3829"/>
    <w:rsid w:val="00B037F0"/>
    <w:rsid w:val="00B30179"/>
    <w:rsid w:val="00B3317B"/>
    <w:rsid w:val="00B334DC"/>
    <w:rsid w:val="00B3631A"/>
    <w:rsid w:val="00B53013"/>
    <w:rsid w:val="00B572AC"/>
    <w:rsid w:val="00B67A26"/>
    <w:rsid w:val="00B67F5E"/>
    <w:rsid w:val="00B73E65"/>
    <w:rsid w:val="00B81E12"/>
    <w:rsid w:val="00B87E6C"/>
    <w:rsid w:val="00B97FA8"/>
    <w:rsid w:val="00BC1385"/>
    <w:rsid w:val="00BC74E9"/>
    <w:rsid w:val="00BE618E"/>
    <w:rsid w:val="00C24693"/>
    <w:rsid w:val="00C35F0B"/>
    <w:rsid w:val="00C429FD"/>
    <w:rsid w:val="00C463DD"/>
    <w:rsid w:val="00C64458"/>
    <w:rsid w:val="00C745C3"/>
    <w:rsid w:val="00C81733"/>
    <w:rsid w:val="00CB0AB8"/>
    <w:rsid w:val="00CB7072"/>
    <w:rsid w:val="00CC0B55"/>
    <w:rsid w:val="00CC4E8A"/>
    <w:rsid w:val="00CE4A8F"/>
    <w:rsid w:val="00CF7D43"/>
    <w:rsid w:val="00D07A43"/>
    <w:rsid w:val="00D11129"/>
    <w:rsid w:val="00D2031B"/>
    <w:rsid w:val="00D22332"/>
    <w:rsid w:val="00D25FE2"/>
    <w:rsid w:val="00D43252"/>
    <w:rsid w:val="00D43867"/>
    <w:rsid w:val="00D550F9"/>
    <w:rsid w:val="00D978C6"/>
    <w:rsid w:val="00DA67AD"/>
    <w:rsid w:val="00DB18CE"/>
    <w:rsid w:val="00DE3EC0"/>
    <w:rsid w:val="00E12B6B"/>
    <w:rsid w:val="00E130AB"/>
    <w:rsid w:val="00E438D9"/>
    <w:rsid w:val="00E5644E"/>
    <w:rsid w:val="00E7260F"/>
    <w:rsid w:val="00E96630"/>
    <w:rsid w:val="00EB0FB9"/>
    <w:rsid w:val="00ED7A2A"/>
    <w:rsid w:val="00EF1D7F"/>
    <w:rsid w:val="00EF5BDB"/>
    <w:rsid w:val="00F07FD9"/>
    <w:rsid w:val="00F23933"/>
    <w:rsid w:val="00F40E75"/>
    <w:rsid w:val="00F52936"/>
    <w:rsid w:val="00F5785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0F923"/>
  <w15:docId w15:val="{5442751B-DA26-44B0-B688-5C01247B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433E00"/>
    <w:rPr>
      <w:sz w:val="18"/>
      <w:lang w:val="en-GB" w:eastAsia="en-US"/>
    </w:rPr>
  </w:style>
  <w:style w:type="paragraph" w:styleId="ListParagraph">
    <w:name w:val="List Paragraph"/>
    <w:basedOn w:val="Normal"/>
    <w:uiPriority w:val="34"/>
    <w:semiHidden/>
    <w:qFormat/>
    <w:rsid w:val="00433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0CA86-C828-4BAB-A84B-CA504D20EA48}">
  <ds:schemaRefs>
    <ds:schemaRef ds:uri="http://schemas.openxmlformats.org/officeDocument/2006/bibliography"/>
  </ds:schemaRefs>
</ds:datastoreItem>
</file>

<file path=customXml/itemProps2.xml><?xml version="1.0" encoding="utf-8"?>
<ds:datastoreItem xmlns:ds="http://schemas.openxmlformats.org/officeDocument/2006/customXml" ds:itemID="{345BFF2A-3886-43C7-B771-E9818B2ECB94}"/>
</file>

<file path=customXml/itemProps3.xml><?xml version="1.0" encoding="utf-8"?>
<ds:datastoreItem xmlns:ds="http://schemas.openxmlformats.org/officeDocument/2006/customXml" ds:itemID="{83C0CEA1-322D-42E1-AE44-EC739328EB26}"/>
</file>

<file path=customXml/itemProps4.xml><?xml version="1.0" encoding="utf-8"?>
<ds:datastoreItem xmlns:ds="http://schemas.openxmlformats.org/officeDocument/2006/customXml" ds:itemID="{FAC88A92-6287-49E9-967E-D91B9EEA7A7C}"/>
</file>

<file path=docProps/app.xml><?xml version="1.0" encoding="utf-8"?>
<Properties xmlns="http://schemas.openxmlformats.org/officeDocument/2006/extended-properties" xmlns:vt="http://schemas.openxmlformats.org/officeDocument/2006/docPropsVTypes">
  <Template>A_S.dotm</Template>
  <TotalTime>0</TotalTime>
  <Pages>4</Pages>
  <Words>1171</Words>
  <Characters>6676</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A/HRC/55/17/Add.1</vt:lpstr>
      <vt:lpstr/>
    </vt:vector>
  </TitlesOfParts>
  <Company>CSD</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IHARA Sumiko</dc:creator>
  <cp:lastModifiedBy>Sumiko Ihara</cp:lastModifiedBy>
  <cp:revision>2</cp:revision>
  <cp:lastPrinted>2008-01-29T08:30:00Z</cp:lastPrinted>
  <dcterms:created xsi:type="dcterms:W3CDTF">2024-03-05T11:54:00Z</dcterms:created>
  <dcterms:modified xsi:type="dcterms:W3CDTF">2024-03-05T11:54:00Z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Advance Versions - UPR Addenda </vt:lpwstr>
  </property>
</Properties>
</file>