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717D3119" w14:textId="77777777" w:rsidTr="00F1455C">
        <w:trPr>
          <w:trHeight w:hRule="exact" w:val="851"/>
        </w:trPr>
        <w:tc>
          <w:tcPr>
            <w:tcW w:w="1276" w:type="dxa"/>
            <w:tcBorders>
              <w:bottom w:val="single" w:sz="4" w:space="0" w:color="auto"/>
            </w:tcBorders>
          </w:tcPr>
          <w:p w14:paraId="05FC1F3A" w14:textId="77777777" w:rsidR="00057BC0" w:rsidRPr="00DB58B5" w:rsidRDefault="00057BC0" w:rsidP="00186254"/>
        </w:tc>
        <w:tc>
          <w:tcPr>
            <w:tcW w:w="2268" w:type="dxa"/>
            <w:tcBorders>
              <w:bottom w:val="single" w:sz="4" w:space="0" w:color="auto"/>
            </w:tcBorders>
            <w:vAlign w:val="bottom"/>
          </w:tcPr>
          <w:p w14:paraId="3446B45C" w14:textId="319CEA2E" w:rsidR="00057BC0" w:rsidRPr="00DB58B5" w:rsidRDefault="00057BC0" w:rsidP="00186254">
            <w:pPr>
              <w:spacing w:after="80" w:line="300" w:lineRule="exact"/>
              <w:rPr>
                <w:sz w:val="28"/>
              </w:rPr>
            </w:pPr>
          </w:p>
        </w:tc>
        <w:tc>
          <w:tcPr>
            <w:tcW w:w="6095" w:type="dxa"/>
            <w:gridSpan w:val="2"/>
            <w:tcBorders>
              <w:bottom w:val="single" w:sz="4" w:space="0" w:color="auto"/>
            </w:tcBorders>
            <w:vAlign w:val="bottom"/>
          </w:tcPr>
          <w:p w14:paraId="1782016B" w14:textId="77777777" w:rsidR="00057BC0" w:rsidRPr="00DB58B5" w:rsidRDefault="00F1455C" w:rsidP="00F1455C">
            <w:pPr>
              <w:jc w:val="right"/>
            </w:pPr>
            <w:r w:rsidRPr="00F1455C">
              <w:rPr>
                <w:sz w:val="40"/>
              </w:rPr>
              <w:t>A</w:t>
            </w:r>
            <w:r>
              <w:t>/HRC/56/12/Add.1</w:t>
            </w:r>
          </w:p>
        </w:tc>
      </w:tr>
      <w:tr w:rsidR="00057BC0" w:rsidRPr="00DB58B5" w14:paraId="27C83E7C" w14:textId="77777777" w:rsidTr="00186254">
        <w:trPr>
          <w:trHeight w:hRule="exact" w:val="2835"/>
        </w:trPr>
        <w:tc>
          <w:tcPr>
            <w:tcW w:w="1276" w:type="dxa"/>
            <w:tcBorders>
              <w:top w:val="single" w:sz="4" w:space="0" w:color="auto"/>
              <w:bottom w:val="single" w:sz="12" w:space="0" w:color="auto"/>
            </w:tcBorders>
          </w:tcPr>
          <w:p w14:paraId="6AD17401" w14:textId="2279B18B"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14:paraId="005C482C" w14:textId="20B7D498" w:rsidR="00057BC0" w:rsidRPr="00740562" w:rsidRDefault="005D2AF2" w:rsidP="00186254">
            <w:pPr>
              <w:spacing w:before="120" w:line="420" w:lineRule="exact"/>
              <w:rPr>
                <w:b/>
                <w:sz w:val="40"/>
                <w:szCs w:val="40"/>
              </w:rPr>
            </w:pPr>
            <w:r>
              <w:rPr>
                <w:b/>
                <w:sz w:val="40"/>
                <w:szCs w:val="40"/>
              </w:rPr>
              <w:t>Advance version</w:t>
            </w:r>
          </w:p>
        </w:tc>
        <w:tc>
          <w:tcPr>
            <w:tcW w:w="2835" w:type="dxa"/>
            <w:tcBorders>
              <w:top w:val="single" w:sz="4" w:space="0" w:color="auto"/>
              <w:bottom w:val="single" w:sz="12" w:space="0" w:color="auto"/>
            </w:tcBorders>
          </w:tcPr>
          <w:p w14:paraId="6F49728F" w14:textId="77777777" w:rsidR="00057BC0" w:rsidRDefault="00F1455C" w:rsidP="00F1455C">
            <w:pPr>
              <w:spacing w:before="240" w:line="240" w:lineRule="exact"/>
            </w:pPr>
            <w:r>
              <w:t>Distr. générale</w:t>
            </w:r>
          </w:p>
          <w:p w14:paraId="6FBCC917" w14:textId="77777777" w:rsidR="00F1455C" w:rsidRDefault="00F1455C" w:rsidP="00F1455C">
            <w:pPr>
              <w:spacing w:line="240" w:lineRule="exact"/>
            </w:pPr>
            <w:r>
              <w:t>2 juillet 2024</w:t>
            </w:r>
          </w:p>
          <w:p w14:paraId="387B6A39" w14:textId="77777777" w:rsidR="00F1455C" w:rsidRDefault="00F1455C" w:rsidP="00F1455C">
            <w:pPr>
              <w:spacing w:line="240" w:lineRule="exact"/>
            </w:pPr>
          </w:p>
          <w:p w14:paraId="71A6D1B7" w14:textId="77777777" w:rsidR="00F1455C" w:rsidRPr="00DB58B5" w:rsidRDefault="00F1455C" w:rsidP="00F1455C">
            <w:pPr>
              <w:spacing w:line="240" w:lineRule="exact"/>
            </w:pPr>
            <w:r>
              <w:t>Original : français</w:t>
            </w:r>
          </w:p>
        </w:tc>
      </w:tr>
    </w:tbl>
    <w:p w14:paraId="6EF22F31" w14:textId="77777777" w:rsidR="00F1455C" w:rsidRPr="00F714B1" w:rsidRDefault="00F1455C" w:rsidP="00F1455C">
      <w:pPr>
        <w:kinsoku w:val="0"/>
        <w:overflowPunct w:val="0"/>
        <w:autoSpaceDE w:val="0"/>
        <w:autoSpaceDN w:val="0"/>
        <w:adjustRightInd w:val="0"/>
        <w:snapToGrid w:val="0"/>
        <w:spacing w:before="120"/>
        <w:rPr>
          <w:b/>
          <w:sz w:val="24"/>
          <w:szCs w:val="24"/>
          <w:lang w:val="fr-FR"/>
        </w:rPr>
      </w:pPr>
      <w:r w:rsidRPr="00F714B1">
        <w:rPr>
          <w:b/>
          <w:sz w:val="24"/>
          <w:szCs w:val="24"/>
          <w:lang w:val="fr-FR"/>
        </w:rPr>
        <w:t>Conseil des droits de l’homme</w:t>
      </w:r>
    </w:p>
    <w:p w14:paraId="5C095FB0" w14:textId="77777777" w:rsidR="00F1455C" w:rsidRDefault="00F1455C" w:rsidP="00F1455C">
      <w:pPr>
        <w:kinsoku w:val="0"/>
        <w:overflowPunct w:val="0"/>
        <w:autoSpaceDE w:val="0"/>
        <w:autoSpaceDN w:val="0"/>
        <w:adjustRightInd w:val="0"/>
        <w:snapToGrid w:val="0"/>
        <w:rPr>
          <w:b/>
          <w:lang w:val="fr-FR"/>
        </w:rPr>
      </w:pPr>
      <w:r>
        <w:rPr>
          <w:b/>
          <w:szCs w:val="24"/>
          <w:lang w:val="fr-FR"/>
        </w:rPr>
        <w:t>Cinquante-sixième</w:t>
      </w:r>
      <w:r w:rsidRPr="00F714B1">
        <w:rPr>
          <w:b/>
          <w:szCs w:val="24"/>
          <w:lang w:val="fr-FR"/>
        </w:rPr>
        <w:t xml:space="preserve"> </w:t>
      </w:r>
      <w:r w:rsidRPr="00F714B1">
        <w:rPr>
          <w:b/>
          <w:lang w:val="fr-FR"/>
        </w:rPr>
        <w:t>session</w:t>
      </w:r>
    </w:p>
    <w:p w14:paraId="6EA8CA90" w14:textId="77777777" w:rsidR="00F1455C" w:rsidRPr="005F1C7A" w:rsidRDefault="00F1455C" w:rsidP="00F1455C">
      <w:pPr>
        <w:kinsoku w:val="0"/>
        <w:overflowPunct w:val="0"/>
        <w:autoSpaceDE w:val="0"/>
        <w:autoSpaceDN w:val="0"/>
        <w:adjustRightInd w:val="0"/>
        <w:snapToGrid w:val="0"/>
        <w:rPr>
          <w:lang w:val="fr-FR"/>
        </w:rPr>
      </w:pPr>
      <w:r>
        <w:rPr>
          <w:lang w:val="fr-FR"/>
        </w:rPr>
        <w:t>18 juin–12 juillet 2024</w:t>
      </w:r>
    </w:p>
    <w:p w14:paraId="5C6FD82B" w14:textId="77777777" w:rsidR="00F1455C" w:rsidRPr="00F714B1" w:rsidRDefault="00F1455C" w:rsidP="00F1455C">
      <w:pPr>
        <w:kinsoku w:val="0"/>
        <w:overflowPunct w:val="0"/>
        <w:autoSpaceDE w:val="0"/>
        <w:autoSpaceDN w:val="0"/>
        <w:adjustRightInd w:val="0"/>
        <w:snapToGrid w:val="0"/>
        <w:rPr>
          <w:lang w:val="fr-FR"/>
        </w:rPr>
      </w:pPr>
      <w:r w:rsidRPr="00F714B1">
        <w:rPr>
          <w:lang w:val="fr-FR"/>
        </w:rPr>
        <w:t>Point 6 de l’ordre du jour</w:t>
      </w:r>
    </w:p>
    <w:p w14:paraId="49C4CC27" w14:textId="77777777" w:rsidR="00F1455C" w:rsidRPr="00F714B1" w:rsidRDefault="00F1455C" w:rsidP="00F1455C">
      <w:pPr>
        <w:kinsoku w:val="0"/>
        <w:overflowPunct w:val="0"/>
        <w:autoSpaceDE w:val="0"/>
        <w:autoSpaceDN w:val="0"/>
        <w:adjustRightInd w:val="0"/>
        <w:snapToGrid w:val="0"/>
        <w:rPr>
          <w:lang w:val="fr-FR"/>
        </w:rPr>
      </w:pPr>
      <w:r w:rsidRPr="00F714B1">
        <w:rPr>
          <w:b/>
          <w:lang w:val="fr-FR"/>
        </w:rPr>
        <w:t>Examen périodique universel</w:t>
      </w:r>
    </w:p>
    <w:p w14:paraId="1DD8C88A" w14:textId="77777777" w:rsidR="00F1455C" w:rsidRPr="00F714B1" w:rsidRDefault="00F1455C" w:rsidP="00F1455C">
      <w:pPr>
        <w:keepNext/>
        <w:keepLines/>
        <w:tabs>
          <w:tab w:val="right" w:pos="851"/>
        </w:tabs>
        <w:spacing w:before="360" w:after="240" w:line="300" w:lineRule="exact"/>
        <w:ind w:left="1134" w:right="1134" w:hanging="1134"/>
        <w:rPr>
          <w:b/>
          <w:sz w:val="28"/>
          <w:lang w:val="fr-FR"/>
        </w:rPr>
      </w:pPr>
      <w:r w:rsidRPr="00F714B1">
        <w:rPr>
          <w:b/>
          <w:sz w:val="34"/>
          <w:lang w:val="fr-FR"/>
        </w:rPr>
        <w:tab/>
      </w:r>
      <w:r w:rsidRPr="00F714B1">
        <w:rPr>
          <w:b/>
          <w:sz w:val="34"/>
          <w:lang w:val="fr-FR"/>
        </w:rPr>
        <w:tab/>
      </w:r>
      <w:r w:rsidRPr="00F714B1">
        <w:rPr>
          <w:b/>
          <w:sz w:val="28"/>
          <w:lang w:val="fr-FR"/>
        </w:rPr>
        <w:t xml:space="preserve">Rapport du Groupe de travail </w:t>
      </w:r>
      <w:r w:rsidRPr="00F714B1">
        <w:rPr>
          <w:b/>
          <w:sz w:val="28"/>
          <w:lang w:val="fr-FR"/>
        </w:rPr>
        <w:br/>
        <w:t>sur l’Examen périodique universel</w:t>
      </w:r>
      <w:r w:rsidRPr="00D202D0">
        <w:rPr>
          <w:lang w:val="fr-FR"/>
        </w:rPr>
        <w:footnoteReference w:customMarkFollows="1" w:id="2"/>
        <w:t>*</w:t>
      </w:r>
    </w:p>
    <w:p w14:paraId="20921DD7" w14:textId="6FCD0A49" w:rsidR="00F1455C" w:rsidRPr="00F714B1" w:rsidRDefault="00F1455C" w:rsidP="00F1455C">
      <w:pPr>
        <w:keepNext/>
        <w:keepLines/>
        <w:tabs>
          <w:tab w:val="right" w:pos="851"/>
        </w:tabs>
        <w:spacing w:before="360" w:after="240" w:line="270" w:lineRule="exact"/>
        <w:ind w:left="1134" w:right="1134" w:hanging="1134"/>
        <w:rPr>
          <w:b/>
          <w:sz w:val="24"/>
          <w:lang w:val="fr-FR"/>
        </w:rPr>
      </w:pPr>
      <w:r>
        <w:rPr>
          <w:b/>
          <w:sz w:val="24"/>
          <w:lang w:val="fr-FR"/>
        </w:rPr>
        <w:tab/>
      </w:r>
      <w:r>
        <w:rPr>
          <w:b/>
          <w:sz w:val="24"/>
          <w:lang w:val="fr-FR"/>
        </w:rPr>
        <w:tab/>
        <w:t>République Centrafricaine</w:t>
      </w:r>
    </w:p>
    <w:p w14:paraId="208F946E" w14:textId="77777777" w:rsidR="00F1455C" w:rsidRPr="00F714B1" w:rsidRDefault="00F1455C" w:rsidP="00F1455C">
      <w:pPr>
        <w:keepNext/>
        <w:keepLines/>
        <w:tabs>
          <w:tab w:val="right" w:pos="851"/>
        </w:tabs>
        <w:spacing w:before="240" w:after="120" w:line="240" w:lineRule="exact"/>
        <w:ind w:left="1134" w:right="1134" w:hanging="1134"/>
        <w:rPr>
          <w:b/>
          <w:lang w:val="fr-FR"/>
        </w:rPr>
      </w:pPr>
      <w:r w:rsidRPr="00F714B1">
        <w:rPr>
          <w:b/>
          <w:lang w:val="fr-FR"/>
        </w:rPr>
        <w:tab/>
      </w:r>
      <w:r w:rsidRPr="00F714B1">
        <w:rPr>
          <w:b/>
          <w:lang w:val="fr-FR"/>
        </w:rPr>
        <w:tab/>
        <w:t>Additif</w:t>
      </w:r>
    </w:p>
    <w:p w14:paraId="3F3DF2D6" w14:textId="77777777" w:rsidR="00F1455C" w:rsidRPr="00F714B1" w:rsidRDefault="00F1455C" w:rsidP="00F1455C">
      <w:pPr>
        <w:keepNext/>
        <w:keepLines/>
        <w:tabs>
          <w:tab w:val="right" w:pos="851"/>
        </w:tabs>
        <w:spacing w:before="360" w:after="240" w:line="270" w:lineRule="exact"/>
        <w:ind w:left="1134" w:right="1134" w:hanging="1134"/>
        <w:rPr>
          <w:b/>
          <w:sz w:val="24"/>
          <w:lang w:val="fr-FR"/>
        </w:rPr>
      </w:pPr>
      <w:r w:rsidRPr="00F714B1">
        <w:rPr>
          <w:b/>
          <w:sz w:val="24"/>
          <w:lang w:val="fr-FR"/>
        </w:rPr>
        <w:tab/>
      </w:r>
      <w:r w:rsidRPr="00F714B1">
        <w:rPr>
          <w:b/>
          <w:sz w:val="24"/>
          <w:lang w:val="fr-FR"/>
        </w:rPr>
        <w:tab/>
        <w:t>Observations sur les conclusions et/ou recommandations,</w:t>
      </w:r>
      <w:r w:rsidRPr="00F714B1">
        <w:rPr>
          <w:b/>
          <w:sz w:val="24"/>
          <w:lang w:val="fr-FR"/>
        </w:rPr>
        <w:br/>
        <w:t>engagements et réponses de l’État examiné</w:t>
      </w:r>
    </w:p>
    <w:p w14:paraId="0DD12BE9" w14:textId="58C8B566" w:rsidR="00F1455C" w:rsidRPr="00F1455C" w:rsidRDefault="00F1455C" w:rsidP="00F1455C">
      <w:pPr>
        <w:pStyle w:val="HChG"/>
        <w:rPr>
          <w:lang w:val="fr-FR"/>
        </w:rPr>
      </w:pPr>
      <w:r w:rsidRPr="00F714B1">
        <w:br w:type="page"/>
      </w:r>
      <w:r>
        <w:lastRenderedPageBreak/>
        <w:tab/>
        <w:t>I.</w:t>
      </w:r>
      <w:r>
        <w:tab/>
      </w:r>
      <w:r w:rsidRPr="00F1455C">
        <w:rPr>
          <w:lang w:val="fr-FR"/>
        </w:rPr>
        <w:t>Introduction</w:t>
      </w:r>
    </w:p>
    <w:p w14:paraId="2C8E47D6" w14:textId="0751F3A6" w:rsidR="00F1455C" w:rsidRPr="00F1455C" w:rsidRDefault="00F1455C" w:rsidP="00F1455C">
      <w:pPr>
        <w:pStyle w:val="SingleTxtG"/>
        <w:rPr>
          <w:lang w:val="fr-FR"/>
        </w:rPr>
      </w:pPr>
      <w:r>
        <w:rPr>
          <w:lang w:val="fr-FR"/>
        </w:rPr>
        <w:t>1.</w:t>
      </w:r>
      <w:r>
        <w:rPr>
          <w:lang w:val="fr-FR"/>
        </w:rPr>
        <w:tab/>
      </w:r>
      <w:r w:rsidRPr="00F1455C">
        <w:rPr>
          <w:lang w:val="fr-FR"/>
        </w:rPr>
        <w:t xml:space="preserve">A l’issue de son passage en janvier 2024 au quatrième cycle de l’Examen Périodique Universel (EPU), </w:t>
      </w:r>
      <w:r w:rsidRPr="00F1455C">
        <w:rPr>
          <w:b/>
          <w:lang w:val="fr-FR"/>
        </w:rPr>
        <w:t>244</w:t>
      </w:r>
      <w:r w:rsidRPr="00F1455C">
        <w:rPr>
          <w:lang w:val="fr-FR"/>
        </w:rPr>
        <w:t xml:space="preserve"> recommandations ont été formulées à la République centrafricaine.</w:t>
      </w:r>
    </w:p>
    <w:p w14:paraId="6966AD70" w14:textId="3809888E" w:rsidR="00F1455C" w:rsidRPr="00F1455C" w:rsidRDefault="00F1455C" w:rsidP="00F1455C">
      <w:pPr>
        <w:pStyle w:val="SingleTxtG"/>
        <w:rPr>
          <w:lang w:val="fr-FR"/>
        </w:rPr>
      </w:pPr>
      <w:r>
        <w:rPr>
          <w:lang w:val="fr-FR"/>
        </w:rPr>
        <w:t>2.</w:t>
      </w:r>
      <w:r>
        <w:rPr>
          <w:lang w:val="fr-FR"/>
        </w:rPr>
        <w:tab/>
      </w:r>
      <w:r w:rsidRPr="00F1455C">
        <w:rPr>
          <w:lang w:val="fr-FR"/>
        </w:rPr>
        <w:t xml:space="preserve">Ces recommandations figurent dans le rapport préliminaire distribué le 22 mars 2024 du Groupe de travail (Troïka) sur la RCA composé du Cameroun, du Monténégro et des Pays-Bas. Elles sont listées sous la rubrique </w:t>
      </w:r>
      <w:r w:rsidRPr="00F1455C">
        <w:rPr>
          <w:b/>
          <w:lang w:val="fr-FR"/>
        </w:rPr>
        <w:t xml:space="preserve">II- Conclusions et/ou </w:t>
      </w:r>
      <w:r w:rsidRPr="00F1455C">
        <w:rPr>
          <w:lang w:val="fr-FR"/>
        </w:rPr>
        <w:t xml:space="preserve">Recommandations, portent la numérotation </w:t>
      </w:r>
      <w:r w:rsidRPr="00F1455C">
        <w:rPr>
          <w:b/>
          <w:lang w:val="fr-FR"/>
        </w:rPr>
        <w:t>114-1</w:t>
      </w:r>
      <w:r w:rsidRPr="00F1455C">
        <w:rPr>
          <w:lang w:val="fr-FR"/>
        </w:rPr>
        <w:t xml:space="preserve"> à </w:t>
      </w:r>
      <w:r w:rsidRPr="00F1455C">
        <w:rPr>
          <w:b/>
          <w:lang w:val="fr-FR"/>
        </w:rPr>
        <w:t>114-244</w:t>
      </w:r>
      <w:r w:rsidRPr="00F1455C">
        <w:rPr>
          <w:lang w:val="fr-FR"/>
        </w:rPr>
        <w:t xml:space="preserve"> et peuvent être regroupées en cinq catégories comme suit :</w:t>
      </w:r>
    </w:p>
    <w:p w14:paraId="23189395" w14:textId="77777777" w:rsidR="00F1455C" w:rsidRPr="00F1455C" w:rsidRDefault="00F1455C" w:rsidP="00F1455C">
      <w:pPr>
        <w:pStyle w:val="Bullet1G"/>
        <w:rPr>
          <w:lang w:val="fr-FR"/>
        </w:rPr>
      </w:pPr>
      <w:r w:rsidRPr="00F1455C">
        <w:rPr>
          <w:lang w:val="fr-FR"/>
        </w:rPr>
        <w:t>Adhésion/Signature/Ratification d’instruments juridiques internationaux relatifs aux Droits de l’Homme ;</w:t>
      </w:r>
    </w:p>
    <w:p w14:paraId="00E27235" w14:textId="77777777" w:rsidR="00F1455C" w:rsidRPr="00F1455C" w:rsidRDefault="00F1455C" w:rsidP="00F1455C">
      <w:pPr>
        <w:pStyle w:val="Bullet1G"/>
        <w:rPr>
          <w:lang w:val="fr-FR"/>
        </w:rPr>
      </w:pPr>
      <w:r w:rsidRPr="00F1455C">
        <w:rPr>
          <w:lang w:val="fr-FR"/>
        </w:rPr>
        <w:t>Prises de mesures concrètes en vue de renforcer le retour de la paix et la sécurité, lutter contre l’impunité, garantir l’accès à la justice et la pleine jouissance des Droits de l’Homme par les citoyens ;</w:t>
      </w:r>
    </w:p>
    <w:p w14:paraId="0A43FBC7" w14:textId="6BA1B4BD" w:rsidR="00F1455C" w:rsidRPr="00F1455C" w:rsidRDefault="00F1455C" w:rsidP="00F1455C">
      <w:pPr>
        <w:pStyle w:val="Bullet1G"/>
        <w:rPr>
          <w:lang w:val="fr-FR"/>
        </w:rPr>
      </w:pPr>
      <w:r w:rsidRPr="00F1455C">
        <w:rPr>
          <w:lang w:val="fr-FR"/>
        </w:rPr>
        <w:t>Coopération internationale en vue de bénéficier de l’appui des partenaires et du renforcement des capacités</w:t>
      </w:r>
      <w:r>
        <w:rPr>
          <w:lang w:val="fr-FR"/>
        </w:rPr>
        <w:t> ;</w:t>
      </w:r>
    </w:p>
    <w:p w14:paraId="6D1EAE53" w14:textId="77777777" w:rsidR="00F1455C" w:rsidRPr="00F1455C" w:rsidRDefault="00F1455C" w:rsidP="00F1455C">
      <w:pPr>
        <w:pStyle w:val="Bullet1G"/>
        <w:rPr>
          <w:lang w:val="fr-FR"/>
        </w:rPr>
      </w:pPr>
      <w:r w:rsidRPr="00F1455C">
        <w:rPr>
          <w:lang w:val="fr-FR"/>
        </w:rPr>
        <w:t>Soumission de rapports aux Organes de Traités ou autres Organes de l’ONU ;</w:t>
      </w:r>
    </w:p>
    <w:p w14:paraId="4D1291DC" w14:textId="6F73A3FB" w:rsidR="00F1455C" w:rsidRPr="00F1455C" w:rsidRDefault="00F1455C" w:rsidP="00F1455C">
      <w:pPr>
        <w:pStyle w:val="Bullet1G"/>
        <w:rPr>
          <w:lang w:val="fr-FR"/>
        </w:rPr>
      </w:pPr>
      <w:r w:rsidRPr="00F1455C">
        <w:rPr>
          <w:lang w:val="fr-FR"/>
        </w:rPr>
        <w:t>Elections libres, démocratiques et transparentes</w:t>
      </w:r>
      <w:r>
        <w:rPr>
          <w:lang w:val="fr-FR"/>
        </w:rPr>
        <w:t>.</w:t>
      </w:r>
    </w:p>
    <w:p w14:paraId="5C729623" w14:textId="3E4E81E6" w:rsidR="00F1455C" w:rsidRPr="00F1455C" w:rsidRDefault="00F1455C" w:rsidP="00F1455C">
      <w:pPr>
        <w:pStyle w:val="HChG"/>
        <w:rPr>
          <w:lang w:val="fr-FR"/>
        </w:rPr>
      </w:pPr>
      <w:r>
        <w:rPr>
          <w:lang w:val="fr-FR"/>
        </w:rPr>
        <w:tab/>
        <w:t>II.</w:t>
      </w:r>
      <w:r>
        <w:rPr>
          <w:lang w:val="fr-FR"/>
        </w:rPr>
        <w:tab/>
      </w:r>
      <w:r w:rsidRPr="00F1455C">
        <w:rPr>
          <w:lang w:val="fr-FR"/>
        </w:rPr>
        <w:t>Remarques préliminaires</w:t>
      </w:r>
    </w:p>
    <w:p w14:paraId="32F6A82A" w14:textId="7C8E5E24" w:rsidR="00F1455C" w:rsidRPr="00F1455C" w:rsidRDefault="00F1455C" w:rsidP="00F1455C">
      <w:pPr>
        <w:pStyle w:val="SingleTxtG"/>
        <w:rPr>
          <w:lang w:val="fr-FR"/>
        </w:rPr>
      </w:pPr>
      <w:r>
        <w:rPr>
          <w:lang w:val="fr-FR"/>
        </w:rPr>
        <w:t>3.</w:t>
      </w:r>
      <w:r>
        <w:rPr>
          <w:lang w:val="fr-FR"/>
        </w:rPr>
        <w:tab/>
      </w:r>
      <w:r w:rsidRPr="00F1455C">
        <w:rPr>
          <w:lang w:val="fr-FR"/>
        </w:rPr>
        <w:t xml:space="preserve">Plusieurs de ces recommandations se rejoignent en reprenant les mêmes objets et il convient de noter que nombre d’entre elles ont déja été mises en œuvre. Aussi, par cet Addendum, la République centrafricaine </w:t>
      </w:r>
      <w:r w:rsidRPr="00F1455C">
        <w:rPr>
          <w:b/>
          <w:lang w:val="fr-FR"/>
        </w:rPr>
        <w:t>approuve</w:t>
      </w:r>
      <w:r w:rsidRPr="00F1455C">
        <w:rPr>
          <w:lang w:val="fr-FR"/>
        </w:rPr>
        <w:t xml:space="preserve">-t-elle certaines d’entre elles et </w:t>
      </w:r>
      <w:r w:rsidRPr="00F1455C">
        <w:rPr>
          <w:b/>
          <w:lang w:val="fr-FR"/>
        </w:rPr>
        <w:t>prend note</w:t>
      </w:r>
      <w:r w:rsidRPr="00F1455C">
        <w:rPr>
          <w:lang w:val="fr-FR"/>
        </w:rPr>
        <w:t xml:space="preserve"> des autres.</w:t>
      </w:r>
    </w:p>
    <w:p w14:paraId="5C0D807C" w14:textId="4C056FAE" w:rsidR="00F1455C" w:rsidRPr="00F1455C" w:rsidRDefault="00F1455C" w:rsidP="00F1455C">
      <w:pPr>
        <w:pStyle w:val="HChG"/>
        <w:rPr>
          <w:lang w:val="fr-FR"/>
        </w:rPr>
      </w:pPr>
      <w:r>
        <w:rPr>
          <w:lang w:val="fr-FR"/>
        </w:rPr>
        <w:tab/>
        <w:t>III.</w:t>
      </w:r>
      <w:r>
        <w:rPr>
          <w:lang w:val="fr-FR"/>
        </w:rPr>
        <w:tab/>
      </w:r>
      <w:r w:rsidRPr="00F1455C">
        <w:rPr>
          <w:lang w:val="fr-FR"/>
        </w:rPr>
        <w:t>Recommandations approuvées</w:t>
      </w:r>
    </w:p>
    <w:p w14:paraId="0D06F5EF" w14:textId="29FB1EF7" w:rsidR="00F1455C" w:rsidRPr="00F1455C" w:rsidRDefault="00F1455C" w:rsidP="00F1455C">
      <w:pPr>
        <w:pStyle w:val="SingleTxtG"/>
        <w:rPr>
          <w:lang w:val="fr-FR"/>
        </w:rPr>
      </w:pPr>
      <w:r>
        <w:rPr>
          <w:lang w:val="fr-FR"/>
        </w:rPr>
        <w:t>4.</w:t>
      </w:r>
      <w:r>
        <w:rPr>
          <w:lang w:val="fr-FR"/>
        </w:rPr>
        <w:tab/>
      </w:r>
      <w:r w:rsidRPr="00F1455C">
        <w:rPr>
          <w:lang w:val="fr-FR"/>
        </w:rPr>
        <w:t>Recommandations relatives à l’Adhésion/signature/ratification des instruments juridiques : 114-1, 2, 3, 4, 5, 6, 7, 8, 9.</w:t>
      </w:r>
    </w:p>
    <w:p w14:paraId="5F157FFA" w14:textId="1350B49A" w:rsidR="00F1455C" w:rsidRPr="00F1455C" w:rsidRDefault="00F1455C" w:rsidP="00F1455C">
      <w:pPr>
        <w:pStyle w:val="SingleTxtG"/>
        <w:rPr>
          <w:lang w:val="fr-FR"/>
        </w:rPr>
      </w:pPr>
      <w:r>
        <w:rPr>
          <w:lang w:val="fr-FR"/>
        </w:rPr>
        <w:t>5.</w:t>
      </w:r>
      <w:r>
        <w:rPr>
          <w:lang w:val="fr-FR"/>
        </w:rPr>
        <w:tab/>
      </w:r>
      <w:r w:rsidRPr="00F1455C">
        <w:rPr>
          <w:lang w:val="fr-FR"/>
        </w:rPr>
        <w:t>Recommandations relatives aux mesures législatives et institutionnelles en vue de renforcer le retour à la paix et à la sécurité, lutter contre l’impunité, garantir l’accès à la justice et la jouissance des Droits de l’Homme par les citoyens</w:t>
      </w:r>
      <w:r>
        <w:rPr>
          <w:lang w:val="fr-FR"/>
        </w:rPr>
        <w:t> :</w:t>
      </w:r>
    </w:p>
    <w:p w14:paraId="56DB95D3" w14:textId="008BA43B" w:rsidR="00F1455C" w:rsidRPr="00F1455C" w:rsidRDefault="00F1455C" w:rsidP="00F1455C">
      <w:pPr>
        <w:pStyle w:val="SingleTxtG"/>
        <w:rPr>
          <w:lang w:val="fr-FR"/>
        </w:rPr>
      </w:pPr>
      <w:r>
        <w:rPr>
          <w:lang w:val="fr-FR"/>
        </w:rPr>
        <w:tab/>
      </w:r>
      <w:r w:rsidR="008C2138">
        <w:rPr>
          <w:lang w:val="fr-FR"/>
        </w:rPr>
        <w:tab/>
      </w:r>
      <w:r w:rsidRPr="00F1455C">
        <w:rPr>
          <w:lang w:val="fr-FR"/>
        </w:rPr>
        <w:t>114-13, 14, 15, 18, 1</w:t>
      </w:r>
      <w:r w:rsidR="004C5DD2">
        <w:rPr>
          <w:lang w:val="fr-FR"/>
        </w:rPr>
        <w:t>9</w:t>
      </w:r>
      <w:r w:rsidRPr="00F1455C">
        <w:rPr>
          <w:lang w:val="fr-FR"/>
        </w:rPr>
        <w:t xml:space="preserve">, 20, 22, 23, 24, 25, 26, 27, 28, 29, 30, 31, 32, 33, 34, 35, 36, 37, 38, 39, 40, 41, 46, 47, 48, 49, 50, </w:t>
      </w:r>
      <w:r w:rsidR="004C5DD2">
        <w:rPr>
          <w:lang w:val="fr-FR"/>
        </w:rPr>
        <w:t>5</w:t>
      </w:r>
      <w:r w:rsidRPr="00F1455C">
        <w:rPr>
          <w:lang w:val="fr-FR"/>
        </w:rPr>
        <w:t xml:space="preserve">1, 52, 53, 54, 56, 57, 58, 59, 60, 61, 62, </w:t>
      </w:r>
      <w:r w:rsidR="004C5DD2">
        <w:rPr>
          <w:lang w:val="fr-FR"/>
        </w:rPr>
        <w:t xml:space="preserve">63, 64, 66, 67, 68, </w:t>
      </w:r>
      <w:r w:rsidRPr="00F1455C">
        <w:rPr>
          <w:lang w:val="fr-FR"/>
        </w:rPr>
        <w:t xml:space="preserve">69, 70, 71, </w:t>
      </w:r>
      <w:r w:rsidR="004C5DD2">
        <w:rPr>
          <w:lang w:val="fr-FR"/>
        </w:rPr>
        <w:t xml:space="preserve">72, </w:t>
      </w:r>
      <w:r w:rsidRPr="00F1455C">
        <w:rPr>
          <w:lang w:val="fr-FR"/>
        </w:rPr>
        <w:t xml:space="preserve">73, 74, 75, 76, 77, 78, 79, 80, 81, 82, 83, 84, 85, 86, 87, 88, 89, 90, </w:t>
      </w:r>
      <w:r w:rsidR="009540A9">
        <w:rPr>
          <w:lang w:val="fr-FR"/>
        </w:rPr>
        <w:t xml:space="preserve">91, </w:t>
      </w:r>
      <w:r w:rsidRPr="00F1455C">
        <w:rPr>
          <w:lang w:val="fr-FR"/>
        </w:rPr>
        <w:t xml:space="preserve">92, 93, 94, 95, 96, 97, 98, 99, 100, 101, 102, 103, </w:t>
      </w:r>
      <w:r w:rsidR="004C5DD2">
        <w:rPr>
          <w:lang w:val="fr-FR"/>
        </w:rPr>
        <w:t xml:space="preserve">105, 106, 107, 108, 109, </w:t>
      </w:r>
      <w:r w:rsidRPr="00F1455C">
        <w:rPr>
          <w:lang w:val="fr-FR"/>
        </w:rPr>
        <w:t>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240, 241, 242, 243, 244.</w:t>
      </w:r>
    </w:p>
    <w:p w14:paraId="410FB118" w14:textId="27C9B732" w:rsidR="00F1455C" w:rsidRPr="00F1455C" w:rsidRDefault="00F1455C" w:rsidP="00F1455C">
      <w:pPr>
        <w:pStyle w:val="SingleTxtG"/>
        <w:rPr>
          <w:lang w:val="fr-FR"/>
        </w:rPr>
      </w:pPr>
      <w:r>
        <w:rPr>
          <w:lang w:val="fr-FR"/>
        </w:rPr>
        <w:t>6.</w:t>
      </w:r>
      <w:r>
        <w:rPr>
          <w:lang w:val="fr-FR"/>
        </w:rPr>
        <w:tab/>
      </w:r>
      <w:r w:rsidRPr="00F1455C">
        <w:rPr>
          <w:lang w:val="fr-FR"/>
        </w:rPr>
        <w:t>Recommandations relatives à la coopération internationale en vue de bénéficier de l’appui des partenaires et du renforcement des capacités : 114-10, 11, 12.</w:t>
      </w:r>
    </w:p>
    <w:p w14:paraId="1209BFB6" w14:textId="0085C66B" w:rsidR="00F1455C" w:rsidRPr="00F1455C" w:rsidRDefault="00F1455C" w:rsidP="00F1455C">
      <w:pPr>
        <w:pStyle w:val="SingleTxtG"/>
        <w:rPr>
          <w:lang w:val="fr-FR"/>
        </w:rPr>
      </w:pPr>
      <w:r>
        <w:rPr>
          <w:lang w:val="fr-FR"/>
        </w:rPr>
        <w:t>7.</w:t>
      </w:r>
      <w:r>
        <w:rPr>
          <w:lang w:val="fr-FR"/>
        </w:rPr>
        <w:tab/>
      </w:r>
      <w:r w:rsidRPr="00F1455C">
        <w:rPr>
          <w:lang w:val="fr-FR"/>
        </w:rPr>
        <w:t>Soumission de rapports aux Organes de Traités ou autres Organes de l’ONU : 114-42, 43, 44, 45.</w:t>
      </w:r>
    </w:p>
    <w:p w14:paraId="1B0C625D" w14:textId="2719B4C4" w:rsidR="00F1455C" w:rsidRPr="00F1455C" w:rsidRDefault="001960A6" w:rsidP="00F1455C">
      <w:pPr>
        <w:pStyle w:val="SingleTxtG"/>
        <w:rPr>
          <w:lang w:val="fr-FR"/>
        </w:rPr>
      </w:pPr>
      <w:r>
        <w:rPr>
          <w:lang w:val="fr-FR"/>
        </w:rPr>
        <w:t>8.</w:t>
      </w:r>
      <w:r>
        <w:rPr>
          <w:lang w:val="fr-FR"/>
        </w:rPr>
        <w:tab/>
      </w:r>
      <w:r w:rsidR="00F1455C" w:rsidRPr="00F1455C">
        <w:rPr>
          <w:lang w:val="fr-FR"/>
        </w:rPr>
        <w:t>Recommandations relatives à l’organisation d’élections libres, démocratiques et transparentes : 114-16, 17.</w:t>
      </w:r>
    </w:p>
    <w:p w14:paraId="45265AEF" w14:textId="14FE659D" w:rsidR="00F1455C" w:rsidRPr="00F1455C" w:rsidRDefault="001960A6" w:rsidP="001960A6">
      <w:pPr>
        <w:pStyle w:val="HChG"/>
        <w:rPr>
          <w:lang w:val="fr-FR"/>
        </w:rPr>
      </w:pPr>
      <w:r>
        <w:rPr>
          <w:lang w:val="fr-FR"/>
        </w:rPr>
        <w:lastRenderedPageBreak/>
        <w:tab/>
        <w:t>IV.</w:t>
      </w:r>
      <w:r>
        <w:rPr>
          <w:lang w:val="fr-FR"/>
        </w:rPr>
        <w:tab/>
      </w:r>
      <w:r w:rsidR="00F1455C" w:rsidRPr="00F1455C">
        <w:rPr>
          <w:lang w:val="fr-FR"/>
        </w:rPr>
        <w:t>Recommandations notées</w:t>
      </w:r>
    </w:p>
    <w:p w14:paraId="4811EF31" w14:textId="20387808" w:rsidR="00F1455C" w:rsidRDefault="001960A6" w:rsidP="001960A6">
      <w:pPr>
        <w:pStyle w:val="SingleTxtG"/>
      </w:pPr>
      <w:r>
        <w:rPr>
          <w:lang w:val="fr-FR"/>
        </w:rPr>
        <w:t>9.</w:t>
      </w:r>
      <w:r>
        <w:rPr>
          <w:lang w:val="fr-FR"/>
        </w:rPr>
        <w:tab/>
      </w:r>
      <w:r w:rsidR="00F1455C" w:rsidRPr="00F1455C">
        <w:rPr>
          <w:lang w:val="fr-FR"/>
        </w:rPr>
        <w:t xml:space="preserve">Recommandations 114-21, 55, </w:t>
      </w:r>
      <w:r w:rsidR="004C5DD2">
        <w:rPr>
          <w:lang w:val="fr-FR"/>
        </w:rPr>
        <w:t xml:space="preserve">65, </w:t>
      </w:r>
      <w:r w:rsidR="00F1455C" w:rsidRPr="00F1455C">
        <w:rPr>
          <w:lang w:val="fr-FR"/>
        </w:rPr>
        <w:t>104, 238 et 239.</w:t>
      </w:r>
    </w:p>
    <w:p w14:paraId="731203F6" w14:textId="1B5588DD" w:rsidR="0008167F" w:rsidRPr="001960A6" w:rsidRDefault="001960A6" w:rsidP="001960A6">
      <w:pPr>
        <w:spacing w:before="240"/>
        <w:ind w:left="1134" w:right="1134"/>
        <w:jc w:val="center"/>
        <w:rPr>
          <w:u w:val="single"/>
        </w:rPr>
      </w:pPr>
      <w:r>
        <w:rPr>
          <w:u w:val="single"/>
        </w:rPr>
        <w:tab/>
      </w:r>
      <w:r>
        <w:rPr>
          <w:u w:val="single"/>
        </w:rPr>
        <w:tab/>
      </w:r>
      <w:r>
        <w:rPr>
          <w:u w:val="single"/>
        </w:rPr>
        <w:tab/>
      </w:r>
      <w:r w:rsidR="00B959A2">
        <w:rPr>
          <w:u w:val="single"/>
        </w:rPr>
        <w:tab/>
      </w:r>
    </w:p>
    <w:sectPr w:rsidR="0008167F" w:rsidRPr="001960A6" w:rsidSect="00F1455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A905" w14:textId="77777777" w:rsidR="00727115" w:rsidRDefault="00727115"/>
  </w:endnote>
  <w:endnote w:type="continuationSeparator" w:id="0">
    <w:p w14:paraId="342AA854" w14:textId="77777777" w:rsidR="00727115" w:rsidRDefault="00727115"/>
  </w:endnote>
  <w:endnote w:type="continuationNotice" w:id="1">
    <w:p w14:paraId="02D4CB62" w14:textId="77777777" w:rsidR="00727115" w:rsidRDefault="00727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C0A9" w14:textId="77777777" w:rsidR="00F1455C" w:rsidRPr="00F1455C" w:rsidRDefault="00F1455C" w:rsidP="00F1455C">
    <w:pPr>
      <w:pStyle w:val="Footer"/>
      <w:tabs>
        <w:tab w:val="right" w:pos="9638"/>
      </w:tabs>
      <w:rPr>
        <w:sz w:val="18"/>
      </w:rPr>
    </w:pPr>
    <w:r w:rsidRPr="00F1455C">
      <w:rPr>
        <w:b/>
        <w:sz w:val="18"/>
      </w:rPr>
      <w:fldChar w:fldCharType="begin"/>
    </w:r>
    <w:r w:rsidRPr="00F1455C">
      <w:rPr>
        <w:b/>
        <w:sz w:val="18"/>
      </w:rPr>
      <w:instrText xml:space="preserve"> PAGE  \* MERGEFORMAT </w:instrText>
    </w:r>
    <w:r w:rsidRPr="00F1455C">
      <w:rPr>
        <w:b/>
        <w:sz w:val="18"/>
      </w:rPr>
      <w:fldChar w:fldCharType="separate"/>
    </w:r>
    <w:r w:rsidRPr="00F1455C">
      <w:rPr>
        <w:b/>
        <w:noProof/>
        <w:sz w:val="18"/>
      </w:rPr>
      <w:t>2</w:t>
    </w:r>
    <w:r w:rsidRPr="00F1455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B38A" w14:textId="77777777" w:rsidR="00F1455C" w:rsidRPr="00F1455C" w:rsidRDefault="00F1455C" w:rsidP="00F1455C">
    <w:pPr>
      <w:pStyle w:val="Footer"/>
      <w:tabs>
        <w:tab w:val="right" w:pos="9638"/>
      </w:tabs>
      <w:rPr>
        <w:b/>
        <w:sz w:val="18"/>
      </w:rPr>
    </w:pPr>
    <w:r>
      <w:tab/>
    </w:r>
    <w:r w:rsidRPr="00F1455C">
      <w:rPr>
        <w:b/>
        <w:sz w:val="18"/>
      </w:rPr>
      <w:fldChar w:fldCharType="begin"/>
    </w:r>
    <w:r w:rsidRPr="00F1455C">
      <w:rPr>
        <w:b/>
        <w:sz w:val="18"/>
      </w:rPr>
      <w:instrText xml:space="preserve"> PAGE  \* MERGEFORMAT </w:instrText>
    </w:r>
    <w:r w:rsidRPr="00F1455C">
      <w:rPr>
        <w:b/>
        <w:sz w:val="18"/>
      </w:rPr>
      <w:fldChar w:fldCharType="separate"/>
    </w:r>
    <w:r w:rsidRPr="00F1455C">
      <w:rPr>
        <w:b/>
        <w:noProof/>
        <w:sz w:val="18"/>
      </w:rPr>
      <w:t>3</w:t>
    </w:r>
    <w:r w:rsidRPr="00F1455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F738" w14:textId="77777777" w:rsidR="005D2AF2" w:rsidRDefault="005D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AD60" w14:textId="77777777" w:rsidR="00727115" w:rsidRPr="00D27D5E" w:rsidRDefault="00727115" w:rsidP="00D27D5E">
      <w:pPr>
        <w:tabs>
          <w:tab w:val="right" w:pos="2155"/>
        </w:tabs>
        <w:spacing w:after="80"/>
        <w:ind w:left="680"/>
        <w:rPr>
          <w:u w:val="single"/>
        </w:rPr>
      </w:pPr>
      <w:r>
        <w:rPr>
          <w:u w:val="single"/>
        </w:rPr>
        <w:tab/>
      </w:r>
    </w:p>
  </w:footnote>
  <w:footnote w:type="continuationSeparator" w:id="0">
    <w:p w14:paraId="5AD05B6B" w14:textId="77777777" w:rsidR="00727115" w:rsidRPr="00D72E7E" w:rsidRDefault="00727115" w:rsidP="00D72E7E">
      <w:pPr>
        <w:tabs>
          <w:tab w:val="right" w:pos="2155"/>
        </w:tabs>
        <w:spacing w:after="80"/>
        <w:ind w:left="680"/>
        <w:rPr>
          <w:u w:val="single"/>
        </w:rPr>
      </w:pPr>
      <w:r w:rsidRPr="00D72E7E">
        <w:rPr>
          <w:u w:val="single"/>
        </w:rPr>
        <w:tab/>
      </w:r>
    </w:p>
  </w:footnote>
  <w:footnote w:type="continuationNotice" w:id="1">
    <w:p w14:paraId="443DA1AF" w14:textId="77777777" w:rsidR="00727115" w:rsidRDefault="00727115"/>
  </w:footnote>
  <w:footnote w:id="2">
    <w:p w14:paraId="188F10B0" w14:textId="77777777" w:rsidR="00F1455C" w:rsidRPr="005A0E69" w:rsidRDefault="00F1455C" w:rsidP="00F1455C">
      <w:pPr>
        <w:pStyle w:val="FootnoteText"/>
        <w:rPr>
          <w:lang w:val="fr-FR"/>
        </w:rPr>
      </w:pPr>
      <w:r>
        <w:tab/>
      </w:r>
      <w:r w:rsidRPr="00D202D0">
        <w:rPr>
          <w:rStyle w:val="FootnoteReference"/>
          <w:sz w:val="20"/>
          <w:vertAlign w:val="baseline"/>
          <w:lang w:val="fr-FR"/>
        </w:rPr>
        <w:t>*</w:t>
      </w:r>
      <w:r w:rsidRPr="00D202D0">
        <w:rPr>
          <w:sz w:val="20"/>
          <w:lang w:val="fr-FR"/>
        </w:rPr>
        <w:tab/>
      </w:r>
      <w:r w:rsidRPr="00150F0D">
        <w:rPr>
          <w:lang w:val="fr-FR"/>
        </w:rPr>
        <w:t>Le présent document n</w:t>
      </w:r>
      <w:r>
        <w:rPr>
          <w:lang w:val="fr-FR"/>
        </w:rPr>
        <w:t>’</w:t>
      </w:r>
      <w:r w:rsidRPr="00150F0D">
        <w:rPr>
          <w:lang w:val="fr-FR"/>
        </w:rPr>
        <w:t>a pas été revu par les services d</w:t>
      </w:r>
      <w:r>
        <w:rPr>
          <w:lang w:val="fr-FR"/>
        </w:rPr>
        <w:t>’</w:t>
      </w:r>
      <w:r w:rsidRPr="00150F0D">
        <w:rPr>
          <w:lang w:val="fr-FR"/>
        </w:rPr>
        <w:t>édition avant d</w:t>
      </w:r>
      <w:r>
        <w:rPr>
          <w:lang w:val="fr-FR"/>
        </w:rPr>
        <w:t>’</w:t>
      </w:r>
      <w:r w:rsidRPr="00150F0D">
        <w:rPr>
          <w:lang w:val="fr-FR"/>
        </w:rPr>
        <w:t>être envoyé aux services de</w:t>
      </w:r>
      <w:r>
        <w:rPr>
          <w:lang w:val="fr-FR"/>
        </w:rPr>
        <w:t xml:space="preserve"> </w:t>
      </w:r>
      <w:r w:rsidRPr="00150F0D">
        <w:rPr>
          <w:lang w:val="fr-FR"/>
        </w:rPr>
        <w:t>traduction de l</w:t>
      </w:r>
      <w:r>
        <w:rPr>
          <w:lang w:val="fr-FR"/>
        </w:rPr>
        <w:t>’</w:t>
      </w:r>
      <w:r w:rsidRPr="00150F0D">
        <w:rPr>
          <w:lang w:val="fr-FR"/>
        </w:rPr>
        <w:t>Organisation des Nations</w:t>
      </w:r>
      <w:r>
        <w:rPr>
          <w:lang w:val="fr-FR"/>
        </w:rPr>
        <w:t xml:space="preserve"> </w:t>
      </w:r>
      <w:r w:rsidRPr="00150F0D">
        <w:rPr>
          <w:lang w:val="fr-FR"/>
        </w:rPr>
        <w:t>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B09E" w14:textId="34458EDE" w:rsidR="00F1455C" w:rsidRPr="00F1455C" w:rsidRDefault="007E17BC">
    <w:pPr>
      <w:pStyle w:val="Header"/>
    </w:pPr>
    <w:r>
      <w:rPr>
        <w:noProof/>
      </w:rPr>
      <w:pict w14:anchorId="0B7F7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2032"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fldChar w:fldCharType="begin"/>
    </w:r>
    <w:r>
      <w:instrText xml:space="preserve"> TITLE  \* MERGEFORMAT </w:instrText>
    </w:r>
    <w:r>
      <w:fldChar w:fldCharType="separate"/>
    </w:r>
    <w:r w:rsidR="00F1455C">
      <w:t>A/HRC/56/12/Add.1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69CA" w14:textId="4215011E" w:rsidR="00F1455C" w:rsidRPr="00F1455C" w:rsidRDefault="007E17BC" w:rsidP="00F1455C">
    <w:pPr>
      <w:pStyle w:val="Header"/>
      <w:jc w:val="right"/>
    </w:pPr>
    <w:r>
      <w:rPr>
        <w:noProof/>
      </w:rPr>
      <w:pict w14:anchorId="1C389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2033"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fldChar w:fldCharType="begin"/>
    </w:r>
    <w:r>
      <w:instrText xml:space="preserve"> TITLE  \* MERGEFORMAT </w:instrText>
    </w:r>
    <w:r>
      <w:fldChar w:fldCharType="separate"/>
    </w:r>
    <w:r w:rsidR="00F1455C">
      <w:t>A/HRC/56/12/Add.1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3273" w14:textId="5B57063B" w:rsidR="005D2AF2" w:rsidRDefault="007E17BC">
    <w:pPr>
      <w:pStyle w:val="Header"/>
    </w:pPr>
    <w:r>
      <w:rPr>
        <w:noProof/>
      </w:rPr>
      <w:pict w14:anchorId="3D861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2031"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8C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69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4D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8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3"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3395402"/>
    <w:multiLevelType w:val="hybridMultilevel"/>
    <w:tmpl w:val="3990A598"/>
    <w:lvl w:ilvl="0" w:tplc="8ECCAFF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8D4BB7"/>
    <w:multiLevelType w:val="hybridMultilevel"/>
    <w:tmpl w:val="1FEA93F4"/>
    <w:lvl w:ilvl="0" w:tplc="A0A0C52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3732D"/>
    <w:multiLevelType w:val="hybridMultilevel"/>
    <w:tmpl w:val="58960630"/>
    <w:lvl w:ilvl="0" w:tplc="41722F56">
      <w:numFmt w:val="bullet"/>
      <w:lvlText w:val="-"/>
      <w:lvlJc w:val="left"/>
      <w:pPr>
        <w:ind w:left="720" w:hanging="360"/>
      </w:pPr>
      <w:rPr>
        <w:rFonts w:ascii="Berlin Sans FB" w:eastAsia="Times New Roman" w:hAnsi="Berlin Sans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16cid:durableId="1097752019">
    <w:abstractNumId w:val="22"/>
  </w:num>
  <w:num w:numId="2" w16cid:durableId="1365910998">
    <w:abstractNumId w:val="12"/>
  </w:num>
  <w:num w:numId="3" w16cid:durableId="1536500825">
    <w:abstractNumId w:val="1"/>
  </w:num>
  <w:num w:numId="4" w16cid:durableId="541211440">
    <w:abstractNumId w:val="0"/>
  </w:num>
  <w:num w:numId="5" w16cid:durableId="1708988743">
    <w:abstractNumId w:val="2"/>
  </w:num>
  <w:num w:numId="6" w16cid:durableId="1236625916">
    <w:abstractNumId w:val="3"/>
  </w:num>
  <w:num w:numId="7" w16cid:durableId="418600328">
    <w:abstractNumId w:val="8"/>
  </w:num>
  <w:num w:numId="8" w16cid:durableId="1134254470">
    <w:abstractNumId w:val="9"/>
  </w:num>
  <w:num w:numId="9" w16cid:durableId="1565022339">
    <w:abstractNumId w:val="7"/>
  </w:num>
  <w:num w:numId="10" w16cid:durableId="1888103084">
    <w:abstractNumId w:val="6"/>
  </w:num>
  <w:num w:numId="11" w16cid:durableId="1781752361">
    <w:abstractNumId w:val="5"/>
  </w:num>
  <w:num w:numId="12" w16cid:durableId="1469396669">
    <w:abstractNumId w:val="4"/>
  </w:num>
  <w:num w:numId="13" w16cid:durableId="2070958079">
    <w:abstractNumId w:val="13"/>
  </w:num>
  <w:num w:numId="14" w16cid:durableId="891619789">
    <w:abstractNumId w:val="21"/>
  </w:num>
  <w:num w:numId="15" w16cid:durableId="206183297">
    <w:abstractNumId w:val="18"/>
  </w:num>
  <w:num w:numId="16" w16cid:durableId="1629435919">
    <w:abstractNumId w:val="17"/>
  </w:num>
  <w:num w:numId="17" w16cid:durableId="1050879668">
    <w:abstractNumId w:val="15"/>
  </w:num>
  <w:num w:numId="18" w16cid:durableId="2053579296">
    <w:abstractNumId w:val="17"/>
  </w:num>
  <w:num w:numId="19" w16cid:durableId="1737165906">
    <w:abstractNumId w:val="15"/>
  </w:num>
  <w:num w:numId="20" w16cid:durableId="1630934848">
    <w:abstractNumId w:val="17"/>
  </w:num>
  <w:num w:numId="21" w16cid:durableId="582297492">
    <w:abstractNumId w:val="15"/>
  </w:num>
  <w:num w:numId="22" w16cid:durableId="1795168922">
    <w:abstractNumId w:val="10"/>
  </w:num>
  <w:num w:numId="23" w16cid:durableId="1001616560">
    <w:abstractNumId w:val="16"/>
  </w:num>
  <w:num w:numId="24" w16cid:durableId="1152018696">
    <w:abstractNumId w:val="11"/>
  </w:num>
  <w:num w:numId="25" w16cid:durableId="1868711884">
    <w:abstractNumId w:val="20"/>
  </w:num>
  <w:num w:numId="26" w16cid:durableId="511333120">
    <w:abstractNumId w:val="19"/>
  </w:num>
  <w:num w:numId="27" w16cid:durableId="168185316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5C"/>
    <w:rsid w:val="00016AC5"/>
    <w:rsid w:val="00020C56"/>
    <w:rsid w:val="00025771"/>
    <w:rsid w:val="0003055E"/>
    <w:rsid w:val="00057BC0"/>
    <w:rsid w:val="0008047D"/>
    <w:rsid w:val="0008167F"/>
    <w:rsid w:val="000E03D2"/>
    <w:rsid w:val="000F41F2"/>
    <w:rsid w:val="0011219D"/>
    <w:rsid w:val="00133B7A"/>
    <w:rsid w:val="001370FA"/>
    <w:rsid w:val="00153B2E"/>
    <w:rsid w:val="00160540"/>
    <w:rsid w:val="00170BBF"/>
    <w:rsid w:val="00172B99"/>
    <w:rsid w:val="00186254"/>
    <w:rsid w:val="00192920"/>
    <w:rsid w:val="00192EEB"/>
    <w:rsid w:val="001960A6"/>
    <w:rsid w:val="001A20FB"/>
    <w:rsid w:val="001C6647"/>
    <w:rsid w:val="001E3FEB"/>
    <w:rsid w:val="001E4A02"/>
    <w:rsid w:val="002659F1"/>
    <w:rsid w:val="00287E79"/>
    <w:rsid w:val="002928F9"/>
    <w:rsid w:val="002A5D07"/>
    <w:rsid w:val="003016B7"/>
    <w:rsid w:val="003515AA"/>
    <w:rsid w:val="00374106"/>
    <w:rsid w:val="0037787B"/>
    <w:rsid w:val="003800E1"/>
    <w:rsid w:val="003976D5"/>
    <w:rsid w:val="003D193B"/>
    <w:rsid w:val="003D5D72"/>
    <w:rsid w:val="003D6C68"/>
    <w:rsid w:val="003E6ACD"/>
    <w:rsid w:val="004159D0"/>
    <w:rsid w:val="00453816"/>
    <w:rsid w:val="00481744"/>
    <w:rsid w:val="00482630"/>
    <w:rsid w:val="004B2F4D"/>
    <w:rsid w:val="004C5DD2"/>
    <w:rsid w:val="004E0ED4"/>
    <w:rsid w:val="00506892"/>
    <w:rsid w:val="00515E4C"/>
    <w:rsid w:val="005518A2"/>
    <w:rsid w:val="00571F41"/>
    <w:rsid w:val="00594033"/>
    <w:rsid w:val="005D2AF2"/>
    <w:rsid w:val="005E5D1F"/>
    <w:rsid w:val="005F3C2D"/>
    <w:rsid w:val="00612D48"/>
    <w:rsid w:val="00616B45"/>
    <w:rsid w:val="006402CD"/>
    <w:rsid w:val="006439EC"/>
    <w:rsid w:val="0066166E"/>
    <w:rsid w:val="006717FE"/>
    <w:rsid w:val="006739B9"/>
    <w:rsid w:val="006A4BB1"/>
    <w:rsid w:val="006B4590"/>
    <w:rsid w:val="006C340C"/>
    <w:rsid w:val="0070347C"/>
    <w:rsid w:val="007245EE"/>
    <w:rsid w:val="00727115"/>
    <w:rsid w:val="00757464"/>
    <w:rsid w:val="00757B26"/>
    <w:rsid w:val="007602DF"/>
    <w:rsid w:val="00794671"/>
    <w:rsid w:val="007B4AD1"/>
    <w:rsid w:val="007D30F7"/>
    <w:rsid w:val="007E17BC"/>
    <w:rsid w:val="0081197C"/>
    <w:rsid w:val="00844750"/>
    <w:rsid w:val="00874E9D"/>
    <w:rsid w:val="0088312E"/>
    <w:rsid w:val="008921DD"/>
    <w:rsid w:val="0089595B"/>
    <w:rsid w:val="008B4356"/>
    <w:rsid w:val="008C2138"/>
    <w:rsid w:val="008E7FAE"/>
    <w:rsid w:val="008F7E69"/>
    <w:rsid w:val="00911BF7"/>
    <w:rsid w:val="00947A68"/>
    <w:rsid w:val="009540A9"/>
    <w:rsid w:val="0096714A"/>
    <w:rsid w:val="00977EC8"/>
    <w:rsid w:val="0098025B"/>
    <w:rsid w:val="009D3A8C"/>
    <w:rsid w:val="009E7956"/>
    <w:rsid w:val="00A2492E"/>
    <w:rsid w:val="00A41FCA"/>
    <w:rsid w:val="00A63BBD"/>
    <w:rsid w:val="00A8374C"/>
    <w:rsid w:val="00A954DF"/>
    <w:rsid w:val="00AC47AD"/>
    <w:rsid w:val="00AC7977"/>
    <w:rsid w:val="00AE352C"/>
    <w:rsid w:val="00AE5C9A"/>
    <w:rsid w:val="00B32AA5"/>
    <w:rsid w:val="00B32E2D"/>
    <w:rsid w:val="00B61990"/>
    <w:rsid w:val="00B959A2"/>
    <w:rsid w:val="00B9642C"/>
    <w:rsid w:val="00BE28D3"/>
    <w:rsid w:val="00BF0556"/>
    <w:rsid w:val="00C261F8"/>
    <w:rsid w:val="00C717E0"/>
    <w:rsid w:val="00CD1A71"/>
    <w:rsid w:val="00CD1FBB"/>
    <w:rsid w:val="00CE2A9C"/>
    <w:rsid w:val="00CE5AFE"/>
    <w:rsid w:val="00D016B5"/>
    <w:rsid w:val="00D034F1"/>
    <w:rsid w:val="00D27D5E"/>
    <w:rsid w:val="00D42E42"/>
    <w:rsid w:val="00D72E7E"/>
    <w:rsid w:val="00DE2AF1"/>
    <w:rsid w:val="00DE6D90"/>
    <w:rsid w:val="00DF002F"/>
    <w:rsid w:val="00E0244D"/>
    <w:rsid w:val="00E53A1D"/>
    <w:rsid w:val="00E81E94"/>
    <w:rsid w:val="00E82607"/>
    <w:rsid w:val="00F1455C"/>
    <w:rsid w:val="00F22103"/>
    <w:rsid w:val="00F42631"/>
    <w:rsid w:val="00F72951"/>
    <w:rsid w:val="00FA5A79"/>
    <w:rsid w:val="00FB0BFE"/>
    <w:rsid w:val="00FB4C51"/>
    <w:rsid w:val="00FF07B1"/>
    <w:rsid w:val="00FF1D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D92F28"/>
  <w15:docId w15:val="{0244061A-0DC4-4889-9AB0-DAF7A808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Title" w:semiHidden="1" w:qFormat="1"/>
    <w:lsdException w:name="Closing" w:semiHidden="1"/>
    <w:lsdException w:name="Signature" w:semiHidden="1"/>
    <w:lsdException w:name="Body Text" w:semiHidden="1"/>
    <w:lsdException w:name="Body Text Indent"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callout,Footnotes refss"/>
    <w:basedOn w:val="DefaultParagraphFont"/>
    <w:qFormat/>
    <w:rsid w:val="0008167F"/>
    <w:rPr>
      <w:rFonts w:ascii="Times New Roman" w:hAnsi="Times New Roman"/>
      <w:sz w:val="18"/>
      <w:vertAlign w:val="superscript"/>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Footnote Text Char1 Char1,Footnote Text Char Char Char1,Char Char Char Char1,Footnote Text Char1 Char Char,Footnote Text Char Char Char Char,Char Char Char Char Char1,Char Char, Char Char Char Char1, Char Char"/>
    <w:basedOn w:val="Normal"/>
    <w:link w:val="FootnoteTextChar"/>
    <w:qFormat/>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basedOn w:val="DefaultParagraphFont"/>
    <w:semiHidden/>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24"/>
      </w:numPr>
      <w:kinsoku w:val="0"/>
      <w:overflowPunct w:val="0"/>
      <w:autoSpaceDE w:val="0"/>
      <w:autoSpaceDN w:val="0"/>
      <w:adjustRightInd w:val="0"/>
      <w:snapToGrid w:val="0"/>
    </w:pPr>
  </w:style>
  <w:style w:type="character" w:customStyle="1" w:styleId="FootnoteTextChar">
    <w:name w:val="Footnote Text Char"/>
    <w:aliases w:val="5_G Char,Footnote Text Char1 Char1 Char,Footnote Text Char Char Char1 Char,Char Char Char Char1 Char,Footnote Text Char1 Char Char Char,Footnote Text Char Char Char Char Char,Char Char Char Char Char1 Char,Char Char Char"/>
    <w:basedOn w:val="DefaultParagraphFont"/>
    <w:link w:val="FootnoteText"/>
    <w:rsid w:val="00F1455C"/>
    <w:rPr>
      <w:sz w:val="18"/>
      <w:lang w:val="en-GB" w:eastAsia="en-US"/>
    </w:rPr>
  </w:style>
  <w:style w:type="paragraph" w:styleId="ListParagraph">
    <w:name w:val="List Paragraph"/>
    <w:basedOn w:val="Normal"/>
    <w:uiPriority w:val="34"/>
    <w:qFormat/>
    <w:rsid w:val="00F1455C"/>
    <w:pPr>
      <w:suppressAutoHyphens w:val="0"/>
      <w:spacing w:after="160" w:line="252" w:lineRule="auto"/>
      <w:ind w:left="720"/>
      <w:contextualSpacing/>
    </w:pPr>
    <w:rPr>
      <w:rFonts w:asciiTheme="minorHAnsi" w:hAnsiTheme="minorHAnsi"/>
      <w:sz w:val="22"/>
      <w:szCs w:val="22"/>
      <w:lang w:val="fr-FR"/>
    </w:rPr>
  </w:style>
  <w:style w:type="paragraph" w:styleId="Revision">
    <w:name w:val="Revision"/>
    <w:hidden/>
    <w:uiPriority w:val="99"/>
    <w:semiHidden/>
    <w:rsid w:val="004C5DD2"/>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B142B-6C4E-4E51-9A0C-97C4A78CC250}">
  <ds:schemaRefs>
    <ds:schemaRef ds:uri="http://schemas.microsoft.com/sharepoint/v3/contenttype/forms"/>
  </ds:schemaRefs>
</ds:datastoreItem>
</file>

<file path=customXml/itemProps2.xml><?xml version="1.0" encoding="utf-8"?>
<ds:datastoreItem xmlns:ds="http://schemas.openxmlformats.org/officeDocument/2006/customXml" ds:itemID="{F519E4C5-C8DB-41DA-A524-5E68627E9B95}"/>
</file>

<file path=customXml/itemProps3.xml><?xml version="1.0" encoding="utf-8"?>
<ds:datastoreItem xmlns:ds="http://schemas.openxmlformats.org/officeDocument/2006/customXml" ds:itemID="{73836342-158A-4542-9A4C-59A8BDD234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A_F.dotm</Template>
  <TotalTime>1</TotalTime>
  <Pages>3</Pages>
  <Words>554</Words>
  <Characters>3162</Characters>
  <Application>Microsoft Office Word</Application>
  <DocSecurity>4</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A/HRC/56/12/Add.1</vt:lpstr>
      <vt:lpstr>Nations Unies</vt:lpstr>
    </vt:vector>
  </TitlesOfParts>
  <Company>CSD</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A/HRC/56/12/Add.1</dc:title>
  <dc:creator>IHARA Sumiko</dc:creator>
  <cp:lastModifiedBy>Sumiko Ihara</cp:lastModifiedBy>
  <cp:revision>2</cp:revision>
  <cp:lastPrinted>2008-02-01T10:36:00Z</cp:lastPrinted>
  <dcterms:created xsi:type="dcterms:W3CDTF">2024-07-02T10:32:00Z</dcterms:created>
  <dcterms:modified xsi:type="dcterms:W3CDTF">2024-07-02T10:32:00Z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0x010100EAA620A86240384492B6620ABCFF4EEB</vt:lpwstr>
  </property>
</Properties>
</file>