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9C61759" w14:textId="77777777" w:rsidTr="0040017C">
        <w:trPr>
          <w:trHeight w:val="851"/>
        </w:trPr>
        <w:tc>
          <w:tcPr>
            <w:tcW w:w="1259" w:type="dxa"/>
            <w:tcBorders>
              <w:top w:val="nil"/>
              <w:left w:val="nil"/>
              <w:bottom w:val="single" w:sz="4" w:space="0" w:color="auto"/>
              <w:right w:val="nil"/>
            </w:tcBorders>
          </w:tcPr>
          <w:p w14:paraId="6A881806"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20E9D7D" w14:textId="356F5CE3"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BC744B" w14:textId="2F4A6AB0" w:rsidR="00E52109" w:rsidRPr="008435E1" w:rsidRDefault="006A5BA5" w:rsidP="006A5BA5">
            <w:pPr>
              <w:suppressAutoHyphens w:val="0"/>
              <w:spacing w:after="20"/>
              <w:jc w:val="right"/>
            </w:pPr>
            <w:r w:rsidRPr="008435E1">
              <w:rPr>
                <w:sz w:val="40"/>
              </w:rPr>
              <w:t>A</w:t>
            </w:r>
            <w:r w:rsidRPr="008435E1">
              <w:t>/HRC/</w:t>
            </w:r>
            <w:r w:rsidR="008435E1" w:rsidRPr="008435E1">
              <w:t>56/31</w:t>
            </w:r>
          </w:p>
        </w:tc>
      </w:tr>
      <w:tr w:rsidR="00E52109" w14:paraId="64A306B5" w14:textId="77777777" w:rsidTr="0040017C">
        <w:trPr>
          <w:trHeight w:val="2835"/>
        </w:trPr>
        <w:tc>
          <w:tcPr>
            <w:tcW w:w="1259" w:type="dxa"/>
            <w:tcBorders>
              <w:top w:val="single" w:sz="4" w:space="0" w:color="auto"/>
              <w:left w:val="nil"/>
              <w:bottom w:val="single" w:sz="12" w:space="0" w:color="auto"/>
              <w:right w:val="nil"/>
            </w:tcBorders>
          </w:tcPr>
          <w:p w14:paraId="2F7A8159" w14:textId="652E1F30"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9C0FDA1" w14:textId="08313641" w:rsidR="00E52109" w:rsidRDefault="00275D64"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BCEAD7E" w14:textId="77777777" w:rsidR="00E52109" w:rsidRDefault="006A5BA5" w:rsidP="006A5BA5">
            <w:pPr>
              <w:spacing w:before="240"/>
            </w:pPr>
            <w:r>
              <w:t>Distr.: General</w:t>
            </w:r>
          </w:p>
          <w:p w14:paraId="52E28C1B" w14:textId="25CE2B5D" w:rsidR="006A5BA5" w:rsidRPr="005D27C0" w:rsidRDefault="006D4098" w:rsidP="006A5BA5">
            <w:pPr>
              <w:suppressAutoHyphens w:val="0"/>
            </w:pPr>
            <w:r>
              <w:t>3</w:t>
            </w:r>
            <w:r w:rsidR="005D27C0" w:rsidRPr="005D27C0">
              <w:t xml:space="preserve"> July 2024</w:t>
            </w:r>
          </w:p>
          <w:p w14:paraId="5825DB59" w14:textId="77777777" w:rsidR="006A5BA5" w:rsidRDefault="006A5BA5" w:rsidP="006A5BA5">
            <w:pPr>
              <w:suppressAutoHyphens w:val="0"/>
            </w:pPr>
          </w:p>
          <w:p w14:paraId="3F5CC29E" w14:textId="4090C0CE" w:rsidR="006A5BA5" w:rsidRDefault="006A5BA5" w:rsidP="006A5BA5">
            <w:pPr>
              <w:suppressAutoHyphens w:val="0"/>
            </w:pPr>
            <w:r>
              <w:t xml:space="preserve">Original: </w:t>
            </w:r>
            <w:r w:rsidR="002071B1" w:rsidRPr="00270D05">
              <w:rPr>
                <w:color w:val="000000" w:themeColor="text1"/>
              </w:rPr>
              <w:t>English</w:t>
            </w:r>
          </w:p>
        </w:tc>
      </w:tr>
    </w:tbl>
    <w:p w14:paraId="504938AA" w14:textId="77777777" w:rsidR="00540610" w:rsidRDefault="00540610" w:rsidP="00540610">
      <w:pPr>
        <w:spacing w:before="120"/>
        <w:rPr>
          <w:b/>
          <w:sz w:val="24"/>
          <w:szCs w:val="24"/>
        </w:rPr>
      </w:pPr>
      <w:r>
        <w:rPr>
          <w:b/>
          <w:sz w:val="24"/>
          <w:szCs w:val="24"/>
        </w:rPr>
        <w:t>Human Rights Council</w:t>
      </w:r>
    </w:p>
    <w:p w14:paraId="240FABC0" w14:textId="136D139C" w:rsidR="00540610" w:rsidRPr="00270D05" w:rsidRDefault="002071B1" w:rsidP="00540610">
      <w:pPr>
        <w:rPr>
          <w:b/>
          <w:bCs/>
          <w:color w:val="000000" w:themeColor="text1"/>
        </w:rPr>
      </w:pPr>
      <w:r w:rsidRPr="00270D05">
        <w:rPr>
          <w:b/>
          <w:bCs/>
          <w:color w:val="000000" w:themeColor="text1"/>
        </w:rPr>
        <w:t>Fifth-sixth</w:t>
      </w:r>
      <w:r w:rsidR="00540610" w:rsidRPr="00270D05">
        <w:rPr>
          <w:b/>
          <w:bCs/>
          <w:color w:val="000000" w:themeColor="text1"/>
        </w:rPr>
        <w:t xml:space="preserve"> session</w:t>
      </w:r>
    </w:p>
    <w:p w14:paraId="083C9E00" w14:textId="7E63DC11" w:rsidR="00540610" w:rsidRPr="00270D05" w:rsidRDefault="00B87CF6" w:rsidP="00540610">
      <w:pPr>
        <w:rPr>
          <w:color w:val="000000" w:themeColor="text1"/>
        </w:rPr>
      </w:pPr>
      <w:r w:rsidRPr="00270D05">
        <w:rPr>
          <w:color w:val="000000" w:themeColor="text1"/>
        </w:rPr>
        <w:t>18 June</w:t>
      </w:r>
      <w:r w:rsidR="006D4098">
        <w:rPr>
          <w:color w:val="000000" w:themeColor="text1"/>
        </w:rPr>
        <w:softHyphen/>
      </w:r>
      <w:r w:rsidRPr="00270D05">
        <w:rPr>
          <w:color w:val="000000" w:themeColor="text1"/>
        </w:rPr>
        <w:t>12 July 2024</w:t>
      </w:r>
    </w:p>
    <w:p w14:paraId="074BEA48" w14:textId="77777777" w:rsidR="008435E1" w:rsidRPr="00CE75E1" w:rsidRDefault="008435E1" w:rsidP="008435E1">
      <w:pPr>
        <w:tabs>
          <w:tab w:val="left" w:pos="1701"/>
        </w:tabs>
      </w:pPr>
      <w:r w:rsidRPr="00CE75E1">
        <w:t>Agenda items 2 and 3</w:t>
      </w:r>
    </w:p>
    <w:p w14:paraId="06677FDC" w14:textId="77777777" w:rsidR="008435E1" w:rsidRPr="00CE75E1" w:rsidRDefault="008435E1" w:rsidP="008435E1">
      <w:pPr>
        <w:tabs>
          <w:tab w:val="left" w:pos="1701"/>
        </w:tabs>
        <w:rPr>
          <w:b/>
          <w:bCs/>
        </w:rPr>
      </w:pPr>
      <w:r w:rsidRPr="00CE75E1">
        <w:rPr>
          <w:b/>
          <w:bCs/>
        </w:rPr>
        <w:t xml:space="preserve">Annual report of the United Nations High Commissioner </w:t>
      </w:r>
      <w:r w:rsidRPr="00CE75E1">
        <w:rPr>
          <w:b/>
          <w:bCs/>
        </w:rPr>
        <w:br/>
        <w:t xml:space="preserve">for Human Rights and reports of the Office of the </w:t>
      </w:r>
      <w:r w:rsidRPr="00CE75E1">
        <w:rPr>
          <w:b/>
          <w:bCs/>
        </w:rPr>
        <w:br/>
        <w:t>High Commissioner and the Secretary-General</w:t>
      </w:r>
    </w:p>
    <w:p w14:paraId="4BA0DB23" w14:textId="77777777" w:rsidR="008435E1" w:rsidRPr="00CE75E1" w:rsidRDefault="008435E1" w:rsidP="008435E1">
      <w:pPr>
        <w:pStyle w:val="BodyText"/>
        <w:tabs>
          <w:tab w:val="left" w:pos="1701"/>
        </w:tabs>
      </w:pPr>
      <w:r w:rsidRPr="00CE75E1">
        <w:t xml:space="preserve">Promotion and protection of all human rights, </w:t>
      </w:r>
      <w:r w:rsidRPr="00CE75E1">
        <w:br/>
        <w:t xml:space="preserve">civil, political, economic, social and cultural rights, </w:t>
      </w:r>
      <w:r w:rsidRPr="00CE75E1">
        <w:br/>
        <w:t>including the right to development</w:t>
      </w:r>
    </w:p>
    <w:p w14:paraId="040BA45A" w14:textId="19E3B58B" w:rsidR="00540610" w:rsidRPr="003C0FA7" w:rsidRDefault="00540610" w:rsidP="00540610">
      <w:pPr>
        <w:pStyle w:val="HChG"/>
        <w:rPr>
          <w:b w:val="0"/>
          <w:bCs/>
          <w:color w:val="000000" w:themeColor="text1"/>
          <w:sz w:val="20"/>
        </w:rPr>
      </w:pPr>
      <w:r w:rsidRPr="003C0FA7">
        <w:rPr>
          <w:color w:val="000000" w:themeColor="text1"/>
        </w:rPr>
        <w:tab/>
      </w:r>
      <w:r w:rsidRPr="003C0FA7">
        <w:rPr>
          <w:color w:val="000000" w:themeColor="text1"/>
        </w:rPr>
        <w:tab/>
      </w:r>
      <w:r w:rsidR="002071B1" w:rsidRPr="003C0FA7">
        <w:rPr>
          <w:color w:val="000000" w:themeColor="text1"/>
        </w:rPr>
        <w:t>C</w:t>
      </w:r>
      <w:r w:rsidR="00EE0F20" w:rsidRPr="003C0FA7">
        <w:rPr>
          <w:color w:val="000000" w:themeColor="text1"/>
        </w:rPr>
        <w:t>ountering c</w:t>
      </w:r>
      <w:r w:rsidR="002071B1" w:rsidRPr="003C0FA7">
        <w:rPr>
          <w:color w:val="000000" w:themeColor="text1"/>
        </w:rPr>
        <w:t>yberbullying against persons with disabilities</w:t>
      </w:r>
    </w:p>
    <w:p w14:paraId="4DACB376" w14:textId="1435AE76" w:rsidR="00540610" w:rsidRPr="00270D05" w:rsidRDefault="00540610" w:rsidP="00540610">
      <w:pPr>
        <w:pStyle w:val="H1G"/>
        <w:rPr>
          <w:color w:val="000000" w:themeColor="text1"/>
        </w:rPr>
      </w:pPr>
      <w:r w:rsidRPr="00270D05">
        <w:rPr>
          <w:color w:val="000000" w:themeColor="text1"/>
        </w:rPr>
        <w:tab/>
      </w:r>
      <w:r w:rsidRPr="00270D05">
        <w:rPr>
          <w:color w:val="000000" w:themeColor="text1"/>
        </w:rPr>
        <w:tab/>
      </w:r>
      <w:r w:rsidR="008435E1" w:rsidRPr="00CE75E1">
        <w:t>Report of the Office of the United Nations High Commissioner for Human Rights</w:t>
      </w:r>
      <w:r w:rsidR="008435E1" w:rsidRPr="00CE75E1">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85498C" w14:paraId="383FCD1D" w14:textId="77777777" w:rsidTr="0085498C">
        <w:trPr>
          <w:jc w:val="center"/>
        </w:trPr>
        <w:tc>
          <w:tcPr>
            <w:tcW w:w="9637" w:type="dxa"/>
            <w:tcBorders>
              <w:bottom w:val="nil"/>
            </w:tcBorders>
          </w:tcPr>
          <w:p w14:paraId="2DF201E7" w14:textId="5BE2DBDE" w:rsidR="0085498C" w:rsidRPr="0085498C" w:rsidRDefault="0085498C" w:rsidP="0085498C">
            <w:pPr>
              <w:tabs>
                <w:tab w:val="left" w:pos="255"/>
              </w:tabs>
              <w:suppressAutoHyphens w:val="0"/>
              <w:spacing w:before="240" w:after="120"/>
              <w:rPr>
                <w:sz w:val="24"/>
              </w:rPr>
            </w:pPr>
            <w:r>
              <w:tab/>
            </w:r>
            <w:r>
              <w:rPr>
                <w:i/>
                <w:sz w:val="24"/>
              </w:rPr>
              <w:t>Summary</w:t>
            </w:r>
          </w:p>
        </w:tc>
      </w:tr>
      <w:tr w:rsidR="0085498C" w14:paraId="36B5A259" w14:textId="77777777" w:rsidTr="0085498C">
        <w:trPr>
          <w:jc w:val="center"/>
        </w:trPr>
        <w:tc>
          <w:tcPr>
            <w:tcW w:w="9637" w:type="dxa"/>
            <w:tcBorders>
              <w:top w:val="nil"/>
              <w:bottom w:val="nil"/>
            </w:tcBorders>
            <w:shd w:val="clear" w:color="auto" w:fill="auto"/>
          </w:tcPr>
          <w:p w14:paraId="02ACB558" w14:textId="44A7C82A" w:rsidR="0085498C" w:rsidRPr="0085498C" w:rsidRDefault="003C0FA7" w:rsidP="0085498C">
            <w:pPr>
              <w:pStyle w:val="SingleTxtG"/>
              <w:ind w:firstLine="486"/>
              <w:rPr>
                <w:color w:val="0070C0"/>
              </w:rPr>
            </w:pPr>
            <w:r w:rsidRPr="00E94348">
              <w:rPr>
                <w:color w:val="000000" w:themeColor="text1"/>
              </w:rPr>
              <w:t>The present report</w:t>
            </w:r>
            <w:r w:rsidR="001403B5">
              <w:rPr>
                <w:color w:val="000000" w:themeColor="text1"/>
              </w:rPr>
              <w:t>,</w:t>
            </w:r>
            <w:r w:rsidRPr="00E94348">
              <w:rPr>
                <w:color w:val="000000" w:themeColor="text1"/>
              </w:rPr>
              <w:t xml:space="preserve"> </w:t>
            </w:r>
            <w:r w:rsidR="006A572C">
              <w:rPr>
                <w:color w:val="000000" w:themeColor="text1"/>
              </w:rPr>
              <w:t xml:space="preserve">submitted </w:t>
            </w:r>
            <w:r w:rsidR="001403B5">
              <w:rPr>
                <w:color w:val="000000" w:themeColor="text1"/>
              </w:rPr>
              <w:t>pursuant to</w:t>
            </w:r>
            <w:r w:rsidRPr="00E94348">
              <w:rPr>
                <w:color w:val="000000" w:themeColor="text1"/>
              </w:rPr>
              <w:t xml:space="preserve"> Human Rights Council resolution 51/10</w:t>
            </w:r>
            <w:r w:rsidR="00D4372A">
              <w:rPr>
                <w:color w:val="000000" w:themeColor="text1"/>
              </w:rPr>
              <w:t>,</w:t>
            </w:r>
            <w:r w:rsidR="00A41FA4" w:rsidRPr="00E94348">
              <w:rPr>
                <w:color w:val="000000" w:themeColor="text1"/>
              </w:rPr>
              <w:t xml:space="preserve"> focuses</w:t>
            </w:r>
            <w:r w:rsidR="00E94348" w:rsidRPr="000D2F58">
              <w:rPr>
                <w:color w:val="000000" w:themeColor="text1"/>
              </w:rPr>
              <w:t xml:space="preserve"> on the experiences of persons with disabilities with cyberbullying, and the relevant human rights frameworks in which their rights are situated. </w:t>
            </w:r>
            <w:r w:rsidR="00E94348" w:rsidRPr="00E94348">
              <w:rPr>
                <w:color w:val="000000" w:themeColor="text1"/>
              </w:rPr>
              <w:t>It also outlines prevailing trends and challenges to effectively address</w:t>
            </w:r>
            <w:r w:rsidR="00E70BA2">
              <w:rPr>
                <w:color w:val="000000" w:themeColor="text1"/>
              </w:rPr>
              <w:t xml:space="preserve"> </w:t>
            </w:r>
            <w:r w:rsidR="00E94348" w:rsidRPr="00E94348">
              <w:rPr>
                <w:color w:val="000000" w:themeColor="text1"/>
              </w:rPr>
              <w:t xml:space="preserve">cyberbullying against persons with disabilities, followed by a description of promising counter-cyberbullying practices and interventions. It closes with a set of recommendations aimed at supporting individuals, communities, States, and digital technology companies in developing rights-respecting responses to cyberbullying against persons with </w:t>
            </w:r>
            <w:proofErr w:type="gramStart"/>
            <w:r w:rsidR="00E94348" w:rsidRPr="00E94348">
              <w:rPr>
                <w:color w:val="000000" w:themeColor="text1"/>
              </w:rPr>
              <w:t>disabilities, and</w:t>
            </w:r>
            <w:proofErr w:type="gramEnd"/>
            <w:r w:rsidR="00E94348" w:rsidRPr="00E94348">
              <w:rPr>
                <w:color w:val="000000" w:themeColor="text1"/>
              </w:rPr>
              <w:t xml:space="preserve"> ensuring their participation in and access to the benefits of the digital environment.</w:t>
            </w:r>
            <w:r w:rsidR="00E94348">
              <w:rPr>
                <w:color w:val="000000" w:themeColor="text1"/>
              </w:rPr>
              <w:t xml:space="preserve"> </w:t>
            </w:r>
          </w:p>
        </w:tc>
      </w:tr>
      <w:tr w:rsidR="0085498C" w14:paraId="40355672" w14:textId="77777777" w:rsidTr="0085498C">
        <w:trPr>
          <w:jc w:val="center"/>
        </w:trPr>
        <w:tc>
          <w:tcPr>
            <w:tcW w:w="9637" w:type="dxa"/>
            <w:tcBorders>
              <w:top w:val="nil"/>
            </w:tcBorders>
          </w:tcPr>
          <w:p w14:paraId="7121FEB5" w14:textId="77777777" w:rsidR="0085498C" w:rsidRDefault="0085498C" w:rsidP="0085498C">
            <w:pPr>
              <w:suppressAutoHyphens w:val="0"/>
            </w:pPr>
          </w:p>
        </w:tc>
      </w:tr>
    </w:tbl>
    <w:p w14:paraId="43F921BD" w14:textId="56F604B3" w:rsidR="00B12BEF" w:rsidRDefault="00B12BEF">
      <w:pPr>
        <w:suppressAutoHyphens w:val="0"/>
        <w:kinsoku/>
        <w:overflowPunct/>
        <w:autoSpaceDE/>
        <w:autoSpaceDN/>
        <w:adjustRightInd/>
        <w:snapToGrid/>
        <w:spacing w:after="200" w:line="276" w:lineRule="auto"/>
        <w:rPr>
          <w:u w:val="single"/>
        </w:rPr>
      </w:pPr>
      <w:r>
        <w:rPr>
          <w:u w:val="single"/>
        </w:rPr>
        <w:br w:type="page"/>
      </w:r>
    </w:p>
    <w:p w14:paraId="0177FAF6" w14:textId="57FE6AD1" w:rsidR="00B87CF6" w:rsidRPr="00D67BEE" w:rsidRDefault="00B12BEF" w:rsidP="00B12BEF">
      <w:pPr>
        <w:pStyle w:val="HChG"/>
        <w:tabs>
          <w:tab w:val="left" w:pos="1701"/>
        </w:tabs>
        <w:outlineLvl w:val="1"/>
      </w:pPr>
      <w:r>
        <w:lastRenderedPageBreak/>
        <w:tab/>
        <w:t>I.</w:t>
      </w:r>
      <w:r>
        <w:tab/>
      </w:r>
      <w:r w:rsidR="00A6335E" w:rsidRPr="00D67BEE">
        <w:t>Mandate and scope</w:t>
      </w:r>
    </w:p>
    <w:p w14:paraId="7415106B" w14:textId="2F55AB03" w:rsidR="00EE0F20" w:rsidRDefault="00B12BEF" w:rsidP="00B12BEF">
      <w:pPr>
        <w:pStyle w:val="SingleTxtG"/>
        <w:tabs>
          <w:tab w:val="left" w:pos="1701"/>
        </w:tabs>
        <w:suppressAutoHyphens w:val="0"/>
        <w:kinsoku/>
        <w:overflowPunct/>
        <w:autoSpaceDE/>
        <w:autoSpaceDN/>
        <w:adjustRightInd/>
        <w:snapToGrid/>
      </w:pPr>
      <w:r>
        <w:t>1.</w:t>
      </w:r>
      <w:r>
        <w:tab/>
      </w:r>
      <w:r w:rsidR="00EE0F20">
        <w:t xml:space="preserve">In its resolution 51/10, the Human Rights Council requested the United Nations </w:t>
      </w:r>
      <w:r w:rsidR="00832516">
        <w:t xml:space="preserve">Office of the </w:t>
      </w:r>
      <w:r w:rsidR="00EE0F20">
        <w:t>High Commissioner for Human Rights</w:t>
      </w:r>
      <w:r w:rsidR="00A41FA4">
        <w:t xml:space="preserve"> (OHCHR)</w:t>
      </w:r>
      <w:r w:rsidR="00F83BC8">
        <w:t xml:space="preserve"> to prepare a report on countering cyberbullying against persons with disabilities, </w:t>
      </w:r>
      <w:r w:rsidR="0048323A" w:rsidRPr="0048323A">
        <w:t>identifying recent trends and challenges, as well as applicable human rights principles, safeguards and best practices</w:t>
      </w:r>
      <w:r w:rsidR="0048323A">
        <w:t>.</w:t>
      </w:r>
      <w:r w:rsidR="00AC357D">
        <w:rPr>
          <w:rStyle w:val="FootnoteReference"/>
        </w:rPr>
        <w:footnoteReference w:id="3"/>
      </w:r>
      <w:r w:rsidR="0048323A" w:rsidRPr="0048323A">
        <w:t xml:space="preserve"> </w:t>
      </w:r>
      <w:r w:rsidR="00EE0F20">
        <w:t xml:space="preserve">  </w:t>
      </w:r>
    </w:p>
    <w:p w14:paraId="1B07A45A" w14:textId="2B7916F9" w:rsidR="00EE0F20" w:rsidRDefault="00B12BEF" w:rsidP="00B12BEF">
      <w:pPr>
        <w:pStyle w:val="SingleTxtG"/>
        <w:tabs>
          <w:tab w:val="left" w:pos="1701"/>
        </w:tabs>
        <w:suppressAutoHyphens w:val="0"/>
        <w:kinsoku/>
        <w:overflowPunct/>
        <w:autoSpaceDE/>
        <w:autoSpaceDN/>
        <w:adjustRightInd/>
        <w:snapToGrid/>
      </w:pPr>
      <w:r>
        <w:t>2.</w:t>
      </w:r>
      <w:r>
        <w:tab/>
      </w:r>
      <w:r w:rsidR="004B0C2D">
        <w:t>The report is informed by con</w:t>
      </w:r>
      <w:r w:rsidR="0017083C">
        <w:t xml:space="preserve">tributions from </w:t>
      </w:r>
      <w:r w:rsidR="00F370AC">
        <w:t>17</w:t>
      </w:r>
      <w:r w:rsidR="00A64360">
        <w:t xml:space="preserve"> </w:t>
      </w:r>
      <w:r w:rsidR="00E56A37">
        <w:t>States</w:t>
      </w:r>
      <w:r w:rsidR="00A64360">
        <w:t xml:space="preserve"> </w:t>
      </w:r>
      <w:r w:rsidR="00E56A37">
        <w:t>and civil society</w:t>
      </w:r>
      <w:r w:rsidR="00A64360">
        <w:t xml:space="preserve"> organizations</w:t>
      </w:r>
      <w:r w:rsidR="00E56A37">
        <w:t>.</w:t>
      </w:r>
      <w:r w:rsidR="00D76955">
        <w:rPr>
          <w:rStyle w:val="FootnoteReference"/>
        </w:rPr>
        <w:footnoteReference w:id="4"/>
      </w:r>
      <w:r w:rsidR="00E56A37">
        <w:t xml:space="preserve"> </w:t>
      </w:r>
      <w:r w:rsidR="00EB014F">
        <w:t xml:space="preserve">The present report also builds on work undertaken by </w:t>
      </w:r>
      <w:r w:rsidR="00A41FA4">
        <w:t>OHCHR</w:t>
      </w:r>
      <w:r w:rsidR="00F83BC8">
        <w:t xml:space="preserve"> </w:t>
      </w:r>
      <w:r w:rsidR="00EB014F">
        <w:t xml:space="preserve">on cyberbullying against children, and draws from </w:t>
      </w:r>
      <w:r w:rsidR="008F20C4">
        <w:t xml:space="preserve">insights shared during </w:t>
      </w:r>
      <w:r w:rsidR="00EB014F">
        <w:t>a panel discussion on the same topic held by the Human Rights Council during its fifty-fourth session.</w:t>
      </w:r>
      <w:r w:rsidR="004C0AE2">
        <w:rPr>
          <w:rStyle w:val="FootnoteReference"/>
        </w:rPr>
        <w:footnoteReference w:id="5"/>
      </w:r>
    </w:p>
    <w:p w14:paraId="2DCE7F55" w14:textId="13381333" w:rsidR="006048D2" w:rsidRDefault="00B12BEF" w:rsidP="00B12BEF">
      <w:pPr>
        <w:pStyle w:val="SingleTxtG"/>
        <w:tabs>
          <w:tab w:val="left" w:pos="1701"/>
        </w:tabs>
        <w:suppressAutoHyphens w:val="0"/>
        <w:kinsoku/>
        <w:overflowPunct/>
        <w:autoSpaceDE/>
        <w:autoSpaceDN/>
        <w:adjustRightInd/>
        <w:snapToGrid/>
      </w:pPr>
      <w:r>
        <w:t>3.</w:t>
      </w:r>
      <w:r>
        <w:tab/>
      </w:r>
      <w:r w:rsidR="00B020C8">
        <w:t xml:space="preserve">In the report, OHCHR reiterates the importance of adopting a disability </w:t>
      </w:r>
      <w:r w:rsidR="00473BDD">
        <w:t xml:space="preserve">rights-based approach in countering cyberbullying. </w:t>
      </w:r>
      <w:r w:rsidR="00987497">
        <w:t>H</w:t>
      </w:r>
      <w:r w:rsidR="00D33EF6">
        <w:t>uman rights principles and frameworks relevant to the concept of cyberbullying against persons with disabilities</w:t>
      </w:r>
      <w:r w:rsidR="0033791D">
        <w:t xml:space="preserve"> are </w:t>
      </w:r>
      <w:r w:rsidR="00407E80">
        <w:t>presented</w:t>
      </w:r>
      <w:r w:rsidR="0033791D">
        <w:t xml:space="preserve"> in chapter II and III</w:t>
      </w:r>
      <w:r w:rsidR="00A349CC">
        <w:t>;</w:t>
      </w:r>
      <w:r w:rsidR="00D33EF6">
        <w:t xml:space="preserve"> the recent trends and challenges</w:t>
      </w:r>
      <w:r w:rsidR="004C0AE2">
        <w:t xml:space="preserve"> associated with </w:t>
      </w:r>
      <w:r w:rsidR="004B706C">
        <w:t>its effective prevention and response</w:t>
      </w:r>
      <w:r w:rsidR="00407E80">
        <w:t xml:space="preserve"> in chapter IV; </w:t>
      </w:r>
      <w:r w:rsidR="00D33EF6">
        <w:t>the promising practices aimed at reducing and countering the risks of cyberbullying</w:t>
      </w:r>
      <w:r w:rsidR="0018159A">
        <w:t xml:space="preserve"> in chapter V;</w:t>
      </w:r>
      <w:r w:rsidR="00D33EF6">
        <w:t xml:space="preserve"> and recommendations </w:t>
      </w:r>
      <w:r w:rsidR="00870386">
        <w:t>to support</w:t>
      </w:r>
      <w:r w:rsidR="00926778">
        <w:t xml:space="preserve"> </w:t>
      </w:r>
      <w:r w:rsidR="00A9731E">
        <w:t xml:space="preserve">stakeholders </w:t>
      </w:r>
      <w:r w:rsidR="00D33EF6">
        <w:t xml:space="preserve">in addressing cyberbullying against </w:t>
      </w:r>
      <w:r w:rsidR="003623D7">
        <w:t xml:space="preserve">persons with </w:t>
      </w:r>
      <w:r w:rsidR="00D33EF6">
        <w:t>disabilities</w:t>
      </w:r>
      <w:r w:rsidR="0056270C">
        <w:t xml:space="preserve"> in chapter VI</w:t>
      </w:r>
      <w:r w:rsidR="00ED030D">
        <w:t xml:space="preserve">. </w:t>
      </w:r>
    </w:p>
    <w:p w14:paraId="41A5A69B" w14:textId="12FDAB40" w:rsidR="00B507CE" w:rsidRPr="00506E50" w:rsidRDefault="007C6FF1" w:rsidP="00B12BEF">
      <w:pPr>
        <w:pStyle w:val="HChG"/>
        <w:tabs>
          <w:tab w:val="left" w:pos="1701"/>
        </w:tabs>
        <w:outlineLvl w:val="1"/>
      </w:pPr>
      <w:r>
        <w:tab/>
      </w:r>
      <w:r w:rsidR="00B12BEF">
        <w:t>II.</w:t>
      </w:r>
      <w:r w:rsidR="00B12BEF">
        <w:tab/>
      </w:r>
      <w:r w:rsidR="00B507CE" w:rsidRPr="00506E50">
        <w:t xml:space="preserve">Overview </w:t>
      </w:r>
    </w:p>
    <w:p w14:paraId="0B8C6279" w14:textId="5465C7EB" w:rsidR="00B507CE" w:rsidRDefault="006B4308" w:rsidP="006B4308">
      <w:pPr>
        <w:pStyle w:val="SingleTxtG"/>
        <w:tabs>
          <w:tab w:val="left" w:pos="1701"/>
        </w:tabs>
        <w:suppressAutoHyphens w:val="0"/>
        <w:kinsoku/>
        <w:overflowPunct/>
        <w:autoSpaceDE/>
        <w:autoSpaceDN/>
        <w:adjustRightInd/>
        <w:snapToGrid/>
      </w:pPr>
      <w:r>
        <w:t>4.</w:t>
      </w:r>
      <w:r>
        <w:tab/>
      </w:r>
      <w:r w:rsidR="00B507CE">
        <w:t xml:space="preserve">The term ‘cyberbullying’ lacks a formal definition in international human rights law </w:t>
      </w:r>
      <w:r w:rsidR="00F6470C">
        <w:t xml:space="preserve">but </w:t>
      </w:r>
      <w:r w:rsidR="00B507CE">
        <w:t xml:space="preserve">is </w:t>
      </w:r>
      <w:r w:rsidR="006904F3">
        <w:t xml:space="preserve">nevertheless </w:t>
      </w:r>
      <w:r w:rsidR="00C803FB">
        <w:t xml:space="preserve">frequently </w:t>
      </w:r>
      <w:r w:rsidR="0060223D">
        <w:t>invoked to describe harmful conduct in digital spaces</w:t>
      </w:r>
      <w:r w:rsidR="00B507CE">
        <w:t>. In  resolution 51/10, the Human Rights Council recognized cyberbullying as ‘an intentional act carried out by an individual or a group using electronic forms of contact against victims, which is typically carried out repeatedly and over time and is often characterized by a power differential’</w:t>
      </w:r>
      <w:r w:rsidR="00C76932">
        <w:t>.</w:t>
      </w:r>
      <w:r w:rsidR="00B507CE">
        <w:rPr>
          <w:rStyle w:val="FootnoteReference"/>
        </w:rPr>
        <w:footnoteReference w:id="6"/>
      </w:r>
      <w:r w:rsidR="00B507CE">
        <w:t xml:space="preserve"> The Special Representative of the Secretary-General on Violence against Children has </w:t>
      </w:r>
      <w:r w:rsidR="00F83BC8">
        <w:t xml:space="preserve">articulated </w:t>
      </w:r>
      <w:r w:rsidR="00B507CE">
        <w:t xml:space="preserve">a similar </w:t>
      </w:r>
      <w:r w:rsidR="00D064EF">
        <w:t>understanding</w:t>
      </w:r>
      <w:r w:rsidR="00B507CE">
        <w:t xml:space="preserve">, </w:t>
      </w:r>
      <w:r w:rsidR="001D40C4">
        <w:t>while the UN Secretary-General has used a slightly different formulation, referring to cyberbullying as ‘the posting or sending of electronic messages, including pictures or videos, aimed at harassing, threatening or targeting another person’</w:t>
      </w:r>
      <w:r w:rsidR="00C76932">
        <w:t>.</w:t>
      </w:r>
      <w:r w:rsidR="00B507CE">
        <w:rPr>
          <w:rStyle w:val="FootnoteReference"/>
        </w:rPr>
        <w:footnoteReference w:id="7"/>
      </w:r>
      <w:r w:rsidR="00F039B7">
        <w:t xml:space="preserve"> UNICEF defines </w:t>
      </w:r>
      <w:r w:rsidR="004B706C">
        <w:t xml:space="preserve">cyberbullying </w:t>
      </w:r>
      <w:r w:rsidR="00F039B7">
        <w:t>as ‘bullying with the use of digital technologies’</w:t>
      </w:r>
      <w:r w:rsidR="00C76932">
        <w:t>,</w:t>
      </w:r>
      <w:r w:rsidR="00F039B7">
        <w:t xml:space="preserve"> noting that it is ‘repeated behaviour, aimed at scaring, angering, or shaming those who are targeted’</w:t>
      </w:r>
      <w:r w:rsidR="00C76932">
        <w:t>.</w:t>
      </w:r>
      <w:r w:rsidR="00F039B7">
        <w:rPr>
          <w:rStyle w:val="FootnoteReference"/>
        </w:rPr>
        <w:footnoteReference w:id="8"/>
      </w:r>
      <w:r w:rsidR="001B6922">
        <w:t xml:space="preserve"> </w:t>
      </w:r>
      <w:r w:rsidR="002F7E7F">
        <w:t>Thus, c</w:t>
      </w:r>
      <w:r w:rsidR="00D064EF">
        <w:t>yberbullying encompass</w:t>
      </w:r>
      <w:r w:rsidR="0060223D">
        <w:t>es</w:t>
      </w:r>
      <w:r w:rsidR="00D064EF">
        <w:t xml:space="preserve"> acts that constitute criminal offences, such as threats</w:t>
      </w:r>
      <w:r w:rsidR="00C221C8">
        <w:t xml:space="preserve"> of violence</w:t>
      </w:r>
      <w:r w:rsidR="004B706C">
        <w:t>, extortion, and fraud</w:t>
      </w:r>
      <w:r w:rsidR="00D064EF">
        <w:t xml:space="preserve">, </w:t>
      </w:r>
      <w:r w:rsidR="00375AA2">
        <w:t xml:space="preserve">and </w:t>
      </w:r>
      <w:r w:rsidR="00D064EF">
        <w:t>acts that</w:t>
      </w:r>
      <w:r w:rsidR="00375AA2">
        <w:t xml:space="preserve"> </w:t>
      </w:r>
      <w:r w:rsidR="00C221C8">
        <w:t xml:space="preserve">are </w:t>
      </w:r>
      <w:r w:rsidR="00375AA2">
        <w:t xml:space="preserve">not criminal in </w:t>
      </w:r>
      <w:r w:rsidR="00D064EF">
        <w:t>nature.</w:t>
      </w:r>
    </w:p>
    <w:p w14:paraId="20DA9DA1" w14:textId="321F975F" w:rsidR="00926778" w:rsidRDefault="006B4308" w:rsidP="006B4308">
      <w:pPr>
        <w:pStyle w:val="SingleTxtG"/>
        <w:tabs>
          <w:tab w:val="left" w:pos="1701"/>
        </w:tabs>
        <w:suppressAutoHyphens w:val="0"/>
        <w:kinsoku/>
        <w:overflowPunct/>
        <w:autoSpaceDE/>
        <w:autoSpaceDN/>
        <w:adjustRightInd/>
        <w:snapToGrid/>
      </w:pPr>
      <w:r>
        <w:t>5.</w:t>
      </w:r>
      <w:r>
        <w:tab/>
      </w:r>
      <w:r w:rsidR="00CA325F">
        <w:t xml:space="preserve">In some ways, cyberbullying finds parallels in traditional forms of bullying, while in other ways, it presents novel challenges that require new approaches. Like cyberbullying, </w:t>
      </w:r>
      <w:proofErr w:type="spellStart"/>
      <w:r w:rsidR="00CA325F">
        <w:t>a</w:t>
      </w:r>
      <w:r w:rsidR="001D40C4">
        <w:t>nalog</w:t>
      </w:r>
      <w:proofErr w:type="spellEnd"/>
      <w:r w:rsidR="001D40C4">
        <w:t xml:space="preserve"> forms of bullying </w:t>
      </w:r>
      <w:r w:rsidR="00926778">
        <w:t>also</w:t>
      </w:r>
      <w:r w:rsidR="001D40C4">
        <w:t xml:space="preserve"> revolve around real or perceived power imbalances, </w:t>
      </w:r>
      <w:r w:rsidR="00926778">
        <w:t>as well as</w:t>
      </w:r>
      <w:r w:rsidR="001D40C4">
        <w:t xml:space="preserve"> intentional acts of abuse that can lead to long-term physical, psychological, and social harm.</w:t>
      </w:r>
      <w:r w:rsidR="001D40C4">
        <w:rPr>
          <w:rStyle w:val="FootnoteReference"/>
        </w:rPr>
        <w:footnoteReference w:id="9"/>
      </w:r>
      <w:r w:rsidR="001D40C4">
        <w:t xml:space="preserve"> </w:t>
      </w:r>
      <w:r w:rsidR="003015A9">
        <w:t>C</w:t>
      </w:r>
      <w:r w:rsidR="00F20D4C">
        <w:t>yberbullying</w:t>
      </w:r>
      <w:r w:rsidR="003015A9">
        <w:t xml:space="preserve">, however, </w:t>
      </w:r>
      <w:r w:rsidR="00F140A0">
        <w:t xml:space="preserve">, has the potential for </w:t>
      </w:r>
      <w:r w:rsidR="003015A9">
        <w:t xml:space="preserve">more </w:t>
      </w:r>
      <w:r w:rsidR="00F140A0">
        <w:t xml:space="preserve">rapid </w:t>
      </w:r>
      <w:r w:rsidR="001F761B">
        <w:t xml:space="preserve">dissemination, </w:t>
      </w:r>
      <w:r w:rsidR="00F20D4C">
        <w:t>wide</w:t>
      </w:r>
      <w:r w:rsidR="00CA325F">
        <w:t>r</w:t>
      </w:r>
      <w:r w:rsidR="00F20D4C">
        <w:t xml:space="preserve"> audience</w:t>
      </w:r>
      <w:r w:rsidR="008F69DC">
        <w:t xml:space="preserve"> </w:t>
      </w:r>
      <w:r w:rsidR="0093009B">
        <w:t xml:space="preserve">reach, and </w:t>
      </w:r>
      <w:r w:rsidR="00F20D4C">
        <w:t xml:space="preserve">dynamics </w:t>
      </w:r>
      <w:r w:rsidR="0093009B">
        <w:t xml:space="preserve">of abuse </w:t>
      </w:r>
      <w:r w:rsidR="00D933C4">
        <w:t xml:space="preserve">that would not be </w:t>
      </w:r>
      <w:r w:rsidR="008F69DC">
        <w:t>possible in-person</w:t>
      </w:r>
      <w:r w:rsidR="00F20D4C">
        <w:t>.</w:t>
      </w:r>
      <w:r w:rsidR="00AC063A">
        <w:rPr>
          <w:rStyle w:val="FootnoteReference"/>
        </w:rPr>
        <w:footnoteReference w:id="10"/>
      </w:r>
      <w:r w:rsidR="00343EA3">
        <w:t xml:space="preserve"> </w:t>
      </w:r>
      <w:r w:rsidR="005B47F4">
        <w:t xml:space="preserve">It </w:t>
      </w:r>
      <w:r w:rsidR="00343EA3">
        <w:t>can occur anonymously and at scale, emboldening perpetrators who operate with a perception of impunity and invisibility.</w:t>
      </w:r>
      <w:r w:rsidR="00F20D4C">
        <w:t xml:space="preserve"> In addition, victims cannot escape cyberbullying by extricating themselves from a physical </w:t>
      </w:r>
      <w:r w:rsidR="00C76932">
        <w:t>location</w:t>
      </w:r>
      <w:r w:rsidR="00F20D4C">
        <w:t xml:space="preserve">. Instead, </w:t>
      </w:r>
      <w:r w:rsidR="00F20D4C" w:rsidRPr="008F69DC">
        <w:t xml:space="preserve">cyberbullying can follow </w:t>
      </w:r>
      <w:proofErr w:type="gramStart"/>
      <w:r w:rsidR="008F69DC" w:rsidRPr="008F69DC">
        <w:t>victims</w:t>
      </w:r>
      <w:proofErr w:type="gramEnd"/>
      <w:r w:rsidR="008F69DC" w:rsidRPr="008F69DC">
        <w:t xml:space="preserve"> </w:t>
      </w:r>
      <w:r w:rsidR="00F20D4C" w:rsidRPr="008F69DC">
        <w:t>home,</w:t>
      </w:r>
      <w:r w:rsidR="008F69DC" w:rsidRPr="008F69DC">
        <w:t xml:space="preserve"> </w:t>
      </w:r>
      <w:r w:rsidR="008F69DC" w:rsidRPr="008F69DC">
        <w:lastRenderedPageBreak/>
        <w:t>occurring</w:t>
      </w:r>
      <w:r w:rsidR="008F69DC">
        <w:t xml:space="preserve"> not only in spite of isolation, but often thriving upon it</w:t>
      </w:r>
      <w:r w:rsidR="004B706C">
        <w:rPr>
          <w:rStyle w:val="FootnoteReference"/>
        </w:rPr>
        <w:footnoteReference w:id="11"/>
      </w:r>
      <w:r w:rsidR="00343EA3">
        <w:t xml:space="preserve">, aggravating psychological harm. </w:t>
      </w:r>
      <w:r w:rsidR="00F20D4C">
        <w:t xml:space="preserve">Instances of cyberbullying leave lasting digital records that are accessible for years to come, causing recurring </w:t>
      </w:r>
      <w:r w:rsidR="00DB005B">
        <w:t>harm</w:t>
      </w:r>
      <w:r w:rsidR="00496B7B">
        <w:t xml:space="preserve"> when they resurface anew</w:t>
      </w:r>
      <w:r w:rsidR="00F20D4C">
        <w:t>.</w:t>
      </w:r>
      <w:r w:rsidR="008F69DC">
        <w:t xml:space="preserve"> These dynamics may present </w:t>
      </w:r>
      <w:r w:rsidR="0019167B">
        <w:t xml:space="preserve">new </w:t>
      </w:r>
      <w:r w:rsidR="001246B8">
        <w:t xml:space="preserve">challenges for those with experience countering traditional instances of </w:t>
      </w:r>
      <w:r w:rsidR="001D40C4">
        <w:t>bullying</w:t>
      </w:r>
      <w:r w:rsidR="001246B8">
        <w:t>. At the same time, bul</w:t>
      </w:r>
      <w:r w:rsidR="00DB3B06">
        <w:t>l</w:t>
      </w:r>
      <w:r w:rsidR="001246B8">
        <w:t>ying</w:t>
      </w:r>
      <w:r w:rsidR="001D40C4">
        <w:t xml:space="preserve"> and cyberbullying can interact and fuel one another, creating what the Secretary-General has referred to as a ‘continuum of damaging behaviour.’</w:t>
      </w:r>
      <w:r w:rsidR="001D40C4">
        <w:rPr>
          <w:rStyle w:val="FootnoteReference"/>
        </w:rPr>
        <w:footnoteReference w:id="12"/>
      </w:r>
    </w:p>
    <w:p w14:paraId="4B3CF475" w14:textId="0A900555" w:rsidR="00B507CE" w:rsidRDefault="006B4308" w:rsidP="006B4308">
      <w:pPr>
        <w:pStyle w:val="SingleTxtG"/>
        <w:tabs>
          <w:tab w:val="left" w:pos="1701"/>
        </w:tabs>
        <w:suppressAutoHyphens w:val="0"/>
        <w:kinsoku/>
        <w:overflowPunct/>
        <w:autoSpaceDE/>
        <w:autoSpaceDN/>
        <w:adjustRightInd/>
        <w:snapToGrid/>
      </w:pPr>
      <w:r>
        <w:t>6.</w:t>
      </w:r>
      <w:r>
        <w:tab/>
      </w:r>
      <w:r w:rsidR="007B16EC">
        <w:t xml:space="preserve">The Committee on the Rights of the Child has recognized </w:t>
      </w:r>
      <w:r w:rsidR="00AC04A5">
        <w:t>cyberbullying</w:t>
      </w:r>
      <w:r w:rsidR="007B16EC">
        <w:t>, like other types of bullying,</w:t>
      </w:r>
      <w:r w:rsidR="00AC04A5">
        <w:t xml:space="preserve"> </w:t>
      </w:r>
      <w:r w:rsidR="007B16EC">
        <w:t>a</w:t>
      </w:r>
      <w:r w:rsidR="00B507CE">
        <w:t xml:space="preserve">s </w:t>
      </w:r>
      <w:r w:rsidR="007B16EC">
        <w:t xml:space="preserve">mental </w:t>
      </w:r>
      <w:r w:rsidR="00B507CE">
        <w:t>violence.</w:t>
      </w:r>
      <w:r w:rsidR="007B16EC">
        <w:rPr>
          <w:rStyle w:val="FootnoteReference"/>
        </w:rPr>
        <w:footnoteReference w:id="13"/>
      </w:r>
      <w:r w:rsidR="00B507CE">
        <w:t xml:space="preserve"> Although it is particularly prevalent amongst children, cyberbullying affects people of all ages and walks of life. It can occur across a range of mediums and platforms, including via text message, e-mail, social media, </w:t>
      </w:r>
      <w:r w:rsidR="006B3CFC">
        <w:t xml:space="preserve">dating apps, </w:t>
      </w:r>
      <w:r w:rsidR="00B507CE">
        <w:t>gaming</w:t>
      </w:r>
      <w:r w:rsidR="006B3CFC">
        <w:t xml:space="preserve"> apps</w:t>
      </w:r>
      <w:r w:rsidR="00B507CE">
        <w:t xml:space="preserve">, </w:t>
      </w:r>
      <w:r w:rsidR="004B706C">
        <w:t xml:space="preserve">websites, </w:t>
      </w:r>
      <w:r w:rsidR="00B507CE">
        <w:t>chatrooms</w:t>
      </w:r>
      <w:r w:rsidR="00BC364A">
        <w:t xml:space="preserve"> and other online fora</w:t>
      </w:r>
      <w:r w:rsidR="00C76932">
        <w:t>. It</w:t>
      </w:r>
      <w:r w:rsidR="00B507CE">
        <w:t xml:space="preserve"> can take a range of direct and indirect forms, </w:t>
      </w:r>
      <w:r w:rsidR="004B706C">
        <w:t xml:space="preserve">such as </w:t>
      </w:r>
      <w:r w:rsidR="00B507CE">
        <w:t xml:space="preserve">threatening, intimidating, or harassing messages, including images or videos, by impersonating, outing, </w:t>
      </w:r>
      <w:proofErr w:type="spellStart"/>
      <w:r w:rsidR="00B507CE">
        <w:t>doxxing</w:t>
      </w:r>
      <w:proofErr w:type="spellEnd"/>
      <w:r w:rsidR="00B507CE">
        <w:t xml:space="preserve">, or stalking someone, </w:t>
      </w:r>
      <w:r w:rsidR="009F2BFD">
        <w:t>through personal attacks, including by</w:t>
      </w:r>
      <w:r w:rsidR="00B507CE">
        <w:t xml:space="preserve"> extensively insulting someone, or through acts aimed at social </w:t>
      </w:r>
      <w:r w:rsidR="00B507CE" w:rsidRPr="00AC02F3">
        <w:t xml:space="preserve">exclusion. </w:t>
      </w:r>
      <w:r w:rsidR="00BE1F7A">
        <w:t xml:space="preserve">At the same time, cyberbullying can occur without writing a single word, but </w:t>
      </w:r>
      <w:r w:rsidR="00D17E45">
        <w:t xml:space="preserve">instead </w:t>
      </w:r>
      <w:r w:rsidR="004B706C">
        <w:t xml:space="preserve">take place </w:t>
      </w:r>
      <w:proofErr w:type="gramStart"/>
      <w:r w:rsidR="00BE1F7A">
        <w:t>through the use of</w:t>
      </w:r>
      <w:proofErr w:type="gramEnd"/>
      <w:r w:rsidR="00BE1F7A">
        <w:t xml:space="preserve"> symbols</w:t>
      </w:r>
      <w:r w:rsidR="00005A26">
        <w:t>, stickers,</w:t>
      </w:r>
      <w:r w:rsidR="00D17E45">
        <w:t xml:space="preserve"> </w:t>
      </w:r>
      <w:r w:rsidR="00BE1F7A">
        <w:t xml:space="preserve">emojis, </w:t>
      </w:r>
      <w:r w:rsidR="00005A26">
        <w:t xml:space="preserve">harmful surveys, </w:t>
      </w:r>
      <w:r w:rsidR="00BE1F7A">
        <w:t xml:space="preserve">or </w:t>
      </w:r>
      <w:r w:rsidR="004B706C">
        <w:t xml:space="preserve">through </w:t>
      </w:r>
      <w:r w:rsidR="00BE1F7A">
        <w:t xml:space="preserve">deliberate acts of exclusion </w:t>
      </w:r>
      <w:r w:rsidR="00D17E45">
        <w:t>from</w:t>
      </w:r>
      <w:r w:rsidR="00BE1F7A">
        <w:t xml:space="preserve"> digital spaces. </w:t>
      </w:r>
      <w:r w:rsidR="00B507CE" w:rsidRPr="00AC02F3">
        <w:t>Exhaustively</w:t>
      </w:r>
      <w:r w:rsidR="00B507CE">
        <w:t xml:space="preserve"> chronicling </w:t>
      </w:r>
      <w:proofErr w:type="gramStart"/>
      <w:r w:rsidR="00B507CE">
        <w:t xml:space="preserve">all </w:t>
      </w:r>
      <w:r w:rsidR="001246B8">
        <w:t>o</w:t>
      </w:r>
      <w:r w:rsidR="00B507CE">
        <w:t>f</w:t>
      </w:r>
      <w:proofErr w:type="gramEnd"/>
      <w:r w:rsidR="00B507CE">
        <w:t xml:space="preserve"> the behaviours and actions that may constitute cyberbullying is </w:t>
      </w:r>
      <w:r w:rsidR="0044135A">
        <w:t>an exercise in futility</w:t>
      </w:r>
      <w:r w:rsidR="00B507CE">
        <w:t xml:space="preserve">, as behaviours change alongside the evolving digital technologies and platforms on which </w:t>
      </w:r>
      <w:r w:rsidR="007C6198">
        <w:t xml:space="preserve">they </w:t>
      </w:r>
      <w:r w:rsidR="00B507CE">
        <w:t xml:space="preserve">occur. </w:t>
      </w:r>
    </w:p>
    <w:p w14:paraId="6C7FF173" w14:textId="6CC64D73" w:rsidR="00AC04A5" w:rsidRDefault="006B4308" w:rsidP="006B4308">
      <w:pPr>
        <w:pStyle w:val="SingleTxtG"/>
        <w:tabs>
          <w:tab w:val="left" w:pos="1701"/>
        </w:tabs>
        <w:suppressAutoHyphens w:val="0"/>
        <w:kinsoku/>
        <w:overflowPunct/>
        <w:autoSpaceDE/>
        <w:autoSpaceDN/>
        <w:adjustRightInd/>
        <w:snapToGrid/>
      </w:pPr>
      <w:r>
        <w:t>7.</w:t>
      </w:r>
      <w:r>
        <w:tab/>
      </w:r>
      <w:r w:rsidR="00B507CE">
        <w:t xml:space="preserve">Amidst the increasing digitalization of modern society, obstacles that threaten or inhibit </w:t>
      </w:r>
      <w:r w:rsidR="00456B97">
        <w:t>meaningful participation in</w:t>
      </w:r>
      <w:r w:rsidR="00B507CE">
        <w:t xml:space="preserve"> digital spaces can impact a wide range of human rights, including access to information, freedom of opinion and expression, the right to participation in public and political life, the right to</w:t>
      </w:r>
      <w:r w:rsidR="00456B97">
        <w:t xml:space="preserve"> education, the right to</w:t>
      </w:r>
      <w:r w:rsidR="00B507CE">
        <w:t xml:space="preserve"> equality and non-discrimination, the right to health, including mental health, the right to privacy, </w:t>
      </w:r>
      <w:r w:rsidR="00FD74A4">
        <w:t xml:space="preserve">the right to decent work, </w:t>
      </w:r>
      <w:r w:rsidR="00B507CE">
        <w:t xml:space="preserve">and the right to the dignity of the human person. </w:t>
      </w:r>
      <w:r w:rsidR="00AC04A5">
        <w:t>Indeed, the phenomenon of cyberbullying illustrat</w:t>
      </w:r>
      <w:r w:rsidR="00C76932">
        <w:t>es</w:t>
      </w:r>
      <w:r w:rsidR="00AC04A5">
        <w:t xml:space="preserve"> the indivisibility, interdependence, and interrelatedness of human rights.</w:t>
      </w:r>
    </w:p>
    <w:p w14:paraId="6054977E" w14:textId="01E0E4D7" w:rsidR="00B507CE" w:rsidRDefault="006B4308" w:rsidP="006B4308">
      <w:pPr>
        <w:pStyle w:val="SingleTxtG"/>
        <w:tabs>
          <w:tab w:val="left" w:pos="1701"/>
        </w:tabs>
        <w:suppressAutoHyphens w:val="0"/>
        <w:kinsoku/>
        <w:overflowPunct/>
        <w:autoSpaceDE/>
        <w:autoSpaceDN/>
        <w:adjustRightInd/>
        <w:snapToGrid/>
      </w:pPr>
      <w:r>
        <w:t>8.</w:t>
      </w:r>
      <w:r>
        <w:tab/>
      </w:r>
      <w:r w:rsidR="00D84819">
        <w:t xml:space="preserve">It </w:t>
      </w:r>
      <w:r w:rsidR="00B507CE">
        <w:t>disproportionate</w:t>
      </w:r>
      <w:r w:rsidR="00D46F1D">
        <w:t>ly affects</w:t>
      </w:r>
      <w:r w:rsidR="00B507CE">
        <w:t xml:space="preserve"> </w:t>
      </w:r>
      <w:r w:rsidR="00C76932">
        <w:t xml:space="preserve">marginalised groups and persons in </w:t>
      </w:r>
      <w:r w:rsidR="00B507CE">
        <w:t xml:space="preserve">vulnerable </w:t>
      </w:r>
      <w:r w:rsidR="00C76932">
        <w:t>situations</w:t>
      </w:r>
      <w:r w:rsidR="00B507CE">
        <w:t xml:space="preserve">, including persons with disabilities. </w:t>
      </w:r>
      <w:r w:rsidR="004913E3">
        <w:t>Cyberbullying against</w:t>
      </w:r>
      <w:r w:rsidR="0016481D" w:rsidRPr="0016481D">
        <w:t xml:space="preserve"> persons with disabilities can </w:t>
      </w:r>
      <w:r w:rsidR="0082421B">
        <w:t>contribute to</w:t>
      </w:r>
      <w:r w:rsidR="0082421B" w:rsidRPr="0016481D">
        <w:t xml:space="preserve"> </w:t>
      </w:r>
      <w:r w:rsidR="0016481D" w:rsidRPr="0016481D">
        <w:t xml:space="preserve">their exclusion and mistreatment. </w:t>
      </w:r>
      <w:r w:rsidR="009B1CEC">
        <w:t>Studies have found that</w:t>
      </w:r>
      <w:r w:rsidR="008243F7">
        <w:t xml:space="preserve"> persons </w:t>
      </w:r>
      <w:r w:rsidR="003A7E59">
        <w:t xml:space="preserve">with </w:t>
      </w:r>
      <w:r w:rsidR="008243F7">
        <w:t>disabilit</w:t>
      </w:r>
      <w:r w:rsidR="0082421B">
        <w:t>ies</w:t>
      </w:r>
      <w:r w:rsidR="008243F7">
        <w:t xml:space="preserve"> are </w:t>
      </w:r>
      <w:r w:rsidR="003A7E59">
        <w:t xml:space="preserve">significantly more </w:t>
      </w:r>
      <w:r w:rsidR="008243F7">
        <w:t xml:space="preserve">likely to experience cyberbullying as those </w:t>
      </w:r>
      <w:r w:rsidR="003A7E59">
        <w:t>without</w:t>
      </w:r>
      <w:r w:rsidR="0082421B">
        <w:t>,</w:t>
      </w:r>
      <w:r w:rsidR="009B1CEC">
        <w:t xml:space="preserve"> and that</w:t>
      </w:r>
      <w:r w:rsidR="008243F7">
        <w:t xml:space="preserve"> persons with disabilities </w:t>
      </w:r>
      <w:r w:rsidR="0082421B">
        <w:t>may even</w:t>
      </w:r>
      <w:r w:rsidR="009B1CEC">
        <w:t xml:space="preserve"> </w:t>
      </w:r>
      <w:r w:rsidR="008243F7">
        <w:t>withdraw from digital spaces altogether as a result of online abuse.</w:t>
      </w:r>
      <w:r w:rsidR="008243F7">
        <w:rPr>
          <w:rStyle w:val="FootnoteReference"/>
        </w:rPr>
        <w:footnoteReference w:id="14"/>
      </w:r>
      <w:r w:rsidR="008243F7">
        <w:t xml:space="preserve"> </w:t>
      </w:r>
      <w:r w:rsidR="00700567">
        <w:t>P</w:t>
      </w:r>
      <w:r w:rsidR="00582AB8">
        <w:t>ersons with disabilities face a disproportionate risk of hate speech, violence, and abuse in digital environments.</w:t>
      </w:r>
      <w:r w:rsidR="00582AB8">
        <w:rPr>
          <w:rStyle w:val="FootnoteReference"/>
        </w:rPr>
        <w:footnoteReference w:id="15"/>
      </w:r>
      <w:r w:rsidR="00582AB8">
        <w:t xml:space="preserve"> </w:t>
      </w:r>
      <w:r w:rsidR="00700567">
        <w:t xml:space="preserve">Studies </w:t>
      </w:r>
      <w:r w:rsidR="000F094C">
        <w:t xml:space="preserve">also consistently </w:t>
      </w:r>
      <w:r w:rsidR="002E56D9">
        <w:t xml:space="preserve">show that children and young people with intellectual disabilities are more likely to experience cyberbullying </w:t>
      </w:r>
      <w:r w:rsidR="00B34634">
        <w:t xml:space="preserve">and </w:t>
      </w:r>
      <w:r w:rsidR="001B6922">
        <w:t>long-term</w:t>
      </w:r>
      <w:r w:rsidR="007A4C94">
        <w:t xml:space="preserve"> harm</w:t>
      </w:r>
      <w:r w:rsidR="000F094C">
        <w:t>.</w:t>
      </w:r>
      <w:r w:rsidR="002E56D9">
        <w:rPr>
          <w:rStyle w:val="FootnoteReference"/>
        </w:rPr>
        <w:footnoteReference w:id="16"/>
      </w:r>
      <w:r w:rsidR="001B6922">
        <w:t xml:space="preserve"> </w:t>
      </w:r>
    </w:p>
    <w:p w14:paraId="29EA92D3" w14:textId="1410D471" w:rsidR="00AC063A" w:rsidRDefault="006B4308" w:rsidP="006B4308">
      <w:pPr>
        <w:pStyle w:val="SingleTxtG"/>
        <w:tabs>
          <w:tab w:val="left" w:pos="1701"/>
        </w:tabs>
        <w:suppressAutoHyphens w:val="0"/>
        <w:kinsoku/>
        <w:overflowPunct/>
        <w:autoSpaceDE/>
        <w:autoSpaceDN/>
        <w:adjustRightInd/>
        <w:snapToGrid/>
      </w:pPr>
      <w:r>
        <w:t>9.</w:t>
      </w:r>
      <w:r>
        <w:tab/>
      </w:r>
      <w:r w:rsidR="00F04CF6">
        <w:t>Cyberbullying</w:t>
      </w:r>
      <w:r w:rsidR="002E56D9">
        <w:t xml:space="preserve"> can</w:t>
      </w:r>
      <w:r w:rsidR="001B6922">
        <w:t xml:space="preserve"> </w:t>
      </w:r>
      <w:r w:rsidR="00631928">
        <w:t>have</w:t>
      </w:r>
      <w:r w:rsidR="00631928" w:rsidRPr="00E17D8E">
        <w:t xml:space="preserve"> </w:t>
      </w:r>
      <w:r w:rsidR="001B6922" w:rsidRPr="00E17D8E">
        <w:t>lasting physical</w:t>
      </w:r>
      <w:r w:rsidR="001B6922">
        <w:t xml:space="preserve">, psychological, educational, and social </w:t>
      </w:r>
      <w:r w:rsidR="00631928">
        <w:t>consequences</w:t>
      </w:r>
      <w:r w:rsidR="001B6922">
        <w:t>.</w:t>
      </w:r>
      <w:r w:rsidR="00F05C23">
        <w:t xml:space="preserve"> </w:t>
      </w:r>
      <w:r w:rsidR="00FB0E9E">
        <w:t xml:space="preserve">The </w:t>
      </w:r>
      <w:r w:rsidR="00F05C23">
        <w:t>World Health Organization</w:t>
      </w:r>
      <w:r w:rsidR="00901F29">
        <w:t xml:space="preserve"> described</w:t>
      </w:r>
      <w:r w:rsidR="00F05C23">
        <w:t xml:space="preserve"> </w:t>
      </w:r>
      <w:r w:rsidR="00FB0E9E">
        <w:t xml:space="preserve">the </w:t>
      </w:r>
      <w:r w:rsidR="009B063A">
        <w:t>effects</w:t>
      </w:r>
      <w:r w:rsidR="00FB0E9E">
        <w:t xml:space="preserve"> of cyberbullying </w:t>
      </w:r>
      <w:r w:rsidR="00F05C23">
        <w:t>as a major public health concern, lead</w:t>
      </w:r>
      <w:r w:rsidR="00FB0E9E">
        <w:t>ing</w:t>
      </w:r>
      <w:r w:rsidR="00F05C23">
        <w:t xml:space="preserve"> to anxiety, insomnia, fear, and </w:t>
      </w:r>
      <w:r w:rsidR="0044182E">
        <w:t>even suicide</w:t>
      </w:r>
      <w:r w:rsidR="00F83BC8">
        <w:t>.</w:t>
      </w:r>
      <w:r w:rsidR="000A33F0">
        <w:rPr>
          <w:rStyle w:val="FootnoteReference"/>
        </w:rPr>
        <w:footnoteReference w:id="17"/>
      </w:r>
      <w:r w:rsidR="0044182E">
        <w:t xml:space="preserve"> </w:t>
      </w:r>
      <w:r w:rsidR="00F05C23">
        <w:t xml:space="preserve">It can also </w:t>
      </w:r>
      <w:r w:rsidR="00F05C23">
        <w:lastRenderedPageBreak/>
        <w:t xml:space="preserve">compromise academic performance, lead to depression, </w:t>
      </w:r>
      <w:r w:rsidR="0044182E">
        <w:t xml:space="preserve">social isolation, </w:t>
      </w:r>
      <w:r w:rsidR="00F05C23">
        <w:t>substance abuse, and unemployment.</w:t>
      </w:r>
      <w:r w:rsidR="000A33F0">
        <w:rPr>
          <w:rStyle w:val="FootnoteReference"/>
        </w:rPr>
        <w:footnoteReference w:id="18"/>
      </w:r>
      <w:r w:rsidR="00F05C23">
        <w:t xml:space="preserve"> </w:t>
      </w:r>
    </w:p>
    <w:p w14:paraId="2901CF3A" w14:textId="48C183D5" w:rsidR="00E65496" w:rsidRDefault="006B4308" w:rsidP="006B4308">
      <w:pPr>
        <w:pStyle w:val="SingleTxtG"/>
        <w:tabs>
          <w:tab w:val="left" w:pos="1701"/>
        </w:tabs>
        <w:suppressAutoHyphens w:val="0"/>
        <w:kinsoku/>
        <w:overflowPunct/>
        <w:autoSpaceDE/>
        <w:autoSpaceDN/>
        <w:adjustRightInd/>
        <w:snapToGrid/>
      </w:pPr>
      <w:r>
        <w:t>10.</w:t>
      </w:r>
      <w:r>
        <w:tab/>
      </w:r>
      <w:r w:rsidR="00E65496">
        <w:t xml:space="preserve">Cyberbullying also </w:t>
      </w:r>
      <w:r w:rsidR="00DB3B06">
        <w:t>impedes</w:t>
      </w:r>
      <w:r w:rsidR="00E65496">
        <w:t xml:space="preserve"> progress towards S</w:t>
      </w:r>
      <w:r w:rsidR="00DB3B06">
        <w:t>DG 4</w:t>
      </w:r>
      <w:r w:rsidR="00F561CF">
        <w:t xml:space="preserve"> </w:t>
      </w:r>
      <w:r w:rsidR="00DB3B06">
        <w:t>on the</w:t>
      </w:r>
      <w:r w:rsidR="00E65496">
        <w:t xml:space="preserve"> collective ability to ensure inclusive and equitable quality education</w:t>
      </w:r>
      <w:r w:rsidR="0082421B">
        <w:t>,</w:t>
      </w:r>
      <w:r w:rsidR="00DB3B06">
        <w:t xml:space="preserve"> and SDG 16 on </w:t>
      </w:r>
      <w:r w:rsidR="00E65496">
        <w:t>build</w:t>
      </w:r>
      <w:r w:rsidR="00DB3B06">
        <w:t>ing</w:t>
      </w:r>
      <w:r w:rsidR="00E65496">
        <w:t xml:space="preserve"> inclusive institutions and end</w:t>
      </w:r>
      <w:r w:rsidR="00DB3B06">
        <w:t>ing</w:t>
      </w:r>
      <w:r w:rsidR="00E65496">
        <w:t xml:space="preserve"> all forms of violence against children.</w:t>
      </w:r>
    </w:p>
    <w:p w14:paraId="621F62D3" w14:textId="304AEF12" w:rsidR="001205CF" w:rsidRDefault="006B4308" w:rsidP="006B4308">
      <w:pPr>
        <w:pStyle w:val="SingleTxtG"/>
        <w:tabs>
          <w:tab w:val="left" w:pos="1701"/>
        </w:tabs>
        <w:suppressAutoHyphens w:val="0"/>
        <w:kinsoku/>
        <w:overflowPunct/>
        <w:autoSpaceDE/>
        <w:autoSpaceDN/>
        <w:adjustRightInd/>
        <w:snapToGrid/>
      </w:pPr>
      <w:r>
        <w:t>11.</w:t>
      </w:r>
      <w:r>
        <w:tab/>
      </w:r>
      <w:r w:rsidR="00E63230">
        <w:t>D</w:t>
      </w:r>
      <w:r w:rsidR="001B6922">
        <w:t xml:space="preserve">igital technologies </w:t>
      </w:r>
      <w:r w:rsidR="005A0FC1">
        <w:t>hold the potential to be transformative tools to further the empowerment of persons with disabilities</w:t>
      </w:r>
      <w:r w:rsidR="00E34067">
        <w:t xml:space="preserve">, including by supporting independent living and expanding opportunities to access healthcare, </w:t>
      </w:r>
      <w:r w:rsidR="00DF11AF">
        <w:t xml:space="preserve">recreation, </w:t>
      </w:r>
      <w:r w:rsidR="00E34067">
        <w:t>education, employment</w:t>
      </w:r>
      <w:r w:rsidR="00662BDC">
        <w:t xml:space="preserve"> and participation in public life</w:t>
      </w:r>
      <w:r w:rsidR="00E34067">
        <w:t>.</w:t>
      </w:r>
      <w:r w:rsidR="00CB717B">
        <w:rPr>
          <w:rStyle w:val="FootnoteReference"/>
        </w:rPr>
        <w:footnoteReference w:id="19"/>
      </w:r>
      <w:r w:rsidR="00E34067">
        <w:t xml:space="preserve"> </w:t>
      </w:r>
      <w:r w:rsidR="00094748">
        <w:t xml:space="preserve">Efforts to counter cyberbullying against persons with disabilities must focus on thoughtful, inclusive design and </w:t>
      </w:r>
      <w:r w:rsidR="00DF11AF">
        <w:t>development</w:t>
      </w:r>
      <w:r w:rsidR="00094748">
        <w:t xml:space="preserve">, as well as </w:t>
      </w:r>
      <w:proofErr w:type="spellStart"/>
      <w:r w:rsidR="00094748">
        <w:t>centering</w:t>
      </w:r>
      <w:proofErr w:type="spellEnd"/>
      <w:r w:rsidR="00094748">
        <w:t xml:space="preserve"> the autonomy, choice, and agency of persons with disabilities. </w:t>
      </w:r>
    </w:p>
    <w:p w14:paraId="4D9C3566" w14:textId="0D34934A" w:rsidR="00FC5482" w:rsidRDefault="006B4308" w:rsidP="006B4308">
      <w:pPr>
        <w:pStyle w:val="SingleTxtG"/>
        <w:tabs>
          <w:tab w:val="left" w:pos="1701"/>
        </w:tabs>
        <w:suppressAutoHyphens w:val="0"/>
        <w:kinsoku/>
        <w:overflowPunct/>
        <w:autoSpaceDE/>
        <w:autoSpaceDN/>
        <w:adjustRightInd/>
        <w:snapToGrid/>
      </w:pPr>
      <w:r>
        <w:t>13.</w:t>
      </w:r>
      <w:r>
        <w:tab/>
      </w:r>
      <w:r w:rsidR="007653A2">
        <w:t>T</w:t>
      </w:r>
      <w:r w:rsidR="00FC5482">
        <w:t>he adverse impacts of cyberbullying against persons with disabilities extend far beyond that community. The silencing and withdrawal of persons with disabilities from digital spaces renders them less diverse, less vibrant, less informative, and</w:t>
      </w:r>
      <w:r w:rsidR="0082421B">
        <w:t>, in short,</w:t>
      </w:r>
      <w:r w:rsidR="00FC5482">
        <w:t xml:space="preserve"> diminishes them. The value of our digital spaces is </w:t>
      </w:r>
      <w:r w:rsidR="00DF11AF">
        <w:t xml:space="preserve">fundamentally </w:t>
      </w:r>
      <w:r w:rsidR="00FC5482">
        <w:t>inextricable from their inclusivity.</w:t>
      </w:r>
    </w:p>
    <w:p w14:paraId="481EA509" w14:textId="6380ECAD" w:rsidR="007358CE" w:rsidRPr="00506E50" w:rsidRDefault="007C6FF1" w:rsidP="007C6FF1">
      <w:pPr>
        <w:pStyle w:val="HChG"/>
        <w:tabs>
          <w:tab w:val="left" w:pos="1701"/>
        </w:tabs>
        <w:outlineLvl w:val="1"/>
      </w:pPr>
      <w:r>
        <w:tab/>
        <w:t>III.</w:t>
      </w:r>
      <w:r>
        <w:tab/>
      </w:r>
      <w:r w:rsidR="004001A5" w:rsidRPr="00506E50">
        <w:t>Legal</w:t>
      </w:r>
      <w:r w:rsidR="00FD0E92" w:rsidRPr="00506E50">
        <w:t xml:space="preserve"> framework </w:t>
      </w:r>
    </w:p>
    <w:p w14:paraId="50B77688" w14:textId="351F9E02" w:rsidR="007358CE" w:rsidRDefault="006B4308" w:rsidP="006B4308">
      <w:pPr>
        <w:pStyle w:val="SingleTxtG"/>
        <w:tabs>
          <w:tab w:val="left" w:pos="1701"/>
        </w:tabs>
        <w:suppressAutoHyphens w:val="0"/>
        <w:kinsoku/>
        <w:overflowPunct/>
        <w:autoSpaceDE/>
        <w:autoSpaceDN/>
        <w:adjustRightInd/>
        <w:snapToGrid/>
      </w:pPr>
      <w:r>
        <w:t>14.</w:t>
      </w:r>
      <w:r>
        <w:tab/>
      </w:r>
      <w:r w:rsidR="00230C4F">
        <w:t xml:space="preserve">International human rights instruments provide standard obligations </w:t>
      </w:r>
      <w:r w:rsidR="00930C7E">
        <w:t xml:space="preserve">relevant to cyberbullying against persons with disabilities such as </w:t>
      </w:r>
      <w:r w:rsidR="00817C7D">
        <w:t>the principle</w:t>
      </w:r>
      <w:r w:rsidR="004D615A">
        <w:t>s</w:t>
      </w:r>
      <w:r w:rsidR="00817C7D">
        <w:t xml:space="preserve"> of </w:t>
      </w:r>
      <w:r w:rsidR="00AB7734">
        <w:t>non-</w:t>
      </w:r>
      <w:r w:rsidR="0018456C">
        <w:t>discrimination</w:t>
      </w:r>
      <w:r w:rsidR="00AB7734">
        <w:t>,</w:t>
      </w:r>
      <w:r w:rsidR="007A549C">
        <w:t xml:space="preserve"> </w:t>
      </w:r>
      <w:r w:rsidR="00D72615">
        <w:t>equality</w:t>
      </w:r>
      <w:r w:rsidR="004D615A">
        <w:t>, dignity</w:t>
      </w:r>
      <w:r w:rsidR="00D72615">
        <w:t xml:space="preserve"> </w:t>
      </w:r>
      <w:r w:rsidR="00D04A58">
        <w:t xml:space="preserve">and accessibility </w:t>
      </w:r>
      <w:r w:rsidR="00350253">
        <w:t>to information and technology.</w:t>
      </w:r>
      <w:r w:rsidR="00AB7734">
        <w:t xml:space="preserve"> </w:t>
      </w:r>
    </w:p>
    <w:p w14:paraId="52BFD558" w14:textId="5654AA78" w:rsidR="00A07341" w:rsidRPr="00506E50" w:rsidRDefault="000F6DD5"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A.</w:t>
      </w:r>
      <w:r>
        <w:rPr>
          <w:rFonts w:eastAsia="SimSun"/>
          <w:lang w:eastAsia="zh-CN"/>
        </w:rPr>
        <w:tab/>
      </w:r>
      <w:r w:rsidR="00CE691F" w:rsidRPr="00506E50">
        <w:rPr>
          <w:rFonts w:eastAsia="SimSun"/>
          <w:lang w:eastAsia="zh-CN"/>
        </w:rPr>
        <w:t xml:space="preserve">Obligations </w:t>
      </w:r>
      <w:r w:rsidR="00A07341" w:rsidRPr="00506E50">
        <w:rPr>
          <w:rFonts w:eastAsia="SimSun"/>
          <w:lang w:eastAsia="zh-CN"/>
        </w:rPr>
        <w:t>of States</w:t>
      </w:r>
    </w:p>
    <w:p w14:paraId="4E0BABA8" w14:textId="2E4E782E" w:rsidR="00F60C6F" w:rsidRDefault="006B4308" w:rsidP="006B4308">
      <w:pPr>
        <w:pStyle w:val="SingleTxtG"/>
        <w:tabs>
          <w:tab w:val="left" w:pos="1701"/>
        </w:tabs>
        <w:suppressAutoHyphens w:val="0"/>
        <w:kinsoku/>
        <w:overflowPunct/>
        <w:autoSpaceDE/>
        <w:autoSpaceDN/>
        <w:adjustRightInd/>
        <w:snapToGrid/>
      </w:pPr>
      <w:r>
        <w:t>15.</w:t>
      </w:r>
      <w:r>
        <w:tab/>
      </w:r>
      <w:r w:rsidR="00F60C6F">
        <w:t>The general principles according to Article 3 of the Convention on the Rights of Persons with Disabilities (CRPD) urge respect for the inherent dignity, independence, and individual autonomy of persons with disabilities, their full and effective participation and inclusion, and respect for their differences. They also call for non-discrimination and equality of opportunity, accessibility, gender equality, and respect for the evolving capacities of children.</w:t>
      </w:r>
      <w:r w:rsidR="00F60C6F">
        <w:rPr>
          <w:rStyle w:val="FootnoteReference"/>
        </w:rPr>
        <w:footnoteReference w:id="20"/>
      </w:r>
      <w:r w:rsidR="00F60C6F">
        <w:t xml:space="preserve"> </w:t>
      </w:r>
      <w:r w:rsidR="002D7F02" w:rsidRPr="002D7F02">
        <w:t xml:space="preserve"> As part of the obligation to promote equality and non-discrimination, the Convention requires States to ensure reasonable accommodation (</w:t>
      </w:r>
      <w:r w:rsidR="00857A67">
        <w:t>A</w:t>
      </w:r>
      <w:r w:rsidR="002D7F02" w:rsidRPr="002D7F02">
        <w:t xml:space="preserve">rticles </w:t>
      </w:r>
      <w:r w:rsidR="00F3551B">
        <w:t>2</w:t>
      </w:r>
      <w:r w:rsidR="002D7F02" w:rsidRPr="002D7F02">
        <w:t xml:space="preserve"> and </w:t>
      </w:r>
      <w:r w:rsidR="00F3551B">
        <w:t>5</w:t>
      </w:r>
      <w:r w:rsidR="00C86E16">
        <w:t xml:space="preserve"> CRPD</w:t>
      </w:r>
      <w:r w:rsidR="002D7F02" w:rsidRPr="002D7F02">
        <w:t>).</w:t>
      </w:r>
    </w:p>
    <w:p w14:paraId="1CF68B10" w14:textId="7534B9C5" w:rsidR="00B77183" w:rsidRDefault="006B4308" w:rsidP="006B4308">
      <w:pPr>
        <w:pStyle w:val="SingleTxtG"/>
        <w:tabs>
          <w:tab w:val="left" w:pos="1701"/>
        </w:tabs>
        <w:suppressAutoHyphens w:val="0"/>
        <w:kinsoku/>
        <w:overflowPunct/>
        <w:autoSpaceDE/>
        <w:autoSpaceDN/>
        <w:adjustRightInd/>
        <w:snapToGrid/>
      </w:pPr>
      <w:r>
        <w:t>16.</w:t>
      </w:r>
      <w:r>
        <w:tab/>
      </w:r>
      <w:r w:rsidR="00C372B4">
        <w:t xml:space="preserve">Pursuant to Article </w:t>
      </w:r>
      <w:r w:rsidR="00C43DFD">
        <w:t>9</w:t>
      </w:r>
      <w:r w:rsidR="0029475D">
        <w:t xml:space="preserve"> CRPD</w:t>
      </w:r>
      <w:r w:rsidR="00C372B4">
        <w:t xml:space="preserve">, States have </w:t>
      </w:r>
      <w:r w:rsidR="000F03B1">
        <w:t xml:space="preserve">the </w:t>
      </w:r>
      <w:r w:rsidR="00C372B4">
        <w:t xml:space="preserve">obligation to </w:t>
      </w:r>
      <w:r w:rsidR="00C43DFD">
        <w:t>take appropriate measures</w:t>
      </w:r>
      <w:r w:rsidR="00C372B4">
        <w:t xml:space="preserve"> </w:t>
      </w:r>
      <w:r w:rsidR="00C43DFD">
        <w:t xml:space="preserve">to ensure that persons with disabilities have access to </w:t>
      </w:r>
      <w:r w:rsidR="00330D84">
        <w:t>digital</w:t>
      </w:r>
      <w:r w:rsidR="00C43DFD">
        <w:t xml:space="preserve"> technologies </w:t>
      </w:r>
      <w:r w:rsidR="00330D84">
        <w:t>on an equal basis with others</w:t>
      </w:r>
      <w:r w:rsidR="0082421B">
        <w:t>, and</w:t>
      </w:r>
      <w:r w:rsidR="0096564B">
        <w:t xml:space="preserve"> to ensure </w:t>
      </w:r>
      <w:r w:rsidR="001D636D">
        <w:t>inclusive digital space</w:t>
      </w:r>
      <w:r w:rsidR="0082421B">
        <w:t>s</w:t>
      </w:r>
      <w:r w:rsidR="003F36CE">
        <w:t>. G</w:t>
      </w:r>
      <w:r w:rsidR="00416E19">
        <w:t xml:space="preserve">iven the extent of public and political </w:t>
      </w:r>
      <w:r w:rsidR="00CB717B">
        <w:t xml:space="preserve">discourse </w:t>
      </w:r>
      <w:r w:rsidR="00416E19">
        <w:t>that now transpire</w:t>
      </w:r>
      <w:r w:rsidR="00CB717B">
        <w:t>s</w:t>
      </w:r>
      <w:r w:rsidR="00416E19">
        <w:t xml:space="preserve"> in the digital realm, that unequal access </w:t>
      </w:r>
      <w:r w:rsidR="003F36CE">
        <w:t xml:space="preserve">also </w:t>
      </w:r>
      <w:r w:rsidR="00416E19">
        <w:t>impacts a range of other rights</w:t>
      </w:r>
      <w:r w:rsidR="00E34067">
        <w:t xml:space="preserve"> </w:t>
      </w:r>
      <w:r w:rsidR="004634B3">
        <w:t>held by</w:t>
      </w:r>
      <w:r w:rsidR="00E34067">
        <w:t xml:space="preserve"> persons with disabilities</w:t>
      </w:r>
      <w:r w:rsidR="00416E19">
        <w:t>, including</w:t>
      </w:r>
      <w:r w:rsidR="004634B3">
        <w:t xml:space="preserve"> </w:t>
      </w:r>
      <w:r w:rsidR="00416E19">
        <w:t>access to education, employment, and health, as well as freedom of expression and access to information.</w:t>
      </w:r>
      <w:r w:rsidR="00417CCE">
        <w:rPr>
          <w:rStyle w:val="FootnoteReference"/>
        </w:rPr>
        <w:footnoteReference w:id="21"/>
      </w:r>
      <w:r w:rsidR="00416E19">
        <w:t xml:space="preserve"> </w:t>
      </w:r>
    </w:p>
    <w:p w14:paraId="0EE0B96A" w14:textId="06C23B9F" w:rsidR="00E17D8E" w:rsidRDefault="006B4308" w:rsidP="006B4308">
      <w:pPr>
        <w:pStyle w:val="SingleTxtG"/>
        <w:tabs>
          <w:tab w:val="left" w:pos="1701"/>
        </w:tabs>
        <w:suppressAutoHyphens w:val="0"/>
        <w:kinsoku/>
        <w:overflowPunct/>
        <w:autoSpaceDE/>
        <w:autoSpaceDN/>
        <w:adjustRightInd/>
        <w:snapToGrid/>
      </w:pPr>
      <w:r>
        <w:t>17.</w:t>
      </w:r>
      <w:r>
        <w:tab/>
      </w:r>
      <w:r w:rsidR="00F900A3">
        <w:t>In addition, States</w:t>
      </w:r>
      <w:r w:rsidR="00937945">
        <w:t xml:space="preserve"> </w:t>
      </w:r>
      <w:r w:rsidR="00F900A3">
        <w:t xml:space="preserve">have an obligation </w:t>
      </w:r>
      <w:r w:rsidR="008F5A66">
        <w:t xml:space="preserve">under </w:t>
      </w:r>
      <w:r w:rsidR="00A244CA">
        <w:t>Article 16 CRPD</w:t>
      </w:r>
      <w:r w:rsidR="008F5A66">
        <w:t xml:space="preserve"> </w:t>
      </w:r>
      <w:r w:rsidR="00F900A3">
        <w:t xml:space="preserve">to take all appropriate </w:t>
      </w:r>
      <w:r w:rsidR="00D76176" w:rsidRPr="00D76176">
        <w:t>legislative, administrative, social, educational and other</w:t>
      </w:r>
      <w:r w:rsidR="00D76176">
        <w:t xml:space="preserve"> </w:t>
      </w:r>
      <w:r w:rsidR="00F900A3">
        <w:t>measures to prevent all forms of exploitation, violence</w:t>
      </w:r>
      <w:r w:rsidR="004634B3">
        <w:t>,</w:t>
      </w:r>
      <w:r w:rsidR="00F900A3">
        <w:t xml:space="preserve"> and abuse</w:t>
      </w:r>
      <w:r w:rsidR="00662585">
        <w:t>.</w:t>
      </w:r>
      <w:r w:rsidR="00851C15">
        <w:rPr>
          <w:rStyle w:val="FootnoteReference"/>
        </w:rPr>
        <w:footnoteReference w:id="22"/>
      </w:r>
      <w:r w:rsidR="00662585">
        <w:t xml:space="preserve"> </w:t>
      </w:r>
      <w:r w:rsidR="008F5A66">
        <w:t xml:space="preserve">This includes an obligation to take measures to prevent </w:t>
      </w:r>
      <w:r w:rsidR="004B5B6D">
        <w:t>violence</w:t>
      </w:r>
      <w:r w:rsidR="008F5A66">
        <w:t xml:space="preserve"> that occur</w:t>
      </w:r>
      <w:r w:rsidR="004B5B6D">
        <w:t>s</w:t>
      </w:r>
      <w:r w:rsidR="008F5A66">
        <w:t xml:space="preserve"> using digital technologies, such as cyberbullying. Preventive</w:t>
      </w:r>
      <w:r w:rsidR="00A25CE1">
        <w:t xml:space="preserve"> measures </w:t>
      </w:r>
      <w:r w:rsidR="00F900A3">
        <w:t xml:space="preserve">may include </w:t>
      </w:r>
      <w:r w:rsidR="00662585">
        <w:t>ensuring assistance and support for persons with disabilities, along with their families, and</w:t>
      </w:r>
      <w:r w:rsidR="00F900A3">
        <w:t xml:space="preserve"> </w:t>
      </w:r>
      <w:r w:rsidR="00B1295D">
        <w:t>providing</w:t>
      </w:r>
      <w:r w:rsidR="00F900A3">
        <w:t xml:space="preserve"> information and education on how to avoid, recognize, and report instances of </w:t>
      </w:r>
      <w:r w:rsidR="00A25CE1">
        <w:t>cyberbullying, in forms that are</w:t>
      </w:r>
      <w:r w:rsidR="00F900A3">
        <w:t xml:space="preserve"> sensitive to age, gender, and disability. </w:t>
      </w:r>
    </w:p>
    <w:p w14:paraId="31FAD0ED" w14:textId="7783F72D" w:rsidR="00C372B4" w:rsidRDefault="006B4308" w:rsidP="006B4308">
      <w:pPr>
        <w:pStyle w:val="SingleTxtG"/>
        <w:tabs>
          <w:tab w:val="left" w:pos="1701"/>
        </w:tabs>
        <w:suppressAutoHyphens w:val="0"/>
        <w:kinsoku/>
        <w:overflowPunct/>
        <w:autoSpaceDE/>
        <w:autoSpaceDN/>
        <w:adjustRightInd/>
        <w:snapToGrid/>
      </w:pPr>
      <w:r>
        <w:lastRenderedPageBreak/>
        <w:t>18.</w:t>
      </w:r>
      <w:r>
        <w:tab/>
      </w:r>
      <w:r w:rsidR="00C43DFD">
        <w:t xml:space="preserve">The </w:t>
      </w:r>
      <w:r w:rsidR="00937945">
        <w:t xml:space="preserve">existing human rights framework also calls on </w:t>
      </w:r>
      <w:r w:rsidR="00B1295D">
        <w:t>States</w:t>
      </w:r>
      <w:r w:rsidR="00937945">
        <w:t xml:space="preserve"> to consider and address the disproportionate impact of cyberbullying on those </w:t>
      </w:r>
      <w:r w:rsidR="00C276BE">
        <w:t xml:space="preserve">who face </w:t>
      </w:r>
      <w:r w:rsidR="00937945">
        <w:t xml:space="preserve">multiple and </w:t>
      </w:r>
      <w:r w:rsidR="00C276BE">
        <w:t xml:space="preserve">intersecting forms of </w:t>
      </w:r>
      <w:r w:rsidR="00A4482D">
        <w:t xml:space="preserve">violence and </w:t>
      </w:r>
      <w:r w:rsidR="00C276BE">
        <w:t>discrimination. The</w:t>
      </w:r>
      <w:r w:rsidR="00937945">
        <w:t xml:space="preserve"> </w:t>
      </w:r>
      <w:r w:rsidR="0091036A">
        <w:t>CRPD</w:t>
      </w:r>
      <w:r w:rsidR="007C36A7">
        <w:t xml:space="preserve"> </w:t>
      </w:r>
      <w:r w:rsidR="00C276BE">
        <w:t>requires</w:t>
      </w:r>
      <w:r w:rsidR="00855B4C">
        <w:t xml:space="preserve"> States </w:t>
      </w:r>
      <w:r w:rsidR="008F5A66">
        <w:t xml:space="preserve">to </w:t>
      </w:r>
      <w:r w:rsidR="00730125">
        <w:t>take</w:t>
      </w:r>
      <w:r w:rsidR="00C43DFD">
        <w:t xml:space="preserve"> measures</w:t>
      </w:r>
      <w:r w:rsidR="00730125">
        <w:t xml:space="preserve"> to ensure </w:t>
      </w:r>
      <w:r w:rsidR="00C276BE">
        <w:t xml:space="preserve">that women with disabilities </w:t>
      </w:r>
      <w:r w:rsidR="002E6D47">
        <w:t xml:space="preserve">can exercise their </w:t>
      </w:r>
      <w:r w:rsidR="00C43DFD">
        <w:t>human rights</w:t>
      </w:r>
      <w:r w:rsidR="00730125">
        <w:t xml:space="preserve"> on an equal basis with others. </w:t>
      </w:r>
      <w:r w:rsidR="00A4482D">
        <w:t>In addition, the Committee on the Elimination of Discrimination against Women</w:t>
      </w:r>
      <w:r w:rsidR="0091036A">
        <w:t xml:space="preserve"> (CEDAW)</w:t>
      </w:r>
      <w:r w:rsidR="00A4482D">
        <w:t xml:space="preserve"> has </w:t>
      </w:r>
      <w:r w:rsidR="0011049E">
        <w:t>clarified</w:t>
      </w:r>
      <w:r w:rsidR="00A4482D">
        <w:t xml:space="preserve"> that discrimination against women, as defined in </w:t>
      </w:r>
      <w:r w:rsidR="00740A62">
        <w:t>A</w:t>
      </w:r>
      <w:r w:rsidR="00A4482D">
        <w:t>rticle 1</w:t>
      </w:r>
      <w:r w:rsidR="00D53EB5">
        <w:t xml:space="preserve"> of the CEDAW Convention</w:t>
      </w:r>
      <w:r w:rsidR="00751AF0">
        <w:t xml:space="preserve">, </w:t>
      </w:r>
      <w:r w:rsidR="00A4482D">
        <w:t>includes gender-based violence</w:t>
      </w:r>
      <w:r w:rsidR="00B1295D">
        <w:t xml:space="preserve"> which occurs in ‘technology-mediated </w:t>
      </w:r>
      <w:r w:rsidR="00005909">
        <w:t>environments</w:t>
      </w:r>
      <w:r w:rsidR="002A00B3">
        <w:t>,</w:t>
      </w:r>
      <w:r w:rsidR="00B1295D">
        <w:t>’</w:t>
      </w:r>
      <w:r w:rsidR="002A00B3">
        <w:t xml:space="preserve"> among others.</w:t>
      </w:r>
      <w:r w:rsidR="00B1295D">
        <w:rPr>
          <w:rStyle w:val="FootnoteReference"/>
        </w:rPr>
        <w:footnoteReference w:id="23"/>
      </w:r>
      <w:r w:rsidR="00662585">
        <w:t xml:space="preserve"> </w:t>
      </w:r>
    </w:p>
    <w:p w14:paraId="4B1EA12C" w14:textId="23A23B34" w:rsidR="00A07341" w:rsidRDefault="006B4308" w:rsidP="006B4308">
      <w:pPr>
        <w:pStyle w:val="SingleTxtG"/>
        <w:tabs>
          <w:tab w:val="left" w:pos="1701"/>
        </w:tabs>
        <w:suppressAutoHyphens w:val="0"/>
        <w:kinsoku/>
        <w:overflowPunct/>
        <w:autoSpaceDE/>
        <w:autoSpaceDN/>
        <w:adjustRightInd/>
        <w:snapToGrid/>
      </w:pPr>
      <w:bookmarkStart w:id="3" w:name="_Hlk168991050"/>
      <w:r>
        <w:t>19.</w:t>
      </w:r>
      <w:r>
        <w:tab/>
      </w:r>
      <w:r w:rsidR="004A5A48">
        <w:t xml:space="preserve">According to Article 7 </w:t>
      </w:r>
      <w:r w:rsidR="00851C15">
        <w:t xml:space="preserve">CRPD States Parties </w:t>
      </w:r>
      <w:r w:rsidR="009E039F">
        <w:t>must</w:t>
      </w:r>
      <w:r w:rsidR="004A5A48">
        <w:t xml:space="preserve"> </w:t>
      </w:r>
      <w:r w:rsidR="00851C15">
        <w:t>take all necessary measures to ensure the full enjoyment by children with disabilities of all rights on an equal basis with other children, including the right to express their views freely on all matters affecting them.</w:t>
      </w:r>
      <w:r w:rsidR="00851C15">
        <w:rPr>
          <w:rStyle w:val="FootnoteReference"/>
        </w:rPr>
        <w:footnoteReference w:id="24"/>
      </w:r>
      <w:r w:rsidR="00851C15">
        <w:t xml:space="preserve"> In addition, t</w:t>
      </w:r>
      <w:r w:rsidR="0044135A" w:rsidRPr="00802065">
        <w:t>he</w:t>
      </w:r>
      <w:r w:rsidR="0044135A">
        <w:t xml:space="preserve"> Convention on the Rights of the Child</w:t>
      </w:r>
      <w:r w:rsidR="00026CD8">
        <w:t xml:space="preserve"> (CRC)</w:t>
      </w:r>
      <w:r w:rsidR="0044135A">
        <w:t xml:space="preserve"> </w:t>
      </w:r>
      <w:r w:rsidR="001D40C4">
        <w:t>recognizes the rights of all children to a life free from violence</w:t>
      </w:r>
      <w:r w:rsidR="00E4103B">
        <w:t xml:space="preserve"> while in the care of others</w:t>
      </w:r>
      <w:r w:rsidR="00BF7BF7">
        <w:t xml:space="preserve"> (Article 19</w:t>
      </w:r>
      <w:r w:rsidR="00E01954">
        <w:t xml:space="preserve"> CRC</w:t>
      </w:r>
      <w:r w:rsidR="00BF7BF7">
        <w:t>)</w:t>
      </w:r>
      <w:r w:rsidR="001D40C4">
        <w:t xml:space="preserve">, </w:t>
      </w:r>
      <w:r w:rsidR="0044135A">
        <w:t xml:space="preserve">requires that </w:t>
      </w:r>
      <w:r w:rsidR="00E4103B">
        <w:t>children have the right to freedom of expression, which includes the freedom to seek, receive and impart information and ideas</w:t>
      </w:r>
      <w:r w:rsidR="00B07BB8">
        <w:t xml:space="preserve"> (Article 13 CRC)</w:t>
      </w:r>
      <w:r w:rsidR="00E4103B">
        <w:t xml:space="preserve">, and </w:t>
      </w:r>
      <w:r w:rsidR="00613000">
        <w:t xml:space="preserve">provides </w:t>
      </w:r>
      <w:r w:rsidR="00E4103B">
        <w:t>that children with disabilities should enjoy a full and decent life, in conditions which ensure dignity, promote self-reliance and facilitate the child’s active participation in the community</w:t>
      </w:r>
      <w:r w:rsidR="00B07BB8">
        <w:t xml:space="preserve"> (Article 23 CRC)</w:t>
      </w:r>
      <w:r w:rsidR="00E4103B">
        <w:t>.</w:t>
      </w:r>
      <w:r w:rsidR="00E4103B">
        <w:rPr>
          <w:rStyle w:val="FootnoteReference"/>
        </w:rPr>
        <w:footnoteReference w:id="25"/>
      </w:r>
      <w:r w:rsidR="00AD623F" w:rsidRPr="00A07341">
        <w:t xml:space="preserve"> </w:t>
      </w:r>
      <w:r w:rsidR="007059EE" w:rsidRPr="00A07341">
        <w:t xml:space="preserve">Both frameworks </w:t>
      </w:r>
      <w:r w:rsidR="0044135A" w:rsidRPr="00A07341">
        <w:t xml:space="preserve">underscore </w:t>
      </w:r>
      <w:r w:rsidR="002034E1">
        <w:t xml:space="preserve">the State’s obligation </w:t>
      </w:r>
      <w:r w:rsidR="00322B8A">
        <w:t xml:space="preserve">to consider children as rights holders and to </w:t>
      </w:r>
      <w:r w:rsidR="00322B8A" w:rsidRPr="00A07341">
        <w:t>prioritize the</w:t>
      </w:r>
      <w:r w:rsidR="00322B8A">
        <w:t>ir</w:t>
      </w:r>
      <w:r w:rsidR="00322B8A" w:rsidRPr="00A07341">
        <w:t xml:space="preserve"> best interests </w:t>
      </w:r>
      <w:r w:rsidR="00322B8A">
        <w:t>in all actions affecti</w:t>
      </w:r>
      <w:r w:rsidR="004040A1">
        <w:t>ng them</w:t>
      </w:r>
      <w:r w:rsidR="007059EE" w:rsidRPr="00A07341">
        <w:t>.</w:t>
      </w:r>
      <w:r w:rsidR="007A49E1" w:rsidRPr="00A07341">
        <w:rPr>
          <w:rStyle w:val="FootnoteReference"/>
        </w:rPr>
        <w:footnoteReference w:id="26"/>
      </w:r>
      <w:r w:rsidR="007059EE" w:rsidRPr="00A07341">
        <w:t xml:space="preserve"> </w:t>
      </w:r>
    </w:p>
    <w:bookmarkEnd w:id="3"/>
    <w:p w14:paraId="4E8729E5" w14:textId="35CC2392" w:rsidR="00A9191E" w:rsidRPr="00A07341" w:rsidRDefault="006B4308" w:rsidP="006B4308">
      <w:pPr>
        <w:pStyle w:val="SingleTxtG"/>
        <w:tabs>
          <w:tab w:val="left" w:pos="1701"/>
        </w:tabs>
        <w:suppressAutoHyphens w:val="0"/>
        <w:kinsoku/>
        <w:overflowPunct/>
        <w:autoSpaceDE/>
        <w:autoSpaceDN/>
        <w:adjustRightInd/>
        <w:snapToGrid/>
      </w:pPr>
      <w:r>
        <w:t>20.</w:t>
      </w:r>
      <w:r>
        <w:tab/>
      </w:r>
      <w:r w:rsidR="00437C4F">
        <w:t xml:space="preserve">The </w:t>
      </w:r>
      <w:r w:rsidR="00E17D8E" w:rsidRPr="00A07341">
        <w:t xml:space="preserve">Committee on the Rights of Persons with Disabilities </w:t>
      </w:r>
      <w:r w:rsidR="008F6488">
        <w:t xml:space="preserve">has </w:t>
      </w:r>
      <w:r w:rsidR="00AB44A6" w:rsidRPr="00A07341">
        <w:t>recognize</w:t>
      </w:r>
      <w:r w:rsidR="0033115A" w:rsidRPr="00A07341">
        <w:t>d</w:t>
      </w:r>
      <w:r w:rsidR="00AB44A6" w:rsidRPr="00A07341">
        <w:t xml:space="preserve"> the growing role of cyberbullying in the lives of children, and the disproportionate impacts of bullying</w:t>
      </w:r>
      <w:r w:rsidR="00AB44A6">
        <w:t xml:space="preserve"> in general upon persons with disabilities, particularly women and girls.</w:t>
      </w:r>
      <w:r w:rsidR="00AB44A6">
        <w:rPr>
          <w:rStyle w:val="FootnoteReference"/>
        </w:rPr>
        <w:footnoteReference w:id="27"/>
      </w:r>
      <w:r w:rsidR="00AB44A6">
        <w:t xml:space="preserve"> </w:t>
      </w:r>
      <w:r w:rsidR="008F6488">
        <w:t>The</w:t>
      </w:r>
      <w:r w:rsidR="0033115A">
        <w:t xml:space="preserve"> Committee </w:t>
      </w:r>
      <w:r w:rsidR="008F6488">
        <w:t xml:space="preserve">has </w:t>
      </w:r>
      <w:r w:rsidR="0033115A">
        <w:t>emphasized that the duty to prohibit ‘all discrimination’ refers to, among other forms, harassment, including cyberbullying, cyberhate, and disability-based violence in all its appearances.</w:t>
      </w:r>
      <w:r w:rsidR="0033115A">
        <w:rPr>
          <w:rStyle w:val="FootnoteReference"/>
        </w:rPr>
        <w:footnoteReference w:id="28"/>
      </w:r>
      <w:r w:rsidR="0033115A">
        <w:t xml:space="preserve"> </w:t>
      </w:r>
      <w:r w:rsidR="00AB44A6">
        <w:t xml:space="preserve">The Committee </w:t>
      </w:r>
      <w:r w:rsidR="00262F2E">
        <w:t xml:space="preserve"> </w:t>
      </w:r>
      <w:r w:rsidR="00AB44A6">
        <w:t xml:space="preserve">also </w:t>
      </w:r>
      <w:r w:rsidR="0033115A">
        <w:t>referenced</w:t>
      </w:r>
      <w:r w:rsidR="00AB44A6">
        <w:t xml:space="preserve"> the </w:t>
      </w:r>
      <w:r w:rsidR="004634B3">
        <w:t>development</w:t>
      </w:r>
      <w:r w:rsidR="00AB44A6">
        <w:t xml:space="preserve"> of effective measures to prevent bullying as a core tenet of the right to inclusive education.</w:t>
      </w:r>
      <w:r w:rsidR="00AB44A6">
        <w:rPr>
          <w:rStyle w:val="FootnoteReference"/>
        </w:rPr>
        <w:footnoteReference w:id="29"/>
      </w:r>
      <w:r w:rsidR="00A9191E">
        <w:t xml:space="preserve"> </w:t>
      </w:r>
    </w:p>
    <w:p w14:paraId="38CA825E" w14:textId="008BB717" w:rsidR="00E17D8E" w:rsidRDefault="006B4308" w:rsidP="006B4308">
      <w:pPr>
        <w:pStyle w:val="SingleTxtG"/>
        <w:tabs>
          <w:tab w:val="left" w:pos="1701"/>
        </w:tabs>
        <w:suppressAutoHyphens w:val="0"/>
        <w:kinsoku/>
        <w:overflowPunct/>
        <w:autoSpaceDE/>
        <w:autoSpaceDN/>
        <w:adjustRightInd/>
        <w:snapToGrid/>
      </w:pPr>
      <w:r>
        <w:t>21.</w:t>
      </w:r>
      <w:r>
        <w:tab/>
      </w:r>
      <w:r w:rsidR="00262F2E">
        <w:t xml:space="preserve">The Committee on the Rights of the Child has elaborated on the rights of children to freedom from all forms of violence. </w:t>
      </w:r>
      <w:r w:rsidR="00437C4F">
        <w:t>The</w:t>
      </w:r>
      <w:r w:rsidR="00262F2E">
        <w:t xml:space="preserve"> Committee defines ‘mental violence’ as including psychological bullying and hazing, including </w:t>
      </w:r>
      <w:r w:rsidR="00CB717B">
        <w:t xml:space="preserve">through </w:t>
      </w:r>
      <w:r w:rsidR="00262F2E">
        <w:t>cyberbullying.</w:t>
      </w:r>
      <w:r w:rsidR="00262F2E">
        <w:rPr>
          <w:rStyle w:val="FootnoteReference"/>
        </w:rPr>
        <w:footnoteReference w:id="30"/>
      </w:r>
      <w:r w:rsidR="00C955DB">
        <w:t xml:space="preserve"> It notes that violence among children, including through bullying, can not only harm a child’s physical </w:t>
      </w:r>
      <w:r w:rsidR="00777AFC">
        <w:t xml:space="preserve">integrity </w:t>
      </w:r>
      <w:r w:rsidR="00C955DB">
        <w:t>and psychological well-being in the immediate term, but can severely impact a child’s development, education</w:t>
      </w:r>
      <w:r w:rsidR="004634B3">
        <w:t>,</w:t>
      </w:r>
      <w:r w:rsidR="00C955DB">
        <w:t xml:space="preserve"> and social integration in the medium and long term.</w:t>
      </w:r>
      <w:r w:rsidR="00262F2E">
        <w:t xml:space="preserve"> </w:t>
      </w:r>
      <w:r w:rsidR="008F6488">
        <w:t>T</w:t>
      </w:r>
      <w:r w:rsidR="00A9191E">
        <w:t xml:space="preserve">he Committee </w:t>
      </w:r>
      <w:r w:rsidR="00C955DB">
        <w:t>opines further</w:t>
      </w:r>
      <w:r w:rsidR="00A9191E">
        <w:t xml:space="preserve"> on the new avenues for violence against children presented by the digital environment</w:t>
      </w:r>
      <w:r w:rsidR="00C955DB">
        <w:t>, referencing bullying as a form of cyberaggression</w:t>
      </w:r>
      <w:r w:rsidR="00A9191E">
        <w:t>.</w:t>
      </w:r>
      <w:r w:rsidR="00A9191E">
        <w:rPr>
          <w:rStyle w:val="FootnoteReference"/>
        </w:rPr>
        <w:footnoteReference w:id="31"/>
      </w:r>
      <w:r w:rsidR="00A9191E">
        <w:t xml:space="preserve"> It </w:t>
      </w:r>
      <w:r w:rsidR="008F6488">
        <w:t xml:space="preserve">has </w:t>
      </w:r>
      <w:r w:rsidR="00A9191E">
        <w:t xml:space="preserve">emphasized that States should take legislative and administrative measures to protect children from </w:t>
      </w:r>
      <w:r w:rsidR="00B86406">
        <w:t xml:space="preserve">online </w:t>
      </w:r>
      <w:r w:rsidR="00A9191E">
        <w:t>violence</w:t>
      </w:r>
      <w:r w:rsidR="00B86406">
        <w:t>.</w:t>
      </w:r>
      <w:r w:rsidR="00A9191E">
        <w:t xml:space="preserve"> </w:t>
      </w:r>
    </w:p>
    <w:p w14:paraId="320CD3EE" w14:textId="6EF2E04B" w:rsidR="00212C72" w:rsidRDefault="006B4308" w:rsidP="006B4308">
      <w:pPr>
        <w:pStyle w:val="SingleTxtG"/>
        <w:tabs>
          <w:tab w:val="left" w:pos="1701"/>
        </w:tabs>
        <w:suppressAutoHyphens w:val="0"/>
        <w:kinsoku/>
        <w:overflowPunct/>
        <w:autoSpaceDE/>
        <w:autoSpaceDN/>
        <w:adjustRightInd/>
        <w:snapToGrid/>
      </w:pPr>
      <w:r>
        <w:t>22.</w:t>
      </w:r>
      <w:r>
        <w:tab/>
      </w:r>
      <w:r w:rsidR="00F6287C">
        <w:t>The Special Rapporteur on the rights of persons with disabilities</w:t>
      </w:r>
      <w:r w:rsidR="00D74F95">
        <w:t>, elaborating on State obligations under international human rights law,</w:t>
      </w:r>
      <w:r w:rsidR="00F6287C" w:rsidRPr="00F6287C">
        <w:t xml:space="preserve"> </w:t>
      </w:r>
      <w:r w:rsidR="00F6287C">
        <w:t xml:space="preserve">has expressed concern that advances in digital technologies can exacerbate pre-existing </w:t>
      </w:r>
      <w:r w:rsidR="00770B1B">
        <w:t>inequalities</w:t>
      </w:r>
      <w:r w:rsidR="00F6287C">
        <w:t xml:space="preserve"> and discrimination, and has called for investments in infrastructure, skills, regulation, and institutions, as well as consultation with persons with disabilities</w:t>
      </w:r>
      <w:r w:rsidR="00E4103B">
        <w:t xml:space="preserve"> and through their representative organisations</w:t>
      </w:r>
      <w:r w:rsidR="00F6287C">
        <w:t>, to achieve an inclusive and accessible digital environment.</w:t>
      </w:r>
      <w:r w:rsidR="00770B1B">
        <w:rPr>
          <w:rStyle w:val="FootnoteReference"/>
        </w:rPr>
        <w:footnoteReference w:id="32"/>
      </w:r>
      <w:r w:rsidR="00F6287C">
        <w:t xml:space="preserve"> The</w:t>
      </w:r>
      <w:r w:rsidR="00212C72" w:rsidRPr="00F6287C">
        <w:t xml:space="preserve"> Special Rapporteur on the right to health</w:t>
      </w:r>
      <w:r w:rsidR="00F6287C">
        <w:t xml:space="preserve"> </w:t>
      </w:r>
      <w:r w:rsidR="00212C72" w:rsidRPr="00F6287C">
        <w:t xml:space="preserve">has drawn attention to the challenges posed by digital technologies, noting that it can perpetuate ableism, as well as racism, sexism, </w:t>
      </w:r>
      <w:r w:rsidR="00777AFC">
        <w:t>and</w:t>
      </w:r>
      <w:r w:rsidR="00777AFC" w:rsidRPr="00F6287C">
        <w:t xml:space="preserve"> </w:t>
      </w:r>
      <w:r w:rsidR="00212C72" w:rsidRPr="00F6287C">
        <w:t>discrimination based on sexual orientation or gender identity.</w:t>
      </w:r>
      <w:r w:rsidR="00212C72" w:rsidRPr="00F6287C">
        <w:rPr>
          <w:rStyle w:val="FootnoteReference"/>
        </w:rPr>
        <w:footnoteReference w:id="33"/>
      </w:r>
      <w:r w:rsidR="00F6287C">
        <w:t xml:space="preserve"> </w:t>
      </w:r>
    </w:p>
    <w:p w14:paraId="1D89334E" w14:textId="54AB2F80" w:rsidR="00A50876" w:rsidRDefault="006B4308" w:rsidP="006B4308">
      <w:pPr>
        <w:pStyle w:val="SingleTxtG"/>
        <w:tabs>
          <w:tab w:val="left" w:pos="1701"/>
        </w:tabs>
        <w:suppressAutoHyphens w:val="0"/>
        <w:kinsoku/>
        <w:overflowPunct/>
        <w:autoSpaceDE/>
        <w:autoSpaceDN/>
        <w:adjustRightInd/>
        <w:snapToGrid/>
      </w:pPr>
      <w:r>
        <w:lastRenderedPageBreak/>
        <w:t>23.</w:t>
      </w:r>
      <w:r>
        <w:tab/>
      </w:r>
      <w:r w:rsidR="00A50876" w:rsidRPr="00AE7ECB">
        <w:t xml:space="preserve">In resolution 77/201, </w:t>
      </w:r>
      <w:r w:rsidR="009B783A">
        <w:t>the General Assembly</w:t>
      </w:r>
      <w:r w:rsidR="00A50876" w:rsidRPr="00AE7ECB">
        <w:t xml:space="preserve"> called on all States to protect children from cyberbullying, to provide appropriate support to children affected by and involved</w:t>
      </w:r>
      <w:r w:rsidR="00AE7ECB" w:rsidRPr="00AE7ECB">
        <w:t xml:space="preserve"> in</w:t>
      </w:r>
      <w:r w:rsidR="00A50876" w:rsidRPr="00AE7ECB">
        <w:t xml:space="preserve"> bullying, to generate and </w:t>
      </w:r>
      <w:r w:rsidR="009B783A" w:rsidRPr="00AE7ECB">
        <w:t>analyse</w:t>
      </w:r>
      <w:r w:rsidR="00A50876" w:rsidRPr="00AE7ECB">
        <w:t xml:space="preserve"> disaggregated data on cyberbullying against persons with disabilities, with a view to elaborating effective public policies, to enact legislation on cyberbullying where appropriate, and to share national experiences and best practices.</w:t>
      </w:r>
      <w:r w:rsidR="00A50876" w:rsidRPr="00AE7ECB">
        <w:rPr>
          <w:rStyle w:val="FootnoteReference"/>
        </w:rPr>
        <w:footnoteReference w:id="34"/>
      </w:r>
    </w:p>
    <w:p w14:paraId="41873C09" w14:textId="11F8A812" w:rsidR="009B783A" w:rsidRPr="00AE7ECB" w:rsidRDefault="006B4308" w:rsidP="006B4308">
      <w:pPr>
        <w:pStyle w:val="SingleTxtG"/>
        <w:tabs>
          <w:tab w:val="left" w:pos="1701"/>
        </w:tabs>
        <w:suppressAutoHyphens w:val="0"/>
        <w:kinsoku/>
        <w:overflowPunct/>
        <w:autoSpaceDE/>
        <w:autoSpaceDN/>
        <w:adjustRightInd/>
        <w:snapToGrid/>
      </w:pPr>
      <w:r>
        <w:t>24.</w:t>
      </w:r>
      <w:r>
        <w:tab/>
      </w:r>
      <w:r w:rsidR="009B783A">
        <w:t xml:space="preserve">The General Assembly </w:t>
      </w:r>
      <w:r w:rsidR="004B5B6D">
        <w:t>has also</w:t>
      </w:r>
      <w:r w:rsidR="009B783A">
        <w:t xml:space="preserve"> </w:t>
      </w:r>
      <w:r w:rsidR="004B5B6D">
        <w:t>outlined</w:t>
      </w:r>
      <w:r w:rsidR="009B783A">
        <w:t xml:space="preserve"> children’s rights in the digital environment</w:t>
      </w:r>
      <w:r w:rsidR="00C108F9">
        <w:t xml:space="preserve"> and raised serious concern </w:t>
      </w:r>
      <w:r w:rsidR="00512613">
        <w:t xml:space="preserve">about </w:t>
      </w:r>
      <w:r w:rsidR="00C108F9">
        <w:t>the</w:t>
      </w:r>
      <w:r w:rsidR="003D7841">
        <w:t xml:space="preserve"> </w:t>
      </w:r>
      <w:r w:rsidR="009B783A">
        <w:t>stigmatization, discrimination, and exclusion disproportionately faced by children with disabilities, as well as mental, physical, and sexual violence.</w:t>
      </w:r>
      <w:r w:rsidR="009B783A">
        <w:rPr>
          <w:rStyle w:val="FootnoteReference"/>
        </w:rPr>
        <w:footnoteReference w:id="35"/>
      </w:r>
      <w:r w:rsidR="009B783A">
        <w:t xml:space="preserve"> It also called upon States to bridge the d</w:t>
      </w:r>
      <w:r w:rsidR="00FC5482">
        <w:t>isability digital divide, and to create opportunities for the inclusive and meaningful participation in decision-making processes of children with disabilities</w:t>
      </w:r>
      <w:r w:rsidR="00514EF9">
        <w:t xml:space="preserve"> and organisations of persons with disabilities</w:t>
      </w:r>
      <w:r w:rsidR="00FC5482">
        <w:t xml:space="preserve"> in matters affecting them in the digital environment.</w:t>
      </w:r>
      <w:r w:rsidR="009B783A">
        <w:t xml:space="preserve"> </w:t>
      </w:r>
    </w:p>
    <w:p w14:paraId="3FC3A1A7" w14:textId="4CAE151C" w:rsidR="0013585D" w:rsidRDefault="006B4308" w:rsidP="006B4308">
      <w:pPr>
        <w:pStyle w:val="SingleTxtG"/>
        <w:tabs>
          <w:tab w:val="left" w:pos="1701"/>
        </w:tabs>
        <w:suppressAutoHyphens w:val="0"/>
        <w:kinsoku/>
        <w:overflowPunct/>
        <w:autoSpaceDE/>
        <w:autoSpaceDN/>
        <w:adjustRightInd/>
        <w:snapToGrid/>
      </w:pPr>
      <w:r>
        <w:t>25.</w:t>
      </w:r>
      <w:r>
        <w:tab/>
      </w:r>
      <w:r w:rsidR="00D37362">
        <w:t>C</w:t>
      </w:r>
      <w:r w:rsidR="00D8462B" w:rsidRPr="00717E06">
        <w:t>yberbullying against persons with disabilities can also implicate the rights of cultural and linguistic minorities. Persons w</w:t>
      </w:r>
      <w:r w:rsidR="00514EF9">
        <w:t>ho are deaf or hard of hearing</w:t>
      </w:r>
      <w:r w:rsidR="00D8462B" w:rsidRPr="00717E06">
        <w:t xml:space="preserve">, for example, constitute their own linguistic community, and their national sign languages </w:t>
      </w:r>
      <w:r w:rsidR="004B5B6D">
        <w:t>are properly understood as</w:t>
      </w:r>
      <w:r w:rsidR="00D8462B" w:rsidRPr="00717E06">
        <w:t xml:space="preserve"> minority languages</w:t>
      </w:r>
      <w:r w:rsidR="00E01521">
        <w:t xml:space="preserve">, and in some countries, are even </w:t>
      </w:r>
      <w:r w:rsidR="00514EF9">
        <w:t xml:space="preserve">recognised as </w:t>
      </w:r>
      <w:r w:rsidR="00E01521">
        <w:t xml:space="preserve">an </w:t>
      </w:r>
      <w:r w:rsidR="00514EF9">
        <w:t>official language</w:t>
      </w:r>
      <w:r w:rsidR="00D8462B" w:rsidRPr="00717E06">
        <w:t xml:space="preserve">. </w:t>
      </w:r>
      <w:r w:rsidR="00717E06" w:rsidRPr="00717E06">
        <w:t>Pursuant to Article 21 of the</w:t>
      </w:r>
      <w:r w:rsidR="00E56582">
        <w:t xml:space="preserve"> </w:t>
      </w:r>
      <w:r w:rsidR="00C108F9">
        <w:t>CRPD</w:t>
      </w:r>
      <w:r w:rsidR="00717E06" w:rsidRPr="00717E06">
        <w:t xml:space="preserve">, States have an obligation to ensure the right to freedom of </w:t>
      </w:r>
      <w:r w:rsidR="00C108F9">
        <w:t xml:space="preserve">opinion and </w:t>
      </w:r>
      <w:r w:rsidR="00717E06" w:rsidRPr="00717E06">
        <w:t>expression for persons with disabilities on an equal basis with others, including by recognizing and promoting the use of sign languages.</w:t>
      </w:r>
      <w:r w:rsidR="00717E06">
        <w:rPr>
          <w:rStyle w:val="FootnoteReference"/>
        </w:rPr>
        <w:footnoteReference w:id="36"/>
      </w:r>
    </w:p>
    <w:p w14:paraId="524DE33A" w14:textId="091C8F92" w:rsidR="006048D2" w:rsidRPr="00506E50" w:rsidRDefault="00506E5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B.</w:t>
      </w:r>
      <w:r>
        <w:rPr>
          <w:rFonts w:eastAsia="SimSun"/>
          <w:lang w:eastAsia="zh-CN"/>
        </w:rPr>
        <w:tab/>
      </w:r>
      <w:r w:rsidR="00A07341" w:rsidRPr="00506E50">
        <w:rPr>
          <w:rFonts w:eastAsia="SimSun"/>
          <w:lang w:eastAsia="zh-CN"/>
        </w:rPr>
        <w:t xml:space="preserve">Responsibilities of </w:t>
      </w:r>
      <w:r w:rsidR="00E24A57" w:rsidRPr="00506E50">
        <w:rPr>
          <w:rFonts w:eastAsia="SimSun"/>
          <w:lang w:eastAsia="zh-CN"/>
        </w:rPr>
        <w:t>busi</w:t>
      </w:r>
      <w:r w:rsidR="000028EF" w:rsidRPr="00506E50">
        <w:rPr>
          <w:rFonts w:eastAsia="SimSun"/>
          <w:lang w:eastAsia="zh-CN"/>
        </w:rPr>
        <w:t>ness enterprises</w:t>
      </w:r>
      <w:r w:rsidR="00165869" w:rsidRPr="00506E50">
        <w:rPr>
          <w:rFonts w:eastAsia="SimSun"/>
          <w:lang w:eastAsia="zh-CN"/>
        </w:rPr>
        <w:t xml:space="preserve"> </w:t>
      </w:r>
    </w:p>
    <w:p w14:paraId="2FE48985" w14:textId="553ED2AC" w:rsidR="003E477E" w:rsidRDefault="006B4308" w:rsidP="006B4308">
      <w:pPr>
        <w:pStyle w:val="SingleTxtG"/>
        <w:tabs>
          <w:tab w:val="left" w:pos="1701"/>
        </w:tabs>
        <w:suppressAutoHyphens w:val="0"/>
        <w:kinsoku/>
        <w:overflowPunct/>
        <w:autoSpaceDE/>
        <w:autoSpaceDN/>
        <w:adjustRightInd/>
        <w:snapToGrid/>
      </w:pPr>
      <w:r>
        <w:t>26.</w:t>
      </w:r>
      <w:r>
        <w:tab/>
      </w:r>
      <w:r w:rsidR="00225F6D" w:rsidRPr="00225F6D">
        <w:t xml:space="preserve">State’s duty to protect human rights includes protecting against human rights abuses involving </w:t>
      </w:r>
      <w:r w:rsidR="00787E78" w:rsidRPr="00787E78">
        <w:t>business enterprises</w:t>
      </w:r>
      <w:r w:rsidR="00225F6D" w:rsidRPr="00225F6D">
        <w:t>, as reaffirmed in the UN Guiding Principles on Business and Human Rights</w:t>
      </w:r>
      <w:r w:rsidR="00D52CCE">
        <w:t>, the leading framework for the responsibilities of companies in preventing and mitigating adverse impacts to human rights</w:t>
      </w:r>
      <w:r w:rsidR="009C6B79">
        <w:t>.</w:t>
      </w:r>
    </w:p>
    <w:p w14:paraId="59CB75FD" w14:textId="72A7517A" w:rsidR="5B9C88E8" w:rsidRDefault="006B4308" w:rsidP="006B4308">
      <w:pPr>
        <w:pStyle w:val="SingleTxtG"/>
        <w:tabs>
          <w:tab w:val="left" w:pos="1701"/>
        </w:tabs>
        <w:suppressAutoHyphens w:val="0"/>
        <w:kinsoku/>
        <w:overflowPunct/>
        <w:autoSpaceDE/>
        <w:autoSpaceDN/>
        <w:adjustRightInd/>
        <w:snapToGrid/>
      </w:pPr>
      <w:r>
        <w:t>27.</w:t>
      </w:r>
      <w:r>
        <w:tab/>
      </w:r>
      <w:r w:rsidR="00A07341">
        <w:t xml:space="preserve">Pursuant to Principle 12 and its commentary, </w:t>
      </w:r>
      <w:r w:rsidR="00853040" w:rsidRPr="00787E78">
        <w:t>business enterprises</w:t>
      </w:r>
      <w:r w:rsidR="00853040">
        <w:t xml:space="preserve"> </w:t>
      </w:r>
      <w:r w:rsidR="00A07341">
        <w:t xml:space="preserve">have a responsibility to respect all internationally recognized human rights, </w:t>
      </w:r>
      <w:r w:rsidR="0035784C">
        <w:t xml:space="preserve">including </w:t>
      </w:r>
      <w:r w:rsidR="00A07341">
        <w:t xml:space="preserve">the human rights of individuals belonging to specific groups or populations that require particular attention, such as persons with disabilities. </w:t>
      </w:r>
      <w:r w:rsidR="00613000">
        <w:t>T</w:t>
      </w:r>
      <w:r w:rsidR="3734BB54">
        <w:t xml:space="preserve">echnology companies </w:t>
      </w:r>
      <w:r w:rsidR="00E23797">
        <w:t xml:space="preserve">should </w:t>
      </w:r>
      <w:r w:rsidR="52C0746A">
        <w:t>anticipate,</w:t>
      </w:r>
      <w:r w:rsidR="3734BB54">
        <w:t xml:space="preserve"> and address harms related to the use of their products and services</w:t>
      </w:r>
      <w:r w:rsidR="002B032F">
        <w:t xml:space="preserve">. </w:t>
      </w:r>
      <w:r w:rsidR="36E9369F">
        <w:t xml:space="preserve">This corporate </w:t>
      </w:r>
      <w:r w:rsidR="001246B8">
        <w:t>responsibility</w:t>
      </w:r>
      <w:r w:rsidR="36E9369F">
        <w:t xml:space="preserve"> to respect human rights requires business enterprise</w:t>
      </w:r>
      <w:r w:rsidR="2505C99C">
        <w:t>s to make a policy commitment to respect human rights, carry out human rights due diligence and provide remediation or cooperate in remediati</w:t>
      </w:r>
      <w:r w:rsidR="19686ACC">
        <w:t>on of abuse where the company identifies</w:t>
      </w:r>
      <w:r w:rsidR="00D27908">
        <w:t xml:space="preserve"> to have caused </w:t>
      </w:r>
      <w:r w:rsidR="000E3BEE">
        <w:t>or contributed to</w:t>
      </w:r>
      <w:r w:rsidR="19686ACC">
        <w:t xml:space="preserve"> adverse impacts</w:t>
      </w:r>
      <w:r w:rsidR="000E3BEE">
        <w:t>.</w:t>
      </w:r>
      <w:r w:rsidR="00A07341" w:rsidRPr="001246B8">
        <w:rPr>
          <w:rStyle w:val="FootnoteReference"/>
        </w:rPr>
        <w:footnoteReference w:id="37"/>
      </w:r>
      <w:r w:rsidR="19686ACC" w:rsidRPr="001246B8">
        <w:rPr>
          <w:rStyle w:val="FootnoteReference"/>
        </w:rPr>
        <w:t>.</w:t>
      </w:r>
    </w:p>
    <w:p w14:paraId="71BA1722" w14:textId="5597A804" w:rsidR="004B5B6D" w:rsidRPr="00737421" w:rsidRDefault="006B4308" w:rsidP="006B4308">
      <w:pPr>
        <w:pStyle w:val="SingleTxtG"/>
        <w:tabs>
          <w:tab w:val="left" w:pos="1701"/>
        </w:tabs>
        <w:suppressAutoHyphens w:val="0"/>
        <w:kinsoku/>
        <w:overflowPunct/>
        <w:autoSpaceDE/>
        <w:autoSpaceDN/>
        <w:adjustRightInd/>
        <w:snapToGrid/>
        <w:rPr>
          <w:rFonts w:eastAsia="Times New Roman"/>
        </w:rPr>
      </w:pPr>
      <w:r>
        <w:t>28.</w:t>
      </w:r>
      <w:r>
        <w:tab/>
      </w:r>
      <w:r w:rsidR="003C6664">
        <w:t>OHCHR’s B-</w:t>
      </w:r>
      <w:r w:rsidR="00777AFC">
        <w:t>T</w:t>
      </w:r>
      <w:r w:rsidR="003C6664">
        <w:t xml:space="preserve">ech Project provides </w:t>
      </w:r>
      <w:r w:rsidR="00777AFC">
        <w:t xml:space="preserve">further </w:t>
      </w:r>
      <w:r w:rsidR="003C6664" w:rsidRPr="002B032F">
        <w:t xml:space="preserve">guidance to </w:t>
      </w:r>
      <w:r w:rsidR="00B408AC" w:rsidRPr="002B032F">
        <w:t xml:space="preserve">States duties and </w:t>
      </w:r>
      <w:r w:rsidR="009E0BAC" w:rsidRPr="002B032F">
        <w:t>business enterprises</w:t>
      </w:r>
      <w:r w:rsidR="00B408AC" w:rsidRPr="002B032F">
        <w:t>’ responsibilities in the technology space</w:t>
      </w:r>
      <w:r w:rsidR="00A07341" w:rsidRPr="002B032F">
        <w:t>.</w:t>
      </w:r>
      <w:r w:rsidR="00A07341" w:rsidRPr="002B032F">
        <w:rPr>
          <w:rStyle w:val="FootnoteReference"/>
        </w:rPr>
        <w:footnoteReference w:id="38"/>
      </w:r>
      <w:r w:rsidR="00A07341" w:rsidRPr="002B032F">
        <w:t xml:space="preserve"> Pursuant to the </w:t>
      </w:r>
      <w:r w:rsidR="00751AF0" w:rsidRPr="002B032F">
        <w:t>UN Guiding Principles</w:t>
      </w:r>
      <w:r w:rsidR="00A07341" w:rsidRPr="002B032F">
        <w:t xml:space="preserve"> and corresponding B-Tech guidance, </w:t>
      </w:r>
      <w:r w:rsidR="009E0BAC" w:rsidRPr="002B032F">
        <w:t xml:space="preserve">business enterprises </w:t>
      </w:r>
      <w:r w:rsidR="00A07341" w:rsidRPr="002B032F">
        <w:t>should</w:t>
      </w:r>
      <w:r w:rsidR="00A07341">
        <w:t xml:space="preserve"> take a principled approach to identifying and addressing risks to human rights and should engage in robust human rights due diligence to identify, prevent, or mitigate risks of harmful impact. </w:t>
      </w:r>
      <w:r w:rsidR="667608BE">
        <w:t>H</w:t>
      </w:r>
      <w:r w:rsidR="667608BE" w:rsidRPr="001246B8">
        <w:rPr>
          <w:rFonts w:eastAsia="Times New Roman"/>
        </w:rPr>
        <w:t xml:space="preserve">uman rights due diligence </w:t>
      </w:r>
      <w:r w:rsidR="4737E95C" w:rsidRPr="001246B8">
        <w:rPr>
          <w:rFonts w:eastAsia="Times New Roman"/>
        </w:rPr>
        <w:t>should draw on external expertise and involve “meaningful consultation with potentially affected” stakeholders</w:t>
      </w:r>
      <w:r w:rsidR="7F95FD3B" w:rsidRPr="001246B8">
        <w:rPr>
          <w:rFonts w:eastAsia="Times New Roman"/>
        </w:rPr>
        <w:t xml:space="preserve"> (UNGP Principle 18)</w:t>
      </w:r>
      <w:r w:rsidR="26F749C7" w:rsidRPr="77CA6A2C">
        <w:rPr>
          <w:rFonts w:eastAsia="Times New Roman"/>
        </w:rPr>
        <w:t xml:space="preserve">, in this case, persons with disabilities and their representative </w:t>
      </w:r>
      <w:r w:rsidR="26F749C7" w:rsidRPr="00737421">
        <w:rPr>
          <w:rFonts w:eastAsia="Times New Roman"/>
        </w:rPr>
        <w:t>organizations</w:t>
      </w:r>
      <w:r w:rsidR="4737E95C" w:rsidRPr="00737421">
        <w:rPr>
          <w:rFonts w:eastAsia="Times New Roman"/>
        </w:rPr>
        <w:t>.</w:t>
      </w:r>
      <w:r w:rsidR="00B408AC" w:rsidRPr="00737421">
        <w:rPr>
          <w:rFonts w:eastAsia="Times New Roman"/>
        </w:rPr>
        <w:t xml:space="preserve"> </w:t>
      </w:r>
      <w:r w:rsidR="00B408AC" w:rsidRPr="00737421">
        <w:t>States should apply a “</w:t>
      </w:r>
      <w:proofErr w:type="gramStart"/>
      <w:r w:rsidR="00B408AC" w:rsidRPr="00737421">
        <w:t>smart-mix</w:t>
      </w:r>
      <w:proofErr w:type="gramEnd"/>
      <w:r w:rsidR="00B408AC" w:rsidRPr="00737421">
        <w:t xml:space="preserve">” of the regulatory and policy measures available to them to protect against human rights harms related to the products and services of </w:t>
      </w:r>
      <w:r w:rsidR="000207E8" w:rsidRPr="00737421">
        <w:t>business enterprises and non-state actors</w:t>
      </w:r>
      <w:r w:rsidR="00B408AC" w:rsidRPr="00737421">
        <w:t>, including regulatory measures and accompanying guidance, incentives, and transparency requirements.</w:t>
      </w:r>
    </w:p>
    <w:p w14:paraId="6F014CFE" w14:textId="27BC7C94" w:rsidR="00C130EB" w:rsidRPr="00624700" w:rsidRDefault="007C6FF1" w:rsidP="007C6FF1">
      <w:pPr>
        <w:pStyle w:val="HChG"/>
        <w:tabs>
          <w:tab w:val="left" w:pos="1701"/>
        </w:tabs>
        <w:outlineLvl w:val="1"/>
      </w:pPr>
      <w:r>
        <w:lastRenderedPageBreak/>
        <w:tab/>
        <w:t>IV.</w:t>
      </w:r>
      <w:r>
        <w:tab/>
      </w:r>
      <w:r w:rsidR="00C130EB" w:rsidRPr="00624700">
        <w:t>Recent trends and challenges</w:t>
      </w:r>
    </w:p>
    <w:p w14:paraId="53DF6017" w14:textId="4EF03996" w:rsidR="00097D2C" w:rsidRDefault="006B4308" w:rsidP="006B4308">
      <w:pPr>
        <w:pStyle w:val="SingleTxtG"/>
        <w:tabs>
          <w:tab w:val="left" w:pos="1701"/>
        </w:tabs>
        <w:suppressAutoHyphens w:val="0"/>
        <w:kinsoku/>
        <w:overflowPunct/>
        <w:autoSpaceDE/>
        <w:autoSpaceDN/>
        <w:adjustRightInd/>
        <w:snapToGrid/>
      </w:pPr>
      <w:r>
        <w:t>29.</w:t>
      </w:r>
      <w:r>
        <w:tab/>
      </w:r>
      <w:r w:rsidR="00383A12">
        <w:t>B</w:t>
      </w:r>
      <w:r w:rsidR="00C130EB">
        <w:t xml:space="preserve">asic services, including those relating to education, healthcare, banking and social services, </w:t>
      </w:r>
      <w:r w:rsidR="00383A12">
        <w:t>were increasingly digitized</w:t>
      </w:r>
      <w:r w:rsidR="003B4A74">
        <w:t xml:space="preserve"> </w:t>
      </w:r>
      <w:r w:rsidR="00777AFC">
        <w:t>during the Covid-19 pandemic</w:t>
      </w:r>
      <w:r w:rsidR="00613000">
        <w:t>.</w:t>
      </w:r>
      <w:r w:rsidR="00777AFC">
        <w:rPr>
          <w:rStyle w:val="FootnoteReference"/>
        </w:rPr>
        <w:footnoteReference w:id="39"/>
      </w:r>
      <w:r w:rsidR="0058167D">
        <w:t xml:space="preserve"> </w:t>
      </w:r>
      <w:r w:rsidR="00613000">
        <w:t xml:space="preserve">While this may </w:t>
      </w:r>
      <w:r w:rsidR="0058167D">
        <w:t>offer particular benefit and empowerment to persons with disabilities</w:t>
      </w:r>
      <w:r w:rsidR="00613000">
        <w:t>,</w:t>
      </w:r>
      <w:r w:rsidR="00B839A4" w:rsidRPr="00097D2C">
        <w:rPr>
          <w:sz w:val="18"/>
          <w:szCs w:val="18"/>
          <w:vertAlign w:val="superscript"/>
        </w:rPr>
        <w:t xml:space="preserve"> </w:t>
      </w:r>
      <w:r w:rsidR="00B839A4" w:rsidRPr="00B839A4">
        <w:rPr>
          <w:vertAlign w:val="superscript"/>
        </w:rPr>
        <w:footnoteReference w:id="40"/>
      </w:r>
      <w:r w:rsidR="00B839A4">
        <w:t xml:space="preserve"> </w:t>
      </w:r>
      <w:r w:rsidR="00613000">
        <w:t>t</w:t>
      </w:r>
      <w:r w:rsidR="001D3BF2">
        <w:t>his</w:t>
      </w:r>
      <w:r w:rsidR="0058167D">
        <w:t xml:space="preserve"> also </w:t>
      </w:r>
      <w:r w:rsidR="001D3BF2">
        <w:t xml:space="preserve">carries the </w:t>
      </w:r>
      <w:r w:rsidR="00697CBA">
        <w:t xml:space="preserve">risk </w:t>
      </w:r>
      <w:r w:rsidR="001D3BF2">
        <w:t>of</w:t>
      </w:r>
      <w:r w:rsidR="00777AFC">
        <w:t xml:space="preserve"> increase</w:t>
      </w:r>
      <w:r w:rsidR="001D3BF2">
        <w:t>d</w:t>
      </w:r>
      <w:r w:rsidR="00777AFC">
        <w:t xml:space="preserve"> exposure of vulnerable individuals and groups to cyberbullying and other forms of abuse</w:t>
      </w:r>
      <w:r w:rsidR="0058167D">
        <w:t xml:space="preserve">. </w:t>
      </w:r>
      <w:r w:rsidR="00097D2C" w:rsidRPr="00097D2C">
        <w:t>Alongside this rise in reliance on digitized services, cyberbullying occurs against a complex landscape of trends and challenges set out in the following.</w:t>
      </w:r>
    </w:p>
    <w:p w14:paraId="3D815D30" w14:textId="67014393" w:rsidR="006048D2"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A.</w:t>
      </w:r>
      <w:r>
        <w:rPr>
          <w:rFonts w:eastAsia="SimSun"/>
          <w:lang w:eastAsia="zh-CN"/>
        </w:rPr>
        <w:tab/>
      </w:r>
      <w:r w:rsidR="00B860FF" w:rsidRPr="00624700">
        <w:rPr>
          <w:rFonts w:eastAsia="SimSun"/>
          <w:lang w:eastAsia="zh-CN"/>
        </w:rPr>
        <w:t>Limited awareness of the specific impacts</w:t>
      </w:r>
      <w:r w:rsidR="00DB2C6A" w:rsidRPr="00624700">
        <w:rPr>
          <w:rFonts w:eastAsia="SimSun"/>
          <w:lang w:eastAsia="zh-CN"/>
        </w:rPr>
        <w:t xml:space="preserve"> of cyberbullying on persons with disabilities, their rights and needs</w:t>
      </w:r>
    </w:p>
    <w:p w14:paraId="4311D6EB" w14:textId="3ED10006" w:rsidR="008177DD" w:rsidRDefault="006B4308" w:rsidP="006B4308">
      <w:pPr>
        <w:pStyle w:val="SingleTxtG"/>
        <w:tabs>
          <w:tab w:val="left" w:pos="1701"/>
        </w:tabs>
        <w:suppressAutoHyphens w:val="0"/>
        <w:kinsoku/>
        <w:overflowPunct/>
        <w:autoSpaceDE/>
        <w:autoSpaceDN/>
        <w:adjustRightInd/>
        <w:snapToGrid/>
      </w:pPr>
      <w:r>
        <w:t>30.</w:t>
      </w:r>
      <w:r>
        <w:tab/>
      </w:r>
      <w:r w:rsidR="008177DD">
        <w:t>Emerging research on countering cyberbullying often fails to consider the specific experiences of persons with disabilities in digital spaces, along with their unique needs.</w:t>
      </w:r>
      <w:r w:rsidR="008177DD">
        <w:rPr>
          <w:rStyle w:val="FootnoteReference"/>
        </w:rPr>
        <w:footnoteReference w:id="41"/>
      </w:r>
      <w:r w:rsidR="008177DD">
        <w:t xml:space="preserve"> In particular, there is a dearth of disaggregated data reflecting the prevalence of cyberbullying against persons with disabilities, </w:t>
      </w:r>
      <w:r w:rsidR="00C32F9A">
        <w:t>and</w:t>
      </w:r>
      <w:r w:rsidR="008177DD">
        <w:t xml:space="preserve"> the social, physical, and mental health consequences it precipitates.</w:t>
      </w:r>
      <w:r w:rsidR="008177DD">
        <w:rPr>
          <w:rStyle w:val="FootnoteReference"/>
        </w:rPr>
        <w:footnoteReference w:id="42"/>
      </w:r>
      <w:r w:rsidR="008177DD">
        <w:t xml:space="preserve"> </w:t>
      </w:r>
      <w:r w:rsidR="00F27C03">
        <w:t>T</w:t>
      </w:r>
      <w:r w:rsidR="008177DD">
        <w:t>he limited data that exist</w:t>
      </w:r>
      <w:r w:rsidR="008D270B">
        <w:t>s</w:t>
      </w:r>
      <w:r w:rsidR="008177DD">
        <w:t xml:space="preserve"> focuse</w:t>
      </w:r>
      <w:r w:rsidR="008D270B">
        <w:t>s</w:t>
      </w:r>
      <w:r w:rsidR="008177DD">
        <w:t xml:space="preserve"> on children, despite the fact that</w:t>
      </w:r>
      <w:r w:rsidR="00F83BC8">
        <w:t xml:space="preserve"> </w:t>
      </w:r>
      <w:r w:rsidR="008177DD">
        <w:t>persons of all ages</w:t>
      </w:r>
      <w:r w:rsidR="00C51E1E">
        <w:t xml:space="preserve"> are targeted</w:t>
      </w:r>
      <w:r w:rsidR="008177DD">
        <w:t xml:space="preserve">. </w:t>
      </w:r>
      <w:r w:rsidR="0083747F">
        <w:t xml:space="preserve">It is worth recalling that Article 31 of the </w:t>
      </w:r>
      <w:r w:rsidR="001111D9">
        <w:t>CRPD</w:t>
      </w:r>
      <w:r w:rsidR="0083747F">
        <w:t xml:space="preserve"> requires States to collect appropriate information, including disaggregated data, to give effect to the </w:t>
      </w:r>
      <w:r w:rsidR="00751AF0">
        <w:t>Convention’s</w:t>
      </w:r>
      <w:r w:rsidR="0083747F">
        <w:t xml:space="preserve"> provisions, and to identify and address the barriers faced by persons with disabilities in exercising their rights.</w:t>
      </w:r>
      <w:r w:rsidR="00F27C03">
        <w:rPr>
          <w:rStyle w:val="FootnoteReference"/>
        </w:rPr>
        <w:footnoteReference w:id="43"/>
      </w:r>
    </w:p>
    <w:p w14:paraId="50B58A86" w14:textId="39CEB432" w:rsidR="00D02A7E" w:rsidRDefault="006B4308" w:rsidP="006B4308">
      <w:pPr>
        <w:pStyle w:val="SingleTxtG"/>
        <w:tabs>
          <w:tab w:val="left" w:pos="1701"/>
        </w:tabs>
        <w:suppressAutoHyphens w:val="0"/>
        <w:kinsoku/>
        <w:overflowPunct/>
        <w:autoSpaceDE/>
        <w:autoSpaceDN/>
        <w:adjustRightInd/>
        <w:snapToGrid/>
      </w:pPr>
      <w:r>
        <w:t>31.</w:t>
      </w:r>
      <w:r>
        <w:tab/>
      </w:r>
      <w:r w:rsidR="00A16CEA" w:rsidRPr="00A16CEA">
        <w:t xml:space="preserve">Persons with </w:t>
      </w:r>
      <w:r w:rsidR="00A16CEA" w:rsidRPr="00A16CEA">
        <w:rPr>
          <w:lang w:val="en-US"/>
        </w:rPr>
        <w:t xml:space="preserve">disabilities can be both perpetrators and victims of </w:t>
      </w:r>
      <w:r w:rsidR="00697CBA" w:rsidRPr="00A16CEA">
        <w:rPr>
          <w:lang w:val="en-US"/>
        </w:rPr>
        <w:t>cyberbullying and</w:t>
      </w:r>
      <w:r w:rsidR="00A16CEA" w:rsidRPr="00A16CEA">
        <w:rPr>
          <w:lang w:val="en-US"/>
        </w:rPr>
        <w:t xml:space="preserve"> </w:t>
      </w:r>
      <w:r w:rsidR="00FB293E">
        <w:rPr>
          <w:lang w:val="en-US"/>
        </w:rPr>
        <w:t xml:space="preserve">may </w:t>
      </w:r>
      <w:r w:rsidR="00A16CEA" w:rsidRPr="00A16CEA">
        <w:rPr>
          <w:lang w:val="en-US"/>
        </w:rPr>
        <w:t xml:space="preserve">require support in both </w:t>
      </w:r>
      <w:r w:rsidR="00A16CEA" w:rsidRPr="00624700">
        <w:t>circumstances</w:t>
      </w:r>
      <w:r w:rsidR="00FB293E">
        <w:rPr>
          <w:lang w:val="en-US"/>
        </w:rPr>
        <w:t xml:space="preserve">, as </w:t>
      </w:r>
      <w:r w:rsidR="00802065">
        <w:rPr>
          <w:lang w:val="en-US"/>
        </w:rPr>
        <w:t xml:space="preserve">evidence suggests that perpetrators of cyberbullying are often victims </w:t>
      </w:r>
      <w:r w:rsidR="00AC063A">
        <w:rPr>
          <w:lang w:val="en-US"/>
        </w:rPr>
        <w:t>themselves.</w:t>
      </w:r>
      <w:r w:rsidR="00802065">
        <w:rPr>
          <w:rStyle w:val="FootnoteReference"/>
          <w:lang w:val="en-US"/>
        </w:rPr>
        <w:footnoteReference w:id="44"/>
      </w:r>
      <w:r w:rsidR="00802065">
        <w:rPr>
          <w:lang w:val="en-US"/>
        </w:rPr>
        <w:t xml:space="preserve"> Persons with disabilities</w:t>
      </w:r>
      <w:r w:rsidR="00A16CEA">
        <w:rPr>
          <w:lang w:val="en-US"/>
        </w:rPr>
        <w:t xml:space="preserve"> can also be witnesses to cyberbullying, an experience that can be perceived as particularly stressful for persons with some forms of disability.</w:t>
      </w:r>
      <w:r w:rsidR="00A16CEA">
        <w:rPr>
          <w:rStyle w:val="FootnoteReference"/>
          <w:lang w:val="en-US"/>
        </w:rPr>
        <w:footnoteReference w:id="45"/>
      </w:r>
      <w:r w:rsidR="00A16CEA">
        <w:rPr>
          <w:lang w:val="en-US"/>
        </w:rPr>
        <w:t xml:space="preserve"> </w:t>
      </w:r>
      <w:r w:rsidR="001C79C8">
        <w:t>W</w:t>
      </w:r>
      <w:r w:rsidR="00ED182B">
        <w:t xml:space="preserve">hile </w:t>
      </w:r>
      <w:r w:rsidR="00E62479">
        <w:t xml:space="preserve">some </w:t>
      </w:r>
      <w:r w:rsidR="00ED182B">
        <w:t xml:space="preserve">persons </w:t>
      </w:r>
      <w:r w:rsidR="00E62479">
        <w:t>with</w:t>
      </w:r>
      <w:r w:rsidR="00ED182B">
        <w:t xml:space="preserve"> disabilit</w:t>
      </w:r>
      <w:r w:rsidR="00E62479">
        <w:t>ies</w:t>
      </w:r>
      <w:r w:rsidR="00ED182B">
        <w:t xml:space="preserve"> face barriers that inhibit their access to digital spaces, others </w:t>
      </w:r>
      <w:r w:rsidR="00E62479">
        <w:t>use</w:t>
      </w:r>
      <w:r w:rsidR="00ED182B">
        <w:t xml:space="preserve"> technology</w:t>
      </w:r>
      <w:r w:rsidR="00E62479">
        <w:t xml:space="preserve"> as support</w:t>
      </w:r>
      <w:r w:rsidR="00F21E09">
        <w:t>, including to live independently</w:t>
      </w:r>
      <w:r w:rsidR="00ED182B">
        <w:t xml:space="preserve">, spending </w:t>
      </w:r>
      <w:r w:rsidR="00F27C03">
        <w:t>greater amounts</w:t>
      </w:r>
      <w:r w:rsidR="00ED182B">
        <w:t xml:space="preserve"> of time online</w:t>
      </w:r>
      <w:r w:rsidR="00F27C03">
        <w:t xml:space="preserve"> than their peers</w:t>
      </w:r>
      <w:r w:rsidR="00ED182B">
        <w:t>.</w:t>
      </w:r>
      <w:r w:rsidR="00ED182B">
        <w:rPr>
          <w:rStyle w:val="FootnoteReference"/>
        </w:rPr>
        <w:footnoteReference w:id="46"/>
      </w:r>
      <w:r w:rsidR="00ED182B">
        <w:t xml:space="preserve"> </w:t>
      </w:r>
      <w:r w:rsidR="00F27C03">
        <w:t>Persons with disabilities</w:t>
      </w:r>
      <w:r w:rsidR="00952FF5">
        <w:t xml:space="preserve"> </w:t>
      </w:r>
      <w:r w:rsidR="002D7260">
        <w:t>must have</w:t>
      </w:r>
      <w:r w:rsidR="00952FF5">
        <w:t xml:space="preserve"> access</w:t>
      </w:r>
      <w:r w:rsidR="002D7260">
        <w:t xml:space="preserve"> to</w:t>
      </w:r>
      <w:r w:rsidR="00952FF5">
        <w:t xml:space="preserve"> information </w:t>
      </w:r>
      <w:r w:rsidR="00E62479">
        <w:t xml:space="preserve">in accessible formats and languages </w:t>
      </w:r>
      <w:r w:rsidR="00952FF5">
        <w:t xml:space="preserve">that </w:t>
      </w:r>
      <w:r w:rsidR="00E62479">
        <w:t xml:space="preserve">are </w:t>
      </w:r>
      <w:r w:rsidR="00952FF5">
        <w:t xml:space="preserve">critical to </w:t>
      </w:r>
      <w:r w:rsidR="00F80FF2">
        <w:t xml:space="preserve">their </w:t>
      </w:r>
      <w:r w:rsidR="00952FF5">
        <w:t>social, political, and economic</w:t>
      </w:r>
      <w:r w:rsidR="00F80FF2">
        <w:t xml:space="preserve"> participation</w:t>
      </w:r>
      <w:r w:rsidR="002E6F87">
        <w:t xml:space="preserve"> in order</w:t>
      </w:r>
      <w:r w:rsidR="00F80FF2">
        <w:t xml:space="preserve"> to </w:t>
      </w:r>
      <w:r w:rsidR="00F27C03">
        <w:t>dismantle</w:t>
      </w:r>
      <w:r w:rsidR="00F80FF2">
        <w:t xml:space="preserve"> structural barriers that contribute to their exclusion.</w:t>
      </w:r>
      <w:r w:rsidR="00F80FF2">
        <w:rPr>
          <w:rStyle w:val="FootnoteReference"/>
        </w:rPr>
        <w:footnoteReference w:id="47"/>
      </w:r>
      <w:r w:rsidR="00952FF5">
        <w:t xml:space="preserve"> </w:t>
      </w:r>
      <w:r w:rsidR="008177DD">
        <w:t xml:space="preserve">Given the diversity </w:t>
      </w:r>
      <w:r w:rsidR="00E62479">
        <w:t xml:space="preserve">of </w:t>
      </w:r>
      <w:r w:rsidR="00662BDC">
        <w:t xml:space="preserve">impairments and support needs of </w:t>
      </w:r>
      <w:r w:rsidR="008177DD">
        <w:t>persons with disabilities</w:t>
      </w:r>
      <w:r w:rsidR="002D7174">
        <w:t>,</w:t>
      </w:r>
      <w:r w:rsidR="008177DD">
        <w:t xml:space="preserve"> our knowledge of the extent and nature of cyberbullying against this community remains woefully nascent.</w:t>
      </w:r>
      <w:r w:rsidR="00ED182B">
        <w:t xml:space="preserve"> </w:t>
      </w:r>
    </w:p>
    <w:p w14:paraId="76119698" w14:textId="69B2CA4D" w:rsidR="00AC02F3" w:rsidRPr="008177DD" w:rsidRDefault="006B4308" w:rsidP="006B4308">
      <w:pPr>
        <w:pStyle w:val="SingleTxtG"/>
        <w:tabs>
          <w:tab w:val="left" w:pos="1701"/>
        </w:tabs>
        <w:suppressAutoHyphens w:val="0"/>
        <w:kinsoku/>
        <w:overflowPunct/>
        <w:autoSpaceDE/>
        <w:autoSpaceDN/>
        <w:adjustRightInd/>
        <w:snapToGrid/>
      </w:pPr>
      <w:r>
        <w:t>32.</w:t>
      </w:r>
      <w:r>
        <w:tab/>
      </w:r>
      <w:r w:rsidR="00582AB8">
        <w:t>The</w:t>
      </w:r>
      <w:r w:rsidR="008177DD">
        <w:t xml:space="preserve"> lack of awareness </w:t>
      </w:r>
      <w:r w:rsidR="00686790">
        <w:t xml:space="preserve">of </w:t>
      </w:r>
      <w:r w:rsidR="008177DD">
        <w:t xml:space="preserve">cyberbullying through the lens of disability </w:t>
      </w:r>
      <w:r w:rsidR="00A051B9">
        <w:t>affects</w:t>
      </w:r>
      <w:r w:rsidR="008177DD">
        <w:t xml:space="preserve"> initiatives aimed at mitigation and response. While resources on countering cyberbullying </w:t>
      </w:r>
      <w:r w:rsidR="0019778C">
        <w:t>remain</w:t>
      </w:r>
      <w:r w:rsidR="008177DD">
        <w:t xml:space="preserve"> limited, they are even more scarce in formats accessible to persons with disabilities.</w:t>
      </w:r>
      <w:r w:rsidR="008177DD">
        <w:rPr>
          <w:rStyle w:val="FootnoteReference"/>
        </w:rPr>
        <w:footnoteReference w:id="48"/>
      </w:r>
      <w:r w:rsidR="00C206FA">
        <w:t xml:space="preserve"> Resource constraints</w:t>
      </w:r>
      <w:r w:rsidR="000A6CDD">
        <w:t xml:space="preserve"> often</w:t>
      </w:r>
      <w:r w:rsidR="00C206FA">
        <w:t xml:space="preserve"> inhibit the development of materials in accessible formats for an array of needs. </w:t>
      </w:r>
      <w:r w:rsidR="003914B3">
        <w:t>W</w:t>
      </w:r>
      <w:r w:rsidR="008177DD">
        <w:t>hen campaigns are developed to prevent and address cyberbullying in formats that are inaccessible to persons with disabilities, they exclude</w:t>
      </w:r>
      <w:r w:rsidR="000A6CDD">
        <w:t xml:space="preserve"> some of</w:t>
      </w:r>
      <w:r w:rsidR="008177DD">
        <w:t xml:space="preserve"> </w:t>
      </w:r>
      <w:r w:rsidR="008372E5">
        <w:t>their</w:t>
      </w:r>
      <w:r w:rsidR="008177DD">
        <w:t xml:space="preserve"> most </w:t>
      </w:r>
      <w:r w:rsidR="008177DD">
        <w:lastRenderedPageBreak/>
        <w:t>critical audiences.</w:t>
      </w:r>
      <w:r w:rsidR="008177DD">
        <w:rPr>
          <w:rStyle w:val="FootnoteReference"/>
        </w:rPr>
        <w:footnoteReference w:id="49"/>
      </w:r>
      <w:r w:rsidR="00CA56EE">
        <w:t xml:space="preserve"> </w:t>
      </w:r>
      <w:r w:rsidR="00E9683C">
        <w:t xml:space="preserve">Ensuring the participation of persons with disabilities </w:t>
      </w:r>
      <w:r w:rsidR="00EF6049">
        <w:t xml:space="preserve">and their representative organisations </w:t>
      </w:r>
      <w:r w:rsidR="00E9683C">
        <w:t>in the development of interventions and policies that affect them ensure</w:t>
      </w:r>
      <w:r w:rsidR="00C04150">
        <w:t>s</w:t>
      </w:r>
      <w:r w:rsidR="00E9683C">
        <w:t xml:space="preserve"> that those policies are respons</w:t>
      </w:r>
      <w:r w:rsidR="00582AB8">
        <w:t>iv</w:t>
      </w:r>
      <w:r w:rsidR="00E9683C">
        <w:t>e to their needs.</w:t>
      </w:r>
    </w:p>
    <w:p w14:paraId="122237A0" w14:textId="0503F783" w:rsidR="00D02A7E"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B.</w:t>
      </w:r>
      <w:r>
        <w:rPr>
          <w:rFonts w:eastAsia="SimSun"/>
          <w:lang w:eastAsia="zh-CN"/>
        </w:rPr>
        <w:tab/>
      </w:r>
      <w:r w:rsidR="00D02A7E" w:rsidRPr="00624700">
        <w:rPr>
          <w:rFonts w:eastAsia="SimSun"/>
          <w:lang w:eastAsia="zh-CN"/>
        </w:rPr>
        <w:t>Privacy</w:t>
      </w:r>
      <w:r w:rsidR="0034634D" w:rsidRPr="00624700">
        <w:rPr>
          <w:rFonts w:eastAsia="SimSun"/>
          <w:lang w:eastAsia="zh-CN"/>
        </w:rPr>
        <w:t xml:space="preserve"> and</w:t>
      </w:r>
      <w:r w:rsidR="00D02A7E" w:rsidRPr="00624700">
        <w:rPr>
          <w:rFonts w:eastAsia="SimSun"/>
          <w:lang w:eastAsia="zh-CN"/>
        </w:rPr>
        <w:t xml:space="preserve"> accommodations</w:t>
      </w:r>
    </w:p>
    <w:p w14:paraId="0710C03B" w14:textId="77334916" w:rsidR="00D02A7E" w:rsidRDefault="006B4308" w:rsidP="006B4308">
      <w:pPr>
        <w:pStyle w:val="SingleTxtG"/>
        <w:tabs>
          <w:tab w:val="left" w:pos="1701"/>
        </w:tabs>
        <w:suppressAutoHyphens w:val="0"/>
        <w:kinsoku/>
        <w:overflowPunct/>
        <w:autoSpaceDE/>
        <w:autoSpaceDN/>
        <w:adjustRightInd/>
        <w:snapToGrid/>
      </w:pPr>
      <w:r>
        <w:t>33.</w:t>
      </w:r>
      <w:r>
        <w:tab/>
      </w:r>
      <w:r w:rsidR="00AA2D49" w:rsidRPr="00AA2D49">
        <w:t>International human rights law, including the CRPD, recognizes the right of persons with disabilities to the privacy of their personal and health information</w:t>
      </w:r>
      <w:r w:rsidR="00961851">
        <w:t xml:space="preserve"> (</w:t>
      </w:r>
      <w:r w:rsidR="00AA22B6">
        <w:t>A</w:t>
      </w:r>
      <w:r w:rsidR="00961851">
        <w:t xml:space="preserve">rticle 22 CRPD) </w:t>
      </w:r>
      <w:r w:rsidR="00A611E4">
        <w:t xml:space="preserve">but they often face </w:t>
      </w:r>
      <w:r w:rsidR="000A6CDD">
        <w:t xml:space="preserve">difficult choices between </w:t>
      </w:r>
      <w:r w:rsidR="001B76BE">
        <w:t xml:space="preserve">using </w:t>
      </w:r>
      <w:r w:rsidR="00D02A7E">
        <w:t xml:space="preserve">assistive tools or accommodations that require or imply the disclosure of an impairment, and avoiding those tools to </w:t>
      </w:r>
      <w:r w:rsidR="000A6CDD">
        <w:t>avoid cyberbullying on the basis of disability</w:t>
      </w:r>
      <w:r w:rsidR="00D02A7E">
        <w:t>.</w:t>
      </w:r>
      <w:r w:rsidR="00D02A7E">
        <w:rPr>
          <w:rStyle w:val="FootnoteReference"/>
        </w:rPr>
        <w:footnoteReference w:id="50"/>
      </w:r>
      <w:r w:rsidR="00D02A7E">
        <w:t xml:space="preserve"> </w:t>
      </w:r>
      <w:r w:rsidR="0034634D">
        <w:t>A</w:t>
      </w:r>
      <w:r w:rsidR="00D02A7E">
        <w:t xml:space="preserve"> study led by the Council of Europe found that children unanimously avoided disclosing their disability online.</w:t>
      </w:r>
      <w:r w:rsidR="00D02A7E">
        <w:rPr>
          <w:rStyle w:val="FootnoteReference"/>
        </w:rPr>
        <w:footnoteReference w:id="51"/>
      </w:r>
      <w:r w:rsidR="00D02A7E">
        <w:t xml:space="preserve"> </w:t>
      </w:r>
      <w:r w:rsidR="006B3CFC">
        <w:t xml:space="preserve">Adults </w:t>
      </w:r>
      <w:r w:rsidR="00465ACE">
        <w:t xml:space="preserve">also </w:t>
      </w:r>
      <w:r w:rsidR="006B3CFC">
        <w:t xml:space="preserve">face difficult choices, finding it appropriate or necessary to disclose their disability in certain contexts, but simultaneously finding that </w:t>
      </w:r>
      <w:r w:rsidR="000A6CDD">
        <w:t xml:space="preserve">such disclosure </w:t>
      </w:r>
      <w:r w:rsidR="006B3CFC">
        <w:t>exposes them to significant risk in others.</w:t>
      </w:r>
    </w:p>
    <w:p w14:paraId="5493C3D3" w14:textId="043B037B" w:rsidR="008177DD"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C.</w:t>
      </w:r>
      <w:r>
        <w:rPr>
          <w:rFonts w:eastAsia="SimSun"/>
          <w:lang w:eastAsia="zh-CN"/>
        </w:rPr>
        <w:tab/>
      </w:r>
      <w:r w:rsidR="008177DD" w:rsidRPr="00624700">
        <w:rPr>
          <w:rFonts w:eastAsia="SimSun"/>
          <w:lang w:eastAsia="zh-CN"/>
        </w:rPr>
        <w:t>Technology-facilitated sexual and gender-based violence</w:t>
      </w:r>
    </w:p>
    <w:p w14:paraId="67F12427" w14:textId="06FFB4A0" w:rsidR="006D150B" w:rsidRDefault="006B4308" w:rsidP="006B4308">
      <w:pPr>
        <w:pStyle w:val="SingleTxtG"/>
        <w:tabs>
          <w:tab w:val="left" w:pos="1701"/>
        </w:tabs>
        <w:suppressAutoHyphens w:val="0"/>
        <w:kinsoku/>
        <w:overflowPunct/>
        <w:autoSpaceDE/>
        <w:autoSpaceDN/>
        <w:adjustRightInd/>
        <w:snapToGrid/>
      </w:pPr>
      <w:r>
        <w:t>34.</w:t>
      </w:r>
      <w:r>
        <w:tab/>
      </w:r>
      <w:r w:rsidR="00ED182B">
        <w:t>Among</w:t>
      </w:r>
      <w:r w:rsidR="00AC02F3">
        <w:t xml:space="preserve"> the dimensions of cyberbullying are its manifestations as sexual and gender-based violence. It can take the form of disseminating intimate or sexual images</w:t>
      </w:r>
      <w:r w:rsidR="000E11AA">
        <w:t xml:space="preserve"> or videos,</w:t>
      </w:r>
      <w:r w:rsidR="00AC02F3">
        <w:t xml:space="preserve"> </w:t>
      </w:r>
      <w:r w:rsidR="000E11AA">
        <w:t xml:space="preserve">violent threats, </w:t>
      </w:r>
      <w:r w:rsidR="00ED182B">
        <w:t xml:space="preserve">hate speech, </w:t>
      </w:r>
      <w:r w:rsidR="00AC02F3">
        <w:t>‘sexting’</w:t>
      </w:r>
      <w:r w:rsidR="00036BBE">
        <w:t>,</w:t>
      </w:r>
      <w:r w:rsidR="00AC02F3">
        <w:t xml:space="preserve"> </w:t>
      </w:r>
      <w:r w:rsidR="00ED182B">
        <w:t>‘sextortion’</w:t>
      </w:r>
      <w:r w:rsidR="00036BBE">
        <w:t>,</w:t>
      </w:r>
      <w:r w:rsidR="00ED182B">
        <w:t xml:space="preserve"> or the sharing of intimate media without consent, </w:t>
      </w:r>
      <w:r w:rsidR="000E11AA">
        <w:t>spreading offensive rumours,</w:t>
      </w:r>
      <w:r w:rsidR="00ED182B">
        <w:t xml:space="preserve"> </w:t>
      </w:r>
      <w:r w:rsidR="000E11AA">
        <w:t xml:space="preserve">impersonation, hacking, </w:t>
      </w:r>
      <w:proofErr w:type="spellStart"/>
      <w:r w:rsidR="000E11AA">
        <w:t>doxxing</w:t>
      </w:r>
      <w:proofErr w:type="spellEnd"/>
      <w:r w:rsidR="000E11AA">
        <w:t>, stalking, and</w:t>
      </w:r>
      <w:r w:rsidR="00AC02F3">
        <w:t xml:space="preserve"> </w:t>
      </w:r>
      <w:r w:rsidR="000E11AA">
        <w:t xml:space="preserve">sending </w:t>
      </w:r>
      <w:r w:rsidR="00AC02F3">
        <w:t xml:space="preserve">hostile comments that rise to the level of </w:t>
      </w:r>
      <w:r w:rsidR="000E11AA">
        <w:t xml:space="preserve">sexual </w:t>
      </w:r>
      <w:r w:rsidR="00AC02F3">
        <w:t>harassment and abuse.</w:t>
      </w:r>
      <w:r w:rsidR="00AC02F3">
        <w:rPr>
          <w:rStyle w:val="FootnoteReference"/>
        </w:rPr>
        <w:footnoteReference w:id="52"/>
      </w:r>
      <w:r w:rsidR="00AC02F3">
        <w:t xml:space="preserve"> </w:t>
      </w:r>
      <w:r w:rsidR="003A7E03">
        <w:t xml:space="preserve">A World Bank study </w:t>
      </w:r>
      <w:r w:rsidR="008A1D4C">
        <w:t>indicate</w:t>
      </w:r>
      <w:r w:rsidR="003A7E03">
        <w:t>s</w:t>
      </w:r>
      <w:r w:rsidR="008A1D4C">
        <w:t xml:space="preserve"> that </w:t>
      </w:r>
      <w:r w:rsidR="006D150B">
        <w:t xml:space="preserve">only </w:t>
      </w:r>
      <w:r w:rsidR="008A1D4C">
        <w:t>a small minority</w:t>
      </w:r>
      <w:r w:rsidR="006D150B">
        <w:t xml:space="preserve"> of </w:t>
      </w:r>
      <w:r w:rsidR="00435BC7">
        <w:t>States</w:t>
      </w:r>
      <w:r w:rsidR="006D150B">
        <w:t xml:space="preserve"> have established legal protections against cyber-sexual harassment</w:t>
      </w:r>
      <w:r w:rsidR="002A799B">
        <w:t>.</w:t>
      </w:r>
      <w:r w:rsidR="006D150B">
        <w:rPr>
          <w:rStyle w:val="FootnoteReference"/>
        </w:rPr>
        <w:footnoteReference w:id="53"/>
      </w:r>
      <w:r w:rsidR="006D150B">
        <w:t xml:space="preserve"> </w:t>
      </w:r>
    </w:p>
    <w:p w14:paraId="44765FD2" w14:textId="1214B3D4" w:rsidR="00B860FF" w:rsidRDefault="006B4308" w:rsidP="006B4308">
      <w:pPr>
        <w:pStyle w:val="SingleTxtG"/>
        <w:tabs>
          <w:tab w:val="left" w:pos="1701"/>
        </w:tabs>
        <w:suppressAutoHyphens w:val="0"/>
        <w:kinsoku/>
        <w:overflowPunct/>
        <w:autoSpaceDE/>
        <w:autoSpaceDN/>
        <w:adjustRightInd/>
        <w:snapToGrid/>
      </w:pPr>
      <w:r>
        <w:t>35.</w:t>
      </w:r>
      <w:r>
        <w:tab/>
      </w:r>
      <w:r w:rsidR="00ED182B">
        <w:t xml:space="preserve">Technology-facilitated sexual and gender-based violence </w:t>
      </w:r>
      <w:r w:rsidR="00AC02F3">
        <w:t xml:space="preserve">disproportionately impacts women and </w:t>
      </w:r>
      <w:r w:rsidR="00AC02F3" w:rsidRPr="00ED182B">
        <w:t>girls with disabilities</w:t>
      </w:r>
      <w:r w:rsidR="00ED182B" w:rsidRPr="00ED182B">
        <w:t xml:space="preserve">, alongside those who face other forms of intersectional discrimination </w:t>
      </w:r>
      <w:proofErr w:type="gramStart"/>
      <w:r w:rsidR="00ED182B" w:rsidRPr="00ED182B">
        <w:t>on the basis of</w:t>
      </w:r>
      <w:proofErr w:type="gramEnd"/>
      <w:r w:rsidR="00ED182B" w:rsidRPr="00ED182B">
        <w:t xml:space="preserve"> race, ethnicity, gender identity and expression, sexual orientation, and other factors</w:t>
      </w:r>
      <w:r w:rsidR="00AC02F3" w:rsidRPr="00ED182B">
        <w:t>.</w:t>
      </w:r>
      <w:r w:rsidR="000E11AA" w:rsidRPr="00ED182B">
        <w:rPr>
          <w:rStyle w:val="FootnoteReference"/>
        </w:rPr>
        <w:footnoteReference w:id="54"/>
      </w:r>
      <w:r w:rsidR="00AC02F3">
        <w:t xml:space="preserve">  </w:t>
      </w:r>
      <w:r w:rsidR="000E11AA">
        <w:t>These risks in online spaces mirror offline dynamics, where women and girls with disabilities face up to ten times more violence than those without.</w:t>
      </w:r>
      <w:r w:rsidR="000E11AA">
        <w:rPr>
          <w:rStyle w:val="FootnoteReference"/>
        </w:rPr>
        <w:footnoteReference w:id="55"/>
      </w:r>
      <w:r w:rsidR="00ED182B">
        <w:t xml:space="preserve"> </w:t>
      </w:r>
    </w:p>
    <w:p w14:paraId="3100BD01" w14:textId="780B814C" w:rsidR="00AC02F3" w:rsidRDefault="006B4308" w:rsidP="006B4308">
      <w:pPr>
        <w:pStyle w:val="SingleTxtG"/>
        <w:tabs>
          <w:tab w:val="left" w:pos="1701"/>
        </w:tabs>
        <w:suppressAutoHyphens w:val="0"/>
        <w:kinsoku/>
        <w:overflowPunct/>
        <w:autoSpaceDE/>
        <w:autoSpaceDN/>
        <w:adjustRightInd/>
        <w:snapToGrid/>
      </w:pPr>
      <w:r>
        <w:t>36.</w:t>
      </w:r>
      <w:r>
        <w:tab/>
      </w:r>
      <w:r w:rsidR="00435BC7">
        <w:t>T</w:t>
      </w:r>
      <w:r w:rsidR="00802065">
        <w:t>echnology-</w:t>
      </w:r>
      <w:r w:rsidR="00952FF5">
        <w:t>facilitated</w:t>
      </w:r>
      <w:r w:rsidR="00802065">
        <w:t xml:space="preserve"> sexual and gender-based violence </w:t>
      </w:r>
      <w:r w:rsidR="00435BC7">
        <w:t>may</w:t>
      </w:r>
      <w:r w:rsidR="007125B9">
        <w:t xml:space="preserve"> contribute to</w:t>
      </w:r>
      <w:r w:rsidR="00435BC7">
        <w:t xml:space="preserve"> </w:t>
      </w:r>
      <w:r w:rsidR="00952FF5">
        <w:t>violence and harm offline. In addition to causing mental and physical impacts for its victims, t</w:t>
      </w:r>
      <w:r w:rsidR="00AC02F3">
        <w:t xml:space="preserve">echnology-facilitated sexual and gender-based violence can </w:t>
      </w:r>
      <w:r w:rsidR="00952FF5">
        <w:t>fuel physical attacks</w:t>
      </w:r>
      <w:r w:rsidR="002A799B">
        <w:t>.</w:t>
      </w:r>
      <w:r w:rsidR="00AC02F3">
        <w:rPr>
          <w:rStyle w:val="FootnoteReference"/>
        </w:rPr>
        <w:footnoteReference w:id="56"/>
      </w:r>
      <w:r w:rsidR="00952FF5">
        <w:t xml:space="preserve"> </w:t>
      </w:r>
      <w:r w:rsidR="007A195B">
        <w:t xml:space="preserve">Indeed, some forms </w:t>
      </w:r>
      <w:r w:rsidR="00074A87">
        <w:t>of c</w:t>
      </w:r>
      <w:r w:rsidR="00BF01FE">
        <w:t>yberbullying</w:t>
      </w:r>
      <w:r w:rsidR="00435BC7">
        <w:t xml:space="preserve"> </w:t>
      </w:r>
      <w:r w:rsidR="008F348D">
        <w:t>constitute</w:t>
      </w:r>
      <w:r w:rsidR="00BF01FE">
        <w:t xml:space="preserve"> a form and continuation of sexual and gender-based violence.</w:t>
      </w:r>
      <w:r w:rsidR="008A1D4C">
        <w:t xml:space="preserve"> The failure to prevent and punish these violations implicates the responsibilities of States to address violence in all its forms.  </w:t>
      </w:r>
    </w:p>
    <w:p w14:paraId="0C28F2F1" w14:textId="06A9A401" w:rsidR="00AC02F3" w:rsidRDefault="006B4308" w:rsidP="006B4308">
      <w:pPr>
        <w:pStyle w:val="SingleTxtG"/>
        <w:tabs>
          <w:tab w:val="left" w:pos="1701"/>
        </w:tabs>
        <w:suppressAutoHyphens w:val="0"/>
        <w:kinsoku/>
        <w:overflowPunct/>
        <w:autoSpaceDE/>
        <w:autoSpaceDN/>
        <w:adjustRightInd/>
        <w:snapToGrid/>
      </w:pPr>
      <w:r>
        <w:t>37.</w:t>
      </w:r>
      <w:r>
        <w:tab/>
      </w:r>
      <w:r w:rsidR="00AC02F3">
        <w:t xml:space="preserve">These dynamics </w:t>
      </w:r>
      <w:r w:rsidR="000E11AA">
        <w:t>simultaneously exacerbate and are</w:t>
      </w:r>
      <w:r w:rsidR="00AC02F3">
        <w:t xml:space="preserve"> compounded by the ‘gender digital divide’</w:t>
      </w:r>
      <w:r w:rsidR="004346F3">
        <w:t>.</w:t>
      </w:r>
      <w:r w:rsidR="00AC02F3">
        <w:t xml:space="preserve"> </w:t>
      </w:r>
      <w:r w:rsidR="00BF01FE">
        <w:t>The compounding and intersectional forms of abuse that women and girls</w:t>
      </w:r>
      <w:r w:rsidR="00E52782">
        <w:t xml:space="preserve"> with disabilities</w:t>
      </w:r>
      <w:r w:rsidR="00BF01FE">
        <w:t xml:space="preserve"> and persons with disabilities face contribute to their underrepresentation in </w:t>
      </w:r>
      <w:r w:rsidR="008F348D">
        <w:lastRenderedPageBreak/>
        <w:t xml:space="preserve">online civic </w:t>
      </w:r>
      <w:r w:rsidR="00BF01FE">
        <w:t>spaces, which further limits</w:t>
      </w:r>
      <w:r w:rsidR="00AC02F3">
        <w:t xml:space="preserve"> the</w:t>
      </w:r>
      <w:r w:rsidR="00BF01FE">
        <w:t>ir</w:t>
      </w:r>
      <w:r w:rsidR="00AC02F3">
        <w:t xml:space="preserve"> digital skills and participation.</w:t>
      </w:r>
      <w:r w:rsidR="00AC02F3">
        <w:rPr>
          <w:rStyle w:val="FootnoteReference"/>
        </w:rPr>
        <w:footnoteReference w:id="57"/>
      </w:r>
      <w:r w:rsidR="00952FF5">
        <w:t xml:space="preserve"> </w:t>
      </w:r>
      <w:r w:rsidR="00BD1C9A">
        <w:t>This is a destructive cycle in which human rights violations in cyberspace drive disengagement from those fora, rendering those who disengage even less well-equipped to handle future violations.</w:t>
      </w:r>
    </w:p>
    <w:p w14:paraId="5820A896" w14:textId="48CADBD9" w:rsidR="006048D2"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D.</w:t>
      </w:r>
      <w:r>
        <w:rPr>
          <w:rFonts w:eastAsia="SimSun"/>
          <w:lang w:eastAsia="zh-CN"/>
        </w:rPr>
        <w:tab/>
      </w:r>
      <w:r w:rsidR="0044182E" w:rsidRPr="00624700">
        <w:rPr>
          <w:rFonts w:eastAsia="SimSun"/>
          <w:lang w:eastAsia="zh-CN"/>
        </w:rPr>
        <w:t>Lack of legislation</w:t>
      </w:r>
      <w:r w:rsidR="00995265" w:rsidRPr="00624700">
        <w:rPr>
          <w:rFonts w:eastAsia="SimSun"/>
          <w:lang w:eastAsia="zh-CN"/>
        </w:rPr>
        <w:t xml:space="preserve"> sensitive to the rights and needs of persons with disabilities</w:t>
      </w:r>
    </w:p>
    <w:p w14:paraId="4CDB3922" w14:textId="7D90A046" w:rsidR="0044182E" w:rsidRPr="00877218" w:rsidRDefault="006B4308" w:rsidP="006B4308">
      <w:pPr>
        <w:pStyle w:val="SingleTxtG"/>
        <w:tabs>
          <w:tab w:val="left" w:pos="1701"/>
        </w:tabs>
        <w:suppressAutoHyphens w:val="0"/>
        <w:kinsoku/>
        <w:overflowPunct/>
        <w:autoSpaceDE/>
        <w:autoSpaceDN/>
        <w:adjustRightInd/>
        <w:snapToGrid/>
      </w:pPr>
      <w:r>
        <w:t>38.</w:t>
      </w:r>
      <w:r>
        <w:tab/>
      </w:r>
      <w:r w:rsidR="00995265">
        <w:t xml:space="preserve">Given the vast diversity of experiences with and forms of cyberbullying, it is a particularly complicated subject to address through legislation. </w:t>
      </w:r>
      <w:r w:rsidR="00900E28">
        <w:t>Most</w:t>
      </w:r>
      <w:r w:rsidR="006D150B">
        <w:t xml:space="preserve"> countries lack legal protections against online abuse and harassment</w:t>
      </w:r>
      <w:r w:rsidR="00597DA0">
        <w:t xml:space="preserve"> </w:t>
      </w:r>
      <w:r w:rsidR="005173DE">
        <w:t>that meet</w:t>
      </w:r>
      <w:r w:rsidR="00597DA0">
        <w:t xml:space="preserve"> international human rights standards</w:t>
      </w:r>
      <w:r w:rsidR="006D150B">
        <w:t>.</w:t>
      </w:r>
      <w:r w:rsidR="006D150B">
        <w:rPr>
          <w:rStyle w:val="FootnoteReference"/>
        </w:rPr>
        <w:footnoteReference w:id="58"/>
      </w:r>
      <w:r w:rsidR="006D150B">
        <w:t xml:space="preserve"> </w:t>
      </w:r>
      <w:r w:rsidR="0044182E">
        <w:t xml:space="preserve">While certain forms of cyberbullying </w:t>
      </w:r>
      <w:r w:rsidR="00666DE1">
        <w:t>have become subject of laws and regulation, including laws establishing criminal offences</w:t>
      </w:r>
      <w:r w:rsidR="0044182E">
        <w:t xml:space="preserve">, such as extortion, </w:t>
      </w:r>
      <w:r w:rsidR="00A6676A">
        <w:t xml:space="preserve">the sexual abuse of children, </w:t>
      </w:r>
      <w:r w:rsidR="0044182E">
        <w:t>threats</w:t>
      </w:r>
      <w:r w:rsidR="003B3B93">
        <w:t xml:space="preserve"> of violence</w:t>
      </w:r>
      <w:r w:rsidR="0044182E">
        <w:t xml:space="preserve">, or stalking, </w:t>
      </w:r>
      <w:r w:rsidR="00B30EA2">
        <w:t xml:space="preserve">other </w:t>
      </w:r>
      <w:r w:rsidR="0044182E">
        <w:t>forms</w:t>
      </w:r>
      <w:r w:rsidR="005056D9">
        <w:t xml:space="preserve"> of cyberbullying</w:t>
      </w:r>
      <w:r w:rsidR="0044182E">
        <w:t xml:space="preserve"> </w:t>
      </w:r>
      <w:r w:rsidR="00666DE1">
        <w:t xml:space="preserve">often </w:t>
      </w:r>
      <w:r w:rsidR="00B167A4">
        <w:t xml:space="preserve">remain </w:t>
      </w:r>
      <w:r w:rsidR="00B30EA2">
        <w:t>beyond the scope of existing legislation</w:t>
      </w:r>
      <w:r w:rsidR="0044182E">
        <w:t xml:space="preserve">. </w:t>
      </w:r>
      <w:r w:rsidR="00A6676A">
        <w:t>In other instances, cyberbullying laws focus</w:t>
      </w:r>
      <w:r w:rsidR="00995265">
        <w:t xml:space="preserve"> on</w:t>
      </w:r>
      <w:r w:rsidR="00A6676A">
        <w:t xml:space="preserve"> </w:t>
      </w:r>
      <w:r w:rsidR="00995265">
        <w:t>acts targeting</w:t>
      </w:r>
      <w:r w:rsidR="00A6676A">
        <w:t xml:space="preserve"> minors, but leave </w:t>
      </w:r>
      <w:r w:rsidR="00FD3054">
        <w:t xml:space="preserve">others </w:t>
      </w:r>
      <w:r w:rsidR="00A6676A">
        <w:t>unprotected.</w:t>
      </w:r>
      <w:r w:rsidR="00995265">
        <w:t xml:space="preserve"> </w:t>
      </w:r>
      <w:r w:rsidR="008966AD">
        <w:t xml:space="preserve">Complex legal situations make it difficult for victims </w:t>
      </w:r>
      <w:r w:rsidR="007569ED">
        <w:t xml:space="preserve">to predict </w:t>
      </w:r>
      <w:r w:rsidR="00B30EA2">
        <w:t xml:space="preserve">when </w:t>
      </w:r>
      <w:r w:rsidR="007569ED" w:rsidRPr="00877218">
        <w:t xml:space="preserve">legal remedies are </w:t>
      </w:r>
      <w:r w:rsidR="00995265" w:rsidRPr="00877218">
        <w:t>available or appropriate.</w:t>
      </w:r>
    </w:p>
    <w:p w14:paraId="3368B762" w14:textId="3286A5C9" w:rsidR="00E9683C" w:rsidRPr="00877218" w:rsidRDefault="006B4308" w:rsidP="006B4308">
      <w:pPr>
        <w:pStyle w:val="SingleTxtG"/>
        <w:tabs>
          <w:tab w:val="left" w:pos="1701"/>
        </w:tabs>
        <w:suppressAutoHyphens w:val="0"/>
        <w:kinsoku/>
        <w:overflowPunct/>
        <w:autoSpaceDE/>
        <w:autoSpaceDN/>
        <w:adjustRightInd/>
        <w:snapToGrid/>
      </w:pPr>
      <w:r>
        <w:t>39.</w:t>
      </w:r>
      <w:r>
        <w:tab/>
      </w:r>
      <w:r w:rsidR="009443E2" w:rsidRPr="00877218">
        <w:t>The</w:t>
      </w:r>
      <w:r w:rsidR="0044182E" w:rsidRPr="00877218">
        <w:t xml:space="preserve"> </w:t>
      </w:r>
      <w:r w:rsidR="006D150B" w:rsidRPr="00877218">
        <w:t xml:space="preserve">varied </w:t>
      </w:r>
      <w:r w:rsidR="0044182E" w:rsidRPr="00877218">
        <w:t xml:space="preserve">experiences of persons with disabilities </w:t>
      </w:r>
      <w:r w:rsidR="00895EB5" w:rsidRPr="00877218">
        <w:t>require nuanced protection responses and interventions</w:t>
      </w:r>
      <w:r w:rsidR="00B67FD9" w:rsidRPr="00877218">
        <w:t>,</w:t>
      </w:r>
      <w:r w:rsidR="00895EB5" w:rsidRPr="00877218">
        <w:t xml:space="preserve"> </w:t>
      </w:r>
      <w:r w:rsidR="00C91868" w:rsidRPr="00877218">
        <w:t>including</w:t>
      </w:r>
      <w:r w:rsidR="008C5693" w:rsidRPr="00877218">
        <w:t xml:space="preserve"> </w:t>
      </w:r>
      <w:r w:rsidR="00645397" w:rsidRPr="00877218">
        <w:t>approaches aimed at shifting social norms</w:t>
      </w:r>
      <w:r w:rsidR="008372E5" w:rsidRPr="00877218">
        <w:t xml:space="preserve">, as well as </w:t>
      </w:r>
      <w:r w:rsidR="008C5693" w:rsidRPr="00877218">
        <w:t xml:space="preserve">psychosocial, health and educational interventions that </w:t>
      </w:r>
      <w:r w:rsidR="00645397" w:rsidRPr="00877218">
        <w:t>offer greater support</w:t>
      </w:r>
      <w:r w:rsidR="008C5693" w:rsidRPr="00877218">
        <w:t xml:space="preserve"> </w:t>
      </w:r>
      <w:r w:rsidR="00645397" w:rsidRPr="00877218">
        <w:t>to perpetrators, witnesses, and victims</w:t>
      </w:r>
      <w:r w:rsidR="000455A8" w:rsidRPr="00877218">
        <w:t>.</w:t>
      </w:r>
      <w:r w:rsidR="0004789A" w:rsidRPr="00877218">
        <w:t xml:space="preserve"> </w:t>
      </w:r>
      <w:r w:rsidR="00995265" w:rsidRPr="00877218">
        <w:t>This is particularly true given that certain legislative measures adopted to counter cyberbullying may themselves pose risks to human rights, or inadvertently chill expression</w:t>
      </w:r>
      <w:r w:rsidR="00E732F5" w:rsidRPr="00877218">
        <w:t>, for example when formulat</w:t>
      </w:r>
      <w:r w:rsidR="009733DE" w:rsidRPr="00877218">
        <w:t>ions are</w:t>
      </w:r>
      <w:r w:rsidR="00E732F5" w:rsidRPr="00877218">
        <w:t xml:space="preserve"> overly broad or vague</w:t>
      </w:r>
      <w:r w:rsidR="00995265" w:rsidRPr="00877218">
        <w:t>.</w:t>
      </w:r>
      <w:r w:rsidR="008149F5" w:rsidRPr="00877218">
        <w:rPr>
          <w:rStyle w:val="FootnoteReference"/>
        </w:rPr>
        <w:footnoteReference w:id="59"/>
      </w:r>
      <w:r w:rsidR="00BB783C" w:rsidRPr="00877218">
        <w:t xml:space="preserve"> </w:t>
      </w:r>
    </w:p>
    <w:p w14:paraId="2C061CBF" w14:textId="6AC4CB58" w:rsidR="006048D2" w:rsidRPr="00877218" w:rsidRDefault="006B4308" w:rsidP="006B4308">
      <w:pPr>
        <w:pStyle w:val="SingleTxtG"/>
        <w:tabs>
          <w:tab w:val="left" w:pos="1701"/>
        </w:tabs>
        <w:suppressAutoHyphens w:val="0"/>
        <w:kinsoku/>
        <w:overflowPunct/>
        <w:autoSpaceDE/>
        <w:autoSpaceDN/>
        <w:adjustRightInd/>
        <w:snapToGrid/>
      </w:pPr>
      <w:r>
        <w:t>40.</w:t>
      </w:r>
      <w:r>
        <w:tab/>
      </w:r>
      <w:r w:rsidR="00E9683C" w:rsidRPr="00877218">
        <w:t>The participation, partnership, and active involvement of persons with disabilities</w:t>
      </w:r>
      <w:r w:rsidR="00546995" w:rsidRPr="00877218">
        <w:t xml:space="preserve"> and their representative organisations</w:t>
      </w:r>
      <w:r w:rsidR="00E9683C" w:rsidRPr="00877218">
        <w:t xml:space="preserve"> in the development of legislation and policies that affect them is </w:t>
      </w:r>
      <w:r w:rsidR="00095FFF" w:rsidRPr="00877218">
        <w:t xml:space="preserve">fundamental </w:t>
      </w:r>
      <w:r w:rsidR="00E9683C" w:rsidRPr="00877218">
        <w:t>to the success of those initiatives.</w:t>
      </w:r>
      <w:r w:rsidR="00E9683C" w:rsidRPr="00877218">
        <w:rPr>
          <w:rStyle w:val="FootnoteReference"/>
        </w:rPr>
        <w:footnoteReference w:id="60"/>
      </w:r>
      <w:r w:rsidR="00E9683C" w:rsidRPr="00877218">
        <w:t xml:space="preserve"> </w:t>
      </w:r>
      <w:r w:rsidR="006D150B" w:rsidRPr="00877218">
        <w:t>I</w:t>
      </w:r>
      <w:r w:rsidR="00E9683C" w:rsidRPr="00877218">
        <w:t>ndeed, it</w:t>
      </w:r>
      <w:r w:rsidR="006D150B" w:rsidRPr="00877218">
        <w:t xml:space="preserve"> is only through comprehensive </w:t>
      </w:r>
      <w:r w:rsidR="00E9683C" w:rsidRPr="00877218">
        <w:t xml:space="preserve">understanding </w:t>
      </w:r>
      <w:r w:rsidR="006D150B" w:rsidRPr="00877218">
        <w:t>of the experiences of persons with disabilities with cyberbullying, including through studies and the collection of disaggregated data using the lens of disability, that legislation</w:t>
      </w:r>
      <w:r w:rsidR="00645397" w:rsidRPr="00877218">
        <w:t>, policies, and approaches</w:t>
      </w:r>
      <w:r w:rsidR="006D150B" w:rsidRPr="00877218">
        <w:t xml:space="preserve"> responsive to their needs can be </w:t>
      </w:r>
      <w:r w:rsidR="00995265" w:rsidRPr="00877218">
        <w:t xml:space="preserve">thoughtfully </w:t>
      </w:r>
      <w:r w:rsidR="006D150B" w:rsidRPr="00877218">
        <w:t>crafted.</w:t>
      </w:r>
      <w:r w:rsidR="00E9683C" w:rsidRPr="00877218">
        <w:t xml:space="preserve"> </w:t>
      </w:r>
    </w:p>
    <w:p w14:paraId="0CE7DD83" w14:textId="368A3997" w:rsidR="00D02A7E"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E.</w:t>
      </w:r>
      <w:r>
        <w:rPr>
          <w:rFonts w:eastAsia="SimSun"/>
          <w:lang w:eastAsia="zh-CN"/>
        </w:rPr>
        <w:tab/>
      </w:r>
      <w:r w:rsidR="00570774" w:rsidRPr="00624700">
        <w:rPr>
          <w:rFonts w:eastAsia="SimSun"/>
          <w:lang w:eastAsia="zh-CN"/>
        </w:rPr>
        <w:t>Obstacles to reporting</w:t>
      </w:r>
    </w:p>
    <w:p w14:paraId="088B68FD" w14:textId="7835CD5F" w:rsidR="00582AB8" w:rsidRPr="00877218" w:rsidRDefault="006B4308" w:rsidP="006B4308">
      <w:pPr>
        <w:pStyle w:val="SingleTxtG"/>
        <w:tabs>
          <w:tab w:val="left" w:pos="1701"/>
        </w:tabs>
        <w:suppressAutoHyphens w:val="0"/>
        <w:kinsoku/>
        <w:overflowPunct/>
        <w:autoSpaceDE/>
        <w:autoSpaceDN/>
        <w:adjustRightInd/>
        <w:snapToGrid/>
      </w:pPr>
      <w:r>
        <w:t>41.</w:t>
      </w:r>
      <w:r>
        <w:tab/>
      </w:r>
      <w:r w:rsidR="00570774" w:rsidRPr="00877218">
        <w:t xml:space="preserve">The harm wrought by cyberbullying is compounded when persons with disabilities are unable to report their experiences and </w:t>
      </w:r>
      <w:r w:rsidR="00E04293" w:rsidRPr="00877218">
        <w:t xml:space="preserve">effectively </w:t>
      </w:r>
      <w:r w:rsidR="00570774" w:rsidRPr="00877218">
        <w:t>articulate the harms they face online.</w:t>
      </w:r>
      <w:r w:rsidR="006F1EA9" w:rsidRPr="00877218">
        <w:t xml:space="preserve"> </w:t>
      </w:r>
      <w:r w:rsidR="00A31379" w:rsidRPr="00877218">
        <w:t>A</w:t>
      </w:r>
      <w:r w:rsidR="00570774" w:rsidRPr="00877218">
        <w:t>n array of obstacles</w:t>
      </w:r>
      <w:r w:rsidR="008372E5" w:rsidRPr="00877218">
        <w:t xml:space="preserve"> regularly</w:t>
      </w:r>
      <w:r w:rsidR="00570774" w:rsidRPr="00877218">
        <w:t xml:space="preserve"> </w:t>
      </w:r>
      <w:proofErr w:type="gramStart"/>
      <w:r w:rsidR="00570774" w:rsidRPr="00877218">
        <w:t>inhibit</w:t>
      </w:r>
      <w:proofErr w:type="gramEnd"/>
      <w:r w:rsidR="00570774" w:rsidRPr="00877218">
        <w:t xml:space="preserve"> them from doing so. </w:t>
      </w:r>
      <w:r w:rsidR="008B2255" w:rsidRPr="00877218">
        <w:t>S</w:t>
      </w:r>
      <w:r w:rsidR="00582AB8" w:rsidRPr="00877218">
        <w:t xml:space="preserve">hifting norms in the digital environment – combined with definitional differences and inconsistencies - make it difficult to consistently identify cyberbullying. These dynamics, in turn, inhibit its monitoring and reporting. </w:t>
      </w:r>
      <w:r w:rsidR="00DF5A4D" w:rsidRPr="00877218">
        <w:t>C</w:t>
      </w:r>
      <w:r w:rsidR="00582AB8" w:rsidRPr="00877218">
        <w:t>yberbullying often evolves alongside the digital platforms and spaces, where groups of users – often children – develop their own sets of online norms, ethics, and standards of acceptable behaviour.</w:t>
      </w:r>
      <w:r w:rsidR="00096560" w:rsidRPr="00877218">
        <w:rPr>
          <w:rStyle w:val="FootnoteReference"/>
        </w:rPr>
        <w:footnoteReference w:id="61"/>
      </w:r>
      <w:r w:rsidR="00582AB8" w:rsidRPr="00877218">
        <w:t xml:space="preserve"> </w:t>
      </w:r>
    </w:p>
    <w:p w14:paraId="4E4F2A63" w14:textId="6959DD21" w:rsidR="008B2255" w:rsidRPr="00877218" w:rsidRDefault="006B4308" w:rsidP="006B4308">
      <w:pPr>
        <w:pStyle w:val="SingleTxtG"/>
        <w:tabs>
          <w:tab w:val="left" w:pos="1701"/>
        </w:tabs>
        <w:suppressAutoHyphens w:val="0"/>
        <w:kinsoku/>
        <w:overflowPunct/>
        <w:autoSpaceDE/>
        <w:autoSpaceDN/>
        <w:adjustRightInd/>
        <w:snapToGrid/>
      </w:pPr>
      <w:r>
        <w:t>42.</w:t>
      </w:r>
      <w:r>
        <w:tab/>
      </w:r>
      <w:r w:rsidR="00A030A3" w:rsidRPr="00877218">
        <w:t xml:space="preserve">Persons with certain forms of disability may face further challenges in understanding appropriate online behaviour, and interpreting the nuances of online communication, which can make it even more difficult to either understand when they are experiencing </w:t>
      </w:r>
      <w:r w:rsidR="00A030A3" w:rsidRPr="00877218">
        <w:lastRenderedPageBreak/>
        <w:t>cyberbullying, or to understand when recourse is available or appropriate.</w:t>
      </w:r>
      <w:r w:rsidR="00096560" w:rsidRPr="00877218">
        <w:rPr>
          <w:rStyle w:val="FootnoteReference"/>
        </w:rPr>
        <w:footnoteReference w:id="62"/>
      </w:r>
      <w:r w:rsidR="008B2255" w:rsidRPr="00877218">
        <w:t xml:space="preserve"> </w:t>
      </w:r>
      <w:r w:rsidR="00D26B3A" w:rsidRPr="00877218">
        <w:t xml:space="preserve">Awareness of what constitutes cyberbullying is crucial to recognize when </w:t>
      </w:r>
      <w:r w:rsidR="003D14ED" w:rsidRPr="00877218">
        <w:t>a person is</w:t>
      </w:r>
      <w:r w:rsidR="00D26B3A" w:rsidRPr="00877218">
        <w:t xml:space="preserve"> being targeted and to know when and how to seek recourse. This </w:t>
      </w:r>
      <w:r w:rsidR="00DC695B" w:rsidRPr="00877218">
        <w:t>is</w:t>
      </w:r>
      <w:r w:rsidR="00D26B3A" w:rsidRPr="00877218">
        <w:t xml:space="preserve"> particularly important for persons with intellectual disabilities, who </w:t>
      </w:r>
      <w:r w:rsidR="005565D3" w:rsidRPr="00877218">
        <w:t xml:space="preserve">may particularly </w:t>
      </w:r>
      <w:r w:rsidR="008600D4" w:rsidRPr="00877218">
        <w:t>benefit from</w:t>
      </w:r>
      <w:r w:rsidR="00D26B3A" w:rsidRPr="00877218">
        <w:t xml:space="preserve"> support systems to navigate digital spaces.</w:t>
      </w:r>
      <w:r w:rsidR="00096560" w:rsidRPr="00877218">
        <w:rPr>
          <w:rStyle w:val="FootnoteReference"/>
        </w:rPr>
        <w:footnoteReference w:id="63"/>
      </w:r>
      <w:r w:rsidR="008B2255" w:rsidRPr="00877218">
        <w:t xml:space="preserve"> </w:t>
      </w:r>
    </w:p>
    <w:p w14:paraId="563601BC" w14:textId="58FBC5B5" w:rsidR="00582AB8" w:rsidRDefault="006B4308" w:rsidP="006B4308">
      <w:pPr>
        <w:pStyle w:val="SingleTxtG"/>
        <w:tabs>
          <w:tab w:val="left" w:pos="1701"/>
        </w:tabs>
        <w:suppressAutoHyphens w:val="0"/>
        <w:kinsoku/>
        <w:overflowPunct/>
        <w:autoSpaceDE/>
        <w:autoSpaceDN/>
        <w:adjustRightInd/>
        <w:snapToGrid/>
      </w:pPr>
      <w:r>
        <w:t>43.</w:t>
      </w:r>
      <w:r>
        <w:tab/>
      </w:r>
      <w:r w:rsidR="0075724F">
        <w:t>Social</w:t>
      </w:r>
      <w:r w:rsidR="00570774">
        <w:t xml:space="preserve"> stigma and </w:t>
      </w:r>
      <w:r w:rsidR="00E04293">
        <w:t>taboos</w:t>
      </w:r>
      <w:r w:rsidR="00570774">
        <w:t xml:space="preserve"> </w:t>
      </w:r>
      <w:r w:rsidR="00E04293">
        <w:t xml:space="preserve">make it difficult for persons with disabilities </w:t>
      </w:r>
      <w:r w:rsidR="00074A87">
        <w:t xml:space="preserve">to </w:t>
      </w:r>
      <w:r w:rsidR="00E04293">
        <w:t xml:space="preserve">disclose </w:t>
      </w:r>
      <w:r w:rsidR="00D82F98">
        <w:t xml:space="preserve">cases </w:t>
      </w:r>
      <w:r w:rsidR="00E04293">
        <w:t>of abuse, particularly when victims are children.</w:t>
      </w:r>
      <w:r w:rsidR="00E04293">
        <w:rPr>
          <w:rStyle w:val="FootnoteReference"/>
        </w:rPr>
        <w:footnoteReference w:id="64"/>
      </w:r>
      <w:r w:rsidR="00E04293">
        <w:t xml:space="preserve"> </w:t>
      </w:r>
      <w:r w:rsidR="00334AA0">
        <w:t>C</w:t>
      </w:r>
      <w:r w:rsidR="00F33460">
        <w:t xml:space="preserve">yberbullying of persons with disabilities </w:t>
      </w:r>
      <w:r w:rsidR="005C450D">
        <w:t>is</w:t>
      </w:r>
      <w:r w:rsidR="00F33460">
        <w:t xml:space="preserve"> less visible </w:t>
      </w:r>
      <w:r w:rsidR="00CE1828">
        <w:t>to parents, teachers, and care</w:t>
      </w:r>
      <w:r w:rsidR="00E51CEB">
        <w:t xml:space="preserve"> and support </w:t>
      </w:r>
      <w:r w:rsidR="00CE1828">
        <w:t xml:space="preserve">givers </w:t>
      </w:r>
      <w:r w:rsidR="00F33460">
        <w:t xml:space="preserve">than </w:t>
      </w:r>
      <w:r w:rsidR="00A220B5">
        <w:t xml:space="preserve">offline </w:t>
      </w:r>
      <w:r w:rsidR="00F33460">
        <w:t xml:space="preserve">forms of bullying. These dynamics </w:t>
      </w:r>
      <w:r w:rsidR="004F570D">
        <w:t xml:space="preserve">reinforce </w:t>
      </w:r>
      <w:r w:rsidR="00074A87">
        <w:t xml:space="preserve">broader trends </w:t>
      </w:r>
      <w:r w:rsidR="00F76499">
        <w:t>of</w:t>
      </w:r>
      <w:r w:rsidR="00074A87">
        <w:t xml:space="preserve"> underreporting of cyberbullying, among persons with and without disabilities.</w:t>
      </w:r>
      <w:r w:rsidR="00EF6E9B">
        <w:rPr>
          <w:rStyle w:val="FootnoteReference"/>
        </w:rPr>
        <w:footnoteReference w:id="65"/>
      </w:r>
      <w:r w:rsidR="00074A87">
        <w:t xml:space="preserve"> </w:t>
      </w:r>
    </w:p>
    <w:p w14:paraId="0AC884C5" w14:textId="0C7A1DBF" w:rsidR="0033115A" w:rsidRDefault="00BF4BB3" w:rsidP="00BF4BB3">
      <w:pPr>
        <w:pStyle w:val="SingleTxtG"/>
        <w:tabs>
          <w:tab w:val="left" w:pos="1701"/>
        </w:tabs>
        <w:suppressAutoHyphens w:val="0"/>
        <w:kinsoku/>
        <w:overflowPunct/>
        <w:autoSpaceDE/>
        <w:autoSpaceDN/>
        <w:adjustRightInd/>
        <w:snapToGrid/>
      </w:pPr>
      <w:r>
        <w:t>44.</w:t>
      </w:r>
      <w:r>
        <w:tab/>
      </w:r>
      <w:r w:rsidR="000D6197">
        <w:t>While many companies prohibit bullying, including against persons with disabilities, on their platforms as a matter of policy, there are serious shortcoming.  Policies are</w:t>
      </w:r>
      <w:r w:rsidR="00EC3949">
        <w:t xml:space="preserve"> often vague and confusing</w:t>
      </w:r>
      <w:r w:rsidR="000D6197">
        <w:t>.</w:t>
      </w:r>
      <w:r w:rsidR="0033115A">
        <w:t xml:space="preserve"> </w:t>
      </w:r>
      <w:r w:rsidR="001F74F4">
        <w:t>Lack of information in easy-to-understand format makes it particularly challenging for</w:t>
      </w:r>
      <w:r w:rsidR="0033115A">
        <w:t xml:space="preserve"> children </w:t>
      </w:r>
      <w:r w:rsidR="001F74F4">
        <w:t xml:space="preserve">and </w:t>
      </w:r>
      <w:r w:rsidR="0033115A">
        <w:t xml:space="preserve">adults </w:t>
      </w:r>
      <w:r w:rsidR="0033115A" w:rsidRPr="00A50876">
        <w:t>with</w:t>
      </w:r>
      <w:r w:rsidR="008372E5">
        <w:t xml:space="preserve"> </w:t>
      </w:r>
      <w:r w:rsidR="0033115A" w:rsidRPr="00A50876">
        <w:t>intellectual disabilities</w:t>
      </w:r>
      <w:r w:rsidR="001F74F4">
        <w:t>, who may benefit from more accessible explanations and supportive resources to navigate these platforms effectively</w:t>
      </w:r>
      <w:r w:rsidR="0033115A" w:rsidRPr="00A50876">
        <w:t>.</w:t>
      </w:r>
      <w:r w:rsidR="000D6197">
        <w:t xml:space="preserve"> Finally</w:t>
      </w:r>
      <w:r w:rsidR="00A50876">
        <w:t xml:space="preserve">, the application </w:t>
      </w:r>
      <w:r w:rsidR="004001A5">
        <w:t xml:space="preserve">and enforcement </w:t>
      </w:r>
      <w:r w:rsidR="00A50876">
        <w:t xml:space="preserve">of </w:t>
      </w:r>
      <w:r w:rsidR="000D6197">
        <w:t xml:space="preserve">content </w:t>
      </w:r>
      <w:r w:rsidR="00A50876">
        <w:t>policies</w:t>
      </w:r>
      <w:r w:rsidR="004001A5">
        <w:t xml:space="preserve"> is often</w:t>
      </w:r>
      <w:r w:rsidR="00A50876">
        <w:t xml:space="preserve"> inconsistent.</w:t>
      </w:r>
    </w:p>
    <w:p w14:paraId="2B63213E" w14:textId="0F571052" w:rsidR="00E04293" w:rsidRDefault="00BF4BB3" w:rsidP="00BF4BB3">
      <w:pPr>
        <w:pStyle w:val="SingleTxtG"/>
        <w:tabs>
          <w:tab w:val="left" w:pos="1701"/>
        </w:tabs>
        <w:suppressAutoHyphens w:val="0"/>
        <w:kinsoku/>
        <w:overflowPunct/>
        <w:autoSpaceDE/>
        <w:autoSpaceDN/>
        <w:adjustRightInd/>
        <w:snapToGrid/>
      </w:pPr>
      <w:r>
        <w:t>45.</w:t>
      </w:r>
      <w:r>
        <w:tab/>
      </w:r>
      <w:r w:rsidR="00E04293">
        <w:t xml:space="preserve">In addition, </w:t>
      </w:r>
      <w:r w:rsidR="00D47887">
        <w:t xml:space="preserve">persons with disabilities describe a ‘pervasive sense of </w:t>
      </w:r>
      <w:r w:rsidR="00074A87">
        <w:t>helplessness</w:t>
      </w:r>
      <w:r w:rsidR="00D47887">
        <w:t xml:space="preserve"> and disillusionment’ with official reporting channels.</w:t>
      </w:r>
      <w:r w:rsidR="00E04293">
        <w:t xml:space="preserve"> </w:t>
      </w:r>
      <w:r w:rsidR="00C054C6">
        <w:t>According to one study, more than 70% of deaf youth find it daunting to seek help after experiencing cyberbullying, and 80% perceive that reporting cyberbullying to social media platforms will be ineffective.</w:t>
      </w:r>
      <w:r w:rsidR="00C054C6">
        <w:rPr>
          <w:rStyle w:val="FootnoteReference"/>
        </w:rPr>
        <w:footnoteReference w:id="66"/>
      </w:r>
      <w:r w:rsidR="00C054C6">
        <w:t xml:space="preserve"> Given the perception of futility, many victims of cyberbullying choose to simply not report their experiences.</w:t>
      </w:r>
    </w:p>
    <w:p w14:paraId="47C60E6F" w14:textId="45538924" w:rsidR="00E04293" w:rsidRDefault="00BF4BB3" w:rsidP="00BF4BB3">
      <w:pPr>
        <w:pStyle w:val="SingleTxtG"/>
        <w:tabs>
          <w:tab w:val="left" w:pos="1701"/>
        </w:tabs>
        <w:suppressAutoHyphens w:val="0"/>
        <w:kinsoku/>
        <w:overflowPunct/>
        <w:autoSpaceDE/>
        <w:autoSpaceDN/>
        <w:adjustRightInd/>
        <w:snapToGrid/>
      </w:pPr>
      <w:r>
        <w:t>46.</w:t>
      </w:r>
      <w:r>
        <w:tab/>
      </w:r>
      <w:r w:rsidR="00CC3BFC">
        <w:t>C</w:t>
      </w:r>
      <w:r w:rsidR="00E04293">
        <w:t>ommunication barriers with social media platforms and other digital technology companies</w:t>
      </w:r>
      <w:r w:rsidR="00DA5D03">
        <w:t>,</w:t>
      </w:r>
      <w:r w:rsidR="00623942">
        <w:t xml:space="preserve"> </w:t>
      </w:r>
      <w:r w:rsidR="00DA5D03">
        <w:t>including</w:t>
      </w:r>
      <w:r w:rsidR="00623942">
        <w:t xml:space="preserve"> inaccessible support systems and reporting features </w:t>
      </w:r>
      <w:r w:rsidR="00F35922">
        <w:t>for</w:t>
      </w:r>
      <w:r w:rsidR="00623942">
        <w:t xml:space="preserve"> persons with disabilities</w:t>
      </w:r>
      <w:r w:rsidR="00DA5D03">
        <w:t>,</w:t>
      </w:r>
      <w:r w:rsidR="00E04293">
        <w:t xml:space="preserve"> can inhibit effective communication and reporting. </w:t>
      </w:r>
      <w:r w:rsidR="007166BF">
        <w:t xml:space="preserve">This </w:t>
      </w:r>
      <w:r w:rsidR="00F2374E">
        <w:t xml:space="preserve">also </w:t>
      </w:r>
      <w:r w:rsidR="00697CBA">
        <w:t>reflect</w:t>
      </w:r>
      <w:r w:rsidR="00356E81">
        <w:t>s</w:t>
      </w:r>
      <w:r w:rsidR="00697CBA">
        <w:t xml:space="preserve"> </w:t>
      </w:r>
      <w:r w:rsidR="00356E81">
        <w:t>the</w:t>
      </w:r>
      <w:r w:rsidR="007A4C94">
        <w:t xml:space="preserve"> need for digital literacy </w:t>
      </w:r>
      <w:r w:rsidR="00995265">
        <w:t>training in accessible formats</w:t>
      </w:r>
      <w:r w:rsidR="007A4C94">
        <w:t xml:space="preserve">, </w:t>
      </w:r>
      <w:r w:rsidR="008372E5">
        <w:t>as well as</w:t>
      </w:r>
      <w:r w:rsidR="007A4C94">
        <w:t xml:space="preserve"> education on legal rights and recourse.</w:t>
      </w:r>
    </w:p>
    <w:p w14:paraId="7F0E8789" w14:textId="6FD031DD" w:rsidR="006048D2"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F.</w:t>
      </w:r>
      <w:r>
        <w:rPr>
          <w:rFonts w:eastAsia="SimSun"/>
          <w:lang w:eastAsia="zh-CN"/>
        </w:rPr>
        <w:tab/>
      </w:r>
      <w:r w:rsidR="00C7101E" w:rsidRPr="00624700">
        <w:rPr>
          <w:rFonts w:eastAsia="SimSun"/>
          <w:lang w:eastAsia="zh-CN"/>
        </w:rPr>
        <w:t>Intersectional risks and impacts of cyberbullying</w:t>
      </w:r>
    </w:p>
    <w:p w14:paraId="6BCB8F45" w14:textId="512C4F0F" w:rsidR="00C7101E" w:rsidRDefault="00BF4BB3" w:rsidP="00BF4BB3">
      <w:pPr>
        <w:pStyle w:val="SingleTxtG"/>
        <w:tabs>
          <w:tab w:val="left" w:pos="1701"/>
        </w:tabs>
        <w:suppressAutoHyphens w:val="0"/>
        <w:kinsoku/>
        <w:overflowPunct/>
        <w:autoSpaceDE/>
        <w:autoSpaceDN/>
        <w:adjustRightInd/>
        <w:snapToGrid/>
      </w:pPr>
      <w:r>
        <w:t>47.</w:t>
      </w:r>
      <w:r>
        <w:tab/>
      </w:r>
      <w:r w:rsidR="00C7101E">
        <w:t>Persons with disabilities are not a homogenous group, and do not experience cyberbullying in the same ways.</w:t>
      </w:r>
      <w:r w:rsidR="00D02A7E">
        <w:rPr>
          <w:rStyle w:val="FootnoteReference"/>
        </w:rPr>
        <w:footnoteReference w:id="67"/>
      </w:r>
      <w:r w:rsidR="00C7101E">
        <w:t xml:space="preserve"> In addition to </w:t>
      </w:r>
      <w:r w:rsidR="00B25B3B">
        <w:t xml:space="preserve">diversity of experiences lived by </w:t>
      </w:r>
      <w:r w:rsidR="00DD49AC">
        <w:t>persons with disabilities</w:t>
      </w:r>
      <w:r w:rsidR="00C7101E">
        <w:t>, an array of intersectional characteristics</w:t>
      </w:r>
      <w:r w:rsidR="00172801">
        <w:t>, including a person’s age, gender, race or ethnicity, nationality, religion, sexual orientation and gender identity, language, and socio-economic or immigration status, among a range of other factors</w:t>
      </w:r>
      <w:r w:rsidR="00A8260B">
        <w:t>,</w:t>
      </w:r>
      <w:r w:rsidR="00C7101E">
        <w:t xml:space="preserve"> </w:t>
      </w:r>
      <w:r w:rsidR="000B68A3">
        <w:t>can</w:t>
      </w:r>
      <w:r w:rsidR="0030356A">
        <w:t xml:space="preserve"> </w:t>
      </w:r>
      <w:r w:rsidR="00C7101E">
        <w:t>influence a person’s vulnerability to cyberbullying.</w:t>
      </w:r>
      <w:r w:rsidR="006B3CFC">
        <w:rPr>
          <w:rStyle w:val="FootnoteReference"/>
        </w:rPr>
        <w:footnoteReference w:id="68"/>
      </w:r>
      <w:r w:rsidR="00C7101E">
        <w:t xml:space="preserve"> </w:t>
      </w:r>
    </w:p>
    <w:p w14:paraId="7EBC1EF0" w14:textId="03B21E52" w:rsidR="009554F5" w:rsidRDefault="00BF4BB3" w:rsidP="00BF4BB3">
      <w:pPr>
        <w:pStyle w:val="SingleTxtG"/>
        <w:tabs>
          <w:tab w:val="left" w:pos="1701"/>
        </w:tabs>
        <w:suppressAutoHyphens w:val="0"/>
        <w:kinsoku/>
        <w:overflowPunct/>
        <w:autoSpaceDE/>
        <w:autoSpaceDN/>
        <w:adjustRightInd/>
        <w:snapToGrid/>
      </w:pPr>
      <w:r>
        <w:t>48.</w:t>
      </w:r>
      <w:r>
        <w:tab/>
      </w:r>
      <w:r w:rsidR="009554F5" w:rsidRPr="009554F5">
        <w:t xml:space="preserve">While cyberbullying affects persons of all ages, its prevalence among children warrants </w:t>
      </w:r>
      <w:proofErr w:type="gramStart"/>
      <w:r w:rsidR="009554F5" w:rsidRPr="009554F5">
        <w:t>particular consideration</w:t>
      </w:r>
      <w:proofErr w:type="gramEnd"/>
      <w:r w:rsidR="009554F5" w:rsidRPr="009554F5">
        <w:t xml:space="preserve">. Cyberbullying is estimated to affect approximately one in </w:t>
      </w:r>
      <w:r w:rsidR="009554F5" w:rsidRPr="009554F5">
        <w:lastRenderedPageBreak/>
        <w:t>three teens worldwide.</w:t>
      </w:r>
      <w:r w:rsidR="009554F5" w:rsidRPr="009554F5">
        <w:rPr>
          <w:rStyle w:val="FootnoteReference"/>
        </w:rPr>
        <w:footnoteReference w:id="69"/>
      </w:r>
      <w:r w:rsidR="009554F5" w:rsidRPr="009554F5">
        <w:t xml:space="preserve"> Digital acts of violence form a continuum with violence in the physical environment, with research suggesting that children with disabilities are three to four times more likely to be the victims of violence – online and offline – than children without.</w:t>
      </w:r>
      <w:r w:rsidR="009554F5" w:rsidRPr="009554F5">
        <w:rPr>
          <w:rStyle w:val="FootnoteReference"/>
        </w:rPr>
        <w:footnoteReference w:id="70"/>
      </w:r>
      <w:r w:rsidR="009554F5" w:rsidRPr="009554F5">
        <w:t xml:space="preserve"> </w:t>
      </w:r>
    </w:p>
    <w:p w14:paraId="12154033" w14:textId="2A1CDB84" w:rsidR="00AD170C" w:rsidRDefault="00BF4BB3" w:rsidP="00BF4BB3">
      <w:pPr>
        <w:pStyle w:val="SingleTxtG"/>
        <w:tabs>
          <w:tab w:val="left" w:pos="1701"/>
        </w:tabs>
        <w:suppressAutoHyphens w:val="0"/>
        <w:kinsoku/>
        <w:overflowPunct/>
        <w:autoSpaceDE/>
        <w:autoSpaceDN/>
        <w:adjustRightInd/>
        <w:snapToGrid/>
      </w:pPr>
      <w:r>
        <w:t>49.</w:t>
      </w:r>
      <w:r>
        <w:tab/>
      </w:r>
      <w:r w:rsidR="00ED489D">
        <w:t>There is a lack of</w:t>
      </w:r>
      <w:r w:rsidR="00BE24BC">
        <w:t xml:space="preserve"> research on the impacts of cyberbullying on persons with </w:t>
      </w:r>
      <w:proofErr w:type="gramStart"/>
      <w:r w:rsidR="00BE24BC">
        <w:t xml:space="preserve">disabilities as a whole, </w:t>
      </w:r>
      <w:r w:rsidR="00231759">
        <w:t>as well as</w:t>
      </w:r>
      <w:proofErr w:type="gramEnd"/>
      <w:r w:rsidR="00231759">
        <w:t xml:space="preserve"> </w:t>
      </w:r>
      <w:r w:rsidR="00BE24BC">
        <w:t xml:space="preserve">a nuanced </w:t>
      </w:r>
      <w:r w:rsidR="00DD49AC">
        <w:t xml:space="preserve">understanding of </w:t>
      </w:r>
      <w:r w:rsidR="005954EE">
        <w:t>how</w:t>
      </w:r>
      <w:r w:rsidR="00DD49AC">
        <w:t xml:space="preserve"> intersectional characteristics affect their risk </w:t>
      </w:r>
      <w:r w:rsidR="00B3571D">
        <w:t xml:space="preserve">of </w:t>
      </w:r>
      <w:r w:rsidR="00DD49AC">
        <w:t xml:space="preserve">and experience </w:t>
      </w:r>
      <w:r w:rsidR="00B3571D">
        <w:t xml:space="preserve">with </w:t>
      </w:r>
      <w:r w:rsidR="00DD49AC">
        <w:t xml:space="preserve">cyberbullying. </w:t>
      </w:r>
      <w:r w:rsidR="00BE24BC">
        <w:t xml:space="preserve">Preliminary information suggests that the consequences of cyberbullying on older deaf individuals, for example, can be profound, contributing to </w:t>
      </w:r>
      <w:r w:rsidR="00D153FB">
        <w:t xml:space="preserve">a </w:t>
      </w:r>
      <w:r w:rsidR="00BE24BC">
        <w:t xml:space="preserve">decline </w:t>
      </w:r>
      <w:r w:rsidR="005D0E3C">
        <w:t xml:space="preserve">in health </w:t>
      </w:r>
      <w:r w:rsidR="00BE24BC">
        <w:t>and quality of life.</w:t>
      </w:r>
      <w:r w:rsidR="00995265">
        <w:rPr>
          <w:rStyle w:val="FootnoteReference"/>
        </w:rPr>
        <w:footnoteReference w:id="71"/>
      </w:r>
      <w:r w:rsidR="00BE24BC">
        <w:t xml:space="preserve"> </w:t>
      </w:r>
      <w:r w:rsidR="00D92F38">
        <w:t>A major UNESCO study indicates that learners with disabilities, or those who have limitations, or participation restrictions that make learning difficult, are disproportionately affected by bullying at every age</w:t>
      </w:r>
      <w:r w:rsidR="009B1964">
        <w:t>.</w:t>
      </w:r>
      <w:r w:rsidR="00D92F38">
        <w:rPr>
          <w:rStyle w:val="FootnoteReference"/>
        </w:rPr>
        <w:footnoteReference w:id="72"/>
      </w:r>
      <w:r w:rsidR="009B1964">
        <w:t xml:space="preserve"> </w:t>
      </w:r>
      <w:r w:rsidR="008C7D64">
        <w:t>G</w:t>
      </w:r>
      <w:r w:rsidR="00154934">
        <w:t>aps in the data remain, and an array of intersectional</w:t>
      </w:r>
      <w:r w:rsidR="00C7101E">
        <w:t xml:space="preserve"> </w:t>
      </w:r>
      <w:r w:rsidR="00567197">
        <w:t xml:space="preserve">characteristics that compound cyberbullying against persons with disabilities </w:t>
      </w:r>
      <w:r w:rsidR="00C7101E">
        <w:t xml:space="preserve">warrant further consideration and study, so that tailored </w:t>
      </w:r>
      <w:r w:rsidR="00DD49AC">
        <w:t>interventions</w:t>
      </w:r>
      <w:r w:rsidR="00567197">
        <w:t>, policies, and support mechanisms</w:t>
      </w:r>
      <w:r w:rsidR="00C7101E">
        <w:t xml:space="preserve"> </w:t>
      </w:r>
      <w:r w:rsidR="008C7D64">
        <w:t xml:space="preserve">can </w:t>
      </w:r>
      <w:r w:rsidR="00C7101E">
        <w:t>be developed.</w:t>
      </w:r>
    </w:p>
    <w:p w14:paraId="269BB54E" w14:textId="701F61AB" w:rsidR="00AD170C"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G.</w:t>
      </w:r>
      <w:r>
        <w:rPr>
          <w:rFonts w:eastAsia="SimSun"/>
          <w:lang w:eastAsia="zh-CN"/>
        </w:rPr>
        <w:tab/>
      </w:r>
      <w:r w:rsidR="00AD170C" w:rsidRPr="00624700">
        <w:rPr>
          <w:rFonts w:eastAsia="SimSun"/>
          <w:lang w:eastAsia="zh-CN"/>
        </w:rPr>
        <w:t>Complex relationships between cyberbullying and offline social dynamics, including loneliness</w:t>
      </w:r>
    </w:p>
    <w:p w14:paraId="2262C9B1" w14:textId="1155D8AE" w:rsidR="009B1964" w:rsidRDefault="00BF4BB3" w:rsidP="00BF4BB3">
      <w:pPr>
        <w:pStyle w:val="SingleTxtG"/>
        <w:tabs>
          <w:tab w:val="left" w:pos="1701"/>
        </w:tabs>
        <w:suppressAutoHyphens w:val="0"/>
        <w:kinsoku/>
        <w:overflowPunct/>
        <w:autoSpaceDE/>
        <w:autoSpaceDN/>
        <w:adjustRightInd/>
        <w:snapToGrid/>
      </w:pPr>
      <w:r>
        <w:t>50.</w:t>
      </w:r>
      <w:r>
        <w:tab/>
      </w:r>
      <w:r w:rsidR="00002E6C">
        <w:t>C</w:t>
      </w:r>
      <w:r w:rsidR="005A7AA8">
        <w:t xml:space="preserve">yberbullying is </w:t>
      </w:r>
      <w:r w:rsidR="00A166A8">
        <w:t xml:space="preserve">often </w:t>
      </w:r>
      <w:r w:rsidR="005A7AA8">
        <w:t>perpetrated by persons known to a victim, such as classmates</w:t>
      </w:r>
      <w:r w:rsidR="009B1964">
        <w:t>, colleagues, or former friends or dating partners</w:t>
      </w:r>
      <w:r w:rsidR="005A7AA8">
        <w:t>, rather than strangers.</w:t>
      </w:r>
      <w:r w:rsidR="00995265">
        <w:rPr>
          <w:rStyle w:val="FootnoteReference"/>
        </w:rPr>
        <w:footnoteReference w:id="73"/>
      </w:r>
      <w:r w:rsidR="005A7AA8">
        <w:t xml:space="preserve"> </w:t>
      </w:r>
      <w:r w:rsidR="009B1964">
        <w:t>As a result, some persons with disabilities may be willing to tolerate – and not report – cyberbullying, deeming it preferable to social isolation and exclusion.</w:t>
      </w:r>
      <w:r w:rsidR="00995265">
        <w:rPr>
          <w:rStyle w:val="FootnoteReference"/>
        </w:rPr>
        <w:footnoteReference w:id="74"/>
      </w:r>
    </w:p>
    <w:p w14:paraId="5EFF7D32" w14:textId="7ADC2FB5" w:rsidR="00AD170C" w:rsidRDefault="00BF4BB3" w:rsidP="00BF4BB3">
      <w:pPr>
        <w:pStyle w:val="SingleTxtG"/>
        <w:tabs>
          <w:tab w:val="left" w:pos="1701"/>
        </w:tabs>
        <w:suppressAutoHyphens w:val="0"/>
        <w:kinsoku/>
        <w:overflowPunct/>
        <w:autoSpaceDE/>
        <w:autoSpaceDN/>
        <w:adjustRightInd/>
        <w:snapToGrid/>
      </w:pPr>
      <w:r>
        <w:t>51.</w:t>
      </w:r>
      <w:r>
        <w:tab/>
      </w:r>
      <w:r w:rsidR="006D3B24">
        <w:t>L</w:t>
      </w:r>
      <w:r w:rsidR="00E07B40">
        <w:t xml:space="preserve">oneliness and isolation can often lead people to spend </w:t>
      </w:r>
      <w:r w:rsidR="006D3B24">
        <w:t>more</w:t>
      </w:r>
      <w:r w:rsidR="00E07B40">
        <w:t xml:space="preserve"> time online, creating a dangerous feedback loop where loneliness increases vulnerability and exposure to cyberbullying.</w:t>
      </w:r>
      <w:r w:rsidR="00420455">
        <w:t xml:space="preserve"> </w:t>
      </w:r>
      <w:r w:rsidR="003A5701">
        <w:t>At the same time, b</w:t>
      </w:r>
      <w:r w:rsidR="00420455">
        <w:t>eing a victim of cyberbullying</w:t>
      </w:r>
      <w:r w:rsidR="00593017">
        <w:t xml:space="preserve"> </w:t>
      </w:r>
      <w:r w:rsidR="00420455">
        <w:t>contribute</w:t>
      </w:r>
      <w:r w:rsidR="00995A25">
        <w:t>s</w:t>
      </w:r>
      <w:r w:rsidR="00420455">
        <w:t xml:space="preserve"> to a </w:t>
      </w:r>
      <w:r w:rsidR="00F27331">
        <w:t xml:space="preserve">feeling </w:t>
      </w:r>
      <w:r w:rsidR="00420455">
        <w:t>of loneliness and lower self-esteem.</w:t>
      </w:r>
      <w:r w:rsidR="00CF2CD1">
        <w:t xml:space="preserve"> Loneliness in general has been deemed a pressing public health threat by the World Health Organization, which has established social connection as a global health priority.</w:t>
      </w:r>
      <w:r w:rsidR="003A1ABA">
        <w:rPr>
          <w:rStyle w:val="FootnoteReference"/>
        </w:rPr>
        <w:footnoteReference w:id="75"/>
      </w:r>
      <w:r w:rsidR="00CF2CD1">
        <w:t xml:space="preserve"> While digital technology can play a powerful role in supporting social connection, </w:t>
      </w:r>
      <w:r w:rsidR="00F319B9">
        <w:t>it is important to</w:t>
      </w:r>
      <w:r w:rsidR="00CF2CD1">
        <w:t xml:space="preserve"> ensure that its benefits are not denied to persons with disabilities </w:t>
      </w:r>
      <w:proofErr w:type="gramStart"/>
      <w:r w:rsidR="00CF2CD1">
        <w:t>as a result of</w:t>
      </w:r>
      <w:proofErr w:type="gramEnd"/>
      <w:r w:rsidR="00CF2CD1">
        <w:t xml:space="preserve"> cyberbullying.</w:t>
      </w:r>
      <w:r w:rsidR="00CF2CD1">
        <w:rPr>
          <w:rStyle w:val="FootnoteReference"/>
        </w:rPr>
        <w:footnoteReference w:id="76"/>
      </w:r>
    </w:p>
    <w:p w14:paraId="1D0C7A7A" w14:textId="2FD73F0D" w:rsidR="00615106" w:rsidRDefault="00BF4BB3" w:rsidP="00BF4BB3">
      <w:pPr>
        <w:pStyle w:val="SingleTxtG"/>
        <w:tabs>
          <w:tab w:val="left" w:pos="1701"/>
        </w:tabs>
        <w:suppressAutoHyphens w:val="0"/>
        <w:kinsoku/>
        <w:overflowPunct/>
        <w:autoSpaceDE/>
        <w:autoSpaceDN/>
        <w:adjustRightInd/>
        <w:snapToGrid/>
      </w:pPr>
      <w:r>
        <w:t>52.</w:t>
      </w:r>
      <w:r>
        <w:tab/>
      </w:r>
      <w:r w:rsidR="00615106">
        <w:t xml:space="preserve">Cyberbullying </w:t>
      </w:r>
      <w:r w:rsidR="00567197">
        <w:t>can</w:t>
      </w:r>
      <w:r w:rsidR="00615106">
        <w:t xml:space="preserve"> also </w:t>
      </w:r>
      <w:r w:rsidR="00567197">
        <w:t>constitute</w:t>
      </w:r>
      <w:r w:rsidR="00615106">
        <w:t xml:space="preserve"> a</w:t>
      </w:r>
      <w:r w:rsidR="00BA5B89">
        <w:t>n</w:t>
      </w:r>
      <w:r w:rsidR="00615106">
        <w:t xml:space="preserve"> additional layer of trauma for those who are already experiencing traditional forms of bullying. </w:t>
      </w:r>
      <w:r w:rsidR="009A2ED3">
        <w:t>P</w:t>
      </w:r>
      <w:r w:rsidR="00615106">
        <w:t xml:space="preserve">rogress </w:t>
      </w:r>
      <w:r w:rsidR="00E8523E">
        <w:t xml:space="preserve">in countering </w:t>
      </w:r>
      <w:r w:rsidR="00615106">
        <w:t>cyberbullying require</w:t>
      </w:r>
      <w:r w:rsidR="003A1ABA">
        <w:t>s</w:t>
      </w:r>
      <w:r w:rsidR="00615106">
        <w:t xml:space="preserve"> </w:t>
      </w:r>
      <w:r w:rsidR="00896253">
        <w:t xml:space="preserve">concurrent </w:t>
      </w:r>
      <w:r w:rsidR="00615106">
        <w:t>engagement with offline social dynamics</w:t>
      </w:r>
      <w:r w:rsidR="00414266">
        <w:t>.</w:t>
      </w:r>
      <w:r w:rsidR="00EA6CDA">
        <w:t xml:space="preserve">, </w:t>
      </w:r>
      <w:r w:rsidR="00D325E5">
        <w:t>These include</w:t>
      </w:r>
      <w:r w:rsidR="00C13E2B">
        <w:t>, as recognized by the UN General Assembly,</w:t>
      </w:r>
      <w:r w:rsidR="00C13E2B">
        <w:rPr>
          <w:rStyle w:val="FootnoteReference"/>
        </w:rPr>
        <w:footnoteReference w:id="77"/>
      </w:r>
      <w:r w:rsidR="00C13E2B">
        <w:t xml:space="preserve"> </w:t>
      </w:r>
      <w:r w:rsidR="00D325E5">
        <w:t xml:space="preserve">entrenched social and economic inequalities, </w:t>
      </w:r>
      <w:r w:rsidR="00567197">
        <w:t xml:space="preserve">the treatment of women and sexual minorities, </w:t>
      </w:r>
      <w:r w:rsidR="00C13E2B">
        <w:t xml:space="preserve">and </w:t>
      </w:r>
      <w:r w:rsidR="005F302A">
        <w:t>addressing</w:t>
      </w:r>
      <w:r w:rsidR="00C13E2B">
        <w:t xml:space="preserve"> the </w:t>
      </w:r>
      <w:r w:rsidR="00567197">
        <w:t xml:space="preserve">complex </w:t>
      </w:r>
      <w:r w:rsidR="00EA6CDA">
        <w:t>social dynamics of children.</w:t>
      </w:r>
      <w:r w:rsidR="00C13E2B">
        <w:t xml:space="preserve"> </w:t>
      </w:r>
    </w:p>
    <w:p w14:paraId="2385E335" w14:textId="2115ED96" w:rsidR="006048D2"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lastRenderedPageBreak/>
        <w:t>H.</w:t>
      </w:r>
      <w:r>
        <w:rPr>
          <w:rFonts w:eastAsia="SimSun"/>
          <w:lang w:eastAsia="zh-CN"/>
        </w:rPr>
        <w:tab/>
      </w:r>
      <w:r w:rsidR="003C64F3" w:rsidRPr="00624700">
        <w:rPr>
          <w:rFonts w:eastAsia="SimSun"/>
          <w:lang w:eastAsia="zh-CN"/>
        </w:rPr>
        <w:t>Inadvertent impacts of countermeasures on other human rights</w:t>
      </w:r>
    </w:p>
    <w:p w14:paraId="561A7516" w14:textId="1BCD2C67" w:rsidR="0031256D" w:rsidRDefault="00BF4BB3" w:rsidP="00BF4BB3">
      <w:pPr>
        <w:pStyle w:val="SingleTxtG"/>
        <w:tabs>
          <w:tab w:val="left" w:pos="1701"/>
        </w:tabs>
        <w:suppressAutoHyphens w:val="0"/>
        <w:kinsoku/>
        <w:overflowPunct/>
        <w:autoSpaceDE/>
        <w:autoSpaceDN/>
        <w:adjustRightInd/>
        <w:snapToGrid/>
      </w:pPr>
      <w:r>
        <w:t>53.</w:t>
      </w:r>
      <w:r>
        <w:tab/>
      </w:r>
      <w:r w:rsidR="00CE73E5">
        <w:t>M</w:t>
      </w:r>
      <w:r w:rsidR="003C64F3">
        <w:t xml:space="preserve">easures taken to counter cyberbullying can inadvertently and negatively impact the enjoyment of a range of other rights. </w:t>
      </w:r>
      <w:r w:rsidR="003A1ABA">
        <w:t>I</w:t>
      </w:r>
      <w:r w:rsidR="003C64F3">
        <w:t>nitiatives aimed at reducing cyberbullying can</w:t>
      </w:r>
      <w:r w:rsidR="008227D0">
        <w:t>, for example,</w:t>
      </w:r>
      <w:r w:rsidR="003C64F3">
        <w:t xml:space="preserve"> </w:t>
      </w:r>
      <w:r w:rsidR="00567197">
        <w:t>unwittingly</w:t>
      </w:r>
      <w:r w:rsidR="003C64F3">
        <w:t xml:space="preserve"> imperil freedom of expression </w:t>
      </w:r>
      <w:r w:rsidR="003A1ABA">
        <w:t xml:space="preserve">and </w:t>
      </w:r>
      <w:r w:rsidR="003C64F3">
        <w:t xml:space="preserve">diminish civic space and discourse. </w:t>
      </w:r>
    </w:p>
    <w:p w14:paraId="160A1538" w14:textId="1BD4E505" w:rsidR="00751AF0" w:rsidRDefault="00BF4BB3" w:rsidP="00BF4BB3">
      <w:pPr>
        <w:pStyle w:val="SingleTxtG"/>
        <w:tabs>
          <w:tab w:val="left" w:pos="1701"/>
        </w:tabs>
        <w:suppressAutoHyphens w:val="0"/>
        <w:kinsoku/>
        <w:overflowPunct/>
        <w:autoSpaceDE/>
        <w:autoSpaceDN/>
        <w:adjustRightInd/>
        <w:snapToGrid/>
      </w:pPr>
      <w:r>
        <w:t>54.</w:t>
      </w:r>
      <w:r>
        <w:tab/>
      </w:r>
      <w:r w:rsidR="0031256D">
        <w:t xml:space="preserve">Without precautions, interventions to detect and remove content that could constitute cyberbullying may have deleterious effects for human rights, including </w:t>
      </w:r>
      <w:r w:rsidR="00B3571D">
        <w:t xml:space="preserve">rights </w:t>
      </w:r>
      <w:r w:rsidR="0031256D">
        <w:t xml:space="preserve">of persons with disabilities. </w:t>
      </w:r>
      <w:r w:rsidR="009876BA">
        <w:t>Efforts, for example,</w:t>
      </w:r>
      <w:r w:rsidR="009C1068">
        <w:t xml:space="preserve"> to remove what is termed harmful </w:t>
      </w:r>
      <w:r w:rsidR="00B3571D">
        <w:t>m</w:t>
      </w:r>
      <w:r w:rsidR="009C1068">
        <w:t>isinformation relating to persons with disabilities could inadvertently suppress legitimate and protected speech</w:t>
      </w:r>
      <w:r w:rsidR="00A963E5">
        <w:t xml:space="preserve">, for example as a consequence of vague or overly broad laws and policies, often </w:t>
      </w:r>
      <w:r w:rsidR="00B3571D">
        <w:t>enforced with little</w:t>
      </w:r>
      <w:r w:rsidR="00A963E5">
        <w:t xml:space="preserve"> transparen</w:t>
      </w:r>
      <w:r w:rsidR="00B3571D">
        <w:t>cy</w:t>
      </w:r>
      <w:r w:rsidR="009C1068">
        <w:t>.</w:t>
      </w:r>
      <w:r w:rsidR="00A963E5">
        <w:rPr>
          <w:rStyle w:val="FootnoteReference"/>
        </w:rPr>
        <w:footnoteReference w:id="78"/>
      </w:r>
      <w:r w:rsidR="009C1068">
        <w:t xml:space="preserve"> </w:t>
      </w:r>
      <w:r w:rsidR="00FB293E">
        <w:t>I</w:t>
      </w:r>
      <w:r w:rsidR="009876BA">
        <w:t xml:space="preserve">nterventions aimed at removing or reducing the visibility of content expected to trigger cyberbullying of persons with disabilities could affect their right to expression, as well as access to information on digital platforms. </w:t>
      </w:r>
      <w:r w:rsidR="00A86877">
        <w:t>In implementing</w:t>
      </w:r>
      <w:r w:rsidR="00EA6CDA">
        <w:t xml:space="preserve"> ‘zero tolerance’ </w:t>
      </w:r>
      <w:r w:rsidR="00A86877">
        <w:t>policies</w:t>
      </w:r>
      <w:r w:rsidR="00EA6CDA">
        <w:t xml:space="preserve"> </w:t>
      </w:r>
      <w:r w:rsidR="00A86877">
        <w:t>aimed at</w:t>
      </w:r>
      <w:r w:rsidR="00EA6CDA">
        <w:t xml:space="preserve"> eliminat</w:t>
      </w:r>
      <w:r w:rsidR="00A86877">
        <w:t>ing</w:t>
      </w:r>
      <w:r w:rsidR="00EA6CDA">
        <w:t xml:space="preserve"> cyberbullying, i</w:t>
      </w:r>
      <w:r w:rsidR="003C64F3">
        <w:t>t is imperative</w:t>
      </w:r>
      <w:r w:rsidR="00EA6CDA">
        <w:t xml:space="preserve"> </w:t>
      </w:r>
      <w:r w:rsidR="003C64F3">
        <w:t xml:space="preserve">that </w:t>
      </w:r>
      <w:r w:rsidR="00A86877">
        <w:t>States and digital technology companies</w:t>
      </w:r>
      <w:r w:rsidR="003C64F3">
        <w:t xml:space="preserve"> consider the international human rights framework in its entirety, as well as unintended consequences </w:t>
      </w:r>
      <w:r w:rsidR="00EA6CDA">
        <w:t xml:space="preserve">of </w:t>
      </w:r>
      <w:r w:rsidR="00995265">
        <w:t>counter</w:t>
      </w:r>
      <w:r w:rsidR="00EA6CDA">
        <w:t>-cyberbullying interventions.</w:t>
      </w:r>
      <w:r w:rsidR="003C64F3">
        <w:t xml:space="preserve"> </w:t>
      </w:r>
    </w:p>
    <w:p w14:paraId="3962D970" w14:textId="61486889" w:rsidR="00D92F38" w:rsidRPr="00624700" w:rsidRDefault="007C6FF1" w:rsidP="007C6FF1">
      <w:pPr>
        <w:pStyle w:val="HChG"/>
        <w:tabs>
          <w:tab w:val="left" w:pos="1701"/>
        </w:tabs>
        <w:outlineLvl w:val="1"/>
      </w:pPr>
      <w:r>
        <w:tab/>
        <w:t>V.</w:t>
      </w:r>
      <w:r>
        <w:tab/>
      </w:r>
      <w:r w:rsidR="0003574D" w:rsidRPr="00624700">
        <w:t>P</w:t>
      </w:r>
      <w:r w:rsidR="00D92F38" w:rsidRPr="00624700">
        <w:t>romising practices</w:t>
      </w:r>
    </w:p>
    <w:p w14:paraId="7E29F8AB" w14:textId="14C89602" w:rsidR="00751AF0"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A.</w:t>
      </w:r>
      <w:r>
        <w:rPr>
          <w:rFonts w:eastAsia="SimSun"/>
          <w:lang w:eastAsia="zh-CN"/>
        </w:rPr>
        <w:tab/>
      </w:r>
      <w:r w:rsidR="008B1000" w:rsidRPr="00624700">
        <w:rPr>
          <w:rFonts w:eastAsia="SimSun"/>
          <w:lang w:eastAsia="zh-CN"/>
        </w:rPr>
        <w:t xml:space="preserve">Enhancing </w:t>
      </w:r>
      <w:r w:rsidR="00645397" w:rsidRPr="00624700">
        <w:rPr>
          <w:rFonts w:eastAsia="SimSun"/>
          <w:lang w:eastAsia="zh-CN"/>
        </w:rPr>
        <w:t xml:space="preserve">the </w:t>
      </w:r>
      <w:r w:rsidR="00807204" w:rsidRPr="00624700">
        <w:rPr>
          <w:rFonts w:eastAsia="SimSun"/>
          <w:lang w:eastAsia="zh-CN"/>
        </w:rPr>
        <w:t xml:space="preserve">awareness and </w:t>
      </w:r>
      <w:r w:rsidR="00645397" w:rsidRPr="00624700">
        <w:rPr>
          <w:rFonts w:eastAsia="SimSun"/>
          <w:lang w:eastAsia="zh-CN"/>
        </w:rPr>
        <w:t>agency of persons with disabilities in</w:t>
      </w:r>
      <w:r w:rsidR="008B1000" w:rsidRPr="00624700">
        <w:rPr>
          <w:rFonts w:eastAsia="SimSun"/>
          <w:lang w:eastAsia="zh-CN"/>
        </w:rPr>
        <w:t xml:space="preserve"> digital space</w:t>
      </w:r>
      <w:r w:rsidR="008F726A" w:rsidRPr="00624700">
        <w:rPr>
          <w:rFonts w:eastAsia="SimSun"/>
          <w:lang w:eastAsia="zh-CN"/>
        </w:rPr>
        <w:t>s</w:t>
      </w:r>
      <w:r w:rsidR="008B1000" w:rsidRPr="00624700">
        <w:rPr>
          <w:rFonts w:eastAsia="SimSun"/>
          <w:lang w:eastAsia="zh-CN"/>
        </w:rPr>
        <w:t xml:space="preserve"> </w:t>
      </w:r>
    </w:p>
    <w:p w14:paraId="7EF66C1B" w14:textId="36872770" w:rsidR="00BD1C9A" w:rsidRPr="00567197" w:rsidRDefault="00BF4BB3" w:rsidP="00BF4BB3">
      <w:pPr>
        <w:pStyle w:val="SingleTxtG"/>
        <w:tabs>
          <w:tab w:val="left" w:pos="1701"/>
        </w:tabs>
        <w:suppressAutoHyphens w:val="0"/>
        <w:kinsoku/>
        <w:overflowPunct/>
        <w:autoSpaceDE/>
        <w:autoSpaceDN/>
        <w:adjustRightInd/>
        <w:snapToGrid/>
      </w:pPr>
      <w:r>
        <w:t>55.</w:t>
      </w:r>
      <w:r>
        <w:tab/>
      </w:r>
      <w:r w:rsidR="00E853B3">
        <w:t>S</w:t>
      </w:r>
      <w:r w:rsidR="00681FC0" w:rsidRPr="00567197">
        <w:t>everal initiatives</w:t>
      </w:r>
      <w:r w:rsidR="001F793E">
        <w:t xml:space="preserve"> to address cyberbullying</w:t>
      </w:r>
      <w:r w:rsidR="00681FC0" w:rsidRPr="00567197">
        <w:t xml:space="preserve"> have</w:t>
      </w:r>
      <w:r w:rsidR="001F793E">
        <w:t xml:space="preserve"> focused on preventive approaches through empowering persons with disabilities in the digital spaces</w:t>
      </w:r>
      <w:r w:rsidR="00567197" w:rsidRPr="00567197">
        <w:t xml:space="preserve">, </w:t>
      </w:r>
      <w:r w:rsidR="00A46E5D">
        <w:t xml:space="preserve">including </w:t>
      </w:r>
      <w:r w:rsidR="00567197" w:rsidRPr="00567197">
        <w:t xml:space="preserve">efforts to ensure agency and autonomy in digital settings. </w:t>
      </w:r>
      <w:r w:rsidR="00496B06">
        <w:t>C</w:t>
      </w:r>
      <w:r w:rsidR="008F726A" w:rsidRPr="008F726A">
        <w:t xml:space="preserve">reative interventions have sought to empower individuals with the digital literacy skills to identify and address cyberbullying, including against persons with disabilities. </w:t>
      </w:r>
      <w:r w:rsidR="00E31BD3">
        <w:t>Such efforts, often driven by civil society actors,</w:t>
      </w:r>
      <w:r w:rsidR="00E31BD3" w:rsidRPr="008F726A">
        <w:t xml:space="preserve"> can play a</w:t>
      </w:r>
      <w:r w:rsidR="00E31BD3">
        <w:t>n important</w:t>
      </w:r>
      <w:r w:rsidR="00E31BD3" w:rsidRPr="008F726A">
        <w:t xml:space="preserve"> role in </w:t>
      </w:r>
      <w:r w:rsidR="00B3571D">
        <w:t>helping</w:t>
      </w:r>
      <w:r w:rsidR="00E31BD3" w:rsidRPr="008F726A">
        <w:t xml:space="preserve"> individuals to navigate online spaces safely and effectively</w:t>
      </w:r>
      <w:r w:rsidR="00E31BD3">
        <w:t xml:space="preserve">, but cannot replace </w:t>
      </w:r>
      <w:r w:rsidR="002F4DCC">
        <w:t>action</w:t>
      </w:r>
      <w:r w:rsidR="00E31BD3">
        <w:t xml:space="preserve"> to be taken by States and businesses in line with their human rights obligations und responsibilities</w:t>
      </w:r>
      <w:proofErr w:type="gramStart"/>
      <w:r w:rsidR="00E31BD3">
        <w:t xml:space="preserve">. </w:t>
      </w:r>
      <w:r w:rsidR="008F726A" w:rsidRPr="008F726A">
        <w:t>.</w:t>
      </w:r>
      <w:proofErr w:type="gramEnd"/>
    </w:p>
    <w:p w14:paraId="6161B142" w14:textId="3C7B27FD" w:rsidR="00893B00" w:rsidRPr="00645397" w:rsidRDefault="00BF4BB3" w:rsidP="00BF4BB3">
      <w:pPr>
        <w:pStyle w:val="SingleTxtG"/>
        <w:tabs>
          <w:tab w:val="left" w:pos="1701"/>
        </w:tabs>
        <w:suppressAutoHyphens w:val="0"/>
        <w:kinsoku/>
        <w:overflowPunct/>
        <w:autoSpaceDE/>
        <w:autoSpaceDN/>
        <w:adjustRightInd/>
        <w:snapToGrid/>
      </w:pPr>
      <w:r>
        <w:t>56.</w:t>
      </w:r>
      <w:r>
        <w:tab/>
      </w:r>
      <w:r w:rsidR="00893B00">
        <w:t>A contribution by Maat for Peace, Development, and Human Rights, a civil society organization based in Egypt, highlights the launch of educational campaigns in Morocco designed for persons with hearing impairments. These campaigns and courses, developed in sign language, are aimed at raising awareness about digital safety.</w:t>
      </w:r>
      <w:r w:rsidR="00893B00">
        <w:rPr>
          <w:rStyle w:val="FootnoteReference"/>
        </w:rPr>
        <w:footnoteReference w:id="79"/>
      </w:r>
      <w:r w:rsidR="00893B00">
        <w:t xml:space="preserve">  </w:t>
      </w:r>
    </w:p>
    <w:p w14:paraId="069779E6" w14:textId="7A78A9B9" w:rsidR="00893B00" w:rsidRDefault="00BF4BB3" w:rsidP="00BF4BB3">
      <w:pPr>
        <w:pStyle w:val="SingleTxtG"/>
        <w:tabs>
          <w:tab w:val="left" w:pos="1701"/>
        </w:tabs>
        <w:suppressAutoHyphens w:val="0"/>
        <w:kinsoku/>
        <w:overflowPunct/>
        <w:autoSpaceDE/>
        <w:autoSpaceDN/>
        <w:adjustRightInd/>
        <w:snapToGrid/>
      </w:pPr>
      <w:r>
        <w:t>57.</w:t>
      </w:r>
      <w:r>
        <w:tab/>
      </w:r>
      <w:r w:rsidR="00893B00">
        <w:t xml:space="preserve">In Finland, a research-based anti-bullying program called </w:t>
      </w:r>
      <w:proofErr w:type="spellStart"/>
      <w:r w:rsidR="00893B00">
        <w:t>KiVa</w:t>
      </w:r>
      <w:proofErr w:type="spellEnd"/>
      <w:r w:rsidR="00893B00">
        <w:t xml:space="preserve"> includes role-playing exercises and computer games aimed at increasing empathy and expanding awareness of actions they could take in the face of bullying, including cyberbullying.</w:t>
      </w:r>
      <w:r w:rsidR="00893B00">
        <w:rPr>
          <w:rStyle w:val="FootnoteReference"/>
        </w:rPr>
        <w:footnoteReference w:id="80"/>
      </w:r>
      <w:r w:rsidR="00893B00">
        <w:t xml:space="preserve"> </w:t>
      </w:r>
    </w:p>
    <w:p w14:paraId="516E4F47" w14:textId="2C2C55D8" w:rsidR="00893B00" w:rsidRDefault="00BF4BB3" w:rsidP="00BF4BB3">
      <w:pPr>
        <w:pStyle w:val="SingleTxtG"/>
        <w:tabs>
          <w:tab w:val="left" w:pos="1701"/>
        </w:tabs>
        <w:suppressAutoHyphens w:val="0"/>
        <w:kinsoku/>
        <w:overflowPunct/>
        <w:autoSpaceDE/>
        <w:autoSpaceDN/>
        <w:adjustRightInd/>
        <w:snapToGrid/>
      </w:pPr>
      <w:r>
        <w:t>58.</w:t>
      </w:r>
      <w:r>
        <w:tab/>
      </w:r>
      <w:r w:rsidR="00893B00">
        <w:t xml:space="preserve">In Indonesia, the Solomon Islands, and Vietnam, and a program called </w:t>
      </w:r>
      <w:proofErr w:type="spellStart"/>
      <w:r w:rsidR="00893B00">
        <w:t>SwipeSafe</w:t>
      </w:r>
      <w:proofErr w:type="spellEnd"/>
      <w:r w:rsidR="00893B00">
        <w:t xml:space="preserve"> – developed by </w:t>
      </w:r>
      <w:proofErr w:type="spellStart"/>
      <w:r w:rsidR="00893B00">
        <w:t>ChildFund</w:t>
      </w:r>
      <w:proofErr w:type="spellEnd"/>
      <w:r w:rsidR="00893B00">
        <w:t xml:space="preserve"> Australia – offers training for youth on digital safety, including on the security features of popular apps, and exercises to understand potential risks in online spaces.</w:t>
      </w:r>
      <w:r w:rsidR="00893B00">
        <w:rPr>
          <w:rStyle w:val="FootnoteReference"/>
        </w:rPr>
        <w:footnoteReference w:id="81"/>
      </w:r>
    </w:p>
    <w:p w14:paraId="0C9D575D" w14:textId="4EFB7CE8" w:rsidR="00893B00" w:rsidRDefault="00BF4BB3" w:rsidP="00BF4BB3">
      <w:pPr>
        <w:pStyle w:val="SingleTxtG"/>
        <w:tabs>
          <w:tab w:val="left" w:pos="1701"/>
        </w:tabs>
        <w:suppressAutoHyphens w:val="0"/>
        <w:kinsoku/>
        <w:overflowPunct/>
        <w:autoSpaceDE/>
        <w:autoSpaceDN/>
        <w:adjustRightInd/>
        <w:snapToGrid/>
      </w:pPr>
      <w:r>
        <w:t>59.</w:t>
      </w:r>
      <w:r>
        <w:tab/>
      </w:r>
      <w:r w:rsidR="00893B00">
        <w:t>The Italian State Police, in collaboration with the Roberto Rossellini film institute in Rome, also reports having developed a documentary film spotlighting a paralympic champion in a campaign to prevent cyberbullying.</w:t>
      </w:r>
      <w:r w:rsidR="00893B00">
        <w:rPr>
          <w:rStyle w:val="FootnoteReference"/>
        </w:rPr>
        <w:footnoteReference w:id="82"/>
      </w:r>
      <w:r w:rsidR="00893B00">
        <w:t xml:space="preserve">  In a separate initiative, Italy also reports a campaign launched by its Observatory for Security Against Acts of Discrimination (OSCAD) at the Eurovision Song Contest, in which competing artists recorded clips aimed at raising awareness about various forms of discrimination and hatred online, including on the basis of disability.</w:t>
      </w:r>
    </w:p>
    <w:p w14:paraId="1A1D954D" w14:textId="76D31A5D" w:rsidR="00645397" w:rsidRDefault="00BF4BB3" w:rsidP="00BF4BB3">
      <w:pPr>
        <w:pStyle w:val="SingleTxtG"/>
        <w:tabs>
          <w:tab w:val="left" w:pos="1701"/>
        </w:tabs>
        <w:suppressAutoHyphens w:val="0"/>
        <w:kinsoku/>
        <w:overflowPunct/>
        <w:autoSpaceDE/>
        <w:autoSpaceDN/>
        <w:adjustRightInd/>
        <w:snapToGrid/>
      </w:pPr>
      <w:r>
        <w:lastRenderedPageBreak/>
        <w:t>60.</w:t>
      </w:r>
      <w:r>
        <w:tab/>
      </w:r>
      <w:r w:rsidR="00823C74">
        <w:t xml:space="preserve">In its </w:t>
      </w:r>
      <w:r w:rsidR="00F56CC7">
        <w:t>contribution</w:t>
      </w:r>
      <w:r w:rsidR="00823C74">
        <w:t xml:space="preserve">, Spain </w:t>
      </w:r>
      <w:r w:rsidR="00F56CC7">
        <w:t>reports</w:t>
      </w:r>
      <w:r w:rsidR="00823C74">
        <w:t xml:space="preserve"> </w:t>
      </w:r>
      <w:r w:rsidR="00F56CC7">
        <w:t>that it has</w:t>
      </w:r>
      <w:r w:rsidR="00823C74">
        <w:t xml:space="preserve"> developed a series of workshops on the safe and responsible use of the internet for adolescents with intellectual disabilities, which have reach</w:t>
      </w:r>
      <w:r w:rsidR="00CF7247">
        <w:t>ed</w:t>
      </w:r>
      <w:r w:rsidR="00823C74">
        <w:t xml:space="preserve"> more than 11,000 people.</w:t>
      </w:r>
    </w:p>
    <w:p w14:paraId="5D852AFE" w14:textId="09B37F44" w:rsidR="00500893" w:rsidRDefault="00BF4BB3" w:rsidP="00BF4BB3">
      <w:pPr>
        <w:pStyle w:val="SingleTxtG"/>
        <w:tabs>
          <w:tab w:val="left" w:pos="1701"/>
        </w:tabs>
        <w:suppressAutoHyphens w:val="0"/>
        <w:kinsoku/>
        <w:overflowPunct/>
        <w:autoSpaceDE/>
        <w:autoSpaceDN/>
        <w:adjustRightInd/>
        <w:snapToGrid/>
      </w:pPr>
      <w:r>
        <w:t>61.</w:t>
      </w:r>
      <w:r>
        <w:tab/>
      </w:r>
      <w:r w:rsidR="00500893">
        <w:t>Promising interventions have</w:t>
      </w:r>
      <w:r w:rsidR="002F4DCC">
        <w:t xml:space="preserve"> also</w:t>
      </w:r>
      <w:r w:rsidR="00500893">
        <w:t xml:space="preserve"> leveraged the use of educational games and activities. This includes the </w:t>
      </w:r>
      <w:proofErr w:type="spellStart"/>
      <w:r w:rsidR="00500893">
        <w:t>DeafKidz</w:t>
      </w:r>
      <w:proofErr w:type="spellEnd"/>
      <w:r w:rsidR="00500893">
        <w:t xml:space="preserve"> Defenders programme, a games-based intervention aimed at educating deaf and hard-of-hearing children how to identify cyberbullying and seek help.</w:t>
      </w:r>
      <w:r w:rsidR="00500893">
        <w:rPr>
          <w:rStyle w:val="FootnoteReference"/>
        </w:rPr>
        <w:footnoteReference w:id="83"/>
      </w:r>
      <w:r w:rsidR="007C5F0A">
        <w:t xml:space="preserve"> Importantly, the intervention is reported to be available in multiple </w:t>
      </w:r>
      <w:proofErr w:type="gramStart"/>
      <w:r w:rsidR="007C5F0A">
        <w:t>languages, and</w:t>
      </w:r>
      <w:proofErr w:type="gramEnd"/>
      <w:r w:rsidR="007C5F0A">
        <w:t xml:space="preserve"> is designed to be suitable for use in countries with low</w:t>
      </w:r>
      <w:r w:rsidR="00995265">
        <w:t xml:space="preserve"> internet</w:t>
      </w:r>
      <w:r w:rsidR="007C5F0A">
        <w:t xml:space="preserve"> bandwidth.  </w:t>
      </w:r>
    </w:p>
    <w:p w14:paraId="20FC30F9" w14:textId="04B4118E" w:rsidR="00893B00" w:rsidRDefault="00BF4BB3" w:rsidP="00BF4BB3">
      <w:pPr>
        <w:pStyle w:val="SingleTxtG"/>
        <w:tabs>
          <w:tab w:val="left" w:pos="1701"/>
        </w:tabs>
        <w:suppressAutoHyphens w:val="0"/>
        <w:kinsoku/>
        <w:overflowPunct/>
        <w:autoSpaceDE/>
        <w:autoSpaceDN/>
        <w:adjustRightInd/>
        <w:snapToGrid/>
      </w:pPr>
      <w:r>
        <w:t>62.</w:t>
      </w:r>
      <w:r>
        <w:tab/>
      </w:r>
      <w:r w:rsidR="00893B00">
        <w:t>South Africa’s Web Rangers, Media Monitoring Africa, and Impact Amplifier collaborated to develop a comic book to support young people in navigating dynamics around cyberbullying and stereotypes about persons with disabilities, supporting digital literacy and responsible online behaviour.</w:t>
      </w:r>
      <w:r w:rsidR="00893B00">
        <w:rPr>
          <w:rStyle w:val="FootnoteReference"/>
        </w:rPr>
        <w:footnoteReference w:id="84"/>
      </w:r>
    </w:p>
    <w:p w14:paraId="40F10656" w14:textId="1747B37F" w:rsidR="00645397" w:rsidRDefault="00BF4BB3" w:rsidP="00BF4BB3">
      <w:pPr>
        <w:pStyle w:val="SingleTxtG"/>
        <w:tabs>
          <w:tab w:val="left" w:pos="1701"/>
        </w:tabs>
        <w:suppressAutoHyphens w:val="0"/>
        <w:kinsoku/>
        <w:overflowPunct/>
        <w:autoSpaceDE/>
        <w:autoSpaceDN/>
        <w:adjustRightInd/>
        <w:snapToGrid/>
      </w:pPr>
      <w:r>
        <w:t>63.</w:t>
      </w:r>
      <w:r>
        <w:tab/>
      </w:r>
      <w:r w:rsidR="00FB18A9">
        <w:t>Several organizations and States have establish</w:t>
      </w:r>
      <w:r w:rsidR="00995265">
        <w:t>ed</w:t>
      </w:r>
      <w:r w:rsidR="00FB18A9">
        <w:t xml:space="preserve"> p</w:t>
      </w:r>
      <w:r w:rsidR="00645397">
        <w:t>oints of immediate contact for those experiencing or witnessing cyberbullying</w:t>
      </w:r>
      <w:r w:rsidR="00FB18A9">
        <w:t xml:space="preserve">. </w:t>
      </w:r>
      <w:r w:rsidR="00F56CC7">
        <w:t xml:space="preserve">In its contribution, </w:t>
      </w:r>
      <w:r w:rsidR="00A828EA">
        <w:t xml:space="preserve">Italy </w:t>
      </w:r>
      <w:r w:rsidR="00F56CC7">
        <w:t>reports</w:t>
      </w:r>
      <w:r w:rsidR="00A828EA">
        <w:t xml:space="preserve"> having developed an initiative aimed at creating youth ambassadors on cyberbullying. These individuals empower students to become ‘active protagonists’ in the fight against cyberbullying, and points of reference for their peers</w:t>
      </w:r>
      <w:r w:rsidR="00A472FE">
        <w:t xml:space="preserve"> in need of support</w:t>
      </w:r>
      <w:r w:rsidR="00956C2F">
        <w:t>, including those with disabilities</w:t>
      </w:r>
      <w:r w:rsidR="00A828EA">
        <w:t>.</w:t>
      </w:r>
      <w:r w:rsidR="00A828EA">
        <w:rPr>
          <w:rStyle w:val="FootnoteReference"/>
        </w:rPr>
        <w:footnoteReference w:id="85"/>
      </w:r>
      <w:r w:rsidR="00BD1C9A">
        <w:t xml:space="preserve"> In addition, Italy reports that its schools assign a teacher to serve as a contact person for those experiencing cyberbullying, who can also cooperate with law enforcement, associations, and youth centres.</w:t>
      </w:r>
    </w:p>
    <w:p w14:paraId="59522914" w14:textId="51444765" w:rsidR="00645397" w:rsidRPr="00624700" w:rsidRDefault="00624700"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B.</w:t>
      </w:r>
      <w:r>
        <w:rPr>
          <w:rFonts w:eastAsia="SimSun"/>
          <w:lang w:eastAsia="zh-CN"/>
        </w:rPr>
        <w:tab/>
      </w:r>
      <w:r w:rsidR="00645397" w:rsidRPr="00624700">
        <w:rPr>
          <w:rFonts w:eastAsia="SimSun"/>
          <w:lang w:eastAsia="zh-CN"/>
        </w:rPr>
        <w:t>Tailored, accessible resources and support services</w:t>
      </w:r>
    </w:p>
    <w:p w14:paraId="665D13C6" w14:textId="7F867436" w:rsidR="00567197" w:rsidRDefault="00BF4BB3" w:rsidP="00BF4BB3">
      <w:pPr>
        <w:pStyle w:val="SingleTxtG"/>
        <w:tabs>
          <w:tab w:val="left" w:pos="1701"/>
        </w:tabs>
        <w:suppressAutoHyphens w:val="0"/>
        <w:kinsoku/>
        <w:overflowPunct/>
        <w:autoSpaceDE/>
        <w:autoSpaceDN/>
        <w:adjustRightInd/>
        <w:snapToGrid/>
      </w:pPr>
      <w:r>
        <w:t>64.</w:t>
      </w:r>
      <w:r>
        <w:tab/>
      </w:r>
      <w:r w:rsidR="004B1357">
        <w:t xml:space="preserve">Responding to </w:t>
      </w:r>
      <w:r w:rsidR="00681FC0">
        <w:t xml:space="preserve">the need for tailored resources in formats accessible to persons with disabilities, </w:t>
      </w:r>
      <w:r w:rsidR="004B1357">
        <w:t xml:space="preserve">several initiatives developing </w:t>
      </w:r>
      <w:r w:rsidR="00A2469E">
        <w:t xml:space="preserve">disability-accessible resources and support services </w:t>
      </w:r>
      <w:r w:rsidR="00D8462B">
        <w:t>on</w:t>
      </w:r>
      <w:r w:rsidR="00A2469E">
        <w:t xml:space="preserve"> cyberbullying</w:t>
      </w:r>
      <w:r w:rsidR="004B1357">
        <w:t xml:space="preserve"> have </w:t>
      </w:r>
      <w:r w:rsidR="00DC0EB4">
        <w:t>emerged</w:t>
      </w:r>
      <w:r w:rsidR="00A2469E">
        <w:t xml:space="preserve">. </w:t>
      </w:r>
    </w:p>
    <w:p w14:paraId="231280C7" w14:textId="405B4E39" w:rsidR="004A67F9" w:rsidRDefault="00BF4BB3" w:rsidP="00BF4BB3">
      <w:pPr>
        <w:pStyle w:val="SingleTxtG"/>
        <w:tabs>
          <w:tab w:val="left" w:pos="1701"/>
        </w:tabs>
        <w:suppressAutoHyphens w:val="0"/>
        <w:kinsoku/>
        <w:overflowPunct/>
        <w:autoSpaceDE/>
        <w:autoSpaceDN/>
        <w:adjustRightInd/>
        <w:snapToGrid/>
      </w:pPr>
      <w:r>
        <w:t>65.</w:t>
      </w:r>
      <w:r>
        <w:tab/>
      </w:r>
      <w:r w:rsidR="00A2469E">
        <w:t xml:space="preserve">The National Deaf Confederation of Spain (CNSE) reports collaborating with the Spanish National Cybersecurity Institute to develop resources on cyberbullying for deaf youth and their </w:t>
      </w:r>
      <w:r w:rsidR="00D8462B">
        <w:t>family</w:t>
      </w:r>
      <w:r w:rsidR="00A2469E">
        <w:t xml:space="preserve"> </w:t>
      </w:r>
      <w:r w:rsidR="00C63C64">
        <w:t>members and</w:t>
      </w:r>
      <w:r w:rsidR="00A2469E">
        <w:t xml:space="preserve"> </w:t>
      </w:r>
      <w:r w:rsidR="00D8462B">
        <w:t>ensuring</w:t>
      </w:r>
      <w:r w:rsidR="00A2469E">
        <w:t xml:space="preserve"> that those resources are accessible in sign language.</w:t>
      </w:r>
      <w:r w:rsidR="00A2469E">
        <w:rPr>
          <w:rStyle w:val="FootnoteReference"/>
        </w:rPr>
        <w:footnoteReference w:id="86"/>
      </w:r>
      <w:r w:rsidR="0032643C">
        <w:t xml:space="preserve"> Separately, Spain reports having developed a bullying assistance hotline that has been adapted for accessibility by students with hearing disabilities.</w:t>
      </w:r>
    </w:p>
    <w:p w14:paraId="031F46B2" w14:textId="338DD5B7" w:rsidR="00A67B3F" w:rsidRDefault="00BF4BB3" w:rsidP="00BF4BB3">
      <w:pPr>
        <w:pStyle w:val="SingleTxtG"/>
        <w:tabs>
          <w:tab w:val="left" w:pos="1701"/>
        </w:tabs>
        <w:suppressAutoHyphens w:val="0"/>
        <w:kinsoku/>
        <w:overflowPunct/>
        <w:autoSpaceDE/>
        <w:autoSpaceDN/>
        <w:adjustRightInd/>
        <w:snapToGrid/>
      </w:pPr>
      <w:r>
        <w:t>66.</w:t>
      </w:r>
      <w:r>
        <w:tab/>
      </w:r>
      <w:r w:rsidR="00A67B3F">
        <w:t xml:space="preserve">Media Monitoring Africa, </w:t>
      </w:r>
      <w:r w:rsidR="00823C74">
        <w:t>based in South Africa,</w:t>
      </w:r>
      <w:r w:rsidR="00A67B3F">
        <w:t xml:space="preserve"> reports offering a disability-accessible platform, known as ‘Real411,’ through which the public can submit complaints about online harms. These reports are reviewed by experts</w:t>
      </w:r>
      <w:r w:rsidR="007933DA">
        <w:t xml:space="preserve"> and the </w:t>
      </w:r>
      <w:r w:rsidR="00A67B3F">
        <w:t xml:space="preserve">complaint outcome and explanation </w:t>
      </w:r>
      <w:r w:rsidR="008D2735">
        <w:t xml:space="preserve">are </w:t>
      </w:r>
      <w:r w:rsidR="00A67B3F">
        <w:t xml:space="preserve">published on the platform. An appeals process is available with review by a former judge of South Africa’s Constitutional Court. </w:t>
      </w:r>
    </w:p>
    <w:p w14:paraId="43EF04F0" w14:textId="6BD61782" w:rsidR="007A4C94" w:rsidRDefault="00BF4BB3" w:rsidP="00BF4BB3">
      <w:pPr>
        <w:pStyle w:val="SingleTxtG"/>
        <w:tabs>
          <w:tab w:val="left" w:pos="1701"/>
        </w:tabs>
        <w:suppressAutoHyphens w:val="0"/>
        <w:kinsoku/>
        <w:overflowPunct/>
        <w:autoSpaceDE/>
        <w:autoSpaceDN/>
        <w:adjustRightInd/>
        <w:snapToGrid/>
      </w:pPr>
      <w:r>
        <w:t>67.</w:t>
      </w:r>
      <w:r>
        <w:tab/>
      </w:r>
      <w:r w:rsidR="007A4C94">
        <w:t xml:space="preserve">In </w:t>
      </w:r>
      <w:r w:rsidR="00664475">
        <w:t>Czechia</w:t>
      </w:r>
      <w:r w:rsidR="007A4C94">
        <w:t xml:space="preserve">, the </w:t>
      </w:r>
      <w:proofErr w:type="spellStart"/>
      <w:r w:rsidR="007A4C94">
        <w:t>iPREV</w:t>
      </w:r>
      <w:proofErr w:type="spellEnd"/>
      <w:r w:rsidR="007A4C94">
        <w:t xml:space="preserve"> platform allows primary and secondary schools to record occurrences of cyberbullying, and to monitor its prevalence.</w:t>
      </w:r>
      <w:r w:rsidR="00995265">
        <w:rPr>
          <w:rStyle w:val="FootnoteReference"/>
        </w:rPr>
        <w:footnoteReference w:id="87"/>
      </w:r>
    </w:p>
    <w:p w14:paraId="57FCD39A" w14:textId="39AA5F62" w:rsidR="004A67F9" w:rsidRPr="00B6765F" w:rsidRDefault="00B6765F"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C.</w:t>
      </w:r>
      <w:r>
        <w:rPr>
          <w:rFonts w:eastAsia="SimSun"/>
          <w:lang w:eastAsia="zh-CN"/>
        </w:rPr>
        <w:tab/>
      </w:r>
      <w:r w:rsidR="0021396D" w:rsidRPr="00B6765F">
        <w:rPr>
          <w:rFonts w:eastAsia="SimSun"/>
          <w:lang w:eastAsia="zh-CN"/>
        </w:rPr>
        <w:t xml:space="preserve">Training of teachers, law enforcement, </w:t>
      </w:r>
      <w:r w:rsidR="00ED3D1D" w:rsidRPr="00B6765F">
        <w:rPr>
          <w:rFonts w:eastAsia="SimSun"/>
          <w:lang w:eastAsia="zh-CN"/>
        </w:rPr>
        <w:t>parents, and caregivers</w:t>
      </w:r>
      <w:r w:rsidR="0021396D" w:rsidRPr="00B6765F">
        <w:rPr>
          <w:rFonts w:eastAsia="SimSun"/>
          <w:lang w:eastAsia="zh-CN"/>
        </w:rPr>
        <w:t xml:space="preserve"> </w:t>
      </w:r>
    </w:p>
    <w:p w14:paraId="1781D642" w14:textId="3C924B69" w:rsidR="009051BC" w:rsidRDefault="00BF4BB3" w:rsidP="00BF4BB3">
      <w:pPr>
        <w:pStyle w:val="SingleTxtG"/>
        <w:tabs>
          <w:tab w:val="left" w:pos="1701"/>
        </w:tabs>
        <w:suppressAutoHyphens w:val="0"/>
        <w:kinsoku/>
        <w:overflowPunct/>
        <w:autoSpaceDE/>
        <w:autoSpaceDN/>
        <w:adjustRightInd/>
        <w:snapToGrid/>
      </w:pPr>
      <w:r>
        <w:t>68.</w:t>
      </w:r>
      <w:r>
        <w:tab/>
      </w:r>
      <w:r w:rsidR="00BD6475">
        <w:t>Several</w:t>
      </w:r>
      <w:r w:rsidR="007A4C94">
        <w:t xml:space="preserve"> States have developed initiatives aimed at empowering teachers, parents, caregivers, and law enforcement to support cyberbullying prevention, detection, and response. </w:t>
      </w:r>
      <w:r w:rsidR="002F4DCC">
        <w:t xml:space="preserve">Some </w:t>
      </w:r>
      <w:r w:rsidR="00B67A1E">
        <w:t>of these</w:t>
      </w:r>
      <w:r w:rsidR="00FF1F32">
        <w:t xml:space="preserve"> initiatives</w:t>
      </w:r>
      <w:r w:rsidR="002F4DCC">
        <w:t>, however,</w:t>
      </w:r>
      <w:r w:rsidR="00FF1F32">
        <w:t xml:space="preserve"> remain general, </w:t>
      </w:r>
      <w:r w:rsidR="00AA739A">
        <w:t>with limited integration of a</w:t>
      </w:r>
      <w:r w:rsidR="007E6F9C">
        <w:t xml:space="preserve"> specific</w:t>
      </w:r>
      <w:r w:rsidR="00AA739A">
        <w:t xml:space="preserve"> disability rights perspective</w:t>
      </w:r>
      <w:r w:rsidR="00DE64A6">
        <w:t xml:space="preserve">. </w:t>
      </w:r>
    </w:p>
    <w:p w14:paraId="7A76CE4B" w14:textId="30E2FF99" w:rsidR="004A67F9" w:rsidRDefault="00BF4BB3" w:rsidP="00BF4BB3">
      <w:pPr>
        <w:pStyle w:val="SingleTxtG"/>
        <w:tabs>
          <w:tab w:val="left" w:pos="1701"/>
        </w:tabs>
        <w:suppressAutoHyphens w:val="0"/>
        <w:kinsoku/>
        <w:overflowPunct/>
        <w:autoSpaceDE/>
        <w:autoSpaceDN/>
        <w:adjustRightInd/>
        <w:snapToGrid/>
      </w:pPr>
      <w:r>
        <w:lastRenderedPageBreak/>
        <w:t>69.</w:t>
      </w:r>
      <w:r>
        <w:tab/>
      </w:r>
      <w:r w:rsidR="00BF5919">
        <w:t>Czechia</w:t>
      </w:r>
      <w:r w:rsidR="0003189B">
        <w:t xml:space="preserve"> </w:t>
      </w:r>
      <w:r w:rsidR="007A4C94">
        <w:t>reports that its DIGI project offers free educational courses, webinars, and workshops to teachers, aimed at cyberbullying prevention.</w:t>
      </w:r>
      <w:r w:rsidR="00995265">
        <w:rPr>
          <w:rStyle w:val="FootnoteReference"/>
        </w:rPr>
        <w:footnoteReference w:id="88"/>
      </w:r>
      <w:r w:rsidR="007A4C94">
        <w:t xml:space="preserve"> Mexico</w:t>
      </w:r>
      <w:r w:rsidR="00233DA0">
        <w:t>’s Human Rights Commission</w:t>
      </w:r>
      <w:r w:rsidR="007A4C94">
        <w:t xml:space="preserve"> reports that its </w:t>
      </w:r>
      <w:r w:rsidR="00BB2B98">
        <w:t>Cyber Police Unit provides informational talks on the safe and responsible use of technological tools, and guidance to cyberbullying victims and their families about options for filing a complaint with legal authorities.</w:t>
      </w:r>
      <w:r w:rsidR="00233DA0">
        <w:rPr>
          <w:rStyle w:val="FootnoteReference"/>
        </w:rPr>
        <w:footnoteReference w:id="89"/>
      </w:r>
      <w:r w:rsidR="00BB2B98">
        <w:t xml:space="preserve"> </w:t>
      </w:r>
    </w:p>
    <w:p w14:paraId="68CB3404" w14:textId="3D4AF19D" w:rsidR="004A67F9" w:rsidRPr="00B6765F" w:rsidRDefault="00B6765F" w:rsidP="000F6DD5">
      <w:pPr>
        <w:pStyle w:val="H1G"/>
        <w:tabs>
          <w:tab w:val="clear" w:pos="851"/>
        </w:tabs>
        <w:kinsoku/>
        <w:overflowPunct/>
        <w:autoSpaceDE/>
        <w:autoSpaceDN/>
        <w:adjustRightInd/>
        <w:snapToGrid/>
        <w:ind w:hanging="567"/>
        <w:outlineLvl w:val="2"/>
        <w:rPr>
          <w:rFonts w:eastAsia="SimSun"/>
          <w:lang w:eastAsia="zh-CN"/>
        </w:rPr>
      </w:pPr>
      <w:r>
        <w:rPr>
          <w:rFonts w:eastAsia="SimSun"/>
          <w:lang w:eastAsia="zh-CN"/>
        </w:rPr>
        <w:t>D.</w:t>
      </w:r>
      <w:r>
        <w:rPr>
          <w:rFonts w:eastAsia="SimSun"/>
          <w:lang w:eastAsia="zh-CN"/>
        </w:rPr>
        <w:tab/>
      </w:r>
      <w:r w:rsidR="006553D4" w:rsidRPr="00B6765F">
        <w:rPr>
          <w:rFonts w:eastAsia="SimSun"/>
          <w:lang w:eastAsia="zh-CN"/>
        </w:rPr>
        <w:t>Establishing p</w:t>
      </w:r>
      <w:r w:rsidR="0021396D" w:rsidRPr="00B6765F">
        <w:rPr>
          <w:rFonts w:eastAsia="SimSun"/>
          <w:lang w:eastAsia="zh-CN"/>
        </w:rPr>
        <w:t>ublic / private partnerships</w:t>
      </w:r>
      <w:r w:rsidR="006553D4" w:rsidRPr="00B6765F">
        <w:rPr>
          <w:rFonts w:eastAsia="SimSun"/>
          <w:lang w:eastAsia="zh-CN"/>
        </w:rPr>
        <w:t xml:space="preserve"> to counter cyberbullying</w:t>
      </w:r>
    </w:p>
    <w:p w14:paraId="0F3B934C" w14:textId="72411CF5" w:rsidR="00567197" w:rsidRDefault="00BF4BB3" w:rsidP="00BF4BB3">
      <w:pPr>
        <w:pStyle w:val="SingleTxtG"/>
        <w:tabs>
          <w:tab w:val="left" w:pos="1701"/>
        </w:tabs>
        <w:suppressAutoHyphens w:val="0"/>
        <w:kinsoku/>
        <w:overflowPunct/>
        <w:autoSpaceDE/>
        <w:autoSpaceDN/>
        <w:adjustRightInd/>
        <w:snapToGrid/>
      </w:pPr>
      <w:r>
        <w:t>70.</w:t>
      </w:r>
      <w:r>
        <w:tab/>
      </w:r>
      <w:r w:rsidR="00A7126D">
        <w:t>Responding to</w:t>
      </w:r>
      <w:r w:rsidR="001400E7">
        <w:t xml:space="preserve"> the need for cross-sector collaboration, public-private partnerships</w:t>
      </w:r>
      <w:r w:rsidR="00C706A7">
        <w:t xml:space="preserve"> have been developed</w:t>
      </w:r>
      <w:r w:rsidR="001400E7">
        <w:t xml:space="preserve"> to </w:t>
      </w:r>
      <w:r w:rsidR="00632B53">
        <w:t xml:space="preserve">specifically </w:t>
      </w:r>
      <w:r w:rsidR="001400E7">
        <w:t>raise awareness and address risks related to cyberbullying</w:t>
      </w:r>
      <w:r w:rsidR="00632B53">
        <w:t xml:space="preserve"> and persons with disabilities</w:t>
      </w:r>
      <w:r w:rsidR="001400E7">
        <w:t>.</w:t>
      </w:r>
      <w:r w:rsidR="0014528A">
        <w:rPr>
          <w:rStyle w:val="FootnoteReference"/>
        </w:rPr>
        <w:footnoteReference w:id="90"/>
      </w:r>
    </w:p>
    <w:p w14:paraId="6AE452FA" w14:textId="4138AC28" w:rsidR="004A67F9" w:rsidRDefault="00BF4BB3" w:rsidP="00BF4BB3">
      <w:pPr>
        <w:pStyle w:val="SingleTxtG"/>
        <w:tabs>
          <w:tab w:val="left" w:pos="1701"/>
        </w:tabs>
        <w:suppressAutoHyphens w:val="0"/>
        <w:kinsoku/>
        <w:overflowPunct/>
        <w:autoSpaceDE/>
        <w:autoSpaceDN/>
        <w:adjustRightInd/>
        <w:snapToGrid/>
      </w:pPr>
      <w:r>
        <w:t>71.</w:t>
      </w:r>
      <w:r>
        <w:tab/>
      </w:r>
      <w:r w:rsidR="00C677C0">
        <w:t xml:space="preserve">At the 2022 Paris Peace Forum, </w:t>
      </w:r>
      <w:r w:rsidR="003F0899">
        <w:t>the</w:t>
      </w:r>
      <w:r w:rsidR="00C677C0">
        <w:t xml:space="preserve"> </w:t>
      </w:r>
      <w:r w:rsidR="00995265">
        <w:t>C</w:t>
      </w:r>
      <w:r w:rsidR="00C677C0">
        <w:t>hildren Online Protection Lab was launched</w:t>
      </w:r>
      <w:r w:rsidR="003F0899">
        <w:t>. It is a multistakeholder initiative supported by several States, civil society organizations and businesses</w:t>
      </w:r>
      <w:r w:rsidR="00C677C0">
        <w:t xml:space="preserve"> to identify and develop protocols and solutions on the safe use of digital tools by children</w:t>
      </w:r>
      <w:r w:rsidR="00233DA0">
        <w:t>, following a call for children’s rights in the digital environment</w:t>
      </w:r>
      <w:r w:rsidR="00C677C0">
        <w:t>.</w:t>
      </w:r>
      <w:r w:rsidR="00233DA0">
        <w:rPr>
          <w:rStyle w:val="FootnoteReference"/>
        </w:rPr>
        <w:footnoteReference w:id="91"/>
      </w:r>
      <w:r w:rsidR="00C677C0">
        <w:t xml:space="preserve"> </w:t>
      </w:r>
    </w:p>
    <w:p w14:paraId="421E2935" w14:textId="794D3AEF" w:rsidR="007B7349" w:rsidRDefault="00BF4BB3" w:rsidP="00BF4BB3">
      <w:pPr>
        <w:pStyle w:val="SingleTxtG"/>
        <w:tabs>
          <w:tab w:val="left" w:pos="1701"/>
        </w:tabs>
        <w:suppressAutoHyphens w:val="0"/>
        <w:kinsoku/>
        <w:overflowPunct/>
        <w:autoSpaceDE/>
        <w:autoSpaceDN/>
        <w:adjustRightInd/>
        <w:snapToGrid/>
      </w:pPr>
      <w:r>
        <w:t>72.</w:t>
      </w:r>
      <w:r>
        <w:tab/>
      </w:r>
      <w:r w:rsidR="007B7349">
        <w:t>UNICEF has partnered with Meta, Snap</w:t>
      </w:r>
      <w:r w:rsidR="00A16A44">
        <w:t>chat</w:t>
      </w:r>
      <w:r w:rsidR="007B7349">
        <w:t>, TikTok and X (formerly Twitter) to develop resource guides focused on cyberbullying, as well as video clips featuring influencers describing their experiences being bullied online.</w:t>
      </w:r>
      <w:r w:rsidR="007B7349">
        <w:rPr>
          <w:rStyle w:val="FootnoteReference"/>
        </w:rPr>
        <w:footnoteReference w:id="92"/>
      </w:r>
      <w:r w:rsidR="007B7349">
        <w:t xml:space="preserve"> In another joint initiative, Meta and UNICEF partnered to deliver a nation-wide social media campaign focused on digital literacy and safety for children and adolescents in India.</w:t>
      </w:r>
      <w:r w:rsidR="007B7349">
        <w:rPr>
          <w:rStyle w:val="FootnoteReference"/>
        </w:rPr>
        <w:footnoteReference w:id="93"/>
      </w:r>
    </w:p>
    <w:p w14:paraId="442206DF" w14:textId="31DF2FD4" w:rsidR="00A07341" w:rsidRPr="00B6765F" w:rsidRDefault="007C6FF1" w:rsidP="007C6FF1">
      <w:pPr>
        <w:pStyle w:val="HChG"/>
        <w:tabs>
          <w:tab w:val="left" w:pos="1701"/>
        </w:tabs>
        <w:outlineLvl w:val="1"/>
      </w:pPr>
      <w:r>
        <w:tab/>
        <w:t>VI.</w:t>
      </w:r>
      <w:r>
        <w:tab/>
      </w:r>
      <w:r w:rsidR="00E53070" w:rsidRPr="00B6765F">
        <w:t>Recommendations</w:t>
      </w:r>
      <w:r w:rsidR="00A47792" w:rsidRPr="00B6765F">
        <w:t xml:space="preserve"> </w:t>
      </w:r>
    </w:p>
    <w:p w14:paraId="3E14921C" w14:textId="69B00D9B" w:rsidR="00A960C8" w:rsidRPr="00E52D7F" w:rsidRDefault="00BF4BB3" w:rsidP="00BF4BB3">
      <w:pPr>
        <w:pStyle w:val="SingleTxtG"/>
        <w:tabs>
          <w:tab w:val="left" w:pos="1701"/>
        </w:tabs>
        <w:suppressAutoHyphens w:val="0"/>
        <w:kinsoku/>
        <w:overflowPunct/>
        <w:autoSpaceDE/>
        <w:autoSpaceDN/>
        <w:adjustRightInd/>
        <w:snapToGrid/>
        <w:rPr>
          <w:b/>
          <w:bCs/>
        </w:rPr>
      </w:pPr>
      <w:r w:rsidRPr="006D4098">
        <w:t>73.</w:t>
      </w:r>
      <w:r>
        <w:rPr>
          <w:b/>
          <w:bCs/>
        </w:rPr>
        <w:tab/>
      </w:r>
      <w:r w:rsidR="00D05390" w:rsidRPr="00E52D7F">
        <w:rPr>
          <w:b/>
          <w:bCs/>
        </w:rPr>
        <w:t xml:space="preserve">The challenge of cyberbullying sits at the nexus of multiple intersecting and overlapping human </w:t>
      </w:r>
      <w:r w:rsidR="00D05390" w:rsidRPr="00B6765F">
        <w:t>rights</w:t>
      </w:r>
      <w:r w:rsidR="00D05390" w:rsidRPr="00E52D7F">
        <w:rPr>
          <w:b/>
          <w:bCs/>
        </w:rPr>
        <w:t xml:space="preserve"> issues.  </w:t>
      </w:r>
      <w:r w:rsidR="00A960C8" w:rsidRPr="00E52D7F">
        <w:rPr>
          <w:b/>
          <w:bCs/>
        </w:rPr>
        <w:t xml:space="preserve">As </w:t>
      </w:r>
      <w:r w:rsidR="003E06C3" w:rsidRPr="00E52D7F">
        <w:rPr>
          <w:b/>
          <w:bCs/>
        </w:rPr>
        <w:t xml:space="preserve">States and society </w:t>
      </w:r>
      <w:r w:rsidR="00A960C8" w:rsidRPr="00E52D7F">
        <w:rPr>
          <w:b/>
          <w:bCs/>
        </w:rPr>
        <w:t xml:space="preserve">grapple to keep </w:t>
      </w:r>
      <w:r w:rsidR="00567197" w:rsidRPr="00E52D7F">
        <w:rPr>
          <w:b/>
          <w:bCs/>
        </w:rPr>
        <w:t>pace</w:t>
      </w:r>
      <w:r w:rsidR="00A960C8" w:rsidRPr="00E52D7F">
        <w:rPr>
          <w:b/>
          <w:bCs/>
        </w:rPr>
        <w:t xml:space="preserve"> with the risks and opportunities presented by digital technologies, particularly for vulnerable and marginalized communities, the</w:t>
      </w:r>
      <w:r w:rsidR="00810306" w:rsidRPr="00E52D7F">
        <w:rPr>
          <w:b/>
          <w:bCs/>
        </w:rPr>
        <w:t xml:space="preserve"> Office of the</w:t>
      </w:r>
      <w:r w:rsidR="00A960C8" w:rsidRPr="00E52D7F">
        <w:rPr>
          <w:b/>
          <w:bCs/>
        </w:rPr>
        <w:t xml:space="preserve"> High Commissioner </w:t>
      </w:r>
      <w:r w:rsidR="00133D7A" w:rsidRPr="00E52D7F">
        <w:rPr>
          <w:b/>
          <w:bCs/>
        </w:rPr>
        <w:t>makes the following recommendations to States</w:t>
      </w:r>
      <w:r w:rsidR="00A960C8" w:rsidRPr="00E52D7F">
        <w:rPr>
          <w:b/>
          <w:bCs/>
        </w:rPr>
        <w:t>:</w:t>
      </w:r>
    </w:p>
    <w:p w14:paraId="41EDE491" w14:textId="1E677760" w:rsidR="00DA4C3E" w:rsidRPr="00C22647" w:rsidRDefault="00B6765F" w:rsidP="006D4098">
      <w:pPr>
        <w:pStyle w:val="SingleTxtG"/>
        <w:tabs>
          <w:tab w:val="left" w:pos="1701"/>
          <w:tab w:val="left" w:pos="2268"/>
        </w:tabs>
        <w:kinsoku/>
        <w:overflowPunct/>
        <w:autoSpaceDE/>
        <w:autoSpaceDN/>
        <w:adjustRightInd/>
        <w:snapToGrid/>
        <w:ind w:firstLine="567"/>
        <w:rPr>
          <w:b/>
          <w:bCs/>
        </w:rPr>
      </w:pPr>
      <w:r>
        <w:rPr>
          <w:b/>
          <w:bCs/>
        </w:rPr>
        <w:t>(</w:t>
      </w:r>
      <w:r w:rsidRPr="006D4098">
        <w:t>a)</w:t>
      </w:r>
      <w:r>
        <w:rPr>
          <w:b/>
          <w:bCs/>
        </w:rPr>
        <w:tab/>
      </w:r>
      <w:r w:rsidR="009C7ED0" w:rsidRPr="00C22647">
        <w:rPr>
          <w:b/>
          <w:bCs/>
        </w:rPr>
        <w:t>Recognize and implement through legislative and policy framework</w:t>
      </w:r>
      <w:r w:rsidR="008F7C44" w:rsidRPr="00C22647">
        <w:rPr>
          <w:b/>
          <w:bCs/>
        </w:rPr>
        <w:t>s</w:t>
      </w:r>
      <w:r w:rsidR="009C7ED0" w:rsidRPr="00C22647">
        <w:rPr>
          <w:b/>
          <w:bCs/>
        </w:rPr>
        <w:t xml:space="preserve"> the right of </w:t>
      </w:r>
      <w:r w:rsidR="00DA4C3E" w:rsidRPr="00C22647">
        <w:rPr>
          <w:b/>
          <w:bCs/>
        </w:rPr>
        <w:t xml:space="preserve">persons </w:t>
      </w:r>
      <w:r w:rsidR="009C7ED0" w:rsidRPr="00C22647">
        <w:rPr>
          <w:b/>
          <w:bCs/>
        </w:rPr>
        <w:t xml:space="preserve">with disabilities to </w:t>
      </w:r>
      <w:r w:rsidR="009C7ED0" w:rsidRPr="00B6765F">
        <w:rPr>
          <w:rFonts w:eastAsia="SimSun"/>
          <w:b/>
          <w:bCs/>
          <w:lang w:eastAsia="zh-CN"/>
        </w:rPr>
        <w:t>be</w:t>
      </w:r>
      <w:r w:rsidR="009C7ED0" w:rsidRPr="00C22647">
        <w:rPr>
          <w:b/>
          <w:bCs/>
        </w:rPr>
        <w:t xml:space="preserve"> </w:t>
      </w:r>
      <w:r w:rsidR="00662BDC" w:rsidRPr="00C22647">
        <w:rPr>
          <w:b/>
          <w:bCs/>
        </w:rPr>
        <w:t>consulted</w:t>
      </w:r>
      <w:r w:rsidR="009C7ED0" w:rsidRPr="00C22647">
        <w:rPr>
          <w:b/>
          <w:bCs/>
        </w:rPr>
        <w:t xml:space="preserve">, </w:t>
      </w:r>
      <w:r w:rsidR="009C241B" w:rsidRPr="00C22647">
        <w:rPr>
          <w:b/>
          <w:bCs/>
        </w:rPr>
        <w:t xml:space="preserve">through appropriate support systems and </w:t>
      </w:r>
      <w:r w:rsidR="00792452" w:rsidRPr="00C22647">
        <w:rPr>
          <w:b/>
          <w:bCs/>
        </w:rPr>
        <w:t xml:space="preserve">an </w:t>
      </w:r>
      <w:r w:rsidR="009C241B" w:rsidRPr="00C22647">
        <w:rPr>
          <w:b/>
          <w:bCs/>
        </w:rPr>
        <w:t>accessible environment allowing meaningful representation and participation</w:t>
      </w:r>
      <w:r w:rsidR="009C7ED0" w:rsidRPr="00C22647">
        <w:rPr>
          <w:b/>
          <w:bCs/>
        </w:rPr>
        <w:t xml:space="preserve">, on </w:t>
      </w:r>
      <w:r w:rsidR="006C633A" w:rsidRPr="00C22647">
        <w:rPr>
          <w:b/>
          <w:bCs/>
        </w:rPr>
        <w:t xml:space="preserve">policies and initiatives to counter cyberbullying against </w:t>
      </w:r>
      <w:proofErr w:type="gramStart"/>
      <w:r w:rsidR="000E360C" w:rsidRPr="00C22647">
        <w:rPr>
          <w:b/>
          <w:bCs/>
        </w:rPr>
        <w:t>them</w:t>
      </w:r>
      <w:r w:rsidR="00146DBB" w:rsidRPr="00C22647">
        <w:rPr>
          <w:b/>
          <w:bCs/>
        </w:rPr>
        <w:t>;</w:t>
      </w:r>
      <w:proofErr w:type="gramEnd"/>
    </w:p>
    <w:p w14:paraId="05F89A88" w14:textId="025B6E0D" w:rsidR="00133D7A"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(b)</w:t>
      </w:r>
      <w:r w:rsidRPr="006D4098">
        <w:tab/>
      </w:r>
      <w:r w:rsidR="00133D7A" w:rsidRPr="00C22647">
        <w:rPr>
          <w:b/>
          <w:bCs/>
        </w:rPr>
        <w:t>Take a holistic approach to counter</w:t>
      </w:r>
      <w:r w:rsidR="002F4DCC" w:rsidRPr="00C22647">
        <w:rPr>
          <w:b/>
          <w:bCs/>
        </w:rPr>
        <w:t>ing</w:t>
      </w:r>
      <w:r w:rsidR="00133D7A" w:rsidRPr="00C22647">
        <w:rPr>
          <w:b/>
          <w:bCs/>
        </w:rPr>
        <w:t xml:space="preserve"> cyberbullying, </w:t>
      </w:r>
      <w:r w:rsidR="002F4DCC" w:rsidRPr="00C22647">
        <w:rPr>
          <w:b/>
          <w:bCs/>
        </w:rPr>
        <w:t>including by addressing</w:t>
      </w:r>
      <w:r w:rsidR="00133D7A" w:rsidRPr="00C22647">
        <w:rPr>
          <w:b/>
          <w:bCs/>
        </w:rPr>
        <w:t xml:space="preserve"> discrimination against persons with disabilities</w:t>
      </w:r>
      <w:r w:rsidR="002F4DCC" w:rsidRPr="00C22647">
        <w:rPr>
          <w:b/>
          <w:bCs/>
        </w:rPr>
        <w:t xml:space="preserve"> in both </w:t>
      </w:r>
      <w:r w:rsidR="00133D7A" w:rsidRPr="00C22647">
        <w:rPr>
          <w:b/>
          <w:bCs/>
        </w:rPr>
        <w:t>online</w:t>
      </w:r>
      <w:r w:rsidR="002F4DCC" w:rsidRPr="00C22647">
        <w:rPr>
          <w:b/>
          <w:bCs/>
        </w:rPr>
        <w:t xml:space="preserve"> and offline manifestations</w:t>
      </w:r>
      <w:r w:rsidR="00133D7A" w:rsidRPr="00C22647">
        <w:rPr>
          <w:b/>
          <w:bCs/>
        </w:rPr>
        <w:t xml:space="preserve">, </w:t>
      </w:r>
      <w:r w:rsidR="002F4DCC" w:rsidRPr="00C22647">
        <w:rPr>
          <w:b/>
          <w:bCs/>
        </w:rPr>
        <w:t xml:space="preserve">promoting </w:t>
      </w:r>
      <w:r w:rsidR="00133D7A" w:rsidRPr="00C22647">
        <w:rPr>
          <w:b/>
          <w:bCs/>
        </w:rPr>
        <w:t>autonomy</w:t>
      </w:r>
      <w:r w:rsidR="002F4DCC" w:rsidRPr="00C22647">
        <w:rPr>
          <w:b/>
          <w:bCs/>
        </w:rPr>
        <w:t>,</w:t>
      </w:r>
      <w:r w:rsidR="00133D7A" w:rsidRPr="00C22647">
        <w:rPr>
          <w:b/>
          <w:bCs/>
        </w:rPr>
        <w:t xml:space="preserve"> and addressing specific risk factors, with adequate attention to the fields of education, employment, and health, and with a gender-perspective. </w:t>
      </w:r>
    </w:p>
    <w:p w14:paraId="2B9CA3C4" w14:textId="0899A9D7" w:rsidR="00A24326" w:rsidRPr="00B6765F" w:rsidRDefault="00B6765F" w:rsidP="006D4098">
      <w:pPr>
        <w:pStyle w:val="SingleTxtG"/>
        <w:tabs>
          <w:tab w:val="left" w:pos="1701"/>
          <w:tab w:val="left" w:pos="2268"/>
        </w:tabs>
        <w:kinsoku/>
        <w:overflowPunct/>
        <w:autoSpaceDE/>
        <w:autoSpaceDN/>
        <w:adjustRightInd/>
        <w:snapToGrid/>
        <w:ind w:left="1080" w:firstLine="567"/>
        <w:rPr>
          <w:b/>
          <w:bCs/>
        </w:rPr>
      </w:pPr>
      <w:r w:rsidRPr="006D4098">
        <w:t>(c)</w:t>
      </w:r>
      <w:r>
        <w:rPr>
          <w:b/>
          <w:bCs/>
        </w:rPr>
        <w:tab/>
      </w:r>
      <w:r w:rsidR="00A960C8" w:rsidRPr="00B6765F">
        <w:rPr>
          <w:b/>
          <w:bCs/>
        </w:rPr>
        <w:t xml:space="preserve">Expand inclusive digital literacy initiatives to support the responsible use of digital spaces, including </w:t>
      </w:r>
      <w:r w:rsidR="007921A8" w:rsidRPr="00B6765F">
        <w:rPr>
          <w:b/>
          <w:bCs/>
        </w:rPr>
        <w:t>the</w:t>
      </w:r>
      <w:r w:rsidR="00A960C8" w:rsidRPr="00B6765F">
        <w:rPr>
          <w:b/>
          <w:bCs/>
        </w:rPr>
        <w:t xml:space="preserve"> develop</w:t>
      </w:r>
      <w:r w:rsidR="007921A8" w:rsidRPr="00B6765F">
        <w:rPr>
          <w:b/>
          <w:bCs/>
        </w:rPr>
        <w:t>ment</w:t>
      </w:r>
      <w:r w:rsidR="004B7AF3" w:rsidRPr="00B6765F">
        <w:rPr>
          <w:b/>
          <w:bCs/>
        </w:rPr>
        <w:t xml:space="preserve"> of</w:t>
      </w:r>
      <w:r w:rsidR="00A960C8" w:rsidRPr="00B6765F">
        <w:rPr>
          <w:b/>
          <w:bCs/>
        </w:rPr>
        <w:t xml:space="preserve"> creative, accessible campaigns that leverage games, simulations, storytelling, social media, comic books, or educational entertainment, </w:t>
      </w:r>
      <w:r w:rsidR="004F223C" w:rsidRPr="00B6765F">
        <w:rPr>
          <w:b/>
          <w:bCs/>
        </w:rPr>
        <w:t xml:space="preserve">or </w:t>
      </w:r>
      <w:r w:rsidR="00A960C8" w:rsidRPr="00B6765F">
        <w:rPr>
          <w:b/>
          <w:bCs/>
        </w:rPr>
        <w:t>spotlighting local ‘heroes’ who have responded effectively to cyberbullying</w:t>
      </w:r>
      <w:r w:rsidR="00BE4BA3" w:rsidRPr="00B6765F">
        <w:rPr>
          <w:b/>
          <w:bCs/>
        </w:rPr>
        <w:t>; such initiatives should raise public awareness of strategies to prevent and respond to cyberbullying against person with disabilities and expand awareness of the tools and resources available to support those who experience or witness cyberbullying</w:t>
      </w:r>
      <w:r w:rsidR="00A960C8" w:rsidRPr="00B6765F">
        <w:rPr>
          <w:b/>
          <w:bCs/>
        </w:rPr>
        <w:t>;</w:t>
      </w:r>
    </w:p>
    <w:p w14:paraId="2F1E6A97" w14:textId="3D1D7D25" w:rsidR="00BA4CF2"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(d)</w:t>
      </w:r>
      <w:r>
        <w:rPr>
          <w:b/>
          <w:bCs/>
        </w:rPr>
        <w:tab/>
      </w:r>
      <w:r w:rsidR="00BA4CF2" w:rsidRPr="00C22647">
        <w:rPr>
          <w:b/>
          <w:bCs/>
        </w:rPr>
        <w:t xml:space="preserve">Encourage the development and implementation of policies on </w:t>
      </w:r>
      <w:r w:rsidR="00E9683C" w:rsidRPr="00C22647">
        <w:rPr>
          <w:b/>
          <w:bCs/>
        </w:rPr>
        <w:t xml:space="preserve">bullying, including </w:t>
      </w:r>
      <w:r w:rsidR="00BA4CF2" w:rsidRPr="00C22647">
        <w:rPr>
          <w:b/>
          <w:bCs/>
        </w:rPr>
        <w:t>cyberbullying</w:t>
      </w:r>
      <w:r w:rsidR="00E9683C" w:rsidRPr="00C22647">
        <w:rPr>
          <w:b/>
          <w:bCs/>
        </w:rPr>
        <w:t>,</w:t>
      </w:r>
      <w:r w:rsidR="00BA4CF2" w:rsidRPr="00C22647">
        <w:rPr>
          <w:b/>
          <w:bCs/>
        </w:rPr>
        <w:t xml:space="preserve"> in schools and workplaces, and pair them with the creation of </w:t>
      </w:r>
      <w:r w:rsidR="00BA4CF2" w:rsidRPr="00C22647">
        <w:rPr>
          <w:b/>
          <w:bCs/>
        </w:rPr>
        <w:lastRenderedPageBreak/>
        <w:t>focal points that can serve as immediate resources</w:t>
      </w:r>
      <w:r w:rsidR="004F223C" w:rsidRPr="00C22647">
        <w:rPr>
          <w:b/>
          <w:bCs/>
        </w:rPr>
        <w:t>, points of contact,</w:t>
      </w:r>
      <w:r w:rsidR="00BA4CF2" w:rsidRPr="00C22647">
        <w:rPr>
          <w:b/>
          <w:bCs/>
        </w:rPr>
        <w:t xml:space="preserve"> and ambassadors for responsible social engagement in digital spaces</w:t>
      </w:r>
      <w:proofErr w:type="gramStart"/>
      <w:r w:rsidR="00BA4CF2" w:rsidRPr="00C22647">
        <w:rPr>
          <w:b/>
          <w:bCs/>
        </w:rPr>
        <w:t>.;</w:t>
      </w:r>
      <w:proofErr w:type="gramEnd"/>
    </w:p>
    <w:p w14:paraId="00590983" w14:textId="4C01FB08" w:rsidR="00BF00AE" w:rsidRDefault="00B6765F" w:rsidP="006D4098">
      <w:pPr>
        <w:pStyle w:val="SingleTxtG"/>
        <w:tabs>
          <w:tab w:val="left" w:pos="1701"/>
          <w:tab w:val="left" w:pos="2268"/>
        </w:tabs>
        <w:kinsoku/>
        <w:overflowPunct/>
        <w:autoSpaceDE/>
        <w:autoSpaceDN/>
        <w:adjustRightInd/>
        <w:snapToGrid/>
        <w:ind w:firstLine="567"/>
        <w:rPr>
          <w:b/>
          <w:bCs/>
        </w:rPr>
      </w:pPr>
      <w:r w:rsidRPr="006D4098">
        <w:t>(e)</w:t>
      </w:r>
      <w:r>
        <w:rPr>
          <w:b/>
          <w:bCs/>
        </w:rPr>
        <w:tab/>
      </w:r>
      <w:r w:rsidR="003F6C32" w:rsidRPr="00C22647">
        <w:rPr>
          <w:b/>
          <w:bCs/>
        </w:rPr>
        <w:t xml:space="preserve">Expand comprehensive training across social sectors on countering cyberbullying against persons with disabilities, including in schools, workplaces, </w:t>
      </w:r>
      <w:r w:rsidR="00AC063A" w:rsidRPr="00C22647">
        <w:rPr>
          <w:b/>
          <w:bCs/>
        </w:rPr>
        <w:t xml:space="preserve">healthcare, </w:t>
      </w:r>
      <w:r w:rsidR="003F6C32" w:rsidRPr="00C22647">
        <w:rPr>
          <w:b/>
          <w:bCs/>
        </w:rPr>
        <w:t xml:space="preserve">and law </w:t>
      </w:r>
      <w:proofErr w:type="gramStart"/>
      <w:r w:rsidR="003F6C32" w:rsidRPr="00C22647">
        <w:rPr>
          <w:b/>
          <w:bCs/>
        </w:rPr>
        <w:t>enforcement</w:t>
      </w:r>
      <w:r w:rsidR="00BF00AE">
        <w:rPr>
          <w:b/>
          <w:bCs/>
        </w:rPr>
        <w:t>;</w:t>
      </w:r>
      <w:proofErr w:type="gramEnd"/>
    </w:p>
    <w:p w14:paraId="7FAA847C" w14:textId="26859C79" w:rsidR="003F6C32"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(f)</w:t>
      </w:r>
      <w:r>
        <w:rPr>
          <w:b/>
          <w:bCs/>
        </w:rPr>
        <w:tab/>
      </w:r>
      <w:r w:rsidR="00BF00AE">
        <w:rPr>
          <w:b/>
          <w:bCs/>
        </w:rPr>
        <w:t>Ensure, including by conducting training</w:t>
      </w:r>
      <w:r w:rsidR="00973D00">
        <w:rPr>
          <w:b/>
          <w:bCs/>
        </w:rPr>
        <w:t>s</w:t>
      </w:r>
      <w:r w:rsidR="00BF00AE">
        <w:rPr>
          <w:b/>
          <w:bCs/>
        </w:rPr>
        <w:t xml:space="preserve"> as recommended under (e)</w:t>
      </w:r>
      <w:r w:rsidR="00271755">
        <w:rPr>
          <w:b/>
          <w:bCs/>
        </w:rPr>
        <w:t xml:space="preserve">, </w:t>
      </w:r>
      <w:r w:rsidR="00BF00AE">
        <w:rPr>
          <w:b/>
          <w:bCs/>
        </w:rPr>
        <w:t xml:space="preserve">that </w:t>
      </w:r>
      <w:r w:rsidR="00271755">
        <w:rPr>
          <w:b/>
          <w:bCs/>
        </w:rPr>
        <w:t xml:space="preserve">victims and witnesses of cyberbullying </w:t>
      </w:r>
      <w:r w:rsidR="00973D00">
        <w:rPr>
          <w:b/>
          <w:bCs/>
        </w:rPr>
        <w:t xml:space="preserve">as well as classmates, colleagues, medical professionals, parents, and care and support providers are </w:t>
      </w:r>
      <w:r w:rsidR="00BF00AE" w:rsidRPr="00973D00">
        <w:rPr>
          <w:b/>
          <w:bCs/>
        </w:rPr>
        <w:t xml:space="preserve">equipped with the knowledge and tools </w:t>
      </w:r>
      <w:r w:rsidR="00271755" w:rsidRPr="00973D00">
        <w:rPr>
          <w:b/>
          <w:bCs/>
        </w:rPr>
        <w:t xml:space="preserve">to identify and report </w:t>
      </w:r>
      <w:r w:rsidR="00973D00">
        <w:rPr>
          <w:b/>
          <w:bCs/>
        </w:rPr>
        <w:t xml:space="preserve">cyberbullying and it </w:t>
      </w:r>
      <w:r w:rsidR="00BF00AE" w:rsidRPr="00973D00">
        <w:rPr>
          <w:b/>
          <w:bCs/>
        </w:rPr>
        <w:t>warning signs;</w:t>
      </w:r>
      <w:r w:rsidR="003F6C32" w:rsidRPr="00973D00">
        <w:rPr>
          <w:b/>
          <w:bCs/>
        </w:rPr>
        <w:t>;</w:t>
      </w:r>
      <w:r w:rsidR="003F6C32" w:rsidRPr="00C22647">
        <w:rPr>
          <w:b/>
          <w:bCs/>
        </w:rPr>
        <w:t xml:space="preserve">Enact and implement </w:t>
      </w:r>
      <w:r w:rsidR="00A95AE0" w:rsidRPr="00C22647">
        <w:rPr>
          <w:b/>
          <w:bCs/>
        </w:rPr>
        <w:t>action plans</w:t>
      </w:r>
      <w:r w:rsidR="003F6C32" w:rsidRPr="00C22647">
        <w:rPr>
          <w:b/>
          <w:bCs/>
        </w:rPr>
        <w:t xml:space="preserve"> on cyberbullying in a manner consistent with States’ obligations under international human rights law</w:t>
      </w:r>
      <w:r w:rsidR="00D04372" w:rsidRPr="00C22647">
        <w:rPr>
          <w:b/>
          <w:bCs/>
        </w:rPr>
        <w:t>, and with particular attention to the forms of cyberbullying experienced by persons with disabilities</w:t>
      </w:r>
      <w:r w:rsidR="003F6C32" w:rsidRPr="00C22647">
        <w:rPr>
          <w:b/>
          <w:bCs/>
        </w:rPr>
        <w:t>;</w:t>
      </w:r>
    </w:p>
    <w:p w14:paraId="136BF110" w14:textId="6C0BC269" w:rsidR="003F6C32"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(g)</w:t>
      </w:r>
      <w:r>
        <w:rPr>
          <w:b/>
          <w:bCs/>
        </w:rPr>
        <w:tab/>
      </w:r>
      <w:r w:rsidR="003F6C32" w:rsidRPr="00C22647">
        <w:rPr>
          <w:b/>
          <w:bCs/>
        </w:rPr>
        <w:t>Expand available resources for persons with disabilities who have experienced</w:t>
      </w:r>
      <w:r w:rsidR="00AE7ECB" w:rsidRPr="00C22647">
        <w:rPr>
          <w:b/>
          <w:bCs/>
        </w:rPr>
        <w:t xml:space="preserve">, been involved in, or have witnessed </w:t>
      </w:r>
      <w:r w:rsidR="003F6C32" w:rsidRPr="00C22647">
        <w:rPr>
          <w:b/>
          <w:bCs/>
        </w:rPr>
        <w:t>cyberbullying, including psychosocial support, mental health services, and education on legal redress</w:t>
      </w:r>
      <w:r w:rsidR="00AE7ECB" w:rsidRPr="00C22647">
        <w:rPr>
          <w:b/>
          <w:bCs/>
        </w:rPr>
        <w:t>. States should ensure</w:t>
      </w:r>
      <w:r w:rsidR="003F6C32" w:rsidRPr="00C22647">
        <w:rPr>
          <w:b/>
          <w:bCs/>
        </w:rPr>
        <w:t xml:space="preserve"> that resources are available in formats</w:t>
      </w:r>
      <w:r w:rsidR="00AE7ECB" w:rsidRPr="00C22647">
        <w:rPr>
          <w:b/>
          <w:bCs/>
        </w:rPr>
        <w:t xml:space="preserve"> accessible to </w:t>
      </w:r>
      <w:r w:rsidR="00662BDC" w:rsidRPr="00C22647">
        <w:rPr>
          <w:b/>
          <w:bCs/>
        </w:rPr>
        <w:t xml:space="preserve">all </w:t>
      </w:r>
      <w:r w:rsidR="00AE7ECB" w:rsidRPr="00C22647">
        <w:rPr>
          <w:b/>
          <w:bCs/>
        </w:rPr>
        <w:t xml:space="preserve">persons with </w:t>
      </w:r>
      <w:proofErr w:type="gramStart"/>
      <w:r w:rsidR="00AE7ECB" w:rsidRPr="00C22647">
        <w:rPr>
          <w:b/>
          <w:bCs/>
        </w:rPr>
        <w:t>disability</w:t>
      </w:r>
      <w:r w:rsidR="003F6C32" w:rsidRPr="00C22647">
        <w:rPr>
          <w:b/>
          <w:bCs/>
        </w:rPr>
        <w:t>;</w:t>
      </w:r>
      <w:proofErr w:type="gramEnd"/>
    </w:p>
    <w:p w14:paraId="080F7099" w14:textId="29392BEB" w:rsidR="003F6C32"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(h)</w:t>
      </w:r>
      <w:r>
        <w:rPr>
          <w:b/>
          <w:bCs/>
        </w:rPr>
        <w:tab/>
      </w:r>
      <w:r w:rsidR="003F6C32" w:rsidRPr="00C22647">
        <w:rPr>
          <w:b/>
          <w:bCs/>
        </w:rPr>
        <w:t xml:space="preserve">Take concrete actions to encourage and expand reporting of cyberbullying, and to ensure that reporting platforms and channels are accessible to </w:t>
      </w:r>
      <w:r w:rsidR="00662BDC" w:rsidRPr="00C22647">
        <w:rPr>
          <w:b/>
          <w:bCs/>
        </w:rPr>
        <w:t xml:space="preserve">all </w:t>
      </w:r>
      <w:r w:rsidR="003F6C32" w:rsidRPr="00C22647">
        <w:rPr>
          <w:b/>
          <w:bCs/>
        </w:rPr>
        <w:t xml:space="preserve">persons with disabilities, including </w:t>
      </w:r>
      <w:proofErr w:type="gramStart"/>
      <w:r w:rsidR="003F6C32" w:rsidRPr="00C22647">
        <w:rPr>
          <w:b/>
          <w:bCs/>
        </w:rPr>
        <w:t>children;</w:t>
      </w:r>
      <w:proofErr w:type="gramEnd"/>
    </w:p>
    <w:p w14:paraId="7724EB2C" w14:textId="2C755623" w:rsidR="00BE4BA3"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w:t>
      </w:r>
      <w:proofErr w:type="spellStart"/>
      <w:r w:rsidRPr="006D4098">
        <w:t>i</w:t>
      </w:r>
      <w:proofErr w:type="spellEnd"/>
      <w:r w:rsidRPr="006D4098">
        <w:t>)</w:t>
      </w:r>
      <w:r>
        <w:rPr>
          <w:b/>
          <w:bCs/>
        </w:rPr>
        <w:tab/>
      </w:r>
      <w:r w:rsidR="003F6C32" w:rsidRPr="00C22647">
        <w:rPr>
          <w:b/>
          <w:bCs/>
        </w:rPr>
        <w:t xml:space="preserve">Encourage and incentivize </w:t>
      </w:r>
      <w:r w:rsidR="0044556D" w:rsidRPr="00C22647">
        <w:rPr>
          <w:b/>
          <w:bCs/>
        </w:rPr>
        <w:t>research</w:t>
      </w:r>
      <w:r w:rsidR="003F6C32" w:rsidRPr="00C22647">
        <w:rPr>
          <w:b/>
          <w:bCs/>
        </w:rPr>
        <w:t xml:space="preserve"> on the impacts of cyberbullying against persons with disabilities, and the efficacy of interventions aimed at countering cyberbullying</w:t>
      </w:r>
      <w:r w:rsidR="00271755">
        <w:rPr>
          <w:b/>
          <w:bCs/>
        </w:rPr>
        <w:t xml:space="preserve">, with a focus on gathering disaggregated data, using a human rights-based approach to data, on the risks and impacts of cyberbullying faced by persons with disabilities and intersectional risks and </w:t>
      </w:r>
      <w:proofErr w:type="gramStart"/>
      <w:r w:rsidR="00271755">
        <w:rPr>
          <w:b/>
          <w:bCs/>
        </w:rPr>
        <w:t>impacts</w:t>
      </w:r>
      <w:r w:rsidR="003F6C32" w:rsidRPr="00C22647">
        <w:rPr>
          <w:b/>
          <w:bCs/>
        </w:rPr>
        <w:t>;</w:t>
      </w:r>
      <w:proofErr w:type="gramEnd"/>
    </w:p>
    <w:p w14:paraId="1F23A7D9" w14:textId="2DB4942F" w:rsidR="00F72ABB"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(j)</w:t>
      </w:r>
      <w:r>
        <w:rPr>
          <w:b/>
          <w:bCs/>
        </w:rPr>
        <w:tab/>
      </w:r>
      <w:r w:rsidR="00F72ABB" w:rsidRPr="00C22647">
        <w:rPr>
          <w:b/>
          <w:bCs/>
        </w:rPr>
        <w:t xml:space="preserve">In partnership with relevant civil society organizations, </w:t>
      </w:r>
      <w:r w:rsidR="00A95AE0" w:rsidRPr="00C22647">
        <w:rPr>
          <w:b/>
          <w:bCs/>
        </w:rPr>
        <w:t xml:space="preserve">including organizations of persons with disabilities, </w:t>
      </w:r>
      <w:r w:rsidR="00F72ABB" w:rsidRPr="00C22647">
        <w:rPr>
          <w:b/>
          <w:bCs/>
        </w:rPr>
        <w:t xml:space="preserve">provide guidance to digital technology companies on the rights and needs of persons with disabilities, including the specific challenges they face </w:t>
      </w:r>
      <w:r w:rsidR="00B37FF3" w:rsidRPr="00C22647">
        <w:rPr>
          <w:b/>
          <w:bCs/>
        </w:rPr>
        <w:t xml:space="preserve">in mitigating and </w:t>
      </w:r>
      <w:r w:rsidR="00131E90" w:rsidRPr="00C22647">
        <w:rPr>
          <w:b/>
          <w:bCs/>
        </w:rPr>
        <w:t>as a result of</w:t>
      </w:r>
      <w:r w:rsidR="00F72ABB" w:rsidRPr="00C22647">
        <w:rPr>
          <w:b/>
          <w:bCs/>
        </w:rPr>
        <w:t xml:space="preserve"> </w:t>
      </w:r>
      <w:proofErr w:type="gramStart"/>
      <w:r w:rsidR="00F72ABB" w:rsidRPr="00C22647">
        <w:rPr>
          <w:b/>
          <w:bCs/>
        </w:rPr>
        <w:t>cyberbullying;</w:t>
      </w:r>
      <w:proofErr w:type="gramEnd"/>
    </w:p>
    <w:p w14:paraId="2FB8A510" w14:textId="6B552E44" w:rsidR="00C370F3" w:rsidRPr="00C22647" w:rsidRDefault="00B6765F" w:rsidP="006D4098">
      <w:pPr>
        <w:pStyle w:val="SingleTxtG"/>
        <w:tabs>
          <w:tab w:val="left" w:pos="1701"/>
          <w:tab w:val="left" w:pos="2268"/>
        </w:tabs>
        <w:kinsoku/>
        <w:overflowPunct/>
        <w:autoSpaceDE/>
        <w:autoSpaceDN/>
        <w:adjustRightInd/>
        <w:snapToGrid/>
        <w:ind w:firstLine="567"/>
        <w:rPr>
          <w:b/>
          <w:bCs/>
        </w:rPr>
      </w:pPr>
      <w:r w:rsidRPr="006D4098">
        <w:t>(k)</w:t>
      </w:r>
      <w:r w:rsidRPr="006D4098">
        <w:tab/>
      </w:r>
      <w:r w:rsidR="00C370F3" w:rsidRPr="00C22647">
        <w:rPr>
          <w:b/>
          <w:bCs/>
        </w:rPr>
        <w:t>Explore creative private</w:t>
      </w:r>
      <w:r w:rsidR="00271755">
        <w:rPr>
          <w:b/>
          <w:bCs/>
        </w:rPr>
        <w:t>-</w:t>
      </w:r>
      <w:r w:rsidR="00C370F3" w:rsidRPr="00C22647">
        <w:rPr>
          <w:b/>
          <w:bCs/>
        </w:rPr>
        <w:t>public partnerships, government</w:t>
      </w:r>
      <w:r w:rsidR="00271755">
        <w:rPr>
          <w:b/>
          <w:bCs/>
        </w:rPr>
        <w:t>-</w:t>
      </w:r>
      <w:r w:rsidR="00C370F3" w:rsidRPr="00C22647">
        <w:rPr>
          <w:b/>
          <w:bCs/>
        </w:rPr>
        <w:t>civil society partnerships, and partnerships between States and regional and international organizations that can expand awareness of and counter cyberbullying</w:t>
      </w:r>
      <w:r w:rsidR="003F3322" w:rsidRPr="00C22647">
        <w:rPr>
          <w:b/>
          <w:bCs/>
        </w:rPr>
        <w:t>, including</w:t>
      </w:r>
      <w:r w:rsidR="00C370F3" w:rsidRPr="00C22647">
        <w:rPr>
          <w:b/>
          <w:bCs/>
        </w:rPr>
        <w:t xml:space="preserve"> against persons with disabilities</w:t>
      </w:r>
      <w:r w:rsidR="00271755">
        <w:rPr>
          <w:b/>
          <w:bCs/>
        </w:rPr>
        <w:t xml:space="preserve">, with the inclusion of technology companies, </w:t>
      </w:r>
      <w:proofErr w:type="gramStart"/>
      <w:r w:rsidR="00271755">
        <w:rPr>
          <w:b/>
          <w:bCs/>
        </w:rPr>
        <w:t>schools</w:t>
      </w:r>
      <w:proofErr w:type="gramEnd"/>
      <w:r w:rsidR="00271755">
        <w:rPr>
          <w:b/>
          <w:bCs/>
        </w:rPr>
        <w:t xml:space="preserve"> organizations of persons with disabilities and other civil society organizations</w:t>
      </w:r>
      <w:r w:rsidR="00C370F3" w:rsidRPr="00C22647">
        <w:rPr>
          <w:b/>
          <w:bCs/>
        </w:rPr>
        <w:t>.; and</w:t>
      </w:r>
    </w:p>
    <w:p w14:paraId="70DAD926" w14:textId="22A57A1C" w:rsidR="00C370F3" w:rsidRDefault="00B6765F" w:rsidP="006D4098">
      <w:pPr>
        <w:pStyle w:val="SingleTxtG"/>
        <w:tabs>
          <w:tab w:val="left" w:pos="1701"/>
          <w:tab w:val="left" w:pos="2268"/>
        </w:tabs>
        <w:kinsoku/>
        <w:overflowPunct/>
        <w:autoSpaceDE/>
        <w:autoSpaceDN/>
        <w:adjustRightInd/>
        <w:snapToGrid/>
        <w:ind w:firstLine="567"/>
        <w:rPr>
          <w:b/>
          <w:bCs/>
        </w:rPr>
      </w:pPr>
      <w:r w:rsidRPr="006D4098">
        <w:t>(l)</w:t>
      </w:r>
      <w:r>
        <w:rPr>
          <w:b/>
          <w:bCs/>
        </w:rPr>
        <w:tab/>
      </w:r>
      <w:proofErr w:type="spellStart"/>
      <w:r w:rsidR="00C370F3" w:rsidRPr="00C22647">
        <w:rPr>
          <w:b/>
          <w:bCs/>
        </w:rPr>
        <w:t>C</w:t>
      </w:r>
      <w:r w:rsidR="0044556D" w:rsidRPr="00C22647">
        <w:rPr>
          <w:b/>
          <w:bCs/>
        </w:rPr>
        <w:t>enter</w:t>
      </w:r>
      <w:proofErr w:type="spellEnd"/>
      <w:r w:rsidR="0044556D" w:rsidRPr="00C22647">
        <w:rPr>
          <w:b/>
          <w:bCs/>
        </w:rPr>
        <w:t xml:space="preserve"> the agency and </w:t>
      </w:r>
      <w:r w:rsidR="00662BDC" w:rsidRPr="00C22647">
        <w:rPr>
          <w:b/>
          <w:bCs/>
        </w:rPr>
        <w:t xml:space="preserve">meaningful </w:t>
      </w:r>
      <w:r w:rsidR="0044556D" w:rsidRPr="00C22647">
        <w:rPr>
          <w:b/>
          <w:bCs/>
        </w:rPr>
        <w:t xml:space="preserve">participation of persons with disabilities in all initiatives to prevent and counter </w:t>
      </w:r>
      <w:proofErr w:type="gramStart"/>
      <w:r w:rsidR="0044556D" w:rsidRPr="00C22647">
        <w:rPr>
          <w:b/>
          <w:bCs/>
        </w:rPr>
        <w:t>cyberbullying, and</w:t>
      </w:r>
      <w:proofErr w:type="gramEnd"/>
      <w:r w:rsidR="0044556D" w:rsidRPr="00C22647">
        <w:rPr>
          <w:b/>
          <w:bCs/>
        </w:rPr>
        <w:t xml:space="preserve"> </w:t>
      </w:r>
      <w:r w:rsidR="00C370F3" w:rsidRPr="00C22647">
        <w:rPr>
          <w:b/>
          <w:bCs/>
        </w:rPr>
        <w:t>prioritize the</w:t>
      </w:r>
      <w:r w:rsidR="0044556D" w:rsidRPr="00C22647">
        <w:rPr>
          <w:b/>
          <w:bCs/>
        </w:rPr>
        <w:t xml:space="preserve">ir </w:t>
      </w:r>
      <w:r w:rsidR="00C370F3" w:rsidRPr="00C22647">
        <w:rPr>
          <w:b/>
          <w:bCs/>
        </w:rPr>
        <w:t>rights and</w:t>
      </w:r>
      <w:r w:rsidR="007E3882" w:rsidRPr="00C22647">
        <w:rPr>
          <w:b/>
          <w:bCs/>
        </w:rPr>
        <w:t xml:space="preserve"> diverse</w:t>
      </w:r>
      <w:r w:rsidR="00C370F3" w:rsidRPr="00C22647">
        <w:rPr>
          <w:b/>
          <w:bCs/>
        </w:rPr>
        <w:t xml:space="preserve"> needs</w:t>
      </w:r>
      <w:r w:rsidR="0044556D" w:rsidRPr="00C22647">
        <w:rPr>
          <w:b/>
          <w:bCs/>
        </w:rPr>
        <w:t>.</w:t>
      </w:r>
    </w:p>
    <w:p w14:paraId="4636ADED" w14:textId="5543958C" w:rsidR="00B408AC" w:rsidRPr="00762A2A" w:rsidRDefault="00B6765F" w:rsidP="006D4098">
      <w:pPr>
        <w:pStyle w:val="SingleTxtG"/>
        <w:tabs>
          <w:tab w:val="left" w:pos="1701"/>
          <w:tab w:val="left" w:pos="2268"/>
        </w:tabs>
        <w:kinsoku/>
        <w:overflowPunct/>
        <w:autoSpaceDE/>
        <w:autoSpaceDN/>
        <w:adjustRightInd/>
        <w:snapToGrid/>
        <w:ind w:firstLine="567"/>
        <w:rPr>
          <w:b/>
          <w:bCs/>
        </w:rPr>
      </w:pPr>
      <w:r w:rsidRPr="006D4098">
        <w:t>(m)</w:t>
      </w:r>
      <w:r>
        <w:rPr>
          <w:b/>
          <w:bCs/>
        </w:rPr>
        <w:tab/>
      </w:r>
      <w:r w:rsidR="00B408AC" w:rsidRPr="00762A2A">
        <w:rPr>
          <w:b/>
          <w:bCs/>
        </w:rPr>
        <w:t xml:space="preserve">States should apply a </w:t>
      </w:r>
      <w:r w:rsidR="00B408AC" w:rsidRPr="00762A2A">
        <w:rPr>
          <w:rFonts w:hint="eastAsia"/>
          <w:b/>
          <w:bCs/>
        </w:rPr>
        <w:t>“</w:t>
      </w:r>
      <w:proofErr w:type="gramStart"/>
      <w:r w:rsidR="00B408AC" w:rsidRPr="00762A2A">
        <w:rPr>
          <w:b/>
          <w:bCs/>
        </w:rPr>
        <w:t>smart-mix</w:t>
      </w:r>
      <w:proofErr w:type="gramEnd"/>
      <w:r w:rsidR="00B408AC" w:rsidRPr="00762A2A">
        <w:rPr>
          <w:rFonts w:hint="eastAsia"/>
          <w:b/>
          <w:bCs/>
        </w:rPr>
        <w:t>”</w:t>
      </w:r>
      <w:r w:rsidR="00B408AC" w:rsidRPr="00762A2A">
        <w:rPr>
          <w:b/>
          <w:bCs/>
        </w:rPr>
        <w:t xml:space="preserve"> of the regulatory and policy measures available to them to protect against </w:t>
      </w:r>
      <w:r w:rsidR="005D27C0" w:rsidRPr="00762A2A">
        <w:rPr>
          <w:b/>
          <w:bCs/>
        </w:rPr>
        <w:t>cyberbullying</w:t>
      </w:r>
      <w:r w:rsidR="00B408AC" w:rsidRPr="00762A2A">
        <w:rPr>
          <w:b/>
          <w:bCs/>
        </w:rPr>
        <w:t xml:space="preserve"> of persons related to disabilities related to the products and services of digital technology companies, including regulatory measures and accompanying guidance, incentives, and transparency requirements. </w:t>
      </w:r>
    </w:p>
    <w:p w14:paraId="66534C4A" w14:textId="10048698" w:rsidR="00BA4CF2" w:rsidRPr="00762A2A" w:rsidRDefault="00BF4BB3" w:rsidP="00BF4BB3">
      <w:pPr>
        <w:pStyle w:val="SingleTxtG"/>
        <w:tabs>
          <w:tab w:val="left" w:pos="1701"/>
        </w:tabs>
        <w:suppressAutoHyphens w:val="0"/>
        <w:kinsoku/>
        <w:overflowPunct/>
        <w:autoSpaceDE/>
        <w:autoSpaceDN/>
        <w:adjustRightInd/>
        <w:snapToGrid/>
        <w:rPr>
          <w:b/>
          <w:bCs/>
        </w:rPr>
      </w:pPr>
      <w:r w:rsidRPr="006D4098">
        <w:t>74.</w:t>
      </w:r>
      <w:r>
        <w:rPr>
          <w:b/>
          <w:bCs/>
        </w:rPr>
        <w:tab/>
      </w:r>
      <w:r w:rsidR="00BA4CF2" w:rsidRPr="00762A2A">
        <w:rPr>
          <w:b/>
          <w:bCs/>
        </w:rPr>
        <w:t xml:space="preserve">Further, and in recognition of the essential role that the private sector plays in responding to risks in the digital environment, the </w:t>
      </w:r>
      <w:r w:rsidR="004860D5" w:rsidRPr="00762A2A">
        <w:rPr>
          <w:b/>
          <w:bCs/>
        </w:rPr>
        <w:t xml:space="preserve">Office of the </w:t>
      </w:r>
      <w:r w:rsidR="00BA4CF2" w:rsidRPr="00762A2A">
        <w:rPr>
          <w:b/>
          <w:bCs/>
        </w:rPr>
        <w:t xml:space="preserve">High Commissioner </w:t>
      </w:r>
      <w:r w:rsidR="00A95AE0" w:rsidRPr="00762A2A">
        <w:rPr>
          <w:b/>
          <w:bCs/>
        </w:rPr>
        <w:t xml:space="preserve">recommends </w:t>
      </w:r>
      <w:r w:rsidR="00BA4CF2" w:rsidRPr="00762A2A">
        <w:rPr>
          <w:b/>
          <w:bCs/>
        </w:rPr>
        <w:t>digital technology companies</w:t>
      </w:r>
      <w:r w:rsidR="00BF48CF" w:rsidRPr="00762A2A">
        <w:rPr>
          <w:b/>
          <w:bCs/>
        </w:rPr>
        <w:t>, with the support of organisations of persons with disabilities,</w:t>
      </w:r>
      <w:r w:rsidR="00BA4CF2" w:rsidRPr="00762A2A">
        <w:rPr>
          <w:b/>
          <w:bCs/>
        </w:rPr>
        <w:t xml:space="preserve"> to:</w:t>
      </w:r>
    </w:p>
    <w:p w14:paraId="2B9D7F84" w14:textId="29FADCF0" w:rsidR="00C370F3" w:rsidRPr="00762A2A" w:rsidRDefault="00B6765F" w:rsidP="006D4098">
      <w:pPr>
        <w:pStyle w:val="SingleTxtG"/>
        <w:tabs>
          <w:tab w:val="left" w:pos="1701"/>
          <w:tab w:val="left" w:pos="2268"/>
        </w:tabs>
        <w:kinsoku/>
        <w:overflowPunct/>
        <w:autoSpaceDE/>
        <w:autoSpaceDN/>
        <w:adjustRightInd/>
        <w:snapToGrid/>
        <w:ind w:firstLine="567"/>
        <w:rPr>
          <w:b/>
          <w:bCs/>
        </w:rPr>
      </w:pPr>
      <w:r w:rsidRPr="006D4098">
        <w:t>(a)</w:t>
      </w:r>
      <w:r>
        <w:rPr>
          <w:b/>
          <w:bCs/>
        </w:rPr>
        <w:tab/>
      </w:r>
      <w:r w:rsidR="00C370F3" w:rsidRPr="00C22647">
        <w:rPr>
          <w:b/>
          <w:bCs/>
        </w:rPr>
        <w:t xml:space="preserve">Engage in safety by design, including by developing tools aimed at supporting the safety, well-being, and active online participation of persons with disabilities, and at encouraging all users to act responsibly in digital </w:t>
      </w:r>
      <w:proofErr w:type="gramStart"/>
      <w:r w:rsidR="00C370F3" w:rsidRPr="00C22647">
        <w:rPr>
          <w:b/>
          <w:bCs/>
        </w:rPr>
        <w:t>spaces;</w:t>
      </w:r>
      <w:proofErr w:type="gramEnd"/>
    </w:p>
    <w:p w14:paraId="3AAB6575" w14:textId="13752FD7" w:rsidR="00C370F3" w:rsidRPr="00762A2A" w:rsidRDefault="00B6765F" w:rsidP="006D4098">
      <w:pPr>
        <w:pStyle w:val="SingleTxtG"/>
        <w:tabs>
          <w:tab w:val="left" w:pos="1701"/>
          <w:tab w:val="left" w:pos="2268"/>
        </w:tabs>
        <w:kinsoku/>
        <w:overflowPunct/>
        <w:autoSpaceDE/>
        <w:autoSpaceDN/>
        <w:adjustRightInd/>
        <w:snapToGrid/>
        <w:ind w:firstLine="567"/>
        <w:rPr>
          <w:b/>
          <w:bCs/>
        </w:rPr>
      </w:pPr>
      <w:r w:rsidRPr="006D4098">
        <w:t>(b)</w:t>
      </w:r>
      <w:r w:rsidRPr="006D4098">
        <w:tab/>
      </w:r>
      <w:r w:rsidR="00E96726" w:rsidRPr="00C22647">
        <w:rPr>
          <w:b/>
          <w:bCs/>
        </w:rPr>
        <w:t xml:space="preserve">Systematically </w:t>
      </w:r>
      <w:r w:rsidR="00F72ABB" w:rsidRPr="00C22647">
        <w:rPr>
          <w:b/>
          <w:bCs/>
        </w:rPr>
        <w:t>u</w:t>
      </w:r>
      <w:r w:rsidR="00C370F3" w:rsidRPr="00C22647">
        <w:rPr>
          <w:b/>
          <w:bCs/>
        </w:rPr>
        <w:t>ndertake human rights due diligence</w:t>
      </w:r>
      <w:r w:rsidR="00D25905" w:rsidRPr="00C22647">
        <w:rPr>
          <w:b/>
          <w:bCs/>
        </w:rPr>
        <w:t xml:space="preserve"> </w:t>
      </w:r>
      <w:r w:rsidR="00597645" w:rsidRPr="00C22647">
        <w:rPr>
          <w:b/>
          <w:bCs/>
        </w:rPr>
        <w:t xml:space="preserve">in the design, development and use of </w:t>
      </w:r>
      <w:r w:rsidR="005647FE" w:rsidRPr="00C22647">
        <w:rPr>
          <w:b/>
          <w:bCs/>
        </w:rPr>
        <w:t>technological products and services</w:t>
      </w:r>
      <w:r w:rsidR="00691A16" w:rsidRPr="00C22647">
        <w:rPr>
          <w:b/>
          <w:bCs/>
        </w:rPr>
        <w:t>,</w:t>
      </w:r>
      <w:r w:rsidR="005647FE" w:rsidRPr="00C22647">
        <w:rPr>
          <w:b/>
          <w:bCs/>
        </w:rPr>
        <w:t xml:space="preserve"> </w:t>
      </w:r>
      <w:r w:rsidR="001A3ED0" w:rsidRPr="00C22647">
        <w:rPr>
          <w:b/>
          <w:bCs/>
        </w:rPr>
        <w:t xml:space="preserve">with a focus on their impact on </w:t>
      </w:r>
      <w:r w:rsidR="00502DE5" w:rsidRPr="00C22647">
        <w:rPr>
          <w:b/>
          <w:bCs/>
        </w:rPr>
        <w:t xml:space="preserve">the rights and needs of persons with disabilities, including as a result of </w:t>
      </w:r>
      <w:proofErr w:type="gramStart"/>
      <w:r w:rsidR="00502DE5" w:rsidRPr="00C22647">
        <w:rPr>
          <w:b/>
          <w:bCs/>
        </w:rPr>
        <w:t>cyberbullying;</w:t>
      </w:r>
      <w:proofErr w:type="gramEnd"/>
    </w:p>
    <w:p w14:paraId="016FC2FA" w14:textId="77AA0D86" w:rsidR="00C370F3" w:rsidRPr="00762A2A" w:rsidRDefault="00B6765F" w:rsidP="006D4098">
      <w:pPr>
        <w:pStyle w:val="SingleTxtG"/>
        <w:spacing w:before="240"/>
        <w:ind w:firstLine="567"/>
        <w:rPr>
          <w:b/>
          <w:bCs/>
        </w:rPr>
      </w:pPr>
      <w:r w:rsidRPr="006D4098">
        <w:lastRenderedPageBreak/>
        <w:t>(c)</w:t>
      </w:r>
      <w:r>
        <w:rPr>
          <w:b/>
          <w:bCs/>
        </w:rPr>
        <w:tab/>
      </w:r>
      <w:r w:rsidR="00C370F3" w:rsidRPr="00C22647">
        <w:rPr>
          <w:b/>
          <w:bCs/>
        </w:rPr>
        <w:t xml:space="preserve">Conduct </w:t>
      </w:r>
      <w:r w:rsidR="00131E90" w:rsidRPr="00C22647">
        <w:rPr>
          <w:b/>
          <w:bCs/>
        </w:rPr>
        <w:t xml:space="preserve">and share the findings of </w:t>
      </w:r>
      <w:r w:rsidR="00C370F3" w:rsidRPr="00C22647">
        <w:rPr>
          <w:b/>
          <w:bCs/>
        </w:rPr>
        <w:t>internal research</w:t>
      </w:r>
      <w:r w:rsidR="00502DE5" w:rsidRPr="00C22647">
        <w:rPr>
          <w:b/>
          <w:bCs/>
        </w:rPr>
        <w:t xml:space="preserve"> and assessments</w:t>
      </w:r>
      <w:r w:rsidR="00C370F3" w:rsidRPr="00C22647">
        <w:rPr>
          <w:b/>
          <w:bCs/>
        </w:rPr>
        <w:t xml:space="preserve"> on </w:t>
      </w:r>
      <w:r w:rsidR="002D5A94" w:rsidRPr="00C22647">
        <w:rPr>
          <w:b/>
          <w:bCs/>
        </w:rPr>
        <w:t xml:space="preserve">mitigating measures available to and </w:t>
      </w:r>
      <w:r w:rsidR="00C370F3" w:rsidRPr="00C22647">
        <w:rPr>
          <w:b/>
          <w:bCs/>
        </w:rPr>
        <w:t xml:space="preserve">the unique impacts of cyberbullying on persons with disabilities, and the efficacy of interventions to counter </w:t>
      </w:r>
      <w:proofErr w:type="gramStart"/>
      <w:r w:rsidR="00C370F3" w:rsidRPr="00C22647">
        <w:rPr>
          <w:b/>
          <w:bCs/>
        </w:rPr>
        <w:t>cyberbullying</w:t>
      </w:r>
      <w:r w:rsidR="00131E90" w:rsidRPr="00C22647">
        <w:rPr>
          <w:b/>
          <w:bCs/>
        </w:rPr>
        <w:t>;</w:t>
      </w:r>
      <w:proofErr w:type="gramEnd"/>
    </w:p>
    <w:p w14:paraId="69F0F5F0" w14:textId="4158CE78" w:rsidR="003F6C32" w:rsidRPr="00762A2A" w:rsidRDefault="00B6765F" w:rsidP="006D4098">
      <w:pPr>
        <w:pStyle w:val="SingleTxtG"/>
        <w:spacing w:before="240"/>
        <w:ind w:firstLine="567"/>
        <w:rPr>
          <w:b/>
          <w:bCs/>
        </w:rPr>
      </w:pPr>
      <w:r w:rsidRPr="006D4098">
        <w:t>(d)</w:t>
      </w:r>
      <w:r>
        <w:rPr>
          <w:b/>
          <w:bCs/>
        </w:rPr>
        <w:tab/>
      </w:r>
      <w:r w:rsidR="00131E90" w:rsidRPr="00C22647">
        <w:rPr>
          <w:b/>
          <w:bCs/>
        </w:rPr>
        <w:t>Ensure mechanisms and channels</w:t>
      </w:r>
      <w:r w:rsidR="00C370F3" w:rsidRPr="00C22647">
        <w:rPr>
          <w:b/>
          <w:bCs/>
        </w:rPr>
        <w:t xml:space="preserve"> </w:t>
      </w:r>
      <w:r w:rsidR="00131E90" w:rsidRPr="00C22647">
        <w:rPr>
          <w:b/>
          <w:bCs/>
        </w:rPr>
        <w:t xml:space="preserve">available for the reporting of cyberbullying are accessible to </w:t>
      </w:r>
      <w:r w:rsidR="00662BDC" w:rsidRPr="00C22647">
        <w:rPr>
          <w:b/>
          <w:bCs/>
        </w:rPr>
        <w:t xml:space="preserve">all </w:t>
      </w:r>
      <w:r w:rsidR="00131E90" w:rsidRPr="00C22647">
        <w:rPr>
          <w:b/>
          <w:bCs/>
        </w:rPr>
        <w:t>persons with disabilities, including children</w:t>
      </w:r>
      <w:r w:rsidR="00B408AC">
        <w:rPr>
          <w:b/>
          <w:bCs/>
        </w:rPr>
        <w:t xml:space="preserve">, </w:t>
      </w:r>
      <w:r w:rsidR="00B408AC" w:rsidRPr="00762A2A">
        <w:rPr>
          <w:b/>
          <w:bCs/>
        </w:rPr>
        <w:t>as well as appropriate operational grievance mechanisms</w:t>
      </w:r>
      <w:r w:rsidR="00131E90" w:rsidRPr="00C22647">
        <w:rPr>
          <w:b/>
          <w:bCs/>
        </w:rPr>
        <w:t>; and</w:t>
      </w:r>
    </w:p>
    <w:p w14:paraId="49FC1E04" w14:textId="33F48298" w:rsidR="00F57147" w:rsidRDefault="00B6765F" w:rsidP="006D4098">
      <w:pPr>
        <w:pStyle w:val="SingleTxtG"/>
        <w:spacing w:before="240"/>
        <w:ind w:firstLine="567"/>
        <w:rPr>
          <w:b/>
          <w:bCs/>
        </w:rPr>
      </w:pPr>
      <w:r w:rsidRPr="006D4098">
        <w:t>(e)</w:t>
      </w:r>
      <w:r>
        <w:rPr>
          <w:b/>
          <w:bCs/>
        </w:rPr>
        <w:tab/>
      </w:r>
      <w:r w:rsidR="00B408AC">
        <w:rPr>
          <w:b/>
          <w:bCs/>
        </w:rPr>
        <w:t>Meaningfully</w:t>
      </w:r>
      <w:r w:rsidR="00B408AC" w:rsidRPr="00C22647">
        <w:rPr>
          <w:b/>
          <w:bCs/>
        </w:rPr>
        <w:t xml:space="preserve"> </w:t>
      </w:r>
      <w:r w:rsidR="00B408AC">
        <w:rPr>
          <w:b/>
          <w:bCs/>
        </w:rPr>
        <w:t>engage with</w:t>
      </w:r>
      <w:r w:rsidR="00B408AC" w:rsidRPr="00C22647">
        <w:rPr>
          <w:b/>
          <w:bCs/>
        </w:rPr>
        <w:t xml:space="preserve"> </w:t>
      </w:r>
      <w:r w:rsidR="00131E90" w:rsidRPr="00C22647">
        <w:rPr>
          <w:b/>
          <w:bCs/>
        </w:rPr>
        <w:t>persons with disabilities and</w:t>
      </w:r>
      <w:r w:rsidR="007E3882" w:rsidRPr="00C22647">
        <w:rPr>
          <w:b/>
          <w:bCs/>
        </w:rPr>
        <w:t xml:space="preserve"> their representative</w:t>
      </w:r>
      <w:r w:rsidR="00131E90" w:rsidRPr="00C22647">
        <w:rPr>
          <w:b/>
          <w:bCs/>
        </w:rPr>
        <w:t xml:space="preserve"> organizations</w:t>
      </w:r>
      <w:r w:rsidR="00F66113" w:rsidRPr="00C22647">
        <w:rPr>
          <w:b/>
          <w:bCs/>
        </w:rPr>
        <w:t>,</w:t>
      </w:r>
      <w:r w:rsidR="00131E90" w:rsidRPr="00C22647">
        <w:rPr>
          <w:b/>
          <w:bCs/>
        </w:rPr>
        <w:t xml:space="preserve"> </w:t>
      </w:r>
      <w:r w:rsidR="6CF62FF8" w:rsidRPr="00C22647">
        <w:rPr>
          <w:b/>
          <w:bCs/>
        </w:rPr>
        <w:t xml:space="preserve">including in the conduct of human rights due diligence, </w:t>
      </w:r>
      <w:r w:rsidR="00131E90" w:rsidRPr="00C22647">
        <w:rPr>
          <w:b/>
          <w:bCs/>
        </w:rPr>
        <w:t>to understand their concerns around cyberbullying and related barriers to their safe participation in digital spaces.</w:t>
      </w:r>
    </w:p>
    <w:p w14:paraId="17FCB949" w14:textId="68E8DEAF" w:rsidR="006D4098" w:rsidRPr="006D4098" w:rsidRDefault="006D4098" w:rsidP="006D4098">
      <w:pPr>
        <w:pStyle w:val="SingleTxtG"/>
        <w:spacing w:before="240" w:after="0"/>
        <w:jc w:val="center"/>
        <w:rPr>
          <w:u w:val="single"/>
        </w:rPr>
      </w:pPr>
      <w:r>
        <w:rPr>
          <w:u w:val="single"/>
        </w:rPr>
        <w:tab/>
      </w:r>
      <w:r>
        <w:rPr>
          <w:u w:val="single"/>
        </w:rPr>
        <w:tab/>
      </w:r>
      <w:r>
        <w:rPr>
          <w:u w:val="single"/>
        </w:rPr>
        <w:tab/>
      </w:r>
      <w:r>
        <w:rPr>
          <w:u w:val="single"/>
        </w:rPr>
        <w:tab/>
      </w:r>
    </w:p>
    <w:sectPr w:rsidR="006D4098" w:rsidRPr="006D4098" w:rsidSect="00E13ED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6369" w14:textId="77777777" w:rsidR="00906D77" w:rsidRPr="00C47B2E" w:rsidRDefault="00906D77" w:rsidP="00C47B2E">
      <w:pPr>
        <w:pStyle w:val="Footer"/>
      </w:pPr>
    </w:p>
  </w:endnote>
  <w:endnote w:type="continuationSeparator" w:id="0">
    <w:p w14:paraId="299CCF5F" w14:textId="77777777" w:rsidR="00906D77" w:rsidRPr="00C47B2E" w:rsidRDefault="00906D77" w:rsidP="00C47B2E">
      <w:pPr>
        <w:pStyle w:val="Footer"/>
      </w:pPr>
    </w:p>
  </w:endnote>
  <w:endnote w:type="continuationNotice" w:id="1">
    <w:p w14:paraId="5680C8E8" w14:textId="77777777" w:rsidR="00906D77" w:rsidRPr="00C47B2E" w:rsidRDefault="00906D7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C9D3" w14:textId="49BE3856" w:rsidR="006A5BA5" w:rsidRDefault="006A5BA5" w:rsidP="006A5BA5">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2</w:t>
    </w:r>
    <w:r w:rsidRPr="006A5BA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15" w14:textId="21842019" w:rsidR="006A5BA5" w:rsidRDefault="006A5BA5" w:rsidP="006A5BA5">
    <w:pPr>
      <w:pStyle w:val="Footer"/>
      <w:tabs>
        <w:tab w:val="right" w:pos="9638"/>
      </w:tabs>
    </w:pPr>
    <w:r>
      <w:tab/>
    </w:r>
    <w:r w:rsidRPr="006A5BA5">
      <w:rPr>
        <w:b/>
        <w:bCs/>
        <w:sz w:val="18"/>
      </w:rPr>
      <w:fldChar w:fldCharType="begin"/>
    </w:r>
    <w:r w:rsidRPr="006A5BA5">
      <w:rPr>
        <w:b/>
        <w:bCs/>
        <w:sz w:val="18"/>
      </w:rPr>
      <w:instrText xml:space="preserve"> PAGE  \* MERGEFORMAT </w:instrText>
    </w:r>
    <w:r w:rsidRPr="006A5BA5">
      <w:rPr>
        <w:b/>
        <w:bCs/>
        <w:sz w:val="18"/>
      </w:rPr>
      <w:fldChar w:fldCharType="separate"/>
    </w:r>
    <w:r w:rsidRPr="006A5BA5">
      <w:rPr>
        <w:b/>
        <w:bCs/>
        <w:noProof/>
        <w:sz w:val="18"/>
      </w:rPr>
      <w:t>3</w:t>
    </w:r>
    <w:r w:rsidRPr="006A5BA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0240" w14:textId="77777777" w:rsidR="00275D64" w:rsidRDefault="00275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0BDF" w14:textId="77777777" w:rsidR="00906D77" w:rsidRPr="00C47B2E" w:rsidRDefault="00906D77" w:rsidP="00C47B2E">
      <w:pPr>
        <w:tabs>
          <w:tab w:val="right" w:pos="2155"/>
        </w:tabs>
        <w:spacing w:after="80" w:line="240" w:lineRule="auto"/>
        <w:ind w:left="680"/>
      </w:pPr>
      <w:r>
        <w:rPr>
          <w:u w:val="single"/>
        </w:rPr>
        <w:tab/>
      </w:r>
    </w:p>
  </w:footnote>
  <w:footnote w:type="continuationSeparator" w:id="0">
    <w:p w14:paraId="1E8E883B" w14:textId="77777777" w:rsidR="00906D77" w:rsidRPr="00C47B2E" w:rsidRDefault="00906D77" w:rsidP="005E716E">
      <w:pPr>
        <w:tabs>
          <w:tab w:val="right" w:pos="2155"/>
        </w:tabs>
        <w:spacing w:after="80" w:line="240" w:lineRule="auto"/>
        <w:ind w:left="680"/>
      </w:pPr>
      <w:r>
        <w:rPr>
          <w:u w:val="single"/>
        </w:rPr>
        <w:tab/>
      </w:r>
    </w:p>
  </w:footnote>
  <w:footnote w:type="continuationNotice" w:id="1">
    <w:p w14:paraId="56A7111B" w14:textId="77777777" w:rsidR="00906D77" w:rsidRPr="00C47B2E" w:rsidRDefault="00906D77" w:rsidP="00C47B2E">
      <w:pPr>
        <w:pStyle w:val="Footer"/>
      </w:pPr>
    </w:p>
  </w:footnote>
  <w:footnote w:id="2">
    <w:p w14:paraId="6A72A8C0" w14:textId="77777777" w:rsidR="008435E1" w:rsidRPr="00595558" w:rsidRDefault="008435E1" w:rsidP="008435E1">
      <w:pPr>
        <w:pStyle w:val="FootnoteText"/>
        <w:rPr>
          <w:szCs w:val="18"/>
        </w:rPr>
      </w:pPr>
      <w:r>
        <w:rPr>
          <w:sz w:val="20"/>
        </w:rPr>
        <w:tab/>
      </w:r>
      <w:r w:rsidRPr="0034784E">
        <w:rPr>
          <w:rStyle w:val="FootnoteReference"/>
          <w:sz w:val="20"/>
          <w:vertAlign w:val="baseline"/>
        </w:rPr>
        <w:t>*</w:t>
      </w:r>
      <w:bookmarkStart w:id="0" w:name="_Hlk164923434"/>
      <w:r>
        <w:rPr>
          <w:rStyle w:val="FootnoteReference"/>
          <w:sz w:val="20"/>
          <w:vertAlign w:val="baseline"/>
        </w:rPr>
        <w:tab/>
      </w:r>
      <w:bookmarkStart w:id="1" w:name="_Hlk170836010"/>
      <w:r w:rsidRPr="001A0E0E">
        <w:rPr>
          <w:lang w:val="en-US"/>
        </w:rPr>
        <w:t xml:space="preserve">The present report was submitted to the conference services for processing after the deadline </w:t>
      </w:r>
      <w:proofErr w:type="gramStart"/>
      <w:r w:rsidRPr="001A0E0E">
        <w:rPr>
          <w:lang w:val="en-US"/>
        </w:rPr>
        <w:t>so as to</w:t>
      </w:r>
      <w:proofErr w:type="gramEnd"/>
      <w:r w:rsidRPr="001A0E0E">
        <w:rPr>
          <w:lang w:val="en-US"/>
        </w:rPr>
        <w:t xml:space="preserve"> include the most recent information</w:t>
      </w:r>
      <w:bookmarkEnd w:id="1"/>
      <w:r w:rsidRPr="001A0E0E">
        <w:rPr>
          <w:lang w:val="en-US"/>
        </w:rPr>
        <w:t>.</w:t>
      </w:r>
      <w:bookmarkEnd w:id="0"/>
    </w:p>
  </w:footnote>
  <w:footnote w:id="3">
    <w:p w14:paraId="1BE08E0E" w14:textId="34C5A877" w:rsidR="00AC357D" w:rsidRDefault="003015A9">
      <w:pPr>
        <w:pStyle w:val="FootnoteText"/>
      </w:pPr>
      <w:r>
        <w:tab/>
      </w:r>
      <w:r w:rsidR="00AC357D">
        <w:rPr>
          <w:rStyle w:val="FootnoteReference"/>
        </w:rPr>
        <w:footnoteRef/>
      </w:r>
      <w:r w:rsidR="00AC357D">
        <w:t xml:space="preserve"> </w:t>
      </w:r>
      <w:r>
        <w:tab/>
      </w:r>
      <w:r w:rsidR="00014F7E">
        <w:t>Council resolution</w:t>
      </w:r>
      <w:r w:rsidR="00F367BE">
        <w:t xml:space="preserve"> </w:t>
      </w:r>
      <w:r w:rsidR="00AC357D" w:rsidRPr="00AC357D">
        <w:t>51/10</w:t>
      </w:r>
      <w:r w:rsidR="00AC357D">
        <w:t>, para 7.</w:t>
      </w:r>
    </w:p>
  </w:footnote>
  <w:footnote w:id="4">
    <w:p w14:paraId="2AA12221" w14:textId="67ACE587" w:rsidR="00D76955" w:rsidRPr="00D76955" w:rsidRDefault="00D67BEE">
      <w:pPr>
        <w:pStyle w:val="FootnoteText"/>
        <w:rPr>
          <w:lang w:val="en-US"/>
        </w:rPr>
      </w:pPr>
      <w:r>
        <w:tab/>
      </w:r>
      <w:r w:rsidR="00D76955">
        <w:rPr>
          <w:rStyle w:val="FootnoteReference"/>
        </w:rPr>
        <w:footnoteRef/>
      </w:r>
      <w:r w:rsidR="00D76955">
        <w:t xml:space="preserve"> </w:t>
      </w:r>
      <w:r>
        <w:tab/>
      </w:r>
      <w:r w:rsidR="00D76955">
        <w:rPr>
          <w:lang w:val="en-US"/>
        </w:rPr>
        <w:t xml:space="preserve">The full texts of submissions received are available on the OHCHR website at </w:t>
      </w:r>
      <w:hyperlink r:id="rId1" w:history="1">
        <w:r w:rsidR="00DE5330" w:rsidRPr="005A1180">
          <w:rPr>
            <w:rStyle w:val="Hyperlink"/>
            <w:lang w:val="en-US"/>
          </w:rPr>
          <w:t>https://www.ohchr.org/en/calls-for-input/2024/call-input-human-rights-council-resolution-5110-cyberbullying-against-persons</w:t>
        </w:r>
      </w:hyperlink>
      <w:r w:rsidR="00D76955">
        <w:rPr>
          <w:lang w:val="en-US"/>
        </w:rPr>
        <w:t>.</w:t>
      </w:r>
      <w:r w:rsidR="00657192">
        <w:rPr>
          <w:lang w:val="en-US"/>
        </w:rPr>
        <w:t xml:space="preserve"> </w:t>
      </w:r>
    </w:p>
  </w:footnote>
  <w:footnote w:id="5">
    <w:p w14:paraId="0D507A95" w14:textId="5119A499" w:rsidR="004C0AE2" w:rsidRPr="000D2F58" w:rsidRDefault="00FD0944" w:rsidP="00FD0944">
      <w:pPr>
        <w:pStyle w:val="FootnoteText"/>
        <w:ind w:left="1021" w:hanging="180"/>
        <w:rPr>
          <w:lang w:val="en-US"/>
        </w:rPr>
      </w:pPr>
      <w:r>
        <w:rPr>
          <w:lang w:val="en-US"/>
        </w:rPr>
        <w:tab/>
      </w:r>
      <w:r w:rsidR="004C0AE2">
        <w:rPr>
          <w:rStyle w:val="FootnoteReference"/>
        </w:rPr>
        <w:footnoteRef/>
      </w:r>
      <w:r w:rsidR="004C0AE2">
        <w:t xml:space="preserve"> </w:t>
      </w:r>
      <w:r>
        <w:tab/>
      </w:r>
      <w:hyperlink r:id="rId2" w:history="1">
        <w:r w:rsidRPr="00083B85">
          <w:rPr>
            <w:rStyle w:val="Hyperlink"/>
          </w:rPr>
          <w:t>https://www.ohchr.org/en/news/2023/09/human-rights-council-holds-panel-discussion-cyberbullying-against-children-hearing-it</w:t>
        </w:r>
      </w:hyperlink>
      <w:r w:rsidR="004C0AE2">
        <w:t>.</w:t>
      </w:r>
    </w:p>
  </w:footnote>
  <w:footnote w:id="6">
    <w:p w14:paraId="1E299A71" w14:textId="46D92D73" w:rsidR="00B507CE" w:rsidRPr="00B507CE" w:rsidRDefault="00FD0944">
      <w:pPr>
        <w:pStyle w:val="FootnoteText"/>
        <w:rPr>
          <w:lang w:val="en-US"/>
        </w:rPr>
      </w:pPr>
      <w:r>
        <w:tab/>
      </w:r>
      <w:r w:rsidR="00B507CE">
        <w:rPr>
          <w:rStyle w:val="FootnoteReference"/>
        </w:rPr>
        <w:footnoteRef/>
      </w:r>
      <w:r w:rsidR="00B507CE">
        <w:t xml:space="preserve"> </w:t>
      </w:r>
      <w:bookmarkStart w:id="2" w:name="_Hlk169787835"/>
      <w:r>
        <w:tab/>
      </w:r>
      <w:r w:rsidR="00F367BE">
        <w:rPr>
          <w:lang w:val="en-US"/>
        </w:rPr>
        <w:t xml:space="preserve">Council resolution </w:t>
      </w:r>
      <w:r w:rsidR="00B507CE">
        <w:rPr>
          <w:lang w:val="en-US"/>
        </w:rPr>
        <w:t>51/10</w:t>
      </w:r>
      <w:bookmarkEnd w:id="2"/>
      <w:r w:rsidR="00B507CE">
        <w:rPr>
          <w:lang w:val="en-US"/>
        </w:rPr>
        <w:t>.</w:t>
      </w:r>
    </w:p>
  </w:footnote>
  <w:footnote w:id="7">
    <w:p w14:paraId="08496152" w14:textId="41E36C07" w:rsidR="00B507CE" w:rsidRPr="00B507CE" w:rsidRDefault="00FD0944">
      <w:pPr>
        <w:pStyle w:val="FootnoteText"/>
        <w:rPr>
          <w:lang w:val="en-US"/>
        </w:rPr>
      </w:pPr>
      <w:r>
        <w:tab/>
      </w:r>
      <w:r w:rsidR="00B507CE">
        <w:rPr>
          <w:rStyle w:val="FootnoteReference"/>
        </w:rPr>
        <w:footnoteRef/>
      </w:r>
      <w:r w:rsidR="00B507CE">
        <w:t xml:space="preserve"> </w:t>
      </w:r>
      <w:r>
        <w:tab/>
      </w:r>
      <w:r w:rsidR="001D40C4" w:rsidRPr="001D40C4">
        <w:t>A/73/265</w:t>
      </w:r>
      <w:r w:rsidR="008F20C4">
        <w:t>.</w:t>
      </w:r>
    </w:p>
  </w:footnote>
  <w:footnote w:id="8">
    <w:p w14:paraId="264E68F5" w14:textId="72F4F185" w:rsidR="00F039B7" w:rsidRPr="00F039B7" w:rsidRDefault="00FD0944" w:rsidP="00F039B7">
      <w:pPr>
        <w:pStyle w:val="FootnoteText"/>
        <w:ind w:left="0" w:firstLine="0"/>
        <w:rPr>
          <w:lang w:val="en-US"/>
        </w:rPr>
      </w:pPr>
      <w:r>
        <w:tab/>
      </w:r>
      <w:r w:rsidR="00F039B7">
        <w:rPr>
          <w:rStyle w:val="FootnoteReference"/>
        </w:rPr>
        <w:footnoteRef/>
      </w:r>
      <w:r w:rsidR="00F039B7">
        <w:t xml:space="preserve"> </w:t>
      </w:r>
      <w:r>
        <w:tab/>
      </w:r>
      <w:hyperlink r:id="rId3" w:history="1">
        <w:r w:rsidRPr="00083B85">
          <w:rPr>
            <w:rStyle w:val="Hyperlink"/>
          </w:rPr>
          <w:t>https://www.unicef.org/end-violence/how-to-stop-cyberbullying#</w:t>
        </w:r>
      </w:hyperlink>
      <w:r w:rsidR="00F039B7" w:rsidRPr="00F039B7">
        <w:t>.</w:t>
      </w:r>
    </w:p>
  </w:footnote>
  <w:footnote w:id="9">
    <w:p w14:paraId="4DDF3D1B" w14:textId="1DA4AD77" w:rsidR="001D40C4" w:rsidRPr="001D40C4" w:rsidRDefault="00FD0944">
      <w:pPr>
        <w:pStyle w:val="FootnoteText"/>
        <w:rPr>
          <w:lang w:val="en-US"/>
        </w:rPr>
      </w:pPr>
      <w:r>
        <w:tab/>
      </w:r>
      <w:r w:rsidR="001D40C4">
        <w:rPr>
          <w:rStyle w:val="FootnoteReference"/>
        </w:rPr>
        <w:footnoteRef/>
      </w:r>
      <w:r w:rsidR="001D40C4">
        <w:t xml:space="preserve"> </w:t>
      </w:r>
      <w:r>
        <w:tab/>
      </w:r>
      <w:r w:rsidR="00F367BE">
        <w:t xml:space="preserve">General Assembly resolution </w:t>
      </w:r>
      <w:r w:rsidR="001D40C4" w:rsidRPr="001D40C4">
        <w:rPr>
          <w:lang w:val="en-US"/>
        </w:rPr>
        <w:t>77/201</w:t>
      </w:r>
      <w:r w:rsidR="001D40C4">
        <w:rPr>
          <w:lang w:val="en-US"/>
        </w:rPr>
        <w:t xml:space="preserve">. </w:t>
      </w:r>
    </w:p>
  </w:footnote>
  <w:footnote w:id="10">
    <w:p w14:paraId="448C98AB" w14:textId="4081B207" w:rsidR="00AC063A" w:rsidRPr="00AC063A" w:rsidRDefault="00FD0944" w:rsidP="00FD0944">
      <w:pPr>
        <w:pStyle w:val="FootnoteText"/>
        <w:ind w:left="1021" w:hanging="180"/>
        <w:rPr>
          <w:lang w:val="en-US"/>
        </w:rPr>
      </w:pPr>
      <w:r>
        <w:tab/>
      </w:r>
      <w:r w:rsidR="00AC063A">
        <w:rPr>
          <w:rStyle w:val="FootnoteReference"/>
        </w:rPr>
        <w:footnoteRef/>
      </w:r>
      <w:r w:rsidR="00AC063A">
        <w:t xml:space="preserve"> </w:t>
      </w:r>
      <w:r>
        <w:tab/>
      </w:r>
      <w:r w:rsidR="00DF11AF" w:rsidRPr="00DF11AF">
        <w:rPr>
          <w:lang w:val="en-US"/>
        </w:rPr>
        <w:t xml:space="preserve">Office of the Special Representative of the Secretary-General on Violence Against Children, </w:t>
      </w:r>
      <w:hyperlink r:id="rId4" w:history="1">
        <w:r w:rsidRPr="00083B85">
          <w:rPr>
            <w:rStyle w:val="Hyperlink"/>
            <w:lang w:val="en-US"/>
          </w:rPr>
          <w:t>https://violenceagainstchildren.un.org/sites/violenceagainstchildren.un.org/files/documents/publications/tackling_bullying_from_schoolyard_to_cyberspace_low_res_fa.pdf</w:t>
        </w:r>
      </w:hyperlink>
      <w:r w:rsidR="00DF11AF" w:rsidRPr="00DF11AF">
        <w:rPr>
          <w:lang w:val="en-US"/>
        </w:rPr>
        <w:t>.</w:t>
      </w:r>
    </w:p>
  </w:footnote>
  <w:footnote w:id="11">
    <w:p w14:paraId="73D4B272" w14:textId="35A17938" w:rsidR="004B706C" w:rsidRPr="000D2F58" w:rsidRDefault="00FD0944">
      <w:pPr>
        <w:pStyle w:val="FootnoteText"/>
        <w:rPr>
          <w:lang w:val="en-US"/>
        </w:rPr>
      </w:pPr>
      <w:r>
        <w:tab/>
      </w:r>
      <w:r w:rsidR="004B706C">
        <w:rPr>
          <w:rStyle w:val="FootnoteReference"/>
        </w:rPr>
        <w:footnoteRef/>
      </w:r>
      <w:r w:rsidR="004B706C">
        <w:t xml:space="preserve"> </w:t>
      </w:r>
      <w:r>
        <w:tab/>
      </w:r>
      <w:r w:rsidR="004B706C" w:rsidRPr="00055D99">
        <w:t>See</w:t>
      </w:r>
      <w:r w:rsidR="004B706C">
        <w:rPr>
          <w:i/>
          <w:iCs/>
        </w:rPr>
        <w:t xml:space="preserve"> </w:t>
      </w:r>
      <w:r w:rsidR="004B706C">
        <w:t xml:space="preserve">contribution of Austria on behalf of a group of States, </w:t>
      </w:r>
      <w:hyperlink r:id="rId5" w:history="1">
        <w:r w:rsidR="00D67BEE" w:rsidRPr="00083B85">
          <w:rPr>
            <w:rStyle w:val="Hyperlink"/>
          </w:rPr>
          <w:t>https://webtv.un.org/en/asset/k1m/k1mo6jr0hn</w:t>
        </w:r>
      </w:hyperlink>
      <w:r w:rsidR="004B706C">
        <w:t>.</w:t>
      </w:r>
    </w:p>
  </w:footnote>
  <w:footnote w:id="12">
    <w:p w14:paraId="344FEC3C" w14:textId="7CC03873" w:rsidR="001D40C4" w:rsidRPr="001D40C4" w:rsidRDefault="009C21ED">
      <w:pPr>
        <w:pStyle w:val="FootnoteText"/>
        <w:rPr>
          <w:lang w:val="en-US"/>
        </w:rPr>
      </w:pPr>
      <w:r>
        <w:tab/>
      </w:r>
      <w:r w:rsidR="001D40C4">
        <w:rPr>
          <w:rStyle w:val="FootnoteReference"/>
        </w:rPr>
        <w:footnoteRef/>
      </w:r>
      <w:r w:rsidR="001D40C4">
        <w:t xml:space="preserve"> </w:t>
      </w:r>
      <w:r>
        <w:tab/>
      </w:r>
      <w:r w:rsidR="001D40C4" w:rsidRPr="001D40C4">
        <w:t>A/73/265</w:t>
      </w:r>
      <w:r w:rsidR="009159F6">
        <w:t>.</w:t>
      </w:r>
    </w:p>
  </w:footnote>
  <w:footnote w:id="13">
    <w:p w14:paraId="6369C68A" w14:textId="17716D59" w:rsidR="007B16EC" w:rsidRDefault="009C21ED" w:rsidP="009C21ED">
      <w:pPr>
        <w:pStyle w:val="FootnoteText"/>
        <w:ind w:left="1021" w:hanging="180"/>
      </w:pPr>
      <w:r>
        <w:tab/>
      </w:r>
      <w:r w:rsidR="007B16EC">
        <w:rPr>
          <w:rStyle w:val="FootnoteReference"/>
        </w:rPr>
        <w:footnoteRef/>
      </w:r>
      <w:r w:rsidR="007B16EC">
        <w:t xml:space="preserve"> </w:t>
      </w:r>
      <w:r>
        <w:tab/>
      </w:r>
      <w:r w:rsidR="007B16EC">
        <w:t>Committee on the Rights of the Child, General Comment 13, para. 21(g), recognizing as a mental violence the “</w:t>
      </w:r>
      <w:r w:rsidR="007B16EC" w:rsidRPr="007B16EC">
        <w:t>Psychological bullying and hazing by adults or other children, including via information and communication technologies (ICTs) such as mobile phones and the Internet (known as “cyberbullying”)</w:t>
      </w:r>
      <w:r w:rsidR="007B16EC">
        <w:t>”. See also CRC General Comment 25, para 81</w:t>
      </w:r>
      <w:r>
        <w:t>.</w:t>
      </w:r>
    </w:p>
  </w:footnote>
  <w:footnote w:id="14">
    <w:p w14:paraId="35BE6CD3" w14:textId="0EC9FA26" w:rsidR="008243F7" w:rsidRPr="00EC7D66" w:rsidRDefault="009C21ED" w:rsidP="00EC7D66">
      <w:pPr>
        <w:pStyle w:val="FootnoteText"/>
        <w:tabs>
          <w:tab w:val="left" w:pos="1134"/>
          <w:tab w:val="left" w:pos="1701"/>
          <w:tab w:val="left" w:pos="2268"/>
        </w:tabs>
        <w:kinsoku/>
        <w:overflowPunct/>
        <w:autoSpaceDE/>
        <w:autoSpaceDN/>
        <w:adjustRightInd/>
        <w:snapToGrid/>
        <w:rPr>
          <w:rFonts w:eastAsia="SimSun"/>
          <w:szCs w:val="18"/>
          <w:lang w:eastAsia="zh-CN"/>
        </w:rPr>
      </w:pPr>
      <w:r w:rsidRPr="00EC7D66">
        <w:rPr>
          <w:rFonts w:eastAsia="SimSun"/>
          <w:szCs w:val="18"/>
          <w:lang w:eastAsia="zh-CN"/>
        </w:rPr>
        <w:tab/>
      </w:r>
      <w:r w:rsidR="008243F7" w:rsidRPr="00EC7D66">
        <w:rPr>
          <w:rStyle w:val="FootnoteReference"/>
        </w:rPr>
        <w:footnoteRef/>
      </w:r>
      <w:r w:rsidR="008243F7" w:rsidRPr="00EC7D66">
        <w:rPr>
          <w:rStyle w:val="FootnoteReference"/>
        </w:rPr>
        <w:t xml:space="preserve"> </w:t>
      </w:r>
      <w:r w:rsidR="00EC7D66">
        <w:tab/>
      </w:r>
      <w:r w:rsidR="00D17E45" w:rsidRPr="00EC7D66">
        <w:rPr>
          <w:rFonts w:eastAsia="SimSun"/>
          <w:szCs w:val="18"/>
          <w:lang w:eastAsia="zh-CN"/>
        </w:rPr>
        <w:t>See</w:t>
      </w:r>
      <w:r w:rsidR="003D3682" w:rsidRPr="00EC7D66">
        <w:rPr>
          <w:rFonts w:eastAsia="SimSun"/>
          <w:szCs w:val="18"/>
          <w:lang w:eastAsia="zh-CN"/>
        </w:rPr>
        <w:t xml:space="preserve"> </w:t>
      </w:r>
      <w:hyperlink r:id="rId6" w:history="1">
        <w:r w:rsidR="00DE5330" w:rsidRPr="00451BC8">
          <w:rPr>
            <w:rStyle w:val="Hyperlink"/>
            <w:lang w:eastAsia="zh-CN"/>
          </w:rPr>
          <w:t>https://www.ncbi.nlm.nih.gov/pmc/articles/PMC7158969/</w:t>
        </w:r>
      </w:hyperlink>
      <w:r w:rsidR="00DE5330" w:rsidRPr="00451BC8">
        <w:rPr>
          <w:rStyle w:val="Hyperlink"/>
          <w:lang w:eastAsia="zh-CN"/>
        </w:rPr>
        <w:t xml:space="preserve"> </w:t>
      </w:r>
      <w:r w:rsidR="003A7E59" w:rsidRPr="00EC7D66">
        <w:rPr>
          <w:rFonts w:eastAsia="SimSun"/>
          <w:szCs w:val="18"/>
          <w:lang w:eastAsia="zh-CN"/>
        </w:rPr>
        <w:t xml:space="preserve">and </w:t>
      </w:r>
      <w:r w:rsidR="003D3682" w:rsidRPr="00EC7D66">
        <w:rPr>
          <w:rFonts w:eastAsia="SimSun"/>
          <w:szCs w:val="18"/>
          <w:lang w:eastAsia="zh-CN"/>
        </w:rPr>
        <w:t>contribution of Maat for Peace, Development and Human Rights and</w:t>
      </w:r>
      <w:r w:rsidR="00D17E45" w:rsidRPr="00EC7D66">
        <w:rPr>
          <w:rFonts w:eastAsia="SimSun"/>
          <w:szCs w:val="18"/>
          <w:lang w:eastAsia="zh-CN"/>
        </w:rPr>
        <w:t xml:space="preserve"> </w:t>
      </w:r>
      <w:hyperlink r:id="rId7" w:history="1">
        <w:r w:rsidR="00D17E45" w:rsidRPr="00451BC8">
          <w:rPr>
            <w:rStyle w:val="Hyperlink"/>
            <w:lang w:eastAsia="zh-CN"/>
          </w:rPr>
          <w:t>https://committees.parliament.uk/writtenevidence/86982/html/</w:t>
        </w:r>
      </w:hyperlink>
      <w:r w:rsidR="003D3682" w:rsidRPr="00451BC8">
        <w:rPr>
          <w:rStyle w:val="Hyperlink"/>
          <w:lang w:eastAsia="zh-CN"/>
        </w:rPr>
        <w:t>.</w:t>
      </w:r>
    </w:p>
  </w:footnote>
  <w:footnote w:id="15">
    <w:p w14:paraId="75B009B2" w14:textId="613BC060" w:rsidR="00582AB8" w:rsidRPr="00A0319F" w:rsidRDefault="00EC7D66" w:rsidP="00EC7D66">
      <w:pPr>
        <w:pStyle w:val="FootnoteText"/>
        <w:tabs>
          <w:tab w:val="left" w:pos="1134"/>
          <w:tab w:val="left" w:pos="1701"/>
          <w:tab w:val="left" w:pos="2268"/>
        </w:tabs>
        <w:kinsoku/>
        <w:overflowPunct/>
        <w:autoSpaceDE/>
        <w:autoSpaceDN/>
        <w:adjustRightInd/>
        <w:snapToGrid/>
        <w:rPr>
          <w:lang w:val="en-US"/>
        </w:rPr>
      </w:pPr>
      <w:r>
        <w:rPr>
          <w:rStyle w:val="FootnoteReference"/>
        </w:rPr>
        <w:tab/>
      </w:r>
      <w:r w:rsidR="00582AB8" w:rsidRPr="00EC7D66">
        <w:rPr>
          <w:rStyle w:val="FootnoteReference"/>
        </w:rPr>
        <w:footnoteRef/>
      </w:r>
      <w:r w:rsidR="00582AB8" w:rsidRPr="00EC7D66">
        <w:rPr>
          <w:rStyle w:val="FootnoteReference"/>
        </w:rPr>
        <w:t xml:space="preserve"> </w:t>
      </w:r>
      <w:r>
        <w:tab/>
      </w:r>
      <w:hyperlink r:id="rId8" w:history="1">
        <w:r w:rsidRPr="00083B85">
          <w:rPr>
            <w:rStyle w:val="Hyperlink"/>
            <w:rFonts w:eastAsia="SimSun"/>
            <w:szCs w:val="18"/>
            <w:lang w:eastAsia="zh-CN"/>
          </w:rPr>
          <w:t>https://www.edf-feph.org/content/uploads/2021/04/EDF-position-and-recommendation-on-hate-speech-and-hate-crime.pdf</w:t>
        </w:r>
      </w:hyperlink>
      <w:r w:rsidR="00582AB8" w:rsidRPr="00EC7D66">
        <w:rPr>
          <w:rFonts w:eastAsia="SimSun"/>
          <w:szCs w:val="18"/>
          <w:lang w:eastAsia="zh-CN"/>
        </w:rPr>
        <w:t>.</w:t>
      </w:r>
    </w:p>
  </w:footnote>
  <w:footnote w:id="16">
    <w:p w14:paraId="7DE871B8" w14:textId="65445DD4" w:rsidR="002E56D9" w:rsidRPr="002E56D9" w:rsidRDefault="009C21ED">
      <w:pPr>
        <w:pStyle w:val="FootnoteText"/>
        <w:rPr>
          <w:lang w:val="en-US"/>
        </w:rPr>
      </w:pPr>
      <w:r>
        <w:tab/>
      </w:r>
      <w:r w:rsidR="002E56D9">
        <w:rPr>
          <w:rStyle w:val="FootnoteReference"/>
        </w:rPr>
        <w:footnoteRef/>
      </w:r>
      <w:r w:rsidR="002E56D9">
        <w:t xml:space="preserve"> </w:t>
      </w:r>
      <w:r>
        <w:tab/>
      </w:r>
      <w:r w:rsidR="00DF11AF">
        <w:t>See</w:t>
      </w:r>
      <w:r w:rsidR="00055D99">
        <w:t>,</w:t>
      </w:r>
      <w:r w:rsidR="00DF11AF">
        <w:t xml:space="preserve"> for example </w:t>
      </w:r>
      <w:hyperlink r:id="rId9" w:history="1">
        <w:r w:rsidR="00DF11AF" w:rsidRPr="00DA4C6B">
          <w:rPr>
            <w:rStyle w:val="Hyperlink"/>
          </w:rPr>
          <w:t>https://unesdoc.unesco.org/ark:/48223/pf0000378061</w:t>
        </w:r>
      </w:hyperlink>
      <w:r w:rsidR="00D17E45">
        <w:t>.</w:t>
      </w:r>
    </w:p>
  </w:footnote>
  <w:footnote w:id="17">
    <w:p w14:paraId="79CDF804" w14:textId="2EDC6424" w:rsidR="000A33F0" w:rsidRPr="00EC7D66" w:rsidRDefault="009C21ED" w:rsidP="00EC7D66">
      <w:pPr>
        <w:pStyle w:val="FootnoteText"/>
        <w:tabs>
          <w:tab w:val="left" w:pos="1134"/>
          <w:tab w:val="left" w:pos="1701"/>
          <w:tab w:val="left" w:pos="2268"/>
        </w:tabs>
        <w:kinsoku/>
        <w:overflowPunct/>
        <w:autoSpaceDE/>
        <w:autoSpaceDN/>
        <w:adjustRightInd/>
        <w:snapToGrid/>
        <w:rPr>
          <w:rFonts w:eastAsia="SimSun"/>
          <w:szCs w:val="18"/>
          <w:lang w:eastAsia="zh-CN"/>
        </w:rPr>
      </w:pPr>
      <w:r w:rsidRPr="00EC7D66">
        <w:rPr>
          <w:rFonts w:eastAsia="SimSun"/>
          <w:szCs w:val="18"/>
          <w:lang w:eastAsia="zh-CN"/>
        </w:rPr>
        <w:tab/>
      </w:r>
      <w:r w:rsidR="000A33F0" w:rsidRPr="00EC7D66">
        <w:rPr>
          <w:rStyle w:val="FootnoteReference"/>
        </w:rPr>
        <w:footnoteRef/>
      </w:r>
      <w:r w:rsidR="000A33F0" w:rsidRPr="00EC7D66">
        <w:rPr>
          <w:rStyle w:val="FootnoteReference"/>
        </w:rPr>
        <w:t xml:space="preserve"> </w:t>
      </w:r>
      <w:r w:rsidR="00EC7D66">
        <w:tab/>
      </w:r>
      <w:r w:rsidR="00705022" w:rsidRPr="00EC7D66">
        <w:rPr>
          <w:rFonts w:eastAsia="SimSun"/>
          <w:szCs w:val="18"/>
          <w:lang w:eastAsia="zh-CN"/>
        </w:rPr>
        <w:t xml:space="preserve">See contributions of Kazakhstan, Luxembourg, Malaysia, and the Catholic International Education Office during the panel discussion at </w:t>
      </w:r>
      <w:hyperlink r:id="rId10" w:history="1">
        <w:r w:rsidR="00705022" w:rsidRPr="00EC7D66">
          <w:rPr>
            <w:rStyle w:val="Hyperlink"/>
          </w:rPr>
          <w:t>https://webtv.un.org/en/asset/k1m/k1mo6jr0hn</w:t>
        </w:r>
      </w:hyperlink>
      <w:r w:rsidR="00705022" w:rsidRPr="00EC7D66">
        <w:rPr>
          <w:rFonts w:eastAsia="SimSun"/>
          <w:szCs w:val="18"/>
          <w:lang w:eastAsia="zh-CN"/>
        </w:rPr>
        <w:t xml:space="preserve">; as well as contributions of the World Federation of the Deaf, </w:t>
      </w:r>
      <w:proofErr w:type="spellStart"/>
      <w:r w:rsidR="00705022" w:rsidRPr="00EC7D66">
        <w:rPr>
          <w:rFonts w:eastAsia="SimSun"/>
          <w:szCs w:val="18"/>
          <w:lang w:eastAsia="zh-CN"/>
        </w:rPr>
        <w:t>DeafKidz</w:t>
      </w:r>
      <w:proofErr w:type="spellEnd"/>
      <w:r w:rsidR="00705022" w:rsidRPr="00EC7D66">
        <w:rPr>
          <w:rFonts w:eastAsia="SimSun"/>
          <w:szCs w:val="18"/>
          <w:lang w:eastAsia="zh-CN"/>
        </w:rPr>
        <w:t xml:space="preserve"> International, and the European Union of the Deaf Youth, and Maat for Peace, Development and Human Rights.</w:t>
      </w:r>
    </w:p>
  </w:footnote>
  <w:footnote w:id="18">
    <w:p w14:paraId="0443BBEB" w14:textId="28A0E17D" w:rsidR="000A33F0" w:rsidRPr="00234962" w:rsidRDefault="009C21ED" w:rsidP="00DB7378">
      <w:pPr>
        <w:pStyle w:val="FootnoteText"/>
        <w:rPr>
          <w:rStyle w:val="Hyperlink"/>
        </w:rPr>
      </w:pPr>
      <w:r w:rsidRPr="00234962">
        <w:rPr>
          <w:rFonts w:eastAsia="SimSun"/>
          <w:szCs w:val="18"/>
          <w:lang w:eastAsia="zh-CN"/>
        </w:rPr>
        <w:tab/>
      </w:r>
      <w:r w:rsidR="000A33F0" w:rsidRPr="00234962">
        <w:rPr>
          <w:rStyle w:val="FootnoteReference"/>
        </w:rPr>
        <w:footnoteRef/>
      </w:r>
      <w:r w:rsidR="000A33F0" w:rsidRPr="00234962">
        <w:rPr>
          <w:rStyle w:val="FootnoteReference"/>
        </w:rPr>
        <w:t xml:space="preserve"> </w:t>
      </w:r>
      <w:r w:rsidRPr="00234962">
        <w:rPr>
          <w:rFonts w:eastAsia="SimSun"/>
          <w:szCs w:val="18"/>
          <w:lang w:eastAsia="zh-CN"/>
        </w:rPr>
        <w:tab/>
      </w:r>
      <w:r w:rsidR="00705022" w:rsidRPr="00234962">
        <w:rPr>
          <w:rFonts w:eastAsia="SimSun"/>
          <w:szCs w:val="18"/>
          <w:lang w:eastAsia="zh-CN"/>
        </w:rPr>
        <w:t>See</w:t>
      </w:r>
      <w:r w:rsidR="00055D99" w:rsidRPr="00234962">
        <w:rPr>
          <w:rFonts w:eastAsia="SimSun"/>
          <w:szCs w:val="18"/>
          <w:lang w:eastAsia="zh-CN"/>
        </w:rPr>
        <w:t xml:space="preserve"> </w:t>
      </w:r>
      <w:r w:rsidR="00705022" w:rsidRPr="00234962">
        <w:rPr>
          <w:rFonts w:eastAsia="SimSun"/>
          <w:szCs w:val="18"/>
          <w:lang w:eastAsia="zh-CN"/>
        </w:rPr>
        <w:t xml:space="preserve">contributions of the World Federation of the Deaf, </w:t>
      </w:r>
      <w:proofErr w:type="spellStart"/>
      <w:r w:rsidR="00705022" w:rsidRPr="00234962">
        <w:rPr>
          <w:rFonts w:eastAsia="SimSun"/>
          <w:szCs w:val="18"/>
          <w:lang w:eastAsia="zh-CN"/>
        </w:rPr>
        <w:t>DeafKidz</w:t>
      </w:r>
      <w:proofErr w:type="spellEnd"/>
      <w:r w:rsidR="00705022" w:rsidRPr="00234962">
        <w:rPr>
          <w:rFonts w:eastAsia="SimSun"/>
          <w:szCs w:val="18"/>
          <w:lang w:eastAsia="zh-CN"/>
        </w:rPr>
        <w:t xml:space="preserve"> International, and the European Union of the Deaf Youth, and Maat for Peace, Development and Human Rights, as well as the statements of the Deputy High Commissioner for Human Rights during the panel discussion at </w:t>
      </w:r>
      <w:hyperlink r:id="rId11" w:history="1">
        <w:r w:rsidR="00705022" w:rsidRPr="00234962">
          <w:rPr>
            <w:rStyle w:val="Hyperlink"/>
          </w:rPr>
          <w:t>https://webtv.un.org/en/asset/k1m/k1mo6jr0hn</w:t>
        </w:r>
      </w:hyperlink>
      <w:r w:rsidR="001246B8" w:rsidRPr="00234962">
        <w:rPr>
          <w:rStyle w:val="Hyperlink"/>
        </w:rPr>
        <w:t>.</w:t>
      </w:r>
    </w:p>
  </w:footnote>
  <w:footnote w:id="19">
    <w:p w14:paraId="5732205F" w14:textId="30B53533" w:rsidR="00CB717B" w:rsidRPr="00DB7378" w:rsidRDefault="00DB7378" w:rsidP="00DB7378">
      <w:pPr>
        <w:pStyle w:val="FootnoteText"/>
      </w:pPr>
      <w:r w:rsidRPr="00DB7378">
        <w:tab/>
      </w:r>
      <w:r w:rsidR="00CB717B" w:rsidRPr="00DB7378">
        <w:rPr>
          <w:rStyle w:val="FootnoteReference"/>
        </w:rPr>
        <w:footnoteRef/>
      </w:r>
      <w:r w:rsidR="00CB717B" w:rsidRPr="00DB7378">
        <w:rPr>
          <w:rStyle w:val="FootnoteReference"/>
        </w:rPr>
        <w:t xml:space="preserve"> </w:t>
      </w:r>
      <w:r w:rsidRPr="00DB7378">
        <w:tab/>
      </w:r>
      <w:r w:rsidR="00CB717B" w:rsidRPr="00DB7378">
        <w:t xml:space="preserve">These obligations of States to ensure these rights are set forth in </w:t>
      </w:r>
      <w:r w:rsidR="007110F3" w:rsidRPr="00DB7378">
        <w:t>CRPD,</w:t>
      </w:r>
      <w:r w:rsidR="00CB717B" w:rsidRPr="00DB7378">
        <w:t xml:space="preserve"> articles 19, 27, 29, and 30.</w:t>
      </w:r>
    </w:p>
  </w:footnote>
  <w:footnote w:id="20">
    <w:p w14:paraId="52570A0D" w14:textId="25A471F9" w:rsidR="00F60C6F" w:rsidRPr="00B1257A" w:rsidRDefault="00DB7378" w:rsidP="00F60C6F">
      <w:pPr>
        <w:pStyle w:val="FootnoteText"/>
      </w:pPr>
      <w:r>
        <w:tab/>
      </w:r>
      <w:r w:rsidR="00F60C6F" w:rsidRPr="00DB7378">
        <w:rPr>
          <w:rStyle w:val="FootnoteReference"/>
        </w:rPr>
        <w:footnoteRef/>
      </w:r>
      <w:r w:rsidR="00F60C6F" w:rsidRPr="00DB7378">
        <w:rPr>
          <w:rStyle w:val="FootnoteReference"/>
        </w:rPr>
        <w:t xml:space="preserve"> </w:t>
      </w:r>
      <w:r w:rsidRPr="00DB7378">
        <w:rPr>
          <w:rStyle w:val="FootnoteReference"/>
        </w:rPr>
        <w:tab/>
      </w:r>
      <w:r>
        <w:tab/>
      </w:r>
      <w:r w:rsidR="00F60C6F" w:rsidRPr="00B1257A">
        <w:t xml:space="preserve">CRPD, article 3. </w:t>
      </w:r>
    </w:p>
  </w:footnote>
  <w:footnote w:id="21">
    <w:p w14:paraId="1BE030C9" w14:textId="3D87993E" w:rsidR="00417CCE" w:rsidRDefault="00DB7378">
      <w:pPr>
        <w:pStyle w:val="FootnoteText"/>
      </w:pPr>
      <w:r>
        <w:tab/>
      </w:r>
      <w:r w:rsidR="00417CCE" w:rsidRPr="00DB7378">
        <w:rPr>
          <w:rStyle w:val="FootnoteReference"/>
        </w:rPr>
        <w:footnoteRef/>
      </w:r>
      <w:r w:rsidR="00417CCE">
        <w:t xml:space="preserve"> </w:t>
      </w:r>
      <w:r>
        <w:tab/>
      </w:r>
      <w:r w:rsidR="00417CCE">
        <w:t xml:space="preserve">See </w:t>
      </w:r>
      <w:r w:rsidR="00883E0F">
        <w:t xml:space="preserve">Council resolution 50/15 and 53/29; </w:t>
      </w:r>
      <w:hyperlink r:id="rId12" w:tgtFrame="_blank" w:history="1">
        <w:r w:rsidR="00417CCE" w:rsidRPr="00DB7378">
          <w:t>CRPD/C/MNG/CO/2-3</w:t>
        </w:r>
      </w:hyperlink>
      <w:r w:rsidR="00417CCE">
        <w:t xml:space="preserve">, </w:t>
      </w:r>
      <w:hyperlink r:id="rId13" w:tgtFrame="_blank" w:history="1">
        <w:r w:rsidR="00883E0F" w:rsidRPr="00DB7378">
          <w:t>CRPD/C/ISR/CO/1</w:t>
        </w:r>
      </w:hyperlink>
      <w:r w:rsidR="00883E0F">
        <w:t xml:space="preserve">, </w:t>
      </w:r>
      <w:hyperlink r:id="rId14" w:tgtFrame="_blank" w:history="1">
        <w:r w:rsidR="00883E0F" w:rsidRPr="00DB7378">
          <w:t>CRPD/C/TUN/CO/2-3</w:t>
        </w:r>
      </w:hyperlink>
      <w:r w:rsidR="00883E0F">
        <w:t xml:space="preserve">. </w:t>
      </w:r>
    </w:p>
  </w:footnote>
  <w:footnote w:id="22">
    <w:p w14:paraId="7B7BB347" w14:textId="4FFADEA9" w:rsidR="00851C15" w:rsidRPr="00DE5330" w:rsidRDefault="00DB7378">
      <w:pPr>
        <w:pStyle w:val="FootnoteText"/>
      </w:pPr>
      <w:r>
        <w:tab/>
      </w:r>
      <w:r w:rsidR="00851C15" w:rsidRPr="00DB7378">
        <w:rPr>
          <w:rStyle w:val="FootnoteReference"/>
        </w:rPr>
        <w:footnoteRef/>
      </w:r>
      <w:r w:rsidR="00851C15" w:rsidRPr="00DE5330">
        <w:t xml:space="preserve"> </w:t>
      </w:r>
      <w:r>
        <w:tab/>
      </w:r>
      <w:r w:rsidR="00851C15" w:rsidRPr="00DE5330">
        <w:t>CRPD, Article 16.</w:t>
      </w:r>
    </w:p>
  </w:footnote>
  <w:footnote w:id="23">
    <w:p w14:paraId="23A5DBCB" w14:textId="70CDFAB6" w:rsidR="00B1295D" w:rsidRPr="00B1295D" w:rsidRDefault="00D32A19">
      <w:pPr>
        <w:pStyle w:val="FootnoteText"/>
        <w:rPr>
          <w:lang w:val="en-US"/>
        </w:rPr>
      </w:pPr>
      <w:r>
        <w:tab/>
      </w:r>
      <w:r w:rsidR="00B1295D">
        <w:rPr>
          <w:rStyle w:val="FootnoteReference"/>
        </w:rPr>
        <w:footnoteRef/>
      </w:r>
      <w:r w:rsidR="00B1295D">
        <w:t xml:space="preserve"> </w:t>
      </w:r>
      <w:r>
        <w:tab/>
      </w:r>
      <w:r w:rsidR="003B51B1">
        <w:t xml:space="preserve">Committee on the Elimination of Discrimination against Women, </w:t>
      </w:r>
      <w:r w:rsidR="003B51B1">
        <w:rPr>
          <w:lang w:val="en-US"/>
        </w:rPr>
        <w:t>g</w:t>
      </w:r>
      <w:r w:rsidR="00B1295D">
        <w:rPr>
          <w:lang w:val="en-US"/>
        </w:rPr>
        <w:t xml:space="preserve">eneral </w:t>
      </w:r>
      <w:r w:rsidR="00E2029C">
        <w:rPr>
          <w:lang w:val="en-US"/>
        </w:rPr>
        <w:t>comment</w:t>
      </w:r>
      <w:r w:rsidR="00B1295D">
        <w:rPr>
          <w:lang w:val="en-US"/>
        </w:rPr>
        <w:t xml:space="preserve"> no. 35.</w:t>
      </w:r>
    </w:p>
  </w:footnote>
  <w:footnote w:id="24">
    <w:p w14:paraId="618A0769" w14:textId="19C09243" w:rsidR="00851C15" w:rsidRPr="001246B8" w:rsidRDefault="00D32A19">
      <w:pPr>
        <w:pStyle w:val="FootnoteText"/>
        <w:rPr>
          <w:lang w:val="fr-FR"/>
        </w:rPr>
      </w:pPr>
      <w:r w:rsidRPr="007C6FF1">
        <w:tab/>
      </w:r>
      <w:r w:rsidR="00851C15">
        <w:rPr>
          <w:rStyle w:val="FootnoteReference"/>
        </w:rPr>
        <w:footnoteRef/>
      </w:r>
      <w:r w:rsidR="00851C15" w:rsidRPr="001246B8">
        <w:rPr>
          <w:lang w:val="fr-FR"/>
        </w:rPr>
        <w:t xml:space="preserve"> </w:t>
      </w:r>
      <w:r>
        <w:rPr>
          <w:lang w:val="fr-FR"/>
        </w:rPr>
        <w:tab/>
      </w:r>
      <w:r w:rsidR="00851C15" w:rsidRPr="001246B8">
        <w:rPr>
          <w:lang w:val="fr-FR"/>
        </w:rPr>
        <w:t>CRPD, Article 7.</w:t>
      </w:r>
    </w:p>
  </w:footnote>
  <w:footnote w:id="25">
    <w:p w14:paraId="58921E1E" w14:textId="292258EE" w:rsidR="00E4103B" w:rsidRPr="001246B8" w:rsidRDefault="00D32A19">
      <w:pPr>
        <w:pStyle w:val="FootnoteText"/>
        <w:rPr>
          <w:lang w:val="fr-FR"/>
        </w:rPr>
      </w:pPr>
      <w:r>
        <w:rPr>
          <w:lang w:val="fr-FR"/>
        </w:rPr>
        <w:tab/>
      </w:r>
      <w:r w:rsidR="00E4103B">
        <w:rPr>
          <w:rStyle w:val="FootnoteReference"/>
        </w:rPr>
        <w:footnoteRef/>
      </w:r>
      <w:r w:rsidR="00E4103B" w:rsidRPr="001246B8">
        <w:rPr>
          <w:lang w:val="fr-FR"/>
        </w:rPr>
        <w:t xml:space="preserve"> </w:t>
      </w:r>
      <w:r>
        <w:rPr>
          <w:lang w:val="fr-FR"/>
        </w:rPr>
        <w:tab/>
      </w:r>
      <w:r w:rsidR="00E4103B" w:rsidRPr="001246B8">
        <w:rPr>
          <w:lang w:val="fr-FR"/>
        </w:rPr>
        <w:t>CRC, Articles 19, 13 a</w:t>
      </w:r>
      <w:r w:rsidR="00E4103B">
        <w:rPr>
          <w:lang w:val="fr-FR"/>
        </w:rPr>
        <w:t>nd 23.</w:t>
      </w:r>
    </w:p>
  </w:footnote>
  <w:footnote w:id="26">
    <w:p w14:paraId="7F8DBD63" w14:textId="7AD86ED4" w:rsidR="007A49E1" w:rsidRPr="00F83BC8" w:rsidRDefault="00D32A19">
      <w:pPr>
        <w:pStyle w:val="FootnoteText"/>
        <w:rPr>
          <w:lang w:val="fr-FR"/>
        </w:rPr>
      </w:pPr>
      <w:r>
        <w:rPr>
          <w:lang w:val="fr-FR"/>
        </w:rPr>
        <w:tab/>
      </w:r>
      <w:r w:rsidR="007A49E1">
        <w:rPr>
          <w:rStyle w:val="FootnoteReference"/>
        </w:rPr>
        <w:footnoteRef/>
      </w:r>
      <w:r w:rsidR="007A49E1" w:rsidRPr="00F83BC8">
        <w:rPr>
          <w:lang w:val="fr-FR"/>
        </w:rPr>
        <w:t xml:space="preserve"> </w:t>
      </w:r>
      <w:r>
        <w:rPr>
          <w:lang w:val="fr-FR"/>
        </w:rPr>
        <w:tab/>
      </w:r>
      <w:r w:rsidR="007A49E1" w:rsidRPr="00F83BC8">
        <w:rPr>
          <w:lang w:val="fr-FR"/>
        </w:rPr>
        <w:t>CRPD Article 7(2</w:t>
      </w:r>
      <w:proofErr w:type="gramStart"/>
      <w:r w:rsidR="007A49E1" w:rsidRPr="00F83BC8">
        <w:rPr>
          <w:lang w:val="fr-FR"/>
        </w:rPr>
        <w:t>);</w:t>
      </w:r>
      <w:proofErr w:type="gramEnd"/>
      <w:r w:rsidR="007A49E1" w:rsidRPr="00F83BC8">
        <w:rPr>
          <w:lang w:val="fr-FR"/>
        </w:rPr>
        <w:t xml:space="preserve"> CRC Article 3.</w:t>
      </w:r>
    </w:p>
  </w:footnote>
  <w:footnote w:id="27">
    <w:p w14:paraId="68FA5E8A" w14:textId="6C11E3D0" w:rsidR="00AB44A6" w:rsidRPr="005D06EB" w:rsidRDefault="00D32A19">
      <w:pPr>
        <w:pStyle w:val="FootnoteText"/>
        <w:rPr>
          <w:lang w:val="fr-FR"/>
        </w:rPr>
      </w:pPr>
      <w:r>
        <w:rPr>
          <w:lang w:val="fr-FR"/>
        </w:rPr>
        <w:tab/>
      </w:r>
      <w:r w:rsidR="00AB44A6">
        <w:rPr>
          <w:rStyle w:val="FootnoteReference"/>
        </w:rPr>
        <w:footnoteRef/>
      </w:r>
      <w:r w:rsidR="00AB44A6" w:rsidRPr="005D06EB">
        <w:rPr>
          <w:lang w:val="fr-FR"/>
        </w:rPr>
        <w:t xml:space="preserve"> </w:t>
      </w:r>
      <w:r>
        <w:rPr>
          <w:lang w:val="fr-FR"/>
        </w:rPr>
        <w:tab/>
      </w:r>
      <w:r w:rsidR="00AB44A6" w:rsidRPr="005D06EB">
        <w:rPr>
          <w:lang w:val="fr-FR"/>
        </w:rPr>
        <w:t>CRPD/C/GC/4</w:t>
      </w:r>
      <w:r w:rsidR="00E2029C" w:rsidRPr="005D06EB">
        <w:rPr>
          <w:lang w:val="fr-FR"/>
        </w:rPr>
        <w:t>.</w:t>
      </w:r>
    </w:p>
  </w:footnote>
  <w:footnote w:id="28">
    <w:p w14:paraId="75159320" w14:textId="73233791" w:rsidR="0033115A" w:rsidRPr="006D4098" w:rsidRDefault="00D32A19" w:rsidP="0033115A">
      <w:pPr>
        <w:pStyle w:val="FootnoteText"/>
        <w:rPr>
          <w:lang w:val="en-US"/>
        </w:rPr>
      </w:pPr>
      <w:r>
        <w:rPr>
          <w:lang w:val="fr-FR"/>
        </w:rPr>
        <w:tab/>
      </w:r>
      <w:r w:rsidR="0033115A">
        <w:rPr>
          <w:rStyle w:val="FootnoteReference"/>
        </w:rPr>
        <w:footnoteRef/>
      </w:r>
      <w:r w:rsidR="0033115A" w:rsidRPr="006D4098">
        <w:rPr>
          <w:lang w:val="en-US"/>
        </w:rPr>
        <w:t xml:space="preserve"> </w:t>
      </w:r>
      <w:r w:rsidRPr="006D4098">
        <w:rPr>
          <w:lang w:val="en-US"/>
        </w:rPr>
        <w:tab/>
      </w:r>
      <w:r w:rsidR="0033115A" w:rsidRPr="006D4098">
        <w:rPr>
          <w:lang w:val="en-US"/>
        </w:rPr>
        <w:t>CRPD/C/GC/6</w:t>
      </w:r>
      <w:r w:rsidR="00E2029C" w:rsidRPr="006D4098">
        <w:rPr>
          <w:lang w:val="en-US"/>
        </w:rPr>
        <w:t>.</w:t>
      </w:r>
    </w:p>
  </w:footnote>
  <w:footnote w:id="29">
    <w:p w14:paraId="7D1FCA08" w14:textId="0C58F9B2" w:rsidR="00AB44A6" w:rsidRPr="006D4098" w:rsidRDefault="00D32A19">
      <w:pPr>
        <w:pStyle w:val="FootnoteText"/>
        <w:rPr>
          <w:lang w:val="en-US"/>
        </w:rPr>
      </w:pPr>
      <w:r w:rsidRPr="006D4098">
        <w:rPr>
          <w:lang w:val="en-US"/>
        </w:rPr>
        <w:tab/>
      </w:r>
      <w:r w:rsidR="00AB44A6">
        <w:rPr>
          <w:rStyle w:val="FootnoteReference"/>
        </w:rPr>
        <w:footnoteRef/>
      </w:r>
      <w:r w:rsidR="00AB44A6" w:rsidRPr="006D4098">
        <w:rPr>
          <w:lang w:val="en-US"/>
        </w:rPr>
        <w:t xml:space="preserve"> </w:t>
      </w:r>
      <w:r w:rsidRPr="006D4098">
        <w:rPr>
          <w:lang w:val="en-US"/>
        </w:rPr>
        <w:tab/>
      </w:r>
      <w:r w:rsidR="00AB44A6" w:rsidRPr="006D4098">
        <w:rPr>
          <w:lang w:val="en-US"/>
        </w:rPr>
        <w:t>CRPD/C/GC/4</w:t>
      </w:r>
      <w:r w:rsidR="00E2029C" w:rsidRPr="006D4098">
        <w:rPr>
          <w:lang w:val="en-US"/>
        </w:rPr>
        <w:t>.</w:t>
      </w:r>
    </w:p>
  </w:footnote>
  <w:footnote w:id="30">
    <w:p w14:paraId="75E8CF83" w14:textId="78DABD0D" w:rsidR="00262F2E" w:rsidRPr="00262F2E" w:rsidRDefault="00D32A19">
      <w:pPr>
        <w:pStyle w:val="FootnoteText"/>
        <w:rPr>
          <w:lang w:val="en-US"/>
        </w:rPr>
      </w:pPr>
      <w:r w:rsidRPr="006D4098">
        <w:rPr>
          <w:lang w:val="en-US"/>
        </w:rPr>
        <w:tab/>
      </w:r>
      <w:r w:rsidR="00262F2E">
        <w:rPr>
          <w:rStyle w:val="FootnoteReference"/>
        </w:rPr>
        <w:footnoteRef/>
      </w:r>
      <w:r w:rsidR="00262F2E">
        <w:t xml:space="preserve"> </w:t>
      </w:r>
      <w:r>
        <w:tab/>
      </w:r>
      <w:r w:rsidR="00262F2E">
        <w:rPr>
          <w:lang w:val="en-US"/>
        </w:rPr>
        <w:t>CRC/C/GC/13</w:t>
      </w:r>
      <w:r w:rsidR="00E2029C">
        <w:rPr>
          <w:lang w:val="en-US"/>
        </w:rPr>
        <w:t>.</w:t>
      </w:r>
    </w:p>
  </w:footnote>
  <w:footnote w:id="31">
    <w:p w14:paraId="011B5024" w14:textId="0853ACFE" w:rsidR="00A9191E" w:rsidRPr="00A9191E" w:rsidRDefault="00D32A19">
      <w:pPr>
        <w:pStyle w:val="FootnoteText"/>
        <w:rPr>
          <w:lang w:val="en-US"/>
        </w:rPr>
      </w:pPr>
      <w:r>
        <w:tab/>
      </w:r>
      <w:r w:rsidR="00A9191E">
        <w:rPr>
          <w:rStyle w:val="FootnoteReference"/>
        </w:rPr>
        <w:footnoteRef/>
      </w:r>
      <w:r w:rsidR="00A9191E">
        <w:t xml:space="preserve"> </w:t>
      </w:r>
      <w:r>
        <w:tab/>
      </w:r>
      <w:r w:rsidR="00A9191E">
        <w:rPr>
          <w:lang w:val="en-US"/>
        </w:rPr>
        <w:t>CRC/C/GC/25</w:t>
      </w:r>
      <w:r w:rsidR="00E2029C">
        <w:rPr>
          <w:lang w:val="en-US"/>
        </w:rPr>
        <w:t>.</w:t>
      </w:r>
    </w:p>
  </w:footnote>
  <w:footnote w:id="32">
    <w:p w14:paraId="2B7426CD" w14:textId="2B84E00A" w:rsidR="00770B1B" w:rsidRPr="00770B1B" w:rsidRDefault="00D32A19">
      <w:pPr>
        <w:pStyle w:val="FootnoteText"/>
        <w:rPr>
          <w:lang w:val="en-US"/>
        </w:rPr>
      </w:pPr>
      <w:r>
        <w:tab/>
      </w:r>
      <w:r w:rsidR="00770B1B">
        <w:rPr>
          <w:rStyle w:val="FootnoteReference"/>
        </w:rPr>
        <w:footnoteRef/>
      </w:r>
      <w:r w:rsidR="00770B1B">
        <w:t xml:space="preserve"> </w:t>
      </w:r>
      <w:r>
        <w:tab/>
      </w:r>
      <w:r w:rsidR="00770B1B">
        <w:rPr>
          <w:lang w:val="en-US"/>
        </w:rPr>
        <w:t>A/HRC/55/56</w:t>
      </w:r>
      <w:r w:rsidR="003B51B1">
        <w:rPr>
          <w:lang w:val="en-US"/>
        </w:rPr>
        <w:t>.</w:t>
      </w:r>
    </w:p>
  </w:footnote>
  <w:footnote w:id="33">
    <w:p w14:paraId="7440F536" w14:textId="75AC63B6" w:rsidR="00212C72" w:rsidRPr="0033115A" w:rsidRDefault="00D32A19" w:rsidP="00212C72">
      <w:pPr>
        <w:pStyle w:val="FootnoteText"/>
        <w:rPr>
          <w:lang w:val="en-US"/>
        </w:rPr>
      </w:pPr>
      <w:r>
        <w:tab/>
      </w:r>
      <w:r w:rsidR="00212C72">
        <w:rPr>
          <w:rStyle w:val="FootnoteReference"/>
        </w:rPr>
        <w:footnoteRef/>
      </w:r>
      <w:r w:rsidR="00212C72">
        <w:t xml:space="preserve"> </w:t>
      </w:r>
      <w:r>
        <w:tab/>
      </w:r>
      <w:r w:rsidR="00212C72">
        <w:rPr>
          <w:lang w:val="en-US"/>
        </w:rPr>
        <w:t>A/HRC/53/65</w:t>
      </w:r>
      <w:r w:rsidR="003B51B1">
        <w:rPr>
          <w:lang w:val="en-US"/>
        </w:rPr>
        <w:t>.</w:t>
      </w:r>
    </w:p>
  </w:footnote>
  <w:footnote w:id="34">
    <w:p w14:paraId="08B49ECF" w14:textId="4EF1A89A" w:rsidR="00A50876" w:rsidRPr="00A50876" w:rsidRDefault="00D32A19">
      <w:pPr>
        <w:pStyle w:val="FootnoteText"/>
        <w:rPr>
          <w:lang w:val="en-US"/>
        </w:rPr>
      </w:pPr>
      <w:r>
        <w:tab/>
      </w:r>
      <w:r w:rsidR="00A50876">
        <w:rPr>
          <w:rStyle w:val="FootnoteReference"/>
        </w:rPr>
        <w:footnoteRef/>
      </w:r>
      <w:r w:rsidR="00A50876">
        <w:t xml:space="preserve"> </w:t>
      </w:r>
      <w:r>
        <w:tab/>
      </w:r>
      <w:r w:rsidR="00081279">
        <w:rPr>
          <w:lang w:val="en-US"/>
        </w:rPr>
        <w:t xml:space="preserve">General Assembly resolution </w:t>
      </w:r>
      <w:r w:rsidR="00A50876">
        <w:rPr>
          <w:lang w:val="en-US"/>
        </w:rPr>
        <w:t>77/201</w:t>
      </w:r>
      <w:r w:rsidR="003B51B1">
        <w:rPr>
          <w:lang w:val="en-US"/>
        </w:rPr>
        <w:t>.</w:t>
      </w:r>
    </w:p>
  </w:footnote>
  <w:footnote w:id="35">
    <w:p w14:paraId="18000433" w14:textId="2C4A1EAF" w:rsidR="009B783A" w:rsidRPr="009B783A" w:rsidRDefault="0051049E">
      <w:pPr>
        <w:pStyle w:val="FootnoteText"/>
        <w:rPr>
          <w:lang w:val="en-US"/>
        </w:rPr>
      </w:pPr>
      <w:r>
        <w:tab/>
      </w:r>
      <w:r w:rsidR="009B783A">
        <w:rPr>
          <w:rStyle w:val="FootnoteReference"/>
        </w:rPr>
        <w:footnoteRef/>
      </w:r>
      <w:r w:rsidR="009B783A">
        <w:t xml:space="preserve"> </w:t>
      </w:r>
      <w:r>
        <w:tab/>
      </w:r>
      <w:r w:rsidR="009B783A">
        <w:rPr>
          <w:lang w:val="en-US"/>
        </w:rPr>
        <w:t>A/C/.3/78/L.19/Rev.1</w:t>
      </w:r>
      <w:r w:rsidR="003B51B1">
        <w:rPr>
          <w:lang w:val="en-US"/>
        </w:rPr>
        <w:t>.</w:t>
      </w:r>
    </w:p>
  </w:footnote>
  <w:footnote w:id="36">
    <w:p w14:paraId="7FEA2960" w14:textId="2452F65F" w:rsidR="00717E06" w:rsidRPr="00717E06" w:rsidRDefault="0051049E">
      <w:pPr>
        <w:pStyle w:val="FootnoteText"/>
        <w:rPr>
          <w:lang w:val="en-US"/>
        </w:rPr>
      </w:pPr>
      <w:r>
        <w:tab/>
      </w:r>
      <w:r w:rsidR="00717E06">
        <w:rPr>
          <w:rStyle w:val="FootnoteReference"/>
        </w:rPr>
        <w:footnoteRef/>
      </w:r>
      <w:r w:rsidR="00717E06">
        <w:t xml:space="preserve"> </w:t>
      </w:r>
      <w:r>
        <w:tab/>
      </w:r>
      <w:r w:rsidR="00B839A4">
        <w:rPr>
          <w:lang w:val="en-US"/>
        </w:rPr>
        <w:t>CRPD</w:t>
      </w:r>
      <w:r w:rsidR="003B51B1">
        <w:rPr>
          <w:lang w:val="en-US"/>
        </w:rPr>
        <w:t>,</w:t>
      </w:r>
      <w:r w:rsidR="00717E06">
        <w:rPr>
          <w:lang w:val="en-US"/>
        </w:rPr>
        <w:t xml:space="preserve"> </w:t>
      </w:r>
      <w:r w:rsidR="003B51B1">
        <w:rPr>
          <w:lang w:val="en-US"/>
        </w:rPr>
        <w:t>a</w:t>
      </w:r>
      <w:r w:rsidR="00717E06">
        <w:rPr>
          <w:lang w:val="en-US"/>
        </w:rPr>
        <w:t>rticle 21.</w:t>
      </w:r>
    </w:p>
  </w:footnote>
  <w:footnote w:id="37">
    <w:p w14:paraId="4E53EED8" w14:textId="5D73DD8F" w:rsidR="5B9C88E8" w:rsidRPr="0051049E" w:rsidRDefault="0051049E" w:rsidP="0051049E">
      <w:pPr>
        <w:pStyle w:val="FootnoteText"/>
      </w:pPr>
      <w:r>
        <w:rPr>
          <w:rStyle w:val="FootnoteReference"/>
        </w:rPr>
        <w:tab/>
      </w:r>
      <w:r w:rsidR="5B9C88E8" w:rsidRPr="0051049E">
        <w:rPr>
          <w:rStyle w:val="FootnoteReference"/>
        </w:rPr>
        <w:footnoteRef/>
      </w:r>
      <w:r w:rsidR="5B9C88E8" w:rsidRPr="0051049E">
        <w:rPr>
          <w:rStyle w:val="FootnoteReference"/>
        </w:rPr>
        <w:t xml:space="preserve"> </w:t>
      </w:r>
      <w:r>
        <w:tab/>
      </w:r>
      <w:r w:rsidR="5B9C88E8" w:rsidRPr="0051049E">
        <w:t>see A/HRC/56/50</w:t>
      </w:r>
      <w:r w:rsidR="00E23797" w:rsidRPr="0051049E">
        <w:t>.</w:t>
      </w:r>
      <w:r w:rsidR="5B9C88E8" w:rsidRPr="0051049E">
        <w:t xml:space="preserve"> </w:t>
      </w:r>
    </w:p>
  </w:footnote>
  <w:footnote w:id="38">
    <w:p w14:paraId="0EB2923C" w14:textId="5F3F8B75" w:rsidR="00A07341" w:rsidRPr="0051049E" w:rsidRDefault="0051049E" w:rsidP="0051049E">
      <w:pPr>
        <w:pStyle w:val="FootnoteText"/>
      </w:pPr>
      <w:r w:rsidRPr="0051049E">
        <w:tab/>
      </w:r>
      <w:r w:rsidR="00A07341" w:rsidRPr="0051049E">
        <w:rPr>
          <w:rStyle w:val="FootnoteReference"/>
        </w:rPr>
        <w:footnoteRef/>
      </w:r>
      <w:r w:rsidR="5B9C88E8" w:rsidRPr="0051049E">
        <w:rPr>
          <w:rStyle w:val="FootnoteReference"/>
        </w:rPr>
        <w:t xml:space="preserve"> </w:t>
      </w:r>
      <w:r w:rsidRPr="0051049E">
        <w:tab/>
      </w:r>
      <w:r w:rsidR="5B9C88E8" w:rsidRPr="0051049E">
        <w:t xml:space="preserve">B-Tech Project, </w:t>
      </w:r>
      <w:hyperlink r:id="rId15" w:history="1">
        <w:r w:rsidR="5B9C88E8" w:rsidRPr="0051049E">
          <w:t>https://www.ohchr.org/en/business-and-human-rights/b-tech-project</w:t>
        </w:r>
      </w:hyperlink>
      <w:r w:rsidR="5B9C88E8" w:rsidRPr="0051049E">
        <w:t xml:space="preserve"> and in particular, B-Tech foundation</w:t>
      </w:r>
      <w:r w:rsidR="001246B8" w:rsidRPr="0051049E">
        <w:t>al</w:t>
      </w:r>
      <w:r w:rsidR="5B9C88E8" w:rsidRPr="0051049E">
        <w:t xml:space="preserve"> papers on human rights due diligence and end-use “ </w:t>
      </w:r>
      <w:hyperlink r:id="rId16" w:history="1">
        <w:r w:rsidR="5B9C88E8" w:rsidRPr="0051049E">
          <w:t>Key Characteristics of Business Respect for Human Rights</w:t>
        </w:r>
      </w:hyperlink>
      <w:r w:rsidR="5B9C88E8" w:rsidRPr="0051049E">
        <w:t xml:space="preserve"> ” as well as, on remediation ”</w:t>
      </w:r>
      <w:hyperlink r:id="rId17" w:history="1">
        <w:r w:rsidR="5B9C88E8" w:rsidRPr="0051049E">
          <w:t>Access to Remedy and the Technology Sector: Understanding the perspectives and needs of affected people and groups</w:t>
        </w:r>
      </w:hyperlink>
      <w:r w:rsidR="5B9C88E8" w:rsidRPr="0051049E">
        <w:t xml:space="preserve">,“ “ </w:t>
      </w:r>
      <w:hyperlink r:id="rId18" w:history="1">
        <w:r w:rsidR="5B9C88E8" w:rsidRPr="0051049E">
          <w:t>Designing and Implementing Effective Company-based Grievance Mechanisms</w:t>
        </w:r>
      </w:hyperlink>
    </w:p>
  </w:footnote>
  <w:footnote w:id="39">
    <w:p w14:paraId="5C7615EE" w14:textId="53EA3B98" w:rsidR="00777AFC" w:rsidRPr="0051049E" w:rsidRDefault="0051049E" w:rsidP="0051049E">
      <w:pPr>
        <w:pStyle w:val="FootnoteText"/>
      </w:pPr>
      <w:r>
        <w:tab/>
      </w:r>
      <w:r w:rsidR="00777AFC" w:rsidRPr="0051049E">
        <w:rPr>
          <w:rStyle w:val="FootnoteReference"/>
        </w:rPr>
        <w:footnoteRef/>
      </w:r>
      <w:r w:rsidR="00777AFC" w:rsidRPr="0051049E">
        <w:rPr>
          <w:rStyle w:val="FootnoteReference"/>
        </w:rPr>
        <w:t xml:space="preserve"> </w:t>
      </w:r>
      <w:r>
        <w:tab/>
      </w:r>
      <w:r w:rsidR="00777AFC" w:rsidRPr="0051049E">
        <w:t xml:space="preserve">See contribution by the World Federation of the Deaf, </w:t>
      </w:r>
      <w:proofErr w:type="spellStart"/>
      <w:r w:rsidR="00777AFC" w:rsidRPr="0051049E">
        <w:t>DeafKidz</w:t>
      </w:r>
      <w:proofErr w:type="spellEnd"/>
      <w:r w:rsidR="00777AFC" w:rsidRPr="0051049E">
        <w:t xml:space="preserve"> International, and the European Union of the Deaf Youth.</w:t>
      </w:r>
    </w:p>
  </w:footnote>
  <w:footnote w:id="40">
    <w:p w14:paraId="7408B7E2" w14:textId="38D19A53" w:rsidR="00B839A4" w:rsidRPr="00CB61AA" w:rsidRDefault="007F2ED9" w:rsidP="00AB1187">
      <w:pPr>
        <w:pStyle w:val="FootnoteText"/>
        <w:rPr>
          <w:lang w:val="en-US"/>
        </w:rPr>
      </w:pPr>
      <w:r>
        <w:tab/>
      </w:r>
      <w:r w:rsidR="00B839A4" w:rsidRPr="00AB1187">
        <w:rPr>
          <w:rStyle w:val="FootnoteReference"/>
        </w:rPr>
        <w:footnoteRef/>
      </w:r>
      <w:r w:rsidR="00AB1187">
        <w:tab/>
      </w:r>
      <w:r w:rsidR="00B839A4" w:rsidRPr="00AB1187">
        <w:rPr>
          <w:rStyle w:val="FootnoteReference"/>
        </w:rPr>
        <w:t xml:space="preserve"> </w:t>
      </w:r>
      <w:r w:rsidR="00B839A4" w:rsidRPr="00AB1187">
        <w:t xml:space="preserve">On how digitalization of social services </w:t>
      </w:r>
      <w:r w:rsidRPr="00AB1187">
        <w:t>can enable</w:t>
      </w:r>
      <w:r w:rsidR="00B839A4" w:rsidRPr="00AB1187">
        <w:t xml:space="preserve"> objective treatment of persons with disabilities, see the submission of Azerbaijan.</w:t>
      </w:r>
    </w:p>
  </w:footnote>
  <w:footnote w:id="41">
    <w:p w14:paraId="27B97857" w14:textId="0E9A43B6" w:rsidR="008177DD" w:rsidRPr="00BC364A" w:rsidRDefault="00AB1187" w:rsidP="00AB1187">
      <w:pPr>
        <w:pStyle w:val="FootnoteText"/>
        <w:rPr>
          <w:lang w:val="en-US"/>
        </w:rPr>
      </w:pPr>
      <w:r>
        <w:tab/>
      </w:r>
      <w:r w:rsidR="008177DD" w:rsidRPr="00AB1187">
        <w:rPr>
          <w:rStyle w:val="FootnoteReference"/>
        </w:rPr>
        <w:footnoteRef/>
      </w:r>
      <w:r w:rsidR="008177DD">
        <w:t xml:space="preserve"> </w:t>
      </w:r>
      <w:r>
        <w:tab/>
      </w:r>
      <w:r w:rsidR="003B51B1">
        <w:t xml:space="preserve">See </w:t>
      </w:r>
      <w:r w:rsidR="004646F7">
        <w:t>contributions</w:t>
      </w:r>
      <w:r w:rsidR="003B51B1">
        <w:t xml:space="preserve"> of Norway, the Maldives, </w:t>
      </w:r>
      <w:r w:rsidR="00337387">
        <w:t>Czechia</w:t>
      </w:r>
      <w:r w:rsidR="003B51B1">
        <w:t>, and</w:t>
      </w:r>
      <w:r w:rsidR="00997FE4" w:rsidRPr="00AB1187">
        <w:t xml:space="preserve"> the </w:t>
      </w:r>
      <w:proofErr w:type="spellStart"/>
      <w:r w:rsidR="00997FE4" w:rsidRPr="00997FE4">
        <w:t>Comisión</w:t>
      </w:r>
      <w:proofErr w:type="spellEnd"/>
      <w:r w:rsidR="00997FE4" w:rsidRPr="00997FE4">
        <w:t xml:space="preserve"> de </w:t>
      </w:r>
      <w:proofErr w:type="spellStart"/>
      <w:r w:rsidR="00997FE4" w:rsidRPr="00997FE4">
        <w:t>Derechos</w:t>
      </w:r>
      <w:proofErr w:type="spellEnd"/>
      <w:r w:rsidR="00997FE4" w:rsidRPr="00997FE4">
        <w:t xml:space="preserve"> Humanos de la Ciudad de México</w:t>
      </w:r>
      <w:r w:rsidR="00997FE4">
        <w:t>.</w:t>
      </w:r>
      <w:r w:rsidR="008177DD">
        <w:rPr>
          <w:lang w:val="en-US"/>
        </w:rPr>
        <w:t xml:space="preserve"> </w:t>
      </w:r>
    </w:p>
  </w:footnote>
  <w:footnote w:id="42">
    <w:p w14:paraId="114A6C89" w14:textId="7071DEBF" w:rsidR="008177DD" w:rsidRPr="00BC364A" w:rsidRDefault="00081279" w:rsidP="008177DD">
      <w:pPr>
        <w:pStyle w:val="FootnoteText"/>
        <w:rPr>
          <w:lang w:val="en-US"/>
        </w:rPr>
      </w:pPr>
      <w:r>
        <w:tab/>
      </w:r>
      <w:r w:rsidR="008177DD">
        <w:rPr>
          <w:rStyle w:val="FootnoteReference"/>
        </w:rPr>
        <w:footnoteRef/>
      </w:r>
      <w:r w:rsidR="008177DD">
        <w:t xml:space="preserve"> </w:t>
      </w:r>
      <w:r>
        <w:tab/>
      </w:r>
      <w:r w:rsidR="00997FE4">
        <w:t xml:space="preserve">See </w:t>
      </w:r>
      <w:r w:rsidR="004646F7">
        <w:t>contribution</w:t>
      </w:r>
      <w:r w:rsidR="00997FE4">
        <w:t xml:space="preserve"> of </w:t>
      </w:r>
      <w:r w:rsidR="008177DD">
        <w:rPr>
          <w:lang w:val="en-US"/>
        </w:rPr>
        <w:t>Slovenia</w:t>
      </w:r>
      <w:r w:rsidR="00997FE4">
        <w:rPr>
          <w:lang w:val="en-US"/>
        </w:rPr>
        <w:t xml:space="preserve"> and </w:t>
      </w:r>
      <w:hyperlink r:id="rId19" w:history="1">
        <w:r w:rsidR="00961851" w:rsidRPr="00BC3393">
          <w:rPr>
            <w:rStyle w:val="Hyperlink"/>
          </w:rPr>
          <w:t>https://unesdoc.unesco.org/ark:/48223/pf0000381171</w:t>
        </w:r>
      </w:hyperlink>
      <w:r w:rsidR="00997FE4">
        <w:t>.</w:t>
      </w:r>
    </w:p>
  </w:footnote>
  <w:footnote w:id="43">
    <w:p w14:paraId="4E1182CE" w14:textId="21213B16" w:rsidR="00F27C03" w:rsidRPr="00F27C03" w:rsidRDefault="00081279">
      <w:pPr>
        <w:pStyle w:val="FootnoteText"/>
        <w:rPr>
          <w:lang w:val="en-US"/>
        </w:rPr>
      </w:pPr>
      <w:r>
        <w:tab/>
      </w:r>
      <w:r w:rsidR="00F27C03">
        <w:rPr>
          <w:rStyle w:val="FootnoteReference"/>
        </w:rPr>
        <w:footnoteRef/>
      </w:r>
      <w:r w:rsidR="00F27C03">
        <w:t xml:space="preserve"> </w:t>
      </w:r>
      <w:r>
        <w:tab/>
      </w:r>
      <w:r w:rsidR="00997FE4">
        <w:rPr>
          <w:lang w:val="en-US"/>
        </w:rPr>
        <w:t>C</w:t>
      </w:r>
      <w:r w:rsidR="003F7BCE">
        <w:rPr>
          <w:lang w:val="en-US"/>
        </w:rPr>
        <w:t>RPD</w:t>
      </w:r>
      <w:r w:rsidR="00997FE4">
        <w:rPr>
          <w:lang w:val="en-US"/>
        </w:rPr>
        <w:t>, article 31.</w:t>
      </w:r>
    </w:p>
  </w:footnote>
  <w:footnote w:id="44">
    <w:p w14:paraId="1B094E31" w14:textId="365F93BA" w:rsidR="00802065" w:rsidRPr="00802065" w:rsidRDefault="00081279" w:rsidP="00385F1C">
      <w:pPr>
        <w:pStyle w:val="FootnoteText"/>
        <w:rPr>
          <w:lang w:val="en-US"/>
        </w:rPr>
      </w:pPr>
      <w:r>
        <w:tab/>
      </w:r>
      <w:r w:rsidR="00802065">
        <w:rPr>
          <w:rStyle w:val="FootnoteReference"/>
        </w:rPr>
        <w:footnoteRef/>
      </w:r>
      <w:r w:rsidR="00802065">
        <w:t xml:space="preserve"> </w:t>
      </w:r>
      <w:r>
        <w:tab/>
      </w:r>
      <w:r w:rsidR="004646F7">
        <w:t xml:space="preserve">See contribution of the </w:t>
      </w:r>
      <w:r w:rsidR="00802065" w:rsidRPr="004646F7">
        <w:t>UN</w:t>
      </w:r>
      <w:r w:rsidR="003F7BCE">
        <w:t>ICEF</w:t>
      </w:r>
      <w:r w:rsidR="00F334BE">
        <w:t xml:space="preserve"> </w:t>
      </w:r>
      <w:r w:rsidR="004646F7" w:rsidRPr="004646F7">
        <w:t>during the panel discussion</w:t>
      </w:r>
      <w:r w:rsidR="00777AFC">
        <w:t xml:space="preserve"> at</w:t>
      </w:r>
      <w:r>
        <w:t xml:space="preserve"> </w:t>
      </w:r>
      <w:hyperlink r:id="rId20" w:history="1">
        <w:r w:rsidR="00777AFC" w:rsidRPr="00DA4C6B">
          <w:rPr>
            <w:rStyle w:val="Hyperlink"/>
          </w:rPr>
          <w:t>https://webtv.un.org/en/asset/k1m/k1mo6jr0hn</w:t>
        </w:r>
      </w:hyperlink>
      <w:r w:rsidR="004646F7" w:rsidRPr="004646F7">
        <w:t>.</w:t>
      </w:r>
    </w:p>
  </w:footnote>
  <w:footnote w:id="45">
    <w:p w14:paraId="34474559" w14:textId="599ED707" w:rsidR="00A16CEA" w:rsidRPr="00A16CEA" w:rsidRDefault="00385F1C">
      <w:pPr>
        <w:pStyle w:val="FootnoteText"/>
        <w:rPr>
          <w:lang w:val="en-US"/>
        </w:rPr>
      </w:pPr>
      <w:r>
        <w:tab/>
      </w:r>
      <w:r w:rsidR="00A16CEA">
        <w:rPr>
          <w:rStyle w:val="FootnoteReference"/>
        </w:rPr>
        <w:footnoteRef/>
      </w:r>
      <w:r w:rsidR="00A16CEA">
        <w:t xml:space="preserve"> </w:t>
      </w:r>
      <w:r>
        <w:tab/>
      </w:r>
      <w:hyperlink r:id="rId21" w:history="1">
        <w:r w:rsidRPr="00083B85">
          <w:rPr>
            <w:rStyle w:val="Hyperlink"/>
            <w:lang w:val="en-US"/>
          </w:rPr>
          <w:t>https://unesdoc.unesco.org/ark:/48223/pf0000378061</w:t>
        </w:r>
      </w:hyperlink>
      <w:r w:rsidR="00445CA7">
        <w:rPr>
          <w:lang w:val="en-US"/>
        </w:rPr>
        <w:t>.</w:t>
      </w:r>
    </w:p>
  </w:footnote>
  <w:footnote w:id="46">
    <w:p w14:paraId="7FF2A5EA" w14:textId="0C24E36A" w:rsidR="00ED182B" w:rsidRPr="00ED182B" w:rsidRDefault="00385F1C" w:rsidP="00385F1C">
      <w:pPr>
        <w:pStyle w:val="FootnoteText"/>
        <w:rPr>
          <w:lang w:val="en-US"/>
        </w:rPr>
      </w:pPr>
      <w:r>
        <w:tab/>
      </w:r>
      <w:r w:rsidR="00ED182B">
        <w:rPr>
          <w:rStyle w:val="FootnoteReference"/>
        </w:rPr>
        <w:footnoteRef/>
      </w:r>
      <w:r w:rsidR="00ED182B">
        <w:t xml:space="preserve"> </w:t>
      </w:r>
      <w:r>
        <w:tab/>
      </w:r>
      <w:hyperlink r:id="rId22" w:history="1">
        <w:r w:rsidRPr="00083B85">
          <w:rPr>
            <w:rStyle w:val="Hyperlink"/>
          </w:rPr>
          <w:t>https://www.esafety.gov.au/sites/default/files/2022-08/Adult%20Australians%20with%20Intellectual%20Disability%20-%20Online%20abuse%20report.pdf?v=1715709157229</w:t>
        </w:r>
      </w:hyperlink>
      <w:r w:rsidR="00445CA7">
        <w:t>.</w:t>
      </w:r>
    </w:p>
  </w:footnote>
  <w:footnote w:id="47">
    <w:p w14:paraId="15C5259C" w14:textId="563C76B5" w:rsidR="00F80FF2" w:rsidRPr="00F80FF2" w:rsidRDefault="00385F1C">
      <w:pPr>
        <w:pStyle w:val="FootnoteText"/>
        <w:rPr>
          <w:lang w:val="en-US"/>
        </w:rPr>
      </w:pPr>
      <w:r>
        <w:rPr>
          <w:lang w:val="en-US"/>
        </w:rPr>
        <w:tab/>
      </w:r>
      <w:r w:rsidR="00F80FF2" w:rsidRPr="00385F1C">
        <w:rPr>
          <w:rStyle w:val="FootnoteReference"/>
        </w:rPr>
        <w:footnoteRef/>
      </w:r>
      <w:r w:rsidR="00F80FF2" w:rsidRPr="00385F1C">
        <w:rPr>
          <w:lang w:val="en-US"/>
        </w:rPr>
        <w:t xml:space="preserve"> </w:t>
      </w:r>
      <w:r>
        <w:rPr>
          <w:lang w:val="en-US"/>
        </w:rPr>
        <w:tab/>
      </w:r>
      <w:hyperlink r:id="rId23" w:history="1">
        <w:r w:rsidRPr="00083B85">
          <w:rPr>
            <w:rStyle w:val="Hyperlink"/>
            <w:lang w:val="en-US"/>
          </w:rPr>
          <w:t>https://www.article19.org/wp-content/uploads/2018/12/Disability_leaflet_English.pdf</w:t>
        </w:r>
      </w:hyperlink>
      <w:r w:rsidR="00445CA7" w:rsidRPr="00385F1C">
        <w:rPr>
          <w:lang w:val="en-US"/>
        </w:rPr>
        <w:t>.</w:t>
      </w:r>
    </w:p>
  </w:footnote>
  <w:footnote w:id="48">
    <w:p w14:paraId="30F0CFF1" w14:textId="7E718240" w:rsidR="008177DD" w:rsidRPr="000427D9" w:rsidRDefault="00385F1C" w:rsidP="00385F1C">
      <w:pPr>
        <w:pStyle w:val="FootnoteText"/>
        <w:rPr>
          <w:lang w:val="en-US"/>
        </w:rPr>
      </w:pPr>
      <w:r>
        <w:tab/>
      </w:r>
      <w:r w:rsidR="008177DD">
        <w:rPr>
          <w:rStyle w:val="FootnoteReference"/>
        </w:rPr>
        <w:footnoteRef/>
      </w:r>
      <w:r w:rsidR="008177DD">
        <w:t xml:space="preserve"> </w:t>
      </w:r>
      <w:r>
        <w:tab/>
      </w:r>
      <w:r w:rsidR="004646F7">
        <w:t xml:space="preserve">See </w:t>
      </w:r>
      <w:r w:rsidR="004646F7">
        <w:rPr>
          <w:lang w:val="en-US"/>
        </w:rPr>
        <w:t xml:space="preserve">contribution by the </w:t>
      </w:r>
      <w:r w:rsidR="004646F7" w:rsidRPr="001205CF">
        <w:rPr>
          <w:lang w:val="en-US"/>
        </w:rPr>
        <w:t>World Federation of the Deaf</w:t>
      </w:r>
      <w:r w:rsidR="004646F7">
        <w:rPr>
          <w:lang w:val="en-US"/>
        </w:rPr>
        <w:t xml:space="preserve">, </w:t>
      </w:r>
      <w:proofErr w:type="spellStart"/>
      <w:r w:rsidR="004646F7">
        <w:rPr>
          <w:lang w:val="en-US"/>
        </w:rPr>
        <w:t>DeafKidz</w:t>
      </w:r>
      <w:proofErr w:type="spellEnd"/>
      <w:r w:rsidR="004646F7">
        <w:rPr>
          <w:lang w:val="en-US"/>
        </w:rPr>
        <w:t xml:space="preserve"> International, and the European Union of the Deaf </w:t>
      </w:r>
      <w:r w:rsidR="004646F7" w:rsidRPr="00385F1C">
        <w:t>Youth</w:t>
      </w:r>
      <w:r w:rsidR="00D02A7E">
        <w:rPr>
          <w:lang w:val="en-US"/>
        </w:rPr>
        <w:t>.</w:t>
      </w:r>
    </w:p>
  </w:footnote>
  <w:footnote w:id="49">
    <w:p w14:paraId="21660C7F" w14:textId="29F91E6C" w:rsidR="008177DD" w:rsidRPr="00CB61AA" w:rsidRDefault="00385F1C" w:rsidP="008177DD">
      <w:pPr>
        <w:pStyle w:val="FootnoteText"/>
        <w:rPr>
          <w:lang w:val="en-US"/>
        </w:rPr>
      </w:pPr>
      <w:r>
        <w:tab/>
      </w:r>
      <w:r w:rsidR="008177DD">
        <w:rPr>
          <w:rStyle w:val="FootnoteReference"/>
        </w:rPr>
        <w:footnoteRef/>
      </w:r>
      <w:r w:rsidR="008177DD">
        <w:t xml:space="preserve"> </w:t>
      </w:r>
      <w:r>
        <w:tab/>
      </w:r>
      <w:r w:rsidR="008177DD">
        <w:rPr>
          <w:lang w:val="en-US"/>
        </w:rPr>
        <w:t>See</w:t>
      </w:r>
      <w:r w:rsidR="00697CBA">
        <w:rPr>
          <w:lang w:val="en-US"/>
        </w:rPr>
        <w:t xml:space="preserve"> </w:t>
      </w:r>
      <w:r w:rsidR="004646F7" w:rsidRPr="00385F1C">
        <w:t>contributions</w:t>
      </w:r>
      <w:r w:rsidR="004646F7">
        <w:rPr>
          <w:lang w:val="en-US"/>
        </w:rPr>
        <w:t xml:space="preserve"> of </w:t>
      </w:r>
      <w:r w:rsidR="008177DD">
        <w:rPr>
          <w:lang w:val="en-US"/>
        </w:rPr>
        <w:t>Colombia</w:t>
      </w:r>
      <w:r w:rsidR="004646F7">
        <w:rPr>
          <w:lang w:val="en-US"/>
        </w:rPr>
        <w:t xml:space="preserve"> and</w:t>
      </w:r>
      <w:r w:rsidR="00BB2B98">
        <w:rPr>
          <w:lang w:val="en-US"/>
        </w:rPr>
        <w:t xml:space="preserve"> </w:t>
      </w:r>
      <w:proofErr w:type="spellStart"/>
      <w:r w:rsidR="00BB2B98">
        <w:rPr>
          <w:lang w:val="en-US"/>
        </w:rPr>
        <w:t>NetMission</w:t>
      </w:r>
      <w:proofErr w:type="spellEnd"/>
      <w:r w:rsidR="00BB2B98">
        <w:rPr>
          <w:lang w:val="en-US"/>
        </w:rPr>
        <w:t xml:space="preserve"> Asia</w:t>
      </w:r>
      <w:r w:rsidR="004646F7">
        <w:rPr>
          <w:lang w:val="en-US"/>
        </w:rPr>
        <w:t>.</w:t>
      </w:r>
    </w:p>
  </w:footnote>
  <w:footnote w:id="50">
    <w:p w14:paraId="52B973BC" w14:textId="0331A905" w:rsidR="00D02A7E" w:rsidRPr="000D2F58" w:rsidRDefault="00BF4B5C" w:rsidP="00BF4B5C">
      <w:pPr>
        <w:pStyle w:val="FootnoteText"/>
        <w:rPr>
          <w:lang w:val="en-US"/>
        </w:rPr>
      </w:pPr>
      <w:r>
        <w:tab/>
      </w:r>
      <w:r w:rsidR="00D02A7E">
        <w:rPr>
          <w:rStyle w:val="FootnoteReference"/>
        </w:rPr>
        <w:footnoteRef/>
      </w:r>
      <w:r w:rsidR="00D02A7E">
        <w:t xml:space="preserve"> </w:t>
      </w:r>
      <w:r>
        <w:tab/>
      </w:r>
      <w:r w:rsidR="00D02A7E">
        <w:t xml:space="preserve">See for example </w:t>
      </w:r>
      <w:hyperlink r:id="rId24" w:history="1">
        <w:r w:rsidR="00D02A7E" w:rsidRPr="00D02A7E">
          <w:rPr>
            <w:rStyle w:val="Hyperlink"/>
          </w:rPr>
          <w:t>https://rm.coe.int/two-clicks-forward-and-one-click-back-report-on-children-with-disabili/168098bd0f</w:t>
        </w:r>
      </w:hyperlink>
      <w:r w:rsidR="00D02A7E">
        <w:t xml:space="preserve">; </w:t>
      </w:r>
      <w:hyperlink r:id="rId25" w:history="1">
        <w:r w:rsidR="00886DC2" w:rsidRPr="005A1180">
          <w:rPr>
            <w:rStyle w:val="Hyperlink"/>
          </w:rPr>
          <w:t>https://www.techpolicy.press/internet-privacy-is-a-disability-rights-issue/</w:t>
        </w:r>
      </w:hyperlink>
      <w:r w:rsidR="00D02A7E">
        <w:t>.</w:t>
      </w:r>
    </w:p>
  </w:footnote>
  <w:footnote w:id="51">
    <w:p w14:paraId="241A39F4" w14:textId="6BF659AC" w:rsidR="00D02A7E" w:rsidRPr="000D2F58" w:rsidRDefault="00BF4B5C" w:rsidP="00BF4B5C">
      <w:pPr>
        <w:pStyle w:val="FootnoteText"/>
        <w:rPr>
          <w:lang w:val="en-US"/>
        </w:rPr>
      </w:pPr>
      <w:r>
        <w:rPr>
          <w:lang w:val="en-US"/>
        </w:rPr>
        <w:tab/>
      </w:r>
      <w:r w:rsidR="00D02A7E">
        <w:rPr>
          <w:rStyle w:val="FootnoteReference"/>
        </w:rPr>
        <w:footnoteRef/>
      </w:r>
      <w:r w:rsidR="00D02A7E">
        <w:t xml:space="preserve"> </w:t>
      </w:r>
      <w:r>
        <w:tab/>
      </w:r>
      <w:hyperlink r:id="rId26" w:history="1">
        <w:r w:rsidRPr="00083B85">
          <w:rPr>
            <w:rStyle w:val="Hyperlink"/>
          </w:rPr>
          <w:t>https://rm.coe.int/two-clicks-forward-and-one-click-back-report-on-children-with-disabili/168098bd0f</w:t>
        </w:r>
      </w:hyperlink>
      <w:r w:rsidR="00D02A7E">
        <w:t xml:space="preserve">; </w:t>
      </w:r>
      <w:hyperlink r:id="rId27" w:history="1">
        <w:r w:rsidR="00886DC2" w:rsidRPr="005A1180">
          <w:rPr>
            <w:rStyle w:val="Hyperlink"/>
          </w:rPr>
          <w:t>https://www.edf-feph.org/content/uploads/2021/04/EDF-position-and-recommendation-on-hate-speech-and-hate-crime.pdf</w:t>
        </w:r>
      </w:hyperlink>
      <w:r w:rsidR="00D02A7E">
        <w:t>.</w:t>
      </w:r>
    </w:p>
  </w:footnote>
  <w:footnote w:id="52">
    <w:p w14:paraId="2A3AF977" w14:textId="144FDD04" w:rsidR="00AC02F3" w:rsidRPr="00AC02F3" w:rsidRDefault="00BF4B5C" w:rsidP="00BF4B5C">
      <w:pPr>
        <w:pStyle w:val="FootnoteText"/>
        <w:rPr>
          <w:lang w:val="en-US"/>
        </w:rPr>
      </w:pPr>
      <w:r>
        <w:tab/>
      </w:r>
      <w:r w:rsidR="00AC02F3">
        <w:rPr>
          <w:rStyle w:val="FootnoteReference"/>
        </w:rPr>
        <w:footnoteRef/>
      </w:r>
      <w:r w:rsidR="00AC02F3">
        <w:t xml:space="preserve"> </w:t>
      </w:r>
      <w:r>
        <w:tab/>
      </w:r>
      <w:r w:rsidR="004646F7">
        <w:t xml:space="preserve">See contribution of </w:t>
      </w:r>
      <w:r w:rsidR="00AC02F3">
        <w:t>Maat for Peace</w:t>
      </w:r>
      <w:r w:rsidR="00984323">
        <w:t>, Development, and Human Rights</w:t>
      </w:r>
      <w:r w:rsidR="00AC02F3">
        <w:t xml:space="preserve"> </w:t>
      </w:r>
      <w:r w:rsidR="00984323">
        <w:t>and</w:t>
      </w:r>
      <w:r w:rsidR="000E11AA">
        <w:t xml:space="preserve"> </w:t>
      </w:r>
      <w:hyperlink r:id="rId28" w:history="1">
        <w:r w:rsidR="00886DC2" w:rsidRPr="005A1180">
          <w:rPr>
            <w:rStyle w:val="Hyperlink"/>
          </w:rPr>
          <w:t>https://www.unwomen.org/en/what-we-do/ending-violence-against-women/faqs/tech-facilitated-gender-based-violence</w:t>
        </w:r>
      </w:hyperlink>
      <w:r w:rsidR="00984323">
        <w:t>.</w:t>
      </w:r>
    </w:p>
  </w:footnote>
  <w:footnote w:id="53">
    <w:p w14:paraId="1567CCFF" w14:textId="3D2E0A39" w:rsidR="006D150B" w:rsidRPr="006D150B" w:rsidRDefault="00BF4B5C" w:rsidP="00BF4B5C">
      <w:pPr>
        <w:pStyle w:val="FootnoteText"/>
        <w:rPr>
          <w:lang w:val="en-US"/>
        </w:rPr>
      </w:pPr>
      <w:r>
        <w:rPr>
          <w:lang w:val="en-US"/>
        </w:rPr>
        <w:tab/>
      </w:r>
      <w:r w:rsidR="006D150B">
        <w:rPr>
          <w:rStyle w:val="FootnoteReference"/>
        </w:rPr>
        <w:footnoteRef/>
      </w:r>
      <w:r w:rsidR="006D150B">
        <w:t xml:space="preserve"> </w:t>
      </w:r>
      <w:r>
        <w:tab/>
      </w:r>
      <w:hyperlink r:id="rId29" w:history="1">
        <w:r w:rsidRPr="00083B85">
          <w:rPr>
            <w:rStyle w:val="Hyperlink"/>
          </w:rPr>
          <w:t>https://blogs.worldbank.org/en/developmenttalk/protecting-women-and-girls-cyber-harassment-global-assessment#</w:t>
        </w:r>
      </w:hyperlink>
      <w:r w:rsidR="00984323">
        <w:t>.</w:t>
      </w:r>
    </w:p>
  </w:footnote>
  <w:footnote w:id="54">
    <w:p w14:paraId="0D749B03" w14:textId="6A393202" w:rsidR="000E11AA" w:rsidRPr="000E11AA" w:rsidRDefault="00BF4B5C" w:rsidP="00BF4B5C">
      <w:pPr>
        <w:pStyle w:val="FootnoteText"/>
        <w:rPr>
          <w:lang w:val="en-US"/>
        </w:rPr>
      </w:pPr>
      <w:r>
        <w:tab/>
      </w:r>
      <w:r w:rsidR="000E11AA">
        <w:rPr>
          <w:rStyle w:val="FootnoteReference"/>
        </w:rPr>
        <w:footnoteRef/>
      </w:r>
      <w:r w:rsidR="000E11AA">
        <w:t xml:space="preserve"> </w:t>
      </w:r>
      <w:r>
        <w:tab/>
      </w:r>
      <w:hyperlink r:id="rId30" w:history="1">
        <w:r w:rsidRPr="00083B85">
          <w:rPr>
            <w:rStyle w:val="Hyperlink"/>
          </w:rPr>
          <w:t>https://www.unwomen.org/en/what-we-do/ending-violence-against-women/faqs/tech-facilitated-gender-based-violence</w:t>
        </w:r>
      </w:hyperlink>
      <w:r w:rsidR="00ED182B">
        <w:t xml:space="preserve">; </w:t>
      </w:r>
      <w:hyperlink r:id="rId31" w:history="1">
        <w:r w:rsidR="00886DC2" w:rsidRPr="005A1180">
          <w:rPr>
            <w:rStyle w:val="Hyperlink"/>
          </w:rPr>
          <w:t>https://www.ohchr.org/sites/default/files/documents/hrbodies/cedaw/statements/2022-12-02/EDVAW-Platform-thematic-paper-on-the-digital-dimension-of-VAW_English.pdf</w:t>
        </w:r>
      </w:hyperlink>
      <w:r w:rsidR="00984323">
        <w:t>.</w:t>
      </w:r>
    </w:p>
  </w:footnote>
  <w:footnote w:id="55">
    <w:p w14:paraId="5E375AB2" w14:textId="63FD7907" w:rsidR="000E11AA" w:rsidRPr="000E11AA" w:rsidRDefault="00EC75F3" w:rsidP="00EC75F3">
      <w:pPr>
        <w:pStyle w:val="FootnoteText"/>
        <w:rPr>
          <w:lang w:val="en-US"/>
        </w:rPr>
      </w:pPr>
      <w:r>
        <w:rPr>
          <w:lang w:val="en-US"/>
        </w:rPr>
        <w:tab/>
      </w:r>
      <w:r w:rsidR="000E11AA">
        <w:rPr>
          <w:rStyle w:val="FootnoteReference"/>
        </w:rPr>
        <w:footnoteRef/>
      </w:r>
      <w:r w:rsidR="000E11AA">
        <w:t xml:space="preserve"> </w:t>
      </w:r>
      <w:r>
        <w:tab/>
      </w:r>
      <w:hyperlink r:id="rId32" w:history="1">
        <w:r w:rsidRPr="00083B85">
          <w:rPr>
            <w:rStyle w:val="Hyperlink"/>
          </w:rPr>
          <w:t>https://blogs.worldbank.org/en/sustainablecities/five-facts-know-about-violence-against-women-and-girls-disabilities#</w:t>
        </w:r>
      </w:hyperlink>
      <w:r w:rsidR="000E11AA" w:rsidRPr="000E11AA">
        <w:t>.</w:t>
      </w:r>
    </w:p>
  </w:footnote>
  <w:footnote w:id="56">
    <w:p w14:paraId="3043FD21" w14:textId="6E9EA27D" w:rsidR="00AC02F3" w:rsidRPr="00AC02F3" w:rsidRDefault="00EC75F3">
      <w:pPr>
        <w:pStyle w:val="FootnoteText"/>
        <w:rPr>
          <w:lang w:val="en-US"/>
        </w:rPr>
      </w:pPr>
      <w:r>
        <w:tab/>
      </w:r>
      <w:r w:rsidR="00AC02F3">
        <w:rPr>
          <w:rStyle w:val="FootnoteReference"/>
        </w:rPr>
        <w:footnoteRef/>
      </w:r>
      <w:r w:rsidR="00AC02F3">
        <w:t xml:space="preserve"> </w:t>
      </w:r>
      <w:r>
        <w:tab/>
      </w:r>
      <w:r w:rsidR="00984323">
        <w:t>See contribution of the International</w:t>
      </w:r>
      <w:r w:rsidR="00AC02F3">
        <w:t xml:space="preserve"> Planned Parenthood Federation </w:t>
      </w:r>
      <w:r w:rsidR="00984323">
        <w:t>during the panel discussion.</w:t>
      </w:r>
    </w:p>
  </w:footnote>
  <w:footnote w:id="57">
    <w:p w14:paraId="0A7893AA" w14:textId="015AFC5F" w:rsidR="00AC02F3" w:rsidRPr="00AC02F3" w:rsidRDefault="00EC75F3" w:rsidP="00EC75F3">
      <w:pPr>
        <w:pStyle w:val="FootnoteText"/>
        <w:rPr>
          <w:lang w:val="en-US"/>
        </w:rPr>
      </w:pPr>
      <w:r>
        <w:tab/>
      </w:r>
      <w:r w:rsidR="00AC02F3">
        <w:rPr>
          <w:rStyle w:val="FootnoteReference"/>
        </w:rPr>
        <w:footnoteRef/>
      </w:r>
      <w:r w:rsidR="00AC02F3">
        <w:t xml:space="preserve"> </w:t>
      </w:r>
      <w:r>
        <w:tab/>
      </w:r>
      <w:r w:rsidR="004001A5">
        <w:t xml:space="preserve">Ibid., </w:t>
      </w:r>
      <w:r w:rsidR="00984323">
        <w:t xml:space="preserve">and </w:t>
      </w:r>
      <w:hyperlink r:id="rId33" w:history="1">
        <w:r w:rsidR="00886DC2" w:rsidRPr="005A1180">
          <w:rPr>
            <w:rStyle w:val="Hyperlink"/>
            <w:lang w:val="en-US"/>
          </w:rPr>
          <w:t>https://www.weforum.org/agenda/2021/09/disability-barrier-to-digital-device-ownership/</w:t>
        </w:r>
      </w:hyperlink>
      <w:r w:rsidR="00984323">
        <w:rPr>
          <w:lang w:val="en-US"/>
        </w:rPr>
        <w:t>.</w:t>
      </w:r>
    </w:p>
  </w:footnote>
  <w:footnote w:id="58">
    <w:p w14:paraId="1777960F" w14:textId="3F4A8595" w:rsidR="006D150B" w:rsidRPr="006D150B" w:rsidRDefault="00354723" w:rsidP="00354723">
      <w:pPr>
        <w:pStyle w:val="FootnoteText"/>
        <w:rPr>
          <w:lang w:val="en-US"/>
        </w:rPr>
      </w:pPr>
      <w:r>
        <w:rPr>
          <w:lang w:val="en-US"/>
        </w:rPr>
        <w:tab/>
      </w:r>
      <w:r w:rsidR="006D150B">
        <w:rPr>
          <w:rStyle w:val="FootnoteReference"/>
        </w:rPr>
        <w:footnoteRef/>
      </w:r>
      <w:r w:rsidR="006D150B">
        <w:t xml:space="preserve"> </w:t>
      </w:r>
      <w:r>
        <w:tab/>
      </w:r>
      <w:hyperlink r:id="rId34" w:history="1">
        <w:r w:rsidRPr="00083B85">
          <w:rPr>
            <w:rStyle w:val="Hyperlink"/>
          </w:rPr>
          <w:t>https://blogs.worldbank.org/en/developmenttalk/protecting-women-and-girls-cyber-harassment-global-</w:t>
        </w:r>
        <w:r w:rsidRPr="00354723">
          <w:rPr>
            <w:rStyle w:val="Hyperlink"/>
          </w:rPr>
          <w:t>assessment</w:t>
        </w:r>
        <w:r w:rsidRPr="00083B85">
          <w:rPr>
            <w:rStyle w:val="Hyperlink"/>
          </w:rPr>
          <w:t>#</w:t>
        </w:r>
      </w:hyperlink>
      <w:r w:rsidR="006D150B" w:rsidRPr="006D150B">
        <w:t>.</w:t>
      </w:r>
    </w:p>
  </w:footnote>
  <w:footnote w:id="59">
    <w:p w14:paraId="760B1C71" w14:textId="13F623BB" w:rsidR="008149F5" w:rsidRDefault="00354723">
      <w:pPr>
        <w:pStyle w:val="FootnoteText"/>
      </w:pPr>
      <w:r>
        <w:tab/>
      </w:r>
      <w:r w:rsidR="008149F5">
        <w:rPr>
          <w:rStyle w:val="FootnoteReference"/>
        </w:rPr>
        <w:footnoteRef/>
      </w:r>
      <w:r w:rsidR="008149F5">
        <w:t xml:space="preserve"> </w:t>
      </w:r>
      <w:r>
        <w:tab/>
      </w:r>
      <w:r w:rsidR="008149F5">
        <w:t xml:space="preserve">See A/HRC/23/40, para 69; </w:t>
      </w:r>
      <w:hyperlink r:id="rId35" w:anchor="_ftnref3" w:history="1">
        <w:r w:rsidR="008149F5" w:rsidRPr="00BC3393">
          <w:rPr>
            <w:rStyle w:val="Hyperlink"/>
          </w:rPr>
          <w:t>https://www.ohchr.org/en/statements/2023/09/cyberbullying-children#_ftnref3</w:t>
        </w:r>
      </w:hyperlink>
      <w:r w:rsidR="00A31379">
        <w:t>.</w:t>
      </w:r>
      <w:r w:rsidR="008149F5">
        <w:t xml:space="preserve"> </w:t>
      </w:r>
    </w:p>
  </w:footnote>
  <w:footnote w:id="60">
    <w:p w14:paraId="2D9808E5" w14:textId="42058118" w:rsidR="00E9683C" w:rsidRPr="000D2F58" w:rsidRDefault="00354723" w:rsidP="00354723">
      <w:pPr>
        <w:pStyle w:val="FootnoteText"/>
        <w:rPr>
          <w:lang w:val="en-US"/>
        </w:rPr>
      </w:pPr>
      <w:r>
        <w:tab/>
      </w:r>
      <w:r w:rsidR="00E9683C">
        <w:rPr>
          <w:rStyle w:val="FootnoteReference"/>
        </w:rPr>
        <w:footnoteRef/>
      </w:r>
      <w:r w:rsidR="00E9683C">
        <w:t xml:space="preserve"> </w:t>
      </w:r>
      <w:r>
        <w:tab/>
      </w:r>
      <w:r w:rsidR="00E9683C">
        <w:rPr>
          <w:lang w:val="en-US"/>
        </w:rPr>
        <w:t xml:space="preserve">See also the Preamble to the CRPD, </w:t>
      </w:r>
      <w:r w:rsidR="00366E23">
        <w:rPr>
          <w:lang w:val="en-US"/>
        </w:rPr>
        <w:t>on</w:t>
      </w:r>
      <w:r w:rsidR="00E9683C">
        <w:rPr>
          <w:lang w:val="en-US"/>
        </w:rPr>
        <w:t xml:space="preserve"> the importance of ensuring that persons with disabilities </w:t>
      </w:r>
      <w:proofErr w:type="gramStart"/>
      <w:r w:rsidR="00E9683C">
        <w:rPr>
          <w:lang w:val="en-US"/>
        </w:rPr>
        <w:t>have the opportunity to</w:t>
      </w:r>
      <w:proofErr w:type="gramEnd"/>
      <w:r w:rsidR="00E9683C">
        <w:rPr>
          <w:lang w:val="en-US"/>
        </w:rPr>
        <w:t xml:space="preserve"> be actively involved in decision-making about policies and </w:t>
      </w:r>
      <w:proofErr w:type="spellStart"/>
      <w:r w:rsidR="00E9683C">
        <w:rPr>
          <w:lang w:val="en-US"/>
        </w:rPr>
        <w:t>programmes</w:t>
      </w:r>
      <w:proofErr w:type="spellEnd"/>
      <w:r w:rsidR="00E9683C">
        <w:rPr>
          <w:lang w:val="en-US"/>
        </w:rPr>
        <w:t xml:space="preserve"> affecting them.</w:t>
      </w:r>
    </w:p>
  </w:footnote>
  <w:footnote w:id="61">
    <w:p w14:paraId="4CB417D9" w14:textId="219956D4" w:rsidR="00096560" w:rsidRPr="000D2F58" w:rsidRDefault="00354723" w:rsidP="00354723">
      <w:pPr>
        <w:pStyle w:val="FootnoteText"/>
        <w:rPr>
          <w:lang w:val="en-US"/>
        </w:rPr>
      </w:pPr>
      <w:r>
        <w:tab/>
      </w:r>
      <w:r w:rsidR="00096560">
        <w:rPr>
          <w:rStyle w:val="FootnoteReference"/>
        </w:rPr>
        <w:footnoteRef/>
      </w:r>
      <w:r w:rsidR="00096560">
        <w:t xml:space="preserve"> </w:t>
      </w:r>
      <w:r>
        <w:tab/>
      </w:r>
      <w:r w:rsidR="00096560">
        <w:rPr>
          <w:lang w:val="en-US"/>
        </w:rPr>
        <w:t xml:space="preserve">See </w:t>
      </w:r>
      <w:r w:rsidR="00096560" w:rsidRPr="00354723">
        <w:t>contributions</w:t>
      </w:r>
      <w:r w:rsidR="00096560">
        <w:rPr>
          <w:lang w:val="en-US"/>
        </w:rPr>
        <w:t xml:space="preserve"> of </w:t>
      </w:r>
      <w:proofErr w:type="spellStart"/>
      <w:r w:rsidR="00096560">
        <w:rPr>
          <w:lang w:val="en-US"/>
        </w:rPr>
        <w:t>Youny</w:t>
      </w:r>
      <w:proofErr w:type="spellEnd"/>
      <w:r w:rsidR="00096560">
        <w:rPr>
          <w:lang w:val="en-US"/>
        </w:rPr>
        <w:t xml:space="preserve"> </w:t>
      </w:r>
      <w:proofErr w:type="spellStart"/>
      <w:r w:rsidR="00096560">
        <w:rPr>
          <w:lang w:val="en-US"/>
        </w:rPr>
        <w:t>Tsouna</w:t>
      </w:r>
      <w:proofErr w:type="spellEnd"/>
      <w:r w:rsidR="00096560">
        <w:rPr>
          <w:lang w:val="en-US"/>
        </w:rPr>
        <w:t xml:space="preserve"> and Save the Children International during the panel discussion at </w:t>
      </w:r>
      <w:hyperlink r:id="rId36" w:history="1">
        <w:r w:rsidR="00096560" w:rsidRPr="00DA4C6B">
          <w:rPr>
            <w:rStyle w:val="Hyperlink"/>
          </w:rPr>
          <w:t>https://webtv.un.org/en/asset/k1m/k1mo6jr0hn</w:t>
        </w:r>
      </w:hyperlink>
      <w:r w:rsidR="00096560" w:rsidRPr="004646F7">
        <w:t>.</w:t>
      </w:r>
    </w:p>
  </w:footnote>
  <w:footnote w:id="62">
    <w:p w14:paraId="46AC8A54" w14:textId="6839BA15" w:rsidR="00096560" w:rsidRPr="000D2F58" w:rsidRDefault="00354723" w:rsidP="00354723">
      <w:pPr>
        <w:pStyle w:val="FootnoteText"/>
        <w:rPr>
          <w:lang w:val="en-US"/>
        </w:rPr>
      </w:pPr>
      <w:r>
        <w:tab/>
      </w:r>
      <w:r w:rsidR="00096560">
        <w:rPr>
          <w:rStyle w:val="FootnoteReference"/>
        </w:rPr>
        <w:footnoteRef/>
      </w:r>
      <w:r w:rsidR="00096560">
        <w:t xml:space="preserve"> </w:t>
      </w:r>
      <w:r>
        <w:tab/>
      </w:r>
      <w:r w:rsidR="00096560">
        <w:t xml:space="preserve">See </w:t>
      </w:r>
      <w:r w:rsidR="00096560" w:rsidRPr="00354723">
        <w:t>the</w:t>
      </w:r>
      <w:r w:rsidR="00096560">
        <w:rPr>
          <w:lang w:val="en-US"/>
        </w:rPr>
        <w:t xml:space="preserve"> contribution by the </w:t>
      </w:r>
      <w:r w:rsidR="00096560" w:rsidRPr="001205CF">
        <w:rPr>
          <w:lang w:val="en-US"/>
        </w:rPr>
        <w:t>World Federation of the Deaf</w:t>
      </w:r>
      <w:r w:rsidR="00096560">
        <w:rPr>
          <w:lang w:val="en-US"/>
        </w:rPr>
        <w:t xml:space="preserve">, </w:t>
      </w:r>
      <w:proofErr w:type="spellStart"/>
      <w:r w:rsidR="00096560">
        <w:rPr>
          <w:lang w:val="en-US"/>
        </w:rPr>
        <w:t>DeafKidz</w:t>
      </w:r>
      <w:proofErr w:type="spellEnd"/>
      <w:r w:rsidR="00096560">
        <w:rPr>
          <w:lang w:val="en-US"/>
        </w:rPr>
        <w:t xml:space="preserve"> International, and the European Union of the Deaf Youth.</w:t>
      </w:r>
    </w:p>
  </w:footnote>
  <w:footnote w:id="63">
    <w:p w14:paraId="78FBDDE0" w14:textId="17D65821" w:rsidR="00096560" w:rsidRPr="000D2F58" w:rsidRDefault="00354723">
      <w:pPr>
        <w:pStyle w:val="FootnoteText"/>
        <w:rPr>
          <w:lang w:val="en-US"/>
        </w:rPr>
      </w:pPr>
      <w:r>
        <w:tab/>
      </w:r>
      <w:r w:rsidR="00096560">
        <w:rPr>
          <w:rStyle w:val="FootnoteReference"/>
        </w:rPr>
        <w:footnoteRef/>
      </w:r>
      <w:r w:rsidR="00096560">
        <w:t xml:space="preserve"> </w:t>
      </w:r>
      <w:r>
        <w:tab/>
      </w:r>
      <w:hyperlink r:id="rId37" w:history="1">
        <w:r w:rsidRPr="00083B85">
          <w:rPr>
            <w:rStyle w:val="Hyperlink"/>
          </w:rPr>
          <w:t>https://www.esafety.gov.au/research/how-adults-intellectual-disability-experience-online-abuse</w:t>
        </w:r>
      </w:hyperlink>
      <w:r w:rsidR="00096560">
        <w:t>.</w:t>
      </w:r>
    </w:p>
  </w:footnote>
  <w:footnote w:id="64">
    <w:p w14:paraId="5B4FA1B3" w14:textId="0FAC5651" w:rsidR="00E04293" w:rsidRPr="00E04293" w:rsidRDefault="00666D99" w:rsidP="00666D99">
      <w:pPr>
        <w:pStyle w:val="FootnoteText"/>
        <w:rPr>
          <w:lang w:val="en-US"/>
        </w:rPr>
      </w:pPr>
      <w:r>
        <w:tab/>
      </w:r>
      <w:r w:rsidR="00E04293">
        <w:rPr>
          <w:rStyle w:val="FootnoteReference"/>
        </w:rPr>
        <w:footnoteRef/>
      </w:r>
      <w:r w:rsidR="00E04293">
        <w:t xml:space="preserve"> </w:t>
      </w:r>
      <w:r>
        <w:tab/>
      </w:r>
      <w:r w:rsidR="00984323">
        <w:rPr>
          <w:lang w:val="en-US"/>
        </w:rPr>
        <w:t xml:space="preserve">See contribution by the </w:t>
      </w:r>
      <w:r w:rsidR="00984323" w:rsidRPr="00666D99">
        <w:t>World</w:t>
      </w:r>
      <w:r w:rsidR="00984323" w:rsidRPr="001205CF">
        <w:rPr>
          <w:lang w:val="en-US"/>
        </w:rPr>
        <w:t xml:space="preserve"> Federation of the Deaf</w:t>
      </w:r>
      <w:r w:rsidR="00984323">
        <w:rPr>
          <w:lang w:val="en-US"/>
        </w:rPr>
        <w:t xml:space="preserve">, </w:t>
      </w:r>
      <w:proofErr w:type="spellStart"/>
      <w:r w:rsidR="00984323">
        <w:rPr>
          <w:lang w:val="en-US"/>
        </w:rPr>
        <w:t>DeafKidz</w:t>
      </w:r>
      <w:proofErr w:type="spellEnd"/>
      <w:r w:rsidR="00984323">
        <w:rPr>
          <w:lang w:val="en-US"/>
        </w:rPr>
        <w:t xml:space="preserve"> International, and the European Union of the Deaf Youth.</w:t>
      </w:r>
    </w:p>
  </w:footnote>
  <w:footnote w:id="65">
    <w:p w14:paraId="2B268637" w14:textId="0DC6C29B" w:rsidR="00EF6E9B" w:rsidRPr="00EF6E9B" w:rsidRDefault="00666D99">
      <w:pPr>
        <w:pStyle w:val="FootnoteText"/>
        <w:rPr>
          <w:lang w:val="en-US"/>
        </w:rPr>
      </w:pPr>
      <w:r>
        <w:tab/>
      </w:r>
      <w:r w:rsidR="00EF6E9B">
        <w:rPr>
          <w:rStyle w:val="FootnoteReference"/>
        </w:rPr>
        <w:footnoteRef/>
      </w:r>
      <w:r w:rsidR="00984323">
        <w:t xml:space="preserve"> </w:t>
      </w:r>
      <w:r>
        <w:tab/>
      </w:r>
      <w:hyperlink r:id="rId38" w:history="1">
        <w:r w:rsidRPr="00083B85">
          <w:rPr>
            <w:rStyle w:val="Hyperlink"/>
          </w:rPr>
          <w:t>https://www.ncbi.nlm.nih.gov/pmc/articles/PMC7158969/#</w:t>
        </w:r>
      </w:hyperlink>
      <w:r w:rsidR="00EF6E9B" w:rsidRPr="00EF6E9B">
        <w:t>.</w:t>
      </w:r>
    </w:p>
  </w:footnote>
  <w:footnote w:id="66">
    <w:p w14:paraId="57C0B449" w14:textId="205086C3" w:rsidR="00C054C6" w:rsidRPr="00C054C6" w:rsidRDefault="00666D99" w:rsidP="00666D99">
      <w:pPr>
        <w:pStyle w:val="FootnoteText"/>
        <w:rPr>
          <w:lang w:val="en-US"/>
        </w:rPr>
      </w:pPr>
      <w:r>
        <w:tab/>
      </w:r>
      <w:r w:rsidR="00C054C6">
        <w:rPr>
          <w:rStyle w:val="FootnoteReference"/>
        </w:rPr>
        <w:footnoteRef/>
      </w:r>
      <w:r w:rsidR="00C054C6">
        <w:t xml:space="preserve"> </w:t>
      </w:r>
      <w:r>
        <w:tab/>
      </w:r>
      <w:r w:rsidR="00984323">
        <w:rPr>
          <w:lang w:val="en-US"/>
        </w:rPr>
        <w:t xml:space="preserve">See contribution by the </w:t>
      </w:r>
      <w:r w:rsidR="00984323" w:rsidRPr="001205CF">
        <w:rPr>
          <w:lang w:val="en-US"/>
        </w:rPr>
        <w:t>World Federation of the Deaf</w:t>
      </w:r>
      <w:r w:rsidR="00984323">
        <w:rPr>
          <w:lang w:val="en-US"/>
        </w:rPr>
        <w:t xml:space="preserve">, </w:t>
      </w:r>
      <w:proofErr w:type="spellStart"/>
      <w:r w:rsidR="00984323">
        <w:rPr>
          <w:lang w:val="en-US"/>
        </w:rPr>
        <w:t>DeafKidz</w:t>
      </w:r>
      <w:proofErr w:type="spellEnd"/>
      <w:r w:rsidR="00984323">
        <w:rPr>
          <w:lang w:val="en-US"/>
        </w:rPr>
        <w:t xml:space="preserve"> International, and the European Union of the Deaf Youth.</w:t>
      </w:r>
      <w:r w:rsidR="00856344">
        <w:rPr>
          <w:lang w:val="en-US"/>
        </w:rPr>
        <w:t xml:space="preserve"> These figures come from a study </w:t>
      </w:r>
      <w:r w:rsidR="00856344" w:rsidRPr="00666D99">
        <w:t>conducted</w:t>
      </w:r>
      <w:r w:rsidR="00856344">
        <w:rPr>
          <w:lang w:val="en-US"/>
        </w:rPr>
        <w:t xml:space="preserve"> by the </w:t>
      </w:r>
      <w:r w:rsidR="00856344" w:rsidRPr="00856344">
        <w:rPr>
          <w:lang w:val="en-US"/>
        </w:rPr>
        <w:t>European Union of the Deaf Youth</w:t>
      </w:r>
      <w:r w:rsidR="00856344">
        <w:rPr>
          <w:lang w:val="en-US"/>
        </w:rPr>
        <w:t>, entitled</w:t>
      </w:r>
      <w:r w:rsidR="00856344" w:rsidRPr="00856344">
        <w:rPr>
          <w:lang w:val="en-US"/>
        </w:rPr>
        <w:t xml:space="preserve"> "Deaf Youth against Cyberbullying: Action Kit and Manifesto</w:t>
      </w:r>
      <w:r w:rsidR="00856344">
        <w:rPr>
          <w:lang w:val="en-US"/>
        </w:rPr>
        <w:t>,” which</w:t>
      </w:r>
      <w:r w:rsidR="00856344" w:rsidRPr="00856344">
        <w:rPr>
          <w:lang w:val="en-US"/>
        </w:rPr>
        <w:t xml:space="preserve"> surveyed respondents across Europe aged 15 to 35</w:t>
      </w:r>
      <w:r w:rsidR="00856344">
        <w:rPr>
          <w:lang w:val="en-US"/>
        </w:rPr>
        <w:t>.</w:t>
      </w:r>
    </w:p>
  </w:footnote>
  <w:footnote w:id="67">
    <w:p w14:paraId="58E1D600" w14:textId="6A37C169" w:rsidR="00D02A7E" w:rsidRPr="000D2F58" w:rsidRDefault="00666D99">
      <w:pPr>
        <w:pStyle w:val="FootnoteText"/>
        <w:rPr>
          <w:lang w:val="en-US"/>
        </w:rPr>
      </w:pPr>
      <w:r>
        <w:tab/>
      </w:r>
      <w:r w:rsidR="00D02A7E">
        <w:rPr>
          <w:rStyle w:val="FootnoteReference"/>
        </w:rPr>
        <w:footnoteRef/>
      </w:r>
      <w:r w:rsidR="00D02A7E">
        <w:t xml:space="preserve"> </w:t>
      </w:r>
      <w:r>
        <w:tab/>
      </w:r>
      <w:hyperlink r:id="rId39" w:history="1">
        <w:r w:rsidRPr="00083B85">
          <w:rPr>
            <w:rStyle w:val="Hyperlink"/>
          </w:rPr>
          <w:t>https://rm.coe.int/two-clicks-forward-and-one-click-back-report-on-children-with-disabili/168098bd0f</w:t>
        </w:r>
      </w:hyperlink>
      <w:r w:rsidR="00D02A7E">
        <w:t>.</w:t>
      </w:r>
    </w:p>
  </w:footnote>
  <w:footnote w:id="68">
    <w:p w14:paraId="306D1F75" w14:textId="4E3F9CF4" w:rsidR="006B3CFC" w:rsidRPr="000D2F58" w:rsidRDefault="00666D99">
      <w:pPr>
        <w:pStyle w:val="FootnoteText"/>
        <w:rPr>
          <w:lang w:val="en-US"/>
        </w:rPr>
      </w:pPr>
      <w:r>
        <w:tab/>
      </w:r>
      <w:r w:rsidR="006B3CFC">
        <w:rPr>
          <w:rStyle w:val="FootnoteReference"/>
        </w:rPr>
        <w:footnoteRef/>
      </w:r>
      <w:r>
        <w:tab/>
      </w:r>
      <w:r w:rsidR="006B3CFC">
        <w:t xml:space="preserve"> </w:t>
      </w:r>
      <w:hyperlink r:id="rId40" w:history="1">
        <w:r w:rsidRPr="00083B85">
          <w:rPr>
            <w:rStyle w:val="Hyperlink"/>
          </w:rPr>
          <w:t>https://www.europarl.europa.eu/RegData/etudes/STUD/2021/662621/EPRS_STU(2021)662621_EN.pdf</w:t>
        </w:r>
      </w:hyperlink>
      <w:r w:rsidR="006B3CFC">
        <w:t>.</w:t>
      </w:r>
    </w:p>
  </w:footnote>
  <w:footnote w:id="69">
    <w:p w14:paraId="197B4A19" w14:textId="438D0837" w:rsidR="009554F5" w:rsidRPr="004634B3" w:rsidRDefault="00666D99" w:rsidP="00666D99">
      <w:pPr>
        <w:pStyle w:val="FootnoteText"/>
        <w:rPr>
          <w:lang w:val="en-US"/>
        </w:rPr>
      </w:pPr>
      <w:r>
        <w:tab/>
      </w:r>
      <w:r w:rsidR="009554F5">
        <w:rPr>
          <w:rStyle w:val="FootnoteReference"/>
        </w:rPr>
        <w:footnoteRef/>
      </w:r>
      <w:r w:rsidR="009554F5">
        <w:t xml:space="preserve"> </w:t>
      </w:r>
      <w:r>
        <w:tab/>
      </w:r>
      <w:r w:rsidR="009554F5">
        <w:t xml:space="preserve">See </w:t>
      </w:r>
      <w:hyperlink r:id="rId41" w:history="1">
        <w:r w:rsidR="009554F5" w:rsidRPr="00DA4C6B">
          <w:rPr>
            <w:rStyle w:val="Hyperlink"/>
            <w:lang w:val="en-US"/>
          </w:rPr>
          <w:t>https://www.unesco.org/en/articles/new-data-reveal-one-out-three-teens-bullied-worldwide</w:t>
        </w:r>
      </w:hyperlink>
      <w:r w:rsidR="009554F5">
        <w:rPr>
          <w:lang w:val="en-US"/>
        </w:rPr>
        <w:t xml:space="preserve"> and </w:t>
      </w:r>
      <w:hyperlink r:id="rId42" w:history="1">
        <w:r w:rsidR="009554F5" w:rsidRPr="00DA4C6B">
          <w:rPr>
            <w:rStyle w:val="Hyperlink"/>
            <w:lang w:val="en-US"/>
          </w:rPr>
          <w:t>https://www.</w:t>
        </w:r>
        <w:r w:rsidR="009554F5" w:rsidRPr="00666D99">
          <w:rPr>
            <w:rStyle w:val="Hyperlink"/>
            <w:lang w:val="en-US"/>
          </w:rPr>
          <w:t>unicef</w:t>
        </w:r>
        <w:r w:rsidR="009554F5" w:rsidRPr="00DA4C6B">
          <w:rPr>
            <w:rStyle w:val="Hyperlink"/>
            <w:lang w:val="en-US"/>
          </w:rPr>
          <w:t>.org/press-releases/unicef-poll-more-third-young-people-30-countries-report-being-victim-online-bullying</w:t>
        </w:r>
      </w:hyperlink>
      <w:r w:rsidR="009554F5">
        <w:rPr>
          <w:lang w:val="en-US"/>
        </w:rPr>
        <w:t xml:space="preserve">. </w:t>
      </w:r>
    </w:p>
  </w:footnote>
  <w:footnote w:id="70">
    <w:p w14:paraId="29D66E2F" w14:textId="2FBCF4CF" w:rsidR="009554F5" w:rsidRPr="00BC364A" w:rsidRDefault="00666D99" w:rsidP="009554F5">
      <w:pPr>
        <w:pStyle w:val="FootnoteText"/>
        <w:rPr>
          <w:lang w:val="en-US"/>
        </w:rPr>
      </w:pPr>
      <w:r>
        <w:tab/>
      </w:r>
      <w:r w:rsidR="009554F5">
        <w:rPr>
          <w:rStyle w:val="FootnoteReference"/>
        </w:rPr>
        <w:footnoteRef/>
      </w:r>
      <w:r w:rsidR="009554F5">
        <w:t xml:space="preserve"> </w:t>
      </w:r>
      <w:r>
        <w:tab/>
      </w:r>
      <w:hyperlink r:id="rId43" w:history="1">
        <w:r w:rsidRPr="00083B85">
          <w:rPr>
            <w:rStyle w:val="Hyperlink"/>
          </w:rPr>
          <w:t>https://unesdoc.unesco.org/ark:/48223/pf0000378061</w:t>
        </w:r>
      </w:hyperlink>
      <w:r w:rsidR="009554F5">
        <w:t>.</w:t>
      </w:r>
    </w:p>
  </w:footnote>
  <w:footnote w:id="71">
    <w:p w14:paraId="6D760348" w14:textId="661B75E5" w:rsidR="00995265" w:rsidRPr="000D2F58" w:rsidRDefault="003E6858" w:rsidP="003E6858">
      <w:pPr>
        <w:pStyle w:val="FootnoteText"/>
        <w:rPr>
          <w:lang w:val="en-US"/>
        </w:rPr>
      </w:pPr>
      <w:r>
        <w:tab/>
      </w:r>
      <w:r w:rsidR="00995265">
        <w:rPr>
          <w:rStyle w:val="FootnoteReference"/>
        </w:rPr>
        <w:footnoteRef/>
      </w:r>
      <w:r w:rsidR="00995265">
        <w:t xml:space="preserve"> </w:t>
      </w:r>
      <w:r>
        <w:tab/>
      </w:r>
      <w:r w:rsidR="00995265">
        <w:rPr>
          <w:lang w:val="en-US"/>
        </w:rPr>
        <w:t xml:space="preserve">See the contribution by the </w:t>
      </w:r>
      <w:r w:rsidR="00995265" w:rsidRPr="001205CF">
        <w:rPr>
          <w:lang w:val="en-US"/>
        </w:rPr>
        <w:t>World Federation of the Deaf</w:t>
      </w:r>
      <w:r w:rsidR="00995265">
        <w:rPr>
          <w:lang w:val="en-US"/>
        </w:rPr>
        <w:t xml:space="preserve">, </w:t>
      </w:r>
      <w:proofErr w:type="spellStart"/>
      <w:r w:rsidR="00995265">
        <w:rPr>
          <w:lang w:val="en-US"/>
        </w:rPr>
        <w:t>DeafKidz</w:t>
      </w:r>
      <w:proofErr w:type="spellEnd"/>
      <w:r w:rsidR="00995265">
        <w:rPr>
          <w:lang w:val="en-US"/>
        </w:rPr>
        <w:t xml:space="preserve"> International, and the European Union of the Deaf </w:t>
      </w:r>
      <w:r w:rsidR="00995265" w:rsidRPr="003E6858">
        <w:t>Youth</w:t>
      </w:r>
      <w:r w:rsidR="00995265">
        <w:rPr>
          <w:lang w:val="en-US"/>
        </w:rPr>
        <w:t>.</w:t>
      </w:r>
    </w:p>
  </w:footnote>
  <w:footnote w:id="72">
    <w:p w14:paraId="4B8FE224" w14:textId="168B73BA" w:rsidR="00D92F38" w:rsidRPr="003E6858" w:rsidRDefault="003E6858" w:rsidP="003E6858">
      <w:pPr>
        <w:pStyle w:val="FootnoteText"/>
      </w:pPr>
      <w:r>
        <w:tab/>
      </w:r>
      <w:r w:rsidR="00D92F38" w:rsidRPr="003E6858">
        <w:rPr>
          <w:rStyle w:val="FootnoteReference"/>
        </w:rPr>
        <w:footnoteRef/>
      </w:r>
      <w:r w:rsidR="00D92F38" w:rsidRPr="003E6858">
        <w:rPr>
          <w:rStyle w:val="FootnoteReference"/>
        </w:rPr>
        <w:t xml:space="preserve"> </w:t>
      </w:r>
      <w:r>
        <w:tab/>
      </w:r>
      <w:hyperlink r:id="rId44" w:history="1">
        <w:r w:rsidRPr="00083B85">
          <w:rPr>
            <w:rStyle w:val="Hyperlink"/>
          </w:rPr>
          <w:t>https://unesdoc.unesco.org/ark:/48223/pf0000378061</w:t>
        </w:r>
      </w:hyperlink>
      <w:r w:rsidR="00984323">
        <w:t>.</w:t>
      </w:r>
    </w:p>
  </w:footnote>
  <w:footnote w:id="73">
    <w:p w14:paraId="600ECDF6" w14:textId="40DD7593" w:rsidR="00995265" w:rsidRPr="000D2F58" w:rsidRDefault="003E6858" w:rsidP="003E6858">
      <w:pPr>
        <w:pStyle w:val="FootnoteText"/>
        <w:rPr>
          <w:lang w:val="en-US"/>
        </w:rPr>
      </w:pPr>
      <w:r>
        <w:tab/>
      </w:r>
      <w:r w:rsidR="00995265">
        <w:rPr>
          <w:rStyle w:val="FootnoteReference"/>
        </w:rPr>
        <w:footnoteRef/>
      </w:r>
      <w:r w:rsidR="00995265">
        <w:t xml:space="preserve"> </w:t>
      </w:r>
      <w:r>
        <w:tab/>
      </w:r>
      <w:r w:rsidR="00995265">
        <w:t xml:space="preserve">See, for example, the contribution </w:t>
      </w:r>
      <w:r w:rsidR="00995265" w:rsidRPr="00995265">
        <w:t xml:space="preserve">of </w:t>
      </w:r>
      <w:proofErr w:type="spellStart"/>
      <w:r w:rsidR="00995265" w:rsidRPr="00995265">
        <w:rPr>
          <w:lang w:val="en-US"/>
        </w:rPr>
        <w:t>Youny</w:t>
      </w:r>
      <w:proofErr w:type="spellEnd"/>
      <w:r w:rsidR="00995265" w:rsidRPr="00995265">
        <w:rPr>
          <w:lang w:val="en-US"/>
        </w:rPr>
        <w:t xml:space="preserve"> </w:t>
      </w:r>
      <w:proofErr w:type="spellStart"/>
      <w:r w:rsidR="00995265" w:rsidRPr="00995265">
        <w:rPr>
          <w:lang w:val="en-US"/>
        </w:rPr>
        <w:t>Tsouna</w:t>
      </w:r>
      <w:proofErr w:type="spellEnd"/>
      <w:r w:rsidR="004D7DEC">
        <w:rPr>
          <w:lang w:val="en-US"/>
        </w:rPr>
        <w:t xml:space="preserve"> </w:t>
      </w:r>
      <w:r w:rsidR="00F73241">
        <w:rPr>
          <w:lang w:val="en-US"/>
        </w:rPr>
        <w:t xml:space="preserve">of the organization </w:t>
      </w:r>
      <w:proofErr w:type="spellStart"/>
      <w:r w:rsidR="00F73241" w:rsidRPr="00F73241">
        <w:t>Matzmichim</w:t>
      </w:r>
      <w:proofErr w:type="spellEnd"/>
      <w:r w:rsidR="00F73241" w:rsidRPr="00F73241">
        <w:t>,</w:t>
      </w:r>
      <w:r w:rsidR="00995265" w:rsidRPr="00995265">
        <w:rPr>
          <w:lang w:val="en-US"/>
        </w:rPr>
        <w:t xml:space="preserve">during the panel discussion at </w:t>
      </w:r>
      <w:hyperlink r:id="rId45" w:history="1">
        <w:r w:rsidR="00995265" w:rsidRPr="00995265">
          <w:rPr>
            <w:rStyle w:val="Hyperlink"/>
          </w:rPr>
          <w:t>https://webtv.un.org/en/asset/k1m/k1mo6jr0hn</w:t>
        </w:r>
      </w:hyperlink>
      <w:r w:rsidR="00995265">
        <w:rPr>
          <w:lang w:val="en-US"/>
        </w:rPr>
        <w:t xml:space="preserve">; as well as </w:t>
      </w:r>
      <w:hyperlink r:id="rId46" w:history="1">
        <w:r w:rsidR="00995265" w:rsidRPr="00DA4C6B">
          <w:rPr>
            <w:rStyle w:val="Hyperlink"/>
          </w:rPr>
          <w:t>https://unesdoc.unesco.org/ark:/48223/pf0000378061</w:t>
        </w:r>
      </w:hyperlink>
      <w:r w:rsidR="00995265">
        <w:t xml:space="preserve"> and </w:t>
      </w:r>
      <w:hyperlink r:id="rId47" w:history="1">
        <w:r w:rsidR="000D6197" w:rsidRPr="005A1180">
          <w:rPr>
            <w:rStyle w:val="Hyperlink"/>
          </w:rPr>
          <w:t>https://www.cbsnews.com/news/teen-cyberbullying-more-likely-from-friends-via-social-media-and-texts/</w:t>
        </w:r>
      </w:hyperlink>
      <w:r w:rsidR="00995265">
        <w:t>.</w:t>
      </w:r>
    </w:p>
  </w:footnote>
  <w:footnote w:id="74">
    <w:p w14:paraId="3465E4BE" w14:textId="5DD3E5E6" w:rsidR="00995265" w:rsidRPr="000D2F58" w:rsidRDefault="003E6858">
      <w:pPr>
        <w:pStyle w:val="FootnoteText"/>
        <w:rPr>
          <w:lang w:val="en-US"/>
        </w:rPr>
      </w:pPr>
      <w:r>
        <w:tab/>
      </w:r>
      <w:r w:rsidR="00995265">
        <w:rPr>
          <w:rStyle w:val="FootnoteReference"/>
        </w:rPr>
        <w:footnoteRef/>
      </w:r>
      <w:r w:rsidR="00995265">
        <w:t xml:space="preserve"> </w:t>
      </w:r>
      <w:r>
        <w:tab/>
      </w:r>
      <w:r w:rsidR="00995265">
        <w:t xml:space="preserve">See, for example, </w:t>
      </w:r>
      <w:hyperlink r:id="rId48" w:history="1">
        <w:r w:rsidR="000D6197" w:rsidRPr="005A1180">
          <w:rPr>
            <w:rStyle w:val="Hyperlink"/>
          </w:rPr>
          <w:t>https://unesdoc.unesco.org/ark:/48223/pf0000378061</w:t>
        </w:r>
      </w:hyperlink>
      <w:r w:rsidR="00995265">
        <w:t>.</w:t>
      </w:r>
    </w:p>
  </w:footnote>
  <w:footnote w:id="75">
    <w:p w14:paraId="2245A5CD" w14:textId="19319F79" w:rsidR="003A1ABA" w:rsidRDefault="003E6858" w:rsidP="003A1ABA">
      <w:pPr>
        <w:pStyle w:val="FootnoteText"/>
      </w:pPr>
      <w:r>
        <w:rPr>
          <w:lang w:val="en-US"/>
        </w:rPr>
        <w:tab/>
      </w:r>
      <w:r w:rsidR="003A1ABA">
        <w:rPr>
          <w:rStyle w:val="FootnoteReference"/>
        </w:rPr>
        <w:footnoteRef/>
      </w:r>
      <w:r w:rsidR="003A1ABA">
        <w:t xml:space="preserve"> </w:t>
      </w:r>
      <w:r>
        <w:tab/>
      </w:r>
      <w:hyperlink r:id="rId49" w:history="1">
        <w:r w:rsidRPr="00083B85">
          <w:rPr>
            <w:rStyle w:val="Hyperlink"/>
          </w:rPr>
          <w:t>https://www.who.int/news/item/15-11-2023-who-launches-commission-to-foster-social-connection - :~:text=WHO%20has%20announced%20a%20new%20Commission%20on%20Social,up%20of%20solutions%20in%20countries%20of%20all%20incomes.</w:t>
        </w:r>
      </w:hyperlink>
    </w:p>
  </w:footnote>
  <w:footnote w:id="76">
    <w:p w14:paraId="58A10126" w14:textId="0566C1C1" w:rsidR="00CF2CD1" w:rsidRPr="00CF2CD1" w:rsidRDefault="003E6858">
      <w:pPr>
        <w:pStyle w:val="FootnoteText"/>
        <w:rPr>
          <w:lang w:val="en-US"/>
        </w:rPr>
      </w:pPr>
      <w:r>
        <w:tab/>
      </w:r>
      <w:r w:rsidR="00CF2CD1">
        <w:rPr>
          <w:rStyle w:val="FootnoteReference"/>
        </w:rPr>
        <w:footnoteRef/>
      </w:r>
      <w:r w:rsidR="00CF2CD1">
        <w:t xml:space="preserve"> </w:t>
      </w:r>
      <w:r>
        <w:tab/>
      </w:r>
      <w:hyperlink r:id="rId50" w:history="1">
        <w:r w:rsidRPr="00083B85">
          <w:rPr>
            <w:rStyle w:val="Hyperlink"/>
          </w:rPr>
          <w:t>https://www.who.int/news/item/15-11-2023-who-launches-commission-to-foster-social-connection</w:t>
        </w:r>
      </w:hyperlink>
      <w:r w:rsidR="00984323">
        <w:t>.</w:t>
      </w:r>
    </w:p>
  </w:footnote>
  <w:footnote w:id="77">
    <w:p w14:paraId="0B4E18F0" w14:textId="497D8F0A" w:rsidR="00C13E2B" w:rsidRPr="000D2F58" w:rsidRDefault="003E6858">
      <w:pPr>
        <w:pStyle w:val="FootnoteText"/>
        <w:rPr>
          <w:lang w:val="es-AR"/>
        </w:rPr>
      </w:pPr>
      <w:r>
        <w:rPr>
          <w:lang w:val="es-AR"/>
        </w:rPr>
        <w:tab/>
      </w:r>
      <w:r w:rsidR="00C13E2B">
        <w:rPr>
          <w:rStyle w:val="FootnoteReference"/>
        </w:rPr>
        <w:footnoteRef/>
      </w:r>
      <w:r w:rsidR="00C13E2B" w:rsidRPr="000D2F58">
        <w:rPr>
          <w:lang w:val="es-AR"/>
        </w:rPr>
        <w:t xml:space="preserve"> </w:t>
      </w:r>
      <w:r>
        <w:rPr>
          <w:lang w:val="es-AR"/>
        </w:rPr>
        <w:tab/>
        <w:t xml:space="preserve">General </w:t>
      </w:r>
      <w:proofErr w:type="spellStart"/>
      <w:r>
        <w:rPr>
          <w:lang w:val="es-AR"/>
        </w:rPr>
        <w:t>Assembly</w:t>
      </w:r>
      <w:proofErr w:type="spellEnd"/>
      <w:r>
        <w:rPr>
          <w:lang w:val="es-AR"/>
        </w:rPr>
        <w:t xml:space="preserve"> </w:t>
      </w:r>
      <w:proofErr w:type="spellStart"/>
      <w:r>
        <w:rPr>
          <w:lang w:val="es-AR"/>
        </w:rPr>
        <w:t>resolution</w:t>
      </w:r>
      <w:proofErr w:type="spellEnd"/>
      <w:r>
        <w:rPr>
          <w:lang w:val="es-AR"/>
        </w:rPr>
        <w:t xml:space="preserve"> </w:t>
      </w:r>
      <w:r w:rsidR="00C13E2B" w:rsidRPr="000D2F58">
        <w:rPr>
          <w:lang w:val="es-AR"/>
        </w:rPr>
        <w:t>75/166</w:t>
      </w:r>
      <w:r w:rsidR="00984323" w:rsidRPr="000D2F58">
        <w:rPr>
          <w:lang w:val="es-AR"/>
        </w:rPr>
        <w:t>.</w:t>
      </w:r>
    </w:p>
  </w:footnote>
  <w:footnote w:id="78">
    <w:p w14:paraId="6BCBCC85" w14:textId="067856F2" w:rsidR="00A963E5" w:rsidRPr="00A963E5" w:rsidRDefault="003E6858">
      <w:pPr>
        <w:pStyle w:val="FootnoteText"/>
      </w:pPr>
      <w:r>
        <w:t>^</w:t>
      </w:r>
      <w:r>
        <w:tab/>
      </w:r>
      <w:r w:rsidR="00A963E5">
        <w:rPr>
          <w:rStyle w:val="FootnoteReference"/>
        </w:rPr>
        <w:footnoteRef/>
      </w:r>
      <w:r w:rsidR="00A963E5" w:rsidRPr="00A963E5">
        <w:t xml:space="preserve"> </w:t>
      </w:r>
      <w:r>
        <w:tab/>
      </w:r>
      <w:r>
        <w:tab/>
      </w:r>
      <w:proofErr w:type="spellStart"/>
      <w:r w:rsidR="00A963E5">
        <w:rPr>
          <w:lang w:val="es-AR"/>
        </w:rPr>
        <w:t>See</w:t>
      </w:r>
      <w:proofErr w:type="spellEnd"/>
      <w:r w:rsidR="00A963E5">
        <w:rPr>
          <w:lang w:val="es-AR"/>
        </w:rPr>
        <w:t xml:space="preserve">, </w:t>
      </w:r>
      <w:proofErr w:type="spellStart"/>
      <w:r w:rsidR="00A963E5">
        <w:rPr>
          <w:lang w:val="es-AR"/>
        </w:rPr>
        <w:t>e.g</w:t>
      </w:r>
      <w:proofErr w:type="spellEnd"/>
      <w:r w:rsidR="00A963E5">
        <w:rPr>
          <w:lang w:val="es-AR"/>
        </w:rPr>
        <w:t xml:space="preserve">., </w:t>
      </w:r>
      <w:r w:rsidR="00A963E5" w:rsidRPr="003E6858">
        <w:t>on</w:t>
      </w:r>
      <w:r w:rsidR="00A963E5">
        <w:rPr>
          <w:lang w:val="es-AR"/>
        </w:rPr>
        <w:t xml:space="preserve"> adverse </w:t>
      </w:r>
      <w:proofErr w:type="spellStart"/>
      <w:r w:rsidR="00A963E5">
        <w:rPr>
          <w:lang w:val="es-AR"/>
        </w:rPr>
        <w:t>impacts</w:t>
      </w:r>
      <w:proofErr w:type="spellEnd"/>
      <w:r w:rsidR="00A963E5">
        <w:rPr>
          <w:lang w:val="es-AR"/>
        </w:rPr>
        <w:t xml:space="preserve"> of </w:t>
      </w:r>
      <w:proofErr w:type="spellStart"/>
      <w:r w:rsidR="00A963E5">
        <w:rPr>
          <w:lang w:val="es-AR"/>
        </w:rPr>
        <w:t>laws</w:t>
      </w:r>
      <w:proofErr w:type="spellEnd"/>
      <w:r w:rsidR="00A963E5">
        <w:rPr>
          <w:lang w:val="es-AR"/>
        </w:rPr>
        <w:t xml:space="preserve"> and </w:t>
      </w:r>
      <w:proofErr w:type="spellStart"/>
      <w:r w:rsidR="00A963E5">
        <w:rPr>
          <w:lang w:val="es-AR"/>
        </w:rPr>
        <w:t>company</w:t>
      </w:r>
      <w:proofErr w:type="spellEnd"/>
      <w:r w:rsidR="00A963E5">
        <w:rPr>
          <w:lang w:val="es-AR"/>
        </w:rPr>
        <w:t xml:space="preserve"> </w:t>
      </w:r>
      <w:proofErr w:type="spellStart"/>
      <w:r w:rsidR="00A963E5">
        <w:rPr>
          <w:lang w:val="es-AR"/>
        </w:rPr>
        <w:t>policies</w:t>
      </w:r>
      <w:proofErr w:type="spellEnd"/>
      <w:r w:rsidR="00A963E5">
        <w:rPr>
          <w:lang w:val="es-AR"/>
        </w:rPr>
        <w:t xml:space="preserve"> and </w:t>
      </w:r>
      <w:proofErr w:type="spellStart"/>
      <w:r w:rsidR="00A963E5">
        <w:rPr>
          <w:lang w:val="es-AR"/>
        </w:rPr>
        <w:t>practices</w:t>
      </w:r>
      <w:proofErr w:type="spellEnd"/>
      <w:r w:rsidR="00A963E5">
        <w:rPr>
          <w:lang w:val="es-AR"/>
        </w:rPr>
        <w:t xml:space="preserve"> targeting </w:t>
      </w:r>
      <w:proofErr w:type="spellStart"/>
      <w:r w:rsidR="00A963E5">
        <w:rPr>
          <w:lang w:val="es-AR"/>
        </w:rPr>
        <w:t>disinformation</w:t>
      </w:r>
      <w:proofErr w:type="spellEnd"/>
      <w:r w:rsidR="00A963E5">
        <w:rPr>
          <w:lang w:val="es-AR"/>
        </w:rPr>
        <w:t xml:space="preserve"> A/77/287, paras 41-45 and A/HRC/47/25, paras 56-58 and 70-71.</w:t>
      </w:r>
    </w:p>
  </w:footnote>
  <w:footnote w:id="79">
    <w:p w14:paraId="7BDA0AD0" w14:textId="7909CE50" w:rsidR="00893B00" w:rsidRPr="000D2F58" w:rsidRDefault="0069195D" w:rsidP="00893B00">
      <w:pPr>
        <w:pStyle w:val="FootnoteText"/>
        <w:rPr>
          <w:lang w:val="es-AR"/>
        </w:rPr>
      </w:pPr>
      <w:r>
        <w:tab/>
      </w:r>
      <w:r w:rsidR="00893B00">
        <w:rPr>
          <w:rStyle w:val="FootnoteReference"/>
        </w:rPr>
        <w:footnoteRef/>
      </w:r>
      <w:r w:rsidR="00893B00" w:rsidRPr="000D2F58">
        <w:rPr>
          <w:lang w:val="es-AR"/>
        </w:rPr>
        <w:t xml:space="preserve"> </w:t>
      </w:r>
      <w:r>
        <w:rPr>
          <w:lang w:val="es-AR"/>
        </w:rPr>
        <w:tab/>
      </w:r>
      <w:hyperlink r:id="rId51" w:history="1">
        <w:r w:rsidRPr="00083B85">
          <w:rPr>
            <w:rStyle w:val="Hyperlink"/>
            <w:lang w:val="es-AR"/>
          </w:rPr>
          <w:t>https://ijnet.org/en/node/8832</w:t>
        </w:r>
      </w:hyperlink>
      <w:r w:rsidR="00893B00" w:rsidRPr="000D2F58">
        <w:rPr>
          <w:lang w:val="es-AR"/>
        </w:rPr>
        <w:t>.</w:t>
      </w:r>
    </w:p>
  </w:footnote>
  <w:footnote w:id="80">
    <w:p w14:paraId="5D9AF8B2" w14:textId="29AA561F" w:rsidR="00893B00" w:rsidRPr="00271755" w:rsidRDefault="0069195D" w:rsidP="00893B00">
      <w:pPr>
        <w:pStyle w:val="FootnoteText"/>
        <w:rPr>
          <w:lang w:val="es-AR"/>
        </w:rPr>
      </w:pPr>
      <w:r>
        <w:rPr>
          <w:lang w:val="es-AR"/>
        </w:rPr>
        <w:tab/>
      </w:r>
      <w:r w:rsidR="00893B00">
        <w:rPr>
          <w:rStyle w:val="FootnoteReference"/>
        </w:rPr>
        <w:footnoteRef/>
      </w:r>
      <w:r w:rsidR="00893B00" w:rsidRPr="00271755">
        <w:rPr>
          <w:lang w:val="es-AR"/>
        </w:rPr>
        <w:t xml:space="preserve"> </w:t>
      </w:r>
      <w:r>
        <w:rPr>
          <w:lang w:val="es-AR"/>
        </w:rPr>
        <w:tab/>
      </w:r>
      <w:hyperlink r:id="rId52" w:history="1">
        <w:r w:rsidRPr="00083B85">
          <w:rPr>
            <w:rStyle w:val="Hyperlink"/>
            <w:lang w:val="es-AR"/>
          </w:rPr>
          <w:t>https://www.kivaprogram.net/what-is-kiva/</w:t>
        </w:r>
      </w:hyperlink>
      <w:r w:rsidR="00893B00" w:rsidRPr="00271755">
        <w:rPr>
          <w:lang w:val="es-AR"/>
        </w:rPr>
        <w:t>.</w:t>
      </w:r>
    </w:p>
  </w:footnote>
  <w:footnote w:id="81">
    <w:p w14:paraId="0FE44624" w14:textId="470E2F9F" w:rsidR="00893B00" w:rsidRPr="00271755" w:rsidRDefault="0069195D" w:rsidP="0069195D">
      <w:pPr>
        <w:pStyle w:val="FootnoteText"/>
        <w:rPr>
          <w:lang w:val="es-AR"/>
        </w:rPr>
      </w:pPr>
      <w:r>
        <w:rPr>
          <w:lang w:val="es-AR"/>
        </w:rPr>
        <w:tab/>
      </w:r>
      <w:r w:rsidR="00893B00">
        <w:rPr>
          <w:rStyle w:val="FootnoteReference"/>
        </w:rPr>
        <w:footnoteRef/>
      </w:r>
      <w:r w:rsidR="00893B00" w:rsidRPr="00271755">
        <w:rPr>
          <w:lang w:val="es-AR"/>
        </w:rPr>
        <w:t xml:space="preserve"> </w:t>
      </w:r>
      <w:r>
        <w:rPr>
          <w:lang w:val="es-AR"/>
        </w:rPr>
        <w:tab/>
      </w:r>
      <w:hyperlink r:id="rId53" w:history="1">
        <w:r w:rsidRPr="00083B85">
          <w:rPr>
            <w:rStyle w:val="Hyperlink"/>
            <w:lang w:val="es-AR"/>
          </w:rPr>
          <w:t>https://</w:t>
        </w:r>
        <w:r w:rsidRPr="0069195D">
          <w:rPr>
            <w:rStyle w:val="Hyperlink"/>
            <w:lang w:val="es-AR"/>
          </w:rPr>
          <w:t>www</w:t>
        </w:r>
        <w:r w:rsidRPr="00083B85">
          <w:rPr>
            <w:rStyle w:val="Hyperlink"/>
            <w:lang w:val="es-AR"/>
          </w:rPr>
          <w:t>.globalpartnership.org/blog/role-education-combating-cyberbullying-indonesia</w:t>
        </w:r>
      </w:hyperlink>
      <w:r w:rsidR="00893B00" w:rsidRPr="00271755">
        <w:rPr>
          <w:lang w:val="es-AR"/>
        </w:rPr>
        <w:t>.</w:t>
      </w:r>
    </w:p>
  </w:footnote>
  <w:footnote w:id="82">
    <w:p w14:paraId="0B2D430F" w14:textId="78184E7B" w:rsidR="00893B00" w:rsidRPr="001400E7" w:rsidRDefault="0069195D" w:rsidP="00893B00">
      <w:pPr>
        <w:pStyle w:val="FootnoteText"/>
        <w:rPr>
          <w:lang w:val="en-US"/>
        </w:rPr>
      </w:pPr>
      <w:r w:rsidRPr="007C6FF1">
        <w:rPr>
          <w:lang w:val="es-AR"/>
        </w:rPr>
        <w:tab/>
      </w:r>
      <w:r w:rsidR="00893B00">
        <w:rPr>
          <w:rStyle w:val="FootnoteReference"/>
        </w:rPr>
        <w:footnoteRef/>
      </w:r>
      <w:r w:rsidR="00893B00">
        <w:t xml:space="preserve"> </w:t>
      </w:r>
      <w:r>
        <w:tab/>
      </w:r>
      <w:r w:rsidR="00893B00">
        <w:rPr>
          <w:lang w:val="en-US"/>
        </w:rPr>
        <w:t>See contribution of Italy.</w:t>
      </w:r>
    </w:p>
  </w:footnote>
  <w:footnote w:id="83">
    <w:p w14:paraId="489F8198" w14:textId="0C546457" w:rsidR="00500893" w:rsidRPr="00500893" w:rsidRDefault="0069195D" w:rsidP="0069195D">
      <w:pPr>
        <w:pStyle w:val="FootnoteText"/>
        <w:rPr>
          <w:lang w:val="en-US"/>
        </w:rPr>
      </w:pPr>
      <w:r>
        <w:tab/>
      </w:r>
      <w:r w:rsidR="00500893">
        <w:rPr>
          <w:rStyle w:val="FootnoteReference"/>
        </w:rPr>
        <w:footnoteRef/>
      </w:r>
      <w:r w:rsidR="00500893">
        <w:t xml:space="preserve"> </w:t>
      </w:r>
      <w:r>
        <w:tab/>
      </w:r>
      <w:r w:rsidR="00984323">
        <w:rPr>
          <w:lang w:val="en-US"/>
        </w:rPr>
        <w:t xml:space="preserve">See </w:t>
      </w:r>
      <w:r w:rsidR="00984323" w:rsidRPr="0069195D">
        <w:t>contribution</w:t>
      </w:r>
      <w:r w:rsidR="00984323">
        <w:rPr>
          <w:lang w:val="en-US"/>
        </w:rPr>
        <w:t xml:space="preserve"> by the </w:t>
      </w:r>
      <w:r w:rsidR="00984323" w:rsidRPr="001205CF">
        <w:rPr>
          <w:lang w:val="en-US"/>
        </w:rPr>
        <w:t>World Federation of the Deaf</w:t>
      </w:r>
      <w:r w:rsidR="00984323">
        <w:rPr>
          <w:lang w:val="en-US"/>
        </w:rPr>
        <w:t xml:space="preserve">, </w:t>
      </w:r>
      <w:proofErr w:type="spellStart"/>
      <w:r w:rsidR="00984323">
        <w:rPr>
          <w:lang w:val="en-US"/>
        </w:rPr>
        <w:t>DeafKidz</w:t>
      </w:r>
      <w:proofErr w:type="spellEnd"/>
      <w:r w:rsidR="00984323">
        <w:rPr>
          <w:lang w:val="en-US"/>
        </w:rPr>
        <w:t xml:space="preserve"> International, and the European Union of the Deaf Youth.</w:t>
      </w:r>
    </w:p>
  </w:footnote>
  <w:footnote w:id="84">
    <w:p w14:paraId="05EF92A8" w14:textId="6BEB024F" w:rsidR="00893B00" w:rsidRPr="000D2F58" w:rsidRDefault="0069195D" w:rsidP="00893B00">
      <w:pPr>
        <w:pStyle w:val="FootnoteText"/>
        <w:rPr>
          <w:lang w:val="en-US"/>
        </w:rPr>
      </w:pPr>
      <w:r>
        <w:tab/>
      </w:r>
      <w:r w:rsidR="00893B00">
        <w:rPr>
          <w:rStyle w:val="FootnoteReference"/>
        </w:rPr>
        <w:footnoteRef/>
      </w:r>
      <w:r w:rsidR="00893B00">
        <w:t xml:space="preserve"> </w:t>
      </w:r>
      <w:r>
        <w:tab/>
      </w:r>
      <w:r w:rsidR="00893B00">
        <w:rPr>
          <w:lang w:val="en-US"/>
        </w:rPr>
        <w:t>Contribution of Media Monitoring Africa.</w:t>
      </w:r>
    </w:p>
  </w:footnote>
  <w:footnote w:id="85">
    <w:p w14:paraId="3B515633" w14:textId="5CC1220C" w:rsidR="00A828EA" w:rsidRPr="0075675D" w:rsidRDefault="0069195D">
      <w:pPr>
        <w:pStyle w:val="FootnoteText"/>
      </w:pPr>
      <w:r>
        <w:tab/>
      </w:r>
      <w:r w:rsidR="00A828EA">
        <w:rPr>
          <w:rStyle w:val="FootnoteReference"/>
        </w:rPr>
        <w:footnoteRef/>
      </w:r>
      <w:r w:rsidR="00A828EA" w:rsidRPr="0075675D">
        <w:t xml:space="preserve"> </w:t>
      </w:r>
      <w:r>
        <w:tab/>
      </w:r>
      <w:r w:rsidR="00984323" w:rsidRPr="0075675D">
        <w:t>Ibid.</w:t>
      </w:r>
    </w:p>
  </w:footnote>
  <w:footnote w:id="86">
    <w:p w14:paraId="148314DB" w14:textId="097543FF" w:rsidR="00A2469E" w:rsidRPr="00A2469E" w:rsidRDefault="0069195D" w:rsidP="0069195D">
      <w:pPr>
        <w:pStyle w:val="FootnoteText"/>
        <w:rPr>
          <w:lang w:val="en-US"/>
        </w:rPr>
      </w:pPr>
      <w:r>
        <w:tab/>
      </w:r>
      <w:r w:rsidR="00A2469E">
        <w:rPr>
          <w:rStyle w:val="FootnoteReference"/>
        </w:rPr>
        <w:footnoteRef/>
      </w:r>
      <w:r w:rsidR="00A2469E">
        <w:t xml:space="preserve"> </w:t>
      </w:r>
      <w:r>
        <w:tab/>
      </w:r>
      <w:r w:rsidR="00984323">
        <w:rPr>
          <w:lang w:val="en-US"/>
        </w:rPr>
        <w:t xml:space="preserve">See contribution by the </w:t>
      </w:r>
      <w:r w:rsidR="00984323" w:rsidRPr="001205CF">
        <w:rPr>
          <w:lang w:val="en-US"/>
        </w:rPr>
        <w:t>World Federation of the Deaf</w:t>
      </w:r>
      <w:r w:rsidR="00984323">
        <w:rPr>
          <w:lang w:val="en-US"/>
        </w:rPr>
        <w:t xml:space="preserve">, </w:t>
      </w:r>
      <w:proofErr w:type="spellStart"/>
      <w:r w:rsidR="00984323">
        <w:rPr>
          <w:lang w:val="en-US"/>
        </w:rPr>
        <w:t>DeafKidz</w:t>
      </w:r>
      <w:proofErr w:type="spellEnd"/>
      <w:r w:rsidR="00984323">
        <w:rPr>
          <w:lang w:val="en-US"/>
        </w:rPr>
        <w:t xml:space="preserve"> International, and the European Union of the Deaf Youth.</w:t>
      </w:r>
    </w:p>
  </w:footnote>
  <w:footnote w:id="87">
    <w:p w14:paraId="6CCB3A85" w14:textId="058781B9" w:rsidR="00995265" w:rsidRPr="000D2F58" w:rsidRDefault="0069195D">
      <w:pPr>
        <w:pStyle w:val="FootnoteText"/>
        <w:rPr>
          <w:lang w:val="en-US"/>
        </w:rPr>
      </w:pPr>
      <w:r>
        <w:tab/>
      </w:r>
      <w:r w:rsidR="00995265">
        <w:rPr>
          <w:rStyle w:val="FootnoteReference"/>
        </w:rPr>
        <w:footnoteRef/>
      </w:r>
      <w:r w:rsidR="00995265">
        <w:t xml:space="preserve"> </w:t>
      </w:r>
      <w:r>
        <w:tab/>
      </w:r>
      <w:r w:rsidR="00995265">
        <w:rPr>
          <w:lang w:val="en-US"/>
        </w:rPr>
        <w:t xml:space="preserve">See contribution of </w:t>
      </w:r>
      <w:r w:rsidR="00337387">
        <w:t>Czechia</w:t>
      </w:r>
      <w:r w:rsidR="00995265">
        <w:rPr>
          <w:lang w:val="en-US"/>
        </w:rPr>
        <w:t>.</w:t>
      </w:r>
    </w:p>
  </w:footnote>
  <w:footnote w:id="88">
    <w:p w14:paraId="6D096476" w14:textId="1990CF79" w:rsidR="00995265" w:rsidRPr="008C5693" w:rsidRDefault="0069195D">
      <w:pPr>
        <w:pStyle w:val="FootnoteText"/>
        <w:rPr>
          <w:lang w:val="es-CL"/>
        </w:rPr>
      </w:pPr>
      <w:r>
        <w:rPr>
          <w:lang w:val="es-CL"/>
        </w:rPr>
        <w:tab/>
      </w:r>
      <w:r w:rsidR="00995265">
        <w:rPr>
          <w:rStyle w:val="FootnoteReference"/>
        </w:rPr>
        <w:footnoteRef/>
      </w:r>
      <w:r w:rsidR="00995265" w:rsidRPr="008C5693">
        <w:rPr>
          <w:lang w:val="es-CL"/>
        </w:rPr>
        <w:t xml:space="preserve"> </w:t>
      </w:r>
      <w:r>
        <w:rPr>
          <w:lang w:val="es-CL"/>
        </w:rPr>
        <w:tab/>
      </w:r>
      <w:r w:rsidR="000441DF" w:rsidRPr="008C5693">
        <w:rPr>
          <w:lang w:val="es-CL"/>
        </w:rPr>
        <w:t>Ibid</w:t>
      </w:r>
      <w:r w:rsidR="00995265" w:rsidRPr="008C5693">
        <w:rPr>
          <w:lang w:val="es-CL"/>
        </w:rPr>
        <w:t>.</w:t>
      </w:r>
    </w:p>
  </w:footnote>
  <w:footnote w:id="89">
    <w:p w14:paraId="2F0DCC2C" w14:textId="776E453B" w:rsidR="00233DA0" w:rsidRPr="000D2F58" w:rsidRDefault="0069195D">
      <w:pPr>
        <w:pStyle w:val="FootnoteText"/>
        <w:rPr>
          <w:lang w:val="es-AR"/>
        </w:rPr>
      </w:pPr>
      <w:r>
        <w:rPr>
          <w:lang w:val="es-AR"/>
        </w:rPr>
        <w:tab/>
      </w:r>
      <w:r w:rsidR="00233DA0">
        <w:rPr>
          <w:rStyle w:val="FootnoteReference"/>
        </w:rPr>
        <w:footnoteRef/>
      </w:r>
      <w:r w:rsidR="00233DA0" w:rsidRPr="000D2F58">
        <w:rPr>
          <w:lang w:val="es-AR"/>
        </w:rPr>
        <w:t xml:space="preserve"> </w:t>
      </w:r>
      <w:r>
        <w:rPr>
          <w:lang w:val="es-AR"/>
        </w:rPr>
        <w:tab/>
      </w:r>
      <w:proofErr w:type="spellStart"/>
      <w:r w:rsidR="00233DA0" w:rsidRPr="000D2F58">
        <w:rPr>
          <w:lang w:val="es-AR"/>
        </w:rPr>
        <w:t>See</w:t>
      </w:r>
      <w:proofErr w:type="spellEnd"/>
      <w:r w:rsidR="00233DA0" w:rsidRPr="000D2F58">
        <w:rPr>
          <w:lang w:val="es-AR"/>
        </w:rPr>
        <w:t xml:space="preserve"> </w:t>
      </w:r>
      <w:proofErr w:type="spellStart"/>
      <w:r w:rsidR="00233DA0" w:rsidRPr="000D2F58">
        <w:rPr>
          <w:lang w:val="es-AR"/>
        </w:rPr>
        <w:t>contribution</w:t>
      </w:r>
      <w:proofErr w:type="spellEnd"/>
      <w:r w:rsidR="00233DA0" w:rsidRPr="000D2F58">
        <w:rPr>
          <w:lang w:val="es-AR"/>
        </w:rPr>
        <w:t xml:space="preserve"> of </w:t>
      </w:r>
      <w:proofErr w:type="spellStart"/>
      <w:r w:rsidR="00233DA0" w:rsidRPr="000D2F58">
        <w:rPr>
          <w:lang w:val="es-AR"/>
        </w:rPr>
        <w:t>the</w:t>
      </w:r>
      <w:proofErr w:type="spellEnd"/>
      <w:r w:rsidR="00233DA0" w:rsidRPr="000D2F58">
        <w:rPr>
          <w:lang w:val="es-AR"/>
        </w:rPr>
        <w:t xml:space="preserve"> Comisión de Derechos Humanos de la Ciudad de México.</w:t>
      </w:r>
    </w:p>
  </w:footnote>
  <w:footnote w:id="90">
    <w:p w14:paraId="01FF2AA3" w14:textId="59FC4187" w:rsidR="0014528A" w:rsidRPr="00332706" w:rsidRDefault="0069195D">
      <w:pPr>
        <w:pStyle w:val="FootnoteText"/>
        <w:rPr>
          <w:lang w:val="es-AR"/>
        </w:rPr>
      </w:pPr>
      <w:r>
        <w:rPr>
          <w:lang w:val="es-AR"/>
        </w:rPr>
        <w:tab/>
      </w:r>
      <w:r w:rsidR="0014528A">
        <w:rPr>
          <w:rStyle w:val="FootnoteReference"/>
        </w:rPr>
        <w:footnoteRef/>
      </w:r>
      <w:r w:rsidR="0014528A" w:rsidRPr="00332706">
        <w:rPr>
          <w:lang w:val="es-AR"/>
        </w:rPr>
        <w:t xml:space="preserve"> </w:t>
      </w:r>
      <w:r>
        <w:rPr>
          <w:lang w:val="es-AR"/>
        </w:rPr>
        <w:tab/>
      </w:r>
      <w:proofErr w:type="spellStart"/>
      <w:r w:rsidR="0014528A">
        <w:rPr>
          <w:lang w:val="es-AR"/>
        </w:rPr>
        <w:t>See</w:t>
      </w:r>
      <w:proofErr w:type="spellEnd"/>
      <w:r w:rsidR="0014528A">
        <w:rPr>
          <w:lang w:val="es-AR"/>
        </w:rPr>
        <w:t xml:space="preserve"> </w:t>
      </w:r>
      <w:proofErr w:type="spellStart"/>
      <w:r w:rsidR="0014528A">
        <w:rPr>
          <w:lang w:val="es-AR"/>
        </w:rPr>
        <w:t>contribution</w:t>
      </w:r>
      <w:proofErr w:type="spellEnd"/>
      <w:r w:rsidR="0014528A">
        <w:rPr>
          <w:lang w:val="es-AR"/>
        </w:rPr>
        <w:t xml:space="preserve"> </w:t>
      </w:r>
      <w:proofErr w:type="spellStart"/>
      <w:r w:rsidR="0014528A">
        <w:rPr>
          <w:lang w:val="es-AR"/>
        </w:rPr>
        <w:t>from</w:t>
      </w:r>
      <w:proofErr w:type="spellEnd"/>
      <w:r w:rsidR="0014528A">
        <w:rPr>
          <w:lang w:val="es-AR"/>
        </w:rPr>
        <w:t xml:space="preserve"> Guatemala.</w:t>
      </w:r>
    </w:p>
  </w:footnote>
  <w:footnote w:id="91">
    <w:p w14:paraId="6D4F5704" w14:textId="07193D11" w:rsidR="00233DA0" w:rsidRPr="008C5693" w:rsidRDefault="00F548FC">
      <w:pPr>
        <w:pStyle w:val="FootnoteText"/>
        <w:rPr>
          <w:lang w:val="es-AR"/>
        </w:rPr>
      </w:pPr>
      <w:r>
        <w:rPr>
          <w:lang w:val="es-AR"/>
        </w:rPr>
        <w:tab/>
      </w:r>
      <w:r w:rsidR="00233DA0">
        <w:rPr>
          <w:rStyle w:val="FootnoteReference"/>
        </w:rPr>
        <w:footnoteRef/>
      </w:r>
      <w:r w:rsidR="00233DA0" w:rsidRPr="008C5693">
        <w:rPr>
          <w:lang w:val="es-AR"/>
        </w:rPr>
        <w:t xml:space="preserve"> </w:t>
      </w:r>
      <w:r>
        <w:rPr>
          <w:lang w:val="es-AR"/>
        </w:rPr>
        <w:tab/>
      </w:r>
      <w:hyperlink r:id="rId54" w:history="1">
        <w:r w:rsidRPr="00083B85">
          <w:rPr>
            <w:rStyle w:val="Hyperlink"/>
            <w:lang w:val="es-AR"/>
          </w:rPr>
          <w:t>https://parispeaceforum.org/initiatives/children-online-protection-lab/</w:t>
        </w:r>
      </w:hyperlink>
      <w:r w:rsidR="003F0899">
        <w:rPr>
          <w:lang w:val="es-AR"/>
        </w:rPr>
        <w:t xml:space="preserve">. For a </w:t>
      </w:r>
      <w:r w:rsidR="003F0899" w:rsidRPr="00F548FC">
        <w:t>list</w:t>
      </w:r>
      <w:r w:rsidR="003F0899">
        <w:rPr>
          <w:lang w:val="es-AR"/>
        </w:rPr>
        <w:t xml:space="preserve"> of </w:t>
      </w:r>
      <w:proofErr w:type="spellStart"/>
      <w:r w:rsidR="003F0899">
        <w:rPr>
          <w:lang w:val="es-AR"/>
        </w:rPr>
        <w:t>supporters</w:t>
      </w:r>
      <w:proofErr w:type="spellEnd"/>
      <w:r w:rsidR="003F0899">
        <w:rPr>
          <w:lang w:val="es-AR"/>
        </w:rPr>
        <w:t xml:space="preserve"> </w:t>
      </w:r>
      <w:proofErr w:type="spellStart"/>
      <w:r w:rsidR="003F0899">
        <w:rPr>
          <w:lang w:val="es-AR"/>
        </w:rPr>
        <w:t>see</w:t>
      </w:r>
      <w:proofErr w:type="spellEnd"/>
      <w:r w:rsidR="003F0899">
        <w:rPr>
          <w:lang w:val="es-AR"/>
        </w:rPr>
        <w:t xml:space="preserve"> </w:t>
      </w:r>
      <w:hyperlink r:id="rId55" w:history="1">
        <w:r w:rsidR="00762A2A" w:rsidRPr="005A1180">
          <w:rPr>
            <w:rStyle w:val="Hyperlink"/>
            <w:lang w:val="es-AR"/>
          </w:rPr>
          <w:t>https://www.diplomatie.gouv.fr/IMG/pdf/children_online_protection_lab_cle098714.pdf</w:t>
        </w:r>
      </w:hyperlink>
      <w:r w:rsidR="003F0899">
        <w:rPr>
          <w:lang w:val="es-AR"/>
        </w:rPr>
        <w:t>.</w:t>
      </w:r>
    </w:p>
  </w:footnote>
  <w:footnote w:id="92">
    <w:p w14:paraId="1FDFE69A" w14:textId="401DBFC3" w:rsidR="007B7349" w:rsidRPr="008C5693" w:rsidRDefault="00F548FC">
      <w:pPr>
        <w:pStyle w:val="FootnoteText"/>
        <w:rPr>
          <w:lang w:val="es-AR"/>
        </w:rPr>
      </w:pPr>
      <w:r>
        <w:rPr>
          <w:lang w:val="es-AR"/>
        </w:rPr>
        <w:tab/>
      </w:r>
      <w:r w:rsidR="007B7349">
        <w:rPr>
          <w:rStyle w:val="FootnoteReference"/>
        </w:rPr>
        <w:footnoteRef/>
      </w:r>
      <w:r w:rsidR="007B7349" w:rsidRPr="008C5693">
        <w:rPr>
          <w:lang w:val="es-AR"/>
        </w:rPr>
        <w:t xml:space="preserve"> </w:t>
      </w:r>
      <w:r>
        <w:rPr>
          <w:lang w:val="es-AR"/>
        </w:rPr>
        <w:tab/>
      </w:r>
      <w:hyperlink r:id="rId56" w:history="1">
        <w:r w:rsidRPr="00083B85">
          <w:rPr>
            <w:rStyle w:val="Hyperlink"/>
            <w:lang w:val="es-AR"/>
          </w:rPr>
          <w:t>https://www.unicef.org/end-violence/how-to-stop-cyberbullying</w:t>
        </w:r>
      </w:hyperlink>
      <w:r w:rsidR="006141F6">
        <w:rPr>
          <w:lang w:val="es-AR"/>
        </w:rPr>
        <w:t>.</w:t>
      </w:r>
    </w:p>
  </w:footnote>
  <w:footnote w:id="93">
    <w:p w14:paraId="4A9E89CB" w14:textId="68E0F4DA" w:rsidR="007B7349" w:rsidRPr="008C5693" w:rsidRDefault="00F548FC" w:rsidP="00F548FC">
      <w:pPr>
        <w:pStyle w:val="FootnoteText"/>
        <w:rPr>
          <w:lang w:val="es-AR"/>
        </w:rPr>
      </w:pPr>
      <w:r>
        <w:rPr>
          <w:lang w:val="es-AR"/>
        </w:rPr>
        <w:tab/>
      </w:r>
      <w:r w:rsidR="007B7349">
        <w:rPr>
          <w:rStyle w:val="FootnoteReference"/>
        </w:rPr>
        <w:footnoteRef/>
      </w:r>
      <w:r w:rsidR="007B7349" w:rsidRPr="008C5693">
        <w:rPr>
          <w:lang w:val="es-AR"/>
        </w:rPr>
        <w:t xml:space="preserve"> </w:t>
      </w:r>
      <w:r w:rsidR="00A71FDA">
        <w:rPr>
          <w:lang w:val="es-AR"/>
        </w:rPr>
        <w:tab/>
      </w:r>
      <w:hyperlink r:id="rId57" w:history="1">
        <w:r w:rsidR="00014F7E" w:rsidRPr="00083B85">
          <w:rPr>
            <w:rStyle w:val="Hyperlink"/>
            <w:lang w:val="es-AR"/>
          </w:rPr>
          <w:t>https://www.unicef.org/india/press-releases/unicef-and-facebook-collaborate-build-safer-and-healthier-online-experiences</w:t>
        </w:r>
      </w:hyperlink>
      <w:r w:rsidR="006141F6">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C26" w14:textId="7363DB8D" w:rsidR="006A5BA5" w:rsidRDefault="00275D64" w:rsidP="006A5BA5">
    <w:pPr>
      <w:pStyle w:val="Header"/>
    </w:pPr>
    <w:r>
      <w:rPr>
        <w:noProof/>
      </w:rPr>
      <w:pict w14:anchorId="6F38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3954"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6A5BA5">
      <w:t>A/HRC/</w:t>
    </w:r>
    <w:r w:rsidR="003D40C7">
      <w:t>56</w:t>
    </w:r>
    <w:r w:rsidR="006A5BA5">
      <w:t>/</w:t>
    </w:r>
    <w:r w:rsidR="003D40C7">
      <w:t>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3F7A" w14:textId="7C68CC28" w:rsidR="006A5BA5" w:rsidRDefault="00275D64" w:rsidP="006A5BA5">
    <w:pPr>
      <w:pStyle w:val="Header"/>
      <w:jc w:val="right"/>
    </w:pPr>
    <w:r>
      <w:rPr>
        <w:noProof/>
      </w:rPr>
      <w:pict w14:anchorId="620BD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3955"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6A5BA5">
      <w:t>A/HRC/</w:t>
    </w:r>
    <w:r w:rsidR="003D40C7">
      <w:t>56</w:t>
    </w:r>
    <w:r w:rsidR="006A5BA5">
      <w:t>/</w:t>
    </w:r>
    <w:r w:rsidR="003D40C7">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6ED0" w14:textId="16617386" w:rsidR="00275D64" w:rsidRDefault="00275D64">
    <w:pPr>
      <w:pStyle w:val="Header"/>
    </w:pPr>
    <w:r>
      <w:rPr>
        <w:noProof/>
      </w:rPr>
      <w:pict w14:anchorId="30FDD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93953"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605D3"/>
    <w:multiLevelType w:val="hybridMultilevel"/>
    <w:tmpl w:val="3BCA3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42114"/>
    <w:multiLevelType w:val="hybridMultilevel"/>
    <w:tmpl w:val="D46268B6"/>
    <w:lvl w:ilvl="0" w:tplc="830261F8">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C1316"/>
    <w:multiLevelType w:val="multilevel"/>
    <w:tmpl w:val="51A82A40"/>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1442F9"/>
    <w:multiLevelType w:val="hybridMultilevel"/>
    <w:tmpl w:val="33906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32FA2"/>
    <w:multiLevelType w:val="hybridMultilevel"/>
    <w:tmpl w:val="D70EB74A"/>
    <w:lvl w:ilvl="0" w:tplc="25F699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A0439"/>
    <w:multiLevelType w:val="hybridMultilevel"/>
    <w:tmpl w:val="447EF1F0"/>
    <w:lvl w:ilvl="0" w:tplc="30DCB07E">
      <w:start w:val="1"/>
      <w:numFmt w:val="upp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2BA1C89"/>
    <w:multiLevelType w:val="hybridMultilevel"/>
    <w:tmpl w:val="EB7E025C"/>
    <w:lvl w:ilvl="0" w:tplc="5082FA7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80A9B"/>
    <w:multiLevelType w:val="hybridMultilevel"/>
    <w:tmpl w:val="FC282D1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E03C5B"/>
    <w:multiLevelType w:val="hybridMultilevel"/>
    <w:tmpl w:val="5EB49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35F"/>
    <w:multiLevelType w:val="hybridMultilevel"/>
    <w:tmpl w:val="75281D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46BD9"/>
    <w:multiLevelType w:val="hybridMultilevel"/>
    <w:tmpl w:val="8536D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15C47"/>
    <w:multiLevelType w:val="hybridMultilevel"/>
    <w:tmpl w:val="6A56CF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D6284F"/>
    <w:multiLevelType w:val="hybridMultilevel"/>
    <w:tmpl w:val="970AC272"/>
    <w:lvl w:ilvl="0" w:tplc="1194A39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C12E5"/>
    <w:multiLevelType w:val="hybridMultilevel"/>
    <w:tmpl w:val="E8D6EF3E"/>
    <w:lvl w:ilvl="0" w:tplc="2BBC2F6E">
      <w:start w:val="7"/>
      <w:numFmt w:val="upperLetter"/>
      <w:lvlText w:val="%1."/>
      <w:lvlJc w:val="left"/>
      <w:pPr>
        <w:ind w:left="927" w:hanging="360"/>
      </w:pPr>
      <w:rPr>
        <w:rFonts w:eastAsia="SimSun" w:hint="default"/>
        <w:b/>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772D2"/>
    <w:multiLevelType w:val="hybridMultilevel"/>
    <w:tmpl w:val="47F870CE"/>
    <w:lvl w:ilvl="0" w:tplc="0660E1C0">
      <w:start w:val="2"/>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FA608D1"/>
    <w:multiLevelType w:val="hybridMultilevel"/>
    <w:tmpl w:val="BC5C8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F0AAF"/>
    <w:multiLevelType w:val="hybridMultilevel"/>
    <w:tmpl w:val="FCE6868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83E4A"/>
    <w:multiLevelType w:val="hybridMultilevel"/>
    <w:tmpl w:val="6B54D5A0"/>
    <w:lvl w:ilvl="0" w:tplc="FFFFFFFF">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6E4EFE"/>
    <w:multiLevelType w:val="hybridMultilevel"/>
    <w:tmpl w:val="3678FAD8"/>
    <w:lvl w:ilvl="0" w:tplc="958A58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B7088A"/>
    <w:multiLevelType w:val="hybridMultilevel"/>
    <w:tmpl w:val="C9740AA4"/>
    <w:lvl w:ilvl="0" w:tplc="650605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00A1C"/>
    <w:multiLevelType w:val="hybridMultilevel"/>
    <w:tmpl w:val="AE22E10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0EC3A55"/>
    <w:multiLevelType w:val="hybridMultilevel"/>
    <w:tmpl w:val="4148E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404DA6"/>
    <w:multiLevelType w:val="hybridMultilevel"/>
    <w:tmpl w:val="23143E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F41466"/>
    <w:multiLevelType w:val="hybridMultilevel"/>
    <w:tmpl w:val="DC4601C8"/>
    <w:lvl w:ilvl="0" w:tplc="94364F8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10CC1"/>
    <w:multiLevelType w:val="hybridMultilevel"/>
    <w:tmpl w:val="B3C8B16C"/>
    <w:lvl w:ilvl="0" w:tplc="71AAEAE2">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1B4AEF"/>
    <w:multiLevelType w:val="hybridMultilevel"/>
    <w:tmpl w:val="CEC29F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D57D3"/>
    <w:multiLevelType w:val="hybridMultilevel"/>
    <w:tmpl w:val="AE22E10E"/>
    <w:lvl w:ilvl="0" w:tplc="05D88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0E20EB8"/>
    <w:multiLevelType w:val="multilevel"/>
    <w:tmpl w:val="51A82A40"/>
    <w:lvl w:ilvl="0">
      <w:start w:val="1"/>
      <w:numFmt w:val="upperRoman"/>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33F9C"/>
    <w:multiLevelType w:val="hybridMultilevel"/>
    <w:tmpl w:val="4B88EE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28601E"/>
    <w:multiLevelType w:val="hybridMultilevel"/>
    <w:tmpl w:val="3CEEF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1570E0"/>
    <w:multiLevelType w:val="hybridMultilevel"/>
    <w:tmpl w:val="F9222E84"/>
    <w:lvl w:ilvl="0" w:tplc="D994BD84">
      <w:start w:val="1"/>
      <w:numFmt w:val="upperLetter"/>
      <w:lvlText w:val="%1."/>
      <w:lvlJc w:val="left"/>
      <w:pPr>
        <w:ind w:left="2214" w:hanging="360"/>
      </w:pPr>
      <w:rPr>
        <w:rFonts w:ascii="Times New Roman" w:eastAsia="SimSun" w:hAnsi="Times New Roman" w:cs="Times New Roman"/>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9" w15:restartNumberingAfterBreak="0">
    <w:nsid w:val="70EF508A"/>
    <w:multiLevelType w:val="multilevel"/>
    <w:tmpl w:val="555614A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80A5A"/>
    <w:multiLevelType w:val="hybridMultilevel"/>
    <w:tmpl w:val="35345DF4"/>
    <w:lvl w:ilvl="0" w:tplc="330CB61E">
      <w:start w:val="4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F7B7096"/>
    <w:multiLevelType w:val="hybridMultilevel"/>
    <w:tmpl w:val="D0EEE3E2"/>
    <w:lvl w:ilvl="0" w:tplc="2466BC5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AB0A2F"/>
    <w:multiLevelType w:val="hybridMultilevel"/>
    <w:tmpl w:val="A62692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165655">
    <w:abstractNumId w:val="18"/>
  </w:num>
  <w:num w:numId="2" w16cid:durableId="730007041">
    <w:abstractNumId w:val="13"/>
  </w:num>
  <w:num w:numId="3" w16cid:durableId="704796430">
    <w:abstractNumId w:val="0"/>
  </w:num>
  <w:num w:numId="4" w16cid:durableId="1810592180">
    <w:abstractNumId w:val="32"/>
  </w:num>
  <w:num w:numId="5" w16cid:durableId="52704034">
    <w:abstractNumId w:val="33"/>
  </w:num>
  <w:num w:numId="6" w16cid:durableId="65617517">
    <w:abstractNumId w:val="40"/>
  </w:num>
  <w:num w:numId="7" w16cid:durableId="9331915">
    <w:abstractNumId w:val="10"/>
  </w:num>
  <w:num w:numId="8" w16cid:durableId="511995346">
    <w:abstractNumId w:val="2"/>
  </w:num>
  <w:num w:numId="9" w16cid:durableId="731656504">
    <w:abstractNumId w:val="35"/>
  </w:num>
  <w:num w:numId="10" w16cid:durableId="478814150">
    <w:abstractNumId w:val="2"/>
  </w:num>
  <w:num w:numId="11" w16cid:durableId="274138543">
    <w:abstractNumId w:val="35"/>
  </w:num>
  <w:num w:numId="12" w16cid:durableId="1935017227">
    <w:abstractNumId w:val="34"/>
  </w:num>
  <w:num w:numId="13" w16cid:durableId="1437747074">
    <w:abstractNumId w:val="5"/>
  </w:num>
  <w:num w:numId="14" w16cid:durableId="1729913323">
    <w:abstractNumId w:val="28"/>
  </w:num>
  <w:num w:numId="15" w16cid:durableId="1095593483">
    <w:abstractNumId w:val="37"/>
  </w:num>
  <w:num w:numId="16" w16cid:durableId="1760833449">
    <w:abstractNumId w:val="22"/>
  </w:num>
  <w:num w:numId="17" w16cid:durableId="1127317002">
    <w:abstractNumId w:val="14"/>
  </w:num>
  <w:num w:numId="18" w16cid:durableId="724567751">
    <w:abstractNumId w:val="27"/>
  </w:num>
  <w:num w:numId="19" w16cid:durableId="41053374">
    <w:abstractNumId w:val="9"/>
  </w:num>
  <w:num w:numId="20" w16cid:durableId="647636198">
    <w:abstractNumId w:val="26"/>
  </w:num>
  <w:num w:numId="21" w16cid:durableId="701055019">
    <w:abstractNumId w:val="39"/>
  </w:num>
  <w:num w:numId="22" w16cid:durableId="1985694269">
    <w:abstractNumId w:val="21"/>
  </w:num>
  <w:num w:numId="23" w16cid:durableId="1785074163">
    <w:abstractNumId w:val="4"/>
  </w:num>
  <w:num w:numId="24" w16cid:durableId="839663820">
    <w:abstractNumId w:val="8"/>
  </w:num>
  <w:num w:numId="25" w16cid:durableId="62606370">
    <w:abstractNumId w:val="19"/>
  </w:num>
  <w:num w:numId="26" w16cid:durableId="2139905893">
    <w:abstractNumId w:val="31"/>
  </w:num>
  <w:num w:numId="27" w16cid:durableId="1507134082">
    <w:abstractNumId w:val="23"/>
  </w:num>
  <w:num w:numId="28" w16cid:durableId="329523923">
    <w:abstractNumId w:val="16"/>
  </w:num>
  <w:num w:numId="29" w16cid:durableId="2065832043">
    <w:abstractNumId w:val="29"/>
  </w:num>
  <w:num w:numId="30" w16cid:durableId="331219644">
    <w:abstractNumId w:val="11"/>
  </w:num>
  <w:num w:numId="31" w16cid:durableId="1311325510">
    <w:abstractNumId w:val="30"/>
  </w:num>
  <w:num w:numId="32" w16cid:durableId="1323240368">
    <w:abstractNumId w:val="43"/>
  </w:num>
  <w:num w:numId="33" w16cid:durableId="641693159">
    <w:abstractNumId w:val="1"/>
  </w:num>
  <w:num w:numId="34" w16cid:durableId="1936329072">
    <w:abstractNumId w:val="20"/>
  </w:num>
  <w:num w:numId="35" w16cid:durableId="1605069284">
    <w:abstractNumId w:val="12"/>
  </w:num>
  <w:num w:numId="36" w16cid:durableId="575480579">
    <w:abstractNumId w:val="6"/>
  </w:num>
  <w:num w:numId="37" w16cid:durableId="719406531">
    <w:abstractNumId w:val="7"/>
  </w:num>
  <w:num w:numId="38" w16cid:durableId="1653563909">
    <w:abstractNumId w:val="24"/>
  </w:num>
  <w:num w:numId="39" w16cid:durableId="847870110">
    <w:abstractNumId w:val="17"/>
  </w:num>
  <w:num w:numId="40" w16cid:durableId="16515650">
    <w:abstractNumId w:val="25"/>
  </w:num>
  <w:num w:numId="41" w16cid:durableId="634992136">
    <w:abstractNumId w:val="42"/>
  </w:num>
  <w:num w:numId="42" w16cid:durableId="65885067">
    <w:abstractNumId w:val="3"/>
  </w:num>
  <w:num w:numId="43" w16cid:durableId="1713770614">
    <w:abstractNumId w:val="15"/>
  </w:num>
  <w:num w:numId="44" w16cid:durableId="71241916">
    <w:abstractNumId w:val="36"/>
  </w:num>
  <w:num w:numId="45" w16cid:durableId="1571816087">
    <w:abstractNumId w:val="38"/>
  </w:num>
  <w:num w:numId="46" w16cid:durableId="4405354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6A"/>
    <w:rsid w:val="000028EF"/>
    <w:rsid w:val="00002E6C"/>
    <w:rsid w:val="000041D0"/>
    <w:rsid w:val="000049A3"/>
    <w:rsid w:val="00004B7F"/>
    <w:rsid w:val="00005909"/>
    <w:rsid w:val="00005A26"/>
    <w:rsid w:val="000130F1"/>
    <w:rsid w:val="00013280"/>
    <w:rsid w:val="00014F7E"/>
    <w:rsid w:val="000160FE"/>
    <w:rsid w:val="00016BF9"/>
    <w:rsid w:val="00017100"/>
    <w:rsid w:val="000207E8"/>
    <w:rsid w:val="00020D96"/>
    <w:rsid w:val="00023158"/>
    <w:rsid w:val="00026CD8"/>
    <w:rsid w:val="000301C9"/>
    <w:rsid w:val="00030337"/>
    <w:rsid w:val="0003189B"/>
    <w:rsid w:val="000329F0"/>
    <w:rsid w:val="0003574D"/>
    <w:rsid w:val="00036BBE"/>
    <w:rsid w:val="00041F10"/>
    <w:rsid w:val="000427D9"/>
    <w:rsid w:val="000434CC"/>
    <w:rsid w:val="00043DAB"/>
    <w:rsid w:val="000441DF"/>
    <w:rsid w:val="000455A8"/>
    <w:rsid w:val="00046E92"/>
    <w:rsid w:val="0004789A"/>
    <w:rsid w:val="00055D99"/>
    <w:rsid w:val="00056D28"/>
    <w:rsid w:val="00063C90"/>
    <w:rsid w:val="00064393"/>
    <w:rsid w:val="00066DCC"/>
    <w:rsid w:val="000712F9"/>
    <w:rsid w:val="00072607"/>
    <w:rsid w:val="00074A87"/>
    <w:rsid w:val="000751F2"/>
    <w:rsid w:val="00077692"/>
    <w:rsid w:val="0008084E"/>
    <w:rsid w:val="00081279"/>
    <w:rsid w:val="00082A5B"/>
    <w:rsid w:val="0008478C"/>
    <w:rsid w:val="00086186"/>
    <w:rsid w:val="00094748"/>
    <w:rsid w:val="00095FFF"/>
    <w:rsid w:val="00096560"/>
    <w:rsid w:val="00096757"/>
    <w:rsid w:val="00097D2C"/>
    <w:rsid w:val="000A0175"/>
    <w:rsid w:val="000A1F1D"/>
    <w:rsid w:val="000A2948"/>
    <w:rsid w:val="000A33F0"/>
    <w:rsid w:val="000A6CDD"/>
    <w:rsid w:val="000A6CEF"/>
    <w:rsid w:val="000A71BA"/>
    <w:rsid w:val="000A778F"/>
    <w:rsid w:val="000B4217"/>
    <w:rsid w:val="000B68A3"/>
    <w:rsid w:val="000B705B"/>
    <w:rsid w:val="000B7DD3"/>
    <w:rsid w:val="000C17AD"/>
    <w:rsid w:val="000C33B3"/>
    <w:rsid w:val="000D148C"/>
    <w:rsid w:val="000D2F58"/>
    <w:rsid w:val="000D366D"/>
    <w:rsid w:val="000D6197"/>
    <w:rsid w:val="000D7236"/>
    <w:rsid w:val="000E0ED1"/>
    <w:rsid w:val="000E11AA"/>
    <w:rsid w:val="000E25F3"/>
    <w:rsid w:val="000E360C"/>
    <w:rsid w:val="000E3BEE"/>
    <w:rsid w:val="000E6BE5"/>
    <w:rsid w:val="000E745D"/>
    <w:rsid w:val="000F03B1"/>
    <w:rsid w:val="000F094C"/>
    <w:rsid w:val="000F0BB1"/>
    <w:rsid w:val="000F662F"/>
    <w:rsid w:val="000F6DD5"/>
    <w:rsid w:val="00100710"/>
    <w:rsid w:val="00100AF8"/>
    <w:rsid w:val="00101B98"/>
    <w:rsid w:val="00102EDC"/>
    <w:rsid w:val="00104E79"/>
    <w:rsid w:val="001073C9"/>
    <w:rsid w:val="0011049E"/>
    <w:rsid w:val="001111D9"/>
    <w:rsid w:val="00115FAF"/>
    <w:rsid w:val="00117449"/>
    <w:rsid w:val="001179DD"/>
    <w:rsid w:val="00120236"/>
    <w:rsid w:val="001205CF"/>
    <w:rsid w:val="001246B8"/>
    <w:rsid w:val="00124DB7"/>
    <w:rsid w:val="00126FF3"/>
    <w:rsid w:val="00131E90"/>
    <w:rsid w:val="001321D6"/>
    <w:rsid w:val="00132DF4"/>
    <w:rsid w:val="00133D7A"/>
    <w:rsid w:val="0013585D"/>
    <w:rsid w:val="001364F6"/>
    <w:rsid w:val="001400E7"/>
    <w:rsid w:val="001403B5"/>
    <w:rsid w:val="0014083C"/>
    <w:rsid w:val="00142094"/>
    <w:rsid w:val="00142FEA"/>
    <w:rsid w:val="0014528A"/>
    <w:rsid w:val="00146042"/>
    <w:rsid w:val="00146DBB"/>
    <w:rsid w:val="00146DE3"/>
    <w:rsid w:val="00154934"/>
    <w:rsid w:val="001566E2"/>
    <w:rsid w:val="001569EB"/>
    <w:rsid w:val="001643EF"/>
    <w:rsid w:val="0016481D"/>
    <w:rsid w:val="00164B77"/>
    <w:rsid w:val="00165869"/>
    <w:rsid w:val="00166CED"/>
    <w:rsid w:val="00167587"/>
    <w:rsid w:val="0016795F"/>
    <w:rsid w:val="0017083C"/>
    <w:rsid w:val="00170E23"/>
    <w:rsid w:val="00172801"/>
    <w:rsid w:val="001810C2"/>
    <w:rsid w:val="0018159A"/>
    <w:rsid w:val="0018456C"/>
    <w:rsid w:val="001855C4"/>
    <w:rsid w:val="0019167B"/>
    <w:rsid w:val="00191873"/>
    <w:rsid w:val="0019778C"/>
    <w:rsid w:val="001A0390"/>
    <w:rsid w:val="001A13F1"/>
    <w:rsid w:val="001A365F"/>
    <w:rsid w:val="001A3ED0"/>
    <w:rsid w:val="001A48B4"/>
    <w:rsid w:val="001A75A6"/>
    <w:rsid w:val="001B1AEA"/>
    <w:rsid w:val="001B6922"/>
    <w:rsid w:val="001B76BE"/>
    <w:rsid w:val="001C3192"/>
    <w:rsid w:val="001C6E81"/>
    <w:rsid w:val="001C79C8"/>
    <w:rsid w:val="001D050A"/>
    <w:rsid w:val="001D25A7"/>
    <w:rsid w:val="001D3BF2"/>
    <w:rsid w:val="001D40C4"/>
    <w:rsid w:val="001D4DC4"/>
    <w:rsid w:val="001D636D"/>
    <w:rsid w:val="001E7D82"/>
    <w:rsid w:val="001F204C"/>
    <w:rsid w:val="001F5F59"/>
    <w:rsid w:val="001F6658"/>
    <w:rsid w:val="001F70A6"/>
    <w:rsid w:val="001F74F4"/>
    <w:rsid w:val="001F761B"/>
    <w:rsid w:val="001F793E"/>
    <w:rsid w:val="002034E1"/>
    <w:rsid w:val="00205781"/>
    <w:rsid w:val="002071B1"/>
    <w:rsid w:val="00210F27"/>
    <w:rsid w:val="0021104D"/>
    <w:rsid w:val="00212C72"/>
    <w:rsid w:val="0021396D"/>
    <w:rsid w:val="002242F9"/>
    <w:rsid w:val="00224CA9"/>
    <w:rsid w:val="00225C9F"/>
    <w:rsid w:val="00225F6D"/>
    <w:rsid w:val="00227249"/>
    <w:rsid w:val="00230012"/>
    <w:rsid w:val="00230951"/>
    <w:rsid w:val="00230C4F"/>
    <w:rsid w:val="00231759"/>
    <w:rsid w:val="002331A9"/>
    <w:rsid w:val="00233AA9"/>
    <w:rsid w:val="00233DA0"/>
    <w:rsid w:val="00234962"/>
    <w:rsid w:val="002419BF"/>
    <w:rsid w:val="00243EBA"/>
    <w:rsid w:val="002443A5"/>
    <w:rsid w:val="002464C6"/>
    <w:rsid w:val="00247E2C"/>
    <w:rsid w:val="002507D7"/>
    <w:rsid w:val="00253378"/>
    <w:rsid w:val="002533A0"/>
    <w:rsid w:val="0025399F"/>
    <w:rsid w:val="002570A1"/>
    <w:rsid w:val="00260E14"/>
    <w:rsid w:val="00262F2E"/>
    <w:rsid w:val="00266A55"/>
    <w:rsid w:val="00266AFC"/>
    <w:rsid w:val="00270B08"/>
    <w:rsid w:val="00270D05"/>
    <w:rsid w:val="002715C9"/>
    <w:rsid w:val="00271755"/>
    <w:rsid w:val="00275D64"/>
    <w:rsid w:val="00276A8A"/>
    <w:rsid w:val="00277E07"/>
    <w:rsid w:val="00281EEB"/>
    <w:rsid w:val="00282DDA"/>
    <w:rsid w:val="00284C15"/>
    <w:rsid w:val="002870E4"/>
    <w:rsid w:val="00291295"/>
    <w:rsid w:val="0029475D"/>
    <w:rsid w:val="002A00B3"/>
    <w:rsid w:val="002A32CB"/>
    <w:rsid w:val="002A3A19"/>
    <w:rsid w:val="002A44E0"/>
    <w:rsid w:val="002A6335"/>
    <w:rsid w:val="002A799B"/>
    <w:rsid w:val="002A79FF"/>
    <w:rsid w:val="002A7EFB"/>
    <w:rsid w:val="002B032F"/>
    <w:rsid w:val="002B26F7"/>
    <w:rsid w:val="002B2714"/>
    <w:rsid w:val="002B36F2"/>
    <w:rsid w:val="002B56AA"/>
    <w:rsid w:val="002B670C"/>
    <w:rsid w:val="002B6DAD"/>
    <w:rsid w:val="002C0350"/>
    <w:rsid w:val="002C116D"/>
    <w:rsid w:val="002C28D4"/>
    <w:rsid w:val="002C2A07"/>
    <w:rsid w:val="002C54C3"/>
    <w:rsid w:val="002C6E1C"/>
    <w:rsid w:val="002D0A2C"/>
    <w:rsid w:val="002D450A"/>
    <w:rsid w:val="002D5A94"/>
    <w:rsid w:val="002D6C53"/>
    <w:rsid w:val="002D7174"/>
    <w:rsid w:val="002D7260"/>
    <w:rsid w:val="002D7F02"/>
    <w:rsid w:val="002E04BF"/>
    <w:rsid w:val="002E1A72"/>
    <w:rsid w:val="002E56D9"/>
    <w:rsid w:val="002E6D47"/>
    <w:rsid w:val="002E6F87"/>
    <w:rsid w:val="002E71FD"/>
    <w:rsid w:val="002F4DCC"/>
    <w:rsid w:val="002F5595"/>
    <w:rsid w:val="002F7E7F"/>
    <w:rsid w:val="003015A9"/>
    <w:rsid w:val="00302679"/>
    <w:rsid w:val="00302765"/>
    <w:rsid w:val="00303554"/>
    <w:rsid w:val="0030356A"/>
    <w:rsid w:val="00303E35"/>
    <w:rsid w:val="0030544E"/>
    <w:rsid w:val="0031256D"/>
    <w:rsid w:val="0031607A"/>
    <w:rsid w:val="00316D5E"/>
    <w:rsid w:val="003177DF"/>
    <w:rsid w:val="00322B8A"/>
    <w:rsid w:val="003231A6"/>
    <w:rsid w:val="0032643C"/>
    <w:rsid w:val="00330D84"/>
    <w:rsid w:val="0033110D"/>
    <w:rsid w:val="0033115A"/>
    <w:rsid w:val="00332706"/>
    <w:rsid w:val="00333DCF"/>
    <w:rsid w:val="0033486A"/>
    <w:rsid w:val="00334AA0"/>
    <w:rsid w:val="00334F6A"/>
    <w:rsid w:val="00335DFF"/>
    <w:rsid w:val="0033702B"/>
    <w:rsid w:val="00337387"/>
    <w:rsid w:val="0033791D"/>
    <w:rsid w:val="00341921"/>
    <w:rsid w:val="00342AC8"/>
    <w:rsid w:val="00343C2C"/>
    <w:rsid w:val="00343EA3"/>
    <w:rsid w:val="00344D71"/>
    <w:rsid w:val="0034634D"/>
    <w:rsid w:val="00350253"/>
    <w:rsid w:val="0035258A"/>
    <w:rsid w:val="00352DB5"/>
    <w:rsid w:val="0035310B"/>
    <w:rsid w:val="00354723"/>
    <w:rsid w:val="00356E81"/>
    <w:rsid w:val="0035784C"/>
    <w:rsid w:val="003623D7"/>
    <w:rsid w:val="00363532"/>
    <w:rsid w:val="00366E23"/>
    <w:rsid w:val="00375AA2"/>
    <w:rsid w:val="00376294"/>
    <w:rsid w:val="00377B26"/>
    <w:rsid w:val="00383203"/>
    <w:rsid w:val="00383674"/>
    <w:rsid w:val="003836DB"/>
    <w:rsid w:val="00383A12"/>
    <w:rsid w:val="00385F1C"/>
    <w:rsid w:val="003862FE"/>
    <w:rsid w:val="00386E0A"/>
    <w:rsid w:val="003904AC"/>
    <w:rsid w:val="003914B3"/>
    <w:rsid w:val="00391F0A"/>
    <w:rsid w:val="0039511D"/>
    <w:rsid w:val="00395E25"/>
    <w:rsid w:val="00395EA2"/>
    <w:rsid w:val="0039660F"/>
    <w:rsid w:val="00396F0C"/>
    <w:rsid w:val="00397382"/>
    <w:rsid w:val="003A1ABA"/>
    <w:rsid w:val="003A30FF"/>
    <w:rsid w:val="003A4E2A"/>
    <w:rsid w:val="003A5701"/>
    <w:rsid w:val="003A696A"/>
    <w:rsid w:val="003A6CB7"/>
    <w:rsid w:val="003A7E03"/>
    <w:rsid w:val="003A7E59"/>
    <w:rsid w:val="003B3B93"/>
    <w:rsid w:val="003B406C"/>
    <w:rsid w:val="003B4550"/>
    <w:rsid w:val="003B4A74"/>
    <w:rsid w:val="003B51B1"/>
    <w:rsid w:val="003B7200"/>
    <w:rsid w:val="003C0FA7"/>
    <w:rsid w:val="003C2127"/>
    <w:rsid w:val="003C2A2E"/>
    <w:rsid w:val="003C4F3C"/>
    <w:rsid w:val="003C64F3"/>
    <w:rsid w:val="003C6664"/>
    <w:rsid w:val="003D14ED"/>
    <w:rsid w:val="003D18C7"/>
    <w:rsid w:val="003D3682"/>
    <w:rsid w:val="003D40C7"/>
    <w:rsid w:val="003D452E"/>
    <w:rsid w:val="003D69AE"/>
    <w:rsid w:val="003D7841"/>
    <w:rsid w:val="003E06C3"/>
    <w:rsid w:val="003E1B13"/>
    <w:rsid w:val="003E247E"/>
    <w:rsid w:val="003E39CC"/>
    <w:rsid w:val="003E3AC1"/>
    <w:rsid w:val="003E3FF1"/>
    <w:rsid w:val="003E4635"/>
    <w:rsid w:val="003E477E"/>
    <w:rsid w:val="003E515D"/>
    <w:rsid w:val="003E5A57"/>
    <w:rsid w:val="003E6858"/>
    <w:rsid w:val="003F0899"/>
    <w:rsid w:val="003F25B6"/>
    <w:rsid w:val="003F32FA"/>
    <w:rsid w:val="003F3322"/>
    <w:rsid w:val="003F36CE"/>
    <w:rsid w:val="003F5759"/>
    <w:rsid w:val="003F6C32"/>
    <w:rsid w:val="003F7BCE"/>
    <w:rsid w:val="0040017C"/>
    <w:rsid w:val="004001A5"/>
    <w:rsid w:val="00401BD2"/>
    <w:rsid w:val="00403A1B"/>
    <w:rsid w:val="004040A1"/>
    <w:rsid w:val="00404EBD"/>
    <w:rsid w:val="00406349"/>
    <w:rsid w:val="004079FE"/>
    <w:rsid w:val="00407E80"/>
    <w:rsid w:val="00410DFF"/>
    <w:rsid w:val="004117FA"/>
    <w:rsid w:val="004123CE"/>
    <w:rsid w:val="00414266"/>
    <w:rsid w:val="00415989"/>
    <w:rsid w:val="00416E19"/>
    <w:rsid w:val="00417CCE"/>
    <w:rsid w:val="00420455"/>
    <w:rsid w:val="0042269E"/>
    <w:rsid w:val="00423433"/>
    <w:rsid w:val="00424304"/>
    <w:rsid w:val="004274B0"/>
    <w:rsid w:val="00432E03"/>
    <w:rsid w:val="00433F80"/>
    <w:rsid w:val="004346F3"/>
    <w:rsid w:val="00435BC7"/>
    <w:rsid w:val="00437C4F"/>
    <w:rsid w:val="0044135A"/>
    <w:rsid w:val="0044182E"/>
    <w:rsid w:val="004420B1"/>
    <w:rsid w:val="004436F6"/>
    <w:rsid w:val="0044421A"/>
    <w:rsid w:val="00444789"/>
    <w:rsid w:val="0044556D"/>
    <w:rsid w:val="0044577E"/>
    <w:rsid w:val="00445CA7"/>
    <w:rsid w:val="0044603F"/>
    <w:rsid w:val="00451BC8"/>
    <w:rsid w:val="00456B97"/>
    <w:rsid w:val="00457EBD"/>
    <w:rsid w:val="00461253"/>
    <w:rsid w:val="004634B3"/>
    <w:rsid w:val="004637E0"/>
    <w:rsid w:val="004646F7"/>
    <w:rsid w:val="00464AAB"/>
    <w:rsid w:val="00464C02"/>
    <w:rsid w:val="00465ACE"/>
    <w:rsid w:val="00466EBA"/>
    <w:rsid w:val="00472F17"/>
    <w:rsid w:val="00473BDD"/>
    <w:rsid w:val="00476A8F"/>
    <w:rsid w:val="00477FC9"/>
    <w:rsid w:val="00482E5F"/>
    <w:rsid w:val="0048323A"/>
    <w:rsid w:val="004860D5"/>
    <w:rsid w:val="004913E3"/>
    <w:rsid w:val="00492E62"/>
    <w:rsid w:val="00494AF4"/>
    <w:rsid w:val="00496B06"/>
    <w:rsid w:val="00496B7B"/>
    <w:rsid w:val="0049727C"/>
    <w:rsid w:val="004A0042"/>
    <w:rsid w:val="004A031B"/>
    <w:rsid w:val="004A2814"/>
    <w:rsid w:val="004A5A48"/>
    <w:rsid w:val="004A67F9"/>
    <w:rsid w:val="004A6C16"/>
    <w:rsid w:val="004A7B68"/>
    <w:rsid w:val="004B0C2D"/>
    <w:rsid w:val="004B1357"/>
    <w:rsid w:val="004B1EB3"/>
    <w:rsid w:val="004B5B6D"/>
    <w:rsid w:val="004B624D"/>
    <w:rsid w:val="004B6C86"/>
    <w:rsid w:val="004B706C"/>
    <w:rsid w:val="004B7AF3"/>
    <w:rsid w:val="004C0622"/>
    <w:rsid w:val="004C0AE2"/>
    <w:rsid w:val="004C1400"/>
    <w:rsid w:val="004C1C22"/>
    <w:rsid w:val="004C746C"/>
    <w:rsid w:val="004D10F9"/>
    <w:rsid w:val="004D13AE"/>
    <w:rsid w:val="004D3EBD"/>
    <w:rsid w:val="004D615A"/>
    <w:rsid w:val="004D7DEC"/>
    <w:rsid w:val="004E43D1"/>
    <w:rsid w:val="004F223C"/>
    <w:rsid w:val="004F25E2"/>
    <w:rsid w:val="004F570D"/>
    <w:rsid w:val="00500893"/>
    <w:rsid w:val="00502DE5"/>
    <w:rsid w:val="005042C2"/>
    <w:rsid w:val="005056D9"/>
    <w:rsid w:val="00506E50"/>
    <w:rsid w:val="0051049E"/>
    <w:rsid w:val="00512613"/>
    <w:rsid w:val="00514EF9"/>
    <w:rsid w:val="005173DE"/>
    <w:rsid w:val="00522672"/>
    <w:rsid w:val="0052609E"/>
    <w:rsid w:val="00540610"/>
    <w:rsid w:val="005415CC"/>
    <w:rsid w:val="00546995"/>
    <w:rsid w:val="00546EE3"/>
    <w:rsid w:val="00551145"/>
    <w:rsid w:val="00552EB0"/>
    <w:rsid w:val="00556032"/>
    <w:rsid w:val="005565D3"/>
    <w:rsid w:val="00557C96"/>
    <w:rsid w:val="00561936"/>
    <w:rsid w:val="0056270C"/>
    <w:rsid w:val="00562866"/>
    <w:rsid w:val="005647FE"/>
    <w:rsid w:val="00567197"/>
    <w:rsid w:val="00567585"/>
    <w:rsid w:val="00567C37"/>
    <w:rsid w:val="00570774"/>
    <w:rsid w:val="0057394F"/>
    <w:rsid w:val="0057557A"/>
    <w:rsid w:val="00580B20"/>
    <w:rsid w:val="00581558"/>
    <w:rsid w:val="0058167D"/>
    <w:rsid w:val="00582AB8"/>
    <w:rsid w:val="00582C79"/>
    <w:rsid w:val="00593017"/>
    <w:rsid w:val="005954EE"/>
    <w:rsid w:val="00597645"/>
    <w:rsid w:val="00597C49"/>
    <w:rsid w:val="00597DA0"/>
    <w:rsid w:val="005A0FC1"/>
    <w:rsid w:val="005A7AA8"/>
    <w:rsid w:val="005B47F4"/>
    <w:rsid w:val="005B49D4"/>
    <w:rsid w:val="005C1212"/>
    <w:rsid w:val="005C1978"/>
    <w:rsid w:val="005C450D"/>
    <w:rsid w:val="005C4A4D"/>
    <w:rsid w:val="005C4CB3"/>
    <w:rsid w:val="005C5003"/>
    <w:rsid w:val="005C645F"/>
    <w:rsid w:val="005C72B4"/>
    <w:rsid w:val="005D06EB"/>
    <w:rsid w:val="005D0E3C"/>
    <w:rsid w:val="005D1913"/>
    <w:rsid w:val="005D27C0"/>
    <w:rsid w:val="005D55CF"/>
    <w:rsid w:val="005E0455"/>
    <w:rsid w:val="005E0598"/>
    <w:rsid w:val="005E3465"/>
    <w:rsid w:val="005E50C2"/>
    <w:rsid w:val="005E69E1"/>
    <w:rsid w:val="005E716E"/>
    <w:rsid w:val="005F06E1"/>
    <w:rsid w:val="005F2679"/>
    <w:rsid w:val="005F2BCE"/>
    <w:rsid w:val="005F302A"/>
    <w:rsid w:val="0060223D"/>
    <w:rsid w:val="00603268"/>
    <w:rsid w:val="0060365D"/>
    <w:rsid w:val="006048D2"/>
    <w:rsid w:val="0060519D"/>
    <w:rsid w:val="00605989"/>
    <w:rsid w:val="00613000"/>
    <w:rsid w:val="006137E8"/>
    <w:rsid w:val="006141F6"/>
    <w:rsid w:val="00615106"/>
    <w:rsid w:val="00623942"/>
    <w:rsid w:val="00624700"/>
    <w:rsid w:val="006252A4"/>
    <w:rsid w:val="00625A76"/>
    <w:rsid w:val="00631318"/>
    <w:rsid w:val="00631747"/>
    <w:rsid w:val="00631928"/>
    <w:rsid w:val="00632B53"/>
    <w:rsid w:val="00632EF2"/>
    <w:rsid w:val="00637827"/>
    <w:rsid w:val="00640E3E"/>
    <w:rsid w:val="00641509"/>
    <w:rsid w:val="00645397"/>
    <w:rsid w:val="00645EAA"/>
    <w:rsid w:val="00646F53"/>
    <w:rsid w:val="00654449"/>
    <w:rsid w:val="006553D4"/>
    <w:rsid w:val="00657192"/>
    <w:rsid w:val="00660D71"/>
    <w:rsid w:val="00662585"/>
    <w:rsid w:val="00662BDC"/>
    <w:rsid w:val="00663627"/>
    <w:rsid w:val="00663BC0"/>
    <w:rsid w:val="00664475"/>
    <w:rsid w:val="00666D99"/>
    <w:rsid w:val="00666DE1"/>
    <w:rsid w:val="00671529"/>
    <w:rsid w:val="0067365E"/>
    <w:rsid w:val="00680FCB"/>
    <w:rsid w:val="00681FC0"/>
    <w:rsid w:val="00683A63"/>
    <w:rsid w:val="00686790"/>
    <w:rsid w:val="006904F3"/>
    <w:rsid w:val="00690C2F"/>
    <w:rsid w:val="0069195D"/>
    <w:rsid w:val="00691A16"/>
    <w:rsid w:val="0069668C"/>
    <w:rsid w:val="00697CBA"/>
    <w:rsid w:val="006A25A8"/>
    <w:rsid w:val="006A572C"/>
    <w:rsid w:val="006A5BA5"/>
    <w:rsid w:val="006B19E9"/>
    <w:rsid w:val="006B2CD2"/>
    <w:rsid w:val="006B2DD5"/>
    <w:rsid w:val="006B3CFC"/>
    <w:rsid w:val="006B4308"/>
    <w:rsid w:val="006B7673"/>
    <w:rsid w:val="006C055D"/>
    <w:rsid w:val="006C3DFA"/>
    <w:rsid w:val="006C5558"/>
    <w:rsid w:val="006C633A"/>
    <w:rsid w:val="006C7562"/>
    <w:rsid w:val="006D026D"/>
    <w:rsid w:val="006D150B"/>
    <w:rsid w:val="006D1F2E"/>
    <w:rsid w:val="006D3B24"/>
    <w:rsid w:val="006D4098"/>
    <w:rsid w:val="006D4773"/>
    <w:rsid w:val="006D7F03"/>
    <w:rsid w:val="006F1EA9"/>
    <w:rsid w:val="006F5187"/>
    <w:rsid w:val="006F6101"/>
    <w:rsid w:val="00700567"/>
    <w:rsid w:val="00701A2C"/>
    <w:rsid w:val="0070489D"/>
    <w:rsid w:val="00705022"/>
    <w:rsid w:val="007059EE"/>
    <w:rsid w:val="00706E7D"/>
    <w:rsid w:val="007110F3"/>
    <w:rsid w:val="007125B9"/>
    <w:rsid w:val="00712FF7"/>
    <w:rsid w:val="00713765"/>
    <w:rsid w:val="007166BF"/>
    <w:rsid w:val="00717E06"/>
    <w:rsid w:val="00721E1F"/>
    <w:rsid w:val="007229D6"/>
    <w:rsid w:val="007254F4"/>
    <w:rsid w:val="007268F9"/>
    <w:rsid w:val="00730125"/>
    <w:rsid w:val="007305FD"/>
    <w:rsid w:val="00732809"/>
    <w:rsid w:val="00734D9A"/>
    <w:rsid w:val="007358CE"/>
    <w:rsid w:val="00737421"/>
    <w:rsid w:val="00737639"/>
    <w:rsid w:val="00740A62"/>
    <w:rsid w:val="00741DB8"/>
    <w:rsid w:val="00741E3E"/>
    <w:rsid w:val="00746B24"/>
    <w:rsid w:val="00751AF0"/>
    <w:rsid w:val="00753800"/>
    <w:rsid w:val="007542D6"/>
    <w:rsid w:val="0075675D"/>
    <w:rsid w:val="007569ED"/>
    <w:rsid w:val="0075724F"/>
    <w:rsid w:val="00761ED3"/>
    <w:rsid w:val="00762A2A"/>
    <w:rsid w:val="007653A2"/>
    <w:rsid w:val="0076638B"/>
    <w:rsid w:val="00767C5A"/>
    <w:rsid w:val="00770B1B"/>
    <w:rsid w:val="0077424F"/>
    <w:rsid w:val="00775E64"/>
    <w:rsid w:val="0077671F"/>
    <w:rsid w:val="00777AFC"/>
    <w:rsid w:val="00781302"/>
    <w:rsid w:val="007823C5"/>
    <w:rsid w:val="00782C2B"/>
    <w:rsid w:val="00787E78"/>
    <w:rsid w:val="007921A8"/>
    <w:rsid w:val="00792452"/>
    <w:rsid w:val="007933DA"/>
    <w:rsid w:val="00793544"/>
    <w:rsid w:val="00795D09"/>
    <w:rsid w:val="007A195B"/>
    <w:rsid w:val="007A49E1"/>
    <w:rsid w:val="007A4C94"/>
    <w:rsid w:val="007A549C"/>
    <w:rsid w:val="007A5C45"/>
    <w:rsid w:val="007A7284"/>
    <w:rsid w:val="007B0390"/>
    <w:rsid w:val="007B16EC"/>
    <w:rsid w:val="007B7349"/>
    <w:rsid w:val="007C1DCC"/>
    <w:rsid w:val="007C36A7"/>
    <w:rsid w:val="007C52B0"/>
    <w:rsid w:val="007C5F0A"/>
    <w:rsid w:val="007C6198"/>
    <w:rsid w:val="007C61CF"/>
    <w:rsid w:val="007C6FF1"/>
    <w:rsid w:val="007D1ABE"/>
    <w:rsid w:val="007D35F8"/>
    <w:rsid w:val="007E3882"/>
    <w:rsid w:val="007E54ED"/>
    <w:rsid w:val="007E6F9C"/>
    <w:rsid w:val="007F026D"/>
    <w:rsid w:val="007F2ED9"/>
    <w:rsid w:val="007F526F"/>
    <w:rsid w:val="007F64BC"/>
    <w:rsid w:val="0080155E"/>
    <w:rsid w:val="00801D4A"/>
    <w:rsid w:val="00802065"/>
    <w:rsid w:val="00807204"/>
    <w:rsid w:val="00810306"/>
    <w:rsid w:val="008149F5"/>
    <w:rsid w:val="008177DD"/>
    <w:rsid w:val="00817C7D"/>
    <w:rsid w:val="008213A2"/>
    <w:rsid w:val="00821B5E"/>
    <w:rsid w:val="00821D1C"/>
    <w:rsid w:val="0082218E"/>
    <w:rsid w:val="008227D0"/>
    <w:rsid w:val="00822D60"/>
    <w:rsid w:val="00823C74"/>
    <w:rsid w:val="0082421B"/>
    <w:rsid w:val="008243F7"/>
    <w:rsid w:val="008249C7"/>
    <w:rsid w:val="008268AA"/>
    <w:rsid w:val="00830B18"/>
    <w:rsid w:val="0083122B"/>
    <w:rsid w:val="00831D39"/>
    <w:rsid w:val="00832516"/>
    <w:rsid w:val="008372E5"/>
    <w:rsid w:val="0083747F"/>
    <w:rsid w:val="008435E1"/>
    <w:rsid w:val="00851A6C"/>
    <w:rsid w:val="00851C15"/>
    <w:rsid w:val="008529C6"/>
    <w:rsid w:val="00853040"/>
    <w:rsid w:val="0085498C"/>
    <w:rsid w:val="0085517A"/>
    <w:rsid w:val="00855B4C"/>
    <w:rsid w:val="00856344"/>
    <w:rsid w:val="00857342"/>
    <w:rsid w:val="00857A67"/>
    <w:rsid w:val="008600D4"/>
    <w:rsid w:val="00861B4E"/>
    <w:rsid w:val="00862C22"/>
    <w:rsid w:val="00862C8A"/>
    <w:rsid w:val="00863260"/>
    <w:rsid w:val="00866126"/>
    <w:rsid w:val="00866EC2"/>
    <w:rsid w:val="00870386"/>
    <w:rsid w:val="0087443C"/>
    <w:rsid w:val="00876648"/>
    <w:rsid w:val="00877218"/>
    <w:rsid w:val="008773EC"/>
    <w:rsid w:val="00881A29"/>
    <w:rsid w:val="00883E0F"/>
    <w:rsid w:val="00885109"/>
    <w:rsid w:val="008861E5"/>
    <w:rsid w:val="00886DC2"/>
    <w:rsid w:val="00891D1B"/>
    <w:rsid w:val="00893B00"/>
    <w:rsid w:val="00895EB5"/>
    <w:rsid w:val="00896253"/>
    <w:rsid w:val="008966AD"/>
    <w:rsid w:val="00896CC4"/>
    <w:rsid w:val="008976F8"/>
    <w:rsid w:val="008A1D4C"/>
    <w:rsid w:val="008A3906"/>
    <w:rsid w:val="008B0B0C"/>
    <w:rsid w:val="008B1000"/>
    <w:rsid w:val="008B2255"/>
    <w:rsid w:val="008B2FCD"/>
    <w:rsid w:val="008B6D01"/>
    <w:rsid w:val="008B70CF"/>
    <w:rsid w:val="008C0508"/>
    <w:rsid w:val="008C5300"/>
    <w:rsid w:val="008C5693"/>
    <w:rsid w:val="008C5FA1"/>
    <w:rsid w:val="008C6D82"/>
    <w:rsid w:val="008C6E66"/>
    <w:rsid w:val="008C7C65"/>
    <w:rsid w:val="008C7D64"/>
    <w:rsid w:val="008D270B"/>
    <w:rsid w:val="008D2735"/>
    <w:rsid w:val="008D7D52"/>
    <w:rsid w:val="008E1E4A"/>
    <w:rsid w:val="008E25F0"/>
    <w:rsid w:val="008E2F94"/>
    <w:rsid w:val="008E62DF"/>
    <w:rsid w:val="008E79C4"/>
    <w:rsid w:val="008F0AD8"/>
    <w:rsid w:val="008F20C4"/>
    <w:rsid w:val="008F30F1"/>
    <w:rsid w:val="008F348D"/>
    <w:rsid w:val="008F4790"/>
    <w:rsid w:val="008F5A66"/>
    <w:rsid w:val="008F6488"/>
    <w:rsid w:val="008F69DC"/>
    <w:rsid w:val="008F726A"/>
    <w:rsid w:val="008F764F"/>
    <w:rsid w:val="008F7C44"/>
    <w:rsid w:val="00900E28"/>
    <w:rsid w:val="00901F29"/>
    <w:rsid w:val="009051BC"/>
    <w:rsid w:val="00906AB4"/>
    <w:rsid w:val="00906D77"/>
    <w:rsid w:val="0091036A"/>
    <w:rsid w:val="009159F6"/>
    <w:rsid w:val="00916F43"/>
    <w:rsid w:val="0092317B"/>
    <w:rsid w:val="009255AE"/>
    <w:rsid w:val="00926053"/>
    <w:rsid w:val="00926778"/>
    <w:rsid w:val="0093009B"/>
    <w:rsid w:val="00930C7E"/>
    <w:rsid w:val="00934EEB"/>
    <w:rsid w:val="00937945"/>
    <w:rsid w:val="009411B4"/>
    <w:rsid w:val="009438C8"/>
    <w:rsid w:val="00944012"/>
    <w:rsid w:val="009443E2"/>
    <w:rsid w:val="009473D7"/>
    <w:rsid w:val="009476C4"/>
    <w:rsid w:val="00951308"/>
    <w:rsid w:val="00952FF5"/>
    <w:rsid w:val="009546FA"/>
    <w:rsid w:val="0095511C"/>
    <w:rsid w:val="009554F5"/>
    <w:rsid w:val="0095601B"/>
    <w:rsid w:val="00956C2F"/>
    <w:rsid w:val="00961851"/>
    <w:rsid w:val="00962A56"/>
    <w:rsid w:val="00963D43"/>
    <w:rsid w:val="0096564B"/>
    <w:rsid w:val="00970527"/>
    <w:rsid w:val="0097106D"/>
    <w:rsid w:val="009733DE"/>
    <w:rsid w:val="00973D00"/>
    <w:rsid w:val="00973DE5"/>
    <w:rsid w:val="00975813"/>
    <w:rsid w:val="00977507"/>
    <w:rsid w:val="00980A4A"/>
    <w:rsid w:val="00984323"/>
    <w:rsid w:val="00984395"/>
    <w:rsid w:val="00985B6C"/>
    <w:rsid w:val="00987497"/>
    <w:rsid w:val="009876BA"/>
    <w:rsid w:val="00994325"/>
    <w:rsid w:val="00995265"/>
    <w:rsid w:val="00995A25"/>
    <w:rsid w:val="00997CDC"/>
    <w:rsid w:val="00997D21"/>
    <w:rsid w:val="00997FE4"/>
    <w:rsid w:val="009A2ED3"/>
    <w:rsid w:val="009A6B92"/>
    <w:rsid w:val="009B063A"/>
    <w:rsid w:val="009B1964"/>
    <w:rsid w:val="009B1A7F"/>
    <w:rsid w:val="009B1CEC"/>
    <w:rsid w:val="009B3FB6"/>
    <w:rsid w:val="009B783A"/>
    <w:rsid w:val="009C1068"/>
    <w:rsid w:val="009C21ED"/>
    <w:rsid w:val="009C241B"/>
    <w:rsid w:val="009C6B79"/>
    <w:rsid w:val="009C7ED0"/>
    <w:rsid w:val="009D0139"/>
    <w:rsid w:val="009D231E"/>
    <w:rsid w:val="009D289B"/>
    <w:rsid w:val="009D329A"/>
    <w:rsid w:val="009D4616"/>
    <w:rsid w:val="009D566A"/>
    <w:rsid w:val="009D717D"/>
    <w:rsid w:val="009E039F"/>
    <w:rsid w:val="009E0BAC"/>
    <w:rsid w:val="009E1342"/>
    <w:rsid w:val="009E2B56"/>
    <w:rsid w:val="009F0522"/>
    <w:rsid w:val="009F2BFD"/>
    <w:rsid w:val="009F3CEF"/>
    <w:rsid w:val="009F5195"/>
    <w:rsid w:val="009F59CC"/>
    <w:rsid w:val="009F5CDC"/>
    <w:rsid w:val="00A00274"/>
    <w:rsid w:val="00A030A3"/>
    <w:rsid w:val="00A051B9"/>
    <w:rsid w:val="00A06BE6"/>
    <w:rsid w:val="00A07341"/>
    <w:rsid w:val="00A116C8"/>
    <w:rsid w:val="00A1401A"/>
    <w:rsid w:val="00A1481E"/>
    <w:rsid w:val="00A166A8"/>
    <w:rsid w:val="00A16A44"/>
    <w:rsid w:val="00A16CEA"/>
    <w:rsid w:val="00A220B5"/>
    <w:rsid w:val="00A2395D"/>
    <w:rsid w:val="00A24326"/>
    <w:rsid w:val="00A244CA"/>
    <w:rsid w:val="00A24548"/>
    <w:rsid w:val="00A2469E"/>
    <w:rsid w:val="00A25CE1"/>
    <w:rsid w:val="00A25FA7"/>
    <w:rsid w:val="00A31379"/>
    <w:rsid w:val="00A31703"/>
    <w:rsid w:val="00A31EFC"/>
    <w:rsid w:val="00A31FA6"/>
    <w:rsid w:val="00A349CC"/>
    <w:rsid w:val="00A41610"/>
    <w:rsid w:val="00A41FA4"/>
    <w:rsid w:val="00A43067"/>
    <w:rsid w:val="00A43835"/>
    <w:rsid w:val="00A4482D"/>
    <w:rsid w:val="00A45A51"/>
    <w:rsid w:val="00A46E5D"/>
    <w:rsid w:val="00A472FE"/>
    <w:rsid w:val="00A47792"/>
    <w:rsid w:val="00A47A9A"/>
    <w:rsid w:val="00A50876"/>
    <w:rsid w:val="00A5527B"/>
    <w:rsid w:val="00A611E4"/>
    <w:rsid w:val="00A6335E"/>
    <w:rsid w:val="00A64360"/>
    <w:rsid w:val="00A658F1"/>
    <w:rsid w:val="00A6676A"/>
    <w:rsid w:val="00A67B3F"/>
    <w:rsid w:val="00A7126D"/>
    <w:rsid w:val="00A71FDA"/>
    <w:rsid w:val="00A72E95"/>
    <w:rsid w:val="00A7411D"/>
    <w:rsid w:val="00A775CF"/>
    <w:rsid w:val="00A80426"/>
    <w:rsid w:val="00A8260B"/>
    <w:rsid w:val="00A828CC"/>
    <w:rsid w:val="00A828EA"/>
    <w:rsid w:val="00A85C31"/>
    <w:rsid w:val="00A86877"/>
    <w:rsid w:val="00A90B0A"/>
    <w:rsid w:val="00A90B9E"/>
    <w:rsid w:val="00A9191E"/>
    <w:rsid w:val="00A93923"/>
    <w:rsid w:val="00A95AE0"/>
    <w:rsid w:val="00A960C8"/>
    <w:rsid w:val="00A963E5"/>
    <w:rsid w:val="00A9649F"/>
    <w:rsid w:val="00A9731E"/>
    <w:rsid w:val="00A97500"/>
    <w:rsid w:val="00AA22B6"/>
    <w:rsid w:val="00AA2D49"/>
    <w:rsid w:val="00AA3686"/>
    <w:rsid w:val="00AA4E8E"/>
    <w:rsid w:val="00AA631B"/>
    <w:rsid w:val="00AA739A"/>
    <w:rsid w:val="00AB0C14"/>
    <w:rsid w:val="00AB1187"/>
    <w:rsid w:val="00AB44A6"/>
    <w:rsid w:val="00AB5AC0"/>
    <w:rsid w:val="00AB7734"/>
    <w:rsid w:val="00AC02F3"/>
    <w:rsid w:val="00AC033C"/>
    <w:rsid w:val="00AC04A5"/>
    <w:rsid w:val="00AC063A"/>
    <w:rsid w:val="00AC0658"/>
    <w:rsid w:val="00AC357D"/>
    <w:rsid w:val="00AC3C5E"/>
    <w:rsid w:val="00AC4311"/>
    <w:rsid w:val="00AC5802"/>
    <w:rsid w:val="00AD170C"/>
    <w:rsid w:val="00AD1CAB"/>
    <w:rsid w:val="00AD3250"/>
    <w:rsid w:val="00AD33BF"/>
    <w:rsid w:val="00AD40D5"/>
    <w:rsid w:val="00AD623F"/>
    <w:rsid w:val="00AE5830"/>
    <w:rsid w:val="00AE7ECB"/>
    <w:rsid w:val="00AF0EBA"/>
    <w:rsid w:val="00AF125F"/>
    <w:rsid w:val="00AF7576"/>
    <w:rsid w:val="00B020C8"/>
    <w:rsid w:val="00B02E0A"/>
    <w:rsid w:val="00B03A6E"/>
    <w:rsid w:val="00B04861"/>
    <w:rsid w:val="00B06045"/>
    <w:rsid w:val="00B07BB8"/>
    <w:rsid w:val="00B109EA"/>
    <w:rsid w:val="00B1295D"/>
    <w:rsid w:val="00B12BEF"/>
    <w:rsid w:val="00B1472B"/>
    <w:rsid w:val="00B167A4"/>
    <w:rsid w:val="00B1733C"/>
    <w:rsid w:val="00B1741B"/>
    <w:rsid w:val="00B213F2"/>
    <w:rsid w:val="00B2494E"/>
    <w:rsid w:val="00B25B3B"/>
    <w:rsid w:val="00B30EA2"/>
    <w:rsid w:val="00B3220E"/>
    <w:rsid w:val="00B332E6"/>
    <w:rsid w:val="00B342E6"/>
    <w:rsid w:val="00B34634"/>
    <w:rsid w:val="00B3571D"/>
    <w:rsid w:val="00B37FF3"/>
    <w:rsid w:val="00B408AC"/>
    <w:rsid w:val="00B45758"/>
    <w:rsid w:val="00B45940"/>
    <w:rsid w:val="00B4713D"/>
    <w:rsid w:val="00B507CE"/>
    <w:rsid w:val="00B52EF4"/>
    <w:rsid w:val="00B53265"/>
    <w:rsid w:val="00B53B8F"/>
    <w:rsid w:val="00B548D5"/>
    <w:rsid w:val="00B54D29"/>
    <w:rsid w:val="00B651B5"/>
    <w:rsid w:val="00B65666"/>
    <w:rsid w:val="00B6765F"/>
    <w:rsid w:val="00B67A1E"/>
    <w:rsid w:val="00B67FD9"/>
    <w:rsid w:val="00B70D5F"/>
    <w:rsid w:val="00B73CA2"/>
    <w:rsid w:val="00B77183"/>
    <w:rsid w:val="00B77AAA"/>
    <w:rsid w:val="00B80BBF"/>
    <w:rsid w:val="00B81221"/>
    <w:rsid w:val="00B81C41"/>
    <w:rsid w:val="00B839A4"/>
    <w:rsid w:val="00B84A69"/>
    <w:rsid w:val="00B860FF"/>
    <w:rsid w:val="00B86406"/>
    <w:rsid w:val="00B87CF6"/>
    <w:rsid w:val="00B92587"/>
    <w:rsid w:val="00B96954"/>
    <w:rsid w:val="00BA0512"/>
    <w:rsid w:val="00BA114D"/>
    <w:rsid w:val="00BA2E15"/>
    <w:rsid w:val="00BA394A"/>
    <w:rsid w:val="00BA3DF1"/>
    <w:rsid w:val="00BA4CF2"/>
    <w:rsid w:val="00BA5B89"/>
    <w:rsid w:val="00BB1334"/>
    <w:rsid w:val="00BB2B98"/>
    <w:rsid w:val="00BB783C"/>
    <w:rsid w:val="00BC2596"/>
    <w:rsid w:val="00BC364A"/>
    <w:rsid w:val="00BD1C9A"/>
    <w:rsid w:val="00BD1CA5"/>
    <w:rsid w:val="00BD2E4F"/>
    <w:rsid w:val="00BD6475"/>
    <w:rsid w:val="00BD7997"/>
    <w:rsid w:val="00BE1914"/>
    <w:rsid w:val="00BE1F6D"/>
    <w:rsid w:val="00BE1F7A"/>
    <w:rsid w:val="00BE24BC"/>
    <w:rsid w:val="00BE428D"/>
    <w:rsid w:val="00BE4BA3"/>
    <w:rsid w:val="00BE5FDD"/>
    <w:rsid w:val="00BE6398"/>
    <w:rsid w:val="00BE6D0C"/>
    <w:rsid w:val="00BF00AE"/>
    <w:rsid w:val="00BF01FE"/>
    <w:rsid w:val="00BF0371"/>
    <w:rsid w:val="00BF05E4"/>
    <w:rsid w:val="00BF0BF5"/>
    <w:rsid w:val="00BF1368"/>
    <w:rsid w:val="00BF18A5"/>
    <w:rsid w:val="00BF48CF"/>
    <w:rsid w:val="00BF4B5C"/>
    <w:rsid w:val="00BF4BB3"/>
    <w:rsid w:val="00BF5919"/>
    <w:rsid w:val="00BF7BF7"/>
    <w:rsid w:val="00C01964"/>
    <w:rsid w:val="00C03015"/>
    <w:rsid w:val="00C0358D"/>
    <w:rsid w:val="00C04150"/>
    <w:rsid w:val="00C054C6"/>
    <w:rsid w:val="00C0654C"/>
    <w:rsid w:val="00C108F9"/>
    <w:rsid w:val="00C11F6B"/>
    <w:rsid w:val="00C130EB"/>
    <w:rsid w:val="00C13E2B"/>
    <w:rsid w:val="00C13EAF"/>
    <w:rsid w:val="00C140DE"/>
    <w:rsid w:val="00C14106"/>
    <w:rsid w:val="00C1608B"/>
    <w:rsid w:val="00C164A8"/>
    <w:rsid w:val="00C20302"/>
    <w:rsid w:val="00C206FA"/>
    <w:rsid w:val="00C221C8"/>
    <w:rsid w:val="00C22647"/>
    <w:rsid w:val="00C22C56"/>
    <w:rsid w:val="00C242EF"/>
    <w:rsid w:val="00C25A4A"/>
    <w:rsid w:val="00C276BE"/>
    <w:rsid w:val="00C32CD4"/>
    <w:rsid w:val="00C32F9A"/>
    <w:rsid w:val="00C33579"/>
    <w:rsid w:val="00C34CAD"/>
    <w:rsid w:val="00C35280"/>
    <w:rsid w:val="00C35A27"/>
    <w:rsid w:val="00C370F3"/>
    <w:rsid w:val="00C372B4"/>
    <w:rsid w:val="00C37D17"/>
    <w:rsid w:val="00C41279"/>
    <w:rsid w:val="00C43DFD"/>
    <w:rsid w:val="00C47B2E"/>
    <w:rsid w:val="00C47BD9"/>
    <w:rsid w:val="00C512C7"/>
    <w:rsid w:val="00C51E1E"/>
    <w:rsid w:val="00C55BCA"/>
    <w:rsid w:val="00C63C64"/>
    <w:rsid w:val="00C677C0"/>
    <w:rsid w:val="00C706A7"/>
    <w:rsid w:val="00C7101E"/>
    <w:rsid w:val="00C71090"/>
    <w:rsid w:val="00C73556"/>
    <w:rsid w:val="00C74146"/>
    <w:rsid w:val="00C76932"/>
    <w:rsid w:val="00C803FB"/>
    <w:rsid w:val="00C80528"/>
    <w:rsid w:val="00C839C4"/>
    <w:rsid w:val="00C84368"/>
    <w:rsid w:val="00C85578"/>
    <w:rsid w:val="00C864D5"/>
    <w:rsid w:val="00C86E16"/>
    <w:rsid w:val="00C9048D"/>
    <w:rsid w:val="00C9119B"/>
    <w:rsid w:val="00C91868"/>
    <w:rsid w:val="00C91E22"/>
    <w:rsid w:val="00C9272D"/>
    <w:rsid w:val="00C92FBD"/>
    <w:rsid w:val="00C955DB"/>
    <w:rsid w:val="00C95FF1"/>
    <w:rsid w:val="00C96F16"/>
    <w:rsid w:val="00C975ED"/>
    <w:rsid w:val="00C97B82"/>
    <w:rsid w:val="00CA0B08"/>
    <w:rsid w:val="00CA1B04"/>
    <w:rsid w:val="00CA25AB"/>
    <w:rsid w:val="00CA2DCF"/>
    <w:rsid w:val="00CA2E88"/>
    <w:rsid w:val="00CA325F"/>
    <w:rsid w:val="00CA4167"/>
    <w:rsid w:val="00CA427F"/>
    <w:rsid w:val="00CA4AF6"/>
    <w:rsid w:val="00CA56EE"/>
    <w:rsid w:val="00CA7139"/>
    <w:rsid w:val="00CB2B94"/>
    <w:rsid w:val="00CB2E33"/>
    <w:rsid w:val="00CB31BE"/>
    <w:rsid w:val="00CB50CD"/>
    <w:rsid w:val="00CB619D"/>
    <w:rsid w:val="00CB61AA"/>
    <w:rsid w:val="00CB6AFF"/>
    <w:rsid w:val="00CB717B"/>
    <w:rsid w:val="00CC083A"/>
    <w:rsid w:val="00CC0D8A"/>
    <w:rsid w:val="00CC3876"/>
    <w:rsid w:val="00CC3BFC"/>
    <w:rsid w:val="00CC6CF3"/>
    <w:rsid w:val="00CC7DD0"/>
    <w:rsid w:val="00CD0D95"/>
    <w:rsid w:val="00CD1577"/>
    <w:rsid w:val="00CD27F4"/>
    <w:rsid w:val="00CE0F83"/>
    <w:rsid w:val="00CE1828"/>
    <w:rsid w:val="00CE1C39"/>
    <w:rsid w:val="00CE5FBF"/>
    <w:rsid w:val="00CE691F"/>
    <w:rsid w:val="00CE73E5"/>
    <w:rsid w:val="00CE7414"/>
    <w:rsid w:val="00CF2CD1"/>
    <w:rsid w:val="00CF3AF9"/>
    <w:rsid w:val="00CF6FCA"/>
    <w:rsid w:val="00CF7247"/>
    <w:rsid w:val="00CF7849"/>
    <w:rsid w:val="00D02A7E"/>
    <w:rsid w:val="00D04372"/>
    <w:rsid w:val="00D04587"/>
    <w:rsid w:val="00D04A58"/>
    <w:rsid w:val="00D05390"/>
    <w:rsid w:val="00D064EF"/>
    <w:rsid w:val="00D06B0E"/>
    <w:rsid w:val="00D07A91"/>
    <w:rsid w:val="00D11866"/>
    <w:rsid w:val="00D136C9"/>
    <w:rsid w:val="00D14073"/>
    <w:rsid w:val="00D153FB"/>
    <w:rsid w:val="00D1669A"/>
    <w:rsid w:val="00D16B62"/>
    <w:rsid w:val="00D17E45"/>
    <w:rsid w:val="00D21317"/>
    <w:rsid w:val="00D21475"/>
    <w:rsid w:val="00D24A73"/>
    <w:rsid w:val="00D25905"/>
    <w:rsid w:val="00D259AF"/>
    <w:rsid w:val="00D26B3A"/>
    <w:rsid w:val="00D27908"/>
    <w:rsid w:val="00D314C4"/>
    <w:rsid w:val="00D325E5"/>
    <w:rsid w:val="00D32862"/>
    <w:rsid w:val="00D32A19"/>
    <w:rsid w:val="00D33EF6"/>
    <w:rsid w:val="00D37362"/>
    <w:rsid w:val="00D37A1D"/>
    <w:rsid w:val="00D41C39"/>
    <w:rsid w:val="00D434F3"/>
    <w:rsid w:val="00D4372A"/>
    <w:rsid w:val="00D43AF0"/>
    <w:rsid w:val="00D45004"/>
    <w:rsid w:val="00D46F1D"/>
    <w:rsid w:val="00D47887"/>
    <w:rsid w:val="00D504AB"/>
    <w:rsid w:val="00D50685"/>
    <w:rsid w:val="00D50F56"/>
    <w:rsid w:val="00D52CCE"/>
    <w:rsid w:val="00D53B91"/>
    <w:rsid w:val="00D53EB5"/>
    <w:rsid w:val="00D543D6"/>
    <w:rsid w:val="00D56E11"/>
    <w:rsid w:val="00D576B5"/>
    <w:rsid w:val="00D61704"/>
    <w:rsid w:val="00D6329B"/>
    <w:rsid w:val="00D65769"/>
    <w:rsid w:val="00D65F14"/>
    <w:rsid w:val="00D67BEE"/>
    <w:rsid w:val="00D70411"/>
    <w:rsid w:val="00D72615"/>
    <w:rsid w:val="00D74F95"/>
    <w:rsid w:val="00D76176"/>
    <w:rsid w:val="00D76955"/>
    <w:rsid w:val="00D81DDE"/>
    <w:rsid w:val="00D821ED"/>
    <w:rsid w:val="00D82902"/>
    <w:rsid w:val="00D82F98"/>
    <w:rsid w:val="00D8462B"/>
    <w:rsid w:val="00D84819"/>
    <w:rsid w:val="00D851D3"/>
    <w:rsid w:val="00D85670"/>
    <w:rsid w:val="00D87321"/>
    <w:rsid w:val="00D92F38"/>
    <w:rsid w:val="00D933C4"/>
    <w:rsid w:val="00D97101"/>
    <w:rsid w:val="00D97A62"/>
    <w:rsid w:val="00DA1E8E"/>
    <w:rsid w:val="00DA4C3E"/>
    <w:rsid w:val="00DA5D03"/>
    <w:rsid w:val="00DA5F68"/>
    <w:rsid w:val="00DB005B"/>
    <w:rsid w:val="00DB0D70"/>
    <w:rsid w:val="00DB1C4F"/>
    <w:rsid w:val="00DB2C6A"/>
    <w:rsid w:val="00DB3B06"/>
    <w:rsid w:val="00DB3F59"/>
    <w:rsid w:val="00DB41F2"/>
    <w:rsid w:val="00DB5EF4"/>
    <w:rsid w:val="00DB7378"/>
    <w:rsid w:val="00DC0585"/>
    <w:rsid w:val="00DC0EB4"/>
    <w:rsid w:val="00DC2017"/>
    <w:rsid w:val="00DC695B"/>
    <w:rsid w:val="00DD14BC"/>
    <w:rsid w:val="00DD3844"/>
    <w:rsid w:val="00DD44CA"/>
    <w:rsid w:val="00DD45B5"/>
    <w:rsid w:val="00DD49AC"/>
    <w:rsid w:val="00DE1391"/>
    <w:rsid w:val="00DE474D"/>
    <w:rsid w:val="00DE5330"/>
    <w:rsid w:val="00DE64A6"/>
    <w:rsid w:val="00DE6881"/>
    <w:rsid w:val="00DF0F84"/>
    <w:rsid w:val="00DF11AF"/>
    <w:rsid w:val="00DF12E7"/>
    <w:rsid w:val="00DF5A4D"/>
    <w:rsid w:val="00DF6812"/>
    <w:rsid w:val="00E01521"/>
    <w:rsid w:val="00E01954"/>
    <w:rsid w:val="00E02C2B"/>
    <w:rsid w:val="00E04293"/>
    <w:rsid w:val="00E04FC7"/>
    <w:rsid w:val="00E051A9"/>
    <w:rsid w:val="00E07B40"/>
    <w:rsid w:val="00E102D0"/>
    <w:rsid w:val="00E10AD9"/>
    <w:rsid w:val="00E13EDA"/>
    <w:rsid w:val="00E143FA"/>
    <w:rsid w:val="00E161DE"/>
    <w:rsid w:val="00E17D8E"/>
    <w:rsid w:val="00E2029C"/>
    <w:rsid w:val="00E208EE"/>
    <w:rsid w:val="00E23797"/>
    <w:rsid w:val="00E24A57"/>
    <w:rsid w:val="00E258A8"/>
    <w:rsid w:val="00E26194"/>
    <w:rsid w:val="00E3068B"/>
    <w:rsid w:val="00E314EA"/>
    <w:rsid w:val="00E31BD3"/>
    <w:rsid w:val="00E34067"/>
    <w:rsid w:val="00E367C2"/>
    <w:rsid w:val="00E4103B"/>
    <w:rsid w:val="00E51CEB"/>
    <w:rsid w:val="00E52109"/>
    <w:rsid w:val="00E52782"/>
    <w:rsid w:val="00E52D7F"/>
    <w:rsid w:val="00E53070"/>
    <w:rsid w:val="00E56582"/>
    <w:rsid w:val="00E56A37"/>
    <w:rsid w:val="00E62479"/>
    <w:rsid w:val="00E62BAB"/>
    <w:rsid w:val="00E62EA6"/>
    <w:rsid w:val="00E63230"/>
    <w:rsid w:val="00E6356B"/>
    <w:rsid w:val="00E6445A"/>
    <w:rsid w:val="00E65496"/>
    <w:rsid w:val="00E70BA2"/>
    <w:rsid w:val="00E732F5"/>
    <w:rsid w:val="00E75317"/>
    <w:rsid w:val="00E8523E"/>
    <w:rsid w:val="00E853B3"/>
    <w:rsid w:val="00E85815"/>
    <w:rsid w:val="00E86097"/>
    <w:rsid w:val="00E934D3"/>
    <w:rsid w:val="00E94348"/>
    <w:rsid w:val="00E96726"/>
    <w:rsid w:val="00E9683C"/>
    <w:rsid w:val="00EA1DA8"/>
    <w:rsid w:val="00EA35E9"/>
    <w:rsid w:val="00EA5359"/>
    <w:rsid w:val="00EA6CDA"/>
    <w:rsid w:val="00EB014F"/>
    <w:rsid w:val="00EB2FC2"/>
    <w:rsid w:val="00EB4B6D"/>
    <w:rsid w:val="00EB6491"/>
    <w:rsid w:val="00EB69D7"/>
    <w:rsid w:val="00EB6BAE"/>
    <w:rsid w:val="00EC2886"/>
    <w:rsid w:val="00EC2B30"/>
    <w:rsid w:val="00EC3949"/>
    <w:rsid w:val="00EC5F36"/>
    <w:rsid w:val="00EC75F3"/>
    <w:rsid w:val="00EC7D66"/>
    <w:rsid w:val="00EC7F27"/>
    <w:rsid w:val="00EC7F33"/>
    <w:rsid w:val="00ED030D"/>
    <w:rsid w:val="00ED182B"/>
    <w:rsid w:val="00ED1AAE"/>
    <w:rsid w:val="00ED1C35"/>
    <w:rsid w:val="00ED3B40"/>
    <w:rsid w:val="00ED3D1D"/>
    <w:rsid w:val="00ED489D"/>
    <w:rsid w:val="00ED6C48"/>
    <w:rsid w:val="00ED6D90"/>
    <w:rsid w:val="00EE09E9"/>
    <w:rsid w:val="00EE0F20"/>
    <w:rsid w:val="00EE1AD8"/>
    <w:rsid w:val="00EE75CE"/>
    <w:rsid w:val="00EF3D67"/>
    <w:rsid w:val="00EF6049"/>
    <w:rsid w:val="00EF6E9B"/>
    <w:rsid w:val="00F02D76"/>
    <w:rsid w:val="00F0311E"/>
    <w:rsid w:val="00F039B7"/>
    <w:rsid w:val="00F04BD4"/>
    <w:rsid w:val="00F04CF6"/>
    <w:rsid w:val="00F05C23"/>
    <w:rsid w:val="00F07676"/>
    <w:rsid w:val="00F110A1"/>
    <w:rsid w:val="00F140A0"/>
    <w:rsid w:val="00F20D4C"/>
    <w:rsid w:val="00F20FD9"/>
    <w:rsid w:val="00F21E09"/>
    <w:rsid w:val="00F2374E"/>
    <w:rsid w:val="00F27331"/>
    <w:rsid w:val="00F27C03"/>
    <w:rsid w:val="00F319B9"/>
    <w:rsid w:val="00F32CEB"/>
    <w:rsid w:val="00F33460"/>
    <w:rsid w:val="00F334BE"/>
    <w:rsid w:val="00F346E6"/>
    <w:rsid w:val="00F3551B"/>
    <w:rsid w:val="00F35922"/>
    <w:rsid w:val="00F367BE"/>
    <w:rsid w:val="00F370AC"/>
    <w:rsid w:val="00F411AC"/>
    <w:rsid w:val="00F414DE"/>
    <w:rsid w:val="00F548FC"/>
    <w:rsid w:val="00F561CF"/>
    <w:rsid w:val="00F56CC7"/>
    <w:rsid w:val="00F57147"/>
    <w:rsid w:val="00F60C6F"/>
    <w:rsid w:val="00F60CE1"/>
    <w:rsid w:val="00F62463"/>
    <w:rsid w:val="00F6287C"/>
    <w:rsid w:val="00F6416B"/>
    <w:rsid w:val="00F6470C"/>
    <w:rsid w:val="00F65F5D"/>
    <w:rsid w:val="00F66113"/>
    <w:rsid w:val="00F7289D"/>
    <w:rsid w:val="00F72ABB"/>
    <w:rsid w:val="00F73241"/>
    <w:rsid w:val="00F74F3A"/>
    <w:rsid w:val="00F76499"/>
    <w:rsid w:val="00F80FF2"/>
    <w:rsid w:val="00F83BC8"/>
    <w:rsid w:val="00F84866"/>
    <w:rsid w:val="00F860A8"/>
    <w:rsid w:val="00F86A3A"/>
    <w:rsid w:val="00F900A3"/>
    <w:rsid w:val="00F95073"/>
    <w:rsid w:val="00F953B6"/>
    <w:rsid w:val="00FA47AA"/>
    <w:rsid w:val="00FB08AE"/>
    <w:rsid w:val="00FB0E9E"/>
    <w:rsid w:val="00FB18A9"/>
    <w:rsid w:val="00FB26CE"/>
    <w:rsid w:val="00FB293E"/>
    <w:rsid w:val="00FB50F5"/>
    <w:rsid w:val="00FB6524"/>
    <w:rsid w:val="00FC5482"/>
    <w:rsid w:val="00FD0243"/>
    <w:rsid w:val="00FD0944"/>
    <w:rsid w:val="00FD0E92"/>
    <w:rsid w:val="00FD26A3"/>
    <w:rsid w:val="00FD3054"/>
    <w:rsid w:val="00FD4E0C"/>
    <w:rsid w:val="00FD579F"/>
    <w:rsid w:val="00FD6585"/>
    <w:rsid w:val="00FD74A4"/>
    <w:rsid w:val="00FE0C8D"/>
    <w:rsid w:val="00FF1F32"/>
    <w:rsid w:val="00FF670B"/>
    <w:rsid w:val="00FF7340"/>
    <w:rsid w:val="00FF7733"/>
    <w:rsid w:val="19686ACC"/>
    <w:rsid w:val="221FE3D1"/>
    <w:rsid w:val="2505C99C"/>
    <w:rsid w:val="2523762D"/>
    <w:rsid w:val="26F749C7"/>
    <w:rsid w:val="335A3B8A"/>
    <w:rsid w:val="36524277"/>
    <w:rsid w:val="36E9369F"/>
    <w:rsid w:val="3734BB54"/>
    <w:rsid w:val="3A23C2C3"/>
    <w:rsid w:val="3A53058C"/>
    <w:rsid w:val="4737E95C"/>
    <w:rsid w:val="50159CAB"/>
    <w:rsid w:val="52C0746A"/>
    <w:rsid w:val="5B9C88E8"/>
    <w:rsid w:val="5C79B4DE"/>
    <w:rsid w:val="667608BE"/>
    <w:rsid w:val="6CF62FF8"/>
    <w:rsid w:val="77CA6A2C"/>
    <w:rsid w:val="7F95FD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0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texto de nota al pie,Texto nota pie Car Car,Texto nota pie Car Car Car,FA Fuﬂnotentext,ft,Char,f,fn,A, Char"/>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texto de nota al pie Char,Texto nota pie Car Car Char,ft Char,Char Char"/>
    <w:basedOn w:val="DefaultParagraphFont"/>
    <w:link w:val="FootnoteText"/>
    <w:qForma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Footnote Text Char1 Car Car Car Car,Footnote Text Char Char Car Car Car Car,Char Car Car Car Car,Char Char Char Car Car Car Car Car,FA Fu Car Car Car,Footnote Text Char Char Char Char Char Car Car Car,FZ,ftref"/>
    <w:link w:val="BVIfnrCharCharChar1CharCharCharCharCharCharChar1CharCharChar1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266AFC"/>
    <w:rPr>
      <w:sz w:val="16"/>
      <w:szCs w:val="16"/>
    </w:rPr>
  </w:style>
  <w:style w:type="paragraph" w:styleId="CommentText">
    <w:name w:val="annotation text"/>
    <w:basedOn w:val="Normal"/>
    <w:link w:val="CommentTextChar"/>
    <w:uiPriority w:val="99"/>
    <w:unhideWhenUsed/>
    <w:rsid w:val="00266AFC"/>
    <w:pPr>
      <w:spacing w:line="240" w:lineRule="auto"/>
    </w:pPr>
  </w:style>
  <w:style w:type="character" w:customStyle="1" w:styleId="CommentTextChar">
    <w:name w:val="Comment Text Char"/>
    <w:basedOn w:val="DefaultParagraphFont"/>
    <w:link w:val="CommentText"/>
    <w:uiPriority w:val="99"/>
    <w:rsid w:val="00266AFC"/>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66AFC"/>
    <w:rPr>
      <w:b/>
      <w:bCs/>
    </w:rPr>
  </w:style>
  <w:style w:type="character" w:customStyle="1" w:styleId="CommentSubjectChar">
    <w:name w:val="Comment Subject Char"/>
    <w:basedOn w:val="CommentTextChar"/>
    <w:link w:val="CommentSubject"/>
    <w:uiPriority w:val="99"/>
    <w:semiHidden/>
    <w:rsid w:val="00266AFC"/>
    <w:rPr>
      <w:rFonts w:ascii="Times New Roman" w:eastAsiaTheme="minorHAnsi" w:hAnsi="Times New Roman" w:cs="Times New Roman"/>
      <w:b/>
      <w:bCs/>
      <w:sz w:val="20"/>
      <w:szCs w:val="20"/>
      <w:lang w:eastAsia="en-US"/>
    </w:rPr>
  </w:style>
  <w:style w:type="character" w:styleId="UnresolvedMention">
    <w:name w:val="Unresolved Mention"/>
    <w:basedOn w:val="DefaultParagraphFont"/>
    <w:uiPriority w:val="99"/>
    <w:semiHidden/>
    <w:unhideWhenUsed/>
    <w:rsid w:val="008243F7"/>
    <w:rPr>
      <w:color w:val="605E5C"/>
      <w:shd w:val="clear" w:color="auto" w:fill="E1DFDD"/>
    </w:rPr>
  </w:style>
  <w:style w:type="paragraph" w:styleId="Revision">
    <w:name w:val="Revision"/>
    <w:hidden/>
    <w:uiPriority w:val="99"/>
    <w:semiHidden/>
    <w:rsid w:val="00476A8F"/>
    <w:pPr>
      <w:spacing w:after="0" w:line="240" w:lineRule="auto"/>
    </w:pPr>
    <w:rPr>
      <w:rFonts w:ascii="Times New Roman" w:eastAsiaTheme="minorHAnsi" w:hAnsi="Times New Roman" w:cs="Times New Roman"/>
      <w:sz w:val="20"/>
      <w:szCs w:val="20"/>
      <w:lang w:eastAsia="en-US"/>
    </w:rPr>
  </w:style>
  <w:style w:type="paragraph" w:styleId="NormalWeb">
    <w:name w:val="Normal (Web)"/>
    <w:basedOn w:val="Normal"/>
    <w:uiPriority w:val="99"/>
    <w:semiHidden/>
    <w:unhideWhenUsed/>
    <w:rsid w:val="00B213F2"/>
    <w:rPr>
      <w:sz w:val="24"/>
      <w:szCs w:val="24"/>
    </w:rPr>
  </w:style>
  <w:style w:type="paragraph" w:styleId="ListParagraph">
    <w:name w:val="List Paragraph"/>
    <w:basedOn w:val="Normal"/>
    <w:uiPriority w:val="34"/>
    <w:rsid w:val="008F726A"/>
    <w:pPr>
      <w:ind w:left="720"/>
      <w:contextualSpacing/>
    </w:pPr>
  </w:style>
  <w:style w:type="paragraph" w:customStyle="1" w:styleId="pf0">
    <w:name w:val="pf0"/>
    <w:basedOn w:val="Normal"/>
    <w:rsid w:val="00D26B3A"/>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cf01">
    <w:name w:val="cf01"/>
    <w:basedOn w:val="DefaultParagraphFont"/>
    <w:rsid w:val="00D26B3A"/>
    <w:rPr>
      <w:rFonts w:ascii="Segoe UI" w:hAnsi="Segoe UI" w:cs="Segoe UI" w:hint="default"/>
      <w:i/>
      <w:iCs/>
      <w:sz w:val="18"/>
      <w:szCs w:val="18"/>
    </w:rPr>
  </w:style>
  <w:style w:type="paragraph" w:styleId="BodyText">
    <w:name w:val="Body Text"/>
    <w:basedOn w:val="Normal"/>
    <w:link w:val="BodyTextChar"/>
    <w:uiPriority w:val="99"/>
    <w:unhideWhenUsed/>
    <w:rsid w:val="008435E1"/>
    <w:pPr>
      <w:spacing w:before="120"/>
    </w:pPr>
    <w:rPr>
      <w:b/>
      <w:bCs/>
    </w:rPr>
  </w:style>
  <w:style w:type="character" w:customStyle="1" w:styleId="BodyTextChar">
    <w:name w:val="Body Text Char"/>
    <w:basedOn w:val="DefaultParagraphFont"/>
    <w:link w:val="BodyText"/>
    <w:uiPriority w:val="99"/>
    <w:rsid w:val="008435E1"/>
    <w:rPr>
      <w:rFonts w:ascii="Times New Roman" w:eastAsiaTheme="minorHAnsi" w:hAnsi="Times New Roman" w:cs="Times New Roman"/>
      <w:b/>
      <w:bCs/>
      <w:sz w:val="20"/>
      <w:szCs w:val="20"/>
      <w:lang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8435E1"/>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customStyle="1" w:styleId="SingleTxtGChar">
    <w:name w:val="_ Single Txt_G Char"/>
    <w:basedOn w:val="DefaultParagraphFont"/>
    <w:link w:val="SingleTxtG"/>
    <w:rsid w:val="00D67BEE"/>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43227568">
      <w:bodyDiv w:val="1"/>
      <w:marLeft w:val="0"/>
      <w:marRight w:val="0"/>
      <w:marTop w:val="0"/>
      <w:marBottom w:val="0"/>
      <w:divBdr>
        <w:top w:val="none" w:sz="0" w:space="0" w:color="auto"/>
        <w:left w:val="none" w:sz="0" w:space="0" w:color="auto"/>
        <w:bottom w:val="none" w:sz="0" w:space="0" w:color="auto"/>
        <w:right w:val="none" w:sz="0" w:space="0" w:color="auto"/>
      </w:divBdr>
    </w:div>
    <w:div w:id="289479972">
      <w:bodyDiv w:val="1"/>
      <w:marLeft w:val="0"/>
      <w:marRight w:val="0"/>
      <w:marTop w:val="0"/>
      <w:marBottom w:val="0"/>
      <w:divBdr>
        <w:top w:val="none" w:sz="0" w:space="0" w:color="auto"/>
        <w:left w:val="none" w:sz="0" w:space="0" w:color="auto"/>
        <w:bottom w:val="none" w:sz="0" w:space="0" w:color="auto"/>
        <w:right w:val="none" w:sz="0" w:space="0" w:color="auto"/>
      </w:divBdr>
    </w:div>
    <w:div w:id="326514593">
      <w:bodyDiv w:val="1"/>
      <w:marLeft w:val="0"/>
      <w:marRight w:val="0"/>
      <w:marTop w:val="0"/>
      <w:marBottom w:val="0"/>
      <w:divBdr>
        <w:top w:val="none" w:sz="0" w:space="0" w:color="auto"/>
        <w:left w:val="none" w:sz="0" w:space="0" w:color="auto"/>
        <w:bottom w:val="none" w:sz="0" w:space="0" w:color="auto"/>
        <w:right w:val="none" w:sz="0" w:space="0" w:color="auto"/>
      </w:divBdr>
    </w:div>
    <w:div w:id="348071546">
      <w:bodyDiv w:val="1"/>
      <w:marLeft w:val="0"/>
      <w:marRight w:val="0"/>
      <w:marTop w:val="0"/>
      <w:marBottom w:val="0"/>
      <w:divBdr>
        <w:top w:val="none" w:sz="0" w:space="0" w:color="auto"/>
        <w:left w:val="none" w:sz="0" w:space="0" w:color="auto"/>
        <w:bottom w:val="none" w:sz="0" w:space="0" w:color="auto"/>
        <w:right w:val="none" w:sz="0" w:space="0" w:color="auto"/>
      </w:divBdr>
    </w:div>
    <w:div w:id="993686099">
      <w:bodyDiv w:val="1"/>
      <w:marLeft w:val="0"/>
      <w:marRight w:val="0"/>
      <w:marTop w:val="0"/>
      <w:marBottom w:val="0"/>
      <w:divBdr>
        <w:top w:val="none" w:sz="0" w:space="0" w:color="auto"/>
        <w:left w:val="none" w:sz="0" w:space="0" w:color="auto"/>
        <w:bottom w:val="none" w:sz="0" w:space="0" w:color="auto"/>
        <w:right w:val="none" w:sz="0" w:space="0" w:color="auto"/>
      </w:divBdr>
    </w:div>
    <w:div w:id="1264651758">
      <w:bodyDiv w:val="1"/>
      <w:marLeft w:val="0"/>
      <w:marRight w:val="0"/>
      <w:marTop w:val="0"/>
      <w:marBottom w:val="0"/>
      <w:divBdr>
        <w:top w:val="none" w:sz="0" w:space="0" w:color="auto"/>
        <w:left w:val="none" w:sz="0" w:space="0" w:color="auto"/>
        <w:bottom w:val="none" w:sz="0" w:space="0" w:color="auto"/>
        <w:right w:val="none" w:sz="0" w:space="0" w:color="auto"/>
      </w:divBdr>
    </w:div>
    <w:div w:id="1802378936">
      <w:bodyDiv w:val="1"/>
      <w:marLeft w:val="0"/>
      <w:marRight w:val="0"/>
      <w:marTop w:val="0"/>
      <w:marBottom w:val="0"/>
      <w:divBdr>
        <w:top w:val="none" w:sz="0" w:space="0" w:color="auto"/>
        <w:left w:val="none" w:sz="0" w:space="0" w:color="auto"/>
        <w:bottom w:val="none" w:sz="0" w:space="0" w:color="auto"/>
        <w:right w:val="none" w:sz="0" w:space="0" w:color="auto"/>
      </w:divBdr>
    </w:div>
    <w:div w:id="1957372532">
      <w:bodyDiv w:val="1"/>
      <w:marLeft w:val="0"/>
      <w:marRight w:val="0"/>
      <w:marTop w:val="0"/>
      <w:marBottom w:val="0"/>
      <w:divBdr>
        <w:top w:val="none" w:sz="0" w:space="0" w:color="auto"/>
        <w:left w:val="none" w:sz="0" w:space="0" w:color="auto"/>
        <w:bottom w:val="none" w:sz="0" w:space="0" w:color="auto"/>
        <w:right w:val="none" w:sz="0" w:space="0" w:color="auto"/>
      </w:divBdr>
    </w:div>
    <w:div w:id="1976256558">
      <w:bodyDiv w:val="1"/>
      <w:marLeft w:val="0"/>
      <w:marRight w:val="0"/>
      <w:marTop w:val="0"/>
      <w:marBottom w:val="0"/>
      <w:divBdr>
        <w:top w:val="none" w:sz="0" w:space="0" w:color="auto"/>
        <w:left w:val="none" w:sz="0" w:space="0" w:color="auto"/>
        <w:bottom w:val="none" w:sz="0" w:space="0" w:color="auto"/>
        <w:right w:val="none" w:sz="0" w:space="0" w:color="auto"/>
      </w:divBdr>
    </w:div>
    <w:div w:id="20289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uhri.ohchr.org/en/document/def66b88-504d-42cb-b480-86fcf419c4d4" TargetMode="External"/><Relationship Id="rId18" Type="http://schemas.openxmlformats.org/officeDocument/2006/relationships/hyperlink" Target="https://www.ohchr.org/sites/default/files/Documents/Issues/Business/B-Tech/access-to-remedy-company-based-grievance-mechanisms.pdf" TargetMode="External"/><Relationship Id="rId26" Type="http://schemas.openxmlformats.org/officeDocument/2006/relationships/hyperlink" Target="https://rm.coe.int/two-clicks-forward-and-one-click-back-report-on-children-with-disabili/168098bd0f" TargetMode="External"/><Relationship Id="rId39" Type="http://schemas.openxmlformats.org/officeDocument/2006/relationships/hyperlink" Target="https://rm.coe.int/two-clicks-forward-and-one-click-back-report-on-children-with-disabili/168098bd0f" TargetMode="External"/><Relationship Id="rId21" Type="http://schemas.openxmlformats.org/officeDocument/2006/relationships/hyperlink" Target="https://unesdoc.unesco.org/ark:/48223/pf0000378061" TargetMode="External"/><Relationship Id="rId34" Type="http://schemas.openxmlformats.org/officeDocument/2006/relationships/hyperlink" Target="https://blogs.worldbank.org/en/developmenttalk/protecting-women-and-girls-cyber-harassment-global-assessment" TargetMode="External"/><Relationship Id="rId42" Type="http://schemas.openxmlformats.org/officeDocument/2006/relationships/hyperlink" Target="https://www.unicef.org/press-releases/unicef-poll-more-third-young-people-30-countries-report-being-victim-online-bullying" TargetMode="External"/><Relationship Id="rId47" Type="http://schemas.openxmlformats.org/officeDocument/2006/relationships/hyperlink" Target="https://www.cbsnews.com/news/teen-cyberbullying-more-likely-from-friends-via-social-media-and-texts/" TargetMode="External"/><Relationship Id="rId50" Type="http://schemas.openxmlformats.org/officeDocument/2006/relationships/hyperlink" Target="https://www.who.int/news/item/15-11-2023-who-launches-commission-to-foster-social-connection" TargetMode="External"/><Relationship Id="rId55" Type="http://schemas.openxmlformats.org/officeDocument/2006/relationships/hyperlink" Target="https://www.diplomatie.gouv.fr/IMG/pdf/children_online_protection_lab_cle098714.pdf" TargetMode="External"/><Relationship Id="rId7" Type="http://schemas.openxmlformats.org/officeDocument/2006/relationships/hyperlink" Target="https://committees.parliament.uk/writtenevidence/86982/html/" TargetMode="External"/><Relationship Id="rId2" Type="http://schemas.openxmlformats.org/officeDocument/2006/relationships/hyperlink" Target="https://www.ohchr.org/en/news/2023/09/human-rights-council-holds-panel-discussion-cyberbullying-against-children-hearing-it" TargetMode="External"/><Relationship Id="rId16" Type="http://schemas.openxmlformats.org/officeDocument/2006/relationships/hyperlink" Target="https://www.ohchr.org/sites/default/files/Documents/Issues/Business/B-Tech/key-characteristics-business-respect.pdf" TargetMode="External"/><Relationship Id="rId29" Type="http://schemas.openxmlformats.org/officeDocument/2006/relationships/hyperlink" Target="https://blogs.worldbank.org/en/developmenttalk/protecting-women-and-girls-cyber-harassment-global-assessment" TargetMode="External"/><Relationship Id="rId11" Type="http://schemas.openxmlformats.org/officeDocument/2006/relationships/hyperlink" Target="https://webtv.un.org/en/asset/k1m/k1mo6jr0hn" TargetMode="External"/><Relationship Id="rId24" Type="http://schemas.openxmlformats.org/officeDocument/2006/relationships/hyperlink" Target="https://rm.coe.int/two-clicks-forward-and-one-click-back-report-on-children-with-disabili/168098bd0f" TargetMode="External"/><Relationship Id="rId32" Type="http://schemas.openxmlformats.org/officeDocument/2006/relationships/hyperlink" Target="https://blogs.worldbank.org/en/sustainablecities/five-facts-know-about-violence-against-women-and-girls-disabilities" TargetMode="External"/><Relationship Id="rId37" Type="http://schemas.openxmlformats.org/officeDocument/2006/relationships/hyperlink" Target="https://www.esafety.gov.au/research/how-adults-intellectual-disability-experience-online-abuse" TargetMode="External"/><Relationship Id="rId40" Type="http://schemas.openxmlformats.org/officeDocument/2006/relationships/hyperlink" Target="https://www.europarl.europa.eu/RegData/etudes/STUD/2021/662621/EPRS_STU(2021)662621_EN.pdf" TargetMode="External"/><Relationship Id="rId45" Type="http://schemas.openxmlformats.org/officeDocument/2006/relationships/hyperlink" Target="https://webtv.un.org/en/asset/k1m/k1mo6jr0hn" TargetMode="External"/><Relationship Id="rId53" Type="http://schemas.openxmlformats.org/officeDocument/2006/relationships/hyperlink" Target="https://www.globalpartnership.org/blog/role-education-combating-cyberbullying-indonesia" TargetMode="External"/><Relationship Id="rId5" Type="http://schemas.openxmlformats.org/officeDocument/2006/relationships/hyperlink" Target="https://webtv.un.org/en/asset/k1m/k1mo6jr0hn" TargetMode="External"/><Relationship Id="rId19" Type="http://schemas.openxmlformats.org/officeDocument/2006/relationships/hyperlink" Target="https://unesdoc.unesco.org/ark:/48223/pf0000381171" TargetMode="External"/><Relationship Id="rId4" Type="http://schemas.openxmlformats.org/officeDocument/2006/relationships/hyperlink" Target="https://violenceagainstchildren.un.org/sites/violenceagainstchildren.un.org/files/documents/publications/tackling_bullying_from_schoolyard_to_cyberspace_low_res_fa.pdf" TargetMode="External"/><Relationship Id="rId9" Type="http://schemas.openxmlformats.org/officeDocument/2006/relationships/hyperlink" Target="https://unesdoc.unesco.org/ark:/48223/pf0000378061" TargetMode="External"/><Relationship Id="rId14" Type="http://schemas.openxmlformats.org/officeDocument/2006/relationships/hyperlink" Target="https://uhri.ohchr.org/en/document/1424267b-b6e0-460a-bf6c-94133ea6aa0a" TargetMode="External"/><Relationship Id="rId22" Type="http://schemas.openxmlformats.org/officeDocument/2006/relationships/hyperlink" Target="https://www.esafety.gov.au/sites/default/files/2022-08/Adult%20Australians%20with%20Intellectual%20Disability%20-%20Online%20abuse%20report.pdf?v=1715709157229" TargetMode="External"/><Relationship Id="rId27" Type="http://schemas.openxmlformats.org/officeDocument/2006/relationships/hyperlink" Target="https://www.edf-feph.org/content/uploads/2021/04/EDF-position-and-recommendation-on-hate-speech-and-hate-crime.pdf" TargetMode="External"/><Relationship Id="rId30" Type="http://schemas.openxmlformats.org/officeDocument/2006/relationships/hyperlink" Target="https://www.unwomen.org/en/what-we-do/ending-violence-against-women/faqs/tech-facilitated-gender-based-violence" TargetMode="External"/><Relationship Id="rId35" Type="http://schemas.openxmlformats.org/officeDocument/2006/relationships/hyperlink" Target="https://www.ohchr.org/en/statements/2023/09/cyberbullying-children" TargetMode="External"/><Relationship Id="rId43" Type="http://schemas.openxmlformats.org/officeDocument/2006/relationships/hyperlink" Target="https://unesdoc.unesco.org/ark:/48223/pf0000378061" TargetMode="External"/><Relationship Id="rId48" Type="http://schemas.openxmlformats.org/officeDocument/2006/relationships/hyperlink" Target="https://unesdoc.unesco.org/ark:/48223/pf0000378061" TargetMode="External"/><Relationship Id="rId56" Type="http://schemas.openxmlformats.org/officeDocument/2006/relationships/hyperlink" Target="https://www.unicef.org/end-violence/how-to-stop-cyberbullying" TargetMode="External"/><Relationship Id="rId8" Type="http://schemas.openxmlformats.org/officeDocument/2006/relationships/hyperlink" Target="https://www.edf-feph.org/content/uploads/2021/04/EDF-position-and-recommendation-on-hate-speech-and-hate-crime.pdf" TargetMode="External"/><Relationship Id="rId51" Type="http://schemas.openxmlformats.org/officeDocument/2006/relationships/hyperlink" Target="https://ijnet.org/en/node/8832" TargetMode="External"/><Relationship Id="rId3" Type="http://schemas.openxmlformats.org/officeDocument/2006/relationships/hyperlink" Target="https://www.unicef.org/end-violence/how-to-stop-cyberbullying" TargetMode="External"/><Relationship Id="rId12" Type="http://schemas.openxmlformats.org/officeDocument/2006/relationships/hyperlink" Target="https://uhri.ohchr.org/en/document/c9e91697-16c9-4388-bf3a-fe5516691021" TargetMode="External"/><Relationship Id="rId17" Type="http://schemas.openxmlformats.org/officeDocument/2006/relationships/hyperlink" Target="https://www.ohchr.org/sites/default/files/Documents/Issues/Business/B-Tech/access-to-remedy-perspectives-needs-affected-people.pdf" TargetMode="External"/><Relationship Id="rId25" Type="http://schemas.openxmlformats.org/officeDocument/2006/relationships/hyperlink" Target="https://www.techpolicy.press/internet-privacy-is-a-disability-rights-issue/" TargetMode="External"/><Relationship Id="rId33" Type="http://schemas.openxmlformats.org/officeDocument/2006/relationships/hyperlink" Target="https://www.weforum.org/agenda/2021/09/disability-barrier-to-digital-device-ownership/" TargetMode="External"/><Relationship Id="rId38" Type="http://schemas.openxmlformats.org/officeDocument/2006/relationships/hyperlink" Target="https://www.ncbi.nlm.nih.gov/pmc/articles/PMC7158969/" TargetMode="External"/><Relationship Id="rId46" Type="http://schemas.openxmlformats.org/officeDocument/2006/relationships/hyperlink" Target="https://unesdoc.unesco.org/ark:/48223/pf0000378061" TargetMode="External"/><Relationship Id="rId20" Type="http://schemas.openxmlformats.org/officeDocument/2006/relationships/hyperlink" Target="https://webtv.un.org/en/asset/k1m/k1mo6jr0hn" TargetMode="External"/><Relationship Id="rId41" Type="http://schemas.openxmlformats.org/officeDocument/2006/relationships/hyperlink" Target="https://www.unesco.org/en/articles/new-data-reveal-one-out-three-teens-bullied-worldwide" TargetMode="External"/><Relationship Id="rId54" Type="http://schemas.openxmlformats.org/officeDocument/2006/relationships/hyperlink" Target="https://parispeaceforum.org/initiatives/children-online-protection-lab/" TargetMode="External"/><Relationship Id="rId1" Type="http://schemas.openxmlformats.org/officeDocument/2006/relationships/hyperlink" Target="https://www.ohchr.org/en/calls-for-input/2024/call-input-human-rights-council-resolution-5110-cyberbullying-against-persons" TargetMode="External"/><Relationship Id="rId6" Type="http://schemas.openxmlformats.org/officeDocument/2006/relationships/hyperlink" Target="https://www.ncbi.nlm.nih.gov/pmc/articles/PMC7158969/" TargetMode="External"/><Relationship Id="rId15" Type="http://schemas.openxmlformats.org/officeDocument/2006/relationships/hyperlink" Target="https://www.ohchr.org/en/business-and-human-rights/b-tech-project" TargetMode="External"/><Relationship Id="rId23" Type="http://schemas.openxmlformats.org/officeDocument/2006/relationships/hyperlink" Target="https://www.article19.org/wp-content/uploads/2018/12/Disability_leaflet_English.pdf" TargetMode="External"/><Relationship Id="rId28" Type="http://schemas.openxmlformats.org/officeDocument/2006/relationships/hyperlink" Target="https://www.unwomen.org/en/what-we-do/ending-violence-against-women/faqs/tech-facilitated-gender-based-violence" TargetMode="External"/><Relationship Id="rId36" Type="http://schemas.openxmlformats.org/officeDocument/2006/relationships/hyperlink" Target="https://webtv.un.org/en/asset/k1m/k1mo6jr0hn" TargetMode="External"/><Relationship Id="rId49" Type="http://schemas.openxmlformats.org/officeDocument/2006/relationships/hyperlink" Target="https://www.who.int/news/item/15-11-2023-who-launches-commission-to-foster-social-connection%20-%20:~:text=WHO%20has%20announced%20a%20new%20Commission%20on%20Social,up%20of%20solutions%20in%20countries%20of%20all%20incomes." TargetMode="External"/><Relationship Id="rId57" Type="http://schemas.openxmlformats.org/officeDocument/2006/relationships/hyperlink" Target="https://www.unicef.org/india/press-releases/unicef-and-facebook-collaborate-build-safer-and-healthier-online-experiences" TargetMode="External"/><Relationship Id="rId10" Type="http://schemas.openxmlformats.org/officeDocument/2006/relationships/hyperlink" Target="https://webtv.un.org/en/asset/k1m/k1mo6jr0hn" TargetMode="External"/><Relationship Id="rId31" Type="http://schemas.openxmlformats.org/officeDocument/2006/relationships/hyperlink" Target="https://www.ohchr.org/sites/default/files/documents/hrbodies/cedaw/statements/2022-12-02/EDVAW-Platform-thematic-paper-on-the-digital-dimension-of-VAW_English.pdf" TargetMode="External"/><Relationship Id="rId44" Type="http://schemas.openxmlformats.org/officeDocument/2006/relationships/hyperlink" Target="https://unesdoc.unesco.org/ark:/48223/pf0000378061" TargetMode="External"/><Relationship Id="rId52" Type="http://schemas.openxmlformats.org/officeDocument/2006/relationships/hyperlink" Target="https://www.kivaprogram.net/what-is-ki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66E34-5D06-4847-888C-D8192554A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3D80D-58DD-4925-BDA7-137856BB8895}">
  <ds:schemaRefs>
    <ds:schemaRef ds:uri="http://schemas.microsoft.com/sharepoint/v3/contenttype/forms"/>
  </ds:schemaRefs>
</ds:datastoreItem>
</file>

<file path=customXml/itemProps3.xml><?xml version="1.0" encoding="utf-8"?>
<ds:datastoreItem xmlns:ds="http://schemas.openxmlformats.org/officeDocument/2006/customXml" ds:itemID="{A2C74DC9-6107-4D11-A2B5-BBC79B7F3773}">
  <ds:schemaRefs>
    <ds:schemaRef ds:uri="http://schemas.openxmlformats.org/officeDocument/2006/bibliography"/>
  </ds:schemaRefs>
</ds:datastoreItem>
</file>

<file path=customXml/itemProps4.xml><?xml version="1.0" encoding="utf-8"?>
<ds:datastoreItem xmlns:ds="http://schemas.openxmlformats.org/officeDocument/2006/customXml" ds:itemID="{D74D1038-5455-4B43-8CBD-4263A61E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6779</Words>
  <Characters>41291</Characters>
  <Application>Microsoft Office Word</Application>
  <DocSecurity>0</DocSecurity>
  <Lines>616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2024-07-02T17:16:00Z</dcterms:created>
  <dcterms:modified xsi:type="dcterms:W3CDTF">2024-07-02T17:16:00Z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