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546" w:type="dxa"/>
        <w:tblLayout w:type="fixed"/>
        <w:tblCellMar>
          <w:left w:w="0" w:type="dxa"/>
          <w:right w:w="0" w:type="dxa"/>
        </w:tblCellMar>
        <w:tblLook w:val="01E0" w:firstRow="1" w:lastRow="1" w:firstColumn="1" w:lastColumn="1" w:noHBand="0" w:noVBand="0"/>
      </w:tblPr>
      <w:tblGrid>
        <w:gridCol w:w="1259"/>
        <w:gridCol w:w="2143"/>
        <w:gridCol w:w="3214"/>
        <w:gridCol w:w="2930"/>
      </w:tblGrid>
      <w:tr w:rsidR="00963CBA" w:rsidRPr="000328F5" w14:paraId="46F7695C" w14:textId="77777777" w:rsidTr="00E444D5">
        <w:trPr>
          <w:trHeight w:val="851"/>
        </w:trPr>
        <w:tc>
          <w:tcPr>
            <w:tcW w:w="1259" w:type="dxa"/>
            <w:tcBorders>
              <w:top w:val="nil"/>
              <w:left w:val="nil"/>
              <w:bottom w:val="single" w:sz="4" w:space="0" w:color="auto"/>
              <w:right w:val="nil"/>
            </w:tcBorders>
          </w:tcPr>
          <w:p w14:paraId="3162F9ED" w14:textId="77777777" w:rsidR="00446DE4" w:rsidRPr="000328F5" w:rsidRDefault="00446DE4" w:rsidP="0043536E">
            <w:pPr>
              <w:spacing w:after="80" w:line="340" w:lineRule="exact"/>
            </w:pPr>
          </w:p>
        </w:tc>
        <w:tc>
          <w:tcPr>
            <w:tcW w:w="2143" w:type="dxa"/>
            <w:tcBorders>
              <w:top w:val="nil"/>
              <w:left w:val="nil"/>
              <w:bottom w:val="single" w:sz="4" w:space="0" w:color="auto"/>
              <w:right w:val="nil"/>
            </w:tcBorders>
            <w:vAlign w:val="bottom"/>
          </w:tcPr>
          <w:p w14:paraId="3D1AB8DD" w14:textId="6E0C4561" w:rsidR="00446DE4" w:rsidRPr="000328F5" w:rsidRDefault="00446DE4" w:rsidP="00E444D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532BFDD" w14:textId="67CE848F" w:rsidR="00446DE4" w:rsidRPr="000328F5" w:rsidRDefault="00E444D5" w:rsidP="0043536E">
            <w:pPr>
              <w:spacing w:line="240" w:lineRule="auto"/>
              <w:jc w:val="right"/>
            </w:pPr>
            <w:r>
              <w:rPr>
                <w:sz w:val="28"/>
              </w:rPr>
              <w:t>A/HRC/56/63</w:t>
            </w:r>
          </w:p>
        </w:tc>
      </w:tr>
      <w:tr w:rsidR="003107FA" w:rsidRPr="000328F5" w14:paraId="754F6BEE" w14:textId="77777777" w:rsidTr="00E444D5">
        <w:trPr>
          <w:trHeight w:val="2835"/>
        </w:trPr>
        <w:tc>
          <w:tcPr>
            <w:tcW w:w="1259" w:type="dxa"/>
            <w:tcBorders>
              <w:top w:val="single" w:sz="4" w:space="0" w:color="auto"/>
              <w:left w:val="nil"/>
              <w:bottom w:val="single" w:sz="12" w:space="0" w:color="auto"/>
              <w:right w:val="nil"/>
            </w:tcBorders>
          </w:tcPr>
          <w:p w14:paraId="1C91D3BA" w14:textId="13ADCADE" w:rsidR="003107FA" w:rsidRPr="000328F5" w:rsidRDefault="003107FA" w:rsidP="0043536E">
            <w:pPr>
              <w:spacing w:before="120"/>
              <w:jc w:val="center"/>
            </w:pPr>
          </w:p>
        </w:tc>
        <w:tc>
          <w:tcPr>
            <w:tcW w:w="5357" w:type="dxa"/>
            <w:gridSpan w:val="2"/>
            <w:tcBorders>
              <w:top w:val="single" w:sz="4" w:space="0" w:color="auto"/>
              <w:left w:val="nil"/>
              <w:bottom w:val="single" w:sz="12" w:space="0" w:color="auto"/>
              <w:right w:val="nil"/>
            </w:tcBorders>
          </w:tcPr>
          <w:p w14:paraId="2174503A" w14:textId="406C3EB0" w:rsidR="003107FA" w:rsidRPr="000328F5" w:rsidRDefault="00E444D5" w:rsidP="0043536E">
            <w:pPr>
              <w:spacing w:before="120" w:line="420" w:lineRule="exact"/>
              <w:rPr>
                <w:b/>
                <w:sz w:val="40"/>
                <w:szCs w:val="40"/>
              </w:rPr>
            </w:pPr>
            <w:proofErr w:type="spellStart"/>
            <w:r>
              <w:rPr>
                <w:b/>
                <w:sz w:val="40"/>
                <w:szCs w:val="40"/>
              </w:rPr>
              <w:t>Unofficial</w:t>
            </w:r>
            <w:proofErr w:type="spellEnd"/>
            <w:r>
              <w:rPr>
                <w:b/>
                <w:sz w:val="40"/>
                <w:szCs w:val="40"/>
              </w:rPr>
              <w:t xml:space="preserve"> </w:t>
            </w:r>
            <w:proofErr w:type="spellStart"/>
            <w:r>
              <w:rPr>
                <w:b/>
                <w:sz w:val="40"/>
                <w:szCs w:val="40"/>
              </w:rPr>
              <w:t>spanish</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063689C1" w14:textId="77777777" w:rsidR="003107FA" w:rsidRPr="000328F5" w:rsidRDefault="003107FA" w:rsidP="0043536E"/>
        </w:tc>
      </w:tr>
    </w:tbl>
    <w:p w14:paraId="2217B69A" w14:textId="77777777" w:rsidR="00E444D5" w:rsidRPr="006C16EA" w:rsidRDefault="00E444D5" w:rsidP="00E444D5">
      <w:pPr>
        <w:spacing w:before="120"/>
        <w:rPr>
          <w:rFonts w:asciiTheme="majorBidi" w:eastAsia="Calibri" w:hAnsiTheme="majorBidi" w:cstheme="majorBidi"/>
          <w:b/>
          <w:bCs/>
          <w:sz w:val="24"/>
          <w:szCs w:val="24"/>
          <w:lang w:val="en-GB"/>
        </w:rPr>
      </w:pPr>
      <w:proofErr w:type="spellStart"/>
      <w:r>
        <w:rPr>
          <w:rFonts w:asciiTheme="majorBidi" w:eastAsia="Calibri" w:hAnsiTheme="majorBidi" w:cstheme="majorBidi"/>
          <w:b/>
          <w:bCs/>
          <w:sz w:val="24"/>
          <w:szCs w:val="24"/>
          <w:lang w:val="en-GB"/>
        </w:rPr>
        <w:t>Consejo</w:t>
      </w:r>
      <w:proofErr w:type="spellEnd"/>
      <w:r>
        <w:rPr>
          <w:rFonts w:asciiTheme="majorBidi" w:eastAsia="Calibri" w:hAnsiTheme="majorBidi" w:cstheme="majorBidi"/>
          <w:b/>
          <w:bCs/>
          <w:sz w:val="24"/>
          <w:szCs w:val="24"/>
          <w:lang w:val="en-GB"/>
        </w:rPr>
        <w:t xml:space="preserve"> de </w:t>
      </w:r>
      <w:proofErr w:type="spellStart"/>
      <w:r>
        <w:rPr>
          <w:rFonts w:asciiTheme="majorBidi" w:eastAsia="Calibri" w:hAnsiTheme="majorBidi" w:cstheme="majorBidi"/>
          <w:b/>
          <w:bCs/>
          <w:sz w:val="24"/>
          <w:szCs w:val="24"/>
          <w:lang w:val="en-GB"/>
        </w:rPr>
        <w:t>Derechos</w:t>
      </w:r>
      <w:proofErr w:type="spellEnd"/>
      <w:r>
        <w:rPr>
          <w:rFonts w:asciiTheme="majorBidi" w:eastAsia="Calibri" w:hAnsiTheme="majorBidi" w:cstheme="majorBidi"/>
          <w:b/>
          <w:bCs/>
          <w:sz w:val="24"/>
          <w:szCs w:val="24"/>
          <w:lang w:val="en-GB"/>
        </w:rPr>
        <w:t xml:space="preserve"> Humanos</w:t>
      </w:r>
    </w:p>
    <w:p w14:paraId="02C4E906" w14:textId="77777777" w:rsidR="00E444D5" w:rsidRDefault="00E444D5" w:rsidP="00E444D5">
      <w:pPr>
        <w:kinsoku w:val="0"/>
        <w:overflowPunct w:val="0"/>
        <w:autoSpaceDE w:val="0"/>
        <w:autoSpaceDN w:val="0"/>
        <w:adjustRightInd w:val="0"/>
        <w:snapToGrid w:val="0"/>
        <w:rPr>
          <w:rFonts w:asciiTheme="majorBidi" w:eastAsia="Calibri" w:hAnsiTheme="majorBidi" w:cstheme="majorBidi"/>
          <w:b/>
          <w:bCs/>
          <w:lang w:val="en-GB"/>
        </w:rPr>
      </w:pPr>
      <w:proofErr w:type="spellStart"/>
      <w:r w:rsidRPr="003467F3">
        <w:rPr>
          <w:rFonts w:asciiTheme="majorBidi" w:eastAsia="Calibri" w:hAnsiTheme="majorBidi" w:cstheme="majorBidi"/>
          <w:b/>
          <w:bCs/>
          <w:lang w:val="en-GB"/>
        </w:rPr>
        <w:t>Quincuagésimo</w:t>
      </w:r>
      <w:proofErr w:type="spellEnd"/>
      <w:r w:rsidRPr="003467F3">
        <w:rPr>
          <w:rFonts w:asciiTheme="majorBidi" w:eastAsia="Calibri" w:hAnsiTheme="majorBidi" w:cstheme="majorBidi"/>
          <w:b/>
          <w:bCs/>
          <w:lang w:val="en-GB"/>
        </w:rPr>
        <w:t xml:space="preserve"> sexto </w:t>
      </w:r>
      <w:proofErr w:type="spellStart"/>
      <w:r w:rsidRPr="003467F3">
        <w:rPr>
          <w:rFonts w:asciiTheme="majorBidi" w:eastAsia="Calibri" w:hAnsiTheme="majorBidi" w:cstheme="majorBidi"/>
          <w:b/>
          <w:bCs/>
          <w:lang w:val="en-GB"/>
        </w:rPr>
        <w:t>período</w:t>
      </w:r>
      <w:proofErr w:type="spellEnd"/>
      <w:r w:rsidRPr="003467F3">
        <w:rPr>
          <w:rFonts w:asciiTheme="majorBidi" w:eastAsia="Calibri" w:hAnsiTheme="majorBidi" w:cstheme="majorBidi"/>
          <w:b/>
          <w:bCs/>
          <w:lang w:val="en-GB"/>
        </w:rPr>
        <w:t xml:space="preserve"> de </w:t>
      </w:r>
      <w:proofErr w:type="spellStart"/>
      <w:r w:rsidRPr="003467F3">
        <w:rPr>
          <w:rFonts w:asciiTheme="majorBidi" w:eastAsia="Calibri" w:hAnsiTheme="majorBidi" w:cstheme="majorBidi"/>
          <w:b/>
          <w:bCs/>
          <w:lang w:val="en-GB"/>
        </w:rPr>
        <w:t>sesiones</w:t>
      </w:r>
      <w:proofErr w:type="spellEnd"/>
    </w:p>
    <w:p w14:paraId="572C2BB3" w14:textId="77777777" w:rsidR="00E444D5" w:rsidRPr="006C16EA" w:rsidRDefault="00E444D5" w:rsidP="00E444D5">
      <w:pPr>
        <w:kinsoku w:val="0"/>
        <w:overflowPunct w:val="0"/>
        <w:autoSpaceDE w:val="0"/>
        <w:autoSpaceDN w:val="0"/>
        <w:adjustRightInd w:val="0"/>
        <w:snapToGrid w:val="0"/>
        <w:rPr>
          <w:rFonts w:asciiTheme="majorBidi" w:eastAsia="Calibri" w:hAnsiTheme="majorBidi" w:cstheme="majorBidi"/>
          <w:lang w:val="en-GB"/>
        </w:rPr>
      </w:pPr>
      <w:r w:rsidRPr="006C16EA">
        <w:rPr>
          <w:rFonts w:asciiTheme="majorBidi" w:eastAsia="Calibri" w:hAnsiTheme="majorBidi" w:cstheme="majorBidi"/>
          <w:lang w:val="en-GB"/>
        </w:rPr>
        <w:t xml:space="preserve">18 </w:t>
      </w:r>
      <w:r>
        <w:rPr>
          <w:rFonts w:asciiTheme="majorBidi" w:eastAsia="Calibri" w:hAnsiTheme="majorBidi" w:cstheme="majorBidi"/>
          <w:lang w:val="en-GB"/>
        </w:rPr>
        <w:t xml:space="preserve">de </w:t>
      </w:r>
      <w:proofErr w:type="spellStart"/>
      <w:r>
        <w:rPr>
          <w:rFonts w:asciiTheme="majorBidi" w:eastAsia="Calibri" w:hAnsiTheme="majorBidi" w:cstheme="majorBidi"/>
          <w:lang w:val="en-GB"/>
        </w:rPr>
        <w:t>junio</w:t>
      </w:r>
      <w:proofErr w:type="spellEnd"/>
      <w:r w:rsidRPr="006C16EA">
        <w:rPr>
          <w:rFonts w:asciiTheme="majorBidi" w:eastAsia="Calibri" w:hAnsiTheme="majorBidi" w:cstheme="majorBidi"/>
          <w:lang w:val="en-GB"/>
        </w:rPr>
        <w:t xml:space="preserve">–12 </w:t>
      </w:r>
      <w:r>
        <w:rPr>
          <w:rFonts w:asciiTheme="majorBidi" w:eastAsia="Calibri" w:hAnsiTheme="majorBidi" w:cstheme="majorBidi"/>
          <w:lang w:val="en-GB"/>
        </w:rPr>
        <w:t xml:space="preserve">de </w:t>
      </w:r>
      <w:proofErr w:type="spellStart"/>
      <w:r>
        <w:rPr>
          <w:rFonts w:asciiTheme="majorBidi" w:eastAsia="Calibri" w:hAnsiTheme="majorBidi" w:cstheme="majorBidi"/>
          <w:lang w:val="en-GB"/>
        </w:rPr>
        <w:t>julio</w:t>
      </w:r>
      <w:proofErr w:type="spellEnd"/>
      <w:r w:rsidRPr="006C16EA">
        <w:rPr>
          <w:rFonts w:asciiTheme="majorBidi" w:eastAsia="Calibri" w:hAnsiTheme="majorBidi" w:cstheme="majorBidi"/>
          <w:lang w:val="en-GB"/>
        </w:rPr>
        <w:t xml:space="preserve"> 2024</w:t>
      </w:r>
    </w:p>
    <w:p w14:paraId="5495456D" w14:textId="55FDA946" w:rsidR="00E444D5" w:rsidRPr="006C16EA" w:rsidRDefault="00E444D5" w:rsidP="00E444D5">
      <w:pPr>
        <w:kinsoku w:val="0"/>
        <w:overflowPunct w:val="0"/>
        <w:autoSpaceDE w:val="0"/>
        <w:autoSpaceDN w:val="0"/>
        <w:adjustRightInd w:val="0"/>
        <w:snapToGrid w:val="0"/>
        <w:rPr>
          <w:rFonts w:asciiTheme="majorBidi" w:eastAsia="Calibri" w:hAnsiTheme="majorBidi" w:cstheme="majorBidi"/>
          <w:lang w:val="en-GB"/>
        </w:rPr>
      </w:pPr>
      <w:r>
        <w:rPr>
          <w:rFonts w:asciiTheme="majorBidi" w:eastAsia="Calibri" w:hAnsiTheme="majorBidi" w:cstheme="majorBidi"/>
          <w:lang w:val="en-GB"/>
        </w:rPr>
        <w:t>Items 2 and 4</w:t>
      </w:r>
    </w:p>
    <w:p w14:paraId="7D953771" w14:textId="4CAC3ABE" w:rsidR="00E444D5" w:rsidRDefault="00E444D5" w:rsidP="00E444D5">
      <w:pPr>
        <w:rPr>
          <w:rFonts w:asciiTheme="majorBidi" w:hAnsiTheme="majorBidi" w:cstheme="majorBidi"/>
          <w:b/>
          <w:bCs/>
          <w:lang w:val="es-ES_tradnl"/>
        </w:rPr>
      </w:pPr>
      <w:r w:rsidRPr="00510138">
        <w:rPr>
          <w:rFonts w:asciiTheme="majorBidi" w:hAnsiTheme="majorBidi" w:cstheme="majorBidi"/>
          <w:b/>
          <w:bCs/>
          <w:lang w:val="es-ES_tradnl"/>
        </w:rPr>
        <w:t xml:space="preserve">Informe </w:t>
      </w:r>
      <w:proofErr w:type="spellStart"/>
      <w:r w:rsidRPr="00510138">
        <w:rPr>
          <w:rFonts w:asciiTheme="majorBidi" w:hAnsiTheme="majorBidi" w:cstheme="majorBidi"/>
          <w:b/>
          <w:bCs/>
          <w:lang w:val="es-ES_tradnl"/>
        </w:rPr>
        <w:t>annual</w:t>
      </w:r>
      <w:proofErr w:type="spellEnd"/>
      <w:r w:rsidRPr="00510138">
        <w:rPr>
          <w:rFonts w:asciiTheme="majorBidi" w:hAnsiTheme="majorBidi" w:cstheme="majorBidi"/>
          <w:b/>
          <w:bCs/>
          <w:lang w:val="es-ES_tradnl"/>
        </w:rPr>
        <w:t xml:space="preserve"> del Alto Comisionado de las </w:t>
      </w:r>
      <w:proofErr w:type="spellStart"/>
      <w:r w:rsidRPr="00510138">
        <w:rPr>
          <w:rFonts w:asciiTheme="majorBidi" w:hAnsiTheme="majorBidi" w:cstheme="majorBidi"/>
          <w:b/>
          <w:bCs/>
          <w:lang w:val="es-ES_tradnl"/>
        </w:rPr>
        <w:t>Nacione</w:t>
      </w:r>
      <w:proofErr w:type="spellEnd"/>
      <w:r>
        <w:rPr>
          <w:rFonts w:asciiTheme="majorBidi" w:hAnsiTheme="majorBidi" w:cstheme="majorBidi"/>
          <w:b/>
          <w:bCs/>
          <w:lang w:val="es-ES_tradnl"/>
        </w:rPr>
        <w:br/>
      </w:r>
      <w:r w:rsidRPr="00510138">
        <w:rPr>
          <w:rFonts w:asciiTheme="majorBidi" w:hAnsiTheme="majorBidi" w:cstheme="majorBidi"/>
          <w:b/>
          <w:bCs/>
          <w:lang w:val="es-ES_tradnl"/>
        </w:rPr>
        <w:t>s Unidas sobre los Derechos Humanos e informes</w:t>
      </w:r>
      <w:r>
        <w:rPr>
          <w:rFonts w:asciiTheme="majorBidi" w:hAnsiTheme="majorBidi" w:cstheme="majorBidi"/>
          <w:b/>
          <w:bCs/>
          <w:lang w:val="es-ES_tradnl"/>
        </w:rPr>
        <w:br/>
      </w:r>
      <w:r w:rsidRPr="00510138">
        <w:rPr>
          <w:rFonts w:asciiTheme="majorBidi" w:hAnsiTheme="majorBidi" w:cstheme="majorBidi"/>
          <w:b/>
          <w:bCs/>
          <w:lang w:val="es-ES_tradnl"/>
        </w:rPr>
        <w:t xml:space="preserve"> de la Oficina del Alto Comisionado y el </w:t>
      </w:r>
      <w:proofErr w:type="gramStart"/>
      <w:r w:rsidRPr="00510138">
        <w:rPr>
          <w:rFonts w:asciiTheme="majorBidi" w:hAnsiTheme="majorBidi" w:cstheme="majorBidi"/>
          <w:b/>
          <w:bCs/>
          <w:lang w:val="es-ES_tradnl"/>
        </w:rPr>
        <w:t>Secretario General</w:t>
      </w:r>
      <w:proofErr w:type="gramEnd"/>
      <w:r w:rsidRPr="00510138">
        <w:rPr>
          <w:rFonts w:asciiTheme="majorBidi" w:hAnsiTheme="majorBidi" w:cstheme="majorBidi"/>
          <w:b/>
          <w:bCs/>
          <w:lang w:val="es-ES_tradnl"/>
        </w:rPr>
        <w:t xml:space="preserve">. </w:t>
      </w:r>
    </w:p>
    <w:p w14:paraId="607CE9E0" w14:textId="77777777" w:rsidR="00E444D5" w:rsidRDefault="00E444D5" w:rsidP="00E444D5">
      <w:pPr>
        <w:rPr>
          <w:rFonts w:asciiTheme="majorBidi" w:hAnsiTheme="majorBidi" w:cstheme="majorBidi"/>
          <w:b/>
          <w:bCs/>
          <w:lang w:val="es-ES_tradnl"/>
        </w:rPr>
      </w:pPr>
    </w:p>
    <w:p w14:paraId="33253215" w14:textId="77777777" w:rsidR="00E444D5" w:rsidRDefault="00E444D5" w:rsidP="00E444D5">
      <w:pPr>
        <w:rPr>
          <w:rFonts w:asciiTheme="majorBidi" w:hAnsiTheme="majorBidi" w:cstheme="majorBidi"/>
          <w:b/>
          <w:bCs/>
          <w:lang w:val="es-ES_tradnl"/>
        </w:rPr>
      </w:pPr>
      <w:r>
        <w:rPr>
          <w:rFonts w:asciiTheme="majorBidi" w:hAnsiTheme="majorBidi" w:cstheme="majorBidi"/>
          <w:b/>
          <w:bCs/>
          <w:lang w:val="es-ES_tradnl"/>
        </w:rPr>
        <w:t>Situaciones de derechos humanos que requieren la atención del Consejo</w:t>
      </w:r>
    </w:p>
    <w:p w14:paraId="34FF2533" w14:textId="77777777" w:rsidR="00E444D5" w:rsidRDefault="00E444D5" w:rsidP="00E444D5">
      <w:pPr>
        <w:rPr>
          <w:rFonts w:asciiTheme="majorBidi" w:hAnsiTheme="majorBidi" w:cstheme="majorBidi"/>
          <w:b/>
          <w:bCs/>
          <w:lang w:val="es-ES_tradnl"/>
        </w:rPr>
      </w:pPr>
    </w:p>
    <w:p w14:paraId="3B42D9A3" w14:textId="43447C8D" w:rsidR="00E444D5" w:rsidRPr="008E6A8B" w:rsidRDefault="00E444D5" w:rsidP="00E444D5">
      <w:pPr>
        <w:pStyle w:val="HChG"/>
        <w:rPr>
          <w:rFonts w:eastAsia="Calibri"/>
          <w:lang w:val="es-ES_tradnl"/>
        </w:rPr>
      </w:pPr>
      <w:r>
        <w:rPr>
          <w:rFonts w:eastAsia="Calibri"/>
          <w:lang w:val="es-ES_tradnl"/>
        </w:rPr>
        <w:tab/>
      </w:r>
      <w:r>
        <w:rPr>
          <w:rFonts w:eastAsia="Calibri"/>
          <w:lang w:val="es-ES_tradnl"/>
        </w:rPr>
        <w:tab/>
      </w:r>
      <w:r w:rsidRPr="008E6A8B">
        <w:rPr>
          <w:rFonts w:eastAsia="Calibri"/>
          <w:lang w:val="es-ES_tradnl"/>
        </w:rPr>
        <w:t>Situación de los derechos humanos en la República Bolivariana de Venezuela</w:t>
      </w:r>
    </w:p>
    <w:p w14:paraId="0EA42054" w14:textId="07C25549" w:rsidR="00E444D5" w:rsidRPr="008E6A8B" w:rsidRDefault="00E444D5" w:rsidP="00E444D5">
      <w:pPr>
        <w:pStyle w:val="H1G"/>
        <w:rPr>
          <w:lang w:val="es-ES_tradnl"/>
        </w:rPr>
      </w:pPr>
      <w:r>
        <w:rPr>
          <w:rFonts w:eastAsia="Calibri"/>
          <w:lang w:val="es-ES_tradnl"/>
        </w:rPr>
        <w:tab/>
      </w:r>
      <w:r>
        <w:rPr>
          <w:rFonts w:eastAsia="Calibri"/>
          <w:lang w:val="es-ES_tradnl"/>
        </w:rPr>
        <w:tab/>
      </w:r>
      <w:r w:rsidRPr="008E6A8B">
        <w:rPr>
          <w:rFonts w:eastAsia="Calibri"/>
          <w:lang w:val="es-ES_tradnl"/>
        </w:rPr>
        <w:t>Informe de</w:t>
      </w:r>
      <w:r>
        <w:rPr>
          <w:rFonts w:eastAsia="Calibri"/>
          <w:lang w:val="es-ES_tradnl"/>
        </w:rPr>
        <w:t>l</w:t>
      </w:r>
      <w:r w:rsidRPr="008E6A8B">
        <w:rPr>
          <w:rFonts w:eastAsia="Calibri"/>
          <w:lang w:val="es-ES_tradnl"/>
        </w:rPr>
        <w:t xml:space="preserve"> Alt</w:t>
      </w:r>
      <w:r>
        <w:rPr>
          <w:rFonts w:eastAsia="Calibri"/>
          <w:lang w:val="es-ES_tradnl"/>
        </w:rPr>
        <w:t>o</w:t>
      </w:r>
      <w:r w:rsidRPr="008E6A8B">
        <w:rPr>
          <w:rFonts w:eastAsia="Calibri"/>
          <w:lang w:val="es-ES_tradnl"/>
        </w:rPr>
        <w:t xml:space="preserve"> Comisionad</w:t>
      </w:r>
      <w:r>
        <w:rPr>
          <w:rFonts w:eastAsia="Calibri"/>
          <w:lang w:val="es-ES_tradnl"/>
        </w:rPr>
        <w:t>o</w:t>
      </w:r>
      <w:r w:rsidRPr="008E6A8B">
        <w:rPr>
          <w:rFonts w:eastAsia="Calibri"/>
          <w:lang w:val="es-ES_tradnl"/>
        </w:rPr>
        <w:t xml:space="preserve"> de las Naciones Unidas para los Derechos Humanos</w:t>
      </w:r>
      <w:r w:rsidRPr="008E6A8B">
        <w:rPr>
          <w:rFonts w:eastAsia="Calibri"/>
          <w:sz w:val="20"/>
          <w:vertAlign w:val="superscript"/>
          <w:lang w:val="es-ES_tradnl"/>
        </w:rPr>
        <w:footnoteReference w:customMarkFollows="1" w:id="2"/>
        <w:t>*</w:t>
      </w:r>
      <w:r w:rsidRPr="008E6A8B">
        <w:rPr>
          <w:rFonts w:eastAsia="Calibri"/>
          <w:position w:val="6"/>
          <w:sz w:val="20"/>
          <w:vertAlign w:val="superscript"/>
          <w:lang w:val="es-ES_tradnl"/>
        </w:rPr>
        <w:t xml:space="preserve">, </w:t>
      </w:r>
      <w:r w:rsidRPr="008E6A8B">
        <w:rPr>
          <w:rFonts w:eastAsia="Calibri"/>
          <w:sz w:val="20"/>
          <w:vertAlign w:val="superscript"/>
          <w:lang w:val="es-ES_tradnl"/>
        </w:rPr>
        <w:footnoteReference w:customMarkFollows="1" w:id="3"/>
        <w:t>**</w:t>
      </w:r>
      <w:r w:rsidRPr="008E6A8B">
        <w:rPr>
          <w:rFonts w:eastAsia="Calibri"/>
          <w:position w:val="6"/>
          <w:sz w:val="20"/>
          <w:vertAlign w:val="superscript"/>
          <w:lang w:val="es-ES_tradnl"/>
        </w:rPr>
        <w:t>,</w:t>
      </w:r>
      <w:r w:rsidRPr="008E6A8B">
        <w:rPr>
          <w:rFonts w:eastAsia="Calibri"/>
          <w:sz w:val="20"/>
          <w:vertAlign w:val="superscript"/>
          <w:lang w:val="es-ES_tradnl"/>
        </w:rPr>
        <w:t xml:space="preserve"> </w:t>
      </w:r>
      <w:r w:rsidRPr="008E6A8B">
        <w:rPr>
          <w:rFonts w:eastAsia="Calibri"/>
          <w:sz w:val="20"/>
          <w:vertAlign w:val="superscript"/>
          <w:lang w:val="es-ES_tradnl"/>
        </w:rPr>
        <w:footnoteReference w:customMarkFollows="1" w:id="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E444D5" w:rsidRPr="006C16EA" w14:paraId="3F847DA2" w14:textId="77777777" w:rsidTr="00F70E5B">
        <w:trPr>
          <w:jc w:val="center"/>
        </w:trPr>
        <w:tc>
          <w:tcPr>
            <w:tcW w:w="9629" w:type="dxa"/>
            <w:tcBorders>
              <w:bottom w:val="nil"/>
            </w:tcBorders>
            <w:shd w:val="clear" w:color="auto" w:fill="auto"/>
          </w:tcPr>
          <w:p w14:paraId="4978EF63" w14:textId="77777777" w:rsidR="00E444D5" w:rsidRPr="006C16EA" w:rsidRDefault="00E444D5" w:rsidP="00F70E5B">
            <w:pPr>
              <w:tabs>
                <w:tab w:val="left" w:pos="255"/>
              </w:tabs>
              <w:kinsoku w:val="0"/>
              <w:overflowPunct w:val="0"/>
              <w:autoSpaceDE w:val="0"/>
              <w:autoSpaceDN w:val="0"/>
              <w:adjustRightInd w:val="0"/>
              <w:snapToGrid w:val="0"/>
              <w:spacing w:before="240"/>
              <w:ind w:left="255"/>
              <w:rPr>
                <w:rFonts w:asciiTheme="majorBidi" w:eastAsia="Calibri" w:hAnsiTheme="majorBidi" w:cstheme="majorBidi"/>
                <w:sz w:val="24"/>
                <w:szCs w:val="24"/>
                <w:lang w:val="en-GB"/>
              </w:rPr>
            </w:pPr>
            <w:proofErr w:type="spellStart"/>
            <w:r>
              <w:rPr>
                <w:rFonts w:asciiTheme="majorBidi" w:eastAsia="Calibri" w:hAnsiTheme="majorBidi" w:cstheme="majorBidi"/>
                <w:i/>
                <w:sz w:val="24"/>
                <w:szCs w:val="24"/>
                <w:lang w:val="en-GB"/>
              </w:rPr>
              <w:t>Resumen</w:t>
            </w:r>
            <w:proofErr w:type="spellEnd"/>
          </w:p>
        </w:tc>
      </w:tr>
      <w:tr w:rsidR="00E444D5" w:rsidRPr="00C264FB" w14:paraId="6E28CC28" w14:textId="77777777" w:rsidTr="00F70E5B">
        <w:trPr>
          <w:jc w:val="center"/>
        </w:trPr>
        <w:tc>
          <w:tcPr>
            <w:tcW w:w="9629" w:type="dxa"/>
            <w:tcBorders>
              <w:top w:val="nil"/>
              <w:bottom w:val="nil"/>
            </w:tcBorders>
            <w:shd w:val="clear" w:color="auto" w:fill="auto"/>
          </w:tcPr>
          <w:p w14:paraId="58D4936E" w14:textId="77777777" w:rsidR="00E444D5" w:rsidRPr="00084007" w:rsidRDefault="00E444D5" w:rsidP="00F70E5B">
            <w:pPr>
              <w:ind w:left="1134" w:right="1134" w:firstLine="567"/>
              <w:rPr>
                <w:rFonts w:asciiTheme="majorBidi" w:eastAsia="Calibri" w:hAnsiTheme="majorBidi" w:cstheme="majorBidi"/>
                <w:lang w:val="es-ES_tradnl"/>
              </w:rPr>
            </w:pPr>
            <w:r w:rsidRPr="00084007">
              <w:rPr>
                <w:rFonts w:asciiTheme="majorBidi" w:eastAsia="Calibri" w:hAnsiTheme="majorBidi" w:cstheme="majorBidi"/>
                <w:lang w:val="es-ES_tradnl"/>
              </w:rPr>
              <w:t xml:space="preserve">De conformidad con la resolución 51/29 del Consejo de Derechos Humanos, en el presente </w:t>
            </w:r>
            <w:r>
              <w:rPr>
                <w:rFonts w:asciiTheme="majorBidi" w:eastAsia="Calibri" w:hAnsiTheme="majorBidi" w:cstheme="majorBidi"/>
                <w:lang w:val="es-ES_tradnl"/>
              </w:rPr>
              <w:t xml:space="preserve">el Alto </w:t>
            </w:r>
            <w:r w:rsidRPr="00084007">
              <w:rPr>
                <w:rFonts w:asciiTheme="majorBidi" w:eastAsia="Calibri" w:hAnsiTheme="majorBidi" w:cstheme="majorBidi"/>
                <w:lang w:val="es-ES_tradnl"/>
              </w:rPr>
              <w:t>Comisionad</w:t>
            </w:r>
            <w:r>
              <w:rPr>
                <w:rFonts w:asciiTheme="majorBidi" w:eastAsia="Calibri" w:hAnsiTheme="majorBidi" w:cstheme="majorBidi"/>
                <w:lang w:val="es-ES_tradnl"/>
              </w:rPr>
              <w:t>o</w:t>
            </w:r>
            <w:r w:rsidRPr="00084007">
              <w:rPr>
                <w:rFonts w:asciiTheme="majorBidi" w:eastAsia="Calibri" w:hAnsiTheme="majorBidi" w:cstheme="majorBidi"/>
                <w:lang w:val="es-ES_tradnl"/>
              </w:rPr>
              <w:t xml:space="preserve"> de las Naciones Unidas para los Derechos Humanos</w:t>
            </w:r>
            <w:r>
              <w:rPr>
                <w:rFonts w:asciiTheme="majorBidi" w:eastAsia="Calibri" w:hAnsiTheme="majorBidi" w:cstheme="majorBidi"/>
                <w:lang w:val="es-ES_tradnl"/>
              </w:rPr>
              <w:t xml:space="preserve"> </w:t>
            </w:r>
            <w:r w:rsidRPr="00084007">
              <w:rPr>
                <w:rFonts w:asciiTheme="majorBidi" w:eastAsia="Calibri" w:hAnsiTheme="majorBidi" w:cstheme="majorBidi"/>
                <w:lang w:val="es-ES_tradnl"/>
              </w:rPr>
              <w:t xml:space="preserve">se centra en los últimos acontecimientos relacionados con los derechos económicos, sociales y culturales y el derecho a un medio ambiente sano, el estado de derecho y el espacio cívico, así como en el nivel de aplicación de las recomendaciones correspondientes formuladas anteriormente por su Oficina a la República Bolivariana de </w:t>
            </w:r>
            <w:proofErr w:type="gramStart"/>
            <w:r w:rsidRPr="00084007">
              <w:rPr>
                <w:rFonts w:asciiTheme="majorBidi" w:eastAsia="Calibri" w:hAnsiTheme="majorBidi" w:cstheme="majorBidi"/>
                <w:lang w:val="es-ES_tradnl"/>
              </w:rPr>
              <w:t>Venezuela..</w:t>
            </w:r>
            <w:proofErr w:type="gramEnd"/>
          </w:p>
        </w:tc>
      </w:tr>
      <w:tr w:rsidR="00E444D5" w:rsidRPr="00C264FB" w14:paraId="1389EE7F" w14:textId="77777777" w:rsidTr="00F70E5B">
        <w:trPr>
          <w:jc w:val="center"/>
        </w:trPr>
        <w:tc>
          <w:tcPr>
            <w:tcW w:w="9629" w:type="dxa"/>
            <w:tcBorders>
              <w:top w:val="nil"/>
            </w:tcBorders>
            <w:shd w:val="clear" w:color="auto" w:fill="auto"/>
          </w:tcPr>
          <w:p w14:paraId="2E2D1BA2" w14:textId="77777777" w:rsidR="00E444D5" w:rsidRPr="00084007" w:rsidRDefault="00E444D5" w:rsidP="00F70E5B">
            <w:pPr>
              <w:kinsoku w:val="0"/>
              <w:overflowPunct w:val="0"/>
              <w:autoSpaceDE w:val="0"/>
              <w:autoSpaceDN w:val="0"/>
              <w:adjustRightInd w:val="0"/>
              <w:snapToGrid w:val="0"/>
              <w:jc w:val="center"/>
              <w:rPr>
                <w:rFonts w:asciiTheme="majorBidi" w:eastAsia="Calibri" w:hAnsiTheme="majorBidi" w:cstheme="majorBidi"/>
                <w:lang w:val="es-ES_tradnl"/>
              </w:rPr>
            </w:pPr>
          </w:p>
        </w:tc>
      </w:tr>
    </w:tbl>
    <w:p w14:paraId="2D8F2D0B" w14:textId="77777777" w:rsidR="00E444D5" w:rsidRPr="00084007" w:rsidRDefault="00E444D5" w:rsidP="00E444D5">
      <w:pPr>
        <w:rPr>
          <w:rFonts w:asciiTheme="majorBidi" w:hAnsiTheme="majorBidi" w:cstheme="majorBidi"/>
          <w:lang w:val="es-ES_tradnl"/>
        </w:rPr>
      </w:pPr>
    </w:p>
    <w:p w14:paraId="68BFCD98" w14:textId="77777777" w:rsidR="00E444D5" w:rsidRPr="00084007" w:rsidRDefault="00E444D5" w:rsidP="00E444D5">
      <w:pPr>
        <w:spacing w:line="259" w:lineRule="auto"/>
        <w:ind w:left="1134"/>
        <w:rPr>
          <w:rFonts w:asciiTheme="majorBidi" w:hAnsiTheme="majorBidi" w:cstheme="majorBidi"/>
          <w:lang w:val="es-ES_tradnl"/>
        </w:rPr>
      </w:pPr>
      <w:r w:rsidRPr="00084007">
        <w:rPr>
          <w:rFonts w:asciiTheme="majorBidi" w:hAnsiTheme="majorBidi" w:cstheme="majorBidi"/>
          <w:lang w:val="es-ES_tradnl"/>
        </w:rPr>
        <w:br w:type="page"/>
      </w:r>
    </w:p>
    <w:p w14:paraId="213F2ED1" w14:textId="77777777" w:rsidR="00E444D5" w:rsidRPr="006C16EA" w:rsidRDefault="00E444D5" w:rsidP="00E444D5">
      <w:pPr>
        <w:pStyle w:val="SingleTxtG"/>
        <w:numPr>
          <w:ilvl w:val="0"/>
          <w:numId w:val="20"/>
        </w:numPr>
        <w:tabs>
          <w:tab w:val="left" w:pos="1701"/>
          <w:tab w:val="left" w:pos="2268"/>
        </w:tabs>
        <w:kinsoku w:val="0"/>
        <w:overflowPunct w:val="0"/>
        <w:autoSpaceDE w:val="0"/>
        <w:autoSpaceDN w:val="0"/>
        <w:adjustRightInd w:val="0"/>
        <w:snapToGrid w:val="0"/>
        <w:ind w:left="1134" w:firstLine="0"/>
        <w:rPr>
          <w:rFonts w:asciiTheme="majorBidi" w:hAnsiTheme="majorBidi" w:cstheme="majorBidi"/>
        </w:rPr>
      </w:pPr>
      <w:r w:rsidRPr="006C16EA">
        <w:rPr>
          <w:rFonts w:asciiTheme="majorBidi" w:hAnsiTheme="majorBidi" w:cstheme="majorBidi"/>
        </w:rPr>
        <w:lastRenderedPageBreak/>
        <w:t>Este informe se presenta de conformidad con la resolución 51/29 del Consejo de Derechos Humanos, en la que el Consejo pidió al Alto Comisionado de las Naciones Unidas para los Derechos Humanos que presentara un informe exhaustivo sobre la situación de los derechos humanos en la República Bolivariana de Venezuela (Venezuela) que contuviera una evaluación detallada de la implementación de las recomendaciones formuladas en informes anteriores y que lo presentara al Consejo en su 56º período de sesiones.</w:t>
      </w:r>
    </w:p>
    <w:p w14:paraId="0FF3BF4D" w14:textId="77777777" w:rsidR="00E444D5" w:rsidRPr="006C16EA" w:rsidRDefault="00E444D5" w:rsidP="00E444D5">
      <w:pPr>
        <w:pStyle w:val="SingleTxtG"/>
        <w:numPr>
          <w:ilvl w:val="0"/>
          <w:numId w:val="20"/>
        </w:numPr>
        <w:tabs>
          <w:tab w:val="left" w:pos="1701"/>
          <w:tab w:val="left" w:pos="2268"/>
        </w:tabs>
        <w:kinsoku w:val="0"/>
        <w:overflowPunct w:val="0"/>
        <w:autoSpaceDE w:val="0"/>
        <w:autoSpaceDN w:val="0"/>
        <w:adjustRightInd w:val="0"/>
        <w:snapToGrid w:val="0"/>
        <w:ind w:left="1134" w:firstLine="0"/>
        <w:rPr>
          <w:rFonts w:asciiTheme="majorBidi" w:hAnsiTheme="majorBidi" w:cstheme="majorBidi"/>
        </w:rPr>
      </w:pPr>
      <w:r w:rsidRPr="006C16EA">
        <w:rPr>
          <w:rFonts w:asciiTheme="majorBidi" w:hAnsiTheme="majorBidi" w:cstheme="majorBidi"/>
        </w:rPr>
        <w:t xml:space="preserve">El presente informe abarca el período comprendido entre el 1 de mayo de 2023 y el 30 de abril de 2024 y se centra en los últimos acontecimientos relacionados con los derechos económicos, sociales y culturales, el derecho a un medio ambiente sano, género y personas </w:t>
      </w:r>
      <w:r>
        <w:rPr>
          <w:rFonts w:asciiTheme="majorBidi" w:hAnsiTheme="majorBidi" w:cstheme="majorBidi"/>
        </w:rPr>
        <w:t>LGBTIQ</w:t>
      </w:r>
      <w:r w:rsidRPr="006C16EA">
        <w:rPr>
          <w:rFonts w:asciiTheme="majorBidi" w:hAnsiTheme="majorBidi" w:cstheme="majorBidi"/>
        </w:rPr>
        <w:t xml:space="preserve">+, el espacio cívico y el estado de derecho, </w:t>
      </w:r>
      <w:r w:rsidRPr="00BE3014">
        <w:rPr>
          <w:rFonts w:asciiTheme="majorBidi" w:hAnsiTheme="majorBidi" w:cstheme="majorBidi"/>
          <w:lang w:val="es-419"/>
        </w:rPr>
        <w:t>así como en el grado de aplicación de las correspondientes recomendaciones formuladas en informes anteriores</w:t>
      </w:r>
      <w:r w:rsidRPr="00BE3014">
        <w:rPr>
          <w:rFonts w:asciiTheme="majorBidi" w:hAnsiTheme="majorBidi" w:cstheme="majorBidi"/>
        </w:rPr>
        <w:t>.</w:t>
      </w:r>
      <w:r w:rsidRPr="006C16EA">
        <w:rPr>
          <w:rFonts w:asciiTheme="majorBidi" w:hAnsiTheme="majorBidi" w:cstheme="majorBidi"/>
        </w:rPr>
        <w:t xml:space="preserve"> El informe se basa en la información recopilada y analizada por la Oficina del Alto Comisionado de las Naciones Unidas para los Derechos Humanos (ACNUDH), entrevistas</w:t>
      </w:r>
      <w:r>
        <w:rPr>
          <w:rFonts w:asciiTheme="majorBidi" w:hAnsiTheme="majorBidi" w:cstheme="majorBidi"/>
        </w:rPr>
        <w:t xml:space="preserve"> </w:t>
      </w:r>
      <w:r w:rsidRPr="006C16EA">
        <w:rPr>
          <w:rFonts w:asciiTheme="majorBidi" w:hAnsiTheme="majorBidi" w:cstheme="majorBidi"/>
        </w:rPr>
        <w:t>con víctimas y testigos, reuniones con funcionarios del Gobierno y organizaciones de la sociedad civil. También se considera la información oficial de las instituciones del Estado.</w:t>
      </w:r>
      <w:r>
        <w:rPr>
          <w:rFonts w:asciiTheme="majorBidi" w:hAnsiTheme="majorBidi" w:cstheme="majorBidi"/>
        </w:rPr>
        <w:t xml:space="preserve"> </w:t>
      </w:r>
      <w:r w:rsidRPr="00545389">
        <w:rPr>
          <w:rFonts w:asciiTheme="majorBidi" w:hAnsiTheme="majorBidi" w:cstheme="majorBidi"/>
        </w:rPr>
        <w:t xml:space="preserve">El 15 de febrero de 2024, el Gobierno de Venezuela anunció la suspensión de la Carta de Entendimiento firmada con </w:t>
      </w:r>
      <w:r>
        <w:rPr>
          <w:rFonts w:asciiTheme="majorBidi" w:hAnsiTheme="majorBidi" w:cstheme="majorBidi"/>
        </w:rPr>
        <w:t>el ACNUDH</w:t>
      </w:r>
      <w:r w:rsidRPr="00545389">
        <w:rPr>
          <w:rFonts w:asciiTheme="majorBidi" w:hAnsiTheme="majorBidi" w:cstheme="majorBidi"/>
        </w:rPr>
        <w:t xml:space="preserve">, </w:t>
      </w:r>
      <w:r w:rsidRPr="009672BA">
        <w:rPr>
          <w:rFonts w:asciiTheme="majorBidi" w:hAnsiTheme="majorBidi" w:cstheme="majorBidi"/>
        </w:rPr>
        <w:t>solicitando al personal de</w:t>
      </w:r>
      <w:r>
        <w:rPr>
          <w:rFonts w:asciiTheme="majorBidi" w:hAnsiTheme="majorBidi" w:cstheme="majorBidi"/>
        </w:rPr>
        <w:t xml:space="preserve">l </w:t>
      </w:r>
      <w:r w:rsidRPr="00E9336A">
        <w:rPr>
          <w:rFonts w:asciiTheme="majorBidi" w:hAnsiTheme="majorBidi" w:cstheme="majorBidi"/>
        </w:rPr>
        <w:t>ACNUDH abandon</w:t>
      </w:r>
      <w:r w:rsidRPr="006871F9">
        <w:rPr>
          <w:rFonts w:asciiTheme="majorBidi" w:hAnsiTheme="majorBidi" w:cstheme="majorBidi"/>
        </w:rPr>
        <w:t>ar</w:t>
      </w:r>
      <w:r w:rsidRPr="00E9336A">
        <w:rPr>
          <w:rFonts w:asciiTheme="majorBidi" w:hAnsiTheme="majorBidi" w:cstheme="majorBidi"/>
        </w:rPr>
        <w:t xml:space="preserve"> Ve</w:t>
      </w:r>
      <w:r w:rsidRPr="009672BA">
        <w:rPr>
          <w:rFonts w:asciiTheme="majorBidi" w:hAnsiTheme="majorBidi" w:cstheme="majorBidi"/>
        </w:rPr>
        <w:t xml:space="preserve">nezuela en un plazo de 72 horas. </w:t>
      </w:r>
      <w:r>
        <w:rPr>
          <w:rFonts w:asciiTheme="majorBidi" w:hAnsiTheme="majorBidi" w:cstheme="majorBidi"/>
        </w:rPr>
        <w:t>El ACNUDH</w:t>
      </w:r>
      <w:r w:rsidRPr="009672BA">
        <w:rPr>
          <w:rFonts w:asciiTheme="majorBidi" w:hAnsiTheme="majorBidi" w:cstheme="majorBidi"/>
        </w:rPr>
        <w:t xml:space="preserve"> lamenta este hecho</w:t>
      </w:r>
      <w:r>
        <w:rPr>
          <w:rFonts w:asciiTheme="majorBidi" w:hAnsiTheme="majorBidi" w:cstheme="majorBidi"/>
        </w:rPr>
        <w:t>.</w:t>
      </w:r>
    </w:p>
    <w:p w14:paraId="14FEA95E" w14:textId="75662BC3" w:rsidR="00E444D5" w:rsidRPr="006C16EA" w:rsidRDefault="00E444D5" w:rsidP="00E444D5">
      <w:pPr>
        <w:pStyle w:val="SingleTxtG"/>
        <w:numPr>
          <w:ilvl w:val="0"/>
          <w:numId w:val="20"/>
        </w:numPr>
        <w:tabs>
          <w:tab w:val="left" w:pos="1701"/>
          <w:tab w:val="left" w:pos="2268"/>
        </w:tabs>
        <w:kinsoku w:val="0"/>
        <w:overflowPunct w:val="0"/>
        <w:autoSpaceDE w:val="0"/>
        <w:autoSpaceDN w:val="0"/>
        <w:adjustRightInd w:val="0"/>
        <w:snapToGrid w:val="0"/>
        <w:ind w:left="1134" w:firstLine="0"/>
        <w:rPr>
          <w:rFonts w:asciiTheme="majorBidi" w:hAnsiTheme="majorBidi" w:cstheme="majorBidi"/>
        </w:rPr>
      </w:pPr>
      <w:r w:rsidRPr="006C16EA">
        <w:rPr>
          <w:rFonts w:asciiTheme="majorBidi" w:hAnsiTheme="majorBidi" w:cstheme="majorBidi"/>
        </w:rPr>
        <w:t xml:space="preserve">Las conclusiones del presente informe han sido documentadas y corroboradas en estricto cumplimiento con la metodología del ACNUDH. El ACNUDH actuó con la debida diligencia para evaluar la credibilidad y fiabilidad de las fuentes y cotejó la información recopilada para verificar su validez. Recabó el consentimiento informado de las personas entrevistadas y adoptó las medidas apropiadas para garantizar la confidencialidad de la </w:t>
      </w:r>
      <w:r>
        <w:rPr>
          <w:rFonts w:asciiTheme="majorBidi" w:hAnsiTheme="majorBidi" w:cstheme="majorBidi"/>
        </w:rPr>
        <w:t>i</w:t>
      </w:r>
      <w:r w:rsidRPr="006C16EA">
        <w:rPr>
          <w:rFonts w:asciiTheme="majorBidi" w:hAnsiTheme="majorBidi" w:cstheme="majorBidi"/>
        </w:rPr>
        <w:t xml:space="preserve">nformación. </w:t>
      </w:r>
    </w:p>
    <w:p w14:paraId="05BDA729" w14:textId="2AE8F4AF" w:rsidR="00E444D5" w:rsidRDefault="00E444D5" w:rsidP="00E444D5">
      <w:pPr>
        <w:pStyle w:val="HChG"/>
        <w:numPr>
          <w:ilvl w:val="0"/>
          <w:numId w:val="30"/>
        </w:numPr>
      </w:pPr>
      <w:r w:rsidRPr="006C16EA">
        <w:t>Derechos económicos, sociales y culturales y derecho a un ambiente limpio, sano y sostenible</w:t>
      </w:r>
    </w:p>
    <w:p w14:paraId="5B67AE7E" w14:textId="77777777" w:rsidR="00E444D5" w:rsidRPr="00D90406" w:rsidRDefault="00E444D5" w:rsidP="00E444D5">
      <w:pPr>
        <w:pStyle w:val="ListParagraph"/>
        <w:numPr>
          <w:ilvl w:val="0"/>
          <w:numId w:val="20"/>
        </w:numPr>
        <w:tabs>
          <w:tab w:val="left" w:pos="1440"/>
          <w:tab w:val="left" w:pos="1710"/>
        </w:tabs>
        <w:spacing w:after="120" w:line="240" w:lineRule="atLeast"/>
        <w:ind w:left="1134" w:right="1168" w:firstLine="0"/>
        <w:contextualSpacing w:val="0"/>
        <w:rPr>
          <w:rFonts w:asciiTheme="majorBidi" w:hAnsiTheme="majorBidi" w:cstheme="majorBidi"/>
          <w:sz w:val="20"/>
          <w:szCs w:val="20"/>
          <w:lang w:val="es-ES"/>
        </w:rPr>
      </w:pPr>
      <w:r w:rsidRPr="00D90406">
        <w:rPr>
          <w:rFonts w:asciiTheme="majorBidi" w:hAnsiTheme="majorBidi" w:cstheme="majorBidi"/>
          <w:sz w:val="20"/>
          <w:szCs w:val="20"/>
          <w:lang w:val="es-ES"/>
        </w:rPr>
        <w:t xml:space="preserve">Las deficiencias en el acceso y el suministro de servicios públicos, como agua, electricidad y combustible, siguieron agravándose </w:t>
      </w:r>
      <w:r w:rsidRPr="0077206E">
        <w:rPr>
          <w:rFonts w:asciiTheme="majorBidi" w:hAnsiTheme="majorBidi" w:cstheme="majorBidi"/>
          <w:i/>
          <w:iCs/>
          <w:sz w:val="20"/>
          <w:szCs w:val="20"/>
          <w:lang w:val="es-ES"/>
        </w:rPr>
        <w:t xml:space="preserve">inter </w:t>
      </w:r>
      <w:proofErr w:type="spellStart"/>
      <w:r w:rsidRPr="0077206E">
        <w:rPr>
          <w:rFonts w:asciiTheme="majorBidi" w:hAnsiTheme="majorBidi" w:cstheme="majorBidi"/>
          <w:i/>
          <w:iCs/>
          <w:sz w:val="20"/>
          <w:szCs w:val="20"/>
          <w:lang w:val="es-ES"/>
        </w:rPr>
        <w:t>alia</w:t>
      </w:r>
      <w:proofErr w:type="spellEnd"/>
      <w:r>
        <w:rPr>
          <w:rFonts w:asciiTheme="majorBidi" w:hAnsiTheme="majorBidi" w:cstheme="majorBidi"/>
          <w:sz w:val="20"/>
          <w:szCs w:val="20"/>
          <w:lang w:val="es-ES"/>
        </w:rPr>
        <w:t xml:space="preserve"> </w:t>
      </w:r>
      <w:r w:rsidRPr="00D90406">
        <w:rPr>
          <w:rFonts w:asciiTheme="majorBidi" w:hAnsiTheme="majorBidi" w:cstheme="majorBidi"/>
          <w:sz w:val="20"/>
          <w:szCs w:val="20"/>
          <w:lang w:val="es-ES"/>
        </w:rPr>
        <w:t>por el impacto de las sanciones sectoriales durante el periodo de referencia.</w:t>
      </w:r>
      <w:r>
        <w:rPr>
          <w:rStyle w:val="FootnoteReference"/>
          <w:rFonts w:cstheme="majorBidi"/>
          <w:szCs w:val="20"/>
          <w:lang w:val="es-ES"/>
        </w:rPr>
        <w:footnoteReference w:id="5"/>
      </w:r>
      <w:r w:rsidRPr="00D90406">
        <w:rPr>
          <w:rFonts w:asciiTheme="majorBidi" w:hAnsiTheme="majorBidi" w:cstheme="majorBidi"/>
          <w:sz w:val="20"/>
          <w:szCs w:val="20"/>
          <w:lang w:val="es-ES"/>
        </w:rPr>
        <w:t xml:space="preserve"> El 18 de octubre de 2023, tras la firma de los Acuerdos de Barbados, se concedieron seis licencias que relajaban estas sanciones, incluidas las del sector del petróleo y el gas.</w:t>
      </w:r>
      <w:r>
        <w:rPr>
          <w:rStyle w:val="FootnoteReference"/>
          <w:rFonts w:cstheme="majorBidi"/>
          <w:szCs w:val="20"/>
          <w:lang w:val="es-ES"/>
        </w:rPr>
        <w:footnoteReference w:id="6"/>
      </w:r>
      <w:r w:rsidRPr="00D90406">
        <w:rPr>
          <w:rFonts w:asciiTheme="majorBidi" w:hAnsiTheme="majorBidi" w:cstheme="majorBidi"/>
          <w:sz w:val="20"/>
          <w:szCs w:val="20"/>
          <w:lang w:val="es-ES"/>
        </w:rPr>
        <w:t xml:space="preserve">  El 17 de abril de 2024, la licencia general al </w:t>
      </w:r>
      <w:r w:rsidRPr="00E9336A">
        <w:rPr>
          <w:rFonts w:asciiTheme="majorBidi" w:hAnsiTheme="majorBidi" w:cstheme="majorBidi"/>
          <w:sz w:val="20"/>
          <w:szCs w:val="20"/>
          <w:lang w:val="es-ES"/>
        </w:rPr>
        <w:t xml:space="preserve">sector del petróleo y el gas fue sustituida por una licencia limitada para reducir las operaciones </w:t>
      </w:r>
      <w:r w:rsidRPr="006871F9">
        <w:rPr>
          <w:rFonts w:asciiTheme="majorBidi" w:hAnsiTheme="majorBidi" w:cstheme="majorBidi"/>
          <w:sz w:val="20"/>
          <w:szCs w:val="20"/>
          <w:lang w:val="es-ES"/>
        </w:rPr>
        <w:t>durante</w:t>
      </w:r>
      <w:r w:rsidRPr="00E9336A">
        <w:rPr>
          <w:rFonts w:asciiTheme="majorBidi" w:hAnsiTheme="majorBidi" w:cstheme="majorBidi"/>
          <w:sz w:val="20"/>
          <w:szCs w:val="20"/>
          <w:lang w:val="es-ES"/>
        </w:rPr>
        <w:t xml:space="preserve"> 45 días. Según instituciones estatales, así como organizaciones humanitarias y de derechos humanos, las sanciones y su incumplimiento </w:t>
      </w:r>
      <w:r w:rsidRPr="006871F9">
        <w:rPr>
          <w:rFonts w:asciiTheme="majorBidi" w:hAnsiTheme="majorBidi" w:cstheme="majorBidi"/>
          <w:sz w:val="20"/>
          <w:szCs w:val="20"/>
          <w:lang w:val="es-ES"/>
        </w:rPr>
        <w:t xml:space="preserve">obstaculizan </w:t>
      </w:r>
      <w:r w:rsidRPr="00E9336A">
        <w:rPr>
          <w:rFonts w:asciiTheme="majorBidi" w:hAnsiTheme="majorBidi" w:cstheme="majorBidi"/>
          <w:sz w:val="20"/>
          <w:szCs w:val="20"/>
          <w:lang w:val="es-ES"/>
        </w:rPr>
        <w:t>la recepción</w:t>
      </w:r>
      <w:r w:rsidRPr="00D90406">
        <w:rPr>
          <w:rFonts w:asciiTheme="majorBidi" w:hAnsiTheme="majorBidi" w:cstheme="majorBidi"/>
          <w:sz w:val="20"/>
          <w:szCs w:val="20"/>
          <w:lang w:val="es-ES"/>
        </w:rPr>
        <w:t xml:space="preserve"> de fondos y la importación de bienes esenciales, incluidos alimentos y medicinas.  </w:t>
      </w:r>
    </w:p>
    <w:p w14:paraId="517275DB" w14:textId="77777777" w:rsidR="00E444D5" w:rsidRDefault="00E444D5" w:rsidP="00E444D5">
      <w:pPr>
        <w:pStyle w:val="ListParagraph"/>
        <w:numPr>
          <w:ilvl w:val="0"/>
          <w:numId w:val="20"/>
        </w:numPr>
        <w:spacing w:after="120" w:line="240" w:lineRule="atLeast"/>
        <w:ind w:left="1134" w:right="1168" w:firstLine="0"/>
        <w:contextualSpacing w:val="0"/>
        <w:rPr>
          <w:rFonts w:asciiTheme="majorBidi" w:hAnsiTheme="majorBidi" w:cstheme="majorBidi"/>
          <w:sz w:val="20"/>
          <w:szCs w:val="20"/>
          <w:lang w:val="es-ES"/>
        </w:rPr>
      </w:pPr>
      <w:r w:rsidRPr="37FE1E78">
        <w:rPr>
          <w:rFonts w:asciiTheme="majorBidi" w:hAnsiTheme="majorBidi" w:cstheme="majorBidi"/>
          <w:sz w:val="20"/>
          <w:szCs w:val="20"/>
          <w:lang w:val="es-ES"/>
        </w:rPr>
        <w:t>A pesar de que las cifras oficiales indican un crecimiento del producto interno bruto del cinco por ciento en 2023,</w:t>
      </w:r>
      <w:r w:rsidRPr="37FE1E78">
        <w:rPr>
          <w:rStyle w:val="FootnoteReference"/>
          <w:rFonts w:cstheme="majorBidi"/>
          <w:lang w:val="es-ES"/>
        </w:rPr>
        <w:footnoteReference w:id="7"/>
      </w:r>
      <w:r w:rsidRPr="37FE1E78">
        <w:rPr>
          <w:rFonts w:asciiTheme="majorBidi" w:hAnsiTheme="majorBidi" w:cstheme="majorBidi"/>
          <w:sz w:val="20"/>
          <w:szCs w:val="20"/>
          <w:lang w:val="es-ES"/>
        </w:rPr>
        <w:t xml:space="preserve"> los desafíos económicos reportados como la alta inflación</w:t>
      </w:r>
      <w:r w:rsidRPr="37FE1E78">
        <w:rPr>
          <w:rStyle w:val="FootnoteReference"/>
          <w:rFonts w:cstheme="majorBidi"/>
          <w:lang w:val="es-ES"/>
        </w:rPr>
        <w:footnoteReference w:id="8"/>
      </w:r>
      <w:r w:rsidRPr="37FE1E78">
        <w:rPr>
          <w:rFonts w:asciiTheme="majorBidi" w:hAnsiTheme="majorBidi" w:cstheme="majorBidi"/>
          <w:sz w:val="20"/>
          <w:szCs w:val="20"/>
          <w:lang w:val="es-ES"/>
        </w:rPr>
        <w:t xml:space="preserve"> y la devaluación de</w:t>
      </w:r>
      <w:r>
        <w:rPr>
          <w:rFonts w:asciiTheme="majorBidi" w:hAnsiTheme="majorBidi" w:cstheme="majorBidi"/>
          <w:sz w:val="20"/>
          <w:szCs w:val="20"/>
          <w:lang w:val="es-ES"/>
        </w:rPr>
        <w:t xml:space="preserve"> la moneda venezolana, el</w:t>
      </w:r>
      <w:r w:rsidRPr="37FE1E78">
        <w:rPr>
          <w:rFonts w:asciiTheme="majorBidi" w:hAnsiTheme="majorBidi" w:cstheme="majorBidi"/>
          <w:sz w:val="20"/>
          <w:szCs w:val="20"/>
          <w:lang w:val="es-ES"/>
        </w:rPr>
        <w:t xml:space="preserve"> bolívar</w:t>
      </w:r>
      <w:r>
        <w:rPr>
          <w:rFonts w:asciiTheme="majorBidi" w:hAnsiTheme="majorBidi" w:cstheme="majorBidi"/>
          <w:sz w:val="20"/>
          <w:szCs w:val="20"/>
          <w:lang w:val="es-ES"/>
        </w:rPr>
        <w:t>,</w:t>
      </w:r>
      <w:r w:rsidRPr="37FE1E78">
        <w:rPr>
          <w:rFonts w:asciiTheme="majorBidi" w:hAnsiTheme="majorBidi" w:cstheme="majorBidi"/>
          <w:sz w:val="20"/>
          <w:szCs w:val="20"/>
          <w:lang w:val="es-ES"/>
        </w:rPr>
        <w:t xml:space="preserve"> persist</w:t>
      </w:r>
      <w:r>
        <w:rPr>
          <w:rFonts w:asciiTheme="majorBidi" w:hAnsiTheme="majorBidi" w:cstheme="majorBidi"/>
          <w:sz w:val="20"/>
          <w:szCs w:val="20"/>
          <w:lang w:val="es-ES"/>
        </w:rPr>
        <w:t>ieron</w:t>
      </w:r>
      <w:r w:rsidRPr="37FE1E78">
        <w:rPr>
          <w:rStyle w:val="FootnoteReference"/>
          <w:rFonts w:cstheme="majorBidi"/>
          <w:lang w:val="es-ES"/>
        </w:rPr>
        <w:footnoteReference w:id="9"/>
      </w:r>
      <w:r w:rsidRPr="37FE1E78">
        <w:rPr>
          <w:rFonts w:asciiTheme="majorBidi" w:hAnsiTheme="majorBidi" w:cstheme="majorBidi"/>
          <w:sz w:val="20"/>
          <w:szCs w:val="20"/>
          <w:lang w:val="es-ES"/>
        </w:rPr>
        <w:t xml:space="preserve"> </w:t>
      </w:r>
      <w:r>
        <w:rPr>
          <w:rFonts w:asciiTheme="majorBidi" w:hAnsiTheme="majorBidi" w:cstheme="majorBidi"/>
          <w:sz w:val="20"/>
          <w:szCs w:val="20"/>
          <w:lang w:val="es-ES"/>
        </w:rPr>
        <w:t>y c</w:t>
      </w:r>
      <w:r w:rsidRPr="37FE1E78">
        <w:rPr>
          <w:rFonts w:asciiTheme="majorBidi" w:hAnsiTheme="majorBidi" w:cstheme="majorBidi"/>
          <w:sz w:val="20"/>
          <w:szCs w:val="20"/>
          <w:lang w:val="es-ES"/>
        </w:rPr>
        <w:t>ontin</w:t>
      </w:r>
      <w:r>
        <w:rPr>
          <w:rFonts w:asciiTheme="majorBidi" w:hAnsiTheme="majorBidi" w:cstheme="majorBidi"/>
          <w:sz w:val="20"/>
          <w:szCs w:val="20"/>
          <w:lang w:val="es-ES"/>
        </w:rPr>
        <w:t>uaron</w:t>
      </w:r>
      <w:r w:rsidRPr="37FE1E78">
        <w:rPr>
          <w:rFonts w:asciiTheme="majorBidi" w:hAnsiTheme="majorBidi" w:cstheme="majorBidi"/>
          <w:sz w:val="20"/>
          <w:szCs w:val="20"/>
          <w:lang w:val="es-ES"/>
        </w:rPr>
        <w:t xml:space="preserve"> restringiendo el poder adquisitivo, afectando desproporcionadamente a los grupos y comunidades en situación de vulnerabilidad, incluid</w:t>
      </w:r>
      <w:r>
        <w:rPr>
          <w:rFonts w:asciiTheme="majorBidi" w:hAnsiTheme="majorBidi" w:cstheme="majorBidi"/>
          <w:sz w:val="20"/>
          <w:szCs w:val="20"/>
          <w:lang w:val="es-ES"/>
        </w:rPr>
        <w:t>a</w:t>
      </w:r>
      <w:r w:rsidRPr="37FE1E78">
        <w:rPr>
          <w:rFonts w:asciiTheme="majorBidi" w:hAnsiTheme="majorBidi" w:cstheme="majorBidi"/>
          <w:sz w:val="20"/>
          <w:szCs w:val="20"/>
          <w:lang w:val="es-ES"/>
        </w:rPr>
        <w:t xml:space="preserve">s </w:t>
      </w:r>
      <w:r>
        <w:rPr>
          <w:rFonts w:asciiTheme="majorBidi" w:hAnsiTheme="majorBidi" w:cstheme="majorBidi"/>
          <w:sz w:val="20"/>
          <w:szCs w:val="20"/>
          <w:lang w:val="es-ES"/>
        </w:rPr>
        <w:t>personas en situación de pobreza</w:t>
      </w:r>
      <w:r w:rsidRPr="37FE1E78">
        <w:rPr>
          <w:rFonts w:asciiTheme="majorBidi" w:hAnsiTheme="majorBidi" w:cstheme="majorBidi"/>
          <w:sz w:val="20"/>
          <w:szCs w:val="20"/>
          <w:lang w:val="es-ES"/>
        </w:rPr>
        <w:t xml:space="preserve"> urban</w:t>
      </w:r>
      <w:r>
        <w:rPr>
          <w:rFonts w:asciiTheme="majorBidi" w:hAnsiTheme="majorBidi" w:cstheme="majorBidi"/>
          <w:sz w:val="20"/>
          <w:szCs w:val="20"/>
          <w:lang w:val="es-ES"/>
        </w:rPr>
        <w:t>a,</w:t>
      </w:r>
      <w:r w:rsidRPr="37FE1E78">
        <w:rPr>
          <w:rFonts w:asciiTheme="majorBidi" w:hAnsiTheme="majorBidi" w:cstheme="majorBidi"/>
          <w:sz w:val="20"/>
          <w:szCs w:val="20"/>
          <w:lang w:val="es-ES"/>
        </w:rPr>
        <w:t xml:space="preserve"> personas que viven en zonas rurales y</w:t>
      </w:r>
      <w:r>
        <w:rPr>
          <w:rFonts w:asciiTheme="majorBidi" w:hAnsiTheme="majorBidi" w:cstheme="majorBidi"/>
          <w:sz w:val="20"/>
          <w:szCs w:val="20"/>
          <w:lang w:val="es-ES"/>
        </w:rPr>
        <w:t>, particularmente, a</w:t>
      </w:r>
      <w:r w:rsidRPr="37FE1E78">
        <w:rPr>
          <w:rFonts w:asciiTheme="majorBidi" w:hAnsiTheme="majorBidi" w:cstheme="majorBidi"/>
          <w:sz w:val="20"/>
          <w:szCs w:val="20"/>
          <w:lang w:val="es-ES"/>
        </w:rPr>
        <w:t xml:space="preserve"> las mujeres de estas poblaciones. </w:t>
      </w:r>
    </w:p>
    <w:p w14:paraId="01B886B2" w14:textId="6BA9DFC2" w:rsidR="00E444D5" w:rsidRPr="006569FD" w:rsidRDefault="00E444D5" w:rsidP="00E444D5">
      <w:pPr>
        <w:pStyle w:val="ListParagraph"/>
        <w:numPr>
          <w:ilvl w:val="0"/>
          <w:numId w:val="20"/>
        </w:numPr>
        <w:spacing w:after="120" w:line="240" w:lineRule="atLeast"/>
        <w:ind w:left="1134" w:right="1168" w:firstLine="0"/>
        <w:contextualSpacing w:val="0"/>
        <w:rPr>
          <w:rFonts w:asciiTheme="majorBidi" w:hAnsiTheme="majorBidi" w:cstheme="majorBidi"/>
          <w:sz w:val="20"/>
          <w:szCs w:val="20"/>
          <w:lang w:val="es-419"/>
        </w:rPr>
      </w:pPr>
      <w:proofErr w:type="spellStart"/>
      <w:r w:rsidRPr="003D4CF9">
        <w:rPr>
          <w:rFonts w:asciiTheme="majorBidi" w:hAnsiTheme="majorBidi" w:cstheme="majorBidi"/>
          <w:sz w:val="20"/>
          <w:szCs w:val="20"/>
          <w:lang w:val="es-ES"/>
        </w:rPr>
        <w:t>egún</w:t>
      </w:r>
      <w:proofErr w:type="spellEnd"/>
      <w:r w:rsidRPr="003D4CF9">
        <w:rPr>
          <w:rFonts w:asciiTheme="majorBidi" w:hAnsiTheme="majorBidi" w:cstheme="majorBidi"/>
          <w:sz w:val="20"/>
          <w:szCs w:val="20"/>
          <w:lang w:val="es-ES"/>
        </w:rPr>
        <w:t xml:space="preserve"> </w:t>
      </w:r>
      <w:r>
        <w:rPr>
          <w:rFonts w:asciiTheme="majorBidi" w:hAnsiTheme="majorBidi" w:cstheme="majorBidi"/>
          <w:sz w:val="20"/>
          <w:szCs w:val="20"/>
          <w:lang w:val="es-ES"/>
        </w:rPr>
        <w:t>se reporta</w:t>
      </w:r>
      <w:r w:rsidRPr="003D4CF9">
        <w:rPr>
          <w:rFonts w:asciiTheme="majorBidi" w:hAnsiTheme="majorBidi" w:cstheme="majorBidi"/>
          <w:sz w:val="20"/>
          <w:szCs w:val="20"/>
          <w:lang w:val="es-ES"/>
        </w:rPr>
        <w:t>, la escasez estructural de fondos y personal siguió debilitando los sectores de la sanidad y la educación.</w:t>
      </w:r>
      <w:r>
        <w:rPr>
          <w:rStyle w:val="FootnoteReference"/>
          <w:rFonts w:cstheme="majorBidi"/>
          <w:szCs w:val="20"/>
          <w:lang w:val="es-ES"/>
        </w:rPr>
        <w:footnoteReference w:id="10"/>
      </w:r>
      <w:r w:rsidRPr="003D4CF9">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Un sindicato del sector educativo indicó </w:t>
      </w:r>
      <w:r w:rsidRPr="003D4CF9">
        <w:rPr>
          <w:rFonts w:asciiTheme="majorBidi" w:hAnsiTheme="majorBidi" w:cstheme="majorBidi"/>
          <w:sz w:val="20"/>
          <w:szCs w:val="20"/>
          <w:lang w:val="es-ES"/>
        </w:rPr>
        <w:t>que entre julio y agosto de 2023, el 74,6% de los centros de salud de todo el país carecían de personal médico y el 73,5% de personal de enfermería,</w:t>
      </w:r>
      <w:r>
        <w:rPr>
          <w:rStyle w:val="FootnoteReference"/>
          <w:rFonts w:cstheme="majorBidi"/>
          <w:szCs w:val="20"/>
          <w:lang w:val="es-ES"/>
        </w:rPr>
        <w:footnoteReference w:id="11"/>
      </w:r>
      <w:r w:rsidRPr="003D4CF9">
        <w:rPr>
          <w:rFonts w:asciiTheme="majorBidi" w:hAnsiTheme="majorBidi" w:cstheme="majorBidi"/>
          <w:sz w:val="20"/>
          <w:szCs w:val="20"/>
          <w:lang w:val="es-ES"/>
        </w:rPr>
        <w:t xml:space="preserve"> </w:t>
      </w:r>
      <w:r>
        <w:rPr>
          <w:rFonts w:asciiTheme="majorBidi" w:hAnsiTheme="majorBidi" w:cstheme="majorBidi"/>
          <w:sz w:val="20"/>
          <w:szCs w:val="20"/>
          <w:lang w:val="es-ES"/>
        </w:rPr>
        <w:t>afectando</w:t>
      </w:r>
      <w:r w:rsidRPr="003D4CF9">
        <w:rPr>
          <w:rFonts w:asciiTheme="majorBidi" w:hAnsiTheme="majorBidi" w:cstheme="majorBidi"/>
          <w:sz w:val="20"/>
          <w:szCs w:val="20"/>
          <w:lang w:val="es-ES"/>
        </w:rPr>
        <w:t xml:space="preserve"> a la accesibilidad, la calidad y la </w:t>
      </w:r>
      <w:r w:rsidRPr="003D4CF9">
        <w:rPr>
          <w:rFonts w:asciiTheme="majorBidi" w:hAnsiTheme="majorBidi" w:cstheme="majorBidi"/>
          <w:sz w:val="20"/>
          <w:szCs w:val="20"/>
          <w:lang w:val="es-ES"/>
        </w:rPr>
        <w:lastRenderedPageBreak/>
        <w:t xml:space="preserve">disponibilidad de la atención </w:t>
      </w:r>
      <w:r>
        <w:rPr>
          <w:rFonts w:asciiTheme="majorBidi" w:hAnsiTheme="majorBidi" w:cstheme="majorBidi"/>
          <w:sz w:val="20"/>
          <w:szCs w:val="20"/>
          <w:lang w:val="es-ES"/>
        </w:rPr>
        <w:t>médica</w:t>
      </w:r>
      <w:r w:rsidRPr="003D4CF9">
        <w:rPr>
          <w:rFonts w:asciiTheme="majorBidi" w:hAnsiTheme="majorBidi" w:cstheme="majorBidi"/>
          <w:sz w:val="20"/>
          <w:szCs w:val="20"/>
          <w:lang w:val="es-ES"/>
        </w:rPr>
        <w:t>.</w:t>
      </w:r>
      <w:r>
        <w:rPr>
          <w:rStyle w:val="FootnoteReference"/>
          <w:rFonts w:cstheme="majorBidi"/>
          <w:szCs w:val="20"/>
          <w:lang w:val="es-ES"/>
        </w:rPr>
        <w:footnoteReference w:id="12"/>
      </w:r>
      <w:r>
        <w:rPr>
          <w:rFonts w:asciiTheme="majorBidi" w:hAnsiTheme="majorBidi" w:cstheme="majorBidi"/>
          <w:sz w:val="20"/>
          <w:szCs w:val="20"/>
          <w:lang w:val="es-ES"/>
        </w:rPr>
        <w:t xml:space="preserve"> La Federación Venezolana de Maestros </w:t>
      </w:r>
      <w:r w:rsidRPr="003D4CF9">
        <w:rPr>
          <w:rFonts w:asciiTheme="majorBidi" w:hAnsiTheme="majorBidi" w:cstheme="majorBidi"/>
          <w:sz w:val="20"/>
          <w:szCs w:val="20"/>
          <w:lang w:val="es-ES"/>
        </w:rPr>
        <w:t>indic</w:t>
      </w:r>
      <w:r>
        <w:rPr>
          <w:rFonts w:asciiTheme="majorBidi" w:hAnsiTheme="majorBidi" w:cstheme="majorBidi"/>
          <w:sz w:val="20"/>
          <w:szCs w:val="20"/>
          <w:lang w:val="es-ES"/>
        </w:rPr>
        <w:t>ó</w:t>
      </w:r>
      <w:r w:rsidRPr="003D4CF9">
        <w:rPr>
          <w:rFonts w:asciiTheme="majorBidi" w:hAnsiTheme="majorBidi" w:cstheme="majorBidi"/>
          <w:sz w:val="20"/>
          <w:szCs w:val="20"/>
          <w:lang w:val="es-ES"/>
        </w:rPr>
        <w:t xml:space="preserve"> </w:t>
      </w:r>
      <w:r>
        <w:rPr>
          <w:rFonts w:asciiTheme="majorBidi" w:hAnsiTheme="majorBidi" w:cstheme="majorBidi"/>
          <w:sz w:val="20"/>
          <w:szCs w:val="20"/>
          <w:lang w:val="es-ES"/>
        </w:rPr>
        <w:t>una tasa de</w:t>
      </w:r>
      <w:r w:rsidRPr="003D4CF9">
        <w:rPr>
          <w:rFonts w:asciiTheme="majorBidi" w:hAnsiTheme="majorBidi" w:cstheme="majorBidi"/>
          <w:sz w:val="20"/>
          <w:szCs w:val="20"/>
          <w:lang w:val="es-ES"/>
        </w:rPr>
        <w:t xml:space="preserve"> </w:t>
      </w:r>
      <w:r>
        <w:rPr>
          <w:rFonts w:asciiTheme="majorBidi" w:hAnsiTheme="majorBidi" w:cstheme="majorBidi"/>
          <w:sz w:val="20"/>
          <w:szCs w:val="20"/>
          <w:lang w:val="es-ES"/>
        </w:rPr>
        <w:t>80% de absentismo en</w:t>
      </w:r>
      <w:r w:rsidRPr="003D4CF9">
        <w:rPr>
          <w:rFonts w:asciiTheme="majorBidi" w:hAnsiTheme="majorBidi" w:cstheme="majorBidi"/>
          <w:sz w:val="20"/>
          <w:szCs w:val="20"/>
          <w:lang w:val="es-ES"/>
        </w:rPr>
        <w:t xml:space="preserve"> la reanudación del curso escolar </w:t>
      </w:r>
      <w:r>
        <w:rPr>
          <w:rFonts w:asciiTheme="majorBidi" w:hAnsiTheme="majorBidi" w:cstheme="majorBidi"/>
          <w:sz w:val="20"/>
          <w:szCs w:val="20"/>
          <w:lang w:val="es-ES"/>
        </w:rPr>
        <w:t>de</w:t>
      </w:r>
      <w:r w:rsidRPr="003D4CF9">
        <w:rPr>
          <w:rFonts w:asciiTheme="majorBidi" w:hAnsiTheme="majorBidi" w:cstheme="majorBidi"/>
          <w:sz w:val="20"/>
          <w:szCs w:val="20"/>
          <w:lang w:val="es-ES"/>
        </w:rPr>
        <w:t xml:space="preserve"> octubre de 2023</w:t>
      </w:r>
      <w:r>
        <w:rPr>
          <w:rFonts w:asciiTheme="majorBidi" w:hAnsiTheme="majorBidi" w:cstheme="majorBidi"/>
          <w:sz w:val="20"/>
          <w:szCs w:val="20"/>
          <w:lang w:val="es-ES"/>
        </w:rPr>
        <w:t>,</w:t>
      </w:r>
      <w:r w:rsidRPr="003D4CF9">
        <w:rPr>
          <w:rFonts w:asciiTheme="majorBidi" w:hAnsiTheme="majorBidi" w:cstheme="majorBidi"/>
          <w:sz w:val="20"/>
          <w:szCs w:val="20"/>
          <w:lang w:val="es-ES"/>
        </w:rPr>
        <w:t xml:space="preserve"> debido a </w:t>
      </w:r>
      <w:r>
        <w:rPr>
          <w:rFonts w:asciiTheme="majorBidi" w:hAnsiTheme="majorBidi" w:cstheme="majorBidi"/>
          <w:sz w:val="20"/>
          <w:szCs w:val="20"/>
          <w:lang w:val="es-ES"/>
        </w:rPr>
        <w:t xml:space="preserve">que </w:t>
      </w:r>
      <w:r w:rsidRPr="003D4CF9">
        <w:rPr>
          <w:rFonts w:asciiTheme="majorBidi" w:hAnsiTheme="majorBidi" w:cstheme="majorBidi"/>
          <w:sz w:val="20"/>
          <w:szCs w:val="20"/>
          <w:lang w:val="es-ES"/>
        </w:rPr>
        <w:t>e</w:t>
      </w:r>
      <w:r>
        <w:rPr>
          <w:rFonts w:asciiTheme="majorBidi" w:hAnsiTheme="majorBidi" w:cstheme="majorBidi"/>
          <w:sz w:val="20"/>
          <w:szCs w:val="20"/>
          <w:lang w:val="es-ES"/>
        </w:rPr>
        <w:t>l transporte</w:t>
      </w:r>
      <w:r w:rsidRPr="003D4CF9">
        <w:rPr>
          <w:rFonts w:asciiTheme="majorBidi" w:hAnsiTheme="majorBidi" w:cstheme="majorBidi"/>
          <w:sz w:val="20"/>
          <w:szCs w:val="20"/>
          <w:lang w:val="es-ES"/>
        </w:rPr>
        <w:t>, los uniformes y otras necesidades</w:t>
      </w:r>
      <w:r>
        <w:rPr>
          <w:rFonts w:asciiTheme="majorBidi" w:hAnsiTheme="majorBidi" w:cstheme="majorBidi"/>
          <w:sz w:val="20"/>
          <w:szCs w:val="20"/>
          <w:lang w:val="es-ES"/>
        </w:rPr>
        <w:t xml:space="preserve"> son inasequibles</w:t>
      </w:r>
      <w:r w:rsidRPr="003D4CF9">
        <w:rPr>
          <w:rFonts w:asciiTheme="majorBidi" w:hAnsiTheme="majorBidi" w:cstheme="majorBidi"/>
          <w:sz w:val="20"/>
          <w:szCs w:val="20"/>
          <w:lang w:val="es-ES"/>
        </w:rPr>
        <w:t>.</w:t>
      </w:r>
      <w:r>
        <w:rPr>
          <w:rStyle w:val="FootnoteReference"/>
          <w:rFonts w:cstheme="majorBidi"/>
          <w:szCs w:val="20"/>
          <w:lang w:val="es-ES"/>
        </w:rPr>
        <w:footnoteReference w:id="13"/>
      </w:r>
      <w:r w:rsidRPr="003D4CF9">
        <w:rPr>
          <w:rFonts w:asciiTheme="majorBidi" w:hAnsiTheme="majorBidi" w:cstheme="majorBidi"/>
          <w:sz w:val="20"/>
          <w:szCs w:val="20"/>
          <w:lang w:val="es-ES"/>
        </w:rPr>
        <w:t xml:space="preserve"> </w:t>
      </w:r>
    </w:p>
    <w:p w14:paraId="5D86A2BC" w14:textId="77777777" w:rsidR="00E444D5" w:rsidRPr="006569FD" w:rsidRDefault="00E444D5" w:rsidP="00E444D5">
      <w:pPr>
        <w:pStyle w:val="ListParagraph"/>
        <w:numPr>
          <w:ilvl w:val="0"/>
          <w:numId w:val="20"/>
        </w:numPr>
        <w:ind w:left="1170" w:right="1170" w:hanging="36"/>
        <w:rPr>
          <w:rFonts w:asciiTheme="majorBidi" w:hAnsiTheme="majorBidi" w:cstheme="majorBidi"/>
          <w:sz w:val="20"/>
          <w:szCs w:val="20"/>
          <w:lang w:val="es-419"/>
        </w:rPr>
      </w:pPr>
      <w:r w:rsidRPr="008C2834">
        <w:rPr>
          <w:rFonts w:asciiTheme="majorBidi" w:hAnsiTheme="majorBidi" w:cstheme="majorBidi"/>
          <w:sz w:val="20"/>
          <w:szCs w:val="20"/>
          <w:lang w:val="es-ES"/>
        </w:rPr>
        <w:t>Entre el 1 y el 14 de febrero de 2024</w:t>
      </w:r>
      <w:r>
        <w:rPr>
          <w:rFonts w:asciiTheme="majorBidi" w:hAnsiTheme="majorBidi" w:cstheme="majorBidi"/>
          <w:sz w:val="20"/>
          <w:szCs w:val="20"/>
          <w:lang w:val="es-ES"/>
        </w:rPr>
        <w:t>, el Relator Especial de las Naciones Unidas sobre el derecho a la alimentación realizó su primera visita oficial a Venezuela</w:t>
      </w:r>
      <w:r w:rsidRPr="008C2834">
        <w:rPr>
          <w:rFonts w:asciiTheme="majorBidi" w:hAnsiTheme="majorBidi" w:cstheme="majorBidi"/>
          <w:sz w:val="20"/>
          <w:szCs w:val="20"/>
          <w:lang w:val="es-ES"/>
        </w:rPr>
        <w:t xml:space="preserve">. Esta visita puso </w:t>
      </w:r>
      <w:r>
        <w:rPr>
          <w:rFonts w:asciiTheme="majorBidi" w:hAnsiTheme="majorBidi" w:cstheme="majorBidi"/>
          <w:sz w:val="20"/>
          <w:szCs w:val="20"/>
          <w:lang w:val="es-ES"/>
        </w:rPr>
        <w:t>en</w:t>
      </w:r>
      <w:r w:rsidRPr="008C2834">
        <w:rPr>
          <w:rFonts w:asciiTheme="majorBidi" w:hAnsiTheme="majorBidi" w:cstheme="majorBidi"/>
          <w:sz w:val="20"/>
          <w:szCs w:val="20"/>
          <w:lang w:val="es-ES"/>
        </w:rPr>
        <w:t xml:space="preserve"> relieve las medidas adoptadas por el Estado para hacer frente a la inseguridad alimentaria.</w:t>
      </w:r>
      <w:r>
        <w:rPr>
          <w:rStyle w:val="FootnoteReference"/>
          <w:rFonts w:cstheme="majorBidi"/>
          <w:szCs w:val="20"/>
          <w:lang w:val="es-ES"/>
        </w:rPr>
        <w:footnoteReference w:id="14"/>
      </w:r>
      <w:r w:rsidRPr="008C2834">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8C2834">
        <w:rPr>
          <w:rFonts w:asciiTheme="majorBidi" w:hAnsiTheme="majorBidi" w:cstheme="majorBidi"/>
          <w:sz w:val="20"/>
          <w:szCs w:val="20"/>
          <w:lang w:val="es-ES"/>
        </w:rPr>
        <w:t>Relator Especial</w:t>
      </w:r>
      <w:r>
        <w:rPr>
          <w:rFonts w:asciiTheme="majorBidi" w:hAnsiTheme="majorBidi" w:cstheme="majorBidi"/>
          <w:sz w:val="20"/>
          <w:szCs w:val="20"/>
          <w:lang w:val="es-ES"/>
        </w:rPr>
        <w:t xml:space="preserve"> expresó su preocupación</w:t>
      </w:r>
      <w:r w:rsidRPr="008C2834">
        <w:rPr>
          <w:rFonts w:asciiTheme="majorBidi" w:hAnsiTheme="majorBidi" w:cstheme="majorBidi"/>
          <w:sz w:val="20"/>
          <w:szCs w:val="20"/>
          <w:lang w:val="es-ES"/>
        </w:rPr>
        <w:t xml:space="preserve"> </w:t>
      </w:r>
      <w:r>
        <w:rPr>
          <w:rFonts w:asciiTheme="majorBidi" w:hAnsiTheme="majorBidi" w:cstheme="majorBidi"/>
          <w:sz w:val="20"/>
          <w:szCs w:val="20"/>
          <w:lang w:val="es-ES"/>
        </w:rPr>
        <w:t>respecto a</w:t>
      </w:r>
      <w:r w:rsidRPr="008C2834">
        <w:rPr>
          <w:rFonts w:asciiTheme="majorBidi" w:hAnsiTheme="majorBidi" w:cstheme="majorBidi"/>
          <w:sz w:val="20"/>
          <w:szCs w:val="20"/>
          <w:lang w:val="es-ES"/>
        </w:rPr>
        <w:t xml:space="preserve"> que «las medidas coercitivas [unilaterales] limitan significativamente la capacidad del gobierno y del pueblo venezolano para </w:t>
      </w:r>
      <w:r>
        <w:rPr>
          <w:rFonts w:asciiTheme="majorBidi" w:hAnsiTheme="majorBidi" w:cstheme="majorBidi"/>
          <w:sz w:val="20"/>
          <w:szCs w:val="20"/>
          <w:lang w:val="es-ES"/>
        </w:rPr>
        <w:t>lograr</w:t>
      </w:r>
      <w:r w:rsidRPr="008C2834">
        <w:rPr>
          <w:rFonts w:asciiTheme="majorBidi" w:hAnsiTheme="majorBidi" w:cstheme="majorBidi"/>
          <w:sz w:val="20"/>
          <w:szCs w:val="20"/>
          <w:lang w:val="es-ES"/>
        </w:rPr>
        <w:t xml:space="preserve"> el derecho a la alimentación», contribuyendo a la gran escala de inseguridad alimentaria en Venezuela, y afectando desproporcionadamente a mujeres y niñas. Al concluir su visita, el Relator Especial también expresó su preocupación por las denuncias de instrumentalización política de la asistencia social del Estado.</w:t>
      </w:r>
      <w:r>
        <w:rPr>
          <w:rStyle w:val="FootnoteReference"/>
          <w:rFonts w:cstheme="majorBidi"/>
          <w:szCs w:val="20"/>
          <w:lang w:val="es-ES"/>
        </w:rPr>
        <w:footnoteReference w:id="15"/>
      </w:r>
      <w:r w:rsidRPr="008C2834">
        <w:rPr>
          <w:rFonts w:asciiTheme="majorBidi" w:hAnsiTheme="majorBidi" w:cstheme="majorBidi"/>
          <w:sz w:val="20"/>
          <w:szCs w:val="20"/>
          <w:lang w:val="es-ES"/>
        </w:rPr>
        <w:t xml:space="preserve"> </w:t>
      </w:r>
    </w:p>
    <w:p w14:paraId="470ED821" w14:textId="77777777" w:rsidR="00E444D5" w:rsidRPr="008C2834" w:rsidRDefault="00E444D5" w:rsidP="00E444D5">
      <w:pPr>
        <w:pStyle w:val="ListParagraph"/>
        <w:numPr>
          <w:ilvl w:val="0"/>
          <w:numId w:val="20"/>
        </w:numPr>
        <w:ind w:left="1170" w:right="1170" w:hanging="36"/>
        <w:rPr>
          <w:rFonts w:asciiTheme="majorBidi" w:hAnsiTheme="majorBidi" w:cstheme="majorBidi"/>
          <w:sz w:val="20"/>
          <w:szCs w:val="20"/>
          <w:lang w:val="es-419"/>
        </w:rPr>
      </w:pPr>
      <w:r w:rsidRPr="008C2834">
        <w:rPr>
          <w:rFonts w:asciiTheme="majorBidi" w:hAnsiTheme="majorBidi" w:cstheme="majorBidi"/>
          <w:sz w:val="20"/>
          <w:szCs w:val="20"/>
          <w:lang w:val="es-ES"/>
        </w:rPr>
        <w:t>El ACNUDH reitera su recomendación a las autoridades de</w:t>
      </w:r>
      <w:r>
        <w:rPr>
          <w:rFonts w:asciiTheme="majorBidi" w:hAnsiTheme="majorBidi" w:cstheme="majorBidi"/>
          <w:sz w:val="20"/>
          <w:szCs w:val="20"/>
          <w:lang w:val="es-ES"/>
        </w:rPr>
        <w:t xml:space="preserve"> adoptar</w:t>
      </w:r>
      <w:r w:rsidRPr="008C2834">
        <w:rPr>
          <w:rFonts w:asciiTheme="majorBidi" w:hAnsiTheme="majorBidi" w:cstheme="majorBidi"/>
          <w:sz w:val="20"/>
          <w:szCs w:val="20"/>
          <w:lang w:val="es-ES"/>
        </w:rPr>
        <w:t xml:space="preserve"> todas las medidas necesarias, incluso programas para mejorar el acceso a los alimentos, a fin de garantizar la disponibilidad y accesibilidad de alimentos en cantidad y calidad suficientes.</w:t>
      </w:r>
      <w:r>
        <w:rPr>
          <w:rStyle w:val="FootnoteReference"/>
          <w:rFonts w:cstheme="majorBidi"/>
          <w:szCs w:val="20"/>
          <w:lang w:val="es-ES"/>
        </w:rPr>
        <w:footnoteReference w:id="16"/>
      </w:r>
    </w:p>
    <w:p w14:paraId="7E633C7C" w14:textId="59978017" w:rsidR="00E444D5" w:rsidRDefault="00E444D5" w:rsidP="00E444D5">
      <w:pPr>
        <w:pStyle w:val="H1G"/>
        <w:numPr>
          <w:ilvl w:val="0"/>
          <w:numId w:val="31"/>
        </w:numPr>
        <w:ind w:left="1134" w:hanging="425"/>
        <w:rPr>
          <w:rFonts w:eastAsiaTheme="minorHAnsi"/>
        </w:rPr>
      </w:pPr>
      <w:r w:rsidRPr="006C16EA">
        <w:t>Derechos Laborales</w:t>
      </w:r>
    </w:p>
    <w:p w14:paraId="672BD9DB" w14:textId="77777777" w:rsidR="00E444D5" w:rsidRDefault="00E444D5" w:rsidP="00E444D5">
      <w:pPr>
        <w:pStyle w:val="ListParagraph"/>
        <w:numPr>
          <w:ilvl w:val="0"/>
          <w:numId w:val="20"/>
        </w:numPr>
        <w:tabs>
          <w:tab w:val="left" w:pos="1170"/>
          <w:tab w:val="left" w:pos="1260"/>
          <w:tab w:val="left" w:pos="1980"/>
          <w:tab w:val="left" w:pos="8100"/>
        </w:tabs>
        <w:ind w:left="1170" w:right="1170" w:hanging="36"/>
        <w:rPr>
          <w:rFonts w:asciiTheme="majorBidi" w:hAnsiTheme="majorBidi" w:cstheme="majorBidi"/>
          <w:sz w:val="20"/>
          <w:szCs w:val="20"/>
          <w:lang w:val="es-ES"/>
        </w:rPr>
      </w:pPr>
      <w:r w:rsidRPr="004D7629">
        <w:rPr>
          <w:rFonts w:asciiTheme="majorBidi" w:hAnsiTheme="majorBidi" w:cstheme="majorBidi"/>
          <w:sz w:val="20"/>
          <w:szCs w:val="20"/>
          <w:lang w:val="es-ES"/>
        </w:rPr>
        <w:t>Entre el 1 y el 2 de febrero de 2024, la Organización Internacional del Trabajo (OIT) facilitó la cuarta sesión del Foro de Diálogo Social entre empleadores, sindicatos y el Gobierno.</w:t>
      </w:r>
      <w:r>
        <w:rPr>
          <w:rStyle w:val="FootnoteReference"/>
          <w:rFonts w:cstheme="majorBidi"/>
          <w:szCs w:val="20"/>
          <w:lang w:val="es-ES"/>
        </w:rPr>
        <w:footnoteReference w:id="17"/>
      </w:r>
      <w:r>
        <w:rPr>
          <w:rFonts w:asciiTheme="majorBidi" w:hAnsiTheme="majorBidi" w:cstheme="majorBidi"/>
          <w:sz w:val="20"/>
          <w:szCs w:val="20"/>
          <w:lang w:val="es-ES"/>
        </w:rPr>
        <w:t xml:space="preserve"> </w:t>
      </w:r>
      <w:r w:rsidRPr="002A45D1">
        <w:rPr>
          <w:rFonts w:asciiTheme="majorBidi" w:hAnsiTheme="majorBidi" w:cstheme="majorBidi"/>
          <w:sz w:val="20"/>
          <w:szCs w:val="20"/>
          <w:lang w:val="es-ES"/>
        </w:rPr>
        <w:t>En marzo de 2024, el Consejo de Administración de la OIT instó al Gobierno a</w:t>
      </w:r>
      <w:r>
        <w:rPr>
          <w:rFonts w:asciiTheme="majorBidi" w:hAnsiTheme="majorBidi" w:cstheme="majorBidi"/>
          <w:sz w:val="20"/>
          <w:szCs w:val="20"/>
          <w:lang w:val="es-ES"/>
        </w:rPr>
        <w:t xml:space="preserve"> seguir</w:t>
      </w:r>
      <w:r w:rsidRPr="002A45D1">
        <w:rPr>
          <w:rFonts w:asciiTheme="majorBidi" w:hAnsiTheme="majorBidi" w:cstheme="majorBidi"/>
          <w:sz w:val="20"/>
          <w:szCs w:val="20"/>
          <w:lang w:val="es-ES"/>
        </w:rPr>
        <w:t xml:space="preserve"> acelera</w:t>
      </w:r>
      <w:r>
        <w:rPr>
          <w:rFonts w:asciiTheme="majorBidi" w:hAnsiTheme="majorBidi" w:cstheme="majorBidi"/>
          <w:sz w:val="20"/>
          <w:szCs w:val="20"/>
          <w:lang w:val="es-ES"/>
        </w:rPr>
        <w:t>ndo</w:t>
      </w:r>
      <w:r w:rsidRPr="002A45D1">
        <w:rPr>
          <w:rFonts w:asciiTheme="majorBidi" w:hAnsiTheme="majorBidi" w:cstheme="majorBidi"/>
          <w:sz w:val="20"/>
          <w:szCs w:val="20"/>
          <w:lang w:val="es-ES"/>
        </w:rPr>
        <w:t xml:space="preserve"> la </w:t>
      </w:r>
      <w:r>
        <w:rPr>
          <w:rFonts w:asciiTheme="majorBidi" w:hAnsiTheme="majorBidi" w:cstheme="majorBidi"/>
          <w:sz w:val="20"/>
          <w:szCs w:val="20"/>
          <w:lang w:val="es-ES"/>
        </w:rPr>
        <w:t>implementación</w:t>
      </w:r>
      <w:r w:rsidRPr="002A45D1">
        <w:rPr>
          <w:rFonts w:asciiTheme="majorBidi" w:hAnsiTheme="majorBidi" w:cstheme="majorBidi"/>
          <w:sz w:val="20"/>
          <w:szCs w:val="20"/>
          <w:lang w:val="es-ES"/>
        </w:rPr>
        <w:t xml:space="preserve"> de los compromisos asumidos en el Foro</w:t>
      </w:r>
      <w:r>
        <w:rPr>
          <w:rFonts w:asciiTheme="majorBidi" w:hAnsiTheme="majorBidi" w:cstheme="majorBidi"/>
          <w:sz w:val="20"/>
          <w:szCs w:val="20"/>
          <w:lang w:val="es-ES"/>
        </w:rPr>
        <w:t>.</w:t>
      </w:r>
      <w:r>
        <w:rPr>
          <w:rStyle w:val="FootnoteReference"/>
          <w:rFonts w:cstheme="majorBidi"/>
          <w:szCs w:val="20"/>
          <w:lang w:val="es-ES"/>
        </w:rPr>
        <w:footnoteReference w:id="18"/>
      </w:r>
      <w:r w:rsidRPr="004D7629">
        <w:rPr>
          <w:rFonts w:asciiTheme="majorBidi" w:hAnsiTheme="majorBidi" w:cstheme="majorBidi"/>
          <w:sz w:val="20"/>
          <w:szCs w:val="20"/>
          <w:lang w:val="es-ES"/>
        </w:rPr>
        <w:t xml:space="preserve"> El ACNUDH acoge con satisfacción </w:t>
      </w:r>
      <w:r>
        <w:rPr>
          <w:rFonts w:asciiTheme="majorBidi" w:hAnsiTheme="majorBidi" w:cstheme="majorBidi"/>
          <w:sz w:val="20"/>
          <w:szCs w:val="20"/>
          <w:lang w:val="es-ES"/>
        </w:rPr>
        <w:t>los renovados compromisos acordado en este último Foro</w:t>
      </w:r>
      <w:r w:rsidRPr="004D7629">
        <w:rPr>
          <w:rFonts w:asciiTheme="majorBidi" w:hAnsiTheme="majorBidi" w:cstheme="majorBidi"/>
          <w:sz w:val="20"/>
          <w:szCs w:val="20"/>
          <w:lang w:val="es-ES"/>
        </w:rPr>
        <w:t xml:space="preserve"> relativ</w:t>
      </w:r>
      <w:r>
        <w:rPr>
          <w:rFonts w:asciiTheme="majorBidi" w:hAnsiTheme="majorBidi" w:cstheme="majorBidi"/>
          <w:sz w:val="20"/>
          <w:szCs w:val="20"/>
          <w:lang w:val="es-ES"/>
        </w:rPr>
        <w:t>o</w:t>
      </w:r>
      <w:r w:rsidRPr="004D7629">
        <w:rPr>
          <w:rFonts w:asciiTheme="majorBidi" w:hAnsiTheme="majorBidi" w:cstheme="majorBidi"/>
          <w:sz w:val="20"/>
          <w:szCs w:val="20"/>
          <w:lang w:val="es-ES"/>
        </w:rPr>
        <w:t xml:space="preserve">s a los Convenios </w:t>
      </w:r>
      <w:proofErr w:type="spellStart"/>
      <w:r w:rsidRPr="004D7629">
        <w:rPr>
          <w:rFonts w:asciiTheme="majorBidi" w:hAnsiTheme="majorBidi" w:cstheme="majorBidi"/>
          <w:sz w:val="20"/>
          <w:szCs w:val="20"/>
          <w:lang w:val="es-ES"/>
        </w:rPr>
        <w:t>nº</w:t>
      </w:r>
      <w:proofErr w:type="spellEnd"/>
      <w:r w:rsidRPr="004D7629">
        <w:rPr>
          <w:rFonts w:asciiTheme="majorBidi" w:hAnsiTheme="majorBidi" w:cstheme="majorBidi"/>
          <w:sz w:val="20"/>
          <w:szCs w:val="20"/>
          <w:lang w:val="es-ES"/>
        </w:rPr>
        <w:t xml:space="preserve"> 26, </w:t>
      </w:r>
      <w:proofErr w:type="spellStart"/>
      <w:r w:rsidRPr="004D7629">
        <w:rPr>
          <w:rFonts w:asciiTheme="majorBidi" w:hAnsiTheme="majorBidi" w:cstheme="majorBidi"/>
          <w:sz w:val="20"/>
          <w:szCs w:val="20"/>
          <w:lang w:val="es-ES"/>
        </w:rPr>
        <w:t>nº</w:t>
      </w:r>
      <w:proofErr w:type="spellEnd"/>
      <w:r w:rsidRPr="004D7629">
        <w:rPr>
          <w:rFonts w:asciiTheme="majorBidi" w:hAnsiTheme="majorBidi" w:cstheme="majorBidi"/>
          <w:sz w:val="20"/>
          <w:szCs w:val="20"/>
          <w:lang w:val="es-ES"/>
        </w:rPr>
        <w:t xml:space="preserve"> 87 y </w:t>
      </w:r>
      <w:proofErr w:type="spellStart"/>
      <w:r w:rsidRPr="004D7629">
        <w:rPr>
          <w:rFonts w:asciiTheme="majorBidi" w:hAnsiTheme="majorBidi" w:cstheme="majorBidi"/>
          <w:sz w:val="20"/>
          <w:szCs w:val="20"/>
          <w:lang w:val="es-ES"/>
        </w:rPr>
        <w:t>nº</w:t>
      </w:r>
      <w:proofErr w:type="spellEnd"/>
      <w:r w:rsidRPr="004D7629">
        <w:rPr>
          <w:rFonts w:asciiTheme="majorBidi" w:hAnsiTheme="majorBidi" w:cstheme="majorBidi"/>
          <w:sz w:val="20"/>
          <w:szCs w:val="20"/>
          <w:lang w:val="es-ES"/>
        </w:rPr>
        <w:t xml:space="preserve"> 144</w:t>
      </w:r>
      <w:r>
        <w:rPr>
          <w:rStyle w:val="FootnoteReference"/>
          <w:rFonts w:cstheme="majorBidi"/>
          <w:szCs w:val="20"/>
          <w:lang w:val="es-ES"/>
        </w:rPr>
        <w:footnoteReference w:id="19"/>
      </w:r>
      <w:r w:rsidRPr="004D7629">
        <w:rPr>
          <w:rFonts w:asciiTheme="majorBidi" w:hAnsiTheme="majorBidi" w:cstheme="majorBidi"/>
          <w:sz w:val="20"/>
          <w:szCs w:val="20"/>
          <w:lang w:val="es-ES"/>
        </w:rPr>
        <w:t xml:space="preserve"> de la OIT y alienta</w:t>
      </w:r>
      <w:r w:rsidRPr="008A6754">
        <w:rPr>
          <w:rFonts w:asciiTheme="majorBidi" w:hAnsiTheme="majorBidi" w:cstheme="majorBidi"/>
          <w:sz w:val="20"/>
          <w:szCs w:val="20"/>
          <w:lang w:val="es-ES"/>
        </w:rPr>
        <w:t xml:space="preserve"> a seguir actuando para abordar los retos pendientes en estos ámbitos</w:t>
      </w:r>
      <w:r>
        <w:rPr>
          <w:rFonts w:asciiTheme="majorBidi" w:hAnsiTheme="majorBidi" w:cstheme="majorBidi"/>
          <w:sz w:val="20"/>
          <w:szCs w:val="20"/>
          <w:lang w:val="es-ES"/>
        </w:rPr>
        <w:t>.</w:t>
      </w:r>
    </w:p>
    <w:p w14:paraId="18519E99" w14:textId="77777777" w:rsidR="00E444D5" w:rsidRPr="0077206E" w:rsidRDefault="00E444D5" w:rsidP="00E444D5">
      <w:pPr>
        <w:pStyle w:val="ListParagraph"/>
        <w:tabs>
          <w:tab w:val="left" w:pos="1170"/>
          <w:tab w:val="left" w:pos="1260"/>
          <w:tab w:val="left" w:pos="1980"/>
          <w:tab w:val="left" w:pos="8100"/>
        </w:tabs>
        <w:ind w:left="1170" w:right="1170" w:hanging="36"/>
        <w:rPr>
          <w:rFonts w:asciiTheme="majorBidi" w:hAnsiTheme="majorBidi" w:cstheme="majorBidi"/>
          <w:sz w:val="20"/>
          <w:szCs w:val="20"/>
          <w:lang w:val="es-ES"/>
        </w:rPr>
      </w:pPr>
    </w:p>
    <w:p w14:paraId="0E3E069D" w14:textId="77777777" w:rsidR="00E444D5" w:rsidRDefault="00E444D5" w:rsidP="00E444D5">
      <w:pPr>
        <w:pStyle w:val="ListParagraph"/>
        <w:numPr>
          <w:ilvl w:val="0"/>
          <w:numId w:val="20"/>
        </w:numPr>
        <w:tabs>
          <w:tab w:val="left" w:pos="1170"/>
          <w:tab w:val="left" w:pos="1260"/>
          <w:tab w:val="left" w:pos="1980"/>
          <w:tab w:val="left" w:pos="8100"/>
        </w:tabs>
        <w:ind w:left="1170" w:right="1170" w:hanging="36"/>
        <w:rPr>
          <w:rFonts w:asciiTheme="majorBidi" w:hAnsiTheme="majorBidi" w:cstheme="majorBidi"/>
          <w:sz w:val="20"/>
          <w:szCs w:val="20"/>
          <w:lang w:val="es-ES"/>
        </w:rPr>
      </w:pPr>
      <w:r w:rsidRPr="001A1662">
        <w:rPr>
          <w:rFonts w:asciiTheme="majorBidi" w:hAnsiTheme="majorBidi" w:cstheme="majorBidi"/>
          <w:sz w:val="20"/>
          <w:szCs w:val="20"/>
          <w:lang w:val="es-ES"/>
        </w:rPr>
        <w:t>La ACNUDH toma nota del aumento anunciado del «bono de guerra económica» de entre 13 y 34 USD, a 60 USD y del bono de alimentación a 40 USD, en las transferencias directas mensuales en efectivo a todos los empleados del sector público. Sin embargo, el salario mínimo se mantiene en 130 bolívares mensuales (3,61 USD), sin cambios desde marzo de 2022. Con la inflación, esto también reduce efectivamente las pensiones y contribuye al aumento de los niveles de pobreza y a la falta de acceso a productos esenciales, ya que el cost</w:t>
      </w:r>
      <w:r>
        <w:rPr>
          <w:rFonts w:asciiTheme="majorBidi" w:hAnsiTheme="majorBidi" w:cstheme="majorBidi"/>
          <w:sz w:val="20"/>
          <w:szCs w:val="20"/>
          <w:lang w:val="es-ES"/>
        </w:rPr>
        <w:t>o</w:t>
      </w:r>
      <w:r w:rsidRPr="001A1662">
        <w:rPr>
          <w:rFonts w:asciiTheme="majorBidi" w:hAnsiTheme="majorBidi" w:cstheme="majorBidi"/>
          <w:sz w:val="20"/>
          <w:szCs w:val="20"/>
          <w:lang w:val="es-ES"/>
        </w:rPr>
        <w:t xml:space="preserve"> de la cesta básica de alimentos era, según </w:t>
      </w:r>
      <w:r>
        <w:rPr>
          <w:rFonts w:asciiTheme="majorBidi" w:hAnsiTheme="majorBidi" w:cstheme="majorBidi"/>
          <w:sz w:val="20"/>
          <w:szCs w:val="20"/>
          <w:lang w:val="es-ES"/>
        </w:rPr>
        <w:t>se reporta</w:t>
      </w:r>
      <w:r w:rsidRPr="001A1662">
        <w:rPr>
          <w:rFonts w:asciiTheme="majorBidi" w:hAnsiTheme="majorBidi" w:cstheme="majorBidi"/>
          <w:sz w:val="20"/>
          <w:szCs w:val="20"/>
          <w:lang w:val="es-ES"/>
        </w:rPr>
        <w:t>, equivalente a 554,26 USD en marzo de 2024.</w:t>
      </w:r>
      <w:r>
        <w:rPr>
          <w:rStyle w:val="FootnoteReference"/>
          <w:rFonts w:cstheme="majorBidi"/>
          <w:szCs w:val="20"/>
          <w:lang w:val="es-ES"/>
        </w:rPr>
        <w:footnoteReference w:id="20"/>
      </w:r>
      <w:r w:rsidRPr="001A1662">
        <w:rPr>
          <w:rFonts w:asciiTheme="majorBidi" w:hAnsiTheme="majorBidi" w:cstheme="majorBidi"/>
          <w:sz w:val="20"/>
          <w:szCs w:val="20"/>
          <w:lang w:val="es-ES"/>
        </w:rPr>
        <w:t xml:space="preserve"> Esto genera preocupaci</w:t>
      </w:r>
      <w:r>
        <w:rPr>
          <w:rFonts w:asciiTheme="majorBidi" w:hAnsiTheme="majorBidi" w:cstheme="majorBidi"/>
          <w:sz w:val="20"/>
          <w:szCs w:val="20"/>
          <w:lang w:val="es-ES"/>
        </w:rPr>
        <w:t>ones</w:t>
      </w:r>
      <w:r w:rsidRPr="001A1662">
        <w:rPr>
          <w:rFonts w:asciiTheme="majorBidi" w:hAnsiTheme="majorBidi" w:cstheme="majorBidi"/>
          <w:sz w:val="20"/>
          <w:szCs w:val="20"/>
          <w:lang w:val="es-ES"/>
        </w:rPr>
        <w:t xml:space="preserve"> sobre el derecho a un nivel de vida adecuado de la población en Venezuela. </w:t>
      </w:r>
      <w:r>
        <w:rPr>
          <w:rFonts w:asciiTheme="majorBidi" w:hAnsiTheme="majorBidi" w:cstheme="majorBidi"/>
          <w:sz w:val="20"/>
          <w:szCs w:val="20"/>
          <w:lang w:val="es-ES"/>
        </w:rPr>
        <w:t>El ACNUDH</w:t>
      </w:r>
      <w:r w:rsidRPr="001A1662">
        <w:rPr>
          <w:rFonts w:asciiTheme="majorBidi" w:hAnsiTheme="majorBidi" w:cstheme="majorBidi"/>
          <w:sz w:val="20"/>
          <w:szCs w:val="20"/>
          <w:lang w:val="es-ES"/>
        </w:rPr>
        <w:t xml:space="preserve"> recuerda que el criterio mínimo de remuneración incluye salarios justos que aseguren la garantía de una vida digna para los trabajadores y sus familias.</w:t>
      </w:r>
      <w:r>
        <w:rPr>
          <w:rStyle w:val="FootnoteReference"/>
          <w:rFonts w:cstheme="majorBidi"/>
          <w:szCs w:val="20"/>
          <w:lang w:val="es-ES"/>
        </w:rPr>
        <w:footnoteReference w:id="21"/>
      </w:r>
      <w:r w:rsidRPr="001A1662">
        <w:rPr>
          <w:rFonts w:asciiTheme="majorBidi" w:hAnsiTheme="majorBidi" w:cstheme="majorBidi"/>
          <w:sz w:val="20"/>
          <w:szCs w:val="20"/>
          <w:lang w:val="es-ES"/>
        </w:rPr>
        <w:t xml:space="preserve"> </w:t>
      </w:r>
    </w:p>
    <w:p w14:paraId="7C905CE5" w14:textId="77777777" w:rsidR="00E444D5" w:rsidRDefault="00E444D5" w:rsidP="00E444D5">
      <w:pPr>
        <w:pStyle w:val="ListParagraph"/>
        <w:tabs>
          <w:tab w:val="left" w:pos="1170"/>
          <w:tab w:val="left" w:pos="1260"/>
          <w:tab w:val="left" w:pos="1980"/>
          <w:tab w:val="left" w:pos="8100"/>
        </w:tabs>
        <w:ind w:left="1170" w:right="1170" w:hanging="36"/>
        <w:rPr>
          <w:rFonts w:asciiTheme="majorBidi" w:hAnsiTheme="majorBidi" w:cstheme="majorBidi"/>
          <w:sz w:val="20"/>
          <w:szCs w:val="20"/>
          <w:lang w:val="es-ES"/>
        </w:rPr>
      </w:pPr>
    </w:p>
    <w:p w14:paraId="4948AF4F" w14:textId="77777777" w:rsidR="00E444D5" w:rsidRDefault="00E444D5" w:rsidP="00E444D5">
      <w:pPr>
        <w:pStyle w:val="ListParagraph"/>
        <w:numPr>
          <w:ilvl w:val="0"/>
          <w:numId w:val="20"/>
        </w:numPr>
        <w:tabs>
          <w:tab w:val="left" w:pos="1170"/>
          <w:tab w:val="left" w:pos="1260"/>
          <w:tab w:val="left" w:pos="1980"/>
          <w:tab w:val="left" w:pos="8100"/>
        </w:tabs>
        <w:ind w:left="1170" w:right="1170" w:hanging="36"/>
        <w:rPr>
          <w:rFonts w:asciiTheme="majorBidi" w:hAnsiTheme="majorBidi" w:cstheme="majorBidi"/>
          <w:sz w:val="20"/>
          <w:szCs w:val="20"/>
          <w:lang w:val="es-ES"/>
        </w:rPr>
      </w:pPr>
      <w:r w:rsidRPr="00526CB6">
        <w:rPr>
          <w:rFonts w:asciiTheme="majorBidi" w:hAnsiTheme="majorBidi" w:cstheme="majorBidi"/>
          <w:sz w:val="20"/>
          <w:szCs w:val="20"/>
          <w:lang w:val="es-ES"/>
        </w:rPr>
        <w:t xml:space="preserve">Durante el período que se examina, se plantearon preocupaciones por parte de </w:t>
      </w:r>
      <w:r>
        <w:rPr>
          <w:rFonts w:asciiTheme="majorBidi" w:hAnsiTheme="majorBidi" w:cstheme="majorBidi"/>
          <w:sz w:val="20"/>
          <w:szCs w:val="20"/>
          <w:lang w:val="es-ES"/>
        </w:rPr>
        <w:t xml:space="preserve">personas </w:t>
      </w:r>
      <w:r w:rsidRPr="00526CB6">
        <w:rPr>
          <w:rFonts w:asciiTheme="majorBidi" w:hAnsiTheme="majorBidi" w:cstheme="majorBidi"/>
          <w:sz w:val="20"/>
          <w:szCs w:val="20"/>
          <w:lang w:val="es-ES"/>
        </w:rPr>
        <w:t>jubilad</w:t>
      </w:r>
      <w:r>
        <w:rPr>
          <w:rFonts w:asciiTheme="majorBidi" w:hAnsiTheme="majorBidi" w:cstheme="majorBidi"/>
          <w:sz w:val="20"/>
          <w:szCs w:val="20"/>
          <w:lang w:val="es-ES"/>
        </w:rPr>
        <w:t>a</w:t>
      </w:r>
      <w:r w:rsidRPr="00526CB6">
        <w:rPr>
          <w:rFonts w:asciiTheme="majorBidi" w:hAnsiTheme="majorBidi" w:cstheme="majorBidi"/>
          <w:sz w:val="20"/>
          <w:szCs w:val="20"/>
          <w:lang w:val="es-ES"/>
        </w:rPr>
        <w:t>s, much</w:t>
      </w:r>
      <w:r>
        <w:rPr>
          <w:rFonts w:asciiTheme="majorBidi" w:hAnsiTheme="majorBidi" w:cstheme="majorBidi"/>
          <w:sz w:val="20"/>
          <w:szCs w:val="20"/>
          <w:lang w:val="es-ES"/>
        </w:rPr>
        <w:t>a</w:t>
      </w:r>
      <w:r w:rsidRPr="00526CB6">
        <w:rPr>
          <w:rFonts w:asciiTheme="majorBidi" w:hAnsiTheme="majorBidi" w:cstheme="majorBidi"/>
          <w:sz w:val="20"/>
          <w:szCs w:val="20"/>
          <w:lang w:val="es-ES"/>
        </w:rPr>
        <w:t>s de ell</w:t>
      </w:r>
      <w:r>
        <w:rPr>
          <w:rFonts w:asciiTheme="majorBidi" w:hAnsiTheme="majorBidi" w:cstheme="majorBidi"/>
          <w:sz w:val="20"/>
          <w:szCs w:val="20"/>
          <w:lang w:val="es-ES"/>
        </w:rPr>
        <w:t>a</w:t>
      </w:r>
      <w:r w:rsidRPr="00526CB6">
        <w:rPr>
          <w:rFonts w:asciiTheme="majorBidi" w:hAnsiTheme="majorBidi" w:cstheme="majorBidi"/>
          <w:sz w:val="20"/>
          <w:szCs w:val="20"/>
          <w:lang w:val="es-ES"/>
        </w:rPr>
        <w:t>s en situación de vulnerabilidad, incapaces de cubrir sus necesidades básicas, como alimentos, medicinas y tratamiento médico.</w:t>
      </w:r>
      <w:r w:rsidRPr="00526CB6">
        <w:rPr>
          <w:rStyle w:val="FootnoteReference"/>
          <w:rFonts w:cstheme="majorBidi"/>
          <w:szCs w:val="20"/>
          <w:lang w:val="es-ES"/>
        </w:rPr>
        <w:footnoteReference w:id="22"/>
      </w:r>
      <w:r w:rsidRPr="00526CB6">
        <w:rPr>
          <w:rFonts w:asciiTheme="majorBidi" w:hAnsiTheme="majorBidi" w:cstheme="majorBidi"/>
          <w:sz w:val="20"/>
          <w:szCs w:val="20"/>
          <w:lang w:val="es-ES"/>
        </w:rPr>
        <w:t xml:space="preserve"> El 26 de septiembre de 2023, aproximadamente nueve jubilados de Petróleos de Venezuela S.A. (PDVSA) </w:t>
      </w:r>
      <w:r w:rsidRPr="00526CB6">
        <w:rPr>
          <w:rFonts w:asciiTheme="majorBidi" w:hAnsiTheme="majorBidi" w:cstheme="majorBidi"/>
          <w:sz w:val="20"/>
          <w:szCs w:val="20"/>
          <w:lang w:val="es-ES"/>
        </w:rPr>
        <w:lastRenderedPageBreak/>
        <w:t>iniciaron una huelga de hambre que duró 18 días, ante la falta de respuesta a las demandas de pago de los haberes de su fondo de pensiones, lo que habría afectado sus condiciones de vida. A pesar de la creación de una mesa de negociación por parte de PDVSA, no ha habido ninguna resolución.</w:t>
      </w:r>
    </w:p>
    <w:p w14:paraId="047A35C1" w14:textId="77777777" w:rsidR="00E444D5" w:rsidRPr="00526CB6" w:rsidRDefault="00E444D5" w:rsidP="00E444D5">
      <w:pPr>
        <w:pStyle w:val="ListParagraph"/>
        <w:tabs>
          <w:tab w:val="left" w:pos="1170"/>
          <w:tab w:val="left" w:pos="1260"/>
          <w:tab w:val="left" w:pos="1980"/>
          <w:tab w:val="left" w:pos="8100"/>
        </w:tabs>
        <w:ind w:left="1170" w:right="1170" w:hanging="36"/>
        <w:rPr>
          <w:rFonts w:asciiTheme="majorBidi" w:hAnsiTheme="majorBidi" w:cstheme="majorBidi"/>
          <w:sz w:val="20"/>
          <w:szCs w:val="20"/>
          <w:lang w:val="es-ES"/>
        </w:rPr>
      </w:pPr>
    </w:p>
    <w:p w14:paraId="5F6CEE99" w14:textId="77777777" w:rsidR="00E444D5" w:rsidRDefault="00E444D5" w:rsidP="00E444D5">
      <w:pPr>
        <w:pStyle w:val="ListParagraph"/>
        <w:numPr>
          <w:ilvl w:val="0"/>
          <w:numId w:val="20"/>
        </w:numPr>
        <w:tabs>
          <w:tab w:val="left" w:pos="1170"/>
          <w:tab w:val="left" w:pos="1260"/>
          <w:tab w:val="left" w:pos="1980"/>
          <w:tab w:val="left" w:pos="8100"/>
        </w:tabs>
        <w:ind w:left="1170" w:right="1170" w:hanging="36"/>
        <w:rPr>
          <w:rFonts w:asciiTheme="majorBidi" w:hAnsiTheme="majorBidi" w:cstheme="majorBidi"/>
          <w:sz w:val="20"/>
          <w:szCs w:val="20"/>
          <w:lang w:val="es-ES"/>
        </w:rPr>
      </w:pPr>
      <w:r w:rsidRPr="00ED1BD0">
        <w:rPr>
          <w:rFonts w:asciiTheme="majorBidi" w:hAnsiTheme="majorBidi" w:cstheme="majorBidi"/>
          <w:sz w:val="20"/>
          <w:szCs w:val="20"/>
          <w:lang w:val="es-ES"/>
        </w:rPr>
        <w:t xml:space="preserve">Enero de 2024 estuvo marcado por protestas en todo el país de empleados del sector público que reclamaban mejores condiciones de trabajo, incluido un salario digno. Muchos indicaron que se veían obligados a buscar otras fuentes de ingreso para sobrevivir y mantener a sus familias. </w:t>
      </w:r>
      <w:r w:rsidRPr="00B564A0">
        <w:rPr>
          <w:rFonts w:asciiTheme="majorBidi" w:hAnsiTheme="majorBidi" w:cstheme="majorBidi"/>
          <w:sz w:val="20"/>
          <w:szCs w:val="20"/>
          <w:lang w:val="es-ES"/>
        </w:rPr>
        <w:t>No se registró ningún incidente significativo durante las protestas.</w:t>
      </w:r>
    </w:p>
    <w:p w14:paraId="3538B7FD" w14:textId="01DEB57D" w:rsidR="00E444D5" w:rsidRDefault="00E444D5" w:rsidP="00E444D5">
      <w:pPr>
        <w:pStyle w:val="H1G"/>
        <w:numPr>
          <w:ilvl w:val="0"/>
          <w:numId w:val="31"/>
        </w:numPr>
        <w:tabs>
          <w:tab w:val="clear" w:pos="851"/>
          <w:tab w:val="right" w:pos="1134"/>
        </w:tabs>
        <w:ind w:left="1134" w:hanging="567"/>
        <w:rPr>
          <w:lang w:val="en-GB"/>
        </w:rPr>
      </w:pPr>
      <w:proofErr w:type="spellStart"/>
      <w:r w:rsidRPr="006C16EA">
        <w:rPr>
          <w:lang w:val="en-GB"/>
        </w:rPr>
        <w:t>Derecho</w:t>
      </w:r>
      <w:proofErr w:type="spellEnd"/>
      <w:r w:rsidRPr="006C16EA">
        <w:rPr>
          <w:lang w:val="en-GB"/>
        </w:rPr>
        <w:t xml:space="preserve"> a la </w:t>
      </w:r>
      <w:proofErr w:type="spellStart"/>
      <w:r w:rsidRPr="006C16EA">
        <w:rPr>
          <w:lang w:val="en-GB"/>
        </w:rPr>
        <w:t>Salud</w:t>
      </w:r>
      <w:proofErr w:type="spellEnd"/>
    </w:p>
    <w:p w14:paraId="3471BCFA" w14:textId="77777777" w:rsidR="00E444D5" w:rsidRDefault="00E444D5" w:rsidP="00E444D5">
      <w:pPr>
        <w:pStyle w:val="ListParagraph"/>
        <w:numPr>
          <w:ilvl w:val="0"/>
          <w:numId w:val="20"/>
        </w:numPr>
        <w:ind w:left="1134" w:right="1170" w:firstLine="0"/>
        <w:rPr>
          <w:rFonts w:asciiTheme="majorBidi" w:hAnsiTheme="majorBidi" w:cstheme="majorBidi"/>
          <w:sz w:val="20"/>
          <w:szCs w:val="20"/>
          <w:lang w:val="es-ES"/>
        </w:rPr>
      </w:pPr>
      <w:r w:rsidRPr="008C2834">
        <w:rPr>
          <w:rFonts w:asciiTheme="majorBidi" w:hAnsiTheme="majorBidi" w:cstheme="majorBidi"/>
          <w:sz w:val="20"/>
          <w:szCs w:val="20"/>
          <w:lang w:val="es-ES"/>
        </w:rPr>
        <w:t>El ACNUDH toma nota de los esfuerzos del Gobierno para hacer frente a las enfermedades infecciosas mediante programas de sensibilización en todo el territorio nacional y el fortalecimiento de las capacidades de vigilancia epidemiológica. La renovación del programa de vacunación, con el apoyo de</w:t>
      </w:r>
      <w:r>
        <w:rPr>
          <w:rFonts w:asciiTheme="majorBidi" w:hAnsiTheme="majorBidi" w:cstheme="majorBidi"/>
          <w:sz w:val="20"/>
          <w:szCs w:val="20"/>
          <w:lang w:val="es-ES"/>
        </w:rPr>
        <w:t>l Fondo de las Naciones Unidas para la Infancia</w:t>
      </w:r>
      <w:r w:rsidRPr="008C2834">
        <w:rPr>
          <w:rFonts w:asciiTheme="majorBidi" w:hAnsiTheme="majorBidi" w:cstheme="majorBidi"/>
          <w:sz w:val="20"/>
          <w:szCs w:val="20"/>
          <w:lang w:val="es-ES"/>
        </w:rPr>
        <w:t xml:space="preserve"> </w:t>
      </w:r>
      <w:r>
        <w:rPr>
          <w:rFonts w:asciiTheme="majorBidi" w:hAnsiTheme="majorBidi" w:cstheme="majorBidi"/>
          <w:sz w:val="20"/>
          <w:szCs w:val="20"/>
          <w:lang w:val="es-ES"/>
        </w:rPr>
        <w:t>(</w:t>
      </w:r>
      <w:r w:rsidRPr="008C2834">
        <w:rPr>
          <w:rFonts w:asciiTheme="majorBidi" w:hAnsiTheme="majorBidi" w:cstheme="majorBidi"/>
          <w:sz w:val="20"/>
          <w:szCs w:val="20"/>
          <w:lang w:val="es-ES"/>
        </w:rPr>
        <w:t>UNICEF</w:t>
      </w:r>
      <w:r>
        <w:rPr>
          <w:rFonts w:asciiTheme="majorBidi" w:hAnsiTheme="majorBidi" w:cstheme="majorBidi"/>
          <w:sz w:val="20"/>
          <w:szCs w:val="20"/>
          <w:lang w:val="es-ES"/>
        </w:rPr>
        <w:t>)</w:t>
      </w:r>
      <w:r w:rsidRPr="008C2834">
        <w:rPr>
          <w:rFonts w:asciiTheme="majorBidi" w:hAnsiTheme="majorBidi" w:cstheme="majorBidi"/>
          <w:sz w:val="20"/>
          <w:szCs w:val="20"/>
          <w:lang w:val="es-ES"/>
        </w:rPr>
        <w:t>, contribuyó a declarar a Venezuela libre de sarampión en noviembre de 2023.</w:t>
      </w:r>
      <w:r>
        <w:rPr>
          <w:rStyle w:val="FootnoteReference"/>
          <w:rFonts w:cstheme="majorBidi"/>
          <w:szCs w:val="20"/>
          <w:lang w:val="es-ES"/>
        </w:rPr>
        <w:footnoteReference w:id="23"/>
      </w:r>
      <w:r w:rsidRPr="008C2834">
        <w:rPr>
          <w:rFonts w:asciiTheme="majorBidi" w:hAnsiTheme="majorBidi" w:cstheme="majorBidi"/>
          <w:sz w:val="20"/>
          <w:szCs w:val="20"/>
          <w:lang w:val="es-ES"/>
        </w:rPr>
        <w:t xml:space="preserve">  </w:t>
      </w:r>
    </w:p>
    <w:p w14:paraId="0A6BA44E" w14:textId="77777777" w:rsidR="00E444D5" w:rsidRDefault="00E444D5" w:rsidP="00E444D5">
      <w:pPr>
        <w:pStyle w:val="ListParagraph"/>
        <w:ind w:left="1134" w:right="1170"/>
        <w:rPr>
          <w:rFonts w:asciiTheme="majorBidi" w:hAnsiTheme="majorBidi" w:cstheme="majorBidi"/>
          <w:sz w:val="20"/>
          <w:szCs w:val="20"/>
          <w:lang w:val="es-ES"/>
        </w:rPr>
      </w:pPr>
    </w:p>
    <w:p w14:paraId="5E8B03E0" w14:textId="77777777" w:rsidR="00E444D5" w:rsidRDefault="00E444D5" w:rsidP="00E444D5">
      <w:pPr>
        <w:pStyle w:val="ListParagraph"/>
        <w:numPr>
          <w:ilvl w:val="0"/>
          <w:numId w:val="20"/>
        </w:numPr>
        <w:ind w:left="1134" w:right="1170" w:firstLine="0"/>
        <w:rPr>
          <w:rFonts w:asciiTheme="majorBidi" w:hAnsiTheme="majorBidi" w:cstheme="majorBidi"/>
          <w:sz w:val="20"/>
          <w:szCs w:val="20"/>
          <w:lang w:val="es-ES"/>
        </w:rPr>
      </w:pPr>
      <w:r w:rsidRPr="008C2834">
        <w:rPr>
          <w:rFonts w:asciiTheme="majorBidi" w:hAnsiTheme="majorBidi" w:cstheme="majorBidi"/>
          <w:sz w:val="20"/>
          <w:szCs w:val="20"/>
          <w:lang w:val="es-ES"/>
        </w:rPr>
        <w:t xml:space="preserve">Durante el periodo del informe, según </w:t>
      </w:r>
      <w:r>
        <w:rPr>
          <w:rFonts w:asciiTheme="majorBidi" w:hAnsiTheme="majorBidi" w:cstheme="majorBidi"/>
          <w:sz w:val="20"/>
          <w:szCs w:val="20"/>
          <w:lang w:val="es-ES"/>
        </w:rPr>
        <w:t>organizaciones</w:t>
      </w:r>
      <w:r w:rsidRPr="008C2834">
        <w:rPr>
          <w:rFonts w:asciiTheme="majorBidi" w:hAnsiTheme="majorBidi" w:cstheme="majorBidi"/>
          <w:sz w:val="20"/>
          <w:szCs w:val="20"/>
          <w:lang w:val="es-ES"/>
        </w:rPr>
        <w:t xml:space="preserve"> humanitarias las sanciones sectoriales plantearon retos adicionales para el sector sanitario, </w:t>
      </w:r>
      <w:r>
        <w:rPr>
          <w:rFonts w:asciiTheme="majorBidi" w:hAnsiTheme="majorBidi" w:cstheme="majorBidi"/>
          <w:sz w:val="20"/>
          <w:szCs w:val="20"/>
          <w:lang w:val="es-ES"/>
        </w:rPr>
        <w:t>l</w:t>
      </w:r>
      <w:r w:rsidRPr="008C2834">
        <w:rPr>
          <w:rFonts w:asciiTheme="majorBidi" w:hAnsiTheme="majorBidi" w:cstheme="majorBidi"/>
          <w:sz w:val="20"/>
          <w:szCs w:val="20"/>
          <w:lang w:val="es-ES"/>
        </w:rPr>
        <w:t>imitando así el acceso y la prestación de servicios sanitarios asequibles y aceptables de calidad. Por ejemplo, había una escasez del 27,2% de los medicamentos necesarios para el tratamiento de enfermedades comunes como la diabetes, las convulsiones y las infecciones respiratorias.</w:t>
      </w:r>
      <w:r>
        <w:rPr>
          <w:rStyle w:val="FootnoteReference"/>
          <w:rFonts w:cstheme="majorBidi"/>
          <w:szCs w:val="20"/>
          <w:lang w:val="es-ES"/>
        </w:rPr>
        <w:footnoteReference w:id="24"/>
      </w:r>
      <w:r w:rsidRPr="008C2834">
        <w:rPr>
          <w:rFonts w:asciiTheme="majorBidi" w:hAnsiTheme="majorBidi" w:cstheme="majorBidi"/>
          <w:sz w:val="20"/>
          <w:szCs w:val="20"/>
          <w:lang w:val="es-ES"/>
        </w:rPr>
        <w:t xml:space="preserve"> El ACNUDH documentó cuatro casos de pacientes </w:t>
      </w:r>
      <w:r>
        <w:rPr>
          <w:rFonts w:asciiTheme="majorBidi" w:hAnsiTheme="majorBidi" w:cstheme="majorBidi"/>
          <w:sz w:val="20"/>
          <w:szCs w:val="20"/>
          <w:lang w:val="es-ES"/>
        </w:rPr>
        <w:t>con</w:t>
      </w:r>
      <w:r w:rsidRPr="008C2834">
        <w:rPr>
          <w:rFonts w:asciiTheme="majorBidi" w:hAnsiTheme="majorBidi" w:cstheme="majorBidi"/>
          <w:sz w:val="20"/>
          <w:szCs w:val="20"/>
          <w:lang w:val="es-ES"/>
        </w:rPr>
        <w:t xml:space="preserve"> fibrosis quística con acceso limitado al tratamiento debido al elevado coste, unido a la falta de disponibilidad de los medicamentos necesarios. También se informó de la escasez de equipos y suministros médicos en los hospitales, con aproximadamente un 35% de escasez.</w:t>
      </w:r>
      <w:r>
        <w:rPr>
          <w:rStyle w:val="FootnoteReference"/>
          <w:rFonts w:cstheme="majorBidi"/>
          <w:szCs w:val="20"/>
          <w:lang w:val="es-ES"/>
        </w:rPr>
        <w:footnoteReference w:id="25"/>
      </w:r>
      <w:r w:rsidRPr="008C2834">
        <w:rPr>
          <w:rFonts w:asciiTheme="majorBidi" w:hAnsiTheme="majorBidi" w:cstheme="majorBidi"/>
          <w:sz w:val="20"/>
          <w:szCs w:val="20"/>
          <w:lang w:val="es-ES"/>
        </w:rPr>
        <w:t xml:space="preserve">  </w:t>
      </w:r>
    </w:p>
    <w:p w14:paraId="1620836A" w14:textId="77777777" w:rsidR="00E444D5" w:rsidRPr="0077206E" w:rsidRDefault="00E444D5" w:rsidP="00E444D5">
      <w:pPr>
        <w:pStyle w:val="ListParagraph"/>
        <w:ind w:left="1134" w:right="1170"/>
        <w:rPr>
          <w:rFonts w:asciiTheme="majorBidi" w:hAnsiTheme="majorBidi" w:cstheme="majorBidi"/>
          <w:sz w:val="20"/>
          <w:szCs w:val="20"/>
          <w:lang w:val="es-ES"/>
        </w:rPr>
      </w:pPr>
    </w:p>
    <w:p w14:paraId="785E4794" w14:textId="77777777" w:rsidR="00E444D5" w:rsidRDefault="00E444D5" w:rsidP="00E444D5">
      <w:pPr>
        <w:pStyle w:val="ListParagraph"/>
        <w:numPr>
          <w:ilvl w:val="0"/>
          <w:numId w:val="20"/>
        </w:numPr>
        <w:ind w:left="1134" w:right="1170" w:firstLine="0"/>
        <w:rPr>
          <w:rFonts w:asciiTheme="majorBidi" w:hAnsiTheme="majorBidi" w:cstheme="majorBidi"/>
          <w:sz w:val="20"/>
          <w:szCs w:val="20"/>
          <w:lang w:val="es-ES"/>
        </w:rPr>
      </w:pPr>
      <w:r w:rsidRPr="008C2834">
        <w:rPr>
          <w:rFonts w:asciiTheme="majorBidi" w:hAnsiTheme="majorBidi" w:cstheme="majorBidi"/>
          <w:sz w:val="20"/>
          <w:szCs w:val="20"/>
          <w:lang w:val="es-ES"/>
        </w:rPr>
        <w:t>Las zonas rurales y los territorios indígenas se ven particularmente afectados por las limitaciones en la distribución y el suministro de medicamentos. El ACNUDH recibió informes de pacientes, familiares y médicos que luchaban por acceder a tratamiento especializado para la lepra y la leishmaniasis. Los informes indicaban una mayor exposición de los pueblos indígenas a la malaria, la tuberculosis</w:t>
      </w:r>
      <w:r>
        <w:rPr>
          <w:rStyle w:val="FootnoteReference"/>
          <w:rFonts w:cstheme="majorBidi"/>
          <w:szCs w:val="20"/>
          <w:lang w:val="es-ES"/>
        </w:rPr>
        <w:footnoteReference w:id="26"/>
      </w:r>
      <w:r w:rsidRPr="008C2834">
        <w:rPr>
          <w:rFonts w:asciiTheme="majorBidi" w:hAnsiTheme="majorBidi" w:cstheme="majorBidi"/>
          <w:sz w:val="20"/>
          <w:szCs w:val="20"/>
          <w:lang w:val="es-ES"/>
        </w:rPr>
        <w:t xml:space="preserve"> y otras enfermedades que afectaban desproporcionadamente a </w:t>
      </w:r>
      <w:r>
        <w:rPr>
          <w:rFonts w:asciiTheme="majorBidi" w:hAnsiTheme="majorBidi" w:cstheme="majorBidi"/>
          <w:sz w:val="20"/>
          <w:szCs w:val="20"/>
          <w:lang w:val="es-ES"/>
        </w:rPr>
        <w:t>niñas y</w:t>
      </w:r>
      <w:r w:rsidRPr="008C2834">
        <w:rPr>
          <w:rFonts w:asciiTheme="majorBidi" w:hAnsiTheme="majorBidi" w:cstheme="majorBidi"/>
          <w:sz w:val="20"/>
          <w:szCs w:val="20"/>
          <w:lang w:val="es-ES"/>
        </w:rPr>
        <w:t xml:space="preserve"> niños.</w:t>
      </w:r>
      <w:r>
        <w:rPr>
          <w:rStyle w:val="FootnoteReference"/>
          <w:rFonts w:cstheme="majorBidi"/>
          <w:szCs w:val="20"/>
          <w:lang w:val="es-ES"/>
        </w:rPr>
        <w:footnoteReference w:id="27"/>
      </w:r>
      <w:r w:rsidRPr="008C2834">
        <w:rPr>
          <w:rFonts w:asciiTheme="majorBidi" w:hAnsiTheme="majorBidi" w:cstheme="majorBidi"/>
          <w:sz w:val="20"/>
          <w:szCs w:val="20"/>
          <w:lang w:val="es-ES"/>
        </w:rPr>
        <w:t xml:space="preserve"> Según los informes, las mujeres y las niñas </w:t>
      </w:r>
      <w:r>
        <w:rPr>
          <w:rFonts w:asciiTheme="majorBidi" w:hAnsiTheme="majorBidi" w:cstheme="majorBidi"/>
          <w:sz w:val="20"/>
          <w:szCs w:val="20"/>
          <w:lang w:val="es-ES"/>
        </w:rPr>
        <w:t>I</w:t>
      </w:r>
      <w:r w:rsidRPr="008C2834">
        <w:rPr>
          <w:rFonts w:asciiTheme="majorBidi" w:hAnsiTheme="majorBidi" w:cstheme="majorBidi"/>
          <w:sz w:val="20"/>
          <w:szCs w:val="20"/>
          <w:lang w:val="es-ES"/>
        </w:rPr>
        <w:t xml:space="preserve">ndígenas enfrentaban problemas </w:t>
      </w:r>
      <w:r>
        <w:rPr>
          <w:rFonts w:asciiTheme="majorBidi" w:hAnsiTheme="majorBidi" w:cstheme="majorBidi"/>
          <w:sz w:val="20"/>
          <w:szCs w:val="20"/>
          <w:lang w:val="es-ES"/>
        </w:rPr>
        <w:t>diferenciados</w:t>
      </w:r>
      <w:r w:rsidRPr="008C2834">
        <w:rPr>
          <w:rFonts w:asciiTheme="majorBidi" w:hAnsiTheme="majorBidi" w:cstheme="majorBidi"/>
          <w:sz w:val="20"/>
          <w:szCs w:val="20"/>
          <w:lang w:val="es-ES"/>
        </w:rPr>
        <w:t xml:space="preserve">, </w:t>
      </w:r>
      <w:r>
        <w:rPr>
          <w:rFonts w:asciiTheme="majorBidi" w:hAnsiTheme="majorBidi" w:cstheme="majorBidi"/>
          <w:sz w:val="20"/>
          <w:szCs w:val="20"/>
          <w:lang w:val="es-ES"/>
        </w:rPr>
        <w:t>incluida la</w:t>
      </w:r>
      <w:r w:rsidRPr="008C2834">
        <w:rPr>
          <w:rFonts w:asciiTheme="majorBidi" w:hAnsiTheme="majorBidi" w:cstheme="majorBidi"/>
          <w:sz w:val="20"/>
          <w:szCs w:val="20"/>
          <w:lang w:val="es-ES"/>
        </w:rPr>
        <w:t xml:space="preserve"> violencia obstétrica.</w:t>
      </w:r>
      <w:r>
        <w:rPr>
          <w:rStyle w:val="FootnoteReference"/>
          <w:rFonts w:cstheme="majorBidi"/>
          <w:szCs w:val="20"/>
          <w:lang w:val="es-ES"/>
        </w:rPr>
        <w:footnoteReference w:id="28"/>
      </w:r>
      <w:r w:rsidRPr="008C2834">
        <w:rPr>
          <w:rFonts w:asciiTheme="majorBidi" w:hAnsiTheme="majorBidi" w:cstheme="majorBidi"/>
          <w:sz w:val="20"/>
          <w:szCs w:val="20"/>
          <w:lang w:val="es-ES"/>
        </w:rPr>
        <w:t xml:space="preserve"> El ACNUDH recuerda que </w:t>
      </w:r>
      <w:r w:rsidRPr="0027324B">
        <w:rPr>
          <w:rFonts w:asciiTheme="majorBidi" w:hAnsiTheme="majorBidi" w:cstheme="majorBidi"/>
          <w:sz w:val="20"/>
          <w:szCs w:val="20"/>
          <w:lang w:val="es-ES"/>
        </w:rPr>
        <w:t xml:space="preserve">los servicios sanitarios deben ser culturalmente apropiados, teniendo en cuenta </w:t>
      </w:r>
      <w:r>
        <w:rPr>
          <w:rFonts w:asciiTheme="majorBidi" w:hAnsiTheme="majorBidi" w:cstheme="majorBidi"/>
          <w:sz w:val="20"/>
          <w:szCs w:val="20"/>
          <w:lang w:val="es-ES"/>
        </w:rPr>
        <w:t>las prácticas tradicionales de</w:t>
      </w:r>
      <w:r w:rsidRPr="0027324B">
        <w:rPr>
          <w:rFonts w:asciiTheme="majorBidi" w:hAnsiTheme="majorBidi" w:cstheme="majorBidi"/>
          <w:sz w:val="20"/>
          <w:szCs w:val="20"/>
          <w:lang w:val="es-ES"/>
        </w:rPr>
        <w:t xml:space="preserve"> atención preventiva, las prácticas curativas y las medicinas tradicionales, y </w:t>
      </w:r>
      <w:r>
        <w:rPr>
          <w:rFonts w:asciiTheme="majorBidi" w:hAnsiTheme="majorBidi" w:cstheme="majorBidi"/>
          <w:sz w:val="20"/>
          <w:szCs w:val="20"/>
          <w:lang w:val="es-ES"/>
        </w:rPr>
        <w:t xml:space="preserve">que </w:t>
      </w:r>
      <w:r w:rsidRPr="008C2834">
        <w:rPr>
          <w:rFonts w:asciiTheme="majorBidi" w:hAnsiTheme="majorBidi" w:cstheme="majorBidi"/>
          <w:sz w:val="20"/>
          <w:szCs w:val="20"/>
          <w:lang w:val="es-ES"/>
        </w:rPr>
        <w:t xml:space="preserve">los Estados deben proporcionar recursos a los </w:t>
      </w:r>
      <w:r>
        <w:rPr>
          <w:rFonts w:asciiTheme="majorBidi" w:hAnsiTheme="majorBidi" w:cstheme="majorBidi"/>
          <w:sz w:val="20"/>
          <w:szCs w:val="20"/>
          <w:lang w:val="es-ES"/>
        </w:rPr>
        <w:t>P</w:t>
      </w:r>
      <w:r w:rsidRPr="008C2834">
        <w:rPr>
          <w:rFonts w:asciiTheme="majorBidi" w:hAnsiTheme="majorBidi" w:cstheme="majorBidi"/>
          <w:sz w:val="20"/>
          <w:szCs w:val="20"/>
          <w:lang w:val="es-ES"/>
        </w:rPr>
        <w:t xml:space="preserve">ueblos </w:t>
      </w:r>
      <w:r>
        <w:rPr>
          <w:rFonts w:asciiTheme="majorBidi" w:hAnsiTheme="majorBidi" w:cstheme="majorBidi"/>
          <w:sz w:val="20"/>
          <w:szCs w:val="20"/>
          <w:lang w:val="es-ES"/>
        </w:rPr>
        <w:t>I</w:t>
      </w:r>
      <w:r w:rsidRPr="008C2834">
        <w:rPr>
          <w:rFonts w:asciiTheme="majorBidi" w:hAnsiTheme="majorBidi" w:cstheme="majorBidi"/>
          <w:sz w:val="20"/>
          <w:szCs w:val="20"/>
          <w:lang w:val="es-ES"/>
        </w:rPr>
        <w:t xml:space="preserve">ndígenas para diseñar, </w:t>
      </w:r>
      <w:r>
        <w:rPr>
          <w:rFonts w:asciiTheme="majorBidi" w:hAnsiTheme="majorBidi" w:cstheme="majorBidi"/>
          <w:sz w:val="20"/>
          <w:szCs w:val="20"/>
          <w:lang w:val="es-ES"/>
        </w:rPr>
        <w:t>brindar</w:t>
      </w:r>
      <w:r w:rsidRPr="008C2834">
        <w:rPr>
          <w:rFonts w:asciiTheme="majorBidi" w:hAnsiTheme="majorBidi" w:cstheme="majorBidi"/>
          <w:sz w:val="20"/>
          <w:szCs w:val="20"/>
          <w:lang w:val="es-ES"/>
        </w:rPr>
        <w:t xml:space="preserve"> y controlar dichos servicios, de modo que puedan disfrutar del más alto nivel posible de salud física y mental.</w:t>
      </w:r>
      <w:r>
        <w:rPr>
          <w:rStyle w:val="FootnoteReference"/>
          <w:rFonts w:cstheme="majorBidi"/>
          <w:szCs w:val="20"/>
          <w:lang w:val="es-ES"/>
        </w:rPr>
        <w:footnoteReference w:id="29"/>
      </w:r>
    </w:p>
    <w:p w14:paraId="53ED034F" w14:textId="77777777" w:rsidR="00E444D5" w:rsidRDefault="00E444D5" w:rsidP="00E444D5">
      <w:pPr>
        <w:pStyle w:val="ListParagraph"/>
        <w:ind w:left="1170" w:right="1170"/>
        <w:rPr>
          <w:rFonts w:asciiTheme="majorBidi" w:hAnsiTheme="majorBidi" w:cstheme="majorBidi"/>
          <w:sz w:val="20"/>
          <w:szCs w:val="20"/>
          <w:lang w:val="es-ES"/>
        </w:rPr>
      </w:pPr>
    </w:p>
    <w:p w14:paraId="46A4C1FE" w14:textId="77777777" w:rsidR="00E444D5" w:rsidRPr="001117B1" w:rsidRDefault="00E444D5" w:rsidP="00E444D5">
      <w:pPr>
        <w:pStyle w:val="ListParagraph"/>
        <w:numPr>
          <w:ilvl w:val="0"/>
          <w:numId w:val="20"/>
        </w:numPr>
        <w:ind w:left="1170" w:right="1170" w:firstLine="0"/>
        <w:rPr>
          <w:rFonts w:asciiTheme="majorBidi" w:hAnsiTheme="majorBidi" w:cstheme="majorBidi"/>
          <w:sz w:val="20"/>
          <w:szCs w:val="20"/>
          <w:lang w:val="es-ES"/>
        </w:rPr>
      </w:pPr>
      <w:r w:rsidRPr="00C57844">
        <w:rPr>
          <w:rFonts w:asciiTheme="majorBidi" w:eastAsia="Times New Roman" w:hAnsiTheme="majorBidi" w:cstheme="majorBidi"/>
          <w:sz w:val="20"/>
          <w:szCs w:val="20"/>
          <w:lang w:val="es-ES"/>
        </w:rPr>
        <w:t xml:space="preserve">La subvención VIH-Tuberculosis (2024-2026) del Fondo Mundial es el grato resultado de los esfuerzos conjuntos de diversas autoridades, organismos de las Naciones Unidas y la sociedad civil. </w:t>
      </w:r>
      <w:r>
        <w:rPr>
          <w:rFonts w:asciiTheme="majorBidi" w:eastAsia="Times New Roman" w:hAnsiTheme="majorBidi" w:cstheme="majorBidi"/>
          <w:sz w:val="20"/>
          <w:szCs w:val="20"/>
          <w:lang w:val="es-ES"/>
        </w:rPr>
        <w:t>Tiene como objetivo contribuir</w:t>
      </w:r>
      <w:r w:rsidRPr="00C57844">
        <w:rPr>
          <w:rFonts w:asciiTheme="majorBidi" w:eastAsia="Times New Roman" w:hAnsiTheme="majorBidi" w:cstheme="majorBidi"/>
          <w:sz w:val="20"/>
          <w:szCs w:val="20"/>
          <w:lang w:val="es-ES"/>
        </w:rPr>
        <w:t xml:space="preserve"> a responder a las necesidades de medicamentos antirretrovirales de al menos 70.000 personas, incluyendo mujeres</w:t>
      </w:r>
      <w:r>
        <w:rPr>
          <w:rFonts w:asciiTheme="majorBidi" w:eastAsia="Times New Roman" w:hAnsiTheme="majorBidi" w:cstheme="majorBidi"/>
          <w:sz w:val="20"/>
          <w:szCs w:val="20"/>
          <w:lang w:val="es-ES"/>
        </w:rPr>
        <w:t xml:space="preserve">, </w:t>
      </w:r>
      <w:proofErr w:type="gramStart"/>
      <w:r>
        <w:rPr>
          <w:rFonts w:asciiTheme="majorBidi" w:eastAsia="Times New Roman" w:hAnsiTheme="majorBidi" w:cstheme="majorBidi"/>
          <w:sz w:val="20"/>
          <w:szCs w:val="20"/>
          <w:lang w:val="es-ES"/>
        </w:rPr>
        <w:t>niñas</w:t>
      </w:r>
      <w:r w:rsidRPr="00C57844">
        <w:rPr>
          <w:rFonts w:asciiTheme="majorBidi" w:eastAsia="Times New Roman" w:hAnsiTheme="majorBidi" w:cstheme="majorBidi"/>
          <w:sz w:val="20"/>
          <w:szCs w:val="20"/>
          <w:lang w:val="es-ES"/>
        </w:rPr>
        <w:t xml:space="preserve"> y niños</w:t>
      </w:r>
      <w:proofErr w:type="gramEnd"/>
      <w:r w:rsidRPr="00C57844">
        <w:rPr>
          <w:rFonts w:asciiTheme="majorBidi" w:eastAsia="Times New Roman" w:hAnsiTheme="majorBidi" w:cstheme="majorBidi"/>
          <w:sz w:val="20"/>
          <w:szCs w:val="20"/>
          <w:lang w:val="es-ES"/>
        </w:rPr>
        <w:t xml:space="preserve"> en todo el país. Las personas que viven con el </w:t>
      </w:r>
      <w:proofErr w:type="gramStart"/>
      <w:r w:rsidRPr="00C57844">
        <w:rPr>
          <w:rFonts w:asciiTheme="majorBidi" w:eastAsia="Times New Roman" w:hAnsiTheme="majorBidi" w:cstheme="majorBidi"/>
          <w:sz w:val="20"/>
          <w:szCs w:val="20"/>
          <w:lang w:val="es-ES"/>
        </w:rPr>
        <w:t>VIH,</w:t>
      </w:r>
      <w:proofErr w:type="gramEnd"/>
      <w:r w:rsidRPr="00C57844">
        <w:rPr>
          <w:rFonts w:asciiTheme="majorBidi" w:eastAsia="Times New Roman" w:hAnsiTheme="majorBidi" w:cstheme="majorBidi"/>
          <w:sz w:val="20"/>
          <w:szCs w:val="20"/>
          <w:lang w:val="es-ES"/>
        </w:rPr>
        <w:t xml:space="preserve"> siguen enfrentándose a la escasez de artículos necesarios, incluidas las pruebas de diagnóstico y control de la infección y los sustitutos de la leche materna para los lactantes expuestos al VIH. El ACNUDH también recibió informes sobre la ausencia de personal especializado para supervisar el tratamiento del VIH/SIDA, así como sobre la estigmatización de los pacientes, lo que contribuye aún más a su discriminación. </w:t>
      </w:r>
    </w:p>
    <w:p w14:paraId="39B31460" w14:textId="77777777" w:rsidR="00E444D5" w:rsidRPr="00C57844" w:rsidRDefault="00E444D5" w:rsidP="00E444D5">
      <w:pPr>
        <w:pStyle w:val="ListParagraph"/>
        <w:ind w:left="1170" w:right="1170"/>
        <w:rPr>
          <w:rFonts w:asciiTheme="majorBidi" w:hAnsiTheme="majorBidi" w:cstheme="majorBidi"/>
          <w:sz w:val="20"/>
          <w:szCs w:val="20"/>
          <w:lang w:val="es-ES"/>
        </w:rPr>
      </w:pPr>
    </w:p>
    <w:p w14:paraId="26217E51" w14:textId="77777777" w:rsidR="00E444D5" w:rsidRPr="00A87FDE" w:rsidRDefault="00E444D5" w:rsidP="00E444D5">
      <w:pPr>
        <w:pStyle w:val="ListParagraph"/>
        <w:numPr>
          <w:ilvl w:val="0"/>
          <w:numId w:val="20"/>
        </w:numPr>
        <w:ind w:left="1170" w:right="1170" w:firstLine="0"/>
        <w:rPr>
          <w:rFonts w:asciiTheme="majorBidi" w:hAnsiTheme="majorBidi" w:cstheme="majorBidi"/>
          <w:sz w:val="20"/>
          <w:szCs w:val="20"/>
          <w:lang w:val="es-ES"/>
        </w:rPr>
      </w:pPr>
      <w:r w:rsidRPr="00C57844">
        <w:rPr>
          <w:rFonts w:asciiTheme="majorBidi" w:hAnsiTheme="majorBidi" w:cstheme="majorBidi"/>
          <w:sz w:val="20"/>
          <w:szCs w:val="20"/>
          <w:lang w:val="es-ES"/>
        </w:rPr>
        <w:t>El ACNUDH sigue preocupado por la falta de información actualizada sobre salud sexual y reproductiva, ya que los informes han subrayado importantes deficiencias en la prestación de servicios,</w:t>
      </w:r>
      <w:r>
        <w:rPr>
          <w:rStyle w:val="FootnoteReference"/>
          <w:rFonts w:cstheme="majorBidi"/>
          <w:szCs w:val="20"/>
          <w:lang w:val="es-ES"/>
        </w:rPr>
        <w:footnoteReference w:id="30"/>
      </w:r>
      <w:r w:rsidRPr="00C57844">
        <w:rPr>
          <w:rFonts w:asciiTheme="majorBidi" w:hAnsiTheme="majorBidi" w:cstheme="majorBidi"/>
          <w:sz w:val="20"/>
          <w:szCs w:val="20"/>
          <w:lang w:val="es-ES"/>
        </w:rPr>
        <w:t xml:space="preserve"> incluso en la prevención del cáncer de mama</w:t>
      </w:r>
      <w:r>
        <w:rPr>
          <w:rStyle w:val="FootnoteReference"/>
          <w:rFonts w:cstheme="majorBidi"/>
          <w:szCs w:val="20"/>
          <w:lang w:val="es-ES"/>
        </w:rPr>
        <w:footnoteReference w:id="31"/>
      </w:r>
      <w:r w:rsidRPr="00C57844">
        <w:rPr>
          <w:rFonts w:asciiTheme="majorBidi" w:hAnsiTheme="majorBidi" w:cstheme="majorBidi"/>
          <w:sz w:val="20"/>
          <w:szCs w:val="20"/>
          <w:lang w:val="es-ES"/>
        </w:rPr>
        <w:t xml:space="preserve"> y de útero,</w:t>
      </w:r>
      <w:r>
        <w:rPr>
          <w:rStyle w:val="FootnoteReference"/>
          <w:rFonts w:cstheme="majorBidi"/>
          <w:szCs w:val="20"/>
          <w:lang w:val="es-ES"/>
        </w:rPr>
        <w:footnoteReference w:id="32"/>
      </w:r>
      <w:r w:rsidRPr="00C57844">
        <w:rPr>
          <w:rFonts w:asciiTheme="majorBidi" w:hAnsiTheme="majorBidi" w:cstheme="majorBidi"/>
          <w:sz w:val="20"/>
          <w:szCs w:val="20"/>
          <w:lang w:val="es-ES"/>
        </w:rPr>
        <w:t xml:space="preserve"> así como las altas tasas de embarazo adolescente.</w:t>
      </w:r>
      <w:r>
        <w:rPr>
          <w:rStyle w:val="FootnoteReference"/>
          <w:rFonts w:cstheme="majorBidi"/>
          <w:szCs w:val="20"/>
          <w:lang w:val="es-ES"/>
        </w:rPr>
        <w:footnoteReference w:id="33"/>
      </w:r>
      <w:r>
        <w:rPr>
          <w:rFonts w:asciiTheme="majorBidi" w:hAnsiTheme="majorBidi" w:cstheme="majorBidi"/>
          <w:sz w:val="20"/>
          <w:szCs w:val="20"/>
          <w:lang w:val="es-ES"/>
        </w:rPr>
        <w:t xml:space="preserve"> </w:t>
      </w:r>
      <w:r w:rsidRPr="00A87FDE">
        <w:rPr>
          <w:rFonts w:asciiTheme="majorBidi" w:hAnsiTheme="majorBidi" w:cstheme="majorBidi"/>
          <w:sz w:val="20"/>
          <w:szCs w:val="20"/>
          <w:lang w:val="es-ES"/>
        </w:rPr>
        <w:t>La legislación sobre el aborto es restrictiva, ya que sigue estando penalizado en caso de violación, incesto o malformación fetal grave. Los servicios de aborto seguro y postaborto también son limitados.</w:t>
      </w:r>
      <w:r>
        <w:rPr>
          <w:rStyle w:val="FootnoteReference"/>
          <w:rFonts w:cstheme="majorBidi"/>
          <w:szCs w:val="20"/>
          <w:lang w:val="es-ES"/>
        </w:rPr>
        <w:footnoteReference w:id="34"/>
      </w:r>
      <w:r w:rsidRPr="00A87FDE">
        <w:rPr>
          <w:rFonts w:asciiTheme="majorBidi" w:hAnsiTheme="majorBidi" w:cstheme="majorBidi"/>
          <w:sz w:val="20"/>
          <w:szCs w:val="20"/>
          <w:lang w:val="es-ES"/>
        </w:rPr>
        <w:t xml:space="preserve"> El ACNUDH insta al Estado a que adopte medidas para prevenir los abortos inseguros, así como para reducir la mortalidad y la morbilidad maternas, y a que despenalice el aborto, en consonancia con las recomendaciones formuladas por los mecanismos de derechos humanos de las Naciones Unidas, como el Comité de Derechos Humanos.</w:t>
      </w:r>
      <w:r>
        <w:rPr>
          <w:rStyle w:val="FootnoteReference"/>
          <w:rFonts w:cstheme="majorBidi"/>
          <w:szCs w:val="20"/>
          <w:lang w:val="es-ES"/>
        </w:rPr>
        <w:footnoteReference w:id="35"/>
      </w:r>
    </w:p>
    <w:p w14:paraId="54E57B0E" w14:textId="3B5CE472" w:rsidR="00E444D5" w:rsidRDefault="00E444D5" w:rsidP="00E444D5">
      <w:pPr>
        <w:pStyle w:val="H1G"/>
        <w:numPr>
          <w:ilvl w:val="0"/>
          <w:numId w:val="31"/>
        </w:numPr>
        <w:tabs>
          <w:tab w:val="clear" w:pos="851"/>
        </w:tabs>
        <w:ind w:left="1134" w:hanging="708"/>
      </w:pPr>
      <w:r w:rsidRPr="006C16EA">
        <w:t>El derecho a un</w:t>
      </w:r>
      <w:r>
        <w:t xml:space="preserve"> medio</w:t>
      </w:r>
      <w:r w:rsidRPr="006C16EA">
        <w:t xml:space="preserve"> ambiente limpio, sa</w:t>
      </w:r>
      <w:r>
        <w:t>ludable</w:t>
      </w:r>
      <w:r w:rsidRPr="006C16EA">
        <w:t xml:space="preserve"> y sostenible</w:t>
      </w:r>
    </w:p>
    <w:p w14:paraId="02BFF92B"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C57844">
        <w:rPr>
          <w:rFonts w:asciiTheme="majorBidi" w:hAnsiTheme="majorBidi" w:cstheme="majorBidi"/>
          <w:sz w:val="20"/>
          <w:szCs w:val="20"/>
          <w:lang w:val="es-ES"/>
        </w:rPr>
        <w:t xml:space="preserve">El 25 de enero de 2024, el ACNUDH prestó asistencia técnica a la Defensoría del Pueblo y sus subdelegaciones sobre la cuestión de los derechos humanos y el medio ambiente. </w:t>
      </w:r>
      <w:r>
        <w:rPr>
          <w:rFonts w:asciiTheme="majorBidi" w:hAnsiTheme="majorBidi" w:cstheme="majorBidi"/>
          <w:sz w:val="20"/>
          <w:szCs w:val="20"/>
          <w:lang w:val="es-ES"/>
        </w:rPr>
        <w:t>E</w:t>
      </w:r>
      <w:r w:rsidRPr="00C57844">
        <w:rPr>
          <w:rFonts w:asciiTheme="majorBidi" w:hAnsiTheme="majorBidi" w:cstheme="majorBidi"/>
          <w:sz w:val="20"/>
          <w:szCs w:val="20"/>
          <w:lang w:val="es-ES"/>
        </w:rPr>
        <w:t xml:space="preserve">n el </w:t>
      </w:r>
      <w:r>
        <w:rPr>
          <w:rFonts w:asciiTheme="majorBidi" w:hAnsiTheme="majorBidi" w:cstheme="majorBidi"/>
          <w:sz w:val="20"/>
          <w:szCs w:val="20"/>
          <w:lang w:val="es-ES"/>
        </w:rPr>
        <w:t>marco</w:t>
      </w:r>
      <w:r w:rsidRPr="00C57844">
        <w:rPr>
          <w:rFonts w:asciiTheme="majorBidi" w:hAnsiTheme="majorBidi" w:cstheme="majorBidi"/>
          <w:sz w:val="20"/>
          <w:szCs w:val="20"/>
          <w:lang w:val="es-ES"/>
        </w:rPr>
        <w:t xml:space="preserve"> de la 28ª Conferencia de las Partes de la Convención Marco de las Naciones Unidas sobre el Cambio Climático, con el apoyo de UNICEF</w:t>
      </w:r>
      <w:r>
        <w:rPr>
          <w:rFonts w:asciiTheme="majorBidi" w:hAnsiTheme="majorBidi" w:cstheme="majorBidi"/>
          <w:sz w:val="20"/>
          <w:szCs w:val="20"/>
          <w:lang w:val="es-ES"/>
        </w:rPr>
        <w:t>,</w:t>
      </w:r>
      <w:r w:rsidRPr="00ED0A17">
        <w:rPr>
          <w:rFonts w:asciiTheme="majorBidi" w:hAnsiTheme="majorBidi" w:cstheme="majorBidi"/>
          <w:sz w:val="20"/>
          <w:szCs w:val="20"/>
          <w:lang w:val="es-ES"/>
        </w:rPr>
        <w:t xml:space="preserve"> el Ministerio de Ecosocialismo, firmó la Declaración sobre Infancia, Juventud y Acciones Climáticas, comprometiéndose a cumplir con el derecho de los niños</w:t>
      </w:r>
      <w:r>
        <w:rPr>
          <w:rFonts w:asciiTheme="majorBidi" w:hAnsiTheme="majorBidi" w:cstheme="majorBidi"/>
          <w:sz w:val="20"/>
          <w:szCs w:val="20"/>
          <w:lang w:val="es-ES"/>
        </w:rPr>
        <w:t>, niñas</w:t>
      </w:r>
      <w:r w:rsidRPr="00ED0A17">
        <w:rPr>
          <w:rFonts w:asciiTheme="majorBidi" w:hAnsiTheme="majorBidi" w:cstheme="majorBidi"/>
          <w:sz w:val="20"/>
          <w:szCs w:val="20"/>
          <w:lang w:val="es-ES"/>
        </w:rPr>
        <w:t xml:space="preserve"> y jóvenes a un medio ambiente sano</w:t>
      </w:r>
      <w:r w:rsidRPr="00C57844">
        <w:rPr>
          <w:rFonts w:asciiTheme="majorBidi" w:hAnsiTheme="majorBidi" w:cstheme="majorBidi"/>
          <w:sz w:val="20"/>
          <w:szCs w:val="20"/>
          <w:lang w:val="es-ES"/>
        </w:rPr>
        <w:t>.</w:t>
      </w:r>
      <w:r>
        <w:rPr>
          <w:rStyle w:val="FootnoteReference"/>
          <w:rFonts w:cstheme="majorBidi"/>
          <w:szCs w:val="20"/>
          <w:lang w:val="es-ES"/>
        </w:rPr>
        <w:footnoteReference w:id="36"/>
      </w:r>
      <w:r w:rsidRPr="00C57844">
        <w:rPr>
          <w:rFonts w:asciiTheme="majorBidi" w:hAnsiTheme="majorBidi" w:cstheme="majorBidi"/>
          <w:sz w:val="20"/>
          <w:szCs w:val="20"/>
          <w:lang w:val="es-ES"/>
        </w:rPr>
        <w:t xml:space="preserve">  </w:t>
      </w:r>
    </w:p>
    <w:p w14:paraId="19C68F50" w14:textId="77777777" w:rsidR="00E444D5" w:rsidRDefault="00E444D5" w:rsidP="00E444D5">
      <w:pPr>
        <w:pStyle w:val="ListParagraph"/>
        <w:ind w:left="1170" w:right="1170" w:hanging="36"/>
        <w:rPr>
          <w:rFonts w:asciiTheme="majorBidi" w:hAnsiTheme="majorBidi" w:cstheme="majorBidi"/>
          <w:sz w:val="20"/>
          <w:szCs w:val="20"/>
          <w:lang w:val="es-ES"/>
        </w:rPr>
      </w:pPr>
    </w:p>
    <w:p w14:paraId="7174AC5F" w14:textId="77777777" w:rsidR="00E444D5" w:rsidRPr="00C57844"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C57844">
        <w:rPr>
          <w:rFonts w:asciiTheme="majorBidi" w:hAnsiTheme="majorBidi" w:cstheme="majorBidi"/>
          <w:sz w:val="20"/>
          <w:szCs w:val="20"/>
          <w:lang w:val="es-ES"/>
        </w:rPr>
        <w:t xml:space="preserve">Durante el periodo del informe, se siguió informando de casos de degradación medioambiental, como deforestación e incendios forestales. El 26 de diciembre de 2023 se registró un derrame de petróleo en la refinería de </w:t>
      </w:r>
      <w:r>
        <w:rPr>
          <w:rFonts w:asciiTheme="majorBidi" w:hAnsiTheme="majorBidi" w:cstheme="majorBidi"/>
          <w:sz w:val="20"/>
          <w:szCs w:val="20"/>
          <w:lang w:val="es-ES"/>
        </w:rPr>
        <w:t>PDVSA</w:t>
      </w:r>
      <w:r w:rsidRPr="00C57844">
        <w:rPr>
          <w:rFonts w:asciiTheme="majorBidi" w:hAnsiTheme="majorBidi" w:cstheme="majorBidi"/>
          <w:sz w:val="20"/>
          <w:szCs w:val="20"/>
          <w:lang w:val="es-ES"/>
        </w:rPr>
        <w:t xml:space="preserve"> en el estado de Carabobo, uno de los 86 derrames registrados en 2023 en Venezuela.</w:t>
      </w:r>
      <w:r>
        <w:rPr>
          <w:rStyle w:val="FootnoteReference"/>
          <w:rFonts w:cstheme="majorBidi"/>
          <w:szCs w:val="20"/>
          <w:lang w:val="es-ES"/>
        </w:rPr>
        <w:footnoteReference w:id="37"/>
      </w:r>
      <w:r w:rsidRPr="00C57844">
        <w:rPr>
          <w:rFonts w:asciiTheme="majorBidi" w:hAnsiTheme="majorBidi" w:cstheme="majorBidi"/>
          <w:sz w:val="20"/>
          <w:szCs w:val="20"/>
          <w:lang w:val="es-ES"/>
        </w:rPr>
        <w:t xml:space="preserve"> Estos vertidos contaminan el agua y la cadena alimentaria, dañan el medio ambiente y exponen a las comunidades a importantes riesgos para la salud y a la pérdida de sus medios de subsistencia. </w:t>
      </w:r>
      <w:r>
        <w:rPr>
          <w:rFonts w:asciiTheme="majorBidi" w:hAnsiTheme="majorBidi" w:cstheme="majorBidi"/>
          <w:sz w:val="20"/>
          <w:szCs w:val="20"/>
          <w:lang w:val="es-ES"/>
        </w:rPr>
        <w:t>L</w:t>
      </w:r>
      <w:r w:rsidRPr="00C57844">
        <w:rPr>
          <w:rFonts w:asciiTheme="majorBidi" w:hAnsiTheme="majorBidi" w:cstheme="majorBidi"/>
          <w:sz w:val="20"/>
          <w:szCs w:val="20"/>
          <w:lang w:val="es-ES"/>
        </w:rPr>
        <w:t>as comunidades pesqueras del estado de Zulia vieron deteriora</w:t>
      </w:r>
      <w:r>
        <w:rPr>
          <w:rFonts w:asciiTheme="majorBidi" w:hAnsiTheme="majorBidi" w:cstheme="majorBidi"/>
          <w:sz w:val="20"/>
          <w:szCs w:val="20"/>
          <w:lang w:val="es-ES"/>
        </w:rPr>
        <w:t>n</w:t>
      </w:r>
      <w:r w:rsidRPr="00C57844">
        <w:rPr>
          <w:rFonts w:asciiTheme="majorBidi" w:hAnsiTheme="majorBidi" w:cstheme="majorBidi"/>
          <w:sz w:val="20"/>
          <w:szCs w:val="20"/>
          <w:lang w:val="es-ES"/>
        </w:rPr>
        <w:t xml:space="preserve">do sus medios de subsistencia a causa de los derrames de petróleo en el Lago de Maracaibo, incluida una caída </w:t>
      </w:r>
      <w:r>
        <w:rPr>
          <w:rFonts w:asciiTheme="majorBidi" w:hAnsiTheme="majorBidi" w:cstheme="majorBidi"/>
          <w:sz w:val="20"/>
          <w:szCs w:val="20"/>
          <w:lang w:val="es-ES"/>
        </w:rPr>
        <w:t xml:space="preserve">reportada </w:t>
      </w:r>
      <w:r w:rsidRPr="00C57844">
        <w:rPr>
          <w:rFonts w:asciiTheme="majorBidi" w:hAnsiTheme="majorBidi" w:cstheme="majorBidi"/>
          <w:sz w:val="20"/>
          <w:szCs w:val="20"/>
          <w:lang w:val="es-ES"/>
        </w:rPr>
        <w:t>del 80% en la producción pesquera.</w:t>
      </w:r>
      <w:r>
        <w:rPr>
          <w:rStyle w:val="FootnoteReference"/>
          <w:rFonts w:cstheme="majorBidi"/>
          <w:szCs w:val="20"/>
          <w:lang w:val="es-ES"/>
        </w:rPr>
        <w:footnoteReference w:id="38"/>
      </w:r>
      <w:r w:rsidRPr="00C57844">
        <w:rPr>
          <w:rFonts w:asciiTheme="majorBidi" w:hAnsiTheme="majorBidi" w:cstheme="majorBidi"/>
          <w:sz w:val="20"/>
          <w:szCs w:val="20"/>
          <w:lang w:val="es-ES"/>
        </w:rPr>
        <w:t xml:space="preserve"> </w:t>
      </w:r>
      <w:r>
        <w:rPr>
          <w:rFonts w:asciiTheme="majorBidi" w:hAnsiTheme="majorBidi" w:cstheme="majorBidi"/>
          <w:sz w:val="20"/>
          <w:szCs w:val="20"/>
          <w:lang w:val="es-ES"/>
        </w:rPr>
        <w:t>El ACNUDH</w:t>
      </w:r>
      <w:r w:rsidRPr="00C57844">
        <w:rPr>
          <w:rFonts w:asciiTheme="majorBidi" w:hAnsiTheme="majorBidi" w:cstheme="majorBidi"/>
          <w:sz w:val="20"/>
          <w:szCs w:val="20"/>
          <w:lang w:val="es-ES"/>
        </w:rPr>
        <w:t xml:space="preserve"> toma nota de los esfuerzos del Estado para facilitar la recuperación de los daños inducidos por los derrames</w:t>
      </w:r>
      <w:r>
        <w:rPr>
          <w:rStyle w:val="FootnoteReference"/>
          <w:rFonts w:cstheme="majorBidi"/>
          <w:szCs w:val="20"/>
          <w:lang w:val="es-ES"/>
        </w:rPr>
        <w:footnoteReference w:id="39"/>
      </w:r>
      <w:r w:rsidRPr="00C57844">
        <w:rPr>
          <w:rFonts w:asciiTheme="majorBidi" w:hAnsiTheme="majorBidi" w:cstheme="majorBidi"/>
          <w:sz w:val="20"/>
          <w:szCs w:val="20"/>
          <w:lang w:val="es-ES"/>
        </w:rPr>
        <w:t xml:space="preserve"> e insta a que se refuercen las medidas para prevenir futuros incidentes.</w:t>
      </w:r>
    </w:p>
    <w:p w14:paraId="0AAC6CC2" w14:textId="1E3DEBD5" w:rsidR="00E444D5" w:rsidRPr="00244E30" w:rsidRDefault="00E444D5" w:rsidP="00E444D5">
      <w:pPr>
        <w:pStyle w:val="H1G"/>
        <w:numPr>
          <w:ilvl w:val="0"/>
          <w:numId w:val="31"/>
        </w:numPr>
        <w:tabs>
          <w:tab w:val="clear" w:pos="851"/>
          <w:tab w:val="right" w:pos="1134"/>
        </w:tabs>
        <w:ind w:left="1134" w:hanging="425"/>
      </w:pPr>
      <w:r w:rsidRPr="006C16EA">
        <w:t>Opera</w:t>
      </w:r>
      <w:r>
        <w:t>ciones</w:t>
      </w:r>
      <w:r w:rsidRPr="006C16EA">
        <w:t xml:space="preserve"> miner</w:t>
      </w:r>
      <w:r>
        <w:t>as</w:t>
      </w:r>
      <w:r w:rsidRPr="006C16EA">
        <w:t xml:space="preserve">, derechos y territorios de los Pueblos Indígenas </w:t>
      </w:r>
    </w:p>
    <w:p w14:paraId="6D3D24DF"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C57844">
        <w:rPr>
          <w:rFonts w:asciiTheme="majorBidi" w:hAnsiTheme="majorBidi" w:cstheme="majorBidi"/>
          <w:sz w:val="20"/>
          <w:szCs w:val="20"/>
          <w:lang w:val="es-ES"/>
        </w:rPr>
        <w:t xml:space="preserve">Las actividades mineras, la presencia de grupos armados y delictivos, y la violencia conexa contribuyeron a aumentar el desplazamiento de comunidades </w:t>
      </w:r>
      <w:r>
        <w:rPr>
          <w:rFonts w:asciiTheme="majorBidi" w:hAnsiTheme="majorBidi" w:cstheme="majorBidi"/>
          <w:sz w:val="20"/>
          <w:szCs w:val="20"/>
          <w:lang w:val="es-ES"/>
        </w:rPr>
        <w:t>I</w:t>
      </w:r>
      <w:r w:rsidRPr="00C57844">
        <w:rPr>
          <w:rFonts w:asciiTheme="majorBidi" w:hAnsiTheme="majorBidi" w:cstheme="majorBidi"/>
          <w:sz w:val="20"/>
          <w:szCs w:val="20"/>
          <w:lang w:val="es-ES"/>
        </w:rPr>
        <w:t xml:space="preserve">ndígenas. La sociedad civil denunció el desplazamiento a Colombia de al menos seis mil </w:t>
      </w:r>
      <w:proofErr w:type="spellStart"/>
      <w:r>
        <w:rPr>
          <w:rFonts w:asciiTheme="majorBidi" w:hAnsiTheme="majorBidi" w:cstheme="majorBidi"/>
          <w:sz w:val="20"/>
          <w:szCs w:val="20"/>
          <w:lang w:val="es-ES"/>
        </w:rPr>
        <w:t>J</w:t>
      </w:r>
      <w:r w:rsidRPr="00C57844">
        <w:rPr>
          <w:rFonts w:asciiTheme="majorBidi" w:hAnsiTheme="majorBidi" w:cstheme="majorBidi"/>
          <w:sz w:val="20"/>
          <w:szCs w:val="20"/>
          <w:lang w:val="es-ES"/>
        </w:rPr>
        <w:t>ivi</w:t>
      </w:r>
      <w:proofErr w:type="spellEnd"/>
      <w:r w:rsidRPr="00C57844">
        <w:rPr>
          <w:rFonts w:asciiTheme="majorBidi" w:hAnsiTheme="majorBidi" w:cstheme="majorBidi"/>
          <w:sz w:val="20"/>
          <w:szCs w:val="20"/>
          <w:lang w:val="es-ES"/>
        </w:rPr>
        <w:t xml:space="preserve">, </w:t>
      </w:r>
      <w:proofErr w:type="spellStart"/>
      <w:r>
        <w:rPr>
          <w:rFonts w:asciiTheme="majorBidi" w:hAnsiTheme="majorBidi" w:cstheme="majorBidi"/>
          <w:sz w:val="20"/>
          <w:szCs w:val="20"/>
          <w:lang w:val="es-ES"/>
        </w:rPr>
        <w:t>U</w:t>
      </w:r>
      <w:r w:rsidRPr="00C57844">
        <w:rPr>
          <w:rFonts w:asciiTheme="majorBidi" w:hAnsiTheme="majorBidi" w:cstheme="majorBidi"/>
          <w:sz w:val="20"/>
          <w:szCs w:val="20"/>
          <w:lang w:val="es-ES"/>
        </w:rPr>
        <w:t>wott</w:t>
      </w:r>
      <w:r>
        <w:rPr>
          <w:rFonts w:asciiTheme="majorBidi" w:hAnsiTheme="majorBidi" w:cstheme="majorBidi"/>
          <w:sz w:val="20"/>
          <w:szCs w:val="20"/>
          <w:lang w:val="es-ES"/>
        </w:rPr>
        <w:t>ü</w:t>
      </w:r>
      <w:r w:rsidRPr="00C57844">
        <w:rPr>
          <w:rFonts w:asciiTheme="majorBidi" w:hAnsiTheme="majorBidi" w:cstheme="majorBidi"/>
          <w:sz w:val="20"/>
          <w:szCs w:val="20"/>
          <w:lang w:val="es-ES"/>
        </w:rPr>
        <w:t>ja</w:t>
      </w:r>
      <w:proofErr w:type="spellEnd"/>
      <w:r w:rsidRPr="00C57844">
        <w:rPr>
          <w:rFonts w:asciiTheme="majorBidi" w:hAnsiTheme="majorBidi" w:cstheme="majorBidi"/>
          <w:sz w:val="20"/>
          <w:szCs w:val="20"/>
          <w:lang w:val="es-ES"/>
        </w:rPr>
        <w:t xml:space="preserve">, </w:t>
      </w:r>
      <w:proofErr w:type="spellStart"/>
      <w:r>
        <w:rPr>
          <w:rFonts w:asciiTheme="majorBidi" w:hAnsiTheme="majorBidi" w:cstheme="majorBidi"/>
          <w:sz w:val="20"/>
          <w:szCs w:val="20"/>
          <w:lang w:val="es-ES"/>
        </w:rPr>
        <w:t>Y</w:t>
      </w:r>
      <w:r w:rsidRPr="00C57844">
        <w:rPr>
          <w:rFonts w:asciiTheme="majorBidi" w:hAnsiTheme="majorBidi" w:cstheme="majorBidi"/>
          <w:sz w:val="20"/>
          <w:szCs w:val="20"/>
          <w:lang w:val="es-ES"/>
        </w:rPr>
        <w:t>ekuana</w:t>
      </w:r>
      <w:proofErr w:type="spellEnd"/>
      <w:r w:rsidRPr="00C57844">
        <w:rPr>
          <w:rFonts w:asciiTheme="majorBidi" w:hAnsiTheme="majorBidi" w:cstheme="majorBidi"/>
          <w:sz w:val="20"/>
          <w:szCs w:val="20"/>
          <w:lang w:val="es-ES"/>
        </w:rPr>
        <w:t xml:space="preserve">, </w:t>
      </w:r>
      <w:proofErr w:type="spellStart"/>
      <w:r>
        <w:rPr>
          <w:rFonts w:asciiTheme="majorBidi" w:hAnsiTheme="majorBidi" w:cstheme="majorBidi"/>
          <w:sz w:val="20"/>
          <w:szCs w:val="20"/>
          <w:lang w:val="es-ES"/>
        </w:rPr>
        <w:t>Sa</w:t>
      </w:r>
      <w:r w:rsidRPr="00C57844">
        <w:rPr>
          <w:rFonts w:asciiTheme="majorBidi" w:hAnsiTheme="majorBidi" w:cstheme="majorBidi"/>
          <w:sz w:val="20"/>
          <w:szCs w:val="20"/>
          <w:lang w:val="es-ES"/>
        </w:rPr>
        <w:t>nem</w:t>
      </w:r>
      <w:r>
        <w:rPr>
          <w:rFonts w:asciiTheme="majorBidi" w:hAnsiTheme="majorBidi" w:cstheme="majorBidi"/>
          <w:sz w:val="20"/>
          <w:szCs w:val="20"/>
          <w:lang w:val="es-ES"/>
        </w:rPr>
        <w:t>á</w:t>
      </w:r>
      <w:proofErr w:type="spellEnd"/>
      <w:r w:rsidRPr="00C57844">
        <w:rPr>
          <w:rFonts w:asciiTheme="majorBidi" w:hAnsiTheme="majorBidi" w:cstheme="majorBidi"/>
          <w:sz w:val="20"/>
          <w:szCs w:val="20"/>
          <w:lang w:val="es-ES"/>
        </w:rPr>
        <w:t xml:space="preserve">, </w:t>
      </w:r>
      <w:r>
        <w:rPr>
          <w:rFonts w:asciiTheme="majorBidi" w:hAnsiTheme="majorBidi" w:cstheme="majorBidi"/>
          <w:sz w:val="20"/>
          <w:szCs w:val="20"/>
          <w:lang w:val="es-ES"/>
        </w:rPr>
        <w:t>Y</w:t>
      </w:r>
      <w:r w:rsidRPr="00C57844">
        <w:rPr>
          <w:rFonts w:asciiTheme="majorBidi" w:hAnsiTheme="majorBidi" w:cstheme="majorBidi"/>
          <w:sz w:val="20"/>
          <w:szCs w:val="20"/>
          <w:lang w:val="es-ES"/>
        </w:rPr>
        <w:t xml:space="preserve">eral y </w:t>
      </w:r>
      <w:r>
        <w:rPr>
          <w:rFonts w:asciiTheme="majorBidi" w:hAnsiTheme="majorBidi" w:cstheme="majorBidi"/>
          <w:sz w:val="20"/>
          <w:szCs w:val="20"/>
          <w:lang w:val="es-ES"/>
        </w:rPr>
        <w:t>Y</w:t>
      </w:r>
      <w:r w:rsidRPr="00C57844">
        <w:rPr>
          <w:rFonts w:asciiTheme="majorBidi" w:hAnsiTheme="majorBidi" w:cstheme="majorBidi"/>
          <w:sz w:val="20"/>
          <w:szCs w:val="20"/>
          <w:lang w:val="es-ES"/>
        </w:rPr>
        <w:t>anomami en los últimos cinco años, huyendo de la confrontación entre grupos armados no estatales,</w:t>
      </w:r>
      <w:r>
        <w:rPr>
          <w:rStyle w:val="FootnoteReference"/>
          <w:rFonts w:cstheme="majorBidi"/>
          <w:szCs w:val="20"/>
          <w:lang w:val="es-ES"/>
        </w:rPr>
        <w:footnoteReference w:id="40"/>
      </w:r>
      <w:r w:rsidRPr="00C57844">
        <w:rPr>
          <w:rFonts w:asciiTheme="majorBidi" w:hAnsiTheme="majorBidi" w:cstheme="majorBidi"/>
          <w:sz w:val="20"/>
          <w:szCs w:val="20"/>
          <w:lang w:val="es-ES"/>
        </w:rPr>
        <w:t xml:space="preserve"> lo que contribuyó, a su vez, a la erosión de las prácticas </w:t>
      </w:r>
      <w:r>
        <w:rPr>
          <w:rFonts w:asciiTheme="majorBidi" w:hAnsiTheme="majorBidi" w:cstheme="majorBidi"/>
          <w:sz w:val="20"/>
          <w:szCs w:val="20"/>
          <w:lang w:val="es-ES"/>
        </w:rPr>
        <w:lastRenderedPageBreak/>
        <w:t>I</w:t>
      </w:r>
      <w:r w:rsidRPr="00C57844">
        <w:rPr>
          <w:rFonts w:asciiTheme="majorBidi" w:hAnsiTheme="majorBidi" w:cstheme="majorBidi"/>
          <w:sz w:val="20"/>
          <w:szCs w:val="20"/>
          <w:lang w:val="es-ES"/>
        </w:rPr>
        <w:t>ndígenas, al tiempo que debilitó sus sistemas de autogobierno y su derecho a la autodeterminación.</w:t>
      </w:r>
    </w:p>
    <w:p w14:paraId="5DBC7027" w14:textId="77777777" w:rsidR="00E444D5" w:rsidRDefault="00E444D5" w:rsidP="00E444D5">
      <w:pPr>
        <w:pStyle w:val="ListParagraph"/>
        <w:ind w:left="1170" w:right="1170" w:hanging="36"/>
        <w:rPr>
          <w:rFonts w:asciiTheme="majorBidi" w:hAnsiTheme="majorBidi" w:cstheme="majorBidi"/>
          <w:sz w:val="20"/>
          <w:szCs w:val="20"/>
          <w:lang w:val="es-ES"/>
        </w:rPr>
      </w:pPr>
    </w:p>
    <w:p w14:paraId="21276CCD"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903B80">
        <w:rPr>
          <w:rFonts w:asciiTheme="majorBidi" w:hAnsiTheme="majorBidi" w:cstheme="majorBidi"/>
          <w:sz w:val="20"/>
          <w:szCs w:val="20"/>
          <w:lang w:val="es-ES"/>
        </w:rPr>
        <w:t xml:space="preserve">El ACNUDH toma nota de las operaciones militares para frenar la minería ilegal en las áreas protegidas de Venezuela. </w:t>
      </w:r>
      <w:r>
        <w:rPr>
          <w:rFonts w:asciiTheme="majorBidi" w:hAnsiTheme="majorBidi" w:cstheme="majorBidi"/>
          <w:sz w:val="20"/>
          <w:szCs w:val="20"/>
          <w:lang w:val="es-ES"/>
        </w:rPr>
        <w:t>Además de</w:t>
      </w:r>
      <w:r w:rsidRPr="00903B80">
        <w:rPr>
          <w:rFonts w:asciiTheme="majorBidi" w:hAnsiTheme="majorBidi" w:cstheme="majorBidi"/>
          <w:sz w:val="20"/>
          <w:szCs w:val="20"/>
          <w:lang w:val="es-ES"/>
        </w:rPr>
        <w:t xml:space="preserve"> la degradación ambiental, </w:t>
      </w:r>
      <w:r>
        <w:rPr>
          <w:rFonts w:asciiTheme="majorBidi" w:hAnsiTheme="majorBidi" w:cstheme="majorBidi"/>
          <w:sz w:val="20"/>
          <w:szCs w:val="20"/>
          <w:lang w:val="es-ES"/>
        </w:rPr>
        <w:t>el ACNUDH recibió informes</w:t>
      </w:r>
      <w:r w:rsidRPr="00903B80">
        <w:rPr>
          <w:rFonts w:asciiTheme="majorBidi" w:hAnsiTheme="majorBidi" w:cstheme="majorBidi"/>
          <w:sz w:val="20"/>
          <w:szCs w:val="20"/>
          <w:lang w:val="es-ES"/>
        </w:rPr>
        <w:t xml:space="preserve"> de asesinatos, violencia sexual y trata de personas que afectan de manera desproporcionada la vida y los derechos de los pueblos </w:t>
      </w:r>
      <w:r>
        <w:rPr>
          <w:rFonts w:asciiTheme="majorBidi" w:hAnsiTheme="majorBidi" w:cstheme="majorBidi"/>
          <w:sz w:val="20"/>
          <w:szCs w:val="20"/>
          <w:lang w:val="es-ES"/>
        </w:rPr>
        <w:t>I</w:t>
      </w:r>
      <w:r w:rsidRPr="00903B80">
        <w:rPr>
          <w:rFonts w:asciiTheme="majorBidi" w:hAnsiTheme="majorBidi" w:cstheme="majorBidi"/>
          <w:sz w:val="20"/>
          <w:szCs w:val="20"/>
          <w:lang w:val="es-ES"/>
        </w:rPr>
        <w:t xml:space="preserve">ndígenas que viven en estos territorios. Además, según </w:t>
      </w:r>
      <w:r>
        <w:rPr>
          <w:rFonts w:asciiTheme="majorBidi" w:hAnsiTheme="majorBidi" w:cstheme="majorBidi"/>
          <w:sz w:val="20"/>
          <w:szCs w:val="20"/>
          <w:lang w:val="es-ES"/>
        </w:rPr>
        <w:t>se reporta</w:t>
      </w:r>
      <w:r w:rsidRPr="00903B80">
        <w:rPr>
          <w:rFonts w:asciiTheme="majorBidi" w:hAnsiTheme="majorBidi" w:cstheme="majorBidi"/>
          <w:sz w:val="20"/>
          <w:szCs w:val="20"/>
          <w:lang w:val="es-ES"/>
        </w:rPr>
        <w:t>, al menos 40 personas han muerto en accidentes mineros en el estado de Bolívar desde mayo de 2023,</w:t>
      </w:r>
      <w:r>
        <w:rPr>
          <w:rStyle w:val="FootnoteReference"/>
          <w:rFonts w:cstheme="majorBidi"/>
          <w:szCs w:val="20"/>
          <w:lang w:val="es-ES"/>
        </w:rPr>
        <w:footnoteReference w:id="41"/>
      </w:r>
      <w:r w:rsidRPr="00903B80">
        <w:rPr>
          <w:rFonts w:asciiTheme="majorBidi" w:hAnsiTheme="majorBidi" w:cstheme="majorBidi"/>
          <w:sz w:val="20"/>
          <w:szCs w:val="20"/>
          <w:lang w:val="es-ES"/>
        </w:rPr>
        <w:t xml:space="preserve"> </w:t>
      </w:r>
      <w:r>
        <w:rPr>
          <w:rFonts w:asciiTheme="majorBidi" w:hAnsiTheme="majorBidi" w:cstheme="majorBidi"/>
          <w:sz w:val="20"/>
          <w:szCs w:val="20"/>
          <w:lang w:val="es-ES"/>
        </w:rPr>
        <w:t>poniendo</w:t>
      </w:r>
      <w:r w:rsidRPr="00903B80">
        <w:rPr>
          <w:rFonts w:asciiTheme="majorBidi" w:hAnsiTheme="majorBidi" w:cstheme="majorBidi"/>
          <w:sz w:val="20"/>
          <w:szCs w:val="20"/>
          <w:lang w:val="es-ES"/>
        </w:rPr>
        <w:t xml:space="preserve"> de manifiesto las precarias condiciones de trabajo que ponen en peligro la vida humana.</w:t>
      </w:r>
    </w:p>
    <w:p w14:paraId="0085A5C8" w14:textId="77777777" w:rsidR="00E444D5" w:rsidRDefault="00E444D5" w:rsidP="00E444D5">
      <w:pPr>
        <w:pStyle w:val="ListParagraph"/>
        <w:ind w:left="1170" w:right="1170" w:hanging="36"/>
        <w:rPr>
          <w:rFonts w:asciiTheme="majorBidi" w:hAnsiTheme="majorBidi" w:cstheme="majorBidi"/>
          <w:sz w:val="20"/>
          <w:szCs w:val="20"/>
          <w:lang w:val="es-ES"/>
        </w:rPr>
      </w:pPr>
    </w:p>
    <w:p w14:paraId="22358AB4"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903B80">
        <w:rPr>
          <w:rFonts w:asciiTheme="majorBidi" w:hAnsiTheme="majorBidi" w:cstheme="majorBidi"/>
          <w:sz w:val="20"/>
          <w:szCs w:val="20"/>
          <w:lang w:val="es-ES"/>
        </w:rPr>
        <w:t xml:space="preserve">El 24 de septiembre de 2023, las autoridades declararon el Parque Nacional </w:t>
      </w:r>
      <w:proofErr w:type="spellStart"/>
      <w:r w:rsidRPr="00903B80">
        <w:rPr>
          <w:rFonts w:asciiTheme="majorBidi" w:hAnsiTheme="majorBidi" w:cstheme="majorBidi"/>
          <w:sz w:val="20"/>
          <w:szCs w:val="20"/>
          <w:lang w:val="es-ES"/>
        </w:rPr>
        <w:t>Yapacana</w:t>
      </w:r>
      <w:proofErr w:type="spellEnd"/>
      <w:r w:rsidRPr="00903B80">
        <w:rPr>
          <w:rFonts w:asciiTheme="majorBidi" w:hAnsiTheme="majorBidi" w:cstheme="majorBidi"/>
          <w:sz w:val="20"/>
          <w:szCs w:val="20"/>
          <w:lang w:val="es-ES"/>
        </w:rPr>
        <w:t>, estado de Amazonas, «libre de minería ilegal», tras una operación militar y e</w:t>
      </w:r>
      <w:r>
        <w:rPr>
          <w:rFonts w:asciiTheme="majorBidi" w:hAnsiTheme="majorBidi" w:cstheme="majorBidi"/>
          <w:sz w:val="20"/>
          <w:szCs w:val="20"/>
          <w:lang w:val="es-ES"/>
        </w:rPr>
        <w:t xml:space="preserve">l posible </w:t>
      </w:r>
      <w:r w:rsidRPr="00903B80">
        <w:rPr>
          <w:rFonts w:asciiTheme="majorBidi" w:hAnsiTheme="majorBidi" w:cstheme="majorBidi"/>
          <w:sz w:val="20"/>
          <w:szCs w:val="20"/>
          <w:lang w:val="es-ES"/>
        </w:rPr>
        <w:t xml:space="preserve">desalojo forzoso de más de 13.000 personas que, según </w:t>
      </w:r>
      <w:r>
        <w:rPr>
          <w:rFonts w:asciiTheme="majorBidi" w:hAnsiTheme="majorBidi" w:cstheme="majorBidi"/>
          <w:sz w:val="20"/>
          <w:szCs w:val="20"/>
          <w:lang w:val="es-ES"/>
        </w:rPr>
        <w:t>lo informado</w:t>
      </w:r>
      <w:r w:rsidRPr="00903B80">
        <w:rPr>
          <w:rFonts w:asciiTheme="majorBidi" w:hAnsiTheme="majorBidi" w:cstheme="majorBidi"/>
          <w:sz w:val="20"/>
          <w:szCs w:val="20"/>
          <w:lang w:val="es-ES"/>
        </w:rPr>
        <w:t>, trabajaban en las explotaciones mineras y vivían junto a ellas.</w:t>
      </w:r>
      <w:r>
        <w:rPr>
          <w:rStyle w:val="FootnoteReference"/>
          <w:rFonts w:cstheme="majorBidi"/>
          <w:szCs w:val="20"/>
          <w:lang w:val="es-ES"/>
        </w:rPr>
        <w:footnoteReference w:id="42"/>
      </w:r>
      <w:r w:rsidRPr="00903B80">
        <w:rPr>
          <w:rFonts w:asciiTheme="majorBidi" w:hAnsiTheme="majorBidi" w:cstheme="majorBidi"/>
          <w:sz w:val="20"/>
          <w:szCs w:val="20"/>
          <w:lang w:val="es-ES"/>
        </w:rPr>
        <w:t xml:space="preserve"> El 27 de febrero de 2024, </w:t>
      </w:r>
      <w:r>
        <w:rPr>
          <w:rFonts w:asciiTheme="majorBidi" w:hAnsiTheme="majorBidi" w:cstheme="majorBidi"/>
          <w:sz w:val="20"/>
          <w:szCs w:val="20"/>
          <w:lang w:val="es-ES"/>
        </w:rPr>
        <w:t xml:space="preserve">presuntamente </w:t>
      </w:r>
      <w:r w:rsidRPr="00903B80">
        <w:rPr>
          <w:rFonts w:asciiTheme="majorBidi" w:hAnsiTheme="majorBidi" w:cstheme="majorBidi"/>
          <w:sz w:val="20"/>
          <w:szCs w:val="20"/>
          <w:lang w:val="es-ES"/>
        </w:rPr>
        <w:t xml:space="preserve">las fuerzas armadas desalojaron por la fuerza al menos a 799 personas </w:t>
      </w:r>
      <w:r>
        <w:rPr>
          <w:rFonts w:asciiTheme="majorBidi" w:hAnsiTheme="majorBidi" w:cstheme="majorBidi"/>
          <w:sz w:val="20"/>
          <w:szCs w:val="20"/>
          <w:lang w:val="es-ES"/>
        </w:rPr>
        <w:t xml:space="preserve">de los asentamientos </w:t>
      </w:r>
      <w:r w:rsidRPr="00903B80">
        <w:rPr>
          <w:rFonts w:asciiTheme="majorBidi" w:hAnsiTheme="majorBidi" w:cstheme="majorBidi"/>
          <w:sz w:val="20"/>
          <w:szCs w:val="20"/>
          <w:lang w:val="es-ES"/>
        </w:rPr>
        <w:t>tras el derrumbe de la mina La Bulla Loca, en el estado Bolívar.</w:t>
      </w:r>
      <w:r>
        <w:rPr>
          <w:rFonts w:asciiTheme="majorBidi" w:hAnsiTheme="majorBidi" w:cstheme="majorBidi"/>
          <w:sz w:val="20"/>
          <w:szCs w:val="20"/>
          <w:lang w:val="es-ES"/>
        </w:rPr>
        <w:t xml:space="preserve"> </w:t>
      </w:r>
      <w:r w:rsidRPr="006C640C">
        <w:rPr>
          <w:rFonts w:asciiTheme="majorBidi" w:hAnsiTheme="majorBidi" w:cstheme="majorBidi"/>
          <w:sz w:val="20"/>
          <w:szCs w:val="20"/>
          <w:lang w:val="es-ES"/>
        </w:rPr>
        <w:t>Según cifras oficiales, dos personas han muerto y seis han resultado heridas, y hay más denuncias pendientes de investigación</w:t>
      </w:r>
      <w:r w:rsidRPr="00903B80">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903B80">
        <w:rPr>
          <w:rFonts w:asciiTheme="majorBidi" w:hAnsiTheme="majorBidi" w:cstheme="majorBidi"/>
          <w:sz w:val="20"/>
          <w:szCs w:val="20"/>
          <w:lang w:val="es-ES"/>
        </w:rPr>
        <w:t xml:space="preserve">ACNUDH también recibió alegaciones de que la minería ilegal continúa en estas </w:t>
      </w:r>
      <w:r>
        <w:rPr>
          <w:rFonts w:asciiTheme="majorBidi" w:hAnsiTheme="majorBidi" w:cstheme="majorBidi"/>
          <w:sz w:val="20"/>
          <w:szCs w:val="20"/>
          <w:lang w:val="es-ES"/>
        </w:rPr>
        <w:t>zonas</w:t>
      </w:r>
      <w:r w:rsidRPr="00903B80">
        <w:rPr>
          <w:rFonts w:asciiTheme="majorBidi" w:hAnsiTheme="majorBidi" w:cstheme="majorBidi"/>
          <w:sz w:val="20"/>
          <w:szCs w:val="20"/>
          <w:lang w:val="es-ES"/>
        </w:rPr>
        <w:t xml:space="preserve"> a pesar de la presencia militar.</w:t>
      </w:r>
      <w:r>
        <w:rPr>
          <w:rFonts w:asciiTheme="majorBidi" w:hAnsiTheme="majorBidi" w:cstheme="majorBidi"/>
          <w:sz w:val="20"/>
          <w:szCs w:val="20"/>
          <w:lang w:val="es-ES"/>
        </w:rPr>
        <w:t xml:space="preserve"> </w:t>
      </w:r>
      <w:r w:rsidRPr="00853CAF">
        <w:rPr>
          <w:rFonts w:asciiTheme="majorBidi" w:hAnsiTheme="majorBidi" w:cstheme="majorBidi"/>
          <w:sz w:val="20"/>
          <w:szCs w:val="20"/>
          <w:lang w:val="es-ES"/>
        </w:rPr>
        <w:t>Aunque es deber del Estado mantener el orden público y luchar contra la delincuencia, todas las operaciones policiales deben cumplir plenamente</w:t>
      </w:r>
      <w:r>
        <w:rPr>
          <w:rFonts w:asciiTheme="majorBidi" w:hAnsiTheme="majorBidi" w:cstheme="majorBidi"/>
          <w:sz w:val="20"/>
          <w:szCs w:val="20"/>
          <w:lang w:val="es-ES"/>
        </w:rPr>
        <w:t xml:space="preserve"> con</w:t>
      </w:r>
      <w:r w:rsidRPr="00853CAF">
        <w:rPr>
          <w:rFonts w:asciiTheme="majorBidi" w:hAnsiTheme="majorBidi" w:cstheme="majorBidi"/>
          <w:sz w:val="20"/>
          <w:szCs w:val="20"/>
          <w:lang w:val="es-ES"/>
        </w:rPr>
        <w:t xml:space="preserve"> la legislación internacional sobre derechos humanos. </w:t>
      </w:r>
      <w:r>
        <w:rPr>
          <w:rFonts w:asciiTheme="majorBidi" w:hAnsiTheme="majorBidi" w:cstheme="majorBidi"/>
          <w:sz w:val="20"/>
          <w:szCs w:val="20"/>
          <w:lang w:val="es-ES"/>
        </w:rPr>
        <w:t xml:space="preserve">El </w:t>
      </w:r>
      <w:r w:rsidRPr="00903B80">
        <w:rPr>
          <w:rFonts w:asciiTheme="majorBidi" w:hAnsiTheme="majorBidi" w:cstheme="majorBidi"/>
          <w:sz w:val="20"/>
          <w:szCs w:val="20"/>
          <w:lang w:val="es-ES"/>
        </w:rPr>
        <w:t>AC</w:t>
      </w:r>
      <w:r>
        <w:rPr>
          <w:rFonts w:asciiTheme="majorBidi" w:hAnsiTheme="majorBidi" w:cstheme="majorBidi"/>
          <w:sz w:val="20"/>
          <w:szCs w:val="20"/>
          <w:lang w:val="es-ES"/>
        </w:rPr>
        <w:t>NU</w:t>
      </w:r>
      <w:r w:rsidRPr="00903B80">
        <w:rPr>
          <w:rFonts w:asciiTheme="majorBidi" w:hAnsiTheme="majorBidi" w:cstheme="majorBidi"/>
          <w:sz w:val="20"/>
          <w:szCs w:val="20"/>
          <w:lang w:val="es-ES"/>
        </w:rPr>
        <w:t xml:space="preserve">DH </w:t>
      </w:r>
      <w:r>
        <w:rPr>
          <w:rFonts w:asciiTheme="majorBidi" w:hAnsiTheme="majorBidi" w:cstheme="majorBidi"/>
          <w:sz w:val="20"/>
          <w:szCs w:val="20"/>
          <w:lang w:val="es-ES"/>
        </w:rPr>
        <w:t xml:space="preserve">también </w:t>
      </w:r>
      <w:r w:rsidRPr="00903B80">
        <w:rPr>
          <w:rFonts w:asciiTheme="majorBidi" w:hAnsiTheme="majorBidi" w:cstheme="majorBidi"/>
          <w:sz w:val="20"/>
          <w:szCs w:val="20"/>
          <w:lang w:val="es-ES"/>
        </w:rPr>
        <w:t xml:space="preserve">reitera que los esfuerzos para prevenir la destrucción ambiental en </w:t>
      </w:r>
      <w:r>
        <w:rPr>
          <w:rFonts w:asciiTheme="majorBidi" w:hAnsiTheme="majorBidi" w:cstheme="majorBidi"/>
          <w:sz w:val="20"/>
          <w:szCs w:val="20"/>
          <w:lang w:val="es-ES"/>
        </w:rPr>
        <w:t>zonas</w:t>
      </w:r>
      <w:r w:rsidRPr="00903B80">
        <w:rPr>
          <w:rFonts w:asciiTheme="majorBidi" w:hAnsiTheme="majorBidi" w:cstheme="majorBidi"/>
          <w:sz w:val="20"/>
          <w:szCs w:val="20"/>
          <w:lang w:val="es-ES"/>
        </w:rPr>
        <w:t xml:space="preserve"> protegidas deben cumplir con el derecho internacional de los derechos humanos, y deben buscar mejorar las condiciones de vida, incluyendo de</w:t>
      </w:r>
      <w:r>
        <w:rPr>
          <w:rFonts w:asciiTheme="majorBidi" w:hAnsiTheme="majorBidi" w:cstheme="majorBidi"/>
          <w:sz w:val="20"/>
          <w:szCs w:val="20"/>
          <w:lang w:val="es-ES"/>
        </w:rPr>
        <w:t xml:space="preserve"> las personas</w:t>
      </w:r>
      <w:r w:rsidRPr="00903B80">
        <w:rPr>
          <w:rFonts w:asciiTheme="majorBidi" w:hAnsiTheme="majorBidi" w:cstheme="majorBidi"/>
          <w:sz w:val="20"/>
          <w:szCs w:val="20"/>
          <w:lang w:val="es-ES"/>
        </w:rPr>
        <w:t xml:space="preserve"> que </w:t>
      </w:r>
      <w:r>
        <w:rPr>
          <w:rFonts w:asciiTheme="majorBidi" w:hAnsiTheme="majorBidi" w:cstheme="majorBidi"/>
          <w:sz w:val="20"/>
          <w:szCs w:val="20"/>
          <w:lang w:val="es-ES"/>
        </w:rPr>
        <w:t>dependen de</w:t>
      </w:r>
      <w:r w:rsidRPr="00903B80">
        <w:rPr>
          <w:rFonts w:asciiTheme="majorBidi" w:hAnsiTheme="majorBidi" w:cstheme="majorBidi"/>
          <w:sz w:val="20"/>
          <w:szCs w:val="20"/>
          <w:lang w:val="es-ES"/>
        </w:rPr>
        <w:t xml:space="preserve"> la minería ilegal </w:t>
      </w:r>
      <w:r>
        <w:rPr>
          <w:rFonts w:asciiTheme="majorBidi" w:hAnsiTheme="majorBidi" w:cstheme="majorBidi"/>
          <w:sz w:val="20"/>
          <w:szCs w:val="20"/>
          <w:lang w:val="es-ES"/>
        </w:rPr>
        <w:t>para su</w:t>
      </w:r>
      <w:r w:rsidRPr="00903B80">
        <w:rPr>
          <w:rFonts w:asciiTheme="majorBidi" w:hAnsiTheme="majorBidi" w:cstheme="majorBidi"/>
          <w:sz w:val="20"/>
          <w:szCs w:val="20"/>
          <w:lang w:val="es-ES"/>
        </w:rPr>
        <w:t xml:space="preserve"> subsistencia.</w:t>
      </w:r>
      <w:r>
        <w:rPr>
          <w:rStyle w:val="FootnoteReference"/>
          <w:rFonts w:cstheme="majorBidi"/>
          <w:szCs w:val="20"/>
          <w:lang w:val="es-ES"/>
        </w:rPr>
        <w:footnoteReference w:id="43"/>
      </w:r>
    </w:p>
    <w:p w14:paraId="7B16D2D6" w14:textId="77777777" w:rsidR="00E444D5" w:rsidRDefault="00E444D5" w:rsidP="00E444D5">
      <w:pPr>
        <w:pStyle w:val="ListParagraph"/>
        <w:ind w:left="1170" w:right="1170" w:hanging="36"/>
        <w:rPr>
          <w:rFonts w:asciiTheme="majorBidi" w:hAnsiTheme="majorBidi" w:cstheme="majorBidi"/>
          <w:sz w:val="20"/>
          <w:szCs w:val="20"/>
          <w:lang w:val="es-ES"/>
        </w:rPr>
      </w:pPr>
    </w:p>
    <w:p w14:paraId="35A350F8"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5159A0">
        <w:rPr>
          <w:rFonts w:asciiTheme="majorBidi" w:hAnsiTheme="majorBidi" w:cstheme="majorBidi"/>
          <w:sz w:val="20"/>
          <w:szCs w:val="20"/>
          <w:lang w:val="es-ES"/>
        </w:rPr>
        <w:t xml:space="preserve">Según informes, la suspensión general de los vuelos en los municipios del estado de Bolívar, que forma parte de la operación Roraima 2024, ha restringido el acceso a alimentos, medicinas, combustible y educación, incluido el transporte de profesores, de al menos 119 comunidades </w:t>
      </w:r>
      <w:r>
        <w:rPr>
          <w:rFonts w:asciiTheme="majorBidi" w:hAnsiTheme="majorBidi" w:cstheme="majorBidi"/>
          <w:sz w:val="20"/>
          <w:szCs w:val="20"/>
          <w:lang w:val="es-ES"/>
        </w:rPr>
        <w:t>I</w:t>
      </w:r>
      <w:r w:rsidRPr="005159A0">
        <w:rPr>
          <w:rFonts w:asciiTheme="majorBidi" w:hAnsiTheme="majorBidi" w:cstheme="majorBidi"/>
          <w:sz w:val="20"/>
          <w:szCs w:val="20"/>
          <w:lang w:val="es-ES"/>
        </w:rPr>
        <w:t xml:space="preserve">ndígenas </w:t>
      </w:r>
      <w:r>
        <w:rPr>
          <w:rFonts w:asciiTheme="majorBidi" w:hAnsiTheme="majorBidi" w:cstheme="majorBidi"/>
          <w:sz w:val="20"/>
          <w:szCs w:val="20"/>
          <w:lang w:val="es-ES"/>
        </w:rPr>
        <w:t>P</w:t>
      </w:r>
      <w:r w:rsidRPr="005159A0">
        <w:rPr>
          <w:rFonts w:asciiTheme="majorBidi" w:hAnsiTheme="majorBidi" w:cstheme="majorBidi"/>
          <w:sz w:val="20"/>
          <w:szCs w:val="20"/>
          <w:lang w:val="es-ES"/>
        </w:rPr>
        <w:t>emón, sin consentimiento libre, previo e informado. Estas comunidades dependían de estos suministros aéreos para servicios esenciales. La Oficina recuerda que el Estado debe tomar medidas, hasta el máximo de sus recursos disponibles, con miras a lograr la realización de los derechos a la alimentación, la salud y la educación; y a la luz de las normas internacionales sobre Pueblos Indígenas</w:t>
      </w:r>
    </w:p>
    <w:p w14:paraId="556607A5" w14:textId="77777777" w:rsidR="00E444D5" w:rsidRDefault="00E444D5" w:rsidP="00E444D5">
      <w:pPr>
        <w:pStyle w:val="ListParagraph"/>
        <w:ind w:left="1170" w:right="1170" w:hanging="36"/>
        <w:rPr>
          <w:rFonts w:asciiTheme="majorBidi" w:hAnsiTheme="majorBidi" w:cstheme="majorBidi"/>
          <w:sz w:val="20"/>
          <w:szCs w:val="20"/>
          <w:lang w:val="es-ES"/>
        </w:rPr>
      </w:pPr>
    </w:p>
    <w:p w14:paraId="46401EB5"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903B80">
        <w:rPr>
          <w:rFonts w:asciiTheme="majorBidi" w:hAnsiTheme="majorBidi" w:cstheme="majorBidi"/>
          <w:sz w:val="20"/>
          <w:szCs w:val="20"/>
          <w:lang w:val="es-ES"/>
        </w:rPr>
        <w:t xml:space="preserve">Los pueblos </w:t>
      </w:r>
      <w:r>
        <w:rPr>
          <w:rFonts w:asciiTheme="majorBidi" w:hAnsiTheme="majorBidi" w:cstheme="majorBidi"/>
          <w:sz w:val="20"/>
          <w:szCs w:val="20"/>
          <w:lang w:val="es-ES"/>
        </w:rPr>
        <w:t>I</w:t>
      </w:r>
      <w:r w:rsidRPr="00903B80">
        <w:rPr>
          <w:rFonts w:asciiTheme="majorBidi" w:hAnsiTheme="majorBidi" w:cstheme="majorBidi"/>
          <w:sz w:val="20"/>
          <w:szCs w:val="20"/>
          <w:lang w:val="es-ES"/>
        </w:rPr>
        <w:t>ndígenas de Venezuela se ven desproporcionadamente afectados por la malnutrición y la pobreza extrema, así como por la exposición a enfermedades y la degradación medioambiental, en parte debido a las actividades extractivas que se llevan a cabo en sus territorios.</w:t>
      </w:r>
      <w:r>
        <w:rPr>
          <w:rStyle w:val="FootnoteReference"/>
          <w:rFonts w:cstheme="majorBidi"/>
          <w:szCs w:val="20"/>
          <w:lang w:val="es-ES"/>
        </w:rPr>
        <w:footnoteReference w:id="44"/>
      </w:r>
      <w:r w:rsidRPr="00903B80">
        <w:rPr>
          <w:rFonts w:asciiTheme="majorBidi" w:hAnsiTheme="majorBidi" w:cstheme="majorBidi"/>
          <w:sz w:val="20"/>
          <w:szCs w:val="20"/>
          <w:lang w:val="es-ES"/>
        </w:rPr>
        <w:t xml:space="preserve"> En junio de 2023, una organización </w:t>
      </w:r>
      <w:r>
        <w:rPr>
          <w:rFonts w:asciiTheme="majorBidi" w:hAnsiTheme="majorBidi" w:cstheme="majorBidi"/>
          <w:sz w:val="20"/>
          <w:szCs w:val="20"/>
          <w:lang w:val="es-ES"/>
        </w:rPr>
        <w:t>I</w:t>
      </w:r>
      <w:r w:rsidRPr="00903B80">
        <w:rPr>
          <w:rFonts w:asciiTheme="majorBidi" w:hAnsiTheme="majorBidi" w:cstheme="majorBidi"/>
          <w:sz w:val="20"/>
          <w:szCs w:val="20"/>
          <w:lang w:val="es-ES"/>
        </w:rPr>
        <w:t xml:space="preserve">ndígena presentó una solicitud formal al Ministerio de Pueblos Indígenas para reactivar el proceso de demarcación de los territorios </w:t>
      </w:r>
      <w:r>
        <w:rPr>
          <w:rFonts w:asciiTheme="majorBidi" w:hAnsiTheme="majorBidi" w:cstheme="majorBidi"/>
          <w:sz w:val="20"/>
          <w:szCs w:val="20"/>
          <w:lang w:val="es-ES"/>
        </w:rPr>
        <w:t>I</w:t>
      </w:r>
      <w:r w:rsidRPr="00903B80">
        <w:rPr>
          <w:rFonts w:asciiTheme="majorBidi" w:hAnsiTheme="majorBidi" w:cstheme="majorBidi"/>
          <w:sz w:val="20"/>
          <w:szCs w:val="20"/>
          <w:lang w:val="es-ES"/>
        </w:rPr>
        <w:t>ndígenas.</w:t>
      </w:r>
      <w:r>
        <w:rPr>
          <w:rStyle w:val="FootnoteReference"/>
          <w:rFonts w:cstheme="majorBidi"/>
          <w:szCs w:val="20"/>
          <w:lang w:val="es-ES"/>
        </w:rPr>
        <w:footnoteReference w:id="45"/>
      </w:r>
      <w:r w:rsidRPr="00903B80">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903B80">
        <w:rPr>
          <w:rFonts w:asciiTheme="majorBidi" w:hAnsiTheme="majorBidi" w:cstheme="majorBidi"/>
          <w:sz w:val="20"/>
          <w:szCs w:val="20"/>
          <w:lang w:val="es-ES"/>
        </w:rPr>
        <w:t xml:space="preserve">ACNUDH reitera todas las recomendaciones </w:t>
      </w:r>
      <w:r>
        <w:rPr>
          <w:rFonts w:asciiTheme="majorBidi" w:hAnsiTheme="majorBidi" w:cstheme="majorBidi"/>
          <w:sz w:val="20"/>
          <w:szCs w:val="20"/>
          <w:lang w:val="es-ES"/>
        </w:rPr>
        <w:t xml:space="preserve">anteriores </w:t>
      </w:r>
      <w:r w:rsidRPr="00903B80">
        <w:rPr>
          <w:rFonts w:asciiTheme="majorBidi" w:hAnsiTheme="majorBidi" w:cstheme="majorBidi"/>
          <w:sz w:val="20"/>
          <w:szCs w:val="20"/>
          <w:lang w:val="es-ES"/>
        </w:rPr>
        <w:t xml:space="preserve">relacionadas con los derechos de los </w:t>
      </w:r>
      <w:r>
        <w:rPr>
          <w:rFonts w:asciiTheme="majorBidi" w:hAnsiTheme="majorBidi" w:cstheme="majorBidi"/>
          <w:sz w:val="20"/>
          <w:szCs w:val="20"/>
          <w:lang w:val="es-ES"/>
        </w:rPr>
        <w:t>P</w:t>
      </w:r>
      <w:r w:rsidRPr="00903B80">
        <w:rPr>
          <w:rFonts w:asciiTheme="majorBidi" w:hAnsiTheme="majorBidi" w:cstheme="majorBidi"/>
          <w:sz w:val="20"/>
          <w:szCs w:val="20"/>
          <w:lang w:val="es-ES"/>
        </w:rPr>
        <w:t xml:space="preserve">ueblos </w:t>
      </w:r>
      <w:r>
        <w:rPr>
          <w:rFonts w:asciiTheme="majorBidi" w:hAnsiTheme="majorBidi" w:cstheme="majorBidi"/>
          <w:sz w:val="20"/>
          <w:szCs w:val="20"/>
          <w:lang w:val="es-ES"/>
        </w:rPr>
        <w:t>I</w:t>
      </w:r>
      <w:r w:rsidRPr="00903B80">
        <w:rPr>
          <w:rFonts w:asciiTheme="majorBidi" w:hAnsiTheme="majorBidi" w:cstheme="majorBidi"/>
          <w:sz w:val="20"/>
          <w:szCs w:val="20"/>
          <w:lang w:val="es-ES"/>
        </w:rPr>
        <w:t>ndígenas, incluso en relación con la reactivación del proceso, de manera que cumpla las normas internacionales.</w:t>
      </w:r>
    </w:p>
    <w:p w14:paraId="24E6D076" w14:textId="77777777" w:rsidR="00E444D5" w:rsidRPr="00903B80" w:rsidRDefault="00E444D5" w:rsidP="00E444D5">
      <w:pPr>
        <w:pStyle w:val="ListParagraph"/>
        <w:ind w:left="1170" w:right="1170"/>
        <w:rPr>
          <w:rFonts w:asciiTheme="majorBidi" w:hAnsiTheme="majorBidi" w:cstheme="majorBidi"/>
          <w:sz w:val="20"/>
          <w:szCs w:val="20"/>
          <w:lang w:val="es-ES"/>
        </w:rPr>
      </w:pPr>
    </w:p>
    <w:p w14:paraId="45D7F604" w14:textId="57D7D3C9" w:rsidR="00E444D5" w:rsidRPr="00870E6F" w:rsidRDefault="00E444D5" w:rsidP="007D32A8">
      <w:pPr>
        <w:pStyle w:val="HChG"/>
        <w:numPr>
          <w:ilvl w:val="0"/>
          <w:numId w:val="30"/>
        </w:numPr>
        <w:tabs>
          <w:tab w:val="clear" w:pos="851"/>
          <w:tab w:val="right" w:pos="993"/>
        </w:tabs>
        <w:ind w:hanging="654"/>
        <w:rPr>
          <w:lang w:val="en-GB"/>
        </w:rPr>
      </w:pPr>
      <w:proofErr w:type="spellStart"/>
      <w:r w:rsidRPr="67E33F3E">
        <w:rPr>
          <w:lang w:val="en-GB"/>
        </w:rPr>
        <w:t>Mujeres</w:t>
      </w:r>
      <w:proofErr w:type="spellEnd"/>
      <w:r w:rsidRPr="67E33F3E">
        <w:rPr>
          <w:lang w:val="en-GB"/>
        </w:rPr>
        <w:t xml:space="preserve"> y personas </w:t>
      </w:r>
      <w:r>
        <w:rPr>
          <w:lang w:val="en-GB"/>
        </w:rPr>
        <w:t>LGBTIQ</w:t>
      </w:r>
      <w:r w:rsidRPr="67E33F3E">
        <w:rPr>
          <w:lang w:val="en-GB"/>
        </w:rPr>
        <w:t>+</w:t>
      </w:r>
    </w:p>
    <w:p w14:paraId="3D6F109C"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8443BA">
        <w:rPr>
          <w:rFonts w:asciiTheme="majorBidi" w:hAnsiTheme="majorBidi" w:cstheme="majorBidi"/>
          <w:sz w:val="20"/>
          <w:szCs w:val="20"/>
          <w:lang w:val="es-ES"/>
        </w:rPr>
        <w:t>El 7 de marzo de 2024, la Asamblea Nacional aprobó por unanimidad en primera discusión el proyecto de Ley Orgánica para la Igualdad de la Mujer. Este proyecto de ley propone importantes disposiciones que podrían contribuir a la implementación de recomendaciones previas emitidas por mecanismos de derechos humanos,</w:t>
      </w:r>
      <w:r>
        <w:rPr>
          <w:rStyle w:val="FootnoteReference"/>
          <w:rFonts w:cstheme="majorBidi"/>
          <w:szCs w:val="20"/>
          <w:lang w:val="es-ES"/>
        </w:rPr>
        <w:footnoteReference w:id="46"/>
      </w:r>
      <w:r w:rsidRPr="008443BA">
        <w:rPr>
          <w:rFonts w:asciiTheme="majorBidi" w:hAnsiTheme="majorBidi" w:cstheme="majorBidi"/>
          <w:sz w:val="20"/>
          <w:szCs w:val="20"/>
          <w:lang w:val="es-ES"/>
        </w:rPr>
        <w:t xml:space="preserve"> incluyendo la creación de un Observatorio Nacional para la Igualdad de Género, y hacia el aumento de la </w:t>
      </w:r>
      <w:r w:rsidRPr="008443BA">
        <w:rPr>
          <w:rFonts w:asciiTheme="majorBidi" w:hAnsiTheme="majorBidi" w:cstheme="majorBidi"/>
          <w:sz w:val="20"/>
          <w:szCs w:val="20"/>
          <w:lang w:val="es-ES"/>
        </w:rPr>
        <w:lastRenderedPageBreak/>
        <w:t xml:space="preserve">participación política de las mujeres. Sin embargo, al ACNUDH le preocupan los informes sobre la falta de transparencia en el proceso de consulta, así como la ausencia de definiciones jurídicas en el proyecto de ley. El ACNUDH pide a las autoridades que garanticen consultas plenas, inclusivas y transparentes sobre el proyecto de ley, y que velen por su armonización con </w:t>
      </w:r>
      <w:r>
        <w:rPr>
          <w:rFonts w:asciiTheme="majorBidi" w:hAnsiTheme="majorBidi" w:cstheme="majorBidi"/>
          <w:sz w:val="20"/>
          <w:szCs w:val="20"/>
          <w:lang w:val="es-ES"/>
        </w:rPr>
        <w:t xml:space="preserve">el derecho internacional de derechos humanos y los estándares </w:t>
      </w:r>
      <w:r w:rsidRPr="008443BA">
        <w:rPr>
          <w:rFonts w:asciiTheme="majorBidi" w:hAnsiTheme="majorBidi" w:cstheme="majorBidi"/>
          <w:sz w:val="20"/>
          <w:szCs w:val="20"/>
          <w:lang w:val="es-ES"/>
        </w:rPr>
        <w:t>sobre los derechos de la</w:t>
      </w:r>
      <w:r>
        <w:rPr>
          <w:rFonts w:asciiTheme="majorBidi" w:hAnsiTheme="majorBidi" w:cstheme="majorBidi"/>
          <w:sz w:val="20"/>
          <w:szCs w:val="20"/>
          <w:lang w:val="es-ES"/>
        </w:rPr>
        <w:t>s</w:t>
      </w:r>
      <w:r w:rsidRPr="008443BA">
        <w:rPr>
          <w:rFonts w:asciiTheme="majorBidi" w:hAnsiTheme="majorBidi" w:cstheme="majorBidi"/>
          <w:sz w:val="20"/>
          <w:szCs w:val="20"/>
          <w:lang w:val="es-ES"/>
        </w:rPr>
        <w:t xml:space="preserve"> mujer</w:t>
      </w:r>
      <w:r>
        <w:rPr>
          <w:rFonts w:asciiTheme="majorBidi" w:hAnsiTheme="majorBidi" w:cstheme="majorBidi"/>
          <w:sz w:val="20"/>
          <w:szCs w:val="20"/>
          <w:lang w:val="es-ES"/>
        </w:rPr>
        <w:t>es</w:t>
      </w:r>
      <w:r w:rsidRPr="008443BA">
        <w:rPr>
          <w:rFonts w:asciiTheme="majorBidi" w:hAnsiTheme="majorBidi" w:cstheme="majorBidi"/>
          <w:sz w:val="20"/>
          <w:szCs w:val="20"/>
          <w:lang w:val="es-ES"/>
        </w:rPr>
        <w:t xml:space="preserve"> y la igualdad de género. </w:t>
      </w:r>
      <w:r>
        <w:rPr>
          <w:rFonts w:asciiTheme="majorBidi" w:hAnsiTheme="majorBidi" w:cstheme="majorBidi"/>
          <w:sz w:val="20"/>
          <w:szCs w:val="20"/>
          <w:lang w:val="es-ES"/>
        </w:rPr>
        <w:t xml:space="preserve">El </w:t>
      </w:r>
      <w:r w:rsidRPr="008443BA">
        <w:rPr>
          <w:rFonts w:asciiTheme="majorBidi" w:hAnsiTheme="majorBidi" w:cstheme="majorBidi"/>
          <w:sz w:val="20"/>
          <w:szCs w:val="20"/>
          <w:lang w:val="es-ES"/>
        </w:rPr>
        <w:t>ACNUDH reitera su recomendación de implementar las políticas e iniciativas pendientes, incluyendo la elaboración de reglamentos y protocolos sensibles al género para la implementación de la Ley Orgánica sobre el Derecho de las Mujeres a una Vida Libre de Violencia.</w:t>
      </w:r>
      <w:r>
        <w:rPr>
          <w:rStyle w:val="FootnoteReference"/>
          <w:rFonts w:cstheme="majorBidi"/>
          <w:szCs w:val="20"/>
          <w:lang w:val="es-ES"/>
        </w:rPr>
        <w:footnoteReference w:id="47"/>
      </w:r>
    </w:p>
    <w:p w14:paraId="68DD1141" w14:textId="77777777" w:rsidR="00E444D5" w:rsidRDefault="00E444D5" w:rsidP="00E444D5">
      <w:pPr>
        <w:pStyle w:val="ListParagraph"/>
        <w:ind w:left="1170" w:right="1170" w:hanging="36"/>
        <w:rPr>
          <w:rFonts w:asciiTheme="majorBidi" w:hAnsiTheme="majorBidi" w:cstheme="majorBidi"/>
          <w:sz w:val="20"/>
          <w:szCs w:val="20"/>
          <w:lang w:val="es-ES"/>
        </w:rPr>
      </w:pPr>
    </w:p>
    <w:p w14:paraId="03EBC9A0"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6D5DB1">
        <w:rPr>
          <w:rFonts w:asciiTheme="majorBidi" w:hAnsiTheme="majorBidi" w:cstheme="majorBidi"/>
          <w:sz w:val="20"/>
          <w:szCs w:val="20"/>
          <w:lang w:val="es-ES"/>
        </w:rPr>
        <w:t xml:space="preserve">A raíz de la asistencia técnica prestada por el ACNUDH, la División de la Mujer del Ministerio Público adoptó medidas para elaborar un protocolo sobre la investigación de los asesinatos por motivos de género, o femicidios. El ACNUDH alienta a que prosigan los esfuerzos para su finalización </w:t>
      </w:r>
      <w:r>
        <w:rPr>
          <w:rFonts w:asciiTheme="majorBidi" w:hAnsiTheme="majorBidi" w:cstheme="majorBidi"/>
          <w:sz w:val="20"/>
          <w:szCs w:val="20"/>
          <w:lang w:val="es-ES"/>
        </w:rPr>
        <w:t>e implementación</w:t>
      </w:r>
      <w:r w:rsidRPr="006D5DB1">
        <w:rPr>
          <w:rFonts w:asciiTheme="majorBidi" w:hAnsiTheme="majorBidi" w:cstheme="majorBidi"/>
          <w:sz w:val="20"/>
          <w:szCs w:val="20"/>
          <w:lang w:val="es-ES"/>
        </w:rPr>
        <w:t>, en consonancia con las recomendaciones del Comité para la Eliminación de la Discriminación contra la Mujer y del ACNUDH.</w:t>
      </w:r>
      <w:r>
        <w:rPr>
          <w:rStyle w:val="FootnoteReference"/>
          <w:rFonts w:cstheme="majorBidi"/>
          <w:szCs w:val="20"/>
          <w:lang w:val="es-ES"/>
        </w:rPr>
        <w:footnoteReference w:id="48"/>
      </w:r>
      <w:r w:rsidRPr="006D5DB1">
        <w:rPr>
          <w:rFonts w:asciiTheme="majorBidi" w:hAnsiTheme="majorBidi" w:cstheme="majorBidi"/>
          <w:sz w:val="20"/>
          <w:szCs w:val="20"/>
          <w:lang w:val="es-ES"/>
        </w:rPr>
        <w:t xml:space="preserve"> </w:t>
      </w:r>
    </w:p>
    <w:p w14:paraId="07A2BEE5" w14:textId="77777777" w:rsidR="00E444D5" w:rsidRDefault="00E444D5" w:rsidP="00E444D5">
      <w:pPr>
        <w:pStyle w:val="ListParagraph"/>
        <w:ind w:left="1170" w:right="1170" w:hanging="36"/>
        <w:rPr>
          <w:rFonts w:asciiTheme="majorBidi" w:hAnsiTheme="majorBidi" w:cstheme="majorBidi"/>
          <w:sz w:val="20"/>
          <w:szCs w:val="20"/>
          <w:lang w:val="es-ES"/>
        </w:rPr>
      </w:pPr>
    </w:p>
    <w:p w14:paraId="0981FA69"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6D5DB1">
        <w:rPr>
          <w:rFonts w:asciiTheme="majorBidi" w:hAnsiTheme="majorBidi" w:cstheme="majorBidi"/>
          <w:sz w:val="20"/>
          <w:szCs w:val="20"/>
          <w:lang w:val="es-ES"/>
        </w:rPr>
        <w:t xml:space="preserve">A pesar de </w:t>
      </w:r>
      <w:r>
        <w:rPr>
          <w:rFonts w:asciiTheme="majorBidi" w:hAnsiTheme="majorBidi" w:cstheme="majorBidi"/>
          <w:sz w:val="20"/>
          <w:szCs w:val="20"/>
          <w:lang w:val="es-ES"/>
        </w:rPr>
        <w:t>los</w:t>
      </w:r>
      <w:r w:rsidRPr="006D5DB1">
        <w:rPr>
          <w:rFonts w:asciiTheme="majorBidi" w:hAnsiTheme="majorBidi" w:cstheme="majorBidi"/>
          <w:sz w:val="20"/>
          <w:szCs w:val="20"/>
          <w:lang w:val="es-ES"/>
        </w:rPr>
        <w:t xml:space="preserve"> esfuerzos</w:t>
      </w:r>
      <w:r>
        <w:rPr>
          <w:rFonts w:asciiTheme="majorBidi" w:hAnsiTheme="majorBidi" w:cstheme="majorBidi"/>
          <w:sz w:val="20"/>
          <w:szCs w:val="20"/>
          <w:lang w:val="es-ES"/>
        </w:rPr>
        <w:t xml:space="preserve"> del Estado para la prevención de la violencia de género</w:t>
      </w:r>
      <w:r w:rsidRPr="006D5DB1">
        <w:rPr>
          <w:rFonts w:asciiTheme="majorBidi" w:hAnsiTheme="majorBidi" w:cstheme="majorBidi"/>
          <w:sz w:val="20"/>
          <w:szCs w:val="20"/>
          <w:lang w:val="es-ES"/>
        </w:rPr>
        <w:t>, a lo largo de 2023, una organización de la sociedad civil denunció 186 casos de feminicidios en Venezuela entre enero y noviembre.</w:t>
      </w:r>
      <w:r>
        <w:rPr>
          <w:rStyle w:val="FootnoteReference"/>
          <w:rFonts w:cstheme="majorBidi"/>
          <w:szCs w:val="20"/>
          <w:lang w:val="es-ES"/>
        </w:rPr>
        <w:footnoteReference w:id="49"/>
      </w:r>
      <w:r w:rsidRPr="006D5DB1">
        <w:rPr>
          <w:rFonts w:asciiTheme="majorBidi" w:hAnsiTheme="majorBidi" w:cstheme="majorBidi"/>
          <w:sz w:val="20"/>
          <w:szCs w:val="20"/>
          <w:lang w:val="es-ES"/>
        </w:rPr>
        <w:t xml:space="preserve"> Si bien toma nota de la disminución </w:t>
      </w:r>
      <w:r w:rsidRPr="00614038">
        <w:rPr>
          <w:rFonts w:asciiTheme="majorBidi" w:hAnsiTheme="majorBidi" w:cstheme="majorBidi"/>
          <w:sz w:val="20"/>
          <w:szCs w:val="20"/>
          <w:lang w:val="es-ES"/>
        </w:rPr>
        <w:t xml:space="preserve">comparativa reportada con respecto a períodos </w:t>
      </w:r>
      <w:r>
        <w:rPr>
          <w:rFonts w:asciiTheme="majorBidi" w:hAnsiTheme="majorBidi" w:cstheme="majorBidi"/>
          <w:sz w:val="20"/>
          <w:szCs w:val="20"/>
          <w:lang w:val="es-ES"/>
        </w:rPr>
        <w:t xml:space="preserve">de informe </w:t>
      </w:r>
      <w:r w:rsidRPr="00614038">
        <w:rPr>
          <w:rFonts w:asciiTheme="majorBidi" w:hAnsiTheme="majorBidi" w:cstheme="majorBidi"/>
          <w:sz w:val="20"/>
          <w:szCs w:val="20"/>
          <w:lang w:val="es-ES"/>
        </w:rPr>
        <w:t>anteriores,</w:t>
      </w:r>
      <w:r w:rsidRPr="00614038">
        <w:rPr>
          <w:rStyle w:val="FootnoteReference"/>
          <w:rFonts w:cstheme="majorBidi"/>
          <w:szCs w:val="20"/>
          <w:lang w:val="es-ES"/>
        </w:rPr>
        <w:footnoteReference w:id="50"/>
      </w:r>
      <w:r w:rsidRPr="00614038">
        <w:rPr>
          <w:rFonts w:asciiTheme="majorBidi" w:hAnsiTheme="majorBidi" w:cstheme="majorBidi"/>
          <w:sz w:val="20"/>
          <w:szCs w:val="20"/>
          <w:lang w:val="es-ES"/>
        </w:rPr>
        <w:t xml:space="preserve"> el ACNUDH se une a los llamamientos para fortalecer la prevención y la respuesta a la violencia de género, incluidos los femicidios, y para el establecimiento de un sistema de recopilación de datos desa</w:t>
      </w:r>
      <w:r>
        <w:rPr>
          <w:rFonts w:asciiTheme="majorBidi" w:hAnsiTheme="majorBidi" w:cstheme="majorBidi"/>
          <w:sz w:val="20"/>
          <w:szCs w:val="20"/>
          <w:lang w:val="es-ES"/>
        </w:rPr>
        <w:t>gregados</w:t>
      </w:r>
      <w:r w:rsidRPr="00614038">
        <w:rPr>
          <w:rFonts w:asciiTheme="majorBidi" w:hAnsiTheme="majorBidi" w:cstheme="majorBidi"/>
          <w:sz w:val="20"/>
          <w:szCs w:val="20"/>
          <w:lang w:val="es-ES"/>
        </w:rPr>
        <w:t xml:space="preserve"> sobre todas las formas de violencia de género.</w:t>
      </w:r>
      <w:r w:rsidRPr="00614038">
        <w:rPr>
          <w:rStyle w:val="FootnoteReference"/>
          <w:rFonts w:cstheme="majorBidi"/>
          <w:szCs w:val="20"/>
          <w:lang w:val="es-ES"/>
        </w:rPr>
        <w:footnoteReference w:id="51"/>
      </w:r>
    </w:p>
    <w:p w14:paraId="5A704FDB" w14:textId="77777777" w:rsidR="00E444D5" w:rsidRPr="00614038" w:rsidRDefault="00E444D5" w:rsidP="00E444D5">
      <w:pPr>
        <w:pStyle w:val="ListParagraph"/>
        <w:ind w:left="1170" w:right="1170" w:hanging="36"/>
        <w:rPr>
          <w:rFonts w:asciiTheme="majorBidi" w:hAnsiTheme="majorBidi" w:cstheme="majorBidi"/>
          <w:sz w:val="20"/>
          <w:szCs w:val="20"/>
          <w:lang w:val="es-ES"/>
        </w:rPr>
      </w:pPr>
    </w:p>
    <w:p w14:paraId="21B469DD" w14:textId="77777777" w:rsidR="00E444D5"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614038">
        <w:rPr>
          <w:rFonts w:asciiTheme="majorBidi" w:hAnsiTheme="majorBidi" w:cstheme="majorBidi"/>
          <w:sz w:val="20"/>
          <w:szCs w:val="20"/>
          <w:lang w:val="es-ES"/>
        </w:rPr>
        <w:t xml:space="preserve">El ACNUDH también expresa su preocupación por la condena de </w:t>
      </w:r>
      <w:proofErr w:type="spellStart"/>
      <w:r w:rsidRPr="00614038">
        <w:rPr>
          <w:rFonts w:asciiTheme="majorBidi" w:hAnsiTheme="majorBidi" w:cstheme="majorBidi"/>
          <w:sz w:val="20"/>
          <w:szCs w:val="20"/>
          <w:lang w:val="es-ES"/>
        </w:rPr>
        <w:t>Naibelys</w:t>
      </w:r>
      <w:proofErr w:type="spellEnd"/>
      <w:r w:rsidRPr="00614038">
        <w:rPr>
          <w:rFonts w:asciiTheme="majorBidi" w:hAnsiTheme="majorBidi" w:cstheme="majorBidi"/>
          <w:sz w:val="20"/>
          <w:szCs w:val="20"/>
          <w:lang w:val="es-ES"/>
        </w:rPr>
        <w:t xml:space="preserve"> Noel, sentenciada el 19 de julio de 2023 a 30 años de prisión, por «comisión por omisión en la ejecución del delito de homicidio doloso calificado con alevosía y por motivos innobles, con el agravante de perpetración contra un niño.» Esta condena se produjo tras el presunto asesinato, en 2019, de su hijo a manos de su expareja. El 7 de febrero de 2024, durante la vista de apelación, el fiscal declaró que </w:t>
      </w:r>
      <w:proofErr w:type="spellStart"/>
      <w:r w:rsidRPr="00614038">
        <w:rPr>
          <w:rFonts w:asciiTheme="majorBidi" w:hAnsiTheme="majorBidi" w:cstheme="majorBidi"/>
          <w:sz w:val="20"/>
          <w:szCs w:val="20"/>
          <w:lang w:val="es-ES"/>
        </w:rPr>
        <w:t>Naibelys</w:t>
      </w:r>
      <w:proofErr w:type="spellEnd"/>
      <w:r w:rsidRPr="00614038">
        <w:rPr>
          <w:rFonts w:asciiTheme="majorBidi" w:hAnsiTheme="majorBidi" w:cstheme="majorBidi"/>
          <w:sz w:val="20"/>
          <w:szCs w:val="20"/>
          <w:lang w:val="es-ES"/>
        </w:rPr>
        <w:t xml:space="preserve"> Noel había descuidado su función materna y había sido cómplice del maltrato de su hijo, lo que puso de relieve la preocupación por los estereotipos de género en la aplicación de la justicia. En el razonamiento de su decisión, los jueces también hicieron declaraciones con estereotipos de género similares. </w:t>
      </w:r>
      <w:r>
        <w:rPr>
          <w:rFonts w:asciiTheme="majorBidi" w:hAnsiTheme="majorBidi" w:cstheme="majorBidi"/>
          <w:sz w:val="20"/>
          <w:szCs w:val="20"/>
          <w:lang w:val="es-ES"/>
        </w:rPr>
        <w:t>L</w:t>
      </w:r>
      <w:r w:rsidRPr="00614038">
        <w:rPr>
          <w:rFonts w:asciiTheme="majorBidi" w:hAnsiTheme="majorBidi" w:cstheme="majorBidi"/>
          <w:sz w:val="20"/>
          <w:szCs w:val="20"/>
          <w:lang w:val="es-ES"/>
        </w:rPr>
        <w:t>as autoridades</w:t>
      </w:r>
      <w:r>
        <w:rPr>
          <w:rFonts w:asciiTheme="majorBidi" w:hAnsiTheme="majorBidi" w:cstheme="majorBidi"/>
          <w:sz w:val="20"/>
          <w:szCs w:val="20"/>
          <w:lang w:val="es-ES"/>
        </w:rPr>
        <w:t>, según se informa,</w:t>
      </w:r>
      <w:r w:rsidRPr="00614038">
        <w:rPr>
          <w:rFonts w:asciiTheme="majorBidi" w:hAnsiTheme="majorBidi" w:cstheme="majorBidi"/>
          <w:sz w:val="20"/>
          <w:szCs w:val="20"/>
          <w:lang w:val="es-ES"/>
        </w:rPr>
        <w:t xml:space="preserve"> no dieron </w:t>
      </w:r>
      <w:r>
        <w:rPr>
          <w:rFonts w:asciiTheme="majorBidi" w:hAnsiTheme="majorBidi" w:cstheme="majorBidi"/>
          <w:sz w:val="20"/>
          <w:szCs w:val="20"/>
          <w:lang w:val="es-ES"/>
        </w:rPr>
        <w:t>seguimiento</w:t>
      </w:r>
      <w:r w:rsidRPr="00614038">
        <w:rPr>
          <w:rFonts w:asciiTheme="majorBidi" w:hAnsiTheme="majorBidi" w:cstheme="majorBidi"/>
          <w:sz w:val="20"/>
          <w:szCs w:val="20"/>
          <w:lang w:val="es-ES"/>
        </w:rPr>
        <w:t xml:space="preserve"> a las denuncias previas de </w:t>
      </w:r>
      <w:proofErr w:type="spellStart"/>
      <w:r w:rsidRPr="00614038">
        <w:rPr>
          <w:rFonts w:asciiTheme="majorBidi" w:hAnsiTheme="majorBidi" w:cstheme="majorBidi"/>
          <w:sz w:val="20"/>
          <w:szCs w:val="20"/>
          <w:lang w:val="es-ES"/>
        </w:rPr>
        <w:t>Naibelys</w:t>
      </w:r>
      <w:proofErr w:type="spellEnd"/>
      <w:r w:rsidRPr="00614038">
        <w:rPr>
          <w:rFonts w:asciiTheme="majorBidi" w:hAnsiTheme="majorBidi" w:cstheme="majorBidi"/>
          <w:sz w:val="20"/>
          <w:szCs w:val="20"/>
          <w:lang w:val="es-ES"/>
        </w:rPr>
        <w:t xml:space="preserve"> Noel sobre violencia de género por parte de su expareja, quien, según los informes, recibió la mitad de la condena de </w:t>
      </w:r>
      <w:proofErr w:type="spellStart"/>
      <w:r w:rsidRPr="00614038">
        <w:rPr>
          <w:rFonts w:asciiTheme="majorBidi" w:hAnsiTheme="majorBidi" w:cstheme="majorBidi"/>
          <w:sz w:val="20"/>
          <w:szCs w:val="20"/>
          <w:lang w:val="es-ES"/>
        </w:rPr>
        <w:t>Naibelys</w:t>
      </w:r>
      <w:proofErr w:type="spellEnd"/>
      <w:r w:rsidRPr="00614038">
        <w:rPr>
          <w:rFonts w:asciiTheme="majorBidi" w:hAnsiTheme="majorBidi" w:cstheme="majorBidi"/>
          <w:sz w:val="20"/>
          <w:szCs w:val="20"/>
          <w:lang w:val="es-ES"/>
        </w:rPr>
        <w:t>.</w:t>
      </w:r>
    </w:p>
    <w:p w14:paraId="214E0CF1" w14:textId="77777777" w:rsidR="00E444D5" w:rsidRPr="00614038" w:rsidRDefault="00E444D5" w:rsidP="00E444D5">
      <w:pPr>
        <w:pStyle w:val="ListParagraph"/>
        <w:ind w:left="1170" w:right="1170" w:hanging="36"/>
        <w:rPr>
          <w:rFonts w:asciiTheme="majorBidi" w:hAnsiTheme="majorBidi" w:cstheme="majorBidi"/>
          <w:sz w:val="20"/>
          <w:szCs w:val="20"/>
          <w:lang w:val="es-ES"/>
        </w:rPr>
      </w:pPr>
    </w:p>
    <w:p w14:paraId="4A53423B" w14:textId="77777777" w:rsidR="00E444D5" w:rsidRPr="00AC15A1" w:rsidRDefault="00E444D5" w:rsidP="00E444D5">
      <w:pPr>
        <w:pStyle w:val="ListParagraph"/>
        <w:numPr>
          <w:ilvl w:val="0"/>
          <w:numId w:val="20"/>
        </w:numPr>
        <w:ind w:left="1170" w:right="1170" w:hanging="36"/>
        <w:rPr>
          <w:rFonts w:asciiTheme="majorBidi" w:hAnsiTheme="majorBidi" w:cstheme="majorBidi"/>
          <w:sz w:val="20"/>
          <w:szCs w:val="20"/>
          <w:lang w:val="es-ES"/>
        </w:rPr>
      </w:pPr>
      <w:r w:rsidRPr="00AC15A1">
        <w:rPr>
          <w:rFonts w:asciiTheme="majorBidi" w:hAnsiTheme="majorBidi" w:cstheme="majorBidi"/>
          <w:sz w:val="20"/>
          <w:szCs w:val="20"/>
          <w:lang w:val="es-ES"/>
        </w:rPr>
        <w:t xml:space="preserve">Durante el período que abarca el informe, el ACNUDH documentó la situación de cuatro personas </w:t>
      </w:r>
      <w:r>
        <w:rPr>
          <w:rFonts w:asciiTheme="majorBidi" w:hAnsiTheme="majorBidi" w:cstheme="majorBidi"/>
          <w:sz w:val="20"/>
          <w:szCs w:val="20"/>
          <w:lang w:val="es-ES"/>
        </w:rPr>
        <w:t>LGBTIQ</w:t>
      </w:r>
      <w:r w:rsidRPr="00AC15A1">
        <w:rPr>
          <w:rFonts w:asciiTheme="majorBidi" w:hAnsiTheme="majorBidi" w:cstheme="majorBidi"/>
          <w:sz w:val="20"/>
          <w:szCs w:val="20"/>
          <w:lang w:val="es-ES"/>
        </w:rPr>
        <w:t xml:space="preserve">+ </w:t>
      </w:r>
      <w:r>
        <w:rPr>
          <w:rFonts w:asciiTheme="majorBidi" w:hAnsiTheme="majorBidi" w:cstheme="majorBidi"/>
          <w:sz w:val="20"/>
          <w:szCs w:val="20"/>
          <w:lang w:val="es-ES"/>
        </w:rPr>
        <w:t>detenidas de manera arbitraria</w:t>
      </w:r>
      <w:r w:rsidRPr="00AC15A1">
        <w:rPr>
          <w:rFonts w:asciiTheme="majorBidi" w:hAnsiTheme="majorBidi" w:cstheme="majorBidi"/>
          <w:sz w:val="20"/>
          <w:szCs w:val="20"/>
          <w:lang w:val="es-ES"/>
        </w:rPr>
        <w:t xml:space="preserve"> por su orientación sexual e identidad de género por agentes de las fuerzas del orden, contribuyendo así a fomentar la estigmatización y la discriminación contra las personas </w:t>
      </w:r>
      <w:r>
        <w:rPr>
          <w:rFonts w:asciiTheme="majorBidi" w:hAnsiTheme="majorBidi" w:cstheme="majorBidi"/>
          <w:sz w:val="20"/>
          <w:szCs w:val="20"/>
          <w:lang w:val="es-ES"/>
        </w:rPr>
        <w:t>LGBTIQ</w:t>
      </w:r>
      <w:r w:rsidRPr="00AC15A1">
        <w:rPr>
          <w:rFonts w:asciiTheme="majorBidi" w:hAnsiTheme="majorBidi" w:cstheme="majorBidi"/>
          <w:sz w:val="20"/>
          <w:szCs w:val="20"/>
          <w:lang w:val="es-ES"/>
        </w:rPr>
        <w:t xml:space="preserve">+. A lo largo de 2023, </w:t>
      </w:r>
      <w:r>
        <w:rPr>
          <w:rFonts w:asciiTheme="majorBidi" w:hAnsiTheme="majorBidi" w:cstheme="majorBidi"/>
          <w:sz w:val="20"/>
          <w:szCs w:val="20"/>
          <w:lang w:val="es-ES"/>
        </w:rPr>
        <w:t>una organización de la</w:t>
      </w:r>
      <w:r w:rsidRPr="00AC15A1">
        <w:rPr>
          <w:rFonts w:asciiTheme="majorBidi" w:hAnsiTheme="majorBidi" w:cstheme="majorBidi"/>
          <w:sz w:val="20"/>
          <w:szCs w:val="20"/>
          <w:lang w:val="es-ES"/>
        </w:rPr>
        <w:t xml:space="preserve"> sociedad civil ha informado de que el 28,7% de las personas </w:t>
      </w:r>
      <w:r>
        <w:rPr>
          <w:rFonts w:asciiTheme="majorBidi" w:hAnsiTheme="majorBidi" w:cstheme="majorBidi"/>
          <w:sz w:val="20"/>
          <w:szCs w:val="20"/>
          <w:lang w:val="es-ES"/>
        </w:rPr>
        <w:t>LGBTIQ</w:t>
      </w:r>
      <w:r w:rsidRPr="00AC15A1">
        <w:rPr>
          <w:rFonts w:asciiTheme="majorBidi" w:hAnsiTheme="majorBidi" w:cstheme="majorBidi"/>
          <w:sz w:val="20"/>
          <w:szCs w:val="20"/>
          <w:lang w:val="es-ES"/>
        </w:rPr>
        <w:t>+ en Venezuela sufrieron actos de violencia por parte de las fuerzas de seguridad del Estado.</w:t>
      </w:r>
      <w:r>
        <w:rPr>
          <w:rStyle w:val="FootnoteReference"/>
          <w:rFonts w:cstheme="majorBidi"/>
          <w:szCs w:val="20"/>
          <w:lang w:val="es-ES"/>
        </w:rPr>
        <w:footnoteReference w:id="52"/>
      </w:r>
      <w:r w:rsidRPr="00AC15A1">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AC15A1">
        <w:rPr>
          <w:rFonts w:asciiTheme="majorBidi" w:hAnsiTheme="majorBidi" w:cstheme="majorBidi"/>
          <w:sz w:val="20"/>
          <w:szCs w:val="20"/>
          <w:lang w:val="es-ES"/>
        </w:rPr>
        <w:t>ACNUDH hace un llamado a las autoridades para que prevengan, investiguen y sancionen los delitos motivados por la orientación sexual o identidad de género de la víctima, incluso mediante el establecimiento de protocolos de investigación específicos para estos casos, al tiempo que se fortalece la capacidad de los agentes del orden para promover el respeto a la diversidad, incluyendo la identidad de género y la orientación sexual.</w:t>
      </w:r>
      <w:r>
        <w:rPr>
          <w:rStyle w:val="FootnoteReference"/>
          <w:rFonts w:cstheme="majorBidi"/>
          <w:szCs w:val="20"/>
          <w:lang w:val="es-ES"/>
        </w:rPr>
        <w:footnoteReference w:id="53"/>
      </w:r>
      <w:r w:rsidRPr="00AC15A1">
        <w:rPr>
          <w:rFonts w:asciiTheme="majorBidi" w:hAnsiTheme="majorBidi" w:cstheme="majorBidi"/>
          <w:sz w:val="20"/>
          <w:szCs w:val="20"/>
          <w:lang w:val="es-ES"/>
        </w:rPr>
        <w:t xml:space="preserve"> Entre enero y junio de 2023, al menos 65 discursos de funcionarios públicos utilizaron un lenguaje despectivo contra las personas </w:t>
      </w:r>
      <w:r>
        <w:rPr>
          <w:rFonts w:asciiTheme="majorBidi" w:hAnsiTheme="majorBidi" w:cstheme="majorBidi"/>
          <w:sz w:val="20"/>
          <w:szCs w:val="20"/>
          <w:lang w:val="es-ES"/>
        </w:rPr>
        <w:t>LGBTIQ</w:t>
      </w:r>
      <w:r w:rsidRPr="00AC15A1">
        <w:rPr>
          <w:rFonts w:asciiTheme="majorBidi" w:hAnsiTheme="majorBidi" w:cstheme="majorBidi"/>
          <w:sz w:val="20"/>
          <w:szCs w:val="20"/>
          <w:lang w:val="es-ES"/>
        </w:rPr>
        <w:t>+.</w:t>
      </w:r>
      <w:r>
        <w:rPr>
          <w:rStyle w:val="FootnoteReference"/>
          <w:rFonts w:cstheme="majorBidi"/>
          <w:szCs w:val="20"/>
          <w:lang w:val="es-ES"/>
        </w:rPr>
        <w:footnoteReference w:id="54"/>
      </w:r>
    </w:p>
    <w:p w14:paraId="3C71216E" w14:textId="695F175C" w:rsidR="00E444D5" w:rsidRDefault="00E444D5" w:rsidP="007D32A8">
      <w:pPr>
        <w:pStyle w:val="HChG"/>
        <w:numPr>
          <w:ilvl w:val="0"/>
          <w:numId w:val="30"/>
        </w:numPr>
        <w:tabs>
          <w:tab w:val="clear" w:pos="851"/>
        </w:tabs>
      </w:pPr>
      <w:r w:rsidRPr="006C16EA">
        <w:lastRenderedPageBreak/>
        <w:t>De</w:t>
      </w:r>
      <w:r>
        <w:t>recho a la reunión pacífica y</w:t>
      </w:r>
      <w:r w:rsidRPr="006C16EA">
        <w:t xml:space="preserve"> la situación de las personas defensoras de derechos humanos</w:t>
      </w:r>
    </w:p>
    <w:p w14:paraId="6587F7D6" w14:textId="77777777" w:rsidR="00E444D5" w:rsidRDefault="00E444D5" w:rsidP="00E444D5">
      <w:pPr>
        <w:pStyle w:val="ListParagraph"/>
        <w:numPr>
          <w:ilvl w:val="0"/>
          <w:numId w:val="20"/>
        </w:numPr>
        <w:tabs>
          <w:tab w:val="left" w:pos="1440"/>
        </w:tabs>
        <w:ind w:left="1080" w:right="1080" w:hanging="36"/>
        <w:rPr>
          <w:rFonts w:asciiTheme="majorBidi" w:hAnsiTheme="majorBidi" w:cstheme="majorBidi"/>
          <w:sz w:val="20"/>
          <w:szCs w:val="20"/>
          <w:lang w:val="es-ES"/>
        </w:rPr>
      </w:pPr>
      <w:r>
        <w:rPr>
          <w:rFonts w:asciiTheme="majorBidi" w:hAnsiTheme="majorBidi" w:cstheme="majorBidi"/>
          <w:sz w:val="20"/>
          <w:szCs w:val="20"/>
          <w:lang w:val="es-ES"/>
        </w:rPr>
        <w:t>Entre enero y marzo 2024</w:t>
      </w:r>
      <w:r w:rsidRPr="00830DB1">
        <w:rPr>
          <w:rFonts w:asciiTheme="majorBidi" w:hAnsiTheme="majorBidi" w:cstheme="majorBidi"/>
          <w:sz w:val="20"/>
          <w:szCs w:val="20"/>
          <w:lang w:val="es-ES"/>
        </w:rPr>
        <w:t xml:space="preserve">, </w:t>
      </w:r>
      <w:r>
        <w:rPr>
          <w:rFonts w:asciiTheme="majorBidi" w:hAnsiTheme="majorBidi" w:cstheme="majorBidi"/>
          <w:sz w:val="20"/>
          <w:szCs w:val="20"/>
          <w:lang w:val="es-ES"/>
        </w:rPr>
        <w:t>1</w:t>
      </w:r>
      <w:r w:rsidRPr="00830DB1">
        <w:rPr>
          <w:rFonts w:asciiTheme="majorBidi" w:hAnsiTheme="majorBidi" w:cstheme="majorBidi"/>
          <w:sz w:val="20"/>
          <w:szCs w:val="20"/>
          <w:lang w:val="es-ES"/>
        </w:rPr>
        <w:t>.</w:t>
      </w:r>
      <w:r>
        <w:rPr>
          <w:rFonts w:asciiTheme="majorBidi" w:hAnsiTheme="majorBidi" w:cstheme="majorBidi"/>
          <w:sz w:val="20"/>
          <w:szCs w:val="20"/>
          <w:lang w:val="es-ES"/>
        </w:rPr>
        <w:t xml:space="preserve">243 </w:t>
      </w:r>
      <w:r w:rsidRPr="00830DB1">
        <w:rPr>
          <w:rFonts w:asciiTheme="majorBidi" w:hAnsiTheme="majorBidi" w:cstheme="majorBidi"/>
          <w:sz w:val="20"/>
          <w:szCs w:val="20"/>
          <w:lang w:val="es-ES"/>
        </w:rPr>
        <w:t xml:space="preserve">protestas y manifestaciones </w:t>
      </w:r>
      <w:r>
        <w:rPr>
          <w:rFonts w:asciiTheme="majorBidi" w:hAnsiTheme="majorBidi" w:cstheme="majorBidi"/>
          <w:sz w:val="20"/>
          <w:szCs w:val="20"/>
          <w:lang w:val="es-ES"/>
        </w:rPr>
        <w:t xml:space="preserve">fueron </w:t>
      </w:r>
      <w:r w:rsidRPr="00830DB1">
        <w:rPr>
          <w:rFonts w:asciiTheme="majorBidi" w:hAnsiTheme="majorBidi" w:cstheme="majorBidi"/>
          <w:sz w:val="20"/>
          <w:szCs w:val="20"/>
          <w:lang w:val="es-ES"/>
        </w:rPr>
        <w:t>registradas</w:t>
      </w:r>
      <w:r>
        <w:rPr>
          <w:rFonts w:asciiTheme="majorBidi" w:hAnsiTheme="majorBidi" w:cstheme="majorBidi"/>
          <w:sz w:val="20"/>
          <w:szCs w:val="20"/>
          <w:lang w:val="es-ES"/>
        </w:rPr>
        <w:t>.</w:t>
      </w:r>
      <w:r>
        <w:rPr>
          <w:rStyle w:val="FootnoteReference"/>
          <w:rFonts w:cstheme="majorBidi"/>
          <w:szCs w:val="20"/>
          <w:lang w:val="es-ES"/>
        </w:rPr>
        <w:footnoteReference w:id="55"/>
      </w:r>
      <w:r w:rsidRPr="00830DB1">
        <w:rPr>
          <w:rFonts w:asciiTheme="majorBidi" w:hAnsiTheme="majorBidi" w:cstheme="majorBidi"/>
          <w:sz w:val="20"/>
          <w:szCs w:val="20"/>
          <w:lang w:val="es-ES"/>
        </w:rPr>
        <w:t xml:space="preserve"> Según </w:t>
      </w:r>
      <w:r>
        <w:rPr>
          <w:rFonts w:asciiTheme="majorBidi" w:hAnsiTheme="majorBidi" w:cstheme="majorBidi"/>
          <w:sz w:val="20"/>
          <w:szCs w:val="20"/>
          <w:lang w:val="es-ES"/>
        </w:rPr>
        <w:t>una</w:t>
      </w:r>
      <w:r w:rsidRPr="00830DB1">
        <w:rPr>
          <w:rFonts w:asciiTheme="majorBidi" w:hAnsiTheme="majorBidi" w:cstheme="majorBidi"/>
          <w:sz w:val="20"/>
          <w:szCs w:val="20"/>
          <w:lang w:val="es-ES"/>
        </w:rPr>
        <w:t xml:space="preserve"> organización de la sociedad civil, el </w:t>
      </w:r>
      <w:r>
        <w:rPr>
          <w:rFonts w:asciiTheme="majorBidi" w:hAnsiTheme="majorBidi" w:cstheme="majorBidi"/>
          <w:sz w:val="20"/>
          <w:szCs w:val="20"/>
          <w:lang w:val="es-ES"/>
        </w:rPr>
        <w:t>73</w:t>
      </w:r>
      <w:r w:rsidRPr="00830DB1">
        <w:rPr>
          <w:rFonts w:asciiTheme="majorBidi" w:hAnsiTheme="majorBidi" w:cstheme="majorBidi"/>
          <w:sz w:val="20"/>
          <w:szCs w:val="20"/>
          <w:lang w:val="es-ES"/>
        </w:rPr>
        <w:t xml:space="preserve">% de las protestas registradas en </w:t>
      </w:r>
      <w:r>
        <w:rPr>
          <w:rFonts w:asciiTheme="majorBidi" w:hAnsiTheme="majorBidi" w:cstheme="majorBidi"/>
          <w:sz w:val="20"/>
          <w:szCs w:val="20"/>
          <w:lang w:val="es-ES"/>
        </w:rPr>
        <w:t xml:space="preserve">este mismo periodo, levantaron preocupaciones </w:t>
      </w:r>
      <w:r w:rsidRPr="00830DB1">
        <w:rPr>
          <w:rFonts w:asciiTheme="majorBidi" w:hAnsiTheme="majorBidi" w:cstheme="majorBidi"/>
          <w:sz w:val="20"/>
          <w:szCs w:val="20"/>
          <w:lang w:val="es-ES"/>
        </w:rPr>
        <w:t>relacionadas con los derechos económicos, sociales y culturales.</w:t>
      </w:r>
      <w:r>
        <w:rPr>
          <w:rStyle w:val="FootnoteReference"/>
          <w:rFonts w:cstheme="majorBidi"/>
          <w:szCs w:val="20"/>
          <w:lang w:val="es-ES"/>
        </w:rPr>
        <w:footnoteReference w:id="56"/>
      </w:r>
      <w:r w:rsidRPr="00830DB1">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830DB1">
        <w:rPr>
          <w:rFonts w:asciiTheme="majorBidi" w:hAnsiTheme="majorBidi" w:cstheme="majorBidi"/>
          <w:sz w:val="20"/>
          <w:szCs w:val="20"/>
          <w:lang w:val="es-ES"/>
        </w:rPr>
        <w:t>AC</w:t>
      </w:r>
      <w:r>
        <w:rPr>
          <w:rFonts w:asciiTheme="majorBidi" w:hAnsiTheme="majorBidi" w:cstheme="majorBidi"/>
          <w:sz w:val="20"/>
          <w:szCs w:val="20"/>
          <w:lang w:val="es-ES"/>
        </w:rPr>
        <w:t>NU</w:t>
      </w:r>
      <w:r w:rsidRPr="00830DB1">
        <w:rPr>
          <w:rFonts w:asciiTheme="majorBidi" w:hAnsiTheme="majorBidi" w:cstheme="majorBidi"/>
          <w:sz w:val="20"/>
          <w:szCs w:val="20"/>
          <w:lang w:val="es-ES"/>
        </w:rPr>
        <w:t>DH no recibió informes de muertes en protestas ocurridas durante el período que abarca el informe, lo que refleja una tendencia positiva</w:t>
      </w:r>
      <w:r>
        <w:rPr>
          <w:rFonts w:asciiTheme="majorBidi" w:hAnsiTheme="majorBidi" w:cstheme="majorBidi"/>
          <w:sz w:val="20"/>
          <w:szCs w:val="20"/>
          <w:lang w:val="es-ES"/>
        </w:rPr>
        <w:t xml:space="preserve"> sostenida.</w:t>
      </w:r>
      <w:r>
        <w:rPr>
          <w:rStyle w:val="FootnoteReference"/>
          <w:rFonts w:cstheme="majorBidi"/>
          <w:szCs w:val="20"/>
          <w:lang w:val="es-ES"/>
        </w:rPr>
        <w:footnoteReference w:id="57"/>
      </w:r>
    </w:p>
    <w:p w14:paraId="2C3BBF02" w14:textId="77777777" w:rsidR="00E444D5" w:rsidRDefault="00E444D5" w:rsidP="00E444D5">
      <w:pPr>
        <w:pStyle w:val="ListParagraph"/>
        <w:tabs>
          <w:tab w:val="left" w:pos="1440"/>
        </w:tabs>
        <w:ind w:left="1080" w:right="1080" w:hanging="36"/>
        <w:rPr>
          <w:rFonts w:asciiTheme="majorBidi" w:hAnsiTheme="majorBidi" w:cstheme="majorBidi"/>
          <w:sz w:val="20"/>
          <w:szCs w:val="20"/>
          <w:lang w:val="es-ES"/>
        </w:rPr>
      </w:pPr>
    </w:p>
    <w:p w14:paraId="0B1B89A5" w14:textId="77777777" w:rsidR="00E444D5" w:rsidRDefault="00E444D5" w:rsidP="00E444D5">
      <w:pPr>
        <w:pStyle w:val="ListParagraph"/>
        <w:numPr>
          <w:ilvl w:val="0"/>
          <w:numId w:val="20"/>
        </w:numPr>
        <w:tabs>
          <w:tab w:val="left" w:pos="1440"/>
        </w:tabs>
        <w:ind w:left="1080" w:right="1080" w:hanging="36"/>
        <w:rPr>
          <w:rFonts w:asciiTheme="majorBidi" w:hAnsiTheme="majorBidi" w:cstheme="majorBidi"/>
          <w:sz w:val="20"/>
          <w:szCs w:val="20"/>
          <w:lang w:val="es-ES"/>
        </w:rPr>
      </w:pPr>
      <w:r w:rsidRPr="00830DB1">
        <w:rPr>
          <w:rFonts w:asciiTheme="majorBidi" w:hAnsiTheme="majorBidi" w:cstheme="majorBidi"/>
          <w:sz w:val="20"/>
          <w:szCs w:val="20"/>
          <w:lang w:val="es-ES"/>
        </w:rPr>
        <w:t xml:space="preserve">Preocupan al ACNUDH las respuestas de los agentes del orden hacia los miembros del Pueblo Indígena Yukpa en el estado Zulia, que protestaban por sus condiciones de vida. Durante el período que abarca este informe, el ACNUDH documentó tres casos de detención arbitraria (incluida la de una mujer) </w:t>
      </w:r>
      <w:r>
        <w:rPr>
          <w:rFonts w:asciiTheme="majorBidi" w:hAnsiTheme="majorBidi" w:cstheme="majorBidi"/>
          <w:sz w:val="20"/>
          <w:szCs w:val="20"/>
          <w:lang w:val="es-ES"/>
        </w:rPr>
        <w:t xml:space="preserve">en combinación </w:t>
      </w:r>
      <w:r w:rsidRPr="00830DB1">
        <w:rPr>
          <w:rFonts w:asciiTheme="majorBidi" w:hAnsiTheme="majorBidi" w:cstheme="majorBidi"/>
          <w:sz w:val="20"/>
          <w:szCs w:val="20"/>
          <w:lang w:val="es-ES"/>
        </w:rPr>
        <w:t xml:space="preserve">con </w:t>
      </w:r>
      <w:r>
        <w:rPr>
          <w:rFonts w:asciiTheme="majorBidi" w:hAnsiTheme="majorBidi" w:cstheme="majorBidi"/>
          <w:sz w:val="20"/>
          <w:szCs w:val="20"/>
          <w:lang w:val="es-ES"/>
        </w:rPr>
        <w:t>malos tratos</w:t>
      </w:r>
      <w:r w:rsidRPr="00830DB1">
        <w:rPr>
          <w:rFonts w:asciiTheme="majorBidi" w:hAnsiTheme="majorBidi" w:cstheme="majorBidi"/>
          <w:sz w:val="20"/>
          <w:szCs w:val="20"/>
          <w:lang w:val="es-ES"/>
        </w:rPr>
        <w:t xml:space="preserve">, presuntamente perpetrados por agentes de la Policía Nacional Bolivariana, así como tres incidentes de restricción de la libertad de circulación de personas </w:t>
      </w:r>
      <w:r>
        <w:rPr>
          <w:rFonts w:asciiTheme="majorBidi" w:hAnsiTheme="majorBidi" w:cstheme="majorBidi"/>
          <w:sz w:val="20"/>
          <w:szCs w:val="20"/>
          <w:lang w:val="es-ES"/>
        </w:rPr>
        <w:t>Y</w:t>
      </w:r>
      <w:r w:rsidRPr="00830DB1">
        <w:rPr>
          <w:rFonts w:asciiTheme="majorBidi" w:hAnsiTheme="majorBidi" w:cstheme="majorBidi"/>
          <w:sz w:val="20"/>
          <w:szCs w:val="20"/>
          <w:lang w:val="es-ES"/>
        </w:rPr>
        <w:t xml:space="preserve">ukpa por parte de diversos agentes del orden. </w:t>
      </w:r>
      <w:r>
        <w:rPr>
          <w:rFonts w:asciiTheme="majorBidi" w:hAnsiTheme="majorBidi" w:cstheme="majorBidi"/>
          <w:sz w:val="20"/>
          <w:szCs w:val="20"/>
          <w:lang w:val="es-ES"/>
        </w:rPr>
        <w:t>El ACNUDH</w:t>
      </w:r>
      <w:r w:rsidRPr="00830DB1">
        <w:rPr>
          <w:rFonts w:asciiTheme="majorBidi" w:hAnsiTheme="majorBidi" w:cstheme="majorBidi"/>
          <w:sz w:val="20"/>
          <w:szCs w:val="20"/>
          <w:lang w:val="es-ES"/>
        </w:rPr>
        <w:t xml:space="preserve"> </w:t>
      </w:r>
      <w:r w:rsidRPr="00F62300">
        <w:rPr>
          <w:rFonts w:asciiTheme="majorBidi" w:hAnsiTheme="majorBidi" w:cstheme="majorBidi"/>
          <w:sz w:val="20"/>
          <w:szCs w:val="20"/>
          <w:lang w:val="es-ES"/>
        </w:rPr>
        <w:t xml:space="preserve">también recibió informes </w:t>
      </w:r>
      <w:r>
        <w:rPr>
          <w:rFonts w:asciiTheme="majorBidi" w:hAnsiTheme="majorBidi" w:cstheme="majorBidi"/>
          <w:sz w:val="20"/>
          <w:szCs w:val="20"/>
          <w:lang w:val="es-ES"/>
        </w:rPr>
        <w:t xml:space="preserve">indicando </w:t>
      </w:r>
      <w:r w:rsidRPr="00F62300">
        <w:rPr>
          <w:rFonts w:asciiTheme="majorBidi" w:hAnsiTheme="majorBidi" w:cstheme="majorBidi"/>
          <w:sz w:val="20"/>
          <w:szCs w:val="20"/>
          <w:lang w:val="es-ES"/>
        </w:rPr>
        <w:t xml:space="preserve">que los bloqueos de carreteras impuestos por las protestas han contribuido a aumentar las tensiones entre las comunidades </w:t>
      </w:r>
      <w:r>
        <w:rPr>
          <w:rFonts w:asciiTheme="majorBidi" w:hAnsiTheme="majorBidi" w:cstheme="majorBidi"/>
          <w:sz w:val="20"/>
          <w:szCs w:val="20"/>
          <w:lang w:val="es-ES"/>
        </w:rPr>
        <w:t>Y</w:t>
      </w:r>
      <w:r w:rsidRPr="00F62300">
        <w:rPr>
          <w:rFonts w:asciiTheme="majorBidi" w:hAnsiTheme="majorBidi" w:cstheme="majorBidi"/>
          <w:sz w:val="20"/>
          <w:szCs w:val="20"/>
          <w:lang w:val="es-ES"/>
        </w:rPr>
        <w:t xml:space="preserve">ukpa y los residentes no </w:t>
      </w:r>
      <w:r>
        <w:rPr>
          <w:rFonts w:asciiTheme="majorBidi" w:hAnsiTheme="majorBidi" w:cstheme="majorBidi"/>
          <w:sz w:val="20"/>
          <w:szCs w:val="20"/>
          <w:lang w:val="es-ES"/>
        </w:rPr>
        <w:t>I</w:t>
      </w:r>
      <w:r w:rsidRPr="00F62300">
        <w:rPr>
          <w:rFonts w:asciiTheme="majorBidi" w:hAnsiTheme="majorBidi" w:cstheme="majorBidi"/>
          <w:sz w:val="20"/>
          <w:szCs w:val="20"/>
          <w:lang w:val="es-ES"/>
        </w:rPr>
        <w:t>ndígenas.</w:t>
      </w:r>
    </w:p>
    <w:p w14:paraId="3A7C3138" w14:textId="77777777" w:rsidR="00E444D5" w:rsidRDefault="00E444D5" w:rsidP="00E444D5">
      <w:pPr>
        <w:pStyle w:val="ListParagraph"/>
        <w:tabs>
          <w:tab w:val="left" w:pos="1440"/>
        </w:tabs>
        <w:ind w:left="1080" w:right="1080" w:hanging="36"/>
        <w:rPr>
          <w:rFonts w:asciiTheme="majorBidi" w:hAnsiTheme="majorBidi" w:cstheme="majorBidi"/>
          <w:sz w:val="20"/>
          <w:szCs w:val="20"/>
          <w:lang w:val="es-ES"/>
        </w:rPr>
      </w:pPr>
    </w:p>
    <w:p w14:paraId="4979069D" w14:textId="77777777" w:rsidR="00E444D5" w:rsidRDefault="00E444D5" w:rsidP="00E444D5">
      <w:pPr>
        <w:pStyle w:val="ListParagraph"/>
        <w:numPr>
          <w:ilvl w:val="0"/>
          <w:numId w:val="20"/>
        </w:numPr>
        <w:tabs>
          <w:tab w:val="left" w:pos="1440"/>
        </w:tabs>
        <w:ind w:left="1080" w:right="1080" w:hanging="36"/>
        <w:rPr>
          <w:rFonts w:asciiTheme="majorBidi" w:hAnsiTheme="majorBidi" w:cstheme="majorBidi"/>
          <w:sz w:val="20"/>
          <w:szCs w:val="20"/>
          <w:lang w:val="es-ES"/>
        </w:rPr>
      </w:pPr>
      <w:r>
        <w:rPr>
          <w:rFonts w:asciiTheme="majorBidi" w:hAnsiTheme="majorBidi" w:cstheme="majorBidi"/>
          <w:sz w:val="20"/>
          <w:szCs w:val="20"/>
          <w:lang w:val="es-ES"/>
        </w:rPr>
        <w:t>El ACNUDH</w:t>
      </w:r>
      <w:r w:rsidRPr="00F02BF5">
        <w:rPr>
          <w:rFonts w:asciiTheme="majorBidi" w:hAnsiTheme="majorBidi" w:cstheme="majorBidi"/>
          <w:sz w:val="20"/>
          <w:szCs w:val="20"/>
          <w:lang w:val="es-ES"/>
        </w:rPr>
        <w:t xml:space="preserve"> celebra la liberación, en agosto de 2023, de al menos tres personas campesinas detenidas en febrero de 2023,</w:t>
      </w:r>
      <w:r>
        <w:rPr>
          <w:rStyle w:val="FootnoteReference"/>
          <w:rFonts w:cstheme="majorBidi"/>
          <w:szCs w:val="20"/>
          <w:lang w:val="es-ES"/>
        </w:rPr>
        <w:footnoteReference w:id="58"/>
      </w:r>
      <w:r w:rsidRPr="00F02BF5">
        <w:rPr>
          <w:rFonts w:asciiTheme="majorBidi" w:hAnsiTheme="majorBidi" w:cstheme="majorBidi"/>
          <w:sz w:val="20"/>
          <w:szCs w:val="20"/>
          <w:lang w:val="es-ES"/>
        </w:rPr>
        <w:t xml:space="preserve"> en relación con su participación en protestas, aunque persisten los procesos penales en su contra.</w:t>
      </w:r>
    </w:p>
    <w:p w14:paraId="42FF83A3" w14:textId="77777777" w:rsidR="00E444D5" w:rsidRDefault="00E444D5" w:rsidP="00E444D5">
      <w:pPr>
        <w:pStyle w:val="ListParagraph"/>
        <w:tabs>
          <w:tab w:val="left" w:pos="1440"/>
        </w:tabs>
        <w:ind w:left="1080" w:right="1080" w:hanging="36"/>
        <w:rPr>
          <w:rFonts w:asciiTheme="majorBidi" w:hAnsiTheme="majorBidi" w:cstheme="majorBidi"/>
          <w:sz w:val="20"/>
          <w:szCs w:val="20"/>
          <w:lang w:val="es-ES"/>
        </w:rPr>
      </w:pPr>
    </w:p>
    <w:p w14:paraId="5F69CC72" w14:textId="77777777" w:rsidR="00E444D5" w:rsidRDefault="00E444D5" w:rsidP="00E444D5">
      <w:pPr>
        <w:pStyle w:val="ListParagraph"/>
        <w:numPr>
          <w:ilvl w:val="0"/>
          <w:numId w:val="20"/>
        </w:numPr>
        <w:tabs>
          <w:tab w:val="left" w:pos="1440"/>
        </w:tabs>
        <w:ind w:left="1080" w:right="1080" w:hanging="36"/>
        <w:rPr>
          <w:rFonts w:asciiTheme="majorBidi" w:hAnsiTheme="majorBidi" w:cstheme="majorBidi"/>
          <w:sz w:val="20"/>
          <w:szCs w:val="20"/>
          <w:lang w:val="es-ES"/>
        </w:rPr>
      </w:pPr>
      <w:r w:rsidRPr="00830DB1">
        <w:rPr>
          <w:rFonts w:asciiTheme="majorBidi" w:hAnsiTheme="majorBidi" w:cstheme="majorBidi"/>
          <w:sz w:val="20"/>
          <w:szCs w:val="20"/>
          <w:lang w:val="es-ES"/>
        </w:rPr>
        <w:t>Durante el período que abarca el informe, el ACNUDH documentó 30 casos de amenazas y hostigamiento, un intento de secuestro, dos casos de agresiones físicas, 38 casos de detención arbitraria (27 hombres y 11 mujeres), así como 13 casos de otras formas de criminalización de actores de la sociedad civil, incluidos periodistas, sindicalistas, dirigentes campesinos y otras voces consideradas críticas. En 64 casos, funcionarios del Estado han estigmatizado, a través de diversos medios de comunicación, a actores de la sociedad civil. En general, las cifras anteriores indican un aumento con respecto a las denunciadas anteriormente.</w:t>
      </w:r>
      <w:r>
        <w:rPr>
          <w:rStyle w:val="FootnoteReference"/>
          <w:rFonts w:cstheme="majorBidi"/>
          <w:szCs w:val="20"/>
          <w:lang w:val="es-ES"/>
        </w:rPr>
        <w:footnoteReference w:id="59"/>
      </w:r>
    </w:p>
    <w:p w14:paraId="78D50F25" w14:textId="77777777" w:rsidR="00E444D5" w:rsidRDefault="00E444D5" w:rsidP="00E444D5">
      <w:pPr>
        <w:pStyle w:val="ListParagraph"/>
        <w:tabs>
          <w:tab w:val="left" w:pos="1440"/>
        </w:tabs>
        <w:ind w:left="1080" w:right="1080" w:hanging="36"/>
        <w:rPr>
          <w:rFonts w:asciiTheme="majorBidi" w:hAnsiTheme="majorBidi" w:cstheme="majorBidi"/>
          <w:sz w:val="20"/>
          <w:szCs w:val="20"/>
          <w:lang w:val="es-ES"/>
        </w:rPr>
      </w:pPr>
    </w:p>
    <w:p w14:paraId="20B30790" w14:textId="77777777" w:rsidR="00E444D5" w:rsidRDefault="00E444D5" w:rsidP="007D32A8">
      <w:pPr>
        <w:pStyle w:val="ListParagraph"/>
        <w:numPr>
          <w:ilvl w:val="0"/>
          <w:numId w:val="20"/>
        </w:numPr>
        <w:tabs>
          <w:tab w:val="left" w:pos="1440"/>
        </w:tabs>
        <w:ind w:left="1134" w:right="1080" w:firstLine="0"/>
        <w:rPr>
          <w:rFonts w:asciiTheme="majorBidi" w:hAnsiTheme="majorBidi" w:cstheme="majorBidi"/>
          <w:sz w:val="20"/>
          <w:szCs w:val="20"/>
          <w:lang w:val="es-ES"/>
        </w:rPr>
      </w:pPr>
      <w:r w:rsidRPr="00830DB1">
        <w:rPr>
          <w:rFonts w:asciiTheme="majorBidi" w:hAnsiTheme="majorBidi" w:cstheme="majorBidi"/>
          <w:sz w:val="20"/>
          <w:szCs w:val="20"/>
          <w:lang w:val="es-ES"/>
        </w:rPr>
        <w:t xml:space="preserve">Entre lo anterior, el ACNUDH documentó </w:t>
      </w:r>
      <w:r>
        <w:rPr>
          <w:rFonts w:asciiTheme="majorBidi" w:hAnsiTheme="majorBidi" w:cstheme="majorBidi"/>
          <w:sz w:val="20"/>
          <w:szCs w:val="20"/>
          <w:lang w:val="es-ES"/>
        </w:rPr>
        <w:t>la detención de cinco</w:t>
      </w:r>
      <w:r w:rsidRPr="00830DB1">
        <w:rPr>
          <w:rFonts w:asciiTheme="majorBidi" w:hAnsiTheme="majorBidi" w:cstheme="majorBidi"/>
          <w:sz w:val="20"/>
          <w:szCs w:val="20"/>
          <w:lang w:val="es-ES"/>
        </w:rPr>
        <w:t xml:space="preserve"> dirigentes sindicales y gremiales o sindicalistas (todos hombres) acusados, entre otros, de incitación al odio, conspiración y asociación para delinquir. Durante el período que abarca este informe, </w:t>
      </w:r>
      <w:r>
        <w:rPr>
          <w:rFonts w:asciiTheme="majorBidi" w:hAnsiTheme="majorBidi" w:cstheme="majorBidi"/>
          <w:sz w:val="20"/>
          <w:szCs w:val="20"/>
          <w:lang w:val="es-ES"/>
        </w:rPr>
        <w:t xml:space="preserve">el </w:t>
      </w:r>
      <w:r w:rsidRPr="00830DB1">
        <w:rPr>
          <w:rFonts w:asciiTheme="majorBidi" w:hAnsiTheme="majorBidi" w:cstheme="majorBidi"/>
          <w:sz w:val="20"/>
          <w:szCs w:val="20"/>
          <w:lang w:val="es-ES"/>
        </w:rPr>
        <w:t>AC</w:t>
      </w:r>
      <w:r>
        <w:rPr>
          <w:rFonts w:asciiTheme="majorBidi" w:hAnsiTheme="majorBidi" w:cstheme="majorBidi"/>
          <w:sz w:val="20"/>
          <w:szCs w:val="20"/>
          <w:lang w:val="es-ES"/>
        </w:rPr>
        <w:t>NU</w:t>
      </w:r>
      <w:r w:rsidRPr="00830DB1">
        <w:rPr>
          <w:rFonts w:asciiTheme="majorBidi" w:hAnsiTheme="majorBidi" w:cstheme="majorBidi"/>
          <w:sz w:val="20"/>
          <w:szCs w:val="20"/>
          <w:lang w:val="es-ES"/>
        </w:rPr>
        <w:t>DH también recibió informes de despidos de dirigentes sindicales y sindicalistas de su lugar de trabajo, aparentemente en relación con su participación en protestas o por denunciar las condiciones de trabajo.</w:t>
      </w:r>
    </w:p>
    <w:p w14:paraId="0F35E260" w14:textId="77777777" w:rsidR="00E444D5" w:rsidRDefault="00E444D5" w:rsidP="007D32A8">
      <w:pPr>
        <w:pStyle w:val="ListParagraph"/>
        <w:tabs>
          <w:tab w:val="left" w:pos="1440"/>
        </w:tabs>
        <w:ind w:left="1134" w:right="1080"/>
        <w:rPr>
          <w:rFonts w:asciiTheme="majorBidi" w:hAnsiTheme="majorBidi" w:cstheme="majorBidi"/>
          <w:sz w:val="20"/>
          <w:szCs w:val="20"/>
          <w:lang w:val="es-ES"/>
        </w:rPr>
      </w:pPr>
    </w:p>
    <w:p w14:paraId="213A4628" w14:textId="77777777" w:rsidR="00E444D5" w:rsidRDefault="00E444D5" w:rsidP="007D32A8">
      <w:pPr>
        <w:pStyle w:val="ListParagraph"/>
        <w:numPr>
          <w:ilvl w:val="0"/>
          <w:numId w:val="20"/>
        </w:numPr>
        <w:tabs>
          <w:tab w:val="left" w:pos="1440"/>
        </w:tabs>
        <w:ind w:left="1134" w:right="1080" w:firstLine="0"/>
        <w:rPr>
          <w:rFonts w:asciiTheme="majorBidi" w:hAnsiTheme="majorBidi" w:cstheme="majorBidi"/>
          <w:sz w:val="20"/>
          <w:szCs w:val="20"/>
          <w:lang w:val="es-ES"/>
        </w:rPr>
      </w:pPr>
      <w:r w:rsidRPr="00830DB1">
        <w:rPr>
          <w:rFonts w:asciiTheme="majorBidi" w:hAnsiTheme="majorBidi" w:cstheme="majorBidi"/>
          <w:sz w:val="20"/>
          <w:szCs w:val="20"/>
          <w:lang w:val="es-ES"/>
        </w:rPr>
        <w:t>El 1 de agosto de 2023, seis dirigentes sindicales detenidos en julio de 2022</w:t>
      </w:r>
      <w:r>
        <w:rPr>
          <w:rStyle w:val="FootnoteReference"/>
          <w:rFonts w:cstheme="majorBidi"/>
          <w:szCs w:val="20"/>
          <w:lang w:val="es-ES"/>
        </w:rPr>
        <w:footnoteReference w:id="60"/>
      </w:r>
      <w:r w:rsidRPr="00830DB1">
        <w:rPr>
          <w:rFonts w:asciiTheme="majorBidi" w:hAnsiTheme="majorBidi" w:cstheme="majorBidi"/>
          <w:sz w:val="20"/>
          <w:szCs w:val="20"/>
          <w:lang w:val="es-ES"/>
        </w:rPr>
        <w:t xml:space="preserve"> fueron condenados a 16 años de prisión en virtud de la Ley Orgánica contra la Delincuencia Organizada y la Financiación del Terrorismo. El 11 de agosto de 2023, titulares de mandatos de los procedimientos especiales de la</w:t>
      </w:r>
      <w:r>
        <w:rPr>
          <w:rFonts w:asciiTheme="majorBidi" w:hAnsiTheme="majorBidi" w:cstheme="majorBidi"/>
          <w:sz w:val="20"/>
          <w:szCs w:val="20"/>
          <w:lang w:val="es-ES"/>
        </w:rPr>
        <w:t>s Naciones Unidas</w:t>
      </w:r>
      <w:r w:rsidRPr="00830DB1">
        <w:rPr>
          <w:rFonts w:asciiTheme="majorBidi" w:hAnsiTheme="majorBidi" w:cstheme="majorBidi"/>
          <w:sz w:val="20"/>
          <w:szCs w:val="20"/>
          <w:lang w:val="es-ES"/>
        </w:rPr>
        <w:t xml:space="preserve"> emitieron una declaración condenando esta sentencia</w:t>
      </w:r>
      <w:r>
        <w:rPr>
          <w:rFonts w:asciiTheme="majorBidi" w:hAnsiTheme="majorBidi" w:cstheme="majorBidi"/>
          <w:sz w:val="20"/>
          <w:szCs w:val="20"/>
          <w:lang w:val="es-ES"/>
        </w:rPr>
        <w:t xml:space="preserve"> </w:t>
      </w:r>
      <w:r w:rsidRPr="00081195">
        <w:rPr>
          <w:rFonts w:asciiTheme="majorBidi" w:hAnsiTheme="majorBidi" w:cstheme="majorBidi"/>
          <w:sz w:val="20"/>
          <w:szCs w:val="20"/>
          <w:lang w:val="es-ES"/>
        </w:rPr>
        <w:t>y plantea</w:t>
      </w:r>
      <w:r>
        <w:rPr>
          <w:rFonts w:asciiTheme="majorBidi" w:hAnsiTheme="majorBidi" w:cstheme="majorBidi"/>
          <w:sz w:val="20"/>
          <w:szCs w:val="20"/>
          <w:lang w:val="es-ES"/>
        </w:rPr>
        <w:t>ndo</w:t>
      </w:r>
      <w:r w:rsidRPr="00081195">
        <w:rPr>
          <w:rFonts w:asciiTheme="majorBidi" w:hAnsiTheme="majorBidi" w:cstheme="majorBidi"/>
          <w:sz w:val="20"/>
          <w:szCs w:val="20"/>
          <w:lang w:val="es-ES"/>
        </w:rPr>
        <w:t xml:space="preserve"> inquietudes sobre el uso indebido de la ley y las irregularidades en los procedimientos judiciales</w:t>
      </w:r>
      <w:r w:rsidRPr="00830DB1">
        <w:rPr>
          <w:rFonts w:asciiTheme="majorBidi" w:hAnsiTheme="majorBidi" w:cstheme="majorBidi"/>
          <w:sz w:val="20"/>
          <w:szCs w:val="20"/>
          <w:lang w:val="es-ES"/>
        </w:rPr>
        <w:t>.</w:t>
      </w:r>
      <w:r>
        <w:rPr>
          <w:rStyle w:val="FootnoteReference"/>
          <w:rFonts w:cstheme="majorBidi"/>
          <w:szCs w:val="20"/>
          <w:lang w:val="es-ES"/>
        </w:rPr>
        <w:footnoteReference w:id="61"/>
      </w:r>
      <w:r>
        <w:rPr>
          <w:rFonts w:asciiTheme="majorBidi" w:hAnsiTheme="majorBidi" w:cstheme="majorBidi"/>
          <w:sz w:val="20"/>
          <w:szCs w:val="20"/>
          <w:lang w:val="es-ES"/>
        </w:rPr>
        <w:t xml:space="preserve"> </w:t>
      </w:r>
      <w:r w:rsidRPr="00830DB1">
        <w:rPr>
          <w:rFonts w:asciiTheme="majorBidi" w:hAnsiTheme="majorBidi" w:cstheme="majorBidi"/>
          <w:sz w:val="20"/>
          <w:szCs w:val="20"/>
          <w:lang w:val="es-ES"/>
        </w:rPr>
        <w:t>Los seis fueron puestos en libertad condicional el 20 de diciembre de 2023 y se encuentran bajo orden de presentación regular ante los tribunales.</w:t>
      </w:r>
    </w:p>
    <w:p w14:paraId="53A238BC" w14:textId="77777777" w:rsidR="00E444D5" w:rsidRDefault="00E444D5" w:rsidP="007D32A8">
      <w:pPr>
        <w:pStyle w:val="ListParagraph"/>
        <w:tabs>
          <w:tab w:val="left" w:pos="1440"/>
        </w:tabs>
        <w:ind w:left="1134" w:right="1080"/>
        <w:rPr>
          <w:rFonts w:asciiTheme="majorBidi" w:hAnsiTheme="majorBidi" w:cstheme="majorBidi"/>
          <w:sz w:val="20"/>
          <w:szCs w:val="20"/>
          <w:lang w:val="es-ES"/>
        </w:rPr>
      </w:pPr>
    </w:p>
    <w:p w14:paraId="116753B9" w14:textId="77777777" w:rsidR="00E444D5" w:rsidRDefault="00E444D5" w:rsidP="007D32A8">
      <w:pPr>
        <w:pStyle w:val="ListParagraph"/>
        <w:numPr>
          <w:ilvl w:val="0"/>
          <w:numId w:val="20"/>
        </w:numPr>
        <w:tabs>
          <w:tab w:val="left" w:pos="1440"/>
        </w:tabs>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El 13 de febrero de 2024, el ACNUDH expresó su preocupación</w:t>
      </w:r>
      <w:r>
        <w:rPr>
          <w:rStyle w:val="FootnoteReference"/>
          <w:rFonts w:cstheme="majorBidi"/>
          <w:szCs w:val="20"/>
          <w:lang w:val="es-ES"/>
        </w:rPr>
        <w:footnoteReference w:id="62"/>
      </w:r>
      <w:r w:rsidRPr="00EA60D2">
        <w:rPr>
          <w:rFonts w:asciiTheme="majorBidi" w:hAnsiTheme="majorBidi" w:cstheme="majorBidi"/>
          <w:sz w:val="20"/>
          <w:szCs w:val="20"/>
          <w:lang w:val="es-ES"/>
        </w:rPr>
        <w:t xml:space="preserve"> por la desaparición forzada de la defensora de los derechos humanos Rocío San Miguel, cuyo paradero </w:t>
      </w:r>
      <w:r>
        <w:rPr>
          <w:rFonts w:asciiTheme="majorBidi" w:hAnsiTheme="majorBidi" w:cstheme="majorBidi"/>
          <w:sz w:val="20"/>
          <w:szCs w:val="20"/>
          <w:lang w:val="es-ES"/>
        </w:rPr>
        <w:t>fue desconocido</w:t>
      </w:r>
      <w:r w:rsidRPr="00EA60D2">
        <w:rPr>
          <w:rFonts w:asciiTheme="majorBidi" w:hAnsiTheme="majorBidi" w:cstheme="majorBidi"/>
          <w:sz w:val="20"/>
          <w:szCs w:val="20"/>
          <w:lang w:val="es-ES"/>
        </w:rPr>
        <w:t xml:space="preserve"> durante los cuatro días siguientes a su detención. Según la información recibida, continúa detenida y aún no ha tenido acceso a una defensa legal de su elección.</w:t>
      </w:r>
    </w:p>
    <w:p w14:paraId="4403A85D" w14:textId="77777777" w:rsidR="00E444D5" w:rsidRPr="006127B4" w:rsidRDefault="00E444D5" w:rsidP="007D32A8">
      <w:pPr>
        <w:tabs>
          <w:tab w:val="left" w:pos="1440"/>
        </w:tabs>
        <w:ind w:left="1134" w:right="1080"/>
        <w:rPr>
          <w:rFonts w:asciiTheme="majorBidi" w:hAnsiTheme="majorBidi" w:cstheme="majorBidi"/>
        </w:rPr>
      </w:pPr>
    </w:p>
    <w:p w14:paraId="5B5ECE8D" w14:textId="77777777" w:rsidR="00E444D5" w:rsidRDefault="00E444D5" w:rsidP="007D32A8">
      <w:pPr>
        <w:pStyle w:val="ListParagraph"/>
        <w:numPr>
          <w:ilvl w:val="0"/>
          <w:numId w:val="20"/>
        </w:numPr>
        <w:tabs>
          <w:tab w:val="left" w:pos="1440"/>
        </w:tabs>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El defensor de derechos humanos Javier Tarazona lleva detenido desde 2021 acusado de incitación al odio, traición</w:t>
      </w:r>
      <w:r>
        <w:rPr>
          <w:rFonts w:asciiTheme="majorBidi" w:hAnsiTheme="majorBidi" w:cstheme="majorBidi"/>
          <w:sz w:val="20"/>
          <w:szCs w:val="20"/>
          <w:lang w:val="es-ES"/>
        </w:rPr>
        <w:t xml:space="preserve"> a la patria</w:t>
      </w:r>
      <w:r w:rsidRPr="00EA60D2">
        <w:rPr>
          <w:rFonts w:asciiTheme="majorBidi" w:hAnsiTheme="majorBidi" w:cstheme="majorBidi"/>
          <w:sz w:val="20"/>
          <w:szCs w:val="20"/>
          <w:lang w:val="es-ES"/>
        </w:rPr>
        <w:t xml:space="preserve"> y terrorismo. El ACNUDH sigue recibiendo información preocupante sobre el deterioro de su salud. Después de tres reaperturas de juicio y aproximadamente 48 audiencias realizadas y aplazadas, desde la primera apertura de juicio el 16 de agosto de 2022 hasta el final del período que abarca el informe, su caso s</w:t>
      </w:r>
      <w:r>
        <w:rPr>
          <w:rFonts w:asciiTheme="majorBidi" w:hAnsiTheme="majorBidi" w:cstheme="majorBidi"/>
          <w:sz w:val="20"/>
          <w:szCs w:val="20"/>
          <w:lang w:val="es-ES"/>
        </w:rPr>
        <w:t>eguía</w:t>
      </w:r>
      <w:r w:rsidRPr="00EA60D2">
        <w:rPr>
          <w:rFonts w:asciiTheme="majorBidi" w:hAnsiTheme="majorBidi" w:cstheme="majorBidi"/>
          <w:sz w:val="20"/>
          <w:szCs w:val="20"/>
          <w:lang w:val="es-ES"/>
        </w:rPr>
        <w:t xml:space="preserve"> pendiente</w:t>
      </w:r>
      <w:r>
        <w:rPr>
          <w:rFonts w:asciiTheme="majorBidi" w:hAnsiTheme="majorBidi" w:cstheme="majorBidi"/>
          <w:sz w:val="20"/>
          <w:szCs w:val="20"/>
          <w:lang w:val="es-ES"/>
        </w:rPr>
        <w:t xml:space="preserve"> de resolución</w:t>
      </w:r>
      <w:r w:rsidRPr="00EA60D2">
        <w:rPr>
          <w:rFonts w:asciiTheme="majorBidi" w:hAnsiTheme="majorBidi" w:cstheme="majorBidi"/>
          <w:sz w:val="20"/>
          <w:szCs w:val="20"/>
          <w:lang w:val="es-ES"/>
        </w:rPr>
        <w:t>. El ACNUDH reitera su llamamiento para que sea puesto en libertad sin condiciones.</w:t>
      </w:r>
    </w:p>
    <w:p w14:paraId="71234DFB" w14:textId="3D3E3C08" w:rsidR="00E444D5" w:rsidRDefault="00E444D5" w:rsidP="007D32A8">
      <w:pPr>
        <w:pStyle w:val="HChG"/>
        <w:numPr>
          <w:ilvl w:val="0"/>
          <w:numId w:val="30"/>
        </w:numPr>
        <w:tabs>
          <w:tab w:val="clear" w:pos="851"/>
          <w:tab w:val="right" w:pos="1560"/>
        </w:tabs>
        <w:rPr>
          <w:lang w:val="en-GB"/>
        </w:rPr>
      </w:pPr>
      <w:r w:rsidRPr="006C16EA">
        <w:rPr>
          <w:lang w:val="en-GB"/>
        </w:rPr>
        <w:t xml:space="preserve">Espacio </w:t>
      </w:r>
      <w:proofErr w:type="spellStart"/>
      <w:r w:rsidRPr="006C16EA">
        <w:rPr>
          <w:lang w:val="en-GB"/>
        </w:rPr>
        <w:t>Cívico</w:t>
      </w:r>
      <w:proofErr w:type="spellEnd"/>
      <w:r w:rsidRPr="006C16EA">
        <w:rPr>
          <w:lang w:val="en-GB"/>
        </w:rPr>
        <w:t xml:space="preserve"> y </w:t>
      </w:r>
      <w:proofErr w:type="spellStart"/>
      <w:r w:rsidRPr="006C16EA">
        <w:rPr>
          <w:lang w:val="en-GB"/>
        </w:rPr>
        <w:t>Democr</w:t>
      </w:r>
      <w:r>
        <w:rPr>
          <w:lang w:val="en-GB"/>
        </w:rPr>
        <w:t>á</w:t>
      </w:r>
      <w:r w:rsidRPr="006C16EA">
        <w:rPr>
          <w:lang w:val="en-GB"/>
        </w:rPr>
        <w:t>tico</w:t>
      </w:r>
      <w:proofErr w:type="spellEnd"/>
    </w:p>
    <w:p w14:paraId="53525445"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El 17 de octubre de 2023, el Gobierno de Venezuela y la Plataforma Unitaria Democrática, en un proceso mediado por el Reino de Noruega, firmaron dos acuerdos parciales sobre «Protección de los Intereses Vitales de la Nación» y sobre «Promoción de los Derechos Políticos y Garantías Electorales para Todos».</w:t>
      </w:r>
      <w:r>
        <w:rPr>
          <w:rStyle w:val="FootnoteReference"/>
          <w:rFonts w:cstheme="majorBidi"/>
          <w:szCs w:val="20"/>
          <w:lang w:val="es-ES"/>
        </w:rPr>
        <w:footnoteReference w:id="63"/>
      </w:r>
      <w:r w:rsidRPr="00EA60D2">
        <w:rPr>
          <w:rFonts w:asciiTheme="majorBidi" w:hAnsiTheme="majorBidi" w:cstheme="majorBidi"/>
          <w:sz w:val="20"/>
          <w:szCs w:val="20"/>
          <w:lang w:val="es-ES"/>
        </w:rPr>
        <w:t xml:space="preserve"> Este último incluye, entre otras, referencias al derecho de todos los partidos a seleccionar a su propio candidato; la promoción de un discurso público y de un entorno político y social que favorezcan un proceso electoral pacífico y participativo; la garantía de la igualdad de acceso de todos los candidatos a la cobertura de los medios de comunicación; la promoción de la autorización de todos los candidatos presidenciales y partidos políticos que cumplan las leyes y la Constitución. </w:t>
      </w:r>
      <w:r>
        <w:rPr>
          <w:rFonts w:asciiTheme="majorBidi" w:hAnsiTheme="majorBidi" w:cstheme="majorBidi"/>
          <w:sz w:val="20"/>
          <w:szCs w:val="20"/>
          <w:lang w:val="es-ES"/>
        </w:rPr>
        <w:t>El ACNUDH</w:t>
      </w:r>
      <w:r w:rsidRPr="00EA60D2">
        <w:rPr>
          <w:rFonts w:asciiTheme="majorBidi" w:hAnsiTheme="majorBidi" w:cstheme="majorBidi"/>
          <w:sz w:val="20"/>
          <w:szCs w:val="20"/>
          <w:lang w:val="es-ES"/>
        </w:rPr>
        <w:t xml:space="preserve"> acoge con satisfacción e insta a la plena aplicación de estos acuerdos, de buena fe, recordando a todas las partes que los derechos humanos deben estar en el centro de los acuerdos.</w:t>
      </w:r>
    </w:p>
    <w:p w14:paraId="1877AEEA" w14:textId="77777777" w:rsidR="00E444D5" w:rsidRDefault="00E444D5" w:rsidP="007D32A8">
      <w:pPr>
        <w:pStyle w:val="ListParagraph"/>
        <w:ind w:left="1134" w:right="1080"/>
        <w:rPr>
          <w:rFonts w:asciiTheme="majorBidi" w:hAnsiTheme="majorBidi" w:cstheme="majorBidi"/>
          <w:sz w:val="20"/>
          <w:szCs w:val="20"/>
          <w:lang w:val="es-ES"/>
        </w:rPr>
      </w:pPr>
    </w:p>
    <w:p w14:paraId="427E044D"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 xml:space="preserve">El ACNUDH acoge con satisfacción la puesta en libertad de 34 </w:t>
      </w:r>
      <w:r>
        <w:rPr>
          <w:rFonts w:asciiTheme="majorBidi" w:hAnsiTheme="majorBidi" w:cstheme="majorBidi"/>
          <w:sz w:val="20"/>
          <w:szCs w:val="20"/>
          <w:lang w:val="es-ES"/>
        </w:rPr>
        <w:t xml:space="preserve">personas </w:t>
      </w:r>
      <w:r w:rsidRPr="00EA60D2">
        <w:rPr>
          <w:rFonts w:asciiTheme="majorBidi" w:hAnsiTheme="majorBidi" w:cstheme="majorBidi"/>
          <w:sz w:val="20"/>
          <w:szCs w:val="20"/>
          <w:lang w:val="es-ES"/>
        </w:rPr>
        <w:t>detenid</w:t>
      </w:r>
      <w:r>
        <w:rPr>
          <w:rFonts w:asciiTheme="majorBidi" w:hAnsiTheme="majorBidi" w:cstheme="majorBidi"/>
          <w:sz w:val="20"/>
          <w:szCs w:val="20"/>
          <w:lang w:val="es-ES"/>
        </w:rPr>
        <w:t>a</w:t>
      </w:r>
      <w:r w:rsidRPr="00EA60D2">
        <w:rPr>
          <w:rFonts w:asciiTheme="majorBidi" w:hAnsiTheme="majorBidi" w:cstheme="majorBidi"/>
          <w:sz w:val="20"/>
          <w:szCs w:val="20"/>
          <w:lang w:val="es-ES"/>
        </w:rPr>
        <w:t xml:space="preserve">s (cuatro mujeres) en octubre y diciembre de 2023, entre ellos 10 ciudadanos estadounidenses, que habían permanecido detenidos arbitrariamente durante períodos de entre </w:t>
      </w:r>
      <w:r>
        <w:rPr>
          <w:rFonts w:asciiTheme="majorBidi" w:hAnsiTheme="majorBidi" w:cstheme="majorBidi"/>
          <w:sz w:val="20"/>
          <w:szCs w:val="20"/>
          <w:lang w:val="es-ES"/>
        </w:rPr>
        <w:t>cuatro meses y 3.5 años, imputados por crímenes que incluyeron conspiración, terrorismo y traición</w:t>
      </w:r>
      <w:r w:rsidRPr="00EA60D2">
        <w:rPr>
          <w:rFonts w:asciiTheme="majorBidi" w:hAnsiTheme="majorBidi" w:cstheme="majorBidi"/>
          <w:sz w:val="20"/>
          <w:szCs w:val="20"/>
          <w:lang w:val="es-ES"/>
        </w:rPr>
        <w:t xml:space="preserve">. Sin embargo, las excarcelaciones son condicionales y muchos de ellos aún deben presentarse periódicamente ante los tribunales, mientras que </w:t>
      </w:r>
      <w:r>
        <w:rPr>
          <w:rFonts w:asciiTheme="majorBidi" w:hAnsiTheme="majorBidi" w:cstheme="majorBidi"/>
          <w:sz w:val="20"/>
          <w:szCs w:val="20"/>
          <w:lang w:val="es-ES"/>
        </w:rPr>
        <w:t>el estado</w:t>
      </w:r>
      <w:r w:rsidRPr="00EA60D2">
        <w:rPr>
          <w:rFonts w:asciiTheme="majorBidi" w:hAnsiTheme="majorBidi" w:cstheme="majorBidi"/>
          <w:sz w:val="20"/>
          <w:szCs w:val="20"/>
          <w:lang w:val="es-ES"/>
        </w:rPr>
        <w:t xml:space="preserve"> de sus casos sigue sin estar clar</w:t>
      </w:r>
      <w:r>
        <w:rPr>
          <w:rFonts w:asciiTheme="majorBidi" w:hAnsiTheme="majorBidi" w:cstheme="majorBidi"/>
          <w:sz w:val="20"/>
          <w:szCs w:val="20"/>
          <w:lang w:val="es-ES"/>
        </w:rPr>
        <w:t>o</w:t>
      </w:r>
      <w:r w:rsidRPr="00EA60D2">
        <w:rPr>
          <w:rFonts w:asciiTheme="majorBidi" w:hAnsiTheme="majorBidi" w:cstheme="majorBidi"/>
          <w:sz w:val="20"/>
          <w:szCs w:val="20"/>
          <w:lang w:val="es-ES"/>
        </w:rPr>
        <w:t xml:space="preserve">. El ACNUDH pide que se respeten </w:t>
      </w:r>
      <w:r>
        <w:rPr>
          <w:rFonts w:asciiTheme="majorBidi" w:hAnsiTheme="majorBidi" w:cstheme="majorBidi"/>
          <w:sz w:val="20"/>
          <w:szCs w:val="20"/>
          <w:lang w:val="es-ES"/>
        </w:rPr>
        <w:t>el derecho a un juicio justo y del debido proceso, y que</w:t>
      </w:r>
      <w:r w:rsidRPr="0028394E">
        <w:rPr>
          <w:rFonts w:asciiTheme="majorBidi" w:hAnsiTheme="majorBidi" w:cstheme="majorBidi"/>
          <w:sz w:val="20"/>
          <w:szCs w:val="20"/>
          <w:lang w:val="es-ES"/>
        </w:rPr>
        <w:t xml:space="preserve"> la legislación penal y su aplicación se ajusten plenamente al derecho internacional de los derechos humanos, incluidos los principios de legalidad y seguridad jurídica.</w:t>
      </w:r>
    </w:p>
    <w:p w14:paraId="7777C7C6" w14:textId="77777777" w:rsidR="00E444D5" w:rsidRDefault="00E444D5" w:rsidP="007D32A8">
      <w:pPr>
        <w:pStyle w:val="ListParagraph"/>
        <w:ind w:left="1134" w:right="1080"/>
        <w:rPr>
          <w:rFonts w:asciiTheme="majorBidi" w:hAnsiTheme="majorBidi" w:cstheme="majorBidi"/>
          <w:sz w:val="20"/>
          <w:szCs w:val="20"/>
          <w:lang w:val="es-ES"/>
        </w:rPr>
      </w:pPr>
    </w:p>
    <w:p w14:paraId="4937F3E9"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 xml:space="preserve">Las elecciones primarias fueron celebradas por un sector de la oposición el 22 de octubre de 2023, sin que ese día se produjeran incidentes significativos. El 25 de octubre de 2023, </w:t>
      </w:r>
      <w:r>
        <w:rPr>
          <w:rFonts w:asciiTheme="majorBidi" w:hAnsiTheme="majorBidi" w:cstheme="majorBidi"/>
          <w:sz w:val="20"/>
          <w:szCs w:val="20"/>
          <w:lang w:val="es-ES"/>
        </w:rPr>
        <w:t>el Ministerio Público</w:t>
      </w:r>
      <w:r w:rsidRPr="00EA60D2">
        <w:rPr>
          <w:rFonts w:asciiTheme="majorBidi" w:hAnsiTheme="majorBidi" w:cstheme="majorBidi"/>
          <w:sz w:val="20"/>
          <w:szCs w:val="20"/>
          <w:lang w:val="es-ES"/>
        </w:rPr>
        <w:t xml:space="preserve"> abrió investigaciones penales contra varias personas implicadas en la organización de las primarias. El 30 de octubre de 2023, el Tribunal Supremo de Justicia dictó la sentencia 122/2023 </w:t>
      </w:r>
      <w:r>
        <w:rPr>
          <w:rFonts w:asciiTheme="majorBidi" w:hAnsiTheme="majorBidi" w:cstheme="majorBidi"/>
          <w:sz w:val="20"/>
          <w:szCs w:val="20"/>
          <w:lang w:val="es-ES"/>
        </w:rPr>
        <w:t>en</w:t>
      </w:r>
      <w:r w:rsidRPr="00EA60D2">
        <w:rPr>
          <w:rFonts w:asciiTheme="majorBidi" w:hAnsiTheme="majorBidi" w:cstheme="majorBidi"/>
          <w:sz w:val="20"/>
          <w:szCs w:val="20"/>
          <w:lang w:val="es-ES"/>
        </w:rPr>
        <w:t xml:space="preserve"> la que se suspendían los efectos de las fases del proceso de primarias.</w:t>
      </w:r>
      <w:r>
        <w:rPr>
          <w:rStyle w:val="FootnoteReference"/>
          <w:rFonts w:cstheme="majorBidi"/>
          <w:szCs w:val="20"/>
          <w:lang w:val="es-ES"/>
        </w:rPr>
        <w:footnoteReference w:id="64"/>
      </w:r>
    </w:p>
    <w:p w14:paraId="02950A97" w14:textId="77777777" w:rsidR="00E444D5" w:rsidRDefault="00E444D5" w:rsidP="007D32A8">
      <w:pPr>
        <w:pStyle w:val="ListParagraph"/>
        <w:ind w:left="1134" w:right="1080"/>
        <w:rPr>
          <w:rFonts w:asciiTheme="majorBidi" w:hAnsiTheme="majorBidi" w:cstheme="majorBidi"/>
          <w:sz w:val="20"/>
          <w:szCs w:val="20"/>
          <w:lang w:val="es-ES"/>
        </w:rPr>
      </w:pPr>
    </w:p>
    <w:p w14:paraId="2AC3E746"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 xml:space="preserve">El ACNUDH observa con preocupación los incidentes </w:t>
      </w:r>
      <w:r>
        <w:rPr>
          <w:rFonts w:asciiTheme="majorBidi" w:hAnsiTheme="majorBidi" w:cstheme="majorBidi"/>
          <w:sz w:val="20"/>
          <w:szCs w:val="20"/>
          <w:lang w:val="es-ES"/>
        </w:rPr>
        <w:t>report</w:t>
      </w:r>
      <w:r w:rsidRPr="00EA60D2">
        <w:rPr>
          <w:rFonts w:asciiTheme="majorBidi" w:hAnsiTheme="majorBidi" w:cstheme="majorBidi"/>
          <w:sz w:val="20"/>
          <w:szCs w:val="20"/>
          <w:lang w:val="es-ES"/>
        </w:rPr>
        <w:t xml:space="preserve">ados que contribuyen a inhibir el derecho a participar en los asuntos públicos, incluida la detención de 15 miembros de cinco partidos de oposición diferentes, así como una incursión de agentes de la Policía Nacional Bolivariana sin orden judicial, durante una reunión sindical. 11 de estas detenciones </w:t>
      </w:r>
      <w:r>
        <w:rPr>
          <w:rFonts w:asciiTheme="majorBidi" w:hAnsiTheme="majorBidi" w:cstheme="majorBidi"/>
          <w:sz w:val="20"/>
          <w:szCs w:val="20"/>
          <w:lang w:val="es-ES"/>
        </w:rPr>
        <w:t>podrían equivaler a</w:t>
      </w:r>
      <w:r w:rsidRPr="00EA60D2">
        <w:rPr>
          <w:rFonts w:asciiTheme="majorBidi" w:hAnsiTheme="majorBidi" w:cstheme="majorBidi"/>
          <w:sz w:val="20"/>
          <w:szCs w:val="20"/>
          <w:lang w:val="es-ES"/>
        </w:rPr>
        <w:t xml:space="preserve"> desapariciones forzadas.</w:t>
      </w:r>
    </w:p>
    <w:p w14:paraId="388C268C" w14:textId="77777777" w:rsidR="00E444D5" w:rsidRDefault="00E444D5" w:rsidP="007D32A8">
      <w:pPr>
        <w:pStyle w:val="ListParagraph"/>
        <w:ind w:left="1134" w:right="1080"/>
        <w:rPr>
          <w:rFonts w:asciiTheme="majorBidi" w:hAnsiTheme="majorBidi" w:cstheme="majorBidi"/>
          <w:sz w:val="20"/>
          <w:szCs w:val="20"/>
          <w:lang w:val="es-ES"/>
        </w:rPr>
      </w:pPr>
    </w:p>
    <w:p w14:paraId="73AFA997"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A60D2">
        <w:rPr>
          <w:rFonts w:asciiTheme="majorBidi" w:hAnsiTheme="majorBidi" w:cstheme="majorBidi"/>
          <w:sz w:val="20"/>
          <w:szCs w:val="20"/>
          <w:lang w:val="es-ES"/>
        </w:rPr>
        <w:t>El 22 de enero de 2024, el Gobierno lanzó el Plan Furia Bolivariana; un plan c</w:t>
      </w:r>
      <w:r>
        <w:rPr>
          <w:rFonts w:asciiTheme="majorBidi" w:hAnsiTheme="majorBidi" w:cstheme="majorBidi"/>
          <w:sz w:val="20"/>
          <w:szCs w:val="20"/>
          <w:lang w:val="es-ES"/>
        </w:rPr>
        <w:t>ivil</w:t>
      </w:r>
      <w:r w:rsidRPr="00EA60D2">
        <w:rPr>
          <w:rFonts w:asciiTheme="majorBidi" w:hAnsiTheme="majorBidi" w:cstheme="majorBidi"/>
          <w:sz w:val="20"/>
          <w:szCs w:val="20"/>
          <w:lang w:val="es-ES"/>
        </w:rPr>
        <w:t>, militar y policial para «enfrentar intentos terroristas y golpistas».</w:t>
      </w:r>
      <w:r>
        <w:rPr>
          <w:rStyle w:val="FootnoteReference"/>
          <w:rFonts w:cstheme="majorBidi"/>
          <w:szCs w:val="20"/>
          <w:lang w:val="es-ES"/>
        </w:rPr>
        <w:footnoteReference w:id="65"/>
      </w:r>
      <w:r w:rsidRPr="00EA60D2">
        <w:rPr>
          <w:rFonts w:asciiTheme="majorBidi" w:hAnsiTheme="majorBidi" w:cstheme="majorBidi"/>
          <w:sz w:val="20"/>
          <w:szCs w:val="20"/>
          <w:lang w:val="es-ES"/>
        </w:rPr>
        <w:t xml:space="preserve"> En este contexto, </w:t>
      </w:r>
      <w:r>
        <w:rPr>
          <w:rFonts w:asciiTheme="majorBidi" w:hAnsiTheme="majorBidi" w:cstheme="majorBidi"/>
          <w:sz w:val="20"/>
          <w:szCs w:val="20"/>
          <w:lang w:val="es-ES"/>
        </w:rPr>
        <w:t xml:space="preserve">el </w:t>
      </w:r>
      <w:r w:rsidRPr="00EA60D2">
        <w:rPr>
          <w:rFonts w:asciiTheme="majorBidi" w:hAnsiTheme="majorBidi" w:cstheme="majorBidi"/>
          <w:sz w:val="20"/>
          <w:szCs w:val="20"/>
          <w:lang w:val="es-ES"/>
        </w:rPr>
        <w:t xml:space="preserve">ACNUDH recibió denuncias de vandalismo </w:t>
      </w:r>
      <w:r>
        <w:rPr>
          <w:rFonts w:asciiTheme="majorBidi" w:hAnsiTheme="majorBidi" w:cstheme="majorBidi"/>
          <w:sz w:val="20"/>
          <w:szCs w:val="20"/>
          <w:lang w:val="es-ES"/>
        </w:rPr>
        <w:t xml:space="preserve">por actores no identificados </w:t>
      </w:r>
      <w:r w:rsidRPr="00EA60D2">
        <w:rPr>
          <w:rFonts w:asciiTheme="majorBidi" w:hAnsiTheme="majorBidi" w:cstheme="majorBidi"/>
          <w:sz w:val="20"/>
          <w:szCs w:val="20"/>
          <w:lang w:val="es-ES"/>
        </w:rPr>
        <w:t xml:space="preserve">contra sedes de partidos de oposición en al menos siete estados diferentes, así como contra oficinas de organizaciones de la sociedad civil. </w:t>
      </w:r>
      <w:r>
        <w:rPr>
          <w:rFonts w:asciiTheme="majorBidi" w:hAnsiTheme="majorBidi" w:cstheme="majorBidi"/>
          <w:sz w:val="20"/>
          <w:szCs w:val="20"/>
          <w:lang w:val="es-ES"/>
        </w:rPr>
        <w:t>El ACNUDH</w:t>
      </w:r>
      <w:r w:rsidRPr="00EA60D2">
        <w:rPr>
          <w:rFonts w:asciiTheme="majorBidi" w:hAnsiTheme="majorBidi" w:cstheme="majorBidi"/>
          <w:sz w:val="20"/>
          <w:szCs w:val="20"/>
          <w:lang w:val="es-ES"/>
        </w:rPr>
        <w:t xml:space="preserve"> reitera su llamado a proteger el derecho a participar en los asuntos públicos, que también requiere el respeto y la protección de la vida, </w:t>
      </w:r>
      <w:r w:rsidRPr="00EA60D2">
        <w:rPr>
          <w:rFonts w:asciiTheme="majorBidi" w:hAnsiTheme="majorBidi" w:cstheme="majorBidi"/>
          <w:sz w:val="20"/>
          <w:szCs w:val="20"/>
          <w:lang w:val="es-ES"/>
        </w:rPr>
        <w:lastRenderedPageBreak/>
        <w:t>la integridad física, la libertad, la seguridad y la privacidad de todos los miembros de la sociedad.</w:t>
      </w:r>
      <w:r>
        <w:rPr>
          <w:rStyle w:val="FootnoteReference"/>
          <w:rFonts w:cstheme="majorBidi"/>
          <w:szCs w:val="20"/>
          <w:lang w:val="es-ES"/>
        </w:rPr>
        <w:footnoteReference w:id="66"/>
      </w:r>
    </w:p>
    <w:p w14:paraId="3509F2CD" w14:textId="77777777" w:rsidR="00E444D5" w:rsidRDefault="00E444D5" w:rsidP="007D32A8">
      <w:pPr>
        <w:pStyle w:val="ListParagraph"/>
        <w:ind w:left="1134" w:right="1080"/>
        <w:rPr>
          <w:rFonts w:asciiTheme="majorBidi" w:hAnsiTheme="majorBidi" w:cstheme="majorBidi"/>
          <w:sz w:val="20"/>
          <w:szCs w:val="20"/>
          <w:lang w:val="es-ES"/>
        </w:rPr>
      </w:pPr>
    </w:p>
    <w:p w14:paraId="59B48082"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E52C24">
        <w:rPr>
          <w:rFonts w:asciiTheme="majorBidi" w:hAnsiTheme="majorBidi" w:cstheme="majorBidi"/>
          <w:sz w:val="20"/>
          <w:szCs w:val="20"/>
          <w:lang w:val="es-ES"/>
        </w:rPr>
        <w:t xml:space="preserve">El ACNUDH alienta a las autoridades a adoptar medidas para garantizar que el proceso electoral sea </w:t>
      </w:r>
      <w:r>
        <w:rPr>
          <w:rFonts w:asciiTheme="majorBidi" w:hAnsiTheme="majorBidi" w:cstheme="majorBidi"/>
          <w:sz w:val="20"/>
          <w:szCs w:val="20"/>
          <w:lang w:val="es-ES"/>
        </w:rPr>
        <w:t xml:space="preserve">plenamente </w:t>
      </w:r>
      <w:r w:rsidRPr="00E52C24">
        <w:rPr>
          <w:rFonts w:asciiTheme="majorBidi" w:hAnsiTheme="majorBidi" w:cstheme="majorBidi"/>
          <w:sz w:val="20"/>
          <w:szCs w:val="20"/>
          <w:lang w:val="es-ES"/>
        </w:rPr>
        <w:t>transparente, inclusivo y participativo. El 26 de enero de 2024, el Tribunal Supremo de Justicia confirmó la inhabilitación de dos importantes figuras de la oposición para participar en procesos electorales y levantó provisionalmente la inhabilitación de otras cinco personas, a la espera de la resolución de los casos con sentencias firmes. Otras cinco personas también fueron inhabilitadas a partir del 16 de abril de 2024.</w:t>
      </w:r>
      <w:r>
        <w:rPr>
          <w:rStyle w:val="FootnoteReference"/>
          <w:rFonts w:cstheme="majorBidi"/>
          <w:szCs w:val="20"/>
          <w:lang w:val="es-ES"/>
        </w:rPr>
        <w:footnoteReference w:id="67"/>
      </w:r>
      <w:r w:rsidRPr="00E52C24">
        <w:rPr>
          <w:rFonts w:asciiTheme="majorBidi" w:hAnsiTheme="majorBidi" w:cstheme="majorBidi"/>
          <w:sz w:val="20"/>
          <w:szCs w:val="20"/>
          <w:lang w:val="es-ES"/>
        </w:rPr>
        <w:t xml:space="preserve"> El ACNUDH renueva su preocupación por las inhabilitaciones que incluyen la limitación de las oportunidades para ejercer el derecho a la defensa.</w:t>
      </w:r>
      <w:r>
        <w:rPr>
          <w:rStyle w:val="FootnoteReference"/>
          <w:rFonts w:cstheme="majorBidi"/>
          <w:szCs w:val="20"/>
          <w:lang w:val="es-ES"/>
        </w:rPr>
        <w:footnoteReference w:id="68"/>
      </w:r>
      <w:r w:rsidRPr="00E52C24">
        <w:rPr>
          <w:rFonts w:asciiTheme="majorBidi" w:hAnsiTheme="majorBidi" w:cstheme="majorBidi"/>
          <w:sz w:val="20"/>
          <w:szCs w:val="20"/>
          <w:lang w:val="es-ES"/>
        </w:rPr>
        <w:t xml:space="preserve"> Durante el período que se examina, el ACNUDH siguió recibiendo </w:t>
      </w:r>
      <w:r>
        <w:rPr>
          <w:rFonts w:asciiTheme="majorBidi" w:hAnsiTheme="majorBidi" w:cstheme="majorBidi"/>
          <w:sz w:val="20"/>
          <w:szCs w:val="20"/>
          <w:lang w:val="es-ES"/>
        </w:rPr>
        <w:t>información</w:t>
      </w:r>
      <w:r w:rsidRPr="00E52C24">
        <w:rPr>
          <w:rFonts w:asciiTheme="majorBidi" w:hAnsiTheme="majorBidi" w:cstheme="majorBidi"/>
          <w:sz w:val="20"/>
          <w:szCs w:val="20"/>
          <w:lang w:val="es-ES"/>
        </w:rPr>
        <w:t xml:space="preserve"> sobre injerencias del Tribunal Supremo de Justicia en los partidos políticos.</w:t>
      </w:r>
      <w:r>
        <w:rPr>
          <w:rStyle w:val="FootnoteReference"/>
          <w:rFonts w:cstheme="majorBidi"/>
          <w:szCs w:val="20"/>
          <w:lang w:val="es-ES"/>
        </w:rPr>
        <w:footnoteReference w:id="69"/>
      </w:r>
    </w:p>
    <w:p w14:paraId="7CB2D37D" w14:textId="77777777" w:rsidR="00E444D5" w:rsidRDefault="00E444D5" w:rsidP="007D32A8">
      <w:pPr>
        <w:pStyle w:val="ListParagraph"/>
        <w:ind w:left="1134" w:right="1080"/>
        <w:rPr>
          <w:rFonts w:asciiTheme="majorBidi" w:hAnsiTheme="majorBidi" w:cstheme="majorBidi"/>
          <w:sz w:val="20"/>
          <w:szCs w:val="20"/>
          <w:lang w:val="es-ES"/>
        </w:rPr>
      </w:pPr>
    </w:p>
    <w:p w14:paraId="73686190" w14:textId="77777777" w:rsidR="00E444D5" w:rsidRPr="00EA60D2" w:rsidRDefault="00E444D5" w:rsidP="007D32A8">
      <w:pPr>
        <w:pStyle w:val="ListParagraph"/>
        <w:numPr>
          <w:ilvl w:val="0"/>
          <w:numId w:val="20"/>
        </w:numPr>
        <w:ind w:left="1134" w:right="1080" w:firstLine="0"/>
        <w:rPr>
          <w:rFonts w:asciiTheme="majorBidi" w:hAnsiTheme="majorBidi" w:cstheme="majorBidi"/>
          <w:sz w:val="20"/>
          <w:szCs w:val="20"/>
          <w:lang w:val="es-ES"/>
        </w:rPr>
      </w:pPr>
      <w:r>
        <w:rPr>
          <w:rFonts w:asciiTheme="majorBidi" w:hAnsiTheme="majorBidi" w:cstheme="majorBidi"/>
          <w:sz w:val="20"/>
          <w:szCs w:val="20"/>
          <w:lang w:val="es-ES"/>
        </w:rPr>
        <w:t>El ACNUDH</w:t>
      </w:r>
      <w:r w:rsidRPr="00EA60D2">
        <w:rPr>
          <w:rFonts w:asciiTheme="majorBidi" w:hAnsiTheme="majorBidi" w:cstheme="majorBidi"/>
          <w:sz w:val="20"/>
          <w:szCs w:val="20"/>
          <w:lang w:val="es-ES"/>
        </w:rPr>
        <w:t xml:space="preserve"> acoge con beneplácito las primeras elecciones de junta directiva desde 2009, después de varios retrasos, en la Universidad Central de Venezuela los días 9 y 30 de junio de 2023. Sin embargo, el 13 de noviembre de 2023 y el 20 de marzo de 2024, respectivamente, la Sala Electoral del Tribunal Supremo de Justicia suspendió las elecciones de junta directiva en la Universidad de Carabobo y en la Universidad de los Andes,</w:t>
      </w:r>
      <w:r>
        <w:rPr>
          <w:rStyle w:val="FootnoteReference"/>
          <w:rFonts w:cstheme="majorBidi"/>
          <w:szCs w:val="20"/>
          <w:lang w:val="es-ES"/>
        </w:rPr>
        <w:footnoteReference w:id="70"/>
      </w:r>
      <w:r w:rsidRPr="00EA60D2">
        <w:rPr>
          <w:rFonts w:asciiTheme="majorBidi" w:hAnsiTheme="majorBidi" w:cstheme="majorBidi"/>
          <w:sz w:val="20"/>
          <w:szCs w:val="20"/>
          <w:lang w:val="es-ES"/>
        </w:rPr>
        <w:t xml:space="preserve"> </w:t>
      </w:r>
      <w:r>
        <w:rPr>
          <w:rFonts w:asciiTheme="majorBidi" w:hAnsiTheme="majorBidi" w:cstheme="majorBidi"/>
          <w:sz w:val="20"/>
          <w:szCs w:val="20"/>
          <w:lang w:val="es-ES"/>
        </w:rPr>
        <w:t>sobre la base de</w:t>
      </w:r>
      <w:r w:rsidRPr="00EA60D2">
        <w:rPr>
          <w:rFonts w:asciiTheme="majorBidi" w:hAnsiTheme="majorBidi" w:cstheme="majorBidi"/>
          <w:sz w:val="20"/>
          <w:szCs w:val="20"/>
          <w:lang w:val="es-ES"/>
        </w:rPr>
        <w:t xml:space="preserve"> que estaba pendiente un recurso administrativo contra los Estatutos Electorales Transitorios de las universidades.</w:t>
      </w:r>
      <w:r>
        <w:rPr>
          <w:rStyle w:val="FootnoteReference"/>
          <w:rFonts w:cstheme="majorBidi"/>
          <w:szCs w:val="20"/>
          <w:lang w:val="es-ES"/>
        </w:rPr>
        <w:footnoteReference w:id="71"/>
      </w:r>
      <w:r w:rsidRPr="00EA60D2">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EA60D2">
        <w:rPr>
          <w:rFonts w:asciiTheme="majorBidi" w:hAnsiTheme="majorBidi" w:cstheme="majorBidi"/>
          <w:sz w:val="20"/>
          <w:szCs w:val="20"/>
          <w:lang w:val="es-ES"/>
        </w:rPr>
        <w:t>ACNUDH hace un llamado para que se realicen procesos electorales libres y auténticos en las universidades, de conformidad con sus reglamentos internos</w:t>
      </w:r>
      <w:r>
        <w:rPr>
          <w:rStyle w:val="FootnoteReference"/>
          <w:rFonts w:cstheme="majorBidi"/>
          <w:szCs w:val="20"/>
          <w:lang w:val="es-ES"/>
        </w:rPr>
        <w:footnoteReference w:id="72"/>
      </w:r>
      <w:r w:rsidRPr="00EA60D2">
        <w:rPr>
          <w:rFonts w:asciiTheme="majorBidi" w:hAnsiTheme="majorBidi" w:cstheme="majorBidi"/>
          <w:sz w:val="20"/>
          <w:szCs w:val="20"/>
          <w:lang w:val="es-ES"/>
        </w:rPr>
        <w:t xml:space="preserve"> y se garantice la protección y autonomía institucional.  </w:t>
      </w:r>
    </w:p>
    <w:p w14:paraId="0673B499" w14:textId="77777777" w:rsidR="00E444D5" w:rsidRPr="008E50C4" w:rsidRDefault="00E444D5" w:rsidP="00E444D5">
      <w:pPr>
        <w:ind w:right="1080"/>
        <w:rPr>
          <w:rFonts w:asciiTheme="majorBidi" w:hAnsiTheme="majorBidi" w:cstheme="majorBidi"/>
        </w:rPr>
      </w:pPr>
    </w:p>
    <w:p w14:paraId="1FE3F89F" w14:textId="1208F622" w:rsidR="00E444D5" w:rsidRDefault="00E444D5" w:rsidP="007D32A8">
      <w:pPr>
        <w:pStyle w:val="HChG"/>
        <w:numPr>
          <w:ilvl w:val="0"/>
          <w:numId w:val="30"/>
        </w:numPr>
        <w:tabs>
          <w:tab w:val="clear" w:pos="851"/>
          <w:tab w:val="right" w:pos="1134"/>
        </w:tabs>
        <w:rPr>
          <w:lang w:val="en-GB"/>
        </w:rPr>
      </w:pPr>
      <w:r w:rsidRPr="6DE39669">
        <w:rPr>
          <w:lang w:val="en-GB"/>
        </w:rPr>
        <w:t xml:space="preserve">Libertad de </w:t>
      </w:r>
      <w:r>
        <w:rPr>
          <w:lang w:val="en-GB"/>
        </w:rPr>
        <w:t>expression</w:t>
      </w:r>
    </w:p>
    <w:p w14:paraId="4720EECD"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A842B7">
        <w:rPr>
          <w:rFonts w:asciiTheme="majorBidi" w:hAnsiTheme="majorBidi" w:cstheme="majorBidi"/>
          <w:sz w:val="20"/>
          <w:szCs w:val="20"/>
          <w:lang w:val="es-ES"/>
        </w:rPr>
        <w:t xml:space="preserve">El ACNUDH siguió documentando restricciones </w:t>
      </w:r>
      <w:r>
        <w:rPr>
          <w:rFonts w:asciiTheme="majorBidi" w:hAnsiTheme="majorBidi" w:cstheme="majorBidi"/>
          <w:sz w:val="20"/>
          <w:szCs w:val="20"/>
          <w:lang w:val="es-ES"/>
        </w:rPr>
        <w:t xml:space="preserve">indebidas </w:t>
      </w:r>
      <w:r w:rsidRPr="00A842B7">
        <w:rPr>
          <w:rFonts w:asciiTheme="majorBidi" w:hAnsiTheme="majorBidi" w:cstheme="majorBidi"/>
          <w:sz w:val="20"/>
          <w:szCs w:val="20"/>
          <w:lang w:val="es-ES"/>
        </w:rPr>
        <w:t>a libertad de expresión, incluidos diez nuevos casos de cierre de emisoras de radio, que se suman a los 21 casos documentados anteriormente;</w:t>
      </w:r>
      <w:r>
        <w:rPr>
          <w:rStyle w:val="FootnoteReference"/>
          <w:rFonts w:cstheme="majorBidi"/>
          <w:szCs w:val="20"/>
          <w:lang w:val="es-ES"/>
        </w:rPr>
        <w:footnoteReference w:id="73"/>
      </w:r>
      <w:r w:rsidRPr="00A842B7">
        <w:rPr>
          <w:rFonts w:asciiTheme="majorBidi" w:hAnsiTheme="majorBidi" w:cstheme="majorBidi"/>
          <w:sz w:val="20"/>
          <w:szCs w:val="20"/>
          <w:lang w:val="es-ES"/>
        </w:rPr>
        <w:t xml:space="preserve"> las organizaciones de la sociedad civil denunciaron al menos 12 cierres durante el período que abarca el informe.</w:t>
      </w:r>
      <w:r>
        <w:rPr>
          <w:rStyle w:val="FootnoteReference"/>
          <w:rFonts w:cstheme="majorBidi"/>
          <w:szCs w:val="20"/>
          <w:lang w:val="es-ES"/>
        </w:rPr>
        <w:footnoteReference w:id="74"/>
      </w:r>
      <w:r w:rsidRPr="00A842B7">
        <w:rPr>
          <w:rFonts w:asciiTheme="majorBidi" w:hAnsiTheme="majorBidi" w:cstheme="majorBidi"/>
          <w:sz w:val="20"/>
          <w:szCs w:val="20"/>
          <w:lang w:val="es-ES"/>
        </w:rPr>
        <w:t xml:space="preserve"> </w:t>
      </w:r>
      <w:r>
        <w:rPr>
          <w:rFonts w:asciiTheme="majorBidi" w:hAnsiTheme="majorBidi" w:cstheme="majorBidi"/>
          <w:sz w:val="20"/>
          <w:szCs w:val="20"/>
          <w:lang w:val="es-ES"/>
        </w:rPr>
        <w:t>El ACNU</w:t>
      </w:r>
      <w:r w:rsidRPr="00A842B7">
        <w:rPr>
          <w:rFonts w:asciiTheme="majorBidi" w:hAnsiTheme="majorBidi" w:cstheme="majorBidi"/>
          <w:sz w:val="20"/>
          <w:szCs w:val="20"/>
          <w:lang w:val="es-ES"/>
        </w:rPr>
        <w:t>DH recibió información de que las solicitudes de las emisoras para obtener los permisos requeridos quedaron sin respuesta o fueron rechazadas, o con nuevos requisitos adicionales. En otros casos, las emisoras informaron que no p</w:t>
      </w:r>
      <w:r>
        <w:rPr>
          <w:rFonts w:asciiTheme="majorBidi" w:hAnsiTheme="majorBidi" w:cstheme="majorBidi"/>
          <w:sz w:val="20"/>
          <w:szCs w:val="20"/>
          <w:lang w:val="es-ES"/>
        </w:rPr>
        <w:t xml:space="preserve">udieron </w:t>
      </w:r>
      <w:r w:rsidRPr="00A842B7">
        <w:rPr>
          <w:rFonts w:asciiTheme="majorBidi" w:hAnsiTheme="majorBidi" w:cstheme="majorBidi"/>
          <w:sz w:val="20"/>
          <w:szCs w:val="20"/>
          <w:lang w:val="es-ES"/>
        </w:rPr>
        <w:t>presentar solicitudes debido a los elevados cost</w:t>
      </w:r>
      <w:r>
        <w:rPr>
          <w:rFonts w:asciiTheme="majorBidi" w:hAnsiTheme="majorBidi" w:cstheme="majorBidi"/>
          <w:sz w:val="20"/>
          <w:szCs w:val="20"/>
          <w:lang w:val="es-ES"/>
        </w:rPr>
        <w:t>o</w:t>
      </w:r>
      <w:r w:rsidRPr="00A842B7">
        <w:rPr>
          <w:rFonts w:asciiTheme="majorBidi" w:hAnsiTheme="majorBidi" w:cstheme="majorBidi"/>
          <w:sz w:val="20"/>
          <w:szCs w:val="20"/>
          <w:lang w:val="es-ES"/>
        </w:rPr>
        <w:t>s. A</w:t>
      </w:r>
      <w:r>
        <w:rPr>
          <w:rFonts w:asciiTheme="majorBidi" w:hAnsiTheme="majorBidi" w:cstheme="majorBidi"/>
          <w:sz w:val="20"/>
          <w:szCs w:val="20"/>
          <w:lang w:val="es-ES"/>
        </w:rPr>
        <w:t>l ACNUDH</w:t>
      </w:r>
      <w:r w:rsidRPr="00A842B7">
        <w:rPr>
          <w:rFonts w:asciiTheme="majorBidi" w:hAnsiTheme="majorBidi" w:cstheme="majorBidi"/>
          <w:sz w:val="20"/>
          <w:szCs w:val="20"/>
          <w:lang w:val="es-ES"/>
        </w:rPr>
        <w:t xml:space="preserve"> le preocupan estos cierres recurrentes para los que no se proporciona ninguna base jurídica.</w:t>
      </w:r>
    </w:p>
    <w:p w14:paraId="55760B3C" w14:textId="77777777" w:rsidR="00E444D5" w:rsidRDefault="00E444D5" w:rsidP="00E444D5">
      <w:pPr>
        <w:pStyle w:val="ListParagraph"/>
        <w:ind w:left="1080" w:right="1080"/>
        <w:rPr>
          <w:rFonts w:asciiTheme="majorBidi" w:hAnsiTheme="majorBidi" w:cstheme="majorBidi"/>
          <w:sz w:val="20"/>
          <w:szCs w:val="20"/>
          <w:lang w:val="es-ES"/>
        </w:rPr>
      </w:pPr>
    </w:p>
    <w:p w14:paraId="2C99D1B1" w14:textId="77777777" w:rsidR="00E444D5" w:rsidRDefault="00E444D5" w:rsidP="007D32A8">
      <w:pPr>
        <w:pStyle w:val="ListParagraph"/>
        <w:numPr>
          <w:ilvl w:val="0"/>
          <w:numId w:val="20"/>
        </w:numPr>
        <w:ind w:left="1080" w:right="1080" w:hanging="36"/>
        <w:rPr>
          <w:rFonts w:asciiTheme="majorBidi" w:hAnsiTheme="majorBidi" w:cstheme="majorBidi"/>
          <w:sz w:val="20"/>
          <w:szCs w:val="20"/>
          <w:lang w:val="es-ES"/>
        </w:rPr>
      </w:pPr>
      <w:r w:rsidRPr="00A842B7">
        <w:rPr>
          <w:rFonts w:asciiTheme="majorBidi" w:hAnsiTheme="majorBidi" w:cstheme="majorBidi"/>
          <w:sz w:val="20"/>
          <w:szCs w:val="20"/>
          <w:lang w:val="es-ES"/>
        </w:rPr>
        <w:t xml:space="preserve">Durante el periodo de referencia, al menos 50 </w:t>
      </w:r>
      <w:r>
        <w:rPr>
          <w:rFonts w:asciiTheme="majorBidi" w:hAnsiTheme="majorBidi" w:cstheme="majorBidi"/>
          <w:sz w:val="20"/>
          <w:szCs w:val="20"/>
          <w:lang w:val="es-ES"/>
        </w:rPr>
        <w:t>páginas</w:t>
      </w:r>
      <w:r w:rsidRPr="00A842B7">
        <w:rPr>
          <w:rFonts w:asciiTheme="majorBidi" w:hAnsiTheme="majorBidi" w:cstheme="majorBidi"/>
          <w:sz w:val="20"/>
          <w:szCs w:val="20"/>
          <w:lang w:val="es-ES"/>
        </w:rPr>
        <w:t xml:space="preserve"> web </w:t>
      </w:r>
      <w:r>
        <w:rPr>
          <w:rFonts w:asciiTheme="majorBidi" w:hAnsiTheme="majorBidi" w:cstheme="majorBidi"/>
          <w:sz w:val="20"/>
          <w:szCs w:val="20"/>
          <w:lang w:val="es-ES"/>
        </w:rPr>
        <w:t>fueron</w:t>
      </w:r>
      <w:r w:rsidRPr="00A842B7">
        <w:rPr>
          <w:rFonts w:asciiTheme="majorBidi" w:hAnsiTheme="majorBidi" w:cstheme="majorBidi"/>
          <w:sz w:val="20"/>
          <w:szCs w:val="20"/>
          <w:lang w:val="es-ES"/>
        </w:rPr>
        <w:t xml:space="preserve"> bloquead</w:t>
      </w:r>
      <w:r>
        <w:rPr>
          <w:rFonts w:asciiTheme="majorBidi" w:hAnsiTheme="majorBidi" w:cstheme="majorBidi"/>
          <w:sz w:val="20"/>
          <w:szCs w:val="20"/>
          <w:lang w:val="es-ES"/>
        </w:rPr>
        <w:t>a</w:t>
      </w:r>
      <w:r w:rsidRPr="00A842B7">
        <w:rPr>
          <w:rFonts w:asciiTheme="majorBidi" w:hAnsiTheme="majorBidi" w:cstheme="majorBidi"/>
          <w:sz w:val="20"/>
          <w:szCs w:val="20"/>
          <w:lang w:val="es-ES"/>
        </w:rPr>
        <w:t xml:space="preserve">s sin notificación de suspensión por diferentes operadores de telecomunicaciones de propiedad pública y privada. Esto representa un aumento en comparación con el período del informe anterior, en el que se identificaron 44 bloqueos. El ACNUDH recuerda que toda limitación </w:t>
      </w:r>
      <w:r>
        <w:rPr>
          <w:rFonts w:asciiTheme="majorBidi" w:hAnsiTheme="majorBidi" w:cstheme="majorBidi"/>
          <w:sz w:val="20"/>
          <w:szCs w:val="20"/>
          <w:lang w:val="es-ES"/>
        </w:rPr>
        <w:t>a</w:t>
      </w:r>
      <w:r w:rsidRPr="00A842B7">
        <w:rPr>
          <w:rFonts w:asciiTheme="majorBidi" w:hAnsiTheme="majorBidi" w:cstheme="majorBidi"/>
          <w:sz w:val="20"/>
          <w:szCs w:val="20"/>
          <w:lang w:val="es-ES"/>
        </w:rPr>
        <w:t xml:space="preserve"> la libertad de expresión impuesta por el Estado debe cumplir las condiciones de legalidad, necesidad y proporcionalidad, y finalidad legítima.</w:t>
      </w:r>
      <w:r>
        <w:rPr>
          <w:rStyle w:val="FootnoteReference"/>
          <w:rFonts w:cstheme="majorBidi"/>
          <w:szCs w:val="20"/>
          <w:lang w:val="es-ES"/>
        </w:rPr>
        <w:footnoteReference w:id="75"/>
      </w:r>
    </w:p>
    <w:p w14:paraId="240E456D" w14:textId="77777777" w:rsidR="00E444D5" w:rsidRDefault="00E444D5" w:rsidP="007D32A8">
      <w:pPr>
        <w:pStyle w:val="ListParagraph"/>
        <w:ind w:left="1080" w:right="1080" w:hanging="36"/>
        <w:rPr>
          <w:rFonts w:asciiTheme="majorBidi" w:hAnsiTheme="majorBidi" w:cstheme="majorBidi"/>
          <w:sz w:val="20"/>
          <w:szCs w:val="20"/>
          <w:lang w:val="es-ES"/>
        </w:rPr>
      </w:pPr>
    </w:p>
    <w:p w14:paraId="528A1D12" w14:textId="77777777" w:rsidR="00E444D5" w:rsidRDefault="00E444D5" w:rsidP="007D32A8">
      <w:pPr>
        <w:pStyle w:val="ListParagraph"/>
        <w:numPr>
          <w:ilvl w:val="0"/>
          <w:numId w:val="20"/>
        </w:numPr>
        <w:ind w:left="1080" w:right="1080" w:hanging="36"/>
        <w:rPr>
          <w:rFonts w:asciiTheme="majorBidi" w:hAnsiTheme="majorBidi" w:cstheme="majorBidi"/>
          <w:sz w:val="20"/>
          <w:szCs w:val="20"/>
          <w:lang w:val="es-ES"/>
        </w:rPr>
      </w:pPr>
      <w:r w:rsidRPr="00587E6C">
        <w:rPr>
          <w:rFonts w:asciiTheme="majorBidi" w:hAnsiTheme="majorBidi" w:cstheme="majorBidi"/>
          <w:sz w:val="20"/>
          <w:szCs w:val="20"/>
          <w:lang w:val="es-ES"/>
        </w:rPr>
        <w:lastRenderedPageBreak/>
        <w:t>Durante el periodo que abarca este informe, los actores de la sociedad civil siguieron denunciando la falta de respuestas a las solicitudes de acceso a la información en poder de los organismos públicos.</w:t>
      </w:r>
      <w:r>
        <w:rPr>
          <w:rStyle w:val="FootnoteReference"/>
          <w:rFonts w:cstheme="majorBidi"/>
          <w:szCs w:val="20"/>
          <w:lang w:val="es-ES"/>
        </w:rPr>
        <w:footnoteReference w:id="76"/>
      </w:r>
      <w:r w:rsidRPr="00587E6C">
        <w:rPr>
          <w:rFonts w:asciiTheme="majorBidi" w:hAnsiTheme="majorBidi" w:cstheme="majorBidi"/>
          <w:sz w:val="20"/>
          <w:szCs w:val="20"/>
          <w:lang w:val="es-ES"/>
        </w:rPr>
        <w:t xml:space="preserve"> De 20 solicitudes presentadas por un actor de la sociedad civil entre marzo de 2023 y marzo de 2024, 14 siguen sin respuesta.</w:t>
      </w:r>
      <w:r>
        <w:rPr>
          <w:rStyle w:val="FootnoteReference"/>
          <w:rFonts w:cstheme="majorBidi"/>
          <w:szCs w:val="20"/>
          <w:lang w:val="es-ES"/>
        </w:rPr>
        <w:footnoteReference w:id="77"/>
      </w:r>
    </w:p>
    <w:p w14:paraId="178A1767" w14:textId="77777777" w:rsidR="00E444D5" w:rsidRDefault="00E444D5" w:rsidP="007D32A8">
      <w:pPr>
        <w:pStyle w:val="ListParagraph"/>
        <w:ind w:left="1080" w:right="1080" w:hanging="36"/>
        <w:rPr>
          <w:rFonts w:asciiTheme="majorBidi" w:hAnsiTheme="majorBidi" w:cstheme="majorBidi"/>
          <w:sz w:val="20"/>
          <w:szCs w:val="20"/>
          <w:lang w:val="es-ES"/>
        </w:rPr>
      </w:pPr>
    </w:p>
    <w:p w14:paraId="27B0986C" w14:textId="77777777" w:rsidR="00E444D5" w:rsidRPr="00587E6C" w:rsidRDefault="00E444D5" w:rsidP="007D32A8">
      <w:pPr>
        <w:pStyle w:val="ListParagraph"/>
        <w:numPr>
          <w:ilvl w:val="0"/>
          <w:numId w:val="20"/>
        </w:numPr>
        <w:ind w:left="1080" w:right="1080" w:hanging="36"/>
        <w:rPr>
          <w:rFonts w:asciiTheme="majorBidi" w:hAnsiTheme="majorBidi" w:cstheme="majorBidi"/>
          <w:sz w:val="20"/>
          <w:szCs w:val="20"/>
          <w:lang w:val="es-ES"/>
        </w:rPr>
      </w:pPr>
      <w:r w:rsidRPr="00587E6C">
        <w:rPr>
          <w:rFonts w:asciiTheme="majorBidi" w:hAnsiTheme="majorBidi" w:cstheme="majorBidi"/>
          <w:sz w:val="20"/>
          <w:szCs w:val="20"/>
          <w:lang w:val="es-ES"/>
        </w:rPr>
        <w:t xml:space="preserve">Al ACNUDH le preocupa que se siga aplicando la Ley </w:t>
      </w:r>
      <w:r>
        <w:rPr>
          <w:rFonts w:asciiTheme="majorBidi" w:hAnsiTheme="majorBidi" w:cstheme="majorBidi"/>
          <w:sz w:val="20"/>
          <w:szCs w:val="20"/>
          <w:lang w:val="es-ES"/>
        </w:rPr>
        <w:t>C</w:t>
      </w:r>
      <w:r w:rsidRPr="00587E6C">
        <w:rPr>
          <w:rFonts w:asciiTheme="majorBidi" w:hAnsiTheme="majorBidi" w:cstheme="majorBidi"/>
          <w:sz w:val="20"/>
          <w:szCs w:val="20"/>
          <w:lang w:val="es-ES"/>
        </w:rPr>
        <w:t xml:space="preserve">onstitucional </w:t>
      </w:r>
      <w:r>
        <w:rPr>
          <w:rFonts w:asciiTheme="majorBidi" w:hAnsiTheme="majorBidi" w:cstheme="majorBidi"/>
          <w:sz w:val="20"/>
          <w:szCs w:val="20"/>
          <w:lang w:val="es-ES"/>
        </w:rPr>
        <w:t>C</w:t>
      </w:r>
      <w:r w:rsidRPr="00587E6C">
        <w:rPr>
          <w:rFonts w:asciiTheme="majorBidi" w:hAnsiTheme="majorBidi" w:cstheme="majorBidi"/>
          <w:sz w:val="20"/>
          <w:szCs w:val="20"/>
          <w:lang w:val="es-ES"/>
        </w:rPr>
        <w:t xml:space="preserve">ontra el </w:t>
      </w:r>
      <w:r>
        <w:rPr>
          <w:rFonts w:asciiTheme="majorBidi" w:hAnsiTheme="majorBidi" w:cstheme="majorBidi"/>
          <w:sz w:val="20"/>
          <w:szCs w:val="20"/>
          <w:lang w:val="es-ES"/>
        </w:rPr>
        <w:t>O</w:t>
      </w:r>
      <w:r w:rsidRPr="00587E6C">
        <w:rPr>
          <w:rFonts w:asciiTheme="majorBidi" w:hAnsiTheme="majorBidi" w:cstheme="majorBidi"/>
          <w:sz w:val="20"/>
          <w:szCs w:val="20"/>
          <w:lang w:val="es-ES"/>
        </w:rPr>
        <w:t xml:space="preserve">dio, por la </w:t>
      </w:r>
      <w:r>
        <w:rPr>
          <w:rFonts w:asciiTheme="majorBidi" w:hAnsiTheme="majorBidi" w:cstheme="majorBidi"/>
          <w:sz w:val="20"/>
          <w:szCs w:val="20"/>
          <w:lang w:val="es-ES"/>
        </w:rPr>
        <w:t>C</w:t>
      </w:r>
      <w:r w:rsidRPr="00587E6C">
        <w:rPr>
          <w:rFonts w:asciiTheme="majorBidi" w:hAnsiTheme="majorBidi" w:cstheme="majorBidi"/>
          <w:sz w:val="20"/>
          <w:szCs w:val="20"/>
          <w:lang w:val="es-ES"/>
        </w:rPr>
        <w:t xml:space="preserve">onvivencia </w:t>
      </w:r>
      <w:r>
        <w:rPr>
          <w:rFonts w:asciiTheme="majorBidi" w:hAnsiTheme="majorBidi" w:cstheme="majorBidi"/>
          <w:sz w:val="20"/>
          <w:szCs w:val="20"/>
          <w:lang w:val="es-ES"/>
        </w:rPr>
        <w:t>P</w:t>
      </w:r>
      <w:r w:rsidRPr="00587E6C">
        <w:rPr>
          <w:rFonts w:asciiTheme="majorBidi" w:hAnsiTheme="majorBidi" w:cstheme="majorBidi"/>
          <w:sz w:val="20"/>
          <w:szCs w:val="20"/>
          <w:lang w:val="es-ES"/>
        </w:rPr>
        <w:t xml:space="preserve">acífica y la </w:t>
      </w:r>
      <w:r>
        <w:rPr>
          <w:rFonts w:asciiTheme="majorBidi" w:hAnsiTheme="majorBidi" w:cstheme="majorBidi"/>
          <w:sz w:val="20"/>
          <w:szCs w:val="20"/>
          <w:lang w:val="es-ES"/>
        </w:rPr>
        <w:t>T</w:t>
      </w:r>
      <w:r w:rsidRPr="00587E6C">
        <w:rPr>
          <w:rFonts w:asciiTheme="majorBidi" w:hAnsiTheme="majorBidi" w:cstheme="majorBidi"/>
          <w:sz w:val="20"/>
          <w:szCs w:val="20"/>
          <w:lang w:val="es-ES"/>
        </w:rPr>
        <w:t xml:space="preserve">olerancia para criminalizar y deslegitimar la labor de </w:t>
      </w:r>
      <w:r>
        <w:rPr>
          <w:rFonts w:asciiTheme="majorBidi" w:hAnsiTheme="majorBidi" w:cstheme="majorBidi"/>
          <w:sz w:val="20"/>
          <w:szCs w:val="20"/>
          <w:lang w:val="es-ES"/>
        </w:rPr>
        <w:t>las personas</w:t>
      </w:r>
      <w:r w:rsidRPr="00587E6C">
        <w:rPr>
          <w:rFonts w:asciiTheme="majorBidi" w:hAnsiTheme="majorBidi" w:cstheme="majorBidi"/>
          <w:sz w:val="20"/>
          <w:szCs w:val="20"/>
          <w:lang w:val="es-ES"/>
        </w:rPr>
        <w:t xml:space="preserve"> defensor</w:t>
      </w:r>
      <w:r>
        <w:rPr>
          <w:rFonts w:asciiTheme="majorBidi" w:hAnsiTheme="majorBidi" w:cstheme="majorBidi"/>
          <w:sz w:val="20"/>
          <w:szCs w:val="20"/>
          <w:lang w:val="es-ES"/>
        </w:rPr>
        <w:t>a</w:t>
      </w:r>
      <w:r w:rsidRPr="00587E6C">
        <w:rPr>
          <w:rFonts w:asciiTheme="majorBidi" w:hAnsiTheme="majorBidi" w:cstheme="majorBidi"/>
          <w:sz w:val="20"/>
          <w:szCs w:val="20"/>
          <w:lang w:val="es-ES"/>
        </w:rPr>
        <w:t xml:space="preserve">s de derechos humanos, periodistas y otras personas. Durante el período que abarca el informe, el ACNUDH documentó casos de diez hombres y dos mujeres que </w:t>
      </w:r>
      <w:r>
        <w:rPr>
          <w:rFonts w:asciiTheme="majorBidi" w:hAnsiTheme="majorBidi" w:cstheme="majorBidi"/>
          <w:sz w:val="20"/>
          <w:szCs w:val="20"/>
          <w:lang w:val="es-ES"/>
        </w:rPr>
        <w:t>fueron</w:t>
      </w:r>
      <w:r w:rsidRPr="00587E6C">
        <w:rPr>
          <w:rFonts w:asciiTheme="majorBidi" w:hAnsiTheme="majorBidi" w:cstheme="majorBidi"/>
          <w:sz w:val="20"/>
          <w:szCs w:val="20"/>
          <w:lang w:val="es-ES"/>
        </w:rPr>
        <w:t xml:space="preserve"> acusados o procesados en virtud de la legislación sobre incitación al odio o instigación pública, que se suman a los 32 casos documentados anteriormente de acusaciones similares.</w:t>
      </w:r>
      <w:r>
        <w:rPr>
          <w:rStyle w:val="FootnoteReference"/>
          <w:rFonts w:cstheme="majorBidi"/>
          <w:szCs w:val="20"/>
          <w:lang w:val="es-ES"/>
        </w:rPr>
        <w:footnoteReference w:id="78"/>
      </w:r>
      <w:r w:rsidRPr="00587E6C">
        <w:rPr>
          <w:rFonts w:asciiTheme="majorBidi" w:hAnsiTheme="majorBidi" w:cstheme="majorBidi"/>
          <w:sz w:val="20"/>
          <w:szCs w:val="20"/>
          <w:lang w:val="es-ES"/>
        </w:rPr>
        <w:t xml:space="preserve"> El ACNUDH había señalado anteriormente que esta legislación no se ajustaba al artículo 19 del Pacto Internacional de Derechos Civiles y Políticos.</w:t>
      </w:r>
      <w:r>
        <w:rPr>
          <w:rStyle w:val="FootnoteReference"/>
          <w:rFonts w:cstheme="majorBidi"/>
          <w:szCs w:val="20"/>
          <w:lang w:val="es-ES"/>
        </w:rPr>
        <w:footnoteReference w:id="79"/>
      </w:r>
    </w:p>
    <w:p w14:paraId="3092E3F8" w14:textId="121885C3" w:rsidR="00E444D5" w:rsidRDefault="00E444D5" w:rsidP="007D32A8">
      <w:pPr>
        <w:pStyle w:val="HChG"/>
        <w:numPr>
          <w:ilvl w:val="0"/>
          <w:numId w:val="30"/>
        </w:numPr>
        <w:tabs>
          <w:tab w:val="clear" w:pos="851"/>
          <w:tab w:val="right" w:pos="1134"/>
        </w:tabs>
        <w:rPr>
          <w:bCs/>
          <w:lang w:val="en-GB"/>
        </w:rPr>
      </w:pPr>
      <w:r w:rsidRPr="006C16EA">
        <w:rPr>
          <w:bCs/>
          <w:lang w:val="en-GB"/>
        </w:rPr>
        <w:t xml:space="preserve">Libertad de </w:t>
      </w:r>
      <w:proofErr w:type="spellStart"/>
      <w:r w:rsidRPr="006C16EA">
        <w:rPr>
          <w:bCs/>
          <w:lang w:val="en-GB"/>
        </w:rPr>
        <w:t>asociación</w:t>
      </w:r>
      <w:proofErr w:type="spellEnd"/>
    </w:p>
    <w:p w14:paraId="0E4080DB" w14:textId="77777777" w:rsidR="00E444D5" w:rsidRDefault="00E444D5" w:rsidP="00E444D5">
      <w:pPr>
        <w:pStyle w:val="ListParagraph"/>
        <w:ind w:left="1170" w:right="1080"/>
        <w:rPr>
          <w:rFonts w:asciiTheme="majorBidi" w:hAnsiTheme="majorBidi" w:cstheme="majorBidi"/>
          <w:sz w:val="20"/>
          <w:szCs w:val="20"/>
          <w:lang w:val="es-ES"/>
        </w:rPr>
      </w:pPr>
    </w:p>
    <w:p w14:paraId="5B9C0A47" w14:textId="77777777" w:rsidR="00E444D5" w:rsidRDefault="00E444D5" w:rsidP="007D32A8">
      <w:pPr>
        <w:pStyle w:val="ListParagraph"/>
        <w:numPr>
          <w:ilvl w:val="0"/>
          <w:numId w:val="20"/>
        </w:numPr>
        <w:ind w:left="1170" w:right="1080" w:hanging="36"/>
        <w:rPr>
          <w:rFonts w:asciiTheme="majorBidi" w:hAnsiTheme="majorBidi" w:cstheme="majorBidi"/>
          <w:sz w:val="20"/>
          <w:szCs w:val="20"/>
          <w:lang w:val="es-ES"/>
        </w:rPr>
      </w:pPr>
      <w:r>
        <w:rPr>
          <w:rFonts w:asciiTheme="majorBidi" w:hAnsiTheme="majorBidi" w:cstheme="majorBidi"/>
          <w:sz w:val="20"/>
          <w:szCs w:val="20"/>
          <w:lang w:val="es-ES"/>
        </w:rPr>
        <w:t>L</w:t>
      </w:r>
      <w:r w:rsidRPr="00A842B7">
        <w:rPr>
          <w:rFonts w:asciiTheme="majorBidi" w:hAnsiTheme="majorBidi" w:cstheme="majorBidi"/>
          <w:sz w:val="20"/>
          <w:szCs w:val="20"/>
          <w:lang w:val="es-ES"/>
        </w:rPr>
        <w:t xml:space="preserve">os debates </w:t>
      </w:r>
      <w:r>
        <w:rPr>
          <w:rFonts w:asciiTheme="majorBidi" w:hAnsiTheme="majorBidi" w:cstheme="majorBidi"/>
          <w:sz w:val="20"/>
          <w:szCs w:val="20"/>
          <w:lang w:val="es-ES"/>
        </w:rPr>
        <w:t xml:space="preserve">continuaron </w:t>
      </w:r>
      <w:r w:rsidRPr="00A842B7">
        <w:rPr>
          <w:rFonts w:asciiTheme="majorBidi" w:hAnsiTheme="majorBidi" w:cstheme="majorBidi"/>
          <w:sz w:val="20"/>
          <w:szCs w:val="20"/>
          <w:lang w:val="es-ES"/>
        </w:rPr>
        <w:t>sobre el proyecto de Ley de Control, Regularización, Actuación y Financiación de Organizaciones No Gubernamentales y Afines, presentado por primera vez a la Asamblea Nacional en enero de 2023.</w:t>
      </w:r>
      <w:r>
        <w:rPr>
          <w:rStyle w:val="FootnoteReference"/>
          <w:rFonts w:cstheme="majorBidi"/>
          <w:szCs w:val="20"/>
          <w:lang w:val="es-ES"/>
        </w:rPr>
        <w:footnoteReference w:id="80"/>
      </w:r>
      <w:r w:rsidRPr="00A842B7">
        <w:rPr>
          <w:rFonts w:asciiTheme="majorBidi" w:hAnsiTheme="majorBidi" w:cstheme="majorBidi"/>
          <w:sz w:val="20"/>
          <w:szCs w:val="20"/>
          <w:lang w:val="es-ES"/>
        </w:rPr>
        <w:t xml:space="preserve"> </w:t>
      </w:r>
      <w:r>
        <w:rPr>
          <w:rFonts w:asciiTheme="majorBidi" w:hAnsiTheme="majorBidi" w:cstheme="majorBidi"/>
          <w:sz w:val="20"/>
          <w:szCs w:val="20"/>
          <w:lang w:val="es-ES"/>
        </w:rPr>
        <w:t>Creciente</w:t>
      </w:r>
      <w:r w:rsidRPr="00A842B7">
        <w:rPr>
          <w:rFonts w:asciiTheme="majorBidi" w:hAnsiTheme="majorBidi" w:cstheme="majorBidi"/>
          <w:sz w:val="20"/>
          <w:szCs w:val="20"/>
          <w:lang w:val="es-ES"/>
        </w:rPr>
        <w:t xml:space="preserve"> preocupación por las posibles restricciones al derecho a la libertad de asociación. Dichas restricciones podrían afectar a la capacidad de la sociedad civil para llevar a cabo su labor y repercutir en la vida de los beneficiarios de la ayuda humanitaria prestada por estas organizaciones. En enero de 2024</w:t>
      </w:r>
      <w:r>
        <w:rPr>
          <w:rStyle w:val="FootnoteReference"/>
          <w:rFonts w:cstheme="majorBidi"/>
          <w:szCs w:val="20"/>
          <w:lang w:val="es-ES"/>
        </w:rPr>
        <w:footnoteReference w:id="81"/>
      </w:r>
      <w:r w:rsidRPr="00A842B7">
        <w:rPr>
          <w:rFonts w:asciiTheme="majorBidi" w:hAnsiTheme="majorBidi" w:cstheme="majorBidi"/>
          <w:sz w:val="20"/>
          <w:szCs w:val="20"/>
          <w:lang w:val="es-ES"/>
        </w:rPr>
        <w:t xml:space="preserve"> se anunció un proceso de consulta pública sobre esta cuestión y el 4 de abril, la Comisión de Política Interior de la Asamblea Nacional aprobó el Informe para la Segunda Discusión del proyecto de ley.</w:t>
      </w:r>
      <w:r>
        <w:rPr>
          <w:rStyle w:val="FootnoteReference"/>
          <w:rFonts w:cstheme="majorBidi"/>
          <w:szCs w:val="20"/>
          <w:lang w:val="es-ES"/>
        </w:rPr>
        <w:footnoteReference w:id="82"/>
      </w:r>
      <w:r w:rsidRPr="00A842B7">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A842B7">
        <w:rPr>
          <w:rFonts w:asciiTheme="majorBidi" w:hAnsiTheme="majorBidi" w:cstheme="majorBidi"/>
          <w:sz w:val="20"/>
          <w:szCs w:val="20"/>
          <w:lang w:val="es-ES"/>
        </w:rPr>
        <w:t xml:space="preserve">ACNUDH </w:t>
      </w:r>
      <w:r>
        <w:rPr>
          <w:rFonts w:asciiTheme="majorBidi" w:hAnsiTheme="majorBidi" w:cstheme="majorBidi"/>
          <w:sz w:val="20"/>
          <w:szCs w:val="20"/>
          <w:lang w:val="es-ES"/>
        </w:rPr>
        <w:t>compartió</w:t>
      </w:r>
      <w:r w:rsidRPr="00A842B7">
        <w:rPr>
          <w:rFonts w:asciiTheme="majorBidi" w:hAnsiTheme="majorBidi" w:cstheme="majorBidi"/>
          <w:sz w:val="20"/>
          <w:szCs w:val="20"/>
          <w:lang w:val="es-ES"/>
        </w:rPr>
        <w:t xml:space="preserve"> sus observaciones en línea con las normas aplicables en la materia y al</w:t>
      </w:r>
      <w:r>
        <w:rPr>
          <w:rFonts w:asciiTheme="majorBidi" w:hAnsiTheme="majorBidi" w:cstheme="majorBidi"/>
          <w:sz w:val="20"/>
          <w:szCs w:val="20"/>
          <w:lang w:val="es-ES"/>
        </w:rPr>
        <w:t>entó</w:t>
      </w:r>
      <w:r w:rsidRPr="00A842B7">
        <w:rPr>
          <w:rFonts w:asciiTheme="majorBidi" w:hAnsiTheme="majorBidi" w:cstheme="majorBidi"/>
          <w:sz w:val="20"/>
          <w:szCs w:val="20"/>
          <w:lang w:val="es-ES"/>
        </w:rPr>
        <w:t xml:space="preserve"> a las autoridades a considerarlas.</w:t>
      </w:r>
    </w:p>
    <w:p w14:paraId="0C4332E4" w14:textId="77777777" w:rsidR="00E444D5" w:rsidRDefault="00E444D5" w:rsidP="007D32A8">
      <w:pPr>
        <w:pStyle w:val="ListParagraph"/>
        <w:ind w:left="1170" w:right="1080" w:hanging="36"/>
        <w:rPr>
          <w:rFonts w:asciiTheme="majorBidi" w:hAnsiTheme="majorBidi" w:cstheme="majorBidi"/>
          <w:sz w:val="20"/>
          <w:szCs w:val="20"/>
          <w:lang w:val="es-ES"/>
        </w:rPr>
      </w:pPr>
    </w:p>
    <w:p w14:paraId="09041A4A" w14:textId="77777777" w:rsidR="00E444D5" w:rsidRPr="00A842B7" w:rsidRDefault="00E444D5" w:rsidP="007D32A8">
      <w:pPr>
        <w:pStyle w:val="ListParagraph"/>
        <w:numPr>
          <w:ilvl w:val="0"/>
          <w:numId w:val="20"/>
        </w:numPr>
        <w:ind w:left="1170" w:right="1080" w:hanging="36"/>
        <w:rPr>
          <w:rFonts w:asciiTheme="majorBidi" w:hAnsiTheme="majorBidi" w:cstheme="majorBidi"/>
          <w:sz w:val="20"/>
          <w:szCs w:val="20"/>
          <w:lang w:val="es-ES"/>
        </w:rPr>
      </w:pPr>
      <w:r w:rsidRPr="00A842B7">
        <w:rPr>
          <w:rFonts w:asciiTheme="majorBidi" w:hAnsiTheme="majorBidi" w:cstheme="majorBidi"/>
          <w:sz w:val="20"/>
          <w:szCs w:val="20"/>
          <w:lang w:val="es-ES"/>
        </w:rPr>
        <w:t xml:space="preserve">El ACNUDH siguió recibiendo denuncias de restricciones al registro de </w:t>
      </w:r>
      <w:r>
        <w:rPr>
          <w:rFonts w:asciiTheme="majorBidi" w:hAnsiTheme="majorBidi" w:cstheme="majorBidi"/>
          <w:sz w:val="20"/>
          <w:szCs w:val="20"/>
          <w:lang w:val="es-ES"/>
        </w:rPr>
        <w:t>organizaciones no-gubernamentales</w:t>
      </w:r>
      <w:r w:rsidRPr="00A842B7">
        <w:rPr>
          <w:rFonts w:asciiTheme="majorBidi" w:hAnsiTheme="majorBidi" w:cstheme="majorBidi"/>
          <w:sz w:val="20"/>
          <w:szCs w:val="20"/>
          <w:lang w:val="es-ES"/>
        </w:rPr>
        <w:t xml:space="preserve"> o a sus actos jurídicos, a través de mecanismos nacionales como el Servicio Autónomo de Registros y Notarías (SAREN).</w:t>
      </w:r>
      <w:r>
        <w:rPr>
          <w:rStyle w:val="FootnoteReference"/>
          <w:rFonts w:cstheme="majorBidi"/>
          <w:szCs w:val="20"/>
          <w:lang w:val="es-ES"/>
        </w:rPr>
        <w:footnoteReference w:id="83"/>
      </w:r>
      <w:r w:rsidRPr="00A842B7">
        <w:rPr>
          <w:rFonts w:asciiTheme="majorBidi" w:hAnsiTheme="majorBidi" w:cstheme="majorBidi"/>
          <w:sz w:val="20"/>
          <w:szCs w:val="20"/>
          <w:lang w:val="es-ES"/>
        </w:rPr>
        <w:t xml:space="preserve"> </w:t>
      </w:r>
      <w:r>
        <w:rPr>
          <w:rFonts w:asciiTheme="majorBidi" w:hAnsiTheme="majorBidi" w:cstheme="majorBidi"/>
          <w:sz w:val="20"/>
          <w:szCs w:val="20"/>
          <w:lang w:val="es-ES"/>
        </w:rPr>
        <w:t>El ACNUDH</w:t>
      </w:r>
      <w:r w:rsidRPr="00A842B7">
        <w:rPr>
          <w:rFonts w:asciiTheme="majorBidi" w:hAnsiTheme="majorBidi" w:cstheme="majorBidi"/>
          <w:sz w:val="20"/>
          <w:szCs w:val="20"/>
          <w:lang w:val="es-ES"/>
        </w:rPr>
        <w:t xml:space="preserve"> documentó al menos 15 organizaciones de derechos humanos afectadas.</w:t>
      </w:r>
      <w:r>
        <w:rPr>
          <w:rFonts w:asciiTheme="majorBidi" w:hAnsiTheme="majorBidi" w:cstheme="majorBidi"/>
          <w:sz w:val="20"/>
          <w:szCs w:val="20"/>
          <w:lang w:val="es-ES"/>
        </w:rPr>
        <w:t xml:space="preserve"> El ACNUDH</w:t>
      </w:r>
      <w:r w:rsidRPr="00A842B7">
        <w:rPr>
          <w:rFonts w:asciiTheme="majorBidi" w:hAnsiTheme="majorBidi" w:cstheme="majorBidi"/>
          <w:sz w:val="20"/>
          <w:szCs w:val="20"/>
          <w:lang w:val="es-ES"/>
        </w:rPr>
        <w:t xml:space="preserve"> ha expresado anteriormente su preocupación por la multiplicidad de registros obligatorios como un obstáculo al libre ejercicio de las actividades y una restricción indebida del derecho a la libertad de asociación.</w:t>
      </w:r>
      <w:r>
        <w:rPr>
          <w:rStyle w:val="FootnoteReference"/>
          <w:rFonts w:cstheme="majorBidi"/>
          <w:szCs w:val="20"/>
          <w:lang w:val="es-ES"/>
        </w:rPr>
        <w:footnoteReference w:id="84"/>
      </w:r>
      <w:r w:rsidRPr="00A842B7">
        <w:rPr>
          <w:rFonts w:asciiTheme="majorBidi" w:hAnsiTheme="majorBidi" w:cstheme="majorBidi"/>
          <w:sz w:val="20"/>
          <w:szCs w:val="20"/>
          <w:lang w:val="es-ES"/>
        </w:rPr>
        <w:t xml:space="preserve"> </w:t>
      </w:r>
    </w:p>
    <w:p w14:paraId="7E55EDDF" w14:textId="55DF9FE8" w:rsidR="00E444D5" w:rsidRDefault="00E444D5" w:rsidP="007D32A8">
      <w:pPr>
        <w:pStyle w:val="HChG"/>
        <w:numPr>
          <w:ilvl w:val="0"/>
          <w:numId w:val="30"/>
        </w:numPr>
        <w:tabs>
          <w:tab w:val="clear" w:pos="851"/>
          <w:tab w:val="right" w:pos="1134"/>
        </w:tabs>
      </w:pPr>
      <w:r w:rsidRPr="6DE39669">
        <w:t>Estado de derecho y rendición de cuentas</w:t>
      </w:r>
    </w:p>
    <w:p w14:paraId="538340E2"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A842B7">
        <w:rPr>
          <w:rFonts w:asciiTheme="majorBidi" w:hAnsiTheme="majorBidi" w:cstheme="majorBidi"/>
          <w:sz w:val="20"/>
          <w:szCs w:val="20"/>
          <w:lang w:val="es-ES"/>
        </w:rPr>
        <w:t xml:space="preserve">Durante el período que abarca este informe, el ACNUDH </w:t>
      </w:r>
      <w:r>
        <w:rPr>
          <w:rFonts w:asciiTheme="majorBidi" w:hAnsiTheme="majorBidi" w:cstheme="majorBidi"/>
          <w:sz w:val="20"/>
          <w:szCs w:val="20"/>
          <w:lang w:val="es-ES"/>
        </w:rPr>
        <w:t>brind</w:t>
      </w:r>
      <w:r w:rsidRPr="00A842B7">
        <w:rPr>
          <w:rFonts w:asciiTheme="majorBidi" w:hAnsiTheme="majorBidi" w:cstheme="majorBidi"/>
          <w:sz w:val="20"/>
          <w:szCs w:val="20"/>
          <w:lang w:val="es-ES"/>
        </w:rPr>
        <w:t xml:space="preserve">ó asistencia técnica a las autoridades venezolanas, incluido el Ministerio para los Pueblos Indígenas, para armonizar </w:t>
      </w:r>
      <w:r>
        <w:rPr>
          <w:rFonts w:asciiTheme="majorBidi" w:hAnsiTheme="majorBidi" w:cstheme="majorBidi"/>
          <w:sz w:val="20"/>
          <w:szCs w:val="20"/>
          <w:lang w:val="es-ES"/>
        </w:rPr>
        <w:t xml:space="preserve">cierta </w:t>
      </w:r>
      <w:r w:rsidRPr="00A842B7">
        <w:rPr>
          <w:rFonts w:asciiTheme="majorBidi" w:hAnsiTheme="majorBidi" w:cstheme="majorBidi"/>
          <w:sz w:val="20"/>
          <w:szCs w:val="20"/>
          <w:lang w:val="es-ES"/>
        </w:rPr>
        <w:t>legislación</w:t>
      </w:r>
      <w:r>
        <w:rPr>
          <w:rFonts w:asciiTheme="majorBidi" w:hAnsiTheme="majorBidi" w:cstheme="majorBidi"/>
          <w:sz w:val="20"/>
          <w:szCs w:val="20"/>
          <w:lang w:val="es-ES"/>
        </w:rPr>
        <w:t xml:space="preserve"> nacional</w:t>
      </w:r>
      <w:r w:rsidRPr="00A842B7">
        <w:rPr>
          <w:rFonts w:asciiTheme="majorBidi" w:hAnsiTheme="majorBidi" w:cstheme="majorBidi"/>
          <w:sz w:val="20"/>
          <w:szCs w:val="20"/>
          <w:lang w:val="es-ES"/>
        </w:rPr>
        <w:t xml:space="preserve"> con las normas internacionales de derechos humanos, tuvo acceso a ocho expedientes de casos y observó una audiencia judicial. </w:t>
      </w:r>
      <w:r>
        <w:rPr>
          <w:rFonts w:asciiTheme="majorBidi" w:hAnsiTheme="majorBidi" w:cstheme="majorBidi"/>
          <w:sz w:val="20"/>
          <w:szCs w:val="20"/>
          <w:lang w:val="es-ES"/>
        </w:rPr>
        <w:t>El ACNUDH</w:t>
      </w:r>
      <w:r w:rsidRPr="00A842B7">
        <w:rPr>
          <w:rFonts w:asciiTheme="majorBidi" w:hAnsiTheme="majorBidi" w:cstheme="majorBidi"/>
          <w:sz w:val="20"/>
          <w:szCs w:val="20"/>
          <w:lang w:val="es-ES"/>
        </w:rPr>
        <w:t xml:space="preserve"> </w:t>
      </w:r>
      <w:r w:rsidRPr="001843DF">
        <w:rPr>
          <w:rFonts w:asciiTheme="majorBidi" w:hAnsiTheme="majorBidi" w:cstheme="majorBidi"/>
          <w:sz w:val="20"/>
          <w:szCs w:val="20"/>
          <w:lang w:val="es-ES"/>
        </w:rPr>
        <w:t xml:space="preserve">considera que esta </w:t>
      </w:r>
      <w:r>
        <w:rPr>
          <w:rFonts w:asciiTheme="majorBidi" w:hAnsiTheme="majorBidi" w:cstheme="majorBidi"/>
          <w:sz w:val="20"/>
          <w:szCs w:val="20"/>
          <w:lang w:val="es-ES"/>
        </w:rPr>
        <w:t>asistencia</w:t>
      </w:r>
      <w:r w:rsidRPr="001843DF">
        <w:rPr>
          <w:rFonts w:asciiTheme="majorBidi" w:hAnsiTheme="majorBidi" w:cstheme="majorBidi"/>
          <w:sz w:val="20"/>
          <w:szCs w:val="20"/>
          <w:lang w:val="es-ES"/>
        </w:rPr>
        <w:t xml:space="preserve"> contribuye a los esfuerzos de las autoridades para </w:t>
      </w:r>
      <w:r w:rsidRPr="00A842B7">
        <w:rPr>
          <w:rFonts w:asciiTheme="majorBidi" w:hAnsiTheme="majorBidi" w:cstheme="majorBidi"/>
          <w:sz w:val="20"/>
          <w:szCs w:val="20"/>
          <w:lang w:val="es-ES"/>
        </w:rPr>
        <w:t>permitir un mayor cumplimiento de las políticas y prácticas con las normas y estándares internacionales de derechos humanos.</w:t>
      </w:r>
    </w:p>
    <w:p w14:paraId="6D5CF085" w14:textId="77777777" w:rsidR="00E444D5" w:rsidRDefault="00E444D5" w:rsidP="007D32A8">
      <w:pPr>
        <w:pStyle w:val="ListParagraph"/>
        <w:ind w:left="1170" w:right="1170" w:hanging="36"/>
        <w:rPr>
          <w:rFonts w:asciiTheme="majorBidi" w:hAnsiTheme="majorBidi" w:cstheme="majorBidi"/>
          <w:sz w:val="20"/>
          <w:szCs w:val="20"/>
          <w:lang w:val="es-ES"/>
        </w:rPr>
      </w:pPr>
    </w:p>
    <w:p w14:paraId="21841707" w14:textId="77777777" w:rsidR="00E444D5" w:rsidRPr="00A842B7"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A842B7">
        <w:rPr>
          <w:rFonts w:asciiTheme="majorBidi" w:hAnsiTheme="majorBidi" w:cstheme="majorBidi"/>
          <w:sz w:val="20"/>
          <w:szCs w:val="20"/>
          <w:lang w:val="es-ES"/>
        </w:rPr>
        <w:t xml:space="preserve">El 27 de junio de 2023, la Sala de Cuestiones Preliminares I de la Corte Penal Internacional emitió su decisión autorizando la reanudación de la investigación de conformidad con el artículo 18(2) del Estatuto de Roma, sobre la </w:t>
      </w:r>
      <w:r w:rsidRPr="00AC7973">
        <w:rPr>
          <w:rFonts w:asciiTheme="majorBidi" w:hAnsiTheme="majorBidi" w:cstheme="majorBidi"/>
          <w:i/>
          <w:iCs/>
          <w:sz w:val="20"/>
          <w:szCs w:val="20"/>
          <w:lang w:val="es-ES"/>
        </w:rPr>
        <w:t xml:space="preserve">Situación en la República </w:t>
      </w:r>
      <w:r w:rsidRPr="00AC7973">
        <w:rPr>
          <w:rFonts w:asciiTheme="majorBidi" w:hAnsiTheme="majorBidi" w:cstheme="majorBidi"/>
          <w:i/>
          <w:iCs/>
          <w:sz w:val="20"/>
          <w:szCs w:val="20"/>
          <w:lang w:val="es-ES"/>
        </w:rPr>
        <w:lastRenderedPageBreak/>
        <w:t>Bolivariana de Venezuela I</w:t>
      </w:r>
      <w:r w:rsidRPr="00A842B7">
        <w:rPr>
          <w:rFonts w:asciiTheme="majorBidi" w:hAnsiTheme="majorBidi" w:cstheme="majorBidi"/>
          <w:sz w:val="20"/>
          <w:szCs w:val="20"/>
          <w:lang w:val="es-ES"/>
        </w:rPr>
        <w:t xml:space="preserve">. Esta decisión fue confirmada por la Sala de Apelaciones el 1 de marzo de 2024. El 9 de junio de 2023, </w:t>
      </w:r>
      <w:r>
        <w:rPr>
          <w:rFonts w:asciiTheme="majorBidi" w:hAnsiTheme="majorBidi" w:cstheme="majorBidi"/>
          <w:sz w:val="20"/>
          <w:szCs w:val="20"/>
          <w:lang w:val="es-ES"/>
        </w:rPr>
        <w:t>el</w:t>
      </w:r>
      <w:r w:rsidRPr="00A842B7">
        <w:rPr>
          <w:rFonts w:asciiTheme="majorBidi" w:hAnsiTheme="majorBidi" w:cstheme="majorBidi"/>
          <w:sz w:val="20"/>
          <w:szCs w:val="20"/>
          <w:lang w:val="es-ES"/>
        </w:rPr>
        <w:t xml:space="preserve"> Fiscal de la Corte Penal Internacional renovó su memorando de entendimiento con el Gobierno de Venezuela, esbozando una serie de </w:t>
      </w:r>
      <w:r>
        <w:rPr>
          <w:rFonts w:asciiTheme="majorBidi" w:hAnsiTheme="majorBidi" w:cstheme="majorBidi"/>
          <w:sz w:val="20"/>
          <w:szCs w:val="20"/>
          <w:lang w:val="es-ES"/>
        </w:rPr>
        <w:t>áreas</w:t>
      </w:r>
      <w:r w:rsidRPr="00A842B7">
        <w:rPr>
          <w:rFonts w:asciiTheme="majorBidi" w:hAnsiTheme="majorBidi" w:cstheme="majorBidi"/>
          <w:sz w:val="20"/>
          <w:szCs w:val="20"/>
          <w:lang w:val="es-ES"/>
        </w:rPr>
        <w:t xml:space="preserve"> prioritarias de asistencia técnica a las autoridades venezolanas, en consonancia con el principio de rendición de cuentas.</w:t>
      </w:r>
      <w:r>
        <w:rPr>
          <w:rStyle w:val="FootnoteReference"/>
          <w:rFonts w:cstheme="majorBidi"/>
          <w:szCs w:val="20"/>
          <w:lang w:val="es-ES"/>
        </w:rPr>
        <w:footnoteReference w:id="85"/>
      </w:r>
      <w:r w:rsidRPr="00A842B7">
        <w:rPr>
          <w:rFonts w:asciiTheme="majorBidi" w:hAnsiTheme="majorBidi" w:cstheme="majorBidi"/>
          <w:sz w:val="20"/>
          <w:szCs w:val="20"/>
          <w:lang w:val="es-ES"/>
        </w:rPr>
        <w:t xml:space="preserve"> El ACNUDH alienta a las autoridades</w:t>
      </w:r>
      <w:r>
        <w:rPr>
          <w:rFonts w:asciiTheme="majorBidi" w:hAnsiTheme="majorBidi" w:cstheme="majorBidi"/>
          <w:sz w:val="20"/>
          <w:szCs w:val="20"/>
          <w:lang w:val="es-ES"/>
        </w:rPr>
        <w:t xml:space="preserve"> Venezuela</w:t>
      </w:r>
      <w:r w:rsidRPr="00A842B7">
        <w:rPr>
          <w:rFonts w:asciiTheme="majorBidi" w:hAnsiTheme="majorBidi" w:cstheme="majorBidi"/>
          <w:sz w:val="20"/>
          <w:szCs w:val="20"/>
          <w:lang w:val="es-ES"/>
        </w:rPr>
        <w:t xml:space="preserve"> a </w:t>
      </w:r>
      <w:r w:rsidRPr="00A00453">
        <w:rPr>
          <w:rFonts w:asciiTheme="majorBidi" w:hAnsiTheme="majorBidi" w:cstheme="majorBidi"/>
          <w:sz w:val="20"/>
          <w:szCs w:val="20"/>
          <w:lang w:val="es-ES"/>
        </w:rPr>
        <w:t>proseguir su cooperación con la Fiscalía de la Corte Penal Internacional en el marco del Estatuto de Roma y la aplicación de los memorandos de entendimiento celebrados entre el Gobierno y la Fiscalía</w:t>
      </w:r>
      <w:r w:rsidRPr="00A842B7">
        <w:rPr>
          <w:rFonts w:asciiTheme="majorBidi" w:hAnsiTheme="majorBidi" w:cstheme="majorBidi"/>
          <w:sz w:val="20"/>
          <w:szCs w:val="20"/>
          <w:lang w:val="es-ES"/>
        </w:rPr>
        <w:t>.</w:t>
      </w:r>
    </w:p>
    <w:p w14:paraId="7BD5371A" w14:textId="2F634F0A" w:rsidR="00E444D5" w:rsidRDefault="00E444D5" w:rsidP="007D32A8">
      <w:pPr>
        <w:pStyle w:val="H1G"/>
        <w:numPr>
          <w:ilvl w:val="0"/>
          <w:numId w:val="32"/>
        </w:numPr>
        <w:tabs>
          <w:tab w:val="clear" w:pos="851"/>
          <w:tab w:val="right" w:pos="1134"/>
        </w:tabs>
        <w:ind w:hanging="579"/>
      </w:pPr>
      <w:r>
        <w:t>Detención y el derecho a la libertad y a la seguridad de una persona</w:t>
      </w:r>
    </w:p>
    <w:p w14:paraId="1D10EBA9"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Entre septiembre y noviembre de 2023, las fuerzas de seguridad del Estado lanzaron la operación «Gran Cacique Guaicaipuro» en siete centros de detención de régimen abierto «para reestructurar y contrarrestar las redes de delincuencia organizada que controlaban estos centros.» Esta operación resultó en el traslado de 8.239 reclusos (todos hombres).</w:t>
      </w:r>
      <w:r>
        <w:rPr>
          <w:rStyle w:val="FootnoteReference"/>
          <w:rFonts w:cstheme="majorBidi"/>
          <w:szCs w:val="20"/>
          <w:lang w:val="es-ES"/>
        </w:rPr>
        <w:footnoteReference w:id="86"/>
      </w:r>
      <w:r w:rsidRPr="00E2545B">
        <w:rPr>
          <w:rFonts w:asciiTheme="majorBidi" w:hAnsiTheme="majorBidi" w:cstheme="majorBidi"/>
          <w:sz w:val="20"/>
          <w:szCs w:val="20"/>
          <w:lang w:val="es-ES"/>
        </w:rPr>
        <w:t xml:space="preserve">  La Oficina reconoce la necesidad de realizar esfuerzos para asegurar el control estatal de las prisiones que habían sido en gran parte autogestionadas, fuera de la jurisdicción del Ministerio de Servicios Penitenciarios. La Oficina observa que estos traslados han </w:t>
      </w:r>
      <w:r>
        <w:rPr>
          <w:rFonts w:asciiTheme="majorBidi" w:hAnsiTheme="majorBidi" w:cstheme="majorBidi"/>
          <w:sz w:val="20"/>
          <w:szCs w:val="20"/>
          <w:lang w:val="es-ES"/>
        </w:rPr>
        <w:t>levantado</w:t>
      </w:r>
      <w:r w:rsidRPr="00E2545B">
        <w:rPr>
          <w:rFonts w:asciiTheme="majorBidi" w:hAnsiTheme="majorBidi" w:cstheme="majorBidi"/>
          <w:sz w:val="20"/>
          <w:szCs w:val="20"/>
          <w:lang w:val="es-ES"/>
        </w:rPr>
        <w:t xml:space="preserve"> preocupación por los riesgos de </w:t>
      </w:r>
      <w:r w:rsidRPr="00063398">
        <w:rPr>
          <w:rFonts w:asciiTheme="majorBidi" w:hAnsiTheme="majorBidi" w:cstheme="majorBidi"/>
          <w:sz w:val="20"/>
          <w:szCs w:val="20"/>
          <w:lang w:val="es-ES"/>
        </w:rPr>
        <w:t>hacinamiento en los centros receptores y por el impacto en el derecho al debido proceso, incluyendo lo relativo a la notificación y al acceso a abogados y familiares.</w:t>
      </w:r>
    </w:p>
    <w:p w14:paraId="2D2D76BB" w14:textId="77777777" w:rsidR="00E444D5" w:rsidRPr="00063398" w:rsidRDefault="00E444D5" w:rsidP="007D32A8">
      <w:pPr>
        <w:pStyle w:val="ListParagraph"/>
        <w:ind w:left="1170" w:right="1170" w:hanging="36"/>
        <w:rPr>
          <w:rFonts w:asciiTheme="majorBidi" w:hAnsiTheme="majorBidi" w:cstheme="majorBidi"/>
          <w:sz w:val="20"/>
          <w:szCs w:val="20"/>
          <w:lang w:val="es-ES"/>
        </w:rPr>
      </w:pPr>
    </w:p>
    <w:p w14:paraId="4430B096"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Pr>
          <w:rFonts w:asciiTheme="majorBidi" w:hAnsiTheme="majorBidi" w:cstheme="majorBidi"/>
          <w:sz w:val="20"/>
          <w:szCs w:val="20"/>
          <w:lang w:val="es-ES"/>
        </w:rPr>
        <w:t xml:space="preserve">El </w:t>
      </w:r>
      <w:r w:rsidRPr="00063398">
        <w:rPr>
          <w:rFonts w:asciiTheme="majorBidi" w:hAnsiTheme="majorBidi" w:cstheme="majorBidi"/>
          <w:sz w:val="20"/>
          <w:szCs w:val="20"/>
          <w:lang w:val="es-ES"/>
        </w:rPr>
        <w:t>ACNUDH documentó 11 casos de intimidación y malos tratos a familiares y abogados de personas privadas de libertad</w:t>
      </w:r>
      <w:r>
        <w:rPr>
          <w:rFonts w:asciiTheme="majorBidi" w:hAnsiTheme="majorBidi" w:cstheme="majorBidi"/>
          <w:sz w:val="20"/>
          <w:szCs w:val="20"/>
          <w:lang w:val="es-ES"/>
        </w:rPr>
        <w:t xml:space="preserve"> por funcionarios públicos no identificados</w:t>
      </w:r>
      <w:r w:rsidRPr="00063398">
        <w:rPr>
          <w:rFonts w:asciiTheme="majorBidi" w:hAnsiTheme="majorBidi" w:cstheme="majorBidi"/>
          <w:sz w:val="20"/>
          <w:szCs w:val="20"/>
          <w:lang w:val="es-ES"/>
        </w:rPr>
        <w:t xml:space="preserve">, y 10 casos de aislamiento de internos, en el contexto de traslados de internos al centro de detención de máxima seguridad Rodeo I en febrero y abril de 2024. </w:t>
      </w:r>
      <w:r>
        <w:rPr>
          <w:rFonts w:asciiTheme="majorBidi" w:hAnsiTheme="majorBidi" w:cstheme="majorBidi"/>
          <w:sz w:val="20"/>
          <w:szCs w:val="20"/>
          <w:lang w:val="es-ES"/>
        </w:rPr>
        <w:t>El</w:t>
      </w:r>
      <w:r w:rsidRPr="00063398" w:rsidDel="00D43073">
        <w:rPr>
          <w:rFonts w:asciiTheme="majorBidi" w:hAnsiTheme="majorBidi" w:cstheme="majorBidi"/>
          <w:sz w:val="20"/>
          <w:szCs w:val="20"/>
          <w:lang w:val="es-ES"/>
        </w:rPr>
        <w:t xml:space="preserve"> </w:t>
      </w:r>
      <w:r w:rsidRPr="00063398">
        <w:rPr>
          <w:rFonts w:asciiTheme="majorBidi" w:hAnsiTheme="majorBidi" w:cstheme="majorBidi"/>
          <w:sz w:val="20"/>
          <w:szCs w:val="20"/>
          <w:lang w:val="es-ES"/>
        </w:rPr>
        <w:t xml:space="preserve">ACNUDH observa con preocupación la falta de </w:t>
      </w:r>
      <w:r>
        <w:rPr>
          <w:rFonts w:asciiTheme="majorBidi" w:hAnsiTheme="majorBidi" w:cstheme="majorBidi"/>
          <w:sz w:val="20"/>
          <w:szCs w:val="20"/>
          <w:lang w:val="es-ES"/>
        </w:rPr>
        <w:t>identificación de</w:t>
      </w:r>
      <w:r w:rsidRPr="00063398">
        <w:rPr>
          <w:rFonts w:asciiTheme="majorBidi" w:hAnsiTheme="majorBidi" w:cstheme="majorBidi"/>
          <w:sz w:val="20"/>
          <w:szCs w:val="20"/>
          <w:lang w:val="es-ES"/>
        </w:rPr>
        <w:t xml:space="preserve"> </w:t>
      </w:r>
      <w:r>
        <w:rPr>
          <w:rFonts w:asciiTheme="majorBidi" w:hAnsiTheme="majorBidi" w:cstheme="majorBidi"/>
          <w:sz w:val="20"/>
          <w:szCs w:val="20"/>
          <w:lang w:val="es-ES"/>
        </w:rPr>
        <w:t>los</w:t>
      </w:r>
      <w:r w:rsidRPr="00063398">
        <w:rPr>
          <w:rFonts w:asciiTheme="majorBidi" w:hAnsiTheme="majorBidi" w:cstheme="majorBidi"/>
          <w:sz w:val="20"/>
          <w:szCs w:val="20"/>
          <w:lang w:val="es-ES"/>
        </w:rPr>
        <w:t xml:space="preserve"> responsables.</w:t>
      </w:r>
    </w:p>
    <w:p w14:paraId="1AF33D5E" w14:textId="77777777" w:rsidR="00E444D5" w:rsidRPr="00063398" w:rsidRDefault="00E444D5" w:rsidP="007D32A8">
      <w:pPr>
        <w:pStyle w:val="ListParagraph"/>
        <w:ind w:left="1170" w:right="1170" w:hanging="36"/>
        <w:rPr>
          <w:rFonts w:asciiTheme="majorBidi" w:hAnsiTheme="majorBidi" w:cstheme="majorBidi"/>
          <w:sz w:val="20"/>
          <w:szCs w:val="20"/>
          <w:lang w:val="es-ES"/>
        </w:rPr>
      </w:pPr>
    </w:p>
    <w:p w14:paraId="0085EE95"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 xml:space="preserve">En ambos traslados, Rodeo I y «Gran Cacique Guaicaipuro», los familiares y abogados de las personas privadas de libertad no habrían sido notificados de los traslados, ni de los nuevos lugares de detención, lo que podría equivaler a desapariciones forzadas. </w:t>
      </w:r>
      <w:r>
        <w:rPr>
          <w:rFonts w:asciiTheme="majorBidi" w:hAnsiTheme="majorBidi" w:cstheme="majorBidi"/>
          <w:sz w:val="20"/>
          <w:szCs w:val="20"/>
          <w:lang w:val="es-ES"/>
        </w:rPr>
        <w:t>El ACNU</w:t>
      </w:r>
      <w:r w:rsidRPr="00E2545B">
        <w:rPr>
          <w:rFonts w:asciiTheme="majorBidi" w:hAnsiTheme="majorBidi" w:cstheme="majorBidi"/>
          <w:sz w:val="20"/>
          <w:szCs w:val="20"/>
          <w:lang w:val="es-ES"/>
        </w:rPr>
        <w:t>DH también recibió denuncias de malos tratos a los reclusos, como parte de estos traslados.</w:t>
      </w:r>
    </w:p>
    <w:p w14:paraId="2D1E7CC8" w14:textId="77777777" w:rsidR="00E444D5" w:rsidRPr="00E2545B" w:rsidRDefault="00E444D5" w:rsidP="007D32A8">
      <w:pPr>
        <w:pStyle w:val="ListParagraph"/>
        <w:ind w:left="1170" w:right="1170" w:hanging="36"/>
        <w:rPr>
          <w:rFonts w:asciiTheme="majorBidi" w:hAnsiTheme="majorBidi" w:cstheme="majorBidi"/>
          <w:sz w:val="20"/>
          <w:szCs w:val="20"/>
          <w:lang w:val="es-ES"/>
        </w:rPr>
      </w:pPr>
    </w:p>
    <w:p w14:paraId="05A5D668"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7E20AF1E">
        <w:rPr>
          <w:rFonts w:asciiTheme="majorBidi" w:hAnsiTheme="majorBidi" w:cstheme="majorBidi"/>
          <w:sz w:val="20"/>
          <w:szCs w:val="20"/>
          <w:lang w:val="es-ES"/>
        </w:rPr>
        <w:t xml:space="preserve">El ACNUDH tomó nota de la puesta en libertad de al menos 63 personas detenidas arbitrariamente durante el período que abarca el informe, entre ellas nueve mujeres, así como diez hombres que fueron objeto de una opinión emitida por el Grupo de Trabajo sobre la Detención Arbitraria, ocho de los cuales son militares o exmilitares. El ACNUDH pide a las autoridades que adopten medidas para cumplir </w:t>
      </w:r>
      <w:r>
        <w:rPr>
          <w:rFonts w:asciiTheme="majorBidi" w:hAnsiTheme="majorBidi" w:cstheme="majorBidi"/>
          <w:sz w:val="20"/>
          <w:szCs w:val="20"/>
          <w:lang w:val="es-ES"/>
        </w:rPr>
        <w:t xml:space="preserve">con </w:t>
      </w:r>
      <w:r w:rsidRPr="7E20AF1E">
        <w:rPr>
          <w:rFonts w:asciiTheme="majorBidi" w:hAnsiTheme="majorBidi" w:cstheme="majorBidi"/>
          <w:sz w:val="20"/>
          <w:szCs w:val="20"/>
          <w:lang w:val="es-ES"/>
        </w:rPr>
        <w:t xml:space="preserve">las decisiones </w:t>
      </w:r>
      <w:r>
        <w:rPr>
          <w:rFonts w:asciiTheme="majorBidi" w:hAnsiTheme="majorBidi" w:cstheme="majorBidi"/>
          <w:sz w:val="20"/>
          <w:szCs w:val="20"/>
          <w:lang w:val="es-ES"/>
        </w:rPr>
        <w:t>d</w:t>
      </w:r>
      <w:r w:rsidRPr="7E20AF1E">
        <w:rPr>
          <w:rFonts w:asciiTheme="majorBidi" w:hAnsiTheme="majorBidi" w:cstheme="majorBidi"/>
          <w:sz w:val="20"/>
          <w:szCs w:val="20"/>
          <w:lang w:val="es-ES"/>
        </w:rPr>
        <w:t xml:space="preserve">el Grupo de Trabajo, </w:t>
      </w:r>
      <w:r>
        <w:rPr>
          <w:rFonts w:asciiTheme="majorBidi" w:hAnsiTheme="majorBidi" w:cstheme="majorBidi"/>
          <w:sz w:val="20"/>
          <w:szCs w:val="20"/>
          <w:lang w:val="es-ES"/>
        </w:rPr>
        <w:t>incluido</w:t>
      </w:r>
      <w:r w:rsidRPr="7E20AF1E">
        <w:rPr>
          <w:rFonts w:asciiTheme="majorBidi" w:hAnsiTheme="majorBidi" w:cstheme="majorBidi"/>
          <w:sz w:val="20"/>
          <w:szCs w:val="20"/>
          <w:lang w:val="es-ES"/>
        </w:rPr>
        <w:t xml:space="preserve"> con respecto a la puesta en libertad de otras diez personas actualmente detenidas.</w:t>
      </w:r>
    </w:p>
    <w:p w14:paraId="461F1947" w14:textId="77777777" w:rsidR="00E444D5" w:rsidRPr="00E2545B" w:rsidRDefault="00E444D5" w:rsidP="00E444D5">
      <w:pPr>
        <w:pStyle w:val="ListParagraph"/>
        <w:ind w:left="1170" w:right="1170"/>
        <w:rPr>
          <w:rFonts w:asciiTheme="majorBidi" w:hAnsiTheme="majorBidi" w:cstheme="majorBidi"/>
          <w:sz w:val="20"/>
          <w:szCs w:val="20"/>
          <w:lang w:val="es-ES"/>
        </w:rPr>
      </w:pPr>
    </w:p>
    <w:p w14:paraId="3219918C"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 xml:space="preserve">Durante el período que se examina, el ACNUDH documentó </w:t>
      </w:r>
      <w:r>
        <w:rPr>
          <w:rFonts w:asciiTheme="majorBidi" w:hAnsiTheme="majorBidi" w:cstheme="majorBidi"/>
          <w:sz w:val="20"/>
          <w:szCs w:val="20"/>
          <w:lang w:val="es-ES"/>
        </w:rPr>
        <w:t>la</w:t>
      </w:r>
      <w:r w:rsidRPr="00E2545B">
        <w:rPr>
          <w:rFonts w:asciiTheme="majorBidi" w:hAnsiTheme="majorBidi" w:cstheme="majorBidi"/>
          <w:sz w:val="20"/>
          <w:szCs w:val="20"/>
          <w:lang w:val="es-ES"/>
        </w:rPr>
        <w:t xml:space="preserve"> detención arbitraria</w:t>
      </w:r>
      <w:r>
        <w:rPr>
          <w:rFonts w:asciiTheme="majorBidi" w:hAnsiTheme="majorBidi" w:cstheme="majorBidi"/>
          <w:sz w:val="20"/>
          <w:szCs w:val="20"/>
          <w:lang w:val="es-ES"/>
        </w:rPr>
        <w:t xml:space="preserve"> de 28 personas</w:t>
      </w:r>
      <w:r w:rsidRPr="00E2545B">
        <w:rPr>
          <w:rFonts w:asciiTheme="majorBidi" w:hAnsiTheme="majorBidi" w:cstheme="majorBidi"/>
          <w:sz w:val="20"/>
          <w:szCs w:val="20"/>
          <w:lang w:val="es-ES"/>
        </w:rPr>
        <w:t xml:space="preserve">, incluidas cinco mujeres, que </w:t>
      </w:r>
      <w:r>
        <w:rPr>
          <w:rFonts w:asciiTheme="majorBidi" w:hAnsiTheme="majorBidi" w:cstheme="majorBidi"/>
          <w:sz w:val="20"/>
          <w:szCs w:val="20"/>
          <w:lang w:val="es-ES"/>
        </w:rPr>
        <w:t>fueron sometidas a</w:t>
      </w:r>
      <w:r w:rsidRPr="00E2545B">
        <w:rPr>
          <w:rFonts w:asciiTheme="majorBidi" w:hAnsiTheme="majorBidi" w:cstheme="majorBidi"/>
          <w:sz w:val="20"/>
          <w:szCs w:val="20"/>
          <w:lang w:val="es-ES"/>
        </w:rPr>
        <w:t xml:space="preserve"> desapariciones forzadas por períodos que oscilaron entre dos y 41 días. En al menos nueve casos, se presentaron ante los tribunales recursos de hábeas corpus u otros recursos constitucionales en relación con las desapariciones forzadas, pero no se les dio respuesta o </w:t>
      </w:r>
      <w:r>
        <w:rPr>
          <w:rFonts w:asciiTheme="majorBidi" w:hAnsiTheme="majorBidi" w:cstheme="majorBidi"/>
          <w:sz w:val="20"/>
          <w:szCs w:val="20"/>
          <w:lang w:val="es-ES"/>
        </w:rPr>
        <w:t xml:space="preserve">fueron declarados </w:t>
      </w:r>
      <w:r w:rsidRPr="00E2545B">
        <w:rPr>
          <w:rFonts w:asciiTheme="majorBidi" w:hAnsiTheme="majorBidi" w:cstheme="majorBidi"/>
          <w:sz w:val="20"/>
          <w:szCs w:val="20"/>
          <w:lang w:val="es-ES"/>
        </w:rPr>
        <w:t>inadmisibles. De los 28</w:t>
      </w:r>
      <w:r>
        <w:rPr>
          <w:rFonts w:asciiTheme="majorBidi" w:hAnsiTheme="majorBidi" w:cstheme="majorBidi"/>
          <w:sz w:val="20"/>
          <w:szCs w:val="20"/>
          <w:lang w:val="es-ES"/>
        </w:rPr>
        <w:t xml:space="preserve"> casos</w:t>
      </w:r>
      <w:r w:rsidRPr="00E2545B">
        <w:rPr>
          <w:rFonts w:asciiTheme="majorBidi" w:hAnsiTheme="majorBidi" w:cstheme="majorBidi"/>
          <w:sz w:val="20"/>
          <w:szCs w:val="20"/>
          <w:lang w:val="es-ES"/>
        </w:rPr>
        <w:t xml:space="preserve">, 23 </w:t>
      </w:r>
      <w:r>
        <w:rPr>
          <w:rFonts w:asciiTheme="majorBidi" w:hAnsiTheme="majorBidi" w:cstheme="majorBidi"/>
          <w:sz w:val="20"/>
          <w:szCs w:val="20"/>
          <w:lang w:val="es-ES"/>
        </w:rPr>
        <w:t xml:space="preserve">de las detenciones </w:t>
      </w:r>
      <w:r w:rsidRPr="00E2545B">
        <w:rPr>
          <w:rFonts w:asciiTheme="majorBidi" w:hAnsiTheme="majorBidi" w:cstheme="majorBidi"/>
          <w:sz w:val="20"/>
          <w:szCs w:val="20"/>
          <w:lang w:val="es-ES"/>
        </w:rPr>
        <w:t xml:space="preserve">habrían sido perpetrados por agentes de los Servicios Bolivarianos de Inteligencia Nacional y de la Dirección de Contrainteligencia Militar, y 10 </w:t>
      </w:r>
      <w:r>
        <w:rPr>
          <w:rFonts w:asciiTheme="majorBidi" w:hAnsiTheme="majorBidi" w:cstheme="majorBidi"/>
          <w:sz w:val="20"/>
          <w:szCs w:val="20"/>
          <w:lang w:val="es-ES"/>
        </w:rPr>
        <w:t xml:space="preserve">detenidos </w:t>
      </w:r>
      <w:r w:rsidRPr="00E2545B">
        <w:rPr>
          <w:rFonts w:asciiTheme="majorBidi" w:hAnsiTheme="majorBidi" w:cstheme="majorBidi"/>
          <w:sz w:val="20"/>
          <w:szCs w:val="20"/>
          <w:lang w:val="es-ES"/>
        </w:rPr>
        <w:t xml:space="preserve">habrían </w:t>
      </w:r>
      <w:r>
        <w:rPr>
          <w:rFonts w:asciiTheme="majorBidi" w:hAnsiTheme="majorBidi" w:cstheme="majorBidi"/>
          <w:sz w:val="20"/>
          <w:szCs w:val="20"/>
          <w:lang w:val="es-ES"/>
        </w:rPr>
        <w:t>sido sometidos a tortura o a malos tratos</w:t>
      </w:r>
      <w:r w:rsidRPr="00E2545B">
        <w:rPr>
          <w:rFonts w:asciiTheme="majorBidi" w:hAnsiTheme="majorBidi" w:cstheme="majorBidi"/>
          <w:sz w:val="20"/>
          <w:szCs w:val="20"/>
          <w:lang w:val="es-ES"/>
        </w:rPr>
        <w:t xml:space="preserve">. El ACNUDH se hace eco de las opiniones expresadas por </w:t>
      </w:r>
      <w:r>
        <w:rPr>
          <w:rFonts w:asciiTheme="majorBidi" w:hAnsiTheme="majorBidi" w:cstheme="majorBidi"/>
          <w:sz w:val="20"/>
          <w:szCs w:val="20"/>
          <w:lang w:val="es-ES"/>
        </w:rPr>
        <w:t xml:space="preserve">mecanismos de derechos humanos de la ONU como </w:t>
      </w:r>
      <w:r w:rsidRPr="00E2545B">
        <w:rPr>
          <w:rFonts w:asciiTheme="majorBidi" w:hAnsiTheme="majorBidi" w:cstheme="majorBidi"/>
          <w:sz w:val="20"/>
          <w:szCs w:val="20"/>
          <w:lang w:val="es-ES"/>
        </w:rPr>
        <w:t>el Grupo de Trabajo sobre Desapariciones Involuntarias o Forzadas en el sentido de que no existe un límite de tiempo para que se produzca una desaparición forzada y que la duración no tiene ninguna repercusión en la gravedad del delito</w:t>
      </w:r>
      <w:r>
        <w:rPr>
          <w:rStyle w:val="FootnoteReference"/>
          <w:rFonts w:cstheme="majorBidi"/>
          <w:szCs w:val="20"/>
          <w:lang w:val="es-ES"/>
        </w:rPr>
        <w:footnoteReference w:id="87"/>
      </w:r>
      <w:r w:rsidRPr="00E2545B">
        <w:rPr>
          <w:rFonts w:asciiTheme="majorBidi" w:hAnsiTheme="majorBidi" w:cstheme="majorBidi"/>
          <w:sz w:val="20"/>
          <w:szCs w:val="20"/>
          <w:lang w:val="es-ES"/>
        </w:rPr>
        <w:t xml:space="preserve"> ni en el daño causado.</w:t>
      </w:r>
      <w:r>
        <w:rPr>
          <w:rStyle w:val="FootnoteReference"/>
          <w:rFonts w:cstheme="majorBidi"/>
          <w:szCs w:val="20"/>
          <w:lang w:val="es-ES"/>
        </w:rPr>
        <w:footnoteReference w:id="88"/>
      </w:r>
    </w:p>
    <w:p w14:paraId="19F17470" w14:textId="77777777" w:rsidR="00E444D5" w:rsidRPr="00E2545B" w:rsidRDefault="00E444D5" w:rsidP="007D32A8">
      <w:pPr>
        <w:pStyle w:val="ListParagraph"/>
        <w:ind w:left="1170" w:right="1170" w:hanging="36"/>
        <w:rPr>
          <w:rFonts w:asciiTheme="majorBidi" w:hAnsiTheme="majorBidi" w:cstheme="majorBidi"/>
          <w:sz w:val="20"/>
          <w:szCs w:val="20"/>
          <w:lang w:val="es-ES"/>
        </w:rPr>
      </w:pPr>
    </w:p>
    <w:p w14:paraId="5F0CB897"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 xml:space="preserve">De 135 </w:t>
      </w:r>
      <w:r>
        <w:rPr>
          <w:rFonts w:asciiTheme="majorBidi" w:hAnsiTheme="majorBidi" w:cstheme="majorBidi"/>
          <w:sz w:val="20"/>
          <w:szCs w:val="20"/>
          <w:lang w:val="es-ES"/>
        </w:rPr>
        <w:t>personas, cuyos casos fueron</w:t>
      </w:r>
      <w:r w:rsidRPr="00E2545B">
        <w:rPr>
          <w:rFonts w:asciiTheme="majorBidi" w:hAnsiTheme="majorBidi" w:cstheme="majorBidi"/>
          <w:sz w:val="20"/>
          <w:szCs w:val="20"/>
          <w:lang w:val="es-ES"/>
        </w:rPr>
        <w:t xml:space="preserve"> previamente documentados por </w:t>
      </w:r>
      <w:r>
        <w:rPr>
          <w:rFonts w:asciiTheme="majorBidi" w:hAnsiTheme="majorBidi" w:cstheme="majorBidi"/>
          <w:sz w:val="20"/>
          <w:szCs w:val="20"/>
          <w:lang w:val="es-ES"/>
        </w:rPr>
        <w:t xml:space="preserve">el </w:t>
      </w:r>
      <w:r w:rsidRPr="00E2545B">
        <w:rPr>
          <w:rFonts w:asciiTheme="majorBidi" w:hAnsiTheme="majorBidi" w:cstheme="majorBidi"/>
          <w:sz w:val="20"/>
          <w:szCs w:val="20"/>
          <w:lang w:val="es-ES"/>
        </w:rPr>
        <w:t>ACNUDH</w:t>
      </w:r>
      <w:r>
        <w:rPr>
          <w:rFonts w:asciiTheme="majorBidi" w:hAnsiTheme="majorBidi" w:cstheme="majorBidi"/>
          <w:sz w:val="20"/>
          <w:szCs w:val="20"/>
          <w:lang w:val="es-ES"/>
        </w:rPr>
        <w:t>,</w:t>
      </w:r>
      <w:r w:rsidRPr="00E2545B">
        <w:rPr>
          <w:rFonts w:asciiTheme="majorBidi" w:hAnsiTheme="majorBidi" w:cstheme="majorBidi"/>
          <w:sz w:val="20"/>
          <w:szCs w:val="20"/>
          <w:lang w:val="es-ES"/>
        </w:rPr>
        <w:t xml:space="preserve"> que reunían las condiciones para ser objeto de medidas sustitutivas de la privación de </w:t>
      </w:r>
      <w:r w:rsidRPr="00E2545B">
        <w:rPr>
          <w:rFonts w:asciiTheme="majorBidi" w:hAnsiTheme="majorBidi" w:cstheme="majorBidi"/>
          <w:sz w:val="20"/>
          <w:szCs w:val="20"/>
          <w:lang w:val="es-ES"/>
        </w:rPr>
        <w:lastRenderedPageBreak/>
        <w:t>libertad en virtud del artículo 230 del Código Orgánico Procesal Penal,</w:t>
      </w:r>
      <w:r>
        <w:rPr>
          <w:rStyle w:val="FootnoteReference"/>
          <w:rFonts w:cstheme="majorBidi"/>
          <w:szCs w:val="20"/>
          <w:lang w:val="es-ES"/>
        </w:rPr>
        <w:footnoteReference w:id="89"/>
      </w:r>
      <w:r w:rsidRPr="00E2545B">
        <w:rPr>
          <w:rFonts w:asciiTheme="majorBidi" w:hAnsiTheme="majorBidi" w:cstheme="majorBidi"/>
          <w:sz w:val="20"/>
          <w:szCs w:val="20"/>
          <w:lang w:val="es-ES"/>
        </w:rPr>
        <w:t xml:space="preserve"> al menos 23</w:t>
      </w:r>
      <w:r>
        <w:rPr>
          <w:rFonts w:asciiTheme="majorBidi" w:hAnsiTheme="majorBidi" w:cstheme="majorBidi"/>
          <w:sz w:val="20"/>
          <w:szCs w:val="20"/>
          <w:lang w:val="es-ES"/>
        </w:rPr>
        <w:t xml:space="preserve"> personas</w:t>
      </w:r>
      <w:r w:rsidRPr="00E2545B">
        <w:rPr>
          <w:rFonts w:asciiTheme="majorBidi" w:hAnsiTheme="majorBidi" w:cstheme="majorBidi"/>
          <w:sz w:val="20"/>
          <w:szCs w:val="20"/>
          <w:lang w:val="es-ES"/>
        </w:rPr>
        <w:t xml:space="preserve"> fueron condenad</w:t>
      </w:r>
      <w:r>
        <w:rPr>
          <w:rFonts w:asciiTheme="majorBidi" w:hAnsiTheme="majorBidi" w:cstheme="majorBidi"/>
          <w:sz w:val="20"/>
          <w:szCs w:val="20"/>
          <w:lang w:val="es-ES"/>
        </w:rPr>
        <w:t>a</w:t>
      </w:r>
      <w:r w:rsidRPr="00E2545B">
        <w:rPr>
          <w:rFonts w:asciiTheme="majorBidi" w:hAnsiTheme="majorBidi" w:cstheme="majorBidi"/>
          <w:sz w:val="20"/>
          <w:szCs w:val="20"/>
          <w:lang w:val="es-ES"/>
        </w:rPr>
        <w:t xml:space="preserve">s durante el período que abarca este informe, y al menos 81 siguen siendo juzgados. En este mismo período, al menos 19 </w:t>
      </w:r>
      <w:r>
        <w:rPr>
          <w:rFonts w:asciiTheme="majorBidi" w:hAnsiTheme="majorBidi" w:cstheme="majorBidi"/>
          <w:sz w:val="20"/>
          <w:szCs w:val="20"/>
          <w:lang w:val="es-ES"/>
        </w:rPr>
        <w:t xml:space="preserve">personas </w:t>
      </w:r>
      <w:r w:rsidRPr="00E2545B">
        <w:rPr>
          <w:rFonts w:asciiTheme="majorBidi" w:hAnsiTheme="majorBidi" w:cstheme="majorBidi"/>
          <w:sz w:val="20"/>
          <w:szCs w:val="20"/>
          <w:lang w:val="es-ES"/>
        </w:rPr>
        <w:t>fueron puest</w:t>
      </w:r>
      <w:r>
        <w:rPr>
          <w:rFonts w:asciiTheme="majorBidi" w:hAnsiTheme="majorBidi" w:cstheme="majorBidi"/>
          <w:sz w:val="20"/>
          <w:szCs w:val="20"/>
          <w:lang w:val="es-ES"/>
        </w:rPr>
        <w:t>a</w:t>
      </w:r>
      <w:r w:rsidRPr="00E2545B">
        <w:rPr>
          <w:rFonts w:asciiTheme="majorBidi" w:hAnsiTheme="majorBidi" w:cstheme="majorBidi"/>
          <w:sz w:val="20"/>
          <w:szCs w:val="20"/>
          <w:lang w:val="es-ES"/>
        </w:rPr>
        <w:t xml:space="preserve">s en libertad, aunque </w:t>
      </w:r>
      <w:r>
        <w:rPr>
          <w:rFonts w:asciiTheme="majorBidi" w:hAnsiTheme="majorBidi" w:cstheme="majorBidi"/>
          <w:sz w:val="20"/>
          <w:szCs w:val="20"/>
          <w:lang w:val="es-ES"/>
        </w:rPr>
        <w:t xml:space="preserve">el </w:t>
      </w:r>
      <w:r w:rsidRPr="00E2545B">
        <w:rPr>
          <w:rFonts w:asciiTheme="majorBidi" w:hAnsiTheme="majorBidi" w:cstheme="majorBidi"/>
          <w:sz w:val="20"/>
          <w:szCs w:val="20"/>
          <w:lang w:val="es-ES"/>
        </w:rPr>
        <w:t xml:space="preserve">ACNUDH no documentó la aplicación del Art. 230 como motivo de la puesta en libertad. En general, durante el período que abarca este informe, </w:t>
      </w:r>
      <w:r>
        <w:rPr>
          <w:rFonts w:asciiTheme="majorBidi" w:hAnsiTheme="majorBidi" w:cstheme="majorBidi"/>
          <w:sz w:val="20"/>
          <w:szCs w:val="20"/>
          <w:lang w:val="es-ES"/>
        </w:rPr>
        <w:t xml:space="preserve">el ACNUDH documentó </w:t>
      </w:r>
      <w:r w:rsidRPr="00E2545B">
        <w:rPr>
          <w:rFonts w:asciiTheme="majorBidi" w:hAnsiTheme="majorBidi" w:cstheme="majorBidi"/>
          <w:sz w:val="20"/>
          <w:szCs w:val="20"/>
          <w:lang w:val="es-ES"/>
        </w:rPr>
        <w:t xml:space="preserve">al menos 106 casos </w:t>
      </w:r>
      <w:r>
        <w:rPr>
          <w:rFonts w:asciiTheme="majorBidi" w:hAnsiTheme="majorBidi" w:cstheme="majorBidi"/>
          <w:sz w:val="20"/>
          <w:szCs w:val="20"/>
          <w:lang w:val="es-ES"/>
        </w:rPr>
        <w:t xml:space="preserve">que </w:t>
      </w:r>
      <w:r w:rsidRPr="00E2545B">
        <w:rPr>
          <w:rFonts w:asciiTheme="majorBidi" w:hAnsiTheme="majorBidi" w:cstheme="majorBidi"/>
          <w:sz w:val="20"/>
          <w:szCs w:val="20"/>
          <w:lang w:val="es-ES"/>
        </w:rPr>
        <w:t>podrían acogerse a medidas alternativas a la detención en virtud de este artículo, y siguió recibiendo información sobre retrasos y problemas de procedimiento en la aplicación y acreditación de los programas de remisión de penas.</w:t>
      </w:r>
    </w:p>
    <w:p w14:paraId="061252C6" w14:textId="77777777" w:rsidR="00E444D5" w:rsidRPr="00E2545B" w:rsidRDefault="00E444D5" w:rsidP="007D32A8">
      <w:pPr>
        <w:pStyle w:val="ListParagraph"/>
        <w:ind w:left="1170" w:right="1170" w:hanging="36"/>
        <w:rPr>
          <w:rFonts w:asciiTheme="majorBidi" w:hAnsiTheme="majorBidi" w:cstheme="majorBidi"/>
          <w:sz w:val="20"/>
          <w:szCs w:val="20"/>
          <w:lang w:val="es-ES"/>
        </w:rPr>
      </w:pPr>
    </w:p>
    <w:p w14:paraId="07FE2836"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 xml:space="preserve">El ACNUDH observó nuevos retrasos en la emisión y ejecución de las órdenes de puesta en libertad. </w:t>
      </w:r>
      <w:r>
        <w:rPr>
          <w:rFonts w:asciiTheme="majorBidi" w:hAnsiTheme="majorBidi" w:cstheme="majorBidi"/>
          <w:sz w:val="20"/>
          <w:szCs w:val="20"/>
          <w:lang w:val="es-ES"/>
        </w:rPr>
        <w:t>Diez personas</w:t>
      </w:r>
      <w:r w:rsidRPr="00E2545B">
        <w:rPr>
          <w:rFonts w:asciiTheme="majorBidi" w:hAnsiTheme="majorBidi" w:cstheme="majorBidi"/>
          <w:sz w:val="20"/>
          <w:szCs w:val="20"/>
          <w:lang w:val="es-ES"/>
        </w:rPr>
        <w:t xml:space="preserve"> detenid</w:t>
      </w:r>
      <w:r>
        <w:rPr>
          <w:rFonts w:asciiTheme="majorBidi" w:hAnsiTheme="majorBidi" w:cstheme="majorBidi"/>
          <w:sz w:val="20"/>
          <w:szCs w:val="20"/>
          <w:lang w:val="es-ES"/>
        </w:rPr>
        <w:t>a</w:t>
      </w:r>
      <w:r w:rsidRPr="00E2545B">
        <w:rPr>
          <w:rFonts w:asciiTheme="majorBidi" w:hAnsiTheme="majorBidi" w:cstheme="majorBidi"/>
          <w:sz w:val="20"/>
          <w:szCs w:val="20"/>
          <w:lang w:val="es-ES"/>
        </w:rPr>
        <w:t>s fueron retenid</w:t>
      </w:r>
      <w:r>
        <w:rPr>
          <w:rFonts w:asciiTheme="majorBidi" w:hAnsiTheme="majorBidi" w:cstheme="majorBidi"/>
          <w:sz w:val="20"/>
          <w:szCs w:val="20"/>
          <w:lang w:val="es-ES"/>
        </w:rPr>
        <w:t>a</w:t>
      </w:r>
      <w:r w:rsidRPr="00E2545B">
        <w:rPr>
          <w:rFonts w:asciiTheme="majorBidi" w:hAnsiTheme="majorBidi" w:cstheme="majorBidi"/>
          <w:sz w:val="20"/>
          <w:szCs w:val="20"/>
          <w:lang w:val="es-ES"/>
        </w:rPr>
        <w:t xml:space="preserve">s arbitrariamente, ya que no se dictó ninguna orden de puesta en libertad tras el cumplimiento de sus condenas. Una persona sigue detenida a pesar de haber sido absuelta en mayo de 2023, ya que no se dictó ninguna orden de puesta en libertad. En un caso, la orden de puesta en libertad fue revocada por motivos administrativos. El ACNUDH reitera su llamamiento para que se ponga en libertad de inmediato a todas las personas </w:t>
      </w:r>
      <w:r w:rsidRPr="00751508">
        <w:rPr>
          <w:rFonts w:asciiTheme="majorBidi" w:hAnsiTheme="majorBidi" w:cstheme="majorBidi"/>
          <w:sz w:val="20"/>
          <w:szCs w:val="20"/>
          <w:lang w:val="es-ES"/>
        </w:rPr>
        <w:t>detenidas ilegal y arbitrariamente,</w:t>
      </w:r>
      <w:r w:rsidRPr="00E2545B">
        <w:rPr>
          <w:rFonts w:asciiTheme="majorBidi" w:hAnsiTheme="majorBidi" w:cstheme="majorBidi"/>
          <w:sz w:val="20"/>
          <w:szCs w:val="20"/>
          <w:lang w:val="es-ES"/>
        </w:rPr>
        <w:t xml:space="preserve"> y para que se elabore una política </w:t>
      </w:r>
      <w:r>
        <w:rPr>
          <w:rFonts w:asciiTheme="majorBidi" w:hAnsiTheme="majorBidi" w:cstheme="majorBidi"/>
          <w:sz w:val="20"/>
          <w:szCs w:val="20"/>
          <w:lang w:val="es-ES"/>
        </w:rPr>
        <w:t>integral</w:t>
      </w:r>
      <w:r w:rsidRPr="00E2545B">
        <w:rPr>
          <w:rFonts w:asciiTheme="majorBidi" w:hAnsiTheme="majorBidi" w:cstheme="majorBidi"/>
          <w:sz w:val="20"/>
          <w:szCs w:val="20"/>
          <w:lang w:val="es-ES"/>
        </w:rPr>
        <w:t xml:space="preserve"> sobre la ejecución oportuna de las órdenes de puesta en libertad, los programas de remisión de </w:t>
      </w:r>
      <w:r>
        <w:rPr>
          <w:rFonts w:asciiTheme="majorBidi" w:hAnsiTheme="majorBidi" w:cstheme="majorBidi"/>
          <w:sz w:val="20"/>
          <w:szCs w:val="20"/>
          <w:lang w:val="es-ES"/>
        </w:rPr>
        <w:t>sentencia</w:t>
      </w:r>
      <w:r w:rsidRPr="00E2545B">
        <w:rPr>
          <w:rFonts w:asciiTheme="majorBidi" w:hAnsiTheme="majorBidi" w:cstheme="majorBidi"/>
          <w:sz w:val="20"/>
          <w:szCs w:val="20"/>
          <w:lang w:val="es-ES"/>
        </w:rPr>
        <w:t xml:space="preserve"> y su cómputo.</w:t>
      </w:r>
    </w:p>
    <w:p w14:paraId="3C594E86" w14:textId="77777777" w:rsidR="00E444D5" w:rsidRPr="00E2545B" w:rsidRDefault="00E444D5" w:rsidP="007D32A8">
      <w:pPr>
        <w:pStyle w:val="ListParagraph"/>
        <w:ind w:left="1170" w:right="1170" w:hanging="36"/>
        <w:rPr>
          <w:rFonts w:asciiTheme="majorBidi" w:hAnsiTheme="majorBidi" w:cstheme="majorBidi"/>
          <w:sz w:val="20"/>
          <w:szCs w:val="20"/>
          <w:lang w:val="es-ES"/>
        </w:rPr>
      </w:pPr>
    </w:p>
    <w:p w14:paraId="49263947"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Durante el período que abarca el informe, el ACNUDH realizó nueve visitas a centros de detención</w:t>
      </w:r>
      <w:r>
        <w:rPr>
          <w:rFonts w:asciiTheme="majorBidi" w:hAnsiTheme="majorBidi" w:cstheme="majorBidi"/>
          <w:sz w:val="20"/>
          <w:szCs w:val="20"/>
          <w:lang w:val="es-ES"/>
        </w:rPr>
        <w:t xml:space="preserve">, después de las cuales, </w:t>
      </w:r>
      <w:r w:rsidRPr="00E2545B">
        <w:rPr>
          <w:rFonts w:asciiTheme="majorBidi" w:hAnsiTheme="majorBidi" w:cstheme="majorBidi"/>
          <w:sz w:val="20"/>
          <w:szCs w:val="20"/>
          <w:lang w:val="es-ES"/>
        </w:rPr>
        <w:t xml:space="preserve">el ACNUDH formuló recomendaciones para </w:t>
      </w:r>
      <w:r>
        <w:rPr>
          <w:rFonts w:asciiTheme="majorBidi" w:hAnsiTheme="majorBidi" w:cstheme="majorBidi"/>
          <w:sz w:val="20"/>
          <w:szCs w:val="20"/>
          <w:lang w:val="es-ES"/>
        </w:rPr>
        <w:t xml:space="preserve">mejorar la alineación de </w:t>
      </w:r>
      <w:r w:rsidRPr="00E2545B">
        <w:rPr>
          <w:rFonts w:asciiTheme="majorBidi" w:hAnsiTheme="majorBidi" w:cstheme="majorBidi"/>
          <w:sz w:val="20"/>
          <w:szCs w:val="20"/>
          <w:lang w:val="es-ES"/>
        </w:rPr>
        <w:t xml:space="preserve">las condiciones de detención a las normas internacionales, incluidas las relativas a las condiciones de detención de las mujeres y las personas </w:t>
      </w:r>
      <w:r>
        <w:rPr>
          <w:rFonts w:asciiTheme="majorBidi" w:hAnsiTheme="majorBidi" w:cstheme="majorBidi"/>
          <w:sz w:val="20"/>
          <w:szCs w:val="20"/>
          <w:lang w:val="es-ES"/>
        </w:rPr>
        <w:t>LGBTIQ</w:t>
      </w:r>
      <w:r w:rsidRPr="00E2545B">
        <w:rPr>
          <w:rFonts w:asciiTheme="majorBidi" w:hAnsiTheme="majorBidi" w:cstheme="majorBidi"/>
          <w:sz w:val="20"/>
          <w:szCs w:val="20"/>
          <w:lang w:val="es-ES"/>
        </w:rPr>
        <w:t xml:space="preserve">+. El ACNUDH observó una </w:t>
      </w:r>
      <w:r>
        <w:rPr>
          <w:rFonts w:asciiTheme="majorBidi" w:hAnsiTheme="majorBidi" w:cstheme="majorBidi"/>
          <w:sz w:val="20"/>
          <w:szCs w:val="20"/>
          <w:lang w:val="es-ES"/>
        </w:rPr>
        <w:t>implementación</w:t>
      </w:r>
      <w:r w:rsidRPr="00E2545B">
        <w:rPr>
          <w:rFonts w:asciiTheme="majorBidi" w:hAnsiTheme="majorBidi" w:cstheme="majorBidi"/>
          <w:sz w:val="20"/>
          <w:szCs w:val="20"/>
          <w:lang w:val="es-ES"/>
        </w:rPr>
        <w:t xml:space="preserve"> parcial de algunas recomendaciones relacionadas con los servicios de salud y el acceso al agua potable. El ACNUDH pide que se sigan aplicando las recomendaciones relativas a las visitas de familiares, el acceso a la alimentación y la salud, incluida la salud sexual, los traslados médicos y </w:t>
      </w:r>
      <w:r>
        <w:rPr>
          <w:rFonts w:asciiTheme="majorBidi" w:hAnsiTheme="majorBidi" w:cstheme="majorBidi"/>
          <w:sz w:val="20"/>
          <w:szCs w:val="20"/>
          <w:lang w:val="es-ES"/>
        </w:rPr>
        <w:t>la mejora de las condiciones de detención para</w:t>
      </w:r>
      <w:r w:rsidRPr="00E2545B">
        <w:rPr>
          <w:rFonts w:asciiTheme="majorBidi" w:hAnsiTheme="majorBidi" w:cstheme="majorBidi"/>
          <w:sz w:val="20"/>
          <w:szCs w:val="20"/>
          <w:lang w:val="es-ES"/>
        </w:rPr>
        <w:t xml:space="preserve"> las personas con enfermedades crónicas.</w:t>
      </w:r>
    </w:p>
    <w:p w14:paraId="5A704763" w14:textId="77777777" w:rsidR="00E444D5" w:rsidRPr="00E2545B" w:rsidRDefault="00E444D5" w:rsidP="007D32A8">
      <w:pPr>
        <w:pStyle w:val="ListParagraph"/>
        <w:ind w:left="1170" w:right="1170" w:hanging="36"/>
        <w:rPr>
          <w:rFonts w:asciiTheme="majorBidi" w:hAnsiTheme="majorBidi" w:cstheme="majorBidi"/>
          <w:sz w:val="20"/>
          <w:szCs w:val="20"/>
          <w:lang w:val="es-ES"/>
        </w:rPr>
      </w:pPr>
    </w:p>
    <w:p w14:paraId="206F7EB4" w14:textId="77777777" w:rsidR="00E444D5" w:rsidRDefault="00E444D5" w:rsidP="007D32A8">
      <w:pPr>
        <w:pStyle w:val="ListParagraph"/>
        <w:numPr>
          <w:ilvl w:val="0"/>
          <w:numId w:val="20"/>
        </w:numPr>
        <w:ind w:left="1170" w:right="1170" w:hanging="36"/>
        <w:rPr>
          <w:rFonts w:asciiTheme="majorBidi" w:hAnsiTheme="majorBidi" w:cstheme="majorBidi"/>
          <w:sz w:val="20"/>
          <w:szCs w:val="20"/>
          <w:lang w:val="es-ES"/>
        </w:rPr>
      </w:pPr>
      <w:r w:rsidRPr="00E2545B">
        <w:rPr>
          <w:rFonts w:asciiTheme="majorBidi" w:hAnsiTheme="majorBidi" w:cstheme="majorBidi"/>
          <w:sz w:val="20"/>
          <w:szCs w:val="20"/>
          <w:lang w:val="es-ES"/>
        </w:rPr>
        <w:t xml:space="preserve">Durante el período que abarca este informe, el ACNUDH documentó </w:t>
      </w:r>
      <w:r>
        <w:rPr>
          <w:rFonts w:asciiTheme="majorBidi" w:hAnsiTheme="majorBidi" w:cstheme="majorBidi"/>
          <w:sz w:val="20"/>
          <w:szCs w:val="20"/>
          <w:lang w:val="es-ES"/>
        </w:rPr>
        <w:t xml:space="preserve">los casos de </w:t>
      </w:r>
      <w:r w:rsidRPr="00E2545B">
        <w:rPr>
          <w:rFonts w:asciiTheme="majorBidi" w:hAnsiTheme="majorBidi" w:cstheme="majorBidi"/>
          <w:sz w:val="20"/>
          <w:szCs w:val="20"/>
          <w:lang w:val="es-ES"/>
        </w:rPr>
        <w:t>24</w:t>
      </w:r>
      <w:r>
        <w:rPr>
          <w:rFonts w:asciiTheme="majorBidi" w:hAnsiTheme="majorBidi" w:cstheme="majorBidi"/>
          <w:sz w:val="20"/>
          <w:szCs w:val="20"/>
          <w:lang w:val="es-ES"/>
        </w:rPr>
        <w:t xml:space="preserve"> personas</w:t>
      </w:r>
      <w:r w:rsidRPr="00E2545B">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privadas de libertad </w:t>
      </w:r>
      <w:r w:rsidRPr="00E2545B">
        <w:rPr>
          <w:rFonts w:asciiTheme="majorBidi" w:hAnsiTheme="majorBidi" w:cstheme="majorBidi"/>
          <w:sz w:val="20"/>
          <w:szCs w:val="20"/>
          <w:lang w:val="es-ES"/>
        </w:rPr>
        <w:t xml:space="preserve">que esperaban respuesta a solicitudes de medidas humanitarias u otras alternativas a la detención, y 76 que esperaban traslados médicos. </w:t>
      </w:r>
      <w:r>
        <w:rPr>
          <w:rFonts w:asciiTheme="majorBidi" w:hAnsiTheme="majorBidi" w:cstheme="majorBidi"/>
          <w:sz w:val="20"/>
          <w:szCs w:val="20"/>
          <w:lang w:val="es-ES"/>
        </w:rPr>
        <w:t>Continúa la preocupación por</w:t>
      </w:r>
      <w:r w:rsidRPr="00E2545B">
        <w:rPr>
          <w:rFonts w:asciiTheme="majorBidi" w:hAnsiTheme="majorBidi" w:cstheme="majorBidi"/>
          <w:sz w:val="20"/>
          <w:szCs w:val="20"/>
          <w:lang w:val="es-ES"/>
        </w:rPr>
        <w:t xml:space="preserve"> la falta de aplicación de esas medidas para proteger la vida y la integridad física de las personas privadas de libertad. Preocupan al ACNUDH los informes sobre muertes </w:t>
      </w:r>
      <w:r>
        <w:rPr>
          <w:rFonts w:asciiTheme="majorBidi" w:hAnsiTheme="majorBidi" w:cstheme="majorBidi"/>
          <w:sz w:val="20"/>
          <w:szCs w:val="20"/>
          <w:lang w:val="es-ES"/>
        </w:rPr>
        <w:t>en</w:t>
      </w:r>
      <w:r w:rsidRPr="00E2545B">
        <w:rPr>
          <w:rFonts w:asciiTheme="majorBidi" w:hAnsiTheme="majorBidi" w:cstheme="majorBidi"/>
          <w:sz w:val="20"/>
          <w:szCs w:val="20"/>
          <w:lang w:val="es-ES"/>
        </w:rPr>
        <w:t xml:space="preserve"> detención, incluidas, entre otras, las debidas a causas naturales.</w:t>
      </w:r>
      <w:r>
        <w:rPr>
          <w:rStyle w:val="FootnoteReference"/>
          <w:rFonts w:cstheme="majorBidi"/>
          <w:szCs w:val="20"/>
          <w:lang w:val="es-ES"/>
        </w:rPr>
        <w:footnoteReference w:id="90"/>
      </w:r>
    </w:p>
    <w:p w14:paraId="270590EF" w14:textId="2BEDF7E3" w:rsidR="00E444D5" w:rsidRDefault="00E444D5" w:rsidP="007D32A8">
      <w:pPr>
        <w:pStyle w:val="H1G"/>
        <w:numPr>
          <w:ilvl w:val="0"/>
          <w:numId w:val="32"/>
        </w:numPr>
        <w:tabs>
          <w:tab w:val="clear" w:pos="851"/>
          <w:tab w:val="right" w:pos="1276"/>
        </w:tabs>
        <w:ind w:hanging="437"/>
      </w:pPr>
      <w:r w:rsidRPr="00B27314">
        <w:t>Administración de la justicia y derecho al debido proceso</w:t>
      </w:r>
    </w:p>
    <w:p w14:paraId="5F2F11EF" w14:textId="77777777" w:rsidR="00E444D5" w:rsidRDefault="00E444D5" w:rsidP="007D32A8">
      <w:pPr>
        <w:pStyle w:val="ListParagraph"/>
        <w:numPr>
          <w:ilvl w:val="0"/>
          <w:numId w:val="20"/>
        </w:numPr>
        <w:ind w:left="1260" w:right="1170" w:hanging="36"/>
        <w:rPr>
          <w:rFonts w:asciiTheme="majorBidi" w:hAnsiTheme="majorBidi" w:cstheme="majorBidi"/>
          <w:sz w:val="20"/>
          <w:szCs w:val="20"/>
          <w:lang w:val="es-ES"/>
        </w:rPr>
      </w:pPr>
      <w:r>
        <w:rPr>
          <w:rFonts w:asciiTheme="majorBidi" w:hAnsiTheme="majorBidi" w:cstheme="majorBidi"/>
          <w:sz w:val="20"/>
          <w:szCs w:val="20"/>
          <w:lang w:val="es-ES"/>
        </w:rPr>
        <w:t xml:space="preserve">El </w:t>
      </w:r>
      <w:r w:rsidRPr="00E2545B">
        <w:rPr>
          <w:rFonts w:asciiTheme="majorBidi" w:hAnsiTheme="majorBidi" w:cstheme="majorBidi"/>
          <w:sz w:val="20"/>
          <w:szCs w:val="20"/>
          <w:lang w:val="es-ES"/>
        </w:rPr>
        <w:t>ACNUDH saluda los esfuerzos de las autoridades judiciales para acelerar y facilitar los procesos</w:t>
      </w:r>
      <w:r>
        <w:rPr>
          <w:rFonts w:asciiTheme="majorBidi" w:hAnsiTheme="majorBidi" w:cstheme="majorBidi"/>
          <w:sz w:val="20"/>
          <w:szCs w:val="20"/>
          <w:lang w:val="es-ES"/>
        </w:rPr>
        <w:t xml:space="preserve"> judiciales</w:t>
      </w:r>
      <w:r w:rsidRPr="00E2545B">
        <w:rPr>
          <w:rFonts w:asciiTheme="majorBidi" w:hAnsiTheme="majorBidi" w:cstheme="majorBidi"/>
          <w:sz w:val="20"/>
          <w:szCs w:val="20"/>
          <w:lang w:val="es-ES"/>
        </w:rPr>
        <w:t xml:space="preserve">, incluyendo el lanzamiento del Plan de Impulso </w:t>
      </w:r>
      <w:r>
        <w:rPr>
          <w:rFonts w:asciiTheme="majorBidi" w:hAnsiTheme="majorBidi" w:cstheme="majorBidi"/>
          <w:sz w:val="20"/>
          <w:szCs w:val="20"/>
          <w:lang w:val="es-ES"/>
        </w:rPr>
        <w:t>Procesal</w:t>
      </w:r>
      <w:r w:rsidRPr="00E2545B">
        <w:rPr>
          <w:rFonts w:asciiTheme="majorBidi" w:hAnsiTheme="majorBidi" w:cstheme="majorBidi"/>
          <w:sz w:val="20"/>
          <w:szCs w:val="20"/>
          <w:lang w:val="es-ES"/>
        </w:rPr>
        <w:t xml:space="preserve"> en febrero de 2024,</w:t>
      </w:r>
      <w:r>
        <w:rPr>
          <w:rStyle w:val="FootnoteReference"/>
          <w:rFonts w:cstheme="majorBidi"/>
          <w:szCs w:val="20"/>
          <w:lang w:val="es-ES"/>
        </w:rPr>
        <w:footnoteReference w:id="91"/>
      </w:r>
      <w:r w:rsidRPr="00E2545B">
        <w:rPr>
          <w:rFonts w:asciiTheme="majorBidi" w:hAnsiTheme="majorBidi" w:cstheme="majorBidi"/>
          <w:sz w:val="20"/>
          <w:szCs w:val="20"/>
          <w:lang w:val="es-ES"/>
        </w:rPr>
        <w:t xml:space="preserve"> el establecimiento del sistema de Casa de Justicia por parte del Ministerio de Interior, Justicia y Paz, para hacer frente a la mora judicial y evitar el hacinamiento en los centros de detención preventiva</w:t>
      </w:r>
      <w:r>
        <w:rPr>
          <w:rFonts w:asciiTheme="majorBidi" w:hAnsiTheme="majorBidi" w:cstheme="majorBidi"/>
          <w:sz w:val="20"/>
          <w:szCs w:val="20"/>
          <w:lang w:val="es-ES"/>
        </w:rPr>
        <w:t>,</w:t>
      </w:r>
      <w:r w:rsidRPr="00E2545B">
        <w:rPr>
          <w:rFonts w:asciiTheme="majorBidi" w:hAnsiTheme="majorBidi" w:cstheme="majorBidi"/>
          <w:sz w:val="20"/>
          <w:szCs w:val="20"/>
          <w:lang w:val="es-ES"/>
        </w:rPr>
        <w:t xml:space="preserve"> en octubre de 2023</w:t>
      </w:r>
      <w:r>
        <w:rPr>
          <w:rFonts w:asciiTheme="majorBidi" w:hAnsiTheme="majorBidi" w:cstheme="majorBidi"/>
          <w:sz w:val="20"/>
          <w:szCs w:val="20"/>
          <w:lang w:val="es-ES"/>
        </w:rPr>
        <w:t>.</w:t>
      </w:r>
      <w:r w:rsidRPr="00E2545B">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E2545B">
        <w:rPr>
          <w:rFonts w:asciiTheme="majorBidi" w:hAnsiTheme="majorBidi" w:cstheme="majorBidi"/>
          <w:sz w:val="20"/>
          <w:szCs w:val="20"/>
          <w:lang w:val="es-ES"/>
        </w:rPr>
        <w:t>ACNUDH aportó observaciones y recomendaciones a los lineamientos que regulan la Casa de Justicia I, II y III, por invitación del Ministerio. El ACNUDH alienta esos esfuerzos e insta a las autoridades a cumplir</w:t>
      </w:r>
      <w:r>
        <w:rPr>
          <w:rFonts w:asciiTheme="majorBidi" w:hAnsiTheme="majorBidi" w:cstheme="majorBidi"/>
          <w:sz w:val="20"/>
          <w:szCs w:val="20"/>
          <w:lang w:val="es-ES"/>
        </w:rPr>
        <w:t xml:space="preserve"> con</w:t>
      </w:r>
      <w:r w:rsidRPr="00E2545B">
        <w:rPr>
          <w:rFonts w:asciiTheme="majorBidi" w:hAnsiTheme="majorBidi" w:cstheme="majorBidi"/>
          <w:sz w:val="20"/>
          <w:szCs w:val="20"/>
          <w:lang w:val="es-ES"/>
        </w:rPr>
        <w:t xml:space="preserve"> las normas de derechos humanos en la aplicación de esas directrices. </w:t>
      </w:r>
      <w:r>
        <w:rPr>
          <w:rFonts w:asciiTheme="majorBidi" w:hAnsiTheme="majorBidi" w:cstheme="majorBidi"/>
          <w:sz w:val="20"/>
          <w:szCs w:val="20"/>
          <w:lang w:val="es-ES"/>
        </w:rPr>
        <w:t>El ACNUDH</w:t>
      </w:r>
      <w:r w:rsidRPr="00E2545B">
        <w:rPr>
          <w:rFonts w:asciiTheme="majorBidi" w:hAnsiTheme="majorBidi" w:cstheme="majorBidi"/>
          <w:sz w:val="20"/>
          <w:szCs w:val="20"/>
          <w:lang w:val="es-ES"/>
        </w:rPr>
        <w:t xml:space="preserve"> toma nota de otras acciones para acelerar los procesos judiciales, incluso a través de audiencias virtuales. Sin embargo, </w:t>
      </w:r>
      <w:r>
        <w:rPr>
          <w:rFonts w:asciiTheme="majorBidi" w:hAnsiTheme="majorBidi" w:cstheme="majorBidi"/>
          <w:sz w:val="20"/>
          <w:szCs w:val="20"/>
          <w:lang w:val="es-ES"/>
        </w:rPr>
        <w:t>el ACNUDH</w:t>
      </w:r>
      <w:r w:rsidRPr="00E2545B">
        <w:rPr>
          <w:rFonts w:asciiTheme="majorBidi" w:hAnsiTheme="majorBidi" w:cstheme="majorBidi"/>
          <w:sz w:val="20"/>
          <w:szCs w:val="20"/>
          <w:lang w:val="es-ES"/>
        </w:rPr>
        <w:t xml:space="preserve"> recibió información relativa a desafíos, tales como </w:t>
      </w:r>
      <w:r>
        <w:rPr>
          <w:rFonts w:asciiTheme="majorBidi" w:hAnsiTheme="majorBidi" w:cstheme="majorBidi"/>
          <w:sz w:val="20"/>
          <w:szCs w:val="20"/>
          <w:lang w:val="es-ES"/>
        </w:rPr>
        <w:t>los cortes</w:t>
      </w:r>
      <w:r w:rsidRPr="00E2545B">
        <w:rPr>
          <w:rFonts w:asciiTheme="majorBidi" w:hAnsiTheme="majorBidi" w:cstheme="majorBidi"/>
          <w:sz w:val="20"/>
          <w:szCs w:val="20"/>
          <w:lang w:val="es-ES"/>
        </w:rPr>
        <w:t xml:space="preserve"> de </w:t>
      </w:r>
      <w:r>
        <w:rPr>
          <w:rFonts w:asciiTheme="majorBidi" w:hAnsiTheme="majorBidi" w:cstheme="majorBidi"/>
          <w:sz w:val="20"/>
          <w:szCs w:val="20"/>
          <w:lang w:val="es-ES"/>
        </w:rPr>
        <w:t>i</w:t>
      </w:r>
      <w:r w:rsidRPr="00E2545B">
        <w:rPr>
          <w:rFonts w:asciiTheme="majorBidi" w:hAnsiTheme="majorBidi" w:cstheme="majorBidi"/>
          <w:sz w:val="20"/>
          <w:szCs w:val="20"/>
          <w:lang w:val="es-ES"/>
        </w:rPr>
        <w:t>nternet y las limitaciones a la tecnología de la comunicación, que socavarían el derecho a la defensa de los acusados y el derecho al debido proceso.</w:t>
      </w:r>
      <w:r>
        <w:rPr>
          <w:rStyle w:val="FootnoteReference"/>
          <w:rFonts w:cstheme="majorBidi"/>
          <w:szCs w:val="20"/>
          <w:lang w:val="es-ES"/>
        </w:rPr>
        <w:footnoteReference w:id="92"/>
      </w:r>
    </w:p>
    <w:p w14:paraId="2BCFEEBE" w14:textId="77777777" w:rsidR="00E444D5" w:rsidRDefault="00E444D5" w:rsidP="007D32A8">
      <w:pPr>
        <w:pStyle w:val="ListParagraph"/>
        <w:ind w:left="1260" w:right="1170" w:hanging="36"/>
        <w:rPr>
          <w:rFonts w:asciiTheme="majorBidi" w:hAnsiTheme="majorBidi" w:cstheme="majorBidi"/>
          <w:sz w:val="20"/>
          <w:szCs w:val="20"/>
          <w:lang w:val="es-ES"/>
        </w:rPr>
      </w:pPr>
    </w:p>
    <w:p w14:paraId="6306BE98" w14:textId="77777777" w:rsidR="00E444D5" w:rsidRDefault="00E444D5" w:rsidP="007D32A8">
      <w:pPr>
        <w:pStyle w:val="ListParagraph"/>
        <w:numPr>
          <w:ilvl w:val="0"/>
          <w:numId w:val="20"/>
        </w:numPr>
        <w:ind w:left="1260" w:right="1170" w:hanging="36"/>
        <w:rPr>
          <w:rFonts w:asciiTheme="majorBidi" w:hAnsiTheme="majorBidi" w:cstheme="majorBidi"/>
          <w:sz w:val="20"/>
          <w:szCs w:val="20"/>
          <w:lang w:val="es-ES"/>
        </w:rPr>
      </w:pPr>
      <w:r w:rsidRPr="00F37642">
        <w:rPr>
          <w:rFonts w:asciiTheme="majorBidi" w:hAnsiTheme="majorBidi" w:cstheme="majorBidi"/>
          <w:sz w:val="20"/>
          <w:szCs w:val="20"/>
          <w:lang w:val="es-ES"/>
        </w:rPr>
        <w:t>El ACNUDH observa con preocupación que se sigue aplicando, a pesar de las recomendaciones anteriores,</w:t>
      </w:r>
      <w:r>
        <w:rPr>
          <w:rStyle w:val="FootnoteReference"/>
          <w:rFonts w:cstheme="majorBidi"/>
          <w:szCs w:val="20"/>
          <w:lang w:val="es-ES"/>
        </w:rPr>
        <w:footnoteReference w:id="93"/>
      </w:r>
      <w:r w:rsidRPr="00F37642">
        <w:rPr>
          <w:rFonts w:asciiTheme="majorBidi" w:hAnsiTheme="majorBidi" w:cstheme="majorBidi"/>
          <w:sz w:val="20"/>
          <w:szCs w:val="20"/>
          <w:lang w:val="es-ES"/>
        </w:rPr>
        <w:t xml:space="preserve"> la Ley </w:t>
      </w:r>
      <w:r>
        <w:rPr>
          <w:rFonts w:asciiTheme="majorBidi" w:hAnsiTheme="majorBidi" w:cstheme="majorBidi"/>
          <w:sz w:val="20"/>
          <w:szCs w:val="20"/>
          <w:lang w:val="es-ES"/>
        </w:rPr>
        <w:t>O</w:t>
      </w:r>
      <w:r w:rsidRPr="00F37642">
        <w:rPr>
          <w:rFonts w:asciiTheme="majorBidi" w:hAnsiTheme="majorBidi" w:cstheme="majorBidi"/>
          <w:sz w:val="20"/>
          <w:szCs w:val="20"/>
          <w:lang w:val="es-ES"/>
        </w:rPr>
        <w:t xml:space="preserve">rgánica contra la </w:t>
      </w:r>
      <w:r>
        <w:rPr>
          <w:rFonts w:asciiTheme="majorBidi" w:hAnsiTheme="majorBidi" w:cstheme="majorBidi"/>
          <w:sz w:val="20"/>
          <w:szCs w:val="20"/>
          <w:lang w:val="es-ES"/>
        </w:rPr>
        <w:t>D</w:t>
      </w:r>
      <w:r w:rsidRPr="00F37642">
        <w:rPr>
          <w:rFonts w:asciiTheme="majorBidi" w:hAnsiTheme="majorBidi" w:cstheme="majorBidi"/>
          <w:sz w:val="20"/>
          <w:szCs w:val="20"/>
          <w:lang w:val="es-ES"/>
        </w:rPr>
        <w:t xml:space="preserve">elincuencia </w:t>
      </w:r>
      <w:r>
        <w:rPr>
          <w:rFonts w:asciiTheme="majorBidi" w:hAnsiTheme="majorBidi" w:cstheme="majorBidi"/>
          <w:sz w:val="20"/>
          <w:szCs w:val="20"/>
          <w:lang w:val="es-ES"/>
        </w:rPr>
        <w:t>O</w:t>
      </w:r>
      <w:r w:rsidRPr="00F37642">
        <w:rPr>
          <w:rFonts w:asciiTheme="majorBidi" w:hAnsiTheme="majorBidi" w:cstheme="majorBidi"/>
          <w:sz w:val="20"/>
          <w:szCs w:val="20"/>
          <w:lang w:val="es-ES"/>
        </w:rPr>
        <w:t xml:space="preserve">rganizada y la </w:t>
      </w:r>
      <w:r>
        <w:rPr>
          <w:rFonts w:asciiTheme="majorBidi" w:hAnsiTheme="majorBidi" w:cstheme="majorBidi"/>
          <w:sz w:val="20"/>
          <w:szCs w:val="20"/>
          <w:lang w:val="es-ES"/>
        </w:rPr>
        <w:t>F</w:t>
      </w:r>
      <w:r w:rsidRPr="00F37642">
        <w:rPr>
          <w:rFonts w:asciiTheme="majorBidi" w:hAnsiTheme="majorBidi" w:cstheme="majorBidi"/>
          <w:sz w:val="20"/>
          <w:szCs w:val="20"/>
          <w:lang w:val="es-ES"/>
        </w:rPr>
        <w:t xml:space="preserve">inanciación del </w:t>
      </w:r>
      <w:r>
        <w:rPr>
          <w:rFonts w:asciiTheme="majorBidi" w:hAnsiTheme="majorBidi" w:cstheme="majorBidi"/>
          <w:sz w:val="20"/>
          <w:szCs w:val="20"/>
          <w:lang w:val="es-ES"/>
        </w:rPr>
        <w:t>T</w:t>
      </w:r>
      <w:r w:rsidRPr="00F37642">
        <w:rPr>
          <w:rFonts w:asciiTheme="majorBidi" w:hAnsiTheme="majorBidi" w:cstheme="majorBidi"/>
          <w:sz w:val="20"/>
          <w:szCs w:val="20"/>
          <w:lang w:val="es-ES"/>
        </w:rPr>
        <w:t xml:space="preserve">errorismo. </w:t>
      </w:r>
      <w:r>
        <w:rPr>
          <w:rFonts w:asciiTheme="majorBidi" w:hAnsiTheme="majorBidi" w:cstheme="majorBidi"/>
          <w:sz w:val="20"/>
          <w:szCs w:val="20"/>
          <w:lang w:val="es-ES"/>
        </w:rPr>
        <w:t>D</w:t>
      </w:r>
      <w:r w:rsidRPr="00F37642">
        <w:rPr>
          <w:rFonts w:asciiTheme="majorBidi" w:hAnsiTheme="majorBidi" w:cstheme="majorBidi"/>
          <w:sz w:val="20"/>
          <w:szCs w:val="20"/>
          <w:lang w:val="es-ES"/>
        </w:rPr>
        <w:t xml:space="preserve">e los 49 casos de detención arbitraria documentados por el </w:t>
      </w:r>
      <w:r w:rsidRPr="00F37642">
        <w:rPr>
          <w:rFonts w:asciiTheme="majorBidi" w:hAnsiTheme="majorBidi" w:cstheme="majorBidi"/>
          <w:sz w:val="20"/>
          <w:szCs w:val="20"/>
          <w:lang w:val="es-ES"/>
        </w:rPr>
        <w:lastRenderedPageBreak/>
        <w:t xml:space="preserve">ACNUDH en el período que abarca el informe </w:t>
      </w:r>
      <w:r>
        <w:rPr>
          <w:rFonts w:asciiTheme="majorBidi" w:hAnsiTheme="majorBidi" w:cstheme="majorBidi"/>
          <w:sz w:val="20"/>
          <w:szCs w:val="20"/>
          <w:lang w:val="es-ES"/>
        </w:rPr>
        <w:t xml:space="preserve">29 </w:t>
      </w:r>
      <w:r w:rsidRPr="00F37642">
        <w:rPr>
          <w:rFonts w:asciiTheme="majorBidi" w:hAnsiTheme="majorBidi" w:cstheme="majorBidi"/>
          <w:sz w:val="20"/>
          <w:szCs w:val="20"/>
          <w:lang w:val="es-ES"/>
        </w:rPr>
        <w:t>están relacionados con esta legislación. En al menos siete de estos casos, las audiencias se llevaron a cabo en centros de detención de máxima seguridad, lo que podría socavar la transparencia de las audiencias y la independencia de los tribunales.</w:t>
      </w:r>
      <w:r>
        <w:rPr>
          <w:rStyle w:val="FootnoteReference"/>
          <w:rFonts w:cstheme="majorBidi"/>
          <w:szCs w:val="20"/>
          <w:lang w:val="es-ES"/>
        </w:rPr>
        <w:footnoteReference w:id="94"/>
      </w:r>
      <w:r w:rsidRPr="00F37642">
        <w:rPr>
          <w:rFonts w:asciiTheme="majorBidi" w:hAnsiTheme="majorBidi" w:cstheme="majorBidi"/>
          <w:sz w:val="20"/>
          <w:szCs w:val="20"/>
          <w:lang w:val="es-ES"/>
        </w:rPr>
        <w:t xml:space="preserve">  </w:t>
      </w:r>
    </w:p>
    <w:p w14:paraId="14CAC9AD" w14:textId="77777777" w:rsidR="00E444D5" w:rsidRDefault="00E444D5" w:rsidP="007D32A8">
      <w:pPr>
        <w:pStyle w:val="ListParagraph"/>
        <w:ind w:left="1260" w:right="1170" w:hanging="36"/>
        <w:rPr>
          <w:rFonts w:asciiTheme="majorBidi" w:hAnsiTheme="majorBidi" w:cstheme="majorBidi"/>
          <w:sz w:val="20"/>
          <w:szCs w:val="20"/>
          <w:lang w:val="es-ES"/>
        </w:rPr>
      </w:pPr>
    </w:p>
    <w:p w14:paraId="42A7C05F" w14:textId="77777777" w:rsidR="00E444D5" w:rsidRDefault="00E444D5" w:rsidP="007D32A8">
      <w:pPr>
        <w:pStyle w:val="ListParagraph"/>
        <w:numPr>
          <w:ilvl w:val="0"/>
          <w:numId w:val="20"/>
        </w:numPr>
        <w:ind w:left="1260" w:right="1170" w:hanging="36"/>
        <w:rPr>
          <w:rFonts w:asciiTheme="majorBidi" w:hAnsiTheme="majorBidi" w:cstheme="majorBidi"/>
          <w:sz w:val="20"/>
          <w:szCs w:val="20"/>
          <w:lang w:val="es-ES"/>
        </w:rPr>
      </w:pPr>
      <w:r w:rsidRPr="00840D2E">
        <w:rPr>
          <w:rFonts w:asciiTheme="majorBidi" w:hAnsiTheme="majorBidi" w:cstheme="majorBidi"/>
          <w:sz w:val="20"/>
          <w:szCs w:val="20"/>
          <w:lang w:val="es-ES"/>
        </w:rPr>
        <w:t xml:space="preserve">Durante el período que abarca el presente informe, el ACNUDH documentó 23 casos en los que no se concedió a los acusados el derecho a la representación letrada de su elección o en los que se encontraron obstáculos para ejercer ese derecho, todos </w:t>
      </w:r>
      <w:r>
        <w:rPr>
          <w:rFonts w:asciiTheme="majorBidi" w:hAnsiTheme="majorBidi" w:cstheme="majorBidi"/>
          <w:sz w:val="20"/>
          <w:szCs w:val="20"/>
          <w:lang w:val="es-ES"/>
        </w:rPr>
        <w:t xml:space="preserve">los </w:t>
      </w:r>
      <w:r w:rsidRPr="00840D2E">
        <w:rPr>
          <w:rFonts w:asciiTheme="majorBidi" w:hAnsiTheme="majorBidi" w:cstheme="majorBidi"/>
          <w:sz w:val="20"/>
          <w:szCs w:val="20"/>
          <w:lang w:val="es-ES"/>
        </w:rPr>
        <w:t>procedimientos judiciales</w:t>
      </w:r>
      <w:r>
        <w:rPr>
          <w:rFonts w:asciiTheme="majorBidi" w:hAnsiTheme="majorBidi" w:cstheme="majorBidi"/>
          <w:sz w:val="20"/>
          <w:szCs w:val="20"/>
          <w:lang w:val="es-ES"/>
        </w:rPr>
        <w:t xml:space="preserve"> estaban</w:t>
      </w:r>
      <w:r w:rsidRPr="00840D2E">
        <w:rPr>
          <w:rFonts w:asciiTheme="majorBidi" w:hAnsiTheme="majorBidi" w:cstheme="majorBidi"/>
          <w:sz w:val="20"/>
          <w:szCs w:val="20"/>
          <w:lang w:val="es-ES"/>
        </w:rPr>
        <w:t xml:space="preserve"> relacionados con la solicitud de estas leyes antiterroristas. En 27 casos, los abogados </w:t>
      </w:r>
      <w:r>
        <w:rPr>
          <w:rFonts w:asciiTheme="majorBidi" w:hAnsiTheme="majorBidi" w:cstheme="majorBidi"/>
          <w:sz w:val="20"/>
          <w:szCs w:val="20"/>
          <w:lang w:val="es-ES"/>
        </w:rPr>
        <w:t>denunciaron</w:t>
      </w:r>
      <w:r w:rsidRPr="00840D2E">
        <w:rPr>
          <w:rFonts w:asciiTheme="majorBidi" w:hAnsiTheme="majorBidi" w:cstheme="majorBidi"/>
          <w:sz w:val="20"/>
          <w:szCs w:val="20"/>
          <w:lang w:val="es-ES"/>
        </w:rPr>
        <w:t xml:space="preserve"> obstáculos para acceder a los expedientes de los casos, 24 de los cuales se encontraban </w:t>
      </w:r>
      <w:r>
        <w:rPr>
          <w:rFonts w:asciiTheme="majorBidi" w:hAnsiTheme="majorBidi" w:cstheme="majorBidi"/>
          <w:sz w:val="20"/>
          <w:szCs w:val="20"/>
          <w:lang w:val="es-ES"/>
        </w:rPr>
        <w:t>en tribunales especiales con competencia en delitos vinculados al terrorismo</w:t>
      </w:r>
      <w:r w:rsidRPr="00840D2E">
        <w:rPr>
          <w:rFonts w:asciiTheme="majorBidi" w:hAnsiTheme="majorBidi" w:cstheme="majorBidi"/>
          <w:sz w:val="20"/>
          <w:szCs w:val="20"/>
          <w:lang w:val="es-ES"/>
        </w:rPr>
        <w:t xml:space="preserve">. Al ACNUDH le preocupa que los procesos en </w:t>
      </w:r>
      <w:r>
        <w:rPr>
          <w:rFonts w:asciiTheme="majorBidi" w:hAnsiTheme="majorBidi" w:cstheme="majorBidi"/>
          <w:sz w:val="20"/>
          <w:szCs w:val="20"/>
          <w:lang w:val="es-ES"/>
        </w:rPr>
        <w:t>esos tribunales</w:t>
      </w:r>
      <w:r w:rsidRPr="00840D2E">
        <w:rPr>
          <w:rFonts w:asciiTheme="majorBidi" w:hAnsiTheme="majorBidi" w:cstheme="majorBidi"/>
          <w:sz w:val="20"/>
          <w:szCs w:val="20"/>
          <w:lang w:val="es-ES"/>
        </w:rPr>
        <w:t xml:space="preserve"> violen el derecho a la defensa y a un juicio justo,</w:t>
      </w:r>
      <w:r>
        <w:rPr>
          <w:rStyle w:val="FootnoteReference"/>
          <w:rFonts w:cstheme="majorBidi"/>
          <w:szCs w:val="20"/>
          <w:lang w:val="es-ES"/>
        </w:rPr>
        <w:footnoteReference w:id="95"/>
      </w:r>
      <w:r w:rsidRPr="00840D2E">
        <w:rPr>
          <w:rFonts w:asciiTheme="majorBidi" w:hAnsiTheme="majorBidi" w:cstheme="majorBidi"/>
          <w:sz w:val="20"/>
          <w:szCs w:val="20"/>
          <w:lang w:val="es-ES"/>
        </w:rPr>
        <w:t xml:space="preserve"> y recuerda que la legislación antiterrorista y su aplicación deben cumplir </w:t>
      </w:r>
      <w:r>
        <w:rPr>
          <w:rFonts w:asciiTheme="majorBidi" w:hAnsiTheme="majorBidi" w:cstheme="majorBidi"/>
          <w:sz w:val="20"/>
          <w:szCs w:val="20"/>
          <w:lang w:val="es-ES"/>
        </w:rPr>
        <w:t xml:space="preserve">con </w:t>
      </w:r>
      <w:r w:rsidRPr="00840D2E">
        <w:rPr>
          <w:rFonts w:asciiTheme="majorBidi" w:hAnsiTheme="majorBidi" w:cstheme="majorBidi"/>
          <w:sz w:val="20"/>
          <w:szCs w:val="20"/>
          <w:lang w:val="es-ES"/>
        </w:rPr>
        <w:t>las normas internacionales de derechos humanos y los principios de legalidad, necesidad, proporcionalidad y no discriminación.</w:t>
      </w:r>
    </w:p>
    <w:p w14:paraId="69BBF492" w14:textId="58E77D08" w:rsidR="00E444D5" w:rsidRDefault="00E444D5" w:rsidP="007D32A8">
      <w:pPr>
        <w:pStyle w:val="H1G"/>
        <w:numPr>
          <w:ilvl w:val="0"/>
          <w:numId w:val="32"/>
        </w:numPr>
        <w:tabs>
          <w:tab w:val="clear" w:pos="851"/>
          <w:tab w:val="right" w:pos="1134"/>
        </w:tabs>
        <w:ind w:hanging="579"/>
        <w:rPr>
          <w:bCs/>
        </w:rPr>
      </w:pPr>
      <w:r w:rsidRPr="006C16EA">
        <w:rPr>
          <w:bCs/>
        </w:rPr>
        <w:t>Derecho a la vida y a la integridad personal</w:t>
      </w:r>
    </w:p>
    <w:p w14:paraId="736660AA" w14:textId="77777777" w:rsidR="00E444D5" w:rsidRDefault="00E444D5" w:rsidP="007D32A8">
      <w:pPr>
        <w:pStyle w:val="ListParagraph"/>
        <w:numPr>
          <w:ilvl w:val="0"/>
          <w:numId w:val="20"/>
        </w:numPr>
        <w:ind w:left="1260" w:right="1080" w:hanging="36"/>
        <w:rPr>
          <w:rFonts w:asciiTheme="majorBidi" w:hAnsiTheme="majorBidi" w:cstheme="majorBidi"/>
          <w:sz w:val="20"/>
          <w:szCs w:val="20"/>
          <w:lang w:val="es-ES"/>
        </w:rPr>
      </w:pPr>
      <w:r w:rsidRPr="00DB737A">
        <w:rPr>
          <w:rFonts w:asciiTheme="majorBidi" w:hAnsiTheme="majorBidi" w:cstheme="majorBidi"/>
          <w:sz w:val="20"/>
          <w:szCs w:val="20"/>
          <w:lang w:val="es-ES"/>
        </w:rPr>
        <w:t xml:space="preserve">El ACNUDH saluda </w:t>
      </w:r>
      <w:r>
        <w:rPr>
          <w:rFonts w:asciiTheme="majorBidi" w:hAnsiTheme="majorBidi" w:cstheme="majorBidi"/>
          <w:sz w:val="20"/>
          <w:szCs w:val="20"/>
          <w:lang w:val="es-ES"/>
        </w:rPr>
        <w:t xml:space="preserve">la opinión </w:t>
      </w:r>
      <w:r w:rsidRPr="00DB737A">
        <w:rPr>
          <w:rFonts w:asciiTheme="majorBidi" w:hAnsiTheme="majorBidi" w:cstheme="majorBidi"/>
          <w:sz w:val="20"/>
          <w:szCs w:val="20"/>
          <w:lang w:val="es-ES"/>
        </w:rPr>
        <w:t>expresad</w:t>
      </w:r>
      <w:r>
        <w:rPr>
          <w:rFonts w:asciiTheme="majorBidi" w:hAnsiTheme="majorBidi" w:cstheme="majorBidi"/>
          <w:sz w:val="20"/>
          <w:szCs w:val="20"/>
          <w:lang w:val="es-ES"/>
        </w:rPr>
        <w:t>a</w:t>
      </w:r>
      <w:r w:rsidRPr="00DB737A">
        <w:rPr>
          <w:rFonts w:asciiTheme="majorBidi" w:hAnsiTheme="majorBidi" w:cstheme="majorBidi"/>
          <w:sz w:val="20"/>
          <w:szCs w:val="20"/>
          <w:lang w:val="es-ES"/>
        </w:rPr>
        <w:t xml:space="preserve"> por las autoridades venezolanas de avanzar en la implementación del Protocolo de Estambul relativo a la investigación y documentación eficaces de la tortura y otros tratos o penas crueles, inhumanos o degradantes. </w:t>
      </w:r>
      <w:r>
        <w:rPr>
          <w:rFonts w:asciiTheme="majorBidi" w:hAnsiTheme="majorBidi" w:cstheme="majorBidi"/>
          <w:sz w:val="20"/>
          <w:szCs w:val="20"/>
          <w:lang w:val="es-ES"/>
        </w:rPr>
        <w:t xml:space="preserve">El </w:t>
      </w:r>
      <w:r w:rsidRPr="00DB737A">
        <w:rPr>
          <w:rFonts w:asciiTheme="majorBidi" w:hAnsiTheme="majorBidi" w:cstheme="majorBidi"/>
          <w:sz w:val="20"/>
          <w:szCs w:val="20"/>
          <w:lang w:val="es-ES"/>
        </w:rPr>
        <w:t>ACNUDH reitera su llamado a la aprobación e implementación de las guías para funcionarios públicos basadas en</w:t>
      </w:r>
      <w:r>
        <w:rPr>
          <w:rFonts w:asciiTheme="majorBidi" w:hAnsiTheme="majorBidi" w:cstheme="majorBidi"/>
          <w:sz w:val="20"/>
          <w:szCs w:val="20"/>
          <w:lang w:val="es-ES"/>
        </w:rPr>
        <w:t xml:space="preserve"> el Protocolo de Estambul, así como la basada en el Protocolo de Minnesota sobre la investigación de muertes potencialmente ilícitas</w:t>
      </w:r>
      <w:r w:rsidRPr="00432C66">
        <w:rPr>
          <w:rFonts w:asciiTheme="majorBidi" w:hAnsiTheme="majorBidi" w:cstheme="majorBidi"/>
          <w:sz w:val="20"/>
          <w:szCs w:val="20"/>
          <w:lang w:val="es-ES"/>
        </w:rPr>
        <w:t>.</w:t>
      </w:r>
    </w:p>
    <w:p w14:paraId="39975012" w14:textId="77777777" w:rsidR="00E444D5" w:rsidRDefault="00E444D5" w:rsidP="007D32A8">
      <w:pPr>
        <w:pStyle w:val="ListParagraph"/>
        <w:ind w:left="1260" w:right="1080" w:hanging="36"/>
        <w:rPr>
          <w:rFonts w:asciiTheme="majorBidi" w:hAnsiTheme="majorBidi" w:cstheme="majorBidi"/>
          <w:sz w:val="20"/>
          <w:szCs w:val="20"/>
          <w:lang w:val="es-ES"/>
        </w:rPr>
      </w:pPr>
    </w:p>
    <w:p w14:paraId="7CE7952E" w14:textId="77777777" w:rsidR="00E444D5" w:rsidRDefault="00E444D5" w:rsidP="007D32A8">
      <w:pPr>
        <w:pStyle w:val="ListParagraph"/>
        <w:numPr>
          <w:ilvl w:val="0"/>
          <w:numId w:val="20"/>
        </w:numPr>
        <w:ind w:left="1260" w:right="1080" w:hanging="36"/>
        <w:rPr>
          <w:rFonts w:asciiTheme="majorBidi" w:hAnsiTheme="majorBidi" w:cstheme="majorBidi"/>
          <w:sz w:val="20"/>
          <w:szCs w:val="20"/>
          <w:lang w:val="es-ES"/>
        </w:rPr>
      </w:pPr>
      <w:r w:rsidRPr="00F825B7">
        <w:rPr>
          <w:rFonts w:asciiTheme="majorBidi" w:hAnsiTheme="majorBidi" w:cstheme="majorBidi"/>
          <w:sz w:val="20"/>
          <w:szCs w:val="20"/>
          <w:lang w:val="es-ES"/>
        </w:rPr>
        <w:t xml:space="preserve">Durante el período que abarca este informe, el ACNUDH documentó 15 casos de tratos crueles, inhumanos y degradantes, entre ellos los de cuatro mujeres y tres </w:t>
      </w:r>
      <w:r>
        <w:rPr>
          <w:rFonts w:asciiTheme="majorBidi" w:hAnsiTheme="majorBidi" w:cstheme="majorBidi"/>
          <w:sz w:val="20"/>
          <w:szCs w:val="20"/>
          <w:lang w:val="es-ES"/>
        </w:rPr>
        <w:t>personas I</w:t>
      </w:r>
      <w:r w:rsidRPr="00F825B7">
        <w:rPr>
          <w:rFonts w:asciiTheme="majorBidi" w:hAnsiTheme="majorBidi" w:cstheme="majorBidi"/>
          <w:sz w:val="20"/>
          <w:szCs w:val="20"/>
          <w:lang w:val="es-ES"/>
        </w:rPr>
        <w:t xml:space="preserve">ndígenas. Cinco casos fueron atribuidos a presuntos agentes de la Dirección General de Contrainteligencia Militar, seis a presuntos agentes de la Policía Nacional Bolivariana y tres a otros </w:t>
      </w:r>
      <w:r>
        <w:rPr>
          <w:rFonts w:asciiTheme="majorBidi" w:hAnsiTheme="majorBidi" w:cstheme="majorBidi"/>
          <w:sz w:val="20"/>
          <w:szCs w:val="20"/>
          <w:lang w:val="es-ES"/>
        </w:rPr>
        <w:t>oficiales</w:t>
      </w:r>
      <w:r w:rsidRPr="00F825B7">
        <w:rPr>
          <w:rFonts w:asciiTheme="majorBidi" w:hAnsiTheme="majorBidi" w:cstheme="majorBidi"/>
          <w:sz w:val="20"/>
          <w:szCs w:val="20"/>
          <w:lang w:val="es-ES"/>
        </w:rPr>
        <w:t xml:space="preserve"> de la fuerza pública.</w:t>
      </w:r>
    </w:p>
    <w:p w14:paraId="5B531353" w14:textId="77777777" w:rsidR="00E444D5" w:rsidRDefault="00E444D5" w:rsidP="007D32A8">
      <w:pPr>
        <w:pStyle w:val="ListParagraph"/>
        <w:ind w:left="1260" w:right="1080" w:hanging="36"/>
        <w:rPr>
          <w:rFonts w:asciiTheme="majorBidi" w:hAnsiTheme="majorBidi" w:cstheme="majorBidi"/>
          <w:sz w:val="20"/>
          <w:szCs w:val="20"/>
          <w:lang w:val="es-ES"/>
        </w:rPr>
      </w:pPr>
    </w:p>
    <w:p w14:paraId="1D193CAF" w14:textId="77777777" w:rsidR="00E444D5" w:rsidRDefault="00E444D5" w:rsidP="007D32A8">
      <w:pPr>
        <w:pStyle w:val="ListParagraph"/>
        <w:numPr>
          <w:ilvl w:val="0"/>
          <w:numId w:val="20"/>
        </w:numPr>
        <w:ind w:left="1260" w:right="1080" w:hanging="36"/>
        <w:rPr>
          <w:rFonts w:asciiTheme="majorBidi" w:hAnsiTheme="majorBidi" w:cstheme="majorBidi"/>
          <w:sz w:val="20"/>
          <w:szCs w:val="20"/>
          <w:lang w:val="es-ES"/>
        </w:rPr>
      </w:pPr>
      <w:r w:rsidRPr="00F825B7">
        <w:rPr>
          <w:rFonts w:asciiTheme="majorBidi" w:hAnsiTheme="majorBidi" w:cstheme="majorBidi"/>
          <w:sz w:val="20"/>
          <w:szCs w:val="20"/>
          <w:lang w:val="es-ES"/>
        </w:rPr>
        <w:t xml:space="preserve">Durante el período de este informe, </w:t>
      </w:r>
      <w:r>
        <w:rPr>
          <w:rFonts w:asciiTheme="majorBidi" w:hAnsiTheme="majorBidi" w:cstheme="majorBidi"/>
          <w:sz w:val="20"/>
          <w:szCs w:val="20"/>
          <w:lang w:val="es-ES"/>
        </w:rPr>
        <w:t xml:space="preserve">el </w:t>
      </w:r>
      <w:r w:rsidRPr="00F825B7">
        <w:rPr>
          <w:rFonts w:asciiTheme="majorBidi" w:hAnsiTheme="majorBidi" w:cstheme="majorBidi"/>
          <w:sz w:val="20"/>
          <w:szCs w:val="20"/>
          <w:lang w:val="es-ES"/>
        </w:rPr>
        <w:t xml:space="preserve">ACNUDH documentó </w:t>
      </w:r>
      <w:r>
        <w:rPr>
          <w:rFonts w:asciiTheme="majorBidi" w:hAnsiTheme="majorBidi" w:cstheme="majorBidi"/>
          <w:sz w:val="20"/>
          <w:szCs w:val="20"/>
          <w:lang w:val="es-ES"/>
        </w:rPr>
        <w:t xml:space="preserve">la muerte de </w:t>
      </w:r>
      <w:r w:rsidRPr="00F825B7">
        <w:rPr>
          <w:rFonts w:asciiTheme="majorBidi" w:hAnsiTheme="majorBidi" w:cstheme="majorBidi"/>
          <w:sz w:val="20"/>
          <w:szCs w:val="20"/>
          <w:lang w:val="es-ES"/>
        </w:rPr>
        <w:t xml:space="preserve">11 </w:t>
      </w:r>
      <w:r>
        <w:rPr>
          <w:rFonts w:asciiTheme="majorBidi" w:hAnsiTheme="majorBidi" w:cstheme="majorBidi"/>
          <w:sz w:val="20"/>
          <w:szCs w:val="20"/>
          <w:lang w:val="es-ES"/>
        </w:rPr>
        <w:t>hombres en contexto de</w:t>
      </w:r>
      <w:r w:rsidRPr="00F825B7">
        <w:rPr>
          <w:rFonts w:asciiTheme="majorBidi" w:hAnsiTheme="majorBidi" w:cstheme="majorBidi"/>
          <w:sz w:val="20"/>
          <w:szCs w:val="20"/>
          <w:lang w:val="es-ES"/>
        </w:rPr>
        <w:t xml:space="preserve"> operativos de seguridad, incluyendo uno que data de 2015. Cuatro ocurrieron durante el período que abarca el informe, </w:t>
      </w:r>
      <w:r>
        <w:rPr>
          <w:rFonts w:asciiTheme="majorBidi" w:hAnsiTheme="majorBidi" w:cstheme="majorBidi"/>
          <w:sz w:val="20"/>
          <w:szCs w:val="20"/>
          <w:lang w:val="es-ES"/>
        </w:rPr>
        <w:t xml:space="preserve">dos </w:t>
      </w:r>
      <w:r w:rsidRPr="00F825B7">
        <w:rPr>
          <w:rFonts w:asciiTheme="majorBidi" w:hAnsiTheme="majorBidi" w:cstheme="majorBidi"/>
          <w:sz w:val="20"/>
          <w:szCs w:val="20"/>
          <w:lang w:val="es-ES"/>
        </w:rPr>
        <w:t>de las cuales fueron</w:t>
      </w:r>
      <w:r>
        <w:rPr>
          <w:rFonts w:asciiTheme="majorBidi" w:hAnsiTheme="majorBidi" w:cstheme="majorBidi"/>
          <w:sz w:val="20"/>
          <w:szCs w:val="20"/>
          <w:lang w:val="es-ES"/>
        </w:rPr>
        <w:t xml:space="preserve"> supuestamente</w:t>
      </w:r>
      <w:r w:rsidRPr="00F825B7">
        <w:rPr>
          <w:rFonts w:asciiTheme="majorBidi" w:hAnsiTheme="majorBidi" w:cstheme="majorBidi"/>
          <w:sz w:val="20"/>
          <w:szCs w:val="20"/>
          <w:lang w:val="es-ES"/>
        </w:rPr>
        <w:t xml:space="preserve"> perpetradas por agentes de la Policía Nacional Bolivariana y una por funcionarios de la Fuerza Armada.</w:t>
      </w:r>
      <w:r>
        <w:rPr>
          <w:rStyle w:val="FootnoteReference"/>
          <w:rFonts w:cstheme="majorBidi"/>
          <w:szCs w:val="20"/>
          <w:lang w:val="es-ES"/>
        </w:rPr>
        <w:footnoteReference w:id="96"/>
      </w:r>
      <w:r w:rsidRPr="00F825B7">
        <w:rPr>
          <w:rFonts w:asciiTheme="majorBidi" w:hAnsiTheme="majorBidi" w:cstheme="majorBidi"/>
          <w:sz w:val="20"/>
          <w:szCs w:val="20"/>
          <w:lang w:val="es-ES"/>
        </w:rPr>
        <w:t xml:space="preserve"> Sin embargo, </w:t>
      </w:r>
      <w:r>
        <w:rPr>
          <w:rFonts w:asciiTheme="majorBidi" w:hAnsiTheme="majorBidi" w:cstheme="majorBidi"/>
          <w:sz w:val="20"/>
          <w:szCs w:val="20"/>
          <w:lang w:val="es-ES"/>
        </w:rPr>
        <w:t xml:space="preserve">el </w:t>
      </w:r>
      <w:r w:rsidRPr="00F825B7">
        <w:rPr>
          <w:rFonts w:asciiTheme="majorBidi" w:hAnsiTheme="majorBidi" w:cstheme="majorBidi"/>
          <w:sz w:val="20"/>
          <w:szCs w:val="20"/>
          <w:lang w:val="es-ES"/>
        </w:rPr>
        <w:t xml:space="preserve">ACNUDH recibió otras denuncias de muertes en operativos de seguridad que no fueron denunciadas por temor a represalias </w:t>
      </w:r>
      <w:r>
        <w:rPr>
          <w:rFonts w:asciiTheme="majorBidi" w:hAnsiTheme="majorBidi" w:cstheme="majorBidi"/>
          <w:sz w:val="20"/>
          <w:szCs w:val="20"/>
          <w:lang w:val="es-ES"/>
        </w:rPr>
        <w:t xml:space="preserve">por parte </w:t>
      </w:r>
      <w:r w:rsidRPr="00F825B7">
        <w:rPr>
          <w:rFonts w:asciiTheme="majorBidi" w:hAnsiTheme="majorBidi" w:cstheme="majorBidi"/>
          <w:sz w:val="20"/>
          <w:szCs w:val="20"/>
          <w:lang w:val="es-ES"/>
        </w:rPr>
        <w:t>de agentes de seguridad del Estado, falta de confianza o desconocimiento de los procesos judiciales.</w:t>
      </w:r>
    </w:p>
    <w:p w14:paraId="6C39BDC5" w14:textId="77777777" w:rsidR="00E444D5" w:rsidRDefault="00E444D5" w:rsidP="00E444D5">
      <w:pPr>
        <w:pStyle w:val="ListParagraph"/>
        <w:ind w:left="1260" w:right="1080"/>
        <w:rPr>
          <w:rFonts w:asciiTheme="majorBidi" w:hAnsiTheme="majorBidi" w:cstheme="majorBidi"/>
          <w:sz w:val="20"/>
          <w:szCs w:val="20"/>
          <w:lang w:val="es-ES"/>
        </w:rPr>
      </w:pPr>
    </w:p>
    <w:p w14:paraId="7E32113E"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F825B7">
        <w:rPr>
          <w:rFonts w:asciiTheme="majorBidi" w:hAnsiTheme="majorBidi" w:cstheme="majorBidi"/>
          <w:sz w:val="20"/>
          <w:szCs w:val="20"/>
          <w:lang w:val="es-ES"/>
        </w:rPr>
        <w:t>Durante el período que abarca este informe, el ACNUDH documentó cinco casos de amenazas e intimidación, incluido un allanamiento de morada, con denuncias de otras formas de violencia contra pequeños agricultores y campesinos</w:t>
      </w:r>
      <w:r>
        <w:rPr>
          <w:rFonts w:asciiTheme="majorBidi" w:hAnsiTheme="majorBidi" w:cstheme="majorBidi"/>
          <w:sz w:val="20"/>
          <w:szCs w:val="20"/>
          <w:lang w:val="es-ES"/>
        </w:rPr>
        <w:t xml:space="preserve"> y sus familiares, incluidos </w:t>
      </w:r>
      <w:proofErr w:type="gramStart"/>
      <w:r>
        <w:rPr>
          <w:rFonts w:asciiTheme="majorBidi" w:hAnsiTheme="majorBidi" w:cstheme="majorBidi"/>
          <w:sz w:val="20"/>
          <w:szCs w:val="20"/>
          <w:lang w:val="es-ES"/>
        </w:rPr>
        <w:t>niños y niñas</w:t>
      </w:r>
      <w:proofErr w:type="gramEnd"/>
      <w:r>
        <w:rPr>
          <w:rFonts w:asciiTheme="majorBidi" w:hAnsiTheme="majorBidi" w:cstheme="majorBidi"/>
          <w:sz w:val="20"/>
          <w:szCs w:val="20"/>
          <w:lang w:val="es-ES"/>
        </w:rPr>
        <w:t xml:space="preserve">, </w:t>
      </w:r>
      <w:r w:rsidRPr="00F825B7">
        <w:rPr>
          <w:rFonts w:asciiTheme="majorBidi" w:hAnsiTheme="majorBidi" w:cstheme="majorBidi"/>
          <w:sz w:val="20"/>
          <w:szCs w:val="20"/>
          <w:lang w:val="es-ES"/>
        </w:rPr>
        <w:t xml:space="preserve">en el estado Apure. Estos hechos habrían sido perpetrados por actores vinculados a un latifundio y presuntos agentes del Cuerpo de </w:t>
      </w:r>
      <w:r>
        <w:rPr>
          <w:rFonts w:asciiTheme="majorBidi" w:hAnsiTheme="majorBidi" w:cstheme="majorBidi"/>
          <w:sz w:val="20"/>
          <w:szCs w:val="20"/>
          <w:lang w:val="es-ES"/>
        </w:rPr>
        <w:t xml:space="preserve">Investigaciones Científicas Penales y </w:t>
      </w:r>
      <w:r w:rsidRPr="00F825B7">
        <w:rPr>
          <w:rFonts w:asciiTheme="majorBidi" w:hAnsiTheme="majorBidi" w:cstheme="majorBidi"/>
          <w:sz w:val="20"/>
          <w:szCs w:val="20"/>
          <w:lang w:val="es-ES"/>
        </w:rPr>
        <w:t xml:space="preserve">Criminalísticas del estado Apure, entre abril y octubre de 2023. Las víctimas también </w:t>
      </w:r>
      <w:r>
        <w:rPr>
          <w:rFonts w:asciiTheme="majorBidi" w:hAnsiTheme="majorBidi" w:cstheme="majorBidi"/>
          <w:sz w:val="20"/>
          <w:szCs w:val="20"/>
          <w:lang w:val="es-ES"/>
        </w:rPr>
        <w:t>alegaron</w:t>
      </w:r>
      <w:r w:rsidRPr="00F825B7">
        <w:rPr>
          <w:rFonts w:asciiTheme="majorBidi" w:hAnsiTheme="majorBidi" w:cstheme="majorBidi"/>
          <w:sz w:val="20"/>
          <w:szCs w:val="20"/>
          <w:lang w:val="es-ES"/>
        </w:rPr>
        <w:t xml:space="preserve"> falta de avances en las investigaciones de sus denuncias, así como temor a represalias.</w:t>
      </w:r>
    </w:p>
    <w:p w14:paraId="61CC8044" w14:textId="77777777" w:rsidR="00E444D5" w:rsidRDefault="00E444D5" w:rsidP="007D32A8">
      <w:pPr>
        <w:pStyle w:val="ListParagraph"/>
        <w:ind w:left="1134" w:right="1080"/>
        <w:rPr>
          <w:rFonts w:asciiTheme="majorBidi" w:hAnsiTheme="majorBidi" w:cstheme="majorBidi"/>
          <w:sz w:val="20"/>
          <w:szCs w:val="20"/>
          <w:lang w:val="es-ES"/>
        </w:rPr>
      </w:pPr>
    </w:p>
    <w:p w14:paraId="7D619D92"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F825B7">
        <w:rPr>
          <w:rFonts w:asciiTheme="majorBidi" w:hAnsiTheme="majorBidi" w:cstheme="majorBidi"/>
          <w:sz w:val="20"/>
          <w:szCs w:val="20"/>
          <w:lang w:val="es-ES"/>
        </w:rPr>
        <w:t>El ACNUDH acoge con satisfacción la firma del plan de trabajo conjunto entre el UNICEF y</w:t>
      </w:r>
      <w:r>
        <w:rPr>
          <w:rFonts w:asciiTheme="majorBidi" w:hAnsiTheme="majorBidi" w:cstheme="majorBidi"/>
          <w:sz w:val="20"/>
          <w:szCs w:val="20"/>
          <w:lang w:val="es-ES"/>
        </w:rPr>
        <w:t xml:space="preserve"> el Ministerio Público</w:t>
      </w:r>
      <w:r w:rsidRPr="00F825B7">
        <w:rPr>
          <w:rFonts w:asciiTheme="majorBidi" w:hAnsiTheme="majorBidi" w:cstheme="majorBidi"/>
          <w:sz w:val="20"/>
          <w:szCs w:val="20"/>
          <w:lang w:val="es-ES"/>
        </w:rPr>
        <w:t xml:space="preserve"> en agosto de 2023, y la publicación de un protocolo para la investigación de los delitos de trata de personas.</w:t>
      </w:r>
      <w:r>
        <w:rPr>
          <w:rStyle w:val="FootnoteReference"/>
          <w:rFonts w:cstheme="majorBidi"/>
          <w:szCs w:val="20"/>
          <w:lang w:val="es-ES"/>
        </w:rPr>
        <w:footnoteReference w:id="97"/>
      </w:r>
      <w:r w:rsidRPr="00F825B7">
        <w:rPr>
          <w:rFonts w:asciiTheme="majorBidi" w:hAnsiTheme="majorBidi" w:cstheme="majorBidi"/>
          <w:sz w:val="20"/>
          <w:szCs w:val="20"/>
          <w:lang w:val="es-ES"/>
        </w:rPr>
        <w:t xml:space="preserve"> </w:t>
      </w:r>
      <w:r>
        <w:rPr>
          <w:rFonts w:asciiTheme="majorBidi" w:hAnsiTheme="majorBidi" w:cstheme="majorBidi"/>
          <w:sz w:val="20"/>
          <w:szCs w:val="20"/>
          <w:lang w:val="es-ES"/>
        </w:rPr>
        <w:t>S</w:t>
      </w:r>
      <w:r w:rsidRPr="00F825B7">
        <w:rPr>
          <w:rFonts w:asciiTheme="majorBidi" w:hAnsiTheme="majorBidi" w:cstheme="majorBidi"/>
          <w:sz w:val="20"/>
          <w:szCs w:val="20"/>
          <w:lang w:val="es-ES"/>
        </w:rPr>
        <w:t xml:space="preserve">e han observado esfuerzos para crear capacidad de prevención y respuesta a la trata de personas en la organización por parte de la </w:t>
      </w:r>
      <w:r>
        <w:rPr>
          <w:rFonts w:asciiTheme="majorBidi" w:hAnsiTheme="majorBidi" w:cstheme="majorBidi"/>
          <w:sz w:val="20"/>
          <w:szCs w:val="20"/>
          <w:lang w:val="es-ES"/>
        </w:rPr>
        <w:t>Ministerio Público</w:t>
      </w:r>
      <w:r w:rsidRPr="00F825B7">
        <w:rPr>
          <w:rFonts w:asciiTheme="majorBidi" w:hAnsiTheme="majorBidi" w:cstheme="majorBidi"/>
          <w:sz w:val="20"/>
          <w:szCs w:val="20"/>
          <w:lang w:val="es-ES"/>
        </w:rPr>
        <w:t xml:space="preserve"> de seminarios para funcionarios contra la trata de personas,</w:t>
      </w:r>
      <w:r>
        <w:rPr>
          <w:rStyle w:val="FootnoteReference"/>
          <w:rFonts w:cstheme="majorBidi"/>
          <w:szCs w:val="20"/>
          <w:lang w:val="es-ES"/>
        </w:rPr>
        <w:footnoteReference w:id="98"/>
      </w:r>
      <w:r w:rsidRPr="00F825B7">
        <w:rPr>
          <w:rFonts w:asciiTheme="majorBidi" w:hAnsiTheme="majorBidi" w:cstheme="majorBidi"/>
          <w:sz w:val="20"/>
          <w:szCs w:val="20"/>
          <w:lang w:val="es-ES"/>
        </w:rPr>
        <w:t xml:space="preserve"> incluida una </w:t>
      </w:r>
      <w:r w:rsidRPr="00F825B7">
        <w:rPr>
          <w:rFonts w:asciiTheme="majorBidi" w:hAnsiTheme="majorBidi" w:cstheme="majorBidi"/>
          <w:sz w:val="20"/>
          <w:szCs w:val="20"/>
          <w:lang w:val="es-ES"/>
        </w:rPr>
        <w:lastRenderedPageBreak/>
        <w:t xml:space="preserve">sesión con el apoyo del ACNUDH, la </w:t>
      </w:r>
      <w:r>
        <w:rPr>
          <w:rFonts w:asciiTheme="majorBidi" w:hAnsiTheme="majorBidi" w:cstheme="majorBidi"/>
          <w:sz w:val="20"/>
          <w:szCs w:val="20"/>
          <w:lang w:val="es-ES"/>
        </w:rPr>
        <w:t xml:space="preserve">organización </w:t>
      </w:r>
      <w:r w:rsidRPr="00F825B7">
        <w:rPr>
          <w:rFonts w:asciiTheme="majorBidi" w:hAnsiTheme="majorBidi" w:cstheme="majorBidi"/>
          <w:sz w:val="20"/>
          <w:szCs w:val="20"/>
          <w:lang w:val="es-ES"/>
        </w:rPr>
        <w:t>I</w:t>
      </w:r>
      <w:r>
        <w:rPr>
          <w:rFonts w:asciiTheme="majorBidi" w:hAnsiTheme="majorBidi" w:cstheme="majorBidi"/>
          <w:sz w:val="20"/>
          <w:szCs w:val="20"/>
          <w:lang w:val="es-ES"/>
        </w:rPr>
        <w:t xml:space="preserve">nternacional para la </w:t>
      </w:r>
      <w:r w:rsidRPr="00F825B7">
        <w:rPr>
          <w:rFonts w:asciiTheme="majorBidi" w:hAnsiTheme="majorBidi" w:cstheme="majorBidi"/>
          <w:sz w:val="20"/>
          <w:szCs w:val="20"/>
          <w:lang w:val="es-ES"/>
        </w:rPr>
        <w:t>M</w:t>
      </w:r>
      <w:r>
        <w:rPr>
          <w:rFonts w:asciiTheme="majorBidi" w:hAnsiTheme="majorBidi" w:cstheme="majorBidi"/>
          <w:sz w:val="20"/>
          <w:szCs w:val="20"/>
          <w:lang w:val="es-ES"/>
        </w:rPr>
        <w:t>igración</w:t>
      </w:r>
      <w:r w:rsidRPr="00F825B7">
        <w:rPr>
          <w:rFonts w:asciiTheme="majorBidi" w:hAnsiTheme="majorBidi" w:cstheme="majorBidi"/>
          <w:sz w:val="20"/>
          <w:szCs w:val="20"/>
          <w:lang w:val="es-ES"/>
        </w:rPr>
        <w:t xml:space="preserve"> y la </w:t>
      </w:r>
      <w:r>
        <w:rPr>
          <w:rFonts w:asciiTheme="majorBidi" w:hAnsiTheme="majorBidi" w:cstheme="majorBidi"/>
          <w:sz w:val="20"/>
          <w:szCs w:val="20"/>
          <w:lang w:val="es-ES"/>
        </w:rPr>
        <w:t xml:space="preserve">Oficina de las Naciones Unidas contra la Droga y el Delito </w:t>
      </w:r>
      <w:r w:rsidRPr="00F825B7">
        <w:rPr>
          <w:rFonts w:asciiTheme="majorBidi" w:hAnsiTheme="majorBidi" w:cstheme="majorBidi"/>
          <w:sz w:val="20"/>
          <w:szCs w:val="20"/>
          <w:lang w:val="es-ES"/>
        </w:rPr>
        <w:t>en junio de 2023.</w:t>
      </w:r>
    </w:p>
    <w:p w14:paraId="24E6E752" w14:textId="77777777" w:rsidR="00E444D5" w:rsidRDefault="00E444D5" w:rsidP="007D32A8">
      <w:pPr>
        <w:pStyle w:val="ListParagraph"/>
        <w:ind w:left="1134" w:right="1080"/>
        <w:rPr>
          <w:rFonts w:asciiTheme="majorBidi" w:hAnsiTheme="majorBidi" w:cstheme="majorBidi"/>
          <w:sz w:val="20"/>
          <w:szCs w:val="20"/>
          <w:lang w:val="es-ES"/>
        </w:rPr>
      </w:pPr>
    </w:p>
    <w:p w14:paraId="4945033D"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F825B7">
        <w:rPr>
          <w:rFonts w:asciiTheme="majorBidi" w:hAnsiTheme="majorBidi" w:cstheme="majorBidi"/>
          <w:sz w:val="20"/>
          <w:szCs w:val="20"/>
          <w:lang w:val="es-ES"/>
        </w:rPr>
        <w:t xml:space="preserve">Preocupan al ACNUDH las denuncias de desapariciones y trata de personas, en particular en zonas cercanas a las fronteras, con mayores riesgos para las mujeres y niñas </w:t>
      </w:r>
      <w:r>
        <w:rPr>
          <w:rFonts w:asciiTheme="majorBidi" w:hAnsiTheme="majorBidi" w:cstheme="majorBidi"/>
          <w:sz w:val="20"/>
          <w:szCs w:val="20"/>
          <w:lang w:val="es-ES"/>
        </w:rPr>
        <w:t>I</w:t>
      </w:r>
      <w:r w:rsidRPr="00F825B7">
        <w:rPr>
          <w:rFonts w:asciiTheme="majorBidi" w:hAnsiTheme="majorBidi" w:cstheme="majorBidi"/>
          <w:sz w:val="20"/>
          <w:szCs w:val="20"/>
          <w:lang w:val="es-ES"/>
        </w:rPr>
        <w:t>ndígenas, afrodescendientes y migrantes.</w:t>
      </w:r>
      <w:r>
        <w:rPr>
          <w:rStyle w:val="FootnoteReference"/>
          <w:rFonts w:cstheme="majorBidi"/>
          <w:szCs w:val="20"/>
          <w:lang w:val="es-ES"/>
        </w:rPr>
        <w:footnoteReference w:id="99"/>
      </w:r>
      <w:r w:rsidRPr="00F825B7">
        <w:rPr>
          <w:rFonts w:asciiTheme="majorBidi" w:hAnsiTheme="majorBidi" w:cstheme="majorBidi"/>
          <w:sz w:val="20"/>
          <w:szCs w:val="20"/>
          <w:lang w:val="es-ES"/>
        </w:rPr>
        <w:t xml:space="preserve"> Durante el período que abarca el informe, el ACNUDH documentó la desaparición de dos hombres y una mujer, d</w:t>
      </w:r>
      <w:r>
        <w:rPr>
          <w:rFonts w:asciiTheme="majorBidi" w:hAnsiTheme="majorBidi" w:cstheme="majorBidi"/>
          <w:sz w:val="20"/>
          <w:szCs w:val="20"/>
          <w:lang w:val="es-ES"/>
        </w:rPr>
        <w:t>e los cuales dos desaparecieron</w:t>
      </w:r>
      <w:r w:rsidRPr="00F825B7">
        <w:rPr>
          <w:rFonts w:asciiTheme="majorBidi" w:hAnsiTheme="majorBidi" w:cstheme="majorBidi"/>
          <w:sz w:val="20"/>
          <w:szCs w:val="20"/>
          <w:lang w:val="es-ES"/>
        </w:rPr>
        <w:t xml:space="preserve"> en zonas fronterizas con Colombia, así como la desaparición de una embarcación que zarpó del estado Falcón en diciembre de 2023, con ocho hombres a bordo. Una ONG informó de al menos 130 desapariciones en zonas fronterizas entre enero y septiembre de 2023.</w:t>
      </w:r>
      <w:r>
        <w:rPr>
          <w:rStyle w:val="FootnoteReference"/>
          <w:rFonts w:cstheme="majorBidi"/>
          <w:szCs w:val="20"/>
          <w:lang w:val="es-ES"/>
        </w:rPr>
        <w:footnoteReference w:id="100"/>
      </w:r>
      <w:r>
        <w:rPr>
          <w:rFonts w:asciiTheme="majorBidi" w:hAnsiTheme="majorBidi" w:cstheme="majorBidi"/>
          <w:sz w:val="20"/>
          <w:szCs w:val="20"/>
          <w:lang w:val="es-ES"/>
        </w:rPr>
        <w:t xml:space="preserve"> I</w:t>
      </w:r>
      <w:r w:rsidRPr="00F825B7">
        <w:rPr>
          <w:rFonts w:asciiTheme="majorBidi" w:hAnsiTheme="majorBidi" w:cstheme="majorBidi"/>
          <w:sz w:val="20"/>
          <w:szCs w:val="20"/>
          <w:lang w:val="es-ES"/>
        </w:rPr>
        <w:t xml:space="preserve">nformes también </w:t>
      </w:r>
      <w:r>
        <w:rPr>
          <w:rFonts w:asciiTheme="majorBidi" w:hAnsiTheme="majorBidi" w:cstheme="majorBidi"/>
          <w:sz w:val="20"/>
          <w:szCs w:val="20"/>
          <w:lang w:val="es-ES"/>
        </w:rPr>
        <w:t>destacan</w:t>
      </w:r>
      <w:r w:rsidRPr="00F825B7">
        <w:rPr>
          <w:rFonts w:asciiTheme="majorBidi" w:hAnsiTheme="majorBidi" w:cstheme="majorBidi"/>
          <w:sz w:val="20"/>
          <w:szCs w:val="20"/>
          <w:lang w:val="es-ES"/>
        </w:rPr>
        <w:t xml:space="preserve"> denuncias de formas contemporáneas de esclavitud, incluida la prostitución forzada en zonas mineras como el Arco del Orinoco.</w:t>
      </w:r>
      <w:r>
        <w:rPr>
          <w:rStyle w:val="FootnoteReference"/>
          <w:rFonts w:cstheme="majorBidi"/>
          <w:szCs w:val="20"/>
          <w:lang w:val="es-ES"/>
        </w:rPr>
        <w:footnoteReference w:id="101"/>
      </w:r>
      <w:r w:rsidRPr="00F825B7">
        <w:rPr>
          <w:rFonts w:asciiTheme="majorBidi" w:hAnsiTheme="majorBidi" w:cstheme="majorBidi"/>
          <w:sz w:val="20"/>
          <w:szCs w:val="20"/>
          <w:lang w:val="es-ES"/>
        </w:rPr>
        <w:t xml:space="preserve"> El ACNUDH alienta a las autoridades a abordar las causas estructurales de la trata de personas y a redoblar los esfuerzos para prevenir</w:t>
      </w:r>
      <w:r>
        <w:rPr>
          <w:rFonts w:asciiTheme="majorBidi" w:hAnsiTheme="majorBidi" w:cstheme="majorBidi"/>
          <w:sz w:val="20"/>
          <w:szCs w:val="20"/>
          <w:lang w:val="es-ES"/>
        </w:rPr>
        <w:t>la</w:t>
      </w:r>
      <w:r w:rsidRPr="00F825B7">
        <w:rPr>
          <w:rFonts w:asciiTheme="majorBidi" w:hAnsiTheme="majorBidi" w:cstheme="majorBidi"/>
          <w:sz w:val="20"/>
          <w:szCs w:val="20"/>
          <w:lang w:val="es-ES"/>
        </w:rPr>
        <w:t>.</w:t>
      </w:r>
      <w:r>
        <w:rPr>
          <w:rStyle w:val="FootnoteReference"/>
          <w:rFonts w:cstheme="majorBidi"/>
          <w:szCs w:val="20"/>
          <w:lang w:val="es-ES"/>
        </w:rPr>
        <w:footnoteReference w:id="102"/>
      </w:r>
      <w:r w:rsidRPr="00F825B7">
        <w:rPr>
          <w:rFonts w:asciiTheme="majorBidi" w:hAnsiTheme="majorBidi" w:cstheme="majorBidi"/>
          <w:sz w:val="20"/>
          <w:szCs w:val="20"/>
          <w:lang w:val="es-ES"/>
        </w:rPr>
        <w:t xml:space="preserve"> También observa que no se ha publicado el Plan de Acción Nacional contra la Trata de Personas 2021-2025.</w:t>
      </w:r>
      <w:r>
        <w:rPr>
          <w:rStyle w:val="FootnoteReference"/>
          <w:rFonts w:cstheme="majorBidi"/>
          <w:szCs w:val="20"/>
          <w:lang w:val="es-ES"/>
        </w:rPr>
        <w:footnoteReference w:id="103"/>
      </w:r>
    </w:p>
    <w:p w14:paraId="779A1BD1" w14:textId="77777777" w:rsidR="00E444D5" w:rsidRPr="00F825B7" w:rsidRDefault="00E444D5" w:rsidP="007D32A8">
      <w:pPr>
        <w:pStyle w:val="ListParagraph"/>
        <w:ind w:left="1134" w:right="1080"/>
        <w:rPr>
          <w:rFonts w:asciiTheme="majorBidi" w:hAnsiTheme="majorBidi" w:cstheme="majorBidi"/>
          <w:sz w:val="20"/>
          <w:szCs w:val="20"/>
          <w:lang w:val="es-ES"/>
        </w:rPr>
      </w:pPr>
    </w:p>
    <w:p w14:paraId="6E2A06E7" w14:textId="528FD45B" w:rsidR="00E444D5" w:rsidRPr="00AC7973" w:rsidRDefault="00E444D5" w:rsidP="007D32A8">
      <w:pPr>
        <w:pStyle w:val="H1G"/>
        <w:numPr>
          <w:ilvl w:val="0"/>
          <w:numId w:val="32"/>
        </w:numPr>
        <w:tabs>
          <w:tab w:val="clear" w:pos="851"/>
          <w:tab w:val="right" w:pos="1134"/>
        </w:tabs>
        <w:ind w:hanging="437"/>
      </w:pPr>
      <w:r w:rsidRPr="009240AA">
        <w:t>Acceso a la Justicia y Reparaci</w:t>
      </w:r>
      <w:r>
        <w:t>ó</w:t>
      </w:r>
      <w:r w:rsidRPr="009240AA">
        <w:t>n</w:t>
      </w:r>
    </w:p>
    <w:p w14:paraId="5D57ADFF" w14:textId="77777777" w:rsidR="00E444D5" w:rsidRPr="003C61BD" w:rsidRDefault="00E444D5" w:rsidP="007D32A8">
      <w:pPr>
        <w:pStyle w:val="ListParagraph"/>
        <w:ind w:left="1134"/>
        <w:rPr>
          <w:rFonts w:asciiTheme="majorBidi" w:hAnsiTheme="majorBidi" w:cstheme="majorBidi"/>
          <w:sz w:val="20"/>
          <w:szCs w:val="20"/>
          <w:lang w:val="es-ES"/>
        </w:rPr>
      </w:pPr>
    </w:p>
    <w:p w14:paraId="07BB0700"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t xml:space="preserve">Durante el período que abarca este informe, el ACNUDH </w:t>
      </w:r>
      <w:r>
        <w:rPr>
          <w:rFonts w:asciiTheme="majorBidi" w:hAnsiTheme="majorBidi" w:cstheme="majorBidi"/>
          <w:sz w:val="20"/>
          <w:szCs w:val="20"/>
          <w:lang w:val="es-ES"/>
        </w:rPr>
        <w:t xml:space="preserve">proporcionó </w:t>
      </w:r>
      <w:r w:rsidRPr="003C61BD">
        <w:rPr>
          <w:rFonts w:asciiTheme="majorBidi" w:hAnsiTheme="majorBidi" w:cstheme="majorBidi"/>
          <w:sz w:val="20"/>
          <w:szCs w:val="20"/>
          <w:lang w:val="es-ES"/>
        </w:rPr>
        <w:t xml:space="preserve">asistencia técnica </w:t>
      </w:r>
      <w:r>
        <w:rPr>
          <w:rFonts w:asciiTheme="majorBidi" w:hAnsiTheme="majorBidi" w:cstheme="majorBidi"/>
          <w:sz w:val="20"/>
          <w:szCs w:val="20"/>
          <w:lang w:val="es-ES"/>
        </w:rPr>
        <w:t>y capacitación a</w:t>
      </w:r>
      <w:r w:rsidRPr="003C61BD">
        <w:rPr>
          <w:rFonts w:asciiTheme="majorBidi" w:hAnsiTheme="majorBidi" w:cstheme="majorBidi"/>
          <w:sz w:val="20"/>
          <w:szCs w:val="20"/>
          <w:lang w:val="es-ES"/>
        </w:rPr>
        <w:t xml:space="preserve"> las autoridades del Ministerio de Relaciones Interiores, Justicia y Paz, así como </w:t>
      </w:r>
      <w:r>
        <w:rPr>
          <w:rFonts w:asciiTheme="majorBidi" w:hAnsiTheme="majorBidi" w:cstheme="majorBidi"/>
          <w:sz w:val="20"/>
          <w:szCs w:val="20"/>
          <w:lang w:val="es-ES"/>
        </w:rPr>
        <w:t>a</w:t>
      </w:r>
      <w:r w:rsidRPr="003C61BD">
        <w:rPr>
          <w:rFonts w:asciiTheme="majorBidi" w:hAnsiTheme="majorBidi" w:cstheme="majorBidi"/>
          <w:sz w:val="20"/>
          <w:szCs w:val="20"/>
          <w:lang w:val="es-ES"/>
        </w:rPr>
        <w:t xml:space="preserve"> otras instituciones</w:t>
      </w:r>
      <w:r>
        <w:rPr>
          <w:rFonts w:asciiTheme="majorBidi" w:hAnsiTheme="majorBidi" w:cstheme="majorBidi"/>
          <w:sz w:val="20"/>
          <w:szCs w:val="20"/>
          <w:lang w:val="es-ES"/>
        </w:rPr>
        <w:t xml:space="preserve"> relevantes</w:t>
      </w:r>
      <w:r w:rsidRPr="003C61BD">
        <w:rPr>
          <w:rFonts w:asciiTheme="majorBidi" w:hAnsiTheme="majorBidi" w:cstheme="majorBidi"/>
          <w:sz w:val="20"/>
          <w:szCs w:val="20"/>
          <w:lang w:val="es-ES"/>
        </w:rPr>
        <w:t xml:space="preserve">, en relación </w:t>
      </w:r>
      <w:r>
        <w:rPr>
          <w:rFonts w:asciiTheme="majorBidi" w:hAnsiTheme="majorBidi" w:cstheme="majorBidi"/>
          <w:sz w:val="20"/>
          <w:szCs w:val="20"/>
          <w:lang w:val="es-ES"/>
        </w:rPr>
        <w:t xml:space="preserve">con </w:t>
      </w:r>
      <w:r w:rsidRPr="003C61BD">
        <w:rPr>
          <w:rFonts w:asciiTheme="majorBidi" w:hAnsiTheme="majorBidi" w:cstheme="majorBidi"/>
          <w:sz w:val="20"/>
          <w:szCs w:val="20"/>
          <w:lang w:val="es-ES"/>
        </w:rPr>
        <w:t>el apoyo a las víctimas de la violencia</w:t>
      </w:r>
      <w:r>
        <w:rPr>
          <w:rFonts w:asciiTheme="majorBidi" w:hAnsiTheme="majorBidi" w:cstheme="majorBidi"/>
          <w:sz w:val="20"/>
          <w:szCs w:val="20"/>
          <w:lang w:val="es-ES"/>
        </w:rPr>
        <w:t xml:space="preserve"> y del </w:t>
      </w:r>
      <w:r w:rsidRPr="00FC6A32">
        <w:rPr>
          <w:rFonts w:asciiTheme="majorBidi" w:hAnsiTheme="majorBidi" w:cstheme="majorBidi"/>
          <w:sz w:val="20"/>
          <w:szCs w:val="20"/>
          <w:lang w:val="es-ES"/>
        </w:rPr>
        <w:t>enfoque centrado en la víctima en el desempeño de sus funciones</w:t>
      </w:r>
      <w:r w:rsidRPr="003C61BD">
        <w:rPr>
          <w:rFonts w:asciiTheme="majorBidi" w:hAnsiTheme="majorBidi" w:cstheme="majorBidi"/>
          <w:sz w:val="20"/>
          <w:szCs w:val="20"/>
          <w:lang w:val="es-ES"/>
        </w:rPr>
        <w:t>.</w:t>
      </w:r>
    </w:p>
    <w:p w14:paraId="2D084C0A"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3259E896"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t xml:space="preserve">Durante el período que abarca el informe, siete agentes de la </w:t>
      </w:r>
      <w:r>
        <w:rPr>
          <w:rFonts w:asciiTheme="majorBidi" w:hAnsiTheme="majorBidi" w:cstheme="majorBidi"/>
          <w:sz w:val="20"/>
          <w:szCs w:val="20"/>
          <w:lang w:val="es-ES"/>
        </w:rPr>
        <w:t>ya</w:t>
      </w:r>
      <w:r w:rsidRPr="003C61BD">
        <w:rPr>
          <w:rFonts w:asciiTheme="majorBidi" w:hAnsiTheme="majorBidi" w:cstheme="majorBidi"/>
          <w:sz w:val="20"/>
          <w:szCs w:val="20"/>
          <w:lang w:val="es-ES"/>
        </w:rPr>
        <w:t xml:space="preserve"> disuelta Fuerza de Acciones Especiales fueron condenados a períodos de entre 23 y 30 años de prisión </w:t>
      </w:r>
      <w:r>
        <w:rPr>
          <w:rFonts w:asciiTheme="majorBidi" w:hAnsiTheme="majorBidi" w:cstheme="majorBidi"/>
          <w:sz w:val="20"/>
          <w:szCs w:val="20"/>
          <w:lang w:val="es-ES"/>
        </w:rPr>
        <w:t>bajo cargos de</w:t>
      </w:r>
      <w:r w:rsidRPr="003C61BD">
        <w:rPr>
          <w:rFonts w:asciiTheme="majorBidi" w:hAnsiTheme="majorBidi" w:cstheme="majorBidi"/>
          <w:sz w:val="20"/>
          <w:szCs w:val="20"/>
          <w:lang w:val="es-ES"/>
        </w:rPr>
        <w:t xml:space="preserve"> </w:t>
      </w:r>
      <w:r>
        <w:rPr>
          <w:rFonts w:asciiTheme="majorBidi" w:hAnsiTheme="majorBidi" w:cstheme="majorBidi"/>
          <w:sz w:val="20"/>
          <w:szCs w:val="20"/>
          <w:lang w:val="es-ES"/>
        </w:rPr>
        <w:t>homicidios ocurridos en el contexto de</w:t>
      </w:r>
      <w:r w:rsidRPr="003C61BD">
        <w:rPr>
          <w:rFonts w:asciiTheme="majorBidi" w:hAnsiTheme="majorBidi" w:cstheme="majorBidi"/>
          <w:sz w:val="20"/>
          <w:szCs w:val="20"/>
          <w:lang w:val="es-ES"/>
        </w:rPr>
        <w:t xml:space="preserve"> operaciones de seguridad entre 2018 y 2019, lo que supone un paso positivo para las familias que buscan justicia y reparación. Sin embargo, persisten retrasos en las investigaciones de casos de muertes en protestas y en operaciones de seguridad</w:t>
      </w:r>
      <w:r>
        <w:rPr>
          <w:rFonts w:asciiTheme="majorBidi" w:hAnsiTheme="majorBidi" w:cstheme="majorBidi"/>
          <w:sz w:val="20"/>
          <w:szCs w:val="20"/>
          <w:lang w:val="es-ES"/>
        </w:rPr>
        <w:t>.</w:t>
      </w:r>
      <w:r w:rsidRPr="003C61BD">
        <w:rPr>
          <w:rFonts w:asciiTheme="majorBidi" w:hAnsiTheme="majorBidi" w:cstheme="majorBidi"/>
          <w:sz w:val="20"/>
          <w:szCs w:val="20"/>
          <w:lang w:val="es-ES"/>
        </w:rPr>
        <w:t xml:space="preserve"> </w:t>
      </w:r>
      <w:r>
        <w:rPr>
          <w:rFonts w:asciiTheme="majorBidi" w:hAnsiTheme="majorBidi" w:cstheme="majorBidi"/>
          <w:sz w:val="20"/>
          <w:szCs w:val="20"/>
          <w:lang w:val="es-ES"/>
        </w:rPr>
        <w:t xml:space="preserve">El </w:t>
      </w:r>
      <w:r w:rsidRPr="003C61BD">
        <w:rPr>
          <w:rFonts w:asciiTheme="majorBidi" w:hAnsiTheme="majorBidi" w:cstheme="majorBidi"/>
          <w:sz w:val="20"/>
          <w:szCs w:val="20"/>
          <w:lang w:val="es-ES"/>
        </w:rPr>
        <w:t xml:space="preserve">ACNUDH observa que estas investigaciones no han abordado la cadena de responsabilidades. De los 114 casos de muertes en el contexto de operaciones de seguridad documentados, sólo ocho terminaron en sentencias, de las cuales tres fueron apeladas, 12 casos están en juicio y 91 casos siguen bajo investigación (de los cuales 38 casos permanecen sin cargos, mientras que en 30 casos se desconocen los cargos). En tres casos se desconoce </w:t>
      </w:r>
      <w:r>
        <w:rPr>
          <w:rFonts w:asciiTheme="majorBidi" w:hAnsiTheme="majorBidi" w:cstheme="majorBidi"/>
          <w:sz w:val="20"/>
          <w:szCs w:val="20"/>
          <w:lang w:val="es-ES"/>
        </w:rPr>
        <w:t>el estado de su avance.</w:t>
      </w:r>
    </w:p>
    <w:p w14:paraId="3E3C8AE0"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33A878AF"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t xml:space="preserve">El ACNUDH lamenta la falta de avance en las investigaciones </w:t>
      </w:r>
      <w:r>
        <w:rPr>
          <w:rFonts w:asciiTheme="majorBidi" w:hAnsiTheme="majorBidi" w:cstheme="majorBidi"/>
          <w:sz w:val="20"/>
          <w:szCs w:val="20"/>
          <w:lang w:val="es-ES"/>
        </w:rPr>
        <w:t>de</w:t>
      </w:r>
      <w:r w:rsidRPr="003C61BD">
        <w:rPr>
          <w:rFonts w:asciiTheme="majorBidi" w:hAnsiTheme="majorBidi" w:cstheme="majorBidi"/>
          <w:sz w:val="20"/>
          <w:szCs w:val="20"/>
          <w:lang w:val="es-ES"/>
        </w:rPr>
        <w:t xml:space="preserve"> muertes en protestas que tuvieron lugar entre 2014 y 2019. De 43 casos documentados por </w:t>
      </w:r>
      <w:r>
        <w:rPr>
          <w:rFonts w:asciiTheme="majorBidi" w:hAnsiTheme="majorBidi" w:cstheme="majorBidi"/>
          <w:sz w:val="20"/>
          <w:szCs w:val="20"/>
          <w:lang w:val="es-ES"/>
        </w:rPr>
        <w:t>el</w:t>
      </w:r>
      <w:r w:rsidRPr="003C61BD">
        <w:rPr>
          <w:rFonts w:asciiTheme="majorBidi" w:hAnsiTheme="majorBidi" w:cstheme="majorBidi"/>
          <w:sz w:val="20"/>
          <w:szCs w:val="20"/>
          <w:lang w:val="es-ES"/>
        </w:rPr>
        <w:t xml:space="preserve"> ACNUDH, 28 permanecen bajo investigación o en juicio con diligencias procesales aún pendientes, 14 de los cuales carecen de acusación. Cuatro han sido sobreseídos, o los imputados absueltos, ocho han derivado en condenas y los tres restantes están pendientes de resolución por parte del Tribunal Supremo de Justicia.</w:t>
      </w:r>
    </w:p>
    <w:p w14:paraId="612AAC16"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3D18B204"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t>De los casos de muertes en protestas y en operaciones de seguridad, el ACNUDH recibió informes de trato degradante por parte de funcionarios judiciales hacia los familiares de las víctimas en al menos 30 casos, incluida la denegación de asistencia, así como la denegación de acceso a los expedientes en 46 casos. El ACNUDH insta a que se redoblen los esfuerzos para garantizar que las víctimas y sus familiares tengan acceso a la justicia y a reparaciones adecuadas, efectivas y rápidas, sin más angustia y revictimización, así como a que se respete su derecho a</w:t>
      </w:r>
      <w:r>
        <w:rPr>
          <w:rFonts w:asciiTheme="majorBidi" w:hAnsiTheme="majorBidi" w:cstheme="majorBidi"/>
          <w:sz w:val="20"/>
          <w:szCs w:val="20"/>
          <w:lang w:val="es-ES"/>
        </w:rPr>
        <w:t>l debido proceso y a</w:t>
      </w:r>
      <w:r w:rsidRPr="003C61BD">
        <w:rPr>
          <w:rFonts w:asciiTheme="majorBidi" w:hAnsiTheme="majorBidi" w:cstheme="majorBidi"/>
          <w:sz w:val="20"/>
          <w:szCs w:val="20"/>
          <w:lang w:val="es-ES"/>
        </w:rPr>
        <w:t xml:space="preserve"> participar </w:t>
      </w:r>
      <w:r>
        <w:rPr>
          <w:rFonts w:asciiTheme="majorBidi" w:hAnsiTheme="majorBidi" w:cstheme="majorBidi"/>
          <w:sz w:val="20"/>
          <w:szCs w:val="20"/>
          <w:lang w:val="es-ES"/>
        </w:rPr>
        <w:t xml:space="preserve">de manera significativa </w:t>
      </w:r>
      <w:r w:rsidRPr="003C61BD">
        <w:rPr>
          <w:rFonts w:asciiTheme="majorBidi" w:hAnsiTheme="majorBidi" w:cstheme="majorBidi"/>
          <w:sz w:val="20"/>
          <w:szCs w:val="20"/>
          <w:lang w:val="es-ES"/>
        </w:rPr>
        <w:t>en los procedimientos judiciales y en las investigaciones.</w:t>
      </w:r>
    </w:p>
    <w:p w14:paraId="77721E1D"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6FFA367E"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lastRenderedPageBreak/>
        <w:t xml:space="preserve">Durante el período que abarca este informe, no se observaron avances en las investigaciones de los asesinatos de cinco </w:t>
      </w:r>
      <w:r>
        <w:rPr>
          <w:rFonts w:asciiTheme="majorBidi" w:hAnsiTheme="majorBidi" w:cstheme="majorBidi"/>
          <w:sz w:val="20"/>
          <w:szCs w:val="20"/>
          <w:lang w:val="es-ES"/>
        </w:rPr>
        <w:t>I</w:t>
      </w:r>
      <w:r w:rsidRPr="003C61BD">
        <w:rPr>
          <w:rFonts w:asciiTheme="majorBidi" w:hAnsiTheme="majorBidi" w:cstheme="majorBidi"/>
          <w:sz w:val="20"/>
          <w:szCs w:val="20"/>
          <w:lang w:val="es-ES"/>
        </w:rPr>
        <w:t xml:space="preserve">ndígenas denunciados anteriormente, entre ellos el del defensor de los derechos humanos de los </w:t>
      </w:r>
      <w:r>
        <w:rPr>
          <w:rFonts w:asciiTheme="majorBidi" w:hAnsiTheme="majorBidi" w:cstheme="majorBidi"/>
          <w:sz w:val="20"/>
          <w:szCs w:val="20"/>
          <w:lang w:val="es-ES"/>
        </w:rPr>
        <w:t>I</w:t>
      </w:r>
      <w:r w:rsidRPr="003C61BD">
        <w:rPr>
          <w:rFonts w:asciiTheme="majorBidi" w:hAnsiTheme="majorBidi" w:cstheme="majorBidi"/>
          <w:sz w:val="20"/>
          <w:szCs w:val="20"/>
          <w:lang w:val="es-ES"/>
        </w:rPr>
        <w:t xml:space="preserve">ndígenas y coordinador de los guardianes territoriales </w:t>
      </w:r>
      <w:r>
        <w:rPr>
          <w:rFonts w:asciiTheme="majorBidi" w:hAnsiTheme="majorBidi" w:cstheme="majorBidi"/>
          <w:sz w:val="20"/>
          <w:szCs w:val="20"/>
          <w:lang w:val="es-ES"/>
        </w:rPr>
        <w:t>I</w:t>
      </w:r>
      <w:r w:rsidRPr="003C61BD">
        <w:rPr>
          <w:rFonts w:asciiTheme="majorBidi" w:hAnsiTheme="majorBidi" w:cstheme="majorBidi"/>
          <w:sz w:val="20"/>
          <w:szCs w:val="20"/>
          <w:lang w:val="es-ES"/>
        </w:rPr>
        <w:t xml:space="preserve">ndígenas </w:t>
      </w:r>
      <w:proofErr w:type="spellStart"/>
      <w:r>
        <w:rPr>
          <w:rFonts w:asciiTheme="majorBidi" w:hAnsiTheme="majorBidi" w:cstheme="majorBidi"/>
          <w:sz w:val="20"/>
          <w:szCs w:val="20"/>
          <w:lang w:val="es-ES"/>
        </w:rPr>
        <w:t>U</w:t>
      </w:r>
      <w:r w:rsidRPr="003C61BD">
        <w:rPr>
          <w:rFonts w:asciiTheme="majorBidi" w:hAnsiTheme="majorBidi" w:cstheme="majorBidi"/>
          <w:sz w:val="20"/>
          <w:szCs w:val="20"/>
          <w:lang w:val="es-ES"/>
        </w:rPr>
        <w:t>wottüja</w:t>
      </w:r>
      <w:proofErr w:type="spellEnd"/>
      <w:r w:rsidRPr="003C61BD">
        <w:rPr>
          <w:rFonts w:asciiTheme="majorBidi" w:hAnsiTheme="majorBidi" w:cstheme="majorBidi"/>
          <w:sz w:val="20"/>
          <w:szCs w:val="20"/>
          <w:lang w:val="es-ES"/>
        </w:rPr>
        <w:t>, Virgilio Trujillo, asesinado en 2022 en el estado de Amazonas.</w:t>
      </w:r>
      <w:r w:rsidRPr="003D32FD">
        <w:rPr>
          <w:rStyle w:val="FootnoteReference"/>
          <w:rFonts w:cstheme="majorBidi"/>
          <w:szCs w:val="20"/>
          <w:lang w:val="es-ES"/>
        </w:rPr>
        <w:t xml:space="preserve"> </w:t>
      </w:r>
      <w:r>
        <w:rPr>
          <w:rStyle w:val="FootnoteReference"/>
          <w:rFonts w:cstheme="majorBidi"/>
          <w:szCs w:val="20"/>
          <w:lang w:val="es-ES"/>
        </w:rPr>
        <w:footnoteReference w:id="104"/>
      </w:r>
      <w:r w:rsidRPr="003C61BD">
        <w:rPr>
          <w:rFonts w:asciiTheme="majorBidi" w:hAnsiTheme="majorBidi" w:cstheme="majorBidi"/>
          <w:sz w:val="20"/>
          <w:szCs w:val="20"/>
          <w:lang w:val="es-ES"/>
        </w:rPr>
        <w:t xml:space="preserve"> El ACNUDH reitera sus llamamientos para que se lleve a cabo una investigación independiente, imparcial, rápida, exhaustiva y efectiva de las violaciones del derecho a la vida cometidas contra personas </w:t>
      </w:r>
      <w:r>
        <w:rPr>
          <w:rFonts w:asciiTheme="majorBidi" w:hAnsiTheme="majorBidi" w:cstheme="majorBidi"/>
          <w:sz w:val="20"/>
          <w:szCs w:val="20"/>
          <w:lang w:val="es-ES"/>
        </w:rPr>
        <w:t>I</w:t>
      </w:r>
      <w:r w:rsidRPr="003C61BD">
        <w:rPr>
          <w:rFonts w:asciiTheme="majorBidi" w:hAnsiTheme="majorBidi" w:cstheme="majorBidi"/>
          <w:sz w:val="20"/>
          <w:szCs w:val="20"/>
          <w:lang w:val="es-ES"/>
        </w:rPr>
        <w:t>ndígenas.</w:t>
      </w:r>
      <w:r>
        <w:rPr>
          <w:rStyle w:val="FootnoteReference"/>
          <w:rFonts w:cstheme="majorBidi"/>
          <w:szCs w:val="20"/>
          <w:lang w:val="es-ES"/>
        </w:rPr>
        <w:footnoteReference w:id="105"/>
      </w:r>
    </w:p>
    <w:p w14:paraId="6D0978A1"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1F65B83E"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Pr>
          <w:rFonts w:asciiTheme="majorBidi" w:hAnsiTheme="majorBidi" w:cstheme="majorBidi"/>
          <w:sz w:val="20"/>
          <w:szCs w:val="20"/>
          <w:lang w:val="es-ES"/>
        </w:rPr>
        <w:t xml:space="preserve">El </w:t>
      </w:r>
      <w:r w:rsidRPr="003C61BD">
        <w:rPr>
          <w:rFonts w:asciiTheme="majorBidi" w:hAnsiTheme="majorBidi" w:cstheme="majorBidi"/>
          <w:sz w:val="20"/>
          <w:szCs w:val="20"/>
          <w:lang w:val="es-ES"/>
        </w:rPr>
        <w:t>ACNUDH continúa preocupad</w:t>
      </w:r>
      <w:r>
        <w:rPr>
          <w:rFonts w:asciiTheme="majorBidi" w:hAnsiTheme="majorBidi" w:cstheme="majorBidi"/>
          <w:sz w:val="20"/>
          <w:szCs w:val="20"/>
          <w:lang w:val="es-ES"/>
        </w:rPr>
        <w:t>o</w:t>
      </w:r>
      <w:r w:rsidRPr="003C61BD">
        <w:rPr>
          <w:rFonts w:asciiTheme="majorBidi" w:hAnsiTheme="majorBidi" w:cstheme="majorBidi"/>
          <w:sz w:val="20"/>
          <w:szCs w:val="20"/>
          <w:lang w:val="es-ES"/>
        </w:rPr>
        <w:t xml:space="preserve"> por la </w:t>
      </w:r>
      <w:r>
        <w:rPr>
          <w:rFonts w:asciiTheme="majorBidi" w:hAnsiTheme="majorBidi" w:cstheme="majorBidi"/>
          <w:sz w:val="20"/>
          <w:szCs w:val="20"/>
          <w:lang w:val="es-ES"/>
        </w:rPr>
        <w:t>falta</w:t>
      </w:r>
      <w:r w:rsidRPr="003C61BD">
        <w:rPr>
          <w:rFonts w:asciiTheme="majorBidi" w:hAnsiTheme="majorBidi" w:cstheme="majorBidi"/>
          <w:sz w:val="20"/>
          <w:szCs w:val="20"/>
          <w:lang w:val="es-ES"/>
        </w:rPr>
        <w:t xml:space="preserve"> de avances en las investigaciones sobre las presuntas desapariciones forzadas de Hugo Henrique Marino Salas y del teniente coronel Juan Antonio Hurtado Campos desaparecido</w:t>
      </w:r>
      <w:r>
        <w:rPr>
          <w:rFonts w:asciiTheme="majorBidi" w:hAnsiTheme="majorBidi" w:cstheme="majorBidi"/>
          <w:sz w:val="20"/>
          <w:szCs w:val="20"/>
          <w:lang w:val="es-ES"/>
        </w:rPr>
        <w:t>s</w:t>
      </w:r>
      <w:r w:rsidRPr="003C61BD">
        <w:rPr>
          <w:rFonts w:asciiTheme="majorBidi" w:hAnsiTheme="majorBidi" w:cstheme="majorBidi"/>
          <w:sz w:val="20"/>
          <w:szCs w:val="20"/>
          <w:lang w:val="es-ES"/>
        </w:rPr>
        <w:t xml:space="preserve"> desde</w:t>
      </w:r>
      <w:r>
        <w:rPr>
          <w:rFonts w:asciiTheme="majorBidi" w:hAnsiTheme="majorBidi" w:cstheme="majorBidi"/>
          <w:sz w:val="20"/>
          <w:szCs w:val="20"/>
          <w:lang w:val="es-ES"/>
        </w:rPr>
        <w:t xml:space="preserve"> 2019 y</w:t>
      </w:r>
      <w:r w:rsidRPr="003C61BD">
        <w:rPr>
          <w:rFonts w:asciiTheme="majorBidi" w:hAnsiTheme="majorBidi" w:cstheme="majorBidi"/>
          <w:sz w:val="20"/>
          <w:szCs w:val="20"/>
          <w:lang w:val="es-ES"/>
        </w:rPr>
        <w:t xml:space="preserve"> 2018</w:t>
      </w:r>
      <w:r>
        <w:rPr>
          <w:rFonts w:asciiTheme="majorBidi" w:hAnsiTheme="majorBidi" w:cstheme="majorBidi"/>
          <w:sz w:val="20"/>
          <w:szCs w:val="20"/>
          <w:lang w:val="es-ES"/>
        </w:rPr>
        <w:t xml:space="preserve"> respectivamente</w:t>
      </w:r>
      <w:r w:rsidRPr="003C61BD">
        <w:rPr>
          <w:rFonts w:asciiTheme="majorBidi" w:hAnsiTheme="majorBidi" w:cstheme="majorBidi"/>
          <w:sz w:val="20"/>
          <w:szCs w:val="20"/>
          <w:lang w:val="es-ES"/>
        </w:rPr>
        <w:t>,</w:t>
      </w:r>
      <w:r>
        <w:rPr>
          <w:rStyle w:val="FootnoteReference"/>
          <w:rFonts w:cstheme="majorBidi"/>
          <w:szCs w:val="20"/>
          <w:lang w:val="es-ES"/>
        </w:rPr>
        <w:footnoteReference w:id="106"/>
      </w:r>
      <w:r w:rsidRPr="003C61BD">
        <w:rPr>
          <w:rFonts w:asciiTheme="majorBidi" w:hAnsiTheme="majorBidi" w:cstheme="majorBidi"/>
          <w:sz w:val="20"/>
          <w:szCs w:val="20"/>
          <w:lang w:val="es-ES"/>
        </w:rPr>
        <w:t xml:space="preserve"> así como de Nelson Alexis Giménez Canelón, desaparecido desde 2017.</w:t>
      </w:r>
    </w:p>
    <w:p w14:paraId="1C59F0D3"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4178A160"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Pr>
          <w:rFonts w:asciiTheme="majorBidi" w:hAnsiTheme="majorBidi" w:cstheme="majorBidi"/>
          <w:sz w:val="20"/>
          <w:szCs w:val="20"/>
          <w:lang w:val="es-ES"/>
        </w:rPr>
        <w:t>Se informa que el 16 de enero 2024, el T</w:t>
      </w:r>
      <w:r w:rsidRPr="00C06E11">
        <w:rPr>
          <w:rFonts w:asciiTheme="majorBidi" w:hAnsiTheme="majorBidi" w:cstheme="majorBidi"/>
          <w:sz w:val="20"/>
          <w:szCs w:val="20"/>
          <w:lang w:val="es-ES"/>
        </w:rPr>
        <w:t xml:space="preserve">ribunal </w:t>
      </w:r>
      <w:r>
        <w:rPr>
          <w:rFonts w:asciiTheme="majorBidi" w:hAnsiTheme="majorBidi" w:cstheme="majorBidi"/>
          <w:sz w:val="20"/>
          <w:szCs w:val="20"/>
          <w:lang w:val="es-ES"/>
        </w:rPr>
        <w:t>P</w:t>
      </w:r>
      <w:r w:rsidRPr="00C06E11">
        <w:rPr>
          <w:rFonts w:asciiTheme="majorBidi" w:hAnsiTheme="majorBidi" w:cstheme="majorBidi"/>
          <w:sz w:val="20"/>
          <w:szCs w:val="20"/>
          <w:lang w:val="es-ES"/>
        </w:rPr>
        <w:t xml:space="preserve">rimero </w:t>
      </w:r>
      <w:r>
        <w:rPr>
          <w:rFonts w:asciiTheme="majorBidi" w:hAnsiTheme="majorBidi" w:cstheme="majorBidi"/>
          <w:sz w:val="20"/>
          <w:szCs w:val="20"/>
          <w:lang w:val="es-ES"/>
        </w:rPr>
        <w:t>P</w:t>
      </w:r>
      <w:r w:rsidRPr="00C06E11">
        <w:rPr>
          <w:rFonts w:asciiTheme="majorBidi" w:hAnsiTheme="majorBidi" w:cstheme="majorBidi"/>
          <w:sz w:val="20"/>
          <w:szCs w:val="20"/>
          <w:lang w:val="es-ES"/>
        </w:rPr>
        <w:t xml:space="preserve">enal de </w:t>
      </w:r>
      <w:r>
        <w:rPr>
          <w:rFonts w:asciiTheme="majorBidi" w:hAnsiTheme="majorBidi" w:cstheme="majorBidi"/>
          <w:sz w:val="20"/>
          <w:szCs w:val="20"/>
          <w:lang w:val="es-ES"/>
        </w:rPr>
        <w:t>J</w:t>
      </w:r>
      <w:r w:rsidRPr="00C06E11">
        <w:rPr>
          <w:rFonts w:asciiTheme="majorBidi" w:hAnsiTheme="majorBidi" w:cstheme="majorBidi"/>
          <w:sz w:val="20"/>
          <w:szCs w:val="20"/>
          <w:lang w:val="es-ES"/>
        </w:rPr>
        <w:t xml:space="preserve">uicio de </w:t>
      </w:r>
      <w:proofErr w:type="spellStart"/>
      <w:r w:rsidRPr="00C06E11">
        <w:rPr>
          <w:rFonts w:asciiTheme="majorBidi" w:hAnsiTheme="majorBidi" w:cstheme="majorBidi"/>
          <w:sz w:val="20"/>
          <w:szCs w:val="20"/>
          <w:lang w:val="es-ES"/>
        </w:rPr>
        <w:t>Tucacas</w:t>
      </w:r>
      <w:proofErr w:type="spellEnd"/>
      <w:r>
        <w:rPr>
          <w:rFonts w:asciiTheme="majorBidi" w:hAnsiTheme="majorBidi" w:cstheme="majorBidi"/>
          <w:sz w:val="20"/>
          <w:szCs w:val="20"/>
          <w:lang w:val="es-ES"/>
        </w:rPr>
        <w:t xml:space="preserve"> (estado Falcón) condenó a</w:t>
      </w:r>
      <w:r w:rsidRPr="003C61BD">
        <w:rPr>
          <w:rFonts w:asciiTheme="majorBidi" w:hAnsiTheme="majorBidi" w:cstheme="majorBidi"/>
          <w:sz w:val="20"/>
          <w:szCs w:val="20"/>
          <w:lang w:val="es-ES"/>
        </w:rPr>
        <w:t xml:space="preserve"> cuatro </w:t>
      </w:r>
      <w:r>
        <w:rPr>
          <w:rFonts w:asciiTheme="majorBidi" w:hAnsiTheme="majorBidi" w:cstheme="majorBidi"/>
          <w:sz w:val="20"/>
          <w:szCs w:val="20"/>
          <w:lang w:val="es-ES"/>
        </w:rPr>
        <w:t>hombres a siete años de prisión</w:t>
      </w:r>
      <w:r w:rsidRPr="003C61BD">
        <w:rPr>
          <w:rFonts w:asciiTheme="majorBidi" w:hAnsiTheme="majorBidi" w:cstheme="majorBidi"/>
          <w:sz w:val="20"/>
          <w:szCs w:val="20"/>
          <w:lang w:val="es-ES"/>
        </w:rPr>
        <w:t xml:space="preserve"> por cargos de trata de personas en el caso de La Vela de Coro, relativo a la desaparición en el mar de 34 personas (entre ellas 10 mujeres y tres niños) en 2019.</w:t>
      </w:r>
      <w:r>
        <w:rPr>
          <w:rStyle w:val="FootnoteReference"/>
          <w:rFonts w:cstheme="majorBidi"/>
          <w:szCs w:val="20"/>
          <w:lang w:val="es-ES"/>
        </w:rPr>
        <w:footnoteReference w:id="107"/>
      </w:r>
      <w:r w:rsidRPr="003C61BD">
        <w:rPr>
          <w:rFonts w:asciiTheme="majorBidi" w:hAnsiTheme="majorBidi" w:cstheme="majorBidi"/>
          <w:sz w:val="20"/>
          <w:szCs w:val="20"/>
          <w:lang w:val="es-ES"/>
        </w:rPr>
        <w:t xml:space="preserve"> Durante el período que abarca el informe, el ACNUDH siguió observando retrasos en las investigaciones y los procedimientos judiciales, así como dificultades para que las familias y los representantes legales accedieran a la información relativa a</w:t>
      </w:r>
      <w:r>
        <w:rPr>
          <w:rFonts w:asciiTheme="majorBidi" w:hAnsiTheme="majorBidi" w:cstheme="majorBidi"/>
          <w:sz w:val="20"/>
          <w:szCs w:val="20"/>
          <w:lang w:val="es-ES"/>
        </w:rPr>
        <w:t xml:space="preserve"> este y</w:t>
      </w:r>
      <w:r w:rsidRPr="003C61BD">
        <w:rPr>
          <w:rFonts w:asciiTheme="majorBidi" w:hAnsiTheme="majorBidi" w:cstheme="majorBidi"/>
          <w:sz w:val="20"/>
          <w:szCs w:val="20"/>
          <w:lang w:val="es-ES"/>
        </w:rPr>
        <w:t xml:space="preserve"> otros ocho casos de desapariciones documentados en períodos anteriores.</w:t>
      </w:r>
    </w:p>
    <w:p w14:paraId="4BD3A7BB" w14:textId="77777777" w:rsidR="00E444D5" w:rsidRPr="003C61BD" w:rsidRDefault="00E444D5" w:rsidP="007D32A8">
      <w:pPr>
        <w:pStyle w:val="ListParagraph"/>
        <w:ind w:left="1134" w:right="1080"/>
        <w:rPr>
          <w:rFonts w:asciiTheme="majorBidi" w:hAnsiTheme="majorBidi" w:cstheme="majorBidi"/>
          <w:sz w:val="20"/>
          <w:szCs w:val="20"/>
          <w:lang w:val="es-ES"/>
        </w:rPr>
      </w:pPr>
    </w:p>
    <w:p w14:paraId="11D69232" w14:textId="77777777" w:rsidR="00E444D5" w:rsidRDefault="00E444D5" w:rsidP="007D32A8">
      <w:pPr>
        <w:pStyle w:val="ListParagraph"/>
        <w:numPr>
          <w:ilvl w:val="0"/>
          <w:numId w:val="20"/>
        </w:numPr>
        <w:ind w:left="1134" w:right="1080" w:firstLine="0"/>
        <w:rPr>
          <w:rFonts w:asciiTheme="majorBidi" w:hAnsiTheme="majorBidi" w:cstheme="majorBidi"/>
          <w:sz w:val="20"/>
          <w:szCs w:val="20"/>
          <w:lang w:val="es-ES"/>
        </w:rPr>
      </w:pPr>
      <w:r w:rsidRPr="003C61BD">
        <w:rPr>
          <w:rFonts w:asciiTheme="majorBidi" w:hAnsiTheme="majorBidi" w:cstheme="majorBidi"/>
          <w:sz w:val="20"/>
          <w:szCs w:val="20"/>
          <w:lang w:val="es-ES"/>
        </w:rPr>
        <w:t>El ACNUDH expresa su preocupación por los retrasos denunciados en las investigaciones y los procesos judiciales relativos a denuncias de tortura y tratos crueles, degradantes e inhumanos. De los 114 casos documentados en los períodos anteriores,</w:t>
      </w:r>
      <w:r>
        <w:rPr>
          <w:rStyle w:val="FootnoteReference"/>
          <w:rFonts w:cstheme="majorBidi"/>
          <w:szCs w:val="20"/>
          <w:lang w:val="es-ES"/>
        </w:rPr>
        <w:footnoteReference w:id="108"/>
      </w:r>
      <w:r w:rsidRPr="003C61BD">
        <w:rPr>
          <w:rFonts w:asciiTheme="majorBidi" w:hAnsiTheme="majorBidi" w:cstheme="majorBidi"/>
          <w:sz w:val="20"/>
          <w:szCs w:val="20"/>
          <w:lang w:val="es-ES"/>
        </w:rPr>
        <w:t xml:space="preserve"> uno está a la espera de juicio desde mayo de 2023 y otro está siendo juzgado, mientras que los restantes siguen siendo objeto de investigación. En un caso, </w:t>
      </w:r>
      <w:r>
        <w:rPr>
          <w:rFonts w:asciiTheme="majorBidi" w:hAnsiTheme="majorBidi" w:cstheme="majorBidi"/>
          <w:sz w:val="20"/>
          <w:szCs w:val="20"/>
          <w:lang w:val="es-ES"/>
        </w:rPr>
        <w:t xml:space="preserve">el </w:t>
      </w:r>
      <w:r w:rsidRPr="003C61BD">
        <w:rPr>
          <w:rFonts w:asciiTheme="majorBidi" w:hAnsiTheme="majorBidi" w:cstheme="majorBidi"/>
          <w:sz w:val="20"/>
          <w:szCs w:val="20"/>
          <w:lang w:val="es-ES"/>
        </w:rPr>
        <w:t>ACNUDH recibió informes preocupantes sobre la falta de medidas adoptadas para garantizar la seguridad, el bienestar físico y psicológico y la privacidad de la víctima, en relación con un caso de tratos crueles, degradantes e inhumanos ocurrido en diciembre de 2021 contra un</w:t>
      </w:r>
      <w:r>
        <w:rPr>
          <w:rFonts w:asciiTheme="majorBidi" w:hAnsiTheme="majorBidi" w:cstheme="majorBidi"/>
          <w:sz w:val="20"/>
          <w:szCs w:val="20"/>
          <w:lang w:val="es-ES"/>
        </w:rPr>
        <w:t xml:space="preserve">a persona </w:t>
      </w:r>
      <w:r w:rsidRPr="003C61BD">
        <w:rPr>
          <w:rFonts w:asciiTheme="majorBidi" w:hAnsiTheme="majorBidi" w:cstheme="majorBidi"/>
          <w:sz w:val="20"/>
          <w:szCs w:val="20"/>
          <w:lang w:val="es-ES"/>
        </w:rPr>
        <w:t>por agentes de la Policía Municipal y de la Guardia Nacional Bolivariana.</w:t>
      </w:r>
    </w:p>
    <w:p w14:paraId="48B0A383" w14:textId="4D35FEA6" w:rsidR="00E444D5" w:rsidRPr="00982237" w:rsidRDefault="00E444D5" w:rsidP="007D32A8">
      <w:pPr>
        <w:pStyle w:val="HChG"/>
        <w:numPr>
          <w:ilvl w:val="0"/>
          <w:numId w:val="30"/>
        </w:numPr>
        <w:tabs>
          <w:tab w:val="clear" w:pos="851"/>
          <w:tab w:val="right" w:pos="1276"/>
        </w:tabs>
        <w:ind w:hanging="796"/>
      </w:pPr>
      <w:r w:rsidRPr="006C16EA">
        <w:t>Conclusión y recomendaciones</w:t>
      </w:r>
    </w:p>
    <w:p w14:paraId="5E448DE0" w14:textId="77777777" w:rsidR="00E444D5" w:rsidRPr="003F1E53" w:rsidRDefault="00E444D5" w:rsidP="007D32A8">
      <w:pPr>
        <w:pStyle w:val="ListParagraph"/>
        <w:numPr>
          <w:ilvl w:val="0"/>
          <w:numId w:val="20"/>
        </w:numPr>
        <w:tabs>
          <w:tab w:val="left" w:pos="990"/>
          <w:tab w:val="left" w:pos="1080"/>
        </w:tabs>
        <w:ind w:left="1134" w:right="1170" w:firstLine="0"/>
        <w:rPr>
          <w:rFonts w:asciiTheme="majorBidi" w:hAnsiTheme="majorBidi" w:cstheme="majorBidi"/>
          <w:sz w:val="20"/>
          <w:szCs w:val="20"/>
          <w:lang w:val="es-ES"/>
        </w:rPr>
      </w:pPr>
      <w:r w:rsidRPr="003F1E53">
        <w:rPr>
          <w:rFonts w:asciiTheme="majorBidi" w:hAnsiTheme="majorBidi" w:cstheme="majorBidi"/>
          <w:sz w:val="20"/>
          <w:szCs w:val="20"/>
          <w:lang w:val="es-ES"/>
        </w:rPr>
        <w:t>Durante el periodo de referencia, las personas en Venezuela continuaron enfrentándose a importantes desafíos para ejercer y disfrutar de sus derechos debido a diferentes factores. En algunos casos, tales desafíos se vieron exacerbados por sanciones sectoriales. El ACNUDH tomó nota de los esfuerzos del Gobierno para abordar los problemas en algunas áreas, acoge con satisfacción el diálogo que condujo a los acuerdos de Barbados y pide a las partes que apliquen plenamente estos acuerdos, asegurando que los derechos humanos estén en el centro de la agenda. La urgente preservación y protección del espacio cívico es fundamental para el restablecimiento de la confianza entre el pueblo venezolano y sus instituciones, en particular de cara a los próximos procesos electorales. El ACNUDH reitera su compromiso con Venezuela y su voluntad de restablecer su presencia en el país con el propósito de fortalecer su cooperación con las autoridades para mejorar la situación de los derechos humanos en el país.</w:t>
      </w:r>
    </w:p>
    <w:p w14:paraId="0703B60D" w14:textId="77777777" w:rsidR="00E444D5" w:rsidRPr="003C61BD" w:rsidRDefault="00E444D5" w:rsidP="007D32A8">
      <w:pPr>
        <w:pStyle w:val="ListParagraph"/>
        <w:tabs>
          <w:tab w:val="left" w:pos="990"/>
          <w:tab w:val="left" w:pos="1080"/>
        </w:tabs>
        <w:ind w:left="1134" w:right="1170"/>
        <w:rPr>
          <w:rFonts w:ascii="Times New Roman" w:hAnsi="Times New Roman" w:cs="Times New Roman"/>
          <w:sz w:val="20"/>
          <w:szCs w:val="20"/>
          <w:lang w:val="es-ES"/>
        </w:rPr>
      </w:pPr>
    </w:p>
    <w:p w14:paraId="346BC4E0" w14:textId="77777777" w:rsidR="00E444D5" w:rsidRPr="003C61BD" w:rsidRDefault="00E444D5" w:rsidP="007D32A8">
      <w:pPr>
        <w:pStyle w:val="ListParagraph"/>
        <w:numPr>
          <w:ilvl w:val="0"/>
          <w:numId w:val="20"/>
        </w:numPr>
        <w:tabs>
          <w:tab w:val="left" w:pos="990"/>
          <w:tab w:val="left" w:pos="1080"/>
        </w:tabs>
        <w:ind w:left="1134" w:right="1170" w:firstLine="0"/>
        <w:rPr>
          <w:rFonts w:ascii="Times New Roman" w:hAnsi="Times New Roman" w:cs="Times New Roman"/>
          <w:sz w:val="20"/>
          <w:szCs w:val="20"/>
          <w:lang w:val="es-ES"/>
        </w:rPr>
      </w:pPr>
      <w:r w:rsidRPr="003C61BD">
        <w:rPr>
          <w:rFonts w:ascii="Times New Roman" w:hAnsi="Times New Roman" w:cs="Times New Roman"/>
          <w:b/>
          <w:bCs/>
          <w:sz w:val="20"/>
          <w:szCs w:val="20"/>
          <w:lang w:val="es-419"/>
        </w:rPr>
        <w:t>Además de reiterar las recomendaciones formuladas anteriormente (véase el anexo), el Alto Comisionado llama a la República Bolivariana de Venezuela a:</w:t>
      </w:r>
    </w:p>
    <w:p w14:paraId="256C890A" w14:textId="77777777" w:rsidR="00E444D5" w:rsidRPr="006C16EA" w:rsidRDefault="00E444D5" w:rsidP="007D32A8">
      <w:pPr>
        <w:tabs>
          <w:tab w:val="left" w:pos="1260"/>
        </w:tabs>
        <w:ind w:left="1134" w:right="1170"/>
        <w:rPr>
          <w:rFonts w:asciiTheme="majorBidi" w:hAnsiTheme="majorBidi" w:cstheme="majorBidi"/>
          <w:b/>
          <w:bCs/>
          <w:lang w:val="es-419"/>
        </w:rPr>
      </w:pPr>
    </w:p>
    <w:p w14:paraId="4FD1F8EF" w14:textId="77777777" w:rsidR="00E444D5"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Desarrollar </w:t>
      </w:r>
      <w:r>
        <w:rPr>
          <w:rFonts w:asciiTheme="majorBidi" w:hAnsiTheme="majorBidi" w:cstheme="majorBidi"/>
          <w:b/>
          <w:bCs/>
          <w:sz w:val="20"/>
          <w:szCs w:val="20"/>
          <w:lang w:val="es-ES"/>
        </w:rPr>
        <w:t xml:space="preserve">urgentemente, en consulta con la sociedad civil y otros actores relevantes, </w:t>
      </w:r>
      <w:r w:rsidRPr="006C16EA">
        <w:rPr>
          <w:rFonts w:asciiTheme="majorBidi" w:hAnsiTheme="majorBidi" w:cstheme="majorBidi"/>
          <w:b/>
          <w:bCs/>
          <w:sz w:val="20"/>
          <w:szCs w:val="20"/>
          <w:lang w:val="es-ES"/>
        </w:rPr>
        <w:t xml:space="preserve">un plan de acción </w:t>
      </w:r>
      <w:r>
        <w:rPr>
          <w:rFonts w:asciiTheme="majorBidi" w:hAnsiTheme="majorBidi" w:cstheme="majorBidi"/>
          <w:b/>
          <w:bCs/>
          <w:sz w:val="20"/>
          <w:szCs w:val="20"/>
          <w:lang w:val="es-ES"/>
        </w:rPr>
        <w:t>para fortalecer</w:t>
      </w:r>
      <w:r w:rsidRPr="00094107">
        <w:rPr>
          <w:rFonts w:asciiTheme="majorBidi" w:hAnsiTheme="majorBidi" w:cstheme="majorBidi"/>
          <w:b/>
          <w:bCs/>
          <w:sz w:val="20"/>
          <w:szCs w:val="20"/>
          <w:lang w:val="es-ES"/>
        </w:rPr>
        <w:t xml:space="preserve"> el acceso y la utilización por parte de la población de los recursos y medios que garanticen su subsistencia, incluida la seguridad </w:t>
      </w:r>
      <w:r w:rsidRPr="00094107">
        <w:rPr>
          <w:rFonts w:asciiTheme="majorBidi" w:hAnsiTheme="majorBidi" w:cstheme="majorBidi"/>
          <w:b/>
          <w:bCs/>
          <w:sz w:val="20"/>
          <w:szCs w:val="20"/>
          <w:lang w:val="es-ES"/>
        </w:rPr>
        <w:lastRenderedPageBreak/>
        <w:t>alimentaria</w:t>
      </w:r>
      <w:r>
        <w:rPr>
          <w:rFonts w:asciiTheme="majorBidi" w:hAnsiTheme="majorBidi" w:cstheme="majorBidi"/>
          <w:b/>
          <w:bCs/>
          <w:sz w:val="20"/>
          <w:szCs w:val="20"/>
          <w:lang w:val="es-ES"/>
        </w:rPr>
        <w:t xml:space="preserve">, </w:t>
      </w:r>
      <w:r w:rsidRPr="006C16EA">
        <w:rPr>
          <w:rFonts w:asciiTheme="majorBidi" w:hAnsiTheme="majorBidi" w:cstheme="majorBidi"/>
          <w:b/>
          <w:bCs/>
          <w:sz w:val="20"/>
          <w:szCs w:val="20"/>
          <w:lang w:val="es-ES"/>
        </w:rPr>
        <w:t>a través de un proceso socialmente inclusivo</w:t>
      </w:r>
      <w:r>
        <w:rPr>
          <w:rFonts w:asciiTheme="majorBidi" w:hAnsiTheme="majorBidi" w:cstheme="majorBidi"/>
          <w:b/>
          <w:bCs/>
          <w:sz w:val="20"/>
          <w:szCs w:val="20"/>
          <w:lang w:val="es-ES"/>
        </w:rPr>
        <w:t>, consistente con el derecho internacional de los derechos humanos</w:t>
      </w:r>
      <w:r w:rsidRPr="006C16EA">
        <w:rPr>
          <w:rFonts w:asciiTheme="majorBidi" w:hAnsiTheme="majorBidi" w:cstheme="majorBidi"/>
          <w:b/>
          <w:bCs/>
          <w:sz w:val="20"/>
          <w:szCs w:val="20"/>
          <w:lang w:val="es-ES"/>
        </w:rPr>
        <w:t>;</w:t>
      </w:r>
    </w:p>
    <w:p w14:paraId="4547BA6C"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6BC793A7" w14:textId="77777777" w:rsidR="00E444D5"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Establecer medidas </w:t>
      </w:r>
      <w:r>
        <w:rPr>
          <w:rFonts w:asciiTheme="majorBidi" w:hAnsiTheme="majorBidi" w:cstheme="majorBidi"/>
          <w:b/>
          <w:bCs/>
          <w:sz w:val="20"/>
          <w:szCs w:val="20"/>
          <w:lang w:val="es-ES"/>
        </w:rPr>
        <w:t xml:space="preserve">normativas, institucionales y políticas </w:t>
      </w:r>
      <w:r w:rsidRPr="006C16EA">
        <w:rPr>
          <w:rFonts w:asciiTheme="majorBidi" w:hAnsiTheme="majorBidi" w:cstheme="majorBidi"/>
          <w:b/>
          <w:bCs/>
          <w:sz w:val="20"/>
          <w:szCs w:val="20"/>
          <w:lang w:val="es-ES"/>
        </w:rPr>
        <w:t>para cumplir con sus obligaciones en materia de disponibilidad, accesibilidad y calidad de la atención sanitaria, incluyendo la protección y mejora de las condiciones laborales de los trabajadores del sector de la salud;</w:t>
      </w:r>
    </w:p>
    <w:p w14:paraId="62786660"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3FFC62B1" w14:textId="77777777" w:rsidR="00E444D5"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Pr>
          <w:rFonts w:asciiTheme="majorBidi" w:hAnsiTheme="majorBidi" w:cstheme="majorBidi"/>
          <w:b/>
          <w:bCs/>
          <w:sz w:val="20"/>
          <w:szCs w:val="20"/>
          <w:lang w:val="es-ES"/>
        </w:rPr>
        <w:t>Continuar</w:t>
      </w:r>
      <w:r w:rsidRPr="68644B1A">
        <w:rPr>
          <w:rFonts w:asciiTheme="majorBidi" w:hAnsiTheme="majorBidi" w:cstheme="majorBidi"/>
          <w:b/>
          <w:bCs/>
          <w:sz w:val="20"/>
          <w:szCs w:val="20"/>
          <w:lang w:val="es-ES"/>
        </w:rPr>
        <w:t xml:space="preserve"> los esfuerzos para </w:t>
      </w:r>
      <w:r>
        <w:rPr>
          <w:rFonts w:asciiTheme="majorBidi" w:hAnsiTheme="majorBidi" w:cstheme="majorBidi"/>
          <w:b/>
          <w:bCs/>
          <w:sz w:val="20"/>
          <w:szCs w:val="20"/>
          <w:lang w:val="es-ES"/>
        </w:rPr>
        <w:t>garantizar</w:t>
      </w:r>
      <w:r w:rsidRPr="68644B1A">
        <w:rPr>
          <w:rFonts w:asciiTheme="majorBidi" w:hAnsiTheme="majorBidi" w:cstheme="majorBidi"/>
          <w:b/>
          <w:bCs/>
          <w:sz w:val="20"/>
          <w:szCs w:val="20"/>
          <w:lang w:val="es-ES"/>
        </w:rPr>
        <w:t xml:space="preserve"> la protección del medio ambiente, al </w:t>
      </w:r>
      <w:r>
        <w:rPr>
          <w:rFonts w:asciiTheme="majorBidi" w:hAnsiTheme="majorBidi" w:cstheme="majorBidi"/>
          <w:b/>
          <w:bCs/>
          <w:sz w:val="20"/>
          <w:szCs w:val="20"/>
          <w:lang w:val="es-ES"/>
        </w:rPr>
        <w:t xml:space="preserve">mismo </w:t>
      </w:r>
      <w:r w:rsidRPr="68644B1A">
        <w:rPr>
          <w:rFonts w:asciiTheme="majorBidi" w:hAnsiTheme="majorBidi" w:cstheme="majorBidi"/>
          <w:b/>
          <w:bCs/>
          <w:sz w:val="20"/>
          <w:szCs w:val="20"/>
          <w:lang w:val="es-ES"/>
        </w:rPr>
        <w:t xml:space="preserve">tiempo que se hace hincapié en la necesidad de prevenir urgentemente </w:t>
      </w:r>
      <w:r>
        <w:rPr>
          <w:rFonts w:asciiTheme="majorBidi" w:hAnsiTheme="majorBidi" w:cstheme="majorBidi"/>
          <w:b/>
          <w:bCs/>
          <w:sz w:val="20"/>
          <w:szCs w:val="20"/>
          <w:lang w:val="es-ES"/>
        </w:rPr>
        <w:t xml:space="preserve">los riesgos naturales y de origen humano </w:t>
      </w:r>
      <w:r w:rsidRPr="68644B1A">
        <w:rPr>
          <w:rFonts w:asciiTheme="majorBidi" w:hAnsiTheme="majorBidi" w:cstheme="majorBidi"/>
          <w:b/>
          <w:bCs/>
          <w:sz w:val="20"/>
          <w:szCs w:val="20"/>
          <w:lang w:val="es-ES"/>
        </w:rPr>
        <w:t>como los vertidos de petróleo, de forma que se cumplan las normas de derechos humanos, incluidas las relativas a los derechos de los Pueblos Indígenas, y en un esfuerzo por abordar las causas estructurales de los riesgos medioambientales;</w:t>
      </w:r>
    </w:p>
    <w:p w14:paraId="5062F6C4" w14:textId="77777777" w:rsidR="00E444D5"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7FA1AE91" w14:textId="77777777" w:rsidR="00E444D5" w:rsidRPr="006C16EA"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Pr>
          <w:rFonts w:asciiTheme="majorBidi" w:hAnsiTheme="majorBidi" w:cstheme="majorBidi"/>
          <w:b/>
          <w:bCs/>
          <w:sz w:val="20"/>
          <w:szCs w:val="20"/>
          <w:lang w:val="es-ES"/>
        </w:rPr>
        <w:t>Garantizar salarios justos para</w:t>
      </w:r>
      <w:r w:rsidRPr="006C16EA">
        <w:rPr>
          <w:rFonts w:asciiTheme="majorBidi" w:hAnsiTheme="majorBidi" w:cstheme="majorBidi"/>
          <w:b/>
          <w:bCs/>
          <w:sz w:val="20"/>
          <w:szCs w:val="20"/>
          <w:lang w:val="es-ES"/>
        </w:rPr>
        <w:t xml:space="preserve"> garant</w:t>
      </w:r>
      <w:r>
        <w:rPr>
          <w:rFonts w:asciiTheme="majorBidi" w:hAnsiTheme="majorBidi" w:cstheme="majorBidi"/>
          <w:b/>
          <w:bCs/>
          <w:sz w:val="20"/>
          <w:szCs w:val="20"/>
          <w:lang w:val="es-ES"/>
        </w:rPr>
        <w:t>izar</w:t>
      </w:r>
      <w:r w:rsidRPr="006C16EA">
        <w:rPr>
          <w:rFonts w:asciiTheme="majorBidi" w:hAnsiTheme="majorBidi" w:cstheme="majorBidi"/>
          <w:b/>
          <w:bCs/>
          <w:sz w:val="20"/>
          <w:szCs w:val="20"/>
          <w:lang w:val="es-ES"/>
        </w:rPr>
        <w:t xml:space="preserve"> una vida decente y digna para los trabajadores y sus familias, y pros</w:t>
      </w:r>
      <w:r>
        <w:rPr>
          <w:rFonts w:asciiTheme="majorBidi" w:hAnsiTheme="majorBidi" w:cstheme="majorBidi"/>
          <w:b/>
          <w:bCs/>
          <w:sz w:val="20"/>
          <w:szCs w:val="20"/>
          <w:lang w:val="es-ES"/>
        </w:rPr>
        <w:t>e</w:t>
      </w:r>
      <w:r w:rsidRPr="006C16EA">
        <w:rPr>
          <w:rFonts w:asciiTheme="majorBidi" w:hAnsiTheme="majorBidi" w:cstheme="majorBidi"/>
          <w:b/>
          <w:bCs/>
          <w:sz w:val="20"/>
          <w:szCs w:val="20"/>
          <w:lang w:val="es-ES"/>
        </w:rPr>
        <w:t>g</w:t>
      </w:r>
      <w:r>
        <w:rPr>
          <w:rFonts w:asciiTheme="majorBidi" w:hAnsiTheme="majorBidi" w:cstheme="majorBidi"/>
          <w:b/>
          <w:bCs/>
          <w:sz w:val="20"/>
          <w:szCs w:val="20"/>
          <w:lang w:val="es-ES"/>
        </w:rPr>
        <w:t>uir</w:t>
      </w:r>
      <w:r w:rsidRPr="006C16EA">
        <w:rPr>
          <w:rFonts w:asciiTheme="majorBidi" w:hAnsiTheme="majorBidi" w:cstheme="majorBidi"/>
          <w:b/>
          <w:bCs/>
          <w:sz w:val="20"/>
          <w:szCs w:val="20"/>
          <w:lang w:val="es-ES"/>
        </w:rPr>
        <w:t xml:space="preserve"> el diálogo con empleadores y trabajadores para garantizar el pleno respeto y disfrute de los derechos laborales;</w:t>
      </w:r>
    </w:p>
    <w:p w14:paraId="78B2EA0E"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02CA252F" w14:textId="77777777" w:rsidR="00E444D5" w:rsidRPr="006C16EA" w:rsidRDefault="00E444D5" w:rsidP="007D32A8">
      <w:pPr>
        <w:pStyle w:val="ListParagraph"/>
        <w:numPr>
          <w:ilvl w:val="0"/>
          <w:numId w:val="13"/>
        </w:numPr>
        <w:tabs>
          <w:tab w:val="left" w:pos="1260"/>
        </w:tabs>
        <w:ind w:left="1134" w:right="1170" w:firstLine="567"/>
        <w:contextualSpacing w:val="0"/>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Investigar y sancionar plenamente los actos de discriminación o violencia </w:t>
      </w:r>
      <w:r>
        <w:rPr>
          <w:rFonts w:asciiTheme="majorBidi" w:hAnsiTheme="majorBidi" w:cstheme="majorBidi"/>
          <w:b/>
          <w:bCs/>
          <w:sz w:val="20"/>
          <w:szCs w:val="20"/>
          <w:lang w:val="es-ES"/>
        </w:rPr>
        <w:t xml:space="preserve">de cualquier tipo, incluso en </w:t>
      </w:r>
      <w:r w:rsidRPr="006C16EA">
        <w:rPr>
          <w:rFonts w:asciiTheme="majorBidi" w:hAnsiTheme="majorBidi" w:cstheme="majorBidi"/>
          <w:b/>
          <w:bCs/>
          <w:sz w:val="20"/>
          <w:szCs w:val="20"/>
          <w:lang w:val="es-ES"/>
        </w:rPr>
        <w:t xml:space="preserve">contra </w:t>
      </w:r>
      <w:r>
        <w:rPr>
          <w:rFonts w:asciiTheme="majorBidi" w:hAnsiTheme="majorBidi" w:cstheme="majorBidi"/>
          <w:b/>
          <w:bCs/>
          <w:sz w:val="20"/>
          <w:szCs w:val="20"/>
          <w:lang w:val="es-ES"/>
        </w:rPr>
        <w:t xml:space="preserve">de </w:t>
      </w:r>
      <w:r w:rsidRPr="006C16EA">
        <w:rPr>
          <w:rFonts w:asciiTheme="majorBidi" w:hAnsiTheme="majorBidi" w:cstheme="majorBidi"/>
          <w:b/>
          <w:bCs/>
          <w:sz w:val="20"/>
          <w:szCs w:val="20"/>
          <w:lang w:val="es-ES"/>
        </w:rPr>
        <w:t>los Pueblos Indígenas, de una manera que sea culturalmente sensible, apropiada y que esté en consonancia con las normas de derechos humanos;</w:t>
      </w:r>
    </w:p>
    <w:p w14:paraId="20012690" w14:textId="77777777" w:rsidR="00E444D5" w:rsidRPr="006C16EA" w:rsidRDefault="00E444D5" w:rsidP="007D32A8">
      <w:pPr>
        <w:pStyle w:val="ListParagraph"/>
        <w:tabs>
          <w:tab w:val="left" w:pos="1260"/>
        </w:tabs>
        <w:ind w:left="1134" w:right="1170" w:firstLine="567"/>
        <w:contextualSpacing w:val="0"/>
        <w:rPr>
          <w:rFonts w:asciiTheme="majorBidi" w:hAnsiTheme="majorBidi" w:cstheme="majorBidi"/>
          <w:b/>
          <w:bCs/>
          <w:sz w:val="20"/>
          <w:szCs w:val="20"/>
          <w:lang w:val="es-ES"/>
        </w:rPr>
      </w:pPr>
    </w:p>
    <w:p w14:paraId="6731156A" w14:textId="77777777" w:rsidR="00E444D5" w:rsidRPr="006C16EA"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Fortalecer las políticas públicas y la regulación para asegurar la igualdad de género y proteger los derechos de las mujeres, incluyendo hacia la plena implementación de la Ley Orgánica por el Derecho de las Mujeres a una Vida Libre de Violencia, la aprobación de la Ley Orgánica para la Igualdad de las Mujeres y el plan de acción nacional para enfrentar la violencia de género, </w:t>
      </w:r>
      <w:r>
        <w:rPr>
          <w:rFonts w:asciiTheme="majorBidi" w:hAnsiTheme="majorBidi" w:cstheme="majorBidi"/>
          <w:b/>
          <w:bCs/>
          <w:sz w:val="20"/>
          <w:szCs w:val="20"/>
          <w:lang w:val="es-ES"/>
        </w:rPr>
        <w:t xml:space="preserve">publicar información actualizada relativa a la salud sexual y reproductiva </w:t>
      </w:r>
      <w:r w:rsidRPr="006C16EA">
        <w:rPr>
          <w:rFonts w:asciiTheme="majorBidi" w:hAnsiTheme="majorBidi" w:cstheme="majorBidi"/>
          <w:b/>
          <w:bCs/>
          <w:sz w:val="20"/>
          <w:szCs w:val="20"/>
          <w:lang w:val="es-ES"/>
        </w:rPr>
        <w:t>y la despenalización del aborto;</w:t>
      </w:r>
    </w:p>
    <w:p w14:paraId="610F6FB4"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283D3152" w14:textId="77777777" w:rsidR="00E444D5" w:rsidRPr="006C16EA"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proofErr w:type="gramStart"/>
      <w:r w:rsidRPr="006C16EA">
        <w:rPr>
          <w:rFonts w:asciiTheme="majorBidi" w:hAnsiTheme="majorBidi" w:cstheme="majorBidi"/>
          <w:b/>
          <w:bCs/>
          <w:sz w:val="20"/>
          <w:szCs w:val="20"/>
          <w:lang w:val="es-ES"/>
        </w:rPr>
        <w:t>Asegurar</w:t>
      </w:r>
      <w:proofErr w:type="gramEnd"/>
      <w:r w:rsidRPr="006C16EA">
        <w:rPr>
          <w:rFonts w:asciiTheme="majorBidi" w:hAnsiTheme="majorBidi" w:cstheme="majorBidi"/>
          <w:b/>
          <w:bCs/>
          <w:sz w:val="20"/>
          <w:szCs w:val="20"/>
          <w:lang w:val="es-ES"/>
        </w:rPr>
        <w:t xml:space="preserve"> </w:t>
      </w:r>
      <w:r>
        <w:rPr>
          <w:rFonts w:asciiTheme="majorBidi" w:hAnsiTheme="majorBidi" w:cstheme="majorBidi"/>
          <w:b/>
          <w:bCs/>
          <w:sz w:val="20"/>
          <w:szCs w:val="20"/>
          <w:lang w:val="es-ES"/>
        </w:rPr>
        <w:t xml:space="preserve">que </w:t>
      </w:r>
      <w:r w:rsidRPr="006C16EA">
        <w:rPr>
          <w:rFonts w:asciiTheme="majorBidi" w:hAnsiTheme="majorBidi" w:cstheme="majorBidi"/>
          <w:b/>
          <w:bCs/>
          <w:sz w:val="20"/>
          <w:szCs w:val="20"/>
          <w:lang w:val="es-ES"/>
        </w:rPr>
        <w:t>la</w:t>
      </w:r>
      <w:r>
        <w:rPr>
          <w:rFonts w:asciiTheme="majorBidi" w:hAnsiTheme="majorBidi" w:cstheme="majorBidi"/>
          <w:b/>
          <w:bCs/>
          <w:sz w:val="20"/>
          <w:szCs w:val="20"/>
          <w:lang w:val="es-ES"/>
        </w:rPr>
        <w:t xml:space="preserve">s </w:t>
      </w:r>
      <w:r w:rsidRPr="006C16EA">
        <w:rPr>
          <w:rFonts w:asciiTheme="majorBidi" w:hAnsiTheme="majorBidi" w:cstheme="majorBidi"/>
          <w:b/>
          <w:bCs/>
          <w:sz w:val="20"/>
          <w:szCs w:val="20"/>
          <w:lang w:val="es-ES"/>
        </w:rPr>
        <w:t xml:space="preserve">medidas de protección </w:t>
      </w:r>
      <w:r>
        <w:rPr>
          <w:rFonts w:asciiTheme="majorBidi" w:hAnsiTheme="majorBidi" w:cstheme="majorBidi"/>
          <w:b/>
          <w:bCs/>
          <w:sz w:val="20"/>
          <w:szCs w:val="20"/>
          <w:lang w:val="es-ES"/>
        </w:rPr>
        <w:t xml:space="preserve">están disponibles </w:t>
      </w:r>
      <w:r w:rsidRPr="006C16EA">
        <w:rPr>
          <w:rFonts w:asciiTheme="majorBidi" w:hAnsiTheme="majorBidi" w:cstheme="majorBidi"/>
          <w:b/>
          <w:bCs/>
          <w:sz w:val="20"/>
          <w:szCs w:val="20"/>
          <w:lang w:val="es-ES"/>
        </w:rPr>
        <w:t>para las víctimas de violencia de género, incluyendo la implementación y funcionamiento de refugios de atención y asistencia, y garantizar el acceso a la justicia de manera libre de discriminación y prejuicios;</w:t>
      </w:r>
    </w:p>
    <w:p w14:paraId="4E99E3F7"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00CB5805" w14:textId="77777777" w:rsidR="00E444D5" w:rsidRPr="00B56185"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Investigar con celeridad todos los casos de violencia y discriminación contra las personas </w:t>
      </w:r>
      <w:r>
        <w:rPr>
          <w:rFonts w:asciiTheme="majorBidi" w:hAnsiTheme="majorBidi" w:cstheme="majorBidi"/>
          <w:b/>
          <w:bCs/>
          <w:sz w:val="20"/>
          <w:szCs w:val="20"/>
          <w:lang w:val="es-ES"/>
        </w:rPr>
        <w:t>LGBTIQ</w:t>
      </w:r>
      <w:r w:rsidRPr="006C16EA">
        <w:rPr>
          <w:rFonts w:asciiTheme="majorBidi" w:hAnsiTheme="majorBidi" w:cstheme="majorBidi"/>
          <w:b/>
          <w:bCs/>
          <w:sz w:val="20"/>
          <w:szCs w:val="20"/>
          <w:lang w:val="es-ES"/>
        </w:rPr>
        <w:t xml:space="preserve">+ y adoptar un protocolo de investigación específico para delitos motivados por la orientación sexual o identidad de género de la víctima, así como garantías para el pleno reconocimiento de sus derechos, incluyendo el reconocimiento legal </w:t>
      </w:r>
      <w:r>
        <w:rPr>
          <w:rFonts w:asciiTheme="majorBidi" w:hAnsiTheme="majorBidi" w:cstheme="majorBidi"/>
          <w:b/>
          <w:bCs/>
          <w:sz w:val="20"/>
          <w:szCs w:val="20"/>
          <w:lang w:val="es-ES"/>
        </w:rPr>
        <w:t>para</w:t>
      </w:r>
      <w:r w:rsidRPr="006C16EA">
        <w:rPr>
          <w:rFonts w:asciiTheme="majorBidi" w:hAnsiTheme="majorBidi" w:cstheme="majorBidi"/>
          <w:b/>
          <w:bCs/>
          <w:sz w:val="20"/>
          <w:szCs w:val="20"/>
          <w:lang w:val="es-ES"/>
        </w:rPr>
        <w:t xml:space="preserve"> las personas trans a la identidad de género de su elección, y el matrimonio entre personas del mismo sexo;</w:t>
      </w:r>
    </w:p>
    <w:p w14:paraId="13FC70C4" w14:textId="77777777" w:rsidR="00E444D5" w:rsidRPr="00B56185"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567EC47A" w14:textId="77777777" w:rsidR="00E444D5"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35558D">
        <w:rPr>
          <w:rFonts w:asciiTheme="majorBidi" w:hAnsiTheme="majorBidi" w:cstheme="majorBidi"/>
          <w:b/>
          <w:bCs/>
          <w:sz w:val="20"/>
          <w:szCs w:val="20"/>
          <w:lang w:val="es-ES"/>
        </w:rPr>
        <w:t>Promover un espacio pluralista propicio para el ejercicio de los derechos civiles y políticos por parte de todos los actores y organizaciones, libre de interferencias o restricciones indebidas, incluyendo la adopción de medidas para garantizar el pleno disfrute del derecho a participar en los asuntos públicos; prevenir, investigar y sancionar los ataques, intimidaciones y otros actos de hostigamiento contra los miembros, o simpatizantes percibidos de los partidos de la oposición;</w:t>
      </w:r>
      <w:r>
        <w:rPr>
          <w:rFonts w:asciiTheme="majorBidi" w:hAnsiTheme="majorBidi" w:cstheme="majorBidi"/>
          <w:b/>
          <w:bCs/>
          <w:sz w:val="20"/>
          <w:szCs w:val="20"/>
          <w:lang w:val="es-ES"/>
        </w:rPr>
        <w:t xml:space="preserve"> </w:t>
      </w:r>
    </w:p>
    <w:p w14:paraId="58446747" w14:textId="77777777" w:rsidR="00E444D5"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533B06FA" w14:textId="77777777" w:rsidR="00E444D5" w:rsidRPr="006C16EA"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Establecer garantías para la libertad de asociación de los actores y organizaciones de la sociedad civil, incluidos los sindicalistas y periodistas, </w:t>
      </w:r>
      <w:r>
        <w:rPr>
          <w:rFonts w:asciiTheme="majorBidi" w:hAnsiTheme="majorBidi" w:cstheme="majorBidi"/>
          <w:b/>
          <w:bCs/>
          <w:sz w:val="20"/>
          <w:szCs w:val="20"/>
          <w:lang w:val="es-ES"/>
        </w:rPr>
        <w:t>y asegurar</w:t>
      </w:r>
      <w:r w:rsidRPr="006C16EA">
        <w:rPr>
          <w:rFonts w:asciiTheme="majorBidi" w:hAnsiTheme="majorBidi" w:cstheme="majorBidi"/>
          <w:b/>
          <w:bCs/>
          <w:sz w:val="20"/>
          <w:szCs w:val="20"/>
          <w:lang w:val="es-ES"/>
        </w:rPr>
        <w:t xml:space="preserve"> que el marco normativo no obstaculiza su capacidad para llevar a cabo su trabajo y prestar servicios vitales a las comunidades;</w:t>
      </w:r>
    </w:p>
    <w:p w14:paraId="1A878C26"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5D1853C9" w14:textId="77777777" w:rsidR="00E444D5" w:rsidRPr="006C16EA" w:rsidRDefault="00E444D5" w:rsidP="007D32A8">
      <w:pPr>
        <w:pStyle w:val="ListParagraph"/>
        <w:numPr>
          <w:ilvl w:val="0"/>
          <w:numId w:val="13"/>
        </w:numPr>
        <w:tabs>
          <w:tab w:val="left" w:pos="1260"/>
        </w:tabs>
        <w:ind w:left="1134" w:right="1170" w:firstLine="567"/>
        <w:rPr>
          <w:rFonts w:asciiTheme="majorBidi" w:hAnsiTheme="majorBidi" w:cstheme="majorBidi"/>
          <w:b/>
          <w:bCs/>
          <w:sz w:val="20"/>
          <w:szCs w:val="20"/>
          <w:lang w:val="es-ES"/>
        </w:rPr>
      </w:pPr>
      <w:r w:rsidRPr="67E33F3E">
        <w:rPr>
          <w:rFonts w:asciiTheme="majorBidi" w:hAnsiTheme="majorBidi" w:cstheme="majorBidi"/>
          <w:b/>
          <w:bCs/>
          <w:sz w:val="20"/>
          <w:szCs w:val="20"/>
          <w:lang w:val="es-ES"/>
        </w:rPr>
        <w:t>Liberar de manera plena e incondicional a</w:t>
      </w:r>
      <w:r>
        <w:rPr>
          <w:rFonts w:asciiTheme="majorBidi" w:hAnsiTheme="majorBidi" w:cstheme="majorBidi"/>
          <w:b/>
          <w:bCs/>
          <w:sz w:val="20"/>
          <w:szCs w:val="20"/>
          <w:lang w:val="es-ES"/>
        </w:rPr>
        <w:t xml:space="preserve"> </w:t>
      </w:r>
      <w:r w:rsidRPr="67E33F3E">
        <w:rPr>
          <w:rFonts w:asciiTheme="majorBidi" w:hAnsiTheme="majorBidi" w:cstheme="majorBidi"/>
          <w:b/>
          <w:bCs/>
          <w:sz w:val="20"/>
          <w:szCs w:val="20"/>
          <w:lang w:val="es-ES"/>
        </w:rPr>
        <w:t>todas las personas detenidas ilegal o arbitrariamente, incluyendo personas defensoras de derechos humanos, periodistas y sindicalistas, asegurando garantías de no repetición;</w:t>
      </w:r>
    </w:p>
    <w:p w14:paraId="095338E3" w14:textId="77777777" w:rsidR="00E444D5" w:rsidRPr="006C16EA" w:rsidRDefault="00E444D5" w:rsidP="007D32A8">
      <w:pPr>
        <w:pStyle w:val="ListParagraph"/>
        <w:tabs>
          <w:tab w:val="left" w:pos="1260"/>
        </w:tabs>
        <w:ind w:left="1134" w:right="1170" w:firstLine="567"/>
        <w:rPr>
          <w:rFonts w:asciiTheme="majorBidi" w:hAnsiTheme="majorBidi" w:cstheme="majorBidi"/>
          <w:b/>
          <w:bCs/>
          <w:sz w:val="20"/>
          <w:szCs w:val="20"/>
          <w:lang w:val="es-ES"/>
        </w:rPr>
      </w:pPr>
    </w:p>
    <w:p w14:paraId="58BA2166" w14:textId="77777777" w:rsidR="00E444D5" w:rsidRPr="006C16EA" w:rsidRDefault="00E444D5" w:rsidP="007D32A8">
      <w:pPr>
        <w:pStyle w:val="ListParagraph"/>
        <w:numPr>
          <w:ilvl w:val="0"/>
          <w:numId w:val="13"/>
        </w:numPr>
        <w:tabs>
          <w:tab w:val="left" w:pos="1701"/>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Proseguir </w:t>
      </w:r>
      <w:r>
        <w:rPr>
          <w:rFonts w:asciiTheme="majorBidi" w:hAnsiTheme="majorBidi" w:cstheme="majorBidi"/>
          <w:b/>
          <w:bCs/>
          <w:sz w:val="20"/>
          <w:szCs w:val="20"/>
          <w:lang w:val="es-ES"/>
        </w:rPr>
        <w:t>lo</w:t>
      </w:r>
      <w:r w:rsidRPr="006C16EA">
        <w:rPr>
          <w:rFonts w:asciiTheme="majorBidi" w:hAnsiTheme="majorBidi" w:cstheme="majorBidi"/>
          <w:b/>
          <w:bCs/>
          <w:sz w:val="20"/>
          <w:szCs w:val="20"/>
          <w:lang w:val="es-ES"/>
        </w:rPr>
        <w:t xml:space="preserve">s esfuerzos para hacer frente al hacinamiento en los centros de detención y mejorar las condiciones de detención, especialmente en los centros de </w:t>
      </w:r>
      <w:r w:rsidRPr="006C16EA">
        <w:rPr>
          <w:rFonts w:asciiTheme="majorBidi" w:hAnsiTheme="majorBidi" w:cstheme="majorBidi"/>
          <w:b/>
          <w:bCs/>
          <w:sz w:val="20"/>
          <w:szCs w:val="20"/>
          <w:lang w:val="es-ES"/>
        </w:rPr>
        <w:lastRenderedPageBreak/>
        <w:t>detención preventiva, garantizando, entre otras cosas, el acceso a la salud</w:t>
      </w:r>
      <w:r>
        <w:rPr>
          <w:rFonts w:asciiTheme="majorBidi" w:hAnsiTheme="majorBidi" w:cstheme="majorBidi"/>
          <w:b/>
          <w:bCs/>
          <w:sz w:val="20"/>
          <w:szCs w:val="20"/>
          <w:lang w:val="es-ES"/>
        </w:rPr>
        <w:t>,</w:t>
      </w:r>
      <w:r w:rsidRPr="006C16EA">
        <w:rPr>
          <w:rFonts w:asciiTheme="majorBidi" w:hAnsiTheme="majorBidi" w:cstheme="majorBidi"/>
          <w:b/>
          <w:bCs/>
          <w:sz w:val="20"/>
          <w:szCs w:val="20"/>
          <w:lang w:val="es-ES"/>
        </w:rPr>
        <w:t xml:space="preserve"> a una alimentación adecuada y al agua a todas las personas privadas de libertad;</w:t>
      </w:r>
    </w:p>
    <w:p w14:paraId="77A02416" w14:textId="77777777" w:rsidR="00E444D5" w:rsidRPr="006C16EA" w:rsidRDefault="00E444D5" w:rsidP="007D32A8">
      <w:pPr>
        <w:pStyle w:val="ListParagraph"/>
        <w:tabs>
          <w:tab w:val="left" w:pos="1170"/>
          <w:tab w:val="left" w:pos="8460"/>
        </w:tabs>
        <w:ind w:left="1134" w:right="1170" w:firstLine="567"/>
        <w:rPr>
          <w:rFonts w:asciiTheme="majorBidi" w:hAnsiTheme="majorBidi" w:cstheme="majorBidi"/>
          <w:b/>
          <w:bCs/>
          <w:sz w:val="20"/>
          <w:szCs w:val="20"/>
          <w:lang w:val="es-ES"/>
        </w:rPr>
      </w:pPr>
    </w:p>
    <w:p w14:paraId="55955E9F" w14:textId="77777777" w:rsidR="00E444D5" w:rsidRPr="006C16EA" w:rsidRDefault="00E444D5" w:rsidP="007D32A8">
      <w:pPr>
        <w:pStyle w:val="ListParagraph"/>
        <w:numPr>
          <w:ilvl w:val="0"/>
          <w:numId w:val="13"/>
        </w:numPr>
        <w:tabs>
          <w:tab w:val="left" w:pos="117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Poner fin e investigar todas las denuncias de desapariciones forzadas, y adoptar todas las medidas necesarias para apoyar la búsqueda oportuna y efectiva de las personas desaparecidas, en consonancia con sus obligaciones de continuar la investigación para garantizar los derechos de las víctimas a la verdad, la justicia, los recursos y las garantías de no repetición.</w:t>
      </w:r>
    </w:p>
    <w:p w14:paraId="5E5BD2B3" w14:textId="77777777" w:rsidR="00E444D5" w:rsidRPr="006C16EA" w:rsidRDefault="00E444D5" w:rsidP="007D32A8">
      <w:pPr>
        <w:pStyle w:val="ListParagraph"/>
        <w:tabs>
          <w:tab w:val="left" w:pos="1170"/>
          <w:tab w:val="left" w:pos="8460"/>
        </w:tabs>
        <w:ind w:left="1134" w:right="1170" w:firstLine="567"/>
        <w:rPr>
          <w:rFonts w:asciiTheme="majorBidi" w:hAnsiTheme="majorBidi" w:cstheme="majorBidi"/>
          <w:b/>
          <w:bCs/>
          <w:sz w:val="20"/>
          <w:szCs w:val="20"/>
          <w:lang w:val="es-ES"/>
        </w:rPr>
      </w:pPr>
    </w:p>
    <w:p w14:paraId="03AF0E2C" w14:textId="77777777" w:rsidR="00E444D5" w:rsidRPr="006C16EA" w:rsidRDefault="00E444D5" w:rsidP="007D32A8">
      <w:pPr>
        <w:pStyle w:val="ListParagraph"/>
        <w:numPr>
          <w:ilvl w:val="0"/>
          <w:numId w:val="13"/>
        </w:numPr>
        <w:tabs>
          <w:tab w:val="left" w:pos="117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 xml:space="preserve">Adoptar medidas para garantizar que la información de los registros de detenidos y sus lugares de detención estén fácilmente disponibles para sus abogados y familiares. </w:t>
      </w:r>
    </w:p>
    <w:p w14:paraId="6DBF6C19" w14:textId="77777777" w:rsidR="00E444D5" w:rsidRPr="006C16EA" w:rsidRDefault="00E444D5" w:rsidP="007D32A8">
      <w:pPr>
        <w:pStyle w:val="ListParagraph"/>
        <w:tabs>
          <w:tab w:val="left" w:pos="1170"/>
          <w:tab w:val="left" w:pos="8460"/>
        </w:tabs>
        <w:ind w:left="1134" w:right="1170" w:firstLine="567"/>
        <w:rPr>
          <w:rFonts w:asciiTheme="majorBidi" w:hAnsiTheme="majorBidi" w:cstheme="majorBidi"/>
          <w:b/>
          <w:bCs/>
          <w:sz w:val="20"/>
          <w:szCs w:val="20"/>
          <w:lang w:val="es-ES"/>
        </w:rPr>
      </w:pPr>
    </w:p>
    <w:p w14:paraId="63A2EB2C" w14:textId="77777777" w:rsidR="00E444D5" w:rsidRPr="006C16EA" w:rsidRDefault="00E444D5" w:rsidP="007D32A8">
      <w:pPr>
        <w:pStyle w:val="ListParagraph"/>
        <w:numPr>
          <w:ilvl w:val="0"/>
          <w:numId w:val="13"/>
        </w:numPr>
        <w:tabs>
          <w:tab w:val="left" w:pos="1170"/>
        </w:tabs>
        <w:ind w:left="1134" w:right="1170" w:firstLine="567"/>
        <w:rPr>
          <w:rFonts w:asciiTheme="majorBidi" w:hAnsiTheme="majorBidi" w:cstheme="majorBidi"/>
          <w:b/>
          <w:bCs/>
          <w:sz w:val="20"/>
          <w:szCs w:val="20"/>
          <w:lang w:val="es-ES"/>
        </w:rPr>
      </w:pPr>
      <w:r w:rsidRPr="006C16EA">
        <w:rPr>
          <w:rFonts w:asciiTheme="majorBidi" w:hAnsiTheme="majorBidi" w:cstheme="majorBidi"/>
          <w:b/>
          <w:bCs/>
          <w:sz w:val="20"/>
          <w:szCs w:val="20"/>
          <w:lang w:val="es-ES"/>
        </w:rPr>
        <w:t>Garantizar que la legislación y la jurisdicción antiterrorista cumplan con las normas y estándares internacionales de derechos humanos, a saber, los principios de legalidad,</w:t>
      </w:r>
      <w:r>
        <w:rPr>
          <w:rFonts w:asciiTheme="majorBidi" w:hAnsiTheme="majorBidi" w:cstheme="majorBidi"/>
          <w:b/>
          <w:bCs/>
          <w:sz w:val="20"/>
          <w:szCs w:val="20"/>
          <w:lang w:val="es-ES"/>
        </w:rPr>
        <w:t xml:space="preserve"> seguridad jurídica,</w:t>
      </w:r>
      <w:r w:rsidRPr="006C16EA">
        <w:rPr>
          <w:rFonts w:asciiTheme="majorBidi" w:hAnsiTheme="majorBidi" w:cstheme="majorBidi"/>
          <w:b/>
          <w:bCs/>
          <w:sz w:val="20"/>
          <w:szCs w:val="20"/>
          <w:lang w:val="es-ES"/>
        </w:rPr>
        <w:t xml:space="preserve"> necesidad, proporcionalidad y no discriminación;</w:t>
      </w:r>
    </w:p>
    <w:p w14:paraId="2FA4CFB3" w14:textId="14796A5A" w:rsidR="00E444D5" w:rsidRPr="007D32A8" w:rsidRDefault="00E444D5" w:rsidP="007D32A8">
      <w:pPr>
        <w:pStyle w:val="ListParagraph"/>
        <w:numPr>
          <w:ilvl w:val="0"/>
          <w:numId w:val="20"/>
        </w:numPr>
        <w:tabs>
          <w:tab w:val="left" w:pos="1260"/>
        </w:tabs>
        <w:suppressAutoHyphens/>
        <w:spacing w:before="240" w:line="240" w:lineRule="atLeast"/>
        <w:ind w:left="1134" w:right="1134" w:firstLine="0"/>
        <w:rPr>
          <w:rFonts w:asciiTheme="majorBidi" w:hAnsiTheme="majorBidi" w:cstheme="majorBidi"/>
          <w:sz w:val="20"/>
          <w:szCs w:val="20"/>
          <w:lang w:val="es-ES"/>
        </w:rPr>
      </w:pPr>
      <w:r w:rsidRPr="00E04BF0">
        <w:rPr>
          <w:rFonts w:asciiTheme="majorBidi" w:hAnsiTheme="majorBidi" w:cstheme="majorBidi"/>
          <w:b/>
          <w:bCs/>
          <w:sz w:val="20"/>
          <w:szCs w:val="20"/>
          <w:lang w:val="es-ES"/>
        </w:rPr>
        <w:t>El Alto Comisionado reitera su llama</w:t>
      </w:r>
      <w:r>
        <w:rPr>
          <w:rFonts w:asciiTheme="majorBidi" w:hAnsiTheme="majorBidi" w:cstheme="majorBidi"/>
          <w:b/>
          <w:bCs/>
          <w:sz w:val="20"/>
          <w:szCs w:val="20"/>
          <w:lang w:val="es-ES"/>
        </w:rPr>
        <w:t>do</w:t>
      </w:r>
      <w:r w:rsidRPr="00E04BF0">
        <w:rPr>
          <w:rFonts w:asciiTheme="majorBidi" w:hAnsiTheme="majorBidi" w:cstheme="majorBidi"/>
          <w:b/>
          <w:bCs/>
          <w:sz w:val="20"/>
          <w:szCs w:val="20"/>
          <w:lang w:val="es-ES"/>
        </w:rPr>
        <w:t xml:space="preserve"> a los Estados Miembros de las Naciones Unidas y a la comunidad internacional para que levanten las sanciones sectoriales que exacerban los problemas preexistentes y afectan negativamente al disfrute de los derechos humanos</w:t>
      </w:r>
      <w:r>
        <w:rPr>
          <w:rFonts w:asciiTheme="majorBidi" w:hAnsiTheme="majorBidi" w:cstheme="majorBidi"/>
          <w:b/>
          <w:bCs/>
          <w:sz w:val="20"/>
          <w:szCs w:val="20"/>
          <w:lang w:val="es-ES"/>
        </w:rPr>
        <w:t xml:space="preserve"> y </w:t>
      </w:r>
      <w:r w:rsidRPr="00E04BF0">
        <w:rPr>
          <w:rFonts w:asciiTheme="majorBidi" w:hAnsiTheme="majorBidi" w:cstheme="majorBidi"/>
          <w:b/>
          <w:bCs/>
          <w:sz w:val="20"/>
          <w:szCs w:val="20"/>
          <w:lang w:val="es-ES"/>
        </w:rPr>
        <w:t>la asistencia humanitaria,</w:t>
      </w:r>
      <w:r>
        <w:rPr>
          <w:rFonts w:asciiTheme="majorBidi" w:hAnsiTheme="majorBidi" w:cstheme="majorBidi"/>
          <w:b/>
          <w:bCs/>
          <w:sz w:val="20"/>
          <w:szCs w:val="20"/>
          <w:lang w:val="es-ES"/>
        </w:rPr>
        <w:t xml:space="preserve"> </w:t>
      </w:r>
      <w:r w:rsidRPr="00E04BF0">
        <w:rPr>
          <w:rFonts w:asciiTheme="majorBidi" w:hAnsiTheme="majorBidi" w:cstheme="majorBidi"/>
          <w:b/>
          <w:bCs/>
          <w:sz w:val="20"/>
          <w:szCs w:val="20"/>
          <w:lang w:val="es-ES"/>
        </w:rPr>
        <w:t>y apoyen los procesos de diálogo nacional.</w:t>
      </w:r>
    </w:p>
    <w:p w14:paraId="2344740C" w14:textId="1424AFC0" w:rsidR="007D32A8" w:rsidRPr="007D32A8" w:rsidRDefault="007D32A8" w:rsidP="007D32A8">
      <w:pPr>
        <w:pStyle w:val="ListParagraph"/>
        <w:tabs>
          <w:tab w:val="left" w:pos="1260"/>
        </w:tabs>
        <w:suppressAutoHyphens/>
        <w:spacing w:before="240" w:line="240" w:lineRule="atLeast"/>
        <w:ind w:left="1134" w:right="1134"/>
        <w:jc w:val="center"/>
        <w:rPr>
          <w:rFonts w:asciiTheme="majorBidi" w:hAnsiTheme="majorBidi" w:cstheme="majorBidi"/>
          <w:sz w:val="20"/>
          <w:szCs w:val="20"/>
          <w:u w:val="single"/>
          <w:lang w:val="es-ES"/>
        </w:rPr>
      </w:pPr>
      <w:r>
        <w:rPr>
          <w:rFonts w:asciiTheme="majorBidi" w:hAnsiTheme="majorBidi" w:cstheme="majorBidi"/>
          <w:b/>
          <w:bCs/>
          <w:sz w:val="20"/>
          <w:szCs w:val="20"/>
          <w:u w:val="single"/>
          <w:lang w:val="es-ES"/>
        </w:rPr>
        <w:tab/>
      </w:r>
      <w:r>
        <w:rPr>
          <w:rFonts w:asciiTheme="majorBidi" w:hAnsiTheme="majorBidi" w:cstheme="majorBidi"/>
          <w:b/>
          <w:bCs/>
          <w:sz w:val="20"/>
          <w:szCs w:val="20"/>
          <w:u w:val="single"/>
          <w:lang w:val="es-ES"/>
        </w:rPr>
        <w:tab/>
      </w:r>
      <w:r>
        <w:rPr>
          <w:rFonts w:asciiTheme="majorBidi" w:hAnsiTheme="majorBidi" w:cstheme="majorBidi"/>
          <w:b/>
          <w:bCs/>
          <w:sz w:val="20"/>
          <w:szCs w:val="20"/>
          <w:u w:val="single"/>
          <w:lang w:val="es-ES"/>
        </w:rPr>
        <w:tab/>
      </w:r>
    </w:p>
    <w:sectPr w:rsidR="007D32A8" w:rsidRPr="007D32A8" w:rsidSect="00E444D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63CB" w14:textId="77777777" w:rsidR="00E444D5" w:rsidRDefault="00E444D5"/>
  </w:endnote>
  <w:endnote w:type="continuationSeparator" w:id="0">
    <w:p w14:paraId="524484E9" w14:textId="77777777" w:rsidR="00E444D5" w:rsidRDefault="00E444D5"/>
  </w:endnote>
  <w:endnote w:type="continuationNotice" w:id="1">
    <w:p w14:paraId="3CB73460" w14:textId="77777777" w:rsidR="00E444D5" w:rsidRDefault="00E44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961" w14:textId="77777777" w:rsidR="009A60C0" w:rsidRDefault="009A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8B99" w14:textId="77777777" w:rsidR="009A60C0" w:rsidRDefault="009A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C63F" w14:textId="33731720" w:rsidR="000403D1" w:rsidRDefault="000403D1"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B823" w14:textId="77777777" w:rsidR="00E444D5" w:rsidRPr="000B175B" w:rsidRDefault="00E444D5" w:rsidP="000B175B">
      <w:pPr>
        <w:tabs>
          <w:tab w:val="right" w:pos="2155"/>
        </w:tabs>
        <w:spacing w:after="80"/>
        <w:ind w:left="680"/>
        <w:rPr>
          <w:u w:val="single"/>
        </w:rPr>
      </w:pPr>
      <w:r>
        <w:rPr>
          <w:u w:val="single"/>
        </w:rPr>
        <w:tab/>
      </w:r>
    </w:p>
  </w:footnote>
  <w:footnote w:type="continuationSeparator" w:id="0">
    <w:p w14:paraId="15241691" w14:textId="77777777" w:rsidR="00E444D5" w:rsidRPr="00FC68B7" w:rsidRDefault="00E444D5" w:rsidP="00FC68B7">
      <w:pPr>
        <w:tabs>
          <w:tab w:val="left" w:pos="2155"/>
        </w:tabs>
        <w:spacing w:after="80"/>
        <w:ind w:left="680"/>
        <w:rPr>
          <w:u w:val="single"/>
        </w:rPr>
      </w:pPr>
      <w:r>
        <w:rPr>
          <w:u w:val="single"/>
        </w:rPr>
        <w:tab/>
      </w:r>
    </w:p>
  </w:footnote>
  <w:footnote w:type="continuationNotice" w:id="1">
    <w:p w14:paraId="39C9ADDC" w14:textId="77777777" w:rsidR="00E444D5" w:rsidRDefault="00E444D5"/>
  </w:footnote>
  <w:footnote w:id="2">
    <w:p w14:paraId="60C0D094" w14:textId="77777777" w:rsidR="00E444D5" w:rsidRPr="00954551" w:rsidRDefault="00E444D5" w:rsidP="00E444D5">
      <w:pPr>
        <w:pStyle w:val="FootnoteText"/>
      </w:pPr>
      <w:r w:rsidRPr="0081038D">
        <w:rPr>
          <w:rStyle w:val="FootnoteReference"/>
          <w:sz w:val="20"/>
        </w:rPr>
        <w:t>*</w:t>
      </w:r>
      <w:r>
        <w:rPr>
          <w:rStyle w:val="FootnoteReference"/>
          <w:sz w:val="20"/>
        </w:rPr>
        <w:tab/>
      </w:r>
      <w:r w:rsidRPr="00BD1A75">
        <w:t>The summary of the report is being circulated in all official languages. The report itself, which is annexed to the summary, is being circulated in the language</w:t>
      </w:r>
      <w:r w:rsidRPr="00BD1A75">
        <w:rPr>
          <w:color w:val="FF0000"/>
        </w:rPr>
        <w:t xml:space="preserve"> </w:t>
      </w:r>
      <w:r w:rsidRPr="00BD1A75">
        <w:t>of submission</w:t>
      </w:r>
      <w:r>
        <w:t xml:space="preserve"> and Spanish only.</w:t>
      </w:r>
    </w:p>
  </w:footnote>
  <w:footnote w:id="3">
    <w:p w14:paraId="600EB3B3" w14:textId="77777777" w:rsidR="00E444D5" w:rsidRPr="00487B5F" w:rsidRDefault="00E444D5" w:rsidP="00E444D5">
      <w:pPr>
        <w:autoSpaceDE w:val="0"/>
        <w:autoSpaceDN w:val="0"/>
        <w:adjustRightInd w:val="0"/>
        <w:ind w:left="709" w:hanging="142"/>
        <w:rPr>
          <w:sz w:val="18"/>
          <w:szCs w:val="18"/>
        </w:rPr>
      </w:pPr>
      <w:r w:rsidRPr="0081038D">
        <w:rPr>
          <w:rStyle w:val="FootnoteReference"/>
        </w:rPr>
        <w:t>**</w:t>
      </w:r>
      <w:r>
        <w:tab/>
      </w:r>
      <w:proofErr w:type="spellStart"/>
      <w:r w:rsidRPr="006B088E">
        <w:rPr>
          <w:rFonts w:asciiTheme="majorBidi" w:hAnsiTheme="majorBidi" w:cstheme="majorBidi"/>
          <w:color w:val="000000"/>
          <w:sz w:val="18"/>
          <w:szCs w:val="18"/>
          <w:lang w:eastAsia="en-GB"/>
        </w:rPr>
        <w:t>The</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present</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report</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was</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submitted</w:t>
      </w:r>
      <w:proofErr w:type="spellEnd"/>
      <w:r w:rsidRPr="006B088E">
        <w:rPr>
          <w:rFonts w:asciiTheme="majorBidi" w:hAnsiTheme="majorBidi" w:cstheme="majorBidi"/>
          <w:color w:val="000000"/>
          <w:sz w:val="18"/>
          <w:szCs w:val="18"/>
          <w:lang w:eastAsia="en-GB"/>
        </w:rPr>
        <w:t xml:space="preserve"> after </w:t>
      </w:r>
      <w:proofErr w:type="spellStart"/>
      <w:r w:rsidRPr="006B088E">
        <w:rPr>
          <w:rFonts w:asciiTheme="majorBidi" w:hAnsiTheme="majorBidi" w:cstheme="majorBidi"/>
          <w:color w:val="000000"/>
          <w:sz w:val="18"/>
          <w:szCs w:val="18"/>
          <w:lang w:eastAsia="en-GB"/>
        </w:rPr>
        <w:t>the</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deadline</w:t>
      </w:r>
      <w:proofErr w:type="spellEnd"/>
      <w:r w:rsidRPr="006B088E">
        <w:rPr>
          <w:rFonts w:asciiTheme="majorBidi" w:hAnsiTheme="majorBidi" w:cstheme="majorBidi"/>
          <w:color w:val="000000"/>
          <w:sz w:val="18"/>
          <w:szCs w:val="18"/>
          <w:lang w:eastAsia="en-GB"/>
        </w:rPr>
        <w:t xml:space="preserve"> in </w:t>
      </w:r>
      <w:proofErr w:type="spellStart"/>
      <w:r w:rsidRPr="006B088E">
        <w:rPr>
          <w:rFonts w:asciiTheme="majorBidi" w:hAnsiTheme="majorBidi" w:cstheme="majorBidi"/>
          <w:color w:val="000000"/>
          <w:sz w:val="18"/>
          <w:szCs w:val="18"/>
          <w:lang w:eastAsia="en-GB"/>
        </w:rPr>
        <w:t>order</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to</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reflect</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recent</w:t>
      </w:r>
      <w:proofErr w:type="spellEnd"/>
      <w:r w:rsidRPr="006B088E">
        <w:rPr>
          <w:rFonts w:asciiTheme="majorBidi" w:hAnsiTheme="majorBidi" w:cstheme="majorBidi"/>
          <w:color w:val="000000"/>
          <w:sz w:val="18"/>
          <w:szCs w:val="18"/>
          <w:lang w:eastAsia="en-GB"/>
        </w:rPr>
        <w:t xml:space="preserve"> </w:t>
      </w:r>
      <w:proofErr w:type="spellStart"/>
      <w:r w:rsidRPr="006B088E">
        <w:rPr>
          <w:rFonts w:asciiTheme="majorBidi" w:hAnsiTheme="majorBidi" w:cstheme="majorBidi"/>
          <w:color w:val="000000"/>
          <w:sz w:val="18"/>
          <w:szCs w:val="18"/>
          <w:lang w:eastAsia="en-GB"/>
        </w:rPr>
        <w:t>developments</w:t>
      </w:r>
      <w:proofErr w:type="spellEnd"/>
      <w:r w:rsidRPr="006B088E">
        <w:rPr>
          <w:rFonts w:asciiTheme="majorBidi" w:hAnsiTheme="majorBidi" w:cstheme="majorBidi"/>
          <w:color w:val="000000"/>
          <w:sz w:val="18"/>
          <w:szCs w:val="18"/>
          <w:lang w:eastAsia="en-GB"/>
        </w:rPr>
        <w:t>.</w:t>
      </w:r>
    </w:p>
  </w:footnote>
  <w:footnote w:id="4">
    <w:p w14:paraId="2F10D67C" w14:textId="77777777" w:rsidR="00E444D5" w:rsidRPr="00A67525" w:rsidRDefault="00E444D5" w:rsidP="00E444D5">
      <w:pPr>
        <w:pStyle w:val="EndnoteText"/>
      </w:pPr>
      <w:r>
        <w:rPr>
          <w:rStyle w:val="FootnoteReference"/>
        </w:rPr>
        <w:tab/>
      </w:r>
      <w:r w:rsidRPr="00A67525">
        <w:rPr>
          <w:rStyle w:val="FootnoteReference"/>
        </w:rPr>
        <w:t>***</w:t>
      </w:r>
      <w:r>
        <w:rPr>
          <w:rStyle w:val="FootnoteReference"/>
        </w:rPr>
        <w:tab/>
      </w:r>
      <w:bookmarkStart w:id="0" w:name="_Hlk137030621"/>
      <w:r w:rsidRPr="00A67525">
        <w:rPr>
          <w:rStyle w:val="FootnoteTextChar"/>
          <w:rFonts w:eastAsia="Calibri"/>
        </w:rPr>
        <w:t xml:space="preserve">The </w:t>
      </w:r>
      <w:r>
        <w:rPr>
          <w:rStyle w:val="FootnoteTextChar"/>
          <w:rFonts w:eastAsia="Calibri"/>
        </w:rPr>
        <w:t>Appendix</w:t>
      </w:r>
      <w:r w:rsidRPr="00A67525">
        <w:rPr>
          <w:rStyle w:val="FootnoteTextChar"/>
          <w:rFonts w:eastAsia="Calibri"/>
        </w:rPr>
        <w:t xml:space="preserve"> to the present document is reproduced as received, in the language of submission only</w:t>
      </w:r>
      <w:bookmarkEnd w:id="0"/>
      <w:r>
        <w:rPr>
          <w:rStyle w:val="FootnoteTextChar"/>
          <w:rFonts w:eastAsia="Calibri"/>
        </w:rPr>
        <w:t>.</w:t>
      </w:r>
    </w:p>
  </w:footnote>
  <w:footnote w:id="5">
    <w:p w14:paraId="34012193" w14:textId="77777777" w:rsidR="00E444D5" w:rsidRPr="00BF5572" w:rsidRDefault="00E444D5" w:rsidP="00E444D5">
      <w:pPr>
        <w:pStyle w:val="FootnoteText"/>
        <w:rPr>
          <w:rFonts w:asciiTheme="majorBidi" w:hAnsiTheme="majorBidi"/>
          <w:lang w:val="en-US"/>
        </w:rPr>
      </w:pPr>
      <w:r>
        <w:rPr>
          <w:rStyle w:val="FootnoteReference"/>
        </w:rPr>
        <w:footnoteRef/>
      </w:r>
      <w:r w:rsidRPr="00BF5572">
        <w:rPr>
          <w:lang w:val="en-US"/>
        </w:rPr>
        <w:t xml:space="preserve"> </w:t>
      </w:r>
      <w:proofErr w:type="spellStart"/>
      <w:r w:rsidRPr="00BF5572">
        <w:rPr>
          <w:lang w:val="en-US"/>
        </w:rPr>
        <w:t>Vea</w:t>
      </w:r>
      <w:proofErr w:type="spellEnd"/>
      <w:r w:rsidRPr="00BF5572">
        <w:rPr>
          <w:lang w:val="en-US"/>
        </w:rPr>
        <w:t xml:space="preserve"> </w:t>
      </w:r>
      <w:hyperlink r:id="rId1" w:history="1">
        <w:proofErr w:type="spellStart"/>
        <w:r w:rsidRPr="00BF5572">
          <w:rPr>
            <w:rStyle w:val="Hyperlink"/>
            <w:lang w:val="en-US"/>
          </w:rPr>
          <w:t>HUMVenezuela</w:t>
        </w:r>
        <w:proofErr w:type="spellEnd"/>
        <w:r w:rsidRPr="00BF5572">
          <w:rPr>
            <w:rStyle w:val="Hyperlink"/>
            <w:lang w:val="en-US"/>
          </w:rPr>
          <w:t xml:space="preserve"> </w:t>
        </w:r>
        <w:proofErr w:type="spellStart"/>
        <w:r w:rsidRPr="00BF5572">
          <w:rPr>
            <w:rStyle w:val="Hyperlink"/>
            <w:lang w:val="en-US"/>
          </w:rPr>
          <w:t>Diagnostico</w:t>
        </w:r>
        <w:proofErr w:type="spellEnd"/>
        <w:r w:rsidRPr="00BF5572">
          <w:rPr>
            <w:rStyle w:val="Hyperlink"/>
            <w:lang w:val="en-US"/>
          </w:rPr>
          <w:t xml:space="preserve"> </w:t>
        </w:r>
        <w:proofErr w:type="spellStart"/>
        <w:r w:rsidRPr="00BF5572">
          <w:rPr>
            <w:rStyle w:val="Hyperlink"/>
            <w:lang w:val="en-US"/>
          </w:rPr>
          <w:t>comunitario</w:t>
        </w:r>
        <w:proofErr w:type="spellEnd"/>
        <w:r w:rsidRPr="00BF5572">
          <w:rPr>
            <w:rStyle w:val="Hyperlink"/>
            <w:lang w:val="en-US"/>
          </w:rPr>
          <w:t xml:space="preserve"> Julio-</w:t>
        </w:r>
        <w:proofErr w:type="spellStart"/>
        <w:r w:rsidRPr="00BF5572">
          <w:rPr>
            <w:rStyle w:val="Hyperlink"/>
            <w:lang w:val="en-US"/>
          </w:rPr>
          <w:t>agosto</w:t>
        </w:r>
        <w:proofErr w:type="spellEnd"/>
        <w:r w:rsidRPr="00BF5572">
          <w:rPr>
            <w:rStyle w:val="Hyperlink"/>
            <w:rFonts w:asciiTheme="majorBidi" w:hAnsiTheme="majorBidi"/>
            <w:lang w:val="en-US"/>
          </w:rPr>
          <w:t xml:space="preserve"> 2023</w:t>
        </w:r>
      </w:hyperlink>
    </w:p>
  </w:footnote>
  <w:footnote w:id="6">
    <w:p w14:paraId="2A71C5AB" w14:textId="77777777" w:rsidR="00E444D5" w:rsidRPr="00BF5572" w:rsidRDefault="00E444D5" w:rsidP="00E444D5">
      <w:pPr>
        <w:pStyle w:val="FootnoteText"/>
        <w:rPr>
          <w:rFonts w:asciiTheme="majorBidi" w:hAnsiTheme="majorBidi"/>
          <w:lang w:val="en-US"/>
        </w:rPr>
      </w:pPr>
      <w:r w:rsidRPr="00B27B06">
        <w:rPr>
          <w:rStyle w:val="FootnoteReference"/>
          <w:rFonts w:asciiTheme="majorBidi" w:hAnsiTheme="majorBidi" w:cstheme="majorBidi"/>
        </w:rPr>
        <w:footnoteRef/>
      </w:r>
      <w:r w:rsidRPr="00BF5572">
        <w:rPr>
          <w:rFonts w:asciiTheme="majorBidi" w:hAnsiTheme="majorBidi"/>
          <w:lang w:val="en-US"/>
        </w:rPr>
        <w:t xml:space="preserve"> </w:t>
      </w:r>
      <w:proofErr w:type="spellStart"/>
      <w:r w:rsidRPr="00BF5572">
        <w:rPr>
          <w:rFonts w:asciiTheme="majorBidi" w:hAnsiTheme="majorBidi"/>
          <w:lang w:val="en-US"/>
        </w:rPr>
        <w:t>Vea</w:t>
      </w:r>
      <w:proofErr w:type="spellEnd"/>
      <w:r w:rsidRPr="00BF5572">
        <w:rPr>
          <w:rFonts w:asciiTheme="majorBidi" w:hAnsiTheme="majorBidi"/>
          <w:lang w:val="en-US"/>
        </w:rPr>
        <w:t xml:space="preserve"> </w:t>
      </w:r>
      <w:hyperlink r:id="rId2" w:history="1">
        <w:r w:rsidRPr="001A0E96">
          <w:rPr>
            <w:rStyle w:val="Hyperlink"/>
            <w:rFonts w:asciiTheme="majorBidi" w:hAnsiTheme="majorBidi"/>
            <w:lang w:val="en-US"/>
          </w:rPr>
          <w:t>https://ofac.treasury.gov/recent-actions/20231018_44</w:t>
        </w:r>
      </w:hyperlink>
    </w:p>
  </w:footnote>
  <w:footnote w:id="7">
    <w:p w14:paraId="69B8EC9D" w14:textId="77777777" w:rsidR="00E444D5" w:rsidRPr="00BF5572" w:rsidRDefault="00E444D5" w:rsidP="00E444D5">
      <w:pPr>
        <w:pStyle w:val="FootnoteText"/>
        <w:rPr>
          <w:rFonts w:asciiTheme="majorBidi" w:hAnsiTheme="majorBidi"/>
          <w:lang w:val="en-US"/>
        </w:rPr>
      </w:pPr>
      <w:r w:rsidRPr="00B27B06">
        <w:rPr>
          <w:rStyle w:val="FootnoteReference"/>
          <w:rFonts w:asciiTheme="majorBidi" w:hAnsiTheme="majorBidi" w:cstheme="majorBidi"/>
        </w:rPr>
        <w:footnoteRef/>
      </w:r>
      <w:r w:rsidRPr="00BF5572">
        <w:rPr>
          <w:rFonts w:asciiTheme="majorBidi" w:hAnsiTheme="majorBidi"/>
          <w:lang w:val="en-US"/>
        </w:rPr>
        <w:t xml:space="preserve"> </w:t>
      </w:r>
      <w:proofErr w:type="spellStart"/>
      <w:r w:rsidRPr="00BF5572">
        <w:rPr>
          <w:rFonts w:asciiTheme="majorBidi" w:hAnsiTheme="majorBidi"/>
          <w:lang w:val="en-US"/>
        </w:rPr>
        <w:t>Vea</w:t>
      </w:r>
      <w:proofErr w:type="spellEnd"/>
      <w:r w:rsidRPr="00BF5572">
        <w:rPr>
          <w:rFonts w:asciiTheme="majorBidi" w:hAnsiTheme="majorBidi"/>
          <w:lang w:val="en-US"/>
        </w:rPr>
        <w:t xml:space="preserve"> </w:t>
      </w:r>
      <w:hyperlink r:id="rId3" w:history="1">
        <w:r w:rsidRPr="00BF5572">
          <w:rPr>
            <w:rStyle w:val="Hyperlink"/>
            <w:rFonts w:asciiTheme="majorBidi" w:hAnsiTheme="majorBidi"/>
            <w:lang w:val="en-US"/>
          </w:rPr>
          <w:t>www.sunaval.gob.ve/2024/01/16/25594/</w:t>
        </w:r>
      </w:hyperlink>
    </w:p>
  </w:footnote>
  <w:footnote w:id="8">
    <w:p w14:paraId="765A256A" w14:textId="77777777" w:rsidR="00E444D5" w:rsidRPr="00BF5572" w:rsidRDefault="00E444D5" w:rsidP="00E444D5">
      <w:pPr>
        <w:pStyle w:val="pf0"/>
        <w:spacing w:before="0" w:beforeAutospacing="0" w:after="0" w:afterAutospacing="0"/>
        <w:rPr>
          <w:rFonts w:asciiTheme="majorBidi" w:hAnsiTheme="majorBidi"/>
          <w:sz w:val="20"/>
        </w:rPr>
      </w:pPr>
      <w:r w:rsidRPr="00B27B06">
        <w:rPr>
          <w:rStyle w:val="FootnoteReference"/>
          <w:rFonts w:asciiTheme="majorBidi" w:hAnsiTheme="majorBidi" w:cstheme="majorBidi"/>
        </w:rPr>
        <w:footnoteRef/>
      </w:r>
      <w:r w:rsidRPr="00BF5572">
        <w:rPr>
          <w:rFonts w:asciiTheme="majorBidi" w:hAnsiTheme="majorBidi"/>
        </w:rPr>
        <w:t xml:space="preserve"> </w:t>
      </w:r>
      <w:proofErr w:type="spellStart"/>
      <w:r w:rsidRPr="00BF5572">
        <w:rPr>
          <w:rFonts w:asciiTheme="majorBidi" w:eastAsia="SimSun" w:hAnsiTheme="majorBidi"/>
          <w:sz w:val="18"/>
        </w:rPr>
        <w:t>Vea</w:t>
      </w:r>
      <w:proofErr w:type="spellEnd"/>
      <w:r w:rsidRPr="00BF5572">
        <w:rPr>
          <w:rStyle w:val="Hyperlink"/>
          <w:rFonts w:asciiTheme="majorBidi" w:hAnsiTheme="majorBidi"/>
        </w:rPr>
        <w:t xml:space="preserve"> </w:t>
      </w:r>
      <w:hyperlink r:id="rId4" w:history="1">
        <w:r w:rsidRPr="00BF5572">
          <w:rPr>
            <w:rStyle w:val="cf01"/>
            <w:rFonts w:asciiTheme="majorBidi" w:eastAsiaTheme="majorEastAsia" w:hAnsiTheme="majorBidi"/>
            <w:color w:val="0000FF"/>
            <w:u w:val="single"/>
          </w:rPr>
          <w:t>https://www.bcv.org.ve/estadisticas/consumidor</w:t>
        </w:r>
      </w:hyperlink>
    </w:p>
  </w:footnote>
  <w:footnote w:id="9">
    <w:p w14:paraId="7B5A404D" w14:textId="77777777" w:rsidR="00E444D5" w:rsidRPr="00FE07A8" w:rsidRDefault="00E444D5" w:rsidP="00E444D5">
      <w:pPr>
        <w:pStyle w:val="FootnoteText"/>
        <w:rPr>
          <w:lang w:val="es-ES"/>
        </w:rPr>
      </w:pPr>
      <w:r w:rsidRPr="00B27B06">
        <w:rPr>
          <w:rStyle w:val="FootnoteReference"/>
          <w:rFonts w:asciiTheme="majorBidi" w:hAnsiTheme="majorBidi" w:cstheme="majorBidi"/>
        </w:rPr>
        <w:footnoteRef/>
      </w:r>
      <w:r>
        <w:rPr>
          <w:rFonts w:asciiTheme="majorBidi" w:hAnsiTheme="majorBidi" w:cstheme="majorBidi"/>
          <w:lang w:val="es-ES"/>
        </w:rPr>
        <w:t xml:space="preserve"> </w:t>
      </w:r>
      <w:r w:rsidRPr="00775AE4">
        <w:rPr>
          <w:rFonts w:asciiTheme="majorBidi" w:hAnsiTheme="majorBidi" w:cstheme="majorBidi"/>
          <w:lang w:val="es-ES"/>
        </w:rPr>
        <w:t>Vea</w:t>
      </w:r>
      <w:r w:rsidRPr="00B27B06">
        <w:rPr>
          <w:rFonts w:asciiTheme="majorBidi" w:hAnsiTheme="majorBidi" w:cstheme="majorBidi"/>
          <w:lang w:val="es-ES"/>
        </w:rPr>
        <w:t xml:space="preserve"> </w:t>
      </w:r>
      <w:hyperlink r:id="rId5" w:history="1">
        <w:r w:rsidRPr="00B27B06">
          <w:rPr>
            <w:rStyle w:val="cf01"/>
            <w:rFonts w:asciiTheme="majorBidi" w:hAnsiTheme="majorBidi" w:cstheme="majorBidi"/>
            <w:color w:val="0000FF"/>
            <w:u w:val="single"/>
            <w:lang w:val="es-ES"/>
          </w:rPr>
          <w:t>https://www.bcv.org.ve/seccionportal/tipo-de-cambio-oficial-del-bcv</w:t>
        </w:r>
      </w:hyperlink>
      <w:r w:rsidRPr="00025ED5">
        <w:rPr>
          <w:rFonts w:ascii="Arial" w:hAnsi="Arial" w:cs="Arial"/>
          <w:sz w:val="20"/>
          <w:lang w:val="es-ES"/>
        </w:rPr>
        <w:t xml:space="preserve"> </w:t>
      </w:r>
    </w:p>
  </w:footnote>
  <w:footnote w:id="10">
    <w:p w14:paraId="5061C049" w14:textId="77777777" w:rsidR="00E444D5" w:rsidRPr="00CE2D53" w:rsidRDefault="00E444D5" w:rsidP="00E444D5">
      <w:pPr>
        <w:pStyle w:val="FootnoteText"/>
        <w:rPr>
          <w:lang w:val="es-ES"/>
        </w:rPr>
      </w:pPr>
      <w:r>
        <w:rPr>
          <w:rStyle w:val="FootnoteReference"/>
        </w:rPr>
        <w:footnoteRef/>
      </w:r>
      <w:r w:rsidRPr="00CE2D53">
        <w:rPr>
          <w:lang w:val="es-ES"/>
        </w:rPr>
        <w:t xml:space="preserve"> </w:t>
      </w:r>
      <w:r>
        <w:rPr>
          <w:lang w:val="es-ES"/>
        </w:rPr>
        <w:t xml:space="preserve">Vea </w:t>
      </w:r>
      <w:hyperlink r:id="rId6" w:history="1">
        <w:proofErr w:type="spellStart"/>
        <w:r w:rsidRPr="00CE2D53">
          <w:rPr>
            <w:rStyle w:val="Hyperlink"/>
            <w:lang w:val="es-ES"/>
          </w:rPr>
          <w:t>HUMVenezuela</w:t>
        </w:r>
        <w:proofErr w:type="spellEnd"/>
        <w:r w:rsidRPr="00CE2D53">
          <w:rPr>
            <w:rStyle w:val="Hyperlink"/>
            <w:lang w:val="es-ES"/>
          </w:rPr>
          <w:t xml:space="preserve"> </w:t>
        </w:r>
        <w:r>
          <w:rPr>
            <w:rStyle w:val="Hyperlink"/>
            <w:lang w:val="es-ES"/>
          </w:rPr>
          <w:t>Diagnostico Comunitario j</w:t>
        </w:r>
        <w:r w:rsidRPr="00CE2D53">
          <w:rPr>
            <w:rStyle w:val="Hyperlink"/>
            <w:lang w:val="es-ES"/>
          </w:rPr>
          <w:t>ulio-</w:t>
        </w:r>
        <w:r>
          <w:rPr>
            <w:rStyle w:val="Hyperlink"/>
            <w:lang w:val="es-ES"/>
          </w:rPr>
          <w:t>a</w:t>
        </w:r>
        <w:r w:rsidRPr="00CE2D53">
          <w:rPr>
            <w:rStyle w:val="Hyperlink"/>
            <w:lang w:val="es-ES"/>
          </w:rPr>
          <w:t>g</w:t>
        </w:r>
        <w:r>
          <w:rPr>
            <w:rStyle w:val="Hyperlink"/>
            <w:lang w:val="es-ES"/>
          </w:rPr>
          <w:t>o</w:t>
        </w:r>
        <w:r w:rsidRPr="00CE2D53">
          <w:rPr>
            <w:rStyle w:val="Hyperlink"/>
            <w:lang w:val="es-ES"/>
          </w:rPr>
          <w:t>st</w:t>
        </w:r>
        <w:r>
          <w:rPr>
            <w:rStyle w:val="Hyperlink"/>
            <w:lang w:val="es-ES"/>
          </w:rPr>
          <w:t>o</w:t>
        </w:r>
        <w:r w:rsidRPr="00CE2D53">
          <w:rPr>
            <w:rStyle w:val="Hyperlink"/>
            <w:lang w:val="es-ES"/>
          </w:rPr>
          <w:t xml:space="preserve"> 2023</w:t>
        </w:r>
      </w:hyperlink>
    </w:p>
  </w:footnote>
  <w:footnote w:id="11">
    <w:p w14:paraId="511A832A"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proofErr w:type="spellStart"/>
      <w:r w:rsidRPr="003E31B1">
        <w:rPr>
          <w:lang w:val="es-419"/>
        </w:rPr>
        <w:t>Ibid</w:t>
      </w:r>
      <w:proofErr w:type="spellEnd"/>
    </w:p>
  </w:footnote>
  <w:footnote w:id="12">
    <w:p w14:paraId="0126C983" w14:textId="77777777" w:rsidR="00E444D5" w:rsidRPr="00BA3633" w:rsidRDefault="00E444D5" w:rsidP="00E444D5">
      <w:pPr>
        <w:pStyle w:val="FootnoteText"/>
        <w:rPr>
          <w:lang w:val="es-ES"/>
        </w:rPr>
      </w:pPr>
      <w:r>
        <w:rPr>
          <w:rStyle w:val="FootnoteReference"/>
        </w:rPr>
        <w:footnoteRef/>
      </w:r>
      <w:r w:rsidRPr="00B66DFE">
        <w:rPr>
          <w:lang w:val="es-ES"/>
        </w:rPr>
        <w:t xml:space="preserve"> </w:t>
      </w:r>
      <w:r>
        <w:rPr>
          <w:lang w:val="es-ES"/>
        </w:rPr>
        <w:t xml:space="preserve">Vea </w:t>
      </w:r>
      <w:hyperlink r:id="rId7" w:history="1">
        <w:r w:rsidRPr="00326658">
          <w:rPr>
            <w:rStyle w:val="Hyperlink"/>
            <w:lang w:val="es-ES"/>
          </w:rPr>
          <w:t xml:space="preserve">CESCR </w:t>
        </w:r>
        <w:r>
          <w:rPr>
            <w:rStyle w:val="Hyperlink"/>
            <w:lang w:val="es-ES"/>
          </w:rPr>
          <w:t>comentario general</w:t>
        </w:r>
        <w:r w:rsidRPr="00326658">
          <w:rPr>
            <w:rStyle w:val="Hyperlink"/>
            <w:lang w:val="es-ES"/>
          </w:rPr>
          <w:t xml:space="preserve"> No 14 (2000</w:t>
        </w:r>
      </w:hyperlink>
      <w:r w:rsidRPr="00BA3633">
        <w:rPr>
          <w:lang w:val="es-ES"/>
        </w:rPr>
        <w:t>) Paras 12(d), 36</w:t>
      </w:r>
    </w:p>
  </w:footnote>
  <w:footnote w:id="13">
    <w:p w14:paraId="480D659B" w14:textId="77777777" w:rsidR="00E444D5" w:rsidRPr="003E31B1" w:rsidRDefault="00E444D5" w:rsidP="00E444D5">
      <w:pPr>
        <w:pStyle w:val="FootnoteText"/>
        <w:rPr>
          <w:lang w:val="es-ES"/>
        </w:rPr>
      </w:pPr>
      <w:r>
        <w:rPr>
          <w:rStyle w:val="FootnoteReference"/>
        </w:rPr>
        <w:footnoteRef/>
      </w:r>
      <w:r>
        <w:rPr>
          <w:lang w:val="es-ES"/>
        </w:rPr>
        <w:t xml:space="preserve"> Vea</w:t>
      </w:r>
      <w:r w:rsidRPr="003E31B1">
        <w:rPr>
          <w:lang w:val="es-ES"/>
        </w:rPr>
        <w:t xml:space="preserve"> </w:t>
      </w:r>
      <w:hyperlink r:id="rId8" w:history="1">
        <w:r w:rsidRPr="003E31B1">
          <w:rPr>
            <w:rStyle w:val="Hyperlink"/>
            <w:lang w:val="es-ES"/>
          </w:rPr>
          <w:t>https://caleidohumano.org/federacion-venezolana-de-maestros-reporto-80-de-ausentismo-en-el-inicio-del-ano-escolar/</w:t>
        </w:r>
      </w:hyperlink>
    </w:p>
  </w:footnote>
  <w:footnote w:id="14">
    <w:p w14:paraId="44FFBBEF" w14:textId="77777777" w:rsidR="00E444D5" w:rsidRPr="00AC7973" w:rsidRDefault="00E444D5" w:rsidP="00E444D5">
      <w:pPr>
        <w:pStyle w:val="FootnoteText"/>
        <w:rPr>
          <w:lang w:val="en-US"/>
        </w:rPr>
      </w:pPr>
      <w:r>
        <w:rPr>
          <w:rStyle w:val="FootnoteReference"/>
        </w:rPr>
        <w:footnoteRef/>
      </w:r>
      <w:r w:rsidRPr="00AC7973">
        <w:rPr>
          <w:lang w:val="en-US"/>
        </w:rPr>
        <w:t xml:space="preserve"> </w:t>
      </w:r>
      <w:proofErr w:type="spellStart"/>
      <w:r>
        <w:rPr>
          <w:lang w:val="en-US"/>
        </w:rPr>
        <w:t>Vea</w:t>
      </w:r>
      <w:proofErr w:type="spellEnd"/>
      <w:r>
        <w:rPr>
          <w:lang w:val="en-US"/>
        </w:rPr>
        <w:t xml:space="preserve"> </w:t>
      </w:r>
      <w:hyperlink r:id="rId9" w:history="1">
        <w:r>
          <w:rPr>
            <w:rStyle w:val="Hyperlink"/>
          </w:rPr>
          <w:t>20240214-eom-statement-venezuela-sr-food-sp.pdf (ohchr.org)</w:t>
        </w:r>
      </w:hyperlink>
    </w:p>
  </w:footnote>
  <w:footnote w:id="15">
    <w:p w14:paraId="21D98FDA" w14:textId="77777777" w:rsidR="00E444D5" w:rsidRPr="00BF5572" w:rsidRDefault="00E444D5" w:rsidP="00E444D5">
      <w:pPr>
        <w:pStyle w:val="FootnoteText"/>
        <w:rPr>
          <w:lang w:val="en-US"/>
        </w:rPr>
      </w:pPr>
      <w:r>
        <w:rPr>
          <w:rStyle w:val="FootnoteReference"/>
        </w:rPr>
        <w:footnoteRef/>
      </w:r>
      <w:r w:rsidRPr="00BF5572">
        <w:rPr>
          <w:lang w:val="en-US"/>
        </w:rPr>
        <w:t xml:space="preserve"> Ibid</w:t>
      </w:r>
    </w:p>
  </w:footnote>
  <w:footnote w:id="16">
    <w:p w14:paraId="3270515F" w14:textId="77777777" w:rsidR="00E444D5" w:rsidRPr="00BF5572" w:rsidRDefault="00E444D5" w:rsidP="00E444D5">
      <w:pPr>
        <w:pStyle w:val="FootnoteText"/>
        <w:rPr>
          <w:lang w:val="en-US"/>
        </w:rPr>
      </w:pPr>
      <w:r>
        <w:rPr>
          <w:rStyle w:val="FootnoteReference"/>
        </w:rPr>
        <w:footnoteRef/>
      </w:r>
      <w:r w:rsidRPr="00BF5572">
        <w:rPr>
          <w:lang w:val="en-US"/>
        </w:rPr>
        <w:t xml:space="preserve"> </w:t>
      </w:r>
      <w:proofErr w:type="spellStart"/>
      <w:r w:rsidRPr="00BF5572">
        <w:rPr>
          <w:lang w:val="en-US"/>
        </w:rPr>
        <w:t>Vea</w:t>
      </w:r>
      <w:proofErr w:type="spellEnd"/>
      <w:r w:rsidRPr="00BF5572">
        <w:rPr>
          <w:lang w:val="en-US"/>
        </w:rPr>
        <w:t xml:space="preserve"> </w:t>
      </w:r>
      <w:hyperlink r:id="rId10" w:history="1">
        <w:r w:rsidRPr="00BF5572">
          <w:rPr>
            <w:rStyle w:val="Hyperlink"/>
            <w:lang w:val="en-US"/>
          </w:rPr>
          <w:t xml:space="preserve">CESCR, </w:t>
        </w:r>
        <w:proofErr w:type="spellStart"/>
        <w:r w:rsidRPr="00BF5572">
          <w:rPr>
            <w:rStyle w:val="Hyperlink"/>
            <w:lang w:val="en-US"/>
          </w:rPr>
          <w:t>comentario</w:t>
        </w:r>
        <w:proofErr w:type="spellEnd"/>
        <w:r w:rsidRPr="00BF5572">
          <w:rPr>
            <w:rStyle w:val="Hyperlink"/>
            <w:lang w:val="en-US"/>
          </w:rPr>
          <w:t xml:space="preserve"> general No. 12</w:t>
        </w:r>
      </w:hyperlink>
      <w:r w:rsidRPr="001A0E96">
        <w:rPr>
          <w:lang w:val="en-US"/>
        </w:rPr>
        <w:t xml:space="preserve"> (1999), para. 8., </w:t>
      </w:r>
      <w:hyperlink r:id="rId11" w:history="1">
        <w:r w:rsidRPr="00BF5572">
          <w:rPr>
            <w:rStyle w:val="Hyperlink"/>
            <w:lang w:val="en-US"/>
          </w:rPr>
          <w:t>A/HRC/53/54</w:t>
        </w:r>
      </w:hyperlink>
      <w:r w:rsidRPr="001A0E96">
        <w:rPr>
          <w:lang w:val="en-US"/>
        </w:rPr>
        <w:t xml:space="preserve"> Para 5, </w:t>
      </w:r>
      <w:hyperlink r:id="rId12" w:history="1">
        <w:r w:rsidRPr="001A0E96">
          <w:rPr>
            <w:rStyle w:val="Hyperlink"/>
            <w:lang w:val="en-US"/>
          </w:rPr>
          <w:t>A/HRC/41/18</w:t>
        </w:r>
      </w:hyperlink>
      <w:r w:rsidRPr="001A0E96">
        <w:rPr>
          <w:rStyle w:val="Hyperlink"/>
          <w:lang w:val="en-US"/>
        </w:rPr>
        <w:t xml:space="preserve"> Para 81(a), </w:t>
      </w:r>
      <w:hyperlink r:id="rId13" w:history="1">
        <w:r w:rsidRPr="001A0E96">
          <w:rPr>
            <w:rStyle w:val="Hyperlink"/>
            <w:lang w:val="en-US"/>
          </w:rPr>
          <w:t>A/HRC/48/19</w:t>
        </w:r>
      </w:hyperlink>
      <w:r w:rsidRPr="001A0E96">
        <w:rPr>
          <w:rStyle w:val="Hyperlink"/>
          <w:lang w:val="en-US"/>
        </w:rPr>
        <w:t xml:space="preserve"> Para 67(a)</w:t>
      </w:r>
    </w:p>
  </w:footnote>
  <w:footnote w:id="17">
    <w:p w14:paraId="19EE85AD" w14:textId="77777777" w:rsidR="00E444D5" w:rsidRPr="00BF5572" w:rsidRDefault="00E444D5" w:rsidP="00E444D5">
      <w:pPr>
        <w:pStyle w:val="FootnoteText"/>
        <w:rPr>
          <w:lang w:val="en-US"/>
        </w:rPr>
      </w:pPr>
      <w:r>
        <w:rPr>
          <w:rStyle w:val="FootnoteReference"/>
        </w:rPr>
        <w:footnoteRef/>
      </w:r>
      <w:r w:rsidRPr="00BF5572">
        <w:rPr>
          <w:lang w:val="en-US"/>
        </w:rPr>
        <w:t xml:space="preserve"> </w:t>
      </w:r>
      <w:proofErr w:type="spellStart"/>
      <w:r w:rsidRPr="00BF5572">
        <w:rPr>
          <w:lang w:val="en-US"/>
        </w:rPr>
        <w:t>Vea</w:t>
      </w:r>
      <w:proofErr w:type="spellEnd"/>
      <w:r w:rsidRPr="00BF5572">
        <w:rPr>
          <w:lang w:val="en-US"/>
        </w:rPr>
        <w:t xml:space="preserve"> </w:t>
      </w:r>
      <w:hyperlink r:id="rId14" w:history="1">
        <w:r w:rsidRPr="00BF5572">
          <w:rPr>
            <w:rStyle w:val="Hyperlink"/>
            <w:lang w:val="en-US"/>
          </w:rPr>
          <w:t>http://www.mpppst.gob.ve/mpppstweb/index.php/2024/01/25/foro-de-dialogo-social-oit/</w:t>
        </w:r>
      </w:hyperlink>
    </w:p>
  </w:footnote>
  <w:footnote w:id="18">
    <w:p w14:paraId="6E8B015B" w14:textId="77777777" w:rsidR="00E444D5" w:rsidRPr="0077206E" w:rsidRDefault="00E444D5" w:rsidP="00E444D5">
      <w:pPr>
        <w:pStyle w:val="FootnoteText"/>
        <w:rPr>
          <w:lang w:val="es-ES"/>
        </w:rPr>
      </w:pPr>
      <w:r>
        <w:rPr>
          <w:rStyle w:val="FootnoteReference"/>
        </w:rPr>
        <w:footnoteRef/>
      </w:r>
      <w:r w:rsidRPr="0077206E">
        <w:rPr>
          <w:lang w:val="es-ES"/>
        </w:rPr>
        <w:t xml:space="preserve"> </w:t>
      </w:r>
      <w:r>
        <w:rPr>
          <w:lang w:val="es-ES"/>
        </w:rPr>
        <w:t xml:space="preserve">Vea </w:t>
      </w:r>
      <w:r w:rsidR="009A60C0">
        <w:fldChar w:fldCharType="begin"/>
      </w:r>
      <w:r w:rsidR="009A60C0" w:rsidRPr="009A60C0">
        <w:rPr>
          <w:lang w:val="fr-CH"/>
        </w:rPr>
        <w:instrText>HYPERLINK "https://www.ilo.org/es/resource/record-decisions/gb/350/decision-relativa-la-evolucion-relativa-la-plena-aplicacion-por-el-gobierno"</w:instrText>
      </w:r>
      <w:r w:rsidR="009A60C0">
        <w:fldChar w:fldCharType="separate"/>
      </w:r>
      <w:r w:rsidRPr="00395E9F">
        <w:rPr>
          <w:rStyle w:val="Hyperlink"/>
          <w:lang w:val="es-ES"/>
        </w:rPr>
        <w:t xml:space="preserve">Decisión relativa a la evolución relativa a la plena aplicación por el Gobierno de la República Bolivariana de Venezuela del plan de acción acordado a fin de dar cumplimiento a las recomendaciones de la comisión de encuesta respecto de los Convenios </w:t>
      </w:r>
      <w:proofErr w:type="spellStart"/>
      <w:r w:rsidRPr="00395E9F">
        <w:rPr>
          <w:rStyle w:val="Hyperlink"/>
          <w:lang w:val="es-ES"/>
        </w:rPr>
        <w:t>núms</w:t>
      </w:r>
      <w:proofErr w:type="spellEnd"/>
      <w:r w:rsidRPr="00395E9F">
        <w:rPr>
          <w:rStyle w:val="Hyperlink"/>
          <w:lang w:val="es-ES"/>
        </w:rPr>
        <w:t xml:space="preserve">. 26, 87 y 144 | International </w:t>
      </w:r>
      <w:proofErr w:type="spellStart"/>
      <w:r w:rsidRPr="00395E9F">
        <w:rPr>
          <w:rStyle w:val="Hyperlink"/>
          <w:lang w:val="es-ES"/>
        </w:rPr>
        <w:t>Labour</w:t>
      </w:r>
      <w:proofErr w:type="spellEnd"/>
      <w:r w:rsidRPr="00395E9F">
        <w:rPr>
          <w:rStyle w:val="Hyperlink"/>
          <w:lang w:val="es-ES"/>
        </w:rPr>
        <w:t xml:space="preserve"> </w:t>
      </w:r>
      <w:proofErr w:type="spellStart"/>
      <w:r w:rsidRPr="00395E9F">
        <w:rPr>
          <w:rStyle w:val="Hyperlink"/>
          <w:lang w:val="es-ES"/>
        </w:rPr>
        <w:t>Organization</w:t>
      </w:r>
      <w:proofErr w:type="spellEnd"/>
      <w:r w:rsidRPr="00395E9F">
        <w:rPr>
          <w:rStyle w:val="Hyperlink"/>
          <w:lang w:val="es-ES"/>
        </w:rPr>
        <w:t xml:space="preserve"> (ilo.org)</w:t>
      </w:r>
      <w:r w:rsidR="009A60C0">
        <w:rPr>
          <w:rStyle w:val="Hyperlink"/>
          <w:lang w:val="es-ES"/>
        </w:rPr>
        <w:fldChar w:fldCharType="end"/>
      </w:r>
    </w:p>
  </w:footnote>
  <w:footnote w:id="19">
    <w:p w14:paraId="65BFF325" w14:textId="77777777" w:rsidR="00E444D5" w:rsidRPr="00A009F4" w:rsidRDefault="00E444D5" w:rsidP="00E444D5">
      <w:pPr>
        <w:pStyle w:val="FootnoteText"/>
        <w:rPr>
          <w:lang w:val="es-ES"/>
        </w:rPr>
      </w:pPr>
      <w:r>
        <w:rPr>
          <w:rStyle w:val="FootnoteReference"/>
        </w:rPr>
        <w:footnoteRef/>
      </w:r>
      <w:r>
        <w:rPr>
          <w:lang w:val="es-ES"/>
        </w:rPr>
        <w:t xml:space="preserve"> Vea</w:t>
      </w:r>
      <w:r w:rsidRPr="00A009F4">
        <w:rPr>
          <w:lang w:val="es-ES"/>
        </w:rPr>
        <w:t xml:space="preserve">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AC7973">
        <w:rPr>
          <w:rStyle w:val="Hyperlink"/>
          <w:lang w:val="es-ES"/>
        </w:rPr>
        <w:t>A/HRC/53/54</w:t>
      </w:r>
      <w:r w:rsidR="009A60C0">
        <w:rPr>
          <w:rStyle w:val="Hyperlink"/>
          <w:lang w:val="es-ES"/>
        </w:rPr>
        <w:fldChar w:fldCharType="end"/>
      </w:r>
      <w:r w:rsidRPr="00A009F4">
        <w:rPr>
          <w:lang w:val="es-ES"/>
        </w:rPr>
        <w:t>Pa</w:t>
      </w:r>
      <w:r>
        <w:rPr>
          <w:lang w:val="es-ES"/>
        </w:rPr>
        <w:t>r</w:t>
      </w:r>
      <w:r w:rsidRPr="00A009F4">
        <w:rPr>
          <w:lang w:val="es-ES"/>
        </w:rPr>
        <w:t>ra 13 Recomendación (c)</w:t>
      </w:r>
    </w:p>
  </w:footnote>
  <w:footnote w:id="20">
    <w:p w14:paraId="0FDFD2A6" w14:textId="77777777" w:rsidR="00E444D5" w:rsidRPr="003E31B1" w:rsidRDefault="00E444D5" w:rsidP="00E444D5">
      <w:pPr>
        <w:pStyle w:val="FootnoteText"/>
        <w:rPr>
          <w:lang w:val="es-ES"/>
        </w:rPr>
      </w:pPr>
      <w:r>
        <w:rPr>
          <w:rStyle w:val="FootnoteReference"/>
        </w:rPr>
        <w:footnoteRef/>
      </w:r>
      <w:r w:rsidRPr="003E31B1">
        <w:rPr>
          <w:lang w:val="es-ES"/>
        </w:rPr>
        <w:t xml:space="preserve"> </w:t>
      </w:r>
      <w:r>
        <w:rPr>
          <w:lang w:val="es-ES"/>
        </w:rPr>
        <w:t xml:space="preserve">Vea </w:t>
      </w:r>
      <w:r w:rsidR="009A60C0">
        <w:fldChar w:fldCharType="begin"/>
      </w:r>
      <w:r w:rsidR="009A60C0" w:rsidRPr="009A60C0">
        <w:rPr>
          <w:lang w:val="es-ES"/>
        </w:rPr>
        <w:instrText>HYPERLINK "https://fvmaestros.org/caf-marz</w:instrText>
      </w:r>
      <w:r w:rsidR="009A60C0" w:rsidRPr="009A60C0">
        <w:rPr>
          <w:lang w:val="es-ES"/>
        </w:rPr>
        <w:instrText>o-2024/"</w:instrText>
      </w:r>
      <w:r w:rsidR="009A60C0">
        <w:fldChar w:fldCharType="separate"/>
      </w:r>
      <w:r w:rsidRPr="003C2932">
        <w:rPr>
          <w:rStyle w:val="Hyperlink"/>
          <w:lang w:val="es-ES"/>
        </w:rPr>
        <w:t>https://fvmaestros.org/caf-marzo-2024/</w:t>
      </w:r>
      <w:r w:rsidR="009A60C0">
        <w:rPr>
          <w:rStyle w:val="Hyperlink"/>
          <w:lang w:val="es-ES"/>
        </w:rPr>
        <w:fldChar w:fldCharType="end"/>
      </w:r>
    </w:p>
  </w:footnote>
  <w:footnote w:id="21">
    <w:p w14:paraId="18A0D59E" w14:textId="77777777" w:rsidR="00E444D5" w:rsidRPr="00DC24AC" w:rsidRDefault="00E444D5" w:rsidP="00E444D5">
      <w:pPr>
        <w:pStyle w:val="FootnoteText"/>
        <w:rPr>
          <w:lang w:val="es-ES"/>
        </w:rPr>
      </w:pPr>
      <w:r>
        <w:rPr>
          <w:rStyle w:val="FootnoteReference"/>
        </w:rPr>
        <w:footnoteRef/>
      </w:r>
      <w:r w:rsidRPr="00DC24AC">
        <w:rPr>
          <w:lang w:val="es-ES"/>
        </w:rPr>
        <w:t xml:space="preserve"> </w:t>
      </w:r>
      <w:r>
        <w:rPr>
          <w:lang w:val="es-ES"/>
        </w:rPr>
        <w:t xml:space="preserve">Vea </w:t>
      </w:r>
      <w:r w:rsidR="009A60C0">
        <w:fldChar w:fldCharType="begin"/>
      </w:r>
      <w:r w:rsidR="009A60C0" w:rsidRPr="009A60C0">
        <w:rPr>
          <w:lang w:val="es-ES"/>
        </w:rPr>
        <w:instrText>HYPERLINK "https://www.ohchr.org/en/documents/general-comments-and-recommendations/general-comment-no-23-2016-right-just-and-favourable"</w:instrText>
      </w:r>
      <w:r w:rsidR="009A60C0">
        <w:fldChar w:fldCharType="separate"/>
      </w:r>
      <w:r w:rsidRPr="001103CD">
        <w:rPr>
          <w:rStyle w:val="Hyperlink"/>
          <w:lang w:val="es-ES"/>
        </w:rPr>
        <w:t>CESC</w:t>
      </w:r>
      <w:r>
        <w:rPr>
          <w:rStyle w:val="Hyperlink"/>
          <w:lang w:val="es-ES"/>
        </w:rPr>
        <w:t>R comentario general</w:t>
      </w:r>
      <w:r w:rsidRPr="001103CD">
        <w:rPr>
          <w:rStyle w:val="Hyperlink"/>
          <w:lang w:val="es-ES"/>
        </w:rPr>
        <w:t xml:space="preserve"> No 23</w:t>
      </w:r>
      <w:r w:rsidR="009A60C0">
        <w:rPr>
          <w:rStyle w:val="Hyperlink"/>
          <w:lang w:val="es-ES"/>
        </w:rPr>
        <w:fldChar w:fldCharType="end"/>
      </w:r>
      <w:r w:rsidDel="00795DF7">
        <w:rPr>
          <w:lang w:val="es-ES"/>
        </w:rPr>
        <w:t xml:space="preserve"> </w:t>
      </w:r>
      <w:r w:rsidRPr="00DC24AC">
        <w:rPr>
          <w:lang w:val="es-ES"/>
        </w:rPr>
        <w:t>(</w:t>
      </w:r>
      <w:r>
        <w:rPr>
          <w:lang w:val="es-ES"/>
        </w:rPr>
        <w:t>2016</w:t>
      </w:r>
      <w:r w:rsidRPr="00DC24AC">
        <w:rPr>
          <w:lang w:val="es-ES"/>
        </w:rPr>
        <w:t>)</w:t>
      </w:r>
      <w:r>
        <w:rPr>
          <w:lang w:val="es-ES"/>
        </w:rPr>
        <w:t xml:space="preserve"> </w:t>
      </w:r>
      <w:r w:rsidRPr="00EB75B7">
        <w:rPr>
          <w:lang w:val="es-ES"/>
        </w:rPr>
        <w:t>Par</w:t>
      </w:r>
      <w:r>
        <w:rPr>
          <w:lang w:val="es-ES"/>
        </w:rPr>
        <w:t>ra</w:t>
      </w:r>
      <w:r w:rsidRPr="00EB75B7">
        <w:rPr>
          <w:lang w:val="es-ES"/>
        </w:rPr>
        <w:t xml:space="preserve">s 18 </w:t>
      </w:r>
      <w:r>
        <w:rPr>
          <w:lang w:val="es-ES"/>
        </w:rPr>
        <w:t>y</w:t>
      </w:r>
      <w:r w:rsidRPr="00EB75B7">
        <w:rPr>
          <w:lang w:val="es-ES"/>
        </w:rPr>
        <w:t xml:space="preserve"> 19</w:t>
      </w:r>
    </w:p>
  </w:footnote>
  <w:footnote w:id="22">
    <w:p w14:paraId="6D2FC16C" w14:textId="77777777" w:rsidR="00E444D5" w:rsidRPr="00980063" w:rsidRDefault="00E444D5" w:rsidP="00E444D5">
      <w:pPr>
        <w:pStyle w:val="FootnoteText"/>
        <w:rPr>
          <w:lang w:val="es-ES"/>
        </w:rPr>
      </w:pPr>
      <w:r>
        <w:rPr>
          <w:rStyle w:val="FootnoteReference"/>
        </w:rPr>
        <w:footnoteRef/>
      </w:r>
      <w:r w:rsidRPr="00980063">
        <w:rPr>
          <w:lang w:val="es-ES"/>
        </w:rPr>
        <w:t xml:space="preserve"> </w:t>
      </w:r>
      <w:r>
        <w:rPr>
          <w:lang w:val="es-ES"/>
        </w:rPr>
        <w:t xml:space="preserve">Vea </w:t>
      </w:r>
      <w:r w:rsidRPr="00D225BA">
        <w:rPr>
          <w:lang w:val="es-ES"/>
        </w:rPr>
        <w:t xml:space="preserve">Swiss </w:t>
      </w:r>
      <w:proofErr w:type="spellStart"/>
      <w:r w:rsidRPr="00025ED5">
        <w:rPr>
          <w:lang w:val="es-ES"/>
        </w:rPr>
        <w:t>Info</w:t>
      </w:r>
      <w:proofErr w:type="spellEnd"/>
      <w:r w:rsidRPr="00025ED5">
        <w:rPr>
          <w:lang w:val="es-ES"/>
        </w:rPr>
        <w:t xml:space="preserve"> Jubilados d</w:t>
      </w:r>
      <w:r>
        <w:rPr>
          <w:lang w:val="es-ES"/>
        </w:rPr>
        <w:t xml:space="preserve">e petrolera venezolana levantan la huelga de hambre tras acuerdos estatales (13 octubre 2023)  </w:t>
      </w:r>
      <w:r w:rsidR="009A60C0">
        <w:fldChar w:fldCharType="begin"/>
      </w:r>
      <w:r w:rsidR="009A60C0" w:rsidRPr="009A60C0">
        <w:rPr>
          <w:lang w:val="fr-CH"/>
        </w:rPr>
        <w:instrText>HYPERLINK "https://www.swissinfo.ch/spa/jubilados-de-petrolera-venezolana-levantan-la-huelga-de-hambre-tras-acuerdo-con-la-estatal/48889964"</w:instrText>
      </w:r>
      <w:r w:rsidR="009A60C0">
        <w:fldChar w:fldCharType="separate"/>
      </w:r>
      <w:r w:rsidRPr="00025ED5">
        <w:rPr>
          <w:rStyle w:val="Hyperlink"/>
          <w:lang w:val="es-ES"/>
        </w:rPr>
        <w:t>https://www.swissinfo.ch/spa/jubilados-de-petrolera-venezolana-levantan-la-huelga-de-hambre-tras-acuerdo-con-la-estatal/48889964</w:t>
      </w:r>
      <w:r w:rsidR="009A60C0">
        <w:rPr>
          <w:rStyle w:val="Hyperlink"/>
          <w:lang w:val="es-ES"/>
        </w:rPr>
        <w:fldChar w:fldCharType="end"/>
      </w:r>
    </w:p>
  </w:footnote>
  <w:footnote w:id="23">
    <w:p w14:paraId="5C1C40D2" w14:textId="77777777" w:rsidR="00E444D5" w:rsidRPr="00CE3464" w:rsidRDefault="00E444D5" w:rsidP="00E444D5">
      <w:pPr>
        <w:pStyle w:val="FootnoteText"/>
        <w:rPr>
          <w:lang w:val="es-ES"/>
        </w:rPr>
      </w:pPr>
      <w:r>
        <w:rPr>
          <w:rStyle w:val="FootnoteReference"/>
        </w:rPr>
        <w:footnoteRef/>
      </w:r>
      <w:r w:rsidRPr="00CE3464">
        <w:rPr>
          <w:lang w:val="es-ES"/>
        </w:rPr>
        <w:t xml:space="preserve"> </w:t>
      </w:r>
      <w:r>
        <w:rPr>
          <w:lang w:val="es-ES"/>
        </w:rPr>
        <w:t xml:space="preserve">Vea </w:t>
      </w:r>
      <w:hyperlink r:id="rId15" w:history="1">
        <w:r w:rsidRPr="00E97070">
          <w:rPr>
            <w:rStyle w:val="Hyperlink"/>
            <w:lang w:val="es-ES"/>
          </w:rPr>
          <w:t>https://mppre.gob.ve/2023/11/20/ops-ratifica-venezuela-pais-libre-sarampion/</w:t>
        </w:r>
      </w:hyperlink>
    </w:p>
  </w:footnote>
  <w:footnote w:id="24">
    <w:p w14:paraId="42EFAA68" w14:textId="77777777" w:rsidR="00E444D5" w:rsidRPr="00421571" w:rsidRDefault="00E444D5" w:rsidP="00E444D5">
      <w:pPr>
        <w:pStyle w:val="FootnoteText"/>
        <w:rPr>
          <w:lang w:val="es-ES"/>
        </w:rPr>
      </w:pPr>
      <w:r>
        <w:rPr>
          <w:rStyle w:val="FootnoteReference"/>
        </w:rPr>
        <w:footnoteRef/>
      </w:r>
      <w:r w:rsidRPr="00421571">
        <w:rPr>
          <w:lang w:val="es-ES"/>
        </w:rPr>
        <w:t xml:space="preserve"> </w:t>
      </w:r>
      <w:r>
        <w:rPr>
          <w:lang w:val="es-ES"/>
        </w:rPr>
        <w:t xml:space="preserve">Vea </w:t>
      </w:r>
      <w:r w:rsidR="009A60C0">
        <w:fldChar w:fldCharType="begin"/>
      </w:r>
      <w:r w:rsidR="009A60C0" w:rsidRPr="009A60C0">
        <w:rPr>
          <w:lang w:val="fr-CH"/>
        </w:rPr>
        <w:instrText>HYPERLINK "https://unitednations.sharepoint.com/sites/TeamCCS/Shared%20Documents/General/08.%20Reporting/1.%20HRC%20Reports%20and%20oral%20updates/2</w:instrText>
      </w:r>
      <w:r w:rsidR="009A60C0" w:rsidRPr="009A60C0">
        <w:rPr>
          <w:lang w:val="fr-CH"/>
        </w:rPr>
        <w:instrText>024%20-%20Item%204%20report/Drafts/translation/20240423_HRC56_Venezuela_draft%204_ESP.docx"</w:instrText>
      </w:r>
      <w:r w:rsidR="009A60C0">
        <w:fldChar w:fldCharType="separate"/>
      </w:r>
      <w:r w:rsidRPr="008B1DE9">
        <w:rPr>
          <w:rStyle w:val="Hyperlink"/>
          <w:lang w:val="es-ES"/>
        </w:rPr>
        <w:t>Convite x la salud, Boletín 77:</w:t>
      </w:r>
      <w:r w:rsidR="009A60C0">
        <w:rPr>
          <w:rStyle w:val="Hyperlink"/>
          <w:lang w:val="es-ES"/>
        </w:rPr>
        <w:fldChar w:fldCharType="end"/>
      </w:r>
      <w:r w:rsidRPr="00CF4012">
        <w:rPr>
          <w:lang w:val="es-ES"/>
        </w:rPr>
        <w:t xml:space="preserve"> </w:t>
      </w:r>
      <w:r>
        <w:rPr>
          <w:lang w:val="es-ES"/>
        </w:rPr>
        <w:t>enero</w:t>
      </w:r>
      <w:r w:rsidRPr="00CF4012">
        <w:rPr>
          <w:lang w:val="es-ES"/>
        </w:rPr>
        <w:t xml:space="preserve"> 2024 Venezuela</w:t>
      </w:r>
    </w:p>
  </w:footnote>
  <w:footnote w:id="25">
    <w:p w14:paraId="7F6923C1" w14:textId="77777777" w:rsidR="00E444D5" w:rsidRPr="007E5E5C" w:rsidRDefault="00E444D5" w:rsidP="00E444D5">
      <w:pPr>
        <w:pStyle w:val="FootnoteText"/>
        <w:rPr>
          <w:lang w:val="es-ES"/>
        </w:rPr>
      </w:pPr>
      <w:r>
        <w:rPr>
          <w:rStyle w:val="FootnoteReference"/>
        </w:rPr>
        <w:footnoteRef/>
      </w:r>
      <w:r w:rsidRPr="007E5E5C">
        <w:rPr>
          <w:lang w:val="es-ES"/>
        </w:rPr>
        <w:t xml:space="preserve"> </w:t>
      </w:r>
      <w:proofErr w:type="spellStart"/>
      <w:r>
        <w:rPr>
          <w:lang w:val="es-ES"/>
        </w:rPr>
        <w:t>Ibid</w:t>
      </w:r>
      <w:proofErr w:type="spellEnd"/>
    </w:p>
  </w:footnote>
  <w:footnote w:id="26">
    <w:p w14:paraId="7F8DAA5B" w14:textId="77777777" w:rsidR="00E444D5" w:rsidRPr="001A40EB" w:rsidRDefault="00E444D5" w:rsidP="00E444D5">
      <w:pPr>
        <w:pStyle w:val="FootnoteText"/>
        <w:rPr>
          <w:lang w:val="es-ES"/>
        </w:rPr>
      </w:pPr>
      <w:r>
        <w:rPr>
          <w:rStyle w:val="FootnoteReference"/>
        </w:rPr>
        <w:footnoteRef/>
      </w:r>
      <w:r w:rsidRPr="001A40EB">
        <w:rPr>
          <w:lang w:val="es-ES"/>
        </w:rPr>
        <w:t xml:space="preserve"> </w:t>
      </w:r>
      <w:r>
        <w:rPr>
          <w:lang w:val="es-ES"/>
        </w:rPr>
        <w:t xml:space="preserve">Vea Alberto News, 7 febrero 2024 </w:t>
      </w:r>
      <w:r w:rsidR="009A60C0">
        <w:fldChar w:fldCharType="begin"/>
      </w:r>
      <w:r w:rsidR="009A60C0" w:rsidRPr="009A60C0">
        <w:rPr>
          <w:lang w:val="es-ES"/>
        </w:rPr>
        <w:instrText>HYPERLINK "https://bitlyanews.com/nacionales/denuncian-la-muerte-de-85-indigenas-yanomami-por-malaria-en-amazonas/"</w:instrText>
      </w:r>
      <w:r w:rsidR="009A60C0">
        <w:fldChar w:fldCharType="separate"/>
      </w:r>
      <w:r w:rsidRPr="002E52FE">
        <w:rPr>
          <w:rStyle w:val="Hyperlink"/>
          <w:lang w:val="es-VE"/>
        </w:rPr>
        <w:t>Denuncian la muerte de 85 indígenas yanomami por malaria en Amazonas</w:t>
      </w:r>
      <w:r w:rsidR="009A60C0">
        <w:rPr>
          <w:rStyle w:val="Hyperlink"/>
          <w:lang w:val="es-VE"/>
        </w:rPr>
        <w:fldChar w:fldCharType="end"/>
      </w:r>
    </w:p>
  </w:footnote>
  <w:footnote w:id="27">
    <w:p w14:paraId="78CD6003" w14:textId="77777777" w:rsidR="00E444D5" w:rsidRPr="002C056D" w:rsidRDefault="00E444D5" w:rsidP="00E444D5">
      <w:pPr>
        <w:pStyle w:val="FootnoteText"/>
        <w:rPr>
          <w:lang w:val="es-ES"/>
        </w:rPr>
      </w:pPr>
      <w:r>
        <w:rPr>
          <w:rStyle w:val="FootnoteReference"/>
        </w:rPr>
        <w:footnoteRef/>
      </w:r>
      <w:r w:rsidRPr="002C056D">
        <w:rPr>
          <w:lang w:val="es-ES"/>
        </w:rPr>
        <w:t xml:space="preserve"> </w:t>
      </w:r>
      <w:r>
        <w:rPr>
          <w:lang w:val="es-ES"/>
        </w:rPr>
        <w:t xml:space="preserve">Vea </w:t>
      </w:r>
      <w:r w:rsidR="009A60C0">
        <w:fldChar w:fldCharType="begin"/>
      </w:r>
      <w:r w:rsidR="009A60C0" w:rsidRPr="009A60C0">
        <w:rPr>
          <w:lang w:val="es-ES"/>
        </w:rPr>
        <w:instrText>HYPERLINK "https://correodel</w:instrText>
      </w:r>
      <w:r w:rsidR="009A60C0" w:rsidRPr="009A60C0">
        <w:rPr>
          <w:lang w:val="es-ES"/>
        </w:rPr>
        <w:instrText>caroni.com/sociedad/salud/llega-barco-hospital-a-nabasanuka-para-atender-rara-enfermedad-que-afecto-a-ninos-waraos/"</w:instrText>
      </w:r>
      <w:r w:rsidR="009A60C0">
        <w:fldChar w:fldCharType="separate"/>
      </w:r>
      <w:r w:rsidRPr="008B0F75">
        <w:rPr>
          <w:rStyle w:val="Hyperlink"/>
          <w:lang w:val="es-ES"/>
        </w:rPr>
        <w:t>https://correodelcaroni.com/sociedad/salud/llega-barco-hospital-a-nabasanuka-para-atender-rara-enfermedad-que-afecto-a-ninos-waraos/</w:t>
      </w:r>
      <w:r w:rsidR="009A60C0">
        <w:rPr>
          <w:rStyle w:val="Hyperlink"/>
          <w:lang w:val="es-ES"/>
        </w:rPr>
        <w:fldChar w:fldCharType="end"/>
      </w:r>
    </w:p>
  </w:footnote>
  <w:footnote w:id="28">
    <w:p w14:paraId="79E95623" w14:textId="77777777" w:rsidR="00E444D5" w:rsidRPr="00DA0FC8" w:rsidRDefault="00E444D5" w:rsidP="00E444D5">
      <w:pPr>
        <w:pStyle w:val="FootnoteText"/>
        <w:rPr>
          <w:lang w:val="es-ES"/>
        </w:rPr>
      </w:pPr>
      <w:r>
        <w:rPr>
          <w:rStyle w:val="FootnoteReference"/>
        </w:rPr>
        <w:footnoteRef/>
      </w:r>
      <w:r w:rsidRPr="00DA0FC8">
        <w:rPr>
          <w:lang w:val="es-ES"/>
        </w:rPr>
        <w:t xml:space="preserve"> </w:t>
      </w:r>
      <w:r>
        <w:rPr>
          <w:lang w:val="es-ES"/>
        </w:rPr>
        <w:t xml:space="preserve">Vea </w:t>
      </w:r>
      <w:r w:rsidR="009A60C0">
        <w:fldChar w:fldCharType="begin"/>
      </w:r>
      <w:r w:rsidR="009A60C0" w:rsidRPr="009A60C0">
        <w:rPr>
          <w:lang w:val="fr-CH"/>
        </w:rPr>
        <w:instrText>HYPERLINK "https://ipysvenezuela.org/tejiendo-redes/noticia/parir-en-situacion-de-vulnerabilidad-mujeres-indigenas-de-delta-amacuro-no-tienen-acceso-a-la-salud-sexual-y-reproductiva/"</w:instrText>
      </w:r>
      <w:r w:rsidR="009A60C0">
        <w:fldChar w:fldCharType="separate"/>
      </w:r>
      <w:r w:rsidRPr="00D34EE1">
        <w:rPr>
          <w:rStyle w:val="Hyperlink"/>
          <w:lang w:val="es-ES"/>
        </w:rPr>
        <w:t>Parir en situación de vulnerabilidad: mujeres indígenas de Delta Amacuro no tienen acceso a la salud sexual y reproductiva | Tejiendo Redes (ipysvenezuela.org)</w:t>
      </w:r>
      <w:r w:rsidR="009A60C0">
        <w:rPr>
          <w:rStyle w:val="Hyperlink"/>
          <w:lang w:val="es-ES"/>
        </w:rPr>
        <w:fldChar w:fldCharType="end"/>
      </w:r>
      <w:r>
        <w:rPr>
          <w:rStyle w:val="Hyperlink"/>
          <w:lang w:val="es-ES"/>
        </w:rPr>
        <w:t xml:space="preserve">  </w:t>
      </w:r>
    </w:p>
  </w:footnote>
  <w:footnote w:id="29">
    <w:p w14:paraId="079A7115"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Pr>
          <w:lang w:val="es-ES"/>
        </w:rPr>
        <w:t xml:space="preserve">Vea </w:t>
      </w:r>
      <w:hyperlink r:id="rId16" w:history="1">
        <w:r w:rsidRPr="00422596">
          <w:rPr>
            <w:rStyle w:val="Hyperlink"/>
            <w:lang w:val="es-ES"/>
          </w:rPr>
          <w:t>CESCR comentario general No 14</w:t>
        </w:r>
      </w:hyperlink>
      <w:r w:rsidRPr="00E91FE6">
        <w:rPr>
          <w:lang w:val="es-ES"/>
        </w:rPr>
        <w:t xml:space="preserve"> (2000)</w:t>
      </w:r>
    </w:p>
  </w:footnote>
  <w:footnote w:id="30">
    <w:p w14:paraId="4AF0E98D" w14:textId="77777777" w:rsidR="00E444D5" w:rsidRPr="001D041B" w:rsidRDefault="00E444D5" w:rsidP="00E444D5">
      <w:pPr>
        <w:pStyle w:val="FootnoteText"/>
        <w:rPr>
          <w:lang w:val="es-ES"/>
        </w:rPr>
      </w:pPr>
      <w:r>
        <w:rPr>
          <w:rStyle w:val="FootnoteReference"/>
        </w:rPr>
        <w:footnoteRef/>
      </w:r>
      <w:r w:rsidRPr="001D041B">
        <w:rPr>
          <w:lang w:val="es-ES"/>
        </w:rPr>
        <w:t xml:space="preserve"> </w:t>
      </w:r>
      <w:r>
        <w:rPr>
          <w:lang w:val="es-ES"/>
        </w:rPr>
        <w:t xml:space="preserve">Vea </w:t>
      </w:r>
      <w:r w:rsidR="009A60C0">
        <w:fldChar w:fldCharType="begin"/>
      </w:r>
      <w:r w:rsidR="009A60C0" w:rsidRPr="009A60C0">
        <w:rPr>
          <w:lang w:val="fr-CH"/>
        </w:rPr>
        <w:instrText>HYPERLINK "https://humvenezuela.com/wp-content/uploads/20</w:instrText>
      </w:r>
      <w:r w:rsidR="009A60C0" w:rsidRPr="009A60C0">
        <w:rPr>
          <w:lang w:val="fr-CH"/>
        </w:rPr>
        <w:instrText>23/10/HumVenezuela-Diagnosticos-comunitarios-Agosto-2023.pdf"</w:instrText>
      </w:r>
      <w:r w:rsidR="009A60C0">
        <w:fldChar w:fldCharType="separate"/>
      </w:r>
      <w:proofErr w:type="spellStart"/>
      <w:r w:rsidRPr="008478D6">
        <w:rPr>
          <w:rStyle w:val="Hyperlink"/>
          <w:lang w:val="es-ES"/>
        </w:rPr>
        <w:t>HUMVenezuela</w:t>
      </w:r>
      <w:proofErr w:type="spellEnd"/>
      <w:r w:rsidRPr="008478D6">
        <w:rPr>
          <w:rStyle w:val="Hyperlink"/>
          <w:lang w:val="es-ES"/>
        </w:rPr>
        <w:t xml:space="preserve"> </w:t>
      </w:r>
      <w:proofErr w:type="spellStart"/>
      <w:r w:rsidRPr="008478D6">
        <w:rPr>
          <w:rStyle w:val="Hyperlink"/>
          <w:lang w:val="es-ES"/>
        </w:rPr>
        <w:t>Diagnosticos</w:t>
      </w:r>
      <w:proofErr w:type="spellEnd"/>
      <w:r w:rsidRPr="008478D6">
        <w:rPr>
          <w:rStyle w:val="Hyperlink"/>
          <w:lang w:val="es-ES"/>
        </w:rPr>
        <w:t xml:space="preserve"> Comunitarios julio-agosto 2023</w:t>
      </w:r>
      <w:r w:rsidR="009A60C0">
        <w:rPr>
          <w:rStyle w:val="Hyperlink"/>
          <w:lang w:val="es-ES"/>
        </w:rPr>
        <w:fldChar w:fldCharType="end"/>
      </w:r>
    </w:p>
  </w:footnote>
  <w:footnote w:id="31">
    <w:p w14:paraId="173CA589" w14:textId="77777777" w:rsidR="00E444D5" w:rsidRPr="006242AA" w:rsidRDefault="00E444D5" w:rsidP="00E444D5">
      <w:pPr>
        <w:pStyle w:val="FootnoteText"/>
        <w:rPr>
          <w:lang w:val="es-ES"/>
        </w:rPr>
      </w:pPr>
      <w:r>
        <w:rPr>
          <w:rStyle w:val="FootnoteReference"/>
        </w:rPr>
        <w:footnoteRef/>
      </w:r>
      <w:r w:rsidRPr="006242AA">
        <w:rPr>
          <w:lang w:val="es-ES"/>
        </w:rPr>
        <w:t xml:space="preserve"> </w:t>
      </w:r>
      <w:r>
        <w:rPr>
          <w:lang w:val="es-ES"/>
        </w:rPr>
        <w:t xml:space="preserve">Vea </w:t>
      </w:r>
      <w:r w:rsidR="009A60C0">
        <w:fldChar w:fldCharType="begin"/>
      </w:r>
      <w:r w:rsidR="009A60C0" w:rsidRPr="009A60C0">
        <w:rPr>
          <w:lang w:val="fr-CH"/>
        </w:rPr>
        <w:instrText>HYPERLINK "https://www.globovision.com/nacional/12135/una-media-de-24-casos-de-cancer-de-mama-</w:instrText>
      </w:r>
      <w:r w:rsidR="009A60C0" w:rsidRPr="009A60C0">
        <w:rPr>
          <w:lang w:val="fr-CH"/>
        </w:rPr>
        <w:instrText>se-diagnostican-al-dia-en-venezuela"</w:instrText>
      </w:r>
      <w:r w:rsidR="009A60C0">
        <w:fldChar w:fldCharType="separate"/>
      </w:r>
      <w:proofErr w:type="spellStart"/>
      <w:r w:rsidRPr="00684350">
        <w:rPr>
          <w:rStyle w:val="Hyperlink"/>
          <w:lang w:val="es-ES"/>
        </w:rPr>
        <w:t>Globovision</w:t>
      </w:r>
      <w:proofErr w:type="spellEnd"/>
      <w:r w:rsidRPr="00684350">
        <w:rPr>
          <w:rStyle w:val="Hyperlink"/>
          <w:lang w:val="es-ES"/>
        </w:rPr>
        <w:t xml:space="preserve">, </w:t>
      </w:r>
      <w:r w:rsidRPr="00684350">
        <w:rPr>
          <w:rStyle w:val="Hyperlink"/>
          <w:lang w:val="es-VE"/>
        </w:rPr>
        <w:t>Una media de 24 casos de cáncer de mama se diagnostican al día en Venezuela</w:t>
      </w:r>
      <w:r w:rsidR="009A60C0">
        <w:rPr>
          <w:rStyle w:val="Hyperlink"/>
          <w:lang w:val="es-VE"/>
        </w:rPr>
        <w:fldChar w:fldCharType="end"/>
      </w:r>
      <w:r>
        <w:rPr>
          <w:rStyle w:val="Hyperlink"/>
          <w:lang w:val="es-ES"/>
        </w:rPr>
        <w:t>, 04 octubre 2023</w:t>
      </w:r>
    </w:p>
  </w:footnote>
  <w:footnote w:id="32">
    <w:p w14:paraId="0CA72E0C" w14:textId="77777777" w:rsidR="00E444D5" w:rsidRPr="00A677F7" w:rsidRDefault="00E444D5" w:rsidP="00E444D5">
      <w:pPr>
        <w:pStyle w:val="FootnoteText"/>
        <w:rPr>
          <w:lang w:val="es-ES"/>
        </w:rPr>
      </w:pPr>
      <w:r>
        <w:rPr>
          <w:rStyle w:val="FootnoteReference"/>
        </w:rPr>
        <w:footnoteRef/>
      </w:r>
      <w:r w:rsidRPr="00A677F7">
        <w:rPr>
          <w:lang w:val="es-ES"/>
        </w:rPr>
        <w:t xml:space="preserve"> </w:t>
      </w:r>
      <w:r>
        <w:rPr>
          <w:lang w:val="es-ES"/>
        </w:rPr>
        <w:t>Vea Unión Radio</w:t>
      </w:r>
      <w:r w:rsidRPr="00D34EE1">
        <w:rPr>
          <w:lang w:val="es-ES"/>
        </w:rPr>
        <w:t xml:space="preserve"> </w:t>
      </w:r>
      <w:r w:rsidRPr="00724002">
        <w:rPr>
          <w:lang w:val="es-VE"/>
        </w:rPr>
        <w:t>Vida: Cáncer de cuello uterino registra alza de muerte en mujeres</w:t>
      </w:r>
      <w:r>
        <w:rPr>
          <w:rStyle w:val="Hyperlink"/>
          <w:lang w:val="es-ES"/>
        </w:rPr>
        <w:t xml:space="preserve"> 18 septiembre 2023</w:t>
      </w:r>
    </w:p>
  </w:footnote>
  <w:footnote w:id="33">
    <w:p w14:paraId="049E3B75" w14:textId="77777777" w:rsidR="00E444D5" w:rsidRPr="001D041B" w:rsidRDefault="00E444D5" w:rsidP="00E444D5">
      <w:pPr>
        <w:pStyle w:val="FootnoteText"/>
        <w:rPr>
          <w:lang w:val="es-ES"/>
        </w:rPr>
      </w:pPr>
      <w:r>
        <w:rPr>
          <w:rStyle w:val="FootnoteReference"/>
        </w:rPr>
        <w:footnoteRef/>
      </w:r>
      <w:r>
        <w:rPr>
          <w:lang w:val="es-ES"/>
        </w:rPr>
        <w:t xml:space="preserve"> Vea</w:t>
      </w:r>
      <w:r w:rsidRPr="001D041B">
        <w:rPr>
          <w:lang w:val="es-ES"/>
        </w:rPr>
        <w:t xml:space="preserve"> EFE </w:t>
      </w:r>
      <w:r w:rsidR="009A60C0">
        <w:fldChar w:fldCharType="begin"/>
      </w:r>
      <w:r w:rsidR="009A60C0" w:rsidRPr="009A60C0">
        <w:rPr>
          <w:lang w:val="fr-CH"/>
        </w:rPr>
        <w:instrText>HYPERLINK "http://www.swissinfo.ch/spa/diputados-venezolanos-elaboran-proyecto-de-ley-para-la-prevenci%C3%B3n-del-embarazo-adolescente/48781936"</w:instrText>
      </w:r>
      <w:r w:rsidR="009A60C0">
        <w:fldChar w:fldCharType="separate"/>
      </w:r>
      <w:r w:rsidRPr="001D041B">
        <w:rPr>
          <w:rStyle w:val="Hyperlink"/>
          <w:lang w:val="es-ES"/>
        </w:rPr>
        <w:t>www.swissinfo.ch/spa/diputados-venezolanos-elaboran-proyecto-de-ley-para-la-prevenci%C3%B3n-del-embarazo-adolescente/48781936</w:t>
      </w:r>
      <w:r w:rsidR="009A60C0">
        <w:rPr>
          <w:rStyle w:val="Hyperlink"/>
          <w:lang w:val="es-ES"/>
        </w:rPr>
        <w:fldChar w:fldCharType="end"/>
      </w:r>
      <w:r w:rsidRPr="001D041B">
        <w:rPr>
          <w:lang w:val="es-ES"/>
        </w:rPr>
        <w:t>; 3 septiemb</w:t>
      </w:r>
      <w:r>
        <w:rPr>
          <w:lang w:val="es-ES"/>
        </w:rPr>
        <w:t>re</w:t>
      </w:r>
      <w:r w:rsidRPr="001D041B">
        <w:rPr>
          <w:lang w:val="es-ES"/>
        </w:rPr>
        <w:t xml:space="preserve"> 2023</w:t>
      </w:r>
    </w:p>
  </w:footnote>
  <w:footnote w:id="34">
    <w:p w14:paraId="455BBAB7" w14:textId="77777777" w:rsidR="00E444D5" w:rsidRPr="00002EA1" w:rsidRDefault="00E444D5" w:rsidP="00E444D5">
      <w:pPr>
        <w:pStyle w:val="FootnoteText"/>
        <w:ind w:left="0" w:firstLine="0"/>
        <w:rPr>
          <w:lang w:val="es-ES"/>
        </w:rPr>
      </w:pPr>
      <w:r>
        <w:rPr>
          <w:rStyle w:val="FootnoteReference"/>
        </w:rPr>
        <w:footnoteRef/>
      </w:r>
      <w:r>
        <w:rPr>
          <w:lang w:val="es-ES"/>
        </w:rPr>
        <w:t xml:space="preserve"> Vea</w:t>
      </w:r>
      <w:r w:rsidRPr="00002EA1">
        <w:rPr>
          <w:lang w:val="es-ES"/>
        </w:rPr>
        <w:t xml:space="preserve"> </w:t>
      </w:r>
      <w:hyperlink r:id="rId17" w:history="1">
        <w:r w:rsidRPr="00251DDC">
          <w:rPr>
            <w:rStyle w:val="Hyperlink"/>
            <w:lang w:val="es-ES"/>
          </w:rPr>
          <w:t>CCPR/C/VEN/CO/5</w:t>
        </w:r>
      </w:hyperlink>
      <w:r w:rsidRPr="006A7030">
        <w:rPr>
          <w:lang w:val="es-ES"/>
        </w:rPr>
        <w:t>Para</w:t>
      </w:r>
      <w:r>
        <w:rPr>
          <w:lang w:val="es-ES"/>
        </w:rPr>
        <w:t xml:space="preserve"> 21</w:t>
      </w:r>
    </w:p>
  </w:footnote>
  <w:footnote w:id="35">
    <w:p w14:paraId="6B16D5B2" w14:textId="77777777" w:rsidR="00E444D5" w:rsidRPr="00083C38" w:rsidRDefault="00E444D5" w:rsidP="00E444D5">
      <w:pPr>
        <w:pStyle w:val="FootnoteText"/>
        <w:rPr>
          <w:lang w:val="es-ES"/>
        </w:rPr>
      </w:pPr>
      <w:r>
        <w:rPr>
          <w:rStyle w:val="FootnoteReference"/>
        </w:rPr>
        <w:footnoteRef/>
      </w:r>
      <w:r w:rsidRPr="00083C38">
        <w:rPr>
          <w:lang w:val="es-ES"/>
        </w:rPr>
        <w:t xml:space="preserve"> </w:t>
      </w:r>
      <w:proofErr w:type="spellStart"/>
      <w:r w:rsidRPr="0077206E">
        <w:rPr>
          <w:lang w:val="es-ES"/>
        </w:rPr>
        <w:t>Ibid</w:t>
      </w:r>
      <w:proofErr w:type="spellEnd"/>
      <w:r w:rsidRPr="0077206E">
        <w:rPr>
          <w:lang w:val="es-ES"/>
        </w:rPr>
        <w:t>, parra. 22. Vea tambi</w:t>
      </w:r>
      <w:r>
        <w:rPr>
          <w:lang w:val="es-ES"/>
        </w:rPr>
        <w:t>é</w:t>
      </w:r>
      <w:r w:rsidRPr="0077206E">
        <w:rPr>
          <w:lang w:val="es-ES"/>
        </w:rPr>
        <w:t xml:space="preserve">n </w:t>
      </w:r>
      <w:hyperlink r:id="rId18" w:history="1">
        <w:r w:rsidRPr="00B63CEB">
          <w:rPr>
            <w:rStyle w:val="Hyperlink"/>
            <w:lang w:val="es-ES"/>
          </w:rPr>
          <w:t>A/HRC/48/19</w:t>
        </w:r>
      </w:hyperlink>
      <w:r>
        <w:rPr>
          <w:lang w:val="es-ES"/>
        </w:rPr>
        <w:t>Recomendación</w:t>
      </w:r>
      <w:r w:rsidRPr="00083C38">
        <w:rPr>
          <w:lang w:val="es-ES"/>
        </w:rPr>
        <w:t xml:space="preserve"> l</w:t>
      </w:r>
    </w:p>
  </w:footnote>
  <w:footnote w:id="36">
    <w:p w14:paraId="6610F7FC"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Pr>
          <w:lang w:val="es-ES"/>
        </w:rPr>
        <w:t xml:space="preserve">Vea </w:t>
      </w:r>
      <w:hyperlink r:id="rId19" w:history="1">
        <w:r w:rsidRPr="003C2932">
          <w:rPr>
            <w:rStyle w:val="Hyperlink"/>
            <w:lang w:val="es-ES"/>
          </w:rPr>
          <w:t>www.unicef.org/venezuela/comunicados-prensa/el-ministerio-del-poder-popular-para-el-ecosocialismo-firm%C3%B3-la-declaraci%C3%B3n-0</w:t>
        </w:r>
      </w:hyperlink>
    </w:p>
  </w:footnote>
  <w:footnote w:id="37">
    <w:p w14:paraId="34067529" w14:textId="77777777" w:rsidR="00E444D5" w:rsidRPr="0062360E" w:rsidRDefault="00E444D5" w:rsidP="00E444D5">
      <w:pPr>
        <w:pStyle w:val="FootnoteText"/>
        <w:rPr>
          <w:lang w:val="es-ES"/>
        </w:rPr>
      </w:pPr>
      <w:r>
        <w:rPr>
          <w:rStyle w:val="FootnoteReference"/>
        </w:rPr>
        <w:footnoteRef/>
      </w:r>
      <w:r w:rsidRPr="0062360E">
        <w:rPr>
          <w:lang w:val="es-ES"/>
        </w:rPr>
        <w:t xml:space="preserve"> </w:t>
      </w:r>
      <w:r>
        <w:rPr>
          <w:lang w:val="es-ES"/>
        </w:rPr>
        <w:t xml:space="preserve">Vea OEP Venezuela, 8 enero 2024, </w:t>
      </w:r>
      <w:r w:rsidR="009A60C0">
        <w:fldChar w:fldCharType="begin"/>
      </w:r>
      <w:r w:rsidR="009A60C0" w:rsidRPr="009A60C0">
        <w:rPr>
          <w:lang w:val="fr-CH"/>
        </w:rPr>
        <w:instrText>HYPERLINK "https://ecopoliticavenezuela.org/2024/01/08/reporte-especial-balance-de-derrames-petroleros-2023/" \l ":~:text=El%20OEP%20presenta%20el%20balance,derrames%20petroleros%20ocurridos%20en%20Venezuela."</w:instrText>
      </w:r>
      <w:r w:rsidR="009A60C0">
        <w:fldChar w:fldCharType="separate"/>
      </w:r>
      <w:r w:rsidRPr="00B16BB3">
        <w:rPr>
          <w:rStyle w:val="Hyperlink"/>
          <w:lang w:val="es-ES"/>
        </w:rPr>
        <w:t>Reporte Especial: Balance de derrames petroleros 2023 en ecopoliticavenezuela.org</w:t>
      </w:r>
      <w:r w:rsidR="009A60C0">
        <w:rPr>
          <w:rStyle w:val="Hyperlink"/>
          <w:lang w:val="es-ES"/>
        </w:rPr>
        <w:fldChar w:fldCharType="end"/>
      </w:r>
    </w:p>
  </w:footnote>
  <w:footnote w:id="38">
    <w:p w14:paraId="76C96DF9" w14:textId="77777777" w:rsidR="00E444D5" w:rsidRPr="00E201E6" w:rsidRDefault="00E444D5" w:rsidP="00E444D5">
      <w:pPr>
        <w:pStyle w:val="FootnoteText"/>
        <w:rPr>
          <w:lang w:val="es-ES"/>
        </w:rPr>
      </w:pPr>
      <w:r>
        <w:rPr>
          <w:rStyle w:val="FootnoteReference"/>
        </w:rPr>
        <w:footnoteRef/>
      </w:r>
      <w:r w:rsidRPr="00E201E6">
        <w:rPr>
          <w:lang w:val="es-ES"/>
        </w:rPr>
        <w:t xml:space="preserve"> </w:t>
      </w:r>
      <w:proofErr w:type="spellStart"/>
      <w:r>
        <w:rPr>
          <w:lang w:val="es-ES"/>
        </w:rPr>
        <w:t>Rosmina</w:t>
      </w:r>
      <w:proofErr w:type="spellEnd"/>
      <w:r>
        <w:rPr>
          <w:lang w:val="es-ES"/>
        </w:rPr>
        <w:t xml:space="preserve"> Suarez Pina, </w:t>
      </w:r>
      <w:r w:rsidR="009A60C0">
        <w:fldChar w:fldCharType="begin"/>
      </w:r>
      <w:r w:rsidR="009A60C0" w:rsidRPr="009A60C0">
        <w:rPr>
          <w:lang w:val="fr-CH"/>
        </w:rPr>
        <w:instrText>HYPERLINK "https://efectococuyo.com/cambio-climatico/pescadores-zulianos-exigen-indemnizacion-a-pdvsa-por-derrames-petroleros-en-el-lago-de-maracaibo/" \l ":~:text=Los%20pescadores%20reiteran%20que%20%E2%80%9Cas%C3%AD,incompetencia%20de%20la%20estatal%20pe</w:instrText>
      </w:r>
      <w:r w:rsidR="009A60C0" w:rsidRPr="009A60C0">
        <w:rPr>
          <w:lang w:val="fr-CH"/>
        </w:rPr>
        <w:instrText>trolera%E2%80%9D."</w:instrText>
      </w:r>
      <w:r w:rsidR="009A60C0">
        <w:fldChar w:fldCharType="separate"/>
      </w:r>
      <w:r w:rsidRPr="009268C6">
        <w:rPr>
          <w:rStyle w:val="Hyperlink"/>
          <w:lang w:val="es-ES"/>
        </w:rPr>
        <w:t>Pescadores Zulianos exigen indemnización a PDVSA por derrames petroleros en el Lago de Maracaibo, in Efecto Cocuyo 27 noviembre 2023</w:t>
      </w:r>
      <w:r w:rsidR="009A60C0">
        <w:rPr>
          <w:rStyle w:val="Hyperlink"/>
          <w:lang w:val="es-ES"/>
        </w:rPr>
        <w:fldChar w:fldCharType="end"/>
      </w:r>
    </w:p>
  </w:footnote>
  <w:footnote w:id="39">
    <w:p w14:paraId="288CDF9F" w14:textId="77777777" w:rsidR="00E444D5" w:rsidRPr="002A60ED" w:rsidRDefault="00E444D5" w:rsidP="00E444D5">
      <w:pPr>
        <w:pStyle w:val="FootnoteText"/>
        <w:rPr>
          <w:lang w:val="es-ES"/>
        </w:rPr>
      </w:pPr>
      <w:r>
        <w:rPr>
          <w:rStyle w:val="FootnoteReference"/>
        </w:rPr>
        <w:footnoteRef/>
      </w:r>
      <w:r w:rsidRPr="002A60ED">
        <w:rPr>
          <w:lang w:val="es-ES"/>
        </w:rPr>
        <w:t xml:space="preserve"> </w:t>
      </w:r>
      <w:r>
        <w:rPr>
          <w:lang w:val="es-ES"/>
        </w:rPr>
        <w:t xml:space="preserve">Vea </w:t>
      </w:r>
      <w:hyperlink r:id="rId20" w:history="1">
        <w:r w:rsidRPr="003C2932">
          <w:rPr>
            <w:rStyle w:val="Hyperlink"/>
            <w:lang w:val="es-ES"/>
          </w:rPr>
          <w:t>www.minec.gob.ve/costas-de-nueve-municipios-fueron-sumadas-al-saneamiento-y-limpieza-de-lago-de-maracaibo/</w:t>
        </w:r>
      </w:hyperlink>
      <w:r w:rsidRPr="002A60ED">
        <w:rPr>
          <w:lang w:val="es-ES"/>
        </w:rPr>
        <w:t xml:space="preserve">  </w:t>
      </w:r>
    </w:p>
  </w:footnote>
  <w:footnote w:id="40">
    <w:p w14:paraId="3F6B9B79" w14:textId="77777777" w:rsidR="00E444D5" w:rsidRPr="00D27DD6" w:rsidRDefault="00E444D5" w:rsidP="00E444D5">
      <w:pPr>
        <w:pStyle w:val="FootnoteText"/>
        <w:rPr>
          <w:lang w:val="es-ES"/>
        </w:rPr>
      </w:pPr>
      <w:r>
        <w:rPr>
          <w:rStyle w:val="FootnoteReference"/>
        </w:rPr>
        <w:footnoteRef/>
      </w:r>
      <w:r w:rsidRPr="00D27DD6">
        <w:rPr>
          <w:lang w:val="es-ES"/>
        </w:rPr>
        <w:t xml:space="preserve"> </w:t>
      </w:r>
      <w:r>
        <w:rPr>
          <w:lang w:val="es-VE"/>
        </w:rPr>
        <w:t xml:space="preserve">Mickey Veliz, </w:t>
      </w:r>
      <w:r w:rsidR="009A60C0">
        <w:fldChar w:fldCharType="begin"/>
      </w:r>
      <w:r w:rsidR="009A60C0" w:rsidRPr="009A60C0">
        <w:rPr>
          <w:lang w:val="es-ES"/>
        </w:rPr>
        <w:instrText>HYPERLINK "https://correodelcaroni.com/especiales/desplazamiento-el-temor-de-una-comunidad-jivi-por-la-explotacion-de-coltan/"</w:instrText>
      </w:r>
      <w:r w:rsidR="009A60C0">
        <w:fldChar w:fldCharType="separate"/>
      </w:r>
      <w:r w:rsidRPr="00B1379C">
        <w:rPr>
          <w:rStyle w:val="Hyperlink"/>
          <w:lang w:val="es-VE"/>
        </w:rPr>
        <w:t xml:space="preserve">Desplazamiento, el temor de una comunidad </w:t>
      </w:r>
      <w:proofErr w:type="spellStart"/>
      <w:r w:rsidRPr="00B1379C">
        <w:rPr>
          <w:rStyle w:val="Hyperlink"/>
          <w:lang w:val="es-VE"/>
        </w:rPr>
        <w:t>Jivi</w:t>
      </w:r>
      <w:proofErr w:type="spellEnd"/>
      <w:r w:rsidRPr="00B1379C">
        <w:rPr>
          <w:rStyle w:val="Hyperlink"/>
          <w:lang w:val="es-VE"/>
        </w:rPr>
        <w:t xml:space="preserve"> por la explotación de coltán,</w:t>
      </w:r>
      <w:r w:rsidR="009A60C0">
        <w:rPr>
          <w:rStyle w:val="Hyperlink"/>
          <w:lang w:val="es-VE"/>
        </w:rPr>
        <w:fldChar w:fldCharType="end"/>
      </w:r>
      <w:r>
        <w:rPr>
          <w:lang w:val="es-VE"/>
        </w:rPr>
        <w:t xml:space="preserve"> Correo del Caroní, 6 agosto 2023</w:t>
      </w:r>
    </w:p>
  </w:footnote>
  <w:footnote w:id="41">
    <w:p w14:paraId="1E383A17" w14:textId="77777777" w:rsidR="00E444D5" w:rsidRPr="00EC1790" w:rsidRDefault="00E444D5" w:rsidP="00E444D5">
      <w:pPr>
        <w:pStyle w:val="FootnoteText"/>
        <w:rPr>
          <w:lang w:val="es-ES"/>
        </w:rPr>
      </w:pPr>
      <w:r>
        <w:rPr>
          <w:rStyle w:val="FootnoteReference"/>
        </w:rPr>
        <w:footnoteRef/>
      </w:r>
      <w:r>
        <w:rPr>
          <w:lang w:val="es-ES"/>
        </w:rPr>
        <w:t xml:space="preserve"> Vea</w:t>
      </w:r>
      <w:r w:rsidRPr="00EC1790">
        <w:rPr>
          <w:lang w:val="es-ES"/>
        </w:rPr>
        <w:t xml:space="preserve"> </w:t>
      </w:r>
      <w:r w:rsidRPr="2976E7D1">
        <w:rPr>
          <w:lang w:val="es-MX"/>
        </w:rPr>
        <w:t xml:space="preserve">Alberto News </w:t>
      </w:r>
      <w:r w:rsidR="009A60C0">
        <w:fldChar w:fldCharType="begin"/>
      </w:r>
      <w:r w:rsidR="009A60C0" w:rsidRPr="009A60C0">
        <w:rPr>
          <w:lang w:val="es-ES"/>
        </w:rPr>
        <w:instrText>HYPERLINK "https://albertonews.com/nacionales/los-ultimos-accidentes-mineros-en-el-estado-bolivar-lista/"</w:instrText>
      </w:r>
      <w:r w:rsidR="009A60C0">
        <w:fldChar w:fldCharType="separate"/>
      </w:r>
      <w:r w:rsidRPr="00F16663">
        <w:rPr>
          <w:rStyle w:val="Hyperlink"/>
          <w:lang w:val="es-MX"/>
        </w:rPr>
        <w:t xml:space="preserve">Los Últimos Accidentes Mineros en el Estado </w:t>
      </w:r>
      <w:proofErr w:type="spellStart"/>
      <w:r w:rsidRPr="00F16663">
        <w:rPr>
          <w:rStyle w:val="Hyperlink"/>
          <w:lang w:val="es-MX"/>
        </w:rPr>
        <w:t>Bolivar</w:t>
      </w:r>
      <w:proofErr w:type="spellEnd"/>
      <w:r w:rsidR="009A60C0">
        <w:rPr>
          <w:rStyle w:val="Hyperlink"/>
          <w:lang w:val="es-MX"/>
        </w:rPr>
        <w:fldChar w:fldCharType="end"/>
      </w:r>
      <w:r w:rsidRPr="2976E7D1">
        <w:rPr>
          <w:lang w:val="es-MX"/>
        </w:rPr>
        <w:t xml:space="preserve">, 21 </w:t>
      </w:r>
      <w:r>
        <w:rPr>
          <w:lang w:val="es-MX"/>
        </w:rPr>
        <w:t>febrero</w:t>
      </w:r>
      <w:r w:rsidRPr="2976E7D1">
        <w:rPr>
          <w:lang w:val="es-MX"/>
        </w:rPr>
        <w:t xml:space="preserve"> 2024</w:t>
      </w:r>
    </w:p>
  </w:footnote>
  <w:footnote w:id="42">
    <w:p w14:paraId="6E19429E" w14:textId="77777777" w:rsidR="00E444D5" w:rsidRPr="009A51F6" w:rsidRDefault="00E444D5" w:rsidP="00E444D5">
      <w:pPr>
        <w:pStyle w:val="FootnoteText"/>
        <w:rPr>
          <w:lang w:val="es-ES"/>
        </w:rPr>
      </w:pPr>
      <w:r>
        <w:rPr>
          <w:rStyle w:val="FootnoteReference"/>
        </w:rPr>
        <w:footnoteRef/>
      </w:r>
      <w:r w:rsidRPr="009A51F6">
        <w:rPr>
          <w:lang w:val="es-ES"/>
        </w:rPr>
        <w:t xml:space="preserve"> </w:t>
      </w:r>
      <w:r w:rsidR="009A60C0">
        <w:fldChar w:fldCharType="begin"/>
      </w:r>
      <w:r w:rsidR="009A60C0" w:rsidRPr="009A60C0">
        <w:rPr>
          <w:lang w:val="es-ES"/>
        </w:rPr>
        <w:instrText>HYPERLINK "http://www.psuv.org.ve/temas/noticias/fanb-declara-territorio-libre-mineria-ilegal-al-parque-nacional-yapacana/"</w:instrText>
      </w:r>
      <w:r w:rsidR="009A60C0">
        <w:fldChar w:fldCharType="separate"/>
      </w:r>
      <w:r w:rsidRPr="009A51F6">
        <w:rPr>
          <w:rStyle w:val="Hyperlink"/>
          <w:lang w:val="es-ES"/>
        </w:rPr>
        <w:t>www.psuv.org.ve/temas/noticias/fanb-declara-territorio-libre-mineria-ilegal-al-parque-nacional-yapacana/</w:t>
      </w:r>
      <w:r w:rsidR="009A60C0">
        <w:rPr>
          <w:rStyle w:val="Hyperlink"/>
          <w:lang w:val="es-ES"/>
        </w:rPr>
        <w:fldChar w:fldCharType="end"/>
      </w:r>
    </w:p>
  </w:footnote>
  <w:footnote w:id="43">
    <w:p w14:paraId="5A1DA56D" w14:textId="77777777" w:rsidR="00E444D5" w:rsidRPr="00F54350" w:rsidRDefault="00E444D5" w:rsidP="00E444D5">
      <w:pPr>
        <w:pStyle w:val="FootnoteText"/>
        <w:rPr>
          <w:lang w:val="es-ES"/>
        </w:rPr>
      </w:pPr>
      <w:r>
        <w:rPr>
          <w:rStyle w:val="FootnoteReference"/>
        </w:rPr>
        <w:footnoteRef/>
      </w:r>
      <w:r w:rsidRPr="00F54350">
        <w:rPr>
          <w:lang w:val="es-ES"/>
        </w:rPr>
        <w:t xml:space="preserve"> </w:t>
      </w:r>
      <w:r w:rsidR="009A60C0">
        <w:fldChar w:fldCharType="begin"/>
      </w:r>
      <w:r w:rsidR="009A60C0" w:rsidRPr="009A60C0">
        <w:rPr>
          <w:lang w:val="fr-CH"/>
        </w:rPr>
        <w:instrText>HYPERLINK "https://www.ohchr.org/en/documents/country-reports/ahrc5354-situation-human-rights-bolivarian-republic-venezuela-report"</w:instrText>
      </w:r>
      <w:r w:rsidR="009A60C0">
        <w:fldChar w:fldCharType="separate"/>
      </w:r>
      <w:r w:rsidRPr="00AC7973">
        <w:rPr>
          <w:rStyle w:val="Hyperlink"/>
          <w:lang w:val="es-ES"/>
        </w:rPr>
        <w:t>A/HRC/53/54</w:t>
      </w:r>
      <w:r w:rsidR="009A60C0">
        <w:rPr>
          <w:rStyle w:val="Hyperlink"/>
          <w:lang w:val="es-ES"/>
        </w:rPr>
        <w:fldChar w:fldCharType="end"/>
      </w:r>
      <w:r>
        <w:rPr>
          <w:rStyle w:val="Hyperlink"/>
          <w:lang w:val="es-ES"/>
        </w:rPr>
        <w:t xml:space="preserve"> </w:t>
      </w:r>
      <w:r w:rsidRPr="00BF5572">
        <w:rPr>
          <w:lang w:val="es-ES_tradnl"/>
        </w:rPr>
        <w:t>Parra 25</w:t>
      </w:r>
    </w:p>
  </w:footnote>
  <w:footnote w:id="44">
    <w:p w14:paraId="3E603485" w14:textId="77777777" w:rsidR="00E444D5" w:rsidRPr="00F54350" w:rsidRDefault="00E444D5" w:rsidP="00E444D5">
      <w:pPr>
        <w:pStyle w:val="FootnoteText"/>
        <w:rPr>
          <w:lang w:val="es-ES"/>
        </w:rPr>
      </w:pPr>
      <w:r>
        <w:rPr>
          <w:rStyle w:val="FootnoteReference"/>
        </w:rPr>
        <w:footnoteRef/>
      </w:r>
      <w:r w:rsidRPr="00F54350">
        <w:rPr>
          <w:lang w:val="es-ES"/>
        </w:rPr>
        <w:t xml:space="preserve"> Provea, </w:t>
      </w:r>
      <w:r w:rsidR="009A60C0">
        <w:fldChar w:fldCharType="begin"/>
      </w:r>
      <w:r w:rsidR="009A60C0" w:rsidRPr="009A60C0">
        <w:rPr>
          <w:lang w:val="fr-CH"/>
        </w:rPr>
        <w:instrText>HYPERLINK "https://provea.org/actualidad/se</w:instrText>
      </w:r>
      <w:r w:rsidR="009A60C0" w:rsidRPr="009A60C0">
        <w:rPr>
          <w:lang w:val="fr-CH"/>
        </w:rPr>
        <w:instrText>-deteriora-la-vida-de-los-pueblos-indigenas-en-venezuela/"</w:instrText>
      </w:r>
      <w:r w:rsidR="009A60C0">
        <w:fldChar w:fldCharType="separate"/>
      </w:r>
      <w:r w:rsidRPr="008F19DC">
        <w:rPr>
          <w:rStyle w:val="Hyperlink"/>
          <w:lang w:val="es-ES"/>
        </w:rPr>
        <w:t>Se deteriora la vida de los pueblos indígenas en Venezuela</w:t>
      </w:r>
      <w:r w:rsidR="009A60C0">
        <w:rPr>
          <w:rStyle w:val="Hyperlink"/>
          <w:lang w:val="es-ES"/>
        </w:rPr>
        <w:fldChar w:fldCharType="end"/>
      </w:r>
      <w:r w:rsidRPr="00F54350">
        <w:rPr>
          <w:lang w:val="es-ES"/>
        </w:rPr>
        <w:t>, 9 agosto 2023</w:t>
      </w:r>
    </w:p>
  </w:footnote>
  <w:footnote w:id="45">
    <w:p w14:paraId="0BCB97B4" w14:textId="77777777" w:rsidR="00E444D5" w:rsidRPr="00B16197" w:rsidRDefault="00E444D5" w:rsidP="00E444D5">
      <w:pPr>
        <w:pStyle w:val="FootnoteText"/>
        <w:rPr>
          <w:lang w:val="es-ES"/>
        </w:rPr>
      </w:pPr>
      <w:r>
        <w:rPr>
          <w:rStyle w:val="FootnoteReference"/>
        </w:rPr>
        <w:footnoteRef/>
      </w:r>
      <w:r>
        <w:rPr>
          <w:lang w:val="es-ES"/>
        </w:rPr>
        <w:t>Vea</w:t>
      </w:r>
      <w:r w:rsidRPr="00B16197">
        <w:rPr>
          <w:lang w:val="es-ES"/>
        </w:rPr>
        <w:t xml:space="preserve"> </w:t>
      </w:r>
      <w:hyperlink r:id="rId21" w:history="1">
        <w:r w:rsidRPr="00B16197">
          <w:rPr>
            <w:rStyle w:val="Hyperlink"/>
            <w:lang w:val="es-ES"/>
          </w:rPr>
          <w:t>https://kape-kape.one/2023/06/01/oipus-solicito-al-ministerio-indigena-reactivar-la-comision-de-demarcacion-de-tierras/</w:t>
        </w:r>
      </w:hyperlink>
    </w:p>
  </w:footnote>
  <w:footnote w:id="46">
    <w:p w14:paraId="1C878F83" w14:textId="77777777" w:rsidR="00E444D5" w:rsidRPr="00CC7454" w:rsidRDefault="00E444D5" w:rsidP="00E444D5">
      <w:pPr>
        <w:pStyle w:val="FootnoteText"/>
        <w:rPr>
          <w:lang w:val="es-ES"/>
        </w:rPr>
      </w:pPr>
      <w:r>
        <w:rPr>
          <w:rStyle w:val="FootnoteReference"/>
        </w:rPr>
        <w:footnoteRef/>
      </w:r>
      <w:r w:rsidRPr="00CC7454">
        <w:rPr>
          <w:lang w:val="es-ES"/>
        </w:rPr>
        <w:t xml:space="preserve"> </w:t>
      </w:r>
      <w:hyperlink r:id="rId22" w:history="1">
        <w:r w:rsidRPr="007A2650">
          <w:rPr>
            <w:rStyle w:val="Hyperlink"/>
            <w:lang w:val="es-ES"/>
          </w:rPr>
          <w:t>CEDAW/C/VEN/CO/9</w:t>
        </w:r>
      </w:hyperlink>
      <w:r w:rsidRPr="00263AC4">
        <w:rPr>
          <w:lang w:val="es-ES"/>
        </w:rPr>
        <w:t xml:space="preserve"> Par</w:t>
      </w:r>
      <w:r>
        <w:rPr>
          <w:lang w:val="es-ES"/>
        </w:rPr>
        <w:t>r</w:t>
      </w:r>
      <w:r w:rsidRPr="00263AC4">
        <w:rPr>
          <w:lang w:val="es-ES"/>
        </w:rPr>
        <w:t>a 26(</w:t>
      </w:r>
      <w:r>
        <w:rPr>
          <w:lang w:val="es-ES"/>
        </w:rPr>
        <w:t>b</w:t>
      </w:r>
      <w:r w:rsidRPr="00263AC4">
        <w:rPr>
          <w:lang w:val="es-ES"/>
        </w:rPr>
        <w:t>)</w:t>
      </w:r>
      <w:r>
        <w:rPr>
          <w:lang w:val="es-ES"/>
        </w:rPr>
        <w:t xml:space="preserve">, </w:t>
      </w:r>
      <w:hyperlink r:id="rId23" w:history="1">
        <w:r w:rsidRPr="00AC7973">
          <w:rPr>
            <w:rStyle w:val="Hyperlink"/>
            <w:lang w:val="es-ES"/>
          </w:rPr>
          <w:t>A/HRC/53/54</w:t>
        </w:r>
      </w:hyperlink>
      <w:r>
        <w:rPr>
          <w:lang w:val="es-ES"/>
        </w:rPr>
        <w:t>recomendación e</w:t>
      </w:r>
    </w:p>
  </w:footnote>
  <w:footnote w:id="47">
    <w:p w14:paraId="17995422" w14:textId="77777777" w:rsidR="00E444D5" w:rsidRPr="000F6B01" w:rsidRDefault="00E444D5" w:rsidP="00E444D5">
      <w:pPr>
        <w:pStyle w:val="FootnoteText"/>
        <w:rPr>
          <w:lang w:val="es-ES"/>
        </w:rPr>
      </w:pPr>
      <w:r>
        <w:rPr>
          <w:rStyle w:val="FootnoteReference"/>
        </w:rPr>
        <w:footnoteRef/>
      </w:r>
      <w:r w:rsidRPr="000F6B01">
        <w:rPr>
          <w:lang w:val="es-ES"/>
        </w:rPr>
        <w:t xml:space="preserve"> </w:t>
      </w:r>
      <w:hyperlink r:id="rId24" w:history="1">
        <w:r w:rsidRPr="001412D2">
          <w:rPr>
            <w:rStyle w:val="Hyperlink"/>
            <w:lang w:val="es-ES"/>
          </w:rPr>
          <w:t>CCPR/C/VEN/CO/5</w:t>
        </w:r>
      </w:hyperlink>
      <w:r w:rsidRPr="00263AC4">
        <w:rPr>
          <w:lang w:val="es-ES"/>
        </w:rPr>
        <w:t xml:space="preserve"> Pa</w:t>
      </w:r>
      <w:r>
        <w:rPr>
          <w:lang w:val="es-ES"/>
        </w:rPr>
        <w:t>r</w:t>
      </w:r>
      <w:r w:rsidRPr="00263AC4">
        <w:rPr>
          <w:lang w:val="es-ES"/>
        </w:rPr>
        <w:t>ra 20</w:t>
      </w:r>
    </w:p>
  </w:footnote>
  <w:footnote w:id="48">
    <w:p w14:paraId="703D5106" w14:textId="77777777" w:rsidR="00E444D5" w:rsidRPr="00083C38" w:rsidRDefault="00E444D5" w:rsidP="00E444D5">
      <w:pPr>
        <w:pStyle w:val="FootnoteText"/>
        <w:rPr>
          <w:lang w:val="es-ES"/>
        </w:rPr>
      </w:pPr>
      <w:r>
        <w:rPr>
          <w:rStyle w:val="FootnoteReference"/>
        </w:rPr>
        <w:footnoteRef/>
      </w:r>
      <w:r w:rsidRPr="00083C38">
        <w:rPr>
          <w:lang w:val="es-ES"/>
        </w:rPr>
        <w:t xml:space="preserve"> </w:t>
      </w:r>
      <w:hyperlink r:id="rId25" w:history="1">
        <w:r w:rsidRPr="00EC3750">
          <w:rPr>
            <w:rStyle w:val="Hyperlink"/>
            <w:lang w:val="es-ES"/>
          </w:rPr>
          <w:t>CEDAW recomendación 26(a)</w:t>
        </w:r>
      </w:hyperlink>
    </w:p>
  </w:footnote>
  <w:footnote w:id="49">
    <w:p w14:paraId="7B5A479D" w14:textId="77777777" w:rsidR="00E444D5" w:rsidRPr="00DD6739" w:rsidRDefault="00E444D5" w:rsidP="00E444D5">
      <w:pPr>
        <w:pStyle w:val="FootnoteText"/>
        <w:rPr>
          <w:lang w:val="es-ES"/>
        </w:rPr>
      </w:pPr>
      <w:r>
        <w:rPr>
          <w:rStyle w:val="FootnoteReference"/>
        </w:rPr>
        <w:footnoteRef/>
      </w:r>
      <w:r w:rsidRPr="00DD6739">
        <w:rPr>
          <w:lang w:val="es-ES"/>
        </w:rPr>
        <w:t xml:space="preserve"> </w:t>
      </w:r>
      <w:r>
        <w:rPr>
          <w:lang w:val="es-ES"/>
        </w:rPr>
        <w:t xml:space="preserve">Vea </w:t>
      </w:r>
      <w:hyperlink r:id="rId26" w:history="1">
        <w:r w:rsidRPr="003C2932">
          <w:rPr>
            <w:rStyle w:val="Hyperlink"/>
            <w:lang w:val="es-ES"/>
          </w:rPr>
          <w:t>https://utopix.cc/pix/noviembre-de-2023-son-17-femicidios-en-venezuela-para-un-total-de-186-casos-en-11-meses/</w:t>
        </w:r>
      </w:hyperlink>
      <w:r w:rsidRPr="00DD6739">
        <w:rPr>
          <w:lang w:val="es-ES"/>
        </w:rPr>
        <w:t xml:space="preserve">  </w:t>
      </w:r>
    </w:p>
  </w:footnote>
  <w:footnote w:id="50">
    <w:p w14:paraId="517A5CBA" w14:textId="77777777" w:rsidR="00E444D5" w:rsidRPr="00BF5572" w:rsidRDefault="00E444D5" w:rsidP="00E444D5">
      <w:pPr>
        <w:pStyle w:val="FootnoteText"/>
        <w:rPr>
          <w:lang w:val="pt-BR"/>
        </w:rPr>
      </w:pPr>
      <w:r>
        <w:rPr>
          <w:rStyle w:val="FootnoteReference"/>
        </w:rPr>
        <w:footnoteRef/>
      </w:r>
      <w:r w:rsidRPr="00BF5572">
        <w:rPr>
          <w:lang w:val="pt-BR"/>
        </w:rPr>
        <w:t xml:space="preserve">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BF5572">
        <w:rPr>
          <w:rStyle w:val="Hyperlink"/>
          <w:lang w:val="pt-BR"/>
        </w:rPr>
        <w:t>A/HRC/53/54</w:t>
      </w:r>
      <w:r w:rsidR="009A60C0">
        <w:rPr>
          <w:rStyle w:val="Hyperlink"/>
          <w:lang w:val="pt-BR"/>
        </w:rPr>
        <w:fldChar w:fldCharType="end"/>
      </w:r>
      <w:r w:rsidRPr="00BF5572">
        <w:rPr>
          <w:lang w:val="pt-BR"/>
        </w:rPr>
        <w:t>Parra 31</w:t>
      </w:r>
    </w:p>
  </w:footnote>
  <w:footnote w:id="51">
    <w:p w14:paraId="5E442DCD" w14:textId="77777777" w:rsidR="00E444D5" w:rsidRPr="00BF5572" w:rsidRDefault="00E444D5" w:rsidP="00E444D5">
      <w:pPr>
        <w:pStyle w:val="FootnoteText"/>
        <w:rPr>
          <w:lang w:val="pt-BR"/>
        </w:rPr>
      </w:pPr>
      <w:r>
        <w:rPr>
          <w:rStyle w:val="FootnoteReference"/>
        </w:rPr>
        <w:footnoteRef/>
      </w:r>
      <w:r w:rsidRPr="00BF5572">
        <w:rPr>
          <w:lang w:val="pt-BR"/>
        </w:rPr>
        <w:t xml:space="preserve"> </w:t>
      </w:r>
      <w:r w:rsidR="009A60C0">
        <w:fldChar w:fldCharType="begin"/>
      </w:r>
      <w:r w:rsidR="009A60C0" w:rsidRPr="009A60C0">
        <w:rPr>
          <w:lang w:val="es-ES"/>
        </w:rPr>
        <w:instrText>HYPERLINK "https://tbinternet.ohchr.org/_lay</w:instrText>
      </w:r>
      <w:r w:rsidR="009A60C0" w:rsidRPr="009A60C0">
        <w:rPr>
          <w:lang w:val="es-ES"/>
        </w:rPr>
        <w:instrText>outs/15/treatybodyexternal/Download.aspx?symbolno=CEDAW%2FC%2FVEN%2FCO%2F9&amp;Lang=en"</w:instrText>
      </w:r>
      <w:r w:rsidR="009A60C0">
        <w:fldChar w:fldCharType="separate"/>
      </w:r>
      <w:r w:rsidRPr="00BF5572">
        <w:rPr>
          <w:rStyle w:val="Hyperlink"/>
          <w:lang w:val="pt-BR"/>
        </w:rPr>
        <w:t>CEDAW/C/VEN/CO/9</w:t>
      </w:r>
      <w:r w:rsidR="009A60C0">
        <w:rPr>
          <w:rStyle w:val="Hyperlink"/>
          <w:lang w:val="pt-BR"/>
        </w:rPr>
        <w:fldChar w:fldCharType="end"/>
      </w:r>
      <w:r w:rsidRPr="00BF5572">
        <w:rPr>
          <w:lang w:val="pt-BR"/>
        </w:rPr>
        <w:t xml:space="preserve"> Parra 26(d)</w:t>
      </w:r>
    </w:p>
  </w:footnote>
  <w:footnote w:id="52">
    <w:p w14:paraId="789DF054" w14:textId="77777777" w:rsidR="00E444D5" w:rsidRPr="00BF5572" w:rsidRDefault="00E444D5" w:rsidP="00E444D5">
      <w:pPr>
        <w:pStyle w:val="FootnoteText"/>
        <w:rPr>
          <w:lang w:val="pt-BR"/>
        </w:rPr>
      </w:pPr>
      <w:r>
        <w:rPr>
          <w:rStyle w:val="FootnoteReference"/>
        </w:rPr>
        <w:footnoteRef/>
      </w:r>
      <w:r w:rsidRPr="00BF5572">
        <w:rPr>
          <w:lang w:val="pt-BR"/>
        </w:rPr>
        <w:t xml:space="preserve"> Vea </w:t>
      </w:r>
      <w:r w:rsidR="009A60C0">
        <w:fldChar w:fldCharType="begin"/>
      </w:r>
      <w:r w:rsidR="009A60C0" w:rsidRPr="009A60C0">
        <w:rPr>
          <w:lang w:val="es-ES"/>
        </w:rPr>
        <w:instrText>HYPERLINK "https://www.paisplural.org/informe-nc"</w:instrText>
      </w:r>
      <w:r w:rsidR="009A60C0">
        <w:fldChar w:fldCharType="separate"/>
      </w:r>
      <w:r w:rsidRPr="00BF5572">
        <w:rPr>
          <w:rStyle w:val="Hyperlink"/>
          <w:lang w:val="pt-BR"/>
        </w:rPr>
        <w:t>Informe NC | País Plural (paisplural.org)</w:t>
      </w:r>
      <w:r w:rsidR="009A60C0">
        <w:rPr>
          <w:rStyle w:val="Hyperlink"/>
          <w:lang w:val="pt-BR"/>
        </w:rPr>
        <w:fldChar w:fldCharType="end"/>
      </w:r>
    </w:p>
  </w:footnote>
  <w:footnote w:id="53">
    <w:p w14:paraId="5E19C511" w14:textId="77777777" w:rsidR="00E444D5" w:rsidRPr="00BF5572" w:rsidRDefault="00E444D5" w:rsidP="00E444D5">
      <w:pPr>
        <w:pStyle w:val="FootnoteText"/>
        <w:rPr>
          <w:lang w:val="pt-BR"/>
        </w:rPr>
      </w:pPr>
      <w:r>
        <w:rPr>
          <w:rStyle w:val="FootnoteReference"/>
        </w:rPr>
        <w:footnoteRef/>
      </w:r>
      <w:r w:rsidRPr="00BF5572">
        <w:rPr>
          <w:lang w:val="pt-BR"/>
        </w:rPr>
        <w:t xml:space="preserve"> </w:t>
      </w:r>
      <w:r w:rsidR="009A60C0">
        <w:fldChar w:fldCharType="begin"/>
      </w:r>
      <w:r w:rsidR="009A60C0" w:rsidRPr="009A60C0">
        <w:rPr>
          <w:lang w:val="es-ES"/>
        </w:rPr>
        <w:instrText>HYPERLINK "https://undocs.org/Home/Mobile?FinalSymbol=A%2F78%2F227&amp;Language=E&amp;DeviceType=Desktop&amp;LangRequested=False"</w:instrText>
      </w:r>
      <w:r w:rsidR="009A60C0">
        <w:fldChar w:fldCharType="separate"/>
      </w:r>
      <w:r w:rsidRPr="00BF5572">
        <w:rPr>
          <w:rStyle w:val="Hyperlink"/>
          <w:lang w:val="pt-BR"/>
        </w:rPr>
        <w:t>A/78/227</w:t>
      </w:r>
      <w:r w:rsidR="009A60C0">
        <w:rPr>
          <w:rStyle w:val="Hyperlink"/>
          <w:lang w:val="pt-BR"/>
        </w:rPr>
        <w:fldChar w:fldCharType="end"/>
      </w:r>
    </w:p>
  </w:footnote>
  <w:footnote w:id="54">
    <w:p w14:paraId="1DAA1570"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Pr>
          <w:lang w:val="es-ES"/>
        </w:rPr>
        <w:t xml:space="preserve">Vea </w:t>
      </w:r>
      <w:r w:rsidR="009A60C0">
        <w:fldChar w:fldCharType="begin"/>
      </w:r>
      <w:r w:rsidR="009A60C0" w:rsidRPr="009A60C0">
        <w:rPr>
          <w:lang w:val="es-ES"/>
        </w:rPr>
        <w:instrText>HYPERLINK "https://nomasdiscriminacion.org/download/2do-informe-voces-contra-el-prejuicio-informe-sobre-violencias-y-discriminacion-a-personas-lgbtiq-balance-enero-junio-de-2023-noviembre-de-2023/"</w:instrText>
      </w:r>
      <w:r w:rsidR="009A60C0">
        <w:fldChar w:fldCharType="separate"/>
      </w:r>
      <w:r w:rsidRPr="003C2932">
        <w:rPr>
          <w:rStyle w:val="Hyperlink"/>
          <w:lang w:val="es-ES"/>
        </w:rPr>
        <w:t>https://nomasdiscriminacion.org/download/2do-informe-voces-contra-el-prejuicio-informe-sobre-violencias-y-discriminacion-a-personas-lgbtiq-balance-enero-junio-de-2023-noviembre-de-2023/</w:t>
      </w:r>
      <w:r w:rsidR="009A60C0">
        <w:rPr>
          <w:rStyle w:val="Hyperlink"/>
          <w:lang w:val="es-ES"/>
        </w:rPr>
        <w:fldChar w:fldCharType="end"/>
      </w:r>
    </w:p>
  </w:footnote>
  <w:footnote w:id="55">
    <w:p w14:paraId="2105319F" w14:textId="77777777" w:rsidR="00E444D5" w:rsidRPr="006E3A8A" w:rsidRDefault="00E444D5" w:rsidP="00E444D5">
      <w:pPr>
        <w:pStyle w:val="FootnoteText"/>
        <w:rPr>
          <w:lang w:val="es-ES"/>
        </w:rPr>
      </w:pPr>
      <w:r>
        <w:rPr>
          <w:rStyle w:val="FootnoteReference"/>
        </w:rPr>
        <w:footnoteRef/>
      </w:r>
      <w:r w:rsidRPr="006E3A8A">
        <w:rPr>
          <w:lang w:val="es-ES"/>
        </w:rPr>
        <w:t xml:space="preserve"> </w:t>
      </w:r>
      <w:r>
        <w:rPr>
          <w:lang w:val="es-ES"/>
        </w:rPr>
        <w:t xml:space="preserve">Vea </w:t>
      </w:r>
      <w:r w:rsidR="009A60C0">
        <w:fldChar w:fldCharType="begin"/>
      </w:r>
      <w:r w:rsidR="009A60C0" w:rsidRPr="009A60C0">
        <w:rPr>
          <w:lang w:val="es-ES"/>
        </w:rPr>
        <w:instrText>HYPERLINK "https://www.observatoriodeconflictos.org.ve/"</w:instrText>
      </w:r>
      <w:r w:rsidR="009A60C0">
        <w:fldChar w:fldCharType="separate"/>
      </w:r>
      <w:r w:rsidRPr="00B5792F">
        <w:rPr>
          <w:rStyle w:val="Hyperlink"/>
          <w:lang w:val="es-ES"/>
        </w:rPr>
        <w:t>Observatorio Venezolano de la Conflictividad Social</w:t>
      </w:r>
      <w:r w:rsidR="009A60C0">
        <w:rPr>
          <w:rStyle w:val="Hyperlink"/>
          <w:lang w:val="es-ES"/>
        </w:rPr>
        <w:fldChar w:fldCharType="end"/>
      </w:r>
      <w:r w:rsidRPr="00AE6C99">
        <w:rPr>
          <w:rStyle w:val="Hyperlink"/>
          <w:lang w:val="es-ES"/>
        </w:rPr>
        <w:t>, al registro del 29 de abril 2024</w:t>
      </w:r>
      <w:r>
        <w:rPr>
          <w:rStyle w:val="Hyperlink"/>
          <w:lang w:val="es-ES"/>
        </w:rPr>
        <w:t>.</w:t>
      </w:r>
    </w:p>
  </w:footnote>
  <w:footnote w:id="56">
    <w:p w14:paraId="5F4D629F" w14:textId="77777777" w:rsidR="00E444D5" w:rsidRPr="00083C38" w:rsidRDefault="00E444D5" w:rsidP="00E444D5">
      <w:pPr>
        <w:pStyle w:val="FootnoteText"/>
        <w:rPr>
          <w:lang w:val="es-ES"/>
        </w:rPr>
      </w:pPr>
      <w:r>
        <w:rPr>
          <w:rStyle w:val="FootnoteReference"/>
        </w:rPr>
        <w:footnoteRef/>
      </w:r>
      <w:r w:rsidRPr="00083C38">
        <w:rPr>
          <w:lang w:val="es-ES"/>
        </w:rPr>
        <w:t xml:space="preserve"> Ibid.</w:t>
      </w:r>
    </w:p>
  </w:footnote>
  <w:footnote w:id="57">
    <w:p w14:paraId="36CD6101"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"https://www.ohchr.org/en/documents/country-reports/ahrc5059-situation-human-rights-bolivarian-republic-venezuela-report"</w:instrText>
      </w:r>
      <w:r w:rsidR="009A60C0">
        <w:fldChar w:fldCharType="separate"/>
      </w:r>
      <w:r w:rsidRPr="001A0E96">
        <w:rPr>
          <w:rStyle w:val="Hyperlink"/>
          <w:lang w:val="es-ES"/>
        </w:rPr>
        <w:t>A/HRC/50/59</w:t>
      </w:r>
      <w:r w:rsidR="009A60C0">
        <w:rPr>
          <w:rStyle w:val="Hyperlink"/>
          <w:lang w:val="es-ES"/>
        </w:rPr>
        <w:fldChar w:fldCharType="end"/>
      </w:r>
      <w:r w:rsidRPr="001A0E96">
        <w:rPr>
          <w:lang w:val="es-ES"/>
        </w:rPr>
        <w:t xml:space="preserve"> Parra 55,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1A0E96">
        <w:rPr>
          <w:rStyle w:val="Hyperlink"/>
          <w:lang w:val="es-ES"/>
        </w:rPr>
        <w:t>A/HRC/53/54</w:t>
      </w:r>
      <w:r w:rsidR="009A60C0">
        <w:rPr>
          <w:rStyle w:val="Hyperlink"/>
          <w:lang w:val="es-ES"/>
        </w:rPr>
        <w:fldChar w:fldCharType="end"/>
      </w:r>
      <w:r w:rsidRPr="00BF5572">
        <w:rPr>
          <w:lang w:val="es-ES"/>
        </w:rPr>
        <w:t>, Pa</w:t>
      </w:r>
      <w:r w:rsidRPr="001A0E96">
        <w:rPr>
          <w:lang w:val="es-ES"/>
        </w:rPr>
        <w:t>r</w:t>
      </w:r>
      <w:r w:rsidRPr="00BF5572">
        <w:rPr>
          <w:lang w:val="es-ES"/>
        </w:rPr>
        <w:t>ra 53</w:t>
      </w:r>
    </w:p>
  </w:footnote>
  <w:footnote w:id="58">
    <w:p w14:paraId="000F24C8"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BF5572">
        <w:rPr>
          <w:rStyle w:val="Hyperlink"/>
          <w:lang w:val="es-ES"/>
        </w:rPr>
        <w:t>A/HRC/53/54</w:t>
      </w:r>
      <w:r w:rsidR="009A60C0">
        <w:rPr>
          <w:rStyle w:val="Hyperlink"/>
          <w:lang w:val="es-ES"/>
        </w:rPr>
        <w:fldChar w:fldCharType="end"/>
      </w:r>
      <w:r w:rsidRPr="001A0E96">
        <w:rPr>
          <w:lang w:val="es-ES"/>
        </w:rPr>
        <w:t>Parra 19</w:t>
      </w:r>
    </w:p>
  </w:footnote>
  <w:footnote w:id="59">
    <w:p w14:paraId="6002AFB9"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"https://www.ohchr.org/en/documents/country-reports/ah</w:instrText>
      </w:r>
      <w:r w:rsidR="009A60C0" w:rsidRPr="009A60C0">
        <w:rPr>
          <w:lang w:val="es-ES"/>
        </w:rPr>
        <w:instrText>rc5354-situation-human-rights-bolivarian-republic-venezuela-report"</w:instrText>
      </w:r>
      <w:r w:rsidR="009A60C0">
        <w:fldChar w:fldCharType="separate"/>
      </w:r>
      <w:r w:rsidRPr="00BF5572">
        <w:rPr>
          <w:rStyle w:val="Hyperlink"/>
          <w:lang w:val="es-ES"/>
        </w:rPr>
        <w:t>A/HRC/53/54</w:t>
      </w:r>
      <w:r w:rsidR="009A60C0">
        <w:rPr>
          <w:rStyle w:val="Hyperlink"/>
          <w:lang w:val="es-ES"/>
        </w:rPr>
        <w:fldChar w:fldCharType="end"/>
      </w:r>
      <w:r w:rsidRPr="001A0E96">
        <w:rPr>
          <w:lang w:val="es-ES"/>
        </w:rPr>
        <w:t>Parra 61</w:t>
      </w:r>
    </w:p>
  </w:footnote>
  <w:footnote w:id="60">
    <w:p w14:paraId="621C2658"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"https://www.ohchr.org/en/documents/country-reports/ahrc5354-situation-human-rights-bolivarian-republic-venezuela-repo</w:instrText>
      </w:r>
      <w:r w:rsidR="009A60C0" w:rsidRPr="009A60C0">
        <w:rPr>
          <w:lang w:val="es-ES"/>
        </w:rPr>
        <w:instrText>rt"</w:instrText>
      </w:r>
      <w:r w:rsidR="009A60C0">
        <w:fldChar w:fldCharType="separate"/>
      </w:r>
      <w:r w:rsidRPr="001A0E96">
        <w:rPr>
          <w:rStyle w:val="Hyperlink"/>
          <w:lang w:val="es-ES"/>
        </w:rPr>
        <w:t>A/HRC/53/54</w:t>
      </w:r>
      <w:r w:rsidR="009A60C0">
        <w:rPr>
          <w:rStyle w:val="Hyperlink"/>
          <w:lang w:val="es-ES"/>
        </w:rPr>
        <w:fldChar w:fldCharType="end"/>
      </w:r>
      <w:r w:rsidRPr="001A0E96">
        <w:rPr>
          <w:lang w:val="es-ES"/>
        </w:rPr>
        <w:t>Parra. 15</w:t>
      </w:r>
    </w:p>
  </w:footnote>
  <w:footnote w:id="61">
    <w:p w14:paraId="6CF7F926"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"http://www.ohchr.org/es/press-releases/2023/08/venezuela-un-experts-condemn-use-counter-terrorism-laws-convict-trade"</w:instrText>
      </w:r>
      <w:r w:rsidR="009A60C0">
        <w:fldChar w:fldCharType="separate"/>
      </w:r>
      <w:r w:rsidRPr="00BF5572">
        <w:rPr>
          <w:rStyle w:val="Hyperlink"/>
          <w:lang w:val="es-ES"/>
        </w:rPr>
        <w:t>www.ohchr.org/es/press-releases/2023/08/venezuela-un-experts-condemn-use-counter-terrorism-laws-convict-trade</w:t>
      </w:r>
      <w:r w:rsidR="009A60C0">
        <w:rPr>
          <w:rStyle w:val="Hyperlink"/>
          <w:lang w:val="es-ES"/>
        </w:rPr>
        <w:fldChar w:fldCharType="end"/>
      </w:r>
    </w:p>
  </w:footnote>
  <w:footnote w:id="62">
    <w:p w14:paraId="001E1853" w14:textId="77777777" w:rsidR="00E444D5" w:rsidRPr="001A0E96" w:rsidRDefault="00E444D5" w:rsidP="00E444D5">
      <w:pPr>
        <w:pStyle w:val="FootnoteText"/>
        <w:rPr>
          <w:lang w:val="es-ES"/>
        </w:rPr>
      </w:pPr>
      <w:r>
        <w:rPr>
          <w:rStyle w:val="FootnoteReference"/>
        </w:rPr>
        <w:footnoteRef/>
      </w:r>
      <w:r w:rsidRPr="001A0E96">
        <w:rPr>
          <w:lang w:val="es-ES"/>
        </w:rPr>
        <w:t xml:space="preserve"> </w:t>
      </w:r>
      <w:r w:rsidR="009A60C0">
        <w:fldChar w:fldCharType="begin"/>
      </w:r>
      <w:r w:rsidR="009A60C0" w:rsidRPr="009A60C0">
        <w:rPr>
          <w:lang w:val="es-ES"/>
        </w:rPr>
        <w:instrText>HYPERLINK "https://twitter.com/unhumanrights/status/1757307231614202368?s=48"</w:instrText>
      </w:r>
      <w:r w:rsidR="009A60C0">
        <w:fldChar w:fldCharType="separate"/>
      </w:r>
      <w:r w:rsidRPr="001A0E96">
        <w:rPr>
          <w:rStyle w:val="Hyperlink"/>
          <w:lang w:val="es-ES"/>
        </w:rPr>
        <w:t>https://twitter.com/unhumanrights/status/1757307231614202368?s=48</w:t>
      </w:r>
      <w:r w:rsidR="009A60C0">
        <w:rPr>
          <w:rStyle w:val="Hyperlink"/>
          <w:lang w:val="es-ES"/>
        </w:rPr>
        <w:fldChar w:fldCharType="end"/>
      </w:r>
    </w:p>
  </w:footnote>
  <w:footnote w:id="63">
    <w:p w14:paraId="1D97E2D3" w14:textId="77777777" w:rsidR="00E444D5" w:rsidRPr="005E398E" w:rsidRDefault="00E444D5" w:rsidP="00E444D5">
      <w:pPr>
        <w:pStyle w:val="FootnoteText"/>
        <w:rPr>
          <w:lang w:val="es-ES"/>
        </w:rPr>
      </w:pPr>
      <w:r>
        <w:rPr>
          <w:rStyle w:val="FootnoteReference"/>
        </w:rPr>
        <w:footnoteRef/>
      </w:r>
      <w:r w:rsidRPr="005E398E">
        <w:rPr>
          <w:lang w:val="es-ES"/>
        </w:rPr>
        <w:t xml:space="preserve"> </w:t>
      </w:r>
      <w:r w:rsidR="009A60C0">
        <w:fldChar w:fldCharType="begin"/>
      </w:r>
      <w:r w:rsidR="009A60C0" w:rsidRPr="009A60C0">
        <w:rPr>
          <w:lang w:val="fr-CH"/>
        </w:rPr>
        <w:instrText>HYPERLINK "https://www.regjeringen.no/en/aktuelt/joint-statement-from-the-venezuela-dialogue-and-negotiation-process/id3001613/"</w:instrText>
      </w:r>
      <w:r w:rsidR="009A60C0">
        <w:fldChar w:fldCharType="separate"/>
      </w:r>
      <w:r w:rsidRPr="005E398E">
        <w:rPr>
          <w:rStyle w:val="Hyperlink"/>
          <w:lang w:val="es-ES"/>
        </w:rPr>
        <w:t>https://www.regjeringen.no/en/aktuelt/joint-statement-from-the-venezuela-dialogue-and-negotiation-process/id3001613/</w:t>
      </w:r>
      <w:r w:rsidR="009A60C0">
        <w:rPr>
          <w:rStyle w:val="Hyperlink"/>
          <w:lang w:val="es-ES"/>
        </w:rPr>
        <w:fldChar w:fldCharType="end"/>
      </w:r>
      <w:r w:rsidRPr="005E398E">
        <w:rPr>
          <w:rStyle w:val="Hyperlink"/>
          <w:lang w:val="es-ES"/>
        </w:rPr>
        <w:t xml:space="preserve"> (en ingl</w:t>
      </w:r>
      <w:r>
        <w:rPr>
          <w:rStyle w:val="Hyperlink"/>
          <w:lang w:val="es-ES"/>
        </w:rPr>
        <w:t>és)</w:t>
      </w:r>
    </w:p>
  </w:footnote>
  <w:footnote w:id="64">
    <w:p w14:paraId="66E574BF"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sidR="009A60C0">
        <w:fldChar w:fldCharType="begin"/>
      </w:r>
      <w:r w:rsidR="009A60C0" w:rsidRPr="009A60C0">
        <w:rPr>
          <w:lang w:val="es-ES"/>
        </w:rPr>
        <w:instrText>HYPERLINK "https://static.poder360.com.br/2023/10/comunicado-suspensao-venezuela.pdf"</w:instrText>
      </w:r>
      <w:r w:rsidR="009A60C0">
        <w:fldChar w:fldCharType="separate"/>
      </w:r>
      <w:r w:rsidRPr="00083C38">
        <w:rPr>
          <w:rStyle w:val="Hyperlink"/>
          <w:lang w:val="es-ES"/>
        </w:rPr>
        <w:t>https://static.poder360.com.br/2023/10/comunicado-suspensao-venezuela.pdf</w:t>
      </w:r>
      <w:r w:rsidR="009A60C0">
        <w:rPr>
          <w:rStyle w:val="Hyperlink"/>
          <w:lang w:val="es-ES"/>
        </w:rPr>
        <w:fldChar w:fldCharType="end"/>
      </w:r>
    </w:p>
  </w:footnote>
  <w:footnote w:id="65">
    <w:p w14:paraId="0BBC9F2D"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sidR="009A60C0">
        <w:fldChar w:fldCharType="begin"/>
      </w:r>
      <w:r w:rsidR="009A60C0" w:rsidRPr="009A60C0">
        <w:rPr>
          <w:lang w:val="es-ES"/>
        </w:rPr>
        <w:instrText>HYPERLINK "htt</w:instrText>
      </w:r>
      <w:r w:rsidR="009A60C0" w:rsidRPr="009A60C0">
        <w:rPr>
          <w:lang w:val="es-ES"/>
        </w:rPr>
        <w:instrText>p://www.psuv.org.ve/temas/noticias/psuv-anuncio-activacion-plan-furia-bolivariana/"</w:instrText>
      </w:r>
      <w:r w:rsidR="009A60C0">
        <w:fldChar w:fldCharType="separate"/>
      </w:r>
      <w:r w:rsidRPr="00083C38">
        <w:rPr>
          <w:rStyle w:val="Hyperlink"/>
          <w:lang w:val="es-ES"/>
        </w:rPr>
        <w:t>http://www.psuv.org.ve/temas/noticias/psuv-anuncio-activacion-plan-furia-bolivariana/</w:t>
      </w:r>
      <w:r w:rsidR="009A60C0">
        <w:rPr>
          <w:rStyle w:val="Hyperlink"/>
          <w:lang w:val="es-ES"/>
        </w:rPr>
        <w:fldChar w:fldCharType="end"/>
      </w:r>
    </w:p>
  </w:footnote>
  <w:footnote w:id="66">
    <w:p w14:paraId="5E334861" w14:textId="77777777" w:rsidR="00E444D5" w:rsidRPr="00F50EC4" w:rsidRDefault="00E444D5" w:rsidP="00E444D5">
      <w:pPr>
        <w:pStyle w:val="FootnoteText"/>
        <w:rPr>
          <w:lang w:val="es-ES"/>
        </w:rPr>
      </w:pPr>
      <w:r>
        <w:rPr>
          <w:rStyle w:val="FootnoteReference"/>
        </w:rPr>
        <w:footnoteRef/>
      </w:r>
      <w:r w:rsidRPr="00F50EC4">
        <w:rPr>
          <w:lang w:val="es-ES"/>
        </w:rPr>
        <w:t xml:space="preserve"> </w:t>
      </w:r>
      <w:r>
        <w:rPr>
          <w:lang w:val="es-ES"/>
        </w:rPr>
        <w:t>Vea ACNUDH</w:t>
      </w:r>
      <w:r w:rsidRPr="006E541A">
        <w:rPr>
          <w:lang w:val="es-ES"/>
        </w:rPr>
        <w:t xml:space="preserve"> </w:t>
      </w:r>
      <w:r w:rsidR="009A60C0">
        <w:fldChar w:fldCharType="begin"/>
      </w:r>
      <w:r w:rsidR="009A60C0" w:rsidRPr="009A60C0">
        <w:rPr>
          <w:lang w:val="fr-CH"/>
        </w:rPr>
        <w:instrText>HYPERLINK "https://www.ohchr.org/es</w:instrText>
      </w:r>
      <w:r w:rsidR="009A60C0" w:rsidRPr="009A60C0">
        <w:rPr>
          <w:lang w:val="fr-CH"/>
        </w:rPr>
        <w:instrText>/documents/tools-and-resources/guidelines-effective-implementation-right-participate-public-affairs"</w:instrText>
      </w:r>
      <w:r w:rsidR="009A60C0">
        <w:fldChar w:fldCharType="separate"/>
      </w:r>
      <w:r w:rsidRPr="00531CE7">
        <w:rPr>
          <w:rStyle w:val="Hyperlink"/>
          <w:lang w:val="es-ES"/>
        </w:rPr>
        <w:t>Directrices para los Estados sobre la puesta en práctica efectiva del derecho a participar en la vida pública, Parra</w:t>
      </w:r>
      <w:r w:rsidR="009A60C0">
        <w:rPr>
          <w:rStyle w:val="Hyperlink"/>
          <w:lang w:val="es-ES"/>
        </w:rPr>
        <w:fldChar w:fldCharType="end"/>
      </w:r>
      <w:r w:rsidRPr="006E541A">
        <w:rPr>
          <w:lang w:val="es-ES"/>
        </w:rPr>
        <w:t xml:space="preserve"> 16, </w:t>
      </w:r>
      <w:proofErr w:type="spellStart"/>
      <w:r w:rsidRPr="006E541A">
        <w:rPr>
          <w:lang w:val="es-ES"/>
        </w:rPr>
        <w:t>pag</w:t>
      </w:r>
      <w:proofErr w:type="spellEnd"/>
      <w:r w:rsidRPr="006E541A">
        <w:rPr>
          <w:lang w:val="es-ES"/>
        </w:rPr>
        <w:t xml:space="preserve"> 6.</w:t>
      </w:r>
    </w:p>
  </w:footnote>
  <w:footnote w:id="67">
    <w:p w14:paraId="706C9291" w14:textId="77777777" w:rsidR="00E444D5" w:rsidRPr="003E31B1" w:rsidRDefault="00E444D5" w:rsidP="00E444D5">
      <w:pPr>
        <w:pStyle w:val="FootnoteText"/>
        <w:rPr>
          <w:lang w:val="es-ES"/>
        </w:rPr>
      </w:pPr>
      <w:r>
        <w:rPr>
          <w:rStyle w:val="FootnoteReference"/>
        </w:rPr>
        <w:footnoteRef/>
      </w:r>
      <w:r w:rsidRPr="003E31B1">
        <w:rPr>
          <w:lang w:val="es-ES"/>
        </w:rPr>
        <w:t xml:space="preserve"> </w:t>
      </w:r>
      <w:r>
        <w:rPr>
          <w:lang w:val="es-ES"/>
        </w:rPr>
        <w:t xml:space="preserve">Vea </w:t>
      </w:r>
      <w:hyperlink r:id="rId27" w:history="1">
        <w:r w:rsidRPr="003C2932">
          <w:rPr>
            <w:rStyle w:val="Hyperlink"/>
            <w:lang w:val="es-ES"/>
          </w:rPr>
          <w:t>https://www.cgr.gob.ve/assets/pdf/Sancionados.pdf</w:t>
        </w:r>
      </w:hyperlink>
    </w:p>
  </w:footnote>
  <w:footnote w:id="68">
    <w:p w14:paraId="103FC302"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AC7973">
        <w:rPr>
          <w:rStyle w:val="Hyperlink"/>
          <w:lang w:val="es-ES"/>
        </w:rPr>
        <w:t>A/HRC/53/54</w:t>
      </w:r>
      <w:r w:rsidR="009A60C0">
        <w:rPr>
          <w:rStyle w:val="Hyperlink"/>
          <w:lang w:val="es-ES"/>
        </w:rPr>
        <w:fldChar w:fldCharType="end"/>
      </w:r>
      <w:r w:rsidRPr="00083C38">
        <w:rPr>
          <w:lang w:val="es-ES"/>
        </w:rPr>
        <w:t>Pa</w:t>
      </w:r>
      <w:r>
        <w:rPr>
          <w:lang w:val="es-ES"/>
        </w:rPr>
        <w:t>r</w:t>
      </w:r>
      <w:r w:rsidRPr="00083C38">
        <w:rPr>
          <w:lang w:val="es-ES"/>
        </w:rPr>
        <w:t>ra 71</w:t>
      </w:r>
    </w:p>
  </w:footnote>
  <w:footnote w:id="69">
    <w:p w14:paraId="7928E0CA" w14:textId="77777777" w:rsidR="00E444D5" w:rsidRPr="00083C38" w:rsidRDefault="00E444D5" w:rsidP="00E444D5">
      <w:pPr>
        <w:pStyle w:val="FootnoteText"/>
        <w:rPr>
          <w:lang w:val="es-ES"/>
        </w:rPr>
      </w:pPr>
      <w:r>
        <w:rPr>
          <w:rStyle w:val="FootnoteReference"/>
        </w:rPr>
        <w:footnoteRef/>
      </w:r>
      <w:r w:rsidRPr="00083C38">
        <w:rPr>
          <w:lang w:val="es-ES"/>
        </w:rPr>
        <w:t xml:space="preserve"> </w:t>
      </w:r>
      <w:proofErr w:type="spellStart"/>
      <w:r>
        <w:rPr>
          <w:lang w:val="es-ES"/>
        </w:rPr>
        <w:t>Ibid</w:t>
      </w:r>
      <w:proofErr w:type="spellEnd"/>
    </w:p>
  </w:footnote>
  <w:footnote w:id="70">
    <w:p w14:paraId="3044A703" w14:textId="77777777" w:rsidR="00E444D5" w:rsidRPr="002D5344" w:rsidRDefault="00E444D5" w:rsidP="00E444D5">
      <w:pPr>
        <w:pStyle w:val="FootnoteText"/>
        <w:rPr>
          <w:lang w:val="es-ES"/>
        </w:rPr>
      </w:pPr>
      <w:r>
        <w:rPr>
          <w:rStyle w:val="FootnoteReference"/>
        </w:rPr>
        <w:footnoteRef/>
      </w:r>
      <w:r w:rsidRPr="002D5344">
        <w:rPr>
          <w:lang w:val="es-ES"/>
        </w:rPr>
        <w:t xml:space="preserve"> </w:t>
      </w:r>
      <w:r w:rsidR="009A60C0">
        <w:fldChar w:fldCharType="begin"/>
      </w:r>
      <w:r w:rsidR="009A60C0" w:rsidRPr="009A60C0">
        <w:rPr>
          <w:lang w:val="es-ES"/>
        </w:rPr>
        <w:instrText>HYPERLINK "http:/</w:instrText>
      </w:r>
      <w:r w:rsidR="009A60C0" w:rsidRPr="009A60C0">
        <w:rPr>
          <w:lang w:val="es-ES"/>
        </w:rPr>
        <w:instrText>/www.tsj.gob.ve/es/web/tsj/decisiones" \h</w:instrText>
      </w:r>
      <w:r w:rsidR="009A60C0">
        <w:fldChar w:fldCharType="separate"/>
      </w:r>
      <w:r w:rsidRPr="002D5344">
        <w:rPr>
          <w:rStyle w:val="Hyperlink"/>
          <w:lang w:val="es-ES"/>
        </w:rPr>
        <w:t>Decisiones - Tribunal Supremo de Justicia (tsj.gob.ve)</w:t>
      </w:r>
      <w:r w:rsidR="009A60C0">
        <w:rPr>
          <w:rStyle w:val="Hyperlink"/>
          <w:lang w:val="es-ES"/>
        </w:rPr>
        <w:fldChar w:fldCharType="end"/>
      </w:r>
      <w:r w:rsidRPr="002D5344">
        <w:rPr>
          <w:lang w:val="es-ES"/>
        </w:rPr>
        <w:t xml:space="preserve">  </w:t>
      </w:r>
    </w:p>
  </w:footnote>
  <w:footnote w:id="71">
    <w:p w14:paraId="54C7DADB" w14:textId="77777777" w:rsidR="00E444D5" w:rsidRPr="00083C38" w:rsidRDefault="00E444D5" w:rsidP="00E444D5">
      <w:pPr>
        <w:pStyle w:val="FootnoteText"/>
        <w:rPr>
          <w:rStyle w:val="Hyperlink"/>
          <w:lang w:val="es-ES"/>
        </w:rPr>
      </w:pPr>
      <w:r>
        <w:rPr>
          <w:rStyle w:val="FootnoteReference"/>
        </w:rPr>
        <w:footnoteRef/>
      </w:r>
      <w:r>
        <w:rPr>
          <w:lang w:val="es-ES"/>
        </w:rPr>
        <w:t xml:space="preserve"> vea</w:t>
      </w:r>
      <w:r w:rsidRPr="005D7154">
        <w:rPr>
          <w:lang w:val="es-ES"/>
        </w:rPr>
        <w:t xml:space="preserve"> Acceso a la Justicia, 13 </w:t>
      </w:r>
      <w:r>
        <w:rPr>
          <w:lang w:val="es-ES"/>
        </w:rPr>
        <w:t>noviembre</w:t>
      </w:r>
      <w:r w:rsidRPr="005D7154">
        <w:rPr>
          <w:lang w:val="es-ES"/>
        </w:rPr>
        <w:t xml:space="preserve"> 2023 </w:t>
      </w:r>
      <w:r w:rsidR="009A60C0">
        <w:fldChar w:fldCharType="begin"/>
      </w:r>
      <w:r w:rsidR="009A60C0" w:rsidRPr="009A60C0">
        <w:rPr>
          <w:lang w:val="es-ES"/>
        </w:rPr>
        <w:instrText>HYPERLINK "https://accesoalajusticia.org/suspension-de-las-elecciones-de-l</w:instrText>
      </w:r>
      <w:r w:rsidR="009A60C0" w:rsidRPr="009A60C0">
        <w:rPr>
          <w:lang w:val="es-ES"/>
        </w:rPr>
        <w:instrText>as-autoridades-de-la-universidad-de-carabobo/" \h</w:instrText>
      </w:r>
      <w:r w:rsidR="009A60C0">
        <w:fldChar w:fldCharType="separate"/>
      </w:r>
      <w:r w:rsidRPr="005D7154">
        <w:rPr>
          <w:rStyle w:val="Hyperlink"/>
          <w:lang w:val="es-ES"/>
        </w:rPr>
        <w:t>https://accesoalajusticia.org/suspension-de-las-elecciones-de-las-autoridades-de-la-universidad-de-carabobo/</w:t>
      </w:r>
      <w:r w:rsidR="009A60C0">
        <w:rPr>
          <w:rStyle w:val="Hyperlink"/>
          <w:lang w:val="es-ES"/>
        </w:rPr>
        <w:fldChar w:fldCharType="end"/>
      </w:r>
    </w:p>
    <w:p w14:paraId="1223E950" w14:textId="77777777" w:rsidR="00E444D5" w:rsidRPr="003E31B1" w:rsidRDefault="00E444D5" w:rsidP="00E444D5">
      <w:pPr>
        <w:pStyle w:val="FootnoteText"/>
        <w:rPr>
          <w:lang w:val="es-ES"/>
        </w:rPr>
      </w:pPr>
      <w:r w:rsidRPr="00AC7973">
        <w:rPr>
          <w:lang w:val="es-ES"/>
        </w:rPr>
        <w:t>Vea t</w:t>
      </w:r>
      <w:r>
        <w:rPr>
          <w:lang w:val="es-ES"/>
        </w:rPr>
        <w:t xml:space="preserve">ambién </w:t>
      </w:r>
      <w:r w:rsidR="009A60C0">
        <w:fldChar w:fldCharType="begin"/>
      </w:r>
      <w:r w:rsidR="009A60C0" w:rsidRPr="009A60C0">
        <w:rPr>
          <w:lang w:val="fr-CH"/>
        </w:rPr>
        <w:instrText>HYPERLINK "https://ceu.uc.edu.ve/wp-content/uploads/2023/07/GACETA-EXTRAORDINARIA-Nro.-700-ESTATUTO-TRANSITORIO-ELECTORAL-DE-LA-UNIVERSIDAD-DE-CARABOBO_compressed_compressed.pdf"</w:instrText>
      </w:r>
      <w:r w:rsidR="009A60C0">
        <w:fldChar w:fldCharType="separate"/>
      </w:r>
      <w:r w:rsidRPr="00261AF6">
        <w:rPr>
          <w:rStyle w:val="Hyperlink"/>
          <w:lang w:val="es-ES"/>
        </w:rPr>
        <w:t>https://ceu.uc.edu.ve/wp-content/uploads/2023/07/GACETA-EXTRAORDINARIA-Nro.-700-ESTATUTO-TRANSITORIO-ELECTORAL-DE-LA-UNIVERSIDAD-DE-CARABOBO_compressed_compressed.pdf</w:t>
      </w:r>
      <w:r w:rsidR="009A60C0">
        <w:rPr>
          <w:rStyle w:val="Hyperlink"/>
          <w:lang w:val="es-ES"/>
        </w:rPr>
        <w:fldChar w:fldCharType="end"/>
      </w:r>
      <w:r w:rsidRPr="003E31B1">
        <w:rPr>
          <w:lang w:val="es-ES"/>
        </w:rPr>
        <w:t xml:space="preserve"> </w:t>
      </w:r>
    </w:p>
  </w:footnote>
  <w:footnote w:id="72">
    <w:p w14:paraId="06BA6F2B" w14:textId="77777777" w:rsidR="00E444D5" w:rsidRPr="00083C38" w:rsidRDefault="00E444D5" w:rsidP="00E444D5">
      <w:pPr>
        <w:pStyle w:val="FootnoteText"/>
        <w:rPr>
          <w:lang w:val="es-ES"/>
        </w:rPr>
      </w:pPr>
      <w:r>
        <w:rPr>
          <w:rStyle w:val="FootnoteReference"/>
        </w:rPr>
        <w:footnoteRef/>
      </w:r>
      <w:r w:rsidRPr="00083C38">
        <w:rPr>
          <w:lang w:val="es-ES"/>
        </w:rPr>
        <w:t xml:space="preserve"> Aula Abierta 28 </w:t>
      </w:r>
      <w:r>
        <w:rPr>
          <w:lang w:val="es-ES"/>
        </w:rPr>
        <w:t>noviembre</w:t>
      </w:r>
      <w:r w:rsidRPr="00083C38">
        <w:rPr>
          <w:lang w:val="es-ES"/>
        </w:rPr>
        <w:t xml:space="preserve"> 2023 </w:t>
      </w:r>
      <w:r w:rsidR="009A60C0">
        <w:fldChar w:fldCharType="begin"/>
      </w:r>
      <w:r w:rsidR="009A60C0" w:rsidRPr="009A60C0">
        <w:rPr>
          <w:lang w:val="fr-CH"/>
        </w:rPr>
        <w:instrText>HYPERLINK "https://aulaabiertavenezuela.org/index.php/2023/11/28/estudiantes-quieren-votar-par</w:instrText>
      </w:r>
      <w:r w:rsidR="009A60C0" w:rsidRPr="009A60C0">
        <w:rPr>
          <w:lang w:val="fr-CH"/>
        </w:rPr>
        <w:instrText>a-renovar-autoridades-y-federaciones-universitarias-en-venezuela/" \h</w:instrText>
      </w:r>
      <w:r w:rsidR="009A60C0">
        <w:fldChar w:fldCharType="separate"/>
      </w:r>
      <w:r w:rsidRPr="00083C38">
        <w:rPr>
          <w:rStyle w:val="Hyperlink"/>
          <w:lang w:val="es-ES"/>
        </w:rPr>
        <w:t>https://aulaabiertavenezuela.org/index.php/2023/11/28/estudiantes-quieren-votar-para-renovar-autoridades-y-federaciones-universitarias-en-venezuela/</w:t>
      </w:r>
      <w:r w:rsidR="009A60C0">
        <w:rPr>
          <w:rStyle w:val="Hyperlink"/>
          <w:lang w:val="es-ES"/>
        </w:rPr>
        <w:fldChar w:fldCharType="end"/>
      </w:r>
      <w:r w:rsidRPr="00083C38">
        <w:rPr>
          <w:rStyle w:val="Hyperlink"/>
          <w:lang w:val="es-ES"/>
        </w:rPr>
        <w:t xml:space="preserve"> </w:t>
      </w:r>
    </w:p>
  </w:footnote>
  <w:footnote w:id="73">
    <w:p w14:paraId="39477493"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hyperlink r:id="rId28" w:history="1">
        <w:r w:rsidRPr="003E31B1">
          <w:rPr>
            <w:rStyle w:val="Hyperlink"/>
            <w:lang w:val="es-419"/>
          </w:rPr>
          <w:t>A/HRC/41/18</w:t>
        </w:r>
      </w:hyperlink>
      <w:r w:rsidRPr="003E31B1">
        <w:rPr>
          <w:rStyle w:val="Hyperlink"/>
          <w:lang w:val="es-419"/>
        </w:rPr>
        <w:t xml:space="preserve"> Recomendación g</w:t>
      </w:r>
    </w:p>
  </w:footnote>
  <w:footnote w:id="74">
    <w:p w14:paraId="05500ED6"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r>
        <w:rPr>
          <w:lang w:val="es-419"/>
        </w:rPr>
        <w:t xml:space="preserve">Vea </w:t>
      </w:r>
      <w:hyperlink r:id="rId29" w:history="1">
        <w:r w:rsidRPr="003C2932">
          <w:rPr>
            <w:rStyle w:val="Hyperlink"/>
            <w:lang w:val="es-419"/>
          </w:rPr>
          <w:t>https://ipysvenezuela.org/alertas/</w:t>
        </w:r>
      </w:hyperlink>
    </w:p>
  </w:footnote>
  <w:footnote w:id="75">
    <w:p w14:paraId="6B55DCA4" w14:textId="77777777" w:rsidR="00E444D5" w:rsidRPr="00AC7973" w:rsidRDefault="00E444D5" w:rsidP="00E444D5">
      <w:pPr>
        <w:pStyle w:val="FootnoteText"/>
        <w:rPr>
          <w:lang w:val="es-ES"/>
        </w:rPr>
      </w:pPr>
      <w:r>
        <w:rPr>
          <w:rStyle w:val="FootnoteReference"/>
        </w:rPr>
        <w:footnoteRef/>
      </w:r>
      <w:r w:rsidRPr="00AC7973">
        <w:rPr>
          <w:lang w:val="es-ES"/>
        </w:rPr>
        <w:t xml:space="preserve"> </w:t>
      </w:r>
      <w:r w:rsidR="009A60C0">
        <w:fldChar w:fldCharType="begin"/>
      </w:r>
      <w:r w:rsidR="009A60C0" w:rsidRPr="009A60C0">
        <w:rPr>
          <w:lang w:val="fr-CH"/>
        </w:rPr>
        <w:instrText>HYPERLINK "https://www.ohchr.org/es/instruments-mechanisms/instruments/international-covenant-civil-and-political-rights"</w:instrText>
      </w:r>
      <w:r w:rsidR="009A60C0">
        <w:fldChar w:fldCharType="separate"/>
      </w:r>
      <w:r w:rsidRPr="00AC7973">
        <w:rPr>
          <w:rStyle w:val="Hyperlink"/>
          <w:lang w:val="es-ES"/>
        </w:rPr>
        <w:t xml:space="preserve">Pacto </w:t>
      </w:r>
      <w:r>
        <w:rPr>
          <w:rStyle w:val="Hyperlink"/>
          <w:lang w:val="es-ES"/>
        </w:rPr>
        <w:t>i</w:t>
      </w:r>
      <w:r w:rsidRPr="00AC7973">
        <w:rPr>
          <w:rStyle w:val="Hyperlink"/>
          <w:lang w:val="es-ES"/>
        </w:rPr>
        <w:t xml:space="preserve">nternacional </w:t>
      </w:r>
      <w:r w:rsidRPr="002A0D88">
        <w:rPr>
          <w:rStyle w:val="Hyperlink"/>
          <w:lang w:val="es-ES"/>
        </w:rPr>
        <w:t>de derechos civiles y políticos (ICCPR</w:t>
      </w:r>
      <w:r w:rsidR="009A60C0">
        <w:rPr>
          <w:rStyle w:val="Hyperlink"/>
          <w:lang w:val="es-ES"/>
        </w:rPr>
        <w:fldChar w:fldCharType="end"/>
      </w:r>
      <w:r>
        <w:rPr>
          <w:lang w:val="es-ES"/>
        </w:rPr>
        <w:t>)</w:t>
      </w:r>
      <w:r w:rsidRPr="00AC7973">
        <w:rPr>
          <w:lang w:val="es-ES"/>
        </w:rPr>
        <w:t xml:space="preserve"> art.19(3). </w:t>
      </w:r>
    </w:p>
  </w:footnote>
  <w:footnote w:id="76">
    <w:p w14:paraId="57FE628F" w14:textId="77777777" w:rsidR="00E444D5" w:rsidRPr="00BF5572" w:rsidRDefault="00E444D5" w:rsidP="00E444D5">
      <w:pPr>
        <w:pStyle w:val="FootnoteText"/>
        <w:rPr>
          <w:lang w:val="pt-BR"/>
        </w:rPr>
      </w:pPr>
      <w:r>
        <w:rPr>
          <w:rStyle w:val="FootnoteReference"/>
        </w:rPr>
        <w:footnoteRef/>
      </w:r>
      <w:r w:rsidRPr="00BF5572">
        <w:rPr>
          <w:lang w:val="pt-BR"/>
        </w:rPr>
        <w:t xml:space="preserve"> </w:t>
      </w:r>
      <w:hyperlink r:id="rId30" w:history="1">
        <w:r w:rsidRPr="00BF5572">
          <w:rPr>
            <w:rStyle w:val="Hyperlink"/>
            <w:lang w:val="pt-BR"/>
          </w:rPr>
          <w:t>A/HRC/50/59</w:t>
        </w:r>
      </w:hyperlink>
      <w:r w:rsidRPr="00BF5572">
        <w:rPr>
          <w:lang w:val="pt-BR"/>
        </w:rPr>
        <w:t xml:space="preserve"> </w:t>
      </w:r>
      <w:r w:rsidRPr="00BF5572">
        <w:rPr>
          <w:lang w:val="pt-BR"/>
        </w:rPr>
        <w:t xml:space="preserve">Parra 62; </w:t>
      </w:r>
      <w:r>
        <w:fldChar w:fldCharType="begin"/>
      </w:r>
      <w:r w:rsidRPr="003467F3">
        <w:rPr>
          <w:lang w:val="pt-BR"/>
        </w:rPr>
        <w:instrText>HYPERLINK "https://www.ohchr.org/en/documents/country-reports/ahrc5354-situation-human-rights-bolivarian-republic-venezuela-report"</w:instrText>
      </w:r>
      <w:r>
        <w:fldChar w:fldCharType="separate"/>
      </w:r>
      <w:r w:rsidRPr="00BF5572">
        <w:rPr>
          <w:rStyle w:val="Hyperlink"/>
          <w:lang w:val="pt-BR"/>
        </w:rPr>
        <w:t>A/HRC/53/54</w:t>
      </w:r>
      <w:r>
        <w:rPr>
          <w:rStyle w:val="Hyperlink"/>
          <w:lang w:val="pt-BR"/>
        </w:rPr>
        <w:fldChar w:fldCharType="end"/>
      </w:r>
      <w:r w:rsidRPr="00BF5572">
        <w:rPr>
          <w:lang w:val="pt-BR"/>
        </w:rPr>
        <w:t>Parra 66</w:t>
      </w:r>
    </w:p>
  </w:footnote>
  <w:footnote w:id="77">
    <w:p w14:paraId="5517DFD7" w14:textId="77777777" w:rsidR="00E444D5" w:rsidRPr="00083C38" w:rsidRDefault="00E444D5" w:rsidP="00E444D5">
      <w:pPr>
        <w:pStyle w:val="FootnoteText"/>
        <w:rPr>
          <w:lang w:val="es-ES"/>
        </w:rPr>
      </w:pPr>
      <w:r>
        <w:rPr>
          <w:rStyle w:val="FootnoteReference"/>
        </w:rPr>
        <w:footnoteRef/>
      </w:r>
      <w:r w:rsidRPr="00083C38">
        <w:rPr>
          <w:lang w:val="es-ES"/>
        </w:rPr>
        <w:t xml:space="preserve"> ICCPR </w:t>
      </w:r>
      <w:r>
        <w:rPr>
          <w:lang w:val="es-ES"/>
        </w:rPr>
        <w:t>comentario general</w:t>
      </w:r>
      <w:r w:rsidRPr="00083C38">
        <w:rPr>
          <w:lang w:val="es-ES"/>
        </w:rPr>
        <w:t xml:space="preserve"> No. 34 (2011); </w:t>
      </w:r>
      <w:hyperlink r:id="rId31" w:history="1">
        <w:r w:rsidRPr="00083C38">
          <w:rPr>
            <w:rStyle w:val="Hyperlink"/>
            <w:lang w:val="es-ES"/>
          </w:rPr>
          <w:t>A/HRC/41/18</w:t>
        </w:r>
      </w:hyperlink>
      <w:r w:rsidRPr="00083C38">
        <w:rPr>
          <w:szCs w:val="22"/>
          <w:lang w:val="es-ES"/>
        </w:rPr>
        <w:t xml:space="preserve"> </w:t>
      </w:r>
      <w:r>
        <w:rPr>
          <w:szCs w:val="22"/>
          <w:lang w:val="es-ES"/>
        </w:rPr>
        <w:t>Recomendación</w:t>
      </w:r>
      <w:r w:rsidRPr="00083C38">
        <w:rPr>
          <w:szCs w:val="22"/>
          <w:lang w:val="es-ES"/>
        </w:rPr>
        <w:t xml:space="preserve"> c).</w:t>
      </w:r>
    </w:p>
  </w:footnote>
  <w:footnote w:id="78">
    <w:p w14:paraId="0FF3176C"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sidR="009A60C0">
        <w:fldChar w:fldCharType="begin"/>
      </w:r>
      <w:r w:rsidR="009A60C0" w:rsidRPr="009A60C0">
        <w:rPr>
          <w:lang w:val="es-ES"/>
        </w:rPr>
        <w:instrText>HYPERLINK "https://www.ohchr.org/en/documents/country-reports/ahrc5354-situation-human-rights-bolivarian-republic-venezuela-report"</w:instrText>
      </w:r>
      <w:r w:rsidR="009A60C0">
        <w:fldChar w:fldCharType="separate"/>
      </w:r>
      <w:r w:rsidRPr="00AC7973">
        <w:rPr>
          <w:rStyle w:val="Hyperlink"/>
          <w:lang w:val="es-ES"/>
        </w:rPr>
        <w:t>A/HRC/53/54</w:t>
      </w:r>
      <w:r w:rsidR="009A60C0">
        <w:rPr>
          <w:rStyle w:val="Hyperlink"/>
          <w:lang w:val="es-ES"/>
        </w:rPr>
        <w:fldChar w:fldCharType="end"/>
      </w:r>
      <w:r w:rsidRPr="00083C38">
        <w:rPr>
          <w:lang w:val="es-ES"/>
        </w:rPr>
        <w:t>Par</w:t>
      </w:r>
      <w:r>
        <w:rPr>
          <w:lang w:val="es-ES"/>
        </w:rPr>
        <w:t>r</w:t>
      </w:r>
      <w:r w:rsidRPr="00083C38">
        <w:rPr>
          <w:lang w:val="es-ES"/>
        </w:rPr>
        <w:t xml:space="preserve">a 65 </w:t>
      </w:r>
      <w:r>
        <w:rPr>
          <w:lang w:val="es-ES"/>
        </w:rPr>
        <w:t>Recomendación</w:t>
      </w:r>
      <w:r w:rsidRPr="00083C38">
        <w:rPr>
          <w:lang w:val="es-ES"/>
        </w:rPr>
        <w:t xml:space="preserve"> k</w:t>
      </w:r>
    </w:p>
  </w:footnote>
  <w:footnote w:id="79">
    <w:p w14:paraId="7BD63551" w14:textId="77777777" w:rsidR="00E444D5" w:rsidRPr="00083C38" w:rsidRDefault="00E444D5" w:rsidP="00E444D5">
      <w:pPr>
        <w:pStyle w:val="FootnoteText"/>
        <w:rPr>
          <w:lang w:val="es-ES"/>
        </w:rPr>
      </w:pPr>
      <w:r>
        <w:rPr>
          <w:rStyle w:val="FootnoteReference"/>
        </w:rPr>
        <w:footnoteRef/>
      </w:r>
      <w:r w:rsidRPr="00083C38">
        <w:rPr>
          <w:lang w:val="es-ES"/>
        </w:rPr>
        <w:t xml:space="preserve"> </w:t>
      </w:r>
      <w:r w:rsidR="009A60C0">
        <w:fldChar w:fldCharType="begin"/>
      </w:r>
      <w:r w:rsidR="009A60C0" w:rsidRPr="009A60C0">
        <w:rPr>
          <w:lang w:val="es-ES"/>
        </w:rPr>
        <w:instrText>HYPERLINK "https://www.ohchr.org/en/documents/country-reports/ahrc4755-situation-human-rights-bolivarian-republic-venezuela-report"</w:instrText>
      </w:r>
      <w:r w:rsidR="009A60C0">
        <w:fldChar w:fldCharType="separate"/>
      </w:r>
      <w:r w:rsidRPr="00D677C4">
        <w:rPr>
          <w:rStyle w:val="Hyperlink"/>
          <w:lang w:val="es-ES"/>
        </w:rPr>
        <w:t>A/HRC/47/55</w:t>
      </w:r>
      <w:r w:rsidR="009A60C0">
        <w:rPr>
          <w:rStyle w:val="Hyperlink"/>
          <w:lang w:val="es-ES"/>
        </w:rPr>
        <w:fldChar w:fldCharType="end"/>
      </w:r>
      <w:r w:rsidRPr="00083C38">
        <w:rPr>
          <w:lang w:val="es-ES"/>
        </w:rPr>
        <w:t xml:space="preserve"> Par</w:t>
      </w:r>
      <w:r>
        <w:rPr>
          <w:lang w:val="es-ES"/>
        </w:rPr>
        <w:t>r</w:t>
      </w:r>
      <w:r w:rsidRPr="00083C38">
        <w:rPr>
          <w:lang w:val="es-ES"/>
        </w:rPr>
        <w:t>a 61</w:t>
      </w:r>
    </w:p>
  </w:footnote>
  <w:footnote w:id="80">
    <w:p w14:paraId="63C84F46" w14:textId="77777777" w:rsidR="00E444D5" w:rsidRPr="00083C38" w:rsidRDefault="00E444D5" w:rsidP="00E444D5">
      <w:pPr>
        <w:pStyle w:val="FootnoteText"/>
        <w:rPr>
          <w:lang w:val="es-ES"/>
        </w:rPr>
      </w:pPr>
      <w:r>
        <w:rPr>
          <w:rStyle w:val="FootnoteReference"/>
        </w:rPr>
        <w:footnoteRef/>
      </w:r>
      <w:r w:rsidRPr="00083C38">
        <w:rPr>
          <w:lang w:val="es-ES"/>
        </w:rPr>
        <w:t xml:space="preserve"> </w:t>
      </w:r>
      <w:proofErr w:type="spellStart"/>
      <w:r w:rsidRPr="00083C38">
        <w:rPr>
          <w:lang w:val="es-ES"/>
        </w:rPr>
        <w:t>Ibid</w:t>
      </w:r>
      <w:proofErr w:type="spellEnd"/>
      <w:r w:rsidRPr="00083C38">
        <w:rPr>
          <w:lang w:val="es-ES"/>
        </w:rPr>
        <w:t xml:space="preserve"> Par</w:t>
      </w:r>
      <w:r>
        <w:rPr>
          <w:lang w:val="es-ES"/>
        </w:rPr>
        <w:t>r</w:t>
      </w:r>
      <w:r w:rsidRPr="00083C38">
        <w:rPr>
          <w:lang w:val="es-ES"/>
        </w:rPr>
        <w:t>a 68</w:t>
      </w:r>
    </w:p>
  </w:footnote>
  <w:footnote w:id="81">
    <w:p w14:paraId="16960B2C" w14:textId="77777777" w:rsidR="00E444D5" w:rsidRPr="00886147" w:rsidRDefault="00E444D5" w:rsidP="00E444D5">
      <w:pPr>
        <w:pStyle w:val="FootnoteText"/>
        <w:rPr>
          <w:lang w:val="es-ES"/>
        </w:rPr>
      </w:pPr>
      <w:r>
        <w:rPr>
          <w:rStyle w:val="FootnoteReference"/>
        </w:rPr>
        <w:footnoteRef/>
      </w:r>
      <w:r w:rsidRPr="00886147">
        <w:rPr>
          <w:lang w:val="es-ES"/>
        </w:rPr>
        <w:t xml:space="preserve"> </w:t>
      </w:r>
      <w:r w:rsidR="009A60C0">
        <w:fldChar w:fldCharType="begin"/>
      </w:r>
      <w:r w:rsidR="009A60C0" w:rsidRPr="009A60C0">
        <w:rPr>
          <w:lang w:val="es-ES"/>
        </w:rPr>
        <w:instrText>HYPERLINK "https://www.asambleanacional.gob.ve/noticias/an-inicia-consulta-publica-de-ley-que-regula-las-ong"</w:instrText>
      </w:r>
      <w:r w:rsidR="009A60C0">
        <w:fldChar w:fldCharType="separate"/>
      </w:r>
      <w:r w:rsidRPr="00886147">
        <w:rPr>
          <w:rStyle w:val="Hyperlink"/>
          <w:lang w:val="es-ES"/>
        </w:rPr>
        <w:t>https://www.asambleanacional.gob.ve/noticias/an-inicia-consulta-publica-de-ley-que-regula-las-ong</w:t>
      </w:r>
      <w:r w:rsidR="009A60C0">
        <w:rPr>
          <w:rStyle w:val="Hyperlink"/>
          <w:lang w:val="es-ES"/>
        </w:rPr>
        <w:fldChar w:fldCharType="end"/>
      </w:r>
    </w:p>
  </w:footnote>
  <w:footnote w:id="82">
    <w:p w14:paraId="15374930" w14:textId="77777777" w:rsidR="00E444D5" w:rsidRPr="001B1615" w:rsidRDefault="00E444D5" w:rsidP="00E444D5">
      <w:pPr>
        <w:pStyle w:val="FootnoteText"/>
        <w:rPr>
          <w:lang w:val="es-ES"/>
        </w:rPr>
      </w:pPr>
      <w:r>
        <w:rPr>
          <w:rStyle w:val="FootnoteReference"/>
        </w:rPr>
        <w:footnoteRef/>
      </w:r>
      <w:r w:rsidRPr="001B1615">
        <w:rPr>
          <w:lang w:val="es-ES"/>
        </w:rPr>
        <w:t xml:space="preserve"> </w:t>
      </w:r>
      <w:r w:rsidR="009A60C0">
        <w:fldChar w:fldCharType="begin"/>
      </w:r>
      <w:r w:rsidR="009A60C0" w:rsidRPr="009A60C0">
        <w:rPr>
          <w:lang w:val="es-ES"/>
        </w:rPr>
        <w:instrText>HYPERLINK "https://www.asambleanacional.gob.ve/noticias/comision-de-politica-interior-culmina-informe-para-segunda-dis</w:instrText>
      </w:r>
      <w:r w:rsidR="009A60C0" w:rsidRPr="009A60C0">
        <w:rPr>
          <w:lang w:val="es-ES"/>
        </w:rPr>
        <w:instrText>cusion-de-ley-sobre-on"</w:instrText>
      </w:r>
      <w:r w:rsidR="009A60C0">
        <w:fldChar w:fldCharType="separate"/>
      </w:r>
      <w:r w:rsidRPr="00BC0BDC">
        <w:rPr>
          <w:rStyle w:val="Hyperlink"/>
          <w:lang w:val="es-ES"/>
        </w:rPr>
        <w:t>https://www.asambleanacional.gob.ve/noticias/comision-de-politica-interior-culmina-informe-para-segunda-discusion-de-ley-sobre-on</w:t>
      </w:r>
      <w:r w:rsidR="009A60C0">
        <w:rPr>
          <w:rStyle w:val="Hyperlink"/>
          <w:lang w:val="es-ES"/>
        </w:rPr>
        <w:fldChar w:fldCharType="end"/>
      </w:r>
      <w:r>
        <w:rPr>
          <w:lang w:val="es-ES"/>
        </w:rPr>
        <w:t xml:space="preserve"> </w:t>
      </w:r>
    </w:p>
  </w:footnote>
  <w:footnote w:id="83">
    <w:p w14:paraId="04FF84BE" w14:textId="77777777" w:rsidR="00E444D5" w:rsidRPr="008741D7" w:rsidRDefault="00E444D5" w:rsidP="00E444D5">
      <w:pPr>
        <w:pStyle w:val="FootnoteText"/>
        <w:rPr>
          <w:lang w:val="en-US"/>
        </w:rPr>
      </w:pPr>
      <w:r>
        <w:rPr>
          <w:rStyle w:val="FootnoteReference"/>
        </w:rPr>
        <w:footnoteRef/>
      </w:r>
      <w:r>
        <w:t xml:space="preserve"> </w:t>
      </w:r>
      <w:hyperlink r:id="rId32" w:history="1">
        <w:r w:rsidRPr="00AC7973">
          <w:rPr>
            <w:rStyle w:val="Hyperlink"/>
            <w:lang w:val="en-US"/>
          </w:rPr>
          <w:t>A/HRC/53/54</w:t>
        </w:r>
      </w:hyperlink>
      <w:r w:rsidRPr="00C35B44">
        <w:rPr>
          <w:lang w:val="en-US"/>
        </w:rPr>
        <w:t>Par</w:t>
      </w:r>
      <w:r>
        <w:rPr>
          <w:lang w:val="en-US"/>
        </w:rPr>
        <w:t>r</w:t>
      </w:r>
      <w:r w:rsidRPr="00C35B44">
        <w:rPr>
          <w:lang w:val="en-US"/>
        </w:rPr>
        <w:t>a 69</w:t>
      </w:r>
    </w:p>
  </w:footnote>
  <w:footnote w:id="84">
    <w:p w14:paraId="59941961" w14:textId="77777777" w:rsidR="00E444D5" w:rsidRPr="003D1895" w:rsidRDefault="00E444D5" w:rsidP="00E444D5">
      <w:pPr>
        <w:pStyle w:val="FootnoteText"/>
        <w:rPr>
          <w:lang w:val="en-US"/>
        </w:rPr>
      </w:pPr>
      <w:r>
        <w:rPr>
          <w:rStyle w:val="FootnoteReference"/>
        </w:rPr>
        <w:footnoteRef/>
      </w:r>
      <w:r>
        <w:t xml:space="preserve"> </w:t>
      </w:r>
      <w:r>
        <w:rPr>
          <w:lang w:val="en-US"/>
        </w:rPr>
        <w:t>Ibid</w:t>
      </w:r>
    </w:p>
  </w:footnote>
  <w:footnote w:id="85">
    <w:p w14:paraId="219E8C76" w14:textId="77777777" w:rsidR="00E444D5" w:rsidRPr="00D976B2" w:rsidRDefault="00E444D5" w:rsidP="00E444D5">
      <w:pPr>
        <w:pStyle w:val="FootnoteText"/>
        <w:rPr>
          <w:lang w:val="en-US"/>
        </w:rPr>
      </w:pPr>
      <w:r>
        <w:rPr>
          <w:rStyle w:val="FootnoteReference"/>
        </w:rPr>
        <w:footnoteRef/>
      </w:r>
      <w:r>
        <w:t xml:space="preserve"> </w:t>
      </w:r>
      <w:hyperlink r:id="rId33" w:history="1">
        <w:r>
          <w:rPr>
            <w:rStyle w:val="Hyperlink"/>
          </w:rPr>
          <w:t>Delivering Better – Office of the Prosecutor Annual Report 2023 (icc-cpi.int)</w:t>
        </w:r>
      </w:hyperlink>
      <w:r>
        <w:rPr>
          <w:rStyle w:val="Hyperlink"/>
        </w:rPr>
        <w:t xml:space="preserve">  (</w:t>
      </w:r>
      <w:proofErr w:type="spellStart"/>
      <w:r>
        <w:rPr>
          <w:rStyle w:val="Hyperlink"/>
        </w:rPr>
        <w:t>en</w:t>
      </w:r>
      <w:proofErr w:type="spellEnd"/>
      <w:r>
        <w:rPr>
          <w:rStyle w:val="Hyperlink"/>
        </w:rPr>
        <w:t xml:space="preserve"> ingles)</w:t>
      </w:r>
    </w:p>
  </w:footnote>
  <w:footnote w:id="86">
    <w:p w14:paraId="5A7F45C2" w14:textId="77777777" w:rsidR="00E444D5" w:rsidRPr="00C67C27" w:rsidRDefault="00E444D5" w:rsidP="00E444D5">
      <w:pPr>
        <w:pStyle w:val="FootnoteText"/>
        <w:rPr>
          <w:lang w:val="en-US"/>
        </w:rPr>
      </w:pPr>
      <w:r>
        <w:rPr>
          <w:rStyle w:val="FootnoteReference"/>
        </w:rPr>
        <w:footnoteRef/>
      </w:r>
      <w:r>
        <w:t xml:space="preserve"> </w:t>
      </w:r>
      <w:hyperlink r:id="rId34" w:history="1">
        <w:r w:rsidRPr="008A5AF9">
          <w:rPr>
            <w:rStyle w:val="Hyperlink"/>
          </w:rPr>
          <w:t>https://www.mppsp.gob.ve/index.php/institucional/1987</w:t>
        </w:r>
      </w:hyperlink>
    </w:p>
  </w:footnote>
  <w:footnote w:id="87">
    <w:p w14:paraId="5FA41AD6" w14:textId="77777777" w:rsidR="00E444D5" w:rsidRPr="00BF5572" w:rsidRDefault="00E444D5" w:rsidP="00E444D5">
      <w:pPr>
        <w:pStyle w:val="FootnoteText"/>
        <w:rPr>
          <w:lang w:val="en-US"/>
        </w:rPr>
      </w:pPr>
      <w:r>
        <w:rPr>
          <w:rStyle w:val="FootnoteReference"/>
        </w:rPr>
        <w:footnoteRef/>
      </w:r>
      <w:r w:rsidRPr="00BF5572">
        <w:rPr>
          <w:lang w:val="en-US"/>
        </w:rPr>
        <w:t xml:space="preserve"> </w:t>
      </w:r>
      <w:hyperlink r:id="rId35" w:history="1">
        <w:r w:rsidRPr="00BF5572">
          <w:rPr>
            <w:rStyle w:val="Hyperlink"/>
            <w:lang w:val="en-US"/>
          </w:rPr>
          <w:t>CCPR/C/114/D/2038/2011</w:t>
        </w:r>
      </w:hyperlink>
      <w:r w:rsidRPr="001A0E96">
        <w:rPr>
          <w:lang w:val="en-US"/>
        </w:rPr>
        <w:t>; para</w:t>
      </w:r>
      <w:r w:rsidRPr="00BF5572">
        <w:rPr>
          <w:lang w:val="en-US"/>
        </w:rPr>
        <w:t xml:space="preserve">. 10.9; </w:t>
      </w:r>
      <w:hyperlink r:id="rId36" w:history="1">
        <w:r w:rsidRPr="00BF5572">
          <w:rPr>
            <w:rStyle w:val="Hyperlink"/>
            <w:lang w:val="en-US"/>
          </w:rPr>
          <w:t>A/HRC/51/31/Add.3</w:t>
        </w:r>
      </w:hyperlink>
      <w:r w:rsidRPr="00BF5572">
        <w:rPr>
          <w:lang w:val="en-US"/>
        </w:rPr>
        <w:t>, para. 36.</w:t>
      </w:r>
    </w:p>
  </w:footnote>
  <w:footnote w:id="88">
    <w:p w14:paraId="35A66B25" w14:textId="77777777" w:rsidR="00E444D5" w:rsidRPr="001A0E96" w:rsidRDefault="00E444D5" w:rsidP="00E444D5">
      <w:pPr>
        <w:pStyle w:val="FootnoteText"/>
        <w:rPr>
          <w:lang w:val="en-US"/>
        </w:rPr>
      </w:pPr>
      <w:r>
        <w:rPr>
          <w:rStyle w:val="FootnoteReference"/>
        </w:rPr>
        <w:footnoteRef/>
      </w:r>
      <w:r w:rsidRPr="001A0E96">
        <w:rPr>
          <w:lang w:val="en-US"/>
        </w:rPr>
        <w:t xml:space="preserve"> </w:t>
      </w:r>
      <w:hyperlink r:id="rId37" w:history="1">
        <w:r w:rsidRPr="001A0E96">
          <w:rPr>
            <w:rStyle w:val="Hyperlink"/>
            <w:lang w:val="en-US"/>
          </w:rPr>
          <w:t>A/HRC/51/31/Add.3</w:t>
        </w:r>
      </w:hyperlink>
    </w:p>
  </w:footnote>
  <w:footnote w:id="89">
    <w:p w14:paraId="4C693764" w14:textId="77777777" w:rsidR="00E444D5" w:rsidRPr="001A0E96" w:rsidRDefault="00E444D5" w:rsidP="00E444D5">
      <w:pPr>
        <w:pStyle w:val="FootnoteText"/>
        <w:rPr>
          <w:lang w:val="en-US"/>
        </w:rPr>
      </w:pPr>
      <w:r>
        <w:rPr>
          <w:rStyle w:val="FootnoteReference"/>
        </w:rPr>
        <w:footnoteRef/>
      </w:r>
      <w:r w:rsidRPr="001A0E96">
        <w:rPr>
          <w:lang w:val="en-US"/>
        </w:rPr>
        <w:t xml:space="preserve"> </w:t>
      </w:r>
      <w:hyperlink r:id="rId38" w:history="1">
        <w:r w:rsidRPr="001A0E96">
          <w:rPr>
            <w:rStyle w:val="Hyperlink"/>
            <w:lang w:val="en-US"/>
          </w:rPr>
          <w:t>A/HRC/53/54</w:t>
        </w:r>
      </w:hyperlink>
      <w:r w:rsidRPr="001A0E96">
        <w:rPr>
          <w:lang w:val="en-US"/>
        </w:rPr>
        <w:t>Parra 38</w:t>
      </w:r>
    </w:p>
  </w:footnote>
  <w:footnote w:id="90">
    <w:p w14:paraId="7B7EE612" w14:textId="77777777" w:rsidR="00E444D5" w:rsidRPr="001A0E96" w:rsidRDefault="00E444D5" w:rsidP="00E444D5">
      <w:pPr>
        <w:pStyle w:val="FootnoteText"/>
        <w:rPr>
          <w:lang w:val="en-US"/>
        </w:rPr>
      </w:pPr>
      <w:r>
        <w:rPr>
          <w:rStyle w:val="FootnoteReference"/>
        </w:rPr>
        <w:footnoteRef/>
      </w:r>
      <w:r w:rsidRPr="001A0E96">
        <w:rPr>
          <w:lang w:val="en-US"/>
        </w:rPr>
        <w:t xml:space="preserve"> </w:t>
      </w:r>
      <w:hyperlink r:id="rId39" w:history="1">
        <w:r w:rsidRPr="001A0E96">
          <w:rPr>
            <w:rStyle w:val="Hyperlink"/>
            <w:lang w:val="en-US"/>
          </w:rPr>
          <w:t>unaventanaalalibertad.org/wp-content/uploads/2024/02/UVL.-Informe-anual-2023-final.pdf</w:t>
        </w:r>
      </w:hyperlink>
      <w:r w:rsidRPr="001A0E96">
        <w:rPr>
          <w:rStyle w:val="Hyperlink"/>
          <w:lang w:val="en-US"/>
        </w:rPr>
        <w:t xml:space="preserve"> </w:t>
      </w:r>
    </w:p>
  </w:footnote>
  <w:footnote w:id="91">
    <w:p w14:paraId="4E4D2C36" w14:textId="77777777" w:rsidR="00E444D5" w:rsidRPr="001A0E96" w:rsidRDefault="00E444D5" w:rsidP="00E444D5">
      <w:pPr>
        <w:pStyle w:val="FootnoteText"/>
        <w:rPr>
          <w:lang w:val="en-US"/>
        </w:rPr>
      </w:pPr>
      <w:r>
        <w:rPr>
          <w:rStyle w:val="FootnoteReference"/>
        </w:rPr>
        <w:footnoteRef/>
      </w:r>
      <w:r w:rsidRPr="001A0E96">
        <w:rPr>
          <w:lang w:val="en-US"/>
        </w:rPr>
        <w:t xml:space="preserve"> </w:t>
      </w:r>
      <w:hyperlink r:id="rId40" w:history="1">
        <w:r w:rsidRPr="001A0E96">
          <w:rPr>
            <w:rStyle w:val="Hyperlink"/>
            <w:lang w:val="en-US"/>
          </w:rPr>
          <w:t>http://www.tsj.gob.ve/-/poder-judicial-promueve-plan-del-impulso-procesal-2024</w:t>
        </w:r>
      </w:hyperlink>
    </w:p>
  </w:footnote>
  <w:footnote w:id="92">
    <w:p w14:paraId="01A5EE36" w14:textId="77777777" w:rsidR="00E444D5" w:rsidRPr="001A0E96" w:rsidRDefault="00E444D5" w:rsidP="00E444D5">
      <w:pPr>
        <w:pStyle w:val="FootnoteText"/>
        <w:rPr>
          <w:lang w:val="en-US"/>
        </w:rPr>
      </w:pPr>
      <w:r>
        <w:rPr>
          <w:rStyle w:val="FootnoteReference"/>
        </w:rPr>
        <w:footnoteRef/>
      </w:r>
      <w:r w:rsidRPr="001A0E96">
        <w:rPr>
          <w:lang w:val="en-US"/>
        </w:rPr>
        <w:t xml:space="preserve"> </w:t>
      </w:r>
      <w:hyperlink r:id="rId41" w:history="1">
        <w:r w:rsidRPr="001A0E96">
          <w:rPr>
            <w:rStyle w:val="Hyperlink"/>
            <w:rFonts w:asciiTheme="majorBidi" w:hAnsiTheme="majorBidi"/>
            <w:lang w:val="en-US"/>
          </w:rPr>
          <w:t>https://www.ohchr.org/es/documents/tools-and-resources/line-hearings-justice-systems</w:t>
        </w:r>
      </w:hyperlink>
    </w:p>
  </w:footnote>
  <w:footnote w:id="93">
    <w:p w14:paraId="55B031E2" w14:textId="77777777" w:rsidR="00E444D5" w:rsidRPr="00BF5572" w:rsidRDefault="00E444D5" w:rsidP="00E444D5">
      <w:pPr>
        <w:pStyle w:val="FootnoteText"/>
        <w:rPr>
          <w:lang w:val="pt-BR"/>
        </w:rPr>
      </w:pPr>
      <w:r>
        <w:rPr>
          <w:rStyle w:val="FootnoteReference"/>
        </w:rPr>
        <w:footnoteRef/>
      </w:r>
      <w:r w:rsidRPr="00BF5572">
        <w:rPr>
          <w:lang w:val="pt-BR"/>
        </w:rPr>
        <w:t xml:space="preserve"> </w:t>
      </w:r>
      <w:r w:rsidR="009A60C0">
        <w:fldChar w:fldCharType="begin"/>
      </w:r>
      <w:r w:rsidR="009A60C0" w:rsidRPr="009A60C0">
        <w:rPr>
          <w:lang w:val="fr-CH"/>
        </w:rPr>
        <w:instrText>HYPERLINK "http://undocs.org/en/A/HRC/44/54"</w:instrText>
      </w:r>
      <w:r w:rsidR="009A60C0">
        <w:fldChar w:fldCharType="separate"/>
      </w:r>
      <w:r w:rsidRPr="001A0E96">
        <w:rPr>
          <w:rStyle w:val="Hyperlink"/>
          <w:lang w:val="pt-BR"/>
        </w:rPr>
        <w:t>A/HRC/44/54</w:t>
      </w:r>
      <w:r w:rsidR="009A60C0">
        <w:rPr>
          <w:rStyle w:val="Hyperlink"/>
          <w:lang w:val="pt-BR"/>
        </w:rPr>
        <w:fldChar w:fldCharType="end"/>
      </w:r>
      <w:r w:rsidRPr="001A0E96">
        <w:rPr>
          <w:rStyle w:val="Hyperlink"/>
          <w:lang w:val="pt-BR"/>
        </w:rPr>
        <w:t xml:space="preserve"> Par</w:t>
      </w:r>
      <w:r w:rsidRPr="00BF5572">
        <w:rPr>
          <w:rStyle w:val="Hyperlink"/>
          <w:lang w:val="pt-BR"/>
        </w:rPr>
        <w:t>r</w:t>
      </w:r>
      <w:r w:rsidRPr="001A0E96">
        <w:rPr>
          <w:rStyle w:val="Hyperlink"/>
          <w:lang w:val="pt-BR"/>
        </w:rPr>
        <w:t xml:space="preserve">a </w:t>
      </w:r>
      <w:r w:rsidRPr="00BF5572">
        <w:rPr>
          <w:rStyle w:val="Hyperlink"/>
          <w:lang w:val="pt-BR"/>
        </w:rPr>
        <w:t xml:space="preserve">71(c), </w:t>
      </w:r>
      <w:hyperlink r:id="rId42" w:history="1">
        <w:r w:rsidRPr="001A0E96">
          <w:rPr>
            <w:rStyle w:val="Hyperlink"/>
            <w:lang w:val="pt-BR"/>
          </w:rPr>
          <w:t>A/HRC/50/59</w:t>
        </w:r>
      </w:hyperlink>
      <w:r w:rsidRPr="001A0E96">
        <w:rPr>
          <w:rStyle w:val="Hyperlink"/>
          <w:lang w:val="pt-BR"/>
        </w:rPr>
        <w:t xml:space="preserve"> Par</w:t>
      </w:r>
      <w:r w:rsidRPr="00BF5572">
        <w:rPr>
          <w:rStyle w:val="Hyperlink"/>
          <w:lang w:val="pt-BR"/>
        </w:rPr>
        <w:t>r</w:t>
      </w:r>
      <w:r w:rsidRPr="001A0E96">
        <w:rPr>
          <w:rStyle w:val="Hyperlink"/>
          <w:lang w:val="pt-BR"/>
        </w:rPr>
        <w:t xml:space="preserve">a </w:t>
      </w:r>
      <w:r w:rsidRPr="00BF5572">
        <w:rPr>
          <w:rStyle w:val="Hyperlink"/>
          <w:lang w:val="pt-BR"/>
        </w:rPr>
        <w:t>65(ii)</w:t>
      </w:r>
    </w:p>
  </w:footnote>
  <w:footnote w:id="94">
    <w:p w14:paraId="637681A5" w14:textId="77777777" w:rsidR="00E444D5" w:rsidRPr="00914BA1" w:rsidRDefault="00E444D5" w:rsidP="00E444D5">
      <w:pPr>
        <w:pStyle w:val="FootnoteText"/>
        <w:rPr>
          <w:lang w:val="es-ES"/>
        </w:rPr>
      </w:pPr>
      <w:r>
        <w:rPr>
          <w:rStyle w:val="FootnoteReference"/>
        </w:rPr>
        <w:footnoteRef/>
      </w:r>
      <w:r w:rsidRPr="00914BA1">
        <w:rPr>
          <w:lang w:val="es-ES"/>
        </w:rPr>
        <w:t xml:space="preserve"> </w:t>
      </w:r>
      <w:r w:rsidR="009A60C0">
        <w:fldChar w:fldCharType="begin"/>
      </w:r>
      <w:r w:rsidR="009A60C0" w:rsidRPr="009A60C0">
        <w:rPr>
          <w:lang w:val="fr-CH"/>
        </w:rPr>
        <w:instrText>HYPERLINK "https://tbinternet.ohchr.org/_layouts/15/treatybodyexternal/Download.aspx?symbolno=CCPR%2FC%2FGC%2F32&amp;Lang=en"</w:instrText>
      </w:r>
      <w:r w:rsidR="009A60C0">
        <w:fldChar w:fldCharType="separate"/>
      </w:r>
      <w:r w:rsidRPr="00AA5834">
        <w:rPr>
          <w:rStyle w:val="Hyperlink"/>
          <w:lang w:val="es-ES"/>
        </w:rPr>
        <w:t>CCPR/C/GC/32</w:t>
      </w:r>
      <w:r w:rsidR="009A60C0">
        <w:rPr>
          <w:rStyle w:val="Hyperlink"/>
          <w:lang w:val="es-ES"/>
        </w:rPr>
        <w:fldChar w:fldCharType="end"/>
      </w:r>
      <w:r w:rsidRPr="00593F06">
        <w:rPr>
          <w:lang w:val="es-ES"/>
        </w:rPr>
        <w:t>, Parras 25 y 28</w:t>
      </w:r>
    </w:p>
  </w:footnote>
  <w:footnote w:id="95">
    <w:p w14:paraId="54587460" w14:textId="77777777" w:rsidR="00E444D5" w:rsidRPr="00914BA1" w:rsidRDefault="00E444D5" w:rsidP="00E444D5">
      <w:pPr>
        <w:pStyle w:val="FootnoteText"/>
        <w:rPr>
          <w:lang w:val="es-ES"/>
        </w:rPr>
      </w:pPr>
      <w:r>
        <w:rPr>
          <w:rStyle w:val="FootnoteReference"/>
        </w:rPr>
        <w:footnoteRef/>
      </w:r>
      <w:r w:rsidRPr="00914BA1">
        <w:rPr>
          <w:lang w:val="es-ES"/>
        </w:rPr>
        <w:t xml:space="preserve"> </w:t>
      </w:r>
      <w:r w:rsidR="009A60C0">
        <w:fldChar w:fldCharType="begin"/>
      </w:r>
      <w:r w:rsidR="009A60C0" w:rsidRPr="009A60C0">
        <w:rPr>
          <w:lang w:val="es-ES"/>
        </w:rPr>
        <w:instrText>HYPERLINK "https://undocs.org/Home/Mobile?FinalSymbol=A%2FHRC%2F44%2F54&amp;Language=E&amp;DeviceType=Desktop&amp;LangRequested=False"</w:instrText>
      </w:r>
      <w:r w:rsidR="009A60C0">
        <w:fldChar w:fldCharType="separate"/>
      </w:r>
      <w:r w:rsidRPr="00AC7973">
        <w:rPr>
          <w:rStyle w:val="Hyperlink"/>
          <w:lang w:val="es-ES"/>
        </w:rPr>
        <w:t>A/HRC/44/54</w:t>
      </w:r>
      <w:r w:rsidR="009A60C0">
        <w:rPr>
          <w:rStyle w:val="Hyperlink"/>
          <w:lang w:val="es-ES"/>
        </w:rPr>
        <w:fldChar w:fldCharType="end"/>
      </w:r>
      <w:r w:rsidRPr="00914BA1">
        <w:rPr>
          <w:lang w:val="es-ES"/>
        </w:rPr>
        <w:t>Parra 14, Recomendación c</w:t>
      </w:r>
    </w:p>
  </w:footnote>
  <w:footnote w:id="96">
    <w:p w14:paraId="6075741E"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r w:rsidR="009A60C0">
        <w:fldChar w:fldCharType="begin"/>
      </w:r>
      <w:r w:rsidR="009A60C0" w:rsidRPr="009A60C0">
        <w:rPr>
          <w:lang w:val="es-ES"/>
        </w:rPr>
        <w:instrText>HYPERLINK "https://www.ohchr.org/en/documents/country-rep</w:instrText>
      </w:r>
      <w:r w:rsidR="009A60C0" w:rsidRPr="009A60C0">
        <w:rPr>
          <w:lang w:val="es-ES"/>
        </w:rPr>
        <w:instrText>orts/ahrc5354-situation-human-rights-bolivarian-republic-venezuela-report"</w:instrText>
      </w:r>
      <w:r w:rsidR="009A60C0">
        <w:fldChar w:fldCharType="separate"/>
      </w:r>
      <w:r w:rsidRPr="00AC7973">
        <w:rPr>
          <w:rStyle w:val="Hyperlink"/>
          <w:lang w:val="es-ES"/>
        </w:rPr>
        <w:t>A/HRC/53/54</w:t>
      </w:r>
      <w:r w:rsidR="009A60C0">
        <w:rPr>
          <w:rStyle w:val="Hyperlink"/>
          <w:lang w:val="es-ES"/>
        </w:rPr>
        <w:fldChar w:fldCharType="end"/>
      </w:r>
      <w:r w:rsidRPr="003E31B1">
        <w:rPr>
          <w:lang w:val="es-419"/>
        </w:rPr>
        <w:t>Parra 55</w:t>
      </w:r>
    </w:p>
  </w:footnote>
  <w:footnote w:id="97">
    <w:p w14:paraId="14F49CA9"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r>
        <w:rPr>
          <w:lang w:val="es-419"/>
        </w:rPr>
        <w:t xml:space="preserve">Vea </w:t>
      </w:r>
      <w:r w:rsidR="009A60C0">
        <w:fldChar w:fldCharType="begin"/>
      </w:r>
      <w:r w:rsidR="009A60C0" w:rsidRPr="009A60C0">
        <w:rPr>
          <w:lang w:val="es-ES"/>
        </w:rPr>
        <w:instrText>HYPERLINK "http://www.mp.gob.ve/index.php/2023/08/08/fiscal-general-firmo-plan-de-trabajo-con-unicef-y-presento-manual-para-la-investigacion-del-delito-de-trata-de-personas/"</w:instrText>
      </w:r>
      <w:r w:rsidR="009A60C0">
        <w:fldChar w:fldCharType="separate"/>
      </w:r>
      <w:r w:rsidRPr="003C2932">
        <w:rPr>
          <w:rStyle w:val="Hyperlink"/>
          <w:lang w:val="es-419"/>
        </w:rPr>
        <w:t>www.mp.gob.ve/index.php/2023/08/08/fiscal-general-firmo-plan-de-trabajo-con-unicef-y-presento-manual-para-la-investigacion-del-delito-de-trata-de-personas/</w:t>
      </w:r>
      <w:r w:rsidR="009A60C0">
        <w:rPr>
          <w:rStyle w:val="Hyperlink"/>
          <w:lang w:val="es-419"/>
        </w:rPr>
        <w:fldChar w:fldCharType="end"/>
      </w:r>
    </w:p>
  </w:footnote>
  <w:footnote w:id="98">
    <w:p w14:paraId="072AB93E" w14:textId="77777777" w:rsidR="00E444D5" w:rsidRPr="003E31B1" w:rsidRDefault="00E444D5" w:rsidP="00E444D5">
      <w:pPr>
        <w:pStyle w:val="FootnoteText"/>
        <w:rPr>
          <w:lang w:val="es-419"/>
        </w:rPr>
      </w:pPr>
      <w:r>
        <w:rPr>
          <w:rStyle w:val="FootnoteReference"/>
        </w:rPr>
        <w:footnoteRef/>
      </w:r>
      <w:r w:rsidRPr="003E31B1">
        <w:rPr>
          <w:lang w:val="es-419"/>
        </w:rPr>
        <w:t xml:space="preserve"> </w:t>
      </w:r>
      <w:r>
        <w:rPr>
          <w:lang w:val="es-419"/>
        </w:rPr>
        <w:t xml:space="preserve">Vea </w:t>
      </w:r>
      <w:hyperlink r:id="rId43" w:history="1">
        <w:r w:rsidRPr="003C2932">
          <w:rPr>
            <w:rStyle w:val="Hyperlink"/>
            <w:lang w:val="es-419"/>
          </w:rPr>
          <w:t>www.mp.gob.ve/index.php/2023/07/28/fiscal-general-propuso-celebracion-de-dos-seminarios-de-capacitacion-contra-la-corrupcion-y-el-trafico-y-la-trata-de-personas/</w:t>
        </w:r>
      </w:hyperlink>
    </w:p>
  </w:footnote>
  <w:footnote w:id="99">
    <w:p w14:paraId="0D113BB2" w14:textId="77777777" w:rsidR="00E444D5" w:rsidRPr="006679D7" w:rsidRDefault="00E444D5" w:rsidP="00E444D5">
      <w:pPr>
        <w:pStyle w:val="FootnoteText"/>
        <w:rPr>
          <w:lang w:val="es-ES"/>
        </w:rPr>
      </w:pPr>
      <w:r>
        <w:rPr>
          <w:rStyle w:val="FootnoteReference"/>
        </w:rPr>
        <w:footnoteRef/>
      </w:r>
      <w:r w:rsidRPr="006679D7">
        <w:rPr>
          <w:lang w:val="es-ES"/>
        </w:rPr>
        <w:t xml:space="preserve"> </w:t>
      </w:r>
      <w:hyperlink r:id="rId44" w:history="1">
        <w:r w:rsidRPr="00BF5525">
          <w:rPr>
            <w:rStyle w:val="Hyperlink"/>
            <w:lang w:val="es-ES"/>
          </w:rPr>
          <w:t>CEDAW/C/VEN/CO/9</w:t>
        </w:r>
      </w:hyperlink>
      <w:r w:rsidRPr="00AF6E52">
        <w:rPr>
          <w:bCs/>
          <w:lang w:val="es-ES"/>
        </w:rPr>
        <w:t xml:space="preserve"> Pa</w:t>
      </w:r>
      <w:r>
        <w:rPr>
          <w:bCs/>
          <w:lang w:val="es-ES"/>
        </w:rPr>
        <w:t>r</w:t>
      </w:r>
      <w:r w:rsidRPr="00AF6E52">
        <w:rPr>
          <w:bCs/>
          <w:lang w:val="es-ES"/>
        </w:rPr>
        <w:t>ra</w:t>
      </w:r>
      <w:r>
        <w:rPr>
          <w:bCs/>
          <w:lang w:val="es-ES"/>
        </w:rPr>
        <w:t xml:space="preserve"> 19</w:t>
      </w:r>
    </w:p>
  </w:footnote>
  <w:footnote w:id="100">
    <w:p w14:paraId="692BC9AB" w14:textId="77777777" w:rsidR="00E444D5" w:rsidRPr="007D30FC" w:rsidRDefault="00E444D5" w:rsidP="00E444D5">
      <w:pPr>
        <w:pStyle w:val="FootnoteText"/>
        <w:rPr>
          <w:lang w:val="es-ES"/>
        </w:rPr>
      </w:pPr>
      <w:r>
        <w:rPr>
          <w:rStyle w:val="FootnoteReference"/>
        </w:rPr>
        <w:footnoteRef/>
      </w:r>
      <w:r>
        <w:rPr>
          <w:lang w:val="es-ES"/>
        </w:rPr>
        <w:t xml:space="preserve"> Vea</w:t>
      </w:r>
      <w:r w:rsidRPr="007D30FC">
        <w:rPr>
          <w:lang w:val="es-ES"/>
        </w:rPr>
        <w:t xml:space="preserve"> </w:t>
      </w:r>
      <w:hyperlink r:id="rId45" w:history="1">
        <w:r w:rsidRPr="007D30FC">
          <w:rPr>
            <w:rStyle w:val="Hyperlink"/>
            <w:lang w:val="es-ES"/>
          </w:rPr>
          <w:t>https://www.fundaredes.org/2023/12/12/fundaredes-registro-130-personas-desaparecidas-hasta-septiembre-2023/</w:t>
        </w:r>
      </w:hyperlink>
    </w:p>
  </w:footnote>
  <w:footnote w:id="101">
    <w:p w14:paraId="4FE49331" w14:textId="77777777" w:rsidR="00E444D5" w:rsidRPr="004F16A0" w:rsidRDefault="00E444D5" w:rsidP="00E444D5">
      <w:pPr>
        <w:pStyle w:val="FootnoteText"/>
        <w:rPr>
          <w:lang w:val="es-ES"/>
        </w:rPr>
      </w:pPr>
      <w:r>
        <w:rPr>
          <w:rStyle w:val="FootnoteReference"/>
        </w:rPr>
        <w:footnoteRef/>
      </w:r>
      <w:r w:rsidRPr="004F16A0">
        <w:rPr>
          <w:lang w:val="es-ES"/>
        </w:rPr>
        <w:t xml:space="preserve"> </w:t>
      </w:r>
      <w:hyperlink r:id="rId46" w:history="1">
        <w:r w:rsidRPr="00BF5525">
          <w:rPr>
            <w:rStyle w:val="Hyperlink"/>
            <w:lang w:val="es-ES"/>
          </w:rPr>
          <w:t>CEDAW/C/VEN/CO/9</w:t>
        </w:r>
      </w:hyperlink>
      <w:r w:rsidRPr="00AF6E52">
        <w:rPr>
          <w:bCs/>
          <w:lang w:val="es-ES"/>
        </w:rPr>
        <w:t xml:space="preserve"> </w:t>
      </w:r>
      <w:r w:rsidRPr="00C848F1">
        <w:rPr>
          <w:bCs/>
          <w:lang w:val="es-ES"/>
        </w:rPr>
        <w:t>Par</w:t>
      </w:r>
      <w:r>
        <w:rPr>
          <w:bCs/>
          <w:lang w:val="es-ES"/>
        </w:rPr>
        <w:t>r</w:t>
      </w:r>
      <w:r w:rsidRPr="00C848F1">
        <w:rPr>
          <w:bCs/>
          <w:lang w:val="es-ES"/>
        </w:rPr>
        <w:t>a 2</w:t>
      </w:r>
      <w:r>
        <w:rPr>
          <w:bCs/>
          <w:lang w:val="es-ES"/>
        </w:rPr>
        <w:t>7</w:t>
      </w:r>
    </w:p>
  </w:footnote>
  <w:footnote w:id="102">
    <w:p w14:paraId="0EEF9220" w14:textId="77777777" w:rsidR="00E444D5" w:rsidRPr="00872879" w:rsidRDefault="00E444D5" w:rsidP="00E444D5">
      <w:pPr>
        <w:pStyle w:val="FootnoteText"/>
        <w:rPr>
          <w:lang w:val="es-ES"/>
        </w:rPr>
      </w:pPr>
      <w:r>
        <w:rPr>
          <w:rStyle w:val="FootnoteReference"/>
        </w:rPr>
        <w:footnoteRef/>
      </w:r>
      <w:r w:rsidRPr="00872879">
        <w:rPr>
          <w:lang w:val="es-ES"/>
        </w:rPr>
        <w:t xml:space="preserve"> </w:t>
      </w:r>
      <w:hyperlink r:id="rId47" w:history="1">
        <w:r w:rsidRPr="004A5C8C">
          <w:rPr>
            <w:rStyle w:val="Hyperlink"/>
            <w:lang w:val="es-ES"/>
          </w:rPr>
          <w:t>A/HRC/41/18</w:t>
        </w:r>
      </w:hyperlink>
    </w:p>
  </w:footnote>
  <w:footnote w:id="103">
    <w:p w14:paraId="17C58881" w14:textId="77777777" w:rsidR="00E444D5" w:rsidRPr="00581193" w:rsidRDefault="00E444D5" w:rsidP="00E444D5">
      <w:pPr>
        <w:pStyle w:val="FootnoteText"/>
        <w:rPr>
          <w:lang w:val="es-ES"/>
        </w:rPr>
      </w:pPr>
      <w:r>
        <w:rPr>
          <w:rStyle w:val="FootnoteReference"/>
        </w:rPr>
        <w:footnoteRef/>
      </w:r>
      <w:r w:rsidRPr="00581193">
        <w:rPr>
          <w:lang w:val="es-ES"/>
        </w:rPr>
        <w:t xml:space="preserve"> </w:t>
      </w:r>
      <w:hyperlink r:id="rId48" w:history="1">
        <w:r w:rsidRPr="00BF5525">
          <w:rPr>
            <w:rStyle w:val="Hyperlink"/>
            <w:lang w:val="es-ES"/>
          </w:rPr>
          <w:t>CEDAW/C/VEN/CO/9</w:t>
        </w:r>
      </w:hyperlink>
      <w:r w:rsidRPr="00AF6E52">
        <w:rPr>
          <w:bCs/>
          <w:lang w:val="es-ES"/>
        </w:rPr>
        <w:t xml:space="preserve"> </w:t>
      </w:r>
      <w:r w:rsidRPr="00263AC4">
        <w:rPr>
          <w:bCs/>
          <w:lang w:val="es-ES"/>
        </w:rPr>
        <w:t>Par</w:t>
      </w:r>
      <w:r>
        <w:rPr>
          <w:bCs/>
          <w:lang w:val="es-ES"/>
        </w:rPr>
        <w:t>r</w:t>
      </w:r>
      <w:r w:rsidRPr="00263AC4">
        <w:rPr>
          <w:bCs/>
          <w:lang w:val="es-ES"/>
        </w:rPr>
        <w:t>a 27(c)</w:t>
      </w:r>
    </w:p>
  </w:footnote>
  <w:footnote w:id="104">
    <w:p w14:paraId="10127D28" w14:textId="77777777" w:rsidR="00E444D5" w:rsidRPr="002E7302" w:rsidRDefault="00E444D5" w:rsidP="00E444D5">
      <w:pPr>
        <w:pStyle w:val="FootnoteText"/>
        <w:rPr>
          <w:lang w:val="es-ES"/>
        </w:rPr>
      </w:pPr>
      <w:r>
        <w:rPr>
          <w:rStyle w:val="FootnoteReference"/>
        </w:rPr>
        <w:footnoteRef/>
      </w:r>
      <w:r w:rsidRPr="002E7302">
        <w:rPr>
          <w:lang w:val="es-ES"/>
        </w:rPr>
        <w:t xml:space="preserve"> </w:t>
      </w:r>
      <w:hyperlink r:id="rId49" w:history="1">
        <w:r w:rsidRPr="00AC7973">
          <w:rPr>
            <w:rStyle w:val="Hyperlink"/>
            <w:lang w:val="es-ES"/>
          </w:rPr>
          <w:t>A/HRC/53/54</w:t>
        </w:r>
      </w:hyperlink>
      <w:r w:rsidRPr="00C35B44">
        <w:rPr>
          <w:szCs w:val="18"/>
          <w:lang w:val="es-ES"/>
        </w:rPr>
        <w:t>Pa</w:t>
      </w:r>
      <w:r>
        <w:rPr>
          <w:szCs w:val="18"/>
          <w:lang w:val="es-ES"/>
        </w:rPr>
        <w:t>r</w:t>
      </w:r>
      <w:r w:rsidRPr="00C35B44">
        <w:rPr>
          <w:szCs w:val="18"/>
          <w:lang w:val="es-ES"/>
        </w:rPr>
        <w:t>ra 29</w:t>
      </w:r>
    </w:p>
  </w:footnote>
  <w:footnote w:id="105">
    <w:p w14:paraId="3058152A" w14:textId="77777777" w:rsidR="00E444D5" w:rsidRPr="00106182" w:rsidRDefault="00E444D5" w:rsidP="00E444D5">
      <w:pPr>
        <w:pStyle w:val="FootnoteText"/>
        <w:rPr>
          <w:lang w:val="es-ES"/>
        </w:rPr>
      </w:pPr>
      <w:r>
        <w:rPr>
          <w:rStyle w:val="FootnoteReference"/>
        </w:rPr>
        <w:footnoteRef/>
      </w:r>
      <w:r w:rsidRPr="00106182">
        <w:rPr>
          <w:lang w:val="es-ES"/>
        </w:rPr>
        <w:t xml:space="preserve"> </w:t>
      </w:r>
      <w:proofErr w:type="spellStart"/>
      <w:r w:rsidRPr="00106182">
        <w:rPr>
          <w:lang w:val="es-ES"/>
        </w:rPr>
        <w:t>Ibid</w:t>
      </w:r>
      <w:proofErr w:type="spellEnd"/>
    </w:p>
  </w:footnote>
  <w:footnote w:id="106">
    <w:p w14:paraId="3E30B77C" w14:textId="77777777" w:rsidR="00E444D5" w:rsidRPr="00106182" w:rsidRDefault="00E444D5" w:rsidP="00E444D5">
      <w:pPr>
        <w:pStyle w:val="FootnoteText"/>
        <w:rPr>
          <w:lang w:val="es-ES"/>
        </w:rPr>
      </w:pPr>
      <w:r>
        <w:rPr>
          <w:rStyle w:val="FootnoteReference"/>
        </w:rPr>
        <w:footnoteRef/>
      </w:r>
      <w:r w:rsidRPr="00106182">
        <w:rPr>
          <w:lang w:val="es-ES"/>
        </w:rPr>
        <w:t xml:space="preserve"> </w:t>
      </w:r>
      <w:hyperlink r:id="rId50" w:history="1">
        <w:r w:rsidRPr="00FB653C">
          <w:rPr>
            <w:rStyle w:val="Hyperlink"/>
            <w:szCs w:val="18"/>
            <w:lang w:val="es-ES"/>
          </w:rPr>
          <w:t>A/HRC/47/55</w:t>
        </w:r>
      </w:hyperlink>
      <w:r w:rsidRPr="00263AC4">
        <w:rPr>
          <w:szCs w:val="18"/>
          <w:lang w:val="es-ES"/>
        </w:rPr>
        <w:t>Par</w:t>
      </w:r>
      <w:r>
        <w:rPr>
          <w:szCs w:val="18"/>
          <w:lang w:val="es-ES"/>
        </w:rPr>
        <w:t>r</w:t>
      </w:r>
      <w:r w:rsidRPr="00263AC4">
        <w:rPr>
          <w:szCs w:val="18"/>
          <w:lang w:val="es-ES"/>
        </w:rPr>
        <w:t xml:space="preserve">a 15; </w:t>
      </w:r>
      <w:hyperlink r:id="rId51" w:history="1">
        <w:r w:rsidRPr="00FB653C">
          <w:rPr>
            <w:rStyle w:val="Hyperlink"/>
            <w:szCs w:val="18"/>
            <w:lang w:val="es-ES"/>
          </w:rPr>
          <w:t>A/HRC/50/59</w:t>
        </w:r>
      </w:hyperlink>
      <w:r w:rsidRPr="00263AC4">
        <w:rPr>
          <w:szCs w:val="18"/>
          <w:lang w:val="es-ES"/>
        </w:rPr>
        <w:t>Pa</w:t>
      </w:r>
      <w:r>
        <w:rPr>
          <w:szCs w:val="18"/>
          <w:lang w:val="es-ES"/>
        </w:rPr>
        <w:t>r</w:t>
      </w:r>
      <w:r w:rsidRPr="00263AC4">
        <w:rPr>
          <w:szCs w:val="18"/>
          <w:lang w:val="es-ES"/>
        </w:rPr>
        <w:t xml:space="preserve">ra 33; </w:t>
      </w:r>
      <w:hyperlink r:id="rId52" w:history="1">
        <w:r w:rsidRPr="00AC7973">
          <w:rPr>
            <w:rStyle w:val="Hyperlink"/>
            <w:lang w:val="es-ES"/>
          </w:rPr>
          <w:t>A/HRC/53/54</w:t>
        </w:r>
      </w:hyperlink>
      <w:r w:rsidRPr="00263AC4">
        <w:rPr>
          <w:szCs w:val="18"/>
          <w:lang w:val="es-ES"/>
        </w:rPr>
        <w:t>Pa</w:t>
      </w:r>
      <w:r>
        <w:rPr>
          <w:szCs w:val="18"/>
          <w:lang w:val="es-ES"/>
        </w:rPr>
        <w:t>r</w:t>
      </w:r>
      <w:r w:rsidRPr="00263AC4">
        <w:rPr>
          <w:szCs w:val="18"/>
          <w:lang w:val="es-ES"/>
        </w:rPr>
        <w:t>ra 60</w:t>
      </w:r>
    </w:p>
  </w:footnote>
  <w:footnote w:id="107">
    <w:p w14:paraId="6DFBF7F8" w14:textId="77777777" w:rsidR="00E444D5" w:rsidRPr="002E7302" w:rsidRDefault="00E444D5" w:rsidP="00E444D5">
      <w:pPr>
        <w:pStyle w:val="FootnoteText"/>
        <w:rPr>
          <w:lang w:val="es-ES"/>
        </w:rPr>
      </w:pPr>
      <w:r>
        <w:rPr>
          <w:rStyle w:val="FootnoteReference"/>
        </w:rPr>
        <w:footnoteRef/>
      </w:r>
      <w:r w:rsidRPr="002E7302">
        <w:rPr>
          <w:lang w:val="es-ES"/>
        </w:rPr>
        <w:t xml:space="preserve"> </w:t>
      </w:r>
      <w:hyperlink r:id="rId53" w:history="1">
        <w:r w:rsidRPr="00AC7973">
          <w:rPr>
            <w:rStyle w:val="Hyperlink"/>
            <w:lang w:val="es-ES"/>
          </w:rPr>
          <w:t>A/HRC/53/54</w:t>
        </w:r>
      </w:hyperlink>
      <w:r>
        <w:rPr>
          <w:lang w:val="es-ES"/>
        </w:rPr>
        <w:t xml:space="preserve">Parra </w:t>
      </w:r>
      <w:r w:rsidRPr="00263AC4">
        <w:rPr>
          <w:lang w:val="es-ES"/>
        </w:rPr>
        <w:t>58</w:t>
      </w:r>
    </w:p>
  </w:footnote>
  <w:footnote w:id="108">
    <w:p w14:paraId="7664E2D2" w14:textId="77777777" w:rsidR="00E444D5" w:rsidRPr="00872879" w:rsidRDefault="00E444D5" w:rsidP="00E444D5">
      <w:pPr>
        <w:pStyle w:val="FootnoteText"/>
        <w:rPr>
          <w:lang w:val="es-ES"/>
        </w:rPr>
      </w:pPr>
      <w:r>
        <w:rPr>
          <w:rStyle w:val="FootnoteReference"/>
        </w:rPr>
        <w:footnoteRef/>
      </w:r>
      <w:r w:rsidRPr="00872879">
        <w:rPr>
          <w:lang w:val="es-ES"/>
        </w:rPr>
        <w:t xml:space="preserve"> </w:t>
      </w:r>
      <w:proofErr w:type="spellStart"/>
      <w:r>
        <w:rPr>
          <w:lang w:val="es-ES"/>
        </w:rPr>
        <w:t>Ibid</w:t>
      </w:r>
      <w:proofErr w:type="spellEnd"/>
      <w:r w:rsidRPr="00263AC4">
        <w:rPr>
          <w:lang w:val="es-ES"/>
        </w:rPr>
        <w:t xml:space="preserve"> Par</w:t>
      </w:r>
      <w:r>
        <w:rPr>
          <w:lang w:val="es-ES"/>
        </w:rPr>
        <w:t>r</w:t>
      </w:r>
      <w:r w:rsidRPr="00263AC4">
        <w:rPr>
          <w:lang w:val="es-ES"/>
        </w:rPr>
        <w:t>a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FA5" w14:textId="56D9C474" w:rsidR="009A60C0" w:rsidRDefault="009A60C0">
    <w:pPr>
      <w:pStyle w:val="Header"/>
    </w:pPr>
    <w:r>
      <w:rPr>
        <w:noProof/>
      </w:rPr>
      <w:pict w14:anchorId="2890D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8141" o:spid="_x0000_s1026" type="#_x0000_t136" style="position:absolute;margin-left:0;margin-top:0;width:771pt;height:81.75pt;rotation:315;z-index:-251653632;mso-position-horizontal:center;mso-position-horizontal-relative:margin;mso-position-vertical:center;mso-position-vertical-relative:margin" o:allowincell="f" fillcolor="silver" stroked="f">
          <v:fill opacity=".5"/>
          <v:textpath style="font-family:&quot;Times New Roman&quot;;font-size:1in" string="Unofficial Spanish ver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63C9" w14:textId="40A0C938" w:rsidR="009A60C0" w:rsidRDefault="009A60C0">
    <w:pPr>
      <w:pStyle w:val="Header"/>
    </w:pPr>
    <w:r>
      <w:rPr>
        <w:noProof/>
      </w:rPr>
      <w:pict w14:anchorId="3EB1A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8142" o:spid="_x0000_s1027" type="#_x0000_t136" style="position:absolute;margin-left:0;margin-top:0;width:771pt;height:81.75pt;rotation:315;z-index:-251651584;mso-position-horizontal:center;mso-position-horizontal-relative:margin;mso-position-vertical:center;mso-position-vertical-relative:margin" o:allowincell="f" fillcolor="silver" stroked="f">
          <v:fill opacity=".5"/>
          <v:textpath style="font-family:&quot;Times New Roman&quot;;font-size:1in" string="Unofficial Spanish ver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DA6" w14:textId="4FA85B01" w:rsidR="009A60C0" w:rsidRDefault="009A60C0">
    <w:pPr>
      <w:pStyle w:val="Header"/>
    </w:pPr>
    <w:r>
      <w:rPr>
        <w:noProof/>
      </w:rPr>
      <w:pict w14:anchorId="3402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8140" o:spid="_x0000_s1025" type="#_x0000_t136" style="position:absolute;margin-left:0;margin-top:0;width:771pt;height:81.75pt;rotation:315;z-index:-251655680;mso-position-horizontal:center;mso-position-horizontal-relative:margin;mso-position-vertical:center;mso-position-vertical-relative:margin" o:allowincell="f" fillcolor="silver" stroked="f">
          <v:fill opacity=".5"/>
          <v:textpath style="font-family:&quot;Times New Roman&quot;;font-size:1in" string="Unofficial Spanish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1305B"/>
    <w:multiLevelType w:val="hybridMultilevel"/>
    <w:tmpl w:val="8D1029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346D"/>
    <w:multiLevelType w:val="hybridMultilevel"/>
    <w:tmpl w:val="D15C5810"/>
    <w:lvl w:ilvl="0" w:tplc="0409000F">
      <w:start w:val="1"/>
      <w:numFmt w:val="decimal"/>
      <w:lvlText w:val="%1."/>
      <w:lvlJc w:val="lef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0B18CD"/>
    <w:multiLevelType w:val="hybridMultilevel"/>
    <w:tmpl w:val="C240A210"/>
    <w:lvl w:ilvl="0" w:tplc="FFFFFFFF">
      <w:start w:val="1"/>
      <w:numFmt w:val="decimal"/>
      <w:lvlText w:val="%1."/>
      <w:lvlJc w:val="left"/>
      <w:pPr>
        <w:ind w:left="990" w:hanging="360"/>
      </w:pPr>
      <w:rPr>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45708A0"/>
    <w:multiLevelType w:val="hybridMultilevel"/>
    <w:tmpl w:val="ABCC58DE"/>
    <w:lvl w:ilvl="0" w:tplc="A34883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4895418"/>
    <w:multiLevelType w:val="hybridMultilevel"/>
    <w:tmpl w:val="95B6D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E4511"/>
    <w:multiLevelType w:val="hybridMultilevel"/>
    <w:tmpl w:val="05C0D470"/>
    <w:lvl w:ilvl="0" w:tplc="18E67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C4B88"/>
    <w:multiLevelType w:val="hybridMultilevel"/>
    <w:tmpl w:val="57EED93E"/>
    <w:lvl w:ilvl="0" w:tplc="A1E0B69A">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53E75"/>
    <w:multiLevelType w:val="hybridMultilevel"/>
    <w:tmpl w:val="8DC2EA8E"/>
    <w:lvl w:ilvl="0" w:tplc="100C0015">
      <w:start w:val="1"/>
      <w:numFmt w:val="upperLetter"/>
      <w:lvlText w:val="%1."/>
      <w:lvlJc w:val="left"/>
      <w:pPr>
        <w:ind w:left="720" w:hanging="360"/>
      </w:pPr>
      <w:rPr>
        <w:rFonts w:eastAsia="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6A75E1"/>
    <w:multiLevelType w:val="hybridMultilevel"/>
    <w:tmpl w:val="D22EBE6A"/>
    <w:lvl w:ilvl="0" w:tplc="0A383FC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C3E49"/>
    <w:multiLevelType w:val="hybridMultilevel"/>
    <w:tmpl w:val="08BA05D8"/>
    <w:lvl w:ilvl="0" w:tplc="A31CF2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40CFE"/>
    <w:multiLevelType w:val="hybridMultilevel"/>
    <w:tmpl w:val="7B366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91508"/>
    <w:multiLevelType w:val="hybridMultilevel"/>
    <w:tmpl w:val="29B6B824"/>
    <w:lvl w:ilvl="0" w:tplc="F30EFACE">
      <w:start w:val="1"/>
      <w:numFmt w:val="upperRoman"/>
      <w:lvlText w:val="%1."/>
      <w:lvlJc w:val="left"/>
      <w:pPr>
        <w:ind w:left="1008" w:hanging="720"/>
      </w:pPr>
      <w:rPr>
        <w:rFonts w:hint="default"/>
        <w:b/>
        <w:bCs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571277"/>
    <w:multiLevelType w:val="hybridMultilevel"/>
    <w:tmpl w:val="C240A210"/>
    <w:lvl w:ilvl="0" w:tplc="FFFFFFFF">
      <w:start w:val="1"/>
      <w:numFmt w:val="decimal"/>
      <w:lvlText w:val="%1."/>
      <w:lvlJc w:val="left"/>
      <w:pPr>
        <w:ind w:left="1530" w:hanging="360"/>
      </w:pPr>
      <w:rPr>
        <w:rFonts w:ascii="Times New Roman" w:eastAsia="Times New Roman" w:hAnsi="Times New Roman" w:cs="Times New Roman"/>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539822BC"/>
    <w:multiLevelType w:val="hybridMultilevel"/>
    <w:tmpl w:val="B89481DE"/>
    <w:lvl w:ilvl="0" w:tplc="60CA8210">
      <w:start w:val="1"/>
      <w:numFmt w:val="decimal"/>
      <w:lvlText w:val="%1."/>
      <w:lvlJc w:val="left"/>
      <w:pPr>
        <w:ind w:left="1004"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13532"/>
    <w:multiLevelType w:val="hybridMultilevel"/>
    <w:tmpl w:val="C240A210"/>
    <w:lvl w:ilvl="0" w:tplc="FFFFFFFF">
      <w:start w:val="1"/>
      <w:numFmt w:val="decimal"/>
      <w:lvlText w:val="%1."/>
      <w:lvlJc w:val="left"/>
      <w:pPr>
        <w:ind w:left="990" w:hanging="360"/>
      </w:pPr>
      <w:rPr>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60584C94"/>
    <w:multiLevelType w:val="hybridMultilevel"/>
    <w:tmpl w:val="C240A210"/>
    <w:lvl w:ilvl="0" w:tplc="FFFFFFFF">
      <w:start w:val="1"/>
      <w:numFmt w:val="decimal"/>
      <w:lvlText w:val="%1."/>
      <w:lvlJc w:val="left"/>
      <w:pPr>
        <w:ind w:left="990" w:hanging="360"/>
      </w:pPr>
      <w:rPr>
        <w:b w:val="0"/>
        <w:bCs w:val="0"/>
        <w:sz w:val="20"/>
        <w:szCs w:val="20"/>
        <w:vertAlign w:val="baseli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4F01100"/>
    <w:multiLevelType w:val="hybridMultilevel"/>
    <w:tmpl w:val="59FA22D0"/>
    <w:lvl w:ilvl="0" w:tplc="AAF624BA">
      <w:start w:val="1"/>
      <w:numFmt w:val="upperLetter"/>
      <w:lvlText w:val="%1."/>
      <w:lvlJc w:val="left"/>
      <w:pPr>
        <w:ind w:left="1146" w:hanging="7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5" w15:restartNumberingAfterBreak="0">
    <w:nsid w:val="6E797580"/>
    <w:multiLevelType w:val="hybridMultilevel"/>
    <w:tmpl w:val="C2C0D81A"/>
    <w:lvl w:ilvl="0" w:tplc="EC8C69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811C6"/>
    <w:multiLevelType w:val="hybridMultilevel"/>
    <w:tmpl w:val="2B8E5D18"/>
    <w:lvl w:ilvl="0" w:tplc="FF921DC2">
      <w:start w:val="1"/>
      <w:numFmt w:val="upperLetter"/>
      <w:lvlText w:val="%1."/>
      <w:lvlJc w:val="left"/>
      <w:pPr>
        <w:ind w:left="720" w:hanging="360"/>
      </w:pPr>
    </w:lvl>
    <w:lvl w:ilvl="1" w:tplc="F092C3C0">
      <w:start w:val="1"/>
      <w:numFmt w:val="upperLetter"/>
      <w:lvlText w:val="%2."/>
      <w:lvlJc w:val="left"/>
      <w:pPr>
        <w:ind w:left="720" w:hanging="360"/>
      </w:pPr>
    </w:lvl>
    <w:lvl w:ilvl="2" w:tplc="0F2C54BC">
      <w:start w:val="1"/>
      <w:numFmt w:val="upperLetter"/>
      <w:lvlText w:val="%3."/>
      <w:lvlJc w:val="left"/>
      <w:pPr>
        <w:ind w:left="720" w:hanging="360"/>
      </w:pPr>
    </w:lvl>
    <w:lvl w:ilvl="3" w:tplc="47224DE4">
      <w:start w:val="1"/>
      <w:numFmt w:val="upperLetter"/>
      <w:lvlText w:val="%4."/>
      <w:lvlJc w:val="left"/>
      <w:pPr>
        <w:ind w:left="720" w:hanging="360"/>
      </w:pPr>
    </w:lvl>
    <w:lvl w:ilvl="4" w:tplc="7952BA04">
      <w:start w:val="1"/>
      <w:numFmt w:val="upperLetter"/>
      <w:lvlText w:val="%5."/>
      <w:lvlJc w:val="left"/>
      <w:pPr>
        <w:ind w:left="720" w:hanging="360"/>
      </w:pPr>
    </w:lvl>
    <w:lvl w:ilvl="5" w:tplc="AEEE5AE4">
      <w:start w:val="1"/>
      <w:numFmt w:val="upperLetter"/>
      <w:lvlText w:val="%6."/>
      <w:lvlJc w:val="left"/>
      <w:pPr>
        <w:ind w:left="720" w:hanging="360"/>
      </w:pPr>
    </w:lvl>
    <w:lvl w:ilvl="6" w:tplc="3E84A6C0">
      <w:start w:val="1"/>
      <w:numFmt w:val="upperLetter"/>
      <w:lvlText w:val="%7."/>
      <w:lvlJc w:val="left"/>
      <w:pPr>
        <w:ind w:left="720" w:hanging="360"/>
      </w:pPr>
    </w:lvl>
    <w:lvl w:ilvl="7" w:tplc="96E8BA4C">
      <w:start w:val="1"/>
      <w:numFmt w:val="upperLetter"/>
      <w:lvlText w:val="%8."/>
      <w:lvlJc w:val="left"/>
      <w:pPr>
        <w:ind w:left="720" w:hanging="360"/>
      </w:pPr>
    </w:lvl>
    <w:lvl w:ilvl="8" w:tplc="6FDA6C7C">
      <w:start w:val="1"/>
      <w:numFmt w:val="upperLetter"/>
      <w:lvlText w:val="%9."/>
      <w:lvlJc w:val="left"/>
      <w:pPr>
        <w:ind w:left="720" w:hanging="360"/>
      </w:pPr>
    </w:lvl>
  </w:abstractNum>
  <w:abstractNum w:abstractNumId="27" w15:restartNumberingAfterBreak="0">
    <w:nsid w:val="72E05EA0"/>
    <w:multiLevelType w:val="hybridMultilevel"/>
    <w:tmpl w:val="C240A210"/>
    <w:lvl w:ilvl="0" w:tplc="FFFFFFFF">
      <w:start w:val="1"/>
      <w:numFmt w:val="decimal"/>
      <w:lvlText w:val="%1."/>
      <w:lvlJc w:val="left"/>
      <w:pPr>
        <w:ind w:left="1080" w:hanging="360"/>
      </w:pPr>
      <w:rPr>
        <w:rFonts w:ascii="Times New Roman" w:eastAsia="Times New Roman" w:hAnsi="Times New Roman" w:cs="Times New Roman"/>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4244F1C"/>
    <w:multiLevelType w:val="hybridMultilevel"/>
    <w:tmpl w:val="93000FCE"/>
    <w:lvl w:ilvl="0" w:tplc="9CFCEC1C">
      <w:start w:val="1"/>
      <w:numFmt w:val="upperLetter"/>
      <w:lvlText w:val="%1."/>
      <w:lvlJc w:val="left"/>
      <w:pPr>
        <w:ind w:left="990" w:hanging="360"/>
      </w:pPr>
      <w:rPr>
        <w:rFonts w:hint="default"/>
      </w:rPr>
    </w:lvl>
    <w:lvl w:ilvl="1" w:tplc="180A0019" w:tentative="1">
      <w:start w:val="1"/>
      <w:numFmt w:val="lowerLetter"/>
      <w:lvlText w:val="%2."/>
      <w:lvlJc w:val="left"/>
      <w:pPr>
        <w:ind w:left="1710" w:hanging="360"/>
      </w:pPr>
    </w:lvl>
    <w:lvl w:ilvl="2" w:tplc="180A001B" w:tentative="1">
      <w:start w:val="1"/>
      <w:numFmt w:val="lowerRoman"/>
      <w:lvlText w:val="%3."/>
      <w:lvlJc w:val="right"/>
      <w:pPr>
        <w:ind w:left="2430" w:hanging="180"/>
      </w:pPr>
    </w:lvl>
    <w:lvl w:ilvl="3" w:tplc="180A000F" w:tentative="1">
      <w:start w:val="1"/>
      <w:numFmt w:val="decimal"/>
      <w:lvlText w:val="%4."/>
      <w:lvlJc w:val="left"/>
      <w:pPr>
        <w:ind w:left="3150" w:hanging="360"/>
      </w:pPr>
    </w:lvl>
    <w:lvl w:ilvl="4" w:tplc="180A0019" w:tentative="1">
      <w:start w:val="1"/>
      <w:numFmt w:val="lowerLetter"/>
      <w:lvlText w:val="%5."/>
      <w:lvlJc w:val="left"/>
      <w:pPr>
        <w:ind w:left="3870" w:hanging="360"/>
      </w:pPr>
    </w:lvl>
    <w:lvl w:ilvl="5" w:tplc="180A001B" w:tentative="1">
      <w:start w:val="1"/>
      <w:numFmt w:val="lowerRoman"/>
      <w:lvlText w:val="%6."/>
      <w:lvlJc w:val="right"/>
      <w:pPr>
        <w:ind w:left="4590" w:hanging="180"/>
      </w:pPr>
    </w:lvl>
    <w:lvl w:ilvl="6" w:tplc="180A000F" w:tentative="1">
      <w:start w:val="1"/>
      <w:numFmt w:val="decimal"/>
      <w:lvlText w:val="%7."/>
      <w:lvlJc w:val="left"/>
      <w:pPr>
        <w:ind w:left="5310" w:hanging="360"/>
      </w:pPr>
    </w:lvl>
    <w:lvl w:ilvl="7" w:tplc="180A0019" w:tentative="1">
      <w:start w:val="1"/>
      <w:numFmt w:val="lowerLetter"/>
      <w:lvlText w:val="%8."/>
      <w:lvlJc w:val="left"/>
      <w:pPr>
        <w:ind w:left="6030" w:hanging="360"/>
      </w:pPr>
    </w:lvl>
    <w:lvl w:ilvl="8" w:tplc="180A001B" w:tentative="1">
      <w:start w:val="1"/>
      <w:numFmt w:val="lowerRoman"/>
      <w:lvlText w:val="%9."/>
      <w:lvlJc w:val="right"/>
      <w:pPr>
        <w:ind w:left="6750" w:hanging="180"/>
      </w:pPr>
    </w:lvl>
  </w:abstractNum>
  <w:abstractNum w:abstractNumId="29" w15:restartNumberingAfterBreak="0">
    <w:nsid w:val="7AFB4966"/>
    <w:multiLevelType w:val="hybridMultilevel"/>
    <w:tmpl w:val="C240A210"/>
    <w:lvl w:ilvl="0" w:tplc="FFFFFFFF">
      <w:start w:val="1"/>
      <w:numFmt w:val="decimal"/>
      <w:lvlText w:val="%1."/>
      <w:lvlJc w:val="left"/>
      <w:pPr>
        <w:ind w:left="990" w:hanging="360"/>
      </w:pPr>
      <w:rPr>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B681ADD"/>
    <w:multiLevelType w:val="hybridMultilevel"/>
    <w:tmpl w:val="C240A210"/>
    <w:lvl w:ilvl="0" w:tplc="FFFFFFFF">
      <w:start w:val="1"/>
      <w:numFmt w:val="decimal"/>
      <w:lvlText w:val="%1."/>
      <w:lvlJc w:val="left"/>
      <w:pPr>
        <w:ind w:left="1080" w:hanging="360"/>
      </w:pPr>
      <w:rPr>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7C2B4546"/>
    <w:multiLevelType w:val="hybridMultilevel"/>
    <w:tmpl w:val="4210D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473741">
    <w:abstractNumId w:val="14"/>
  </w:num>
  <w:num w:numId="2" w16cid:durableId="795292831">
    <w:abstractNumId w:val="7"/>
  </w:num>
  <w:num w:numId="3" w16cid:durableId="1366323964">
    <w:abstractNumId w:val="8"/>
  </w:num>
  <w:num w:numId="4" w16cid:durableId="984311007">
    <w:abstractNumId w:val="18"/>
  </w:num>
  <w:num w:numId="5" w16cid:durableId="2098357883">
    <w:abstractNumId w:val="0"/>
  </w:num>
  <w:num w:numId="6" w16cid:durableId="888685208">
    <w:abstractNumId w:val="4"/>
  </w:num>
  <w:num w:numId="7" w16cid:durableId="787361575">
    <w:abstractNumId w:val="17"/>
  </w:num>
  <w:num w:numId="8" w16cid:durableId="826940506">
    <w:abstractNumId w:val="1"/>
  </w:num>
  <w:num w:numId="9" w16cid:durableId="1677073707">
    <w:abstractNumId w:val="22"/>
  </w:num>
  <w:num w:numId="10" w16cid:durableId="618528781">
    <w:abstractNumId w:val="31"/>
  </w:num>
  <w:num w:numId="11" w16cid:durableId="752549961">
    <w:abstractNumId w:val="25"/>
  </w:num>
  <w:num w:numId="12" w16cid:durableId="469515701">
    <w:abstractNumId w:val="15"/>
  </w:num>
  <w:num w:numId="13" w16cid:durableId="93718746">
    <w:abstractNumId w:val="10"/>
  </w:num>
  <w:num w:numId="14" w16cid:durableId="1443065580">
    <w:abstractNumId w:val="19"/>
  </w:num>
  <w:num w:numId="15" w16cid:durableId="702634986">
    <w:abstractNumId w:val="11"/>
  </w:num>
  <w:num w:numId="16" w16cid:durableId="1637829966">
    <w:abstractNumId w:val="23"/>
  </w:num>
  <w:num w:numId="17" w16cid:durableId="1601140852">
    <w:abstractNumId w:val="27"/>
  </w:num>
  <w:num w:numId="18" w16cid:durableId="1432311974">
    <w:abstractNumId w:val="26"/>
  </w:num>
  <w:num w:numId="19" w16cid:durableId="554783598">
    <w:abstractNumId w:val="30"/>
  </w:num>
  <w:num w:numId="20" w16cid:durableId="2016497812">
    <w:abstractNumId w:val="3"/>
  </w:num>
  <w:num w:numId="21" w16cid:durableId="2054114340">
    <w:abstractNumId w:val="2"/>
  </w:num>
  <w:num w:numId="22" w16cid:durableId="1091778315">
    <w:abstractNumId w:val="9"/>
  </w:num>
  <w:num w:numId="23" w16cid:durableId="1609385556">
    <w:abstractNumId w:val="20"/>
  </w:num>
  <w:num w:numId="24" w16cid:durableId="1152596724">
    <w:abstractNumId w:val="29"/>
  </w:num>
  <w:num w:numId="25" w16cid:durableId="1795783670">
    <w:abstractNumId w:val="21"/>
  </w:num>
  <w:num w:numId="26" w16cid:durableId="1421171062">
    <w:abstractNumId w:val="5"/>
  </w:num>
  <w:num w:numId="27" w16cid:durableId="984703046">
    <w:abstractNumId w:val="6"/>
  </w:num>
  <w:num w:numId="28" w16cid:durableId="768355636">
    <w:abstractNumId w:val="16"/>
  </w:num>
  <w:num w:numId="29" w16cid:durableId="1777476801">
    <w:abstractNumId w:val="28"/>
  </w:num>
  <w:num w:numId="30" w16cid:durableId="586420351">
    <w:abstractNumId w:val="13"/>
  </w:num>
  <w:num w:numId="31" w16cid:durableId="204415089">
    <w:abstractNumId w:val="12"/>
  </w:num>
  <w:num w:numId="32" w16cid:durableId="126171705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s-419"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V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D5"/>
    <w:rsid w:val="000328F5"/>
    <w:rsid w:val="000403D1"/>
    <w:rsid w:val="000449AA"/>
    <w:rsid w:val="00050F6B"/>
    <w:rsid w:val="000720D1"/>
    <w:rsid w:val="00072C8C"/>
    <w:rsid w:val="00073E70"/>
    <w:rsid w:val="00091419"/>
    <w:rsid w:val="000931C0"/>
    <w:rsid w:val="000B175B"/>
    <w:rsid w:val="000B3A0F"/>
    <w:rsid w:val="000E0415"/>
    <w:rsid w:val="00146D32"/>
    <w:rsid w:val="001509BA"/>
    <w:rsid w:val="00184F17"/>
    <w:rsid w:val="001B4B04"/>
    <w:rsid w:val="001C6663"/>
    <w:rsid w:val="001C7895"/>
    <w:rsid w:val="001D26DF"/>
    <w:rsid w:val="002043CF"/>
    <w:rsid w:val="00211E0B"/>
    <w:rsid w:val="00211E72"/>
    <w:rsid w:val="00214047"/>
    <w:rsid w:val="0022130F"/>
    <w:rsid w:val="00237785"/>
    <w:rsid w:val="00241466"/>
    <w:rsid w:val="00253D58"/>
    <w:rsid w:val="002C0119"/>
    <w:rsid w:val="002C21F0"/>
    <w:rsid w:val="003107FA"/>
    <w:rsid w:val="003229D8"/>
    <w:rsid w:val="00335A2F"/>
    <w:rsid w:val="00347A23"/>
    <w:rsid w:val="0039277A"/>
    <w:rsid w:val="003972E0"/>
    <w:rsid w:val="003C2CC4"/>
    <w:rsid w:val="003D4B23"/>
    <w:rsid w:val="00424C80"/>
    <w:rsid w:val="004325CB"/>
    <w:rsid w:val="0043536E"/>
    <w:rsid w:val="0044503A"/>
    <w:rsid w:val="00446DE4"/>
    <w:rsid w:val="00451EC3"/>
    <w:rsid w:val="004859EC"/>
    <w:rsid w:val="00496A15"/>
    <w:rsid w:val="004F55ED"/>
    <w:rsid w:val="005120EB"/>
    <w:rsid w:val="0052176C"/>
    <w:rsid w:val="005261E5"/>
    <w:rsid w:val="005420F2"/>
    <w:rsid w:val="00542574"/>
    <w:rsid w:val="005436AB"/>
    <w:rsid w:val="00546DBF"/>
    <w:rsid w:val="005552B5"/>
    <w:rsid w:val="00571365"/>
    <w:rsid w:val="005B048C"/>
    <w:rsid w:val="005B3DB3"/>
    <w:rsid w:val="005B6E48"/>
    <w:rsid w:val="005E2A01"/>
    <w:rsid w:val="005F2A1E"/>
    <w:rsid w:val="00611FC4"/>
    <w:rsid w:val="006176FB"/>
    <w:rsid w:val="006301B4"/>
    <w:rsid w:val="00640B26"/>
    <w:rsid w:val="00670741"/>
    <w:rsid w:val="006A7392"/>
    <w:rsid w:val="006B3189"/>
    <w:rsid w:val="006B7D65"/>
    <w:rsid w:val="006E564B"/>
    <w:rsid w:val="0072632A"/>
    <w:rsid w:val="0074200B"/>
    <w:rsid w:val="007A6296"/>
    <w:rsid w:val="007B6BA5"/>
    <w:rsid w:val="007C1B62"/>
    <w:rsid w:val="007C3390"/>
    <w:rsid w:val="007C4F4B"/>
    <w:rsid w:val="007D2CDC"/>
    <w:rsid w:val="007D32A8"/>
    <w:rsid w:val="007D5327"/>
    <w:rsid w:val="007F6611"/>
    <w:rsid w:val="008155C3"/>
    <w:rsid w:val="008175E9"/>
    <w:rsid w:val="0082243E"/>
    <w:rsid w:val="008242D7"/>
    <w:rsid w:val="00856CD2"/>
    <w:rsid w:val="00870DBD"/>
    <w:rsid w:val="00871FD5"/>
    <w:rsid w:val="0088487D"/>
    <w:rsid w:val="008979B1"/>
    <w:rsid w:val="008A6B25"/>
    <w:rsid w:val="008A6C4F"/>
    <w:rsid w:val="008C1E4D"/>
    <w:rsid w:val="008E0E46"/>
    <w:rsid w:val="008F1729"/>
    <w:rsid w:val="00907C3F"/>
    <w:rsid w:val="0093707B"/>
    <w:rsid w:val="009400EB"/>
    <w:rsid w:val="009427E3"/>
    <w:rsid w:val="00956D9B"/>
    <w:rsid w:val="00963CBA"/>
    <w:rsid w:val="009654B7"/>
    <w:rsid w:val="00987836"/>
    <w:rsid w:val="00991261"/>
    <w:rsid w:val="009A0B83"/>
    <w:rsid w:val="009A60C0"/>
    <w:rsid w:val="009B3800"/>
    <w:rsid w:val="009D50DB"/>
    <w:rsid w:val="00A05E0B"/>
    <w:rsid w:val="00A1427D"/>
    <w:rsid w:val="00A4634F"/>
    <w:rsid w:val="00A72F22"/>
    <w:rsid w:val="00A748A6"/>
    <w:rsid w:val="00A879A4"/>
    <w:rsid w:val="00A87E95"/>
    <w:rsid w:val="00A92E29"/>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A8"/>
    <w:rsid w:val="00BC1385"/>
    <w:rsid w:val="00BC74E9"/>
    <w:rsid w:val="00BE618E"/>
    <w:rsid w:val="00C24693"/>
    <w:rsid w:val="00C35F0B"/>
    <w:rsid w:val="00C429FD"/>
    <w:rsid w:val="00C463DD"/>
    <w:rsid w:val="00C64458"/>
    <w:rsid w:val="00C745C3"/>
    <w:rsid w:val="00C81733"/>
    <w:rsid w:val="00CB0AB8"/>
    <w:rsid w:val="00CB7072"/>
    <w:rsid w:val="00CC0B55"/>
    <w:rsid w:val="00CC4E8A"/>
    <w:rsid w:val="00CE4A8F"/>
    <w:rsid w:val="00CF7D43"/>
    <w:rsid w:val="00D11129"/>
    <w:rsid w:val="00D2031B"/>
    <w:rsid w:val="00D22332"/>
    <w:rsid w:val="00D25FE2"/>
    <w:rsid w:val="00D43252"/>
    <w:rsid w:val="00D43867"/>
    <w:rsid w:val="00D550F9"/>
    <w:rsid w:val="00D978C6"/>
    <w:rsid w:val="00DA67AD"/>
    <w:rsid w:val="00DB18CE"/>
    <w:rsid w:val="00DE3EC0"/>
    <w:rsid w:val="00E12B6B"/>
    <w:rsid w:val="00E130AB"/>
    <w:rsid w:val="00E438D9"/>
    <w:rsid w:val="00E444D5"/>
    <w:rsid w:val="00E5644E"/>
    <w:rsid w:val="00E7260F"/>
    <w:rsid w:val="00E96630"/>
    <w:rsid w:val="00EB0FB9"/>
    <w:rsid w:val="00ED7A2A"/>
    <w:rsid w:val="00EF1D7F"/>
    <w:rsid w:val="00EF5BDB"/>
    <w:rsid w:val="00F07FD9"/>
    <w:rsid w:val="00F23933"/>
    <w:rsid w:val="00F40E75"/>
    <w:rsid w:val="00F5293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EF42"/>
  <w15:docId w15:val="{4187897E-1549-40D1-A6B7-8562F01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link w:val="Heading2Char"/>
    <w:uiPriority w:val="9"/>
    <w:qFormat/>
    <w:rsid w:val="002C0119"/>
    <w:pPr>
      <w:spacing w:line="240" w:lineRule="auto"/>
      <w:outlineLvl w:val="1"/>
    </w:pPr>
    <w:rPr>
      <w:lang w:val="en-GB"/>
    </w:rPr>
  </w:style>
  <w:style w:type="paragraph" w:styleId="Heading3">
    <w:name w:val="heading 3"/>
    <w:basedOn w:val="Normal"/>
    <w:next w:val="Normal"/>
    <w:link w:val="Heading3Char"/>
    <w:uiPriority w:val="9"/>
    <w:qFormat/>
    <w:rsid w:val="002C0119"/>
    <w:pPr>
      <w:spacing w:line="240" w:lineRule="auto"/>
      <w:outlineLvl w:val="2"/>
    </w:pPr>
    <w:rPr>
      <w:lang w:val="en-GB"/>
    </w:rPr>
  </w:style>
  <w:style w:type="paragraph" w:styleId="Heading4">
    <w:name w:val="heading 4"/>
    <w:basedOn w:val="Normal"/>
    <w:next w:val="Normal"/>
    <w:link w:val="Heading4Char"/>
    <w:uiPriority w:val="9"/>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Texto de nota al pie,Appel note de bas de page,f,Ref,de nota al pie,normal,Footnote number,referencia nota al pie,BVI fnr,16 Point,Superscript 6 Point,Ref. de nota al pie.,Footnote symbol,Footnote,BVI fnr Car Car"/>
    <w:basedOn w:val="DefaultParagraphFont"/>
    <w:link w:val="Char2"/>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link w:val="EndnoteTextChar"/>
    <w:uiPriority w:val="99"/>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paragraph" w:styleId="Title">
    <w:name w:val="Title"/>
    <w:basedOn w:val="Normal"/>
    <w:next w:val="Normal"/>
    <w:link w:val="TitleChar"/>
    <w:uiPriority w:val="10"/>
    <w:qFormat/>
    <w:rsid w:val="00E444D5"/>
    <w:pPr>
      <w:suppressAutoHyphens w:val="0"/>
      <w:spacing w:line="240" w:lineRule="auto"/>
      <w:contextualSpacing/>
      <w:jc w:val="center"/>
    </w:pPr>
    <w:rPr>
      <w:rFonts w:asciiTheme="minorHAnsi" w:eastAsiaTheme="majorEastAsia" w:hAnsiTheme="minorHAnsi" w:cstheme="majorBidi"/>
      <w:b/>
      <w:spacing w:val="-10"/>
      <w:kern w:val="28"/>
      <w:sz w:val="22"/>
      <w:szCs w:val="56"/>
      <w:lang w:val="en-US"/>
    </w:rPr>
  </w:style>
  <w:style w:type="character" w:customStyle="1" w:styleId="TitleChar">
    <w:name w:val="Title Char"/>
    <w:basedOn w:val="DefaultParagraphFont"/>
    <w:link w:val="Title"/>
    <w:uiPriority w:val="10"/>
    <w:rsid w:val="00E444D5"/>
    <w:rPr>
      <w:rFonts w:asciiTheme="minorHAnsi" w:eastAsiaTheme="majorEastAsia" w:hAnsiTheme="minorHAnsi" w:cstheme="majorBidi"/>
      <w:b/>
      <w:spacing w:val="-10"/>
      <w:kern w:val="28"/>
      <w:sz w:val="22"/>
      <w:szCs w:val="56"/>
      <w:lang w:val="en-US" w:eastAsia="en-US"/>
    </w:rPr>
  </w:style>
  <w:style w:type="paragraph" w:styleId="ListParagraph">
    <w:name w:val="List Paragraph"/>
    <w:basedOn w:val="Normal"/>
    <w:uiPriority w:val="34"/>
    <w:qFormat/>
    <w:rsid w:val="00E444D5"/>
    <w:pPr>
      <w:suppressAutoHyphens w:val="0"/>
      <w:spacing w:line="240" w:lineRule="auto"/>
      <w:ind w:left="720"/>
      <w:contextualSpacing/>
      <w:jc w:val="both"/>
    </w:pPr>
    <w:rPr>
      <w:rFonts w:asciiTheme="minorHAnsi" w:eastAsiaTheme="minorHAnsi" w:hAnsiTheme="minorHAnsi" w:cstheme="minorBidi"/>
      <w:sz w:val="22"/>
      <w:szCs w:val="22"/>
      <w:lang w:val="en-US"/>
    </w:rPr>
  </w:style>
  <w:style w:type="character" w:customStyle="1" w:styleId="Heading1Char">
    <w:name w:val="Heading 1 Char"/>
    <w:aliases w:val="Table_G Char"/>
    <w:basedOn w:val="DefaultParagraphFont"/>
    <w:link w:val="Heading1"/>
    <w:uiPriority w:val="9"/>
    <w:rsid w:val="00E444D5"/>
    <w:rPr>
      <w:lang w:val="en-GB" w:eastAsia="en-US"/>
    </w:rPr>
  </w:style>
  <w:style w:type="character" w:customStyle="1" w:styleId="Heading2Char">
    <w:name w:val="Heading 2 Char"/>
    <w:basedOn w:val="DefaultParagraphFont"/>
    <w:link w:val="Heading2"/>
    <w:uiPriority w:val="9"/>
    <w:rsid w:val="00E444D5"/>
    <w:rPr>
      <w:lang w:val="en-GB" w:eastAsia="en-US"/>
    </w:rPr>
  </w:style>
  <w:style w:type="character" w:customStyle="1" w:styleId="Heading3Char">
    <w:name w:val="Heading 3 Char"/>
    <w:basedOn w:val="DefaultParagraphFont"/>
    <w:link w:val="Heading3"/>
    <w:uiPriority w:val="9"/>
    <w:rsid w:val="00E444D5"/>
    <w:rPr>
      <w:lang w:val="en-GB" w:eastAsia="en-US"/>
    </w:rPr>
  </w:style>
  <w:style w:type="character" w:customStyle="1" w:styleId="Heading4Char">
    <w:name w:val="Heading 4 Char"/>
    <w:basedOn w:val="DefaultParagraphFont"/>
    <w:link w:val="Heading4"/>
    <w:uiPriority w:val="9"/>
    <w:semiHidden/>
    <w:rsid w:val="00E444D5"/>
    <w:rPr>
      <w:lang w:val="en-GB" w:eastAsia="en-US"/>
    </w:rPr>
  </w:style>
  <w:style w:type="character" w:styleId="Strong">
    <w:name w:val="Strong"/>
    <w:basedOn w:val="DefaultParagraphFont"/>
    <w:uiPriority w:val="22"/>
    <w:qFormat/>
    <w:rsid w:val="00E444D5"/>
    <w:rPr>
      <w:b/>
      <w:bCs/>
    </w:rPr>
  </w:style>
  <w:style w:type="character" w:styleId="CommentReference">
    <w:name w:val="annotation reference"/>
    <w:basedOn w:val="DefaultParagraphFont"/>
    <w:uiPriority w:val="99"/>
    <w:semiHidden/>
    <w:unhideWhenUsed/>
    <w:rsid w:val="00E444D5"/>
    <w:rPr>
      <w:sz w:val="16"/>
      <w:szCs w:val="16"/>
    </w:rPr>
  </w:style>
  <w:style w:type="paragraph" w:styleId="CommentText">
    <w:name w:val="annotation text"/>
    <w:basedOn w:val="Normal"/>
    <w:link w:val="CommentTextChar"/>
    <w:uiPriority w:val="99"/>
    <w:unhideWhenUsed/>
    <w:rsid w:val="00E444D5"/>
    <w:pPr>
      <w:suppressAutoHyphens w:val="0"/>
      <w:spacing w:line="240" w:lineRule="auto"/>
      <w:contextualSpacing/>
      <w:jc w:val="both"/>
    </w:pPr>
    <w:rPr>
      <w:rFonts w:eastAsiaTheme="minorHAnsi" w:cstheme="minorBidi"/>
      <w:lang w:val="en-GB"/>
    </w:rPr>
  </w:style>
  <w:style w:type="character" w:customStyle="1" w:styleId="CommentTextChar">
    <w:name w:val="Comment Text Char"/>
    <w:basedOn w:val="DefaultParagraphFont"/>
    <w:link w:val="CommentText"/>
    <w:uiPriority w:val="99"/>
    <w:rsid w:val="00E444D5"/>
    <w:rPr>
      <w:rFonts w:eastAsia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E444D5"/>
    <w:pPr>
      <w:contextualSpacing w:val="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E444D5"/>
    <w:rPr>
      <w:rFonts w:asciiTheme="minorHAnsi" w:eastAsiaTheme="minorHAnsi" w:hAnsiTheme="minorHAnsi" w:cstheme="minorBidi"/>
      <w:b/>
      <w:bCs/>
      <w:lang w:val="en-US" w:eastAsia="en-US"/>
    </w:rPr>
  </w:style>
  <w:style w:type="paragraph" w:styleId="Revision">
    <w:name w:val="Revision"/>
    <w:hidden/>
    <w:uiPriority w:val="99"/>
    <w:semiHidden/>
    <w:rsid w:val="00E444D5"/>
    <w:rPr>
      <w:rFonts w:asciiTheme="minorHAnsi" w:eastAsiaTheme="minorHAnsi" w:hAnsiTheme="minorHAnsi" w:cstheme="minorBidi"/>
      <w:sz w:val="22"/>
      <w:szCs w:val="22"/>
      <w:lang w:val="en-US" w:eastAsia="en-US"/>
    </w:rPr>
  </w:style>
  <w:style w:type="character" w:customStyle="1" w:styleId="SingleTxtGChar">
    <w:name w:val="_ Single Txt_G Char"/>
    <w:link w:val="SingleTxtG"/>
    <w:locked/>
    <w:rsid w:val="00E444D5"/>
    <w:rPr>
      <w:lang w:val="es-ES" w:eastAsia="en-US"/>
    </w:rPr>
  </w:style>
  <w:style w:type="character" w:styleId="UnresolvedMention">
    <w:name w:val="Unresolved Mention"/>
    <w:basedOn w:val="DefaultParagraphFont"/>
    <w:uiPriority w:val="99"/>
    <w:semiHidden/>
    <w:unhideWhenUsed/>
    <w:rsid w:val="00E444D5"/>
    <w:rPr>
      <w:color w:val="605E5C"/>
      <w:shd w:val="clear" w:color="auto" w:fill="E1DFDD"/>
    </w:rPr>
  </w:style>
  <w:style w:type="character" w:customStyle="1" w:styleId="HeaderChar">
    <w:name w:val="Header Char"/>
    <w:aliases w:val="6_G Char"/>
    <w:basedOn w:val="DefaultParagraphFont"/>
    <w:link w:val="Header"/>
    <w:rsid w:val="00E444D5"/>
    <w:rPr>
      <w:b/>
      <w:sz w:val="18"/>
      <w:lang w:val="en-GB" w:eastAsia="en-US"/>
    </w:rPr>
  </w:style>
  <w:style w:type="character" w:customStyle="1" w:styleId="FooterChar">
    <w:name w:val="Footer Char"/>
    <w:aliases w:val="3_G Char"/>
    <w:basedOn w:val="DefaultParagraphFont"/>
    <w:link w:val="Footer"/>
    <w:uiPriority w:val="99"/>
    <w:rsid w:val="00E444D5"/>
    <w:rPr>
      <w:sz w:val="16"/>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qFormat/>
    <w:rsid w:val="00E444D5"/>
    <w:rPr>
      <w:sz w:val="18"/>
      <w:lang w:val="en-GB" w:eastAsia="en-US"/>
    </w:rPr>
  </w:style>
  <w:style w:type="paragraph" w:customStyle="1" w:styleId="Char2">
    <w:name w:val="Char2"/>
    <w:basedOn w:val="Normal"/>
    <w:link w:val="FootnoteReference"/>
    <w:uiPriority w:val="99"/>
    <w:rsid w:val="00E444D5"/>
    <w:pPr>
      <w:suppressAutoHyphens w:val="0"/>
      <w:spacing w:after="160" w:line="240" w:lineRule="exact"/>
    </w:pPr>
    <w:rPr>
      <w:sz w:val="18"/>
      <w:vertAlign w:val="superscript"/>
      <w:lang w:val="fr-FR" w:eastAsia="fr-FR"/>
    </w:rPr>
  </w:style>
  <w:style w:type="paragraph" w:customStyle="1" w:styleId="ql-align-justify">
    <w:name w:val="ql-align-justify"/>
    <w:basedOn w:val="Normal"/>
    <w:rsid w:val="00E444D5"/>
    <w:pPr>
      <w:suppressAutoHyphens w:val="0"/>
      <w:spacing w:before="100" w:beforeAutospacing="1" w:after="100" w:afterAutospacing="1" w:line="240" w:lineRule="auto"/>
    </w:pPr>
    <w:rPr>
      <w:sz w:val="24"/>
      <w:szCs w:val="24"/>
      <w:lang w:val="es-PE" w:eastAsia="es-ES_tradnl"/>
    </w:rPr>
  </w:style>
  <w:style w:type="character" w:customStyle="1" w:styleId="cf01">
    <w:name w:val="cf01"/>
    <w:basedOn w:val="DefaultParagraphFont"/>
    <w:rsid w:val="00E444D5"/>
    <w:rPr>
      <w:rFonts w:ascii="Segoe UI" w:hAnsi="Segoe UI" w:cs="Segoe UI" w:hint="default"/>
      <w:sz w:val="18"/>
      <w:szCs w:val="18"/>
    </w:rPr>
  </w:style>
  <w:style w:type="character" w:customStyle="1" w:styleId="cf11">
    <w:name w:val="cf11"/>
    <w:basedOn w:val="DefaultParagraphFont"/>
    <w:rsid w:val="00E444D5"/>
    <w:rPr>
      <w:rFonts w:ascii="Segoe UI" w:hAnsi="Segoe UI" w:cs="Segoe UI" w:hint="default"/>
      <w:sz w:val="18"/>
      <w:szCs w:val="18"/>
    </w:rPr>
  </w:style>
  <w:style w:type="paragraph" w:customStyle="1" w:styleId="pf0">
    <w:name w:val="pf0"/>
    <w:basedOn w:val="Normal"/>
    <w:rsid w:val="00E444D5"/>
    <w:pPr>
      <w:suppressAutoHyphens w:val="0"/>
      <w:spacing w:before="100" w:beforeAutospacing="1" w:after="100" w:afterAutospacing="1" w:line="240" w:lineRule="auto"/>
    </w:pPr>
    <w:rPr>
      <w:sz w:val="24"/>
      <w:szCs w:val="24"/>
      <w:lang w:val="en-US" w:eastAsia="zh-CN"/>
    </w:rPr>
  </w:style>
  <w:style w:type="paragraph" w:customStyle="1" w:styleId="ParaNoG">
    <w:name w:val="_ParaNo._G"/>
    <w:basedOn w:val="SingleTxtG"/>
    <w:rsid w:val="00E444D5"/>
    <w:pPr>
      <w:tabs>
        <w:tab w:val="num" w:pos="0"/>
        <w:tab w:val="left" w:pos="1701"/>
        <w:tab w:val="left" w:pos="2268"/>
      </w:tabs>
    </w:pPr>
    <w:rPr>
      <w:rFonts w:eastAsia="SimSun"/>
      <w:lang w:val="en-GB" w:eastAsia="zh-CN"/>
    </w:rPr>
  </w:style>
  <w:style w:type="character" w:styleId="Mention">
    <w:name w:val="Mention"/>
    <w:basedOn w:val="DefaultParagraphFont"/>
    <w:uiPriority w:val="99"/>
    <w:unhideWhenUsed/>
    <w:rsid w:val="00E444D5"/>
    <w:rPr>
      <w:color w:val="2B579A"/>
      <w:shd w:val="clear" w:color="auto" w:fill="E1DFDD"/>
    </w:rPr>
  </w:style>
  <w:style w:type="character" w:customStyle="1" w:styleId="ui-provider">
    <w:name w:val="ui-provider"/>
    <w:basedOn w:val="DefaultParagraphFont"/>
    <w:rsid w:val="00E444D5"/>
  </w:style>
  <w:style w:type="numbering" w:styleId="111111">
    <w:name w:val="Outline List 2"/>
    <w:basedOn w:val="NoList"/>
    <w:rsid w:val="00E444D5"/>
    <w:pPr>
      <w:numPr>
        <w:numId w:val="16"/>
      </w:numPr>
    </w:pPr>
  </w:style>
  <w:style w:type="paragraph" w:styleId="NormalWeb">
    <w:name w:val="Normal (Web)"/>
    <w:basedOn w:val="Normal"/>
    <w:uiPriority w:val="99"/>
    <w:unhideWhenUsed/>
    <w:rsid w:val="00E444D5"/>
    <w:pPr>
      <w:suppressAutoHyphens w:val="0"/>
      <w:spacing w:line="240" w:lineRule="auto"/>
    </w:pPr>
    <w:rPr>
      <w:rFonts w:ascii="Aptos" w:eastAsiaTheme="minorEastAsia" w:hAnsi="Aptos" w:cs="Aptos"/>
      <w:sz w:val="24"/>
      <w:szCs w:val="24"/>
      <w:lang w:val="en-US" w:eastAsia="zh-CN"/>
    </w:rPr>
  </w:style>
  <w:style w:type="character" w:customStyle="1" w:styleId="EndnoteTextChar">
    <w:name w:val="Endnote Text Char"/>
    <w:aliases w:val="2_G Char"/>
    <w:basedOn w:val="DefaultParagraphFont"/>
    <w:link w:val="EndnoteText"/>
    <w:uiPriority w:val="99"/>
    <w:rsid w:val="00E444D5"/>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en/A/HRC/48/19" TargetMode="External"/><Relationship Id="rId18" Type="http://schemas.openxmlformats.org/officeDocument/2006/relationships/hyperlink" Target="https://www.ohchr.org/en/documents/reports/ahrc4819-situation-human-rights-and-technical-assistance-bolivarian-republic" TargetMode="External"/><Relationship Id="rId26" Type="http://schemas.openxmlformats.org/officeDocument/2006/relationships/hyperlink" Target="https://utopix.cc/pix/noviembre-de-2023-son-17-femicidios-en-venezuela-para-un-total-de-186-casos-en-11-meses/" TargetMode="External"/><Relationship Id="rId39" Type="http://schemas.openxmlformats.org/officeDocument/2006/relationships/hyperlink" Target="https://unaventanaalalibertad.org/wp-content/uploads/2024/02/UVL.-Informe-anual-2023-final.pdf" TargetMode="External"/><Relationship Id="rId21" Type="http://schemas.openxmlformats.org/officeDocument/2006/relationships/hyperlink" Target="https://kape-kape.one/2023/06/01/oipus-solicito-al-ministerio-indigena-reactivar-la-comision-de-demarcacion-de-tierras/" TargetMode="External"/><Relationship Id="rId34" Type="http://schemas.openxmlformats.org/officeDocument/2006/relationships/hyperlink" Target="https://www.mppsp.gob.ve/index.php/institucional/1987" TargetMode="External"/><Relationship Id="rId42" Type="http://schemas.openxmlformats.org/officeDocument/2006/relationships/hyperlink" Target="http://undocs.org/en/A/HRC/50/59" TargetMode="External"/><Relationship Id="rId47" Type="http://schemas.openxmlformats.org/officeDocument/2006/relationships/hyperlink" Target="https://www.ohchr.org/en/documents/country-reports/ahrc4118-human-rights-bolivarian-republic-venezuela-report-united-nations" TargetMode="External"/><Relationship Id="rId50" Type="http://schemas.openxmlformats.org/officeDocument/2006/relationships/hyperlink" Target="https://www.ohchr.org/en/documents/country-reports/ahrc4755-situation-human-rights-bolivarian-republic-venezuela-report" TargetMode="External"/><Relationship Id="rId7" Type="http://schemas.openxmlformats.org/officeDocument/2006/relationships/hyperlink" Target="https://tbinternet.ohchr.org/_layouts/15/TreatyBodyExternal/TBSearch.aspx?Lang=en&amp;SymbolNo=E/C.12/2000/4" TargetMode="External"/><Relationship Id="rId2" Type="http://schemas.openxmlformats.org/officeDocument/2006/relationships/hyperlink" Target="https://ofac.treasury.gov/recent-actions/20231018_44" TargetMode="External"/><Relationship Id="rId16" Type="http://schemas.openxmlformats.org/officeDocument/2006/relationships/hyperlink" Target="https://tbinternet.ohchr.org/_layouts/15/TreatyBodyExternal/TBSearch.aspx?Lang=en&amp;SymbolNo=E/C.12/2000/4" TargetMode="External"/><Relationship Id="rId29" Type="http://schemas.openxmlformats.org/officeDocument/2006/relationships/hyperlink" Target="https://ipysvenezuela.org/alertas/" TargetMode="External"/><Relationship Id="rId11" Type="http://schemas.openxmlformats.org/officeDocument/2006/relationships/hyperlink" Target="https://www.ohchr.org/es/documents/country-reports/ahrc5354-situation-human-rights-bolivarian-republic-venezuela-report" TargetMode="External"/><Relationship Id="rId24" Type="http://schemas.openxmlformats.org/officeDocument/2006/relationships/hyperlink" Target="https://undocs.org/Home/Mobile?FinalSymbol=CCPR%2FC%2FVEN%2FCO%2F5&amp;Language=E&amp;DeviceType=Desktop&amp;LangRequested=False" TargetMode="External"/><Relationship Id="rId32" Type="http://schemas.openxmlformats.org/officeDocument/2006/relationships/hyperlink" Target="https://www.ohchr.org/en/documents/country-reports/ahrc5354-situation-human-rights-bolivarian-republic-venezuela-report" TargetMode="External"/><Relationship Id="rId37" Type="http://schemas.openxmlformats.org/officeDocument/2006/relationships/hyperlink" Target="https://undocs.org/Home/Mobile?FinalSymbol=A%2FHRC%2F51%2F31%2Fadd.3&amp;Language=E&amp;DeviceType=Desktop&amp;LangRequested=False" TargetMode="External"/><Relationship Id="rId40" Type="http://schemas.openxmlformats.org/officeDocument/2006/relationships/hyperlink" Target="http://www.tsj.gob.ve/-/poder-judicial-promueve-plan-del-impulso-procesal-2024" TargetMode="External"/><Relationship Id="rId45" Type="http://schemas.openxmlformats.org/officeDocument/2006/relationships/hyperlink" Target="https://www.fundaredes.org/2023/12/12/fundaredes-registro-130-personas-desaparecidas-hasta-septiembre-2023/" TargetMode="External"/><Relationship Id="rId53" Type="http://schemas.openxmlformats.org/officeDocument/2006/relationships/hyperlink" Target="https://www.ohchr.org/en/documents/country-reports/ahrc5354-situation-human-rights-bolivarian-republic-venezuela-report" TargetMode="External"/><Relationship Id="rId5" Type="http://schemas.openxmlformats.org/officeDocument/2006/relationships/hyperlink" Target="https://www.bcv.org.ve/seccionportal/tipo-de-cambio-oficial-del-bcv" TargetMode="External"/><Relationship Id="rId10" Type="http://schemas.openxmlformats.org/officeDocument/2006/relationships/hyperlink" Target="https://www.ohchr.org/en/documents/general-comments-and-recommendations/ec1219995-general-comment-no-12-right-adequate-food" TargetMode="External"/><Relationship Id="rId19" Type="http://schemas.openxmlformats.org/officeDocument/2006/relationships/hyperlink" Target="http://www.unicef.org/venezuela/comunicados-prensa/el-ministerio-del-poder-popular-para-el-ecosocialismo-firm%C3%B3-la-declaraci%C3%B3n-0" TargetMode="External"/><Relationship Id="rId31" Type="http://schemas.openxmlformats.org/officeDocument/2006/relationships/hyperlink" Target="http://undocs.org/en/A/HRC/41/18" TargetMode="External"/><Relationship Id="rId44" Type="http://schemas.openxmlformats.org/officeDocument/2006/relationships/hyperlink" Target="https://tbinternet.ohchr.org/_layouts/15/treatybodyexternal/Download.aspx?symbolno=CEDAW%2FC%2FVEN%2FCO%2F9&amp;Lang=en" TargetMode="External"/><Relationship Id="rId52" Type="http://schemas.openxmlformats.org/officeDocument/2006/relationships/hyperlink" Target="https://www.ohchr.org/en/documents/country-reports/ahrc5354-situation-human-rights-bolivarian-republic-venezuela-report" TargetMode="External"/><Relationship Id="rId4" Type="http://schemas.openxmlformats.org/officeDocument/2006/relationships/hyperlink" Target="https://www.bcv.org.ve/estadisticas/consumidor" TargetMode="External"/><Relationship Id="rId9" Type="http://schemas.openxmlformats.org/officeDocument/2006/relationships/hyperlink" Target="https://www.ohchr.org/sites/default/files/documents/issues/food/statements/20240214-eom-statement-venezuela-sr-food-sp.pdf" TargetMode="External"/><Relationship Id="rId14" Type="http://schemas.openxmlformats.org/officeDocument/2006/relationships/hyperlink" Target="http://www.mpppst.gob.ve/mpppstweb/index.php/2024/01/25/foro-de-dialogo-social-oit/" TargetMode="External"/><Relationship Id="rId22" Type="http://schemas.openxmlformats.org/officeDocument/2006/relationships/hyperlink" Target="https://tbinternet.ohchr.org/_layouts/15/treatybodyexternal/Download.aspx?symbolno=CEDAW%2FC%2FVEN%2FCO%2F9&amp;Lang=en" TargetMode="External"/><Relationship Id="rId27" Type="http://schemas.openxmlformats.org/officeDocument/2006/relationships/hyperlink" Target="https://www.cgr.gob.ve/assets/pdf/Sancionados.pdf" TargetMode="External"/><Relationship Id="rId30" Type="http://schemas.openxmlformats.org/officeDocument/2006/relationships/hyperlink" Target="https://www.ohchr.org/en/documents/country-reports/ahrc5059-situation-human-rights-bolivarian-republic-venezuela-report" TargetMode="External"/><Relationship Id="rId35" Type="http://schemas.openxmlformats.org/officeDocument/2006/relationships/hyperlink" Target="https://tbinternet.ohchr.org/_layouts/15/treatybodyexternal/Download.aspx?symbolno=CCPR%2FC%2F114%2FD%2F2038%2F2011&amp;Lang=en" TargetMode="External"/><Relationship Id="rId43" Type="http://schemas.openxmlformats.org/officeDocument/2006/relationships/hyperlink" Target="http://www.mp.gob.ve/index.php/2023/07/28/fiscal-general-propuso-celebracion-de-dos-seminarios-de-capacitacion-contra-la-corrupcion-y-el-trafico-y-la-trata-de-personas/" TargetMode="External"/><Relationship Id="rId48" Type="http://schemas.openxmlformats.org/officeDocument/2006/relationships/hyperlink" Target="https://tbinternet.ohchr.org/_layouts/15/treatybodyexternal/Download.aspx?symbolno=CEDAW%2FC%2FVEN%2FCO%2F9&amp;Lang=en" TargetMode="External"/><Relationship Id="rId8" Type="http://schemas.openxmlformats.org/officeDocument/2006/relationships/hyperlink" Target="https://caleidohumano.org/federacion-venezolana-de-maestros-reporto-80-de-ausentismo-en-el-inicio-del-ano-escolar/" TargetMode="External"/><Relationship Id="rId51" Type="http://schemas.openxmlformats.org/officeDocument/2006/relationships/hyperlink" Target="https://www.ohchr.org/en/documents/country-reports/ahrc5059-situation-human-rights-bolivarian-republic-venezuela-report" TargetMode="External"/><Relationship Id="rId3" Type="http://schemas.openxmlformats.org/officeDocument/2006/relationships/hyperlink" Target="http://www.sunaval.gob.ve/2024/01/16/25594/" TargetMode="External"/><Relationship Id="rId12" Type="http://schemas.openxmlformats.org/officeDocument/2006/relationships/hyperlink" Target="http://undocs.org/en/A/HRC/41/18" TargetMode="External"/><Relationship Id="rId17" Type="http://schemas.openxmlformats.org/officeDocument/2006/relationships/hyperlink" Target="https://undocs.org/Home/Mobile?FinalSymbol=CCPR%2FC%2FVEN%2FCO%2F5&amp;Language=E&amp;DeviceType=Desktop&amp;LangRequested=False" TargetMode="External"/><Relationship Id="rId25" Type="http://schemas.openxmlformats.org/officeDocument/2006/relationships/hyperlink" Target="https://www2.ohchr.org/english/bodies/cedaw/docs/gr_26_on_women_migrant_workers_en.pdf" TargetMode="External"/><Relationship Id="rId33" Type="http://schemas.openxmlformats.org/officeDocument/2006/relationships/hyperlink" Target="https://www.icc-cpi.int/sites/default/files/2023-12/2023-otp-annual-report.pdf" TargetMode="External"/><Relationship Id="rId38" Type="http://schemas.openxmlformats.org/officeDocument/2006/relationships/hyperlink" Target="https://www.ohchr.org/en/documents/country-reports/ahrc5354-situation-human-rights-bolivarian-republic-venezuela-report" TargetMode="External"/><Relationship Id="rId46" Type="http://schemas.openxmlformats.org/officeDocument/2006/relationships/hyperlink" Target="https://tbinternet.ohchr.org/_layouts/15/treatybodyexternal/Download.aspx?symbolno=CEDAW%2FC%2FVEN%2FCO%2F9&amp;Lang=en" TargetMode="External"/><Relationship Id="rId20" Type="http://schemas.openxmlformats.org/officeDocument/2006/relationships/hyperlink" Target="http://www.minec.gob.ve/costas-de-nueve-municipios-fueron-sumadas-al-saneamiento-y-limpieza-de-lago-de-maracaibo/" TargetMode="External"/><Relationship Id="rId41" Type="http://schemas.openxmlformats.org/officeDocument/2006/relationships/hyperlink" Target="https://www.ohchr.org/es/documents/tools-and-resources/line-hearings-justice-systems" TargetMode="External"/><Relationship Id="rId1" Type="http://schemas.openxmlformats.org/officeDocument/2006/relationships/hyperlink" Target="https://humvenezuela.com/wp-content/uploads/2023/10/HumVenezuela-Diagnosticos-comunitarios-Agosto-2023.pdf" TargetMode="External"/><Relationship Id="rId6" Type="http://schemas.openxmlformats.org/officeDocument/2006/relationships/hyperlink" Target="https://humvenezuela.com/wp-content/uploads/2023/10/Community-Diagnostics-Aug-2023-HumVenezuela-2.pdf" TargetMode="External"/><Relationship Id="rId15" Type="http://schemas.openxmlformats.org/officeDocument/2006/relationships/hyperlink" Target="https://mppre.gob.ve/2023/11/20/ops-ratifica-venezuela-pais-libre-sarampion/" TargetMode="External"/><Relationship Id="rId23" Type="http://schemas.openxmlformats.org/officeDocument/2006/relationships/hyperlink" Target="https://www.ohchr.org/en/documents/country-reports/ahrc5354-situation-human-rights-bolivarian-republic-venezuela-report" TargetMode="External"/><Relationship Id="rId28" Type="http://schemas.openxmlformats.org/officeDocument/2006/relationships/hyperlink" Target="http://undocs.org/en/A/HRC/41/18" TargetMode="External"/><Relationship Id="rId36" Type="http://schemas.openxmlformats.org/officeDocument/2006/relationships/hyperlink" Target="https://undocs.org/Home/Mobile?FinalSymbol=A%2FHRC%2F51%2F31%2Fadd.3&amp;Language=E&amp;DeviceType=Desktop&amp;LangRequested=False" TargetMode="External"/><Relationship Id="rId49" Type="http://schemas.openxmlformats.org/officeDocument/2006/relationships/hyperlink" Target="https://www.ohchr.org/en/documents/country-reports/ahrc5354-situation-human-rights-bolivarian-republic-venezuela-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EFCBA-2FAB-411D-BB88-79E17616B366}">
  <ds:schemaRefs>
    <ds:schemaRef ds:uri="http://schemas.microsoft.com/sharepoint/v3/contenttype/forms"/>
  </ds:schemaRefs>
</ds:datastoreItem>
</file>

<file path=customXml/itemProps2.xml><?xml version="1.0" encoding="utf-8"?>
<ds:datastoreItem xmlns:ds="http://schemas.openxmlformats.org/officeDocument/2006/customXml" ds:itemID="{21935A5B-FBC5-4CD9-A5ED-F49B6C4669CA}"/>
</file>

<file path=customXml/itemProps3.xml><?xml version="1.0" encoding="utf-8"?>
<ds:datastoreItem xmlns:ds="http://schemas.openxmlformats.org/officeDocument/2006/customXml" ds:itemID="{AF21004F-76DA-462E-ABAC-A4BCFB8F5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A_S.dotm</Template>
  <TotalTime>134</TotalTime>
  <Pages>18</Pages>
  <Words>9208</Words>
  <Characters>50647</Characters>
  <Application>Microsoft Office Word</Application>
  <DocSecurity>0</DocSecurity>
  <Lines>422</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TEST</dc:creator>
  <cp:lastModifiedBy>Veronique Lanz</cp:lastModifiedBy>
  <cp:revision>2</cp:revision>
  <cp:lastPrinted>2008-01-29T08:30:00Z</cp:lastPrinted>
  <dcterms:created xsi:type="dcterms:W3CDTF">2024-06-28T05:55:00Z</dcterms:created>
  <dcterms:modified xsi:type="dcterms:W3CDTF">2024-06-28T09:09:00Z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reports on HRC website 56th session</vt:lpwstr>
  </property>
</Properties>
</file>