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1725C" w14:textId="757D3697" w:rsidR="00BD452D" w:rsidRPr="00A27AD2" w:rsidRDefault="00BD452D" w:rsidP="00331C1F">
      <w:pPr>
        <w:pStyle w:val="HChG"/>
        <w:rPr>
          <w:lang w:val="fr-FR"/>
        </w:rPr>
      </w:pPr>
      <w:r>
        <w:rPr>
          <w:b w:val="0"/>
          <w:lang w:val="fr-FR"/>
        </w:rPr>
        <w:tab/>
      </w:r>
      <w:r>
        <w:rPr>
          <w:b w:val="0"/>
          <w:lang w:val="fr-FR"/>
        </w:rPr>
        <w:tab/>
      </w:r>
      <w:r>
        <w:rPr>
          <w:b w:val="0"/>
          <w:lang w:val="fr-FR"/>
        </w:rPr>
        <w:tab/>
      </w:r>
      <w:r>
        <w:rPr>
          <w:bCs/>
          <w:lang w:val="fr-FR"/>
        </w:rPr>
        <w:t xml:space="preserve">Document de travail - Préambule </w:t>
      </w:r>
    </w:p>
    <w:p w14:paraId="110D11FC" w14:textId="4170E56E" w:rsidR="00BD452D" w:rsidRPr="00A27AD2" w:rsidRDefault="00BD452D" w:rsidP="00BD452D">
      <w:pPr>
        <w:pStyle w:val="H1G"/>
        <w:ind w:right="992"/>
        <w:rPr>
          <w:lang w:val="fr-FR"/>
        </w:rPr>
      </w:pPr>
      <w:r>
        <w:rPr>
          <w:b w:val="0"/>
          <w:lang w:val="fr-FR"/>
        </w:rPr>
        <w:tab/>
      </w:r>
      <w:r>
        <w:rPr>
          <w:b w:val="0"/>
          <w:lang w:val="fr-FR"/>
        </w:rPr>
        <w:tab/>
      </w:r>
      <w:r w:rsidR="002F2FC2">
        <w:rPr>
          <w:bCs/>
          <w:lang w:val="fr-FR"/>
        </w:rPr>
        <w:t xml:space="preserve">Options et questions directrices en vue de l’élaboration d’un plan d’exécution </w:t>
      </w:r>
      <w:proofErr w:type="gramStart"/>
      <w:r w:rsidR="002F2FC2">
        <w:rPr>
          <w:bCs/>
          <w:lang w:val="fr-FR"/>
        </w:rPr>
        <w:t>suite aux</w:t>
      </w:r>
      <w:proofErr w:type="gramEnd"/>
      <w:r w:rsidR="002F2FC2">
        <w:rPr>
          <w:bCs/>
          <w:lang w:val="fr-FR"/>
        </w:rPr>
        <w:t xml:space="preserve"> conclusions des présidents et présidentes d’organes conventionnels lors de leur 34</w:t>
      </w:r>
      <w:r w:rsidR="002F2FC2">
        <w:rPr>
          <w:bCs/>
          <w:vertAlign w:val="superscript"/>
          <w:lang w:val="fr-FR"/>
        </w:rPr>
        <w:t>e</w:t>
      </w:r>
      <w:r w:rsidR="002F2FC2">
        <w:rPr>
          <w:bCs/>
          <w:lang w:val="fr-FR"/>
        </w:rPr>
        <w:t xml:space="preserve"> réunion en juin 2022</w:t>
      </w:r>
      <w:r>
        <w:rPr>
          <w:bCs/>
          <w:lang w:val="fr-FR"/>
        </w:rPr>
        <w:t xml:space="preserve"> (A/77/228, paragraphes 55-56)</w:t>
      </w:r>
    </w:p>
    <w:p w14:paraId="332F7C98" w14:textId="5BD5406E" w:rsidR="00BD452D" w:rsidRPr="00A27AD2" w:rsidRDefault="00BD452D" w:rsidP="00DF135E">
      <w:pPr>
        <w:pStyle w:val="H1G"/>
        <w:rPr>
          <w:lang w:val="fr-FR"/>
        </w:rPr>
      </w:pPr>
      <w:r>
        <w:rPr>
          <w:b w:val="0"/>
          <w:lang w:val="fr-FR"/>
        </w:rPr>
        <w:tab/>
      </w:r>
      <w:r>
        <w:rPr>
          <w:b w:val="0"/>
          <w:lang w:val="fr-FR"/>
        </w:rPr>
        <w:tab/>
      </w:r>
      <w:r>
        <w:rPr>
          <w:bCs/>
          <w:lang w:val="fr-FR"/>
        </w:rPr>
        <w:t>Haut-Commissariat des Nations Unies aux droits de l’homme, le 29 mai 2023</w:t>
      </w:r>
    </w:p>
    <w:p w14:paraId="1C785EEE" w14:textId="31D1BD09" w:rsidR="00BD452D" w:rsidRPr="00A27AD2" w:rsidRDefault="00BD452D" w:rsidP="00BD452D">
      <w:pPr>
        <w:pStyle w:val="HChG"/>
        <w:rPr>
          <w:lang w:val="fr-FR"/>
        </w:rPr>
      </w:pPr>
      <w:r>
        <w:rPr>
          <w:b w:val="0"/>
          <w:lang w:val="fr-FR"/>
        </w:rPr>
        <w:tab/>
      </w:r>
      <w:r>
        <w:rPr>
          <w:bCs/>
          <w:lang w:val="fr-FR"/>
        </w:rPr>
        <w:t>I.</w:t>
      </w:r>
      <w:r>
        <w:rPr>
          <w:bCs/>
          <w:lang w:val="fr-FR"/>
        </w:rPr>
        <w:tab/>
        <w:t>Introduction</w:t>
      </w:r>
    </w:p>
    <w:p w14:paraId="06E24F8D" w14:textId="4F9A0FDE" w:rsidR="00BD452D" w:rsidRPr="00A27AD2" w:rsidRDefault="00BD452D" w:rsidP="008015CC">
      <w:pPr>
        <w:pStyle w:val="SingleTxtG"/>
        <w:rPr>
          <w:lang w:val="fr-FR"/>
        </w:rPr>
      </w:pPr>
      <w:r>
        <w:rPr>
          <w:lang w:val="fr-FR"/>
        </w:rPr>
        <w:t xml:space="preserve">Lors de sa 34e réunion en juin 2022, les présidents et présidentes des organes conventionnels </w:t>
      </w:r>
      <w:r w:rsidR="00DC37AB">
        <w:rPr>
          <w:lang w:val="fr-FR"/>
        </w:rPr>
        <w:t xml:space="preserve">des Nations </w:t>
      </w:r>
      <w:r w:rsidR="0022373D">
        <w:rPr>
          <w:lang w:val="fr-FR"/>
        </w:rPr>
        <w:t xml:space="preserve">unies </w:t>
      </w:r>
      <w:r>
        <w:rPr>
          <w:lang w:val="fr-FR"/>
        </w:rPr>
        <w:t xml:space="preserve">relatifs aux droits de l’homme </w:t>
      </w:r>
      <w:r w:rsidR="00DC37AB">
        <w:rPr>
          <w:lang w:val="fr-FR"/>
        </w:rPr>
        <w:t>ont</w:t>
      </w:r>
      <w:r>
        <w:rPr>
          <w:lang w:val="fr-FR"/>
        </w:rPr>
        <w:t xml:space="preserve"> formulé des propositions prospectives sur le système des organes conventionnels </w:t>
      </w:r>
      <w:bookmarkStart w:id="0" w:name="_Hlk134551021"/>
      <w:r>
        <w:rPr>
          <w:lang w:val="fr-FR"/>
        </w:rPr>
        <w:t>(</w:t>
      </w:r>
      <w:hyperlink r:id="rId11" w:history="1">
        <w:r>
          <w:rPr>
            <w:rStyle w:val="Hyperlink"/>
            <w:color w:val="0000FF"/>
            <w:lang w:val="fr-FR"/>
          </w:rPr>
          <w:t>A/77/228</w:t>
        </w:r>
      </w:hyperlink>
      <w:r>
        <w:rPr>
          <w:lang w:val="fr-FR"/>
        </w:rPr>
        <w:t>, par. 55-56)</w:t>
      </w:r>
      <w:bookmarkEnd w:id="0"/>
      <w:r>
        <w:rPr>
          <w:lang w:val="fr-FR"/>
        </w:rPr>
        <w:t xml:space="preserve">. </w:t>
      </w:r>
      <w:r w:rsidR="00E10FBF" w:rsidRPr="00E10FBF">
        <w:rPr>
          <w:lang w:val="fr-FR"/>
        </w:rPr>
        <w:t>Ces conclusions unanimes jettent les bases de nouvelles procédures axées sur l’anticipation et l’accessibilité, mais aussi de l’harmonisation desdites procédures, sans oublier la promotion de processus de coordination concret, notamment pour les méthodes de travail</w:t>
      </w:r>
      <w:r>
        <w:rPr>
          <w:lang w:val="fr-FR"/>
        </w:rPr>
        <w:t>. Elles offrent une occasion unique de créer un système d</w:t>
      </w:r>
      <w:r w:rsidR="00E10FBF">
        <w:rPr>
          <w:lang w:val="fr-FR"/>
        </w:rPr>
        <w:t>’</w:t>
      </w:r>
      <w:r>
        <w:rPr>
          <w:lang w:val="fr-FR"/>
        </w:rPr>
        <w:t xml:space="preserve">organes conventionnels efficace, adapté, rentable et cohérent, sans pour autant modifier les traités. Le présent Document de travail propose différentes options et questions d’orientation sur la mise en œuvre des conclusions des présidents et présidentes. </w:t>
      </w:r>
    </w:p>
    <w:p w14:paraId="7697840E" w14:textId="10E44BF6" w:rsidR="00BD452D" w:rsidRPr="00A27AD2" w:rsidRDefault="00BD452D" w:rsidP="008115A1">
      <w:pPr>
        <w:pStyle w:val="HChG"/>
        <w:rPr>
          <w:lang w:val="fr-FR"/>
        </w:rPr>
      </w:pPr>
      <w:r>
        <w:rPr>
          <w:b w:val="0"/>
          <w:lang w:val="fr-FR"/>
        </w:rPr>
        <w:tab/>
      </w:r>
      <w:r>
        <w:rPr>
          <w:bCs/>
          <w:lang w:val="fr-FR"/>
        </w:rPr>
        <w:t>II.</w:t>
      </w:r>
      <w:r>
        <w:rPr>
          <w:bCs/>
          <w:lang w:val="fr-FR"/>
        </w:rPr>
        <w:tab/>
        <w:t>Contexte et objectif</w:t>
      </w:r>
    </w:p>
    <w:p w14:paraId="23B755FE" w14:textId="576C8C00" w:rsidR="00BD452D" w:rsidRPr="00A27AD2" w:rsidRDefault="00BD452D" w:rsidP="008015CC">
      <w:pPr>
        <w:pStyle w:val="SingleTxtG"/>
        <w:rPr>
          <w:lang w:val="fr-FR"/>
        </w:rPr>
      </w:pPr>
      <w:r>
        <w:rPr>
          <w:lang w:val="fr-FR"/>
        </w:rPr>
        <w:t xml:space="preserve">Les conclusions de 2022 des présidents et présidentes constituent la dernière étape d’un processus de renforcement des organes conventionnels qui dure depuis dix ans, puisqu’il a été lancé en 2012 par l’ancienne Haut-Commissaire aux droits de l’homme, Navi </w:t>
      </w:r>
      <w:proofErr w:type="spellStart"/>
      <w:r>
        <w:rPr>
          <w:lang w:val="fr-FR"/>
        </w:rPr>
        <w:t>Pillay</w:t>
      </w:r>
      <w:proofErr w:type="spellEnd"/>
      <w:r>
        <w:rPr>
          <w:lang w:val="fr-FR"/>
        </w:rPr>
        <w:t xml:space="preserve"> (</w:t>
      </w:r>
      <w:hyperlink r:id="rId12">
        <w:r>
          <w:rPr>
            <w:rStyle w:val="Hyperlink"/>
            <w:color w:val="0000FF"/>
            <w:lang w:val="fr-FR"/>
          </w:rPr>
          <w:t>A/66/860</w:t>
        </w:r>
      </w:hyperlink>
      <w:r>
        <w:rPr>
          <w:lang w:val="fr-FR"/>
        </w:rPr>
        <w:t xml:space="preserve">). Le présent Document de travail se fonde sur les différentes conclusions des présidents et présidentes et reflète les résultats du processus de </w:t>
      </w:r>
      <w:proofErr w:type="spellStart"/>
      <w:r>
        <w:rPr>
          <w:lang w:val="fr-FR"/>
        </w:rPr>
        <w:t>cofacilitation</w:t>
      </w:r>
      <w:proofErr w:type="spellEnd"/>
      <w:r>
        <w:rPr>
          <w:lang w:val="fr-FR"/>
        </w:rPr>
        <w:t xml:space="preserve"> de 2020 (</w:t>
      </w:r>
      <w:hyperlink r:id="rId13">
        <w:r>
          <w:rPr>
            <w:rStyle w:val="Hyperlink"/>
            <w:color w:val="0000FF"/>
            <w:lang w:val="fr-FR"/>
          </w:rPr>
          <w:t>A/75/601</w:t>
        </w:r>
      </w:hyperlink>
      <w:r>
        <w:rPr>
          <w:lang w:val="fr-FR"/>
        </w:rPr>
        <w:t xml:space="preserve">). Il est fondé sur la résolution de l’AG </w:t>
      </w:r>
      <w:hyperlink r:id="rId14">
        <w:r>
          <w:rPr>
            <w:rStyle w:val="Hyperlink"/>
            <w:color w:val="0000FF"/>
            <w:lang w:val="fr-FR"/>
          </w:rPr>
          <w:t>68/268</w:t>
        </w:r>
      </w:hyperlink>
      <w:r>
        <w:rPr>
          <w:lang w:val="fr-FR"/>
        </w:rPr>
        <w:t xml:space="preserve">, et tient compte du rapport d’audit </w:t>
      </w:r>
      <w:r w:rsidR="00402E1C">
        <w:rPr>
          <w:lang w:val="fr-FR"/>
        </w:rPr>
        <w:t xml:space="preserve">de </w:t>
      </w:r>
      <w:r>
        <w:rPr>
          <w:lang w:val="fr-FR"/>
        </w:rPr>
        <w:t>2021 du Bureau des services de contrôle interne (cf. résolution de l’AG</w:t>
      </w:r>
      <w:r>
        <w:rPr>
          <w:color w:val="0000FF"/>
          <w:lang w:val="fr-FR"/>
        </w:rPr>
        <w:t xml:space="preserve"> </w:t>
      </w:r>
      <w:hyperlink r:id="rId15">
        <w:r>
          <w:rPr>
            <w:rStyle w:val="Hyperlink"/>
            <w:color w:val="0000FF"/>
            <w:lang w:val="fr-FR"/>
          </w:rPr>
          <w:t>75/252</w:t>
        </w:r>
      </w:hyperlink>
      <w:r>
        <w:rPr>
          <w:lang w:val="fr-FR"/>
        </w:rPr>
        <w:t xml:space="preserve">, par. 54). </w:t>
      </w:r>
    </w:p>
    <w:p w14:paraId="5821EA2F" w14:textId="0A799CA8" w:rsidR="00BD452D" w:rsidRPr="00A27AD2" w:rsidRDefault="00BD452D" w:rsidP="008015CC">
      <w:pPr>
        <w:pStyle w:val="SingleTxtG"/>
        <w:rPr>
          <w:lang w:val="fr-FR"/>
        </w:rPr>
      </w:pPr>
      <w:r>
        <w:rPr>
          <w:lang w:val="fr-FR"/>
        </w:rPr>
        <w:t>Les conclusions des présidents et présidentes ont été positivement mentionnées dans le 4e rapport biennal du Secrétaire général sur l’état du système des organes conventionnels (</w:t>
      </w:r>
      <w:hyperlink r:id="rId16">
        <w:r>
          <w:rPr>
            <w:rStyle w:val="Hyperlink"/>
            <w:color w:val="0000FF"/>
            <w:lang w:val="fr-FR"/>
          </w:rPr>
          <w:t>A/77/279</w:t>
        </w:r>
      </w:hyperlink>
      <w:r>
        <w:rPr>
          <w:lang w:val="fr-FR"/>
        </w:rPr>
        <w:t xml:space="preserve">, paragraphes 63-73) et, bien que sans langage budgétaire correspondant, dans la résolution de l’AG </w:t>
      </w:r>
      <w:hyperlink r:id="rId17">
        <w:r>
          <w:rPr>
            <w:rStyle w:val="Hyperlink"/>
            <w:color w:val="0000FF"/>
            <w:lang w:val="fr-FR"/>
          </w:rPr>
          <w:t>77/210</w:t>
        </w:r>
      </w:hyperlink>
      <w:r>
        <w:rPr>
          <w:lang w:val="fr-FR"/>
        </w:rPr>
        <w:t>. La publication du présent Document de travail intervient à un moment politique important, puisqu’il s’inscrit dans le cadre du 75e anniversaire de la Déclaration universelle des droits de l’homme et répond à l’« </w:t>
      </w:r>
      <w:hyperlink r:id="rId18">
        <w:r>
          <w:rPr>
            <w:rStyle w:val="Hyperlink"/>
            <w:color w:val="0000FF"/>
            <w:lang w:val="fr-FR"/>
          </w:rPr>
          <w:t>Appel à l’action en faveur des droits humains</w:t>
        </w:r>
      </w:hyperlink>
      <w:r>
        <w:rPr>
          <w:lang w:val="fr-FR"/>
        </w:rPr>
        <w:t> » (2020) du Secrétaire général, ainsi qu’à son rapport « </w:t>
      </w:r>
      <w:hyperlink r:id="rId19">
        <w:r>
          <w:rPr>
            <w:rStyle w:val="Hyperlink"/>
            <w:color w:val="0000FF"/>
            <w:lang w:val="fr-FR"/>
          </w:rPr>
          <w:t>Notre programme commun</w:t>
        </w:r>
      </w:hyperlink>
      <w:r>
        <w:rPr>
          <w:lang w:val="fr-FR"/>
        </w:rPr>
        <w:t xml:space="preserve"> » (2021). </w:t>
      </w:r>
    </w:p>
    <w:p w14:paraId="2821F587" w14:textId="7D08104A" w:rsidR="00BD452D" w:rsidRPr="00A27AD2" w:rsidRDefault="00BD452D" w:rsidP="00BD452D">
      <w:pPr>
        <w:pStyle w:val="HChG"/>
        <w:rPr>
          <w:lang w:val="fr-FR"/>
        </w:rPr>
      </w:pPr>
      <w:r>
        <w:rPr>
          <w:b w:val="0"/>
          <w:lang w:val="fr-FR"/>
        </w:rPr>
        <w:tab/>
      </w:r>
      <w:r>
        <w:rPr>
          <w:bCs/>
          <w:lang w:val="fr-FR"/>
        </w:rPr>
        <w:t>III.</w:t>
      </w:r>
      <w:r>
        <w:rPr>
          <w:bCs/>
          <w:lang w:val="fr-FR"/>
        </w:rPr>
        <w:tab/>
      </w:r>
      <w:r w:rsidR="00F16C6B">
        <w:rPr>
          <w:bCs/>
          <w:lang w:val="fr-FR"/>
        </w:rPr>
        <w:t>Approche des différentes options et questions</w:t>
      </w:r>
      <w:r>
        <w:rPr>
          <w:bCs/>
          <w:lang w:val="fr-FR"/>
        </w:rPr>
        <w:t xml:space="preserve"> </w:t>
      </w:r>
    </w:p>
    <w:p w14:paraId="693CA5B5" w14:textId="34C491CC" w:rsidR="00BD452D" w:rsidRPr="00A27AD2" w:rsidRDefault="00BD452D" w:rsidP="008015CC">
      <w:pPr>
        <w:pStyle w:val="SingleTxtG"/>
        <w:rPr>
          <w:lang w:val="fr-FR"/>
        </w:rPr>
      </w:pPr>
      <w:r>
        <w:rPr>
          <w:lang w:val="fr-FR"/>
        </w:rPr>
        <w:t>Le présent Document de travail est préparé à la demande des présidents et présidentes pour que le HCDH élabore le plan d’exécution de leurs conclusions (</w:t>
      </w:r>
      <w:hyperlink r:id="rId20">
        <w:r>
          <w:rPr>
            <w:rStyle w:val="Hyperlink"/>
            <w:color w:val="0000FF"/>
            <w:lang w:val="fr-FR"/>
          </w:rPr>
          <w:t>A/77/228</w:t>
        </w:r>
      </w:hyperlink>
      <w:r>
        <w:rPr>
          <w:lang w:val="fr-FR"/>
        </w:rPr>
        <w:t xml:space="preserve">, par. 55 (c), 56) et se fonde sur la responsabilité générale du HCDH, telle qu’elle est énoncée dans la résolution de l’AG </w:t>
      </w:r>
      <w:hyperlink r:id="rId21">
        <w:r>
          <w:rPr>
            <w:rStyle w:val="Hyperlink"/>
            <w:color w:val="0000FF"/>
            <w:lang w:val="fr-FR"/>
          </w:rPr>
          <w:t>48/141</w:t>
        </w:r>
      </w:hyperlink>
      <w:r>
        <w:rPr>
          <w:lang w:val="fr-FR"/>
        </w:rPr>
        <w:t xml:space="preserve"> (par. 4). Le HCDH propose ici des options et des questions directrices adressées aux </w:t>
      </w:r>
      <w:r w:rsidR="00402E1C">
        <w:rPr>
          <w:lang w:val="fr-FR"/>
        </w:rPr>
        <w:t xml:space="preserve">différents </w:t>
      </w:r>
      <w:r>
        <w:rPr>
          <w:lang w:val="fr-FR"/>
        </w:rPr>
        <w:t xml:space="preserve">États et aux </w:t>
      </w:r>
      <w:r w:rsidR="00402E1C">
        <w:rPr>
          <w:lang w:val="fr-FR"/>
        </w:rPr>
        <w:t xml:space="preserve">différents </w:t>
      </w:r>
      <w:r>
        <w:rPr>
          <w:lang w:val="fr-FR"/>
        </w:rPr>
        <w:t xml:space="preserve">membres des organes conventionnels dans le cadre de leurs compétences et responsabilités respectives. Celles-ci intègrent les trois piliers des conclusions des présidents et présidentes (le calendrier d’examens prévisible, l’harmonisation des méthodes de </w:t>
      </w:r>
      <w:r>
        <w:rPr>
          <w:lang w:val="fr-FR"/>
        </w:rPr>
        <w:lastRenderedPageBreak/>
        <w:t>travail et le passage au numérique) et ajoutent les détails techniques nécessaires à la mise en pratique des différentes orientations des présidents et présidentes.</w:t>
      </w:r>
    </w:p>
    <w:p w14:paraId="6D438A64" w14:textId="00146303" w:rsidR="00BD452D" w:rsidRPr="00A27AD2" w:rsidRDefault="00BD452D" w:rsidP="008015CC">
      <w:pPr>
        <w:pStyle w:val="SingleTxtG"/>
        <w:rPr>
          <w:lang w:val="fr-FR"/>
        </w:rPr>
      </w:pPr>
      <w:r>
        <w:rPr>
          <w:lang w:val="fr-FR"/>
        </w:rPr>
        <w:t xml:space="preserve">Les États membres et les Comités doivent répondre aux questions et affiner les options présentées dans ce Document de travail. Dans le cas contraire, le statu quo prévaudra et l’arriéré croissant des rapports d’États en attente d’examen et de plaintes individuelles augmentera. Sans ressources supplémentaires pour couvrir toutes les activités prescrites par les organes conventionnels, le HCDH serait contraint de continuer à réduire ses prestations à un niveau qui peut être soutenu efficacement avec les ressources existantes, empêchant ainsi les organes conventionnels de remplir leurs mandats respectifs, ce qui limiterait l’accès des victimes à leurs droits. Si un plan d’exécution des conclusions des présidents et présidentes peut être convenu, un ajustement correspondant de la formule de calcul des ressources existante dans la résolution de l’AG </w:t>
      </w:r>
      <w:hyperlink r:id="rId22">
        <w:r>
          <w:rPr>
            <w:rStyle w:val="Hyperlink"/>
            <w:color w:val="0000FF"/>
            <w:lang w:val="fr-FR"/>
          </w:rPr>
          <w:t>68/268</w:t>
        </w:r>
      </w:hyperlink>
      <w:r>
        <w:rPr>
          <w:lang w:val="fr-FR"/>
        </w:rPr>
        <w:t xml:space="preserve"> (par. 26-27) seront nécessaires afin de financer les options rentables présentées dans ce Document de travail. Cet objectif pourra être atteint grâce à la résolution biennale de l’AG sur le système des organes conventionnels relatifs aux droits de l’homme prévue pour décembre 2024. </w:t>
      </w:r>
    </w:p>
    <w:p w14:paraId="36EB0C9B" w14:textId="29270AFC" w:rsidR="00BD452D" w:rsidRPr="00A27AD2" w:rsidRDefault="00BD452D" w:rsidP="008115A1">
      <w:pPr>
        <w:pStyle w:val="HChG"/>
        <w:rPr>
          <w:lang w:val="fr-FR"/>
        </w:rPr>
      </w:pPr>
      <w:r>
        <w:rPr>
          <w:b w:val="0"/>
          <w:lang w:val="fr-FR"/>
        </w:rPr>
        <w:tab/>
      </w:r>
      <w:r>
        <w:rPr>
          <w:bCs/>
          <w:lang w:val="fr-FR"/>
        </w:rPr>
        <w:t>IV.</w:t>
      </w:r>
      <w:r>
        <w:rPr>
          <w:bCs/>
          <w:lang w:val="fr-FR"/>
        </w:rPr>
        <w:tab/>
        <w:t xml:space="preserve">Principes directeurs et considérations pratiques </w:t>
      </w:r>
    </w:p>
    <w:p w14:paraId="6DC1C5A3" w14:textId="7C5252FE" w:rsidR="00BD452D" w:rsidRPr="00A27AD2" w:rsidRDefault="00BD452D" w:rsidP="008015CC">
      <w:pPr>
        <w:pStyle w:val="SingleTxtG"/>
        <w:rPr>
          <w:lang w:val="fr-FR"/>
        </w:rPr>
      </w:pPr>
      <w:r>
        <w:rPr>
          <w:lang w:val="fr-FR"/>
        </w:rPr>
        <w:t>Les conclusions des présidents et présidentes visent à « renforcer la protection des titulaires de droits, qui est l’objectif principal au cœur des obligations juridiques de chaque État » (</w:t>
      </w:r>
      <w:hyperlink r:id="rId23" w:history="1">
        <w:r>
          <w:rPr>
            <w:rStyle w:val="Hyperlink"/>
            <w:color w:val="0000FF"/>
            <w:lang w:val="fr-FR"/>
          </w:rPr>
          <w:t>A/77/228</w:t>
        </w:r>
      </w:hyperlink>
      <w:r>
        <w:rPr>
          <w:lang w:val="fr-FR"/>
        </w:rPr>
        <w:t xml:space="preserve">, par. 55 (d)). En outre, le présent Document de travail devra être considéré à la lumière des considérations suivantes : </w:t>
      </w:r>
    </w:p>
    <w:p w14:paraId="3DC7EB16" w14:textId="798DE828" w:rsidR="00BD452D" w:rsidRPr="00A27AD2" w:rsidRDefault="00BD452D" w:rsidP="001426C1">
      <w:pPr>
        <w:pStyle w:val="Bullet1G"/>
        <w:rPr>
          <w:lang w:val="fr-FR"/>
        </w:rPr>
      </w:pPr>
      <w:r>
        <w:rPr>
          <w:lang w:val="fr-FR"/>
        </w:rPr>
        <w:t xml:space="preserve">Les présidents et présidentes ont tiré des conclusions dans </w:t>
      </w:r>
      <w:r w:rsidR="00402E1C">
        <w:rPr>
          <w:lang w:val="fr-FR"/>
        </w:rPr>
        <w:t>leur</w:t>
      </w:r>
      <w:r>
        <w:rPr>
          <w:lang w:val="fr-FR"/>
        </w:rPr>
        <w:t xml:space="preserve"> sphère de compétence</w:t>
      </w:r>
      <w:r w:rsidR="00402E1C">
        <w:rPr>
          <w:lang w:val="fr-FR"/>
        </w:rPr>
        <w:t>,</w:t>
      </w:r>
      <w:r>
        <w:rPr>
          <w:lang w:val="fr-FR"/>
        </w:rPr>
        <w:t xml:space="preserve"> en vertu des mandats des traités juridiquement contraignants existants. </w:t>
      </w:r>
      <w:r w:rsidR="00E0410D">
        <w:rPr>
          <w:lang w:val="fr-FR"/>
        </w:rPr>
        <w:t>Ils</w:t>
      </w:r>
      <w:r>
        <w:rPr>
          <w:lang w:val="fr-FR"/>
        </w:rPr>
        <w:t xml:space="preserve"> se réfère</w:t>
      </w:r>
      <w:r w:rsidR="00E0410D">
        <w:rPr>
          <w:lang w:val="fr-FR"/>
        </w:rPr>
        <w:t>nt</w:t>
      </w:r>
      <w:r>
        <w:rPr>
          <w:lang w:val="fr-FR"/>
        </w:rPr>
        <w:t xml:space="preserve"> aux obligations des États en matière de rapports périodiques, obligations qui sont inscrites dans les traités que les États ont négociés et ratifiés ;</w:t>
      </w:r>
    </w:p>
    <w:p w14:paraId="399281FC" w14:textId="5156B129" w:rsidR="00BD452D" w:rsidRPr="00A27AD2" w:rsidRDefault="00BD452D" w:rsidP="001426C1">
      <w:pPr>
        <w:pStyle w:val="Bullet1G"/>
        <w:rPr>
          <w:lang w:val="fr-FR"/>
        </w:rPr>
      </w:pPr>
      <w:r>
        <w:rPr>
          <w:lang w:val="fr-FR"/>
        </w:rPr>
        <w:t xml:space="preserve">Les États sont les créateurs et les bénéficiaires du système de suivi des traités. Ils ont régulièrement exprimé leurs attentes en matière de synergie, de non-duplication, de complémentarité et de rentabilité ; </w:t>
      </w:r>
    </w:p>
    <w:p w14:paraId="1B676145" w14:textId="0F497C59" w:rsidR="00BD452D" w:rsidRPr="00A27AD2" w:rsidRDefault="00BD452D" w:rsidP="00BD452D">
      <w:pPr>
        <w:pStyle w:val="Bullet1G"/>
        <w:rPr>
          <w:lang w:val="fr-FR"/>
        </w:rPr>
      </w:pPr>
      <w:r>
        <w:rPr>
          <w:lang w:val="fr-FR"/>
        </w:rPr>
        <w:t>Bien que les organes conventionnels soient des entités juridiques distinctes, un système d’</w:t>
      </w:r>
      <w:r>
        <w:rPr>
          <w:i/>
          <w:iCs/>
          <w:lang w:val="fr-FR"/>
        </w:rPr>
        <w:t>organes conventionnels</w:t>
      </w:r>
      <w:r>
        <w:rPr>
          <w:lang w:val="fr-FR"/>
        </w:rPr>
        <w:t xml:space="preserve"> reste une nécessité objective pour raisonner leur travail, étant donné la congruence des dispositions dans divers traités, l’augmentation constante du nombre d’organes conventionnels, l’utilisation de cette notion de </w:t>
      </w:r>
      <w:r>
        <w:rPr>
          <w:i/>
          <w:iCs/>
          <w:lang w:val="fr-FR"/>
        </w:rPr>
        <w:t xml:space="preserve">système </w:t>
      </w:r>
      <w:r>
        <w:rPr>
          <w:lang w:val="fr-FR"/>
        </w:rPr>
        <w:t xml:space="preserve">par États et le fait qu’une duplication inutile nuirait à la crédibilité des organes conventionnels et de l’ensemble du système. </w:t>
      </w:r>
    </w:p>
    <w:p w14:paraId="15A47B93" w14:textId="1401564E" w:rsidR="00BD452D" w:rsidRPr="00A27AD2" w:rsidRDefault="00BD452D" w:rsidP="008115A1">
      <w:pPr>
        <w:pStyle w:val="HChG"/>
        <w:rPr>
          <w:lang w:val="fr-FR"/>
        </w:rPr>
      </w:pPr>
      <w:r>
        <w:rPr>
          <w:b w:val="0"/>
          <w:lang w:val="fr-FR"/>
        </w:rPr>
        <w:tab/>
      </w:r>
      <w:r>
        <w:rPr>
          <w:bCs/>
          <w:lang w:val="fr-FR"/>
        </w:rPr>
        <w:t>V.</w:t>
      </w:r>
      <w:r>
        <w:rPr>
          <w:bCs/>
          <w:lang w:val="fr-FR"/>
        </w:rPr>
        <w:tab/>
        <w:t>Motifs et avantages des différentes modalités de mise en œuvre des trois piliers des conclusion</w:t>
      </w:r>
      <w:r w:rsidR="00624BA2">
        <w:rPr>
          <w:bCs/>
          <w:lang w:val="fr-FR"/>
        </w:rPr>
        <w:t>s</w:t>
      </w:r>
      <w:r>
        <w:rPr>
          <w:bCs/>
          <w:lang w:val="fr-FR"/>
        </w:rPr>
        <w:t xml:space="preserve"> des présidents et présidentes </w:t>
      </w:r>
    </w:p>
    <w:p w14:paraId="62256BC0" w14:textId="77777777" w:rsidR="00BD452D" w:rsidRPr="00B7292F" w:rsidRDefault="00BD452D" w:rsidP="008015CC">
      <w:pPr>
        <w:pStyle w:val="SingleTxtG"/>
        <w:rPr>
          <w:lang w:val="fr-FR"/>
        </w:rPr>
      </w:pPr>
      <w:r>
        <w:rPr>
          <w:lang w:val="fr-FR"/>
        </w:rPr>
        <w:t>L’</w:t>
      </w:r>
      <w:r>
        <w:rPr>
          <w:i/>
          <w:iCs/>
          <w:u w:val="single"/>
          <w:lang w:val="fr-FR"/>
        </w:rPr>
        <w:t>introduction d’un calendrier d’examens prévisible sur 8 ans</w:t>
      </w:r>
      <w:r>
        <w:rPr>
          <w:lang w:val="fr-FR"/>
        </w:rPr>
        <w:t xml:space="preserve"> pour les organes conventionnels qui sont périodiquement contrôlés, mais aussi pour le CED et le SPT « conformément à leurs mandats et pratiques », avec des examens de suivi entre les deux (</w:t>
      </w:r>
      <w:hyperlink r:id="rId24">
        <w:r>
          <w:rPr>
            <w:rStyle w:val="Hyperlink"/>
            <w:color w:val="0000FF"/>
            <w:lang w:val="fr-FR"/>
          </w:rPr>
          <w:t>A/77/228</w:t>
        </w:r>
      </w:hyperlink>
      <w:r>
        <w:rPr>
          <w:lang w:val="fr-FR"/>
        </w:rPr>
        <w:t>, par. 55 (1)(</w:t>
      </w:r>
      <w:proofErr w:type="gramStart"/>
      <w:r>
        <w:rPr>
          <w:lang w:val="fr-FR"/>
        </w:rPr>
        <w:t>a)-</w:t>
      </w:r>
      <w:proofErr w:type="gramEnd"/>
      <w:r>
        <w:rPr>
          <w:lang w:val="fr-FR"/>
        </w:rPr>
        <w:t xml:space="preserve">(b), (e), (h)-(i)), aura les avantages suivants : </w:t>
      </w:r>
    </w:p>
    <w:p w14:paraId="50A38B2D" w14:textId="336F4FB5" w:rsidR="00BD452D" w:rsidRPr="00A27AD2" w:rsidRDefault="00BD452D" w:rsidP="008115A1">
      <w:pPr>
        <w:pStyle w:val="Bullet1G"/>
        <w:rPr>
          <w:rFonts w:eastAsia="Arial"/>
          <w:lang w:val="fr-FR"/>
        </w:rPr>
      </w:pPr>
      <w:r>
        <w:rPr>
          <w:rFonts w:eastAsia="Arial"/>
          <w:lang w:val="fr-FR"/>
        </w:rPr>
        <w:t xml:space="preserve">Remplacer l’imprévisibilité du système actuel par un calendrier de huit ans qui permette aux États et aux autres intervenants de planifier avec certitude et efficacité leurs préparatifs de fond et d’organisation en vue du contrôle et du suivi des États, avec une certaine souplesse en cas de circonstances exceptionnelles ; </w:t>
      </w:r>
    </w:p>
    <w:p w14:paraId="2D1F22CD" w14:textId="610306E1" w:rsidR="00BD452D" w:rsidRPr="00A27AD2" w:rsidRDefault="00BD452D" w:rsidP="008115A1">
      <w:pPr>
        <w:pStyle w:val="Bullet1G"/>
        <w:rPr>
          <w:lang w:val="fr-FR"/>
        </w:rPr>
      </w:pPr>
      <w:r>
        <w:rPr>
          <w:lang w:val="fr-FR"/>
        </w:rPr>
        <w:t>L’égalité de traitement des États parties dans le cadre d’un calendrier d’examens prévisible garanti</w:t>
      </w:r>
      <w:r w:rsidR="00E0410D">
        <w:rPr>
          <w:lang w:val="fr-FR"/>
        </w:rPr>
        <w:t>rait</w:t>
      </w:r>
      <w:r>
        <w:rPr>
          <w:lang w:val="fr-FR"/>
        </w:rPr>
        <w:t xml:space="preserve"> la conformité totale des rapports et l’absence d’accumulation de tout futur retard ;</w:t>
      </w:r>
    </w:p>
    <w:p w14:paraId="1E86EA11" w14:textId="5760BD54" w:rsidR="00BD452D" w:rsidRPr="00A27AD2" w:rsidRDefault="00BD452D" w:rsidP="008115A1">
      <w:pPr>
        <w:pStyle w:val="Bullet1G"/>
        <w:rPr>
          <w:lang w:val="fr-FR"/>
        </w:rPr>
      </w:pPr>
      <w:r>
        <w:rPr>
          <w:lang w:val="fr-FR"/>
        </w:rPr>
        <w:lastRenderedPageBreak/>
        <w:t xml:space="preserve">Offre d’avis d’experts renouvelables, par rapport à l’arriéré actuel qui oblige les États </w:t>
      </w:r>
      <w:r w:rsidR="00624BA2">
        <w:rPr>
          <w:lang w:val="fr-FR"/>
        </w:rPr>
        <w:t>parties</w:t>
      </w:r>
      <w:r>
        <w:rPr>
          <w:lang w:val="fr-FR"/>
        </w:rPr>
        <w:t xml:space="preserve"> à mettre à jour leurs rapports et qui retarde la formulation de recommandations en temps utile ; </w:t>
      </w:r>
    </w:p>
    <w:p w14:paraId="38CE4E9D" w14:textId="6520A691" w:rsidR="00BD452D" w:rsidRPr="00A27AD2" w:rsidRDefault="00BD452D" w:rsidP="008115A1">
      <w:pPr>
        <w:pStyle w:val="Bullet1G"/>
        <w:rPr>
          <w:lang w:val="fr-FR"/>
        </w:rPr>
      </w:pPr>
      <w:r>
        <w:rPr>
          <w:lang w:val="fr-FR"/>
        </w:rPr>
        <w:t>Accroître la complémentarité des examens, ce qui devrait réduire la duplication des questions soulevées par les organes conventionnels et permettre aux États d’optimiser les processus consultatifs nationaux ;</w:t>
      </w:r>
    </w:p>
    <w:p w14:paraId="6B37D063" w14:textId="4EF72008" w:rsidR="00AC2C3D" w:rsidRPr="00A27AD2" w:rsidRDefault="00BD452D" w:rsidP="00331C1F">
      <w:pPr>
        <w:pStyle w:val="Bullet1G"/>
        <w:rPr>
          <w:lang w:val="fr-FR"/>
        </w:rPr>
      </w:pPr>
      <w:r>
        <w:rPr>
          <w:lang w:val="fr-FR"/>
        </w:rPr>
        <w:t xml:space="preserve">Alléger la charge de travail des États parties et de l’ensemble des intervenants en proposant des examens complets et un suivi régulier permettant d’établir un équilibre entre, d’une part, l’importance d’un suivi en temps voulu des différentes questions critiques et d’une visibilité régulière au niveau national dans l’intérêt des détenteurs de droits et, d’autre part, le temps et les ressources devant être investis. </w:t>
      </w:r>
    </w:p>
    <w:p w14:paraId="40B62EF1" w14:textId="354C18E8" w:rsidR="00BD452D" w:rsidRPr="00A27AD2" w:rsidRDefault="00BD452D" w:rsidP="008015CC">
      <w:pPr>
        <w:pStyle w:val="SingleTxtG"/>
        <w:rPr>
          <w:i/>
          <w:iCs/>
          <w:lang w:val="fr-FR"/>
        </w:rPr>
      </w:pPr>
      <w:r>
        <w:rPr>
          <w:i/>
          <w:iCs/>
          <w:lang w:val="fr-FR"/>
        </w:rPr>
        <w:t>Ce Document de travail propose trois calendrier</w:t>
      </w:r>
      <w:r w:rsidR="00E0410D">
        <w:rPr>
          <w:i/>
          <w:iCs/>
          <w:lang w:val="fr-FR"/>
        </w:rPr>
        <w:t>s</w:t>
      </w:r>
      <w:r>
        <w:rPr>
          <w:i/>
          <w:iCs/>
          <w:lang w:val="fr-FR"/>
        </w:rPr>
        <w:t xml:space="preserve"> d’examens prévisible</w:t>
      </w:r>
      <w:r w:rsidR="00624BA2">
        <w:rPr>
          <w:i/>
          <w:iCs/>
          <w:lang w:val="fr-FR"/>
        </w:rPr>
        <w:t>s</w:t>
      </w:r>
      <w:r>
        <w:rPr>
          <w:i/>
          <w:iCs/>
          <w:lang w:val="fr-FR"/>
        </w:rPr>
        <w:t xml:space="preserve"> sur 8 ans : </w:t>
      </w:r>
    </w:p>
    <w:p w14:paraId="2833A3F3" w14:textId="59D4FB31" w:rsidR="00BD452D" w:rsidRPr="00A27AD2" w:rsidRDefault="003A0E34" w:rsidP="00CB2285">
      <w:pPr>
        <w:pStyle w:val="SingleTxtG"/>
        <w:rPr>
          <w:i/>
          <w:iCs/>
          <w:lang w:val="fr-FR"/>
        </w:rPr>
      </w:pPr>
      <w:r>
        <w:rPr>
          <w:lang w:val="fr-FR"/>
        </w:rPr>
        <w:tab/>
      </w:r>
      <w:r>
        <w:rPr>
          <w:lang w:val="fr-FR"/>
        </w:rPr>
        <w:tab/>
      </w:r>
      <w:r>
        <w:rPr>
          <w:i/>
          <w:iCs/>
          <w:lang w:val="fr-FR"/>
        </w:rPr>
        <w:t>(a)</w:t>
      </w:r>
      <w:r>
        <w:rPr>
          <w:i/>
          <w:iCs/>
          <w:lang w:val="fr-FR"/>
        </w:rPr>
        <w:tab/>
        <w:t xml:space="preserve">Dans le cadre de l’option n°1 (les « examens linéaires »), les </w:t>
      </w:r>
      <w:r w:rsidR="00E0410D">
        <w:rPr>
          <w:i/>
          <w:iCs/>
          <w:lang w:val="fr-FR"/>
        </w:rPr>
        <w:t>examens</w:t>
      </w:r>
      <w:r>
        <w:rPr>
          <w:i/>
          <w:iCs/>
          <w:lang w:val="fr-FR"/>
        </w:rPr>
        <w:t xml:space="preserve"> d’un État partie seraient programmés de manière séquentielle, dans la mesure du possible, sur </w:t>
      </w:r>
      <w:r w:rsidR="00E0410D">
        <w:rPr>
          <w:i/>
          <w:iCs/>
          <w:lang w:val="fr-FR"/>
        </w:rPr>
        <w:t>le</w:t>
      </w:r>
      <w:r>
        <w:rPr>
          <w:i/>
          <w:iCs/>
          <w:lang w:val="fr-FR"/>
        </w:rPr>
        <w:t xml:space="preserve"> cycle de huit ans des organes conventionnels qui prévoient des processus d’examens périodiques (si un État partie a ratifié les huit traités prévoyant des examens périodiques, il y aura, en général, un examen par an) ;</w:t>
      </w:r>
    </w:p>
    <w:p w14:paraId="6025774B" w14:textId="1FF37BD1" w:rsidR="00BD452D" w:rsidRPr="00A27AD2" w:rsidRDefault="003A0E34" w:rsidP="00CB2285">
      <w:pPr>
        <w:pStyle w:val="SingleTxtG"/>
        <w:rPr>
          <w:i/>
          <w:iCs/>
          <w:lang w:val="fr-FR"/>
        </w:rPr>
      </w:pPr>
      <w:r>
        <w:rPr>
          <w:lang w:val="fr-FR"/>
        </w:rPr>
        <w:tab/>
      </w:r>
      <w:r>
        <w:rPr>
          <w:lang w:val="fr-FR"/>
        </w:rPr>
        <w:tab/>
      </w:r>
      <w:r>
        <w:rPr>
          <w:i/>
          <w:iCs/>
          <w:lang w:val="fr-FR"/>
        </w:rPr>
        <w:t>(b)</w:t>
      </w:r>
      <w:r>
        <w:rPr>
          <w:i/>
          <w:iCs/>
          <w:lang w:val="fr-FR"/>
        </w:rPr>
        <w:tab/>
        <w:t>Dans le cadre de l’option n°2 (le « regroupement partiel »), les examens au titre des deux pactes seraient programmés consécutivement, au cours d’une année du cycle de huit ans, afin de renforcer l’indivisibilité des droits du PIDCP et du PIDESC, les six autres examens compl</w:t>
      </w:r>
      <w:r w:rsidR="00954453">
        <w:rPr>
          <w:i/>
          <w:iCs/>
          <w:lang w:val="fr-FR"/>
        </w:rPr>
        <w:t>et</w:t>
      </w:r>
      <w:r>
        <w:rPr>
          <w:i/>
          <w:iCs/>
          <w:lang w:val="fr-FR"/>
        </w:rPr>
        <w:t>s se déroulant de manière séquentielle ;</w:t>
      </w:r>
    </w:p>
    <w:p w14:paraId="5C9B3579" w14:textId="1A1E9A0F" w:rsidR="00EA2395" w:rsidRPr="00A27AD2" w:rsidRDefault="003A0E34" w:rsidP="00CB2285">
      <w:pPr>
        <w:pStyle w:val="SingleTxtG"/>
        <w:rPr>
          <w:i/>
          <w:iCs/>
          <w:lang w:val="fr-FR"/>
        </w:rPr>
      </w:pPr>
      <w:r>
        <w:rPr>
          <w:lang w:val="fr-FR"/>
        </w:rPr>
        <w:tab/>
      </w:r>
      <w:r>
        <w:rPr>
          <w:lang w:val="fr-FR"/>
        </w:rPr>
        <w:tab/>
      </w:r>
      <w:r>
        <w:rPr>
          <w:i/>
          <w:iCs/>
          <w:lang w:val="fr-FR"/>
        </w:rPr>
        <w:t>(c)</w:t>
      </w:r>
      <w:r>
        <w:rPr>
          <w:i/>
          <w:iCs/>
          <w:lang w:val="fr-FR"/>
        </w:rPr>
        <w:tab/>
        <w:t xml:space="preserve">Dans le cadre de l’option n°3 (le « regroupement complet »), les examens de deux traités internationaux de défense des droits humains assortis de procédures de rapports périodiques seraient entrepris consécutivement, tous les deux ans, si le calendrier le permet. Les pactes et les conventions seront jumelés lorsque les droits sont similaires, </w:t>
      </w:r>
      <w:r w:rsidR="00434DA6">
        <w:rPr>
          <w:i/>
          <w:iCs/>
          <w:lang w:val="fr-FR"/>
        </w:rPr>
        <w:t>s’ils co</w:t>
      </w:r>
      <w:r w:rsidR="004C15A9">
        <w:rPr>
          <w:i/>
          <w:iCs/>
          <w:lang w:val="fr-FR"/>
        </w:rPr>
        <w:t>ï</w:t>
      </w:r>
      <w:r w:rsidR="00434DA6">
        <w:rPr>
          <w:i/>
          <w:iCs/>
          <w:lang w:val="fr-FR"/>
        </w:rPr>
        <w:t xml:space="preserve">ncident </w:t>
      </w:r>
      <w:r>
        <w:rPr>
          <w:i/>
          <w:iCs/>
          <w:lang w:val="fr-FR"/>
        </w:rPr>
        <w:t xml:space="preserve">et/ou </w:t>
      </w:r>
      <w:r w:rsidR="00434DA6">
        <w:rPr>
          <w:i/>
          <w:iCs/>
          <w:lang w:val="fr-FR"/>
        </w:rPr>
        <w:t xml:space="preserve">s’ils </w:t>
      </w:r>
      <w:r>
        <w:rPr>
          <w:i/>
          <w:iCs/>
          <w:lang w:val="fr-FR"/>
        </w:rPr>
        <w:t xml:space="preserve">sont traditionnellement traités par les mêmes autorités nationales ou intervenants. Ce regroupement faciliterait la préparation des examens sur le fond, ce qui les rendrait également plus efficaces en termes de temps et de coûts pour les États et l’ensemble des intervenants. </w:t>
      </w:r>
    </w:p>
    <w:p w14:paraId="389E18D9" w14:textId="33158BA6" w:rsidR="00BD452D" w:rsidRPr="00A27AD2" w:rsidRDefault="00BD452D" w:rsidP="008015CC">
      <w:pPr>
        <w:pStyle w:val="SingleTxtG"/>
        <w:rPr>
          <w:i/>
          <w:iCs/>
          <w:lang w:val="fr-FR"/>
        </w:rPr>
      </w:pPr>
      <w:r>
        <w:rPr>
          <w:i/>
          <w:iCs/>
          <w:lang w:val="fr-FR"/>
        </w:rPr>
        <w:t xml:space="preserve">Les trois </w:t>
      </w:r>
      <w:r>
        <w:rPr>
          <w:i/>
          <w:iCs/>
          <w:u w:val="single"/>
          <w:lang w:val="fr-FR"/>
        </w:rPr>
        <w:t>options pour les examens de suivi</w:t>
      </w:r>
      <w:r>
        <w:rPr>
          <w:i/>
          <w:iCs/>
          <w:lang w:val="fr-FR"/>
        </w:rPr>
        <w:t xml:space="preserve"> qui ont lieu entre chaque processus d’examen complet sont les suivantes : </w:t>
      </w:r>
    </w:p>
    <w:p w14:paraId="242BFC73" w14:textId="3E7DA02A" w:rsidR="00BD452D" w:rsidRPr="00A27AD2" w:rsidRDefault="003A0E34" w:rsidP="00CB2285">
      <w:pPr>
        <w:pStyle w:val="SingleTxtG"/>
        <w:rPr>
          <w:i/>
          <w:iCs/>
          <w:lang w:val="fr-FR"/>
        </w:rPr>
      </w:pPr>
      <w:r>
        <w:rPr>
          <w:lang w:val="fr-FR"/>
        </w:rPr>
        <w:tab/>
      </w:r>
      <w:r>
        <w:rPr>
          <w:lang w:val="fr-FR"/>
        </w:rPr>
        <w:tab/>
      </w:r>
      <w:r>
        <w:rPr>
          <w:i/>
          <w:iCs/>
          <w:lang w:val="fr-FR"/>
        </w:rPr>
        <w:t>(a)</w:t>
      </w:r>
      <w:r>
        <w:rPr>
          <w:i/>
          <w:iCs/>
          <w:lang w:val="fr-FR"/>
        </w:rPr>
        <w:tab/>
        <w:t>Dans le cadre de l’option n°1, les examens de suivi se fonderaient uniquement sur la correspondance, ce qui est le format actuellement adopté pour les procédures de suivi de nombreux Comités (CAT, CCPR, CED, CEDAW, CERD, CESCR et CMW). Cette option offre simplicité, continuité et une certaine maîtrise des dépenses ;</w:t>
      </w:r>
    </w:p>
    <w:p w14:paraId="4680836C" w14:textId="4FF9D869" w:rsidR="00BD452D" w:rsidRPr="00A27AD2" w:rsidRDefault="003A0E34" w:rsidP="00CB2285">
      <w:pPr>
        <w:pStyle w:val="SingleTxtG"/>
        <w:rPr>
          <w:rFonts w:eastAsia="Arial"/>
          <w:i/>
          <w:iCs/>
          <w:lang w:val="fr-FR"/>
        </w:rPr>
      </w:pPr>
      <w:r>
        <w:rPr>
          <w:lang w:val="fr-FR"/>
        </w:rPr>
        <w:tab/>
      </w:r>
      <w:r>
        <w:rPr>
          <w:lang w:val="fr-FR"/>
        </w:rPr>
        <w:tab/>
      </w:r>
      <w:r>
        <w:rPr>
          <w:i/>
          <w:iCs/>
          <w:lang w:val="fr-FR"/>
        </w:rPr>
        <w:t>(b)</w:t>
      </w:r>
      <w:r>
        <w:rPr>
          <w:i/>
          <w:iCs/>
          <w:lang w:val="fr-FR"/>
        </w:rPr>
        <w:tab/>
        <w:t>Dans le cadre de l’option n°2, l’examen des rapports de suivi pourrait être entrepris selon la méthode actuelle fondée sur la correspondance, avec un dialogue constructif supplémentaire et des sessions informatives proposées par les intervenants à un format hybride ou en ligne. Cette approche permet</w:t>
      </w:r>
      <w:r w:rsidR="00434DA6">
        <w:rPr>
          <w:i/>
          <w:iCs/>
          <w:lang w:val="fr-FR"/>
        </w:rPr>
        <w:t>trait</w:t>
      </w:r>
      <w:r>
        <w:rPr>
          <w:i/>
          <w:iCs/>
          <w:lang w:val="fr-FR"/>
        </w:rPr>
        <w:t xml:space="preserve"> d’atteindre un équilibre entre l’implication directe des organes conventionnels avec les États parties et les différents intervenants, et le respect des délais et objectifs de rentabilité ;</w:t>
      </w:r>
    </w:p>
    <w:p w14:paraId="7969575C" w14:textId="08B659BF" w:rsidR="00331C1F" w:rsidRPr="00A27AD2" w:rsidRDefault="003A0E34" w:rsidP="008015CC">
      <w:pPr>
        <w:pStyle w:val="SingleTxtG"/>
        <w:rPr>
          <w:rFonts w:eastAsia="Arial"/>
          <w:i/>
          <w:iCs/>
          <w:lang w:val="fr-FR"/>
        </w:rPr>
      </w:pPr>
      <w:r>
        <w:rPr>
          <w:lang w:val="fr-FR"/>
        </w:rPr>
        <w:tab/>
      </w:r>
      <w:r>
        <w:rPr>
          <w:lang w:val="fr-FR"/>
        </w:rPr>
        <w:tab/>
      </w:r>
      <w:r>
        <w:rPr>
          <w:i/>
          <w:iCs/>
          <w:lang w:val="fr-FR"/>
        </w:rPr>
        <w:t>(c)</w:t>
      </w:r>
      <w:r>
        <w:rPr>
          <w:i/>
          <w:iCs/>
          <w:lang w:val="fr-FR"/>
        </w:rPr>
        <w:tab/>
        <w:t xml:space="preserve">Dans le cadre de l’option n°3, l’évaluation des recommandations de suivi pourrait être entreprise sous la forme d’une visite in situ, dans l’État partie, par une délégation de membres des organes conventionnels et du personnel du Secrétariat. Tout en maximisant la visibilité et l’implication au niveau national, cette option impliquerait une préparation, une conduite et un suivi de ces missions par les organes conventionnels et le Secrétariat, qui prendraient beaucoup de temps et d’argent aussi bien sur le plan substantiel qu’organisationnel. Une invitation permanente des États parties aux membres des organes conventionnels serait nécessaire afin de garantir un niveau de prévisibilité satisfaisant. </w:t>
      </w:r>
    </w:p>
    <w:p w14:paraId="210B91F9" w14:textId="365AF3AA" w:rsidR="00BD452D" w:rsidRPr="008015CC" w:rsidRDefault="00BD452D" w:rsidP="008015CC">
      <w:pPr>
        <w:pStyle w:val="SingleTxtG"/>
        <w:rPr>
          <w:i/>
          <w:iCs/>
        </w:rPr>
      </w:pPr>
      <w:r>
        <w:rPr>
          <w:i/>
          <w:iCs/>
          <w:lang w:val="fr-FR"/>
        </w:rPr>
        <w:t>L’</w:t>
      </w:r>
      <w:r>
        <w:rPr>
          <w:i/>
          <w:iCs/>
          <w:u w:val="single"/>
          <w:lang w:val="fr-FR"/>
        </w:rPr>
        <w:t>harmonisation des méthodes de travail</w:t>
      </w:r>
      <w:r>
        <w:rPr>
          <w:i/>
          <w:iCs/>
          <w:lang w:val="fr-FR"/>
        </w:rPr>
        <w:t xml:space="preserve"> a été approuvée à l’unanimité par les présidents et présidentes (</w:t>
      </w:r>
      <w:hyperlink r:id="rId25" w:history="1">
        <w:r>
          <w:rPr>
            <w:rStyle w:val="Hyperlink"/>
            <w:i/>
            <w:iCs/>
            <w:color w:val="0000FF"/>
            <w:lang w:val="fr-FR"/>
          </w:rPr>
          <w:t>A/77/228</w:t>
        </w:r>
      </w:hyperlink>
      <w:r>
        <w:rPr>
          <w:i/>
          <w:iCs/>
          <w:lang w:val="fr-FR"/>
        </w:rPr>
        <w:t xml:space="preserve">, par. 55 (5)) et a été demandée avec insistance et à </w:t>
      </w:r>
      <w:r>
        <w:rPr>
          <w:i/>
          <w:iCs/>
          <w:lang w:val="fr-FR"/>
        </w:rPr>
        <w:lastRenderedPageBreak/>
        <w:t xml:space="preserve">plusieurs reprises par l’AG, depuis sa résolution </w:t>
      </w:r>
      <w:hyperlink r:id="rId26" w:history="1">
        <w:r>
          <w:rPr>
            <w:rStyle w:val="Hyperlink"/>
            <w:i/>
            <w:iCs/>
            <w:color w:val="0000FF"/>
            <w:lang w:val="fr-FR"/>
          </w:rPr>
          <w:t>68/268</w:t>
        </w:r>
      </w:hyperlink>
      <w:r>
        <w:rPr>
          <w:i/>
          <w:iCs/>
          <w:lang w:val="fr-FR"/>
        </w:rPr>
        <w:t xml:space="preserve"> historique. Une harmonisation réelle et durable présentera les avantages suivants : </w:t>
      </w:r>
    </w:p>
    <w:p w14:paraId="53EBC8FC" w14:textId="082FEFCD" w:rsidR="00BD452D" w:rsidRPr="00A27AD2" w:rsidRDefault="00BD452D" w:rsidP="00CB2285">
      <w:pPr>
        <w:pStyle w:val="Bullet1G"/>
        <w:rPr>
          <w:lang w:val="fr-FR"/>
        </w:rPr>
      </w:pPr>
      <w:r>
        <w:rPr>
          <w:lang w:val="fr-FR"/>
        </w:rPr>
        <w:t xml:space="preserve">Elle facilitera l’implication des États parties et de l’ensemble des intervenants dans le système des organes conventionnels, tout en tenant compte des spécificités de chaque traité ; </w:t>
      </w:r>
    </w:p>
    <w:p w14:paraId="178A48FC" w14:textId="0F7E4FFA" w:rsidR="00BD452D" w:rsidRPr="00A27AD2" w:rsidRDefault="00BD452D" w:rsidP="00CB2285">
      <w:pPr>
        <w:pStyle w:val="Bullet1G"/>
        <w:rPr>
          <w:lang w:val="fr-FR"/>
        </w:rPr>
      </w:pPr>
      <w:r>
        <w:rPr>
          <w:lang w:val="fr-FR"/>
        </w:rPr>
        <w:t xml:space="preserve">Elle permettra aux États et aux autres intervenants de se concentrer principalement sur leurs préparatifs, au lieu d’être confrontés à une multitude de procédures et de délais qui diffèrent d’un organe conventionnel à l’autre ;  </w:t>
      </w:r>
    </w:p>
    <w:p w14:paraId="2F1EB26E" w14:textId="5E4F2626" w:rsidR="00BD452D" w:rsidRPr="00A27AD2" w:rsidRDefault="00BD452D" w:rsidP="00CB2285">
      <w:pPr>
        <w:pStyle w:val="Bullet1G"/>
        <w:rPr>
          <w:lang w:val="fr-FR"/>
        </w:rPr>
      </w:pPr>
      <w:r>
        <w:rPr>
          <w:lang w:val="fr-FR"/>
        </w:rPr>
        <w:t>Elle raccourcira le délai actuellement long entre la présentation du rapport d’un État partie et son examen, ce qui évite</w:t>
      </w:r>
      <w:r w:rsidR="00434DA6">
        <w:rPr>
          <w:lang w:val="fr-FR"/>
        </w:rPr>
        <w:t>ra</w:t>
      </w:r>
      <w:r>
        <w:rPr>
          <w:lang w:val="fr-FR"/>
        </w:rPr>
        <w:t xml:space="preserve"> tout besoin de mises à jour et permet</w:t>
      </w:r>
      <w:r w:rsidR="00434DA6">
        <w:rPr>
          <w:lang w:val="fr-FR"/>
        </w:rPr>
        <w:t>tra</w:t>
      </w:r>
      <w:r>
        <w:rPr>
          <w:lang w:val="fr-FR"/>
        </w:rPr>
        <w:t xml:space="preserve"> de formuler des recommandations en temps utile ;</w:t>
      </w:r>
    </w:p>
    <w:p w14:paraId="47AFF95B" w14:textId="2FAB87DF" w:rsidR="00BD452D" w:rsidRPr="00A27AD2" w:rsidRDefault="00BD452D" w:rsidP="00CB2285">
      <w:pPr>
        <w:pStyle w:val="Bullet1G"/>
        <w:rPr>
          <w:lang w:val="fr-FR"/>
        </w:rPr>
      </w:pPr>
      <w:r>
        <w:rPr>
          <w:lang w:val="fr-FR"/>
        </w:rPr>
        <w:t xml:space="preserve">Elle permettra de réduire la charge de travail liée à la rédaction de rapports en généralisant une procédure simplifiée qui permettra aux États parties de préparer et d’envoyer des rapports plus ciblés, plus courts et plus substantiels, en </w:t>
      </w:r>
      <w:r w:rsidR="00434DA6">
        <w:rPr>
          <w:lang w:val="fr-FR"/>
        </w:rPr>
        <w:t>donnant</w:t>
      </w:r>
      <w:r>
        <w:rPr>
          <w:lang w:val="fr-FR"/>
        </w:rPr>
        <w:t xml:space="preserve"> priorité à un nombre plus restreint de questions à suivre ;</w:t>
      </w:r>
    </w:p>
    <w:p w14:paraId="44FDF844" w14:textId="5E9BF232" w:rsidR="00BD452D" w:rsidRPr="00A27AD2" w:rsidRDefault="00BD452D" w:rsidP="00CB2285">
      <w:pPr>
        <w:pStyle w:val="Bullet1G"/>
        <w:rPr>
          <w:lang w:val="fr-FR"/>
        </w:rPr>
      </w:pPr>
      <w:r>
        <w:rPr>
          <w:lang w:val="fr-FR"/>
        </w:rPr>
        <w:t>Elle permettra de réduire les doublons dans les observations finales et dans les listes de points à traiter (avant rapport) ;</w:t>
      </w:r>
    </w:p>
    <w:p w14:paraId="12C9712B" w14:textId="1224B546" w:rsidR="00BD452D" w:rsidRPr="00A27AD2" w:rsidRDefault="00BD452D" w:rsidP="003A0E34">
      <w:pPr>
        <w:pStyle w:val="Bullet1G"/>
        <w:rPr>
          <w:lang w:val="fr-FR"/>
        </w:rPr>
      </w:pPr>
      <w:r>
        <w:rPr>
          <w:lang w:val="fr-FR"/>
        </w:rPr>
        <w:t xml:space="preserve">Elle permettra une meilleure accessibilité et la mise en place d’aménagements raisonnables pour les différents intervenants. </w:t>
      </w:r>
    </w:p>
    <w:p w14:paraId="55074654" w14:textId="77777777" w:rsidR="00BD452D" w:rsidRPr="00A27AD2" w:rsidRDefault="00BD452D" w:rsidP="008015CC">
      <w:pPr>
        <w:pStyle w:val="SingleTxtG"/>
        <w:rPr>
          <w:i/>
          <w:iCs/>
          <w:lang w:val="fr-FR"/>
        </w:rPr>
      </w:pPr>
      <w:r>
        <w:rPr>
          <w:i/>
          <w:iCs/>
          <w:lang w:val="fr-FR"/>
        </w:rPr>
        <w:t xml:space="preserve">En plus de nombreuses propositions techniques sur la façon d’aligner les méthodes de travail sur certains aspects spécifiques du processus d’examen des États parties et d’autres activités prescrites par les organes conventionnels, le présent Document de travail propose deux </w:t>
      </w:r>
      <w:r>
        <w:rPr>
          <w:i/>
          <w:iCs/>
          <w:u w:val="single"/>
          <w:lang w:val="fr-FR"/>
        </w:rPr>
        <w:t>options de coordination pour l’harmonisation des méthodes de travail</w:t>
      </w:r>
      <w:r>
        <w:rPr>
          <w:i/>
          <w:iCs/>
          <w:lang w:val="fr-FR"/>
        </w:rPr>
        <w:t> :</w:t>
      </w:r>
    </w:p>
    <w:p w14:paraId="1321D7D7" w14:textId="37BF5992" w:rsidR="00BD452D" w:rsidRPr="00A27AD2" w:rsidRDefault="003A0E34" w:rsidP="00CB2285">
      <w:pPr>
        <w:pStyle w:val="SingleTxtG"/>
        <w:rPr>
          <w:rFonts w:eastAsia="Arial"/>
          <w:i/>
          <w:iCs/>
          <w:lang w:val="fr-FR"/>
        </w:rPr>
      </w:pPr>
      <w:r>
        <w:rPr>
          <w:lang w:val="fr-FR"/>
        </w:rPr>
        <w:tab/>
      </w:r>
      <w:r>
        <w:rPr>
          <w:lang w:val="fr-FR"/>
        </w:rPr>
        <w:tab/>
      </w:r>
      <w:r>
        <w:rPr>
          <w:i/>
          <w:iCs/>
          <w:lang w:val="fr-FR"/>
        </w:rPr>
        <w:t>(a)</w:t>
      </w:r>
      <w:r>
        <w:rPr>
          <w:i/>
          <w:iCs/>
          <w:lang w:val="fr-FR"/>
        </w:rPr>
        <w:tab/>
        <w:t xml:space="preserve">L’option n°1 est la poursuite de la pratique actuelle, selon laquelle les organes conventionnels discutent de l’harmonisation des méthodes de travail lors des réunions annuelles des présidents et présidentes et lors des échanges entre cette dernière et les différents points focaux, de façon ponctuelle, sans implémentation systématique des décisions. La poursuite de cette approche permettrait d’économiser le temps et les efforts nécessaires à la coordination et garantirait la sauvegarde des préférences et des spécificités de chaque organe conventionnel. Toutefois, cette approche risquerait de perpétuer la pléthore de méthodes de travail actuelle à travers laquelle les États et l’ensemble des intervenants doivent naviguer ; </w:t>
      </w:r>
    </w:p>
    <w:p w14:paraId="0F8C54D7" w14:textId="7F4EE68C" w:rsidR="00BD452D" w:rsidRPr="00A27AD2" w:rsidRDefault="003A0E34" w:rsidP="008015CC">
      <w:pPr>
        <w:pStyle w:val="SingleTxtG"/>
        <w:rPr>
          <w:i/>
          <w:iCs/>
          <w:lang w:val="fr-FR"/>
        </w:rPr>
      </w:pPr>
      <w:r>
        <w:rPr>
          <w:lang w:val="fr-FR"/>
        </w:rPr>
        <w:tab/>
      </w:r>
      <w:r>
        <w:rPr>
          <w:lang w:val="fr-FR"/>
        </w:rPr>
        <w:tab/>
      </w:r>
      <w:r>
        <w:rPr>
          <w:i/>
          <w:iCs/>
          <w:lang w:val="fr-FR"/>
        </w:rPr>
        <w:t>(b)</w:t>
      </w:r>
      <w:r>
        <w:rPr>
          <w:i/>
          <w:iCs/>
          <w:lang w:val="fr-FR"/>
        </w:rPr>
        <w:tab/>
        <w:t>L’option n°2 consisterait à établir un mécanisme de coordination, dans le cadre duquel la prise de décision par les présidents et présidentes des organes conventionnels deviendrait déterminante dans ce domaine, avec le soutien de leurs points focaux sur les méthodes de travail. Cette option permettrait d’institutionnaliser une harmonisation systématique des actuelles/nouvelles méthodes de travail, dans un souci de cohérence et d’efficacité qui profiterait aux États et à l’ensemble des intervenants.</w:t>
      </w:r>
    </w:p>
    <w:p w14:paraId="159F69BD" w14:textId="77777777" w:rsidR="00BD452D" w:rsidRPr="00A27AD2" w:rsidRDefault="00BD452D" w:rsidP="00CB2285">
      <w:pPr>
        <w:pStyle w:val="SingleTxtG"/>
        <w:rPr>
          <w:lang w:val="fr-FR"/>
        </w:rPr>
      </w:pPr>
      <w:r>
        <w:rPr>
          <w:lang w:val="fr-FR"/>
        </w:rPr>
        <w:t xml:space="preserve">Enfin, le </w:t>
      </w:r>
      <w:r>
        <w:rPr>
          <w:i/>
          <w:iCs/>
          <w:u w:val="single"/>
          <w:lang w:val="fr-FR"/>
        </w:rPr>
        <w:t xml:space="preserve">passage au numérique </w:t>
      </w:r>
      <w:r>
        <w:rPr>
          <w:lang w:val="fr-FR"/>
        </w:rPr>
        <w:t xml:space="preserve">présente les avantages suivants : </w:t>
      </w:r>
    </w:p>
    <w:p w14:paraId="1FA842E4" w14:textId="3811AF4B" w:rsidR="00BD452D" w:rsidRPr="00A27AD2" w:rsidRDefault="00BD452D" w:rsidP="00CB2285">
      <w:pPr>
        <w:pStyle w:val="Bullet1G"/>
        <w:rPr>
          <w:lang w:val="fr-FR"/>
        </w:rPr>
      </w:pPr>
      <w:r>
        <w:rPr>
          <w:lang w:val="fr-FR"/>
        </w:rPr>
        <w:t xml:space="preserve">Il </w:t>
      </w:r>
      <w:r w:rsidR="001E2A24">
        <w:rPr>
          <w:lang w:val="fr-FR"/>
        </w:rPr>
        <w:t>a simplifié l’</w:t>
      </w:r>
      <w:r>
        <w:rPr>
          <w:lang w:val="fr-FR"/>
        </w:rPr>
        <w:t xml:space="preserve">implication des États, des victimes et de l’ensemble des intervenants, grâce à une page Web commune, une plateforme commune de présentation et de gestion des documents pour les rapports et requêtes, en </w:t>
      </w:r>
      <w:r w:rsidR="001E2A24">
        <w:rPr>
          <w:lang w:val="fr-FR"/>
        </w:rPr>
        <w:t>proposant</w:t>
      </w:r>
      <w:r>
        <w:rPr>
          <w:lang w:val="fr-FR"/>
        </w:rPr>
        <w:t xml:space="preserve"> </w:t>
      </w:r>
      <w:r w:rsidR="001E2A24">
        <w:rPr>
          <w:lang w:val="fr-FR"/>
        </w:rPr>
        <w:t xml:space="preserve">notamment </w:t>
      </w:r>
      <w:r>
        <w:rPr>
          <w:lang w:val="fr-FR"/>
        </w:rPr>
        <w:t xml:space="preserve">d’autres formats de présentation pour ceux qui n’ont pas accès aux outils numériques nécessaires ; </w:t>
      </w:r>
    </w:p>
    <w:p w14:paraId="151AE665" w14:textId="4BE92F0B" w:rsidR="00BD452D" w:rsidRPr="00A27AD2" w:rsidRDefault="00BD452D" w:rsidP="00CB2285">
      <w:pPr>
        <w:pStyle w:val="Bullet1G"/>
        <w:rPr>
          <w:lang w:val="fr-FR"/>
        </w:rPr>
      </w:pPr>
      <w:r>
        <w:rPr>
          <w:lang w:val="fr-FR"/>
        </w:rPr>
        <w:t xml:space="preserve">Grâce à des outils informatiques compatibles avec les fonctionnalités de rédaction collaborative, la compilation automatisée d’informations, la production automatisée d’ordres du jour et d’autres documents liés à la session, </w:t>
      </w:r>
      <w:r w:rsidR="001E2A24">
        <w:rPr>
          <w:lang w:val="fr-FR"/>
        </w:rPr>
        <w:t>le passage au numérique</w:t>
      </w:r>
      <w:r>
        <w:rPr>
          <w:lang w:val="fr-FR"/>
        </w:rPr>
        <w:t xml:space="preserve"> permet de gagner du temps et d’obtenir des résultats substantiels dans le travail des organes conventionnels ; </w:t>
      </w:r>
    </w:p>
    <w:p w14:paraId="440561B2" w14:textId="10EC210D" w:rsidR="00BD452D" w:rsidRPr="00A27AD2" w:rsidRDefault="00BD452D" w:rsidP="00CB2285">
      <w:pPr>
        <w:pStyle w:val="Bullet1G"/>
        <w:rPr>
          <w:lang w:val="fr-FR"/>
        </w:rPr>
      </w:pPr>
      <w:r>
        <w:rPr>
          <w:lang w:val="fr-FR"/>
        </w:rPr>
        <w:t>Il facilite les activités de renforcement des capacités à l’aide de moyens numériques ;</w:t>
      </w:r>
    </w:p>
    <w:p w14:paraId="15054B3F" w14:textId="00D65438" w:rsidR="00BD452D" w:rsidRPr="00A27AD2" w:rsidRDefault="00BD452D" w:rsidP="003A0E34">
      <w:pPr>
        <w:pStyle w:val="Bullet1G"/>
        <w:rPr>
          <w:lang w:val="fr-FR"/>
        </w:rPr>
      </w:pPr>
      <w:r>
        <w:rPr>
          <w:lang w:val="fr-FR"/>
        </w:rPr>
        <w:lastRenderedPageBreak/>
        <w:t xml:space="preserve">Le système de l’organe conventionnel est suffisamment efficace pour faire face à sa constante croissance. </w:t>
      </w:r>
    </w:p>
    <w:p w14:paraId="692718CE" w14:textId="1EA49013" w:rsidR="00CB2285" w:rsidRPr="00A27AD2" w:rsidRDefault="00BD452D" w:rsidP="00CB2285">
      <w:pPr>
        <w:pStyle w:val="SingleTxtG"/>
        <w:rPr>
          <w:i/>
          <w:iCs/>
          <w:lang w:val="fr-FR"/>
        </w:rPr>
      </w:pPr>
      <w:r>
        <w:rPr>
          <w:i/>
          <w:iCs/>
          <w:lang w:val="fr-FR"/>
        </w:rPr>
        <w:t xml:space="preserve">Ce Document de travail propose plusieurs </w:t>
      </w:r>
      <w:r>
        <w:rPr>
          <w:i/>
          <w:iCs/>
          <w:u w:val="single"/>
          <w:lang w:val="fr-FR"/>
        </w:rPr>
        <w:t>outils informatiques</w:t>
      </w:r>
      <w:r>
        <w:rPr>
          <w:i/>
          <w:iCs/>
          <w:lang w:val="fr-FR"/>
        </w:rPr>
        <w:t xml:space="preserve"> permettant de s’éloigner des pratiques actuelles qui se caractérisent par des échanges sur papier et par </w:t>
      </w:r>
      <w:proofErr w:type="gramStart"/>
      <w:r>
        <w:rPr>
          <w:i/>
          <w:iCs/>
          <w:lang w:val="fr-FR"/>
        </w:rPr>
        <w:t>e-mail</w:t>
      </w:r>
      <w:proofErr w:type="gramEnd"/>
      <w:r>
        <w:rPr>
          <w:i/>
          <w:iCs/>
          <w:lang w:val="fr-FR"/>
        </w:rPr>
        <w:t xml:space="preserve">, avec une utilisation limitée et incohérente de bases de données, pour la plupart non connectées, et un partage d’informations qui n’est pas toujours opportun. Les options proposées sont les suivantes : </w:t>
      </w:r>
    </w:p>
    <w:p w14:paraId="1C2C9FA1" w14:textId="75E0FC4D" w:rsidR="00BD452D" w:rsidRPr="00A27AD2" w:rsidRDefault="003A0E34" w:rsidP="003A0E34">
      <w:pPr>
        <w:pStyle w:val="Bullet1G"/>
        <w:numPr>
          <w:ilvl w:val="0"/>
          <w:numId w:val="0"/>
        </w:numPr>
        <w:ind w:left="1701"/>
        <w:rPr>
          <w:i/>
          <w:iCs/>
          <w:lang w:val="fr-FR"/>
        </w:rPr>
      </w:pPr>
      <w:r>
        <w:rPr>
          <w:lang w:val="fr-FR"/>
        </w:rPr>
        <w:tab/>
      </w:r>
      <w:r>
        <w:rPr>
          <w:i/>
          <w:iCs/>
          <w:lang w:val="fr-FR"/>
        </w:rPr>
        <w:t>1.</w:t>
      </w:r>
      <w:r>
        <w:rPr>
          <w:i/>
          <w:iCs/>
          <w:lang w:val="fr-FR"/>
        </w:rPr>
        <w:tab/>
        <w:t>Une page Web et une base de données communes sur la Procédure simplifiée de présentation des rapports (PRS) ;</w:t>
      </w:r>
    </w:p>
    <w:p w14:paraId="76F4A4E6" w14:textId="1FE9CE78" w:rsidR="00BD452D" w:rsidRPr="00A27AD2" w:rsidRDefault="003A0E34" w:rsidP="003A0E34">
      <w:pPr>
        <w:pStyle w:val="Bullet1G"/>
        <w:numPr>
          <w:ilvl w:val="0"/>
          <w:numId w:val="0"/>
        </w:numPr>
        <w:ind w:left="1701"/>
        <w:rPr>
          <w:i/>
          <w:iCs/>
          <w:lang w:val="fr-FR"/>
        </w:rPr>
      </w:pPr>
      <w:r>
        <w:rPr>
          <w:lang w:val="fr-FR"/>
        </w:rPr>
        <w:tab/>
      </w:r>
      <w:r>
        <w:rPr>
          <w:i/>
          <w:iCs/>
          <w:lang w:val="fr-FR"/>
        </w:rPr>
        <w:t>2.</w:t>
      </w:r>
      <w:r>
        <w:rPr>
          <w:i/>
          <w:iCs/>
          <w:lang w:val="fr-FR"/>
        </w:rPr>
        <w:tab/>
        <w:t>Des plateformes de contribution et de gestion des documents communes et conviviales qui permettent un accès simplifié aux documents accessibles au public des audiences externes ;</w:t>
      </w:r>
    </w:p>
    <w:p w14:paraId="2266FB5A" w14:textId="0828F73B" w:rsidR="00BD452D" w:rsidRPr="00A27AD2" w:rsidRDefault="003A0E34" w:rsidP="003A0E34">
      <w:pPr>
        <w:pStyle w:val="Bullet1G"/>
        <w:numPr>
          <w:ilvl w:val="0"/>
          <w:numId w:val="0"/>
        </w:numPr>
        <w:ind w:left="1701"/>
        <w:rPr>
          <w:i/>
          <w:iCs/>
          <w:lang w:val="fr-FR"/>
        </w:rPr>
      </w:pPr>
      <w:r>
        <w:rPr>
          <w:lang w:val="fr-FR"/>
        </w:rPr>
        <w:tab/>
      </w:r>
      <w:r>
        <w:rPr>
          <w:i/>
          <w:iCs/>
          <w:lang w:val="fr-FR"/>
        </w:rPr>
        <w:t>3.</w:t>
      </w:r>
      <w:r>
        <w:rPr>
          <w:i/>
          <w:iCs/>
          <w:lang w:val="fr-FR"/>
        </w:rPr>
        <w:tab/>
        <w:t>Une plateforme de rédaction collaborative en ligne pour les membres des organes conventionnels et le personnel du Secrétariat ;</w:t>
      </w:r>
    </w:p>
    <w:p w14:paraId="63C55F78" w14:textId="15C15946" w:rsidR="00BD452D" w:rsidRPr="00A27AD2" w:rsidRDefault="00CB2285" w:rsidP="003A0E34">
      <w:pPr>
        <w:pStyle w:val="Bullet1G"/>
        <w:numPr>
          <w:ilvl w:val="0"/>
          <w:numId w:val="0"/>
        </w:numPr>
        <w:ind w:left="1701"/>
        <w:rPr>
          <w:i/>
          <w:iCs/>
          <w:lang w:val="fr-FR"/>
        </w:rPr>
      </w:pPr>
      <w:r>
        <w:rPr>
          <w:i/>
          <w:iCs/>
          <w:lang w:val="fr-FR"/>
        </w:rPr>
        <w:t>4.</w:t>
      </w:r>
      <w:r>
        <w:rPr>
          <w:i/>
          <w:iCs/>
          <w:lang w:val="fr-FR"/>
        </w:rPr>
        <w:tab/>
        <w:t xml:space="preserve">L’établissement automatique d’une liste de documents sur les développements et les progrès en matière de droits humains dans les États parties ; </w:t>
      </w:r>
    </w:p>
    <w:p w14:paraId="4C4A9356" w14:textId="05FB8EDE" w:rsidR="00CB2285" w:rsidRPr="00A27AD2" w:rsidRDefault="00CB2285" w:rsidP="003A0E34">
      <w:pPr>
        <w:pStyle w:val="Bullet1G"/>
        <w:numPr>
          <w:ilvl w:val="0"/>
          <w:numId w:val="0"/>
        </w:numPr>
        <w:ind w:left="1701"/>
        <w:rPr>
          <w:i/>
          <w:iCs/>
          <w:lang w:val="fr-FR"/>
        </w:rPr>
      </w:pPr>
      <w:r>
        <w:rPr>
          <w:i/>
          <w:iCs/>
          <w:lang w:val="fr-FR"/>
        </w:rPr>
        <w:t>5.</w:t>
      </w:r>
      <w:r>
        <w:rPr>
          <w:i/>
          <w:iCs/>
          <w:lang w:val="fr-FR"/>
        </w:rPr>
        <w:tab/>
        <w:t xml:space="preserve">L’automatisation accrue de l’élaboration et du traitement de la documentation standard relative aux sessions. </w:t>
      </w:r>
    </w:p>
    <w:p w14:paraId="09D7B846" w14:textId="2765DD96" w:rsidR="00BD452D" w:rsidRPr="00A27AD2" w:rsidRDefault="00BD452D" w:rsidP="00AE13EA">
      <w:pPr>
        <w:pStyle w:val="SingleTxtG"/>
        <w:rPr>
          <w:i/>
          <w:iCs/>
          <w:lang w:val="fr-FR"/>
        </w:rPr>
      </w:pPr>
      <w:r>
        <w:rPr>
          <w:i/>
          <w:iCs/>
          <w:lang w:val="fr-FR"/>
        </w:rPr>
        <w:t xml:space="preserve">En outre, les outils de renforcement des capacités destinés aux États et à l’ensemble des intervenants sont en cours de numérisation dans le cadre du programme de renforcement des capacités des organes conventionnels du HCDH. </w:t>
      </w:r>
    </w:p>
    <w:p w14:paraId="33C51319" w14:textId="0FF4810B" w:rsidR="00BD452D" w:rsidRPr="00A27AD2" w:rsidRDefault="00BD452D" w:rsidP="00BD452D">
      <w:pPr>
        <w:pStyle w:val="HChG"/>
        <w:rPr>
          <w:lang w:val="fr-FR"/>
        </w:rPr>
      </w:pPr>
      <w:r>
        <w:rPr>
          <w:b w:val="0"/>
          <w:lang w:val="fr-FR"/>
        </w:rPr>
        <w:tab/>
      </w:r>
      <w:r>
        <w:rPr>
          <w:bCs/>
          <w:lang w:val="fr-FR"/>
        </w:rPr>
        <w:t>VI.</w:t>
      </w:r>
      <w:r>
        <w:rPr>
          <w:bCs/>
          <w:lang w:val="fr-FR"/>
        </w:rPr>
        <w:tab/>
        <w:t>La voie à suivre suggérée</w:t>
      </w:r>
    </w:p>
    <w:p w14:paraId="359C1429" w14:textId="798B28FA" w:rsidR="00BD452D" w:rsidRPr="00A27AD2" w:rsidRDefault="00BD452D" w:rsidP="0058629E">
      <w:pPr>
        <w:pStyle w:val="SingleTxtG"/>
        <w:rPr>
          <w:lang w:val="fr-FR"/>
        </w:rPr>
      </w:pPr>
      <w:r>
        <w:rPr>
          <w:lang w:val="fr-FR"/>
        </w:rPr>
        <w:t xml:space="preserve">Pour les États membres, il est important de savoir quand le « processus en cours d’examen de l’état du système des organes conventionnels relatifs aux droits de l’homme » (la résolution GA </w:t>
      </w:r>
      <w:hyperlink r:id="rId27">
        <w:r>
          <w:rPr>
            <w:rStyle w:val="Hyperlink"/>
            <w:color w:val="0000FF"/>
            <w:lang w:val="fr-FR"/>
          </w:rPr>
          <w:t>77/210</w:t>
        </w:r>
      </w:hyperlink>
      <w:r>
        <w:rPr>
          <w:lang w:val="fr-FR"/>
        </w:rPr>
        <w:t xml:space="preserve">, PP9) sera prêt pour leur décision. Le présent Document de travail suggère que la résolution biennale de l’AG sur le système des organes conventionnels relatifs aux droits de l’homme, prévue pour décembre 2024, est le moment et le véhicule le plus logique pour une telle décision. Pour ce faire, les États, éventuellement par l’intermédiaire des </w:t>
      </w:r>
      <w:proofErr w:type="spellStart"/>
      <w:r>
        <w:rPr>
          <w:lang w:val="fr-FR"/>
        </w:rPr>
        <w:t>co</w:t>
      </w:r>
      <w:proofErr w:type="spellEnd"/>
      <w:r>
        <w:rPr>
          <w:lang w:val="fr-FR"/>
        </w:rPr>
        <w:t xml:space="preserve">-parrains de la résolution GA </w:t>
      </w:r>
      <w:hyperlink r:id="rId28" w:history="1">
        <w:r>
          <w:rPr>
            <w:rStyle w:val="Hyperlink"/>
            <w:color w:val="0000FF"/>
            <w:lang w:val="fr-FR"/>
          </w:rPr>
          <w:t>77/210</w:t>
        </w:r>
      </w:hyperlink>
      <w:r>
        <w:rPr>
          <w:color w:val="0000FF"/>
          <w:lang w:val="fr-FR"/>
        </w:rPr>
        <w:t xml:space="preserve">, </w:t>
      </w:r>
      <w:r>
        <w:rPr>
          <w:lang w:val="fr-FR"/>
        </w:rPr>
        <w:t>devraient commencer à s’</w:t>
      </w:r>
      <w:r w:rsidR="00624BA2">
        <w:rPr>
          <w:lang w:val="fr-FR"/>
        </w:rPr>
        <w:t>impliquer</w:t>
      </w:r>
      <w:r>
        <w:rPr>
          <w:lang w:val="fr-FR"/>
        </w:rPr>
        <w:t xml:space="preserve"> régulièrement avec les présidents et présidentes et le HCDH. Le </w:t>
      </w:r>
      <w:proofErr w:type="spellStart"/>
      <w:r>
        <w:rPr>
          <w:lang w:val="fr-FR"/>
        </w:rPr>
        <w:t>Haut Commissaire</w:t>
      </w:r>
      <w:proofErr w:type="spellEnd"/>
      <w:r>
        <w:rPr>
          <w:lang w:val="fr-FR"/>
        </w:rPr>
        <w:t xml:space="preserve"> des Nations Unies aux droits de l’homme a l’intention d’entamer de telles discussions structurées. </w:t>
      </w:r>
    </w:p>
    <w:p w14:paraId="3FBE43B5" w14:textId="20313095" w:rsidR="00BD452D" w:rsidRPr="00A27AD2" w:rsidRDefault="00331C1F" w:rsidP="00AE13EA">
      <w:pPr>
        <w:pStyle w:val="SingleTxtG"/>
        <w:rPr>
          <w:lang w:val="fr-FR"/>
        </w:rPr>
      </w:pPr>
      <w:r>
        <w:rPr>
          <w:lang w:val="fr-FR"/>
        </w:rPr>
        <w:tab/>
      </w:r>
      <w:r>
        <w:rPr>
          <w:lang w:val="fr-FR"/>
        </w:rPr>
        <w:tab/>
        <w:t>(a)</w:t>
      </w:r>
      <w:r>
        <w:rPr>
          <w:lang w:val="fr-FR"/>
        </w:rPr>
        <w:tab/>
        <w:t>Le HC s’engagera auprès des présidents et présidentes d’organe conventionnel lors de leur 35</w:t>
      </w:r>
      <w:r>
        <w:rPr>
          <w:vertAlign w:val="superscript"/>
          <w:lang w:val="fr-FR"/>
        </w:rPr>
        <w:t>e</w:t>
      </w:r>
      <w:r>
        <w:rPr>
          <w:lang w:val="fr-FR"/>
        </w:rPr>
        <w:t xml:space="preserve"> réunion annuelle (du 29 mai au 2 juin), afin de commencer les discussions sur le Document de travail, dans le but de solliciter des commentaires concrets de leur part sur les différentes options et questions directrices qu’il contient ; </w:t>
      </w:r>
    </w:p>
    <w:p w14:paraId="0138564B" w14:textId="505A0035" w:rsidR="00BD452D" w:rsidRPr="00A27AD2" w:rsidRDefault="00331C1F" w:rsidP="00AE13EA">
      <w:pPr>
        <w:pStyle w:val="SingleTxtG"/>
        <w:rPr>
          <w:lang w:val="fr-FR"/>
        </w:rPr>
      </w:pPr>
      <w:r>
        <w:rPr>
          <w:lang w:val="fr-FR"/>
        </w:rPr>
        <w:tab/>
      </w:r>
      <w:r>
        <w:rPr>
          <w:lang w:val="fr-FR"/>
        </w:rPr>
        <w:tab/>
        <w:t>(b)</w:t>
      </w:r>
      <w:r>
        <w:rPr>
          <w:lang w:val="fr-FR"/>
        </w:rPr>
        <w:tab/>
        <w:t xml:space="preserve">Le HC sollicitera la contribution de l’ensemble des États membres sur le Document de travail, notamment en les invitant à des consultations informelles, sur la base desquelles le Bureau finalisera le plan d’exécution. </w:t>
      </w:r>
    </w:p>
    <w:p w14:paraId="7E32CDAF" w14:textId="77E4A8B7" w:rsidR="00AE13EA" w:rsidRPr="00A27AD2" w:rsidRDefault="00BD452D" w:rsidP="00AE13EA">
      <w:pPr>
        <w:pStyle w:val="SingleTxtG"/>
        <w:rPr>
          <w:lang w:val="fr-FR"/>
        </w:rPr>
      </w:pPr>
      <w:r>
        <w:rPr>
          <w:lang w:val="fr-FR"/>
        </w:rPr>
        <w:t>Le présent Document de travail vise à structurer et à orienter ces processus.</w:t>
      </w:r>
    </w:p>
    <w:p w14:paraId="5991EC4D" w14:textId="0A2A1993" w:rsidR="005B4B50" w:rsidRPr="007F6D8A" w:rsidRDefault="005B4B50" w:rsidP="007F6D8A">
      <w:pPr>
        <w:suppressAutoHyphens w:val="0"/>
        <w:spacing w:line="240" w:lineRule="auto"/>
        <w:rPr>
          <w:lang w:val="fr-FR"/>
        </w:rPr>
      </w:pPr>
    </w:p>
    <w:sectPr w:rsidR="005B4B50" w:rsidRPr="007F6D8A" w:rsidSect="007F6D8A">
      <w:headerReference w:type="even" r:id="rId29"/>
      <w:headerReference w:type="default" r:id="rId30"/>
      <w:footerReference w:type="even" r:id="rId31"/>
      <w:footerReference w:type="default" r:id="rId32"/>
      <w:footerReference w:type="first" r:id="rId33"/>
      <w:endnotePr>
        <w:numFmt w:val="decimal"/>
      </w:endnotePr>
      <w:pgSz w:w="11907" w:h="16840" w:code="9"/>
      <w:pgMar w:top="1418" w:right="1560"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90704" w14:textId="77777777" w:rsidR="00296C40" w:rsidRDefault="00296C40"/>
  </w:endnote>
  <w:endnote w:type="continuationSeparator" w:id="0">
    <w:p w14:paraId="0D5E33E4" w14:textId="77777777" w:rsidR="00296C40" w:rsidRDefault="00296C40"/>
  </w:endnote>
  <w:endnote w:type="continuationNotice" w:id="1">
    <w:p w14:paraId="05CD48BD" w14:textId="77777777" w:rsidR="00296C40" w:rsidRDefault="00296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3F81" w14:textId="00D66A9C" w:rsidR="00BB6195" w:rsidRPr="004A6286" w:rsidRDefault="00BB6195" w:rsidP="004A6286">
    <w:pPr>
      <w:pStyle w:val="Footer"/>
      <w:tabs>
        <w:tab w:val="right" w:pos="9638"/>
      </w:tabs>
      <w:rPr>
        <w:sz w:val="18"/>
      </w:rPr>
    </w:pPr>
    <w:r>
      <w:rPr>
        <w:sz w:val="18"/>
        <w:lang w:val="fr-FR"/>
      </w:rPr>
      <w:fldChar w:fldCharType="begin"/>
    </w:r>
    <w:r>
      <w:rPr>
        <w:sz w:val="18"/>
        <w:lang w:val="fr-FR"/>
      </w:rPr>
      <w:instrText xml:space="preserve"> PAGE  \* MERGEFORMAT </w:instrText>
    </w:r>
    <w:r>
      <w:rPr>
        <w:sz w:val="18"/>
        <w:lang w:val="fr-FR"/>
      </w:rPr>
      <w:fldChar w:fldCharType="separate"/>
    </w:r>
    <w:r>
      <w:rPr>
        <w:b/>
        <w:bCs/>
        <w:noProof/>
        <w:sz w:val="18"/>
        <w:lang w:val="fr-FR"/>
      </w:rPr>
      <w:t>2</w:t>
    </w:r>
    <w:r>
      <w:rPr>
        <w:sz w:val="18"/>
        <w:lang w:val="fr-FR"/>
      </w:rPr>
      <w:fldChar w:fldCharType="end"/>
    </w:r>
    <w:r>
      <w:rPr>
        <w:sz w:val="18"/>
        <w:lang w:val="fr-F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2E2A" w14:textId="75CD039E" w:rsidR="00BB6195" w:rsidRPr="004A6286" w:rsidRDefault="00BB6195" w:rsidP="00783D42">
    <w:pPr>
      <w:pStyle w:val="Footer"/>
      <w:tabs>
        <w:tab w:val="right" w:pos="14175"/>
      </w:tabs>
      <w:rPr>
        <w:b/>
        <w:sz w:val="18"/>
      </w:rPr>
    </w:pPr>
    <w:r>
      <w:rPr>
        <w:lang w:val="fr-FR"/>
      </w:rPr>
      <w:tab/>
    </w:r>
    <w:r>
      <w:rPr>
        <w:sz w:val="18"/>
        <w:lang w:val="fr-FR"/>
      </w:rPr>
      <w:fldChar w:fldCharType="begin"/>
    </w:r>
    <w:r>
      <w:rPr>
        <w:sz w:val="18"/>
        <w:lang w:val="fr-FR"/>
      </w:rPr>
      <w:instrText xml:space="preserve"> PAGE  \* MERGEFORMAT </w:instrText>
    </w:r>
    <w:r>
      <w:rPr>
        <w:sz w:val="18"/>
        <w:lang w:val="fr-FR"/>
      </w:rPr>
      <w:fldChar w:fldCharType="separate"/>
    </w:r>
    <w:r>
      <w:rPr>
        <w:b/>
        <w:bCs/>
        <w:noProof/>
        <w:sz w:val="18"/>
        <w:lang w:val="fr-FR"/>
      </w:rPr>
      <w:t>3</w:t>
    </w:r>
    <w:r>
      <w:rPr>
        <w:sz w:val="18"/>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88F9" w14:textId="7FEE9170" w:rsidR="00BB6195" w:rsidRPr="004A6286" w:rsidRDefault="00BB6195">
    <w:r>
      <w:rPr>
        <w:noProof/>
        <w:lang w:val="fr-FR"/>
      </w:rPr>
      <w:drawing>
        <wp:anchor distT="0" distB="0" distL="114300" distR="114300" simplePos="0" relativeHeight="251660288" behindDoc="0" locked="1" layoutInCell="1" allowOverlap="1" wp14:anchorId="141CFF7F" wp14:editId="378270AC">
          <wp:simplePos x="0" y="0"/>
          <wp:positionH relativeFrom="margin">
            <wp:posOffset>5003800</wp:posOffset>
          </wp:positionH>
          <wp:positionV relativeFrom="margin">
            <wp:posOffset>9323705</wp:posOffset>
          </wp:positionV>
          <wp:extent cx="933450" cy="228600"/>
          <wp:effectExtent l="0" t="0" r="0" b="0"/>
          <wp:wrapNone/>
          <wp:docPr id="3" name="Image 3"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A4112" w14:textId="77777777" w:rsidR="00296C40" w:rsidRPr="000B175B" w:rsidRDefault="00296C40" w:rsidP="000B175B">
      <w:pPr>
        <w:tabs>
          <w:tab w:val="right" w:pos="2155"/>
        </w:tabs>
        <w:spacing w:after="80"/>
        <w:ind w:left="680"/>
        <w:rPr>
          <w:u w:val="single"/>
        </w:rPr>
      </w:pPr>
      <w:r>
        <w:rPr>
          <w:u w:val="single"/>
        </w:rPr>
        <w:tab/>
      </w:r>
    </w:p>
  </w:footnote>
  <w:footnote w:type="continuationSeparator" w:id="0">
    <w:p w14:paraId="2CEB43F0" w14:textId="77777777" w:rsidR="00296C40" w:rsidRPr="00FC68B7" w:rsidRDefault="00296C40" w:rsidP="00FC68B7">
      <w:pPr>
        <w:tabs>
          <w:tab w:val="left" w:pos="2155"/>
        </w:tabs>
        <w:spacing w:after="80"/>
        <w:ind w:left="680"/>
        <w:rPr>
          <w:u w:val="single"/>
        </w:rPr>
      </w:pPr>
      <w:r>
        <w:rPr>
          <w:u w:val="single"/>
        </w:rPr>
        <w:tab/>
      </w:r>
    </w:p>
  </w:footnote>
  <w:footnote w:type="continuationNotice" w:id="1">
    <w:p w14:paraId="2A1307D7" w14:textId="77777777" w:rsidR="00296C40" w:rsidRDefault="00296C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1D37" w14:textId="5F886E17" w:rsidR="00BB6195" w:rsidRDefault="00000000">
    <w:pPr>
      <w:pStyle w:val="Header"/>
    </w:pPr>
    <w:r>
      <w:fldChar w:fldCharType="begin"/>
    </w:r>
    <w:r>
      <w:instrText xml:space="preserve"> TITLE  \* MERGEFORMAT </w:instrText>
    </w:r>
    <w:r>
      <w:rPr>
        <w:bCs/>
        <w:lang w:val="fr-FR"/>
      </w:rPr>
      <w:fldChar w:fldCharType="end"/>
    </w:r>
  </w:p>
  <w:p w14:paraId="6DEF04CF" w14:textId="77777777" w:rsidR="00BB6195" w:rsidRPr="004A6286" w:rsidRDefault="00BB61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95D4" w14:textId="0FF4602B" w:rsidR="00BB6195" w:rsidRPr="004A6286" w:rsidRDefault="00000000" w:rsidP="004A6286">
    <w:pPr>
      <w:pStyle w:val="Header"/>
      <w:jc w:val="right"/>
    </w:pPr>
    <w:r>
      <w:fldChar w:fldCharType="begin"/>
    </w:r>
    <w:r>
      <w:instrText xml:space="preserve"> TITLE  \* MERGEFORMAT </w:instrText>
    </w:r>
    <w:r>
      <w:rPr>
        <w:bCs/>
        <w:lang w:val="fr-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BA1"/>
    <w:multiLevelType w:val="multilevel"/>
    <w:tmpl w:val="A6E6400A"/>
    <w:lvl w:ilvl="0">
      <w:start w:val="2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 w15:restartNumberingAfterBreak="0">
    <w:nsid w:val="00612A34"/>
    <w:multiLevelType w:val="hybridMultilevel"/>
    <w:tmpl w:val="987E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BF49D7"/>
    <w:multiLevelType w:val="hybridMultilevel"/>
    <w:tmpl w:val="106A0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46157"/>
    <w:multiLevelType w:val="hybridMultilevel"/>
    <w:tmpl w:val="204C733E"/>
    <w:lvl w:ilvl="0" w:tplc="D19603F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3F193D"/>
    <w:multiLevelType w:val="multilevel"/>
    <w:tmpl w:val="D51C0966"/>
    <w:lvl w:ilvl="0">
      <w:start w:val="14"/>
      <w:numFmt w:val="decimal"/>
      <w:lvlText w:val="%1"/>
      <w:lvlJc w:val="left"/>
      <w:pPr>
        <w:ind w:left="360" w:hanging="360"/>
      </w:pPr>
      <w:rPr>
        <w:rFonts w:hint="default"/>
      </w:rPr>
    </w:lvl>
    <w:lvl w:ilvl="1">
      <w:start w:val="1"/>
      <w:numFmt w:val="decimal"/>
      <w:lvlText w:val="%1.%2"/>
      <w:lvlJc w:val="left"/>
      <w:pPr>
        <w:ind w:left="2421" w:hanging="360"/>
      </w:pPr>
      <w:rPr>
        <w:rFonts w:hint="default"/>
      </w:rPr>
    </w:lvl>
    <w:lvl w:ilvl="2">
      <w:start w:val="1"/>
      <w:numFmt w:val="decimal"/>
      <w:lvlText w:val="%1.%2.%3"/>
      <w:lvlJc w:val="left"/>
      <w:pPr>
        <w:ind w:left="4842" w:hanging="720"/>
      </w:pPr>
      <w:rPr>
        <w:rFonts w:hint="default"/>
      </w:rPr>
    </w:lvl>
    <w:lvl w:ilvl="3">
      <w:start w:val="1"/>
      <w:numFmt w:val="decimal"/>
      <w:lvlText w:val="%1.%2.%3.%4"/>
      <w:lvlJc w:val="left"/>
      <w:pPr>
        <w:ind w:left="6903" w:hanging="720"/>
      </w:pPr>
      <w:rPr>
        <w:rFonts w:hint="default"/>
      </w:rPr>
    </w:lvl>
    <w:lvl w:ilvl="4">
      <w:start w:val="1"/>
      <w:numFmt w:val="decimal"/>
      <w:lvlText w:val="%1.%2.%3.%4.%5"/>
      <w:lvlJc w:val="left"/>
      <w:pPr>
        <w:ind w:left="8964" w:hanging="720"/>
      </w:pPr>
      <w:rPr>
        <w:rFonts w:hint="default"/>
      </w:rPr>
    </w:lvl>
    <w:lvl w:ilvl="5">
      <w:start w:val="1"/>
      <w:numFmt w:val="decimal"/>
      <w:lvlText w:val="%1.%2.%3.%4.%5.%6"/>
      <w:lvlJc w:val="left"/>
      <w:pPr>
        <w:ind w:left="11385" w:hanging="1080"/>
      </w:pPr>
      <w:rPr>
        <w:rFonts w:hint="default"/>
      </w:rPr>
    </w:lvl>
    <w:lvl w:ilvl="6">
      <w:start w:val="1"/>
      <w:numFmt w:val="decimal"/>
      <w:lvlText w:val="%1.%2.%3.%4.%5.%6.%7"/>
      <w:lvlJc w:val="left"/>
      <w:pPr>
        <w:ind w:left="13446" w:hanging="1080"/>
      </w:pPr>
      <w:rPr>
        <w:rFonts w:hint="default"/>
      </w:rPr>
    </w:lvl>
    <w:lvl w:ilvl="7">
      <w:start w:val="1"/>
      <w:numFmt w:val="decimal"/>
      <w:lvlText w:val="%1.%2.%3.%4.%5.%6.%7.%8"/>
      <w:lvlJc w:val="left"/>
      <w:pPr>
        <w:ind w:left="15867" w:hanging="1440"/>
      </w:pPr>
      <w:rPr>
        <w:rFonts w:hint="default"/>
      </w:rPr>
    </w:lvl>
    <w:lvl w:ilvl="8">
      <w:start w:val="1"/>
      <w:numFmt w:val="decimal"/>
      <w:lvlText w:val="%1.%2.%3.%4.%5.%6.%7.%8.%9"/>
      <w:lvlJc w:val="left"/>
      <w:pPr>
        <w:ind w:left="17928" w:hanging="1440"/>
      </w:pPr>
      <w:rPr>
        <w:rFonts w:hint="default"/>
      </w:rPr>
    </w:lvl>
  </w:abstractNum>
  <w:abstractNum w:abstractNumId="6" w15:restartNumberingAfterBreak="0">
    <w:nsid w:val="058B62A3"/>
    <w:multiLevelType w:val="hybridMultilevel"/>
    <w:tmpl w:val="911C7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EF7B27"/>
    <w:multiLevelType w:val="hybridMultilevel"/>
    <w:tmpl w:val="621671D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162869"/>
    <w:multiLevelType w:val="multilevel"/>
    <w:tmpl w:val="143CB65E"/>
    <w:lvl w:ilvl="0">
      <w:start w:val="2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11C8622A"/>
    <w:multiLevelType w:val="hybridMultilevel"/>
    <w:tmpl w:val="DE32CF3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33B73C0"/>
    <w:multiLevelType w:val="hybridMultilevel"/>
    <w:tmpl w:val="BEEE5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D97468"/>
    <w:multiLevelType w:val="multilevel"/>
    <w:tmpl w:val="1E42457E"/>
    <w:lvl w:ilvl="0">
      <w:start w:val="24"/>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3" w15:restartNumberingAfterBreak="0">
    <w:nsid w:val="154C39DB"/>
    <w:multiLevelType w:val="hybridMultilevel"/>
    <w:tmpl w:val="8EF4A0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2D0614"/>
    <w:multiLevelType w:val="multilevel"/>
    <w:tmpl w:val="9FB2F4FC"/>
    <w:lvl w:ilvl="0">
      <w:start w:val="21"/>
      <w:numFmt w:val="decimal"/>
      <w:lvlText w:val="%1."/>
      <w:lvlJc w:val="left"/>
      <w:pPr>
        <w:ind w:left="400" w:hanging="400"/>
      </w:pPr>
      <w:rPr>
        <w:rFonts w:hint="default"/>
      </w:rPr>
    </w:lvl>
    <w:lvl w:ilvl="1">
      <w:start w:val="1"/>
      <w:numFmt w:val="decimal"/>
      <w:lvlText w:val="%1.%2."/>
      <w:lvlJc w:val="left"/>
      <w:pPr>
        <w:ind w:left="1534" w:hanging="40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5" w15:restartNumberingAfterBreak="0">
    <w:nsid w:val="1EBB3539"/>
    <w:multiLevelType w:val="multilevel"/>
    <w:tmpl w:val="30F6981E"/>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63622FA"/>
    <w:multiLevelType w:val="hybridMultilevel"/>
    <w:tmpl w:val="1168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CD40D7"/>
    <w:multiLevelType w:val="hybridMultilevel"/>
    <w:tmpl w:val="538C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946D6"/>
    <w:multiLevelType w:val="hybridMultilevel"/>
    <w:tmpl w:val="A86A6B1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A6B77E8"/>
    <w:multiLevelType w:val="hybridMultilevel"/>
    <w:tmpl w:val="B554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657E87"/>
    <w:multiLevelType w:val="hybridMultilevel"/>
    <w:tmpl w:val="7C400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E0D7562"/>
    <w:multiLevelType w:val="hybridMultilevel"/>
    <w:tmpl w:val="A2647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0D7537"/>
    <w:multiLevelType w:val="multilevel"/>
    <w:tmpl w:val="2ACEAB44"/>
    <w:lvl w:ilvl="0">
      <w:start w:val="14"/>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9792" w:hanging="72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4688" w:hanging="108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584" w:hanging="1440"/>
      </w:pPr>
      <w:rPr>
        <w:rFonts w:hint="default"/>
      </w:rPr>
    </w:lvl>
  </w:abstractNum>
  <w:abstractNum w:abstractNumId="23" w15:restartNumberingAfterBreak="0">
    <w:nsid w:val="32390100"/>
    <w:multiLevelType w:val="multilevel"/>
    <w:tmpl w:val="15AA5A22"/>
    <w:lvl w:ilvl="0">
      <w:start w:val="20"/>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4" w15:restartNumberingAfterBreak="0">
    <w:nsid w:val="335205B1"/>
    <w:multiLevelType w:val="multilevel"/>
    <w:tmpl w:val="0B12F9E0"/>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3FB5838"/>
    <w:multiLevelType w:val="hybridMultilevel"/>
    <w:tmpl w:val="51409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9C02AE"/>
    <w:multiLevelType w:val="multilevel"/>
    <w:tmpl w:val="E83AC0BC"/>
    <w:lvl w:ilvl="0">
      <w:start w:val="13"/>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27" w15:restartNumberingAfterBreak="0">
    <w:nsid w:val="36C863C0"/>
    <w:multiLevelType w:val="multilevel"/>
    <w:tmpl w:val="F7CE30CC"/>
    <w:lvl w:ilvl="0">
      <w:start w:val="18"/>
      <w:numFmt w:val="decimal"/>
      <w:lvlText w:val="%1"/>
      <w:lvlJc w:val="left"/>
      <w:pPr>
        <w:ind w:left="360" w:hanging="360"/>
      </w:pPr>
      <w:rPr>
        <w:rFonts w:eastAsia="Calibri" w:hint="default"/>
      </w:rPr>
    </w:lvl>
    <w:lvl w:ilvl="1">
      <w:start w:val="1"/>
      <w:numFmt w:val="decimal"/>
      <w:lvlText w:val="%1.%2"/>
      <w:lvlJc w:val="left"/>
      <w:pPr>
        <w:ind w:left="2061" w:hanging="360"/>
      </w:pPr>
      <w:rPr>
        <w:rFonts w:eastAsia="Calibri" w:hint="default"/>
      </w:rPr>
    </w:lvl>
    <w:lvl w:ilvl="2">
      <w:start w:val="1"/>
      <w:numFmt w:val="decimal"/>
      <w:lvlText w:val="%1.%2.%3"/>
      <w:lvlJc w:val="left"/>
      <w:pPr>
        <w:ind w:left="4122" w:hanging="720"/>
      </w:pPr>
      <w:rPr>
        <w:rFonts w:eastAsia="Calibri" w:hint="default"/>
      </w:rPr>
    </w:lvl>
    <w:lvl w:ilvl="3">
      <w:start w:val="1"/>
      <w:numFmt w:val="decimal"/>
      <w:lvlText w:val="%1.%2.%3.%4"/>
      <w:lvlJc w:val="left"/>
      <w:pPr>
        <w:ind w:left="5823" w:hanging="720"/>
      </w:pPr>
      <w:rPr>
        <w:rFonts w:eastAsia="Calibri" w:hint="default"/>
      </w:rPr>
    </w:lvl>
    <w:lvl w:ilvl="4">
      <w:start w:val="1"/>
      <w:numFmt w:val="decimal"/>
      <w:lvlText w:val="%1.%2.%3.%4.%5"/>
      <w:lvlJc w:val="left"/>
      <w:pPr>
        <w:ind w:left="7524" w:hanging="720"/>
      </w:pPr>
      <w:rPr>
        <w:rFonts w:eastAsia="Calibri" w:hint="default"/>
      </w:rPr>
    </w:lvl>
    <w:lvl w:ilvl="5">
      <w:start w:val="1"/>
      <w:numFmt w:val="decimal"/>
      <w:lvlText w:val="%1.%2.%3.%4.%5.%6"/>
      <w:lvlJc w:val="left"/>
      <w:pPr>
        <w:ind w:left="9585" w:hanging="1080"/>
      </w:pPr>
      <w:rPr>
        <w:rFonts w:eastAsia="Calibri" w:hint="default"/>
      </w:rPr>
    </w:lvl>
    <w:lvl w:ilvl="6">
      <w:start w:val="1"/>
      <w:numFmt w:val="decimal"/>
      <w:lvlText w:val="%1.%2.%3.%4.%5.%6.%7"/>
      <w:lvlJc w:val="left"/>
      <w:pPr>
        <w:ind w:left="11286" w:hanging="1080"/>
      </w:pPr>
      <w:rPr>
        <w:rFonts w:eastAsia="Calibri" w:hint="default"/>
      </w:rPr>
    </w:lvl>
    <w:lvl w:ilvl="7">
      <w:start w:val="1"/>
      <w:numFmt w:val="decimal"/>
      <w:lvlText w:val="%1.%2.%3.%4.%5.%6.%7.%8"/>
      <w:lvlJc w:val="left"/>
      <w:pPr>
        <w:ind w:left="13347" w:hanging="1440"/>
      </w:pPr>
      <w:rPr>
        <w:rFonts w:eastAsia="Calibri" w:hint="default"/>
      </w:rPr>
    </w:lvl>
    <w:lvl w:ilvl="8">
      <w:start w:val="1"/>
      <w:numFmt w:val="decimal"/>
      <w:lvlText w:val="%1.%2.%3.%4.%5.%6.%7.%8.%9"/>
      <w:lvlJc w:val="left"/>
      <w:pPr>
        <w:ind w:left="15048" w:hanging="1440"/>
      </w:pPr>
      <w:rPr>
        <w:rFonts w:eastAsia="Calibri" w:hint="default"/>
      </w:rPr>
    </w:lvl>
  </w:abstractNum>
  <w:abstractNum w:abstractNumId="28" w15:restartNumberingAfterBreak="0">
    <w:nsid w:val="37754257"/>
    <w:multiLevelType w:val="multilevel"/>
    <w:tmpl w:val="9E8AA6DE"/>
    <w:lvl w:ilvl="0">
      <w:start w:val="25"/>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9" w15:restartNumberingAfterBreak="0">
    <w:nsid w:val="3D5D5188"/>
    <w:multiLevelType w:val="hybridMultilevel"/>
    <w:tmpl w:val="F454EF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F4A3BCC"/>
    <w:multiLevelType w:val="hybridMultilevel"/>
    <w:tmpl w:val="5C3E1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B956F7"/>
    <w:multiLevelType w:val="multilevel"/>
    <w:tmpl w:val="105E5642"/>
    <w:lvl w:ilvl="0">
      <w:start w:val="2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2FD3103"/>
    <w:multiLevelType w:val="multilevel"/>
    <w:tmpl w:val="ED986810"/>
    <w:lvl w:ilvl="0">
      <w:start w:val="29"/>
      <w:numFmt w:val="decimal"/>
      <w:lvlText w:val="%1."/>
      <w:lvlJc w:val="left"/>
      <w:pPr>
        <w:ind w:left="400" w:hanging="400"/>
      </w:pPr>
      <w:rPr>
        <w:rFonts w:hint="default"/>
      </w:rPr>
    </w:lvl>
    <w:lvl w:ilvl="1">
      <w:start w:val="8"/>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3E034D4"/>
    <w:multiLevelType w:val="hybridMultilevel"/>
    <w:tmpl w:val="CEE84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5D175B"/>
    <w:multiLevelType w:val="hybridMultilevel"/>
    <w:tmpl w:val="691A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891319"/>
    <w:multiLevelType w:val="multilevel"/>
    <w:tmpl w:val="BC0CCC3E"/>
    <w:lvl w:ilvl="0">
      <w:start w:val="23"/>
      <w:numFmt w:val="decimal"/>
      <w:lvlText w:val="%1"/>
      <w:lvlJc w:val="left"/>
      <w:pPr>
        <w:ind w:left="360" w:hanging="360"/>
      </w:pPr>
      <w:rPr>
        <w:rFonts w:eastAsia="Calibri" w:hint="default"/>
        <w:b/>
      </w:rPr>
    </w:lvl>
    <w:lvl w:ilvl="1">
      <w:start w:val="1"/>
      <w:numFmt w:val="decimal"/>
      <w:lvlText w:val="%1.%2"/>
      <w:lvlJc w:val="left"/>
      <w:pPr>
        <w:ind w:left="720" w:hanging="360"/>
      </w:pPr>
      <w:rPr>
        <w:rFonts w:eastAsia="Calibri" w:hint="default"/>
        <w:b/>
      </w:rPr>
    </w:lvl>
    <w:lvl w:ilvl="2">
      <w:start w:val="1"/>
      <w:numFmt w:val="decimal"/>
      <w:lvlText w:val="%1.%2.%3"/>
      <w:lvlJc w:val="left"/>
      <w:pPr>
        <w:ind w:left="1440" w:hanging="720"/>
      </w:pPr>
      <w:rPr>
        <w:rFonts w:eastAsia="Calibri" w:hint="default"/>
        <w:b/>
      </w:rPr>
    </w:lvl>
    <w:lvl w:ilvl="3">
      <w:start w:val="1"/>
      <w:numFmt w:val="decimal"/>
      <w:lvlText w:val="%1.%2.%3.%4"/>
      <w:lvlJc w:val="left"/>
      <w:pPr>
        <w:ind w:left="1800" w:hanging="720"/>
      </w:pPr>
      <w:rPr>
        <w:rFonts w:eastAsia="Calibri" w:hint="default"/>
        <w:b/>
      </w:rPr>
    </w:lvl>
    <w:lvl w:ilvl="4">
      <w:start w:val="1"/>
      <w:numFmt w:val="decimal"/>
      <w:lvlText w:val="%1.%2.%3.%4.%5"/>
      <w:lvlJc w:val="left"/>
      <w:pPr>
        <w:ind w:left="2160" w:hanging="720"/>
      </w:pPr>
      <w:rPr>
        <w:rFonts w:eastAsia="Calibri" w:hint="default"/>
        <w:b/>
      </w:rPr>
    </w:lvl>
    <w:lvl w:ilvl="5">
      <w:start w:val="1"/>
      <w:numFmt w:val="decimal"/>
      <w:lvlText w:val="%1.%2.%3.%4.%5.%6"/>
      <w:lvlJc w:val="left"/>
      <w:pPr>
        <w:ind w:left="2880" w:hanging="1080"/>
      </w:pPr>
      <w:rPr>
        <w:rFonts w:eastAsia="Calibri" w:hint="default"/>
        <w:b/>
      </w:rPr>
    </w:lvl>
    <w:lvl w:ilvl="6">
      <w:start w:val="1"/>
      <w:numFmt w:val="decimal"/>
      <w:lvlText w:val="%1.%2.%3.%4.%5.%6.%7"/>
      <w:lvlJc w:val="left"/>
      <w:pPr>
        <w:ind w:left="3240" w:hanging="1080"/>
      </w:pPr>
      <w:rPr>
        <w:rFonts w:eastAsia="Calibri" w:hint="default"/>
        <w:b/>
      </w:rPr>
    </w:lvl>
    <w:lvl w:ilvl="7">
      <w:start w:val="1"/>
      <w:numFmt w:val="decimal"/>
      <w:lvlText w:val="%1.%2.%3.%4.%5.%6.%7.%8"/>
      <w:lvlJc w:val="left"/>
      <w:pPr>
        <w:ind w:left="3960" w:hanging="1440"/>
      </w:pPr>
      <w:rPr>
        <w:rFonts w:eastAsia="Calibri" w:hint="default"/>
        <w:b/>
      </w:rPr>
    </w:lvl>
    <w:lvl w:ilvl="8">
      <w:start w:val="1"/>
      <w:numFmt w:val="decimal"/>
      <w:lvlText w:val="%1.%2.%3.%4.%5.%6.%7.%8.%9"/>
      <w:lvlJc w:val="left"/>
      <w:pPr>
        <w:ind w:left="4320" w:hanging="1440"/>
      </w:pPr>
      <w:rPr>
        <w:rFonts w:eastAsia="Calibri" w:hint="default"/>
        <w:b/>
      </w:rPr>
    </w:lvl>
  </w:abstractNum>
  <w:abstractNum w:abstractNumId="36" w15:restartNumberingAfterBreak="0">
    <w:nsid w:val="499115B2"/>
    <w:multiLevelType w:val="hybridMultilevel"/>
    <w:tmpl w:val="01486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150C0E"/>
    <w:multiLevelType w:val="hybridMultilevel"/>
    <w:tmpl w:val="99C0EF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D63065D"/>
    <w:multiLevelType w:val="hybridMultilevel"/>
    <w:tmpl w:val="9E6CF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AC3354"/>
    <w:multiLevelType w:val="hybridMultilevel"/>
    <w:tmpl w:val="CD8E6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9552B5"/>
    <w:multiLevelType w:val="multilevel"/>
    <w:tmpl w:val="5CCA4666"/>
    <w:lvl w:ilvl="0">
      <w:start w:val="21"/>
      <w:numFmt w:val="decimal"/>
      <w:lvlText w:val="%1"/>
      <w:lvlJc w:val="left"/>
      <w:pPr>
        <w:ind w:left="360" w:hanging="360"/>
      </w:pPr>
      <w:rPr>
        <w:rFonts w:eastAsia="Calibri" w:hint="default"/>
        <w:b w:val="0"/>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720" w:hanging="72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080" w:hanging="108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440" w:hanging="1440"/>
      </w:pPr>
      <w:rPr>
        <w:rFonts w:eastAsia="Calibri" w:hint="default"/>
        <w:b w:val="0"/>
      </w:rPr>
    </w:lvl>
  </w:abstractNum>
  <w:abstractNum w:abstractNumId="41" w15:restartNumberingAfterBreak="0">
    <w:nsid w:val="58FF0236"/>
    <w:multiLevelType w:val="multilevel"/>
    <w:tmpl w:val="0C2062F2"/>
    <w:lvl w:ilvl="0">
      <w:start w:val="2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2" w15:restartNumberingAfterBreak="0">
    <w:nsid w:val="59C82474"/>
    <w:multiLevelType w:val="multilevel"/>
    <w:tmpl w:val="7660A6EC"/>
    <w:lvl w:ilvl="0">
      <w:start w:val="19"/>
      <w:numFmt w:val="decimal"/>
      <w:lvlText w:val="%1"/>
      <w:lvlJc w:val="left"/>
      <w:pPr>
        <w:ind w:left="360" w:hanging="360"/>
      </w:pPr>
      <w:rPr>
        <w:rFonts w:eastAsia="Calibri" w:hint="default"/>
      </w:rPr>
    </w:lvl>
    <w:lvl w:ilvl="1">
      <w:start w:val="1"/>
      <w:numFmt w:val="decimal"/>
      <w:lvlText w:val="%1.%2"/>
      <w:lvlJc w:val="left"/>
      <w:pPr>
        <w:ind w:left="1494" w:hanging="360"/>
      </w:pPr>
      <w:rPr>
        <w:rFonts w:eastAsia="Calibri" w:hint="default"/>
      </w:rPr>
    </w:lvl>
    <w:lvl w:ilvl="2">
      <w:start w:val="1"/>
      <w:numFmt w:val="decimal"/>
      <w:lvlText w:val="%1.%2.%3"/>
      <w:lvlJc w:val="left"/>
      <w:pPr>
        <w:ind w:left="2988" w:hanging="720"/>
      </w:pPr>
      <w:rPr>
        <w:rFonts w:eastAsia="Calibri" w:hint="default"/>
      </w:rPr>
    </w:lvl>
    <w:lvl w:ilvl="3">
      <w:start w:val="1"/>
      <w:numFmt w:val="decimal"/>
      <w:lvlText w:val="%1.%2.%3.%4"/>
      <w:lvlJc w:val="left"/>
      <w:pPr>
        <w:ind w:left="4122" w:hanging="720"/>
      </w:pPr>
      <w:rPr>
        <w:rFonts w:eastAsia="Calibri" w:hint="default"/>
      </w:rPr>
    </w:lvl>
    <w:lvl w:ilvl="4">
      <w:start w:val="1"/>
      <w:numFmt w:val="decimal"/>
      <w:lvlText w:val="%1.%2.%3.%4.%5"/>
      <w:lvlJc w:val="left"/>
      <w:pPr>
        <w:ind w:left="5256" w:hanging="720"/>
      </w:pPr>
      <w:rPr>
        <w:rFonts w:eastAsia="Calibri" w:hint="default"/>
      </w:rPr>
    </w:lvl>
    <w:lvl w:ilvl="5">
      <w:start w:val="1"/>
      <w:numFmt w:val="decimal"/>
      <w:lvlText w:val="%1.%2.%3.%4.%5.%6"/>
      <w:lvlJc w:val="left"/>
      <w:pPr>
        <w:ind w:left="6750" w:hanging="1080"/>
      </w:pPr>
      <w:rPr>
        <w:rFonts w:eastAsia="Calibri" w:hint="default"/>
      </w:rPr>
    </w:lvl>
    <w:lvl w:ilvl="6">
      <w:start w:val="1"/>
      <w:numFmt w:val="decimal"/>
      <w:lvlText w:val="%1.%2.%3.%4.%5.%6.%7"/>
      <w:lvlJc w:val="left"/>
      <w:pPr>
        <w:ind w:left="7884" w:hanging="1080"/>
      </w:pPr>
      <w:rPr>
        <w:rFonts w:eastAsia="Calibri" w:hint="default"/>
      </w:rPr>
    </w:lvl>
    <w:lvl w:ilvl="7">
      <w:start w:val="1"/>
      <w:numFmt w:val="decimal"/>
      <w:lvlText w:val="%1.%2.%3.%4.%5.%6.%7.%8"/>
      <w:lvlJc w:val="left"/>
      <w:pPr>
        <w:ind w:left="9378" w:hanging="1440"/>
      </w:pPr>
      <w:rPr>
        <w:rFonts w:eastAsia="Calibri" w:hint="default"/>
      </w:rPr>
    </w:lvl>
    <w:lvl w:ilvl="8">
      <w:start w:val="1"/>
      <w:numFmt w:val="decimal"/>
      <w:lvlText w:val="%1.%2.%3.%4.%5.%6.%7.%8.%9"/>
      <w:lvlJc w:val="left"/>
      <w:pPr>
        <w:ind w:left="10512" w:hanging="1440"/>
      </w:pPr>
      <w:rPr>
        <w:rFonts w:eastAsia="Calibri" w:hint="default"/>
      </w:rPr>
    </w:lvl>
  </w:abstractNum>
  <w:abstractNum w:abstractNumId="43" w15:restartNumberingAfterBreak="0">
    <w:nsid w:val="5B953719"/>
    <w:multiLevelType w:val="hybridMultilevel"/>
    <w:tmpl w:val="118A4F84"/>
    <w:lvl w:ilvl="0" w:tplc="08090003">
      <w:start w:val="1"/>
      <w:numFmt w:val="bullet"/>
      <w:lvlText w:val="o"/>
      <w:lvlJc w:val="left"/>
      <w:pPr>
        <w:ind w:left="998" w:hanging="360"/>
      </w:pPr>
      <w:rPr>
        <w:rFonts w:ascii="Courier New" w:hAnsi="Courier New" w:cs="Courier New" w:hint="default"/>
      </w:rPr>
    </w:lvl>
    <w:lvl w:ilvl="1" w:tplc="08090003" w:tentative="1">
      <w:start w:val="1"/>
      <w:numFmt w:val="bullet"/>
      <w:lvlText w:val="o"/>
      <w:lvlJc w:val="left"/>
      <w:pPr>
        <w:ind w:left="1718" w:hanging="360"/>
      </w:pPr>
      <w:rPr>
        <w:rFonts w:ascii="Courier New" w:hAnsi="Courier New" w:cs="Courier New" w:hint="default"/>
      </w:rPr>
    </w:lvl>
    <w:lvl w:ilvl="2" w:tplc="08090005" w:tentative="1">
      <w:start w:val="1"/>
      <w:numFmt w:val="bullet"/>
      <w:lvlText w:val=""/>
      <w:lvlJc w:val="left"/>
      <w:pPr>
        <w:ind w:left="2438" w:hanging="360"/>
      </w:pPr>
      <w:rPr>
        <w:rFonts w:ascii="Wingdings" w:hAnsi="Wingdings" w:hint="default"/>
      </w:rPr>
    </w:lvl>
    <w:lvl w:ilvl="3" w:tplc="08090001" w:tentative="1">
      <w:start w:val="1"/>
      <w:numFmt w:val="bullet"/>
      <w:lvlText w:val=""/>
      <w:lvlJc w:val="left"/>
      <w:pPr>
        <w:ind w:left="3158" w:hanging="360"/>
      </w:pPr>
      <w:rPr>
        <w:rFonts w:ascii="Symbol" w:hAnsi="Symbol" w:hint="default"/>
      </w:rPr>
    </w:lvl>
    <w:lvl w:ilvl="4" w:tplc="08090003" w:tentative="1">
      <w:start w:val="1"/>
      <w:numFmt w:val="bullet"/>
      <w:lvlText w:val="o"/>
      <w:lvlJc w:val="left"/>
      <w:pPr>
        <w:ind w:left="3878" w:hanging="360"/>
      </w:pPr>
      <w:rPr>
        <w:rFonts w:ascii="Courier New" w:hAnsi="Courier New" w:cs="Courier New" w:hint="default"/>
      </w:rPr>
    </w:lvl>
    <w:lvl w:ilvl="5" w:tplc="08090005" w:tentative="1">
      <w:start w:val="1"/>
      <w:numFmt w:val="bullet"/>
      <w:lvlText w:val=""/>
      <w:lvlJc w:val="left"/>
      <w:pPr>
        <w:ind w:left="4598" w:hanging="360"/>
      </w:pPr>
      <w:rPr>
        <w:rFonts w:ascii="Wingdings" w:hAnsi="Wingdings" w:hint="default"/>
      </w:rPr>
    </w:lvl>
    <w:lvl w:ilvl="6" w:tplc="08090001" w:tentative="1">
      <w:start w:val="1"/>
      <w:numFmt w:val="bullet"/>
      <w:lvlText w:val=""/>
      <w:lvlJc w:val="left"/>
      <w:pPr>
        <w:ind w:left="5318" w:hanging="360"/>
      </w:pPr>
      <w:rPr>
        <w:rFonts w:ascii="Symbol" w:hAnsi="Symbol" w:hint="default"/>
      </w:rPr>
    </w:lvl>
    <w:lvl w:ilvl="7" w:tplc="08090003" w:tentative="1">
      <w:start w:val="1"/>
      <w:numFmt w:val="bullet"/>
      <w:lvlText w:val="o"/>
      <w:lvlJc w:val="left"/>
      <w:pPr>
        <w:ind w:left="6038" w:hanging="360"/>
      </w:pPr>
      <w:rPr>
        <w:rFonts w:ascii="Courier New" w:hAnsi="Courier New" w:cs="Courier New" w:hint="default"/>
      </w:rPr>
    </w:lvl>
    <w:lvl w:ilvl="8" w:tplc="08090005" w:tentative="1">
      <w:start w:val="1"/>
      <w:numFmt w:val="bullet"/>
      <w:lvlText w:val=""/>
      <w:lvlJc w:val="left"/>
      <w:pPr>
        <w:ind w:left="6758" w:hanging="360"/>
      </w:pPr>
      <w:rPr>
        <w:rFonts w:ascii="Wingdings" w:hAnsi="Wingdings" w:hint="default"/>
      </w:rPr>
    </w:lvl>
  </w:abstractNum>
  <w:abstractNum w:abstractNumId="44" w15:restartNumberingAfterBreak="0">
    <w:nsid w:val="5FA91E5D"/>
    <w:multiLevelType w:val="multilevel"/>
    <w:tmpl w:val="2F76460C"/>
    <w:lvl w:ilvl="0">
      <w:start w:val="19"/>
      <w:numFmt w:val="decimal"/>
      <w:lvlText w:val="%1"/>
      <w:lvlJc w:val="left"/>
      <w:pPr>
        <w:ind w:left="360" w:hanging="360"/>
      </w:pPr>
      <w:rPr>
        <w:rFonts w:eastAsia="Calibri" w:hint="default"/>
        <w:b/>
      </w:rPr>
    </w:lvl>
    <w:lvl w:ilvl="1">
      <w:start w:val="1"/>
      <w:numFmt w:val="decimal"/>
      <w:lvlText w:val="%1.%2"/>
      <w:lvlJc w:val="left"/>
      <w:pPr>
        <w:ind w:left="2061" w:hanging="360"/>
      </w:pPr>
      <w:rPr>
        <w:rFonts w:eastAsia="Calibri" w:hint="default"/>
        <w:b/>
      </w:rPr>
    </w:lvl>
    <w:lvl w:ilvl="2">
      <w:start w:val="1"/>
      <w:numFmt w:val="decimal"/>
      <w:lvlText w:val="%1.%2.%3"/>
      <w:lvlJc w:val="left"/>
      <w:pPr>
        <w:ind w:left="4122" w:hanging="720"/>
      </w:pPr>
      <w:rPr>
        <w:rFonts w:eastAsia="Calibri" w:hint="default"/>
        <w:b/>
      </w:rPr>
    </w:lvl>
    <w:lvl w:ilvl="3">
      <w:start w:val="1"/>
      <w:numFmt w:val="decimal"/>
      <w:lvlText w:val="%1.%2.%3.%4"/>
      <w:lvlJc w:val="left"/>
      <w:pPr>
        <w:ind w:left="5823" w:hanging="720"/>
      </w:pPr>
      <w:rPr>
        <w:rFonts w:eastAsia="Calibri" w:hint="default"/>
        <w:b/>
      </w:rPr>
    </w:lvl>
    <w:lvl w:ilvl="4">
      <w:start w:val="1"/>
      <w:numFmt w:val="decimal"/>
      <w:lvlText w:val="%1.%2.%3.%4.%5"/>
      <w:lvlJc w:val="left"/>
      <w:pPr>
        <w:ind w:left="7524" w:hanging="720"/>
      </w:pPr>
      <w:rPr>
        <w:rFonts w:eastAsia="Calibri" w:hint="default"/>
        <w:b/>
      </w:rPr>
    </w:lvl>
    <w:lvl w:ilvl="5">
      <w:start w:val="1"/>
      <w:numFmt w:val="decimal"/>
      <w:lvlText w:val="%1.%2.%3.%4.%5.%6"/>
      <w:lvlJc w:val="left"/>
      <w:pPr>
        <w:ind w:left="9585" w:hanging="1080"/>
      </w:pPr>
      <w:rPr>
        <w:rFonts w:eastAsia="Calibri" w:hint="default"/>
        <w:b/>
      </w:rPr>
    </w:lvl>
    <w:lvl w:ilvl="6">
      <w:start w:val="1"/>
      <w:numFmt w:val="decimal"/>
      <w:lvlText w:val="%1.%2.%3.%4.%5.%6.%7"/>
      <w:lvlJc w:val="left"/>
      <w:pPr>
        <w:ind w:left="11286" w:hanging="1080"/>
      </w:pPr>
      <w:rPr>
        <w:rFonts w:eastAsia="Calibri" w:hint="default"/>
        <w:b/>
      </w:rPr>
    </w:lvl>
    <w:lvl w:ilvl="7">
      <w:start w:val="1"/>
      <w:numFmt w:val="decimal"/>
      <w:lvlText w:val="%1.%2.%3.%4.%5.%6.%7.%8"/>
      <w:lvlJc w:val="left"/>
      <w:pPr>
        <w:ind w:left="13347" w:hanging="1440"/>
      </w:pPr>
      <w:rPr>
        <w:rFonts w:eastAsia="Calibri" w:hint="default"/>
        <w:b/>
      </w:rPr>
    </w:lvl>
    <w:lvl w:ilvl="8">
      <w:start w:val="1"/>
      <w:numFmt w:val="decimal"/>
      <w:lvlText w:val="%1.%2.%3.%4.%5.%6.%7.%8.%9"/>
      <w:lvlJc w:val="left"/>
      <w:pPr>
        <w:ind w:left="15048" w:hanging="1440"/>
      </w:pPr>
      <w:rPr>
        <w:rFonts w:eastAsia="Calibri" w:hint="default"/>
        <w:b/>
      </w:rPr>
    </w:lvl>
  </w:abstractNum>
  <w:abstractNum w:abstractNumId="45" w15:restartNumberingAfterBreak="0">
    <w:nsid w:val="60240808"/>
    <w:multiLevelType w:val="multilevel"/>
    <w:tmpl w:val="93D608CC"/>
    <w:lvl w:ilvl="0">
      <w:start w:val="2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07400F4"/>
    <w:multiLevelType w:val="multilevel"/>
    <w:tmpl w:val="5B067B5A"/>
    <w:lvl w:ilvl="0">
      <w:start w:val="2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15F3E60"/>
    <w:multiLevelType w:val="multilevel"/>
    <w:tmpl w:val="53102232"/>
    <w:lvl w:ilvl="0">
      <w:start w:val="24"/>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160" w:hanging="72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240" w:hanging="108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320" w:hanging="1440"/>
      </w:pPr>
      <w:rPr>
        <w:rFonts w:eastAsia="Calibri" w:hint="default"/>
      </w:rPr>
    </w:lvl>
  </w:abstractNum>
  <w:abstractNum w:abstractNumId="48" w15:restartNumberingAfterBreak="0">
    <w:nsid w:val="61EA214B"/>
    <w:multiLevelType w:val="hybridMultilevel"/>
    <w:tmpl w:val="26E6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31D2BD1"/>
    <w:multiLevelType w:val="multilevel"/>
    <w:tmpl w:val="433CB0BE"/>
    <w:lvl w:ilvl="0">
      <w:start w:val="17"/>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50" w15:restartNumberingAfterBreak="0">
    <w:nsid w:val="64C94573"/>
    <w:multiLevelType w:val="multilevel"/>
    <w:tmpl w:val="2C1238E6"/>
    <w:lvl w:ilvl="0">
      <w:start w:val="30"/>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51" w15:restartNumberingAfterBreak="0">
    <w:nsid w:val="660758D7"/>
    <w:multiLevelType w:val="hybridMultilevel"/>
    <w:tmpl w:val="A4BAF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7B60667"/>
    <w:multiLevelType w:val="multilevel"/>
    <w:tmpl w:val="AADC537E"/>
    <w:lvl w:ilvl="0">
      <w:start w:val="20"/>
      <w:numFmt w:val="decimal"/>
      <w:lvlText w:val="%1"/>
      <w:lvlJc w:val="left"/>
      <w:pPr>
        <w:ind w:left="360" w:hanging="360"/>
      </w:pPr>
      <w:rPr>
        <w:rFonts w:eastAsia="Calibri" w:hint="default"/>
        <w:b w:val="0"/>
      </w:rPr>
    </w:lvl>
    <w:lvl w:ilvl="1">
      <w:start w:val="1"/>
      <w:numFmt w:val="decimal"/>
      <w:lvlText w:val="%1.%2"/>
      <w:lvlJc w:val="left"/>
      <w:pPr>
        <w:ind w:left="2061" w:hanging="360"/>
      </w:pPr>
      <w:rPr>
        <w:rFonts w:eastAsia="Calibri" w:hint="default"/>
        <w:b w:val="0"/>
      </w:rPr>
    </w:lvl>
    <w:lvl w:ilvl="2">
      <w:start w:val="1"/>
      <w:numFmt w:val="decimal"/>
      <w:lvlText w:val="%1.%2.%3"/>
      <w:lvlJc w:val="left"/>
      <w:pPr>
        <w:ind w:left="4122" w:hanging="720"/>
      </w:pPr>
      <w:rPr>
        <w:rFonts w:eastAsia="Calibri" w:hint="default"/>
        <w:b w:val="0"/>
      </w:rPr>
    </w:lvl>
    <w:lvl w:ilvl="3">
      <w:start w:val="1"/>
      <w:numFmt w:val="decimal"/>
      <w:lvlText w:val="%1.%2.%3.%4"/>
      <w:lvlJc w:val="left"/>
      <w:pPr>
        <w:ind w:left="5823" w:hanging="720"/>
      </w:pPr>
      <w:rPr>
        <w:rFonts w:eastAsia="Calibri" w:hint="default"/>
        <w:b w:val="0"/>
      </w:rPr>
    </w:lvl>
    <w:lvl w:ilvl="4">
      <w:start w:val="1"/>
      <w:numFmt w:val="decimal"/>
      <w:lvlText w:val="%1.%2.%3.%4.%5"/>
      <w:lvlJc w:val="left"/>
      <w:pPr>
        <w:ind w:left="7524" w:hanging="720"/>
      </w:pPr>
      <w:rPr>
        <w:rFonts w:eastAsia="Calibri" w:hint="default"/>
        <w:b w:val="0"/>
      </w:rPr>
    </w:lvl>
    <w:lvl w:ilvl="5">
      <w:start w:val="1"/>
      <w:numFmt w:val="decimal"/>
      <w:lvlText w:val="%1.%2.%3.%4.%5.%6"/>
      <w:lvlJc w:val="left"/>
      <w:pPr>
        <w:ind w:left="9585" w:hanging="1080"/>
      </w:pPr>
      <w:rPr>
        <w:rFonts w:eastAsia="Calibri" w:hint="default"/>
        <w:b w:val="0"/>
      </w:rPr>
    </w:lvl>
    <w:lvl w:ilvl="6">
      <w:start w:val="1"/>
      <w:numFmt w:val="decimal"/>
      <w:lvlText w:val="%1.%2.%3.%4.%5.%6.%7"/>
      <w:lvlJc w:val="left"/>
      <w:pPr>
        <w:ind w:left="11286" w:hanging="1080"/>
      </w:pPr>
      <w:rPr>
        <w:rFonts w:eastAsia="Calibri" w:hint="default"/>
        <w:b w:val="0"/>
      </w:rPr>
    </w:lvl>
    <w:lvl w:ilvl="7">
      <w:start w:val="1"/>
      <w:numFmt w:val="decimal"/>
      <w:lvlText w:val="%1.%2.%3.%4.%5.%6.%7.%8"/>
      <w:lvlJc w:val="left"/>
      <w:pPr>
        <w:ind w:left="13347" w:hanging="1440"/>
      </w:pPr>
      <w:rPr>
        <w:rFonts w:eastAsia="Calibri" w:hint="default"/>
        <w:b w:val="0"/>
      </w:rPr>
    </w:lvl>
    <w:lvl w:ilvl="8">
      <w:start w:val="1"/>
      <w:numFmt w:val="decimal"/>
      <w:lvlText w:val="%1.%2.%3.%4.%5.%6.%7.%8.%9"/>
      <w:lvlJc w:val="left"/>
      <w:pPr>
        <w:ind w:left="15048" w:hanging="1440"/>
      </w:pPr>
      <w:rPr>
        <w:rFonts w:eastAsia="Calibri" w:hint="default"/>
        <w:b w:val="0"/>
      </w:rPr>
    </w:lvl>
  </w:abstractNum>
  <w:abstractNum w:abstractNumId="5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8F55910"/>
    <w:multiLevelType w:val="hybridMultilevel"/>
    <w:tmpl w:val="A5ECFC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A132A74"/>
    <w:multiLevelType w:val="hybridMultilevel"/>
    <w:tmpl w:val="D9D2C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C24007F"/>
    <w:multiLevelType w:val="hybridMultilevel"/>
    <w:tmpl w:val="66DA203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F60794E"/>
    <w:multiLevelType w:val="hybridMultilevel"/>
    <w:tmpl w:val="70DC431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05122BD"/>
    <w:multiLevelType w:val="hybridMultilevel"/>
    <w:tmpl w:val="E87EA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08A344F"/>
    <w:multiLevelType w:val="multilevel"/>
    <w:tmpl w:val="5DE6AFEE"/>
    <w:lvl w:ilvl="0">
      <w:start w:val="16"/>
      <w:numFmt w:val="decimal"/>
      <w:lvlText w:val="%1"/>
      <w:lvlJc w:val="left"/>
      <w:pPr>
        <w:ind w:left="360" w:hanging="360"/>
      </w:pPr>
      <w:rPr>
        <w:rFonts w:hint="default"/>
        <w:b/>
      </w:rPr>
    </w:lvl>
    <w:lvl w:ilvl="1">
      <w:start w:val="1"/>
      <w:numFmt w:val="decimal"/>
      <w:lvlText w:val="%1.%2"/>
      <w:lvlJc w:val="left"/>
      <w:pPr>
        <w:ind w:left="2487" w:hanging="360"/>
      </w:pPr>
      <w:rPr>
        <w:rFonts w:hint="default"/>
        <w:b w:val="0"/>
        <w:bCs/>
      </w:rPr>
    </w:lvl>
    <w:lvl w:ilvl="2">
      <w:start w:val="1"/>
      <w:numFmt w:val="decimal"/>
      <w:lvlText w:val="%1.%2.%3"/>
      <w:lvlJc w:val="left"/>
      <w:pPr>
        <w:ind w:left="4122" w:hanging="720"/>
      </w:pPr>
      <w:rPr>
        <w:rFonts w:hint="default"/>
        <w:b/>
      </w:rPr>
    </w:lvl>
    <w:lvl w:ilvl="3">
      <w:start w:val="1"/>
      <w:numFmt w:val="decimal"/>
      <w:lvlText w:val="%1.%2.%3.%4"/>
      <w:lvlJc w:val="left"/>
      <w:pPr>
        <w:ind w:left="5823" w:hanging="720"/>
      </w:pPr>
      <w:rPr>
        <w:rFonts w:hint="default"/>
        <w:b/>
      </w:rPr>
    </w:lvl>
    <w:lvl w:ilvl="4">
      <w:start w:val="1"/>
      <w:numFmt w:val="decimal"/>
      <w:lvlText w:val="%1.%2.%3.%4.%5"/>
      <w:lvlJc w:val="left"/>
      <w:pPr>
        <w:ind w:left="7524" w:hanging="720"/>
      </w:pPr>
      <w:rPr>
        <w:rFonts w:hint="default"/>
        <w:b/>
      </w:rPr>
    </w:lvl>
    <w:lvl w:ilvl="5">
      <w:start w:val="1"/>
      <w:numFmt w:val="decimal"/>
      <w:lvlText w:val="%1.%2.%3.%4.%5.%6"/>
      <w:lvlJc w:val="left"/>
      <w:pPr>
        <w:ind w:left="9585" w:hanging="1080"/>
      </w:pPr>
      <w:rPr>
        <w:rFonts w:hint="default"/>
        <w:b/>
      </w:rPr>
    </w:lvl>
    <w:lvl w:ilvl="6">
      <w:start w:val="1"/>
      <w:numFmt w:val="decimal"/>
      <w:lvlText w:val="%1.%2.%3.%4.%5.%6.%7"/>
      <w:lvlJc w:val="left"/>
      <w:pPr>
        <w:ind w:left="11286" w:hanging="1080"/>
      </w:pPr>
      <w:rPr>
        <w:rFonts w:hint="default"/>
        <w:b/>
      </w:rPr>
    </w:lvl>
    <w:lvl w:ilvl="7">
      <w:start w:val="1"/>
      <w:numFmt w:val="decimal"/>
      <w:lvlText w:val="%1.%2.%3.%4.%5.%6.%7.%8"/>
      <w:lvlJc w:val="left"/>
      <w:pPr>
        <w:ind w:left="13347" w:hanging="1440"/>
      </w:pPr>
      <w:rPr>
        <w:rFonts w:hint="default"/>
        <w:b/>
      </w:rPr>
    </w:lvl>
    <w:lvl w:ilvl="8">
      <w:start w:val="1"/>
      <w:numFmt w:val="decimal"/>
      <w:lvlText w:val="%1.%2.%3.%4.%5.%6.%7.%8.%9"/>
      <w:lvlJc w:val="left"/>
      <w:pPr>
        <w:ind w:left="15048" w:hanging="1440"/>
      </w:pPr>
      <w:rPr>
        <w:rFonts w:hint="default"/>
        <w:b/>
      </w:rPr>
    </w:lvl>
  </w:abstractNum>
  <w:abstractNum w:abstractNumId="60" w15:restartNumberingAfterBreak="0">
    <w:nsid w:val="713C5EDA"/>
    <w:multiLevelType w:val="multilevel"/>
    <w:tmpl w:val="20D25ACC"/>
    <w:lvl w:ilvl="0">
      <w:start w:val="2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61" w15:restartNumberingAfterBreak="0">
    <w:nsid w:val="718F5A35"/>
    <w:multiLevelType w:val="hybridMultilevel"/>
    <w:tmpl w:val="E118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2FE4718"/>
    <w:multiLevelType w:val="multilevel"/>
    <w:tmpl w:val="741E3258"/>
    <w:lvl w:ilvl="0">
      <w:start w:val="2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4C31C83"/>
    <w:multiLevelType w:val="multilevel"/>
    <w:tmpl w:val="25F237EC"/>
    <w:lvl w:ilvl="0">
      <w:start w:val="2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5A05454"/>
    <w:multiLevelType w:val="multilevel"/>
    <w:tmpl w:val="BEECFCE8"/>
    <w:lvl w:ilvl="0">
      <w:start w:val="15"/>
      <w:numFmt w:val="decimal"/>
      <w:lvlText w:val="%1"/>
      <w:lvlJc w:val="left"/>
      <w:pPr>
        <w:ind w:left="360" w:hanging="360"/>
      </w:pPr>
      <w:rPr>
        <w:rFonts w:hint="default"/>
      </w:rPr>
    </w:lvl>
    <w:lvl w:ilvl="1">
      <w:start w:val="1"/>
      <w:numFmt w:val="decimal"/>
      <w:lvlText w:val="%1.%2"/>
      <w:lvlJc w:val="left"/>
      <w:pPr>
        <w:ind w:left="2988" w:hanging="360"/>
      </w:pPr>
      <w:rPr>
        <w:rFonts w:hint="default"/>
      </w:rPr>
    </w:lvl>
    <w:lvl w:ilvl="2">
      <w:start w:val="1"/>
      <w:numFmt w:val="decimal"/>
      <w:lvlText w:val="%1.%2.%3"/>
      <w:lvlJc w:val="left"/>
      <w:pPr>
        <w:ind w:left="5976" w:hanging="720"/>
      </w:pPr>
      <w:rPr>
        <w:rFonts w:hint="default"/>
      </w:rPr>
    </w:lvl>
    <w:lvl w:ilvl="3">
      <w:start w:val="1"/>
      <w:numFmt w:val="decimal"/>
      <w:lvlText w:val="%1.%2.%3.%4"/>
      <w:lvlJc w:val="left"/>
      <w:pPr>
        <w:ind w:left="8604" w:hanging="720"/>
      </w:pPr>
      <w:rPr>
        <w:rFonts w:hint="default"/>
      </w:rPr>
    </w:lvl>
    <w:lvl w:ilvl="4">
      <w:start w:val="1"/>
      <w:numFmt w:val="decimal"/>
      <w:lvlText w:val="%1.%2.%3.%4.%5"/>
      <w:lvlJc w:val="left"/>
      <w:pPr>
        <w:ind w:left="11232" w:hanging="720"/>
      </w:pPr>
      <w:rPr>
        <w:rFonts w:hint="default"/>
      </w:rPr>
    </w:lvl>
    <w:lvl w:ilvl="5">
      <w:start w:val="1"/>
      <w:numFmt w:val="decimal"/>
      <w:lvlText w:val="%1.%2.%3.%4.%5.%6"/>
      <w:lvlJc w:val="left"/>
      <w:pPr>
        <w:ind w:left="14220" w:hanging="1080"/>
      </w:pPr>
      <w:rPr>
        <w:rFonts w:hint="default"/>
      </w:rPr>
    </w:lvl>
    <w:lvl w:ilvl="6">
      <w:start w:val="1"/>
      <w:numFmt w:val="decimal"/>
      <w:lvlText w:val="%1.%2.%3.%4.%5.%6.%7"/>
      <w:lvlJc w:val="left"/>
      <w:pPr>
        <w:ind w:left="16848" w:hanging="1080"/>
      </w:pPr>
      <w:rPr>
        <w:rFonts w:hint="default"/>
      </w:rPr>
    </w:lvl>
    <w:lvl w:ilvl="7">
      <w:start w:val="1"/>
      <w:numFmt w:val="decimal"/>
      <w:lvlText w:val="%1.%2.%3.%4.%5.%6.%7.%8"/>
      <w:lvlJc w:val="left"/>
      <w:pPr>
        <w:ind w:left="19836" w:hanging="1440"/>
      </w:pPr>
      <w:rPr>
        <w:rFonts w:hint="default"/>
      </w:rPr>
    </w:lvl>
    <w:lvl w:ilvl="8">
      <w:start w:val="1"/>
      <w:numFmt w:val="decimal"/>
      <w:lvlText w:val="%1.%2.%3.%4.%5.%6.%7.%8.%9"/>
      <w:lvlJc w:val="left"/>
      <w:pPr>
        <w:ind w:left="22464" w:hanging="1440"/>
      </w:pPr>
      <w:rPr>
        <w:rFonts w:hint="default"/>
      </w:rPr>
    </w:lvl>
  </w:abstractNum>
  <w:abstractNum w:abstractNumId="65" w15:restartNumberingAfterBreak="0">
    <w:nsid w:val="75DC408F"/>
    <w:multiLevelType w:val="multilevel"/>
    <w:tmpl w:val="C19CEFBA"/>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77F07DF0"/>
    <w:multiLevelType w:val="hybridMultilevel"/>
    <w:tmpl w:val="50926890"/>
    <w:lvl w:ilvl="0" w:tplc="08090003">
      <w:start w:val="1"/>
      <w:numFmt w:val="bullet"/>
      <w:lvlText w:val="o"/>
      <w:lvlJc w:val="left"/>
      <w:pPr>
        <w:ind w:left="1143" w:hanging="360"/>
      </w:pPr>
      <w:rPr>
        <w:rFonts w:ascii="Courier New" w:hAnsi="Courier New" w:cs="Courier New" w:hint="default"/>
      </w:rPr>
    </w:lvl>
    <w:lvl w:ilvl="1" w:tplc="08090003" w:tentative="1">
      <w:start w:val="1"/>
      <w:numFmt w:val="bullet"/>
      <w:lvlText w:val="o"/>
      <w:lvlJc w:val="left"/>
      <w:pPr>
        <w:ind w:left="1863" w:hanging="360"/>
      </w:pPr>
      <w:rPr>
        <w:rFonts w:ascii="Courier New" w:hAnsi="Courier New" w:cs="Courier New" w:hint="default"/>
      </w:rPr>
    </w:lvl>
    <w:lvl w:ilvl="2" w:tplc="08090005" w:tentative="1">
      <w:start w:val="1"/>
      <w:numFmt w:val="bullet"/>
      <w:lvlText w:val=""/>
      <w:lvlJc w:val="left"/>
      <w:pPr>
        <w:ind w:left="2583" w:hanging="360"/>
      </w:pPr>
      <w:rPr>
        <w:rFonts w:ascii="Wingdings" w:hAnsi="Wingdings" w:hint="default"/>
      </w:rPr>
    </w:lvl>
    <w:lvl w:ilvl="3" w:tplc="08090001" w:tentative="1">
      <w:start w:val="1"/>
      <w:numFmt w:val="bullet"/>
      <w:lvlText w:val=""/>
      <w:lvlJc w:val="left"/>
      <w:pPr>
        <w:ind w:left="3303" w:hanging="360"/>
      </w:pPr>
      <w:rPr>
        <w:rFonts w:ascii="Symbol" w:hAnsi="Symbol" w:hint="default"/>
      </w:rPr>
    </w:lvl>
    <w:lvl w:ilvl="4" w:tplc="08090003" w:tentative="1">
      <w:start w:val="1"/>
      <w:numFmt w:val="bullet"/>
      <w:lvlText w:val="o"/>
      <w:lvlJc w:val="left"/>
      <w:pPr>
        <w:ind w:left="4023" w:hanging="360"/>
      </w:pPr>
      <w:rPr>
        <w:rFonts w:ascii="Courier New" w:hAnsi="Courier New" w:cs="Courier New" w:hint="default"/>
      </w:rPr>
    </w:lvl>
    <w:lvl w:ilvl="5" w:tplc="08090005" w:tentative="1">
      <w:start w:val="1"/>
      <w:numFmt w:val="bullet"/>
      <w:lvlText w:val=""/>
      <w:lvlJc w:val="left"/>
      <w:pPr>
        <w:ind w:left="4743" w:hanging="360"/>
      </w:pPr>
      <w:rPr>
        <w:rFonts w:ascii="Wingdings" w:hAnsi="Wingdings" w:hint="default"/>
      </w:rPr>
    </w:lvl>
    <w:lvl w:ilvl="6" w:tplc="08090001" w:tentative="1">
      <w:start w:val="1"/>
      <w:numFmt w:val="bullet"/>
      <w:lvlText w:val=""/>
      <w:lvlJc w:val="left"/>
      <w:pPr>
        <w:ind w:left="5463" w:hanging="360"/>
      </w:pPr>
      <w:rPr>
        <w:rFonts w:ascii="Symbol" w:hAnsi="Symbol" w:hint="default"/>
      </w:rPr>
    </w:lvl>
    <w:lvl w:ilvl="7" w:tplc="08090003" w:tentative="1">
      <w:start w:val="1"/>
      <w:numFmt w:val="bullet"/>
      <w:lvlText w:val="o"/>
      <w:lvlJc w:val="left"/>
      <w:pPr>
        <w:ind w:left="6183" w:hanging="360"/>
      </w:pPr>
      <w:rPr>
        <w:rFonts w:ascii="Courier New" w:hAnsi="Courier New" w:cs="Courier New" w:hint="default"/>
      </w:rPr>
    </w:lvl>
    <w:lvl w:ilvl="8" w:tplc="08090005" w:tentative="1">
      <w:start w:val="1"/>
      <w:numFmt w:val="bullet"/>
      <w:lvlText w:val=""/>
      <w:lvlJc w:val="left"/>
      <w:pPr>
        <w:ind w:left="6903" w:hanging="360"/>
      </w:pPr>
      <w:rPr>
        <w:rFonts w:ascii="Wingdings" w:hAnsi="Wingdings" w:hint="default"/>
      </w:rPr>
    </w:lvl>
  </w:abstractNum>
  <w:abstractNum w:abstractNumId="67" w15:restartNumberingAfterBreak="0">
    <w:nsid w:val="78AD5628"/>
    <w:multiLevelType w:val="multilevel"/>
    <w:tmpl w:val="144E3E9C"/>
    <w:lvl w:ilvl="0">
      <w:start w:val="15"/>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68" w15:restartNumberingAfterBreak="0">
    <w:nsid w:val="792A139B"/>
    <w:multiLevelType w:val="multilevel"/>
    <w:tmpl w:val="9C2265A4"/>
    <w:lvl w:ilvl="0">
      <w:start w:val="20"/>
      <w:numFmt w:val="decimal"/>
      <w:lvlText w:val="%1"/>
      <w:lvlJc w:val="left"/>
      <w:pPr>
        <w:ind w:left="360" w:hanging="360"/>
      </w:pPr>
      <w:rPr>
        <w:rFonts w:eastAsia="Calibri" w:hint="default"/>
        <w:b w:val="0"/>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720" w:hanging="72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080" w:hanging="108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440" w:hanging="1440"/>
      </w:pPr>
      <w:rPr>
        <w:rFonts w:eastAsia="Calibri" w:hint="default"/>
        <w:b w:val="0"/>
      </w:rPr>
    </w:lvl>
  </w:abstractNum>
  <w:abstractNum w:abstractNumId="69" w15:restartNumberingAfterBreak="0">
    <w:nsid w:val="796205E2"/>
    <w:multiLevelType w:val="multilevel"/>
    <w:tmpl w:val="3D8C74A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79A3225C"/>
    <w:multiLevelType w:val="multilevel"/>
    <w:tmpl w:val="A9B05596"/>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B623EA8"/>
    <w:multiLevelType w:val="multilevel"/>
    <w:tmpl w:val="0D444528"/>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7C051C6F"/>
    <w:multiLevelType w:val="hybridMultilevel"/>
    <w:tmpl w:val="5EC07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7DF85A35"/>
    <w:multiLevelType w:val="hybridMultilevel"/>
    <w:tmpl w:val="FDD4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8566239">
    <w:abstractNumId w:val="4"/>
  </w:num>
  <w:num w:numId="2" w16cid:durableId="1699548709">
    <w:abstractNumId w:val="53"/>
  </w:num>
  <w:num w:numId="3" w16cid:durableId="1083063269">
    <w:abstractNumId w:val="9"/>
  </w:num>
  <w:num w:numId="4" w16cid:durableId="597056826">
    <w:abstractNumId w:val="61"/>
  </w:num>
  <w:num w:numId="5" w16cid:durableId="1647318138">
    <w:abstractNumId w:val="66"/>
  </w:num>
  <w:num w:numId="6" w16cid:durableId="297229091">
    <w:abstractNumId w:val="72"/>
  </w:num>
  <w:num w:numId="7" w16cid:durableId="876241919">
    <w:abstractNumId w:val="54"/>
  </w:num>
  <w:num w:numId="8" w16cid:durableId="1734233732">
    <w:abstractNumId w:val="29"/>
  </w:num>
  <w:num w:numId="9" w16cid:durableId="397479947">
    <w:abstractNumId w:val="20"/>
  </w:num>
  <w:num w:numId="10" w16cid:durableId="410006125">
    <w:abstractNumId w:val="17"/>
  </w:num>
  <w:num w:numId="11" w16cid:durableId="1353534260">
    <w:abstractNumId w:val="39"/>
  </w:num>
  <w:num w:numId="12" w16cid:durableId="515122512">
    <w:abstractNumId w:val="11"/>
  </w:num>
  <w:num w:numId="13" w16cid:durableId="1831868120">
    <w:abstractNumId w:val="30"/>
  </w:num>
  <w:num w:numId="14" w16cid:durableId="274531857">
    <w:abstractNumId w:val="56"/>
  </w:num>
  <w:num w:numId="15" w16cid:durableId="174542399">
    <w:abstractNumId w:val="10"/>
  </w:num>
  <w:num w:numId="16" w16cid:durableId="1763407972">
    <w:abstractNumId w:val="19"/>
  </w:num>
  <w:num w:numId="17" w16cid:durableId="1875996365">
    <w:abstractNumId w:val="57"/>
  </w:num>
  <w:num w:numId="18" w16cid:durableId="624510772">
    <w:abstractNumId w:val="34"/>
  </w:num>
  <w:num w:numId="19" w16cid:durableId="1529291317">
    <w:abstractNumId w:val="6"/>
  </w:num>
  <w:num w:numId="20" w16cid:durableId="1835342776">
    <w:abstractNumId w:val="25"/>
  </w:num>
  <w:num w:numId="21" w16cid:durableId="1064330311">
    <w:abstractNumId w:val="48"/>
  </w:num>
  <w:num w:numId="22" w16cid:durableId="2065060528">
    <w:abstractNumId w:val="21"/>
  </w:num>
  <w:num w:numId="23" w16cid:durableId="314577955">
    <w:abstractNumId w:val="73"/>
  </w:num>
  <w:num w:numId="24" w16cid:durableId="1641036762">
    <w:abstractNumId w:val="69"/>
  </w:num>
  <w:num w:numId="25" w16cid:durableId="295645276">
    <w:abstractNumId w:val="37"/>
  </w:num>
  <w:num w:numId="26" w16cid:durableId="1194349295">
    <w:abstractNumId w:val="7"/>
  </w:num>
  <w:num w:numId="27" w16cid:durableId="127361109">
    <w:abstractNumId w:val="18"/>
  </w:num>
  <w:num w:numId="28" w16cid:durableId="431822921">
    <w:abstractNumId w:val="36"/>
  </w:num>
  <w:num w:numId="29" w16cid:durableId="886839239">
    <w:abstractNumId w:val="2"/>
  </w:num>
  <w:num w:numId="30" w16cid:durableId="1532261548">
    <w:abstractNumId w:val="4"/>
  </w:num>
  <w:num w:numId="31" w16cid:durableId="1602496106">
    <w:abstractNumId w:val="16"/>
  </w:num>
  <w:num w:numId="32" w16cid:durableId="1432583092">
    <w:abstractNumId w:val="55"/>
  </w:num>
  <w:num w:numId="33" w16cid:durableId="690768524">
    <w:abstractNumId w:val="51"/>
  </w:num>
  <w:num w:numId="34" w16cid:durableId="851990854">
    <w:abstractNumId w:val="38"/>
  </w:num>
  <w:num w:numId="35" w16cid:durableId="2118325391">
    <w:abstractNumId w:val="26"/>
  </w:num>
  <w:num w:numId="36" w16cid:durableId="422917383">
    <w:abstractNumId w:val="22"/>
  </w:num>
  <w:num w:numId="37" w16cid:durableId="1066807117">
    <w:abstractNumId w:val="67"/>
  </w:num>
  <w:num w:numId="38" w16cid:durableId="336467979">
    <w:abstractNumId w:val="59"/>
  </w:num>
  <w:num w:numId="39" w16cid:durableId="1701199413">
    <w:abstractNumId w:val="49"/>
  </w:num>
  <w:num w:numId="40" w16cid:durableId="1476139723">
    <w:abstractNumId w:val="27"/>
  </w:num>
  <w:num w:numId="41" w16cid:durableId="449511967">
    <w:abstractNumId w:val="44"/>
  </w:num>
  <w:num w:numId="42" w16cid:durableId="2115248578">
    <w:abstractNumId w:val="68"/>
  </w:num>
  <w:num w:numId="43" w16cid:durableId="341859983">
    <w:abstractNumId w:val="52"/>
  </w:num>
  <w:num w:numId="44" w16cid:durableId="764619854">
    <w:abstractNumId w:val="63"/>
  </w:num>
  <w:num w:numId="45" w16cid:durableId="910308518">
    <w:abstractNumId w:val="9"/>
    <w:lvlOverride w:ilvl="0">
      <w:startOverride w:val="21"/>
    </w:lvlOverride>
  </w:num>
  <w:num w:numId="46" w16cid:durableId="1174760023">
    <w:abstractNumId w:val="14"/>
  </w:num>
  <w:num w:numId="47" w16cid:durableId="1780442836">
    <w:abstractNumId w:val="31"/>
  </w:num>
  <w:num w:numId="48" w16cid:durableId="908612551">
    <w:abstractNumId w:val="35"/>
  </w:num>
  <w:num w:numId="49" w16cid:durableId="891506469">
    <w:abstractNumId w:val="47"/>
  </w:num>
  <w:num w:numId="50" w16cid:durableId="1954170665">
    <w:abstractNumId w:val="62"/>
  </w:num>
  <w:num w:numId="51" w16cid:durableId="486745618">
    <w:abstractNumId w:val="9"/>
    <w:lvlOverride w:ilvl="0">
      <w:startOverride w:val="27"/>
    </w:lvlOverride>
  </w:num>
  <w:num w:numId="52" w16cid:durableId="1525443627">
    <w:abstractNumId w:val="41"/>
  </w:num>
  <w:num w:numId="53" w16cid:durableId="295530746">
    <w:abstractNumId w:val="45"/>
  </w:num>
  <w:num w:numId="54" w16cid:durableId="1501844913">
    <w:abstractNumId w:val="60"/>
  </w:num>
  <w:num w:numId="55" w16cid:durableId="1750080571">
    <w:abstractNumId w:val="32"/>
  </w:num>
  <w:num w:numId="56" w16cid:durableId="1708213051">
    <w:abstractNumId w:val="58"/>
  </w:num>
  <w:num w:numId="57" w16cid:durableId="565847505">
    <w:abstractNumId w:val="5"/>
  </w:num>
  <w:num w:numId="58" w16cid:durableId="1362586647">
    <w:abstractNumId w:val="64"/>
  </w:num>
  <w:num w:numId="59" w16cid:durableId="1355574822">
    <w:abstractNumId w:val="24"/>
  </w:num>
  <w:num w:numId="60" w16cid:durableId="1412922758">
    <w:abstractNumId w:val="15"/>
  </w:num>
  <w:num w:numId="61" w16cid:durableId="908466386">
    <w:abstractNumId w:val="70"/>
  </w:num>
  <w:num w:numId="62" w16cid:durableId="946232235">
    <w:abstractNumId w:val="9"/>
    <w:lvlOverride w:ilvl="0">
      <w:startOverride w:val="19"/>
    </w:lvlOverride>
  </w:num>
  <w:num w:numId="63" w16cid:durableId="1992564680">
    <w:abstractNumId w:val="42"/>
  </w:num>
  <w:num w:numId="64" w16cid:durableId="369577434">
    <w:abstractNumId w:val="23"/>
  </w:num>
  <w:num w:numId="65" w16cid:durableId="1972900513">
    <w:abstractNumId w:val="71"/>
  </w:num>
  <w:num w:numId="66" w16cid:durableId="516307040">
    <w:abstractNumId w:val="3"/>
  </w:num>
  <w:num w:numId="67" w16cid:durableId="333924496">
    <w:abstractNumId w:val="40"/>
  </w:num>
  <w:num w:numId="68" w16cid:durableId="1047608354">
    <w:abstractNumId w:val="65"/>
  </w:num>
  <w:num w:numId="69" w16cid:durableId="2129545171">
    <w:abstractNumId w:val="12"/>
  </w:num>
  <w:num w:numId="70" w16cid:durableId="1665739228">
    <w:abstractNumId w:val="28"/>
  </w:num>
  <w:num w:numId="71" w16cid:durableId="1854808009">
    <w:abstractNumId w:val="46"/>
  </w:num>
  <w:num w:numId="72" w16cid:durableId="532158396">
    <w:abstractNumId w:val="0"/>
  </w:num>
  <w:num w:numId="73" w16cid:durableId="977681483">
    <w:abstractNumId w:val="8"/>
  </w:num>
  <w:num w:numId="74" w16cid:durableId="1382944437">
    <w:abstractNumId w:val="50"/>
  </w:num>
  <w:num w:numId="75" w16cid:durableId="1891729009">
    <w:abstractNumId w:val="1"/>
  </w:num>
  <w:num w:numId="76" w16cid:durableId="613053437">
    <w:abstractNumId w:val="33"/>
  </w:num>
  <w:num w:numId="77" w16cid:durableId="170294140">
    <w:abstractNumId w:val="13"/>
  </w:num>
  <w:num w:numId="78" w16cid:durableId="1539856059">
    <w:abstractNumId w:val="4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s-MX" w:vendorID="64" w:dllVersion="0" w:nlCheck="1" w:checkStyle="0"/>
  <w:activeWritingStyle w:appName="MSWord" w:lang="fr-FR"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86"/>
    <w:rsid w:val="00005E04"/>
    <w:rsid w:val="0001299F"/>
    <w:rsid w:val="00012E84"/>
    <w:rsid w:val="00015305"/>
    <w:rsid w:val="00027F2B"/>
    <w:rsid w:val="0003467C"/>
    <w:rsid w:val="000367D4"/>
    <w:rsid w:val="00047B14"/>
    <w:rsid w:val="00050F6B"/>
    <w:rsid w:val="00051FAE"/>
    <w:rsid w:val="00052055"/>
    <w:rsid w:val="00054D61"/>
    <w:rsid w:val="000551E2"/>
    <w:rsid w:val="000556BA"/>
    <w:rsid w:val="00057972"/>
    <w:rsid w:val="00057AEB"/>
    <w:rsid w:val="000608F5"/>
    <w:rsid w:val="000632C7"/>
    <w:rsid w:val="00066900"/>
    <w:rsid w:val="000728C6"/>
    <w:rsid w:val="00072C8C"/>
    <w:rsid w:val="000733B5"/>
    <w:rsid w:val="00087A1F"/>
    <w:rsid w:val="000931C0"/>
    <w:rsid w:val="00095091"/>
    <w:rsid w:val="000B1650"/>
    <w:rsid w:val="000B175B"/>
    <w:rsid w:val="000B1ED7"/>
    <w:rsid w:val="000B3A0F"/>
    <w:rsid w:val="000B4A7C"/>
    <w:rsid w:val="000B4B3E"/>
    <w:rsid w:val="000B4EF7"/>
    <w:rsid w:val="000B5EC9"/>
    <w:rsid w:val="000C1BAC"/>
    <w:rsid w:val="000C2D2E"/>
    <w:rsid w:val="000C6CD1"/>
    <w:rsid w:val="000D24ED"/>
    <w:rsid w:val="000D2FE3"/>
    <w:rsid w:val="000D3676"/>
    <w:rsid w:val="000D54B6"/>
    <w:rsid w:val="000E0415"/>
    <w:rsid w:val="000E4B1D"/>
    <w:rsid w:val="000F21B6"/>
    <w:rsid w:val="000F3B03"/>
    <w:rsid w:val="000F55FB"/>
    <w:rsid w:val="000F680B"/>
    <w:rsid w:val="0010143F"/>
    <w:rsid w:val="00102E59"/>
    <w:rsid w:val="00105963"/>
    <w:rsid w:val="00106B9C"/>
    <w:rsid w:val="001103AA"/>
    <w:rsid w:val="001103E5"/>
    <w:rsid w:val="001247D7"/>
    <w:rsid w:val="001278D1"/>
    <w:rsid w:val="00140F4C"/>
    <w:rsid w:val="001426C1"/>
    <w:rsid w:val="00145660"/>
    <w:rsid w:val="00160055"/>
    <w:rsid w:val="001620F7"/>
    <w:rsid w:val="00163FB0"/>
    <w:rsid w:val="00164C08"/>
    <w:rsid w:val="00165D40"/>
    <w:rsid w:val="0016649C"/>
    <w:rsid w:val="001664A4"/>
    <w:rsid w:val="00175E06"/>
    <w:rsid w:val="001967CF"/>
    <w:rsid w:val="001B362F"/>
    <w:rsid w:val="001B4B04"/>
    <w:rsid w:val="001C6663"/>
    <w:rsid w:val="001C7895"/>
    <w:rsid w:val="001D1D19"/>
    <w:rsid w:val="001D26DF"/>
    <w:rsid w:val="001D6619"/>
    <w:rsid w:val="001E0E9A"/>
    <w:rsid w:val="001E2A24"/>
    <w:rsid w:val="001E2C12"/>
    <w:rsid w:val="001E61C0"/>
    <w:rsid w:val="001E61FA"/>
    <w:rsid w:val="001E6639"/>
    <w:rsid w:val="001F23F7"/>
    <w:rsid w:val="00201AED"/>
    <w:rsid w:val="00202DA8"/>
    <w:rsid w:val="00211E0B"/>
    <w:rsid w:val="0022373D"/>
    <w:rsid w:val="002270B9"/>
    <w:rsid w:val="00243059"/>
    <w:rsid w:val="00243152"/>
    <w:rsid w:val="00244D4A"/>
    <w:rsid w:val="00245F8D"/>
    <w:rsid w:val="00247A01"/>
    <w:rsid w:val="00250D1E"/>
    <w:rsid w:val="002534C4"/>
    <w:rsid w:val="00255F0E"/>
    <w:rsid w:val="00257DBD"/>
    <w:rsid w:val="00257F5C"/>
    <w:rsid w:val="002611EE"/>
    <w:rsid w:val="00264123"/>
    <w:rsid w:val="002705B8"/>
    <w:rsid w:val="002766BF"/>
    <w:rsid w:val="002776A2"/>
    <w:rsid w:val="00277EFD"/>
    <w:rsid w:val="00292104"/>
    <w:rsid w:val="00296C40"/>
    <w:rsid w:val="002A7F2C"/>
    <w:rsid w:val="002B03DF"/>
    <w:rsid w:val="002B2DFA"/>
    <w:rsid w:val="002B3449"/>
    <w:rsid w:val="002B356C"/>
    <w:rsid w:val="002C2AA2"/>
    <w:rsid w:val="002C40E5"/>
    <w:rsid w:val="002D77A3"/>
    <w:rsid w:val="002E00EF"/>
    <w:rsid w:val="002E2B49"/>
    <w:rsid w:val="002E6433"/>
    <w:rsid w:val="002F107A"/>
    <w:rsid w:val="002F129F"/>
    <w:rsid w:val="002F175C"/>
    <w:rsid w:val="002F2FC2"/>
    <w:rsid w:val="002F4698"/>
    <w:rsid w:val="002F4B7C"/>
    <w:rsid w:val="002F58C3"/>
    <w:rsid w:val="002F7FDF"/>
    <w:rsid w:val="00301EC9"/>
    <w:rsid w:val="00307016"/>
    <w:rsid w:val="00310E6C"/>
    <w:rsid w:val="003128A9"/>
    <w:rsid w:val="00314BEA"/>
    <w:rsid w:val="00314F32"/>
    <w:rsid w:val="003165DB"/>
    <w:rsid w:val="0032013D"/>
    <w:rsid w:val="003229D8"/>
    <w:rsid w:val="00326382"/>
    <w:rsid w:val="00331C1F"/>
    <w:rsid w:val="00331D33"/>
    <w:rsid w:val="00342B58"/>
    <w:rsid w:val="003431F6"/>
    <w:rsid w:val="00344317"/>
    <w:rsid w:val="003464C3"/>
    <w:rsid w:val="00352709"/>
    <w:rsid w:val="003528E2"/>
    <w:rsid w:val="00361D1D"/>
    <w:rsid w:val="0036359E"/>
    <w:rsid w:val="00371178"/>
    <w:rsid w:val="003720C6"/>
    <w:rsid w:val="003732EE"/>
    <w:rsid w:val="003750BA"/>
    <w:rsid w:val="00375ECC"/>
    <w:rsid w:val="00390717"/>
    <w:rsid w:val="00391766"/>
    <w:rsid w:val="00391F6F"/>
    <w:rsid w:val="003955E2"/>
    <w:rsid w:val="003A0E34"/>
    <w:rsid w:val="003A11BE"/>
    <w:rsid w:val="003A1F56"/>
    <w:rsid w:val="003A6810"/>
    <w:rsid w:val="003A689E"/>
    <w:rsid w:val="003B0851"/>
    <w:rsid w:val="003B0DCF"/>
    <w:rsid w:val="003B4E25"/>
    <w:rsid w:val="003B5D25"/>
    <w:rsid w:val="003B61F5"/>
    <w:rsid w:val="003C0C4E"/>
    <w:rsid w:val="003C0EBC"/>
    <w:rsid w:val="003C1E8C"/>
    <w:rsid w:val="003C2CC4"/>
    <w:rsid w:val="003C6F56"/>
    <w:rsid w:val="003D4B23"/>
    <w:rsid w:val="003E3583"/>
    <w:rsid w:val="003E7C67"/>
    <w:rsid w:val="003F0898"/>
    <w:rsid w:val="003F1DB4"/>
    <w:rsid w:val="003F2C3E"/>
    <w:rsid w:val="003F64C6"/>
    <w:rsid w:val="003F71C4"/>
    <w:rsid w:val="00402E1C"/>
    <w:rsid w:val="00410C89"/>
    <w:rsid w:val="00420D36"/>
    <w:rsid w:val="00422E11"/>
    <w:rsid w:val="00426B9B"/>
    <w:rsid w:val="004325CB"/>
    <w:rsid w:val="00432F17"/>
    <w:rsid w:val="00434DA6"/>
    <w:rsid w:val="00435F23"/>
    <w:rsid w:val="004364F7"/>
    <w:rsid w:val="00436E55"/>
    <w:rsid w:val="00440653"/>
    <w:rsid w:val="00443F4C"/>
    <w:rsid w:val="00445E28"/>
    <w:rsid w:val="00454927"/>
    <w:rsid w:val="0045495B"/>
    <w:rsid w:val="0045533D"/>
    <w:rsid w:val="00455AEF"/>
    <w:rsid w:val="00456549"/>
    <w:rsid w:val="00456FF2"/>
    <w:rsid w:val="00461EF9"/>
    <w:rsid w:val="00474A9B"/>
    <w:rsid w:val="0047693D"/>
    <w:rsid w:val="00482393"/>
    <w:rsid w:val="00484A43"/>
    <w:rsid w:val="00487660"/>
    <w:rsid w:val="00487BD3"/>
    <w:rsid w:val="00491849"/>
    <w:rsid w:val="0049218D"/>
    <w:rsid w:val="00493648"/>
    <w:rsid w:val="00497F25"/>
    <w:rsid w:val="004A3A3E"/>
    <w:rsid w:val="004A6286"/>
    <w:rsid w:val="004B1E94"/>
    <w:rsid w:val="004B2F11"/>
    <w:rsid w:val="004B6B70"/>
    <w:rsid w:val="004C15A9"/>
    <w:rsid w:val="004E45C4"/>
    <w:rsid w:val="004E4A8C"/>
    <w:rsid w:val="004E4CD6"/>
    <w:rsid w:val="004F3485"/>
    <w:rsid w:val="004F4DA0"/>
    <w:rsid w:val="004F5894"/>
    <w:rsid w:val="005033DE"/>
    <w:rsid w:val="00514EA6"/>
    <w:rsid w:val="0051557E"/>
    <w:rsid w:val="005209CF"/>
    <w:rsid w:val="005243C3"/>
    <w:rsid w:val="00534D3A"/>
    <w:rsid w:val="005420F2"/>
    <w:rsid w:val="00550BB3"/>
    <w:rsid w:val="005517F3"/>
    <w:rsid w:val="005525A1"/>
    <w:rsid w:val="00555AD7"/>
    <w:rsid w:val="005620FE"/>
    <w:rsid w:val="00567612"/>
    <w:rsid w:val="00574728"/>
    <w:rsid w:val="005749FE"/>
    <w:rsid w:val="005804E4"/>
    <w:rsid w:val="00583A37"/>
    <w:rsid w:val="00583EAF"/>
    <w:rsid w:val="0058629E"/>
    <w:rsid w:val="00587101"/>
    <w:rsid w:val="00592D1C"/>
    <w:rsid w:val="00594BAE"/>
    <w:rsid w:val="005B3C9F"/>
    <w:rsid w:val="005B3DB3"/>
    <w:rsid w:val="005B4B50"/>
    <w:rsid w:val="005B5F15"/>
    <w:rsid w:val="005B7CB1"/>
    <w:rsid w:val="005C046A"/>
    <w:rsid w:val="005C74A9"/>
    <w:rsid w:val="005D6C13"/>
    <w:rsid w:val="005E181A"/>
    <w:rsid w:val="005E6F3E"/>
    <w:rsid w:val="005F0529"/>
    <w:rsid w:val="005F2657"/>
    <w:rsid w:val="005F3C70"/>
    <w:rsid w:val="005F530E"/>
    <w:rsid w:val="005F7410"/>
    <w:rsid w:val="006001EE"/>
    <w:rsid w:val="006013C7"/>
    <w:rsid w:val="006066AD"/>
    <w:rsid w:val="006078D8"/>
    <w:rsid w:val="00611FC4"/>
    <w:rsid w:val="00612F31"/>
    <w:rsid w:val="0061458F"/>
    <w:rsid w:val="006176FB"/>
    <w:rsid w:val="00621D7D"/>
    <w:rsid w:val="00623DA1"/>
    <w:rsid w:val="00624BA2"/>
    <w:rsid w:val="0063123F"/>
    <w:rsid w:val="006318B7"/>
    <w:rsid w:val="00631DF2"/>
    <w:rsid w:val="00634985"/>
    <w:rsid w:val="00640B26"/>
    <w:rsid w:val="006500BC"/>
    <w:rsid w:val="00652D0A"/>
    <w:rsid w:val="00653562"/>
    <w:rsid w:val="006547FC"/>
    <w:rsid w:val="00666B8C"/>
    <w:rsid w:val="00670586"/>
    <w:rsid w:val="00686832"/>
    <w:rsid w:val="00692836"/>
    <w:rsid w:val="006A7410"/>
    <w:rsid w:val="006B2C34"/>
    <w:rsid w:val="006C1FD7"/>
    <w:rsid w:val="006D0185"/>
    <w:rsid w:val="006D088C"/>
    <w:rsid w:val="006D1844"/>
    <w:rsid w:val="006D39BE"/>
    <w:rsid w:val="006D43E4"/>
    <w:rsid w:val="006D741B"/>
    <w:rsid w:val="006E41DD"/>
    <w:rsid w:val="006E4EE9"/>
    <w:rsid w:val="006E564B"/>
    <w:rsid w:val="006E6E4C"/>
    <w:rsid w:val="006F4096"/>
    <w:rsid w:val="006F4F1B"/>
    <w:rsid w:val="006F5751"/>
    <w:rsid w:val="007013F6"/>
    <w:rsid w:val="00702157"/>
    <w:rsid w:val="007037B7"/>
    <w:rsid w:val="00703CDA"/>
    <w:rsid w:val="00706638"/>
    <w:rsid w:val="00710ABA"/>
    <w:rsid w:val="00715827"/>
    <w:rsid w:val="00720FCC"/>
    <w:rsid w:val="0072109F"/>
    <w:rsid w:val="00725BA7"/>
    <w:rsid w:val="0072632A"/>
    <w:rsid w:val="007265D3"/>
    <w:rsid w:val="007315CF"/>
    <w:rsid w:val="00735725"/>
    <w:rsid w:val="00743318"/>
    <w:rsid w:val="007442B2"/>
    <w:rsid w:val="00746795"/>
    <w:rsid w:val="0075296C"/>
    <w:rsid w:val="00761EBF"/>
    <w:rsid w:val="00762E11"/>
    <w:rsid w:val="00764D8A"/>
    <w:rsid w:val="00776280"/>
    <w:rsid w:val="00776EF2"/>
    <w:rsid w:val="007834A2"/>
    <w:rsid w:val="00783D42"/>
    <w:rsid w:val="00793650"/>
    <w:rsid w:val="007A3862"/>
    <w:rsid w:val="007A4AE8"/>
    <w:rsid w:val="007A6564"/>
    <w:rsid w:val="007A6E30"/>
    <w:rsid w:val="007A6FAB"/>
    <w:rsid w:val="007B16FF"/>
    <w:rsid w:val="007B3B59"/>
    <w:rsid w:val="007B4EFD"/>
    <w:rsid w:val="007B69E2"/>
    <w:rsid w:val="007B6BA5"/>
    <w:rsid w:val="007C3390"/>
    <w:rsid w:val="007C4A0D"/>
    <w:rsid w:val="007C4F4B"/>
    <w:rsid w:val="007C52DF"/>
    <w:rsid w:val="007C7E41"/>
    <w:rsid w:val="007D13E0"/>
    <w:rsid w:val="007E06EC"/>
    <w:rsid w:val="007E14D0"/>
    <w:rsid w:val="007E2A1D"/>
    <w:rsid w:val="007E36B7"/>
    <w:rsid w:val="007E382C"/>
    <w:rsid w:val="007E3A7E"/>
    <w:rsid w:val="007E64ED"/>
    <w:rsid w:val="007E66D8"/>
    <w:rsid w:val="007F4443"/>
    <w:rsid w:val="007F6611"/>
    <w:rsid w:val="007F6D8A"/>
    <w:rsid w:val="008015CC"/>
    <w:rsid w:val="00804312"/>
    <w:rsid w:val="0080537A"/>
    <w:rsid w:val="008074DF"/>
    <w:rsid w:val="008107E0"/>
    <w:rsid w:val="008115A1"/>
    <w:rsid w:val="00820609"/>
    <w:rsid w:val="008242D7"/>
    <w:rsid w:val="008268DF"/>
    <w:rsid w:val="0083499E"/>
    <w:rsid w:val="008359C4"/>
    <w:rsid w:val="00840BA9"/>
    <w:rsid w:val="00841BC2"/>
    <w:rsid w:val="008437A5"/>
    <w:rsid w:val="008439AD"/>
    <w:rsid w:val="00846D27"/>
    <w:rsid w:val="00846E73"/>
    <w:rsid w:val="00846F62"/>
    <w:rsid w:val="00853BFE"/>
    <w:rsid w:val="0085717A"/>
    <w:rsid w:val="008631C3"/>
    <w:rsid w:val="00866EFC"/>
    <w:rsid w:val="00874762"/>
    <w:rsid w:val="00887508"/>
    <w:rsid w:val="00891C02"/>
    <w:rsid w:val="008924FC"/>
    <w:rsid w:val="00892B70"/>
    <w:rsid w:val="00895EC9"/>
    <w:rsid w:val="0089755A"/>
    <w:rsid w:val="008979B1"/>
    <w:rsid w:val="008A38C4"/>
    <w:rsid w:val="008A46EE"/>
    <w:rsid w:val="008A6B25"/>
    <w:rsid w:val="008A6C4F"/>
    <w:rsid w:val="008B2335"/>
    <w:rsid w:val="008C2AE0"/>
    <w:rsid w:val="008C329E"/>
    <w:rsid w:val="008C5C70"/>
    <w:rsid w:val="008C6F63"/>
    <w:rsid w:val="008C723B"/>
    <w:rsid w:val="008D4AC6"/>
    <w:rsid w:val="008D688C"/>
    <w:rsid w:val="008E022B"/>
    <w:rsid w:val="008F6259"/>
    <w:rsid w:val="008F7E70"/>
    <w:rsid w:val="00903C98"/>
    <w:rsid w:val="0090482F"/>
    <w:rsid w:val="0090524D"/>
    <w:rsid w:val="00920B71"/>
    <w:rsid w:val="009223CA"/>
    <w:rsid w:val="00923981"/>
    <w:rsid w:val="00930107"/>
    <w:rsid w:val="00933477"/>
    <w:rsid w:val="00937D99"/>
    <w:rsid w:val="00940C9E"/>
    <w:rsid w:val="00940F93"/>
    <w:rsid w:val="00944BD3"/>
    <w:rsid w:val="00953683"/>
    <w:rsid w:val="00954347"/>
    <w:rsid w:val="00954453"/>
    <w:rsid w:val="009572FE"/>
    <w:rsid w:val="0096194F"/>
    <w:rsid w:val="009827CD"/>
    <w:rsid w:val="00983CD5"/>
    <w:rsid w:val="009874D0"/>
    <w:rsid w:val="009A54B6"/>
    <w:rsid w:val="009A6D4A"/>
    <w:rsid w:val="009B779F"/>
    <w:rsid w:val="009C0988"/>
    <w:rsid w:val="009C1BB2"/>
    <w:rsid w:val="009C39A4"/>
    <w:rsid w:val="009C614D"/>
    <w:rsid w:val="009D2463"/>
    <w:rsid w:val="009F257F"/>
    <w:rsid w:val="00A0059C"/>
    <w:rsid w:val="00A01489"/>
    <w:rsid w:val="00A03618"/>
    <w:rsid w:val="00A03DD4"/>
    <w:rsid w:val="00A05FEB"/>
    <w:rsid w:val="00A0600A"/>
    <w:rsid w:val="00A0632D"/>
    <w:rsid w:val="00A1205C"/>
    <w:rsid w:val="00A12920"/>
    <w:rsid w:val="00A14D5B"/>
    <w:rsid w:val="00A27AD2"/>
    <w:rsid w:val="00A27B8F"/>
    <w:rsid w:val="00A33F05"/>
    <w:rsid w:val="00A36B1F"/>
    <w:rsid w:val="00A5384B"/>
    <w:rsid w:val="00A553EB"/>
    <w:rsid w:val="00A639D6"/>
    <w:rsid w:val="00A72F22"/>
    <w:rsid w:val="00A74171"/>
    <w:rsid w:val="00A748A6"/>
    <w:rsid w:val="00A776B4"/>
    <w:rsid w:val="00A85098"/>
    <w:rsid w:val="00A94361"/>
    <w:rsid w:val="00A9719B"/>
    <w:rsid w:val="00AA017B"/>
    <w:rsid w:val="00AA312C"/>
    <w:rsid w:val="00AB550D"/>
    <w:rsid w:val="00AC2C3D"/>
    <w:rsid w:val="00AC2E7A"/>
    <w:rsid w:val="00AC351C"/>
    <w:rsid w:val="00AC4AC4"/>
    <w:rsid w:val="00AC4C6B"/>
    <w:rsid w:val="00AD04BE"/>
    <w:rsid w:val="00AD40B7"/>
    <w:rsid w:val="00AE13EA"/>
    <w:rsid w:val="00AE2E9D"/>
    <w:rsid w:val="00AE4F10"/>
    <w:rsid w:val="00AF39BE"/>
    <w:rsid w:val="00B0288F"/>
    <w:rsid w:val="00B039B6"/>
    <w:rsid w:val="00B07C51"/>
    <w:rsid w:val="00B11C2E"/>
    <w:rsid w:val="00B15A99"/>
    <w:rsid w:val="00B16979"/>
    <w:rsid w:val="00B20FFB"/>
    <w:rsid w:val="00B3014E"/>
    <w:rsid w:val="00B30179"/>
    <w:rsid w:val="00B3163C"/>
    <w:rsid w:val="00B32AA2"/>
    <w:rsid w:val="00B33CB1"/>
    <w:rsid w:val="00B45400"/>
    <w:rsid w:val="00B518A8"/>
    <w:rsid w:val="00B561D9"/>
    <w:rsid w:val="00B56E9C"/>
    <w:rsid w:val="00B64B1F"/>
    <w:rsid w:val="00B65307"/>
    <w:rsid w:val="00B6553F"/>
    <w:rsid w:val="00B7049A"/>
    <w:rsid w:val="00B7292F"/>
    <w:rsid w:val="00B74363"/>
    <w:rsid w:val="00B7753F"/>
    <w:rsid w:val="00B81E12"/>
    <w:rsid w:val="00B8607E"/>
    <w:rsid w:val="00B8670A"/>
    <w:rsid w:val="00B90EFB"/>
    <w:rsid w:val="00B94609"/>
    <w:rsid w:val="00B94B3D"/>
    <w:rsid w:val="00B963B6"/>
    <w:rsid w:val="00BA089D"/>
    <w:rsid w:val="00BA6416"/>
    <w:rsid w:val="00BB02F0"/>
    <w:rsid w:val="00BB1F6A"/>
    <w:rsid w:val="00BB6195"/>
    <w:rsid w:val="00BB6B22"/>
    <w:rsid w:val="00BC32B0"/>
    <w:rsid w:val="00BC51C9"/>
    <w:rsid w:val="00BC74E9"/>
    <w:rsid w:val="00BC7744"/>
    <w:rsid w:val="00BC7F4A"/>
    <w:rsid w:val="00BD452D"/>
    <w:rsid w:val="00BE2FE3"/>
    <w:rsid w:val="00BE47B5"/>
    <w:rsid w:val="00BE79D0"/>
    <w:rsid w:val="00BE7C1F"/>
    <w:rsid w:val="00BF68A8"/>
    <w:rsid w:val="00C01FF8"/>
    <w:rsid w:val="00C05035"/>
    <w:rsid w:val="00C06077"/>
    <w:rsid w:val="00C17B60"/>
    <w:rsid w:val="00C37447"/>
    <w:rsid w:val="00C40747"/>
    <w:rsid w:val="00C416A9"/>
    <w:rsid w:val="00C463DD"/>
    <w:rsid w:val="00C46705"/>
    <w:rsid w:val="00C4724C"/>
    <w:rsid w:val="00C50110"/>
    <w:rsid w:val="00C5765B"/>
    <w:rsid w:val="00C6007A"/>
    <w:rsid w:val="00C60682"/>
    <w:rsid w:val="00C61247"/>
    <w:rsid w:val="00C629A0"/>
    <w:rsid w:val="00C6559E"/>
    <w:rsid w:val="00C7317C"/>
    <w:rsid w:val="00C73430"/>
    <w:rsid w:val="00C74169"/>
    <w:rsid w:val="00C745C3"/>
    <w:rsid w:val="00C748A7"/>
    <w:rsid w:val="00C81386"/>
    <w:rsid w:val="00C82F72"/>
    <w:rsid w:val="00C86067"/>
    <w:rsid w:val="00C92195"/>
    <w:rsid w:val="00CA1163"/>
    <w:rsid w:val="00CA19B5"/>
    <w:rsid w:val="00CA354D"/>
    <w:rsid w:val="00CA792D"/>
    <w:rsid w:val="00CB2285"/>
    <w:rsid w:val="00CB7801"/>
    <w:rsid w:val="00CC0E28"/>
    <w:rsid w:val="00CC27A3"/>
    <w:rsid w:val="00CC2E66"/>
    <w:rsid w:val="00CD36B9"/>
    <w:rsid w:val="00CD4022"/>
    <w:rsid w:val="00CD7C64"/>
    <w:rsid w:val="00CE0E13"/>
    <w:rsid w:val="00CE4A8F"/>
    <w:rsid w:val="00CE4FCF"/>
    <w:rsid w:val="00CE63A7"/>
    <w:rsid w:val="00CE7061"/>
    <w:rsid w:val="00CF68E5"/>
    <w:rsid w:val="00D02FAC"/>
    <w:rsid w:val="00D07A62"/>
    <w:rsid w:val="00D07DAE"/>
    <w:rsid w:val="00D109D5"/>
    <w:rsid w:val="00D12220"/>
    <w:rsid w:val="00D13045"/>
    <w:rsid w:val="00D1353C"/>
    <w:rsid w:val="00D16AD8"/>
    <w:rsid w:val="00D176E8"/>
    <w:rsid w:val="00D2031B"/>
    <w:rsid w:val="00D20341"/>
    <w:rsid w:val="00D25FE2"/>
    <w:rsid w:val="00D26496"/>
    <w:rsid w:val="00D329E7"/>
    <w:rsid w:val="00D35D96"/>
    <w:rsid w:val="00D43252"/>
    <w:rsid w:val="00D43B05"/>
    <w:rsid w:val="00D447D7"/>
    <w:rsid w:val="00D469AF"/>
    <w:rsid w:val="00D5184B"/>
    <w:rsid w:val="00D5242D"/>
    <w:rsid w:val="00D77C6F"/>
    <w:rsid w:val="00D8329F"/>
    <w:rsid w:val="00D85680"/>
    <w:rsid w:val="00D90A7C"/>
    <w:rsid w:val="00D922B5"/>
    <w:rsid w:val="00D93FE0"/>
    <w:rsid w:val="00D95303"/>
    <w:rsid w:val="00D978C6"/>
    <w:rsid w:val="00D97F83"/>
    <w:rsid w:val="00DA3C1C"/>
    <w:rsid w:val="00DA483F"/>
    <w:rsid w:val="00DA6EF8"/>
    <w:rsid w:val="00DC37AB"/>
    <w:rsid w:val="00DC4BBF"/>
    <w:rsid w:val="00DC5597"/>
    <w:rsid w:val="00DD05BC"/>
    <w:rsid w:val="00DD1965"/>
    <w:rsid w:val="00DD48CD"/>
    <w:rsid w:val="00DD5A6D"/>
    <w:rsid w:val="00DE061F"/>
    <w:rsid w:val="00DE2920"/>
    <w:rsid w:val="00DE5CF5"/>
    <w:rsid w:val="00DE5E2D"/>
    <w:rsid w:val="00DE7DFF"/>
    <w:rsid w:val="00DF135E"/>
    <w:rsid w:val="00DF797B"/>
    <w:rsid w:val="00DF7EB4"/>
    <w:rsid w:val="00E02499"/>
    <w:rsid w:val="00E02FB2"/>
    <w:rsid w:val="00E0410D"/>
    <w:rsid w:val="00E04617"/>
    <w:rsid w:val="00E05F1B"/>
    <w:rsid w:val="00E06409"/>
    <w:rsid w:val="00E07E21"/>
    <w:rsid w:val="00E10FBF"/>
    <w:rsid w:val="00E13F8E"/>
    <w:rsid w:val="00E21752"/>
    <w:rsid w:val="00E21FCF"/>
    <w:rsid w:val="00E24D09"/>
    <w:rsid w:val="00E33CBA"/>
    <w:rsid w:val="00E35B35"/>
    <w:rsid w:val="00E41AC7"/>
    <w:rsid w:val="00E46591"/>
    <w:rsid w:val="00E5666C"/>
    <w:rsid w:val="00E62B64"/>
    <w:rsid w:val="00E640E4"/>
    <w:rsid w:val="00E71BC8"/>
    <w:rsid w:val="00E7260F"/>
    <w:rsid w:val="00E76FDF"/>
    <w:rsid w:val="00E803B3"/>
    <w:rsid w:val="00E8283D"/>
    <w:rsid w:val="00E8583E"/>
    <w:rsid w:val="00E91FBB"/>
    <w:rsid w:val="00E96630"/>
    <w:rsid w:val="00E96D68"/>
    <w:rsid w:val="00EA1E22"/>
    <w:rsid w:val="00EA2395"/>
    <w:rsid w:val="00EA2677"/>
    <w:rsid w:val="00EA3DE8"/>
    <w:rsid w:val="00EC0CD1"/>
    <w:rsid w:val="00EC21C7"/>
    <w:rsid w:val="00EC4D70"/>
    <w:rsid w:val="00EC73F5"/>
    <w:rsid w:val="00ED6201"/>
    <w:rsid w:val="00ED7A2A"/>
    <w:rsid w:val="00EE506D"/>
    <w:rsid w:val="00EF1D7F"/>
    <w:rsid w:val="00EF20B5"/>
    <w:rsid w:val="00EF555C"/>
    <w:rsid w:val="00F16C6B"/>
    <w:rsid w:val="00F22DCA"/>
    <w:rsid w:val="00F30FC4"/>
    <w:rsid w:val="00F313A2"/>
    <w:rsid w:val="00F46A97"/>
    <w:rsid w:val="00F47262"/>
    <w:rsid w:val="00F50223"/>
    <w:rsid w:val="00F56DD5"/>
    <w:rsid w:val="00F60C1A"/>
    <w:rsid w:val="00F61C0B"/>
    <w:rsid w:val="00F7062F"/>
    <w:rsid w:val="00F70736"/>
    <w:rsid w:val="00F740E1"/>
    <w:rsid w:val="00F82C6D"/>
    <w:rsid w:val="00F91502"/>
    <w:rsid w:val="00FA089D"/>
    <w:rsid w:val="00FA0BE8"/>
    <w:rsid w:val="00FA598A"/>
    <w:rsid w:val="00FA73CE"/>
    <w:rsid w:val="00FB494A"/>
    <w:rsid w:val="00FC68B7"/>
    <w:rsid w:val="00FD219F"/>
    <w:rsid w:val="00FF3D76"/>
    <w:rsid w:val="00FF716D"/>
    <w:rsid w:val="00FF7D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76ECC"/>
  <w15:docId w15:val="{5AC0E631-1CD9-456B-A528-F903184D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4DF"/>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92195"/>
    <w:pPr>
      <w:spacing w:after="0" w:line="240" w:lineRule="auto"/>
      <w:ind w:right="0"/>
      <w:jc w:val="left"/>
      <w:outlineLvl w:val="0"/>
    </w:pPr>
  </w:style>
  <w:style w:type="paragraph" w:styleId="Heading2">
    <w:name w:val="heading 2"/>
    <w:basedOn w:val="Normal"/>
    <w:next w:val="Normal"/>
    <w:semiHidden/>
    <w:qFormat/>
    <w:rsid w:val="00C92195"/>
    <w:pPr>
      <w:spacing w:line="240" w:lineRule="auto"/>
      <w:outlineLvl w:val="1"/>
    </w:pPr>
  </w:style>
  <w:style w:type="paragraph" w:styleId="Heading3">
    <w:name w:val="heading 3"/>
    <w:basedOn w:val="Normal"/>
    <w:next w:val="Normal"/>
    <w:semiHidden/>
    <w:qFormat/>
    <w:rsid w:val="00C92195"/>
    <w:pPr>
      <w:spacing w:line="240" w:lineRule="auto"/>
      <w:outlineLvl w:val="2"/>
    </w:pPr>
  </w:style>
  <w:style w:type="paragraph" w:styleId="Heading4">
    <w:name w:val="heading 4"/>
    <w:basedOn w:val="Normal"/>
    <w:next w:val="Normal"/>
    <w:semiHidden/>
    <w:qFormat/>
    <w:rsid w:val="00C92195"/>
    <w:pPr>
      <w:spacing w:line="240" w:lineRule="auto"/>
      <w:outlineLvl w:val="3"/>
    </w:pPr>
  </w:style>
  <w:style w:type="paragraph" w:styleId="Heading5">
    <w:name w:val="heading 5"/>
    <w:basedOn w:val="Normal"/>
    <w:next w:val="Normal"/>
    <w:semiHidden/>
    <w:qFormat/>
    <w:rsid w:val="00C92195"/>
    <w:pPr>
      <w:spacing w:line="240" w:lineRule="auto"/>
      <w:outlineLvl w:val="4"/>
    </w:pPr>
  </w:style>
  <w:style w:type="paragraph" w:styleId="Heading6">
    <w:name w:val="heading 6"/>
    <w:basedOn w:val="Normal"/>
    <w:next w:val="Normal"/>
    <w:semiHidden/>
    <w:qFormat/>
    <w:rsid w:val="00C92195"/>
    <w:pPr>
      <w:spacing w:line="240" w:lineRule="auto"/>
      <w:outlineLvl w:val="5"/>
    </w:pPr>
  </w:style>
  <w:style w:type="paragraph" w:styleId="Heading7">
    <w:name w:val="heading 7"/>
    <w:basedOn w:val="Normal"/>
    <w:next w:val="Normal"/>
    <w:semiHidden/>
    <w:qFormat/>
    <w:rsid w:val="00C92195"/>
    <w:pPr>
      <w:spacing w:line="240" w:lineRule="auto"/>
      <w:outlineLvl w:val="6"/>
    </w:pPr>
  </w:style>
  <w:style w:type="paragraph" w:styleId="Heading8">
    <w:name w:val="heading 8"/>
    <w:basedOn w:val="Normal"/>
    <w:next w:val="Normal"/>
    <w:semiHidden/>
    <w:qFormat/>
    <w:rsid w:val="00C92195"/>
    <w:pPr>
      <w:spacing w:line="240" w:lineRule="auto"/>
      <w:outlineLvl w:val="7"/>
    </w:pPr>
  </w:style>
  <w:style w:type="paragraph" w:styleId="Heading9">
    <w:name w:val="heading 9"/>
    <w:basedOn w:val="Normal"/>
    <w:next w:val="Normal"/>
    <w:semiHidden/>
    <w:qFormat/>
    <w:rsid w:val="00C92195"/>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92195"/>
    <w:pPr>
      <w:spacing w:after="120"/>
      <w:ind w:left="1134" w:right="1134"/>
      <w:jc w:val="both"/>
    </w:pPr>
  </w:style>
  <w:style w:type="paragraph" w:customStyle="1" w:styleId="HMG">
    <w:name w:val="_ H __M_G"/>
    <w:basedOn w:val="Normal"/>
    <w:next w:val="Normal"/>
    <w:qFormat/>
    <w:rsid w:val="00C92195"/>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92195"/>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uiPriority w:val="99"/>
    <w:qFormat/>
    <w:rsid w:val="00C92195"/>
    <w:rPr>
      <w:rFonts w:ascii="Times New Roman" w:hAnsi="Times New Roman"/>
      <w:sz w:val="18"/>
      <w:vertAlign w:val="superscript"/>
    </w:rPr>
  </w:style>
  <w:style w:type="character" w:styleId="EndnoteReference">
    <w:name w:val="endnote reference"/>
    <w:aliases w:val="1_G"/>
    <w:basedOn w:val="FootnoteReference"/>
    <w:uiPriority w:val="99"/>
    <w:qFormat/>
    <w:rsid w:val="00C92195"/>
    <w:rPr>
      <w:rFonts w:ascii="Times New Roman" w:hAnsi="Times New Roman"/>
      <w:sz w:val="18"/>
      <w:vertAlign w:val="superscript"/>
    </w:rPr>
  </w:style>
  <w:style w:type="paragraph" w:styleId="Header">
    <w:name w:val="header"/>
    <w:aliases w:val="6_G"/>
    <w:basedOn w:val="Normal"/>
    <w:link w:val="HeaderChar"/>
    <w:uiPriority w:val="99"/>
    <w:qFormat/>
    <w:rsid w:val="00C92195"/>
    <w:pPr>
      <w:pBdr>
        <w:bottom w:val="single" w:sz="4" w:space="4" w:color="auto"/>
      </w:pBdr>
      <w:spacing w:line="240" w:lineRule="auto"/>
    </w:pPr>
    <w:rPr>
      <w:b/>
      <w:sz w:val="18"/>
    </w:rPr>
  </w:style>
  <w:style w:type="table" w:styleId="TableGrid">
    <w:name w:val="Table Grid"/>
    <w:basedOn w:val="TableNormal"/>
    <w:uiPriority w:val="39"/>
    <w:rsid w:val="00C9219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92195"/>
    <w:rPr>
      <w:color w:val="auto"/>
      <w:u w:val="none"/>
    </w:rPr>
  </w:style>
  <w:style w:type="paragraph" w:customStyle="1" w:styleId="SMG">
    <w:name w:val="__S_M_G"/>
    <w:basedOn w:val="Normal"/>
    <w:next w:val="Normal"/>
    <w:qFormat/>
    <w:rsid w:val="00C92195"/>
    <w:pPr>
      <w:keepNext/>
      <w:keepLines/>
      <w:spacing w:before="240" w:after="240" w:line="420" w:lineRule="exact"/>
      <w:ind w:left="1134" w:right="1134"/>
    </w:pPr>
    <w:rPr>
      <w:b/>
      <w:sz w:val="40"/>
    </w:rPr>
  </w:style>
  <w:style w:type="paragraph" w:customStyle="1" w:styleId="SLG">
    <w:name w:val="__S_L_G"/>
    <w:basedOn w:val="Normal"/>
    <w:next w:val="Normal"/>
    <w:qFormat/>
    <w:rsid w:val="00C92195"/>
    <w:pPr>
      <w:keepNext/>
      <w:keepLines/>
      <w:spacing w:before="240" w:after="240" w:line="580" w:lineRule="exact"/>
      <w:ind w:left="1134" w:right="1134"/>
    </w:pPr>
    <w:rPr>
      <w:b/>
      <w:sz w:val="56"/>
    </w:rPr>
  </w:style>
  <w:style w:type="paragraph" w:customStyle="1" w:styleId="SSG">
    <w:name w:val="__S_S_G"/>
    <w:basedOn w:val="Normal"/>
    <w:next w:val="Normal"/>
    <w:qFormat/>
    <w:rsid w:val="00C92195"/>
    <w:pPr>
      <w:keepNext/>
      <w:keepLines/>
      <w:spacing w:before="240" w:after="240" w:line="300" w:lineRule="exact"/>
      <w:ind w:left="1134" w:right="1134"/>
    </w:pPr>
    <w:rPr>
      <w:b/>
      <w:sz w:val="28"/>
    </w:rPr>
  </w:style>
  <w:style w:type="character" w:styleId="FollowedHyperlink">
    <w:name w:val="FollowedHyperlink"/>
    <w:basedOn w:val="DefaultParagraphFont"/>
    <w:uiPriority w:val="99"/>
    <w:semiHidden/>
    <w:rsid w:val="00C92195"/>
    <w:rPr>
      <w:color w:val="auto"/>
      <w:u w:val="none"/>
    </w:rPr>
  </w:style>
  <w:style w:type="paragraph" w:styleId="FootnoteText">
    <w:name w:val="footnote text"/>
    <w:aliases w:val="5_G"/>
    <w:basedOn w:val="Normal"/>
    <w:link w:val="FootnoteTextChar"/>
    <w:uiPriority w:val="99"/>
    <w:qFormat/>
    <w:rsid w:val="00C92195"/>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qFormat/>
    <w:rsid w:val="00C92195"/>
  </w:style>
  <w:style w:type="paragraph" w:customStyle="1" w:styleId="XLargeG">
    <w:name w:val="__XLarge_G"/>
    <w:basedOn w:val="Normal"/>
    <w:next w:val="Normal"/>
    <w:qFormat/>
    <w:rsid w:val="00C92195"/>
    <w:pPr>
      <w:keepNext/>
      <w:keepLines/>
      <w:spacing w:before="240" w:after="240" w:line="420" w:lineRule="exact"/>
      <w:ind w:left="1134" w:right="1134"/>
    </w:pPr>
    <w:rPr>
      <w:b/>
      <w:sz w:val="40"/>
    </w:rPr>
  </w:style>
  <w:style w:type="paragraph" w:customStyle="1" w:styleId="Bullet1G">
    <w:name w:val="_Bullet 1_G"/>
    <w:basedOn w:val="Normal"/>
    <w:qFormat/>
    <w:rsid w:val="00C92195"/>
    <w:pPr>
      <w:numPr>
        <w:numId w:val="1"/>
      </w:numPr>
      <w:spacing w:after="120"/>
      <w:ind w:right="1134"/>
      <w:jc w:val="both"/>
    </w:pPr>
  </w:style>
  <w:style w:type="character" w:styleId="PageNumber">
    <w:name w:val="page number"/>
    <w:aliases w:val="7_G"/>
    <w:basedOn w:val="DefaultParagraphFont"/>
    <w:qFormat/>
    <w:rsid w:val="00C92195"/>
    <w:rPr>
      <w:rFonts w:ascii="Times New Roman" w:hAnsi="Times New Roman"/>
      <w:b/>
      <w:sz w:val="18"/>
    </w:rPr>
  </w:style>
  <w:style w:type="paragraph" w:styleId="Footer">
    <w:name w:val="footer"/>
    <w:aliases w:val="3_G"/>
    <w:basedOn w:val="Normal"/>
    <w:link w:val="FooterChar"/>
    <w:uiPriority w:val="99"/>
    <w:qFormat/>
    <w:rsid w:val="00C92195"/>
    <w:pPr>
      <w:spacing w:line="240" w:lineRule="auto"/>
    </w:pPr>
    <w:rPr>
      <w:sz w:val="16"/>
    </w:rPr>
  </w:style>
  <w:style w:type="paragraph" w:customStyle="1" w:styleId="Bullet2G">
    <w:name w:val="_Bullet 2_G"/>
    <w:basedOn w:val="Normal"/>
    <w:qFormat/>
    <w:rsid w:val="00C92195"/>
    <w:pPr>
      <w:numPr>
        <w:numId w:val="2"/>
      </w:numPr>
      <w:spacing w:after="120"/>
      <w:ind w:right="1134"/>
      <w:jc w:val="both"/>
    </w:pPr>
  </w:style>
  <w:style w:type="paragraph" w:customStyle="1" w:styleId="H1G">
    <w:name w:val="_ H_1_G"/>
    <w:basedOn w:val="Normal"/>
    <w:next w:val="Normal"/>
    <w:qFormat/>
    <w:rsid w:val="00C92195"/>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92195"/>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92195"/>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92195"/>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D518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84B"/>
    <w:rPr>
      <w:rFonts w:ascii="Tahoma" w:hAnsi="Tahoma" w:cs="Tahoma"/>
      <w:sz w:val="16"/>
      <w:szCs w:val="16"/>
      <w:lang w:val="en-GB" w:eastAsia="en-US"/>
    </w:rPr>
  </w:style>
  <w:style w:type="paragraph" w:customStyle="1" w:styleId="ParNoG">
    <w:name w:val="_ParNo_G"/>
    <w:basedOn w:val="SingleTxtG"/>
    <w:qFormat/>
    <w:rsid w:val="00B3163C"/>
    <w:pPr>
      <w:numPr>
        <w:numId w:val="3"/>
      </w:numPr>
      <w:kinsoku w:val="0"/>
      <w:overflowPunct w:val="0"/>
      <w:autoSpaceDE w:val="0"/>
      <w:autoSpaceDN w:val="0"/>
      <w:adjustRightInd w:val="0"/>
      <w:snapToGrid w:val="0"/>
    </w:pPr>
  </w:style>
  <w:style w:type="paragraph" w:styleId="ListParagraph">
    <w:name w:val="List Paragraph"/>
    <w:aliases w:val="paragraph,List Paragraph1,Recommendation,List Paragraph11,L,CV text,Table text,List Paragraph2,F5 List Paragraph,Dot pt,List Paragraph111,Medium Grid 1 - Accent 21,Numbered Paragraph,Main numbered paragraph,Numbered List Paragraph"/>
    <w:basedOn w:val="Normal"/>
    <w:link w:val="ListParagraphChar"/>
    <w:uiPriority w:val="1"/>
    <w:qFormat/>
    <w:rsid w:val="008074DF"/>
    <w:pPr>
      <w:suppressAutoHyphens w:val="0"/>
      <w:spacing w:line="240" w:lineRule="auto"/>
      <w:ind w:left="720"/>
    </w:pPr>
  </w:style>
  <w:style w:type="paragraph" w:styleId="NoSpacing">
    <w:name w:val="No Spacing"/>
    <w:uiPriority w:val="1"/>
    <w:qFormat/>
    <w:rsid w:val="008074DF"/>
    <w:rPr>
      <w:rFonts w:ascii="Arial" w:eastAsia="Arial" w:hAnsi="Arial" w:cs="Arial"/>
      <w:sz w:val="22"/>
      <w:szCs w:val="22"/>
      <w:lang w:val="en-GB" w:eastAsia="en-GB"/>
    </w:rPr>
  </w:style>
  <w:style w:type="character" w:customStyle="1" w:styleId="ListParagraphChar">
    <w:name w:val="List Paragraph Char"/>
    <w:aliases w:val="paragraph Char,List Paragraph1 Char,Recommendation Char,List Paragraph11 Char,L Char,CV text Char,Table text Char,List Paragraph2 Char,F5 List Paragraph Char,Dot pt Char,List Paragraph111 Char,Medium Grid 1 - Accent 21 Char"/>
    <w:link w:val="ListParagraph"/>
    <w:uiPriority w:val="34"/>
    <w:qFormat/>
    <w:locked/>
    <w:rsid w:val="008074DF"/>
    <w:rPr>
      <w:lang w:val="en-GB" w:eastAsia="en-US"/>
    </w:rPr>
  </w:style>
  <w:style w:type="character" w:styleId="UnresolvedMention">
    <w:name w:val="Unresolved Mention"/>
    <w:basedOn w:val="DefaultParagraphFont"/>
    <w:uiPriority w:val="99"/>
    <w:semiHidden/>
    <w:unhideWhenUsed/>
    <w:rsid w:val="00BD452D"/>
    <w:rPr>
      <w:color w:val="605E5C"/>
      <w:shd w:val="clear" w:color="auto" w:fill="E1DFDD"/>
    </w:rPr>
  </w:style>
  <w:style w:type="character" w:customStyle="1" w:styleId="FootnoteTextChar">
    <w:name w:val="Footnote Text Char"/>
    <w:aliases w:val="5_G Char"/>
    <w:basedOn w:val="DefaultParagraphFont"/>
    <w:link w:val="FootnoteText"/>
    <w:uiPriority w:val="99"/>
    <w:rsid w:val="00455AEF"/>
    <w:rPr>
      <w:sz w:val="18"/>
      <w:lang w:val="en-GB" w:eastAsia="en-US"/>
    </w:rPr>
  </w:style>
  <w:style w:type="character" w:customStyle="1" w:styleId="Heading1Char">
    <w:name w:val="Heading 1 Char"/>
    <w:aliases w:val="Table_G Char"/>
    <w:basedOn w:val="DefaultParagraphFont"/>
    <w:link w:val="Heading1"/>
    <w:uiPriority w:val="9"/>
    <w:rsid w:val="000551E2"/>
    <w:rPr>
      <w:lang w:val="en-GB" w:eastAsia="en-US"/>
    </w:rPr>
  </w:style>
  <w:style w:type="paragraph" w:customStyle="1" w:styleId="Default">
    <w:name w:val="Default"/>
    <w:rsid w:val="000551E2"/>
    <w:pPr>
      <w:autoSpaceDE w:val="0"/>
      <w:autoSpaceDN w:val="0"/>
      <w:adjustRightInd w:val="0"/>
    </w:pPr>
    <w:rPr>
      <w:rFonts w:eastAsia="Arial"/>
      <w:color w:val="000000"/>
      <w:sz w:val="24"/>
      <w:szCs w:val="24"/>
      <w:lang w:val="en-GB" w:eastAsia="en-GB"/>
    </w:rPr>
  </w:style>
  <w:style w:type="paragraph" w:styleId="NormalWeb">
    <w:name w:val="Normal (Web)"/>
    <w:basedOn w:val="Normal"/>
    <w:uiPriority w:val="99"/>
    <w:unhideWhenUsed/>
    <w:rsid w:val="000551E2"/>
    <w:pPr>
      <w:suppressAutoHyphens w:val="0"/>
      <w:spacing w:before="100" w:beforeAutospacing="1" w:after="100" w:afterAutospacing="1" w:line="240" w:lineRule="auto"/>
    </w:pPr>
    <w:rPr>
      <w:rFonts w:eastAsiaTheme="minorHAnsi"/>
      <w:sz w:val="24"/>
      <w:szCs w:val="24"/>
      <w:lang w:eastAsia="en-GB"/>
    </w:rPr>
  </w:style>
  <w:style w:type="character" w:customStyle="1" w:styleId="normaltextrun">
    <w:name w:val="normaltextrun"/>
    <w:basedOn w:val="DefaultParagraphFont"/>
    <w:rsid w:val="000551E2"/>
  </w:style>
  <w:style w:type="character" w:customStyle="1" w:styleId="eop">
    <w:name w:val="eop"/>
    <w:basedOn w:val="DefaultParagraphFont"/>
    <w:rsid w:val="000551E2"/>
  </w:style>
  <w:style w:type="character" w:styleId="CommentReference">
    <w:name w:val="annotation reference"/>
    <w:basedOn w:val="DefaultParagraphFont"/>
    <w:uiPriority w:val="99"/>
    <w:semiHidden/>
    <w:unhideWhenUsed/>
    <w:rsid w:val="000551E2"/>
    <w:rPr>
      <w:sz w:val="16"/>
      <w:szCs w:val="16"/>
    </w:rPr>
  </w:style>
  <w:style w:type="paragraph" w:styleId="CommentText">
    <w:name w:val="annotation text"/>
    <w:basedOn w:val="Normal"/>
    <w:link w:val="CommentTextChar"/>
    <w:uiPriority w:val="99"/>
    <w:unhideWhenUsed/>
    <w:rsid w:val="000551E2"/>
    <w:pPr>
      <w:suppressAutoHyphens w:val="0"/>
      <w:spacing w:line="240" w:lineRule="auto"/>
    </w:pPr>
    <w:rPr>
      <w:rFonts w:ascii="Arial" w:eastAsia="Arial" w:hAnsi="Arial" w:cs="Arial"/>
      <w:lang w:eastAsia="en-GB"/>
    </w:rPr>
  </w:style>
  <w:style w:type="character" w:customStyle="1" w:styleId="CommentTextChar">
    <w:name w:val="Comment Text Char"/>
    <w:basedOn w:val="DefaultParagraphFont"/>
    <w:link w:val="CommentText"/>
    <w:uiPriority w:val="99"/>
    <w:rsid w:val="000551E2"/>
    <w:rPr>
      <w:rFonts w:ascii="Arial" w:eastAsia="Arial" w:hAnsi="Arial" w:cs="Arial"/>
      <w:lang w:val="en-GB" w:eastAsia="en-GB"/>
    </w:rPr>
  </w:style>
  <w:style w:type="paragraph" w:styleId="CommentSubject">
    <w:name w:val="annotation subject"/>
    <w:basedOn w:val="CommentText"/>
    <w:next w:val="CommentText"/>
    <w:link w:val="CommentSubjectChar"/>
    <w:uiPriority w:val="99"/>
    <w:semiHidden/>
    <w:unhideWhenUsed/>
    <w:rsid w:val="000551E2"/>
    <w:rPr>
      <w:b/>
      <w:bCs/>
    </w:rPr>
  </w:style>
  <w:style w:type="character" w:customStyle="1" w:styleId="CommentSubjectChar">
    <w:name w:val="Comment Subject Char"/>
    <w:basedOn w:val="CommentTextChar"/>
    <w:link w:val="CommentSubject"/>
    <w:uiPriority w:val="99"/>
    <w:semiHidden/>
    <w:rsid w:val="000551E2"/>
    <w:rPr>
      <w:rFonts w:ascii="Arial" w:eastAsia="Arial" w:hAnsi="Arial" w:cs="Arial"/>
      <w:b/>
      <w:bCs/>
      <w:lang w:val="en-GB" w:eastAsia="en-GB"/>
    </w:rPr>
  </w:style>
  <w:style w:type="character" w:customStyle="1" w:styleId="HeaderChar">
    <w:name w:val="Header Char"/>
    <w:aliases w:val="6_G Char"/>
    <w:basedOn w:val="DefaultParagraphFont"/>
    <w:link w:val="Header"/>
    <w:uiPriority w:val="99"/>
    <w:rsid w:val="000551E2"/>
    <w:rPr>
      <w:b/>
      <w:sz w:val="18"/>
      <w:lang w:val="en-GB" w:eastAsia="en-US"/>
    </w:rPr>
  </w:style>
  <w:style w:type="character" w:customStyle="1" w:styleId="FooterChar">
    <w:name w:val="Footer Char"/>
    <w:aliases w:val="3_G Char"/>
    <w:basedOn w:val="DefaultParagraphFont"/>
    <w:link w:val="Footer"/>
    <w:uiPriority w:val="99"/>
    <w:rsid w:val="000551E2"/>
    <w:rPr>
      <w:sz w:val="16"/>
      <w:lang w:val="en-GB" w:eastAsia="en-US"/>
    </w:rPr>
  </w:style>
  <w:style w:type="character" w:customStyle="1" w:styleId="UnresolvedMention1">
    <w:name w:val="Unresolved Mention1"/>
    <w:basedOn w:val="DefaultParagraphFont"/>
    <w:uiPriority w:val="99"/>
    <w:semiHidden/>
    <w:unhideWhenUsed/>
    <w:rsid w:val="000551E2"/>
    <w:rPr>
      <w:color w:val="605E5C"/>
      <w:shd w:val="clear" w:color="auto" w:fill="E1DFDD"/>
    </w:rPr>
  </w:style>
  <w:style w:type="character" w:customStyle="1" w:styleId="EndnoteTextChar">
    <w:name w:val="Endnote Text Char"/>
    <w:aliases w:val="2_G Char"/>
    <w:basedOn w:val="DefaultParagraphFont"/>
    <w:link w:val="EndnoteText"/>
    <w:uiPriority w:val="99"/>
    <w:rsid w:val="000551E2"/>
    <w:rPr>
      <w:sz w:val="18"/>
      <w:lang w:val="en-GB" w:eastAsia="en-US"/>
    </w:rPr>
  </w:style>
  <w:style w:type="paragraph" w:styleId="Revision">
    <w:name w:val="Revision"/>
    <w:hidden/>
    <w:uiPriority w:val="99"/>
    <w:semiHidden/>
    <w:rsid w:val="000551E2"/>
    <w:rPr>
      <w:rFonts w:ascii="Arial" w:eastAsia="Arial" w:hAnsi="Arial" w:cs="Arial"/>
      <w:sz w:val="22"/>
      <w:szCs w:val="22"/>
      <w:lang w:val="en-GB" w:eastAsia="en-GB"/>
    </w:rPr>
  </w:style>
  <w:style w:type="paragraph" w:customStyle="1" w:styleId="H1">
    <w:name w:val="_ H_1"/>
    <w:basedOn w:val="Normal"/>
    <w:next w:val="SingleTxt"/>
    <w:rsid w:val="000551E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rFonts w:eastAsiaTheme="minorHAnsi"/>
      <w:b/>
      <w:spacing w:val="4"/>
      <w:w w:val="103"/>
      <w:kern w:val="14"/>
      <w:sz w:val="24"/>
    </w:rPr>
  </w:style>
  <w:style w:type="paragraph" w:customStyle="1" w:styleId="SingleTxt">
    <w:name w:val="__Single Txt"/>
    <w:basedOn w:val="Normal"/>
    <w:rsid w:val="000551E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rFonts w:eastAsiaTheme="minorHAnsi"/>
      <w:spacing w:val="4"/>
      <w:w w:val="103"/>
      <w:kern w:val="14"/>
    </w:rPr>
  </w:style>
  <w:style w:type="paragraph" w:customStyle="1" w:styleId="TitleH1">
    <w:name w:val="Title_H1"/>
    <w:basedOn w:val="Normal"/>
    <w:next w:val="Normal"/>
    <w:qFormat/>
    <w:rsid w:val="000551E2"/>
    <w:pPr>
      <w:keepNext/>
      <w:keepLines/>
      <w:spacing w:line="270" w:lineRule="exact"/>
      <w:ind w:left="1267" w:right="1267" w:hanging="1267"/>
      <w:outlineLvl w:val="0"/>
    </w:pPr>
    <w:rPr>
      <w:rFonts w:eastAsiaTheme="minorHAnsi"/>
      <w:b/>
      <w:spacing w:val="4"/>
      <w:w w:val="103"/>
      <w:kern w:val="14"/>
      <w:sz w:val="24"/>
    </w:rPr>
  </w:style>
  <w:style w:type="character" w:customStyle="1" w:styleId="UnresolvedMention2">
    <w:name w:val="Unresolved Mention2"/>
    <w:basedOn w:val="DefaultParagraphFont"/>
    <w:uiPriority w:val="99"/>
    <w:semiHidden/>
    <w:unhideWhenUsed/>
    <w:rsid w:val="000551E2"/>
    <w:rPr>
      <w:color w:val="605E5C"/>
      <w:shd w:val="clear" w:color="auto" w:fill="E1DFDD"/>
    </w:rPr>
  </w:style>
  <w:style w:type="table" w:styleId="GridTable1Light">
    <w:name w:val="Grid Table 1 Light"/>
    <w:basedOn w:val="TableNormal"/>
    <w:uiPriority w:val="46"/>
    <w:rsid w:val="000551E2"/>
    <w:rPr>
      <w:rFonts w:asciiTheme="minorHAnsi" w:eastAsiaTheme="minorHAnsi" w:hAnsiTheme="minorHAnsi" w:cstheme="minorBidi"/>
      <w:sz w:val="22"/>
      <w:szCs w:val="22"/>
      <w:lang w:val="en-GB"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D90A7C"/>
    <w:rPr>
      <w:rFonts w:ascii="Calibri" w:hAnsi="Calibri" w:cs="Arial"/>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9184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491849"/>
    <w:pPr>
      <w:widowControl w:val="0"/>
      <w:suppressAutoHyphens w:val="0"/>
      <w:autoSpaceDE w:val="0"/>
      <w:autoSpaceDN w:val="0"/>
      <w:spacing w:line="240" w:lineRule="auto"/>
    </w:pPr>
    <w:rPr>
      <w:rFonts w:ascii="Segoe UI" w:eastAsia="Segoe UI" w:hAnsi="Segoe UI" w:cs="Segoe UI"/>
      <w:b/>
      <w:bCs/>
      <w:sz w:val="7"/>
      <w:szCs w:val="7"/>
      <w:lang w:val="en-US"/>
    </w:rPr>
  </w:style>
  <w:style w:type="character" w:customStyle="1" w:styleId="BodyTextChar">
    <w:name w:val="Body Text Char"/>
    <w:basedOn w:val="DefaultParagraphFont"/>
    <w:link w:val="BodyText"/>
    <w:uiPriority w:val="1"/>
    <w:rsid w:val="00491849"/>
    <w:rPr>
      <w:rFonts w:ascii="Segoe UI" w:eastAsia="Segoe UI" w:hAnsi="Segoe UI" w:cs="Segoe UI"/>
      <w:b/>
      <w:bCs/>
      <w:sz w:val="7"/>
      <w:szCs w:val="7"/>
      <w:lang w:val="en-US" w:eastAsia="en-US"/>
    </w:rPr>
  </w:style>
  <w:style w:type="paragraph" w:customStyle="1" w:styleId="TableParagraph">
    <w:name w:val="Table Paragraph"/>
    <w:basedOn w:val="Normal"/>
    <w:uiPriority w:val="1"/>
    <w:qFormat/>
    <w:rsid w:val="00491849"/>
    <w:pPr>
      <w:widowControl w:val="0"/>
      <w:suppressAutoHyphens w:val="0"/>
      <w:autoSpaceDE w:val="0"/>
      <w:autoSpaceDN w:val="0"/>
      <w:spacing w:before="5" w:line="101" w:lineRule="exact"/>
      <w:ind w:left="26"/>
    </w:pPr>
    <w:rPr>
      <w:rFonts w:ascii="Segoe UI" w:eastAsia="Segoe UI" w:hAnsi="Segoe UI" w:cs="Segoe U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70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docs.org/Home/Mobile?FinalSymbol=A%2F75%2F601&amp;Language=E&amp;DeviceType=Desktop&amp;LangRequested=False" TargetMode="External"/><Relationship Id="rId18" Type="http://schemas.openxmlformats.org/officeDocument/2006/relationships/hyperlink" Target="https://www.un.org/sg/sites/www.un.org.sg/files/atoms/files/The_Highest_Asperation_A_Call_To_Action_For_Human_Right_English.pdf" TargetMode="External"/><Relationship Id="rId26" Type="http://schemas.openxmlformats.org/officeDocument/2006/relationships/hyperlink" Target="https://undocs.org/Home/Mobile?FinalSymbol=A%2FRES%2F68%2F268&amp;Language=E&amp;DeviceType=Desktop&amp;LangRequested=False" TargetMode="External"/><Relationship Id="rId3" Type="http://schemas.openxmlformats.org/officeDocument/2006/relationships/customXml" Target="../customXml/item3.xml"/><Relationship Id="rId21" Type="http://schemas.openxmlformats.org/officeDocument/2006/relationships/hyperlink" Target="https://undocs.org/Home/Mobile?FinalSymbol=A%2FRES%2F48%2F141&amp;Language=E&amp;DeviceType=Desktop&amp;LangRequested=Fals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ndocs.org/Home/Mobile?FinalSymbol=A%2F66%2F860&amp;Language=E&amp;DeviceType=Desktop&amp;LangRequested=False" TargetMode="External"/><Relationship Id="rId17" Type="http://schemas.openxmlformats.org/officeDocument/2006/relationships/hyperlink" Target="https://www.undocs.org/Home/Mobile?FinalSymbol=A%2FRES%2F77%2F210&amp;Language=E&amp;DeviceType=Desktop&amp;LangRequested=False" TargetMode="External"/><Relationship Id="rId25" Type="http://schemas.openxmlformats.org/officeDocument/2006/relationships/hyperlink" Target="https://undocs.org/Home/Mobile?FinalSymbol=A%2F77%2F228&amp;Language=E&amp;DeviceType=Desktop&amp;LangRequested=False"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undocs.org/Home/Mobile?FinalSymbol=a%2F77%2F279&amp;Language=E&amp;DeviceType=Desktop&amp;LangRequested=False" TargetMode="External"/><Relationship Id="rId20" Type="http://schemas.openxmlformats.org/officeDocument/2006/relationships/hyperlink" Target="https://undocs.org/Home/Mobile?FinalSymbol=A%2F77%2F228&amp;Language=E&amp;DeviceType=Desktop&amp;LangRequested=Fals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Home/Mobile?FinalSymbol=A%2F77%2F228&amp;Language=E&amp;DeviceType=Desktop&amp;LangRequested=False" TargetMode="External"/><Relationship Id="rId24" Type="http://schemas.openxmlformats.org/officeDocument/2006/relationships/hyperlink" Target="https://undocs.org/Home/Mobile?FinalSymbol=A%2F77%2F228&amp;Language=E&amp;DeviceType=Desktop&amp;LangRequested=False"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undocs.org/Home/Mobile?FinalSymbol=A%2Fres%2F75%2F252&amp;Language=E&amp;DeviceType=Desktop&amp;LangRequested=False" TargetMode="External"/><Relationship Id="rId23" Type="http://schemas.openxmlformats.org/officeDocument/2006/relationships/hyperlink" Target="https://undocs.org/Home/Mobile?FinalSymbol=A%2F77%2F228&amp;Language=E&amp;DeviceType=Desktop&amp;LangRequested=False" TargetMode="External"/><Relationship Id="rId28" Type="http://schemas.openxmlformats.org/officeDocument/2006/relationships/hyperlink" Target="https://www.undocs.org/Home/Mobile?FinalSymbol=A%2FRES%2F77%2F210&amp;Language=E&amp;DeviceType=Desktop&amp;LangRequested=False" TargetMode="External"/><Relationship Id="rId10" Type="http://schemas.openxmlformats.org/officeDocument/2006/relationships/endnotes" Target="endnotes.xml"/><Relationship Id="rId19" Type="http://schemas.openxmlformats.org/officeDocument/2006/relationships/hyperlink" Target="https://www.un.org/en/common-agenda"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Home/Mobile?FinalSymbol=A%2FRES%2F68%2F268&amp;Language=E&amp;DeviceType=Desktop&amp;LangRequested=False" TargetMode="External"/><Relationship Id="rId22" Type="http://schemas.openxmlformats.org/officeDocument/2006/relationships/hyperlink" Target="https://undocs.org/Home/Mobile?FinalSymbol=A%2FRES%2F68%2F268&amp;Language=E&amp;DeviceType=Desktop&amp;LangRequested=False" TargetMode="External"/><Relationship Id="rId27" Type="http://schemas.openxmlformats.org/officeDocument/2006/relationships/hyperlink" Target="https://www.undocs.org/Home/Mobile?FinalSymbol=A%2FRES%2F77%2F210&amp;Language=E&amp;DeviceType=Desktop&amp;LangRequested=False"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CMW\CMW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9331D1-C8F8-49E1-B688-6F2DDBBAB0EF}">
  <ds:schemaRefs>
    <ds:schemaRef ds:uri="http://schemas.microsoft.com/sharepoint/v3/contenttype/forms"/>
  </ds:schemaRefs>
</ds:datastoreItem>
</file>

<file path=customXml/itemProps2.xml><?xml version="1.0" encoding="utf-8"?>
<ds:datastoreItem xmlns:ds="http://schemas.openxmlformats.org/officeDocument/2006/customXml" ds:itemID="{20EC3C45-39D9-4B23-AABD-27882EE8BA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509AE5-676A-41AE-B7A6-68FCA0F41CA9}">
  <ds:schemaRefs>
    <ds:schemaRef ds:uri="http://schemas.openxmlformats.org/officeDocument/2006/bibliography"/>
  </ds:schemaRefs>
</ds:datastoreItem>
</file>

<file path=customXml/itemProps4.xml><?xml version="1.0" encoding="utf-8"?>
<ds:datastoreItem xmlns:ds="http://schemas.openxmlformats.org/officeDocument/2006/customXml" ds:itemID="{AD9DAA27-5B6E-4BAE-A719-C04A74BB69A5}"/>
</file>

<file path=docProps/app.xml><?xml version="1.0" encoding="utf-8"?>
<Properties xmlns="http://schemas.openxmlformats.org/officeDocument/2006/extended-properties" xmlns:vt="http://schemas.openxmlformats.org/officeDocument/2006/docPropsVTypes">
  <Template>CMW_E.dotm</Template>
  <TotalTime>0</TotalTime>
  <Pages>5</Pages>
  <Words>2965</Words>
  <Characters>16902</Characters>
  <Application>Microsoft Office Word</Application>
  <DocSecurity>0</DocSecurity>
  <Lines>140</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CSD</Company>
  <LinksUpToDate>false</LinksUpToDate>
  <CharactersWithSpaces>19828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Britta Christine Nicolmann</dc:title>
  <dc:creator>FLECHE Isabelle</dc:creator>
  <cp:lastModifiedBy>Britta Christine Nicolmann</cp:lastModifiedBy>
  <cp:revision>2</cp:revision>
  <cp:lastPrinted>2023-10-27T14:27:00Z</cp:lastPrinted>
  <dcterms:created xsi:type="dcterms:W3CDTF">2023-10-29T11:03:00Z</dcterms:created>
  <dcterms:modified xsi:type="dcterms:W3CDTF">2023-10-29T11:03:00Z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RE&amp;#58; Executive summaries of the &amp;quot;Working Paper&amp;quot; for the webpage of the 35th Chairs' meeting </vt:lpwstr>
  </property>
</Properties>
</file>