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55D7" w14:textId="77777777" w:rsidR="00975506" w:rsidRDefault="007C70E2" w:rsidP="00C84546">
      <w:pPr>
        <w:spacing w:after="0" w:line="240" w:lineRule="auto"/>
        <w:jc w:val="right"/>
      </w:pPr>
      <w:r w:rsidRPr="007139CE">
        <w:rPr>
          <w:noProof/>
        </w:rPr>
        <w:drawing>
          <wp:inline distT="0" distB="0" distL="0" distR="0" wp14:anchorId="48E1350C" wp14:editId="02BCEE19">
            <wp:extent cx="2203450" cy="768912"/>
            <wp:effectExtent l="0" t="0" r="6350" b="0"/>
            <wp:docPr id="4" name="Picture 4" descr="C:\Users\Vivian.Kwok\AppData\Local\Microsoft\Windows\INetCache\Content.Outlook\GQ027J44\TreatyBodies_Logo_RGB_300dpi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vian.Kwok\AppData\Local\Microsoft\Windows\INetCache\Content.Outlook\GQ027J44\TreatyBodies_Logo_RGB_300dpi_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0318" cy="778288"/>
                    </a:xfrm>
                    <a:prstGeom prst="rect">
                      <a:avLst/>
                    </a:prstGeom>
                    <a:noFill/>
                    <a:ln>
                      <a:noFill/>
                    </a:ln>
                  </pic:spPr>
                </pic:pic>
              </a:graphicData>
            </a:graphic>
          </wp:inline>
        </w:drawing>
      </w:r>
    </w:p>
    <w:p w14:paraId="2F919ADA" w14:textId="5B40065E" w:rsidR="0002661F" w:rsidRPr="001D47BC" w:rsidRDefault="007C70E2" w:rsidP="0002661F">
      <w:pPr>
        <w:spacing w:after="0" w:line="240" w:lineRule="auto"/>
        <w:jc w:val="center"/>
        <w:rPr>
          <w:sz w:val="26"/>
          <w:szCs w:val="26"/>
        </w:rPr>
      </w:pPr>
      <w:r>
        <w:rPr>
          <w:sz w:val="20"/>
          <w:szCs w:val="20"/>
        </w:rPr>
        <w:br/>
      </w:r>
      <w:r w:rsidR="0002661F">
        <w:rPr>
          <w:sz w:val="26"/>
          <w:szCs w:val="26"/>
        </w:rPr>
        <w:t>3 January</w:t>
      </w:r>
      <w:r w:rsidRPr="001D47BC">
        <w:rPr>
          <w:sz w:val="26"/>
          <w:szCs w:val="26"/>
        </w:rPr>
        <w:t xml:space="preserve"> 202</w:t>
      </w:r>
      <w:r w:rsidR="0002661F">
        <w:rPr>
          <w:sz w:val="26"/>
          <w:szCs w:val="26"/>
        </w:rPr>
        <w:t>3</w:t>
      </w:r>
    </w:p>
    <w:p w14:paraId="69CED2ED" w14:textId="77777777" w:rsidR="00C84546" w:rsidRDefault="00C84546" w:rsidP="00C84546">
      <w:pPr>
        <w:spacing w:after="0" w:line="240" w:lineRule="auto"/>
        <w:jc w:val="center"/>
      </w:pPr>
    </w:p>
    <w:p w14:paraId="7A5C9AEC" w14:textId="424134B1" w:rsidR="000D57AF" w:rsidRDefault="000D57AF" w:rsidP="00C84546">
      <w:pPr>
        <w:spacing w:after="0" w:line="240" w:lineRule="auto"/>
        <w:jc w:val="center"/>
        <w:rPr>
          <w:rFonts w:cstheme="minorHAnsi"/>
          <w:b/>
          <w:sz w:val="24"/>
          <w:szCs w:val="24"/>
        </w:rPr>
      </w:pPr>
      <w:r w:rsidRPr="00E56439">
        <w:rPr>
          <w:rFonts w:cstheme="minorHAnsi"/>
          <w:b/>
          <w:sz w:val="24"/>
          <w:szCs w:val="24"/>
        </w:rPr>
        <w:t xml:space="preserve">Information </w:t>
      </w:r>
      <w:proofErr w:type="gramStart"/>
      <w:r w:rsidRPr="00E56439">
        <w:rPr>
          <w:rFonts w:cstheme="minorHAnsi"/>
          <w:b/>
          <w:sz w:val="24"/>
          <w:szCs w:val="24"/>
        </w:rPr>
        <w:t>note</w:t>
      </w:r>
      <w:proofErr w:type="gramEnd"/>
      <w:r w:rsidRPr="00E56439">
        <w:rPr>
          <w:rFonts w:cstheme="minorHAnsi"/>
          <w:b/>
          <w:sz w:val="24"/>
          <w:szCs w:val="24"/>
        </w:rPr>
        <w:t xml:space="preserve"> </w:t>
      </w:r>
      <w:r w:rsidR="0002661F">
        <w:rPr>
          <w:rFonts w:cstheme="minorHAnsi"/>
          <w:b/>
          <w:sz w:val="24"/>
          <w:szCs w:val="24"/>
        </w:rPr>
        <w:t xml:space="preserve">by the OHCHR Human Rights Treaty Body Branch </w:t>
      </w:r>
    </w:p>
    <w:p w14:paraId="6006F35E" w14:textId="77777777" w:rsidR="0002661F" w:rsidRPr="00E56439" w:rsidRDefault="0002661F" w:rsidP="00C84546">
      <w:pPr>
        <w:spacing w:after="0" w:line="240" w:lineRule="auto"/>
        <w:jc w:val="center"/>
        <w:rPr>
          <w:rFonts w:cstheme="minorHAnsi"/>
          <w:b/>
          <w:sz w:val="24"/>
          <w:szCs w:val="24"/>
        </w:rPr>
      </w:pPr>
    </w:p>
    <w:p w14:paraId="3E7EC05D" w14:textId="65380074" w:rsidR="007C70E2" w:rsidRPr="00E56439" w:rsidRDefault="000D57AF" w:rsidP="00C84546">
      <w:pPr>
        <w:spacing w:after="0" w:line="240" w:lineRule="auto"/>
        <w:jc w:val="center"/>
        <w:rPr>
          <w:rFonts w:cstheme="minorHAnsi"/>
          <w:b/>
          <w:sz w:val="24"/>
          <w:szCs w:val="24"/>
        </w:rPr>
      </w:pPr>
      <w:r w:rsidRPr="00E56439">
        <w:rPr>
          <w:rFonts w:cstheme="minorHAnsi"/>
          <w:b/>
          <w:sz w:val="24"/>
          <w:szCs w:val="24"/>
        </w:rPr>
        <w:t>Achievements of the Human Rights Treaty Bodies in 2022</w:t>
      </w:r>
    </w:p>
    <w:p w14:paraId="1FA689B4" w14:textId="77777777" w:rsidR="00C84546" w:rsidRPr="00E56439" w:rsidRDefault="00C84546" w:rsidP="00C84546">
      <w:pPr>
        <w:spacing w:after="0" w:line="240" w:lineRule="auto"/>
        <w:jc w:val="center"/>
        <w:rPr>
          <w:rFonts w:cstheme="minorHAnsi"/>
          <w:b/>
          <w:sz w:val="24"/>
          <w:szCs w:val="24"/>
        </w:rPr>
      </w:pPr>
    </w:p>
    <w:p w14:paraId="32FCEE3E" w14:textId="6A92B47E" w:rsidR="00CA5AC2" w:rsidRPr="00E56439" w:rsidRDefault="00CA5AC2" w:rsidP="00E56439">
      <w:pPr>
        <w:spacing w:after="0" w:line="240" w:lineRule="auto"/>
        <w:rPr>
          <w:rFonts w:cstheme="minorHAnsi"/>
          <w:i/>
          <w:sz w:val="24"/>
          <w:szCs w:val="24"/>
        </w:rPr>
      </w:pPr>
      <w:r w:rsidRPr="00E56439">
        <w:rPr>
          <w:rFonts w:cstheme="minorHAnsi"/>
          <w:sz w:val="24"/>
          <w:szCs w:val="24"/>
        </w:rPr>
        <w:t>The Human Rights Treaty Bodies made important achievements</w:t>
      </w:r>
      <w:r w:rsidR="00F92FF4">
        <w:rPr>
          <w:rFonts w:cstheme="minorHAnsi"/>
          <w:sz w:val="24"/>
          <w:szCs w:val="24"/>
        </w:rPr>
        <w:t xml:space="preserve"> in 2022</w:t>
      </w:r>
      <w:r w:rsidRPr="00E56439">
        <w:rPr>
          <w:rFonts w:cstheme="minorHAnsi"/>
          <w:sz w:val="24"/>
          <w:szCs w:val="24"/>
        </w:rPr>
        <w:t>, despite a challenging</w:t>
      </w:r>
      <w:r w:rsidR="00E56439">
        <w:rPr>
          <w:rFonts w:cstheme="minorHAnsi"/>
          <w:sz w:val="24"/>
          <w:szCs w:val="24"/>
        </w:rPr>
        <w:t xml:space="preserve"> working environment</w:t>
      </w:r>
      <w:r w:rsidRPr="00E56439">
        <w:rPr>
          <w:rFonts w:cstheme="minorHAnsi"/>
          <w:sz w:val="24"/>
          <w:szCs w:val="24"/>
        </w:rPr>
        <w:t xml:space="preserve">, including </w:t>
      </w:r>
      <w:r w:rsidR="00C80985">
        <w:rPr>
          <w:rFonts w:cstheme="minorHAnsi"/>
          <w:sz w:val="24"/>
          <w:szCs w:val="24"/>
        </w:rPr>
        <w:t xml:space="preserve">a </w:t>
      </w:r>
      <w:r w:rsidR="00B75C38" w:rsidRPr="00E56439">
        <w:rPr>
          <w:rFonts w:cstheme="minorHAnsi"/>
          <w:sz w:val="24"/>
          <w:szCs w:val="24"/>
        </w:rPr>
        <w:t xml:space="preserve">transition from the COVID-19 working conditions to </w:t>
      </w:r>
      <w:r w:rsidRPr="00E56439">
        <w:rPr>
          <w:rFonts w:cstheme="minorHAnsi"/>
          <w:sz w:val="24"/>
          <w:szCs w:val="24"/>
        </w:rPr>
        <w:t xml:space="preserve">the “new normal”. </w:t>
      </w:r>
      <w:r w:rsidR="00C80985">
        <w:rPr>
          <w:rFonts w:cstheme="minorHAnsi"/>
          <w:sz w:val="24"/>
          <w:szCs w:val="24"/>
        </w:rPr>
        <w:t>T</w:t>
      </w:r>
      <w:r w:rsidRPr="00E56439">
        <w:rPr>
          <w:rFonts w:cstheme="minorHAnsi"/>
          <w:sz w:val="24"/>
          <w:szCs w:val="24"/>
        </w:rPr>
        <w:t>he treaty bodies continued to be faced with an increasing substantive workload</w:t>
      </w:r>
      <w:r w:rsidR="00993FEA">
        <w:rPr>
          <w:rFonts w:cstheme="minorHAnsi"/>
          <w:sz w:val="24"/>
          <w:szCs w:val="24"/>
        </w:rPr>
        <w:t>, which demonstrates their important role in the international human rights system</w:t>
      </w:r>
      <w:r w:rsidRPr="00E56439">
        <w:rPr>
          <w:rFonts w:cstheme="minorHAnsi"/>
          <w:sz w:val="24"/>
          <w:szCs w:val="24"/>
        </w:rPr>
        <w:t xml:space="preserve">. For instance, 414 State party reports were pending review as of 30 November 2022 and 1012 urgent actions were open at that moment. Further, 1744 registered individual communications were ready to be examined, with an additional 299 unregistered communications pending pre-screening analysis and registration. </w:t>
      </w:r>
      <w:r w:rsidR="0019233E">
        <w:rPr>
          <w:rFonts w:cstheme="minorHAnsi"/>
          <w:sz w:val="24"/>
          <w:szCs w:val="24"/>
        </w:rPr>
        <w:t>To ensure the protection</w:t>
      </w:r>
      <w:r w:rsidR="00993FEA">
        <w:rPr>
          <w:rFonts w:cstheme="minorHAnsi"/>
          <w:sz w:val="24"/>
          <w:szCs w:val="24"/>
        </w:rPr>
        <w:t xml:space="preserve"> of rights holders, </w:t>
      </w:r>
      <w:r w:rsidR="00B75C38" w:rsidRPr="00E56439">
        <w:rPr>
          <w:rFonts w:cstheme="minorHAnsi"/>
          <w:sz w:val="24"/>
          <w:szCs w:val="24"/>
        </w:rPr>
        <w:t>treaty body members worked during formal sessions in Geneva – collectively amounting to 26 sessions of a total of 92 weeks and 4 days in 2022</w:t>
      </w:r>
      <w:r w:rsidR="00993FEA">
        <w:rPr>
          <w:rFonts w:cstheme="minorHAnsi"/>
          <w:sz w:val="24"/>
          <w:szCs w:val="24"/>
        </w:rPr>
        <w:t>, and during c</w:t>
      </w:r>
      <w:r w:rsidR="00993FEA" w:rsidRPr="00993FEA">
        <w:rPr>
          <w:rFonts w:cstheme="minorHAnsi"/>
          <w:sz w:val="24"/>
          <w:szCs w:val="24"/>
        </w:rPr>
        <w:t>ountless hours of intersessional work</w:t>
      </w:r>
      <w:r w:rsidR="00B75C38" w:rsidRPr="00E56439">
        <w:rPr>
          <w:rFonts w:cstheme="minorHAnsi"/>
          <w:sz w:val="24"/>
          <w:szCs w:val="24"/>
        </w:rPr>
        <w:t xml:space="preserve">. </w:t>
      </w:r>
    </w:p>
    <w:p w14:paraId="372DB864" w14:textId="77777777" w:rsidR="00B75C38" w:rsidRPr="00E56439" w:rsidRDefault="00B75C38" w:rsidP="00CA5AC2">
      <w:pPr>
        <w:spacing w:after="0" w:line="240" w:lineRule="auto"/>
        <w:rPr>
          <w:rFonts w:cstheme="minorHAnsi"/>
          <w:sz w:val="24"/>
          <w:szCs w:val="24"/>
        </w:rPr>
      </w:pPr>
    </w:p>
    <w:p w14:paraId="097F347D" w14:textId="0EEE1E1F" w:rsidR="00CA5AC2" w:rsidRPr="00E56439" w:rsidRDefault="00CA5AC2" w:rsidP="00CA5AC2">
      <w:pPr>
        <w:spacing w:after="0" w:line="240" w:lineRule="auto"/>
        <w:rPr>
          <w:rFonts w:cstheme="minorHAnsi"/>
          <w:sz w:val="24"/>
          <w:szCs w:val="24"/>
        </w:rPr>
      </w:pPr>
      <w:r w:rsidRPr="00E56439">
        <w:rPr>
          <w:rFonts w:cstheme="minorHAnsi"/>
          <w:sz w:val="24"/>
          <w:szCs w:val="24"/>
        </w:rPr>
        <w:t xml:space="preserve">In this demanding environment, the </w:t>
      </w:r>
      <w:r w:rsidR="00E56439">
        <w:rPr>
          <w:rFonts w:cstheme="minorHAnsi"/>
          <w:sz w:val="24"/>
          <w:szCs w:val="24"/>
        </w:rPr>
        <w:t xml:space="preserve">treaty bodies </w:t>
      </w:r>
      <w:r w:rsidRPr="00E56439">
        <w:rPr>
          <w:rFonts w:cstheme="minorHAnsi"/>
          <w:sz w:val="24"/>
          <w:szCs w:val="24"/>
        </w:rPr>
        <w:t xml:space="preserve">achieved the following in 2022: </w:t>
      </w:r>
    </w:p>
    <w:p w14:paraId="6A5588EE" w14:textId="4A0F1AAF" w:rsidR="00B75C38" w:rsidRPr="00E56439" w:rsidRDefault="00B75C38" w:rsidP="00B75C38">
      <w:pPr>
        <w:pStyle w:val="ListParagraph"/>
        <w:numPr>
          <w:ilvl w:val="0"/>
          <w:numId w:val="4"/>
        </w:numPr>
        <w:spacing w:after="0" w:line="240" w:lineRule="auto"/>
        <w:rPr>
          <w:rFonts w:cstheme="minorHAnsi"/>
          <w:sz w:val="24"/>
          <w:szCs w:val="24"/>
        </w:rPr>
      </w:pPr>
      <w:r w:rsidRPr="00E56439">
        <w:rPr>
          <w:rFonts w:cstheme="minorHAnsi"/>
          <w:sz w:val="24"/>
          <w:szCs w:val="24"/>
        </w:rPr>
        <w:t xml:space="preserve">The treaty bodies </w:t>
      </w:r>
      <w:r w:rsidR="000D57AF" w:rsidRPr="000D57AF">
        <w:rPr>
          <w:rFonts w:cstheme="minorHAnsi"/>
          <w:sz w:val="24"/>
          <w:szCs w:val="24"/>
        </w:rPr>
        <w:t xml:space="preserve">prepared and adopted 133 concluding observations, following constructive dialogues with States parties and exchanges with UN agencies, NHRIs and NGOs. The SPT undertook eight country visits since the beginning of the year, including a recent visit to Bosnia and Herzegovina from 11 to 17 December. </w:t>
      </w:r>
    </w:p>
    <w:p w14:paraId="601A8AF2" w14:textId="561EC16C" w:rsidR="00B75C38" w:rsidRPr="00E56439" w:rsidRDefault="000D57AF" w:rsidP="00B75C38">
      <w:pPr>
        <w:pStyle w:val="ListParagraph"/>
        <w:numPr>
          <w:ilvl w:val="0"/>
          <w:numId w:val="4"/>
        </w:numPr>
        <w:spacing w:after="0" w:line="240" w:lineRule="auto"/>
        <w:rPr>
          <w:rFonts w:cstheme="minorHAnsi"/>
          <w:sz w:val="24"/>
          <w:szCs w:val="24"/>
        </w:rPr>
      </w:pPr>
      <w:r w:rsidRPr="000D57AF">
        <w:rPr>
          <w:rFonts w:cstheme="minorHAnsi"/>
          <w:sz w:val="24"/>
          <w:szCs w:val="24"/>
        </w:rPr>
        <w:t xml:space="preserve">320 new </w:t>
      </w:r>
      <w:r w:rsidR="00993FEA">
        <w:rPr>
          <w:rFonts w:cstheme="minorHAnsi"/>
          <w:sz w:val="24"/>
          <w:szCs w:val="24"/>
        </w:rPr>
        <w:t xml:space="preserve">individual communication </w:t>
      </w:r>
      <w:r w:rsidRPr="000D57AF">
        <w:rPr>
          <w:rFonts w:cstheme="minorHAnsi"/>
          <w:sz w:val="24"/>
          <w:szCs w:val="24"/>
        </w:rPr>
        <w:t>cases met prima facie admissibility requirements and were registered by the treaty bodies between 1 January and 1 December 2022. Throughout the year, 285 views on individual communications were adopted</w:t>
      </w:r>
      <w:r w:rsidR="00B75C38" w:rsidRPr="00E56439">
        <w:rPr>
          <w:rFonts w:cstheme="minorHAnsi"/>
          <w:sz w:val="24"/>
          <w:szCs w:val="24"/>
        </w:rPr>
        <w:t xml:space="preserve">. </w:t>
      </w:r>
    </w:p>
    <w:p w14:paraId="47C79CA9" w14:textId="77777777" w:rsidR="00B75C38" w:rsidRPr="00E56439" w:rsidRDefault="00B75C38" w:rsidP="00B75C38">
      <w:pPr>
        <w:pStyle w:val="ListParagraph"/>
        <w:numPr>
          <w:ilvl w:val="0"/>
          <w:numId w:val="4"/>
        </w:numPr>
        <w:spacing w:after="0" w:line="240" w:lineRule="auto"/>
        <w:rPr>
          <w:rFonts w:cstheme="minorHAnsi"/>
          <w:sz w:val="24"/>
          <w:szCs w:val="24"/>
        </w:rPr>
      </w:pPr>
      <w:r w:rsidRPr="00E56439">
        <w:rPr>
          <w:rFonts w:cstheme="minorHAnsi"/>
          <w:sz w:val="24"/>
          <w:szCs w:val="24"/>
        </w:rPr>
        <w:t xml:space="preserve">The CED Committee sent </w:t>
      </w:r>
      <w:r w:rsidR="000D57AF" w:rsidRPr="000D57AF">
        <w:rPr>
          <w:rFonts w:cstheme="minorHAnsi"/>
          <w:sz w:val="24"/>
          <w:szCs w:val="24"/>
        </w:rPr>
        <w:t>95 urgent action requests to the States parties</w:t>
      </w:r>
      <w:r w:rsidRPr="00E56439">
        <w:rPr>
          <w:rFonts w:cstheme="minorHAnsi"/>
          <w:sz w:val="24"/>
          <w:szCs w:val="24"/>
        </w:rPr>
        <w:t xml:space="preserve"> in 2022</w:t>
      </w:r>
      <w:r w:rsidR="000D57AF" w:rsidRPr="000D57AF">
        <w:rPr>
          <w:rFonts w:cstheme="minorHAnsi"/>
          <w:sz w:val="24"/>
          <w:szCs w:val="24"/>
        </w:rPr>
        <w:t xml:space="preserve">. Between 1 January and 15 December 2022, </w:t>
      </w:r>
      <w:r w:rsidRPr="00E56439">
        <w:rPr>
          <w:rFonts w:cstheme="minorHAnsi"/>
          <w:sz w:val="24"/>
          <w:szCs w:val="24"/>
        </w:rPr>
        <w:t xml:space="preserve">it </w:t>
      </w:r>
      <w:r w:rsidR="000D57AF" w:rsidRPr="000D57AF">
        <w:rPr>
          <w:rFonts w:cstheme="minorHAnsi"/>
          <w:sz w:val="24"/>
          <w:szCs w:val="24"/>
        </w:rPr>
        <w:t xml:space="preserve">also sent 60 follow-up notes on urgent actions, including case-specific recommendations related to the search and investigation of the disappeared persons. </w:t>
      </w:r>
    </w:p>
    <w:p w14:paraId="4125BD5B" w14:textId="0A77AB13" w:rsidR="00B75C38" w:rsidRPr="00E56439" w:rsidRDefault="000D57AF" w:rsidP="00B75C38">
      <w:pPr>
        <w:pStyle w:val="ListParagraph"/>
        <w:numPr>
          <w:ilvl w:val="0"/>
          <w:numId w:val="4"/>
        </w:numPr>
        <w:spacing w:after="0" w:line="240" w:lineRule="auto"/>
        <w:rPr>
          <w:rFonts w:cstheme="minorHAnsi"/>
          <w:sz w:val="24"/>
          <w:szCs w:val="24"/>
        </w:rPr>
      </w:pPr>
      <w:r w:rsidRPr="000D57AF">
        <w:rPr>
          <w:rFonts w:cstheme="minorHAnsi"/>
          <w:sz w:val="24"/>
          <w:szCs w:val="24"/>
        </w:rPr>
        <w:t>In addition, the treaty bodies worked on and finalized general comments</w:t>
      </w:r>
      <w:r w:rsidR="00993FEA">
        <w:rPr>
          <w:rFonts w:cstheme="minorHAnsi"/>
          <w:sz w:val="24"/>
          <w:szCs w:val="24"/>
        </w:rPr>
        <w:t xml:space="preserve"> and </w:t>
      </w:r>
      <w:r w:rsidRPr="000D57AF">
        <w:rPr>
          <w:rFonts w:cstheme="minorHAnsi"/>
          <w:sz w:val="24"/>
          <w:szCs w:val="24"/>
        </w:rPr>
        <w:t>recommendations</w:t>
      </w:r>
      <w:r w:rsidR="00B75C38" w:rsidRPr="00E56439">
        <w:rPr>
          <w:rFonts w:cstheme="minorHAnsi"/>
          <w:sz w:val="24"/>
          <w:szCs w:val="24"/>
        </w:rPr>
        <w:t xml:space="preserve">, including the </w:t>
      </w:r>
      <w:hyperlink r:id="rId6" w:history="1">
        <w:r w:rsidR="00B75C38" w:rsidRPr="00E56439">
          <w:rPr>
            <w:rStyle w:val="Hyperlink"/>
            <w:rFonts w:cstheme="minorHAnsi"/>
            <w:sz w:val="24"/>
            <w:szCs w:val="24"/>
          </w:rPr>
          <w:t>CESCR General comment No. 26 (2022) on Land and Economic, Social and Cultural Rights</w:t>
        </w:r>
      </w:hyperlink>
      <w:r w:rsidR="00B75C38" w:rsidRPr="00E56439">
        <w:rPr>
          <w:rFonts w:cstheme="minorHAnsi"/>
          <w:sz w:val="24"/>
          <w:szCs w:val="24"/>
        </w:rPr>
        <w:t>,</w:t>
      </w:r>
      <w:r w:rsidR="00BB4AE9" w:rsidRPr="00E56439">
        <w:rPr>
          <w:rFonts w:cstheme="minorHAnsi"/>
          <w:sz w:val="24"/>
          <w:szCs w:val="24"/>
        </w:rPr>
        <w:t xml:space="preserve"> the </w:t>
      </w:r>
      <w:hyperlink r:id="rId7" w:history="1">
        <w:r w:rsidR="00BB4AE9" w:rsidRPr="00E56439">
          <w:rPr>
            <w:rStyle w:val="Hyperlink"/>
            <w:rFonts w:cstheme="minorHAnsi"/>
            <w:sz w:val="24"/>
            <w:szCs w:val="24"/>
          </w:rPr>
          <w:t xml:space="preserve">CEDAW General recommendation No.39 (2022) on the rights of </w:t>
        </w:r>
        <w:r w:rsidR="005D51D0" w:rsidRPr="00E56439">
          <w:rPr>
            <w:rStyle w:val="Hyperlink"/>
            <w:rFonts w:cstheme="minorHAnsi"/>
            <w:sz w:val="24"/>
            <w:szCs w:val="24"/>
          </w:rPr>
          <w:t>Indigenous</w:t>
        </w:r>
        <w:r w:rsidR="00BB4AE9" w:rsidRPr="00E56439">
          <w:rPr>
            <w:rStyle w:val="Hyperlink"/>
            <w:rFonts w:cstheme="minorHAnsi"/>
            <w:sz w:val="24"/>
            <w:szCs w:val="24"/>
          </w:rPr>
          <w:t xml:space="preserve"> women and </w:t>
        </w:r>
        <w:r w:rsidR="00993FEA">
          <w:rPr>
            <w:rStyle w:val="Hyperlink"/>
            <w:rFonts w:cstheme="minorHAnsi"/>
            <w:sz w:val="24"/>
            <w:szCs w:val="24"/>
          </w:rPr>
          <w:t>g</w:t>
        </w:r>
        <w:r w:rsidR="00BB4AE9" w:rsidRPr="00E56439">
          <w:rPr>
            <w:rStyle w:val="Hyperlink"/>
            <w:rFonts w:cstheme="minorHAnsi"/>
            <w:sz w:val="24"/>
            <w:szCs w:val="24"/>
          </w:rPr>
          <w:t>irls</w:t>
        </w:r>
      </w:hyperlink>
      <w:r w:rsidR="00BB4AE9" w:rsidRPr="00E56439">
        <w:rPr>
          <w:rFonts w:cstheme="minorHAnsi"/>
          <w:sz w:val="24"/>
          <w:szCs w:val="24"/>
        </w:rPr>
        <w:t xml:space="preserve">, </w:t>
      </w:r>
      <w:r w:rsidR="00A52A0C" w:rsidRPr="00E56439">
        <w:rPr>
          <w:rFonts w:cstheme="minorHAnsi"/>
          <w:sz w:val="24"/>
          <w:szCs w:val="24"/>
        </w:rPr>
        <w:t xml:space="preserve">and the </w:t>
      </w:r>
      <w:hyperlink r:id="rId8" w:history="1">
        <w:r w:rsidR="00A52A0C" w:rsidRPr="00E56439">
          <w:rPr>
            <w:rStyle w:val="Hyperlink"/>
            <w:rFonts w:cstheme="minorHAnsi"/>
            <w:sz w:val="24"/>
            <w:szCs w:val="24"/>
          </w:rPr>
          <w:t>CRPD General comment No. 8 (2022) on the right of persons with disabilities to work and employment</w:t>
        </w:r>
      </w:hyperlink>
      <w:r w:rsidR="00A52A0C" w:rsidRPr="00E56439">
        <w:rPr>
          <w:rFonts w:cstheme="minorHAnsi"/>
          <w:sz w:val="24"/>
          <w:szCs w:val="24"/>
        </w:rPr>
        <w:t xml:space="preserve">. </w:t>
      </w:r>
    </w:p>
    <w:p w14:paraId="2B0D3E40" w14:textId="3C6E516F" w:rsidR="00B75C38" w:rsidRPr="00E56439" w:rsidRDefault="00B75C38" w:rsidP="00B75C38">
      <w:pPr>
        <w:pStyle w:val="ListParagraph"/>
        <w:numPr>
          <w:ilvl w:val="0"/>
          <w:numId w:val="4"/>
        </w:numPr>
        <w:spacing w:after="0" w:line="240" w:lineRule="auto"/>
        <w:rPr>
          <w:rFonts w:cstheme="minorHAnsi"/>
          <w:sz w:val="24"/>
          <w:szCs w:val="24"/>
        </w:rPr>
      </w:pPr>
      <w:r w:rsidRPr="00E56439">
        <w:rPr>
          <w:rFonts w:cstheme="minorHAnsi"/>
          <w:sz w:val="24"/>
          <w:szCs w:val="24"/>
        </w:rPr>
        <w:t>The</w:t>
      </w:r>
      <w:r w:rsidR="00763AD9">
        <w:rPr>
          <w:rFonts w:cstheme="minorHAnsi"/>
          <w:sz w:val="24"/>
          <w:szCs w:val="24"/>
        </w:rPr>
        <w:t>y</w:t>
      </w:r>
      <w:r w:rsidRPr="00E56439">
        <w:rPr>
          <w:rFonts w:cstheme="minorHAnsi"/>
          <w:sz w:val="24"/>
          <w:szCs w:val="24"/>
        </w:rPr>
        <w:t xml:space="preserve"> also </w:t>
      </w:r>
      <w:r w:rsidR="000D57AF" w:rsidRPr="000D57AF">
        <w:rPr>
          <w:rFonts w:cstheme="minorHAnsi"/>
          <w:sz w:val="24"/>
          <w:szCs w:val="24"/>
        </w:rPr>
        <w:t xml:space="preserve">conducted thematic debates and country inquiries, worked on thematic and country-specific human rights concerns through dedicated working groups and issued statements and press releases on </w:t>
      </w:r>
      <w:r w:rsidR="00993FEA">
        <w:rPr>
          <w:rFonts w:cstheme="minorHAnsi"/>
          <w:sz w:val="24"/>
          <w:szCs w:val="24"/>
        </w:rPr>
        <w:t xml:space="preserve">their </w:t>
      </w:r>
      <w:r w:rsidR="000D57AF" w:rsidRPr="000D57AF">
        <w:rPr>
          <w:rFonts w:cstheme="minorHAnsi"/>
          <w:sz w:val="24"/>
          <w:szCs w:val="24"/>
        </w:rPr>
        <w:t xml:space="preserve">jurisprudence and imminent human rights concerns. Overall, this year, 168 media statements, press releases and media advisories were published on the work of the treaty bodies. </w:t>
      </w:r>
    </w:p>
    <w:p w14:paraId="5A42A071" w14:textId="5030A7EB" w:rsidR="00A52A0C" w:rsidRPr="00E56439" w:rsidRDefault="00F92FF4" w:rsidP="00E56439">
      <w:pPr>
        <w:pStyle w:val="ListParagraph"/>
        <w:numPr>
          <w:ilvl w:val="0"/>
          <w:numId w:val="4"/>
        </w:numPr>
        <w:spacing w:after="0" w:line="240" w:lineRule="auto"/>
        <w:rPr>
          <w:rFonts w:cstheme="minorHAnsi"/>
          <w:sz w:val="24"/>
          <w:szCs w:val="24"/>
        </w:rPr>
      </w:pPr>
      <w:r>
        <w:rPr>
          <w:rFonts w:cstheme="minorHAnsi"/>
          <w:sz w:val="24"/>
          <w:szCs w:val="24"/>
        </w:rPr>
        <w:t xml:space="preserve">One </w:t>
      </w:r>
      <w:r w:rsidR="00A52A0C" w:rsidRPr="00E56439">
        <w:rPr>
          <w:rFonts w:cstheme="minorHAnsi"/>
          <w:sz w:val="24"/>
          <w:szCs w:val="24"/>
        </w:rPr>
        <w:t xml:space="preserve">of the main accomplishments of the treaty bodies </w:t>
      </w:r>
      <w:r>
        <w:rPr>
          <w:rFonts w:cstheme="minorHAnsi"/>
          <w:sz w:val="24"/>
          <w:szCs w:val="24"/>
        </w:rPr>
        <w:t xml:space="preserve">were </w:t>
      </w:r>
      <w:r w:rsidR="00A52A0C" w:rsidRPr="00E56439">
        <w:rPr>
          <w:rFonts w:cstheme="minorHAnsi"/>
          <w:sz w:val="24"/>
          <w:szCs w:val="24"/>
        </w:rPr>
        <w:t>the conclusions of the 34</w:t>
      </w:r>
      <w:r w:rsidR="00A52A0C" w:rsidRPr="00E56439">
        <w:rPr>
          <w:rFonts w:cstheme="minorHAnsi"/>
          <w:sz w:val="24"/>
          <w:szCs w:val="24"/>
          <w:vertAlign w:val="superscript"/>
        </w:rPr>
        <w:t>th</w:t>
      </w:r>
      <w:r w:rsidR="00A52A0C" w:rsidRPr="00E56439">
        <w:rPr>
          <w:rFonts w:cstheme="minorHAnsi"/>
          <w:sz w:val="24"/>
          <w:szCs w:val="24"/>
        </w:rPr>
        <w:t xml:space="preserve"> Chairs’ meeting</w:t>
      </w:r>
      <w:r w:rsidR="00993FEA">
        <w:rPr>
          <w:rFonts w:cstheme="minorHAnsi"/>
          <w:sz w:val="24"/>
          <w:szCs w:val="24"/>
        </w:rPr>
        <w:t xml:space="preserve"> in May/June 2022</w:t>
      </w:r>
      <w:r w:rsidR="00A52A0C" w:rsidRPr="00E56439">
        <w:rPr>
          <w:rFonts w:cstheme="minorHAnsi"/>
          <w:sz w:val="24"/>
          <w:szCs w:val="24"/>
        </w:rPr>
        <w:t>. This landmark outcome</w:t>
      </w:r>
      <w:r w:rsidR="0054001F" w:rsidRPr="00E56439">
        <w:rPr>
          <w:rFonts w:cstheme="minorHAnsi"/>
          <w:sz w:val="24"/>
          <w:szCs w:val="24"/>
        </w:rPr>
        <w:t xml:space="preserve"> is </w:t>
      </w:r>
      <w:r w:rsidR="00C80985">
        <w:rPr>
          <w:rFonts w:cstheme="minorHAnsi"/>
          <w:sz w:val="24"/>
          <w:szCs w:val="24"/>
        </w:rPr>
        <w:t xml:space="preserve">a culmination of </w:t>
      </w:r>
      <w:r w:rsidR="00763AD9">
        <w:rPr>
          <w:rFonts w:cstheme="minorHAnsi"/>
          <w:sz w:val="24"/>
          <w:szCs w:val="24"/>
        </w:rPr>
        <w:t xml:space="preserve">a </w:t>
      </w:r>
      <w:r w:rsidR="00A52A0C" w:rsidRPr="00E56439">
        <w:rPr>
          <w:rFonts w:cstheme="minorHAnsi"/>
          <w:sz w:val="24"/>
          <w:szCs w:val="24"/>
        </w:rPr>
        <w:lastRenderedPageBreak/>
        <w:t>ten</w:t>
      </w:r>
      <w:r w:rsidR="0054001F" w:rsidRPr="00E56439">
        <w:rPr>
          <w:rFonts w:cstheme="minorHAnsi"/>
          <w:sz w:val="24"/>
          <w:szCs w:val="24"/>
        </w:rPr>
        <w:t>-</w:t>
      </w:r>
      <w:r w:rsidR="00A52A0C" w:rsidRPr="00E56439">
        <w:rPr>
          <w:rFonts w:cstheme="minorHAnsi"/>
          <w:sz w:val="24"/>
          <w:szCs w:val="24"/>
        </w:rPr>
        <w:t>years journey</w:t>
      </w:r>
      <w:r w:rsidR="00E56439" w:rsidRPr="00E56439">
        <w:rPr>
          <w:rFonts w:cstheme="minorHAnsi"/>
          <w:color w:val="000000" w:themeColor="text1"/>
          <w:sz w:val="24"/>
          <w:szCs w:val="24"/>
        </w:rPr>
        <w:t xml:space="preserve"> started by </w:t>
      </w:r>
      <w:r w:rsidR="00E56439" w:rsidRPr="00E56439">
        <w:rPr>
          <w:rFonts w:cstheme="minorHAnsi"/>
          <w:color w:val="000000"/>
          <w:sz w:val="24"/>
          <w:szCs w:val="24"/>
        </w:rPr>
        <w:t>Navy Pillay’s report of June 2012 (</w:t>
      </w:r>
      <w:r w:rsidR="00E56439" w:rsidRPr="00E56439">
        <w:rPr>
          <w:rFonts w:cstheme="minorHAnsi"/>
          <w:color w:val="0563C2"/>
          <w:sz w:val="24"/>
          <w:szCs w:val="24"/>
        </w:rPr>
        <w:t>A/66/860</w:t>
      </w:r>
      <w:r w:rsidR="00E56439" w:rsidRPr="00E56439">
        <w:rPr>
          <w:rFonts w:cstheme="minorHAnsi"/>
          <w:color w:val="000000"/>
          <w:sz w:val="24"/>
          <w:szCs w:val="24"/>
        </w:rPr>
        <w:t>), the Inter-Governmental Working Group (</w:t>
      </w:r>
      <w:r w:rsidR="00E56439" w:rsidRPr="00E56439">
        <w:rPr>
          <w:rFonts w:cstheme="minorHAnsi"/>
          <w:color w:val="0563C2"/>
          <w:sz w:val="24"/>
          <w:szCs w:val="24"/>
        </w:rPr>
        <w:t>A/68/832</w:t>
      </w:r>
      <w:r w:rsidR="00E56439" w:rsidRPr="00E56439">
        <w:rPr>
          <w:rFonts w:cstheme="minorHAnsi"/>
          <w:color w:val="000000"/>
          <w:sz w:val="24"/>
          <w:szCs w:val="24"/>
        </w:rPr>
        <w:t xml:space="preserve">) and the </w:t>
      </w:r>
      <w:r w:rsidR="00993FEA">
        <w:rPr>
          <w:rFonts w:cstheme="minorHAnsi"/>
          <w:color w:val="000000"/>
          <w:sz w:val="24"/>
          <w:szCs w:val="24"/>
        </w:rPr>
        <w:t xml:space="preserve">historic </w:t>
      </w:r>
      <w:r w:rsidR="00E56439" w:rsidRPr="00E56439">
        <w:rPr>
          <w:rFonts w:cstheme="minorHAnsi"/>
          <w:color w:val="000000"/>
          <w:sz w:val="24"/>
          <w:szCs w:val="24"/>
        </w:rPr>
        <w:t xml:space="preserve">GA resolution </w:t>
      </w:r>
      <w:r w:rsidR="00E56439" w:rsidRPr="00E56439">
        <w:rPr>
          <w:rFonts w:cstheme="minorHAnsi"/>
          <w:color w:val="0563C2"/>
          <w:sz w:val="24"/>
          <w:szCs w:val="24"/>
        </w:rPr>
        <w:t xml:space="preserve">68/268 </w:t>
      </w:r>
      <w:r w:rsidR="00E56439" w:rsidRPr="00E56439">
        <w:rPr>
          <w:rFonts w:cstheme="minorHAnsi"/>
          <w:color w:val="000000"/>
          <w:sz w:val="24"/>
          <w:szCs w:val="24"/>
        </w:rPr>
        <w:t xml:space="preserve">of April 2014. </w:t>
      </w:r>
      <w:r>
        <w:rPr>
          <w:rFonts w:cstheme="minorHAnsi"/>
          <w:color w:val="000000"/>
          <w:sz w:val="24"/>
          <w:szCs w:val="24"/>
        </w:rPr>
        <w:t xml:space="preserve">The </w:t>
      </w:r>
      <w:r w:rsidR="00E56439" w:rsidRPr="00E56439">
        <w:rPr>
          <w:rFonts w:cstheme="minorHAnsi"/>
          <w:sz w:val="24"/>
          <w:szCs w:val="24"/>
        </w:rPr>
        <w:t>C</w:t>
      </w:r>
      <w:r w:rsidR="00A52A0C" w:rsidRPr="00E56439">
        <w:rPr>
          <w:rFonts w:cstheme="minorHAnsi"/>
          <w:sz w:val="24"/>
          <w:szCs w:val="24"/>
        </w:rPr>
        <w:t>hairs</w:t>
      </w:r>
      <w:r>
        <w:rPr>
          <w:rFonts w:cstheme="minorHAnsi"/>
          <w:sz w:val="24"/>
          <w:szCs w:val="24"/>
        </w:rPr>
        <w:t>’ conclusion</w:t>
      </w:r>
      <w:r w:rsidR="00C80985">
        <w:rPr>
          <w:rFonts w:cstheme="minorHAnsi"/>
          <w:sz w:val="24"/>
          <w:szCs w:val="24"/>
        </w:rPr>
        <w:t>s</w:t>
      </w:r>
      <w:r w:rsidR="00E56439" w:rsidRPr="00E56439">
        <w:rPr>
          <w:rFonts w:cstheme="minorHAnsi"/>
          <w:sz w:val="24"/>
          <w:szCs w:val="24"/>
        </w:rPr>
        <w:t xml:space="preserve"> provide </w:t>
      </w:r>
      <w:r w:rsidR="00A52A0C" w:rsidRPr="00E56439">
        <w:rPr>
          <w:rFonts w:cstheme="minorHAnsi"/>
          <w:sz w:val="24"/>
          <w:szCs w:val="24"/>
        </w:rPr>
        <w:t>a roadmap to achieve a better functioning treaty body system</w:t>
      </w:r>
      <w:r>
        <w:rPr>
          <w:rFonts w:cstheme="minorHAnsi"/>
          <w:sz w:val="24"/>
          <w:szCs w:val="24"/>
        </w:rPr>
        <w:t xml:space="preserve">. </w:t>
      </w:r>
      <w:r w:rsidR="00C80985">
        <w:rPr>
          <w:rFonts w:cstheme="minorHAnsi"/>
          <w:sz w:val="24"/>
          <w:szCs w:val="24"/>
        </w:rPr>
        <w:t>Their</w:t>
      </w:r>
      <w:r>
        <w:rPr>
          <w:rFonts w:cstheme="minorHAnsi"/>
          <w:sz w:val="24"/>
          <w:szCs w:val="24"/>
        </w:rPr>
        <w:t xml:space="preserve"> </w:t>
      </w:r>
      <w:r w:rsidR="00C80985">
        <w:rPr>
          <w:rFonts w:cstheme="minorHAnsi"/>
          <w:sz w:val="24"/>
          <w:szCs w:val="24"/>
        </w:rPr>
        <w:t>central</w:t>
      </w:r>
      <w:r>
        <w:rPr>
          <w:rFonts w:cstheme="minorHAnsi"/>
          <w:sz w:val="24"/>
          <w:szCs w:val="24"/>
        </w:rPr>
        <w:t xml:space="preserve"> feature is the introduction of a predictable review cycle</w:t>
      </w:r>
      <w:r w:rsidR="00A52A0C" w:rsidRPr="00E56439">
        <w:rPr>
          <w:rFonts w:cstheme="minorHAnsi"/>
          <w:sz w:val="24"/>
          <w:szCs w:val="24"/>
        </w:rPr>
        <w:t>,</w:t>
      </w:r>
      <w:r>
        <w:rPr>
          <w:rFonts w:cstheme="minorHAnsi"/>
          <w:sz w:val="24"/>
          <w:szCs w:val="24"/>
        </w:rPr>
        <w:t xml:space="preserve"> composed of full reviews of each State Party every eight years with follow-up reviews in-between. Th</w:t>
      </w:r>
      <w:r w:rsidR="00C80985">
        <w:rPr>
          <w:rFonts w:cstheme="minorHAnsi"/>
          <w:sz w:val="24"/>
          <w:szCs w:val="24"/>
        </w:rPr>
        <w:t>e conclusions</w:t>
      </w:r>
      <w:r>
        <w:rPr>
          <w:rFonts w:cstheme="minorHAnsi"/>
          <w:sz w:val="24"/>
          <w:szCs w:val="24"/>
        </w:rPr>
        <w:t xml:space="preserve"> facilitate </w:t>
      </w:r>
      <w:r w:rsidR="00A52A0C" w:rsidRPr="00E56439">
        <w:rPr>
          <w:rFonts w:cstheme="minorHAnsi"/>
          <w:sz w:val="24"/>
          <w:szCs w:val="24"/>
        </w:rPr>
        <w:t>compliance by State parties with</w:t>
      </w:r>
      <w:r>
        <w:rPr>
          <w:rFonts w:cstheme="minorHAnsi"/>
          <w:sz w:val="24"/>
          <w:szCs w:val="24"/>
        </w:rPr>
        <w:t xml:space="preserve"> their</w:t>
      </w:r>
      <w:r w:rsidR="00A52A0C" w:rsidRPr="00E56439">
        <w:rPr>
          <w:rFonts w:cstheme="minorHAnsi"/>
          <w:sz w:val="24"/>
          <w:szCs w:val="24"/>
        </w:rPr>
        <w:t xml:space="preserve"> reporting obligations, predictability for all stakeholders</w:t>
      </w:r>
      <w:r w:rsidR="00993FEA">
        <w:rPr>
          <w:rFonts w:cstheme="minorHAnsi"/>
          <w:sz w:val="24"/>
          <w:szCs w:val="24"/>
        </w:rPr>
        <w:t xml:space="preserve"> and</w:t>
      </w:r>
      <w:r w:rsidR="00A52A0C" w:rsidRPr="00E56439">
        <w:rPr>
          <w:rFonts w:cstheme="minorHAnsi"/>
          <w:sz w:val="24"/>
          <w:szCs w:val="24"/>
        </w:rPr>
        <w:t xml:space="preserve"> reduc</w:t>
      </w:r>
      <w:r>
        <w:rPr>
          <w:rFonts w:cstheme="minorHAnsi"/>
          <w:sz w:val="24"/>
          <w:szCs w:val="24"/>
        </w:rPr>
        <w:t>tion of</w:t>
      </w:r>
      <w:r w:rsidR="00A52A0C" w:rsidRPr="00E56439">
        <w:rPr>
          <w:rFonts w:cstheme="minorHAnsi"/>
          <w:sz w:val="24"/>
          <w:szCs w:val="24"/>
        </w:rPr>
        <w:t xml:space="preserve"> unnecessary duplication</w:t>
      </w:r>
      <w:r>
        <w:rPr>
          <w:rFonts w:cstheme="minorHAnsi"/>
          <w:sz w:val="24"/>
          <w:szCs w:val="24"/>
        </w:rPr>
        <w:t>,</w:t>
      </w:r>
      <w:r w:rsidR="00A52A0C" w:rsidRPr="00E56439">
        <w:rPr>
          <w:rFonts w:cstheme="minorHAnsi"/>
          <w:sz w:val="24"/>
          <w:szCs w:val="24"/>
        </w:rPr>
        <w:t xml:space="preserve"> while enhancing useful complementarities</w:t>
      </w:r>
      <w:r w:rsidR="00E56439" w:rsidRPr="00E56439">
        <w:rPr>
          <w:rFonts w:cstheme="minorHAnsi"/>
          <w:sz w:val="24"/>
          <w:szCs w:val="24"/>
        </w:rPr>
        <w:t>. The</w:t>
      </w:r>
      <w:r>
        <w:rPr>
          <w:rFonts w:cstheme="minorHAnsi"/>
          <w:sz w:val="24"/>
          <w:szCs w:val="24"/>
        </w:rPr>
        <w:t xml:space="preserve"> conclusions </w:t>
      </w:r>
      <w:r w:rsidR="00E56439" w:rsidRPr="00E56439">
        <w:rPr>
          <w:rFonts w:cstheme="minorHAnsi"/>
          <w:sz w:val="24"/>
          <w:szCs w:val="24"/>
        </w:rPr>
        <w:t xml:space="preserve">improve </w:t>
      </w:r>
      <w:r w:rsidR="00A52A0C" w:rsidRPr="00E56439">
        <w:rPr>
          <w:rFonts w:cstheme="minorHAnsi"/>
          <w:sz w:val="24"/>
          <w:szCs w:val="24"/>
        </w:rPr>
        <w:t>cost-effectiveness</w:t>
      </w:r>
      <w:r w:rsidR="00E56439" w:rsidRPr="00E56439">
        <w:rPr>
          <w:rFonts w:cstheme="minorHAnsi"/>
          <w:sz w:val="24"/>
          <w:szCs w:val="24"/>
        </w:rPr>
        <w:t xml:space="preserve"> and </w:t>
      </w:r>
      <w:r w:rsidR="00A52A0C" w:rsidRPr="00E56439">
        <w:rPr>
          <w:rFonts w:cstheme="minorHAnsi"/>
          <w:sz w:val="24"/>
          <w:szCs w:val="24"/>
        </w:rPr>
        <w:t xml:space="preserve">the overall efficiency and impact of the treaty body </w:t>
      </w:r>
      <w:r w:rsidR="00E56439" w:rsidRPr="00E56439">
        <w:rPr>
          <w:rFonts w:cstheme="minorHAnsi"/>
          <w:sz w:val="24"/>
          <w:szCs w:val="24"/>
        </w:rPr>
        <w:t xml:space="preserve">system, </w:t>
      </w:r>
      <w:r w:rsidR="00A52A0C" w:rsidRPr="00E56439">
        <w:rPr>
          <w:rFonts w:cstheme="minorHAnsi"/>
          <w:sz w:val="24"/>
          <w:szCs w:val="24"/>
        </w:rPr>
        <w:t xml:space="preserve">including through an increased reliance on modern IT solutions. </w:t>
      </w:r>
      <w:r w:rsidR="00763AD9">
        <w:rPr>
          <w:rFonts w:cstheme="minorHAnsi"/>
          <w:sz w:val="24"/>
          <w:szCs w:val="24"/>
        </w:rPr>
        <w:t xml:space="preserve">The </w:t>
      </w:r>
      <w:r w:rsidR="00A52A0C" w:rsidRPr="00E56439">
        <w:rPr>
          <w:rFonts w:cstheme="minorHAnsi"/>
          <w:sz w:val="24"/>
          <w:szCs w:val="24"/>
        </w:rPr>
        <w:t>Chairs’ outcome was echoed by the 4</w:t>
      </w:r>
      <w:r w:rsidR="00A52A0C" w:rsidRPr="00E56439">
        <w:rPr>
          <w:rFonts w:cstheme="minorHAnsi"/>
          <w:sz w:val="24"/>
          <w:szCs w:val="24"/>
          <w:vertAlign w:val="superscript"/>
        </w:rPr>
        <w:t>th</w:t>
      </w:r>
      <w:r w:rsidR="00A52A0C" w:rsidRPr="00E56439">
        <w:rPr>
          <w:rFonts w:cstheme="minorHAnsi"/>
          <w:sz w:val="24"/>
          <w:szCs w:val="24"/>
        </w:rPr>
        <w:t xml:space="preserve"> biennial report of the Secretary-General on the </w:t>
      </w:r>
      <w:r w:rsidR="00A52A0C" w:rsidRPr="00993FEA">
        <w:rPr>
          <w:rFonts w:cstheme="minorHAnsi"/>
          <w:sz w:val="24"/>
          <w:szCs w:val="24"/>
        </w:rPr>
        <w:t>status of the human rights treaty body system of August 2022 (</w:t>
      </w:r>
      <w:hyperlink r:id="rId9" w:tgtFrame="_blank" w:history="1">
        <w:r w:rsidR="00A52A0C" w:rsidRPr="00993FEA">
          <w:rPr>
            <w:rStyle w:val="Hyperlink"/>
            <w:rFonts w:cstheme="minorHAnsi"/>
            <w:sz w:val="24"/>
            <w:szCs w:val="24"/>
          </w:rPr>
          <w:t>A/77/279</w:t>
        </w:r>
      </w:hyperlink>
      <w:r w:rsidR="00A52A0C" w:rsidRPr="00993FEA">
        <w:rPr>
          <w:rFonts w:cstheme="minorHAnsi"/>
          <w:sz w:val="24"/>
          <w:szCs w:val="24"/>
        </w:rPr>
        <w:t>). Further, the General Assembly adopted on 15 December 2022 the biennial resolution on the human rights treaty body system (</w:t>
      </w:r>
      <w:hyperlink r:id="rId10" w:tgtFrame="_blank" w:history="1">
        <w:r w:rsidR="00A52A0C" w:rsidRPr="00993FEA">
          <w:rPr>
            <w:rStyle w:val="Hyperlink"/>
            <w:rFonts w:cstheme="minorHAnsi"/>
            <w:sz w:val="24"/>
            <w:szCs w:val="24"/>
          </w:rPr>
          <w:t>A/RES/77/210</w:t>
        </w:r>
      </w:hyperlink>
      <w:r w:rsidR="00A52A0C" w:rsidRPr="00993FEA">
        <w:rPr>
          <w:rFonts w:cstheme="minorHAnsi"/>
          <w:sz w:val="24"/>
          <w:szCs w:val="24"/>
        </w:rPr>
        <w:t>). It contains positive language on the outcome of the 34</w:t>
      </w:r>
      <w:r w:rsidR="00A52A0C" w:rsidRPr="00993FEA">
        <w:rPr>
          <w:rFonts w:cstheme="minorHAnsi"/>
          <w:sz w:val="24"/>
          <w:szCs w:val="24"/>
          <w:vertAlign w:val="superscript"/>
        </w:rPr>
        <w:t>th</w:t>
      </w:r>
      <w:r w:rsidR="00A52A0C" w:rsidRPr="00993FEA">
        <w:rPr>
          <w:rFonts w:cstheme="minorHAnsi"/>
          <w:sz w:val="24"/>
          <w:szCs w:val="24"/>
        </w:rPr>
        <w:t xml:space="preserve"> treaty body Chairs’ meeting, including on the potential of the digital uplift.</w:t>
      </w:r>
      <w:r w:rsidR="00A52A0C" w:rsidRPr="00E56439">
        <w:rPr>
          <w:rFonts w:cstheme="minorHAnsi"/>
          <w:sz w:val="24"/>
          <w:szCs w:val="24"/>
        </w:rPr>
        <w:t xml:space="preserve"> </w:t>
      </w:r>
    </w:p>
    <w:p w14:paraId="43B161FA" w14:textId="003E8B29" w:rsidR="00A52A0C" w:rsidRPr="00E56439" w:rsidRDefault="00A52A0C" w:rsidP="00A52A0C">
      <w:pPr>
        <w:spacing w:after="0" w:line="240" w:lineRule="auto"/>
        <w:rPr>
          <w:rFonts w:cstheme="minorHAnsi"/>
          <w:sz w:val="24"/>
          <w:szCs w:val="24"/>
        </w:rPr>
      </w:pPr>
    </w:p>
    <w:p w14:paraId="2267108D" w14:textId="16F707A8" w:rsidR="00A52A0C" w:rsidRPr="00E56439" w:rsidRDefault="00F92FF4" w:rsidP="00A52A0C">
      <w:pPr>
        <w:spacing w:after="0" w:line="240" w:lineRule="auto"/>
        <w:rPr>
          <w:rFonts w:cstheme="minorHAnsi"/>
          <w:sz w:val="24"/>
          <w:szCs w:val="24"/>
        </w:rPr>
      </w:pPr>
      <w:r>
        <w:rPr>
          <w:rFonts w:cstheme="minorHAnsi"/>
          <w:sz w:val="24"/>
          <w:szCs w:val="24"/>
        </w:rPr>
        <w:t xml:space="preserve">Complementing </w:t>
      </w:r>
      <w:r w:rsidR="00A52A0C" w:rsidRPr="00E56439">
        <w:rPr>
          <w:rFonts w:cstheme="minorHAnsi"/>
          <w:sz w:val="24"/>
          <w:szCs w:val="24"/>
        </w:rPr>
        <w:t>the work of the</w:t>
      </w:r>
      <w:r w:rsidR="00E56439">
        <w:rPr>
          <w:rFonts w:cstheme="minorHAnsi"/>
          <w:sz w:val="24"/>
          <w:szCs w:val="24"/>
        </w:rPr>
        <w:t xml:space="preserve"> treaty bodies</w:t>
      </w:r>
      <w:r w:rsidR="00A52A0C" w:rsidRPr="00E56439">
        <w:rPr>
          <w:rFonts w:cstheme="minorHAnsi"/>
          <w:sz w:val="24"/>
          <w:szCs w:val="24"/>
        </w:rPr>
        <w:t xml:space="preserve">, the </w:t>
      </w:r>
      <w:r>
        <w:rPr>
          <w:rFonts w:cstheme="minorHAnsi"/>
          <w:sz w:val="24"/>
          <w:szCs w:val="24"/>
        </w:rPr>
        <w:t xml:space="preserve">Human Rights Treaties Branch of the </w:t>
      </w:r>
      <w:r w:rsidR="00A52A0C" w:rsidRPr="00E56439">
        <w:rPr>
          <w:rFonts w:cstheme="minorHAnsi"/>
          <w:sz w:val="24"/>
          <w:szCs w:val="24"/>
        </w:rPr>
        <w:t xml:space="preserve">Office of the High Commissioner for Human Rights </w:t>
      </w:r>
      <w:r>
        <w:rPr>
          <w:rFonts w:cstheme="minorHAnsi"/>
          <w:sz w:val="24"/>
          <w:szCs w:val="24"/>
        </w:rPr>
        <w:t xml:space="preserve">also facilitated </w:t>
      </w:r>
      <w:r w:rsidR="00A52A0C" w:rsidRPr="00E56439">
        <w:rPr>
          <w:rFonts w:cstheme="minorHAnsi"/>
          <w:sz w:val="24"/>
          <w:szCs w:val="24"/>
        </w:rPr>
        <w:t xml:space="preserve">the following results: </w:t>
      </w:r>
    </w:p>
    <w:p w14:paraId="070CC53D" w14:textId="77777777" w:rsidR="00A52A0C" w:rsidRPr="00E56439" w:rsidRDefault="000D57AF" w:rsidP="00A52A0C">
      <w:pPr>
        <w:pStyle w:val="ListParagraph"/>
        <w:numPr>
          <w:ilvl w:val="0"/>
          <w:numId w:val="4"/>
        </w:numPr>
        <w:spacing w:after="0" w:line="240" w:lineRule="auto"/>
        <w:rPr>
          <w:rFonts w:cstheme="minorHAnsi"/>
          <w:sz w:val="24"/>
          <w:szCs w:val="24"/>
        </w:rPr>
      </w:pPr>
      <w:r w:rsidRPr="00E56439">
        <w:rPr>
          <w:rFonts w:cstheme="minorHAnsi"/>
          <w:sz w:val="24"/>
          <w:szCs w:val="24"/>
        </w:rPr>
        <w:t xml:space="preserve">47,000 victims of torture in 79 countries received direct assistance and rehabilitation from the UN Fund for Victims of Torture this year. Additionally, 17,000 victims of modern slavery in 30 countries received direct assistance and rehabilitation from the UN Fund for Victims of Modern Slavery. </w:t>
      </w:r>
    </w:p>
    <w:p w14:paraId="2D438154" w14:textId="71404622" w:rsidR="000D57AF" w:rsidRPr="00E56439" w:rsidRDefault="000D57AF" w:rsidP="00A52A0C">
      <w:pPr>
        <w:pStyle w:val="ListParagraph"/>
        <w:numPr>
          <w:ilvl w:val="0"/>
          <w:numId w:val="4"/>
        </w:numPr>
        <w:spacing w:after="0" w:line="240" w:lineRule="auto"/>
        <w:rPr>
          <w:rFonts w:cstheme="minorHAnsi"/>
          <w:sz w:val="24"/>
          <w:szCs w:val="24"/>
        </w:rPr>
      </w:pPr>
      <w:r w:rsidRPr="00E56439">
        <w:rPr>
          <w:rFonts w:cstheme="minorHAnsi"/>
          <w:sz w:val="24"/>
          <w:szCs w:val="24"/>
        </w:rPr>
        <w:t xml:space="preserve">OHCHR’s </w:t>
      </w:r>
      <w:r w:rsidR="00F92FF4">
        <w:rPr>
          <w:rFonts w:cstheme="minorHAnsi"/>
          <w:sz w:val="24"/>
          <w:szCs w:val="24"/>
        </w:rPr>
        <w:t xml:space="preserve">Treaty Body </w:t>
      </w:r>
      <w:r w:rsidRPr="00E56439">
        <w:rPr>
          <w:rFonts w:cstheme="minorHAnsi"/>
          <w:sz w:val="24"/>
          <w:szCs w:val="24"/>
        </w:rPr>
        <w:t>Capacity Building Programme (</w:t>
      </w:r>
      <w:r w:rsidR="00F92FF4">
        <w:rPr>
          <w:rFonts w:cstheme="minorHAnsi"/>
          <w:sz w:val="24"/>
          <w:szCs w:val="24"/>
        </w:rPr>
        <w:t>TB</w:t>
      </w:r>
      <w:r w:rsidRPr="00E56439">
        <w:rPr>
          <w:rFonts w:cstheme="minorHAnsi"/>
          <w:sz w:val="24"/>
          <w:szCs w:val="24"/>
        </w:rPr>
        <w:t xml:space="preserve">CBP) provided support to States parties and other stakeholders to strengthen their engagement with the treaty body system. In 2022, </w:t>
      </w:r>
      <w:r w:rsidR="00F92FF4">
        <w:rPr>
          <w:rFonts w:cstheme="minorHAnsi"/>
          <w:sz w:val="24"/>
          <w:szCs w:val="24"/>
        </w:rPr>
        <w:t>TB</w:t>
      </w:r>
      <w:r w:rsidRPr="00E56439">
        <w:rPr>
          <w:rFonts w:cstheme="minorHAnsi"/>
          <w:sz w:val="24"/>
          <w:szCs w:val="24"/>
        </w:rPr>
        <w:t>CBP organized 134 capacity-building activities worldwide, in which 9,369 persons participated. In total, 95 activities were carried out either completely online or in a hybrid manner, in many cases due to COVID-19 related restrictions. Of the 134 activities, 70 involved State representatives, 41 involved members of the National Mechanisms for Reporting and Follow-up, 69 involved civil society, 25 involved the United Nations Country Team and eight the Resident Coordinator’s Office. Further, ten activities involved members of Parliaments, six involved regional organizations and four national preventive mechanisms.</w:t>
      </w:r>
    </w:p>
    <w:p w14:paraId="38234525" w14:textId="702D441E" w:rsidR="00A52A0C" w:rsidRPr="00E56439" w:rsidRDefault="00A52A0C" w:rsidP="000D57AF">
      <w:pPr>
        <w:spacing w:after="0" w:line="240" w:lineRule="auto"/>
        <w:rPr>
          <w:rFonts w:cstheme="minorHAnsi"/>
          <w:sz w:val="24"/>
          <w:szCs w:val="24"/>
        </w:rPr>
      </w:pPr>
    </w:p>
    <w:p w14:paraId="3B1EB568" w14:textId="672AF5A5" w:rsidR="000D57AF" w:rsidRPr="00D04828" w:rsidRDefault="00A52A0C" w:rsidP="00C84546">
      <w:pPr>
        <w:spacing w:after="0" w:line="240" w:lineRule="auto"/>
        <w:rPr>
          <w:rFonts w:cstheme="minorHAnsi"/>
          <w:sz w:val="24"/>
          <w:szCs w:val="24"/>
        </w:rPr>
      </w:pPr>
      <w:r w:rsidRPr="00E56439">
        <w:rPr>
          <w:rFonts w:cstheme="minorHAnsi"/>
          <w:sz w:val="24"/>
          <w:szCs w:val="24"/>
        </w:rPr>
        <w:t>Finally, t</w:t>
      </w:r>
      <w:r w:rsidR="000D57AF" w:rsidRPr="00E56439">
        <w:rPr>
          <w:rFonts w:cstheme="minorHAnsi"/>
          <w:sz w:val="24"/>
          <w:szCs w:val="24"/>
        </w:rPr>
        <w:t xml:space="preserve">his year, elections for the </w:t>
      </w:r>
      <w:r w:rsidR="00CA5AC2" w:rsidRPr="00E56439">
        <w:rPr>
          <w:rFonts w:cstheme="minorHAnsi"/>
          <w:sz w:val="24"/>
          <w:szCs w:val="24"/>
        </w:rPr>
        <w:t>Committee on Economic, Social and Cultural Rights, the Committee on the Elimination of Discrimination against Women, the Committee on the Rights of Persons with Disabilities, the Committee on the Rights of the Child, the Human Rights Committee and the Subcommittee on Prevention of Torture</w:t>
      </w:r>
      <w:r w:rsidR="00993FEA">
        <w:rPr>
          <w:rFonts w:cstheme="minorHAnsi"/>
          <w:sz w:val="24"/>
          <w:szCs w:val="24"/>
        </w:rPr>
        <w:t xml:space="preserve"> took place</w:t>
      </w:r>
      <w:r w:rsidR="00C80985">
        <w:rPr>
          <w:rFonts w:cstheme="minorHAnsi"/>
          <w:sz w:val="24"/>
          <w:szCs w:val="24"/>
        </w:rPr>
        <w:t xml:space="preserve"> in 2022</w:t>
      </w:r>
      <w:r w:rsidR="00CA5AC2" w:rsidRPr="00E56439">
        <w:rPr>
          <w:rFonts w:cstheme="minorHAnsi"/>
          <w:sz w:val="24"/>
          <w:szCs w:val="24"/>
        </w:rPr>
        <w:t xml:space="preserve">. </w:t>
      </w:r>
      <w:r w:rsidR="005D51D0">
        <w:rPr>
          <w:rFonts w:cstheme="minorHAnsi"/>
          <w:sz w:val="24"/>
          <w:szCs w:val="24"/>
        </w:rPr>
        <w:t>Thirty</w:t>
      </w:r>
      <w:r w:rsidR="00B534EA">
        <w:rPr>
          <w:rFonts w:cstheme="minorHAnsi"/>
          <w:sz w:val="24"/>
          <w:szCs w:val="24"/>
        </w:rPr>
        <w:t xml:space="preserve"> m</w:t>
      </w:r>
      <w:r w:rsidR="00082252" w:rsidRPr="00E56439">
        <w:rPr>
          <w:rFonts w:cstheme="minorHAnsi"/>
          <w:sz w:val="24"/>
          <w:szCs w:val="24"/>
        </w:rPr>
        <w:t xml:space="preserve">embers of these Committees, including the </w:t>
      </w:r>
      <w:r w:rsidR="000D57AF" w:rsidRPr="00E56439">
        <w:rPr>
          <w:rFonts w:cstheme="minorHAnsi"/>
          <w:sz w:val="24"/>
          <w:szCs w:val="24"/>
        </w:rPr>
        <w:t xml:space="preserve">Chairs of the Human Rights Committee and </w:t>
      </w:r>
      <w:r w:rsidR="005D51D0">
        <w:rPr>
          <w:rFonts w:cstheme="minorHAnsi"/>
          <w:sz w:val="24"/>
          <w:szCs w:val="24"/>
        </w:rPr>
        <w:t xml:space="preserve">of </w:t>
      </w:r>
      <w:r w:rsidR="000D57AF" w:rsidRPr="00E56439">
        <w:rPr>
          <w:rFonts w:cstheme="minorHAnsi"/>
          <w:sz w:val="24"/>
          <w:szCs w:val="24"/>
        </w:rPr>
        <w:t xml:space="preserve">the Committee on the Elimination of Discrimination against Women, Ms. Photini Pazartzis </w:t>
      </w:r>
      <w:r w:rsidR="00082252" w:rsidRPr="00E56439">
        <w:rPr>
          <w:rFonts w:cstheme="minorHAnsi"/>
          <w:sz w:val="24"/>
          <w:szCs w:val="24"/>
        </w:rPr>
        <w:t xml:space="preserve">and </w:t>
      </w:r>
      <w:r w:rsidR="000D57AF" w:rsidRPr="00E56439">
        <w:rPr>
          <w:rFonts w:cstheme="minorHAnsi"/>
          <w:sz w:val="24"/>
          <w:szCs w:val="24"/>
        </w:rPr>
        <w:t>Ms. Gladys Acosta Vargas</w:t>
      </w:r>
      <w:r w:rsidR="00082252" w:rsidRPr="00E56439">
        <w:rPr>
          <w:rFonts w:cstheme="minorHAnsi"/>
          <w:sz w:val="24"/>
          <w:szCs w:val="24"/>
        </w:rPr>
        <w:t>, finished their mandates end of this year</w:t>
      </w:r>
      <w:r w:rsidR="0094477A">
        <w:rPr>
          <w:rFonts w:cstheme="minorHAnsi"/>
          <w:sz w:val="24"/>
          <w:szCs w:val="24"/>
        </w:rPr>
        <w:t xml:space="preserve"> (or at the end of the first </w:t>
      </w:r>
      <w:r w:rsidR="005D51D0">
        <w:rPr>
          <w:rFonts w:cstheme="minorHAnsi"/>
          <w:sz w:val="24"/>
          <w:szCs w:val="24"/>
        </w:rPr>
        <w:t xml:space="preserve">Committee </w:t>
      </w:r>
      <w:r w:rsidR="0094477A">
        <w:rPr>
          <w:rFonts w:cstheme="minorHAnsi"/>
          <w:sz w:val="24"/>
          <w:szCs w:val="24"/>
        </w:rPr>
        <w:t>session in 2023)</w:t>
      </w:r>
      <w:r w:rsidR="00082252" w:rsidRPr="00E56439">
        <w:rPr>
          <w:rFonts w:cstheme="minorHAnsi"/>
          <w:sz w:val="24"/>
          <w:szCs w:val="24"/>
        </w:rPr>
        <w:t xml:space="preserve">. </w:t>
      </w:r>
      <w:r w:rsidR="000D57AF" w:rsidRPr="00E56439">
        <w:rPr>
          <w:rFonts w:cstheme="minorHAnsi"/>
          <w:sz w:val="24"/>
          <w:szCs w:val="24"/>
        </w:rPr>
        <w:t xml:space="preserve">They </w:t>
      </w:r>
      <w:r w:rsidR="00082252" w:rsidRPr="00E56439">
        <w:rPr>
          <w:rFonts w:cstheme="minorHAnsi"/>
          <w:sz w:val="24"/>
          <w:szCs w:val="24"/>
        </w:rPr>
        <w:t xml:space="preserve">all </w:t>
      </w:r>
      <w:r w:rsidR="000D57AF" w:rsidRPr="00E56439">
        <w:rPr>
          <w:rFonts w:cstheme="minorHAnsi"/>
          <w:sz w:val="24"/>
          <w:szCs w:val="24"/>
        </w:rPr>
        <w:t xml:space="preserve">shaped the trajectories of their respective Committees, contributing to positive impacts on the lives of rights holders and to the evolving jurisprudence of the treaty bodies and helping to strengthen the system as a whole. </w:t>
      </w:r>
    </w:p>
    <w:sectPr w:rsidR="000D57AF" w:rsidRPr="00D04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90B15"/>
    <w:multiLevelType w:val="hybridMultilevel"/>
    <w:tmpl w:val="D16EFFDC"/>
    <w:lvl w:ilvl="0" w:tplc="732835F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D0420"/>
    <w:multiLevelType w:val="hybridMultilevel"/>
    <w:tmpl w:val="EA1E3B66"/>
    <w:lvl w:ilvl="0" w:tplc="17B0396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C0C1D"/>
    <w:multiLevelType w:val="hybridMultilevel"/>
    <w:tmpl w:val="E7D8F10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3C40B9"/>
    <w:multiLevelType w:val="hybridMultilevel"/>
    <w:tmpl w:val="5E6E0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145810">
    <w:abstractNumId w:val="3"/>
  </w:num>
  <w:num w:numId="2" w16cid:durableId="458843368">
    <w:abstractNumId w:val="2"/>
  </w:num>
  <w:num w:numId="3" w16cid:durableId="154692699">
    <w:abstractNumId w:val="0"/>
  </w:num>
  <w:num w:numId="4" w16cid:durableId="197389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E2"/>
    <w:rsid w:val="0002661F"/>
    <w:rsid w:val="00073A04"/>
    <w:rsid w:val="00082252"/>
    <w:rsid w:val="000D57AF"/>
    <w:rsid w:val="0019233E"/>
    <w:rsid w:val="001D47BC"/>
    <w:rsid w:val="00264B63"/>
    <w:rsid w:val="00296A25"/>
    <w:rsid w:val="00414469"/>
    <w:rsid w:val="00420109"/>
    <w:rsid w:val="0054001F"/>
    <w:rsid w:val="00542790"/>
    <w:rsid w:val="005C652B"/>
    <w:rsid w:val="005D51D0"/>
    <w:rsid w:val="005F586B"/>
    <w:rsid w:val="00763AD9"/>
    <w:rsid w:val="00776D34"/>
    <w:rsid w:val="00782DAB"/>
    <w:rsid w:val="007C70E2"/>
    <w:rsid w:val="008E0FF4"/>
    <w:rsid w:val="0094477A"/>
    <w:rsid w:val="00993FEA"/>
    <w:rsid w:val="009A6D10"/>
    <w:rsid w:val="009C0EAD"/>
    <w:rsid w:val="009F5330"/>
    <w:rsid w:val="00A23721"/>
    <w:rsid w:val="00A273D8"/>
    <w:rsid w:val="00A52A0C"/>
    <w:rsid w:val="00B40259"/>
    <w:rsid w:val="00B534EA"/>
    <w:rsid w:val="00B75C38"/>
    <w:rsid w:val="00BB4AE9"/>
    <w:rsid w:val="00C80985"/>
    <w:rsid w:val="00C84546"/>
    <w:rsid w:val="00CA5AC2"/>
    <w:rsid w:val="00CC743C"/>
    <w:rsid w:val="00CE0319"/>
    <w:rsid w:val="00D04828"/>
    <w:rsid w:val="00DA5863"/>
    <w:rsid w:val="00E06BD2"/>
    <w:rsid w:val="00E15D96"/>
    <w:rsid w:val="00E56439"/>
    <w:rsid w:val="00EB096E"/>
    <w:rsid w:val="00EB1878"/>
    <w:rsid w:val="00F81A71"/>
    <w:rsid w:val="00F92FF4"/>
    <w:rsid w:val="00FE4D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C8DD"/>
  <w15:chartTrackingRefBased/>
  <w15:docId w15:val="{CB6932EE-21E9-4568-A8D5-6DF42AE4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EAD"/>
    <w:rPr>
      <w:rFonts w:ascii="Segoe UI" w:hAnsi="Segoe UI" w:cs="Segoe UI"/>
      <w:sz w:val="18"/>
      <w:szCs w:val="18"/>
    </w:rPr>
  </w:style>
  <w:style w:type="character" w:styleId="Hyperlink">
    <w:name w:val="Hyperlink"/>
    <w:basedOn w:val="DefaultParagraphFont"/>
    <w:uiPriority w:val="99"/>
    <w:unhideWhenUsed/>
    <w:rsid w:val="00FE4D52"/>
    <w:rPr>
      <w:color w:val="0563C1" w:themeColor="hyperlink"/>
      <w:u w:val="single"/>
    </w:rPr>
  </w:style>
  <w:style w:type="character" w:styleId="UnresolvedMention">
    <w:name w:val="Unresolved Mention"/>
    <w:basedOn w:val="DefaultParagraphFont"/>
    <w:uiPriority w:val="99"/>
    <w:semiHidden/>
    <w:unhideWhenUsed/>
    <w:rsid w:val="00776D34"/>
    <w:rPr>
      <w:color w:val="605E5C"/>
      <w:shd w:val="clear" w:color="auto" w:fill="E1DFDD"/>
    </w:rPr>
  </w:style>
  <w:style w:type="paragraph" w:styleId="ListParagraph">
    <w:name w:val="List Paragraph"/>
    <w:basedOn w:val="Normal"/>
    <w:uiPriority w:val="34"/>
    <w:qFormat/>
    <w:rsid w:val="00776D34"/>
    <w:pPr>
      <w:ind w:left="720"/>
      <w:contextualSpacing/>
    </w:pPr>
  </w:style>
  <w:style w:type="character" w:styleId="FollowedHyperlink">
    <w:name w:val="FollowedHyperlink"/>
    <w:basedOn w:val="DefaultParagraphFont"/>
    <w:uiPriority w:val="99"/>
    <w:semiHidden/>
    <w:unhideWhenUsed/>
    <w:rsid w:val="001D47BC"/>
    <w:rPr>
      <w:color w:val="954F72" w:themeColor="followedHyperlink"/>
      <w:u w:val="single"/>
    </w:rPr>
  </w:style>
  <w:style w:type="paragraph" w:styleId="Revision">
    <w:name w:val="Revision"/>
    <w:hidden/>
    <w:uiPriority w:val="99"/>
    <w:semiHidden/>
    <w:rsid w:val="00F92F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documents/general-comments-and-recommendations/crpdcgc8-general-comment-no-8-2022-right-persons" TargetMode="External"/><Relationship Id="rId3" Type="http://schemas.openxmlformats.org/officeDocument/2006/relationships/settings" Target="settings.xml"/><Relationship Id="rId7" Type="http://schemas.openxmlformats.org/officeDocument/2006/relationships/hyperlink" Target="https://www.ohchr.org/en/documents/general-comments-and-recommendations/general-recommendation-no39-2022-rights-indigeneo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chr.org/en/documents/general-comments-and-recommendations/ec12gc26-general-comment-no-26-2022-land-an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ur02.safelinks.protection.outlook.com/?url=https%3A%2F%2Fwww.undocs.org%2FHome%2FMobile%3FFinalSymbol%3DA%252FRES%252F77%252F210%26Language%3DE%26DeviceType%3DDesktop%26LangRequested%3DFalse&amp;data=05%7C01%7Cbritta.nicolmann%40un.org%7C7f72a3b729144639002408dae9a45ed5%7C0f9e35db544f4f60bdcc5ea416e6dc70%7C0%7C0%7C638079189418438421%7CUnknown%7CTWFpbGZsb3d8eyJWIjoiMC4wLjAwMDAiLCJQIjoiV2luMzIiLCJBTiI6Ik1haWwiLCJXVCI6Mn0%3D%7C3000%7C%7C%7C&amp;sdata=f0cfvILvwKuSeHs2Fjd%2BJxc8uztBau1FZ2Y1TtzmeNE%3D&amp;reserved=0"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www.undocs.org%2FHome%2FMobile%3FFinalSymbol%3DA%252F77%252F279%26Language%3DE%26DeviceType%3DDesktop%26LangRequested%3DFalse&amp;data=05%7C01%7Cbritta.nicolmann%40un.org%7C7f72a3b729144639002408dae9a45ed5%7C0f9e35db544f4f60bdcc5ea416e6dc70%7C0%7C0%7C638079189418438421%7CUnknown%7CTWFpbGZsb3d8eyJWIjoiMC4wLjAwMDAiLCJQIjoiV2luMzIiLCJBTiI6Ik1haWwiLCJXVCI6Mn0%3D%7C3000%7C%7C%7C&amp;sdata=e1%2FzeI%2Bf0W7jS6pbAO3XkAe50ZydaMPizLeSCItGFb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KWOK Vivian</dc:creator>
  <cp:keywords/>
  <dc:description/>
  <cp:lastModifiedBy>Antti Korkeakivi</cp:lastModifiedBy>
  <cp:revision>3</cp:revision>
  <dcterms:created xsi:type="dcterms:W3CDTF">2023-01-03T16:18:00Z</dcterms:created>
  <dcterms:modified xsi:type="dcterms:W3CDTF">2023-01-03T16:25:00Z</dcterms:modified>
</cp:coreProperties>
</file>