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F993" w14:textId="0A6CA332" w:rsidR="00CC2D3A" w:rsidRPr="006616A0" w:rsidRDefault="006616A0" w:rsidP="006616A0">
      <w:pPr>
        <w:jc w:val="center"/>
        <w:rPr>
          <w:b/>
          <w:bCs/>
          <w:sz w:val="28"/>
          <w:szCs w:val="28"/>
        </w:rPr>
      </w:pPr>
      <w:r>
        <w:rPr>
          <w:b/>
          <w:bCs/>
          <w:sz w:val="28"/>
          <w:szCs w:val="28"/>
        </w:rPr>
        <w:t>M</w:t>
      </w:r>
      <w:r w:rsidRPr="006616A0">
        <w:rPr>
          <w:b/>
          <w:bCs/>
          <w:sz w:val="28"/>
          <w:szCs w:val="28"/>
        </w:rPr>
        <w:t>id-term reporting in the 4</w:t>
      </w:r>
      <w:r w:rsidRPr="006616A0">
        <w:rPr>
          <w:b/>
          <w:bCs/>
          <w:sz w:val="28"/>
          <w:szCs w:val="28"/>
          <w:vertAlign w:val="superscript"/>
        </w:rPr>
        <w:t>th</w:t>
      </w:r>
      <w:r w:rsidRPr="006616A0">
        <w:rPr>
          <w:b/>
          <w:bCs/>
          <w:sz w:val="28"/>
          <w:szCs w:val="28"/>
        </w:rPr>
        <w:t xml:space="preserve"> </w:t>
      </w:r>
      <w:r>
        <w:rPr>
          <w:b/>
          <w:bCs/>
          <w:sz w:val="28"/>
          <w:szCs w:val="28"/>
        </w:rPr>
        <w:t xml:space="preserve">UPR </w:t>
      </w:r>
      <w:r w:rsidRPr="006616A0">
        <w:rPr>
          <w:b/>
          <w:bCs/>
          <w:sz w:val="28"/>
          <w:szCs w:val="28"/>
        </w:rPr>
        <w:t>cycle</w:t>
      </w:r>
    </w:p>
    <w:p w14:paraId="53DED355" w14:textId="7FDC6E0D" w:rsidR="000E027D" w:rsidRDefault="000E027D" w:rsidP="00595520"/>
    <w:p w14:paraId="43825E4E" w14:textId="4441EE23" w:rsidR="001912AD" w:rsidRDefault="007A30C9" w:rsidP="001912AD">
      <w:pPr>
        <w:jc w:val="both"/>
        <w:rPr>
          <w:rFonts w:cstheme="minorHAnsi"/>
          <w:b/>
          <w:bCs/>
          <w:sz w:val="24"/>
          <w:szCs w:val="24"/>
          <w:u w:val="single"/>
        </w:rPr>
      </w:pPr>
      <w:r>
        <w:rPr>
          <w:rFonts w:cstheme="minorHAnsi"/>
          <w:b/>
          <w:bCs/>
          <w:sz w:val="24"/>
          <w:szCs w:val="24"/>
          <w:u w:val="single"/>
        </w:rPr>
        <w:t>Introduction</w:t>
      </w:r>
      <w:r w:rsidR="001912AD">
        <w:rPr>
          <w:rFonts w:cstheme="minorHAnsi"/>
          <w:b/>
          <w:bCs/>
          <w:sz w:val="24"/>
          <w:szCs w:val="24"/>
          <w:u w:val="single"/>
        </w:rPr>
        <w:t xml:space="preserve"> </w:t>
      </w:r>
    </w:p>
    <w:p w14:paraId="7B68B318" w14:textId="77777777" w:rsidR="001912AD" w:rsidRPr="00C728DF" w:rsidRDefault="001912AD" w:rsidP="001912AD">
      <w:pPr>
        <w:jc w:val="both"/>
        <w:rPr>
          <w:rFonts w:cstheme="minorHAnsi"/>
          <w:bCs/>
          <w:sz w:val="24"/>
          <w:szCs w:val="24"/>
        </w:rPr>
      </w:pPr>
    </w:p>
    <w:p w14:paraId="4EA92C65" w14:textId="34A0834E" w:rsidR="001912AD" w:rsidRPr="00733047" w:rsidRDefault="006616A0" w:rsidP="00733047">
      <w:pPr>
        <w:jc w:val="both"/>
        <w:rPr>
          <w:rFonts w:cstheme="minorHAnsi"/>
          <w:bCs/>
          <w:sz w:val="24"/>
          <w:szCs w:val="24"/>
        </w:rPr>
      </w:pPr>
      <w:r>
        <w:rPr>
          <w:rFonts w:cstheme="minorHAnsi"/>
          <w:bCs/>
          <w:sz w:val="24"/>
          <w:szCs w:val="24"/>
        </w:rPr>
        <w:t xml:space="preserve">An </w:t>
      </w:r>
      <w:r w:rsidRPr="00E30877">
        <w:rPr>
          <w:sz w:val="24"/>
          <w:szCs w:val="24"/>
        </w:rPr>
        <w:t>increasingly important feature of the UPR reporting and implementation cycles are mid-term reports</w:t>
      </w:r>
      <w:r w:rsidR="00E30877" w:rsidRPr="00E30877">
        <w:rPr>
          <w:sz w:val="24"/>
          <w:szCs w:val="24"/>
        </w:rPr>
        <w:t xml:space="preserve"> submitted by </w:t>
      </w:r>
      <w:r w:rsidR="00557997">
        <w:rPr>
          <w:sz w:val="24"/>
          <w:szCs w:val="24"/>
        </w:rPr>
        <w:t xml:space="preserve">States and other </w:t>
      </w:r>
      <w:r w:rsidR="00E30877" w:rsidRPr="00E30877">
        <w:rPr>
          <w:sz w:val="24"/>
          <w:szCs w:val="24"/>
        </w:rPr>
        <w:t>actors involved in the UPR</w:t>
      </w:r>
      <w:r w:rsidR="00557997">
        <w:rPr>
          <w:sz w:val="24"/>
          <w:szCs w:val="24"/>
        </w:rPr>
        <w:t xml:space="preserve"> process</w:t>
      </w:r>
      <w:r w:rsidRPr="00E30877">
        <w:rPr>
          <w:sz w:val="24"/>
          <w:szCs w:val="24"/>
        </w:rPr>
        <w:t xml:space="preserve">. </w:t>
      </w:r>
      <w:r w:rsidR="001912AD" w:rsidRPr="00E30877">
        <w:rPr>
          <w:sz w:val="24"/>
          <w:szCs w:val="24"/>
        </w:rPr>
        <w:t>HRC resolution 16/21 “Review of the work and functioning of the Human Rights Council”</w:t>
      </w:r>
      <w:r w:rsidR="00733047" w:rsidRPr="00E30877">
        <w:rPr>
          <w:sz w:val="24"/>
          <w:szCs w:val="24"/>
        </w:rPr>
        <w:t xml:space="preserve"> states in section E.</w:t>
      </w:r>
      <w:r w:rsidR="00733047">
        <w:rPr>
          <w:rFonts w:cstheme="minorHAnsi"/>
          <w:bCs/>
          <w:sz w:val="24"/>
          <w:szCs w:val="24"/>
        </w:rPr>
        <w:t>18 on follow up to the review that “</w:t>
      </w:r>
      <w:r w:rsidR="001912AD" w:rsidRPr="00733047">
        <w:rPr>
          <w:rFonts w:cstheme="minorHAnsi"/>
          <w:bCs/>
          <w:i/>
          <w:iCs/>
          <w:sz w:val="24"/>
          <w:szCs w:val="24"/>
        </w:rPr>
        <w:t>States are encouraged to provide the Council, on a voluntary basis, with a midterm update on follow-up to accepted recommendations</w:t>
      </w:r>
      <w:r w:rsidR="00733047">
        <w:rPr>
          <w:rFonts w:cstheme="minorHAnsi"/>
          <w:bCs/>
          <w:sz w:val="24"/>
          <w:szCs w:val="24"/>
        </w:rPr>
        <w:t>”.</w:t>
      </w:r>
    </w:p>
    <w:p w14:paraId="40E4F5D8" w14:textId="184AEB3F" w:rsidR="00CC149A" w:rsidRDefault="00CC149A" w:rsidP="001912AD">
      <w:pPr>
        <w:jc w:val="both"/>
        <w:rPr>
          <w:rFonts w:cstheme="minorHAnsi"/>
          <w:bCs/>
          <w:sz w:val="24"/>
          <w:szCs w:val="24"/>
        </w:rPr>
      </w:pPr>
    </w:p>
    <w:p w14:paraId="74F73FA0" w14:textId="77777777" w:rsidR="00120124" w:rsidRDefault="00120124" w:rsidP="00120124">
      <w:pPr>
        <w:jc w:val="both"/>
        <w:rPr>
          <w:rFonts w:cstheme="minorHAnsi"/>
          <w:bCs/>
          <w:sz w:val="24"/>
          <w:szCs w:val="24"/>
        </w:rPr>
      </w:pPr>
      <w:r w:rsidRPr="00733047">
        <w:rPr>
          <w:rFonts w:cstheme="minorHAnsi"/>
          <w:bCs/>
          <w:sz w:val="24"/>
          <w:szCs w:val="24"/>
        </w:rPr>
        <w:t>As of 27 September 2022, a total of 84 States submitted UPR mid-term reports on a voluntary basis</w:t>
      </w:r>
      <w:r>
        <w:rPr>
          <w:rFonts w:cstheme="minorHAnsi"/>
          <w:bCs/>
          <w:sz w:val="24"/>
          <w:szCs w:val="24"/>
        </w:rPr>
        <w:t>, which are po</w:t>
      </w:r>
      <w:r w:rsidRPr="00733047">
        <w:rPr>
          <w:rFonts w:cstheme="minorHAnsi"/>
          <w:bCs/>
          <w:sz w:val="24"/>
          <w:szCs w:val="24"/>
        </w:rPr>
        <w:t xml:space="preserve">sted as received on </w:t>
      </w:r>
      <w:r>
        <w:rPr>
          <w:rFonts w:cstheme="minorHAnsi"/>
          <w:bCs/>
          <w:sz w:val="24"/>
          <w:szCs w:val="24"/>
        </w:rPr>
        <w:t>a</w:t>
      </w:r>
      <w:r w:rsidRPr="00733047">
        <w:rPr>
          <w:rFonts w:cstheme="minorHAnsi"/>
          <w:bCs/>
          <w:sz w:val="24"/>
          <w:szCs w:val="24"/>
        </w:rPr>
        <w:t xml:space="preserve"> dedicated webpage</w:t>
      </w:r>
      <w:r>
        <w:rPr>
          <w:rStyle w:val="FootnoteReference"/>
          <w:rFonts w:cstheme="minorHAnsi"/>
          <w:bCs/>
          <w:szCs w:val="24"/>
        </w:rPr>
        <w:footnoteReference w:id="2"/>
      </w:r>
      <w:r>
        <w:rPr>
          <w:rFonts w:cstheme="minorHAnsi"/>
          <w:bCs/>
          <w:sz w:val="24"/>
          <w:szCs w:val="24"/>
        </w:rPr>
        <w:t xml:space="preserve">. </w:t>
      </w:r>
      <w:r w:rsidRPr="00B32811">
        <w:rPr>
          <w:rFonts w:cstheme="minorHAnsi"/>
          <w:bCs/>
          <w:sz w:val="24"/>
          <w:szCs w:val="24"/>
        </w:rPr>
        <w:t xml:space="preserve">Mid-term reports </w:t>
      </w:r>
      <w:r>
        <w:rPr>
          <w:rFonts w:cstheme="minorHAnsi"/>
          <w:bCs/>
          <w:sz w:val="24"/>
          <w:szCs w:val="24"/>
        </w:rPr>
        <w:t xml:space="preserve">are also </w:t>
      </w:r>
      <w:r w:rsidRPr="00B32811">
        <w:rPr>
          <w:rFonts w:cstheme="minorHAnsi"/>
          <w:bCs/>
          <w:sz w:val="24"/>
          <w:szCs w:val="24"/>
        </w:rPr>
        <w:t>submitted by stakeholders</w:t>
      </w:r>
      <w:r>
        <w:rPr>
          <w:rFonts w:cstheme="minorHAnsi"/>
          <w:bCs/>
          <w:sz w:val="24"/>
          <w:szCs w:val="24"/>
        </w:rPr>
        <w:t xml:space="preserve">, including </w:t>
      </w:r>
      <w:hyperlink r:id="rId8" w:history="1">
        <w:r w:rsidRPr="0005540C">
          <w:rPr>
            <w:rFonts w:cstheme="minorHAnsi"/>
            <w:bCs/>
            <w:sz w:val="24"/>
            <w:szCs w:val="24"/>
          </w:rPr>
          <w:t>NGOs</w:t>
        </w:r>
      </w:hyperlink>
      <w:r w:rsidRPr="00B32811">
        <w:rPr>
          <w:rFonts w:cstheme="minorHAnsi"/>
          <w:bCs/>
          <w:sz w:val="24"/>
          <w:szCs w:val="24"/>
        </w:rPr>
        <w:t>, </w:t>
      </w:r>
      <w:hyperlink r:id="rId9" w:history="1">
        <w:r w:rsidRPr="0005540C">
          <w:rPr>
            <w:rFonts w:cstheme="minorHAnsi"/>
            <w:bCs/>
            <w:sz w:val="24"/>
            <w:szCs w:val="24"/>
          </w:rPr>
          <w:t>NHRIs</w:t>
        </w:r>
      </w:hyperlink>
      <w:r w:rsidRPr="00B32811">
        <w:rPr>
          <w:rFonts w:cstheme="minorHAnsi"/>
          <w:bCs/>
          <w:sz w:val="24"/>
          <w:szCs w:val="24"/>
        </w:rPr>
        <w:t> and </w:t>
      </w:r>
      <w:hyperlink r:id="rId10" w:history="1">
        <w:r w:rsidRPr="0005540C">
          <w:rPr>
            <w:rFonts w:cstheme="minorHAnsi"/>
            <w:bCs/>
            <w:sz w:val="24"/>
            <w:szCs w:val="24"/>
          </w:rPr>
          <w:t>UN entities</w:t>
        </w:r>
      </w:hyperlink>
      <w:r>
        <w:rPr>
          <w:rFonts w:cstheme="minorHAnsi"/>
          <w:bCs/>
          <w:sz w:val="24"/>
          <w:szCs w:val="24"/>
        </w:rPr>
        <w:t xml:space="preserve"> (UNCT</w:t>
      </w:r>
      <w:r w:rsidRPr="00B32811">
        <w:rPr>
          <w:rFonts w:cstheme="minorHAnsi"/>
          <w:bCs/>
          <w:sz w:val="24"/>
          <w:szCs w:val="24"/>
        </w:rPr>
        <w:t>)</w:t>
      </w:r>
      <w:r>
        <w:rPr>
          <w:rFonts w:cstheme="minorHAnsi"/>
          <w:bCs/>
          <w:sz w:val="24"/>
          <w:szCs w:val="24"/>
        </w:rPr>
        <w:t xml:space="preserve">, and are posted as received on dedicated mid-term reports webpages by stakeholder. </w:t>
      </w:r>
    </w:p>
    <w:p w14:paraId="0D2F91C1" w14:textId="77777777" w:rsidR="00120124" w:rsidRPr="00557997" w:rsidRDefault="00120124" w:rsidP="001912AD">
      <w:pPr>
        <w:jc w:val="both"/>
        <w:rPr>
          <w:rFonts w:cstheme="minorHAnsi"/>
          <w:bCs/>
          <w:sz w:val="24"/>
          <w:szCs w:val="24"/>
        </w:rPr>
      </w:pPr>
    </w:p>
    <w:p w14:paraId="2C816DAD" w14:textId="4A1CCEEB" w:rsidR="00120124" w:rsidRPr="00120124" w:rsidRDefault="00120124" w:rsidP="007A30C9">
      <w:pPr>
        <w:jc w:val="both"/>
        <w:rPr>
          <w:rFonts w:cstheme="minorHAnsi"/>
          <w:b/>
          <w:bCs/>
          <w:sz w:val="24"/>
          <w:szCs w:val="24"/>
          <w:u w:val="single"/>
        </w:rPr>
      </w:pPr>
      <w:r w:rsidRPr="00120124">
        <w:rPr>
          <w:rFonts w:cstheme="minorHAnsi"/>
          <w:b/>
          <w:bCs/>
          <w:sz w:val="24"/>
          <w:szCs w:val="24"/>
          <w:u w:val="single"/>
        </w:rPr>
        <w:t>Benefits of mid-term reporting</w:t>
      </w:r>
    </w:p>
    <w:p w14:paraId="08E17555" w14:textId="77777777" w:rsidR="00120124" w:rsidRDefault="00120124" w:rsidP="007A30C9">
      <w:pPr>
        <w:jc w:val="both"/>
        <w:rPr>
          <w:rFonts w:cstheme="minorHAnsi"/>
          <w:bCs/>
          <w:sz w:val="24"/>
          <w:szCs w:val="24"/>
        </w:rPr>
      </w:pPr>
    </w:p>
    <w:p w14:paraId="6A6E7193" w14:textId="541CFFEC" w:rsidR="00557997" w:rsidRPr="00557997" w:rsidRDefault="00557997" w:rsidP="007A30C9">
      <w:pPr>
        <w:jc w:val="both"/>
        <w:rPr>
          <w:rFonts w:cstheme="minorHAnsi"/>
          <w:bCs/>
          <w:sz w:val="24"/>
          <w:szCs w:val="24"/>
        </w:rPr>
      </w:pPr>
      <w:r w:rsidRPr="00557997">
        <w:rPr>
          <w:rFonts w:cstheme="minorHAnsi"/>
          <w:bCs/>
          <w:sz w:val="24"/>
          <w:szCs w:val="24"/>
        </w:rPr>
        <w:t xml:space="preserve">Mid-term reports allow for an assessment of the stage at which States are at towards implementing UPR recommendations. </w:t>
      </w:r>
      <w:r w:rsidR="00AD58F0">
        <w:rPr>
          <w:rFonts w:cstheme="minorHAnsi"/>
          <w:bCs/>
          <w:sz w:val="24"/>
          <w:szCs w:val="24"/>
        </w:rPr>
        <w:t>The process of preparation of such reports is as important as the outcome and it allows for broad consultations with line Ministries</w:t>
      </w:r>
      <w:r w:rsidR="00736648">
        <w:rPr>
          <w:rFonts w:cstheme="minorHAnsi"/>
          <w:bCs/>
          <w:sz w:val="24"/>
          <w:szCs w:val="24"/>
        </w:rPr>
        <w:t>,</w:t>
      </w:r>
      <w:r w:rsidR="00AD58F0">
        <w:rPr>
          <w:rFonts w:cstheme="minorHAnsi"/>
          <w:bCs/>
          <w:sz w:val="24"/>
          <w:szCs w:val="24"/>
        </w:rPr>
        <w:t xml:space="preserve"> State entities</w:t>
      </w:r>
      <w:r w:rsidR="00736648">
        <w:rPr>
          <w:rFonts w:cstheme="minorHAnsi"/>
          <w:bCs/>
          <w:sz w:val="24"/>
          <w:szCs w:val="24"/>
        </w:rPr>
        <w:t>,</w:t>
      </w:r>
      <w:r w:rsidR="00AD58F0">
        <w:rPr>
          <w:rFonts w:cstheme="minorHAnsi"/>
          <w:bCs/>
          <w:sz w:val="24"/>
          <w:szCs w:val="24"/>
        </w:rPr>
        <w:t xml:space="preserve"> </w:t>
      </w:r>
      <w:r w:rsidR="00736648">
        <w:rPr>
          <w:rFonts w:cstheme="minorHAnsi"/>
          <w:bCs/>
          <w:sz w:val="24"/>
          <w:szCs w:val="24"/>
        </w:rPr>
        <w:t>local and regional Governments</w:t>
      </w:r>
      <w:r w:rsidR="00AD58F0">
        <w:rPr>
          <w:rFonts w:cstheme="minorHAnsi"/>
          <w:bCs/>
          <w:sz w:val="24"/>
          <w:szCs w:val="24"/>
        </w:rPr>
        <w:t xml:space="preserve"> as well as other stakeholders</w:t>
      </w:r>
      <w:r w:rsidR="00736648">
        <w:rPr>
          <w:rFonts w:cstheme="minorHAnsi"/>
          <w:bCs/>
          <w:sz w:val="24"/>
          <w:szCs w:val="24"/>
        </w:rPr>
        <w:t xml:space="preserve"> such as </w:t>
      </w:r>
      <w:r w:rsidR="00AD58F0">
        <w:rPr>
          <w:rFonts w:cstheme="minorHAnsi"/>
          <w:bCs/>
          <w:sz w:val="24"/>
          <w:szCs w:val="24"/>
        </w:rPr>
        <w:t xml:space="preserve">the NHRI and civil society organizations.  Mid-term reports </w:t>
      </w:r>
      <w:r w:rsidRPr="00557997">
        <w:rPr>
          <w:rFonts w:cstheme="minorHAnsi"/>
          <w:bCs/>
          <w:sz w:val="24"/>
          <w:szCs w:val="24"/>
        </w:rPr>
        <w:t xml:space="preserve">also present an opportunity for </w:t>
      </w:r>
      <w:r w:rsidR="00AD58F0">
        <w:rPr>
          <w:rFonts w:cstheme="minorHAnsi"/>
          <w:bCs/>
          <w:sz w:val="24"/>
          <w:szCs w:val="24"/>
        </w:rPr>
        <w:t xml:space="preserve">the NHRIs, NGOs and the UN </w:t>
      </w:r>
      <w:r w:rsidR="00736648">
        <w:rPr>
          <w:rFonts w:cstheme="minorHAnsi"/>
          <w:bCs/>
          <w:sz w:val="24"/>
          <w:szCs w:val="24"/>
        </w:rPr>
        <w:t>s</w:t>
      </w:r>
      <w:r w:rsidR="00AD58F0">
        <w:rPr>
          <w:rFonts w:cstheme="minorHAnsi"/>
          <w:bCs/>
          <w:sz w:val="24"/>
          <w:szCs w:val="24"/>
        </w:rPr>
        <w:t xml:space="preserve">ystem </w:t>
      </w:r>
      <w:r w:rsidRPr="00557997">
        <w:rPr>
          <w:rFonts w:cstheme="minorHAnsi"/>
          <w:bCs/>
          <w:sz w:val="24"/>
          <w:szCs w:val="24"/>
        </w:rPr>
        <w:t>to detail steps that they are taking towards implementation</w:t>
      </w:r>
      <w:r>
        <w:rPr>
          <w:rFonts w:cstheme="minorHAnsi"/>
          <w:bCs/>
          <w:sz w:val="24"/>
          <w:szCs w:val="24"/>
        </w:rPr>
        <w:t xml:space="preserve">, </w:t>
      </w:r>
      <w:r w:rsidRPr="00557997">
        <w:rPr>
          <w:rFonts w:cstheme="minorHAnsi"/>
          <w:bCs/>
          <w:sz w:val="24"/>
          <w:szCs w:val="24"/>
        </w:rPr>
        <w:t>including advocacy, institutional building and the development of implementation tools and strategies.</w:t>
      </w:r>
    </w:p>
    <w:p w14:paraId="111CE63A" w14:textId="2E7430DD" w:rsidR="00557997" w:rsidRDefault="00557997" w:rsidP="007A30C9">
      <w:pPr>
        <w:jc w:val="both"/>
        <w:rPr>
          <w:rFonts w:cstheme="minorHAnsi"/>
          <w:bCs/>
          <w:sz w:val="24"/>
          <w:szCs w:val="24"/>
        </w:rPr>
      </w:pPr>
    </w:p>
    <w:p w14:paraId="256F17A3" w14:textId="2FFF4C29" w:rsidR="00557997" w:rsidRPr="00D24199" w:rsidRDefault="00557997" w:rsidP="00557997">
      <w:pPr>
        <w:jc w:val="both"/>
        <w:rPr>
          <w:sz w:val="24"/>
          <w:szCs w:val="24"/>
        </w:rPr>
      </w:pPr>
      <w:r w:rsidRPr="00D24199">
        <w:rPr>
          <w:sz w:val="24"/>
          <w:szCs w:val="24"/>
        </w:rPr>
        <w:t xml:space="preserve">The preparation of mid-term reports foster accountability, </w:t>
      </w:r>
      <w:r w:rsidR="00076429">
        <w:rPr>
          <w:sz w:val="24"/>
          <w:szCs w:val="24"/>
        </w:rPr>
        <w:t xml:space="preserve">allow for the identification of </w:t>
      </w:r>
      <w:r w:rsidRPr="00D24199">
        <w:rPr>
          <w:sz w:val="24"/>
          <w:szCs w:val="24"/>
        </w:rPr>
        <w:t>obstacles</w:t>
      </w:r>
      <w:r w:rsidR="00076429">
        <w:rPr>
          <w:sz w:val="24"/>
          <w:szCs w:val="24"/>
        </w:rPr>
        <w:t xml:space="preserve"> and </w:t>
      </w:r>
      <w:r w:rsidRPr="00D24199">
        <w:rPr>
          <w:sz w:val="24"/>
          <w:szCs w:val="24"/>
        </w:rPr>
        <w:t xml:space="preserve">opportunities, and have the potential to foster coordination at the national level. Mid-term reports also provide an opportunity for the UNCT to support implementation efforts </w:t>
      </w:r>
      <w:r w:rsidR="00AD58F0">
        <w:rPr>
          <w:sz w:val="24"/>
          <w:szCs w:val="24"/>
        </w:rPr>
        <w:t xml:space="preserve">– including with recommending States, especially when they provide ODA to the State under </w:t>
      </w:r>
      <w:proofErr w:type="gramStart"/>
      <w:r w:rsidR="00AD58F0">
        <w:rPr>
          <w:sz w:val="24"/>
          <w:szCs w:val="24"/>
        </w:rPr>
        <w:t xml:space="preserve">review, </w:t>
      </w:r>
      <w:r w:rsidRPr="00D24199">
        <w:rPr>
          <w:sz w:val="24"/>
          <w:szCs w:val="24"/>
        </w:rPr>
        <w:t>and</w:t>
      </w:r>
      <w:proofErr w:type="gramEnd"/>
      <w:r w:rsidRPr="00D24199">
        <w:rPr>
          <w:sz w:val="24"/>
          <w:szCs w:val="24"/>
        </w:rPr>
        <w:t xml:space="preserve"> facilitate State</w:t>
      </w:r>
      <w:r w:rsidR="00AD58F0">
        <w:rPr>
          <w:sz w:val="24"/>
          <w:szCs w:val="24"/>
        </w:rPr>
        <w:t>s’</w:t>
      </w:r>
      <w:r w:rsidRPr="00D24199">
        <w:rPr>
          <w:sz w:val="24"/>
          <w:szCs w:val="24"/>
        </w:rPr>
        <w:t xml:space="preserve"> efforts for the preparation of national UPR report</w:t>
      </w:r>
      <w:r w:rsidR="00AD58F0">
        <w:rPr>
          <w:sz w:val="24"/>
          <w:szCs w:val="24"/>
        </w:rPr>
        <w:t>s</w:t>
      </w:r>
      <w:r w:rsidRPr="00D24199">
        <w:rPr>
          <w:sz w:val="24"/>
          <w:szCs w:val="24"/>
        </w:rPr>
        <w:t>.</w:t>
      </w:r>
    </w:p>
    <w:p w14:paraId="31EA91CC" w14:textId="77777777" w:rsidR="00557997" w:rsidRDefault="00557997" w:rsidP="00557997">
      <w:pPr>
        <w:jc w:val="both"/>
        <w:rPr>
          <w:sz w:val="24"/>
          <w:szCs w:val="24"/>
        </w:rPr>
      </w:pPr>
    </w:p>
    <w:p w14:paraId="0EE800D3" w14:textId="77777777" w:rsidR="00557997" w:rsidRPr="00D24199" w:rsidRDefault="00557997" w:rsidP="00557997">
      <w:pPr>
        <w:jc w:val="both"/>
        <w:rPr>
          <w:rFonts w:cstheme="minorHAnsi"/>
          <w:bCs/>
          <w:sz w:val="24"/>
          <w:szCs w:val="24"/>
        </w:rPr>
      </w:pPr>
      <w:r>
        <w:rPr>
          <w:sz w:val="24"/>
          <w:szCs w:val="24"/>
        </w:rPr>
        <w:t xml:space="preserve">The letter sent by the High Commissioner </w:t>
      </w:r>
      <w:r w:rsidRPr="00D24199">
        <w:rPr>
          <w:sz w:val="24"/>
          <w:szCs w:val="24"/>
        </w:rPr>
        <w:t xml:space="preserve">to all </w:t>
      </w:r>
      <w:r>
        <w:rPr>
          <w:sz w:val="24"/>
          <w:szCs w:val="24"/>
        </w:rPr>
        <w:t>S</w:t>
      </w:r>
      <w:r w:rsidRPr="00D24199">
        <w:rPr>
          <w:sz w:val="24"/>
          <w:szCs w:val="24"/>
        </w:rPr>
        <w:t xml:space="preserve">tates </w:t>
      </w:r>
      <w:r>
        <w:rPr>
          <w:sz w:val="24"/>
          <w:szCs w:val="24"/>
        </w:rPr>
        <w:t>since the start of the 3</w:t>
      </w:r>
      <w:r w:rsidRPr="00CC149A">
        <w:rPr>
          <w:sz w:val="24"/>
          <w:szCs w:val="24"/>
          <w:vertAlign w:val="superscript"/>
        </w:rPr>
        <w:t>rd</w:t>
      </w:r>
      <w:r>
        <w:rPr>
          <w:sz w:val="24"/>
          <w:szCs w:val="24"/>
        </w:rPr>
        <w:t xml:space="preserve"> UPR cycle following </w:t>
      </w:r>
      <w:r w:rsidRPr="00D24199">
        <w:rPr>
          <w:sz w:val="24"/>
          <w:szCs w:val="24"/>
        </w:rPr>
        <w:t xml:space="preserve">the </w:t>
      </w:r>
      <w:r>
        <w:rPr>
          <w:sz w:val="24"/>
          <w:szCs w:val="24"/>
        </w:rPr>
        <w:t xml:space="preserve">adoption of the UPR outcome by the </w:t>
      </w:r>
      <w:r w:rsidRPr="00D24199">
        <w:rPr>
          <w:sz w:val="24"/>
          <w:szCs w:val="24"/>
        </w:rPr>
        <w:t>Human Rights Council</w:t>
      </w:r>
      <w:r>
        <w:rPr>
          <w:sz w:val="24"/>
          <w:szCs w:val="24"/>
        </w:rPr>
        <w:t xml:space="preserve"> states that UPR </w:t>
      </w:r>
      <w:r w:rsidRPr="00D24199">
        <w:rPr>
          <w:sz w:val="24"/>
          <w:szCs w:val="24"/>
        </w:rPr>
        <w:t>mid-term</w:t>
      </w:r>
      <w:r>
        <w:rPr>
          <w:sz w:val="24"/>
          <w:szCs w:val="24"/>
        </w:rPr>
        <w:t xml:space="preserve"> </w:t>
      </w:r>
      <w:r w:rsidRPr="00D24199">
        <w:rPr>
          <w:sz w:val="24"/>
          <w:szCs w:val="24"/>
        </w:rPr>
        <w:t>reports are “an important measure that can positively contribute to follow-up action”</w:t>
      </w:r>
      <w:r>
        <w:rPr>
          <w:sz w:val="24"/>
          <w:szCs w:val="24"/>
        </w:rPr>
        <w:t xml:space="preserve">. The High Commissioner has </w:t>
      </w:r>
      <w:r w:rsidRPr="00D24199">
        <w:rPr>
          <w:sz w:val="24"/>
          <w:szCs w:val="24"/>
        </w:rPr>
        <w:t>therefore strongly encourage</w:t>
      </w:r>
      <w:r>
        <w:rPr>
          <w:sz w:val="24"/>
          <w:szCs w:val="24"/>
        </w:rPr>
        <w:t>d</w:t>
      </w:r>
      <w:r w:rsidRPr="00D24199">
        <w:rPr>
          <w:sz w:val="24"/>
          <w:szCs w:val="24"/>
        </w:rPr>
        <w:t xml:space="preserve"> all Member States to submit a voluntary mid-term report two years after the adoption of the UPR outcome report.</w:t>
      </w:r>
    </w:p>
    <w:p w14:paraId="322A2EBE" w14:textId="77777777" w:rsidR="00C252A1" w:rsidRDefault="00C252A1" w:rsidP="00E30877">
      <w:pPr>
        <w:jc w:val="both"/>
        <w:rPr>
          <w:rFonts w:cstheme="minorHAnsi"/>
          <w:b/>
          <w:bCs/>
          <w:sz w:val="24"/>
          <w:szCs w:val="24"/>
          <w:u w:val="single"/>
        </w:rPr>
      </w:pPr>
    </w:p>
    <w:p w14:paraId="12D267AB" w14:textId="5890BECA" w:rsidR="00836651" w:rsidRPr="00E30877" w:rsidRDefault="00E30877" w:rsidP="00E30877">
      <w:pPr>
        <w:jc w:val="both"/>
        <w:rPr>
          <w:rFonts w:cstheme="minorHAnsi"/>
          <w:b/>
          <w:bCs/>
          <w:sz w:val="24"/>
          <w:szCs w:val="24"/>
          <w:u w:val="single"/>
        </w:rPr>
      </w:pPr>
      <w:r w:rsidRPr="00E30877">
        <w:rPr>
          <w:rFonts w:cstheme="minorHAnsi"/>
          <w:b/>
          <w:bCs/>
          <w:sz w:val="24"/>
          <w:szCs w:val="24"/>
          <w:u w:val="single"/>
        </w:rPr>
        <w:t>An emerging good practice</w:t>
      </w:r>
    </w:p>
    <w:p w14:paraId="67F6DF1A" w14:textId="77777777" w:rsidR="00C252A1" w:rsidRPr="000F39ED" w:rsidRDefault="00C252A1" w:rsidP="00E30877">
      <w:pPr>
        <w:jc w:val="both"/>
        <w:rPr>
          <w:rFonts w:cstheme="minorHAnsi"/>
          <w:bCs/>
          <w:sz w:val="24"/>
          <w:szCs w:val="24"/>
        </w:rPr>
      </w:pPr>
    </w:p>
    <w:p w14:paraId="16A90B98" w14:textId="363F905E" w:rsidR="00B8037B" w:rsidRDefault="00E30877" w:rsidP="00B8037B">
      <w:pPr>
        <w:jc w:val="both"/>
        <w:rPr>
          <w:sz w:val="24"/>
          <w:szCs w:val="24"/>
        </w:rPr>
      </w:pPr>
      <w:r w:rsidRPr="000F39ED">
        <w:rPr>
          <w:rFonts w:cstheme="minorHAnsi"/>
          <w:bCs/>
          <w:sz w:val="24"/>
          <w:szCs w:val="24"/>
        </w:rPr>
        <w:t>A</w:t>
      </w:r>
      <w:r w:rsidR="00836651" w:rsidRPr="000F39ED">
        <w:rPr>
          <w:rFonts w:cstheme="minorHAnsi"/>
          <w:bCs/>
          <w:sz w:val="24"/>
          <w:szCs w:val="24"/>
        </w:rPr>
        <w:t xml:space="preserve"> Study</w:t>
      </w:r>
      <w:r w:rsidR="00836651" w:rsidRPr="00E30877">
        <w:rPr>
          <w:sz w:val="24"/>
          <w:szCs w:val="24"/>
        </w:rPr>
        <w:t xml:space="preserve"> on emerging Good Practices from the Universal Periodic Review</w:t>
      </w:r>
      <w:r>
        <w:rPr>
          <w:rStyle w:val="FootnoteReference"/>
          <w:szCs w:val="24"/>
        </w:rPr>
        <w:footnoteReference w:id="3"/>
      </w:r>
      <w:r w:rsidRPr="00E30877">
        <w:rPr>
          <w:sz w:val="24"/>
          <w:szCs w:val="24"/>
        </w:rPr>
        <w:t>, issued in June 2021</w:t>
      </w:r>
      <w:r w:rsidR="00B8037B">
        <w:rPr>
          <w:sz w:val="24"/>
          <w:szCs w:val="24"/>
        </w:rPr>
        <w:t>, e</w:t>
      </w:r>
      <w:r w:rsidR="000F39ED" w:rsidRPr="000F39ED">
        <w:rPr>
          <w:sz w:val="24"/>
          <w:szCs w:val="24"/>
        </w:rPr>
        <w:t>mphasized that c</w:t>
      </w:r>
      <w:r w:rsidR="00D07EE8" w:rsidRPr="000F39ED">
        <w:rPr>
          <w:sz w:val="24"/>
          <w:szCs w:val="24"/>
        </w:rPr>
        <w:t>ollaboration ha</w:t>
      </w:r>
      <w:r w:rsidR="000F39ED" w:rsidRPr="000F39ED">
        <w:rPr>
          <w:sz w:val="24"/>
          <w:szCs w:val="24"/>
        </w:rPr>
        <w:t>d</w:t>
      </w:r>
      <w:r w:rsidR="00D07EE8" w:rsidRPr="000F39ED">
        <w:rPr>
          <w:sz w:val="24"/>
          <w:szCs w:val="24"/>
        </w:rPr>
        <w:t xml:space="preserve"> been a defining feature of the preparation of </w:t>
      </w:r>
      <w:r w:rsidR="000F39ED" w:rsidRPr="000F39ED">
        <w:rPr>
          <w:sz w:val="24"/>
          <w:szCs w:val="24"/>
        </w:rPr>
        <w:t>mid-term reports</w:t>
      </w:r>
      <w:r w:rsidR="000F39ED">
        <w:rPr>
          <w:sz w:val="24"/>
          <w:szCs w:val="24"/>
        </w:rPr>
        <w:t>.</w:t>
      </w:r>
      <w:r w:rsidR="00B8037B">
        <w:rPr>
          <w:sz w:val="24"/>
          <w:szCs w:val="24"/>
        </w:rPr>
        <w:t xml:space="preserve"> </w:t>
      </w:r>
      <w:r w:rsidR="00B8037B" w:rsidRPr="00B8037B">
        <w:rPr>
          <w:sz w:val="24"/>
          <w:szCs w:val="24"/>
        </w:rPr>
        <w:lastRenderedPageBreak/>
        <w:t xml:space="preserve">Governments across the world have been submitting </w:t>
      </w:r>
      <w:r w:rsidR="00B8037B">
        <w:rPr>
          <w:sz w:val="24"/>
          <w:szCs w:val="24"/>
        </w:rPr>
        <w:t>mid-term reports</w:t>
      </w:r>
      <w:r w:rsidR="00B8037B" w:rsidRPr="00B8037B">
        <w:rPr>
          <w:sz w:val="24"/>
          <w:szCs w:val="24"/>
        </w:rPr>
        <w:t>, following the good practice model of consultation with different national actors.</w:t>
      </w:r>
      <w:r w:rsidR="00B8037B">
        <w:rPr>
          <w:sz w:val="24"/>
          <w:szCs w:val="24"/>
        </w:rPr>
        <w:t xml:space="preserve"> </w:t>
      </w:r>
    </w:p>
    <w:p w14:paraId="0A89161D" w14:textId="77777777" w:rsidR="00B8037B" w:rsidRPr="00B8037B" w:rsidRDefault="00B8037B" w:rsidP="00B8037B">
      <w:pPr>
        <w:jc w:val="both"/>
        <w:rPr>
          <w:rFonts w:cstheme="minorHAnsi"/>
          <w:bCs/>
          <w:sz w:val="24"/>
          <w:szCs w:val="24"/>
        </w:rPr>
      </w:pPr>
    </w:p>
    <w:p w14:paraId="453DC300" w14:textId="4D1161A4" w:rsidR="00464F5C" w:rsidRPr="000465EE" w:rsidRDefault="00B8037B" w:rsidP="00591885">
      <w:pPr>
        <w:jc w:val="both"/>
        <w:rPr>
          <w:rFonts w:cstheme="minorHAnsi"/>
          <w:bCs/>
          <w:sz w:val="24"/>
          <w:szCs w:val="24"/>
        </w:rPr>
      </w:pPr>
      <w:r w:rsidRPr="00B8037B">
        <w:rPr>
          <w:rFonts w:cstheme="minorHAnsi"/>
          <w:bCs/>
          <w:sz w:val="24"/>
          <w:szCs w:val="24"/>
        </w:rPr>
        <w:t xml:space="preserve">For instance, </w:t>
      </w:r>
      <w:r w:rsidR="00591885">
        <w:rPr>
          <w:rFonts w:cstheme="minorHAnsi"/>
          <w:bCs/>
          <w:sz w:val="24"/>
          <w:szCs w:val="24"/>
        </w:rPr>
        <w:t xml:space="preserve">the Study describes how </w:t>
      </w:r>
      <w:r w:rsidR="00591885" w:rsidRPr="00591885">
        <w:rPr>
          <w:rFonts w:cstheme="minorHAnsi"/>
          <w:bCs/>
          <w:sz w:val="24"/>
          <w:szCs w:val="24"/>
        </w:rPr>
        <w:t xml:space="preserve">the Ministry of Foreign Affairs of Georgia actively cooperated with all relevant stakeholders, including representatives of international and non-governmental organization and national human rights institutions </w:t>
      </w:r>
      <w:proofErr w:type="gramStart"/>
      <w:r w:rsidR="00591885" w:rsidRPr="00591885">
        <w:rPr>
          <w:rFonts w:cstheme="minorHAnsi"/>
          <w:bCs/>
          <w:sz w:val="24"/>
          <w:szCs w:val="24"/>
        </w:rPr>
        <w:t>in the course of</w:t>
      </w:r>
      <w:proofErr w:type="gramEnd"/>
      <w:r w:rsidR="00591885" w:rsidRPr="00591885">
        <w:rPr>
          <w:rFonts w:cstheme="minorHAnsi"/>
          <w:bCs/>
          <w:sz w:val="24"/>
          <w:szCs w:val="24"/>
        </w:rPr>
        <w:t xml:space="preserve"> drafting the national or mid-term report, which was presented to them for their comments and feedbacks, with the support of OHCHR. The relevant feedback, comments and observations provided by civil society organizations and other stakeholders were taken into consideration before submitting the final draft of the national report to the Parliament of Georgia for their review and approval. </w:t>
      </w:r>
      <w:r w:rsidR="00D07EE8" w:rsidRPr="000465EE">
        <w:rPr>
          <w:rFonts w:cstheme="minorHAnsi"/>
          <w:bCs/>
          <w:sz w:val="24"/>
          <w:szCs w:val="24"/>
        </w:rPr>
        <w:t xml:space="preserve">The Danish </w:t>
      </w:r>
      <w:r w:rsidR="00464F5C" w:rsidRPr="000465EE">
        <w:rPr>
          <w:rFonts w:cstheme="minorHAnsi"/>
          <w:bCs/>
          <w:sz w:val="24"/>
          <w:szCs w:val="24"/>
        </w:rPr>
        <w:t>G</w:t>
      </w:r>
      <w:r w:rsidR="00D07EE8" w:rsidRPr="000465EE">
        <w:rPr>
          <w:rFonts w:cstheme="minorHAnsi"/>
          <w:bCs/>
          <w:sz w:val="24"/>
          <w:szCs w:val="24"/>
        </w:rPr>
        <w:t>overnment consult</w:t>
      </w:r>
      <w:r w:rsidR="00591885" w:rsidRPr="00591885">
        <w:rPr>
          <w:rFonts w:cstheme="minorHAnsi"/>
          <w:bCs/>
          <w:sz w:val="24"/>
          <w:szCs w:val="24"/>
        </w:rPr>
        <w:t>ed</w:t>
      </w:r>
      <w:r w:rsidR="00D07EE8" w:rsidRPr="000465EE">
        <w:rPr>
          <w:rFonts w:cstheme="minorHAnsi"/>
          <w:bCs/>
          <w:sz w:val="24"/>
          <w:szCs w:val="24"/>
        </w:rPr>
        <w:t xml:space="preserve"> the</w:t>
      </w:r>
      <w:r w:rsidR="00AE2B9E">
        <w:rPr>
          <w:rFonts w:cstheme="minorHAnsi"/>
          <w:bCs/>
          <w:sz w:val="24"/>
          <w:szCs w:val="24"/>
        </w:rPr>
        <w:t xml:space="preserve"> NHRI (DIHR)</w:t>
      </w:r>
      <w:r w:rsidR="00D07EE8" w:rsidRPr="000465EE">
        <w:rPr>
          <w:rFonts w:cstheme="minorHAnsi"/>
          <w:bCs/>
          <w:sz w:val="24"/>
          <w:szCs w:val="24"/>
        </w:rPr>
        <w:t xml:space="preserve"> on an ongoing basis for the preparation of the mid-term</w:t>
      </w:r>
      <w:r w:rsidR="00464F5C" w:rsidRPr="000465EE">
        <w:rPr>
          <w:rFonts w:cstheme="minorHAnsi"/>
          <w:bCs/>
          <w:sz w:val="24"/>
          <w:szCs w:val="24"/>
        </w:rPr>
        <w:t xml:space="preserve"> </w:t>
      </w:r>
      <w:r w:rsidR="00D07EE8" w:rsidRPr="000465EE">
        <w:rPr>
          <w:rFonts w:cstheme="minorHAnsi"/>
          <w:bCs/>
          <w:sz w:val="24"/>
          <w:szCs w:val="24"/>
        </w:rPr>
        <w:t>reports The Government of Morocco ha</w:t>
      </w:r>
      <w:r w:rsidR="00591885" w:rsidRPr="00591885">
        <w:rPr>
          <w:rFonts w:cstheme="minorHAnsi"/>
          <w:bCs/>
          <w:sz w:val="24"/>
          <w:szCs w:val="24"/>
        </w:rPr>
        <w:t>d</w:t>
      </w:r>
      <w:r w:rsidR="00D07EE8" w:rsidRPr="000465EE">
        <w:rPr>
          <w:rFonts w:cstheme="minorHAnsi"/>
          <w:bCs/>
          <w:sz w:val="24"/>
          <w:szCs w:val="24"/>
        </w:rPr>
        <w:t xml:space="preserve"> involved the NHRI</w:t>
      </w:r>
      <w:r w:rsidR="00464F5C" w:rsidRPr="000465EE">
        <w:rPr>
          <w:rFonts w:cstheme="minorHAnsi"/>
          <w:bCs/>
          <w:sz w:val="24"/>
          <w:szCs w:val="24"/>
        </w:rPr>
        <w:t xml:space="preserve"> (</w:t>
      </w:r>
      <w:r w:rsidR="00D07EE8" w:rsidRPr="000465EE">
        <w:rPr>
          <w:rFonts w:cstheme="minorHAnsi"/>
          <w:bCs/>
          <w:sz w:val="24"/>
          <w:szCs w:val="24"/>
        </w:rPr>
        <w:t>CNDH</w:t>
      </w:r>
      <w:r w:rsidR="00464F5C" w:rsidRPr="000465EE">
        <w:rPr>
          <w:rFonts w:cstheme="minorHAnsi"/>
          <w:bCs/>
          <w:sz w:val="24"/>
          <w:szCs w:val="24"/>
        </w:rPr>
        <w:t>)</w:t>
      </w:r>
      <w:r w:rsidR="00D07EE8" w:rsidRPr="000465EE">
        <w:rPr>
          <w:rFonts w:cstheme="minorHAnsi"/>
          <w:bCs/>
          <w:sz w:val="24"/>
          <w:szCs w:val="24"/>
        </w:rPr>
        <w:t xml:space="preserve"> during the development of two mid-term reports.</w:t>
      </w:r>
      <w:r w:rsidR="000465EE" w:rsidRPr="000465EE">
        <w:rPr>
          <w:rFonts w:cstheme="minorHAnsi"/>
          <w:bCs/>
          <w:sz w:val="24"/>
          <w:szCs w:val="24"/>
        </w:rPr>
        <w:t xml:space="preserve"> In Malaysia, the NHRI (SUHAKAM) and civil society organizations </w:t>
      </w:r>
      <w:r w:rsidR="00591885" w:rsidRPr="00591885">
        <w:rPr>
          <w:rFonts w:cstheme="minorHAnsi"/>
          <w:bCs/>
          <w:sz w:val="24"/>
          <w:szCs w:val="24"/>
        </w:rPr>
        <w:t xml:space="preserve">had </w:t>
      </w:r>
      <w:r w:rsidR="000465EE" w:rsidRPr="000465EE">
        <w:rPr>
          <w:rFonts w:cstheme="minorHAnsi"/>
          <w:bCs/>
          <w:sz w:val="24"/>
          <w:szCs w:val="24"/>
        </w:rPr>
        <w:t>provided contributions for the Government’s mid-term reports.</w:t>
      </w:r>
    </w:p>
    <w:p w14:paraId="4EAF4DCF" w14:textId="77777777" w:rsidR="001A5750" w:rsidRPr="001A5750" w:rsidRDefault="001A5750" w:rsidP="00733047">
      <w:pPr>
        <w:jc w:val="both"/>
        <w:rPr>
          <w:rFonts w:cstheme="minorHAnsi"/>
          <w:bCs/>
          <w:sz w:val="24"/>
          <w:szCs w:val="24"/>
        </w:rPr>
      </w:pPr>
    </w:p>
    <w:p w14:paraId="7BE66C1B" w14:textId="136048C1" w:rsidR="001912AD" w:rsidRPr="001A5750" w:rsidRDefault="001A5750" w:rsidP="00733047">
      <w:pPr>
        <w:jc w:val="both"/>
        <w:rPr>
          <w:rFonts w:cstheme="minorHAnsi"/>
          <w:bCs/>
          <w:sz w:val="24"/>
          <w:szCs w:val="24"/>
        </w:rPr>
      </w:pPr>
      <w:r w:rsidRPr="001A5750">
        <w:rPr>
          <w:rFonts w:cstheme="minorHAnsi"/>
          <w:bCs/>
          <w:sz w:val="24"/>
          <w:szCs w:val="24"/>
        </w:rPr>
        <w:t xml:space="preserve">The initiatives taken by States to engage different stakeholders in the preparation of their mid-term reports has allowed for different perspectives on human rights </w:t>
      </w:r>
      <w:proofErr w:type="gramStart"/>
      <w:r w:rsidRPr="001A5750">
        <w:rPr>
          <w:rFonts w:cstheme="minorHAnsi"/>
          <w:bCs/>
          <w:sz w:val="24"/>
          <w:szCs w:val="24"/>
        </w:rPr>
        <w:t>in a given</w:t>
      </w:r>
      <w:proofErr w:type="gramEnd"/>
      <w:r w:rsidRPr="001A5750">
        <w:rPr>
          <w:rFonts w:cstheme="minorHAnsi"/>
          <w:bCs/>
          <w:sz w:val="24"/>
          <w:szCs w:val="24"/>
        </w:rPr>
        <w:t xml:space="preserve"> country to be reflected in the </w:t>
      </w:r>
      <w:r w:rsidR="00C1358C">
        <w:rPr>
          <w:rFonts w:cstheme="minorHAnsi"/>
          <w:bCs/>
          <w:sz w:val="24"/>
          <w:szCs w:val="24"/>
        </w:rPr>
        <w:t>G</w:t>
      </w:r>
      <w:r w:rsidRPr="001A5750">
        <w:rPr>
          <w:rFonts w:cstheme="minorHAnsi"/>
          <w:bCs/>
          <w:sz w:val="24"/>
          <w:szCs w:val="24"/>
        </w:rPr>
        <w:t xml:space="preserve">overnment reports. Such a practice has, however, not restricted the submission of UPR mid-term reports by NGOs and NHRIs either individually or collectively. The submission of NGO/NHRI reports has brought necessary independent perspectives into the mid-term reporting process. </w:t>
      </w:r>
    </w:p>
    <w:p w14:paraId="230ACF84" w14:textId="77777777" w:rsidR="001A5750" w:rsidRPr="00733047" w:rsidRDefault="001A5750" w:rsidP="00733047">
      <w:pPr>
        <w:jc w:val="both"/>
        <w:rPr>
          <w:rFonts w:cstheme="minorHAnsi"/>
          <w:bCs/>
          <w:sz w:val="24"/>
          <w:szCs w:val="24"/>
        </w:rPr>
      </w:pPr>
    </w:p>
    <w:p w14:paraId="125805FE" w14:textId="197E4456" w:rsidR="00733047" w:rsidRPr="00733047" w:rsidRDefault="00733047" w:rsidP="001912AD">
      <w:pPr>
        <w:jc w:val="both"/>
        <w:rPr>
          <w:rFonts w:cstheme="minorHAnsi"/>
          <w:b/>
          <w:sz w:val="24"/>
          <w:szCs w:val="24"/>
          <w:u w:val="single"/>
        </w:rPr>
      </w:pPr>
      <w:r w:rsidRPr="00733047">
        <w:rPr>
          <w:rFonts w:cstheme="minorHAnsi"/>
          <w:b/>
          <w:sz w:val="24"/>
          <w:szCs w:val="24"/>
          <w:u w:val="single"/>
        </w:rPr>
        <w:t>Formats of submitted reports</w:t>
      </w:r>
    </w:p>
    <w:p w14:paraId="274A4E08" w14:textId="77777777" w:rsidR="00733047" w:rsidRDefault="00733047" w:rsidP="001912AD">
      <w:pPr>
        <w:jc w:val="both"/>
        <w:rPr>
          <w:rFonts w:cstheme="minorHAnsi"/>
          <w:bCs/>
          <w:sz w:val="24"/>
          <w:szCs w:val="24"/>
        </w:rPr>
      </w:pPr>
    </w:p>
    <w:p w14:paraId="35576A79" w14:textId="430C808E" w:rsidR="001912AD" w:rsidRPr="00ED41F6" w:rsidRDefault="001912AD" w:rsidP="006D7F82">
      <w:pPr>
        <w:jc w:val="both"/>
        <w:rPr>
          <w:rFonts w:cstheme="minorHAnsi"/>
          <w:bCs/>
          <w:sz w:val="24"/>
          <w:szCs w:val="24"/>
        </w:rPr>
      </w:pPr>
      <w:r w:rsidRPr="00FC62A1">
        <w:rPr>
          <w:rFonts w:cstheme="minorHAnsi"/>
          <w:bCs/>
          <w:sz w:val="24"/>
          <w:szCs w:val="24"/>
        </w:rPr>
        <w:t xml:space="preserve">Formats </w:t>
      </w:r>
      <w:r w:rsidR="006123AD">
        <w:rPr>
          <w:rFonts w:cstheme="minorHAnsi"/>
          <w:bCs/>
          <w:sz w:val="24"/>
          <w:szCs w:val="24"/>
        </w:rPr>
        <w:t xml:space="preserve">for mid-term reports </w:t>
      </w:r>
      <w:r w:rsidRPr="00FC62A1">
        <w:rPr>
          <w:rFonts w:cstheme="minorHAnsi"/>
          <w:bCs/>
          <w:sz w:val="24"/>
          <w:szCs w:val="24"/>
        </w:rPr>
        <w:t xml:space="preserve">by States and stakeholders </w:t>
      </w:r>
      <w:r w:rsidR="00C1358C">
        <w:rPr>
          <w:rFonts w:cstheme="minorHAnsi"/>
          <w:bCs/>
          <w:sz w:val="24"/>
          <w:szCs w:val="24"/>
        </w:rPr>
        <w:t xml:space="preserve">vary </w:t>
      </w:r>
      <w:r w:rsidR="006123AD">
        <w:rPr>
          <w:rFonts w:cstheme="minorHAnsi"/>
          <w:bCs/>
          <w:sz w:val="24"/>
          <w:szCs w:val="24"/>
        </w:rPr>
        <w:t>and are not uniform. Format</w:t>
      </w:r>
      <w:r w:rsidR="00C1358C">
        <w:rPr>
          <w:rFonts w:cstheme="minorHAnsi"/>
          <w:bCs/>
          <w:sz w:val="24"/>
          <w:szCs w:val="24"/>
        </w:rPr>
        <w:t>s</w:t>
      </w:r>
      <w:r w:rsidR="006123AD">
        <w:rPr>
          <w:rFonts w:cstheme="minorHAnsi"/>
          <w:bCs/>
          <w:sz w:val="24"/>
          <w:szCs w:val="24"/>
        </w:rPr>
        <w:t xml:space="preserve"> employed have included: (1) a </w:t>
      </w:r>
      <w:r w:rsidRPr="00264310">
        <w:rPr>
          <w:rFonts w:cstheme="minorHAnsi"/>
          <w:bCs/>
          <w:sz w:val="24"/>
          <w:szCs w:val="24"/>
        </w:rPr>
        <w:t xml:space="preserve">narrative </w:t>
      </w:r>
      <w:r w:rsidR="006123AD">
        <w:rPr>
          <w:rFonts w:cstheme="minorHAnsi"/>
          <w:bCs/>
          <w:sz w:val="24"/>
          <w:szCs w:val="24"/>
        </w:rPr>
        <w:t>with sub-headings by theme or UPR recommendations; (2)</w:t>
      </w:r>
      <w:r w:rsidR="006D7F82">
        <w:rPr>
          <w:rFonts w:cstheme="minorHAnsi"/>
          <w:bCs/>
          <w:sz w:val="24"/>
          <w:szCs w:val="24"/>
        </w:rPr>
        <w:t xml:space="preserve"> </w:t>
      </w:r>
      <w:r w:rsidR="006123AD">
        <w:rPr>
          <w:rFonts w:cstheme="minorHAnsi"/>
          <w:bCs/>
          <w:sz w:val="24"/>
          <w:szCs w:val="24"/>
        </w:rPr>
        <w:t xml:space="preserve">a table listing UPR </w:t>
      </w:r>
      <w:r w:rsidRPr="00FC62A1">
        <w:rPr>
          <w:rFonts w:cstheme="minorHAnsi"/>
          <w:bCs/>
          <w:sz w:val="24"/>
          <w:szCs w:val="24"/>
        </w:rPr>
        <w:t>recommendations</w:t>
      </w:r>
      <w:r w:rsidR="006123AD">
        <w:rPr>
          <w:rFonts w:cstheme="minorHAnsi"/>
          <w:bCs/>
          <w:sz w:val="24"/>
          <w:szCs w:val="24"/>
        </w:rPr>
        <w:t>, position taken,</w:t>
      </w:r>
      <w:r w:rsidR="006D7F82">
        <w:rPr>
          <w:rFonts w:cstheme="minorHAnsi"/>
          <w:bCs/>
          <w:sz w:val="24"/>
          <w:szCs w:val="24"/>
        </w:rPr>
        <w:t xml:space="preserve"> </w:t>
      </w:r>
      <w:r w:rsidRPr="00FC62A1">
        <w:rPr>
          <w:rFonts w:cstheme="minorHAnsi"/>
          <w:bCs/>
          <w:sz w:val="24"/>
          <w:szCs w:val="24"/>
        </w:rPr>
        <w:t>follow up action</w:t>
      </w:r>
      <w:r w:rsidR="006D7F82">
        <w:rPr>
          <w:rFonts w:cstheme="minorHAnsi"/>
          <w:bCs/>
          <w:sz w:val="24"/>
          <w:szCs w:val="24"/>
        </w:rPr>
        <w:t>, and lead ministries</w:t>
      </w:r>
      <w:r w:rsidRPr="00FC62A1">
        <w:rPr>
          <w:rFonts w:cstheme="minorHAnsi"/>
          <w:bCs/>
          <w:sz w:val="24"/>
          <w:szCs w:val="24"/>
        </w:rPr>
        <w:t xml:space="preserve"> in separate columns</w:t>
      </w:r>
      <w:r w:rsidR="006D7F82">
        <w:rPr>
          <w:rFonts w:cstheme="minorHAnsi"/>
          <w:bCs/>
          <w:sz w:val="24"/>
          <w:szCs w:val="24"/>
        </w:rPr>
        <w:t>; (3) a</w:t>
      </w:r>
      <w:r>
        <w:rPr>
          <w:rFonts w:cstheme="minorHAnsi"/>
          <w:bCs/>
          <w:sz w:val="24"/>
          <w:szCs w:val="24"/>
        </w:rPr>
        <w:t xml:space="preserve"> narrative report with thematic sub-headings and as annex a summary table with recommendations and action taken</w:t>
      </w:r>
      <w:r w:rsidR="006D7F82">
        <w:rPr>
          <w:rFonts w:cstheme="minorHAnsi"/>
          <w:bCs/>
          <w:sz w:val="24"/>
          <w:szCs w:val="24"/>
        </w:rPr>
        <w:t>. S</w:t>
      </w:r>
      <w:r>
        <w:rPr>
          <w:rFonts w:cstheme="minorHAnsi"/>
          <w:bCs/>
          <w:sz w:val="24"/>
          <w:szCs w:val="24"/>
        </w:rPr>
        <w:t xml:space="preserve">ome mid-term reports contain an introductory section on the methodology employed for the drafting </w:t>
      </w:r>
      <w:r w:rsidRPr="00ED41F6">
        <w:rPr>
          <w:rFonts w:cstheme="minorHAnsi"/>
          <w:bCs/>
          <w:sz w:val="24"/>
          <w:szCs w:val="24"/>
        </w:rPr>
        <w:t>of the mid-term report</w:t>
      </w:r>
      <w:r w:rsidR="006D7F82">
        <w:rPr>
          <w:rFonts w:cstheme="minorHAnsi"/>
          <w:bCs/>
          <w:sz w:val="24"/>
          <w:szCs w:val="24"/>
        </w:rPr>
        <w:t>.</w:t>
      </w:r>
    </w:p>
    <w:p w14:paraId="759C63F1" w14:textId="66741570" w:rsidR="001912AD" w:rsidRDefault="001912AD" w:rsidP="001912AD">
      <w:pPr>
        <w:jc w:val="both"/>
        <w:rPr>
          <w:rFonts w:cstheme="minorHAnsi"/>
          <w:bCs/>
          <w:sz w:val="24"/>
          <w:szCs w:val="24"/>
        </w:rPr>
      </w:pPr>
    </w:p>
    <w:p w14:paraId="0E675DC1" w14:textId="4982FD86" w:rsidR="002B2077" w:rsidRDefault="002B2077" w:rsidP="001912AD">
      <w:pPr>
        <w:jc w:val="both"/>
        <w:rPr>
          <w:rFonts w:cstheme="minorHAnsi"/>
          <w:bCs/>
          <w:sz w:val="24"/>
          <w:szCs w:val="24"/>
        </w:rPr>
      </w:pPr>
      <w:r w:rsidRPr="002B2077">
        <w:rPr>
          <w:rFonts w:cstheme="minorHAnsi"/>
          <w:bCs/>
          <w:sz w:val="24"/>
          <w:szCs w:val="24"/>
        </w:rPr>
        <w:t>Some</w:t>
      </w:r>
      <w:r>
        <w:rPr>
          <w:rFonts w:cstheme="minorHAnsi"/>
          <w:bCs/>
          <w:sz w:val="24"/>
          <w:szCs w:val="24"/>
        </w:rPr>
        <w:t xml:space="preserve"> S</w:t>
      </w:r>
      <w:r w:rsidRPr="002B2077">
        <w:rPr>
          <w:rFonts w:cstheme="minorHAnsi"/>
          <w:bCs/>
          <w:sz w:val="24"/>
          <w:szCs w:val="24"/>
        </w:rPr>
        <w:t xml:space="preserve">tates have resorted to </w:t>
      </w:r>
      <w:r>
        <w:rPr>
          <w:rFonts w:cstheme="minorHAnsi"/>
          <w:bCs/>
          <w:sz w:val="24"/>
          <w:szCs w:val="24"/>
        </w:rPr>
        <w:t xml:space="preserve">colour coding </w:t>
      </w:r>
      <w:r w:rsidRPr="002B2077">
        <w:rPr>
          <w:rFonts w:cstheme="minorHAnsi"/>
          <w:bCs/>
          <w:sz w:val="24"/>
          <w:szCs w:val="24"/>
        </w:rPr>
        <w:t xml:space="preserve">to facilitate visualization </w:t>
      </w:r>
      <w:r>
        <w:rPr>
          <w:rFonts w:cstheme="minorHAnsi"/>
          <w:bCs/>
          <w:sz w:val="24"/>
          <w:szCs w:val="24"/>
        </w:rPr>
        <w:t xml:space="preserve">of information. </w:t>
      </w:r>
      <w:r w:rsidRPr="002B2077">
        <w:rPr>
          <w:rFonts w:cstheme="minorHAnsi"/>
          <w:bCs/>
          <w:sz w:val="24"/>
          <w:szCs w:val="24"/>
        </w:rPr>
        <w:t xml:space="preserve">For example, </w:t>
      </w:r>
      <w:r w:rsidR="0027126C">
        <w:rPr>
          <w:rFonts w:cstheme="minorHAnsi"/>
          <w:bCs/>
          <w:sz w:val="24"/>
          <w:szCs w:val="24"/>
        </w:rPr>
        <w:t xml:space="preserve">the </w:t>
      </w:r>
      <w:r w:rsidRPr="002B2077">
        <w:rPr>
          <w:rFonts w:cstheme="minorHAnsi"/>
          <w:bCs/>
          <w:sz w:val="24"/>
          <w:szCs w:val="24"/>
        </w:rPr>
        <w:t>mid-term report</w:t>
      </w:r>
      <w:r w:rsidR="0027126C">
        <w:rPr>
          <w:rFonts w:cstheme="minorHAnsi"/>
          <w:bCs/>
          <w:sz w:val="24"/>
          <w:szCs w:val="24"/>
        </w:rPr>
        <w:t>s</w:t>
      </w:r>
      <w:r w:rsidRPr="002B2077">
        <w:rPr>
          <w:rFonts w:cstheme="minorHAnsi"/>
          <w:bCs/>
          <w:sz w:val="24"/>
          <w:szCs w:val="24"/>
        </w:rPr>
        <w:t xml:space="preserve"> for the 3rd cycle </w:t>
      </w:r>
      <w:r w:rsidR="0027126C">
        <w:rPr>
          <w:rFonts w:cstheme="minorHAnsi"/>
          <w:bCs/>
          <w:sz w:val="24"/>
          <w:szCs w:val="24"/>
        </w:rPr>
        <w:t xml:space="preserve">of Finland and Luxembourg </w:t>
      </w:r>
      <w:r w:rsidRPr="002B2077">
        <w:rPr>
          <w:rFonts w:cstheme="minorHAnsi"/>
          <w:bCs/>
          <w:sz w:val="24"/>
          <w:szCs w:val="24"/>
        </w:rPr>
        <w:t xml:space="preserve">used a colour code to indicate recommendations fully implemented (green), in the process of being implemented (in yellow) and where implementation measures had yet to be taken (red). </w:t>
      </w:r>
    </w:p>
    <w:p w14:paraId="2AC1029B" w14:textId="77777777" w:rsidR="002B2077" w:rsidRPr="00ED41F6" w:rsidRDefault="002B2077" w:rsidP="001912AD">
      <w:pPr>
        <w:jc w:val="both"/>
        <w:rPr>
          <w:rFonts w:cstheme="minorHAnsi"/>
          <w:bCs/>
          <w:sz w:val="24"/>
          <w:szCs w:val="24"/>
        </w:rPr>
      </w:pPr>
    </w:p>
    <w:p w14:paraId="0BB31967" w14:textId="5A06B150" w:rsidR="001912AD" w:rsidRPr="00ED41F6" w:rsidRDefault="001912AD" w:rsidP="001912AD">
      <w:pPr>
        <w:jc w:val="both"/>
        <w:rPr>
          <w:rFonts w:cstheme="minorHAnsi"/>
          <w:bCs/>
          <w:sz w:val="24"/>
          <w:szCs w:val="24"/>
        </w:rPr>
      </w:pPr>
      <w:r w:rsidRPr="00ED41F6">
        <w:rPr>
          <w:rFonts w:cstheme="minorHAnsi"/>
          <w:bCs/>
          <w:sz w:val="24"/>
          <w:szCs w:val="24"/>
        </w:rPr>
        <w:t xml:space="preserve">As </w:t>
      </w:r>
      <w:r w:rsidR="006D7F82">
        <w:rPr>
          <w:rFonts w:cstheme="minorHAnsi"/>
          <w:bCs/>
          <w:sz w:val="24"/>
          <w:szCs w:val="24"/>
        </w:rPr>
        <w:t xml:space="preserve">UPR mid-term </w:t>
      </w:r>
      <w:r w:rsidRPr="00ED41F6">
        <w:rPr>
          <w:rFonts w:cstheme="minorHAnsi"/>
          <w:bCs/>
          <w:sz w:val="24"/>
          <w:szCs w:val="24"/>
        </w:rPr>
        <w:t xml:space="preserve">reports are voluntary, States and other stakeholders </w:t>
      </w:r>
      <w:r w:rsidR="006D7F82" w:rsidRPr="00ED41F6">
        <w:rPr>
          <w:rFonts w:cstheme="minorHAnsi"/>
          <w:bCs/>
          <w:sz w:val="24"/>
          <w:szCs w:val="24"/>
        </w:rPr>
        <w:t>cannot</w:t>
      </w:r>
      <w:r w:rsidRPr="00ED41F6">
        <w:rPr>
          <w:rFonts w:cstheme="minorHAnsi"/>
          <w:bCs/>
          <w:sz w:val="24"/>
          <w:szCs w:val="24"/>
        </w:rPr>
        <w:t xml:space="preserve"> be required to employ</w:t>
      </w:r>
      <w:r w:rsidR="006D7F82">
        <w:rPr>
          <w:rFonts w:cstheme="minorHAnsi"/>
          <w:bCs/>
          <w:sz w:val="24"/>
          <w:szCs w:val="24"/>
        </w:rPr>
        <w:t xml:space="preserve"> a uniform</w:t>
      </w:r>
      <w:r w:rsidRPr="00ED41F6">
        <w:rPr>
          <w:rFonts w:cstheme="minorHAnsi"/>
          <w:bCs/>
          <w:sz w:val="24"/>
          <w:szCs w:val="24"/>
        </w:rPr>
        <w:t xml:space="preserve"> methodolog</w:t>
      </w:r>
      <w:r w:rsidR="006D7F82">
        <w:rPr>
          <w:rFonts w:cstheme="minorHAnsi"/>
          <w:bCs/>
          <w:sz w:val="24"/>
          <w:szCs w:val="24"/>
        </w:rPr>
        <w:t>y and format</w:t>
      </w:r>
      <w:r w:rsidRPr="00ED41F6">
        <w:rPr>
          <w:rFonts w:cstheme="minorHAnsi"/>
          <w:bCs/>
          <w:sz w:val="24"/>
          <w:szCs w:val="24"/>
        </w:rPr>
        <w:t>.</w:t>
      </w:r>
      <w:r w:rsidR="006D7F82">
        <w:rPr>
          <w:rFonts w:cstheme="minorHAnsi"/>
          <w:bCs/>
          <w:sz w:val="24"/>
          <w:szCs w:val="24"/>
        </w:rPr>
        <w:t xml:space="preserve"> </w:t>
      </w:r>
      <w:r w:rsidRPr="00ED41F6">
        <w:rPr>
          <w:rFonts w:cstheme="minorHAnsi"/>
          <w:bCs/>
          <w:sz w:val="24"/>
          <w:szCs w:val="24"/>
        </w:rPr>
        <w:t xml:space="preserve">However, uniformity of reports </w:t>
      </w:r>
      <w:r>
        <w:rPr>
          <w:rFonts w:cstheme="minorHAnsi"/>
          <w:bCs/>
          <w:sz w:val="24"/>
          <w:szCs w:val="24"/>
        </w:rPr>
        <w:t>would</w:t>
      </w:r>
      <w:r w:rsidRPr="00ED41F6">
        <w:rPr>
          <w:rFonts w:cstheme="minorHAnsi"/>
          <w:bCs/>
          <w:sz w:val="24"/>
          <w:szCs w:val="24"/>
        </w:rPr>
        <w:t xml:space="preserve"> create efficiencies</w:t>
      </w:r>
      <w:r>
        <w:rPr>
          <w:rFonts w:cstheme="minorHAnsi"/>
          <w:bCs/>
          <w:sz w:val="24"/>
          <w:szCs w:val="24"/>
        </w:rPr>
        <w:t xml:space="preserve"> for States</w:t>
      </w:r>
      <w:r w:rsidR="006D7F82">
        <w:rPr>
          <w:rFonts w:cstheme="minorHAnsi"/>
          <w:bCs/>
          <w:sz w:val="24"/>
          <w:szCs w:val="24"/>
        </w:rPr>
        <w:t xml:space="preserve"> and stakeholders</w:t>
      </w:r>
      <w:r>
        <w:rPr>
          <w:rFonts w:cstheme="minorHAnsi"/>
          <w:bCs/>
          <w:sz w:val="24"/>
          <w:szCs w:val="24"/>
        </w:rPr>
        <w:t xml:space="preserve"> as they could follow a model report</w:t>
      </w:r>
      <w:r w:rsidRPr="00ED41F6">
        <w:rPr>
          <w:rFonts w:cstheme="minorHAnsi"/>
          <w:bCs/>
          <w:sz w:val="24"/>
          <w:szCs w:val="24"/>
        </w:rPr>
        <w:t xml:space="preserve">. Uniformity will also allow consolidation of inputs received in comprehensive tables for the purpose of comparison between countries, </w:t>
      </w:r>
      <w:proofErr w:type="gramStart"/>
      <w:r w:rsidRPr="00ED41F6">
        <w:rPr>
          <w:rFonts w:cstheme="minorHAnsi"/>
          <w:bCs/>
          <w:sz w:val="24"/>
          <w:szCs w:val="24"/>
        </w:rPr>
        <w:t>in particular by</w:t>
      </w:r>
      <w:proofErr w:type="gramEnd"/>
      <w:r w:rsidRPr="00ED41F6">
        <w:rPr>
          <w:rFonts w:cstheme="minorHAnsi"/>
          <w:bCs/>
          <w:sz w:val="24"/>
          <w:szCs w:val="24"/>
        </w:rPr>
        <w:t xml:space="preserve"> theme</w:t>
      </w:r>
      <w:r w:rsidR="006D7F82">
        <w:rPr>
          <w:rFonts w:cstheme="minorHAnsi"/>
          <w:bCs/>
          <w:sz w:val="24"/>
          <w:szCs w:val="24"/>
        </w:rPr>
        <w:t>. Finally, common approaches will also facilitate the sharing of practices between States for the preparation of mid-term reports</w:t>
      </w:r>
      <w:r w:rsidR="00C1358C">
        <w:rPr>
          <w:rFonts w:cstheme="minorHAnsi"/>
          <w:bCs/>
          <w:sz w:val="24"/>
          <w:szCs w:val="24"/>
        </w:rPr>
        <w:t>.</w:t>
      </w:r>
      <w:r w:rsidRPr="00ED41F6">
        <w:rPr>
          <w:rFonts w:cstheme="minorHAnsi"/>
          <w:bCs/>
          <w:sz w:val="24"/>
          <w:szCs w:val="24"/>
        </w:rPr>
        <w:t xml:space="preserve">  </w:t>
      </w:r>
    </w:p>
    <w:p w14:paraId="6DC3AC6D" w14:textId="77777777" w:rsidR="000E027D" w:rsidRPr="00CD2893" w:rsidRDefault="000E027D" w:rsidP="00CD2893">
      <w:pPr>
        <w:jc w:val="both"/>
        <w:rPr>
          <w:rFonts w:cstheme="minorHAnsi"/>
          <w:bCs/>
          <w:sz w:val="24"/>
          <w:szCs w:val="24"/>
        </w:rPr>
      </w:pPr>
    </w:p>
    <w:p w14:paraId="19A77D4E" w14:textId="782CAF33" w:rsidR="000E027D" w:rsidRPr="00120124" w:rsidRDefault="00CD2893" w:rsidP="00CD2893">
      <w:pPr>
        <w:jc w:val="both"/>
        <w:rPr>
          <w:rFonts w:cstheme="minorHAnsi"/>
          <w:bCs/>
          <w:sz w:val="24"/>
          <w:szCs w:val="24"/>
        </w:rPr>
      </w:pPr>
      <w:r w:rsidRPr="00CD2893">
        <w:rPr>
          <w:rFonts w:cstheme="minorHAnsi"/>
          <w:bCs/>
          <w:sz w:val="24"/>
          <w:szCs w:val="24"/>
        </w:rPr>
        <w:t xml:space="preserve">With the aim </w:t>
      </w:r>
      <w:r>
        <w:rPr>
          <w:rFonts w:cstheme="minorHAnsi"/>
          <w:bCs/>
          <w:sz w:val="24"/>
          <w:szCs w:val="24"/>
        </w:rPr>
        <w:t xml:space="preserve">of encouraging more uniformity in reporting formats, the </w:t>
      </w:r>
      <w:r w:rsidRPr="00120124">
        <w:rPr>
          <w:rFonts w:cstheme="minorHAnsi"/>
          <w:b/>
          <w:sz w:val="24"/>
          <w:szCs w:val="24"/>
        </w:rPr>
        <w:t xml:space="preserve">annex </w:t>
      </w:r>
      <w:r>
        <w:rPr>
          <w:rFonts w:cstheme="minorHAnsi"/>
          <w:bCs/>
          <w:sz w:val="24"/>
          <w:szCs w:val="24"/>
        </w:rPr>
        <w:t xml:space="preserve">below provides States and stakeholders with </w:t>
      </w:r>
      <w:r w:rsidR="00120124">
        <w:rPr>
          <w:rFonts w:cstheme="minorHAnsi"/>
          <w:bCs/>
          <w:sz w:val="24"/>
          <w:szCs w:val="24"/>
        </w:rPr>
        <w:t xml:space="preserve">a </w:t>
      </w:r>
      <w:r w:rsidR="00120124" w:rsidRPr="00120124">
        <w:rPr>
          <w:rFonts w:cstheme="minorHAnsi"/>
          <w:b/>
          <w:sz w:val="24"/>
          <w:szCs w:val="24"/>
        </w:rPr>
        <w:t>suggested template</w:t>
      </w:r>
      <w:r w:rsidR="00120124">
        <w:rPr>
          <w:rFonts w:cstheme="minorHAnsi"/>
          <w:bCs/>
          <w:sz w:val="24"/>
          <w:szCs w:val="24"/>
        </w:rPr>
        <w:t xml:space="preserve"> of a </w:t>
      </w:r>
      <w:r w:rsidR="00120124" w:rsidRPr="00120124">
        <w:rPr>
          <w:rFonts w:cstheme="minorHAnsi"/>
          <w:bCs/>
          <w:sz w:val="24"/>
          <w:szCs w:val="24"/>
        </w:rPr>
        <w:t xml:space="preserve">UPR mid-term report, as well as </w:t>
      </w:r>
      <w:r w:rsidRPr="00120124">
        <w:rPr>
          <w:rFonts w:cstheme="minorHAnsi"/>
          <w:bCs/>
          <w:sz w:val="24"/>
          <w:szCs w:val="24"/>
        </w:rPr>
        <w:t xml:space="preserve">suggestions </w:t>
      </w:r>
      <w:r w:rsidR="00120124" w:rsidRPr="00120124">
        <w:rPr>
          <w:rFonts w:cstheme="minorHAnsi"/>
          <w:bCs/>
          <w:sz w:val="24"/>
          <w:szCs w:val="24"/>
        </w:rPr>
        <w:t>regarding the contents of each section</w:t>
      </w:r>
      <w:r w:rsidRPr="00120124">
        <w:rPr>
          <w:rFonts w:cstheme="minorHAnsi"/>
          <w:bCs/>
          <w:sz w:val="24"/>
          <w:szCs w:val="24"/>
        </w:rPr>
        <w:t>.</w:t>
      </w:r>
    </w:p>
    <w:p w14:paraId="23F97167" w14:textId="33805283" w:rsidR="000E027D" w:rsidRPr="00CD2893" w:rsidRDefault="000E027D" w:rsidP="00CD2893">
      <w:pPr>
        <w:jc w:val="both"/>
        <w:rPr>
          <w:rFonts w:cstheme="minorHAnsi"/>
          <w:bCs/>
          <w:sz w:val="24"/>
          <w:szCs w:val="24"/>
        </w:rPr>
      </w:pPr>
    </w:p>
    <w:p w14:paraId="2A05034C" w14:textId="77777777" w:rsidR="0027126C" w:rsidRDefault="0027126C" w:rsidP="000E027D">
      <w:pPr>
        <w:rPr>
          <w:b/>
          <w:bCs/>
          <w:sz w:val="24"/>
          <w:szCs w:val="24"/>
        </w:rPr>
      </w:pPr>
    </w:p>
    <w:p w14:paraId="18956B95" w14:textId="079CEB8C" w:rsidR="000E027D" w:rsidRDefault="000E027D" w:rsidP="000E027D">
      <w:pPr>
        <w:rPr>
          <w:b/>
          <w:bCs/>
          <w:sz w:val="24"/>
          <w:szCs w:val="24"/>
        </w:rPr>
      </w:pPr>
      <w:r w:rsidRPr="000E027D">
        <w:rPr>
          <w:b/>
          <w:bCs/>
          <w:sz w:val="24"/>
          <w:szCs w:val="24"/>
        </w:rPr>
        <w:t xml:space="preserve">Annex </w:t>
      </w:r>
      <w:r w:rsidR="00CC2D3A" w:rsidRPr="000E027D">
        <w:rPr>
          <w:b/>
          <w:bCs/>
          <w:sz w:val="24"/>
          <w:szCs w:val="24"/>
        </w:rPr>
        <w:t xml:space="preserve"> </w:t>
      </w:r>
      <w:r>
        <w:rPr>
          <w:b/>
          <w:bCs/>
          <w:sz w:val="24"/>
          <w:szCs w:val="24"/>
        </w:rPr>
        <w:t xml:space="preserve"> </w:t>
      </w:r>
    </w:p>
    <w:p w14:paraId="64AA0DDC" w14:textId="77777777" w:rsidR="000E027D" w:rsidRDefault="000E027D" w:rsidP="000E027D">
      <w:pPr>
        <w:rPr>
          <w:b/>
          <w:bCs/>
          <w:sz w:val="24"/>
          <w:szCs w:val="24"/>
        </w:rPr>
      </w:pPr>
    </w:p>
    <w:p w14:paraId="036BA0D9" w14:textId="1E094508" w:rsidR="007D386C" w:rsidRPr="000E027D" w:rsidRDefault="00CC2D3A" w:rsidP="000E027D">
      <w:pPr>
        <w:rPr>
          <w:b/>
          <w:bCs/>
          <w:sz w:val="24"/>
          <w:szCs w:val="24"/>
        </w:rPr>
      </w:pPr>
      <w:r w:rsidRPr="000E027D">
        <w:rPr>
          <w:b/>
          <w:bCs/>
          <w:sz w:val="24"/>
          <w:szCs w:val="24"/>
        </w:rPr>
        <w:t>Mid-Term UPR Report</w:t>
      </w:r>
      <w:r w:rsidR="007B22AF" w:rsidRPr="000E027D">
        <w:rPr>
          <w:b/>
          <w:bCs/>
          <w:sz w:val="24"/>
          <w:szCs w:val="24"/>
        </w:rPr>
        <w:t>ing</w:t>
      </w:r>
      <w:r w:rsidR="000E027D" w:rsidRPr="000E027D">
        <w:rPr>
          <w:b/>
          <w:bCs/>
          <w:sz w:val="24"/>
          <w:szCs w:val="24"/>
        </w:rPr>
        <w:t xml:space="preserve"> - </w:t>
      </w:r>
      <w:r w:rsidR="007B22AF" w:rsidRPr="000E027D">
        <w:rPr>
          <w:b/>
          <w:bCs/>
          <w:sz w:val="24"/>
          <w:szCs w:val="24"/>
        </w:rPr>
        <w:t>Suggested Template</w:t>
      </w:r>
    </w:p>
    <w:p w14:paraId="530654A3" w14:textId="77777777" w:rsidR="00CC2D3A" w:rsidRDefault="00CC2D3A" w:rsidP="00CC2D3A">
      <w:pPr>
        <w:jc w:val="both"/>
      </w:pPr>
    </w:p>
    <w:p w14:paraId="34E9C6B6" w14:textId="77777777" w:rsidR="00576B95" w:rsidRPr="00CC2D3A" w:rsidRDefault="00576B95" w:rsidP="00576B95">
      <w:pPr>
        <w:jc w:val="both"/>
      </w:pPr>
    </w:p>
    <w:p w14:paraId="0778F143" w14:textId="77777777" w:rsidR="00CC2D3A" w:rsidRDefault="00CC2D3A" w:rsidP="007563BC">
      <w:pPr>
        <w:pStyle w:val="ListParagraph"/>
        <w:numPr>
          <w:ilvl w:val="0"/>
          <w:numId w:val="25"/>
        </w:numPr>
        <w:jc w:val="both"/>
        <w:rPr>
          <w:b/>
          <w:sz w:val="24"/>
          <w:szCs w:val="24"/>
        </w:rPr>
      </w:pPr>
      <w:r w:rsidRPr="00576B95">
        <w:rPr>
          <w:b/>
          <w:sz w:val="24"/>
          <w:szCs w:val="24"/>
        </w:rPr>
        <w:t>Methodology</w:t>
      </w:r>
    </w:p>
    <w:p w14:paraId="45CC5335" w14:textId="77777777" w:rsidR="00576B95" w:rsidRDefault="00576B95" w:rsidP="00576B95">
      <w:pPr>
        <w:rPr>
          <w:b/>
          <w:sz w:val="24"/>
          <w:szCs w:val="24"/>
        </w:rPr>
      </w:pPr>
    </w:p>
    <w:p w14:paraId="4AA0F71D" w14:textId="00FFFA3F" w:rsidR="00576B95" w:rsidRDefault="00576B95" w:rsidP="00576B95">
      <w:pPr>
        <w:rPr>
          <w:i/>
        </w:rPr>
      </w:pPr>
      <w:r>
        <w:rPr>
          <w:i/>
        </w:rPr>
        <w:t>[</w:t>
      </w:r>
      <w:r w:rsidRPr="005C61F2">
        <w:rPr>
          <w:i/>
        </w:rPr>
        <w:t xml:space="preserve">Description of the methodology and the broad consultation process followed for the preparation of information provided under the </w:t>
      </w:r>
      <w:r>
        <w:rPr>
          <w:i/>
        </w:rPr>
        <w:t>UPR Mid-Term report</w:t>
      </w:r>
      <w:r w:rsidR="00736648">
        <w:rPr>
          <w:i/>
        </w:rPr>
        <w:t xml:space="preserve">. </w:t>
      </w:r>
      <w:r w:rsidR="002B2077">
        <w:rPr>
          <w:i/>
        </w:rPr>
        <w:t xml:space="preserve">Clarify </w:t>
      </w:r>
      <w:r w:rsidR="00736648">
        <w:rPr>
          <w:i/>
        </w:rPr>
        <w:t>whether the report has been drafted within the context of a National Mechanism for Implementation, Reporting and Follow-up (NMIRF)</w:t>
      </w:r>
      <w:r w:rsidR="002B2077">
        <w:rPr>
          <w:i/>
        </w:rPr>
        <w:t xml:space="preserve"> and if </w:t>
      </w:r>
      <w:proofErr w:type="gramStart"/>
      <w:r w:rsidR="002B2077">
        <w:rPr>
          <w:i/>
        </w:rPr>
        <w:t>so</w:t>
      </w:r>
      <w:proofErr w:type="gramEnd"/>
      <w:r w:rsidR="002B2077">
        <w:rPr>
          <w:i/>
        </w:rPr>
        <w:t xml:space="preserve"> describe the mechanism and the process</w:t>
      </w:r>
      <w:r>
        <w:rPr>
          <w:i/>
        </w:rPr>
        <w:t>]</w:t>
      </w:r>
    </w:p>
    <w:p w14:paraId="1C34EBBA" w14:textId="77777777" w:rsidR="00576B95" w:rsidRPr="00576B95" w:rsidRDefault="007D386C" w:rsidP="007D386C">
      <w:pPr>
        <w:tabs>
          <w:tab w:val="left" w:pos="4545"/>
        </w:tabs>
        <w:rPr>
          <w:b/>
          <w:sz w:val="24"/>
          <w:szCs w:val="24"/>
        </w:rPr>
      </w:pPr>
      <w:r>
        <w:rPr>
          <w:b/>
          <w:sz w:val="24"/>
          <w:szCs w:val="24"/>
        </w:rPr>
        <w:tab/>
      </w:r>
    </w:p>
    <w:p w14:paraId="35441065" w14:textId="77777777" w:rsidR="00576B95" w:rsidRPr="00576B95" w:rsidRDefault="00FF0AE2" w:rsidP="007563BC">
      <w:pPr>
        <w:pStyle w:val="ListParagraph"/>
        <w:numPr>
          <w:ilvl w:val="0"/>
          <w:numId w:val="25"/>
        </w:numPr>
        <w:jc w:val="both"/>
        <w:rPr>
          <w:b/>
          <w:sz w:val="24"/>
          <w:szCs w:val="24"/>
        </w:rPr>
      </w:pPr>
      <w:r>
        <w:rPr>
          <w:b/>
          <w:sz w:val="24"/>
          <w:szCs w:val="24"/>
        </w:rPr>
        <w:t>Executive summary of k</w:t>
      </w:r>
      <w:r w:rsidR="00576B95">
        <w:rPr>
          <w:b/>
          <w:sz w:val="24"/>
          <w:szCs w:val="24"/>
        </w:rPr>
        <w:t xml:space="preserve">ey developments </w:t>
      </w:r>
      <w:r>
        <w:rPr>
          <w:b/>
          <w:sz w:val="24"/>
          <w:szCs w:val="24"/>
        </w:rPr>
        <w:t>and UPR implementation</w:t>
      </w:r>
    </w:p>
    <w:p w14:paraId="0F35B3A8" w14:textId="77777777" w:rsidR="00CC2D3A" w:rsidRDefault="00CC2D3A" w:rsidP="00CC2D3A">
      <w:pPr>
        <w:jc w:val="both"/>
      </w:pPr>
    </w:p>
    <w:p w14:paraId="1A39FA04" w14:textId="6C99B512" w:rsidR="00576B95" w:rsidRDefault="00576B95" w:rsidP="00CC2D3A">
      <w:pPr>
        <w:jc w:val="both"/>
        <w:rPr>
          <w:i/>
        </w:rPr>
      </w:pPr>
      <w:r>
        <w:rPr>
          <w:i/>
        </w:rPr>
        <w:t>[</w:t>
      </w:r>
      <w:r w:rsidR="00FF0AE2">
        <w:rPr>
          <w:i/>
        </w:rPr>
        <w:t xml:space="preserve">Narrative text summarizing key </w:t>
      </w:r>
      <w:r>
        <w:rPr>
          <w:i/>
        </w:rPr>
        <w:t>d</w:t>
      </w:r>
      <w:r w:rsidRPr="005C61F2">
        <w:rPr>
          <w:i/>
        </w:rPr>
        <w:t>evelopments</w:t>
      </w:r>
      <w:r w:rsidR="00FF0AE2">
        <w:rPr>
          <w:i/>
        </w:rPr>
        <w:t xml:space="preserve"> since the review, and main findings on the implementation of </w:t>
      </w:r>
      <w:r w:rsidR="00CD2893">
        <w:rPr>
          <w:i/>
        </w:rPr>
        <w:t>specific</w:t>
      </w:r>
      <w:r w:rsidR="00FF0AE2">
        <w:rPr>
          <w:i/>
        </w:rPr>
        <w:t xml:space="preserve"> UPR recommendations</w:t>
      </w:r>
      <w:r w:rsidR="00A2442C">
        <w:rPr>
          <w:i/>
        </w:rPr>
        <w:t>. A division by thematic sub-heading could be employed</w:t>
      </w:r>
      <w:r>
        <w:rPr>
          <w:i/>
        </w:rPr>
        <w:t>]</w:t>
      </w:r>
    </w:p>
    <w:p w14:paraId="572476F0" w14:textId="77777777" w:rsidR="00FF0AE2" w:rsidRDefault="00FF0AE2" w:rsidP="00FF0AE2">
      <w:pPr>
        <w:pStyle w:val="ListParagraph"/>
        <w:ind w:left="360"/>
        <w:jc w:val="both"/>
        <w:rPr>
          <w:b/>
          <w:sz w:val="24"/>
          <w:szCs w:val="24"/>
        </w:rPr>
      </w:pPr>
    </w:p>
    <w:p w14:paraId="2CF3B339" w14:textId="77777777" w:rsidR="00CC2D3A" w:rsidRDefault="00EB4472" w:rsidP="00EB4472">
      <w:pPr>
        <w:pStyle w:val="ListParagraph"/>
        <w:numPr>
          <w:ilvl w:val="0"/>
          <w:numId w:val="25"/>
        </w:numPr>
        <w:jc w:val="both"/>
        <w:rPr>
          <w:b/>
          <w:sz w:val="24"/>
          <w:szCs w:val="24"/>
        </w:rPr>
      </w:pPr>
      <w:r>
        <w:rPr>
          <w:b/>
          <w:sz w:val="24"/>
          <w:szCs w:val="24"/>
        </w:rPr>
        <w:t>F</w:t>
      </w:r>
      <w:r w:rsidR="00CC2D3A" w:rsidRPr="00EB4472">
        <w:rPr>
          <w:b/>
          <w:sz w:val="24"/>
          <w:szCs w:val="24"/>
        </w:rPr>
        <w:t xml:space="preserve">ollow-up to </w:t>
      </w:r>
      <w:r>
        <w:rPr>
          <w:b/>
          <w:sz w:val="24"/>
          <w:szCs w:val="24"/>
        </w:rPr>
        <w:t>UPR recommendations received</w:t>
      </w:r>
    </w:p>
    <w:p w14:paraId="1C2F69FA" w14:textId="77777777" w:rsidR="00EB4472" w:rsidRDefault="00EB4472" w:rsidP="00EB4472">
      <w:pPr>
        <w:pStyle w:val="ListParagraph"/>
        <w:ind w:left="360"/>
        <w:jc w:val="both"/>
        <w:rPr>
          <w:b/>
          <w:sz w:val="24"/>
          <w:szCs w:val="24"/>
        </w:rPr>
      </w:pPr>
    </w:p>
    <w:tbl>
      <w:tblPr>
        <w:tblStyle w:val="TableGrid"/>
        <w:tblW w:w="9133" w:type="dxa"/>
        <w:tblInd w:w="360" w:type="dxa"/>
        <w:tblLook w:val="04A0" w:firstRow="1" w:lastRow="0" w:firstColumn="1" w:lastColumn="0" w:noHBand="0" w:noVBand="1"/>
      </w:tblPr>
      <w:tblGrid>
        <w:gridCol w:w="1863"/>
        <w:gridCol w:w="1077"/>
        <w:gridCol w:w="1984"/>
        <w:gridCol w:w="4209"/>
      </w:tblGrid>
      <w:tr w:rsidR="00A2442C" w14:paraId="7D01D893" w14:textId="77777777" w:rsidTr="000E027D">
        <w:tc>
          <w:tcPr>
            <w:tcW w:w="1863" w:type="dxa"/>
          </w:tcPr>
          <w:p w14:paraId="62014E3F" w14:textId="77777777" w:rsidR="00A2442C" w:rsidRDefault="00A2442C" w:rsidP="00B86AF2">
            <w:pPr>
              <w:pStyle w:val="ListParagraph"/>
              <w:ind w:left="0"/>
              <w:jc w:val="center"/>
              <w:rPr>
                <w:b/>
                <w:sz w:val="24"/>
                <w:szCs w:val="24"/>
              </w:rPr>
            </w:pPr>
            <w:r>
              <w:rPr>
                <w:b/>
                <w:sz w:val="24"/>
                <w:szCs w:val="24"/>
              </w:rPr>
              <w:t>UPR recommendation*</w:t>
            </w:r>
          </w:p>
        </w:tc>
        <w:tc>
          <w:tcPr>
            <w:tcW w:w="1077" w:type="dxa"/>
          </w:tcPr>
          <w:p w14:paraId="6723AA17" w14:textId="77777777" w:rsidR="00A2442C" w:rsidRDefault="00A2442C" w:rsidP="00B86AF2">
            <w:pPr>
              <w:pStyle w:val="ListParagraph"/>
              <w:ind w:left="0"/>
              <w:jc w:val="center"/>
              <w:rPr>
                <w:b/>
                <w:sz w:val="24"/>
                <w:szCs w:val="24"/>
              </w:rPr>
            </w:pPr>
            <w:r>
              <w:rPr>
                <w:b/>
                <w:sz w:val="24"/>
                <w:szCs w:val="24"/>
              </w:rPr>
              <w:t>Position**</w:t>
            </w:r>
          </w:p>
        </w:tc>
        <w:tc>
          <w:tcPr>
            <w:tcW w:w="1984" w:type="dxa"/>
          </w:tcPr>
          <w:p w14:paraId="5E412113" w14:textId="77777777" w:rsidR="00A2442C" w:rsidRDefault="00A2442C" w:rsidP="00B86AF2">
            <w:pPr>
              <w:pStyle w:val="ListParagraph"/>
              <w:ind w:left="0"/>
              <w:jc w:val="center"/>
              <w:rPr>
                <w:b/>
                <w:sz w:val="24"/>
                <w:szCs w:val="24"/>
              </w:rPr>
            </w:pPr>
            <w:r>
              <w:rPr>
                <w:b/>
                <w:sz w:val="24"/>
                <w:szCs w:val="24"/>
              </w:rPr>
              <w:t xml:space="preserve">Status of implementation*** </w:t>
            </w:r>
          </w:p>
        </w:tc>
        <w:tc>
          <w:tcPr>
            <w:tcW w:w="4209" w:type="dxa"/>
          </w:tcPr>
          <w:p w14:paraId="039EC540" w14:textId="6575BA54" w:rsidR="00A2442C" w:rsidRDefault="00A2442C" w:rsidP="00B86AF2">
            <w:pPr>
              <w:pStyle w:val="ListParagraph"/>
              <w:ind w:left="0"/>
              <w:jc w:val="center"/>
              <w:rPr>
                <w:b/>
                <w:sz w:val="24"/>
                <w:szCs w:val="24"/>
              </w:rPr>
            </w:pPr>
            <w:r>
              <w:rPr>
                <w:b/>
                <w:sz w:val="24"/>
                <w:szCs w:val="24"/>
              </w:rPr>
              <w:t>Description of activities undertaken, results, challenges</w:t>
            </w:r>
            <w:r w:rsidR="00CA2D39">
              <w:rPr>
                <w:b/>
                <w:sz w:val="24"/>
                <w:szCs w:val="24"/>
              </w:rPr>
              <w:t>****</w:t>
            </w:r>
            <w:r>
              <w:rPr>
                <w:b/>
                <w:sz w:val="24"/>
                <w:szCs w:val="24"/>
              </w:rPr>
              <w:t xml:space="preserve"> </w:t>
            </w:r>
          </w:p>
        </w:tc>
      </w:tr>
      <w:tr w:rsidR="00A2442C" w14:paraId="2715FE22" w14:textId="77777777" w:rsidTr="000E027D">
        <w:tc>
          <w:tcPr>
            <w:tcW w:w="1863" w:type="dxa"/>
          </w:tcPr>
          <w:p w14:paraId="4ADE85AC" w14:textId="77777777" w:rsidR="00A2442C" w:rsidRDefault="00A2442C" w:rsidP="00EB4472">
            <w:pPr>
              <w:pStyle w:val="ListParagraph"/>
              <w:ind w:left="0"/>
              <w:jc w:val="both"/>
              <w:rPr>
                <w:b/>
                <w:sz w:val="24"/>
                <w:szCs w:val="24"/>
              </w:rPr>
            </w:pPr>
          </w:p>
        </w:tc>
        <w:tc>
          <w:tcPr>
            <w:tcW w:w="1077" w:type="dxa"/>
          </w:tcPr>
          <w:p w14:paraId="55BB0481" w14:textId="77777777" w:rsidR="00A2442C" w:rsidRDefault="00A2442C" w:rsidP="00EB4472">
            <w:pPr>
              <w:pStyle w:val="ListParagraph"/>
              <w:ind w:left="0"/>
              <w:jc w:val="both"/>
              <w:rPr>
                <w:b/>
                <w:sz w:val="24"/>
                <w:szCs w:val="24"/>
              </w:rPr>
            </w:pPr>
          </w:p>
        </w:tc>
        <w:tc>
          <w:tcPr>
            <w:tcW w:w="1984" w:type="dxa"/>
          </w:tcPr>
          <w:p w14:paraId="02A8ADB9" w14:textId="77777777" w:rsidR="00A2442C" w:rsidRDefault="00A2442C" w:rsidP="00EB4472">
            <w:pPr>
              <w:pStyle w:val="ListParagraph"/>
              <w:ind w:left="0"/>
              <w:jc w:val="both"/>
              <w:rPr>
                <w:b/>
                <w:sz w:val="24"/>
                <w:szCs w:val="24"/>
              </w:rPr>
            </w:pPr>
          </w:p>
        </w:tc>
        <w:tc>
          <w:tcPr>
            <w:tcW w:w="4209" w:type="dxa"/>
          </w:tcPr>
          <w:p w14:paraId="1C1D320E" w14:textId="77777777" w:rsidR="00A2442C" w:rsidRDefault="00A2442C" w:rsidP="00EB4472">
            <w:pPr>
              <w:pStyle w:val="ListParagraph"/>
              <w:ind w:left="0"/>
              <w:jc w:val="both"/>
              <w:rPr>
                <w:b/>
                <w:sz w:val="24"/>
                <w:szCs w:val="24"/>
              </w:rPr>
            </w:pPr>
          </w:p>
        </w:tc>
      </w:tr>
    </w:tbl>
    <w:p w14:paraId="718A12FE" w14:textId="77777777" w:rsidR="0027126C" w:rsidRDefault="0027126C" w:rsidP="00EB4472">
      <w:pPr>
        <w:pStyle w:val="ListParagraph"/>
        <w:ind w:left="360"/>
        <w:jc w:val="both"/>
      </w:pPr>
    </w:p>
    <w:p w14:paraId="11C32DEE" w14:textId="212DB51E" w:rsidR="00B86AF2" w:rsidRDefault="00B86AF2" w:rsidP="00EB4472">
      <w:pPr>
        <w:pStyle w:val="ListParagraph"/>
        <w:ind w:left="360"/>
        <w:jc w:val="both"/>
      </w:pPr>
      <w:r w:rsidRPr="00B86AF2">
        <w:t>* It is suggested to list UPR recommendations either in ascending order or grouped by theme / issue</w:t>
      </w:r>
    </w:p>
    <w:p w14:paraId="1085111D" w14:textId="77777777" w:rsidR="0027126C" w:rsidRDefault="0027126C" w:rsidP="00EB4472">
      <w:pPr>
        <w:pStyle w:val="ListParagraph"/>
        <w:ind w:left="360"/>
        <w:jc w:val="both"/>
      </w:pPr>
    </w:p>
    <w:p w14:paraId="07C5B332" w14:textId="590784F8" w:rsidR="00A2442C" w:rsidRDefault="00A2442C" w:rsidP="00EB4472">
      <w:pPr>
        <w:pStyle w:val="ListParagraph"/>
        <w:ind w:left="360"/>
        <w:jc w:val="both"/>
      </w:pPr>
      <w:r>
        <w:t>** Supported or Noted</w:t>
      </w:r>
    </w:p>
    <w:p w14:paraId="5C02A5CA" w14:textId="77777777" w:rsidR="0027126C" w:rsidRDefault="0027126C" w:rsidP="0027126C">
      <w:pPr>
        <w:pStyle w:val="ListParagraph"/>
        <w:ind w:left="360"/>
        <w:jc w:val="both"/>
      </w:pPr>
    </w:p>
    <w:p w14:paraId="3E039EE0" w14:textId="707A195B" w:rsidR="0027126C" w:rsidRDefault="00B86AF2" w:rsidP="0027126C">
      <w:pPr>
        <w:pStyle w:val="ListParagraph"/>
        <w:ind w:left="360"/>
        <w:jc w:val="both"/>
      </w:pPr>
      <w:r>
        <w:t>**</w:t>
      </w:r>
      <w:r w:rsidR="00CA2D39">
        <w:t>*</w:t>
      </w:r>
      <w:r>
        <w:t xml:space="preserve"> The following categories are suggested: </w:t>
      </w:r>
      <w:r w:rsidR="00016B94">
        <w:t xml:space="preserve">(a) </w:t>
      </w:r>
      <w:r w:rsidRPr="00B86AF2">
        <w:t>implemented,</w:t>
      </w:r>
      <w:r w:rsidR="00016B94">
        <w:t xml:space="preserve"> (b)</w:t>
      </w:r>
      <w:r w:rsidRPr="00B86AF2">
        <w:t xml:space="preserve"> partially implemented, </w:t>
      </w:r>
      <w:r w:rsidR="00016B94">
        <w:t xml:space="preserve">(c) </w:t>
      </w:r>
      <w:r w:rsidR="00CD2893">
        <w:t xml:space="preserve">in the process of being implemented, </w:t>
      </w:r>
      <w:r w:rsidR="00016B94">
        <w:t xml:space="preserve">(d) </w:t>
      </w:r>
      <w:r w:rsidRPr="00B86AF2">
        <w:t>not implemented</w:t>
      </w:r>
      <w:r w:rsidR="00CD2893">
        <w:t>. Colour coding these categories could be helpful to the reader</w:t>
      </w:r>
      <w:r w:rsidR="0027126C">
        <w:t xml:space="preserve"> (for example green - </w:t>
      </w:r>
      <w:r w:rsidR="0027126C" w:rsidRPr="0027126C">
        <w:t xml:space="preserve">fully implemented; </w:t>
      </w:r>
      <w:r w:rsidR="00016B94">
        <w:t xml:space="preserve">orange – partially implemented; </w:t>
      </w:r>
      <w:r w:rsidR="0027126C" w:rsidRPr="0027126C">
        <w:t>yellow – in the process of being implemented; red – no</w:t>
      </w:r>
      <w:r w:rsidR="00016B94">
        <w:t>t implemented</w:t>
      </w:r>
      <w:r w:rsidR="0027126C" w:rsidRPr="0027126C">
        <w:t xml:space="preserve">. </w:t>
      </w:r>
    </w:p>
    <w:p w14:paraId="172BA708" w14:textId="00B391D6" w:rsidR="00CA2D39" w:rsidRDefault="00CA2D39" w:rsidP="0027126C">
      <w:pPr>
        <w:pStyle w:val="ListParagraph"/>
        <w:ind w:left="360"/>
        <w:jc w:val="both"/>
      </w:pPr>
    </w:p>
    <w:p w14:paraId="03EE6D80" w14:textId="623719E1" w:rsidR="00CA2D39" w:rsidRPr="0027126C" w:rsidRDefault="00CA2D39" w:rsidP="0027126C">
      <w:pPr>
        <w:pStyle w:val="ListParagraph"/>
        <w:ind w:left="360"/>
        <w:jc w:val="both"/>
      </w:pPr>
      <w:r>
        <w:t xml:space="preserve">**** </w:t>
      </w:r>
      <w:r w:rsidRPr="00CA2D39">
        <w:t>This could also include identifying, inter alia, implementing agency and partner stakeholders as well as any tools / resources used to assist implementation (including those offered through OHCHR)</w:t>
      </w:r>
    </w:p>
    <w:p w14:paraId="25B8CFAB" w14:textId="77777777" w:rsidR="0027126C" w:rsidRPr="00B86AF2" w:rsidRDefault="0027126C" w:rsidP="00EB4472">
      <w:pPr>
        <w:pStyle w:val="ListParagraph"/>
        <w:ind w:left="360"/>
        <w:jc w:val="both"/>
      </w:pPr>
    </w:p>
    <w:p w14:paraId="0B6FB0C8" w14:textId="77777777" w:rsidR="00B86AF2" w:rsidRPr="00EB4472" w:rsidRDefault="00B86AF2" w:rsidP="00EB4472">
      <w:pPr>
        <w:pStyle w:val="ListParagraph"/>
        <w:ind w:left="360"/>
        <w:jc w:val="both"/>
        <w:rPr>
          <w:b/>
          <w:sz w:val="24"/>
          <w:szCs w:val="24"/>
        </w:rPr>
      </w:pPr>
    </w:p>
    <w:p w14:paraId="56DDA426" w14:textId="77777777" w:rsidR="00EB4472" w:rsidRPr="00EB4472" w:rsidRDefault="00EB4472" w:rsidP="00EB4472">
      <w:pPr>
        <w:pStyle w:val="ListParagraph"/>
        <w:numPr>
          <w:ilvl w:val="0"/>
          <w:numId w:val="25"/>
        </w:numPr>
        <w:jc w:val="both"/>
        <w:rPr>
          <w:b/>
          <w:sz w:val="24"/>
          <w:szCs w:val="24"/>
        </w:rPr>
      </w:pPr>
      <w:r>
        <w:rPr>
          <w:b/>
          <w:sz w:val="24"/>
          <w:szCs w:val="24"/>
        </w:rPr>
        <w:t>Needs for capacity building and technical assistance</w:t>
      </w:r>
    </w:p>
    <w:p w14:paraId="0FEF2830" w14:textId="77777777" w:rsidR="00EB4472" w:rsidRDefault="00EB4472" w:rsidP="00EB4472">
      <w:pPr>
        <w:jc w:val="both"/>
        <w:rPr>
          <w:i/>
        </w:rPr>
      </w:pPr>
    </w:p>
    <w:p w14:paraId="64E57FDE" w14:textId="77777777" w:rsidR="00CC2D3A" w:rsidRPr="005C61F2" w:rsidRDefault="00EB4472" w:rsidP="00EB4472">
      <w:pPr>
        <w:jc w:val="both"/>
        <w:rPr>
          <w:i/>
        </w:rPr>
      </w:pPr>
      <w:r>
        <w:rPr>
          <w:i/>
        </w:rPr>
        <w:t>[Identification of needs,</w:t>
      </w:r>
      <w:r w:rsidR="00CC2D3A" w:rsidRPr="005C61F2">
        <w:rPr>
          <w:i/>
        </w:rPr>
        <w:t xml:space="preserve"> if any, for technical assistance and support</w:t>
      </w:r>
      <w:r>
        <w:rPr>
          <w:i/>
        </w:rPr>
        <w:t xml:space="preserve"> for the implementation of UPR recommendations in the remaining 2.5 years until the next periodic review]</w:t>
      </w:r>
    </w:p>
    <w:p w14:paraId="53675DF6" w14:textId="77777777" w:rsidR="00CC2D3A" w:rsidRDefault="00CC2D3A" w:rsidP="00CC2D3A">
      <w:pPr>
        <w:jc w:val="center"/>
      </w:pPr>
    </w:p>
    <w:p w14:paraId="3F8C78F0" w14:textId="77777777" w:rsidR="00CC2D3A" w:rsidRDefault="00CC2D3A" w:rsidP="00595520"/>
    <w:p w14:paraId="0B086F79" w14:textId="77777777" w:rsidR="002F2C50" w:rsidRDefault="002F2C50" w:rsidP="00595520"/>
    <w:p w14:paraId="5DA93817" w14:textId="77777777" w:rsidR="002F2C50" w:rsidRDefault="002F2C50" w:rsidP="00595520"/>
    <w:p w14:paraId="3FD9C0F8" w14:textId="77777777" w:rsidR="002F2C50" w:rsidRPr="00595520" w:rsidRDefault="002F2C50" w:rsidP="002F2C50">
      <w:pPr>
        <w:jc w:val="center"/>
      </w:pPr>
      <w:r>
        <w:t>*****</w:t>
      </w:r>
    </w:p>
    <w:sectPr w:rsidR="002F2C50" w:rsidRPr="00595520" w:rsidSect="000E027D">
      <w:headerReference w:type="default" r:id="rId11"/>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75FA" w14:textId="77777777" w:rsidR="00CC2D3A" w:rsidRDefault="00CC2D3A"/>
  </w:endnote>
  <w:endnote w:type="continuationSeparator" w:id="0">
    <w:p w14:paraId="3439FEA7" w14:textId="77777777" w:rsidR="00CC2D3A" w:rsidRDefault="00CC2D3A"/>
  </w:endnote>
  <w:endnote w:type="continuationNotice" w:id="1">
    <w:p w14:paraId="686B1AD7" w14:textId="77777777" w:rsidR="00CC2D3A" w:rsidRDefault="00CC2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B22D" w14:textId="77777777" w:rsidR="00CC2D3A" w:rsidRPr="000B175B" w:rsidRDefault="00CC2D3A" w:rsidP="000B175B">
      <w:pPr>
        <w:tabs>
          <w:tab w:val="right" w:pos="2155"/>
        </w:tabs>
        <w:spacing w:after="80"/>
        <w:ind w:left="680"/>
        <w:rPr>
          <w:u w:val="single"/>
        </w:rPr>
      </w:pPr>
      <w:r>
        <w:rPr>
          <w:u w:val="single"/>
        </w:rPr>
        <w:tab/>
      </w:r>
    </w:p>
  </w:footnote>
  <w:footnote w:type="continuationSeparator" w:id="0">
    <w:p w14:paraId="3D62CE71" w14:textId="77777777" w:rsidR="00CC2D3A" w:rsidRPr="00FC68B7" w:rsidRDefault="00CC2D3A" w:rsidP="00FC68B7">
      <w:pPr>
        <w:tabs>
          <w:tab w:val="left" w:pos="2155"/>
        </w:tabs>
        <w:spacing w:after="80"/>
        <w:ind w:left="680"/>
        <w:rPr>
          <w:u w:val="single"/>
        </w:rPr>
      </w:pPr>
      <w:r>
        <w:rPr>
          <w:u w:val="single"/>
        </w:rPr>
        <w:tab/>
      </w:r>
    </w:p>
  </w:footnote>
  <w:footnote w:type="continuationNotice" w:id="1">
    <w:p w14:paraId="33CE0B5E" w14:textId="77777777" w:rsidR="00CC2D3A" w:rsidRDefault="00CC2D3A"/>
  </w:footnote>
  <w:footnote w:id="2">
    <w:p w14:paraId="4C50C4E6" w14:textId="77777777" w:rsidR="00120124" w:rsidRPr="007A30C9" w:rsidRDefault="00120124" w:rsidP="00120124">
      <w:pPr>
        <w:pStyle w:val="FootnoteText"/>
        <w:rPr>
          <w:sz w:val="20"/>
        </w:rPr>
      </w:pPr>
      <w:r>
        <w:rPr>
          <w:rStyle w:val="FootnoteReference"/>
        </w:rPr>
        <w:footnoteRef/>
      </w:r>
      <w:r>
        <w:t xml:space="preserve"> </w:t>
      </w:r>
      <w:r w:rsidRPr="007A30C9">
        <w:rPr>
          <w:sz w:val="20"/>
        </w:rPr>
        <w:t>https://www.ohchr.org/EN/HRBodies/UPR/Pages/UPRImplementation.aspx</w:t>
      </w:r>
    </w:p>
  </w:footnote>
  <w:footnote w:id="3">
    <w:p w14:paraId="0083C32C" w14:textId="75168C95" w:rsidR="00E30877" w:rsidRPr="00E30877" w:rsidRDefault="00E30877" w:rsidP="00E30877">
      <w:pPr>
        <w:jc w:val="both"/>
      </w:pPr>
      <w:r>
        <w:rPr>
          <w:rStyle w:val="FootnoteReference"/>
        </w:rPr>
        <w:footnoteRef/>
      </w:r>
      <w:r>
        <w:t xml:space="preserve"> </w:t>
      </w:r>
      <w:hyperlink r:id="rId1" w:history="1">
        <w:r w:rsidRPr="00E30877">
          <w:t>https://www.ohchr.org/sites/default/files/Documents/HRBodies/UPR/Emerging_UPR_GoodPractices.pdf</w:t>
        </w:r>
      </w:hyperlink>
    </w:p>
    <w:p w14:paraId="305B0FB0" w14:textId="59E31918" w:rsidR="00E30877" w:rsidRDefault="00E308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2A0F" w14:textId="326C0981" w:rsidR="00CC2D3A" w:rsidRDefault="007D386C">
    <w:pPr>
      <w:pStyle w:val="Header"/>
    </w:pPr>
    <w:r>
      <w:t>OHCHR, UPRB,</w:t>
    </w:r>
    <w:r w:rsidR="002A4564">
      <w:t xml:space="preserve"> </w:t>
    </w:r>
    <w:r w:rsidR="00464F5C">
      <w:t>October</w:t>
    </w:r>
    <w:r w:rsidR="000E027D">
      <w:t xml:space="preserve"> 2022</w:t>
    </w:r>
  </w:p>
  <w:p w14:paraId="37DD40C4" w14:textId="77777777" w:rsidR="00CC2D3A" w:rsidRDefault="00CC2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416D56"/>
    <w:multiLevelType w:val="hybridMultilevel"/>
    <w:tmpl w:val="B422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7A14F4"/>
    <w:multiLevelType w:val="multilevel"/>
    <w:tmpl w:val="8E1674A4"/>
    <w:styleLink w:val="UPRThematic"/>
    <w:lvl w:ilvl="0">
      <w:start w:val="1"/>
      <w:numFmt w:val="none"/>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884B84"/>
    <w:multiLevelType w:val="multilevel"/>
    <w:tmpl w:val="A558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C343927"/>
    <w:multiLevelType w:val="hybridMultilevel"/>
    <w:tmpl w:val="B87AD1A6"/>
    <w:lvl w:ilvl="0" w:tplc="0809000F">
      <w:start w:val="1"/>
      <w:numFmt w:val="decimal"/>
      <w:lvlText w:val="%1."/>
      <w:lvlJc w:val="lef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A0A94"/>
    <w:multiLevelType w:val="multilevel"/>
    <w:tmpl w:val="0B16B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753A2B"/>
    <w:multiLevelType w:val="multilevel"/>
    <w:tmpl w:val="C5CCD072"/>
    <w:lvl w:ilvl="0">
      <w:start w:val="1"/>
      <w:numFmt w:val="decimal"/>
      <w:lvlText w:val="Chapter %1"/>
      <w:lvlJc w:val="left"/>
      <w:pPr>
        <w:ind w:left="360" w:hanging="360"/>
      </w:pPr>
      <w:rPr>
        <w:rFonts w:hint="default"/>
        <w:b/>
        <w:i w:val="0"/>
      </w:rPr>
    </w:lvl>
    <w:lvl w:ilvl="1">
      <w:start w:val="1"/>
      <w:numFmt w:val="decimal"/>
      <w:pStyle w:val="Style1"/>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69608B"/>
    <w:multiLevelType w:val="hybridMultilevel"/>
    <w:tmpl w:val="30CC8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F3959"/>
    <w:multiLevelType w:val="hybridMultilevel"/>
    <w:tmpl w:val="8BD4AE00"/>
    <w:lvl w:ilvl="0" w:tplc="28EA24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367882"/>
    <w:multiLevelType w:val="multilevel"/>
    <w:tmpl w:val="33A46BA2"/>
    <w:lvl w:ilvl="0">
      <w:start w:val="1"/>
      <w:numFmt w:val="decimal"/>
      <w:pStyle w:val="UHRIManualChapter"/>
      <w:lvlText w:val="Chapter %1"/>
      <w:lvlJc w:val="left"/>
      <w:pPr>
        <w:ind w:left="360" w:hanging="360"/>
      </w:pPr>
      <w:rPr>
        <w:rFonts w:hint="default"/>
        <w:b/>
        <w:i w:val="0"/>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F751EE"/>
    <w:multiLevelType w:val="hybridMultilevel"/>
    <w:tmpl w:val="51405A56"/>
    <w:lvl w:ilvl="0" w:tplc="E714AC16">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A5112"/>
    <w:multiLevelType w:val="hybridMultilevel"/>
    <w:tmpl w:val="B2E6C3B6"/>
    <w:lvl w:ilvl="0" w:tplc="A388252E">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8"/>
  </w:num>
  <w:num w:numId="13">
    <w:abstractNumId w:val="10"/>
  </w:num>
  <w:num w:numId="14">
    <w:abstractNumId w:val="15"/>
  </w:num>
  <w:num w:numId="15">
    <w:abstractNumId w:val="22"/>
  </w:num>
  <w:num w:numId="16">
    <w:abstractNumId w:val="17"/>
  </w:num>
  <w:num w:numId="17">
    <w:abstractNumId w:val="11"/>
  </w:num>
  <w:num w:numId="18">
    <w:abstractNumId w:val="26"/>
  </w:num>
  <w:num w:numId="19">
    <w:abstractNumId w:val="25"/>
  </w:num>
  <w:num w:numId="20">
    <w:abstractNumId w:val="25"/>
  </w:num>
  <w:num w:numId="21">
    <w:abstractNumId w:val="24"/>
  </w:num>
  <w:num w:numId="22">
    <w:abstractNumId w:val="21"/>
  </w:num>
  <w:num w:numId="23">
    <w:abstractNumId w:val="13"/>
  </w:num>
  <w:num w:numId="24">
    <w:abstractNumId w:val="16"/>
  </w:num>
  <w:num w:numId="25">
    <w:abstractNumId w:val="28"/>
  </w:num>
  <w:num w:numId="26">
    <w:abstractNumId w:val="27"/>
  </w:num>
  <w:num w:numId="27">
    <w:abstractNumId w:val="19"/>
  </w:num>
  <w:num w:numId="28">
    <w:abstractNumId w:val="23"/>
  </w:num>
  <w:num w:numId="29">
    <w:abstractNumId w:val="14"/>
  </w:num>
  <w:num w:numId="3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3A"/>
    <w:rsid w:val="00002A7D"/>
    <w:rsid w:val="000038A8"/>
    <w:rsid w:val="00006790"/>
    <w:rsid w:val="00016B94"/>
    <w:rsid w:val="00027624"/>
    <w:rsid w:val="00034BE1"/>
    <w:rsid w:val="000465EE"/>
    <w:rsid w:val="00050F6B"/>
    <w:rsid w:val="000678CD"/>
    <w:rsid w:val="0007091A"/>
    <w:rsid w:val="00072C8C"/>
    <w:rsid w:val="00076429"/>
    <w:rsid w:val="00081CE0"/>
    <w:rsid w:val="00084D30"/>
    <w:rsid w:val="00087744"/>
    <w:rsid w:val="00090320"/>
    <w:rsid w:val="000931C0"/>
    <w:rsid w:val="000A2E09"/>
    <w:rsid w:val="000B175B"/>
    <w:rsid w:val="000B33CE"/>
    <w:rsid w:val="000B3A0F"/>
    <w:rsid w:val="000C16CE"/>
    <w:rsid w:val="000C7963"/>
    <w:rsid w:val="000D5CE6"/>
    <w:rsid w:val="000E027D"/>
    <w:rsid w:val="000E0415"/>
    <w:rsid w:val="000E2FF9"/>
    <w:rsid w:val="000E39E2"/>
    <w:rsid w:val="000E3DCF"/>
    <w:rsid w:val="000F39ED"/>
    <w:rsid w:val="000F56E2"/>
    <w:rsid w:val="000F7715"/>
    <w:rsid w:val="000F7B6F"/>
    <w:rsid w:val="000F7B76"/>
    <w:rsid w:val="00120124"/>
    <w:rsid w:val="001266F0"/>
    <w:rsid w:val="00156B99"/>
    <w:rsid w:val="00166124"/>
    <w:rsid w:val="00166158"/>
    <w:rsid w:val="0018490B"/>
    <w:rsid w:val="00184DDA"/>
    <w:rsid w:val="001900CD"/>
    <w:rsid w:val="001912AD"/>
    <w:rsid w:val="001A0452"/>
    <w:rsid w:val="001A3FA6"/>
    <w:rsid w:val="001A5750"/>
    <w:rsid w:val="001B4B04"/>
    <w:rsid w:val="001B5875"/>
    <w:rsid w:val="001C4B9C"/>
    <w:rsid w:val="001C6663"/>
    <w:rsid w:val="001C7895"/>
    <w:rsid w:val="001D26DF"/>
    <w:rsid w:val="001F1599"/>
    <w:rsid w:val="001F19C4"/>
    <w:rsid w:val="002043F0"/>
    <w:rsid w:val="00211E0B"/>
    <w:rsid w:val="0023098D"/>
    <w:rsid w:val="00232575"/>
    <w:rsid w:val="00233E8D"/>
    <w:rsid w:val="002373AF"/>
    <w:rsid w:val="002449F2"/>
    <w:rsid w:val="00247258"/>
    <w:rsid w:val="00247D90"/>
    <w:rsid w:val="00257CAC"/>
    <w:rsid w:val="0027126C"/>
    <w:rsid w:val="002974E9"/>
    <w:rsid w:val="002A4564"/>
    <w:rsid w:val="002A7F94"/>
    <w:rsid w:val="002B109A"/>
    <w:rsid w:val="002B2077"/>
    <w:rsid w:val="002C6D45"/>
    <w:rsid w:val="002D06FB"/>
    <w:rsid w:val="002D6E53"/>
    <w:rsid w:val="002E3E4B"/>
    <w:rsid w:val="002F046D"/>
    <w:rsid w:val="002F2C50"/>
    <w:rsid w:val="00301764"/>
    <w:rsid w:val="003225DB"/>
    <w:rsid w:val="003229D8"/>
    <w:rsid w:val="00336C97"/>
    <w:rsid w:val="00342432"/>
    <w:rsid w:val="00352D4B"/>
    <w:rsid w:val="0035638C"/>
    <w:rsid w:val="003709D8"/>
    <w:rsid w:val="00380A9A"/>
    <w:rsid w:val="003812A1"/>
    <w:rsid w:val="003A46BB"/>
    <w:rsid w:val="003A4EC7"/>
    <w:rsid w:val="003A7295"/>
    <w:rsid w:val="003B1F60"/>
    <w:rsid w:val="003C2CC4"/>
    <w:rsid w:val="003D4B23"/>
    <w:rsid w:val="003E278A"/>
    <w:rsid w:val="00413520"/>
    <w:rsid w:val="004325CB"/>
    <w:rsid w:val="00440A07"/>
    <w:rsid w:val="004506F7"/>
    <w:rsid w:val="00451982"/>
    <w:rsid w:val="00462880"/>
    <w:rsid w:val="00464F5C"/>
    <w:rsid w:val="00476F24"/>
    <w:rsid w:val="00494310"/>
    <w:rsid w:val="004951FF"/>
    <w:rsid w:val="004C4252"/>
    <w:rsid w:val="004C55B0"/>
    <w:rsid w:val="004C6B7B"/>
    <w:rsid w:val="004E17F2"/>
    <w:rsid w:val="004E517A"/>
    <w:rsid w:val="004F6BA0"/>
    <w:rsid w:val="00503BEA"/>
    <w:rsid w:val="00516A1F"/>
    <w:rsid w:val="00533616"/>
    <w:rsid w:val="00535ABA"/>
    <w:rsid w:val="0053768B"/>
    <w:rsid w:val="005420F2"/>
    <w:rsid w:val="0054285C"/>
    <w:rsid w:val="00546224"/>
    <w:rsid w:val="00557997"/>
    <w:rsid w:val="0056237B"/>
    <w:rsid w:val="00576B95"/>
    <w:rsid w:val="00584173"/>
    <w:rsid w:val="00591885"/>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23AD"/>
    <w:rsid w:val="006176FB"/>
    <w:rsid w:val="00630FCB"/>
    <w:rsid w:val="00636011"/>
    <w:rsid w:val="00640B26"/>
    <w:rsid w:val="00641130"/>
    <w:rsid w:val="006616A0"/>
    <w:rsid w:val="006770B2"/>
    <w:rsid w:val="006940E1"/>
    <w:rsid w:val="006A3C72"/>
    <w:rsid w:val="006A7392"/>
    <w:rsid w:val="006B03A1"/>
    <w:rsid w:val="006B67D9"/>
    <w:rsid w:val="006C5535"/>
    <w:rsid w:val="006D0196"/>
    <w:rsid w:val="006D0589"/>
    <w:rsid w:val="006D34A4"/>
    <w:rsid w:val="006D7F82"/>
    <w:rsid w:val="006E564B"/>
    <w:rsid w:val="006E7154"/>
    <w:rsid w:val="007003CD"/>
    <w:rsid w:val="0070701E"/>
    <w:rsid w:val="007070A5"/>
    <w:rsid w:val="0071067D"/>
    <w:rsid w:val="0072632A"/>
    <w:rsid w:val="00733047"/>
    <w:rsid w:val="007358E8"/>
    <w:rsid w:val="00736648"/>
    <w:rsid w:val="00736ECE"/>
    <w:rsid w:val="0074533B"/>
    <w:rsid w:val="007563BC"/>
    <w:rsid w:val="007643BC"/>
    <w:rsid w:val="0076548B"/>
    <w:rsid w:val="00767EA7"/>
    <w:rsid w:val="00776A28"/>
    <w:rsid w:val="007959FE"/>
    <w:rsid w:val="007A0CF1"/>
    <w:rsid w:val="007A30C9"/>
    <w:rsid w:val="007A4F40"/>
    <w:rsid w:val="007B22AF"/>
    <w:rsid w:val="007B6BA5"/>
    <w:rsid w:val="007C3390"/>
    <w:rsid w:val="007C42D8"/>
    <w:rsid w:val="007C4F4B"/>
    <w:rsid w:val="007D386C"/>
    <w:rsid w:val="007D7362"/>
    <w:rsid w:val="007F5CE2"/>
    <w:rsid w:val="007F6611"/>
    <w:rsid w:val="00803E9E"/>
    <w:rsid w:val="00810BAC"/>
    <w:rsid w:val="008175E9"/>
    <w:rsid w:val="008242D7"/>
    <w:rsid w:val="0082577B"/>
    <w:rsid w:val="00836651"/>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22E6"/>
    <w:rsid w:val="008B389E"/>
    <w:rsid w:val="008B7964"/>
    <w:rsid w:val="008D045E"/>
    <w:rsid w:val="008D3F25"/>
    <w:rsid w:val="008D4D82"/>
    <w:rsid w:val="008E0E46"/>
    <w:rsid w:val="008E47FA"/>
    <w:rsid w:val="008E7116"/>
    <w:rsid w:val="008F143B"/>
    <w:rsid w:val="008F3882"/>
    <w:rsid w:val="008F4B7C"/>
    <w:rsid w:val="00913AB7"/>
    <w:rsid w:val="00922E9C"/>
    <w:rsid w:val="009265B3"/>
    <w:rsid w:val="00926E47"/>
    <w:rsid w:val="00947162"/>
    <w:rsid w:val="0096375C"/>
    <w:rsid w:val="009662E6"/>
    <w:rsid w:val="0097095E"/>
    <w:rsid w:val="00972289"/>
    <w:rsid w:val="009769BE"/>
    <w:rsid w:val="0098592B"/>
    <w:rsid w:val="00985FC4"/>
    <w:rsid w:val="00990766"/>
    <w:rsid w:val="00991261"/>
    <w:rsid w:val="009964C4"/>
    <w:rsid w:val="009A7B81"/>
    <w:rsid w:val="009D01C0"/>
    <w:rsid w:val="009D6A08"/>
    <w:rsid w:val="009E0A16"/>
    <w:rsid w:val="009E7970"/>
    <w:rsid w:val="009F2EAC"/>
    <w:rsid w:val="009F57E3"/>
    <w:rsid w:val="00A10F4F"/>
    <w:rsid w:val="00A11067"/>
    <w:rsid w:val="00A1704A"/>
    <w:rsid w:val="00A2442C"/>
    <w:rsid w:val="00A425EB"/>
    <w:rsid w:val="00A65B63"/>
    <w:rsid w:val="00A72F22"/>
    <w:rsid w:val="00A733BC"/>
    <w:rsid w:val="00A748A6"/>
    <w:rsid w:val="00A76A69"/>
    <w:rsid w:val="00A7754D"/>
    <w:rsid w:val="00A879A4"/>
    <w:rsid w:val="00AB2A4A"/>
    <w:rsid w:val="00AB4C4E"/>
    <w:rsid w:val="00AC0F2C"/>
    <w:rsid w:val="00AC502A"/>
    <w:rsid w:val="00AC57E1"/>
    <w:rsid w:val="00AD58F0"/>
    <w:rsid w:val="00AE2B9E"/>
    <w:rsid w:val="00AF58C1"/>
    <w:rsid w:val="00B06643"/>
    <w:rsid w:val="00B15055"/>
    <w:rsid w:val="00B30179"/>
    <w:rsid w:val="00B33A88"/>
    <w:rsid w:val="00B37B15"/>
    <w:rsid w:val="00B45C02"/>
    <w:rsid w:val="00B53C63"/>
    <w:rsid w:val="00B567C4"/>
    <w:rsid w:val="00B72A1E"/>
    <w:rsid w:val="00B8037B"/>
    <w:rsid w:val="00B81E12"/>
    <w:rsid w:val="00B86AF2"/>
    <w:rsid w:val="00BA1401"/>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358C"/>
    <w:rsid w:val="00C252A1"/>
    <w:rsid w:val="00C463DD"/>
    <w:rsid w:val="00C745C3"/>
    <w:rsid w:val="00CA24A4"/>
    <w:rsid w:val="00CA2D39"/>
    <w:rsid w:val="00CB348D"/>
    <w:rsid w:val="00CC149A"/>
    <w:rsid w:val="00CC2D3A"/>
    <w:rsid w:val="00CC4EDE"/>
    <w:rsid w:val="00CD2893"/>
    <w:rsid w:val="00CD318B"/>
    <w:rsid w:val="00CD46F5"/>
    <w:rsid w:val="00CE4A8F"/>
    <w:rsid w:val="00CF071D"/>
    <w:rsid w:val="00D07C39"/>
    <w:rsid w:val="00D07EE8"/>
    <w:rsid w:val="00D15B04"/>
    <w:rsid w:val="00D2031B"/>
    <w:rsid w:val="00D25FE2"/>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30877"/>
    <w:rsid w:val="00E423C0"/>
    <w:rsid w:val="00E450D1"/>
    <w:rsid w:val="00E6414C"/>
    <w:rsid w:val="00E7260F"/>
    <w:rsid w:val="00E77B38"/>
    <w:rsid w:val="00E8702D"/>
    <w:rsid w:val="00E916A9"/>
    <w:rsid w:val="00E916DE"/>
    <w:rsid w:val="00E96630"/>
    <w:rsid w:val="00EB4472"/>
    <w:rsid w:val="00ED0059"/>
    <w:rsid w:val="00ED18DC"/>
    <w:rsid w:val="00ED6201"/>
    <w:rsid w:val="00ED7A2A"/>
    <w:rsid w:val="00EF1D7F"/>
    <w:rsid w:val="00F0137E"/>
    <w:rsid w:val="00F035E5"/>
    <w:rsid w:val="00F17B25"/>
    <w:rsid w:val="00F21786"/>
    <w:rsid w:val="00F3742B"/>
    <w:rsid w:val="00F56D63"/>
    <w:rsid w:val="00F609A9"/>
    <w:rsid w:val="00F75677"/>
    <w:rsid w:val="00F80C99"/>
    <w:rsid w:val="00F8330E"/>
    <w:rsid w:val="00F867EC"/>
    <w:rsid w:val="00F91B2B"/>
    <w:rsid w:val="00FB205F"/>
    <w:rsid w:val="00FB297D"/>
    <w:rsid w:val="00FC03CD"/>
    <w:rsid w:val="00FC0646"/>
    <w:rsid w:val="00FC509F"/>
    <w:rsid w:val="00FC68B7"/>
    <w:rsid w:val="00FD3520"/>
    <w:rsid w:val="00FE6985"/>
    <w:rsid w:val="00FF0A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CB7D"/>
  <w15:chartTrackingRefBased/>
  <w15:docId w15:val="{8EDE2190-AEDA-4AFF-B90C-A1C89F28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D3A"/>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rsid w:val="00ED005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ED0059"/>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ED0059"/>
    <w:pPr>
      <w:keepNext/>
      <w:keepLines/>
      <w:tabs>
        <w:tab w:val="right" w:pos="851"/>
      </w:tabs>
      <w:spacing w:before="240" w:after="120" w:line="240" w:lineRule="exact"/>
      <w:ind w:left="1134" w:right="1134" w:hanging="1134"/>
      <w:outlineLvl w:val="5"/>
    </w:pPr>
  </w:style>
  <w:style w:type="paragraph" w:customStyle="1" w:styleId="H1G">
    <w:name w:val="_ H_1_G"/>
    <w:basedOn w:val="Normal"/>
    <w:next w:val="Normal"/>
    <w:rsid w:val="00ED005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ED005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ED0059"/>
    <w:pPr>
      <w:keepNext/>
      <w:keepLines/>
      <w:tabs>
        <w:tab w:val="right" w:pos="851"/>
      </w:tabs>
      <w:spacing w:before="240" w:after="120" w:line="240" w:lineRule="exact"/>
      <w:ind w:left="1134" w:right="1134" w:hanging="1134"/>
      <w:outlineLvl w:val="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customStyle="1" w:styleId="SingleTxtGDraft12">
    <w:name w:val="_ Single Txt_G_Draft_12"/>
    <w:basedOn w:val="SingleTxtG"/>
    <w:qFormat/>
    <w:rsid w:val="004E17F2"/>
    <w:rPr>
      <w:sz w:val="24"/>
      <w:szCs w:val="24"/>
    </w:rPr>
  </w:style>
  <w:style w:type="paragraph" w:customStyle="1" w:styleId="SingleTxtGDraft14">
    <w:name w:val="_ Single Txt_G_Draft_14"/>
    <w:basedOn w:val="SingleTxtGDraft12"/>
    <w:qFormat/>
    <w:rsid w:val="004E17F2"/>
    <w:rPr>
      <w:sz w:val="28"/>
    </w:rPr>
  </w:style>
  <w:style w:type="paragraph" w:customStyle="1" w:styleId="SINGLETEXTDRAFT">
    <w:name w:val="SINGLETEXTDRAFT"/>
    <w:basedOn w:val="SingleTxtG"/>
    <w:qFormat/>
    <w:rsid w:val="00AB4C4E"/>
  </w:style>
  <w:style w:type="paragraph" w:customStyle="1" w:styleId="UHRIManualChapter">
    <w:name w:val="UHRI_Manual_Chapter"/>
    <w:basedOn w:val="Heading1"/>
    <w:qFormat/>
    <w:rsid w:val="008B22E6"/>
    <w:pPr>
      <w:numPr>
        <w:numId w:val="20"/>
      </w:numPr>
      <w:spacing w:after="120"/>
    </w:pPr>
    <w:rPr>
      <w:b/>
      <w:bCs/>
      <w:sz w:val="28"/>
      <w:szCs w:val="28"/>
      <w:u w:val="single"/>
    </w:rPr>
  </w:style>
  <w:style w:type="paragraph" w:customStyle="1" w:styleId="UHRIManualAnnex">
    <w:name w:val="UHRI_Manual_Annex"/>
    <w:basedOn w:val="UHRIManualChapter"/>
    <w:qFormat/>
    <w:rsid w:val="008B22E6"/>
    <w:pPr>
      <w:numPr>
        <w:numId w:val="0"/>
      </w:numPr>
    </w:pPr>
    <w:rPr>
      <w:lang w:val="es-ES"/>
    </w:rPr>
  </w:style>
  <w:style w:type="paragraph" w:customStyle="1" w:styleId="UHRIManualLevel2">
    <w:name w:val="UHRI_Manual_Level_2"/>
    <w:basedOn w:val="Normal"/>
    <w:qFormat/>
    <w:rsid w:val="008B22E6"/>
    <w:rPr>
      <w:rFonts w:ascii="Times New Roman Bold" w:hAnsi="Times New Roman Bold"/>
      <w:b/>
      <w:sz w:val="24"/>
      <w:szCs w:val="24"/>
    </w:rPr>
  </w:style>
  <w:style w:type="paragraph" w:customStyle="1" w:styleId="Style1">
    <w:name w:val="Style1"/>
    <w:basedOn w:val="Normal"/>
    <w:qFormat/>
    <w:rsid w:val="008B22E6"/>
    <w:pPr>
      <w:numPr>
        <w:ilvl w:val="1"/>
        <w:numId w:val="22"/>
      </w:numPr>
    </w:pPr>
    <w:rPr>
      <w:rFonts w:ascii="Times New Roman Bold" w:hAnsi="Times New Roman Bold"/>
      <w:b/>
      <w:sz w:val="24"/>
    </w:rPr>
  </w:style>
  <w:style w:type="numbering" w:customStyle="1" w:styleId="UPRThematic">
    <w:name w:val="UPR_Thematic"/>
    <w:uiPriority w:val="99"/>
    <w:rsid w:val="00BA1401"/>
    <w:pPr>
      <w:numPr>
        <w:numId w:val="23"/>
      </w:numPr>
    </w:pPr>
  </w:style>
  <w:style w:type="character" w:customStyle="1" w:styleId="HeaderChar">
    <w:name w:val="Header Char"/>
    <w:aliases w:val="6_G Char"/>
    <w:basedOn w:val="DefaultParagraphFont"/>
    <w:link w:val="Header"/>
    <w:uiPriority w:val="99"/>
    <w:rsid w:val="00CC2D3A"/>
    <w:rPr>
      <w:b/>
      <w:sz w:val="18"/>
      <w:lang w:eastAsia="en-US"/>
    </w:rPr>
  </w:style>
  <w:style w:type="paragraph" w:styleId="ListParagraph">
    <w:name w:val="List Paragraph"/>
    <w:basedOn w:val="Normal"/>
    <w:uiPriority w:val="34"/>
    <w:qFormat/>
    <w:rsid w:val="00CC2D3A"/>
    <w:pPr>
      <w:ind w:left="720"/>
      <w:contextualSpacing/>
    </w:pPr>
  </w:style>
  <w:style w:type="character" w:customStyle="1" w:styleId="FootnoteTextChar">
    <w:name w:val="Footnote Text Char"/>
    <w:aliases w:val="5_G Char"/>
    <w:basedOn w:val="DefaultParagraphFont"/>
    <w:link w:val="FootnoteText"/>
    <w:uiPriority w:val="99"/>
    <w:rsid w:val="000E027D"/>
    <w:rPr>
      <w:sz w:val="18"/>
      <w:lang w:eastAsia="en-US"/>
    </w:rPr>
  </w:style>
  <w:style w:type="paragraph" w:styleId="NormalWeb">
    <w:name w:val="Normal (Web)"/>
    <w:basedOn w:val="Normal"/>
    <w:uiPriority w:val="99"/>
    <w:semiHidden/>
    <w:unhideWhenUsed/>
    <w:rsid w:val="006616A0"/>
    <w:pPr>
      <w:suppressAutoHyphens w:val="0"/>
      <w:spacing w:before="100" w:beforeAutospacing="1" w:after="100" w:afterAutospacing="1" w:line="240" w:lineRule="auto"/>
    </w:pPr>
    <w:rPr>
      <w:sz w:val="24"/>
      <w:szCs w:val="24"/>
      <w:lang w:eastAsia="en-GB"/>
    </w:rPr>
  </w:style>
  <w:style w:type="character" w:styleId="UnresolvedMention">
    <w:name w:val="Unresolved Mention"/>
    <w:basedOn w:val="DefaultParagraphFont"/>
    <w:uiPriority w:val="99"/>
    <w:semiHidden/>
    <w:unhideWhenUsed/>
    <w:rsid w:val="00733047"/>
    <w:rPr>
      <w:color w:val="605E5C"/>
      <w:shd w:val="clear" w:color="auto" w:fill="E1DFDD"/>
    </w:rPr>
  </w:style>
  <w:style w:type="paragraph" w:customStyle="1" w:styleId="Default">
    <w:name w:val="Default"/>
    <w:rsid w:val="00D07EE8"/>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AD58F0"/>
    <w:rPr>
      <w:sz w:val="16"/>
      <w:szCs w:val="16"/>
    </w:rPr>
  </w:style>
  <w:style w:type="paragraph" w:styleId="CommentText">
    <w:name w:val="annotation text"/>
    <w:basedOn w:val="Normal"/>
    <w:link w:val="CommentTextChar"/>
    <w:semiHidden/>
    <w:unhideWhenUsed/>
    <w:rsid w:val="00AD58F0"/>
    <w:pPr>
      <w:spacing w:line="240" w:lineRule="auto"/>
    </w:pPr>
  </w:style>
  <w:style w:type="character" w:customStyle="1" w:styleId="CommentTextChar">
    <w:name w:val="Comment Text Char"/>
    <w:basedOn w:val="DefaultParagraphFont"/>
    <w:link w:val="CommentText"/>
    <w:semiHidden/>
    <w:rsid w:val="00AD58F0"/>
    <w:rPr>
      <w:lang w:eastAsia="en-US"/>
    </w:rPr>
  </w:style>
  <w:style w:type="paragraph" w:styleId="CommentSubject">
    <w:name w:val="annotation subject"/>
    <w:basedOn w:val="CommentText"/>
    <w:next w:val="CommentText"/>
    <w:link w:val="CommentSubjectChar"/>
    <w:semiHidden/>
    <w:unhideWhenUsed/>
    <w:rsid w:val="00AD58F0"/>
    <w:rPr>
      <w:b/>
      <w:bCs/>
    </w:rPr>
  </w:style>
  <w:style w:type="character" w:customStyle="1" w:styleId="CommentSubjectChar">
    <w:name w:val="Comment Subject Char"/>
    <w:basedOn w:val="CommentTextChar"/>
    <w:link w:val="CommentSubject"/>
    <w:semiHidden/>
    <w:rsid w:val="00AD58F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UPR/Pages/UPR-NGOs-Mid-term-report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hchr.org/EN/HRBodies/UPR/Pages/UPR-UN-Mid-term-reports.aspx" TargetMode="External"/><Relationship Id="rId4" Type="http://schemas.openxmlformats.org/officeDocument/2006/relationships/settings" Target="settings.xml"/><Relationship Id="rId9" Type="http://schemas.openxmlformats.org/officeDocument/2006/relationships/hyperlink" Target="https://www.ohchr.org/EN/HRBodies/UPR/Pages/UPR-NHRIs-Mid-term-report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sites/default/files/Documents/HRBodies/UPR/Emerging_UPR_GoodPract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FC11-C955-4904-A0E4-BED5602D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Klok</dc:creator>
  <cp:keywords/>
  <dc:description/>
  <cp:lastModifiedBy>Jeroen</cp:lastModifiedBy>
  <cp:revision>7</cp:revision>
  <cp:lastPrinted>2009-02-18T10:36:00Z</cp:lastPrinted>
  <dcterms:created xsi:type="dcterms:W3CDTF">2022-10-10T11:29:00Z</dcterms:created>
  <dcterms:modified xsi:type="dcterms:W3CDTF">2022-10-11T12:00:00Z</dcterms:modified>
</cp:coreProperties>
</file>