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29C0F077" w14:textId="77777777" w:rsidTr="00562621">
        <w:trPr>
          <w:trHeight w:val="851"/>
        </w:trPr>
        <w:tc>
          <w:tcPr>
            <w:tcW w:w="1259" w:type="dxa"/>
            <w:tcBorders>
              <w:top w:val="nil"/>
              <w:left w:val="nil"/>
              <w:bottom w:val="single" w:sz="4" w:space="0" w:color="auto"/>
              <w:right w:val="nil"/>
            </w:tcBorders>
          </w:tcPr>
          <w:p w14:paraId="27B18DD0"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619A1AF5" w14:textId="276E6CEC"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70092442" w14:textId="7B4FD9B3" w:rsidR="00446DE4" w:rsidRPr="00DE3EC0" w:rsidRDefault="003F48EB" w:rsidP="003F48EB">
            <w:pPr>
              <w:jc w:val="right"/>
            </w:pPr>
            <w:r w:rsidRPr="003F48EB">
              <w:rPr>
                <w:sz w:val="40"/>
              </w:rPr>
              <w:t>A</w:t>
            </w:r>
            <w:r>
              <w:t>/HRC/52/13/Add.1</w:t>
            </w:r>
          </w:p>
        </w:tc>
      </w:tr>
      <w:tr w:rsidR="003107FA" w14:paraId="1CC2C740" w14:textId="77777777" w:rsidTr="00562621">
        <w:trPr>
          <w:trHeight w:val="2835"/>
        </w:trPr>
        <w:tc>
          <w:tcPr>
            <w:tcW w:w="1259" w:type="dxa"/>
            <w:tcBorders>
              <w:top w:val="single" w:sz="4" w:space="0" w:color="auto"/>
              <w:left w:val="nil"/>
              <w:bottom w:val="single" w:sz="12" w:space="0" w:color="auto"/>
              <w:right w:val="nil"/>
            </w:tcBorders>
          </w:tcPr>
          <w:p w14:paraId="69D5BBB3" w14:textId="161B112B"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478EC441" w14:textId="626D67CA" w:rsidR="003107FA" w:rsidRPr="00B3317B" w:rsidRDefault="00875901" w:rsidP="00562621">
            <w:pPr>
              <w:spacing w:before="120" w:line="420" w:lineRule="exact"/>
              <w:rPr>
                <w:b/>
                <w:sz w:val="40"/>
                <w:szCs w:val="40"/>
              </w:rPr>
            </w:pPr>
            <w:r>
              <w:rPr>
                <w:b/>
                <w:sz w:val="40"/>
                <w:szCs w:val="40"/>
              </w:rPr>
              <w:t>Advance Version</w:t>
            </w:r>
            <w:bookmarkStart w:id="0" w:name="_GoBack"/>
            <w:bookmarkEnd w:id="0"/>
          </w:p>
        </w:tc>
        <w:tc>
          <w:tcPr>
            <w:tcW w:w="2930" w:type="dxa"/>
            <w:tcBorders>
              <w:top w:val="single" w:sz="4" w:space="0" w:color="auto"/>
              <w:left w:val="nil"/>
              <w:bottom w:val="single" w:sz="12" w:space="0" w:color="auto"/>
              <w:right w:val="nil"/>
            </w:tcBorders>
          </w:tcPr>
          <w:p w14:paraId="6880E5EF" w14:textId="77777777" w:rsidR="003107FA" w:rsidRDefault="003F48EB" w:rsidP="003F48EB">
            <w:pPr>
              <w:spacing w:before="240" w:line="240" w:lineRule="exact"/>
            </w:pPr>
            <w:r>
              <w:t>Distr.: General</w:t>
            </w:r>
          </w:p>
          <w:p w14:paraId="3E276913" w14:textId="2F426B1D" w:rsidR="003F48EB" w:rsidRDefault="003F48EB" w:rsidP="003F48EB">
            <w:pPr>
              <w:spacing w:line="240" w:lineRule="exact"/>
            </w:pPr>
            <w:r>
              <w:t>1</w:t>
            </w:r>
            <w:r w:rsidR="001A1342">
              <w:t>4</w:t>
            </w:r>
            <w:r>
              <w:t xml:space="preserve"> February 2023</w:t>
            </w:r>
          </w:p>
          <w:p w14:paraId="7E891F2B" w14:textId="77777777" w:rsidR="003F48EB" w:rsidRDefault="003F48EB" w:rsidP="003F48EB">
            <w:pPr>
              <w:spacing w:line="240" w:lineRule="exact"/>
            </w:pPr>
          </w:p>
          <w:p w14:paraId="4B0BBF9D" w14:textId="6D7DBA97" w:rsidR="003F48EB" w:rsidRDefault="003F48EB" w:rsidP="003F48EB">
            <w:pPr>
              <w:spacing w:line="240" w:lineRule="exact"/>
            </w:pPr>
            <w:r>
              <w:t>Original: English</w:t>
            </w:r>
          </w:p>
        </w:tc>
      </w:tr>
    </w:tbl>
    <w:p w14:paraId="15E11FD1" w14:textId="77777777" w:rsidR="003F48EB" w:rsidRPr="006C7248" w:rsidRDefault="003F48EB" w:rsidP="003F48EB">
      <w:pPr>
        <w:spacing w:before="120"/>
        <w:rPr>
          <w:b/>
          <w:bCs/>
          <w:sz w:val="24"/>
          <w:szCs w:val="24"/>
        </w:rPr>
      </w:pPr>
      <w:r w:rsidRPr="006C7248">
        <w:rPr>
          <w:b/>
          <w:bCs/>
          <w:sz w:val="24"/>
          <w:szCs w:val="24"/>
        </w:rPr>
        <w:t>Human Rights Council</w:t>
      </w:r>
      <w:r>
        <w:rPr>
          <w:noProof/>
          <w:lang w:eastAsia="en-GB"/>
        </w:rPr>
        <mc:AlternateContent>
          <mc:Choice Requires="wps">
            <w:drawing>
              <wp:anchor distT="0" distB="0" distL="114300" distR="114300" simplePos="0" relativeHeight="251659264" behindDoc="0" locked="0" layoutInCell="1" allowOverlap="0" wp14:anchorId="4D75EB70" wp14:editId="3FD60606">
                <wp:simplePos x="0" y="0"/>
                <wp:positionH relativeFrom="margin">
                  <wp:posOffset>5489575</wp:posOffset>
                </wp:positionH>
                <wp:positionV relativeFrom="margin">
                  <wp:posOffset>8027670</wp:posOffset>
                </wp:positionV>
                <wp:extent cx="638175" cy="638175"/>
                <wp:effectExtent l="0" t="0" r="0" b="9525"/>
                <wp:wrapNone/>
                <wp:docPr id="2" name="Rectangle 2"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1A7BE74" id="Rectangle 2" o:spid="_x0000_s1026" alt="Add" style="position:absolute;margin-left:432.25pt;margin-top:632.1pt;width:50.2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" o:allowoverlap="f" filled="f" stroked="f">
                <o:lock v:ext="edit" aspectratio="t"/>
                <w10:wrap anchorx="margin" anchory="margin"/>
              </v:rect>
            </w:pict>
          </mc:Fallback>
        </mc:AlternateContent>
      </w:r>
    </w:p>
    <w:p w14:paraId="788E4C98" w14:textId="7DBC7353" w:rsidR="003F48EB" w:rsidRDefault="003F48EB" w:rsidP="003F48EB">
      <w:pPr>
        <w:rPr>
          <w:b/>
          <w:bCs/>
        </w:rPr>
      </w:pPr>
      <w:r>
        <w:rPr>
          <w:b/>
          <w:bCs/>
        </w:rPr>
        <w:t>Fifty-second</w:t>
      </w:r>
      <w:r w:rsidRPr="006C7248">
        <w:rPr>
          <w:b/>
          <w:bCs/>
        </w:rPr>
        <w:t xml:space="preserve"> session</w:t>
      </w:r>
    </w:p>
    <w:p w14:paraId="061D61DA" w14:textId="7933F04D" w:rsidR="003F48EB" w:rsidRPr="00E8346E" w:rsidRDefault="003F48EB" w:rsidP="003F48EB">
      <w:pPr>
        <w:rPr>
          <w:bCs/>
        </w:rPr>
      </w:pPr>
      <w:r>
        <w:rPr>
          <w:bCs/>
        </w:rPr>
        <w:t>27 February–31 March 2023</w:t>
      </w:r>
    </w:p>
    <w:p w14:paraId="303F9AC6" w14:textId="77777777" w:rsidR="003F48EB" w:rsidRPr="006C7248" w:rsidRDefault="003F48EB" w:rsidP="003F48EB">
      <w:r w:rsidRPr="006C7248">
        <w:t>Agenda item 6</w:t>
      </w:r>
    </w:p>
    <w:p w14:paraId="132168B6" w14:textId="77777777" w:rsidR="003F48EB" w:rsidRPr="006C7248" w:rsidRDefault="003F48EB" w:rsidP="003F48EB">
      <w:pPr>
        <w:rPr>
          <w:b/>
        </w:rPr>
      </w:pPr>
      <w:r>
        <w:rPr>
          <w:b/>
        </w:rPr>
        <w:t>Universal periodic r</w:t>
      </w:r>
      <w:r w:rsidRPr="006C7248">
        <w:rPr>
          <w:b/>
        </w:rPr>
        <w:t>eview</w:t>
      </w:r>
    </w:p>
    <w:p w14:paraId="03BACC3D" w14:textId="77777777" w:rsidR="003F48EB" w:rsidRPr="006C7248" w:rsidRDefault="003F48EB" w:rsidP="003F48EB">
      <w:pPr>
        <w:keepNext/>
        <w:keepLines/>
        <w:tabs>
          <w:tab w:val="right" w:pos="851"/>
        </w:tabs>
        <w:spacing w:before="360" w:after="240" w:line="300" w:lineRule="exact"/>
        <w:ind w:left="1134" w:right="1134" w:hanging="1134"/>
        <w:rPr>
          <w:b/>
          <w:sz w:val="28"/>
        </w:rPr>
      </w:pPr>
      <w:r w:rsidRPr="006C7248">
        <w:rPr>
          <w:b/>
          <w:sz w:val="28"/>
        </w:rPr>
        <w:tab/>
      </w:r>
      <w:r w:rsidRPr="006C7248">
        <w:rPr>
          <w:b/>
          <w:sz w:val="28"/>
        </w:rPr>
        <w:tab/>
        <w:t>Report of the Working Group on the Universal Periodic Review</w:t>
      </w:r>
      <w:r w:rsidRPr="00221F52">
        <w:footnoteReference w:customMarkFollows="1" w:id="2"/>
        <w:t>*</w:t>
      </w:r>
    </w:p>
    <w:p w14:paraId="3039E387" w14:textId="5C9BE9D3" w:rsidR="003F48EB" w:rsidRPr="006C7248" w:rsidRDefault="003F48EB" w:rsidP="003F48EB">
      <w:pPr>
        <w:keepNext/>
        <w:keepLines/>
        <w:tabs>
          <w:tab w:val="right" w:pos="851"/>
        </w:tabs>
        <w:spacing w:before="360" w:after="240" w:line="300" w:lineRule="exact"/>
        <w:ind w:left="1134" w:right="1134" w:hanging="1134"/>
        <w:rPr>
          <w:b/>
          <w:sz w:val="28"/>
        </w:rPr>
      </w:pPr>
      <w:r>
        <w:rPr>
          <w:b/>
          <w:sz w:val="28"/>
        </w:rPr>
        <w:tab/>
      </w:r>
      <w:r>
        <w:rPr>
          <w:b/>
          <w:sz w:val="28"/>
        </w:rPr>
        <w:tab/>
        <w:t>Philippines</w:t>
      </w:r>
    </w:p>
    <w:p w14:paraId="37DA81B1" w14:textId="77777777" w:rsidR="003F48EB" w:rsidRPr="006C7248" w:rsidRDefault="003F48EB" w:rsidP="003F48EB">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Addendum</w:t>
      </w:r>
    </w:p>
    <w:p w14:paraId="54AE405C" w14:textId="77777777" w:rsidR="003F48EB" w:rsidRPr="006C7248" w:rsidRDefault="003F48EB" w:rsidP="003F48EB">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Views on conclusions and/or recommendations, voluntary commitments and replies presented by the State under review</w:t>
      </w:r>
    </w:p>
    <w:p w14:paraId="444FD09A" w14:textId="4D53AA4D" w:rsidR="003F48EB" w:rsidRPr="003F48EB" w:rsidRDefault="003F48EB" w:rsidP="006E48A8">
      <w:pPr>
        <w:pStyle w:val="SingleTxtG"/>
        <w:rPr>
          <w:lang w:val="en-US"/>
        </w:rPr>
      </w:pPr>
      <w:r w:rsidRPr="006C7248">
        <w:br w:type="page"/>
      </w:r>
      <w:r w:rsidR="006E48A8">
        <w:lastRenderedPageBreak/>
        <w:t>1.</w:t>
      </w:r>
      <w:r w:rsidR="006E48A8">
        <w:tab/>
      </w:r>
      <w:r w:rsidRPr="003F48EB">
        <w:rPr>
          <w:lang w:val="en-US"/>
        </w:rPr>
        <w:t>The Government of the Republic of the Philippines (GPH) presents its final responses and actions on the recommendations arising from its 4th cycle Universal Periodic Review (UPR) on 14 November 2022.</w:t>
      </w:r>
    </w:p>
    <w:p w14:paraId="0C63D0E7" w14:textId="1DB92C43" w:rsidR="003F48EB" w:rsidRPr="003F48EB" w:rsidRDefault="006E48A8" w:rsidP="006E48A8">
      <w:pPr>
        <w:pStyle w:val="SingleTxtG"/>
        <w:rPr>
          <w:lang w:val="en-US"/>
        </w:rPr>
      </w:pPr>
      <w:r>
        <w:rPr>
          <w:lang w:val="en-US"/>
        </w:rPr>
        <w:t>2.</w:t>
      </w:r>
      <w:r>
        <w:rPr>
          <w:lang w:val="en-US"/>
        </w:rPr>
        <w:tab/>
      </w:r>
      <w:r w:rsidR="003F48EB" w:rsidRPr="003F48EB">
        <w:rPr>
          <w:lang w:val="en-US"/>
        </w:rPr>
        <w:t>Of the 289 recommendations received by the GPH in this review cycle, 200 were accepted outright and reported during the 41</w:t>
      </w:r>
      <w:r w:rsidR="003F48EB" w:rsidRPr="003F48EB">
        <w:rPr>
          <w:vertAlign w:val="superscript"/>
          <w:lang w:val="en-US"/>
        </w:rPr>
        <w:t>st</w:t>
      </w:r>
      <w:r w:rsidR="003F48EB" w:rsidRPr="003F48EB">
        <w:rPr>
          <w:lang w:val="en-US"/>
        </w:rPr>
        <w:t xml:space="preserve"> session on the UPR Working Group of the UN Human Rights Council on 16 November 2022. These accepted recommendations fall within the scope of relevant GPH human rights policies, programs, and initiatives already in place and reinforce progress in their implementation, as follows</w:t>
      </w:r>
      <w:r>
        <w:rPr>
          <w:lang w:val="en-US"/>
        </w:rPr>
        <w:t>:</w:t>
      </w:r>
    </w:p>
    <w:p w14:paraId="6C3ABF91" w14:textId="77777777" w:rsidR="006E48A8" w:rsidRDefault="006E48A8" w:rsidP="006E48A8">
      <w:pPr>
        <w:pStyle w:val="SingleTxtG"/>
        <w:rPr>
          <w:lang w:val="en-US"/>
        </w:rPr>
      </w:pPr>
      <w:r>
        <w:rPr>
          <w:lang w:val="en-US"/>
        </w:rPr>
        <w:tab/>
      </w:r>
      <w:r>
        <w:rPr>
          <w:lang w:val="en-US"/>
        </w:rPr>
        <w:tab/>
        <w:t>(a)</w:t>
      </w:r>
      <w:r>
        <w:rPr>
          <w:lang w:val="en-US"/>
        </w:rPr>
        <w:tab/>
      </w:r>
      <w:r w:rsidR="003F48EB" w:rsidRPr="003F48EB">
        <w:rPr>
          <w:lang w:val="en-US"/>
        </w:rPr>
        <w:t>On implementing the Philippine Human Rights Plan;</w:t>
      </w:r>
    </w:p>
    <w:p w14:paraId="305213E3" w14:textId="5EB7E041" w:rsidR="003F48EB" w:rsidRPr="003F48EB" w:rsidRDefault="006E48A8" w:rsidP="006E48A8">
      <w:pPr>
        <w:pStyle w:val="SingleTxtG"/>
        <w:rPr>
          <w:lang w:val="en-US"/>
        </w:rPr>
      </w:pPr>
      <w:r>
        <w:rPr>
          <w:lang w:val="en-US"/>
        </w:rPr>
        <w:tab/>
      </w:r>
      <w:r>
        <w:rPr>
          <w:lang w:val="en-US"/>
        </w:rPr>
        <w:tab/>
        <w:t>(b)</w:t>
      </w:r>
      <w:r>
        <w:rPr>
          <w:lang w:val="en-US"/>
        </w:rPr>
        <w:tab/>
      </w:r>
      <w:r w:rsidR="003F48EB" w:rsidRPr="003F48EB">
        <w:rPr>
          <w:lang w:val="en-US"/>
        </w:rPr>
        <w:t xml:space="preserve">On implementing the UN Joint </w:t>
      </w:r>
      <w:proofErr w:type="spellStart"/>
      <w:r w:rsidR="003F48EB" w:rsidRPr="003F48EB">
        <w:rPr>
          <w:lang w:val="en-US"/>
        </w:rPr>
        <w:t>Programme</w:t>
      </w:r>
      <w:proofErr w:type="spellEnd"/>
      <w:r w:rsidR="003F48EB" w:rsidRPr="003F48EB">
        <w:rPr>
          <w:lang w:val="en-US"/>
        </w:rPr>
        <w:t xml:space="preserve"> on Human Rights;</w:t>
      </w:r>
    </w:p>
    <w:p w14:paraId="57D1C9B9" w14:textId="7EA1B808" w:rsidR="003F48EB" w:rsidRPr="003F48EB" w:rsidRDefault="006E48A8" w:rsidP="006E48A8">
      <w:pPr>
        <w:pStyle w:val="SingleTxtG"/>
        <w:rPr>
          <w:lang w:val="en-US"/>
        </w:rPr>
      </w:pPr>
      <w:r>
        <w:rPr>
          <w:lang w:val="en-US"/>
        </w:rPr>
        <w:tab/>
      </w:r>
      <w:r>
        <w:rPr>
          <w:lang w:val="en-US"/>
        </w:rPr>
        <w:tab/>
        <w:t>(c)</w:t>
      </w:r>
      <w:r>
        <w:rPr>
          <w:lang w:val="en-US"/>
        </w:rPr>
        <w:tab/>
      </w:r>
      <w:r w:rsidR="003F48EB" w:rsidRPr="003F48EB">
        <w:rPr>
          <w:lang w:val="en-US"/>
        </w:rPr>
        <w:t>On promoting the rights to education, health, and adequate standard of living;</w:t>
      </w:r>
    </w:p>
    <w:p w14:paraId="2634AB61" w14:textId="130650F5" w:rsidR="003F48EB" w:rsidRPr="003F48EB" w:rsidRDefault="006E48A8" w:rsidP="006E48A8">
      <w:pPr>
        <w:pStyle w:val="SingleTxtG"/>
        <w:rPr>
          <w:lang w:val="en-US"/>
        </w:rPr>
      </w:pPr>
      <w:r>
        <w:rPr>
          <w:lang w:val="en-US"/>
        </w:rPr>
        <w:tab/>
      </w:r>
      <w:r>
        <w:rPr>
          <w:lang w:val="en-US"/>
        </w:rPr>
        <w:tab/>
        <w:t>(d)</w:t>
      </w:r>
      <w:r>
        <w:rPr>
          <w:lang w:val="en-US"/>
        </w:rPr>
        <w:tab/>
      </w:r>
      <w:r w:rsidR="003F48EB" w:rsidRPr="003F48EB">
        <w:rPr>
          <w:lang w:val="en-US"/>
        </w:rPr>
        <w:t>On upholding the rights of persons with disabilities, indigenous peoples, women, children, refugees, and stateless persons;</w:t>
      </w:r>
    </w:p>
    <w:p w14:paraId="4D9F74AA" w14:textId="10AD79F6" w:rsidR="003F48EB" w:rsidRPr="003F48EB" w:rsidRDefault="006E48A8" w:rsidP="006E48A8">
      <w:pPr>
        <w:pStyle w:val="SingleTxtG"/>
        <w:rPr>
          <w:lang w:val="en-US"/>
        </w:rPr>
      </w:pPr>
      <w:r>
        <w:rPr>
          <w:lang w:val="en-US"/>
        </w:rPr>
        <w:tab/>
      </w:r>
      <w:r>
        <w:rPr>
          <w:lang w:val="en-US"/>
        </w:rPr>
        <w:tab/>
        <w:t>(e)</w:t>
      </w:r>
      <w:r>
        <w:rPr>
          <w:lang w:val="en-US"/>
        </w:rPr>
        <w:tab/>
      </w:r>
      <w:r w:rsidR="003F48EB" w:rsidRPr="003F48EB">
        <w:rPr>
          <w:lang w:val="en-US"/>
        </w:rPr>
        <w:t>On combating discrimination and gender-based violence;</w:t>
      </w:r>
    </w:p>
    <w:p w14:paraId="794B8215" w14:textId="2FEAC02E" w:rsidR="003F48EB" w:rsidRPr="003F48EB" w:rsidRDefault="006E48A8" w:rsidP="006E48A8">
      <w:pPr>
        <w:pStyle w:val="SingleTxtG"/>
        <w:rPr>
          <w:lang w:val="en-US"/>
        </w:rPr>
      </w:pPr>
      <w:r>
        <w:rPr>
          <w:lang w:val="en-US"/>
        </w:rPr>
        <w:tab/>
      </w:r>
      <w:r>
        <w:rPr>
          <w:lang w:val="en-US"/>
        </w:rPr>
        <w:tab/>
        <w:t>(f)</w:t>
      </w:r>
      <w:r>
        <w:rPr>
          <w:lang w:val="en-US"/>
        </w:rPr>
        <w:tab/>
      </w:r>
      <w:r w:rsidR="003F48EB" w:rsidRPr="003F48EB">
        <w:rPr>
          <w:lang w:val="en-US"/>
        </w:rPr>
        <w:t>On maintaining moratorium on the death penalty;</w:t>
      </w:r>
    </w:p>
    <w:p w14:paraId="60CA6826" w14:textId="2380B70F" w:rsidR="003F48EB" w:rsidRPr="003F48EB" w:rsidRDefault="006E48A8" w:rsidP="006E48A8">
      <w:pPr>
        <w:pStyle w:val="SingleTxtG"/>
        <w:rPr>
          <w:lang w:val="en-US"/>
        </w:rPr>
      </w:pPr>
      <w:r>
        <w:rPr>
          <w:lang w:val="en-US"/>
        </w:rPr>
        <w:tab/>
      </w:r>
      <w:r>
        <w:rPr>
          <w:lang w:val="en-US"/>
        </w:rPr>
        <w:tab/>
        <w:t>(g)</w:t>
      </w:r>
      <w:r>
        <w:rPr>
          <w:lang w:val="en-US"/>
        </w:rPr>
        <w:tab/>
      </w:r>
      <w:r w:rsidR="003F48EB" w:rsidRPr="003F48EB">
        <w:rPr>
          <w:lang w:val="en-US"/>
        </w:rPr>
        <w:t>On addressing allegations of extra-judicial killings;</w:t>
      </w:r>
    </w:p>
    <w:p w14:paraId="500A51D8" w14:textId="63F4D68D" w:rsidR="003F48EB" w:rsidRPr="003F48EB" w:rsidRDefault="006E48A8" w:rsidP="006E48A8">
      <w:pPr>
        <w:pStyle w:val="SingleTxtG"/>
        <w:rPr>
          <w:lang w:val="en-US"/>
        </w:rPr>
      </w:pPr>
      <w:r>
        <w:rPr>
          <w:lang w:val="en-US"/>
        </w:rPr>
        <w:tab/>
      </w:r>
      <w:r>
        <w:rPr>
          <w:lang w:val="en-US"/>
        </w:rPr>
        <w:tab/>
        <w:t>(h)</w:t>
      </w:r>
      <w:r>
        <w:rPr>
          <w:lang w:val="en-US"/>
        </w:rPr>
        <w:tab/>
      </w:r>
      <w:r w:rsidR="003F48EB" w:rsidRPr="003F48EB">
        <w:rPr>
          <w:lang w:val="en-US"/>
        </w:rPr>
        <w:t>On conducting independent investigations on alleged human rights violation cases;</w:t>
      </w:r>
    </w:p>
    <w:p w14:paraId="36F2B5B8" w14:textId="15A47D54" w:rsidR="003F48EB" w:rsidRPr="003F48EB" w:rsidRDefault="006E48A8" w:rsidP="006E48A8">
      <w:pPr>
        <w:pStyle w:val="SingleTxtG"/>
        <w:rPr>
          <w:lang w:val="en-US"/>
        </w:rPr>
      </w:pPr>
      <w:r>
        <w:rPr>
          <w:lang w:val="en-US"/>
        </w:rPr>
        <w:tab/>
      </w:r>
      <w:r>
        <w:rPr>
          <w:lang w:val="en-US"/>
        </w:rPr>
        <w:tab/>
        <w:t>(i)</w:t>
      </w:r>
      <w:r>
        <w:rPr>
          <w:lang w:val="en-US"/>
        </w:rPr>
        <w:tab/>
      </w:r>
      <w:r w:rsidR="003F48EB" w:rsidRPr="003F48EB">
        <w:rPr>
          <w:lang w:val="en-US"/>
        </w:rPr>
        <w:t>On decongesting prisons;</w:t>
      </w:r>
    </w:p>
    <w:p w14:paraId="18321D0D" w14:textId="65544376" w:rsidR="003F48EB" w:rsidRPr="003F48EB" w:rsidRDefault="006E48A8" w:rsidP="006E48A8">
      <w:pPr>
        <w:pStyle w:val="SingleTxtG"/>
        <w:rPr>
          <w:lang w:val="en-US"/>
        </w:rPr>
      </w:pPr>
      <w:r>
        <w:rPr>
          <w:lang w:val="en-US"/>
        </w:rPr>
        <w:tab/>
      </w:r>
      <w:r>
        <w:rPr>
          <w:lang w:val="en-US"/>
        </w:rPr>
        <w:tab/>
        <w:t>(j)</w:t>
      </w:r>
      <w:r>
        <w:rPr>
          <w:lang w:val="en-US"/>
        </w:rPr>
        <w:tab/>
      </w:r>
      <w:r w:rsidR="003F48EB" w:rsidRPr="003F48EB">
        <w:rPr>
          <w:lang w:val="en-US"/>
        </w:rPr>
        <w:t>On further expanding access to justice;</w:t>
      </w:r>
    </w:p>
    <w:p w14:paraId="559140F5" w14:textId="5E672B59" w:rsidR="003F48EB" w:rsidRPr="003F48EB" w:rsidRDefault="006E48A8" w:rsidP="006E48A8">
      <w:pPr>
        <w:pStyle w:val="SingleTxtG"/>
        <w:rPr>
          <w:lang w:val="en-US"/>
        </w:rPr>
      </w:pPr>
      <w:r>
        <w:rPr>
          <w:lang w:val="en-US"/>
        </w:rPr>
        <w:tab/>
      </w:r>
      <w:r>
        <w:rPr>
          <w:lang w:val="en-US"/>
        </w:rPr>
        <w:tab/>
        <w:t>(k)</w:t>
      </w:r>
      <w:r>
        <w:rPr>
          <w:lang w:val="en-US"/>
        </w:rPr>
        <w:tab/>
      </w:r>
      <w:r w:rsidR="003F48EB" w:rsidRPr="003F48EB">
        <w:rPr>
          <w:lang w:val="en-US"/>
        </w:rPr>
        <w:t>On protecting human rights defenders and journalists; and</w:t>
      </w:r>
    </w:p>
    <w:p w14:paraId="4075CA8D" w14:textId="3B753007" w:rsidR="003F48EB" w:rsidRPr="003F48EB" w:rsidRDefault="006E48A8" w:rsidP="006E48A8">
      <w:pPr>
        <w:pStyle w:val="SingleTxtG"/>
        <w:rPr>
          <w:lang w:val="en-US"/>
        </w:rPr>
      </w:pPr>
      <w:r>
        <w:rPr>
          <w:lang w:val="en-US"/>
        </w:rPr>
        <w:tab/>
      </w:r>
      <w:r>
        <w:rPr>
          <w:lang w:val="en-US"/>
        </w:rPr>
        <w:tab/>
        <w:t>(l)</w:t>
      </w:r>
      <w:r>
        <w:rPr>
          <w:lang w:val="en-US"/>
        </w:rPr>
        <w:tab/>
      </w:r>
      <w:r w:rsidR="003F48EB" w:rsidRPr="003F48EB">
        <w:rPr>
          <w:lang w:val="en-US"/>
        </w:rPr>
        <w:t>On enhancing the work of the independent national human rights institution (INHRI), i.e., Commission on Human Rights of the Philippines (CHRP).</w:t>
      </w:r>
    </w:p>
    <w:p w14:paraId="47923FA7" w14:textId="7D0688FC" w:rsidR="003F48EB" w:rsidRPr="003F48EB" w:rsidRDefault="006E48A8" w:rsidP="006E48A8">
      <w:pPr>
        <w:pStyle w:val="SingleTxtG"/>
        <w:rPr>
          <w:lang w:val="en-US"/>
        </w:rPr>
      </w:pPr>
      <w:r>
        <w:rPr>
          <w:lang w:val="en-US"/>
        </w:rPr>
        <w:t>3.</w:t>
      </w:r>
      <w:r>
        <w:rPr>
          <w:lang w:val="en-US"/>
        </w:rPr>
        <w:tab/>
      </w:r>
      <w:r w:rsidR="003F48EB" w:rsidRPr="003F48EB">
        <w:rPr>
          <w:lang w:val="en-US"/>
        </w:rPr>
        <w:t xml:space="preserve">The remaining 89 recommendations were carefully </w:t>
      </w:r>
      <w:r w:rsidR="003F48EB" w:rsidRPr="006D1728">
        <w:rPr>
          <w:lang w:val="en-US"/>
        </w:rPr>
        <w:t>reviewed by the GPH</w:t>
      </w:r>
      <w:r w:rsidRPr="006D1728">
        <w:rPr>
          <w:rStyle w:val="EndnoteReference"/>
          <w:lang w:val="en-US"/>
        </w:rPr>
        <w:endnoteReference w:id="2"/>
      </w:r>
      <w:r w:rsidR="003F48EB" w:rsidRPr="006D1728">
        <w:rPr>
          <w:lang w:val="en-US"/>
        </w:rPr>
        <w:t>, with</w:t>
      </w:r>
      <w:r w:rsidR="003F48EB" w:rsidRPr="003F48EB">
        <w:rPr>
          <w:lang w:val="en-US"/>
        </w:rPr>
        <w:t xml:space="preserve"> inputs considered from various stakeholders, specifically offices under the GPH’s Executive department and the CHRP.</w:t>
      </w:r>
    </w:p>
    <w:p w14:paraId="41C4230D" w14:textId="053132AB" w:rsidR="003F48EB" w:rsidRPr="003F48EB" w:rsidRDefault="006E48A8" w:rsidP="006E48A8">
      <w:pPr>
        <w:pStyle w:val="SingleTxtG"/>
        <w:rPr>
          <w:lang w:val="en-US"/>
        </w:rPr>
      </w:pPr>
      <w:r>
        <w:rPr>
          <w:lang w:val="en-US"/>
        </w:rPr>
        <w:t>4.</w:t>
      </w:r>
      <w:r>
        <w:rPr>
          <w:lang w:val="en-US"/>
        </w:rPr>
        <w:tab/>
      </w:r>
      <w:r w:rsidR="003F48EB" w:rsidRPr="003F48EB">
        <w:rPr>
          <w:lang w:val="en-US"/>
        </w:rPr>
        <w:t>An additional 15 recommendations relating to the following were accepted:</w:t>
      </w:r>
    </w:p>
    <w:p w14:paraId="477C3655" w14:textId="5762B39E" w:rsidR="003F48EB" w:rsidRPr="003F48EB" w:rsidRDefault="003F48EB" w:rsidP="006E48A8">
      <w:pPr>
        <w:pStyle w:val="Bullet1G"/>
        <w:rPr>
          <w:lang w:val="en-US"/>
        </w:rPr>
      </w:pPr>
      <w:r w:rsidRPr="003F48EB">
        <w:rPr>
          <w:lang w:val="en-US"/>
        </w:rPr>
        <w:t xml:space="preserve">UN Joint </w:t>
      </w:r>
      <w:proofErr w:type="spellStart"/>
      <w:r w:rsidRPr="003F48EB">
        <w:rPr>
          <w:lang w:val="en-US"/>
        </w:rPr>
        <w:t>Programme</w:t>
      </w:r>
      <w:proofErr w:type="spellEnd"/>
      <w:r w:rsidRPr="003F48EB">
        <w:rPr>
          <w:lang w:val="en-US"/>
        </w:rPr>
        <w:t xml:space="preserve"> on Human Rights (146.28)</w:t>
      </w:r>
      <w:r w:rsidR="006E48A8">
        <w:rPr>
          <w:lang w:val="en-US"/>
        </w:rPr>
        <w:t>;</w:t>
      </w:r>
    </w:p>
    <w:p w14:paraId="033D3B51" w14:textId="00919D9A" w:rsidR="003F48EB" w:rsidRPr="003F48EB" w:rsidRDefault="003F48EB" w:rsidP="006E48A8">
      <w:pPr>
        <w:pStyle w:val="Bullet1G"/>
        <w:rPr>
          <w:lang w:val="en-US"/>
        </w:rPr>
      </w:pPr>
      <w:r w:rsidRPr="003F48EB">
        <w:rPr>
          <w:lang w:val="en-US"/>
        </w:rPr>
        <w:t>National Action Plan on the Safety of Journalists (146.72)</w:t>
      </w:r>
      <w:r w:rsidR="006E48A8">
        <w:rPr>
          <w:lang w:val="en-US"/>
        </w:rPr>
        <w:t>;</w:t>
      </w:r>
    </w:p>
    <w:p w14:paraId="5F193D22" w14:textId="6D57D151" w:rsidR="003F48EB" w:rsidRPr="003F48EB" w:rsidRDefault="003F48EB" w:rsidP="006E48A8">
      <w:pPr>
        <w:pStyle w:val="Bullet1G"/>
        <w:rPr>
          <w:lang w:val="en-US"/>
        </w:rPr>
      </w:pPr>
      <w:r w:rsidRPr="003F48EB">
        <w:rPr>
          <w:lang w:val="en-US"/>
        </w:rPr>
        <w:t>National Preventive Mechanism (146.46, 146.47 and 146.49)</w:t>
      </w:r>
      <w:r w:rsidR="006E48A8">
        <w:rPr>
          <w:lang w:val="en-US"/>
        </w:rPr>
        <w:t>;</w:t>
      </w:r>
    </w:p>
    <w:p w14:paraId="664B2FB9" w14:textId="5D060F5B" w:rsidR="003F48EB" w:rsidRPr="003F48EB" w:rsidRDefault="003F48EB" w:rsidP="006E48A8">
      <w:pPr>
        <w:pStyle w:val="Bullet1G"/>
        <w:rPr>
          <w:lang w:val="en-US"/>
        </w:rPr>
      </w:pPr>
      <w:r w:rsidRPr="003F48EB">
        <w:rPr>
          <w:lang w:val="en-US"/>
        </w:rPr>
        <w:t>Access to universal health services on during disasters and emergencies (146.45)</w:t>
      </w:r>
      <w:r w:rsidR="006E48A8">
        <w:rPr>
          <w:lang w:val="en-US"/>
        </w:rPr>
        <w:t>;</w:t>
      </w:r>
    </w:p>
    <w:p w14:paraId="6D72AC0A" w14:textId="4C87EFE6" w:rsidR="003F48EB" w:rsidRPr="003F48EB" w:rsidRDefault="003F48EB" w:rsidP="006E48A8">
      <w:pPr>
        <w:pStyle w:val="Bullet1G"/>
        <w:rPr>
          <w:lang w:val="en-US"/>
        </w:rPr>
      </w:pPr>
      <w:r w:rsidRPr="003F48EB">
        <w:rPr>
          <w:lang w:val="en-US"/>
        </w:rPr>
        <w:t>Human rights approach on the strategy against illegal drugs (146.52)</w:t>
      </w:r>
      <w:r w:rsidR="006E48A8">
        <w:rPr>
          <w:lang w:val="en-US"/>
        </w:rPr>
        <w:t>;</w:t>
      </w:r>
    </w:p>
    <w:p w14:paraId="633EE1AF" w14:textId="160B1C3B" w:rsidR="003F48EB" w:rsidRPr="003F48EB" w:rsidRDefault="003F48EB" w:rsidP="006E48A8">
      <w:pPr>
        <w:pStyle w:val="Bullet1G"/>
        <w:rPr>
          <w:lang w:val="en-US"/>
        </w:rPr>
      </w:pPr>
      <w:r w:rsidRPr="003F48EB">
        <w:rPr>
          <w:lang w:val="en-US"/>
        </w:rPr>
        <w:t>Adoption of the Sendai Framework on Disaster Risk Reduction (146.86)</w:t>
      </w:r>
      <w:r w:rsidR="006E48A8">
        <w:rPr>
          <w:lang w:val="en-US"/>
        </w:rPr>
        <w:t>;</w:t>
      </w:r>
    </w:p>
    <w:p w14:paraId="7E64DFB2" w14:textId="4346B676" w:rsidR="003F48EB" w:rsidRPr="003F48EB" w:rsidRDefault="003F48EB" w:rsidP="006E48A8">
      <w:pPr>
        <w:pStyle w:val="Bullet1G"/>
        <w:rPr>
          <w:lang w:val="en-US"/>
        </w:rPr>
      </w:pPr>
      <w:r w:rsidRPr="003F48EB">
        <w:rPr>
          <w:lang w:val="en-US"/>
        </w:rPr>
        <w:t>Conduct of acts that consider and/ or review to the PH Parliament or Legislature (146.5, 146.8, 146.9, 146.54, 146.73, 146.84, and 146.88)</w:t>
      </w:r>
      <w:r w:rsidR="006E48A8">
        <w:rPr>
          <w:lang w:val="en-US"/>
        </w:rPr>
        <w:t>.</w:t>
      </w:r>
    </w:p>
    <w:p w14:paraId="720CD3F1" w14:textId="35BBF0D0" w:rsidR="003F48EB" w:rsidRPr="003F48EB" w:rsidRDefault="006E48A8" w:rsidP="006E48A8">
      <w:pPr>
        <w:pStyle w:val="SingleTxtG"/>
        <w:rPr>
          <w:lang w:val="en-US"/>
        </w:rPr>
      </w:pPr>
      <w:r>
        <w:rPr>
          <w:lang w:val="en-US"/>
        </w:rPr>
        <w:t>5.</w:t>
      </w:r>
      <w:r>
        <w:rPr>
          <w:lang w:val="en-US"/>
        </w:rPr>
        <w:tab/>
      </w:r>
      <w:r w:rsidR="003F48EB" w:rsidRPr="003F48EB">
        <w:rPr>
          <w:lang w:val="en-US"/>
        </w:rPr>
        <w:t>Seventy-four (74) recommendations pertaining to the following issues and concerns were noted:</w:t>
      </w:r>
    </w:p>
    <w:p w14:paraId="712BC6D9" w14:textId="4099F604" w:rsidR="003F48EB" w:rsidRPr="003F48EB" w:rsidRDefault="003F48EB" w:rsidP="006E48A8">
      <w:pPr>
        <w:pStyle w:val="Bullet1G"/>
        <w:rPr>
          <w:lang w:val="en-US"/>
        </w:rPr>
      </w:pPr>
      <w:r w:rsidRPr="003F48EB">
        <w:rPr>
          <w:lang w:val="en-US"/>
        </w:rPr>
        <w:t>Parliamentary/ legislative actions (146.1, 146.2, 146.3, 146.4, 146.6, 146.7, 146.10, 146.11, 146.12, 146.13, 146.14, 146.15, 146.16, 146.17, 146.18, 146.19, 146.20, 146.21, 146.22, 146.23, 146.29, 146.30, 146.31, 146.32, 146.33, 146.34, 146.35, 146. 36, 146.37, 146.38, 146.39, 146.40, 146.41, 146.42, 146.43,146.44, 146.48, 146.50, 146.56, 146.59, 146.60, 146.63, 146.64, 146.68,146.69, 146.70, 146.71, 146.79, 146.80, 146.81, 146.82 and 146.89)</w:t>
      </w:r>
      <w:r w:rsidR="006E48A8">
        <w:rPr>
          <w:lang w:val="en-US"/>
        </w:rPr>
        <w:t>;</w:t>
      </w:r>
    </w:p>
    <w:p w14:paraId="37786E3D" w14:textId="6D7FC9A6" w:rsidR="003F48EB" w:rsidRPr="003F48EB" w:rsidRDefault="003F48EB" w:rsidP="006E48A8">
      <w:pPr>
        <w:pStyle w:val="Bullet1G"/>
        <w:rPr>
          <w:lang w:val="en-US"/>
        </w:rPr>
      </w:pPr>
      <w:r w:rsidRPr="003F48EB">
        <w:rPr>
          <w:lang w:val="en-US"/>
        </w:rPr>
        <w:t>Special Procedures Mandate Holders (146.24, 146.25, 146.26, 146.27 and 146.78)</w:t>
      </w:r>
      <w:r w:rsidR="006E48A8">
        <w:rPr>
          <w:lang w:val="en-US"/>
        </w:rPr>
        <w:t>;</w:t>
      </w:r>
    </w:p>
    <w:p w14:paraId="2229FA4C" w14:textId="5A67C91C" w:rsidR="003F48EB" w:rsidRPr="003F48EB" w:rsidRDefault="003F48EB" w:rsidP="006E48A8">
      <w:pPr>
        <w:pStyle w:val="Bullet1G"/>
        <w:rPr>
          <w:lang w:val="en-US"/>
        </w:rPr>
      </w:pPr>
      <w:r w:rsidRPr="003F48EB">
        <w:rPr>
          <w:lang w:val="en-US"/>
        </w:rPr>
        <w:t>Anti-illegal drug campaign (146.51 and 146.53)</w:t>
      </w:r>
      <w:r w:rsidR="006E48A8">
        <w:rPr>
          <w:lang w:val="en-US"/>
        </w:rPr>
        <w:t>;</w:t>
      </w:r>
    </w:p>
    <w:p w14:paraId="3F73EACF" w14:textId="5A9B0EE9" w:rsidR="003F48EB" w:rsidRPr="003F48EB" w:rsidRDefault="003F48EB" w:rsidP="006E48A8">
      <w:pPr>
        <w:pStyle w:val="Bullet1G"/>
        <w:rPr>
          <w:lang w:val="en-US"/>
        </w:rPr>
      </w:pPr>
      <w:r w:rsidRPr="003F48EB">
        <w:rPr>
          <w:lang w:val="en-US"/>
        </w:rPr>
        <w:lastRenderedPageBreak/>
        <w:t>Civil and political rights (146.55, 146.57, 146.58, 146.61, 146.62, 146.65, 146.66, 146.67, 146.74, 146.75, 146.76 and 146.77)</w:t>
      </w:r>
      <w:r w:rsidR="006E48A8">
        <w:rPr>
          <w:lang w:val="en-US"/>
        </w:rPr>
        <w:t>;</w:t>
      </w:r>
    </w:p>
    <w:p w14:paraId="5D03DFB0" w14:textId="25AD8A4B" w:rsidR="003F48EB" w:rsidRPr="003F48EB" w:rsidRDefault="003F48EB" w:rsidP="006E48A8">
      <w:pPr>
        <w:pStyle w:val="Bullet1G"/>
        <w:rPr>
          <w:lang w:val="en-US"/>
        </w:rPr>
      </w:pPr>
      <w:r w:rsidRPr="003F48EB">
        <w:rPr>
          <w:lang w:val="en-US"/>
        </w:rPr>
        <w:t>Investment for reproductive health (146.83)</w:t>
      </w:r>
      <w:r w:rsidR="006E48A8">
        <w:rPr>
          <w:lang w:val="en-US"/>
        </w:rPr>
        <w:t>;</w:t>
      </w:r>
    </w:p>
    <w:p w14:paraId="78A950A1" w14:textId="2D0DD8D1" w:rsidR="003F48EB" w:rsidRPr="003F48EB" w:rsidRDefault="003F48EB" w:rsidP="006E48A8">
      <w:pPr>
        <w:pStyle w:val="Bullet1G"/>
        <w:rPr>
          <w:lang w:val="en-US"/>
        </w:rPr>
      </w:pPr>
      <w:r w:rsidRPr="003F48EB">
        <w:rPr>
          <w:lang w:val="en-US"/>
        </w:rPr>
        <w:t>Climate risk (146.85)</w:t>
      </w:r>
      <w:r w:rsidR="006E48A8">
        <w:rPr>
          <w:lang w:val="en-US"/>
        </w:rPr>
        <w:t>;</w:t>
      </w:r>
    </w:p>
    <w:p w14:paraId="12872DB2" w14:textId="07439768" w:rsidR="003F48EB" w:rsidRPr="003F48EB" w:rsidRDefault="003F48EB" w:rsidP="006E48A8">
      <w:pPr>
        <w:pStyle w:val="Bullet1G"/>
        <w:rPr>
          <w:lang w:val="en-US"/>
        </w:rPr>
      </w:pPr>
      <w:r w:rsidRPr="003F48EB">
        <w:rPr>
          <w:lang w:val="en-US"/>
        </w:rPr>
        <w:t>Business and Human Rights (146.87)</w:t>
      </w:r>
      <w:r w:rsidR="006E48A8">
        <w:rPr>
          <w:lang w:val="en-US"/>
        </w:rPr>
        <w:t>.</w:t>
      </w:r>
    </w:p>
    <w:p w14:paraId="3EFDC917" w14:textId="25A8736F" w:rsidR="003F48EB" w:rsidRPr="003F48EB" w:rsidRDefault="006E48A8" w:rsidP="006E48A8">
      <w:pPr>
        <w:pStyle w:val="SingleTxtG"/>
        <w:rPr>
          <w:lang w:val="en-US"/>
        </w:rPr>
      </w:pPr>
      <w:r>
        <w:rPr>
          <w:lang w:val="en-US"/>
        </w:rPr>
        <w:t>6.</w:t>
      </w:r>
      <w:r>
        <w:rPr>
          <w:lang w:val="en-US"/>
        </w:rPr>
        <w:tab/>
      </w:r>
      <w:r w:rsidR="003F48EB" w:rsidRPr="003F48EB">
        <w:rPr>
          <w:lang w:val="en-US"/>
        </w:rPr>
        <w:t>The GPH noted the above recommendations based on the following considerations:</w:t>
      </w:r>
    </w:p>
    <w:p w14:paraId="2614EFA6" w14:textId="2D8CAEA4" w:rsidR="003F48EB" w:rsidRDefault="006E48A8" w:rsidP="006E48A8">
      <w:pPr>
        <w:pStyle w:val="SingleTxtG"/>
        <w:rPr>
          <w:lang w:val="en-US"/>
        </w:rPr>
      </w:pPr>
      <w:r>
        <w:rPr>
          <w:lang w:val="en-US"/>
        </w:rPr>
        <w:tab/>
      </w:r>
      <w:r>
        <w:rPr>
          <w:lang w:val="en-US"/>
        </w:rPr>
        <w:tab/>
        <w:t>(a)</w:t>
      </w:r>
      <w:r>
        <w:rPr>
          <w:lang w:val="en-US"/>
        </w:rPr>
        <w:tab/>
      </w:r>
      <w:r w:rsidR="003F48EB" w:rsidRPr="003F48EB">
        <w:rPr>
          <w:lang w:val="en-US"/>
        </w:rPr>
        <w:t>Those with claims that are moored on less than solid premises or are not in line with the Filipino people’s cultural values, religious beliefs, and national identity. On the latter, the GPH respects cultural rights in accordance with the International Covenant on Economic, Social and Cultural Rights and the human right to freedom of religion under Article 18 of the Universal Declaration of Human Rights (UDHR)</w:t>
      </w:r>
      <w:r>
        <w:rPr>
          <w:rStyle w:val="EndnoteReference"/>
          <w:lang w:val="en-US"/>
        </w:rPr>
        <w:endnoteReference w:id="3"/>
      </w:r>
      <w:r w:rsidR="003F48EB" w:rsidRPr="003F48EB">
        <w:rPr>
          <w:lang w:val="en-US"/>
        </w:rPr>
        <w:t xml:space="preserve"> and the International Covenant on Civil and Political Rights (ICCPR)</w:t>
      </w:r>
      <w:r w:rsidR="00E921A3">
        <w:rPr>
          <w:rStyle w:val="EndnoteReference"/>
          <w:lang w:val="en-US"/>
        </w:rPr>
        <w:endnoteReference w:id="4"/>
      </w:r>
      <w:r w:rsidR="003F48EB" w:rsidRPr="003F48EB">
        <w:rPr>
          <w:lang w:val="en-US"/>
        </w:rPr>
        <w:t>.</w:t>
      </w:r>
    </w:p>
    <w:p w14:paraId="37B3D642" w14:textId="63E3BA1D" w:rsidR="003F48EB" w:rsidRPr="003F48EB" w:rsidRDefault="006E48A8" w:rsidP="006E48A8">
      <w:pPr>
        <w:pStyle w:val="SingleTxtG"/>
        <w:rPr>
          <w:lang w:val="en-US"/>
        </w:rPr>
      </w:pPr>
      <w:r>
        <w:rPr>
          <w:lang w:val="en-US"/>
        </w:rPr>
        <w:tab/>
      </w:r>
      <w:r>
        <w:rPr>
          <w:lang w:val="en-US"/>
        </w:rPr>
        <w:tab/>
        <w:t>(b)</w:t>
      </w:r>
      <w:r>
        <w:rPr>
          <w:lang w:val="en-US"/>
        </w:rPr>
        <w:tab/>
      </w:r>
      <w:r w:rsidR="003F48EB" w:rsidRPr="003F48EB">
        <w:rPr>
          <w:lang w:val="en-US"/>
        </w:rPr>
        <w:t>Those that relate to legislative or parliamentary actions that must be informed by multi-stakeholder and multi-sector consultations, the results of which may not be aligned with the recommendations. The GPH fully respects the Filipino people’s right to participative governance as qualified by Article 21</w:t>
      </w:r>
      <w:r w:rsidR="00E921A3">
        <w:rPr>
          <w:rStyle w:val="EndnoteReference"/>
          <w:lang w:val="en-US"/>
        </w:rPr>
        <w:endnoteReference w:id="5"/>
      </w:r>
      <w:r w:rsidR="003F48EB" w:rsidRPr="003F48EB">
        <w:rPr>
          <w:lang w:val="en-US"/>
        </w:rPr>
        <w:t xml:space="preserve"> of the UDHR and Article 25</w:t>
      </w:r>
      <w:r w:rsidR="00E921A3">
        <w:rPr>
          <w:rStyle w:val="EndnoteReference"/>
          <w:lang w:val="en-US"/>
        </w:rPr>
        <w:endnoteReference w:id="6"/>
      </w:r>
      <w:r w:rsidR="003F48EB" w:rsidRPr="003F48EB">
        <w:rPr>
          <w:lang w:val="en-US"/>
        </w:rPr>
        <w:t xml:space="preserve"> of the ICCPR.</w:t>
      </w:r>
    </w:p>
    <w:p w14:paraId="7F3A80BF" w14:textId="3A175625" w:rsidR="003F48EB" w:rsidRPr="003F48EB" w:rsidRDefault="006E48A8" w:rsidP="006E48A8">
      <w:pPr>
        <w:pStyle w:val="SingleTxtG"/>
        <w:rPr>
          <w:lang w:val="en-US"/>
        </w:rPr>
      </w:pPr>
      <w:r>
        <w:rPr>
          <w:lang w:val="en-US"/>
        </w:rPr>
        <w:t>7.</w:t>
      </w:r>
      <w:r>
        <w:rPr>
          <w:lang w:val="en-US"/>
        </w:rPr>
        <w:tab/>
      </w:r>
      <w:r w:rsidR="003F48EB" w:rsidRPr="003F48EB">
        <w:rPr>
          <w:lang w:val="en-US"/>
        </w:rPr>
        <w:t>Nonetheless, the GPH shall not preclude efforts to positively act upon, as necessary, some of the recommendations that were noted, always respectful of national, cultural, and historical circumstances and constraints, and in response to stakeholder initiatives.</w:t>
      </w:r>
    </w:p>
    <w:p w14:paraId="77629439" w14:textId="3267D815" w:rsidR="003F48EB" w:rsidRDefault="006E48A8" w:rsidP="006E48A8">
      <w:pPr>
        <w:pStyle w:val="SingleTxtG"/>
        <w:rPr>
          <w:lang w:val="en-US"/>
        </w:rPr>
      </w:pPr>
      <w:r>
        <w:rPr>
          <w:lang w:val="en-US"/>
        </w:rPr>
        <w:tab/>
        <w:t>8.</w:t>
      </w:r>
      <w:r>
        <w:rPr>
          <w:lang w:val="en-US"/>
        </w:rPr>
        <w:tab/>
      </w:r>
      <w:r w:rsidR="003F48EB" w:rsidRPr="003F48EB">
        <w:rPr>
          <w:lang w:val="en-US"/>
        </w:rPr>
        <w:t>The GPH acknowledges the interventions of 107 States in the review process, affirming the UPR as a mechanism that fosters the sharing of good practices by UN Member States in the implementation of human rights commitments and obligations. The UPR process shall remain a relevant guide for the GPH in its continuing efforts for inclusive and responsive fulfillment of human rights for all.</w:t>
      </w:r>
    </w:p>
    <w:p w14:paraId="5E9CD3CA" w14:textId="4BD95209" w:rsidR="006E48A8" w:rsidRDefault="006E48A8" w:rsidP="006E48A8">
      <w:pPr>
        <w:pStyle w:val="H4G"/>
      </w:pPr>
      <w:r>
        <w:t>Notes</w:t>
      </w:r>
    </w:p>
    <w:sectPr w:rsidR="006E48A8" w:rsidSect="003F48EB">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940E8" w14:textId="77777777" w:rsidR="003F48EB" w:rsidRDefault="003F48EB"/>
  </w:endnote>
  <w:endnote w:type="continuationSeparator" w:id="0">
    <w:p w14:paraId="147E4DBC" w14:textId="77777777" w:rsidR="003F48EB" w:rsidRDefault="003F48EB"/>
  </w:endnote>
  <w:endnote w:type="continuationNotice" w:id="1">
    <w:p w14:paraId="51DC2437" w14:textId="77777777" w:rsidR="003F48EB" w:rsidRDefault="003F48EB"/>
  </w:endnote>
  <w:endnote w:id="2">
    <w:p w14:paraId="7EC22201" w14:textId="1A374BB9" w:rsidR="006E48A8" w:rsidRDefault="006E48A8" w:rsidP="006E48A8">
      <w:pPr>
        <w:pStyle w:val="EndnoteText"/>
        <w:widowControl w:val="0"/>
        <w:tabs>
          <w:tab w:val="clear" w:pos="1021"/>
          <w:tab w:val="right" w:pos="1020"/>
        </w:tabs>
      </w:pPr>
      <w:r>
        <w:tab/>
      </w:r>
      <w:r>
        <w:rPr>
          <w:rStyle w:val="EndnoteReference"/>
        </w:rPr>
        <w:endnoteRef/>
      </w:r>
      <w:r>
        <w:tab/>
      </w:r>
      <w:r w:rsidRPr="006E48A8">
        <w:t xml:space="preserve">The review was facilitated by the Presidential Human Rights Committee Secretariat in partnership with the Department of Foreign Affairs-UN and other International Organizations, and involved the following Executive agencies: Department of Justice, Department of Health, Climate Change Commission, Dangerous Drugs Board, Office of Civil </w:t>
      </w:r>
      <w:proofErr w:type="spellStart"/>
      <w:r w:rsidRPr="006E48A8">
        <w:t>Defense</w:t>
      </w:r>
      <w:proofErr w:type="spellEnd"/>
      <w:r w:rsidRPr="006E48A8">
        <w:t>, Philippine Drug Enforcement Agency, and Presidential Task Force on Media Security.</w:t>
      </w:r>
    </w:p>
  </w:endnote>
  <w:endnote w:id="3">
    <w:p w14:paraId="232EC396" w14:textId="3B560476" w:rsidR="006E48A8" w:rsidRDefault="006E48A8" w:rsidP="006E48A8">
      <w:pPr>
        <w:pStyle w:val="EndnoteText"/>
        <w:widowControl w:val="0"/>
        <w:tabs>
          <w:tab w:val="clear" w:pos="1021"/>
          <w:tab w:val="right" w:pos="1020"/>
        </w:tabs>
      </w:pPr>
      <w:r>
        <w:tab/>
      </w:r>
      <w:r>
        <w:rPr>
          <w:rStyle w:val="EndnoteReference"/>
        </w:rPr>
        <w:endnoteRef/>
      </w:r>
      <w:r>
        <w:tab/>
      </w:r>
      <w:r w:rsidRPr="006E48A8">
        <w:t>Article 18. Everyone has the right to freedom of thought, conscience and religion; this right includes freedom to change his religion or belief, and freedom, either alone or in community with others and in public or private, to manifest his religion or belief in teaching, practice, worship and observance.</w:t>
      </w:r>
    </w:p>
  </w:endnote>
  <w:endnote w:id="4">
    <w:p w14:paraId="09148F57" w14:textId="41C76A29" w:rsidR="00E921A3" w:rsidRDefault="00E921A3" w:rsidP="00E921A3">
      <w:pPr>
        <w:pStyle w:val="EndnoteText"/>
        <w:widowControl w:val="0"/>
        <w:tabs>
          <w:tab w:val="clear" w:pos="1021"/>
          <w:tab w:val="right" w:pos="1020"/>
        </w:tabs>
      </w:pPr>
      <w:r>
        <w:tab/>
      </w:r>
      <w:r>
        <w:rPr>
          <w:rStyle w:val="EndnoteReference"/>
        </w:rPr>
        <w:endnoteRef/>
      </w:r>
      <w:r>
        <w:tab/>
      </w:r>
      <w:r w:rsidRPr="00E921A3">
        <w:t>Article 18. Everyone shall have the right to freedom of thought, conscience and religion. This right shall include freedom to have or to adopt a religion or belief of his choice, and freedom, either individually or in community with others and in public or private, to manifest his religion or belief in worship, observance, practice and teaching.</w:t>
      </w:r>
    </w:p>
  </w:endnote>
  <w:endnote w:id="5">
    <w:p w14:paraId="69C230B3" w14:textId="432794B6" w:rsidR="00E921A3" w:rsidRDefault="00E921A3" w:rsidP="00E921A3">
      <w:pPr>
        <w:pStyle w:val="EndnoteText"/>
        <w:widowControl w:val="0"/>
      </w:pPr>
      <w:r>
        <w:tab/>
      </w:r>
      <w:r>
        <w:rPr>
          <w:rStyle w:val="EndnoteReference"/>
        </w:rPr>
        <w:endnoteRef/>
      </w:r>
      <w:r>
        <w:tab/>
      </w:r>
      <w:r w:rsidRPr="00E921A3">
        <w:t>Article 21</w:t>
      </w:r>
      <w:r>
        <w:t>:</w:t>
      </w:r>
    </w:p>
    <w:p w14:paraId="09E6D53A" w14:textId="296D33D0" w:rsidR="00E921A3" w:rsidRDefault="00E921A3" w:rsidP="00E921A3">
      <w:pPr>
        <w:pStyle w:val="EndnoteText"/>
        <w:widowControl w:val="0"/>
        <w:tabs>
          <w:tab w:val="left" w:pos="1418"/>
        </w:tabs>
      </w:pPr>
      <w:r>
        <w:tab/>
      </w:r>
      <w:r>
        <w:tab/>
      </w:r>
      <w:r w:rsidR="00822975">
        <w:t>1,</w:t>
      </w:r>
      <w:r>
        <w:tab/>
      </w:r>
      <w:r w:rsidRPr="00E921A3">
        <w:t>Everyone has the right to take part in the government of his country, directly or through freely chosen representatives</w:t>
      </w:r>
      <w:r>
        <w:t>;</w:t>
      </w:r>
    </w:p>
    <w:p w14:paraId="67FC91A2" w14:textId="32B83A0F" w:rsidR="00E921A3" w:rsidRDefault="00E921A3" w:rsidP="00E921A3">
      <w:pPr>
        <w:pStyle w:val="EndnoteText"/>
        <w:widowControl w:val="0"/>
        <w:tabs>
          <w:tab w:val="left" w:pos="1418"/>
        </w:tabs>
      </w:pPr>
      <w:r>
        <w:tab/>
      </w:r>
      <w:r>
        <w:tab/>
      </w:r>
      <w:r w:rsidR="00822975">
        <w:t>2.</w:t>
      </w:r>
      <w:r>
        <w:tab/>
      </w:r>
      <w:r w:rsidRPr="00E921A3">
        <w:t xml:space="preserve">Everyone has the right </w:t>
      </w:r>
      <w:r w:rsidR="005C13F1">
        <w:t>of</w:t>
      </w:r>
      <w:r w:rsidRPr="00E921A3">
        <w:t xml:space="preserve"> equal access to public service in his country</w:t>
      </w:r>
      <w:r>
        <w:t>;</w:t>
      </w:r>
    </w:p>
    <w:p w14:paraId="4DC84101" w14:textId="60982D3C" w:rsidR="00E921A3" w:rsidRPr="00E921A3" w:rsidRDefault="00E921A3" w:rsidP="00E921A3">
      <w:pPr>
        <w:pStyle w:val="EndnoteText"/>
        <w:widowControl w:val="0"/>
        <w:tabs>
          <w:tab w:val="left" w:pos="1418"/>
        </w:tabs>
      </w:pPr>
      <w:r>
        <w:tab/>
      </w:r>
      <w:r>
        <w:tab/>
      </w:r>
      <w:r w:rsidR="00822975">
        <w:t>3.</w:t>
      </w:r>
      <w:r>
        <w:tab/>
      </w:r>
      <w:r w:rsidRPr="00E921A3">
        <w:t>The will of the people shall be the basis of the authority of government; this will shall be expressed in periodic and genuine elections which shall be by universal and equal suffrage and shall be held by secret vote or by equivalent free voting procedures.</w:t>
      </w:r>
    </w:p>
  </w:endnote>
  <w:endnote w:id="6">
    <w:p w14:paraId="2476732B" w14:textId="77777777" w:rsidR="00E921A3" w:rsidRPr="00E921A3" w:rsidRDefault="00E921A3" w:rsidP="00E921A3">
      <w:pPr>
        <w:pStyle w:val="EndnoteText"/>
        <w:widowControl w:val="0"/>
      </w:pPr>
      <w:r>
        <w:tab/>
      </w:r>
      <w:r>
        <w:rPr>
          <w:rStyle w:val="EndnoteReference"/>
        </w:rPr>
        <w:endnoteRef/>
      </w:r>
      <w:r>
        <w:tab/>
      </w:r>
      <w:r w:rsidRPr="00E921A3">
        <w:t>Article 25. Every citizen shall have the right and the opportunity, without any of the distinctions mentioned in article 2 and without unreasonable restrictions:</w:t>
      </w:r>
    </w:p>
    <w:p w14:paraId="116409E0" w14:textId="77777777" w:rsidR="00E921A3" w:rsidRDefault="00E921A3" w:rsidP="00E921A3">
      <w:pPr>
        <w:pStyle w:val="EndnoteText"/>
        <w:tabs>
          <w:tab w:val="left" w:pos="1418"/>
        </w:tabs>
      </w:pPr>
      <w:r>
        <w:tab/>
      </w:r>
      <w:r>
        <w:tab/>
        <w:t>(a)</w:t>
      </w:r>
      <w:r>
        <w:tab/>
      </w:r>
      <w:r w:rsidRPr="00E921A3">
        <w:t>To take part in the conduct of public affairs, directly or through freely chosen representatives;</w:t>
      </w:r>
    </w:p>
    <w:p w14:paraId="0BA58398" w14:textId="77777777" w:rsidR="00E921A3" w:rsidRDefault="00E921A3" w:rsidP="00E921A3">
      <w:pPr>
        <w:pStyle w:val="EndnoteText"/>
        <w:tabs>
          <w:tab w:val="left" w:pos="1418"/>
        </w:tabs>
      </w:pPr>
      <w:r>
        <w:tab/>
      </w:r>
      <w:r>
        <w:tab/>
        <w:t>(b)</w:t>
      </w:r>
      <w:r>
        <w:tab/>
      </w:r>
      <w:r w:rsidRPr="00E921A3">
        <w:t>To vote and to be elected at genuine periodic elections which shall be by universal and equal suffrage and shall be held by secret ballot, guaranteeing the free expression of the will of the electors;</w:t>
      </w:r>
    </w:p>
    <w:p w14:paraId="61968B8F" w14:textId="2DABC69C" w:rsidR="00E921A3" w:rsidRDefault="00E921A3" w:rsidP="00E921A3">
      <w:pPr>
        <w:pStyle w:val="EndnoteText"/>
        <w:tabs>
          <w:tab w:val="left" w:pos="1418"/>
        </w:tabs>
      </w:pPr>
      <w:r>
        <w:tab/>
      </w:r>
      <w:r>
        <w:tab/>
        <w:t>(c)</w:t>
      </w:r>
      <w:r>
        <w:tab/>
      </w:r>
      <w:r w:rsidRPr="00E921A3">
        <w:t>To have access, on general terms of equality, to public service in his country.</w:t>
      </w:r>
    </w:p>
    <w:p w14:paraId="31EF1C60" w14:textId="2B0B281C" w:rsidR="00E921A3" w:rsidRPr="001A1342" w:rsidRDefault="001A1342" w:rsidP="001A1342">
      <w:pPr>
        <w:pStyle w:val="EndnoteText"/>
        <w:tabs>
          <w:tab w:val="left" w:pos="1418"/>
        </w:tabs>
        <w:spacing w:before="240" w:line="240" w:lineRule="atLeast"/>
        <w:ind w:firstLine="0"/>
        <w:jc w:val="center"/>
        <w:rPr>
          <w:u w:val="single"/>
        </w:rPr>
      </w:pP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C65EC" w14:textId="26ABEBCF" w:rsidR="003F48EB" w:rsidRPr="003F48EB" w:rsidRDefault="003F48EB" w:rsidP="003F48EB">
    <w:pPr>
      <w:pStyle w:val="Footer"/>
      <w:tabs>
        <w:tab w:val="right" w:pos="9638"/>
      </w:tabs>
      <w:rPr>
        <w:sz w:val="18"/>
      </w:rPr>
    </w:pPr>
    <w:r w:rsidRPr="003F48EB">
      <w:rPr>
        <w:b/>
        <w:sz w:val="18"/>
      </w:rPr>
      <w:fldChar w:fldCharType="begin"/>
    </w:r>
    <w:r w:rsidRPr="003F48EB">
      <w:rPr>
        <w:b/>
        <w:sz w:val="18"/>
      </w:rPr>
      <w:instrText xml:space="preserve"> PAGE  \* MERGEFORMAT </w:instrText>
    </w:r>
    <w:r w:rsidRPr="003F48EB">
      <w:rPr>
        <w:b/>
        <w:sz w:val="18"/>
      </w:rPr>
      <w:fldChar w:fldCharType="separate"/>
    </w:r>
    <w:r w:rsidR="00875901">
      <w:rPr>
        <w:b/>
        <w:noProof/>
        <w:sz w:val="18"/>
      </w:rPr>
      <w:t>2</w:t>
    </w:r>
    <w:r w:rsidRPr="003F48E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5D592" w14:textId="00148A37" w:rsidR="003F48EB" w:rsidRPr="003F48EB" w:rsidRDefault="003F48EB" w:rsidP="003F48EB">
    <w:pPr>
      <w:pStyle w:val="Footer"/>
      <w:tabs>
        <w:tab w:val="right" w:pos="9638"/>
      </w:tabs>
      <w:rPr>
        <w:b/>
        <w:sz w:val="18"/>
      </w:rPr>
    </w:pPr>
    <w:r>
      <w:tab/>
    </w:r>
    <w:r w:rsidRPr="003F48EB">
      <w:rPr>
        <w:b/>
        <w:sz w:val="18"/>
      </w:rPr>
      <w:fldChar w:fldCharType="begin"/>
    </w:r>
    <w:r w:rsidRPr="003F48EB">
      <w:rPr>
        <w:b/>
        <w:sz w:val="18"/>
      </w:rPr>
      <w:instrText xml:space="preserve"> PAGE  \* MERGEFORMAT </w:instrText>
    </w:r>
    <w:r w:rsidRPr="003F48EB">
      <w:rPr>
        <w:b/>
        <w:sz w:val="18"/>
      </w:rPr>
      <w:fldChar w:fldCharType="separate"/>
    </w:r>
    <w:r w:rsidR="00875901">
      <w:rPr>
        <w:b/>
        <w:noProof/>
        <w:sz w:val="18"/>
      </w:rPr>
      <w:t>3</w:t>
    </w:r>
    <w:r w:rsidRPr="003F48EB">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0F3EC" w14:textId="77777777" w:rsidR="003F48EB" w:rsidRPr="000B175B" w:rsidRDefault="003F48EB" w:rsidP="000B175B">
      <w:pPr>
        <w:tabs>
          <w:tab w:val="right" w:pos="2155"/>
        </w:tabs>
        <w:spacing w:after="80"/>
        <w:ind w:left="680"/>
        <w:rPr>
          <w:u w:val="single"/>
        </w:rPr>
      </w:pPr>
      <w:r>
        <w:rPr>
          <w:u w:val="single"/>
        </w:rPr>
        <w:tab/>
      </w:r>
    </w:p>
  </w:footnote>
  <w:footnote w:type="continuationSeparator" w:id="0">
    <w:p w14:paraId="269C907B" w14:textId="77777777" w:rsidR="003F48EB" w:rsidRPr="00FC68B7" w:rsidRDefault="003F48EB" w:rsidP="00FC68B7">
      <w:pPr>
        <w:tabs>
          <w:tab w:val="left" w:pos="2155"/>
        </w:tabs>
        <w:spacing w:after="80"/>
        <w:ind w:left="680"/>
        <w:rPr>
          <w:u w:val="single"/>
        </w:rPr>
      </w:pPr>
      <w:r>
        <w:rPr>
          <w:u w:val="single"/>
        </w:rPr>
        <w:tab/>
      </w:r>
    </w:p>
  </w:footnote>
  <w:footnote w:type="continuationNotice" w:id="1">
    <w:p w14:paraId="6BCDDF03" w14:textId="77777777" w:rsidR="003F48EB" w:rsidRDefault="003F48EB"/>
  </w:footnote>
  <w:footnote w:id="2">
    <w:p w14:paraId="10B1E1F5" w14:textId="77777777" w:rsidR="003F48EB" w:rsidRPr="00904B47" w:rsidRDefault="003F48EB" w:rsidP="003F48EB">
      <w:pPr>
        <w:pStyle w:val="FootnoteText"/>
        <w:rPr>
          <w:szCs w:val="18"/>
        </w:rPr>
      </w:pPr>
      <w:r>
        <w:tab/>
      </w:r>
      <w:r w:rsidRPr="00221F52">
        <w:rPr>
          <w:rStyle w:val="FootnoteReference"/>
          <w:sz w:val="20"/>
          <w:vertAlign w:val="baseline"/>
        </w:rPr>
        <w:t>*</w:t>
      </w:r>
      <w:r>
        <w:rPr>
          <w:sz w:val="20"/>
        </w:rPr>
        <w:tab/>
      </w:r>
      <w:r w:rsidRPr="00904B47">
        <w:rPr>
          <w:szCs w:val="18"/>
        </w:rPr>
        <w:t>The present document is being issued without formal editing.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78B1E" w14:textId="7259CE24" w:rsidR="003F48EB" w:rsidRPr="003F48EB" w:rsidRDefault="001A1342">
    <w:pPr>
      <w:pStyle w:val="Header"/>
    </w:pPr>
    <w:fldSimple w:instr=" TITLE  \* MERGEFORMAT ">
      <w:r w:rsidR="003F48EB">
        <w:t>A/HRC/52/13/Add.1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CDE90" w14:textId="693F0C07" w:rsidR="003F48EB" w:rsidRPr="003F48EB" w:rsidRDefault="001A1342" w:rsidP="003F48EB">
    <w:pPr>
      <w:pStyle w:val="Header"/>
      <w:jc w:val="right"/>
    </w:pPr>
    <w:fldSimple w:instr=" TITLE  \* MERGEFORMAT ">
      <w:r w:rsidR="003F48EB">
        <w:t>A/HRC/52/13/Add.1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8CE53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702C6C"/>
    <w:multiLevelType w:val="hybridMultilevel"/>
    <w:tmpl w:val="B47CA2E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2F4B1F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1E24B6"/>
    <w:multiLevelType w:val="hybridMultilevel"/>
    <w:tmpl w:val="099E3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03020CF"/>
    <w:multiLevelType w:val="hybridMultilevel"/>
    <w:tmpl w:val="61D0FBCE"/>
    <w:lvl w:ilvl="0" w:tplc="9536A5D4">
      <w:start w:val="1"/>
      <w:numFmt w:val="lowerLetter"/>
      <w:lvlText w:val="%1."/>
      <w:lvlJc w:val="left"/>
      <w:pPr>
        <w:ind w:left="720" w:hanging="360"/>
      </w:pPr>
      <w:rPr>
        <w:rFonts w:ascii="Arial" w:eastAsia="Calibri" w:hAnsi="Arial" w:cs="Arial"/>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FE2E6D"/>
    <w:multiLevelType w:val="multilevel"/>
    <w:tmpl w:val="DC44A71E"/>
    <w:lvl w:ilvl="0">
      <w:start w:val="1"/>
      <w:numFmt w:val="decimal"/>
      <w:lvlText w:val="%1."/>
      <w:lvlJc w:val="left"/>
      <w:pPr>
        <w:ind w:left="360" w:hanging="360"/>
      </w:pPr>
      <w:rPr>
        <w:rFonts w:ascii="Arial" w:hAnsi="Arial" w:cs="Arial" w:hint="default"/>
      </w:rPr>
    </w:lvl>
    <w:lvl w:ilvl="1">
      <w:start w:val="1"/>
      <w:numFmt w:val="decimal"/>
      <w:isLgl/>
      <w:lvlText w:val="%1.%2."/>
      <w:lvlJc w:val="left"/>
      <w:pPr>
        <w:ind w:left="1080" w:hanging="720"/>
      </w:pPr>
      <w:rPr>
        <w:rFonts w:ascii="Arial" w:hAnsi="Arial" w:cs="Arial" w:hint="default"/>
        <w:color w:val="auto"/>
      </w:rPr>
    </w:lvl>
    <w:lvl w:ilvl="2">
      <w:start w:val="1"/>
      <w:numFmt w:val="decimal"/>
      <w:isLgl/>
      <w:lvlText w:val="%1.%2.%3."/>
      <w:lvlJc w:val="left"/>
      <w:pPr>
        <w:ind w:left="1440" w:hanging="720"/>
      </w:pPr>
      <w:rPr>
        <w:rFonts w:ascii="Times New Roman" w:hAnsi="Times New Roman" w:cs="Times New Roman" w:hint="default"/>
        <w:color w:val="auto"/>
      </w:rPr>
    </w:lvl>
    <w:lvl w:ilvl="3">
      <w:start w:val="1"/>
      <w:numFmt w:val="decimal"/>
      <w:isLgl/>
      <w:lvlText w:val="%1.%2.%3.%4."/>
      <w:lvlJc w:val="left"/>
      <w:pPr>
        <w:ind w:left="2160" w:hanging="1080"/>
      </w:pPr>
      <w:rPr>
        <w:rFonts w:ascii="Times New Roman" w:hAnsi="Times New Roman" w:cs="Times New Roman" w:hint="default"/>
        <w:color w:val="auto"/>
      </w:rPr>
    </w:lvl>
    <w:lvl w:ilvl="4">
      <w:start w:val="1"/>
      <w:numFmt w:val="decimal"/>
      <w:isLgl/>
      <w:lvlText w:val="%1.%2.%3.%4.%5."/>
      <w:lvlJc w:val="left"/>
      <w:pPr>
        <w:ind w:left="2520" w:hanging="1080"/>
      </w:pPr>
      <w:rPr>
        <w:rFonts w:ascii="Times New Roman" w:hAnsi="Times New Roman" w:cs="Times New Roman" w:hint="default"/>
        <w:color w:val="auto"/>
      </w:rPr>
    </w:lvl>
    <w:lvl w:ilvl="5">
      <w:start w:val="1"/>
      <w:numFmt w:val="decimal"/>
      <w:isLgl/>
      <w:lvlText w:val="%1.%2.%3.%4.%5.%6."/>
      <w:lvlJc w:val="left"/>
      <w:pPr>
        <w:ind w:left="3240" w:hanging="1440"/>
      </w:pPr>
      <w:rPr>
        <w:rFonts w:ascii="Times New Roman" w:hAnsi="Times New Roman" w:cs="Times New Roman" w:hint="default"/>
        <w:color w:val="auto"/>
      </w:rPr>
    </w:lvl>
    <w:lvl w:ilvl="6">
      <w:start w:val="1"/>
      <w:numFmt w:val="decimal"/>
      <w:isLgl/>
      <w:lvlText w:val="%1.%2.%3.%4.%5.%6.%7."/>
      <w:lvlJc w:val="left"/>
      <w:pPr>
        <w:ind w:left="3600" w:hanging="1440"/>
      </w:pPr>
      <w:rPr>
        <w:rFonts w:ascii="Times New Roman" w:hAnsi="Times New Roman" w:cs="Times New Roman" w:hint="default"/>
        <w:color w:val="auto"/>
      </w:rPr>
    </w:lvl>
    <w:lvl w:ilvl="7">
      <w:start w:val="1"/>
      <w:numFmt w:val="decimal"/>
      <w:isLgl/>
      <w:lvlText w:val="%1.%2.%3.%4.%5.%6.%7.%8."/>
      <w:lvlJc w:val="left"/>
      <w:pPr>
        <w:ind w:left="4320" w:hanging="1800"/>
      </w:pPr>
      <w:rPr>
        <w:rFonts w:ascii="Times New Roman" w:hAnsi="Times New Roman" w:cs="Times New Roman" w:hint="default"/>
        <w:color w:val="auto"/>
      </w:rPr>
    </w:lvl>
    <w:lvl w:ilvl="8">
      <w:start w:val="1"/>
      <w:numFmt w:val="decimal"/>
      <w:isLgl/>
      <w:lvlText w:val="%1.%2.%3.%4.%5.%6.%7.%8.%9."/>
      <w:lvlJc w:val="left"/>
      <w:pPr>
        <w:ind w:left="5040" w:hanging="2160"/>
      </w:pPr>
      <w:rPr>
        <w:rFonts w:ascii="Times New Roman" w:hAnsi="Times New Roman" w:cs="Times New Roman" w:hint="default"/>
        <w:color w:val="auto"/>
      </w:rPr>
    </w:lvl>
  </w:abstractNum>
  <w:abstractNum w:abstractNumId="1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6CD5734A"/>
    <w:multiLevelType w:val="hybridMultilevel"/>
    <w:tmpl w:val="2D36ECF8"/>
    <w:lvl w:ilvl="0" w:tplc="67A6E27E">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3"/>
  </w:num>
  <w:num w:numId="4">
    <w:abstractNumId w:val="3"/>
  </w:num>
  <w:num w:numId="5">
    <w:abstractNumId w:val="0"/>
  </w:num>
  <w:num w:numId="6">
    <w:abstractNumId w:val="1"/>
  </w:num>
  <w:num w:numId="7">
    <w:abstractNumId w:val="12"/>
  </w:num>
  <w:num w:numId="8">
    <w:abstractNumId w:val="2"/>
  </w:num>
  <w:num w:numId="9">
    <w:abstractNumId w:val="11"/>
  </w:num>
  <w:num w:numId="10">
    <w:abstractNumId w:val="9"/>
  </w:num>
  <w:num w:numId="11">
    <w:abstractNumId w:val="7"/>
  </w:num>
  <w:num w:numId="12">
    <w:abstractNumId w:val="10"/>
  </w:num>
  <w:num w:numId="13">
    <w:abstractNumId w:val="14"/>
  </w:num>
  <w:num w:numId="14">
    <w:abstractNumId w:val="4"/>
  </w:num>
  <w:num w:numId="1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8EB"/>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46D32"/>
    <w:rsid w:val="001509BA"/>
    <w:rsid w:val="001A1342"/>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A7BAB"/>
    <w:rsid w:val="002C21F0"/>
    <w:rsid w:val="003107FA"/>
    <w:rsid w:val="003229D8"/>
    <w:rsid w:val="003314D1"/>
    <w:rsid w:val="00335A2F"/>
    <w:rsid w:val="00341937"/>
    <w:rsid w:val="0039277A"/>
    <w:rsid w:val="003972E0"/>
    <w:rsid w:val="003975ED"/>
    <w:rsid w:val="003C2CC4"/>
    <w:rsid w:val="003D4B23"/>
    <w:rsid w:val="003F2A9B"/>
    <w:rsid w:val="003F48EB"/>
    <w:rsid w:val="00424C80"/>
    <w:rsid w:val="004325CB"/>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C13F1"/>
    <w:rsid w:val="005D53BE"/>
    <w:rsid w:val="005E1712"/>
    <w:rsid w:val="00611FC4"/>
    <w:rsid w:val="006176FB"/>
    <w:rsid w:val="00640B26"/>
    <w:rsid w:val="00655B60"/>
    <w:rsid w:val="00670741"/>
    <w:rsid w:val="00696BD6"/>
    <w:rsid w:val="006A6B9D"/>
    <w:rsid w:val="006A7392"/>
    <w:rsid w:val="006B3189"/>
    <w:rsid w:val="006B7D65"/>
    <w:rsid w:val="006D1728"/>
    <w:rsid w:val="006D6DA6"/>
    <w:rsid w:val="006E48A8"/>
    <w:rsid w:val="006E564B"/>
    <w:rsid w:val="006F13F0"/>
    <w:rsid w:val="006F5035"/>
    <w:rsid w:val="007065EB"/>
    <w:rsid w:val="00720183"/>
    <w:rsid w:val="0072632A"/>
    <w:rsid w:val="0074200B"/>
    <w:rsid w:val="007A6296"/>
    <w:rsid w:val="007A79E4"/>
    <w:rsid w:val="007B6BA5"/>
    <w:rsid w:val="007C1B62"/>
    <w:rsid w:val="007C3390"/>
    <w:rsid w:val="007C4F4B"/>
    <w:rsid w:val="007D2CDC"/>
    <w:rsid w:val="007D5327"/>
    <w:rsid w:val="007F4A48"/>
    <w:rsid w:val="007F6611"/>
    <w:rsid w:val="008155C3"/>
    <w:rsid w:val="008175E9"/>
    <w:rsid w:val="0082243E"/>
    <w:rsid w:val="00822975"/>
    <w:rsid w:val="008242D7"/>
    <w:rsid w:val="00856CD2"/>
    <w:rsid w:val="00861BC6"/>
    <w:rsid w:val="00871FD5"/>
    <w:rsid w:val="00875901"/>
    <w:rsid w:val="008847BB"/>
    <w:rsid w:val="008979B1"/>
    <w:rsid w:val="008A6B25"/>
    <w:rsid w:val="008A6C4F"/>
    <w:rsid w:val="008C1E4D"/>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BE655C"/>
    <w:rsid w:val="00C217E7"/>
    <w:rsid w:val="00C24693"/>
    <w:rsid w:val="00C35F0B"/>
    <w:rsid w:val="00C463DD"/>
    <w:rsid w:val="00C64458"/>
    <w:rsid w:val="00C745C3"/>
    <w:rsid w:val="00CA2A58"/>
    <w:rsid w:val="00CC0B55"/>
    <w:rsid w:val="00CD6995"/>
    <w:rsid w:val="00CE10AD"/>
    <w:rsid w:val="00CE4A8F"/>
    <w:rsid w:val="00CF0214"/>
    <w:rsid w:val="00CF586F"/>
    <w:rsid w:val="00CF7D43"/>
    <w:rsid w:val="00D11129"/>
    <w:rsid w:val="00D2031B"/>
    <w:rsid w:val="00D22332"/>
    <w:rsid w:val="00D25FE2"/>
    <w:rsid w:val="00D332F9"/>
    <w:rsid w:val="00D43252"/>
    <w:rsid w:val="00D550F9"/>
    <w:rsid w:val="00D572B0"/>
    <w:rsid w:val="00D62E90"/>
    <w:rsid w:val="00D76BE5"/>
    <w:rsid w:val="00D978C6"/>
    <w:rsid w:val="00DA67AD"/>
    <w:rsid w:val="00DB18CE"/>
    <w:rsid w:val="00DB5566"/>
    <w:rsid w:val="00DE3EC0"/>
    <w:rsid w:val="00E11593"/>
    <w:rsid w:val="00E12B6B"/>
    <w:rsid w:val="00E130AB"/>
    <w:rsid w:val="00E438D9"/>
    <w:rsid w:val="00E5644E"/>
    <w:rsid w:val="00E7260F"/>
    <w:rsid w:val="00E806EE"/>
    <w:rsid w:val="00E921A3"/>
    <w:rsid w:val="00E96630"/>
    <w:rsid w:val="00EB0FB9"/>
    <w:rsid w:val="00ED0CA9"/>
    <w:rsid w:val="00ED7A2A"/>
    <w:rsid w:val="00EF1D7F"/>
    <w:rsid w:val="00EF5BDB"/>
    <w:rsid w:val="00F07FD9"/>
    <w:rsid w:val="00F23933"/>
    <w:rsid w:val="00F23B0F"/>
    <w:rsid w:val="00F24119"/>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27BA2"/>
  <w15:docId w15:val="{D7B787D7-918E-4AD6-AF7B-5A026501C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3F48EB"/>
    <w:rPr>
      <w:sz w:val="18"/>
      <w:lang w:val="en-GB" w:eastAsia="en-US"/>
    </w:rPr>
  </w:style>
  <w:style w:type="paragraph" w:styleId="NormalWeb">
    <w:name w:val="Normal (Web)"/>
    <w:basedOn w:val="Normal"/>
    <w:semiHidden/>
    <w:unhideWhenUsed/>
    <w:rsid w:val="003F48EB"/>
    <w:rPr>
      <w:sz w:val="24"/>
      <w:szCs w:val="24"/>
    </w:rPr>
  </w:style>
  <w:style w:type="paragraph" w:styleId="Revision">
    <w:name w:val="Revision"/>
    <w:hidden/>
    <w:uiPriority w:val="99"/>
    <w:semiHidden/>
    <w:rsid w:val="007F4A4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A_E.dotm</Template>
  <TotalTime>0</TotalTime>
  <Pages>3</Pages>
  <Words>776</Words>
  <Characters>4424</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A/HRC/52/13/Add.1</vt:lpstr>
      <vt:lpstr/>
    </vt:vector>
  </TitlesOfParts>
  <Company>CSD</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A/HRC/52/13/Add.1</dc:title>
  <dc:creator>IHARA Sumiko</dc:creator>
  <cp:lastModifiedBy>Veronique Lanz</cp:lastModifiedBy>
  <cp:revision>2</cp:revision>
  <cp:lastPrinted>2008-01-29T08:30:00Z</cp:lastPrinted>
  <dcterms:created xsi:type="dcterms:W3CDTF">2023-03-10T07:27:00Z</dcterms:created>
  <dcterms:modified xsi:type="dcterms:W3CDTF">2023-03-10T07:27:00Z</dcterms:modified>
</cp:coreProperties>
</file>