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CAF9" w14:textId="77777777" w:rsidR="00E55113" w:rsidRPr="00870C19" w:rsidRDefault="00E55113" w:rsidP="001C3B5E">
      <w:pPr>
        <w:spacing w:before="100" w:beforeAutospacing="1" w:after="100" w:afterAutospacing="1"/>
        <w:jc w:val="center"/>
        <w:outlineLvl w:val="1"/>
        <w:rPr>
          <w:rFonts w:eastAsia="Times New Roman" w:cstheme="minorHAnsi"/>
          <w:b/>
          <w:bCs/>
          <w:kern w:val="0"/>
          <w14:ligatures w14:val="none"/>
        </w:rPr>
      </w:pPr>
      <w:r w:rsidRPr="00870C19">
        <w:rPr>
          <w:rFonts w:eastAsia="Times New Roman" w:cstheme="minorHAnsi"/>
          <w:b/>
          <w:bCs/>
          <w:kern w:val="0"/>
          <w14:ligatures w14:val="none"/>
        </w:rPr>
        <w:t>Franciscans International</w:t>
      </w:r>
    </w:p>
    <w:p w14:paraId="5CF65398" w14:textId="77777777" w:rsidR="001C3B5E" w:rsidRPr="00870C19" w:rsidRDefault="00E55113" w:rsidP="001C3B5E">
      <w:pPr>
        <w:spacing w:before="100" w:beforeAutospacing="1" w:after="100" w:afterAutospacing="1"/>
        <w:jc w:val="center"/>
        <w:outlineLvl w:val="1"/>
        <w:rPr>
          <w:rFonts w:eastAsia="Times New Roman" w:cstheme="minorHAnsi"/>
          <w:b/>
          <w:bCs/>
          <w:kern w:val="0"/>
          <w14:ligatures w14:val="none"/>
        </w:rPr>
      </w:pPr>
      <w:r w:rsidRPr="00870C19">
        <w:rPr>
          <w:rFonts w:eastAsia="Times New Roman" w:cstheme="minorHAnsi"/>
          <w:b/>
          <w:bCs/>
          <w:kern w:val="0"/>
          <w14:ligatures w14:val="none"/>
        </w:rPr>
        <w:t xml:space="preserve">Responses to the call for inputs for the </w:t>
      </w:r>
      <w:r w:rsidR="001C3B5E" w:rsidRPr="00870C19">
        <w:rPr>
          <w:rFonts w:cstheme="minorHAnsi"/>
          <w:b/>
          <w:bCs/>
        </w:rPr>
        <w:t>Working Group on Business and Human Rights</w:t>
      </w:r>
      <w:r w:rsidRPr="00870C19">
        <w:rPr>
          <w:rFonts w:eastAsia="Times New Roman" w:cstheme="minorHAnsi"/>
          <w:b/>
          <w:bCs/>
          <w:kern w:val="0"/>
          <w14:ligatures w14:val="none"/>
        </w:rPr>
        <w:t xml:space="preserve"> report on</w:t>
      </w:r>
    </w:p>
    <w:p w14:paraId="31D7C2B3" w14:textId="2EC3C78A" w:rsidR="00E55113" w:rsidRPr="00870C19" w:rsidRDefault="00E55113" w:rsidP="001C3B5E">
      <w:pPr>
        <w:spacing w:before="100" w:beforeAutospacing="1" w:after="100" w:afterAutospacing="1"/>
        <w:jc w:val="center"/>
        <w:outlineLvl w:val="1"/>
        <w:rPr>
          <w:rFonts w:eastAsia="Times New Roman" w:cstheme="minorHAnsi"/>
          <w:b/>
          <w:bCs/>
          <w:kern w:val="0"/>
          <w14:ligatures w14:val="none"/>
        </w:rPr>
      </w:pPr>
      <w:r w:rsidRPr="00870C19">
        <w:rPr>
          <w:rFonts w:eastAsia="Times New Roman" w:cstheme="minorHAnsi"/>
          <w:b/>
          <w:bCs/>
          <w:kern w:val="0"/>
          <w14:ligatures w14:val="none"/>
        </w:rPr>
        <w:t>“</w:t>
      </w:r>
      <w:r w:rsidRPr="00E55113">
        <w:rPr>
          <w:rFonts w:eastAsia="Times New Roman" w:cstheme="minorHAnsi"/>
          <w:b/>
          <w:bCs/>
          <w:kern w:val="0"/>
          <w14:ligatures w14:val="none"/>
        </w:rPr>
        <w:t>Extractive sector, just transition and human rights</w:t>
      </w:r>
      <w:r w:rsidRPr="00870C19">
        <w:rPr>
          <w:rFonts w:eastAsia="Times New Roman" w:cstheme="minorHAnsi"/>
          <w:b/>
          <w:bCs/>
          <w:kern w:val="0"/>
          <w14:ligatures w14:val="none"/>
        </w:rPr>
        <w:t>”</w:t>
      </w:r>
    </w:p>
    <w:p w14:paraId="34C7755E" w14:textId="54D29C52" w:rsidR="001C3B5E" w:rsidRPr="00E55113" w:rsidRDefault="001C3B5E" w:rsidP="001C3B5E">
      <w:pPr>
        <w:spacing w:before="100" w:beforeAutospacing="1" w:after="100" w:afterAutospacing="1"/>
        <w:jc w:val="center"/>
        <w:outlineLvl w:val="1"/>
        <w:rPr>
          <w:rFonts w:eastAsia="Times New Roman" w:cstheme="minorHAnsi"/>
          <w:b/>
          <w:bCs/>
          <w:kern w:val="0"/>
          <w14:ligatures w14:val="none"/>
        </w:rPr>
      </w:pPr>
      <w:r w:rsidRPr="00870C19">
        <w:rPr>
          <w:rFonts w:eastAsia="Times New Roman" w:cstheme="minorHAnsi"/>
          <w:b/>
          <w:bCs/>
          <w:kern w:val="0"/>
          <w14:ligatures w14:val="none"/>
        </w:rPr>
        <w:t>May 2023</w:t>
      </w:r>
    </w:p>
    <w:p w14:paraId="219292DF" w14:textId="6C11B3FE" w:rsidR="004161D5" w:rsidRPr="00257215" w:rsidRDefault="00B774E8" w:rsidP="71025AC5">
      <w:pPr>
        <w:spacing w:before="100" w:beforeAutospacing="1" w:after="100" w:afterAutospacing="1"/>
        <w:jc w:val="both"/>
        <w:rPr>
          <w:rFonts w:eastAsia="Times New Roman" w:cstheme="minorHAnsi"/>
          <w:vertAlign w:val="superscript"/>
        </w:rPr>
      </w:pPr>
      <w:r w:rsidRPr="00257215">
        <w:rPr>
          <w:rFonts w:eastAsia="Times New Roman" w:cstheme="minorHAnsi"/>
          <w:kern w:val="0"/>
          <w14:ligatures w14:val="none"/>
        </w:rPr>
        <w:t xml:space="preserve">The call for submissions notes </w:t>
      </w:r>
      <w:r w:rsidRPr="00257215">
        <w:rPr>
          <w:rFonts w:eastAsia="Times New Roman" w:cstheme="minorHAnsi"/>
          <w:kern w:val="0"/>
          <w14:ligatures w14:val="none"/>
        </w:rPr>
        <w:t xml:space="preserve">that </w:t>
      </w:r>
      <w:r w:rsidR="303B4218" w:rsidRPr="00257215">
        <w:rPr>
          <w:rFonts w:eastAsia="Times New Roman" w:cstheme="minorHAnsi"/>
        </w:rPr>
        <w:t xml:space="preserve">the </w:t>
      </w:r>
      <w:r w:rsidRPr="00257215">
        <w:rPr>
          <w:rFonts w:eastAsia="Times New Roman" w:cstheme="minorHAnsi"/>
          <w:kern w:val="0"/>
          <w14:ligatures w14:val="none"/>
        </w:rPr>
        <w:t>extractive</w:t>
      </w:r>
      <w:r w:rsidR="42FDB0B5" w:rsidRPr="00257215">
        <w:rPr>
          <w:rFonts w:eastAsia="Times New Roman" w:cstheme="minorHAnsi"/>
          <w:kern w:val="0"/>
          <w14:ligatures w14:val="none"/>
        </w:rPr>
        <w:t>s</w:t>
      </w:r>
      <w:r w:rsidRPr="00257215">
        <w:rPr>
          <w:rFonts w:eastAsia="Times New Roman" w:cstheme="minorHAnsi"/>
          <w:kern w:val="0"/>
          <w14:ligatures w14:val="none"/>
        </w:rPr>
        <w:t xml:space="preserve"> sector will be understood as </w:t>
      </w:r>
      <w:r w:rsidR="44D5D5AD" w:rsidRPr="00257215">
        <w:rPr>
          <w:rFonts w:eastAsia="Times New Roman" w:cstheme="minorHAnsi"/>
          <w:kern w:val="0"/>
          <w14:ligatures w14:val="none"/>
        </w:rPr>
        <w:t xml:space="preserve">a </w:t>
      </w:r>
      <w:r w:rsidRPr="00257215">
        <w:rPr>
          <w:rFonts w:eastAsia="Times New Roman" w:cstheme="minorHAnsi"/>
          <w:kern w:val="0"/>
          <w14:ligatures w14:val="none"/>
        </w:rPr>
        <w:t xml:space="preserve">“range of business enterprises, institutions and peoples involved in the extraction of oil, gas, solid minerals, and rare metals.” </w:t>
      </w:r>
      <w:r w:rsidR="004161D5" w:rsidRPr="00257215">
        <w:rPr>
          <w:rFonts w:eastAsia="Times New Roman" w:cstheme="minorHAnsi"/>
          <w:kern w:val="0"/>
          <w14:ligatures w14:val="none"/>
        </w:rPr>
        <w:t>Franciscans International</w:t>
      </w:r>
      <w:r w:rsidR="2C5C3B60" w:rsidRPr="00257215">
        <w:rPr>
          <w:rFonts w:eastAsia="Times New Roman" w:cstheme="minorHAnsi"/>
          <w:kern w:val="0"/>
          <w14:ligatures w14:val="none"/>
        </w:rPr>
        <w:t xml:space="preserve"> </w:t>
      </w:r>
      <w:r w:rsidR="7B4E5DFF" w:rsidRPr="00257215">
        <w:rPr>
          <w:rFonts w:eastAsia="Times New Roman" w:cstheme="minorHAnsi"/>
          <w:kern w:val="0"/>
          <w14:ligatures w14:val="none"/>
        </w:rPr>
        <w:t>(FI)</w:t>
      </w:r>
      <w:r w:rsidR="004161D5" w:rsidRPr="00257215">
        <w:rPr>
          <w:rFonts w:eastAsia="Times New Roman" w:cstheme="minorHAnsi"/>
          <w:kern w:val="0"/>
          <w14:ligatures w14:val="none"/>
        </w:rPr>
        <w:t xml:space="preserve"> </w:t>
      </w:r>
      <w:r w:rsidR="495B138E" w:rsidRPr="00257215">
        <w:rPr>
          <w:rFonts w:eastAsia="Times New Roman" w:cstheme="minorHAnsi"/>
        </w:rPr>
        <w:t>notes that</w:t>
      </w:r>
      <w:r w:rsidR="2EDC9B45" w:rsidRPr="00257215">
        <w:rPr>
          <w:rFonts w:eastAsia="Times New Roman" w:cstheme="minorHAnsi"/>
        </w:rPr>
        <w:t xml:space="preserve"> </w:t>
      </w:r>
      <w:r w:rsidR="4E94230C" w:rsidRPr="00257215">
        <w:rPr>
          <w:rFonts w:eastAsia="Times New Roman" w:cstheme="minorHAnsi"/>
        </w:rPr>
        <w:t xml:space="preserve">these </w:t>
      </w:r>
      <w:r w:rsidR="2EDC9B45" w:rsidRPr="00257215">
        <w:rPr>
          <w:rFonts w:eastAsia="Times New Roman" w:cstheme="minorHAnsi"/>
        </w:rPr>
        <w:t xml:space="preserve">extractive industries </w:t>
      </w:r>
      <w:r w:rsidR="5AD007F2" w:rsidRPr="00257215">
        <w:rPr>
          <w:rFonts w:eastAsia="Times New Roman" w:cstheme="minorHAnsi"/>
        </w:rPr>
        <w:t xml:space="preserve">usually </w:t>
      </w:r>
      <w:r w:rsidR="2EDC9B45" w:rsidRPr="00257215">
        <w:rPr>
          <w:rFonts w:eastAsia="Times New Roman" w:cstheme="minorHAnsi"/>
        </w:rPr>
        <w:t xml:space="preserve">operate in a context of </w:t>
      </w:r>
      <w:r w:rsidR="65ED3B59" w:rsidRPr="00257215">
        <w:rPr>
          <w:rFonts w:eastAsia="Times New Roman" w:cstheme="minorHAnsi"/>
        </w:rPr>
        <w:t xml:space="preserve">human rights violations, degradation of the environment, </w:t>
      </w:r>
      <w:r w:rsidR="726E368D" w:rsidRPr="00257215">
        <w:rPr>
          <w:rFonts w:eastAsia="Times New Roman" w:cstheme="minorHAnsi"/>
        </w:rPr>
        <w:t>and in a vacuum of impunity.</w:t>
      </w:r>
    </w:p>
    <w:p w14:paraId="1082DD76" w14:textId="4AFAE9D9" w:rsidR="004161D5" w:rsidRPr="00257215" w:rsidRDefault="726E368D" w:rsidP="71025AC5">
      <w:pPr>
        <w:spacing w:before="100" w:beforeAutospacing="1" w:after="100" w:afterAutospacing="1"/>
        <w:jc w:val="both"/>
        <w:rPr>
          <w:rFonts w:eastAsia="Times New Roman" w:cstheme="minorHAnsi"/>
          <w:lang w:val="en-GB"/>
        </w:rPr>
      </w:pPr>
      <w:r w:rsidRPr="00257215">
        <w:rPr>
          <w:rFonts w:eastAsia="Times New Roman" w:cstheme="minorHAnsi"/>
          <w:kern w:val="0"/>
          <w14:ligatures w14:val="none"/>
        </w:rPr>
        <w:t>FI i</w:t>
      </w:r>
      <w:r w:rsidR="001D36B4" w:rsidRPr="00257215">
        <w:rPr>
          <w:rFonts w:eastAsia="Times New Roman" w:cstheme="minorHAnsi"/>
          <w:kern w:val="0"/>
          <w14:ligatures w14:val="none"/>
        </w:rPr>
        <w:t>s</w:t>
      </w:r>
      <w:r w:rsidRPr="00257215">
        <w:rPr>
          <w:rFonts w:eastAsia="Times New Roman" w:cstheme="minorHAnsi"/>
          <w:kern w:val="0"/>
          <w14:ligatures w14:val="none"/>
        </w:rPr>
        <w:t xml:space="preserve"> </w:t>
      </w:r>
      <w:r w:rsidR="2A026B8C" w:rsidRPr="00257215">
        <w:rPr>
          <w:rFonts w:eastAsia="Times New Roman" w:cstheme="minorHAnsi"/>
          <w:kern w:val="0"/>
          <w14:ligatures w14:val="none"/>
        </w:rPr>
        <w:t>concerned</w:t>
      </w:r>
      <w:r w:rsidRPr="00257215">
        <w:rPr>
          <w:rFonts w:eastAsia="Times New Roman" w:cstheme="minorHAnsi"/>
          <w:kern w:val="0"/>
          <w14:ligatures w14:val="none"/>
        </w:rPr>
        <w:t xml:space="preserve"> that</w:t>
      </w:r>
      <w:r w:rsidR="7F4CB995" w:rsidRPr="00257215">
        <w:rPr>
          <w:rFonts w:eastAsia="Times New Roman" w:cstheme="minorHAnsi"/>
        </w:rPr>
        <w:t xml:space="preserve"> without guarantees of non-repetition</w:t>
      </w:r>
      <w:r w:rsidR="52BE61B7" w:rsidRPr="00257215">
        <w:rPr>
          <w:rFonts w:eastAsia="Times New Roman" w:cstheme="minorHAnsi"/>
        </w:rPr>
        <w:t>,</w:t>
      </w:r>
      <w:r w:rsidR="7F4CB995" w:rsidRPr="00257215">
        <w:rPr>
          <w:rFonts w:eastAsia="Times New Roman" w:cstheme="minorHAnsi"/>
        </w:rPr>
        <w:t xml:space="preserve"> and </w:t>
      </w:r>
      <w:r w:rsidR="2A282D68" w:rsidRPr="00257215">
        <w:rPr>
          <w:rFonts w:eastAsia="Times New Roman" w:cstheme="minorHAnsi"/>
        </w:rPr>
        <w:t>compr</w:t>
      </w:r>
      <w:r w:rsidR="7F4CB995" w:rsidRPr="00257215">
        <w:rPr>
          <w:rFonts w:eastAsia="Times New Roman" w:cstheme="minorHAnsi"/>
        </w:rPr>
        <w:t>e</w:t>
      </w:r>
      <w:r w:rsidR="2A282D68" w:rsidRPr="00257215">
        <w:rPr>
          <w:rFonts w:eastAsia="Times New Roman" w:cstheme="minorHAnsi"/>
        </w:rPr>
        <w:t>hensive</w:t>
      </w:r>
      <w:r w:rsidR="7F4CB995" w:rsidRPr="00257215">
        <w:rPr>
          <w:rFonts w:eastAsia="Times New Roman" w:cstheme="minorHAnsi"/>
          <w:kern w:val="0"/>
          <w14:ligatures w14:val="none"/>
        </w:rPr>
        <w:t xml:space="preserve"> </w:t>
      </w:r>
      <w:r w:rsidR="713285FE" w:rsidRPr="00257215">
        <w:rPr>
          <w:rFonts w:eastAsia="Times New Roman" w:cstheme="minorHAnsi"/>
          <w:kern w:val="0"/>
          <w14:ligatures w14:val="none"/>
        </w:rPr>
        <w:t xml:space="preserve">and binding </w:t>
      </w:r>
      <w:r w:rsidR="7F4CB995" w:rsidRPr="00257215">
        <w:rPr>
          <w:rFonts w:eastAsia="Times New Roman" w:cstheme="minorHAnsi"/>
          <w:kern w:val="0"/>
          <w14:ligatures w14:val="none"/>
        </w:rPr>
        <w:t>legislation</w:t>
      </w:r>
      <w:r w:rsidR="117842A3" w:rsidRPr="00257215">
        <w:rPr>
          <w:rFonts w:eastAsia="Times New Roman" w:cstheme="minorHAnsi"/>
        </w:rPr>
        <w:t xml:space="preserve"> for </w:t>
      </w:r>
      <w:r w:rsidR="1BD6AF57" w:rsidRPr="00257215">
        <w:rPr>
          <w:rFonts w:eastAsia="Times New Roman" w:cstheme="minorHAnsi"/>
        </w:rPr>
        <w:t xml:space="preserve">human rights and environmental </w:t>
      </w:r>
      <w:r w:rsidR="602C1C56" w:rsidRPr="00257215">
        <w:rPr>
          <w:rFonts w:eastAsia="Times New Roman" w:cstheme="minorHAnsi"/>
        </w:rPr>
        <w:t xml:space="preserve">due diligence and </w:t>
      </w:r>
      <w:r w:rsidR="117842A3" w:rsidRPr="00257215">
        <w:rPr>
          <w:rFonts w:eastAsia="Times New Roman" w:cstheme="minorHAnsi"/>
        </w:rPr>
        <w:t>accountability</w:t>
      </w:r>
      <w:r w:rsidR="7F4CB995" w:rsidRPr="00257215">
        <w:rPr>
          <w:rFonts w:eastAsia="Times New Roman" w:cstheme="minorHAnsi"/>
        </w:rPr>
        <w:t xml:space="preserve">, </w:t>
      </w:r>
      <w:r w:rsidR="00E52983" w:rsidRPr="00257215">
        <w:rPr>
          <w:rFonts w:eastAsia="Times New Roman" w:cstheme="minorHAnsi"/>
        </w:rPr>
        <w:t>business</w:t>
      </w:r>
      <w:r w:rsidR="00E52983" w:rsidRPr="00257215">
        <w:rPr>
          <w:rFonts w:eastAsia="Times New Roman" w:cstheme="minorHAnsi"/>
          <w:kern w:val="0"/>
          <w14:ligatures w14:val="none"/>
        </w:rPr>
        <w:t xml:space="preserve"> </w:t>
      </w:r>
      <w:r w:rsidR="763C1C7A" w:rsidRPr="00257215">
        <w:rPr>
          <w:rFonts w:eastAsia="Times New Roman" w:cstheme="minorHAnsi"/>
          <w:kern w:val="0"/>
          <w14:ligatures w14:val="none"/>
        </w:rPr>
        <w:t xml:space="preserve">enterprises </w:t>
      </w:r>
      <w:r w:rsidR="2ED5DCAF" w:rsidRPr="00257215">
        <w:rPr>
          <w:rFonts w:eastAsia="Times New Roman" w:cstheme="minorHAnsi"/>
          <w:kern w:val="0"/>
          <w14:ligatures w14:val="none"/>
        </w:rPr>
        <w:t>involved</w:t>
      </w:r>
      <w:r w:rsidR="763C1C7A" w:rsidRPr="00257215">
        <w:rPr>
          <w:rFonts w:eastAsia="Times New Roman" w:cstheme="minorHAnsi"/>
          <w:kern w:val="0"/>
          <w14:ligatures w14:val="none"/>
        </w:rPr>
        <w:t xml:space="preserve"> in</w:t>
      </w:r>
      <w:r w:rsidR="707B551C" w:rsidRPr="00257215">
        <w:rPr>
          <w:rFonts w:eastAsia="Times New Roman" w:cstheme="minorHAnsi"/>
          <w:kern w:val="0"/>
          <w14:ligatures w14:val="none"/>
        </w:rPr>
        <w:t xml:space="preserve"> extraction</w:t>
      </w:r>
      <w:r w:rsidR="763C1C7A" w:rsidRPr="00257215">
        <w:rPr>
          <w:rFonts w:eastAsia="Times New Roman" w:cstheme="minorHAnsi"/>
          <w:kern w:val="0"/>
          <w14:ligatures w14:val="none"/>
        </w:rPr>
        <w:t xml:space="preserve"> </w:t>
      </w:r>
      <w:r w:rsidR="0FC7B3C6" w:rsidRPr="00257215">
        <w:rPr>
          <w:rFonts w:eastAsia="Times New Roman" w:cstheme="minorHAnsi"/>
          <w:kern w:val="0"/>
          <w14:ligatures w14:val="none"/>
        </w:rPr>
        <w:t>w</w:t>
      </w:r>
      <w:r w:rsidR="66AC9BBA" w:rsidRPr="00257215">
        <w:rPr>
          <w:rFonts w:eastAsia="Times New Roman" w:cstheme="minorHAnsi"/>
          <w:kern w:val="0"/>
          <w14:ligatures w14:val="none"/>
        </w:rPr>
        <w:t>ill</w:t>
      </w:r>
      <w:r w:rsidR="0FC7B3C6" w:rsidRPr="00257215">
        <w:rPr>
          <w:rFonts w:eastAsia="Times New Roman" w:cstheme="minorHAnsi"/>
          <w:kern w:val="0"/>
          <w14:ligatures w14:val="none"/>
        </w:rPr>
        <w:t xml:space="preserve"> </w:t>
      </w:r>
      <w:r w:rsidR="009269F3" w:rsidRPr="00257215">
        <w:rPr>
          <w:rFonts w:eastAsia="Times New Roman" w:cstheme="minorHAnsi"/>
          <w:kern w:val="0"/>
          <w14:ligatures w14:val="none"/>
        </w:rPr>
        <w:t xml:space="preserve">continue to </w:t>
      </w:r>
      <w:r w:rsidR="223D45BB" w:rsidRPr="00257215">
        <w:rPr>
          <w:rFonts w:eastAsia="Times New Roman" w:cstheme="minorHAnsi"/>
          <w:kern w:val="0"/>
          <w14:ligatures w14:val="none"/>
        </w:rPr>
        <w:t>cause or contribute to</w:t>
      </w:r>
      <w:r w:rsidR="4D98E10A" w:rsidRPr="00257215">
        <w:rPr>
          <w:rFonts w:eastAsia="Times New Roman" w:cstheme="minorHAnsi"/>
          <w:kern w:val="0"/>
          <w14:ligatures w14:val="none"/>
        </w:rPr>
        <w:t xml:space="preserve"> human rights violations and environmental degradation</w:t>
      </w:r>
      <w:r w:rsidR="4C87FAA6" w:rsidRPr="00257215">
        <w:rPr>
          <w:rFonts w:eastAsia="Times New Roman" w:cstheme="minorHAnsi"/>
          <w:kern w:val="0"/>
          <w14:ligatures w14:val="none"/>
        </w:rPr>
        <w:t xml:space="preserve"> in the</w:t>
      </w:r>
      <w:r w:rsidR="4F6FCDE5" w:rsidRPr="00257215">
        <w:rPr>
          <w:rFonts w:eastAsia="Times New Roman" w:cstheme="minorHAnsi"/>
          <w:kern w:val="0"/>
          <w14:ligatures w14:val="none"/>
        </w:rPr>
        <w:t xml:space="preserve"> context of the</w:t>
      </w:r>
      <w:r w:rsidR="4C87FAA6" w:rsidRPr="00257215">
        <w:rPr>
          <w:rFonts w:eastAsia="Times New Roman" w:cstheme="minorHAnsi"/>
          <w:kern w:val="0"/>
          <w14:ligatures w14:val="none"/>
        </w:rPr>
        <w:t xml:space="preserve"> so-called energy transition</w:t>
      </w:r>
      <w:r w:rsidR="383D064F" w:rsidRPr="00257215">
        <w:rPr>
          <w:rFonts w:eastAsia="Times New Roman" w:cstheme="minorHAnsi"/>
          <w:kern w:val="0"/>
          <w14:ligatures w14:val="none"/>
        </w:rPr>
        <w:t>.</w:t>
      </w:r>
      <w:r w:rsidR="003801C3" w:rsidRPr="00257215">
        <w:rPr>
          <w:rFonts w:eastAsia="Times New Roman" w:cstheme="minorHAnsi"/>
        </w:rPr>
        <w:t xml:space="preserve"> As equally underscored by one of our Franciscan partners, “clean energy is a contradiction in terms</w:t>
      </w:r>
      <w:r w:rsidR="3210D450" w:rsidRPr="00257215">
        <w:rPr>
          <w:rFonts w:eastAsia="Times New Roman" w:cstheme="minorHAnsi"/>
        </w:rPr>
        <w:t>;</w:t>
      </w:r>
      <w:r w:rsidR="003801C3" w:rsidRPr="00257215">
        <w:rPr>
          <w:rFonts w:eastAsia="Times New Roman" w:cstheme="minorHAnsi"/>
        </w:rPr>
        <w:t>”</w:t>
      </w:r>
      <w:r w:rsidR="6CAB0E5F" w:rsidRPr="00257215">
        <w:rPr>
          <w:rFonts w:eastAsia="Times New Roman" w:cstheme="minorHAnsi"/>
        </w:rPr>
        <w:t xml:space="preserve"> </w:t>
      </w:r>
      <w:r w:rsidR="40D4691E" w:rsidRPr="00257215">
        <w:rPr>
          <w:rFonts w:eastAsia="Times New Roman" w:cstheme="minorHAnsi"/>
        </w:rPr>
        <w:t>indeed, “</w:t>
      </w:r>
      <w:r w:rsidR="003801C3" w:rsidRPr="00257215">
        <w:rPr>
          <w:rFonts w:eastAsia="Times New Roman" w:cstheme="minorHAnsi"/>
          <w:lang w:val="en-GB"/>
        </w:rPr>
        <w:t>what we see around the world is that mining always implies violence and human rights violations; environmental and ecological sacrifice; conflict with and within affected communities; labour exploitation and deepening of socio-economic inequalities.”</w:t>
      </w:r>
      <w:r w:rsidR="003801C3" w:rsidRPr="00257215">
        <w:rPr>
          <w:rStyle w:val="FootnoteReference"/>
          <w:rFonts w:eastAsia="Times New Roman" w:cstheme="minorHAnsi"/>
          <w:lang w:val="en-GB"/>
        </w:rPr>
        <w:footnoteReference w:id="2"/>
      </w:r>
    </w:p>
    <w:p w14:paraId="403D584D" w14:textId="3EBCE404" w:rsidR="676DB0B3" w:rsidRPr="00257215" w:rsidRDefault="00A025E4" w:rsidP="007B1E78">
      <w:pPr>
        <w:spacing w:before="100" w:beforeAutospacing="1" w:after="100" w:afterAutospacing="1"/>
        <w:jc w:val="both"/>
        <w:rPr>
          <w:rFonts w:eastAsia="Times New Roman" w:cstheme="minorHAnsi"/>
          <w:kern w:val="0"/>
          <w14:ligatures w14:val="none"/>
        </w:rPr>
      </w:pPr>
      <w:r w:rsidRPr="00257215">
        <w:rPr>
          <w:rFonts w:eastAsia="Times New Roman" w:cstheme="minorHAnsi"/>
          <w:kern w:val="0"/>
          <w14:ligatures w14:val="none"/>
        </w:rPr>
        <w:t xml:space="preserve">The Global North, which has much higher energy consumption, demands concentrated </w:t>
      </w:r>
      <w:r w:rsidR="0065510A" w:rsidRPr="00257215">
        <w:rPr>
          <w:rFonts w:eastAsia="Times New Roman" w:cstheme="minorHAnsi"/>
          <w:kern w:val="0"/>
          <w14:ligatures w14:val="none"/>
        </w:rPr>
        <w:t xml:space="preserve">mineral </w:t>
      </w:r>
      <w:r w:rsidRPr="00257215">
        <w:rPr>
          <w:rFonts w:eastAsia="Times New Roman" w:cstheme="minorHAnsi"/>
          <w:kern w:val="0"/>
          <w14:ligatures w14:val="none"/>
        </w:rPr>
        <w:t xml:space="preserve">extraction in countries mainly in the Global South to maintain their unsustainable lifestyles. </w:t>
      </w:r>
      <w:r w:rsidR="0025378B" w:rsidRPr="00257215">
        <w:rPr>
          <w:rFonts w:eastAsia="Times New Roman" w:cstheme="minorHAnsi"/>
          <w:kern w:val="0"/>
          <w14:ligatures w14:val="none"/>
        </w:rPr>
        <w:t xml:space="preserve">At the same time, the Global North has failed to provide adequate technology transfer and financial support to facilitate improvements in the energy sectors of developing States. </w:t>
      </w:r>
      <w:r w:rsidRPr="00257215">
        <w:rPr>
          <w:rFonts w:eastAsia="Times New Roman" w:cstheme="minorHAnsi"/>
          <w:kern w:val="0"/>
          <w14:ligatures w14:val="none"/>
        </w:rPr>
        <w:t xml:space="preserve">We note that many Indigenous peoples, </w:t>
      </w:r>
      <w:proofErr w:type="gramStart"/>
      <w:r w:rsidRPr="00257215">
        <w:rPr>
          <w:rFonts w:eastAsia="Times New Roman" w:cstheme="minorHAnsi"/>
          <w:kern w:val="0"/>
          <w14:ligatures w14:val="none"/>
        </w:rPr>
        <w:t>activists</w:t>
      </w:r>
      <w:proofErr w:type="gramEnd"/>
      <w:r w:rsidRPr="00257215">
        <w:rPr>
          <w:rFonts w:eastAsia="Times New Roman" w:cstheme="minorHAnsi"/>
          <w:kern w:val="0"/>
          <w14:ligatures w14:val="none"/>
        </w:rPr>
        <w:t xml:space="preserve"> and others are referring to the “transition” as </w:t>
      </w:r>
      <w:r w:rsidR="0053653E" w:rsidRPr="00257215">
        <w:rPr>
          <w:rFonts w:eastAsia="Times New Roman" w:cstheme="minorHAnsi"/>
          <w:kern w:val="0"/>
          <w14:ligatures w14:val="none"/>
        </w:rPr>
        <w:t>“</w:t>
      </w:r>
      <w:r w:rsidRPr="00257215">
        <w:rPr>
          <w:rFonts w:eastAsia="Times New Roman" w:cstheme="minorHAnsi"/>
          <w:kern w:val="0"/>
          <w14:ligatures w14:val="none"/>
        </w:rPr>
        <w:t>green colonialism</w:t>
      </w:r>
      <w:r w:rsidR="0053653E" w:rsidRPr="00257215">
        <w:rPr>
          <w:rFonts w:eastAsia="Times New Roman" w:cstheme="minorHAnsi"/>
          <w:kern w:val="0"/>
          <w14:ligatures w14:val="none"/>
        </w:rPr>
        <w:t>”</w:t>
      </w:r>
      <w:r w:rsidRPr="00257215">
        <w:rPr>
          <w:rFonts w:eastAsia="Times New Roman" w:cstheme="minorHAnsi"/>
          <w:kern w:val="0"/>
          <w14:ligatures w14:val="none"/>
        </w:rPr>
        <w:t>, and that the adverse impacts associated with extraction will once again disproportionately affect Indigenous peoples and other marginalized groups.</w:t>
      </w:r>
      <w:r w:rsidRPr="00257215">
        <w:rPr>
          <w:rStyle w:val="FootnoteReference"/>
          <w:rFonts w:eastAsia="Times New Roman" w:cstheme="minorHAnsi"/>
          <w:kern w:val="0"/>
          <w14:ligatures w14:val="none"/>
        </w:rPr>
        <w:footnoteReference w:id="3"/>
      </w:r>
      <w:r w:rsidR="0025378B" w:rsidRPr="00257215">
        <w:rPr>
          <w:rFonts w:eastAsia="Times New Roman" w:cstheme="minorHAnsi"/>
          <w:kern w:val="0"/>
          <w14:ligatures w14:val="none"/>
        </w:rPr>
        <w:t xml:space="preserve"> </w:t>
      </w:r>
    </w:p>
    <w:p w14:paraId="5F0F3C70" w14:textId="11B59C83" w:rsidR="676DB0B3" w:rsidRDefault="00AD07BA" w:rsidP="007B1E78">
      <w:pPr>
        <w:spacing w:before="100" w:beforeAutospacing="1" w:after="100" w:afterAutospacing="1"/>
        <w:rPr>
          <w:rFonts w:eastAsia="Times New Roman" w:cstheme="minorHAnsi"/>
          <w:kern w:val="0"/>
          <w14:ligatures w14:val="none"/>
        </w:rPr>
      </w:pPr>
      <w:r w:rsidRPr="00257215">
        <w:rPr>
          <w:rFonts w:eastAsia="Times New Roman" w:cstheme="minorHAnsi"/>
          <w:kern w:val="0"/>
          <w14:ligatures w14:val="none"/>
        </w:rPr>
        <w:t xml:space="preserve">We have chosen to focus on a few of the questions from the call for </w:t>
      </w:r>
      <w:proofErr w:type="gramStart"/>
      <w:r w:rsidRPr="00257215">
        <w:rPr>
          <w:rFonts w:eastAsia="Times New Roman" w:cstheme="minorHAnsi"/>
          <w:kern w:val="0"/>
          <w14:ligatures w14:val="none"/>
        </w:rPr>
        <w:t>submissions, but</w:t>
      </w:r>
      <w:proofErr w:type="gramEnd"/>
      <w:r w:rsidRPr="00257215">
        <w:rPr>
          <w:rFonts w:eastAsia="Times New Roman" w:cstheme="minorHAnsi"/>
          <w:kern w:val="0"/>
          <w14:ligatures w14:val="none"/>
        </w:rPr>
        <w:t xml:space="preserve"> note that </w:t>
      </w:r>
      <w:r w:rsidR="196BDFFE" w:rsidRPr="00257215">
        <w:rPr>
          <w:rFonts w:eastAsia="Times New Roman" w:cstheme="minorHAnsi"/>
        </w:rPr>
        <w:t xml:space="preserve">some of our answers </w:t>
      </w:r>
      <w:r w:rsidR="6D4DEF67" w:rsidRPr="00257215">
        <w:rPr>
          <w:rFonts w:eastAsia="Times New Roman" w:cstheme="minorHAnsi"/>
        </w:rPr>
        <w:t>relate</w:t>
      </w:r>
      <w:r w:rsidR="196BDFFE" w:rsidRPr="00257215">
        <w:rPr>
          <w:rFonts w:eastAsia="Times New Roman" w:cstheme="minorHAnsi"/>
        </w:rPr>
        <w:t xml:space="preserve"> to other questions</w:t>
      </w:r>
      <w:r w:rsidR="026DCA2D" w:rsidRPr="00257215">
        <w:rPr>
          <w:rFonts w:eastAsia="Times New Roman" w:cstheme="minorHAnsi"/>
          <w:kern w:val="0"/>
          <w14:ligatures w14:val="none"/>
        </w:rPr>
        <w:t xml:space="preserve"> as well</w:t>
      </w:r>
      <w:r w:rsidR="196BDFFE" w:rsidRPr="00257215">
        <w:rPr>
          <w:rFonts w:eastAsia="Times New Roman" w:cstheme="minorHAnsi"/>
          <w:kern w:val="0"/>
          <w14:ligatures w14:val="none"/>
        </w:rPr>
        <w:t xml:space="preserve">. </w:t>
      </w:r>
    </w:p>
    <w:p w14:paraId="1CD395FF" w14:textId="77777777" w:rsidR="00870C19" w:rsidRDefault="00870C19" w:rsidP="007B1E78">
      <w:pPr>
        <w:spacing w:before="100" w:beforeAutospacing="1" w:after="100" w:afterAutospacing="1"/>
        <w:rPr>
          <w:rFonts w:eastAsia="Times New Roman" w:cstheme="minorHAnsi"/>
          <w:kern w:val="0"/>
          <w14:ligatures w14:val="none"/>
        </w:rPr>
      </w:pPr>
    </w:p>
    <w:p w14:paraId="10D42206" w14:textId="77777777" w:rsidR="00870C19" w:rsidRPr="00257215" w:rsidRDefault="00870C19" w:rsidP="007B1E78">
      <w:pPr>
        <w:spacing w:before="100" w:beforeAutospacing="1" w:after="100" w:afterAutospacing="1"/>
        <w:rPr>
          <w:rFonts w:eastAsia="Times New Roman" w:cstheme="minorHAnsi"/>
          <w:kern w:val="0"/>
          <w:highlight w:val="yellow"/>
          <w14:ligatures w14:val="none"/>
        </w:rPr>
      </w:pPr>
    </w:p>
    <w:p w14:paraId="3F911A83" w14:textId="6D14F81B" w:rsidR="00B33B10" w:rsidRPr="00257215" w:rsidRDefault="008B3A2D" w:rsidP="70393994">
      <w:pPr>
        <w:spacing w:before="100" w:beforeAutospacing="1" w:after="100" w:afterAutospacing="1"/>
        <w:jc w:val="both"/>
        <w:rPr>
          <w:rFonts w:eastAsia="Times New Roman" w:cstheme="minorHAnsi"/>
          <w:b/>
          <w:bCs/>
          <w:kern w:val="0"/>
          <w14:ligatures w14:val="none"/>
        </w:rPr>
      </w:pPr>
      <w:r w:rsidRPr="00257215">
        <w:rPr>
          <w:rFonts w:eastAsia="Times New Roman" w:cstheme="minorHAnsi"/>
          <w:b/>
          <w:bCs/>
          <w:kern w:val="0"/>
          <w14:ligatures w14:val="none"/>
        </w:rPr>
        <w:lastRenderedPageBreak/>
        <w:t>1.</w:t>
      </w:r>
      <w:r w:rsidR="00E45353" w:rsidRPr="00257215">
        <w:rPr>
          <w:rFonts w:eastAsia="Times New Roman" w:cstheme="minorHAnsi"/>
          <w:b/>
          <w:bCs/>
        </w:rPr>
        <w:t xml:space="preserve"> </w:t>
      </w:r>
      <w:r w:rsidR="00986342" w:rsidRPr="00257215">
        <w:rPr>
          <w:rFonts w:eastAsia="Times New Roman" w:cstheme="minorHAnsi"/>
          <w:b/>
          <w:bCs/>
          <w:i/>
          <w:iCs/>
          <w:kern w:val="0"/>
          <w14:ligatures w14:val="none"/>
        </w:rPr>
        <w:t>How can States better advance human rights-compatible energy transition laws and policies that ensure responsible business conduct in all aspects of energy transition efforts and programs (e.g., including, but not limited to, design, approval, financing, implementation, and reporting of energy transition programs)?</w:t>
      </w:r>
    </w:p>
    <w:p w14:paraId="4BC3E93D" w14:textId="1772D59E" w:rsidR="70393994" w:rsidRPr="00257215" w:rsidRDefault="00EF3382" w:rsidP="007B1E78">
      <w:pPr>
        <w:spacing w:before="100" w:beforeAutospacing="1" w:after="100" w:afterAutospacing="1"/>
        <w:jc w:val="both"/>
        <w:rPr>
          <w:rFonts w:eastAsia="Times New Roman" w:cstheme="minorHAnsi"/>
          <w:kern w:val="0"/>
          <w14:ligatures w14:val="none"/>
        </w:rPr>
      </w:pPr>
      <w:r w:rsidRPr="00257215">
        <w:rPr>
          <w:rFonts w:eastAsia="Times New Roman" w:cstheme="minorHAnsi"/>
          <w:kern w:val="0"/>
          <w14:ligatures w14:val="none"/>
        </w:rPr>
        <w:t xml:space="preserve">First and foremost, States can better advance human rights-compatible energy transition laws and policies that ensure responsible business conduct </w:t>
      </w:r>
      <w:r w:rsidR="0038694A" w:rsidRPr="00257215">
        <w:rPr>
          <w:rFonts w:eastAsia="Times New Roman" w:cstheme="minorHAnsi"/>
          <w:kern w:val="0"/>
          <w14:ligatures w14:val="none"/>
        </w:rPr>
        <w:t xml:space="preserve">through </w:t>
      </w:r>
      <w:r w:rsidRPr="00257215">
        <w:rPr>
          <w:rFonts w:eastAsia="Times New Roman" w:cstheme="minorHAnsi"/>
          <w:kern w:val="0"/>
          <w14:ligatures w14:val="none"/>
        </w:rPr>
        <w:t xml:space="preserve">policy coherence between their international legal obligations and domestic laws and policies. This </w:t>
      </w:r>
      <w:proofErr w:type="gramStart"/>
      <w:r w:rsidR="0038694A" w:rsidRPr="00257215">
        <w:rPr>
          <w:rFonts w:eastAsia="Times New Roman" w:cstheme="minorHAnsi"/>
          <w:kern w:val="0"/>
          <w14:ligatures w14:val="none"/>
        </w:rPr>
        <w:t>sh</w:t>
      </w:r>
      <w:r w:rsidRPr="00257215">
        <w:rPr>
          <w:rFonts w:eastAsia="Times New Roman" w:cstheme="minorHAnsi"/>
          <w:kern w:val="0"/>
          <w14:ligatures w14:val="none"/>
        </w:rPr>
        <w:t>ould  include</w:t>
      </w:r>
      <w:proofErr w:type="gramEnd"/>
      <w:r w:rsidRPr="00257215">
        <w:rPr>
          <w:rFonts w:eastAsia="Times New Roman" w:cstheme="minorHAnsi"/>
          <w:kern w:val="0"/>
          <w14:ligatures w14:val="none"/>
        </w:rPr>
        <w:t xml:space="preserve"> the implementation of legislation on the right to a clean, healthy and sustainable environment, “including with respect to biodiversity and ecosystems.”</w:t>
      </w:r>
      <w:r w:rsidRPr="00257215">
        <w:rPr>
          <w:rStyle w:val="FootnoteReference"/>
          <w:rFonts w:eastAsia="Times New Roman" w:cstheme="minorHAnsi"/>
          <w:kern w:val="0"/>
          <w14:ligatures w14:val="none"/>
        </w:rPr>
        <w:footnoteReference w:id="4"/>
      </w:r>
      <w:r w:rsidR="00EC24B7" w:rsidRPr="00257215">
        <w:rPr>
          <w:rFonts w:eastAsia="Times New Roman" w:cstheme="minorHAnsi"/>
          <w:kern w:val="0"/>
          <w14:ligatures w14:val="none"/>
        </w:rPr>
        <w:t xml:space="preserve"> </w:t>
      </w:r>
      <w:r w:rsidR="1D3653F3" w:rsidRPr="00257215">
        <w:rPr>
          <w:rFonts w:eastAsia="Times New Roman" w:cstheme="minorHAnsi"/>
          <w:kern w:val="0"/>
          <w14:ligatures w14:val="none"/>
        </w:rPr>
        <w:t>L</w:t>
      </w:r>
      <w:r w:rsidR="00EC24B7" w:rsidRPr="00257215">
        <w:rPr>
          <w:rFonts w:eastAsia="Times New Roman" w:cstheme="minorHAnsi"/>
          <w:kern w:val="0"/>
          <w14:ligatures w14:val="none"/>
        </w:rPr>
        <w:t xml:space="preserve">egislative reform should </w:t>
      </w:r>
      <w:r w:rsidR="3183ED55" w:rsidRPr="00257215">
        <w:rPr>
          <w:rFonts w:eastAsia="Times New Roman" w:cstheme="minorHAnsi"/>
          <w:kern w:val="0"/>
          <w14:ligatures w14:val="none"/>
        </w:rPr>
        <w:t xml:space="preserve">also </w:t>
      </w:r>
      <w:r w:rsidR="00EC24B7" w:rsidRPr="00257215">
        <w:rPr>
          <w:rFonts w:eastAsia="Times New Roman" w:cstheme="minorHAnsi"/>
          <w:kern w:val="0"/>
          <w14:ligatures w14:val="none"/>
        </w:rPr>
        <w:t>include</w:t>
      </w:r>
      <w:r w:rsidR="00C91518" w:rsidRPr="00257215">
        <w:rPr>
          <w:rFonts w:eastAsia="Times New Roman" w:cstheme="minorHAnsi"/>
          <w:kern w:val="0"/>
          <w14:ligatures w14:val="none"/>
        </w:rPr>
        <w:t xml:space="preserve"> </w:t>
      </w:r>
      <w:r w:rsidR="00EC24B7" w:rsidRPr="00257215">
        <w:rPr>
          <w:rFonts w:eastAsia="Times New Roman" w:cstheme="minorHAnsi"/>
          <w:kern w:val="0"/>
          <w14:ligatures w14:val="none"/>
        </w:rPr>
        <w:t xml:space="preserve">the reversal of any lax environmental licensing and monitoring procedures, especially those developed as a result of undue influence and corruption by </w:t>
      </w:r>
      <w:r w:rsidR="008756AD" w:rsidRPr="00257215">
        <w:rPr>
          <w:rFonts w:eastAsia="Times New Roman" w:cstheme="minorHAnsi"/>
          <w:kern w:val="0"/>
          <w14:ligatures w14:val="none"/>
        </w:rPr>
        <w:t>corporations</w:t>
      </w:r>
      <w:r w:rsidR="00D458ED" w:rsidRPr="00257215">
        <w:rPr>
          <w:rFonts w:eastAsia="Times New Roman" w:cstheme="minorHAnsi"/>
          <w:kern w:val="0"/>
          <w14:ligatures w14:val="none"/>
        </w:rPr>
        <w:t>,</w:t>
      </w:r>
      <w:r w:rsidR="16A753A7" w:rsidRPr="00257215">
        <w:rPr>
          <w:rFonts w:eastAsia="Times New Roman" w:cstheme="minorHAnsi"/>
          <w:kern w:val="0"/>
          <w14:ligatures w14:val="none"/>
        </w:rPr>
        <w:t xml:space="preserve"> and</w:t>
      </w:r>
      <w:r w:rsidR="00D458ED" w:rsidRPr="00257215">
        <w:rPr>
          <w:rFonts w:eastAsia="Times New Roman" w:cstheme="minorHAnsi"/>
          <w:kern w:val="0"/>
          <w14:ligatures w14:val="none"/>
        </w:rPr>
        <w:t>/or</w:t>
      </w:r>
      <w:r w:rsidR="16A753A7" w:rsidRPr="00257215">
        <w:rPr>
          <w:rFonts w:eastAsia="Times New Roman" w:cstheme="minorHAnsi"/>
          <w:kern w:val="0"/>
          <w14:ligatures w14:val="none"/>
        </w:rPr>
        <w:t xml:space="preserve"> as part of</w:t>
      </w:r>
      <w:r w:rsidR="00E85651" w:rsidRPr="00257215">
        <w:rPr>
          <w:rFonts w:eastAsia="Times New Roman" w:cstheme="minorHAnsi"/>
          <w:kern w:val="0"/>
          <w14:ligatures w14:val="none"/>
        </w:rPr>
        <w:t xml:space="preserve"> econom</w:t>
      </w:r>
      <w:r w:rsidR="00F97050" w:rsidRPr="00257215">
        <w:rPr>
          <w:rFonts w:eastAsia="Times New Roman" w:cstheme="minorHAnsi"/>
          <w:kern w:val="0"/>
          <w14:ligatures w14:val="none"/>
        </w:rPr>
        <w:t>ic</w:t>
      </w:r>
      <w:r w:rsidR="16A753A7" w:rsidRPr="00257215">
        <w:rPr>
          <w:rFonts w:eastAsia="Times New Roman" w:cstheme="minorHAnsi"/>
          <w:kern w:val="0"/>
          <w14:ligatures w14:val="none"/>
        </w:rPr>
        <w:t xml:space="preserve"> recovery plans</w:t>
      </w:r>
      <w:r w:rsidR="00E85651" w:rsidRPr="00257215">
        <w:rPr>
          <w:rFonts w:eastAsia="Times New Roman" w:cstheme="minorHAnsi"/>
        </w:rPr>
        <w:t xml:space="preserve"> </w:t>
      </w:r>
      <w:r w:rsidR="3EBAC1C5" w:rsidRPr="00257215">
        <w:rPr>
          <w:rFonts w:eastAsia="Times New Roman" w:cstheme="minorHAnsi"/>
        </w:rPr>
        <w:t xml:space="preserve">during </w:t>
      </w:r>
      <w:r w:rsidR="00E85651" w:rsidRPr="00257215">
        <w:rPr>
          <w:rFonts w:eastAsia="Times New Roman" w:cstheme="minorHAnsi"/>
          <w:kern w:val="0"/>
          <w14:ligatures w14:val="none"/>
        </w:rPr>
        <w:t>after the Covid-19 pandemic</w:t>
      </w:r>
      <w:r w:rsidR="00477974" w:rsidRPr="00257215">
        <w:rPr>
          <w:rFonts w:eastAsia="Times New Roman" w:cstheme="minorHAnsi"/>
          <w:kern w:val="0"/>
          <w14:ligatures w14:val="none"/>
        </w:rPr>
        <w:t>.</w:t>
      </w:r>
      <w:r w:rsidR="00E85651" w:rsidRPr="00257215">
        <w:rPr>
          <w:rStyle w:val="FootnoteReference"/>
          <w:rFonts w:eastAsia="Times New Roman" w:cstheme="minorHAnsi"/>
        </w:rPr>
        <w:footnoteReference w:id="5"/>
      </w:r>
    </w:p>
    <w:p w14:paraId="2AB2D0E7" w14:textId="4D20FC82" w:rsidR="676DB0B3" w:rsidRPr="00257215" w:rsidDel="005E1943" w:rsidRDefault="00C91518" w:rsidP="00304060">
      <w:pPr>
        <w:spacing w:before="100" w:beforeAutospacing="1" w:after="100" w:afterAutospacing="1"/>
        <w:jc w:val="both"/>
        <w:rPr>
          <w:rFonts w:eastAsia="Times New Roman" w:cstheme="minorHAnsi"/>
        </w:rPr>
      </w:pPr>
      <w:r w:rsidRPr="00257215">
        <w:rPr>
          <w:rFonts w:eastAsia="Times New Roman" w:cstheme="minorHAnsi"/>
          <w:kern w:val="0"/>
          <w14:ligatures w14:val="none"/>
        </w:rPr>
        <w:t xml:space="preserve">We </w:t>
      </w:r>
      <w:r w:rsidR="0038694A" w:rsidRPr="00257215">
        <w:rPr>
          <w:rFonts w:eastAsia="Times New Roman" w:cstheme="minorHAnsi"/>
          <w:kern w:val="0"/>
          <w14:ligatures w14:val="none"/>
        </w:rPr>
        <w:t>underscore</w:t>
      </w:r>
      <w:r w:rsidRPr="00257215">
        <w:rPr>
          <w:rFonts w:eastAsia="Times New Roman" w:cstheme="minorHAnsi"/>
          <w:kern w:val="0"/>
          <w14:ligatures w14:val="none"/>
        </w:rPr>
        <w:t xml:space="preserve"> that renewable energy technologies</w:t>
      </w:r>
      <w:r w:rsidR="0038694A" w:rsidRPr="00257215">
        <w:rPr>
          <w:rFonts w:eastAsia="Times New Roman" w:cstheme="minorHAnsi"/>
          <w:kern w:val="0"/>
          <w14:ligatures w14:val="none"/>
        </w:rPr>
        <w:t>,</w:t>
      </w:r>
      <w:r w:rsidR="0038694A" w:rsidRPr="00257215">
        <w:rPr>
          <w:rFonts w:cstheme="minorHAnsi"/>
        </w:rPr>
        <w:t xml:space="preserve"> </w:t>
      </w:r>
      <w:r w:rsidR="0038694A" w:rsidRPr="00257215">
        <w:rPr>
          <w:rFonts w:eastAsia="Times New Roman" w:cstheme="minorHAnsi"/>
          <w:kern w:val="0"/>
          <w14:ligatures w14:val="none"/>
        </w:rPr>
        <w:t>such as large-scale wind farms and hydroelectric dams, can have significant environmental impacts, including habitat destruction, soil erosion, and loss of biodiversity</w:t>
      </w:r>
      <w:r w:rsidR="004A6D4D" w:rsidRPr="00257215">
        <w:rPr>
          <w:rFonts w:eastAsia="Times New Roman" w:cstheme="minorHAnsi"/>
          <w:kern w:val="0"/>
          <w14:ligatures w14:val="none"/>
        </w:rPr>
        <w:t>.</w:t>
      </w:r>
      <w:r w:rsidR="0038694A" w:rsidRPr="00257215">
        <w:rPr>
          <w:rFonts w:eastAsia="Times New Roman" w:cstheme="minorHAnsi"/>
          <w:kern w:val="0"/>
          <w14:ligatures w14:val="none"/>
        </w:rPr>
        <w:t xml:space="preserve"> States cannot effectively deal with the climate crisis, especially with a view towards future generations, by further degrading land and entire ecosystems. </w:t>
      </w:r>
      <w:r w:rsidR="008756AD" w:rsidRPr="00257215">
        <w:rPr>
          <w:rFonts w:eastAsia="Times New Roman" w:cstheme="minorHAnsi"/>
          <w:kern w:val="0"/>
          <w14:ligatures w14:val="none"/>
        </w:rPr>
        <w:t xml:space="preserve">In addition to the adoption and strengthening of relevant </w:t>
      </w:r>
      <w:r w:rsidR="008756AD" w:rsidRPr="00257215">
        <w:rPr>
          <w:rFonts w:eastAsia="Times New Roman" w:cstheme="minorHAnsi"/>
          <w:kern w:val="0"/>
          <w14:ligatures w14:val="none"/>
        </w:rPr>
        <w:t>laws and policies, States should also</w:t>
      </w:r>
      <w:r w:rsidR="4E3CDCC5" w:rsidRPr="00257215">
        <w:rPr>
          <w:rFonts w:eastAsia="Times New Roman" w:cstheme="minorHAnsi"/>
        </w:rPr>
        <w:t xml:space="preserve"> establish</w:t>
      </w:r>
      <w:r w:rsidR="4E3CDCC5" w:rsidRPr="00257215">
        <w:rPr>
          <w:rFonts w:eastAsia="Times New Roman" w:cstheme="minorHAnsi"/>
          <w:kern w:val="0"/>
          <w14:ligatures w14:val="none"/>
        </w:rPr>
        <w:t xml:space="preserve"> and</w:t>
      </w:r>
      <w:r w:rsidR="008756AD" w:rsidRPr="00257215">
        <w:rPr>
          <w:rFonts w:eastAsia="Times New Roman" w:cstheme="minorHAnsi"/>
          <w:kern w:val="0"/>
          <w14:ligatures w14:val="none"/>
        </w:rPr>
        <w:t xml:space="preserve"> strengthen </w:t>
      </w:r>
      <w:r w:rsidR="2A85D7DB" w:rsidRPr="00257215">
        <w:rPr>
          <w:rFonts w:eastAsia="Times New Roman" w:cstheme="minorHAnsi"/>
          <w:kern w:val="0"/>
          <w14:ligatures w14:val="none"/>
        </w:rPr>
        <w:t xml:space="preserve">independent, </w:t>
      </w:r>
      <w:r w:rsidR="008756AD" w:rsidRPr="00257215">
        <w:rPr>
          <w:rFonts w:eastAsia="Times New Roman" w:cstheme="minorHAnsi"/>
          <w:kern w:val="0"/>
          <w14:ligatures w14:val="none"/>
        </w:rPr>
        <w:t>public environmental institutions</w:t>
      </w:r>
      <w:r w:rsidR="3BEDAF87" w:rsidRPr="00257215">
        <w:rPr>
          <w:rFonts w:eastAsia="Times New Roman" w:cstheme="minorHAnsi"/>
        </w:rPr>
        <w:t>, particularly those who could effectively supervise and monitor</w:t>
      </w:r>
      <w:r w:rsidR="3BEDAF87" w:rsidRPr="00257215">
        <w:rPr>
          <w:rFonts w:eastAsia="Times New Roman" w:cstheme="minorHAnsi"/>
          <w:kern w:val="0"/>
          <w14:ligatures w14:val="none"/>
        </w:rPr>
        <w:t xml:space="preserve"> the implementation of environmental policies</w:t>
      </w:r>
      <w:r w:rsidR="23438FB4" w:rsidRPr="00257215">
        <w:rPr>
          <w:rFonts w:eastAsia="Times New Roman" w:cstheme="minorHAnsi"/>
        </w:rPr>
        <w:t xml:space="preserve">, </w:t>
      </w:r>
      <w:proofErr w:type="gramStart"/>
      <w:r w:rsidR="23438FB4" w:rsidRPr="00257215">
        <w:rPr>
          <w:rFonts w:eastAsia="Times New Roman" w:cstheme="minorHAnsi"/>
          <w:kern w:val="0"/>
          <w14:ligatures w14:val="none"/>
        </w:rPr>
        <w:t>regulations</w:t>
      </w:r>
      <w:proofErr w:type="gramEnd"/>
      <w:r w:rsidR="23438FB4" w:rsidRPr="00257215">
        <w:rPr>
          <w:rFonts w:eastAsia="Times New Roman" w:cstheme="minorHAnsi"/>
          <w:kern w:val="0"/>
          <w14:ligatures w14:val="none"/>
        </w:rPr>
        <w:t xml:space="preserve"> and legislation</w:t>
      </w:r>
      <w:r w:rsidR="225C38C0" w:rsidRPr="00257215">
        <w:rPr>
          <w:rFonts w:eastAsia="Times New Roman" w:cstheme="minorHAnsi"/>
          <w:kern w:val="0"/>
          <w14:ligatures w14:val="none"/>
        </w:rPr>
        <w:t>.</w:t>
      </w:r>
      <w:r w:rsidR="7565B0B2" w:rsidRPr="00257215">
        <w:rPr>
          <w:rFonts w:eastAsia="Times New Roman" w:cstheme="minorHAnsi"/>
          <w:kern w:val="0"/>
          <w14:ligatures w14:val="none"/>
        </w:rPr>
        <w:t xml:space="preserve"> </w:t>
      </w:r>
    </w:p>
    <w:p w14:paraId="6C4B3707" w14:textId="29DD828E" w:rsidR="00B33B10" w:rsidRPr="00257215" w:rsidRDefault="00B33B10" w:rsidP="00B61370">
      <w:pPr>
        <w:spacing w:before="100" w:beforeAutospacing="1" w:after="100" w:afterAutospacing="1"/>
        <w:jc w:val="both"/>
        <w:rPr>
          <w:rFonts w:eastAsia="Times New Roman" w:cstheme="minorHAnsi"/>
          <w:kern w:val="0"/>
          <w14:ligatures w14:val="none"/>
        </w:rPr>
      </w:pPr>
      <w:r w:rsidRPr="00257215">
        <w:rPr>
          <w:rFonts w:eastAsia="Times New Roman" w:cstheme="minorHAnsi"/>
          <w:kern w:val="0"/>
          <w14:ligatures w14:val="none"/>
        </w:rPr>
        <w:t xml:space="preserve">States should adopt forward-looking laws, policies, and practices that </w:t>
      </w:r>
      <w:r w:rsidR="00EF3382" w:rsidRPr="00257215">
        <w:rPr>
          <w:rFonts w:eastAsia="Times New Roman" w:cstheme="minorHAnsi"/>
          <w:kern w:val="0"/>
          <w14:ligatures w14:val="none"/>
        </w:rPr>
        <w:t>deal with</w:t>
      </w:r>
      <w:r w:rsidRPr="00257215">
        <w:rPr>
          <w:rFonts w:eastAsia="Times New Roman" w:cstheme="minorHAnsi"/>
          <w:kern w:val="0"/>
          <w14:ligatures w14:val="none"/>
        </w:rPr>
        <w:t xml:space="preserve"> </w:t>
      </w:r>
      <w:r w:rsidR="2FBB9182" w:rsidRPr="00257215">
        <w:rPr>
          <w:rFonts w:eastAsia="Times New Roman" w:cstheme="minorHAnsi"/>
          <w:kern w:val="0"/>
          <w14:ligatures w14:val="none"/>
        </w:rPr>
        <w:t xml:space="preserve">the </w:t>
      </w:r>
      <w:r w:rsidRPr="00257215">
        <w:rPr>
          <w:rFonts w:eastAsia="Times New Roman" w:cstheme="minorHAnsi"/>
          <w:kern w:val="0"/>
          <w14:ligatures w14:val="none"/>
        </w:rPr>
        <w:t xml:space="preserve">extraction of minerals and rare metals used </w:t>
      </w:r>
      <w:r w:rsidR="00B35573" w:rsidRPr="00257215">
        <w:rPr>
          <w:rFonts w:eastAsia="Times New Roman" w:cstheme="minorHAnsi"/>
          <w:kern w:val="0"/>
          <w14:ligatures w14:val="none"/>
        </w:rPr>
        <w:t>in</w:t>
      </w:r>
      <w:r w:rsidRPr="00257215">
        <w:rPr>
          <w:rFonts w:eastAsia="Times New Roman" w:cstheme="minorHAnsi"/>
          <w:kern w:val="0"/>
          <w14:ligatures w14:val="none"/>
        </w:rPr>
        <w:t xml:space="preserve"> so-called “green energy”</w:t>
      </w:r>
      <w:r w:rsidR="006E5693" w:rsidRPr="00257215">
        <w:rPr>
          <w:rFonts w:eastAsia="Times New Roman" w:cstheme="minorHAnsi"/>
          <w:kern w:val="0"/>
          <w14:ligatures w14:val="none"/>
        </w:rPr>
        <w:t>. States</w:t>
      </w:r>
      <w:r w:rsidR="00A86BD2" w:rsidRPr="00257215">
        <w:rPr>
          <w:rFonts w:eastAsia="Times New Roman" w:cstheme="minorHAnsi"/>
          <w:kern w:val="0"/>
          <w14:ligatures w14:val="none"/>
        </w:rPr>
        <w:t xml:space="preserve"> should </w:t>
      </w:r>
      <w:r w:rsidRPr="00257215">
        <w:rPr>
          <w:rFonts w:eastAsia="Times New Roman" w:cstheme="minorHAnsi"/>
          <w:kern w:val="0"/>
          <w14:ligatures w14:val="none"/>
        </w:rPr>
        <w:t xml:space="preserve">also ensure that laws and policies towards fossil fuels are strengthened with an aim towards a total ban on extraction. </w:t>
      </w:r>
      <w:r w:rsidR="00564F4C" w:rsidRPr="00257215">
        <w:rPr>
          <w:rFonts w:eastAsia="Times New Roman" w:cstheme="minorHAnsi"/>
          <w:kern w:val="0"/>
          <w14:ligatures w14:val="none"/>
        </w:rPr>
        <w:t xml:space="preserve">Given the gravity of the crisis, and </w:t>
      </w:r>
      <w:r w:rsidR="00671A10" w:rsidRPr="00257215">
        <w:rPr>
          <w:rFonts w:eastAsia="Times New Roman" w:cstheme="minorHAnsi"/>
          <w:kern w:val="0"/>
          <w14:ligatures w14:val="none"/>
        </w:rPr>
        <w:t>borrowing from</w:t>
      </w:r>
      <w:r w:rsidR="00B35573" w:rsidRPr="00257215">
        <w:rPr>
          <w:rFonts w:eastAsia="Times New Roman" w:cstheme="minorHAnsi"/>
          <w:kern w:val="0"/>
          <w14:ligatures w14:val="none"/>
        </w:rPr>
        <w:t xml:space="preserve"> the commentary to UNGP 19, </w:t>
      </w:r>
      <w:r w:rsidR="002244B8" w:rsidRPr="00257215">
        <w:rPr>
          <w:rFonts w:eastAsia="Times New Roman" w:cstheme="minorHAnsi"/>
          <w:kern w:val="0"/>
          <w14:ligatures w14:val="none"/>
        </w:rPr>
        <w:t xml:space="preserve">companies, including those with relationships linked to fossil fuel extraction, should “be prepared to accept any consequences – reputational, financial or legal – of the continuing connection.” </w:t>
      </w:r>
    </w:p>
    <w:p w14:paraId="7B72630E" w14:textId="3303BC8A" w:rsidR="70393994" w:rsidRPr="00257215" w:rsidRDefault="0009446E" w:rsidP="00B61370">
      <w:pPr>
        <w:spacing w:before="100" w:beforeAutospacing="1" w:after="100" w:afterAutospacing="1"/>
        <w:jc w:val="both"/>
        <w:rPr>
          <w:rFonts w:eastAsia="Times New Roman" w:cstheme="minorHAnsi"/>
          <w:b/>
          <w:bCs/>
          <w:kern w:val="0"/>
          <w14:ligatures w14:val="none"/>
        </w:rPr>
      </w:pPr>
      <w:r w:rsidRPr="00257215">
        <w:rPr>
          <w:rFonts w:eastAsia="Times New Roman" w:cstheme="minorHAnsi"/>
          <w:b/>
          <w:bCs/>
          <w:kern w:val="0"/>
          <w14:ligatures w14:val="none"/>
        </w:rPr>
        <w:t>3.</w:t>
      </w:r>
      <w:r w:rsidR="005E1943" w:rsidRPr="00257215">
        <w:rPr>
          <w:rFonts w:eastAsia="Times New Roman" w:cstheme="minorHAnsi"/>
          <w:b/>
          <w:bCs/>
        </w:rPr>
        <w:t xml:space="preserve"> </w:t>
      </w:r>
      <w:r w:rsidRPr="00257215">
        <w:rPr>
          <w:rFonts w:eastAsia="Times New Roman" w:cstheme="minorHAnsi"/>
          <w:b/>
          <w:bCs/>
          <w:i/>
          <w:iCs/>
          <w:kern w:val="0"/>
          <w14:ligatures w14:val="none"/>
        </w:rPr>
        <w:t xml:space="preserve">What mechanisms or processes should exist at the State level (e.g., inter-ministerial committee, ex ante human rights impact and risk assessment) to assess and ensure that extractive sector operations, including the production and distribution of transition minerals, do not impact negatively human rights? Are these measures effectively enforced and do they provide the necessary coverage </w:t>
      </w:r>
      <w:proofErr w:type="gramStart"/>
      <w:r w:rsidRPr="00257215">
        <w:rPr>
          <w:rFonts w:eastAsia="Times New Roman" w:cstheme="minorHAnsi"/>
          <w:b/>
          <w:bCs/>
          <w:i/>
          <w:iCs/>
          <w:kern w:val="0"/>
          <w14:ligatures w14:val="none"/>
        </w:rPr>
        <w:t>in light of</w:t>
      </w:r>
      <w:proofErr w:type="gramEnd"/>
      <w:r w:rsidRPr="00257215">
        <w:rPr>
          <w:rFonts w:eastAsia="Times New Roman" w:cstheme="minorHAnsi"/>
          <w:b/>
          <w:bCs/>
          <w:i/>
          <w:iCs/>
          <w:kern w:val="0"/>
          <w14:ligatures w14:val="none"/>
        </w:rPr>
        <w:t xml:space="preserve"> energy transition plans, programs and activities?</w:t>
      </w:r>
    </w:p>
    <w:p w14:paraId="1EB1D2C0" w14:textId="0C4CE8BB" w:rsidR="676DB0B3" w:rsidRPr="00257215" w:rsidRDefault="00CB4B7E" w:rsidP="00257215">
      <w:pPr>
        <w:spacing w:before="100" w:beforeAutospacing="1" w:after="100" w:afterAutospacing="1"/>
        <w:jc w:val="both"/>
        <w:rPr>
          <w:rFonts w:eastAsia="Times New Roman" w:cstheme="minorHAnsi"/>
          <w:kern w:val="0"/>
          <w14:ligatures w14:val="none"/>
        </w:rPr>
      </w:pPr>
      <w:r w:rsidRPr="00257215">
        <w:rPr>
          <w:rFonts w:eastAsia="Times New Roman" w:cstheme="minorHAnsi"/>
          <w:kern w:val="0"/>
          <w14:ligatures w14:val="none"/>
        </w:rPr>
        <w:t>States must have mechanism</w:t>
      </w:r>
      <w:r w:rsidR="00F9527B" w:rsidRPr="00257215">
        <w:rPr>
          <w:rFonts w:eastAsia="Times New Roman" w:cstheme="minorHAnsi"/>
          <w:kern w:val="0"/>
          <w14:ligatures w14:val="none"/>
        </w:rPr>
        <w:t>s</w:t>
      </w:r>
      <w:r w:rsidRPr="00257215">
        <w:rPr>
          <w:rFonts w:eastAsia="Times New Roman" w:cstheme="minorHAnsi"/>
          <w:kern w:val="0"/>
          <w14:ligatures w14:val="none"/>
        </w:rPr>
        <w:t xml:space="preserve"> </w:t>
      </w:r>
      <w:r w:rsidR="00CD483F" w:rsidRPr="00257215">
        <w:rPr>
          <w:rFonts w:eastAsia="Times New Roman" w:cstheme="minorHAnsi"/>
          <w:kern w:val="0"/>
          <w14:ligatures w14:val="none"/>
        </w:rPr>
        <w:t xml:space="preserve">with clear procedures </w:t>
      </w:r>
      <w:r w:rsidRPr="00257215">
        <w:rPr>
          <w:rFonts w:eastAsia="Times New Roman" w:cstheme="minorHAnsi"/>
          <w:kern w:val="0"/>
          <w14:ligatures w14:val="none"/>
        </w:rPr>
        <w:t xml:space="preserve">to ensure that all legislative or administrative measures, including those related to extractives, that may affect Indigenous peoples have their free, </w:t>
      </w:r>
      <w:proofErr w:type="gramStart"/>
      <w:r w:rsidRPr="00257215">
        <w:rPr>
          <w:rFonts w:eastAsia="Times New Roman" w:cstheme="minorHAnsi"/>
          <w:kern w:val="0"/>
          <w14:ligatures w14:val="none"/>
        </w:rPr>
        <w:t>prior</w:t>
      </w:r>
      <w:proofErr w:type="gramEnd"/>
      <w:r w:rsidRPr="00257215">
        <w:rPr>
          <w:rFonts w:eastAsia="Times New Roman" w:cstheme="minorHAnsi"/>
          <w:kern w:val="0"/>
          <w14:ligatures w14:val="none"/>
        </w:rPr>
        <w:t xml:space="preserve"> and informed consent.</w:t>
      </w:r>
      <w:r w:rsidRPr="00257215">
        <w:rPr>
          <w:rStyle w:val="FootnoteReference"/>
          <w:rFonts w:eastAsia="Times New Roman" w:cstheme="minorHAnsi"/>
          <w:kern w:val="0"/>
          <w14:ligatures w14:val="none"/>
        </w:rPr>
        <w:footnoteReference w:id="6"/>
      </w:r>
      <w:r w:rsidRPr="00257215">
        <w:rPr>
          <w:rFonts w:eastAsia="Times New Roman" w:cstheme="minorHAnsi"/>
          <w:kern w:val="0"/>
          <w14:ligatures w14:val="none"/>
        </w:rPr>
        <w:t xml:space="preserve"> </w:t>
      </w:r>
      <w:r w:rsidR="00CD483F" w:rsidRPr="00257215">
        <w:rPr>
          <w:rFonts w:eastAsia="Times New Roman" w:cstheme="minorHAnsi"/>
          <w:kern w:val="0"/>
          <w14:ligatures w14:val="none"/>
        </w:rPr>
        <w:t>Likewise, in upholding the right to self-</w:t>
      </w:r>
      <w:r w:rsidR="00CD483F" w:rsidRPr="00257215">
        <w:rPr>
          <w:rFonts w:eastAsia="Times New Roman" w:cstheme="minorHAnsi"/>
          <w:kern w:val="0"/>
          <w14:ligatures w14:val="none"/>
        </w:rPr>
        <w:lastRenderedPageBreak/>
        <w:t xml:space="preserve">determination of Indigenous peoples, States and businesses must respect the right  to say no to projects that affect them. </w:t>
      </w:r>
    </w:p>
    <w:p w14:paraId="3C59AA4E" w14:textId="757F6841" w:rsidR="001B1A50" w:rsidRPr="00257215" w:rsidDel="00986C39" w:rsidRDefault="36A8BAF5" w:rsidP="71025AC5">
      <w:pPr>
        <w:spacing w:beforeAutospacing="1" w:afterAutospacing="1"/>
        <w:jc w:val="both"/>
        <w:rPr>
          <w:rFonts w:eastAsia="Roboto" w:cstheme="minorHAnsi"/>
        </w:rPr>
      </w:pPr>
      <w:r w:rsidRPr="00257215">
        <w:rPr>
          <w:rFonts w:eastAsia="Times New Roman" w:cstheme="minorHAnsi"/>
        </w:rPr>
        <w:t xml:space="preserve">We are also aware that many of these </w:t>
      </w:r>
      <w:r w:rsidR="6D7E0B24" w:rsidRPr="00257215">
        <w:rPr>
          <w:rFonts w:eastAsia="Times New Roman" w:cstheme="minorHAnsi"/>
        </w:rPr>
        <w:t>energy</w:t>
      </w:r>
      <w:r w:rsidR="7318A51B" w:rsidRPr="00257215">
        <w:rPr>
          <w:rFonts w:eastAsia="Times New Roman" w:cstheme="minorHAnsi"/>
        </w:rPr>
        <w:t xml:space="preserve"> and extractive</w:t>
      </w:r>
      <w:r w:rsidR="6D7E0B24" w:rsidRPr="00257215">
        <w:rPr>
          <w:rFonts w:eastAsia="Times New Roman" w:cstheme="minorHAnsi"/>
        </w:rPr>
        <w:t xml:space="preserve"> projects affects not only Indigenous</w:t>
      </w:r>
      <w:r w:rsidR="5657AAA1" w:rsidRPr="00257215">
        <w:rPr>
          <w:rFonts w:eastAsia="Times New Roman" w:cstheme="minorHAnsi"/>
        </w:rPr>
        <w:t xml:space="preserve"> </w:t>
      </w:r>
      <w:r w:rsidR="6D7E0B24" w:rsidRPr="00257215">
        <w:rPr>
          <w:rFonts w:eastAsia="Times New Roman" w:cstheme="minorHAnsi"/>
        </w:rPr>
        <w:t xml:space="preserve">peoples, but </w:t>
      </w:r>
      <w:r w:rsidR="41D1C514" w:rsidRPr="00257215">
        <w:rPr>
          <w:rFonts w:eastAsia="Times New Roman" w:cstheme="minorHAnsi"/>
        </w:rPr>
        <w:t xml:space="preserve">other populations. </w:t>
      </w:r>
      <w:r w:rsidR="6EE3AFA2" w:rsidRPr="00257215">
        <w:rPr>
          <w:rFonts w:eastAsia="Times New Roman" w:cstheme="minorHAnsi"/>
        </w:rPr>
        <w:t>In this sense, we agree with the Inter-American Commission</w:t>
      </w:r>
      <w:r w:rsidR="47AA129D" w:rsidRPr="00257215">
        <w:rPr>
          <w:rFonts w:eastAsia="Times New Roman" w:cstheme="minorHAnsi"/>
        </w:rPr>
        <w:t>’</w:t>
      </w:r>
      <w:r w:rsidR="6E802753" w:rsidRPr="00257215">
        <w:rPr>
          <w:rFonts w:eastAsia="Times New Roman" w:cstheme="minorHAnsi"/>
        </w:rPr>
        <w:t>s</w:t>
      </w:r>
      <w:r w:rsidR="47AA129D" w:rsidRPr="00257215">
        <w:rPr>
          <w:rFonts w:eastAsia="Times New Roman" w:cstheme="minorHAnsi"/>
        </w:rPr>
        <w:t xml:space="preserve"> recommendation that</w:t>
      </w:r>
      <w:r w:rsidR="6EE3AFA2" w:rsidRPr="00257215">
        <w:rPr>
          <w:rFonts w:eastAsia="Times New Roman" w:cstheme="minorHAnsi"/>
        </w:rPr>
        <w:t xml:space="preserve"> States should consult </w:t>
      </w:r>
      <w:r w:rsidR="245E5EC8" w:rsidRPr="00257215">
        <w:rPr>
          <w:rFonts w:eastAsia="Times New Roman" w:cstheme="minorHAnsi"/>
        </w:rPr>
        <w:t>anyone</w:t>
      </w:r>
      <w:r w:rsidR="0C200527" w:rsidRPr="00257215">
        <w:rPr>
          <w:rFonts w:eastAsia="Times New Roman" w:cstheme="minorHAnsi"/>
        </w:rPr>
        <w:t xml:space="preserve"> </w:t>
      </w:r>
      <w:r w:rsidR="5D6CAD03" w:rsidRPr="00257215">
        <w:rPr>
          <w:rFonts w:eastAsia="Times New Roman" w:cstheme="minorHAnsi"/>
        </w:rPr>
        <w:t>“</w:t>
      </w:r>
      <w:r w:rsidR="0C200527" w:rsidRPr="00257215">
        <w:rPr>
          <w:rFonts w:eastAsia="Times New Roman" w:cstheme="minorHAnsi"/>
        </w:rPr>
        <w:t xml:space="preserve">whose rights could </w:t>
      </w:r>
      <w:r w:rsidR="53C0AC4B" w:rsidRPr="00257215">
        <w:rPr>
          <w:rFonts w:eastAsia="Roboto" w:cstheme="minorHAnsi"/>
        </w:rPr>
        <w:t>be violated by programs and projects that involve a risk of significant environmental damage</w:t>
      </w:r>
      <w:r w:rsidR="46DAA70A" w:rsidRPr="00257215">
        <w:rPr>
          <w:rFonts w:eastAsia="Roboto" w:cstheme="minorHAnsi"/>
        </w:rPr>
        <w:t xml:space="preserve"> including</w:t>
      </w:r>
      <w:r w:rsidR="53C0AC4B" w:rsidRPr="00257215">
        <w:rPr>
          <w:rFonts w:eastAsia="Roboto" w:cstheme="minorHAnsi"/>
        </w:rPr>
        <w:t xml:space="preserve"> those aimed at mitigating greenhouse gases and adapting to the impacts of climate change</w:t>
      </w:r>
      <w:r w:rsidR="00E5C542" w:rsidRPr="00257215">
        <w:rPr>
          <w:rFonts w:eastAsia="Roboto" w:cstheme="minorHAnsi"/>
        </w:rPr>
        <w:t>”.</w:t>
      </w:r>
      <w:r w:rsidR="00EF469C" w:rsidRPr="00257215">
        <w:rPr>
          <w:rStyle w:val="FootnoteReference"/>
          <w:rFonts w:eastAsia="Roboto" w:cstheme="minorHAnsi"/>
        </w:rPr>
        <w:footnoteReference w:id="7"/>
      </w:r>
      <w:r w:rsidR="34947942" w:rsidRPr="00257215">
        <w:rPr>
          <w:rFonts w:eastAsia="Roboto" w:cstheme="minorHAnsi"/>
        </w:rPr>
        <w:t xml:space="preserve"> </w:t>
      </w:r>
      <w:r w:rsidR="11EC12FB" w:rsidRPr="00257215">
        <w:rPr>
          <w:rFonts w:eastAsia="Roboto" w:cstheme="minorHAnsi"/>
        </w:rPr>
        <w:t>For example, i</w:t>
      </w:r>
      <w:r w:rsidR="5BA26F48" w:rsidRPr="00257215">
        <w:rPr>
          <w:rFonts w:eastAsia="Roboto" w:cstheme="minorHAnsi"/>
        </w:rPr>
        <w:t>n Colombia, Law 134 provide</w:t>
      </w:r>
      <w:r w:rsidR="001E12A4" w:rsidRPr="00257215">
        <w:rPr>
          <w:rFonts w:eastAsia="Roboto" w:cstheme="minorHAnsi"/>
        </w:rPr>
        <w:t xml:space="preserve">s </w:t>
      </w:r>
      <w:r w:rsidR="5BA26F48" w:rsidRPr="00257215">
        <w:rPr>
          <w:rFonts w:eastAsia="Roboto" w:cstheme="minorHAnsi"/>
        </w:rPr>
        <w:t>the possibility to conduct a “popular consultation”</w:t>
      </w:r>
      <w:r w:rsidR="009B64EF" w:rsidRPr="00257215">
        <w:rPr>
          <w:rStyle w:val="FootnoteReference"/>
          <w:rFonts w:eastAsia="Roboto" w:cstheme="minorHAnsi"/>
        </w:rPr>
        <w:footnoteReference w:id="8"/>
      </w:r>
      <w:r w:rsidR="001E12A4" w:rsidRPr="00257215">
        <w:rPr>
          <w:rFonts w:eastAsia="Roboto" w:cstheme="minorHAnsi"/>
        </w:rPr>
        <w:t xml:space="preserve"> which has been used </w:t>
      </w:r>
      <w:r w:rsidR="005C5C31" w:rsidRPr="00257215">
        <w:rPr>
          <w:rFonts w:eastAsia="Roboto" w:cstheme="minorHAnsi"/>
        </w:rPr>
        <w:t>to consult on extractive projects.</w:t>
      </w:r>
      <w:r w:rsidR="005C5C31" w:rsidRPr="00257215">
        <w:rPr>
          <w:rStyle w:val="FootnoteReference"/>
          <w:rFonts w:eastAsia="Roboto" w:cstheme="minorHAnsi"/>
        </w:rPr>
        <w:footnoteReference w:id="9"/>
      </w:r>
      <w:r w:rsidR="005C5C31" w:rsidRPr="00257215">
        <w:rPr>
          <w:rFonts w:eastAsia="Roboto" w:cstheme="minorHAnsi"/>
        </w:rPr>
        <w:t xml:space="preserve"> </w:t>
      </w:r>
      <w:r w:rsidR="5BA26F48" w:rsidRPr="00257215">
        <w:rPr>
          <w:rFonts w:eastAsia="Roboto" w:cstheme="minorHAnsi"/>
        </w:rPr>
        <w:t xml:space="preserve"> </w:t>
      </w:r>
      <w:r w:rsidR="181B2034" w:rsidRPr="00257215">
        <w:rPr>
          <w:rFonts w:eastAsia="Roboto" w:cstheme="minorHAnsi"/>
        </w:rPr>
        <w:t xml:space="preserve">“Popular consultation” </w:t>
      </w:r>
      <w:r w:rsidR="5BA26F48" w:rsidRPr="00257215">
        <w:rPr>
          <w:rFonts w:eastAsia="Roboto" w:cstheme="minorHAnsi"/>
        </w:rPr>
        <w:t xml:space="preserve">is a </w:t>
      </w:r>
      <w:r w:rsidR="2DF7FC77" w:rsidRPr="00257215">
        <w:rPr>
          <w:rFonts w:eastAsia="Roboto" w:cstheme="minorHAnsi"/>
        </w:rPr>
        <w:t xml:space="preserve">mechanism of </w:t>
      </w:r>
      <w:r w:rsidR="7AA35DED" w:rsidRPr="00257215">
        <w:rPr>
          <w:rFonts w:eastAsia="Roboto" w:cstheme="minorHAnsi"/>
        </w:rPr>
        <w:t xml:space="preserve">broad </w:t>
      </w:r>
      <w:r w:rsidR="309757F5" w:rsidRPr="00257215">
        <w:rPr>
          <w:rFonts w:eastAsia="Roboto" w:cstheme="minorHAnsi"/>
        </w:rPr>
        <w:t>civil</w:t>
      </w:r>
      <w:r w:rsidR="376E987B" w:rsidRPr="00257215">
        <w:rPr>
          <w:rFonts w:eastAsia="Roboto" w:cstheme="minorHAnsi"/>
        </w:rPr>
        <w:t xml:space="preserve"> </w:t>
      </w:r>
      <w:r w:rsidR="2DF7FC77" w:rsidRPr="00257215">
        <w:rPr>
          <w:rFonts w:eastAsia="Roboto" w:cstheme="minorHAnsi"/>
        </w:rPr>
        <w:t>participation</w:t>
      </w:r>
      <w:r w:rsidR="57F07249" w:rsidRPr="00257215">
        <w:rPr>
          <w:rFonts w:eastAsia="Roboto" w:cstheme="minorHAnsi"/>
        </w:rPr>
        <w:t xml:space="preserve"> </w:t>
      </w:r>
      <w:r w:rsidR="45CC0C71" w:rsidRPr="00257215">
        <w:rPr>
          <w:rFonts w:eastAsia="Roboto" w:cstheme="minorHAnsi"/>
        </w:rPr>
        <w:t xml:space="preserve">to </w:t>
      </w:r>
      <w:r w:rsidR="75345EF3" w:rsidRPr="00257215">
        <w:rPr>
          <w:rFonts w:eastAsia="Roboto" w:cstheme="minorHAnsi"/>
        </w:rPr>
        <w:t xml:space="preserve">give the population the possibility to </w:t>
      </w:r>
      <w:r w:rsidR="193598D6" w:rsidRPr="00257215">
        <w:rPr>
          <w:rFonts w:eastAsia="Roboto" w:cstheme="minorHAnsi"/>
        </w:rPr>
        <w:t>decide</w:t>
      </w:r>
      <w:r w:rsidR="45CC0C71" w:rsidRPr="00257215">
        <w:rPr>
          <w:rFonts w:eastAsia="Roboto" w:cstheme="minorHAnsi"/>
        </w:rPr>
        <w:t xml:space="preserve"> on </w:t>
      </w:r>
      <w:r w:rsidR="000E7CF9" w:rsidRPr="00257215">
        <w:rPr>
          <w:rFonts w:eastAsia="Roboto" w:cstheme="minorHAnsi"/>
        </w:rPr>
        <w:t>national</w:t>
      </w:r>
      <w:r w:rsidR="2BA33A11" w:rsidRPr="00257215">
        <w:rPr>
          <w:rFonts w:eastAsia="Roboto" w:cstheme="minorHAnsi"/>
        </w:rPr>
        <w:t>, departmental, municipal, district or local</w:t>
      </w:r>
      <w:r w:rsidR="000E7CF9" w:rsidRPr="00257215">
        <w:rPr>
          <w:rFonts w:eastAsia="Roboto" w:cstheme="minorHAnsi"/>
        </w:rPr>
        <w:t xml:space="preserve"> </w:t>
      </w:r>
      <w:r w:rsidR="009D776C" w:rsidRPr="00257215">
        <w:rPr>
          <w:rFonts w:eastAsia="Roboto" w:cstheme="minorHAnsi"/>
        </w:rPr>
        <w:t>matters</w:t>
      </w:r>
      <w:r w:rsidR="00BD3E6A" w:rsidRPr="00257215">
        <w:rPr>
          <w:rStyle w:val="FootnoteReference"/>
          <w:rFonts w:eastAsia="Roboto" w:cstheme="minorHAnsi"/>
        </w:rPr>
        <w:footnoteReference w:id="10"/>
      </w:r>
      <w:r w:rsidR="539996AE" w:rsidRPr="00257215">
        <w:rPr>
          <w:rFonts w:eastAsia="Roboto" w:cstheme="minorHAnsi"/>
        </w:rPr>
        <w:t xml:space="preserve">. After the consultation, </w:t>
      </w:r>
      <w:r w:rsidR="00BD3E6A" w:rsidRPr="00257215">
        <w:rPr>
          <w:rFonts w:eastAsia="Roboto" w:cstheme="minorHAnsi"/>
        </w:rPr>
        <w:t>t</w:t>
      </w:r>
      <w:r w:rsidR="00877A8A" w:rsidRPr="00257215">
        <w:rPr>
          <w:rFonts w:eastAsia="Roboto" w:cstheme="minorHAnsi"/>
        </w:rPr>
        <w:t>he results are binding.</w:t>
      </w:r>
      <w:r w:rsidR="00C34CAC" w:rsidRPr="00257215">
        <w:rPr>
          <w:rStyle w:val="FootnoteReference"/>
          <w:rFonts w:eastAsia="Roboto" w:cstheme="minorHAnsi"/>
        </w:rPr>
        <w:footnoteReference w:id="11"/>
      </w:r>
      <w:r w:rsidR="00C34CAC" w:rsidRPr="00257215">
        <w:rPr>
          <w:rFonts w:eastAsia="Roboto" w:cstheme="minorHAnsi"/>
        </w:rPr>
        <w:t xml:space="preserve"> </w:t>
      </w:r>
      <w:r w:rsidR="00AA0774" w:rsidRPr="00257215">
        <w:rPr>
          <w:rFonts w:eastAsia="Roboto" w:cstheme="minorHAnsi"/>
        </w:rPr>
        <w:t xml:space="preserve">In </w:t>
      </w:r>
      <w:r w:rsidR="00E25FD2" w:rsidRPr="00257215">
        <w:rPr>
          <w:rFonts w:eastAsia="Roboto" w:cstheme="minorHAnsi"/>
        </w:rPr>
        <w:t>addition, our partners consider tha</w:t>
      </w:r>
      <w:r w:rsidR="00DC17A7" w:rsidRPr="00257215">
        <w:rPr>
          <w:rFonts w:eastAsia="Roboto" w:cstheme="minorHAnsi"/>
        </w:rPr>
        <w:t xml:space="preserve">t there should be consultations </w:t>
      </w:r>
      <w:r w:rsidR="00D720CE" w:rsidRPr="00257215">
        <w:rPr>
          <w:rFonts w:eastAsia="Roboto" w:cstheme="minorHAnsi"/>
        </w:rPr>
        <w:t>(</w:t>
      </w:r>
      <w:r w:rsidR="00E952F2" w:rsidRPr="00257215">
        <w:rPr>
          <w:rFonts w:eastAsia="Roboto" w:cstheme="minorHAnsi"/>
        </w:rPr>
        <w:t>that guarantee public participation and access to information for all communities</w:t>
      </w:r>
      <w:r w:rsidR="00D720CE" w:rsidRPr="00257215">
        <w:rPr>
          <w:rFonts w:eastAsia="Roboto" w:cstheme="minorHAnsi"/>
        </w:rPr>
        <w:t>)</w:t>
      </w:r>
      <w:r w:rsidR="00E952F2" w:rsidRPr="00257215">
        <w:rPr>
          <w:rFonts w:eastAsia="Roboto" w:cstheme="minorHAnsi"/>
        </w:rPr>
        <w:t xml:space="preserve"> </w:t>
      </w:r>
      <w:r w:rsidR="00420515" w:rsidRPr="00257215">
        <w:rPr>
          <w:rFonts w:eastAsia="Roboto" w:cstheme="minorHAnsi"/>
        </w:rPr>
        <w:t xml:space="preserve">on specific extractive and energy projects, </w:t>
      </w:r>
      <w:r w:rsidR="00E952F2" w:rsidRPr="00257215">
        <w:rPr>
          <w:rFonts w:eastAsia="Roboto" w:cstheme="minorHAnsi"/>
        </w:rPr>
        <w:t>as well as</w:t>
      </w:r>
      <w:r w:rsidR="00D67C12" w:rsidRPr="00257215">
        <w:rPr>
          <w:rFonts w:eastAsia="Roboto" w:cstheme="minorHAnsi"/>
        </w:rPr>
        <w:t xml:space="preserve"> </w:t>
      </w:r>
      <w:r w:rsidR="6C14321D" w:rsidRPr="00257215">
        <w:rPr>
          <w:rFonts w:eastAsia="Roboto" w:cstheme="minorHAnsi"/>
        </w:rPr>
        <w:t xml:space="preserve">on </w:t>
      </w:r>
      <w:r w:rsidR="00420515" w:rsidRPr="00257215">
        <w:rPr>
          <w:rFonts w:eastAsia="Roboto" w:cstheme="minorHAnsi"/>
        </w:rPr>
        <w:t>legislation</w:t>
      </w:r>
      <w:r w:rsidR="00577075" w:rsidRPr="00257215">
        <w:rPr>
          <w:rFonts w:eastAsia="Roboto" w:cstheme="minorHAnsi"/>
        </w:rPr>
        <w:t xml:space="preserve"> and public policies related to </w:t>
      </w:r>
      <w:r w:rsidR="77F95B03" w:rsidRPr="00257215">
        <w:rPr>
          <w:rFonts w:eastAsia="Roboto" w:cstheme="minorHAnsi"/>
        </w:rPr>
        <w:t xml:space="preserve">the </w:t>
      </w:r>
      <w:r w:rsidR="00577075" w:rsidRPr="00257215">
        <w:rPr>
          <w:rFonts w:eastAsia="Roboto" w:cstheme="minorHAnsi"/>
        </w:rPr>
        <w:t xml:space="preserve">energy transition. </w:t>
      </w:r>
    </w:p>
    <w:p w14:paraId="11B57FED" w14:textId="39920705" w:rsidR="00AC7A79" w:rsidRPr="00257215" w:rsidRDefault="008B3A2D" w:rsidP="00A63562">
      <w:pPr>
        <w:spacing w:before="100" w:beforeAutospacing="1" w:after="100" w:afterAutospacing="1"/>
        <w:jc w:val="both"/>
        <w:rPr>
          <w:rFonts w:eastAsia="Times New Roman" w:cstheme="minorHAnsi"/>
          <w:kern w:val="0"/>
          <w14:ligatures w14:val="none"/>
        </w:rPr>
      </w:pPr>
      <w:r w:rsidRPr="00257215">
        <w:rPr>
          <w:rFonts w:eastAsia="Times New Roman" w:cstheme="minorHAnsi"/>
          <w:kern w:val="0"/>
          <w14:ligatures w14:val="none"/>
        </w:rPr>
        <w:t>States should implement mandatory human rights and environmental due diligence laws, whereby such processes are regularly reviewed and monitored</w:t>
      </w:r>
      <w:r w:rsidR="00C579A5" w:rsidRPr="00257215">
        <w:rPr>
          <w:rFonts w:eastAsia="Times New Roman" w:cstheme="minorHAnsi"/>
          <w:kern w:val="0"/>
          <w14:ligatures w14:val="none"/>
        </w:rPr>
        <w:t xml:space="preserve"> by State authorities. </w:t>
      </w:r>
      <w:r w:rsidR="059B0BE0" w:rsidRPr="00257215">
        <w:rPr>
          <w:rFonts w:eastAsia="Times New Roman" w:cstheme="minorHAnsi"/>
          <w:kern w:val="0"/>
          <w14:ligatures w14:val="none"/>
        </w:rPr>
        <w:t xml:space="preserve">In cases where businesses </w:t>
      </w:r>
      <w:r w:rsidR="1AE8764A" w:rsidRPr="00257215">
        <w:rPr>
          <w:rFonts w:eastAsia="Times New Roman" w:cstheme="minorHAnsi"/>
        </w:rPr>
        <w:t xml:space="preserve">cause or contribute </w:t>
      </w:r>
      <w:r w:rsidR="04439B75" w:rsidRPr="00257215">
        <w:rPr>
          <w:rFonts w:eastAsia="Times New Roman" w:cstheme="minorHAnsi"/>
        </w:rPr>
        <w:t xml:space="preserve">to </w:t>
      </w:r>
      <w:r w:rsidR="5D2C4600" w:rsidRPr="00257215">
        <w:rPr>
          <w:rFonts w:eastAsia="Times New Roman" w:cstheme="minorHAnsi"/>
          <w:kern w:val="0"/>
          <w14:ligatures w14:val="none"/>
        </w:rPr>
        <w:t>human rights violations</w:t>
      </w:r>
      <w:r w:rsidR="001875AC" w:rsidRPr="00257215">
        <w:rPr>
          <w:rFonts w:eastAsia="Times New Roman" w:cstheme="minorHAnsi"/>
          <w:kern w:val="0"/>
          <w14:ligatures w14:val="none"/>
        </w:rPr>
        <w:t xml:space="preserve"> and abuses</w:t>
      </w:r>
      <w:r w:rsidR="059B0BE0" w:rsidRPr="00257215">
        <w:rPr>
          <w:rFonts w:eastAsia="Times New Roman" w:cstheme="minorHAnsi"/>
        </w:rPr>
        <w:t xml:space="preserve">, States should impose </w:t>
      </w:r>
      <w:r w:rsidR="45813114" w:rsidRPr="00257215">
        <w:rPr>
          <w:rFonts w:eastAsia="Times New Roman" w:cstheme="minorHAnsi"/>
        </w:rPr>
        <w:t xml:space="preserve">relevant </w:t>
      </w:r>
      <w:r w:rsidR="059B0BE0" w:rsidRPr="00257215">
        <w:rPr>
          <w:rFonts w:eastAsia="Times New Roman" w:cstheme="minorHAnsi"/>
          <w:kern w:val="0"/>
          <w14:ligatures w14:val="none"/>
        </w:rPr>
        <w:t>criminal, civil or administrative sa</w:t>
      </w:r>
      <w:r w:rsidR="5D2C4600" w:rsidRPr="00257215">
        <w:rPr>
          <w:rFonts w:eastAsia="Times New Roman" w:cstheme="minorHAnsi"/>
          <w:kern w:val="0"/>
          <w14:ligatures w14:val="none"/>
        </w:rPr>
        <w:t xml:space="preserve">nctions </w:t>
      </w:r>
      <w:r w:rsidR="37EC7447" w:rsidRPr="00257215">
        <w:rPr>
          <w:rFonts w:eastAsia="Times New Roman" w:cstheme="minorHAnsi"/>
        </w:rPr>
        <w:t>through adequate proceedings.</w:t>
      </w:r>
      <w:r w:rsidR="00934172" w:rsidRPr="00257215">
        <w:rPr>
          <w:rStyle w:val="FootnoteReference"/>
          <w:rFonts w:eastAsia="Times New Roman" w:cstheme="minorHAnsi"/>
        </w:rPr>
        <w:footnoteReference w:id="12"/>
      </w:r>
      <w:r w:rsidR="37EC7447" w:rsidRPr="00257215">
        <w:rPr>
          <w:rFonts w:eastAsia="Times New Roman" w:cstheme="minorHAnsi"/>
          <w:kern w:val="0"/>
          <w14:ligatures w14:val="none"/>
        </w:rPr>
        <w:t xml:space="preserve"> This should include </w:t>
      </w:r>
      <w:r w:rsidR="10399D8B" w:rsidRPr="00257215">
        <w:rPr>
          <w:rFonts w:eastAsia="Times New Roman" w:cstheme="minorHAnsi"/>
          <w:kern w:val="0"/>
          <w14:ligatures w14:val="none"/>
        </w:rPr>
        <w:t xml:space="preserve">effective redress mechanisms, including </w:t>
      </w:r>
      <w:r w:rsidR="3C3F430E" w:rsidRPr="00257215">
        <w:rPr>
          <w:rFonts w:eastAsia="Times New Roman" w:cstheme="minorHAnsi"/>
          <w:kern w:val="0"/>
          <w14:ligatures w14:val="none"/>
        </w:rPr>
        <w:t xml:space="preserve">business </w:t>
      </w:r>
      <w:r w:rsidR="10399D8B" w:rsidRPr="00257215">
        <w:rPr>
          <w:rFonts w:eastAsia="Times New Roman" w:cstheme="minorHAnsi"/>
          <w:kern w:val="0"/>
          <w14:ligatures w14:val="none"/>
        </w:rPr>
        <w:t>accountability</w:t>
      </w:r>
      <w:r w:rsidR="068C73CB" w:rsidRPr="00257215">
        <w:rPr>
          <w:rFonts w:eastAsia="Times New Roman" w:cstheme="minorHAnsi"/>
          <w:kern w:val="0"/>
          <w14:ligatures w14:val="none"/>
        </w:rPr>
        <w:t>,</w:t>
      </w:r>
      <w:r w:rsidR="04F22E95" w:rsidRPr="00257215">
        <w:rPr>
          <w:rFonts w:eastAsia="Times New Roman" w:cstheme="minorHAnsi"/>
          <w:kern w:val="0"/>
          <w14:ligatures w14:val="none"/>
        </w:rPr>
        <w:t xml:space="preserve"> and </w:t>
      </w:r>
      <w:r w:rsidR="79CC5AED" w:rsidRPr="00257215">
        <w:rPr>
          <w:rFonts w:eastAsia="Times New Roman" w:cstheme="minorHAnsi"/>
          <w:kern w:val="0"/>
          <w14:ligatures w14:val="none"/>
        </w:rPr>
        <w:t xml:space="preserve"> that </w:t>
      </w:r>
      <w:r w:rsidR="79CC5AED" w:rsidRPr="00257215">
        <w:rPr>
          <w:rFonts w:eastAsia="Times New Roman" w:cstheme="minorHAnsi"/>
        </w:rPr>
        <w:t xml:space="preserve">victims  of business activities are guaranteed their right to an effective remedy, including reparation and restoration of the </w:t>
      </w:r>
      <w:r w:rsidR="53F78889" w:rsidRPr="00257215">
        <w:rPr>
          <w:rFonts w:eastAsia="Times New Roman" w:cstheme="minorHAnsi"/>
        </w:rPr>
        <w:t>environment.</w:t>
      </w:r>
      <w:r w:rsidR="00F74981" w:rsidRPr="00257215">
        <w:rPr>
          <w:rStyle w:val="FootnoteReference"/>
          <w:rFonts w:eastAsia="Times New Roman" w:cstheme="minorHAnsi"/>
          <w:kern w:val="0"/>
          <w14:ligatures w14:val="none"/>
        </w:rPr>
        <w:footnoteReference w:id="13"/>
      </w:r>
      <w:r w:rsidR="79CC5AED" w:rsidRPr="00257215">
        <w:rPr>
          <w:rFonts w:eastAsia="Times New Roman" w:cstheme="minorHAnsi"/>
        </w:rPr>
        <w:t xml:space="preserve"> </w:t>
      </w:r>
      <w:r w:rsidR="4153F685" w:rsidRPr="00257215">
        <w:rPr>
          <w:rFonts w:eastAsia="Times New Roman" w:cstheme="minorHAnsi"/>
        </w:rPr>
        <w:t xml:space="preserve">As part of these processes, States should </w:t>
      </w:r>
      <w:r w:rsidR="62586912" w:rsidRPr="00257215">
        <w:rPr>
          <w:rFonts w:eastAsia="Times New Roman" w:cstheme="minorHAnsi"/>
        </w:rPr>
        <w:t xml:space="preserve">ensure that </w:t>
      </w:r>
      <w:r w:rsidR="62586912" w:rsidRPr="00257215">
        <w:rPr>
          <w:rFonts w:eastAsia="Times New Roman" w:cstheme="minorHAnsi"/>
        </w:rPr>
        <w:lastRenderedPageBreak/>
        <w:t>corporations</w:t>
      </w:r>
      <w:r w:rsidR="35D410EF" w:rsidRPr="00257215">
        <w:rPr>
          <w:rFonts w:eastAsia="Times New Roman" w:cstheme="minorHAnsi"/>
        </w:rPr>
        <w:t xml:space="preserve"> </w:t>
      </w:r>
      <w:r w:rsidR="62586912" w:rsidRPr="00257215">
        <w:rPr>
          <w:rFonts w:eastAsia="Times New Roman" w:cstheme="minorHAnsi"/>
        </w:rPr>
        <w:t xml:space="preserve">preemptively </w:t>
      </w:r>
      <w:r w:rsidR="4153F685" w:rsidRPr="00257215">
        <w:rPr>
          <w:rFonts w:eastAsia="Times New Roman" w:cstheme="minorHAnsi"/>
        </w:rPr>
        <w:t xml:space="preserve">avoid </w:t>
      </w:r>
      <w:r w:rsidR="008925C7" w:rsidRPr="00257215">
        <w:rPr>
          <w:rFonts w:eastAsia="Times New Roman" w:cstheme="minorHAnsi"/>
        </w:rPr>
        <w:t xml:space="preserve">and </w:t>
      </w:r>
      <w:r w:rsidR="4153F685" w:rsidRPr="00257215">
        <w:rPr>
          <w:rFonts w:eastAsia="Times New Roman" w:cstheme="minorHAnsi"/>
        </w:rPr>
        <w:t>prevent human rights abuses, including through legislation on domestic liability in cases where corporations “cannot prevent or mitigate the risks.”</w:t>
      </w:r>
      <w:r w:rsidR="00934172" w:rsidRPr="00257215">
        <w:rPr>
          <w:rStyle w:val="FootnoteReference"/>
          <w:rFonts w:eastAsia="Times New Roman" w:cstheme="minorHAnsi"/>
        </w:rPr>
        <w:footnoteReference w:id="14"/>
      </w:r>
      <w:r w:rsidR="4153F685" w:rsidRPr="00257215">
        <w:rPr>
          <w:rFonts w:eastAsia="Times New Roman" w:cstheme="minorHAnsi"/>
        </w:rPr>
        <w:t xml:space="preserve"> </w:t>
      </w:r>
    </w:p>
    <w:p w14:paraId="0429A837" w14:textId="77777777" w:rsidR="006D76FE" w:rsidRPr="00257215" w:rsidRDefault="006D76FE" w:rsidP="00C579A5">
      <w:pPr>
        <w:spacing w:before="100" w:beforeAutospacing="1" w:after="100" w:afterAutospacing="1"/>
        <w:jc w:val="both"/>
        <w:rPr>
          <w:rFonts w:eastAsia="Times New Roman" w:cstheme="minorHAnsi"/>
          <w:b/>
          <w:bCs/>
          <w:kern w:val="0"/>
          <w14:ligatures w14:val="none"/>
        </w:rPr>
      </w:pPr>
      <w:r w:rsidRPr="00257215">
        <w:rPr>
          <w:rFonts w:cstheme="minorHAnsi"/>
          <w:b/>
          <w:bCs/>
        </w:rPr>
        <w:t xml:space="preserve">13. </w:t>
      </w:r>
      <w:r w:rsidRPr="00257215">
        <w:rPr>
          <w:rFonts w:eastAsia="Times New Roman" w:cstheme="minorHAnsi"/>
          <w:b/>
          <w:bCs/>
          <w:i/>
          <w:iCs/>
          <w:kern w:val="0"/>
          <w14:ligatures w14:val="none"/>
        </w:rPr>
        <w:t>Should concessions, contracts, and legislation require all business enterprises producing, purchasing, processing, and distributing transition minerals to apply and implement human rights-based impact and risk assessments and due diligence standards, including gender-responsive HRDD and heightened HRDD for conflict-affected areas? If so, how could such processes ensure meaningful participation of impacted communities, particularly vulnerable and historically excluded groups?</w:t>
      </w:r>
      <w:r w:rsidRPr="00257215">
        <w:rPr>
          <w:rFonts w:eastAsia="Times New Roman" w:cstheme="minorHAnsi"/>
          <w:b/>
          <w:bCs/>
          <w:kern w:val="0"/>
          <w14:ligatures w14:val="none"/>
        </w:rPr>
        <w:t> </w:t>
      </w:r>
    </w:p>
    <w:p w14:paraId="0A65055D" w14:textId="07A95E7A" w:rsidR="00C579A5" w:rsidRPr="00257215" w:rsidRDefault="0025378B" w:rsidP="00AD07BA">
      <w:pPr>
        <w:jc w:val="both"/>
        <w:rPr>
          <w:rFonts w:eastAsia="Times New Roman" w:cstheme="minorHAnsi"/>
          <w:kern w:val="0"/>
          <w:lang w:val="en-GB"/>
          <w14:ligatures w14:val="none"/>
        </w:rPr>
      </w:pPr>
      <w:r w:rsidRPr="00257215">
        <w:rPr>
          <w:rFonts w:eastAsia="Times New Roman" w:cstheme="minorHAnsi"/>
          <w:kern w:val="0"/>
          <w14:ligatures w14:val="none"/>
        </w:rPr>
        <w:t>The UN Guiding Principles on Business and Human Rights underscores that all businesses should respect human rights, although “the means through which enterprises meet that responsibility may var</w:t>
      </w:r>
      <w:r w:rsidR="0091728B" w:rsidRPr="00257215">
        <w:rPr>
          <w:rFonts w:eastAsia="Times New Roman" w:cstheme="minorHAnsi"/>
          <w:kern w:val="0"/>
          <w14:ligatures w14:val="none"/>
        </w:rPr>
        <w:t xml:space="preserve">y </w:t>
      </w:r>
      <w:r w:rsidR="00680830" w:rsidRPr="00257215">
        <w:rPr>
          <w:rFonts w:eastAsia="Times New Roman" w:cstheme="minorHAnsi"/>
          <w:kern w:val="0"/>
          <w14:ligatures w14:val="none"/>
        </w:rPr>
        <w:sym w:font="Symbol" w:char="F05B"/>
      </w:r>
      <w:r w:rsidR="00F77884" w:rsidRPr="00257215">
        <w:rPr>
          <w:rFonts w:eastAsia="Times New Roman" w:cstheme="minorHAnsi"/>
          <w:iCs/>
          <w:kern w:val="0"/>
          <w14:ligatures w14:val="none"/>
        </w:rPr>
        <w:t>…</w:t>
      </w:r>
      <w:r w:rsidR="00680830" w:rsidRPr="00257215">
        <w:rPr>
          <w:rFonts w:eastAsia="Times New Roman" w:cstheme="minorHAnsi"/>
          <w:kern w:val="0"/>
          <w14:ligatures w14:val="none"/>
        </w:rPr>
        <w:sym w:font="Symbol" w:char="F05D"/>
      </w:r>
      <w:r w:rsidRPr="00257215">
        <w:rPr>
          <w:rFonts w:eastAsia="Times New Roman" w:cstheme="minorHAnsi"/>
          <w:kern w:val="0"/>
          <w14:ligatures w14:val="none"/>
        </w:rPr>
        <w:t>.”</w:t>
      </w:r>
      <w:r w:rsidRPr="00257215">
        <w:rPr>
          <w:rStyle w:val="FootnoteReference"/>
          <w:rFonts w:eastAsia="Times New Roman" w:cstheme="minorHAnsi"/>
          <w:kern w:val="0"/>
          <w14:ligatures w14:val="none"/>
        </w:rPr>
        <w:footnoteReference w:id="15"/>
      </w:r>
      <w:r w:rsidRPr="00257215">
        <w:rPr>
          <w:rFonts w:eastAsia="Times New Roman" w:cstheme="minorHAnsi"/>
          <w:b/>
          <w:bCs/>
          <w:kern w:val="0"/>
          <w14:ligatures w14:val="none"/>
        </w:rPr>
        <w:t xml:space="preserve"> </w:t>
      </w:r>
      <w:r w:rsidR="00AD07BA" w:rsidRPr="00257215">
        <w:rPr>
          <w:rFonts w:eastAsia="Times New Roman" w:cstheme="minorHAnsi"/>
          <w:kern w:val="0"/>
          <w14:ligatures w14:val="none"/>
        </w:rPr>
        <w:t>In regard to severity of impacts,</w:t>
      </w:r>
      <w:r w:rsidR="00292248" w:rsidRPr="00257215">
        <w:rPr>
          <w:rFonts w:eastAsia="Times New Roman" w:cstheme="minorHAnsi"/>
          <w:kern w:val="0"/>
          <w14:ligatures w14:val="none"/>
        </w:rPr>
        <w:t xml:space="preserve"> our partners </w:t>
      </w:r>
      <w:r w:rsidR="00C151BB" w:rsidRPr="00257215">
        <w:rPr>
          <w:rFonts w:eastAsia="Times New Roman" w:cstheme="minorHAnsi"/>
          <w:kern w:val="0"/>
          <w14:ligatures w14:val="none"/>
        </w:rPr>
        <w:t>note</w:t>
      </w:r>
      <w:r w:rsidR="00AD07BA" w:rsidRPr="00257215">
        <w:rPr>
          <w:rFonts w:eastAsia="Times New Roman" w:cstheme="minorHAnsi"/>
          <w:kern w:val="0"/>
          <w14:ligatures w14:val="none"/>
        </w:rPr>
        <w:t xml:space="preserve"> “what we have seen around the world </w:t>
      </w:r>
      <w:r w:rsidR="00AD07BA" w:rsidRPr="00257215">
        <w:rPr>
          <w:rFonts w:eastAsia="Times New Roman" w:cstheme="minorHAnsi"/>
          <w:kern w:val="0"/>
          <w:lang w:val="en-GB"/>
          <w14:ligatures w14:val="none"/>
        </w:rPr>
        <w:t>is that mining always implies violence and human rights violations; environmental and ecological sacrifice; conflict with and within affected communities; labour exploitation and deepening of socio-economic inequalities.”</w:t>
      </w:r>
      <w:r w:rsidR="00AD07BA" w:rsidRPr="00257215">
        <w:rPr>
          <w:rStyle w:val="FootnoteReference"/>
          <w:rFonts w:eastAsia="Times New Roman" w:cstheme="minorHAnsi"/>
          <w:kern w:val="0"/>
          <w:lang w:val="en-GB"/>
          <w14:ligatures w14:val="none"/>
        </w:rPr>
        <w:footnoteReference w:id="16"/>
      </w:r>
      <w:r w:rsidR="00C579A5" w:rsidRPr="00257215">
        <w:rPr>
          <w:rFonts w:eastAsia="Times New Roman" w:cstheme="minorHAnsi"/>
          <w:kern w:val="0"/>
          <w:lang w:val="en-GB"/>
          <w14:ligatures w14:val="none"/>
        </w:rPr>
        <w:t xml:space="preserve"> </w:t>
      </w:r>
    </w:p>
    <w:p w14:paraId="6C4E2DF0" w14:textId="77777777" w:rsidR="00C579A5" w:rsidRPr="00257215" w:rsidRDefault="00C579A5" w:rsidP="00AD07BA">
      <w:pPr>
        <w:jc w:val="both"/>
        <w:rPr>
          <w:rFonts w:eastAsia="Times New Roman" w:cstheme="minorHAnsi"/>
          <w:kern w:val="0"/>
          <w:lang w:val="en-GB"/>
          <w14:ligatures w14:val="none"/>
        </w:rPr>
      </w:pPr>
    </w:p>
    <w:p w14:paraId="350FB63F" w14:textId="702E64EF" w:rsidR="0025378B" w:rsidRPr="00257215" w:rsidRDefault="00C579A5" w:rsidP="00C579A5">
      <w:pPr>
        <w:jc w:val="both"/>
        <w:rPr>
          <w:rFonts w:cstheme="minorHAnsi"/>
        </w:rPr>
      </w:pPr>
      <w:r w:rsidRPr="00257215">
        <w:rPr>
          <w:rFonts w:eastAsia="Times New Roman" w:cstheme="minorHAnsi"/>
          <w:kern w:val="0"/>
          <w:lang w:val="en-GB"/>
          <w14:ligatures w14:val="none"/>
        </w:rPr>
        <w:t>Accordingly, FI underscores the need for extractive activities to proceed in a manner that acknowledges these severe impacts and attempts to address them at each stage of business activities and operations.</w:t>
      </w:r>
    </w:p>
    <w:p w14:paraId="5CE02BF3" w14:textId="08377A32" w:rsidR="676DB0B3" w:rsidRPr="00257215" w:rsidRDefault="676DB0B3" w:rsidP="676DB0B3">
      <w:pPr>
        <w:jc w:val="both"/>
        <w:rPr>
          <w:rFonts w:eastAsia="Times New Roman" w:cstheme="minorHAnsi"/>
          <w:lang w:val="en-GB"/>
        </w:rPr>
      </w:pPr>
    </w:p>
    <w:p w14:paraId="0221F5D7" w14:textId="7A709DDA" w:rsidR="009AB0E3" w:rsidRPr="00257215" w:rsidRDefault="03E7D98A" w:rsidP="00257215">
      <w:pPr>
        <w:jc w:val="both"/>
        <w:rPr>
          <w:rFonts w:eastAsia="Roboto" w:cstheme="minorHAnsi"/>
          <w:lang w:val="en-GB"/>
        </w:rPr>
      </w:pPr>
      <w:r w:rsidRPr="00257215">
        <w:rPr>
          <w:rFonts w:eastAsia="Roboto" w:cstheme="minorHAnsi"/>
          <w:lang w:val="en-GB"/>
        </w:rPr>
        <w:t>States should</w:t>
      </w:r>
      <w:r w:rsidR="676A0FBD" w:rsidRPr="00257215">
        <w:rPr>
          <w:rFonts w:eastAsia="Roboto" w:cstheme="minorHAnsi"/>
          <w:lang w:val="en-GB"/>
        </w:rPr>
        <w:t xml:space="preserve"> adopt legislation to guarantee effective access to justice for victims</w:t>
      </w:r>
      <w:r w:rsidR="40596034" w:rsidRPr="00257215">
        <w:rPr>
          <w:rFonts w:eastAsia="Roboto" w:cstheme="minorHAnsi"/>
          <w:lang w:val="en-GB"/>
        </w:rPr>
        <w:t xml:space="preserve">. </w:t>
      </w:r>
      <w:r w:rsidR="750FAF09" w:rsidRPr="00257215">
        <w:rPr>
          <w:rFonts w:eastAsia="Roboto" w:cstheme="minorHAnsi"/>
          <w:lang w:val="en-GB"/>
        </w:rPr>
        <w:t xml:space="preserve">This </w:t>
      </w:r>
      <w:r w:rsidR="005C13C2" w:rsidRPr="00257215">
        <w:rPr>
          <w:rFonts w:eastAsia="Roboto" w:cstheme="minorHAnsi"/>
          <w:lang w:val="en-GB"/>
        </w:rPr>
        <w:t>includes</w:t>
      </w:r>
      <w:r w:rsidR="750FAF09" w:rsidRPr="00257215">
        <w:rPr>
          <w:rFonts w:eastAsia="Roboto" w:cstheme="minorHAnsi"/>
          <w:lang w:val="en-GB"/>
        </w:rPr>
        <w:t xml:space="preserve"> </w:t>
      </w:r>
      <w:r w:rsidR="1C467E45" w:rsidRPr="00257215">
        <w:rPr>
          <w:rFonts w:eastAsia="Roboto" w:cstheme="minorHAnsi"/>
          <w:lang w:val="en-GB"/>
        </w:rPr>
        <w:t>removing</w:t>
      </w:r>
      <w:r w:rsidR="750FAF09" w:rsidRPr="00257215">
        <w:rPr>
          <w:rFonts w:eastAsia="Roboto" w:cstheme="minorHAnsi"/>
          <w:lang w:val="en-GB"/>
        </w:rPr>
        <w:t xml:space="preserve"> any procedural</w:t>
      </w:r>
      <w:r w:rsidR="7E02CA81" w:rsidRPr="00257215">
        <w:rPr>
          <w:rFonts w:eastAsia="Roboto" w:cstheme="minorHAnsi"/>
          <w:lang w:val="en-GB"/>
        </w:rPr>
        <w:t xml:space="preserve"> </w:t>
      </w:r>
      <w:r w:rsidR="0100B212" w:rsidRPr="00257215">
        <w:rPr>
          <w:rFonts w:eastAsia="Roboto" w:cstheme="minorHAnsi"/>
          <w:lang w:val="en-GB"/>
        </w:rPr>
        <w:t>barriers</w:t>
      </w:r>
      <w:r w:rsidR="750FAF09" w:rsidRPr="00257215">
        <w:rPr>
          <w:rFonts w:eastAsia="Roboto" w:cstheme="minorHAnsi"/>
          <w:lang w:val="en-GB"/>
        </w:rPr>
        <w:t xml:space="preserve"> such as statute</w:t>
      </w:r>
      <w:r w:rsidR="477EF954" w:rsidRPr="00257215">
        <w:rPr>
          <w:rFonts w:eastAsia="Roboto" w:cstheme="minorHAnsi"/>
          <w:lang w:val="en-GB"/>
        </w:rPr>
        <w:t>s</w:t>
      </w:r>
      <w:r w:rsidR="750FAF09" w:rsidRPr="00257215">
        <w:rPr>
          <w:rFonts w:eastAsia="Roboto" w:cstheme="minorHAnsi"/>
          <w:lang w:val="en-GB"/>
        </w:rPr>
        <w:t xml:space="preserve"> of limitations</w:t>
      </w:r>
      <w:r w:rsidR="42AEF60C" w:rsidRPr="00257215">
        <w:rPr>
          <w:rFonts w:eastAsia="Roboto" w:cstheme="minorHAnsi"/>
          <w:lang w:val="en-GB"/>
        </w:rPr>
        <w:t>,</w:t>
      </w:r>
      <w:r w:rsidR="55FFFD0C" w:rsidRPr="00257215">
        <w:rPr>
          <w:rFonts w:eastAsia="Roboto" w:cstheme="minorHAnsi"/>
          <w:lang w:val="en-GB"/>
        </w:rPr>
        <w:t xml:space="preserve"> </w:t>
      </w:r>
      <w:proofErr w:type="gramStart"/>
      <w:r w:rsidR="477EF954" w:rsidRPr="00257215">
        <w:rPr>
          <w:rFonts w:eastAsia="Roboto" w:cstheme="minorHAnsi"/>
          <w:lang w:val="en-GB"/>
        </w:rPr>
        <w:t>in particular for</w:t>
      </w:r>
      <w:proofErr w:type="gramEnd"/>
      <w:r w:rsidR="477EF954" w:rsidRPr="00257215">
        <w:rPr>
          <w:rFonts w:eastAsia="Roboto" w:cstheme="minorHAnsi"/>
          <w:lang w:val="en-GB"/>
        </w:rPr>
        <w:t xml:space="preserve"> inter-generational victims, </w:t>
      </w:r>
      <w:r w:rsidR="55FFFD0C" w:rsidRPr="00257215">
        <w:rPr>
          <w:rFonts w:eastAsia="Roboto" w:cstheme="minorHAnsi"/>
          <w:lang w:val="en-GB"/>
        </w:rPr>
        <w:t>as it has been proven to be a</w:t>
      </w:r>
      <w:r w:rsidR="10138209" w:rsidRPr="00257215">
        <w:rPr>
          <w:rFonts w:eastAsia="Roboto" w:cstheme="minorHAnsi"/>
          <w:lang w:val="en-GB"/>
        </w:rPr>
        <w:t>n obstacle for accessing justice</w:t>
      </w:r>
      <w:r w:rsidR="55FFFD0C" w:rsidRPr="00257215">
        <w:rPr>
          <w:rFonts w:eastAsia="Roboto" w:cstheme="minorHAnsi"/>
          <w:lang w:val="en-GB"/>
        </w:rPr>
        <w:t>.</w:t>
      </w:r>
      <w:r w:rsidR="00893CCA" w:rsidRPr="00257215">
        <w:rPr>
          <w:rStyle w:val="FootnoteReference"/>
          <w:rFonts w:eastAsia="Roboto" w:cstheme="minorHAnsi"/>
          <w:lang w:val="en-GB"/>
        </w:rPr>
        <w:footnoteReference w:id="17"/>
      </w:r>
      <w:r w:rsidR="750FAF09" w:rsidRPr="00257215">
        <w:rPr>
          <w:rFonts w:eastAsia="Roboto" w:cstheme="minorHAnsi"/>
          <w:lang w:val="en-GB"/>
        </w:rPr>
        <w:t xml:space="preserve"> </w:t>
      </w:r>
      <w:r w:rsidR="195DF9C6" w:rsidRPr="00257215">
        <w:rPr>
          <w:rFonts w:eastAsia="Roboto" w:cstheme="minorHAnsi"/>
          <w:lang w:val="en-GB"/>
        </w:rPr>
        <w:t xml:space="preserve">We have seen that the effects of extractive industries and other businesses activities might take years to </w:t>
      </w:r>
      <w:r w:rsidR="446ECD72" w:rsidRPr="00257215">
        <w:rPr>
          <w:rFonts w:eastAsia="Roboto" w:cstheme="minorHAnsi"/>
          <w:lang w:val="en-GB"/>
        </w:rPr>
        <w:t>manifest,</w:t>
      </w:r>
      <w:r w:rsidR="2346B919" w:rsidRPr="00257215">
        <w:rPr>
          <w:rFonts w:eastAsia="Roboto" w:cstheme="minorHAnsi"/>
          <w:lang w:val="en-GB"/>
        </w:rPr>
        <w:t xml:space="preserve"> </w:t>
      </w:r>
      <w:r w:rsidR="00C21BE5" w:rsidRPr="00257215">
        <w:rPr>
          <w:rFonts w:eastAsia="Roboto" w:cstheme="minorHAnsi"/>
          <w:lang w:val="en-GB"/>
        </w:rPr>
        <w:t>and</w:t>
      </w:r>
      <w:r w:rsidR="005D4E4E" w:rsidRPr="00257215">
        <w:rPr>
          <w:rFonts w:eastAsia="Roboto" w:cstheme="minorHAnsi"/>
          <w:lang w:val="en-GB"/>
        </w:rPr>
        <w:t xml:space="preserve">/or </w:t>
      </w:r>
      <w:r w:rsidR="00905313" w:rsidRPr="00257215">
        <w:rPr>
          <w:rFonts w:eastAsia="Roboto" w:cstheme="minorHAnsi"/>
          <w:lang w:val="en-GB"/>
        </w:rPr>
        <w:t xml:space="preserve">may </w:t>
      </w:r>
      <w:r w:rsidR="2346B919" w:rsidRPr="00257215">
        <w:rPr>
          <w:rFonts w:eastAsia="Roboto" w:cstheme="minorHAnsi"/>
          <w:lang w:val="en-GB"/>
        </w:rPr>
        <w:t xml:space="preserve">continue over long periods of time. </w:t>
      </w:r>
    </w:p>
    <w:p w14:paraId="2594C2B8" w14:textId="1F67DCC8" w:rsidR="676DB0B3" w:rsidRPr="00257215" w:rsidRDefault="676DB0B3" w:rsidP="676DB0B3">
      <w:pPr>
        <w:jc w:val="both"/>
        <w:rPr>
          <w:rFonts w:eastAsia="Roboto" w:cstheme="minorHAnsi"/>
          <w:lang w:val="en-GB"/>
        </w:rPr>
      </w:pPr>
    </w:p>
    <w:p w14:paraId="4BFFE2FE" w14:textId="2E8DB70F" w:rsidR="57B81FD1" w:rsidRPr="00257215" w:rsidRDefault="536DCE9E" w:rsidP="70393994">
      <w:pPr>
        <w:jc w:val="both"/>
        <w:rPr>
          <w:rFonts w:eastAsia="Times New Roman" w:cstheme="minorHAnsi"/>
        </w:rPr>
      </w:pPr>
      <w:r w:rsidRPr="00257215">
        <w:rPr>
          <w:rFonts w:eastAsia="Roboto" w:cstheme="minorHAnsi"/>
          <w:lang w:val="en-GB"/>
        </w:rPr>
        <w:t>Following some recommendations by various UN experts and special procedures,</w:t>
      </w:r>
      <w:r w:rsidRPr="00257215">
        <w:rPr>
          <w:rFonts w:eastAsia="Roboto" w:cstheme="minorHAnsi"/>
          <w:vertAlign w:val="superscript"/>
          <w:lang w:val="en-GB"/>
        </w:rPr>
        <w:footnoteReference w:id="18"/>
      </w:r>
      <w:r w:rsidRPr="00257215">
        <w:rPr>
          <w:rFonts w:eastAsia="Roboto" w:cstheme="minorHAnsi"/>
          <w:lang w:val="en-GB"/>
        </w:rPr>
        <w:t xml:space="preserve"> and given continued </w:t>
      </w:r>
      <w:r w:rsidR="2852621D" w:rsidRPr="00257215">
        <w:rPr>
          <w:rFonts w:eastAsia="Roboto" w:cstheme="minorHAnsi"/>
          <w:lang w:val="en-GB"/>
        </w:rPr>
        <w:t xml:space="preserve">and potential </w:t>
      </w:r>
      <w:r w:rsidRPr="00257215">
        <w:rPr>
          <w:rFonts w:eastAsia="Roboto" w:cstheme="minorHAnsi"/>
          <w:lang w:val="en-GB"/>
        </w:rPr>
        <w:t>adverse impacts on human rights and the environment by business, FI would also</w:t>
      </w:r>
      <w:r w:rsidRPr="00257215">
        <w:rPr>
          <w:rFonts w:eastAsia="Times New Roman" w:cstheme="minorHAnsi"/>
          <w:color w:val="000000" w:themeColor="text1"/>
        </w:rPr>
        <w:t xml:space="preserve"> suggest </w:t>
      </w:r>
      <w:r w:rsidR="75CC521A" w:rsidRPr="00257215">
        <w:rPr>
          <w:rFonts w:eastAsia="Times New Roman" w:cstheme="minorHAnsi"/>
          <w:color w:val="000000" w:themeColor="text1"/>
        </w:rPr>
        <w:t xml:space="preserve">that </w:t>
      </w:r>
      <w:r w:rsidRPr="00257215">
        <w:rPr>
          <w:rFonts w:eastAsia="Times New Roman" w:cstheme="minorHAnsi"/>
          <w:color w:val="000000" w:themeColor="text1"/>
        </w:rPr>
        <w:t>the W</w:t>
      </w:r>
      <w:r w:rsidR="18E91E9C" w:rsidRPr="00257215">
        <w:rPr>
          <w:rFonts w:eastAsia="Times New Roman" w:cstheme="minorHAnsi"/>
          <w:color w:val="000000" w:themeColor="text1"/>
        </w:rPr>
        <w:t xml:space="preserve">orking </w:t>
      </w:r>
      <w:r w:rsidRPr="00257215">
        <w:rPr>
          <w:rFonts w:eastAsia="Times New Roman" w:cstheme="minorHAnsi"/>
          <w:color w:val="000000" w:themeColor="text1"/>
        </w:rPr>
        <w:t>G</w:t>
      </w:r>
      <w:r w:rsidR="18E91E9C" w:rsidRPr="00257215">
        <w:rPr>
          <w:rFonts w:eastAsia="Times New Roman" w:cstheme="minorHAnsi"/>
          <w:color w:val="000000" w:themeColor="text1"/>
        </w:rPr>
        <w:t>roup</w:t>
      </w:r>
      <w:r w:rsidRPr="00257215">
        <w:rPr>
          <w:rFonts w:eastAsia="Times New Roman" w:cstheme="minorHAnsi"/>
          <w:color w:val="000000" w:themeColor="text1"/>
        </w:rPr>
        <w:t xml:space="preserve"> make a recommendation towards calling on States to actively participate in the process towards the development of the legally binding instrument to regulate the activities of transnational corporations and other business enterprises, in </w:t>
      </w:r>
      <w:r w:rsidRPr="00257215">
        <w:rPr>
          <w:rFonts w:eastAsia="Times New Roman" w:cstheme="minorHAnsi"/>
          <w:color w:val="000000" w:themeColor="text1"/>
        </w:rPr>
        <w:lastRenderedPageBreak/>
        <w:t xml:space="preserve">international human rights law. </w:t>
      </w:r>
      <w:r w:rsidR="2F5F7C68" w:rsidRPr="00257215">
        <w:rPr>
          <w:rFonts w:eastAsia="Times New Roman" w:cstheme="minorHAnsi"/>
          <w:color w:val="000000" w:themeColor="text1"/>
        </w:rPr>
        <w:t>In this regard, we note that the Working Group</w:t>
      </w:r>
      <w:r w:rsidR="73AE0D4C" w:rsidRPr="00257215">
        <w:rPr>
          <w:rFonts w:eastAsia="Times New Roman" w:cstheme="minorHAnsi"/>
          <w:color w:val="000000" w:themeColor="text1"/>
        </w:rPr>
        <w:t>’s acknowledgment that the UNGPs “has</w:t>
      </w:r>
      <w:r w:rsidR="73AE0D4C" w:rsidRPr="00257215">
        <w:rPr>
          <w:rFonts w:eastAsia="Roboto" w:cstheme="minorHAnsi"/>
        </w:rPr>
        <w:t xml:space="preserve"> not reached sufficient breadth or depth” to curb human rights violations.</w:t>
      </w:r>
      <w:r w:rsidR="57B81FD1" w:rsidRPr="00257215">
        <w:rPr>
          <w:rStyle w:val="FootnoteReference"/>
          <w:rFonts w:eastAsia="Times New Roman" w:cstheme="minorHAnsi"/>
        </w:rPr>
        <w:footnoteReference w:id="19"/>
      </w:r>
    </w:p>
    <w:p w14:paraId="5139B142" w14:textId="488BCBEF" w:rsidR="676DB0B3" w:rsidRPr="00257215" w:rsidRDefault="676DB0B3" w:rsidP="70393994">
      <w:pPr>
        <w:spacing w:beforeAutospacing="1" w:afterAutospacing="1"/>
        <w:jc w:val="both"/>
        <w:rPr>
          <w:rFonts w:eastAsia="Times New Roman" w:cstheme="minorHAnsi"/>
          <w:i/>
          <w:iCs/>
        </w:rPr>
      </w:pPr>
    </w:p>
    <w:p w14:paraId="4D360BCC" w14:textId="63D4362F" w:rsidR="676DB0B3" w:rsidRPr="00257215" w:rsidRDefault="676DB0B3" w:rsidP="676DB0B3">
      <w:pPr>
        <w:jc w:val="both"/>
        <w:rPr>
          <w:rFonts w:eastAsia="Times New Roman" w:cstheme="minorHAnsi"/>
          <w:lang w:val="en-GB"/>
        </w:rPr>
      </w:pPr>
    </w:p>
    <w:sectPr w:rsidR="676DB0B3" w:rsidRPr="00257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B245" w14:textId="77777777" w:rsidR="00D53AAA" w:rsidRDefault="00D53AAA" w:rsidP="00AA3266">
      <w:r>
        <w:separator/>
      </w:r>
    </w:p>
  </w:endnote>
  <w:endnote w:type="continuationSeparator" w:id="0">
    <w:p w14:paraId="43B84532" w14:textId="77777777" w:rsidR="00D53AAA" w:rsidRDefault="00D53AAA" w:rsidP="00AA3266">
      <w:r>
        <w:continuationSeparator/>
      </w:r>
    </w:p>
  </w:endnote>
  <w:endnote w:type="continuationNotice" w:id="1">
    <w:p w14:paraId="2AA6DFF0" w14:textId="77777777" w:rsidR="00D53AAA" w:rsidRDefault="00D5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6D85" w14:textId="77777777" w:rsidR="00D53AAA" w:rsidRDefault="00D53AAA" w:rsidP="00AA3266">
      <w:r>
        <w:separator/>
      </w:r>
    </w:p>
  </w:footnote>
  <w:footnote w:type="continuationSeparator" w:id="0">
    <w:p w14:paraId="3ED1D95C" w14:textId="77777777" w:rsidR="00D53AAA" w:rsidRDefault="00D53AAA" w:rsidP="00AA3266">
      <w:r>
        <w:continuationSeparator/>
      </w:r>
    </w:p>
  </w:footnote>
  <w:footnote w:type="continuationNotice" w:id="1">
    <w:p w14:paraId="0F6D0554" w14:textId="77777777" w:rsidR="00D53AAA" w:rsidRDefault="00D53AAA"/>
  </w:footnote>
  <w:footnote w:id="2">
    <w:p w14:paraId="52008A5A" w14:textId="77777777" w:rsidR="003801C3" w:rsidRPr="00257215" w:rsidRDefault="003801C3"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Intervention of Rodrigo </w:t>
      </w:r>
      <w:proofErr w:type="spellStart"/>
      <w:r w:rsidRPr="00257215">
        <w:rPr>
          <w:rFonts w:cstheme="minorHAnsi"/>
        </w:rPr>
        <w:t>Peret</w:t>
      </w:r>
      <w:proofErr w:type="spellEnd"/>
      <w:r w:rsidRPr="00257215">
        <w:rPr>
          <w:rFonts w:cstheme="minorHAnsi"/>
        </w:rPr>
        <w:t xml:space="preserve">, during “Clean Energy with Clean Conscience,” 1 June 2022, available at: </w:t>
      </w:r>
      <w:hyperlink r:id="rId1" w:anchor="scroll-nav__3">
        <w:r w:rsidRPr="00257215">
          <w:rPr>
            <w:rStyle w:val="Hyperlink"/>
            <w:rFonts w:cstheme="minorHAnsi"/>
          </w:rPr>
          <w:t>https://www.genevaenvironmentnetwork.org/events/clean-energy-with-clean-conscience-the-importance-of-human-rights-and-the-transition-to-clean-energy/#scroll-nav__3</w:t>
        </w:r>
      </w:hyperlink>
      <w:r w:rsidRPr="00257215">
        <w:rPr>
          <w:rFonts w:cstheme="minorHAnsi"/>
        </w:rPr>
        <w:t xml:space="preserve"> </w:t>
      </w:r>
    </w:p>
  </w:footnote>
  <w:footnote w:id="3">
    <w:p w14:paraId="1E69AD2D" w14:textId="77ECCD68" w:rsidR="00A025E4" w:rsidRPr="00257215" w:rsidRDefault="00A025E4"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‘Green colonialism’: Indigenous world leaders warn over west’s climate strategy, The Guardian, 23 April 2023, </w:t>
      </w:r>
      <w:hyperlink r:id="rId2" w:history="1">
        <w:r w:rsidRPr="00257215">
          <w:rPr>
            <w:rStyle w:val="Hyperlink"/>
            <w:rFonts w:cstheme="minorHAnsi"/>
          </w:rPr>
          <w:t>https://www.theguardian.com/world/2023/apr/23/un-indigenous-peoples-forum-climate-strategy-warning</w:t>
        </w:r>
      </w:hyperlink>
      <w:r w:rsidRPr="00257215">
        <w:rPr>
          <w:rFonts w:cstheme="minorHAnsi"/>
        </w:rPr>
        <w:t xml:space="preserve"> </w:t>
      </w:r>
    </w:p>
  </w:footnote>
  <w:footnote w:id="4">
    <w:p w14:paraId="4737D990" w14:textId="5D7BF82D" w:rsidR="00EF3382" w:rsidRPr="00257215" w:rsidRDefault="00EF3382"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Human Rights Council resolution 48/13, para.4(c)</w:t>
      </w:r>
    </w:p>
  </w:footnote>
  <w:footnote w:id="5">
    <w:p w14:paraId="312B824F" w14:textId="2E1E2B03" w:rsidR="00E85651" w:rsidRPr="00257215" w:rsidRDefault="00E85651"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w:t>
      </w:r>
      <w:proofErr w:type="spellStart"/>
      <w:r w:rsidRPr="00257215">
        <w:rPr>
          <w:rFonts w:cstheme="minorHAnsi"/>
        </w:rPr>
        <w:t>Cfr</w:t>
      </w:r>
      <w:proofErr w:type="spellEnd"/>
      <w:r w:rsidRPr="00257215">
        <w:rPr>
          <w:rFonts w:cstheme="minorHAnsi"/>
        </w:rPr>
        <w:t xml:space="preserve">. </w:t>
      </w:r>
      <w:r w:rsidR="00165289" w:rsidRPr="00257215">
        <w:rPr>
          <w:rFonts w:cstheme="minorHAnsi"/>
        </w:rPr>
        <w:t xml:space="preserve">Human Rights Council, “Indigenous peoples and coronavirus disease (COVID-19) recovery”, </w:t>
      </w:r>
      <w:r w:rsidR="005C1952" w:rsidRPr="00257215">
        <w:rPr>
          <w:rFonts w:cstheme="minorHAnsi"/>
        </w:rPr>
        <w:t xml:space="preserve">Report of the Special Rapporteur on the rights of indigenous peoples, José Francisco </w:t>
      </w:r>
      <w:proofErr w:type="spellStart"/>
      <w:r w:rsidR="005C1952" w:rsidRPr="00257215">
        <w:rPr>
          <w:rFonts w:cstheme="minorHAnsi"/>
        </w:rPr>
        <w:t>Calí</w:t>
      </w:r>
      <w:proofErr w:type="spellEnd"/>
      <w:r w:rsidR="005C1952" w:rsidRPr="00257215">
        <w:rPr>
          <w:rFonts w:cstheme="minorHAnsi"/>
        </w:rPr>
        <w:t xml:space="preserve"> </w:t>
      </w:r>
      <w:proofErr w:type="spellStart"/>
      <w:r w:rsidR="005C1952" w:rsidRPr="00257215">
        <w:rPr>
          <w:rFonts w:cstheme="minorHAnsi"/>
        </w:rPr>
        <w:t>Tzay</w:t>
      </w:r>
      <w:proofErr w:type="spellEnd"/>
      <w:r w:rsidR="005C1952" w:rsidRPr="00257215">
        <w:rPr>
          <w:rFonts w:cstheme="minorHAnsi"/>
        </w:rPr>
        <w:t>, A/HRC/48/54, 6 August 2021,</w:t>
      </w:r>
      <w:r w:rsidR="00A30675" w:rsidRPr="00257215">
        <w:rPr>
          <w:rFonts w:cstheme="minorHAnsi"/>
        </w:rPr>
        <w:t xml:space="preserve"> para. 12-15</w:t>
      </w:r>
    </w:p>
  </w:footnote>
  <w:footnote w:id="6">
    <w:p w14:paraId="6EAC28C0" w14:textId="085B1732" w:rsidR="00CB4B7E" w:rsidRPr="00257215" w:rsidRDefault="00CB4B7E"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Article 19, UN Declaration on the Rights of Indigenous Peoples</w:t>
      </w:r>
    </w:p>
  </w:footnote>
  <w:footnote w:id="7">
    <w:p w14:paraId="5312D568" w14:textId="19531A4D" w:rsidR="00EF469C" w:rsidRPr="00257215" w:rsidRDefault="00EF469C"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Inter-American Commission on human Rights, “Climate Emergency</w:t>
      </w:r>
      <w:r w:rsidR="0016320C" w:rsidRPr="00257215">
        <w:rPr>
          <w:rFonts w:cstheme="minorHAnsi"/>
        </w:rPr>
        <w:t xml:space="preserve">. Scope of Inter-American Human Rights Obligations”, Resolution 3/2021, </w:t>
      </w:r>
      <w:r w:rsidR="00B9373C" w:rsidRPr="00257215">
        <w:rPr>
          <w:rFonts w:cstheme="minorHAnsi"/>
        </w:rPr>
        <w:t>adopted on December 31</w:t>
      </w:r>
      <w:r w:rsidR="00B9373C" w:rsidRPr="00257215">
        <w:rPr>
          <w:rFonts w:cstheme="minorHAnsi"/>
          <w:color w:val="2B579A"/>
          <w:shd w:val="clear" w:color="auto" w:fill="E6E6E6"/>
          <w:vertAlign w:val="superscript"/>
        </w:rPr>
        <w:t>st</w:t>
      </w:r>
      <w:r w:rsidR="00B9373C" w:rsidRPr="00257215">
        <w:rPr>
          <w:rFonts w:cstheme="minorHAnsi"/>
        </w:rPr>
        <w:t xml:space="preserve">, 2021, </w:t>
      </w:r>
      <w:r w:rsidR="0016320C" w:rsidRPr="00257215">
        <w:rPr>
          <w:rFonts w:cstheme="minorHAnsi"/>
        </w:rPr>
        <w:t>para. 13.</w:t>
      </w:r>
    </w:p>
  </w:footnote>
  <w:footnote w:id="8">
    <w:p w14:paraId="40863253" w14:textId="10BD7CF5" w:rsidR="009B64EF" w:rsidRPr="00257215" w:rsidRDefault="009B64EF" w:rsidP="006A0D86">
      <w:pPr>
        <w:pStyle w:val="FootnoteText"/>
        <w:jc w:val="both"/>
        <w:rPr>
          <w:rFonts w:cstheme="minorHAnsi"/>
          <w:lang w:val="es-419"/>
        </w:rPr>
      </w:pPr>
      <w:r w:rsidRPr="00257215">
        <w:rPr>
          <w:rStyle w:val="FootnoteReference"/>
          <w:rFonts w:cstheme="minorHAnsi"/>
        </w:rPr>
        <w:footnoteRef/>
      </w:r>
      <w:r w:rsidRPr="00257215">
        <w:rPr>
          <w:rFonts w:cstheme="minorHAnsi"/>
          <w:lang w:val="es-419"/>
        </w:rPr>
        <w:t xml:space="preserve"> </w:t>
      </w:r>
      <w:r w:rsidRPr="00257215">
        <w:rPr>
          <w:rFonts w:cstheme="minorHAnsi"/>
          <w:lang w:val="es-419"/>
        </w:rPr>
        <w:t>See</w:t>
      </w:r>
      <w:r w:rsidR="000D5ED8" w:rsidRPr="00257215">
        <w:rPr>
          <w:rFonts w:cstheme="minorHAnsi"/>
          <w:lang w:val="es-419"/>
        </w:rPr>
        <w:t xml:space="preserve"> LEY 134 DE 1994, “Por la cual se dictan normas sobre mecanismos de participación ciudadana.”, EL CONGRESO DE COLOMBIA, </w:t>
      </w:r>
      <w:r w:rsidRPr="00257215">
        <w:rPr>
          <w:rFonts w:cstheme="minorHAnsi"/>
          <w:lang w:val="es-419"/>
        </w:rPr>
        <w:t xml:space="preserve"> art. </w:t>
      </w:r>
      <w:r w:rsidR="00CF33A8" w:rsidRPr="00257215">
        <w:rPr>
          <w:rFonts w:cstheme="minorHAnsi"/>
          <w:lang w:val="es-419"/>
        </w:rPr>
        <w:t>8</w:t>
      </w:r>
      <w:r w:rsidR="0030052A" w:rsidRPr="00257215">
        <w:rPr>
          <w:rFonts w:cstheme="minorHAnsi"/>
          <w:lang w:val="es-419"/>
        </w:rPr>
        <w:t>,</w:t>
      </w:r>
      <w:r w:rsidRPr="00257215">
        <w:rPr>
          <w:rFonts w:cstheme="minorHAnsi"/>
          <w:lang w:val="es-419"/>
        </w:rPr>
        <w:t xml:space="preserve"> </w:t>
      </w:r>
      <w:r w:rsidR="0030052A" w:rsidRPr="00257215">
        <w:rPr>
          <w:rFonts w:cstheme="minorHAnsi"/>
          <w:lang w:val="es-419"/>
        </w:rPr>
        <w:t>https://www.funcionpublica.gov.co/eva/gestornormativo/norma.php?i=330</w:t>
      </w:r>
    </w:p>
  </w:footnote>
  <w:footnote w:id="9">
    <w:p w14:paraId="4E884CF1" w14:textId="77777777" w:rsidR="005C5C31" w:rsidRPr="00257215" w:rsidRDefault="005C5C31" w:rsidP="006A0D86">
      <w:pPr>
        <w:pStyle w:val="FootnoteText"/>
        <w:jc w:val="both"/>
        <w:rPr>
          <w:rFonts w:cstheme="minorHAnsi"/>
          <w:lang w:val="es-419"/>
        </w:rPr>
      </w:pPr>
      <w:r w:rsidRPr="00257215">
        <w:rPr>
          <w:rStyle w:val="FootnoteReference"/>
          <w:rFonts w:cstheme="minorHAnsi"/>
        </w:rPr>
        <w:footnoteRef/>
      </w:r>
      <w:r w:rsidRPr="00257215">
        <w:rPr>
          <w:rFonts w:cstheme="minorHAnsi"/>
          <w:color w:val="2B579A"/>
          <w:shd w:val="clear" w:color="auto" w:fill="E6E6E6"/>
          <w:lang w:val="es-419"/>
        </w:rPr>
        <w:t xml:space="preserve"> </w:t>
      </w:r>
      <w:r w:rsidRPr="00257215">
        <w:rPr>
          <w:rFonts w:cstheme="minorHAnsi"/>
          <w:color w:val="2B579A"/>
          <w:shd w:val="clear" w:color="auto" w:fill="E6E6E6"/>
          <w:lang w:val="es-419"/>
        </w:rPr>
        <w:t>See for example</w:t>
      </w:r>
      <w:r w:rsidRPr="00257215">
        <w:rPr>
          <w:rFonts w:cstheme="minorHAnsi"/>
          <w:lang w:val="es-419"/>
        </w:rPr>
        <w:t>:</w:t>
      </w:r>
      <w:r w:rsidRPr="00257215">
        <w:rPr>
          <w:rFonts w:cstheme="minorHAnsi"/>
          <w:color w:val="2B579A"/>
          <w:shd w:val="clear" w:color="auto" w:fill="E6E6E6"/>
          <w:lang w:val="es-419"/>
        </w:rPr>
        <w:t xml:space="preserve"> </w:t>
      </w:r>
      <w:r w:rsidRPr="00257215">
        <w:rPr>
          <w:rFonts w:cstheme="minorHAnsi"/>
          <w:lang w:val="es-419"/>
        </w:rPr>
        <w:t xml:space="preserve">Registraduría Nacional del Estado Civil, “En consulta popular celebrada el domingo 28 de julio, los habitantes de Piedras, Tolima dijeron ‘no’ a la exploración minera en su municipio”, </w:t>
      </w:r>
      <w:hyperlink r:id="rId3" w:history="1">
        <w:r w:rsidRPr="00257215">
          <w:rPr>
            <w:rStyle w:val="Hyperlink"/>
            <w:rFonts w:cstheme="minorHAnsi"/>
            <w:lang w:val="es-419"/>
          </w:rPr>
          <w:t>https://registraduria.gov.co/En-consulta-popular-celebrada-el-domingo-28-de-julio-los-habitantes-de-Piedras.html</w:t>
        </w:r>
      </w:hyperlink>
    </w:p>
  </w:footnote>
  <w:footnote w:id="10">
    <w:p w14:paraId="15EEA596" w14:textId="2C60B51E" w:rsidR="00BD3E6A" w:rsidRPr="00257215" w:rsidRDefault="00BD3E6A" w:rsidP="006A0D86">
      <w:pPr>
        <w:pStyle w:val="FootnoteText"/>
        <w:jc w:val="both"/>
        <w:rPr>
          <w:rFonts w:cstheme="minorHAnsi"/>
          <w:lang w:val="es-419"/>
        </w:rPr>
      </w:pPr>
      <w:r w:rsidRPr="00257215">
        <w:rPr>
          <w:rStyle w:val="FootnoteReference"/>
          <w:rFonts w:cstheme="minorHAnsi"/>
        </w:rPr>
        <w:footnoteRef/>
      </w:r>
      <w:r w:rsidR="00AA0774" w:rsidRPr="00257215">
        <w:rPr>
          <w:rFonts w:cstheme="minorHAnsi"/>
          <w:lang w:val="es-419"/>
        </w:rPr>
        <w:t xml:space="preserve"> </w:t>
      </w:r>
      <w:r w:rsidR="00AA0774" w:rsidRPr="00257215">
        <w:rPr>
          <w:rFonts w:cstheme="minorHAnsi"/>
          <w:lang w:val="es-419"/>
        </w:rPr>
        <w:t xml:space="preserve">LEY 134 DE 1994, “Por la cual se dictan normas sobre mecanismos de participación ciudadana.”, EL CONGRESO DE COLOMBIA, </w:t>
      </w:r>
      <w:r w:rsidRPr="00257215">
        <w:rPr>
          <w:rFonts w:cstheme="minorHAnsi"/>
          <w:lang w:val="es-419"/>
        </w:rPr>
        <w:t xml:space="preserve"> </w:t>
      </w:r>
      <w:r w:rsidR="00AA0774" w:rsidRPr="00257215">
        <w:rPr>
          <w:rFonts w:cstheme="minorHAnsi"/>
          <w:lang w:val="es-419"/>
        </w:rPr>
        <w:t>a</w:t>
      </w:r>
      <w:r w:rsidRPr="00257215">
        <w:rPr>
          <w:rFonts w:cstheme="minorHAnsi"/>
          <w:lang w:val="es-419"/>
        </w:rPr>
        <w:t>rt</w:t>
      </w:r>
      <w:r w:rsidR="00AA0774" w:rsidRPr="00257215">
        <w:rPr>
          <w:rFonts w:cstheme="minorHAnsi"/>
          <w:lang w:val="es-419"/>
        </w:rPr>
        <w:t>. 51</w:t>
      </w:r>
    </w:p>
  </w:footnote>
  <w:footnote w:id="11">
    <w:p w14:paraId="60D1654D" w14:textId="79A51EA4" w:rsidR="00C34CAC" w:rsidRPr="00257215" w:rsidRDefault="00C34CAC" w:rsidP="006A0D86">
      <w:pPr>
        <w:pStyle w:val="FootnoteText"/>
        <w:jc w:val="both"/>
        <w:rPr>
          <w:rFonts w:cstheme="minorHAnsi"/>
          <w:lang w:val="es-419"/>
        </w:rPr>
      </w:pPr>
      <w:r w:rsidRPr="00257215">
        <w:rPr>
          <w:rStyle w:val="FootnoteReference"/>
          <w:rFonts w:cstheme="minorHAnsi"/>
        </w:rPr>
        <w:footnoteRef/>
      </w:r>
      <w:r w:rsidRPr="00257215">
        <w:rPr>
          <w:rFonts w:cstheme="minorHAnsi"/>
          <w:lang w:val="es-419"/>
        </w:rPr>
        <w:t xml:space="preserve"> </w:t>
      </w:r>
      <w:r w:rsidR="00AA0774" w:rsidRPr="00257215">
        <w:rPr>
          <w:rFonts w:cstheme="minorHAnsi"/>
          <w:lang w:val="es-419"/>
        </w:rPr>
        <w:t>LEY 134 DE 1994, “Por la cual se dictan normas sobre mecanismos de participación ciudadana.”, EL CONGRESO DE COLOMBIA,  a</w:t>
      </w:r>
      <w:r w:rsidR="00877A8A" w:rsidRPr="00257215">
        <w:rPr>
          <w:rFonts w:cstheme="minorHAnsi"/>
          <w:lang w:val="es-419"/>
        </w:rPr>
        <w:t>rt. 5</w:t>
      </w:r>
      <w:r w:rsidR="000C29AC" w:rsidRPr="00257215">
        <w:rPr>
          <w:rFonts w:cstheme="minorHAnsi"/>
          <w:lang w:val="es-419"/>
        </w:rPr>
        <w:t>5</w:t>
      </w:r>
    </w:p>
  </w:footnote>
  <w:footnote w:id="12">
    <w:p w14:paraId="66EDFFF1" w14:textId="3A8472CF" w:rsidR="70393994" w:rsidRPr="00257215" w:rsidRDefault="70393994" w:rsidP="006A0D86">
      <w:pPr>
        <w:pStyle w:val="FootnoteText"/>
        <w:jc w:val="both"/>
        <w:rPr>
          <w:rFonts w:eastAsia="Times New Roman" w:cstheme="minorHAnsi"/>
          <w:i/>
          <w:iCs/>
        </w:rPr>
      </w:pPr>
      <w:r w:rsidRPr="00257215">
        <w:rPr>
          <w:rStyle w:val="FootnoteReference"/>
          <w:rFonts w:cstheme="minorHAnsi"/>
        </w:rPr>
        <w:footnoteRef/>
      </w:r>
      <w:r w:rsidRPr="00257215">
        <w:rPr>
          <w:rFonts w:cstheme="minorHAnsi"/>
        </w:rPr>
        <w:t xml:space="preserve"> As outlined by the Committee on Economic, Social and Cultural Rights, States: ”</w:t>
      </w:r>
      <w:r w:rsidRPr="00257215">
        <w:rPr>
          <w:rFonts w:eastAsia="Times New Roman" w:cstheme="minorHAnsi"/>
          <w:i/>
          <w:iCs/>
        </w:rPr>
        <w:t xml:space="preserve">should consider imposing criminal or administrative sanctions and penalties, as appropriate, where business activities result in abuses of Covenant rights or where a failure to act with due diligence to mitigate risks allows such infringements to occur; enable civil suits and other effective means of claiming reparations by victims of rights violations against corporate perpetrators, in particular by lowering the costs to victims and by allowing forms of collective redress; revoke business </w:t>
      </w:r>
      <w:proofErr w:type="spellStart"/>
      <w:r w:rsidRPr="00257215">
        <w:rPr>
          <w:rFonts w:eastAsia="Times New Roman" w:cstheme="minorHAnsi"/>
          <w:i/>
          <w:iCs/>
        </w:rPr>
        <w:t>licences</w:t>
      </w:r>
      <w:proofErr w:type="spellEnd"/>
      <w:r w:rsidRPr="00257215">
        <w:rPr>
          <w:rFonts w:eastAsia="Times New Roman" w:cstheme="minorHAnsi"/>
          <w:i/>
          <w:iCs/>
        </w:rPr>
        <w:t xml:space="preserve"> and subsidies, if and to the extent necessary, from offenders; and revise relevant tax codes, public procurement contracts, export credits and other forms of State support, privileges and advantages in case of human rights violations, thus aligning business incentives with human rights responsibilities. States parties should regularly review the adequacy of laws and identify and address compliance and information gaps, as well as emerging problems.”</w:t>
      </w:r>
    </w:p>
    <w:p w14:paraId="1BF8AF8C" w14:textId="14BC97D6" w:rsidR="70393994" w:rsidRPr="00257215" w:rsidRDefault="70393994" w:rsidP="006A0D86">
      <w:pPr>
        <w:pStyle w:val="FootnoteText"/>
        <w:jc w:val="both"/>
        <w:rPr>
          <w:rFonts w:cstheme="minorHAnsi"/>
        </w:rPr>
      </w:pPr>
      <w:r w:rsidRPr="00257215">
        <w:rPr>
          <w:rFonts w:cstheme="minorHAnsi"/>
        </w:rPr>
        <w:t>General comment No. 24 (2017) on State obligations under the International Covenant on Economic, Social and Cultural Rights in the context of business activities, para. 15</w:t>
      </w:r>
    </w:p>
  </w:footnote>
  <w:footnote w:id="13">
    <w:p w14:paraId="59521C9A" w14:textId="0DBE1C61" w:rsidR="00F74981" w:rsidRPr="00257215" w:rsidRDefault="00F74981"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Inter-American Commission on human Rights, “Climate Emergency. Scope of Inter-American Human Rights Obligations”, Resolution 3/2021, adopted on December 31</w:t>
      </w:r>
      <w:r w:rsidRPr="00257215">
        <w:rPr>
          <w:rFonts w:cstheme="minorHAnsi"/>
          <w:vertAlign w:val="superscript"/>
        </w:rPr>
        <w:t>st</w:t>
      </w:r>
      <w:r w:rsidRPr="00257215">
        <w:rPr>
          <w:rFonts w:cstheme="minorHAnsi"/>
        </w:rPr>
        <w:t>, 2021, para. 14</w:t>
      </w:r>
    </w:p>
  </w:footnote>
  <w:footnote w:id="14">
    <w:p w14:paraId="558C9174" w14:textId="77777777" w:rsidR="70393994" w:rsidRPr="00257215" w:rsidRDefault="70393994"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Statement on the implications of the Guiding Principles on Business and Human Rights in the</w:t>
      </w:r>
    </w:p>
    <w:p w14:paraId="718EF65C" w14:textId="184AA60F" w:rsidR="70393994" w:rsidRPr="00257215" w:rsidRDefault="70393994" w:rsidP="007B5B74">
      <w:pPr>
        <w:jc w:val="both"/>
        <w:rPr>
          <w:rFonts w:cstheme="minorHAnsi"/>
          <w:sz w:val="20"/>
          <w:szCs w:val="20"/>
        </w:rPr>
      </w:pPr>
      <w:r w:rsidRPr="00257215">
        <w:rPr>
          <w:rFonts w:cstheme="minorHAnsi"/>
          <w:sz w:val="20"/>
          <w:szCs w:val="20"/>
        </w:rPr>
        <w:t>context of Israeli settlements in the Occupied Palestinian Territory, Mandate of the Working Group on the issue of human rights and transnational corporations and</w:t>
      </w:r>
      <w:r w:rsidR="007B5B74" w:rsidRPr="00257215">
        <w:rPr>
          <w:rFonts w:cstheme="minorHAnsi"/>
          <w:sz w:val="20"/>
          <w:szCs w:val="20"/>
        </w:rPr>
        <w:t xml:space="preserve"> </w:t>
      </w:r>
      <w:r w:rsidRPr="00257215">
        <w:rPr>
          <w:rFonts w:cstheme="minorHAnsi"/>
          <w:sz w:val="20"/>
          <w:szCs w:val="20"/>
        </w:rPr>
        <w:t>other business enterprises, 6 June 2014, p.10</w:t>
      </w:r>
    </w:p>
  </w:footnote>
  <w:footnote w:id="15">
    <w:p w14:paraId="6F6B2592" w14:textId="25609477" w:rsidR="0025378B" w:rsidRPr="00257215" w:rsidRDefault="0025378B"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UNGP</w:t>
      </w:r>
      <w:r w:rsidR="00AC3B46" w:rsidRPr="00257215">
        <w:rPr>
          <w:rFonts w:cstheme="minorHAnsi"/>
        </w:rPr>
        <w:t xml:space="preserve"> </w:t>
      </w:r>
      <w:r w:rsidRPr="00257215">
        <w:rPr>
          <w:rFonts w:cstheme="minorHAnsi"/>
        </w:rPr>
        <w:t>14</w:t>
      </w:r>
    </w:p>
  </w:footnote>
  <w:footnote w:id="16">
    <w:p w14:paraId="098E662A" w14:textId="31FB239D" w:rsidR="00AD07BA" w:rsidRPr="00257215" w:rsidRDefault="00AD07BA"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Intervention of Rodrigo </w:t>
      </w:r>
      <w:proofErr w:type="spellStart"/>
      <w:r w:rsidRPr="00257215">
        <w:rPr>
          <w:rFonts w:cstheme="minorHAnsi"/>
        </w:rPr>
        <w:t>Peret</w:t>
      </w:r>
      <w:proofErr w:type="spellEnd"/>
      <w:r w:rsidRPr="00257215">
        <w:rPr>
          <w:rFonts w:cstheme="minorHAnsi"/>
        </w:rPr>
        <w:t xml:space="preserve">, during “Clean Energy with Clean Conscience,” 1 June 2022, available at: </w:t>
      </w:r>
      <w:hyperlink r:id="rId4" w:anchor="scroll-nav__3" w:history="1">
        <w:r w:rsidRPr="00257215">
          <w:rPr>
            <w:rStyle w:val="Hyperlink"/>
            <w:rFonts w:cstheme="minorHAnsi"/>
          </w:rPr>
          <w:t>https://www.genevaenvironmentnetwork.org/events/clean-energy-with-clean-conscience-the-importance-of-human-rights-and-the-transition-to-clean-energy/#scroll-nav__3</w:t>
        </w:r>
      </w:hyperlink>
    </w:p>
  </w:footnote>
  <w:footnote w:id="17">
    <w:p w14:paraId="2AE6F9BE" w14:textId="0DD13A01" w:rsidR="00893CCA" w:rsidRPr="00257215" w:rsidRDefault="00893CCA"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w:t>
      </w:r>
      <w:proofErr w:type="spellStart"/>
      <w:r w:rsidR="00464064" w:rsidRPr="00257215">
        <w:rPr>
          <w:rFonts w:cstheme="minorHAnsi"/>
        </w:rPr>
        <w:t>Cfr</w:t>
      </w:r>
      <w:proofErr w:type="spellEnd"/>
      <w:r w:rsidR="00464064" w:rsidRPr="00257215">
        <w:rPr>
          <w:rFonts w:cstheme="minorHAnsi"/>
        </w:rPr>
        <w:t xml:space="preserve">. </w:t>
      </w:r>
      <w:r w:rsidR="007E0F84" w:rsidRPr="00257215">
        <w:rPr>
          <w:rFonts w:cstheme="minorHAnsi"/>
        </w:rPr>
        <w:t>“Chile: Nearly 40 years on, still no remedy for victims of Swedish toxic waste – UN experts”</w:t>
      </w:r>
      <w:r w:rsidR="009442E3" w:rsidRPr="00257215">
        <w:rPr>
          <w:rFonts w:cstheme="minorHAnsi"/>
        </w:rPr>
        <w:t xml:space="preserve">, 7 June 2021, </w:t>
      </w:r>
      <w:hyperlink r:id="rId5" w:history="1">
        <w:r w:rsidR="009442E3" w:rsidRPr="00257215">
          <w:rPr>
            <w:rStyle w:val="Hyperlink"/>
            <w:rFonts w:cstheme="minorHAnsi"/>
          </w:rPr>
          <w:t>https://www.ohchr.org/en/press-releases/2021/06/chile-nearly-40-years-still-no-remedy-victims-swedish-toxic-waste-un-experts</w:t>
        </w:r>
      </w:hyperlink>
    </w:p>
  </w:footnote>
  <w:footnote w:id="18">
    <w:p w14:paraId="457C69BB" w14:textId="029A6394" w:rsidR="71025AC5" w:rsidRPr="00257215" w:rsidRDefault="71025AC5"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w:t>
      </w:r>
      <w:r w:rsidR="0078706A" w:rsidRPr="00257215">
        <w:rPr>
          <w:rFonts w:cstheme="minorHAnsi"/>
        </w:rPr>
        <w:t xml:space="preserve">For example, </w:t>
      </w:r>
      <w:r w:rsidRPr="00257215">
        <w:rPr>
          <w:rFonts w:cstheme="minorHAnsi"/>
        </w:rPr>
        <w:t xml:space="preserve">Report of the Independent Expert on human rights and international solidarity, </w:t>
      </w:r>
      <w:proofErr w:type="spellStart"/>
      <w:r w:rsidRPr="00257215">
        <w:rPr>
          <w:rFonts w:cstheme="minorHAnsi"/>
        </w:rPr>
        <w:t>Obiora</w:t>
      </w:r>
      <w:proofErr w:type="spellEnd"/>
      <w:r w:rsidRPr="00257215">
        <w:rPr>
          <w:rFonts w:cstheme="minorHAnsi"/>
        </w:rPr>
        <w:t xml:space="preserve"> Chinedu Okafor, International </w:t>
      </w:r>
      <w:proofErr w:type="gramStart"/>
      <w:r w:rsidRPr="00257215">
        <w:rPr>
          <w:rFonts w:cstheme="minorHAnsi"/>
        </w:rPr>
        <w:t>solidarity</w:t>
      </w:r>
      <w:proofErr w:type="gramEnd"/>
      <w:r w:rsidRPr="00257215">
        <w:rPr>
          <w:rFonts w:cstheme="minorHAnsi"/>
        </w:rPr>
        <w:t xml:space="preserve"> and the extraterritorial application of human rights: prospects and challenges, 19 April 2022, A/HRC/50/37, para 58(c).</w:t>
      </w:r>
    </w:p>
  </w:footnote>
  <w:footnote w:id="19">
    <w:p w14:paraId="7619CC8D" w14:textId="142CC9B1" w:rsidR="70393994" w:rsidRPr="00257215" w:rsidRDefault="70393994" w:rsidP="006A0D86">
      <w:pPr>
        <w:pStyle w:val="FootnoteText"/>
        <w:jc w:val="both"/>
        <w:rPr>
          <w:rFonts w:cstheme="minorHAnsi"/>
        </w:rPr>
      </w:pPr>
      <w:r w:rsidRPr="00257215">
        <w:rPr>
          <w:rStyle w:val="FootnoteReference"/>
          <w:rFonts w:cstheme="minorHAnsi"/>
        </w:rPr>
        <w:footnoteRef/>
      </w:r>
      <w:r w:rsidRPr="00257215">
        <w:rPr>
          <w:rFonts w:cstheme="minorHAnsi"/>
        </w:rPr>
        <w:t xml:space="preserve"> </w:t>
      </w:r>
      <w:r w:rsidRPr="00257215">
        <w:rPr>
          <w:rFonts w:eastAsia="Times New Roman" w:cstheme="minorHAnsi"/>
          <w:i/>
          <w:iCs/>
        </w:rPr>
        <w:t>Report of the Working Group on the issue of human rights and transnational corporations and other business enterprises</w:t>
      </w:r>
      <w:r w:rsidRPr="00257215">
        <w:rPr>
          <w:rFonts w:eastAsia="Times New Roman" w:cstheme="minorHAnsi"/>
        </w:rPr>
        <w:t>, A/HRC/50/40/Add.3, above note 96, para.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89"/>
    <w:multiLevelType w:val="multilevel"/>
    <w:tmpl w:val="BB54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573F1"/>
    <w:multiLevelType w:val="multilevel"/>
    <w:tmpl w:val="631A52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F3290"/>
    <w:multiLevelType w:val="multilevel"/>
    <w:tmpl w:val="D198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967886">
    <w:abstractNumId w:val="2"/>
  </w:num>
  <w:num w:numId="2" w16cid:durableId="1472093216">
    <w:abstractNumId w:val="0"/>
  </w:num>
  <w:num w:numId="3" w16cid:durableId="101326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42"/>
    <w:rsid w:val="00034B07"/>
    <w:rsid w:val="000649B6"/>
    <w:rsid w:val="000778CA"/>
    <w:rsid w:val="0009446E"/>
    <w:rsid w:val="000B25FB"/>
    <w:rsid w:val="000B463B"/>
    <w:rsid w:val="000C29AC"/>
    <w:rsid w:val="000D5ED8"/>
    <w:rsid w:val="000E7CF9"/>
    <w:rsid w:val="0012385D"/>
    <w:rsid w:val="00132451"/>
    <w:rsid w:val="001604F8"/>
    <w:rsid w:val="0016320C"/>
    <w:rsid w:val="00165289"/>
    <w:rsid w:val="001875AC"/>
    <w:rsid w:val="001B1A50"/>
    <w:rsid w:val="001B2254"/>
    <w:rsid w:val="001C3B5E"/>
    <w:rsid w:val="001D36B4"/>
    <w:rsid w:val="001E12A4"/>
    <w:rsid w:val="001F34ED"/>
    <w:rsid w:val="00203AD1"/>
    <w:rsid w:val="002158C1"/>
    <w:rsid w:val="002244B8"/>
    <w:rsid w:val="00237CCC"/>
    <w:rsid w:val="00244AD3"/>
    <w:rsid w:val="00244E4E"/>
    <w:rsid w:val="0025378B"/>
    <w:rsid w:val="00257215"/>
    <w:rsid w:val="002826AC"/>
    <w:rsid w:val="00284874"/>
    <w:rsid w:val="00284CD6"/>
    <w:rsid w:val="00292248"/>
    <w:rsid w:val="002C7F4A"/>
    <w:rsid w:val="002E4583"/>
    <w:rsid w:val="0030052A"/>
    <w:rsid w:val="00304060"/>
    <w:rsid w:val="003261F7"/>
    <w:rsid w:val="00337F47"/>
    <w:rsid w:val="0034548D"/>
    <w:rsid w:val="003801C3"/>
    <w:rsid w:val="0038694A"/>
    <w:rsid w:val="003B40A9"/>
    <w:rsid w:val="003D4B4F"/>
    <w:rsid w:val="00410F17"/>
    <w:rsid w:val="004161D5"/>
    <w:rsid w:val="00420515"/>
    <w:rsid w:val="00464064"/>
    <w:rsid w:val="00477974"/>
    <w:rsid w:val="00477AA4"/>
    <w:rsid w:val="00497247"/>
    <w:rsid w:val="004A6D4D"/>
    <w:rsid w:val="004B6C24"/>
    <w:rsid w:val="004C55B7"/>
    <w:rsid w:val="004D0305"/>
    <w:rsid w:val="004E3224"/>
    <w:rsid w:val="005044FB"/>
    <w:rsid w:val="00510E21"/>
    <w:rsid w:val="0053653E"/>
    <w:rsid w:val="00564F4C"/>
    <w:rsid w:val="00567AF8"/>
    <w:rsid w:val="00577075"/>
    <w:rsid w:val="0058045B"/>
    <w:rsid w:val="005C13C2"/>
    <w:rsid w:val="005C1952"/>
    <w:rsid w:val="005C5C31"/>
    <w:rsid w:val="005D4E4E"/>
    <w:rsid w:val="005E1943"/>
    <w:rsid w:val="005E392D"/>
    <w:rsid w:val="006055FC"/>
    <w:rsid w:val="006308C8"/>
    <w:rsid w:val="0063298C"/>
    <w:rsid w:val="00646D22"/>
    <w:rsid w:val="0065510A"/>
    <w:rsid w:val="00671A10"/>
    <w:rsid w:val="00680830"/>
    <w:rsid w:val="006A0D86"/>
    <w:rsid w:val="006D33E0"/>
    <w:rsid w:val="006D76FE"/>
    <w:rsid w:val="006E5693"/>
    <w:rsid w:val="00700A63"/>
    <w:rsid w:val="00755E85"/>
    <w:rsid w:val="0078706A"/>
    <w:rsid w:val="007A1282"/>
    <w:rsid w:val="007B1E78"/>
    <w:rsid w:val="007B5B74"/>
    <w:rsid w:val="007C2EDA"/>
    <w:rsid w:val="007E0F84"/>
    <w:rsid w:val="007E1965"/>
    <w:rsid w:val="00817FFA"/>
    <w:rsid w:val="00834C12"/>
    <w:rsid w:val="00841162"/>
    <w:rsid w:val="00844BE4"/>
    <w:rsid w:val="00870C19"/>
    <w:rsid w:val="008756AD"/>
    <w:rsid w:val="00877A8A"/>
    <w:rsid w:val="008925C7"/>
    <w:rsid w:val="00893CCA"/>
    <w:rsid w:val="008A0AE2"/>
    <w:rsid w:val="008B0ED8"/>
    <w:rsid w:val="008B3A2D"/>
    <w:rsid w:val="008B65FE"/>
    <w:rsid w:val="008F778F"/>
    <w:rsid w:val="00905313"/>
    <w:rsid w:val="0091728B"/>
    <w:rsid w:val="009269F3"/>
    <w:rsid w:val="00931AE8"/>
    <w:rsid w:val="00934172"/>
    <w:rsid w:val="009442E3"/>
    <w:rsid w:val="0094751E"/>
    <w:rsid w:val="00955D5E"/>
    <w:rsid w:val="00957FB0"/>
    <w:rsid w:val="009820F5"/>
    <w:rsid w:val="00986342"/>
    <w:rsid w:val="00986C39"/>
    <w:rsid w:val="009A29D1"/>
    <w:rsid w:val="009AB0E3"/>
    <w:rsid w:val="009B1C90"/>
    <w:rsid w:val="009B64EF"/>
    <w:rsid w:val="009C67C6"/>
    <w:rsid w:val="009D776C"/>
    <w:rsid w:val="009E4381"/>
    <w:rsid w:val="00A025E4"/>
    <w:rsid w:val="00A30675"/>
    <w:rsid w:val="00A63562"/>
    <w:rsid w:val="00A71CC3"/>
    <w:rsid w:val="00A744E5"/>
    <w:rsid w:val="00A7EF41"/>
    <w:rsid w:val="00A8617E"/>
    <w:rsid w:val="00A86BD2"/>
    <w:rsid w:val="00A936CC"/>
    <w:rsid w:val="00A93708"/>
    <w:rsid w:val="00AA0774"/>
    <w:rsid w:val="00AA3266"/>
    <w:rsid w:val="00AC3B46"/>
    <w:rsid w:val="00AC7A79"/>
    <w:rsid w:val="00AC7D54"/>
    <w:rsid w:val="00AD07BA"/>
    <w:rsid w:val="00AD251D"/>
    <w:rsid w:val="00AE2B41"/>
    <w:rsid w:val="00AE3595"/>
    <w:rsid w:val="00B33B10"/>
    <w:rsid w:val="00B35573"/>
    <w:rsid w:val="00B61370"/>
    <w:rsid w:val="00B6710D"/>
    <w:rsid w:val="00B73071"/>
    <w:rsid w:val="00B774E8"/>
    <w:rsid w:val="00B8151C"/>
    <w:rsid w:val="00B9373C"/>
    <w:rsid w:val="00BD17E8"/>
    <w:rsid w:val="00BD3E6A"/>
    <w:rsid w:val="00BD7C6B"/>
    <w:rsid w:val="00BF6CC6"/>
    <w:rsid w:val="00C01852"/>
    <w:rsid w:val="00C151BB"/>
    <w:rsid w:val="00C21BE5"/>
    <w:rsid w:val="00C34CAC"/>
    <w:rsid w:val="00C579A5"/>
    <w:rsid w:val="00C64292"/>
    <w:rsid w:val="00C91518"/>
    <w:rsid w:val="00CA6E15"/>
    <w:rsid w:val="00CB4B7E"/>
    <w:rsid w:val="00CD483F"/>
    <w:rsid w:val="00CF171B"/>
    <w:rsid w:val="00CF33A8"/>
    <w:rsid w:val="00CF783C"/>
    <w:rsid w:val="00D064A8"/>
    <w:rsid w:val="00D42084"/>
    <w:rsid w:val="00D458ED"/>
    <w:rsid w:val="00D53AAA"/>
    <w:rsid w:val="00D56A86"/>
    <w:rsid w:val="00D642DC"/>
    <w:rsid w:val="00D67C12"/>
    <w:rsid w:val="00D720CE"/>
    <w:rsid w:val="00D82CC7"/>
    <w:rsid w:val="00D97EBB"/>
    <w:rsid w:val="00DA3D91"/>
    <w:rsid w:val="00DB7030"/>
    <w:rsid w:val="00DC17A7"/>
    <w:rsid w:val="00DD0A9B"/>
    <w:rsid w:val="00E03C38"/>
    <w:rsid w:val="00E23246"/>
    <w:rsid w:val="00E25FD2"/>
    <w:rsid w:val="00E36E12"/>
    <w:rsid w:val="00E45353"/>
    <w:rsid w:val="00E52983"/>
    <w:rsid w:val="00E53FE9"/>
    <w:rsid w:val="00E543C4"/>
    <w:rsid w:val="00E55113"/>
    <w:rsid w:val="00E5C542"/>
    <w:rsid w:val="00E82149"/>
    <w:rsid w:val="00E85651"/>
    <w:rsid w:val="00E85D80"/>
    <w:rsid w:val="00E92206"/>
    <w:rsid w:val="00E952F2"/>
    <w:rsid w:val="00EC24B7"/>
    <w:rsid w:val="00EC4E81"/>
    <w:rsid w:val="00EF3382"/>
    <w:rsid w:val="00EF469C"/>
    <w:rsid w:val="00F21E1A"/>
    <w:rsid w:val="00F26702"/>
    <w:rsid w:val="00F501EF"/>
    <w:rsid w:val="00F74981"/>
    <w:rsid w:val="00F75B39"/>
    <w:rsid w:val="00F77884"/>
    <w:rsid w:val="00F9527B"/>
    <w:rsid w:val="00F97050"/>
    <w:rsid w:val="00FB2F64"/>
    <w:rsid w:val="00FB6EDD"/>
    <w:rsid w:val="0100B212"/>
    <w:rsid w:val="0124C574"/>
    <w:rsid w:val="0160756F"/>
    <w:rsid w:val="01EA1FAC"/>
    <w:rsid w:val="026DCA2D"/>
    <w:rsid w:val="02844D35"/>
    <w:rsid w:val="02EC4060"/>
    <w:rsid w:val="02EF14B7"/>
    <w:rsid w:val="037348C4"/>
    <w:rsid w:val="03E7D98A"/>
    <w:rsid w:val="04040C85"/>
    <w:rsid w:val="04439B75"/>
    <w:rsid w:val="04584A84"/>
    <w:rsid w:val="04CFBCE9"/>
    <w:rsid w:val="04F22E95"/>
    <w:rsid w:val="04F3B8DC"/>
    <w:rsid w:val="050F1925"/>
    <w:rsid w:val="059B0BE0"/>
    <w:rsid w:val="05F37067"/>
    <w:rsid w:val="06540DA8"/>
    <w:rsid w:val="06692187"/>
    <w:rsid w:val="068C73CB"/>
    <w:rsid w:val="06937261"/>
    <w:rsid w:val="069525D9"/>
    <w:rsid w:val="073AA80A"/>
    <w:rsid w:val="08A6856E"/>
    <w:rsid w:val="08D6786B"/>
    <w:rsid w:val="08D6A235"/>
    <w:rsid w:val="08FB8962"/>
    <w:rsid w:val="090EA5DB"/>
    <w:rsid w:val="0947610D"/>
    <w:rsid w:val="09887C18"/>
    <w:rsid w:val="0A67F3D0"/>
    <w:rsid w:val="0A6FAE7E"/>
    <w:rsid w:val="0AE430D4"/>
    <w:rsid w:val="0B033AFF"/>
    <w:rsid w:val="0B33F4DF"/>
    <w:rsid w:val="0B65AA25"/>
    <w:rsid w:val="0BC7EB7F"/>
    <w:rsid w:val="0C200527"/>
    <w:rsid w:val="0C2DFD3A"/>
    <w:rsid w:val="0CA70C3B"/>
    <w:rsid w:val="0CB2364B"/>
    <w:rsid w:val="0CE98B88"/>
    <w:rsid w:val="0D1FCEB9"/>
    <w:rsid w:val="0D508189"/>
    <w:rsid w:val="0D61B1C8"/>
    <w:rsid w:val="0D68CB24"/>
    <w:rsid w:val="0E307695"/>
    <w:rsid w:val="0E70D2A6"/>
    <w:rsid w:val="0EB8F336"/>
    <w:rsid w:val="0EE09767"/>
    <w:rsid w:val="0FC7B3C6"/>
    <w:rsid w:val="10138209"/>
    <w:rsid w:val="10399D8B"/>
    <w:rsid w:val="107D42F0"/>
    <w:rsid w:val="10BE9639"/>
    <w:rsid w:val="11182BB4"/>
    <w:rsid w:val="11718003"/>
    <w:rsid w:val="117842A3"/>
    <w:rsid w:val="11BCE18B"/>
    <w:rsid w:val="11EC12FB"/>
    <w:rsid w:val="123C3B77"/>
    <w:rsid w:val="1259D8C5"/>
    <w:rsid w:val="12A26BA8"/>
    <w:rsid w:val="12DC7921"/>
    <w:rsid w:val="132645BF"/>
    <w:rsid w:val="13C5AC92"/>
    <w:rsid w:val="14E9F77C"/>
    <w:rsid w:val="162DB07C"/>
    <w:rsid w:val="162ED42F"/>
    <w:rsid w:val="16A753A7"/>
    <w:rsid w:val="16BFE1E2"/>
    <w:rsid w:val="16C8FAD6"/>
    <w:rsid w:val="16F11D44"/>
    <w:rsid w:val="172F0FFE"/>
    <w:rsid w:val="175B2E6C"/>
    <w:rsid w:val="181B2034"/>
    <w:rsid w:val="182273A9"/>
    <w:rsid w:val="18AAC395"/>
    <w:rsid w:val="18B14BE8"/>
    <w:rsid w:val="18B1A9A0"/>
    <w:rsid w:val="18D9B405"/>
    <w:rsid w:val="18E91E9C"/>
    <w:rsid w:val="18EC919D"/>
    <w:rsid w:val="193598D6"/>
    <w:rsid w:val="195DF9C6"/>
    <w:rsid w:val="196BDFFE"/>
    <w:rsid w:val="1984B112"/>
    <w:rsid w:val="198C4A1A"/>
    <w:rsid w:val="1A2B72A6"/>
    <w:rsid w:val="1A8861FE"/>
    <w:rsid w:val="1AE8764A"/>
    <w:rsid w:val="1B63072C"/>
    <w:rsid w:val="1B84D300"/>
    <w:rsid w:val="1B8FF954"/>
    <w:rsid w:val="1B9C6BF9"/>
    <w:rsid w:val="1BD6AF57"/>
    <w:rsid w:val="1C467E45"/>
    <w:rsid w:val="1C827EEF"/>
    <w:rsid w:val="1CC679D8"/>
    <w:rsid w:val="1D3653F3"/>
    <w:rsid w:val="1D9CEECA"/>
    <w:rsid w:val="1E09FEC7"/>
    <w:rsid w:val="1E1E4F50"/>
    <w:rsid w:val="1E624A39"/>
    <w:rsid w:val="1ED39C81"/>
    <w:rsid w:val="1F1407DF"/>
    <w:rsid w:val="1F4EAC86"/>
    <w:rsid w:val="1F5966BB"/>
    <w:rsid w:val="20118F95"/>
    <w:rsid w:val="20312AB5"/>
    <w:rsid w:val="20E2DBDB"/>
    <w:rsid w:val="20F1522C"/>
    <w:rsid w:val="21BD29F7"/>
    <w:rsid w:val="21C1BEDE"/>
    <w:rsid w:val="22305FE7"/>
    <w:rsid w:val="223D45BB"/>
    <w:rsid w:val="225C38C0"/>
    <w:rsid w:val="226FAE2F"/>
    <w:rsid w:val="228AA2E8"/>
    <w:rsid w:val="22F8BB17"/>
    <w:rsid w:val="2304CFF9"/>
    <w:rsid w:val="23438FB4"/>
    <w:rsid w:val="2346B919"/>
    <w:rsid w:val="2354FB51"/>
    <w:rsid w:val="23EA653F"/>
    <w:rsid w:val="243200DE"/>
    <w:rsid w:val="24443EA6"/>
    <w:rsid w:val="245CEE6E"/>
    <w:rsid w:val="245E5EC8"/>
    <w:rsid w:val="24B0816D"/>
    <w:rsid w:val="24FAE866"/>
    <w:rsid w:val="257C214F"/>
    <w:rsid w:val="258D7545"/>
    <w:rsid w:val="25D0D28A"/>
    <w:rsid w:val="25E928C0"/>
    <w:rsid w:val="2692BB4E"/>
    <w:rsid w:val="2712752F"/>
    <w:rsid w:val="2805A768"/>
    <w:rsid w:val="28500FD6"/>
    <w:rsid w:val="2852621D"/>
    <w:rsid w:val="28DD6E08"/>
    <w:rsid w:val="291CFC8F"/>
    <w:rsid w:val="2927ABA1"/>
    <w:rsid w:val="2A026B8C"/>
    <w:rsid w:val="2A1C4130"/>
    <w:rsid w:val="2A222ABF"/>
    <w:rsid w:val="2A282D68"/>
    <w:rsid w:val="2A85D7DB"/>
    <w:rsid w:val="2AE79FB5"/>
    <w:rsid w:val="2B26AD3E"/>
    <w:rsid w:val="2B30F330"/>
    <w:rsid w:val="2BA33A11"/>
    <w:rsid w:val="2BB6853E"/>
    <w:rsid w:val="2C1F2B70"/>
    <w:rsid w:val="2C3875FF"/>
    <w:rsid w:val="2C5C3B60"/>
    <w:rsid w:val="2D3BE885"/>
    <w:rsid w:val="2DF7379C"/>
    <w:rsid w:val="2DF7FC77"/>
    <w:rsid w:val="2DF90C72"/>
    <w:rsid w:val="2E260F24"/>
    <w:rsid w:val="2E3C60A0"/>
    <w:rsid w:val="2EA38316"/>
    <w:rsid w:val="2EBF515A"/>
    <w:rsid w:val="2ED5DCAF"/>
    <w:rsid w:val="2EDC9B45"/>
    <w:rsid w:val="2F1FA772"/>
    <w:rsid w:val="2F5F7C68"/>
    <w:rsid w:val="2F8C7B7C"/>
    <w:rsid w:val="2FBB9182"/>
    <w:rsid w:val="303B4218"/>
    <w:rsid w:val="304D0F91"/>
    <w:rsid w:val="308F5FA6"/>
    <w:rsid w:val="309757F5"/>
    <w:rsid w:val="30B878A2"/>
    <w:rsid w:val="310C202B"/>
    <w:rsid w:val="315ACD8B"/>
    <w:rsid w:val="3183ED55"/>
    <w:rsid w:val="318E24E3"/>
    <w:rsid w:val="3210D450"/>
    <w:rsid w:val="328FBE2F"/>
    <w:rsid w:val="335A8AE9"/>
    <w:rsid w:val="33651FDC"/>
    <w:rsid w:val="3396AA6B"/>
    <w:rsid w:val="33F31895"/>
    <w:rsid w:val="3482C70D"/>
    <w:rsid w:val="34947942"/>
    <w:rsid w:val="34C2D1C3"/>
    <w:rsid w:val="34F382D8"/>
    <w:rsid w:val="34F7334C"/>
    <w:rsid w:val="355B9686"/>
    <w:rsid w:val="35BDCED3"/>
    <w:rsid w:val="35D410EF"/>
    <w:rsid w:val="367FC129"/>
    <w:rsid w:val="36A536E0"/>
    <w:rsid w:val="36A8BAF5"/>
    <w:rsid w:val="3762DED9"/>
    <w:rsid w:val="376E987B"/>
    <w:rsid w:val="37C8F1A1"/>
    <w:rsid w:val="37E3A1E3"/>
    <w:rsid w:val="37EC07E9"/>
    <w:rsid w:val="37EC7447"/>
    <w:rsid w:val="383D064F"/>
    <w:rsid w:val="38598782"/>
    <w:rsid w:val="38759AA0"/>
    <w:rsid w:val="387F1A34"/>
    <w:rsid w:val="393B0DDF"/>
    <w:rsid w:val="395D6047"/>
    <w:rsid w:val="396B3D27"/>
    <w:rsid w:val="39B188AB"/>
    <w:rsid w:val="39C1214D"/>
    <w:rsid w:val="39FD40CF"/>
    <w:rsid w:val="3A9C2345"/>
    <w:rsid w:val="3B070D88"/>
    <w:rsid w:val="3BEDAF87"/>
    <w:rsid w:val="3C262E53"/>
    <w:rsid w:val="3C3434FF"/>
    <w:rsid w:val="3C3F430E"/>
    <w:rsid w:val="3CD6A4B2"/>
    <w:rsid w:val="3D0BD472"/>
    <w:rsid w:val="3D66221D"/>
    <w:rsid w:val="3DA7C63E"/>
    <w:rsid w:val="3DA97189"/>
    <w:rsid w:val="3E727513"/>
    <w:rsid w:val="3EBAC1C5"/>
    <w:rsid w:val="3ED7F1E5"/>
    <w:rsid w:val="3FC8066E"/>
    <w:rsid w:val="4037254E"/>
    <w:rsid w:val="40596034"/>
    <w:rsid w:val="4079330B"/>
    <w:rsid w:val="40A9AF10"/>
    <w:rsid w:val="40D4691E"/>
    <w:rsid w:val="40F522B3"/>
    <w:rsid w:val="4153F685"/>
    <w:rsid w:val="41661638"/>
    <w:rsid w:val="417AF319"/>
    <w:rsid w:val="4186CA58"/>
    <w:rsid w:val="41B03233"/>
    <w:rsid w:val="41C06791"/>
    <w:rsid w:val="41D1C514"/>
    <w:rsid w:val="42A6429D"/>
    <w:rsid w:val="42AEF60C"/>
    <w:rsid w:val="42D0819B"/>
    <w:rsid w:val="42FDB0B5"/>
    <w:rsid w:val="43054C7F"/>
    <w:rsid w:val="4354B74E"/>
    <w:rsid w:val="438F65FB"/>
    <w:rsid w:val="43A01711"/>
    <w:rsid w:val="43B669EF"/>
    <w:rsid w:val="43BC61FB"/>
    <w:rsid w:val="44403613"/>
    <w:rsid w:val="446ECD72"/>
    <w:rsid w:val="449C1CAD"/>
    <w:rsid w:val="44CC8C37"/>
    <w:rsid w:val="44D5D5AD"/>
    <w:rsid w:val="45813114"/>
    <w:rsid w:val="45CC0C71"/>
    <w:rsid w:val="467FB76F"/>
    <w:rsid w:val="46DAA70A"/>
    <w:rsid w:val="470E3295"/>
    <w:rsid w:val="47149EDF"/>
    <w:rsid w:val="4714B7F6"/>
    <w:rsid w:val="4714D931"/>
    <w:rsid w:val="477EF954"/>
    <w:rsid w:val="47AA129D"/>
    <w:rsid w:val="4839A2DA"/>
    <w:rsid w:val="490CD901"/>
    <w:rsid w:val="495B138E"/>
    <w:rsid w:val="495C0268"/>
    <w:rsid w:val="496D7D55"/>
    <w:rsid w:val="49AA7682"/>
    <w:rsid w:val="49B74818"/>
    <w:rsid w:val="4AB7B25B"/>
    <w:rsid w:val="4AF8D95A"/>
    <w:rsid w:val="4B251ED8"/>
    <w:rsid w:val="4B364D5B"/>
    <w:rsid w:val="4C3279CD"/>
    <w:rsid w:val="4C78359D"/>
    <w:rsid w:val="4C87FAA6"/>
    <w:rsid w:val="4D1D485A"/>
    <w:rsid w:val="4D26133F"/>
    <w:rsid w:val="4D5079B1"/>
    <w:rsid w:val="4D98BCE5"/>
    <w:rsid w:val="4D98E10A"/>
    <w:rsid w:val="4DA77269"/>
    <w:rsid w:val="4E3CDCC5"/>
    <w:rsid w:val="4E825C76"/>
    <w:rsid w:val="4E94230C"/>
    <w:rsid w:val="4EB62DD7"/>
    <w:rsid w:val="4F6FCDE5"/>
    <w:rsid w:val="4FA1BB2A"/>
    <w:rsid w:val="500981AA"/>
    <w:rsid w:val="5168DD7B"/>
    <w:rsid w:val="51750524"/>
    <w:rsid w:val="51807CC0"/>
    <w:rsid w:val="52317F97"/>
    <w:rsid w:val="5283FD52"/>
    <w:rsid w:val="529FDD4B"/>
    <w:rsid w:val="52BE61B7"/>
    <w:rsid w:val="53036DA4"/>
    <w:rsid w:val="531C4D21"/>
    <w:rsid w:val="536DCE9E"/>
    <w:rsid w:val="539996AE"/>
    <w:rsid w:val="53C0AC4B"/>
    <w:rsid w:val="53F78889"/>
    <w:rsid w:val="5441F829"/>
    <w:rsid w:val="5486D18C"/>
    <w:rsid w:val="54C62201"/>
    <w:rsid w:val="550F58B9"/>
    <w:rsid w:val="556E7EE6"/>
    <w:rsid w:val="557DA35D"/>
    <w:rsid w:val="558676D0"/>
    <w:rsid w:val="55A53AC7"/>
    <w:rsid w:val="55BA90FC"/>
    <w:rsid w:val="55CF4B73"/>
    <w:rsid w:val="55F2F6C2"/>
    <w:rsid w:val="55FFFD0C"/>
    <w:rsid w:val="5653EDE3"/>
    <w:rsid w:val="5657AAA1"/>
    <w:rsid w:val="57939CDC"/>
    <w:rsid w:val="57B81FD1"/>
    <w:rsid w:val="57F07249"/>
    <w:rsid w:val="58669121"/>
    <w:rsid w:val="588561EB"/>
    <w:rsid w:val="58DCD870"/>
    <w:rsid w:val="594B8D64"/>
    <w:rsid w:val="595AB750"/>
    <w:rsid w:val="598C42AA"/>
    <w:rsid w:val="5A41F009"/>
    <w:rsid w:val="5A46D116"/>
    <w:rsid w:val="5AD007F2"/>
    <w:rsid w:val="5B10D3B1"/>
    <w:rsid w:val="5BA26F48"/>
    <w:rsid w:val="5BCF8D85"/>
    <w:rsid w:val="5BDA8CD6"/>
    <w:rsid w:val="5BDDC06A"/>
    <w:rsid w:val="5C1206EB"/>
    <w:rsid w:val="5C330AAD"/>
    <w:rsid w:val="5D02B2E4"/>
    <w:rsid w:val="5D18F5CC"/>
    <w:rsid w:val="5D2C4600"/>
    <w:rsid w:val="5D4BDF2B"/>
    <w:rsid w:val="5D5D6979"/>
    <w:rsid w:val="5D6CAD03"/>
    <w:rsid w:val="5D73DE60"/>
    <w:rsid w:val="5DA9CE05"/>
    <w:rsid w:val="5DAF1AA3"/>
    <w:rsid w:val="5DD88EAE"/>
    <w:rsid w:val="5E7047F1"/>
    <w:rsid w:val="5E7D8685"/>
    <w:rsid w:val="5EAC8F74"/>
    <w:rsid w:val="601AE915"/>
    <w:rsid w:val="602C1C56"/>
    <w:rsid w:val="610D0759"/>
    <w:rsid w:val="611640D6"/>
    <w:rsid w:val="61E49399"/>
    <w:rsid w:val="62586912"/>
    <w:rsid w:val="62851EBC"/>
    <w:rsid w:val="62C07CEB"/>
    <w:rsid w:val="62D11EB2"/>
    <w:rsid w:val="63420A16"/>
    <w:rsid w:val="6463F756"/>
    <w:rsid w:val="649CFF04"/>
    <w:rsid w:val="64D1E84A"/>
    <w:rsid w:val="6584C453"/>
    <w:rsid w:val="65D4023F"/>
    <w:rsid w:val="65ED3B59"/>
    <w:rsid w:val="6642A62C"/>
    <w:rsid w:val="668907DD"/>
    <w:rsid w:val="66A48D62"/>
    <w:rsid w:val="66AC9BBA"/>
    <w:rsid w:val="66F0B321"/>
    <w:rsid w:val="676A0FBD"/>
    <w:rsid w:val="676CB197"/>
    <w:rsid w:val="676DB0B3"/>
    <w:rsid w:val="67DFB419"/>
    <w:rsid w:val="68B93282"/>
    <w:rsid w:val="695090EB"/>
    <w:rsid w:val="697AC4CB"/>
    <w:rsid w:val="698254C5"/>
    <w:rsid w:val="699E6B39"/>
    <w:rsid w:val="699EC5B0"/>
    <w:rsid w:val="69DC2E24"/>
    <w:rsid w:val="69F31EF3"/>
    <w:rsid w:val="6A91C07C"/>
    <w:rsid w:val="6AA9FE9D"/>
    <w:rsid w:val="6AD468DA"/>
    <w:rsid w:val="6B2232A8"/>
    <w:rsid w:val="6B935C67"/>
    <w:rsid w:val="6B9E339A"/>
    <w:rsid w:val="6C14321D"/>
    <w:rsid w:val="6C48D6EE"/>
    <w:rsid w:val="6C864838"/>
    <w:rsid w:val="6C8EF043"/>
    <w:rsid w:val="6CAB0E5F"/>
    <w:rsid w:val="6CEF4536"/>
    <w:rsid w:val="6D08E420"/>
    <w:rsid w:val="6D4DEF67"/>
    <w:rsid w:val="6D7E0B24"/>
    <w:rsid w:val="6E18E572"/>
    <w:rsid w:val="6E802753"/>
    <w:rsid w:val="6E8B1597"/>
    <w:rsid w:val="6E946D99"/>
    <w:rsid w:val="6ED86020"/>
    <w:rsid w:val="6EE09359"/>
    <w:rsid w:val="6EE3AFA2"/>
    <w:rsid w:val="6F75D8D3"/>
    <w:rsid w:val="6FB4236C"/>
    <w:rsid w:val="700E214C"/>
    <w:rsid w:val="70393994"/>
    <w:rsid w:val="703DF065"/>
    <w:rsid w:val="707B551C"/>
    <w:rsid w:val="70D50334"/>
    <w:rsid w:val="70E6BA02"/>
    <w:rsid w:val="71025AC5"/>
    <w:rsid w:val="713285FE"/>
    <w:rsid w:val="71D53C41"/>
    <w:rsid w:val="7210C7E1"/>
    <w:rsid w:val="726E368D"/>
    <w:rsid w:val="7318A51B"/>
    <w:rsid w:val="73903727"/>
    <w:rsid w:val="73AE0D4C"/>
    <w:rsid w:val="74341E93"/>
    <w:rsid w:val="74DFAF72"/>
    <w:rsid w:val="750FAF09"/>
    <w:rsid w:val="75345EF3"/>
    <w:rsid w:val="75388E92"/>
    <w:rsid w:val="755D453C"/>
    <w:rsid w:val="7565B0B2"/>
    <w:rsid w:val="75CC521A"/>
    <w:rsid w:val="763C1C7A"/>
    <w:rsid w:val="76A486C9"/>
    <w:rsid w:val="76BFEC51"/>
    <w:rsid w:val="76C153FE"/>
    <w:rsid w:val="7798E2E7"/>
    <w:rsid w:val="77F95B03"/>
    <w:rsid w:val="788B453E"/>
    <w:rsid w:val="78D97CFD"/>
    <w:rsid w:val="78EDBC68"/>
    <w:rsid w:val="7909AA41"/>
    <w:rsid w:val="79CC5AED"/>
    <w:rsid w:val="7A27159F"/>
    <w:rsid w:val="7A6682DA"/>
    <w:rsid w:val="7A7D490B"/>
    <w:rsid w:val="7AA35DED"/>
    <w:rsid w:val="7B0EB91F"/>
    <w:rsid w:val="7B268318"/>
    <w:rsid w:val="7B4B27EF"/>
    <w:rsid w:val="7B4E5DFF"/>
    <w:rsid w:val="7B783F24"/>
    <w:rsid w:val="7BA7D016"/>
    <w:rsid w:val="7BF2897C"/>
    <w:rsid w:val="7BFD069F"/>
    <w:rsid w:val="7C4876CA"/>
    <w:rsid w:val="7CD65C7D"/>
    <w:rsid w:val="7D122A0C"/>
    <w:rsid w:val="7D161EB4"/>
    <w:rsid w:val="7D294873"/>
    <w:rsid w:val="7D728107"/>
    <w:rsid w:val="7E02CA81"/>
    <w:rsid w:val="7E28D4AC"/>
    <w:rsid w:val="7E2ED78F"/>
    <w:rsid w:val="7E4066E5"/>
    <w:rsid w:val="7E4B7B92"/>
    <w:rsid w:val="7E5750A3"/>
    <w:rsid w:val="7E6FE958"/>
    <w:rsid w:val="7F4CB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05E3"/>
  <w15:chartTrackingRefBased/>
  <w15:docId w15:val="{4E9CFDE4-D276-4198-88D7-81FA431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F8"/>
  </w:style>
  <w:style w:type="paragraph" w:styleId="Heading1">
    <w:name w:val="heading 1"/>
    <w:basedOn w:val="Normal"/>
    <w:next w:val="Normal"/>
    <w:link w:val="Heading1Char"/>
    <w:uiPriority w:val="9"/>
    <w:qFormat/>
    <w:rsid w:val="00DD0A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55113"/>
    <w:pPr>
      <w:spacing w:before="100" w:beforeAutospacing="1" w:after="100" w:afterAutospacing="1"/>
      <w:outlineLvl w:val="1"/>
    </w:pPr>
    <w:rPr>
      <w:rFonts w:ascii="Times New Roman" w:eastAsia="Times New Roman" w:hAnsi="Times New Roman" w:cs="Times New Roman"/>
      <w:b/>
      <w:bCs/>
      <w:kern w:val="0"/>
      <w:sz w:val="36"/>
      <w:szCs w:val="36"/>
      <w:lang w:val="en-CH"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4B8"/>
    <w:rPr>
      <w:rFonts w:ascii="Times New Roman" w:hAnsi="Times New Roman" w:cs="Times New Roman"/>
    </w:rPr>
  </w:style>
  <w:style w:type="paragraph" w:styleId="FootnoteText">
    <w:name w:val="footnote text"/>
    <w:basedOn w:val="Normal"/>
    <w:link w:val="FootnoteTextChar"/>
    <w:uiPriority w:val="99"/>
    <w:unhideWhenUsed/>
    <w:rsid w:val="00AA3266"/>
    <w:rPr>
      <w:sz w:val="20"/>
      <w:szCs w:val="20"/>
    </w:rPr>
  </w:style>
  <w:style w:type="character" w:customStyle="1" w:styleId="FootnoteTextChar">
    <w:name w:val="Footnote Text Char"/>
    <w:basedOn w:val="DefaultParagraphFont"/>
    <w:link w:val="FootnoteText"/>
    <w:uiPriority w:val="99"/>
    <w:rsid w:val="00AA3266"/>
    <w:rPr>
      <w:sz w:val="20"/>
      <w:szCs w:val="20"/>
    </w:rPr>
  </w:style>
  <w:style w:type="character" w:styleId="FootnoteReference">
    <w:name w:val="footnote reference"/>
    <w:basedOn w:val="DefaultParagraphFont"/>
    <w:uiPriority w:val="99"/>
    <w:semiHidden/>
    <w:unhideWhenUsed/>
    <w:rsid w:val="00AA3266"/>
    <w:rPr>
      <w:vertAlign w:val="superscript"/>
    </w:rPr>
  </w:style>
  <w:style w:type="character" w:customStyle="1" w:styleId="Heading1Char">
    <w:name w:val="Heading 1 Char"/>
    <w:basedOn w:val="DefaultParagraphFont"/>
    <w:link w:val="Heading1"/>
    <w:uiPriority w:val="9"/>
    <w:rsid w:val="00DD0A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D0A9B"/>
    <w:rPr>
      <w:color w:val="0563C1" w:themeColor="hyperlink"/>
      <w:u w:val="single"/>
    </w:rPr>
  </w:style>
  <w:style w:type="character" w:styleId="UnresolvedMention">
    <w:name w:val="Unresolved Mention"/>
    <w:basedOn w:val="DefaultParagraphFont"/>
    <w:uiPriority w:val="99"/>
    <w:semiHidden/>
    <w:unhideWhenUsed/>
    <w:rsid w:val="00DD0A9B"/>
    <w:rPr>
      <w:color w:val="605E5C"/>
      <w:shd w:val="clear" w:color="auto" w:fill="E1DFDD"/>
    </w:rPr>
  </w:style>
  <w:style w:type="character" w:styleId="CommentReference">
    <w:name w:val="annotation reference"/>
    <w:basedOn w:val="DefaultParagraphFont"/>
    <w:uiPriority w:val="99"/>
    <w:semiHidden/>
    <w:unhideWhenUsed/>
    <w:rsid w:val="0038694A"/>
    <w:rPr>
      <w:sz w:val="16"/>
      <w:szCs w:val="16"/>
    </w:rPr>
  </w:style>
  <w:style w:type="paragraph" w:styleId="CommentText">
    <w:name w:val="annotation text"/>
    <w:basedOn w:val="Normal"/>
    <w:link w:val="CommentTextChar"/>
    <w:uiPriority w:val="99"/>
    <w:unhideWhenUsed/>
    <w:rsid w:val="0038694A"/>
    <w:rPr>
      <w:sz w:val="20"/>
      <w:szCs w:val="20"/>
    </w:rPr>
  </w:style>
  <w:style w:type="character" w:customStyle="1" w:styleId="CommentTextChar">
    <w:name w:val="Comment Text Char"/>
    <w:basedOn w:val="DefaultParagraphFont"/>
    <w:link w:val="CommentText"/>
    <w:uiPriority w:val="99"/>
    <w:rsid w:val="0038694A"/>
    <w:rPr>
      <w:sz w:val="20"/>
      <w:szCs w:val="20"/>
    </w:rPr>
  </w:style>
  <w:style w:type="paragraph" w:styleId="CommentSubject">
    <w:name w:val="annotation subject"/>
    <w:basedOn w:val="CommentText"/>
    <w:next w:val="CommentText"/>
    <w:link w:val="CommentSubjectChar"/>
    <w:uiPriority w:val="99"/>
    <w:semiHidden/>
    <w:unhideWhenUsed/>
    <w:rsid w:val="0038694A"/>
    <w:rPr>
      <w:b/>
      <w:bCs/>
    </w:rPr>
  </w:style>
  <w:style w:type="character" w:customStyle="1" w:styleId="CommentSubjectChar">
    <w:name w:val="Comment Subject Char"/>
    <w:basedOn w:val="CommentTextChar"/>
    <w:link w:val="CommentSubject"/>
    <w:uiPriority w:val="99"/>
    <w:semiHidden/>
    <w:rsid w:val="0038694A"/>
    <w:rPr>
      <w:b/>
      <w:bCs/>
      <w:sz w:val="20"/>
      <w:szCs w:val="20"/>
    </w:rPr>
  </w:style>
  <w:style w:type="paragraph" w:styleId="Revision">
    <w:name w:val="Revision"/>
    <w:hidden/>
    <w:uiPriority w:val="99"/>
    <w:semiHidden/>
    <w:rsid w:val="008B65FE"/>
  </w:style>
  <w:style w:type="paragraph" w:styleId="Header">
    <w:name w:val="header"/>
    <w:basedOn w:val="Normal"/>
    <w:link w:val="HeaderChar"/>
    <w:uiPriority w:val="99"/>
    <w:semiHidden/>
    <w:unhideWhenUsed/>
    <w:rsid w:val="00E543C4"/>
    <w:pPr>
      <w:tabs>
        <w:tab w:val="center" w:pos="4513"/>
        <w:tab w:val="right" w:pos="9026"/>
      </w:tabs>
    </w:pPr>
  </w:style>
  <w:style w:type="character" w:customStyle="1" w:styleId="HeaderChar">
    <w:name w:val="Header Char"/>
    <w:basedOn w:val="DefaultParagraphFont"/>
    <w:link w:val="Header"/>
    <w:uiPriority w:val="99"/>
    <w:semiHidden/>
    <w:rsid w:val="00E543C4"/>
  </w:style>
  <w:style w:type="paragraph" w:styleId="Footer">
    <w:name w:val="footer"/>
    <w:basedOn w:val="Normal"/>
    <w:link w:val="FooterChar"/>
    <w:uiPriority w:val="99"/>
    <w:semiHidden/>
    <w:unhideWhenUsed/>
    <w:rsid w:val="00E543C4"/>
    <w:pPr>
      <w:tabs>
        <w:tab w:val="center" w:pos="4513"/>
        <w:tab w:val="right" w:pos="9026"/>
      </w:tabs>
    </w:pPr>
  </w:style>
  <w:style w:type="character" w:customStyle="1" w:styleId="FooterChar">
    <w:name w:val="Footer Char"/>
    <w:basedOn w:val="DefaultParagraphFont"/>
    <w:link w:val="Footer"/>
    <w:uiPriority w:val="99"/>
    <w:semiHidden/>
    <w:rsid w:val="00E543C4"/>
  </w:style>
  <w:style w:type="paragraph" w:styleId="ListParagraph">
    <w:name w:val="List Paragraph"/>
    <w:basedOn w:val="Normal"/>
    <w:uiPriority w:val="34"/>
    <w:qFormat/>
    <w:rsid w:val="00E45353"/>
    <w:pPr>
      <w:ind w:left="720"/>
      <w:contextualSpacing/>
    </w:p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680830"/>
    <w:rPr>
      <w:color w:val="808080"/>
    </w:rPr>
  </w:style>
  <w:style w:type="character" w:customStyle="1" w:styleId="Heading2Char">
    <w:name w:val="Heading 2 Char"/>
    <w:basedOn w:val="DefaultParagraphFont"/>
    <w:link w:val="Heading2"/>
    <w:uiPriority w:val="9"/>
    <w:rsid w:val="00E55113"/>
    <w:rPr>
      <w:rFonts w:ascii="Times New Roman" w:eastAsia="Times New Roman" w:hAnsi="Times New Roman" w:cs="Times New Roman"/>
      <w:b/>
      <w:bCs/>
      <w:kern w:val="0"/>
      <w:sz w:val="36"/>
      <w:szCs w:val="36"/>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6204">
      <w:bodyDiv w:val="1"/>
      <w:marLeft w:val="0"/>
      <w:marRight w:val="0"/>
      <w:marTop w:val="0"/>
      <w:marBottom w:val="0"/>
      <w:divBdr>
        <w:top w:val="none" w:sz="0" w:space="0" w:color="auto"/>
        <w:left w:val="none" w:sz="0" w:space="0" w:color="auto"/>
        <w:bottom w:val="none" w:sz="0" w:space="0" w:color="auto"/>
        <w:right w:val="none" w:sz="0" w:space="0" w:color="auto"/>
      </w:divBdr>
      <w:divsChild>
        <w:div w:id="1830368817">
          <w:marLeft w:val="0"/>
          <w:marRight w:val="0"/>
          <w:marTop w:val="0"/>
          <w:marBottom w:val="0"/>
          <w:divBdr>
            <w:top w:val="none" w:sz="0" w:space="0" w:color="auto"/>
            <w:left w:val="none" w:sz="0" w:space="0" w:color="auto"/>
            <w:bottom w:val="none" w:sz="0" w:space="0" w:color="auto"/>
            <w:right w:val="none" w:sz="0" w:space="0" w:color="auto"/>
          </w:divBdr>
          <w:divsChild>
            <w:div w:id="465047526">
              <w:marLeft w:val="0"/>
              <w:marRight w:val="0"/>
              <w:marTop w:val="0"/>
              <w:marBottom w:val="0"/>
              <w:divBdr>
                <w:top w:val="none" w:sz="0" w:space="0" w:color="auto"/>
                <w:left w:val="none" w:sz="0" w:space="0" w:color="auto"/>
                <w:bottom w:val="none" w:sz="0" w:space="0" w:color="auto"/>
                <w:right w:val="none" w:sz="0" w:space="0" w:color="auto"/>
              </w:divBdr>
              <w:divsChild>
                <w:div w:id="1645966231">
                  <w:marLeft w:val="0"/>
                  <w:marRight w:val="0"/>
                  <w:marTop w:val="0"/>
                  <w:marBottom w:val="0"/>
                  <w:divBdr>
                    <w:top w:val="none" w:sz="0" w:space="0" w:color="auto"/>
                    <w:left w:val="none" w:sz="0" w:space="0" w:color="auto"/>
                    <w:bottom w:val="none" w:sz="0" w:space="0" w:color="auto"/>
                    <w:right w:val="none" w:sz="0" w:space="0" w:color="auto"/>
                  </w:divBdr>
                  <w:divsChild>
                    <w:div w:id="3841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35683">
      <w:bodyDiv w:val="1"/>
      <w:marLeft w:val="0"/>
      <w:marRight w:val="0"/>
      <w:marTop w:val="0"/>
      <w:marBottom w:val="0"/>
      <w:divBdr>
        <w:top w:val="none" w:sz="0" w:space="0" w:color="auto"/>
        <w:left w:val="none" w:sz="0" w:space="0" w:color="auto"/>
        <w:bottom w:val="none" w:sz="0" w:space="0" w:color="auto"/>
        <w:right w:val="none" w:sz="0" w:space="0" w:color="auto"/>
      </w:divBdr>
    </w:div>
    <w:div w:id="565838685">
      <w:bodyDiv w:val="1"/>
      <w:marLeft w:val="0"/>
      <w:marRight w:val="0"/>
      <w:marTop w:val="0"/>
      <w:marBottom w:val="0"/>
      <w:divBdr>
        <w:top w:val="none" w:sz="0" w:space="0" w:color="auto"/>
        <w:left w:val="none" w:sz="0" w:space="0" w:color="auto"/>
        <w:bottom w:val="none" w:sz="0" w:space="0" w:color="auto"/>
        <w:right w:val="none" w:sz="0" w:space="0" w:color="auto"/>
      </w:divBdr>
    </w:div>
    <w:div w:id="967854898">
      <w:bodyDiv w:val="1"/>
      <w:marLeft w:val="0"/>
      <w:marRight w:val="0"/>
      <w:marTop w:val="0"/>
      <w:marBottom w:val="0"/>
      <w:divBdr>
        <w:top w:val="none" w:sz="0" w:space="0" w:color="auto"/>
        <w:left w:val="none" w:sz="0" w:space="0" w:color="auto"/>
        <w:bottom w:val="none" w:sz="0" w:space="0" w:color="auto"/>
        <w:right w:val="none" w:sz="0" w:space="0" w:color="auto"/>
      </w:divBdr>
    </w:div>
    <w:div w:id="1246694558">
      <w:bodyDiv w:val="1"/>
      <w:marLeft w:val="0"/>
      <w:marRight w:val="0"/>
      <w:marTop w:val="0"/>
      <w:marBottom w:val="0"/>
      <w:divBdr>
        <w:top w:val="none" w:sz="0" w:space="0" w:color="auto"/>
        <w:left w:val="none" w:sz="0" w:space="0" w:color="auto"/>
        <w:bottom w:val="none" w:sz="0" w:space="0" w:color="auto"/>
        <w:right w:val="none" w:sz="0" w:space="0" w:color="auto"/>
      </w:divBdr>
      <w:divsChild>
        <w:div w:id="833765803">
          <w:marLeft w:val="0"/>
          <w:marRight w:val="0"/>
          <w:marTop w:val="0"/>
          <w:marBottom w:val="0"/>
          <w:divBdr>
            <w:top w:val="none" w:sz="0" w:space="0" w:color="auto"/>
            <w:left w:val="none" w:sz="0" w:space="0" w:color="auto"/>
            <w:bottom w:val="none" w:sz="0" w:space="0" w:color="auto"/>
            <w:right w:val="none" w:sz="0" w:space="0" w:color="auto"/>
          </w:divBdr>
          <w:divsChild>
            <w:div w:id="1307471851">
              <w:marLeft w:val="0"/>
              <w:marRight w:val="0"/>
              <w:marTop w:val="0"/>
              <w:marBottom w:val="0"/>
              <w:divBdr>
                <w:top w:val="none" w:sz="0" w:space="0" w:color="auto"/>
                <w:left w:val="none" w:sz="0" w:space="0" w:color="auto"/>
                <w:bottom w:val="none" w:sz="0" w:space="0" w:color="auto"/>
                <w:right w:val="none" w:sz="0" w:space="0" w:color="auto"/>
              </w:divBdr>
              <w:divsChild>
                <w:div w:id="259486066">
                  <w:marLeft w:val="0"/>
                  <w:marRight w:val="0"/>
                  <w:marTop w:val="0"/>
                  <w:marBottom w:val="0"/>
                  <w:divBdr>
                    <w:top w:val="none" w:sz="0" w:space="0" w:color="auto"/>
                    <w:left w:val="none" w:sz="0" w:space="0" w:color="auto"/>
                    <w:bottom w:val="none" w:sz="0" w:space="0" w:color="auto"/>
                    <w:right w:val="none" w:sz="0" w:space="0" w:color="auto"/>
                  </w:divBdr>
                  <w:divsChild>
                    <w:div w:id="19650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3921">
      <w:bodyDiv w:val="1"/>
      <w:marLeft w:val="0"/>
      <w:marRight w:val="0"/>
      <w:marTop w:val="0"/>
      <w:marBottom w:val="0"/>
      <w:divBdr>
        <w:top w:val="none" w:sz="0" w:space="0" w:color="auto"/>
        <w:left w:val="none" w:sz="0" w:space="0" w:color="auto"/>
        <w:bottom w:val="none" w:sz="0" w:space="0" w:color="auto"/>
        <w:right w:val="none" w:sz="0" w:space="0" w:color="auto"/>
      </w:divBdr>
    </w:div>
    <w:div w:id="1590386579">
      <w:bodyDiv w:val="1"/>
      <w:marLeft w:val="0"/>
      <w:marRight w:val="0"/>
      <w:marTop w:val="0"/>
      <w:marBottom w:val="0"/>
      <w:divBdr>
        <w:top w:val="none" w:sz="0" w:space="0" w:color="auto"/>
        <w:left w:val="none" w:sz="0" w:space="0" w:color="auto"/>
        <w:bottom w:val="none" w:sz="0" w:space="0" w:color="auto"/>
        <w:right w:val="none" w:sz="0" w:space="0" w:color="auto"/>
      </w:divBdr>
    </w:div>
    <w:div w:id="1614748927">
      <w:bodyDiv w:val="1"/>
      <w:marLeft w:val="0"/>
      <w:marRight w:val="0"/>
      <w:marTop w:val="0"/>
      <w:marBottom w:val="0"/>
      <w:divBdr>
        <w:top w:val="none" w:sz="0" w:space="0" w:color="auto"/>
        <w:left w:val="none" w:sz="0" w:space="0" w:color="auto"/>
        <w:bottom w:val="none" w:sz="0" w:space="0" w:color="auto"/>
        <w:right w:val="none" w:sz="0" w:space="0" w:color="auto"/>
      </w:divBdr>
      <w:divsChild>
        <w:div w:id="1090665942">
          <w:marLeft w:val="0"/>
          <w:marRight w:val="0"/>
          <w:marTop w:val="0"/>
          <w:marBottom w:val="0"/>
          <w:divBdr>
            <w:top w:val="none" w:sz="0" w:space="0" w:color="auto"/>
            <w:left w:val="none" w:sz="0" w:space="0" w:color="auto"/>
            <w:bottom w:val="none" w:sz="0" w:space="0" w:color="auto"/>
            <w:right w:val="none" w:sz="0" w:space="0" w:color="auto"/>
          </w:divBdr>
          <w:divsChild>
            <w:div w:id="1067917693">
              <w:marLeft w:val="0"/>
              <w:marRight w:val="0"/>
              <w:marTop w:val="0"/>
              <w:marBottom w:val="0"/>
              <w:divBdr>
                <w:top w:val="none" w:sz="0" w:space="0" w:color="auto"/>
                <w:left w:val="none" w:sz="0" w:space="0" w:color="auto"/>
                <w:bottom w:val="none" w:sz="0" w:space="0" w:color="auto"/>
                <w:right w:val="none" w:sz="0" w:space="0" w:color="auto"/>
              </w:divBdr>
              <w:divsChild>
                <w:div w:id="1473019427">
                  <w:marLeft w:val="0"/>
                  <w:marRight w:val="0"/>
                  <w:marTop w:val="0"/>
                  <w:marBottom w:val="0"/>
                  <w:divBdr>
                    <w:top w:val="none" w:sz="0" w:space="0" w:color="auto"/>
                    <w:left w:val="none" w:sz="0" w:space="0" w:color="auto"/>
                    <w:bottom w:val="none" w:sz="0" w:space="0" w:color="auto"/>
                    <w:right w:val="none" w:sz="0" w:space="0" w:color="auto"/>
                  </w:divBdr>
                  <w:divsChild>
                    <w:div w:id="63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47050">
      <w:bodyDiv w:val="1"/>
      <w:marLeft w:val="0"/>
      <w:marRight w:val="0"/>
      <w:marTop w:val="0"/>
      <w:marBottom w:val="0"/>
      <w:divBdr>
        <w:top w:val="none" w:sz="0" w:space="0" w:color="auto"/>
        <w:left w:val="none" w:sz="0" w:space="0" w:color="auto"/>
        <w:bottom w:val="none" w:sz="0" w:space="0" w:color="auto"/>
        <w:right w:val="none" w:sz="0" w:space="0" w:color="auto"/>
      </w:divBdr>
      <w:divsChild>
        <w:div w:id="391196261">
          <w:marLeft w:val="0"/>
          <w:marRight w:val="0"/>
          <w:marTop w:val="0"/>
          <w:marBottom w:val="0"/>
          <w:divBdr>
            <w:top w:val="none" w:sz="0" w:space="0" w:color="auto"/>
            <w:left w:val="none" w:sz="0" w:space="0" w:color="auto"/>
            <w:bottom w:val="none" w:sz="0" w:space="0" w:color="auto"/>
            <w:right w:val="none" w:sz="0" w:space="0" w:color="auto"/>
          </w:divBdr>
          <w:divsChild>
            <w:div w:id="1874923582">
              <w:marLeft w:val="0"/>
              <w:marRight w:val="0"/>
              <w:marTop w:val="0"/>
              <w:marBottom w:val="0"/>
              <w:divBdr>
                <w:top w:val="none" w:sz="0" w:space="0" w:color="auto"/>
                <w:left w:val="none" w:sz="0" w:space="0" w:color="auto"/>
                <w:bottom w:val="none" w:sz="0" w:space="0" w:color="auto"/>
                <w:right w:val="none" w:sz="0" w:space="0" w:color="auto"/>
              </w:divBdr>
              <w:divsChild>
                <w:div w:id="1390569876">
                  <w:marLeft w:val="0"/>
                  <w:marRight w:val="0"/>
                  <w:marTop w:val="0"/>
                  <w:marBottom w:val="0"/>
                  <w:divBdr>
                    <w:top w:val="none" w:sz="0" w:space="0" w:color="auto"/>
                    <w:left w:val="none" w:sz="0" w:space="0" w:color="auto"/>
                    <w:bottom w:val="none" w:sz="0" w:space="0" w:color="auto"/>
                    <w:right w:val="none" w:sz="0" w:space="0" w:color="auto"/>
                  </w:divBdr>
                  <w:divsChild>
                    <w:div w:id="9238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453">
      <w:bodyDiv w:val="1"/>
      <w:marLeft w:val="0"/>
      <w:marRight w:val="0"/>
      <w:marTop w:val="0"/>
      <w:marBottom w:val="0"/>
      <w:divBdr>
        <w:top w:val="none" w:sz="0" w:space="0" w:color="auto"/>
        <w:left w:val="none" w:sz="0" w:space="0" w:color="auto"/>
        <w:bottom w:val="none" w:sz="0" w:space="0" w:color="auto"/>
        <w:right w:val="none" w:sz="0" w:space="0" w:color="auto"/>
      </w:divBdr>
    </w:div>
    <w:div w:id="21308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gistraduria.gov.co/En-consulta-popular-celebrada-el-domingo-28-de-julio-los-habitantes-de-Piedras.html" TargetMode="External"/><Relationship Id="rId2" Type="http://schemas.openxmlformats.org/officeDocument/2006/relationships/hyperlink" Target="https://www.theguardian.com/world/2023/apr/23/un-indigenous-peoples-forum-climate-strategy-warning" TargetMode="External"/><Relationship Id="rId1" Type="http://schemas.openxmlformats.org/officeDocument/2006/relationships/hyperlink" Target="https://www.genevaenvironmentnetwork.org/events/clean-energy-with-clean-conscience-the-importance-of-human-rights-and-the-transition-to-clean-energy/" TargetMode="External"/><Relationship Id="rId5" Type="http://schemas.openxmlformats.org/officeDocument/2006/relationships/hyperlink" Target="https://www.ohchr.org/en/press-releases/2021/06/chile-nearly-40-years-still-no-remedy-victims-swedish-toxic-waste-un-experts" TargetMode="External"/><Relationship Id="rId4" Type="http://schemas.openxmlformats.org/officeDocument/2006/relationships/hyperlink" Target="https://www.genevaenvironmentnetwork.org/events/clean-energy-with-clean-conscience-the-importance-of-human-rights-and-the-transition-to-clean-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ACA8D-C315-4DC3-A5BE-EC8396A1FEA4}"/>
</file>

<file path=customXml/itemProps2.xml><?xml version="1.0" encoding="utf-8"?>
<ds:datastoreItem xmlns:ds="http://schemas.openxmlformats.org/officeDocument/2006/customXml" ds:itemID="{8B9E47B1-E3E0-424B-95DF-FE571F3B12BA}"/>
</file>

<file path=customXml/itemProps3.xml><?xml version="1.0" encoding="utf-8"?>
<ds:datastoreItem xmlns:ds="http://schemas.openxmlformats.org/officeDocument/2006/customXml" ds:itemID="{EAA6BA72-F554-4BFE-B28B-C589F2AD75A9}"/>
</file>

<file path=customXml/itemProps4.xml><?xml version="1.0" encoding="utf-8"?>
<ds:datastoreItem xmlns:ds="http://schemas.openxmlformats.org/officeDocument/2006/customXml" ds:itemID="{0DBD6F87-7714-4C86-9C91-E31C397CDBE9}"/>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Farah</dc:creator>
  <cp:keywords/>
  <dc:description/>
  <cp:lastModifiedBy>Budi Tjahjono</cp:lastModifiedBy>
  <cp:revision>2</cp:revision>
  <dcterms:created xsi:type="dcterms:W3CDTF">2023-05-15T18:04:00Z</dcterms:created>
  <dcterms:modified xsi:type="dcterms:W3CDTF">2023-05-15T18:04:00Z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MediaServiceImageTags">
    <vt:lpwstr/>
  </property>
</Properties>
</file>