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0228" w14:textId="27DDF3AF" w:rsidR="00F57544" w:rsidRDefault="00F57544"/>
    <w:p w14:paraId="1746A78A" w14:textId="5E7BAF45" w:rsidR="00B40D58" w:rsidRPr="00B40D58" w:rsidRDefault="00F335BC" w:rsidP="00F335BC">
      <w:pPr>
        <w:rPr>
          <w:rFonts w:asciiTheme="majorHAnsi" w:hAnsiTheme="majorHAnsi" w:cstheme="majorHAnsi"/>
          <w:b/>
          <w:bCs/>
          <w:sz w:val="28"/>
          <w:szCs w:val="28"/>
          <w:u w:val="single"/>
        </w:rPr>
      </w:pPr>
      <w:r w:rsidRPr="00F335BC">
        <w:rPr>
          <w:rFonts w:asciiTheme="majorHAnsi" w:hAnsiTheme="majorHAnsi" w:cstheme="majorHAnsi"/>
          <w:b/>
          <w:bCs/>
          <w:sz w:val="28"/>
          <w:szCs w:val="28"/>
          <w:u w:val="single"/>
        </w:rPr>
        <w:t>Call for inputs: Extractive sector, just transition and human rights</w:t>
      </w:r>
    </w:p>
    <w:p w14:paraId="0958D662" w14:textId="33DED838" w:rsidR="00807C71" w:rsidRPr="00CA6FFC" w:rsidRDefault="00807C71" w:rsidP="003D76DF">
      <w:pPr>
        <w:spacing w:line="240" w:lineRule="auto"/>
        <w:rPr>
          <w:rFonts w:asciiTheme="majorHAnsi" w:hAnsiTheme="majorHAnsi" w:cstheme="majorHAnsi"/>
          <w:b/>
          <w:bCs/>
          <w:sz w:val="24"/>
          <w:szCs w:val="24"/>
        </w:rPr>
      </w:pPr>
      <w:r w:rsidRPr="00CA6FFC">
        <w:rPr>
          <w:rFonts w:asciiTheme="majorHAnsi" w:hAnsiTheme="majorHAnsi" w:cstheme="majorHAnsi"/>
          <w:b/>
          <w:bCs/>
          <w:sz w:val="24"/>
          <w:szCs w:val="24"/>
        </w:rPr>
        <w:t>Working Group on Business and Human Rights</w:t>
      </w:r>
    </w:p>
    <w:p w14:paraId="76CB6184" w14:textId="5E2FB858" w:rsidR="00BA711C" w:rsidRDefault="00BA711C" w:rsidP="003D76DF">
      <w:pPr>
        <w:spacing w:line="240" w:lineRule="auto"/>
        <w:rPr>
          <w:rFonts w:asciiTheme="majorHAnsi" w:hAnsiTheme="majorHAnsi" w:cstheme="majorHAnsi"/>
          <w:b/>
          <w:bCs/>
        </w:rPr>
      </w:pPr>
      <w:r>
        <w:rPr>
          <w:rFonts w:asciiTheme="majorHAnsi" w:hAnsiTheme="majorHAnsi" w:cstheme="majorHAnsi"/>
          <w:b/>
          <w:bCs/>
        </w:rPr>
        <w:t>Deadline: 29 May 2023</w:t>
      </w:r>
    </w:p>
    <w:p w14:paraId="5D570F8F" w14:textId="304B316A" w:rsidR="006D5818" w:rsidRDefault="003D76DF" w:rsidP="006D5818">
      <w:pPr>
        <w:spacing w:line="240" w:lineRule="auto"/>
        <w:rPr>
          <w:rFonts w:asciiTheme="majorHAnsi" w:hAnsiTheme="majorHAnsi" w:cstheme="majorHAnsi"/>
          <w:i/>
          <w:iCs/>
        </w:rPr>
      </w:pPr>
      <w:r w:rsidRPr="0040309F">
        <w:rPr>
          <w:rFonts w:asciiTheme="majorHAnsi" w:hAnsiTheme="majorHAnsi" w:cstheme="majorHAnsi"/>
          <w:i/>
          <w:iCs/>
        </w:rPr>
        <w:t>Summary</w:t>
      </w:r>
      <w:r w:rsidRPr="003D76DF">
        <w:rPr>
          <w:rFonts w:asciiTheme="majorHAnsi" w:hAnsiTheme="majorHAnsi" w:cstheme="majorHAnsi"/>
          <w:i/>
          <w:iCs/>
        </w:rPr>
        <w:t xml:space="preserve"> – </w:t>
      </w:r>
      <w:r w:rsidR="001D65FF">
        <w:rPr>
          <w:rFonts w:asciiTheme="majorHAnsi" w:hAnsiTheme="majorHAnsi" w:cstheme="majorHAnsi"/>
          <w:i/>
          <w:iCs/>
        </w:rPr>
        <w:t>Input provided by Pogust Goodhead in relation to questions 15, 17 and 18 relating to Access to Remedy.</w:t>
      </w:r>
      <w:r>
        <w:rPr>
          <w:rFonts w:asciiTheme="majorHAnsi" w:hAnsiTheme="majorHAnsi" w:cstheme="majorHAnsi"/>
          <w:i/>
          <w:iCs/>
        </w:rPr>
        <w:t xml:space="preserve"> </w:t>
      </w:r>
    </w:p>
    <w:p w14:paraId="4FB376C1" w14:textId="542B0380" w:rsidR="001D65FF" w:rsidRPr="001D65FF" w:rsidRDefault="001D65FF" w:rsidP="006D5818">
      <w:pPr>
        <w:spacing w:line="240" w:lineRule="auto"/>
        <w:rPr>
          <w:rStyle w:val="text--body-copy"/>
          <w:rFonts w:asciiTheme="majorHAnsi" w:hAnsiTheme="majorHAnsi" w:cstheme="majorHAnsi"/>
          <w:color w:val="4A4A4A"/>
        </w:rPr>
      </w:pPr>
      <w:r w:rsidRPr="001D65FF">
        <w:rPr>
          <w:rStyle w:val="txt-bold"/>
          <w:rFonts w:asciiTheme="majorHAnsi" w:hAnsiTheme="majorHAnsi" w:cstheme="majorHAnsi"/>
          <w:b/>
          <w:bCs/>
          <w:color w:val="4A4A4A"/>
        </w:rPr>
        <w:t>Purpose:</w:t>
      </w:r>
      <w:r w:rsidRPr="001D65FF">
        <w:rPr>
          <w:rFonts w:asciiTheme="majorHAnsi" w:hAnsiTheme="majorHAnsi" w:cstheme="majorHAnsi"/>
          <w:color w:val="4A4A4A"/>
        </w:rPr>
        <w:t> </w:t>
      </w:r>
      <w:r w:rsidRPr="001D65FF">
        <w:rPr>
          <w:rStyle w:val="text--body-copy"/>
          <w:rFonts w:asciiTheme="majorHAnsi" w:hAnsiTheme="majorHAnsi" w:cstheme="majorHAnsi"/>
          <w:color w:val="4A4A4A"/>
        </w:rPr>
        <w:t>Report to be presented to the 78th session of General Assembly in September 2023</w:t>
      </w:r>
      <w:r w:rsidR="00BA711C">
        <w:rPr>
          <w:rStyle w:val="text--body-copy"/>
          <w:rFonts w:asciiTheme="majorHAnsi" w:hAnsiTheme="majorHAnsi" w:cstheme="majorHAnsi"/>
          <w:color w:val="4A4A4A"/>
        </w:rPr>
        <w:t>.</w:t>
      </w:r>
      <w:r w:rsidR="00BA711C">
        <w:rPr>
          <w:rStyle w:val="FootnoteReference"/>
          <w:rFonts w:asciiTheme="majorHAnsi" w:hAnsiTheme="majorHAnsi" w:cstheme="majorHAnsi"/>
          <w:color w:val="4A4A4A"/>
        </w:rPr>
        <w:footnoteReference w:id="2"/>
      </w:r>
    </w:p>
    <w:p w14:paraId="243B5A4D" w14:textId="19F29063" w:rsidR="00B26D4E" w:rsidRPr="00832E57" w:rsidRDefault="00B26D4E" w:rsidP="00B26D4E">
      <w:pPr>
        <w:numPr>
          <w:ilvl w:val="0"/>
          <w:numId w:val="7"/>
        </w:numPr>
        <w:spacing w:line="240" w:lineRule="auto"/>
        <w:rPr>
          <w:rFonts w:asciiTheme="majorHAnsi" w:hAnsiTheme="majorHAnsi" w:cstheme="majorHAnsi"/>
          <w:b/>
          <w:bCs/>
        </w:rPr>
      </w:pPr>
      <w:r w:rsidRPr="00832E57">
        <w:rPr>
          <w:rFonts w:asciiTheme="majorHAnsi" w:hAnsiTheme="majorHAnsi" w:cstheme="majorHAnsi"/>
          <w:b/>
          <w:bCs/>
        </w:rPr>
        <w:t>What measures and mechanisms should be provided by extractive sector legislation, bilateral investment treaties, concessions, and contracts to allow individuals or communities affected by extractive activities to seek effective remedy for business-related human rights abuses? What remedies are best suited for this sector?</w:t>
      </w:r>
    </w:p>
    <w:p w14:paraId="0999EC40" w14:textId="08FEFB27" w:rsidR="00FC3410" w:rsidRDefault="00C03DD7" w:rsidP="00FC3410">
      <w:pPr>
        <w:spacing w:line="240" w:lineRule="auto"/>
        <w:rPr>
          <w:rFonts w:asciiTheme="majorHAnsi" w:hAnsiTheme="majorHAnsi" w:cstheme="majorHAnsi"/>
        </w:rPr>
      </w:pPr>
      <w:r>
        <w:rPr>
          <w:rFonts w:asciiTheme="majorHAnsi" w:hAnsiTheme="majorHAnsi" w:cstheme="majorHAnsi"/>
        </w:rPr>
        <w:t xml:space="preserve">In order </w:t>
      </w:r>
      <w:r w:rsidR="00FC3410" w:rsidRPr="00D55DF8">
        <w:rPr>
          <w:rFonts w:asciiTheme="majorHAnsi" w:hAnsiTheme="majorHAnsi" w:cstheme="majorHAnsi"/>
        </w:rPr>
        <w:t xml:space="preserve">to allow individuals </w:t>
      </w:r>
      <w:r w:rsidR="00F63839">
        <w:rPr>
          <w:rFonts w:asciiTheme="majorHAnsi" w:hAnsiTheme="majorHAnsi" w:cstheme="majorHAnsi"/>
        </w:rPr>
        <w:t>and</w:t>
      </w:r>
      <w:r w:rsidR="00FC3410" w:rsidRPr="00D55DF8">
        <w:rPr>
          <w:rFonts w:asciiTheme="majorHAnsi" w:hAnsiTheme="majorHAnsi" w:cstheme="majorHAnsi"/>
        </w:rPr>
        <w:t xml:space="preserve"> communities affected by extractive activities to seek effective remedy for business-related human rights abuses</w:t>
      </w:r>
      <w:r w:rsidR="00F63839">
        <w:rPr>
          <w:rFonts w:asciiTheme="majorHAnsi" w:hAnsiTheme="majorHAnsi" w:cstheme="majorHAnsi"/>
        </w:rPr>
        <w:t>, effective dispute resolution mechanisms must be provided</w:t>
      </w:r>
      <w:r w:rsidR="00CD4E96">
        <w:rPr>
          <w:rFonts w:asciiTheme="majorHAnsi" w:hAnsiTheme="majorHAnsi" w:cstheme="majorHAnsi"/>
        </w:rPr>
        <w:t xml:space="preserve"> </w:t>
      </w:r>
      <w:r w:rsidR="00CD4E96" w:rsidRPr="00D55DF8">
        <w:rPr>
          <w:rFonts w:asciiTheme="majorHAnsi" w:hAnsiTheme="majorHAnsi" w:cstheme="majorHAnsi"/>
        </w:rPr>
        <w:t>by extractive sector legislation, bilateral investment treaties, concessions and</w:t>
      </w:r>
      <w:r w:rsidR="00972B04">
        <w:rPr>
          <w:rFonts w:asciiTheme="majorHAnsi" w:hAnsiTheme="majorHAnsi" w:cstheme="majorHAnsi"/>
        </w:rPr>
        <w:t>/or</w:t>
      </w:r>
      <w:r w:rsidR="00CD4E96" w:rsidRPr="00D55DF8">
        <w:rPr>
          <w:rFonts w:asciiTheme="majorHAnsi" w:hAnsiTheme="majorHAnsi" w:cstheme="majorHAnsi"/>
        </w:rPr>
        <w:t xml:space="preserve"> contracts</w:t>
      </w:r>
      <w:r w:rsidR="00FC3410">
        <w:rPr>
          <w:rFonts w:asciiTheme="majorHAnsi" w:hAnsiTheme="majorHAnsi" w:cstheme="majorHAnsi"/>
        </w:rPr>
        <w:t xml:space="preserve">. These </w:t>
      </w:r>
      <w:r w:rsidR="00F63839">
        <w:rPr>
          <w:rFonts w:asciiTheme="majorHAnsi" w:hAnsiTheme="majorHAnsi" w:cstheme="majorHAnsi"/>
        </w:rPr>
        <w:t xml:space="preserve">mechanisms </w:t>
      </w:r>
      <w:r w:rsidR="00FC3410">
        <w:rPr>
          <w:rFonts w:asciiTheme="majorHAnsi" w:hAnsiTheme="majorHAnsi" w:cstheme="majorHAnsi"/>
        </w:rPr>
        <w:t xml:space="preserve">should address the current challenges faced </w:t>
      </w:r>
      <w:r w:rsidR="00F63839">
        <w:rPr>
          <w:rFonts w:asciiTheme="majorHAnsi" w:hAnsiTheme="majorHAnsi" w:cstheme="majorHAnsi"/>
        </w:rPr>
        <w:t xml:space="preserve">by </w:t>
      </w:r>
      <w:r w:rsidR="00FC3410" w:rsidRPr="00D55DF8">
        <w:rPr>
          <w:rFonts w:asciiTheme="majorHAnsi" w:hAnsiTheme="majorHAnsi" w:cstheme="majorHAnsi"/>
        </w:rPr>
        <w:t xml:space="preserve">individuals </w:t>
      </w:r>
      <w:r w:rsidR="00F63839">
        <w:rPr>
          <w:rFonts w:asciiTheme="majorHAnsi" w:hAnsiTheme="majorHAnsi" w:cstheme="majorHAnsi"/>
        </w:rPr>
        <w:t>and</w:t>
      </w:r>
      <w:r w:rsidR="00FC3410" w:rsidRPr="00D55DF8">
        <w:rPr>
          <w:rFonts w:asciiTheme="majorHAnsi" w:hAnsiTheme="majorHAnsi" w:cstheme="majorHAnsi"/>
        </w:rPr>
        <w:t xml:space="preserve"> communities affected by extractive activities</w:t>
      </w:r>
      <w:r w:rsidR="00FC3410">
        <w:rPr>
          <w:rFonts w:asciiTheme="majorHAnsi" w:hAnsiTheme="majorHAnsi" w:cstheme="majorHAnsi"/>
        </w:rPr>
        <w:t>. These challenges include:</w:t>
      </w:r>
    </w:p>
    <w:p w14:paraId="5178A227" w14:textId="378566E6" w:rsidR="00B222DB" w:rsidRPr="00346F76" w:rsidRDefault="00B222DB" w:rsidP="00CD4E96">
      <w:pPr>
        <w:pStyle w:val="ListParagraph"/>
        <w:numPr>
          <w:ilvl w:val="0"/>
          <w:numId w:val="8"/>
        </w:numPr>
        <w:spacing w:line="240" w:lineRule="auto"/>
        <w:rPr>
          <w:rFonts w:asciiTheme="majorHAnsi" w:hAnsiTheme="majorHAnsi" w:cstheme="majorHAnsi"/>
          <w:b/>
          <w:bCs/>
        </w:rPr>
      </w:pPr>
      <w:r w:rsidRPr="00346F76">
        <w:rPr>
          <w:rFonts w:asciiTheme="majorHAnsi" w:hAnsiTheme="majorHAnsi" w:cstheme="majorHAnsi"/>
          <w:b/>
          <w:bCs/>
        </w:rPr>
        <w:t xml:space="preserve">Challenges in relation to access to remedy </w:t>
      </w:r>
      <w:r w:rsidR="00835DDC" w:rsidRPr="00346F76">
        <w:rPr>
          <w:rFonts w:asciiTheme="majorHAnsi" w:hAnsiTheme="majorHAnsi" w:cstheme="majorHAnsi"/>
          <w:b/>
          <w:bCs/>
        </w:rPr>
        <w:t>in</w:t>
      </w:r>
      <w:r w:rsidRPr="00346F76">
        <w:rPr>
          <w:rFonts w:asciiTheme="majorHAnsi" w:hAnsiTheme="majorHAnsi" w:cstheme="majorHAnsi"/>
          <w:b/>
          <w:bCs/>
        </w:rPr>
        <w:t xml:space="preserve"> litigation proceedings </w:t>
      </w:r>
    </w:p>
    <w:p w14:paraId="461D9E89" w14:textId="77777777" w:rsidR="00835DDC" w:rsidRDefault="00B222DB" w:rsidP="00FC3410">
      <w:pPr>
        <w:spacing w:line="240" w:lineRule="auto"/>
        <w:rPr>
          <w:rFonts w:asciiTheme="majorHAnsi" w:hAnsiTheme="majorHAnsi" w:cstheme="majorHAnsi"/>
        </w:rPr>
      </w:pPr>
      <w:r>
        <w:rPr>
          <w:rFonts w:asciiTheme="majorHAnsi" w:hAnsiTheme="majorHAnsi" w:cstheme="majorHAnsi"/>
        </w:rPr>
        <w:t xml:space="preserve">Pogust Goodhead represents hundreds of thousands of victims from the global south in </w:t>
      </w:r>
      <w:r w:rsidRPr="00B222DB">
        <w:rPr>
          <w:rFonts w:asciiTheme="majorHAnsi" w:hAnsiTheme="majorHAnsi" w:cstheme="majorHAnsi"/>
        </w:rPr>
        <w:t xml:space="preserve">civil proceedings brought against companies </w:t>
      </w:r>
      <w:r>
        <w:rPr>
          <w:rFonts w:asciiTheme="majorHAnsi" w:hAnsiTheme="majorHAnsi" w:cstheme="majorHAnsi"/>
        </w:rPr>
        <w:t xml:space="preserve">in the EU and the UK </w:t>
      </w:r>
      <w:r w:rsidRPr="00B222DB">
        <w:rPr>
          <w:rFonts w:asciiTheme="majorHAnsi" w:hAnsiTheme="majorHAnsi" w:cstheme="majorHAnsi"/>
        </w:rPr>
        <w:t>for human rights abuses and environmental harm in their global operations and value chains</w:t>
      </w:r>
      <w:r>
        <w:rPr>
          <w:rFonts w:asciiTheme="majorHAnsi" w:hAnsiTheme="majorHAnsi" w:cstheme="majorHAnsi"/>
        </w:rPr>
        <w:t>.</w:t>
      </w:r>
    </w:p>
    <w:p w14:paraId="22BD1F8A" w14:textId="3E7C47A4" w:rsidR="00835DDC" w:rsidRDefault="00835DDC" w:rsidP="00FC3410">
      <w:pPr>
        <w:spacing w:line="240" w:lineRule="auto"/>
        <w:rPr>
          <w:rFonts w:asciiTheme="majorHAnsi" w:hAnsiTheme="majorHAnsi" w:cstheme="majorHAnsi"/>
        </w:rPr>
      </w:pPr>
      <w:r>
        <w:rPr>
          <w:rFonts w:asciiTheme="majorHAnsi" w:hAnsiTheme="majorHAnsi" w:cstheme="majorHAnsi"/>
        </w:rPr>
        <w:t>There are several</w:t>
      </w:r>
      <w:r w:rsidR="00B222DB">
        <w:rPr>
          <w:rFonts w:asciiTheme="majorHAnsi" w:hAnsiTheme="majorHAnsi" w:cstheme="majorHAnsi"/>
        </w:rPr>
        <w:t xml:space="preserve"> </w:t>
      </w:r>
      <w:r w:rsidRPr="00835DDC">
        <w:rPr>
          <w:rFonts w:asciiTheme="majorHAnsi" w:hAnsiTheme="majorHAnsi" w:cstheme="majorHAnsi"/>
        </w:rPr>
        <w:t>barriers to justice</w:t>
      </w:r>
      <w:r w:rsidR="00CD4E96">
        <w:rPr>
          <w:rFonts w:asciiTheme="majorHAnsi" w:hAnsiTheme="majorHAnsi" w:cstheme="majorHAnsi"/>
        </w:rPr>
        <w:t xml:space="preserve"> that</w:t>
      </w:r>
      <w:r w:rsidRPr="00835DDC">
        <w:rPr>
          <w:rFonts w:asciiTheme="majorHAnsi" w:hAnsiTheme="majorHAnsi" w:cstheme="majorHAnsi"/>
        </w:rPr>
        <w:t xml:space="preserve"> are currently preventing victims of business-related human rights abuses and environmental harm </w:t>
      </w:r>
      <w:r>
        <w:rPr>
          <w:rFonts w:asciiTheme="majorHAnsi" w:hAnsiTheme="majorHAnsi" w:cstheme="majorHAnsi"/>
        </w:rPr>
        <w:t xml:space="preserve">(particularly victims from the global south) </w:t>
      </w:r>
      <w:r w:rsidRPr="00835DDC">
        <w:rPr>
          <w:rFonts w:asciiTheme="majorHAnsi" w:hAnsiTheme="majorHAnsi" w:cstheme="majorHAnsi"/>
        </w:rPr>
        <w:t>from accessing judicial remedy in European courts.</w:t>
      </w:r>
      <w:r w:rsidR="00CD4E96">
        <w:rPr>
          <w:rFonts w:asciiTheme="majorHAnsi" w:hAnsiTheme="majorHAnsi" w:cstheme="majorHAnsi"/>
        </w:rPr>
        <w:t xml:space="preserve"> </w:t>
      </w:r>
      <w:r>
        <w:rPr>
          <w:rFonts w:asciiTheme="majorHAnsi" w:hAnsiTheme="majorHAnsi" w:cstheme="majorHAnsi"/>
        </w:rPr>
        <w:t xml:space="preserve">Some of the </w:t>
      </w:r>
      <w:r w:rsidRPr="00835DDC">
        <w:rPr>
          <w:rFonts w:asciiTheme="majorHAnsi" w:hAnsiTheme="majorHAnsi" w:cstheme="majorHAnsi"/>
        </w:rPr>
        <w:t>key obstacles faced by claimants when attempting to hold corporations</w:t>
      </w:r>
      <w:r w:rsidR="00CD4E96">
        <w:rPr>
          <w:rFonts w:asciiTheme="majorHAnsi" w:hAnsiTheme="majorHAnsi" w:cstheme="majorHAnsi"/>
        </w:rPr>
        <w:t xml:space="preserve"> </w:t>
      </w:r>
      <w:r w:rsidRPr="00835DDC">
        <w:rPr>
          <w:rFonts w:asciiTheme="majorHAnsi" w:hAnsiTheme="majorHAnsi" w:cstheme="majorHAnsi"/>
        </w:rPr>
        <w:t>to account in the courts of the company’s home country and access judicial remedy</w:t>
      </w:r>
      <w:r>
        <w:rPr>
          <w:rFonts w:asciiTheme="majorHAnsi" w:hAnsiTheme="majorHAnsi" w:cstheme="majorHAnsi"/>
        </w:rPr>
        <w:t>, include:</w:t>
      </w:r>
    </w:p>
    <w:p w14:paraId="0C43C1B8" w14:textId="5F387E23" w:rsidR="00392861" w:rsidRPr="00346F76" w:rsidRDefault="00392861" w:rsidP="00346F76">
      <w:pPr>
        <w:pStyle w:val="ListParagraph"/>
        <w:numPr>
          <w:ilvl w:val="0"/>
          <w:numId w:val="11"/>
        </w:numPr>
        <w:spacing w:line="240" w:lineRule="auto"/>
        <w:rPr>
          <w:rFonts w:asciiTheme="majorHAnsi" w:hAnsiTheme="majorHAnsi" w:cstheme="majorHAnsi"/>
          <w:i/>
          <w:iCs/>
        </w:rPr>
      </w:pPr>
      <w:bookmarkStart w:id="0" w:name="_Hlk134718394"/>
      <w:r w:rsidRPr="00346F76">
        <w:rPr>
          <w:rFonts w:asciiTheme="majorHAnsi" w:hAnsiTheme="majorHAnsi" w:cstheme="majorHAnsi"/>
          <w:i/>
          <w:iCs/>
        </w:rPr>
        <w:t>Difficulties in establishing parent company liability</w:t>
      </w:r>
    </w:p>
    <w:bookmarkEnd w:id="0"/>
    <w:p w14:paraId="5936530B" w14:textId="7E47D8E7" w:rsidR="00392861" w:rsidRDefault="005956E8" w:rsidP="34BD871D">
      <w:pPr>
        <w:spacing w:line="240" w:lineRule="auto"/>
        <w:rPr>
          <w:rFonts w:asciiTheme="majorHAnsi" w:hAnsiTheme="majorHAnsi" w:cstheme="majorBidi"/>
        </w:rPr>
      </w:pPr>
      <w:r w:rsidRPr="34BD871D">
        <w:rPr>
          <w:rFonts w:asciiTheme="majorHAnsi" w:hAnsiTheme="majorHAnsi" w:cstheme="majorBidi"/>
        </w:rPr>
        <w:t xml:space="preserve">In some legal systems, the parent company will not automatically be held liable for the actions or omissions of its subsidiary merely on the basis that it owns shares in the subsidiary. This can make </w:t>
      </w:r>
      <w:r w:rsidR="6C47AC03" w:rsidRPr="34BD871D">
        <w:rPr>
          <w:rFonts w:asciiTheme="majorHAnsi" w:hAnsiTheme="majorHAnsi" w:cstheme="majorBidi"/>
        </w:rPr>
        <w:t>it difficult</w:t>
      </w:r>
      <w:r w:rsidRPr="34BD871D">
        <w:rPr>
          <w:rFonts w:asciiTheme="majorHAnsi" w:hAnsiTheme="majorHAnsi" w:cstheme="majorBidi"/>
        </w:rPr>
        <w:t xml:space="preserve"> to hold parent companies legally accountable for the human rights harms arising out of the activities of their subsidiaries. This difficulty is one of the main hurdles faced by claimants in cases involving business related human rights abuses.</w:t>
      </w:r>
    </w:p>
    <w:p w14:paraId="154BF975" w14:textId="1A863F87" w:rsidR="00392861" w:rsidRPr="00392861" w:rsidRDefault="005956E8" w:rsidP="005B5116">
      <w:pPr>
        <w:spacing w:line="240" w:lineRule="auto"/>
        <w:rPr>
          <w:rFonts w:asciiTheme="majorHAnsi" w:hAnsiTheme="majorHAnsi" w:cstheme="majorHAnsi"/>
        </w:rPr>
      </w:pPr>
      <w:r>
        <w:rPr>
          <w:rFonts w:asciiTheme="majorHAnsi" w:hAnsiTheme="majorHAnsi" w:cstheme="majorHAnsi"/>
        </w:rPr>
        <w:t>However, e</w:t>
      </w:r>
      <w:r w:rsidR="00392861">
        <w:rPr>
          <w:rFonts w:asciiTheme="majorHAnsi" w:hAnsiTheme="majorHAnsi" w:cstheme="majorHAnsi"/>
        </w:rPr>
        <w:t>ven in cases where the applicable law clearly establishes join a</w:t>
      </w:r>
      <w:r w:rsidR="004A32A4">
        <w:rPr>
          <w:rFonts w:asciiTheme="majorHAnsi" w:hAnsiTheme="majorHAnsi" w:cstheme="majorHAnsi"/>
        </w:rPr>
        <w:t>nd</w:t>
      </w:r>
      <w:r w:rsidR="00392861">
        <w:rPr>
          <w:rFonts w:asciiTheme="majorHAnsi" w:hAnsiTheme="majorHAnsi" w:cstheme="majorHAnsi"/>
        </w:rPr>
        <w:t xml:space="preserve"> several liability of parent companies for the environmental damage caused by the</w:t>
      </w:r>
      <w:r w:rsidR="00CD4E96">
        <w:rPr>
          <w:rFonts w:asciiTheme="majorHAnsi" w:hAnsiTheme="majorHAnsi" w:cstheme="majorHAnsi"/>
        </w:rPr>
        <w:t>ir</w:t>
      </w:r>
      <w:r w:rsidR="00392861">
        <w:rPr>
          <w:rFonts w:asciiTheme="majorHAnsi" w:hAnsiTheme="majorHAnsi" w:cstheme="majorHAnsi"/>
        </w:rPr>
        <w:t xml:space="preserve"> subsidiar</w:t>
      </w:r>
      <w:r w:rsidR="00CD4E96">
        <w:rPr>
          <w:rFonts w:asciiTheme="majorHAnsi" w:hAnsiTheme="majorHAnsi" w:cstheme="majorHAnsi"/>
        </w:rPr>
        <w:t>ies</w:t>
      </w:r>
      <w:r w:rsidR="00392861">
        <w:rPr>
          <w:rFonts w:asciiTheme="majorHAnsi" w:hAnsiTheme="majorHAnsi" w:cstheme="majorHAnsi"/>
        </w:rPr>
        <w:t xml:space="preserve">, parent companies operating in the extractive industries </w:t>
      </w:r>
      <w:r w:rsidR="00CD4E96">
        <w:rPr>
          <w:rFonts w:asciiTheme="majorHAnsi" w:hAnsiTheme="majorHAnsi" w:cstheme="majorHAnsi"/>
        </w:rPr>
        <w:t xml:space="preserve">often </w:t>
      </w:r>
      <w:r w:rsidR="00392861">
        <w:rPr>
          <w:rFonts w:asciiTheme="majorHAnsi" w:hAnsiTheme="majorHAnsi" w:cstheme="majorHAnsi"/>
        </w:rPr>
        <w:t xml:space="preserve">put forward arguments denying any liability for the damages caused by their subsidiaries in the global south while simultaneously making claims and public statements in relation to the sustainability of their operations and their commitments in relation to the just transition.     </w:t>
      </w:r>
    </w:p>
    <w:p w14:paraId="7ED392B5" w14:textId="77777777" w:rsidR="00CD4E96" w:rsidRPr="00346F76" w:rsidRDefault="005B5116" w:rsidP="00346F76">
      <w:pPr>
        <w:pStyle w:val="ListParagraph"/>
        <w:numPr>
          <w:ilvl w:val="0"/>
          <w:numId w:val="11"/>
        </w:numPr>
        <w:spacing w:line="240" w:lineRule="auto"/>
        <w:rPr>
          <w:rFonts w:asciiTheme="majorHAnsi" w:hAnsiTheme="majorHAnsi" w:cstheme="majorHAnsi"/>
          <w:i/>
          <w:iCs/>
        </w:rPr>
      </w:pPr>
      <w:bookmarkStart w:id="1" w:name="_Hlk134718414"/>
      <w:r w:rsidRPr="00346F76">
        <w:rPr>
          <w:rFonts w:asciiTheme="majorHAnsi" w:hAnsiTheme="majorHAnsi" w:cstheme="majorHAnsi"/>
          <w:i/>
          <w:iCs/>
        </w:rPr>
        <w:t xml:space="preserve">Barriers to collective representation </w:t>
      </w:r>
    </w:p>
    <w:bookmarkEnd w:id="1"/>
    <w:p w14:paraId="02C6A624" w14:textId="2FF60206" w:rsidR="00BA711C" w:rsidRDefault="005B5116" w:rsidP="005B5116">
      <w:pPr>
        <w:spacing w:line="240" w:lineRule="auto"/>
        <w:rPr>
          <w:rFonts w:asciiTheme="majorHAnsi" w:hAnsiTheme="majorHAnsi" w:cstheme="majorHAnsi"/>
        </w:rPr>
      </w:pPr>
      <w:r w:rsidRPr="005B5116">
        <w:rPr>
          <w:rFonts w:asciiTheme="majorHAnsi" w:hAnsiTheme="majorHAnsi" w:cstheme="majorHAnsi"/>
        </w:rPr>
        <w:lastRenderedPageBreak/>
        <w:t xml:space="preserve">Legal standing </w:t>
      </w:r>
      <w:r w:rsidR="00BA711C">
        <w:rPr>
          <w:rFonts w:asciiTheme="majorHAnsi" w:hAnsiTheme="majorHAnsi" w:cstheme="majorHAnsi"/>
        </w:rPr>
        <w:t>tends to be one of the issues discussed at the jurisdictional stage, particularly when the claimants are associations representing victims in foreign countries (usually the country where the damage occurred).</w:t>
      </w:r>
    </w:p>
    <w:p w14:paraId="7D73DE26" w14:textId="7649A833" w:rsidR="005B5116" w:rsidRPr="005A4768" w:rsidRDefault="005B5116" w:rsidP="005A4768">
      <w:pPr>
        <w:pStyle w:val="ListParagraph"/>
        <w:numPr>
          <w:ilvl w:val="0"/>
          <w:numId w:val="11"/>
        </w:numPr>
        <w:spacing w:line="240" w:lineRule="auto"/>
        <w:rPr>
          <w:rFonts w:asciiTheme="majorHAnsi" w:hAnsiTheme="majorHAnsi" w:cstheme="majorHAnsi"/>
          <w:i/>
          <w:iCs/>
        </w:rPr>
      </w:pPr>
      <w:bookmarkStart w:id="2" w:name="_Hlk134718440"/>
      <w:r w:rsidRPr="005A4768">
        <w:rPr>
          <w:rFonts w:asciiTheme="majorHAnsi" w:hAnsiTheme="majorHAnsi" w:cstheme="majorHAnsi"/>
          <w:i/>
          <w:iCs/>
        </w:rPr>
        <w:t xml:space="preserve">Disproportionate burden of proof on the claimants </w:t>
      </w:r>
    </w:p>
    <w:bookmarkEnd w:id="2"/>
    <w:p w14:paraId="39CE7CEA" w14:textId="15133C77" w:rsidR="005B5116" w:rsidRDefault="005B5116" w:rsidP="005B5116">
      <w:pPr>
        <w:spacing w:line="240" w:lineRule="auto"/>
        <w:rPr>
          <w:rFonts w:asciiTheme="majorHAnsi" w:hAnsiTheme="majorHAnsi" w:cstheme="majorHAnsi"/>
        </w:rPr>
      </w:pPr>
      <w:r w:rsidRPr="005B5116">
        <w:rPr>
          <w:rFonts w:asciiTheme="majorHAnsi" w:hAnsiTheme="majorHAnsi" w:cstheme="majorHAnsi"/>
        </w:rPr>
        <w:t xml:space="preserve">Limited access to evidence, such as internal </w:t>
      </w:r>
      <w:r>
        <w:rPr>
          <w:rFonts w:asciiTheme="majorHAnsi" w:hAnsiTheme="majorHAnsi" w:cstheme="majorHAnsi"/>
        </w:rPr>
        <w:t xml:space="preserve">company </w:t>
      </w:r>
      <w:r w:rsidRPr="005B5116">
        <w:rPr>
          <w:rFonts w:asciiTheme="majorHAnsi" w:hAnsiTheme="majorHAnsi" w:cstheme="majorHAnsi"/>
        </w:rPr>
        <w:t>documents, ma</w:t>
      </w:r>
      <w:r>
        <w:rPr>
          <w:rFonts w:asciiTheme="majorHAnsi" w:hAnsiTheme="majorHAnsi" w:cstheme="majorHAnsi"/>
        </w:rPr>
        <w:t>ke</w:t>
      </w:r>
      <w:r w:rsidRPr="005B5116">
        <w:rPr>
          <w:rFonts w:asciiTheme="majorHAnsi" w:hAnsiTheme="majorHAnsi" w:cstheme="majorHAnsi"/>
        </w:rPr>
        <w:t xml:space="preserve"> it hard for claimants to substantiate their claim.</w:t>
      </w:r>
      <w:r>
        <w:rPr>
          <w:rFonts w:asciiTheme="majorHAnsi" w:hAnsiTheme="majorHAnsi" w:cstheme="majorHAnsi"/>
        </w:rPr>
        <w:t xml:space="preserve"> Under some </w:t>
      </w:r>
      <w:r w:rsidRPr="005B5116">
        <w:rPr>
          <w:rFonts w:asciiTheme="majorHAnsi" w:hAnsiTheme="majorHAnsi" w:cstheme="majorHAnsi"/>
        </w:rPr>
        <w:t>discovery rules, claimants can only ask for specific documents if they know exactly what they are looking for and how it may help their case.</w:t>
      </w:r>
    </w:p>
    <w:p w14:paraId="0563A55B" w14:textId="77777777" w:rsidR="004653E6" w:rsidRPr="005A4768" w:rsidRDefault="004653E6" w:rsidP="005A4768">
      <w:pPr>
        <w:pStyle w:val="ListParagraph"/>
        <w:numPr>
          <w:ilvl w:val="0"/>
          <w:numId w:val="11"/>
        </w:numPr>
        <w:spacing w:line="240" w:lineRule="auto"/>
        <w:rPr>
          <w:rFonts w:asciiTheme="majorHAnsi" w:hAnsiTheme="majorHAnsi" w:cstheme="majorHAnsi"/>
          <w:i/>
          <w:iCs/>
        </w:rPr>
      </w:pPr>
      <w:bookmarkStart w:id="3" w:name="_Hlk134718469"/>
      <w:r w:rsidRPr="005A4768">
        <w:rPr>
          <w:rFonts w:asciiTheme="majorHAnsi" w:hAnsiTheme="majorHAnsi" w:cstheme="majorHAnsi"/>
          <w:i/>
          <w:iCs/>
        </w:rPr>
        <w:t>High legal costs</w:t>
      </w:r>
    </w:p>
    <w:bookmarkEnd w:id="3"/>
    <w:p w14:paraId="00C96DEC" w14:textId="77777777" w:rsidR="004653E6" w:rsidRDefault="004653E6" w:rsidP="00FC3410">
      <w:pPr>
        <w:spacing w:line="240" w:lineRule="auto"/>
        <w:rPr>
          <w:rFonts w:asciiTheme="majorHAnsi" w:hAnsiTheme="majorHAnsi" w:cstheme="majorHAnsi"/>
        </w:rPr>
      </w:pPr>
      <w:r w:rsidRPr="004653E6">
        <w:rPr>
          <w:rFonts w:asciiTheme="majorHAnsi" w:hAnsiTheme="majorHAnsi" w:cstheme="majorHAnsi"/>
        </w:rPr>
        <w:t>Costs are a major barrier to bringing civil proceedings before EU courts</w:t>
      </w:r>
      <w:r>
        <w:rPr>
          <w:rFonts w:asciiTheme="majorHAnsi" w:hAnsiTheme="majorHAnsi" w:cstheme="majorHAnsi"/>
        </w:rPr>
        <w:t xml:space="preserve">, in particular, </w:t>
      </w:r>
      <w:r w:rsidRPr="004653E6">
        <w:rPr>
          <w:rFonts w:asciiTheme="majorHAnsi" w:hAnsiTheme="majorHAnsi" w:cstheme="majorHAnsi"/>
        </w:rPr>
        <w:t>in transnational cases</w:t>
      </w:r>
      <w:r>
        <w:rPr>
          <w:rFonts w:asciiTheme="majorHAnsi" w:hAnsiTheme="majorHAnsi" w:cstheme="majorHAnsi"/>
        </w:rPr>
        <w:t>. T</w:t>
      </w:r>
      <w:r w:rsidRPr="004653E6">
        <w:rPr>
          <w:rFonts w:asciiTheme="majorHAnsi" w:hAnsiTheme="majorHAnsi" w:cstheme="majorHAnsi"/>
        </w:rPr>
        <w:t>he “loser pays” principle</w:t>
      </w:r>
      <w:r>
        <w:rPr>
          <w:rFonts w:asciiTheme="majorHAnsi" w:hAnsiTheme="majorHAnsi" w:cstheme="majorHAnsi"/>
        </w:rPr>
        <w:t xml:space="preserve"> (where </w:t>
      </w:r>
      <w:r w:rsidRPr="004653E6">
        <w:rPr>
          <w:rFonts w:asciiTheme="majorHAnsi" w:hAnsiTheme="majorHAnsi" w:cstheme="majorHAnsi"/>
        </w:rPr>
        <w:t>victims have to bear the opposing party’s costs if the defendant is found not liable</w:t>
      </w:r>
      <w:r>
        <w:rPr>
          <w:rFonts w:asciiTheme="majorHAnsi" w:hAnsiTheme="majorHAnsi" w:cstheme="majorHAnsi"/>
        </w:rPr>
        <w:t xml:space="preserve">) </w:t>
      </w:r>
      <w:r w:rsidRPr="004653E6">
        <w:rPr>
          <w:rFonts w:asciiTheme="majorHAnsi" w:hAnsiTheme="majorHAnsi" w:cstheme="majorHAnsi"/>
        </w:rPr>
        <w:t>discourages victims from pursuing a lawsuit and restricts the possibility of appeal</w:t>
      </w:r>
      <w:r>
        <w:rPr>
          <w:rFonts w:asciiTheme="majorHAnsi" w:hAnsiTheme="majorHAnsi" w:cstheme="majorHAnsi"/>
        </w:rPr>
        <w:t xml:space="preserve">. </w:t>
      </w:r>
    </w:p>
    <w:p w14:paraId="09DEA6E2" w14:textId="45B9F097" w:rsidR="00FC3410" w:rsidRDefault="004653E6" w:rsidP="00FC3410">
      <w:pPr>
        <w:spacing w:line="240" w:lineRule="auto"/>
        <w:rPr>
          <w:rFonts w:asciiTheme="majorHAnsi" w:hAnsiTheme="majorHAnsi" w:cstheme="majorHAnsi"/>
        </w:rPr>
      </w:pPr>
      <w:r>
        <w:rPr>
          <w:rFonts w:asciiTheme="majorHAnsi" w:hAnsiTheme="majorHAnsi" w:cstheme="majorHAnsi"/>
        </w:rPr>
        <w:t>R</w:t>
      </w:r>
      <w:r w:rsidRPr="004653E6">
        <w:rPr>
          <w:rFonts w:asciiTheme="majorHAnsi" w:hAnsiTheme="majorHAnsi" w:cstheme="majorHAnsi"/>
        </w:rPr>
        <w:t xml:space="preserve">ules on legal aid should take into account the very high costs that may be incurred in business and human rights transnational cases. </w:t>
      </w:r>
      <w:r>
        <w:rPr>
          <w:rFonts w:asciiTheme="majorHAnsi" w:hAnsiTheme="majorHAnsi" w:cstheme="majorHAnsi"/>
        </w:rPr>
        <w:t xml:space="preserve">Other </w:t>
      </w:r>
      <w:r w:rsidRPr="004653E6">
        <w:rPr>
          <w:rFonts w:asciiTheme="majorHAnsi" w:hAnsiTheme="majorHAnsi" w:cstheme="majorHAnsi"/>
        </w:rPr>
        <w:t xml:space="preserve">measures </w:t>
      </w:r>
      <w:r>
        <w:rPr>
          <w:rFonts w:asciiTheme="majorHAnsi" w:hAnsiTheme="majorHAnsi" w:cstheme="majorHAnsi"/>
        </w:rPr>
        <w:t xml:space="preserve">that </w:t>
      </w:r>
      <w:r w:rsidRPr="004653E6">
        <w:rPr>
          <w:rFonts w:asciiTheme="majorHAnsi" w:hAnsiTheme="majorHAnsi" w:cstheme="majorHAnsi"/>
        </w:rPr>
        <w:t xml:space="preserve">should </w:t>
      </w:r>
      <w:r w:rsidR="00CD4E96">
        <w:rPr>
          <w:rFonts w:asciiTheme="majorHAnsi" w:hAnsiTheme="majorHAnsi" w:cstheme="majorHAnsi"/>
        </w:rPr>
        <w:t xml:space="preserve">also </w:t>
      </w:r>
      <w:r w:rsidRPr="004653E6">
        <w:rPr>
          <w:rFonts w:asciiTheme="majorHAnsi" w:hAnsiTheme="majorHAnsi" w:cstheme="majorHAnsi"/>
        </w:rPr>
        <w:t>be explored includ</w:t>
      </w:r>
      <w:r>
        <w:rPr>
          <w:rFonts w:asciiTheme="majorHAnsi" w:hAnsiTheme="majorHAnsi" w:cstheme="majorHAnsi"/>
        </w:rPr>
        <w:t>e</w:t>
      </w:r>
      <w:r w:rsidR="0099420B">
        <w:rPr>
          <w:rFonts w:asciiTheme="majorHAnsi" w:hAnsiTheme="majorHAnsi" w:cstheme="majorHAnsi"/>
        </w:rPr>
        <w:t>:</w:t>
      </w:r>
      <w:r w:rsidRPr="004653E6">
        <w:rPr>
          <w:rFonts w:asciiTheme="majorHAnsi" w:hAnsiTheme="majorHAnsi" w:cstheme="majorHAnsi"/>
        </w:rPr>
        <w:t xml:space="preserve"> </w:t>
      </w:r>
      <w:r w:rsidR="0099420B">
        <w:rPr>
          <w:rFonts w:asciiTheme="majorHAnsi" w:hAnsiTheme="majorHAnsi" w:cstheme="majorHAnsi"/>
        </w:rPr>
        <w:t xml:space="preserve">(i) </w:t>
      </w:r>
      <w:r w:rsidRPr="004653E6">
        <w:rPr>
          <w:rFonts w:asciiTheme="majorHAnsi" w:hAnsiTheme="majorHAnsi" w:cstheme="majorHAnsi"/>
        </w:rPr>
        <w:t>introducing a rapid claims mechanism</w:t>
      </w:r>
      <w:r w:rsidR="0099420B">
        <w:rPr>
          <w:rFonts w:asciiTheme="majorHAnsi" w:hAnsiTheme="majorHAnsi" w:cstheme="majorHAnsi"/>
        </w:rPr>
        <w:t>;</w:t>
      </w:r>
      <w:r w:rsidRPr="004653E6">
        <w:rPr>
          <w:rFonts w:asciiTheme="majorHAnsi" w:hAnsiTheme="majorHAnsi" w:cstheme="majorHAnsi"/>
        </w:rPr>
        <w:t xml:space="preserve"> </w:t>
      </w:r>
      <w:r>
        <w:rPr>
          <w:rFonts w:asciiTheme="majorHAnsi" w:hAnsiTheme="majorHAnsi" w:cstheme="majorHAnsi"/>
        </w:rPr>
        <w:t xml:space="preserve">and </w:t>
      </w:r>
      <w:r w:rsidR="0099420B">
        <w:rPr>
          <w:rFonts w:asciiTheme="majorHAnsi" w:hAnsiTheme="majorHAnsi" w:cstheme="majorHAnsi"/>
        </w:rPr>
        <w:t xml:space="preserve">(ii) </w:t>
      </w:r>
      <w:r w:rsidRPr="004653E6">
        <w:rPr>
          <w:rFonts w:asciiTheme="majorHAnsi" w:hAnsiTheme="majorHAnsi" w:cstheme="majorHAnsi"/>
        </w:rPr>
        <w:t>facilitating third-party funding and legal expenses insurance</w:t>
      </w:r>
      <w:r w:rsidR="00436F36">
        <w:rPr>
          <w:rFonts w:asciiTheme="majorHAnsi" w:hAnsiTheme="majorHAnsi" w:cstheme="majorHAnsi"/>
        </w:rPr>
        <w:t xml:space="preserve"> for </w:t>
      </w:r>
      <w:r w:rsidR="00436F36" w:rsidRPr="004653E6">
        <w:rPr>
          <w:rFonts w:asciiTheme="majorHAnsi" w:hAnsiTheme="majorHAnsi" w:cstheme="majorHAnsi"/>
        </w:rPr>
        <w:t>business and human rights transnational cases</w:t>
      </w:r>
      <w:r w:rsidRPr="004653E6">
        <w:rPr>
          <w:rFonts w:asciiTheme="majorHAnsi" w:hAnsiTheme="majorHAnsi" w:cstheme="majorHAnsi"/>
        </w:rPr>
        <w:t>.</w:t>
      </w:r>
      <w:r>
        <w:rPr>
          <w:rStyle w:val="FootnoteReference"/>
          <w:rFonts w:asciiTheme="majorHAnsi" w:hAnsiTheme="majorHAnsi" w:cstheme="majorHAnsi"/>
        </w:rPr>
        <w:footnoteReference w:id="3"/>
      </w:r>
    </w:p>
    <w:p w14:paraId="2FFE170D" w14:textId="22A64BB1" w:rsidR="002F7390" w:rsidRPr="000717B1" w:rsidRDefault="002F7390" w:rsidP="000717B1">
      <w:pPr>
        <w:pStyle w:val="ListParagraph"/>
        <w:numPr>
          <w:ilvl w:val="0"/>
          <w:numId w:val="11"/>
        </w:numPr>
        <w:spacing w:line="240" w:lineRule="auto"/>
        <w:rPr>
          <w:rFonts w:asciiTheme="majorHAnsi" w:hAnsiTheme="majorHAnsi" w:cstheme="majorHAnsi"/>
          <w:i/>
          <w:iCs/>
        </w:rPr>
      </w:pPr>
      <w:r w:rsidRPr="000717B1">
        <w:rPr>
          <w:rFonts w:asciiTheme="majorHAnsi" w:hAnsiTheme="majorHAnsi" w:cstheme="majorHAnsi"/>
          <w:i/>
          <w:iCs/>
        </w:rPr>
        <w:t xml:space="preserve">Applicable law is foreign to the court </w:t>
      </w:r>
    </w:p>
    <w:p w14:paraId="6AD169AC" w14:textId="233CF071" w:rsidR="00E85AA8" w:rsidRPr="00E85AA8" w:rsidRDefault="00E85AA8" w:rsidP="00E85AA8">
      <w:pPr>
        <w:spacing w:line="240" w:lineRule="auto"/>
        <w:rPr>
          <w:rFonts w:asciiTheme="majorHAnsi" w:hAnsiTheme="majorHAnsi" w:cstheme="majorHAnsi"/>
          <w:lang w:val="en-US"/>
        </w:rPr>
      </w:pPr>
      <w:r>
        <w:rPr>
          <w:rFonts w:asciiTheme="majorHAnsi" w:hAnsiTheme="majorHAnsi" w:cstheme="majorHAnsi"/>
          <w:lang w:val="en-US"/>
        </w:rPr>
        <w:t>L</w:t>
      </w:r>
      <w:r w:rsidRPr="00E85AA8">
        <w:rPr>
          <w:rFonts w:asciiTheme="majorHAnsi" w:hAnsiTheme="majorHAnsi" w:cstheme="majorHAnsi"/>
          <w:lang w:val="en-US"/>
        </w:rPr>
        <w:t xml:space="preserve">itigation </w:t>
      </w:r>
      <w:r>
        <w:rPr>
          <w:rFonts w:asciiTheme="majorHAnsi" w:hAnsiTheme="majorHAnsi" w:cstheme="majorHAnsi"/>
          <w:lang w:val="en-US"/>
        </w:rPr>
        <w:t xml:space="preserve">proceedings regarding </w:t>
      </w:r>
      <w:r w:rsidRPr="00835DDC">
        <w:rPr>
          <w:rFonts w:asciiTheme="majorHAnsi" w:hAnsiTheme="majorHAnsi" w:cstheme="majorHAnsi"/>
        </w:rPr>
        <w:t>business-related human rights abuses and environmental harm</w:t>
      </w:r>
      <w:r w:rsidRPr="00E85AA8">
        <w:rPr>
          <w:rFonts w:asciiTheme="majorHAnsi" w:hAnsiTheme="majorHAnsi" w:cstheme="majorHAnsi"/>
          <w:lang w:val="en-US"/>
        </w:rPr>
        <w:t xml:space="preserve"> often involve transnational facts.</w:t>
      </w:r>
      <w:r>
        <w:rPr>
          <w:rFonts w:asciiTheme="majorHAnsi" w:hAnsiTheme="majorHAnsi" w:cstheme="majorHAnsi"/>
          <w:lang w:val="en-US"/>
        </w:rPr>
        <w:t xml:space="preserve"> </w:t>
      </w:r>
      <w:r w:rsidRPr="00E85AA8">
        <w:rPr>
          <w:rFonts w:asciiTheme="majorHAnsi" w:hAnsiTheme="majorHAnsi" w:cstheme="majorHAnsi"/>
          <w:lang w:val="en-US"/>
        </w:rPr>
        <w:t>For example, Dutch multinational companies may cause damage in third countries where they conduct business activities.</w:t>
      </w:r>
      <w:r>
        <w:rPr>
          <w:rFonts w:asciiTheme="majorHAnsi" w:hAnsiTheme="majorHAnsi" w:cstheme="majorHAnsi"/>
          <w:lang w:val="en-US"/>
        </w:rPr>
        <w:t xml:space="preserve"> </w:t>
      </w:r>
      <w:r w:rsidRPr="00E85AA8">
        <w:rPr>
          <w:rFonts w:asciiTheme="majorHAnsi" w:hAnsiTheme="majorHAnsi" w:cstheme="majorHAnsi"/>
          <w:lang w:val="en-US"/>
        </w:rPr>
        <w:t>In such scenarios, the Dutch courts will apply the relevant foreign law rather than Dutch law (</w:t>
      </w:r>
      <w:r w:rsidR="00915387">
        <w:rPr>
          <w:rFonts w:asciiTheme="majorHAnsi" w:hAnsiTheme="majorHAnsi" w:cstheme="majorHAnsi"/>
          <w:lang w:val="en-US"/>
        </w:rPr>
        <w:t>e.g.,</w:t>
      </w:r>
      <w:r w:rsidRPr="00E85AA8">
        <w:rPr>
          <w:rFonts w:asciiTheme="majorHAnsi" w:hAnsiTheme="majorHAnsi" w:cstheme="majorHAnsi"/>
          <w:lang w:val="en-US"/>
        </w:rPr>
        <w:t xml:space="preserve"> the law of the place where the damage occurred).​</w:t>
      </w:r>
    </w:p>
    <w:p w14:paraId="60B287C3" w14:textId="3B05E4C1" w:rsidR="002F7390" w:rsidRDefault="002F7390" w:rsidP="00FC3410">
      <w:pPr>
        <w:spacing w:line="240" w:lineRule="auto"/>
        <w:rPr>
          <w:rFonts w:asciiTheme="majorHAnsi" w:hAnsiTheme="majorHAnsi" w:cstheme="majorHAnsi"/>
        </w:rPr>
      </w:pPr>
      <w:r>
        <w:rPr>
          <w:rFonts w:asciiTheme="majorHAnsi" w:hAnsiTheme="majorHAnsi" w:cstheme="majorHAnsi"/>
        </w:rPr>
        <w:t>I</w:t>
      </w:r>
      <w:r w:rsidRPr="002F7390">
        <w:rPr>
          <w:rFonts w:asciiTheme="majorHAnsi" w:hAnsiTheme="majorHAnsi" w:cstheme="majorHAnsi"/>
        </w:rPr>
        <w:t>nterpreting and applying the substantive law of a foreign jurisdiction generally constitutes a barrier to remedy, as courts have to interpret it based on information from experts, without having any previous background.</w:t>
      </w:r>
      <w:r>
        <w:rPr>
          <w:rFonts w:asciiTheme="majorHAnsi" w:hAnsiTheme="majorHAnsi" w:cstheme="majorHAnsi"/>
        </w:rPr>
        <w:t xml:space="preserve"> This can be seen by some courts as a reason to consider that </w:t>
      </w:r>
      <w:r w:rsidR="00E85AA8">
        <w:rPr>
          <w:rFonts w:asciiTheme="majorHAnsi" w:hAnsiTheme="majorHAnsi" w:cstheme="majorHAnsi"/>
        </w:rPr>
        <w:t xml:space="preserve">transnational litigations </w:t>
      </w:r>
      <w:r w:rsidR="00E85AA8">
        <w:rPr>
          <w:rFonts w:asciiTheme="majorHAnsi" w:hAnsiTheme="majorHAnsi" w:cstheme="majorHAnsi"/>
          <w:lang w:val="en-US"/>
        </w:rPr>
        <w:t xml:space="preserve">regarding </w:t>
      </w:r>
      <w:r w:rsidR="00E85AA8" w:rsidRPr="00835DDC">
        <w:rPr>
          <w:rFonts w:asciiTheme="majorHAnsi" w:hAnsiTheme="majorHAnsi" w:cstheme="majorHAnsi"/>
        </w:rPr>
        <w:t>business-related human rights abuses and environmental harm</w:t>
      </w:r>
      <w:r>
        <w:rPr>
          <w:rFonts w:asciiTheme="majorHAnsi" w:hAnsiTheme="majorHAnsi" w:cstheme="majorHAnsi"/>
        </w:rPr>
        <w:t xml:space="preserve"> </w:t>
      </w:r>
      <w:r w:rsidR="00E85AA8">
        <w:rPr>
          <w:rFonts w:asciiTheme="majorHAnsi" w:hAnsiTheme="majorHAnsi" w:cstheme="majorHAnsi"/>
        </w:rPr>
        <w:t>can be unmanageable</w:t>
      </w:r>
      <w:r w:rsidR="00564A96">
        <w:rPr>
          <w:rFonts w:asciiTheme="majorHAnsi" w:hAnsiTheme="majorHAnsi" w:cstheme="majorHAnsi"/>
        </w:rPr>
        <w:t xml:space="preserve"> and an abuse of process</w:t>
      </w:r>
      <w:r w:rsidR="00E85AA8">
        <w:rPr>
          <w:rFonts w:asciiTheme="majorHAnsi" w:hAnsiTheme="majorHAnsi" w:cstheme="majorHAnsi"/>
        </w:rPr>
        <w:t>.</w:t>
      </w:r>
      <w:r w:rsidR="00564A96">
        <w:rPr>
          <w:rFonts w:asciiTheme="majorHAnsi" w:hAnsiTheme="majorHAnsi" w:cstheme="majorHAnsi"/>
        </w:rPr>
        <w:t xml:space="preserve"> However, as recognised by the Court of Appeal in the Mariana case, </w:t>
      </w:r>
      <w:r w:rsidR="00564A96" w:rsidRPr="00564A96">
        <w:rPr>
          <w:rFonts w:asciiTheme="majorHAnsi" w:hAnsiTheme="majorHAnsi" w:cstheme="majorHAnsi"/>
          <w:lang w:val="en-US"/>
        </w:rPr>
        <w:t xml:space="preserve">unmanageability could not </w:t>
      </w:r>
      <w:r w:rsidR="00211668">
        <w:rPr>
          <w:rFonts w:asciiTheme="majorHAnsi" w:hAnsiTheme="majorHAnsi" w:cstheme="majorHAnsi"/>
          <w:lang w:val="en-US"/>
        </w:rPr>
        <w:t xml:space="preserve">in </w:t>
      </w:r>
      <w:r w:rsidR="00564A96" w:rsidRPr="00564A96">
        <w:rPr>
          <w:rFonts w:asciiTheme="majorHAnsi" w:hAnsiTheme="majorHAnsi" w:cstheme="majorHAnsi"/>
          <w:lang w:val="en-US"/>
        </w:rPr>
        <w:t>itself justify a finding of abuse of process</w:t>
      </w:r>
      <w:r w:rsidR="00564A96">
        <w:rPr>
          <w:rFonts w:asciiTheme="majorHAnsi" w:hAnsiTheme="majorHAnsi" w:cstheme="majorHAnsi"/>
          <w:lang w:val="en-US"/>
        </w:rPr>
        <w:t>.</w:t>
      </w:r>
      <w:r w:rsidR="0094229F">
        <w:rPr>
          <w:rStyle w:val="FootnoteReference"/>
          <w:rFonts w:asciiTheme="majorHAnsi" w:hAnsiTheme="majorHAnsi" w:cstheme="majorHAnsi"/>
        </w:rPr>
        <w:footnoteReference w:id="4"/>
      </w:r>
    </w:p>
    <w:p w14:paraId="68382395" w14:textId="2DDF4DF4" w:rsidR="00E85AA8" w:rsidRPr="00915387" w:rsidRDefault="005956E8" w:rsidP="00915387">
      <w:pPr>
        <w:pStyle w:val="ListParagraph"/>
        <w:numPr>
          <w:ilvl w:val="0"/>
          <w:numId w:val="11"/>
        </w:numPr>
        <w:spacing w:line="240" w:lineRule="auto"/>
        <w:rPr>
          <w:rFonts w:asciiTheme="majorHAnsi" w:hAnsiTheme="majorHAnsi" w:cstheme="majorHAnsi"/>
          <w:i/>
          <w:iCs/>
        </w:rPr>
      </w:pPr>
      <w:r w:rsidRPr="00915387">
        <w:rPr>
          <w:rFonts w:asciiTheme="majorHAnsi" w:hAnsiTheme="majorHAnsi" w:cstheme="majorHAnsi"/>
          <w:i/>
          <w:iCs/>
        </w:rPr>
        <w:t>Denial of justice and i</w:t>
      </w:r>
      <w:r w:rsidR="00E85AA8" w:rsidRPr="00915387">
        <w:rPr>
          <w:rFonts w:asciiTheme="majorHAnsi" w:hAnsiTheme="majorHAnsi" w:cstheme="majorHAnsi"/>
          <w:i/>
          <w:iCs/>
        </w:rPr>
        <w:t>nability to obtain full redress in local courts</w:t>
      </w:r>
    </w:p>
    <w:p w14:paraId="1A0672DE" w14:textId="41AD7EA4" w:rsidR="00564A96" w:rsidRDefault="00564A96" w:rsidP="00FC3410">
      <w:pPr>
        <w:spacing w:line="240" w:lineRule="auto"/>
        <w:rPr>
          <w:rFonts w:asciiTheme="majorHAnsi" w:hAnsiTheme="majorHAnsi" w:cstheme="majorHAnsi"/>
        </w:rPr>
      </w:pPr>
      <w:r>
        <w:rPr>
          <w:rFonts w:asciiTheme="majorHAnsi" w:hAnsiTheme="majorHAnsi" w:cstheme="majorHAnsi"/>
        </w:rPr>
        <w:t>Significant barriers</w:t>
      </w:r>
      <w:r w:rsidRPr="00564A96">
        <w:rPr>
          <w:rFonts w:asciiTheme="majorHAnsi" w:hAnsiTheme="majorHAnsi" w:cstheme="majorHAnsi"/>
        </w:rPr>
        <w:t xml:space="preserve"> relating to effective access to justice often arise when victims of corporate human rights abuses bring proceedings in their </w:t>
      </w:r>
      <w:r>
        <w:rPr>
          <w:rFonts w:asciiTheme="majorHAnsi" w:hAnsiTheme="majorHAnsi" w:cstheme="majorHAnsi"/>
        </w:rPr>
        <w:t xml:space="preserve">local courts. </w:t>
      </w:r>
      <w:r w:rsidRPr="00564A96">
        <w:rPr>
          <w:rFonts w:asciiTheme="majorHAnsi" w:hAnsiTheme="majorHAnsi" w:cstheme="majorHAnsi"/>
        </w:rPr>
        <w:t xml:space="preserve"> </w:t>
      </w:r>
      <w:r>
        <w:rPr>
          <w:rFonts w:asciiTheme="majorHAnsi" w:hAnsiTheme="majorHAnsi" w:cstheme="majorHAnsi"/>
        </w:rPr>
        <w:t>Host States</w:t>
      </w:r>
      <w:r w:rsidRPr="00564A96">
        <w:rPr>
          <w:rFonts w:asciiTheme="majorHAnsi" w:hAnsiTheme="majorHAnsi" w:cstheme="majorHAnsi"/>
        </w:rPr>
        <w:t xml:space="preserve"> are frequently unwilling or unable to hold companies accountable for their human rights impacts</w:t>
      </w:r>
      <w:r>
        <w:rPr>
          <w:rFonts w:asciiTheme="majorHAnsi" w:hAnsiTheme="majorHAnsi" w:cstheme="majorHAnsi"/>
        </w:rPr>
        <w:t xml:space="preserve"> due to lack of resources, lack of independence in the judiciary or </w:t>
      </w:r>
      <w:r w:rsidRPr="00564A96">
        <w:rPr>
          <w:rFonts w:asciiTheme="majorHAnsi" w:hAnsiTheme="majorHAnsi" w:cstheme="majorHAnsi"/>
        </w:rPr>
        <w:t>for fear of losing foreign direct investment</w:t>
      </w:r>
      <w:r>
        <w:rPr>
          <w:rFonts w:asciiTheme="majorHAnsi" w:hAnsiTheme="majorHAnsi" w:cstheme="majorHAnsi"/>
        </w:rPr>
        <w:t xml:space="preserve">. </w:t>
      </w:r>
    </w:p>
    <w:p w14:paraId="3CAC0D33" w14:textId="3524F18A" w:rsidR="00E85AA8" w:rsidRDefault="00564A96" w:rsidP="00FC3410">
      <w:pPr>
        <w:spacing w:line="240" w:lineRule="auto"/>
        <w:rPr>
          <w:rFonts w:asciiTheme="majorHAnsi" w:hAnsiTheme="majorHAnsi" w:cstheme="majorHAnsi"/>
        </w:rPr>
      </w:pPr>
      <w:r>
        <w:rPr>
          <w:rFonts w:asciiTheme="majorHAnsi" w:hAnsiTheme="majorHAnsi" w:cstheme="majorHAnsi"/>
        </w:rPr>
        <w:t xml:space="preserve">In these cases, </w:t>
      </w:r>
      <w:r w:rsidR="00E85AA8" w:rsidRPr="00E85AA8">
        <w:rPr>
          <w:rFonts w:asciiTheme="majorHAnsi" w:hAnsiTheme="majorHAnsi" w:cstheme="majorHAnsi"/>
        </w:rPr>
        <w:t>the uncertainty as to which entities could properly bring proceedings</w:t>
      </w:r>
      <w:r>
        <w:rPr>
          <w:rFonts w:asciiTheme="majorHAnsi" w:hAnsiTheme="majorHAnsi" w:cstheme="majorHAnsi"/>
        </w:rPr>
        <w:t xml:space="preserve"> and the fact that local proceedings could last for decades constitute a </w:t>
      </w:r>
      <w:r w:rsidR="00E85AA8" w:rsidRPr="00E85AA8">
        <w:rPr>
          <w:rFonts w:asciiTheme="majorHAnsi" w:hAnsiTheme="majorHAnsi" w:cstheme="majorHAnsi"/>
        </w:rPr>
        <w:t>real risk that full redress could not be obtained. ​</w:t>
      </w:r>
    </w:p>
    <w:p w14:paraId="7260079C" w14:textId="02705927" w:rsidR="004653E6" w:rsidRPr="00982531" w:rsidRDefault="005956E8" w:rsidP="00982531">
      <w:pPr>
        <w:pStyle w:val="ListParagraph"/>
        <w:numPr>
          <w:ilvl w:val="0"/>
          <w:numId w:val="11"/>
        </w:numPr>
        <w:spacing w:line="240" w:lineRule="auto"/>
        <w:rPr>
          <w:rFonts w:asciiTheme="majorHAnsi" w:hAnsiTheme="majorHAnsi" w:cstheme="majorHAnsi"/>
          <w:i/>
          <w:iCs/>
        </w:rPr>
      </w:pPr>
      <w:bookmarkStart w:id="4" w:name="_Hlk134718545"/>
      <w:r w:rsidRPr="00982531">
        <w:rPr>
          <w:rFonts w:asciiTheme="majorHAnsi" w:hAnsiTheme="majorHAnsi" w:cstheme="majorHAnsi"/>
          <w:i/>
          <w:iCs/>
        </w:rPr>
        <w:t>Difficulties in accessing home State courts</w:t>
      </w:r>
    </w:p>
    <w:bookmarkEnd w:id="4"/>
    <w:p w14:paraId="5C081914" w14:textId="7C004C30" w:rsidR="005956E8" w:rsidRDefault="005956E8" w:rsidP="00FC3410">
      <w:pPr>
        <w:spacing w:line="240" w:lineRule="auto"/>
        <w:rPr>
          <w:rFonts w:asciiTheme="majorHAnsi" w:hAnsiTheme="majorHAnsi" w:cstheme="majorHAnsi"/>
        </w:rPr>
      </w:pPr>
      <w:r>
        <w:rPr>
          <w:rFonts w:asciiTheme="majorHAnsi" w:hAnsiTheme="majorHAnsi" w:cstheme="majorHAnsi"/>
        </w:rPr>
        <w:t>E</w:t>
      </w:r>
      <w:r w:rsidRPr="005956E8">
        <w:rPr>
          <w:rFonts w:asciiTheme="majorHAnsi" w:hAnsiTheme="majorHAnsi" w:cstheme="majorHAnsi"/>
        </w:rPr>
        <w:t xml:space="preserve">stablishing jurisdiction in the </w:t>
      </w:r>
      <w:r w:rsidR="00CB46EF">
        <w:rPr>
          <w:rFonts w:asciiTheme="majorHAnsi" w:hAnsiTheme="majorHAnsi" w:cstheme="majorHAnsi"/>
        </w:rPr>
        <w:t xml:space="preserve">parent </w:t>
      </w:r>
      <w:r w:rsidRPr="005956E8">
        <w:rPr>
          <w:rFonts w:asciiTheme="majorHAnsi" w:hAnsiTheme="majorHAnsi" w:cstheme="majorHAnsi"/>
        </w:rPr>
        <w:t xml:space="preserve">company’s home State can prove difficult for claimants who are faced with </w:t>
      </w:r>
      <w:r w:rsidR="00B71A7B">
        <w:rPr>
          <w:rFonts w:asciiTheme="majorHAnsi" w:hAnsiTheme="majorHAnsi" w:cstheme="majorHAnsi"/>
        </w:rPr>
        <w:t xml:space="preserve">multiple </w:t>
      </w:r>
      <w:r w:rsidRPr="005956E8">
        <w:rPr>
          <w:rFonts w:asciiTheme="majorHAnsi" w:hAnsiTheme="majorHAnsi" w:cstheme="majorHAnsi"/>
        </w:rPr>
        <w:t>jurisdiction</w:t>
      </w:r>
      <w:r w:rsidR="00B71A7B">
        <w:rPr>
          <w:rFonts w:asciiTheme="majorHAnsi" w:hAnsiTheme="majorHAnsi" w:cstheme="majorHAnsi"/>
        </w:rPr>
        <w:t>al challenges</w:t>
      </w:r>
      <w:r w:rsidRPr="005956E8">
        <w:rPr>
          <w:rFonts w:asciiTheme="majorHAnsi" w:hAnsiTheme="majorHAnsi" w:cstheme="majorHAnsi"/>
        </w:rPr>
        <w:t>.</w:t>
      </w:r>
      <w:r w:rsidR="00B309B2">
        <w:rPr>
          <w:rStyle w:val="FootnoteReference"/>
          <w:rFonts w:asciiTheme="majorHAnsi" w:hAnsiTheme="majorHAnsi" w:cstheme="majorHAnsi"/>
        </w:rPr>
        <w:footnoteReference w:id="5"/>
      </w:r>
      <w:r w:rsidR="00B71A7B">
        <w:rPr>
          <w:rFonts w:asciiTheme="majorHAnsi" w:hAnsiTheme="majorHAnsi" w:cstheme="majorHAnsi"/>
        </w:rPr>
        <w:t xml:space="preserve"> T</w:t>
      </w:r>
      <w:r w:rsidRPr="005956E8">
        <w:rPr>
          <w:rFonts w:asciiTheme="majorHAnsi" w:hAnsiTheme="majorHAnsi" w:cstheme="majorHAnsi"/>
        </w:rPr>
        <w:t xml:space="preserve">he doctrine of </w:t>
      </w:r>
      <w:r w:rsidRPr="00B71A7B">
        <w:rPr>
          <w:rFonts w:asciiTheme="majorHAnsi" w:hAnsiTheme="majorHAnsi" w:cstheme="majorHAnsi"/>
          <w:i/>
          <w:iCs/>
        </w:rPr>
        <w:t xml:space="preserve">forum non </w:t>
      </w:r>
      <w:proofErr w:type="spellStart"/>
      <w:r w:rsidRPr="00B71A7B">
        <w:rPr>
          <w:rFonts w:asciiTheme="majorHAnsi" w:hAnsiTheme="majorHAnsi" w:cstheme="majorHAnsi"/>
          <w:i/>
          <w:iCs/>
        </w:rPr>
        <w:t>conveniens</w:t>
      </w:r>
      <w:proofErr w:type="spellEnd"/>
      <w:r w:rsidRPr="005956E8">
        <w:rPr>
          <w:rFonts w:asciiTheme="majorHAnsi" w:hAnsiTheme="majorHAnsi" w:cstheme="majorHAnsi"/>
        </w:rPr>
        <w:t xml:space="preserve">, can prevent a </w:t>
      </w:r>
      <w:r w:rsidRPr="005956E8">
        <w:rPr>
          <w:rFonts w:asciiTheme="majorHAnsi" w:hAnsiTheme="majorHAnsi" w:cstheme="majorHAnsi"/>
        </w:rPr>
        <w:lastRenderedPageBreak/>
        <w:t xml:space="preserve">case from moving forward in </w:t>
      </w:r>
      <w:r w:rsidR="00B71A7B" w:rsidRPr="005956E8">
        <w:rPr>
          <w:rFonts w:asciiTheme="majorHAnsi" w:hAnsiTheme="majorHAnsi" w:cstheme="majorHAnsi"/>
        </w:rPr>
        <w:t xml:space="preserve">the </w:t>
      </w:r>
      <w:r w:rsidR="00CB46EF">
        <w:rPr>
          <w:rFonts w:asciiTheme="majorHAnsi" w:hAnsiTheme="majorHAnsi" w:cstheme="majorHAnsi"/>
        </w:rPr>
        <w:t xml:space="preserve">parent </w:t>
      </w:r>
      <w:r w:rsidR="00B71A7B" w:rsidRPr="005956E8">
        <w:rPr>
          <w:rFonts w:asciiTheme="majorHAnsi" w:hAnsiTheme="majorHAnsi" w:cstheme="majorHAnsi"/>
        </w:rPr>
        <w:t xml:space="preserve">company’s home State </w:t>
      </w:r>
      <w:r w:rsidRPr="005956E8">
        <w:rPr>
          <w:rFonts w:asciiTheme="majorHAnsi" w:hAnsiTheme="majorHAnsi" w:cstheme="majorHAnsi"/>
        </w:rPr>
        <w:t xml:space="preserve">on the basis that another jurisdiction is the more appropriate </w:t>
      </w:r>
      <w:r w:rsidR="00B71A7B">
        <w:rPr>
          <w:rFonts w:asciiTheme="majorHAnsi" w:hAnsiTheme="majorHAnsi" w:cstheme="majorHAnsi"/>
        </w:rPr>
        <w:t>forum</w:t>
      </w:r>
      <w:r w:rsidRPr="005956E8">
        <w:rPr>
          <w:rFonts w:asciiTheme="majorHAnsi" w:hAnsiTheme="majorHAnsi" w:cstheme="majorHAnsi"/>
        </w:rPr>
        <w:t xml:space="preserve"> for the case due to the location of the parties, witnesses, evidence,</w:t>
      </w:r>
      <w:r w:rsidR="00B71A7B">
        <w:rPr>
          <w:rFonts w:asciiTheme="majorHAnsi" w:hAnsiTheme="majorHAnsi" w:cstheme="majorHAnsi"/>
        </w:rPr>
        <w:t xml:space="preserve"> etc</w:t>
      </w:r>
      <w:r w:rsidR="00E23A13">
        <w:rPr>
          <w:rFonts w:asciiTheme="majorHAnsi" w:hAnsiTheme="majorHAnsi" w:cstheme="majorHAnsi"/>
        </w:rPr>
        <w:t>.</w:t>
      </w:r>
      <w:r w:rsidRPr="005956E8">
        <w:rPr>
          <w:rFonts w:asciiTheme="majorHAnsi" w:hAnsiTheme="majorHAnsi" w:cstheme="majorHAnsi"/>
        </w:rPr>
        <w:t xml:space="preserve"> and the</w:t>
      </w:r>
      <w:r w:rsidR="00B71A7B">
        <w:rPr>
          <w:rFonts w:asciiTheme="majorHAnsi" w:hAnsiTheme="majorHAnsi" w:cstheme="majorHAnsi"/>
        </w:rPr>
        <w:t xml:space="preserve"> fact that</w:t>
      </w:r>
      <w:r w:rsidRPr="005956E8">
        <w:rPr>
          <w:rFonts w:asciiTheme="majorHAnsi" w:hAnsiTheme="majorHAnsi" w:cstheme="majorHAnsi"/>
        </w:rPr>
        <w:t xml:space="preserve"> local court</w:t>
      </w:r>
      <w:r w:rsidR="00CB46EF">
        <w:rPr>
          <w:rFonts w:asciiTheme="majorHAnsi" w:hAnsiTheme="majorHAnsi" w:cstheme="majorHAnsi"/>
        </w:rPr>
        <w:t>s</w:t>
      </w:r>
      <w:r w:rsidRPr="005956E8">
        <w:rPr>
          <w:rFonts w:asciiTheme="majorHAnsi" w:hAnsiTheme="majorHAnsi" w:cstheme="majorHAnsi"/>
        </w:rPr>
        <w:t xml:space="preserve"> </w:t>
      </w:r>
      <w:r w:rsidR="00B71A7B">
        <w:rPr>
          <w:rFonts w:asciiTheme="majorHAnsi" w:hAnsiTheme="majorHAnsi" w:cstheme="majorHAnsi"/>
        </w:rPr>
        <w:t>are</w:t>
      </w:r>
      <w:r w:rsidRPr="005956E8">
        <w:rPr>
          <w:rFonts w:asciiTheme="majorHAnsi" w:hAnsiTheme="majorHAnsi" w:cstheme="majorHAnsi"/>
        </w:rPr>
        <w:t xml:space="preserve"> more familiar with the local law</w:t>
      </w:r>
      <w:r w:rsidR="00CB46EF">
        <w:rPr>
          <w:rFonts w:asciiTheme="majorHAnsi" w:hAnsiTheme="majorHAnsi" w:cstheme="majorHAnsi"/>
        </w:rPr>
        <w:t xml:space="preserve"> (</w:t>
      </w:r>
      <w:r w:rsidRPr="005956E8">
        <w:rPr>
          <w:rFonts w:asciiTheme="majorHAnsi" w:hAnsiTheme="majorHAnsi" w:cstheme="majorHAnsi"/>
        </w:rPr>
        <w:t>which is often the law applied in the case</w:t>
      </w:r>
      <w:r w:rsidR="00CB46EF">
        <w:rPr>
          <w:rFonts w:asciiTheme="majorHAnsi" w:hAnsiTheme="majorHAnsi" w:cstheme="majorHAnsi"/>
        </w:rPr>
        <w:t>)</w:t>
      </w:r>
      <w:r w:rsidR="00B71A7B">
        <w:rPr>
          <w:rFonts w:asciiTheme="majorHAnsi" w:hAnsiTheme="majorHAnsi" w:cstheme="majorHAnsi"/>
        </w:rPr>
        <w:t xml:space="preserve">. </w:t>
      </w:r>
      <w:r w:rsidRPr="005956E8">
        <w:rPr>
          <w:rFonts w:asciiTheme="majorHAnsi" w:hAnsiTheme="majorHAnsi" w:cstheme="majorHAnsi"/>
        </w:rPr>
        <w:t xml:space="preserve"> </w:t>
      </w:r>
    </w:p>
    <w:p w14:paraId="2B18DAA7" w14:textId="724334D2" w:rsidR="005956E8" w:rsidRDefault="005956E8" w:rsidP="00FC3410">
      <w:pPr>
        <w:spacing w:line="240" w:lineRule="auto"/>
        <w:rPr>
          <w:rFonts w:asciiTheme="majorHAnsi" w:hAnsiTheme="majorHAnsi" w:cstheme="majorHAnsi"/>
        </w:rPr>
      </w:pPr>
      <w:r w:rsidRPr="005956E8">
        <w:rPr>
          <w:rFonts w:asciiTheme="majorHAnsi" w:hAnsiTheme="majorHAnsi" w:cstheme="majorHAnsi"/>
        </w:rPr>
        <w:t xml:space="preserve">Although the European Court of Justice (ECJ) has ruled out the applicability of the doctrine of </w:t>
      </w:r>
      <w:r w:rsidRPr="00CB46EF">
        <w:rPr>
          <w:rFonts w:asciiTheme="majorHAnsi" w:hAnsiTheme="majorHAnsi" w:cstheme="majorHAnsi"/>
          <w:i/>
          <w:iCs/>
        </w:rPr>
        <w:t xml:space="preserve">forum non </w:t>
      </w:r>
      <w:proofErr w:type="spellStart"/>
      <w:r w:rsidRPr="00CB46EF">
        <w:rPr>
          <w:rFonts w:asciiTheme="majorHAnsi" w:hAnsiTheme="majorHAnsi" w:cstheme="majorHAnsi"/>
          <w:i/>
          <w:iCs/>
        </w:rPr>
        <w:t>conveniens</w:t>
      </w:r>
      <w:proofErr w:type="spellEnd"/>
      <w:r w:rsidR="00B71A7B">
        <w:rPr>
          <w:rFonts w:asciiTheme="majorHAnsi" w:hAnsiTheme="majorHAnsi" w:cstheme="majorHAnsi"/>
        </w:rPr>
        <w:t xml:space="preserve"> </w:t>
      </w:r>
      <w:r w:rsidRPr="005956E8">
        <w:rPr>
          <w:rFonts w:asciiTheme="majorHAnsi" w:hAnsiTheme="majorHAnsi" w:cstheme="majorHAnsi"/>
        </w:rPr>
        <w:t>in claims against EU domiciled defendants brought before</w:t>
      </w:r>
      <w:r w:rsidR="00CB46EF">
        <w:rPr>
          <w:rFonts w:asciiTheme="majorHAnsi" w:hAnsiTheme="majorHAnsi" w:cstheme="majorHAnsi"/>
        </w:rPr>
        <w:t xml:space="preserve"> the</w:t>
      </w:r>
      <w:r w:rsidRPr="005956E8">
        <w:rPr>
          <w:rFonts w:asciiTheme="majorHAnsi" w:hAnsiTheme="majorHAnsi" w:cstheme="majorHAnsi"/>
        </w:rPr>
        <w:t xml:space="preserve"> courts</w:t>
      </w:r>
      <w:r w:rsidR="00CB46EF">
        <w:rPr>
          <w:rFonts w:asciiTheme="majorHAnsi" w:hAnsiTheme="majorHAnsi" w:cstheme="majorHAnsi"/>
        </w:rPr>
        <w:t xml:space="preserve"> of EU member states</w:t>
      </w:r>
      <w:r w:rsidRPr="005956E8">
        <w:rPr>
          <w:rFonts w:asciiTheme="majorHAnsi" w:hAnsiTheme="majorHAnsi" w:cstheme="majorHAnsi"/>
        </w:rPr>
        <w:t>,</w:t>
      </w:r>
      <w:r w:rsidR="00B71A7B">
        <w:rPr>
          <w:rStyle w:val="FootnoteReference"/>
          <w:rFonts w:asciiTheme="majorHAnsi" w:hAnsiTheme="majorHAnsi" w:cstheme="majorHAnsi"/>
        </w:rPr>
        <w:footnoteReference w:id="6"/>
      </w:r>
      <w:r w:rsidRPr="005956E8">
        <w:rPr>
          <w:rFonts w:asciiTheme="majorHAnsi" w:hAnsiTheme="majorHAnsi" w:cstheme="majorHAnsi"/>
        </w:rPr>
        <w:t xml:space="preserve"> </w:t>
      </w:r>
      <w:r w:rsidR="00CB46EF">
        <w:rPr>
          <w:rFonts w:asciiTheme="majorHAnsi" w:hAnsiTheme="majorHAnsi" w:cstheme="majorHAnsi"/>
        </w:rPr>
        <w:t>t</w:t>
      </w:r>
      <w:r w:rsidR="00CB46EF" w:rsidRPr="005956E8">
        <w:rPr>
          <w:rFonts w:asciiTheme="majorHAnsi" w:hAnsiTheme="majorHAnsi" w:cstheme="majorHAnsi"/>
        </w:rPr>
        <w:t xml:space="preserve">he doctrine of </w:t>
      </w:r>
      <w:r w:rsidR="00CB46EF" w:rsidRPr="00B71A7B">
        <w:rPr>
          <w:rFonts w:asciiTheme="majorHAnsi" w:hAnsiTheme="majorHAnsi" w:cstheme="majorHAnsi"/>
          <w:i/>
          <w:iCs/>
        </w:rPr>
        <w:t xml:space="preserve">forum non </w:t>
      </w:r>
      <w:proofErr w:type="spellStart"/>
      <w:r w:rsidR="00CB46EF" w:rsidRPr="00B71A7B">
        <w:rPr>
          <w:rFonts w:asciiTheme="majorHAnsi" w:hAnsiTheme="majorHAnsi" w:cstheme="majorHAnsi"/>
          <w:i/>
          <w:iCs/>
        </w:rPr>
        <w:t>conveniens</w:t>
      </w:r>
      <w:proofErr w:type="spellEnd"/>
      <w:r w:rsidR="00CB46EF">
        <w:rPr>
          <w:rFonts w:asciiTheme="majorHAnsi" w:hAnsiTheme="majorHAnsi" w:cstheme="majorHAnsi"/>
        </w:rPr>
        <w:t xml:space="preserve"> is still </w:t>
      </w:r>
      <w:r w:rsidRPr="005956E8">
        <w:rPr>
          <w:rFonts w:asciiTheme="majorHAnsi" w:hAnsiTheme="majorHAnsi" w:cstheme="majorHAnsi"/>
        </w:rPr>
        <w:t xml:space="preserve">applicable in many common law countries such as Canada, the USA and Australia and </w:t>
      </w:r>
      <w:r w:rsidR="00CB46EF">
        <w:rPr>
          <w:rFonts w:asciiTheme="majorHAnsi" w:hAnsiTheme="majorHAnsi" w:cstheme="majorHAnsi"/>
        </w:rPr>
        <w:t>more recently</w:t>
      </w:r>
      <w:r w:rsidRPr="005956E8">
        <w:rPr>
          <w:rFonts w:asciiTheme="majorHAnsi" w:hAnsiTheme="majorHAnsi" w:cstheme="majorHAnsi"/>
        </w:rPr>
        <w:t xml:space="preserve"> in cases involving UK domiciled defendants following Brexit.</w:t>
      </w:r>
    </w:p>
    <w:p w14:paraId="262022DD" w14:textId="5C06CA01" w:rsidR="008F2834" w:rsidRPr="008F2834" w:rsidRDefault="008F2834" w:rsidP="008F2834">
      <w:pPr>
        <w:spacing w:line="240" w:lineRule="auto"/>
        <w:rPr>
          <w:rFonts w:asciiTheme="majorHAnsi" w:hAnsiTheme="majorHAnsi" w:cstheme="majorHAnsi"/>
        </w:rPr>
      </w:pPr>
      <w:r>
        <w:rPr>
          <w:rFonts w:asciiTheme="majorHAnsi" w:hAnsiTheme="majorHAnsi" w:cstheme="majorHAnsi"/>
        </w:rPr>
        <w:t>Taking these challenges int</w:t>
      </w:r>
      <w:r w:rsidR="00BA711C">
        <w:rPr>
          <w:rFonts w:asciiTheme="majorHAnsi" w:hAnsiTheme="majorHAnsi" w:cstheme="majorHAnsi"/>
        </w:rPr>
        <w:t>o</w:t>
      </w:r>
      <w:r>
        <w:rPr>
          <w:rFonts w:asciiTheme="majorHAnsi" w:hAnsiTheme="majorHAnsi" w:cstheme="majorHAnsi"/>
        </w:rPr>
        <w:t xml:space="preserve"> consideration </w:t>
      </w:r>
      <w:r w:rsidRPr="00D55DF8">
        <w:rPr>
          <w:rFonts w:asciiTheme="majorHAnsi" w:hAnsiTheme="majorHAnsi" w:cstheme="majorHAnsi"/>
        </w:rPr>
        <w:t>extractive sector legislation</w:t>
      </w:r>
      <w:r>
        <w:rPr>
          <w:rFonts w:asciiTheme="majorHAnsi" w:hAnsiTheme="majorHAnsi" w:cstheme="majorHAnsi"/>
        </w:rPr>
        <w:t xml:space="preserve"> should provide for </w:t>
      </w:r>
      <w:r w:rsidRPr="008F2834">
        <w:rPr>
          <w:rFonts w:asciiTheme="majorHAnsi" w:hAnsiTheme="majorHAnsi" w:cstheme="majorHAnsi"/>
        </w:rPr>
        <w:t>corporate due diligence rules</w:t>
      </w:r>
      <w:r>
        <w:rPr>
          <w:rFonts w:asciiTheme="majorHAnsi" w:hAnsiTheme="majorHAnsi" w:cstheme="majorHAnsi"/>
        </w:rPr>
        <w:t xml:space="preserve"> that</w:t>
      </w:r>
      <w:r w:rsidRPr="008F2834">
        <w:rPr>
          <w:rFonts w:asciiTheme="majorHAnsi" w:hAnsiTheme="majorHAnsi" w:cstheme="majorHAnsi"/>
        </w:rPr>
        <w:t>:</w:t>
      </w:r>
    </w:p>
    <w:p w14:paraId="39E64DA1" w14:textId="01A7A2B0" w:rsidR="008F2834" w:rsidRPr="00BA711C" w:rsidRDefault="008F2834" w:rsidP="00BA711C">
      <w:pPr>
        <w:pStyle w:val="ListParagraph"/>
        <w:numPr>
          <w:ilvl w:val="0"/>
          <w:numId w:val="9"/>
        </w:numPr>
        <w:spacing w:line="240" w:lineRule="auto"/>
        <w:rPr>
          <w:rFonts w:asciiTheme="majorHAnsi" w:hAnsiTheme="majorHAnsi" w:cstheme="majorHAnsi"/>
        </w:rPr>
      </w:pPr>
      <w:r w:rsidRPr="00BA711C">
        <w:rPr>
          <w:rFonts w:asciiTheme="majorHAnsi" w:hAnsiTheme="majorHAnsi" w:cstheme="majorHAnsi"/>
        </w:rPr>
        <w:t xml:space="preserve">Require companies </w:t>
      </w:r>
      <w:r w:rsidR="00575B80">
        <w:rPr>
          <w:rFonts w:asciiTheme="majorHAnsi" w:hAnsiTheme="majorHAnsi" w:cstheme="majorHAnsi"/>
        </w:rPr>
        <w:t xml:space="preserve">operating in the extractive sector </w:t>
      </w:r>
      <w:r w:rsidRPr="00BA711C">
        <w:rPr>
          <w:rFonts w:asciiTheme="majorHAnsi" w:hAnsiTheme="majorHAnsi" w:cstheme="majorHAnsi"/>
        </w:rPr>
        <w:t xml:space="preserve">to take adequate and effective measures </w:t>
      </w:r>
      <w:r w:rsidR="001137BE">
        <w:rPr>
          <w:rFonts w:asciiTheme="majorHAnsi" w:hAnsiTheme="majorHAnsi" w:cstheme="majorHAnsi"/>
        </w:rPr>
        <w:t>t</w:t>
      </w:r>
      <w:r w:rsidRPr="00BA711C">
        <w:rPr>
          <w:rFonts w:asciiTheme="majorHAnsi" w:hAnsiTheme="majorHAnsi" w:cstheme="majorHAnsi"/>
        </w:rPr>
        <w:t xml:space="preserve">o ensure respect for human rights and the environment </w:t>
      </w:r>
      <w:r w:rsidR="001137BE">
        <w:rPr>
          <w:rFonts w:asciiTheme="majorHAnsi" w:hAnsiTheme="majorHAnsi" w:cstheme="majorHAnsi"/>
        </w:rPr>
        <w:t>in</w:t>
      </w:r>
      <w:r w:rsidRPr="00BA711C">
        <w:rPr>
          <w:rFonts w:asciiTheme="majorHAnsi" w:hAnsiTheme="majorHAnsi" w:cstheme="majorHAnsi"/>
        </w:rPr>
        <w:t xml:space="preserve"> their value chains</w:t>
      </w:r>
      <w:r w:rsidR="006972BF">
        <w:rPr>
          <w:rFonts w:asciiTheme="majorHAnsi" w:hAnsiTheme="majorHAnsi" w:cstheme="majorHAnsi"/>
        </w:rPr>
        <w:t xml:space="preserve"> (not only supply chains)</w:t>
      </w:r>
      <w:r w:rsidRPr="00BA711C">
        <w:rPr>
          <w:rFonts w:asciiTheme="majorHAnsi" w:hAnsiTheme="majorHAnsi" w:cstheme="majorHAnsi"/>
        </w:rPr>
        <w:t>.</w:t>
      </w:r>
    </w:p>
    <w:p w14:paraId="28F55A24" w14:textId="3F804B8F" w:rsidR="00575B80" w:rsidRPr="00BA711C" w:rsidRDefault="00575B80" w:rsidP="00575B80">
      <w:pPr>
        <w:pStyle w:val="ListParagraph"/>
        <w:numPr>
          <w:ilvl w:val="0"/>
          <w:numId w:val="9"/>
        </w:numPr>
        <w:spacing w:line="240" w:lineRule="auto"/>
        <w:rPr>
          <w:rFonts w:asciiTheme="majorHAnsi" w:hAnsiTheme="majorHAnsi" w:cstheme="majorHAnsi"/>
        </w:rPr>
      </w:pPr>
      <w:r w:rsidRPr="00BA711C">
        <w:rPr>
          <w:rFonts w:asciiTheme="majorHAnsi" w:hAnsiTheme="majorHAnsi" w:cstheme="majorHAnsi"/>
        </w:rPr>
        <w:t>Include parent company and value chain civil liability</w:t>
      </w:r>
      <w:r>
        <w:rPr>
          <w:rFonts w:asciiTheme="majorHAnsi" w:hAnsiTheme="majorHAnsi" w:cstheme="majorHAnsi"/>
        </w:rPr>
        <w:t xml:space="preserve"> </w:t>
      </w:r>
      <w:r w:rsidRPr="00BA711C">
        <w:rPr>
          <w:rFonts w:asciiTheme="majorHAnsi" w:hAnsiTheme="majorHAnsi" w:cstheme="majorHAnsi"/>
        </w:rPr>
        <w:t>for human rights</w:t>
      </w:r>
      <w:r>
        <w:rPr>
          <w:rFonts w:asciiTheme="majorHAnsi" w:hAnsiTheme="majorHAnsi" w:cstheme="majorHAnsi"/>
        </w:rPr>
        <w:t xml:space="preserve"> abuses</w:t>
      </w:r>
      <w:r w:rsidRPr="00BA711C">
        <w:rPr>
          <w:rFonts w:asciiTheme="majorHAnsi" w:hAnsiTheme="majorHAnsi" w:cstheme="majorHAnsi"/>
        </w:rPr>
        <w:t xml:space="preserve"> and  environment</w:t>
      </w:r>
      <w:r>
        <w:rPr>
          <w:rFonts w:asciiTheme="majorHAnsi" w:hAnsiTheme="majorHAnsi" w:cstheme="majorHAnsi"/>
        </w:rPr>
        <w:t>al damage</w:t>
      </w:r>
      <w:r w:rsidRPr="00BA711C">
        <w:rPr>
          <w:rFonts w:asciiTheme="majorHAnsi" w:hAnsiTheme="majorHAnsi" w:cstheme="majorHAnsi"/>
        </w:rPr>
        <w:t>.</w:t>
      </w:r>
    </w:p>
    <w:p w14:paraId="63ABD68F" w14:textId="29A9016E" w:rsidR="008F2834" w:rsidRPr="00BA711C" w:rsidRDefault="008F2834" w:rsidP="00BA711C">
      <w:pPr>
        <w:pStyle w:val="ListParagraph"/>
        <w:numPr>
          <w:ilvl w:val="0"/>
          <w:numId w:val="9"/>
        </w:numPr>
        <w:spacing w:line="240" w:lineRule="auto"/>
        <w:rPr>
          <w:rFonts w:asciiTheme="majorHAnsi" w:hAnsiTheme="majorHAnsi" w:cstheme="majorHAnsi"/>
        </w:rPr>
      </w:pPr>
      <w:r w:rsidRPr="00BA711C">
        <w:rPr>
          <w:rFonts w:asciiTheme="majorHAnsi" w:hAnsiTheme="majorHAnsi" w:cstheme="majorHAnsi"/>
        </w:rPr>
        <w:t>Establish specific requirements for environmental protection</w:t>
      </w:r>
      <w:r w:rsidR="00AE30AF">
        <w:rPr>
          <w:rFonts w:asciiTheme="majorHAnsi" w:hAnsiTheme="majorHAnsi" w:cstheme="majorHAnsi"/>
        </w:rPr>
        <w:t xml:space="preserve">, </w:t>
      </w:r>
      <w:r w:rsidRPr="00BA711C">
        <w:rPr>
          <w:rFonts w:asciiTheme="majorHAnsi" w:hAnsiTheme="majorHAnsi" w:cstheme="majorHAnsi"/>
        </w:rPr>
        <w:t>cover</w:t>
      </w:r>
      <w:r w:rsidR="00AE30AF">
        <w:rPr>
          <w:rFonts w:asciiTheme="majorHAnsi" w:hAnsiTheme="majorHAnsi" w:cstheme="majorHAnsi"/>
        </w:rPr>
        <w:t>ing</w:t>
      </w:r>
      <w:r w:rsidRPr="00BA711C">
        <w:rPr>
          <w:rFonts w:asciiTheme="majorHAnsi" w:hAnsiTheme="majorHAnsi" w:cstheme="majorHAnsi"/>
        </w:rPr>
        <w:t xml:space="preserve"> all potential or actual adverse impacts on the environment</w:t>
      </w:r>
      <w:r w:rsidR="009E4855">
        <w:rPr>
          <w:rFonts w:asciiTheme="majorHAnsi" w:hAnsiTheme="majorHAnsi" w:cstheme="majorHAnsi"/>
        </w:rPr>
        <w:t xml:space="preserve"> (i.e., </w:t>
      </w:r>
      <w:r w:rsidRPr="00BA711C">
        <w:rPr>
          <w:rFonts w:asciiTheme="majorHAnsi" w:hAnsiTheme="majorHAnsi" w:cstheme="majorHAnsi"/>
        </w:rPr>
        <w:t>air, soil and water pollution</w:t>
      </w:r>
      <w:r w:rsidR="009E4855">
        <w:rPr>
          <w:rFonts w:asciiTheme="majorHAnsi" w:hAnsiTheme="majorHAnsi" w:cstheme="majorHAnsi"/>
        </w:rPr>
        <w:t>)</w:t>
      </w:r>
      <w:r w:rsidRPr="00BA711C">
        <w:rPr>
          <w:rFonts w:asciiTheme="majorHAnsi" w:hAnsiTheme="majorHAnsi" w:cstheme="majorHAnsi"/>
        </w:rPr>
        <w:t>.</w:t>
      </w:r>
    </w:p>
    <w:p w14:paraId="2D4CB293" w14:textId="3A226B00" w:rsidR="00352C4F" w:rsidRPr="00BA711C" w:rsidRDefault="008F2834" w:rsidP="00BA711C">
      <w:pPr>
        <w:pStyle w:val="ListParagraph"/>
        <w:numPr>
          <w:ilvl w:val="0"/>
          <w:numId w:val="9"/>
        </w:numPr>
        <w:spacing w:line="240" w:lineRule="auto"/>
        <w:rPr>
          <w:rFonts w:asciiTheme="majorHAnsi" w:hAnsiTheme="majorHAnsi" w:cstheme="majorHAnsi"/>
        </w:rPr>
      </w:pPr>
      <w:r w:rsidRPr="00BA711C">
        <w:rPr>
          <w:rFonts w:asciiTheme="majorHAnsi" w:hAnsiTheme="majorHAnsi" w:cstheme="majorHAnsi"/>
        </w:rPr>
        <w:t xml:space="preserve">Provide for collective redress, as well as for representative actions by </w:t>
      </w:r>
      <w:r w:rsidR="009E4855">
        <w:rPr>
          <w:rFonts w:asciiTheme="majorHAnsi" w:hAnsiTheme="majorHAnsi" w:cstheme="majorHAnsi"/>
        </w:rPr>
        <w:t xml:space="preserve">affected </w:t>
      </w:r>
      <w:r w:rsidR="00D73F77">
        <w:rPr>
          <w:rFonts w:asciiTheme="majorHAnsi" w:hAnsiTheme="majorHAnsi" w:cstheme="majorHAnsi"/>
        </w:rPr>
        <w:t xml:space="preserve">victims, </w:t>
      </w:r>
      <w:r w:rsidRPr="00BA711C">
        <w:rPr>
          <w:rFonts w:asciiTheme="majorHAnsi" w:hAnsiTheme="majorHAnsi" w:cstheme="majorHAnsi"/>
        </w:rPr>
        <w:t>civil society organisations and</w:t>
      </w:r>
      <w:r w:rsidR="00D73F77">
        <w:rPr>
          <w:rFonts w:asciiTheme="majorHAnsi" w:hAnsiTheme="majorHAnsi" w:cstheme="majorHAnsi"/>
        </w:rPr>
        <w:t>/or</w:t>
      </w:r>
      <w:r w:rsidRPr="00BA711C">
        <w:rPr>
          <w:rFonts w:asciiTheme="majorHAnsi" w:hAnsiTheme="majorHAnsi" w:cstheme="majorHAnsi"/>
        </w:rPr>
        <w:t xml:space="preserve"> trade unions, in cases of corporate abuse.</w:t>
      </w:r>
    </w:p>
    <w:p w14:paraId="2E4828B6" w14:textId="56D06CAD" w:rsidR="00CD4E96" w:rsidRPr="00BA711C" w:rsidRDefault="00CD4E96" w:rsidP="00BA711C">
      <w:pPr>
        <w:pStyle w:val="ListParagraph"/>
        <w:numPr>
          <w:ilvl w:val="0"/>
          <w:numId w:val="9"/>
        </w:numPr>
        <w:spacing w:line="240" w:lineRule="auto"/>
        <w:rPr>
          <w:rFonts w:asciiTheme="majorHAnsi" w:hAnsiTheme="majorHAnsi" w:cstheme="majorHAnsi"/>
        </w:rPr>
      </w:pPr>
      <w:r w:rsidRPr="00BA711C">
        <w:rPr>
          <w:rFonts w:asciiTheme="majorHAnsi" w:hAnsiTheme="majorHAnsi" w:cstheme="majorHAnsi"/>
        </w:rPr>
        <w:t>Establish specific requirements to address negative impacts on indigenous peoples</w:t>
      </w:r>
      <w:r w:rsidR="00AB7C55">
        <w:rPr>
          <w:rFonts w:asciiTheme="majorHAnsi" w:hAnsiTheme="majorHAnsi" w:cstheme="majorHAnsi"/>
        </w:rPr>
        <w:t xml:space="preserve"> (e.g., </w:t>
      </w:r>
      <w:r w:rsidR="00850E18">
        <w:rPr>
          <w:rFonts w:asciiTheme="majorHAnsi" w:hAnsiTheme="majorHAnsi" w:cstheme="majorHAnsi"/>
        </w:rPr>
        <w:t xml:space="preserve">regarding </w:t>
      </w:r>
      <w:r w:rsidRPr="00BA711C">
        <w:rPr>
          <w:rFonts w:asciiTheme="majorHAnsi" w:hAnsiTheme="majorHAnsi" w:cstheme="majorHAnsi"/>
        </w:rPr>
        <w:t>Free, Prior and Informed Consent granted by any affected indigenous peoples</w:t>
      </w:r>
      <w:r w:rsidR="00850E18">
        <w:rPr>
          <w:rFonts w:asciiTheme="majorHAnsi" w:hAnsiTheme="majorHAnsi" w:cstheme="majorHAnsi"/>
        </w:rPr>
        <w:t>)</w:t>
      </w:r>
      <w:r w:rsidRPr="00BA711C">
        <w:rPr>
          <w:rFonts w:asciiTheme="majorHAnsi" w:hAnsiTheme="majorHAnsi" w:cstheme="majorHAnsi"/>
        </w:rPr>
        <w:t>.</w:t>
      </w:r>
    </w:p>
    <w:p w14:paraId="771BDE5A" w14:textId="09134BB2" w:rsidR="00CD4E96" w:rsidRPr="00BA711C" w:rsidRDefault="00CD4E96" w:rsidP="00BA711C">
      <w:pPr>
        <w:pStyle w:val="ListParagraph"/>
        <w:numPr>
          <w:ilvl w:val="0"/>
          <w:numId w:val="9"/>
        </w:numPr>
        <w:spacing w:line="240" w:lineRule="auto"/>
        <w:rPr>
          <w:rFonts w:asciiTheme="majorHAnsi" w:hAnsiTheme="majorHAnsi" w:cstheme="majorHAnsi"/>
        </w:rPr>
      </w:pPr>
      <w:r w:rsidRPr="00BA711C">
        <w:rPr>
          <w:rFonts w:asciiTheme="majorHAnsi" w:hAnsiTheme="majorHAnsi" w:cstheme="majorHAnsi"/>
        </w:rPr>
        <w:t>Establish specific requirements to conduct effective</w:t>
      </w:r>
      <w:r w:rsidR="0026400B">
        <w:rPr>
          <w:rFonts w:asciiTheme="majorHAnsi" w:hAnsiTheme="majorHAnsi" w:cstheme="majorHAnsi"/>
        </w:rPr>
        <w:t xml:space="preserve"> community engagement (e.g., </w:t>
      </w:r>
      <w:r w:rsidRPr="00BA711C">
        <w:rPr>
          <w:rFonts w:asciiTheme="majorHAnsi" w:hAnsiTheme="majorHAnsi" w:cstheme="majorHAnsi"/>
        </w:rPr>
        <w:t>meaningful and informed consultations with affected indigenous peoples</w:t>
      </w:r>
      <w:r w:rsidR="00566A22">
        <w:rPr>
          <w:rFonts w:asciiTheme="majorHAnsi" w:hAnsiTheme="majorHAnsi" w:cstheme="majorHAnsi"/>
        </w:rPr>
        <w:t xml:space="preserve"> and</w:t>
      </w:r>
      <w:r w:rsidRPr="00BA711C">
        <w:rPr>
          <w:rFonts w:asciiTheme="majorHAnsi" w:hAnsiTheme="majorHAnsi" w:cstheme="majorHAnsi"/>
        </w:rPr>
        <w:t xml:space="preserve"> communities</w:t>
      </w:r>
      <w:r w:rsidR="00566A22">
        <w:rPr>
          <w:rFonts w:asciiTheme="majorHAnsi" w:hAnsiTheme="majorHAnsi" w:cstheme="majorHAnsi"/>
        </w:rPr>
        <w:t>)</w:t>
      </w:r>
      <w:r w:rsidR="00575B80">
        <w:rPr>
          <w:rFonts w:asciiTheme="majorHAnsi" w:hAnsiTheme="majorHAnsi" w:cstheme="majorHAnsi"/>
        </w:rPr>
        <w:t>.</w:t>
      </w:r>
    </w:p>
    <w:p w14:paraId="6FCCFCA6" w14:textId="0E52A6EB" w:rsidR="00575B80" w:rsidRDefault="00352C4F" w:rsidP="00BA711C">
      <w:pPr>
        <w:pStyle w:val="ListParagraph"/>
        <w:numPr>
          <w:ilvl w:val="0"/>
          <w:numId w:val="9"/>
        </w:numPr>
        <w:spacing w:line="240" w:lineRule="auto"/>
        <w:rPr>
          <w:rFonts w:asciiTheme="majorHAnsi" w:hAnsiTheme="majorHAnsi" w:cstheme="majorHAnsi"/>
        </w:rPr>
      </w:pPr>
      <w:r w:rsidRPr="00BA711C">
        <w:rPr>
          <w:rFonts w:asciiTheme="majorHAnsi" w:hAnsiTheme="majorHAnsi" w:cstheme="majorHAnsi"/>
        </w:rPr>
        <w:t xml:space="preserve">Establish specific requirements for climate action. </w:t>
      </w:r>
      <w:r w:rsidR="00590BAC">
        <w:rPr>
          <w:rFonts w:asciiTheme="majorHAnsi" w:hAnsiTheme="majorHAnsi" w:cstheme="majorHAnsi"/>
        </w:rPr>
        <w:t>It is essential that n</w:t>
      </w:r>
      <w:r w:rsidR="00575B80">
        <w:rPr>
          <w:rFonts w:asciiTheme="majorHAnsi" w:hAnsiTheme="majorHAnsi" w:cstheme="majorHAnsi"/>
        </w:rPr>
        <w:t>ew extractive sector legislation</w:t>
      </w:r>
      <w:r w:rsidRPr="00BA711C">
        <w:rPr>
          <w:rFonts w:asciiTheme="majorHAnsi" w:hAnsiTheme="majorHAnsi" w:cstheme="majorHAnsi"/>
        </w:rPr>
        <w:t xml:space="preserve"> </w:t>
      </w:r>
      <w:r w:rsidR="00575B80">
        <w:rPr>
          <w:rFonts w:asciiTheme="majorHAnsi" w:hAnsiTheme="majorHAnsi" w:cstheme="majorHAnsi"/>
        </w:rPr>
        <w:t>provide</w:t>
      </w:r>
      <w:r w:rsidR="00590BAC">
        <w:rPr>
          <w:rFonts w:asciiTheme="majorHAnsi" w:hAnsiTheme="majorHAnsi" w:cstheme="majorHAnsi"/>
        </w:rPr>
        <w:t>s</w:t>
      </w:r>
      <w:r w:rsidR="00575B80">
        <w:rPr>
          <w:rFonts w:asciiTheme="majorHAnsi" w:hAnsiTheme="majorHAnsi" w:cstheme="majorHAnsi"/>
        </w:rPr>
        <w:t xml:space="preserve"> express</w:t>
      </w:r>
      <w:r w:rsidRPr="00BA711C">
        <w:rPr>
          <w:rFonts w:asciiTheme="majorHAnsi" w:hAnsiTheme="majorHAnsi" w:cstheme="majorHAnsi"/>
        </w:rPr>
        <w:t xml:space="preserve"> obligations </w:t>
      </w:r>
      <w:r w:rsidR="00575B80">
        <w:rPr>
          <w:rFonts w:asciiTheme="majorHAnsi" w:hAnsiTheme="majorHAnsi" w:cstheme="majorHAnsi"/>
        </w:rPr>
        <w:t>for</w:t>
      </w:r>
      <w:r w:rsidRPr="00BA711C">
        <w:rPr>
          <w:rFonts w:asciiTheme="majorHAnsi" w:hAnsiTheme="majorHAnsi" w:cstheme="majorHAnsi"/>
        </w:rPr>
        <w:t xml:space="preserve"> companies to reduce and account for their climate change impacts, including their own emissions and their indirect greenhouse gas emissions through their global value chains. </w:t>
      </w:r>
    </w:p>
    <w:p w14:paraId="5B292C49" w14:textId="77777777" w:rsidR="00B17D2F" w:rsidRDefault="00517725" w:rsidP="00CF366C">
      <w:pPr>
        <w:pStyle w:val="ListParagraph"/>
        <w:numPr>
          <w:ilvl w:val="0"/>
          <w:numId w:val="9"/>
        </w:numPr>
        <w:spacing w:line="240" w:lineRule="auto"/>
        <w:rPr>
          <w:rFonts w:asciiTheme="majorHAnsi" w:hAnsiTheme="majorHAnsi" w:cstheme="majorHAnsi"/>
        </w:rPr>
      </w:pPr>
      <w:r>
        <w:rPr>
          <w:rFonts w:asciiTheme="majorHAnsi" w:hAnsiTheme="majorHAnsi" w:cstheme="majorHAnsi"/>
        </w:rPr>
        <w:t>Provide specific</w:t>
      </w:r>
      <w:r w:rsidR="00352C4F" w:rsidRPr="00BA711C">
        <w:rPr>
          <w:rFonts w:asciiTheme="majorHAnsi" w:hAnsiTheme="majorHAnsi" w:cstheme="majorHAnsi"/>
        </w:rPr>
        <w:t xml:space="preserve"> criteria for corporate climate targets and ensure that companies set and pursue concrete goals to bring them in line with the 1.5-degree target scenario of the Paris Agreement.</w:t>
      </w:r>
    </w:p>
    <w:p w14:paraId="3B51800D" w14:textId="5594D0C6" w:rsidR="00B17D2F" w:rsidRPr="00B17D2F" w:rsidRDefault="00B17D2F" w:rsidP="00B17D2F">
      <w:pPr>
        <w:pStyle w:val="ListParagraph"/>
        <w:spacing w:line="240" w:lineRule="auto"/>
        <w:rPr>
          <w:rFonts w:asciiTheme="majorHAnsi" w:hAnsiTheme="majorHAnsi" w:cstheme="majorHAnsi"/>
        </w:rPr>
      </w:pPr>
      <w:r w:rsidRPr="00B17D2F">
        <w:rPr>
          <w:rFonts w:asciiTheme="majorHAnsi" w:hAnsiTheme="majorHAnsi" w:cstheme="majorHAnsi"/>
        </w:rPr>
        <w:t xml:space="preserve"> ​</w:t>
      </w:r>
    </w:p>
    <w:p w14:paraId="7D9BEC27" w14:textId="1A9BCA71" w:rsidR="00084F5A" w:rsidRPr="00084F5A" w:rsidRDefault="000B5DAB" w:rsidP="008F2834">
      <w:pPr>
        <w:pStyle w:val="ListParagraph"/>
        <w:numPr>
          <w:ilvl w:val="0"/>
          <w:numId w:val="11"/>
        </w:numPr>
        <w:spacing w:line="240" w:lineRule="auto"/>
        <w:rPr>
          <w:rFonts w:asciiTheme="majorHAnsi" w:hAnsiTheme="majorHAnsi" w:cstheme="majorHAnsi"/>
          <w:i/>
          <w:iCs/>
        </w:rPr>
      </w:pPr>
      <w:r>
        <w:rPr>
          <w:rFonts w:asciiTheme="majorHAnsi" w:hAnsiTheme="majorHAnsi" w:cstheme="majorHAnsi"/>
          <w:i/>
          <w:iCs/>
        </w:rPr>
        <w:t xml:space="preserve">Restrictions to </w:t>
      </w:r>
      <w:r w:rsidR="00AF75AB">
        <w:rPr>
          <w:rFonts w:asciiTheme="majorHAnsi" w:hAnsiTheme="majorHAnsi" w:cstheme="majorHAnsi"/>
          <w:i/>
          <w:iCs/>
        </w:rPr>
        <w:t>third-party</w:t>
      </w:r>
      <w:r>
        <w:rPr>
          <w:rFonts w:asciiTheme="majorHAnsi" w:hAnsiTheme="majorHAnsi" w:cstheme="majorHAnsi"/>
          <w:i/>
          <w:iCs/>
        </w:rPr>
        <w:t xml:space="preserve"> funding, assignment of rights and contingent feee arrange</w:t>
      </w:r>
      <w:r w:rsidR="00AF75AB">
        <w:rPr>
          <w:rFonts w:asciiTheme="majorHAnsi" w:hAnsiTheme="majorHAnsi" w:cstheme="majorHAnsi"/>
          <w:i/>
          <w:iCs/>
        </w:rPr>
        <w:t>ments</w:t>
      </w:r>
    </w:p>
    <w:p w14:paraId="4B4CE0C6" w14:textId="566114F1" w:rsidR="00084F5A" w:rsidRPr="00084F5A" w:rsidRDefault="00084F5A" w:rsidP="00084F5A">
      <w:pPr>
        <w:spacing w:line="240" w:lineRule="auto"/>
        <w:rPr>
          <w:rFonts w:asciiTheme="majorHAnsi" w:hAnsiTheme="majorHAnsi" w:cstheme="majorHAnsi"/>
          <w:i/>
          <w:iCs/>
        </w:rPr>
      </w:pPr>
      <w:r w:rsidRPr="00084F5A">
        <w:rPr>
          <w:rFonts w:asciiTheme="majorHAnsi" w:hAnsiTheme="majorHAnsi" w:cstheme="majorHAnsi"/>
          <w:i/>
          <w:iCs/>
        </w:rPr>
        <w:t>Certain jurisdictions restrict or limit parties from seeking third-party litigation funding (e.g. France, Belgium) to cover the financial costs related to the litigation or prevent the law firms from charging contingent fees (e.g. Netherlands) from their clients. The unintended consequence of this mechanism is creating a new barrier to access justice. Consequently, it hampers the funding, development and management of human rights and environmental cases where the plaintiffs don't have the means to fund the case by themselves.</w:t>
      </w:r>
    </w:p>
    <w:p w14:paraId="5F57FA5F" w14:textId="77777777" w:rsidR="00084F5A" w:rsidRPr="00084F5A" w:rsidRDefault="00084F5A" w:rsidP="00084F5A">
      <w:pPr>
        <w:spacing w:line="240" w:lineRule="auto"/>
        <w:rPr>
          <w:rFonts w:asciiTheme="majorHAnsi" w:hAnsiTheme="majorHAnsi" w:cstheme="majorHAnsi"/>
          <w:i/>
          <w:iCs/>
        </w:rPr>
      </w:pPr>
      <w:r w:rsidRPr="00084F5A">
        <w:rPr>
          <w:rFonts w:asciiTheme="majorHAnsi" w:hAnsiTheme="majorHAnsi" w:cstheme="majorHAnsi"/>
          <w:i/>
          <w:iCs/>
        </w:rPr>
        <w:t xml:space="preserve">Third-party funding, assignment of rights and contingent fee arrangements can be a mechanism to overcome most of the barriers herein exposed, other than those that are institutional and legal. Considering the extraordinary costs of national and transnational litigation on business and human rights, particularly those involving intricate sectors as the extractive, limiting access to third-party litigation funding has the unintended consequence of blocking private redress, preventing the parties </w:t>
      </w:r>
      <w:r w:rsidRPr="00084F5A">
        <w:rPr>
          <w:rFonts w:asciiTheme="majorHAnsi" w:hAnsiTheme="majorHAnsi" w:cstheme="majorHAnsi"/>
          <w:i/>
          <w:iCs/>
        </w:rPr>
        <w:lastRenderedPageBreak/>
        <w:t>affected by the corporate wrongdoing and their lawyers to seek an investor to cover the legal costs and financial risks.</w:t>
      </w:r>
    </w:p>
    <w:p w14:paraId="591890FA" w14:textId="3C714111" w:rsidR="00983AE1" w:rsidRDefault="00084F5A" w:rsidP="008F2834">
      <w:pPr>
        <w:spacing w:line="240" w:lineRule="auto"/>
        <w:rPr>
          <w:rFonts w:asciiTheme="majorHAnsi" w:hAnsiTheme="majorHAnsi" w:cstheme="majorHAnsi"/>
          <w:i/>
          <w:iCs/>
        </w:rPr>
      </w:pPr>
      <w:r w:rsidRPr="00084F5A">
        <w:rPr>
          <w:rFonts w:asciiTheme="majorHAnsi" w:hAnsiTheme="majorHAnsi" w:cstheme="majorHAnsi"/>
          <w:i/>
          <w:iCs/>
        </w:rPr>
        <w:t xml:space="preserve">In this regard, we note the European Union's efforts to regulate litigation funding. Although well intended, the </w:t>
      </w:r>
      <w:hyperlink r:id="rId11" w:history="1">
        <w:r w:rsidR="006D712B" w:rsidRPr="00EC5358">
          <w:rPr>
            <w:rStyle w:val="Hyperlink"/>
            <w:rFonts w:asciiTheme="majorHAnsi" w:hAnsiTheme="majorHAnsi" w:cstheme="majorHAnsi"/>
            <w:i/>
            <w:iCs/>
          </w:rPr>
          <w:t>Voss Report</w:t>
        </w:r>
      </w:hyperlink>
      <w:r w:rsidRPr="00084F5A">
        <w:rPr>
          <w:rFonts w:asciiTheme="majorHAnsi" w:hAnsiTheme="majorHAnsi" w:cstheme="majorHAnsi"/>
          <w:i/>
          <w:iCs/>
        </w:rPr>
        <w:t>, voted in favour by the European Parliament</w:t>
      </w:r>
      <w:r w:rsidR="006D712B">
        <w:rPr>
          <w:rFonts w:asciiTheme="majorHAnsi" w:hAnsiTheme="majorHAnsi" w:cstheme="majorHAnsi"/>
          <w:i/>
          <w:iCs/>
        </w:rPr>
        <w:t xml:space="preserve"> </w:t>
      </w:r>
      <w:hyperlink r:id="rId12" w:anchor="title1" w:history="1">
        <w:r w:rsidR="006D712B" w:rsidRPr="00480DA6">
          <w:rPr>
            <w:rStyle w:val="Hyperlink"/>
            <w:rFonts w:asciiTheme="majorHAnsi" w:hAnsiTheme="majorHAnsi" w:cstheme="majorHAnsi"/>
            <w:i/>
            <w:iCs/>
          </w:rPr>
          <w:t>last September</w:t>
        </w:r>
      </w:hyperlink>
      <w:r w:rsidRPr="00084F5A">
        <w:rPr>
          <w:rFonts w:asciiTheme="majorHAnsi" w:hAnsiTheme="majorHAnsi" w:cstheme="majorHAnsi"/>
          <w:i/>
          <w:iCs/>
        </w:rPr>
        <w:t xml:space="preserve"> to serve as guidance for developing common minimum standards at the Union level on commercial litigation funding, can unintentionally setback collective private redress for human rights abuses.</w:t>
      </w:r>
    </w:p>
    <w:p w14:paraId="1AA4B45B" w14:textId="76A46657" w:rsidR="008F2834" w:rsidRPr="00BA711C" w:rsidRDefault="008F2834" w:rsidP="008F2834">
      <w:pPr>
        <w:spacing w:line="240" w:lineRule="auto"/>
        <w:rPr>
          <w:rFonts w:asciiTheme="majorHAnsi" w:hAnsiTheme="majorHAnsi" w:cstheme="majorHAnsi"/>
          <w:i/>
          <w:iCs/>
        </w:rPr>
      </w:pPr>
      <w:r w:rsidRPr="00BA711C">
        <w:rPr>
          <w:rFonts w:asciiTheme="majorHAnsi" w:hAnsiTheme="majorHAnsi" w:cstheme="majorHAnsi"/>
          <w:i/>
          <w:iCs/>
        </w:rPr>
        <w:t xml:space="preserve">Remedies </w:t>
      </w:r>
    </w:p>
    <w:p w14:paraId="4EAEC4B8" w14:textId="66643027" w:rsidR="008F2834" w:rsidRDefault="00BA711C" w:rsidP="008F2834">
      <w:pPr>
        <w:spacing w:line="240" w:lineRule="auto"/>
        <w:rPr>
          <w:rFonts w:asciiTheme="majorHAnsi" w:hAnsiTheme="majorHAnsi" w:cstheme="majorHAnsi"/>
        </w:rPr>
      </w:pPr>
      <w:r>
        <w:rPr>
          <w:rFonts w:asciiTheme="majorHAnsi" w:hAnsiTheme="majorHAnsi" w:cstheme="majorHAnsi"/>
        </w:rPr>
        <w:t xml:space="preserve">The remedies that are best suited for this sector would be those that would allow for </w:t>
      </w:r>
      <w:r w:rsidR="008F2834">
        <w:rPr>
          <w:rFonts w:asciiTheme="majorHAnsi" w:hAnsiTheme="majorHAnsi" w:cstheme="majorHAnsi"/>
        </w:rPr>
        <w:t xml:space="preserve">Integral reparation </w:t>
      </w:r>
      <w:r>
        <w:rPr>
          <w:rFonts w:asciiTheme="majorHAnsi" w:hAnsiTheme="majorHAnsi" w:cstheme="majorHAnsi"/>
        </w:rPr>
        <w:t xml:space="preserve">(i.e. </w:t>
      </w:r>
      <w:r w:rsidR="008F2834">
        <w:rPr>
          <w:rFonts w:asciiTheme="majorHAnsi" w:hAnsiTheme="majorHAnsi" w:cstheme="majorHAnsi"/>
        </w:rPr>
        <w:t>Fair and prompt compensation that takes into account pecuniary damage as well as moral damages and action plans to remedy environmental damage</w:t>
      </w:r>
      <w:r w:rsidR="00352C4F">
        <w:rPr>
          <w:rFonts w:asciiTheme="majorHAnsi" w:hAnsiTheme="majorHAnsi" w:cstheme="majorHAnsi"/>
        </w:rPr>
        <w:t xml:space="preserve"> where applicable</w:t>
      </w:r>
      <w:r>
        <w:rPr>
          <w:rFonts w:asciiTheme="majorHAnsi" w:hAnsiTheme="majorHAnsi" w:cstheme="majorHAnsi"/>
        </w:rPr>
        <w:t>)</w:t>
      </w:r>
      <w:r w:rsidR="008F2834">
        <w:rPr>
          <w:rFonts w:asciiTheme="majorHAnsi" w:hAnsiTheme="majorHAnsi" w:cstheme="majorHAnsi"/>
        </w:rPr>
        <w:t>.</w:t>
      </w:r>
    </w:p>
    <w:p w14:paraId="35F9A0C6" w14:textId="59689521" w:rsidR="00292A4B" w:rsidRPr="00346F76" w:rsidRDefault="00292A4B" w:rsidP="00275F58">
      <w:pPr>
        <w:pStyle w:val="ListParagraph"/>
        <w:numPr>
          <w:ilvl w:val="0"/>
          <w:numId w:val="8"/>
        </w:numPr>
        <w:spacing w:line="240" w:lineRule="auto"/>
        <w:rPr>
          <w:rFonts w:asciiTheme="majorHAnsi" w:hAnsiTheme="majorHAnsi" w:cstheme="majorHAnsi"/>
          <w:b/>
          <w:bCs/>
        </w:rPr>
      </w:pPr>
      <w:r w:rsidRPr="00346F76">
        <w:rPr>
          <w:rFonts w:asciiTheme="majorHAnsi" w:hAnsiTheme="majorHAnsi" w:cstheme="majorHAnsi"/>
          <w:b/>
          <w:bCs/>
        </w:rPr>
        <w:t xml:space="preserve">Challenges in relation to access to remedy in </w:t>
      </w:r>
      <w:r w:rsidR="00135017">
        <w:rPr>
          <w:rFonts w:asciiTheme="majorHAnsi" w:hAnsiTheme="majorHAnsi" w:cstheme="majorHAnsi"/>
          <w:b/>
          <w:bCs/>
        </w:rPr>
        <w:t>arbitration</w:t>
      </w:r>
      <w:r w:rsidRPr="00346F76">
        <w:rPr>
          <w:rFonts w:asciiTheme="majorHAnsi" w:hAnsiTheme="majorHAnsi" w:cstheme="majorHAnsi"/>
          <w:b/>
          <w:bCs/>
        </w:rPr>
        <w:t xml:space="preserve"> proceedings </w:t>
      </w:r>
    </w:p>
    <w:p w14:paraId="5C528DF8" w14:textId="3A1A2371" w:rsidR="0090504A" w:rsidRDefault="00F07CBF" w:rsidP="0094491E">
      <w:pPr>
        <w:spacing w:line="240" w:lineRule="auto"/>
        <w:rPr>
          <w:rFonts w:asciiTheme="majorHAnsi" w:hAnsiTheme="majorHAnsi" w:cstheme="majorHAnsi"/>
        </w:rPr>
      </w:pPr>
      <w:r w:rsidRPr="00D55DF8">
        <w:rPr>
          <w:rFonts w:asciiTheme="majorHAnsi" w:hAnsiTheme="majorHAnsi" w:cstheme="majorHAnsi"/>
        </w:rPr>
        <w:t>W</w:t>
      </w:r>
      <w:r w:rsidR="00D24671">
        <w:rPr>
          <w:rFonts w:asciiTheme="majorHAnsi" w:hAnsiTheme="majorHAnsi" w:cstheme="majorHAnsi"/>
        </w:rPr>
        <w:t>hen considering what</w:t>
      </w:r>
      <w:r w:rsidRPr="00D55DF8">
        <w:rPr>
          <w:rFonts w:asciiTheme="majorHAnsi" w:hAnsiTheme="majorHAnsi" w:cstheme="majorHAnsi"/>
        </w:rPr>
        <w:t xml:space="preserve"> measures and mechanisms should be provided by extractive sector contracts to allow individuals or communities affected by extractive activities to seek effective remedy for business-related human rights abuses</w:t>
      </w:r>
      <w:r w:rsidR="00D24671">
        <w:rPr>
          <w:rFonts w:asciiTheme="majorHAnsi" w:hAnsiTheme="majorHAnsi" w:cstheme="majorHAnsi"/>
        </w:rPr>
        <w:t xml:space="preserve">, it is important to consider </w:t>
      </w:r>
      <w:r w:rsidR="00411AE2">
        <w:rPr>
          <w:rFonts w:asciiTheme="majorHAnsi" w:hAnsiTheme="majorHAnsi" w:cstheme="majorHAnsi"/>
        </w:rPr>
        <w:t>Investment Contracts</w:t>
      </w:r>
      <w:r w:rsidR="00F03137">
        <w:rPr>
          <w:rFonts w:asciiTheme="majorHAnsi" w:hAnsiTheme="majorHAnsi" w:cstheme="majorHAnsi"/>
        </w:rPr>
        <w:t xml:space="preserve"> (i.e., </w:t>
      </w:r>
      <w:r w:rsidR="00F03137">
        <w:rPr>
          <w:rFonts w:asciiTheme="majorHAnsi" w:hAnsiTheme="majorHAnsi" w:cstheme="majorHAnsi"/>
          <w:lang w:val="en-US"/>
        </w:rPr>
        <w:t>contracts</w:t>
      </w:r>
      <w:r w:rsidR="00F03137" w:rsidRPr="0051058B">
        <w:rPr>
          <w:rFonts w:ascii="Arial" w:hAnsi="Arial" w:cs="Arial"/>
          <w:color w:val="747474"/>
          <w:sz w:val="23"/>
          <w:szCs w:val="23"/>
          <w:shd w:val="clear" w:color="auto" w:fill="FFFFFF"/>
        </w:rPr>
        <w:t xml:space="preserve"> </w:t>
      </w:r>
      <w:r w:rsidR="00F03137" w:rsidRPr="0051058B">
        <w:rPr>
          <w:rFonts w:asciiTheme="majorHAnsi" w:hAnsiTheme="majorHAnsi" w:cstheme="majorHAnsi"/>
        </w:rPr>
        <w:t>between the State</w:t>
      </w:r>
      <w:r w:rsidR="00F03137">
        <w:rPr>
          <w:rFonts w:asciiTheme="majorHAnsi" w:hAnsiTheme="majorHAnsi" w:cstheme="majorHAnsi"/>
        </w:rPr>
        <w:t xml:space="preserve"> (</w:t>
      </w:r>
      <w:r w:rsidR="00F03137" w:rsidRPr="0051058B">
        <w:rPr>
          <w:rFonts w:asciiTheme="majorHAnsi" w:hAnsiTheme="majorHAnsi" w:cstheme="majorHAnsi"/>
        </w:rPr>
        <w:t xml:space="preserve">or </w:t>
      </w:r>
      <w:r w:rsidR="00F03137">
        <w:rPr>
          <w:rFonts w:asciiTheme="majorHAnsi" w:hAnsiTheme="majorHAnsi" w:cstheme="majorHAnsi"/>
        </w:rPr>
        <w:t>a</w:t>
      </w:r>
      <w:r w:rsidR="00F03137" w:rsidRPr="0051058B">
        <w:rPr>
          <w:rFonts w:asciiTheme="majorHAnsi" w:hAnsiTheme="majorHAnsi" w:cstheme="majorHAnsi"/>
        </w:rPr>
        <w:t xml:space="preserve"> State</w:t>
      </w:r>
      <w:r w:rsidR="00F03137">
        <w:rPr>
          <w:rFonts w:asciiTheme="majorHAnsi" w:hAnsiTheme="majorHAnsi" w:cstheme="majorHAnsi"/>
        </w:rPr>
        <w:t>-owned entity)</w:t>
      </w:r>
      <w:r w:rsidR="00F03137" w:rsidRPr="0051058B">
        <w:rPr>
          <w:rFonts w:asciiTheme="majorHAnsi" w:hAnsiTheme="majorHAnsi" w:cstheme="majorHAnsi"/>
        </w:rPr>
        <w:t xml:space="preserve"> </w:t>
      </w:r>
      <w:r w:rsidR="00F03137">
        <w:rPr>
          <w:rFonts w:asciiTheme="majorHAnsi" w:hAnsiTheme="majorHAnsi" w:cstheme="majorHAnsi"/>
        </w:rPr>
        <w:t xml:space="preserve">and </w:t>
      </w:r>
      <w:r w:rsidR="00F03137" w:rsidRPr="0051058B">
        <w:rPr>
          <w:rFonts w:asciiTheme="majorHAnsi" w:hAnsiTheme="majorHAnsi" w:cstheme="majorHAnsi"/>
        </w:rPr>
        <w:t>the investor or investors</w:t>
      </w:r>
      <w:r w:rsidR="00F03137">
        <w:rPr>
          <w:rFonts w:asciiTheme="majorHAnsi" w:hAnsiTheme="majorHAnsi" w:cstheme="majorHAnsi"/>
        </w:rPr>
        <w:t xml:space="preserve">, </w:t>
      </w:r>
      <w:r w:rsidR="00F03137" w:rsidRPr="0051058B">
        <w:rPr>
          <w:rFonts w:asciiTheme="majorHAnsi" w:hAnsiTheme="majorHAnsi" w:cstheme="majorHAnsi"/>
        </w:rPr>
        <w:t xml:space="preserve">where an investment </w:t>
      </w:r>
      <w:r w:rsidR="00F03137">
        <w:rPr>
          <w:rFonts w:asciiTheme="majorHAnsi" w:hAnsiTheme="majorHAnsi" w:cstheme="majorHAnsi"/>
        </w:rPr>
        <w:t xml:space="preserve">(often in the extractive sector) </w:t>
      </w:r>
      <w:r w:rsidR="00F03137" w:rsidRPr="0051058B">
        <w:rPr>
          <w:rFonts w:asciiTheme="majorHAnsi" w:hAnsiTheme="majorHAnsi" w:cstheme="majorHAnsi"/>
        </w:rPr>
        <w:t xml:space="preserve">will take place </w:t>
      </w:r>
      <w:r w:rsidR="00F03137">
        <w:rPr>
          <w:rFonts w:asciiTheme="majorHAnsi" w:hAnsiTheme="majorHAnsi" w:cstheme="majorHAnsi"/>
        </w:rPr>
        <w:t>in the H</w:t>
      </w:r>
      <w:r w:rsidR="00F03137" w:rsidRPr="0051058B">
        <w:rPr>
          <w:rFonts w:asciiTheme="majorHAnsi" w:hAnsiTheme="majorHAnsi" w:cstheme="majorHAnsi"/>
        </w:rPr>
        <w:t xml:space="preserve">ost </w:t>
      </w:r>
      <w:r w:rsidR="00F03137">
        <w:rPr>
          <w:rFonts w:asciiTheme="majorHAnsi" w:hAnsiTheme="majorHAnsi" w:cstheme="majorHAnsi"/>
        </w:rPr>
        <w:t>S</w:t>
      </w:r>
      <w:r w:rsidR="00F03137" w:rsidRPr="0051058B">
        <w:rPr>
          <w:rFonts w:asciiTheme="majorHAnsi" w:hAnsiTheme="majorHAnsi" w:cstheme="majorHAnsi"/>
        </w:rPr>
        <w:t>tate</w:t>
      </w:r>
      <w:r w:rsidR="00F03137">
        <w:rPr>
          <w:rFonts w:asciiTheme="majorHAnsi" w:hAnsiTheme="majorHAnsi" w:cstheme="majorHAnsi"/>
        </w:rPr>
        <w:t>)</w:t>
      </w:r>
      <w:r w:rsidR="00411AE2">
        <w:rPr>
          <w:rFonts w:asciiTheme="majorHAnsi" w:hAnsiTheme="majorHAnsi" w:cstheme="majorHAnsi"/>
        </w:rPr>
        <w:t xml:space="preserve">. </w:t>
      </w:r>
    </w:p>
    <w:p w14:paraId="7887621E" w14:textId="0C3939B3" w:rsidR="005A4CC9" w:rsidRDefault="0094491E" w:rsidP="0094491E">
      <w:pPr>
        <w:spacing w:line="240" w:lineRule="auto"/>
        <w:rPr>
          <w:rFonts w:asciiTheme="majorHAnsi" w:hAnsiTheme="majorHAnsi" w:cstheme="majorHAnsi"/>
        </w:rPr>
      </w:pPr>
      <w:r w:rsidRPr="0094491E">
        <w:rPr>
          <w:rFonts w:asciiTheme="majorHAnsi" w:hAnsiTheme="majorHAnsi" w:cstheme="majorHAnsi"/>
        </w:rPr>
        <w:t xml:space="preserve">Investment Contracts, together with domestic law and any applicable </w:t>
      </w:r>
      <w:r w:rsidR="008A10A2">
        <w:rPr>
          <w:rFonts w:asciiTheme="majorHAnsi" w:hAnsiTheme="majorHAnsi" w:cstheme="majorHAnsi"/>
        </w:rPr>
        <w:t>Bilateral Investment Treaties</w:t>
      </w:r>
      <w:r w:rsidRPr="0094491E">
        <w:rPr>
          <w:rFonts w:asciiTheme="majorHAnsi" w:hAnsiTheme="majorHAnsi" w:cstheme="majorHAnsi"/>
        </w:rPr>
        <w:t>, set out the rights and responsibilities of the State and the investor regarding the development, construction and operation of an investment project.</w:t>
      </w:r>
      <w:r w:rsidR="00C37A68">
        <w:rPr>
          <w:rFonts w:asciiTheme="majorHAnsi" w:hAnsiTheme="majorHAnsi" w:cstheme="majorHAnsi"/>
        </w:rPr>
        <w:t xml:space="preserve"> Moreover, in</w:t>
      </w:r>
      <w:r w:rsidRPr="0094491E">
        <w:rPr>
          <w:rFonts w:asciiTheme="majorHAnsi" w:hAnsiTheme="majorHAnsi" w:cstheme="majorHAnsi"/>
        </w:rPr>
        <w:t xml:space="preserve"> an Investment Contract, the parties may effectively agree a large part of the legal framework that will govern the investment </w:t>
      </w:r>
      <w:r w:rsidR="0032145E">
        <w:rPr>
          <w:rFonts w:asciiTheme="majorHAnsi" w:hAnsiTheme="majorHAnsi" w:cstheme="majorHAnsi"/>
        </w:rPr>
        <w:t xml:space="preserve">project </w:t>
      </w:r>
      <w:r w:rsidRPr="0094491E">
        <w:rPr>
          <w:rFonts w:asciiTheme="majorHAnsi" w:hAnsiTheme="majorHAnsi" w:cstheme="majorHAnsi"/>
        </w:rPr>
        <w:t xml:space="preserve">in the Host State which means that the negotiations between the parties may directly influence the applicable legal framework for the project. </w:t>
      </w:r>
    </w:p>
    <w:p w14:paraId="0A7D31E3" w14:textId="5CEC17F8" w:rsidR="00812227" w:rsidRDefault="006146D4" w:rsidP="0094491E">
      <w:pPr>
        <w:spacing w:line="240" w:lineRule="auto"/>
        <w:rPr>
          <w:rFonts w:asciiTheme="majorHAnsi" w:hAnsiTheme="majorHAnsi" w:cstheme="majorHAnsi"/>
        </w:rPr>
      </w:pPr>
      <w:r>
        <w:rPr>
          <w:rFonts w:asciiTheme="majorHAnsi" w:hAnsiTheme="majorHAnsi" w:cstheme="majorHAnsi"/>
        </w:rPr>
        <w:t>Investment Contracts</w:t>
      </w:r>
      <w:r w:rsidR="00812227" w:rsidRPr="0094491E">
        <w:rPr>
          <w:rFonts w:asciiTheme="majorHAnsi" w:hAnsiTheme="majorHAnsi" w:cstheme="majorHAnsi"/>
        </w:rPr>
        <w:t xml:space="preserve"> </w:t>
      </w:r>
      <w:r w:rsidR="00812227">
        <w:rPr>
          <w:rFonts w:asciiTheme="majorHAnsi" w:hAnsiTheme="majorHAnsi" w:cstheme="majorHAnsi"/>
        </w:rPr>
        <w:t>tend to</w:t>
      </w:r>
      <w:r w:rsidR="00812227" w:rsidRPr="0094491E">
        <w:rPr>
          <w:rFonts w:asciiTheme="majorHAnsi" w:hAnsiTheme="majorHAnsi" w:cstheme="majorHAnsi"/>
        </w:rPr>
        <w:t xml:space="preserve"> </w:t>
      </w:r>
      <w:r w:rsidR="00812227">
        <w:rPr>
          <w:rFonts w:asciiTheme="majorHAnsi" w:hAnsiTheme="majorHAnsi" w:cstheme="majorHAnsi"/>
        </w:rPr>
        <w:t>relate to</w:t>
      </w:r>
      <w:r w:rsidR="00812227" w:rsidRPr="0094491E">
        <w:rPr>
          <w:rFonts w:asciiTheme="majorHAnsi" w:hAnsiTheme="majorHAnsi" w:cstheme="majorHAnsi"/>
        </w:rPr>
        <w:t xml:space="preserve"> investment projects of significant public importance </w:t>
      </w:r>
      <w:r w:rsidR="00812227">
        <w:rPr>
          <w:rFonts w:asciiTheme="majorHAnsi" w:hAnsiTheme="majorHAnsi" w:cstheme="majorHAnsi"/>
        </w:rPr>
        <w:t xml:space="preserve">in the extractive sector </w:t>
      </w:r>
      <w:r w:rsidR="00812227" w:rsidRPr="0094491E">
        <w:rPr>
          <w:rFonts w:asciiTheme="majorHAnsi" w:hAnsiTheme="majorHAnsi" w:cstheme="majorHAnsi"/>
        </w:rPr>
        <w:t xml:space="preserve">and </w:t>
      </w:r>
      <w:r w:rsidR="00812227">
        <w:rPr>
          <w:rFonts w:asciiTheme="majorHAnsi" w:hAnsiTheme="majorHAnsi" w:cstheme="majorHAnsi"/>
        </w:rPr>
        <w:t xml:space="preserve">in most cases </w:t>
      </w:r>
      <w:r w:rsidR="00812227" w:rsidRPr="0094491E">
        <w:rPr>
          <w:rFonts w:asciiTheme="majorHAnsi" w:hAnsiTheme="majorHAnsi" w:cstheme="majorHAnsi"/>
        </w:rPr>
        <w:t>include arbitration clauses that govern how the parties should resolve any disputes that may arise in relation to the contract. </w:t>
      </w:r>
      <w:r>
        <w:rPr>
          <w:rFonts w:asciiTheme="majorHAnsi" w:hAnsiTheme="majorHAnsi" w:cstheme="majorHAnsi"/>
        </w:rPr>
        <w:t>These contracts, however, do not tend to include dispute resolution</w:t>
      </w:r>
      <w:r w:rsidR="004F0EB4">
        <w:rPr>
          <w:rFonts w:asciiTheme="majorHAnsi" w:hAnsiTheme="majorHAnsi" w:cstheme="majorHAnsi"/>
        </w:rPr>
        <w:t xml:space="preserve"> mechanisms that would </w:t>
      </w:r>
      <w:r w:rsidR="004F0EB4" w:rsidRPr="00D55DF8">
        <w:rPr>
          <w:rFonts w:asciiTheme="majorHAnsi" w:hAnsiTheme="majorHAnsi" w:cstheme="majorHAnsi"/>
        </w:rPr>
        <w:t xml:space="preserve">allow individuals or communities affected by </w:t>
      </w:r>
      <w:r w:rsidR="004F0EB4">
        <w:rPr>
          <w:rFonts w:asciiTheme="majorHAnsi" w:hAnsiTheme="majorHAnsi" w:cstheme="majorHAnsi"/>
        </w:rPr>
        <w:t xml:space="preserve">the </w:t>
      </w:r>
      <w:r w:rsidR="004F0EB4" w:rsidRPr="00D55DF8">
        <w:rPr>
          <w:rFonts w:asciiTheme="majorHAnsi" w:hAnsiTheme="majorHAnsi" w:cstheme="majorHAnsi"/>
        </w:rPr>
        <w:t xml:space="preserve">extractive </w:t>
      </w:r>
      <w:r w:rsidR="004F0EB4">
        <w:rPr>
          <w:rFonts w:asciiTheme="majorHAnsi" w:hAnsiTheme="majorHAnsi" w:cstheme="majorHAnsi"/>
        </w:rPr>
        <w:t>project</w:t>
      </w:r>
      <w:r w:rsidR="004F0EB4" w:rsidRPr="00D55DF8">
        <w:rPr>
          <w:rFonts w:asciiTheme="majorHAnsi" w:hAnsiTheme="majorHAnsi" w:cstheme="majorHAnsi"/>
        </w:rPr>
        <w:t xml:space="preserve"> to seek effective remedy for business-related human rights abuses</w:t>
      </w:r>
      <w:r w:rsidR="004F0EB4">
        <w:rPr>
          <w:rFonts w:asciiTheme="majorHAnsi" w:hAnsiTheme="majorHAnsi" w:cstheme="majorHAnsi"/>
        </w:rPr>
        <w:t>.</w:t>
      </w:r>
      <w:r>
        <w:rPr>
          <w:rFonts w:asciiTheme="majorHAnsi" w:hAnsiTheme="majorHAnsi" w:cstheme="majorHAnsi"/>
        </w:rPr>
        <w:t xml:space="preserve"> </w:t>
      </w:r>
      <w:r w:rsidR="002270FB">
        <w:rPr>
          <w:rFonts w:asciiTheme="majorHAnsi" w:hAnsiTheme="majorHAnsi" w:cstheme="majorHAnsi"/>
        </w:rPr>
        <w:t xml:space="preserve">Since the </w:t>
      </w:r>
      <w:r w:rsidR="006D002A" w:rsidRPr="00D55DF8">
        <w:rPr>
          <w:rFonts w:asciiTheme="majorHAnsi" w:hAnsiTheme="majorHAnsi" w:cstheme="majorHAnsi"/>
        </w:rPr>
        <w:t xml:space="preserve">individuals or communities affected by </w:t>
      </w:r>
      <w:r w:rsidR="006D002A">
        <w:rPr>
          <w:rFonts w:asciiTheme="majorHAnsi" w:hAnsiTheme="majorHAnsi" w:cstheme="majorHAnsi"/>
        </w:rPr>
        <w:t>the project</w:t>
      </w:r>
      <w:r w:rsidR="006D002A" w:rsidRPr="00D55DF8">
        <w:rPr>
          <w:rFonts w:asciiTheme="majorHAnsi" w:hAnsiTheme="majorHAnsi" w:cstheme="majorHAnsi"/>
        </w:rPr>
        <w:t xml:space="preserve"> </w:t>
      </w:r>
      <w:r w:rsidR="002270FB">
        <w:rPr>
          <w:rFonts w:asciiTheme="majorHAnsi" w:hAnsiTheme="majorHAnsi" w:cstheme="majorHAnsi"/>
        </w:rPr>
        <w:t>are not part to the Investment Contract</w:t>
      </w:r>
      <w:r w:rsidR="008C723C">
        <w:rPr>
          <w:rFonts w:asciiTheme="majorHAnsi" w:hAnsiTheme="majorHAnsi" w:cstheme="majorHAnsi"/>
        </w:rPr>
        <w:t xml:space="preserve"> they cannot access effective remedy </w:t>
      </w:r>
      <w:r w:rsidR="00887750">
        <w:rPr>
          <w:rFonts w:asciiTheme="majorHAnsi" w:hAnsiTheme="majorHAnsi" w:cstheme="majorHAnsi"/>
        </w:rPr>
        <w:t xml:space="preserve">using the arbitration proceedings.  </w:t>
      </w:r>
    </w:p>
    <w:p w14:paraId="745BC670" w14:textId="55B711EE" w:rsidR="00E71B69" w:rsidRDefault="0027199E" w:rsidP="00E71B69">
      <w:pPr>
        <w:spacing w:line="240" w:lineRule="auto"/>
        <w:rPr>
          <w:rFonts w:asciiTheme="majorHAnsi" w:hAnsiTheme="majorHAnsi" w:cstheme="majorHAnsi"/>
        </w:rPr>
      </w:pPr>
      <w:r>
        <w:rPr>
          <w:rFonts w:asciiTheme="majorHAnsi" w:hAnsiTheme="majorHAnsi" w:cstheme="majorHAnsi"/>
        </w:rPr>
        <w:t>In order to address this challenge</w:t>
      </w:r>
      <w:r w:rsidR="00E71B69">
        <w:rPr>
          <w:rFonts w:asciiTheme="majorHAnsi" w:hAnsiTheme="majorHAnsi" w:cstheme="majorHAnsi"/>
        </w:rPr>
        <w:t xml:space="preserve"> a measure that could be considered is </w:t>
      </w:r>
      <w:r>
        <w:rPr>
          <w:rFonts w:asciiTheme="majorHAnsi" w:hAnsiTheme="majorHAnsi" w:cstheme="majorHAnsi"/>
        </w:rPr>
        <w:t xml:space="preserve">the inclusion of </w:t>
      </w:r>
      <w:r w:rsidRPr="004529B2">
        <w:rPr>
          <w:rFonts w:asciiTheme="majorHAnsi" w:hAnsiTheme="majorHAnsi" w:cstheme="majorHAnsi"/>
        </w:rPr>
        <w:t>a Human Rights undertaking by the Investor</w:t>
      </w:r>
      <w:r>
        <w:rPr>
          <w:rFonts w:asciiTheme="majorHAnsi" w:hAnsiTheme="majorHAnsi" w:cstheme="majorHAnsi"/>
        </w:rPr>
        <w:t xml:space="preserve"> in Investment Contracts</w:t>
      </w:r>
      <w:r w:rsidRPr="004529B2">
        <w:rPr>
          <w:rFonts w:asciiTheme="majorHAnsi" w:hAnsiTheme="majorHAnsi" w:cstheme="majorHAnsi"/>
        </w:rPr>
        <w:t>.</w:t>
      </w:r>
      <w:r w:rsidR="00E71B69">
        <w:rPr>
          <w:rFonts w:asciiTheme="majorHAnsi" w:hAnsiTheme="majorHAnsi" w:cstheme="majorHAnsi"/>
        </w:rPr>
        <w:t xml:space="preserve"> This undertaking could include a</w:t>
      </w:r>
      <w:r w:rsidR="00E71B69" w:rsidRPr="004529B2">
        <w:rPr>
          <w:rFonts w:asciiTheme="majorHAnsi" w:hAnsiTheme="majorHAnsi" w:cstheme="majorHAnsi"/>
        </w:rPr>
        <w:t xml:space="preserve"> provision recognising that human rights victims would be able to seek remedy for human rights violations either in the domestic courts or through arbitration</w:t>
      </w:r>
      <w:r w:rsidR="00832E57">
        <w:rPr>
          <w:rFonts w:asciiTheme="majorHAnsi" w:hAnsiTheme="majorHAnsi" w:cstheme="majorHAnsi"/>
        </w:rPr>
        <w:t xml:space="preserve"> (see answer to question 18 below)</w:t>
      </w:r>
      <w:r w:rsidR="00E71B69" w:rsidRPr="004529B2">
        <w:rPr>
          <w:rFonts w:asciiTheme="majorHAnsi" w:hAnsiTheme="majorHAnsi" w:cstheme="majorHAnsi"/>
        </w:rPr>
        <w:t>.</w:t>
      </w:r>
    </w:p>
    <w:p w14:paraId="28760577" w14:textId="03E48837" w:rsidR="008F2834" w:rsidRPr="005956E8" w:rsidRDefault="008F2834" w:rsidP="008F2834">
      <w:pPr>
        <w:spacing w:line="240" w:lineRule="auto"/>
        <w:rPr>
          <w:rFonts w:asciiTheme="majorHAnsi" w:hAnsiTheme="majorHAnsi" w:cstheme="majorHAnsi"/>
        </w:rPr>
      </w:pPr>
    </w:p>
    <w:p w14:paraId="775ED0ED" w14:textId="53DA16DA" w:rsidR="00B26D4E" w:rsidRPr="00832E57" w:rsidRDefault="00B26D4E" w:rsidP="0094491E">
      <w:pPr>
        <w:numPr>
          <w:ilvl w:val="0"/>
          <w:numId w:val="14"/>
        </w:numPr>
        <w:spacing w:line="240" w:lineRule="auto"/>
        <w:rPr>
          <w:rFonts w:asciiTheme="majorHAnsi" w:hAnsiTheme="majorHAnsi" w:cstheme="majorHAnsi"/>
          <w:b/>
          <w:bCs/>
        </w:rPr>
      </w:pPr>
      <w:r w:rsidRPr="00832E57">
        <w:rPr>
          <w:rFonts w:asciiTheme="majorHAnsi" w:hAnsiTheme="majorHAnsi" w:cstheme="majorHAnsi"/>
          <w:b/>
          <w:bCs/>
        </w:rPr>
        <w:t>Are you aware of any cases submitted to judicial and/or non-judicial instances (e.g., national human rights institutions, national contact points, mediation, etc.) regarding business-related human rights abuses in the extractive sector, particularly in the context of energy transition projects?</w:t>
      </w:r>
    </w:p>
    <w:p w14:paraId="70AB97A3" w14:textId="5DE1D2AE" w:rsidR="00BA711C" w:rsidRDefault="009A3F0C" w:rsidP="007528A3">
      <w:pPr>
        <w:spacing w:line="240" w:lineRule="auto"/>
        <w:rPr>
          <w:rFonts w:asciiTheme="majorHAnsi" w:hAnsiTheme="majorHAnsi" w:cstheme="majorHAnsi"/>
        </w:rPr>
      </w:pPr>
      <w:r w:rsidRPr="009A3F0C">
        <w:rPr>
          <w:rFonts w:asciiTheme="majorHAnsi" w:hAnsiTheme="majorHAnsi" w:cstheme="majorHAnsi"/>
        </w:rPr>
        <w:t>Pogust Goodhead represents hundreds of thousands of victims from the global south in civil proceedings brought against companies in the EU and the UK for human rights abuses and environmental harm in their global operations</w:t>
      </w:r>
      <w:r w:rsidR="007F7F57">
        <w:rPr>
          <w:rFonts w:asciiTheme="majorHAnsi" w:hAnsiTheme="majorHAnsi" w:cstheme="majorHAnsi"/>
        </w:rPr>
        <w:t>, including:</w:t>
      </w:r>
    </w:p>
    <w:p w14:paraId="5FA6D221" w14:textId="1CF9A969" w:rsidR="007F7F57" w:rsidRPr="00B80A6A" w:rsidRDefault="00A732A5" w:rsidP="00B80A6A">
      <w:pPr>
        <w:pStyle w:val="ListParagraph"/>
        <w:numPr>
          <w:ilvl w:val="0"/>
          <w:numId w:val="18"/>
        </w:numPr>
        <w:spacing w:line="240" w:lineRule="auto"/>
        <w:rPr>
          <w:rFonts w:asciiTheme="majorHAnsi" w:hAnsiTheme="majorHAnsi" w:cstheme="majorHAnsi"/>
          <w:i/>
          <w:iCs/>
        </w:rPr>
      </w:pPr>
      <w:r w:rsidRPr="00B80A6A">
        <w:rPr>
          <w:rFonts w:asciiTheme="majorHAnsi" w:hAnsiTheme="majorHAnsi" w:cstheme="majorHAnsi"/>
          <w:i/>
          <w:iCs/>
        </w:rPr>
        <w:t>Municipality of Mariana &amp; Ors v BHP plc &amp; BHP Ltd</w:t>
      </w:r>
      <w:r w:rsidR="00832E57">
        <w:rPr>
          <w:rFonts w:asciiTheme="majorHAnsi" w:hAnsiTheme="majorHAnsi" w:cstheme="majorHAnsi"/>
          <w:i/>
          <w:iCs/>
        </w:rPr>
        <w:t xml:space="preserve"> </w:t>
      </w:r>
    </w:p>
    <w:p w14:paraId="78503382" w14:textId="7E21EE84" w:rsidR="00A732A5" w:rsidRDefault="00CE5FE9" w:rsidP="000B0B65">
      <w:pPr>
        <w:spacing w:line="240" w:lineRule="auto"/>
        <w:rPr>
          <w:rFonts w:asciiTheme="majorHAnsi" w:hAnsiTheme="majorHAnsi" w:cstheme="majorHAnsi"/>
        </w:rPr>
      </w:pPr>
      <w:r>
        <w:rPr>
          <w:rFonts w:asciiTheme="majorHAnsi" w:hAnsiTheme="majorHAnsi" w:cstheme="majorHAnsi"/>
        </w:rPr>
        <w:lastRenderedPageBreak/>
        <w:t xml:space="preserve">This litigation proceedings relate to the </w:t>
      </w:r>
      <w:r w:rsidR="004E2166" w:rsidRPr="004E2166">
        <w:rPr>
          <w:rFonts w:asciiTheme="majorHAnsi" w:hAnsiTheme="majorHAnsi" w:cstheme="majorHAnsi"/>
        </w:rPr>
        <w:t>worst environmental disaster</w:t>
      </w:r>
      <w:r>
        <w:rPr>
          <w:rFonts w:asciiTheme="majorHAnsi" w:hAnsiTheme="majorHAnsi" w:cstheme="majorHAnsi"/>
        </w:rPr>
        <w:t xml:space="preserve"> in Brazilian history</w:t>
      </w:r>
      <w:r w:rsidR="004E2166" w:rsidRPr="004E2166">
        <w:rPr>
          <w:rFonts w:asciiTheme="majorHAnsi" w:hAnsiTheme="majorHAnsi" w:cstheme="majorHAnsi"/>
        </w:rPr>
        <w:t xml:space="preserve"> when the </w:t>
      </w:r>
      <w:proofErr w:type="spellStart"/>
      <w:r w:rsidR="004E2166" w:rsidRPr="004E2166">
        <w:rPr>
          <w:rFonts w:asciiTheme="majorHAnsi" w:hAnsiTheme="majorHAnsi" w:cstheme="majorHAnsi"/>
        </w:rPr>
        <w:t>Fundão</w:t>
      </w:r>
      <w:proofErr w:type="spellEnd"/>
      <w:r w:rsidR="004E2166" w:rsidRPr="004E2166">
        <w:rPr>
          <w:rFonts w:asciiTheme="majorHAnsi" w:hAnsiTheme="majorHAnsi" w:cstheme="majorHAnsi"/>
        </w:rPr>
        <w:t xml:space="preserve"> Dam in South East Brazil collapsed</w:t>
      </w:r>
      <w:r w:rsidR="00C96009">
        <w:rPr>
          <w:rFonts w:asciiTheme="majorHAnsi" w:hAnsiTheme="majorHAnsi" w:cstheme="majorHAnsi"/>
        </w:rPr>
        <w:t xml:space="preserve"> on 5 November 2015</w:t>
      </w:r>
      <w:r w:rsidR="004E2166" w:rsidRPr="004E2166">
        <w:rPr>
          <w:rFonts w:asciiTheme="majorHAnsi" w:hAnsiTheme="majorHAnsi" w:cstheme="majorHAnsi"/>
        </w:rPr>
        <w:t>, releasing around 40 million cubic metres of tailings from iron ore mining.</w:t>
      </w:r>
      <w:r w:rsidR="00E00E5E">
        <w:rPr>
          <w:rStyle w:val="FootnoteReference"/>
          <w:rFonts w:asciiTheme="majorHAnsi" w:hAnsiTheme="majorHAnsi" w:cstheme="majorHAnsi"/>
        </w:rPr>
        <w:footnoteReference w:id="7"/>
      </w:r>
    </w:p>
    <w:p w14:paraId="4C264CB2" w14:textId="10181657" w:rsidR="00A701F8" w:rsidRDefault="00A701F8" w:rsidP="007528A3">
      <w:pPr>
        <w:spacing w:line="240" w:lineRule="auto"/>
        <w:rPr>
          <w:rFonts w:asciiTheme="majorHAnsi" w:hAnsiTheme="majorHAnsi" w:cstheme="majorHAnsi"/>
        </w:rPr>
      </w:pPr>
      <w:r w:rsidRPr="00A701F8">
        <w:rPr>
          <w:rFonts w:asciiTheme="majorHAnsi" w:hAnsiTheme="majorHAnsi" w:cstheme="majorHAnsi"/>
        </w:rPr>
        <w:t>In this action</w:t>
      </w:r>
      <w:r w:rsidR="001855DF">
        <w:rPr>
          <w:rFonts w:asciiTheme="majorHAnsi" w:hAnsiTheme="majorHAnsi" w:cstheme="majorHAnsi"/>
        </w:rPr>
        <w:t>, approximately 700,000</w:t>
      </w:r>
      <w:r w:rsidRPr="00A701F8">
        <w:rPr>
          <w:rFonts w:asciiTheme="majorHAnsi" w:hAnsiTheme="majorHAnsi" w:cstheme="majorHAnsi"/>
        </w:rPr>
        <w:t xml:space="preserve"> claimants seek compensation for losses caused by the disaster from the first respondent (now BHP Group (UK) Ltd</w:t>
      </w:r>
      <w:r w:rsidR="003A60B8">
        <w:rPr>
          <w:rFonts w:asciiTheme="majorHAnsi" w:hAnsiTheme="majorHAnsi" w:cstheme="majorHAnsi"/>
        </w:rPr>
        <w:t>)</w:t>
      </w:r>
      <w:r w:rsidRPr="00A701F8">
        <w:rPr>
          <w:rFonts w:asciiTheme="majorHAnsi" w:hAnsiTheme="majorHAnsi" w:cstheme="majorHAnsi"/>
        </w:rPr>
        <w:t xml:space="preserve">, which is incorporated in England and Wales and from the second respondent which is incorporated in Australia. The claimants </w:t>
      </w:r>
      <w:r w:rsidR="00E806C4">
        <w:rPr>
          <w:rFonts w:asciiTheme="majorHAnsi" w:hAnsiTheme="majorHAnsi" w:cstheme="majorHAnsi"/>
        </w:rPr>
        <w:t>comprise</w:t>
      </w:r>
      <w:r w:rsidRPr="00A701F8">
        <w:rPr>
          <w:rFonts w:asciiTheme="majorHAnsi" w:hAnsiTheme="majorHAnsi" w:cstheme="majorHAnsi"/>
        </w:rPr>
        <w:t xml:space="preserve"> individuals</w:t>
      </w:r>
      <w:r w:rsidR="00C048E8">
        <w:rPr>
          <w:rFonts w:asciiTheme="majorHAnsi" w:hAnsiTheme="majorHAnsi" w:cstheme="majorHAnsi"/>
        </w:rPr>
        <w:t xml:space="preserve"> (</w:t>
      </w:r>
      <w:r w:rsidRPr="00A701F8">
        <w:rPr>
          <w:rFonts w:asciiTheme="majorHAnsi" w:hAnsiTheme="majorHAnsi" w:cstheme="majorHAnsi"/>
        </w:rPr>
        <w:t xml:space="preserve">including some members of the indigenous </w:t>
      </w:r>
      <w:proofErr w:type="spellStart"/>
      <w:r w:rsidRPr="00A701F8">
        <w:rPr>
          <w:rFonts w:asciiTheme="majorHAnsi" w:hAnsiTheme="majorHAnsi" w:cstheme="majorHAnsi"/>
        </w:rPr>
        <w:t>Krenak</w:t>
      </w:r>
      <w:proofErr w:type="spellEnd"/>
      <w:r w:rsidRPr="00A701F8">
        <w:rPr>
          <w:rFonts w:asciiTheme="majorHAnsi" w:hAnsiTheme="majorHAnsi" w:cstheme="majorHAnsi"/>
        </w:rPr>
        <w:t xml:space="preserve"> community who have particular community rights, and for whom the river plays a unique part in their spiritual traditions</w:t>
      </w:r>
      <w:r w:rsidR="00C048E8">
        <w:rPr>
          <w:rFonts w:asciiTheme="majorHAnsi" w:hAnsiTheme="majorHAnsi" w:cstheme="majorHAnsi"/>
        </w:rPr>
        <w:t>)</w:t>
      </w:r>
      <w:r w:rsidR="00E806C4">
        <w:rPr>
          <w:rFonts w:asciiTheme="majorHAnsi" w:hAnsiTheme="majorHAnsi" w:cstheme="majorHAnsi"/>
        </w:rPr>
        <w:t>;</w:t>
      </w:r>
      <w:r w:rsidRPr="00A701F8">
        <w:rPr>
          <w:rFonts w:asciiTheme="majorHAnsi" w:hAnsiTheme="majorHAnsi" w:cstheme="majorHAnsi"/>
        </w:rPr>
        <w:t xml:space="preserve"> businesses</w:t>
      </w:r>
      <w:r w:rsidR="00C048E8">
        <w:rPr>
          <w:rFonts w:asciiTheme="majorHAnsi" w:hAnsiTheme="majorHAnsi" w:cstheme="majorHAnsi"/>
        </w:rPr>
        <w:t xml:space="preserve"> (</w:t>
      </w:r>
      <w:r w:rsidRPr="00A701F8">
        <w:rPr>
          <w:rFonts w:asciiTheme="majorHAnsi" w:hAnsiTheme="majorHAnsi" w:cstheme="majorHAnsi"/>
        </w:rPr>
        <w:t>ranging from large companies to sole traders</w:t>
      </w:r>
      <w:r w:rsidR="00C048E8">
        <w:rPr>
          <w:rFonts w:asciiTheme="majorHAnsi" w:hAnsiTheme="majorHAnsi" w:cstheme="majorHAnsi"/>
        </w:rPr>
        <w:t>)</w:t>
      </w:r>
      <w:r w:rsidR="00E806C4">
        <w:rPr>
          <w:rFonts w:asciiTheme="majorHAnsi" w:hAnsiTheme="majorHAnsi" w:cstheme="majorHAnsi"/>
        </w:rPr>
        <w:t>;</w:t>
      </w:r>
      <w:r w:rsidR="00C048E8">
        <w:rPr>
          <w:rFonts w:asciiTheme="majorHAnsi" w:hAnsiTheme="majorHAnsi" w:cstheme="majorHAnsi"/>
        </w:rPr>
        <w:t xml:space="preserve"> </w:t>
      </w:r>
      <w:r w:rsidRPr="00A701F8">
        <w:rPr>
          <w:rFonts w:asciiTheme="majorHAnsi" w:hAnsiTheme="majorHAnsi" w:cstheme="majorHAnsi"/>
        </w:rPr>
        <w:t xml:space="preserve">churches and faith based institutions; </w:t>
      </w:r>
      <w:r w:rsidR="005E37A1">
        <w:rPr>
          <w:rFonts w:asciiTheme="majorHAnsi" w:hAnsiTheme="majorHAnsi" w:cstheme="majorHAnsi"/>
        </w:rPr>
        <w:t xml:space="preserve">and </w:t>
      </w:r>
      <w:r w:rsidRPr="00A701F8">
        <w:rPr>
          <w:rFonts w:asciiTheme="majorHAnsi" w:hAnsiTheme="majorHAnsi" w:cstheme="majorHAnsi"/>
        </w:rPr>
        <w:t>municipalities.</w:t>
      </w:r>
    </w:p>
    <w:p w14:paraId="22821000" w14:textId="2F109247" w:rsidR="00CE7D1D" w:rsidRDefault="00CE7D1D" w:rsidP="007528A3">
      <w:pPr>
        <w:spacing w:line="240" w:lineRule="auto"/>
        <w:rPr>
          <w:rFonts w:asciiTheme="majorHAnsi" w:hAnsiTheme="majorHAnsi" w:cstheme="majorHAnsi"/>
        </w:rPr>
      </w:pPr>
      <w:r w:rsidRPr="00CE7D1D">
        <w:rPr>
          <w:rFonts w:asciiTheme="majorHAnsi" w:hAnsiTheme="majorHAnsi" w:cstheme="majorHAnsi"/>
        </w:rPr>
        <w:t xml:space="preserve">In a judgment handed down </w:t>
      </w:r>
      <w:r w:rsidR="00E37354">
        <w:rPr>
          <w:rFonts w:asciiTheme="majorHAnsi" w:hAnsiTheme="majorHAnsi" w:cstheme="majorHAnsi"/>
        </w:rPr>
        <w:t>on</w:t>
      </w:r>
      <w:r w:rsidRPr="00CE7D1D">
        <w:rPr>
          <w:rFonts w:asciiTheme="majorHAnsi" w:hAnsiTheme="majorHAnsi" w:cstheme="majorHAnsi"/>
        </w:rPr>
        <w:t xml:space="preserve"> 12 May 2023, the High Court dismissed BHP’s request to delay the trial until 2025.</w:t>
      </w:r>
      <w:r w:rsidR="00E37354">
        <w:rPr>
          <w:rFonts w:asciiTheme="majorHAnsi" w:hAnsiTheme="majorHAnsi" w:cstheme="majorHAnsi"/>
        </w:rPr>
        <w:t xml:space="preserve"> </w:t>
      </w:r>
      <w:r w:rsidRPr="00CE7D1D">
        <w:rPr>
          <w:rFonts w:asciiTheme="majorHAnsi" w:hAnsiTheme="majorHAnsi" w:cstheme="majorHAnsi"/>
        </w:rPr>
        <w:t>A new trial date has been set for 7 October 2024, which is the first possible date after the two-month long summer recess. The trial is set to last 11 weeks.</w:t>
      </w:r>
    </w:p>
    <w:p w14:paraId="5B8EB9EB" w14:textId="77777777" w:rsidR="00907F11" w:rsidRPr="00B80A6A" w:rsidRDefault="00907F11" w:rsidP="00B80A6A">
      <w:pPr>
        <w:pStyle w:val="ListParagraph"/>
        <w:numPr>
          <w:ilvl w:val="0"/>
          <w:numId w:val="18"/>
        </w:numPr>
        <w:spacing w:line="240" w:lineRule="auto"/>
        <w:rPr>
          <w:rFonts w:asciiTheme="majorHAnsi" w:hAnsiTheme="majorHAnsi" w:cstheme="majorHAnsi"/>
          <w:i/>
          <w:iCs/>
          <w:lang w:val="pt-BR"/>
        </w:rPr>
      </w:pPr>
      <w:bookmarkStart w:id="5" w:name="_Toc92365089"/>
      <w:bookmarkStart w:id="6" w:name="_Toc901260839"/>
      <w:bookmarkStart w:id="7" w:name="_Toc1369458893"/>
      <w:bookmarkStart w:id="8" w:name="_Toc2001923014"/>
      <w:bookmarkStart w:id="9" w:name="_Toc1390130568"/>
      <w:bookmarkStart w:id="10" w:name="_Toc1157528686"/>
      <w:bookmarkStart w:id="11" w:name="_Toc1766747168"/>
      <w:bookmarkStart w:id="12" w:name="_Toc1185504462"/>
      <w:bookmarkStart w:id="13" w:name="_Toc1098273393"/>
      <w:bookmarkStart w:id="14" w:name="_Toc706956437"/>
      <w:bookmarkStart w:id="15" w:name="_Toc1975346863"/>
      <w:bookmarkStart w:id="16" w:name="_Toc1562510433"/>
      <w:bookmarkStart w:id="17" w:name="_Toc2026705376"/>
      <w:bookmarkStart w:id="18" w:name="_Toc123748625"/>
      <w:bookmarkStart w:id="19" w:name="_Toc126225453"/>
      <w:r w:rsidRPr="00B80A6A">
        <w:rPr>
          <w:rFonts w:asciiTheme="majorHAnsi" w:hAnsiTheme="majorHAnsi" w:cstheme="majorHAnsi"/>
          <w:i/>
          <w:iCs/>
          <w:lang w:val="pt-BR"/>
        </w:rPr>
        <w:t>Maria R F da Silva &amp; Ors v Braskem S.A. &amp; Ors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105D090C" w14:textId="02A6849C" w:rsidR="000D7756" w:rsidRDefault="00907F11" w:rsidP="007528A3">
      <w:pPr>
        <w:spacing w:line="240" w:lineRule="auto"/>
        <w:rPr>
          <w:rFonts w:asciiTheme="majorHAnsi" w:hAnsiTheme="majorHAnsi" w:cstheme="majorHAnsi"/>
          <w:lang w:val="pt-BR"/>
        </w:rPr>
      </w:pPr>
      <w:r>
        <w:rPr>
          <w:rFonts w:asciiTheme="majorHAnsi" w:hAnsiTheme="majorHAnsi" w:cstheme="majorHAnsi"/>
        </w:rPr>
        <w:t>This litigation proceedings relate to</w:t>
      </w:r>
      <w:r w:rsidR="004607ED" w:rsidRPr="004607ED">
        <w:t xml:space="preserve"> </w:t>
      </w:r>
      <w:r w:rsidR="004607ED" w:rsidRPr="004607ED">
        <w:rPr>
          <w:rFonts w:asciiTheme="majorHAnsi" w:hAnsiTheme="majorHAnsi" w:cstheme="majorHAnsi"/>
        </w:rPr>
        <w:t>damage arising from an environmental disaster caused by mining activities</w:t>
      </w:r>
      <w:r w:rsidR="00737087">
        <w:rPr>
          <w:rFonts w:asciiTheme="majorHAnsi" w:hAnsiTheme="majorHAnsi" w:cstheme="majorHAnsi"/>
        </w:rPr>
        <w:t xml:space="preserve"> in Brazil. </w:t>
      </w:r>
      <w:r w:rsidR="00737087" w:rsidRPr="00737087">
        <w:rPr>
          <w:rFonts w:asciiTheme="majorHAnsi" w:hAnsiTheme="majorHAnsi" w:cstheme="majorHAnsi"/>
          <w:lang w:val="pt-BR"/>
        </w:rPr>
        <w:t>In 2018, cracks, sinkholes and earthquakes linked to rock-salt mining activities caused huge damage to streets, houses and buildings in several neighbourhoods in Maceió, the capital of the State of Alagoas in northeast Brazil.</w:t>
      </w:r>
    </w:p>
    <w:p w14:paraId="2B4D36FF" w14:textId="7A4F8AC5" w:rsidR="00770E64" w:rsidRPr="00907F11" w:rsidRDefault="00770E64" w:rsidP="007528A3">
      <w:pPr>
        <w:spacing w:line="240" w:lineRule="auto"/>
        <w:rPr>
          <w:rFonts w:asciiTheme="majorHAnsi" w:hAnsiTheme="majorHAnsi" w:cstheme="majorHAnsi"/>
          <w:lang w:val="en-US"/>
        </w:rPr>
      </w:pPr>
      <w:r w:rsidRPr="00770E64">
        <w:rPr>
          <w:rFonts w:asciiTheme="majorHAnsi" w:hAnsiTheme="majorHAnsi" w:cstheme="majorHAnsi"/>
          <w:lang w:val="en-US"/>
        </w:rPr>
        <w:t xml:space="preserve">A report by the Brazilian geological service released in May of 2019 blamed nearby salt mining by Braskem for damage to the structural integrity of property in Maceio. ​Affected </w:t>
      </w:r>
      <w:r w:rsidR="00565DBF">
        <w:rPr>
          <w:rFonts w:asciiTheme="majorHAnsi" w:hAnsiTheme="majorHAnsi" w:cstheme="majorHAnsi"/>
          <w:lang w:val="en-US"/>
        </w:rPr>
        <w:t xml:space="preserve">victims </w:t>
      </w:r>
      <w:r w:rsidRPr="00770E64">
        <w:rPr>
          <w:rFonts w:asciiTheme="majorHAnsi" w:hAnsiTheme="majorHAnsi" w:cstheme="majorHAnsi"/>
          <w:lang w:val="en-US"/>
        </w:rPr>
        <w:t xml:space="preserve">started collective litigation against </w:t>
      </w:r>
      <w:r w:rsidR="008330BE" w:rsidRPr="00334506">
        <w:rPr>
          <w:rFonts w:asciiTheme="majorHAnsi" w:hAnsiTheme="majorHAnsi" w:cstheme="majorHAnsi"/>
        </w:rPr>
        <w:t>Braskem SA and Braskem NL entities</w:t>
      </w:r>
      <w:r w:rsidRPr="00770E64">
        <w:rPr>
          <w:rFonts w:asciiTheme="majorHAnsi" w:hAnsiTheme="majorHAnsi" w:cstheme="majorHAnsi"/>
          <w:lang w:val="en-US"/>
        </w:rPr>
        <w:t>.</w:t>
      </w:r>
    </w:p>
    <w:p w14:paraId="2B2D60D8" w14:textId="1D6FE2C3" w:rsidR="00CB7ED9" w:rsidRPr="00CB7ED9" w:rsidRDefault="00565DBF" w:rsidP="007528A3">
      <w:pPr>
        <w:spacing w:line="240" w:lineRule="auto"/>
        <w:rPr>
          <w:rFonts w:asciiTheme="majorHAnsi" w:hAnsiTheme="majorHAnsi" w:cstheme="majorHAnsi"/>
        </w:rPr>
      </w:pPr>
      <w:r w:rsidRPr="00565DBF">
        <w:rPr>
          <w:rFonts w:asciiTheme="majorHAnsi" w:hAnsiTheme="majorHAnsi" w:cstheme="majorHAnsi"/>
          <w:lang w:val="en-US"/>
        </w:rPr>
        <w:t xml:space="preserve">On 21 September 2022, </w:t>
      </w:r>
      <w:r w:rsidR="00CB7ED9">
        <w:rPr>
          <w:rFonts w:asciiTheme="majorHAnsi" w:hAnsiTheme="majorHAnsi" w:cstheme="majorHAnsi"/>
          <w:lang w:val="en-US"/>
        </w:rPr>
        <w:t>t</w:t>
      </w:r>
      <w:r w:rsidRPr="00565DBF">
        <w:rPr>
          <w:rFonts w:asciiTheme="majorHAnsi" w:hAnsiTheme="majorHAnsi" w:cstheme="majorHAnsi"/>
          <w:lang w:val="en-US"/>
        </w:rPr>
        <w:t>he Dutch courts</w:t>
      </w:r>
      <w:r w:rsidR="00CB7ED9">
        <w:rPr>
          <w:rFonts w:asciiTheme="majorHAnsi" w:hAnsiTheme="majorHAnsi" w:cstheme="majorHAnsi"/>
          <w:lang w:val="en-US"/>
        </w:rPr>
        <w:t xml:space="preserve"> issued a ruling </w:t>
      </w:r>
      <w:r w:rsidR="00CB7ED9" w:rsidRPr="00CB7ED9">
        <w:rPr>
          <w:rFonts w:asciiTheme="majorHAnsi" w:hAnsiTheme="majorHAnsi" w:cstheme="majorHAnsi"/>
        </w:rPr>
        <w:t>reject</w:t>
      </w:r>
      <w:r w:rsidR="00CB7ED9">
        <w:rPr>
          <w:rFonts w:asciiTheme="majorHAnsi" w:hAnsiTheme="majorHAnsi" w:cstheme="majorHAnsi"/>
        </w:rPr>
        <w:t>ing</w:t>
      </w:r>
      <w:r w:rsidR="00CB7ED9" w:rsidRPr="00CB7ED9">
        <w:rPr>
          <w:rFonts w:asciiTheme="majorHAnsi" w:hAnsiTheme="majorHAnsi" w:cstheme="majorHAnsi"/>
        </w:rPr>
        <w:t xml:space="preserve"> all of Braskem’s arguments against jurisdiction in the Dutch Courts – and an application to appeal.</w:t>
      </w:r>
      <w:r w:rsidR="00FC7B28">
        <w:rPr>
          <w:rStyle w:val="FootnoteReference"/>
          <w:rFonts w:asciiTheme="majorHAnsi" w:hAnsiTheme="majorHAnsi" w:cstheme="majorHAnsi"/>
        </w:rPr>
        <w:footnoteReference w:id="8"/>
      </w:r>
      <w:r w:rsidR="00CB7ED9" w:rsidRPr="00CB7ED9">
        <w:rPr>
          <w:rFonts w:asciiTheme="majorHAnsi" w:hAnsiTheme="majorHAnsi" w:cstheme="majorHAnsi"/>
        </w:rPr>
        <w:t xml:space="preserve"> The court </w:t>
      </w:r>
      <w:r w:rsidR="00742C63">
        <w:rPr>
          <w:rFonts w:asciiTheme="majorHAnsi" w:hAnsiTheme="majorHAnsi" w:cstheme="majorHAnsi"/>
        </w:rPr>
        <w:t>held that</w:t>
      </w:r>
      <w:r w:rsidR="00CB7ED9" w:rsidRPr="00CB7ED9">
        <w:rPr>
          <w:rFonts w:asciiTheme="majorHAnsi" w:hAnsiTheme="majorHAnsi" w:cstheme="majorHAnsi"/>
        </w:rPr>
        <w:t>: “</w:t>
      </w:r>
      <w:r w:rsidR="00CB7ED9" w:rsidRPr="00CB7ED9">
        <w:rPr>
          <w:rFonts w:asciiTheme="majorHAnsi" w:hAnsiTheme="majorHAnsi" w:cstheme="majorHAnsi"/>
          <w:i/>
          <w:iCs/>
        </w:rPr>
        <w:t>The Braskem group, and therewith Braskem SA as top-holding of the group, has chosen to locate the entities that take the financial decisions, and its European headquarters, in Rotterdam. Against this background, Braskem SA could reasonably foresee that, if not only these entities but also herself – as top-holding – were to be sued, this could happen before this Court.</w:t>
      </w:r>
      <w:r w:rsidR="00CB7ED9" w:rsidRPr="00CB7ED9">
        <w:rPr>
          <w:rFonts w:asciiTheme="majorHAnsi" w:hAnsiTheme="majorHAnsi" w:cstheme="majorHAnsi"/>
        </w:rPr>
        <w:t>”</w:t>
      </w:r>
      <w:r w:rsidR="00346A1D">
        <w:rPr>
          <w:rStyle w:val="FootnoteReference"/>
          <w:rFonts w:asciiTheme="majorHAnsi" w:hAnsiTheme="majorHAnsi" w:cstheme="majorHAnsi"/>
        </w:rPr>
        <w:footnoteReference w:id="9"/>
      </w:r>
    </w:p>
    <w:p w14:paraId="7A0D12A9" w14:textId="4D4ECFE4" w:rsidR="00907F11" w:rsidRPr="00B80A6A" w:rsidRDefault="00854D43" w:rsidP="00B80A6A">
      <w:pPr>
        <w:pStyle w:val="ListParagraph"/>
        <w:numPr>
          <w:ilvl w:val="0"/>
          <w:numId w:val="18"/>
        </w:numPr>
        <w:spacing w:line="240" w:lineRule="auto"/>
        <w:rPr>
          <w:rFonts w:asciiTheme="majorHAnsi" w:eastAsiaTheme="majorEastAsia" w:hAnsiTheme="majorHAnsi" w:cstheme="majorBidi"/>
          <w:i/>
          <w:iCs/>
        </w:rPr>
      </w:pPr>
      <w:bookmarkStart w:id="20" w:name="_Toc55896257"/>
      <w:bookmarkStart w:id="21" w:name="_Toc92365090"/>
      <w:bookmarkStart w:id="22" w:name="_Toc658292104"/>
      <w:bookmarkStart w:id="23" w:name="_Toc1449405373"/>
      <w:bookmarkStart w:id="24" w:name="_Toc149433035"/>
      <w:bookmarkStart w:id="25" w:name="_Toc38775944"/>
      <w:bookmarkStart w:id="26" w:name="_Toc1073575561"/>
      <w:bookmarkStart w:id="27" w:name="_Toc1966421919"/>
      <w:bookmarkStart w:id="28" w:name="_Toc1471303399"/>
      <w:bookmarkStart w:id="29" w:name="_Toc2045937999"/>
      <w:bookmarkStart w:id="30" w:name="_Toc1381847054"/>
      <w:bookmarkStart w:id="31" w:name="_Toc35891332"/>
      <w:bookmarkStart w:id="32" w:name="_Toc577443618"/>
      <w:bookmarkStart w:id="33" w:name="_Toc497322394"/>
      <w:bookmarkStart w:id="34" w:name="_Toc123748626"/>
      <w:bookmarkStart w:id="35" w:name="_Toc126225454"/>
      <w:proofErr w:type="spellStart"/>
      <w:r w:rsidRPr="00B80A6A">
        <w:rPr>
          <w:rFonts w:asciiTheme="majorHAnsi" w:eastAsiaTheme="majorEastAsia" w:hAnsiTheme="majorHAnsi" w:cstheme="majorBidi"/>
          <w:i/>
          <w:iCs/>
        </w:rPr>
        <w:t>Cainquiama</w:t>
      </w:r>
      <w:proofErr w:type="spellEnd"/>
      <w:r w:rsidRPr="00B80A6A">
        <w:rPr>
          <w:rFonts w:asciiTheme="majorHAnsi" w:eastAsiaTheme="majorEastAsia" w:hAnsiTheme="majorHAnsi" w:cstheme="majorBidi"/>
          <w:i/>
          <w:iCs/>
        </w:rPr>
        <w:t xml:space="preserve"> &amp; Ors v </w:t>
      </w:r>
      <w:proofErr w:type="spellStart"/>
      <w:r w:rsidRPr="00B80A6A">
        <w:rPr>
          <w:rFonts w:asciiTheme="majorHAnsi" w:eastAsiaTheme="majorEastAsia" w:hAnsiTheme="majorHAnsi" w:cstheme="majorBidi"/>
          <w:i/>
          <w:iCs/>
        </w:rPr>
        <w:t>Norsk</w:t>
      </w:r>
      <w:proofErr w:type="spellEnd"/>
      <w:r w:rsidRPr="00B80A6A">
        <w:rPr>
          <w:rFonts w:asciiTheme="majorHAnsi" w:eastAsiaTheme="majorEastAsia" w:hAnsiTheme="majorHAnsi" w:cstheme="majorBidi"/>
          <w:i/>
          <w:iCs/>
        </w:rPr>
        <w:t xml:space="preserve"> Hydro Holland B.V &amp; Ors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10A383D" w14:textId="7C3043C3" w:rsidR="00854D43" w:rsidRDefault="00C52587" w:rsidP="00854D43">
      <w:pPr>
        <w:spacing w:line="240" w:lineRule="auto"/>
        <w:rPr>
          <w:rFonts w:asciiTheme="majorHAnsi" w:hAnsiTheme="majorHAnsi" w:cstheme="majorHAnsi"/>
        </w:rPr>
      </w:pPr>
      <w:r w:rsidRPr="00C52587">
        <w:rPr>
          <w:rFonts w:asciiTheme="majorHAnsi" w:hAnsiTheme="majorHAnsi" w:cstheme="majorHAnsi"/>
        </w:rPr>
        <w:t xml:space="preserve">This litigation proceedings relate to damage arising from </w:t>
      </w:r>
      <w:r w:rsidR="00BF4C66" w:rsidRPr="00BF4C66">
        <w:rPr>
          <w:rFonts w:asciiTheme="majorHAnsi" w:hAnsiTheme="majorHAnsi" w:cstheme="majorHAnsi"/>
        </w:rPr>
        <w:t xml:space="preserve">environmental damage caused by aluminium production, e.g., forest degradation and water contamination, as well as detrimental effects upon the health of local communities – especially the </w:t>
      </w:r>
      <w:proofErr w:type="spellStart"/>
      <w:r w:rsidR="00BF4C66" w:rsidRPr="00BF4C66">
        <w:rPr>
          <w:rFonts w:asciiTheme="majorHAnsi" w:hAnsiTheme="majorHAnsi" w:cstheme="majorHAnsi"/>
          <w:i/>
        </w:rPr>
        <w:t>quilombola</w:t>
      </w:r>
      <w:proofErr w:type="spellEnd"/>
      <w:r w:rsidR="00BF4C66" w:rsidRPr="00BF4C66">
        <w:rPr>
          <w:rFonts w:asciiTheme="majorHAnsi" w:hAnsiTheme="majorHAnsi" w:cstheme="majorHAnsi"/>
        </w:rPr>
        <w:t xml:space="preserve"> traditional communities. The local communities of </w:t>
      </w:r>
      <w:proofErr w:type="spellStart"/>
      <w:r w:rsidR="00BF4C66" w:rsidRPr="00BF4C66">
        <w:rPr>
          <w:rFonts w:asciiTheme="majorHAnsi" w:hAnsiTheme="majorHAnsi" w:cstheme="majorHAnsi"/>
        </w:rPr>
        <w:t>Barcarena</w:t>
      </w:r>
      <w:proofErr w:type="spellEnd"/>
      <w:r w:rsidR="00BF4C66" w:rsidRPr="00BF4C66">
        <w:rPr>
          <w:rFonts w:asciiTheme="majorHAnsi" w:hAnsiTheme="majorHAnsi" w:cstheme="majorHAnsi"/>
        </w:rPr>
        <w:t xml:space="preserve"> and neighbouring populations were exposed to toxic residues from the processing of aluminium, which can cause various health problems, including cancer and skin diseases.</w:t>
      </w:r>
      <w:r w:rsidR="0000183A">
        <w:rPr>
          <w:rFonts w:asciiTheme="majorHAnsi" w:hAnsiTheme="majorHAnsi" w:cstheme="majorHAnsi"/>
        </w:rPr>
        <w:t xml:space="preserve"> </w:t>
      </w:r>
    </w:p>
    <w:p w14:paraId="4DF69A00" w14:textId="28434B53" w:rsidR="00C5280C" w:rsidRDefault="00C5280C" w:rsidP="00854D43">
      <w:pPr>
        <w:spacing w:line="240" w:lineRule="auto"/>
        <w:rPr>
          <w:rFonts w:asciiTheme="majorHAnsi" w:hAnsiTheme="majorHAnsi" w:cstheme="majorHAnsi"/>
        </w:rPr>
      </w:pPr>
      <w:proofErr w:type="spellStart"/>
      <w:r w:rsidRPr="00C5280C">
        <w:rPr>
          <w:rFonts w:asciiTheme="majorHAnsi" w:hAnsiTheme="majorHAnsi" w:cstheme="majorHAnsi"/>
        </w:rPr>
        <w:lastRenderedPageBreak/>
        <w:t>CAINQUIAMA</w:t>
      </w:r>
      <w:proofErr w:type="spellEnd"/>
      <w:r w:rsidRPr="00C5280C">
        <w:rPr>
          <w:rFonts w:asciiTheme="majorHAnsi" w:hAnsiTheme="majorHAnsi" w:cstheme="majorHAnsi"/>
        </w:rPr>
        <w:t xml:space="preserve"> </w:t>
      </w:r>
      <w:r>
        <w:rPr>
          <w:rFonts w:asciiTheme="majorHAnsi" w:hAnsiTheme="majorHAnsi" w:cstheme="majorHAnsi"/>
        </w:rPr>
        <w:t>(</w:t>
      </w:r>
      <w:proofErr w:type="spellStart"/>
      <w:r w:rsidRPr="00C5280C">
        <w:rPr>
          <w:rFonts w:asciiTheme="majorHAnsi" w:hAnsiTheme="majorHAnsi" w:cstheme="majorHAnsi"/>
        </w:rPr>
        <w:t>Associação</w:t>
      </w:r>
      <w:proofErr w:type="spellEnd"/>
      <w:r w:rsidRPr="00C5280C">
        <w:rPr>
          <w:rFonts w:asciiTheme="majorHAnsi" w:hAnsiTheme="majorHAnsi" w:cstheme="majorHAnsi"/>
        </w:rPr>
        <w:t xml:space="preserve"> dos Caboclos, </w:t>
      </w:r>
      <w:proofErr w:type="spellStart"/>
      <w:r w:rsidRPr="00C5280C">
        <w:rPr>
          <w:rFonts w:asciiTheme="majorHAnsi" w:hAnsiTheme="majorHAnsi" w:cstheme="majorHAnsi"/>
        </w:rPr>
        <w:t>Indígenas</w:t>
      </w:r>
      <w:proofErr w:type="spellEnd"/>
      <w:r w:rsidRPr="00C5280C">
        <w:rPr>
          <w:rFonts w:asciiTheme="majorHAnsi" w:hAnsiTheme="majorHAnsi" w:cstheme="majorHAnsi"/>
        </w:rPr>
        <w:t xml:space="preserve"> e </w:t>
      </w:r>
      <w:proofErr w:type="spellStart"/>
      <w:r w:rsidRPr="00C5280C">
        <w:rPr>
          <w:rFonts w:asciiTheme="majorHAnsi" w:hAnsiTheme="majorHAnsi" w:cstheme="majorHAnsi"/>
        </w:rPr>
        <w:t>Quilombolas</w:t>
      </w:r>
      <w:proofErr w:type="spellEnd"/>
      <w:r w:rsidRPr="00C5280C">
        <w:rPr>
          <w:rFonts w:asciiTheme="majorHAnsi" w:hAnsiTheme="majorHAnsi" w:cstheme="majorHAnsi"/>
        </w:rPr>
        <w:t xml:space="preserve"> da </w:t>
      </w:r>
      <w:proofErr w:type="spellStart"/>
      <w:r w:rsidRPr="00C5280C">
        <w:rPr>
          <w:rFonts w:asciiTheme="majorHAnsi" w:hAnsiTheme="majorHAnsi" w:cstheme="majorHAnsi"/>
        </w:rPr>
        <w:t>Amazônia</w:t>
      </w:r>
      <w:proofErr w:type="spellEnd"/>
      <w:r w:rsidRPr="00C5280C">
        <w:rPr>
          <w:rFonts w:asciiTheme="majorHAnsi" w:hAnsiTheme="majorHAnsi" w:cstheme="majorHAnsi"/>
        </w:rPr>
        <w:t xml:space="preserve">) and Brazilian individuals filed a lawsuit in the Netherlands against Hydro’s Dutch entities and </w:t>
      </w:r>
      <w:proofErr w:type="spellStart"/>
      <w:r w:rsidRPr="00C5280C">
        <w:rPr>
          <w:rFonts w:asciiTheme="majorHAnsi" w:hAnsiTheme="majorHAnsi" w:cstheme="majorHAnsi"/>
        </w:rPr>
        <w:t>Norsk</w:t>
      </w:r>
      <w:proofErr w:type="spellEnd"/>
      <w:r w:rsidRPr="00C5280C">
        <w:rPr>
          <w:rFonts w:asciiTheme="majorHAnsi" w:hAnsiTheme="majorHAnsi" w:cstheme="majorHAnsi"/>
        </w:rPr>
        <w:t xml:space="preserve"> Hydro ASA (Hydro)</w:t>
      </w:r>
      <w:r>
        <w:rPr>
          <w:rFonts w:asciiTheme="majorHAnsi" w:hAnsiTheme="majorHAnsi" w:cstheme="majorHAnsi"/>
        </w:rPr>
        <w:t xml:space="preserve">. </w:t>
      </w:r>
      <w:r w:rsidR="00BB52AB" w:rsidRPr="00BB52AB">
        <w:rPr>
          <w:rFonts w:asciiTheme="majorHAnsi" w:hAnsiTheme="majorHAnsi" w:cstheme="majorHAnsi"/>
        </w:rPr>
        <w:t xml:space="preserve">Among the claimants are a significant number of Afro-Brazilian </w:t>
      </w:r>
      <w:proofErr w:type="spellStart"/>
      <w:r w:rsidR="00BB52AB" w:rsidRPr="00BB52AB">
        <w:rPr>
          <w:rFonts w:asciiTheme="majorHAnsi" w:hAnsiTheme="majorHAnsi" w:cstheme="majorHAnsi"/>
        </w:rPr>
        <w:t>Quilombolas</w:t>
      </w:r>
      <w:proofErr w:type="spellEnd"/>
      <w:r w:rsidR="00BB52AB" w:rsidRPr="00BB52AB">
        <w:rPr>
          <w:rFonts w:asciiTheme="majorHAnsi" w:hAnsiTheme="majorHAnsi" w:cstheme="majorHAnsi"/>
        </w:rPr>
        <w:t>, descendants of African slaves brought to Brazil, who escaped plantations, towns, and cities, and established quilombo settlements. Many depend on the waterways of the Amazon and its tributaries, with 1,831 officially recognised quilombo settlements in the Amazon, and 528 of those in the state of Pará.</w:t>
      </w:r>
      <w:r w:rsidR="00BB52AB">
        <w:rPr>
          <w:rStyle w:val="FootnoteReference"/>
          <w:rFonts w:asciiTheme="majorHAnsi" w:hAnsiTheme="majorHAnsi" w:cstheme="majorHAnsi"/>
        </w:rPr>
        <w:footnoteReference w:id="10"/>
      </w:r>
    </w:p>
    <w:p w14:paraId="66ED7AF7" w14:textId="28A9B824" w:rsidR="009E160F" w:rsidRPr="00CE7D1D" w:rsidRDefault="009E160F" w:rsidP="00854D43">
      <w:pPr>
        <w:spacing w:line="240" w:lineRule="auto"/>
        <w:rPr>
          <w:rFonts w:asciiTheme="majorHAnsi" w:hAnsiTheme="majorHAnsi" w:cstheme="majorHAnsi"/>
        </w:rPr>
      </w:pPr>
      <w:r>
        <w:rPr>
          <w:rFonts w:asciiTheme="majorHAnsi" w:hAnsiTheme="majorHAnsi" w:cstheme="majorHAnsi"/>
        </w:rPr>
        <w:t xml:space="preserve">On 19 </w:t>
      </w:r>
      <w:r w:rsidRPr="009E160F">
        <w:rPr>
          <w:rFonts w:asciiTheme="majorHAnsi" w:hAnsiTheme="majorHAnsi" w:cstheme="majorHAnsi"/>
        </w:rPr>
        <w:t xml:space="preserve">October </w:t>
      </w:r>
      <w:r>
        <w:rPr>
          <w:rFonts w:asciiTheme="majorHAnsi" w:hAnsiTheme="majorHAnsi" w:cstheme="majorHAnsi"/>
        </w:rPr>
        <w:t>2022</w:t>
      </w:r>
      <w:r w:rsidRPr="009E160F">
        <w:rPr>
          <w:rFonts w:asciiTheme="majorHAnsi" w:hAnsiTheme="majorHAnsi" w:cstheme="majorHAnsi"/>
        </w:rPr>
        <w:t xml:space="preserve">, the Rotterdam Court </w:t>
      </w:r>
      <w:r>
        <w:rPr>
          <w:rFonts w:asciiTheme="majorHAnsi" w:hAnsiTheme="majorHAnsi" w:cstheme="majorHAnsi"/>
        </w:rPr>
        <w:t xml:space="preserve">ruled that </w:t>
      </w:r>
      <w:r w:rsidRPr="009E160F">
        <w:rPr>
          <w:rFonts w:asciiTheme="majorHAnsi" w:hAnsiTheme="majorHAnsi" w:cstheme="majorHAnsi"/>
        </w:rPr>
        <w:t xml:space="preserve">the case brought forward by </w:t>
      </w:r>
      <w:proofErr w:type="spellStart"/>
      <w:r w:rsidRPr="009E160F">
        <w:rPr>
          <w:rFonts w:asciiTheme="majorHAnsi" w:hAnsiTheme="majorHAnsi" w:cstheme="majorHAnsi"/>
        </w:rPr>
        <w:t>Cainquiama</w:t>
      </w:r>
      <w:proofErr w:type="spellEnd"/>
      <w:r w:rsidRPr="009E160F">
        <w:rPr>
          <w:rFonts w:asciiTheme="majorHAnsi" w:hAnsiTheme="majorHAnsi" w:cstheme="majorHAnsi"/>
        </w:rPr>
        <w:t xml:space="preserve"> </w:t>
      </w:r>
      <w:r w:rsidR="00DE0367">
        <w:rPr>
          <w:rFonts w:asciiTheme="majorHAnsi" w:hAnsiTheme="majorHAnsi" w:cstheme="majorHAnsi"/>
        </w:rPr>
        <w:t xml:space="preserve">and Brazilian individuals </w:t>
      </w:r>
      <w:r w:rsidRPr="009E160F">
        <w:rPr>
          <w:rFonts w:asciiTheme="majorHAnsi" w:hAnsiTheme="majorHAnsi" w:cstheme="majorHAnsi"/>
        </w:rPr>
        <w:t xml:space="preserve">against Hydro’s Dutch entities and </w:t>
      </w:r>
      <w:proofErr w:type="spellStart"/>
      <w:r w:rsidRPr="009E160F">
        <w:rPr>
          <w:rFonts w:asciiTheme="majorHAnsi" w:hAnsiTheme="majorHAnsi" w:cstheme="majorHAnsi"/>
        </w:rPr>
        <w:t>Norsk</w:t>
      </w:r>
      <w:proofErr w:type="spellEnd"/>
      <w:r w:rsidRPr="009E160F">
        <w:rPr>
          <w:rFonts w:asciiTheme="majorHAnsi" w:hAnsiTheme="majorHAnsi" w:cstheme="majorHAnsi"/>
        </w:rPr>
        <w:t xml:space="preserve"> Hydro ASA can continue in the Netherlands.</w:t>
      </w:r>
    </w:p>
    <w:p w14:paraId="0B82180D" w14:textId="4D3B1373" w:rsidR="00B26D4E" w:rsidRPr="00832E57" w:rsidRDefault="00B26D4E" w:rsidP="0094491E">
      <w:pPr>
        <w:numPr>
          <w:ilvl w:val="0"/>
          <w:numId w:val="14"/>
        </w:numPr>
        <w:spacing w:line="240" w:lineRule="auto"/>
        <w:rPr>
          <w:rFonts w:asciiTheme="majorHAnsi" w:hAnsiTheme="majorHAnsi" w:cstheme="majorHAnsi"/>
          <w:b/>
          <w:bCs/>
        </w:rPr>
      </w:pPr>
      <w:r w:rsidRPr="00832E57">
        <w:rPr>
          <w:rFonts w:asciiTheme="majorHAnsi" w:hAnsiTheme="majorHAnsi" w:cstheme="majorHAnsi"/>
          <w:b/>
          <w:bCs/>
        </w:rPr>
        <w:t>Are current dispute resolution provisions and frameworks in the extractive sector “fit for purpose” to address complaints related to human rights abuses linked to extractive activities and energy transition projects? If not, what are the alternatives for a legitimate, transparent, and effective dispute resolution system to address such complaints? </w:t>
      </w:r>
    </w:p>
    <w:p w14:paraId="753C0FCF" w14:textId="1C878A42" w:rsidR="00F37B5E" w:rsidRDefault="00F37B5E" w:rsidP="00575B80">
      <w:pPr>
        <w:spacing w:line="240" w:lineRule="auto"/>
        <w:rPr>
          <w:rFonts w:asciiTheme="majorHAnsi" w:hAnsiTheme="majorHAnsi" w:cstheme="majorHAnsi"/>
        </w:rPr>
      </w:pPr>
      <w:r>
        <w:rPr>
          <w:rFonts w:asciiTheme="majorHAnsi" w:hAnsiTheme="majorHAnsi" w:cstheme="majorHAnsi"/>
        </w:rPr>
        <w:t>C</w:t>
      </w:r>
      <w:r w:rsidRPr="00D55DF8">
        <w:rPr>
          <w:rFonts w:asciiTheme="majorHAnsi" w:hAnsiTheme="majorHAnsi" w:cstheme="majorHAnsi"/>
        </w:rPr>
        <w:t xml:space="preserve">urrent dispute resolution provisions and frameworks in the extractive sector </w:t>
      </w:r>
      <w:r>
        <w:rPr>
          <w:rFonts w:asciiTheme="majorHAnsi" w:hAnsiTheme="majorHAnsi" w:cstheme="majorHAnsi"/>
        </w:rPr>
        <w:t xml:space="preserve">are not </w:t>
      </w:r>
      <w:r w:rsidRPr="00D55DF8">
        <w:rPr>
          <w:rFonts w:asciiTheme="majorHAnsi" w:hAnsiTheme="majorHAnsi" w:cstheme="majorHAnsi"/>
        </w:rPr>
        <w:t>“fit for purpose” to address complaints related to human rights abuses linked to extractive activities and energy transition projects</w:t>
      </w:r>
      <w:r>
        <w:rPr>
          <w:rFonts w:asciiTheme="majorHAnsi" w:hAnsiTheme="majorHAnsi" w:cstheme="majorHAnsi"/>
        </w:rPr>
        <w:t xml:space="preserve">. </w:t>
      </w:r>
    </w:p>
    <w:p w14:paraId="3DC500AB" w14:textId="3EDFA043" w:rsidR="00575B80" w:rsidRDefault="00F37B5E" w:rsidP="00575B80">
      <w:pPr>
        <w:spacing w:line="240" w:lineRule="auto"/>
        <w:rPr>
          <w:rFonts w:asciiTheme="majorHAnsi" w:hAnsiTheme="majorHAnsi" w:cstheme="majorHAnsi"/>
        </w:rPr>
      </w:pPr>
      <w:r>
        <w:rPr>
          <w:rFonts w:asciiTheme="majorHAnsi" w:hAnsiTheme="majorHAnsi" w:cstheme="majorHAnsi"/>
        </w:rPr>
        <w:t xml:space="preserve">In relation to </w:t>
      </w:r>
      <w:r w:rsidRPr="005810F0">
        <w:rPr>
          <w:rFonts w:asciiTheme="majorHAnsi" w:hAnsiTheme="majorHAnsi" w:cstheme="majorHAnsi"/>
          <w:b/>
          <w:bCs/>
        </w:rPr>
        <w:t>litigations related to human rights abuses</w:t>
      </w:r>
      <w:r w:rsidRPr="00D55DF8">
        <w:rPr>
          <w:rFonts w:asciiTheme="majorHAnsi" w:hAnsiTheme="majorHAnsi" w:cstheme="majorHAnsi"/>
        </w:rPr>
        <w:t xml:space="preserve"> </w:t>
      </w:r>
      <w:r w:rsidRPr="005810F0">
        <w:rPr>
          <w:rFonts w:asciiTheme="majorHAnsi" w:hAnsiTheme="majorHAnsi" w:cstheme="majorHAnsi"/>
          <w:b/>
          <w:bCs/>
        </w:rPr>
        <w:t>linked to extractive activities</w:t>
      </w:r>
      <w:r w:rsidR="00575B80">
        <w:rPr>
          <w:rFonts w:asciiTheme="majorHAnsi" w:hAnsiTheme="majorHAnsi" w:cstheme="majorHAnsi"/>
        </w:rPr>
        <w:t xml:space="preserve">, as explained above there are several </w:t>
      </w:r>
      <w:r w:rsidR="00575B80" w:rsidRPr="00835DDC">
        <w:rPr>
          <w:rFonts w:asciiTheme="majorHAnsi" w:hAnsiTheme="majorHAnsi" w:cstheme="majorHAnsi"/>
        </w:rPr>
        <w:t>barriers to justice</w:t>
      </w:r>
      <w:r w:rsidR="00575B80">
        <w:rPr>
          <w:rFonts w:asciiTheme="majorHAnsi" w:hAnsiTheme="majorHAnsi" w:cstheme="majorHAnsi"/>
        </w:rPr>
        <w:t xml:space="preserve"> that</w:t>
      </w:r>
      <w:r w:rsidR="00575B80" w:rsidRPr="00835DDC">
        <w:rPr>
          <w:rFonts w:asciiTheme="majorHAnsi" w:hAnsiTheme="majorHAnsi" w:cstheme="majorHAnsi"/>
        </w:rPr>
        <w:t xml:space="preserve"> prevent victims of business-related human rights abuses and environmental harm </w:t>
      </w:r>
      <w:r w:rsidR="00575B80">
        <w:rPr>
          <w:rFonts w:asciiTheme="majorHAnsi" w:hAnsiTheme="majorHAnsi" w:cstheme="majorHAnsi"/>
        </w:rPr>
        <w:t xml:space="preserve">(particularly victims from the global south) </w:t>
      </w:r>
      <w:r w:rsidR="00575B80" w:rsidRPr="00835DDC">
        <w:rPr>
          <w:rFonts w:asciiTheme="majorHAnsi" w:hAnsiTheme="majorHAnsi" w:cstheme="majorHAnsi"/>
        </w:rPr>
        <w:t>from accessing judicial remedy.</w:t>
      </w:r>
      <w:r w:rsidR="00575B80">
        <w:rPr>
          <w:rFonts w:asciiTheme="majorHAnsi" w:hAnsiTheme="majorHAnsi" w:cstheme="majorHAnsi"/>
        </w:rPr>
        <w:t xml:space="preserve"> These barriers include: </w:t>
      </w:r>
      <w:r w:rsidR="00E75868">
        <w:rPr>
          <w:rFonts w:asciiTheme="majorHAnsi" w:hAnsiTheme="majorHAnsi" w:cstheme="majorHAnsi"/>
        </w:rPr>
        <w:t>(i) d</w:t>
      </w:r>
      <w:r w:rsidR="00575B80" w:rsidRPr="00575B80">
        <w:rPr>
          <w:rFonts w:asciiTheme="majorHAnsi" w:hAnsiTheme="majorHAnsi" w:cstheme="majorHAnsi"/>
        </w:rPr>
        <w:t>ifficulties in establishing parent company liability</w:t>
      </w:r>
      <w:r w:rsidR="00E75868">
        <w:rPr>
          <w:rFonts w:asciiTheme="majorHAnsi" w:hAnsiTheme="majorHAnsi" w:cstheme="majorHAnsi"/>
        </w:rPr>
        <w:t>; (ii)</w:t>
      </w:r>
      <w:r w:rsidR="00575B80">
        <w:rPr>
          <w:rFonts w:asciiTheme="majorHAnsi" w:hAnsiTheme="majorHAnsi" w:cstheme="majorHAnsi"/>
        </w:rPr>
        <w:t xml:space="preserve"> </w:t>
      </w:r>
      <w:r w:rsidR="00E75868">
        <w:rPr>
          <w:rFonts w:asciiTheme="majorHAnsi" w:hAnsiTheme="majorHAnsi" w:cstheme="majorHAnsi"/>
        </w:rPr>
        <w:t>b</w:t>
      </w:r>
      <w:r w:rsidR="00575B80" w:rsidRPr="00575B80">
        <w:rPr>
          <w:rFonts w:asciiTheme="majorHAnsi" w:hAnsiTheme="majorHAnsi" w:cstheme="majorHAnsi"/>
        </w:rPr>
        <w:t>arriers to collective representation</w:t>
      </w:r>
      <w:r w:rsidR="00E75868">
        <w:rPr>
          <w:rFonts w:asciiTheme="majorHAnsi" w:hAnsiTheme="majorHAnsi" w:cstheme="majorHAnsi"/>
        </w:rPr>
        <w:t>; (iii)</w:t>
      </w:r>
      <w:r w:rsidR="00575B80" w:rsidRPr="00575B80">
        <w:t xml:space="preserve"> </w:t>
      </w:r>
      <w:r w:rsidR="00E75868">
        <w:rPr>
          <w:rFonts w:asciiTheme="majorHAnsi" w:hAnsiTheme="majorHAnsi" w:cstheme="majorHAnsi"/>
        </w:rPr>
        <w:t>d</w:t>
      </w:r>
      <w:r w:rsidR="00575B80" w:rsidRPr="00575B80">
        <w:rPr>
          <w:rFonts w:asciiTheme="majorHAnsi" w:hAnsiTheme="majorHAnsi" w:cstheme="majorHAnsi"/>
        </w:rPr>
        <w:t>isproportionate burden of proof on the claimants</w:t>
      </w:r>
      <w:r w:rsidR="00E75868">
        <w:rPr>
          <w:rFonts w:asciiTheme="majorHAnsi" w:hAnsiTheme="majorHAnsi" w:cstheme="majorHAnsi"/>
        </w:rPr>
        <w:t>; (iv) h</w:t>
      </w:r>
      <w:r w:rsidR="00E75868" w:rsidRPr="00E75868">
        <w:rPr>
          <w:rFonts w:asciiTheme="majorHAnsi" w:hAnsiTheme="majorHAnsi" w:cstheme="majorHAnsi"/>
        </w:rPr>
        <w:t>igh legal costs</w:t>
      </w:r>
      <w:r w:rsidR="00E75868">
        <w:rPr>
          <w:rFonts w:asciiTheme="majorHAnsi" w:hAnsiTheme="majorHAnsi" w:cstheme="majorHAnsi"/>
        </w:rPr>
        <w:t>; (v) difficulties in cases where the a</w:t>
      </w:r>
      <w:r w:rsidR="00E75868" w:rsidRPr="00E75868">
        <w:rPr>
          <w:rFonts w:asciiTheme="majorHAnsi" w:hAnsiTheme="majorHAnsi" w:cstheme="majorHAnsi"/>
        </w:rPr>
        <w:t>pplicable law is foreign to the court</w:t>
      </w:r>
      <w:r w:rsidR="00E75868">
        <w:rPr>
          <w:rFonts w:asciiTheme="majorHAnsi" w:hAnsiTheme="majorHAnsi" w:cstheme="majorHAnsi"/>
        </w:rPr>
        <w:t>; (vi) d</w:t>
      </w:r>
      <w:r w:rsidR="00E75868" w:rsidRPr="00E75868">
        <w:rPr>
          <w:rFonts w:asciiTheme="majorHAnsi" w:hAnsiTheme="majorHAnsi" w:cstheme="majorHAnsi"/>
        </w:rPr>
        <w:t>enial of justice and inability to obtain full redress in local courts</w:t>
      </w:r>
      <w:r w:rsidR="00E75868">
        <w:rPr>
          <w:rFonts w:asciiTheme="majorHAnsi" w:hAnsiTheme="majorHAnsi" w:cstheme="majorHAnsi"/>
        </w:rPr>
        <w:t>; and (vii) d</w:t>
      </w:r>
      <w:r w:rsidR="00E75868" w:rsidRPr="00E75868">
        <w:rPr>
          <w:rFonts w:asciiTheme="majorHAnsi" w:hAnsiTheme="majorHAnsi" w:cstheme="majorHAnsi"/>
        </w:rPr>
        <w:t>ifficulties in accessing home State courts</w:t>
      </w:r>
      <w:r w:rsidR="00E75868">
        <w:rPr>
          <w:rFonts w:asciiTheme="majorHAnsi" w:hAnsiTheme="majorHAnsi" w:cstheme="majorHAnsi"/>
        </w:rPr>
        <w:t>.</w:t>
      </w:r>
    </w:p>
    <w:p w14:paraId="12829B35" w14:textId="196C29A8" w:rsidR="00F37B5E" w:rsidRDefault="00E75868" w:rsidP="00E75868">
      <w:pPr>
        <w:spacing w:line="240" w:lineRule="auto"/>
        <w:rPr>
          <w:rFonts w:asciiTheme="majorHAnsi" w:hAnsiTheme="majorHAnsi" w:cstheme="majorHAnsi"/>
        </w:rPr>
      </w:pPr>
      <w:r>
        <w:rPr>
          <w:rFonts w:asciiTheme="majorHAnsi" w:hAnsiTheme="majorHAnsi" w:cstheme="majorHAnsi"/>
        </w:rPr>
        <w:t xml:space="preserve">In order to provide an effective dispute resolution system to address </w:t>
      </w:r>
      <w:r w:rsidR="001C3A8B">
        <w:rPr>
          <w:rFonts w:asciiTheme="majorHAnsi" w:hAnsiTheme="majorHAnsi" w:cstheme="majorHAnsi"/>
        </w:rPr>
        <w:t>claims</w:t>
      </w:r>
      <w:r w:rsidRPr="00D55DF8">
        <w:rPr>
          <w:rFonts w:asciiTheme="majorHAnsi" w:hAnsiTheme="majorHAnsi" w:cstheme="majorHAnsi"/>
        </w:rPr>
        <w:t xml:space="preserve"> related to human rights abuses linked to extractive activities</w:t>
      </w:r>
      <w:r>
        <w:rPr>
          <w:rFonts w:asciiTheme="majorHAnsi" w:hAnsiTheme="majorHAnsi" w:cstheme="majorHAnsi"/>
        </w:rPr>
        <w:t xml:space="preserve"> it is necessary to i</w:t>
      </w:r>
      <w:r w:rsidR="00835DDC" w:rsidRPr="00835DDC">
        <w:rPr>
          <w:rFonts w:asciiTheme="majorHAnsi" w:hAnsiTheme="majorHAnsi" w:cstheme="majorHAnsi"/>
        </w:rPr>
        <w:t>dentif</w:t>
      </w:r>
      <w:r w:rsidR="00835DDC">
        <w:rPr>
          <w:rFonts w:asciiTheme="majorHAnsi" w:hAnsiTheme="majorHAnsi" w:cstheme="majorHAnsi"/>
        </w:rPr>
        <w:t>y and remove</w:t>
      </w:r>
      <w:r w:rsidR="00835DDC" w:rsidRPr="00835DDC">
        <w:rPr>
          <w:rFonts w:asciiTheme="majorHAnsi" w:hAnsiTheme="majorHAnsi" w:cstheme="majorHAnsi"/>
        </w:rPr>
        <w:t xml:space="preserve"> </w:t>
      </w:r>
      <w:r w:rsidR="00911524">
        <w:rPr>
          <w:rFonts w:asciiTheme="majorHAnsi" w:hAnsiTheme="majorHAnsi" w:cstheme="majorHAnsi"/>
        </w:rPr>
        <w:t xml:space="preserve">the </w:t>
      </w:r>
      <w:r w:rsidR="00835DDC" w:rsidRPr="00835DDC">
        <w:rPr>
          <w:rFonts w:asciiTheme="majorHAnsi" w:hAnsiTheme="majorHAnsi" w:cstheme="majorHAnsi"/>
        </w:rPr>
        <w:t>obstacles to judicial remedy and enable private enforcement of corporate due diligence requirements.</w:t>
      </w:r>
      <w:r w:rsidR="000B0337">
        <w:rPr>
          <w:rFonts w:asciiTheme="majorHAnsi" w:hAnsiTheme="majorHAnsi" w:cstheme="majorHAnsi"/>
        </w:rPr>
        <w:t xml:space="preserve"> Other possible measures to consider include:</w:t>
      </w:r>
    </w:p>
    <w:p w14:paraId="582F80D7" w14:textId="77777777" w:rsidR="00040D2B" w:rsidRPr="0093256D" w:rsidRDefault="00040D2B" w:rsidP="0093256D">
      <w:pPr>
        <w:pStyle w:val="ListParagraph"/>
        <w:numPr>
          <w:ilvl w:val="0"/>
          <w:numId w:val="15"/>
        </w:numPr>
        <w:spacing w:line="240" w:lineRule="auto"/>
        <w:rPr>
          <w:rFonts w:asciiTheme="majorHAnsi" w:hAnsiTheme="majorHAnsi" w:cstheme="majorHAnsi"/>
        </w:rPr>
      </w:pPr>
      <w:r w:rsidRPr="0093256D">
        <w:rPr>
          <w:rFonts w:asciiTheme="majorHAnsi" w:hAnsiTheme="majorHAnsi" w:cstheme="majorHAnsi"/>
        </w:rPr>
        <w:t>Proposing r</w:t>
      </w:r>
      <w:r w:rsidR="00684651" w:rsidRPr="0093256D">
        <w:rPr>
          <w:rFonts w:asciiTheme="majorHAnsi" w:hAnsiTheme="majorHAnsi" w:cstheme="majorHAnsi"/>
        </w:rPr>
        <w:t xml:space="preserve">ules on legal aid </w:t>
      </w:r>
      <w:r w:rsidRPr="0093256D">
        <w:rPr>
          <w:rFonts w:asciiTheme="majorHAnsi" w:hAnsiTheme="majorHAnsi" w:cstheme="majorHAnsi"/>
        </w:rPr>
        <w:t>that</w:t>
      </w:r>
      <w:r w:rsidR="00684651" w:rsidRPr="0093256D">
        <w:rPr>
          <w:rFonts w:asciiTheme="majorHAnsi" w:hAnsiTheme="majorHAnsi" w:cstheme="majorHAnsi"/>
        </w:rPr>
        <w:t xml:space="preserve"> take into account the very high costs that may be incurred in business and human rights transnational cases. </w:t>
      </w:r>
    </w:p>
    <w:p w14:paraId="64088D9F" w14:textId="77777777" w:rsidR="00040D2B" w:rsidRPr="0093256D" w:rsidRDefault="00040D2B" w:rsidP="0093256D">
      <w:pPr>
        <w:pStyle w:val="ListParagraph"/>
        <w:numPr>
          <w:ilvl w:val="0"/>
          <w:numId w:val="15"/>
        </w:numPr>
        <w:spacing w:line="240" w:lineRule="auto"/>
        <w:rPr>
          <w:rFonts w:asciiTheme="majorHAnsi" w:hAnsiTheme="majorHAnsi" w:cstheme="majorHAnsi"/>
        </w:rPr>
      </w:pPr>
      <w:r w:rsidRPr="0093256D">
        <w:rPr>
          <w:rFonts w:asciiTheme="majorHAnsi" w:hAnsiTheme="majorHAnsi" w:cstheme="majorHAnsi"/>
        </w:rPr>
        <w:t>I</w:t>
      </w:r>
      <w:r w:rsidR="00684651" w:rsidRPr="0093256D">
        <w:rPr>
          <w:rFonts w:asciiTheme="majorHAnsi" w:hAnsiTheme="majorHAnsi" w:cstheme="majorHAnsi"/>
        </w:rPr>
        <w:t>ntroducing a rapid claims mechanism</w:t>
      </w:r>
      <w:r w:rsidRPr="0093256D">
        <w:rPr>
          <w:rFonts w:asciiTheme="majorHAnsi" w:hAnsiTheme="majorHAnsi" w:cstheme="majorHAnsi"/>
        </w:rPr>
        <w:t xml:space="preserve"> for business and human rights transnational cases</w:t>
      </w:r>
    </w:p>
    <w:p w14:paraId="713DE75F" w14:textId="0E86379C" w:rsidR="000B0337" w:rsidRDefault="0093256D" w:rsidP="0093256D">
      <w:pPr>
        <w:pStyle w:val="ListParagraph"/>
        <w:numPr>
          <w:ilvl w:val="0"/>
          <w:numId w:val="15"/>
        </w:numPr>
        <w:spacing w:line="240" w:lineRule="auto"/>
        <w:rPr>
          <w:rFonts w:asciiTheme="majorHAnsi" w:hAnsiTheme="majorHAnsi" w:cstheme="majorHAnsi"/>
        </w:rPr>
      </w:pPr>
      <w:r w:rsidRPr="0093256D">
        <w:rPr>
          <w:rFonts w:asciiTheme="majorHAnsi" w:hAnsiTheme="majorHAnsi" w:cstheme="majorHAnsi"/>
        </w:rPr>
        <w:t>Adopting measures to facilitate</w:t>
      </w:r>
      <w:r w:rsidR="00684651" w:rsidRPr="0093256D">
        <w:rPr>
          <w:rFonts w:asciiTheme="majorHAnsi" w:hAnsiTheme="majorHAnsi" w:cstheme="majorHAnsi"/>
        </w:rPr>
        <w:t xml:space="preserve"> third-party funding and legal expenses insurance for business and human rights transnational cases</w:t>
      </w:r>
      <w:r w:rsidR="008319CB">
        <w:rPr>
          <w:rFonts w:asciiTheme="majorHAnsi" w:hAnsiTheme="majorHAnsi" w:cstheme="majorHAnsi"/>
        </w:rPr>
        <w:t>.</w:t>
      </w:r>
    </w:p>
    <w:p w14:paraId="68C77736" w14:textId="78F66575" w:rsidR="00E04DF1" w:rsidRPr="00BA711C" w:rsidRDefault="00E04DF1" w:rsidP="00E04DF1">
      <w:pPr>
        <w:pStyle w:val="ListParagraph"/>
        <w:numPr>
          <w:ilvl w:val="0"/>
          <w:numId w:val="15"/>
        </w:numPr>
        <w:spacing w:line="240" w:lineRule="auto"/>
        <w:rPr>
          <w:rFonts w:asciiTheme="majorHAnsi" w:hAnsiTheme="majorHAnsi" w:cstheme="majorHAnsi"/>
        </w:rPr>
      </w:pPr>
      <w:r w:rsidRPr="00BA711C">
        <w:rPr>
          <w:rFonts w:asciiTheme="majorHAnsi" w:hAnsiTheme="majorHAnsi" w:cstheme="majorHAnsi"/>
        </w:rPr>
        <w:t>Pro</w:t>
      </w:r>
      <w:r>
        <w:rPr>
          <w:rFonts w:asciiTheme="majorHAnsi" w:hAnsiTheme="majorHAnsi" w:cstheme="majorHAnsi"/>
        </w:rPr>
        <w:t>mot</w:t>
      </w:r>
      <w:r w:rsidR="00A35A9F">
        <w:rPr>
          <w:rFonts w:asciiTheme="majorHAnsi" w:hAnsiTheme="majorHAnsi" w:cstheme="majorHAnsi"/>
        </w:rPr>
        <w:t>ing</w:t>
      </w:r>
      <w:r>
        <w:rPr>
          <w:rFonts w:asciiTheme="majorHAnsi" w:hAnsiTheme="majorHAnsi" w:cstheme="majorHAnsi"/>
        </w:rPr>
        <w:t xml:space="preserve"> legislation</w:t>
      </w:r>
      <w:r w:rsidRPr="00BA711C">
        <w:rPr>
          <w:rFonts w:asciiTheme="majorHAnsi" w:hAnsiTheme="majorHAnsi" w:cstheme="majorHAnsi"/>
        </w:rPr>
        <w:t xml:space="preserve"> for collective redress</w:t>
      </w:r>
      <w:r w:rsidR="00A35A9F">
        <w:rPr>
          <w:rFonts w:asciiTheme="majorHAnsi" w:hAnsiTheme="majorHAnsi" w:cstheme="majorHAnsi"/>
        </w:rPr>
        <w:t xml:space="preserve"> and</w:t>
      </w:r>
      <w:r w:rsidRPr="00BA711C">
        <w:rPr>
          <w:rFonts w:asciiTheme="majorHAnsi" w:hAnsiTheme="majorHAnsi" w:cstheme="majorHAnsi"/>
        </w:rPr>
        <w:t xml:space="preserve"> representative actions by </w:t>
      </w:r>
      <w:r>
        <w:rPr>
          <w:rFonts w:asciiTheme="majorHAnsi" w:hAnsiTheme="majorHAnsi" w:cstheme="majorHAnsi"/>
        </w:rPr>
        <w:t xml:space="preserve">affected victims, </w:t>
      </w:r>
      <w:r w:rsidRPr="00BA711C">
        <w:rPr>
          <w:rFonts w:asciiTheme="majorHAnsi" w:hAnsiTheme="majorHAnsi" w:cstheme="majorHAnsi"/>
        </w:rPr>
        <w:t>civil society organisations and</w:t>
      </w:r>
      <w:r>
        <w:rPr>
          <w:rFonts w:asciiTheme="majorHAnsi" w:hAnsiTheme="majorHAnsi" w:cstheme="majorHAnsi"/>
        </w:rPr>
        <w:t>/or</w:t>
      </w:r>
      <w:r w:rsidRPr="00BA711C">
        <w:rPr>
          <w:rFonts w:asciiTheme="majorHAnsi" w:hAnsiTheme="majorHAnsi" w:cstheme="majorHAnsi"/>
        </w:rPr>
        <w:t xml:space="preserve"> trade unions, in </w:t>
      </w:r>
      <w:r w:rsidR="00626B02" w:rsidRPr="0093256D">
        <w:rPr>
          <w:rFonts w:asciiTheme="majorHAnsi" w:hAnsiTheme="majorHAnsi" w:cstheme="majorHAnsi"/>
        </w:rPr>
        <w:t>in business and human rights transnational cases</w:t>
      </w:r>
      <w:r w:rsidRPr="00BA711C">
        <w:rPr>
          <w:rFonts w:asciiTheme="majorHAnsi" w:hAnsiTheme="majorHAnsi" w:cstheme="majorHAnsi"/>
        </w:rPr>
        <w:t>.</w:t>
      </w:r>
    </w:p>
    <w:p w14:paraId="376209F0" w14:textId="43C89527" w:rsidR="00626B02" w:rsidRDefault="00F37B5E" w:rsidP="00E75868">
      <w:pPr>
        <w:spacing w:line="240" w:lineRule="auto"/>
        <w:rPr>
          <w:rFonts w:asciiTheme="majorHAnsi" w:hAnsiTheme="majorHAnsi" w:cstheme="majorHAnsi"/>
        </w:rPr>
      </w:pPr>
      <w:r>
        <w:rPr>
          <w:rFonts w:asciiTheme="majorHAnsi" w:hAnsiTheme="majorHAnsi" w:cstheme="majorHAnsi"/>
        </w:rPr>
        <w:t xml:space="preserve">In relation to </w:t>
      </w:r>
      <w:r w:rsidRPr="005810F0">
        <w:rPr>
          <w:rFonts w:asciiTheme="majorHAnsi" w:hAnsiTheme="majorHAnsi" w:cstheme="majorHAnsi"/>
          <w:b/>
          <w:bCs/>
        </w:rPr>
        <w:t>arbitration</w:t>
      </w:r>
      <w:r w:rsidR="005810F0" w:rsidRPr="005810F0">
        <w:rPr>
          <w:rFonts w:asciiTheme="majorHAnsi" w:hAnsiTheme="majorHAnsi" w:cstheme="majorHAnsi"/>
          <w:b/>
          <w:bCs/>
        </w:rPr>
        <w:t xml:space="preserve"> proceedings</w:t>
      </w:r>
      <w:r w:rsidRPr="005810F0">
        <w:rPr>
          <w:rFonts w:asciiTheme="majorHAnsi" w:hAnsiTheme="majorHAnsi" w:cstheme="majorHAnsi"/>
          <w:b/>
          <w:bCs/>
        </w:rPr>
        <w:t xml:space="preserve"> related to human rights abuses linked to extractive activities</w:t>
      </w:r>
      <w:r w:rsidRPr="00D55DF8">
        <w:rPr>
          <w:rFonts w:asciiTheme="majorHAnsi" w:hAnsiTheme="majorHAnsi" w:cstheme="majorHAnsi"/>
        </w:rPr>
        <w:t xml:space="preserve"> </w:t>
      </w:r>
      <w:r w:rsidR="00587380">
        <w:rPr>
          <w:rFonts w:asciiTheme="majorHAnsi" w:hAnsiTheme="majorHAnsi" w:cstheme="majorHAnsi"/>
        </w:rPr>
        <w:t>some measures that could address the</w:t>
      </w:r>
      <w:r>
        <w:rPr>
          <w:rFonts w:asciiTheme="majorHAnsi" w:hAnsiTheme="majorHAnsi" w:cstheme="majorHAnsi"/>
        </w:rPr>
        <w:t xml:space="preserve"> </w:t>
      </w:r>
      <w:r w:rsidR="00C15623">
        <w:rPr>
          <w:rFonts w:asciiTheme="majorHAnsi" w:hAnsiTheme="majorHAnsi" w:cstheme="majorHAnsi"/>
        </w:rPr>
        <w:t>c</w:t>
      </w:r>
      <w:r w:rsidR="00C15623" w:rsidRPr="00C15623">
        <w:rPr>
          <w:rFonts w:asciiTheme="majorHAnsi" w:hAnsiTheme="majorHAnsi" w:cstheme="majorHAnsi"/>
        </w:rPr>
        <w:t>hallenges in relation to access to remedy in arbitration proceedings</w:t>
      </w:r>
      <w:r w:rsidR="00587380">
        <w:rPr>
          <w:rFonts w:asciiTheme="majorHAnsi" w:hAnsiTheme="majorHAnsi" w:cstheme="majorHAnsi"/>
        </w:rPr>
        <w:t xml:space="preserve"> under Investment Contracts include:</w:t>
      </w:r>
      <w:r w:rsidR="007414D0">
        <w:rPr>
          <w:rFonts w:asciiTheme="majorHAnsi" w:hAnsiTheme="majorHAnsi" w:cstheme="majorHAnsi"/>
        </w:rPr>
        <w:t xml:space="preserve"> (i) </w:t>
      </w:r>
      <w:r w:rsidR="007414D0" w:rsidRPr="00F6346A">
        <w:rPr>
          <w:rFonts w:asciiTheme="majorHAnsi" w:hAnsiTheme="majorHAnsi" w:cstheme="majorHAnsi"/>
          <w:lang w:val="en-US"/>
        </w:rPr>
        <w:t>incorporat</w:t>
      </w:r>
      <w:r w:rsidR="007414D0">
        <w:rPr>
          <w:rFonts w:asciiTheme="majorHAnsi" w:hAnsiTheme="majorHAnsi" w:cstheme="majorHAnsi"/>
          <w:lang w:val="en-US"/>
        </w:rPr>
        <w:t xml:space="preserve">ing </w:t>
      </w:r>
      <w:r w:rsidR="007414D0" w:rsidRPr="00F6346A">
        <w:rPr>
          <w:rFonts w:asciiTheme="majorHAnsi" w:hAnsiTheme="majorHAnsi" w:cstheme="majorHAnsi"/>
          <w:lang w:val="en-US"/>
        </w:rPr>
        <w:t>environmental</w:t>
      </w:r>
      <w:r w:rsidR="007414D0">
        <w:rPr>
          <w:rFonts w:asciiTheme="majorHAnsi" w:hAnsiTheme="majorHAnsi" w:cstheme="majorHAnsi"/>
          <w:lang w:val="en-US"/>
        </w:rPr>
        <w:t xml:space="preserve"> and sustainable development</w:t>
      </w:r>
      <w:r w:rsidR="007414D0" w:rsidRPr="00F6346A">
        <w:rPr>
          <w:rFonts w:asciiTheme="majorHAnsi" w:hAnsiTheme="majorHAnsi" w:cstheme="majorHAnsi"/>
          <w:lang w:val="en-US"/>
        </w:rPr>
        <w:t xml:space="preserve"> obligations in </w:t>
      </w:r>
      <w:r w:rsidR="007414D0">
        <w:rPr>
          <w:rFonts w:asciiTheme="majorHAnsi" w:hAnsiTheme="majorHAnsi" w:cstheme="majorHAnsi"/>
          <w:lang w:val="en-US"/>
        </w:rPr>
        <w:t>I</w:t>
      </w:r>
      <w:r w:rsidR="007414D0" w:rsidRPr="00F6346A">
        <w:rPr>
          <w:rFonts w:asciiTheme="majorHAnsi" w:hAnsiTheme="majorHAnsi" w:cstheme="majorHAnsi"/>
          <w:lang w:val="en-US"/>
        </w:rPr>
        <w:t xml:space="preserve">nvestment </w:t>
      </w:r>
      <w:r w:rsidR="007414D0">
        <w:rPr>
          <w:rFonts w:asciiTheme="majorHAnsi" w:hAnsiTheme="majorHAnsi" w:cstheme="majorHAnsi"/>
          <w:lang w:val="en-US"/>
        </w:rPr>
        <w:t>C</w:t>
      </w:r>
      <w:r w:rsidR="007414D0" w:rsidRPr="00F6346A">
        <w:rPr>
          <w:rFonts w:asciiTheme="majorHAnsi" w:hAnsiTheme="majorHAnsi" w:cstheme="majorHAnsi"/>
          <w:lang w:val="en-US"/>
        </w:rPr>
        <w:t>ontracts</w:t>
      </w:r>
      <w:r w:rsidR="008D4A7E">
        <w:rPr>
          <w:rFonts w:asciiTheme="majorHAnsi" w:hAnsiTheme="majorHAnsi" w:cstheme="majorHAnsi"/>
          <w:lang w:val="en-US"/>
        </w:rPr>
        <w:t>; and (ii)</w:t>
      </w:r>
      <w:r w:rsidR="007A5ADB">
        <w:rPr>
          <w:rFonts w:asciiTheme="majorHAnsi" w:hAnsiTheme="majorHAnsi" w:cstheme="majorHAnsi"/>
          <w:lang w:val="en-US"/>
        </w:rPr>
        <w:t xml:space="preserve"> u</w:t>
      </w:r>
      <w:r w:rsidR="007A5ADB" w:rsidRPr="007A5ADB">
        <w:rPr>
          <w:rFonts w:asciiTheme="majorHAnsi" w:hAnsiTheme="majorHAnsi" w:cstheme="majorHAnsi"/>
          <w:lang w:val="en-US"/>
        </w:rPr>
        <w:t>sing international arbitration to improve access to justice for local communities</w:t>
      </w:r>
      <w:r w:rsidR="007A5ADB">
        <w:rPr>
          <w:rFonts w:asciiTheme="majorHAnsi" w:hAnsiTheme="majorHAnsi" w:cstheme="majorHAnsi"/>
          <w:lang w:val="en-US"/>
        </w:rPr>
        <w:t>.</w:t>
      </w:r>
    </w:p>
    <w:p w14:paraId="5C32696D" w14:textId="5FD9F328" w:rsidR="009B6BA8" w:rsidRPr="009B6BA8" w:rsidRDefault="002A3936" w:rsidP="009B6BA8">
      <w:pPr>
        <w:spacing w:line="240" w:lineRule="auto"/>
        <w:rPr>
          <w:rFonts w:asciiTheme="majorHAnsi" w:hAnsiTheme="majorHAnsi" w:cstheme="majorHAnsi"/>
        </w:rPr>
      </w:pPr>
      <w:r>
        <w:rPr>
          <w:rFonts w:asciiTheme="majorHAnsi" w:hAnsiTheme="majorHAnsi" w:cstheme="majorHAnsi"/>
        </w:rPr>
        <w:t xml:space="preserve">For example, </w:t>
      </w:r>
      <w:r w:rsidR="00587380" w:rsidRPr="009B6BA8">
        <w:rPr>
          <w:rFonts w:asciiTheme="majorHAnsi" w:hAnsiTheme="majorHAnsi" w:cstheme="majorHAnsi"/>
        </w:rPr>
        <w:t>I</w:t>
      </w:r>
      <w:r w:rsidR="00572E4D" w:rsidRPr="009B6BA8">
        <w:rPr>
          <w:rFonts w:asciiTheme="majorHAnsi" w:hAnsiTheme="majorHAnsi" w:cstheme="majorHAnsi"/>
        </w:rPr>
        <w:t>nclu</w:t>
      </w:r>
      <w:r w:rsidR="00587380" w:rsidRPr="009B6BA8">
        <w:rPr>
          <w:rFonts w:asciiTheme="majorHAnsi" w:hAnsiTheme="majorHAnsi" w:cstheme="majorHAnsi"/>
        </w:rPr>
        <w:t>ding</w:t>
      </w:r>
      <w:r w:rsidR="00572E4D" w:rsidRPr="009B6BA8">
        <w:rPr>
          <w:rFonts w:asciiTheme="majorHAnsi" w:hAnsiTheme="majorHAnsi" w:cstheme="majorHAnsi"/>
        </w:rPr>
        <w:t xml:space="preserve"> </w:t>
      </w:r>
      <w:r w:rsidR="004529B2" w:rsidRPr="009B6BA8">
        <w:rPr>
          <w:rFonts w:asciiTheme="majorHAnsi" w:hAnsiTheme="majorHAnsi" w:cstheme="majorHAnsi"/>
        </w:rPr>
        <w:t>Human Rights undertaking</w:t>
      </w:r>
      <w:r w:rsidR="00587380" w:rsidRPr="009B6BA8">
        <w:rPr>
          <w:rFonts w:asciiTheme="majorHAnsi" w:hAnsiTheme="majorHAnsi" w:cstheme="majorHAnsi"/>
        </w:rPr>
        <w:t>s</w:t>
      </w:r>
      <w:r w:rsidR="004529B2" w:rsidRPr="009B6BA8">
        <w:rPr>
          <w:rFonts w:asciiTheme="majorHAnsi" w:hAnsiTheme="majorHAnsi" w:cstheme="majorHAnsi"/>
        </w:rPr>
        <w:t xml:space="preserve"> by the Investor</w:t>
      </w:r>
      <w:r w:rsidR="00572E4D" w:rsidRPr="009B6BA8">
        <w:rPr>
          <w:rFonts w:asciiTheme="majorHAnsi" w:hAnsiTheme="majorHAnsi" w:cstheme="majorHAnsi"/>
        </w:rPr>
        <w:t xml:space="preserve"> in Investment Contracts</w:t>
      </w:r>
      <w:r>
        <w:rPr>
          <w:rFonts w:asciiTheme="majorHAnsi" w:hAnsiTheme="majorHAnsi" w:cstheme="majorHAnsi"/>
        </w:rPr>
        <w:t xml:space="preserve"> could be a </w:t>
      </w:r>
      <w:r w:rsidR="00062141">
        <w:rPr>
          <w:rFonts w:asciiTheme="majorHAnsi" w:hAnsiTheme="majorHAnsi" w:cstheme="majorHAnsi"/>
        </w:rPr>
        <w:t xml:space="preserve">good way </w:t>
      </w:r>
      <w:r w:rsidR="00062141" w:rsidRPr="00F6346A">
        <w:rPr>
          <w:rFonts w:asciiTheme="majorHAnsi" w:hAnsiTheme="majorHAnsi" w:cstheme="majorHAnsi"/>
          <w:lang w:val="en-US"/>
        </w:rPr>
        <w:t>incorporat</w:t>
      </w:r>
      <w:r w:rsidR="00062141">
        <w:rPr>
          <w:rFonts w:asciiTheme="majorHAnsi" w:hAnsiTheme="majorHAnsi" w:cstheme="majorHAnsi"/>
          <w:lang w:val="en-US"/>
        </w:rPr>
        <w:t xml:space="preserve">ing </w:t>
      </w:r>
      <w:r w:rsidR="00062141" w:rsidRPr="00F6346A">
        <w:rPr>
          <w:rFonts w:asciiTheme="majorHAnsi" w:hAnsiTheme="majorHAnsi" w:cstheme="majorHAnsi"/>
          <w:lang w:val="en-US"/>
        </w:rPr>
        <w:t>environmental</w:t>
      </w:r>
      <w:r w:rsidR="00062141">
        <w:rPr>
          <w:rFonts w:asciiTheme="majorHAnsi" w:hAnsiTheme="majorHAnsi" w:cstheme="majorHAnsi"/>
          <w:lang w:val="en-US"/>
        </w:rPr>
        <w:t xml:space="preserve"> and sustainable development</w:t>
      </w:r>
      <w:r w:rsidR="00062141" w:rsidRPr="00F6346A">
        <w:rPr>
          <w:rFonts w:asciiTheme="majorHAnsi" w:hAnsiTheme="majorHAnsi" w:cstheme="majorHAnsi"/>
          <w:lang w:val="en-US"/>
        </w:rPr>
        <w:t xml:space="preserve"> obligations in </w:t>
      </w:r>
      <w:r w:rsidR="00062141">
        <w:rPr>
          <w:rFonts w:asciiTheme="majorHAnsi" w:hAnsiTheme="majorHAnsi" w:cstheme="majorHAnsi"/>
          <w:lang w:val="en-US"/>
        </w:rPr>
        <w:t>I</w:t>
      </w:r>
      <w:r w:rsidR="00062141" w:rsidRPr="00F6346A">
        <w:rPr>
          <w:rFonts w:asciiTheme="majorHAnsi" w:hAnsiTheme="majorHAnsi" w:cstheme="majorHAnsi"/>
          <w:lang w:val="en-US"/>
        </w:rPr>
        <w:t xml:space="preserve">nvestment </w:t>
      </w:r>
      <w:r w:rsidR="00062141">
        <w:rPr>
          <w:rFonts w:asciiTheme="majorHAnsi" w:hAnsiTheme="majorHAnsi" w:cstheme="majorHAnsi"/>
          <w:lang w:val="en-US"/>
        </w:rPr>
        <w:t>C</w:t>
      </w:r>
      <w:r w:rsidR="00062141" w:rsidRPr="00F6346A">
        <w:rPr>
          <w:rFonts w:asciiTheme="majorHAnsi" w:hAnsiTheme="majorHAnsi" w:cstheme="majorHAnsi"/>
          <w:lang w:val="en-US"/>
        </w:rPr>
        <w:t>ontracts</w:t>
      </w:r>
      <w:r w:rsidR="004529B2" w:rsidRPr="009B6BA8">
        <w:rPr>
          <w:rFonts w:asciiTheme="majorHAnsi" w:hAnsiTheme="majorHAnsi" w:cstheme="majorHAnsi"/>
        </w:rPr>
        <w:t xml:space="preserve">. </w:t>
      </w:r>
      <w:r w:rsidR="00062141">
        <w:rPr>
          <w:rFonts w:asciiTheme="majorHAnsi" w:hAnsiTheme="majorHAnsi" w:cstheme="majorHAnsi"/>
        </w:rPr>
        <w:t>This</w:t>
      </w:r>
      <w:r w:rsidR="004529B2" w:rsidRPr="009B6BA8">
        <w:rPr>
          <w:rFonts w:asciiTheme="majorHAnsi" w:hAnsiTheme="majorHAnsi" w:cstheme="majorHAnsi"/>
        </w:rPr>
        <w:t xml:space="preserve"> undertaking could include: </w:t>
      </w:r>
      <w:r w:rsidR="0093239A" w:rsidRPr="009B6BA8">
        <w:rPr>
          <w:rFonts w:asciiTheme="majorHAnsi" w:hAnsiTheme="majorHAnsi" w:cstheme="majorHAnsi"/>
        </w:rPr>
        <w:t>(i) a</w:t>
      </w:r>
      <w:r w:rsidR="004529B2" w:rsidRPr="009B6BA8">
        <w:rPr>
          <w:rFonts w:asciiTheme="majorHAnsi" w:hAnsiTheme="majorHAnsi" w:cstheme="majorHAnsi"/>
        </w:rPr>
        <w:t xml:space="preserve"> commitment by the Investor not to challenge any </w:t>
      </w:r>
      <w:r w:rsidR="004529B2" w:rsidRPr="009B6BA8">
        <w:rPr>
          <w:rFonts w:asciiTheme="majorHAnsi" w:hAnsiTheme="majorHAnsi" w:cstheme="majorHAnsi"/>
        </w:rPr>
        <w:lastRenderedPageBreak/>
        <w:t>regulation adopted by the Host State to protect human rights or the environmental;</w:t>
      </w:r>
      <w:r w:rsidR="0093239A" w:rsidRPr="009B6BA8">
        <w:rPr>
          <w:rFonts w:asciiTheme="majorHAnsi" w:hAnsiTheme="majorHAnsi" w:cstheme="majorHAnsi"/>
        </w:rPr>
        <w:t xml:space="preserve"> (ii) express</w:t>
      </w:r>
      <w:r w:rsidR="004529B2" w:rsidRPr="009B6BA8">
        <w:rPr>
          <w:rFonts w:asciiTheme="majorHAnsi" w:hAnsiTheme="majorHAnsi" w:cstheme="majorHAnsi"/>
        </w:rPr>
        <w:t xml:space="preserve"> acknowledgement that human rights and environmental standards are dynamic and are allowed to evolve; and</w:t>
      </w:r>
      <w:r w:rsidR="00164842" w:rsidRPr="009B6BA8">
        <w:rPr>
          <w:rFonts w:asciiTheme="majorHAnsi" w:hAnsiTheme="majorHAnsi" w:cstheme="majorHAnsi"/>
        </w:rPr>
        <w:t xml:space="preserve"> (iii) a</w:t>
      </w:r>
      <w:r w:rsidR="004529B2" w:rsidRPr="009B6BA8">
        <w:rPr>
          <w:rFonts w:asciiTheme="majorHAnsi" w:hAnsiTheme="majorHAnsi" w:cstheme="majorHAnsi"/>
        </w:rPr>
        <w:t xml:space="preserve"> provision recognising that human rights victims would be able to seek remedy for human rights violations either in the domestic courts or through arbitration.</w:t>
      </w:r>
    </w:p>
    <w:p w14:paraId="37D3C03E" w14:textId="38FF39E3" w:rsidR="008E1089" w:rsidRPr="009B6BA8" w:rsidRDefault="008B73E8" w:rsidP="009B6BA8">
      <w:pPr>
        <w:spacing w:line="240" w:lineRule="auto"/>
        <w:rPr>
          <w:rFonts w:asciiTheme="majorHAnsi" w:hAnsiTheme="majorHAnsi" w:cstheme="majorHAnsi"/>
        </w:rPr>
      </w:pPr>
      <w:r w:rsidRPr="009B6BA8">
        <w:rPr>
          <w:rFonts w:asciiTheme="majorHAnsi" w:hAnsiTheme="majorHAnsi" w:cstheme="majorHAnsi"/>
        </w:rPr>
        <w:t xml:space="preserve">Regarding the use of </w:t>
      </w:r>
      <w:r w:rsidR="00A920F7">
        <w:rPr>
          <w:rFonts w:asciiTheme="majorHAnsi" w:hAnsiTheme="majorHAnsi" w:cstheme="majorHAnsi"/>
        </w:rPr>
        <w:t xml:space="preserve">international </w:t>
      </w:r>
      <w:r w:rsidRPr="009B6BA8">
        <w:rPr>
          <w:rFonts w:asciiTheme="majorHAnsi" w:hAnsiTheme="majorHAnsi" w:cstheme="majorHAnsi"/>
        </w:rPr>
        <w:t>arbitration to</w:t>
      </w:r>
      <w:r w:rsidR="00A920F7" w:rsidRPr="007A5ADB">
        <w:rPr>
          <w:rFonts w:asciiTheme="majorHAnsi" w:hAnsiTheme="majorHAnsi" w:cstheme="majorHAnsi"/>
          <w:lang w:val="en-US"/>
        </w:rPr>
        <w:t xml:space="preserve"> improve access to justice for local communities</w:t>
      </w:r>
      <w:r w:rsidRPr="009B6BA8">
        <w:rPr>
          <w:rFonts w:asciiTheme="majorHAnsi" w:hAnsiTheme="majorHAnsi" w:cstheme="majorHAnsi"/>
        </w:rPr>
        <w:t xml:space="preserve"> </w:t>
      </w:r>
      <w:r w:rsidR="00CF25B6" w:rsidRPr="009B6BA8">
        <w:rPr>
          <w:rFonts w:asciiTheme="majorHAnsi" w:hAnsiTheme="majorHAnsi" w:cstheme="majorHAnsi"/>
        </w:rPr>
        <w:t>it should be noted that a</w:t>
      </w:r>
      <w:r w:rsidR="008E1089" w:rsidRPr="009B6BA8">
        <w:rPr>
          <w:rFonts w:asciiTheme="majorHAnsi" w:hAnsiTheme="majorHAnsi" w:cstheme="majorHAnsi"/>
        </w:rPr>
        <w:t>rbitration c</w:t>
      </w:r>
      <w:r w:rsidR="00CF25B6" w:rsidRPr="009B6BA8">
        <w:rPr>
          <w:rFonts w:asciiTheme="majorHAnsi" w:hAnsiTheme="majorHAnsi" w:cstheme="majorHAnsi"/>
        </w:rPr>
        <w:t>ould potentially</w:t>
      </w:r>
      <w:r w:rsidR="008E1089" w:rsidRPr="009B6BA8">
        <w:rPr>
          <w:rFonts w:asciiTheme="majorHAnsi" w:hAnsiTheme="majorHAnsi" w:cstheme="majorHAnsi"/>
        </w:rPr>
        <w:t xml:space="preserve"> serve as a legal mechanism for holding companies to account. An example of this were the Bangladesh Accord arbitrations started by trade unions against two global fashion brands.</w:t>
      </w:r>
    </w:p>
    <w:p w14:paraId="5182DFF1" w14:textId="77777777" w:rsidR="008E1089" w:rsidRPr="008E1089" w:rsidRDefault="008E1089" w:rsidP="008E1089">
      <w:pPr>
        <w:spacing w:line="240" w:lineRule="auto"/>
        <w:rPr>
          <w:rFonts w:asciiTheme="majorHAnsi" w:hAnsiTheme="majorHAnsi" w:cstheme="majorHAnsi"/>
        </w:rPr>
      </w:pPr>
      <w:r w:rsidRPr="008E1089">
        <w:rPr>
          <w:rFonts w:asciiTheme="majorHAnsi" w:hAnsiTheme="majorHAnsi" w:cstheme="majorHAnsi"/>
        </w:rPr>
        <w:t>For example, if a local group or population is directly impacted by a project in an environmentally protected area, which is likely to have a negative impact on their livelihoods and on their access to natural resources, arbitration could offer them access to justice in two scenarios:</w:t>
      </w:r>
    </w:p>
    <w:p w14:paraId="24D61418" w14:textId="77777777" w:rsidR="008E1089" w:rsidRPr="008E1089" w:rsidRDefault="008E1089" w:rsidP="008E1089">
      <w:pPr>
        <w:numPr>
          <w:ilvl w:val="2"/>
          <w:numId w:val="17"/>
        </w:numPr>
        <w:spacing w:line="240" w:lineRule="auto"/>
        <w:rPr>
          <w:rFonts w:asciiTheme="majorHAnsi" w:hAnsiTheme="majorHAnsi" w:cstheme="majorHAnsi"/>
        </w:rPr>
      </w:pPr>
      <w:r w:rsidRPr="008E1089">
        <w:rPr>
          <w:rFonts w:asciiTheme="majorHAnsi" w:hAnsiTheme="majorHAnsi" w:cstheme="majorHAnsi"/>
        </w:rPr>
        <w:t xml:space="preserve">In an </w:t>
      </w:r>
      <w:r w:rsidRPr="008E1089">
        <w:rPr>
          <w:rFonts w:asciiTheme="majorHAnsi" w:hAnsiTheme="majorHAnsi" w:cstheme="majorHAnsi"/>
          <w:i/>
          <w:iCs/>
        </w:rPr>
        <w:t>ex-ante</w:t>
      </w:r>
      <w:r w:rsidRPr="008E1089">
        <w:rPr>
          <w:rFonts w:asciiTheme="majorHAnsi" w:hAnsiTheme="majorHAnsi" w:cstheme="majorHAnsi"/>
        </w:rPr>
        <w:t xml:space="preserve"> scenario, an arbitration clause could be included in license agreements or environmental permits. This clause would allow local authorities to trigger arbitration proceedings in cases where companies do not comply with the terms of the license or permit.</w:t>
      </w:r>
    </w:p>
    <w:p w14:paraId="43CD93A4" w14:textId="77777777" w:rsidR="008E1089" w:rsidRPr="008E1089" w:rsidRDefault="008E1089" w:rsidP="008E1089">
      <w:pPr>
        <w:numPr>
          <w:ilvl w:val="2"/>
          <w:numId w:val="16"/>
        </w:numPr>
        <w:spacing w:line="240" w:lineRule="auto"/>
        <w:rPr>
          <w:rFonts w:asciiTheme="majorHAnsi" w:hAnsiTheme="majorHAnsi" w:cstheme="majorHAnsi"/>
        </w:rPr>
      </w:pPr>
      <w:r w:rsidRPr="008E1089">
        <w:rPr>
          <w:rFonts w:asciiTheme="majorHAnsi" w:hAnsiTheme="majorHAnsi" w:cstheme="majorHAnsi"/>
        </w:rPr>
        <w:t xml:space="preserve">In an </w:t>
      </w:r>
      <w:r w:rsidRPr="008E1089">
        <w:rPr>
          <w:rFonts w:asciiTheme="majorHAnsi" w:hAnsiTheme="majorHAnsi" w:cstheme="majorHAnsi"/>
          <w:i/>
          <w:iCs/>
        </w:rPr>
        <w:t>ex-post</w:t>
      </w:r>
      <w:r w:rsidRPr="008E1089">
        <w:rPr>
          <w:rFonts w:asciiTheme="majorHAnsi" w:hAnsiTheme="majorHAnsi" w:cstheme="majorHAnsi"/>
        </w:rPr>
        <w:t xml:space="preserve"> scenario, where all participating parties in a dispute validly consent to be bound, a submission agreement could be used to prevent multiple, multi-jurisdictional, court proceedings with inconsistent outcomes and provide certainty, enforceability and finality within a more attractive time frame than might be available through the courts.</w:t>
      </w:r>
    </w:p>
    <w:p w14:paraId="40A5D9E3" w14:textId="77777777" w:rsidR="008E1089" w:rsidRPr="008E1089" w:rsidRDefault="008E1089" w:rsidP="008E1089">
      <w:pPr>
        <w:spacing w:line="240" w:lineRule="auto"/>
        <w:rPr>
          <w:rFonts w:asciiTheme="majorHAnsi" w:hAnsiTheme="majorHAnsi" w:cstheme="majorHAnsi"/>
        </w:rPr>
      </w:pPr>
      <w:r w:rsidRPr="008E1089">
        <w:rPr>
          <w:rFonts w:asciiTheme="majorHAnsi" w:hAnsiTheme="majorHAnsi" w:cstheme="majorHAnsi"/>
        </w:rPr>
        <w:t>Using arbitration to resolve environmental and human rights disputes can significantly reduce the impediments that victims of human rights violations often face in litigation proceedings (e.g., jurisdictional issues and access to full redress).</w:t>
      </w:r>
    </w:p>
    <w:p w14:paraId="35A4B51A" w14:textId="77777777" w:rsidR="008E1089" w:rsidRPr="008E1089" w:rsidRDefault="008E1089" w:rsidP="008E1089">
      <w:pPr>
        <w:spacing w:line="240" w:lineRule="auto"/>
        <w:rPr>
          <w:rFonts w:asciiTheme="majorHAnsi" w:hAnsiTheme="majorHAnsi" w:cstheme="majorHAnsi"/>
        </w:rPr>
      </w:pPr>
      <w:r w:rsidRPr="008E1089">
        <w:rPr>
          <w:rFonts w:asciiTheme="majorHAnsi" w:hAnsiTheme="majorHAnsi" w:cstheme="majorHAnsi"/>
        </w:rPr>
        <w:t>Notably, there are arbitration rules specifically tailored to the resolution of business and human rights disputes (i.e., The Hague Rules on Business and Human Rights Arbitration (the “</w:t>
      </w:r>
      <w:r w:rsidRPr="008E1089">
        <w:rPr>
          <w:rFonts w:asciiTheme="majorHAnsi" w:hAnsiTheme="majorHAnsi" w:cstheme="majorHAnsi"/>
          <w:b/>
          <w:bCs/>
        </w:rPr>
        <w:t>Rules on BHR Arbitration</w:t>
      </w:r>
      <w:r w:rsidRPr="008E1089">
        <w:rPr>
          <w:rFonts w:asciiTheme="majorHAnsi" w:hAnsiTheme="majorHAnsi" w:cstheme="majorHAnsi"/>
        </w:rPr>
        <w:t>”)). For example, Article 19 of the Rules on BHR Arbitration allows parties to consolidate claims and join mass claims of human rights violations.</w:t>
      </w:r>
      <w:r w:rsidRPr="008E1089">
        <w:rPr>
          <w:rFonts w:asciiTheme="majorHAnsi" w:hAnsiTheme="majorHAnsi" w:cstheme="majorHAnsi"/>
          <w:vertAlign w:val="superscript"/>
        </w:rPr>
        <w:footnoteReference w:id="11"/>
      </w:r>
      <w:r w:rsidRPr="008E1089">
        <w:rPr>
          <w:rFonts w:asciiTheme="majorHAnsi" w:hAnsiTheme="majorHAnsi" w:cstheme="majorHAnsi"/>
        </w:rPr>
        <w:t xml:space="preserve"> </w:t>
      </w:r>
    </w:p>
    <w:p w14:paraId="0AC485E8" w14:textId="77777777" w:rsidR="008E1089" w:rsidRPr="008E1089" w:rsidRDefault="008E1089" w:rsidP="008E1089">
      <w:pPr>
        <w:spacing w:line="240" w:lineRule="auto"/>
        <w:rPr>
          <w:rFonts w:asciiTheme="majorHAnsi" w:hAnsiTheme="majorHAnsi" w:cstheme="majorHAnsi"/>
        </w:rPr>
      </w:pPr>
      <w:r w:rsidRPr="008E1089">
        <w:rPr>
          <w:rFonts w:asciiTheme="majorHAnsi" w:hAnsiTheme="majorHAnsi" w:cstheme="majorHAnsi"/>
        </w:rPr>
        <w:t>In addition, the Annex to the Rules on BHR Arbitration provides examples of arbitral clauses than can be used in a variety of contexts, involving different combinations of parties, subject matters, agreements and other instruments (e.g., Model clauses for pre-dispute submission to arbitration; Model submission agreement for existing disputes; and Model clause to grant third party arbitration rights).</w:t>
      </w:r>
      <w:r w:rsidRPr="008E1089">
        <w:rPr>
          <w:rFonts w:asciiTheme="majorHAnsi" w:hAnsiTheme="majorHAnsi" w:cstheme="majorHAnsi"/>
          <w:vertAlign w:val="superscript"/>
        </w:rPr>
        <w:footnoteReference w:id="12"/>
      </w:r>
    </w:p>
    <w:p w14:paraId="4D1DF201" w14:textId="77777777" w:rsidR="002A3A36" w:rsidRDefault="002A3A36" w:rsidP="000B3015">
      <w:pPr>
        <w:spacing w:line="240" w:lineRule="auto"/>
        <w:rPr>
          <w:rFonts w:asciiTheme="majorHAnsi" w:hAnsiTheme="majorHAnsi" w:cstheme="majorHAnsi"/>
          <w:b/>
          <w:bCs/>
        </w:rPr>
      </w:pPr>
    </w:p>
    <w:sectPr w:rsidR="002A3A3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C82A" w14:textId="77777777" w:rsidR="00111CDB" w:rsidRDefault="00111CDB" w:rsidP="003D76DF">
      <w:pPr>
        <w:spacing w:after="0" w:line="240" w:lineRule="auto"/>
      </w:pPr>
      <w:r>
        <w:separator/>
      </w:r>
    </w:p>
  </w:endnote>
  <w:endnote w:type="continuationSeparator" w:id="0">
    <w:p w14:paraId="05B3AE6E" w14:textId="77777777" w:rsidR="00111CDB" w:rsidRDefault="00111CDB" w:rsidP="003D76DF">
      <w:pPr>
        <w:spacing w:after="0" w:line="240" w:lineRule="auto"/>
      </w:pPr>
      <w:r>
        <w:continuationSeparator/>
      </w:r>
    </w:p>
  </w:endnote>
  <w:endnote w:type="continuationNotice" w:id="1">
    <w:p w14:paraId="3D66696C" w14:textId="77777777" w:rsidR="00111CDB" w:rsidRDefault="00111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377300"/>
      <w:docPartObj>
        <w:docPartGallery w:val="Page Numbers (Bottom of Page)"/>
        <w:docPartUnique/>
      </w:docPartObj>
    </w:sdtPr>
    <w:sdtEndPr/>
    <w:sdtContent>
      <w:p w14:paraId="70546697" w14:textId="2344F36D" w:rsidR="00E74ABA" w:rsidRDefault="00E74ABA">
        <w:pPr>
          <w:pStyle w:val="Footer"/>
          <w:jc w:val="center"/>
        </w:pPr>
        <w:r>
          <w:fldChar w:fldCharType="begin"/>
        </w:r>
        <w:r>
          <w:instrText>PAGE   \* MERGEFORMAT</w:instrText>
        </w:r>
        <w:r>
          <w:fldChar w:fldCharType="separate"/>
        </w:r>
        <w:r>
          <w:rPr>
            <w:lang w:val="es-MX"/>
          </w:rPr>
          <w:t>2</w:t>
        </w:r>
        <w:r>
          <w:fldChar w:fldCharType="end"/>
        </w:r>
      </w:p>
    </w:sdtContent>
  </w:sdt>
  <w:p w14:paraId="24421F96" w14:textId="77777777" w:rsidR="00E74ABA" w:rsidRDefault="00E74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1EAB6" w14:textId="77777777" w:rsidR="00111CDB" w:rsidRDefault="00111CDB" w:rsidP="003D76DF">
      <w:pPr>
        <w:spacing w:after="0" w:line="240" w:lineRule="auto"/>
      </w:pPr>
      <w:r>
        <w:separator/>
      </w:r>
    </w:p>
  </w:footnote>
  <w:footnote w:type="continuationSeparator" w:id="0">
    <w:p w14:paraId="4259A8E9" w14:textId="77777777" w:rsidR="00111CDB" w:rsidRDefault="00111CDB" w:rsidP="003D76DF">
      <w:pPr>
        <w:spacing w:after="0" w:line="240" w:lineRule="auto"/>
      </w:pPr>
      <w:r>
        <w:continuationSeparator/>
      </w:r>
    </w:p>
  </w:footnote>
  <w:footnote w:type="continuationNotice" w:id="1">
    <w:p w14:paraId="321E7851" w14:textId="77777777" w:rsidR="00111CDB" w:rsidRDefault="00111CDB">
      <w:pPr>
        <w:spacing w:after="0" w:line="240" w:lineRule="auto"/>
      </w:pPr>
    </w:p>
  </w:footnote>
  <w:footnote w:id="2">
    <w:p w14:paraId="4C42DA73" w14:textId="2B8CD097" w:rsidR="00BA711C" w:rsidRPr="005D072D" w:rsidRDefault="00BA711C">
      <w:pPr>
        <w:pStyle w:val="FootnoteText"/>
        <w:rPr>
          <w:rFonts w:asciiTheme="majorHAnsi" w:hAnsiTheme="majorHAnsi" w:cstheme="majorHAnsi"/>
          <w:sz w:val="18"/>
          <w:szCs w:val="18"/>
        </w:rPr>
      </w:pPr>
      <w:r w:rsidRPr="005D072D">
        <w:rPr>
          <w:rStyle w:val="FootnoteReference"/>
          <w:rFonts w:asciiTheme="majorHAnsi" w:hAnsiTheme="majorHAnsi" w:cstheme="majorHAnsi"/>
          <w:sz w:val="18"/>
          <w:szCs w:val="18"/>
        </w:rPr>
        <w:footnoteRef/>
      </w:r>
      <w:r w:rsidRPr="005D072D">
        <w:rPr>
          <w:rFonts w:asciiTheme="majorHAnsi" w:hAnsiTheme="majorHAnsi" w:cstheme="majorHAnsi"/>
          <w:sz w:val="18"/>
          <w:szCs w:val="18"/>
        </w:rPr>
        <w:t xml:space="preserve"> See </w:t>
      </w:r>
      <w:hyperlink r:id="rId1" w:history="1">
        <w:r w:rsidRPr="005D072D">
          <w:rPr>
            <w:rStyle w:val="Hyperlink"/>
            <w:rFonts w:asciiTheme="majorHAnsi" w:hAnsiTheme="majorHAnsi" w:cstheme="majorHAnsi"/>
            <w:sz w:val="18"/>
            <w:szCs w:val="18"/>
          </w:rPr>
          <w:t>https://www.ohchr.org/en/calls-for-input/2023/call-inputs-extractive-sector-just-transition-and-human-rights</w:t>
        </w:r>
      </w:hyperlink>
      <w:r w:rsidRPr="005D072D">
        <w:rPr>
          <w:rFonts w:asciiTheme="majorHAnsi" w:hAnsiTheme="majorHAnsi" w:cstheme="majorHAnsi"/>
          <w:sz w:val="18"/>
          <w:szCs w:val="18"/>
        </w:rPr>
        <w:t xml:space="preserve">. </w:t>
      </w:r>
    </w:p>
  </w:footnote>
  <w:footnote w:id="3">
    <w:p w14:paraId="499A9ECD" w14:textId="5B9B0AA3" w:rsidR="004653E6" w:rsidRPr="00E23A13" w:rsidRDefault="004653E6">
      <w:pPr>
        <w:pStyle w:val="FootnoteText"/>
        <w:rPr>
          <w:rFonts w:asciiTheme="majorHAnsi" w:hAnsiTheme="majorHAnsi" w:cstheme="majorHAnsi"/>
          <w:sz w:val="18"/>
          <w:szCs w:val="18"/>
          <w:lang w:val="en-US"/>
        </w:rPr>
      </w:pPr>
      <w:r w:rsidRPr="00E23A13">
        <w:rPr>
          <w:rStyle w:val="FootnoteReference"/>
          <w:rFonts w:asciiTheme="majorHAnsi" w:hAnsiTheme="majorHAnsi" w:cstheme="majorHAnsi"/>
          <w:sz w:val="18"/>
          <w:szCs w:val="18"/>
        </w:rPr>
        <w:footnoteRef/>
      </w:r>
      <w:r w:rsidRPr="00E23A13">
        <w:rPr>
          <w:rFonts w:asciiTheme="majorHAnsi" w:hAnsiTheme="majorHAnsi" w:cstheme="majorHAnsi"/>
          <w:sz w:val="18"/>
          <w:szCs w:val="18"/>
        </w:rPr>
        <w:t xml:space="preserve"> In relation to the need for States to give effect to equality of arms within the meaning of Article 6 of the ECHR see EU Fundamental Rights Agency, Business and human rights – access to remedy, October 2020. Opinion 5. Available at </w:t>
      </w:r>
      <w:hyperlink r:id="rId2" w:anchor="TabPubFRAopinions2" w:history="1">
        <w:r w:rsidRPr="00E23A13">
          <w:rPr>
            <w:rStyle w:val="Hyperlink"/>
            <w:rFonts w:asciiTheme="majorHAnsi" w:hAnsiTheme="majorHAnsi" w:cstheme="majorHAnsi"/>
            <w:sz w:val="18"/>
            <w:szCs w:val="18"/>
          </w:rPr>
          <w:t>https://fra.europa.eu/en/publication/2020/business-human-rights-remedies#TabPubFRAopinions2</w:t>
        </w:r>
      </w:hyperlink>
      <w:r w:rsidRPr="00E23A13">
        <w:rPr>
          <w:rFonts w:asciiTheme="majorHAnsi" w:hAnsiTheme="majorHAnsi" w:cstheme="majorHAnsi"/>
          <w:sz w:val="18"/>
          <w:szCs w:val="18"/>
          <w:u w:val="single"/>
        </w:rPr>
        <w:t xml:space="preserve"> </w:t>
      </w:r>
      <w:r w:rsidRPr="00E23A13">
        <w:rPr>
          <w:rFonts w:asciiTheme="majorHAnsi" w:hAnsiTheme="majorHAnsi" w:cstheme="majorHAnsi"/>
          <w:sz w:val="18"/>
          <w:szCs w:val="18"/>
        </w:rPr>
        <w:t>.</w:t>
      </w:r>
    </w:p>
  </w:footnote>
  <w:footnote w:id="4">
    <w:p w14:paraId="6302467E" w14:textId="51A2B172" w:rsidR="0094229F" w:rsidRPr="00416E09" w:rsidRDefault="0094229F" w:rsidP="0094229F">
      <w:pPr>
        <w:pStyle w:val="FootnoteText"/>
        <w:rPr>
          <w:rFonts w:asciiTheme="majorHAnsi" w:hAnsiTheme="majorHAnsi" w:cstheme="majorHAnsi"/>
          <w:sz w:val="18"/>
          <w:szCs w:val="18"/>
        </w:rPr>
      </w:pPr>
      <w:r w:rsidRPr="00416E09">
        <w:rPr>
          <w:rStyle w:val="FootnoteReference"/>
          <w:rFonts w:asciiTheme="majorHAnsi" w:hAnsiTheme="majorHAnsi" w:cstheme="majorHAnsi"/>
          <w:sz w:val="18"/>
          <w:szCs w:val="18"/>
        </w:rPr>
        <w:footnoteRef/>
      </w:r>
      <w:r w:rsidRPr="00416E09">
        <w:rPr>
          <w:rFonts w:asciiTheme="majorHAnsi" w:hAnsiTheme="majorHAnsi" w:cstheme="majorHAnsi"/>
          <w:sz w:val="18"/>
          <w:szCs w:val="18"/>
        </w:rPr>
        <w:t xml:space="preserve"> </w:t>
      </w:r>
      <w:r w:rsidRPr="00416E09">
        <w:rPr>
          <w:rFonts w:asciiTheme="majorHAnsi" w:hAnsiTheme="majorHAnsi" w:cstheme="majorHAnsi"/>
          <w:i/>
          <w:iCs/>
          <w:sz w:val="18"/>
          <w:szCs w:val="18"/>
        </w:rPr>
        <w:t>Municipality of Mariana &amp; Ors v BHP plc &amp; BHP Ltd</w:t>
      </w:r>
      <w:r w:rsidRPr="00416E09">
        <w:rPr>
          <w:rFonts w:asciiTheme="majorHAnsi" w:hAnsiTheme="majorHAnsi" w:cstheme="majorHAnsi"/>
          <w:sz w:val="18"/>
          <w:szCs w:val="18"/>
        </w:rPr>
        <w:t xml:space="preserve"> [2022] EWCA Civ 951</w:t>
      </w:r>
      <w:r>
        <w:rPr>
          <w:rFonts w:asciiTheme="majorHAnsi" w:hAnsiTheme="majorHAnsi" w:cstheme="majorHAnsi"/>
          <w:sz w:val="18"/>
          <w:szCs w:val="18"/>
        </w:rPr>
        <w:t>, para</w:t>
      </w:r>
      <w:r w:rsidR="00211668">
        <w:rPr>
          <w:rFonts w:asciiTheme="majorHAnsi" w:hAnsiTheme="majorHAnsi" w:cstheme="majorHAnsi"/>
          <w:sz w:val="18"/>
          <w:szCs w:val="18"/>
        </w:rPr>
        <w:t>s</w:t>
      </w:r>
      <w:r>
        <w:rPr>
          <w:rFonts w:asciiTheme="majorHAnsi" w:hAnsiTheme="majorHAnsi" w:cstheme="majorHAnsi"/>
          <w:sz w:val="18"/>
          <w:szCs w:val="18"/>
        </w:rPr>
        <w:t xml:space="preserve"> 1</w:t>
      </w:r>
      <w:r w:rsidR="00211668">
        <w:rPr>
          <w:rFonts w:asciiTheme="majorHAnsi" w:hAnsiTheme="majorHAnsi" w:cstheme="majorHAnsi"/>
          <w:sz w:val="18"/>
          <w:szCs w:val="18"/>
        </w:rPr>
        <w:t>84-188</w:t>
      </w:r>
      <w:r>
        <w:rPr>
          <w:rFonts w:asciiTheme="majorHAnsi" w:hAnsiTheme="majorHAnsi" w:cstheme="majorHAnsi"/>
          <w:sz w:val="18"/>
          <w:szCs w:val="18"/>
        </w:rPr>
        <w:t>.</w:t>
      </w:r>
    </w:p>
  </w:footnote>
  <w:footnote w:id="5">
    <w:p w14:paraId="5E426A66" w14:textId="57E79AE3" w:rsidR="00B309B2" w:rsidRPr="00416E09" w:rsidRDefault="00B309B2" w:rsidP="00B309B2">
      <w:pPr>
        <w:pStyle w:val="FootnoteText"/>
        <w:rPr>
          <w:rFonts w:asciiTheme="majorHAnsi" w:hAnsiTheme="majorHAnsi" w:cstheme="majorHAnsi"/>
          <w:sz w:val="18"/>
          <w:szCs w:val="18"/>
        </w:rPr>
      </w:pPr>
      <w:r w:rsidRPr="00416E09">
        <w:rPr>
          <w:rStyle w:val="FootnoteReference"/>
          <w:rFonts w:asciiTheme="majorHAnsi" w:hAnsiTheme="majorHAnsi" w:cstheme="majorHAnsi"/>
          <w:sz w:val="18"/>
          <w:szCs w:val="18"/>
        </w:rPr>
        <w:footnoteRef/>
      </w:r>
      <w:r w:rsidRPr="00416E09">
        <w:rPr>
          <w:rFonts w:asciiTheme="majorHAnsi" w:hAnsiTheme="majorHAnsi" w:cstheme="majorHAnsi"/>
          <w:sz w:val="18"/>
          <w:szCs w:val="18"/>
        </w:rPr>
        <w:t xml:space="preserve"> </w:t>
      </w:r>
      <w:r w:rsidRPr="00416E09">
        <w:rPr>
          <w:rFonts w:asciiTheme="majorHAnsi" w:hAnsiTheme="majorHAnsi" w:cstheme="majorHAnsi"/>
          <w:i/>
          <w:iCs/>
          <w:sz w:val="18"/>
          <w:szCs w:val="18"/>
        </w:rPr>
        <w:t>Municipality of Mariana &amp; Ors v BHP plc &amp; BHP Ltd</w:t>
      </w:r>
      <w:r w:rsidRPr="00416E09">
        <w:rPr>
          <w:rFonts w:asciiTheme="majorHAnsi" w:hAnsiTheme="majorHAnsi" w:cstheme="majorHAnsi"/>
          <w:sz w:val="18"/>
          <w:szCs w:val="18"/>
        </w:rPr>
        <w:t xml:space="preserve"> [2022] EWCA Civ 951</w:t>
      </w:r>
      <w:r>
        <w:rPr>
          <w:rFonts w:asciiTheme="majorHAnsi" w:hAnsiTheme="majorHAnsi" w:cstheme="majorHAnsi"/>
          <w:sz w:val="18"/>
          <w:szCs w:val="18"/>
        </w:rPr>
        <w:t>.</w:t>
      </w:r>
    </w:p>
  </w:footnote>
  <w:footnote w:id="6">
    <w:p w14:paraId="3B7A047B" w14:textId="4C3E794C" w:rsidR="00B71A7B" w:rsidRPr="00B71A7B" w:rsidRDefault="00B71A7B">
      <w:pPr>
        <w:pStyle w:val="FootnoteText"/>
        <w:rPr>
          <w:lang w:val="en-US"/>
        </w:rPr>
      </w:pPr>
      <w:r w:rsidRPr="00E23A13">
        <w:rPr>
          <w:rStyle w:val="FootnoteReference"/>
          <w:rFonts w:asciiTheme="majorHAnsi" w:hAnsiTheme="majorHAnsi" w:cstheme="majorHAnsi"/>
          <w:sz w:val="18"/>
          <w:szCs w:val="18"/>
        </w:rPr>
        <w:footnoteRef/>
      </w:r>
      <w:r w:rsidRPr="00E23A13">
        <w:rPr>
          <w:rFonts w:asciiTheme="majorHAnsi" w:hAnsiTheme="majorHAnsi" w:cstheme="majorHAnsi"/>
          <w:sz w:val="18"/>
          <w:szCs w:val="18"/>
        </w:rPr>
        <w:t xml:space="preserve"> </w:t>
      </w:r>
      <w:r w:rsidRPr="00E23A13">
        <w:rPr>
          <w:rFonts w:asciiTheme="majorHAnsi" w:hAnsiTheme="majorHAnsi" w:cstheme="majorHAnsi"/>
          <w:i/>
          <w:iCs/>
          <w:sz w:val="18"/>
          <w:szCs w:val="18"/>
        </w:rPr>
        <w:t>Owusu v Jackson and Others</w:t>
      </w:r>
      <w:r w:rsidRPr="00E23A13">
        <w:rPr>
          <w:rFonts w:asciiTheme="majorHAnsi" w:hAnsiTheme="majorHAnsi" w:cstheme="majorHAnsi"/>
          <w:sz w:val="18"/>
          <w:szCs w:val="18"/>
        </w:rPr>
        <w:t xml:space="preserve">, C-281/02 [2005] ECR I-1383. </w:t>
      </w:r>
    </w:p>
  </w:footnote>
  <w:footnote w:id="7">
    <w:p w14:paraId="1BE3950F" w14:textId="3B6246BB" w:rsidR="00E00E5E" w:rsidRPr="00416E09" w:rsidRDefault="00E00E5E">
      <w:pPr>
        <w:pStyle w:val="FootnoteText"/>
        <w:rPr>
          <w:rFonts w:asciiTheme="majorHAnsi" w:hAnsiTheme="majorHAnsi" w:cstheme="majorHAnsi"/>
          <w:sz w:val="18"/>
          <w:szCs w:val="18"/>
        </w:rPr>
      </w:pPr>
      <w:r w:rsidRPr="00416E09">
        <w:rPr>
          <w:rStyle w:val="FootnoteReference"/>
          <w:rFonts w:asciiTheme="majorHAnsi" w:hAnsiTheme="majorHAnsi" w:cstheme="majorHAnsi"/>
          <w:sz w:val="18"/>
          <w:szCs w:val="18"/>
        </w:rPr>
        <w:footnoteRef/>
      </w:r>
      <w:r w:rsidRPr="00416E09">
        <w:rPr>
          <w:rFonts w:asciiTheme="majorHAnsi" w:hAnsiTheme="majorHAnsi" w:cstheme="majorHAnsi"/>
          <w:sz w:val="18"/>
          <w:szCs w:val="18"/>
        </w:rPr>
        <w:t xml:space="preserve"> </w:t>
      </w:r>
      <w:r w:rsidR="002F1E53" w:rsidRPr="00416E09">
        <w:rPr>
          <w:rFonts w:asciiTheme="majorHAnsi" w:hAnsiTheme="majorHAnsi" w:cstheme="majorHAnsi"/>
          <w:i/>
          <w:iCs/>
          <w:sz w:val="18"/>
          <w:szCs w:val="18"/>
        </w:rPr>
        <w:t>Municipality of Mariana &amp; Ors v BHP plc &amp; BHP Ltd</w:t>
      </w:r>
      <w:r w:rsidR="002F1E53" w:rsidRPr="00416E09">
        <w:rPr>
          <w:rFonts w:asciiTheme="majorHAnsi" w:hAnsiTheme="majorHAnsi" w:cstheme="majorHAnsi"/>
          <w:sz w:val="18"/>
          <w:szCs w:val="18"/>
        </w:rPr>
        <w:t xml:space="preserve"> </w:t>
      </w:r>
      <w:r w:rsidR="00783618" w:rsidRPr="00416E09">
        <w:rPr>
          <w:rFonts w:asciiTheme="majorHAnsi" w:hAnsiTheme="majorHAnsi" w:cstheme="majorHAnsi"/>
          <w:sz w:val="18"/>
          <w:szCs w:val="18"/>
        </w:rPr>
        <w:t>[2022] EWCA Civ 951</w:t>
      </w:r>
      <w:r w:rsidR="00416E09">
        <w:rPr>
          <w:rFonts w:asciiTheme="majorHAnsi" w:hAnsiTheme="majorHAnsi" w:cstheme="majorHAnsi"/>
          <w:sz w:val="18"/>
          <w:szCs w:val="18"/>
        </w:rPr>
        <w:t xml:space="preserve">, </w:t>
      </w:r>
      <w:r w:rsidR="00BB13F9">
        <w:rPr>
          <w:rFonts w:asciiTheme="majorHAnsi" w:hAnsiTheme="majorHAnsi" w:cstheme="majorHAnsi"/>
          <w:sz w:val="18"/>
          <w:szCs w:val="18"/>
        </w:rPr>
        <w:t xml:space="preserve">at </w:t>
      </w:r>
      <w:r w:rsidR="00416E09">
        <w:rPr>
          <w:rFonts w:asciiTheme="majorHAnsi" w:hAnsiTheme="majorHAnsi" w:cstheme="majorHAnsi"/>
          <w:sz w:val="18"/>
          <w:szCs w:val="18"/>
        </w:rPr>
        <w:t xml:space="preserve">para. </w:t>
      </w:r>
      <w:r w:rsidR="001855DF">
        <w:rPr>
          <w:rFonts w:asciiTheme="majorHAnsi" w:hAnsiTheme="majorHAnsi" w:cstheme="majorHAnsi"/>
          <w:sz w:val="18"/>
          <w:szCs w:val="18"/>
        </w:rPr>
        <w:t>1</w:t>
      </w:r>
      <w:r w:rsidR="00BB13F9">
        <w:rPr>
          <w:rFonts w:asciiTheme="majorHAnsi" w:hAnsiTheme="majorHAnsi" w:cstheme="majorHAnsi"/>
          <w:sz w:val="18"/>
          <w:szCs w:val="18"/>
        </w:rPr>
        <w:t>: “</w:t>
      </w:r>
      <w:r w:rsidR="00BB13F9" w:rsidRPr="00BB13F9">
        <w:rPr>
          <w:rFonts w:asciiTheme="majorHAnsi" w:hAnsiTheme="majorHAnsi" w:cstheme="majorHAnsi"/>
          <w:i/>
          <w:iCs/>
          <w:sz w:val="18"/>
          <w:szCs w:val="18"/>
        </w:rPr>
        <w:t xml:space="preserve">The collapse and flood killed 19 people, destroyed entire villages, and had a widespread impact on numerous individuals and communities, not just locally but as a result of the damage to the River </w:t>
      </w:r>
      <w:proofErr w:type="spellStart"/>
      <w:r w:rsidR="00BB13F9" w:rsidRPr="00BB13F9">
        <w:rPr>
          <w:rFonts w:asciiTheme="majorHAnsi" w:hAnsiTheme="majorHAnsi" w:cstheme="majorHAnsi"/>
          <w:i/>
          <w:iCs/>
          <w:sz w:val="18"/>
          <w:szCs w:val="18"/>
        </w:rPr>
        <w:t>Doce</w:t>
      </w:r>
      <w:proofErr w:type="spellEnd"/>
      <w:r w:rsidR="00BB13F9" w:rsidRPr="00BB13F9">
        <w:rPr>
          <w:rFonts w:asciiTheme="majorHAnsi" w:hAnsiTheme="majorHAnsi" w:cstheme="majorHAnsi"/>
          <w:i/>
          <w:iCs/>
          <w:sz w:val="18"/>
          <w:szCs w:val="18"/>
        </w:rPr>
        <w:t xml:space="preserve"> system over its entire course to the sea some 400 miles away. The Brazilian public prosecutor has estimated the cost of remediation and compensation at a minimum of R$155 billion, about £25 billion at today’s exchange rates</w:t>
      </w:r>
      <w:r w:rsidR="00BB13F9">
        <w:rPr>
          <w:rFonts w:asciiTheme="majorHAnsi" w:hAnsiTheme="majorHAnsi" w:cstheme="majorHAnsi"/>
          <w:i/>
          <w:iCs/>
          <w:sz w:val="18"/>
          <w:szCs w:val="18"/>
        </w:rPr>
        <w:t>.”</w:t>
      </w:r>
    </w:p>
  </w:footnote>
  <w:footnote w:id="8">
    <w:p w14:paraId="0C27D5BC" w14:textId="18ABAFBA" w:rsidR="00FC7B28" w:rsidRPr="00FC7B28" w:rsidRDefault="00FC7B28">
      <w:pPr>
        <w:pStyle w:val="FootnoteText"/>
        <w:rPr>
          <w:rFonts w:asciiTheme="majorHAnsi" w:hAnsiTheme="majorHAnsi" w:cstheme="majorHAnsi"/>
          <w:sz w:val="18"/>
          <w:szCs w:val="18"/>
        </w:rPr>
      </w:pPr>
      <w:r w:rsidRPr="00FC7B28">
        <w:rPr>
          <w:rStyle w:val="FootnoteReference"/>
          <w:rFonts w:asciiTheme="majorHAnsi" w:hAnsiTheme="majorHAnsi" w:cstheme="majorHAnsi"/>
          <w:sz w:val="18"/>
          <w:szCs w:val="18"/>
        </w:rPr>
        <w:footnoteRef/>
      </w:r>
      <w:r w:rsidRPr="00FC7B28">
        <w:rPr>
          <w:rFonts w:asciiTheme="majorHAnsi" w:hAnsiTheme="majorHAnsi" w:cstheme="majorHAnsi"/>
          <w:sz w:val="18"/>
          <w:szCs w:val="18"/>
        </w:rPr>
        <w:t xml:space="preserve"> In the judgment the Court </w:t>
      </w:r>
      <w:r>
        <w:rPr>
          <w:rFonts w:asciiTheme="majorHAnsi" w:hAnsiTheme="majorHAnsi" w:cstheme="majorHAnsi"/>
          <w:sz w:val="18"/>
          <w:szCs w:val="18"/>
        </w:rPr>
        <w:t>s</w:t>
      </w:r>
      <w:r w:rsidRPr="00FC7B28">
        <w:rPr>
          <w:rFonts w:asciiTheme="majorHAnsi" w:hAnsiTheme="majorHAnsi" w:cstheme="majorHAnsi"/>
          <w:sz w:val="18"/>
          <w:szCs w:val="18"/>
        </w:rPr>
        <w:t>tated</w:t>
      </w:r>
      <w:r>
        <w:rPr>
          <w:rFonts w:asciiTheme="majorHAnsi" w:hAnsiTheme="majorHAnsi" w:cstheme="majorHAnsi"/>
          <w:sz w:val="18"/>
          <w:szCs w:val="18"/>
        </w:rPr>
        <w:t>:</w:t>
      </w:r>
      <w:r w:rsidRPr="00FC7B28">
        <w:rPr>
          <w:rFonts w:asciiTheme="majorHAnsi" w:hAnsiTheme="majorHAnsi" w:cstheme="majorHAnsi"/>
          <w:sz w:val="18"/>
          <w:szCs w:val="18"/>
        </w:rPr>
        <w:t xml:space="preserve"> </w:t>
      </w:r>
      <w:r>
        <w:rPr>
          <w:rFonts w:asciiTheme="majorHAnsi" w:hAnsiTheme="majorHAnsi" w:cstheme="majorHAnsi"/>
          <w:sz w:val="18"/>
          <w:szCs w:val="18"/>
        </w:rPr>
        <w:t>“</w:t>
      </w:r>
      <w:r w:rsidRPr="00742C63">
        <w:rPr>
          <w:rFonts w:asciiTheme="majorHAnsi" w:hAnsiTheme="majorHAnsi" w:cstheme="majorHAnsi"/>
          <w:i/>
          <w:iCs/>
          <w:sz w:val="18"/>
          <w:szCs w:val="18"/>
        </w:rPr>
        <w:t xml:space="preserve">The claims against both Braskem SA and the Braskem NL entities have a </w:t>
      </w:r>
      <w:proofErr w:type="spellStart"/>
      <w:r w:rsidRPr="00742C63">
        <w:rPr>
          <w:rFonts w:asciiTheme="majorHAnsi" w:hAnsiTheme="majorHAnsi" w:cstheme="majorHAnsi"/>
          <w:i/>
          <w:iCs/>
          <w:sz w:val="18"/>
          <w:szCs w:val="18"/>
        </w:rPr>
        <w:t>delictual</w:t>
      </w:r>
      <w:proofErr w:type="spellEnd"/>
      <w:r w:rsidRPr="00742C63">
        <w:rPr>
          <w:rFonts w:asciiTheme="majorHAnsi" w:hAnsiTheme="majorHAnsi" w:cstheme="majorHAnsi"/>
          <w:i/>
          <w:iCs/>
          <w:sz w:val="18"/>
          <w:szCs w:val="18"/>
        </w:rPr>
        <w:t xml:space="preserve"> basis. In the main proceedings, in addition to Braskem SA, the Braskem NL entities, as part of the Braskem group, were held jointly and severally liable for the (same) damaging consequences of the earthquakes (as a result of mining activities) on the basis of the environmental liability law in general and the doctrine of indirect polluter’s liability in particular, according to plaintiffs in Brazil. In this sense, the claims against the Braskem NL entities on the one hand and Braskem SA on the other are inextricably linked.</w:t>
      </w:r>
      <w:r>
        <w:rPr>
          <w:rFonts w:asciiTheme="majorHAnsi" w:hAnsiTheme="majorHAnsi" w:cstheme="majorHAnsi"/>
          <w:sz w:val="18"/>
          <w:szCs w:val="18"/>
        </w:rPr>
        <w:t>”</w:t>
      </w:r>
    </w:p>
  </w:footnote>
  <w:footnote w:id="9">
    <w:p w14:paraId="131D6179" w14:textId="4ECD00BD" w:rsidR="00346A1D" w:rsidRPr="00C26237" w:rsidRDefault="00346A1D">
      <w:pPr>
        <w:pStyle w:val="FootnoteText"/>
        <w:rPr>
          <w:rFonts w:asciiTheme="majorHAnsi" w:hAnsiTheme="majorHAnsi" w:cstheme="majorHAnsi"/>
          <w:sz w:val="18"/>
          <w:szCs w:val="18"/>
          <w:lang w:val="en-US"/>
        </w:rPr>
      </w:pPr>
      <w:r w:rsidRPr="00C26237">
        <w:rPr>
          <w:rStyle w:val="FootnoteReference"/>
          <w:rFonts w:asciiTheme="majorHAnsi" w:hAnsiTheme="majorHAnsi" w:cstheme="majorHAnsi"/>
          <w:sz w:val="18"/>
          <w:szCs w:val="18"/>
        </w:rPr>
        <w:footnoteRef/>
      </w:r>
      <w:r w:rsidRPr="00C26237">
        <w:rPr>
          <w:rFonts w:asciiTheme="majorHAnsi" w:hAnsiTheme="majorHAnsi" w:cstheme="majorHAnsi"/>
          <w:sz w:val="18"/>
          <w:szCs w:val="18"/>
        </w:rPr>
        <w:t xml:space="preserve"> </w:t>
      </w:r>
      <w:r w:rsidRPr="00C26237">
        <w:rPr>
          <w:rFonts w:asciiTheme="majorHAnsi" w:hAnsiTheme="majorHAnsi" w:cstheme="majorHAnsi"/>
          <w:sz w:val="18"/>
          <w:szCs w:val="18"/>
          <w:lang w:val="en-US"/>
        </w:rPr>
        <w:t xml:space="preserve">See </w:t>
      </w:r>
      <w:hyperlink r:id="rId3" w:history="1">
        <w:r w:rsidR="00532E3B" w:rsidRPr="00C26237">
          <w:rPr>
            <w:rStyle w:val="Hyperlink"/>
            <w:rFonts w:asciiTheme="majorHAnsi" w:hAnsiTheme="majorHAnsi" w:cstheme="majorHAnsi"/>
            <w:sz w:val="18"/>
            <w:szCs w:val="18"/>
            <w:lang w:val="en-US"/>
          </w:rPr>
          <w:t>Victims of Brazil’s ‘sinking city’ receive positive news to have case heard in the Netherlands</w:t>
        </w:r>
      </w:hyperlink>
      <w:r w:rsidR="00532E3B" w:rsidRPr="00C26237">
        <w:rPr>
          <w:rFonts w:asciiTheme="majorHAnsi" w:hAnsiTheme="majorHAnsi" w:cstheme="majorHAnsi"/>
          <w:sz w:val="18"/>
          <w:szCs w:val="18"/>
          <w:lang w:val="en-US"/>
        </w:rPr>
        <w:t>.</w:t>
      </w:r>
      <w:r w:rsidR="00112850" w:rsidRPr="00C26237">
        <w:rPr>
          <w:rFonts w:asciiTheme="majorHAnsi" w:hAnsiTheme="majorHAnsi" w:cstheme="majorHAnsi"/>
          <w:sz w:val="18"/>
          <w:szCs w:val="18"/>
          <w:lang w:val="en-US"/>
        </w:rPr>
        <w:t xml:space="preserve"> </w:t>
      </w:r>
    </w:p>
  </w:footnote>
  <w:footnote w:id="10">
    <w:p w14:paraId="38AD8206" w14:textId="0A2ED77B" w:rsidR="00BB52AB" w:rsidRPr="0075294B" w:rsidRDefault="00BB52AB">
      <w:pPr>
        <w:pStyle w:val="FootnoteText"/>
        <w:rPr>
          <w:rFonts w:asciiTheme="majorHAnsi" w:hAnsiTheme="majorHAnsi" w:cstheme="majorHAnsi"/>
          <w:sz w:val="18"/>
          <w:szCs w:val="18"/>
        </w:rPr>
      </w:pPr>
      <w:r w:rsidRPr="0075294B">
        <w:rPr>
          <w:rStyle w:val="FootnoteReference"/>
          <w:rFonts w:asciiTheme="majorHAnsi" w:hAnsiTheme="majorHAnsi" w:cstheme="majorHAnsi"/>
          <w:sz w:val="18"/>
          <w:szCs w:val="18"/>
        </w:rPr>
        <w:footnoteRef/>
      </w:r>
      <w:r w:rsidRPr="0075294B">
        <w:rPr>
          <w:rFonts w:asciiTheme="majorHAnsi" w:hAnsiTheme="majorHAnsi" w:cstheme="majorHAnsi"/>
          <w:sz w:val="18"/>
          <w:szCs w:val="18"/>
        </w:rPr>
        <w:t xml:space="preserve"> See </w:t>
      </w:r>
      <w:hyperlink r:id="rId4" w:history="1">
        <w:proofErr w:type="spellStart"/>
        <w:r w:rsidR="0075294B" w:rsidRPr="0075294B">
          <w:rPr>
            <w:rStyle w:val="Hyperlink"/>
            <w:rFonts w:asciiTheme="majorHAnsi" w:hAnsiTheme="majorHAnsi" w:cstheme="majorHAnsi"/>
            <w:sz w:val="18"/>
            <w:szCs w:val="18"/>
          </w:rPr>
          <w:t>Barcarena</w:t>
        </w:r>
        <w:proofErr w:type="spellEnd"/>
        <w:r w:rsidR="0075294B" w:rsidRPr="0075294B">
          <w:rPr>
            <w:rStyle w:val="Hyperlink"/>
            <w:rFonts w:asciiTheme="majorHAnsi" w:hAnsiTheme="majorHAnsi" w:cstheme="majorHAnsi"/>
            <w:sz w:val="18"/>
            <w:szCs w:val="18"/>
          </w:rPr>
          <w:t xml:space="preserve"> and </w:t>
        </w:r>
        <w:proofErr w:type="spellStart"/>
        <w:r w:rsidR="0075294B" w:rsidRPr="0075294B">
          <w:rPr>
            <w:rStyle w:val="Hyperlink"/>
            <w:rFonts w:asciiTheme="majorHAnsi" w:hAnsiTheme="majorHAnsi" w:cstheme="majorHAnsi"/>
            <w:sz w:val="18"/>
            <w:szCs w:val="18"/>
          </w:rPr>
          <w:t>Abaetetuba</w:t>
        </w:r>
        <w:proofErr w:type="spellEnd"/>
        <w:r w:rsidR="0075294B" w:rsidRPr="0075294B">
          <w:rPr>
            <w:rStyle w:val="Hyperlink"/>
            <w:rFonts w:asciiTheme="majorHAnsi" w:hAnsiTheme="majorHAnsi" w:cstheme="majorHAnsi"/>
            <w:sz w:val="18"/>
            <w:szCs w:val="18"/>
          </w:rPr>
          <w:t xml:space="preserve"> toxic waste pollution</w:t>
        </w:r>
      </w:hyperlink>
      <w:r w:rsidR="0075294B" w:rsidRPr="0075294B">
        <w:rPr>
          <w:rFonts w:asciiTheme="majorHAnsi" w:hAnsiTheme="majorHAnsi" w:cstheme="majorHAnsi"/>
          <w:sz w:val="18"/>
          <w:szCs w:val="18"/>
        </w:rPr>
        <w:t xml:space="preserve">. </w:t>
      </w:r>
    </w:p>
  </w:footnote>
  <w:footnote w:id="11">
    <w:p w14:paraId="4EEB30FD" w14:textId="77777777" w:rsidR="008E1089" w:rsidRPr="00482E94" w:rsidRDefault="008E1089" w:rsidP="008E1089">
      <w:pPr>
        <w:pStyle w:val="FootnoteText"/>
        <w:rPr>
          <w:rFonts w:asciiTheme="majorHAnsi" w:hAnsiTheme="majorHAnsi" w:cstheme="majorHAnsi"/>
          <w:sz w:val="18"/>
          <w:szCs w:val="18"/>
          <w:lang w:val="en-US"/>
        </w:rPr>
      </w:pPr>
      <w:r w:rsidRPr="005678BE">
        <w:rPr>
          <w:rStyle w:val="FootnoteReference"/>
          <w:rFonts w:ascii="Calibri Light" w:hAnsi="Calibri Light" w:cs="Calibri Light"/>
          <w:sz w:val="18"/>
          <w:szCs w:val="18"/>
        </w:rPr>
        <w:footnoteRef/>
      </w:r>
      <w:r w:rsidRPr="005678BE">
        <w:rPr>
          <w:rFonts w:ascii="Calibri Light" w:hAnsi="Calibri Light" w:cs="Calibri Light"/>
          <w:sz w:val="18"/>
          <w:szCs w:val="18"/>
        </w:rPr>
        <w:t xml:space="preserve"> </w:t>
      </w:r>
      <w:r w:rsidRPr="005678BE">
        <w:rPr>
          <w:rFonts w:asciiTheme="majorHAnsi" w:hAnsiTheme="majorHAnsi" w:cstheme="majorHAnsi"/>
          <w:sz w:val="18"/>
          <w:szCs w:val="18"/>
        </w:rPr>
        <w:t xml:space="preserve">Article 19 of the Rules on BHR Arbitration: 1. In so far as possible, claims with significant common legal and factual issues shall be heard together. The arbitral tribunal may adopt special procedures appropriate to the number, character, amount and subject matter of the particular claims under consideration. 2. The arbitral tribunal may allow one or more third persons to join in the arbitration as a party provided such person is a party to or a third party beneficiary of the underlying legal instrument that includes the relevant arbitration agreement, unless, after giving all parties and the person or persons to be joined the opportunity to be heard, the arbitral tribunal finds that joinder should not be permitted. Third persons so joined shall become parties to the arbitration agreement for the purposes of the arbitration. The arbitral tribunal may make a single award or several awards in respect of all parties so involved in the arbitration. 3. Notwithstanding paragraph 2, where a third person is a party to or a relevant third party beneficiary of the arbitration agreement, the arbitral tribunal shall not deny the joinder solely on the basis that such joinder might prejudice other parties. (see </w:t>
      </w:r>
      <w:hyperlink r:id="rId5" w:history="1">
        <w:r w:rsidRPr="005678BE">
          <w:rPr>
            <w:rStyle w:val="Hyperlink"/>
            <w:rFonts w:asciiTheme="majorHAnsi" w:hAnsiTheme="majorHAnsi" w:cstheme="majorHAnsi"/>
            <w:sz w:val="18"/>
            <w:szCs w:val="18"/>
          </w:rPr>
          <w:t>https://www.cilc.nl/cms/wp-content/uploads/2019/12/The-Hague-Rules-on-Business-and-Human-Rights-Arbitration_CILC-digital-version.pdf</w:t>
        </w:r>
      </w:hyperlink>
      <w:r w:rsidRPr="005678BE">
        <w:rPr>
          <w:rFonts w:asciiTheme="majorHAnsi" w:hAnsiTheme="majorHAnsi" w:cstheme="majorHAnsi"/>
          <w:sz w:val="18"/>
          <w:szCs w:val="18"/>
        </w:rPr>
        <w:t>)</w:t>
      </w:r>
    </w:p>
  </w:footnote>
  <w:footnote w:id="12">
    <w:p w14:paraId="2FC3443C" w14:textId="77777777" w:rsidR="008E1089" w:rsidRPr="00F62BEC" w:rsidRDefault="008E1089" w:rsidP="008E1089">
      <w:pPr>
        <w:pStyle w:val="FootnoteText"/>
        <w:rPr>
          <w:sz w:val="18"/>
          <w:szCs w:val="18"/>
          <w:lang w:val="en-US"/>
        </w:rPr>
      </w:pPr>
      <w:r w:rsidRPr="00482E94">
        <w:rPr>
          <w:rStyle w:val="FootnoteReference"/>
          <w:rFonts w:asciiTheme="majorHAnsi" w:hAnsiTheme="majorHAnsi" w:cstheme="majorHAnsi"/>
          <w:sz w:val="18"/>
          <w:szCs w:val="18"/>
        </w:rPr>
        <w:footnoteRef/>
      </w:r>
      <w:r w:rsidRPr="00482E94">
        <w:rPr>
          <w:rFonts w:asciiTheme="majorHAnsi" w:hAnsiTheme="majorHAnsi" w:cstheme="majorHAnsi"/>
          <w:sz w:val="18"/>
          <w:szCs w:val="18"/>
        </w:rPr>
        <w:t xml:space="preserve"> </w:t>
      </w:r>
      <w:r w:rsidRPr="00482E94">
        <w:rPr>
          <w:rFonts w:asciiTheme="majorHAnsi" w:hAnsiTheme="majorHAnsi" w:cstheme="majorHAnsi"/>
          <w:sz w:val="18"/>
          <w:szCs w:val="18"/>
          <w:lang w:val="en-US"/>
        </w:rPr>
        <w:t>See Annex - Model Clauses at p. 101 (</w:t>
      </w:r>
      <w:hyperlink r:id="rId6" w:history="1">
        <w:r w:rsidRPr="00482E94">
          <w:rPr>
            <w:rStyle w:val="Hyperlink"/>
            <w:rFonts w:asciiTheme="majorHAnsi" w:hAnsiTheme="majorHAnsi" w:cstheme="majorHAnsi"/>
            <w:sz w:val="18"/>
            <w:szCs w:val="18"/>
            <w:lang w:val="en-US"/>
          </w:rPr>
          <w:t>https://www.cilc.nl/cms/wp-content/uploads/2019/12/The-Hague-Rules-on-Business-and-Human-Rights-Arbitration_CILC-digital-version.pdf</w:t>
        </w:r>
      </w:hyperlink>
      <w:r w:rsidRPr="00482E94">
        <w:rPr>
          <w:rFonts w:asciiTheme="majorHAnsi" w:hAnsiTheme="majorHAnsi" w:cstheme="majorHAnsi"/>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4CE7" w14:textId="489F71CF" w:rsidR="003D76DF" w:rsidRDefault="003D76DF" w:rsidP="003D76DF">
    <w:pPr>
      <w:pStyle w:val="Header"/>
      <w:jc w:val="right"/>
    </w:pPr>
    <w:r>
      <w:rPr>
        <w:noProof/>
      </w:rPr>
      <w:drawing>
        <wp:inline distT="0" distB="0" distL="0" distR="0" wp14:anchorId="2BD09C93" wp14:editId="1F061D51">
          <wp:extent cx="1231265" cy="701040"/>
          <wp:effectExtent l="0" t="0" r="698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2D4"/>
    <w:multiLevelType w:val="multilevel"/>
    <w:tmpl w:val="A25C1B74"/>
    <w:lvl w:ilvl="0">
      <w:start w:val="1"/>
      <w:numFmt w:val="upperRoman"/>
      <w:lvlText w:val="%1."/>
      <w:lvlJc w:val="right"/>
      <w:pPr>
        <w:ind w:left="714" w:hanging="714"/>
      </w:pPr>
      <w:rPr>
        <w:b/>
        <w:bCs/>
        <w:i w:val="0"/>
        <w:sz w:val="22"/>
      </w:rPr>
    </w:lvl>
    <w:lvl w:ilvl="1">
      <w:start w:val="1"/>
      <w:numFmt w:val="decimal"/>
      <w:lvlText w:val="%1.%2."/>
      <w:lvlJc w:val="left"/>
      <w:pPr>
        <w:ind w:left="714" w:hanging="714"/>
      </w:pPr>
      <w:rPr>
        <w:b w:val="0"/>
        <w:bCs/>
        <w:i w:val="0"/>
        <w:iCs w:val="0"/>
        <w:sz w:val="22"/>
      </w:rPr>
    </w:lvl>
    <w:lvl w:ilvl="2">
      <w:start w:val="1"/>
      <w:numFmt w:val="lowerLetter"/>
      <w:lvlText w:val="(%3)"/>
      <w:lvlJc w:val="left"/>
      <w:pPr>
        <w:ind w:left="1429" w:hanging="715"/>
      </w:pPr>
      <w:rPr>
        <w:b w:val="0"/>
        <w:bCs/>
        <w:i w:val="0"/>
        <w:sz w:val="22"/>
      </w:rPr>
    </w:lvl>
    <w:lvl w:ilvl="3">
      <w:start w:val="1"/>
      <w:numFmt w:val="decimal"/>
      <w:suff w:val="space"/>
      <w:lvlText w:val="%1.%2.%3.%4."/>
      <w:lvlJc w:val="left"/>
      <w:pPr>
        <w:ind w:left="2856" w:hanging="714"/>
      </w:pPr>
    </w:lvl>
    <w:lvl w:ilvl="4">
      <w:start w:val="1"/>
      <w:numFmt w:val="decimal"/>
      <w:lvlText w:val="%1.%2.%3.%4.%5."/>
      <w:lvlJc w:val="left"/>
      <w:pPr>
        <w:ind w:left="3570" w:hanging="714"/>
      </w:pPr>
    </w:lvl>
    <w:lvl w:ilvl="5">
      <w:start w:val="1"/>
      <w:numFmt w:val="decimal"/>
      <w:lvlText w:val="%1.%2.%3.%4.%5.%6."/>
      <w:lvlJc w:val="left"/>
      <w:pPr>
        <w:ind w:left="4284" w:hanging="714"/>
      </w:pPr>
    </w:lvl>
    <w:lvl w:ilvl="6">
      <w:start w:val="1"/>
      <w:numFmt w:val="decimal"/>
      <w:lvlText w:val="%1.%2.%3.%4.%5.%6.%7."/>
      <w:lvlJc w:val="left"/>
      <w:pPr>
        <w:ind w:left="4998" w:hanging="714"/>
      </w:pPr>
    </w:lvl>
    <w:lvl w:ilvl="7">
      <w:start w:val="1"/>
      <w:numFmt w:val="decimal"/>
      <w:lvlText w:val="%1.%2.%3.%4.%5.%6.%7.%8."/>
      <w:lvlJc w:val="left"/>
      <w:pPr>
        <w:ind w:left="5712" w:hanging="714"/>
      </w:pPr>
    </w:lvl>
    <w:lvl w:ilvl="8">
      <w:start w:val="1"/>
      <w:numFmt w:val="decimal"/>
      <w:lvlText w:val="%1.%2.%3.%4.%5.%6.%7.%8.%9."/>
      <w:lvlJc w:val="left"/>
      <w:pPr>
        <w:ind w:left="6426" w:hanging="714"/>
      </w:pPr>
    </w:lvl>
  </w:abstractNum>
  <w:abstractNum w:abstractNumId="1" w15:restartNumberingAfterBreak="0">
    <w:nsid w:val="13B0043D"/>
    <w:multiLevelType w:val="multilevel"/>
    <w:tmpl w:val="9990D7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E3ED3"/>
    <w:multiLevelType w:val="hybridMultilevel"/>
    <w:tmpl w:val="1904F558"/>
    <w:lvl w:ilvl="0" w:tplc="FFFFFFFF">
      <w:start w:val="1"/>
      <w:numFmt w:val="upp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DE1724"/>
    <w:multiLevelType w:val="hybridMultilevel"/>
    <w:tmpl w:val="F5AC9026"/>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010F18"/>
    <w:multiLevelType w:val="hybridMultilevel"/>
    <w:tmpl w:val="97E48A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216F5"/>
    <w:multiLevelType w:val="multilevel"/>
    <w:tmpl w:val="9990D71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F62D66"/>
    <w:multiLevelType w:val="hybridMultilevel"/>
    <w:tmpl w:val="D56C11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C83537"/>
    <w:multiLevelType w:val="hybridMultilevel"/>
    <w:tmpl w:val="7388C016"/>
    <w:lvl w:ilvl="0" w:tplc="978686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F57ACC"/>
    <w:multiLevelType w:val="hybridMultilevel"/>
    <w:tmpl w:val="1904F558"/>
    <w:lvl w:ilvl="0" w:tplc="CD1E8678">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F401D8"/>
    <w:multiLevelType w:val="hybridMultilevel"/>
    <w:tmpl w:val="486A6784"/>
    <w:lvl w:ilvl="0" w:tplc="8C1EBE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AA2FD6"/>
    <w:multiLevelType w:val="hybridMultilevel"/>
    <w:tmpl w:val="A3A09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72F53"/>
    <w:multiLevelType w:val="hybridMultilevel"/>
    <w:tmpl w:val="99B8BB9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240BF"/>
    <w:multiLevelType w:val="multilevel"/>
    <w:tmpl w:val="9D8EB8DA"/>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5B2731C4"/>
    <w:multiLevelType w:val="hybridMultilevel"/>
    <w:tmpl w:val="97E48AA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0B5A56"/>
    <w:multiLevelType w:val="hybridMultilevel"/>
    <w:tmpl w:val="4C06E4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E926AB"/>
    <w:multiLevelType w:val="hybridMultilevel"/>
    <w:tmpl w:val="44C239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6B48C9"/>
    <w:multiLevelType w:val="hybridMultilevel"/>
    <w:tmpl w:val="2BAE046C"/>
    <w:lvl w:ilvl="0" w:tplc="F31AE8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3917DB"/>
    <w:multiLevelType w:val="hybridMultilevel"/>
    <w:tmpl w:val="9C8E9118"/>
    <w:lvl w:ilvl="0" w:tplc="8A5EDD0C">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634F6"/>
    <w:multiLevelType w:val="hybridMultilevel"/>
    <w:tmpl w:val="5A667272"/>
    <w:lvl w:ilvl="0" w:tplc="9CAAB388">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141531">
    <w:abstractNumId w:val="14"/>
  </w:num>
  <w:num w:numId="2" w16cid:durableId="535309739">
    <w:abstractNumId w:val="17"/>
  </w:num>
  <w:num w:numId="3" w16cid:durableId="1486049488">
    <w:abstractNumId w:val="16"/>
  </w:num>
  <w:num w:numId="4" w16cid:durableId="1949501502">
    <w:abstractNumId w:val="10"/>
  </w:num>
  <w:num w:numId="5" w16cid:durableId="1960910387">
    <w:abstractNumId w:val="9"/>
  </w:num>
  <w:num w:numId="6" w16cid:durableId="871722286">
    <w:abstractNumId w:val="7"/>
  </w:num>
  <w:num w:numId="7" w16cid:durableId="2043824953">
    <w:abstractNumId w:val="1"/>
  </w:num>
  <w:num w:numId="8" w16cid:durableId="193269263">
    <w:abstractNumId w:val="18"/>
  </w:num>
  <w:num w:numId="9" w16cid:durableId="145588083">
    <w:abstractNumId w:val="6"/>
  </w:num>
  <w:num w:numId="10" w16cid:durableId="1274439071">
    <w:abstractNumId w:val="15"/>
  </w:num>
  <w:num w:numId="11" w16cid:durableId="1224099615">
    <w:abstractNumId w:val="8"/>
  </w:num>
  <w:num w:numId="12" w16cid:durableId="10107778">
    <w:abstractNumId w:val="3"/>
  </w:num>
  <w:num w:numId="13" w16cid:durableId="1638686566">
    <w:abstractNumId w:val="5"/>
  </w:num>
  <w:num w:numId="14" w16cid:durableId="465389461">
    <w:abstractNumId w:val="12"/>
  </w:num>
  <w:num w:numId="15" w16cid:durableId="1280841759">
    <w:abstractNumId w:val="4"/>
  </w:num>
  <w:num w:numId="16" w16cid:durableId="902179699">
    <w:abstractNumId w:val="0"/>
  </w:num>
  <w:num w:numId="17" w16cid:durableId="940071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9099954">
    <w:abstractNumId w:val="11"/>
  </w:num>
  <w:num w:numId="19" w16cid:durableId="1485127809">
    <w:abstractNumId w:val="13"/>
  </w:num>
  <w:num w:numId="20" w16cid:durableId="1966498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DF"/>
    <w:rsid w:val="0000183A"/>
    <w:rsid w:val="00011868"/>
    <w:rsid w:val="00026845"/>
    <w:rsid w:val="00040D2B"/>
    <w:rsid w:val="00042D86"/>
    <w:rsid w:val="00043060"/>
    <w:rsid w:val="00050631"/>
    <w:rsid w:val="00062141"/>
    <w:rsid w:val="00062492"/>
    <w:rsid w:val="000717B1"/>
    <w:rsid w:val="000736FB"/>
    <w:rsid w:val="000827C8"/>
    <w:rsid w:val="000840F3"/>
    <w:rsid w:val="00084F5A"/>
    <w:rsid w:val="000B0337"/>
    <w:rsid w:val="000B0B65"/>
    <w:rsid w:val="000B3015"/>
    <w:rsid w:val="000B5DAB"/>
    <w:rsid w:val="000D7756"/>
    <w:rsid w:val="000E1475"/>
    <w:rsid w:val="000E22CB"/>
    <w:rsid w:val="000F22F0"/>
    <w:rsid w:val="00111CDB"/>
    <w:rsid w:val="00112850"/>
    <w:rsid w:val="001137BE"/>
    <w:rsid w:val="00120560"/>
    <w:rsid w:val="00130FDB"/>
    <w:rsid w:val="00135017"/>
    <w:rsid w:val="00137775"/>
    <w:rsid w:val="00151653"/>
    <w:rsid w:val="00164842"/>
    <w:rsid w:val="001851BF"/>
    <w:rsid w:val="001855DF"/>
    <w:rsid w:val="001C3A8B"/>
    <w:rsid w:val="001D65FF"/>
    <w:rsid w:val="001E1AA3"/>
    <w:rsid w:val="00211668"/>
    <w:rsid w:val="002270FB"/>
    <w:rsid w:val="00236861"/>
    <w:rsid w:val="0025354A"/>
    <w:rsid w:val="0026400B"/>
    <w:rsid w:val="00265640"/>
    <w:rsid w:val="002714BB"/>
    <w:rsid w:val="0027199E"/>
    <w:rsid w:val="00275F58"/>
    <w:rsid w:val="002777C4"/>
    <w:rsid w:val="00280FC9"/>
    <w:rsid w:val="00292A4B"/>
    <w:rsid w:val="00294F37"/>
    <w:rsid w:val="002952F9"/>
    <w:rsid w:val="002A3936"/>
    <w:rsid w:val="002A3A36"/>
    <w:rsid w:val="002C5911"/>
    <w:rsid w:val="002F1E53"/>
    <w:rsid w:val="002F7390"/>
    <w:rsid w:val="003163CF"/>
    <w:rsid w:val="0032145E"/>
    <w:rsid w:val="00323F5C"/>
    <w:rsid w:val="0033185D"/>
    <w:rsid w:val="00334506"/>
    <w:rsid w:val="00346A1D"/>
    <w:rsid w:val="00346F76"/>
    <w:rsid w:val="00351322"/>
    <w:rsid w:val="00352C4F"/>
    <w:rsid w:val="00357DA6"/>
    <w:rsid w:val="00361764"/>
    <w:rsid w:val="003762D1"/>
    <w:rsid w:val="00392861"/>
    <w:rsid w:val="003A60B8"/>
    <w:rsid w:val="003B73E3"/>
    <w:rsid w:val="003D76DF"/>
    <w:rsid w:val="003F11E9"/>
    <w:rsid w:val="003F1BD6"/>
    <w:rsid w:val="0040309F"/>
    <w:rsid w:val="00411AE2"/>
    <w:rsid w:val="00416E09"/>
    <w:rsid w:val="00434D24"/>
    <w:rsid w:val="00436F36"/>
    <w:rsid w:val="00445773"/>
    <w:rsid w:val="004529B2"/>
    <w:rsid w:val="004607ED"/>
    <w:rsid w:val="00461536"/>
    <w:rsid w:val="00462F9C"/>
    <w:rsid w:val="00464401"/>
    <w:rsid w:val="004653E6"/>
    <w:rsid w:val="00480DA6"/>
    <w:rsid w:val="004A32A4"/>
    <w:rsid w:val="004B3F2A"/>
    <w:rsid w:val="004E2166"/>
    <w:rsid w:val="004F0EB4"/>
    <w:rsid w:val="004F16EB"/>
    <w:rsid w:val="005001F9"/>
    <w:rsid w:val="00511C56"/>
    <w:rsid w:val="00517725"/>
    <w:rsid w:val="00527B60"/>
    <w:rsid w:val="00532E3B"/>
    <w:rsid w:val="005426DF"/>
    <w:rsid w:val="00562DB5"/>
    <w:rsid w:val="00564A96"/>
    <w:rsid w:val="00565DBF"/>
    <w:rsid w:val="00566A22"/>
    <w:rsid w:val="00572E4D"/>
    <w:rsid w:val="00575B80"/>
    <w:rsid w:val="005810F0"/>
    <w:rsid w:val="005827B5"/>
    <w:rsid w:val="00586856"/>
    <w:rsid w:val="00587380"/>
    <w:rsid w:val="00590BAC"/>
    <w:rsid w:val="00591755"/>
    <w:rsid w:val="005956E8"/>
    <w:rsid w:val="005975A5"/>
    <w:rsid w:val="005A2261"/>
    <w:rsid w:val="005A4768"/>
    <w:rsid w:val="005A4CC9"/>
    <w:rsid w:val="005B5116"/>
    <w:rsid w:val="005D072D"/>
    <w:rsid w:val="005E37A1"/>
    <w:rsid w:val="0060519A"/>
    <w:rsid w:val="006146D4"/>
    <w:rsid w:val="00626B02"/>
    <w:rsid w:val="00653807"/>
    <w:rsid w:val="006808ED"/>
    <w:rsid w:val="00684651"/>
    <w:rsid w:val="006972BF"/>
    <w:rsid w:val="006A5582"/>
    <w:rsid w:val="006D002A"/>
    <w:rsid w:val="006D5818"/>
    <w:rsid w:val="006D712B"/>
    <w:rsid w:val="006E66C9"/>
    <w:rsid w:val="007030D7"/>
    <w:rsid w:val="00717E11"/>
    <w:rsid w:val="00724A89"/>
    <w:rsid w:val="00733A34"/>
    <w:rsid w:val="00737087"/>
    <w:rsid w:val="007414D0"/>
    <w:rsid w:val="00742C63"/>
    <w:rsid w:val="007528A3"/>
    <w:rsid w:val="0075294B"/>
    <w:rsid w:val="00770E64"/>
    <w:rsid w:val="00780215"/>
    <w:rsid w:val="00783618"/>
    <w:rsid w:val="007A091F"/>
    <w:rsid w:val="007A3FCD"/>
    <w:rsid w:val="007A5ADB"/>
    <w:rsid w:val="007A7CA5"/>
    <w:rsid w:val="007B40F6"/>
    <w:rsid w:val="007E3D54"/>
    <w:rsid w:val="007E3FE8"/>
    <w:rsid w:val="007F475B"/>
    <w:rsid w:val="007F7F57"/>
    <w:rsid w:val="00807C71"/>
    <w:rsid w:val="00812227"/>
    <w:rsid w:val="008319CB"/>
    <w:rsid w:val="00832E57"/>
    <w:rsid w:val="008330BE"/>
    <w:rsid w:val="00835DDC"/>
    <w:rsid w:val="0084240F"/>
    <w:rsid w:val="00850E18"/>
    <w:rsid w:val="00854D43"/>
    <w:rsid w:val="008653BA"/>
    <w:rsid w:val="00887750"/>
    <w:rsid w:val="008A10A2"/>
    <w:rsid w:val="008B73E8"/>
    <w:rsid w:val="008C723C"/>
    <w:rsid w:val="008D4A7E"/>
    <w:rsid w:val="008E1089"/>
    <w:rsid w:val="008F2834"/>
    <w:rsid w:val="0090504A"/>
    <w:rsid w:val="00907F11"/>
    <w:rsid w:val="00911524"/>
    <w:rsid w:val="00915387"/>
    <w:rsid w:val="0091634C"/>
    <w:rsid w:val="00925D92"/>
    <w:rsid w:val="0092654B"/>
    <w:rsid w:val="0093239A"/>
    <w:rsid w:val="0093256D"/>
    <w:rsid w:val="0094056A"/>
    <w:rsid w:val="0094229F"/>
    <w:rsid w:val="0094491E"/>
    <w:rsid w:val="0097179C"/>
    <w:rsid w:val="00972B04"/>
    <w:rsid w:val="00982531"/>
    <w:rsid w:val="00983AE1"/>
    <w:rsid w:val="009857EE"/>
    <w:rsid w:val="0099420B"/>
    <w:rsid w:val="009A033E"/>
    <w:rsid w:val="009A3F0C"/>
    <w:rsid w:val="009B00DE"/>
    <w:rsid w:val="009B0D26"/>
    <w:rsid w:val="009B6BA8"/>
    <w:rsid w:val="009C7DBF"/>
    <w:rsid w:val="009D1FFD"/>
    <w:rsid w:val="009E160F"/>
    <w:rsid w:val="009E4855"/>
    <w:rsid w:val="009F2052"/>
    <w:rsid w:val="00A1328E"/>
    <w:rsid w:val="00A254E6"/>
    <w:rsid w:val="00A35097"/>
    <w:rsid w:val="00A35A9F"/>
    <w:rsid w:val="00A5176F"/>
    <w:rsid w:val="00A701F8"/>
    <w:rsid w:val="00A732A5"/>
    <w:rsid w:val="00A764DC"/>
    <w:rsid w:val="00A834DD"/>
    <w:rsid w:val="00A920F7"/>
    <w:rsid w:val="00A951C3"/>
    <w:rsid w:val="00AA50C1"/>
    <w:rsid w:val="00AB38EA"/>
    <w:rsid w:val="00AB7C55"/>
    <w:rsid w:val="00AE30AF"/>
    <w:rsid w:val="00AF0CDB"/>
    <w:rsid w:val="00AF49A1"/>
    <w:rsid w:val="00AF75AB"/>
    <w:rsid w:val="00B02848"/>
    <w:rsid w:val="00B0A36D"/>
    <w:rsid w:val="00B1687A"/>
    <w:rsid w:val="00B17D2F"/>
    <w:rsid w:val="00B222DB"/>
    <w:rsid w:val="00B2269A"/>
    <w:rsid w:val="00B26D4E"/>
    <w:rsid w:val="00B309B2"/>
    <w:rsid w:val="00B40D58"/>
    <w:rsid w:val="00B437CD"/>
    <w:rsid w:val="00B43EC0"/>
    <w:rsid w:val="00B71A7B"/>
    <w:rsid w:val="00B80A6A"/>
    <w:rsid w:val="00B860A3"/>
    <w:rsid w:val="00B91DEC"/>
    <w:rsid w:val="00BA711C"/>
    <w:rsid w:val="00BB13F9"/>
    <w:rsid w:val="00BB52AB"/>
    <w:rsid w:val="00BD1C12"/>
    <w:rsid w:val="00BF4C66"/>
    <w:rsid w:val="00BF70B1"/>
    <w:rsid w:val="00C03DD7"/>
    <w:rsid w:val="00C048E8"/>
    <w:rsid w:val="00C15623"/>
    <w:rsid w:val="00C26237"/>
    <w:rsid w:val="00C37A68"/>
    <w:rsid w:val="00C52587"/>
    <w:rsid w:val="00C5280C"/>
    <w:rsid w:val="00C55F87"/>
    <w:rsid w:val="00C56AB9"/>
    <w:rsid w:val="00C655C2"/>
    <w:rsid w:val="00C7698B"/>
    <w:rsid w:val="00C83B89"/>
    <w:rsid w:val="00C96009"/>
    <w:rsid w:val="00CA6FFC"/>
    <w:rsid w:val="00CB46EF"/>
    <w:rsid w:val="00CB7ED9"/>
    <w:rsid w:val="00CD4E96"/>
    <w:rsid w:val="00CE5FE9"/>
    <w:rsid w:val="00CE7D1D"/>
    <w:rsid w:val="00CF25B6"/>
    <w:rsid w:val="00CF405A"/>
    <w:rsid w:val="00D02C4E"/>
    <w:rsid w:val="00D04545"/>
    <w:rsid w:val="00D16B09"/>
    <w:rsid w:val="00D22B97"/>
    <w:rsid w:val="00D24671"/>
    <w:rsid w:val="00D27A95"/>
    <w:rsid w:val="00D33D1C"/>
    <w:rsid w:val="00D55DF8"/>
    <w:rsid w:val="00D64215"/>
    <w:rsid w:val="00D64946"/>
    <w:rsid w:val="00D73F77"/>
    <w:rsid w:val="00DB5CE1"/>
    <w:rsid w:val="00DC1224"/>
    <w:rsid w:val="00DE0367"/>
    <w:rsid w:val="00DF4254"/>
    <w:rsid w:val="00E00E5E"/>
    <w:rsid w:val="00E04DF1"/>
    <w:rsid w:val="00E077E0"/>
    <w:rsid w:val="00E23A13"/>
    <w:rsid w:val="00E26AE2"/>
    <w:rsid w:val="00E37354"/>
    <w:rsid w:val="00E71B69"/>
    <w:rsid w:val="00E74ABA"/>
    <w:rsid w:val="00E75868"/>
    <w:rsid w:val="00E806C4"/>
    <w:rsid w:val="00E85AA8"/>
    <w:rsid w:val="00EC5358"/>
    <w:rsid w:val="00EE150F"/>
    <w:rsid w:val="00F03137"/>
    <w:rsid w:val="00F07CBF"/>
    <w:rsid w:val="00F14C72"/>
    <w:rsid w:val="00F1776F"/>
    <w:rsid w:val="00F26C15"/>
    <w:rsid w:val="00F335BC"/>
    <w:rsid w:val="00F34CAB"/>
    <w:rsid w:val="00F37B5E"/>
    <w:rsid w:val="00F57544"/>
    <w:rsid w:val="00F63839"/>
    <w:rsid w:val="00F86347"/>
    <w:rsid w:val="00F875AC"/>
    <w:rsid w:val="00FC3410"/>
    <w:rsid w:val="00FC7B28"/>
    <w:rsid w:val="00FF5645"/>
    <w:rsid w:val="00FF6959"/>
    <w:rsid w:val="0469F02D"/>
    <w:rsid w:val="069011D6"/>
    <w:rsid w:val="091F32E6"/>
    <w:rsid w:val="09CC5CF3"/>
    <w:rsid w:val="21B0878D"/>
    <w:rsid w:val="2C0E9715"/>
    <w:rsid w:val="34BD871D"/>
    <w:rsid w:val="4B052018"/>
    <w:rsid w:val="5783FB68"/>
    <w:rsid w:val="5886D736"/>
    <w:rsid w:val="6C47AC03"/>
    <w:rsid w:val="74C11F6D"/>
    <w:rsid w:val="79469FCE"/>
    <w:rsid w:val="7E197A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CBE2"/>
  <w15:chartTrackingRefBased/>
  <w15:docId w15:val="{662C93A8-FF9E-45CE-AF2F-B78B082D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76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6DF"/>
  </w:style>
  <w:style w:type="paragraph" w:styleId="Footer">
    <w:name w:val="footer"/>
    <w:basedOn w:val="Normal"/>
    <w:link w:val="FooterChar"/>
    <w:uiPriority w:val="99"/>
    <w:unhideWhenUsed/>
    <w:rsid w:val="003D7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6DF"/>
  </w:style>
  <w:style w:type="character" w:customStyle="1" w:styleId="Heading1Char">
    <w:name w:val="Heading 1 Char"/>
    <w:basedOn w:val="DefaultParagraphFont"/>
    <w:link w:val="Heading1"/>
    <w:uiPriority w:val="9"/>
    <w:rsid w:val="003D76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D76DF"/>
    <w:pPr>
      <w:outlineLvl w:val="9"/>
    </w:pPr>
    <w:rPr>
      <w:lang w:val="en-US"/>
    </w:rPr>
  </w:style>
  <w:style w:type="paragraph" w:styleId="ListParagraph">
    <w:name w:val="List Paragraph"/>
    <w:basedOn w:val="Normal"/>
    <w:uiPriority w:val="34"/>
    <w:qFormat/>
    <w:rsid w:val="003D76DF"/>
    <w:pPr>
      <w:ind w:left="720"/>
      <w:contextualSpacing/>
    </w:pPr>
  </w:style>
  <w:style w:type="character" w:styleId="Hyperlink">
    <w:name w:val="Hyperlink"/>
    <w:basedOn w:val="DefaultParagraphFont"/>
    <w:uiPriority w:val="99"/>
    <w:unhideWhenUsed/>
    <w:rsid w:val="00F14C72"/>
    <w:rPr>
      <w:color w:val="0563C1" w:themeColor="hyperlink"/>
      <w:u w:val="single"/>
    </w:rPr>
  </w:style>
  <w:style w:type="character" w:styleId="UnresolvedMention">
    <w:name w:val="Unresolved Mention"/>
    <w:basedOn w:val="DefaultParagraphFont"/>
    <w:uiPriority w:val="99"/>
    <w:semiHidden/>
    <w:unhideWhenUsed/>
    <w:rsid w:val="00F14C72"/>
    <w:rPr>
      <w:color w:val="605E5C"/>
      <w:shd w:val="clear" w:color="auto" w:fill="E1DFDD"/>
    </w:rPr>
  </w:style>
  <w:style w:type="paragraph" w:styleId="FootnoteText">
    <w:name w:val="footnote text"/>
    <w:basedOn w:val="Normal"/>
    <w:link w:val="FootnoteTextChar"/>
    <w:uiPriority w:val="99"/>
    <w:semiHidden/>
    <w:unhideWhenUsed/>
    <w:rsid w:val="0046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3E6"/>
    <w:rPr>
      <w:sz w:val="20"/>
      <w:szCs w:val="20"/>
    </w:rPr>
  </w:style>
  <w:style w:type="character" w:styleId="FootnoteReference">
    <w:name w:val="footnote reference"/>
    <w:basedOn w:val="DefaultParagraphFont"/>
    <w:uiPriority w:val="99"/>
    <w:unhideWhenUsed/>
    <w:qFormat/>
    <w:rsid w:val="004653E6"/>
    <w:rPr>
      <w:vertAlign w:val="superscript"/>
    </w:rPr>
  </w:style>
  <w:style w:type="character" w:customStyle="1" w:styleId="txt-bold">
    <w:name w:val="txt-bold"/>
    <w:basedOn w:val="DefaultParagraphFont"/>
    <w:rsid w:val="001D65FF"/>
  </w:style>
  <w:style w:type="character" w:customStyle="1" w:styleId="text--body-copy">
    <w:name w:val="text--body-copy"/>
    <w:basedOn w:val="DefaultParagraphFont"/>
    <w:rsid w:val="001D65FF"/>
  </w:style>
  <w:style w:type="character" w:styleId="FollowedHyperlink">
    <w:name w:val="FollowedHyperlink"/>
    <w:basedOn w:val="DefaultParagraphFont"/>
    <w:uiPriority w:val="99"/>
    <w:semiHidden/>
    <w:unhideWhenUsed/>
    <w:rsid w:val="000840F3"/>
    <w:rPr>
      <w:color w:val="954F72" w:themeColor="followedHyperlink"/>
      <w:u w:val="single"/>
    </w:rPr>
  </w:style>
  <w:style w:type="paragraph" w:customStyle="1" w:styleId="Style1">
    <w:name w:val="Style1"/>
    <w:basedOn w:val="Normal"/>
    <w:qFormat/>
    <w:rsid w:val="004529B2"/>
    <w:pPr>
      <w:spacing w:before="120" w:after="120" w:line="276" w:lineRule="auto"/>
      <w:ind w:left="714" w:hanging="714"/>
      <w:jc w:val="both"/>
    </w:pPr>
    <w:rPr>
      <w:rFonts w:ascii="Calibri Light" w:hAnsi="Calibri Light" w:cs="Times New Roman"/>
    </w:rPr>
  </w:style>
  <w:style w:type="paragraph" w:styleId="NormalWeb">
    <w:name w:val="Normal (Web)"/>
    <w:basedOn w:val="Normal"/>
    <w:uiPriority w:val="99"/>
    <w:semiHidden/>
    <w:unhideWhenUsed/>
    <w:rsid w:val="00CB7E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009">
      <w:bodyDiv w:val="1"/>
      <w:marLeft w:val="0"/>
      <w:marRight w:val="0"/>
      <w:marTop w:val="0"/>
      <w:marBottom w:val="0"/>
      <w:divBdr>
        <w:top w:val="none" w:sz="0" w:space="0" w:color="auto"/>
        <w:left w:val="none" w:sz="0" w:space="0" w:color="auto"/>
        <w:bottom w:val="none" w:sz="0" w:space="0" w:color="auto"/>
        <w:right w:val="none" w:sz="0" w:space="0" w:color="auto"/>
      </w:divBdr>
    </w:div>
    <w:div w:id="95444743">
      <w:bodyDiv w:val="1"/>
      <w:marLeft w:val="0"/>
      <w:marRight w:val="0"/>
      <w:marTop w:val="0"/>
      <w:marBottom w:val="0"/>
      <w:divBdr>
        <w:top w:val="none" w:sz="0" w:space="0" w:color="auto"/>
        <w:left w:val="none" w:sz="0" w:space="0" w:color="auto"/>
        <w:bottom w:val="none" w:sz="0" w:space="0" w:color="auto"/>
        <w:right w:val="none" w:sz="0" w:space="0" w:color="auto"/>
      </w:divBdr>
    </w:div>
    <w:div w:id="573440370">
      <w:bodyDiv w:val="1"/>
      <w:marLeft w:val="0"/>
      <w:marRight w:val="0"/>
      <w:marTop w:val="0"/>
      <w:marBottom w:val="0"/>
      <w:divBdr>
        <w:top w:val="none" w:sz="0" w:space="0" w:color="auto"/>
        <w:left w:val="none" w:sz="0" w:space="0" w:color="auto"/>
        <w:bottom w:val="none" w:sz="0" w:space="0" w:color="auto"/>
        <w:right w:val="none" w:sz="0" w:space="0" w:color="auto"/>
      </w:divBdr>
      <w:divsChild>
        <w:div w:id="1962951597">
          <w:marLeft w:val="0"/>
          <w:marRight w:val="0"/>
          <w:marTop w:val="0"/>
          <w:marBottom w:val="0"/>
          <w:divBdr>
            <w:top w:val="none" w:sz="0" w:space="0" w:color="auto"/>
            <w:left w:val="none" w:sz="0" w:space="0" w:color="auto"/>
            <w:bottom w:val="none" w:sz="0" w:space="0" w:color="auto"/>
            <w:right w:val="none" w:sz="0" w:space="0" w:color="auto"/>
          </w:divBdr>
        </w:div>
        <w:div w:id="1920363760">
          <w:marLeft w:val="0"/>
          <w:marRight w:val="0"/>
          <w:marTop w:val="0"/>
          <w:marBottom w:val="0"/>
          <w:divBdr>
            <w:top w:val="none" w:sz="0" w:space="0" w:color="auto"/>
            <w:left w:val="none" w:sz="0" w:space="0" w:color="auto"/>
            <w:bottom w:val="none" w:sz="0" w:space="0" w:color="auto"/>
            <w:right w:val="none" w:sz="0" w:space="0" w:color="auto"/>
          </w:divBdr>
        </w:div>
        <w:div w:id="1320891602">
          <w:marLeft w:val="0"/>
          <w:marRight w:val="0"/>
          <w:marTop w:val="0"/>
          <w:marBottom w:val="0"/>
          <w:divBdr>
            <w:top w:val="none" w:sz="0" w:space="0" w:color="auto"/>
            <w:left w:val="none" w:sz="0" w:space="0" w:color="auto"/>
            <w:bottom w:val="none" w:sz="0" w:space="0" w:color="auto"/>
            <w:right w:val="none" w:sz="0" w:space="0" w:color="auto"/>
          </w:divBdr>
        </w:div>
        <w:div w:id="1909265548">
          <w:marLeft w:val="0"/>
          <w:marRight w:val="0"/>
          <w:marTop w:val="0"/>
          <w:marBottom w:val="0"/>
          <w:divBdr>
            <w:top w:val="none" w:sz="0" w:space="0" w:color="auto"/>
            <w:left w:val="none" w:sz="0" w:space="0" w:color="auto"/>
            <w:bottom w:val="none" w:sz="0" w:space="0" w:color="auto"/>
            <w:right w:val="none" w:sz="0" w:space="0" w:color="auto"/>
          </w:divBdr>
        </w:div>
        <w:div w:id="1095706684">
          <w:marLeft w:val="0"/>
          <w:marRight w:val="0"/>
          <w:marTop w:val="0"/>
          <w:marBottom w:val="0"/>
          <w:divBdr>
            <w:top w:val="none" w:sz="0" w:space="0" w:color="auto"/>
            <w:left w:val="none" w:sz="0" w:space="0" w:color="auto"/>
            <w:bottom w:val="none" w:sz="0" w:space="0" w:color="auto"/>
            <w:right w:val="none" w:sz="0" w:space="0" w:color="auto"/>
          </w:divBdr>
        </w:div>
      </w:divsChild>
    </w:div>
    <w:div w:id="694775338">
      <w:bodyDiv w:val="1"/>
      <w:marLeft w:val="0"/>
      <w:marRight w:val="0"/>
      <w:marTop w:val="0"/>
      <w:marBottom w:val="0"/>
      <w:divBdr>
        <w:top w:val="none" w:sz="0" w:space="0" w:color="auto"/>
        <w:left w:val="none" w:sz="0" w:space="0" w:color="auto"/>
        <w:bottom w:val="none" w:sz="0" w:space="0" w:color="auto"/>
        <w:right w:val="none" w:sz="0" w:space="0" w:color="auto"/>
      </w:divBdr>
    </w:div>
    <w:div w:id="919217875">
      <w:bodyDiv w:val="1"/>
      <w:marLeft w:val="0"/>
      <w:marRight w:val="0"/>
      <w:marTop w:val="0"/>
      <w:marBottom w:val="0"/>
      <w:divBdr>
        <w:top w:val="none" w:sz="0" w:space="0" w:color="auto"/>
        <w:left w:val="none" w:sz="0" w:space="0" w:color="auto"/>
        <w:bottom w:val="none" w:sz="0" w:space="0" w:color="auto"/>
        <w:right w:val="none" w:sz="0" w:space="0" w:color="auto"/>
      </w:divBdr>
    </w:div>
    <w:div w:id="1205942127">
      <w:bodyDiv w:val="1"/>
      <w:marLeft w:val="0"/>
      <w:marRight w:val="0"/>
      <w:marTop w:val="0"/>
      <w:marBottom w:val="0"/>
      <w:divBdr>
        <w:top w:val="none" w:sz="0" w:space="0" w:color="auto"/>
        <w:left w:val="none" w:sz="0" w:space="0" w:color="auto"/>
        <w:bottom w:val="none" w:sz="0" w:space="0" w:color="auto"/>
        <w:right w:val="none" w:sz="0" w:space="0" w:color="auto"/>
      </w:divBdr>
      <w:divsChild>
        <w:div w:id="945236331">
          <w:marLeft w:val="0"/>
          <w:marRight w:val="0"/>
          <w:marTop w:val="0"/>
          <w:marBottom w:val="0"/>
          <w:divBdr>
            <w:top w:val="none" w:sz="0" w:space="0" w:color="auto"/>
            <w:left w:val="none" w:sz="0" w:space="0" w:color="auto"/>
            <w:bottom w:val="none" w:sz="0" w:space="0" w:color="auto"/>
            <w:right w:val="none" w:sz="0" w:space="0" w:color="auto"/>
          </w:divBdr>
        </w:div>
        <w:div w:id="1904176640">
          <w:marLeft w:val="0"/>
          <w:marRight w:val="0"/>
          <w:marTop w:val="0"/>
          <w:marBottom w:val="0"/>
          <w:divBdr>
            <w:top w:val="none" w:sz="0" w:space="0" w:color="auto"/>
            <w:left w:val="none" w:sz="0" w:space="0" w:color="auto"/>
            <w:bottom w:val="none" w:sz="0" w:space="0" w:color="auto"/>
            <w:right w:val="none" w:sz="0" w:space="0" w:color="auto"/>
          </w:divBdr>
        </w:div>
        <w:div w:id="206142658">
          <w:marLeft w:val="0"/>
          <w:marRight w:val="0"/>
          <w:marTop w:val="0"/>
          <w:marBottom w:val="0"/>
          <w:divBdr>
            <w:top w:val="none" w:sz="0" w:space="0" w:color="auto"/>
            <w:left w:val="none" w:sz="0" w:space="0" w:color="auto"/>
            <w:bottom w:val="none" w:sz="0" w:space="0" w:color="auto"/>
            <w:right w:val="none" w:sz="0" w:space="0" w:color="auto"/>
          </w:divBdr>
        </w:div>
      </w:divsChild>
    </w:div>
    <w:div w:id="1206022987">
      <w:bodyDiv w:val="1"/>
      <w:marLeft w:val="0"/>
      <w:marRight w:val="0"/>
      <w:marTop w:val="0"/>
      <w:marBottom w:val="0"/>
      <w:divBdr>
        <w:top w:val="none" w:sz="0" w:space="0" w:color="auto"/>
        <w:left w:val="none" w:sz="0" w:space="0" w:color="auto"/>
        <w:bottom w:val="none" w:sz="0" w:space="0" w:color="auto"/>
        <w:right w:val="none" w:sz="0" w:space="0" w:color="auto"/>
      </w:divBdr>
      <w:divsChild>
        <w:div w:id="110979847">
          <w:marLeft w:val="0"/>
          <w:marRight w:val="0"/>
          <w:marTop w:val="0"/>
          <w:marBottom w:val="0"/>
          <w:divBdr>
            <w:top w:val="none" w:sz="0" w:space="0" w:color="auto"/>
            <w:left w:val="none" w:sz="0" w:space="0" w:color="auto"/>
            <w:bottom w:val="none" w:sz="0" w:space="0" w:color="auto"/>
            <w:right w:val="none" w:sz="0" w:space="0" w:color="auto"/>
          </w:divBdr>
        </w:div>
        <w:div w:id="202208264">
          <w:marLeft w:val="0"/>
          <w:marRight w:val="0"/>
          <w:marTop w:val="0"/>
          <w:marBottom w:val="0"/>
          <w:divBdr>
            <w:top w:val="none" w:sz="0" w:space="0" w:color="auto"/>
            <w:left w:val="none" w:sz="0" w:space="0" w:color="auto"/>
            <w:bottom w:val="none" w:sz="0" w:space="0" w:color="auto"/>
            <w:right w:val="none" w:sz="0" w:space="0" w:color="auto"/>
          </w:divBdr>
        </w:div>
        <w:div w:id="296380190">
          <w:marLeft w:val="0"/>
          <w:marRight w:val="0"/>
          <w:marTop w:val="0"/>
          <w:marBottom w:val="0"/>
          <w:divBdr>
            <w:top w:val="none" w:sz="0" w:space="0" w:color="auto"/>
            <w:left w:val="none" w:sz="0" w:space="0" w:color="auto"/>
            <w:bottom w:val="none" w:sz="0" w:space="0" w:color="auto"/>
            <w:right w:val="none" w:sz="0" w:space="0" w:color="auto"/>
          </w:divBdr>
        </w:div>
        <w:div w:id="22100473">
          <w:marLeft w:val="0"/>
          <w:marRight w:val="0"/>
          <w:marTop w:val="0"/>
          <w:marBottom w:val="0"/>
          <w:divBdr>
            <w:top w:val="none" w:sz="0" w:space="0" w:color="auto"/>
            <w:left w:val="none" w:sz="0" w:space="0" w:color="auto"/>
            <w:bottom w:val="none" w:sz="0" w:space="0" w:color="auto"/>
            <w:right w:val="none" w:sz="0" w:space="0" w:color="auto"/>
          </w:divBdr>
        </w:div>
        <w:div w:id="572081469">
          <w:marLeft w:val="0"/>
          <w:marRight w:val="0"/>
          <w:marTop w:val="0"/>
          <w:marBottom w:val="0"/>
          <w:divBdr>
            <w:top w:val="none" w:sz="0" w:space="0" w:color="auto"/>
            <w:left w:val="none" w:sz="0" w:space="0" w:color="auto"/>
            <w:bottom w:val="none" w:sz="0" w:space="0" w:color="auto"/>
            <w:right w:val="none" w:sz="0" w:space="0" w:color="auto"/>
          </w:divBdr>
        </w:div>
      </w:divsChild>
    </w:div>
    <w:div w:id="1320772818">
      <w:bodyDiv w:val="1"/>
      <w:marLeft w:val="0"/>
      <w:marRight w:val="0"/>
      <w:marTop w:val="0"/>
      <w:marBottom w:val="0"/>
      <w:divBdr>
        <w:top w:val="none" w:sz="0" w:space="0" w:color="auto"/>
        <w:left w:val="none" w:sz="0" w:space="0" w:color="auto"/>
        <w:bottom w:val="none" w:sz="0" w:space="0" w:color="auto"/>
        <w:right w:val="none" w:sz="0" w:space="0" w:color="auto"/>
      </w:divBdr>
    </w:div>
    <w:div w:id="19214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oparl.europa.eu/doceo/document/TA-9-2022-0308_EN.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PDF/?uri=CELEX:32020D2130&amp;from=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ogustgoodhead.com/victims-of-brazils-sinking-city-receive-positive-news-to-have-case-heard-in-the-netherlands/" TargetMode="External"/><Relationship Id="rId2" Type="http://schemas.openxmlformats.org/officeDocument/2006/relationships/hyperlink" Target="https://fra.europa.eu/en/publication/2020/business-human-rights-remedies" TargetMode="External"/><Relationship Id="rId1" Type="http://schemas.openxmlformats.org/officeDocument/2006/relationships/hyperlink" Target="https://www.ohchr.org/en/calls-for-input/2023/call-inputs-extractive-sector-just-transition-and-human-rights" TargetMode="External"/><Relationship Id="rId6" Type="http://schemas.openxmlformats.org/officeDocument/2006/relationships/hyperlink" Target="https://www.cilc.nl/cms/wp-content/uploads/2019/12/The-Hague-Rules-on-Business-and-Human-Rights-Arbitration_CILC-digital-version.pdf" TargetMode="External"/><Relationship Id="rId5" Type="http://schemas.openxmlformats.org/officeDocument/2006/relationships/hyperlink" Target="https://www.cilc.nl/cms/wp-content/uploads/2019/12/The-Hague-Rules-on-Business-and-Human-Rights-Arbitration_CILC-digital-version.pdf" TargetMode="External"/><Relationship Id="rId4" Type="http://schemas.openxmlformats.org/officeDocument/2006/relationships/hyperlink" Target="https://pogustgoodhead.com/barcarena-and-abaetetuba-toxic-waste-pollu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2" ma:contentTypeDescription="Create a new document." ma:contentTypeScope="" ma:versionID="b03a9ca0f58b7180e5670647e9f3ac12">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248b4766c80033b2846011ec563a1e4a"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C331F-61EA-43E8-B804-03FB83D43BF4}"/>
</file>

<file path=customXml/itemProps2.xml><?xml version="1.0" encoding="utf-8"?>
<ds:datastoreItem xmlns:ds="http://schemas.openxmlformats.org/officeDocument/2006/customXml" ds:itemID="{5D0DB7D9-5512-4209-B428-B160CF474CA5}"/>
</file>

<file path=customXml/itemProps3.xml><?xml version="1.0" encoding="utf-8"?>
<ds:datastoreItem xmlns:ds="http://schemas.openxmlformats.org/officeDocument/2006/customXml" ds:itemID="{DAA04951-2F45-49F0-B829-551071A3DC7B}"/>
</file>

<file path=customXml/itemProps4.xml><?xml version="1.0" encoding="utf-8"?>
<ds:datastoreItem xmlns:ds="http://schemas.openxmlformats.org/officeDocument/2006/customXml" ds:itemID="{01FD0F6A-F0A3-44D3-91D1-1257052D21E3}"/>
</file>

<file path=docProps/app.xml><?xml version="1.0" encoding="utf-8"?>
<Properties xmlns="http://schemas.openxmlformats.org/officeDocument/2006/extended-properties" xmlns:vt="http://schemas.openxmlformats.org/officeDocument/2006/docPropsVTypes">
  <Template>Normal</Template>
  <TotalTime>2</TotalTime>
  <Pages>7</Pages>
  <Words>3338</Words>
  <Characters>19033</Characters>
  <Application>Microsoft Office Word</Application>
  <DocSecurity>0</DocSecurity>
  <Lines>158</Lines>
  <Paragraphs>44</Paragraphs>
  <ScaleCrop>false</ScaleCrop>
  <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Franka Pues</dc:creator>
  <cp:keywords/>
  <dc:description/>
  <cp:lastModifiedBy>Ana Carolina Salomão</cp:lastModifiedBy>
  <cp:revision>2</cp:revision>
  <dcterms:created xsi:type="dcterms:W3CDTF">2023-05-29T08:19:00Z</dcterms:created>
  <dcterms:modified xsi:type="dcterms:W3CDTF">2023-05-29T08:19:00Z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