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3A5EC" w14:textId="42D0B5A0" w:rsidR="00DC4544" w:rsidRPr="00893135" w:rsidRDefault="009E2423" w:rsidP="004B150A">
      <w:pPr>
        <w:pStyle w:val="Title"/>
        <w:tabs>
          <w:tab w:val="left" w:pos="3150"/>
        </w:tabs>
      </w:pPr>
      <w:r w:rsidRPr="00B23386">
        <w:rPr>
          <w:b/>
          <w:noProof/>
        </w:rPr>
        <mc:AlternateContent>
          <mc:Choice Requires="wps">
            <w:drawing>
              <wp:anchor distT="0" distB="180340" distL="114300" distR="360045" simplePos="0" relativeHeight="251658240" behindDoc="0" locked="0" layoutInCell="1" allowOverlap="0" wp14:anchorId="24878C7F" wp14:editId="7F25B4D5">
                <wp:simplePos x="0" y="0"/>
                <wp:positionH relativeFrom="margin">
                  <wp:align>right</wp:align>
                </wp:positionH>
                <wp:positionV relativeFrom="page">
                  <wp:posOffset>428625</wp:posOffset>
                </wp:positionV>
                <wp:extent cx="4320000" cy="720000"/>
                <wp:effectExtent l="0" t="0" r="4445" b="4445"/>
                <wp:wrapNone/>
                <wp:docPr id="23" name="Text Box 23"/>
                <wp:cNvGraphicFramePr/>
                <a:graphic xmlns:a="http://schemas.openxmlformats.org/drawingml/2006/main">
                  <a:graphicData uri="http://schemas.microsoft.com/office/word/2010/wordprocessingShape">
                    <wps:wsp>
                      <wps:cNvSpPr txBox="1"/>
                      <wps:spPr>
                        <a:xfrm>
                          <a:off x="0" y="0"/>
                          <a:ext cx="4320000" cy="720000"/>
                        </a:xfrm>
                        <a:prstGeom prst="rect">
                          <a:avLst/>
                        </a:prstGeom>
                        <a:solidFill>
                          <a:schemeClr val="bg1"/>
                        </a:solidFill>
                        <a:ln w="6350">
                          <a:noFill/>
                        </a:ln>
                      </wps:spPr>
                      <wps:txbx>
                        <w:txbxContent>
                          <w:sdt>
                            <w:sdtPr>
                              <w:alias w:val="insert date here"/>
                              <w:tag w:val=""/>
                              <w:id w:val="-95955371"/>
                              <w:placeholder>
                                <w:docPart w:val="FE41347A3A6F414A9E971A26317F43BD"/>
                              </w:placeholder>
                              <w:dataBinding w:prefixMappings="xmlns:ns0='http://schemas.microsoft.com/office/2006/coverPageProps' " w:xpath="/ns0:CoverPageProperties[1]/ns0:PublishDate[1]" w:storeItemID="{55AF091B-3C7A-41E3-B477-F2FDAA23CFDA}"/>
                              <w:date w:fullDate="2023-10-12T00:00:00Z">
                                <w:dateFormat w:val="MMMM yyyy"/>
                                <w:lid w:val="en-GB"/>
                                <w:storeMappedDataAs w:val="dateTime"/>
                                <w:calendar w:val="gregorian"/>
                              </w:date>
                            </w:sdtPr>
                            <w:sdtContent>
                              <w:p w14:paraId="6C1BFD79" w14:textId="3C96D7B4" w:rsidR="009E2423" w:rsidRPr="00313BEF" w:rsidRDefault="00F91074" w:rsidP="00B90A7B">
                                <w:pPr>
                                  <w:pStyle w:val="NoSpacing"/>
                                  <w:jc w:val="right"/>
                                </w:pPr>
                                <w:r>
                                  <w:t>October 2023</w:t>
                                </w:r>
                              </w:p>
                            </w:sdtContent>
                          </w:sdt>
                        </w:txbxContent>
                      </wps:txbx>
                      <wps:bodyPr rot="0" spcFirstLastPara="0" vertOverflow="overflow" horzOverflow="overflow" vert="horz" wrap="square" lIns="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878C7F" id="_x0000_t202" coordsize="21600,21600" o:spt="202" path="m,l,21600r21600,l21600,xe">
                <v:stroke joinstyle="miter"/>
                <v:path gradientshapeok="t" o:connecttype="rect"/>
              </v:shapetype>
              <v:shape id="Text Box 23" o:spid="_x0000_s1026" type="#_x0000_t202" style="position:absolute;margin-left:288.95pt;margin-top:33.75pt;width:340.15pt;height:56.7pt;z-index:251658240;visibility:visible;mso-wrap-style:square;mso-width-percent:0;mso-height-percent:0;mso-wrap-distance-left:9pt;mso-wrap-distance-top:0;mso-wrap-distance-right:28.35pt;mso-wrap-distance-bottom:14.2pt;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" o:allowoverlap="f" fillcolor="white [3212]" stroked="f" strokeweight=".5pt">
                <v:textbox inset="0">
                  <w:txbxContent>
                    <w:sdt>
                      <w:sdtPr>
                        <w:alias w:val="insert date here"/>
                        <w:tag w:val=""/>
                        <w:id w:val="-95955371"/>
                        <w:placeholder>
                          <w:docPart w:val="FE41347A3A6F414A9E971A26317F43BD"/>
                        </w:placeholder>
                        <w:dataBinding w:prefixMappings="xmlns:ns0='http://schemas.microsoft.com/office/2006/coverPageProps' " w:xpath="/ns0:CoverPageProperties[1]/ns0:PublishDate[1]" w:storeItemID="{55AF091B-3C7A-41E3-B477-F2FDAA23CFDA}"/>
                        <w:date w:fullDate="2023-10-12T00:00:00Z">
                          <w:dateFormat w:val="MMMM yyyy"/>
                          <w:lid w:val="en-GB"/>
                          <w:storeMappedDataAs w:val="dateTime"/>
                          <w:calendar w:val="gregorian"/>
                        </w:date>
                      </w:sdtPr>
                      <w:sdtContent>
                        <w:p w14:paraId="6C1BFD79" w14:textId="3C96D7B4" w:rsidR="009E2423" w:rsidRPr="00313BEF" w:rsidRDefault="00F91074" w:rsidP="00B90A7B">
                          <w:pPr>
                            <w:pStyle w:val="NoSpacing"/>
                            <w:jc w:val="right"/>
                          </w:pPr>
                          <w:r>
                            <w:t>October 2023</w:t>
                          </w:r>
                        </w:p>
                      </w:sdtContent>
                    </w:sdt>
                  </w:txbxContent>
                </v:textbox>
                <w10:wrap anchorx="margin" anchory="page"/>
              </v:shape>
            </w:pict>
          </mc:Fallback>
        </mc:AlternateContent>
      </w:r>
      <w:sdt>
        <w:sdtPr>
          <w:rPr>
            <w:rStyle w:val="TitleChar"/>
          </w:rPr>
          <w:alias w:val="insert Title here"/>
          <w:tag w:val=""/>
          <w:id w:val="138925981"/>
          <w:placeholder>
            <w:docPart w:val="2ECE46C71CEB47DF8FA8EC58E7CFD9BC"/>
          </w:placeholder>
          <w:dataBinding w:prefixMappings="xmlns:ns0='http://purl.org/dc/elements/1.1/' xmlns:ns1='http://schemas.openxmlformats.org/package/2006/metadata/core-properties' " w:xpath="/ns1:coreProperties[1]/ns0:title[1]" w:storeItemID="{6C3C8BC8-F283-45AE-878A-BAB7291924A1}"/>
          <w:text/>
        </w:sdtPr>
        <w:sdtContent>
          <w:r w:rsidR="00753894">
            <w:rPr>
              <w:rStyle w:val="TitleChar"/>
            </w:rPr>
            <w:t>Investors, ESG and Human Rights</w:t>
          </w:r>
        </w:sdtContent>
      </w:sdt>
    </w:p>
    <w:p w14:paraId="6DA12A4B" w14:textId="3C084E1A" w:rsidR="00DC4544" w:rsidRDefault="00753894" w:rsidP="00DC4544">
      <w:pPr>
        <w:pStyle w:val="Subtitle"/>
      </w:pPr>
      <w:r>
        <w:t xml:space="preserve">ClientEarth’s response to the </w:t>
      </w:r>
      <w:r w:rsidR="00370507">
        <w:t>UN Working Group’s call for input</w:t>
      </w:r>
    </w:p>
    <w:p w14:paraId="5AE07E19" w14:textId="77777777" w:rsidR="00C93129" w:rsidRDefault="00C93129" w:rsidP="00C93129">
      <w:pPr>
        <w:pStyle w:val="BodyText"/>
        <w:rPr>
          <w:lang w:eastAsia="en-US"/>
        </w:rPr>
      </w:pPr>
      <w:r>
        <w:rPr>
          <w:noProof/>
        </w:rPr>
        <mc:AlternateContent>
          <mc:Choice Requires="wps">
            <w:drawing>
              <wp:inline distT="0" distB="0" distL="0" distR="0" wp14:anchorId="64974145" wp14:editId="0EB8BD59">
                <wp:extent cx="6479540" cy="70485"/>
                <wp:effectExtent l="0" t="0" r="0" b="5715"/>
                <wp:docPr id="2" name="Rectangle 2"/>
                <wp:cNvGraphicFramePr/>
                <a:graphic xmlns:a="http://schemas.openxmlformats.org/drawingml/2006/main">
                  <a:graphicData uri="http://schemas.microsoft.com/office/word/2010/wordprocessingShape">
                    <wps:wsp>
                      <wps:cNvSpPr/>
                      <wps:spPr>
                        <a:xfrm>
                          <a:off x="0" y="0"/>
                          <a:ext cx="6479540" cy="70485"/>
                        </a:xfrm>
                        <a:prstGeom prst="rect">
                          <a:avLst/>
                        </a:prstGeom>
                        <a:blipFill dpi="0" rotWithShape="1">
                          <a:blip r:embed="rId12"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xmlns:arto="http://schemas.microsoft.com/office/word/2006/arto" xmlns:pic="http://schemas.openxmlformats.org/drawingml/2006/picture" xmlns:a14="http://schemas.microsoft.com/office/drawing/2010/main" xmlns:a="http://schemas.openxmlformats.org/drawingml/2006/main">
            <w:pict w14:anchorId="0D1C8844">
              <v:rect id="Rectangle 2" style="width:510.2pt;height:5.55pt;visibility:visible;mso-wrap-style:square;mso-left-percent:-10001;mso-top-percent:-10001;mso-position-horizontal:absolute;mso-position-horizontal-relative:char;mso-position-vertical:absolute;mso-position-vertical-relative:line;mso-left-percent:-10001;mso-top-percent:-10001;v-text-anchor:middle" o:spid="_x0000_s1026" stroked="f" strokeweight="1pt" w14:anchorId="14DE49B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">
                <v:fill type="frame" o:title="" recolor="t" rotate="t" r:id="rId13"/>
                <w10:anchorlock/>
              </v:rect>
            </w:pict>
          </mc:Fallback>
        </mc:AlternateContent>
      </w:r>
    </w:p>
    <w:p w14:paraId="1F64A087" w14:textId="77777777" w:rsidR="003727C0" w:rsidRPr="00404AEB" w:rsidRDefault="003727C0" w:rsidP="00352716">
      <w:pPr>
        <w:pStyle w:val="Heading1"/>
      </w:pPr>
      <w:r>
        <w:t>Background</w:t>
      </w:r>
    </w:p>
    <w:p w14:paraId="41FE2D72" w14:textId="77777777" w:rsidR="00372FAB" w:rsidRDefault="00372FAB" w:rsidP="008F39E6">
      <w:pPr>
        <w:pStyle w:val="BodyText"/>
        <w:jc w:val="both"/>
      </w:pPr>
      <w:r>
        <w:t xml:space="preserve">ClientEarth is a charity that uses the power of the law to protect people and the planet. We are international lawyers finding practical solutions for the world’s biggest environmental challenges. From our offices in London, Brussels, Warsaw, Berlin, Madrid, Beijing, Luxembourg and Los Angeles, we work on laws throughout their lifetime, from the earliest stages to implementation and enforcement. </w:t>
      </w:r>
    </w:p>
    <w:p w14:paraId="4F22403C" w14:textId="77777777" w:rsidR="00372FAB" w:rsidRDefault="00372FAB" w:rsidP="008F39E6">
      <w:pPr>
        <w:pStyle w:val="BodyText"/>
        <w:jc w:val="both"/>
      </w:pPr>
      <w:r>
        <w:t>ClientEarth’s Accountable Finance initiative analyses the legal duties of a wide spectrum of actors in the financial system – including regulators, companies, investors, banks, insurers, pension schemes and asset managers – to consider, manage and report their risks and impacts associated with climate change and the environment.</w:t>
      </w:r>
    </w:p>
    <w:p w14:paraId="1275A5DC" w14:textId="77777777" w:rsidR="00AA26FC" w:rsidRDefault="00372FAB" w:rsidP="008F39E6">
      <w:pPr>
        <w:pStyle w:val="BodyText"/>
        <w:jc w:val="both"/>
      </w:pPr>
      <w:r>
        <w:t xml:space="preserve">We welcome the opportunity to </w:t>
      </w:r>
      <w:r w:rsidR="00B539E0">
        <w:t>contribute to the UN Working Group’s work in this area.</w:t>
      </w:r>
    </w:p>
    <w:p w14:paraId="1CB0B436" w14:textId="3D5F776F" w:rsidR="00372FAB" w:rsidRDefault="008F39E6" w:rsidP="008F39E6">
      <w:pPr>
        <w:pStyle w:val="BodyText"/>
        <w:jc w:val="both"/>
      </w:pPr>
      <w:r>
        <w:br w:type="page"/>
      </w:r>
    </w:p>
    <w:p w14:paraId="79557749" w14:textId="019B1633" w:rsidR="00594E3D" w:rsidRDefault="00594E3D" w:rsidP="00594E3D">
      <w:pPr>
        <w:pStyle w:val="Heading1"/>
      </w:pPr>
      <w:r>
        <w:lastRenderedPageBreak/>
        <w:t>Responses</w:t>
      </w:r>
    </w:p>
    <w:p w14:paraId="4B7B6A1D" w14:textId="12F5286B" w:rsidR="00AF0711" w:rsidRPr="00CA3B80" w:rsidRDefault="00AF0711" w:rsidP="00CA3B80">
      <w:pPr>
        <w:pStyle w:val="BodyText"/>
        <w:jc w:val="right"/>
        <w:rPr>
          <w:i/>
          <w:iCs/>
          <w:color w:val="FF0000"/>
        </w:rPr>
      </w:pPr>
      <w:r w:rsidRPr="00CA3B80">
        <w:rPr>
          <w:i/>
          <w:iCs/>
          <w:color w:val="FF0000"/>
        </w:rPr>
        <w:t xml:space="preserve">Red text indicates </w:t>
      </w:r>
      <w:r w:rsidR="00A54F1A">
        <w:rPr>
          <w:i/>
          <w:iCs/>
          <w:color w:val="FF0000"/>
        </w:rPr>
        <w:t>questions not answered by ClientEarth</w:t>
      </w:r>
    </w:p>
    <w:p w14:paraId="45DA69E0" w14:textId="77777777" w:rsidR="00F037DB" w:rsidRPr="00B604B6" w:rsidRDefault="00F037DB" w:rsidP="00F037DB">
      <w:pPr>
        <w:pStyle w:val="BodyText"/>
        <w:rPr>
          <w:rFonts w:cstheme="minorHAnsi"/>
        </w:rPr>
      </w:pPr>
      <w:r w:rsidRPr="00B604B6">
        <w:rPr>
          <w:rFonts w:cstheme="minorHAnsi"/>
          <w:b/>
          <w:bCs/>
        </w:rPr>
        <w:t>General</w:t>
      </w:r>
    </w:p>
    <w:p w14:paraId="671C954F" w14:textId="5EA5FDB3" w:rsidR="00F037DB" w:rsidRPr="00B604B6" w:rsidRDefault="00F037DB" w:rsidP="00F037DB">
      <w:pPr>
        <w:pStyle w:val="BodyText"/>
        <w:numPr>
          <w:ilvl w:val="0"/>
          <w:numId w:val="17"/>
        </w:numPr>
        <w:rPr>
          <w:rFonts w:cstheme="minorHAnsi"/>
          <w:b/>
          <w:bCs/>
        </w:rPr>
      </w:pPr>
      <w:r w:rsidRPr="00B604B6">
        <w:rPr>
          <w:rFonts w:cstheme="minorHAnsi"/>
          <w:b/>
          <w:bCs/>
        </w:rPr>
        <w:t>What do you understand Environmental, Social, and Governance (ESG) in finance to mean? How are human rights standards and frameworks considered by investors, if at all, in ESG?</w:t>
      </w:r>
    </w:p>
    <w:p w14:paraId="672EC39E" w14:textId="0A76812A" w:rsidR="00004DC8" w:rsidRPr="00B604B6" w:rsidRDefault="00025174" w:rsidP="00594D48">
      <w:pPr>
        <w:pStyle w:val="BodyText"/>
        <w:ind w:left="720"/>
        <w:rPr>
          <w:rFonts w:cstheme="minorHAnsi"/>
        </w:rPr>
      </w:pPr>
      <w:r w:rsidRPr="00B604B6">
        <w:rPr>
          <w:rFonts w:cstheme="minorHAnsi"/>
        </w:rPr>
        <w:t xml:space="preserve">As the UN Working Group has </w:t>
      </w:r>
      <w:r w:rsidR="003837A2" w:rsidRPr="00B604B6">
        <w:rPr>
          <w:rFonts w:cstheme="minorHAnsi"/>
        </w:rPr>
        <w:t xml:space="preserve">confirmed many times, </w:t>
      </w:r>
      <w:r w:rsidR="00237204" w:rsidRPr="00B604B6">
        <w:rPr>
          <w:rFonts w:cstheme="minorHAnsi"/>
        </w:rPr>
        <w:t>the responsibility of business enterprises to respect human rights applies to all enterprises regardless of their size, sector, operati</w:t>
      </w:r>
      <w:r w:rsidR="00655046" w:rsidRPr="00B604B6">
        <w:rPr>
          <w:rFonts w:cstheme="minorHAnsi"/>
        </w:rPr>
        <w:t>onal context, ownership and structure. This includes all financial institutions</w:t>
      </w:r>
      <w:r w:rsidR="00650597" w:rsidRPr="00B604B6">
        <w:rPr>
          <w:rFonts w:cstheme="minorHAnsi"/>
        </w:rPr>
        <w:t>, and the financial sector has a particularly important role</w:t>
      </w:r>
      <w:r w:rsidR="002B2185" w:rsidRPr="00B604B6">
        <w:rPr>
          <w:rFonts w:cstheme="minorHAnsi"/>
        </w:rPr>
        <w:t xml:space="preserve"> in ensuring human rights are respected consistently with the Guiding Principles.</w:t>
      </w:r>
      <w:r w:rsidR="002B2185" w:rsidRPr="00B604B6">
        <w:rPr>
          <w:rStyle w:val="FootnoteReference"/>
          <w:rFonts w:cstheme="minorHAnsi"/>
        </w:rPr>
        <w:footnoteReference w:id="2"/>
      </w:r>
      <w:r w:rsidR="00A74E74" w:rsidRPr="00B604B6">
        <w:rPr>
          <w:rFonts w:cstheme="minorHAnsi"/>
        </w:rPr>
        <w:t xml:space="preserve"> </w:t>
      </w:r>
      <w:r w:rsidR="00EF752C" w:rsidRPr="00B604B6">
        <w:rPr>
          <w:rFonts w:cstheme="minorHAnsi"/>
        </w:rPr>
        <w:t>Accordingly,</w:t>
      </w:r>
      <w:r w:rsidR="00B54CB1">
        <w:rPr>
          <w:rFonts w:cstheme="minorHAnsi"/>
        </w:rPr>
        <w:t xml:space="preserve"> </w:t>
      </w:r>
      <w:r w:rsidR="00B54CB1" w:rsidRPr="00A637D5">
        <w:rPr>
          <w:rFonts w:cstheme="minorHAnsi"/>
          <w:b/>
          <w:bCs/>
          <w:u w:val="single"/>
        </w:rPr>
        <w:t>all</w:t>
      </w:r>
      <w:r w:rsidR="00EF752C" w:rsidRPr="00B54CB1">
        <w:rPr>
          <w:rFonts w:cstheme="minorHAnsi"/>
          <w:b/>
        </w:rPr>
        <w:t xml:space="preserve"> f</w:t>
      </w:r>
      <w:r w:rsidR="00EF752C" w:rsidRPr="00583E0B">
        <w:rPr>
          <w:rFonts w:cstheme="minorHAnsi"/>
          <w:b/>
        </w:rPr>
        <w:t xml:space="preserve">inancial institutions should integrate respect for human rights </w:t>
      </w:r>
      <w:r w:rsidR="00E211A5">
        <w:rPr>
          <w:rFonts w:cstheme="minorHAnsi"/>
          <w:b/>
          <w:bCs/>
        </w:rPr>
        <w:t xml:space="preserve">and planetary boundaries </w:t>
      </w:r>
      <w:r w:rsidR="00EF752C" w:rsidRPr="00583E0B">
        <w:rPr>
          <w:rFonts w:cstheme="minorHAnsi"/>
          <w:b/>
        </w:rPr>
        <w:t xml:space="preserve">into their policies, due diligence procedures, pre-investment and investment processes, </w:t>
      </w:r>
      <w:r w:rsidR="00E7210A" w:rsidRPr="00583E0B">
        <w:rPr>
          <w:rFonts w:cstheme="minorHAnsi"/>
          <w:b/>
        </w:rPr>
        <w:t>and investment stewardship</w:t>
      </w:r>
      <w:r w:rsidR="00E7210A" w:rsidRPr="00B604B6">
        <w:rPr>
          <w:rFonts w:cstheme="minorHAnsi"/>
        </w:rPr>
        <w:t xml:space="preserve">. They should identify when they </w:t>
      </w:r>
      <w:r w:rsidR="00BF0933">
        <w:rPr>
          <w:rFonts w:cstheme="minorHAnsi"/>
        </w:rPr>
        <w:t xml:space="preserve">may </w:t>
      </w:r>
      <w:r w:rsidR="00E7210A" w:rsidRPr="00B604B6">
        <w:rPr>
          <w:rFonts w:cstheme="minorHAnsi"/>
        </w:rPr>
        <w:t xml:space="preserve">cause, contribute to or </w:t>
      </w:r>
      <w:r w:rsidR="00BF0933">
        <w:rPr>
          <w:rFonts w:cstheme="minorHAnsi"/>
        </w:rPr>
        <w:t>be</w:t>
      </w:r>
      <w:r w:rsidR="00E7210A" w:rsidRPr="00B604B6">
        <w:rPr>
          <w:rFonts w:cstheme="minorHAnsi"/>
        </w:rPr>
        <w:t xml:space="preserve"> directly linked to adverse human rights and environmental impacts, and take </w:t>
      </w:r>
      <w:r w:rsidR="00C36A02">
        <w:rPr>
          <w:rFonts w:cstheme="minorHAnsi"/>
        </w:rPr>
        <w:t>adequate prevention, mitigation and (where appropriate) remediation</w:t>
      </w:r>
      <w:r w:rsidR="00E7210A" w:rsidRPr="00B604B6">
        <w:rPr>
          <w:rFonts w:cstheme="minorHAnsi"/>
        </w:rPr>
        <w:t xml:space="preserve"> action accordingly, </w:t>
      </w:r>
      <w:r w:rsidR="00473ED2">
        <w:rPr>
          <w:rFonts w:cstheme="minorHAnsi"/>
        </w:rPr>
        <w:t xml:space="preserve">together with actions </w:t>
      </w:r>
      <w:r w:rsidR="00E7210A" w:rsidRPr="00B604B6">
        <w:rPr>
          <w:rFonts w:cstheme="minorHAnsi"/>
        </w:rPr>
        <w:t xml:space="preserve">to </w:t>
      </w:r>
      <w:r w:rsidR="00B652F4">
        <w:rPr>
          <w:rFonts w:cstheme="minorHAnsi"/>
        </w:rPr>
        <w:t xml:space="preserve">use or </w:t>
      </w:r>
      <w:r w:rsidR="00473ED2">
        <w:rPr>
          <w:rFonts w:cstheme="minorHAnsi"/>
        </w:rPr>
        <w:t xml:space="preserve">increase </w:t>
      </w:r>
      <w:r w:rsidR="00E7210A" w:rsidRPr="00B604B6">
        <w:rPr>
          <w:rFonts w:cstheme="minorHAnsi"/>
        </w:rPr>
        <w:t>their leverage</w:t>
      </w:r>
      <w:r w:rsidR="00473ED2">
        <w:rPr>
          <w:rFonts w:cstheme="minorHAnsi"/>
        </w:rPr>
        <w:t xml:space="preserve"> (where relevant)</w:t>
      </w:r>
      <w:r w:rsidR="00E7210A" w:rsidRPr="00B604B6">
        <w:rPr>
          <w:rFonts w:cstheme="minorHAnsi"/>
        </w:rPr>
        <w:t>.</w:t>
      </w:r>
      <w:r w:rsidR="00E7210A" w:rsidRPr="00B604B6">
        <w:rPr>
          <w:rStyle w:val="FootnoteReference"/>
          <w:rFonts w:cstheme="minorHAnsi"/>
        </w:rPr>
        <w:footnoteReference w:id="3"/>
      </w:r>
      <w:r w:rsidR="008A2F45">
        <w:rPr>
          <w:rFonts w:cstheme="minorHAnsi"/>
        </w:rPr>
        <w:t xml:space="preserve"> </w:t>
      </w:r>
      <w:r w:rsidR="00837F4A">
        <w:rPr>
          <w:rFonts w:cstheme="minorHAnsi"/>
        </w:rPr>
        <w:t xml:space="preserve">Although this question is focused on “ESG in finance”, it is important to note at the outset that this responsibility applies to </w:t>
      </w:r>
      <w:r w:rsidR="00837F4A" w:rsidRPr="006B3738">
        <w:rPr>
          <w:rFonts w:cstheme="minorHAnsi"/>
          <w:u w:val="single"/>
        </w:rPr>
        <w:t>all</w:t>
      </w:r>
      <w:r w:rsidR="00837F4A">
        <w:rPr>
          <w:rFonts w:cstheme="minorHAnsi"/>
        </w:rPr>
        <w:t xml:space="preserve"> financial institutions regardless of whether </w:t>
      </w:r>
      <w:r w:rsidR="00B81F20">
        <w:rPr>
          <w:rFonts w:cstheme="minorHAnsi"/>
        </w:rPr>
        <w:t>they, or their investment products and strategies, are labelled as “ESG”, “sustainable” or similar.</w:t>
      </w:r>
    </w:p>
    <w:p w14:paraId="5172EE1E" w14:textId="01F62FB3" w:rsidR="00F52A8D" w:rsidRPr="00CA29E9" w:rsidRDefault="004F6A33" w:rsidP="00950A79">
      <w:pPr>
        <w:pStyle w:val="BodyText"/>
        <w:ind w:left="720"/>
        <w:rPr>
          <w:rStyle w:val="ui-provider"/>
        </w:rPr>
      </w:pPr>
      <w:r w:rsidRPr="00F52A8D">
        <w:rPr>
          <w:rStyle w:val="ui-provider"/>
        </w:rPr>
        <w:t>It is also essential to acknowledge that respect for human rights, and human rights due diligence covers environmental issues.</w:t>
      </w:r>
      <w:r w:rsidR="00F52A8D">
        <w:rPr>
          <w:rStyle w:val="ui-provider"/>
        </w:rPr>
        <w:t xml:space="preserve"> Given the </w:t>
      </w:r>
      <w:r w:rsidR="009C3F8A">
        <w:rPr>
          <w:rStyle w:val="ui-provider"/>
        </w:rPr>
        <w:t xml:space="preserve">evidence of </w:t>
      </w:r>
      <w:r w:rsidR="00280B96">
        <w:rPr>
          <w:rStyle w:val="ui-provider"/>
        </w:rPr>
        <w:t>environment-related impacts on human rights</w:t>
      </w:r>
      <w:r w:rsidR="0035495E">
        <w:rPr>
          <w:rStyle w:val="ui-provider"/>
        </w:rPr>
        <w:t xml:space="preserve">, “human rights due diligence” should always be considered to refer to “human rights </w:t>
      </w:r>
      <w:r w:rsidR="00C15F09" w:rsidRPr="00C15F09">
        <w:rPr>
          <w:rStyle w:val="ui-provider"/>
          <w:u w:val="single"/>
        </w:rPr>
        <w:t>and environmental</w:t>
      </w:r>
      <w:r w:rsidR="00C15F09">
        <w:rPr>
          <w:rStyle w:val="ui-provider"/>
        </w:rPr>
        <w:t xml:space="preserve"> due diligence”. </w:t>
      </w:r>
      <w:r w:rsidR="00130F0A">
        <w:rPr>
          <w:rStyle w:val="ui-provider"/>
        </w:rPr>
        <w:t xml:space="preserve">This has always been the case, but </w:t>
      </w:r>
      <w:r w:rsidR="00CA29E9">
        <w:rPr>
          <w:rStyle w:val="ui-provider"/>
        </w:rPr>
        <w:t>the</w:t>
      </w:r>
      <w:r w:rsidR="00FF4311">
        <w:rPr>
          <w:rStyle w:val="ui-provider"/>
        </w:rPr>
        <w:t>re is growing</w:t>
      </w:r>
      <w:r w:rsidR="00CA29E9">
        <w:rPr>
          <w:rStyle w:val="ui-provider"/>
        </w:rPr>
        <w:t xml:space="preserve"> recognition that </w:t>
      </w:r>
      <w:r w:rsidR="00CA29E9" w:rsidRPr="00CA29E9">
        <w:rPr>
          <w:rStyle w:val="ui-provider"/>
        </w:rPr>
        <w:t xml:space="preserve">a healthy and </w:t>
      </w:r>
      <w:r w:rsidR="00E764DA">
        <w:rPr>
          <w:rStyle w:val="ui-provider"/>
        </w:rPr>
        <w:t>safe</w:t>
      </w:r>
      <w:r w:rsidR="00CA29E9" w:rsidRPr="00CA29E9">
        <w:rPr>
          <w:rStyle w:val="ui-provider"/>
        </w:rPr>
        <w:t xml:space="preserve"> environment is a necessary </w:t>
      </w:r>
      <w:r w:rsidR="00CA29E9" w:rsidRPr="00CA29E9">
        <w:rPr>
          <w:rStyle w:val="ui-provider"/>
          <w:u w:val="single"/>
        </w:rPr>
        <w:t>prerequisite</w:t>
      </w:r>
      <w:r w:rsidR="00CA29E9">
        <w:rPr>
          <w:rStyle w:val="ui-provider"/>
        </w:rPr>
        <w:t xml:space="preserve"> of the full enjoyment of wide range of human</w:t>
      </w:r>
      <w:r w:rsidR="00FF4311">
        <w:rPr>
          <w:rStyle w:val="ui-provider"/>
        </w:rPr>
        <w:t xml:space="preserve"> rights.</w:t>
      </w:r>
      <w:r w:rsidR="00D96196">
        <w:rPr>
          <w:rStyle w:val="FootnoteReference"/>
        </w:rPr>
        <w:footnoteReference w:id="4"/>
      </w:r>
      <w:r w:rsidR="00FF4311">
        <w:rPr>
          <w:rStyle w:val="ui-provider"/>
        </w:rPr>
        <w:t xml:space="preserve"> </w:t>
      </w:r>
      <w:r w:rsidR="00C471DE">
        <w:rPr>
          <w:rStyle w:val="ui-provider"/>
        </w:rPr>
        <w:t xml:space="preserve">Moreover, </w:t>
      </w:r>
      <w:r w:rsidR="001E40FD">
        <w:rPr>
          <w:rStyle w:val="ui-provider"/>
        </w:rPr>
        <w:t>the recognition of a freestanding</w:t>
      </w:r>
      <w:r w:rsidR="00C32AF2">
        <w:rPr>
          <w:rStyle w:val="ui-provider"/>
        </w:rPr>
        <w:t xml:space="preserve"> human</w:t>
      </w:r>
      <w:r w:rsidR="001E40FD">
        <w:rPr>
          <w:rStyle w:val="ui-provider"/>
        </w:rPr>
        <w:t xml:space="preserve"> ri</w:t>
      </w:r>
      <w:r w:rsidR="00F61C18">
        <w:rPr>
          <w:rStyle w:val="ui-provider"/>
        </w:rPr>
        <w:t>ght to a healthy environment</w:t>
      </w:r>
      <w:r w:rsidR="00C32AF2">
        <w:rPr>
          <w:rStyle w:val="FootnoteReference"/>
        </w:rPr>
        <w:footnoteReference w:id="5"/>
      </w:r>
      <w:r w:rsidR="00950A79">
        <w:rPr>
          <w:rStyle w:val="ui-provider"/>
        </w:rPr>
        <w:t xml:space="preserve"> means that adverse </w:t>
      </w:r>
      <w:r w:rsidR="00950A79" w:rsidRPr="00950A79">
        <w:t>impacts on the environment should be avoided regardless of whether there is an immediate or obvious effect on the human rights of an identified individual or group of people</w:t>
      </w:r>
      <w:r w:rsidR="00950A79">
        <w:t>.</w:t>
      </w:r>
      <w:r w:rsidR="00B26FC0">
        <w:t xml:space="preserve"> W</w:t>
      </w:r>
      <w:r w:rsidR="006857BA">
        <w:t xml:space="preserve">here we refer to respect for human rights in this response, therefore, we </w:t>
      </w:r>
      <w:r w:rsidR="002319D6">
        <w:t xml:space="preserve">include respect for planetary boundaries. Where we refer to preventing </w:t>
      </w:r>
      <w:r w:rsidR="00D0445F">
        <w:t>and addressing human rights impacts, we include human rights and environmental impacts.</w:t>
      </w:r>
    </w:p>
    <w:p w14:paraId="6B797382" w14:textId="5251CEAB" w:rsidR="00EC2F90" w:rsidRPr="00B604B6" w:rsidRDefault="002B2EF4" w:rsidP="00594D48">
      <w:pPr>
        <w:pStyle w:val="BodyText"/>
        <w:ind w:left="720"/>
        <w:rPr>
          <w:rFonts w:cstheme="minorHAnsi"/>
        </w:rPr>
      </w:pPr>
      <w:r w:rsidRPr="002B2EF4">
        <w:rPr>
          <w:rFonts w:cstheme="minorHAnsi"/>
          <w:bCs/>
        </w:rPr>
        <w:t>Against that context,</w:t>
      </w:r>
      <w:r>
        <w:rPr>
          <w:rFonts w:cstheme="minorHAnsi"/>
          <w:b/>
        </w:rPr>
        <w:t xml:space="preserve"> i</w:t>
      </w:r>
      <w:r w:rsidR="00516B62" w:rsidRPr="00583E0B">
        <w:rPr>
          <w:rFonts w:cstheme="minorHAnsi"/>
          <w:b/>
        </w:rPr>
        <w:t>n order for “ESG in finance” to support</w:t>
      </w:r>
      <w:r w:rsidR="002816D1" w:rsidRPr="00583E0B">
        <w:rPr>
          <w:rFonts w:cstheme="minorHAnsi"/>
          <w:b/>
        </w:rPr>
        <w:t>,</w:t>
      </w:r>
      <w:r w:rsidR="00516B62" w:rsidRPr="00583E0B">
        <w:rPr>
          <w:rFonts w:cstheme="minorHAnsi"/>
          <w:b/>
        </w:rPr>
        <w:t xml:space="preserve"> rather than undermine</w:t>
      </w:r>
      <w:r w:rsidR="002816D1" w:rsidRPr="00583E0B">
        <w:rPr>
          <w:rFonts w:cstheme="minorHAnsi"/>
          <w:b/>
        </w:rPr>
        <w:t>,</w:t>
      </w:r>
      <w:r w:rsidR="00516B62" w:rsidRPr="00583E0B">
        <w:rPr>
          <w:rFonts w:cstheme="minorHAnsi"/>
          <w:b/>
        </w:rPr>
        <w:t xml:space="preserve"> </w:t>
      </w:r>
      <w:r w:rsidR="00153A3B">
        <w:rPr>
          <w:rFonts w:cstheme="minorHAnsi"/>
          <w:b/>
        </w:rPr>
        <w:t>respect for human rights standards and frameworks</w:t>
      </w:r>
      <w:r w:rsidR="002816D1" w:rsidRPr="00583E0B">
        <w:rPr>
          <w:rFonts w:cstheme="minorHAnsi"/>
          <w:b/>
        </w:rPr>
        <w:t xml:space="preserve">, </w:t>
      </w:r>
      <w:r w:rsidR="007D12F2" w:rsidRPr="00583E0B">
        <w:rPr>
          <w:rFonts w:cstheme="minorHAnsi"/>
          <w:b/>
        </w:rPr>
        <w:t>claims by</w:t>
      </w:r>
      <w:r w:rsidR="007D12F2">
        <w:rPr>
          <w:rFonts w:cstheme="minorHAnsi"/>
          <w:b/>
        </w:rPr>
        <w:t xml:space="preserve"> </w:t>
      </w:r>
      <w:r w:rsidR="006B3738">
        <w:rPr>
          <w:rFonts w:cstheme="minorHAnsi"/>
          <w:b/>
        </w:rPr>
        <w:t>investors and their</w:t>
      </w:r>
      <w:r w:rsidR="007D12F2" w:rsidRPr="00583E0B">
        <w:rPr>
          <w:rFonts w:cstheme="minorHAnsi"/>
          <w:b/>
        </w:rPr>
        <w:t xml:space="preserve"> </w:t>
      </w:r>
      <w:r w:rsidR="002816D1" w:rsidRPr="00583E0B">
        <w:rPr>
          <w:rFonts w:cstheme="minorHAnsi"/>
          <w:b/>
        </w:rPr>
        <w:t>investment products to implement an “ESG” or “Sustainable” approach</w:t>
      </w:r>
      <w:r w:rsidR="007D12F2" w:rsidRPr="00583E0B">
        <w:rPr>
          <w:rFonts w:cstheme="minorHAnsi"/>
          <w:b/>
        </w:rPr>
        <w:t xml:space="preserve"> </w:t>
      </w:r>
      <w:r w:rsidR="007D12F2" w:rsidRPr="00583E0B">
        <w:rPr>
          <w:rFonts w:cstheme="minorHAnsi"/>
          <w:b/>
          <w:u w:val="single"/>
        </w:rPr>
        <w:t>must</w:t>
      </w:r>
      <w:r w:rsidR="007D12F2" w:rsidRPr="00583E0B">
        <w:rPr>
          <w:rFonts w:cstheme="minorHAnsi"/>
          <w:b/>
        </w:rPr>
        <w:t xml:space="preserve"> entail </w:t>
      </w:r>
      <w:r w:rsidR="00985122" w:rsidRPr="00583E0B">
        <w:rPr>
          <w:rFonts w:cstheme="minorHAnsi"/>
          <w:b/>
        </w:rPr>
        <w:t>respect for human rights</w:t>
      </w:r>
      <w:r w:rsidR="00985122">
        <w:rPr>
          <w:rFonts w:cstheme="minorHAnsi"/>
          <w:b/>
        </w:rPr>
        <w:t xml:space="preserve"> </w:t>
      </w:r>
      <w:r w:rsidR="00610327">
        <w:rPr>
          <w:rFonts w:cstheme="minorHAnsi"/>
          <w:b/>
        </w:rPr>
        <w:t>and planetary boundaries</w:t>
      </w:r>
      <w:r w:rsidR="00985122" w:rsidRPr="00583E0B">
        <w:rPr>
          <w:rFonts w:cstheme="minorHAnsi"/>
          <w:b/>
        </w:rPr>
        <w:t xml:space="preserve"> in compliance with the framework </w:t>
      </w:r>
      <w:r w:rsidR="00985122" w:rsidRPr="00583E0B">
        <w:rPr>
          <w:rFonts w:cstheme="minorHAnsi"/>
          <w:b/>
        </w:rPr>
        <w:lastRenderedPageBreak/>
        <w:t>established by the UN Guiding Principles.</w:t>
      </w:r>
      <w:r w:rsidR="00442E4B">
        <w:rPr>
          <w:rStyle w:val="FootnoteReference"/>
          <w:rFonts w:cstheme="minorHAnsi"/>
          <w:b/>
          <w:bCs/>
        </w:rPr>
        <w:footnoteReference w:id="6"/>
      </w:r>
      <w:r w:rsidR="00362780" w:rsidRPr="00B604B6">
        <w:rPr>
          <w:rFonts w:cstheme="minorHAnsi"/>
        </w:rPr>
        <w:t xml:space="preserve"> </w:t>
      </w:r>
      <w:r w:rsidR="00EC2F90" w:rsidRPr="00B604B6">
        <w:rPr>
          <w:rFonts w:cstheme="minorHAnsi"/>
        </w:rPr>
        <w:t>This principle is recognised to some extent in the human rights-related safeguards built into the definitions of sustainable investment adopted in emerging EU legislation, such as the EU Taxonomy and Sustainable Finance Disclosure Regulation</w:t>
      </w:r>
      <w:r w:rsidR="000A2719">
        <w:rPr>
          <w:rFonts w:cstheme="minorHAnsi"/>
        </w:rPr>
        <w:t>, but this is only a partial solution to a broader issue</w:t>
      </w:r>
      <w:r w:rsidR="00EC2F90" w:rsidRPr="00B604B6">
        <w:rPr>
          <w:rFonts w:cstheme="minorHAnsi"/>
        </w:rPr>
        <w:t>.</w:t>
      </w:r>
    </w:p>
    <w:p w14:paraId="672749A5" w14:textId="2AAB5994" w:rsidR="007331DB" w:rsidRPr="00B604B6" w:rsidRDefault="00362780" w:rsidP="6D99CE60">
      <w:pPr>
        <w:pStyle w:val="BodyText"/>
        <w:ind w:left="720"/>
      </w:pPr>
      <w:r w:rsidRPr="6D99CE60">
        <w:t>In the context of climate change</w:t>
      </w:r>
      <w:r w:rsidR="005E528D">
        <w:t xml:space="preserve"> specifically</w:t>
      </w:r>
      <w:r w:rsidRPr="6D99CE60">
        <w:t xml:space="preserve">, this </w:t>
      </w:r>
      <w:r w:rsidR="00E575DD">
        <w:t xml:space="preserve">principle </w:t>
      </w:r>
      <w:r>
        <w:t xml:space="preserve">requires </w:t>
      </w:r>
      <w:r w:rsidR="00E575DD">
        <w:t>the adoption of</w:t>
      </w:r>
      <w:r w:rsidRPr="6D99CE60">
        <w:t xml:space="preserve"> an investment approach that </w:t>
      </w:r>
      <w:r w:rsidR="008E0189" w:rsidRPr="6D99CE60">
        <w:t>is aligned with the transition to a low carbon economy necessary to deliver the goals of the Paris Agreement</w:t>
      </w:r>
      <w:r w:rsidR="009F2EAC" w:rsidRPr="6D99CE60">
        <w:t xml:space="preserve"> (i.e. consistent with achieving </w:t>
      </w:r>
      <w:r w:rsidR="006A13BA" w:rsidRPr="6D99CE60">
        <w:t>net zero by 2050 in line with credible emission pathways that limit warming to 1.5</w:t>
      </w:r>
      <w:r w:rsidR="005F6FEA">
        <w:rPr>
          <w:rFonts w:cstheme="minorHAnsi"/>
        </w:rPr>
        <w:t>°</w:t>
      </w:r>
      <w:r w:rsidR="006A13BA" w:rsidRPr="6D99CE60">
        <w:t>C with no/low overshoot, with global emissions declining 50% by 2030</w:t>
      </w:r>
      <w:r w:rsidR="006A13BA" w:rsidRPr="6D99CE60">
        <w:rPr>
          <w:rStyle w:val="FootnoteReference"/>
        </w:rPr>
        <w:footnoteReference w:id="7"/>
      </w:r>
      <w:r w:rsidR="006A13BA" w:rsidRPr="6D99CE60">
        <w:t>).</w:t>
      </w:r>
      <w:r w:rsidR="00B6570C" w:rsidRPr="6D99CE60">
        <w:t xml:space="preserve"> </w:t>
      </w:r>
      <w:r w:rsidR="00B6570C">
        <w:t>This</w:t>
      </w:r>
      <w:r w:rsidR="00E575DD">
        <w:t xml:space="preserve"> </w:t>
      </w:r>
      <w:r w:rsidR="0001708F">
        <w:t>approach to climate related human rights harm</w:t>
      </w:r>
      <w:r w:rsidR="00B6570C">
        <w:t xml:space="preserve"> </w:t>
      </w:r>
      <w:r w:rsidR="00B6570C" w:rsidRPr="6D99CE60">
        <w:t>has been recognised generally by the UN Working Group in its</w:t>
      </w:r>
      <w:r w:rsidR="005F6EC3" w:rsidRPr="6D99CE60">
        <w:t xml:space="preserve"> 2023</w:t>
      </w:r>
      <w:r w:rsidR="00B6570C" w:rsidRPr="6D99CE60">
        <w:t xml:space="preserve"> </w:t>
      </w:r>
      <w:r w:rsidR="005F6EC3" w:rsidRPr="6D99CE60">
        <w:t>Information Note on Climate Change and the Guiding Principles.</w:t>
      </w:r>
      <w:r w:rsidR="005F6EC3" w:rsidRPr="6D99CE60">
        <w:rPr>
          <w:rStyle w:val="FootnoteReference"/>
        </w:rPr>
        <w:footnoteReference w:id="8"/>
      </w:r>
      <w:r w:rsidR="00410840" w:rsidRPr="6D99CE60">
        <w:t xml:space="preserve"> </w:t>
      </w:r>
      <w:r w:rsidR="0001708F">
        <w:t>The principle</w:t>
      </w:r>
      <w:r w:rsidR="00410840" w:rsidRPr="6D99CE60" w:rsidDel="00EC2F90">
        <w:t xml:space="preserve"> is also </w:t>
      </w:r>
      <w:r w:rsidR="00BC74F4" w:rsidRPr="6D99CE60">
        <w:t xml:space="preserve">respected in some, but not all, transition plan regulation and guidance. The transition plan disclosures </w:t>
      </w:r>
      <w:r w:rsidR="008D14CA" w:rsidRPr="6D99CE60">
        <w:t xml:space="preserve">required </w:t>
      </w:r>
      <w:r w:rsidR="00DA6FA3" w:rsidRPr="6D99CE60">
        <w:t>pursuant to</w:t>
      </w:r>
      <w:r w:rsidR="00BC74F4" w:rsidRPr="6D99CE60">
        <w:t xml:space="preserve"> the </w:t>
      </w:r>
      <w:r w:rsidR="00FB4F24">
        <w:t>c</w:t>
      </w:r>
      <w:r w:rsidR="00FB4F24" w:rsidRPr="6D99CE60">
        <w:t>limate</w:t>
      </w:r>
      <w:r w:rsidR="00BC74F4" w:rsidRPr="6D99CE60">
        <w:t xml:space="preserve"> </w:t>
      </w:r>
      <w:r w:rsidR="00140060">
        <w:t>European Sustainability Reporting Standard (</w:t>
      </w:r>
      <w:r w:rsidR="00BC74F4" w:rsidRPr="6D99CE60">
        <w:t>ESRS</w:t>
      </w:r>
      <w:r w:rsidR="00140060">
        <w:t>)</w:t>
      </w:r>
      <w:r w:rsidR="00DA6FA3" w:rsidRPr="6D99CE60">
        <w:t xml:space="preserve"> under the EU’s </w:t>
      </w:r>
      <w:r w:rsidR="00791211" w:rsidRPr="6D99CE60">
        <w:t xml:space="preserve">Corporate Sustainability Reporting Directive, for example, require reporting entities to disclose </w:t>
      </w:r>
      <w:r w:rsidR="008D41C8" w:rsidRPr="6D99CE60">
        <w:t>how their targets are compatible with limiting warming to 1.5</w:t>
      </w:r>
      <w:r w:rsidR="005F6FEA">
        <w:rPr>
          <w:rFonts w:cstheme="minorHAnsi"/>
        </w:rPr>
        <w:t>°</w:t>
      </w:r>
      <w:r w:rsidR="008D41C8" w:rsidRPr="6D99CE60">
        <w:t xml:space="preserve">C in line with the Paris Agreement (and this concept of alignment is repeated throughout the </w:t>
      </w:r>
      <w:r w:rsidR="00FB4F24">
        <w:t>c</w:t>
      </w:r>
      <w:r w:rsidR="00FB4F24" w:rsidRPr="6D99CE60">
        <w:t>limate</w:t>
      </w:r>
      <w:r w:rsidR="008D41C8" w:rsidRPr="6D99CE60">
        <w:t xml:space="preserve"> ESRS). </w:t>
      </w:r>
      <w:r w:rsidR="00351799" w:rsidRPr="6D99CE60">
        <w:t xml:space="preserve">Similarly, the UN Expert Group </w:t>
      </w:r>
      <w:r w:rsidR="00A93F1B" w:rsidRPr="6D99CE60">
        <w:t xml:space="preserve">on the net zero commitments of non-state entities </w:t>
      </w:r>
      <w:r w:rsidR="00826000">
        <w:t>(UN HLEG)</w:t>
      </w:r>
      <w:r w:rsidR="00A93F1B" w:rsidRPr="6D99CE60">
        <w:t xml:space="preserve"> recommends that net zero pledges should contain interim targets and plans to </w:t>
      </w:r>
      <w:r w:rsidR="00AD3C80">
        <w:t>reach net zero in line with IPCC or IEA net zero greenhouse gas emissions modelled pathways that limit warming to 1.5°C with no or limited overshoot</w:t>
      </w:r>
      <w:r w:rsidR="003366F0">
        <w:rPr>
          <w:rStyle w:val="FootnoteReference"/>
        </w:rPr>
        <w:footnoteReference w:id="9"/>
      </w:r>
      <w:r w:rsidR="003366F0">
        <w:t>.</w:t>
      </w:r>
      <w:r w:rsidR="00A376D4" w:rsidRPr="6D99CE60">
        <w:t xml:space="preserve"> </w:t>
      </w:r>
      <w:r w:rsidR="00B43DB4" w:rsidRPr="6D99CE60">
        <w:t>Unfortunately, other emerging frameworks are “ambition-neutral” and / or less prescriptive about the alignment of transition plans with the Paris Agreement goals.</w:t>
      </w:r>
      <w:r w:rsidR="00BC1E34">
        <w:rPr>
          <w:rStyle w:val="FootnoteReference"/>
        </w:rPr>
        <w:footnoteReference w:id="10"/>
      </w:r>
      <w:r w:rsidR="4AFB5452" w:rsidRPr="6D99CE60">
        <w:t xml:space="preserve"> </w:t>
      </w:r>
    </w:p>
    <w:p w14:paraId="32154310" w14:textId="232AF4FF" w:rsidR="007331DB" w:rsidRPr="00B604B6" w:rsidRDefault="4AFB5452" w:rsidP="00594D48">
      <w:pPr>
        <w:pStyle w:val="BodyText"/>
        <w:ind w:left="720"/>
      </w:pPr>
      <w:r w:rsidRPr="6D99CE60">
        <w:t xml:space="preserve">As the UNFCCC Race to Zero campaign notes, </w:t>
      </w:r>
      <w:r w:rsidR="005575FA">
        <w:t>transition plan</w:t>
      </w:r>
      <w:r w:rsidRPr="6D99CE60">
        <w:t xml:space="preserve"> regulation </w:t>
      </w:r>
      <w:r w:rsidR="00625AFC">
        <w:t xml:space="preserve">of this nature </w:t>
      </w:r>
      <w:r w:rsidRPr="6D99CE60">
        <w:t>is rapidly emerging worldwide</w:t>
      </w:r>
      <w:r w:rsidR="50DBB0C5" w:rsidRPr="6D99CE60">
        <w:t>.</w:t>
      </w:r>
      <w:r w:rsidR="00362780" w:rsidRPr="6D99CE60">
        <w:rPr>
          <w:rStyle w:val="FootnoteReference"/>
        </w:rPr>
        <w:footnoteReference w:id="11"/>
      </w:r>
      <w:r w:rsidR="50DBB0C5" w:rsidRPr="6D99CE60">
        <w:t xml:space="preserve"> </w:t>
      </w:r>
      <w:r w:rsidR="0087331D">
        <w:t>However, s</w:t>
      </w:r>
      <w:r w:rsidR="50DBB0C5" w:rsidRPr="6D99CE60">
        <w:t>uch regulation is</w:t>
      </w:r>
      <w:r w:rsidRPr="6D99CE60">
        <w:t xml:space="preserve"> often framed or understood as relating to corporate practice</w:t>
      </w:r>
      <w:r w:rsidR="00F37317">
        <w:t xml:space="preserve"> on an “</w:t>
      </w:r>
      <w:r w:rsidRPr="6D99CE60">
        <w:t>ESG</w:t>
      </w:r>
      <w:r w:rsidR="00F37317">
        <w:t>”</w:t>
      </w:r>
      <w:r w:rsidRPr="6D99CE60">
        <w:t xml:space="preserve"> </w:t>
      </w:r>
      <w:r w:rsidR="00F37317">
        <w:t>issue</w:t>
      </w:r>
      <w:r w:rsidR="36EFDD82" w:rsidRPr="6D99CE60">
        <w:t xml:space="preserve">, and not as </w:t>
      </w:r>
      <w:r w:rsidR="00055CE9">
        <w:t xml:space="preserve">being linked </w:t>
      </w:r>
      <w:r w:rsidR="00BD7B6B">
        <w:t>to</w:t>
      </w:r>
      <w:r w:rsidR="002A01DB">
        <w:t xml:space="preserve"> </w:t>
      </w:r>
      <w:r w:rsidR="36EFDD82" w:rsidRPr="6D99CE60">
        <w:t xml:space="preserve">the </w:t>
      </w:r>
      <w:r w:rsidR="002A01DB">
        <w:t>fundamental</w:t>
      </w:r>
      <w:r w:rsidR="002A01DB" w:rsidRPr="6D99CE60">
        <w:t xml:space="preserve"> </w:t>
      </w:r>
      <w:r w:rsidR="36EFDD82" w:rsidRPr="6D99CE60">
        <w:t xml:space="preserve">responsibility </w:t>
      </w:r>
      <w:r w:rsidR="002A01DB">
        <w:t xml:space="preserve">of businesses (including financial institutions) </w:t>
      </w:r>
      <w:r w:rsidR="36EFDD82" w:rsidRPr="6D99CE60">
        <w:t>to respect human rights</w:t>
      </w:r>
      <w:r w:rsidRPr="6D99CE60">
        <w:t xml:space="preserve">. </w:t>
      </w:r>
      <w:r w:rsidR="471F02B7" w:rsidRPr="6D99CE60">
        <w:t xml:space="preserve">In our view, </w:t>
      </w:r>
      <w:r w:rsidR="00F059BF">
        <w:t xml:space="preserve">this </w:t>
      </w:r>
      <w:r w:rsidR="471F02B7" w:rsidRPr="6D99CE60">
        <w:t xml:space="preserve">distinction between </w:t>
      </w:r>
      <w:r w:rsidR="00055CE9">
        <w:t>“</w:t>
      </w:r>
      <w:r w:rsidR="471F02B7" w:rsidRPr="6D99CE60">
        <w:t>ESG</w:t>
      </w:r>
      <w:r w:rsidR="00055CE9">
        <w:t>”</w:t>
      </w:r>
      <w:r w:rsidR="471F02B7" w:rsidRPr="6D99CE60">
        <w:t xml:space="preserve"> corporate practice, transition plan standards and the </w:t>
      </w:r>
      <w:r w:rsidR="05C3E7E9" w:rsidRPr="6D99CE60">
        <w:t xml:space="preserve">UNGP </w:t>
      </w:r>
      <w:r w:rsidR="00F059BF">
        <w:t xml:space="preserve">is </w:t>
      </w:r>
      <w:r w:rsidR="00A13832">
        <w:t>unhelpful</w:t>
      </w:r>
      <w:r w:rsidR="00F059BF">
        <w:t xml:space="preserve">: </w:t>
      </w:r>
      <w:r w:rsidR="00295530">
        <w:t xml:space="preserve">in order to </w:t>
      </w:r>
      <w:r w:rsidR="00E50EC2">
        <w:t>support compliance</w:t>
      </w:r>
      <w:r w:rsidR="004D360B">
        <w:t xml:space="preserve"> with the </w:t>
      </w:r>
      <w:r w:rsidR="003B1504">
        <w:t xml:space="preserve">UN Guiding Principles, </w:t>
      </w:r>
      <w:r w:rsidR="00AA2D89">
        <w:t xml:space="preserve">the </w:t>
      </w:r>
      <w:r w:rsidR="00F059BF">
        <w:t>transition plans</w:t>
      </w:r>
      <w:r w:rsidR="00AA2D89">
        <w:t xml:space="preserve"> of all entities</w:t>
      </w:r>
      <w:r w:rsidR="471F02B7" w:rsidRPr="6D99CE60">
        <w:t xml:space="preserve"> should </w:t>
      </w:r>
      <w:r w:rsidR="00A13832">
        <w:t>meet</w:t>
      </w:r>
      <w:r w:rsidR="471F02B7" w:rsidRPr="6D99CE60">
        <w:t xml:space="preserve"> </w:t>
      </w:r>
      <w:r w:rsidR="00E50EC2">
        <w:t xml:space="preserve">the standards set out above for alignment with </w:t>
      </w:r>
      <w:r w:rsidR="004F5B5B">
        <w:t>international climate goals and credible net zero pathways</w:t>
      </w:r>
      <w:r w:rsidR="471F02B7" w:rsidRPr="6D99CE60">
        <w:t>.</w:t>
      </w:r>
      <w:r w:rsidR="004F5B5B">
        <w:t xml:space="preserve"> A non-aligned plan does not effectively mitigate the risk that an entity contributes to climate related adverse human rights impacts.</w:t>
      </w:r>
      <w:r w:rsidR="00BC74F4" w:rsidRPr="6D99CE60">
        <w:t xml:space="preserve"> </w:t>
      </w:r>
    </w:p>
    <w:p w14:paraId="7BB15B90" w14:textId="5113BB2C" w:rsidR="0044027F" w:rsidRPr="00B604B6" w:rsidRDefault="00EC416B" w:rsidP="00594D48">
      <w:pPr>
        <w:pStyle w:val="BodyText"/>
        <w:ind w:left="720"/>
      </w:pPr>
      <w:r w:rsidRPr="6D99CE60">
        <w:lastRenderedPageBreak/>
        <w:t xml:space="preserve">If </w:t>
      </w:r>
      <w:r w:rsidRPr="00192623">
        <w:t xml:space="preserve">this </w:t>
      </w:r>
      <w:r w:rsidR="00B52EE1" w:rsidRPr="6D99CE60">
        <w:t>principle</w:t>
      </w:r>
      <w:r w:rsidR="383AE4B8" w:rsidRPr="6D99CE60">
        <w:t xml:space="preserve"> </w:t>
      </w:r>
      <w:r w:rsidR="00B52EE1" w:rsidRPr="6D99CE60">
        <w:t>is not borne out in practice</w:t>
      </w:r>
      <w:r w:rsidRPr="6D99CE60">
        <w:t xml:space="preserve">, </w:t>
      </w:r>
      <w:r w:rsidR="00192623" w:rsidRPr="6D99CE60">
        <w:t xml:space="preserve">the </w:t>
      </w:r>
      <w:r w:rsidR="00B52EE1" w:rsidRPr="6D99CE60">
        <w:t xml:space="preserve">widespread labelling and marketing </w:t>
      </w:r>
      <w:r w:rsidR="00ED41A7" w:rsidRPr="6D99CE60">
        <w:t>as</w:t>
      </w:r>
      <w:r w:rsidR="00B52EE1" w:rsidRPr="6D99CE60">
        <w:t xml:space="preserve"> “ESG” </w:t>
      </w:r>
      <w:r w:rsidR="00BC6E6E" w:rsidRPr="6D99CE60">
        <w:t xml:space="preserve">or “sustainable" </w:t>
      </w:r>
      <w:r w:rsidR="00ED41A7" w:rsidRPr="6D99CE60" w:rsidDel="00E649A9">
        <w:t xml:space="preserve">of </w:t>
      </w:r>
      <w:r w:rsidR="00BC6E6E" w:rsidRPr="6D99CE60" w:rsidDel="00E649A9">
        <w:t xml:space="preserve">investment options </w:t>
      </w:r>
      <w:r w:rsidR="00ED41A7" w:rsidRPr="6D99CE60" w:rsidDel="00AD16BB">
        <w:t xml:space="preserve">that </w:t>
      </w:r>
      <w:r w:rsidR="00ED41A7" w:rsidRPr="6D99CE60">
        <w:t>do not respect human rights or sustainability thresholds (such as 1.5</w:t>
      </w:r>
      <w:r w:rsidR="005F6FEA">
        <w:rPr>
          <w:rFonts w:cstheme="minorHAnsi"/>
        </w:rPr>
        <w:t>°</w:t>
      </w:r>
      <w:r w:rsidR="00ED41A7" w:rsidRPr="6D99CE60">
        <w:t xml:space="preserve">C) will distract from and impede </w:t>
      </w:r>
      <w:r w:rsidR="000E5615" w:rsidRPr="6D99CE60">
        <w:t xml:space="preserve">necessary developments in the financial sector by (misdirecting) financial flows towards “non-compliant” investments. </w:t>
      </w:r>
      <w:r w:rsidR="007604F8" w:rsidRPr="6D99CE60">
        <w:t>In this situation, retail investors with genuinely held sustainability preferences are also likely to be misled</w:t>
      </w:r>
      <w:r w:rsidR="00333496" w:rsidRPr="6D99CE60">
        <w:t xml:space="preserve"> (implicating fair client communication and consumer protection rules in many jurisdictions).</w:t>
      </w:r>
    </w:p>
    <w:p w14:paraId="723E5773" w14:textId="2C1D3828" w:rsidR="00333496" w:rsidRPr="00B604B6" w:rsidRDefault="00333496" w:rsidP="00594D48">
      <w:pPr>
        <w:pStyle w:val="BodyText"/>
        <w:ind w:left="720"/>
        <w:rPr>
          <w:rFonts w:cstheme="minorHAnsi"/>
        </w:rPr>
      </w:pPr>
      <w:r w:rsidRPr="6D99CE60">
        <w:t xml:space="preserve">However, “ESG” is </w:t>
      </w:r>
      <w:r w:rsidR="00AD22FA" w:rsidRPr="6D99CE60">
        <w:t>interpreted in many different ways in the financial sector and often misunderstood. To highlight two significant misconceptions: (1) ESG investing</w:t>
      </w:r>
      <w:r w:rsidR="008D08A7" w:rsidRPr="6D99CE60">
        <w:t xml:space="preserve"> (and ESG rating)</w:t>
      </w:r>
      <w:r w:rsidR="00AD22FA" w:rsidRPr="6D99CE60">
        <w:t xml:space="preserve"> is often more concerned with the risk posed by ESG factors to a financial institution’s or product’s financial returns</w:t>
      </w:r>
      <w:r w:rsidR="008D08A7" w:rsidRPr="6D99CE60">
        <w:t xml:space="preserve"> and the management of that risk</w:t>
      </w:r>
      <w:r w:rsidR="00AD22FA" w:rsidRPr="6D99CE60">
        <w:t xml:space="preserve">, and not with </w:t>
      </w:r>
      <w:r w:rsidR="008D08A7" w:rsidRPr="6D99CE60">
        <w:t>the</w:t>
      </w:r>
      <w:r w:rsidR="00AD22FA" w:rsidRPr="6D99CE60">
        <w:t xml:space="preserve"> impact</w:t>
      </w:r>
      <w:r w:rsidR="008D08A7" w:rsidRPr="6D99CE60">
        <w:t xml:space="preserve"> of investment activity</w:t>
      </w:r>
      <w:r w:rsidR="00AD22FA" w:rsidRPr="6D99CE60">
        <w:t xml:space="preserve"> on people or the environment</w:t>
      </w:r>
      <w:r w:rsidR="00786A54" w:rsidRPr="6D99CE60">
        <w:rPr>
          <w:rStyle w:val="FootnoteReference"/>
        </w:rPr>
        <w:footnoteReference w:id="12"/>
      </w:r>
      <w:r w:rsidR="008D08A7" w:rsidRPr="6D99CE60">
        <w:t xml:space="preserve">; and (2) </w:t>
      </w:r>
      <w:r w:rsidR="00887EF7" w:rsidRPr="6D99CE60">
        <w:t xml:space="preserve">high performance in terms of a particular ESG factor or factor(s) is not generally understood to require or </w:t>
      </w:r>
      <w:r w:rsidR="00795637" w:rsidRPr="6D99CE60">
        <w:t>indicate compliance with the UN Guiding principles or respect for human rights and environmental thresholds more broadly</w:t>
      </w:r>
      <w:r w:rsidR="00786A54" w:rsidRPr="6D99CE60">
        <w:rPr>
          <w:rStyle w:val="FootnoteReference"/>
        </w:rPr>
        <w:footnoteReference w:id="13"/>
      </w:r>
      <w:r w:rsidR="00D07577" w:rsidRPr="6D99CE60">
        <w:t xml:space="preserve"> (although this may change in light of the “minimum safeguards” concept emerging in EU legislation</w:t>
      </w:r>
      <w:r w:rsidR="00786A54" w:rsidRPr="6D99CE60">
        <w:rPr>
          <w:rStyle w:val="FootnoteReference"/>
        </w:rPr>
        <w:footnoteReference w:id="14"/>
      </w:r>
      <w:r w:rsidR="00D07577" w:rsidRPr="6D99CE60">
        <w:t>)</w:t>
      </w:r>
      <w:r w:rsidR="00795637" w:rsidRPr="6D99CE60">
        <w:t>.</w:t>
      </w:r>
      <w:r w:rsidR="00395809" w:rsidRPr="6D99CE60">
        <w:t xml:space="preserve"> Th</w:t>
      </w:r>
      <w:r w:rsidR="00247B9A">
        <w:t xml:space="preserve">ese misunderstandings, and others, </w:t>
      </w:r>
      <w:r w:rsidR="00395809" w:rsidRPr="6D99CE60">
        <w:t>pose a serious challenge to the</w:t>
      </w:r>
      <w:r w:rsidR="00395809">
        <w:t xml:space="preserve"> </w:t>
      </w:r>
      <w:r w:rsidR="008F1EA5">
        <w:t>widespread adoption</w:t>
      </w:r>
      <w:r w:rsidR="00395809" w:rsidRPr="6D99CE60">
        <w:t xml:space="preserve"> </w:t>
      </w:r>
      <w:r w:rsidR="008F1EA5">
        <w:t xml:space="preserve">of the </w:t>
      </w:r>
      <w:r w:rsidR="00395809" w:rsidRPr="6D99CE60">
        <w:t>principle set out above.</w:t>
      </w:r>
      <w:r w:rsidR="00786A54" w:rsidRPr="6D99CE60">
        <w:t xml:space="preserve"> </w:t>
      </w:r>
    </w:p>
    <w:p w14:paraId="4E98D6DC" w14:textId="77777777" w:rsidR="00F037DB" w:rsidRPr="00B604B6" w:rsidRDefault="00F037DB" w:rsidP="00F037DB">
      <w:pPr>
        <w:pStyle w:val="BodyText"/>
        <w:numPr>
          <w:ilvl w:val="0"/>
          <w:numId w:val="17"/>
        </w:numPr>
        <w:rPr>
          <w:rFonts w:cstheme="minorHAnsi"/>
          <w:color w:val="FF0000"/>
        </w:rPr>
      </w:pPr>
      <w:r w:rsidRPr="00B604B6">
        <w:rPr>
          <w:rFonts w:cstheme="minorHAnsi"/>
          <w:color w:val="FF0000"/>
        </w:rPr>
        <w:t>Which are the main types of investors using ESG approaches, for example, in decision-making or engagements? On what basis are they making decisions on human rights, climate change and other related matters?</w:t>
      </w:r>
    </w:p>
    <w:p w14:paraId="5877839F" w14:textId="77777777" w:rsidR="00F037DB" w:rsidRPr="00B604B6" w:rsidRDefault="00F037DB" w:rsidP="00F037DB">
      <w:pPr>
        <w:pStyle w:val="BodyText"/>
        <w:numPr>
          <w:ilvl w:val="0"/>
          <w:numId w:val="17"/>
        </w:numPr>
        <w:rPr>
          <w:rFonts w:cstheme="minorHAnsi"/>
          <w:color w:val="FF0000"/>
        </w:rPr>
      </w:pPr>
      <w:r w:rsidRPr="00B604B6">
        <w:rPr>
          <w:rFonts w:cstheme="minorHAnsi"/>
          <w:color w:val="FF0000"/>
        </w:rPr>
        <w:t>To what extent do ESG approaches present constraints or opportunities for investors and businesses overall?</w:t>
      </w:r>
    </w:p>
    <w:p w14:paraId="7C015276" w14:textId="77777777" w:rsidR="00F037DB" w:rsidRPr="00B604B6" w:rsidRDefault="00F037DB" w:rsidP="00F037DB">
      <w:pPr>
        <w:pStyle w:val="BodyText"/>
        <w:numPr>
          <w:ilvl w:val="0"/>
          <w:numId w:val="17"/>
        </w:numPr>
        <w:rPr>
          <w:rFonts w:cstheme="minorHAnsi"/>
          <w:b/>
          <w:bCs/>
        </w:rPr>
      </w:pPr>
      <w:r w:rsidRPr="00B604B6">
        <w:rPr>
          <w:rFonts w:cstheme="minorHAnsi"/>
          <w:b/>
          <w:bCs/>
        </w:rPr>
        <w:t>What responsibilities and capacity do ESG index and data providers have regarding the assessment of adverse human rights and environmental impacts, and how can ESG indexes and research products be improved to align with the UNGPs approach?</w:t>
      </w:r>
    </w:p>
    <w:p w14:paraId="280098CA" w14:textId="4406E61D" w:rsidR="007706AE" w:rsidRPr="003053C4" w:rsidRDefault="007706AE" w:rsidP="007066C5">
      <w:pPr>
        <w:pStyle w:val="BodyText"/>
        <w:ind w:left="720"/>
      </w:pPr>
      <w:r w:rsidRPr="003053C4">
        <w:t xml:space="preserve">It is important to note at the outset that index and data providers have their own </w:t>
      </w:r>
      <w:r w:rsidR="002F4520" w:rsidRPr="003053C4">
        <w:t>human rights responsibilities just like any other business enterprise</w:t>
      </w:r>
      <w:r w:rsidR="00950B2E" w:rsidRPr="003053C4">
        <w:t xml:space="preserve">, and as such must prevent, mitigate and, where appropriate, </w:t>
      </w:r>
      <w:r w:rsidR="00E650B7">
        <w:t>remedy</w:t>
      </w:r>
      <w:r w:rsidR="00950B2E" w:rsidRPr="003053C4">
        <w:t xml:space="preserve"> the human rights impacts with which they are involved (UN Guiding Principle</w:t>
      </w:r>
      <w:r w:rsidR="0032289E" w:rsidRPr="003053C4">
        <w:t>s</w:t>
      </w:r>
      <w:r w:rsidR="00950B2E" w:rsidRPr="003053C4">
        <w:t xml:space="preserve"> 11</w:t>
      </w:r>
      <w:r w:rsidR="0032289E" w:rsidRPr="003053C4">
        <w:t xml:space="preserve"> and 14</w:t>
      </w:r>
      <w:r w:rsidR="00950B2E" w:rsidRPr="003053C4">
        <w:t>).</w:t>
      </w:r>
      <w:r w:rsidR="002F4520" w:rsidRPr="003053C4">
        <w:t xml:space="preserve"> </w:t>
      </w:r>
      <w:r w:rsidR="00597AD1" w:rsidRPr="003053C4">
        <w:t xml:space="preserve">This </w:t>
      </w:r>
      <w:r w:rsidR="00D619A3">
        <w:t xml:space="preserve">basic principle </w:t>
      </w:r>
      <w:r w:rsidR="00597AD1" w:rsidRPr="003053C4">
        <w:t>applies to all index and data providers regardless of whether they or their products are labelled as “ESG”, “sustainable” or similar</w:t>
      </w:r>
      <w:r w:rsidR="00B97844" w:rsidRPr="003053C4">
        <w:t>, and regardless of the methodologies that they apply</w:t>
      </w:r>
      <w:r w:rsidR="00597AD1" w:rsidRPr="003053C4">
        <w:t>.</w:t>
      </w:r>
      <w:r w:rsidR="002664BD">
        <w:t xml:space="preserve"> The rest of our response to this question raises more specific points.</w:t>
      </w:r>
    </w:p>
    <w:p w14:paraId="73D4DAFE" w14:textId="5FC51D44" w:rsidR="00FA0289" w:rsidRPr="00B604B6" w:rsidRDefault="009308DF" w:rsidP="007066C5">
      <w:pPr>
        <w:pStyle w:val="BodyText"/>
        <w:ind w:left="720"/>
        <w:rPr>
          <w:rFonts w:cstheme="minorHAnsi"/>
        </w:rPr>
      </w:pPr>
      <w:r w:rsidRPr="6D99CE60">
        <w:t xml:space="preserve">Market indices play a key role in </w:t>
      </w:r>
      <w:r w:rsidR="000D04C2" w:rsidRPr="6D99CE60">
        <w:t xml:space="preserve">investment </w:t>
      </w:r>
      <w:r w:rsidR="002E5A42" w:rsidRPr="6D99CE60">
        <w:t xml:space="preserve">fund portfolio construction, particularly for “passive” fund strategies. </w:t>
      </w:r>
      <w:r w:rsidR="00481EB3" w:rsidRPr="6D99CE60">
        <w:t>Many indices</w:t>
      </w:r>
      <w:r w:rsidR="00B311AB" w:rsidRPr="6D99CE60">
        <w:t xml:space="preserve"> (including</w:t>
      </w:r>
      <w:r w:rsidR="00174F10" w:rsidRPr="6D99CE60">
        <w:t xml:space="preserve"> but not limited to</w:t>
      </w:r>
      <w:r w:rsidR="00B311AB" w:rsidRPr="6D99CE60">
        <w:t xml:space="preserve"> those labelled as “ESG”, “sustainable” or similar)</w:t>
      </w:r>
      <w:r w:rsidR="00481EB3" w:rsidRPr="6D99CE60">
        <w:t xml:space="preserve"> </w:t>
      </w:r>
      <w:r w:rsidR="00FE443E" w:rsidRPr="6D99CE60">
        <w:t>apply human rights related exclusions or screens</w:t>
      </w:r>
      <w:r w:rsidR="00B311AB" w:rsidRPr="6D99CE60">
        <w:t>. A common approach is to exclude “</w:t>
      </w:r>
      <w:r w:rsidR="00B12125" w:rsidRPr="6D99CE60">
        <w:rPr>
          <w:i/>
          <w:iCs/>
        </w:rPr>
        <w:t>companies involved with controversies related to the UN Global Compact principles</w:t>
      </w:r>
      <w:r w:rsidR="00B12125" w:rsidRPr="6D99CE60">
        <w:t>”.</w:t>
      </w:r>
      <w:r w:rsidR="00FE40EC" w:rsidRPr="6D99CE60">
        <w:rPr>
          <w:rStyle w:val="FootnoteReference"/>
        </w:rPr>
        <w:footnoteReference w:id="15"/>
      </w:r>
    </w:p>
    <w:p w14:paraId="151BF1B2" w14:textId="471E0950" w:rsidR="00B12125" w:rsidRPr="00B604B6" w:rsidRDefault="00F8037A" w:rsidP="007066C5">
      <w:pPr>
        <w:pStyle w:val="BodyText"/>
        <w:ind w:left="720"/>
        <w:rPr>
          <w:rFonts w:cstheme="minorHAnsi"/>
        </w:rPr>
      </w:pPr>
      <w:r w:rsidRPr="00B604B6">
        <w:rPr>
          <w:rFonts w:cstheme="minorHAnsi"/>
        </w:rPr>
        <w:t>It is essential that such exclusions are effectively implemented in practice</w:t>
      </w:r>
      <w:r w:rsidR="0061163D" w:rsidRPr="00B604B6">
        <w:rPr>
          <w:rFonts w:cstheme="minorHAnsi"/>
        </w:rPr>
        <w:t xml:space="preserve">, and that the action taken by the index provider is effectively fed through into </w:t>
      </w:r>
      <w:r w:rsidR="0065264C" w:rsidRPr="00B604B6">
        <w:rPr>
          <w:rFonts w:cstheme="minorHAnsi"/>
        </w:rPr>
        <w:t xml:space="preserve">portfolio adjustments within investment funds using the index as a reference. </w:t>
      </w:r>
      <w:r w:rsidR="00402E1D" w:rsidRPr="00B604B6">
        <w:rPr>
          <w:rFonts w:cstheme="minorHAnsi"/>
        </w:rPr>
        <w:t xml:space="preserve">Failure to do so puts investors interests at risk, and could result in communications and promotion of the index </w:t>
      </w:r>
      <w:r w:rsidR="0004391C">
        <w:rPr>
          <w:rFonts w:cstheme="minorHAnsi"/>
        </w:rPr>
        <w:t>(</w:t>
      </w:r>
      <w:r w:rsidR="00402E1D" w:rsidRPr="00B604B6">
        <w:rPr>
          <w:rFonts w:cstheme="minorHAnsi"/>
        </w:rPr>
        <w:t>and funds based on it</w:t>
      </w:r>
      <w:r w:rsidR="0004391C">
        <w:rPr>
          <w:rFonts w:cstheme="minorHAnsi"/>
        </w:rPr>
        <w:t>)</w:t>
      </w:r>
      <w:r w:rsidR="00F172EB" w:rsidRPr="00B604B6">
        <w:rPr>
          <w:rFonts w:cstheme="minorHAnsi"/>
        </w:rPr>
        <w:t xml:space="preserve"> being misleading. </w:t>
      </w:r>
      <w:r w:rsidR="00F172EB" w:rsidRPr="00B604B6">
        <w:rPr>
          <w:rFonts w:cstheme="minorHAnsi"/>
        </w:rPr>
        <w:lastRenderedPageBreak/>
        <w:t>However, we observe many instances in practice where the securities included in an index</w:t>
      </w:r>
      <w:r w:rsidR="00280EDD" w:rsidRPr="00B604B6">
        <w:rPr>
          <w:rFonts w:cstheme="minorHAnsi"/>
        </w:rPr>
        <w:t xml:space="preserve"> are hard to reconcile with the exclusions set out in the methodology, making this a key area for improvement.</w:t>
      </w:r>
      <w:r w:rsidR="00B805DF" w:rsidRPr="00B604B6">
        <w:rPr>
          <w:rFonts w:cstheme="minorHAnsi"/>
        </w:rPr>
        <w:t xml:space="preserve"> </w:t>
      </w:r>
    </w:p>
    <w:p w14:paraId="3D937648" w14:textId="20A6F38B" w:rsidR="0060650F" w:rsidRPr="00B604B6" w:rsidRDefault="00280EDD" w:rsidP="00EA1142">
      <w:pPr>
        <w:pStyle w:val="BodyText"/>
        <w:ind w:left="720"/>
        <w:rPr>
          <w:rFonts w:cstheme="minorHAnsi"/>
        </w:rPr>
      </w:pPr>
      <w:r w:rsidRPr="6D99CE60">
        <w:t>It is key to this process that indices are genuinely responsive to</w:t>
      </w:r>
      <w:r w:rsidR="00F6581C" w:rsidRPr="6D99CE60">
        <w:t xml:space="preserve"> new or</w:t>
      </w:r>
      <w:r w:rsidRPr="6D99CE60">
        <w:t xml:space="preserve"> ‘live’ human rights controversies and that clear communication is provided to clients regarding the implications. </w:t>
      </w:r>
      <w:r w:rsidR="00646995" w:rsidRPr="6D99CE60">
        <w:t xml:space="preserve">An example of this in practice is the removal of Adani Enterprises from Dow Jones sustainability indices </w:t>
      </w:r>
      <w:r w:rsidR="000777D5" w:rsidRPr="6D99CE60">
        <w:t>f</w:t>
      </w:r>
      <w:r w:rsidR="00646995" w:rsidRPr="6D99CE60">
        <w:t xml:space="preserve">ollowing allegations of stock manipulation and accounting fraud </w:t>
      </w:r>
      <w:r w:rsidR="003E7F3C" w:rsidRPr="6D99CE60">
        <w:t>at the company</w:t>
      </w:r>
      <w:r w:rsidR="000777D5" w:rsidRPr="6D99CE60">
        <w:t>.</w:t>
      </w:r>
      <w:r w:rsidR="000777D5" w:rsidRPr="6D99CE60">
        <w:rPr>
          <w:rStyle w:val="FootnoteReference"/>
        </w:rPr>
        <w:footnoteReference w:id="16"/>
      </w:r>
      <w:r w:rsidR="003E7F3C" w:rsidRPr="6D99CE60">
        <w:t xml:space="preserve"> </w:t>
      </w:r>
      <w:r w:rsidR="000777D5" w:rsidRPr="6D99CE60">
        <w:t>MSCI was also urged to drop Adani bonds from its indices</w:t>
      </w:r>
      <w:r w:rsidR="00436DBC" w:rsidRPr="6D99CE60">
        <w:t xml:space="preserve"> on the same basis</w:t>
      </w:r>
      <w:r w:rsidR="00A52B52" w:rsidRPr="6D99CE60">
        <w:t>.</w:t>
      </w:r>
      <w:r w:rsidR="000777D5" w:rsidRPr="6D99CE60">
        <w:rPr>
          <w:rStyle w:val="FootnoteReference"/>
        </w:rPr>
        <w:footnoteReference w:id="17"/>
      </w:r>
      <w:r w:rsidR="00A52B52" w:rsidRPr="6D99CE60">
        <w:t xml:space="preserve"> </w:t>
      </w:r>
      <w:r w:rsidR="00436DBC" w:rsidRPr="6D99CE60">
        <w:t xml:space="preserve">Similarly, </w:t>
      </w:r>
      <w:r w:rsidR="00C57B0C" w:rsidRPr="6D99CE60">
        <w:t xml:space="preserve">the result of </w:t>
      </w:r>
      <w:r w:rsidR="009F26F1" w:rsidRPr="6D99CE60">
        <w:t xml:space="preserve">the </w:t>
      </w:r>
      <w:r w:rsidR="00647876" w:rsidRPr="6D99CE60">
        <w:t xml:space="preserve">recent </w:t>
      </w:r>
      <w:r w:rsidR="009F26F1" w:rsidRPr="6D99CE60">
        <w:t>communication</w:t>
      </w:r>
      <w:r w:rsidR="00910F7E" w:rsidRPr="6D99CE60">
        <w:rPr>
          <w:rStyle w:val="FootnoteReference"/>
        </w:rPr>
        <w:footnoteReference w:id="18"/>
      </w:r>
      <w:r w:rsidR="009F26F1" w:rsidRPr="6D99CE60">
        <w:t xml:space="preserve"> by UN</w:t>
      </w:r>
      <w:r w:rsidR="00647876" w:rsidRPr="6D99CE60">
        <w:t xml:space="preserve"> human rights</w:t>
      </w:r>
      <w:r w:rsidR="009F26F1" w:rsidRPr="6D99CE60">
        <w:t xml:space="preserve"> experts to Saud</w:t>
      </w:r>
      <w:r w:rsidR="00647876" w:rsidRPr="6D99CE60">
        <w:t xml:space="preserve">i Aramco </w:t>
      </w:r>
      <w:r w:rsidR="00E96119" w:rsidRPr="6D99CE60">
        <w:t>expressing their “</w:t>
      </w:r>
      <w:r w:rsidR="00E96119" w:rsidRPr="6D99CE60">
        <w:rPr>
          <w:i/>
          <w:iCs/>
        </w:rPr>
        <w:t>most serious concern regarding the adverse impacts on human rights caused by activities such as the exploitation of fossil fuels which contribute to climate change</w:t>
      </w:r>
      <w:r w:rsidR="00152D37" w:rsidRPr="6D99CE60">
        <w:rPr>
          <w:i/>
          <w:iCs/>
        </w:rPr>
        <w:t xml:space="preserve"> […] and how </w:t>
      </w:r>
      <w:r w:rsidR="00EA1142" w:rsidRPr="6D99CE60">
        <w:rPr>
          <w:i/>
          <w:iCs/>
        </w:rPr>
        <w:t>Saudi Aramco’s actions may contribute to undermining the Paris Agreement and international cooperation in the face of the existential threat to human rights posed by climate change</w:t>
      </w:r>
      <w:r w:rsidR="00E96119" w:rsidRPr="6D99CE60">
        <w:t>”</w:t>
      </w:r>
      <w:r w:rsidR="00EA1142" w:rsidRPr="6D99CE60">
        <w:t xml:space="preserve"> should be that</w:t>
      </w:r>
      <w:r w:rsidR="00B55B0D" w:rsidRPr="6D99CE60">
        <w:t xml:space="preserve"> </w:t>
      </w:r>
      <w:r w:rsidR="00096207" w:rsidRPr="6D99CE60">
        <w:t xml:space="preserve">many indices operating </w:t>
      </w:r>
      <w:r w:rsidR="00B55B0D" w:rsidRPr="6D99CE60">
        <w:t xml:space="preserve">human rights controversy-related exclusions </w:t>
      </w:r>
      <w:r w:rsidR="00AD5486" w:rsidRPr="6D99CE60">
        <w:t xml:space="preserve">automatically exclude Saudi Aramco </w:t>
      </w:r>
      <w:r w:rsidR="406E7DC1" w:rsidRPr="6D99CE60">
        <w:t>and other key fossil fuel expander</w:t>
      </w:r>
      <w:r w:rsidR="00AD5486" w:rsidRPr="6D99CE60">
        <w:t xml:space="preserve"> </w:t>
      </w:r>
      <w:r w:rsidR="406E7DC1" w:rsidRPr="6D99CE60">
        <w:t>companies</w:t>
      </w:r>
      <w:r w:rsidR="00AD5486" w:rsidRPr="6D99CE60">
        <w:t xml:space="preserve"> at the next opportunity for adjustment. Funds basing their investment portfolios on the index should follow suit.</w:t>
      </w:r>
    </w:p>
    <w:p w14:paraId="6DC38345" w14:textId="57EE31CD" w:rsidR="00D766A2" w:rsidRPr="00B604B6" w:rsidRDefault="00CA5E90" w:rsidP="0060650F">
      <w:pPr>
        <w:pStyle w:val="BodyText"/>
        <w:ind w:left="720"/>
        <w:rPr>
          <w:rFonts w:cstheme="minorHAnsi"/>
        </w:rPr>
      </w:pPr>
      <w:r w:rsidRPr="00B604B6">
        <w:rPr>
          <w:rFonts w:cstheme="minorHAnsi"/>
        </w:rPr>
        <w:t xml:space="preserve">Index providers should have the necessary infrastructure and processes in place to identify, react to and communicate </w:t>
      </w:r>
      <w:r w:rsidR="00CC1EC7" w:rsidRPr="00B604B6">
        <w:rPr>
          <w:rFonts w:cstheme="minorHAnsi"/>
        </w:rPr>
        <w:t>this controversy to clients, and the necessary adjustments should not be contingent upon third party intervention from rights holders, CSOs or other stakeholders.</w:t>
      </w:r>
      <w:r w:rsidR="00CB1B74" w:rsidRPr="00B604B6">
        <w:rPr>
          <w:rFonts w:cstheme="minorHAnsi"/>
        </w:rPr>
        <w:t xml:space="preserve"> If this process breaks down, index providers fail to meet the terms of their own methodologies, let alone their </w:t>
      </w:r>
      <w:r w:rsidR="00B97844" w:rsidRPr="003053C4">
        <w:rPr>
          <w:rFonts w:cstheme="minorHAnsi"/>
        </w:rPr>
        <w:t>own</w:t>
      </w:r>
      <w:r w:rsidR="00CB1B74" w:rsidRPr="00B604B6">
        <w:rPr>
          <w:rFonts w:cstheme="minorHAnsi"/>
        </w:rPr>
        <w:t xml:space="preserve"> human rights obligations</w:t>
      </w:r>
      <w:r w:rsidR="00BD5D20" w:rsidRPr="00B604B6">
        <w:rPr>
          <w:rFonts w:cstheme="minorHAnsi"/>
        </w:rPr>
        <w:t xml:space="preserve">. The result is </w:t>
      </w:r>
      <w:r w:rsidR="0060650F" w:rsidRPr="00B604B6">
        <w:rPr>
          <w:rFonts w:cstheme="minorHAnsi"/>
        </w:rPr>
        <w:t>a</w:t>
      </w:r>
      <w:r w:rsidR="00BD5D20" w:rsidRPr="00B604B6">
        <w:rPr>
          <w:rFonts w:cstheme="minorHAnsi"/>
        </w:rPr>
        <w:t xml:space="preserve"> systematic failure </w:t>
      </w:r>
      <w:r w:rsidR="0060650F" w:rsidRPr="00B604B6">
        <w:rPr>
          <w:rFonts w:cstheme="minorHAnsi"/>
        </w:rPr>
        <w:t>in</w:t>
      </w:r>
      <w:r w:rsidR="00BD5D20" w:rsidRPr="00B604B6">
        <w:rPr>
          <w:rFonts w:cstheme="minorHAnsi"/>
        </w:rPr>
        <w:t xml:space="preserve"> the investment industry</w:t>
      </w:r>
      <w:r w:rsidR="0060650F" w:rsidRPr="00B604B6">
        <w:rPr>
          <w:rFonts w:cstheme="minorHAnsi"/>
        </w:rPr>
        <w:t xml:space="preserve"> (particularly among passive funds)</w:t>
      </w:r>
      <w:r w:rsidR="00BD5D20" w:rsidRPr="00B604B6">
        <w:rPr>
          <w:rFonts w:cstheme="minorHAnsi"/>
        </w:rPr>
        <w:t xml:space="preserve"> to </w:t>
      </w:r>
      <w:r w:rsidR="00007AB5" w:rsidRPr="00B604B6">
        <w:rPr>
          <w:rFonts w:cstheme="minorHAnsi"/>
        </w:rPr>
        <w:t xml:space="preserve">respond to the controversy as dictated by fund </w:t>
      </w:r>
      <w:r w:rsidR="0060650F" w:rsidRPr="00B604B6">
        <w:rPr>
          <w:rFonts w:cstheme="minorHAnsi"/>
        </w:rPr>
        <w:t>and human rights norms</w:t>
      </w:r>
      <w:r w:rsidR="00007AB5" w:rsidRPr="00B604B6">
        <w:rPr>
          <w:rFonts w:cstheme="minorHAnsi"/>
        </w:rPr>
        <w:t>.</w:t>
      </w:r>
    </w:p>
    <w:p w14:paraId="73D5AEFC" w14:textId="27F72C3C" w:rsidR="004F329F" w:rsidRPr="00B604B6" w:rsidRDefault="00307DDF" w:rsidP="007066C5">
      <w:pPr>
        <w:pStyle w:val="BodyText"/>
        <w:ind w:left="720"/>
        <w:rPr>
          <w:rFonts w:cstheme="minorHAnsi"/>
        </w:rPr>
      </w:pPr>
      <w:r w:rsidRPr="003053C4">
        <w:t xml:space="preserve">Though </w:t>
      </w:r>
      <w:r w:rsidR="00C733A2" w:rsidRPr="003053C4">
        <w:t>these principles apply regardless of how indices and funds are labelled, a</w:t>
      </w:r>
      <w:r w:rsidR="009A7549" w:rsidRPr="003053C4">
        <w:t>dditional</w:t>
      </w:r>
      <w:r w:rsidR="009A7549" w:rsidRPr="6D99CE60">
        <w:t xml:space="preserve"> considerations apply to indices and funds labelled with terms such as “ESG”, “sustainable”, “green” or “ethical”. </w:t>
      </w:r>
      <w:r w:rsidR="009941A3" w:rsidRPr="6D99CE60">
        <w:t xml:space="preserve">The burden on such indices and funds is not only to abide by their own terms, </w:t>
      </w:r>
      <w:r w:rsidR="00287707">
        <w:t xml:space="preserve">and meet their own human rights obligations, </w:t>
      </w:r>
      <w:r w:rsidR="009941A3" w:rsidRPr="6D99CE60">
        <w:t>but to adopt a</w:t>
      </w:r>
      <w:r w:rsidR="006468D6" w:rsidRPr="6D99CE60">
        <w:t xml:space="preserve"> robust </w:t>
      </w:r>
      <w:r w:rsidR="009941A3" w:rsidRPr="6D99CE60">
        <w:t xml:space="preserve">approach to environmental and human rights harms that </w:t>
      </w:r>
      <w:r w:rsidR="006468D6" w:rsidRPr="6D99CE60">
        <w:t xml:space="preserve">is consistent with their labelling and marketing and stands up to objectively rooted external scrutiny. </w:t>
      </w:r>
      <w:r w:rsidR="00AD6721" w:rsidRPr="6D99CE60">
        <w:t xml:space="preserve">In practice, however, many indices and funds labelled ESG, green or even “low carbon” contain securities issued by companies </w:t>
      </w:r>
      <w:r w:rsidR="00647360" w:rsidRPr="6D99CE60">
        <w:t xml:space="preserve">which appear inconsistent with both the label and the fund or index’s own terms. For example, we have </w:t>
      </w:r>
      <w:r w:rsidR="00A32506" w:rsidRPr="6D99CE60">
        <w:t>identified</w:t>
      </w:r>
      <w:r w:rsidR="00647360" w:rsidRPr="6D99CE60">
        <w:t xml:space="preserve"> “low carbon” indices that </w:t>
      </w:r>
      <w:r w:rsidR="00A32506" w:rsidRPr="6D99CE60">
        <w:t xml:space="preserve">include coal producers despite professing to operate a thermal </w:t>
      </w:r>
      <w:r w:rsidR="00F82F1B" w:rsidRPr="6D99CE60">
        <w:t>coal exclusion policy.</w:t>
      </w:r>
      <w:r w:rsidR="0093081B" w:rsidRPr="6D99CE60">
        <w:rPr>
          <w:rStyle w:val="FootnoteReference"/>
        </w:rPr>
        <w:footnoteReference w:id="19"/>
      </w:r>
      <w:r w:rsidR="00F82F1B" w:rsidRPr="6D99CE60">
        <w:t xml:space="preserve"> This inconsistency is then repeated at the fund level. Similarly, </w:t>
      </w:r>
      <w:r w:rsidR="00F262F3" w:rsidRPr="6D99CE60">
        <w:t xml:space="preserve">examining the shareholdings in Saudi Aramco reveals that many </w:t>
      </w:r>
      <w:r w:rsidR="00CC2E4B" w:rsidRPr="6D99CE60">
        <w:t>funds labelled as “ESG</w:t>
      </w:r>
      <w:r w:rsidR="00592210" w:rsidRPr="6D99CE60">
        <w:t>” or “Sustainable” hold shares in the company.</w:t>
      </w:r>
    </w:p>
    <w:p w14:paraId="0286DF00" w14:textId="32028B62" w:rsidR="00F86EBF" w:rsidRPr="00B604B6" w:rsidRDefault="002B12D5" w:rsidP="007066C5">
      <w:pPr>
        <w:pStyle w:val="BodyText"/>
        <w:ind w:left="720"/>
        <w:rPr>
          <w:rFonts w:cstheme="minorHAnsi"/>
        </w:rPr>
      </w:pPr>
      <w:r w:rsidRPr="6D99CE60">
        <w:lastRenderedPageBreak/>
        <w:t xml:space="preserve">In our view, it should not be possible for a company whose </w:t>
      </w:r>
      <w:r w:rsidR="517B5B14" w:rsidRPr="6D99CE60">
        <w:t xml:space="preserve">fossil fuel expansion </w:t>
      </w:r>
      <w:r w:rsidRPr="6D99CE60">
        <w:t xml:space="preserve">business model </w:t>
      </w:r>
      <w:r w:rsidR="00522131" w:rsidRPr="6D99CE60">
        <w:t xml:space="preserve">is </w:t>
      </w:r>
      <w:r w:rsidRPr="6D99CE60">
        <w:t xml:space="preserve">incompatible with </w:t>
      </w:r>
      <w:r w:rsidR="001E59E6" w:rsidRPr="6D99CE60">
        <w:t>meeting the Paris climate goals and</w:t>
      </w:r>
      <w:r w:rsidR="358CA681" w:rsidRPr="6D99CE60">
        <w:t>/or</w:t>
      </w:r>
      <w:r w:rsidR="001E59E6" w:rsidRPr="6D99CE60">
        <w:t xml:space="preserve"> the subject of serious human rights concern </w:t>
      </w:r>
      <w:r w:rsidR="004F329F" w:rsidRPr="6D99CE60">
        <w:t>from the UN</w:t>
      </w:r>
      <w:r w:rsidR="00522131" w:rsidRPr="6D99CE60">
        <w:t xml:space="preserve"> to be considered </w:t>
      </w:r>
      <w:r w:rsidR="003F0393" w:rsidRPr="6D99CE60">
        <w:t xml:space="preserve">either “Sustainable” or suitable for inclusion in an “ESG” fund strategy. </w:t>
      </w:r>
      <w:r w:rsidR="2359C124" w:rsidRPr="6D99CE60">
        <w:t xml:space="preserve">The same issue arises for those industries </w:t>
      </w:r>
      <w:r w:rsidR="71989C19" w:rsidRPr="6D99CE60">
        <w:t>heavily</w:t>
      </w:r>
      <w:r w:rsidR="2359C124" w:rsidRPr="6D99CE60">
        <w:t xml:space="preserve"> implicated in (often) illegal deforestation</w:t>
      </w:r>
      <w:r w:rsidR="00CC3BBD" w:rsidRPr="6D99CE60">
        <w:t xml:space="preserve"> a</w:t>
      </w:r>
      <w:r w:rsidR="00213546" w:rsidRPr="6D99CE60">
        <w:t>nd associated human rights abuses</w:t>
      </w:r>
      <w:r w:rsidR="2359C124" w:rsidRPr="6D99CE60">
        <w:t>, such as factory-farmed beef.</w:t>
      </w:r>
      <w:r w:rsidR="00213546" w:rsidRPr="6D99CE60">
        <w:rPr>
          <w:rStyle w:val="FootnoteReference"/>
        </w:rPr>
        <w:footnoteReference w:id="20"/>
      </w:r>
      <w:r w:rsidR="2359C124" w:rsidRPr="6D99CE60">
        <w:t xml:space="preserve"> </w:t>
      </w:r>
      <w:r w:rsidR="003F0393" w:rsidRPr="6D99CE60">
        <w:t>The case is more compelling still where inclusion of the company appears incompatible with the fund’s own terms.</w:t>
      </w:r>
    </w:p>
    <w:p w14:paraId="74CDC284" w14:textId="42416219" w:rsidR="003F0393" w:rsidRPr="00B604B6" w:rsidRDefault="003F0393" w:rsidP="007066C5">
      <w:pPr>
        <w:pStyle w:val="BodyText"/>
        <w:ind w:left="720"/>
        <w:rPr>
          <w:rFonts w:cstheme="minorHAnsi"/>
        </w:rPr>
      </w:pPr>
      <w:r w:rsidRPr="6D99CE60">
        <w:t>In such cases, the</w:t>
      </w:r>
      <w:r w:rsidR="6618BE42" w:rsidRPr="6D99CE60">
        <w:t>re</w:t>
      </w:r>
      <w:r w:rsidRPr="6D99CE60">
        <w:t xml:space="preserve"> is a significant risk that sustainably-minded investors are misled, resulting in a misdirection of capital towards harmful activitie</w:t>
      </w:r>
      <w:r w:rsidR="0095291E" w:rsidRPr="6D99CE60">
        <w:t>s in a system which should guard against the unwitting allocation of capital to activities associate with human rights and environmental harm.</w:t>
      </w:r>
      <w:r w:rsidR="00DC3AEB" w:rsidRPr="6D99CE60">
        <w:rPr>
          <w:rStyle w:val="FootnoteReference"/>
        </w:rPr>
        <w:footnoteReference w:id="21"/>
      </w:r>
      <w:r w:rsidR="00E30DCC" w:rsidRPr="6D99CE60">
        <w:t xml:space="preserve"> It is vital that rigour in this area is introduced through transparency requirements, </w:t>
      </w:r>
      <w:r w:rsidR="00AD3D39" w:rsidRPr="6D99CE60">
        <w:t>minimum</w:t>
      </w:r>
      <w:r w:rsidR="004820AF" w:rsidRPr="6D99CE60">
        <w:t xml:space="preserve"> human rights</w:t>
      </w:r>
      <w:r w:rsidR="00AD3D39" w:rsidRPr="6D99CE60">
        <w:t xml:space="preserve"> criteria for labelled indices, and robust regulatory enforcement when things go wrong.</w:t>
      </w:r>
    </w:p>
    <w:p w14:paraId="59C561B1" w14:textId="77777777" w:rsidR="00F037DB" w:rsidRPr="00B604B6" w:rsidRDefault="00F037DB" w:rsidP="00F037DB">
      <w:pPr>
        <w:pStyle w:val="BodyText"/>
        <w:rPr>
          <w:rFonts w:cstheme="minorHAnsi"/>
        </w:rPr>
      </w:pPr>
      <w:r w:rsidRPr="00B604B6">
        <w:rPr>
          <w:rFonts w:cstheme="minorHAnsi"/>
          <w:b/>
          <w:bCs/>
        </w:rPr>
        <w:t>State duty to protect human rights</w:t>
      </w:r>
    </w:p>
    <w:p w14:paraId="0441A1A4" w14:textId="77777777" w:rsidR="00F037DB" w:rsidRPr="00B604B6" w:rsidRDefault="00F037DB" w:rsidP="00F037DB">
      <w:pPr>
        <w:pStyle w:val="BodyText"/>
        <w:numPr>
          <w:ilvl w:val="0"/>
          <w:numId w:val="18"/>
        </w:numPr>
        <w:rPr>
          <w:rFonts w:cstheme="minorHAnsi"/>
          <w:color w:val="FF0000"/>
        </w:rPr>
      </w:pPr>
      <w:r w:rsidRPr="00B604B6">
        <w:rPr>
          <w:rFonts w:cstheme="minorHAnsi"/>
          <w:color w:val="FF0000"/>
        </w:rPr>
        <w:t>What State, regional, and international mechanisms and regulations exist to promote or restrict investment/financing using an ESG approach that takes human rights into account and how do they align with the UNGPs? How do these mechanisms and regulations promote or inhibit business respect for human rights consistent with the UNGPs?</w:t>
      </w:r>
    </w:p>
    <w:p w14:paraId="64E2B7FD" w14:textId="77777777" w:rsidR="00F037DB" w:rsidRPr="00B604B6" w:rsidRDefault="00F037DB" w:rsidP="00F037DB">
      <w:pPr>
        <w:pStyle w:val="BodyText"/>
        <w:numPr>
          <w:ilvl w:val="0"/>
          <w:numId w:val="18"/>
        </w:numPr>
        <w:rPr>
          <w:rFonts w:cstheme="minorHAnsi"/>
          <w:color w:val="FF0000"/>
        </w:rPr>
      </w:pPr>
      <w:r w:rsidRPr="00B604B6">
        <w:rPr>
          <w:rFonts w:cstheme="minorHAnsi"/>
          <w:color w:val="FF0000"/>
        </w:rPr>
        <w:t>To what extent do current regulations ensure adequate information and disclosure for investors adopting an ESG approach to understand human rights impacts of businesses?</w:t>
      </w:r>
    </w:p>
    <w:p w14:paraId="68B95394" w14:textId="77777777" w:rsidR="00F037DB" w:rsidRPr="00B604B6" w:rsidRDefault="00F037DB" w:rsidP="00F037DB">
      <w:pPr>
        <w:pStyle w:val="BodyText"/>
        <w:numPr>
          <w:ilvl w:val="0"/>
          <w:numId w:val="18"/>
        </w:numPr>
        <w:rPr>
          <w:rFonts w:cstheme="minorHAnsi"/>
          <w:b/>
        </w:rPr>
      </w:pPr>
      <w:r w:rsidRPr="00B604B6">
        <w:rPr>
          <w:rFonts w:cstheme="minorHAnsi"/>
          <w:b/>
        </w:rPr>
        <w:t>How can States encourage and regulate accurate communication of ESG practices by businesses and investors to prevent misleading or unsubstantiated claims regarding respect for human rights?</w:t>
      </w:r>
    </w:p>
    <w:p w14:paraId="1E929CF1" w14:textId="04D3E143" w:rsidR="007D3D6E" w:rsidRPr="00B604B6" w:rsidRDefault="00BA5A82" w:rsidP="007F6162">
      <w:pPr>
        <w:pStyle w:val="BodyText"/>
        <w:ind w:left="720"/>
        <w:rPr>
          <w:rFonts w:cstheme="minorHAnsi"/>
        </w:rPr>
      </w:pPr>
      <w:r w:rsidRPr="00B604B6">
        <w:rPr>
          <w:rFonts w:cstheme="minorHAnsi"/>
        </w:rPr>
        <w:t>Rules regulating the labelling of investment products, services and institutions as “ESG”, “sustainable”, “low-carbon” and the like can play an important role in promoting the clear and accessible communication of sustainability and ESG credentials if the</w:t>
      </w:r>
      <w:r w:rsidR="00633437" w:rsidRPr="00B604B6">
        <w:rPr>
          <w:rFonts w:cstheme="minorHAnsi"/>
        </w:rPr>
        <w:t xml:space="preserve"> rules</w:t>
      </w:r>
      <w:r w:rsidRPr="00B604B6">
        <w:rPr>
          <w:rFonts w:cstheme="minorHAnsi"/>
        </w:rPr>
        <w:t xml:space="preserve"> </w:t>
      </w:r>
      <w:r w:rsidR="005100D4" w:rsidRPr="00B604B6">
        <w:rPr>
          <w:rFonts w:cstheme="minorHAnsi"/>
        </w:rPr>
        <w:t xml:space="preserve">support the principle explained in </w:t>
      </w:r>
      <w:r w:rsidR="005100D4" w:rsidRPr="00B604B6">
        <w:rPr>
          <w:rFonts w:cstheme="minorHAnsi"/>
          <w:i/>
          <w:iCs/>
        </w:rPr>
        <w:t xml:space="preserve">General: Q1 </w:t>
      </w:r>
      <w:r w:rsidR="005100D4" w:rsidRPr="00B604B6">
        <w:rPr>
          <w:rFonts w:cstheme="minorHAnsi"/>
        </w:rPr>
        <w:t xml:space="preserve">above. </w:t>
      </w:r>
      <w:r w:rsidR="00CD45FD" w:rsidRPr="00B604B6">
        <w:rPr>
          <w:rFonts w:cstheme="minorHAnsi"/>
        </w:rPr>
        <w:t xml:space="preserve">However, labelling rules can also </w:t>
      </w:r>
      <w:r w:rsidR="00C05F6E" w:rsidRPr="00B604B6">
        <w:rPr>
          <w:rFonts w:cstheme="minorHAnsi"/>
        </w:rPr>
        <w:t xml:space="preserve">cause confusion and </w:t>
      </w:r>
      <w:r w:rsidR="00FC1440" w:rsidRPr="00B604B6">
        <w:rPr>
          <w:rFonts w:cstheme="minorHAnsi"/>
        </w:rPr>
        <w:t xml:space="preserve">generate misleading claims </w:t>
      </w:r>
      <w:r w:rsidR="00E24184" w:rsidRPr="00B604B6">
        <w:rPr>
          <w:rFonts w:cstheme="minorHAnsi"/>
        </w:rPr>
        <w:t xml:space="preserve">if </w:t>
      </w:r>
      <w:r w:rsidR="00521652" w:rsidRPr="00B604B6">
        <w:rPr>
          <w:rFonts w:cstheme="minorHAnsi"/>
        </w:rPr>
        <w:t xml:space="preserve">an “ESG” or “sustainable” label is able to </w:t>
      </w:r>
      <w:r w:rsidR="0092002E" w:rsidRPr="00B604B6">
        <w:rPr>
          <w:rFonts w:cstheme="minorHAnsi"/>
        </w:rPr>
        <w:t xml:space="preserve">apply to a product, service or institution which, though it may </w:t>
      </w:r>
      <w:r w:rsidR="00FE1215" w:rsidRPr="00B604B6">
        <w:rPr>
          <w:rFonts w:cstheme="minorHAnsi"/>
        </w:rPr>
        <w:t xml:space="preserve">promote </w:t>
      </w:r>
      <w:r w:rsidR="00FE1215" w:rsidRPr="00E734F3">
        <w:rPr>
          <w:rFonts w:cstheme="minorHAnsi"/>
          <w:i/>
        </w:rPr>
        <w:t>certain</w:t>
      </w:r>
      <w:r w:rsidR="00FE1215" w:rsidRPr="00B604B6">
        <w:rPr>
          <w:rFonts w:cstheme="minorHAnsi"/>
        </w:rPr>
        <w:t xml:space="preserve"> sustainability factors, </w:t>
      </w:r>
      <w:r w:rsidR="00E251F4" w:rsidRPr="00B604B6">
        <w:rPr>
          <w:rFonts w:cstheme="minorHAnsi"/>
        </w:rPr>
        <w:t>is also responsible for adverse human rights or environmental impacts</w:t>
      </w:r>
      <w:r w:rsidR="004515D9" w:rsidRPr="00B604B6">
        <w:rPr>
          <w:rFonts w:cstheme="minorHAnsi"/>
        </w:rPr>
        <w:t xml:space="preserve"> and or damage to </w:t>
      </w:r>
      <w:r w:rsidR="004515D9" w:rsidRPr="00BA3F11">
        <w:rPr>
          <w:rFonts w:cstheme="minorHAnsi"/>
          <w:i/>
        </w:rPr>
        <w:t>other</w:t>
      </w:r>
      <w:r w:rsidR="004515D9" w:rsidRPr="00B604B6">
        <w:rPr>
          <w:rFonts w:cstheme="minorHAnsi"/>
        </w:rPr>
        <w:t xml:space="preserve"> sustainability factors. </w:t>
      </w:r>
      <w:r w:rsidR="00E8419E" w:rsidRPr="00B604B6">
        <w:rPr>
          <w:rFonts w:cstheme="minorHAnsi"/>
        </w:rPr>
        <w:t xml:space="preserve">Similarly, </w:t>
      </w:r>
      <w:r w:rsidR="002656C2" w:rsidRPr="00B604B6">
        <w:rPr>
          <w:rFonts w:cstheme="minorHAnsi"/>
        </w:rPr>
        <w:t>unsubstantiate</w:t>
      </w:r>
      <w:r w:rsidR="000563A2">
        <w:rPr>
          <w:rFonts w:cstheme="minorHAnsi"/>
        </w:rPr>
        <w:t>d</w:t>
      </w:r>
      <w:r w:rsidR="002656C2" w:rsidRPr="00B604B6">
        <w:rPr>
          <w:rFonts w:cstheme="minorHAnsi"/>
        </w:rPr>
        <w:t xml:space="preserve"> or exaggerated </w:t>
      </w:r>
      <w:r w:rsidR="005F44D0">
        <w:rPr>
          <w:rFonts w:cstheme="minorHAnsi"/>
        </w:rPr>
        <w:t>positive</w:t>
      </w:r>
      <w:r w:rsidR="002656C2" w:rsidRPr="00B604B6">
        <w:rPr>
          <w:rFonts w:cstheme="minorHAnsi"/>
        </w:rPr>
        <w:t xml:space="preserve"> impact claims (including via labelling) are likely to </w:t>
      </w:r>
      <w:r w:rsidR="006C371F" w:rsidRPr="00B604B6">
        <w:rPr>
          <w:rFonts w:cstheme="minorHAnsi"/>
        </w:rPr>
        <w:t>mislead.</w:t>
      </w:r>
      <w:r w:rsidR="005F44D0">
        <w:rPr>
          <w:rStyle w:val="FootnoteReference"/>
          <w:rFonts w:cstheme="minorHAnsi"/>
        </w:rPr>
        <w:footnoteReference w:id="22"/>
      </w:r>
      <w:r w:rsidR="006C371F" w:rsidRPr="00B604B6">
        <w:rPr>
          <w:rFonts w:cstheme="minorHAnsi"/>
        </w:rPr>
        <w:t xml:space="preserve"> </w:t>
      </w:r>
      <w:r w:rsidR="00BC65A3" w:rsidRPr="00B604B6">
        <w:rPr>
          <w:rFonts w:cstheme="minorHAnsi"/>
        </w:rPr>
        <w:t xml:space="preserve">Legal concepts such as the “minimum safeguards” built into EU sustainable finance regulation may help address this risk, but </w:t>
      </w:r>
      <w:r w:rsidR="00436C5E" w:rsidRPr="00B604B6">
        <w:rPr>
          <w:rFonts w:cstheme="minorHAnsi"/>
        </w:rPr>
        <w:t xml:space="preserve">it is important that </w:t>
      </w:r>
      <w:r w:rsidR="005F44D0">
        <w:rPr>
          <w:rFonts w:cstheme="minorHAnsi"/>
        </w:rPr>
        <w:t>any</w:t>
      </w:r>
      <w:r w:rsidR="004D7412">
        <w:rPr>
          <w:rFonts w:cstheme="minorHAnsi"/>
        </w:rPr>
        <w:t xml:space="preserve"> </w:t>
      </w:r>
      <w:r w:rsidR="00436C5E" w:rsidRPr="00B604B6">
        <w:rPr>
          <w:rFonts w:cstheme="minorHAnsi"/>
        </w:rPr>
        <w:t xml:space="preserve">labelling regimes are carefully </w:t>
      </w:r>
      <w:r w:rsidR="004D7412">
        <w:rPr>
          <w:rFonts w:cstheme="minorHAnsi"/>
        </w:rPr>
        <w:t>designed</w:t>
      </w:r>
      <w:r w:rsidR="00436C5E" w:rsidRPr="00B604B6">
        <w:rPr>
          <w:rFonts w:cstheme="minorHAnsi"/>
        </w:rPr>
        <w:t>.</w:t>
      </w:r>
    </w:p>
    <w:p w14:paraId="3551B04E" w14:textId="62DE4A5C" w:rsidR="00436C5E" w:rsidRPr="00B604B6" w:rsidRDefault="00CF0B0E" w:rsidP="007F6162">
      <w:pPr>
        <w:pStyle w:val="BodyText"/>
        <w:ind w:left="720"/>
        <w:rPr>
          <w:rFonts w:cstheme="minorHAnsi"/>
        </w:rPr>
      </w:pPr>
      <w:r w:rsidRPr="6D99CE60">
        <w:lastRenderedPageBreak/>
        <w:t xml:space="preserve">These risks are reflected in widespread concerns about “greenwashing” within sustainable finance. </w:t>
      </w:r>
      <w:r w:rsidR="00934F14" w:rsidRPr="6D99CE60">
        <w:t xml:space="preserve">Concerns related to labelling are among those recognised by ESMA in its 2023 </w:t>
      </w:r>
      <w:r w:rsidR="00934F14" w:rsidRPr="6D99CE60">
        <w:rPr>
          <w:i/>
          <w:iCs/>
        </w:rPr>
        <w:t>Progress Report on Greenwashing</w:t>
      </w:r>
      <w:r w:rsidR="00934F14" w:rsidRPr="6D99CE60">
        <w:t xml:space="preserve"> (see para. 58).</w:t>
      </w:r>
      <w:r w:rsidR="00934F14" w:rsidRPr="6D99CE60">
        <w:rPr>
          <w:rStyle w:val="FootnoteReference"/>
        </w:rPr>
        <w:footnoteReference w:id="23"/>
      </w:r>
      <w:r w:rsidR="00934F14" w:rsidRPr="6D99CE60">
        <w:t xml:space="preserve"> </w:t>
      </w:r>
      <w:r w:rsidR="00190628" w:rsidRPr="6D99CE60">
        <w:t>Specific concerns frequently arise in relation to the marketing of</w:t>
      </w:r>
      <w:r w:rsidR="00176A9B" w:rsidRPr="6D99CE60">
        <w:t xml:space="preserve">: (a) </w:t>
      </w:r>
      <w:r w:rsidR="00190628" w:rsidRPr="6D99CE60">
        <w:t xml:space="preserve">green bonds, the proceeds of which are then applied to </w:t>
      </w:r>
      <w:r w:rsidR="00B378C9" w:rsidRPr="6D99CE60">
        <w:t>“non-green” activities or business models</w:t>
      </w:r>
      <w:r w:rsidR="00176A9B" w:rsidRPr="6D99CE60">
        <w:t>;</w:t>
      </w:r>
      <w:r w:rsidR="00B378C9" w:rsidRPr="6D99CE60">
        <w:t xml:space="preserve"> and </w:t>
      </w:r>
      <w:r w:rsidR="00176A9B" w:rsidRPr="6D99CE60">
        <w:t xml:space="preserve">(b) </w:t>
      </w:r>
      <w:r w:rsidR="00B378C9" w:rsidRPr="6D99CE60">
        <w:t>sustainability</w:t>
      </w:r>
      <w:r w:rsidR="00A65671" w:rsidRPr="6D99CE60">
        <w:t>-</w:t>
      </w:r>
      <w:r w:rsidR="00B378C9" w:rsidRPr="6D99CE60">
        <w:t xml:space="preserve">linked bonds </w:t>
      </w:r>
      <w:r w:rsidR="004360D9" w:rsidRPr="6D99CE60">
        <w:t xml:space="preserve">that are </w:t>
      </w:r>
      <w:r w:rsidR="00B378C9" w:rsidRPr="6D99CE60">
        <w:t>issued by companies responsible for serious harm</w:t>
      </w:r>
      <w:r w:rsidR="00B13615" w:rsidRPr="6D99CE60">
        <w:t xml:space="preserve">, </w:t>
      </w:r>
      <w:r w:rsidR="004C4C87" w:rsidRPr="6D99CE60">
        <w:t>including fossil fuel companies</w:t>
      </w:r>
      <w:r w:rsidR="004360D9" w:rsidRPr="6D99CE60">
        <w:t>,</w:t>
      </w:r>
      <w:r w:rsidR="00B378C9" w:rsidRPr="6D99CE60">
        <w:rPr>
          <w:rStyle w:val="FootnoteReference"/>
        </w:rPr>
        <w:footnoteReference w:id="24"/>
      </w:r>
      <w:r w:rsidR="00635037" w:rsidRPr="6D99CE60">
        <w:t xml:space="preserve"> </w:t>
      </w:r>
      <w:r w:rsidR="00A47B33" w:rsidRPr="6D99CE60">
        <w:t>and</w:t>
      </w:r>
      <w:r w:rsidR="00A47B33">
        <w:t xml:space="preserve"> </w:t>
      </w:r>
      <w:r w:rsidR="004A014B">
        <w:t>which</w:t>
      </w:r>
      <w:r w:rsidR="00A47B33" w:rsidRPr="6D99CE60">
        <w:t xml:space="preserve"> have</w:t>
      </w:r>
      <w:r w:rsidR="00153B32" w:rsidRPr="6D99CE60">
        <w:t xml:space="preserve"> been found to</w:t>
      </w:r>
      <w:r w:rsidR="00635037" w:rsidRPr="6D99CE60">
        <w:t xml:space="preserve"> </w:t>
      </w:r>
      <w:r w:rsidR="004658B5" w:rsidRPr="6D99CE60">
        <w:t>contain</w:t>
      </w:r>
      <w:r w:rsidR="00635037" w:rsidRPr="6D99CE60">
        <w:t xml:space="preserve"> structural loopholes</w:t>
      </w:r>
      <w:r w:rsidR="00EF466F" w:rsidRPr="6D99CE60">
        <w:t xml:space="preserve"> </w:t>
      </w:r>
      <w:r w:rsidR="006C717D" w:rsidRPr="6D99CE60">
        <w:t xml:space="preserve">that </w:t>
      </w:r>
      <w:r w:rsidR="002D3AAE" w:rsidRPr="6D99CE60">
        <w:t>can</w:t>
      </w:r>
      <w:r w:rsidR="006C717D" w:rsidRPr="6D99CE60">
        <w:t xml:space="preserve"> undermine their sustainability commitments.</w:t>
      </w:r>
      <w:r w:rsidR="00FF385A" w:rsidRPr="6D99CE60">
        <w:rPr>
          <w:rStyle w:val="FootnoteReference"/>
        </w:rPr>
        <w:footnoteReference w:id="25"/>
      </w:r>
      <w:r w:rsidR="00635037" w:rsidRPr="6D99CE60">
        <w:t xml:space="preserve"> </w:t>
      </w:r>
      <w:r w:rsidR="00026D5A" w:rsidRPr="6D99CE60">
        <w:t xml:space="preserve">ClientEarth, in collaboration with </w:t>
      </w:r>
      <w:r w:rsidR="000C6CAF" w:rsidRPr="6D99CE60">
        <w:t>the Asia Investor Group on Climate Change, has published a guide on greenwashing for Asia’s finance industry which, among other things, provides a “typology” of greenwashing cases</w:t>
      </w:r>
      <w:r w:rsidR="009379EE" w:rsidRPr="6D99CE60">
        <w:t>, which may be a useful source of further information.</w:t>
      </w:r>
      <w:r w:rsidR="009379EE" w:rsidRPr="6D99CE60">
        <w:rPr>
          <w:rStyle w:val="FootnoteReference"/>
        </w:rPr>
        <w:footnoteReference w:id="26"/>
      </w:r>
    </w:p>
    <w:p w14:paraId="3B884155" w14:textId="66530598" w:rsidR="008A0A66" w:rsidRPr="00B604B6" w:rsidRDefault="00BB75A8" w:rsidP="007F6162">
      <w:pPr>
        <w:pStyle w:val="BodyText"/>
        <w:ind w:left="720"/>
        <w:rPr>
          <w:rFonts w:cstheme="minorHAnsi"/>
        </w:rPr>
      </w:pPr>
      <w:r>
        <w:t>Just as</w:t>
      </w:r>
      <w:r w:rsidR="008A0A66" w:rsidRPr="00F42717">
        <w:t xml:space="preserve"> important </w:t>
      </w:r>
      <w:r>
        <w:t>as labelling rules</w:t>
      </w:r>
      <w:r w:rsidR="008A0A66" w:rsidRPr="6D99CE60">
        <w:t xml:space="preserve"> are general purpose “anti-greenwashing rules” which </w:t>
      </w:r>
      <w:r w:rsidR="00F42717" w:rsidRPr="6D99CE60">
        <w:t>mandate clear communications on sustainability and human rights matters that are evidence-based and can stand up to objective scrutiny. Open-textured rules of this nature may play a valuable route to accountability for misleading communications on these matters. In the UK, for example, the Financial Conduct Authority has consulted on the introduction of an anti-greenwashing rule to accompany investment labelling rules.</w:t>
      </w:r>
      <w:r w:rsidR="00322279" w:rsidRPr="6D99CE60">
        <w:rPr>
          <w:rStyle w:val="FootnoteReference"/>
        </w:rPr>
        <w:footnoteReference w:id="27"/>
      </w:r>
      <w:r w:rsidR="00F42717" w:rsidRPr="6D99CE60">
        <w:t xml:space="preserve"> </w:t>
      </w:r>
      <w:r w:rsidR="00263A06" w:rsidRPr="6D99CE60">
        <w:t>In the US, the Securities and Exchange Commission (</w:t>
      </w:r>
      <w:r w:rsidR="00263A06" w:rsidRPr="6D99CE60">
        <w:rPr>
          <w:b/>
          <w:bCs/>
        </w:rPr>
        <w:t>SEC</w:t>
      </w:r>
      <w:r w:rsidR="00263A06" w:rsidRPr="6D99CE60">
        <w:t xml:space="preserve">) has </w:t>
      </w:r>
      <w:r w:rsidR="00A618B0" w:rsidRPr="6D99CE60">
        <w:t xml:space="preserve">recently adopted new rules </w:t>
      </w:r>
      <w:r w:rsidR="00615737" w:rsidRPr="6D99CE60">
        <w:t xml:space="preserve">targeting greenwashing by investment funds by requiring </w:t>
      </w:r>
      <w:r w:rsidR="009740BD" w:rsidRPr="6D99CE60">
        <w:t xml:space="preserve">funds referencing </w:t>
      </w:r>
      <w:r w:rsidR="004E7763" w:rsidRPr="6D99CE60">
        <w:t>ESG factors in their name to ensure that 80% of their portfolio assets align with these factors.</w:t>
      </w:r>
      <w:r w:rsidR="003E238F" w:rsidRPr="6D99CE60">
        <w:rPr>
          <w:rStyle w:val="FootnoteReference"/>
        </w:rPr>
        <w:footnoteReference w:id="28"/>
      </w:r>
      <w:r w:rsidR="002764F1" w:rsidRPr="6D99CE60">
        <w:t xml:space="preserve"> It should also be noted that </w:t>
      </w:r>
      <w:r w:rsidR="00FE0A56" w:rsidRPr="6D99CE60">
        <w:t xml:space="preserve">it should be </w:t>
      </w:r>
      <w:r w:rsidR="00614D6C">
        <w:t xml:space="preserve">already </w:t>
      </w:r>
      <w:r w:rsidR="006154A2" w:rsidRPr="6D99CE60">
        <w:t>possible</w:t>
      </w:r>
      <w:r w:rsidR="00FE0A56" w:rsidRPr="6D99CE60">
        <w:t xml:space="preserve"> for regulators </w:t>
      </w:r>
      <w:r w:rsidR="005503D7" w:rsidRPr="6D99CE60">
        <w:t xml:space="preserve">and affected stakeholders to take action under existing “fair client communication rules” </w:t>
      </w:r>
      <w:r w:rsidR="00D671A5" w:rsidRPr="6D99CE60">
        <w:t xml:space="preserve">which, though expressed broadly in terms of the obligation not to mislead, are as capable of applying to misleading sustainability or human rights claims, as </w:t>
      </w:r>
      <w:r w:rsidR="00614D6C">
        <w:t>to</w:t>
      </w:r>
      <w:r w:rsidR="00D671A5" w:rsidRPr="00B761FC">
        <w:t xml:space="preserve"> </w:t>
      </w:r>
      <w:r w:rsidR="00D671A5" w:rsidRPr="6D99CE60">
        <w:t>claims of any other nature.</w:t>
      </w:r>
      <w:r w:rsidR="006154A2" w:rsidRPr="6D99CE60">
        <w:t xml:space="preserve"> Regulators that fail to deploy these powers effectively may in some cases be guilty of </w:t>
      </w:r>
      <w:r w:rsidR="00127F25" w:rsidRPr="6D99CE60">
        <w:t xml:space="preserve">a dereliction of duty </w:t>
      </w:r>
      <w:r w:rsidR="00A82B8E" w:rsidRPr="6D99CE60">
        <w:t>if they fail to do their utmost to correct market failure.</w:t>
      </w:r>
    </w:p>
    <w:p w14:paraId="149E5666" w14:textId="7430326F" w:rsidR="005645FD" w:rsidRPr="00B604B6" w:rsidRDefault="00FA60C0" w:rsidP="007F6162">
      <w:pPr>
        <w:pStyle w:val="BodyText"/>
        <w:ind w:left="720"/>
      </w:pPr>
      <w:r w:rsidRPr="6D99CE60">
        <w:t>It is important that</w:t>
      </w:r>
      <w:r w:rsidR="00F8210E" w:rsidRPr="6D99CE60">
        <w:t xml:space="preserve">, under labelling and anti-greenwashing rules, financial institutions </w:t>
      </w:r>
      <w:r w:rsidR="00151E95" w:rsidRPr="6D99CE60">
        <w:t xml:space="preserve">are held to account both: (i) for not doing what they say they will do (e.g. not applying a human rights due diligence </w:t>
      </w:r>
      <w:r w:rsidR="00614D6C">
        <w:t>or exclusionary screening</w:t>
      </w:r>
      <w:r w:rsidR="00151E95" w:rsidRPr="00B761FC">
        <w:t xml:space="preserve"> </w:t>
      </w:r>
      <w:r w:rsidR="00151E95" w:rsidRPr="6D99CE60">
        <w:t>approach that they</w:t>
      </w:r>
      <w:r w:rsidR="003D0702" w:rsidRPr="6D99CE60">
        <w:t xml:space="preserve"> promised to investors in</w:t>
      </w:r>
      <w:r w:rsidR="00151E95" w:rsidRPr="6D99CE60">
        <w:t xml:space="preserve"> </w:t>
      </w:r>
      <w:r w:rsidR="00461AEE" w:rsidRPr="6D99CE60">
        <w:t xml:space="preserve">investment </w:t>
      </w:r>
      <w:r w:rsidR="00151E95" w:rsidRPr="6D99CE60">
        <w:t xml:space="preserve">fund marketing); and (ii) when their </w:t>
      </w:r>
      <w:r w:rsidR="000B62E3" w:rsidRPr="6D99CE60">
        <w:t xml:space="preserve">ESG or human rights claims cannot stand up to any meaningful </w:t>
      </w:r>
      <w:r w:rsidR="0054675E" w:rsidRPr="6D99CE60">
        <w:t>external s</w:t>
      </w:r>
      <w:r w:rsidR="00C0766A" w:rsidRPr="6D99CE60">
        <w:t xml:space="preserve">crutiny based on </w:t>
      </w:r>
      <w:r w:rsidR="0054675E" w:rsidRPr="6D99CE60">
        <w:t>how s</w:t>
      </w:r>
      <w:r w:rsidR="008B1C1A" w:rsidRPr="6D99CE60">
        <w:t xml:space="preserve">uch claims </w:t>
      </w:r>
      <w:r w:rsidR="0054675E" w:rsidRPr="6D99CE60">
        <w:t>are likely to be understood by stakeholders (</w:t>
      </w:r>
      <w:r w:rsidR="00B761FC" w:rsidRPr="6D99CE60">
        <w:t>i.e. in relation to environmental harm and / or compliance with the UN General Principles: s</w:t>
      </w:r>
      <w:r w:rsidR="0054675E" w:rsidRPr="6D99CE60">
        <w:t xml:space="preserve">ee our response to </w:t>
      </w:r>
      <w:r w:rsidR="0054675E" w:rsidRPr="6D99CE60">
        <w:rPr>
          <w:i/>
          <w:iCs/>
        </w:rPr>
        <w:t>General:Q1</w:t>
      </w:r>
      <w:r w:rsidR="0054675E" w:rsidRPr="6D99CE60">
        <w:t>).</w:t>
      </w:r>
    </w:p>
    <w:p w14:paraId="4F7555FE" w14:textId="77777777" w:rsidR="00625087" w:rsidRPr="00B604B6" w:rsidRDefault="00625087" w:rsidP="00625087">
      <w:pPr>
        <w:pStyle w:val="BodyText"/>
        <w:ind w:left="720"/>
        <w:rPr>
          <w:rFonts w:cstheme="minorHAnsi"/>
        </w:rPr>
      </w:pPr>
      <w:r>
        <w:rPr>
          <w:rFonts w:cstheme="minorHAnsi"/>
        </w:rPr>
        <w:t xml:space="preserve">It is also essential that regulators are empowered, mandated and resourced to enforce compliance with labelling and anti-greenwashing rules. Without this, the impact of the legal framework will be compromised in practice. </w:t>
      </w:r>
    </w:p>
    <w:p w14:paraId="25FCACA5" w14:textId="63C1D68B" w:rsidR="673EED77" w:rsidRDefault="673EED77">
      <w:pPr>
        <w:pStyle w:val="BodyText"/>
        <w:ind w:left="720"/>
      </w:pPr>
      <w:r w:rsidRPr="6D99CE60">
        <w:t>We recommend contacting the UN Race to Zero campaign</w:t>
      </w:r>
      <w:r w:rsidR="2D59C212" w:rsidRPr="6D99CE60">
        <w:t xml:space="preserve"> </w:t>
      </w:r>
      <w:r w:rsidRPr="6D99CE60">
        <w:t xml:space="preserve">for an understanding of best </w:t>
      </w:r>
      <w:r w:rsidR="594F1639" w:rsidRPr="6D99CE60">
        <w:t>regulatory practice.</w:t>
      </w:r>
    </w:p>
    <w:p w14:paraId="28C83979" w14:textId="77777777" w:rsidR="00F037DB" w:rsidRPr="00B604B6" w:rsidRDefault="00F037DB" w:rsidP="00F037DB">
      <w:pPr>
        <w:pStyle w:val="BodyText"/>
        <w:numPr>
          <w:ilvl w:val="0"/>
          <w:numId w:val="18"/>
        </w:numPr>
        <w:rPr>
          <w:rFonts w:cstheme="minorHAnsi"/>
          <w:color w:val="FF0000"/>
        </w:rPr>
      </w:pPr>
      <w:r w:rsidRPr="00B604B6">
        <w:rPr>
          <w:rFonts w:cstheme="minorHAnsi"/>
          <w:color w:val="FF0000"/>
        </w:rPr>
        <w:lastRenderedPageBreak/>
        <w:t>How can policies, programs, plans and activities in one State concerning regulation of investors in relation to human rights have potential or actual adverse or positive human rights impacts outside of their territory or jurisdiction?</w:t>
      </w:r>
    </w:p>
    <w:p w14:paraId="24518F3B" w14:textId="77777777" w:rsidR="00F037DB" w:rsidRPr="00B604B6" w:rsidRDefault="00F037DB" w:rsidP="00F037DB">
      <w:pPr>
        <w:pStyle w:val="BodyText"/>
        <w:numPr>
          <w:ilvl w:val="0"/>
          <w:numId w:val="18"/>
        </w:numPr>
        <w:rPr>
          <w:rFonts w:cstheme="minorHAnsi"/>
          <w:b/>
          <w:bCs/>
        </w:rPr>
      </w:pPr>
      <w:r w:rsidRPr="00B604B6">
        <w:rPr>
          <w:rFonts w:cstheme="minorHAnsi"/>
          <w:b/>
          <w:bCs/>
        </w:rPr>
        <w:t>How can States better advance human rights-compatible regulation and policies concerning investors and financial institutions generally in a manner that fulfils their international legal obligation to protect human rights?</w:t>
      </w:r>
    </w:p>
    <w:p w14:paraId="4D5C3E9A" w14:textId="1730DB20" w:rsidR="00174141" w:rsidRPr="00B604B6" w:rsidRDefault="00433372" w:rsidP="00BF040A">
      <w:pPr>
        <w:pStyle w:val="BodyText"/>
        <w:numPr>
          <w:ilvl w:val="0"/>
          <w:numId w:val="28"/>
        </w:numPr>
        <w:rPr>
          <w:rFonts w:cstheme="minorHAnsi"/>
        </w:rPr>
      </w:pPr>
      <w:r w:rsidRPr="6D99CE60">
        <w:t>As recognised by the UN Working Group in relation to the EU Corporate Sustainability Due Diligence Directive</w:t>
      </w:r>
      <w:r w:rsidR="00ED73CC" w:rsidRPr="6D99CE60">
        <w:rPr>
          <w:rStyle w:val="FootnoteReference"/>
        </w:rPr>
        <w:footnoteReference w:id="29"/>
      </w:r>
      <w:r w:rsidRPr="6D99CE60">
        <w:t xml:space="preserve">, states must implement </w:t>
      </w:r>
      <w:r w:rsidR="00ED73CC" w:rsidRPr="6D99CE60">
        <w:t xml:space="preserve">mandatory human rights </w:t>
      </w:r>
      <w:r w:rsidR="00B5704E">
        <w:t xml:space="preserve">and environmental </w:t>
      </w:r>
      <w:r w:rsidR="00ED73CC" w:rsidRPr="6D99CE60">
        <w:t>due diligence legislation with full inclusion of the financial sector so as to support, rather than undercut, compliance with the UN Guiding Principles and OECD Guidelines.</w:t>
      </w:r>
    </w:p>
    <w:p w14:paraId="0DC0C554" w14:textId="1DDB5EEA" w:rsidR="00B804A5" w:rsidRPr="009569BF" w:rsidRDefault="009033B3" w:rsidP="6F390167">
      <w:pPr>
        <w:pStyle w:val="BodyText"/>
        <w:numPr>
          <w:ilvl w:val="0"/>
          <w:numId w:val="28"/>
        </w:numPr>
        <w:rPr>
          <w:i/>
          <w:iCs/>
        </w:rPr>
      </w:pPr>
      <w:r>
        <w:t xml:space="preserve">Investors (i.e. financial institutions) of all types should be required to adopt </w:t>
      </w:r>
      <w:r w:rsidR="3EEA7A9E">
        <w:t xml:space="preserve">and implement </w:t>
      </w:r>
      <w:r>
        <w:t xml:space="preserve">transition plans which are aligned with the goals of the Paris Agreement and the latest climate science </w:t>
      </w:r>
      <w:r w:rsidR="00A912D5">
        <w:t xml:space="preserve">to ensure that they address and do not exacerbate their contribution to climate-related human rights issues through investment activity. </w:t>
      </w:r>
      <w:r w:rsidR="00E26FC9">
        <w:t xml:space="preserve">The regulatory framework should </w:t>
      </w:r>
      <w:r w:rsidR="00754371">
        <w:t xml:space="preserve">ensure alignment with credible pathways to net zero by 2050, include strong accountability measures, and facilitate assurance of transition plan disclosures to help uphold the rigour of plans developed and disclosed by institutions. </w:t>
      </w:r>
      <w:r w:rsidR="084453BE">
        <w:t xml:space="preserve">Transition plan requirements should be explicitly rooted in the responsibility to respect human rights, in order to </w:t>
      </w:r>
      <w:r w:rsidR="00030197">
        <w:t>link them with the</w:t>
      </w:r>
      <w:r w:rsidR="084453BE">
        <w:t xml:space="preserve"> tried and tested methods and guardrails in the UN</w:t>
      </w:r>
      <w:r w:rsidR="00030197">
        <w:t xml:space="preserve"> </w:t>
      </w:r>
      <w:r w:rsidR="084453BE">
        <w:t>G</w:t>
      </w:r>
      <w:r w:rsidR="00030197">
        <w:t xml:space="preserve">uiding </w:t>
      </w:r>
      <w:r w:rsidR="084453BE">
        <w:t>P</w:t>
      </w:r>
      <w:r w:rsidR="00030197">
        <w:t>rinciples</w:t>
      </w:r>
      <w:r w:rsidR="084453BE">
        <w:t xml:space="preserve">. </w:t>
      </w:r>
      <w:r w:rsidR="00754371">
        <w:t xml:space="preserve">See further our response to </w:t>
      </w:r>
      <w:r w:rsidR="00754371" w:rsidRPr="6F390167">
        <w:rPr>
          <w:i/>
          <w:iCs/>
        </w:rPr>
        <w:t>Corporate responsibility: Q3.</w:t>
      </w:r>
    </w:p>
    <w:p w14:paraId="3162B978" w14:textId="5D9D6453" w:rsidR="006167CC" w:rsidRPr="00B604B6" w:rsidRDefault="006167CC" w:rsidP="00BF040A">
      <w:pPr>
        <w:pStyle w:val="BodyText"/>
        <w:numPr>
          <w:ilvl w:val="0"/>
          <w:numId w:val="28"/>
        </w:numPr>
        <w:rPr>
          <w:rFonts w:cstheme="minorHAnsi"/>
        </w:rPr>
      </w:pPr>
      <w:r w:rsidRPr="00B604B6">
        <w:rPr>
          <w:rFonts w:cstheme="minorHAnsi"/>
        </w:rPr>
        <w:t xml:space="preserve">States should develop the legislative framework for domestic listing authorities and stock exchanges to impose checks and controls in relation to adverse human rights and environmental impacts </w:t>
      </w:r>
      <w:r w:rsidR="00DD5C45">
        <w:rPr>
          <w:rFonts w:cstheme="minorHAnsi"/>
        </w:rPr>
        <w:t>(and associated disclosure requirements)</w:t>
      </w:r>
      <w:r w:rsidRPr="00B604B6">
        <w:rPr>
          <w:rFonts w:cstheme="minorHAnsi"/>
        </w:rPr>
        <w:t xml:space="preserve"> at the point companies apply for access to domestic capital markets.</w:t>
      </w:r>
      <w:r w:rsidR="00BA3C12" w:rsidRPr="00B604B6">
        <w:rPr>
          <w:rFonts w:cstheme="minorHAnsi"/>
        </w:rPr>
        <w:t xml:space="preserve"> See further our response to </w:t>
      </w:r>
      <w:r w:rsidR="00BA3C12" w:rsidRPr="00B604B6">
        <w:rPr>
          <w:rFonts w:cstheme="minorHAnsi"/>
          <w:i/>
          <w:iCs/>
        </w:rPr>
        <w:t>Corporate responsibility: Q13</w:t>
      </w:r>
      <w:r w:rsidR="00BA3C12" w:rsidRPr="00B604B6">
        <w:rPr>
          <w:rFonts w:cstheme="minorHAnsi"/>
        </w:rPr>
        <w:t>.</w:t>
      </w:r>
    </w:p>
    <w:p w14:paraId="49741C90" w14:textId="67235FB8" w:rsidR="00DB7495" w:rsidRPr="00B604B6" w:rsidRDefault="00DB7495" w:rsidP="00BF040A">
      <w:pPr>
        <w:pStyle w:val="BodyText"/>
        <w:numPr>
          <w:ilvl w:val="0"/>
          <w:numId w:val="28"/>
        </w:numPr>
        <w:rPr>
          <w:rFonts w:cstheme="minorHAnsi"/>
        </w:rPr>
      </w:pPr>
      <w:r w:rsidRPr="00B604B6">
        <w:rPr>
          <w:rFonts w:cstheme="minorHAnsi"/>
        </w:rPr>
        <w:t xml:space="preserve">See also our response to </w:t>
      </w:r>
      <w:r w:rsidRPr="00B604B6">
        <w:rPr>
          <w:rFonts w:cstheme="minorHAnsi"/>
          <w:i/>
          <w:iCs/>
        </w:rPr>
        <w:t>State Duty: Q3</w:t>
      </w:r>
      <w:r w:rsidR="00921DEB" w:rsidRPr="00B604B6">
        <w:rPr>
          <w:rFonts w:cstheme="minorHAnsi"/>
        </w:rPr>
        <w:t xml:space="preserve"> in relation to effective labelling and anti-greenwashing rules.</w:t>
      </w:r>
    </w:p>
    <w:p w14:paraId="5B71CFB5" w14:textId="651F4E8C" w:rsidR="00170897" w:rsidRPr="00EA100D" w:rsidRDefault="00310D5F" w:rsidP="00BF040A">
      <w:pPr>
        <w:pStyle w:val="BodyText"/>
        <w:numPr>
          <w:ilvl w:val="0"/>
          <w:numId w:val="28"/>
        </w:numPr>
        <w:rPr>
          <w:rFonts w:cstheme="minorHAnsi"/>
        </w:rPr>
      </w:pPr>
      <w:r w:rsidRPr="00EA100D">
        <w:rPr>
          <w:rFonts w:cstheme="minorHAnsi"/>
        </w:rPr>
        <w:t>Please see further</w:t>
      </w:r>
      <w:r w:rsidR="00B743DB">
        <w:rPr>
          <w:rFonts w:cstheme="minorHAnsi"/>
        </w:rPr>
        <w:t>:</w:t>
      </w:r>
    </w:p>
    <w:p w14:paraId="452BF5C8" w14:textId="2400A30A" w:rsidR="00137DE9" w:rsidRPr="00EA100D" w:rsidRDefault="00310D5F" w:rsidP="00170897">
      <w:pPr>
        <w:pStyle w:val="BodyText"/>
        <w:numPr>
          <w:ilvl w:val="1"/>
          <w:numId w:val="28"/>
        </w:numPr>
        <w:rPr>
          <w:rFonts w:cstheme="minorHAnsi"/>
        </w:rPr>
      </w:pPr>
      <w:r w:rsidRPr="6D99CE60">
        <w:t xml:space="preserve">ClientEarth’s </w:t>
      </w:r>
      <w:r w:rsidR="00170897" w:rsidRPr="6D99CE60">
        <w:t>submission</w:t>
      </w:r>
      <w:r w:rsidR="00FB058D" w:rsidRPr="6D99CE60">
        <w:rPr>
          <w:rStyle w:val="FootnoteReference"/>
        </w:rPr>
        <w:footnoteReference w:id="30"/>
      </w:r>
      <w:r w:rsidR="00170897" w:rsidRPr="6D99CE60">
        <w:t xml:space="preserve"> to the UK Government’s call for evidence in relation to the 2022/23 update to its green finance strategy</w:t>
      </w:r>
      <w:r w:rsidR="007837E1" w:rsidRPr="6D99CE60">
        <w:t xml:space="preserve"> for further suggestions of supporting policies and </w:t>
      </w:r>
      <w:r w:rsidR="00232F30" w:rsidRPr="6D99CE60">
        <w:t xml:space="preserve">regulations, albeit in the UK context and with a particular focus on </w:t>
      </w:r>
      <w:r w:rsidR="00EA100D" w:rsidRPr="6D99CE60">
        <w:t>climate change.</w:t>
      </w:r>
    </w:p>
    <w:p w14:paraId="3EFFD9B7" w14:textId="79F3B1AE" w:rsidR="009846B8" w:rsidRPr="00136F74" w:rsidRDefault="009846B8" w:rsidP="00170897">
      <w:pPr>
        <w:pStyle w:val="BodyText"/>
        <w:numPr>
          <w:ilvl w:val="1"/>
          <w:numId w:val="28"/>
        </w:numPr>
        <w:rPr>
          <w:rFonts w:cstheme="minorHAnsi"/>
        </w:rPr>
      </w:pPr>
      <w:r w:rsidRPr="6D99CE60">
        <w:t xml:space="preserve">ClientEarth’s </w:t>
      </w:r>
      <w:r w:rsidR="005F3099" w:rsidRPr="6D99CE60">
        <w:t xml:space="preserve">UK general election 2024 manifesto </w:t>
      </w:r>
      <w:r w:rsidR="00541009" w:rsidRPr="6D99CE60">
        <w:t>proposals</w:t>
      </w:r>
      <w:r w:rsidR="00BB0F27" w:rsidRPr="6D99CE60">
        <w:rPr>
          <w:rStyle w:val="FootnoteReference"/>
        </w:rPr>
        <w:footnoteReference w:id="31"/>
      </w:r>
      <w:r w:rsidR="00541009" w:rsidRPr="6D99CE60">
        <w:t xml:space="preserve"> </w:t>
      </w:r>
      <w:r w:rsidR="000D5D48" w:rsidRPr="6D99CE60">
        <w:t xml:space="preserve">for additional commentary regarding the need for mandatory science-aligned transition plans, and </w:t>
      </w:r>
      <w:r w:rsidR="00030696" w:rsidRPr="6D99CE60">
        <w:t>human rights and environmental due diligence laws in the UK.</w:t>
      </w:r>
    </w:p>
    <w:p w14:paraId="67F08DB8" w14:textId="77777777" w:rsidR="00F037DB" w:rsidRPr="00B604B6" w:rsidRDefault="00F037DB" w:rsidP="00D435C4">
      <w:pPr>
        <w:pStyle w:val="BodyText"/>
        <w:keepNext/>
        <w:rPr>
          <w:rFonts w:cstheme="minorHAnsi"/>
        </w:rPr>
      </w:pPr>
      <w:r w:rsidRPr="00B604B6">
        <w:rPr>
          <w:rFonts w:cstheme="minorHAnsi"/>
          <w:b/>
          <w:bCs/>
        </w:rPr>
        <w:lastRenderedPageBreak/>
        <w:t>Corporate responsibility to respect human rights</w:t>
      </w:r>
    </w:p>
    <w:p w14:paraId="1279AA08" w14:textId="77777777" w:rsidR="00F037DB" w:rsidRPr="00B604B6" w:rsidRDefault="00F037DB" w:rsidP="00F037DB">
      <w:pPr>
        <w:pStyle w:val="BodyText"/>
        <w:numPr>
          <w:ilvl w:val="0"/>
          <w:numId w:val="19"/>
        </w:numPr>
        <w:rPr>
          <w:rFonts w:cstheme="minorHAnsi"/>
          <w:color w:val="FF0000"/>
        </w:rPr>
      </w:pPr>
      <w:r w:rsidRPr="00B604B6">
        <w:rPr>
          <w:rFonts w:cstheme="minorHAnsi"/>
          <w:color w:val="FF0000"/>
        </w:rPr>
        <w:t>To what extent are investors aware of their responsibility to respect human rights? Are some types of investors more likely than others to align their practices with the UNGPs? Does it depend on the type of investor?</w:t>
      </w:r>
    </w:p>
    <w:p w14:paraId="607CB4BE" w14:textId="77777777" w:rsidR="00F037DB" w:rsidRPr="00B604B6" w:rsidRDefault="00F037DB" w:rsidP="00F037DB">
      <w:pPr>
        <w:pStyle w:val="BodyText"/>
        <w:numPr>
          <w:ilvl w:val="0"/>
          <w:numId w:val="19"/>
        </w:numPr>
        <w:rPr>
          <w:rFonts w:cstheme="minorHAnsi"/>
          <w:color w:val="FF0000"/>
        </w:rPr>
      </w:pPr>
      <w:r w:rsidRPr="00B604B6">
        <w:rPr>
          <w:rFonts w:cstheme="minorHAnsi"/>
          <w:color w:val="FF0000"/>
        </w:rPr>
        <w:t>How effective are international instruments, institutions and guidance that promotes HRDD, such as by the UN Global Compact, Equator Principles, Principles of Responsible Investment, Investor Alliance for Human Rights, Business for Social Responsibility and other entities, effective in increasing awareness of human rights impacts among investors and other businesses? Please provide examples of participation, integration, or adherence of investors in these instruments and bodies.</w:t>
      </w:r>
    </w:p>
    <w:p w14:paraId="2B2ED3F0" w14:textId="7B5164B5" w:rsidR="00F037DB" w:rsidRPr="0023075E" w:rsidRDefault="00F037DB" w:rsidP="00F037DB">
      <w:pPr>
        <w:pStyle w:val="BodyText"/>
        <w:numPr>
          <w:ilvl w:val="0"/>
          <w:numId w:val="19"/>
        </w:numPr>
        <w:rPr>
          <w:b/>
          <w:bCs/>
        </w:rPr>
      </w:pPr>
      <w:r w:rsidRPr="6D99CE60">
        <w:rPr>
          <w:b/>
          <w:bCs/>
        </w:rPr>
        <w:t>How should investors integrate human rights considerations throughout the investment process, including when constructing, underwriting, and/or investing in an ESG product or service? How do these steps vary for different asset classes?</w:t>
      </w:r>
    </w:p>
    <w:p w14:paraId="1CDD9288" w14:textId="730892C7" w:rsidR="00944038" w:rsidRPr="000478D1" w:rsidRDefault="000478D1" w:rsidP="00AD786D">
      <w:pPr>
        <w:pStyle w:val="BodyText"/>
        <w:ind w:left="720"/>
        <w:rPr>
          <w:rFonts w:cstheme="minorHAnsi"/>
        </w:rPr>
      </w:pPr>
      <w:r>
        <w:rPr>
          <w:rFonts w:cstheme="minorHAnsi"/>
        </w:rPr>
        <w:t xml:space="preserve">As noted in our response to </w:t>
      </w:r>
      <w:r>
        <w:rPr>
          <w:rFonts w:cstheme="minorHAnsi"/>
          <w:i/>
          <w:iCs/>
        </w:rPr>
        <w:t>General: Q1</w:t>
      </w:r>
      <w:r>
        <w:rPr>
          <w:rFonts w:cstheme="minorHAnsi"/>
        </w:rPr>
        <w:t xml:space="preserve">, </w:t>
      </w:r>
      <w:r w:rsidR="0090527C" w:rsidRPr="0090527C">
        <w:rPr>
          <w:rFonts w:cstheme="minorHAnsi"/>
          <w:u w:val="single"/>
        </w:rPr>
        <w:t>all</w:t>
      </w:r>
      <w:r w:rsidR="0090527C" w:rsidRPr="0090527C">
        <w:rPr>
          <w:rFonts w:cstheme="minorHAnsi"/>
        </w:rPr>
        <w:t xml:space="preserve"> financial institutions should integrate respect for human rights and planetary boundaries into their policies, due diligence procedures, pre-investment and investment processes, and investment stewardship</w:t>
      </w:r>
      <w:r w:rsidR="0090527C">
        <w:rPr>
          <w:rFonts w:cstheme="minorHAnsi"/>
        </w:rPr>
        <w:t>.</w:t>
      </w:r>
      <w:r w:rsidR="00AD786D">
        <w:rPr>
          <w:rFonts w:cstheme="minorHAnsi"/>
        </w:rPr>
        <w:t xml:space="preserve"> </w:t>
      </w:r>
      <w:r w:rsidR="00944038">
        <w:rPr>
          <w:rFonts w:cstheme="minorHAnsi"/>
        </w:rPr>
        <w:t xml:space="preserve">Although this question is focused on “ESG </w:t>
      </w:r>
      <w:r w:rsidR="00AD786D">
        <w:rPr>
          <w:rFonts w:cstheme="minorHAnsi"/>
        </w:rPr>
        <w:t>products</w:t>
      </w:r>
      <w:r w:rsidR="00944038">
        <w:rPr>
          <w:rFonts w:cstheme="minorHAnsi"/>
        </w:rPr>
        <w:t>”, it is important to note at the outset that this</w:t>
      </w:r>
      <w:r w:rsidR="00291C76">
        <w:rPr>
          <w:rFonts w:cstheme="minorHAnsi"/>
        </w:rPr>
        <w:t xml:space="preserve"> fundamental</w:t>
      </w:r>
      <w:r w:rsidR="00944038">
        <w:rPr>
          <w:rFonts w:cstheme="minorHAnsi"/>
        </w:rPr>
        <w:t xml:space="preserve"> responsibility applies to </w:t>
      </w:r>
      <w:r w:rsidR="00944038" w:rsidRPr="006B3738">
        <w:rPr>
          <w:rFonts w:cstheme="minorHAnsi"/>
          <w:u w:val="single"/>
        </w:rPr>
        <w:t>all</w:t>
      </w:r>
      <w:r w:rsidR="00944038">
        <w:rPr>
          <w:rFonts w:cstheme="minorHAnsi"/>
        </w:rPr>
        <w:t xml:space="preserve"> financial institutions</w:t>
      </w:r>
      <w:r w:rsidR="00AD786D">
        <w:rPr>
          <w:rFonts w:cstheme="minorHAnsi"/>
        </w:rPr>
        <w:t xml:space="preserve"> and products</w:t>
      </w:r>
      <w:r w:rsidR="00944038">
        <w:rPr>
          <w:rFonts w:cstheme="minorHAnsi"/>
        </w:rPr>
        <w:t xml:space="preserve"> regardless of whether they</w:t>
      </w:r>
      <w:r w:rsidR="00AD786D">
        <w:rPr>
          <w:rFonts w:cstheme="minorHAnsi"/>
        </w:rPr>
        <w:t xml:space="preserve"> </w:t>
      </w:r>
      <w:r w:rsidR="00944038">
        <w:rPr>
          <w:rFonts w:cstheme="minorHAnsi"/>
        </w:rPr>
        <w:t>are labelled as “ESG”, “sustainable” or similar.</w:t>
      </w:r>
    </w:p>
    <w:p w14:paraId="05F11F04" w14:textId="3A0063DA" w:rsidR="00D23579" w:rsidRPr="0023075E" w:rsidRDefault="00D23579" w:rsidP="004A566E">
      <w:pPr>
        <w:pStyle w:val="BodyText"/>
        <w:ind w:left="720"/>
        <w:rPr>
          <w:rFonts w:cstheme="minorHAnsi"/>
        </w:rPr>
      </w:pPr>
      <w:r w:rsidRPr="0023075E">
        <w:rPr>
          <w:rFonts w:cstheme="minorHAnsi"/>
        </w:rPr>
        <w:t>We refer generally to the detailed discussion in A/HRC/47/39/Add.1 and the guidance provided in the OECD’s Responsible business conduct for institutional investors (2017) guidance</w:t>
      </w:r>
      <w:r w:rsidR="003C329D" w:rsidRPr="0023075E">
        <w:rPr>
          <w:rFonts w:cstheme="minorHAnsi"/>
        </w:rPr>
        <w:t xml:space="preserve"> on this topic</w:t>
      </w:r>
      <w:r w:rsidR="0056189B" w:rsidRPr="0023075E">
        <w:rPr>
          <w:rFonts w:cstheme="minorHAnsi"/>
        </w:rPr>
        <w:t xml:space="preserve">, and note </w:t>
      </w:r>
      <w:r w:rsidR="0023075E" w:rsidRPr="0023075E">
        <w:rPr>
          <w:rFonts w:cstheme="minorHAnsi"/>
        </w:rPr>
        <w:t>that a wealth of guidance on this topic exists, including in relation specifically to climate change.</w:t>
      </w:r>
    </w:p>
    <w:p w14:paraId="77C9E34D" w14:textId="5C7EAB3C" w:rsidR="0053046D" w:rsidRDefault="00170EB4">
      <w:pPr>
        <w:pStyle w:val="BodyText"/>
        <w:ind w:left="720"/>
      </w:pPr>
      <w:r>
        <w:t>That said, w</w:t>
      </w:r>
      <w:r w:rsidR="00175740" w:rsidRPr="6D99CE60">
        <w:t>e wish to emphasise</w:t>
      </w:r>
      <w:r w:rsidR="00F27546">
        <w:t xml:space="preserve"> the specific point</w:t>
      </w:r>
      <w:r w:rsidR="00175740">
        <w:t xml:space="preserve"> in relation to climate change related human rights impacts that investors (i.e. financial institutions) of all types should be required to adopt </w:t>
      </w:r>
      <w:r w:rsidR="6D5ACAC8">
        <w:t xml:space="preserve">and implement </w:t>
      </w:r>
      <w:r w:rsidR="000C4CC0">
        <w:t xml:space="preserve">transition plans which are aligned with the goals of the Paris Agreement and the latest climate </w:t>
      </w:r>
      <w:r w:rsidR="000924DB">
        <w:t>science. Their transition plans should comprehensively address the institution’s investment activity based on theories of change for each asset class that are credible and explained in disclosure</w:t>
      </w:r>
      <w:r w:rsidR="007F53DD">
        <w:t>,</w:t>
      </w:r>
      <w:r w:rsidR="00E5278B">
        <w:t xml:space="preserve"> they must be time bound with interim milestones, progress must be reported and investors must be accountable </w:t>
      </w:r>
      <w:r w:rsidR="004A7483">
        <w:t>for the alignment of their plan</w:t>
      </w:r>
      <w:r w:rsidR="00E93BB1">
        <w:t>, its credibility (on paper) and its implementation</w:t>
      </w:r>
      <w:r w:rsidR="2410752C">
        <w:t xml:space="preserve"> – </w:t>
      </w:r>
      <w:r w:rsidR="1D0033FF">
        <w:t xml:space="preserve">essentially </w:t>
      </w:r>
      <w:r w:rsidR="2FFD09FB">
        <w:t xml:space="preserve">steps </w:t>
      </w:r>
      <w:r w:rsidR="2410752C">
        <w:t>in line with</w:t>
      </w:r>
      <w:r w:rsidR="171DCFBD">
        <w:t xml:space="preserve"> the tracking</w:t>
      </w:r>
      <w:r w:rsidR="3A54299F">
        <w:t xml:space="preserve"> steps in</w:t>
      </w:r>
      <w:r w:rsidR="2410752C">
        <w:t xml:space="preserve"> </w:t>
      </w:r>
      <w:r w:rsidR="141FC876">
        <w:t>UN</w:t>
      </w:r>
      <w:r w:rsidR="00085618">
        <w:t xml:space="preserve"> </w:t>
      </w:r>
      <w:r w:rsidR="141FC876">
        <w:t>G</w:t>
      </w:r>
      <w:r w:rsidR="00085618">
        <w:t xml:space="preserve">uiding </w:t>
      </w:r>
      <w:r w:rsidR="141FC876">
        <w:t>P</w:t>
      </w:r>
      <w:r w:rsidR="00085618">
        <w:t>rinciple</w:t>
      </w:r>
      <w:r w:rsidR="379E5044">
        <w:t xml:space="preserve"> 20</w:t>
      </w:r>
      <w:r w:rsidR="00E93BB1">
        <w:t>.</w:t>
      </w:r>
      <w:r w:rsidR="0053046D">
        <w:t xml:space="preserve"> </w:t>
      </w:r>
      <w:r w:rsidR="00DC6F1F">
        <w:t xml:space="preserve">Among other things, a credible plan should </w:t>
      </w:r>
      <w:r w:rsidR="00466542">
        <w:t>include a policy not to fund</w:t>
      </w:r>
      <w:r w:rsidR="50C8D7B7">
        <w:t xml:space="preserve"> or service</w:t>
      </w:r>
      <w:r w:rsidR="00466542">
        <w:t xml:space="preserve"> fossil fuel expansion </w:t>
      </w:r>
      <w:r w:rsidR="007F1305">
        <w:t>known to be inconsistent with Paris Agreement goals (at the project or corporate level)</w:t>
      </w:r>
      <w:r w:rsidR="0569F321">
        <w:t>, in line with the</w:t>
      </w:r>
      <w:r w:rsidR="00164157">
        <w:t xml:space="preserve"> recommendations of the </w:t>
      </w:r>
      <w:r w:rsidR="0569F321">
        <w:t>UN</w:t>
      </w:r>
      <w:r w:rsidR="00164157">
        <w:t xml:space="preserve"> </w:t>
      </w:r>
      <w:r w:rsidR="0569F321">
        <w:t>HLEG</w:t>
      </w:r>
      <w:r w:rsidR="00164157">
        <w:t>.</w:t>
      </w:r>
    </w:p>
    <w:p w14:paraId="473E12D8" w14:textId="29E4E0D3" w:rsidR="004A566E" w:rsidRPr="0023075E" w:rsidRDefault="0053046D" w:rsidP="004A566E">
      <w:pPr>
        <w:pStyle w:val="BodyText"/>
        <w:ind w:left="720"/>
      </w:pPr>
      <w:r w:rsidRPr="6D99CE60">
        <w:t xml:space="preserve">There is a high risk that any ESG or sustainability claims by an investor without such a plan in place are misleading in that they distract from and obscure the contribution of the investor to climate-related harms, while giving the impression of sustainability. See further our response to </w:t>
      </w:r>
      <w:r w:rsidRPr="6D99CE60">
        <w:rPr>
          <w:i/>
          <w:iCs/>
        </w:rPr>
        <w:t>General: Q1</w:t>
      </w:r>
      <w:r w:rsidRPr="6D99CE60">
        <w:t>.</w:t>
      </w:r>
    </w:p>
    <w:p w14:paraId="3E855BC7" w14:textId="0A68BD63" w:rsidR="00F037DB" w:rsidRPr="00B604B6" w:rsidRDefault="00F037DB" w:rsidP="00F037DB">
      <w:pPr>
        <w:pStyle w:val="BodyText"/>
        <w:numPr>
          <w:ilvl w:val="0"/>
          <w:numId w:val="19"/>
        </w:numPr>
        <w:rPr>
          <w:rFonts w:cstheme="minorHAnsi"/>
          <w:color w:val="FF0000"/>
        </w:rPr>
      </w:pPr>
      <w:r w:rsidRPr="00B604B6">
        <w:rPr>
          <w:rFonts w:cstheme="minorHAnsi"/>
          <w:color w:val="FF0000"/>
        </w:rPr>
        <w:t>To what extent do investors assess human rights risks and adverse impacts using a risk to right-holders lens as being separate from ESG materiality considerations or as part of a double materiality assessment? Are these integrated into an ESG approach and, if so, how? Please provide examples of practices.</w:t>
      </w:r>
    </w:p>
    <w:p w14:paraId="1D1EC6F9" w14:textId="77777777" w:rsidR="00F037DB" w:rsidRPr="00B604B6" w:rsidRDefault="00F037DB" w:rsidP="00F037DB">
      <w:pPr>
        <w:pStyle w:val="BodyText"/>
        <w:numPr>
          <w:ilvl w:val="0"/>
          <w:numId w:val="19"/>
        </w:numPr>
        <w:rPr>
          <w:rFonts w:cstheme="minorHAnsi"/>
          <w:b/>
          <w:bCs/>
        </w:rPr>
      </w:pPr>
      <w:r w:rsidRPr="00B604B6">
        <w:rPr>
          <w:rFonts w:cstheme="minorHAnsi"/>
          <w:b/>
          <w:bCs/>
        </w:rPr>
        <w:lastRenderedPageBreak/>
        <w:t>What does appropriate investor action entail in the event that a client or portfolio company causes or contributes to a potential or actual adverse human rights impact?</w:t>
      </w:r>
    </w:p>
    <w:p w14:paraId="464CA1E6" w14:textId="10AC8D4A" w:rsidR="00431186" w:rsidRPr="00B604B6" w:rsidRDefault="00431186" w:rsidP="00431186">
      <w:pPr>
        <w:pStyle w:val="BodyText"/>
        <w:ind w:left="720"/>
        <w:rPr>
          <w:rFonts w:cstheme="minorHAnsi"/>
          <w:i/>
        </w:rPr>
      </w:pPr>
      <w:r w:rsidRPr="00B604B6">
        <w:rPr>
          <w:rFonts w:cstheme="minorHAnsi"/>
        </w:rPr>
        <w:t xml:space="preserve">See our response to </w:t>
      </w:r>
      <w:r w:rsidRPr="00B604B6">
        <w:rPr>
          <w:rFonts w:cstheme="minorHAnsi"/>
          <w:i/>
        </w:rPr>
        <w:t>Corporate responsibility: Q6.</w:t>
      </w:r>
    </w:p>
    <w:p w14:paraId="39345E23" w14:textId="278DAC05" w:rsidR="00AA63A3" w:rsidRPr="00037E8E" w:rsidRDefault="00F037DB" w:rsidP="0096491D">
      <w:pPr>
        <w:pStyle w:val="BodyText"/>
        <w:numPr>
          <w:ilvl w:val="0"/>
          <w:numId w:val="19"/>
        </w:numPr>
        <w:rPr>
          <w:rFonts w:cstheme="minorHAnsi"/>
          <w:b/>
          <w:bCs/>
        </w:rPr>
      </w:pPr>
      <w:r w:rsidRPr="00037E8E">
        <w:rPr>
          <w:rFonts w:cstheme="minorHAnsi"/>
          <w:b/>
          <w:bCs/>
        </w:rPr>
        <w:t>What leverage do investors have to address human rights and climate change issues, and how does it differ based on asset classes and investment types? How does investor leverage differ based on asset classes, stocks and bonds, and lending?</w:t>
      </w:r>
    </w:p>
    <w:p w14:paraId="701699A8" w14:textId="2CA5E4B8" w:rsidR="00BA6431" w:rsidRDefault="00B63BAD" w:rsidP="56EA3D98">
      <w:pPr>
        <w:pStyle w:val="BodyText"/>
        <w:ind w:left="720"/>
      </w:pPr>
      <w:r>
        <w:t xml:space="preserve">We note that, </w:t>
      </w:r>
      <w:r w:rsidR="009368CB">
        <w:t>in addition to</w:t>
      </w:r>
      <w:r w:rsidR="00610DC8">
        <w:t xml:space="preserve"> building </w:t>
      </w:r>
      <w:r w:rsidR="00F337DC">
        <w:t>and</w:t>
      </w:r>
      <w:r w:rsidR="009368CB">
        <w:t xml:space="preserve"> using their leverage to influence </w:t>
      </w:r>
      <w:r w:rsidR="00CE6A18">
        <w:t xml:space="preserve">other actors </w:t>
      </w:r>
      <w:r w:rsidR="004D19B5">
        <w:t>to prevent, mitigate and address negative human rights impacts with which they are directly linked</w:t>
      </w:r>
      <w:r w:rsidR="004A084D">
        <w:t>,</w:t>
      </w:r>
      <w:r w:rsidR="004D19B5">
        <w:t xml:space="preserve"> or to which they contribute</w:t>
      </w:r>
      <w:r w:rsidR="004A084D">
        <w:t>,</w:t>
      </w:r>
      <w:r w:rsidR="00896889">
        <w:t xml:space="preserve"> through their investment activities</w:t>
      </w:r>
      <w:r w:rsidR="004D19B5">
        <w:t xml:space="preserve">, </w:t>
      </w:r>
      <w:r w:rsidR="00896889">
        <w:t xml:space="preserve">investors may be required to play a direct role in remediating negative human rights impacts </w:t>
      </w:r>
      <w:r w:rsidR="00AC43F1">
        <w:t>to which they contribute, or which they cause.</w:t>
      </w:r>
      <w:r w:rsidR="00934AE4">
        <w:rPr>
          <w:rStyle w:val="FootnoteReference"/>
        </w:rPr>
        <w:footnoteReference w:id="32"/>
      </w:r>
      <w:r w:rsidR="006D54AC">
        <w:t xml:space="preserve"> It is, therefore, important that, in addition to using the types of leverage outlined below, investors develop and maintain processes for remediation.</w:t>
      </w:r>
      <w:r w:rsidR="00CF2319">
        <w:rPr>
          <w:rStyle w:val="FootnoteReference"/>
        </w:rPr>
        <w:footnoteReference w:id="33"/>
      </w:r>
      <w:r w:rsidR="006D54AC">
        <w:t xml:space="preserve"> </w:t>
      </w:r>
    </w:p>
    <w:p w14:paraId="0763B6D5" w14:textId="5CB5E4BF" w:rsidR="00C34A57" w:rsidRDefault="00097377" w:rsidP="56EA3D98">
      <w:pPr>
        <w:pStyle w:val="BodyText"/>
        <w:ind w:left="720"/>
      </w:pPr>
      <w:r>
        <w:t>Notably, there is known to be a continuum between contribution and linkage</w:t>
      </w:r>
      <w:r w:rsidR="00CF17FA">
        <w:t>. An investor’s place on that continuum may depend on the extent to which they have</w:t>
      </w:r>
      <w:r w:rsidR="00D45201">
        <w:t xml:space="preserve"> enabled, encouraged, or motivated human rights harm by a borrower, investee or client, the extent to which they could or should have known about such harm; and the quality of any mitigating steps the investor has taken to address the harm. Failing to deploy leverage </w:t>
      </w:r>
      <w:r w:rsidR="00087A62">
        <w:t>could therefore cause an investor to move from being linked to a harm to contributing to it.</w:t>
      </w:r>
      <w:r w:rsidR="00087A62">
        <w:rPr>
          <w:rStyle w:val="FootnoteReference"/>
        </w:rPr>
        <w:footnoteReference w:id="34"/>
      </w:r>
    </w:p>
    <w:p w14:paraId="1555D3B0" w14:textId="0175C2DB" w:rsidR="00724275" w:rsidRDefault="007D3DBE" w:rsidP="56EA3D98">
      <w:pPr>
        <w:pStyle w:val="BodyText"/>
        <w:ind w:left="720"/>
        <w:rPr>
          <w:rFonts w:cstheme="minorHAnsi"/>
        </w:rPr>
      </w:pPr>
      <w:r w:rsidRPr="6D99CE60">
        <w:t>The l</w:t>
      </w:r>
      <w:r w:rsidR="6DD115C0" w:rsidRPr="6D99CE60">
        <w:t xml:space="preserve">everage </w:t>
      </w:r>
      <w:r w:rsidRPr="6D99CE60">
        <w:t xml:space="preserve">available to investors </w:t>
      </w:r>
      <w:r w:rsidR="6DD115C0" w:rsidRPr="6D99CE60">
        <w:t xml:space="preserve">will vary depending on </w:t>
      </w:r>
      <w:r w:rsidRPr="6D99CE60">
        <w:t xml:space="preserve">the </w:t>
      </w:r>
      <w:r w:rsidR="6DD115C0" w:rsidRPr="6D99CE60">
        <w:t xml:space="preserve">type of </w:t>
      </w:r>
      <w:r w:rsidR="6663B566" w:rsidRPr="6D99CE60">
        <w:t>investor</w:t>
      </w:r>
      <w:r w:rsidR="00AB2D6A" w:rsidRPr="6D99CE60">
        <w:t xml:space="preserve">, asset class </w:t>
      </w:r>
      <w:r w:rsidR="6663B566" w:rsidRPr="6D99CE60">
        <w:t>and financial instrument</w:t>
      </w:r>
      <w:r w:rsidRPr="6D99CE60">
        <w:t xml:space="preserve"> concerned</w:t>
      </w:r>
      <w:r w:rsidR="6DD115C0" w:rsidRPr="6D99CE60">
        <w:t xml:space="preserve">. </w:t>
      </w:r>
      <w:r w:rsidR="00724275" w:rsidRPr="6D99CE60">
        <w:t xml:space="preserve">In all cases, </w:t>
      </w:r>
      <w:r w:rsidR="009F28E3" w:rsidRPr="6D99CE60">
        <w:t>as has been recognised by the UN PRI</w:t>
      </w:r>
      <w:r w:rsidR="00076155" w:rsidRPr="6D99CE60">
        <w:rPr>
          <w:rStyle w:val="FootnoteReference"/>
        </w:rPr>
        <w:footnoteReference w:id="35"/>
      </w:r>
      <w:r w:rsidR="00076155" w:rsidRPr="6D99CE60">
        <w:t>,</w:t>
      </w:r>
      <w:r w:rsidR="00724275" w:rsidRPr="6D99CE60">
        <w:t xml:space="preserve"> </w:t>
      </w:r>
      <w:r w:rsidR="00125341" w:rsidRPr="6D99CE60">
        <w:t xml:space="preserve">investors should use the full extent of their leverage to </w:t>
      </w:r>
      <w:r w:rsidR="00FC1FC7" w:rsidRPr="6D99CE60">
        <w:t>comply with their human rights responsibilities where they cause, contribute or are directly linked to adverse human rights impacts.</w:t>
      </w:r>
      <w:r w:rsidR="00C17040" w:rsidRPr="6D99CE60">
        <w:t xml:space="preserve"> This includes using all tools available in relation to capital allocation and investment screening, </w:t>
      </w:r>
      <w:r w:rsidR="00723609" w:rsidRPr="6D99CE60">
        <w:t>forceful and escalatory (where necessary) stewardship</w:t>
      </w:r>
      <w:r w:rsidR="005E367C" w:rsidRPr="6D99CE60">
        <w:t xml:space="preserve">, </w:t>
      </w:r>
      <w:r w:rsidR="00401A1D" w:rsidRPr="6D99CE60">
        <w:t xml:space="preserve">voting and filing resolutions, </w:t>
      </w:r>
      <w:r w:rsidR="002D3103" w:rsidRPr="6D99CE60">
        <w:t>collaborating in multi-stakeholder initiatives</w:t>
      </w:r>
      <w:r w:rsidR="00723609" w:rsidRPr="6D99CE60">
        <w:t xml:space="preserve"> and</w:t>
      </w:r>
      <w:r w:rsidR="00DB2946" w:rsidRPr="6D99CE60">
        <w:t xml:space="preserve"> (ultimately, where building and deploying leverage is impossible or futile, and a </w:t>
      </w:r>
      <w:r w:rsidR="002E2CF8" w:rsidRPr="6D99CE60">
        <w:t>rationale has been identified)</w:t>
      </w:r>
      <w:r w:rsidR="00723609" w:rsidRPr="6D99CE60">
        <w:t xml:space="preserve"> </w:t>
      </w:r>
      <w:r w:rsidR="00DF3765" w:rsidRPr="6D99CE60">
        <w:t xml:space="preserve">responsible </w:t>
      </w:r>
      <w:r w:rsidR="00723609" w:rsidRPr="6D99CE60">
        <w:t>divestment.</w:t>
      </w:r>
      <w:r w:rsidR="00215A19">
        <w:t xml:space="preserve"> It also includes dialogue with policy makers </w:t>
      </w:r>
      <w:r w:rsidR="006F67A6">
        <w:t>to support policy interventions that address human rights harms.</w:t>
      </w:r>
    </w:p>
    <w:p w14:paraId="11EB51B3" w14:textId="6D8DDF62" w:rsidR="6DD115C0" w:rsidRPr="00B604B6" w:rsidRDefault="00F13203" w:rsidP="56EA3D98">
      <w:pPr>
        <w:pStyle w:val="BodyText"/>
        <w:ind w:left="720"/>
        <w:rPr>
          <w:rFonts w:cstheme="minorHAnsi"/>
        </w:rPr>
      </w:pPr>
      <w:r>
        <w:t xml:space="preserve">We have provided </w:t>
      </w:r>
      <w:r w:rsidR="0049522D">
        <w:t xml:space="preserve">some non-exhaustive examples of the </w:t>
      </w:r>
      <w:r w:rsidR="006F67A6">
        <w:t>types of leverage various categories of investor may deploy</w:t>
      </w:r>
      <w:r w:rsidR="006A3FFD">
        <w:t xml:space="preserve"> below</w:t>
      </w:r>
      <w:r w:rsidR="006F67A6">
        <w:t>. Several of the</w:t>
      </w:r>
      <w:r w:rsidR="00E433F0" w:rsidRPr="6D99CE60">
        <w:t xml:space="preserve"> examples </w:t>
      </w:r>
      <w:r w:rsidR="00422F00">
        <w:t xml:space="preserve">of leverage </w:t>
      </w:r>
      <w:r w:rsidR="00BD4B87">
        <w:t>apply</w:t>
      </w:r>
      <w:r w:rsidR="00E433F0" w:rsidRPr="6D99CE60">
        <w:t xml:space="preserve"> </w:t>
      </w:r>
      <w:r w:rsidR="006F67A6">
        <w:t xml:space="preserve">specifically </w:t>
      </w:r>
      <w:r w:rsidR="00E433F0" w:rsidRPr="6D99CE60">
        <w:t>in the context of the adverse human rights impacts associated with climate change</w:t>
      </w:r>
      <w:r w:rsidR="00607DF4" w:rsidRPr="6D99CE60">
        <w:t xml:space="preserve"> (and in this context</w:t>
      </w:r>
      <w:r w:rsidR="007F7D38" w:rsidRPr="6D99CE60">
        <w:t xml:space="preserve"> based on the principle that Paris-alignment is essential to addressing such harms</w:t>
      </w:r>
      <w:r w:rsidR="007F7D38" w:rsidRPr="6D99CE60">
        <w:rPr>
          <w:rStyle w:val="FootnoteReference"/>
        </w:rPr>
        <w:footnoteReference w:id="36"/>
      </w:r>
      <w:r w:rsidR="007F7D38" w:rsidRPr="6D99CE60">
        <w:t>)</w:t>
      </w:r>
      <w:r w:rsidR="00E433F0" w:rsidRPr="6D99CE60">
        <w:t xml:space="preserve">, but </w:t>
      </w:r>
      <w:r w:rsidR="006F67A6">
        <w:t>many</w:t>
      </w:r>
      <w:r w:rsidR="00E433F0" w:rsidRPr="6D99CE60">
        <w:t xml:space="preserve"> apply in relation to other </w:t>
      </w:r>
      <w:r w:rsidR="00BB498F">
        <w:t xml:space="preserve">human rights and environmental </w:t>
      </w:r>
      <w:r w:rsidR="00E433F0" w:rsidRPr="6D99CE60">
        <w:t>harms</w:t>
      </w:r>
      <w:r w:rsidR="6DD115C0" w:rsidRPr="6D99CE60">
        <w:t>:</w:t>
      </w:r>
    </w:p>
    <w:p w14:paraId="5CAE779E" w14:textId="6291A5C5" w:rsidR="6DD115C0" w:rsidRPr="006A3FFD" w:rsidRDefault="6DD115C0" w:rsidP="006A3FFD">
      <w:pPr>
        <w:pStyle w:val="BodyText"/>
        <w:ind w:firstLine="720"/>
        <w:rPr>
          <w:rFonts w:cstheme="minorHAnsi"/>
          <w:b/>
        </w:rPr>
      </w:pPr>
      <w:r w:rsidRPr="006A3FFD">
        <w:rPr>
          <w:rFonts w:cstheme="minorHAnsi"/>
          <w:b/>
        </w:rPr>
        <w:lastRenderedPageBreak/>
        <w:t>Banks:</w:t>
      </w:r>
    </w:p>
    <w:p w14:paraId="13F7A704" w14:textId="76E5DF7C" w:rsidR="00837F82" w:rsidRPr="00B604B6" w:rsidRDefault="6DD115C0" w:rsidP="006A3FFD">
      <w:pPr>
        <w:pStyle w:val="BodyText"/>
        <w:numPr>
          <w:ilvl w:val="1"/>
          <w:numId w:val="24"/>
        </w:numPr>
        <w:rPr>
          <w:rFonts w:cstheme="minorHAnsi"/>
        </w:rPr>
      </w:pPr>
      <w:r w:rsidRPr="00B604B6">
        <w:rPr>
          <w:rFonts w:cstheme="minorHAnsi"/>
        </w:rPr>
        <w:t xml:space="preserve">When providing </w:t>
      </w:r>
      <w:r w:rsidR="00756F53" w:rsidRPr="00B604B6">
        <w:rPr>
          <w:rFonts w:cstheme="minorHAnsi"/>
        </w:rPr>
        <w:t>any service e</w:t>
      </w:r>
      <w:r w:rsidR="00A61C9F" w:rsidRPr="00B604B6">
        <w:rPr>
          <w:rFonts w:cstheme="minorHAnsi"/>
        </w:rPr>
        <w:t>.</w:t>
      </w:r>
      <w:r w:rsidR="00756F53" w:rsidRPr="00B604B6">
        <w:rPr>
          <w:rFonts w:cstheme="minorHAnsi"/>
        </w:rPr>
        <w:t>g</w:t>
      </w:r>
      <w:r w:rsidR="00A61C9F" w:rsidRPr="00B604B6">
        <w:rPr>
          <w:rFonts w:cstheme="minorHAnsi"/>
        </w:rPr>
        <w:t>.</w:t>
      </w:r>
      <w:r w:rsidRPr="00B604B6">
        <w:rPr>
          <w:rFonts w:cstheme="minorHAnsi"/>
        </w:rPr>
        <w:t xml:space="preserve"> </w:t>
      </w:r>
      <w:r w:rsidR="00E37F37" w:rsidRPr="00B604B6">
        <w:rPr>
          <w:rFonts w:cstheme="minorHAnsi"/>
        </w:rPr>
        <w:t xml:space="preserve">advisory, </w:t>
      </w:r>
      <w:r w:rsidRPr="00B604B6">
        <w:rPr>
          <w:rFonts w:cstheme="minorHAnsi"/>
        </w:rPr>
        <w:t>loan</w:t>
      </w:r>
      <w:r w:rsidR="00756F53" w:rsidRPr="00B604B6">
        <w:rPr>
          <w:rFonts w:cstheme="minorHAnsi"/>
        </w:rPr>
        <w:t xml:space="preserve"> financing</w:t>
      </w:r>
      <w:r w:rsidRPr="00B604B6">
        <w:rPr>
          <w:rFonts w:cstheme="minorHAnsi"/>
        </w:rPr>
        <w:t xml:space="preserve"> </w:t>
      </w:r>
      <w:r w:rsidR="51A8E492" w:rsidRPr="00B604B6">
        <w:rPr>
          <w:rFonts w:cstheme="minorHAnsi"/>
        </w:rPr>
        <w:t xml:space="preserve">or </w:t>
      </w:r>
      <w:r w:rsidR="00E37F37" w:rsidRPr="00B604B6">
        <w:rPr>
          <w:rFonts w:cstheme="minorHAnsi"/>
        </w:rPr>
        <w:t>arranging</w:t>
      </w:r>
      <w:r w:rsidR="51A8E492" w:rsidRPr="00B604B6">
        <w:rPr>
          <w:rFonts w:cstheme="minorHAnsi"/>
        </w:rPr>
        <w:t xml:space="preserve"> / underwriting bond or equity issuances</w:t>
      </w:r>
      <w:r w:rsidRPr="00B604B6">
        <w:rPr>
          <w:rFonts w:cstheme="minorHAnsi"/>
        </w:rPr>
        <w:t xml:space="preserve">: </w:t>
      </w:r>
    </w:p>
    <w:p w14:paraId="7A3F686D" w14:textId="075B4A16" w:rsidR="006A3FFD" w:rsidRDefault="6DD115C0" w:rsidP="006A3FFD">
      <w:pPr>
        <w:pStyle w:val="BodyText"/>
        <w:numPr>
          <w:ilvl w:val="0"/>
          <w:numId w:val="25"/>
        </w:numPr>
        <w:ind w:hanging="753"/>
        <w:rPr>
          <w:rFonts w:cstheme="minorHAnsi"/>
        </w:rPr>
      </w:pPr>
      <w:r w:rsidRPr="00B604B6">
        <w:rPr>
          <w:rFonts w:cstheme="minorHAnsi"/>
        </w:rPr>
        <w:t xml:space="preserve">can set sector-specific financing policies that say they will not </w:t>
      </w:r>
      <w:r w:rsidR="7F3DB67E" w:rsidRPr="00B604B6">
        <w:rPr>
          <w:rFonts w:cstheme="minorHAnsi"/>
        </w:rPr>
        <w:t>finance activities that are not Paris-aligned, for example projects and companie</w:t>
      </w:r>
      <w:r w:rsidR="005802D7" w:rsidRPr="00B604B6">
        <w:rPr>
          <w:rFonts w:cstheme="minorHAnsi"/>
        </w:rPr>
        <w:t>s</w:t>
      </w:r>
      <w:r w:rsidR="7F3DB67E" w:rsidRPr="00B604B6">
        <w:rPr>
          <w:rFonts w:cstheme="minorHAnsi"/>
        </w:rPr>
        <w:t xml:space="preserve"> involved in projects for fossil fuel expansion (see </w:t>
      </w:r>
      <w:hyperlink r:id="rId14">
        <w:r w:rsidR="7F3DB67E" w:rsidRPr="00B604B6">
          <w:rPr>
            <w:rStyle w:val="Hyperlink"/>
            <w:rFonts w:cstheme="minorHAnsi"/>
          </w:rPr>
          <w:t>SBTi fossil finance paper</w:t>
        </w:r>
      </w:hyperlink>
      <w:r w:rsidR="7F3DB67E" w:rsidRPr="00B604B6">
        <w:rPr>
          <w:rFonts w:cstheme="minorHAnsi"/>
        </w:rPr>
        <w:t xml:space="preserve"> as an example</w:t>
      </w:r>
      <w:r w:rsidR="00714882">
        <w:rPr>
          <w:rFonts w:cstheme="minorHAnsi"/>
        </w:rPr>
        <w:t xml:space="preserve"> which, among other things, would require investors to “</w:t>
      </w:r>
      <w:r w:rsidR="00634D49" w:rsidRPr="00634D49">
        <w:rPr>
          <w:i/>
          <w:iCs/>
        </w:rPr>
        <w:t>establish a policy to immediately cease new financial support to companies and projects that add to the unabated capacity of fossil fuel assets</w:t>
      </w:r>
      <w:r w:rsidR="00634D49">
        <w:t>”. See Table 1 on p.3</w:t>
      </w:r>
      <w:r w:rsidR="7F3DB67E" w:rsidRPr="00B604B6">
        <w:rPr>
          <w:rFonts w:cstheme="minorHAnsi"/>
        </w:rPr>
        <w:t>)</w:t>
      </w:r>
      <w:r w:rsidR="00255E60" w:rsidRPr="00B604B6">
        <w:rPr>
          <w:rFonts w:cstheme="minorHAnsi"/>
        </w:rPr>
        <w:t>.</w:t>
      </w:r>
      <w:r w:rsidR="005D0FD8">
        <w:rPr>
          <w:rFonts w:cstheme="minorHAnsi"/>
        </w:rPr>
        <w:t xml:space="preserve"> Similar principles would apply to projects and companies known to be misaligned with other planetary boundaries, or which are unable to demonstrate adequate respect for human rights.</w:t>
      </w:r>
    </w:p>
    <w:p w14:paraId="6548DFC5" w14:textId="0F2785A9" w:rsidR="00374960" w:rsidRPr="00B604B6" w:rsidRDefault="6DD115C0" w:rsidP="00837F82">
      <w:pPr>
        <w:pStyle w:val="BodyText"/>
        <w:numPr>
          <w:ilvl w:val="0"/>
          <w:numId w:val="25"/>
        </w:numPr>
        <w:ind w:hanging="753"/>
        <w:rPr>
          <w:rFonts w:cstheme="minorHAnsi"/>
        </w:rPr>
      </w:pPr>
      <w:r w:rsidRPr="00B604B6">
        <w:rPr>
          <w:rFonts w:cstheme="minorHAnsi"/>
        </w:rPr>
        <w:t xml:space="preserve">can include in client risk management </w:t>
      </w:r>
      <w:r w:rsidR="0059453A" w:rsidRPr="00B604B6">
        <w:rPr>
          <w:rFonts w:cstheme="minorHAnsi"/>
        </w:rPr>
        <w:t>/ due diligence</w:t>
      </w:r>
      <w:r w:rsidRPr="00B604B6">
        <w:rPr>
          <w:rFonts w:cstheme="minorHAnsi"/>
        </w:rPr>
        <w:t xml:space="preserve"> processes </w:t>
      </w:r>
      <w:r w:rsidR="3789E84F" w:rsidRPr="00B604B6">
        <w:rPr>
          <w:rFonts w:cstheme="minorHAnsi"/>
        </w:rPr>
        <w:t xml:space="preserve">a requirement </w:t>
      </w:r>
      <w:r w:rsidR="00EA13AB" w:rsidRPr="00B604B6">
        <w:rPr>
          <w:rFonts w:cstheme="minorHAnsi"/>
        </w:rPr>
        <w:t xml:space="preserve">for clients </w:t>
      </w:r>
      <w:r w:rsidR="3789E84F" w:rsidRPr="00B604B6">
        <w:rPr>
          <w:rFonts w:cstheme="minorHAnsi"/>
        </w:rPr>
        <w:t xml:space="preserve">to provide </w:t>
      </w:r>
      <w:r w:rsidR="00626541" w:rsidRPr="00B604B6">
        <w:rPr>
          <w:rFonts w:cstheme="minorHAnsi"/>
        </w:rPr>
        <w:t xml:space="preserve">and then implement </w:t>
      </w:r>
      <w:r w:rsidR="3789E84F" w:rsidRPr="00B604B6">
        <w:rPr>
          <w:rFonts w:cstheme="minorHAnsi"/>
        </w:rPr>
        <w:t>a credible Paris-aligned transition plan</w:t>
      </w:r>
      <w:r w:rsidR="00626541" w:rsidRPr="00B604B6">
        <w:rPr>
          <w:rFonts w:cstheme="minorHAnsi"/>
        </w:rPr>
        <w:t xml:space="preserve">, with the threat of withdrawal of financing or services </w:t>
      </w:r>
      <w:r w:rsidR="00D822F3" w:rsidRPr="00B604B6">
        <w:rPr>
          <w:rFonts w:cstheme="minorHAnsi"/>
        </w:rPr>
        <w:t>from</w:t>
      </w:r>
      <w:r w:rsidR="62700B13" w:rsidRPr="00B604B6">
        <w:rPr>
          <w:rFonts w:cstheme="minorHAnsi"/>
        </w:rPr>
        <w:t xml:space="preserve"> clients</w:t>
      </w:r>
      <w:r w:rsidR="00626541" w:rsidRPr="00B604B6">
        <w:rPr>
          <w:rFonts w:cstheme="minorHAnsi"/>
        </w:rPr>
        <w:t xml:space="preserve"> </w:t>
      </w:r>
      <w:r w:rsidR="00D822F3" w:rsidRPr="00B604B6">
        <w:rPr>
          <w:rFonts w:cstheme="minorHAnsi"/>
        </w:rPr>
        <w:t>that</w:t>
      </w:r>
      <w:r w:rsidR="00626541" w:rsidRPr="00B604B6">
        <w:rPr>
          <w:rFonts w:cstheme="minorHAnsi"/>
        </w:rPr>
        <w:t xml:space="preserve"> fail to provide or implement such a plan. </w:t>
      </w:r>
    </w:p>
    <w:p w14:paraId="52E19B2D" w14:textId="4B430114" w:rsidR="006B38AE" w:rsidRPr="00B604B6" w:rsidRDefault="00E73494" w:rsidP="006A3FFD">
      <w:pPr>
        <w:pStyle w:val="BodyText"/>
        <w:numPr>
          <w:ilvl w:val="1"/>
          <w:numId w:val="24"/>
        </w:numPr>
        <w:rPr>
          <w:rFonts w:cstheme="minorHAnsi"/>
        </w:rPr>
      </w:pPr>
      <w:r w:rsidRPr="00B604B6">
        <w:rPr>
          <w:rFonts w:cstheme="minorHAnsi"/>
        </w:rPr>
        <w:t>When providing loans specifically</w:t>
      </w:r>
      <w:r w:rsidR="009D7219" w:rsidRPr="00B604B6">
        <w:rPr>
          <w:rFonts w:cstheme="minorHAnsi"/>
        </w:rPr>
        <w:t xml:space="preserve">: </w:t>
      </w:r>
    </w:p>
    <w:p w14:paraId="3E34488B" w14:textId="1496ABE7" w:rsidR="00B55964" w:rsidRDefault="00BF6BC6" w:rsidP="008272CE">
      <w:pPr>
        <w:pStyle w:val="BodyText"/>
        <w:numPr>
          <w:ilvl w:val="0"/>
          <w:numId w:val="27"/>
        </w:numPr>
        <w:ind w:hanging="753"/>
        <w:rPr>
          <w:rFonts w:cstheme="minorHAnsi"/>
        </w:rPr>
      </w:pPr>
      <w:r>
        <w:rPr>
          <w:rFonts w:cstheme="minorHAnsi"/>
        </w:rPr>
        <w:t xml:space="preserve">should undertake </w:t>
      </w:r>
      <w:r w:rsidR="004E665C">
        <w:rPr>
          <w:rFonts w:cstheme="minorHAnsi"/>
        </w:rPr>
        <w:t xml:space="preserve">human rights and environmental due diligence, set clear expectations regarding compliance with the UN Guiding Principles, impose appropriate financing conditions and otherwise exert their leverage over borrowers </w:t>
      </w:r>
      <w:r w:rsidR="004E665C" w:rsidRPr="00A00C6F">
        <w:rPr>
          <w:rFonts w:cstheme="minorHAnsi"/>
          <w:u w:val="single"/>
        </w:rPr>
        <w:t>prior</w:t>
      </w:r>
      <w:r w:rsidR="004E665C">
        <w:rPr>
          <w:rFonts w:cstheme="minorHAnsi"/>
        </w:rPr>
        <w:t xml:space="preserve"> to providing financing.</w:t>
      </w:r>
      <w:r w:rsidR="00DC0B35">
        <w:rPr>
          <w:rStyle w:val="FootnoteReference"/>
          <w:rFonts w:cstheme="minorHAnsi"/>
        </w:rPr>
        <w:footnoteReference w:id="37"/>
      </w:r>
      <w:r w:rsidR="008332CC">
        <w:rPr>
          <w:rFonts w:cstheme="minorHAnsi"/>
        </w:rPr>
        <w:t xml:space="preserve"> </w:t>
      </w:r>
    </w:p>
    <w:p w14:paraId="60183DE8" w14:textId="2EB55387" w:rsidR="003766AE" w:rsidRPr="00B604B6" w:rsidRDefault="00B91C6C" w:rsidP="003766AE">
      <w:pPr>
        <w:pStyle w:val="BodyText"/>
        <w:numPr>
          <w:ilvl w:val="0"/>
          <w:numId w:val="27"/>
        </w:numPr>
        <w:ind w:hanging="753"/>
        <w:rPr>
          <w:rFonts w:cstheme="minorHAnsi"/>
        </w:rPr>
      </w:pPr>
      <w:r w:rsidRPr="00B604B6">
        <w:rPr>
          <w:rFonts w:cstheme="minorHAnsi"/>
        </w:rPr>
        <w:t xml:space="preserve">can </w:t>
      </w:r>
      <w:r w:rsidR="008E31FC" w:rsidRPr="00B604B6">
        <w:rPr>
          <w:rFonts w:cstheme="minorHAnsi"/>
        </w:rPr>
        <w:t xml:space="preserve">subject </w:t>
      </w:r>
      <w:r w:rsidR="00722312" w:rsidRPr="00B604B6">
        <w:rPr>
          <w:rFonts w:cstheme="minorHAnsi"/>
        </w:rPr>
        <w:t xml:space="preserve">the terms of financing </w:t>
      </w:r>
      <w:r w:rsidR="002C7FC6" w:rsidRPr="00B604B6">
        <w:rPr>
          <w:rFonts w:cstheme="minorHAnsi"/>
        </w:rPr>
        <w:t xml:space="preserve">to changes depending on whether the </w:t>
      </w:r>
      <w:r w:rsidR="00A00C6F">
        <w:rPr>
          <w:rFonts w:cstheme="minorHAnsi"/>
        </w:rPr>
        <w:t>borrower</w:t>
      </w:r>
      <w:r w:rsidR="002C7FC6" w:rsidRPr="00B604B6">
        <w:rPr>
          <w:rFonts w:cstheme="minorHAnsi"/>
        </w:rPr>
        <w:t xml:space="preserve"> achieves pre-defined climate objectives</w:t>
      </w:r>
      <w:r w:rsidR="00A03498" w:rsidRPr="00B604B6">
        <w:rPr>
          <w:rFonts w:cstheme="minorHAnsi"/>
        </w:rPr>
        <w:t xml:space="preserve"> to incentivise a “whole-of-firm” climate transition</w:t>
      </w:r>
      <w:r w:rsidR="00DF3ABE" w:rsidRPr="00B604B6">
        <w:rPr>
          <w:rFonts w:cstheme="minorHAnsi"/>
        </w:rPr>
        <w:t xml:space="preserve"> to net zero</w:t>
      </w:r>
      <w:r w:rsidR="009D7219" w:rsidRPr="00B604B6">
        <w:rPr>
          <w:rFonts w:cstheme="minorHAnsi"/>
        </w:rPr>
        <w:t>.</w:t>
      </w:r>
      <w:r w:rsidR="002C7FC6" w:rsidRPr="00B604B6">
        <w:rPr>
          <w:rFonts w:cstheme="minorHAnsi"/>
        </w:rPr>
        <w:t xml:space="preserve"> </w:t>
      </w:r>
      <w:r w:rsidR="00DB6899" w:rsidRPr="00B604B6">
        <w:rPr>
          <w:rFonts w:cstheme="minorHAnsi"/>
        </w:rPr>
        <w:t xml:space="preserve">Such loans have generally been labelled as “sustainability-linked” to date (see </w:t>
      </w:r>
      <w:hyperlink r:id="rId15" w:history="1">
        <w:r w:rsidR="00DB6899" w:rsidRPr="00B604B6">
          <w:rPr>
            <w:rStyle w:val="Hyperlink"/>
            <w:rFonts w:cstheme="minorHAnsi"/>
          </w:rPr>
          <w:t>Sustainability-Linked Loan Principles</w:t>
        </w:r>
      </w:hyperlink>
      <w:r w:rsidR="00DB6899" w:rsidRPr="00B604B6">
        <w:rPr>
          <w:rFonts w:cstheme="minorHAnsi"/>
        </w:rPr>
        <w:t xml:space="preserve">). </w:t>
      </w:r>
    </w:p>
    <w:p w14:paraId="1AFBE0E7" w14:textId="3380292C" w:rsidR="00A8314D" w:rsidRPr="00B604B6" w:rsidRDefault="0040629D" w:rsidP="0039051D">
      <w:pPr>
        <w:pStyle w:val="BodyText"/>
        <w:ind w:left="2193"/>
        <w:rPr>
          <w:rFonts w:cstheme="minorHAnsi"/>
        </w:rPr>
      </w:pPr>
      <w:r w:rsidRPr="00B604B6">
        <w:rPr>
          <w:rFonts w:cstheme="minorHAnsi"/>
        </w:rPr>
        <w:t xml:space="preserve">If </w:t>
      </w:r>
      <w:r w:rsidR="00EF72FC" w:rsidRPr="00B604B6">
        <w:rPr>
          <w:rFonts w:cstheme="minorHAnsi"/>
        </w:rPr>
        <w:t>a</w:t>
      </w:r>
      <w:r w:rsidRPr="00B604B6">
        <w:rPr>
          <w:rFonts w:cstheme="minorHAnsi"/>
        </w:rPr>
        <w:t xml:space="preserve"> </w:t>
      </w:r>
      <w:r w:rsidR="005F0024" w:rsidRPr="00B604B6">
        <w:rPr>
          <w:rFonts w:cstheme="minorHAnsi"/>
        </w:rPr>
        <w:t>borrower</w:t>
      </w:r>
      <w:r w:rsidRPr="00B604B6">
        <w:rPr>
          <w:rFonts w:cstheme="minorHAnsi"/>
        </w:rPr>
        <w:t xml:space="preserve"> fails to meet any one or more of those targets, then the </w:t>
      </w:r>
      <w:r w:rsidR="00C6701C">
        <w:rPr>
          <w:rFonts w:cstheme="minorHAnsi"/>
        </w:rPr>
        <w:t>borrower</w:t>
      </w:r>
      <w:r w:rsidRPr="00B604B6">
        <w:rPr>
          <w:rFonts w:cstheme="minorHAnsi"/>
        </w:rPr>
        <w:t xml:space="preserve"> will</w:t>
      </w:r>
      <w:r w:rsidR="00643335" w:rsidRPr="00B604B6">
        <w:rPr>
          <w:rFonts w:cstheme="minorHAnsi"/>
        </w:rPr>
        <w:t xml:space="preserve"> be penalised – most </w:t>
      </w:r>
      <w:r w:rsidR="00281267" w:rsidRPr="00B604B6">
        <w:rPr>
          <w:rFonts w:cstheme="minorHAnsi"/>
        </w:rPr>
        <w:t xml:space="preserve">commonly via an increase in the relevant interest rate </w:t>
      </w:r>
      <w:r w:rsidR="00783841" w:rsidRPr="00B604B6">
        <w:rPr>
          <w:rFonts w:cstheme="minorHAnsi"/>
        </w:rPr>
        <w:t>from the point of failure onwards.</w:t>
      </w:r>
      <w:r w:rsidR="00A8314D" w:rsidRPr="00B604B6">
        <w:rPr>
          <w:rFonts w:cstheme="minorHAnsi"/>
        </w:rPr>
        <w:t xml:space="preserve"> On the other hand, meeting such targets can be incentivised through the promise of a reduction in the relevant interest </w:t>
      </w:r>
      <w:r w:rsidR="00AC535E" w:rsidRPr="00B604B6">
        <w:rPr>
          <w:rFonts w:cstheme="minorHAnsi"/>
        </w:rPr>
        <w:t xml:space="preserve">rate </w:t>
      </w:r>
      <w:r w:rsidR="00A8314D" w:rsidRPr="00B604B6">
        <w:rPr>
          <w:rFonts w:cstheme="minorHAnsi"/>
        </w:rPr>
        <w:t xml:space="preserve">from the point of success onwards. </w:t>
      </w:r>
      <w:r w:rsidR="00926DE3" w:rsidRPr="00B604B6">
        <w:rPr>
          <w:rFonts w:cstheme="minorHAnsi"/>
        </w:rPr>
        <w:t xml:space="preserve"> </w:t>
      </w:r>
    </w:p>
    <w:p w14:paraId="51A84995" w14:textId="7755B3F7" w:rsidR="00C536E0" w:rsidRPr="00B604B6" w:rsidRDefault="00DF3ABE" w:rsidP="005245C9">
      <w:pPr>
        <w:pStyle w:val="BodyText"/>
        <w:numPr>
          <w:ilvl w:val="0"/>
          <w:numId w:val="27"/>
        </w:numPr>
        <w:ind w:hanging="753"/>
        <w:rPr>
          <w:rFonts w:cstheme="minorHAnsi"/>
        </w:rPr>
      </w:pPr>
      <w:r w:rsidRPr="6D99CE60">
        <w:t xml:space="preserve">can </w:t>
      </w:r>
      <w:r w:rsidR="00D53418" w:rsidRPr="6D99CE60">
        <w:t xml:space="preserve">draft events of default </w:t>
      </w:r>
      <w:r w:rsidR="00F960F9" w:rsidRPr="6D99CE60">
        <w:t>such</w:t>
      </w:r>
      <w:r w:rsidR="00ED3EB8" w:rsidRPr="6D99CE60">
        <w:t xml:space="preserve"> that </w:t>
      </w:r>
      <w:r w:rsidR="005F0024" w:rsidRPr="6D99CE60">
        <w:t xml:space="preserve">acceleration of repayment will be triggered in </w:t>
      </w:r>
      <w:r w:rsidR="00E65538" w:rsidRPr="6D99CE60">
        <w:t>certain circumstances linked</w:t>
      </w:r>
      <w:r w:rsidR="00E0214A" w:rsidRPr="6D99CE60">
        <w:t xml:space="preserve"> to</w:t>
      </w:r>
      <w:r w:rsidR="000B35DC" w:rsidRPr="6D99CE60">
        <w:t xml:space="preserve"> adverse climate-related human rights impacts. Such trigger events could include, for example, </w:t>
      </w:r>
      <w:r w:rsidR="00147191" w:rsidRPr="6D99CE60">
        <w:t xml:space="preserve">failure to provide to the bank a Paris-aligned climate transition plan by a particular date, </w:t>
      </w:r>
      <w:r w:rsidR="00C97FAF" w:rsidRPr="6D99CE60">
        <w:t xml:space="preserve">failure to </w:t>
      </w:r>
      <w:r w:rsidR="00817B0A" w:rsidRPr="6D99CE60">
        <w:t>achieve relevant</w:t>
      </w:r>
      <w:r w:rsidR="00C97FAF" w:rsidRPr="6D99CE60">
        <w:t xml:space="preserve"> </w:t>
      </w:r>
      <w:r w:rsidR="00817B0A" w:rsidRPr="6D99CE60">
        <w:t>transition plan interim milestones</w:t>
      </w:r>
      <w:r w:rsidR="0015481C" w:rsidRPr="6D99CE60">
        <w:t xml:space="preserve"> or meet a pre-defined climate objective</w:t>
      </w:r>
      <w:r w:rsidR="00AF169F" w:rsidRPr="6D99CE60">
        <w:t xml:space="preserve"> (see (1) immediately above)</w:t>
      </w:r>
      <w:r w:rsidR="00817B0A" w:rsidRPr="6D99CE60">
        <w:t>,</w:t>
      </w:r>
      <w:r w:rsidR="00C97FAF" w:rsidRPr="6D99CE60">
        <w:t xml:space="preserve"> </w:t>
      </w:r>
      <w:r w:rsidR="00513855" w:rsidRPr="6D99CE60">
        <w:t xml:space="preserve">engagement in a new </w:t>
      </w:r>
      <w:r w:rsidR="00DC5B50" w:rsidRPr="6D99CE60">
        <w:t xml:space="preserve">fossil fuel expansion </w:t>
      </w:r>
      <w:r w:rsidR="00513855" w:rsidRPr="6D99CE60">
        <w:t>project</w:t>
      </w:r>
      <w:r w:rsidR="00AF169F" w:rsidRPr="6D99CE60">
        <w:t xml:space="preserve"> or</w:t>
      </w:r>
      <w:r w:rsidR="00515BFE" w:rsidRPr="6D99CE60">
        <w:t xml:space="preserve"> </w:t>
      </w:r>
      <w:r w:rsidR="00BC35FC" w:rsidRPr="6D99CE60">
        <w:t xml:space="preserve">exclusion from a relevant ESG index following </w:t>
      </w:r>
      <w:r w:rsidR="00002163" w:rsidRPr="6D99CE60">
        <w:t xml:space="preserve">a climate-related human rights controversy. These events of default </w:t>
      </w:r>
      <w:r w:rsidR="00C536E0" w:rsidRPr="6D99CE60">
        <w:t xml:space="preserve">can be supported by covenants requiring the </w:t>
      </w:r>
      <w:r w:rsidR="00C536E0" w:rsidRPr="6D99CE60">
        <w:lastRenderedPageBreak/>
        <w:t xml:space="preserve">periodic reporting of certain prescribed information </w:t>
      </w:r>
      <w:r w:rsidR="00465501" w:rsidRPr="6D99CE60">
        <w:t>from the</w:t>
      </w:r>
      <w:r w:rsidR="00C536E0" w:rsidRPr="6D99CE60">
        <w:t xml:space="preserve"> borrower </w:t>
      </w:r>
      <w:r w:rsidR="00465501" w:rsidRPr="6D99CE60">
        <w:t>to the</w:t>
      </w:r>
      <w:r w:rsidR="00C536E0" w:rsidRPr="6D99CE60">
        <w:t xml:space="preserve"> bank.</w:t>
      </w:r>
      <w:r w:rsidR="00D078C5" w:rsidRPr="6D99CE60">
        <w:rPr>
          <w:rStyle w:val="FootnoteReference"/>
        </w:rPr>
        <w:footnoteReference w:id="38"/>
      </w:r>
      <w:r w:rsidR="00C536E0" w:rsidRPr="6D99CE60">
        <w:t xml:space="preserve"> </w:t>
      </w:r>
    </w:p>
    <w:p w14:paraId="726FCC17" w14:textId="59758281" w:rsidR="003B7276" w:rsidRPr="00B604B6" w:rsidRDefault="00C536E0" w:rsidP="007934AE">
      <w:pPr>
        <w:pStyle w:val="BodyText"/>
        <w:numPr>
          <w:ilvl w:val="0"/>
          <w:numId w:val="27"/>
        </w:numPr>
        <w:ind w:hanging="753"/>
        <w:rPr>
          <w:rFonts w:cstheme="minorHAnsi"/>
        </w:rPr>
      </w:pPr>
      <w:r w:rsidRPr="00B604B6">
        <w:rPr>
          <w:rFonts w:cstheme="minorHAnsi"/>
        </w:rPr>
        <w:t xml:space="preserve">can </w:t>
      </w:r>
      <w:r w:rsidR="002804C5" w:rsidRPr="00B604B6">
        <w:rPr>
          <w:rFonts w:cstheme="minorHAnsi"/>
        </w:rPr>
        <w:t xml:space="preserve">include an appropriately drafted illegality </w:t>
      </w:r>
      <w:r w:rsidR="00DC42C5" w:rsidRPr="00B604B6">
        <w:rPr>
          <w:rFonts w:cstheme="minorHAnsi"/>
        </w:rPr>
        <w:t>clause allowing for</w:t>
      </w:r>
      <w:r w:rsidR="005B1216" w:rsidRPr="00B604B6">
        <w:rPr>
          <w:rFonts w:cstheme="minorHAnsi"/>
        </w:rPr>
        <w:t xml:space="preserve"> </w:t>
      </w:r>
      <w:r w:rsidR="002428E1" w:rsidRPr="00B604B6">
        <w:rPr>
          <w:rFonts w:cstheme="minorHAnsi"/>
        </w:rPr>
        <w:t xml:space="preserve">the termination of a lending facility </w:t>
      </w:r>
      <w:r w:rsidR="008D6634" w:rsidRPr="00B604B6">
        <w:rPr>
          <w:rFonts w:cstheme="minorHAnsi"/>
        </w:rPr>
        <w:t>where</w:t>
      </w:r>
      <w:r w:rsidR="002428E1" w:rsidRPr="00B604B6">
        <w:rPr>
          <w:rFonts w:cstheme="minorHAnsi"/>
        </w:rPr>
        <w:t xml:space="preserve"> </w:t>
      </w:r>
      <w:r w:rsidR="002974E3" w:rsidRPr="00B604B6">
        <w:rPr>
          <w:rFonts w:cstheme="minorHAnsi"/>
        </w:rPr>
        <w:t xml:space="preserve">the borrower is the subject of an adverse </w:t>
      </w:r>
      <w:r w:rsidR="005D1D03" w:rsidRPr="00B604B6">
        <w:rPr>
          <w:rFonts w:cstheme="minorHAnsi"/>
        </w:rPr>
        <w:t>climate-related regulatory penalty (e</w:t>
      </w:r>
      <w:r w:rsidR="00942FB1" w:rsidRPr="00B604B6">
        <w:rPr>
          <w:rFonts w:cstheme="minorHAnsi"/>
        </w:rPr>
        <w:t>.</w:t>
      </w:r>
      <w:r w:rsidR="005D1D03" w:rsidRPr="00B604B6">
        <w:rPr>
          <w:rFonts w:cstheme="minorHAnsi"/>
        </w:rPr>
        <w:t>g</w:t>
      </w:r>
      <w:r w:rsidR="00942FB1" w:rsidRPr="00B604B6">
        <w:rPr>
          <w:rFonts w:cstheme="minorHAnsi"/>
        </w:rPr>
        <w:t>.</w:t>
      </w:r>
      <w:r w:rsidR="005D1D03" w:rsidRPr="00B604B6">
        <w:rPr>
          <w:rFonts w:cstheme="minorHAnsi"/>
        </w:rPr>
        <w:t xml:space="preserve"> </w:t>
      </w:r>
      <w:r w:rsidR="001E36BA" w:rsidRPr="00B604B6">
        <w:rPr>
          <w:rFonts w:cstheme="minorHAnsi"/>
        </w:rPr>
        <w:t>in relation to</w:t>
      </w:r>
      <w:r w:rsidR="005D1D03" w:rsidRPr="00B604B6">
        <w:rPr>
          <w:rFonts w:cstheme="minorHAnsi"/>
        </w:rPr>
        <w:t xml:space="preserve"> greenwashing).</w:t>
      </w:r>
      <w:r w:rsidR="000F79AD">
        <w:rPr>
          <w:rStyle w:val="FootnoteReference"/>
          <w:rFonts w:cstheme="minorHAnsi"/>
        </w:rPr>
        <w:footnoteReference w:id="39"/>
      </w:r>
      <w:r w:rsidR="005D1D03" w:rsidRPr="00B604B6">
        <w:rPr>
          <w:rFonts w:cstheme="minorHAnsi"/>
        </w:rPr>
        <w:t xml:space="preserve"> </w:t>
      </w:r>
    </w:p>
    <w:p w14:paraId="3E6A2630" w14:textId="58324E8F" w:rsidR="63553898" w:rsidRPr="00B604B6" w:rsidRDefault="09B9D105" w:rsidP="0039051D">
      <w:pPr>
        <w:pStyle w:val="BodyText"/>
        <w:numPr>
          <w:ilvl w:val="1"/>
          <w:numId w:val="24"/>
        </w:numPr>
        <w:rPr>
          <w:rFonts w:cstheme="minorHAnsi"/>
        </w:rPr>
      </w:pPr>
      <w:r w:rsidRPr="00B604B6">
        <w:rPr>
          <w:rFonts w:cstheme="minorHAnsi"/>
        </w:rPr>
        <w:t>Ha</w:t>
      </w:r>
      <w:r w:rsidR="23689F1A" w:rsidRPr="00B604B6">
        <w:rPr>
          <w:rFonts w:cstheme="minorHAnsi"/>
        </w:rPr>
        <w:t>ve</w:t>
      </w:r>
      <w:r w:rsidRPr="00B604B6">
        <w:rPr>
          <w:rFonts w:cstheme="minorHAnsi"/>
        </w:rPr>
        <w:t xml:space="preserve"> </w:t>
      </w:r>
      <w:r w:rsidR="4A7AA40B" w:rsidRPr="00B604B6">
        <w:rPr>
          <w:rFonts w:cstheme="minorHAnsi"/>
        </w:rPr>
        <w:t xml:space="preserve">stronger </w:t>
      </w:r>
      <w:r w:rsidRPr="00B604B6">
        <w:rPr>
          <w:rFonts w:cstheme="minorHAnsi"/>
        </w:rPr>
        <w:t xml:space="preserve">leverage when acting together with other banks (e.g. </w:t>
      </w:r>
      <w:r w:rsidR="7FB3596F" w:rsidRPr="00B604B6">
        <w:rPr>
          <w:rFonts w:cstheme="minorHAnsi"/>
        </w:rPr>
        <w:t>multiple banks in a</w:t>
      </w:r>
      <w:r w:rsidRPr="00B604B6">
        <w:rPr>
          <w:rFonts w:cstheme="minorHAnsi"/>
        </w:rPr>
        <w:t xml:space="preserve"> syndicated loan) to make additional demands of clients to ensure they are credibly aligning with </w:t>
      </w:r>
      <w:r w:rsidR="00D66C26" w:rsidRPr="00B604B6">
        <w:rPr>
          <w:rFonts w:cstheme="minorHAnsi"/>
        </w:rPr>
        <w:t xml:space="preserve">the </w:t>
      </w:r>
      <w:r w:rsidRPr="00B604B6">
        <w:rPr>
          <w:rFonts w:cstheme="minorHAnsi"/>
        </w:rPr>
        <w:t>Paris</w:t>
      </w:r>
      <w:r w:rsidR="00D66C26" w:rsidRPr="00B604B6">
        <w:rPr>
          <w:rFonts w:cstheme="minorHAnsi"/>
        </w:rPr>
        <w:t xml:space="preserve"> Agreement</w:t>
      </w:r>
      <w:r w:rsidRPr="00B604B6">
        <w:rPr>
          <w:rFonts w:cstheme="minorHAnsi"/>
        </w:rPr>
        <w:t>.</w:t>
      </w:r>
    </w:p>
    <w:p w14:paraId="3486CDE2" w14:textId="045EE1E5" w:rsidR="00521453" w:rsidRPr="0039051D" w:rsidRDefault="00521453" w:rsidP="0039051D">
      <w:pPr>
        <w:pStyle w:val="BodyText"/>
        <w:ind w:firstLine="720"/>
        <w:rPr>
          <w:rFonts w:cstheme="minorHAnsi"/>
          <w:b/>
        </w:rPr>
      </w:pPr>
      <w:r w:rsidRPr="0039051D">
        <w:rPr>
          <w:rFonts w:cstheme="minorHAnsi"/>
          <w:b/>
        </w:rPr>
        <w:t>Bond investors:</w:t>
      </w:r>
    </w:p>
    <w:p w14:paraId="019F0BE5" w14:textId="4AB7C7F0" w:rsidR="003728F0" w:rsidRPr="00B604B6" w:rsidRDefault="00C807AC" w:rsidP="0039051D">
      <w:pPr>
        <w:pStyle w:val="BodyText"/>
        <w:numPr>
          <w:ilvl w:val="1"/>
          <w:numId w:val="24"/>
        </w:numPr>
        <w:rPr>
          <w:rFonts w:cstheme="minorHAnsi"/>
        </w:rPr>
      </w:pPr>
      <w:r w:rsidRPr="00B604B6">
        <w:rPr>
          <w:rFonts w:cstheme="minorHAnsi"/>
        </w:rPr>
        <w:t xml:space="preserve">Provide </w:t>
      </w:r>
      <w:r w:rsidR="000327A4" w:rsidRPr="00B604B6">
        <w:rPr>
          <w:rFonts w:cstheme="minorHAnsi"/>
        </w:rPr>
        <w:t>sizeable</w:t>
      </w:r>
      <w:r w:rsidRPr="00B604B6">
        <w:rPr>
          <w:rFonts w:cstheme="minorHAnsi"/>
        </w:rPr>
        <w:t xml:space="preserve"> ca</w:t>
      </w:r>
      <w:r w:rsidR="00021618" w:rsidRPr="00B604B6">
        <w:rPr>
          <w:rFonts w:cstheme="minorHAnsi"/>
        </w:rPr>
        <w:t xml:space="preserve">pital which </w:t>
      </w:r>
      <w:r w:rsidR="007B482A">
        <w:rPr>
          <w:rFonts w:cstheme="minorHAnsi"/>
        </w:rPr>
        <w:t xml:space="preserve">is </w:t>
      </w:r>
      <w:r w:rsidR="00021618" w:rsidRPr="00B604B6">
        <w:rPr>
          <w:rFonts w:cstheme="minorHAnsi"/>
        </w:rPr>
        <w:t xml:space="preserve">essential for companies’ </w:t>
      </w:r>
      <w:r w:rsidRPr="00B604B6">
        <w:rPr>
          <w:rFonts w:cstheme="minorHAnsi"/>
        </w:rPr>
        <w:t>cashflow</w:t>
      </w:r>
      <w:r w:rsidR="00021618" w:rsidRPr="00B604B6">
        <w:rPr>
          <w:rFonts w:cstheme="minorHAnsi"/>
        </w:rPr>
        <w:t>,</w:t>
      </w:r>
      <w:r w:rsidR="004D3072" w:rsidRPr="00B604B6">
        <w:rPr>
          <w:rFonts w:cstheme="minorHAnsi"/>
        </w:rPr>
        <w:t xml:space="preserve"> and </w:t>
      </w:r>
      <w:r w:rsidR="00DC03E1" w:rsidRPr="00B604B6">
        <w:rPr>
          <w:rFonts w:cstheme="minorHAnsi"/>
        </w:rPr>
        <w:t>therefore h</w:t>
      </w:r>
      <w:r w:rsidR="00521453" w:rsidRPr="00B604B6">
        <w:rPr>
          <w:rFonts w:cstheme="minorHAnsi"/>
        </w:rPr>
        <w:t xml:space="preserve">ave significant leverage </w:t>
      </w:r>
      <w:r w:rsidR="009A59E5" w:rsidRPr="00B604B6">
        <w:rPr>
          <w:rFonts w:cstheme="minorHAnsi"/>
        </w:rPr>
        <w:t xml:space="preserve">over </w:t>
      </w:r>
      <w:r w:rsidR="004B1941" w:rsidRPr="00B604B6">
        <w:rPr>
          <w:rFonts w:cstheme="minorHAnsi"/>
        </w:rPr>
        <w:t>investee companies and their practices</w:t>
      </w:r>
      <w:r w:rsidR="000B3582" w:rsidRPr="00B604B6">
        <w:rPr>
          <w:rFonts w:cstheme="minorHAnsi"/>
        </w:rPr>
        <w:t>.</w:t>
      </w:r>
      <w:r w:rsidR="00C8774C">
        <w:rPr>
          <w:rStyle w:val="FootnoteReference"/>
          <w:rFonts w:cstheme="minorHAnsi"/>
        </w:rPr>
        <w:footnoteReference w:id="40"/>
      </w:r>
      <w:r w:rsidR="000B3582" w:rsidRPr="00B604B6">
        <w:rPr>
          <w:rFonts w:cstheme="minorHAnsi"/>
        </w:rPr>
        <w:t xml:space="preserve"> Bond investors can use the leverage they have to set expectations of management as conditions for providing capital at both debt origination and on an ongoing basis</w:t>
      </w:r>
      <w:r w:rsidR="00B3422D">
        <w:rPr>
          <w:rFonts w:cstheme="minorHAnsi"/>
        </w:rPr>
        <w:t>, including as regards the investee’s respect for human rights in line with the UN Guiding Principles</w:t>
      </w:r>
      <w:r w:rsidR="000B3582" w:rsidRPr="00B604B6">
        <w:rPr>
          <w:rFonts w:cstheme="minorHAnsi"/>
        </w:rPr>
        <w:t>.</w:t>
      </w:r>
      <w:r w:rsidR="00C8774C">
        <w:rPr>
          <w:rStyle w:val="FootnoteReference"/>
          <w:rFonts w:cstheme="minorHAnsi"/>
        </w:rPr>
        <w:footnoteReference w:id="41"/>
      </w:r>
    </w:p>
    <w:p w14:paraId="0DA5D4D6" w14:textId="54B21835" w:rsidR="000B3582" w:rsidRPr="00B604B6" w:rsidRDefault="00C21361" w:rsidP="0039051D">
      <w:pPr>
        <w:pStyle w:val="BodyText"/>
        <w:numPr>
          <w:ilvl w:val="1"/>
          <w:numId w:val="24"/>
        </w:numPr>
        <w:rPr>
          <w:rFonts w:cstheme="minorHAnsi"/>
        </w:rPr>
      </w:pPr>
      <w:r>
        <w:rPr>
          <w:rFonts w:cstheme="minorHAnsi"/>
        </w:rPr>
        <w:t>Have</w:t>
      </w:r>
      <w:r w:rsidR="000B3582" w:rsidRPr="00B604B6">
        <w:rPr>
          <w:rFonts w:cstheme="minorHAnsi"/>
        </w:rPr>
        <w:t xml:space="preserve"> particularly strong</w:t>
      </w:r>
      <w:r w:rsidR="009C619F" w:rsidRPr="00B604B6">
        <w:rPr>
          <w:rFonts w:cstheme="minorHAnsi"/>
        </w:rPr>
        <w:t xml:space="preserve"> </w:t>
      </w:r>
      <w:r>
        <w:rPr>
          <w:rFonts w:cstheme="minorHAnsi"/>
        </w:rPr>
        <w:t>leverage</w:t>
      </w:r>
      <w:r w:rsidR="002B35DE">
        <w:rPr>
          <w:rFonts w:cstheme="minorHAnsi"/>
        </w:rPr>
        <w:t>:</w:t>
      </w:r>
      <w:r>
        <w:rPr>
          <w:rFonts w:cstheme="minorHAnsi"/>
        </w:rPr>
        <w:t xml:space="preserve"> </w:t>
      </w:r>
      <w:r w:rsidR="009C619F" w:rsidRPr="00B604B6">
        <w:rPr>
          <w:rFonts w:cstheme="minorHAnsi"/>
        </w:rPr>
        <w:t>(i)</w:t>
      </w:r>
      <w:r w:rsidR="000B3582" w:rsidRPr="00B604B6">
        <w:rPr>
          <w:rFonts w:cstheme="minorHAnsi"/>
        </w:rPr>
        <w:t xml:space="preserve"> </w:t>
      </w:r>
      <w:r w:rsidR="00A745CA" w:rsidRPr="00B604B6">
        <w:rPr>
          <w:rFonts w:cstheme="minorHAnsi"/>
        </w:rPr>
        <w:t>when t</w:t>
      </w:r>
      <w:r w:rsidR="0017779B" w:rsidRPr="00B604B6">
        <w:rPr>
          <w:rFonts w:cstheme="minorHAnsi"/>
        </w:rPr>
        <w:t>he company is issuing the bond an</w:t>
      </w:r>
      <w:r w:rsidR="009C619F" w:rsidRPr="00B604B6">
        <w:rPr>
          <w:rFonts w:cstheme="minorHAnsi"/>
        </w:rPr>
        <w:t>d seek</w:t>
      </w:r>
      <w:r w:rsidR="0017779B" w:rsidRPr="00B604B6">
        <w:rPr>
          <w:rFonts w:cstheme="minorHAnsi"/>
        </w:rPr>
        <w:t xml:space="preserve">ing </w:t>
      </w:r>
      <w:r w:rsidR="009C619F" w:rsidRPr="00B604B6">
        <w:rPr>
          <w:rFonts w:cstheme="minorHAnsi"/>
        </w:rPr>
        <w:t xml:space="preserve">to raise </w:t>
      </w:r>
      <w:r w:rsidR="0017779B" w:rsidRPr="00B604B6">
        <w:rPr>
          <w:rFonts w:cstheme="minorHAnsi"/>
        </w:rPr>
        <w:t>capital</w:t>
      </w:r>
      <w:r w:rsidR="009C619F" w:rsidRPr="00B604B6">
        <w:rPr>
          <w:rFonts w:cstheme="minorHAnsi"/>
        </w:rPr>
        <w:t xml:space="preserve"> from the investor</w:t>
      </w:r>
      <w:r w:rsidR="002B35DE">
        <w:rPr>
          <w:rFonts w:cstheme="minorHAnsi"/>
        </w:rPr>
        <w:t>;</w:t>
      </w:r>
      <w:r w:rsidR="009C619F" w:rsidRPr="00B604B6">
        <w:rPr>
          <w:rFonts w:cstheme="minorHAnsi"/>
        </w:rPr>
        <w:t xml:space="preserve"> and (ii) when the company is seeking to refinance - or roll over - that debt, and is therefore asking the investor to reinvest.</w:t>
      </w:r>
      <w:r w:rsidR="00211094">
        <w:rPr>
          <w:rStyle w:val="FootnoteReference"/>
          <w:rFonts w:cstheme="minorHAnsi"/>
        </w:rPr>
        <w:footnoteReference w:id="42"/>
      </w:r>
      <w:r w:rsidR="009C619F" w:rsidRPr="00B604B6">
        <w:rPr>
          <w:rFonts w:cstheme="minorHAnsi"/>
        </w:rPr>
        <w:t xml:space="preserve"> </w:t>
      </w:r>
      <w:r w:rsidR="00C447DE" w:rsidRPr="00B604B6">
        <w:rPr>
          <w:rFonts w:cstheme="minorHAnsi"/>
        </w:rPr>
        <w:t xml:space="preserve">The </w:t>
      </w:r>
      <w:r w:rsidR="004D237B" w:rsidRPr="00B604B6">
        <w:rPr>
          <w:rFonts w:cstheme="minorHAnsi"/>
        </w:rPr>
        <w:t>investor has the opportunity to place conditions on that reinvestment.</w:t>
      </w:r>
      <w:r w:rsidR="00D85BC8">
        <w:rPr>
          <w:rStyle w:val="FootnoteReference"/>
          <w:rFonts w:cstheme="minorHAnsi"/>
        </w:rPr>
        <w:footnoteReference w:id="43"/>
      </w:r>
    </w:p>
    <w:p w14:paraId="544BE014" w14:textId="0A2A8254" w:rsidR="00EC110E" w:rsidRPr="00B604B6" w:rsidRDefault="00EC110E" w:rsidP="0039051D">
      <w:pPr>
        <w:pStyle w:val="BodyText"/>
        <w:numPr>
          <w:ilvl w:val="1"/>
          <w:numId w:val="24"/>
        </w:numPr>
        <w:rPr>
          <w:rFonts w:cstheme="minorHAnsi"/>
        </w:rPr>
      </w:pPr>
      <w:r w:rsidRPr="00B604B6">
        <w:rPr>
          <w:rFonts w:cstheme="minorHAnsi"/>
        </w:rPr>
        <w:t xml:space="preserve">May be able to exercise some of the same influence in relation to </w:t>
      </w:r>
      <w:r w:rsidR="00B05411" w:rsidRPr="00B604B6">
        <w:rPr>
          <w:rFonts w:cstheme="minorHAnsi"/>
        </w:rPr>
        <w:t>government</w:t>
      </w:r>
      <w:r w:rsidR="00F65D92" w:rsidRPr="00B604B6">
        <w:rPr>
          <w:rFonts w:cstheme="minorHAnsi"/>
        </w:rPr>
        <w:t xml:space="preserve"> and sovereign bonds.</w:t>
      </w:r>
      <w:r w:rsidR="00307F9A">
        <w:rPr>
          <w:rStyle w:val="FootnoteReference"/>
          <w:rFonts w:cstheme="minorHAnsi"/>
        </w:rPr>
        <w:footnoteReference w:id="44"/>
      </w:r>
    </w:p>
    <w:p w14:paraId="52CB8AFD" w14:textId="705AED16" w:rsidR="004D237B" w:rsidRPr="00B604B6" w:rsidRDefault="00671377" w:rsidP="0039051D">
      <w:pPr>
        <w:pStyle w:val="BodyText"/>
        <w:numPr>
          <w:ilvl w:val="1"/>
          <w:numId w:val="24"/>
        </w:numPr>
        <w:rPr>
          <w:rFonts w:cstheme="minorHAnsi"/>
        </w:rPr>
      </w:pPr>
      <w:r w:rsidRPr="00B604B6">
        <w:rPr>
          <w:rFonts w:cstheme="minorHAnsi"/>
        </w:rPr>
        <w:t>Have the</w:t>
      </w:r>
      <w:r w:rsidR="00B270CA">
        <w:rPr>
          <w:rFonts w:cstheme="minorHAnsi"/>
        </w:rPr>
        <w:t xml:space="preserve"> (currently untapped</w:t>
      </w:r>
      <w:r w:rsidR="003D0FCD">
        <w:rPr>
          <w:rStyle w:val="FootnoteReference"/>
          <w:rFonts w:cstheme="minorHAnsi"/>
        </w:rPr>
        <w:footnoteReference w:id="45"/>
      </w:r>
      <w:r w:rsidR="00B270CA">
        <w:rPr>
          <w:rFonts w:cstheme="minorHAnsi"/>
        </w:rPr>
        <w:t>)</w:t>
      </w:r>
      <w:r w:rsidRPr="00B604B6">
        <w:rPr>
          <w:rFonts w:cstheme="minorHAnsi"/>
        </w:rPr>
        <w:t xml:space="preserve"> potential to </w:t>
      </w:r>
      <w:r w:rsidR="0050677D" w:rsidRPr="00B604B6">
        <w:rPr>
          <w:rFonts w:cstheme="minorHAnsi"/>
        </w:rPr>
        <w:t>require</w:t>
      </w:r>
      <w:r w:rsidRPr="00B604B6">
        <w:rPr>
          <w:rFonts w:cstheme="minorHAnsi"/>
        </w:rPr>
        <w:t>, as</w:t>
      </w:r>
      <w:r w:rsidR="0050677D" w:rsidRPr="00B604B6">
        <w:rPr>
          <w:rFonts w:cstheme="minorHAnsi"/>
        </w:rPr>
        <w:t xml:space="preserve"> a </w:t>
      </w:r>
      <w:r w:rsidRPr="00B604B6">
        <w:rPr>
          <w:rFonts w:cstheme="minorHAnsi"/>
        </w:rPr>
        <w:t>condition of financing, that the</w:t>
      </w:r>
      <w:r w:rsidR="0050677D" w:rsidRPr="00B604B6">
        <w:rPr>
          <w:rFonts w:cstheme="minorHAnsi"/>
        </w:rPr>
        <w:t xml:space="preserve"> bond </w:t>
      </w:r>
      <w:r w:rsidRPr="00B604B6">
        <w:rPr>
          <w:rFonts w:cstheme="minorHAnsi"/>
        </w:rPr>
        <w:t>documentation</w:t>
      </w:r>
      <w:r w:rsidR="0050677D" w:rsidRPr="00B604B6">
        <w:rPr>
          <w:rFonts w:cstheme="minorHAnsi"/>
        </w:rPr>
        <w:t xml:space="preserve"> include covenants </w:t>
      </w:r>
      <w:r w:rsidR="00B6291A" w:rsidRPr="00B604B6">
        <w:rPr>
          <w:rFonts w:cstheme="minorHAnsi"/>
        </w:rPr>
        <w:t xml:space="preserve">which set out </w:t>
      </w:r>
      <w:r w:rsidR="00EE11C5" w:rsidRPr="00B604B6">
        <w:rPr>
          <w:rFonts w:cstheme="minorHAnsi"/>
        </w:rPr>
        <w:t>commitments or</w:t>
      </w:r>
      <w:r w:rsidR="00B6291A" w:rsidRPr="00B604B6">
        <w:rPr>
          <w:rFonts w:cstheme="minorHAnsi"/>
        </w:rPr>
        <w:t xml:space="preserve"> </w:t>
      </w:r>
      <w:r w:rsidR="000254BF" w:rsidRPr="00B604B6">
        <w:rPr>
          <w:rFonts w:cstheme="minorHAnsi"/>
        </w:rPr>
        <w:t xml:space="preserve">restrictions </w:t>
      </w:r>
      <w:r w:rsidR="004D74BA" w:rsidRPr="00B604B6">
        <w:rPr>
          <w:rFonts w:cstheme="minorHAnsi"/>
        </w:rPr>
        <w:t>(for example regarding harmful practices or activities)</w:t>
      </w:r>
      <w:r w:rsidR="000254BF" w:rsidRPr="00B604B6">
        <w:rPr>
          <w:rFonts w:cstheme="minorHAnsi"/>
        </w:rPr>
        <w:t xml:space="preserve"> </w:t>
      </w:r>
      <w:r w:rsidR="00621A8A" w:rsidRPr="00B604B6">
        <w:rPr>
          <w:rFonts w:cstheme="minorHAnsi"/>
        </w:rPr>
        <w:t>with</w:t>
      </w:r>
      <w:r w:rsidR="004D74BA" w:rsidRPr="00B604B6">
        <w:rPr>
          <w:rFonts w:cstheme="minorHAnsi"/>
        </w:rPr>
        <w:t xml:space="preserve"> </w:t>
      </w:r>
      <w:r w:rsidR="00332EDB" w:rsidRPr="00B604B6">
        <w:rPr>
          <w:rFonts w:cstheme="minorHAnsi"/>
        </w:rPr>
        <w:t xml:space="preserve">agreed </w:t>
      </w:r>
      <w:r w:rsidR="004D74BA" w:rsidRPr="00B604B6">
        <w:rPr>
          <w:rFonts w:cstheme="minorHAnsi"/>
        </w:rPr>
        <w:t xml:space="preserve">targets (for example in relation to </w:t>
      </w:r>
      <w:r w:rsidR="001620EB" w:rsidRPr="00B604B6">
        <w:rPr>
          <w:rFonts w:cstheme="minorHAnsi"/>
        </w:rPr>
        <w:t xml:space="preserve">actual </w:t>
      </w:r>
      <w:r w:rsidR="007051E8" w:rsidRPr="00B604B6">
        <w:rPr>
          <w:rFonts w:cstheme="minorHAnsi"/>
        </w:rPr>
        <w:t>emission reductions</w:t>
      </w:r>
      <w:r w:rsidR="001620EB" w:rsidRPr="00B604B6">
        <w:rPr>
          <w:rFonts w:cstheme="minorHAnsi"/>
        </w:rPr>
        <w:t>)</w:t>
      </w:r>
      <w:r w:rsidR="00D06EAC">
        <w:rPr>
          <w:rStyle w:val="FootnoteReference"/>
          <w:rFonts w:cstheme="minorHAnsi"/>
        </w:rPr>
        <w:footnoteReference w:id="46"/>
      </w:r>
      <w:r w:rsidR="003D7AFB" w:rsidRPr="00B604B6">
        <w:rPr>
          <w:rFonts w:cstheme="minorHAnsi"/>
        </w:rPr>
        <w:t xml:space="preserve"> with consequences of breach (for example penalt</w:t>
      </w:r>
      <w:r w:rsidR="008F5A1B" w:rsidRPr="00B604B6">
        <w:rPr>
          <w:rFonts w:cstheme="minorHAnsi"/>
        </w:rPr>
        <w:t>ie</w:t>
      </w:r>
      <w:r w:rsidR="003D7AFB" w:rsidRPr="00B604B6">
        <w:rPr>
          <w:rFonts w:cstheme="minorHAnsi"/>
        </w:rPr>
        <w:t>s or</w:t>
      </w:r>
      <w:r w:rsidR="006E5FAC" w:rsidRPr="00B604B6">
        <w:rPr>
          <w:rFonts w:cstheme="minorHAnsi"/>
        </w:rPr>
        <w:t xml:space="preserve"> repayment of the debt</w:t>
      </w:r>
      <w:r w:rsidR="00BE6038" w:rsidRPr="00B604B6">
        <w:rPr>
          <w:rFonts w:cstheme="minorHAnsi"/>
        </w:rPr>
        <w:t>)</w:t>
      </w:r>
      <w:r w:rsidR="00A6201C" w:rsidRPr="00B604B6">
        <w:rPr>
          <w:rFonts w:cstheme="minorHAnsi"/>
        </w:rPr>
        <w:t>.</w:t>
      </w:r>
      <w:r w:rsidR="00281866">
        <w:rPr>
          <w:rStyle w:val="FootnoteReference"/>
          <w:rFonts w:cstheme="minorHAnsi"/>
        </w:rPr>
        <w:footnoteReference w:id="47"/>
      </w:r>
      <w:r w:rsidR="00A6201C" w:rsidRPr="00B604B6">
        <w:rPr>
          <w:rFonts w:cstheme="minorHAnsi"/>
        </w:rPr>
        <w:t xml:space="preserve"> Such covenants can </w:t>
      </w:r>
      <w:r w:rsidR="00D93A91" w:rsidRPr="00B604B6">
        <w:rPr>
          <w:rFonts w:cstheme="minorHAnsi"/>
        </w:rPr>
        <w:t>provide an accountability mechanism so that the investor can hold the issuer to account over the life of the bond.</w:t>
      </w:r>
    </w:p>
    <w:p w14:paraId="718AECFB" w14:textId="29F0C641" w:rsidR="000D4BDF" w:rsidRPr="0039051D" w:rsidRDefault="000D4BDF" w:rsidP="00BE3C80">
      <w:pPr>
        <w:pStyle w:val="BodyText"/>
        <w:keepNext/>
        <w:ind w:firstLine="720"/>
        <w:rPr>
          <w:rFonts w:cstheme="minorHAnsi"/>
          <w:b/>
        </w:rPr>
      </w:pPr>
      <w:r w:rsidRPr="0039051D">
        <w:rPr>
          <w:rFonts w:cstheme="minorHAnsi"/>
          <w:b/>
        </w:rPr>
        <w:lastRenderedPageBreak/>
        <w:t>Equity investors</w:t>
      </w:r>
      <w:r w:rsidR="00B23613" w:rsidRPr="0039051D">
        <w:rPr>
          <w:rFonts w:cstheme="minorHAnsi"/>
          <w:b/>
        </w:rPr>
        <w:t xml:space="preserve"> (including investors in listed equities)</w:t>
      </w:r>
      <w:r w:rsidRPr="0039051D">
        <w:rPr>
          <w:rFonts w:cstheme="minorHAnsi"/>
          <w:b/>
        </w:rPr>
        <w:t>:</w:t>
      </w:r>
    </w:p>
    <w:p w14:paraId="1E7AAC3A" w14:textId="314A1983" w:rsidR="006447F4" w:rsidRDefault="006447F4" w:rsidP="0039051D">
      <w:pPr>
        <w:pStyle w:val="BodyText"/>
        <w:numPr>
          <w:ilvl w:val="1"/>
          <w:numId w:val="24"/>
        </w:numPr>
        <w:rPr>
          <w:rFonts w:cstheme="minorHAnsi"/>
        </w:rPr>
      </w:pPr>
      <w:r>
        <w:rPr>
          <w:rFonts w:cstheme="minorHAnsi"/>
        </w:rPr>
        <w:t>Should formalise and communicate their human rights expectations with portfolio companies</w:t>
      </w:r>
      <w:r w:rsidR="00BE3C80">
        <w:rPr>
          <w:rFonts w:cstheme="minorHAnsi"/>
        </w:rPr>
        <w:t xml:space="preserve">, </w:t>
      </w:r>
      <w:r>
        <w:rPr>
          <w:rFonts w:cstheme="minorHAnsi"/>
        </w:rPr>
        <w:t>potential investees</w:t>
      </w:r>
      <w:r w:rsidR="00BE3C80">
        <w:rPr>
          <w:rFonts w:cstheme="minorHAnsi"/>
        </w:rPr>
        <w:t xml:space="preserve"> and where relevant their external asset managers</w:t>
      </w:r>
      <w:r w:rsidR="00EC6342">
        <w:rPr>
          <w:rFonts w:cstheme="minorHAnsi"/>
        </w:rPr>
        <w:t xml:space="preserve"> prior to making investment decisions.</w:t>
      </w:r>
      <w:r w:rsidR="00EC6342">
        <w:rPr>
          <w:rStyle w:val="FootnoteReference"/>
          <w:rFonts w:cstheme="minorHAnsi"/>
        </w:rPr>
        <w:footnoteReference w:id="48"/>
      </w:r>
    </w:p>
    <w:p w14:paraId="28E65F79" w14:textId="7D84A181" w:rsidR="005810A7" w:rsidRDefault="00C129EA" w:rsidP="0039051D">
      <w:pPr>
        <w:pStyle w:val="BodyText"/>
        <w:numPr>
          <w:ilvl w:val="1"/>
          <w:numId w:val="24"/>
        </w:numPr>
        <w:rPr>
          <w:rFonts w:cstheme="minorHAnsi"/>
        </w:rPr>
      </w:pPr>
      <w:r>
        <w:rPr>
          <w:rFonts w:cstheme="minorHAnsi"/>
        </w:rPr>
        <w:t xml:space="preserve">Can </w:t>
      </w:r>
      <w:r w:rsidR="00D47816">
        <w:rPr>
          <w:rFonts w:cstheme="minorHAnsi"/>
        </w:rPr>
        <w:t xml:space="preserve">conduct human rights and environmental due diligence </w:t>
      </w:r>
      <w:r w:rsidR="00AC103C">
        <w:rPr>
          <w:rFonts w:cstheme="minorHAnsi"/>
        </w:rPr>
        <w:t xml:space="preserve">or research </w:t>
      </w:r>
      <w:r w:rsidR="00D47816">
        <w:rPr>
          <w:rFonts w:cstheme="minorHAnsi"/>
        </w:rPr>
        <w:t xml:space="preserve">prior to investment and use the results to inform capital allocation decisions and investment screens, exclusions and tilting / weightings either in relation to high risk sectors or activities or </w:t>
      </w:r>
      <w:r w:rsidR="00673FB7">
        <w:rPr>
          <w:rFonts w:cstheme="minorHAnsi"/>
        </w:rPr>
        <w:t xml:space="preserve">particular human rights or environmental impacts that are identified. </w:t>
      </w:r>
      <w:r w:rsidR="00352731">
        <w:rPr>
          <w:rFonts w:cstheme="minorHAnsi"/>
        </w:rPr>
        <w:t>This may include testing a potential investee’s processes for human rights compliance.</w:t>
      </w:r>
      <w:r w:rsidR="00D65634">
        <w:rPr>
          <w:rStyle w:val="FootnoteReference"/>
          <w:rFonts w:cstheme="minorHAnsi"/>
        </w:rPr>
        <w:footnoteReference w:id="49"/>
      </w:r>
      <w:r w:rsidR="00673FB7">
        <w:rPr>
          <w:rFonts w:cstheme="minorHAnsi"/>
        </w:rPr>
        <w:t xml:space="preserve"> This may reduce the risk of the investor causing, contributing or being directly linked to a harm</w:t>
      </w:r>
      <w:r w:rsidR="00C14CE2">
        <w:rPr>
          <w:rFonts w:cstheme="minorHAnsi"/>
        </w:rPr>
        <w:t>. On a coordinated bas</w:t>
      </w:r>
      <w:r w:rsidR="00221623">
        <w:rPr>
          <w:rFonts w:cstheme="minorHAnsi"/>
        </w:rPr>
        <w:t>i</w:t>
      </w:r>
      <w:r w:rsidR="00C14CE2">
        <w:rPr>
          <w:rFonts w:cstheme="minorHAnsi"/>
        </w:rPr>
        <w:t xml:space="preserve">s in relation to primary capital raising, there are potential </w:t>
      </w:r>
      <w:r w:rsidR="00221623">
        <w:rPr>
          <w:rFonts w:cstheme="minorHAnsi"/>
        </w:rPr>
        <w:t xml:space="preserve">knock-on </w:t>
      </w:r>
      <w:r w:rsidR="00C14CE2">
        <w:rPr>
          <w:rFonts w:cstheme="minorHAnsi"/>
        </w:rPr>
        <w:t>implications for access to capital for companies with a poor human rights record.</w:t>
      </w:r>
    </w:p>
    <w:p w14:paraId="2284BFC5" w14:textId="53DFBC97" w:rsidR="005810A7" w:rsidRPr="005810A7" w:rsidRDefault="002007FD" w:rsidP="0039051D">
      <w:pPr>
        <w:pStyle w:val="BodyText"/>
        <w:numPr>
          <w:ilvl w:val="1"/>
          <w:numId w:val="24"/>
        </w:numPr>
        <w:rPr>
          <w:rFonts w:cstheme="minorHAnsi"/>
        </w:rPr>
      </w:pPr>
      <w:r>
        <w:rPr>
          <w:rFonts w:cstheme="minorHAnsi"/>
        </w:rPr>
        <w:t>When a large or controlling stake in an investee company is taken</w:t>
      </w:r>
      <w:r w:rsidR="00EB39A3">
        <w:rPr>
          <w:rFonts w:cstheme="minorHAnsi"/>
        </w:rPr>
        <w:t xml:space="preserve"> (such as </w:t>
      </w:r>
      <w:r>
        <w:rPr>
          <w:rFonts w:cstheme="minorHAnsi"/>
        </w:rPr>
        <w:t xml:space="preserve">in </w:t>
      </w:r>
      <w:r w:rsidR="00EB39A3">
        <w:rPr>
          <w:rFonts w:cstheme="minorHAnsi"/>
        </w:rPr>
        <w:t>private equity</w:t>
      </w:r>
      <w:r>
        <w:rPr>
          <w:rFonts w:cstheme="minorHAnsi"/>
        </w:rPr>
        <w:t xml:space="preserve"> strategies</w:t>
      </w:r>
      <w:r w:rsidR="00EB39A3">
        <w:rPr>
          <w:rFonts w:cstheme="minorHAnsi"/>
        </w:rPr>
        <w:t>)</w:t>
      </w:r>
      <w:r w:rsidR="005810A7">
        <w:rPr>
          <w:rFonts w:cstheme="minorHAnsi"/>
        </w:rPr>
        <w:t xml:space="preserve"> may </w:t>
      </w:r>
      <w:r>
        <w:rPr>
          <w:rFonts w:cstheme="minorHAnsi"/>
        </w:rPr>
        <w:t xml:space="preserve">in some cases </w:t>
      </w:r>
      <w:r w:rsidR="005810A7">
        <w:rPr>
          <w:rFonts w:cstheme="minorHAnsi"/>
        </w:rPr>
        <w:t>be able to impose human rights and environmental c</w:t>
      </w:r>
      <w:r w:rsidR="00BE2BED">
        <w:rPr>
          <w:rFonts w:cstheme="minorHAnsi"/>
        </w:rPr>
        <w:t>riteria</w:t>
      </w:r>
      <w:r w:rsidR="00EB39A3">
        <w:rPr>
          <w:rFonts w:cstheme="minorHAnsi"/>
        </w:rPr>
        <w:t xml:space="preserve"> and </w:t>
      </w:r>
      <w:r w:rsidR="005810A7">
        <w:rPr>
          <w:rFonts w:cstheme="minorHAnsi"/>
        </w:rPr>
        <w:t xml:space="preserve">controls </w:t>
      </w:r>
      <w:r w:rsidR="00162BAB">
        <w:rPr>
          <w:rFonts w:cstheme="minorHAnsi"/>
        </w:rPr>
        <w:t xml:space="preserve">in investment negotiations </w:t>
      </w:r>
      <w:r w:rsidR="001A3DCC">
        <w:rPr>
          <w:rFonts w:cstheme="minorHAnsi"/>
        </w:rPr>
        <w:t>with company management, and / or exert influence through presence on the company board</w:t>
      </w:r>
      <w:r w:rsidR="00BE2BED">
        <w:rPr>
          <w:rFonts w:cstheme="minorHAnsi"/>
        </w:rPr>
        <w:t xml:space="preserve"> post-investment</w:t>
      </w:r>
      <w:r w:rsidR="00162BAB">
        <w:rPr>
          <w:rFonts w:cstheme="minorHAnsi"/>
        </w:rPr>
        <w:t>.</w:t>
      </w:r>
      <w:r w:rsidR="00056F05">
        <w:rPr>
          <w:rStyle w:val="FootnoteReference"/>
          <w:rFonts w:cstheme="minorHAnsi"/>
        </w:rPr>
        <w:footnoteReference w:id="50"/>
      </w:r>
    </w:p>
    <w:p w14:paraId="1B8E1B56" w14:textId="10F684FD" w:rsidR="00162BAB" w:rsidRDefault="00162BAB" w:rsidP="0039051D">
      <w:pPr>
        <w:pStyle w:val="BodyText"/>
        <w:numPr>
          <w:ilvl w:val="1"/>
          <w:numId w:val="24"/>
        </w:numPr>
        <w:rPr>
          <w:rFonts w:cstheme="minorHAnsi"/>
        </w:rPr>
      </w:pPr>
      <w:r w:rsidRPr="6D99CE60">
        <w:t>Can use forceful e</w:t>
      </w:r>
      <w:r w:rsidR="00EC214E" w:rsidRPr="6D99CE60">
        <w:t xml:space="preserve">ngagement </w:t>
      </w:r>
      <w:r w:rsidRPr="6D99CE60">
        <w:t xml:space="preserve">to encourage companies to improve their </w:t>
      </w:r>
      <w:r w:rsidR="007D3EBB" w:rsidRPr="6D99CE60">
        <w:t xml:space="preserve">human rights and environmental practices. However, it is crucial that such engagement is meaningful, based on </w:t>
      </w:r>
      <w:r w:rsidR="000426B9">
        <w:t xml:space="preserve">clear </w:t>
      </w:r>
      <w:r w:rsidR="007D3EBB" w:rsidRPr="6D99CE60">
        <w:t>criteria for prioritisation and escalation</w:t>
      </w:r>
      <w:r w:rsidR="005D2920" w:rsidRPr="6D99CE60">
        <w:t xml:space="preserve">, has </w:t>
      </w:r>
      <w:r w:rsidR="000426B9">
        <w:t>defined</w:t>
      </w:r>
      <w:r w:rsidR="005D2920" w:rsidRPr="6D99CE60">
        <w:t xml:space="preserve"> milestones, </w:t>
      </w:r>
      <w:r w:rsidR="007D3EBB" w:rsidRPr="6D99CE60">
        <w:t>and that progress is measured and reported.</w:t>
      </w:r>
      <w:r w:rsidR="00E11A81" w:rsidRPr="6D99CE60">
        <w:rPr>
          <w:rStyle w:val="FootnoteReference"/>
        </w:rPr>
        <w:footnoteReference w:id="51"/>
      </w:r>
      <w:r w:rsidR="00775D50" w:rsidRPr="6D99CE60">
        <w:t xml:space="preserve"> </w:t>
      </w:r>
      <w:r w:rsidR="005E22FF" w:rsidRPr="6D99CE60">
        <w:t xml:space="preserve">For asset owners, engagement with external asset managers </w:t>
      </w:r>
      <w:r w:rsidR="00365209">
        <w:t xml:space="preserve">(including criteria for their selection, appointment and monitoring) </w:t>
      </w:r>
      <w:r w:rsidR="005E22FF" w:rsidRPr="6D99CE60">
        <w:t xml:space="preserve">is key so that they can use </w:t>
      </w:r>
      <w:r w:rsidR="00C1359B" w:rsidRPr="6D99CE60">
        <w:t>their leverage as clients of the asset manager to drive improvements in the human rights and environmental approach taken to managed investment portfolios.</w:t>
      </w:r>
      <w:r w:rsidR="00C1359B" w:rsidRPr="6D99CE60">
        <w:rPr>
          <w:rStyle w:val="FootnoteReference"/>
        </w:rPr>
        <w:footnoteReference w:id="52"/>
      </w:r>
    </w:p>
    <w:p w14:paraId="24656BB3" w14:textId="25A8E988" w:rsidR="00CA7C68" w:rsidRDefault="00EF6EEB" w:rsidP="0039051D">
      <w:pPr>
        <w:pStyle w:val="BodyText"/>
        <w:numPr>
          <w:ilvl w:val="1"/>
          <w:numId w:val="24"/>
        </w:numPr>
        <w:rPr>
          <w:rFonts w:cstheme="minorHAnsi"/>
        </w:rPr>
      </w:pPr>
      <w:r>
        <w:rPr>
          <w:rFonts w:cstheme="minorHAnsi"/>
        </w:rPr>
        <w:t>Can make e</w:t>
      </w:r>
      <w:r w:rsidR="00192B4E">
        <w:rPr>
          <w:rFonts w:cstheme="minorHAnsi"/>
        </w:rPr>
        <w:t>ffective use of ownership rights, including v</w:t>
      </w:r>
      <w:r w:rsidR="00EC214E">
        <w:rPr>
          <w:rFonts w:cstheme="minorHAnsi"/>
        </w:rPr>
        <w:t xml:space="preserve">oting </w:t>
      </w:r>
      <w:r w:rsidR="00192B4E">
        <w:rPr>
          <w:rFonts w:cstheme="minorHAnsi"/>
        </w:rPr>
        <w:t>rights</w:t>
      </w:r>
      <w:r w:rsidR="00FB6730">
        <w:rPr>
          <w:rFonts w:cstheme="minorHAnsi"/>
        </w:rPr>
        <w:t>.</w:t>
      </w:r>
      <w:r w:rsidR="00192B4E">
        <w:rPr>
          <w:rFonts w:cstheme="minorHAnsi"/>
        </w:rPr>
        <w:t xml:space="preserve"> </w:t>
      </w:r>
      <w:r w:rsidR="00FB6730">
        <w:rPr>
          <w:rFonts w:cstheme="minorHAnsi"/>
        </w:rPr>
        <w:t>P</w:t>
      </w:r>
      <w:r w:rsidR="00F75BC9">
        <w:rPr>
          <w:rFonts w:cstheme="minorHAnsi"/>
        </w:rPr>
        <w:t>roposing or supporting</w:t>
      </w:r>
      <w:r w:rsidR="00192B4E">
        <w:rPr>
          <w:rFonts w:cstheme="minorHAnsi"/>
        </w:rPr>
        <w:t xml:space="preserve"> shareholder resolutions</w:t>
      </w:r>
      <w:r w:rsidR="00351E20">
        <w:rPr>
          <w:rFonts w:cstheme="minorHAnsi"/>
        </w:rPr>
        <w:t xml:space="preserve"> in relation to human rights and environmental topics</w:t>
      </w:r>
      <w:r w:rsidR="00192B4E">
        <w:rPr>
          <w:rFonts w:cstheme="minorHAnsi"/>
        </w:rPr>
        <w:t xml:space="preserve"> may be essential to </w:t>
      </w:r>
      <w:r w:rsidR="00235986">
        <w:rPr>
          <w:rFonts w:cstheme="minorHAnsi"/>
        </w:rPr>
        <w:t>encourage companies to improve their compliance with the UN Guiding Principles an</w:t>
      </w:r>
      <w:r w:rsidR="00C3558E">
        <w:rPr>
          <w:rFonts w:cstheme="minorHAnsi"/>
        </w:rPr>
        <w:t xml:space="preserve">d / or their responses to identified human rights </w:t>
      </w:r>
      <w:r w:rsidR="00FB6730">
        <w:rPr>
          <w:rFonts w:cstheme="minorHAnsi"/>
        </w:rPr>
        <w:t xml:space="preserve">or environmental </w:t>
      </w:r>
      <w:r w:rsidR="00C3558E">
        <w:rPr>
          <w:rFonts w:cstheme="minorHAnsi"/>
        </w:rPr>
        <w:t xml:space="preserve">impacts, and to </w:t>
      </w:r>
      <w:r w:rsidR="00192B4E">
        <w:rPr>
          <w:rFonts w:cstheme="minorHAnsi"/>
        </w:rPr>
        <w:t>protect long term value in the interests of investors.</w:t>
      </w:r>
      <w:r w:rsidR="003E1173">
        <w:rPr>
          <w:rStyle w:val="FootnoteReference"/>
          <w:rFonts w:cstheme="minorHAnsi"/>
        </w:rPr>
        <w:footnoteReference w:id="53"/>
      </w:r>
      <w:r w:rsidR="006D7AAE">
        <w:rPr>
          <w:rFonts w:cstheme="minorHAnsi"/>
        </w:rPr>
        <w:t xml:space="preserve"> </w:t>
      </w:r>
      <w:r w:rsidR="00973DB9">
        <w:rPr>
          <w:rFonts w:cstheme="minorHAnsi"/>
        </w:rPr>
        <w:t xml:space="preserve">A clear policy on voting on human rights and sustainability issues and effective implementation of the policy in practice are essential tools. </w:t>
      </w:r>
      <w:r w:rsidR="00024B76">
        <w:rPr>
          <w:rFonts w:cstheme="minorHAnsi"/>
        </w:rPr>
        <w:t xml:space="preserve">Clear disclosure of voting positions, rationales and results </w:t>
      </w:r>
      <w:r w:rsidR="00024B76">
        <w:rPr>
          <w:rFonts w:cstheme="minorHAnsi"/>
        </w:rPr>
        <w:lastRenderedPageBreak/>
        <w:t xml:space="preserve">are also </w:t>
      </w:r>
      <w:r w:rsidR="00C53B12">
        <w:rPr>
          <w:rFonts w:cstheme="minorHAnsi"/>
        </w:rPr>
        <w:t xml:space="preserve">important </w:t>
      </w:r>
      <w:r w:rsidR="00024B76">
        <w:rPr>
          <w:rFonts w:cstheme="minorHAnsi"/>
        </w:rPr>
        <w:t>to investors and other stakeholders monitoring the rigour</w:t>
      </w:r>
      <w:r w:rsidR="00074551">
        <w:rPr>
          <w:rFonts w:cstheme="minorHAnsi"/>
        </w:rPr>
        <w:t xml:space="preserve"> and impact</w:t>
      </w:r>
      <w:r w:rsidR="00024B76">
        <w:rPr>
          <w:rFonts w:cstheme="minorHAnsi"/>
        </w:rPr>
        <w:t xml:space="preserve"> of the investor’s approach.</w:t>
      </w:r>
    </w:p>
    <w:p w14:paraId="39054A42" w14:textId="05B7C963" w:rsidR="00EC214E" w:rsidRDefault="00C611D3" w:rsidP="0039051D">
      <w:pPr>
        <w:pStyle w:val="BodyText"/>
        <w:numPr>
          <w:ilvl w:val="1"/>
          <w:numId w:val="24"/>
        </w:numPr>
        <w:rPr>
          <w:rFonts w:cstheme="minorHAnsi"/>
        </w:rPr>
      </w:pPr>
      <w:r w:rsidRPr="6D99CE60">
        <w:t xml:space="preserve">In some cases may </w:t>
      </w:r>
      <w:r w:rsidR="00765045" w:rsidRPr="6D99CE60">
        <w:t xml:space="preserve">need to turn to responsible / selective divestment </w:t>
      </w:r>
      <w:r w:rsidR="002578F1" w:rsidRPr="6D99CE60">
        <w:t>where there are no other effective opportunities to exert leverage or efforts have failed</w:t>
      </w:r>
      <w:r w:rsidR="00B249CD">
        <w:t xml:space="preserve"> (or where applicable exclusions</w:t>
      </w:r>
      <w:r w:rsidR="00AF3748">
        <w:t xml:space="preserve"> or </w:t>
      </w:r>
      <w:r w:rsidR="00B249CD">
        <w:t>investment policies</w:t>
      </w:r>
      <w:r w:rsidR="00AF3748">
        <w:t xml:space="preserve"> dictate)</w:t>
      </w:r>
      <w:r w:rsidR="002578F1" w:rsidRPr="6D99CE60">
        <w:t>.</w:t>
      </w:r>
      <w:r w:rsidR="00EA306A" w:rsidRPr="6D99CE60">
        <w:rPr>
          <w:rStyle w:val="FootnoteReference"/>
        </w:rPr>
        <w:footnoteReference w:id="54"/>
      </w:r>
      <w:r w:rsidR="000B1F0D" w:rsidRPr="6D99CE60">
        <w:t xml:space="preserve"> In some cases </w:t>
      </w:r>
      <w:r w:rsidR="00EA306A" w:rsidRPr="6D99CE60">
        <w:t xml:space="preserve">where </w:t>
      </w:r>
      <w:r w:rsidR="00AF3748">
        <w:t xml:space="preserve">a </w:t>
      </w:r>
      <w:r w:rsidR="00EA306A" w:rsidRPr="6D99CE60">
        <w:t>corporate</w:t>
      </w:r>
      <w:r w:rsidR="00AF3748">
        <w:t>’s</w:t>
      </w:r>
      <w:r w:rsidR="00EA306A" w:rsidRPr="6D99CE60">
        <w:t xml:space="preserve"> core business activity is known to contribute to human rights harms and / or jeopardise planetary boundaries, it may be appropriate to exclude certain activities from investment and divest existing holdings if businesses cannot be persuaded to transition (see </w:t>
      </w:r>
      <w:hyperlink r:id="rId16">
        <w:r w:rsidR="00EA306A" w:rsidRPr="6D99CE60">
          <w:rPr>
            <w:rStyle w:val="Hyperlink"/>
          </w:rPr>
          <w:t>SBTi fossil finance paper</w:t>
        </w:r>
      </w:hyperlink>
      <w:r w:rsidR="00EA306A" w:rsidRPr="6D99CE60">
        <w:t xml:space="preserve"> as an example). </w:t>
      </w:r>
      <w:r w:rsidR="00D65313">
        <w:t>This may apply equally to other types of investor and asset class</w:t>
      </w:r>
      <w:r w:rsidR="00A9279E">
        <w:t xml:space="preserve">, in line with </w:t>
      </w:r>
      <w:r w:rsidR="00BF04E3">
        <w:t>the OECD’s guidance on considering divestment and exclusion for institutional investors.</w:t>
      </w:r>
      <w:r w:rsidR="00BF04E3">
        <w:rPr>
          <w:rStyle w:val="FootnoteReference"/>
        </w:rPr>
        <w:footnoteReference w:id="55"/>
      </w:r>
    </w:p>
    <w:p w14:paraId="0B610AD2" w14:textId="583CEA74" w:rsidR="00054B6C" w:rsidRPr="00A571BA" w:rsidRDefault="00A571BA" w:rsidP="00A571BA">
      <w:pPr>
        <w:pStyle w:val="BodyText"/>
        <w:ind w:left="720"/>
        <w:rPr>
          <w:rFonts w:cstheme="minorHAnsi"/>
        </w:rPr>
      </w:pPr>
      <w:r>
        <w:rPr>
          <w:rFonts w:cstheme="minorHAnsi"/>
        </w:rPr>
        <w:t xml:space="preserve">In all cases, the ability of investors to exert leverage through collaborative initiatives and through </w:t>
      </w:r>
      <w:r w:rsidR="00DB267D">
        <w:rPr>
          <w:rFonts w:cstheme="minorHAnsi"/>
        </w:rPr>
        <w:t>p</w:t>
      </w:r>
      <w:r w:rsidR="00054B6C">
        <w:rPr>
          <w:rFonts w:cstheme="minorHAnsi"/>
        </w:rPr>
        <w:t xml:space="preserve">olicy </w:t>
      </w:r>
      <w:r>
        <w:rPr>
          <w:rFonts w:cstheme="minorHAnsi"/>
        </w:rPr>
        <w:t xml:space="preserve">engagement / advocacy </w:t>
      </w:r>
      <w:r w:rsidR="00242CA5">
        <w:rPr>
          <w:rFonts w:cstheme="minorHAnsi"/>
        </w:rPr>
        <w:t xml:space="preserve">to create a favourable </w:t>
      </w:r>
      <w:r w:rsidR="00741036">
        <w:rPr>
          <w:rFonts w:cstheme="minorHAnsi"/>
        </w:rPr>
        <w:t xml:space="preserve">legal / </w:t>
      </w:r>
      <w:r w:rsidR="00242CA5">
        <w:rPr>
          <w:rFonts w:cstheme="minorHAnsi"/>
        </w:rPr>
        <w:t xml:space="preserve">policy environment </w:t>
      </w:r>
      <w:r>
        <w:rPr>
          <w:rFonts w:cstheme="minorHAnsi"/>
        </w:rPr>
        <w:t>should be remembered.</w:t>
      </w:r>
      <w:r w:rsidR="00741036">
        <w:rPr>
          <w:rFonts w:cstheme="minorHAnsi"/>
        </w:rPr>
        <w:t xml:space="preserve"> </w:t>
      </w:r>
      <w:r w:rsidR="000D0099">
        <w:rPr>
          <w:rFonts w:cstheme="minorHAnsi"/>
        </w:rPr>
        <w:t>This may be more important for investors that lack leverage over investee companies due to the nature of their investment strategy</w:t>
      </w:r>
      <w:r w:rsidR="008F7CB6">
        <w:rPr>
          <w:rFonts w:cstheme="minorHAnsi"/>
        </w:rPr>
        <w:t xml:space="preserve"> (e.g. passive investment in listed equities through minority shareholdings). Equally, l</w:t>
      </w:r>
      <w:r w:rsidR="00534A61">
        <w:rPr>
          <w:rFonts w:cstheme="minorHAnsi"/>
        </w:rPr>
        <w:t>obbying activity which appears inconsistent with human rights or environmental improvements should be carefully scrutinised.</w:t>
      </w:r>
    </w:p>
    <w:p w14:paraId="78038201" w14:textId="1D734EB2" w:rsidR="007A3320" w:rsidRPr="00A571BA" w:rsidRDefault="00FB6730" w:rsidP="00435021">
      <w:pPr>
        <w:pStyle w:val="BodyText"/>
        <w:ind w:left="720"/>
        <w:rPr>
          <w:rFonts w:cstheme="minorHAnsi"/>
        </w:rPr>
      </w:pPr>
      <w:r>
        <w:t>In</w:t>
      </w:r>
      <w:r w:rsidR="004279C4">
        <w:t xml:space="preserve"> relation to the exercise of ownership rights by equity investors</w:t>
      </w:r>
      <w:r w:rsidR="007A3320" w:rsidRPr="6D99CE60">
        <w:t>,</w:t>
      </w:r>
      <w:r w:rsidR="004279C4">
        <w:t xml:space="preserve"> however,</w:t>
      </w:r>
      <w:r w:rsidR="007A3320" w:rsidRPr="6D99CE60">
        <w:t xml:space="preserve"> there is</w:t>
      </w:r>
      <w:r w:rsidR="004279C4">
        <w:t xml:space="preserve"> concerning</w:t>
      </w:r>
      <w:r w:rsidR="007A3320" w:rsidRPr="6D99CE60">
        <w:t xml:space="preserve"> evidence that the largest asset managers in the world are hesitant to back action-orientated resolutions on environmental and social issues and may be impeding progress. In its 2022 </w:t>
      </w:r>
      <w:r w:rsidR="007A3320" w:rsidRPr="6D99CE60">
        <w:rPr>
          <w:i/>
          <w:iCs/>
        </w:rPr>
        <w:t>Voting Matters</w:t>
      </w:r>
      <w:r w:rsidR="007A3320" w:rsidRPr="6D99CE60">
        <w:t xml:space="preserve"> report, for example, ShareAction found that, on average, the four largest asset managers in the world supported just 20% of environmental and social resolutions. Their support for environmental resolutions at energy companies fell between 2021 and 2022, and they were found to vote more conservatively than the advice of their proxy advisors (ISS and Glass Lewis).</w:t>
      </w:r>
      <w:r w:rsidR="007A3320" w:rsidRPr="6D99CE60">
        <w:rPr>
          <w:rStyle w:val="FootnoteReference"/>
        </w:rPr>
        <w:footnoteReference w:id="56"/>
      </w:r>
      <w:r w:rsidR="007A3320" w:rsidRPr="6D99CE60">
        <w:t xml:space="preserve"> In this area the risk that investors are not fully using available leverage appears to be high. Scrutiny in this area should also cover investors’ </w:t>
      </w:r>
      <w:r w:rsidR="00C8073D">
        <w:t>(un)</w:t>
      </w:r>
      <w:r w:rsidR="007A3320" w:rsidRPr="6D99CE60">
        <w:t>willingness to oppose routine / traditional votes on company accounting and director reappointment etc. when human rights failings are identified. In the climate context, there are suggestions that investors rarely vote against the directors of climate laggards identified by the CA100+ investor coalition, even when the polluting companies refuse to act.</w:t>
      </w:r>
      <w:r w:rsidR="007A3320" w:rsidRPr="6D99CE60">
        <w:rPr>
          <w:rStyle w:val="FootnoteReference"/>
        </w:rPr>
        <w:footnoteReference w:id="57"/>
      </w:r>
    </w:p>
    <w:p w14:paraId="3AF0EF4B" w14:textId="77777777" w:rsidR="00F037DB" w:rsidRPr="007C44B2" w:rsidRDefault="00F037DB" w:rsidP="00F037DB">
      <w:pPr>
        <w:pStyle w:val="BodyText"/>
        <w:numPr>
          <w:ilvl w:val="0"/>
          <w:numId w:val="19"/>
        </w:numPr>
        <w:rPr>
          <w:rFonts w:cstheme="minorHAnsi"/>
          <w:b/>
          <w:bCs/>
        </w:rPr>
      </w:pPr>
      <w:r w:rsidRPr="007C44B2">
        <w:rPr>
          <w:rFonts w:cstheme="minorHAnsi"/>
          <w:b/>
          <w:bCs/>
        </w:rPr>
        <w:t>What provisions can be included in contracts or investment agreements to encourage respect for human rights? Can technological devices like Blockchain assist in this regard?</w:t>
      </w:r>
    </w:p>
    <w:p w14:paraId="433C8F95" w14:textId="5D80C10B" w:rsidR="00C268A5" w:rsidRPr="007C44B2" w:rsidRDefault="00C268A5" w:rsidP="00C96318">
      <w:pPr>
        <w:pStyle w:val="BodyText"/>
        <w:ind w:left="720"/>
        <w:rPr>
          <w:rFonts w:cstheme="minorHAnsi"/>
        </w:rPr>
      </w:pPr>
      <w:r w:rsidRPr="6D99CE60">
        <w:t xml:space="preserve">To take one specific example, </w:t>
      </w:r>
      <w:r w:rsidR="00BF3CFF" w:rsidRPr="6D99CE60">
        <w:t xml:space="preserve">human rights, sustainability and environmental requirements could be built into the </w:t>
      </w:r>
      <w:r w:rsidR="00A16ED0" w:rsidRPr="6D99CE60">
        <w:t xml:space="preserve">investment mandate between asset owners and their external asset managers, to empower </w:t>
      </w:r>
      <w:r w:rsidR="007A096F">
        <w:t xml:space="preserve">and require </w:t>
      </w:r>
      <w:r w:rsidR="00A16ED0" w:rsidRPr="6D99CE60">
        <w:t xml:space="preserve">the asset managers to exert leverage over companies in line with such requirements, whereas they currently cite inconsistency with </w:t>
      </w:r>
      <w:r w:rsidR="00C51863" w:rsidRPr="6D99CE60">
        <w:t xml:space="preserve">financial </w:t>
      </w:r>
      <w:r w:rsidR="00472CA8" w:rsidRPr="6D99CE60">
        <w:t xml:space="preserve">return objectives as a barrier to more progressive engagement. </w:t>
      </w:r>
      <w:r w:rsidR="00AC6923" w:rsidRPr="6D99CE60">
        <w:t xml:space="preserve">The UK Asset Owner Roundtable recently announced a </w:t>
      </w:r>
      <w:r w:rsidR="00AC6923" w:rsidRPr="6D99CE60">
        <w:lastRenderedPageBreak/>
        <w:t xml:space="preserve">research </w:t>
      </w:r>
      <w:r w:rsidR="005816D2">
        <w:t>project</w:t>
      </w:r>
      <w:r w:rsidR="00AC6923" w:rsidRPr="6D99CE60">
        <w:t xml:space="preserve"> on voting alignment between asset owners and their asset managers</w:t>
      </w:r>
      <w:r w:rsidR="007C44B2" w:rsidRPr="6D99CE60">
        <w:t>, in response to concerns that short term interests are delaying action on climate change to the detriment of the long term interests of pension funds.</w:t>
      </w:r>
      <w:r w:rsidR="007C44B2" w:rsidRPr="6D99CE60">
        <w:rPr>
          <w:rStyle w:val="FootnoteReference"/>
        </w:rPr>
        <w:footnoteReference w:id="58"/>
      </w:r>
      <w:r w:rsidR="007C44B2" w:rsidRPr="6D99CE60">
        <w:t xml:space="preserve"> Ultimately, development of the contractual relationships involved may be a useful tool to promote the desired alignment.</w:t>
      </w:r>
    </w:p>
    <w:p w14:paraId="4818F34D" w14:textId="77777777" w:rsidR="00F037DB" w:rsidRPr="00176DED" w:rsidRDefault="00F037DB" w:rsidP="00F037DB">
      <w:pPr>
        <w:pStyle w:val="BodyText"/>
        <w:numPr>
          <w:ilvl w:val="0"/>
          <w:numId w:val="19"/>
        </w:numPr>
        <w:rPr>
          <w:rFonts w:cstheme="minorHAnsi"/>
          <w:b/>
        </w:rPr>
      </w:pPr>
      <w:r w:rsidRPr="00176DED">
        <w:rPr>
          <w:rFonts w:cstheme="minorHAnsi"/>
          <w:b/>
        </w:rPr>
        <w:t>In what circumstances should investors refrain from making ESG-related investments in view of potential risks of adverse human rights impacts?</w:t>
      </w:r>
    </w:p>
    <w:p w14:paraId="740086B5" w14:textId="6AA06B03" w:rsidR="00667556" w:rsidRPr="00176DED" w:rsidRDefault="00667556" w:rsidP="00667556">
      <w:pPr>
        <w:pStyle w:val="BodyText"/>
        <w:ind w:left="720"/>
        <w:rPr>
          <w:rFonts w:cstheme="minorHAnsi"/>
        </w:rPr>
      </w:pPr>
      <w:r w:rsidRPr="00176DED">
        <w:rPr>
          <w:rFonts w:cstheme="minorHAnsi"/>
        </w:rPr>
        <w:t xml:space="preserve">See out comments in </w:t>
      </w:r>
      <w:r w:rsidRPr="00176DED">
        <w:rPr>
          <w:rFonts w:cstheme="minorHAnsi"/>
          <w:i/>
          <w:iCs/>
        </w:rPr>
        <w:t>Corporate responsibility: Q6</w:t>
      </w:r>
      <w:r w:rsidRPr="00176DED">
        <w:rPr>
          <w:rFonts w:cstheme="minorHAnsi"/>
        </w:rPr>
        <w:t xml:space="preserve"> regarding the adoption of policies against financing </w:t>
      </w:r>
      <w:r w:rsidR="00176DED" w:rsidRPr="00176DED">
        <w:rPr>
          <w:rFonts w:cstheme="minorHAnsi"/>
        </w:rPr>
        <w:t xml:space="preserve">or servicing </w:t>
      </w:r>
      <w:r w:rsidRPr="00176DED">
        <w:rPr>
          <w:rFonts w:cstheme="minorHAnsi"/>
        </w:rPr>
        <w:t>activities</w:t>
      </w:r>
      <w:r w:rsidR="00176DED" w:rsidRPr="00176DED">
        <w:rPr>
          <w:rFonts w:cstheme="minorHAnsi"/>
        </w:rPr>
        <w:t xml:space="preserve"> known to be incompatible with the Paris Agreement climate goals, or other planetary boundaries.</w:t>
      </w:r>
    </w:p>
    <w:p w14:paraId="003AAFC3" w14:textId="462D37F7" w:rsidR="00F037DB" w:rsidRPr="0002640E" w:rsidRDefault="00F037DB" w:rsidP="00F037DB">
      <w:pPr>
        <w:pStyle w:val="BodyText"/>
        <w:numPr>
          <w:ilvl w:val="0"/>
          <w:numId w:val="19"/>
        </w:numPr>
        <w:rPr>
          <w:rFonts w:cstheme="minorHAnsi"/>
          <w:b/>
          <w:bCs/>
        </w:rPr>
      </w:pPr>
      <w:r w:rsidRPr="0002640E">
        <w:rPr>
          <w:rFonts w:cstheme="minorHAnsi"/>
          <w:b/>
          <w:bCs/>
        </w:rPr>
        <w:t>How can investors best provide transparency in their disclosures about their practices which are, or are not, in alignment with the UNGPs?</w:t>
      </w:r>
    </w:p>
    <w:p w14:paraId="2EA33301" w14:textId="77777777" w:rsidR="004E3B03" w:rsidRDefault="00154153" w:rsidP="004E3B03">
      <w:pPr>
        <w:pStyle w:val="BodyText"/>
        <w:ind w:left="720"/>
      </w:pPr>
      <w:r w:rsidRPr="00B604B6">
        <w:rPr>
          <w:rFonts w:eastAsia="Times New Roman" w:cstheme="minorHAnsi"/>
        </w:rPr>
        <w:t xml:space="preserve">We refer the Working Group to BankTrack’s </w:t>
      </w:r>
      <w:hyperlink r:id="rId17">
        <w:r w:rsidRPr="00B604B6">
          <w:rPr>
            <w:rStyle w:val="Hyperlink"/>
            <w:rFonts w:eastAsia="Times New Roman" w:cstheme="minorHAnsi"/>
          </w:rPr>
          <w:t>Global Human Rights Benchmark 2022</w:t>
        </w:r>
      </w:hyperlink>
      <w:r>
        <w:t xml:space="preserve"> in relation to human rights related reporting by banks. Among various issues observed in the report is the fact that </w:t>
      </w:r>
      <w:r w:rsidR="000F70EE">
        <w:t>reporting on</w:t>
      </w:r>
      <w:r w:rsidR="002C43DE">
        <w:t xml:space="preserve"> the occurrence of</w:t>
      </w:r>
      <w:r w:rsidR="000F70EE">
        <w:t xml:space="preserve"> </w:t>
      </w:r>
      <w:r w:rsidR="000F70EE" w:rsidRPr="00EA7223">
        <w:rPr>
          <w:i/>
          <w:iCs/>
        </w:rPr>
        <w:t xml:space="preserve">specific </w:t>
      </w:r>
      <w:r w:rsidR="000F70EE">
        <w:t xml:space="preserve">human rights impacts is very poor. BankTrack found that the majority of banks (31 out of 50, or 62%) did not achieve any </w:t>
      </w:r>
      <w:r w:rsidR="003A0557">
        <w:t>score on this criterion (</w:t>
      </w:r>
      <w:r w:rsidR="00F93AC7">
        <w:t>76% in the 2019 benchmark)</w:t>
      </w:r>
      <w:r w:rsidR="00077965">
        <w:t>.</w:t>
      </w:r>
      <w:r w:rsidR="00251719">
        <w:t xml:space="preserve"> It is essential that disclosure enables the adequacy of a financial institution’s </w:t>
      </w:r>
      <w:r w:rsidR="007A59A2">
        <w:t>response to particular</w:t>
      </w:r>
      <w:r w:rsidR="002C43DE">
        <w:t xml:space="preserve"> occurrences of</w:t>
      </w:r>
      <w:r w:rsidR="007A59A2">
        <w:t xml:space="preserve"> human rights impacts to be assessed, </w:t>
      </w:r>
      <w:r w:rsidR="006135AF">
        <w:t>and this needs to be improved.</w:t>
      </w:r>
    </w:p>
    <w:p w14:paraId="3F68A113" w14:textId="41BB9415" w:rsidR="00513683" w:rsidRPr="00154153" w:rsidRDefault="005D6210" w:rsidP="00581E2C">
      <w:pPr>
        <w:pStyle w:val="BodyText"/>
        <w:ind w:left="720"/>
        <w:rPr>
          <w:highlight w:val="yellow"/>
        </w:rPr>
      </w:pPr>
      <w:r>
        <w:t>T</w:t>
      </w:r>
      <w:r w:rsidR="000C6D18">
        <w:t>he OECD Guidelines for Multinational Enterprises (as updated in 2023)</w:t>
      </w:r>
      <w:r w:rsidR="005D4D14">
        <w:t>, provide that companies</w:t>
      </w:r>
      <w:r w:rsidR="00E601F9">
        <w:t xml:space="preserve"> should disclose </w:t>
      </w:r>
      <w:r w:rsidR="00B25C96">
        <w:rPr>
          <w:i/>
          <w:iCs/>
        </w:rPr>
        <w:t>“</w:t>
      </w:r>
      <w:r w:rsidR="007559A4" w:rsidRPr="007559A4">
        <w:rPr>
          <w:i/>
          <w:iCs/>
        </w:rPr>
        <w:t>the enterprise’s identified areas of significant impacts or risks, the adverse impacts or risks identified, prioritised and assessed, as well as the prioritisation criteria</w:t>
      </w:r>
      <w:r w:rsidR="007559A4">
        <w:t>” (Section III, para. 3(d))</w:t>
      </w:r>
      <w:r w:rsidR="00B25C96">
        <w:t xml:space="preserve"> and “</w:t>
      </w:r>
      <w:r w:rsidR="00B25C96">
        <w:rPr>
          <w:i/>
          <w:iCs/>
        </w:rPr>
        <w:t xml:space="preserve">the </w:t>
      </w:r>
      <w:r w:rsidR="009714FB">
        <w:rPr>
          <w:i/>
          <w:iCs/>
        </w:rPr>
        <w:t>actions taken to prevent or mitigate the risks or impacts identified</w:t>
      </w:r>
      <w:r w:rsidR="009714FB">
        <w:t>” (Section III, para. 3(e)).</w:t>
      </w:r>
      <w:r w:rsidR="001529C0">
        <w:t xml:space="preserve"> The clear implication is that enterprises should disclose not just the policies and processes </w:t>
      </w:r>
      <w:r w:rsidR="00F54BFE">
        <w:t>they have in place to identify and address negative human rights impacts, but the high risk areas in their business operations</w:t>
      </w:r>
      <w:r w:rsidR="002C43DE">
        <w:t>, an</w:t>
      </w:r>
      <w:r w:rsidR="00B35CAF">
        <w:t xml:space="preserve">y </w:t>
      </w:r>
      <w:r w:rsidR="002C43DE">
        <w:t>specific human rights risk</w:t>
      </w:r>
      <w:r w:rsidR="00B35CAF">
        <w:t>s</w:t>
      </w:r>
      <w:r w:rsidR="002C43DE">
        <w:t xml:space="preserve"> identified</w:t>
      </w:r>
      <w:r w:rsidR="00B35CAF">
        <w:t xml:space="preserve">, </w:t>
      </w:r>
      <w:r w:rsidR="00F54BFE">
        <w:t>any specific occurrences</w:t>
      </w:r>
      <w:r w:rsidR="002C43DE">
        <w:t xml:space="preserve"> of </w:t>
      </w:r>
      <w:r w:rsidR="00B35CAF">
        <w:t xml:space="preserve">such risks, and the response of the enterprise. </w:t>
      </w:r>
      <w:r w:rsidR="003F231C">
        <w:t xml:space="preserve">This is necessary to comply with </w:t>
      </w:r>
      <w:r w:rsidR="008C17FA">
        <w:t>UN Guiding Principle 21, and the “know and show” principle explained in the commentary to it.</w:t>
      </w:r>
    </w:p>
    <w:p w14:paraId="5115352E" w14:textId="0475716A" w:rsidR="00154153" w:rsidRPr="00D91188" w:rsidRDefault="00D91188" w:rsidP="00581E2C">
      <w:pPr>
        <w:pStyle w:val="BodyText"/>
        <w:ind w:left="720"/>
        <w:rPr>
          <w:rFonts w:cstheme="minorHAnsi"/>
        </w:rPr>
      </w:pPr>
      <w:r w:rsidRPr="00D91188">
        <w:rPr>
          <w:rFonts w:cstheme="minorHAnsi"/>
          <w:i/>
          <w:iCs/>
        </w:rPr>
        <w:t>See further our response to State Duty: Q3</w:t>
      </w:r>
      <w:r w:rsidRPr="00D91188">
        <w:rPr>
          <w:rFonts w:cstheme="minorHAnsi"/>
        </w:rPr>
        <w:t xml:space="preserve">. </w:t>
      </w:r>
      <w:r>
        <w:rPr>
          <w:rFonts w:cstheme="minorHAnsi"/>
        </w:rPr>
        <w:t xml:space="preserve">It is essential that investors: (a) do what they say they will do in relation to human rights, the environment and UN Guiding Principles compliance; and (b) understand the implications of any public claims about adherence to the UN Guiding Principles, Paris- or net zero-alignment etc. </w:t>
      </w:r>
      <w:r w:rsidR="00F61F7B">
        <w:rPr>
          <w:rFonts w:cstheme="minorHAnsi"/>
        </w:rPr>
        <w:t>If their practices / investments are demonstrably inconsistent with such claims, they risk misleading their clients and stakeholders and the associated legal risks related to greenwashing.</w:t>
      </w:r>
    </w:p>
    <w:p w14:paraId="319E2E14" w14:textId="4C4E03EE" w:rsidR="0011695B" w:rsidRPr="0011695B" w:rsidRDefault="0011695B" w:rsidP="00581E2C">
      <w:pPr>
        <w:pStyle w:val="BodyText"/>
        <w:ind w:left="720"/>
        <w:rPr>
          <w:rFonts w:cstheme="minorHAnsi"/>
        </w:rPr>
      </w:pPr>
      <w:r>
        <w:rPr>
          <w:rFonts w:cstheme="minorHAnsi"/>
        </w:rPr>
        <w:t xml:space="preserve">In the context of climate change, </w:t>
      </w:r>
      <w:r w:rsidR="0015327B">
        <w:rPr>
          <w:rFonts w:cstheme="minorHAnsi"/>
        </w:rPr>
        <w:t>it is also important that investors disclose transition plans which are aligned with credible net zero pathways and that their disclosures are sufficiently detailed a</w:t>
      </w:r>
      <w:r w:rsidR="00EC79B2">
        <w:rPr>
          <w:rFonts w:cstheme="minorHAnsi"/>
        </w:rPr>
        <w:t>nd rigorous to enable a detailed assessment of what they plan to do,</w:t>
      </w:r>
      <w:r w:rsidR="00EA04B7">
        <w:rPr>
          <w:rFonts w:cstheme="minorHAnsi"/>
        </w:rPr>
        <w:t xml:space="preserve"> what they go on to do in practice (i.e. implementation),</w:t>
      </w:r>
      <w:r w:rsidR="00EC79B2">
        <w:rPr>
          <w:rFonts w:cstheme="minorHAnsi"/>
        </w:rPr>
        <w:t xml:space="preserve"> and whether it is sufficient. See our comments elsewhere in this response regarding the human rights implications of failing to develop and implement a Paris-aligned transition plan.</w:t>
      </w:r>
    </w:p>
    <w:p w14:paraId="667576B2" w14:textId="77777777" w:rsidR="00F037DB" w:rsidRPr="00B604B6" w:rsidRDefault="00F037DB" w:rsidP="00EC79B2">
      <w:pPr>
        <w:pStyle w:val="BodyText"/>
        <w:keepNext/>
        <w:numPr>
          <w:ilvl w:val="0"/>
          <w:numId w:val="19"/>
        </w:numPr>
        <w:ind w:left="714" w:hanging="357"/>
        <w:rPr>
          <w:rFonts w:cstheme="minorHAnsi"/>
          <w:b/>
          <w:bCs/>
        </w:rPr>
      </w:pPr>
      <w:r w:rsidRPr="00B604B6">
        <w:rPr>
          <w:rFonts w:cstheme="minorHAnsi"/>
          <w:b/>
          <w:bCs/>
        </w:rPr>
        <w:lastRenderedPageBreak/>
        <w:t>Explain the differences and similarities of ESG approaches, including their approaches to human rights risks, with the human rights-based approach set out by the UNGPs?</w:t>
      </w:r>
    </w:p>
    <w:p w14:paraId="4A98D53A" w14:textId="7598FF0B" w:rsidR="007E6C2A" w:rsidRPr="00B604B6" w:rsidRDefault="00492EFA" w:rsidP="007E6C2A">
      <w:pPr>
        <w:pStyle w:val="BodyText"/>
        <w:ind w:left="720"/>
        <w:rPr>
          <w:rFonts w:cstheme="minorHAnsi"/>
        </w:rPr>
      </w:pPr>
      <w:r w:rsidRPr="00B604B6">
        <w:rPr>
          <w:rFonts w:cstheme="minorHAnsi"/>
        </w:rPr>
        <w:t xml:space="preserve">See our response to </w:t>
      </w:r>
      <w:r w:rsidRPr="00B604B6">
        <w:rPr>
          <w:rFonts w:cstheme="minorHAnsi"/>
          <w:i/>
          <w:iCs/>
        </w:rPr>
        <w:t>General: Q1</w:t>
      </w:r>
      <w:r w:rsidRPr="00B604B6">
        <w:rPr>
          <w:rFonts w:cstheme="minorHAnsi"/>
        </w:rPr>
        <w:t>.</w:t>
      </w:r>
    </w:p>
    <w:p w14:paraId="435786F9" w14:textId="77777777" w:rsidR="00F037DB" w:rsidRPr="00B604B6" w:rsidRDefault="00F037DB" w:rsidP="00F037DB">
      <w:pPr>
        <w:pStyle w:val="BodyText"/>
        <w:numPr>
          <w:ilvl w:val="0"/>
          <w:numId w:val="19"/>
        </w:numPr>
        <w:rPr>
          <w:rFonts w:cstheme="minorHAnsi"/>
          <w:color w:val="FF0000"/>
        </w:rPr>
      </w:pPr>
      <w:r w:rsidRPr="00B604B6">
        <w:rPr>
          <w:rFonts w:cstheme="minorHAnsi"/>
          <w:color w:val="FF0000"/>
        </w:rPr>
        <w:t>Is the role of consultation with stakeholders, such as the local communities, women and Indigenous peoples, the same for an ESG approach and an approach set out by the UNGPs and, if not, in what way do they differ? What expectations and/or challenges do investors face in undertaking meaningful stakeholder consultation?</w:t>
      </w:r>
    </w:p>
    <w:p w14:paraId="0FE1CD6F" w14:textId="77777777" w:rsidR="00F037DB" w:rsidRPr="00B604B6" w:rsidRDefault="00F037DB" w:rsidP="00F037DB">
      <w:pPr>
        <w:pStyle w:val="BodyText"/>
        <w:numPr>
          <w:ilvl w:val="0"/>
          <w:numId w:val="19"/>
        </w:numPr>
        <w:rPr>
          <w:rFonts w:cstheme="minorHAnsi"/>
          <w:color w:val="FF0000"/>
        </w:rPr>
      </w:pPr>
      <w:r w:rsidRPr="00B604B6">
        <w:rPr>
          <w:rFonts w:cstheme="minorHAnsi"/>
          <w:color w:val="FF0000"/>
        </w:rPr>
        <w:t>How should investors take gender-responsive, disability-responsive, and intersectional-responsive approaches? How should investors take a heightened human rights due diligence approach in conflict affected areas?</w:t>
      </w:r>
    </w:p>
    <w:p w14:paraId="6492E008" w14:textId="77777777" w:rsidR="00F037DB" w:rsidRPr="00B604B6" w:rsidRDefault="00F037DB" w:rsidP="00F037DB">
      <w:pPr>
        <w:pStyle w:val="BodyText"/>
        <w:numPr>
          <w:ilvl w:val="0"/>
          <w:numId w:val="19"/>
        </w:numPr>
        <w:rPr>
          <w:rFonts w:cstheme="minorHAnsi"/>
          <w:b/>
          <w:bCs/>
        </w:rPr>
      </w:pPr>
      <w:r w:rsidRPr="00B604B6">
        <w:rPr>
          <w:rFonts w:cstheme="minorHAnsi"/>
          <w:b/>
          <w:bCs/>
        </w:rPr>
        <w:t>Are there any roles which stock exchanges could play in ensuring investors, and the businesses in which they invest, respect human rights?</w:t>
      </w:r>
    </w:p>
    <w:p w14:paraId="0723E759" w14:textId="768A487A" w:rsidR="001566DF" w:rsidRPr="00B604B6" w:rsidRDefault="00F33A2E" w:rsidP="003B0D09">
      <w:pPr>
        <w:pStyle w:val="BodyText"/>
        <w:ind w:left="720"/>
        <w:rPr>
          <w:rFonts w:cstheme="minorHAnsi"/>
        </w:rPr>
      </w:pPr>
      <w:r w:rsidRPr="6D99CE60">
        <w:t xml:space="preserve">In relation to both ESG and human rights, there is huge focus on </w:t>
      </w:r>
      <w:r w:rsidR="00252761" w:rsidRPr="6D99CE60">
        <w:t xml:space="preserve">implementing effective disclosure and due diligence rules which apply to listed companies. </w:t>
      </w:r>
      <w:r w:rsidR="003E48EC" w:rsidRPr="6D99CE60">
        <w:t>As we have commented elsewhere</w:t>
      </w:r>
      <w:r w:rsidR="003E48EC" w:rsidRPr="6D99CE60">
        <w:rPr>
          <w:rStyle w:val="FootnoteReference"/>
        </w:rPr>
        <w:footnoteReference w:id="59"/>
      </w:r>
      <w:r w:rsidR="003E48EC" w:rsidRPr="6D99CE60">
        <w:t xml:space="preserve">, however, </w:t>
      </w:r>
      <w:r w:rsidR="00A46BA9" w:rsidRPr="6D99CE60">
        <w:t>stock exchanges and listing authorities</w:t>
      </w:r>
      <w:r w:rsidR="000370C2" w:rsidRPr="6D99CE60">
        <w:t xml:space="preserve"> are missing the opportunity </w:t>
      </w:r>
      <w:r w:rsidR="00A46BA9" w:rsidRPr="6D99CE60">
        <w:t xml:space="preserve">to intervene at the point when they have most leverage over regulated companies – when companies apply for access to the world’s capital markets. </w:t>
      </w:r>
      <w:r w:rsidR="00C32CD9" w:rsidRPr="6D99CE60">
        <w:t>By acting as effective gatekeepers and integrating</w:t>
      </w:r>
      <w:r w:rsidR="0048783B" w:rsidRPr="6D99CE60">
        <w:t xml:space="preserve"> environmental and human rights requirements </w:t>
      </w:r>
      <w:r w:rsidR="0048783B" w:rsidRPr="6D99CE60">
        <w:rPr>
          <w:i/>
          <w:iCs/>
        </w:rPr>
        <w:t>at the point companies apply to list securities on the market</w:t>
      </w:r>
      <w:r w:rsidR="0048783B" w:rsidRPr="6D99CE60">
        <w:t xml:space="preserve">, </w:t>
      </w:r>
      <w:r w:rsidR="00AC596B" w:rsidRPr="6D99CE60">
        <w:t xml:space="preserve">listing authorities and stock exchanges could use the full extent of their leverage to control the exposure of investors to human rights and environmental harms </w:t>
      </w:r>
      <w:r w:rsidR="00241876" w:rsidRPr="6D99CE60">
        <w:t>caused by companies benefiting from market access.</w:t>
      </w:r>
    </w:p>
    <w:p w14:paraId="6E3CC5E5" w14:textId="403A479F" w:rsidR="000D2C53" w:rsidRPr="00B604B6" w:rsidRDefault="00A052D5" w:rsidP="00A052D5">
      <w:pPr>
        <w:pStyle w:val="BodyText"/>
        <w:ind w:left="720"/>
        <w:rPr>
          <w:rFonts w:cstheme="minorHAnsi"/>
        </w:rPr>
      </w:pPr>
      <w:r w:rsidRPr="00B604B6">
        <w:rPr>
          <w:rFonts w:cstheme="minorHAnsi"/>
        </w:rPr>
        <w:t>In practice</w:t>
      </w:r>
      <w:r w:rsidR="004840FE" w:rsidRPr="00B604B6">
        <w:rPr>
          <w:rFonts w:cstheme="minorHAnsi"/>
        </w:rPr>
        <w:t xml:space="preserve">, </w:t>
      </w:r>
      <w:r w:rsidR="00C3677E" w:rsidRPr="00B604B6">
        <w:rPr>
          <w:rFonts w:cstheme="minorHAnsi"/>
        </w:rPr>
        <w:t xml:space="preserve">despite listing authorities and stock exchanges having </w:t>
      </w:r>
      <w:r w:rsidR="00271A0C" w:rsidRPr="00B604B6">
        <w:rPr>
          <w:rFonts w:cstheme="minorHAnsi"/>
        </w:rPr>
        <w:t>typically having power</w:t>
      </w:r>
      <w:r w:rsidR="00102CCE" w:rsidRPr="00B604B6">
        <w:rPr>
          <w:rFonts w:cstheme="minorHAnsi"/>
        </w:rPr>
        <w:t xml:space="preserve">s </w:t>
      </w:r>
      <w:r w:rsidR="00271A0C" w:rsidRPr="00B604B6">
        <w:rPr>
          <w:rFonts w:cstheme="minorHAnsi"/>
        </w:rPr>
        <w:t xml:space="preserve">to intervene in a listing to protect investors from detriment, </w:t>
      </w:r>
      <w:r w:rsidR="004840FE" w:rsidRPr="00B604B6">
        <w:rPr>
          <w:rFonts w:cstheme="minorHAnsi"/>
        </w:rPr>
        <w:t xml:space="preserve">listing requirements appear as a rule to be </w:t>
      </w:r>
      <w:r w:rsidR="00271A0C" w:rsidRPr="00B604B6">
        <w:rPr>
          <w:rFonts w:cstheme="minorHAnsi"/>
        </w:rPr>
        <w:t xml:space="preserve">applied in a </w:t>
      </w:r>
      <w:r w:rsidR="004840FE" w:rsidRPr="00B604B6">
        <w:rPr>
          <w:rFonts w:cstheme="minorHAnsi"/>
        </w:rPr>
        <w:t>relatively formulaic</w:t>
      </w:r>
      <w:r w:rsidR="00271A0C" w:rsidRPr="00B604B6">
        <w:rPr>
          <w:rFonts w:cstheme="minorHAnsi"/>
        </w:rPr>
        <w:t xml:space="preserve"> manner.</w:t>
      </w:r>
      <w:r w:rsidR="004840FE" w:rsidRPr="00B604B6">
        <w:rPr>
          <w:rFonts w:cstheme="minorHAnsi"/>
        </w:rPr>
        <w:t xml:space="preserve"> </w:t>
      </w:r>
      <w:r w:rsidR="00271A0C" w:rsidRPr="00B604B6">
        <w:rPr>
          <w:rFonts w:cstheme="minorHAnsi"/>
        </w:rPr>
        <w:t>C</w:t>
      </w:r>
      <w:r w:rsidR="004840FE" w:rsidRPr="00B604B6">
        <w:rPr>
          <w:rFonts w:cstheme="minorHAnsi"/>
        </w:rPr>
        <w:t xml:space="preserve">ompanies with </w:t>
      </w:r>
      <w:r w:rsidR="008501E2" w:rsidRPr="00B604B6">
        <w:rPr>
          <w:rFonts w:cstheme="minorHAnsi"/>
        </w:rPr>
        <w:t xml:space="preserve">damaging (in environmental or human rights terms) </w:t>
      </w:r>
      <w:r w:rsidR="00271A0C" w:rsidRPr="00B604B6">
        <w:rPr>
          <w:rFonts w:cstheme="minorHAnsi"/>
        </w:rPr>
        <w:t xml:space="preserve">business models </w:t>
      </w:r>
      <w:r w:rsidR="008501E2" w:rsidRPr="00B604B6">
        <w:rPr>
          <w:rFonts w:cstheme="minorHAnsi"/>
        </w:rPr>
        <w:t>are routinely able to list their securities</w:t>
      </w:r>
      <w:r w:rsidR="00271A0C" w:rsidRPr="00B604B6">
        <w:rPr>
          <w:rFonts w:cstheme="minorHAnsi"/>
        </w:rPr>
        <w:t>, attracting new capital investment</w:t>
      </w:r>
      <w:r w:rsidR="008501E2" w:rsidRPr="00B604B6">
        <w:rPr>
          <w:rFonts w:cstheme="minorHAnsi"/>
        </w:rPr>
        <w:t>.</w:t>
      </w:r>
      <w:r w:rsidR="00D9180F" w:rsidRPr="00B604B6">
        <w:rPr>
          <w:rFonts w:cstheme="minorHAnsi"/>
        </w:rPr>
        <w:t xml:space="preserve"> It falls to rightsholders and CSOs to challenge this state of affairs from the “ou</w:t>
      </w:r>
      <w:r w:rsidR="0057183A" w:rsidRPr="00B604B6">
        <w:rPr>
          <w:rFonts w:cstheme="minorHAnsi"/>
        </w:rPr>
        <w:t xml:space="preserve">tside” if </w:t>
      </w:r>
      <w:r w:rsidR="007014B1" w:rsidRPr="00B604B6">
        <w:rPr>
          <w:rFonts w:cstheme="minorHAnsi"/>
        </w:rPr>
        <w:t>listing authorities and exchanges do not use the full extent of their gatekeeping powers.</w:t>
      </w:r>
    </w:p>
    <w:p w14:paraId="5703DA0B" w14:textId="7EF4B8E5" w:rsidR="007014B1" w:rsidRPr="00B604B6" w:rsidRDefault="0094013F" w:rsidP="00A052D5">
      <w:pPr>
        <w:pStyle w:val="BodyText"/>
        <w:ind w:left="720"/>
        <w:rPr>
          <w:rFonts w:cstheme="minorHAnsi"/>
        </w:rPr>
      </w:pPr>
      <w:r w:rsidRPr="6D99CE60">
        <w:t xml:space="preserve">This dynamic can be seen in the </w:t>
      </w:r>
      <w:r w:rsidR="00507F47" w:rsidRPr="6D99CE60">
        <w:t xml:space="preserve">strong </w:t>
      </w:r>
      <w:r w:rsidR="00281974" w:rsidRPr="6D99CE60">
        <w:t xml:space="preserve">recent </w:t>
      </w:r>
      <w:r w:rsidR="00507F47" w:rsidRPr="6D99CE60">
        <w:t xml:space="preserve">opposition to </w:t>
      </w:r>
      <w:r w:rsidR="00B46868" w:rsidRPr="6D99CE60">
        <w:t xml:space="preserve">the plans of JBS, the world’s largest meatpacking business, to IPO on the New York Stock Exchange. </w:t>
      </w:r>
      <w:r w:rsidR="0062728E" w:rsidRPr="6D99CE60">
        <w:t xml:space="preserve">CSOs including Mighty Earth and Rainforest Action Network have filed complaints about the listing with US regulators, citing </w:t>
      </w:r>
      <w:r w:rsidR="008605D3" w:rsidRPr="6D99CE60">
        <w:t>human rights and environmental concerns, illegality and deforestation in the supply chain and associated greenwashing</w:t>
      </w:r>
      <w:r w:rsidR="005F01EB" w:rsidRPr="6D99CE60">
        <w:t>.</w:t>
      </w:r>
      <w:r w:rsidR="00281974" w:rsidRPr="6D99CE60">
        <w:rPr>
          <w:rStyle w:val="FootnoteReference"/>
        </w:rPr>
        <w:footnoteReference w:id="60"/>
      </w:r>
      <w:r w:rsidR="009C4B19" w:rsidRPr="6D99CE60">
        <w:t xml:space="preserve"> The complaints call on the </w:t>
      </w:r>
      <w:r w:rsidR="00054F05" w:rsidRPr="6D99CE60">
        <w:t>S</w:t>
      </w:r>
      <w:r w:rsidR="00263A06" w:rsidRPr="6D99CE60">
        <w:t>EC</w:t>
      </w:r>
      <w:r w:rsidR="00054F05" w:rsidRPr="6D99CE60">
        <w:t xml:space="preserve"> to consider whether the IPO should be given approval to proceed given the concerns identified.</w:t>
      </w:r>
    </w:p>
    <w:p w14:paraId="67E803EF" w14:textId="558D7918" w:rsidR="00307FB0" w:rsidRDefault="0001020F" w:rsidP="00A052D5">
      <w:pPr>
        <w:pStyle w:val="BodyText"/>
        <w:ind w:left="720"/>
      </w:pPr>
      <w:r w:rsidRPr="6D99CE60">
        <w:t xml:space="preserve">At one extreme, </w:t>
      </w:r>
      <w:r w:rsidR="003D78AA" w:rsidRPr="6D99CE60">
        <w:t xml:space="preserve">listing authorities and exchanges could refuse market access for companies </w:t>
      </w:r>
      <w:r w:rsidR="00A640AF" w:rsidRPr="6D99CE60">
        <w:t>known to c</w:t>
      </w:r>
      <w:r w:rsidR="003D78AA" w:rsidRPr="6D99CE60">
        <w:t>aus</w:t>
      </w:r>
      <w:r w:rsidR="00A640AF" w:rsidRPr="6D99CE60">
        <w:t>e</w:t>
      </w:r>
      <w:r w:rsidR="003D78AA" w:rsidRPr="6D99CE60">
        <w:t xml:space="preserve"> or contribut</w:t>
      </w:r>
      <w:r w:rsidR="00A640AF" w:rsidRPr="6D99CE60">
        <w:t>e</w:t>
      </w:r>
      <w:r w:rsidR="003D78AA" w:rsidRPr="6D99CE60">
        <w:t xml:space="preserve"> to sever</w:t>
      </w:r>
      <w:r w:rsidR="00A640AF" w:rsidRPr="6D99CE60">
        <w:t>e</w:t>
      </w:r>
      <w:r w:rsidR="003D78AA" w:rsidRPr="6D99CE60">
        <w:t xml:space="preserve"> human rights and environmental harms</w:t>
      </w:r>
      <w:r w:rsidR="00A06FB5" w:rsidRPr="6D99CE60">
        <w:t xml:space="preserve">, and there have been calls in some jurisdictions to </w:t>
      </w:r>
      <w:r w:rsidR="00775CCD" w:rsidRPr="6D99CE60">
        <w:t>ban fossil fuel listings specifically.</w:t>
      </w:r>
      <w:r w:rsidR="00775CCD" w:rsidRPr="6D99CE60">
        <w:rPr>
          <w:rStyle w:val="FootnoteReference"/>
        </w:rPr>
        <w:footnoteReference w:id="61"/>
      </w:r>
      <w:r w:rsidR="00775CCD" w:rsidRPr="6D99CE60">
        <w:t xml:space="preserve"> </w:t>
      </w:r>
      <w:r w:rsidR="003E5EFA" w:rsidRPr="6D99CE60">
        <w:t xml:space="preserve">Regulators could also treat such listings as “high risk” and impose proportionate conditions on the company before it is </w:t>
      </w:r>
      <w:r w:rsidR="003E5EFA" w:rsidRPr="6D99CE60">
        <w:lastRenderedPageBreak/>
        <w:t xml:space="preserve">permitted to list. For example, by requiring the company to demonstrate an effective human rights framework and </w:t>
      </w:r>
      <w:r w:rsidR="00D625FA" w:rsidRPr="6D99CE60">
        <w:t>concrete plans to address any known human rights impacts. In the climate context, fossil fuel companies could be required to produce Paris-aligned transition plans.</w:t>
      </w:r>
    </w:p>
    <w:p w14:paraId="5F24839B" w14:textId="3E2CB27D" w:rsidR="009C666F" w:rsidRDefault="002F3CC6" w:rsidP="00A052D5">
      <w:pPr>
        <w:pStyle w:val="BodyText"/>
        <w:ind w:left="720"/>
      </w:pPr>
      <w:r w:rsidRPr="6D99CE60">
        <w:t xml:space="preserve">Regulators also have a </w:t>
      </w:r>
      <w:r w:rsidR="00DF3543">
        <w:t xml:space="preserve">key </w:t>
      </w:r>
      <w:r w:rsidRPr="6D99CE60">
        <w:t xml:space="preserve">role in prospectus approval </w:t>
      </w:r>
      <w:r w:rsidR="00307FB0">
        <w:t xml:space="preserve">in many jurisdictions. </w:t>
      </w:r>
      <w:r w:rsidR="000B6738">
        <w:t xml:space="preserve">In the UK </w:t>
      </w:r>
      <w:r w:rsidRPr="6D99CE60">
        <w:t>and</w:t>
      </w:r>
      <w:r w:rsidR="000B6738">
        <w:t xml:space="preserve"> EU, for example, prospectus are required to contain the information investors need to make informed investment decisions, and must disclose risk factors and explain </w:t>
      </w:r>
      <w:r w:rsidR="009C666F">
        <w:t>their materiality and how they affect the business. It is</w:t>
      </w:r>
      <w:r w:rsidRPr="6D99CE60">
        <w:t xml:space="preserve"> at least</w:t>
      </w:r>
      <w:r w:rsidR="009C666F">
        <w:t xml:space="preserve"> arguable that, under such requirements</w:t>
      </w:r>
      <w:r>
        <w:t>,</w:t>
      </w:r>
      <w:r w:rsidR="009C666F">
        <w:t xml:space="preserve"> regulators</w:t>
      </w:r>
      <w:r w:rsidRPr="6D99CE60">
        <w:t xml:space="preserve"> must ensure that human rights and environmental harms, and the related risk to the company, are fully and transparently disclosed to investors</w:t>
      </w:r>
      <w:r w:rsidR="009C666F">
        <w:t xml:space="preserve"> prior to listing</w:t>
      </w:r>
      <w:r w:rsidRPr="6D99CE60">
        <w:t>, and hold up approval of any marketing documents that do not meet this test.</w:t>
      </w:r>
      <w:r w:rsidR="006339DA" w:rsidRPr="6D99CE60">
        <w:t xml:space="preserve"> </w:t>
      </w:r>
      <w:r w:rsidR="009124A5">
        <w:t>Where any omissions are misleading, the</w:t>
      </w:r>
      <w:r w:rsidR="002C2487">
        <w:t xml:space="preserve"> company and preparers of the prospectus may also be liable to investors that suffer loss as a result. However, in the event that these rules are not applied rigorously in practice, new explicit legal requirements may help </w:t>
      </w:r>
      <w:r w:rsidR="00F30B90">
        <w:t>enhance the approach taken by regulators to human rights and environmental issues arising at prospectus approval.</w:t>
      </w:r>
    </w:p>
    <w:p w14:paraId="555AFA8B" w14:textId="6DD20484" w:rsidR="0001020F" w:rsidRPr="00B604B6" w:rsidRDefault="006339DA" w:rsidP="00A052D5">
      <w:pPr>
        <w:pStyle w:val="BodyText"/>
        <w:ind w:left="720"/>
        <w:rPr>
          <w:rFonts w:cstheme="minorHAnsi"/>
        </w:rPr>
      </w:pPr>
      <w:r w:rsidRPr="6D99CE60">
        <w:t xml:space="preserve">Any requirements of this nature could be supported by guidance for </w:t>
      </w:r>
      <w:r w:rsidR="00765A97" w:rsidRPr="6D99CE60">
        <w:t xml:space="preserve">applicant </w:t>
      </w:r>
      <w:r w:rsidRPr="6D99CE60">
        <w:t>companies to help them adapt</w:t>
      </w:r>
      <w:r w:rsidR="00255EEE" w:rsidRPr="6D99CE60">
        <w:t xml:space="preserve">, which explicitly covers </w:t>
      </w:r>
      <w:r w:rsidR="00F30B90">
        <w:t xml:space="preserve">established </w:t>
      </w:r>
      <w:r w:rsidR="00255EEE" w:rsidRPr="6D99CE60">
        <w:t>human rights framework</w:t>
      </w:r>
      <w:r w:rsidR="00B05B4F" w:rsidRPr="6D99CE60">
        <w:t>s and processes.</w:t>
      </w:r>
    </w:p>
    <w:p w14:paraId="71A98266" w14:textId="77777777" w:rsidR="00F037DB" w:rsidRPr="00B604B6" w:rsidRDefault="00F037DB" w:rsidP="00F037DB">
      <w:pPr>
        <w:pStyle w:val="BodyText"/>
        <w:rPr>
          <w:rFonts w:cstheme="minorHAnsi"/>
        </w:rPr>
      </w:pPr>
      <w:r w:rsidRPr="00B604B6">
        <w:rPr>
          <w:rFonts w:cstheme="minorHAnsi"/>
          <w:b/>
          <w:bCs/>
        </w:rPr>
        <w:t>Access to remedy</w:t>
      </w:r>
    </w:p>
    <w:p w14:paraId="0EFC67B0" w14:textId="77777777" w:rsidR="00F037DB" w:rsidRPr="00B604B6" w:rsidRDefault="00F037DB" w:rsidP="00F037DB">
      <w:pPr>
        <w:pStyle w:val="BodyText"/>
        <w:rPr>
          <w:rFonts w:cstheme="minorHAnsi"/>
        </w:rPr>
      </w:pPr>
      <w:r w:rsidRPr="00B604B6">
        <w:rPr>
          <w:rFonts w:cstheme="minorHAnsi"/>
          <w:b/>
          <w:bCs/>
          <w:i/>
          <w:iCs/>
        </w:rPr>
        <w:t>State-based judicial and non-judicial mechanisms</w:t>
      </w:r>
    </w:p>
    <w:p w14:paraId="04227C52" w14:textId="77777777" w:rsidR="00F037DB" w:rsidRPr="00B604B6" w:rsidRDefault="00F037DB" w:rsidP="00F037DB">
      <w:pPr>
        <w:pStyle w:val="BodyText"/>
        <w:numPr>
          <w:ilvl w:val="0"/>
          <w:numId w:val="20"/>
        </w:numPr>
        <w:rPr>
          <w:rFonts w:cstheme="minorHAnsi"/>
          <w:color w:val="FF0000"/>
        </w:rPr>
      </w:pPr>
      <w:r w:rsidRPr="00B604B6">
        <w:rPr>
          <w:rFonts w:cstheme="minorHAnsi"/>
          <w:color w:val="FF0000"/>
        </w:rPr>
        <w:t>What steps have States taken to investigate, punish, and redress business-related human rights abuses connected to investors, and how effective are they? What challenges and opportunities for participation by affected stakeholders and/or redress have you observed?</w:t>
      </w:r>
    </w:p>
    <w:p w14:paraId="3A07FDCD" w14:textId="08D10FCB" w:rsidR="00F037DB" w:rsidRPr="00B604B6" w:rsidRDefault="00F037DB" w:rsidP="00F037DB">
      <w:pPr>
        <w:pStyle w:val="BodyText"/>
        <w:numPr>
          <w:ilvl w:val="0"/>
          <w:numId w:val="20"/>
        </w:numPr>
        <w:rPr>
          <w:rFonts w:cstheme="minorHAnsi"/>
          <w:color w:val="FF0000"/>
        </w:rPr>
      </w:pPr>
      <w:r w:rsidRPr="00B604B6">
        <w:rPr>
          <w:rFonts w:cstheme="minorHAnsi"/>
          <w:color w:val="FF0000"/>
        </w:rPr>
        <w:t>Please provide examples of cases submitted to State-based judicial and/or non-judicial mechanisms regarding investors in the context of business-related human rights and environmental abuses. How effective are these in providing remedies to the victims and how can they be improved?</w:t>
      </w:r>
    </w:p>
    <w:p w14:paraId="5FA07B29" w14:textId="77777777" w:rsidR="00F037DB" w:rsidRPr="00B604B6" w:rsidRDefault="00F037DB" w:rsidP="001D6B66">
      <w:pPr>
        <w:pStyle w:val="BodyText"/>
        <w:keepNext/>
        <w:rPr>
          <w:rFonts w:cstheme="minorHAnsi"/>
        </w:rPr>
      </w:pPr>
      <w:r w:rsidRPr="00B604B6">
        <w:rPr>
          <w:rFonts w:cstheme="minorHAnsi"/>
          <w:b/>
          <w:bCs/>
          <w:i/>
          <w:iCs/>
        </w:rPr>
        <w:t>Non-State based mechanisms</w:t>
      </w:r>
    </w:p>
    <w:p w14:paraId="2AA1BDFF" w14:textId="77777777" w:rsidR="00F037DB" w:rsidRPr="00B604B6" w:rsidRDefault="00F037DB" w:rsidP="00F037DB">
      <w:pPr>
        <w:pStyle w:val="BodyText"/>
        <w:numPr>
          <w:ilvl w:val="0"/>
          <w:numId w:val="21"/>
        </w:numPr>
        <w:rPr>
          <w:rFonts w:cstheme="minorHAnsi"/>
          <w:color w:val="FF0000"/>
        </w:rPr>
      </w:pPr>
      <w:r w:rsidRPr="00B604B6">
        <w:rPr>
          <w:rFonts w:cstheme="minorHAnsi"/>
          <w:color w:val="FF0000"/>
        </w:rPr>
        <w:t>What remediation responsibilities should investors have? Should these responsibilities vary depending on the nature of the responsibility e.g. cause, contribute to, or be directly linked to the adverse human rights impact? Should it vary depending on the sector invested or the type of investment activity?</w:t>
      </w:r>
    </w:p>
    <w:p w14:paraId="1A029AE8" w14:textId="77777777" w:rsidR="00F037DB" w:rsidRPr="00B604B6" w:rsidRDefault="00F037DB" w:rsidP="00F037DB">
      <w:pPr>
        <w:pStyle w:val="BodyText"/>
        <w:numPr>
          <w:ilvl w:val="0"/>
          <w:numId w:val="21"/>
        </w:numPr>
        <w:rPr>
          <w:rFonts w:cstheme="minorHAnsi"/>
          <w:b/>
          <w:bCs/>
        </w:rPr>
      </w:pPr>
      <w:r w:rsidRPr="00B604B6">
        <w:rPr>
          <w:rFonts w:cstheme="minorHAnsi"/>
          <w:b/>
          <w:bCs/>
        </w:rPr>
        <w:t>What measures and mechanisms, including grievance mechanisms, should be provided at the investment-level that enable individuals or communities affected by the business in which the investor has invested (e.g. the portfolio company) to report adverse human rights impacts to the investor and seek effective remedy for human rights and environmental abuses? How effective are these in providing remedies to the victims? Please provide examples of business or industry association actions in this area.</w:t>
      </w:r>
    </w:p>
    <w:p w14:paraId="5681458F" w14:textId="39106326" w:rsidR="2CCB3E11" w:rsidRPr="00B604B6" w:rsidRDefault="2CCB3E11" w:rsidP="007B5520">
      <w:pPr>
        <w:ind w:left="720"/>
        <w:rPr>
          <w:rFonts w:asciiTheme="minorHAnsi" w:eastAsia="Times New Roman" w:hAnsiTheme="minorHAnsi" w:cstheme="minorHAnsi"/>
        </w:rPr>
      </w:pPr>
      <w:r w:rsidRPr="00B604B6">
        <w:rPr>
          <w:rFonts w:asciiTheme="minorHAnsi" w:eastAsia="Times New Roman" w:hAnsiTheme="minorHAnsi" w:cstheme="minorHAnsi"/>
        </w:rPr>
        <w:t>Investors should provide an effective grievance mechanism</w:t>
      </w:r>
      <w:r w:rsidR="008246CD" w:rsidRPr="00B604B6">
        <w:rPr>
          <w:rFonts w:asciiTheme="minorHAnsi" w:eastAsia="Times New Roman" w:hAnsiTheme="minorHAnsi" w:cstheme="minorHAnsi"/>
        </w:rPr>
        <w:t>, but this represents a failing in practice in the financial sector.</w:t>
      </w:r>
    </w:p>
    <w:p w14:paraId="01FC4EF6" w14:textId="26E5DB44" w:rsidR="74D2BC8D" w:rsidRPr="00B604B6" w:rsidRDefault="74D2BC8D" w:rsidP="007B5520">
      <w:pPr>
        <w:ind w:left="720"/>
        <w:rPr>
          <w:rFonts w:asciiTheme="minorHAnsi" w:eastAsia="Times New Roman" w:hAnsiTheme="minorHAnsi" w:cstheme="minorHAnsi"/>
        </w:rPr>
      </w:pPr>
    </w:p>
    <w:p w14:paraId="05F9F71B" w14:textId="253DBACC" w:rsidR="00C438D3" w:rsidRPr="00B604B6" w:rsidRDefault="5CEBE0C9" w:rsidP="007B5520">
      <w:pPr>
        <w:ind w:left="720"/>
        <w:rPr>
          <w:rFonts w:asciiTheme="minorHAnsi" w:eastAsia="Times New Roman" w:hAnsiTheme="minorHAnsi" w:cstheme="minorHAnsi"/>
        </w:rPr>
      </w:pPr>
      <w:r w:rsidRPr="00B604B6">
        <w:rPr>
          <w:rFonts w:asciiTheme="minorHAnsi" w:eastAsia="Times New Roman" w:hAnsiTheme="minorHAnsi" w:cstheme="minorHAnsi"/>
        </w:rPr>
        <w:t>W</w:t>
      </w:r>
      <w:r w:rsidR="32918B98" w:rsidRPr="00B604B6">
        <w:rPr>
          <w:rFonts w:asciiTheme="minorHAnsi" w:eastAsia="Times New Roman" w:hAnsiTheme="minorHAnsi" w:cstheme="minorHAnsi"/>
        </w:rPr>
        <w:t xml:space="preserve">e refer the Working Group to BankTrack’s </w:t>
      </w:r>
      <w:hyperlink r:id="rId18">
        <w:r w:rsidR="7A54959B" w:rsidRPr="00B604B6">
          <w:rPr>
            <w:rStyle w:val="Hyperlink"/>
            <w:rFonts w:asciiTheme="minorHAnsi" w:eastAsia="Times New Roman" w:hAnsiTheme="minorHAnsi" w:cstheme="minorHAnsi"/>
          </w:rPr>
          <w:t>Global H</w:t>
        </w:r>
        <w:r w:rsidR="00C438D3" w:rsidRPr="00B604B6">
          <w:rPr>
            <w:rStyle w:val="Hyperlink"/>
            <w:rFonts w:asciiTheme="minorHAnsi" w:eastAsia="Times New Roman" w:hAnsiTheme="minorHAnsi" w:cstheme="minorHAnsi"/>
          </w:rPr>
          <w:t>uman Rights Benchmark</w:t>
        </w:r>
        <w:r w:rsidR="265B15FE" w:rsidRPr="00B604B6">
          <w:rPr>
            <w:rStyle w:val="Hyperlink"/>
            <w:rFonts w:asciiTheme="minorHAnsi" w:eastAsia="Times New Roman" w:hAnsiTheme="minorHAnsi" w:cstheme="minorHAnsi"/>
          </w:rPr>
          <w:t xml:space="preserve"> 2022</w:t>
        </w:r>
      </w:hyperlink>
      <w:r w:rsidR="00C438D3" w:rsidRPr="00B604B6">
        <w:rPr>
          <w:rFonts w:asciiTheme="minorHAnsi" w:eastAsia="Times New Roman" w:hAnsiTheme="minorHAnsi" w:cstheme="minorHAnsi"/>
        </w:rPr>
        <w:t xml:space="preserve"> </w:t>
      </w:r>
      <w:r w:rsidR="0F3D5A7F" w:rsidRPr="00B604B6">
        <w:rPr>
          <w:rFonts w:asciiTheme="minorHAnsi" w:eastAsia="Times New Roman" w:hAnsiTheme="minorHAnsi" w:cstheme="minorHAnsi"/>
        </w:rPr>
        <w:t xml:space="preserve">which noted that at the time only 2 out of 50 banks </w:t>
      </w:r>
      <w:r w:rsidR="1232B6DC" w:rsidRPr="00B604B6">
        <w:rPr>
          <w:rFonts w:asciiTheme="minorHAnsi" w:eastAsia="Times New Roman" w:hAnsiTheme="minorHAnsi" w:cstheme="minorHAnsi"/>
        </w:rPr>
        <w:t>analysed</w:t>
      </w:r>
      <w:r w:rsidR="0F3D5A7F" w:rsidRPr="00B604B6">
        <w:rPr>
          <w:rFonts w:asciiTheme="minorHAnsi" w:eastAsia="Times New Roman" w:hAnsiTheme="minorHAnsi" w:cstheme="minorHAnsi"/>
        </w:rPr>
        <w:t xml:space="preserve"> had set up a grievance mechanism</w:t>
      </w:r>
      <w:r w:rsidR="7F756AF7" w:rsidRPr="00B604B6">
        <w:rPr>
          <w:rFonts w:asciiTheme="minorHAnsi" w:eastAsia="Times New Roman" w:hAnsiTheme="minorHAnsi" w:cstheme="minorHAnsi"/>
        </w:rPr>
        <w:t xml:space="preserve"> </w:t>
      </w:r>
      <w:r w:rsidR="63617937" w:rsidRPr="00B604B6">
        <w:rPr>
          <w:rFonts w:asciiTheme="minorHAnsi" w:eastAsia="Times New Roman" w:hAnsiTheme="minorHAnsi" w:cstheme="minorHAnsi"/>
        </w:rPr>
        <w:t>(although this appears to have improved since then)</w:t>
      </w:r>
      <w:r w:rsidR="20EBB7A3" w:rsidRPr="00B604B6">
        <w:rPr>
          <w:rFonts w:asciiTheme="minorHAnsi" w:eastAsia="Times New Roman" w:hAnsiTheme="minorHAnsi" w:cstheme="minorHAnsi"/>
        </w:rPr>
        <w:t>.</w:t>
      </w:r>
    </w:p>
    <w:p w14:paraId="7D424B00" w14:textId="00019D20" w:rsidR="00C438D3" w:rsidRPr="00B604B6" w:rsidRDefault="00C438D3" w:rsidP="007B5520">
      <w:pPr>
        <w:ind w:left="720"/>
        <w:rPr>
          <w:rFonts w:asciiTheme="minorHAnsi" w:eastAsia="Times New Roman" w:hAnsiTheme="minorHAnsi" w:cstheme="minorHAnsi"/>
        </w:rPr>
      </w:pPr>
    </w:p>
    <w:p w14:paraId="294D52F4" w14:textId="1F817C76" w:rsidR="00C438D3" w:rsidRDefault="5DDA7A55" w:rsidP="007148A4">
      <w:pPr>
        <w:ind w:left="720"/>
        <w:rPr>
          <w:rFonts w:asciiTheme="minorHAnsi" w:eastAsia="Times New Roman" w:hAnsiTheme="minorHAnsi" w:cstheme="minorHAnsi"/>
        </w:rPr>
      </w:pPr>
      <w:r w:rsidRPr="00B604B6">
        <w:rPr>
          <w:rFonts w:asciiTheme="minorHAnsi" w:eastAsia="Times New Roman" w:hAnsiTheme="minorHAnsi" w:cstheme="minorHAnsi"/>
        </w:rPr>
        <w:t>A</w:t>
      </w:r>
      <w:r w:rsidR="23EB96D6" w:rsidRPr="00B604B6">
        <w:rPr>
          <w:rFonts w:asciiTheme="minorHAnsi" w:eastAsia="Times New Roman" w:hAnsiTheme="minorHAnsi" w:cstheme="minorHAnsi"/>
        </w:rPr>
        <w:t>n example of why grievance mechanisms</w:t>
      </w:r>
      <w:r w:rsidR="3A5AB2B0" w:rsidRPr="00B604B6">
        <w:rPr>
          <w:rFonts w:asciiTheme="minorHAnsi" w:eastAsia="Times New Roman" w:hAnsiTheme="minorHAnsi" w:cstheme="minorHAnsi"/>
        </w:rPr>
        <w:t xml:space="preserve"> </w:t>
      </w:r>
      <w:r w:rsidR="42AE8435" w:rsidRPr="00B604B6">
        <w:rPr>
          <w:rFonts w:asciiTheme="minorHAnsi" w:eastAsia="Times New Roman" w:hAnsiTheme="minorHAnsi" w:cstheme="minorHAnsi"/>
        </w:rPr>
        <w:t xml:space="preserve">at the investor level </w:t>
      </w:r>
      <w:r w:rsidR="3A5AB2B0" w:rsidRPr="00B604B6">
        <w:rPr>
          <w:rFonts w:asciiTheme="minorHAnsi" w:eastAsia="Times New Roman" w:hAnsiTheme="minorHAnsi" w:cstheme="minorHAnsi"/>
        </w:rPr>
        <w:t xml:space="preserve">are so necessary is </w:t>
      </w:r>
      <w:r w:rsidR="33F451C8" w:rsidRPr="00B604B6">
        <w:rPr>
          <w:rFonts w:asciiTheme="minorHAnsi" w:eastAsia="Times New Roman" w:hAnsiTheme="minorHAnsi" w:cstheme="minorHAnsi"/>
        </w:rPr>
        <w:t>a</w:t>
      </w:r>
      <w:r w:rsidR="3A5AB2B0" w:rsidRPr="00B604B6">
        <w:rPr>
          <w:rFonts w:asciiTheme="minorHAnsi" w:eastAsia="Times New Roman" w:hAnsiTheme="minorHAnsi" w:cstheme="minorHAnsi"/>
        </w:rPr>
        <w:t xml:space="preserve"> </w:t>
      </w:r>
      <w:r w:rsidR="70E9C0A5" w:rsidRPr="00B604B6">
        <w:rPr>
          <w:rFonts w:asciiTheme="minorHAnsi" w:eastAsia="Times New Roman" w:hAnsiTheme="minorHAnsi" w:cstheme="minorHAnsi"/>
        </w:rPr>
        <w:t xml:space="preserve">human rights complaint submitted by Tiwi Islanders to </w:t>
      </w:r>
      <w:hyperlink r:id="rId19" w:anchor="banks">
        <w:r w:rsidR="70E9C0A5" w:rsidRPr="00B604B6">
          <w:rPr>
            <w:rStyle w:val="Hyperlink"/>
            <w:rFonts w:asciiTheme="minorHAnsi" w:eastAsia="Times New Roman" w:hAnsiTheme="minorHAnsi" w:cstheme="minorHAnsi"/>
          </w:rPr>
          <w:t>15 banks and export credit agencies</w:t>
        </w:r>
      </w:hyperlink>
      <w:r w:rsidR="70E9C0A5" w:rsidRPr="00B604B6">
        <w:rPr>
          <w:rFonts w:asciiTheme="minorHAnsi" w:eastAsia="Times New Roman" w:hAnsiTheme="minorHAnsi" w:cstheme="minorHAnsi"/>
        </w:rPr>
        <w:t xml:space="preserve"> </w:t>
      </w:r>
      <w:r w:rsidR="08A1537D" w:rsidRPr="00B604B6">
        <w:rPr>
          <w:rFonts w:asciiTheme="minorHAnsi" w:eastAsia="Times New Roman" w:hAnsiTheme="minorHAnsi" w:cstheme="minorHAnsi"/>
        </w:rPr>
        <w:t xml:space="preserve">and </w:t>
      </w:r>
      <w:hyperlink r:id="rId20" w:anchor="super">
        <w:r w:rsidR="08A1537D" w:rsidRPr="00B604B6">
          <w:rPr>
            <w:rStyle w:val="Hyperlink"/>
            <w:rFonts w:asciiTheme="minorHAnsi" w:eastAsia="Times New Roman" w:hAnsiTheme="minorHAnsi" w:cstheme="minorHAnsi"/>
          </w:rPr>
          <w:t>20 superannuation funds</w:t>
        </w:r>
      </w:hyperlink>
      <w:r w:rsidR="08A1537D" w:rsidRPr="00B604B6">
        <w:rPr>
          <w:rFonts w:asciiTheme="minorHAnsi" w:eastAsia="Times New Roman" w:hAnsiTheme="minorHAnsi" w:cstheme="minorHAnsi"/>
        </w:rPr>
        <w:t xml:space="preserve"> for financing or investing in </w:t>
      </w:r>
      <w:r w:rsidR="70E9C0A5" w:rsidRPr="00B604B6">
        <w:rPr>
          <w:rFonts w:asciiTheme="minorHAnsi" w:eastAsia="Times New Roman" w:hAnsiTheme="minorHAnsi" w:cstheme="minorHAnsi"/>
        </w:rPr>
        <w:t>Santos</w:t>
      </w:r>
      <w:r w:rsidR="698A486A" w:rsidRPr="00B604B6">
        <w:rPr>
          <w:rFonts w:asciiTheme="minorHAnsi" w:eastAsia="Times New Roman" w:hAnsiTheme="minorHAnsi" w:cstheme="minorHAnsi"/>
        </w:rPr>
        <w:t xml:space="preserve">, in light of its </w:t>
      </w:r>
      <w:r w:rsidR="70E9C0A5" w:rsidRPr="00B604B6">
        <w:rPr>
          <w:rFonts w:asciiTheme="minorHAnsi" w:eastAsia="Times New Roman" w:hAnsiTheme="minorHAnsi" w:cstheme="minorHAnsi"/>
        </w:rPr>
        <w:t>Barossa offshore gas project</w:t>
      </w:r>
      <w:r w:rsidR="2C2BE4C5" w:rsidRPr="00B604B6">
        <w:rPr>
          <w:rFonts w:asciiTheme="minorHAnsi" w:eastAsia="Times New Roman" w:hAnsiTheme="minorHAnsi" w:cstheme="minorHAnsi"/>
        </w:rPr>
        <w:t xml:space="preserve">. The </w:t>
      </w:r>
      <w:hyperlink r:id="rId21" w:anchor="responses">
        <w:r w:rsidR="085B3C54" w:rsidRPr="00B604B6">
          <w:rPr>
            <w:rStyle w:val="Hyperlink"/>
            <w:rFonts w:asciiTheme="minorHAnsi" w:eastAsia="Times New Roman" w:hAnsiTheme="minorHAnsi" w:cstheme="minorHAnsi"/>
          </w:rPr>
          <w:t>summary of r</w:t>
        </w:r>
        <w:r w:rsidR="2C2BE4C5" w:rsidRPr="00B604B6">
          <w:rPr>
            <w:rStyle w:val="Hyperlink"/>
            <w:rFonts w:asciiTheme="minorHAnsi" w:eastAsia="Times New Roman" w:hAnsiTheme="minorHAnsi" w:cstheme="minorHAnsi"/>
          </w:rPr>
          <w:t>esponses received</w:t>
        </w:r>
      </w:hyperlink>
      <w:r w:rsidR="2C2BE4C5" w:rsidRPr="00B604B6">
        <w:rPr>
          <w:rFonts w:asciiTheme="minorHAnsi" w:eastAsia="Times New Roman" w:hAnsiTheme="minorHAnsi" w:cstheme="minorHAnsi"/>
        </w:rPr>
        <w:t xml:space="preserve">, with all banks dismissing or not responding to the requests in the grievance </w:t>
      </w:r>
      <w:r w:rsidR="21DC806C" w:rsidRPr="00B604B6">
        <w:rPr>
          <w:rFonts w:asciiTheme="minorHAnsi" w:eastAsia="Times New Roman" w:hAnsiTheme="minorHAnsi" w:cstheme="minorHAnsi"/>
        </w:rPr>
        <w:t>and a lack of information sharing with the complainants,</w:t>
      </w:r>
      <w:r w:rsidR="2C2BE4C5" w:rsidRPr="00B604B6">
        <w:rPr>
          <w:rFonts w:asciiTheme="minorHAnsi" w:eastAsia="Times New Roman" w:hAnsiTheme="minorHAnsi" w:cstheme="minorHAnsi"/>
        </w:rPr>
        <w:t xml:space="preserve"> show </w:t>
      </w:r>
      <w:r w:rsidR="29502959" w:rsidRPr="00B604B6">
        <w:rPr>
          <w:rFonts w:asciiTheme="minorHAnsi" w:eastAsia="Times New Roman" w:hAnsiTheme="minorHAnsi" w:cstheme="minorHAnsi"/>
        </w:rPr>
        <w:t xml:space="preserve">the </w:t>
      </w:r>
      <w:r w:rsidR="2C2BE4C5" w:rsidRPr="00B604B6">
        <w:rPr>
          <w:rFonts w:asciiTheme="minorHAnsi" w:eastAsia="Times New Roman" w:hAnsiTheme="minorHAnsi" w:cstheme="minorHAnsi"/>
        </w:rPr>
        <w:t>ineffectiveness</w:t>
      </w:r>
      <w:r w:rsidR="43BDB598" w:rsidRPr="00B604B6">
        <w:rPr>
          <w:rFonts w:asciiTheme="minorHAnsi" w:eastAsia="Times New Roman" w:hAnsiTheme="minorHAnsi" w:cstheme="minorHAnsi"/>
        </w:rPr>
        <w:t xml:space="preserve"> of these current grievance processes</w:t>
      </w:r>
      <w:r w:rsidR="2C2BE4C5" w:rsidRPr="00B604B6">
        <w:rPr>
          <w:rFonts w:asciiTheme="minorHAnsi" w:eastAsia="Times New Roman" w:hAnsiTheme="minorHAnsi" w:cstheme="minorHAnsi"/>
        </w:rPr>
        <w:t>.</w:t>
      </w:r>
    </w:p>
    <w:p w14:paraId="545E2FAE" w14:textId="77777777" w:rsidR="007148A4" w:rsidRPr="007148A4" w:rsidRDefault="007148A4" w:rsidP="007148A4">
      <w:pPr>
        <w:ind w:left="720"/>
        <w:rPr>
          <w:rFonts w:asciiTheme="minorHAnsi" w:eastAsia="Times New Roman" w:hAnsiTheme="minorHAnsi" w:cstheme="minorHAnsi"/>
        </w:rPr>
      </w:pPr>
    </w:p>
    <w:p w14:paraId="70FD83C1" w14:textId="77777777" w:rsidR="00F037DB" w:rsidRPr="00B604B6" w:rsidRDefault="00F037DB" w:rsidP="00F037DB">
      <w:pPr>
        <w:pStyle w:val="BodyText"/>
        <w:rPr>
          <w:rFonts w:cstheme="minorHAnsi"/>
        </w:rPr>
      </w:pPr>
      <w:r w:rsidRPr="00B604B6">
        <w:rPr>
          <w:rFonts w:cstheme="minorHAnsi"/>
          <w:b/>
          <w:bCs/>
        </w:rPr>
        <w:t>Good practices</w:t>
      </w:r>
    </w:p>
    <w:p w14:paraId="48B47C46" w14:textId="77777777" w:rsidR="00F037DB" w:rsidRPr="00B604B6" w:rsidRDefault="00F037DB" w:rsidP="00F037DB">
      <w:pPr>
        <w:pStyle w:val="BodyText"/>
        <w:numPr>
          <w:ilvl w:val="0"/>
          <w:numId w:val="22"/>
        </w:numPr>
        <w:rPr>
          <w:rFonts w:cstheme="minorHAnsi"/>
          <w:b/>
          <w:bCs/>
          <w:color w:val="FF0000"/>
        </w:rPr>
      </w:pPr>
      <w:r w:rsidRPr="00B604B6">
        <w:rPr>
          <w:rFonts w:cstheme="minorHAnsi"/>
          <w:color w:val="FF0000"/>
        </w:rPr>
        <w:t>Please provide examples of any good practices, tools, guidance, policies, etc., regarding the integration of the responsibility to respect human rights by investors, including examples of investors actively preventing or mitigating (including by using leverage or undertaking a responsible exit) any adverse human rights and environment impacts of the businesses in which they invest.</w:t>
      </w:r>
    </w:p>
    <w:p w14:paraId="4F105854" w14:textId="77777777" w:rsidR="00F037DB" w:rsidRPr="005D4634" w:rsidRDefault="00F037DB" w:rsidP="00F037DB">
      <w:pPr>
        <w:pStyle w:val="BodyText"/>
        <w:numPr>
          <w:ilvl w:val="0"/>
          <w:numId w:val="22"/>
        </w:numPr>
        <w:rPr>
          <w:rFonts w:cstheme="minorHAnsi"/>
          <w:b/>
          <w:bCs/>
        </w:rPr>
      </w:pPr>
      <w:r w:rsidRPr="005D4634">
        <w:rPr>
          <w:rFonts w:cstheme="minorHAnsi"/>
          <w:b/>
          <w:bCs/>
        </w:rPr>
        <w:t>Are there any specific recommendations to States, businesses (including investors), civil society, UN bodies and National Human Rights Institutions that would assist in ensuring that investors act compatibly with the UNGPs?</w:t>
      </w:r>
    </w:p>
    <w:p w14:paraId="6C12F928" w14:textId="477456F2" w:rsidR="69C02569" w:rsidRPr="00B604B6" w:rsidRDefault="69C02569" w:rsidP="0F30A237">
      <w:pPr>
        <w:pStyle w:val="BodyText"/>
        <w:ind w:left="720"/>
        <w:rPr>
          <w:rFonts w:cstheme="minorHAnsi"/>
        </w:rPr>
      </w:pPr>
      <w:r w:rsidRPr="00B604B6">
        <w:rPr>
          <w:rFonts w:cstheme="minorHAnsi"/>
        </w:rPr>
        <w:t>For investors</w:t>
      </w:r>
      <w:r w:rsidR="00F25B33" w:rsidRPr="00B604B6">
        <w:rPr>
          <w:rFonts w:cstheme="minorHAnsi"/>
        </w:rPr>
        <w:t xml:space="preserve"> in relation to climate-related human rights impacts</w:t>
      </w:r>
      <w:r w:rsidRPr="00B604B6">
        <w:rPr>
          <w:rFonts w:cstheme="minorHAnsi"/>
        </w:rPr>
        <w:t xml:space="preserve">: in light of the </w:t>
      </w:r>
      <w:r w:rsidR="7FE17520" w:rsidRPr="00B604B6">
        <w:rPr>
          <w:rFonts w:cstheme="minorHAnsi"/>
        </w:rPr>
        <w:t xml:space="preserve">recent </w:t>
      </w:r>
      <w:hyperlink r:id="rId22">
        <w:r w:rsidRPr="00B604B6">
          <w:rPr>
            <w:rStyle w:val="Hyperlink"/>
            <w:rFonts w:cstheme="minorHAnsi"/>
          </w:rPr>
          <w:t>UN Communications</w:t>
        </w:r>
      </w:hyperlink>
      <w:r w:rsidRPr="00B604B6">
        <w:rPr>
          <w:rFonts w:cstheme="minorHAnsi"/>
        </w:rPr>
        <w:t xml:space="preserve"> </w:t>
      </w:r>
      <w:r w:rsidR="4D88E9B9" w:rsidRPr="00B604B6">
        <w:rPr>
          <w:rFonts w:cstheme="minorHAnsi"/>
        </w:rPr>
        <w:t xml:space="preserve">regarding Saudi Aramco’s financiers </w:t>
      </w:r>
      <w:r w:rsidRPr="00B604B6">
        <w:rPr>
          <w:rFonts w:cstheme="minorHAnsi"/>
        </w:rPr>
        <w:t xml:space="preserve">and the human rights impacts associated with </w:t>
      </w:r>
      <w:r w:rsidR="6040FA42" w:rsidRPr="00B604B6">
        <w:rPr>
          <w:rFonts w:cstheme="minorHAnsi"/>
        </w:rPr>
        <w:t>an</w:t>
      </w:r>
      <w:r w:rsidRPr="00B604B6">
        <w:rPr>
          <w:rFonts w:cstheme="minorHAnsi"/>
        </w:rPr>
        <w:t xml:space="preserve"> oil and gas compan</w:t>
      </w:r>
      <w:r w:rsidR="34004466" w:rsidRPr="00B604B6">
        <w:rPr>
          <w:rFonts w:cstheme="minorHAnsi"/>
        </w:rPr>
        <w:t>y</w:t>
      </w:r>
      <w:r w:rsidRPr="00B604B6">
        <w:rPr>
          <w:rFonts w:cstheme="minorHAnsi"/>
        </w:rPr>
        <w:t xml:space="preserve"> expanding fossil fuels</w:t>
      </w:r>
      <w:r w:rsidR="69A9566D" w:rsidRPr="00B604B6">
        <w:rPr>
          <w:rFonts w:cstheme="minorHAnsi"/>
        </w:rPr>
        <w:t xml:space="preserve"> (i.e. companies that are not Paris-aligned)</w:t>
      </w:r>
      <w:r w:rsidRPr="00B604B6">
        <w:rPr>
          <w:rFonts w:cstheme="minorHAnsi"/>
        </w:rPr>
        <w:t>, ClientEarth suggests that a red line should be recommended that investors should not finance / invest in projects or companies involved in projects which pursue fossil fuel expansion. This would help ensure they are not contributing to th</w:t>
      </w:r>
      <w:r w:rsidR="38945E45" w:rsidRPr="00B604B6">
        <w:rPr>
          <w:rFonts w:cstheme="minorHAnsi"/>
        </w:rPr>
        <w:t>ose</w:t>
      </w:r>
      <w:r w:rsidRPr="00B604B6">
        <w:rPr>
          <w:rFonts w:cstheme="minorHAnsi"/>
        </w:rPr>
        <w:t xml:space="preserve"> impact</w:t>
      </w:r>
      <w:r w:rsidR="7AB129E7" w:rsidRPr="00B604B6">
        <w:rPr>
          <w:rFonts w:cstheme="minorHAnsi"/>
        </w:rPr>
        <w:t>s</w:t>
      </w:r>
      <w:r w:rsidRPr="00B604B6">
        <w:rPr>
          <w:rFonts w:cstheme="minorHAnsi"/>
        </w:rPr>
        <w:t xml:space="preserve"> and are using their leve</w:t>
      </w:r>
      <w:r w:rsidR="4A4FE516" w:rsidRPr="00B604B6">
        <w:rPr>
          <w:rFonts w:cstheme="minorHAnsi"/>
        </w:rPr>
        <w:t xml:space="preserve">rage over the company </w:t>
      </w:r>
      <w:r w:rsidR="1B70F280" w:rsidRPr="00B604B6">
        <w:rPr>
          <w:rFonts w:cstheme="minorHAnsi"/>
        </w:rPr>
        <w:t xml:space="preserve">to </w:t>
      </w:r>
      <w:r w:rsidR="46F30C42" w:rsidRPr="00B604B6">
        <w:rPr>
          <w:rFonts w:cstheme="minorHAnsi"/>
        </w:rPr>
        <w:t>prevent</w:t>
      </w:r>
      <w:r w:rsidR="1B70F280" w:rsidRPr="00B604B6">
        <w:rPr>
          <w:rFonts w:cstheme="minorHAnsi"/>
        </w:rPr>
        <w:t xml:space="preserve"> </w:t>
      </w:r>
      <w:r w:rsidR="46F30C42" w:rsidRPr="00B604B6">
        <w:rPr>
          <w:rFonts w:cstheme="minorHAnsi"/>
        </w:rPr>
        <w:t>those impacts.</w:t>
      </w:r>
      <w:r w:rsidR="1B70F280" w:rsidRPr="00B604B6">
        <w:rPr>
          <w:rFonts w:cstheme="minorHAnsi"/>
        </w:rPr>
        <w:t xml:space="preserve"> </w:t>
      </w:r>
      <w:r w:rsidR="1A7C9230" w:rsidRPr="00B604B6">
        <w:rPr>
          <w:rFonts w:cstheme="minorHAnsi"/>
        </w:rPr>
        <w:t xml:space="preserve">The Science Based Targets Initiative (SBTi) has recently </w:t>
      </w:r>
      <w:hyperlink r:id="rId23">
        <w:r w:rsidR="1A7C9230" w:rsidRPr="00B604B6">
          <w:rPr>
            <w:rStyle w:val="Hyperlink"/>
            <w:rFonts w:cstheme="minorHAnsi"/>
          </w:rPr>
          <w:t>proposed</w:t>
        </w:r>
      </w:hyperlink>
      <w:r w:rsidR="1A7C9230" w:rsidRPr="00B604B6">
        <w:rPr>
          <w:rFonts w:cstheme="minorHAnsi"/>
        </w:rPr>
        <w:t xml:space="preserve"> such a policy for financial institutions, as the best available sc</w:t>
      </w:r>
      <w:r w:rsidR="5E2C5EFD" w:rsidRPr="00B604B6">
        <w:rPr>
          <w:rFonts w:cstheme="minorHAnsi"/>
        </w:rPr>
        <w:t>ience shows that warming will not be limited to 1.5</w:t>
      </w:r>
      <w:r w:rsidR="00141ACA">
        <w:rPr>
          <w:rFonts w:cstheme="minorHAnsi"/>
        </w:rPr>
        <w:t>°</w:t>
      </w:r>
      <w:r w:rsidR="5E2C5EFD" w:rsidRPr="00B604B6">
        <w:rPr>
          <w:rFonts w:cstheme="minorHAnsi"/>
        </w:rPr>
        <w:t>C if</w:t>
      </w:r>
      <w:r w:rsidR="1A7C9230" w:rsidRPr="00B604B6">
        <w:rPr>
          <w:rFonts w:cstheme="minorHAnsi"/>
        </w:rPr>
        <w:t xml:space="preserve"> </w:t>
      </w:r>
      <w:r w:rsidR="50AF817A" w:rsidRPr="00B604B6">
        <w:rPr>
          <w:rFonts w:cstheme="minorHAnsi"/>
        </w:rPr>
        <w:t xml:space="preserve">further </w:t>
      </w:r>
      <w:r w:rsidR="1A7C9230" w:rsidRPr="00B604B6">
        <w:rPr>
          <w:rFonts w:cstheme="minorHAnsi"/>
        </w:rPr>
        <w:t xml:space="preserve">fossil fuel expansion is </w:t>
      </w:r>
      <w:r w:rsidR="0D425EB6" w:rsidRPr="00B604B6">
        <w:rPr>
          <w:rFonts w:cstheme="minorHAnsi"/>
        </w:rPr>
        <w:t>permitted</w:t>
      </w:r>
      <w:r w:rsidR="1A7C9230" w:rsidRPr="00B604B6">
        <w:rPr>
          <w:rFonts w:cstheme="minorHAnsi"/>
        </w:rPr>
        <w:t>.</w:t>
      </w:r>
    </w:p>
    <w:p w14:paraId="787632F2" w14:textId="1E0D88EA" w:rsidR="7ABB2231" w:rsidRPr="005D4634" w:rsidRDefault="00263F0A" w:rsidP="7ABB2231">
      <w:pPr>
        <w:pStyle w:val="BodyText"/>
        <w:ind w:left="720"/>
        <w:rPr>
          <w:rFonts w:cstheme="minorHAnsi"/>
        </w:rPr>
      </w:pPr>
      <w:r w:rsidRPr="6D99CE60">
        <w:t xml:space="preserve">Similar principles would apply in relation to investments known to be incompatible with other planetary boundaries, </w:t>
      </w:r>
      <w:r w:rsidR="00B334AC" w:rsidRPr="6D99CE60">
        <w:t>the breaching of which would be associated with human rights impacts.</w:t>
      </w:r>
      <w:r w:rsidR="00C06212" w:rsidRPr="6D99CE60">
        <w:t xml:space="preserve"> A recent study has shown that six of the ni</w:t>
      </w:r>
      <w:r w:rsidR="00114B6C">
        <w:t>n</w:t>
      </w:r>
      <w:r w:rsidR="00C06212" w:rsidRPr="6D99CE60">
        <w:t>e known planetary boundaries are already transgressed.</w:t>
      </w:r>
      <w:r w:rsidR="000A226B" w:rsidRPr="6D99CE60">
        <w:rPr>
          <w:rStyle w:val="FootnoteReference"/>
        </w:rPr>
        <w:footnoteReference w:id="62"/>
      </w:r>
      <w:r w:rsidR="00DD5EFF" w:rsidRPr="6D99CE60">
        <w:t xml:space="preserve"> In</w:t>
      </w:r>
      <w:r w:rsidR="00EF5FD5" w:rsidRPr="6D99CE60">
        <w:t xml:space="preserve">vestors </w:t>
      </w:r>
      <w:r w:rsidR="00DD5EFF" w:rsidRPr="6D99CE60">
        <w:t xml:space="preserve">in </w:t>
      </w:r>
      <w:r w:rsidR="00EF5FD5" w:rsidRPr="6D99CE60">
        <w:t xml:space="preserve">any business activity known to contribute to the breaching of these boundaries must consider </w:t>
      </w:r>
      <w:r w:rsidR="005D4634" w:rsidRPr="6D99CE60">
        <w:t>the consistency of the investment with both their human rights obligations and any “sustainability” claims they have made.</w:t>
      </w:r>
    </w:p>
    <w:p w14:paraId="4119729F" w14:textId="7DFD986E" w:rsidR="00F037DB" w:rsidRPr="00352716" w:rsidRDefault="00F037DB" w:rsidP="00F037DB">
      <w:pPr>
        <w:pStyle w:val="BodyText"/>
        <w:rPr>
          <w:rFonts w:cstheme="minorHAnsi"/>
          <w:b/>
          <w:bCs/>
        </w:rPr>
      </w:pPr>
      <w:r w:rsidRPr="00131663">
        <w:rPr>
          <w:rFonts w:cstheme="minorHAnsi"/>
          <w:b/>
          <w:bCs/>
        </w:rPr>
        <w:t>Any other comments or suggestions about the forthcoming report are also welcome.</w:t>
      </w:r>
    </w:p>
    <w:p w14:paraId="348B3311" w14:textId="120DEFAA" w:rsidR="00D0235B" w:rsidRDefault="002A1600" w:rsidP="00352716">
      <w:pPr>
        <w:pStyle w:val="BodyText"/>
      </w:pPr>
      <w:r>
        <w:t>We</w:t>
      </w:r>
      <w:r w:rsidR="00D30416">
        <w:t xml:space="preserve"> note that the </w:t>
      </w:r>
      <w:r w:rsidR="000520D5">
        <w:t xml:space="preserve">current </w:t>
      </w:r>
      <w:r w:rsidR="00D30416">
        <w:t xml:space="preserve">report expressly excludes insurance companies from its scope. </w:t>
      </w:r>
      <w:r w:rsidR="000520D5">
        <w:t>However, i</w:t>
      </w:r>
      <w:r w:rsidR="0079107B">
        <w:t xml:space="preserve">t is vital that the </w:t>
      </w:r>
      <w:r w:rsidR="00284A2C">
        <w:t xml:space="preserve">Working Group </w:t>
      </w:r>
      <w:r w:rsidR="00326F23">
        <w:t xml:space="preserve">in future </w:t>
      </w:r>
      <w:r w:rsidR="00284A2C">
        <w:t xml:space="preserve">considers </w:t>
      </w:r>
      <w:r w:rsidR="003B7AD0">
        <w:t xml:space="preserve">the </w:t>
      </w:r>
      <w:r w:rsidR="00212910">
        <w:t>implementation of the UN</w:t>
      </w:r>
      <w:r w:rsidR="000842B2">
        <w:t xml:space="preserve"> </w:t>
      </w:r>
      <w:r w:rsidR="00212910">
        <w:t>G</w:t>
      </w:r>
      <w:r w:rsidR="000842B2">
        <w:t xml:space="preserve">uiding </w:t>
      </w:r>
      <w:r w:rsidR="00212910">
        <w:t>P</w:t>
      </w:r>
      <w:r w:rsidR="000842B2">
        <w:t>rinciple</w:t>
      </w:r>
      <w:r w:rsidR="00212910">
        <w:t>s</w:t>
      </w:r>
      <w:r w:rsidR="000842B2">
        <w:t xml:space="preserve"> and the relationship between ESG and human rights</w:t>
      </w:r>
      <w:r w:rsidR="00212910">
        <w:t xml:space="preserve"> </w:t>
      </w:r>
      <w:r w:rsidR="002204AB">
        <w:t>within the insurance sector</w:t>
      </w:r>
      <w:r w:rsidR="00D267EF">
        <w:t xml:space="preserve">, </w:t>
      </w:r>
      <w:r w:rsidR="00357963">
        <w:t xml:space="preserve">as </w:t>
      </w:r>
      <w:r w:rsidR="000C4DFB">
        <w:t xml:space="preserve">the provision of insurance cover to businesses which are </w:t>
      </w:r>
      <w:r w:rsidR="00233F9E">
        <w:t xml:space="preserve">not </w:t>
      </w:r>
      <w:r w:rsidR="00413710">
        <w:t>acting in conformity w</w:t>
      </w:r>
      <w:r w:rsidR="00085C63">
        <w:t>ith the UN</w:t>
      </w:r>
      <w:r w:rsidR="000842B2">
        <w:t xml:space="preserve"> </w:t>
      </w:r>
      <w:r w:rsidR="00085C63">
        <w:t>G</w:t>
      </w:r>
      <w:r w:rsidR="000842B2">
        <w:t xml:space="preserve">uiding </w:t>
      </w:r>
      <w:r w:rsidR="00085C63">
        <w:t>P</w:t>
      </w:r>
      <w:r w:rsidR="000842B2">
        <w:t>rinciple</w:t>
      </w:r>
      <w:r w:rsidR="00085C63">
        <w:t xml:space="preserve">s can play </w:t>
      </w:r>
      <w:r w:rsidR="00390823">
        <w:t xml:space="preserve">a crucial role in </w:t>
      </w:r>
      <w:r w:rsidR="00CB70C8" w:rsidRPr="00CB70C8">
        <w:t>enabl</w:t>
      </w:r>
      <w:r w:rsidR="00390823">
        <w:t>ing</w:t>
      </w:r>
      <w:r w:rsidR="00CB70C8" w:rsidRPr="00CB70C8">
        <w:t xml:space="preserve"> those businesses to operate in ways that have actual and potential adverse human rights </w:t>
      </w:r>
      <w:r w:rsidR="000842B2">
        <w:t>and environmental</w:t>
      </w:r>
      <w:r w:rsidR="00CB70C8" w:rsidRPr="00CB70C8">
        <w:t xml:space="preserve"> impacts.</w:t>
      </w:r>
      <w:r w:rsidR="00FF4266">
        <w:rPr>
          <w:rStyle w:val="FootnoteReference"/>
        </w:rPr>
        <w:footnoteReference w:id="63"/>
      </w:r>
      <w:r w:rsidR="007A4671">
        <w:t xml:space="preserve"> </w:t>
      </w:r>
      <w:r w:rsidR="00381548" w:rsidRPr="00381548">
        <w:t>In addition, there is a</w:t>
      </w:r>
      <w:r w:rsidR="00381548">
        <w:t xml:space="preserve"> concerning</w:t>
      </w:r>
      <w:r w:rsidR="00381548" w:rsidRPr="00381548">
        <w:t xml:space="preserve"> lack of transparency in the insurance sector, as insurers typically do not disclose their relationships with companies and projects </w:t>
      </w:r>
      <w:r w:rsidR="00381548" w:rsidRPr="00381548">
        <w:lastRenderedPageBreak/>
        <w:t xml:space="preserve">that pose serious human rights and environmental risks, </w:t>
      </w:r>
      <w:r w:rsidR="00381548">
        <w:t xml:space="preserve">and in particular do not disclose </w:t>
      </w:r>
      <w:r w:rsidR="00381548" w:rsidRPr="00381548">
        <w:t>the kind of information on the significant adverse impacts or risks identified</w:t>
      </w:r>
      <w:r w:rsidR="00381548">
        <w:t xml:space="preserve">, </w:t>
      </w:r>
      <w:r w:rsidR="00381548" w:rsidRPr="00381548">
        <w:t xml:space="preserve">prioritised and assessed outlined in our response to question </w:t>
      </w:r>
      <w:r w:rsidR="00371C8B">
        <w:rPr>
          <w:i/>
          <w:iCs/>
        </w:rPr>
        <w:t>Corporate responsibility: Q9</w:t>
      </w:r>
      <w:r w:rsidR="00381548" w:rsidRPr="00381548">
        <w:t xml:space="preserve"> above. This makes it </w:t>
      </w:r>
      <w:r w:rsidR="0045509B">
        <w:t>difficult</w:t>
      </w:r>
      <w:r w:rsidR="00381548" w:rsidRPr="00381548">
        <w:t xml:space="preserve"> for stakeholders to engage with insurers on their due diligence processes</w:t>
      </w:r>
      <w:r w:rsidR="00381548">
        <w:t xml:space="preserve"> and on the adverse impacts w</w:t>
      </w:r>
      <w:r w:rsidR="00BD0AFD">
        <w:t>hich</w:t>
      </w:r>
      <w:r w:rsidR="00381548">
        <w:t xml:space="preserve"> the</w:t>
      </w:r>
      <w:r w:rsidR="00BD0AFD">
        <w:t>y</w:t>
      </w:r>
      <w:r w:rsidR="00381548">
        <w:t xml:space="preserve"> contribute to or to which they are directly linked</w:t>
      </w:r>
      <w:r w:rsidR="00381548" w:rsidRPr="00381548">
        <w:t>.</w:t>
      </w:r>
    </w:p>
    <w:p w14:paraId="54EA89E5" w14:textId="77777777" w:rsidR="00FB7E31" w:rsidRDefault="00FB7E31" w:rsidP="00A54F1A">
      <w:pPr>
        <w:pStyle w:val="BodyText"/>
      </w:pPr>
    </w:p>
    <w:p w14:paraId="06DA2934" w14:textId="77777777" w:rsidR="00FB7E31" w:rsidRDefault="00FB7E31" w:rsidP="00A54F1A">
      <w:pPr>
        <w:pStyle w:val="BodyText"/>
      </w:pPr>
    </w:p>
    <w:p w14:paraId="61909BE8" w14:textId="77777777" w:rsidR="00435570" w:rsidRDefault="00435570" w:rsidP="00A54F1A">
      <w:pPr>
        <w:pStyle w:val="BodyText"/>
      </w:pPr>
    </w:p>
    <w:p w14:paraId="1034BFA4" w14:textId="77777777" w:rsidR="00435570" w:rsidRDefault="00435570" w:rsidP="00A54F1A">
      <w:pPr>
        <w:pStyle w:val="BodyText"/>
      </w:pPr>
    </w:p>
    <w:p w14:paraId="2E2B8EC1" w14:textId="77777777" w:rsidR="00435570" w:rsidRDefault="00435570" w:rsidP="00A54F1A">
      <w:pPr>
        <w:pStyle w:val="BodyText"/>
      </w:pPr>
    </w:p>
    <w:p w14:paraId="07062CEB" w14:textId="77777777" w:rsidR="00435570" w:rsidRDefault="00435570" w:rsidP="00A54F1A">
      <w:pPr>
        <w:pStyle w:val="BodyText"/>
      </w:pPr>
    </w:p>
    <w:p w14:paraId="00944E44" w14:textId="77777777" w:rsidR="00435570" w:rsidRDefault="00435570" w:rsidP="00A54F1A">
      <w:pPr>
        <w:pStyle w:val="BodyText"/>
      </w:pPr>
    </w:p>
    <w:p w14:paraId="797528B6" w14:textId="77777777" w:rsidR="00435570" w:rsidRDefault="00435570" w:rsidP="00A54F1A">
      <w:pPr>
        <w:pStyle w:val="BodyText"/>
      </w:pPr>
    </w:p>
    <w:p w14:paraId="2774C806" w14:textId="77777777" w:rsidR="00435570" w:rsidRDefault="00435570" w:rsidP="00A54F1A">
      <w:pPr>
        <w:pStyle w:val="BodyText"/>
      </w:pPr>
    </w:p>
    <w:p w14:paraId="5EFD3201" w14:textId="77777777" w:rsidR="00435570" w:rsidRDefault="00435570" w:rsidP="00A54F1A">
      <w:pPr>
        <w:pStyle w:val="BodyText"/>
      </w:pPr>
    </w:p>
    <w:p w14:paraId="2D1F4317" w14:textId="77777777" w:rsidR="00435570" w:rsidRDefault="00435570" w:rsidP="00A54F1A">
      <w:pPr>
        <w:pStyle w:val="BodyText"/>
      </w:pPr>
    </w:p>
    <w:p w14:paraId="58D7B785" w14:textId="77777777" w:rsidR="00435570" w:rsidRDefault="00435570" w:rsidP="00A54F1A">
      <w:pPr>
        <w:pStyle w:val="BodyText"/>
      </w:pPr>
    </w:p>
    <w:p w14:paraId="48B3670B" w14:textId="0BD23161" w:rsidR="00D0235B" w:rsidRPr="002A2669" w:rsidRDefault="00A50174" w:rsidP="00352716">
      <w:pPr>
        <w:pStyle w:val="BodyText"/>
        <w:rPr>
          <w:b/>
          <w:bCs/>
        </w:rPr>
      </w:pPr>
      <w:r w:rsidRPr="002A2669">
        <w:rPr>
          <w:b/>
          <w:bCs/>
        </w:rPr>
        <w:t>If you wish to discuss anything i</w:t>
      </w:r>
      <w:r w:rsidR="002A2669" w:rsidRPr="002A2669">
        <w:rPr>
          <w:b/>
          <w:bCs/>
        </w:rPr>
        <w:t>n this submission, please contact:</w:t>
      </w:r>
    </w:p>
    <w:p w14:paraId="2E68546E" w14:textId="5B32D8C8" w:rsidR="003727C0" w:rsidRPr="00422F00" w:rsidRDefault="005D4634" w:rsidP="00352716">
      <w:pPr>
        <w:pStyle w:val="BodyText"/>
        <w:rPr>
          <w:lang w:val="fr-FR"/>
        </w:rPr>
      </w:pPr>
      <w:r w:rsidRPr="00422F00">
        <w:rPr>
          <w:lang w:val="fr-FR"/>
        </w:rPr>
        <w:t>Robert Clarke</w:t>
      </w:r>
    </w:p>
    <w:p w14:paraId="67925704" w14:textId="343D6AF1" w:rsidR="005D4634" w:rsidRPr="00422F00" w:rsidRDefault="005D4634" w:rsidP="00352716">
      <w:pPr>
        <w:pStyle w:val="BodyText"/>
        <w:rPr>
          <w:lang w:val="fr-FR"/>
        </w:rPr>
      </w:pPr>
      <w:r w:rsidRPr="00422F00">
        <w:rPr>
          <w:lang w:val="fr-FR"/>
        </w:rPr>
        <w:t>Lawyer</w:t>
      </w:r>
    </w:p>
    <w:p w14:paraId="737BC917" w14:textId="3A2C5702" w:rsidR="003727C0" w:rsidRPr="00422F00" w:rsidRDefault="006F77AC" w:rsidP="00352716">
      <w:pPr>
        <w:pStyle w:val="BodyText"/>
        <w:rPr>
          <w:lang w:val="fr-FR"/>
        </w:rPr>
      </w:pPr>
      <w:hyperlink r:id="rId24" w:history="1">
        <w:r w:rsidR="00E033D8" w:rsidRPr="00C73E23">
          <w:rPr>
            <w:rStyle w:val="Hyperlink"/>
            <w:lang w:val="fr-FR"/>
          </w:rPr>
          <w:t>rclarke@clientearth.org</w:t>
        </w:r>
      </w:hyperlink>
      <w:r w:rsidR="00E033D8">
        <w:rPr>
          <w:lang w:val="fr-FR"/>
        </w:rPr>
        <w:t xml:space="preserve"> </w:t>
      </w:r>
    </w:p>
    <w:p w14:paraId="6EDE5BFB" w14:textId="77777777" w:rsidR="001F1935" w:rsidRDefault="00435570" w:rsidP="00352716">
      <w:pPr>
        <w:pStyle w:val="BodyText"/>
      </w:pPr>
      <w:hyperlink r:id="rId25" w:history="1">
        <w:r w:rsidR="003727C0" w:rsidRPr="004929E2">
          <w:rPr>
            <w:rStyle w:val="Hyperlink"/>
          </w:rPr>
          <w:t>www.clientearth.org</w:t>
        </w:r>
      </w:hyperlink>
      <w:r w:rsidR="003727C0">
        <w:t xml:space="preserve"> </w:t>
      </w:r>
    </w:p>
    <w:p w14:paraId="40DEF9B4" w14:textId="77777777" w:rsidR="00303E49" w:rsidRDefault="00303E49" w:rsidP="00AD1D8E">
      <w:pPr>
        <w:pStyle w:val="BodyText"/>
        <w:spacing w:after="0"/>
      </w:pPr>
    </w:p>
    <w:p w14:paraId="332EC6A6" w14:textId="7FC63B1F" w:rsidR="00B95A2D" w:rsidRDefault="006C5655" w:rsidP="00DA3774">
      <w:pPr>
        <w:pStyle w:val="BodyText"/>
        <w:shd w:val="clear" w:color="auto" w:fill="E6E6E6" w:themeFill="accent6"/>
        <w:jc w:val="center"/>
      </w:pPr>
      <w:r w:rsidRPr="004929E2">
        <w:rPr>
          <w:noProof/>
        </w:rPr>
        <mc:AlternateContent>
          <mc:Choice Requires="wps">
            <w:drawing>
              <wp:anchor distT="0" distB="0" distL="114300" distR="114300" simplePos="0" relativeHeight="251658241" behindDoc="0" locked="0" layoutInCell="1" allowOverlap="1" wp14:anchorId="090508C0" wp14:editId="160F3C92">
                <wp:simplePos x="0" y="0"/>
                <wp:positionH relativeFrom="margin">
                  <wp:posOffset>-79375</wp:posOffset>
                </wp:positionH>
                <wp:positionV relativeFrom="margin">
                  <wp:posOffset>6420485</wp:posOffset>
                </wp:positionV>
                <wp:extent cx="6656070" cy="1359535"/>
                <wp:effectExtent l="0" t="0" r="0" b="0"/>
                <wp:wrapTopAndBottom/>
                <wp:docPr id="8" name="Rectangle 8"/>
                <wp:cNvGraphicFramePr/>
                <a:graphic xmlns:a="http://schemas.openxmlformats.org/drawingml/2006/main">
                  <a:graphicData uri="http://schemas.microsoft.com/office/word/2010/wordprocessingShape">
                    <wps:wsp>
                      <wps:cNvSpPr/>
                      <wps:spPr>
                        <a:xfrm>
                          <a:off x="0" y="0"/>
                          <a:ext cx="6656070" cy="13595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949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tblCellMar>
                              <w:tblLook w:val="04A0" w:firstRow="1" w:lastRow="0" w:firstColumn="1" w:lastColumn="0" w:noHBand="0" w:noVBand="1"/>
                            </w:tblPr>
                            <w:tblGrid>
                              <w:gridCol w:w="1077"/>
                              <w:gridCol w:w="964"/>
                              <w:gridCol w:w="1191"/>
                              <w:gridCol w:w="1134"/>
                              <w:gridCol w:w="1474"/>
                              <w:gridCol w:w="1474"/>
                              <w:gridCol w:w="1020"/>
                              <w:gridCol w:w="1163"/>
                            </w:tblGrid>
                            <w:tr w:rsidR="00B95A2D" w14:paraId="5A80DCC2" w14:textId="77777777" w:rsidTr="00352716">
                              <w:trPr>
                                <w:cantSplit/>
                                <w:trHeight w:val="283"/>
                              </w:trPr>
                              <w:tc>
                                <w:tcPr>
                                  <w:tcW w:w="1077" w:type="dxa"/>
                                  <w:shd w:val="clear" w:color="auto" w:fill="auto"/>
                                </w:tcPr>
                                <w:p w14:paraId="60317818" w14:textId="77777777" w:rsidR="00B95A2D" w:rsidRPr="006E533C" w:rsidRDefault="00B95A2D" w:rsidP="003C6A81">
                                  <w:pPr>
                                    <w:pStyle w:val="BodyText3"/>
                                    <w:ind w:left="45"/>
                                    <w:rPr>
                                      <w:rStyle w:val="Strong"/>
                                      <w:color w:val="000000" w:themeColor="text1"/>
                                    </w:rPr>
                                  </w:pPr>
                                  <w:r w:rsidRPr="00BB46D5">
                                    <w:rPr>
                                      <w:rStyle w:val="Strong"/>
                                      <w:color w:val="000000" w:themeColor="text1"/>
                                    </w:rPr>
                                    <w:t>Beijing</w:t>
                                  </w:r>
                                </w:p>
                              </w:tc>
                              <w:tc>
                                <w:tcPr>
                                  <w:tcW w:w="964" w:type="dxa"/>
                                  <w:shd w:val="clear" w:color="auto" w:fill="auto"/>
                                </w:tcPr>
                                <w:p w14:paraId="64D92442" w14:textId="77777777" w:rsidR="00B95A2D" w:rsidRPr="00BB46D5" w:rsidRDefault="00B95A2D" w:rsidP="003C6A81">
                                  <w:pPr>
                                    <w:pStyle w:val="BodyText3"/>
                                    <w:rPr>
                                      <w:rStyle w:val="Strong"/>
                                      <w:color w:val="000000" w:themeColor="text1"/>
                                    </w:rPr>
                                  </w:pPr>
                                  <w:r w:rsidRPr="006E533C">
                                    <w:rPr>
                                      <w:rStyle w:val="Strong"/>
                                      <w:color w:val="000000" w:themeColor="text1"/>
                                    </w:rPr>
                                    <w:t>Berli</w:t>
                                  </w:r>
                                  <w:r>
                                    <w:rPr>
                                      <w:rStyle w:val="Strong"/>
                                      <w:color w:val="000000" w:themeColor="text1"/>
                                    </w:rPr>
                                    <w:t>n</w:t>
                                  </w:r>
                                </w:p>
                              </w:tc>
                              <w:tc>
                                <w:tcPr>
                                  <w:tcW w:w="1191" w:type="dxa"/>
                                  <w:shd w:val="clear" w:color="auto" w:fill="auto"/>
                                </w:tcPr>
                                <w:p w14:paraId="7950D542" w14:textId="77777777" w:rsidR="00B95A2D" w:rsidRPr="006E533C" w:rsidRDefault="00B95A2D" w:rsidP="003C6A81">
                                  <w:pPr>
                                    <w:pStyle w:val="BodyText3"/>
                                    <w:rPr>
                                      <w:rStyle w:val="Strong"/>
                                      <w:color w:val="000000" w:themeColor="text1"/>
                                    </w:rPr>
                                  </w:pPr>
                                  <w:r w:rsidRPr="006E533C">
                                    <w:rPr>
                                      <w:rStyle w:val="Strong"/>
                                      <w:color w:val="000000" w:themeColor="text1"/>
                                    </w:rPr>
                                    <w:t>Brussels</w:t>
                                  </w:r>
                                </w:p>
                              </w:tc>
                              <w:tc>
                                <w:tcPr>
                                  <w:tcW w:w="1134" w:type="dxa"/>
                                  <w:shd w:val="clear" w:color="auto" w:fill="auto"/>
                                </w:tcPr>
                                <w:p w14:paraId="2D124AA6" w14:textId="77777777" w:rsidR="00B95A2D" w:rsidRPr="006E533C" w:rsidRDefault="00B95A2D" w:rsidP="003C6A81">
                                  <w:pPr>
                                    <w:pStyle w:val="BodyText3"/>
                                    <w:rPr>
                                      <w:rStyle w:val="Strong"/>
                                      <w:color w:val="000000" w:themeColor="text1"/>
                                    </w:rPr>
                                  </w:pPr>
                                  <w:r w:rsidRPr="006E533C">
                                    <w:rPr>
                                      <w:rStyle w:val="Strong"/>
                                      <w:color w:val="000000" w:themeColor="text1"/>
                                    </w:rPr>
                                    <w:t>London</w:t>
                                  </w:r>
                                </w:p>
                              </w:tc>
                              <w:tc>
                                <w:tcPr>
                                  <w:tcW w:w="1474" w:type="dxa"/>
                                  <w:shd w:val="clear" w:color="auto" w:fill="auto"/>
                                </w:tcPr>
                                <w:p w14:paraId="31C69DF1" w14:textId="77777777" w:rsidR="00B95A2D" w:rsidRPr="006E533C" w:rsidRDefault="00B95A2D" w:rsidP="003C6A81">
                                  <w:pPr>
                                    <w:pStyle w:val="BodyText3"/>
                                    <w:rPr>
                                      <w:rStyle w:val="Strong"/>
                                      <w:color w:val="000000" w:themeColor="text1"/>
                                    </w:rPr>
                                  </w:pPr>
                                  <w:r>
                                    <w:rPr>
                                      <w:rStyle w:val="Strong"/>
                                      <w:color w:val="000000" w:themeColor="text1"/>
                                    </w:rPr>
                                    <w:t>Los Angeles</w:t>
                                  </w:r>
                                </w:p>
                              </w:tc>
                              <w:tc>
                                <w:tcPr>
                                  <w:tcW w:w="1474" w:type="dxa"/>
                                  <w:shd w:val="clear" w:color="auto" w:fill="auto"/>
                                </w:tcPr>
                                <w:p w14:paraId="2BA60603" w14:textId="77777777" w:rsidR="00B95A2D" w:rsidRPr="00DD502B" w:rsidRDefault="00B95A2D" w:rsidP="003C6A81">
                                  <w:pPr>
                                    <w:pStyle w:val="BodyText3"/>
                                    <w:rPr>
                                      <w:rStyle w:val="Strong"/>
                                      <w:color w:val="000000" w:themeColor="text1"/>
                                    </w:rPr>
                                  </w:pPr>
                                  <w:r>
                                    <w:rPr>
                                      <w:rStyle w:val="Strong"/>
                                      <w:color w:val="000000" w:themeColor="text1"/>
                                    </w:rPr>
                                    <w:t>Luxembourg</w:t>
                                  </w:r>
                                </w:p>
                              </w:tc>
                              <w:tc>
                                <w:tcPr>
                                  <w:tcW w:w="1020" w:type="dxa"/>
                                  <w:shd w:val="clear" w:color="auto" w:fill="auto"/>
                                </w:tcPr>
                                <w:p w14:paraId="1B41644E" w14:textId="77777777" w:rsidR="00B95A2D" w:rsidRDefault="00B95A2D" w:rsidP="003C6A81">
                                  <w:pPr>
                                    <w:pStyle w:val="BodyText3"/>
                                    <w:rPr>
                                      <w:rStyle w:val="Strong"/>
                                      <w:color w:val="000000" w:themeColor="text1"/>
                                    </w:rPr>
                                  </w:pPr>
                                  <w:r w:rsidRPr="00DD502B">
                                    <w:rPr>
                                      <w:rStyle w:val="Strong"/>
                                      <w:color w:val="000000" w:themeColor="text1"/>
                                    </w:rPr>
                                    <w:t>Madrid</w:t>
                                  </w:r>
                                </w:p>
                              </w:tc>
                              <w:tc>
                                <w:tcPr>
                                  <w:tcW w:w="1162" w:type="dxa"/>
                                  <w:shd w:val="clear" w:color="auto" w:fill="auto"/>
                                </w:tcPr>
                                <w:p w14:paraId="36B1B531" w14:textId="77777777" w:rsidR="00B95A2D" w:rsidRDefault="00B95A2D" w:rsidP="003C6A81">
                                  <w:pPr>
                                    <w:pStyle w:val="BodyText3"/>
                                    <w:rPr>
                                      <w:rStyle w:val="Strong"/>
                                      <w:color w:val="000000" w:themeColor="text1"/>
                                    </w:rPr>
                                  </w:pPr>
                                  <w:r w:rsidRPr="00A16A45">
                                    <w:rPr>
                                      <w:rStyle w:val="Strong"/>
                                      <w:color w:val="000000" w:themeColor="text1"/>
                                    </w:rPr>
                                    <w:t>Warsaw</w:t>
                                  </w:r>
                                </w:p>
                              </w:tc>
                            </w:tr>
                            <w:tr w:rsidR="00B95A2D" w14:paraId="42629D98" w14:textId="77777777" w:rsidTr="00352716">
                              <w:trPr>
                                <w:cantSplit/>
                                <w:trHeight w:val="397"/>
                              </w:trPr>
                              <w:tc>
                                <w:tcPr>
                                  <w:tcW w:w="9497" w:type="dxa"/>
                                  <w:gridSpan w:val="8"/>
                                  <w:shd w:val="clear" w:color="auto" w:fill="auto"/>
                                </w:tcPr>
                                <w:p w14:paraId="1CA1F504" w14:textId="77777777" w:rsidR="006C5655" w:rsidRDefault="006C5655" w:rsidP="006C5655">
                                  <w:pPr>
                                    <w:ind w:right="247"/>
                                  </w:pPr>
                                  <w:r>
                                    <w:rPr>
                                      <w:color w:val="7F7F7F" w:themeColor="text1" w:themeTint="80"/>
                                      <w:sz w:val="14"/>
                                      <w:szCs w:val="14"/>
                                    </w:rPr>
                                    <w:t>ClientEarth is an environmental law charity, a company limited by guarantee, registered in England and Wales, company number 02863827, registered charity number 1053988, registered office 10 Queen Street Place, London EC4R 1BE, a registered international non-profit organisation in Belgium, ClientEarth AISBL, enterprise number 0714.925.038,  a non-profit limited liability company in Germany, ClientEarth gGmbH, HRB 202487 B, a registered foundation in Poland, Fundacja “ClientEarth Prawnicy dla Ziemi” , KRS 0000364218, NIP 7010254208, a registered delegation in Spain, Fundación ClientEarth Delegación en España, NIF W0170741C, a registered 501(c)(3) organisation in the US, ClientEarth US, EIN 81-0722756, a registered subsidiary in China, ClientEarth Beijing Representative Office, Registration No. G1110000MA0095H836, a registered subsidiary in Japan, Ippan Shadan Hojin ClientEarth, corporate number 6010405022079, a registered subsidiary and company limited by guarantee in Australia, ClientEarth Oceania Limited, company number 664010655​.</w:t>
                                  </w:r>
                                </w:p>
                                <w:p w14:paraId="0C415B92" w14:textId="77777777" w:rsidR="00B95A2D" w:rsidRPr="00FD7DD7" w:rsidRDefault="00B95A2D" w:rsidP="003C6A81">
                                  <w:pPr>
                                    <w:ind w:left="41"/>
                                  </w:pPr>
                                </w:p>
                              </w:tc>
                            </w:tr>
                          </w:tbl>
                          <w:p w14:paraId="5C44BAD7" w14:textId="77777777" w:rsidR="00B95A2D" w:rsidRDefault="00B95A2D" w:rsidP="00B95A2D"/>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508C0" id="Rectangle 8" o:spid="_x0000_s1027" style="position:absolute;left:0;text-align:left;margin-left:-6.25pt;margin-top:505.55pt;width:524.1pt;height:107.0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" filled="f" stroked="f" strokeweight="1pt">
                <v:textbox inset=",1mm,,1mm">
                  <w:txbxContent>
                    <w:tbl>
                      <w:tblPr>
                        <w:tblStyle w:val="TableGrid"/>
                        <w:tblW w:w="949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tblCellMar>
                        <w:tblLook w:val="04A0" w:firstRow="1" w:lastRow="0" w:firstColumn="1" w:lastColumn="0" w:noHBand="0" w:noVBand="1"/>
                      </w:tblPr>
                      <w:tblGrid>
                        <w:gridCol w:w="1077"/>
                        <w:gridCol w:w="964"/>
                        <w:gridCol w:w="1191"/>
                        <w:gridCol w:w="1134"/>
                        <w:gridCol w:w="1474"/>
                        <w:gridCol w:w="1474"/>
                        <w:gridCol w:w="1020"/>
                        <w:gridCol w:w="1163"/>
                      </w:tblGrid>
                      <w:tr w:rsidR="00B95A2D" w14:paraId="5A80DCC2" w14:textId="77777777" w:rsidTr="00352716">
                        <w:trPr>
                          <w:cantSplit/>
                          <w:trHeight w:val="283"/>
                        </w:trPr>
                        <w:tc>
                          <w:tcPr>
                            <w:tcW w:w="1077" w:type="dxa"/>
                            <w:shd w:val="clear" w:color="auto" w:fill="auto"/>
                          </w:tcPr>
                          <w:p w14:paraId="60317818" w14:textId="77777777" w:rsidR="00B95A2D" w:rsidRPr="006E533C" w:rsidRDefault="00B95A2D" w:rsidP="003C6A81">
                            <w:pPr>
                              <w:pStyle w:val="BodyText3"/>
                              <w:ind w:left="45"/>
                              <w:rPr>
                                <w:rStyle w:val="Strong"/>
                                <w:color w:val="000000" w:themeColor="text1"/>
                              </w:rPr>
                            </w:pPr>
                            <w:r w:rsidRPr="00BB46D5">
                              <w:rPr>
                                <w:rStyle w:val="Strong"/>
                                <w:color w:val="000000" w:themeColor="text1"/>
                              </w:rPr>
                              <w:t>Beijing</w:t>
                            </w:r>
                          </w:p>
                        </w:tc>
                        <w:tc>
                          <w:tcPr>
                            <w:tcW w:w="964" w:type="dxa"/>
                            <w:shd w:val="clear" w:color="auto" w:fill="auto"/>
                          </w:tcPr>
                          <w:p w14:paraId="64D92442" w14:textId="77777777" w:rsidR="00B95A2D" w:rsidRPr="00BB46D5" w:rsidRDefault="00B95A2D" w:rsidP="003C6A81">
                            <w:pPr>
                              <w:pStyle w:val="BodyText3"/>
                              <w:rPr>
                                <w:rStyle w:val="Strong"/>
                                <w:color w:val="000000" w:themeColor="text1"/>
                              </w:rPr>
                            </w:pPr>
                            <w:r w:rsidRPr="006E533C">
                              <w:rPr>
                                <w:rStyle w:val="Strong"/>
                                <w:color w:val="000000" w:themeColor="text1"/>
                              </w:rPr>
                              <w:t>Berli</w:t>
                            </w:r>
                            <w:r>
                              <w:rPr>
                                <w:rStyle w:val="Strong"/>
                                <w:color w:val="000000" w:themeColor="text1"/>
                              </w:rPr>
                              <w:t>n</w:t>
                            </w:r>
                          </w:p>
                        </w:tc>
                        <w:tc>
                          <w:tcPr>
                            <w:tcW w:w="1191" w:type="dxa"/>
                            <w:shd w:val="clear" w:color="auto" w:fill="auto"/>
                          </w:tcPr>
                          <w:p w14:paraId="7950D542" w14:textId="77777777" w:rsidR="00B95A2D" w:rsidRPr="006E533C" w:rsidRDefault="00B95A2D" w:rsidP="003C6A81">
                            <w:pPr>
                              <w:pStyle w:val="BodyText3"/>
                              <w:rPr>
                                <w:rStyle w:val="Strong"/>
                                <w:color w:val="000000" w:themeColor="text1"/>
                              </w:rPr>
                            </w:pPr>
                            <w:r w:rsidRPr="006E533C">
                              <w:rPr>
                                <w:rStyle w:val="Strong"/>
                                <w:color w:val="000000" w:themeColor="text1"/>
                              </w:rPr>
                              <w:t>Brussels</w:t>
                            </w:r>
                          </w:p>
                        </w:tc>
                        <w:tc>
                          <w:tcPr>
                            <w:tcW w:w="1134" w:type="dxa"/>
                            <w:shd w:val="clear" w:color="auto" w:fill="auto"/>
                          </w:tcPr>
                          <w:p w14:paraId="2D124AA6" w14:textId="77777777" w:rsidR="00B95A2D" w:rsidRPr="006E533C" w:rsidRDefault="00B95A2D" w:rsidP="003C6A81">
                            <w:pPr>
                              <w:pStyle w:val="BodyText3"/>
                              <w:rPr>
                                <w:rStyle w:val="Strong"/>
                                <w:color w:val="000000" w:themeColor="text1"/>
                              </w:rPr>
                            </w:pPr>
                            <w:r w:rsidRPr="006E533C">
                              <w:rPr>
                                <w:rStyle w:val="Strong"/>
                                <w:color w:val="000000" w:themeColor="text1"/>
                              </w:rPr>
                              <w:t>London</w:t>
                            </w:r>
                          </w:p>
                        </w:tc>
                        <w:tc>
                          <w:tcPr>
                            <w:tcW w:w="1474" w:type="dxa"/>
                            <w:shd w:val="clear" w:color="auto" w:fill="auto"/>
                          </w:tcPr>
                          <w:p w14:paraId="31C69DF1" w14:textId="77777777" w:rsidR="00B95A2D" w:rsidRPr="006E533C" w:rsidRDefault="00B95A2D" w:rsidP="003C6A81">
                            <w:pPr>
                              <w:pStyle w:val="BodyText3"/>
                              <w:rPr>
                                <w:rStyle w:val="Strong"/>
                                <w:color w:val="000000" w:themeColor="text1"/>
                              </w:rPr>
                            </w:pPr>
                            <w:r>
                              <w:rPr>
                                <w:rStyle w:val="Strong"/>
                                <w:color w:val="000000" w:themeColor="text1"/>
                              </w:rPr>
                              <w:t>Los Angeles</w:t>
                            </w:r>
                          </w:p>
                        </w:tc>
                        <w:tc>
                          <w:tcPr>
                            <w:tcW w:w="1474" w:type="dxa"/>
                            <w:shd w:val="clear" w:color="auto" w:fill="auto"/>
                          </w:tcPr>
                          <w:p w14:paraId="2BA60603" w14:textId="77777777" w:rsidR="00B95A2D" w:rsidRPr="00DD502B" w:rsidRDefault="00B95A2D" w:rsidP="003C6A81">
                            <w:pPr>
                              <w:pStyle w:val="BodyText3"/>
                              <w:rPr>
                                <w:rStyle w:val="Strong"/>
                                <w:color w:val="000000" w:themeColor="text1"/>
                              </w:rPr>
                            </w:pPr>
                            <w:r>
                              <w:rPr>
                                <w:rStyle w:val="Strong"/>
                                <w:color w:val="000000" w:themeColor="text1"/>
                              </w:rPr>
                              <w:t>Luxembourg</w:t>
                            </w:r>
                          </w:p>
                        </w:tc>
                        <w:tc>
                          <w:tcPr>
                            <w:tcW w:w="1020" w:type="dxa"/>
                            <w:shd w:val="clear" w:color="auto" w:fill="auto"/>
                          </w:tcPr>
                          <w:p w14:paraId="1B41644E" w14:textId="77777777" w:rsidR="00B95A2D" w:rsidRDefault="00B95A2D" w:rsidP="003C6A81">
                            <w:pPr>
                              <w:pStyle w:val="BodyText3"/>
                              <w:rPr>
                                <w:rStyle w:val="Strong"/>
                                <w:color w:val="000000" w:themeColor="text1"/>
                              </w:rPr>
                            </w:pPr>
                            <w:r w:rsidRPr="00DD502B">
                              <w:rPr>
                                <w:rStyle w:val="Strong"/>
                                <w:color w:val="000000" w:themeColor="text1"/>
                              </w:rPr>
                              <w:t>Madrid</w:t>
                            </w:r>
                          </w:p>
                        </w:tc>
                        <w:tc>
                          <w:tcPr>
                            <w:tcW w:w="1162" w:type="dxa"/>
                            <w:shd w:val="clear" w:color="auto" w:fill="auto"/>
                          </w:tcPr>
                          <w:p w14:paraId="36B1B531" w14:textId="77777777" w:rsidR="00B95A2D" w:rsidRDefault="00B95A2D" w:rsidP="003C6A81">
                            <w:pPr>
                              <w:pStyle w:val="BodyText3"/>
                              <w:rPr>
                                <w:rStyle w:val="Strong"/>
                                <w:color w:val="000000" w:themeColor="text1"/>
                              </w:rPr>
                            </w:pPr>
                            <w:r w:rsidRPr="00A16A45">
                              <w:rPr>
                                <w:rStyle w:val="Strong"/>
                                <w:color w:val="000000" w:themeColor="text1"/>
                              </w:rPr>
                              <w:t>Warsaw</w:t>
                            </w:r>
                          </w:p>
                        </w:tc>
                      </w:tr>
                      <w:tr w:rsidR="00B95A2D" w14:paraId="42629D98" w14:textId="77777777" w:rsidTr="00352716">
                        <w:trPr>
                          <w:cantSplit/>
                          <w:trHeight w:val="397"/>
                        </w:trPr>
                        <w:tc>
                          <w:tcPr>
                            <w:tcW w:w="9497" w:type="dxa"/>
                            <w:gridSpan w:val="8"/>
                            <w:shd w:val="clear" w:color="auto" w:fill="auto"/>
                          </w:tcPr>
                          <w:p w14:paraId="1CA1F504" w14:textId="77777777" w:rsidR="006C5655" w:rsidRDefault="006C5655" w:rsidP="006C5655">
                            <w:pPr>
                              <w:ind w:right="247"/>
                            </w:pPr>
                            <w:r>
                              <w:rPr>
                                <w:color w:val="7F7F7F" w:themeColor="text1" w:themeTint="80"/>
                                <w:sz w:val="14"/>
                                <w:szCs w:val="14"/>
                              </w:rPr>
                              <w:t>ClientEarth is an environmental law charity, a company limited by guarantee, registered in England and Wales, company number 02863827, registered charity number 1053988, registered office 10 Queen Street Place, London EC4R 1BE, a registered international non-profit organisation in Belgium, ClientEarth AISBL, enterprise number 0714.925.038,  a non-profit limited liability company in Germany, ClientEarth gGmbH, HRB 202487 B, a registered foundation in Poland, Fundacja “ClientEarth Prawnicy dla Ziemi” , KRS 0000364218, NIP 7010254208, a registered delegation in Spain, Fundación ClientEarth Delegación en España, NIF W0170741C, a registered 501(c)(3) organisation in the US, ClientEarth US, EIN 81-0722756, a registered subsidiary in China, ClientEarth Beijing Representative Office, Registration No. G1110000MA0095H836, a registered subsidiary in Japan, Ippan Shadan Hojin ClientEarth, corporate number 6010405022079, a registered subsidiary and company limited by guarantee in Australia, ClientEarth Oceania Limited, company number 664010655​.</w:t>
                            </w:r>
                          </w:p>
                          <w:p w14:paraId="0C415B92" w14:textId="77777777" w:rsidR="00B95A2D" w:rsidRPr="00FD7DD7" w:rsidRDefault="00B95A2D" w:rsidP="003C6A81">
                            <w:pPr>
                              <w:ind w:left="41"/>
                            </w:pPr>
                          </w:p>
                        </w:tc>
                      </w:tr>
                    </w:tbl>
                    <w:p w14:paraId="5C44BAD7" w14:textId="77777777" w:rsidR="00B95A2D" w:rsidRDefault="00B95A2D" w:rsidP="00B95A2D"/>
                  </w:txbxContent>
                </v:textbox>
                <w10:wrap type="topAndBottom" anchorx="margin" anchory="margin"/>
              </v:rect>
            </w:pict>
          </mc:Fallback>
        </mc:AlternateContent>
      </w:r>
      <w:sdt>
        <w:sdtPr>
          <w:id w:val="491757186"/>
          <w:lock w:val="contentLocked"/>
          <w:placeholder>
            <w:docPart w:val="69C93E2A23274C5099868CE2625BC89D"/>
          </w:placeholder>
          <w:group/>
        </w:sdtPr>
        <w:sdtContent/>
      </w:sdt>
    </w:p>
    <w:sectPr w:rsidR="00B95A2D" w:rsidSect="00403C72">
      <w:headerReference w:type="default" r:id="rId26"/>
      <w:footerReference w:type="default" r:id="rId27"/>
      <w:headerReference w:type="first" r:id="rId28"/>
      <w:footerReference w:type="first" r:id="rId29"/>
      <w:pgSz w:w="11906" w:h="16838"/>
      <w:pgMar w:top="851" w:right="851" w:bottom="851" w:left="851" w:header="822" w:footer="709"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5AE93" w14:textId="77777777" w:rsidR="0007512E" w:rsidRDefault="0007512E" w:rsidP="00DC4544">
      <w:r>
        <w:separator/>
      </w:r>
    </w:p>
  </w:endnote>
  <w:endnote w:type="continuationSeparator" w:id="0">
    <w:p w14:paraId="15F9AD2B" w14:textId="77777777" w:rsidR="0007512E" w:rsidRDefault="0007512E" w:rsidP="00DC4544">
      <w:r>
        <w:continuationSeparator/>
      </w:r>
    </w:p>
  </w:endnote>
  <w:endnote w:type="continuationNotice" w:id="1">
    <w:p w14:paraId="71B4F1B5" w14:textId="77777777" w:rsidR="0007512E" w:rsidRDefault="000751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F2F31" w14:textId="20ED08E6" w:rsidR="00370507" w:rsidRPr="001979F5" w:rsidRDefault="00435570" w:rsidP="00E41DFC">
    <w:pPr>
      <w:pStyle w:val="Footer"/>
      <w:jc w:val="center"/>
      <w:rPr>
        <w:sz w:val="20"/>
        <w:szCs w:val="20"/>
      </w:rPr>
    </w:pPr>
    <w:sdt>
      <w:sdtPr>
        <w:rPr>
          <w:sz w:val="20"/>
          <w:szCs w:val="20"/>
        </w:rPr>
        <w:id w:val="966087961"/>
        <w:docPartObj>
          <w:docPartGallery w:val="Page Numbers (Bottom of Page)"/>
          <w:docPartUnique/>
        </w:docPartObj>
      </w:sdtPr>
      <w:sdtEndPr>
        <w:rPr>
          <w:noProof/>
        </w:rPr>
      </w:sdtEndPr>
      <w:sdtContent>
        <w:r w:rsidR="007E1944" w:rsidRPr="001979F5">
          <w:rPr>
            <w:sz w:val="20"/>
            <w:szCs w:val="20"/>
          </w:rPr>
          <w:fldChar w:fldCharType="begin"/>
        </w:r>
        <w:r w:rsidR="007E1944" w:rsidRPr="001979F5">
          <w:rPr>
            <w:sz w:val="20"/>
            <w:szCs w:val="20"/>
          </w:rPr>
          <w:instrText xml:space="preserve"> PAGE \* Arabic</w:instrText>
        </w:r>
        <w:r w:rsidR="007E1944" w:rsidRPr="001979F5">
          <w:rPr>
            <w:sz w:val="20"/>
            <w:szCs w:val="20"/>
          </w:rPr>
          <w:fldChar w:fldCharType="separate"/>
        </w:r>
        <w:r w:rsidR="007E1944" w:rsidRPr="001979F5">
          <w:rPr>
            <w:noProof/>
            <w:sz w:val="20"/>
            <w:szCs w:val="20"/>
          </w:rPr>
          <w:t>1</w:t>
        </w:r>
        <w:r w:rsidR="007E1944" w:rsidRPr="001979F5">
          <w:rPr>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7F4F3" w14:textId="5A748D97" w:rsidR="007E5C53" w:rsidRDefault="007E5C53" w:rsidP="001D5ED1">
    <w:pPr>
      <w:pStyle w:val="Footer"/>
      <w:jc w:val="right"/>
    </w:pPr>
  </w:p>
  <w:p w14:paraId="658CFD78" w14:textId="77777777" w:rsidR="001D5ED1" w:rsidRDefault="001D5ED1" w:rsidP="001D5ED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A57DC" w14:textId="77777777" w:rsidR="0007512E" w:rsidRDefault="0007512E" w:rsidP="00DC4544">
      <w:r>
        <w:separator/>
      </w:r>
    </w:p>
  </w:footnote>
  <w:footnote w:type="continuationSeparator" w:id="0">
    <w:p w14:paraId="782B87BF" w14:textId="77777777" w:rsidR="0007512E" w:rsidRDefault="0007512E" w:rsidP="00DC4544">
      <w:r>
        <w:continuationSeparator/>
      </w:r>
    </w:p>
  </w:footnote>
  <w:footnote w:type="continuationNotice" w:id="1">
    <w:p w14:paraId="5A612F4C" w14:textId="77777777" w:rsidR="0007512E" w:rsidRDefault="0007512E"/>
  </w:footnote>
  <w:footnote w:id="2">
    <w:p w14:paraId="4DCBBFC4" w14:textId="5FBAB27D" w:rsidR="002B2185" w:rsidRPr="006B17B8" w:rsidRDefault="002B2185">
      <w:pPr>
        <w:pStyle w:val="FootnoteText"/>
        <w:rPr>
          <w:rFonts w:asciiTheme="majorHAnsi" w:hAnsiTheme="majorHAnsi" w:cstheme="majorHAnsi"/>
          <w:sz w:val="18"/>
          <w:szCs w:val="18"/>
        </w:rPr>
      </w:pPr>
      <w:r w:rsidRPr="006B17B8">
        <w:rPr>
          <w:rStyle w:val="FootnoteReference"/>
          <w:rFonts w:asciiTheme="majorHAnsi" w:hAnsiTheme="majorHAnsi" w:cstheme="majorHAnsi"/>
          <w:sz w:val="18"/>
          <w:szCs w:val="18"/>
        </w:rPr>
        <w:footnoteRef/>
      </w:r>
      <w:r w:rsidRPr="006B17B8">
        <w:rPr>
          <w:rFonts w:asciiTheme="majorHAnsi" w:hAnsiTheme="majorHAnsi" w:cstheme="majorHAnsi"/>
          <w:sz w:val="18"/>
          <w:szCs w:val="18"/>
        </w:rPr>
        <w:t xml:space="preserve"> See, for example, </w:t>
      </w:r>
      <w:hyperlink r:id="rId1" w:history="1">
        <w:r w:rsidRPr="006B17B8">
          <w:rPr>
            <w:rStyle w:val="Hyperlink"/>
            <w:rFonts w:asciiTheme="majorHAnsi" w:hAnsiTheme="majorHAnsi" w:cstheme="majorHAnsi"/>
            <w:sz w:val="18"/>
            <w:szCs w:val="18"/>
          </w:rPr>
          <w:t>Statement-Financial-Sector-WG-business-12July2023.pdf (ohchr.org)</w:t>
        </w:r>
      </w:hyperlink>
      <w:r w:rsidRPr="006B17B8">
        <w:rPr>
          <w:rFonts w:asciiTheme="majorHAnsi" w:hAnsiTheme="majorHAnsi" w:cstheme="majorHAnsi"/>
          <w:sz w:val="18"/>
          <w:szCs w:val="18"/>
        </w:rPr>
        <w:t>.</w:t>
      </w:r>
    </w:p>
  </w:footnote>
  <w:footnote w:id="3">
    <w:p w14:paraId="10DB1FC8" w14:textId="3D6A17A2" w:rsidR="00E7210A" w:rsidRPr="006B17B8" w:rsidRDefault="00E7210A">
      <w:pPr>
        <w:pStyle w:val="FootnoteText"/>
        <w:rPr>
          <w:rFonts w:asciiTheme="majorHAnsi" w:hAnsiTheme="majorHAnsi" w:cstheme="majorHAnsi"/>
          <w:sz w:val="18"/>
          <w:szCs w:val="18"/>
        </w:rPr>
      </w:pPr>
      <w:r w:rsidRPr="006B17B8">
        <w:rPr>
          <w:rStyle w:val="FootnoteReference"/>
          <w:rFonts w:asciiTheme="majorHAnsi" w:hAnsiTheme="majorHAnsi" w:cstheme="majorHAnsi"/>
          <w:sz w:val="18"/>
          <w:szCs w:val="18"/>
        </w:rPr>
        <w:footnoteRef/>
      </w:r>
      <w:r w:rsidRPr="006B17B8">
        <w:rPr>
          <w:rFonts w:asciiTheme="majorHAnsi" w:hAnsiTheme="majorHAnsi" w:cstheme="majorHAnsi"/>
          <w:sz w:val="18"/>
          <w:szCs w:val="18"/>
        </w:rPr>
        <w:t xml:space="preserve"> See</w:t>
      </w:r>
      <w:r w:rsidR="009E3595" w:rsidRPr="006B17B8">
        <w:rPr>
          <w:rFonts w:asciiTheme="majorHAnsi" w:hAnsiTheme="majorHAnsi" w:cstheme="majorHAnsi"/>
          <w:sz w:val="18"/>
          <w:szCs w:val="18"/>
        </w:rPr>
        <w:t xml:space="preserve"> UN Guiding Principle</w:t>
      </w:r>
      <w:r w:rsidR="004E58EF" w:rsidRPr="006B17B8">
        <w:rPr>
          <w:rFonts w:asciiTheme="majorHAnsi" w:hAnsiTheme="majorHAnsi" w:cstheme="majorHAnsi"/>
          <w:sz w:val="18"/>
          <w:szCs w:val="18"/>
        </w:rPr>
        <w:t>s</w:t>
      </w:r>
      <w:r w:rsidR="009E3595" w:rsidRPr="006B17B8">
        <w:rPr>
          <w:rFonts w:asciiTheme="majorHAnsi" w:hAnsiTheme="majorHAnsi" w:cstheme="majorHAnsi"/>
          <w:sz w:val="18"/>
          <w:szCs w:val="18"/>
        </w:rPr>
        <w:t xml:space="preserve"> 11</w:t>
      </w:r>
      <w:r w:rsidR="004E58EF" w:rsidRPr="006B17B8">
        <w:rPr>
          <w:rFonts w:asciiTheme="majorHAnsi" w:hAnsiTheme="majorHAnsi" w:cstheme="majorHAnsi"/>
          <w:sz w:val="18"/>
          <w:szCs w:val="18"/>
        </w:rPr>
        <w:t xml:space="preserve"> and 19</w:t>
      </w:r>
      <w:r w:rsidR="009E3595" w:rsidRPr="006B17B8">
        <w:rPr>
          <w:rFonts w:asciiTheme="majorHAnsi" w:hAnsiTheme="majorHAnsi" w:cstheme="majorHAnsi"/>
          <w:sz w:val="18"/>
          <w:szCs w:val="18"/>
        </w:rPr>
        <w:t xml:space="preserve"> and</w:t>
      </w:r>
      <w:r w:rsidR="00915601" w:rsidRPr="006B17B8">
        <w:rPr>
          <w:rFonts w:asciiTheme="majorHAnsi" w:hAnsiTheme="majorHAnsi" w:cstheme="majorHAnsi"/>
          <w:sz w:val="18"/>
          <w:szCs w:val="18"/>
        </w:rPr>
        <w:t xml:space="preserve"> the detailed discussion in</w:t>
      </w:r>
      <w:r w:rsidRPr="006B17B8">
        <w:rPr>
          <w:rFonts w:asciiTheme="majorHAnsi" w:hAnsiTheme="majorHAnsi" w:cstheme="majorHAnsi"/>
          <w:sz w:val="18"/>
          <w:szCs w:val="18"/>
        </w:rPr>
        <w:t xml:space="preserve"> </w:t>
      </w:r>
      <w:hyperlink r:id="rId2" w:history="1">
        <w:r w:rsidR="008A7C74" w:rsidRPr="006B17B8">
          <w:rPr>
            <w:rStyle w:val="Hyperlink"/>
            <w:rFonts w:asciiTheme="majorHAnsi" w:hAnsiTheme="majorHAnsi" w:cstheme="majorHAnsi"/>
            <w:sz w:val="18"/>
            <w:szCs w:val="18"/>
          </w:rPr>
          <w:t>A/HRC/47/39/Add.1</w:t>
        </w:r>
      </w:hyperlink>
      <w:r w:rsidR="00906EAF" w:rsidRPr="006B17B8">
        <w:rPr>
          <w:rFonts w:asciiTheme="majorHAnsi" w:hAnsiTheme="majorHAnsi" w:cstheme="majorHAnsi"/>
          <w:sz w:val="18"/>
          <w:szCs w:val="18"/>
        </w:rPr>
        <w:t>.</w:t>
      </w:r>
    </w:p>
  </w:footnote>
  <w:footnote w:id="4">
    <w:p w14:paraId="431E6C1A" w14:textId="18A59AB4" w:rsidR="00D96196" w:rsidRPr="006B17B8" w:rsidRDefault="00D96196" w:rsidP="007A0501">
      <w:pPr>
        <w:pStyle w:val="FootnoteText"/>
        <w:rPr>
          <w:rFonts w:asciiTheme="majorHAnsi" w:hAnsiTheme="majorHAnsi" w:cstheme="majorHAnsi"/>
          <w:sz w:val="18"/>
          <w:szCs w:val="18"/>
        </w:rPr>
      </w:pPr>
      <w:r w:rsidRPr="006B17B8">
        <w:rPr>
          <w:rStyle w:val="FootnoteReference"/>
          <w:rFonts w:asciiTheme="majorHAnsi" w:hAnsiTheme="majorHAnsi" w:cstheme="majorHAnsi"/>
          <w:sz w:val="18"/>
          <w:szCs w:val="18"/>
        </w:rPr>
        <w:footnoteRef/>
      </w:r>
      <w:r w:rsidRPr="006B17B8">
        <w:rPr>
          <w:rFonts w:asciiTheme="majorHAnsi" w:hAnsiTheme="majorHAnsi" w:cstheme="majorHAnsi"/>
          <w:sz w:val="18"/>
          <w:szCs w:val="18"/>
        </w:rPr>
        <w:t xml:space="preserve"> In 2019, for example, the </w:t>
      </w:r>
      <w:r w:rsidR="004E16C9" w:rsidRPr="006B17B8">
        <w:rPr>
          <w:rFonts w:asciiTheme="majorHAnsi" w:hAnsiTheme="majorHAnsi" w:cstheme="majorHAnsi"/>
          <w:sz w:val="18"/>
          <w:szCs w:val="18"/>
        </w:rPr>
        <w:t xml:space="preserve">UN </w:t>
      </w:r>
      <w:r w:rsidRPr="006B17B8">
        <w:rPr>
          <w:rFonts w:asciiTheme="majorHAnsi" w:hAnsiTheme="majorHAnsi" w:cstheme="majorHAnsi"/>
          <w:sz w:val="18"/>
          <w:szCs w:val="18"/>
        </w:rPr>
        <w:t>Special</w:t>
      </w:r>
      <w:r w:rsidR="004E16C9" w:rsidRPr="006B17B8">
        <w:rPr>
          <w:rFonts w:asciiTheme="majorHAnsi" w:hAnsiTheme="majorHAnsi" w:cstheme="majorHAnsi"/>
          <w:sz w:val="18"/>
          <w:szCs w:val="18"/>
        </w:rPr>
        <w:t xml:space="preserve"> Rapporteur on the issue of human rights obligations relating to the enjoyment of a safe, clean, healthy and sustainable environment</w:t>
      </w:r>
      <w:r w:rsidRPr="006B17B8">
        <w:rPr>
          <w:rFonts w:asciiTheme="majorHAnsi" w:hAnsiTheme="majorHAnsi" w:cstheme="majorHAnsi"/>
          <w:sz w:val="18"/>
          <w:szCs w:val="18"/>
        </w:rPr>
        <w:t xml:space="preserve"> </w:t>
      </w:r>
      <w:r w:rsidR="004E16C9" w:rsidRPr="006B17B8">
        <w:rPr>
          <w:rFonts w:asciiTheme="majorHAnsi" w:hAnsiTheme="majorHAnsi" w:cstheme="majorHAnsi"/>
          <w:sz w:val="18"/>
          <w:szCs w:val="18"/>
        </w:rPr>
        <w:t>n</w:t>
      </w:r>
      <w:r w:rsidRPr="006B17B8">
        <w:rPr>
          <w:rFonts w:asciiTheme="majorHAnsi" w:hAnsiTheme="majorHAnsi" w:cstheme="majorHAnsi"/>
          <w:sz w:val="18"/>
          <w:szCs w:val="18"/>
        </w:rPr>
        <w:t>oted that “</w:t>
      </w:r>
      <w:r w:rsidR="007A0501" w:rsidRPr="006B17B8">
        <w:rPr>
          <w:rFonts w:asciiTheme="majorHAnsi" w:hAnsiTheme="majorHAnsi" w:cstheme="majorHAnsi"/>
          <w:i/>
          <w:iCs/>
          <w:sz w:val="18"/>
          <w:szCs w:val="18"/>
        </w:rPr>
        <w:t>Climate change is having a major impact on a wide range of human rights today, and could have a cataclysmic impact in the future unless ambitious actions are undertaken immediately. Among the human rights being threatened and violated are the rights to life, health, food, water and sanitation, a healthy environment, an adequate standard of living, housing, property, self -determination, development and culture</w:t>
      </w:r>
      <w:r w:rsidR="007A0501" w:rsidRPr="006B17B8">
        <w:rPr>
          <w:rFonts w:asciiTheme="majorHAnsi" w:hAnsiTheme="majorHAnsi" w:cstheme="majorHAnsi"/>
          <w:sz w:val="18"/>
          <w:szCs w:val="18"/>
        </w:rPr>
        <w:t>.” (see para. 26 of A/74/161).</w:t>
      </w:r>
    </w:p>
  </w:footnote>
  <w:footnote w:id="5">
    <w:p w14:paraId="257582CA" w14:textId="34BBB995" w:rsidR="00C32AF2" w:rsidRPr="006B17B8" w:rsidRDefault="00C32AF2">
      <w:pPr>
        <w:pStyle w:val="FootnoteText"/>
        <w:rPr>
          <w:rFonts w:asciiTheme="majorHAnsi" w:hAnsiTheme="majorHAnsi" w:cstheme="majorHAnsi"/>
          <w:sz w:val="18"/>
          <w:szCs w:val="18"/>
        </w:rPr>
      </w:pPr>
      <w:r w:rsidRPr="006B17B8">
        <w:rPr>
          <w:rStyle w:val="FootnoteReference"/>
          <w:rFonts w:asciiTheme="majorHAnsi" w:hAnsiTheme="majorHAnsi" w:cstheme="majorHAnsi"/>
          <w:sz w:val="18"/>
          <w:szCs w:val="18"/>
        </w:rPr>
        <w:footnoteRef/>
      </w:r>
      <w:r w:rsidRPr="006B17B8">
        <w:rPr>
          <w:rFonts w:asciiTheme="majorHAnsi" w:hAnsiTheme="majorHAnsi" w:cstheme="majorHAnsi"/>
          <w:sz w:val="18"/>
          <w:szCs w:val="18"/>
        </w:rPr>
        <w:t xml:space="preserve"> See A/HRC/48/L.23/Rev.1.</w:t>
      </w:r>
      <w:r w:rsidR="005013E1" w:rsidRPr="006B17B8">
        <w:rPr>
          <w:rFonts w:asciiTheme="majorHAnsi" w:hAnsiTheme="majorHAnsi" w:cstheme="majorHAnsi"/>
          <w:sz w:val="18"/>
          <w:szCs w:val="18"/>
        </w:rPr>
        <w:t xml:space="preserve"> See also paras. 4 and 5 of </w:t>
      </w:r>
      <w:hyperlink r:id="rId3" w:history="1">
        <w:r w:rsidR="00B26FC0" w:rsidRPr="006B17B8">
          <w:rPr>
            <w:rStyle w:val="Hyperlink"/>
            <w:rFonts w:asciiTheme="majorHAnsi" w:hAnsiTheme="majorHAnsi" w:cstheme="majorHAnsi"/>
            <w:sz w:val="18"/>
            <w:szCs w:val="18"/>
          </w:rPr>
          <w:t>Information-Note-Climate-Change-and-UNGPs.pdf (ohchr.org)</w:t>
        </w:r>
      </w:hyperlink>
      <w:r w:rsidR="00B26FC0" w:rsidRPr="006B17B8">
        <w:rPr>
          <w:rFonts w:asciiTheme="majorHAnsi" w:hAnsiTheme="majorHAnsi" w:cstheme="majorHAnsi"/>
          <w:sz w:val="18"/>
          <w:szCs w:val="18"/>
        </w:rPr>
        <w:t>.</w:t>
      </w:r>
    </w:p>
  </w:footnote>
  <w:footnote w:id="6">
    <w:p w14:paraId="107E1924" w14:textId="60502AC6" w:rsidR="00442E4B" w:rsidRPr="006B17B8" w:rsidRDefault="00442E4B">
      <w:pPr>
        <w:pStyle w:val="FootnoteText"/>
        <w:rPr>
          <w:rFonts w:asciiTheme="majorHAnsi" w:hAnsiTheme="majorHAnsi" w:cstheme="majorHAnsi"/>
          <w:sz w:val="18"/>
          <w:szCs w:val="18"/>
        </w:rPr>
      </w:pPr>
      <w:r w:rsidRPr="006B17B8">
        <w:rPr>
          <w:rStyle w:val="FootnoteReference"/>
          <w:rFonts w:asciiTheme="majorHAnsi" w:hAnsiTheme="majorHAnsi" w:cstheme="majorHAnsi"/>
          <w:sz w:val="18"/>
          <w:szCs w:val="18"/>
        </w:rPr>
        <w:footnoteRef/>
      </w:r>
      <w:r w:rsidRPr="006B17B8">
        <w:rPr>
          <w:rFonts w:asciiTheme="majorHAnsi" w:hAnsiTheme="majorHAnsi" w:cstheme="majorHAnsi"/>
          <w:sz w:val="18"/>
          <w:szCs w:val="18"/>
        </w:rPr>
        <w:t xml:space="preserve"> And elaborated by the OECD in its</w:t>
      </w:r>
      <w:r w:rsidR="0073283C" w:rsidRPr="006B17B8">
        <w:rPr>
          <w:rFonts w:asciiTheme="majorHAnsi" w:hAnsiTheme="majorHAnsi" w:cstheme="majorHAnsi"/>
          <w:sz w:val="18"/>
          <w:szCs w:val="18"/>
        </w:rPr>
        <w:t xml:space="preserve"> Guidelines for multinational enterprises (updated in 2023 and available </w:t>
      </w:r>
      <w:hyperlink r:id="rId4" w:history="1">
        <w:r w:rsidR="0073283C" w:rsidRPr="006B17B8">
          <w:rPr>
            <w:rStyle w:val="Hyperlink"/>
            <w:rFonts w:asciiTheme="majorHAnsi" w:hAnsiTheme="majorHAnsi" w:cstheme="majorHAnsi"/>
            <w:sz w:val="18"/>
            <w:szCs w:val="18"/>
          </w:rPr>
          <w:t>here</w:t>
        </w:r>
      </w:hyperlink>
      <w:r w:rsidR="0073283C" w:rsidRPr="006B17B8">
        <w:rPr>
          <w:rFonts w:asciiTheme="majorHAnsi" w:hAnsiTheme="majorHAnsi" w:cstheme="majorHAnsi"/>
          <w:sz w:val="18"/>
          <w:szCs w:val="18"/>
        </w:rPr>
        <w:t>) and</w:t>
      </w:r>
      <w:r w:rsidRPr="006B17B8">
        <w:rPr>
          <w:rFonts w:asciiTheme="majorHAnsi" w:hAnsiTheme="majorHAnsi" w:cstheme="majorHAnsi"/>
          <w:sz w:val="18"/>
          <w:szCs w:val="18"/>
        </w:rPr>
        <w:t xml:space="preserve"> </w:t>
      </w:r>
      <w:r w:rsidR="00777006" w:rsidRPr="006B17B8">
        <w:rPr>
          <w:rFonts w:asciiTheme="majorHAnsi" w:hAnsiTheme="majorHAnsi" w:cstheme="majorHAnsi"/>
          <w:sz w:val="18"/>
          <w:szCs w:val="18"/>
        </w:rPr>
        <w:t xml:space="preserve">2017 guidance for institutional investors on responsible business conduct, available here: </w:t>
      </w:r>
      <w:hyperlink r:id="rId5" w:history="1">
        <w:r w:rsidR="00777006" w:rsidRPr="006B17B8">
          <w:rPr>
            <w:rStyle w:val="Hyperlink"/>
            <w:rFonts w:asciiTheme="majorHAnsi" w:hAnsiTheme="majorHAnsi" w:cstheme="majorHAnsi"/>
            <w:sz w:val="18"/>
            <w:szCs w:val="18"/>
          </w:rPr>
          <w:t>RBC-for-Institutional-Investors.pdf (oecd.org)</w:t>
        </w:r>
      </w:hyperlink>
      <w:r w:rsidR="00777006" w:rsidRPr="006B17B8">
        <w:rPr>
          <w:rFonts w:asciiTheme="majorHAnsi" w:hAnsiTheme="majorHAnsi" w:cstheme="majorHAnsi"/>
          <w:sz w:val="18"/>
          <w:szCs w:val="18"/>
        </w:rPr>
        <w:t>.</w:t>
      </w:r>
    </w:p>
  </w:footnote>
  <w:footnote w:id="7">
    <w:p w14:paraId="6A2E395D" w14:textId="743A008D" w:rsidR="006A13BA" w:rsidRPr="006B17B8" w:rsidRDefault="006A13BA">
      <w:pPr>
        <w:pStyle w:val="FootnoteText"/>
        <w:rPr>
          <w:rFonts w:asciiTheme="majorHAnsi" w:hAnsiTheme="majorHAnsi" w:cstheme="majorHAnsi"/>
          <w:sz w:val="18"/>
          <w:szCs w:val="18"/>
        </w:rPr>
      </w:pPr>
      <w:r w:rsidRPr="006B17B8">
        <w:rPr>
          <w:rStyle w:val="FootnoteReference"/>
          <w:rFonts w:asciiTheme="majorHAnsi" w:hAnsiTheme="majorHAnsi" w:cstheme="majorHAnsi"/>
          <w:sz w:val="18"/>
          <w:szCs w:val="18"/>
        </w:rPr>
        <w:footnoteRef/>
      </w:r>
      <w:r w:rsidRPr="006B17B8">
        <w:rPr>
          <w:rFonts w:asciiTheme="majorHAnsi" w:hAnsiTheme="majorHAnsi" w:cstheme="majorHAnsi"/>
          <w:sz w:val="18"/>
          <w:szCs w:val="18"/>
        </w:rPr>
        <w:t xml:space="preserve"> See p.15 of </w:t>
      </w:r>
      <w:r w:rsidR="004E2A5B" w:rsidRPr="006B17B8">
        <w:rPr>
          <w:rFonts w:asciiTheme="majorHAnsi" w:hAnsiTheme="majorHAnsi" w:cstheme="majorHAnsi"/>
          <w:sz w:val="18"/>
          <w:szCs w:val="18"/>
        </w:rPr>
        <w:t xml:space="preserve">UN Expert Group’s </w:t>
      </w:r>
      <w:hyperlink r:id="rId6" w:history="1">
        <w:r w:rsidR="004E2A5B" w:rsidRPr="006B17B8">
          <w:rPr>
            <w:rStyle w:val="Hyperlink"/>
            <w:rFonts w:asciiTheme="majorHAnsi" w:hAnsiTheme="majorHAnsi" w:cstheme="majorHAnsi"/>
            <w:sz w:val="18"/>
            <w:szCs w:val="18"/>
          </w:rPr>
          <w:t>report</w:t>
        </w:r>
      </w:hyperlink>
      <w:r w:rsidR="004E2A5B" w:rsidRPr="006B17B8">
        <w:rPr>
          <w:rFonts w:asciiTheme="majorHAnsi" w:hAnsiTheme="majorHAnsi" w:cstheme="majorHAnsi"/>
          <w:sz w:val="18"/>
          <w:szCs w:val="18"/>
        </w:rPr>
        <w:t xml:space="preserve"> on the net zero commitments of non-state actors.</w:t>
      </w:r>
    </w:p>
  </w:footnote>
  <w:footnote w:id="8">
    <w:p w14:paraId="5D9415AA" w14:textId="0340B4DA" w:rsidR="005F6EC3" w:rsidRPr="006B17B8" w:rsidRDefault="005F6EC3">
      <w:pPr>
        <w:pStyle w:val="FootnoteText"/>
        <w:rPr>
          <w:rFonts w:asciiTheme="majorHAnsi" w:hAnsiTheme="majorHAnsi" w:cstheme="majorHAnsi"/>
          <w:sz w:val="18"/>
          <w:szCs w:val="18"/>
        </w:rPr>
      </w:pPr>
      <w:r w:rsidRPr="006B17B8">
        <w:rPr>
          <w:rStyle w:val="FootnoteReference"/>
          <w:rFonts w:asciiTheme="majorHAnsi" w:hAnsiTheme="majorHAnsi" w:cstheme="majorHAnsi"/>
          <w:sz w:val="18"/>
          <w:szCs w:val="18"/>
        </w:rPr>
        <w:footnoteRef/>
      </w:r>
      <w:r w:rsidRPr="006B17B8">
        <w:rPr>
          <w:rFonts w:asciiTheme="majorHAnsi" w:hAnsiTheme="majorHAnsi" w:cstheme="majorHAnsi"/>
          <w:sz w:val="18"/>
          <w:szCs w:val="18"/>
        </w:rPr>
        <w:t xml:space="preserve"> The UN Working Group’s 2023 Information Note on Climate Change and the Guiding Principles is available </w:t>
      </w:r>
      <w:hyperlink r:id="rId7" w:history="1">
        <w:r w:rsidRPr="006B17B8">
          <w:rPr>
            <w:rStyle w:val="Hyperlink"/>
            <w:rFonts w:asciiTheme="majorHAnsi" w:hAnsiTheme="majorHAnsi" w:cstheme="majorHAnsi"/>
            <w:sz w:val="18"/>
            <w:szCs w:val="18"/>
          </w:rPr>
          <w:t>here</w:t>
        </w:r>
      </w:hyperlink>
      <w:r w:rsidRPr="006B17B8">
        <w:rPr>
          <w:rFonts w:asciiTheme="majorHAnsi" w:hAnsiTheme="majorHAnsi" w:cstheme="majorHAnsi"/>
          <w:sz w:val="18"/>
          <w:szCs w:val="18"/>
        </w:rPr>
        <w:t>.</w:t>
      </w:r>
    </w:p>
  </w:footnote>
  <w:footnote w:id="9">
    <w:p w14:paraId="2190B41E" w14:textId="352019A3" w:rsidR="003366F0" w:rsidRPr="006B17B8" w:rsidRDefault="003366F0">
      <w:pPr>
        <w:pStyle w:val="FootnoteText"/>
        <w:rPr>
          <w:rFonts w:asciiTheme="majorHAnsi" w:hAnsiTheme="majorHAnsi" w:cstheme="majorHAnsi"/>
          <w:sz w:val="18"/>
          <w:szCs w:val="18"/>
        </w:rPr>
      </w:pPr>
      <w:r w:rsidRPr="006B17B8">
        <w:rPr>
          <w:rStyle w:val="FootnoteReference"/>
          <w:rFonts w:asciiTheme="majorHAnsi" w:hAnsiTheme="majorHAnsi" w:cstheme="majorHAnsi"/>
          <w:sz w:val="18"/>
          <w:szCs w:val="18"/>
        </w:rPr>
        <w:footnoteRef/>
      </w:r>
      <w:r w:rsidRPr="006B17B8">
        <w:rPr>
          <w:rFonts w:asciiTheme="majorHAnsi" w:hAnsiTheme="majorHAnsi" w:cstheme="majorHAnsi"/>
          <w:sz w:val="18"/>
          <w:szCs w:val="18"/>
        </w:rPr>
        <w:t xml:space="preserve"> See FN3.</w:t>
      </w:r>
    </w:p>
  </w:footnote>
  <w:footnote w:id="10">
    <w:p w14:paraId="2E83EFD2" w14:textId="36823210" w:rsidR="00BC1E34" w:rsidRPr="006B17B8" w:rsidRDefault="00BC1E34" w:rsidP="00787F8E">
      <w:pPr>
        <w:pStyle w:val="FootnoteText"/>
        <w:rPr>
          <w:rFonts w:asciiTheme="majorHAnsi" w:hAnsiTheme="majorHAnsi" w:cstheme="majorHAnsi"/>
          <w:sz w:val="18"/>
          <w:szCs w:val="18"/>
        </w:rPr>
      </w:pPr>
      <w:r w:rsidRPr="006B17B8">
        <w:rPr>
          <w:rStyle w:val="FootnoteReference"/>
          <w:rFonts w:asciiTheme="majorHAnsi" w:hAnsiTheme="majorHAnsi" w:cstheme="majorHAnsi"/>
          <w:sz w:val="18"/>
          <w:szCs w:val="18"/>
        </w:rPr>
        <w:footnoteRef/>
      </w:r>
      <w:r w:rsidRPr="006B17B8">
        <w:rPr>
          <w:rFonts w:asciiTheme="majorHAnsi" w:hAnsiTheme="majorHAnsi" w:cstheme="majorHAnsi"/>
          <w:sz w:val="18"/>
          <w:szCs w:val="18"/>
        </w:rPr>
        <w:t xml:space="preserve"> </w:t>
      </w:r>
      <w:r w:rsidR="00B83322" w:rsidRPr="006B17B8">
        <w:rPr>
          <w:rFonts w:asciiTheme="majorHAnsi" w:hAnsiTheme="majorHAnsi" w:cstheme="majorHAnsi"/>
          <w:sz w:val="18"/>
          <w:szCs w:val="18"/>
        </w:rPr>
        <w:t>The IFRS S2 climate disclosure standard</w:t>
      </w:r>
      <w:r w:rsidR="00AD14BB" w:rsidRPr="006B17B8">
        <w:rPr>
          <w:rFonts w:asciiTheme="majorHAnsi" w:hAnsiTheme="majorHAnsi" w:cstheme="majorHAnsi"/>
          <w:sz w:val="18"/>
          <w:szCs w:val="18"/>
        </w:rPr>
        <w:t xml:space="preserve"> (available </w:t>
      </w:r>
      <w:hyperlink r:id="rId8" w:history="1">
        <w:r w:rsidR="00AD14BB" w:rsidRPr="006B17B8">
          <w:rPr>
            <w:rStyle w:val="Hyperlink"/>
            <w:rFonts w:asciiTheme="majorHAnsi" w:hAnsiTheme="majorHAnsi" w:cstheme="majorHAnsi"/>
            <w:sz w:val="18"/>
            <w:szCs w:val="18"/>
          </w:rPr>
          <w:t>here</w:t>
        </w:r>
      </w:hyperlink>
      <w:r w:rsidR="00AD14BB" w:rsidRPr="006B17B8">
        <w:rPr>
          <w:rFonts w:asciiTheme="majorHAnsi" w:hAnsiTheme="majorHAnsi" w:cstheme="majorHAnsi"/>
          <w:sz w:val="18"/>
          <w:szCs w:val="18"/>
        </w:rPr>
        <w:t>)</w:t>
      </w:r>
      <w:r w:rsidR="00B83322" w:rsidRPr="006B17B8">
        <w:rPr>
          <w:rFonts w:asciiTheme="majorHAnsi" w:hAnsiTheme="majorHAnsi" w:cstheme="majorHAnsi"/>
          <w:sz w:val="18"/>
          <w:szCs w:val="18"/>
        </w:rPr>
        <w:t xml:space="preserve"> developed by the International Sustainability Standards Board (ISSB) </w:t>
      </w:r>
      <w:r w:rsidR="00DD5791" w:rsidRPr="006B17B8">
        <w:rPr>
          <w:rFonts w:asciiTheme="majorHAnsi" w:hAnsiTheme="majorHAnsi" w:cstheme="majorHAnsi"/>
          <w:sz w:val="18"/>
          <w:szCs w:val="18"/>
        </w:rPr>
        <w:t xml:space="preserve">requires, in para. 14, entities to disclose information about </w:t>
      </w:r>
      <w:r w:rsidR="00C7201E" w:rsidRPr="006B17B8">
        <w:rPr>
          <w:rFonts w:asciiTheme="majorHAnsi" w:hAnsiTheme="majorHAnsi" w:cstheme="majorHAnsi"/>
          <w:sz w:val="18"/>
          <w:szCs w:val="18"/>
        </w:rPr>
        <w:t>“</w:t>
      </w:r>
      <w:r w:rsidR="008571A7" w:rsidRPr="006B17B8">
        <w:rPr>
          <w:rFonts w:asciiTheme="majorHAnsi" w:hAnsiTheme="majorHAnsi" w:cstheme="majorHAnsi"/>
          <w:i/>
          <w:iCs/>
          <w:sz w:val="18"/>
          <w:szCs w:val="18"/>
        </w:rPr>
        <w:t>a</w:t>
      </w:r>
      <w:r w:rsidR="008571A7" w:rsidRPr="006B17B8">
        <w:rPr>
          <w:rFonts w:asciiTheme="majorHAnsi" w:hAnsiTheme="majorHAnsi" w:cstheme="majorHAnsi"/>
          <w:i/>
          <w:iCs/>
          <w:sz w:val="18"/>
          <w:szCs w:val="18"/>
          <w:shd w:val="clear" w:color="auto" w:fill="FFFFFF"/>
        </w:rPr>
        <w:t>ny climate-related transition plan the entity has, including information about key assumptions used in developing its transition plan, and dependencies on which the entity’s transition plan relies</w:t>
      </w:r>
      <w:r w:rsidR="008571A7" w:rsidRPr="006B17B8">
        <w:rPr>
          <w:rFonts w:asciiTheme="majorHAnsi" w:hAnsiTheme="majorHAnsi" w:cstheme="majorHAnsi"/>
          <w:sz w:val="18"/>
          <w:szCs w:val="18"/>
          <w:shd w:val="clear" w:color="auto" w:fill="FFFFFF"/>
        </w:rPr>
        <w:t xml:space="preserve">”, without specifying that the transition plan disclosed should be aligned with </w:t>
      </w:r>
      <w:r w:rsidR="004B1DED" w:rsidRPr="006B17B8">
        <w:rPr>
          <w:rFonts w:asciiTheme="majorHAnsi" w:hAnsiTheme="majorHAnsi" w:cstheme="majorHAnsi"/>
          <w:sz w:val="18"/>
          <w:szCs w:val="18"/>
        </w:rPr>
        <w:t xml:space="preserve">1.5°C </w:t>
      </w:r>
      <w:r w:rsidR="008571A7" w:rsidRPr="006B17B8">
        <w:rPr>
          <w:rFonts w:asciiTheme="majorHAnsi" w:hAnsiTheme="majorHAnsi" w:cstheme="majorHAnsi"/>
          <w:sz w:val="18"/>
          <w:szCs w:val="18"/>
        </w:rPr>
        <w:t>or any other temperature pathway or goal.</w:t>
      </w:r>
      <w:r w:rsidR="009F781E" w:rsidRPr="006B17B8">
        <w:rPr>
          <w:rFonts w:asciiTheme="majorHAnsi" w:hAnsiTheme="majorHAnsi" w:cstheme="majorHAnsi"/>
          <w:sz w:val="18"/>
          <w:szCs w:val="18"/>
        </w:rPr>
        <w:t xml:space="preserve"> </w:t>
      </w:r>
      <w:r w:rsidR="00DE2EA5" w:rsidRPr="006B17B8">
        <w:rPr>
          <w:rFonts w:asciiTheme="majorHAnsi" w:hAnsiTheme="majorHAnsi" w:cstheme="majorHAnsi"/>
          <w:sz w:val="18"/>
          <w:szCs w:val="18"/>
        </w:rPr>
        <w:t xml:space="preserve">Similarly, </w:t>
      </w:r>
      <w:r w:rsidR="003748B4" w:rsidRPr="006B17B8">
        <w:rPr>
          <w:rFonts w:asciiTheme="majorHAnsi" w:hAnsiTheme="majorHAnsi" w:cstheme="majorHAnsi"/>
          <w:sz w:val="18"/>
          <w:szCs w:val="18"/>
        </w:rPr>
        <w:t xml:space="preserve">the Disclosure Framework published by the UK’s Transition Plan Taskforce in October 2023 (available </w:t>
      </w:r>
      <w:hyperlink r:id="rId9" w:history="1">
        <w:r w:rsidR="003748B4" w:rsidRPr="006B17B8">
          <w:rPr>
            <w:rStyle w:val="Hyperlink"/>
            <w:rFonts w:asciiTheme="majorHAnsi" w:hAnsiTheme="majorHAnsi" w:cstheme="majorHAnsi"/>
            <w:sz w:val="18"/>
            <w:szCs w:val="18"/>
          </w:rPr>
          <w:t>here</w:t>
        </w:r>
      </w:hyperlink>
      <w:r w:rsidR="003748B4" w:rsidRPr="006B17B8">
        <w:rPr>
          <w:rFonts w:asciiTheme="majorHAnsi" w:hAnsiTheme="majorHAnsi" w:cstheme="majorHAnsi"/>
          <w:sz w:val="18"/>
          <w:szCs w:val="18"/>
        </w:rPr>
        <w:t xml:space="preserve">) </w:t>
      </w:r>
      <w:r w:rsidR="00600174" w:rsidRPr="006B17B8">
        <w:rPr>
          <w:rFonts w:asciiTheme="majorHAnsi" w:hAnsiTheme="majorHAnsi" w:cstheme="majorHAnsi"/>
          <w:sz w:val="18"/>
          <w:szCs w:val="18"/>
        </w:rPr>
        <w:t xml:space="preserve">requires entities </w:t>
      </w:r>
      <w:r w:rsidR="005474D9" w:rsidRPr="006B17B8">
        <w:rPr>
          <w:rFonts w:asciiTheme="majorHAnsi" w:hAnsiTheme="majorHAnsi" w:cstheme="majorHAnsi"/>
          <w:sz w:val="18"/>
          <w:szCs w:val="18"/>
        </w:rPr>
        <w:t xml:space="preserve">to disclose, in </w:t>
      </w:r>
      <w:r w:rsidR="0051080D" w:rsidRPr="006B17B8">
        <w:rPr>
          <w:rFonts w:asciiTheme="majorHAnsi" w:hAnsiTheme="majorHAnsi" w:cstheme="majorHAnsi"/>
          <w:sz w:val="18"/>
          <w:szCs w:val="18"/>
        </w:rPr>
        <w:t xml:space="preserve">Disclosure Sub-Element 1.1, the extent to which </w:t>
      </w:r>
      <w:r w:rsidR="00600174" w:rsidRPr="006B17B8">
        <w:rPr>
          <w:rFonts w:asciiTheme="majorHAnsi" w:hAnsiTheme="majorHAnsi" w:cstheme="majorHAnsi"/>
          <w:sz w:val="18"/>
          <w:szCs w:val="18"/>
        </w:rPr>
        <w:t>they have “</w:t>
      </w:r>
      <w:r w:rsidR="00787F8E" w:rsidRPr="006B17B8">
        <w:rPr>
          <w:rFonts w:asciiTheme="majorHAnsi" w:hAnsiTheme="majorHAnsi" w:cstheme="majorHAnsi"/>
          <w:i/>
          <w:iCs/>
          <w:sz w:val="18"/>
          <w:szCs w:val="18"/>
        </w:rPr>
        <w:t>taken into account and aligned with any external requirements, commitments, science-based targets, transition pathways, roadmaps, or scenarios</w:t>
      </w:r>
      <w:r w:rsidR="00787F8E" w:rsidRPr="006B17B8">
        <w:rPr>
          <w:rFonts w:asciiTheme="majorHAnsi" w:hAnsiTheme="majorHAnsi" w:cstheme="majorHAnsi"/>
          <w:sz w:val="18"/>
          <w:szCs w:val="18"/>
        </w:rPr>
        <w:t>”</w:t>
      </w:r>
      <w:r w:rsidR="001047A0" w:rsidRPr="006B17B8">
        <w:rPr>
          <w:rFonts w:asciiTheme="majorHAnsi" w:hAnsiTheme="majorHAnsi" w:cstheme="majorHAnsi"/>
          <w:sz w:val="18"/>
          <w:szCs w:val="18"/>
        </w:rPr>
        <w:t xml:space="preserve"> in developing the Strategic Ambition of their transition plans</w:t>
      </w:r>
      <w:r w:rsidR="004B1DED" w:rsidRPr="006B17B8">
        <w:rPr>
          <w:rFonts w:asciiTheme="majorHAnsi" w:hAnsiTheme="majorHAnsi" w:cstheme="majorHAnsi"/>
          <w:sz w:val="18"/>
          <w:szCs w:val="18"/>
        </w:rPr>
        <w:t>, without specifying that transition plans should be aligned with particular targets and pathways such as 1.5°C.</w:t>
      </w:r>
    </w:p>
  </w:footnote>
  <w:footnote w:id="11">
    <w:p w14:paraId="4318B1D7" w14:textId="2409819F" w:rsidR="6D99CE60" w:rsidRPr="006B17B8" w:rsidRDefault="6D99CE60" w:rsidP="00247B9A">
      <w:pPr>
        <w:pStyle w:val="FootnoteText"/>
        <w:rPr>
          <w:rFonts w:asciiTheme="majorHAnsi" w:hAnsiTheme="majorHAnsi" w:cstheme="majorHAnsi"/>
          <w:sz w:val="18"/>
          <w:szCs w:val="18"/>
        </w:rPr>
      </w:pPr>
      <w:r w:rsidRPr="006B17B8">
        <w:rPr>
          <w:rStyle w:val="FootnoteReference"/>
          <w:rFonts w:asciiTheme="majorHAnsi" w:hAnsiTheme="majorHAnsi" w:cstheme="majorHAnsi"/>
          <w:sz w:val="18"/>
          <w:szCs w:val="18"/>
        </w:rPr>
        <w:footnoteRef/>
      </w:r>
      <w:r w:rsidRPr="006B17B8">
        <w:rPr>
          <w:rFonts w:asciiTheme="majorHAnsi" w:hAnsiTheme="majorHAnsi" w:cstheme="majorHAnsi"/>
          <w:sz w:val="18"/>
          <w:szCs w:val="18"/>
        </w:rPr>
        <w:t xml:space="preserve"> </w:t>
      </w:r>
      <w:r w:rsidRPr="006B17B8">
        <w:rPr>
          <w:rFonts w:asciiTheme="majorHAnsi" w:hAnsiTheme="majorHAnsi" w:cstheme="majorHAnsi"/>
          <w:i/>
          <w:sz w:val="18"/>
          <w:szCs w:val="18"/>
        </w:rPr>
        <w:t>“Net zero transition plans are also increasingly required, either explicitly, or as part of more general disclosure requirements. Such plans – which articulate an organisation’s transition goals, the specific actions they will take, and the accountability mechanisms they will implement to ensure their plans are credible - are a critical tool for helping real-economy firms, with support of governments and the financial sector, to decarbonize their business activities and scale climate solutions”</w:t>
      </w:r>
      <w:r w:rsidR="00011094" w:rsidRPr="006B17B8">
        <w:rPr>
          <w:rFonts w:asciiTheme="majorHAnsi" w:hAnsiTheme="majorHAnsi" w:cstheme="majorHAnsi"/>
          <w:i/>
          <w:sz w:val="18"/>
          <w:szCs w:val="18"/>
        </w:rPr>
        <w:t xml:space="preserve"> </w:t>
      </w:r>
      <w:r w:rsidR="00225390" w:rsidRPr="006B17B8">
        <w:rPr>
          <w:rFonts w:asciiTheme="majorHAnsi" w:hAnsiTheme="majorHAnsi" w:cstheme="majorHAnsi"/>
          <w:sz w:val="18"/>
          <w:szCs w:val="18"/>
        </w:rPr>
        <w:t>(</w:t>
      </w:r>
      <w:r w:rsidRPr="006B17B8">
        <w:rPr>
          <w:rFonts w:asciiTheme="majorHAnsi" w:hAnsiTheme="majorHAnsi" w:cstheme="majorHAnsi"/>
          <w:sz w:val="18"/>
          <w:szCs w:val="18"/>
        </w:rPr>
        <w:t xml:space="preserve">Page 14, </w:t>
      </w:r>
      <w:hyperlink r:id="rId10" w:history="1">
        <w:r w:rsidRPr="006B17B8">
          <w:rPr>
            <w:rStyle w:val="Hyperlink"/>
            <w:rFonts w:asciiTheme="majorHAnsi" w:hAnsiTheme="majorHAnsi" w:cstheme="majorHAnsi"/>
            <w:sz w:val="18"/>
            <w:szCs w:val="18"/>
          </w:rPr>
          <w:t>R2Z-Pivot-Point-Report.pdf (unfccc.int)</w:t>
        </w:r>
      </w:hyperlink>
      <w:r w:rsidR="00225390" w:rsidRPr="006B17B8">
        <w:rPr>
          <w:rStyle w:val="Hyperlink"/>
          <w:rFonts w:asciiTheme="majorHAnsi" w:hAnsiTheme="majorHAnsi" w:cstheme="majorHAnsi"/>
          <w:sz w:val="18"/>
          <w:szCs w:val="18"/>
        </w:rPr>
        <w:t>)</w:t>
      </w:r>
    </w:p>
  </w:footnote>
  <w:footnote w:id="12">
    <w:p w14:paraId="206A6B92" w14:textId="2E4B20BE" w:rsidR="00786A54" w:rsidRPr="006B17B8" w:rsidRDefault="00786A54">
      <w:pPr>
        <w:pStyle w:val="FootnoteText"/>
        <w:rPr>
          <w:rFonts w:asciiTheme="majorHAnsi" w:hAnsiTheme="majorHAnsi" w:cstheme="majorHAnsi"/>
          <w:sz w:val="18"/>
          <w:szCs w:val="18"/>
        </w:rPr>
      </w:pPr>
      <w:r w:rsidRPr="006B17B8">
        <w:rPr>
          <w:rStyle w:val="FootnoteReference"/>
          <w:rFonts w:asciiTheme="majorHAnsi" w:hAnsiTheme="majorHAnsi" w:cstheme="majorHAnsi"/>
          <w:sz w:val="18"/>
          <w:szCs w:val="18"/>
        </w:rPr>
        <w:footnoteRef/>
      </w:r>
      <w:r w:rsidRPr="006B17B8">
        <w:rPr>
          <w:rFonts w:asciiTheme="majorHAnsi" w:hAnsiTheme="majorHAnsi" w:cstheme="majorHAnsi"/>
          <w:sz w:val="18"/>
          <w:szCs w:val="18"/>
        </w:rPr>
        <w:t xml:space="preserve"> Cf. para. 15 of </w:t>
      </w:r>
      <w:hyperlink r:id="rId11" w:history="1">
        <w:r w:rsidRPr="006B17B8">
          <w:rPr>
            <w:rStyle w:val="Hyperlink"/>
            <w:rFonts w:asciiTheme="majorHAnsi" w:hAnsiTheme="majorHAnsi" w:cstheme="majorHAnsi"/>
            <w:sz w:val="18"/>
            <w:szCs w:val="18"/>
          </w:rPr>
          <w:t>A/HRC/47/39/Add.1</w:t>
        </w:r>
      </w:hyperlink>
      <w:r w:rsidRPr="006B17B8">
        <w:rPr>
          <w:rFonts w:asciiTheme="majorHAnsi" w:hAnsiTheme="majorHAnsi" w:cstheme="majorHAnsi"/>
          <w:sz w:val="18"/>
          <w:szCs w:val="18"/>
        </w:rPr>
        <w:t>.</w:t>
      </w:r>
    </w:p>
  </w:footnote>
  <w:footnote w:id="13">
    <w:p w14:paraId="3210FED9" w14:textId="400A54D0" w:rsidR="00786A54" w:rsidRPr="006B17B8" w:rsidRDefault="00786A54" w:rsidP="00786A54">
      <w:pPr>
        <w:pStyle w:val="FootnoteText"/>
        <w:rPr>
          <w:rFonts w:asciiTheme="majorHAnsi" w:hAnsiTheme="majorHAnsi" w:cstheme="majorHAnsi"/>
          <w:sz w:val="18"/>
          <w:szCs w:val="18"/>
        </w:rPr>
      </w:pPr>
      <w:r w:rsidRPr="006B17B8">
        <w:rPr>
          <w:rStyle w:val="FootnoteReference"/>
          <w:rFonts w:asciiTheme="majorHAnsi" w:hAnsiTheme="majorHAnsi" w:cstheme="majorHAnsi"/>
          <w:sz w:val="18"/>
          <w:szCs w:val="18"/>
        </w:rPr>
        <w:footnoteRef/>
      </w:r>
      <w:r w:rsidRPr="006B17B8">
        <w:rPr>
          <w:rFonts w:asciiTheme="majorHAnsi" w:hAnsiTheme="majorHAnsi" w:cstheme="majorHAnsi"/>
          <w:sz w:val="18"/>
          <w:szCs w:val="18"/>
        </w:rPr>
        <w:t xml:space="preserve"> See para. 16 of </w:t>
      </w:r>
      <w:hyperlink r:id="rId12" w:history="1">
        <w:r w:rsidRPr="006B17B8">
          <w:rPr>
            <w:rStyle w:val="Hyperlink"/>
            <w:rFonts w:asciiTheme="majorHAnsi" w:hAnsiTheme="majorHAnsi" w:cstheme="majorHAnsi"/>
            <w:sz w:val="18"/>
            <w:szCs w:val="18"/>
          </w:rPr>
          <w:t>A/HRC/47/39/Add.1</w:t>
        </w:r>
      </w:hyperlink>
      <w:r w:rsidRPr="006B17B8">
        <w:rPr>
          <w:rFonts w:asciiTheme="majorHAnsi" w:hAnsiTheme="majorHAnsi" w:cstheme="majorHAnsi"/>
          <w:sz w:val="18"/>
          <w:szCs w:val="18"/>
        </w:rPr>
        <w:t>.</w:t>
      </w:r>
    </w:p>
  </w:footnote>
  <w:footnote w:id="14">
    <w:p w14:paraId="217B1C22" w14:textId="00A8818C" w:rsidR="00786A54" w:rsidRPr="006B17B8" w:rsidRDefault="00786A54">
      <w:pPr>
        <w:pStyle w:val="FootnoteText"/>
        <w:rPr>
          <w:rFonts w:asciiTheme="majorHAnsi" w:hAnsiTheme="majorHAnsi" w:cstheme="majorHAnsi"/>
          <w:sz w:val="18"/>
          <w:szCs w:val="18"/>
        </w:rPr>
      </w:pPr>
      <w:r w:rsidRPr="006B17B8">
        <w:rPr>
          <w:rStyle w:val="FootnoteReference"/>
          <w:rFonts w:asciiTheme="majorHAnsi" w:hAnsiTheme="majorHAnsi" w:cstheme="majorHAnsi"/>
          <w:sz w:val="18"/>
          <w:szCs w:val="18"/>
        </w:rPr>
        <w:footnoteRef/>
      </w:r>
      <w:r w:rsidRPr="006B17B8">
        <w:rPr>
          <w:rFonts w:asciiTheme="majorHAnsi" w:hAnsiTheme="majorHAnsi" w:cstheme="majorHAnsi"/>
          <w:sz w:val="18"/>
          <w:szCs w:val="18"/>
        </w:rPr>
        <w:t xml:space="preserve"> As suggested in para</w:t>
      </w:r>
      <w:r w:rsidR="008B3BDB" w:rsidRPr="006B17B8">
        <w:rPr>
          <w:rFonts w:asciiTheme="majorHAnsi" w:hAnsiTheme="majorHAnsi" w:cstheme="majorHAnsi"/>
          <w:sz w:val="18"/>
          <w:szCs w:val="18"/>
        </w:rPr>
        <w:t xml:space="preserve">s. 81-82 of </w:t>
      </w:r>
      <w:hyperlink r:id="rId13" w:history="1">
        <w:r w:rsidR="008B3BDB" w:rsidRPr="006B17B8">
          <w:rPr>
            <w:rStyle w:val="Hyperlink"/>
            <w:rFonts w:asciiTheme="majorHAnsi" w:hAnsiTheme="majorHAnsi" w:cstheme="majorHAnsi"/>
            <w:sz w:val="18"/>
            <w:szCs w:val="18"/>
          </w:rPr>
          <w:t>A/HRC/47/39</w:t>
        </w:r>
      </w:hyperlink>
      <w:r w:rsidR="008B3BDB" w:rsidRPr="006B17B8">
        <w:rPr>
          <w:rFonts w:asciiTheme="majorHAnsi" w:hAnsiTheme="majorHAnsi" w:cstheme="majorHAnsi"/>
          <w:sz w:val="18"/>
          <w:szCs w:val="18"/>
        </w:rPr>
        <w:t>.</w:t>
      </w:r>
    </w:p>
  </w:footnote>
  <w:footnote w:id="15">
    <w:p w14:paraId="37B8C4A4" w14:textId="2002407A" w:rsidR="00FE40EC" w:rsidRPr="006B17B8" w:rsidRDefault="00FE40EC">
      <w:pPr>
        <w:pStyle w:val="FootnoteText"/>
        <w:rPr>
          <w:rFonts w:asciiTheme="majorHAnsi" w:hAnsiTheme="majorHAnsi" w:cstheme="majorHAnsi"/>
          <w:sz w:val="18"/>
          <w:szCs w:val="18"/>
        </w:rPr>
      </w:pPr>
      <w:r w:rsidRPr="006B17B8">
        <w:rPr>
          <w:rStyle w:val="FootnoteReference"/>
          <w:rFonts w:asciiTheme="majorHAnsi" w:hAnsiTheme="majorHAnsi" w:cstheme="majorHAnsi"/>
          <w:sz w:val="18"/>
          <w:szCs w:val="18"/>
        </w:rPr>
        <w:footnoteRef/>
      </w:r>
      <w:r w:rsidRPr="006B17B8">
        <w:rPr>
          <w:rFonts w:asciiTheme="majorHAnsi" w:hAnsiTheme="majorHAnsi" w:cstheme="majorHAnsi"/>
          <w:sz w:val="18"/>
          <w:szCs w:val="18"/>
        </w:rPr>
        <w:t xml:space="preserve"> See, </w:t>
      </w:r>
      <w:r w:rsidR="00CC3DD5" w:rsidRPr="006B17B8">
        <w:rPr>
          <w:rFonts w:asciiTheme="majorHAnsi" w:hAnsiTheme="majorHAnsi" w:cstheme="majorHAnsi"/>
          <w:sz w:val="18"/>
          <w:szCs w:val="18"/>
        </w:rPr>
        <w:t>purely by way of</w:t>
      </w:r>
      <w:r w:rsidRPr="006B17B8">
        <w:rPr>
          <w:rFonts w:asciiTheme="majorHAnsi" w:hAnsiTheme="majorHAnsi" w:cstheme="majorHAnsi"/>
          <w:sz w:val="18"/>
          <w:szCs w:val="18"/>
        </w:rPr>
        <w:t xml:space="preserve"> example, The FTSE ESG Low Carbon Select Index Series index overview, available </w:t>
      </w:r>
      <w:hyperlink r:id="rId14" w:history="1">
        <w:r w:rsidRPr="006B17B8">
          <w:rPr>
            <w:rStyle w:val="Hyperlink"/>
            <w:rFonts w:asciiTheme="majorHAnsi" w:hAnsiTheme="majorHAnsi" w:cstheme="majorHAnsi"/>
            <w:sz w:val="18"/>
            <w:szCs w:val="18"/>
          </w:rPr>
          <w:t>here</w:t>
        </w:r>
      </w:hyperlink>
      <w:r w:rsidR="007668B1" w:rsidRPr="006B17B8">
        <w:rPr>
          <w:rFonts w:asciiTheme="majorHAnsi" w:hAnsiTheme="majorHAnsi" w:cstheme="majorHAnsi"/>
          <w:sz w:val="18"/>
          <w:szCs w:val="18"/>
        </w:rPr>
        <w:t xml:space="preserve"> (p.3)</w:t>
      </w:r>
      <w:r w:rsidRPr="006B17B8">
        <w:rPr>
          <w:rFonts w:asciiTheme="majorHAnsi" w:hAnsiTheme="majorHAnsi" w:cstheme="majorHAnsi"/>
          <w:sz w:val="18"/>
          <w:szCs w:val="18"/>
        </w:rPr>
        <w:t>.</w:t>
      </w:r>
    </w:p>
  </w:footnote>
  <w:footnote w:id="16">
    <w:p w14:paraId="16C4F241" w14:textId="77777777" w:rsidR="000777D5" w:rsidRPr="006B17B8" w:rsidRDefault="000777D5" w:rsidP="000777D5">
      <w:pPr>
        <w:pStyle w:val="FootnoteText"/>
        <w:rPr>
          <w:rFonts w:asciiTheme="majorHAnsi" w:hAnsiTheme="majorHAnsi" w:cstheme="majorHAnsi"/>
          <w:sz w:val="18"/>
          <w:szCs w:val="18"/>
        </w:rPr>
      </w:pPr>
      <w:r w:rsidRPr="006B17B8">
        <w:rPr>
          <w:rStyle w:val="FootnoteReference"/>
          <w:rFonts w:asciiTheme="majorHAnsi" w:hAnsiTheme="majorHAnsi" w:cstheme="majorHAnsi"/>
          <w:sz w:val="18"/>
          <w:szCs w:val="18"/>
        </w:rPr>
        <w:footnoteRef/>
      </w:r>
      <w:r w:rsidRPr="006B17B8">
        <w:rPr>
          <w:rFonts w:asciiTheme="majorHAnsi" w:hAnsiTheme="majorHAnsi" w:cstheme="majorHAnsi"/>
          <w:sz w:val="18"/>
          <w:szCs w:val="18"/>
        </w:rPr>
        <w:t xml:space="preserve"> As </w:t>
      </w:r>
      <w:hyperlink r:id="rId15" w:history="1">
        <w:r w:rsidRPr="006B17B8">
          <w:rPr>
            <w:rStyle w:val="Hyperlink"/>
            <w:rFonts w:asciiTheme="majorHAnsi" w:hAnsiTheme="majorHAnsi" w:cstheme="majorHAnsi"/>
            <w:sz w:val="18"/>
            <w:szCs w:val="18"/>
          </w:rPr>
          <w:t>reported</w:t>
        </w:r>
      </w:hyperlink>
      <w:r w:rsidRPr="006B17B8">
        <w:rPr>
          <w:rFonts w:asciiTheme="majorHAnsi" w:hAnsiTheme="majorHAnsi" w:cstheme="majorHAnsi"/>
          <w:sz w:val="18"/>
          <w:szCs w:val="18"/>
        </w:rPr>
        <w:t xml:space="preserve"> by CNBC and others in February 2023.</w:t>
      </w:r>
    </w:p>
  </w:footnote>
  <w:footnote w:id="17">
    <w:p w14:paraId="37AD8708" w14:textId="4CF90840" w:rsidR="000777D5" w:rsidRPr="006B17B8" w:rsidRDefault="000777D5">
      <w:pPr>
        <w:pStyle w:val="FootnoteText"/>
        <w:rPr>
          <w:rFonts w:asciiTheme="majorHAnsi" w:hAnsiTheme="majorHAnsi" w:cstheme="majorHAnsi"/>
          <w:sz w:val="18"/>
          <w:szCs w:val="18"/>
        </w:rPr>
      </w:pPr>
      <w:r w:rsidRPr="006B17B8">
        <w:rPr>
          <w:rStyle w:val="FootnoteReference"/>
          <w:rFonts w:asciiTheme="majorHAnsi" w:hAnsiTheme="majorHAnsi" w:cstheme="majorHAnsi"/>
          <w:sz w:val="18"/>
          <w:szCs w:val="18"/>
        </w:rPr>
        <w:footnoteRef/>
      </w:r>
      <w:r w:rsidRPr="006B17B8">
        <w:rPr>
          <w:rFonts w:asciiTheme="majorHAnsi" w:hAnsiTheme="majorHAnsi" w:cstheme="majorHAnsi"/>
          <w:sz w:val="18"/>
          <w:szCs w:val="18"/>
        </w:rPr>
        <w:t xml:space="preserve"> </w:t>
      </w:r>
      <w:hyperlink r:id="rId16" w:history="1">
        <w:r w:rsidRPr="006B17B8">
          <w:rPr>
            <w:rStyle w:val="Hyperlink"/>
            <w:rFonts w:asciiTheme="majorHAnsi" w:hAnsiTheme="majorHAnsi" w:cstheme="majorHAnsi"/>
            <w:sz w:val="18"/>
            <w:szCs w:val="18"/>
          </w:rPr>
          <w:t>MSCI urged to drop Adani bonds from indices - Adani Toxic Bonds Adani Toxic Bonds</w:t>
        </w:r>
      </w:hyperlink>
      <w:r w:rsidRPr="006B17B8">
        <w:rPr>
          <w:rFonts w:asciiTheme="majorHAnsi" w:hAnsiTheme="majorHAnsi" w:cstheme="majorHAnsi"/>
          <w:sz w:val="18"/>
          <w:szCs w:val="18"/>
        </w:rPr>
        <w:t>.</w:t>
      </w:r>
    </w:p>
  </w:footnote>
  <w:footnote w:id="18">
    <w:p w14:paraId="33F3B9B1" w14:textId="5A08EF31" w:rsidR="00910F7E" w:rsidRPr="006B17B8" w:rsidRDefault="00910F7E">
      <w:pPr>
        <w:pStyle w:val="FootnoteText"/>
        <w:rPr>
          <w:rFonts w:asciiTheme="majorHAnsi" w:hAnsiTheme="majorHAnsi" w:cstheme="majorHAnsi"/>
          <w:sz w:val="18"/>
          <w:szCs w:val="18"/>
        </w:rPr>
      </w:pPr>
      <w:r w:rsidRPr="006B17B8">
        <w:rPr>
          <w:rStyle w:val="FootnoteReference"/>
          <w:rFonts w:asciiTheme="majorHAnsi" w:hAnsiTheme="majorHAnsi" w:cstheme="majorHAnsi"/>
          <w:sz w:val="18"/>
          <w:szCs w:val="18"/>
        </w:rPr>
        <w:footnoteRef/>
      </w:r>
      <w:r w:rsidRPr="006B17B8">
        <w:rPr>
          <w:rFonts w:asciiTheme="majorHAnsi" w:hAnsiTheme="majorHAnsi" w:cstheme="majorHAnsi"/>
          <w:sz w:val="18"/>
          <w:szCs w:val="18"/>
        </w:rPr>
        <w:t xml:space="preserve"> The 26 June communication from UN human rights experts to Saudi Aramco is available </w:t>
      </w:r>
      <w:hyperlink r:id="rId17" w:history="1">
        <w:r w:rsidRPr="006B17B8">
          <w:rPr>
            <w:rStyle w:val="Hyperlink"/>
            <w:rFonts w:asciiTheme="majorHAnsi" w:hAnsiTheme="majorHAnsi" w:cstheme="majorHAnsi"/>
            <w:sz w:val="18"/>
            <w:szCs w:val="18"/>
          </w:rPr>
          <w:t>here</w:t>
        </w:r>
      </w:hyperlink>
      <w:r w:rsidRPr="006B17B8">
        <w:rPr>
          <w:rFonts w:asciiTheme="majorHAnsi" w:hAnsiTheme="majorHAnsi" w:cstheme="majorHAnsi"/>
          <w:sz w:val="18"/>
          <w:szCs w:val="18"/>
        </w:rPr>
        <w:t>.</w:t>
      </w:r>
    </w:p>
  </w:footnote>
  <w:footnote w:id="19">
    <w:p w14:paraId="2E144CC8" w14:textId="10252D9F" w:rsidR="0093081B" w:rsidRPr="006B17B8" w:rsidRDefault="0093081B" w:rsidP="00EF30AF">
      <w:pPr>
        <w:pStyle w:val="FootnoteText"/>
        <w:rPr>
          <w:rFonts w:asciiTheme="majorHAnsi" w:hAnsiTheme="majorHAnsi" w:cstheme="majorHAnsi"/>
          <w:sz w:val="18"/>
          <w:szCs w:val="18"/>
        </w:rPr>
      </w:pPr>
      <w:r w:rsidRPr="006B17B8">
        <w:rPr>
          <w:rStyle w:val="FootnoteReference"/>
          <w:rFonts w:asciiTheme="majorHAnsi" w:hAnsiTheme="majorHAnsi" w:cstheme="majorHAnsi"/>
          <w:sz w:val="18"/>
          <w:szCs w:val="18"/>
        </w:rPr>
        <w:footnoteRef/>
      </w:r>
      <w:r w:rsidRPr="006B17B8">
        <w:rPr>
          <w:rFonts w:asciiTheme="majorHAnsi" w:hAnsiTheme="majorHAnsi" w:cstheme="majorHAnsi"/>
          <w:sz w:val="18"/>
          <w:szCs w:val="18"/>
        </w:rPr>
        <w:t xml:space="preserve"> </w:t>
      </w:r>
      <w:r w:rsidR="00913EB6" w:rsidRPr="006B17B8">
        <w:rPr>
          <w:rFonts w:asciiTheme="majorHAnsi" w:hAnsiTheme="majorHAnsi" w:cstheme="majorHAnsi"/>
          <w:sz w:val="18"/>
          <w:szCs w:val="18"/>
        </w:rPr>
        <w:t xml:space="preserve">See also </w:t>
      </w:r>
      <w:r w:rsidR="004E0FCF" w:rsidRPr="006B17B8">
        <w:rPr>
          <w:rFonts w:asciiTheme="majorHAnsi" w:hAnsiTheme="majorHAnsi" w:cstheme="majorHAnsi"/>
          <w:sz w:val="18"/>
          <w:szCs w:val="18"/>
        </w:rPr>
        <w:t>the</w:t>
      </w:r>
      <w:r w:rsidR="00913EB6" w:rsidRPr="006B17B8">
        <w:rPr>
          <w:rFonts w:asciiTheme="majorHAnsi" w:hAnsiTheme="majorHAnsi" w:cstheme="majorHAnsi"/>
          <w:sz w:val="18"/>
          <w:szCs w:val="18"/>
        </w:rPr>
        <w:t xml:space="preserve"> civil penalty proceedings commenced by the Australian securities regulator ASIC against Vanguard Investments Australia in relation to claims made about ESG screens applied</w:t>
      </w:r>
      <w:r w:rsidR="00A91EF1" w:rsidRPr="006B17B8">
        <w:rPr>
          <w:rFonts w:asciiTheme="majorHAnsi" w:hAnsiTheme="majorHAnsi" w:cstheme="majorHAnsi"/>
          <w:sz w:val="18"/>
          <w:szCs w:val="18"/>
        </w:rPr>
        <w:t xml:space="preserve"> to the Vanguard Ethically Conscious Global Aggregate Bond Index Fund (Hedged). The fund was marketed to investors seeking an ethically conscious investment screen</w:t>
      </w:r>
      <w:r w:rsidR="00C85E6B" w:rsidRPr="006B17B8">
        <w:rPr>
          <w:rFonts w:asciiTheme="majorHAnsi" w:hAnsiTheme="majorHAnsi" w:cstheme="majorHAnsi"/>
          <w:sz w:val="18"/>
          <w:szCs w:val="18"/>
        </w:rPr>
        <w:t xml:space="preserve">, including a fossil fuel exclusion mentioned in fund marketing material. However, based on a reference index called </w:t>
      </w:r>
      <w:r w:rsidR="00EF30AF" w:rsidRPr="006B17B8">
        <w:rPr>
          <w:rFonts w:asciiTheme="majorHAnsi" w:hAnsiTheme="majorHAnsi" w:cstheme="majorHAnsi"/>
          <w:sz w:val="18"/>
          <w:szCs w:val="18"/>
        </w:rPr>
        <w:t xml:space="preserve">Bloomberg Barclays MSCI Global Aggregate SRI Exclusions Float Adjusted Index, the fund contained </w:t>
      </w:r>
      <w:r w:rsidR="00B02D07" w:rsidRPr="006B17B8">
        <w:rPr>
          <w:rFonts w:asciiTheme="majorHAnsi" w:hAnsiTheme="majorHAnsi" w:cstheme="majorHAnsi"/>
          <w:sz w:val="18"/>
          <w:szCs w:val="18"/>
        </w:rPr>
        <w:t>securities issued by companies that violated the applicable ESG criteria, including companies with ties to fossil fuels</w:t>
      </w:r>
      <w:r w:rsidR="00B86745" w:rsidRPr="006B17B8">
        <w:rPr>
          <w:rFonts w:asciiTheme="majorHAnsi" w:hAnsiTheme="majorHAnsi" w:cstheme="majorHAnsi"/>
          <w:sz w:val="18"/>
          <w:szCs w:val="18"/>
        </w:rPr>
        <w:t>, including ADCOP</w:t>
      </w:r>
      <w:r w:rsidR="002A52E9" w:rsidRPr="006B17B8">
        <w:rPr>
          <w:rFonts w:asciiTheme="majorHAnsi" w:hAnsiTheme="majorHAnsi" w:cstheme="majorHAnsi"/>
          <w:sz w:val="18"/>
          <w:szCs w:val="18"/>
        </w:rPr>
        <w:t xml:space="preserve"> and Chevron Phillips Chemical Co. LLC: </w:t>
      </w:r>
      <w:hyperlink r:id="rId18" w:history="1">
        <w:r w:rsidR="002A52E9" w:rsidRPr="006B17B8">
          <w:rPr>
            <w:rStyle w:val="Hyperlink"/>
            <w:rFonts w:asciiTheme="majorHAnsi" w:hAnsiTheme="majorHAnsi" w:cstheme="majorHAnsi"/>
            <w:sz w:val="18"/>
            <w:szCs w:val="18"/>
          </w:rPr>
          <w:t>23-196MR ASIC commences greenwashing case against Vanguard Investments Australia | ASIC</w:t>
        </w:r>
      </w:hyperlink>
      <w:r w:rsidR="002A52E9" w:rsidRPr="006B17B8">
        <w:rPr>
          <w:rFonts w:asciiTheme="majorHAnsi" w:hAnsiTheme="majorHAnsi" w:cstheme="majorHAnsi"/>
          <w:sz w:val="18"/>
          <w:szCs w:val="18"/>
        </w:rPr>
        <w:t>.</w:t>
      </w:r>
    </w:p>
  </w:footnote>
  <w:footnote w:id="20">
    <w:p w14:paraId="4C015C32" w14:textId="0BB91482" w:rsidR="00213546" w:rsidRPr="006B17B8" w:rsidRDefault="00213546" w:rsidP="003E200E">
      <w:pPr>
        <w:pStyle w:val="FootnoteText"/>
        <w:rPr>
          <w:rFonts w:asciiTheme="majorHAnsi" w:hAnsiTheme="majorHAnsi" w:cstheme="majorHAnsi"/>
          <w:sz w:val="18"/>
          <w:szCs w:val="18"/>
        </w:rPr>
      </w:pPr>
      <w:r w:rsidRPr="006B17B8">
        <w:rPr>
          <w:rStyle w:val="FootnoteReference"/>
          <w:rFonts w:asciiTheme="majorHAnsi" w:hAnsiTheme="majorHAnsi" w:cstheme="majorHAnsi"/>
          <w:sz w:val="18"/>
          <w:szCs w:val="18"/>
        </w:rPr>
        <w:footnoteRef/>
      </w:r>
      <w:r w:rsidRPr="006B17B8">
        <w:rPr>
          <w:rFonts w:asciiTheme="majorHAnsi" w:hAnsiTheme="majorHAnsi" w:cstheme="majorHAnsi"/>
          <w:sz w:val="18"/>
          <w:szCs w:val="18"/>
        </w:rPr>
        <w:t xml:space="preserve"> See, for example, ClientEarth’s</w:t>
      </w:r>
      <w:r w:rsidR="002F7BB4" w:rsidRPr="006B17B8">
        <w:rPr>
          <w:rFonts w:asciiTheme="majorHAnsi" w:hAnsiTheme="majorHAnsi" w:cstheme="majorHAnsi"/>
          <w:sz w:val="18"/>
          <w:szCs w:val="18"/>
        </w:rPr>
        <w:t xml:space="preserve"> </w:t>
      </w:r>
      <w:r w:rsidR="00F142FB" w:rsidRPr="006B17B8">
        <w:rPr>
          <w:rFonts w:asciiTheme="majorHAnsi" w:hAnsiTheme="majorHAnsi" w:cstheme="majorHAnsi"/>
          <w:sz w:val="18"/>
          <w:szCs w:val="18"/>
        </w:rPr>
        <w:t>complaint</w:t>
      </w:r>
      <w:r w:rsidR="002F7BB4" w:rsidRPr="006B17B8">
        <w:rPr>
          <w:rFonts w:asciiTheme="majorHAnsi" w:hAnsiTheme="majorHAnsi" w:cstheme="majorHAnsi"/>
          <w:sz w:val="18"/>
          <w:szCs w:val="18"/>
        </w:rPr>
        <w:t xml:space="preserve"> to the US OECD contact point regarding Cargill’s failure to adequately address its </w:t>
      </w:r>
      <w:r w:rsidR="003E200E" w:rsidRPr="006B17B8">
        <w:rPr>
          <w:rFonts w:asciiTheme="majorHAnsi" w:hAnsiTheme="majorHAnsi" w:cstheme="majorHAnsi"/>
          <w:sz w:val="18"/>
          <w:szCs w:val="18"/>
        </w:rPr>
        <w:t xml:space="preserve">contribution to soy-driven deforestation and human rights violations in Brazil: </w:t>
      </w:r>
      <w:hyperlink r:id="rId19" w:history="1">
        <w:r w:rsidR="003E200E" w:rsidRPr="006B17B8">
          <w:rPr>
            <w:rStyle w:val="Hyperlink"/>
            <w:rFonts w:asciiTheme="majorHAnsi" w:hAnsiTheme="majorHAnsi" w:cstheme="majorHAnsi"/>
            <w:sz w:val="18"/>
            <w:szCs w:val="18"/>
          </w:rPr>
          <w:t>Agricultural giant Cargill faces legal complaint over deforestation and human rights failings in Brazil  | ClientEarth</w:t>
        </w:r>
      </w:hyperlink>
      <w:r w:rsidR="003E200E" w:rsidRPr="006B17B8">
        <w:rPr>
          <w:rFonts w:asciiTheme="majorHAnsi" w:hAnsiTheme="majorHAnsi" w:cstheme="majorHAnsi"/>
          <w:sz w:val="18"/>
          <w:szCs w:val="18"/>
        </w:rPr>
        <w:t>.</w:t>
      </w:r>
    </w:p>
  </w:footnote>
  <w:footnote w:id="21">
    <w:p w14:paraId="12FFCE19" w14:textId="696C728E" w:rsidR="00DC3AEB" w:rsidRPr="006B17B8" w:rsidRDefault="00DC3AEB" w:rsidP="00C56934">
      <w:pPr>
        <w:pStyle w:val="FootnoteText"/>
        <w:rPr>
          <w:rFonts w:asciiTheme="majorHAnsi" w:hAnsiTheme="majorHAnsi" w:cstheme="majorHAnsi"/>
          <w:sz w:val="18"/>
          <w:szCs w:val="18"/>
        </w:rPr>
      </w:pPr>
      <w:r w:rsidRPr="006B17B8">
        <w:rPr>
          <w:rStyle w:val="FootnoteReference"/>
          <w:rFonts w:asciiTheme="majorHAnsi" w:hAnsiTheme="majorHAnsi" w:cstheme="majorHAnsi"/>
          <w:sz w:val="18"/>
          <w:szCs w:val="18"/>
        </w:rPr>
        <w:footnoteRef/>
      </w:r>
      <w:r w:rsidRPr="006B17B8">
        <w:rPr>
          <w:rFonts w:asciiTheme="majorHAnsi" w:hAnsiTheme="majorHAnsi" w:cstheme="majorHAnsi"/>
          <w:sz w:val="18"/>
          <w:szCs w:val="18"/>
        </w:rPr>
        <w:t xml:space="preserve"> Note that the </w:t>
      </w:r>
      <w:r w:rsidR="006A1A9C" w:rsidRPr="006B17B8">
        <w:rPr>
          <w:rFonts w:asciiTheme="majorHAnsi" w:hAnsiTheme="majorHAnsi" w:cstheme="majorHAnsi"/>
          <w:sz w:val="18"/>
          <w:szCs w:val="18"/>
        </w:rPr>
        <w:t xml:space="preserve">European Supervisory Authorities, including ESMA, have recognised this concern. ESMA’s </w:t>
      </w:r>
      <w:hyperlink r:id="rId20" w:history="1">
        <w:r w:rsidR="00172F6D" w:rsidRPr="006B17B8">
          <w:rPr>
            <w:rStyle w:val="Hyperlink"/>
            <w:rFonts w:asciiTheme="majorHAnsi" w:hAnsiTheme="majorHAnsi" w:cstheme="majorHAnsi"/>
            <w:i/>
            <w:iCs/>
            <w:sz w:val="18"/>
            <w:szCs w:val="18"/>
          </w:rPr>
          <w:t>Progress Report on Greenwashing</w:t>
        </w:r>
      </w:hyperlink>
      <w:r w:rsidR="00172F6D" w:rsidRPr="006B17B8">
        <w:rPr>
          <w:rFonts w:asciiTheme="majorHAnsi" w:hAnsiTheme="majorHAnsi" w:cstheme="majorHAnsi"/>
          <w:i/>
          <w:iCs/>
          <w:sz w:val="18"/>
          <w:szCs w:val="18"/>
        </w:rPr>
        <w:t xml:space="preserve"> </w:t>
      </w:r>
      <w:r w:rsidR="00172F6D" w:rsidRPr="006B17B8">
        <w:rPr>
          <w:rFonts w:asciiTheme="majorHAnsi" w:hAnsiTheme="majorHAnsi" w:cstheme="majorHAnsi"/>
          <w:sz w:val="18"/>
          <w:szCs w:val="18"/>
        </w:rPr>
        <w:t xml:space="preserve">(31 May 2023) </w:t>
      </w:r>
      <w:r w:rsidR="00C1558E" w:rsidRPr="006B17B8">
        <w:rPr>
          <w:rFonts w:asciiTheme="majorHAnsi" w:hAnsiTheme="majorHAnsi" w:cstheme="majorHAnsi"/>
          <w:sz w:val="18"/>
          <w:szCs w:val="18"/>
        </w:rPr>
        <w:t>recognises that “benchmark administrators” may trigger as well as spread misleading claims</w:t>
      </w:r>
      <w:r w:rsidR="00C56934" w:rsidRPr="006B17B8">
        <w:rPr>
          <w:rFonts w:asciiTheme="majorHAnsi" w:hAnsiTheme="majorHAnsi" w:cstheme="majorHAnsi"/>
          <w:sz w:val="18"/>
          <w:szCs w:val="18"/>
        </w:rPr>
        <w:t>, including when “</w:t>
      </w:r>
      <w:r w:rsidR="00C56934" w:rsidRPr="006B17B8">
        <w:rPr>
          <w:rFonts w:asciiTheme="majorHAnsi" w:hAnsiTheme="majorHAnsi" w:cstheme="majorHAnsi"/>
          <w:i/>
          <w:iCs/>
          <w:sz w:val="18"/>
          <w:szCs w:val="18"/>
        </w:rPr>
        <w:t>the actual companies composing a benchmark are different from stakeholders’ expectations, this can create a perception of greenwashing</w:t>
      </w:r>
      <w:r w:rsidR="00C56934" w:rsidRPr="006B17B8">
        <w:rPr>
          <w:rFonts w:asciiTheme="majorHAnsi" w:hAnsiTheme="majorHAnsi" w:cstheme="majorHAnsi"/>
          <w:sz w:val="18"/>
          <w:szCs w:val="18"/>
        </w:rPr>
        <w:t>” (Section 4.5, pp. 47-</w:t>
      </w:r>
      <w:r w:rsidR="00694412" w:rsidRPr="006B17B8">
        <w:rPr>
          <w:rFonts w:asciiTheme="majorHAnsi" w:hAnsiTheme="majorHAnsi" w:cstheme="majorHAnsi"/>
          <w:sz w:val="18"/>
          <w:szCs w:val="18"/>
        </w:rPr>
        <w:t>54).</w:t>
      </w:r>
    </w:p>
  </w:footnote>
  <w:footnote w:id="22">
    <w:p w14:paraId="101983E3" w14:textId="3299BD28" w:rsidR="005F44D0" w:rsidRPr="006B17B8" w:rsidRDefault="005F44D0">
      <w:pPr>
        <w:pStyle w:val="FootnoteText"/>
        <w:rPr>
          <w:rFonts w:asciiTheme="majorHAnsi" w:hAnsiTheme="majorHAnsi" w:cstheme="majorHAnsi"/>
          <w:sz w:val="18"/>
          <w:szCs w:val="18"/>
        </w:rPr>
      </w:pPr>
      <w:r w:rsidRPr="006B17B8">
        <w:rPr>
          <w:rStyle w:val="FootnoteReference"/>
          <w:rFonts w:asciiTheme="majorHAnsi" w:hAnsiTheme="majorHAnsi" w:cstheme="majorHAnsi"/>
          <w:sz w:val="18"/>
          <w:szCs w:val="18"/>
        </w:rPr>
        <w:footnoteRef/>
      </w:r>
      <w:r w:rsidRPr="006B17B8">
        <w:rPr>
          <w:rFonts w:asciiTheme="majorHAnsi" w:hAnsiTheme="majorHAnsi" w:cstheme="majorHAnsi"/>
          <w:sz w:val="18"/>
          <w:szCs w:val="18"/>
        </w:rPr>
        <w:t xml:space="preserve"> On impact claims, see: </w:t>
      </w:r>
      <w:hyperlink r:id="rId21" w:anchor=":~:text=Our%20headline%20results%20are%20as,a%20substantial%20potential%20legal%20risk." w:history="1">
        <w:r w:rsidRPr="006B17B8">
          <w:rPr>
            <w:rStyle w:val="Hyperlink"/>
            <w:rFonts w:asciiTheme="majorHAnsi" w:hAnsiTheme="majorHAnsi" w:cstheme="majorHAnsi"/>
            <w:sz w:val="18"/>
            <w:szCs w:val="18"/>
          </w:rPr>
          <w:t>Market review of environmental impact claims of retail investment funds in Europe - 2DII (2degrees-investing.org)</w:t>
        </w:r>
      </w:hyperlink>
      <w:r w:rsidRPr="006B17B8">
        <w:rPr>
          <w:rFonts w:asciiTheme="majorHAnsi" w:hAnsiTheme="majorHAnsi" w:cstheme="majorHAnsi"/>
          <w:sz w:val="18"/>
          <w:szCs w:val="18"/>
        </w:rPr>
        <w:t>.</w:t>
      </w:r>
    </w:p>
  </w:footnote>
  <w:footnote w:id="23">
    <w:p w14:paraId="4807ADE9" w14:textId="0D90A202" w:rsidR="00934F14" w:rsidRPr="006B17B8" w:rsidRDefault="00934F14">
      <w:pPr>
        <w:pStyle w:val="FootnoteText"/>
        <w:rPr>
          <w:rFonts w:asciiTheme="majorHAnsi" w:hAnsiTheme="majorHAnsi" w:cstheme="majorHAnsi"/>
          <w:sz w:val="18"/>
          <w:szCs w:val="18"/>
        </w:rPr>
      </w:pPr>
      <w:r w:rsidRPr="006B17B8">
        <w:rPr>
          <w:rStyle w:val="FootnoteReference"/>
          <w:rFonts w:asciiTheme="majorHAnsi" w:hAnsiTheme="majorHAnsi" w:cstheme="majorHAnsi"/>
          <w:sz w:val="18"/>
          <w:szCs w:val="18"/>
        </w:rPr>
        <w:footnoteRef/>
      </w:r>
      <w:r w:rsidRPr="006B17B8">
        <w:rPr>
          <w:rFonts w:asciiTheme="majorHAnsi" w:hAnsiTheme="majorHAnsi" w:cstheme="majorHAnsi"/>
          <w:sz w:val="18"/>
          <w:szCs w:val="18"/>
        </w:rPr>
        <w:t xml:space="preserve"> ESMA’s </w:t>
      </w:r>
      <w:hyperlink r:id="rId22" w:history="1">
        <w:r w:rsidRPr="006B17B8">
          <w:rPr>
            <w:rStyle w:val="Hyperlink"/>
            <w:rFonts w:asciiTheme="majorHAnsi" w:hAnsiTheme="majorHAnsi" w:cstheme="majorHAnsi"/>
            <w:i/>
            <w:iCs/>
            <w:sz w:val="18"/>
            <w:szCs w:val="18"/>
          </w:rPr>
          <w:t>Progress Report on Greenwashing</w:t>
        </w:r>
      </w:hyperlink>
      <w:r w:rsidRPr="006B17B8">
        <w:rPr>
          <w:rFonts w:asciiTheme="majorHAnsi" w:hAnsiTheme="majorHAnsi" w:cstheme="majorHAnsi"/>
          <w:i/>
          <w:iCs/>
          <w:sz w:val="18"/>
          <w:szCs w:val="18"/>
        </w:rPr>
        <w:t xml:space="preserve"> </w:t>
      </w:r>
      <w:r w:rsidRPr="006B17B8">
        <w:rPr>
          <w:rFonts w:asciiTheme="majorHAnsi" w:hAnsiTheme="majorHAnsi" w:cstheme="majorHAnsi"/>
          <w:sz w:val="18"/>
          <w:szCs w:val="18"/>
        </w:rPr>
        <w:t xml:space="preserve">(31 May 2023) is available </w:t>
      </w:r>
      <w:hyperlink r:id="rId23" w:history="1">
        <w:r w:rsidRPr="006B17B8">
          <w:rPr>
            <w:rStyle w:val="Hyperlink"/>
            <w:rFonts w:asciiTheme="majorHAnsi" w:hAnsiTheme="majorHAnsi" w:cstheme="majorHAnsi"/>
            <w:sz w:val="18"/>
            <w:szCs w:val="18"/>
          </w:rPr>
          <w:t>here</w:t>
        </w:r>
      </w:hyperlink>
      <w:r w:rsidRPr="006B17B8">
        <w:rPr>
          <w:rFonts w:asciiTheme="majorHAnsi" w:hAnsiTheme="majorHAnsi" w:cstheme="majorHAnsi"/>
          <w:sz w:val="18"/>
          <w:szCs w:val="18"/>
        </w:rPr>
        <w:t>.</w:t>
      </w:r>
    </w:p>
  </w:footnote>
  <w:footnote w:id="24">
    <w:p w14:paraId="7CD438A3" w14:textId="5496EF97" w:rsidR="00B378C9" w:rsidRPr="006B17B8" w:rsidRDefault="00B378C9">
      <w:pPr>
        <w:pStyle w:val="FootnoteText"/>
        <w:rPr>
          <w:rFonts w:asciiTheme="majorHAnsi" w:hAnsiTheme="majorHAnsi" w:cstheme="majorHAnsi"/>
          <w:sz w:val="18"/>
          <w:szCs w:val="18"/>
        </w:rPr>
      </w:pPr>
      <w:r w:rsidRPr="006B17B8">
        <w:rPr>
          <w:rStyle w:val="FootnoteReference"/>
          <w:rFonts w:asciiTheme="majorHAnsi" w:hAnsiTheme="majorHAnsi" w:cstheme="majorHAnsi"/>
          <w:sz w:val="18"/>
          <w:szCs w:val="18"/>
        </w:rPr>
        <w:footnoteRef/>
      </w:r>
      <w:r w:rsidRPr="006B17B8">
        <w:rPr>
          <w:rFonts w:asciiTheme="majorHAnsi" w:hAnsiTheme="majorHAnsi" w:cstheme="majorHAnsi"/>
          <w:sz w:val="18"/>
          <w:szCs w:val="18"/>
        </w:rPr>
        <w:t xml:space="preserve"> See, for example, </w:t>
      </w:r>
      <w:hyperlink r:id="rId24" w:history="1">
        <w:r w:rsidR="000D02F0" w:rsidRPr="006B17B8">
          <w:rPr>
            <w:rStyle w:val="Hyperlink"/>
            <w:rFonts w:asciiTheme="majorHAnsi" w:hAnsiTheme="majorHAnsi" w:cstheme="majorHAnsi"/>
            <w:sz w:val="18"/>
            <w:szCs w:val="18"/>
          </w:rPr>
          <w:t>Fears rise over ‘greenwash’ bonds | Financial Times (ft.com)</w:t>
        </w:r>
      </w:hyperlink>
      <w:r w:rsidR="000D02F0" w:rsidRPr="006B17B8">
        <w:rPr>
          <w:rFonts w:asciiTheme="majorHAnsi" w:hAnsiTheme="majorHAnsi" w:cstheme="majorHAnsi"/>
          <w:sz w:val="18"/>
          <w:szCs w:val="18"/>
        </w:rPr>
        <w:t xml:space="preserve"> and </w:t>
      </w:r>
      <w:r w:rsidR="00612AD4" w:rsidRPr="006B17B8">
        <w:rPr>
          <w:rFonts w:asciiTheme="majorHAnsi" w:hAnsiTheme="majorHAnsi" w:cstheme="majorHAnsi"/>
          <w:sz w:val="18"/>
          <w:szCs w:val="18"/>
        </w:rPr>
        <w:t>the 2023 complaint by Mighty Earth to the SEC regarding the issuance of sustainability-linked bonds by JBS</w:t>
      </w:r>
      <w:r w:rsidR="002C4E05" w:rsidRPr="006B17B8">
        <w:rPr>
          <w:rFonts w:asciiTheme="majorHAnsi" w:hAnsiTheme="majorHAnsi" w:cstheme="majorHAnsi"/>
          <w:sz w:val="18"/>
          <w:szCs w:val="18"/>
        </w:rPr>
        <w:t xml:space="preserve">, which </w:t>
      </w:r>
      <w:r w:rsidR="00D9202C" w:rsidRPr="006B17B8">
        <w:rPr>
          <w:rFonts w:asciiTheme="majorHAnsi" w:hAnsiTheme="majorHAnsi" w:cstheme="majorHAnsi"/>
          <w:sz w:val="18"/>
          <w:szCs w:val="18"/>
        </w:rPr>
        <w:t xml:space="preserve">Mighty Earth alleged were marketed on the basis of misleading disclosures: </w:t>
      </w:r>
      <w:hyperlink r:id="rId25" w:anchor=":~:text=The%20complaint%20cites%20the%20official,97%25%20of%20the%20company%27s%20footprint." w:history="1">
        <w:r w:rsidR="00D9202C" w:rsidRPr="006B17B8">
          <w:rPr>
            <w:rStyle w:val="Hyperlink"/>
            <w:rFonts w:asciiTheme="majorHAnsi" w:hAnsiTheme="majorHAnsi" w:cstheme="majorHAnsi"/>
            <w:sz w:val="18"/>
            <w:szCs w:val="18"/>
          </w:rPr>
          <w:t>Mighty Earth files complaint with US Securities and Exchange Commission against JBS ‘green bonds’ - Mighty Earth</w:t>
        </w:r>
      </w:hyperlink>
      <w:r w:rsidR="00D9202C" w:rsidRPr="006B17B8">
        <w:rPr>
          <w:rFonts w:asciiTheme="majorHAnsi" w:hAnsiTheme="majorHAnsi" w:cstheme="majorHAnsi"/>
          <w:sz w:val="18"/>
          <w:szCs w:val="18"/>
        </w:rPr>
        <w:t>.</w:t>
      </w:r>
    </w:p>
  </w:footnote>
  <w:footnote w:id="25">
    <w:p w14:paraId="010F7FC6" w14:textId="4557893F" w:rsidR="00FF385A" w:rsidRPr="006B17B8" w:rsidRDefault="00FF385A">
      <w:pPr>
        <w:pStyle w:val="FootnoteText"/>
        <w:rPr>
          <w:rFonts w:asciiTheme="majorHAnsi" w:hAnsiTheme="majorHAnsi" w:cstheme="majorHAnsi"/>
          <w:sz w:val="18"/>
          <w:szCs w:val="18"/>
        </w:rPr>
      </w:pPr>
      <w:r w:rsidRPr="006B17B8">
        <w:rPr>
          <w:rStyle w:val="FootnoteReference"/>
          <w:rFonts w:asciiTheme="majorHAnsi" w:hAnsiTheme="majorHAnsi" w:cstheme="majorHAnsi"/>
          <w:sz w:val="18"/>
          <w:szCs w:val="18"/>
        </w:rPr>
        <w:footnoteRef/>
      </w:r>
      <w:r w:rsidRPr="006B17B8">
        <w:rPr>
          <w:rFonts w:asciiTheme="majorHAnsi" w:hAnsiTheme="majorHAnsi" w:cstheme="majorHAnsi"/>
          <w:sz w:val="18"/>
          <w:szCs w:val="18"/>
        </w:rPr>
        <w:t xml:space="preserve"> World Bank IFC, </w:t>
      </w:r>
      <w:hyperlink r:id="rId26" w:history="1">
        <w:r w:rsidRPr="006B17B8">
          <w:rPr>
            <w:rStyle w:val="Hyperlink"/>
            <w:rFonts w:asciiTheme="majorHAnsi" w:hAnsiTheme="majorHAnsi" w:cstheme="majorHAnsi"/>
            <w:i/>
            <w:iCs/>
            <w:sz w:val="18"/>
            <w:szCs w:val="18"/>
          </w:rPr>
          <w:t xml:space="preserve">Structural loopholes </w:t>
        </w:r>
        <w:r w:rsidR="00153B32" w:rsidRPr="006B17B8">
          <w:rPr>
            <w:rStyle w:val="Hyperlink"/>
            <w:rFonts w:asciiTheme="majorHAnsi" w:hAnsiTheme="majorHAnsi" w:cstheme="majorHAnsi"/>
            <w:i/>
            <w:iCs/>
            <w:sz w:val="18"/>
            <w:szCs w:val="18"/>
          </w:rPr>
          <w:t>in Sustainability-Linked Bonds</w:t>
        </w:r>
      </w:hyperlink>
    </w:p>
  </w:footnote>
  <w:footnote w:id="26">
    <w:p w14:paraId="4E29E41D" w14:textId="747DEA6D" w:rsidR="009379EE" w:rsidRPr="006B17B8" w:rsidRDefault="009379EE">
      <w:pPr>
        <w:pStyle w:val="FootnoteText"/>
        <w:rPr>
          <w:rFonts w:asciiTheme="majorHAnsi" w:hAnsiTheme="majorHAnsi" w:cstheme="majorHAnsi"/>
          <w:sz w:val="18"/>
          <w:szCs w:val="18"/>
        </w:rPr>
      </w:pPr>
      <w:r w:rsidRPr="006B17B8">
        <w:rPr>
          <w:rStyle w:val="FootnoteReference"/>
          <w:rFonts w:asciiTheme="majorHAnsi" w:hAnsiTheme="majorHAnsi" w:cstheme="majorHAnsi"/>
          <w:sz w:val="18"/>
          <w:szCs w:val="18"/>
        </w:rPr>
        <w:footnoteRef/>
      </w:r>
      <w:r w:rsidRPr="006B17B8">
        <w:rPr>
          <w:rFonts w:asciiTheme="majorHAnsi" w:hAnsiTheme="majorHAnsi" w:cstheme="majorHAnsi"/>
          <w:sz w:val="18"/>
          <w:szCs w:val="18"/>
        </w:rPr>
        <w:t xml:space="preserve"> See Table 1 of ClientEarth’s</w:t>
      </w:r>
      <w:r w:rsidR="008368C6" w:rsidRPr="006B17B8">
        <w:rPr>
          <w:rFonts w:asciiTheme="majorHAnsi" w:hAnsiTheme="majorHAnsi" w:cstheme="majorHAnsi"/>
          <w:sz w:val="18"/>
          <w:szCs w:val="18"/>
        </w:rPr>
        <w:t xml:space="preserve"> </w:t>
      </w:r>
      <w:hyperlink r:id="rId27" w:history="1">
        <w:r w:rsidR="002D7F43" w:rsidRPr="006B17B8">
          <w:rPr>
            <w:rStyle w:val="Hyperlink"/>
            <w:rFonts w:asciiTheme="majorHAnsi" w:hAnsiTheme="majorHAnsi" w:cstheme="majorHAnsi"/>
            <w:i/>
            <w:iCs/>
            <w:sz w:val="18"/>
            <w:szCs w:val="18"/>
          </w:rPr>
          <w:t>Greenwashing and how to avoid it</w:t>
        </w:r>
      </w:hyperlink>
      <w:r w:rsidR="002D7F43" w:rsidRPr="006B17B8">
        <w:rPr>
          <w:rFonts w:asciiTheme="majorHAnsi" w:hAnsiTheme="majorHAnsi" w:cstheme="majorHAnsi"/>
          <w:sz w:val="18"/>
          <w:szCs w:val="18"/>
        </w:rPr>
        <w:t xml:space="preserve"> (2023) report</w:t>
      </w:r>
      <w:r w:rsidR="00CB525A" w:rsidRPr="006B17B8">
        <w:rPr>
          <w:rFonts w:asciiTheme="majorHAnsi" w:hAnsiTheme="majorHAnsi" w:cstheme="majorHAnsi"/>
          <w:sz w:val="18"/>
          <w:szCs w:val="18"/>
        </w:rPr>
        <w:t>.</w:t>
      </w:r>
    </w:p>
  </w:footnote>
  <w:footnote w:id="27">
    <w:p w14:paraId="2A611F64" w14:textId="578740DD" w:rsidR="00322279" w:rsidRPr="006B17B8" w:rsidRDefault="00322279">
      <w:pPr>
        <w:pStyle w:val="FootnoteText"/>
        <w:rPr>
          <w:rFonts w:asciiTheme="majorHAnsi" w:hAnsiTheme="majorHAnsi" w:cstheme="majorHAnsi"/>
          <w:sz w:val="18"/>
          <w:szCs w:val="18"/>
        </w:rPr>
      </w:pPr>
      <w:r w:rsidRPr="006B17B8">
        <w:rPr>
          <w:rStyle w:val="FootnoteReference"/>
          <w:rFonts w:asciiTheme="majorHAnsi" w:hAnsiTheme="majorHAnsi" w:cstheme="majorHAnsi"/>
          <w:sz w:val="18"/>
          <w:szCs w:val="18"/>
        </w:rPr>
        <w:footnoteRef/>
      </w:r>
      <w:r w:rsidRPr="006B17B8">
        <w:rPr>
          <w:rFonts w:asciiTheme="majorHAnsi" w:hAnsiTheme="majorHAnsi" w:cstheme="majorHAnsi"/>
          <w:sz w:val="18"/>
          <w:szCs w:val="18"/>
        </w:rPr>
        <w:t xml:space="preserve"> See </w:t>
      </w:r>
      <w:r w:rsidR="00400E01" w:rsidRPr="006B17B8">
        <w:rPr>
          <w:rFonts w:asciiTheme="majorHAnsi" w:hAnsiTheme="majorHAnsi" w:cstheme="majorHAnsi"/>
          <w:sz w:val="18"/>
          <w:szCs w:val="18"/>
        </w:rPr>
        <w:t xml:space="preserve">FCA </w:t>
      </w:r>
      <w:r w:rsidR="00F30F42" w:rsidRPr="006B17B8">
        <w:rPr>
          <w:rFonts w:asciiTheme="majorHAnsi" w:hAnsiTheme="majorHAnsi" w:cstheme="majorHAnsi"/>
          <w:sz w:val="18"/>
          <w:szCs w:val="18"/>
        </w:rPr>
        <w:t xml:space="preserve">Consultation Paper </w:t>
      </w:r>
      <w:hyperlink r:id="rId28" w:history="1">
        <w:r w:rsidR="00F30F42" w:rsidRPr="006B17B8">
          <w:rPr>
            <w:rStyle w:val="Hyperlink"/>
            <w:rFonts w:asciiTheme="majorHAnsi" w:hAnsiTheme="majorHAnsi" w:cstheme="majorHAnsi"/>
            <w:sz w:val="18"/>
            <w:szCs w:val="18"/>
          </w:rPr>
          <w:t>CP22/20</w:t>
        </w:r>
      </w:hyperlink>
      <w:r w:rsidR="00F30F42" w:rsidRPr="006B17B8">
        <w:rPr>
          <w:rFonts w:asciiTheme="majorHAnsi" w:hAnsiTheme="majorHAnsi" w:cstheme="majorHAnsi"/>
          <w:sz w:val="18"/>
          <w:szCs w:val="18"/>
        </w:rPr>
        <w:t xml:space="preserve">, </w:t>
      </w:r>
      <w:r w:rsidR="00400E01" w:rsidRPr="006B17B8">
        <w:rPr>
          <w:rFonts w:asciiTheme="majorHAnsi" w:hAnsiTheme="majorHAnsi" w:cstheme="majorHAnsi"/>
          <w:sz w:val="18"/>
          <w:szCs w:val="18"/>
        </w:rPr>
        <w:t xml:space="preserve">and ClientEarth’s </w:t>
      </w:r>
      <w:hyperlink r:id="rId29" w:history="1">
        <w:r w:rsidR="00400E01" w:rsidRPr="006B17B8">
          <w:rPr>
            <w:rStyle w:val="Hyperlink"/>
            <w:rFonts w:asciiTheme="majorHAnsi" w:hAnsiTheme="majorHAnsi" w:cstheme="majorHAnsi"/>
            <w:sz w:val="18"/>
            <w:szCs w:val="18"/>
          </w:rPr>
          <w:t>response</w:t>
        </w:r>
      </w:hyperlink>
      <w:r w:rsidR="00400E01" w:rsidRPr="006B17B8">
        <w:rPr>
          <w:rFonts w:asciiTheme="majorHAnsi" w:hAnsiTheme="majorHAnsi" w:cstheme="majorHAnsi"/>
          <w:sz w:val="18"/>
          <w:szCs w:val="18"/>
        </w:rPr>
        <w:t>.</w:t>
      </w:r>
    </w:p>
  </w:footnote>
  <w:footnote w:id="28">
    <w:p w14:paraId="49FAD47C" w14:textId="1F6004E9" w:rsidR="003E238F" w:rsidRPr="006B17B8" w:rsidRDefault="003E238F">
      <w:pPr>
        <w:pStyle w:val="FootnoteText"/>
        <w:rPr>
          <w:rFonts w:asciiTheme="majorHAnsi" w:hAnsiTheme="majorHAnsi" w:cstheme="majorHAnsi"/>
          <w:sz w:val="18"/>
          <w:szCs w:val="18"/>
        </w:rPr>
      </w:pPr>
      <w:r w:rsidRPr="006B17B8">
        <w:rPr>
          <w:rStyle w:val="FootnoteReference"/>
          <w:rFonts w:asciiTheme="majorHAnsi" w:hAnsiTheme="majorHAnsi" w:cstheme="majorHAnsi"/>
          <w:sz w:val="18"/>
          <w:szCs w:val="18"/>
        </w:rPr>
        <w:footnoteRef/>
      </w:r>
      <w:r w:rsidRPr="006B17B8">
        <w:rPr>
          <w:rFonts w:asciiTheme="majorHAnsi" w:hAnsiTheme="majorHAnsi" w:cstheme="majorHAnsi"/>
          <w:sz w:val="18"/>
          <w:szCs w:val="18"/>
        </w:rPr>
        <w:t xml:space="preserve"> See </w:t>
      </w:r>
      <w:hyperlink r:id="rId30" w:history="1">
        <w:r w:rsidRPr="006B17B8">
          <w:rPr>
            <w:rStyle w:val="Hyperlink"/>
            <w:rFonts w:asciiTheme="majorHAnsi" w:hAnsiTheme="majorHAnsi" w:cstheme="majorHAnsi"/>
            <w:sz w:val="18"/>
            <w:szCs w:val="18"/>
          </w:rPr>
          <w:t>SEC.gov | SEC Enhances Rule to Prevent Misleading or Deceptive Fund Names</w:t>
        </w:r>
      </w:hyperlink>
      <w:r w:rsidRPr="006B17B8">
        <w:rPr>
          <w:rFonts w:asciiTheme="majorHAnsi" w:hAnsiTheme="majorHAnsi" w:cstheme="majorHAnsi"/>
          <w:sz w:val="18"/>
          <w:szCs w:val="18"/>
        </w:rPr>
        <w:t>.</w:t>
      </w:r>
    </w:p>
  </w:footnote>
  <w:footnote w:id="29">
    <w:p w14:paraId="38E50A81" w14:textId="6F08B0D8" w:rsidR="00ED73CC" w:rsidRPr="006B17B8" w:rsidRDefault="00ED73CC">
      <w:pPr>
        <w:pStyle w:val="FootnoteText"/>
        <w:rPr>
          <w:rFonts w:asciiTheme="majorHAnsi" w:hAnsiTheme="majorHAnsi" w:cstheme="majorHAnsi"/>
          <w:sz w:val="18"/>
          <w:szCs w:val="18"/>
        </w:rPr>
      </w:pPr>
      <w:r w:rsidRPr="006B17B8">
        <w:rPr>
          <w:rStyle w:val="FootnoteReference"/>
          <w:rFonts w:asciiTheme="majorHAnsi" w:hAnsiTheme="majorHAnsi" w:cstheme="majorHAnsi"/>
          <w:sz w:val="18"/>
          <w:szCs w:val="18"/>
        </w:rPr>
        <w:footnoteRef/>
      </w:r>
      <w:r w:rsidRPr="006B17B8">
        <w:rPr>
          <w:rFonts w:asciiTheme="majorHAnsi" w:hAnsiTheme="majorHAnsi" w:cstheme="majorHAnsi"/>
          <w:sz w:val="18"/>
          <w:szCs w:val="18"/>
        </w:rPr>
        <w:t xml:space="preserve"> See </w:t>
      </w:r>
      <w:hyperlink r:id="rId31" w:history="1">
        <w:r w:rsidR="005F1118" w:rsidRPr="006B17B8">
          <w:rPr>
            <w:rStyle w:val="Hyperlink"/>
            <w:rFonts w:asciiTheme="majorHAnsi" w:hAnsiTheme="majorHAnsi" w:cstheme="majorHAnsi"/>
            <w:sz w:val="18"/>
            <w:szCs w:val="18"/>
          </w:rPr>
          <w:t>Statement-Financial-Sector-WG-business-12July2023.pdf (ohchr.org)</w:t>
        </w:r>
      </w:hyperlink>
      <w:r w:rsidR="005F1118" w:rsidRPr="006B17B8">
        <w:rPr>
          <w:rFonts w:asciiTheme="majorHAnsi" w:hAnsiTheme="majorHAnsi" w:cstheme="majorHAnsi"/>
          <w:sz w:val="18"/>
          <w:szCs w:val="18"/>
        </w:rPr>
        <w:t>.</w:t>
      </w:r>
    </w:p>
  </w:footnote>
  <w:footnote w:id="30">
    <w:p w14:paraId="477B6C48" w14:textId="415AD51A" w:rsidR="00FB058D" w:rsidRPr="006B17B8" w:rsidRDefault="00FB058D">
      <w:pPr>
        <w:pStyle w:val="FootnoteText"/>
        <w:rPr>
          <w:rFonts w:asciiTheme="majorHAnsi" w:hAnsiTheme="majorHAnsi" w:cstheme="majorHAnsi"/>
          <w:sz w:val="18"/>
          <w:szCs w:val="18"/>
        </w:rPr>
      </w:pPr>
      <w:r w:rsidRPr="006B17B8">
        <w:rPr>
          <w:rStyle w:val="FootnoteReference"/>
          <w:rFonts w:asciiTheme="majorHAnsi" w:hAnsiTheme="majorHAnsi" w:cstheme="majorHAnsi"/>
          <w:sz w:val="18"/>
          <w:szCs w:val="18"/>
        </w:rPr>
        <w:footnoteRef/>
      </w:r>
      <w:r w:rsidRPr="006B17B8">
        <w:rPr>
          <w:rFonts w:asciiTheme="majorHAnsi" w:hAnsiTheme="majorHAnsi" w:cstheme="majorHAnsi"/>
          <w:sz w:val="18"/>
          <w:szCs w:val="18"/>
        </w:rPr>
        <w:t xml:space="preserve"> </w:t>
      </w:r>
      <w:r w:rsidR="00154074" w:rsidRPr="006B17B8">
        <w:rPr>
          <w:rFonts w:asciiTheme="majorHAnsi" w:hAnsiTheme="majorHAnsi" w:cstheme="majorHAnsi"/>
          <w:sz w:val="18"/>
          <w:szCs w:val="18"/>
        </w:rPr>
        <w:t>ClientEarth’s response is available here:</w:t>
      </w:r>
      <w:r w:rsidRPr="006B17B8">
        <w:rPr>
          <w:rFonts w:asciiTheme="majorHAnsi" w:hAnsiTheme="majorHAnsi" w:cstheme="majorHAnsi"/>
          <w:sz w:val="18"/>
          <w:szCs w:val="18"/>
        </w:rPr>
        <w:t xml:space="preserve"> </w:t>
      </w:r>
      <w:hyperlink r:id="rId32" w:history="1">
        <w:r w:rsidRPr="006B17B8">
          <w:rPr>
            <w:rStyle w:val="Hyperlink"/>
            <w:rFonts w:asciiTheme="majorHAnsi" w:hAnsiTheme="majorHAnsi" w:cstheme="majorHAnsi"/>
            <w:sz w:val="18"/>
            <w:szCs w:val="18"/>
          </w:rPr>
          <w:t>Update to Green Finance Strategy: Call for Evidence by HM Government (clientearth.org)</w:t>
        </w:r>
      </w:hyperlink>
      <w:r w:rsidRPr="006B17B8">
        <w:rPr>
          <w:rFonts w:asciiTheme="majorHAnsi" w:hAnsiTheme="majorHAnsi" w:cstheme="majorHAnsi"/>
          <w:sz w:val="18"/>
          <w:szCs w:val="18"/>
        </w:rPr>
        <w:t>.</w:t>
      </w:r>
    </w:p>
  </w:footnote>
  <w:footnote w:id="31">
    <w:p w14:paraId="14F449A3" w14:textId="3BF7FC23" w:rsidR="00BB0F27" w:rsidRPr="006B17B8" w:rsidRDefault="00BB0F27">
      <w:pPr>
        <w:pStyle w:val="FootnoteText"/>
        <w:rPr>
          <w:rFonts w:asciiTheme="majorHAnsi" w:hAnsiTheme="majorHAnsi" w:cstheme="majorHAnsi"/>
          <w:sz w:val="18"/>
          <w:szCs w:val="18"/>
        </w:rPr>
      </w:pPr>
      <w:r w:rsidRPr="006B17B8">
        <w:rPr>
          <w:rStyle w:val="FootnoteReference"/>
          <w:rFonts w:asciiTheme="majorHAnsi" w:hAnsiTheme="majorHAnsi" w:cstheme="majorHAnsi"/>
          <w:sz w:val="18"/>
          <w:szCs w:val="18"/>
        </w:rPr>
        <w:footnoteRef/>
      </w:r>
      <w:r w:rsidRPr="006B17B8">
        <w:rPr>
          <w:rFonts w:asciiTheme="majorHAnsi" w:hAnsiTheme="majorHAnsi" w:cstheme="majorHAnsi"/>
          <w:sz w:val="18"/>
          <w:szCs w:val="18"/>
        </w:rPr>
        <w:t xml:space="preserve"> ClientEarth’s UK general election 2024 proposals are available </w:t>
      </w:r>
      <w:hyperlink r:id="rId33" w:history="1">
        <w:r w:rsidRPr="006B17B8">
          <w:rPr>
            <w:rStyle w:val="Hyperlink"/>
            <w:rFonts w:asciiTheme="majorHAnsi" w:hAnsiTheme="majorHAnsi" w:cstheme="majorHAnsi"/>
            <w:sz w:val="18"/>
            <w:szCs w:val="18"/>
          </w:rPr>
          <w:t>here</w:t>
        </w:r>
      </w:hyperlink>
      <w:r w:rsidR="00136F74" w:rsidRPr="006B17B8">
        <w:rPr>
          <w:rFonts w:asciiTheme="majorHAnsi" w:hAnsiTheme="majorHAnsi" w:cstheme="majorHAnsi"/>
          <w:sz w:val="18"/>
          <w:szCs w:val="18"/>
        </w:rPr>
        <w:t>.</w:t>
      </w:r>
    </w:p>
  </w:footnote>
  <w:footnote w:id="32">
    <w:p w14:paraId="2C8373F4" w14:textId="062D8D46" w:rsidR="00934AE4" w:rsidRPr="006B17B8" w:rsidRDefault="00934AE4">
      <w:pPr>
        <w:pStyle w:val="FootnoteText"/>
        <w:rPr>
          <w:rFonts w:asciiTheme="majorHAnsi" w:hAnsiTheme="majorHAnsi" w:cstheme="majorHAnsi"/>
          <w:sz w:val="18"/>
          <w:szCs w:val="18"/>
        </w:rPr>
      </w:pPr>
      <w:r w:rsidRPr="006B17B8">
        <w:rPr>
          <w:rStyle w:val="FootnoteReference"/>
          <w:rFonts w:asciiTheme="majorHAnsi" w:hAnsiTheme="majorHAnsi" w:cstheme="majorHAnsi"/>
          <w:sz w:val="18"/>
          <w:szCs w:val="18"/>
        </w:rPr>
        <w:footnoteRef/>
      </w:r>
      <w:r w:rsidRPr="006B17B8">
        <w:rPr>
          <w:rFonts w:asciiTheme="majorHAnsi" w:hAnsiTheme="majorHAnsi" w:cstheme="majorHAnsi"/>
          <w:sz w:val="18"/>
          <w:szCs w:val="18"/>
        </w:rPr>
        <w:t xml:space="preserve"> See para. 20 of </w:t>
      </w:r>
      <w:hyperlink r:id="rId34" w:history="1">
        <w:r w:rsidRPr="006B17B8">
          <w:rPr>
            <w:rStyle w:val="Hyperlink"/>
            <w:rFonts w:asciiTheme="majorHAnsi" w:hAnsiTheme="majorHAnsi" w:cstheme="majorHAnsi"/>
            <w:sz w:val="18"/>
            <w:szCs w:val="18"/>
          </w:rPr>
          <w:t>A/HRC/47/39/Add.1</w:t>
        </w:r>
      </w:hyperlink>
      <w:r w:rsidR="006E5586" w:rsidRPr="006B17B8">
        <w:rPr>
          <w:rStyle w:val="Hyperlink"/>
          <w:rFonts w:asciiTheme="majorHAnsi" w:hAnsiTheme="majorHAnsi" w:cstheme="majorHAnsi"/>
          <w:sz w:val="18"/>
          <w:szCs w:val="18"/>
          <w:u w:val="none"/>
        </w:rPr>
        <w:t xml:space="preserve">. See also Figure 1, p.35 in the OECD’s </w:t>
      </w:r>
      <w:r w:rsidR="006E5586" w:rsidRPr="006B17B8">
        <w:rPr>
          <w:rFonts w:asciiTheme="majorHAnsi" w:hAnsiTheme="majorHAnsi" w:cstheme="majorHAnsi"/>
          <w:i/>
          <w:iCs/>
          <w:sz w:val="18"/>
          <w:szCs w:val="18"/>
        </w:rPr>
        <w:t xml:space="preserve">Responsible business conduct for institutional investors </w:t>
      </w:r>
      <w:r w:rsidR="006E5586" w:rsidRPr="006B17B8">
        <w:rPr>
          <w:rFonts w:asciiTheme="majorHAnsi" w:hAnsiTheme="majorHAnsi" w:cstheme="majorHAnsi"/>
          <w:sz w:val="18"/>
          <w:szCs w:val="18"/>
        </w:rPr>
        <w:t xml:space="preserve">(2017) guidance, available </w:t>
      </w:r>
      <w:hyperlink r:id="rId35" w:history="1">
        <w:r w:rsidR="006E5586" w:rsidRPr="006B17B8">
          <w:rPr>
            <w:rStyle w:val="Hyperlink"/>
            <w:rFonts w:asciiTheme="majorHAnsi" w:hAnsiTheme="majorHAnsi" w:cstheme="majorHAnsi"/>
            <w:sz w:val="18"/>
            <w:szCs w:val="18"/>
          </w:rPr>
          <w:t>here</w:t>
        </w:r>
      </w:hyperlink>
      <w:r w:rsidR="006E5586" w:rsidRPr="006B17B8">
        <w:rPr>
          <w:rFonts w:asciiTheme="majorHAnsi" w:hAnsiTheme="majorHAnsi" w:cstheme="majorHAnsi"/>
          <w:sz w:val="18"/>
          <w:szCs w:val="18"/>
        </w:rPr>
        <w:t>.</w:t>
      </w:r>
    </w:p>
  </w:footnote>
  <w:footnote w:id="33">
    <w:p w14:paraId="734422C9" w14:textId="226FA42C" w:rsidR="00CF2319" w:rsidRPr="006B17B8" w:rsidRDefault="00CF2319">
      <w:pPr>
        <w:pStyle w:val="FootnoteText"/>
        <w:rPr>
          <w:rFonts w:asciiTheme="majorHAnsi" w:hAnsiTheme="majorHAnsi" w:cstheme="majorHAnsi"/>
          <w:sz w:val="18"/>
          <w:szCs w:val="18"/>
        </w:rPr>
      </w:pPr>
      <w:r w:rsidRPr="006B17B8">
        <w:rPr>
          <w:rStyle w:val="FootnoteReference"/>
          <w:rFonts w:asciiTheme="majorHAnsi" w:hAnsiTheme="majorHAnsi" w:cstheme="majorHAnsi"/>
          <w:sz w:val="18"/>
          <w:szCs w:val="18"/>
        </w:rPr>
        <w:footnoteRef/>
      </w:r>
      <w:r w:rsidRPr="006B17B8">
        <w:rPr>
          <w:rFonts w:asciiTheme="majorHAnsi" w:hAnsiTheme="majorHAnsi" w:cstheme="majorHAnsi"/>
          <w:sz w:val="18"/>
          <w:szCs w:val="18"/>
        </w:rPr>
        <w:t xml:space="preserve"> However, we note that BankTrack has recently found that “</w:t>
      </w:r>
      <w:r w:rsidRPr="006B17B8">
        <w:rPr>
          <w:rFonts w:asciiTheme="majorHAnsi" w:hAnsiTheme="majorHAnsi" w:cstheme="majorHAnsi"/>
          <w:i/>
          <w:iCs/>
          <w:sz w:val="18"/>
          <w:szCs w:val="18"/>
        </w:rPr>
        <w:t xml:space="preserve">the vast majority of banks (36 out of 50, or 72%) are still </w:t>
      </w:r>
      <w:r w:rsidR="00BC1DFE" w:rsidRPr="006B17B8">
        <w:rPr>
          <w:rFonts w:asciiTheme="majorHAnsi" w:hAnsiTheme="majorHAnsi" w:cstheme="majorHAnsi"/>
          <w:i/>
          <w:iCs/>
          <w:sz w:val="18"/>
          <w:szCs w:val="18"/>
        </w:rPr>
        <w:t>reluctant to address the topic of remediation, and fail to show that they are willing to play any role at all in remediating adverse human rights impacts that they are linked to through their business operations</w:t>
      </w:r>
      <w:r w:rsidR="00BC1DFE" w:rsidRPr="006B17B8">
        <w:rPr>
          <w:rFonts w:asciiTheme="majorHAnsi" w:hAnsiTheme="majorHAnsi" w:cstheme="majorHAnsi"/>
          <w:sz w:val="18"/>
          <w:szCs w:val="18"/>
        </w:rPr>
        <w:t xml:space="preserve">.” See p.44 of BankTrack’s 2022 human rights benchmark, </w:t>
      </w:r>
      <w:hyperlink r:id="rId36" w:history="1">
        <w:r w:rsidR="00BC1DFE" w:rsidRPr="006B17B8">
          <w:rPr>
            <w:rStyle w:val="Hyperlink"/>
            <w:rFonts w:asciiTheme="majorHAnsi" w:hAnsiTheme="majorHAnsi" w:cstheme="majorHAnsi"/>
            <w:sz w:val="18"/>
            <w:szCs w:val="18"/>
          </w:rPr>
          <w:t>here</w:t>
        </w:r>
      </w:hyperlink>
      <w:r w:rsidR="00BC1DFE" w:rsidRPr="006B17B8">
        <w:rPr>
          <w:rFonts w:asciiTheme="majorHAnsi" w:hAnsiTheme="majorHAnsi" w:cstheme="majorHAnsi"/>
          <w:sz w:val="18"/>
          <w:szCs w:val="18"/>
        </w:rPr>
        <w:t>.</w:t>
      </w:r>
    </w:p>
  </w:footnote>
  <w:footnote w:id="34">
    <w:p w14:paraId="5EBDBE2B" w14:textId="30C0A605" w:rsidR="00087A62" w:rsidRPr="006B17B8" w:rsidRDefault="00087A62">
      <w:pPr>
        <w:pStyle w:val="FootnoteText"/>
        <w:rPr>
          <w:rFonts w:asciiTheme="majorHAnsi" w:hAnsiTheme="majorHAnsi" w:cstheme="majorHAnsi"/>
          <w:sz w:val="18"/>
          <w:szCs w:val="18"/>
        </w:rPr>
      </w:pPr>
      <w:r w:rsidRPr="006B17B8">
        <w:rPr>
          <w:rStyle w:val="FootnoteReference"/>
          <w:rFonts w:asciiTheme="majorHAnsi" w:hAnsiTheme="majorHAnsi" w:cstheme="majorHAnsi"/>
          <w:sz w:val="18"/>
          <w:szCs w:val="18"/>
        </w:rPr>
        <w:footnoteRef/>
      </w:r>
      <w:r w:rsidRPr="006B17B8">
        <w:rPr>
          <w:rFonts w:asciiTheme="majorHAnsi" w:hAnsiTheme="majorHAnsi" w:cstheme="majorHAnsi"/>
          <w:sz w:val="18"/>
          <w:szCs w:val="18"/>
        </w:rPr>
        <w:t xml:space="preserve"> See the comments to this effect from Professor John Ruggie in </w:t>
      </w:r>
      <w:hyperlink r:id="rId37" w:history="1">
        <w:r w:rsidR="001A58F0" w:rsidRPr="006B17B8">
          <w:rPr>
            <w:rStyle w:val="Hyperlink"/>
            <w:rFonts w:asciiTheme="majorHAnsi" w:hAnsiTheme="majorHAnsi" w:cstheme="majorHAnsi"/>
            <w:sz w:val="18"/>
            <w:szCs w:val="18"/>
          </w:rPr>
          <w:t>Thun_Final.pdf (business-humanrights.org)</w:t>
        </w:r>
      </w:hyperlink>
      <w:r w:rsidR="00AD5007" w:rsidRPr="006B17B8">
        <w:rPr>
          <w:rFonts w:asciiTheme="majorHAnsi" w:hAnsiTheme="majorHAnsi" w:cstheme="majorHAnsi"/>
          <w:sz w:val="18"/>
          <w:szCs w:val="18"/>
        </w:rPr>
        <w:t>, which are reiterated on the UN Working Group’s July 2023 statement on the financial sector and the EU’s Corporate Sustainability Due Diligence Directive</w:t>
      </w:r>
      <w:r w:rsidR="00EB0107" w:rsidRPr="006B17B8">
        <w:rPr>
          <w:rFonts w:asciiTheme="majorHAnsi" w:hAnsiTheme="majorHAnsi" w:cstheme="majorHAnsi"/>
          <w:sz w:val="18"/>
          <w:szCs w:val="18"/>
        </w:rPr>
        <w:t xml:space="preserve">, available </w:t>
      </w:r>
      <w:hyperlink r:id="rId38" w:history="1">
        <w:r w:rsidR="00EB0107" w:rsidRPr="006B17B8">
          <w:rPr>
            <w:rStyle w:val="Hyperlink"/>
            <w:rFonts w:asciiTheme="majorHAnsi" w:hAnsiTheme="majorHAnsi" w:cstheme="majorHAnsi"/>
            <w:sz w:val="18"/>
            <w:szCs w:val="18"/>
          </w:rPr>
          <w:t>here</w:t>
        </w:r>
      </w:hyperlink>
      <w:r w:rsidR="00EB0107" w:rsidRPr="006B17B8">
        <w:rPr>
          <w:rFonts w:asciiTheme="majorHAnsi" w:hAnsiTheme="majorHAnsi" w:cstheme="majorHAnsi"/>
          <w:sz w:val="18"/>
          <w:szCs w:val="18"/>
        </w:rPr>
        <w:t>.</w:t>
      </w:r>
    </w:p>
  </w:footnote>
  <w:footnote w:id="35">
    <w:p w14:paraId="4308B50A" w14:textId="269399E7" w:rsidR="00076155" w:rsidRPr="006B17B8" w:rsidRDefault="00076155">
      <w:pPr>
        <w:pStyle w:val="FootnoteText"/>
        <w:rPr>
          <w:rFonts w:asciiTheme="majorHAnsi" w:hAnsiTheme="majorHAnsi" w:cstheme="majorHAnsi"/>
          <w:sz w:val="18"/>
          <w:szCs w:val="18"/>
        </w:rPr>
      </w:pPr>
      <w:r w:rsidRPr="006B17B8">
        <w:rPr>
          <w:rStyle w:val="FootnoteReference"/>
          <w:rFonts w:asciiTheme="majorHAnsi" w:hAnsiTheme="majorHAnsi" w:cstheme="majorHAnsi"/>
          <w:sz w:val="18"/>
          <w:szCs w:val="18"/>
        </w:rPr>
        <w:footnoteRef/>
      </w:r>
      <w:r w:rsidRPr="006B17B8">
        <w:rPr>
          <w:rFonts w:asciiTheme="majorHAnsi" w:hAnsiTheme="majorHAnsi" w:cstheme="majorHAnsi"/>
          <w:sz w:val="18"/>
          <w:szCs w:val="18"/>
        </w:rPr>
        <w:t xml:space="preserve"> See UN PRI, </w:t>
      </w:r>
      <w:r w:rsidR="000E1819" w:rsidRPr="006B17B8">
        <w:rPr>
          <w:rFonts w:asciiTheme="majorHAnsi" w:hAnsiTheme="majorHAnsi" w:cstheme="majorHAnsi"/>
          <w:i/>
          <w:sz w:val="18"/>
          <w:szCs w:val="18"/>
        </w:rPr>
        <w:t>Why and how investors should act on human rights</w:t>
      </w:r>
      <w:r w:rsidR="000E1819" w:rsidRPr="006B17B8">
        <w:rPr>
          <w:rFonts w:asciiTheme="majorHAnsi" w:hAnsiTheme="majorHAnsi" w:cstheme="majorHAnsi"/>
          <w:sz w:val="18"/>
          <w:szCs w:val="18"/>
        </w:rPr>
        <w:t xml:space="preserve"> (</w:t>
      </w:r>
      <w:r w:rsidR="00F27F32" w:rsidRPr="006B17B8">
        <w:rPr>
          <w:rFonts w:asciiTheme="majorHAnsi" w:hAnsiTheme="majorHAnsi" w:cstheme="majorHAnsi"/>
          <w:sz w:val="18"/>
          <w:szCs w:val="18"/>
        </w:rPr>
        <w:t xml:space="preserve">2020), </w:t>
      </w:r>
      <w:hyperlink r:id="rId39" w:history="1">
        <w:r w:rsidR="00F27F32" w:rsidRPr="006B17B8">
          <w:rPr>
            <w:rStyle w:val="Hyperlink"/>
            <w:rFonts w:asciiTheme="majorHAnsi" w:hAnsiTheme="majorHAnsi" w:cstheme="majorHAnsi"/>
            <w:sz w:val="18"/>
            <w:szCs w:val="18"/>
          </w:rPr>
          <w:t>here</w:t>
        </w:r>
      </w:hyperlink>
      <w:r w:rsidR="00F27F32" w:rsidRPr="006B17B8">
        <w:rPr>
          <w:rFonts w:asciiTheme="majorHAnsi" w:hAnsiTheme="majorHAnsi" w:cstheme="majorHAnsi"/>
          <w:sz w:val="18"/>
          <w:szCs w:val="18"/>
        </w:rPr>
        <w:t>.</w:t>
      </w:r>
      <w:r w:rsidR="00A8652F" w:rsidRPr="006B17B8">
        <w:rPr>
          <w:rFonts w:asciiTheme="majorHAnsi" w:hAnsiTheme="majorHAnsi" w:cstheme="majorHAnsi"/>
          <w:sz w:val="18"/>
          <w:szCs w:val="18"/>
        </w:rPr>
        <w:t xml:space="preserve"> </w:t>
      </w:r>
      <w:bookmarkStart w:id="0" w:name="_Hlk147166563"/>
      <w:r w:rsidR="00C53DAE" w:rsidRPr="006B17B8">
        <w:rPr>
          <w:rFonts w:asciiTheme="majorHAnsi" w:hAnsiTheme="majorHAnsi" w:cstheme="majorHAnsi"/>
          <w:sz w:val="18"/>
          <w:szCs w:val="18"/>
        </w:rPr>
        <w:t xml:space="preserve">See also the detailed discussion in </w:t>
      </w:r>
      <w:hyperlink r:id="rId40" w:history="1">
        <w:r w:rsidR="00C53DAE" w:rsidRPr="006B17B8">
          <w:rPr>
            <w:rStyle w:val="Hyperlink"/>
            <w:rFonts w:asciiTheme="majorHAnsi" w:hAnsiTheme="majorHAnsi" w:cstheme="majorHAnsi"/>
            <w:sz w:val="18"/>
            <w:szCs w:val="18"/>
          </w:rPr>
          <w:t>A/HRC/47/39/Add.1</w:t>
        </w:r>
      </w:hyperlink>
      <w:r w:rsidR="00222833" w:rsidRPr="006B17B8">
        <w:rPr>
          <w:rFonts w:asciiTheme="majorHAnsi" w:hAnsiTheme="majorHAnsi" w:cstheme="majorHAnsi"/>
          <w:sz w:val="18"/>
          <w:szCs w:val="18"/>
        </w:rPr>
        <w:t xml:space="preserve"> and the guidance provided in the OECD’s </w:t>
      </w:r>
      <w:r w:rsidR="00F427B4" w:rsidRPr="006B17B8">
        <w:rPr>
          <w:rFonts w:asciiTheme="majorHAnsi" w:hAnsiTheme="majorHAnsi" w:cstheme="majorHAnsi"/>
          <w:i/>
          <w:iCs/>
          <w:sz w:val="18"/>
          <w:szCs w:val="18"/>
        </w:rPr>
        <w:t xml:space="preserve">Responsible business conduct for institutional investors </w:t>
      </w:r>
      <w:r w:rsidR="00F427B4" w:rsidRPr="006B17B8">
        <w:rPr>
          <w:rFonts w:asciiTheme="majorHAnsi" w:hAnsiTheme="majorHAnsi" w:cstheme="majorHAnsi"/>
          <w:sz w:val="18"/>
          <w:szCs w:val="18"/>
        </w:rPr>
        <w:t xml:space="preserve">(2017) guidance, available </w:t>
      </w:r>
      <w:hyperlink r:id="rId41" w:history="1">
        <w:r w:rsidR="00F427B4" w:rsidRPr="006B17B8">
          <w:rPr>
            <w:rStyle w:val="Hyperlink"/>
            <w:rFonts w:asciiTheme="majorHAnsi" w:hAnsiTheme="majorHAnsi" w:cstheme="majorHAnsi"/>
            <w:sz w:val="18"/>
            <w:szCs w:val="18"/>
          </w:rPr>
          <w:t>here</w:t>
        </w:r>
      </w:hyperlink>
      <w:r w:rsidR="00F427B4" w:rsidRPr="006B17B8">
        <w:rPr>
          <w:rFonts w:asciiTheme="majorHAnsi" w:hAnsiTheme="majorHAnsi" w:cstheme="majorHAnsi"/>
          <w:sz w:val="18"/>
          <w:szCs w:val="18"/>
        </w:rPr>
        <w:t>.</w:t>
      </w:r>
    </w:p>
    <w:bookmarkEnd w:id="0"/>
  </w:footnote>
  <w:footnote w:id="36">
    <w:p w14:paraId="07A76107" w14:textId="18C38160" w:rsidR="007F7D38" w:rsidRPr="006B17B8" w:rsidRDefault="007F7D38">
      <w:pPr>
        <w:pStyle w:val="FootnoteText"/>
        <w:rPr>
          <w:rFonts w:asciiTheme="majorHAnsi" w:hAnsiTheme="majorHAnsi" w:cstheme="majorHAnsi"/>
          <w:sz w:val="18"/>
          <w:szCs w:val="18"/>
        </w:rPr>
      </w:pPr>
      <w:r w:rsidRPr="006B17B8">
        <w:rPr>
          <w:rStyle w:val="FootnoteReference"/>
          <w:rFonts w:asciiTheme="majorHAnsi" w:hAnsiTheme="majorHAnsi" w:cstheme="majorHAnsi"/>
          <w:sz w:val="18"/>
          <w:szCs w:val="18"/>
        </w:rPr>
        <w:footnoteRef/>
      </w:r>
      <w:r w:rsidRPr="006B17B8">
        <w:rPr>
          <w:rFonts w:asciiTheme="majorHAnsi" w:hAnsiTheme="majorHAnsi" w:cstheme="majorHAnsi"/>
          <w:sz w:val="18"/>
          <w:szCs w:val="18"/>
        </w:rPr>
        <w:t xml:space="preserve"> </w:t>
      </w:r>
      <w:r w:rsidR="006D0D42" w:rsidRPr="006B17B8">
        <w:rPr>
          <w:rFonts w:asciiTheme="majorHAnsi" w:hAnsiTheme="majorHAnsi" w:cstheme="majorHAnsi"/>
          <w:sz w:val="18"/>
          <w:szCs w:val="18"/>
        </w:rPr>
        <w:t xml:space="preserve">See the UN Working Group’s 2023 Information Note on Climate Change and the Guiding Principles, available </w:t>
      </w:r>
      <w:hyperlink r:id="rId42" w:history="1">
        <w:r w:rsidR="006D0D42" w:rsidRPr="006B17B8">
          <w:rPr>
            <w:rStyle w:val="Hyperlink"/>
            <w:rFonts w:asciiTheme="majorHAnsi" w:hAnsiTheme="majorHAnsi" w:cstheme="majorHAnsi"/>
            <w:sz w:val="18"/>
            <w:szCs w:val="18"/>
          </w:rPr>
          <w:t>here</w:t>
        </w:r>
      </w:hyperlink>
      <w:r w:rsidR="006D0D42" w:rsidRPr="006B17B8">
        <w:rPr>
          <w:rFonts w:asciiTheme="majorHAnsi" w:hAnsiTheme="majorHAnsi" w:cstheme="majorHAnsi"/>
          <w:sz w:val="18"/>
          <w:szCs w:val="18"/>
        </w:rPr>
        <w:t>.</w:t>
      </w:r>
    </w:p>
  </w:footnote>
  <w:footnote w:id="37">
    <w:p w14:paraId="734D8213" w14:textId="292D6849" w:rsidR="00DC0B35" w:rsidRPr="006B17B8" w:rsidRDefault="00DC0B35" w:rsidP="00DC0B35">
      <w:pPr>
        <w:pStyle w:val="FootnoteText"/>
        <w:rPr>
          <w:rFonts w:asciiTheme="majorHAnsi" w:hAnsiTheme="majorHAnsi" w:cstheme="majorHAnsi"/>
          <w:sz w:val="18"/>
          <w:szCs w:val="18"/>
        </w:rPr>
      </w:pPr>
      <w:r w:rsidRPr="006B17B8">
        <w:rPr>
          <w:rStyle w:val="FootnoteReference"/>
          <w:rFonts w:asciiTheme="majorHAnsi" w:hAnsiTheme="majorHAnsi" w:cstheme="majorHAnsi"/>
          <w:sz w:val="18"/>
          <w:szCs w:val="18"/>
        </w:rPr>
        <w:footnoteRef/>
      </w:r>
      <w:r w:rsidRPr="006B17B8">
        <w:rPr>
          <w:rFonts w:asciiTheme="majorHAnsi" w:hAnsiTheme="majorHAnsi" w:cstheme="majorHAnsi"/>
          <w:sz w:val="18"/>
          <w:szCs w:val="18"/>
        </w:rPr>
        <w:t xml:space="preserve"> We note the comments of John Ruggie, the main author of the UN Guiding Principles of Business and Human Rights, </w:t>
      </w:r>
      <w:hyperlink r:id="rId43" w:history="1">
        <w:r w:rsidRPr="006B17B8">
          <w:rPr>
            <w:rStyle w:val="Hyperlink"/>
            <w:rFonts w:asciiTheme="majorHAnsi" w:hAnsiTheme="majorHAnsi" w:cstheme="majorHAnsi"/>
            <w:sz w:val="18"/>
            <w:szCs w:val="18"/>
          </w:rPr>
          <w:t>here</w:t>
        </w:r>
      </w:hyperlink>
      <w:r w:rsidRPr="006B17B8">
        <w:rPr>
          <w:rFonts w:asciiTheme="majorHAnsi" w:hAnsiTheme="majorHAnsi" w:cstheme="majorHAnsi"/>
          <w:sz w:val="18"/>
          <w:szCs w:val="18"/>
        </w:rPr>
        <w:t xml:space="preserve"> where he suggests that banks providing loans to companies alleged to engage in human rights abuses ought to require a “</w:t>
      </w:r>
      <w:r w:rsidRPr="006B17B8">
        <w:rPr>
          <w:rFonts w:asciiTheme="majorHAnsi" w:hAnsiTheme="majorHAnsi" w:cstheme="majorHAnsi"/>
          <w:i/>
          <w:iCs/>
          <w:sz w:val="18"/>
          <w:szCs w:val="18"/>
        </w:rPr>
        <w:t>very deep dive by the bank, coupled with the imposition of strict conditions if it decides to go ahead with the loan</w:t>
      </w:r>
      <w:r w:rsidRPr="006B17B8">
        <w:rPr>
          <w:rFonts w:asciiTheme="majorHAnsi" w:hAnsiTheme="majorHAnsi" w:cstheme="majorHAnsi"/>
          <w:sz w:val="18"/>
          <w:szCs w:val="18"/>
        </w:rPr>
        <w:t>.”</w:t>
      </w:r>
    </w:p>
  </w:footnote>
  <w:footnote w:id="38">
    <w:p w14:paraId="2B630DC3" w14:textId="690AC93A" w:rsidR="00D078C5" w:rsidRPr="006B17B8" w:rsidRDefault="00D078C5">
      <w:pPr>
        <w:pStyle w:val="FootnoteText"/>
        <w:rPr>
          <w:rFonts w:asciiTheme="majorHAnsi" w:hAnsiTheme="majorHAnsi" w:cstheme="majorHAnsi"/>
          <w:sz w:val="18"/>
          <w:szCs w:val="18"/>
        </w:rPr>
      </w:pPr>
      <w:r w:rsidRPr="006B17B8">
        <w:rPr>
          <w:rStyle w:val="FootnoteReference"/>
          <w:rFonts w:asciiTheme="majorHAnsi" w:hAnsiTheme="majorHAnsi" w:cstheme="majorHAnsi"/>
          <w:sz w:val="18"/>
          <w:szCs w:val="18"/>
        </w:rPr>
        <w:footnoteRef/>
      </w:r>
      <w:r w:rsidRPr="006B17B8">
        <w:rPr>
          <w:rFonts w:asciiTheme="majorHAnsi" w:hAnsiTheme="majorHAnsi" w:cstheme="majorHAnsi"/>
          <w:sz w:val="18"/>
          <w:szCs w:val="18"/>
        </w:rPr>
        <w:t xml:space="preserve"> </w:t>
      </w:r>
      <w:r w:rsidR="00797A24" w:rsidRPr="006B17B8">
        <w:rPr>
          <w:rFonts w:asciiTheme="majorHAnsi" w:hAnsiTheme="majorHAnsi" w:cstheme="majorHAnsi"/>
          <w:sz w:val="18"/>
          <w:szCs w:val="18"/>
        </w:rPr>
        <w:t>See</w:t>
      </w:r>
      <w:r w:rsidRPr="006B17B8">
        <w:rPr>
          <w:rFonts w:asciiTheme="majorHAnsi" w:hAnsiTheme="majorHAnsi" w:cstheme="majorHAnsi"/>
          <w:sz w:val="18"/>
          <w:szCs w:val="18"/>
        </w:rPr>
        <w:t xml:space="preserve"> the comments of John Ruggie</w:t>
      </w:r>
      <w:r w:rsidR="00797A24" w:rsidRPr="006B17B8">
        <w:rPr>
          <w:rFonts w:asciiTheme="majorHAnsi" w:hAnsiTheme="majorHAnsi" w:cstheme="majorHAnsi"/>
          <w:sz w:val="18"/>
          <w:szCs w:val="18"/>
        </w:rPr>
        <w:t xml:space="preserve"> referred to in footnote 36</w:t>
      </w:r>
      <w:r w:rsidR="00BF25EA" w:rsidRPr="006B17B8">
        <w:rPr>
          <w:rFonts w:asciiTheme="majorHAnsi" w:hAnsiTheme="majorHAnsi" w:cstheme="majorHAnsi"/>
          <w:sz w:val="18"/>
          <w:szCs w:val="18"/>
        </w:rPr>
        <w:t xml:space="preserve"> regarding the imposition of “</w:t>
      </w:r>
      <w:r w:rsidR="00BF25EA" w:rsidRPr="006B17B8">
        <w:rPr>
          <w:rFonts w:asciiTheme="majorHAnsi" w:hAnsiTheme="majorHAnsi" w:cstheme="majorHAnsi"/>
          <w:i/>
          <w:iCs/>
          <w:sz w:val="18"/>
          <w:szCs w:val="18"/>
        </w:rPr>
        <w:t>strict conditions</w:t>
      </w:r>
      <w:r w:rsidR="00BF25EA" w:rsidRPr="006B17B8">
        <w:rPr>
          <w:rFonts w:asciiTheme="majorHAnsi" w:hAnsiTheme="majorHAnsi" w:cstheme="majorHAnsi"/>
          <w:sz w:val="18"/>
          <w:szCs w:val="18"/>
        </w:rPr>
        <w:t>”.</w:t>
      </w:r>
    </w:p>
  </w:footnote>
  <w:footnote w:id="39">
    <w:p w14:paraId="0C1C6449" w14:textId="4B23BCED" w:rsidR="000F79AD" w:rsidRPr="006B17B8" w:rsidRDefault="000F79AD" w:rsidP="008F3D3D">
      <w:pPr>
        <w:pStyle w:val="FootnoteText"/>
        <w:rPr>
          <w:rFonts w:asciiTheme="majorHAnsi" w:hAnsiTheme="majorHAnsi" w:cstheme="majorHAnsi"/>
          <w:sz w:val="18"/>
          <w:szCs w:val="18"/>
        </w:rPr>
      </w:pPr>
      <w:r w:rsidRPr="006B17B8">
        <w:rPr>
          <w:rStyle w:val="FootnoteReference"/>
          <w:rFonts w:asciiTheme="majorHAnsi" w:hAnsiTheme="majorHAnsi" w:cstheme="majorHAnsi"/>
          <w:sz w:val="18"/>
          <w:szCs w:val="18"/>
        </w:rPr>
        <w:footnoteRef/>
      </w:r>
      <w:r w:rsidRPr="006B17B8">
        <w:rPr>
          <w:rFonts w:asciiTheme="majorHAnsi" w:hAnsiTheme="majorHAnsi" w:cstheme="majorHAnsi"/>
          <w:sz w:val="18"/>
          <w:szCs w:val="18"/>
        </w:rPr>
        <w:t xml:space="preserve"> In this regard, we note the sustainable finance framework</w:t>
      </w:r>
      <w:r w:rsidR="007F3A22" w:rsidRPr="006B17B8">
        <w:rPr>
          <w:rFonts w:asciiTheme="majorHAnsi" w:hAnsiTheme="majorHAnsi" w:cstheme="majorHAnsi"/>
          <w:sz w:val="18"/>
          <w:szCs w:val="18"/>
        </w:rPr>
        <w:t xml:space="preserve"> recently</w:t>
      </w:r>
      <w:r w:rsidRPr="006B17B8">
        <w:rPr>
          <w:rFonts w:asciiTheme="majorHAnsi" w:hAnsiTheme="majorHAnsi" w:cstheme="majorHAnsi"/>
          <w:sz w:val="18"/>
          <w:szCs w:val="18"/>
        </w:rPr>
        <w:t xml:space="preserve"> introduced by the Bangko Sentral </w:t>
      </w:r>
      <w:r w:rsidR="008F3D3D" w:rsidRPr="006B17B8">
        <w:rPr>
          <w:rFonts w:asciiTheme="majorHAnsi" w:hAnsiTheme="majorHAnsi" w:cstheme="majorHAnsi"/>
          <w:sz w:val="18"/>
          <w:szCs w:val="18"/>
        </w:rPr>
        <w:t xml:space="preserve">ng </w:t>
      </w:r>
      <w:r w:rsidRPr="006B17B8">
        <w:rPr>
          <w:rFonts w:asciiTheme="majorHAnsi" w:hAnsiTheme="majorHAnsi" w:cstheme="majorHAnsi"/>
          <w:sz w:val="18"/>
          <w:szCs w:val="18"/>
        </w:rPr>
        <w:t>Pilipinas</w:t>
      </w:r>
      <w:r w:rsidR="007F3A22" w:rsidRPr="006B17B8">
        <w:rPr>
          <w:rFonts w:asciiTheme="majorHAnsi" w:hAnsiTheme="majorHAnsi" w:cstheme="majorHAnsi"/>
          <w:sz w:val="18"/>
          <w:szCs w:val="18"/>
        </w:rPr>
        <w:t xml:space="preserve"> and applicable to the banking sector in the Philippines</w:t>
      </w:r>
      <w:r w:rsidR="008F3D3D" w:rsidRPr="006B17B8">
        <w:rPr>
          <w:rFonts w:asciiTheme="majorHAnsi" w:hAnsiTheme="majorHAnsi" w:cstheme="majorHAnsi"/>
          <w:sz w:val="18"/>
          <w:szCs w:val="18"/>
        </w:rPr>
        <w:t>. Circular No. 1149 (Series of 2022) on the ‘</w:t>
      </w:r>
      <w:r w:rsidR="008F3D3D" w:rsidRPr="006B17B8">
        <w:rPr>
          <w:rFonts w:asciiTheme="majorHAnsi" w:hAnsiTheme="majorHAnsi" w:cstheme="majorHAnsi"/>
          <w:i/>
          <w:iCs/>
          <w:sz w:val="18"/>
          <w:szCs w:val="18"/>
        </w:rPr>
        <w:t>Guidelines on the Integration of Sustainability Principles in Investment Activities of Banks</w:t>
      </w:r>
      <w:r w:rsidR="008F3D3D" w:rsidRPr="006B17B8">
        <w:rPr>
          <w:rFonts w:asciiTheme="majorHAnsi" w:hAnsiTheme="majorHAnsi" w:cstheme="majorHAnsi"/>
          <w:sz w:val="18"/>
          <w:szCs w:val="18"/>
        </w:rPr>
        <w:t>’ requires banks to refrain from investing in companies engaged in greenwashing and to consider an exit strategy for sustainable investments with high environmental and social risks. See pp</w:t>
      </w:r>
      <w:r w:rsidR="00BF3B18" w:rsidRPr="006B17B8">
        <w:rPr>
          <w:rFonts w:asciiTheme="majorHAnsi" w:hAnsiTheme="majorHAnsi" w:cstheme="majorHAnsi"/>
          <w:sz w:val="18"/>
          <w:szCs w:val="18"/>
        </w:rPr>
        <w:t xml:space="preserve">. </w:t>
      </w:r>
      <w:r w:rsidR="008F3D3D" w:rsidRPr="006B17B8">
        <w:rPr>
          <w:rFonts w:asciiTheme="majorHAnsi" w:hAnsiTheme="majorHAnsi" w:cstheme="majorHAnsi"/>
          <w:sz w:val="18"/>
          <w:szCs w:val="18"/>
        </w:rPr>
        <w:t>3</w:t>
      </w:r>
      <w:r w:rsidR="00BF3B18" w:rsidRPr="006B17B8">
        <w:rPr>
          <w:rFonts w:asciiTheme="majorHAnsi" w:hAnsiTheme="majorHAnsi" w:cstheme="majorHAnsi"/>
          <w:sz w:val="18"/>
          <w:szCs w:val="18"/>
        </w:rPr>
        <w:t xml:space="preserve"> and </w:t>
      </w:r>
      <w:r w:rsidR="008F3D3D" w:rsidRPr="006B17B8">
        <w:rPr>
          <w:rFonts w:asciiTheme="majorHAnsi" w:hAnsiTheme="majorHAnsi" w:cstheme="majorHAnsi"/>
          <w:sz w:val="18"/>
          <w:szCs w:val="18"/>
        </w:rPr>
        <w:t xml:space="preserve">5 </w:t>
      </w:r>
      <w:hyperlink r:id="rId44" w:history="1">
        <w:r w:rsidR="008F3D3D" w:rsidRPr="006B17B8">
          <w:rPr>
            <w:rStyle w:val="Hyperlink"/>
            <w:rFonts w:asciiTheme="majorHAnsi" w:hAnsiTheme="majorHAnsi" w:cstheme="majorHAnsi"/>
            <w:sz w:val="18"/>
            <w:szCs w:val="18"/>
          </w:rPr>
          <w:t>here</w:t>
        </w:r>
      </w:hyperlink>
      <w:r w:rsidR="008F3D3D" w:rsidRPr="006B17B8">
        <w:rPr>
          <w:rFonts w:asciiTheme="majorHAnsi" w:hAnsiTheme="majorHAnsi" w:cstheme="majorHAnsi"/>
          <w:sz w:val="18"/>
          <w:szCs w:val="18"/>
        </w:rPr>
        <w:t xml:space="preserve">. </w:t>
      </w:r>
    </w:p>
  </w:footnote>
  <w:footnote w:id="40">
    <w:p w14:paraId="32A0EABF" w14:textId="77777777" w:rsidR="00C8774C" w:rsidRPr="006B17B8" w:rsidRDefault="00C8774C" w:rsidP="00C8774C">
      <w:pPr>
        <w:pStyle w:val="FootnoteText"/>
        <w:rPr>
          <w:rFonts w:asciiTheme="majorHAnsi" w:hAnsiTheme="majorHAnsi" w:cstheme="majorHAnsi"/>
          <w:sz w:val="18"/>
          <w:szCs w:val="18"/>
        </w:rPr>
      </w:pPr>
      <w:r w:rsidRPr="006B17B8">
        <w:rPr>
          <w:rStyle w:val="FootnoteReference"/>
          <w:rFonts w:asciiTheme="majorHAnsi" w:hAnsiTheme="majorHAnsi" w:cstheme="majorHAnsi"/>
          <w:sz w:val="18"/>
          <w:szCs w:val="18"/>
        </w:rPr>
        <w:footnoteRef/>
      </w:r>
      <w:r w:rsidRPr="006B17B8">
        <w:rPr>
          <w:rFonts w:asciiTheme="majorHAnsi" w:hAnsiTheme="majorHAnsi" w:cstheme="majorHAnsi"/>
          <w:sz w:val="18"/>
          <w:szCs w:val="18"/>
        </w:rPr>
        <w:t xml:space="preserve"> A useful exposition regarding the scale of bond capital and bondholder influence is provided in the IIGCC Net Zero Bondholder Stewardship Guidance, available </w:t>
      </w:r>
      <w:hyperlink r:id="rId45" w:history="1">
        <w:r w:rsidRPr="006B17B8">
          <w:rPr>
            <w:rStyle w:val="Hyperlink"/>
            <w:rFonts w:asciiTheme="majorHAnsi" w:hAnsiTheme="majorHAnsi" w:cstheme="majorHAnsi"/>
            <w:sz w:val="18"/>
            <w:szCs w:val="18"/>
          </w:rPr>
          <w:t>here</w:t>
        </w:r>
      </w:hyperlink>
      <w:r w:rsidRPr="006B17B8">
        <w:rPr>
          <w:rFonts w:asciiTheme="majorHAnsi" w:hAnsiTheme="majorHAnsi" w:cstheme="majorHAnsi"/>
          <w:sz w:val="18"/>
          <w:szCs w:val="18"/>
        </w:rPr>
        <w:t>, at p.4 onwards</w:t>
      </w:r>
    </w:p>
  </w:footnote>
  <w:footnote w:id="41">
    <w:p w14:paraId="1E4CCB25" w14:textId="59DD99C0" w:rsidR="00C8774C" w:rsidRPr="006B17B8" w:rsidRDefault="00C8774C">
      <w:pPr>
        <w:pStyle w:val="FootnoteText"/>
        <w:rPr>
          <w:rFonts w:asciiTheme="majorHAnsi" w:hAnsiTheme="majorHAnsi" w:cstheme="majorHAnsi"/>
          <w:sz w:val="18"/>
          <w:szCs w:val="18"/>
        </w:rPr>
      </w:pPr>
      <w:r w:rsidRPr="006B17B8">
        <w:rPr>
          <w:rStyle w:val="FootnoteReference"/>
          <w:rFonts w:asciiTheme="majorHAnsi" w:hAnsiTheme="majorHAnsi" w:cstheme="majorHAnsi"/>
          <w:sz w:val="18"/>
          <w:szCs w:val="18"/>
        </w:rPr>
        <w:footnoteRef/>
      </w:r>
      <w:r w:rsidRPr="006B17B8">
        <w:rPr>
          <w:rFonts w:asciiTheme="majorHAnsi" w:hAnsiTheme="majorHAnsi" w:cstheme="majorHAnsi"/>
          <w:sz w:val="18"/>
          <w:szCs w:val="18"/>
        </w:rPr>
        <w:t xml:space="preserve"> Ibid.</w:t>
      </w:r>
    </w:p>
  </w:footnote>
  <w:footnote w:id="42">
    <w:p w14:paraId="700D2CEB" w14:textId="1B90520D" w:rsidR="00211094" w:rsidRPr="006B17B8" w:rsidRDefault="00211094">
      <w:pPr>
        <w:pStyle w:val="FootnoteText"/>
        <w:rPr>
          <w:rFonts w:asciiTheme="majorHAnsi" w:hAnsiTheme="majorHAnsi" w:cstheme="majorHAnsi"/>
          <w:sz w:val="18"/>
          <w:szCs w:val="18"/>
        </w:rPr>
      </w:pPr>
      <w:r w:rsidRPr="006B17B8">
        <w:rPr>
          <w:rStyle w:val="FootnoteReference"/>
          <w:rFonts w:asciiTheme="majorHAnsi" w:hAnsiTheme="majorHAnsi" w:cstheme="majorHAnsi"/>
          <w:sz w:val="18"/>
          <w:szCs w:val="18"/>
        </w:rPr>
        <w:footnoteRef/>
      </w:r>
      <w:r w:rsidRPr="006B17B8">
        <w:rPr>
          <w:rFonts w:asciiTheme="majorHAnsi" w:hAnsiTheme="majorHAnsi" w:cstheme="majorHAnsi"/>
          <w:sz w:val="18"/>
          <w:szCs w:val="18"/>
        </w:rPr>
        <w:t xml:space="preserve"> </w:t>
      </w:r>
      <w:r w:rsidR="008E2FB6" w:rsidRPr="006B17B8">
        <w:rPr>
          <w:rFonts w:asciiTheme="majorHAnsi" w:hAnsiTheme="majorHAnsi" w:cstheme="majorHAnsi"/>
          <w:sz w:val="18"/>
          <w:szCs w:val="18"/>
        </w:rPr>
        <w:t>Hoepner, A. et al.</w:t>
      </w:r>
      <w:r w:rsidR="00007193" w:rsidRPr="006B17B8">
        <w:rPr>
          <w:rFonts w:asciiTheme="majorHAnsi" w:hAnsiTheme="majorHAnsi" w:cstheme="majorHAnsi"/>
          <w:sz w:val="18"/>
          <w:szCs w:val="18"/>
        </w:rPr>
        <w:t>,</w:t>
      </w:r>
      <w:r w:rsidR="008E2FB6" w:rsidRPr="006B17B8">
        <w:rPr>
          <w:rFonts w:asciiTheme="majorHAnsi" w:hAnsiTheme="majorHAnsi" w:cstheme="majorHAnsi"/>
          <w:sz w:val="18"/>
          <w:szCs w:val="18"/>
        </w:rPr>
        <w:t xml:space="preserve"> </w:t>
      </w:r>
      <w:r w:rsidR="00C12B62" w:rsidRPr="006B17B8">
        <w:rPr>
          <w:rFonts w:asciiTheme="majorHAnsi" w:hAnsiTheme="majorHAnsi" w:cstheme="majorHAnsi"/>
          <w:i/>
          <w:iCs/>
          <w:sz w:val="18"/>
          <w:szCs w:val="18"/>
        </w:rPr>
        <w:t>Exit vs Voice vs Denial of (Re)Entry</w:t>
      </w:r>
      <w:r w:rsidR="00692AC6" w:rsidRPr="006B17B8">
        <w:rPr>
          <w:rFonts w:asciiTheme="majorHAnsi" w:hAnsiTheme="majorHAnsi" w:cstheme="majorHAnsi"/>
          <w:i/>
          <w:iCs/>
          <w:sz w:val="18"/>
          <w:szCs w:val="18"/>
        </w:rPr>
        <w:t xml:space="preserve">: </w:t>
      </w:r>
      <w:r w:rsidR="008E6091" w:rsidRPr="006B17B8">
        <w:rPr>
          <w:rFonts w:asciiTheme="majorHAnsi" w:hAnsiTheme="majorHAnsi" w:cstheme="majorHAnsi"/>
          <w:i/>
          <w:iCs/>
          <w:sz w:val="18"/>
          <w:szCs w:val="18"/>
        </w:rPr>
        <w:t>Assessing Investor Impact Mechanisms on Corporate Climate Transition</w:t>
      </w:r>
      <w:r w:rsidR="00C12B62" w:rsidRPr="006B17B8">
        <w:rPr>
          <w:rFonts w:asciiTheme="majorHAnsi" w:hAnsiTheme="majorHAnsi" w:cstheme="majorHAnsi"/>
          <w:sz w:val="18"/>
          <w:szCs w:val="18"/>
        </w:rPr>
        <w:t xml:space="preserve">, available </w:t>
      </w:r>
      <w:hyperlink r:id="rId46" w:history="1">
        <w:r w:rsidR="00C12B62" w:rsidRPr="006B17B8">
          <w:rPr>
            <w:rStyle w:val="Hyperlink"/>
            <w:rFonts w:asciiTheme="majorHAnsi" w:hAnsiTheme="majorHAnsi" w:cstheme="majorHAnsi"/>
            <w:sz w:val="18"/>
            <w:szCs w:val="18"/>
          </w:rPr>
          <w:t>here</w:t>
        </w:r>
      </w:hyperlink>
    </w:p>
  </w:footnote>
  <w:footnote w:id="43">
    <w:p w14:paraId="4F57833E" w14:textId="2BD88883" w:rsidR="00D85BC8" w:rsidRPr="006B17B8" w:rsidRDefault="00D85BC8">
      <w:pPr>
        <w:pStyle w:val="FootnoteText"/>
        <w:rPr>
          <w:rFonts w:asciiTheme="majorHAnsi" w:hAnsiTheme="majorHAnsi" w:cstheme="majorHAnsi"/>
          <w:sz w:val="18"/>
          <w:szCs w:val="18"/>
        </w:rPr>
      </w:pPr>
      <w:r w:rsidRPr="006B17B8">
        <w:rPr>
          <w:rStyle w:val="FootnoteReference"/>
          <w:rFonts w:asciiTheme="majorHAnsi" w:hAnsiTheme="majorHAnsi" w:cstheme="majorHAnsi"/>
          <w:sz w:val="18"/>
          <w:szCs w:val="18"/>
        </w:rPr>
        <w:footnoteRef/>
      </w:r>
      <w:r w:rsidRPr="006B17B8">
        <w:rPr>
          <w:rFonts w:asciiTheme="majorHAnsi" w:hAnsiTheme="majorHAnsi" w:cstheme="majorHAnsi"/>
          <w:sz w:val="18"/>
          <w:szCs w:val="18"/>
        </w:rPr>
        <w:t xml:space="preserve"> </w:t>
      </w:r>
      <w:r w:rsidR="00CE509B" w:rsidRPr="006B17B8">
        <w:rPr>
          <w:rFonts w:asciiTheme="majorHAnsi" w:hAnsiTheme="majorHAnsi" w:cstheme="majorHAnsi"/>
          <w:sz w:val="18"/>
          <w:szCs w:val="18"/>
        </w:rPr>
        <w:t>Ibid. at p.</w:t>
      </w:r>
      <w:r w:rsidR="00CF0192" w:rsidRPr="006B17B8">
        <w:rPr>
          <w:rFonts w:asciiTheme="majorHAnsi" w:hAnsiTheme="majorHAnsi" w:cstheme="majorHAnsi"/>
          <w:sz w:val="18"/>
          <w:szCs w:val="18"/>
        </w:rPr>
        <w:t xml:space="preserve">12 and </w:t>
      </w:r>
      <w:r w:rsidR="000B76DD" w:rsidRPr="006B17B8">
        <w:rPr>
          <w:rFonts w:asciiTheme="majorHAnsi" w:hAnsiTheme="majorHAnsi" w:cstheme="majorHAnsi"/>
          <w:sz w:val="18"/>
          <w:szCs w:val="18"/>
        </w:rPr>
        <w:t xml:space="preserve">IIGCC </w:t>
      </w:r>
      <w:r w:rsidR="000B76DD" w:rsidRPr="006B17B8">
        <w:rPr>
          <w:rFonts w:asciiTheme="majorHAnsi" w:hAnsiTheme="majorHAnsi" w:cstheme="majorHAnsi"/>
          <w:i/>
          <w:iCs/>
          <w:sz w:val="18"/>
          <w:szCs w:val="18"/>
        </w:rPr>
        <w:t>Net Zero Bondholder Stewardship Guidance</w:t>
      </w:r>
      <w:r w:rsidR="000B76DD" w:rsidRPr="006B17B8">
        <w:rPr>
          <w:rFonts w:asciiTheme="majorHAnsi" w:hAnsiTheme="majorHAnsi" w:cstheme="majorHAnsi"/>
          <w:sz w:val="18"/>
          <w:szCs w:val="18"/>
        </w:rPr>
        <w:t xml:space="preserve">, available </w:t>
      </w:r>
      <w:hyperlink r:id="rId47" w:history="1">
        <w:r w:rsidR="000B76DD" w:rsidRPr="006B17B8">
          <w:rPr>
            <w:rStyle w:val="Hyperlink"/>
            <w:rFonts w:asciiTheme="majorHAnsi" w:hAnsiTheme="majorHAnsi" w:cstheme="majorHAnsi"/>
            <w:sz w:val="18"/>
            <w:szCs w:val="18"/>
          </w:rPr>
          <w:t>here</w:t>
        </w:r>
      </w:hyperlink>
      <w:r w:rsidR="000B76DD" w:rsidRPr="006B17B8">
        <w:rPr>
          <w:rFonts w:asciiTheme="majorHAnsi" w:hAnsiTheme="majorHAnsi" w:cstheme="majorHAnsi"/>
          <w:sz w:val="18"/>
          <w:szCs w:val="18"/>
        </w:rPr>
        <w:t>, at p.</w:t>
      </w:r>
      <w:r w:rsidR="00CE509B" w:rsidRPr="006B17B8">
        <w:rPr>
          <w:rFonts w:asciiTheme="majorHAnsi" w:hAnsiTheme="majorHAnsi" w:cstheme="majorHAnsi"/>
          <w:sz w:val="18"/>
          <w:szCs w:val="18"/>
        </w:rPr>
        <w:t>16-17</w:t>
      </w:r>
    </w:p>
  </w:footnote>
  <w:footnote w:id="44">
    <w:p w14:paraId="1BD685CB" w14:textId="326A135B" w:rsidR="00307F9A" w:rsidRPr="006B17B8" w:rsidRDefault="00307F9A">
      <w:pPr>
        <w:pStyle w:val="FootnoteText"/>
        <w:rPr>
          <w:rFonts w:asciiTheme="majorHAnsi" w:hAnsiTheme="majorHAnsi" w:cstheme="majorHAnsi"/>
          <w:sz w:val="18"/>
          <w:szCs w:val="18"/>
        </w:rPr>
      </w:pPr>
      <w:r w:rsidRPr="006B17B8">
        <w:rPr>
          <w:rStyle w:val="FootnoteReference"/>
          <w:rFonts w:asciiTheme="majorHAnsi" w:hAnsiTheme="majorHAnsi" w:cstheme="majorHAnsi"/>
          <w:sz w:val="18"/>
          <w:szCs w:val="18"/>
        </w:rPr>
        <w:footnoteRef/>
      </w:r>
      <w:r w:rsidRPr="006B17B8">
        <w:rPr>
          <w:rFonts w:asciiTheme="majorHAnsi" w:hAnsiTheme="majorHAnsi" w:cstheme="majorHAnsi"/>
          <w:sz w:val="18"/>
          <w:szCs w:val="18"/>
        </w:rPr>
        <w:t xml:space="preserve"> UN PRI, </w:t>
      </w:r>
      <w:r w:rsidRPr="006B17B8">
        <w:rPr>
          <w:rFonts w:asciiTheme="majorHAnsi" w:hAnsiTheme="majorHAnsi" w:cstheme="majorHAnsi"/>
          <w:i/>
          <w:iCs/>
          <w:sz w:val="18"/>
          <w:szCs w:val="18"/>
        </w:rPr>
        <w:t>ESG Engagement for sovereign debt investors</w:t>
      </w:r>
      <w:r w:rsidRPr="006B17B8">
        <w:rPr>
          <w:rFonts w:asciiTheme="majorHAnsi" w:hAnsiTheme="majorHAnsi" w:cstheme="majorHAnsi"/>
          <w:sz w:val="18"/>
          <w:szCs w:val="18"/>
        </w:rPr>
        <w:t xml:space="preserve">, available </w:t>
      </w:r>
      <w:hyperlink r:id="rId48" w:history="1">
        <w:r w:rsidRPr="006B17B8">
          <w:rPr>
            <w:rStyle w:val="Hyperlink"/>
            <w:rFonts w:asciiTheme="majorHAnsi" w:hAnsiTheme="majorHAnsi" w:cstheme="majorHAnsi"/>
            <w:sz w:val="18"/>
            <w:szCs w:val="18"/>
          </w:rPr>
          <w:t>here</w:t>
        </w:r>
      </w:hyperlink>
    </w:p>
  </w:footnote>
  <w:footnote w:id="45">
    <w:p w14:paraId="6B464E7D" w14:textId="2558C257" w:rsidR="003D0FCD" w:rsidRPr="006B17B8" w:rsidRDefault="003D0FCD">
      <w:pPr>
        <w:pStyle w:val="FootnoteText"/>
        <w:rPr>
          <w:rFonts w:asciiTheme="majorHAnsi" w:hAnsiTheme="majorHAnsi" w:cstheme="majorHAnsi"/>
          <w:sz w:val="18"/>
          <w:szCs w:val="18"/>
        </w:rPr>
      </w:pPr>
      <w:r w:rsidRPr="006B17B8">
        <w:rPr>
          <w:rStyle w:val="FootnoteReference"/>
          <w:rFonts w:asciiTheme="majorHAnsi" w:hAnsiTheme="majorHAnsi" w:cstheme="majorHAnsi"/>
          <w:sz w:val="18"/>
          <w:szCs w:val="18"/>
        </w:rPr>
        <w:footnoteRef/>
      </w:r>
      <w:r w:rsidRPr="006B17B8">
        <w:rPr>
          <w:rFonts w:asciiTheme="majorHAnsi" w:hAnsiTheme="majorHAnsi" w:cstheme="majorHAnsi"/>
          <w:sz w:val="18"/>
          <w:szCs w:val="18"/>
        </w:rPr>
        <w:t xml:space="preserve"> For example, see investor commentary</w:t>
      </w:r>
      <w:r w:rsidR="000C20C6" w:rsidRPr="006B17B8">
        <w:rPr>
          <w:rFonts w:asciiTheme="majorHAnsi" w:hAnsiTheme="majorHAnsi" w:cstheme="majorHAnsi"/>
          <w:sz w:val="18"/>
          <w:szCs w:val="18"/>
        </w:rPr>
        <w:t xml:space="preserve"> (from Aviva)</w:t>
      </w:r>
      <w:r w:rsidRPr="006B17B8">
        <w:rPr>
          <w:rFonts w:asciiTheme="majorHAnsi" w:hAnsiTheme="majorHAnsi" w:cstheme="majorHAnsi"/>
          <w:sz w:val="18"/>
          <w:szCs w:val="18"/>
        </w:rPr>
        <w:t xml:space="preserve"> o</w:t>
      </w:r>
      <w:r w:rsidR="000C20C6" w:rsidRPr="006B17B8">
        <w:rPr>
          <w:rFonts w:asciiTheme="majorHAnsi" w:hAnsiTheme="majorHAnsi" w:cstheme="majorHAnsi"/>
          <w:sz w:val="18"/>
          <w:szCs w:val="18"/>
        </w:rPr>
        <w:t>n</w:t>
      </w:r>
      <w:r w:rsidRPr="006B17B8">
        <w:rPr>
          <w:rFonts w:asciiTheme="majorHAnsi" w:hAnsiTheme="majorHAnsi" w:cstheme="majorHAnsi"/>
          <w:sz w:val="18"/>
          <w:szCs w:val="18"/>
        </w:rPr>
        <w:t xml:space="preserve"> the untapped potential </w:t>
      </w:r>
      <w:r w:rsidR="000C20C6" w:rsidRPr="006B17B8">
        <w:rPr>
          <w:rFonts w:asciiTheme="majorHAnsi" w:hAnsiTheme="majorHAnsi" w:cstheme="majorHAnsi"/>
          <w:sz w:val="18"/>
          <w:szCs w:val="18"/>
        </w:rPr>
        <w:t xml:space="preserve">of bondholder engagement </w:t>
      </w:r>
      <w:r w:rsidRPr="006B17B8">
        <w:rPr>
          <w:rFonts w:asciiTheme="majorHAnsi" w:hAnsiTheme="majorHAnsi" w:cstheme="majorHAnsi"/>
          <w:sz w:val="18"/>
          <w:szCs w:val="18"/>
        </w:rPr>
        <w:t xml:space="preserve">commentary </w:t>
      </w:r>
      <w:hyperlink r:id="rId49" w:history="1">
        <w:r w:rsidR="000C20C6" w:rsidRPr="006B17B8">
          <w:rPr>
            <w:rStyle w:val="Hyperlink"/>
            <w:rFonts w:asciiTheme="majorHAnsi" w:hAnsiTheme="majorHAnsi" w:cstheme="majorHAnsi"/>
            <w:sz w:val="18"/>
            <w:szCs w:val="18"/>
          </w:rPr>
          <w:t>here</w:t>
        </w:r>
      </w:hyperlink>
      <w:r w:rsidR="000C20C6" w:rsidRPr="006B17B8">
        <w:rPr>
          <w:rFonts w:asciiTheme="majorHAnsi" w:hAnsiTheme="majorHAnsi" w:cstheme="majorHAnsi"/>
          <w:sz w:val="18"/>
          <w:szCs w:val="18"/>
        </w:rPr>
        <w:t xml:space="preserve"> </w:t>
      </w:r>
    </w:p>
  </w:footnote>
  <w:footnote w:id="46">
    <w:p w14:paraId="3A4C6C6D" w14:textId="74142CA6" w:rsidR="00D06EAC" w:rsidRPr="006B17B8" w:rsidRDefault="00D06EAC">
      <w:pPr>
        <w:pStyle w:val="FootnoteText"/>
        <w:rPr>
          <w:rFonts w:asciiTheme="majorHAnsi" w:hAnsiTheme="majorHAnsi" w:cstheme="majorHAnsi"/>
          <w:sz w:val="18"/>
          <w:szCs w:val="18"/>
        </w:rPr>
      </w:pPr>
      <w:r w:rsidRPr="006B17B8">
        <w:rPr>
          <w:rStyle w:val="FootnoteReference"/>
          <w:rFonts w:asciiTheme="majorHAnsi" w:hAnsiTheme="majorHAnsi" w:cstheme="majorHAnsi"/>
          <w:sz w:val="18"/>
          <w:szCs w:val="18"/>
        </w:rPr>
        <w:footnoteRef/>
      </w:r>
      <w:r w:rsidRPr="006B17B8">
        <w:rPr>
          <w:rFonts w:asciiTheme="majorHAnsi" w:hAnsiTheme="majorHAnsi" w:cstheme="majorHAnsi"/>
          <w:sz w:val="18"/>
          <w:szCs w:val="18"/>
        </w:rPr>
        <w:t xml:space="preserve"> IIGCC </w:t>
      </w:r>
      <w:r w:rsidRPr="006B17B8">
        <w:rPr>
          <w:rFonts w:asciiTheme="majorHAnsi" w:hAnsiTheme="majorHAnsi" w:cstheme="majorHAnsi"/>
          <w:i/>
          <w:iCs/>
          <w:sz w:val="18"/>
          <w:szCs w:val="18"/>
        </w:rPr>
        <w:t>Net Zero Bondholder Stewardship Guidance</w:t>
      </w:r>
      <w:r w:rsidRPr="006B17B8">
        <w:rPr>
          <w:rFonts w:asciiTheme="majorHAnsi" w:hAnsiTheme="majorHAnsi" w:cstheme="majorHAnsi"/>
          <w:sz w:val="18"/>
          <w:szCs w:val="18"/>
        </w:rPr>
        <w:t xml:space="preserve">, available </w:t>
      </w:r>
      <w:hyperlink r:id="rId50" w:history="1">
        <w:r w:rsidRPr="006B17B8">
          <w:rPr>
            <w:rStyle w:val="Hyperlink"/>
            <w:rFonts w:asciiTheme="majorHAnsi" w:hAnsiTheme="majorHAnsi" w:cstheme="majorHAnsi"/>
            <w:sz w:val="18"/>
            <w:szCs w:val="18"/>
          </w:rPr>
          <w:t>here</w:t>
        </w:r>
      </w:hyperlink>
      <w:r w:rsidRPr="006B17B8">
        <w:rPr>
          <w:rFonts w:asciiTheme="majorHAnsi" w:hAnsiTheme="majorHAnsi" w:cstheme="majorHAnsi"/>
          <w:sz w:val="18"/>
          <w:szCs w:val="18"/>
        </w:rPr>
        <w:t>, at p.</w:t>
      </w:r>
      <w:r w:rsidR="00281866" w:rsidRPr="006B17B8">
        <w:rPr>
          <w:rFonts w:asciiTheme="majorHAnsi" w:hAnsiTheme="majorHAnsi" w:cstheme="majorHAnsi"/>
          <w:sz w:val="18"/>
          <w:szCs w:val="18"/>
        </w:rPr>
        <w:t>17</w:t>
      </w:r>
    </w:p>
  </w:footnote>
  <w:footnote w:id="47">
    <w:p w14:paraId="74BA0A48" w14:textId="7FACAF9C" w:rsidR="00281866" w:rsidRPr="006B17B8" w:rsidRDefault="00281866">
      <w:pPr>
        <w:pStyle w:val="FootnoteText"/>
        <w:rPr>
          <w:rFonts w:asciiTheme="majorHAnsi" w:hAnsiTheme="majorHAnsi" w:cstheme="majorHAnsi"/>
          <w:sz w:val="18"/>
          <w:szCs w:val="18"/>
        </w:rPr>
      </w:pPr>
      <w:r w:rsidRPr="006B17B8">
        <w:rPr>
          <w:rStyle w:val="FootnoteReference"/>
          <w:rFonts w:asciiTheme="majorHAnsi" w:hAnsiTheme="majorHAnsi" w:cstheme="majorHAnsi"/>
          <w:sz w:val="18"/>
          <w:szCs w:val="18"/>
        </w:rPr>
        <w:footnoteRef/>
      </w:r>
      <w:r w:rsidRPr="006B17B8">
        <w:rPr>
          <w:rFonts w:asciiTheme="majorHAnsi" w:hAnsiTheme="majorHAnsi" w:cstheme="majorHAnsi"/>
          <w:sz w:val="18"/>
          <w:szCs w:val="18"/>
        </w:rPr>
        <w:t xml:space="preserve"> </w:t>
      </w:r>
      <w:r w:rsidR="00007193" w:rsidRPr="006B17B8">
        <w:rPr>
          <w:rFonts w:asciiTheme="majorHAnsi" w:hAnsiTheme="majorHAnsi" w:cstheme="majorHAnsi"/>
          <w:sz w:val="18"/>
          <w:szCs w:val="18"/>
        </w:rPr>
        <w:t xml:space="preserve">Curtis, Q. et al., </w:t>
      </w:r>
      <w:r w:rsidR="00007193" w:rsidRPr="006B17B8">
        <w:rPr>
          <w:rFonts w:asciiTheme="majorHAnsi" w:hAnsiTheme="majorHAnsi" w:cstheme="majorHAnsi"/>
          <w:i/>
          <w:iCs/>
          <w:sz w:val="18"/>
          <w:szCs w:val="18"/>
        </w:rPr>
        <w:t>Green Bonds Empty Promises</w:t>
      </w:r>
      <w:r w:rsidR="00007193" w:rsidRPr="006B17B8">
        <w:rPr>
          <w:rFonts w:asciiTheme="majorHAnsi" w:hAnsiTheme="majorHAnsi" w:cstheme="majorHAnsi"/>
          <w:sz w:val="18"/>
          <w:szCs w:val="18"/>
        </w:rPr>
        <w:t xml:space="preserve">, available </w:t>
      </w:r>
      <w:hyperlink r:id="rId51" w:history="1">
        <w:r w:rsidR="00007193" w:rsidRPr="006B17B8">
          <w:rPr>
            <w:rStyle w:val="Hyperlink"/>
            <w:rFonts w:asciiTheme="majorHAnsi" w:hAnsiTheme="majorHAnsi" w:cstheme="majorHAnsi"/>
            <w:sz w:val="18"/>
            <w:szCs w:val="18"/>
          </w:rPr>
          <w:t>here</w:t>
        </w:r>
      </w:hyperlink>
      <w:r w:rsidR="00007193" w:rsidRPr="006B17B8">
        <w:rPr>
          <w:rFonts w:asciiTheme="majorHAnsi" w:hAnsiTheme="majorHAnsi" w:cstheme="majorHAnsi"/>
          <w:sz w:val="18"/>
          <w:szCs w:val="18"/>
        </w:rPr>
        <w:t xml:space="preserve">, </w:t>
      </w:r>
      <w:r w:rsidR="00DC0038" w:rsidRPr="006B17B8">
        <w:rPr>
          <w:rFonts w:asciiTheme="majorHAnsi" w:hAnsiTheme="majorHAnsi" w:cstheme="majorHAnsi"/>
          <w:sz w:val="18"/>
          <w:szCs w:val="18"/>
        </w:rPr>
        <w:t xml:space="preserve">including </w:t>
      </w:r>
      <w:r w:rsidR="00007193" w:rsidRPr="006B17B8">
        <w:rPr>
          <w:rFonts w:asciiTheme="majorHAnsi" w:hAnsiTheme="majorHAnsi" w:cstheme="majorHAnsi"/>
          <w:sz w:val="18"/>
          <w:szCs w:val="18"/>
        </w:rPr>
        <w:t>at p.</w:t>
      </w:r>
      <w:r w:rsidR="00DC0038" w:rsidRPr="006B17B8">
        <w:rPr>
          <w:rFonts w:asciiTheme="majorHAnsi" w:hAnsiTheme="majorHAnsi" w:cstheme="majorHAnsi"/>
          <w:sz w:val="18"/>
          <w:szCs w:val="18"/>
        </w:rPr>
        <w:t>42</w:t>
      </w:r>
      <w:r w:rsidR="0021325A" w:rsidRPr="006B17B8">
        <w:rPr>
          <w:rFonts w:asciiTheme="majorHAnsi" w:hAnsiTheme="majorHAnsi" w:cstheme="majorHAnsi"/>
          <w:sz w:val="18"/>
          <w:szCs w:val="18"/>
        </w:rPr>
        <w:t xml:space="preserve">, and Corke et al., </w:t>
      </w:r>
      <w:r w:rsidR="0021325A" w:rsidRPr="006B17B8">
        <w:rPr>
          <w:rFonts w:asciiTheme="majorHAnsi" w:hAnsiTheme="majorHAnsi" w:cstheme="majorHAnsi"/>
          <w:i/>
          <w:iCs/>
          <w:sz w:val="18"/>
          <w:szCs w:val="18"/>
        </w:rPr>
        <w:t>Green Bonds Series: Part 4 - When ‘Green’ Bonds go Brown</w:t>
      </w:r>
      <w:r w:rsidR="0021325A" w:rsidRPr="006B17B8">
        <w:rPr>
          <w:rFonts w:asciiTheme="majorHAnsi" w:hAnsiTheme="majorHAnsi" w:cstheme="majorHAnsi"/>
          <w:sz w:val="18"/>
          <w:szCs w:val="18"/>
        </w:rPr>
        <w:t xml:space="preserve">, </w:t>
      </w:r>
      <w:hyperlink r:id="rId52" w:history="1">
        <w:r w:rsidR="0021325A" w:rsidRPr="006B17B8">
          <w:rPr>
            <w:rStyle w:val="Hyperlink"/>
            <w:rFonts w:asciiTheme="majorHAnsi" w:hAnsiTheme="majorHAnsi" w:cstheme="majorHAnsi"/>
            <w:sz w:val="18"/>
            <w:szCs w:val="18"/>
          </w:rPr>
          <w:t>Lexology October 17, 2019</w:t>
        </w:r>
      </w:hyperlink>
      <w:r w:rsidR="00007193" w:rsidRPr="006B17B8">
        <w:rPr>
          <w:rFonts w:asciiTheme="majorHAnsi" w:hAnsiTheme="majorHAnsi" w:cstheme="majorHAnsi"/>
          <w:sz w:val="18"/>
          <w:szCs w:val="18"/>
        </w:rPr>
        <w:t xml:space="preserve"> </w:t>
      </w:r>
    </w:p>
  </w:footnote>
  <w:footnote w:id="48">
    <w:p w14:paraId="0C63EE73" w14:textId="2FFBE243" w:rsidR="00EC6342" w:rsidRPr="006B17B8" w:rsidRDefault="00EC6342">
      <w:pPr>
        <w:pStyle w:val="FootnoteText"/>
        <w:rPr>
          <w:rFonts w:asciiTheme="majorHAnsi" w:hAnsiTheme="majorHAnsi" w:cstheme="majorHAnsi"/>
          <w:sz w:val="18"/>
          <w:szCs w:val="18"/>
        </w:rPr>
      </w:pPr>
      <w:r w:rsidRPr="006B17B8">
        <w:rPr>
          <w:rStyle w:val="FootnoteReference"/>
          <w:rFonts w:asciiTheme="majorHAnsi" w:hAnsiTheme="majorHAnsi" w:cstheme="majorHAnsi"/>
          <w:sz w:val="18"/>
          <w:szCs w:val="18"/>
        </w:rPr>
        <w:footnoteRef/>
      </w:r>
      <w:r w:rsidRPr="006B17B8">
        <w:rPr>
          <w:rFonts w:asciiTheme="majorHAnsi" w:hAnsiTheme="majorHAnsi" w:cstheme="majorHAnsi"/>
          <w:sz w:val="18"/>
          <w:szCs w:val="18"/>
        </w:rPr>
        <w:t xml:space="preserve"> See p.19</w:t>
      </w:r>
      <w:r w:rsidR="00BE3C80" w:rsidRPr="006B17B8">
        <w:rPr>
          <w:rFonts w:asciiTheme="majorHAnsi" w:hAnsiTheme="majorHAnsi" w:cstheme="majorHAnsi"/>
          <w:sz w:val="18"/>
          <w:szCs w:val="18"/>
        </w:rPr>
        <w:t>-21</w:t>
      </w:r>
      <w:r w:rsidRPr="006B17B8">
        <w:rPr>
          <w:rFonts w:asciiTheme="majorHAnsi" w:hAnsiTheme="majorHAnsi" w:cstheme="majorHAnsi"/>
          <w:sz w:val="18"/>
          <w:szCs w:val="18"/>
        </w:rPr>
        <w:t xml:space="preserve"> of the Investor Alliance for Human Rights </w:t>
      </w:r>
      <w:hyperlink r:id="rId53" w:history="1">
        <w:r w:rsidRPr="006B17B8">
          <w:rPr>
            <w:rStyle w:val="Hyperlink"/>
            <w:rFonts w:asciiTheme="majorHAnsi" w:hAnsiTheme="majorHAnsi" w:cstheme="majorHAnsi"/>
            <w:i/>
            <w:iCs/>
            <w:sz w:val="18"/>
            <w:szCs w:val="18"/>
          </w:rPr>
          <w:t>Investor Toolkit on Human Rights</w:t>
        </w:r>
      </w:hyperlink>
      <w:r w:rsidRPr="006B17B8">
        <w:rPr>
          <w:rFonts w:asciiTheme="majorHAnsi" w:hAnsiTheme="majorHAnsi" w:cstheme="majorHAnsi"/>
          <w:sz w:val="18"/>
          <w:szCs w:val="18"/>
        </w:rPr>
        <w:t>.</w:t>
      </w:r>
    </w:p>
  </w:footnote>
  <w:footnote w:id="49">
    <w:p w14:paraId="7B2D3E61" w14:textId="4BDBB122" w:rsidR="00D65634" w:rsidRPr="006B17B8" w:rsidRDefault="00D65634" w:rsidP="005C579E">
      <w:pPr>
        <w:pStyle w:val="FootnoteText"/>
        <w:rPr>
          <w:rFonts w:asciiTheme="majorHAnsi" w:hAnsiTheme="majorHAnsi" w:cstheme="majorHAnsi"/>
          <w:sz w:val="18"/>
          <w:szCs w:val="18"/>
        </w:rPr>
      </w:pPr>
      <w:r w:rsidRPr="006B17B8">
        <w:rPr>
          <w:rStyle w:val="FootnoteReference"/>
          <w:rFonts w:asciiTheme="majorHAnsi" w:hAnsiTheme="majorHAnsi" w:cstheme="majorHAnsi"/>
          <w:sz w:val="18"/>
          <w:szCs w:val="18"/>
        </w:rPr>
        <w:footnoteRef/>
      </w:r>
      <w:r w:rsidRPr="006B17B8">
        <w:rPr>
          <w:rFonts w:asciiTheme="majorHAnsi" w:hAnsiTheme="majorHAnsi" w:cstheme="majorHAnsi"/>
          <w:sz w:val="18"/>
          <w:szCs w:val="18"/>
        </w:rPr>
        <w:t xml:space="preserve"> See p. 21-25 of the Investor Alliance for Human Rights </w:t>
      </w:r>
      <w:hyperlink r:id="rId54" w:history="1">
        <w:r w:rsidRPr="006B17B8">
          <w:rPr>
            <w:rStyle w:val="Hyperlink"/>
            <w:rFonts w:asciiTheme="majorHAnsi" w:hAnsiTheme="majorHAnsi" w:cstheme="majorHAnsi"/>
            <w:i/>
            <w:iCs/>
            <w:sz w:val="18"/>
            <w:szCs w:val="18"/>
          </w:rPr>
          <w:t>Investor Toolkit on Human Rights</w:t>
        </w:r>
      </w:hyperlink>
      <w:r w:rsidRPr="006B17B8">
        <w:rPr>
          <w:rFonts w:asciiTheme="majorHAnsi" w:hAnsiTheme="majorHAnsi" w:cstheme="majorHAnsi"/>
          <w:sz w:val="18"/>
          <w:szCs w:val="18"/>
        </w:rPr>
        <w:t>.</w:t>
      </w:r>
      <w:r w:rsidR="002007FD" w:rsidRPr="006B17B8">
        <w:rPr>
          <w:rFonts w:asciiTheme="majorHAnsi" w:hAnsiTheme="majorHAnsi" w:cstheme="majorHAnsi"/>
          <w:sz w:val="18"/>
          <w:szCs w:val="18"/>
        </w:rPr>
        <w:t xml:space="preserve"> See also </w:t>
      </w:r>
      <w:r w:rsidR="0077026B" w:rsidRPr="006B17B8">
        <w:rPr>
          <w:rFonts w:asciiTheme="majorHAnsi" w:hAnsiTheme="majorHAnsi" w:cstheme="majorHAnsi"/>
          <w:sz w:val="18"/>
          <w:szCs w:val="18"/>
        </w:rPr>
        <w:t>p.13 of the UN PRI’s</w:t>
      </w:r>
      <w:r w:rsidR="00886023" w:rsidRPr="006B17B8">
        <w:rPr>
          <w:rFonts w:asciiTheme="majorHAnsi" w:hAnsiTheme="majorHAnsi" w:cstheme="majorHAnsi"/>
          <w:sz w:val="18"/>
          <w:szCs w:val="18"/>
        </w:rPr>
        <w:t xml:space="preserve"> note </w:t>
      </w:r>
      <w:hyperlink r:id="rId55" w:history="1">
        <w:r w:rsidR="00886023" w:rsidRPr="006B17B8">
          <w:rPr>
            <w:rStyle w:val="Hyperlink"/>
            <w:rFonts w:asciiTheme="majorHAnsi" w:hAnsiTheme="majorHAnsi" w:cstheme="majorHAnsi"/>
            <w:i/>
            <w:iCs/>
            <w:sz w:val="18"/>
            <w:szCs w:val="18"/>
          </w:rPr>
          <w:t>Why and How Investors Should Act on Human Rights</w:t>
        </w:r>
      </w:hyperlink>
      <w:r w:rsidR="005C579E" w:rsidRPr="006B17B8">
        <w:rPr>
          <w:rFonts w:asciiTheme="majorHAnsi" w:hAnsiTheme="majorHAnsi" w:cstheme="majorHAnsi"/>
          <w:i/>
          <w:iCs/>
          <w:sz w:val="18"/>
          <w:szCs w:val="18"/>
        </w:rPr>
        <w:t xml:space="preserve">, </w:t>
      </w:r>
      <w:r w:rsidR="005C579E" w:rsidRPr="006B17B8">
        <w:rPr>
          <w:rFonts w:asciiTheme="majorHAnsi" w:hAnsiTheme="majorHAnsi" w:cstheme="majorHAnsi"/>
          <w:sz w:val="18"/>
          <w:szCs w:val="18"/>
        </w:rPr>
        <w:t xml:space="preserve">and Table 1 in the </w:t>
      </w:r>
      <w:r w:rsidR="005C579E" w:rsidRPr="006B17B8">
        <w:rPr>
          <w:rStyle w:val="Hyperlink"/>
          <w:rFonts w:asciiTheme="majorHAnsi" w:hAnsiTheme="majorHAnsi" w:cstheme="majorHAnsi"/>
          <w:sz w:val="18"/>
          <w:szCs w:val="18"/>
          <w:u w:val="none"/>
        </w:rPr>
        <w:t xml:space="preserve">OECD’s </w:t>
      </w:r>
      <w:r w:rsidR="005C579E" w:rsidRPr="006B17B8">
        <w:rPr>
          <w:rFonts w:asciiTheme="majorHAnsi" w:hAnsiTheme="majorHAnsi" w:cstheme="majorHAnsi"/>
          <w:i/>
          <w:iCs/>
          <w:sz w:val="18"/>
          <w:szCs w:val="18"/>
        </w:rPr>
        <w:t xml:space="preserve">Responsible business conduct for institutional investors </w:t>
      </w:r>
      <w:r w:rsidR="005C579E" w:rsidRPr="006B17B8">
        <w:rPr>
          <w:rFonts w:asciiTheme="majorHAnsi" w:hAnsiTheme="majorHAnsi" w:cstheme="majorHAnsi"/>
          <w:sz w:val="18"/>
          <w:szCs w:val="18"/>
        </w:rPr>
        <w:t xml:space="preserve">(2017) guidance, available </w:t>
      </w:r>
      <w:hyperlink r:id="rId56" w:history="1">
        <w:r w:rsidR="005C579E" w:rsidRPr="006B17B8">
          <w:rPr>
            <w:rStyle w:val="Hyperlink"/>
            <w:rFonts w:asciiTheme="majorHAnsi" w:hAnsiTheme="majorHAnsi" w:cstheme="majorHAnsi"/>
            <w:sz w:val="18"/>
            <w:szCs w:val="18"/>
          </w:rPr>
          <w:t>here</w:t>
        </w:r>
      </w:hyperlink>
      <w:r w:rsidR="005C579E" w:rsidRPr="006B17B8">
        <w:rPr>
          <w:rFonts w:asciiTheme="majorHAnsi" w:hAnsiTheme="majorHAnsi" w:cstheme="majorHAnsi"/>
          <w:sz w:val="18"/>
          <w:szCs w:val="18"/>
        </w:rPr>
        <w:t>.</w:t>
      </w:r>
    </w:p>
  </w:footnote>
  <w:footnote w:id="50">
    <w:p w14:paraId="4952C233" w14:textId="352BCDE6" w:rsidR="00056F05" w:rsidRPr="006B17B8" w:rsidRDefault="00056F05">
      <w:pPr>
        <w:pStyle w:val="FootnoteText"/>
        <w:rPr>
          <w:rFonts w:asciiTheme="majorHAnsi" w:hAnsiTheme="majorHAnsi" w:cstheme="majorHAnsi"/>
          <w:sz w:val="18"/>
          <w:szCs w:val="18"/>
        </w:rPr>
      </w:pPr>
      <w:r w:rsidRPr="006B17B8">
        <w:rPr>
          <w:rStyle w:val="FootnoteReference"/>
          <w:rFonts w:asciiTheme="majorHAnsi" w:hAnsiTheme="majorHAnsi" w:cstheme="majorHAnsi"/>
          <w:sz w:val="18"/>
          <w:szCs w:val="18"/>
        </w:rPr>
        <w:footnoteRef/>
      </w:r>
      <w:r w:rsidRPr="006B17B8">
        <w:rPr>
          <w:rFonts w:asciiTheme="majorHAnsi" w:hAnsiTheme="majorHAnsi" w:cstheme="majorHAnsi"/>
          <w:sz w:val="18"/>
          <w:szCs w:val="18"/>
        </w:rPr>
        <w:t xml:space="preserve"> See the </w:t>
      </w:r>
      <w:r w:rsidRPr="006B17B8">
        <w:rPr>
          <w:rFonts w:asciiTheme="majorHAnsi" w:hAnsiTheme="majorHAnsi" w:cstheme="majorHAnsi"/>
          <w:i/>
          <w:iCs/>
          <w:sz w:val="18"/>
          <w:szCs w:val="18"/>
        </w:rPr>
        <w:t>Investor Actions</w:t>
      </w:r>
      <w:r w:rsidRPr="006B17B8">
        <w:rPr>
          <w:rFonts w:asciiTheme="majorHAnsi" w:hAnsiTheme="majorHAnsi" w:cstheme="majorHAnsi"/>
          <w:sz w:val="18"/>
          <w:szCs w:val="18"/>
        </w:rPr>
        <w:t xml:space="preserve"> table on p.32 of the </w:t>
      </w:r>
      <w:r w:rsidRPr="006B17B8">
        <w:rPr>
          <w:rStyle w:val="Hyperlink"/>
          <w:rFonts w:asciiTheme="majorHAnsi" w:hAnsiTheme="majorHAnsi" w:cstheme="majorHAnsi"/>
          <w:sz w:val="18"/>
          <w:szCs w:val="18"/>
          <w:u w:val="none"/>
        </w:rPr>
        <w:t xml:space="preserve">OECD’s </w:t>
      </w:r>
      <w:r w:rsidRPr="006B17B8">
        <w:rPr>
          <w:rFonts w:asciiTheme="majorHAnsi" w:hAnsiTheme="majorHAnsi" w:cstheme="majorHAnsi"/>
          <w:i/>
          <w:iCs/>
          <w:sz w:val="18"/>
          <w:szCs w:val="18"/>
        </w:rPr>
        <w:t xml:space="preserve">Responsible business conduct for institutional investors </w:t>
      </w:r>
      <w:r w:rsidRPr="006B17B8">
        <w:rPr>
          <w:rFonts w:asciiTheme="majorHAnsi" w:hAnsiTheme="majorHAnsi" w:cstheme="majorHAnsi"/>
          <w:sz w:val="18"/>
          <w:szCs w:val="18"/>
        </w:rPr>
        <w:t xml:space="preserve">(2017) guidance, available </w:t>
      </w:r>
      <w:hyperlink r:id="rId57" w:history="1">
        <w:r w:rsidRPr="006B17B8">
          <w:rPr>
            <w:rStyle w:val="Hyperlink"/>
            <w:rFonts w:asciiTheme="majorHAnsi" w:hAnsiTheme="majorHAnsi" w:cstheme="majorHAnsi"/>
            <w:sz w:val="18"/>
            <w:szCs w:val="18"/>
          </w:rPr>
          <w:t>here</w:t>
        </w:r>
      </w:hyperlink>
      <w:r w:rsidRPr="006B17B8">
        <w:rPr>
          <w:rFonts w:asciiTheme="majorHAnsi" w:hAnsiTheme="majorHAnsi" w:cstheme="majorHAnsi"/>
          <w:sz w:val="18"/>
          <w:szCs w:val="18"/>
        </w:rPr>
        <w:t>.</w:t>
      </w:r>
    </w:p>
  </w:footnote>
  <w:footnote w:id="51">
    <w:p w14:paraId="6A994936" w14:textId="09D82C07" w:rsidR="00E11A81" w:rsidRPr="006B17B8" w:rsidRDefault="00E11A81">
      <w:pPr>
        <w:pStyle w:val="FootnoteText"/>
        <w:rPr>
          <w:rFonts w:asciiTheme="majorHAnsi" w:hAnsiTheme="majorHAnsi" w:cstheme="majorHAnsi"/>
          <w:sz w:val="18"/>
          <w:szCs w:val="18"/>
        </w:rPr>
      </w:pPr>
      <w:r w:rsidRPr="006B17B8">
        <w:rPr>
          <w:rStyle w:val="FootnoteReference"/>
          <w:rFonts w:asciiTheme="majorHAnsi" w:hAnsiTheme="majorHAnsi" w:cstheme="majorHAnsi"/>
          <w:sz w:val="18"/>
          <w:szCs w:val="18"/>
        </w:rPr>
        <w:footnoteRef/>
      </w:r>
      <w:r w:rsidRPr="006B17B8">
        <w:rPr>
          <w:rFonts w:asciiTheme="majorHAnsi" w:hAnsiTheme="majorHAnsi" w:cstheme="majorHAnsi"/>
          <w:sz w:val="18"/>
          <w:szCs w:val="18"/>
        </w:rPr>
        <w:t xml:space="preserve"> The Paris Aligned Investment Initiative’s </w:t>
      </w:r>
      <w:r w:rsidRPr="006B17B8">
        <w:rPr>
          <w:rFonts w:asciiTheme="majorHAnsi" w:hAnsiTheme="majorHAnsi" w:cstheme="majorHAnsi"/>
          <w:i/>
          <w:sz w:val="18"/>
          <w:szCs w:val="18"/>
        </w:rPr>
        <w:t>Net Zero Investment Framework</w:t>
      </w:r>
      <w:r w:rsidRPr="006B17B8">
        <w:rPr>
          <w:rFonts w:asciiTheme="majorHAnsi" w:hAnsiTheme="majorHAnsi" w:cstheme="majorHAnsi"/>
          <w:sz w:val="18"/>
          <w:szCs w:val="18"/>
        </w:rPr>
        <w:t xml:space="preserve"> is one of many sources of guidance on robust engagement: </w:t>
      </w:r>
      <w:hyperlink r:id="rId58" w:history="1">
        <w:r w:rsidR="00775D50" w:rsidRPr="006B17B8">
          <w:rPr>
            <w:rStyle w:val="Hyperlink"/>
            <w:rFonts w:asciiTheme="majorHAnsi" w:hAnsiTheme="majorHAnsi" w:cstheme="majorHAnsi"/>
            <w:sz w:val="18"/>
            <w:szCs w:val="18"/>
          </w:rPr>
          <w:t>Net_Zero_Investment_Framework_final.pdf (parisalignedassetowners.org)</w:t>
        </w:r>
      </w:hyperlink>
      <w:r w:rsidR="00775D50" w:rsidRPr="006B17B8">
        <w:rPr>
          <w:rFonts w:asciiTheme="majorHAnsi" w:hAnsiTheme="majorHAnsi" w:cstheme="majorHAnsi"/>
          <w:sz w:val="18"/>
          <w:szCs w:val="18"/>
        </w:rPr>
        <w:t>.</w:t>
      </w:r>
    </w:p>
  </w:footnote>
  <w:footnote w:id="52">
    <w:p w14:paraId="01537850" w14:textId="2B0D35A8" w:rsidR="00C1359B" w:rsidRPr="006B17B8" w:rsidRDefault="00C1359B">
      <w:pPr>
        <w:pStyle w:val="FootnoteText"/>
        <w:rPr>
          <w:rFonts w:asciiTheme="majorHAnsi" w:hAnsiTheme="majorHAnsi" w:cstheme="majorHAnsi"/>
          <w:sz w:val="18"/>
          <w:szCs w:val="18"/>
        </w:rPr>
      </w:pPr>
      <w:r w:rsidRPr="006B17B8">
        <w:rPr>
          <w:rStyle w:val="FootnoteReference"/>
          <w:rFonts w:asciiTheme="majorHAnsi" w:hAnsiTheme="majorHAnsi" w:cstheme="majorHAnsi"/>
          <w:sz w:val="18"/>
          <w:szCs w:val="18"/>
        </w:rPr>
        <w:footnoteRef/>
      </w:r>
      <w:r w:rsidRPr="006B17B8">
        <w:rPr>
          <w:rFonts w:asciiTheme="majorHAnsi" w:hAnsiTheme="majorHAnsi" w:cstheme="majorHAnsi"/>
          <w:sz w:val="18"/>
          <w:szCs w:val="18"/>
        </w:rPr>
        <w:t xml:space="preserve"> The UN convened Net Zero Asset Owner’s Alliance has stated that this is one of the most important tools available to Asset Owners in a climate context, and has provided specific guidance on engagement with external asset managers: </w:t>
      </w:r>
      <w:hyperlink r:id="rId59" w:history="1">
        <w:r w:rsidRPr="006B17B8">
          <w:rPr>
            <w:rStyle w:val="Hyperlink"/>
            <w:rFonts w:asciiTheme="majorHAnsi" w:hAnsiTheme="majorHAnsi" w:cstheme="majorHAnsi"/>
            <w:sz w:val="18"/>
            <w:szCs w:val="18"/>
          </w:rPr>
          <w:t>16 Elevating Climate Diligence 2.pdf (unepfi.org)</w:t>
        </w:r>
      </w:hyperlink>
      <w:r w:rsidRPr="006B17B8">
        <w:rPr>
          <w:rFonts w:asciiTheme="majorHAnsi" w:hAnsiTheme="majorHAnsi" w:cstheme="majorHAnsi"/>
          <w:sz w:val="18"/>
          <w:szCs w:val="18"/>
        </w:rPr>
        <w:t>.</w:t>
      </w:r>
    </w:p>
  </w:footnote>
  <w:footnote w:id="53">
    <w:p w14:paraId="35D546D9" w14:textId="2C6248A4" w:rsidR="00DD3C20" w:rsidRPr="006B17B8" w:rsidRDefault="003E1173" w:rsidP="00DD3C20">
      <w:pPr>
        <w:pStyle w:val="FootnoteText"/>
        <w:rPr>
          <w:rFonts w:asciiTheme="majorHAnsi" w:hAnsiTheme="majorHAnsi" w:cstheme="majorHAnsi"/>
          <w:i/>
          <w:iCs/>
          <w:sz w:val="18"/>
          <w:szCs w:val="18"/>
        </w:rPr>
      </w:pPr>
      <w:r w:rsidRPr="006B17B8">
        <w:rPr>
          <w:rStyle w:val="FootnoteReference"/>
          <w:rFonts w:asciiTheme="majorHAnsi" w:hAnsiTheme="majorHAnsi" w:cstheme="majorHAnsi"/>
          <w:sz w:val="18"/>
          <w:szCs w:val="18"/>
        </w:rPr>
        <w:footnoteRef/>
      </w:r>
      <w:r w:rsidRPr="006B17B8">
        <w:rPr>
          <w:rFonts w:asciiTheme="majorHAnsi" w:hAnsiTheme="majorHAnsi" w:cstheme="majorHAnsi"/>
          <w:sz w:val="18"/>
          <w:szCs w:val="18"/>
        </w:rPr>
        <w:t xml:space="preserve"> See the </w:t>
      </w:r>
      <w:r w:rsidRPr="006B17B8">
        <w:rPr>
          <w:rFonts w:asciiTheme="majorHAnsi" w:hAnsiTheme="majorHAnsi" w:cstheme="majorHAnsi"/>
          <w:i/>
          <w:iCs/>
          <w:sz w:val="18"/>
          <w:szCs w:val="18"/>
        </w:rPr>
        <w:t>Investor Actions</w:t>
      </w:r>
      <w:r w:rsidRPr="006B17B8">
        <w:rPr>
          <w:rFonts w:asciiTheme="majorHAnsi" w:hAnsiTheme="majorHAnsi" w:cstheme="majorHAnsi"/>
          <w:sz w:val="18"/>
          <w:szCs w:val="18"/>
        </w:rPr>
        <w:t xml:space="preserve"> table on p.32 of the </w:t>
      </w:r>
      <w:r w:rsidRPr="006B17B8">
        <w:rPr>
          <w:rStyle w:val="Hyperlink"/>
          <w:rFonts w:asciiTheme="majorHAnsi" w:hAnsiTheme="majorHAnsi" w:cstheme="majorHAnsi"/>
          <w:sz w:val="18"/>
          <w:szCs w:val="18"/>
          <w:u w:val="none"/>
        </w:rPr>
        <w:t xml:space="preserve">OECD’s </w:t>
      </w:r>
      <w:r w:rsidRPr="006B17B8">
        <w:rPr>
          <w:rFonts w:asciiTheme="majorHAnsi" w:hAnsiTheme="majorHAnsi" w:cstheme="majorHAnsi"/>
          <w:i/>
          <w:iCs/>
          <w:sz w:val="18"/>
          <w:szCs w:val="18"/>
        </w:rPr>
        <w:t xml:space="preserve">Responsible business conduct for institutional investors </w:t>
      </w:r>
      <w:r w:rsidRPr="006B17B8">
        <w:rPr>
          <w:rFonts w:asciiTheme="majorHAnsi" w:hAnsiTheme="majorHAnsi" w:cstheme="majorHAnsi"/>
          <w:sz w:val="18"/>
          <w:szCs w:val="18"/>
        </w:rPr>
        <w:t xml:space="preserve">(2017) guidance, available </w:t>
      </w:r>
      <w:hyperlink r:id="rId60" w:history="1">
        <w:r w:rsidRPr="006B17B8">
          <w:rPr>
            <w:rStyle w:val="Hyperlink"/>
            <w:rFonts w:asciiTheme="majorHAnsi" w:hAnsiTheme="majorHAnsi" w:cstheme="majorHAnsi"/>
            <w:sz w:val="18"/>
            <w:szCs w:val="18"/>
          </w:rPr>
          <w:t>here</w:t>
        </w:r>
      </w:hyperlink>
      <w:r w:rsidRPr="006B17B8">
        <w:rPr>
          <w:rFonts w:asciiTheme="majorHAnsi" w:hAnsiTheme="majorHAnsi" w:cstheme="majorHAnsi"/>
          <w:sz w:val="18"/>
          <w:szCs w:val="18"/>
        </w:rPr>
        <w:t>.</w:t>
      </w:r>
      <w:r w:rsidR="008946F4" w:rsidRPr="006B17B8">
        <w:rPr>
          <w:rFonts w:asciiTheme="majorHAnsi" w:hAnsiTheme="majorHAnsi" w:cstheme="majorHAnsi"/>
          <w:sz w:val="18"/>
          <w:szCs w:val="18"/>
        </w:rPr>
        <w:t xml:space="preserve"> </w:t>
      </w:r>
      <w:r w:rsidR="00737B0C" w:rsidRPr="006B17B8">
        <w:rPr>
          <w:rFonts w:asciiTheme="majorHAnsi" w:hAnsiTheme="majorHAnsi" w:cstheme="majorHAnsi"/>
          <w:sz w:val="18"/>
          <w:szCs w:val="18"/>
        </w:rPr>
        <w:t>In a climate / net zero context, s</w:t>
      </w:r>
      <w:r w:rsidR="008946F4" w:rsidRPr="006B17B8">
        <w:rPr>
          <w:rFonts w:asciiTheme="majorHAnsi" w:hAnsiTheme="majorHAnsi" w:cstheme="majorHAnsi"/>
          <w:sz w:val="18"/>
          <w:szCs w:val="18"/>
        </w:rPr>
        <w:t xml:space="preserve">ee also p.19 of the UN convened Net Zero Asset Owner’s Alliance’s </w:t>
      </w:r>
      <w:r w:rsidR="00737B0C" w:rsidRPr="006B17B8">
        <w:rPr>
          <w:rFonts w:asciiTheme="majorHAnsi" w:hAnsiTheme="majorHAnsi" w:cstheme="majorHAnsi"/>
          <w:sz w:val="18"/>
          <w:szCs w:val="18"/>
        </w:rPr>
        <w:t>Target Setting Protocol (3</w:t>
      </w:r>
      <w:r w:rsidR="00737B0C" w:rsidRPr="006B17B8">
        <w:rPr>
          <w:rFonts w:asciiTheme="majorHAnsi" w:hAnsiTheme="majorHAnsi" w:cstheme="majorHAnsi"/>
          <w:sz w:val="18"/>
          <w:szCs w:val="18"/>
          <w:vertAlign w:val="superscript"/>
        </w:rPr>
        <w:t>rd</w:t>
      </w:r>
      <w:r w:rsidR="00737B0C" w:rsidRPr="006B17B8">
        <w:rPr>
          <w:rFonts w:asciiTheme="majorHAnsi" w:hAnsiTheme="majorHAnsi" w:cstheme="majorHAnsi"/>
          <w:sz w:val="18"/>
          <w:szCs w:val="18"/>
        </w:rPr>
        <w:t xml:space="preserve"> Ed.), which highlights that “</w:t>
      </w:r>
      <w:r w:rsidR="00DD3C20" w:rsidRPr="006B17B8">
        <w:rPr>
          <w:rFonts w:asciiTheme="majorHAnsi" w:hAnsiTheme="majorHAnsi" w:cstheme="majorHAnsi"/>
          <w:i/>
          <w:iCs/>
          <w:sz w:val="18"/>
          <w:szCs w:val="18"/>
        </w:rPr>
        <w:t>effectively connecting engagement activities with proxy voting is critical. Where applicable, Alliance members should transparently explain how proxy voting is systematically employed to align with</w:t>
      </w:r>
    </w:p>
    <w:p w14:paraId="5C13CB44" w14:textId="400DC0D8" w:rsidR="003E1173" w:rsidRPr="006B17B8" w:rsidRDefault="00DD3C20" w:rsidP="00DD3C20">
      <w:pPr>
        <w:pStyle w:val="FootnoteText"/>
        <w:rPr>
          <w:rFonts w:asciiTheme="majorHAnsi" w:hAnsiTheme="majorHAnsi" w:cstheme="majorHAnsi"/>
          <w:sz w:val="18"/>
          <w:szCs w:val="18"/>
        </w:rPr>
      </w:pPr>
      <w:r w:rsidRPr="006B17B8">
        <w:rPr>
          <w:rFonts w:asciiTheme="majorHAnsi" w:hAnsiTheme="majorHAnsi" w:cstheme="majorHAnsi"/>
          <w:i/>
          <w:iCs/>
          <w:sz w:val="18"/>
          <w:szCs w:val="18"/>
        </w:rPr>
        <w:t>their net-zero commitment. This should include an explanation of how votes are used to hold companies accountable when they are not making satisfactory progress to address climate change or support climate change mitigation</w:t>
      </w:r>
      <w:r w:rsidRPr="006B17B8">
        <w:rPr>
          <w:rFonts w:asciiTheme="majorHAnsi" w:hAnsiTheme="majorHAnsi" w:cstheme="majorHAnsi"/>
          <w:sz w:val="18"/>
          <w:szCs w:val="18"/>
        </w:rPr>
        <w:t>.”</w:t>
      </w:r>
    </w:p>
  </w:footnote>
  <w:footnote w:id="54">
    <w:p w14:paraId="4282C0BE" w14:textId="71F5AEEF" w:rsidR="00EA306A" w:rsidRPr="006B17B8" w:rsidRDefault="00EA306A">
      <w:pPr>
        <w:pStyle w:val="FootnoteText"/>
        <w:rPr>
          <w:rFonts w:asciiTheme="majorHAnsi" w:hAnsiTheme="majorHAnsi" w:cstheme="majorHAnsi"/>
          <w:sz w:val="18"/>
          <w:szCs w:val="18"/>
        </w:rPr>
      </w:pPr>
      <w:r w:rsidRPr="006B17B8">
        <w:rPr>
          <w:rStyle w:val="FootnoteReference"/>
          <w:rFonts w:asciiTheme="majorHAnsi" w:hAnsiTheme="majorHAnsi" w:cstheme="majorHAnsi"/>
          <w:sz w:val="18"/>
          <w:szCs w:val="18"/>
        </w:rPr>
        <w:footnoteRef/>
      </w:r>
      <w:r w:rsidRPr="006B17B8">
        <w:rPr>
          <w:rFonts w:asciiTheme="majorHAnsi" w:hAnsiTheme="majorHAnsi" w:cstheme="majorHAnsi"/>
          <w:sz w:val="18"/>
          <w:szCs w:val="18"/>
        </w:rPr>
        <w:t xml:space="preserve"> This approach is endorsed, for example, in the Paris Aligned Investment Initiative’s </w:t>
      </w:r>
      <w:r w:rsidRPr="006B17B8">
        <w:rPr>
          <w:rFonts w:asciiTheme="majorHAnsi" w:hAnsiTheme="majorHAnsi" w:cstheme="majorHAnsi"/>
          <w:i/>
          <w:iCs/>
          <w:sz w:val="18"/>
          <w:szCs w:val="18"/>
        </w:rPr>
        <w:t>Net Zero Investment Framework</w:t>
      </w:r>
      <w:r w:rsidRPr="006B17B8">
        <w:rPr>
          <w:rFonts w:asciiTheme="majorHAnsi" w:hAnsiTheme="majorHAnsi" w:cstheme="majorHAnsi"/>
          <w:sz w:val="18"/>
          <w:szCs w:val="18"/>
        </w:rPr>
        <w:t>. See p.19.</w:t>
      </w:r>
    </w:p>
  </w:footnote>
  <w:footnote w:id="55">
    <w:p w14:paraId="0785C0BF" w14:textId="6D6D6FEA" w:rsidR="00BF04E3" w:rsidRPr="006B17B8" w:rsidRDefault="00BF04E3">
      <w:pPr>
        <w:pStyle w:val="FootnoteText"/>
        <w:rPr>
          <w:rFonts w:asciiTheme="majorHAnsi" w:hAnsiTheme="majorHAnsi" w:cstheme="majorHAnsi"/>
          <w:sz w:val="18"/>
          <w:szCs w:val="18"/>
        </w:rPr>
      </w:pPr>
      <w:r w:rsidRPr="006B17B8">
        <w:rPr>
          <w:rStyle w:val="FootnoteReference"/>
          <w:rFonts w:asciiTheme="majorHAnsi" w:hAnsiTheme="majorHAnsi" w:cstheme="majorHAnsi"/>
          <w:sz w:val="18"/>
          <w:szCs w:val="18"/>
        </w:rPr>
        <w:footnoteRef/>
      </w:r>
      <w:r w:rsidRPr="006B17B8">
        <w:rPr>
          <w:rFonts w:asciiTheme="majorHAnsi" w:hAnsiTheme="majorHAnsi" w:cstheme="majorHAnsi"/>
          <w:sz w:val="18"/>
          <w:szCs w:val="18"/>
        </w:rPr>
        <w:t xml:space="preserve"> From p.39 of the </w:t>
      </w:r>
      <w:r w:rsidRPr="006B17B8">
        <w:rPr>
          <w:rStyle w:val="Hyperlink"/>
          <w:rFonts w:asciiTheme="majorHAnsi" w:hAnsiTheme="majorHAnsi" w:cstheme="majorHAnsi"/>
          <w:sz w:val="18"/>
          <w:szCs w:val="18"/>
          <w:u w:val="none"/>
        </w:rPr>
        <w:t xml:space="preserve">OECD’s </w:t>
      </w:r>
      <w:r w:rsidRPr="006B17B8">
        <w:rPr>
          <w:rFonts w:asciiTheme="majorHAnsi" w:hAnsiTheme="majorHAnsi" w:cstheme="majorHAnsi"/>
          <w:i/>
          <w:iCs/>
          <w:sz w:val="18"/>
          <w:szCs w:val="18"/>
        </w:rPr>
        <w:t xml:space="preserve">Responsible business conduct for institutional investors </w:t>
      </w:r>
      <w:r w:rsidRPr="006B17B8">
        <w:rPr>
          <w:rFonts w:asciiTheme="majorHAnsi" w:hAnsiTheme="majorHAnsi" w:cstheme="majorHAnsi"/>
          <w:sz w:val="18"/>
          <w:szCs w:val="18"/>
        </w:rPr>
        <w:t>(2017).</w:t>
      </w:r>
    </w:p>
  </w:footnote>
  <w:footnote w:id="56">
    <w:p w14:paraId="58A10A5E" w14:textId="77777777" w:rsidR="007A3320" w:rsidRPr="006B17B8" w:rsidRDefault="007A3320" w:rsidP="007A3320">
      <w:pPr>
        <w:pStyle w:val="FootnoteText"/>
        <w:rPr>
          <w:rFonts w:asciiTheme="majorHAnsi" w:hAnsiTheme="majorHAnsi" w:cstheme="majorHAnsi"/>
          <w:sz w:val="18"/>
          <w:szCs w:val="18"/>
        </w:rPr>
      </w:pPr>
      <w:r w:rsidRPr="006B17B8">
        <w:rPr>
          <w:rStyle w:val="FootnoteReference"/>
          <w:rFonts w:asciiTheme="majorHAnsi" w:hAnsiTheme="majorHAnsi" w:cstheme="majorHAnsi"/>
          <w:sz w:val="18"/>
          <w:szCs w:val="18"/>
        </w:rPr>
        <w:footnoteRef/>
      </w:r>
      <w:r w:rsidRPr="006B17B8">
        <w:rPr>
          <w:rFonts w:asciiTheme="majorHAnsi" w:hAnsiTheme="majorHAnsi" w:cstheme="majorHAnsi"/>
          <w:sz w:val="18"/>
          <w:szCs w:val="18"/>
        </w:rPr>
        <w:t xml:space="preserve"> See the ‘General Findings’ of ShareAction’s 2022 </w:t>
      </w:r>
      <w:r w:rsidRPr="006B17B8">
        <w:rPr>
          <w:rFonts w:asciiTheme="majorHAnsi" w:hAnsiTheme="majorHAnsi" w:cstheme="majorHAnsi"/>
          <w:i/>
          <w:iCs/>
          <w:sz w:val="18"/>
          <w:szCs w:val="18"/>
        </w:rPr>
        <w:t>Voting Matters</w:t>
      </w:r>
      <w:r w:rsidRPr="006B17B8">
        <w:rPr>
          <w:rFonts w:asciiTheme="majorHAnsi" w:hAnsiTheme="majorHAnsi" w:cstheme="majorHAnsi"/>
          <w:sz w:val="18"/>
          <w:szCs w:val="18"/>
        </w:rPr>
        <w:t xml:space="preserve"> study for more information, </w:t>
      </w:r>
      <w:hyperlink r:id="rId61" w:history="1">
        <w:r w:rsidRPr="006B17B8">
          <w:rPr>
            <w:rStyle w:val="Hyperlink"/>
            <w:rFonts w:asciiTheme="majorHAnsi" w:hAnsiTheme="majorHAnsi" w:cstheme="majorHAnsi"/>
            <w:sz w:val="18"/>
            <w:szCs w:val="18"/>
          </w:rPr>
          <w:t>here</w:t>
        </w:r>
      </w:hyperlink>
      <w:r w:rsidRPr="006B17B8">
        <w:rPr>
          <w:rFonts w:asciiTheme="majorHAnsi" w:hAnsiTheme="majorHAnsi" w:cstheme="majorHAnsi"/>
          <w:sz w:val="18"/>
          <w:szCs w:val="18"/>
        </w:rPr>
        <w:t>.</w:t>
      </w:r>
    </w:p>
  </w:footnote>
  <w:footnote w:id="57">
    <w:p w14:paraId="35179117" w14:textId="1F26367B" w:rsidR="007A3320" w:rsidRPr="006B17B8" w:rsidRDefault="007A3320" w:rsidP="00904FCC">
      <w:pPr>
        <w:pStyle w:val="FootnoteText"/>
        <w:rPr>
          <w:rFonts w:asciiTheme="majorHAnsi" w:hAnsiTheme="majorHAnsi" w:cstheme="majorHAnsi"/>
          <w:sz w:val="18"/>
          <w:szCs w:val="18"/>
        </w:rPr>
      </w:pPr>
      <w:r w:rsidRPr="006B17B8">
        <w:rPr>
          <w:rStyle w:val="FootnoteReference"/>
          <w:rFonts w:asciiTheme="majorHAnsi" w:hAnsiTheme="majorHAnsi" w:cstheme="majorHAnsi"/>
          <w:sz w:val="18"/>
          <w:szCs w:val="18"/>
        </w:rPr>
        <w:footnoteRef/>
      </w:r>
      <w:r w:rsidRPr="006B17B8">
        <w:rPr>
          <w:rFonts w:asciiTheme="majorHAnsi" w:hAnsiTheme="majorHAnsi" w:cstheme="majorHAnsi"/>
          <w:sz w:val="18"/>
          <w:szCs w:val="18"/>
        </w:rPr>
        <w:t xml:space="preserve"> As reported by Reuters </w:t>
      </w:r>
      <w:hyperlink r:id="rId62" w:history="1">
        <w:r w:rsidRPr="006B17B8">
          <w:rPr>
            <w:rStyle w:val="Hyperlink"/>
            <w:rFonts w:asciiTheme="majorHAnsi" w:hAnsiTheme="majorHAnsi" w:cstheme="majorHAnsi"/>
            <w:sz w:val="18"/>
            <w:szCs w:val="18"/>
          </w:rPr>
          <w:t>here</w:t>
        </w:r>
      </w:hyperlink>
      <w:r w:rsidRPr="006B17B8">
        <w:rPr>
          <w:rFonts w:asciiTheme="majorHAnsi" w:hAnsiTheme="majorHAnsi" w:cstheme="majorHAnsi"/>
          <w:sz w:val="18"/>
          <w:szCs w:val="18"/>
        </w:rPr>
        <w:t>.</w:t>
      </w:r>
      <w:r w:rsidR="00BF3FCF" w:rsidRPr="006B17B8">
        <w:rPr>
          <w:rFonts w:asciiTheme="majorHAnsi" w:hAnsiTheme="majorHAnsi" w:cstheme="majorHAnsi"/>
          <w:sz w:val="18"/>
          <w:szCs w:val="18"/>
        </w:rPr>
        <w:t xml:space="preserve"> See also </w:t>
      </w:r>
      <w:r w:rsidR="00C0626A" w:rsidRPr="006B17B8">
        <w:rPr>
          <w:rFonts w:asciiTheme="majorHAnsi" w:hAnsiTheme="majorHAnsi" w:cstheme="majorHAnsi"/>
          <w:sz w:val="18"/>
          <w:szCs w:val="18"/>
        </w:rPr>
        <w:t xml:space="preserve">Majority Action’s </w:t>
      </w:r>
      <w:r w:rsidR="00803B02" w:rsidRPr="006B17B8">
        <w:rPr>
          <w:rFonts w:asciiTheme="majorHAnsi" w:hAnsiTheme="majorHAnsi" w:cstheme="majorHAnsi"/>
          <w:sz w:val="18"/>
          <w:szCs w:val="18"/>
        </w:rPr>
        <w:t>2023</w:t>
      </w:r>
      <w:r w:rsidR="00803B02" w:rsidRPr="006B17B8">
        <w:rPr>
          <w:rFonts w:asciiTheme="majorHAnsi" w:hAnsiTheme="majorHAnsi" w:cstheme="majorHAnsi"/>
          <w:i/>
          <w:iCs/>
          <w:sz w:val="18"/>
          <w:szCs w:val="18"/>
        </w:rPr>
        <w:t xml:space="preserve"> Fulfilling the Promise </w:t>
      </w:r>
      <w:r w:rsidR="00803B02" w:rsidRPr="006B17B8">
        <w:rPr>
          <w:rFonts w:asciiTheme="majorHAnsi" w:hAnsiTheme="majorHAnsi" w:cstheme="majorHAnsi"/>
          <w:sz w:val="18"/>
          <w:szCs w:val="18"/>
        </w:rPr>
        <w:t xml:space="preserve">report (available </w:t>
      </w:r>
      <w:hyperlink r:id="rId63" w:history="1">
        <w:r w:rsidR="00803B02" w:rsidRPr="006B17B8">
          <w:rPr>
            <w:rStyle w:val="Hyperlink"/>
            <w:rFonts w:asciiTheme="majorHAnsi" w:hAnsiTheme="majorHAnsi" w:cstheme="majorHAnsi"/>
            <w:sz w:val="18"/>
            <w:szCs w:val="18"/>
          </w:rPr>
          <w:t>here</w:t>
        </w:r>
      </w:hyperlink>
      <w:r w:rsidR="00803B02" w:rsidRPr="006B17B8">
        <w:rPr>
          <w:rFonts w:asciiTheme="majorHAnsi" w:hAnsiTheme="majorHAnsi" w:cstheme="majorHAnsi"/>
          <w:sz w:val="18"/>
          <w:szCs w:val="18"/>
        </w:rPr>
        <w:t xml:space="preserve">) </w:t>
      </w:r>
      <w:r w:rsidR="00742368" w:rsidRPr="006B17B8">
        <w:rPr>
          <w:rFonts w:asciiTheme="majorHAnsi" w:hAnsiTheme="majorHAnsi" w:cstheme="majorHAnsi"/>
          <w:sz w:val="18"/>
          <w:szCs w:val="18"/>
        </w:rPr>
        <w:t xml:space="preserve">which found that </w:t>
      </w:r>
      <w:r w:rsidR="00904FCC" w:rsidRPr="006B17B8">
        <w:rPr>
          <w:rFonts w:asciiTheme="majorHAnsi" w:hAnsiTheme="majorHAnsi" w:cstheme="majorHAnsi"/>
          <w:sz w:val="18"/>
          <w:szCs w:val="18"/>
        </w:rPr>
        <w:t>the majority of key Climate Action 100+ investor-signatories supported 90% or more of the directors at US-based focus companies, despite the identification of climate-related failings.</w:t>
      </w:r>
    </w:p>
  </w:footnote>
  <w:footnote w:id="58">
    <w:p w14:paraId="3F5F55E4" w14:textId="6ECD0A01" w:rsidR="007C44B2" w:rsidRPr="006B17B8" w:rsidRDefault="007C44B2">
      <w:pPr>
        <w:pStyle w:val="FootnoteText"/>
        <w:rPr>
          <w:rFonts w:asciiTheme="majorHAnsi" w:hAnsiTheme="majorHAnsi" w:cstheme="majorHAnsi"/>
          <w:sz w:val="18"/>
          <w:szCs w:val="18"/>
        </w:rPr>
      </w:pPr>
      <w:r w:rsidRPr="006B17B8">
        <w:rPr>
          <w:rStyle w:val="FootnoteReference"/>
          <w:rFonts w:asciiTheme="majorHAnsi" w:hAnsiTheme="majorHAnsi" w:cstheme="majorHAnsi"/>
          <w:sz w:val="18"/>
          <w:szCs w:val="18"/>
        </w:rPr>
        <w:footnoteRef/>
      </w:r>
      <w:r w:rsidRPr="006B17B8">
        <w:rPr>
          <w:rFonts w:asciiTheme="majorHAnsi" w:hAnsiTheme="majorHAnsi" w:cstheme="majorHAnsi"/>
          <w:sz w:val="18"/>
          <w:szCs w:val="18"/>
        </w:rPr>
        <w:t xml:space="preserve"> </w:t>
      </w:r>
      <w:hyperlink r:id="rId64" w:history="1">
        <w:r w:rsidRPr="006B17B8">
          <w:rPr>
            <w:rStyle w:val="Hyperlink"/>
            <w:rFonts w:asciiTheme="majorHAnsi" w:hAnsiTheme="majorHAnsi" w:cstheme="majorHAnsi"/>
            <w:sz w:val="18"/>
            <w:szCs w:val="18"/>
          </w:rPr>
          <w:t>UK Asset Owners’ Voting Alignment Review Attracts Big Managers  – ESG Investor</w:t>
        </w:r>
      </w:hyperlink>
      <w:r w:rsidRPr="006B17B8">
        <w:rPr>
          <w:rFonts w:asciiTheme="majorHAnsi" w:hAnsiTheme="majorHAnsi" w:cstheme="majorHAnsi"/>
          <w:sz w:val="18"/>
          <w:szCs w:val="18"/>
        </w:rPr>
        <w:t>.</w:t>
      </w:r>
    </w:p>
  </w:footnote>
  <w:footnote w:id="59">
    <w:p w14:paraId="3BAC1A57" w14:textId="4AE1509A" w:rsidR="003E48EC" w:rsidRPr="006B17B8" w:rsidRDefault="003E48EC">
      <w:pPr>
        <w:pStyle w:val="FootnoteText"/>
        <w:rPr>
          <w:rFonts w:asciiTheme="majorHAnsi" w:hAnsiTheme="majorHAnsi" w:cstheme="majorHAnsi"/>
          <w:sz w:val="18"/>
          <w:szCs w:val="18"/>
        </w:rPr>
      </w:pPr>
      <w:r w:rsidRPr="006B17B8">
        <w:rPr>
          <w:rStyle w:val="FootnoteReference"/>
          <w:rFonts w:asciiTheme="majorHAnsi" w:hAnsiTheme="majorHAnsi" w:cstheme="majorHAnsi"/>
          <w:sz w:val="18"/>
          <w:szCs w:val="18"/>
        </w:rPr>
        <w:footnoteRef/>
      </w:r>
      <w:r w:rsidRPr="006B17B8">
        <w:rPr>
          <w:rFonts w:asciiTheme="majorHAnsi" w:hAnsiTheme="majorHAnsi" w:cstheme="majorHAnsi"/>
          <w:sz w:val="18"/>
          <w:szCs w:val="18"/>
        </w:rPr>
        <w:t xml:space="preserve"> See ClientEarth’s </w:t>
      </w:r>
      <w:hyperlink r:id="rId65" w:history="1">
        <w:r w:rsidR="00BE4063" w:rsidRPr="006B17B8">
          <w:rPr>
            <w:rStyle w:val="Hyperlink"/>
            <w:rFonts w:asciiTheme="majorHAnsi" w:hAnsiTheme="majorHAnsi" w:cstheme="majorHAnsi"/>
            <w:sz w:val="18"/>
            <w:szCs w:val="18"/>
          </w:rPr>
          <w:t>position paper</w:t>
        </w:r>
      </w:hyperlink>
      <w:r w:rsidR="00BE4063" w:rsidRPr="006B17B8">
        <w:rPr>
          <w:rFonts w:asciiTheme="majorHAnsi" w:hAnsiTheme="majorHAnsi" w:cstheme="majorHAnsi"/>
          <w:sz w:val="18"/>
          <w:szCs w:val="18"/>
        </w:rPr>
        <w:t xml:space="preserve"> on the UK listing rules and climate change (July 2022).</w:t>
      </w:r>
    </w:p>
  </w:footnote>
  <w:footnote w:id="60">
    <w:p w14:paraId="72E169AD" w14:textId="2DADAD7E" w:rsidR="00281974" w:rsidRPr="006B17B8" w:rsidRDefault="00281974">
      <w:pPr>
        <w:pStyle w:val="FootnoteText"/>
        <w:rPr>
          <w:rFonts w:asciiTheme="majorHAnsi" w:hAnsiTheme="majorHAnsi" w:cstheme="majorHAnsi"/>
          <w:sz w:val="18"/>
          <w:szCs w:val="18"/>
        </w:rPr>
      </w:pPr>
      <w:r w:rsidRPr="006B17B8">
        <w:rPr>
          <w:rStyle w:val="FootnoteReference"/>
          <w:rFonts w:asciiTheme="majorHAnsi" w:hAnsiTheme="majorHAnsi" w:cstheme="majorHAnsi"/>
          <w:sz w:val="18"/>
          <w:szCs w:val="18"/>
        </w:rPr>
        <w:footnoteRef/>
      </w:r>
      <w:r w:rsidRPr="006B17B8">
        <w:rPr>
          <w:rFonts w:asciiTheme="majorHAnsi" w:hAnsiTheme="majorHAnsi" w:cstheme="majorHAnsi"/>
          <w:sz w:val="18"/>
          <w:szCs w:val="18"/>
        </w:rPr>
        <w:t xml:space="preserve"> As reported by Reuters </w:t>
      </w:r>
      <w:hyperlink r:id="rId66" w:history="1">
        <w:r w:rsidRPr="006B17B8">
          <w:rPr>
            <w:rStyle w:val="Hyperlink"/>
            <w:rFonts w:asciiTheme="majorHAnsi" w:hAnsiTheme="majorHAnsi" w:cstheme="majorHAnsi"/>
            <w:sz w:val="18"/>
            <w:szCs w:val="18"/>
          </w:rPr>
          <w:t>here</w:t>
        </w:r>
      </w:hyperlink>
      <w:r w:rsidRPr="006B17B8">
        <w:rPr>
          <w:rFonts w:asciiTheme="majorHAnsi" w:hAnsiTheme="majorHAnsi" w:cstheme="majorHAnsi"/>
          <w:sz w:val="18"/>
          <w:szCs w:val="18"/>
        </w:rPr>
        <w:t>.</w:t>
      </w:r>
    </w:p>
  </w:footnote>
  <w:footnote w:id="61">
    <w:p w14:paraId="057E9C86" w14:textId="015E4DCE" w:rsidR="00775CCD" w:rsidRPr="006B17B8" w:rsidRDefault="00775CCD">
      <w:pPr>
        <w:pStyle w:val="FootnoteText"/>
        <w:rPr>
          <w:rFonts w:asciiTheme="majorHAnsi" w:hAnsiTheme="majorHAnsi" w:cstheme="majorHAnsi"/>
          <w:sz w:val="18"/>
          <w:szCs w:val="18"/>
        </w:rPr>
      </w:pPr>
      <w:r w:rsidRPr="006B17B8">
        <w:rPr>
          <w:rStyle w:val="FootnoteReference"/>
          <w:rFonts w:asciiTheme="majorHAnsi" w:hAnsiTheme="majorHAnsi" w:cstheme="majorHAnsi"/>
          <w:sz w:val="18"/>
          <w:szCs w:val="18"/>
        </w:rPr>
        <w:footnoteRef/>
      </w:r>
      <w:r w:rsidRPr="006B17B8">
        <w:rPr>
          <w:rFonts w:asciiTheme="majorHAnsi" w:hAnsiTheme="majorHAnsi" w:cstheme="majorHAnsi"/>
          <w:sz w:val="18"/>
          <w:szCs w:val="18"/>
        </w:rPr>
        <w:t xml:space="preserve"> See, for example: </w:t>
      </w:r>
      <w:hyperlink r:id="rId67" w:history="1">
        <w:r w:rsidRPr="006B17B8">
          <w:rPr>
            <w:rStyle w:val="Hyperlink"/>
            <w:rFonts w:asciiTheme="majorHAnsi" w:hAnsiTheme="majorHAnsi" w:cstheme="majorHAnsi"/>
            <w:sz w:val="18"/>
            <w:szCs w:val="18"/>
          </w:rPr>
          <w:t>Lib Dems propose ban on new listings of fossil fuel companies on LSE | Oil and gas companies | The Guardian</w:t>
        </w:r>
      </w:hyperlink>
    </w:p>
  </w:footnote>
  <w:footnote w:id="62">
    <w:p w14:paraId="49AE2638" w14:textId="1CC8D501" w:rsidR="000A226B" w:rsidRPr="006B17B8" w:rsidRDefault="000A226B">
      <w:pPr>
        <w:pStyle w:val="FootnoteText"/>
        <w:rPr>
          <w:rFonts w:asciiTheme="majorHAnsi" w:hAnsiTheme="majorHAnsi" w:cstheme="majorHAnsi"/>
          <w:sz w:val="18"/>
          <w:szCs w:val="18"/>
        </w:rPr>
      </w:pPr>
      <w:r w:rsidRPr="006B17B8">
        <w:rPr>
          <w:rStyle w:val="FootnoteReference"/>
          <w:rFonts w:asciiTheme="majorHAnsi" w:hAnsiTheme="majorHAnsi" w:cstheme="majorHAnsi"/>
          <w:sz w:val="18"/>
          <w:szCs w:val="18"/>
        </w:rPr>
        <w:footnoteRef/>
      </w:r>
      <w:r w:rsidRPr="006B17B8">
        <w:rPr>
          <w:rFonts w:asciiTheme="majorHAnsi" w:hAnsiTheme="majorHAnsi" w:cstheme="majorHAnsi"/>
          <w:sz w:val="18"/>
          <w:szCs w:val="18"/>
        </w:rPr>
        <w:t xml:space="preserve"> </w:t>
      </w:r>
      <w:hyperlink r:id="rId68" w:history="1">
        <w:r w:rsidRPr="006B17B8">
          <w:rPr>
            <w:rStyle w:val="Hyperlink"/>
            <w:rFonts w:asciiTheme="majorHAnsi" w:hAnsiTheme="majorHAnsi" w:cstheme="majorHAnsi"/>
            <w:sz w:val="18"/>
            <w:szCs w:val="18"/>
          </w:rPr>
          <w:t>Earth beyond six of nine planetary boundaries | Science Advances</w:t>
        </w:r>
      </w:hyperlink>
      <w:r w:rsidRPr="006B17B8">
        <w:rPr>
          <w:rFonts w:asciiTheme="majorHAnsi" w:hAnsiTheme="majorHAnsi" w:cstheme="majorHAnsi"/>
          <w:sz w:val="18"/>
          <w:szCs w:val="18"/>
        </w:rPr>
        <w:t>.</w:t>
      </w:r>
    </w:p>
  </w:footnote>
  <w:footnote w:id="63">
    <w:p w14:paraId="4D33ADD8" w14:textId="68391753" w:rsidR="00FF4266" w:rsidRPr="006B17B8" w:rsidRDefault="00FF4266">
      <w:pPr>
        <w:pStyle w:val="FootnoteText"/>
        <w:rPr>
          <w:rFonts w:asciiTheme="majorHAnsi" w:hAnsiTheme="majorHAnsi" w:cstheme="majorHAnsi"/>
          <w:sz w:val="18"/>
          <w:szCs w:val="18"/>
        </w:rPr>
      </w:pPr>
      <w:r w:rsidRPr="006B17B8">
        <w:rPr>
          <w:rStyle w:val="FootnoteReference"/>
          <w:rFonts w:asciiTheme="majorHAnsi" w:hAnsiTheme="majorHAnsi" w:cstheme="majorHAnsi"/>
          <w:sz w:val="18"/>
          <w:szCs w:val="18"/>
        </w:rPr>
        <w:footnoteRef/>
      </w:r>
      <w:r w:rsidRPr="006B17B8">
        <w:rPr>
          <w:rFonts w:asciiTheme="majorHAnsi" w:hAnsiTheme="majorHAnsi" w:cstheme="majorHAnsi"/>
          <w:sz w:val="18"/>
          <w:szCs w:val="18"/>
        </w:rPr>
        <w:t xml:space="preserve"> </w:t>
      </w:r>
      <w:r w:rsidR="00381548" w:rsidRPr="006B17B8">
        <w:rPr>
          <w:rFonts w:asciiTheme="majorHAnsi" w:hAnsiTheme="majorHAnsi" w:cstheme="majorHAnsi"/>
          <w:sz w:val="18"/>
          <w:szCs w:val="18"/>
        </w:rPr>
        <w:t>For example, see the OECD specific instance brought by Inclusive Development International and 10 Ugandan and Tanzanian organisations against the insurance broker Marsh in February 2023 in relation to its role as insurance broker for the East African Crude Oil pipeline, which alleges that Marsh contributed to serious adverse human rights and environmental impacts:</w:t>
      </w:r>
      <w:r w:rsidR="00E66E40" w:rsidRPr="006B17B8">
        <w:rPr>
          <w:rFonts w:asciiTheme="majorHAnsi" w:hAnsiTheme="majorHAnsi" w:cstheme="majorHAnsi"/>
          <w:sz w:val="18"/>
          <w:szCs w:val="18"/>
        </w:rPr>
        <w:t xml:space="preserve"> </w:t>
      </w:r>
      <w:hyperlink r:id="rId69" w:history="1">
        <w:r w:rsidR="00E66E40" w:rsidRPr="006B17B8">
          <w:rPr>
            <w:rStyle w:val="Hyperlink"/>
            <w:rFonts w:asciiTheme="majorHAnsi" w:hAnsiTheme="majorHAnsi" w:cstheme="majorHAnsi"/>
            <w:sz w:val="18"/>
            <w:szCs w:val="18"/>
          </w:rPr>
          <w:t>Inclusive Development International et al. vs. Marsh - OECD Watch</w:t>
        </w:r>
      </w:hyperlink>
      <w:r w:rsidR="00BC2CB9" w:rsidRPr="006B17B8">
        <w:rPr>
          <w:rFonts w:asciiTheme="majorHAnsi" w:hAnsiTheme="majorHAnsi" w:cstheme="majorHAns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2BD73" w14:textId="77777777" w:rsidR="00370507" w:rsidRDefault="003C6A81" w:rsidP="00C50FC8">
    <w:pPr>
      <w:pStyle w:val="Header"/>
      <w:tabs>
        <w:tab w:val="clear" w:pos="4513"/>
        <w:tab w:val="clear" w:pos="9026"/>
      </w:tabs>
      <w:jc w:val="right"/>
    </w:pPr>
    <w:r>
      <w:rPr>
        <w:noProof/>
      </w:rPr>
      <mc:AlternateContent>
        <mc:Choice Requires="wps">
          <w:drawing>
            <wp:anchor distT="0" distB="0" distL="114300" distR="114300" simplePos="0" relativeHeight="251658241" behindDoc="0" locked="0" layoutInCell="1" allowOverlap="1" wp14:anchorId="4BF47E20" wp14:editId="7D976517">
              <wp:simplePos x="0" y="0"/>
              <wp:positionH relativeFrom="margin">
                <wp:posOffset>2431415</wp:posOffset>
              </wp:positionH>
              <wp:positionV relativeFrom="paragraph">
                <wp:posOffset>-93345</wp:posOffset>
              </wp:positionV>
              <wp:extent cx="4052570" cy="683895"/>
              <wp:effectExtent l="0" t="0" r="5080" b="1905"/>
              <wp:wrapTopAndBottom/>
              <wp:docPr id="25" name="Rectangle 25"/>
              <wp:cNvGraphicFramePr/>
              <a:graphic xmlns:a="http://schemas.openxmlformats.org/drawingml/2006/main">
                <a:graphicData uri="http://schemas.microsoft.com/office/word/2010/wordprocessingShape">
                  <wps:wsp>
                    <wps:cNvSpPr/>
                    <wps:spPr>
                      <a:xfrm>
                        <a:off x="0" y="0"/>
                        <a:ext cx="4052570" cy="683895"/>
                      </a:xfrm>
                      <a:prstGeom prst="rect">
                        <a:avLst/>
                      </a:prstGeom>
                      <a:solidFill>
                        <a:schemeClr val="bg1"/>
                      </a:solidFill>
                      <a:ln>
                        <a:noFill/>
                      </a:ln>
                    </wps:spPr>
                    <wps:style>
                      <a:lnRef idx="0">
                        <a:scrgbClr r="0" g="0" b="0"/>
                      </a:lnRef>
                      <a:fillRef idx="0">
                        <a:scrgbClr r="0" g="0" b="0"/>
                      </a:fillRef>
                      <a:effectRef idx="0">
                        <a:scrgbClr r="0" g="0" b="0"/>
                      </a:effectRef>
                      <a:fontRef idx="minor">
                        <a:schemeClr val="dk1"/>
                      </a:fontRef>
                    </wps:style>
                    <wps:txbx>
                      <w:txbxContent>
                        <w:p w14:paraId="09837351" w14:textId="02DFB660" w:rsidR="0056334C" w:rsidRDefault="00435570" w:rsidP="0056334C">
                          <w:pPr>
                            <w:pStyle w:val="Header"/>
                            <w:tabs>
                              <w:tab w:val="clear" w:pos="4513"/>
                            </w:tabs>
                            <w:jc w:val="right"/>
                          </w:pPr>
                          <w:sdt>
                            <w:sdtPr>
                              <w:rPr>
                                <w:rStyle w:val="HeaderChar"/>
                              </w:rPr>
                              <w:alias w:val="auto title"/>
                              <w:tag w:val=""/>
                              <w:id w:val="584962060"/>
                              <w:placeholder>
                                <w:docPart w:val="2A4A3034671C4278861E21019311C641"/>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753894">
                                <w:rPr>
                                  <w:rStyle w:val="HeaderChar"/>
                                </w:rPr>
                                <w:t>Investors, ESG and Human Rights</w:t>
                              </w:r>
                            </w:sdtContent>
                          </w:sdt>
                        </w:p>
                        <w:p w14:paraId="12EBA09A" w14:textId="3B6AAF33" w:rsidR="0056334C" w:rsidRDefault="00435570" w:rsidP="0056334C">
                          <w:pPr>
                            <w:pStyle w:val="Header"/>
                            <w:tabs>
                              <w:tab w:val="clear" w:pos="4513"/>
                            </w:tabs>
                            <w:jc w:val="right"/>
                          </w:pPr>
                          <w:sdt>
                            <w:sdtPr>
                              <w:rPr>
                                <w:rStyle w:val="HeaderChar"/>
                              </w:rPr>
                              <w:alias w:val="auto date"/>
                              <w:tag w:val=""/>
                              <w:id w:val="-898740146"/>
                              <w:placeholder>
                                <w:docPart w:val="82008C7544EB415AA928B42010E21969"/>
                              </w:placeholder>
                              <w:dataBinding w:prefixMappings="xmlns:ns0='http://schemas.microsoft.com/office/2006/coverPageProps' " w:xpath="/ns0:CoverPageProperties[1]/ns0:PublishDate[1]" w:storeItemID="{55AF091B-3C7A-41E3-B477-F2FDAA23CFDA}"/>
                              <w:date w:fullDate="2023-10-12T00:00:00Z">
                                <w:dateFormat w:val="MMMM yyyy"/>
                                <w:lid w:val="en-GB"/>
                                <w:storeMappedDataAs w:val="dateTime"/>
                                <w:calendar w:val="gregorian"/>
                              </w:date>
                            </w:sdtPr>
                            <w:sdtEndPr>
                              <w:rPr>
                                <w:rStyle w:val="DefaultParagraphFont"/>
                              </w:rPr>
                            </w:sdtEndPr>
                            <w:sdtContent>
                              <w:r w:rsidR="00F91074">
                                <w:rPr>
                                  <w:rStyle w:val="HeaderChar"/>
                                </w:rPr>
                                <w:t>October 2023</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BF47E20" id="Rectangle 25" o:spid="_x0000_s1028" style="position:absolute;left:0;text-align:left;margin-left:191.45pt;margin-top:-7.35pt;width:319.1pt;height:53.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" fillcolor="white [3212]" stroked="f">
              <v:textbox>
                <w:txbxContent>
                  <w:p w14:paraId="09837351" w14:textId="02DFB660" w:rsidR="0056334C" w:rsidRDefault="00435570" w:rsidP="0056334C">
                    <w:pPr>
                      <w:pStyle w:val="Header"/>
                      <w:tabs>
                        <w:tab w:val="clear" w:pos="4513"/>
                      </w:tabs>
                      <w:jc w:val="right"/>
                    </w:pPr>
                    <w:sdt>
                      <w:sdtPr>
                        <w:rPr>
                          <w:rStyle w:val="HeaderChar"/>
                        </w:rPr>
                        <w:alias w:val="auto title"/>
                        <w:tag w:val=""/>
                        <w:id w:val="584962060"/>
                        <w:placeholder>
                          <w:docPart w:val="2A4A3034671C4278861E21019311C641"/>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753894">
                          <w:rPr>
                            <w:rStyle w:val="HeaderChar"/>
                          </w:rPr>
                          <w:t>Investors, ESG and Human Rights</w:t>
                        </w:r>
                      </w:sdtContent>
                    </w:sdt>
                  </w:p>
                  <w:p w14:paraId="12EBA09A" w14:textId="3B6AAF33" w:rsidR="0056334C" w:rsidRDefault="00435570" w:rsidP="0056334C">
                    <w:pPr>
                      <w:pStyle w:val="Header"/>
                      <w:tabs>
                        <w:tab w:val="clear" w:pos="4513"/>
                      </w:tabs>
                      <w:jc w:val="right"/>
                    </w:pPr>
                    <w:sdt>
                      <w:sdtPr>
                        <w:rPr>
                          <w:rStyle w:val="HeaderChar"/>
                        </w:rPr>
                        <w:alias w:val="auto date"/>
                        <w:tag w:val=""/>
                        <w:id w:val="-898740146"/>
                        <w:placeholder>
                          <w:docPart w:val="82008C7544EB415AA928B42010E21969"/>
                        </w:placeholder>
                        <w:dataBinding w:prefixMappings="xmlns:ns0='http://schemas.microsoft.com/office/2006/coverPageProps' " w:xpath="/ns0:CoverPageProperties[1]/ns0:PublishDate[1]" w:storeItemID="{55AF091B-3C7A-41E3-B477-F2FDAA23CFDA}"/>
                        <w:date w:fullDate="2023-10-12T00:00:00Z">
                          <w:dateFormat w:val="MMMM yyyy"/>
                          <w:lid w:val="en-GB"/>
                          <w:storeMappedDataAs w:val="dateTime"/>
                          <w:calendar w:val="gregorian"/>
                        </w:date>
                      </w:sdtPr>
                      <w:sdtEndPr>
                        <w:rPr>
                          <w:rStyle w:val="DefaultParagraphFont"/>
                        </w:rPr>
                      </w:sdtEndPr>
                      <w:sdtContent>
                        <w:r w:rsidR="00F91074">
                          <w:rPr>
                            <w:rStyle w:val="HeaderChar"/>
                          </w:rPr>
                          <w:t>October 2023</w:t>
                        </w:r>
                      </w:sdtContent>
                    </w:sdt>
                  </w:p>
                </w:txbxContent>
              </v:textbox>
              <w10:wrap type="topAndBottom" anchorx="margin"/>
            </v:rect>
          </w:pict>
        </mc:Fallback>
      </mc:AlternateContent>
    </w:r>
    <w:r w:rsidR="0056334C">
      <w:rPr>
        <w:noProof/>
      </w:rPr>
      <w:drawing>
        <wp:anchor distT="0" distB="0" distL="114300" distR="114300" simplePos="0" relativeHeight="251658242" behindDoc="0" locked="0" layoutInCell="1" allowOverlap="1" wp14:anchorId="340E30E5" wp14:editId="1F769FAE">
          <wp:simplePos x="0" y="0"/>
          <wp:positionH relativeFrom="page">
            <wp:posOffset>477520</wp:posOffset>
          </wp:positionH>
          <wp:positionV relativeFrom="page">
            <wp:posOffset>542925</wp:posOffset>
          </wp:positionV>
          <wp:extent cx="2160000" cy="432721"/>
          <wp:effectExtent l="0" t="0" r="0" b="5715"/>
          <wp:wrapTight wrapText="bothSides">
            <wp:wrapPolygon edited="0">
              <wp:start x="0" y="0"/>
              <wp:lineTo x="0" y="20934"/>
              <wp:lineTo x="21340" y="20934"/>
              <wp:lineTo x="21340"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2160000" cy="43272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6D833" w14:textId="77777777" w:rsidR="00370507" w:rsidRPr="009E2423" w:rsidRDefault="003727C0" w:rsidP="009E2423">
    <w:pPr>
      <w:pStyle w:val="Header"/>
      <w:ind w:left="7825"/>
      <w:rPr>
        <w:b/>
        <w:bCs/>
      </w:rPr>
    </w:pPr>
    <w:r>
      <w:rPr>
        <w:noProof/>
      </w:rPr>
      <w:drawing>
        <wp:anchor distT="0" distB="0" distL="114300" distR="114300" simplePos="0" relativeHeight="251658240" behindDoc="0" locked="0" layoutInCell="1" allowOverlap="1" wp14:anchorId="08378F9D" wp14:editId="568D359A">
          <wp:simplePos x="0" y="0"/>
          <wp:positionH relativeFrom="margin">
            <wp:posOffset>-61595</wp:posOffset>
          </wp:positionH>
          <wp:positionV relativeFrom="page">
            <wp:posOffset>542925</wp:posOffset>
          </wp:positionV>
          <wp:extent cx="2160000" cy="432000"/>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2160000" cy="432000"/>
                  </a:xfrm>
                  <a:prstGeom prst="rect">
                    <a:avLst/>
                  </a:prstGeom>
                </pic:spPr>
              </pic:pic>
            </a:graphicData>
          </a:graphic>
          <wp14:sizeRelH relativeFrom="margin">
            <wp14:pctWidth>0</wp14:pctWidth>
          </wp14:sizeRelH>
          <wp14:sizeRelV relativeFrom="margin">
            <wp14:pctHeight>0</wp14:pctHeight>
          </wp14:sizeRelV>
        </wp:anchor>
      </w:drawing>
    </w:r>
    <w:r w:rsidR="00F2508A">
      <w:rPr>
        <w:noProof/>
      </w:rPr>
      <mc:AlternateContent>
        <mc:Choice Requires="wps">
          <w:drawing>
            <wp:inline distT="0" distB="0" distL="0" distR="0" wp14:anchorId="024E3E4C" wp14:editId="0EB8ABED">
              <wp:extent cx="352800" cy="1260000"/>
              <wp:effectExtent l="0" t="0" r="0" b="0"/>
              <wp:docPr id="1" name="Rectangle 1"/>
              <wp:cNvGraphicFramePr/>
              <a:graphic xmlns:a="http://schemas.openxmlformats.org/drawingml/2006/main">
                <a:graphicData uri="http://schemas.microsoft.com/office/word/2010/wordprocessingShape">
                  <wps:wsp>
                    <wps:cNvSpPr/>
                    <wps:spPr>
                      <a:xfrm>
                        <a:off x="0" y="0"/>
                        <a:ext cx="352800" cy="12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w14:anchorId="1C8ACCD7">
            <v:rect id="Rectangle 1" style="width:27.8pt;height:99.2pt;visibility:visible;mso-wrap-style:square;mso-left-percent:-10001;mso-top-percent:-10001;mso-position-horizontal:absolute;mso-position-horizontal-relative:char;mso-position-vertical:absolute;mso-position-vertical-relative:line;mso-left-percent:-10001;mso-top-percent:-10001;v-text-anchor:middle" o:spid="_x0000_s1026" filled="f" stroked="f" strokeweight="1pt" w14:anchorId="0CA8F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">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75C05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2AC4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7808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7F0FE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5340B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B2A1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B65D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9834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96CD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68B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FF771A"/>
    <w:multiLevelType w:val="hybridMultilevel"/>
    <w:tmpl w:val="EB6E6FB8"/>
    <w:lvl w:ilvl="0" w:tplc="E880FBBA">
      <w:start w:val="1"/>
      <w:numFmt w:val="decimal"/>
      <w:pStyle w:val="ListParagraph"/>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6236131"/>
    <w:multiLevelType w:val="hybridMultilevel"/>
    <w:tmpl w:val="35FC4E40"/>
    <w:lvl w:ilvl="0" w:tplc="F3EC6550">
      <w:numFmt w:val="bullet"/>
      <w:lvlText w:val="-"/>
      <w:lvlJc w:val="left"/>
      <w:pPr>
        <w:ind w:left="720" w:hanging="360"/>
      </w:pPr>
      <w:rPr>
        <w:rFonts w:ascii="Calibri" w:eastAsia="DengXi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3CD19C5"/>
    <w:multiLevelType w:val="hybridMultilevel"/>
    <w:tmpl w:val="02329D92"/>
    <w:lvl w:ilvl="0" w:tplc="CDA48210">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3" w15:restartNumberingAfterBreak="0">
    <w:nsid w:val="256D7011"/>
    <w:multiLevelType w:val="hybridMultilevel"/>
    <w:tmpl w:val="0DA49B72"/>
    <w:lvl w:ilvl="0" w:tplc="A10E377A">
      <w:start w:val="1"/>
      <w:numFmt w:val="decimal"/>
      <w:lvlText w:val="(%1)"/>
      <w:lvlJc w:val="left"/>
      <w:pPr>
        <w:ind w:left="2193" w:hanging="360"/>
      </w:pPr>
      <w:rPr>
        <w:rFonts w:hint="default"/>
        <w:b w:val="0"/>
        <w:bCs w:val="0"/>
      </w:rPr>
    </w:lvl>
    <w:lvl w:ilvl="1" w:tplc="08090019" w:tentative="1">
      <w:start w:val="1"/>
      <w:numFmt w:val="lowerLetter"/>
      <w:lvlText w:val="%2."/>
      <w:lvlJc w:val="left"/>
      <w:pPr>
        <w:ind w:left="2913" w:hanging="360"/>
      </w:pPr>
    </w:lvl>
    <w:lvl w:ilvl="2" w:tplc="0809001B" w:tentative="1">
      <w:start w:val="1"/>
      <w:numFmt w:val="lowerRoman"/>
      <w:lvlText w:val="%3."/>
      <w:lvlJc w:val="right"/>
      <w:pPr>
        <w:ind w:left="3633" w:hanging="180"/>
      </w:pPr>
    </w:lvl>
    <w:lvl w:ilvl="3" w:tplc="0809000F" w:tentative="1">
      <w:start w:val="1"/>
      <w:numFmt w:val="decimal"/>
      <w:lvlText w:val="%4."/>
      <w:lvlJc w:val="left"/>
      <w:pPr>
        <w:ind w:left="4353" w:hanging="360"/>
      </w:pPr>
    </w:lvl>
    <w:lvl w:ilvl="4" w:tplc="08090019" w:tentative="1">
      <w:start w:val="1"/>
      <w:numFmt w:val="lowerLetter"/>
      <w:lvlText w:val="%5."/>
      <w:lvlJc w:val="left"/>
      <w:pPr>
        <w:ind w:left="5073" w:hanging="360"/>
      </w:pPr>
    </w:lvl>
    <w:lvl w:ilvl="5" w:tplc="0809001B" w:tentative="1">
      <w:start w:val="1"/>
      <w:numFmt w:val="lowerRoman"/>
      <w:lvlText w:val="%6."/>
      <w:lvlJc w:val="right"/>
      <w:pPr>
        <w:ind w:left="5793" w:hanging="180"/>
      </w:pPr>
    </w:lvl>
    <w:lvl w:ilvl="6" w:tplc="0809000F" w:tentative="1">
      <w:start w:val="1"/>
      <w:numFmt w:val="decimal"/>
      <w:lvlText w:val="%7."/>
      <w:lvlJc w:val="left"/>
      <w:pPr>
        <w:ind w:left="6513" w:hanging="360"/>
      </w:pPr>
    </w:lvl>
    <w:lvl w:ilvl="7" w:tplc="08090019" w:tentative="1">
      <w:start w:val="1"/>
      <w:numFmt w:val="lowerLetter"/>
      <w:lvlText w:val="%8."/>
      <w:lvlJc w:val="left"/>
      <w:pPr>
        <w:ind w:left="7233" w:hanging="360"/>
      </w:pPr>
    </w:lvl>
    <w:lvl w:ilvl="8" w:tplc="0809001B" w:tentative="1">
      <w:start w:val="1"/>
      <w:numFmt w:val="lowerRoman"/>
      <w:lvlText w:val="%9."/>
      <w:lvlJc w:val="right"/>
      <w:pPr>
        <w:ind w:left="7953" w:hanging="180"/>
      </w:pPr>
    </w:lvl>
  </w:abstractNum>
  <w:abstractNum w:abstractNumId="14" w15:restartNumberingAfterBreak="0">
    <w:nsid w:val="272CC8D3"/>
    <w:multiLevelType w:val="hybridMultilevel"/>
    <w:tmpl w:val="FFFFFFFF"/>
    <w:lvl w:ilvl="0" w:tplc="91665C26">
      <w:start w:val="1"/>
      <w:numFmt w:val="bullet"/>
      <w:lvlText w:val=""/>
      <w:lvlJc w:val="left"/>
      <w:pPr>
        <w:ind w:left="720" w:hanging="360"/>
      </w:pPr>
      <w:rPr>
        <w:rFonts w:ascii="Symbol" w:hAnsi="Symbol" w:hint="default"/>
      </w:rPr>
    </w:lvl>
    <w:lvl w:ilvl="1" w:tplc="810E6A2A">
      <w:start w:val="1"/>
      <w:numFmt w:val="bullet"/>
      <w:lvlText w:val=""/>
      <w:lvlJc w:val="left"/>
      <w:pPr>
        <w:ind w:left="1440" w:hanging="360"/>
      </w:pPr>
      <w:rPr>
        <w:rFonts w:ascii="Symbol" w:hAnsi="Symbol" w:hint="default"/>
      </w:rPr>
    </w:lvl>
    <w:lvl w:ilvl="2" w:tplc="685E4F4C">
      <w:start w:val="1"/>
      <w:numFmt w:val="bullet"/>
      <w:lvlText w:val=""/>
      <w:lvlJc w:val="left"/>
      <w:pPr>
        <w:ind w:left="2160" w:hanging="360"/>
      </w:pPr>
      <w:rPr>
        <w:rFonts w:ascii="Wingdings" w:hAnsi="Wingdings" w:hint="default"/>
      </w:rPr>
    </w:lvl>
    <w:lvl w:ilvl="3" w:tplc="ADD66276">
      <w:start w:val="1"/>
      <w:numFmt w:val="bullet"/>
      <w:lvlText w:val=""/>
      <w:lvlJc w:val="left"/>
      <w:pPr>
        <w:ind w:left="2880" w:hanging="360"/>
      </w:pPr>
      <w:rPr>
        <w:rFonts w:ascii="Symbol" w:hAnsi="Symbol" w:hint="default"/>
      </w:rPr>
    </w:lvl>
    <w:lvl w:ilvl="4" w:tplc="B3BE05FC">
      <w:start w:val="1"/>
      <w:numFmt w:val="bullet"/>
      <w:lvlText w:val="o"/>
      <w:lvlJc w:val="left"/>
      <w:pPr>
        <w:ind w:left="3600" w:hanging="360"/>
      </w:pPr>
      <w:rPr>
        <w:rFonts w:ascii="Courier New" w:hAnsi="Courier New" w:hint="default"/>
      </w:rPr>
    </w:lvl>
    <w:lvl w:ilvl="5" w:tplc="F822D6E0">
      <w:start w:val="1"/>
      <w:numFmt w:val="bullet"/>
      <w:lvlText w:val=""/>
      <w:lvlJc w:val="left"/>
      <w:pPr>
        <w:ind w:left="4320" w:hanging="360"/>
      </w:pPr>
      <w:rPr>
        <w:rFonts w:ascii="Wingdings" w:hAnsi="Wingdings" w:hint="default"/>
      </w:rPr>
    </w:lvl>
    <w:lvl w:ilvl="6" w:tplc="CF6E68BC">
      <w:start w:val="1"/>
      <w:numFmt w:val="bullet"/>
      <w:lvlText w:val=""/>
      <w:lvlJc w:val="left"/>
      <w:pPr>
        <w:ind w:left="5040" w:hanging="360"/>
      </w:pPr>
      <w:rPr>
        <w:rFonts w:ascii="Symbol" w:hAnsi="Symbol" w:hint="default"/>
      </w:rPr>
    </w:lvl>
    <w:lvl w:ilvl="7" w:tplc="94389C60">
      <w:start w:val="1"/>
      <w:numFmt w:val="bullet"/>
      <w:lvlText w:val="o"/>
      <w:lvlJc w:val="left"/>
      <w:pPr>
        <w:ind w:left="5760" w:hanging="360"/>
      </w:pPr>
      <w:rPr>
        <w:rFonts w:ascii="Courier New" w:hAnsi="Courier New" w:hint="default"/>
      </w:rPr>
    </w:lvl>
    <w:lvl w:ilvl="8" w:tplc="7D9AE2EC">
      <w:start w:val="1"/>
      <w:numFmt w:val="bullet"/>
      <w:lvlText w:val=""/>
      <w:lvlJc w:val="left"/>
      <w:pPr>
        <w:ind w:left="6480" w:hanging="360"/>
      </w:pPr>
      <w:rPr>
        <w:rFonts w:ascii="Wingdings" w:hAnsi="Wingdings" w:hint="default"/>
      </w:rPr>
    </w:lvl>
  </w:abstractNum>
  <w:abstractNum w:abstractNumId="15" w15:restartNumberingAfterBreak="0">
    <w:nsid w:val="29FD7B32"/>
    <w:multiLevelType w:val="hybridMultilevel"/>
    <w:tmpl w:val="2A460BCC"/>
    <w:lvl w:ilvl="0" w:tplc="00EA6BC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C4B75FF"/>
    <w:multiLevelType w:val="multilevel"/>
    <w:tmpl w:val="1646D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CA6BD1"/>
    <w:multiLevelType w:val="hybridMultilevel"/>
    <w:tmpl w:val="6096F796"/>
    <w:lvl w:ilvl="0" w:tplc="8006FD06">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D106D7"/>
    <w:multiLevelType w:val="multilevel"/>
    <w:tmpl w:val="1A20C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0D0081"/>
    <w:multiLevelType w:val="hybridMultilevel"/>
    <w:tmpl w:val="08FCFC3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77E7009"/>
    <w:multiLevelType w:val="multilevel"/>
    <w:tmpl w:val="A11A1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AB7F7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6260844"/>
    <w:multiLevelType w:val="multilevel"/>
    <w:tmpl w:val="9DA8C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E7832C2"/>
    <w:multiLevelType w:val="multilevel"/>
    <w:tmpl w:val="E2848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FB12500"/>
    <w:multiLevelType w:val="multilevel"/>
    <w:tmpl w:val="3D007762"/>
    <w:lvl w:ilvl="0">
      <w:start w:val="1"/>
      <w:numFmt w:val="decimal"/>
      <w:pStyle w:val="Heading1numbered"/>
      <w:lvlText w:val="%1"/>
      <w:lvlJc w:val="left"/>
      <w:pPr>
        <w:ind w:left="432" w:hanging="432"/>
      </w:pPr>
    </w:lvl>
    <w:lvl w:ilvl="1">
      <w:start w:val="1"/>
      <w:numFmt w:val="decimal"/>
      <w:pStyle w:val="Subheadingnumbered"/>
      <w:lvlText w:val="%1.%2"/>
      <w:lvlJc w:val="left"/>
      <w:pPr>
        <w:ind w:left="576" w:hanging="576"/>
      </w:pPr>
    </w:lvl>
    <w:lvl w:ilvl="2">
      <w:start w:val="1"/>
      <w:numFmt w:val="decimal"/>
      <w:pStyle w:val="SubSubHeadingNumbered"/>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72FA3DC5"/>
    <w:multiLevelType w:val="hybridMultilevel"/>
    <w:tmpl w:val="2BE43E8A"/>
    <w:lvl w:ilvl="0" w:tplc="A0F2CA64">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7B245F2"/>
    <w:multiLevelType w:val="hybridMultilevel"/>
    <w:tmpl w:val="1CE600DA"/>
    <w:lvl w:ilvl="0" w:tplc="A10E377A">
      <w:start w:val="1"/>
      <w:numFmt w:val="decimal"/>
      <w:lvlText w:val="(%1)"/>
      <w:lvlJc w:val="left"/>
      <w:pPr>
        <w:ind w:left="2193" w:hanging="360"/>
      </w:pPr>
      <w:rPr>
        <w:rFonts w:hint="default"/>
        <w:b w:val="0"/>
        <w:bCs w:val="0"/>
      </w:rPr>
    </w:lvl>
    <w:lvl w:ilvl="1" w:tplc="08090019" w:tentative="1">
      <w:start w:val="1"/>
      <w:numFmt w:val="lowerLetter"/>
      <w:lvlText w:val="%2."/>
      <w:lvlJc w:val="left"/>
      <w:pPr>
        <w:ind w:left="2913" w:hanging="360"/>
      </w:pPr>
    </w:lvl>
    <w:lvl w:ilvl="2" w:tplc="0809001B" w:tentative="1">
      <w:start w:val="1"/>
      <w:numFmt w:val="lowerRoman"/>
      <w:lvlText w:val="%3."/>
      <w:lvlJc w:val="right"/>
      <w:pPr>
        <w:ind w:left="3633" w:hanging="180"/>
      </w:pPr>
    </w:lvl>
    <w:lvl w:ilvl="3" w:tplc="0809000F" w:tentative="1">
      <w:start w:val="1"/>
      <w:numFmt w:val="decimal"/>
      <w:lvlText w:val="%4."/>
      <w:lvlJc w:val="left"/>
      <w:pPr>
        <w:ind w:left="4353" w:hanging="360"/>
      </w:pPr>
    </w:lvl>
    <w:lvl w:ilvl="4" w:tplc="08090019" w:tentative="1">
      <w:start w:val="1"/>
      <w:numFmt w:val="lowerLetter"/>
      <w:lvlText w:val="%5."/>
      <w:lvlJc w:val="left"/>
      <w:pPr>
        <w:ind w:left="5073" w:hanging="360"/>
      </w:pPr>
    </w:lvl>
    <w:lvl w:ilvl="5" w:tplc="0809001B" w:tentative="1">
      <w:start w:val="1"/>
      <w:numFmt w:val="lowerRoman"/>
      <w:lvlText w:val="%6."/>
      <w:lvlJc w:val="right"/>
      <w:pPr>
        <w:ind w:left="5793" w:hanging="180"/>
      </w:pPr>
    </w:lvl>
    <w:lvl w:ilvl="6" w:tplc="0809000F" w:tentative="1">
      <w:start w:val="1"/>
      <w:numFmt w:val="decimal"/>
      <w:lvlText w:val="%7."/>
      <w:lvlJc w:val="left"/>
      <w:pPr>
        <w:ind w:left="6513" w:hanging="360"/>
      </w:pPr>
    </w:lvl>
    <w:lvl w:ilvl="7" w:tplc="08090019" w:tentative="1">
      <w:start w:val="1"/>
      <w:numFmt w:val="lowerLetter"/>
      <w:lvlText w:val="%8."/>
      <w:lvlJc w:val="left"/>
      <w:pPr>
        <w:ind w:left="7233" w:hanging="360"/>
      </w:pPr>
    </w:lvl>
    <w:lvl w:ilvl="8" w:tplc="0809001B" w:tentative="1">
      <w:start w:val="1"/>
      <w:numFmt w:val="lowerRoman"/>
      <w:lvlText w:val="%9."/>
      <w:lvlJc w:val="right"/>
      <w:pPr>
        <w:ind w:left="7953" w:hanging="180"/>
      </w:pPr>
    </w:lvl>
  </w:abstractNum>
  <w:abstractNum w:abstractNumId="27" w15:restartNumberingAfterBreak="0">
    <w:nsid w:val="7AAA2E14"/>
    <w:multiLevelType w:val="multilevel"/>
    <w:tmpl w:val="E9DC5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7312378">
    <w:abstractNumId w:val="21"/>
  </w:num>
  <w:num w:numId="2" w16cid:durableId="329606770">
    <w:abstractNumId w:val="24"/>
    <w:lvlOverride w:ilvl="0">
      <w:lvl w:ilvl="0">
        <w:start w:val="1"/>
        <w:numFmt w:val="decimal"/>
        <w:pStyle w:val="Heading1numbered"/>
        <w:lvlText w:val="%1"/>
        <w:lvlJc w:val="left"/>
        <w:pPr>
          <w:ind w:left="432" w:hanging="432"/>
        </w:pPr>
        <w:rPr>
          <w:rFonts w:ascii="Arial" w:hAnsi="Arial" w:hint="default"/>
          <w:sz w:val="32"/>
        </w:rPr>
      </w:lvl>
    </w:lvlOverride>
    <w:lvlOverride w:ilvl="1">
      <w:lvl w:ilvl="1">
        <w:start w:val="1"/>
        <w:numFmt w:val="decimal"/>
        <w:pStyle w:val="Subheadingnumbered"/>
        <w:lvlText w:val="%1.%2"/>
        <w:lvlJc w:val="left"/>
        <w:pPr>
          <w:ind w:left="576" w:hanging="576"/>
        </w:pPr>
        <w:rPr>
          <w:rFonts w:ascii="Arial" w:hAnsi="Arial" w:hint="default"/>
          <w:sz w:val="32"/>
          <w:szCs w:val="32"/>
        </w:rPr>
      </w:lvl>
    </w:lvlOverride>
    <w:lvlOverride w:ilvl="2">
      <w:lvl w:ilvl="2">
        <w:start w:val="1"/>
        <w:numFmt w:val="decimal"/>
        <w:pStyle w:val="SubSubHeadingNumbered"/>
        <w:lvlText w:val="%1.%2.%3"/>
        <w:lvlJc w:val="left"/>
        <w:pPr>
          <w:ind w:left="720" w:hanging="720"/>
        </w:pPr>
        <w:rPr>
          <w:rFonts w:ascii="Arial" w:hAnsi="Arial" w:hint="default"/>
          <w:b w:val="0"/>
          <w:bCs w:val="0"/>
          <w:sz w:val="28"/>
          <w:szCs w:val="28"/>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 w16cid:durableId="137114402">
    <w:abstractNumId w:val="9"/>
  </w:num>
  <w:num w:numId="4" w16cid:durableId="1554657378">
    <w:abstractNumId w:val="7"/>
  </w:num>
  <w:num w:numId="5" w16cid:durableId="1472135174">
    <w:abstractNumId w:val="6"/>
  </w:num>
  <w:num w:numId="6" w16cid:durableId="1365669969">
    <w:abstractNumId w:val="5"/>
  </w:num>
  <w:num w:numId="7" w16cid:durableId="589120130">
    <w:abstractNumId w:val="4"/>
  </w:num>
  <w:num w:numId="8" w16cid:durableId="1720131620">
    <w:abstractNumId w:val="8"/>
  </w:num>
  <w:num w:numId="9" w16cid:durableId="1392726322">
    <w:abstractNumId w:val="3"/>
  </w:num>
  <w:num w:numId="10" w16cid:durableId="1711226297">
    <w:abstractNumId w:val="2"/>
  </w:num>
  <w:num w:numId="11" w16cid:durableId="451096894">
    <w:abstractNumId w:val="1"/>
  </w:num>
  <w:num w:numId="12" w16cid:durableId="635184718">
    <w:abstractNumId w:val="0"/>
  </w:num>
  <w:num w:numId="13" w16cid:durableId="443886681">
    <w:abstractNumId w:val="15"/>
  </w:num>
  <w:num w:numId="14" w16cid:durableId="1244146311">
    <w:abstractNumId w:val="10"/>
  </w:num>
  <w:num w:numId="15" w16cid:durableId="538979832">
    <w:abstractNumId w:val="17"/>
  </w:num>
  <w:num w:numId="16" w16cid:durableId="248780127">
    <w:abstractNumId w:val="25"/>
  </w:num>
  <w:num w:numId="17" w16cid:durableId="1471245722">
    <w:abstractNumId w:val="23"/>
  </w:num>
  <w:num w:numId="18" w16cid:durableId="2072385070">
    <w:abstractNumId w:val="20"/>
  </w:num>
  <w:num w:numId="19" w16cid:durableId="373970566">
    <w:abstractNumId w:val="18"/>
  </w:num>
  <w:num w:numId="20" w16cid:durableId="241834414">
    <w:abstractNumId w:val="27"/>
  </w:num>
  <w:num w:numId="21" w16cid:durableId="1890729242">
    <w:abstractNumId w:val="16"/>
  </w:num>
  <w:num w:numId="22" w16cid:durableId="1622565802">
    <w:abstractNumId w:val="22"/>
  </w:num>
  <w:num w:numId="23" w16cid:durableId="1607807692">
    <w:abstractNumId w:val="11"/>
  </w:num>
  <w:num w:numId="24" w16cid:durableId="182332112">
    <w:abstractNumId w:val="14"/>
  </w:num>
  <w:num w:numId="25" w16cid:durableId="591818836">
    <w:abstractNumId w:val="13"/>
  </w:num>
  <w:num w:numId="26" w16cid:durableId="353382722">
    <w:abstractNumId w:val="12"/>
  </w:num>
  <w:num w:numId="27" w16cid:durableId="1673682382">
    <w:abstractNumId w:val="26"/>
  </w:num>
  <w:num w:numId="28" w16cid:durableId="8260218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lickAndTypeStyle w:val="BodyText"/>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E7D"/>
    <w:rsid w:val="00000ECC"/>
    <w:rsid w:val="00000FA3"/>
    <w:rsid w:val="00000FEB"/>
    <w:rsid w:val="00002163"/>
    <w:rsid w:val="000026E4"/>
    <w:rsid w:val="00004DC8"/>
    <w:rsid w:val="00005274"/>
    <w:rsid w:val="00006231"/>
    <w:rsid w:val="00007193"/>
    <w:rsid w:val="00007224"/>
    <w:rsid w:val="00007AB5"/>
    <w:rsid w:val="00007C00"/>
    <w:rsid w:val="0001020F"/>
    <w:rsid w:val="00011094"/>
    <w:rsid w:val="00011233"/>
    <w:rsid w:val="00012D21"/>
    <w:rsid w:val="00013ADE"/>
    <w:rsid w:val="0001708F"/>
    <w:rsid w:val="00020D59"/>
    <w:rsid w:val="00020D5A"/>
    <w:rsid w:val="00021618"/>
    <w:rsid w:val="000216D1"/>
    <w:rsid w:val="00022B8D"/>
    <w:rsid w:val="00023E37"/>
    <w:rsid w:val="0002402F"/>
    <w:rsid w:val="00024B76"/>
    <w:rsid w:val="00025174"/>
    <w:rsid w:val="000254BF"/>
    <w:rsid w:val="0002640E"/>
    <w:rsid w:val="00026D5A"/>
    <w:rsid w:val="00030197"/>
    <w:rsid w:val="00030696"/>
    <w:rsid w:val="00030F88"/>
    <w:rsid w:val="000327A4"/>
    <w:rsid w:val="00033288"/>
    <w:rsid w:val="000337AB"/>
    <w:rsid w:val="000364E6"/>
    <w:rsid w:val="000370C2"/>
    <w:rsid w:val="00037E8E"/>
    <w:rsid w:val="00040D6D"/>
    <w:rsid w:val="000422C3"/>
    <w:rsid w:val="000426B9"/>
    <w:rsid w:val="0004356E"/>
    <w:rsid w:val="0004391C"/>
    <w:rsid w:val="000478D1"/>
    <w:rsid w:val="00050C0F"/>
    <w:rsid w:val="000520D5"/>
    <w:rsid w:val="00053417"/>
    <w:rsid w:val="00053DD2"/>
    <w:rsid w:val="000548CF"/>
    <w:rsid w:val="00054B6C"/>
    <w:rsid w:val="00054F05"/>
    <w:rsid w:val="00055BCB"/>
    <w:rsid w:val="00055CE9"/>
    <w:rsid w:val="000563A2"/>
    <w:rsid w:val="00056F05"/>
    <w:rsid w:val="00057568"/>
    <w:rsid w:val="00060453"/>
    <w:rsid w:val="00060696"/>
    <w:rsid w:val="0006076E"/>
    <w:rsid w:val="000636D2"/>
    <w:rsid w:val="00063F1B"/>
    <w:rsid w:val="00064208"/>
    <w:rsid w:val="00067D77"/>
    <w:rsid w:val="00071F0A"/>
    <w:rsid w:val="00073305"/>
    <w:rsid w:val="00074551"/>
    <w:rsid w:val="0007512E"/>
    <w:rsid w:val="00076155"/>
    <w:rsid w:val="0007691A"/>
    <w:rsid w:val="000777D5"/>
    <w:rsid w:val="00077965"/>
    <w:rsid w:val="00077C5F"/>
    <w:rsid w:val="0008022B"/>
    <w:rsid w:val="00080C10"/>
    <w:rsid w:val="000842B2"/>
    <w:rsid w:val="00085618"/>
    <w:rsid w:val="00085C63"/>
    <w:rsid w:val="00087A62"/>
    <w:rsid w:val="00087A9E"/>
    <w:rsid w:val="00087CB4"/>
    <w:rsid w:val="00090641"/>
    <w:rsid w:val="00090D4C"/>
    <w:rsid w:val="000924DB"/>
    <w:rsid w:val="00093439"/>
    <w:rsid w:val="00093570"/>
    <w:rsid w:val="00094C00"/>
    <w:rsid w:val="00094E83"/>
    <w:rsid w:val="00096207"/>
    <w:rsid w:val="00096C8E"/>
    <w:rsid w:val="00097377"/>
    <w:rsid w:val="000A02DC"/>
    <w:rsid w:val="000A1CEA"/>
    <w:rsid w:val="000A226B"/>
    <w:rsid w:val="000A2719"/>
    <w:rsid w:val="000A2E51"/>
    <w:rsid w:val="000A3857"/>
    <w:rsid w:val="000A3CB5"/>
    <w:rsid w:val="000A4832"/>
    <w:rsid w:val="000A5824"/>
    <w:rsid w:val="000B1F0D"/>
    <w:rsid w:val="000B2718"/>
    <w:rsid w:val="000B3582"/>
    <w:rsid w:val="000B35DC"/>
    <w:rsid w:val="000B380C"/>
    <w:rsid w:val="000B3D8B"/>
    <w:rsid w:val="000B62E3"/>
    <w:rsid w:val="000B6738"/>
    <w:rsid w:val="000B76DD"/>
    <w:rsid w:val="000C0A80"/>
    <w:rsid w:val="000C1519"/>
    <w:rsid w:val="000C1D5E"/>
    <w:rsid w:val="000C20C6"/>
    <w:rsid w:val="000C23DF"/>
    <w:rsid w:val="000C3166"/>
    <w:rsid w:val="000C37BD"/>
    <w:rsid w:val="000C3F33"/>
    <w:rsid w:val="000C3FBF"/>
    <w:rsid w:val="000C4CC0"/>
    <w:rsid w:val="000C4DFB"/>
    <w:rsid w:val="000C5543"/>
    <w:rsid w:val="000C640A"/>
    <w:rsid w:val="000C6CAF"/>
    <w:rsid w:val="000C6D18"/>
    <w:rsid w:val="000D0099"/>
    <w:rsid w:val="000D02F0"/>
    <w:rsid w:val="000D04C2"/>
    <w:rsid w:val="000D105C"/>
    <w:rsid w:val="000D1328"/>
    <w:rsid w:val="000D1813"/>
    <w:rsid w:val="000D2014"/>
    <w:rsid w:val="000D2254"/>
    <w:rsid w:val="000D2C53"/>
    <w:rsid w:val="000D3D9B"/>
    <w:rsid w:val="000D48F2"/>
    <w:rsid w:val="000D4BDF"/>
    <w:rsid w:val="000D5977"/>
    <w:rsid w:val="000D5D48"/>
    <w:rsid w:val="000D66D7"/>
    <w:rsid w:val="000D6E9C"/>
    <w:rsid w:val="000E05D4"/>
    <w:rsid w:val="000E14D7"/>
    <w:rsid w:val="000E1819"/>
    <w:rsid w:val="000E1EF0"/>
    <w:rsid w:val="000E5154"/>
    <w:rsid w:val="000E5615"/>
    <w:rsid w:val="000E7CB2"/>
    <w:rsid w:val="000F0052"/>
    <w:rsid w:val="000F25F0"/>
    <w:rsid w:val="000F46FF"/>
    <w:rsid w:val="000F588D"/>
    <w:rsid w:val="000F70EE"/>
    <w:rsid w:val="000F7307"/>
    <w:rsid w:val="000F77D7"/>
    <w:rsid w:val="000F79AD"/>
    <w:rsid w:val="00100EA4"/>
    <w:rsid w:val="00102CCE"/>
    <w:rsid w:val="00102D21"/>
    <w:rsid w:val="001033B9"/>
    <w:rsid w:val="001047A0"/>
    <w:rsid w:val="00104878"/>
    <w:rsid w:val="00104958"/>
    <w:rsid w:val="00104EAC"/>
    <w:rsid w:val="00105160"/>
    <w:rsid w:val="00105719"/>
    <w:rsid w:val="00105AE4"/>
    <w:rsid w:val="00105D69"/>
    <w:rsid w:val="0010615C"/>
    <w:rsid w:val="00106F59"/>
    <w:rsid w:val="00110393"/>
    <w:rsid w:val="00110DAA"/>
    <w:rsid w:val="001110D8"/>
    <w:rsid w:val="00112699"/>
    <w:rsid w:val="001129B4"/>
    <w:rsid w:val="0011377D"/>
    <w:rsid w:val="001143CD"/>
    <w:rsid w:val="00114B6C"/>
    <w:rsid w:val="0011695B"/>
    <w:rsid w:val="00120015"/>
    <w:rsid w:val="00120268"/>
    <w:rsid w:val="001216A1"/>
    <w:rsid w:val="00122B2A"/>
    <w:rsid w:val="00122F2D"/>
    <w:rsid w:val="00123EE3"/>
    <w:rsid w:val="00124605"/>
    <w:rsid w:val="00125341"/>
    <w:rsid w:val="00125604"/>
    <w:rsid w:val="00126518"/>
    <w:rsid w:val="00127F25"/>
    <w:rsid w:val="00130F0A"/>
    <w:rsid w:val="0013101F"/>
    <w:rsid w:val="00131663"/>
    <w:rsid w:val="00131FAE"/>
    <w:rsid w:val="00134E70"/>
    <w:rsid w:val="00136DB1"/>
    <w:rsid w:val="00136F74"/>
    <w:rsid w:val="00137DE9"/>
    <w:rsid w:val="00140060"/>
    <w:rsid w:val="00140326"/>
    <w:rsid w:val="00140BA4"/>
    <w:rsid w:val="001412F6"/>
    <w:rsid w:val="00141ACA"/>
    <w:rsid w:val="00142748"/>
    <w:rsid w:val="00145DCF"/>
    <w:rsid w:val="00146AE6"/>
    <w:rsid w:val="00147191"/>
    <w:rsid w:val="00150385"/>
    <w:rsid w:val="001513DA"/>
    <w:rsid w:val="00151E95"/>
    <w:rsid w:val="001522BC"/>
    <w:rsid w:val="001529C0"/>
    <w:rsid w:val="00152D37"/>
    <w:rsid w:val="00153061"/>
    <w:rsid w:val="0015327B"/>
    <w:rsid w:val="00153A3B"/>
    <w:rsid w:val="00153B32"/>
    <w:rsid w:val="00154074"/>
    <w:rsid w:val="00154153"/>
    <w:rsid w:val="0015473B"/>
    <w:rsid w:val="0015481C"/>
    <w:rsid w:val="0015659A"/>
    <w:rsid w:val="001566DF"/>
    <w:rsid w:val="00160B88"/>
    <w:rsid w:val="00160C3D"/>
    <w:rsid w:val="00161204"/>
    <w:rsid w:val="001620EB"/>
    <w:rsid w:val="00162BAB"/>
    <w:rsid w:val="00163836"/>
    <w:rsid w:val="0016384C"/>
    <w:rsid w:val="00164157"/>
    <w:rsid w:val="001646C5"/>
    <w:rsid w:val="0016661E"/>
    <w:rsid w:val="00170365"/>
    <w:rsid w:val="00170474"/>
    <w:rsid w:val="00170897"/>
    <w:rsid w:val="00170EB4"/>
    <w:rsid w:val="0017120D"/>
    <w:rsid w:val="00171728"/>
    <w:rsid w:val="00172B00"/>
    <w:rsid w:val="00172F6D"/>
    <w:rsid w:val="00174141"/>
    <w:rsid w:val="00174889"/>
    <w:rsid w:val="00174F10"/>
    <w:rsid w:val="0017511F"/>
    <w:rsid w:val="00175740"/>
    <w:rsid w:val="00176A9B"/>
    <w:rsid w:val="00176DED"/>
    <w:rsid w:val="00176E31"/>
    <w:rsid w:val="0017779B"/>
    <w:rsid w:val="00177AB2"/>
    <w:rsid w:val="001824A3"/>
    <w:rsid w:val="0018287F"/>
    <w:rsid w:val="00182910"/>
    <w:rsid w:val="00182F8B"/>
    <w:rsid w:val="00190575"/>
    <w:rsid w:val="00190628"/>
    <w:rsid w:val="00192623"/>
    <w:rsid w:val="00192B4E"/>
    <w:rsid w:val="00192B87"/>
    <w:rsid w:val="001938B7"/>
    <w:rsid w:val="0019490C"/>
    <w:rsid w:val="00194CE5"/>
    <w:rsid w:val="001953D0"/>
    <w:rsid w:val="001965FB"/>
    <w:rsid w:val="001979F5"/>
    <w:rsid w:val="001A0019"/>
    <w:rsid w:val="001A3515"/>
    <w:rsid w:val="001A380F"/>
    <w:rsid w:val="001A3DCC"/>
    <w:rsid w:val="001A495B"/>
    <w:rsid w:val="001A498A"/>
    <w:rsid w:val="001A4CD9"/>
    <w:rsid w:val="001A58F0"/>
    <w:rsid w:val="001B1AE5"/>
    <w:rsid w:val="001B2913"/>
    <w:rsid w:val="001B38A3"/>
    <w:rsid w:val="001B3D19"/>
    <w:rsid w:val="001B43E3"/>
    <w:rsid w:val="001B7F78"/>
    <w:rsid w:val="001C0A11"/>
    <w:rsid w:val="001C240A"/>
    <w:rsid w:val="001C2649"/>
    <w:rsid w:val="001C3186"/>
    <w:rsid w:val="001C45A2"/>
    <w:rsid w:val="001C5241"/>
    <w:rsid w:val="001C56EA"/>
    <w:rsid w:val="001C6D2F"/>
    <w:rsid w:val="001C6F68"/>
    <w:rsid w:val="001D168C"/>
    <w:rsid w:val="001D2572"/>
    <w:rsid w:val="001D288E"/>
    <w:rsid w:val="001D3725"/>
    <w:rsid w:val="001D4417"/>
    <w:rsid w:val="001D5ED1"/>
    <w:rsid w:val="001D649B"/>
    <w:rsid w:val="001D66C9"/>
    <w:rsid w:val="001D6B66"/>
    <w:rsid w:val="001D762F"/>
    <w:rsid w:val="001D7EDF"/>
    <w:rsid w:val="001E23A8"/>
    <w:rsid w:val="001E31C0"/>
    <w:rsid w:val="001E36BA"/>
    <w:rsid w:val="001E3ABF"/>
    <w:rsid w:val="001E3D34"/>
    <w:rsid w:val="001E40C8"/>
    <w:rsid w:val="001E40FD"/>
    <w:rsid w:val="001E434D"/>
    <w:rsid w:val="001E4C84"/>
    <w:rsid w:val="001E59E6"/>
    <w:rsid w:val="001E63EF"/>
    <w:rsid w:val="001E66CE"/>
    <w:rsid w:val="001E74A5"/>
    <w:rsid w:val="001E7BDD"/>
    <w:rsid w:val="001F0274"/>
    <w:rsid w:val="001F1935"/>
    <w:rsid w:val="001F2C41"/>
    <w:rsid w:val="001F6582"/>
    <w:rsid w:val="001F7036"/>
    <w:rsid w:val="001F7A6F"/>
    <w:rsid w:val="001F7B2D"/>
    <w:rsid w:val="002007FD"/>
    <w:rsid w:val="00200C52"/>
    <w:rsid w:val="00201185"/>
    <w:rsid w:val="0020149E"/>
    <w:rsid w:val="00201925"/>
    <w:rsid w:val="00203FF2"/>
    <w:rsid w:val="00204078"/>
    <w:rsid w:val="00204724"/>
    <w:rsid w:val="00204755"/>
    <w:rsid w:val="00204F83"/>
    <w:rsid w:val="002056F7"/>
    <w:rsid w:val="00206F97"/>
    <w:rsid w:val="00210342"/>
    <w:rsid w:val="002105E9"/>
    <w:rsid w:val="00211094"/>
    <w:rsid w:val="00212910"/>
    <w:rsid w:val="00212A90"/>
    <w:rsid w:val="0021325A"/>
    <w:rsid w:val="002133E9"/>
    <w:rsid w:val="00213546"/>
    <w:rsid w:val="00213FA2"/>
    <w:rsid w:val="00214073"/>
    <w:rsid w:val="00215457"/>
    <w:rsid w:val="00215641"/>
    <w:rsid w:val="00215A0D"/>
    <w:rsid w:val="00215A19"/>
    <w:rsid w:val="00215BB2"/>
    <w:rsid w:val="002204AB"/>
    <w:rsid w:val="00221623"/>
    <w:rsid w:val="00221DAF"/>
    <w:rsid w:val="00222833"/>
    <w:rsid w:val="0022304D"/>
    <w:rsid w:val="00223B2C"/>
    <w:rsid w:val="00225390"/>
    <w:rsid w:val="00226EBB"/>
    <w:rsid w:val="0023075E"/>
    <w:rsid w:val="00230802"/>
    <w:rsid w:val="00230CB2"/>
    <w:rsid w:val="00231118"/>
    <w:rsid w:val="002319D6"/>
    <w:rsid w:val="00232F30"/>
    <w:rsid w:val="002339EF"/>
    <w:rsid w:val="00233E91"/>
    <w:rsid w:val="00233F9E"/>
    <w:rsid w:val="0023501E"/>
    <w:rsid w:val="00235986"/>
    <w:rsid w:val="00237204"/>
    <w:rsid w:val="00237A0A"/>
    <w:rsid w:val="00241876"/>
    <w:rsid w:val="00241F22"/>
    <w:rsid w:val="002428E1"/>
    <w:rsid w:val="00242B81"/>
    <w:rsid w:val="00242CA5"/>
    <w:rsid w:val="00244626"/>
    <w:rsid w:val="002457C2"/>
    <w:rsid w:val="00246250"/>
    <w:rsid w:val="0024718F"/>
    <w:rsid w:val="00247B9A"/>
    <w:rsid w:val="00250B69"/>
    <w:rsid w:val="00250F1C"/>
    <w:rsid w:val="00251719"/>
    <w:rsid w:val="00252761"/>
    <w:rsid w:val="00254866"/>
    <w:rsid w:val="00255387"/>
    <w:rsid w:val="00255411"/>
    <w:rsid w:val="00255E60"/>
    <w:rsid w:val="00255EEE"/>
    <w:rsid w:val="00256096"/>
    <w:rsid w:val="00256870"/>
    <w:rsid w:val="00256997"/>
    <w:rsid w:val="002578F1"/>
    <w:rsid w:val="00261F5E"/>
    <w:rsid w:val="00263A06"/>
    <w:rsid w:val="00263F0A"/>
    <w:rsid w:val="00264C4E"/>
    <w:rsid w:val="002656C2"/>
    <w:rsid w:val="002664BD"/>
    <w:rsid w:val="00270642"/>
    <w:rsid w:val="0027191D"/>
    <w:rsid w:val="00271A0C"/>
    <w:rsid w:val="00271A80"/>
    <w:rsid w:val="002764F1"/>
    <w:rsid w:val="00277728"/>
    <w:rsid w:val="002804C5"/>
    <w:rsid w:val="00280B96"/>
    <w:rsid w:val="00280EDD"/>
    <w:rsid w:val="00281267"/>
    <w:rsid w:val="002816D1"/>
    <w:rsid w:val="00281866"/>
    <w:rsid w:val="00281974"/>
    <w:rsid w:val="00284A2C"/>
    <w:rsid w:val="00286BDB"/>
    <w:rsid w:val="00287707"/>
    <w:rsid w:val="00290991"/>
    <w:rsid w:val="00291C76"/>
    <w:rsid w:val="00292560"/>
    <w:rsid w:val="00293A6F"/>
    <w:rsid w:val="00293C8C"/>
    <w:rsid w:val="00295530"/>
    <w:rsid w:val="002974E3"/>
    <w:rsid w:val="00297706"/>
    <w:rsid w:val="002A01DB"/>
    <w:rsid w:val="002A1600"/>
    <w:rsid w:val="002A2669"/>
    <w:rsid w:val="002A4090"/>
    <w:rsid w:val="002A5104"/>
    <w:rsid w:val="002A52E9"/>
    <w:rsid w:val="002A5870"/>
    <w:rsid w:val="002A6331"/>
    <w:rsid w:val="002A7AC9"/>
    <w:rsid w:val="002B12D5"/>
    <w:rsid w:val="002B2185"/>
    <w:rsid w:val="002B2EF4"/>
    <w:rsid w:val="002B35DE"/>
    <w:rsid w:val="002B3E9D"/>
    <w:rsid w:val="002B687E"/>
    <w:rsid w:val="002C00BE"/>
    <w:rsid w:val="002C1903"/>
    <w:rsid w:val="002C2487"/>
    <w:rsid w:val="002C43DE"/>
    <w:rsid w:val="002C4E05"/>
    <w:rsid w:val="002C6314"/>
    <w:rsid w:val="002C6733"/>
    <w:rsid w:val="002C6DE3"/>
    <w:rsid w:val="002C7BD2"/>
    <w:rsid w:val="002C7FC6"/>
    <w:rsid w:val="002D1480"/>
    <w:rsid w:val="002D17DF"/>
    <w:rsid w:val="002D1A29"/>
    <w:rsid w:val="002D2F1E"/>
    <w:rsid w:val="002D3103"/>
    <w:rsid w:val="002D3AAE"/>
    <w:rsid w:val="002D582D"/>
    <w:rsid w:val="002D7F43"/>
    <w:rsid w:val="002E0B0F"/>
    <w:rsid w:val="002E1350"/>
    <w:rsid w:val="002E2CF8"/>
    <w:rsid w:val="002E5A42"/>
    <w:rsid w:val="002E7352"/>
    <w:rsid w:val="002F3CC6"/>
    <w:rsid w:val="002F4520"/>
    <w:rsid w:val="002F5444"/>
    <w:rsid w:val="002F7956"/>
    <w:rsid w:val="002F7BB4"/>
    <w:rsid w:val="00301F90"/>
    <w:rsid w:val="00303E49"/>
    <w:rsid w:val="003053C4"/>
    <w:rsid w:val="00306754"/>
    <w:rsid w:val="003069FD"/>
    <w:rsid w:val="00307DDF"/>
    <w:rsid w:val="00307F9A"/>
    <w:rsid w:val="00307FB0"/>
    <w:rsid w:val="00310D5F"/>
    <w:rsid w:val="00312838"/>
    <w:rsid w:val="00313576"/>
    <w:rsid w:val="00321176"/>
    <w:rsid w:val="00322276"/>
    <w:rsid w:val="00322279"/>
    <w:rsid w:val="0032289E"/>
    <w:rsid w:val="003228FE"/>
    <w:rsid w:val="00323E27"/>
    <w:rsid w:val="00324390"/>
    <w:rsid w:val="00324BD2"/>
    <w:rsid w:val="00324C49"/>
    <w:rsid w:val="00325B8D"/>
    <w:rsid w:val="00326F23"/>
    <w:rsid w:val="00330A33"/>
    <w:rsid w:val="00331A6F"/>
    <w:rsid w:val="00332377"/>
    <w:rsid w:val="00332EDB"/>
    <w:rsid w:val="00333496"/>
    <w:rsid w:val="00335783"/>
    <w:rsid w:val="00335E88"/>
    <w:rsid w:val="003366F0"/>
    <w:rsid w:val="00341DCF"/>
    <w:rsid w:val="0034270A"/>
    <w:rsid w:val="00344328"/>
    <w:rsid w:val="00347780"/>
    <w:rsid w:val="00351799"/>
    <w:rsid w:val="00351E20"/>
    <w:rsid w:val="0035207F"/>
    <w:rsid w:val="00352716"/>
    <w:rsid w:val="00352731"/>
    <w:rsid w:val="0035495E"/>
    <w:rsid w:val="00357963"/>
    <w:rsid w:val="003604F2"/>
    <w:rsid w:val="003606CF"/>
    <w:rsid w:val="00361A68"/>
    <w:rsid w:val="00362780"/>
    <w:rsid w:val="00362D28"/>
    <w:rsid w:val="00365209"/>
    <w:rsid w:val="003675E5"/>
    <w:rsid w:val="00370507"/>
    <w:rsid w:val="00371C8B"/>
    <w:rsid w:val="003727C0"/>
    <w:rsid w:val="003728F0"/>
    <w:rsid w:val="00372AB9"/>
    <w:rsid w:val="00372FAB"/>
    <w:rsid w:val="003740F9"/>
    <w:rsid w:val="003748B4"/>
    <w:rsid w:val="00374960"/>
    <w:rsid w:val="00374D2E"/>
    <w:rsid w:val="00374FAA"/>
    <w:rsid w:val="00375642"/>
    <w:rsid w:val="003766AE"/>
    <w:rsid w:val="00381548"/>
    <w:rsid w:val="003837A2"/>
    <w:rsid w:val="00384284"/>
    <w:rsid w:val="003842EA"/>
    <w:rsid w:val="003854C0"/>
    <w:rsid w:val="00385B58"/>
    <w:rsid w:val="003877E2"/>
    <w:rsid w:val="00390363"/>
    <w:rsid w:val="0039051D"/>
    <w:rsid w:val="00390823"/>
    <w:rsid w:val="00391C2A"/>
    <w:rsid w:val="003944D9"/>
    <w:rsid w:val="003952F3"/>
    <w:rsid w:val="00395809"/>
    <w:rsid w:val="00396F9D"/>
    <w:rsid w:val="003A0557"/>
    <w:rsid w:val="003A19D0"/>
    <w:rsid w:val="003A1A7D"/>
    <w:rsid w:val="003A3153"/>
    <w:rsid w:val="003A3C09"/>
    <w:rsid w:val="003A51AB"/>
    <w:rsid w:val="003A68EB"/>
    <w:rsid w:val="003A6A83"/>
    <w:rsid w:val="003A779C"/>
    <w:rsid w:val="003B0477"/>
    <w:rsid w:val="003B0D09"/>
    <w:rsid w:val="003B0E5E"/>
    <w:rsid w:val="003B12AC"/>
    <w:rsid w:val="003B1504"/>
    <w:rsid w:val="003B1604"/>
    <w:rsid w:val="003B3109"/>
    <w:rsid w:val="003B4549"/>
    <w:rsid w:val="003B4807"/>
    <w:rsid w:val="003B575B"/>
    <w:rsid w:val="003B653E"/>
    <w:rsid w:val="003B6B42"/>
    <w:rsid w:val="003B7276"/>
    <w:rsid w:val="003B78BD"/>
    <w:rsid w:val="003B7AD0"/>
    <w:rsid w:val="003C2B75"/>
    <w:rsid w:val="003C329D"/>
    <w:rsid w:val="003C444C"/>
    <w:rsid w:val="003C5B1D"/>
    <w:rsid w:val="003C5DF1"/>
    <w:rsid w:val="003C5EF6"/>
    <w:rsid w:val="003C69EC"/>
    <w:rsid w:val="003C6A81"/>
    <w:rsid w:val="003D0702"/>
    <w:rsid w:val="003D0FCD"/>
    <w:rsid w:val="003D1889"/>
    <w:rsid w:val="003D19E8"/>
    <w:rsid w:val="003D1FA5"/>
    <w:rsid w:val="003D3102"/>
    <w:rsid w:val="003D6CF7"/>
    <w:rsid w:val="003D78AA"/>
    <w:rsid w:val="003D7AFB"/>
    <w:rsid w:val="003D7E9D"/>
    <w:rsid w:val="003E03E4"/>
    <w:rsid w:val="003E0B3D"/>
    <w:rsid w:val="003E1173"/>
    <w:rsid w:val="003E1E5B"/>
    <w:rsid w:val="003E200E"/>
    <w:rsid w:val="003E230B"/>
    <w:rsid w:val="003E238F"/>
    <w:rsid w:val="003E29EC"/>
    <w:rsid w:val="003E4428"/>
    <w:rsid w:val="003E44D0"/>
    <w:rsid w:val="003E48EC"/>
    <w:rsid w:val="003E4F7F"/>
    <w:rsid w:val="003E5230"/>
    <w:rsid w:val="003E5EFA"/>
    <w:rsid w:val="003E6529"/>
    <w:rsid w:val="003E6798"/>
    <w:rsid w:val="003E74B3"/>
    <w:rsid w:val="003E7F3C"/>
    <w:rsid w:val="003F0393"/>
    <w:rsid w:val="003F05D1"/>
    <w:rsid w:val="003F0EAD"/>
    <w:rsid w:val="003F231C"/>
    <w:rsid w:val="003F2E80"/>
    <w:rsid w:val="003F3ABD"/>
    <w:rsid w:val="003F4F28"/>
    <w:rsid w:val="003F6AF4"/>
    <w:rsid w:val="003F738D"/>
    <w:rsid w:val="00400E01"/>
    <w:rsid w:val="00400F37"/>
    <w:rsid w:val="00401A1D"/>
    <w:rsid w:val="0040217C"/>
    <w:rsid w:val="0040242B"/>
    <w:rsid w:val="00402E1D"/>
    <w:rsid w:val="00403C72"/>
    <w:rsid w:val="00404AEB"/>
    <w:rsid w:val="0040500B"/>
    <w:rsid w:val="0040545B"/>
    <w:rsid w:val="0040629D"/>
    <w:rsid w:val="00406E93"/>
    <w:rsid w:val="00410840"/>
    <w:rsid w:val="00412FB8"/>
    <w:rsid w:val="00413614"/>
    <w:rsid w:val="00413710"/>
    <w:rsid w:val="004150BC"/>
    <w:rsid w:val="0041592B"/>
    <w:rsid w:val="00416016"/>
    <w:rsid w:val="004166D1"/>
    <w:rsid w:val="00416F04"/>
    <w:rsid w:val="00422F00"/>
    <w:rsid w:val="00424E89"/>
    <w:rsid w:val="004260BE"/>
    <w:rsid w:val="00426DFA"/>
    <w:rsid w:val="00427723"/>
    <w:rsid w:val="004279C4"/>
    <w:rsid w:val="00431186"/>
    <w:rsid w:val="00431332"/>
    <w:rsid w:val="00433372"/>
    <w:rsid w:val="00434AE8"/>
    <w:rsid w:val="00435021"/>
    <w:rsid w:val="00435570"/>
    <w:rsid w:val="004360D9"/>
    <w:rsid w:val="00436C5E"/>
    <w:rsid w:val="00436DBC"/>
    <w:rsid w:val="0044027F"/>
    <w:rsid w:val="00442775"/>
    <w:rsid w:val="00442E4B"/>
    <w:rsid w:val="004433D4"/>
    <w:rsid w:val="00443EF8"/>
    <w:rsid w:val="00445AFE"/>
    <w:rsid w:val="004515D9"/>
    <w:rsid w:val="00451C07"/>
    <w:rsid w:val="00452421"/>
    <w:rsid w:val="0045509B"/>
    <w:rsid w:val="0045525F"/>
    <w:rsid w:val="00455FB4"/>
    <w:rsid w:val="004562BD"/>
    <w:rsid w:val="004566FB"/>
    <w:rsid w:val="004617AF"/>
    <w:rsid w:val="00461AEE"/>
    <w:rsid w:val="00461E0B"/>
    <w:rsid w:val="004622D4"/>
    <w:rsid w:val="00462437"/>
    <w:rsid w:val="00462DFE"/>
    <w:rsid w:val="00463BA1"/>
    <w:rsid w:val="00464A59"/>
    <w:rsid w:val="00465126"/>
    <w:rsid w:val="00465501"/>
    <w:rsid w:val="004658B5"/>
    <w:rsid w:val="00466037"/>
    <w:rsid w:val="004660A7"/>
    <w:rsid w:val="00466542"/>
    <w:rsid w:val="004665CE"/>
    <w:rsid w:val="00466A00"/>
    <w:rsid w:val="00466DF5"/>
    <w:rsid w:val="004703A9"/>
    <w:rsid w:val="00470C67"/>
    <w:rsid w:val="00472CA8"/>
    <w:rsid w:val="00473ED2"/>
    <w:rsid w:val="004742F8"/>
    <w:rsid w:val="004772EC"/>
    <w:rsid w:val="00480AAF"/>
    <w:rsid w:val="00480E75"/>
    <w:rsid w:val="004819FA"/>
    <w:rsid w:val="00481EB3"/>
    <w:rsid w:val="004820AF"/>
    <w:rsid w:val="004840FE"/>
    <w:rsid w:val="0048434A"/>
    <w:rsid w:val="00487117"/>
    <w:rsid w:val="0048783B"/>
    <w:rsid w:val="00490F3D"/>
    <w:rsid w:val="004928CD"/>
    <w:rsid w:val="004929E2"/>
    <w:rsid w:val="00492EFA"/>
    <w:rsid w:val="00493688"/>
    <w:rsid w:val="004941C3"/>
    <w:rsid w:val="00494CAD"/>
    <w:rsid w:val="0049522D"/>
    <w:rsid w:val="004969A1"/>
    <w:rsid w:val="00496BC1"/>
    <w:rsid w:val="004973A1"/>
    <w:rsid w:val="00497A23"/>
    <w:rsid w:val="004A014B"/>
    <w:rsid w:val="004A01D8"/>
    <w:rsid w:val="004A084D"/>
    <w:rsid w:val="004A0FF1"/>
    <w:rsid w:val="004A2552"/>
    <w:rsid w:val="004A3A07"/>
    <w:rsid w:val="004A566E"/>
    <w:rsid w:val="004A7483"/>
    <w:rsid w:val="004A77F4"/>
    <w:rsid w:val="004B003C"/>
    <w:rsid w:val="004B150A"/>
    <w:rsid w:val="004B1941"/>
    <w:rsid w:val="004B1DED"/>
    <w:rsid w:val="004B23B6"/>
    <w:rsid w:val="004B5B85"/>
    <w:rsid w:val="004B75AB"/>
    <w:rsid w:val="004C0ACB"/>
    <w:rsid w:val="004C352F"/>
    <w:rsid w:val="004C4C87"/>
    <w:rsid w:val="004C4C96"/>
    <w:rsid w:val="004C5832"/>
    <w:rsid w:val="004C6A20"/>
    <w:rsid w:val="004C709F"/>
    <w:rsid w:val="004C792A"/>
    <w:rsid w:val="004D19B5"/>
    <w:rsid w:val="004D1FAC"/>
    <w:rsid w:val="004D237B"/>
    <w:rsid w:val="004D3072"/>
    <w:rsid w:val="004D360B"/>
    <w:rsid w:val="004D3B01"/>
    <w:rsid w:val="004D67AB"/>
    <w:rsid w:val="004D7412"/>
    <w:rsid w:val="004D74BA"/>
    <w:rsid w:val="004D7650"/>
    <w:rsid w:val="004D7BD8"/>
    <w:rsid w:val="004E0FCF"/>
    <w:rsid w:val="004E16C9"/>
    <w:rsid w:val="004E1CFB"/>
    <w:rsid w:val="004E2A5B"/>
    <w:rsid w:val="004E3B03"/>
    <w:rsid w:val="004E3D03"/>
    <w:rsid w:val="004E45C0"/>
    <w:rsid w:val="004E58EF"/>
    <w:rsid w:val="004E5DD0"/>
    <w:rsid w:val="004E665C"/>
    <w:rsid w:val="004E7763"/>
    <w:rsid w:val="004F0B55"/>
    <w:rsid w:val="004F1085"/>
    <w:rsid w:val="004F3150"/>
    <w:rsid w:val="004F329F"/>
    <w:rsid w:val="004F3798"/>
    <w:rsid w:val="004F5B5B"/>
    <w:rsid w:val="004F6A33"/>
    <w:rsid w:val="004F7F41"/>
    <w:rsid w:val="00500FF7"/>
    <w:rsid w:val="005013E1"/>
    <w:rsid w:val="0050196F"/>
    <w:rsid w:val="00502B95"/>
    <w:rsid w:val="00503535"/>
    <w:rsid w:val="005064CE"/>
    <w:rsid w:val="0050677D"/>
    <w:rsid w:val="0050774E"/>
    <w:rsid w:val="00507F47"/>
    <w:rsid w:val="005100D4"/>
    <w:rsid w:val="0051080D"/>
    <w:rsid w:val="00513683"/>
    <w:rsid w:val="00513855"/>
    <w:rsid w:val="00514191"/>
    <w:rsid w:val="00514A68"/>
    <w:rsid w:val="005155B1"/>
    <w:rsid w:val="00515BFE"/>
    <w:rsid w:val="00516B62"/>
    <w:rsid w:val="00516B6C"/>
    <w:rsid w:val="00521453"/>
    <w:rsid w:val="00521652"/>
    <w:rsid w:val="00522131"/>
    <w:rsid w:val="00523716"/>
    <w:rsid w:val="005245C9"/>
    <w:rsid w:val="0052491F"/>
    <w:rsid w:val="00525529"/>
    <w:rsid w:val="00526104"/>
    <w:rsid w:val="00527238"/>
    <w:rsid w:val="0053008F"/>
    <w:rsid w:val="0053046D"/>
    <w:rsid w:val="00533897"/>
    <w:rsid w:val="00534A61"/>
    <w:rsid w:val="00534F3C"/>
    <w:rsid w:val="005353CC"/>
    <w:rsid w:val="00536FC3"/>
    <w:rsid w:val="0053722F"/>
    <w:rsid w:val="00540954"/>
    <w:rsid w:val="00541009"/>
    <w:rsid w:val="005419AB"/>
    <w:rsid w:val="00544195"/>
    <w:rsid w:val="0054636F"/>
    <w:rsid w:val="0054675E"/>
    <w:rsid w:val="005474D9"/>
    <w:rsid w:val="00547676"/>
    <w:rsid w:val="0054782B"/>
    <w:rsid w:val="005503D7"/>
    <w:rsid w:val="00550F0C"/>
    <w:rsid w:val="00551843"/>
    <w:rsid w:val="00553372"/>
    <w:rsid w:val="00553627"/>
    <w:rsid w:val="0055368B"/>
    <w:rsid w:val="00553C6F"/>
    <w:rsid w:val="00553E43"/>
    <w:rsid w:val="00553E6E"/>
    <w:rsid w:val="00555399"/>
    <w:rsid w:val="0055675C"/>
    <w:rsid w:val="00556863"/>
    <w:rsid w:val="0055697B"/>
    <w:rsid w:val="0055711C"/>
    <w:rsid w:val="005575FA"/>
    <w:rsid w:val="0056051C"/>
    <w:rsid w:val="005608EF"/>
    <w:rsid w:val="0056189B"/>
    <w:rsid w:val="00562019"/>
    <w:rsid w:val="0056334C"/>
    <w:rsid w:val="005645FD"/>
    <w:rsid w:val="00564860"/>
    <w:rsid w:val="00565BAE"/>
    <w:rsid w:val="00566296"/>
    <w:rsid w:val="00570317"/>
    <w:rsid w:val="0057183A"/>
    <w:rsid w:val="00573A3B"/>
    <w:rsid w:val="00573C4A"/>
    <w:rsid w:val="00574D72"/>
    <w:rsid w:val="00576F7D"/>
    <w:rsid w:val="005802D7"/>
    <w:rsid w:val="005810A7"/>
    <w:rsid w:val="00581379"/>
    <w:rsid w:val="005816D2"/>
    <w:rsid w:val="00581E2C"/>
    <w:rsid w:val="005820C0"/>
    <w:rsid w:val="00582240"/>
    <w:rsid w:val="005829CF"/>
    <w:rsid w:val="00583E0B"/>
    <w:rsid w:val="00584596"/>
    <w:rsid w:val="00584BC0"/>
    <w:rsid w:val="005868A4"/>
    <w:rsid w:val="00586D11"/>
    <w:rsid w:val="00587B54"/>
    <w:rsid w:val="00587E44"/>
    <w:rsid w:val="0059030D"/>
    <w:rsid w:val="005907F1"/>
    <w:rsid w:val="00590929"/>
    <w:rsid w:val="00590DB2"/>
    <w:rsid w:val="00591130"/>
    <w:rsid w:val="00592210"/>
    <w:rsid w:val="005929FF"/>
    <w:rsid w:val="0059453A"/>
    <w:rsid w:val="00594D48"/>
    <w:rsid w:val="00594E3D"/>
    <w:rsid w:val="00596A5D"/>
    <w:rsid w:val="00597AD1"/>
    <w:rsid w:val="005A0675"/>
    <w:rsid w:val="005A0FE9"/>
    <w:rsid w:val="005A1F18"/>
    <w:rsid w:val="005A3A3A"/>
    <w:rsid w:val="005A551E"/>
    <w:rsid w:val="005A58C9"/>
    <w:rsid w:val="005B1216"/>
    <w:rsid w:val="005B23C8"/>
    <w:rsid w:val="005B3F47"/>
    <w:rsid w:val="005B4B9D"/>
    <w:rsid w:val="005C2748"/>
    <w:rsid w:val="005C3F5E"/>
    <w:rsid w:val="005C579E"/>
    <w:rsid w:val="005C6374"/>
    <w:rsid w:val="005C6460"/>
    <w:rsid w:val="005C6899"/>
    <w:rsid w:val="005C7956"/>
    <w:rsid w:val="005C7E7D"/>
    <w:rsid w:val="005D08EA"/>
    <w:rsid w:val="005D0FD8"/>
    <w:rsid w:val="005D1D03"/>
    <w:rsid w:val="005D2920"/>
    <w:rsid w:val="005D40A7"/>
    <w:rsid w:val="005D4634"/>
    <w:rsid w:val="005D4D14"/>
    <w:rsid w:val="005D6210"/>
    <w:rsid w:val="005D7997"/>
    <w:rsid w:val="005E06C6"/>
    <w:rsid w:val="005E0A45"/>
    <w:rsid w:val="005E22FF"/>
    <w:rsid w:val="005E367C"/>
    <w:rsid w:val="005E3F5A"/>
    <w:rsid w:val="005E528D"/>
    <w:rsid w:val="005F0024"/>
    <w:rsid w:val="005F01EB"/>
    <w:rsid w:val="005F08FE"/>
    <w:rsid w:val="005F1118"/>
    <w:rsid w:val="005F1AC1"/>
    <w:rsid w:val="005F3099"/>
    <w:rsid w:val="005F341D"/>
    <w:rsid w:val="005F44D0"/>
    <w:rsid w:val="005F68DF"/>
    <w:rsid w:val="005F6EC3"/>
    <w:rsid w:val="005F6FEA"/>
    <w:rsid w:val="00600174"/>
    <w:rsid w:val="00601E3D"/>
    <w:rsid w:val="00603D4F"/>
    <w:rsid w:val="00603D6C"/>
    <w:rsid w:val="0060650F"/>
    <w:rsid w:val="00607C25"/>
    <w:rsid w:val="00607DF4"/>
    <w:rsid w:val="00607F07"/>
    <w:rsid w:val="00610327"/>
    <w:rsid w:val="00610DC8"/>
    <w:rsid w:val="00611614"/>
    <w:rsid w:val="0061163D"/>
    <w:rsid w:val="00611FA4"/>
    <w:rsid w:val="00612A2B"/>
    <w:rsid w:val="00612AD4"/>
    <w:rsid w:val="006135AF"/>
    <w:rsid w:val="00614D6C"/>
    <w:rsid w:val="006154A2"/>
    <w:rsid w:val="00615737"/>
    <w:rsid w:val="006167CC"/>
    <w:rsid w:val="00621A8A"/>
    <w:rsid w:val="00624639"/>
    <w:rsid w:val="00624C14"/>
    <w:rsid w:val="00625087"/>
    <w:rsid w:val="00625AFC"/>
    <w:rsid w:val="00626541"/>
    <w:rsid w:val="006267BE"/>
    <w:rsid w:val="0062728E"/>
    <w:rsid w:val="00627979"/>
    <w:rsid w:val="00630268"/>
    <w:rsid w:val="00630CE2"/>
    <w:rsid w:val="00631C43"/>
    <w:rsid w:val="006333F0"/>
    <w:rsid w:val="00633437"/>
    <w:rsid w:val="006339DA"/>
    <w:rsid w:val="00634D49"/>
    <w:rsid w:val="00635037"/>
    <w:rsid w:val="00635E6B"/>
    <w:rsid w:val="00636680"/>
    <w:rsid w:val="00637773"/>
    <w:rsid w:val="00641AF2"/>
    <w:rsid w:val="00643335"/>
    <w:rsid w:val="006447F4"/>
    <w:rsid w:val="00644C7F"/>
    <w:rsid w:val="006468D6"/>
    <w:rsid w:val="00646995"/>
    <w:rsid w:val="00647360"/>
    <w:rsid w:val="00647876"/>
    <w:rsid w:val="00647FB6"/>
    <w:rsid w:val="00650320"/>
    <w:rsid w:val="00650597"/>
    <w:rsid w:val="006516F2"/>
    <w:rsid w:val="006523E0"/>
    <w:rsid w:val="0065264C"/>
    <w:rsid w:val="00652D4E"/>
    <w:rsid w:val="00653691"/>
    <w:rsid w:val="00655046"/>
    <w:rsid w:val="006557F0"/>
    <w:rsid w:val="00655EE9"/>
    <w:rsid w:val="006560AF"/>
    <w:rsid w:val="0065656A"/>
    <w:rsid w:val="0065784C"/>
    <w:rsid w:val="00661478"/>
    <w:rsid w:val="00661970"/>
    <w:rsid w:val="00661979"/>
    <w:rsid w:val="00661CF9"/>
    <w:rsid w:val="00661E5A"/>
    <w:rsid w:val="0066332E"/>
    <w:rsid w:val="00664A19"/>
    <w:rsid w:val="00667556"/>
    <w:rsid w:val="00671377"/>
    <w:rsid w:val="00671AC1"/>
    <w:rsid w:val="006726C9"/>
    <w:rsid w:val="00672EAC"/>
    <w:rsid w:val="00673FB7"/>
    <w:rsid w:val="00676A57"/>
    <w:rsid w:val="0068127E"/>
    <w:rsid w:val="0068187D"/>
    <w:rsid w:val="006818E1"/>
    <w:rsid w:val="006857BA"/>
    <w:rsid w:val="00685AED"/>
    <w:rsid w:val="00690158"/>
    <w:rsid w:val="00690758"/>
    <w:rsid w:val="006922A1"/>
    <w:rsid w:val="00692AC6"/>
    <w:rsid w:val="00694412"/>
    <w:rsid w:val="00695424"/>
    <w:rsid w:val="00697C85"/>
    <w:rsid w:val="00697FBF"/>
    <w:rsid w:val="006A0B0C"/>
    <w:rsid w:val="006A13BA"/>
    <w:rsid w:val="006A1A9C"/>
    <w:rsid w:val="006A3FFD"/>
    <w:rsid w:val="006A4921"/>
    <w:rsid w:val="006A62F9"/>
    <w:rsid w:val="006B17B8"/>
    <w:rsid w:val="006B3698"/>
    <w:rsid w:val="006B3738"/>
    <w:rsid w:val="006B38AE"/>
    <w:rsid w:val="006B5F4B"/>
    <w:rsid w:val="006C0112"/>
    <w:rsid w:val="006C0A14"/>
    <w:rsid w:val="006C1319"/>
    <w:rsid w:val="006C1F5B"/>
    <w:rsid w:val="006C371F"/>
    <w:rsid w:val="006C3B61"/>
    <w:rsid w:val="006C439B"/>
    <w:rsid w:val="006C4681"/>
    <w:rsid w:val="006C5655"/>
    <w:rsid w:val="006C6C8A"/>
    <w:rsid w:val="006C717D"/>
    <w:rsid w:val="006D0D42"/>
    <w:rsid w:val="006D2035"/>
    <w:rsid w:val="006D2E84"/>
    <w:rsid w:val="006D3088"/>
    <w:rsid w:val="006D35E9"/>
    <w:rsid w:val="006D52A8"/>
    <w:rsid w:val="006D54AC"/>
    <w:rsid w:val="006D6FD0"/>
    <w:rsid w:val="006D751D"/>
    <w:rsid w:val="006D76F3"/>
    <w:rsid w:val="006D7AAE"/>
    <w:rsid w:val="006E0383"/>
    <w:rsid w:val="006E5586"/>
    <w:rsid w:val="006E571B"/>
    <w:rsid w:val="006E5FAC"/>
    <w:rsid w:val="006E6FA6"/>
    <w:rsid w:val="006E7ACB"/>
    <w:rsid w:val="006E7D80"/>
    <w:rsid w:val="006F00F5"/>
    <w:rsid w:val="006F0A75"/>
    <w:rsid w:val="006F2DAC"/>
    <w:rsid w:val="006F311D"/>
    <w:rsid w:val="006F3DD7"/>
    <w:rsid w:val="006F5F5D"/>
    <w:rsid w:val="006F61EA"/>
    <w:rsid w:val="006F67A6"/>
    <w:rsid w:val="006F6911"/>
    <w:rsid w:val="006F77AC"/>
    <w:rsid w:val="00700F0C"/>
    <w:rsid w:val="007014B1"/>
    <w:rsid w:val="007033DE"/>
    <w:rsid w:val="00703481"/>
    <w:rsid w:val="00704700"/>
    <w:rsid w:val="007051E8"/>
    <w:rsid w:val="007057DC"/>
    <w:rsid w:val="00705C1F"/>
    <w:rsid w:val="007066C5"/>
    <w:rsid w:val="0071097E"/>
    <w:rsid w:val="00712471"/>
    <w:rsid w:val="00712CA7"/>
    <w:rsid w:val="00714882"/>
    <w:rsid w:val="007148A4"/>
    <w:rsid w:val="007157AD"/>
    <w:rsid w:val="007166DC"/>
    <w:rsid w:val="0071772F"/>
    <w:rsid w:val="00720214"/>
    <w:rsid w:val="00720B17"/>
    <w:rsid w:val="00720BC9"/>
    <w:rsid w:val="00721527"/>
    <w:rsid w:val="00722312"/>
    <w:rsid w:val="00723118"/>
    <w:rsid w:val="00723609"/>
    <w:rsid w:val="00723FC5"/>
    <w:rsid w:val="00724275"/>
    <w:rsid w:val="007248BF"/>
    <w:rsid w:val="00724950"/>
    <w:rsid w:val="00724A51"/>
    <w:rsid w:val="0073013B"/>
    <w:rsid w:val="0073283C"/>
    <w:rsid w:val="007330A5"/>
    <w:rsid w:val="007331DB"/>
    <w:rsid w:val="007332F5"/>
    <w:rsid w:val="00733679"/>
    <w:rsid w:val="00737B0C"/>
    <w:rsid w:val="00741036"/>
    <w:rsid w:val="00742368"/>
    <w:rsid w:val="00743139"/>
    <w:rsid w:val="0074505E"/>
    <w:rsid w:val="00745518"/>
    <w:rsid w:val="00745C01"/>
    <w:rsid w:val="00750014"/>
    <w:rsid w:val="007515FB"/>
    <w:rsid w:val="00752B47"/>
    <w:rsid w:val="00753894"/>
    <w:rsid w:val="00753BAE"/>
    <w:rsid w:val="00753BEC"/>
    <w:rsid w:val="00754371"/>
    <w:rsid w:val="007559A4"/>
    <w:rsid w:val="00756F53"/>
    <w:rsid w:val="007604F8"/>
    <w:rsid w:val="00765045"/>
    <w:rsid w:val="00765A97"/>
    <w:rsid w:val="007668B1"/>
    <w:rsid w:val="0077026B"/>
    <w:rsid w:val="007706AE"/>
    <w:rsid w:val="007717E4"/>
    <w:rsid w:val="007726D4"/>
    <w:rsid w:val="007732E5"/>
    <w:rsid w:val="0077392A"/>
    <w:rsid w:val="00773C23"/>
    <w:rsid w:val="007750D0"/>
    <w:rsid w:val="00775B81"/>
    <w:rsid w:val="00775CCD"/>
    <w:rsid w:val="00775D50"/>
    <w:rsid w:val="00777006"/>
    <w:rsid w:val="007837E1"/>
    <w:rsid w:val="00783841"/>
    <w:rsid w:val="00783CD5"/>
    <w:rsid w:val="00784FAD"/>
    <w:rsid w:val="00786A54"/>
    <w:rsid w:val="007873A8"/>
    <w:rsid w:val="00787F8E"/>
    <w:rsid w:val="0079101C"/>
    <w:rsid w:val="0079107B"/>
    <w:rsid w:val="00791211"/>
    <w:rsid w:val="007918A7"/>
    <w:rsid w:val="007934AE"/>
    <w:rsid w:val="00794BAB"/>
    <w:rsid w:val="00795637"/>
    <w:rsid w:val="0079639D"/>
    <w:rsid w:val="007963E1"/>
    <w:rsid w:val="00796563"/>
    <w:rsid w:val="00797A24"/>
    <w:rsid w:val="00797E4E"/>
    <w:rsid w:val="007A0501"/>
    <w:rsid w:val="007A096F"/>
    <w:rsid w:val="007A235B"/>
    <w:rsid w:val="007A29A1"/>
    <w:rsid w:val="007A3320"/>
    <w:rsid w:val="007A42AA"/>
    <w:rsid w:val="007A4671"/>
    <w:rsid w:val="007A59A2"/>
    <w:rsid w:val="007A7FAD"/>
    <w:rsid w:val="007B4175"/>
    <w:rsid w:val="007B482A"/>
    <w:rsid w:val="007B5520"/>
    <w:rsid w:val="007B592E"/>
    <w:rsid w:val="007B7AA7"/>
    <w:rsid w:val="007C2E52"/>
    <w:rsid w:val="007C334F"/>
    <w:rsid w:val="007C44B2"/>
    <w:rsid w:val="007C4D01"/>
    <w:rsid w:val="007C5BD9"/>
    <w:rsid w:val="007C5D5A"/>
    <w:rsid w:val="007C7D15"/>
    <w:rsid w:val="007D12F2"/>
    <w:rsid w:val="007D253B"/>
    <w:rsid w:val="007D3D6E"/>
    <w:rsid w:val="007D3DBE"/>
    <w:rsid w:val="007D3EBB"/>
    <w:rsid w:val="007D41CE"/>
    <w:rsid w:val="007D5E13"/>
    <w:rsid w:val="007D6947"/>
    <w:rsid w:val="007D794D"/>
    <w:rsid w:val="007E1704"/>
    <w:rsid w:val="007E1944"/>
    <w:rsid w:val="007E1E37"/>
    <w:rsid w:val="007E26D2"/>
    <w:rsid w:val="007E3078"/>
    <w:rsid w:val="007E3C7D"/>
    <w:rsid w:val="007E4A0C"/>
    <w:rsid w:val="007E4AC7"/>
    <w:rsid w:val="007E4DDD"/>
    <w:rsid w:val="007E4E5C"/>
    <w:rsid w:val="007E5C53"/>
    <w:rsid w:val="007E6C2A"/>
    <w:rsid w:val="007E7737"/>
    <w:rsid w:val="007F1305"/>
    <w:rsid w:val="007F1351"/>
    <w:rsid w:val="007F1799"/>
    <w:rsid w:val="007F2454"/>
    <w:rsid w:val="007F30FD"/>
    <w:rsid w:val="007F3A22"/>
    <w:rsid w:val="007F5047"/>
    <w:rsid w:val="007F53DD"/>
    <w:rsid w:val="007F6162"/>
    <w:rsid w:val="007F61B6"/>
    <w:rsid w:val="007F7D38"/>
    <w:rsid w:val="00802E78"/>
    <w:rsid w:val="00803B02"/>
    <w:rsid w:val="00803C7A"/>
    <w:rsid w:val="008042F2"/>
    <w:rsid w:val="00804FB3"/>
    <w:rsid w:val="008053B7"/>
    <w:rsid w:val="00805A91"/>
    <w:rsid w:val="00806A72"/>
    <w:rsid w:val="00806C0A"/>
    <w:rsid w:val="00813DE7"/>
    <w:rsid w:val="00813E81"/>
    <w:rsid w:val="0081547C"/>
    <w:rsid w:val="00815D2D"/>
    <w:rsid w:val="00817B0A"/>
    <w:rsid w:val="0082189A"/>
    <w:rsid w:val="00824448"/>
    <w:rsid w:val="008246CD"/>
    <w:rsid w:val="0082563F"/>
    <w:rsid w:val="00825CFA"/>
    <w:rsid w:val="00826000"/>
    <w:rsid w:val="008272CE"/>
    <w:rsid w:val="00830089"/>
    <w:rsid w:val="008332CC"/>
    <w:rsid w:val="0083381A"/>
    <w:rsid w:val="00835850"/>
    <w:rsid w:val="008368C6"/>
    <w:rsid w:val="00836991"/>
    <w:rsid w:val="00836E8A"/>
    <w:rsid w:val="00837F4A"/>
    <w:rsid w:val="00837F82"/>
    <w:rsid w:val="00840007"/>
    <w:rsid w:val="00840D26"/>
    <w:rsid w:val="008425DF"/>
    <w:rsid w:val="00843054"/>
    <w:rsid w:val="0084476D"/>
    <w:rsid w:val="008456E5"/>
    <w:rsid w:val="0084753F"/>
    <w:rsid w:val="008501E2"/>
    <w:rsid w:val="008504AD"/>
    <w:rsid w:val="00851A74"/>
    <w:rsid w:val="00853270"/>
    <w:rsid w:val="008535EF"/>
    <w:rsid w:val="00853790"/>
    <w:rsid w:val="0085550E"/>
    <w:rsid w:val="008571A7"/>
    <w:rsid w:val="008605D3"/>
    <w:rsid w:val="00862EB6"/>
    <w:rsid w:val="00863A4D"/>
    <w:rsid w:val="00863D9B"/>
    <w:rsid w:val="008670D6"/>
    <w:rsid w:val="00867902"/>
    <w:rsid w:val="008707EF"/>
    <w:rsid w:val="0087331D"/>
    <w:rsid w:val="00876485"/>
    <w:rsid w:val="00876EFA"/>
    <w:rsid w:val="008822BD"/>
    <w:rsid w:val="00882F72"/>
    <w:rsid w:val="00884550"/>
    <w:rsid w:val="00885BA6"/>
    <w:rsid w:val="00886023"/>
    <w:rsid w:val="00886F14"/>
    <w:rsid w:val="00887EF7"/>
    <w:rsid w:val="00893135"/>
    <w:rsid w:val="00894219"/>
    <w:rsid w:val="008943A2"/>
    <w:rsid w:val="008946F4"/>
    <w:rsid w:val="00896889"/>
    <w:rsid w:val="00897377"/>
    <w:rsid w:val="0089795C"/>
    <w:rsid w:val="00897C3C"/>
    <w:rsid w:val="008A0A66"/>
    <w:rsid w:val="008A14A1"/>
    <w:rsid w:val="008A2F45"/>
    <w:rsid w:val="008A2FC2"/>
    <w:rsid w:val="008A3C6B"/>
    <w:rsid w:val="008A3C91"/>
    <w:rsid w:val="008A45D5"/>
    <w:rsid w:val="008A480D"/>
    <w:rsid w:val="008A4C3B"/>
    <w:rsid w:val="008A5C34"/>
    <w:rsid w:val="008A70F3"/>
    <w:rsid w:val="008A7681"/>
    <w:rsid w:val="008A7C74"/>
    <w:rsid w:val="008A7F7A"/>
    <w:rsid w:val="008B0026"/>
    <w:rsid w:val="008B1C1A"/>
    <w:rsid w:val="008B2340"/>
    <w:rsid w:val="008B2ADB"/>
    <w:rsid w:val="008B3BDB"/>
    <w:rsid w:val="008B3EB0"/>
    <w:rsid w:val="008B4C44"/>
    <w:rsid w:val="008B5BC7"/>
    <w:rsid w:val="008B65D1"/>
    <w:rsid w:val="008B6BF5"/>
    <w:rsid w:val="008B7386"/>
    <w:rsid w:val="008B799A"/>
    <w:rsid w:val="008C0397"/>
    <w:rsid w:val="008C0B36"/>
    <w:rsid w:val="008C17FA"/>
    <w:rsid w:val="008C1F02"/>
    <w:rsid w:val="008C3090"/>
    <w:rsid w:val="008C3891"/>
    <w:rsid w:val="008D08A7"/>
    <w:rsid w:val="008D14CA"/>
    <w:rsid w:val="008D15FD"/>
    <w:rsid w:val="008D1845"/>
    <w:rsid w:val="008D22D0"/>
    <w:rsid w:val="008D3966"/>
    <w:rsid w:val="008D41C8"/>
    <w:rsid w:val="008D6196"/>
    <w:rsid w:val="008D650F"/>
    <w:rsid w:val="008D6634"/>
    <w:rsid w:val="008D68DD"/>
    <w:rsid w:val="008E0189"/>
    <w:rsid w:val="008E0ABD"/>
    <w:rsid w:val="008E1E7B"/>
    <w:rsid w:val="008E2FB6"/>
    <w:rsid w:val="008E30E2"/>
    <w:rsid w:val="008E31FC"/>
    <w:rsid w:val="008E3974"/>
    <w:rsid w:val="008E413A"/>
    <w:rsid w:val="008E45AF"/>
    <w:rsid w:val="008E5EDF"/>
    <w:rsid w:val="008E6091"/>
    <w:rsid w:val="008F08DF"/>
    <w:rsid w:val="008F0EE0"/>
    <w:rsid w:val="008F1EA5"/>
    <w:rsid w:val="008F39E6"/>
    <w:rsid w:val="008F3D3D"/>
    <w:rsid w:val="008F5A1B"/>
    <w:rsid w:val="008F6E4E"/>
    <w:rsid w:val="008F78F6"/>
    <w:rsid w:val="008F7CB6"/>
    <w:rsid w:val="009033B3"/>
    <w:rsid w:val="00904FCC"/>
    <w:rsid w:val="0090527C"/>
    <w:rsid w:val="0090577A"/>
    <w:rsid w:val="00905932"/>
    <w:rsid w:val="00905DB6"/>
    <w:rsid w:val="0090651B"/>
    <w:rsid w:val="00906EAF"/>
    <w:rsid w:val="00910F7E"/>
    <w:rsid w:val="009124A5"/>
    <w:rsid w:val="00913266"/>
    <w:rsid w:val="009135B2"/>
    <w:rsid w:val="00913EB6"/>
    <w:rsid w:val="00915601"/>
    <w:rsid w:val="00915A2A"/>
    <w:rsid w:val="00917934"/>
    <w:rsid w:val="0092002E"/>
    <w:rsid w:val="0092064C"/>
    <w:rsid w:val="00920B7D"/>
    <w:rsid w:val="00921DEB"/>
    <w:rsid w:val="009224D8"/>
    <w:rsid w:val="009240C8"/>
    <w:rsid w:val="00925920"/>
    <w:rsid w:val="00926564"/>
    <w:rsid w:val="0092674A"/>
    <w:rsid w:val="00926DE3"/>
    <w:rsid w:val="00927188"/>
    <w:rsid w:val="009278C1"/>
    <w:rsid w:val="009304E2"/>
    <w:rsid w:val="0093081B"/>
    <w:rsid w:val="009308DF"/>
    <w:rsid w:val="00930CFF"/>
    <w:rsid w:val="00930F92"/>
    <w:rsid w:val="00932792"/>
    <w:rsid w:val="00932849"/>
    <w:rsid w:val="00933BCF"/>
    <w:rsid w:val="00934AE4"/>
    <w:rsid w:val="00934F14"/>
    <w:rsid w:val="0093506F"/>
    <w:rsid w:val="009356C3"/>
    <w:rsid w:val="00935A1E"/>
    <w:rsid w:val="009368CB"/>
    <w:rsid w:val="009379EE"/>
    <w:rsid w:val="0094013F"/>
    <w:rsid w:val="00940A98"/>
    <w:rsid w:val="00941106"/>
    <w:rsid w:val="00942FB1"/>
    <w:rsid w:val="00944038"/>
    <w:rsid w:val="00945BE5"/>
    <w:rsid w:val="0094630D"/>
    <w:rsid w:val="00946F9B"/>
    <w:rsid w:val="0094720D"/>
    <w:rsid w:val="00947B85"/>
    <w:rsid w:val="00947D80"/>
    <w:rsid w:val="0095014C"/>
    <w:rsid w:val="00950A79"/>
    <w:rsid w:val="00950B2E"/>
    <w:rsid w:val="00950F6D"/>
    <w:rsid w:val="0095291E"/>
    <w:rsid w:val="009529E4"/>
    <w:rsid w:val="00952BB3"/>
    <w:rsid w:val="00955048"/>
    <w:rsid w:val="00955C3A"/>
    <w:rsid w:val="009562B1"/>
    <w:rsid w:val="009569BF"/>
    <w:rsid w:val="009626FD"/>
    <w:rsid w:val="00962D33"/>
    <w:rsid w:val="00963BC4"/>
    <w:rsid w:val="0096491D"/>
    <w:rsid w:val="009654D9"/>
    <w:rsid w:val="00966819"/>
    <w:rsid w:val="00967BF4"/>
    <w:rsid w:val="00970245"/>
    <w:rsid w:val="009714FB"/>
    <w:rsid w:val="00972FBD"/>
    <w:rsid w:val="009730EF"/>
    <w:rsid w:val="00973DB9"/>
    <w:rsid w:val="009740BD"/>
    <w:rsid w:val="00976E29"/>
    <w:rsid w:val="009807D6"/>
    <w:rsid w:val="009815E0"/>
    <w:rsid w:val="009817B9"/>
    <w:rsid w:val="009824CE"/>
    <w:rsid w:val="00982798"/>
    <w:rsid w:val="009827E3"/>
    <w:rsid w:val="009846B8"/>
    <w:rsid w:val="009847B2"/>
    <w:rsid w:val="00985122"/>
    <w:rsid w:val="00986DD0"/>
    <w:rsid w:val="00991AF3"/>
    <w:rsid w:val="009941A3"/>
    <w:rsid w:val="00994774"/>
    <w:rsid w:val="009951E0"/>
    <w:rsid w:val="00997B0E"/>
    <w:rsid w:val="009A0850"/>
    <w:rsid w:val="009A59E5"/>
    <w:rsid w:val="009A7549"/>
    <w:rsid w:val="009B148F"/>
    <w:rsid w:val="009B2737"/>
    <w:rsid w:val="009B3571"/>
    <w:rsid w:val="009B3CEF"/>
    <w:rsid w:val="009C07C2"/>
    <w:rsid w:val="009C2CE2"/>
    <w:rsid w:val="009C3977"/>
    <w:rsid w:val="009C3F8A"/>
    <w:rsid w:val="009C4B19"/>
    <w:rsid w:val="009C584D"/>
    <w:rsid w:val="009C5D36"/>
    <w:rsid w:val="009C619F"/>
    <w:rsid w:val="009C666F"/>
    <w:rsid w:val="009C6E98"/>
    <w:rsid w:val="009D009D"/>
    <w:rsid w:val="009D0425"/>
    <w:rsid w:val="009D06A5"/>
    <w:rsid w:val="009D0784"/>
    <w:rsid w:val="009D082F"/>
    <w:rsid w:val="009D2C9E"/>
    <w:rsid w:val="009D4443"/>
    <w:rsid w:val="009D5198"/>
    <w:rsid w:val="009D7219"/>
    <w:rsid w:val="009E0A39"/>
    <w:rsid w:val="009E2423"/>
    <w:rsid w:val="009E251F"/>
    <w:rsid w:val="009E3595"/>
    <w:rsid w:val="009E392C"/>
    <w:rsid w:val="009E5A14"/>
    <w:rsid w:val="009F0A70"/>
    <w:rsid w:val="009F1A4C"/>
    <w:rsid w:val="009F26F1"/>
    <w:rsid w:val="009F28E3"/>
    <w:rsid w:val="009F2EAC"/>
    <w:rsid w:val="009F3BC7"/>
    <w:rsid w:val="009F5585"/>
    <w:rsid w:val="009F5A0D"/>
    <w:rsid w:val="009F644C"/>
    <w:rsid w:val="009F680A"/>
    <w:rsid w:val="009F724B"/>
    <w:rsid w:val="009F7275"/>
    <w:rsid w:val="009F781E"/>
    <w:rsid w:val="00A00BDA"/>
    <w:rsid w:val="00A00C6F"/>
    <w:rsid w:val="00A00EB9"/>
    <w:rsid w:val="00A01646"/>
    <w:rsid w:val="00A01F65"/>
    <w:rsid w:val="00A02A94"/>
    <w:rsid w:val="00A03498"/>
    <w:rsid w:val="00A03985"/>
    <w:rsid w:val="00A0518E"/>
    <w:rsid w:val="00A05258"/>
    <w:rsid w:val="00A052D5"/>
    <w:rsid w:val="00A05F4E"/>
    <w:rsid w:val="00A065A0"/>
    <w:rsid w:val="00A06FB5"/>
    <w:rsid w:val="00A070E0"/>
    <w:rsid w:val="00A10A60"/>
    <w:rsid w:val="00A11D16"/>
    <w:rsid w:val="00A12552"/>
    <w:rsid w:val="00A1377B"/>
    <w:rsid w:val="00A1381C"/>
    <w:rsid w:val="00A13832"/>
    <w:rsid w:val="00A13FFD"/>
    <w:rsid w:val="00A16AA6"/>
    <w:rsid w:val="00A16ED0"/>
    <w:rsid w:val="00A1722A"/>
    <w:rsid w:val="00A22007"/>
    <w:rsid w:val="00A2374D"/>
    <w:rsid w:val="00A2476A"/>
    <w:rsid w:val="00A272E5"/>
    <w:rsid w:val="00A276C7"/>
    <w:rsid w:val="00A279A9"/>
    <w:rsid w:val="00A32331"/>
    <w:rsid w:val="00A32506"/>
    <w:rsid w:val="00A32734"/>
    <w:rsid w:val="00A34039"/>
    <w:rsid w:val="00A376D4"/>
    <w:rsid w:val="00A37766"/>
    <w:rsid w:val="00A41281"/>
    <w:rsid w:val="00A46BA9"/>
    <w:rsid w:val="00A47B33"/>
    <w:rsid w:val="00A50174"/>
    <w:rsid w:val="00A52B52"/>
    <w:rsid w:val="00A541DB"/>
    <w:rsid w:val="00A546B9"/>
    <w:rsid w:val="00A54D08"/>
    <w:rsid w:val="00A54F1A"/>
    <w:rsid w:val="00A559EA"/>
    <w:rsid w:val="00A565C9"/>
    <w:rsid w:val="00A571BA"/>
    <w:rsid w:val="00A573DD"/>
    <w:rsid w:val="00A613A5"/>
    <w:rsid w:val="00A618B0"/>
    <w:rsid w:val="00A61C9F"/>
    <w:rsid w:val="00A6201C"/>
    <w:rsid w:val="00A63023"/>
    <w:rsid w:val="00A637D5"/>
    <w:rsid w:val="00A63A29"/>
    <w:rsid w:val="00A63E49"/>
    <w:rsid w:val="00A6405A"/>
    <w:rsid w:val="00A640AF"/>
    <w:rsid w:val="00A64E38"/>
    <w:rsid w:val="00A64E6F"/>
    <w:rsid w:val="00A650EF"/>
    <w:rsid w:val="00A65671"/>
    <w:rsid w:val="00A664A1"/>
    <w:rsid w:val="00A6692D"/>
    <w:rsid w:val="00A6775A"/>
    <w:rsid w:val="00A71DAB"/>
    <w:rsid w:val="00A739E2"/>
    <w:rsid w:val="00A740DF"/>
    <w:rsid w:val="00A745CA"/>
    <w:rsid w:val="00A74903"/>
    <w:rsid w:val="00A74E74"/>
    <w:rsid w:val="00A76A00"/>
    <w:rsid w:val="00A777CF"/>
    <w:rsid w:val="00A82B8E"/>
    <w:rsid w:val="00A8314D"/>
    <w:rsid w:val="00A83FD4"/>
    <w:rsid w:val="00A861D1"/>
    <w:rsid w:val="00A8652F"/>
    <w:rsid w:val="00A86E4E"/>
    <w:rsid w:val="00A912D5"/>
    <w:rsid w:val="00A91CCE"/>
    <w:rsid w:val="00A91E60"/>
    <w:rsid w:val="00A91EF1"/>
    <w:rsid w:val="00A9279E"/>
    <w:rsid w:val="00A9383F"/>
    <w:rsid w:val="00A93ABB"/>
    <w:rsid w:val="00A93F1B"/>
    <w:rsid w:val="00A96DB3"/>
    <w:rsid w:val="00AA103A"/>
    <w:rsid w:val="00AA26FC"/>
    <w:rsid w:val="00AA2D89"/>
    <w:rsid w:val="00AA3242"/>
    <w:rsid w:val="00AA32C5"/>
    <w:rsid w:val="00AA63A3"/>
    <w:rsid w:val="00AB235A"/>
    <w:rsid w:val="00AB24F0"/>
    <w:rsid w:val="00AB2D6A"/>
    <w:rsid w:val="00AB36C4"/>
    <w:rsid w:val="00AB51EA"/>
    <w:rsid w:val="00AB6243"/>
    <w:rsid w:val="00AB6B03"/>
    <w:rsid w:val="00AB6D8F"/>
    <w:rsid w:val="00AB7543"/>
    <w:rsid w:val="00AC103C"/>
    <w:rsid w:val="00AC318D"/>
    <w:rsid w:val="00AC39CB"/>
    <w:rsid w:val="00AC3D30"/>
    <w:rsid w:val="00AC43F1"/>
    <w:rsid w:val="00AC5051"/>
    <w:rsid w:val="00AC535E"/>
    <w:rsid w:val="00AC596B"/>
    <w:rsid w:val="00AC6923"/>
    <w:rsid w:val="00AC6D75"/>
    <w:rsid w:val="00AD0507"/>
    <w:rsid w:val="00AD14BB"/>
    <w:rsid w:val="00AD1682"/>
    <w:rsid w:val="00AD16BB"/>
    <w:rsid w:val="00AD1BA0"/>
    <w:rsid w:val="00AD1D8E"/>
    <w:rsid w:val="00AD22FA"/>
    <w:rsid w:val="00AD3C80"/>
    <w:rsid w:val="00AD3D39"/>
    <w:rsid w:val="00AD4780"/>
    <w:rsid w:val="00AD5007"/>
    <w:rsid w:val="00AD5456"/>
    <w:rsid w:val="00AD5486"/>
    <w:rsid w:val="00AD5ABF"/>
    <w:rsid w:val="00AD5E0C"/>
    <w:rsid w:val="00AD627F"/>
    <w:rsid w:val="00AD6721"/>
    <w:rsid w:val="00AD6787"/>
    <w:rsid w:val="00AD786D"/>
    <w:rsid w:val="00AE1B1F"/>
    <w:rsid w:val="00AE21BF"/>
    <w:rsid w:val="00AE5599"/>
    <w:rsid w:val="00AE5606"/>
    <w:rsid w:val="00AE6C09"/>
    <w:rsid w:val="00AE7CDA"/>
    <w:rsid w:val="00AF0634"/>
    <w:rsid w:val="00AF0711"/>
    <w:rsid w:val="00AF169F"/>
    <w:rsid w:val="00AF1BAB"/>
    <w:rsid w:val="00AF3748"/>
    <w:rsid w:val="00AF3F57"/>
    <w:rsid w:val="00AF5D0B"/>
    <w:rsid w:val="00B00D97"/>
    <w:rsid w:val="00B02D07"/>
    <w:rsid w:val="00B03A2C"/>
    <w:rsid w:val="00B050BB"/>
    <w:rsid w:val="00B051A3"/>
    <w:rsid w:val="00B05411"/>
    <w:rsid w:val="00B05B4F"/>
    <w:rsid w:val="00B07266"/>
    <w:rsid w:val="00B10904"/>
    <w:rsid w:val="00B10E8C"/>
    <w:rsid w:val="00B112F0"/>
    <w:rsid w:val="00B11657"/>
    <w:rsid w:val="00B12125"/>
    <w:rsid w:val="00B13615"/>
    <w:rsid w:val="00B14282"/>
    <w:rsid w:val="00B23386"/>
    <w:rsid w:val="00B23613"/>
    <w:rsid w:val="00B236D9"/>
    <w:rsid w:val="00B237EA"/>
    <w:rsid w:val="00B242CB"/>
    <w:rsid w:val="00B246D2"/>
    <w:rsid w:val="00B249CD"/>
    <w:rsid w:val="00B258C7"/>
    <w:rsid w:val="00B25B40"/>
    <w:rsid w:val="00B25BDD"/>
    <w:rsid w:val="00B25C96"/>
    <w:rsid w:val="00B26031"/>
    <w:rsid w:val="00B26FC0"/>
    <w:rsid w:val="00B270CA"/>
    <w:rsid w:val="00B311AB"/>
    <w:rsid w:val="00B328B5"/>
    <w:rsid w:val="00B334AC"/>
    <w:rsid w:val="00B33FDA"/>
    <w:rsid w:val="00B3422D"/>
    <w:rsid w:val="00B35CAF"/>
    <w:rsid w:val="00B36421"/>
    <w:rsid w:val="00B378C9"/>
    <w:rsid w:val="00B379BE"/>
    <w:rsid w:val="00B37E56"/>
    <w:rsid w:val="00B415D8"/>
    <w:rsid w:val="00B425EB"/>
    <w:rsid w:val="00B43DB4"/>
    <w:rsid w:val="00B467CD"/>
    <w:rsid w:val="00B46868"/>
    <w:rsid w:val="00B51B1E"/>
    <w:rsid w:val="00B52EE1"/>
    <w:rsid w:val="00B539E0"/>
    <w:rsid w:val="00B5471B"/>
    <w:rsid w:val="00B54CB1"/>
    <w:rsid w:val="00B54E9A"/>
    <w:rsid w:val="00B55964"/>
    <w:rsid w:val="00B55B0D"/>
    <w:rsid w:val="00B5704E"/>
    <w:rsid w:val="00B57A4D"/>
    <w:rsid w:val="00B604B6"/>
    <w:rsid w:val="00B61FBD"/>
    <w:rsid w:val="00B6291A"/>
    <w:rsid w:val="00B63BAD"/>
    <w:rsid w:val="00B652F4"/>
    <w:rsid w:val="00B6554F"/>
    <w:rsid w:val="00B6570C"/>
    <w:rsid w:val="00B66962"/>
    <w:rsid w:val="00B67FAA"/>
    <w:rsid w:val="00B70577"/>
    <w:rsid w:val="00B7067E"/>
    <w:rsid w:val="00B726E0"/>
    <w:rsid w:val="00B72793"/>
    <w:rsid w:val="00B72A5C"/>
    <w:rsid w:val="00B73333"/>
    <w:rsid w:val="00B743DB"/>
    <w:rsid w:val="00B75A1E"/>
    <w:rsid w:val="00B761DD"/>
    <w:rsid w:val="00B761FC"/>
    <w:rsid w:val="00B762B3"/>
    <w:rsid w:val="00B7709D"/>
    <w:rsid w:val="00B804A5"/>
    <w:rsid w:val="00B805DF"/>
    <w:rsid w:val="00B8086D"/>
    <w:rsid w:val="00B818C6"/>
    <w:rsid w:val="00B81F20"/>
    <w:rsid w:val="00B825CD"/>
    <w:rsid w:val="00B82BCB"/>
    <w:rsid w:val="00B83322"/>
    <w:rsid w:val="00B83664"/>
    <w:rsid w:val="00B847DA"/>
    <w:rsid w:val="00B85A44"/>
    <w:rsid w:val="00B85D96"/>
    <w:rsid w:val="00B86745"/>
    <w:rsid w:val="00B86E4B"/>
    <w:rsid w:val="00B87C8C"/>
    <w:rsid w:val="00B87DB4"/>
    <w:rsid w:val="00B90A7B"/>
    <w:rsid w:val="00B91523"/>
    <w:rsid w:val="00B91C6C"/>
    <w:rsid w:val="00B91E1C"/>
    <w:rsid w:val="00B95A2D"/>
    <w:rsid w:val="00B96555"/>
    <w:rsid w:val="00B97844"/>
    <w:rsid w:val="00BA0796"/>
    <w:rsid w:val="00BA0E82"/>
    <w:rsid w:val="00BA0F94"/>
    <w:rsid w:val="00BA3C12"/>
    <w:rsid w:val="00BA3E18"/>
    <w:rsid w:val="00BA3EAF"/>
    <w:rsid w:val="00BA3F11"/>
    <w:rsid w:val="00BA4EC6"/>
    <w:rsid w:val="00BA575C"/>
    <w:rsid w:val="00BA5A82"/>
    <w:rsid w:val="00BA6431"/>
    <w:rsid w:val="00BB0CD9"/>
    <w:rsid w:val="00BB0F27"/>
    <w:rsid w:val="00BB2425"/>
    <w:rsid w:val="00BB2ED1"/>
    <w:rsid w:val="00BB396D"/>
    <w:rsid w:val="00BB495B"/>
    <w:rsid w:val="00BB498F"/>
    <w:rsid w:val="00BB4D53"/>
    <w:rsid w:val="00BB690B"/>
    <w:rsid w:val="00BB75A8"/>
    <w:rsid w:val="00BC1DFE"/>
    <w:rsid w:val="00BC1E34"/>
    <w:rsid w:val="00BC239B"/>
    <w:rsid w:val="00BC2B72"/>
    <w:rsid w:val="00BC2CB9"/>
    <w:rsid w:val="00BC35FC"/>
    <w:rsid w:val="00BC381D"/>
    <w:rsid w:val="00BC3FF4"/>
    <w:rsid w:val="00BC458E"/>
    <w:rsid w:val="00BC5BEF"/>
    <w:rsid w:val="00BC6520"/>
    <w:rsid w:val="00BC65A3"/>
    <w:rsid w:val="00BC6E6E"/>
    <w:rsid w:val="00BC74F4"/>
    <w:rsid w:val="00BC7F37"/>
    <w:rsid w:val="00BD0244"/>
    <w:rsid w:val="00BD0656"/>
    <w:rsid w:val="00BD0AFD"/>
    <w:rsid w:val="00BD1CB6"/>
    <w:rsid w:val="00BD26BF"/>
    <w:rsid w:val="00BD4B87"/>
    <w:rsid w:val="00BD4C8A"/>
    <w:rsid w:val="00BD5CF9"/>
    <w:rsid w:val="00BD5D20"/>
    <w:rsid w:val="00BD615D"/>
    <w:rsid w:val="00BD73F2"/>
    <w:rsid w:val="00BD7B6B"/>
    <w:rsid w:val="00BD7DFB"/>
    <w:rsid w:val="00BE0B14"/>
    <w:rsid w:val="00BE1B7F"/>
    <w:rsid w:val="00BE2B44"/>
    <w:rsid w:val="00BE2BED"/>
    <w:rsid w:val="00BE3C80"/>
    <w:rsid w:val="00BE4063"/>
    <w:rsid w:val="00BE6038"/>
    <w:rsid w:val="00BE7458"/>
    <w:rsid w:val="00BE7B58"/>
    <w:rsid w:val="00BF040A"/>
    <w:rsid w:val="00BF04E3"/>
    <w:rsid w:val="00BF0750"/>
    <w:rsid w:val="00BF0803"/>
    <w:rsid w:val="00BF0933"/>
    <w:rsid w:val="00BF25EA"/>
    <w:rsid w:val="00BF3B18"/>
    <w:rsid w:val="00BF3CFF"/>
    <w:rsid w:val="00BF3FCF"/>
    <w:rsid w:val="00BF4F29"/>
    <w:rsid w:val="00BF60E7"/>
    <w:rsid w:val="00BF6BC6"/>
    <w:rsid w:val="00BF7A53"/>
    <w:rsid w:val="00C0100A"/>
    <w:rsid w:val="00C010BF"/>
    <w:rsid w:val="00C01610"/>
    <w:rsid w:val="00C01865"/>
    <w:rsid w:val="00C01954"/>
    <w:rsid w:val="00C02C4D"/>
    <w:rsid w:val="00C0472F"/>
    <w:rsid w:val="00C04BBB"/>
    <w:rsid w:val="00C05F6E"/>
    <w:rsid w:val="00C06212"/>
    <w:rsid w:val="00C0626A"/>
    <w:rsid w:val="00C0766A"/>
    <w:rsid w:val="00C112BA"/>
    <w:rsid w:val="00C11DC2"/>
    <w:rsid w:val="00C120FE"/>
    <w:rsid w:val="00C129EA"/>
    <w:rsid w:val="00C12B62"/>
    <w:rsid w:val="00C12EE3"/>
    <w:rsid w:val="00C1359B"/>
    <w:rsid w:val="00C14CE2"/>
    <w:rsid w:val="00C1523C"/>
    <w:rsid w:val="00C1558E"/>
    <w:rsid w:val="00C157BE"/>
    <w:rsid w:val="00C15F09"/>
    <w:rsid w:val="00C16CAE"/>
    <w:rsid w:val="00C17040"/>
    <w:rsid w:val="00C204AB"/>
    <w:rsid w:val="00C204DE"/>
    <w:rsid w:val="00C20ED8"/>
    <w:rsid w:val="00C21266"/>
    <w:rsid w:val="00C21361"/>
    <w:rsid w:val="00C2473C"/>
    <w:rsid w:val="00C268A5"/>
    <w:rsid w:val="00C27638"/>
    <w:rsid w:val="00C30F1D"/>
    <w:rsid w:val="00C31E79"/>
    <w:rsid w:val="00C3258D"/>
    <w:rsid w:val="00C32AF2"/>
    <w:rsid w:val="00C32CD9"/>
    <w:rsid w:val="00C32F3C"/>
    <w:rsid w:val="00C32F6B"/>
    <w:rsid w:val="00C3443B"/>
    <w:rsid w:val="00C34A57"/>
    <w:rsid w:val="00C3558E"/>
    <w:rsid w:val="00C3677E"/>
    <w:rsid w:val="00C36A02"/>
    <w:rsid w:val="00C36E56"/>
    <w:rsid w:val="00C379A1"/>
    <w:rsid w:val="00C41885"/>
    <w:rsid w:val="00C42466"/>
    <w:rsid w:val="00C438D3"/>
    <w:rsid w:val="00C447DE"/>
    <w:rsid w:val="00C4482B"/>
    <w:rsid w:val="00C457F1"/>
    <w:rsid w:val="00C459E4"/>
    <w:rsid w:val="00C46B02"/>
    <w:rsid w:val="00C471DE"/>
    <w:rsid w:val="00C47F89"/>
    <w:rsid w:val="00C50FC8"/>
    <w:rsid w:val="00C51863"/>
    <w:rsid w:val="00C51B53"/>
    <w:rsid w:val="00C526B0"/>
    <w:rsid w:val="00C536E0"/>
    <w:rsid w:val="00C53B12"/>
    <w:rsid w:val="00C53DAE"/>
    <w:rsid w:val="00C56934"/>
    <w:rsid w:val="00C57720"/>
    <w:rsid w:val="00C57B0C"/>
    <w:rsid w:val="00C60590"/>
    <w:rsid w:val="00C60AB4"/>
    <w:rsid w:val="00C611D3"/>
    <w:rsid w:val="00C63718"/>
    <w:rsid w:val="00C6475C"/>
    <w:rsid w:val="00C65042"/>
    <w:rsid w:val="00C6701C"/>
    <w:rsid w:val="00C7042F"/>
    <w:rsid w:val="00C70DE7"/>
    <w:rsid w:val="00C71A77"/>
    <w:rsid w:val="00C71DD6"/>
    <w:rsid w:val="00C7201E"/>
    <w:rsid w:val="00C733A2"/>
    <w:rsid w:val="00C778A7"/>
    <w:rsid w:val="00C8073D"/>
    <w:rsid w:val="00C807AC"/>
    <w:rsid w:val="00C823A5"/>
    <w:rsid w:val="00C82649"/>
    <w:rsid w:val="00C82918"/>
    <w:rsid w:val="00C85E6B"/>
    <w:rsid w:val="00C8774C"/>
    <w:rsid w:val="00C87E62"/>
    <w:rsid w:val="00C93129"/>
    <w:rsid w:val="00C96318"/>
    <w:rsid w:val="00C97FAF"/>
    <w:rsid w:val="00CA29E9"/>
    <w:rsid w:val="00CA30C7"/>
    <w:rsid w:val="00CA3B80"/>
    <w:rsid w:val="00CA5E90"/>
    <w:rsid w:val="00CA6E1E"/>
    <w:rsid w:val="00CA7C68"/>
    <w:rsid w:val="00CB1B74"/>
    <w:rsid w:val="00CB525A"/>
    <w:rsid w:val="00CB70C8"/>
    <w:rsid w:val="00CC002C"/>
    <w:rsid w:val="00CC1C62"/>
    <w:rsid w:val="00CC1EC7"/>
    <w:rsid w:val="00CC2E4B"/>
    <w:rsid w:val="00CC3297"/>
    <w:rsid w:val="00CC3BBD"/>
    <w:rsid w:val="00CC3DD5"/>
    <w:rsid w:val="00CC4223"/>
    <w:rsid w:val="00CC5296"/>
    <w:rsid w:val="00CC56CC"/>
    <w:rsid w:val="00CC5906"/>
    <w:rsid w:val="00CC7770"/>
    <w:rsid w:val="00CD02F2"/>
    <w:rsid w:val="00CD11A7"/>
    <w:rsid w:val="00CD3BE0"/>
    <w:rsid w:val="00CD416A"/>
    <w:rsid w:val="00CD45FD"/>
    <w:rsid w:val="00CD7354"/>
    <w:rsid w:val="00CE07D4"/>
    <w:rsid w:val="00CE0D00"/>
    <w:rsid w:val="00CE456E"/>
    <w:rsid w:val="00CE4898"/>
    <w:rsid w:val="00CE509B"/>
    <w:rsid w:val="00CE6A18"/>
    <w:rsid w:val="00CF0192"/>
    <w:rsid w:val="00CF0B0E"/>
    <w:rsid w:val="00CF14F0"/>
    <w:rsid w:val="00CF17FA"/>
    <w:rsid w:val="00CF2319"/>
    <w:rsid w:val="00CF2952"/>
    <w:rsid w:val="00CF3169"/>
    <w:rsid w:val="00CF3516"/>
    <w:rsid w:val="00CF3780"/>
    <w:rsid w:val="00CF7D33"/>
    <w:rsid w:val="00D009E9"/>
    <w:rsid w:val="00D01FB2"/>
    <w:rsid w:val="00D0235B"/>
    <w:rsid w:val="00D02869"/>
    <w:rsid w:val="00D02E05"/>
    <w:rsid w:val="00D02F5D"/>
    <w:rsid w:val="00D0445F"/>
    <w:rsid w:val="00D04DEA"/>
    <w:rsid w:val="00D06EAC"/>
    <w:rsid w:val="00D07577"/>
    <w:rsid w:val="00D078C5"/>
    <w:rsid w:val="00D07EFA"/>
    <w:rsid w:val="00D10CB6"/>
    <w:rsid w:val="00D112F7"/>
    <w:rsid w:val="00D1142A"/>
    <w:rsid w:val="00D11D61"/>
    <w:rsid w:val="00D1340F"/>
    <w:rsid w:val="00D13C55"/>
    <w:rsid w:val="00D1745B"/>
    <w:rsid w:val="00D17CFE"/>
    <w:rsid w:val="00D21CF6"/>
    <w:rsid w:val="00D21DAC"/>
    <w:rsid w:val="00D22709"/>
    <w:rsid w:val="00D234F8"/>
    <w:rsid w:val="00D23579"/>
    <w:rsid w:val="00D24BFD"/>
    <w:rsid w:val="00D261EF"/>
    <w:rsid w:val="00D267EF"/>
    <w:rsid w:val="00D30416"/>
    <w:rsid w:val="00D342CE"/>
    <w:rsid w:val="00D3514B"/>
    <w:rsid w:val="00D35CA1"/>
    <w:rsid w:val="00D41E3F"/>
    <w:rsid w:val="00D435C4"/>
    <w:rsid w:val="00D4367A"/>
    <w:rsid w:val="00D443C2"/>
    <w:rsid w:val="00D45201"/>
    <w:rsid w:val="00D45399"/>
    <w:rsid w:val="00D45678"/>
    <w:rsid w:val="00D4629F"/>
    <w:rsid w:val="00D46B1E"/>
    <w:rsid w:val="00D47092"/>
    <w:rsid w:val="00D47816"/>
    <w:rsid w:val="00D47B94"/>
    <w:rsid w:val="00D47DA5"/>
    <w:rsid w:val="00D50990"/>
    <w:rsid w:val="00D53418"/>
    <w:rsid w:val="00D541C0"/>
    <w:rsid w:val="00D55E30"/>
    <w:rsid w:val="00D56E8A"/>
    <w:rsid w:val="00D619A3"/>
    <w:rsid w:val="00D625FA"/>
    <w:rsid w:val="00D634AC"/>
    <w:rsid w:val="00D6373A"/>
    <w:rsid w:val="00D65313"/>
    <w:rsid w:val="00D65634"/>
    <w:rsid w:val="00D66C26"/>
    <w:rsid w:val="00D66DE6"/>
    <w:rsid w:val="00D66F6E"/>
    <w:rsid w:val="00D67103"/>
    <w:rsid w:val="00D671A3"/>
    <w:rsid w:val="00D671A5"/>
    <w:rsid w:val="00D7005F"/>
    <w:rsid w:val="00D71F54"/>
    <w:rsid w:val="00D724D9"/>
    <w:rsid w:val="00D72F85"/>
    <w:rsid w:val="00D7383B"/>
    <w:rsid w:val="00D73E80"/>
    <w:rsid w:val="00D75B9A"/>
    <w:rsid w:val="00D766A2"/>
    <w:rsid w:val="00D80179"/>
    <w:rsid w:val="00D80FE7"/>
    <w:rsid w:val="00D8174C"/>
    <w:rsid w:val="00D822F3"/>
    <w:rsid w:val="00D82F2D"/>
    <w:rsid w:val="00D83894"/>
    <w:rsid w:val="00D838BD"/>
    <w:rsid w:val="00D84C9A"/>
    <w:rsid w:val="00D85BC8"/>
    <w:rsid w:val="00D86A30"/>
    <w:rsid w:val="00D904E5"/>
    <w:rsid w:val="00D91188"/>
    <w:rsid w:val="00D9180F"/>
    <w:rsid w:val="00D91875"/>
    <w:rsid w:val="00D9202C"/>
    <w:rsid w:val="00D9267D"/>
    <w:rsid w:val="00D93A91"/>
    <w:rsid w:val="00D93B95"/>
    <w:rsid w:val="00D9407E"/>
    <w:rsid w:val="00D948D5"/>
    <w:rsid w:val="00D96196"/>
    <w:rsid w:val="00D9697A"/>
    <w:rsid w:val="00DA0B8A"/>
    <w:rsid w:val="00DA14F0"/>
    <w:rsid w:val="00DA3774"/>
    <w:rsid w:val="00DA3E5B"/>
    <w:rsid w:val="00DA42B9"/>
    <w:rsid w:val="00DA50A3"/>
    <w:rsid w:val="00DA5A8D"/>
    <w:rsid w:val="00DA6FA3"/>
    <w:rsid w:val="00DA7B71"/>
    <w:rsid w:val="00DB267D"/>
    <w:rsid w:val="00DB2946"/>
    <w:rsid w:val="00DB2E8C"/>
    <w:rsid w:val="00DB4584"/>
    <w:rsid w:val="00DB6899"/>
    <w:rsid w:val="00DB7495"/>
    <w:rsid w:val="00DC0038"/>
    <w:rsid w:val="00DC03E1"/>
    <w:rsid w:val="00DC0B35"/>
    <w:rsid w:val="00DC0C06"/>
    <w:rsid w:val="00DC1900"/>
    <w:rsid w:val="00DC2976"/>
    <w:rsid w:val="00DC3AEB"/>
    <w:rsid w:val="00DC3F28"/>
    <w:rsid w:val="00DC42C5"/>
    <w:rsid w:val="00DC4544"/>
    <w:rsid w:val="00DC5B50"/>
    <w:rsid w:val="00DC6B7E"/>
    <w:rsid w:val="00DC6F1F"/>
    <w:rsid w:val="00DD2732"/>
    <w:rsid w:val="00DD3C20"/>
    <w:rsid w:val="00DD4B9D"/>
    <w:rsid w:val="00DD4FD2"/>
    <w:rsid w:val="00DD5791"/>
    <w:rsid w:val="00DD5C45"/>
    <w:rsid w:val="00DD5EFF"/>
    <w:rsid w:val="00DD6DF4"/>
    <w:rsid w:val="00DE2CD0"/>
    <w:rsid w:val="00DE2EA5"/>
    <w:rsid w:val="00DE3209"/>
    <w:rsid w:val="00DE32C3"/>
    <w:rsid w:val="00DE3F0E"/>
    <w:rsid w:val="00DE444B"/>
    <w:rsid w:val="00DE4A8B"/>
    <w:rsid w:val="00DE4E8A"/>
    <w:rsid w:val="00DE7E87"/>
    <w:rsid w:val="00DF0993"/>
    <w:rsid w:val="00DF19C2"/>
    <w:rsid w:val="00DF22E1"/>
    <w:rsid w:val="00DF2D99"/>
    <w:rsid w:val="00DF3543"/>
    <w:rsid w:val="00DF3765"/>
    <w:rsid w:val="00DF3ABE"/>
    <w:rsid w:val="00DF5874"/>
    <w:rsid w:val="00DF63BF"/>
    <w:rsid w:val="00E01607"/>
    <w:rsid w:val="00E0214A"/>
    <w:rsid w:val="00E02E75"/>
    <w:rsid w:val="00E033D8"/>
    <w:rsid w:val="00E034AD"/>
    <w:rsid w:val="00E036C2"/>
    <w:rsid w:val="00E03F38"/>
    <w:rsid w:val="00E0582E"/>
    <w:rsid w:val="00E1016A"/>
    <w:rsid w:val="00E1047F"/>
    <w:rsid w:val="00E11888"/>
    <w:rsid w:val="00E11A81"/>
    <w:rsid w:val="00E122A5"/>
    <w:rsid w:val="00E141FE"/>
    <w:rsid w:val="00E14945"/>
    <w:rsid w:val="00E20CB2"/>
    <w:rsid w:val="00E211A5"/>
    <w:rsid w:val="00E21A42"/>
    <w:rsid w:val="00E21A71"/>
    <w:rsid w:val="00E24184"/>
    <w:rsid w:val="00E251F4"/>
    <w:rsid w:val="00E26D41"/>
    <w:rsid w:val="00E26FC9"/>
    <w:rsid w:val="00E27CCE"/>
    <w:rsid w:val="00E3024F"/>
    <w:rsid w:val="00E30497"/>
    <w:rsid w:val="00E30DCC"/>
    <w:rsid w:val="00E31C91"/>
    <w:rsid w:val="00E31E7C"/>
    <w:rsid w:val="00E3310E"/>
    <w:rsid w:val="00E358A7"/>
    <w:rsid w:val="00E35D27"/>
    <w:rsid w:val="00E365B6"/>
    <w:rsid w:val="00E37F37"/>
    <w:rsid w:val="00E4096D"/>
    <w:rsid w:val="00E414A2"/>
    <w:rsid w:val="00E41DFC"/>
    <w:rsid w:val="00E433F0"/>
    <w:rsid w:val="00E43662"/>
    <w:rsid w:val="00E47884"/>
    <w:rsid w:val="00E50114"/>
    <w:rsid w:val="00E502C3"/>
    <w:rsid w:val="00E50EC2"/>
    <w:rsid w:val="00E518F4"/>
    <w:rsid w:val="00E5278B"/>
    <w:rsid w:val="00E534FF"/>
    <w:rsid w:val="00E542C2"/>
    <w:rsid w:val="00E55548"/>
    <w:rsid w:val="00E55CA8"/>
    <w:rsid w:val="00E575DD"/>
    <w:rsid w:val="00E57BAE"/>
    <w:rsid w:val="00E57F4F"/>
    <w:rsid w:val="00E601F9"/>
    <w:rsid w:val="00E619D0"/>
    <w:rsid w:val="00E64669"/>
    <w:rsid w:val="00E649A9"/>
    <w:rsid w:val="00E65060"/>
    <w:rsid w:val="00E650B7"/>
    <w:rsid w:val="00E6530D"/>
    <w:rsid w:val="00E65538"/>
    <w:rsid w:val="00E66E40"/>
    <w:rsid w:val="00E67CD2"/>
    <w:rsid w:val="00E7210A"/>
    <w:rsid w:val="00E73494"/>
    <w:rsid w:val="00E734F3"/>
    <w:rsid w:val="00E764DA"/>
    <w:rsid w:val="00E767CA"/>
    <w:rsid w:val="00E77203"/>
    <w:rsid w:val="00E772D7"/>
    <w:rsid w:val="00E77EF4"/>
    <w:rsid w:val="00E80124"/>
    <w:rsid w:val="00E808CA"/>
    <w:rsid w:val="00E826EF"/>
    <w:rsid w:val="00E8346C"/>
    <w:rsid w:val="00E8419E"/>
    <w:rsid w:val="00E85568"/>
    <w:rsid w:val="00E86B42"/>
    <w:rsid w:val="00E86ECD"/>
    <w:rsid w:val="00E932A0"/>
    <w:rsid w:val="00E93BB1"/>
    <w:rsid w:val="00E96119"/>
    <w:rsid w:val="00E9701E"/>
    <w:rsid w:val="00EA0445"/>
    <w:rsid w:val="00EA04B7"/>
    <w:rsid w:val="00EA0CC2"/>
    <w:rsid w:val="00EA100D"/>
    <w:rsid w:val="00EA1142"/>
    <w:rsid w:val="00EA13AB"/>
    <w:rsid w:val="00EA306A"/>
    <w:rsid w:val="00EA7223"/>
    <w:rsid w:val="00EA75DB"/>
    <w:rsid w:val="00EB009C"/>
    <w:rsid w:val="00EB0107"/>
    <w:rsid w:val="00EB0C1E"/>
    <w:rsid w:val="00EB1099"/>
    <w:rsid w:val="00EB1D92"/>
    <w:rsid w:val="00EB239B"/>
    <w:rsid w:val="00EB39A3"/>
    <w:rsid w:val="00EB4135"/>
    <w:rsid w:val="00EB62F9"/>
    <w:rsid w:val="00EB6DA8"/>
    <w:rsid w:val="00EB7174"/>
    <w:rsid w:val="00EC0707"/>
    <w:rsid w:val="00EC110E"/>
    <w:rsid w:val="00EC14C6"/>
    <w:rsid w:val="00EC162F"/>
    <w:rsid w:val="00EC1A99"/>
    <w:rsid w:val="00EC214E"/>
    <w:rsid w:val="00EC2F90"/>
    <w:rsid w:val="00EC312D"/>
    <w:rsid w:val="00EC318D"/>
    <w:rsid w:val="00EC3C0D"/>
    <w:rsid w:val="00EC416B"/>
    <w:rsid w:val="00EC5097"/>
    <w:rsid w:val="00EC5948"/>
    <w:rsid w:val="00EC6342"/>
    <w:rsid w:val="00EC70C5"/>
    <w:rsid w:val="00EC79B2"/>
    <w:rsid w:val="00EC7A7F"/>
    <w:rsid w:val="00ED0382"/>
    <w:rsid w:val="00ED1D81"/>
    <w:rsid w:val="00ED2D64"/>
    <w:rsid w:val="00ED32DF"/>
    <w:rsid w:val="00ED3EB8"/>
    <w:rsid w:val="00ED41A7"/>
    <w:rsid w:val="00ED475E"/>
    <w:rsid w:val="00ED5635"/>
    <w:rsid w:val="00ED6EEE"/>
    <w:rsid w:val="00ED73CC"/>
    <w:rsid w:val="00EE0657"/>
    <w:rsid w:val="00EE11C5"/>
    <w:rsid w:val="00EE14C6"/>
    <w:rsid w:val="00EE231C"/>
    <w:rsid w:val="00EE2E88"/>
    <w:rsid w:val="00EE584E"/>
    <w:rsid w:val="00EE5E2F"/>
    <w:rsid w:val="00EE7249"/>
    <w:rsid w:val="00EF0164"/>
    <w:rsid w:val="00EF09F4"/>
    <w:rsid w:val="00EF30AF"/>
    <w:rsid w:val="00EF34C1"/>
    <w:rsid w:val="00EF38A1"/>
    <w:rsid w:val="00EF3A5A"/>
    <w:rsid w:val="00EF466F"/>
    <w:rsid w:val="00EF5FD5"/>
    <w:rsid w:val="00EF6EEB"/>
    <w:rsid w:val="00EF72FC"/>
    <w:rsid w:val="00EF752C"/>
    <w:rsid w:val="00F037DB"/>
    <w:rsid w:val="00F0388E"/>
    <w:rsid w:val="00F03A1A"/>
    <w:rsid w:val="00F059BF"/>
    <w:rsid w:val="00F1133E"/>
    <w:rsid w:val="00F1141A"/>
    <w:rsid w:val="00F12039"/>
    <w:rsid w:val="00F12D32"/>
    <w:rsid w:val="00F13203"/>
    <w:rsid w:val="00F13779"/>
    <w:rsid w:val="00F142FB"/>
    <w:rsid w:val="00F1568A"/>
    <w:rsid w:val="00F1570F"/>
    <w:rsid w:val="00F163A6"/>
    <w:rsid w:val="00F172EB"/>
    <w:rsid w:val="00F1E4E5"/>
    <w:rsid w:val="00F20666"/>
    <w:rsid w:val="00F21C77"/>
    <w:rsid w:val="00F21E53"/>
    <w:rsid w:val="00F21ED8"/>
    <w:rsid w:val="00F244E2"/>
    <w:rsid w:val="00F24729"/>
    <w:rsid w:val="00F2508A"/>
    <w:rsid w:val="00F254C8"/>
    <w:rsid w:val="00F25B33"/>
    <w:rsid w:val="00F262F3"/>
    <w:rsid w:val="00F27546"/>
    <w:rsid w:val="00F27DC0"/>
    <w:rsid w:val="00F27F32"/>
    <w:rsid w:val="00F30B90"/>
    <w:rsid w:val="00F30F42"/>
    <w:rsid w:val="00F3131D"/>
    <w:rsid w:val="00F31411"/>
    <w:rsid w:val="00F32573"/>
    <w:rsid w:val="00F337DC"/>
    <w:rsid w:val="00F33A2E"/>
    <w:rsid w:val="00F33BAA"/>
    <w:rsid w:val="00F34B9C"/>
    <w:rsid w:val="00F37317"/>
    <w:rsid w:val="00F37CDD"/>
    <w:rsid w:val="00F37D70"/>
    <w:rsid w:val="00F42717"/>
    <w:rsid w:val="00F427B4"/>
    <w:rsid w:val="00F4294D"/>
    <w:rsid w:val="00F44E86"/>
    <w:rsid w:val="00F45325"/>
    <w:rsid w:val="00F4569F"/>
    <w:rsid w:val="00F46B08"/>
    <w:rsid w:val="00F50BBA"/>
    <w:rsid w:val="00F51BFF"/>
    <w:rsid w:val="00F51D10"/>
    <w:rsid w:val="00F51E68"/>
    <w:rsid w:val="00F52A0E"/>
    <w:rsid w:val="00F52A8D"/>
    <w:rsid w:val="00F53679"/>
    <w:rsid w:val="00F54922"/>
    <w:rsid w:val="00F54B6B"/>
    <w:rsid w:val="00F54BFE"/>
    <w:rsid w:val="00F558EA"/>
    <w:rsid w:val="00F57CF6"/>
    <w:rsid w:val="00F61C18"/>
    <w:rsid w:val="00F61F7B"/>
    <w:rsid w:val="00F62C31"/>
    <w:rsid w:val="00F65170"/>
    <w:rsid w:val="00F6581C"/>
    <w:rsid w:val="00F65D92"/>
    <w:rsid w:val="00F674D8"/>
    <w:rsid w:val="00F70EE8"/>
    <w:rsid w:val="00F7139C"/>
    <w:rsid w:val="00F71811"/>
    <w:rsid w:val="00F73104"/>
    <w:rsid w:val="00F73D6F"/>
    <w:rsid w:val="00F75B82"/>
    <w:rsid w:val="00F75BC9"/>
    <w:rsid w:val="00F8037A"/>
    <w:rsid w:val="00F8210E"/>
    <w:rsid w:val="00F8291D"/>
    <w:rsid w:val="00F82F1B"/>
    <w:rsid w:val="00F86EBF"/>
    <w:rsid w:val="00F86EFF"/>
    <w:rsid w:val="00F87D9C"/>
    <w:rsid w:val="00F904BE"/>
    <w:rsid w:val="00F91074"/>
    <w:rsid w:val="00F91E5B"/>
    <w:rsid w:val="00F92452"/>
    <w:rsid w:val="00F92ACD"/>
    <w:rsid w:val="00F934A9"/>
    <w:rsid w:val="00F93AC7"/>
    <w:rsid w:val="00F960F9"/>
    <w:rsid w:val="00F96E5C"/>
    <w:rsid w:val="00FA0289"/>
    <w:rsid w:val="00FA083F"/>
    <w:rsid w:val="00FA44E7"/>
    <w:rsid w:val="00FA60C0"/>
    <w:rsid w:val="00FA674E"/>
    <w:rsid w:val="00FA706A"/>
    <w:rsid w:val="00FB02D9"/>
    <w:rsid w:val="00FB0541"/>
    <w:rsid w:val="00FB058D"/>
    <w:rsid w:val="00FB141C"/>
    <w:rsid w:val="00FB2C1E"/>
    <w:rsid w:val="00FB31F5"/>
    <w:rsid w:val="00FB3DEB"/>
    <w:rsid w:val="00FB4F24"/>
    <w:rsid w:val="00FB5B2A"/>
    <w:rsid w:val="00FB6730"/>
    <w:rsid w:val="00FB7E31"/>
    <w:rsid w:val="00FC0C00"/>
    <w:rsid w:val="00FC1440"/>
    <w:rsid w:val="00FC1FC7"/>
    <w:rsid w:val="00FC2D64"/>
    <w:rsid w:val="00FC70E6"/>
    <w:rsid w:val="00FD1C4F"/>
    <w:rsid w:val="00FD4844"/>
    <w:rsid w:val="00FD6915"/>
    <w:rsid w:val="00FD7A22"/>
    <w:rsid w:val="00FD7B91"/>
    <w:rsid w:val="00FE0A56"/>
    <w:rsid w:val="00FE101B"/>
    <w:rsid w:val="00FE1215"/>
    <w:rsid w:val="00FE1A69"/>
    <w:rsid w:val="00FE2666"/>
    <w:rsid w:val="00FE322B"/>
    <w:rsid w:val="00FE3778"/>
    <w:rsid w:val="00FE40EC"/>
    <w:rsid w:val="00FE443E"/>
    <w:rsid w:val="00FE5C47"/>
    <w:rsid w:val="00FF0C74"/>
    <w:rsid w:val="00FF1F52"/>
    <w:rsid w:val="00FF385A"/>
    <w:rsid w:val="00FF41BB"/>
    <w:rsid w:val="00FF4266"/>
    <w:rsid w:val="00FF4311"/>
    <w:rsid w:val="00FF54D0"/>
    <w:rsid w:val="00FF59C6"/>
    <w:rsid w:val="00FF5B48"/>
    <w:rsid w:val="00FF6DE5"/>
    <w:rsid w:val="019BA409"/>
    <w:rsid w:val="01E21580"/>
    <w:rsid w:val="024C777E"/>
    <w:rsid w:val="02AEDCBA"/>
    <w:rsid w:val="03D19B16"/>
    <w:rsid w:val="041C2795"/>
    <w:rsid w:val="0440A019"/>
    <w:rsid w:val="0453FB67"/>
    <w:rsid w:val="04D66161"/>
    <w:rsid w:val="05005914"/>
    <w:rsid w:val="0523375F"/>
    <w:rsid w:val="0569F321"/>
    <w:rsid w:val="05701041"/>
    <w:rsid w:val="0597AC5C"/>
    <w:rsid w:val="05A2B57D"/>
    <w:rsid w:val="05C3E7E9"/>
    <w:rsid w:val="05EC7D5C"/>
    <w:rsid w:val="05F8829C"/>
    <w:rsid w:val="06141E09"/>
    <w:rsid w:val="06B99F37"/>
    <w:rsid w:val="06D64460"/>
    <w:rsid w:val="07756924"/>
    <w:rsid w:val="084453BE"/>
    <w:rsid w:val="085B3C54"/>
    <w:rsid w:val="08A1537D"/>
    <w:rsid w:val="0919BD88"/>
    <w:rsid w:val="094D46CF"/>
    <w:rsid w:val="09797253"/>
    <w:rsid w:val="097FACB9"/>
    <w:rsid w:val="0996AA07"/>
    <w:rsid w:val="0999F873"/>
    <w:rsid w:val="09A217CF"/>
    <w:rsid w:val="09B9D105"/>
    <w:rsid w:val="0A265961"/>
    <w:rsid w:val="0AE94A01"/>
    <w:rsid w:val="0B25574B"/>
    <w:rsid w:val="0B4A425E"/>
    <w:rsid w:val="0B8E5E29"/>
    <w:rsid w:val="0B908E21"/>
    <w:rsid w:val="0CC4C9AC"/>
    <w:rsid w:val="0CC9ACAA"/>
    <w:rsid w:val="0CFD67C7"/>
    <w:rsid w:val="0D425EB6"/>
    <w:rsid w:val="0EA3A7E8"/>
    <w:rsid w:val="0EFB161A"/>
    <w:rsid w:val="0F09C6EA"/>
    <w:rsid w:val="0F30A237"/>
    <w:rsid w:val="0F3D5A7F"/>
    <w:rsid w:val="0FBD529C"/>
    <w:rsid w:val="11439CA0"/>
    <w:rsid w:val="11C983D7"/>
    <w:rsid w:val="11F148DE"/>
    <w:rsid w:val="11FD9FAD"/>
    <w:rsid w:val="12141504"/>
    <w:rsid w:val="1232B6DC"/>
    <w:rsid w:val="12C62F74"/>
    <w:rsid w:val="12D5A4DE"/>
    <w:rsid w:val="130A5C1A"/>
    <w:rsid w:val="1315B8CF"/>
    <w:rsid w:val="1327B25C"/>
    <w:rsid w:val="13C6E2B3"/>
    <w:rsid w:val="141FC876"/>
    <w:rsid w:val="14BEBD60"/>
    <w:rsid w:val="14CC3991"/>
    <w:rsid w:val="157B9D0D"/>
    <w:rsid w:val="158486B2"/>
    <w:rsid w:val="15BA0837"/>
    <w:rsid w:val="15FE9A7F"/>
    <w:rsid w:val="16331FE5"/>
    <w:rsid w:val="166A185B"/>
    <w:rsid w:val="1676506C"/>
    <w:rsid w:val="16A4E185"/>
    <w:rsid w:val="171DCFBD"/>
    <w:rsid w:val="178533FA"/>
    <w:rsid w:val="17866723"/>
    <w:rsid w:val="17C79A38"/>
    <w:rsid w:val="18008BE7"/>
    <w:rsid w:val="18E0D2C9"/>
    <w:rsid w:val="194D6A65"/>
    <w:rsid w:val="1A7C9230"/>
    <w:rsid w:val="1B095361"/>
    <w:rsid w:val="1B23E74A"/>
    <w:rsid w:val="1B70F280"/>
    <w:rsid w:val="1C6589D6"/>
    <w:rsid w:val="1CA8E67F"/>
    <w:rsid w:val="1CB34CC9"/>
    <w:rsid w:val="1D0033FF"/>
    <w:rsid w:val="1D3A301F"/>
    <w:rsid w:val="1D61473B"/>
    <w:rsid w:val="1DCE18F1"/>
    <w:rsid w:val="1DFA297F"/>
    <w:rsid w:val="1E319512"/>
    <w:rsid w:val="1F899D74"/>
    <w:rsid w:val="1FCB2439"/>
    <w:rsid w:val="1FFFDC70"/>
    <w:rsid w:val="20AFD764"/>
    <w:rsid w:val="20E558E9"/>
    <w:rsid w:val="20E88AAF"/>
    <w:rsid w:val="20EBB7A3"/>
    <w:rsid w:val="21265E61"/>
    <w:rsid w:val="21321FBD"/>
    <w:rsid w:val="21652F2D"/>
    <w:rsid w:val="21D65955"/>
    <w:rsid w:val="21DC806C"/>
    <w:rsid w:val="2359C124"/>
    <w:rsid w:val="23689F1A"/>
    <w:rsid w:val="238572F6"/>
    <w:rsid w:val="23EB96D6"/>
    <w:rsid w:val="2410752C"/>
    <w:rsid w:val="252DF8C5"/>
    <w:rsid w:val="25A00751"/>
    <w:rsid w:val="260C394B"/>
    <w:rsid w:val="2625FECF"/>
    <w:rsid w:val="265408EC"/>
    <w:rsid w:val="265B15FE"/>
    <w:rsid w:val="265E7A95"/>
    <w:rsid w:val="26FE0400"/>
    <w:rsid w:val="27098FB8"/>
    <w:rsid w:val="273A75F1"/>
    <w:rsid w:val="2747FDB5"/>
    <w:rsid w:val="285AAA81"/>
    <w:rsid w:val="28C078EF"/>
    <w:rsid w:val="28F2AC08"/>
    <w:rsid w:val="28F7F2B2"/>
    <w:rsid w:val="2931CB4E"/>
    <w:rsid w:val="29502959"/>
    <w:rsid w:val="29AB2AFF"/>
    <w:rsid w:val="29C68808"/>
    <w:rsid w:val="2B264B1F"/>
    <w:rsid w:val="2B71038A"/>
    <w:rsid w:val="2B83C760"/>
    <w:rsid w:val="2BC16841"/>
    <w:rsid w:val="2BEE011C"/>
    <w:rsid w:val="2C2BE4C5"/>
    <w:rsid w:val="2C30F535"/>
    <w:rsid w:val="2C33F42A"/>
    <w:rsid w:val="2C4DB3FF"/>
    <w:rsid w:val="2C6F97E4"/>
    <w:rsid w:val="2CCB3E11"/>
    <w:rsid w:val="2D59C212"/>
    <w:rsid w:val="2D5E957A"/>
    <w:rsid w:val="2D7906E0"/>
    <w:rsid w:val="2DE068E5"/>
    <w:rsid w:val="2DFFA9E9"/>
    <w:rsid w:val="2F080B4F"/>
    <w:rsid w:val="2F1E47E2"/>
    <w:rsid w:val="2F3CBD8F"/>
    <w:rsid w:val="2F553011"/>
    <w:rsid w:val="2F5C207D"/>
    <w:rsid w:val="2F808B85"/>
    <w:rsid w:val="2FFD09FB"/>
    <w:rsid w:val="30083492"/>
    <w:rsid w:val="3096363C"/>
    <w:rsid w:val="310B3A1E"/>
    <w:rsid w:val="314340C1"/>
    <w:rsid w:val="3275CE9C"/>
    <w:rsid w:val="32918B98"/>
    <w:rsid w:val="330F68A3"/>
    <w:rsid w:val="33D006F6"/>
    <w:rsid w:val="33F451C8"/>
    <w:rsid w:val="34004466"/>
    <w:rsid w:val="3532FBD3"/>
    <w:rsid w:val="3550DB16"/>
    <w:rsid w:val="358CA681"/>
    <w:rsid w:val="359C1232"/>
    <w:rsid w:val="36000BC1"/>
    <w:rsid w:val="3601EF2B"/>
    <w:rsid w:val="3618457B"/>
    <w:rsid w:val="36AFAF8A"/>
    <w:rsid w:val="36EEB22C"/>
    <w:rsid w:val="36EFDD82"/>
    <w:rsid w:val="3789E84F"/>
    <w:rsid w:val="378E6D6D"/>
    <w:rsid w:val="379E5044"/>
    <w:rsid w:val="37A0E260"/>
    <w:rsid w:val="37E1AAD6"/>
    <w:rsid w:val="383AE4B8"/>
    <w:rsid w:val="3880CF9A"/>
    <w:rsid w:val="38945E45"/>
    <w:rsid w:val="38FD05FE"/>
    <w:rsid w:val="39576E21"/>
    <w:rsid w:val="395F5BA7"/>
    <w:rsid w:val="3971DA9E"/>
    <w:rsid w:val="3A54299F"/>
    <w:rsid w:val="3A5AB2B0"/>
    <w:rsid w:val="3A71D5A2"/>
    <w:rsid w:val="3C432788"/>
    <w:rsid w:val="3C92E3B4"/>
    <w:rsid w:val="3CD241C4"/>
    <w:rsid w:val="3CF5958C"/>
    <w:rsid w:val="3D3D436F"/>
    <w:rsid w:val="3DB5C3A5"/>
    <w:rsid w:val="3DCE8660"/>
    <w:rsid w:val="3E385B75"/>
    <w:rsid w:val="3E50230C"/>
    <w:rsid w:val="3EB39E32"/>
    <w:rsid w:val="3EB6DB8B"/>
    <w:rsid w:val="3EEA7A9E"/>
    <w:rsid w:val="3FC4DBC1"/>
    <w:rsid w:val="400562D0"/>
    <w:rsid w:val="400874CE"/>
    <w:rsid w:val="406E7DC1"/>
    <w:rsid w:val="41193E8C"/>
    <w:rsid w:val="411CBFC9"/>
    <w:rsid w:val="412D95F9"/>
    <w:rsid w:val="416EBFCB"/>
    <w:rsid w:val="41718D38"/>
    <w:rsid w:val="42AE8435"/>
    <w:rsid w:val="43BD8DF4"/>
    <w:rsid w:val="43BDB598"/>
    <w:rsid w:val="4401ED6B"/>
    <w:rsid w:val="451F2CA3"/>
    <w:rsid w:val="4541FC60"/>
    <w:rsid w:val="456DFDC3"/>
    <w:rsid w:val="46A6DBFF"/>
    <w:rsid w:val="46D548BE"/>
    <w:rsid w:val="46F30C42"/>
    <w:rsid w:val="4719A835"/>
    <w:rsid w:val="471F02B7"/>
    <w:rsid w:val="47D2A103"/>
    <w:rsid w:val="4878098B"/>
    <w:rsid w:val="49962EB7"/>
    <w:rsid w:val="49C3BDD2"/>
    <w:rsid w:val="4A40D76E"/>
    <w:rsid w:val="4A4FE516"/>
    <w:rsid w:val="4A7AA40B"/>
    <w:rsid w:val="4AD2B1D7"/>
    <w:rsid w:val="4AE8E4DC"/>
    <w:rsid w:val="4AE97C54"/>
    <w:rsid w:val="4AFB5452"/>
    <w:rsid w:val="4B60D92D"/>
    <w:rsid w:val="4C28B384"/>
    <w:rsid w:val="4CB7A70C"/>
    <w:rsid w:val="4CC0F558"/>
    <w:rsid w:val="4CE5643F"/>
    <w:rsid w:val="4D513C2A"/>
    <w:rsid w:val="4D543182"/>
    <w:rsid w:val="4D54C8FA"/>
    <w:rsid w:val="4D88E9B9"/>
    <w:rsid w:val="4D8E13BD"/>
    <w:rsid w:val="4DAFED0A"/>
    <w:rsid w:val="4E10DE5E"/>
    <w:rsid w:val="4E823B57"/>
    <w:rsid w:val="4EE879FF"/>
    <w:rsid w:val="4FABD6FA"/>
    <w:rsid w:val="50AF817A"/>
    <w:rsid w:val="50C8D7B7"/>
    <w:rsid w:val="50CE06AC"/>
    <w:rsid w:val="50DBB0C5"/>
    <w:rsid w:val="510D9FCB"/>
    <w:rsid w:val="516C2E56"/>
    <w:rsid w:val="517B5B14"/>
    <w:rsid w:val="51A8E492"/>
    <w:rsid w:val="524C80CB"/>
    <w:rsid w:val="529048CA"/>
    <w:rsid w:val="52BAF3FF"/>
    <w:rsid w:val="531FC06A"/>
    <w:rsid w:val="5325608C"/>
    <w:rsid w:val="535676C3"/>
    <w:rsid w:val="537FC037"/>
    <w:rsid w:val="54735059"/>
    <w:rsid w:val="549FD404"/>
    <w:rsid w:val="55288D94"/>
    <w:rsid w:val="5584B905"/>
    <w:rsid w:val="56186F06"/>
    <w:rsid w:val="562E1929"/>
    <w:rsid w:val="56D1DF84"/>
    <w:rsid w:val="56EA3D98"/>
    <w:rsid w:val="570C7B8C"/>
    <w:rsid w:val="5710A1D9"/>
    <w:rsid w:val="5761F385"/>
    <w:rsid w:val="5764E8DD"/>
    <w:rsid w:val="5788FCBA"/>
    <w:rsid w:val="584D0B37"/>
    <w:rsid w:val="587633E8"/>
    <w:rsid w:val="58847A62"/>
    <w:rsid w:val="58BFD8E3"/>
    <w:rsid w:val="594F1639"/>
    <w:rsid w:val="59FC68BC"/>
    <w:rsid w:val="5AD9C5D9"/>
    <w:rsid w:val="5B3AB149"/>
    <w:rsid w:val="5C78D393"/>
    <w:rsid w:val="5CEBE0C9"/>
    <w:rsid w:val="5DDA7A55"/>
    <w:rsid w:val="5E2C5EFD"/>
    <w:rsid w:val="5E62DD9C"/>
    <w:rsid w:val="5E7B3BB0"/>
    <w:rsid w:val="5E7BE858"/>
    <w:rsid w:val="5FFBCDF7"/>
    <w:rsid w:val="6040FA42"/>
    <w:rsid w:val="60D8AC32"/>
    <w:rsid w:val="61C1419E"/>
    <w:rsid w:val="6229F6FD"/>
    <w:rsid w:val="6246D271"/>
    <w:rsid w:val="624DE881"/>
    <w:rsid w:val="62509F75"/>
    <w:rsid w:val="62700B13"/>
    <w:rsid w:val="62E64EAF"/>
    <w:rsid w:val="63553898"/>
    <w:rsid w:val="635BE8B7"/>
    <w:rsid w:val="63617937"/>
    <w:rsid w:val="63D66FA2"/>
    <w:rsid w:val="640500BB"/>
    <w:rsid w:val="650CFD7A"/>
    <w:rsid w:val="65ED4FEF"/>
    <w:rsid w:val="6618BE42"/>
    <w:rsid w:val="662D96B1"/>
    <w:rsid w:val="6663B566"/>
    <w:rsid w:val="669DC4BA"/>
    <w:rsid w:val="66F022AA"/>
    <w:rsid w:val="6710E81B"/>
    <w:rsid w:val="671BF13C"/>
    <w:rsid w:val="67224547"/>
    <w:rsid w:val="673EED77"/>
    <w:rsid w:val="674AC467"/>
    <w:rsid w:val="6782948B"/>
    <w:rsid w:val="687E8C0A"/>
    <w:rsid w:val="68E3371B"/>
    <w:rsid w:val="68FC85BB"/>
    <w:rsid w:val="6969B4CF"/>
    <w:rsid w:val="697796A2"/>
    <w:rsid w:val="698A486A"/>
    <w:rsid w:val="69A9566D"/>
    <w:rsid w:val="69C02569"/>
    <w:rsid w:val="6A27CB5B"/>
    <w:rsid w:val="6AC9BFE7"/>
    <w:rsid w:val="6B5A9E31"/>
    <w:rsid w:val="6CBD183C"/>
    <w:rsid w:val="6CF492FA"/>
    <w:rsid w:val="6D4D6AA1"/>
    <w:rsid w:val="6D5ACAC8"/>
    <w:rsid w:val="6D99CE60"/>
    <w:rsid w:val="6DA4F295"/>
    <w:rsid w:val="6DAC8FA9"/>
    <w:rsid w:val="6DC35A26"/>
    <w:rsid w:val="6DD115C0"/>
    <w:rsid w:val="6EC1FEFC"/>
    <w:rsid w:val="6EF89662"/>
    <w:rsid w:val="6F390167"/>
    <w:rsid w:val="6F3F2F5F"/>
    <w:rsid w:val="6F838ED6"/>
    <w:rsid w:val="6FD9D5CC"/>
    <w:rsid w:val="6FE19081"/>
    <w:rsid w:val="7090C12C"/>
    <w:rsid w:val="70A0FFE4"/>
    <w:rsid w:val="70E9C0A5"/>
    <w:rsid w:val="7139016B"/>
    <w:rsid w:val="71989C19"/>
    <w:rsid w:val="721A446C"/>
    <w:rsid w:val="72A77013"/>
    <w:rsid w:val="72B205A6"/>
    <w:rsid w:val="72D4D1CC"/>
    <w:rsid w:val="7368FE82"/>
    <w:rsid w:val="736B5C62"/>
    <w:rsid w:val="73C58A37"/>
    <w:rsid w:val="73D96AEF"/>
    <w:rsid w:val="7482CE8B"/>
    <w:rsid w:val="7486D532"/>
    <w:rsid w:val="74ACAF77"/>
    <w:rsid w:val="74C4DBB5"/>
    <w:rsid w:val="74D2BC8D"/>
    <w:rsid w:val="75218DAD"/>
    <w:rsid w:val="759B1595"/>
    <w:rsid w:val="759D9AB3"/>
    <w:rsid w:val="75A2FBCD"/>
    <w:rsid w:val="75E4EE87"/>
    <w:rsid w:val="76A265AC"/>
    <w:rsid w:val="76B254ED"/>
    <w:rsid w:val="76C2B04B"/>
    <w:rsid w:val="76C5B03B"/>
    <w:rsid w:val="77F18469"/>
    <w:rsid w:val="789C6C70"/>
    <w:rsid w:val="78B02A7E"/>
    <w:rsid w:val="790E5EFA"/>
    <w:rsid w:val="79437BD8"/>
    <w:rsid w:val="798B5C8C"/>
    <w:rsid w:val="79FDB5A4"/>
    <w:rsid w:val="7A54959B"/>
    <w:rsid w:val="7A81E206"/>
    <w:rsid w:val="7AB129E7"/>
    <w:rsid w:val="7ABB2231"/>
    <w:rsid w:val="7AC60130"/>
    <w:rsid w:val="7AE493DE"/>
    <w:rsid w:val="7AF745A6"/>
    <w:rsid w:val="7B5D45EA"/>
    <w:rsid w:val="7B704CD8"/>
    <w:rsid w:val="7BE2839B"/>
    <w:rsid w:val="7C0CDC37"/>
    <w:rsid w:val="7C69024A"/>
    <w:rsid w:val="7E6182BA"/>
    <w:rsid w:val="7EA7ED9A"/>
    <w:rsid w:val="7F3DB67E"/>
    <w:rsid w:val="7F7372B9"/>
    <w:rsid w:val="7F756AF7"/>
    <w:rsid w:val="7FB3596F"/>
    <w:rsid w:val="7FB72D3C"/>
    <w:rsid w:val="7FE1752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DAFE4"/>
  <w15:chartTrackingRefBased/>
  <w15:docId w15:val="{AC80C0A9-903E-43F8-BFE6-AEA11A47F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3A3"/>
    <w:pPr>
      <w:spacing w:after="0" w:line="240" w:lineRule="auto"/>
    </w:pPr>
    <w:rPr>
      <w:rFonts w:ascii="Calibri" w:hAnsi="Calibri" w:cs="Calibri"/>
      <w:lang w:eastAsia="zh-CN"/>
    </w:rPr>
  </w:style>
  <w:style w:type="paragraph" w:styleId="Heading1">
    <w:name w:val="heading 1"/>
    <w:next w:val="BodyText"/>
    <w:link w:val="Heading1Char"/>
    <w:uiPriority w:val="9"/>
    <w:qFormat/>
    <w:rsid w:val="00255411"/>
    <w:pPr>
      <w:keepNext/>
      <w:keepLines/>
      <w:spacing w:before="480" w:after="200" w:line="276" w:lineRule="auto"/>
      <w:outlineLvl w:val="0"/>
    </w:pPr>
    <w:rPr>
      <w:rFonts w:asciiTheme="majorHAnsi" w:eastAsiaTheme="majorEastAsia" w:hAnsiTheme="majorHAnsi" w:cstheme="majorBidi"/>
      <w:b/>
      <w:bCs/>
      <w:sz w:val="36"/>
      <w:szCs w:val="32"/>
    </w:rPr>
  </w:style>
  <w:style w:type="paragraph" w:styleId="Heading2">
    <w:name w:val="heading 2"/>
    <w:basedOn w:val="Heading1"/>
    <w:next w:val="BodyText"/>
    <w:link w:val="Heading2Char"/>
    <w:uiPriority w:val="9"/>
    <w:unhideWhenUsed/>
    <w:qFormat/>
    <w:rsid w:val="00255411"/>
    <w:pPr>
      <w:spacing w:before="240"/>
      <w:outlineLvl w:val="1"/>
    </w:pPr>
    <w:rPr>
      <w:b w:val="0"/>
      <w:bCs w:val="0"/>
      <w:sz w:val="32"/>
    </w:rPr>
  </w:style>
  <w:style w:type="paragraph" w:styleId="Heading3">
    <w:name w:val="heading 3"/>
    <w:basedOn w:val="Heading1"/>
    <w:next w:val="BodyText"/>
    <w:link w:val="Heading3Char"/>
    <w:uiPriority w:val="9"/>
    <w:unhideWhenUsed/>
    <w:qFormat/>
    <w:rsid w:val="00255411"/>
    <w:pPr>
      <w:spacing w:before="240"/>
      <w:outlineLvl w:val="2"/>
    </w:pPr>
    <w:rPr>
      <w:b w:val="0"/>
      <w:bCs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5411"/>
    <w:pPr>
      <w:tabs>
        <w:tab w:val="center" w:pos="4513"/>
        <w:tab w:val="right" w:pos="9026"/>
      </w:tabs>
    </w:pPr>
  </w:style>
  <w:style w:type="character" w:customStyle="1" w:styleId="HeaderChar">
    <w:name w:val="Header Char"/>
    <w:basedOn w:val="DefaultParagraphFont"/>
    <w:link w:val="Header"/>
    <w:uiPriority w:val="99"/>
    <w:rsid w:val="00255411"/>
  </w:style>
  <w:style w:type="paragraph" w:styleId="Footer">
    <w:name w:val="footer"/>
    <w:basedOn w:val="Normal"/>
    <w:link w:val="FooterChar"/>
    <w:uiPriority w:val="99"/>
    <w:unhideWhenUsed/>
    <w:rsid w:val="00E41DFC"/>
    <w:pPr>
      <w:tabs>
        <w:tab w:val="center" w:pos="4513"/>
        <w:tab w:val="right" w:pos="9026"/>
      </w:tabs>
      <w:spacing w:before="200"/>
    </w:pPr>
  </w:style>
  <w:style w:type="character" w:customStyle="1" w:styleId="FooterChar">
    <w:name w:val="Footer Char"/>
    <w:basedOn w:val="DefaultParagraphFont"/>
    <w:link w:val="Footer"/>
    <w:uiPriority w:val="99"/>
    <w:rsid w:val="00E41DFC"/>
  </w:style>
  <w:style w:type="paragraph" w:styleId="Title">
    <w:name w:val="Title"/>
    <w:next w:val="BodyText"/>
    <w:link w:val="TitleChar"/>
    <w:uiPriority w:val="10"/>
    <w:qFormat/>
    <w:rsid w:val="00255411"/>
    <w:pPr>
      <w:spacing w:before="3000" w:after="360" w:line="240" w:lineRule="auto"/>
      <w:contextualSpacing/>
    </w:pPr>
    <w:rPr>
      <w:rFonts w:asciiTheme="majorHAnsi" w:eastAsiaTheme="majorEastAsia" w:hAnsiTheme="majorHAnsi" w:cstheme="majorBidi"/>
      <w:bCs/>
      <w:spacing w:val="-10"/>
      <w:kern w:val="28"/>
      <w:sz w:val="72"/>
      <w:szCs w:val="96"/>
      <w:lang w:eastAsia="en-US"/>
    </w:rPr>
  </w:style>
  <w:style w:type="character" w:customStyle="1" w:styleId="TitleChar">
    <w:name w:val="Title Char"/>
    <w:basedOn w:val="DefaultParagraphFont"/>
    <w:link w:val="Title"/>
    <w:uiPriority w:val="10"/>
    <w:rsid w:val="00255411"/>
    <w:rPr>
      <w:rFonts w:asciiTheme="majorHAnsi" w:eastAsiaTheme="majorEastAsia" w:hAnsiTheme="majorHAnsi" w:cstheme="majorBidi"/>
      <w:bCs/>
      <w:spacing w:val="-10"/>
      <w:kern w:val="28"/>
      <w:sz w:val="72"/>
      <w:szCs w:val="96"/>
      <w:lang w:eastAsia="en-US"/>
    </w:rPr>
  </w:style>
  <w:style w:type="paragraph" w:styleId="Subtitle">
    <w:name w:val="Subtitle"/>
    <w:next w:val="BodyText"/>
    <w:link w:val="SubtitleChar"/>
    <w:uiPriority w:val="11"/>
    <w:qFormat/>
    <w:rsid w:val="00255411"/>
    <w:pPr>
      <w:numPr>
        <w:ilvl w:val="1"/>
      </w:numPr>
      <w:spacing w:after="240" w:line="276" w:lineRule="auto"/>
    </w:pPr>
    <w:rPr>
      <w:spacing w:val="15"/>
      <w:sz w:val="48"/>
      <w:lang w:eastAsia="en-US"/>
    </w:rPr>
  </w:style>
  <w:style w:type="character" w:customStyle="1" w:styleId="SubtitleChar">
    <w:name w:val="Subtitle Char"/>
    <w:basedOn w:val="DefaultParagraphFont"/>
    <w:link w:val="Subtitle"/>
    <w:uiPriority w:val="11"/>
    <w:rsid w:val="00255411"/>
    <w:rPr>
      <w:spacing w:val="15"/>
      <w:sz w:val="48"/>
      <w:lang w:eastAsia="en-US"/>
    </w:rPr>
  </w:style>
  <w:style w:type="character" w:customStyle="1" w:styleId="Heading1Char">
    <w:name w:val="Heading 1 Char"/>
    <w:basedOn w:val="DefaultParagraphFont"/>
    <w:link w:val="Heading1"/>
    <w:uiPriority w:val="9"/>
    <w:rsid w:val="00255411"/>
    <w:rPr>
      <w:rFonts w:asciiTheme="majorHAnsi" w:eastAsiaTheme="majorEastAsia" w:hAnsiTheme="majorHAnsi" w:cstheme="majorBidi"/>
      <w:b/>
      <w:bCs/>
      <w:sz w:val="36"/>
      <w:szCs w:val="32"/>
    </w:rPr>
  </w:style>
  <w:style w:type="character" w:customStyle="1" w:styleId="Heading2Char">
    <w:name w:val="Heading 2 Char"/>
    <w:basedOn w:val="DefaultParagraphFont"/>
    <w:link w:val="Heading2"/>
    <w:uiPriority w:val="9"/>
    <w:rsid w:val="00255411"/>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255411"/>
    <w:rPr>
      <w:rFonts w:asciiTheme="majorHAnsi" w:eastAsiaTheme="majorEastAsia" w:hAnsiTheme="majorHAnsi" w:cstheme="majorBidi"/>
      <w:sz w:val="28"/>
      <w:szCs w:val="28"/>
    </w:rPr>
  </w:style>
  <w:style w:type="paragraph" w:customStyle="1" w:styleId="Heading1numbered">
    <w:name w:val="Heading 1 numbered"/>
    <w:next w:val="BodyText"/>
    <w:link w:val="Heading1numberedChar"/>
    <w:uiPriority w:val="10"/>
    <w:qFormat/>
    <w:rsid w:val="00255411"/>
    <w:pPr>
      <w:numPr>
        <w:numId w:val="2"/>
      </w:numPr>
      <w:autoSpaceDE w:val="0"/>
      <w:autoSpaceDN w:val="0"/>
      <w:adjustRightInd w:val="0"/>
      <w:spacing w:before="480" w:after="200"/>
      <w:ind w:left="567" w:hanging="567"/>
    </w:pPr>
    <w:rPr>
      <w:rFonts w:ascii="Arial" w:eastAsia="Times New Roman" w:hAnsi="Arial" w:cs="Arial-BoldMT"/>
      <w:b/>
      <w:bCs/>
      <w:sz w:val="36"/>
      <w:szCs w:val="36"/>
      <w:lang w:eastAsia="en-US"/>
    </w:rPr>
  </w:style>
  <w:style w:type="character" w:customStyle="1" w:styleId="Heading1numberedChar">
    <w:name w:val="Heading 1 numbered Char"/>
    <w:basedOn w:val="DefaultParagraphFont"/>
    <w:link w:val="Heading1numbered"/>
    <w:uiPriority w:val="10"/>
    <w:rsid w:val="00255411"/>
    <w:rPr>
      <w:rFonts w:ascii="Arial" w:eastAsia="Times New Roman" w:hAnsi="Arial" w:cs="Arial-BoldMT"/>
      <w:b/>
      <w:bCs/>
      <w:sz w:val="36"/>
      <w:szCs w:val="36"/>
      <w:lang w:eastAsia="en-US"/>
    </w:rPr>
  </w:style>
  <w:style w:type="paragraph" w:customStyle="1" w:styleId="SubSubHeadingNumbered">
    <w:name w:val="Sub Sub Heading Numbered"/>
    <w:basedOn w:val="Heading1numbered"/>
    <w:next w:val="BodyText"/>
    <w:uiPriority w:val="10"/>
    <w:qFormat/>
    <w:rsid w:val="00255411"/>
    <w:pPr>
      <w:numPr>
        <w:ilvl w:val="2"/>
      </w:numPr>
      <w:spacing w:before="240"/>
      <w:ind w:left="993" w:hanging="993"/>
    </w:pPr>
    <w:rPr>
      <w:rFonts w:eastAsiaTheme="majorEastAsia"/>
      <w:b w:val="0"/>
      <w:bCs w:val="0"/>
      <w:sz w:val="28"/>
    </w:rPr>
  </w:style>
  <w:style w:type="paragraph" w:customStyle="1" w:styleId="Subheadingnumbered">
    <w:name w:val="Sub heading numbered"/>
    <w:basedOn w:val="Heading1numbered"/>
    <w:next w:val="BodyText"/>
    <w:uiPriority w:val="10"/>
    <w:qFormat/>
    <w:rsid w:val="00255411"/>
    <w:pPr>
      <w:numPr>
        <w:ilvl w:val="1"/>
      </w:numPr>
      <w:spacing w:before="240"/>
      <w:ind w:left="851" w:hanging="851"/>
    </w:pPr>
    <w:rPr>
      <w:rFonts w:eastAsiaTheme="majorEastAsia"/>
      <w:b w:val="0"/>
      <w:sz w:val="32"/>
    </w:rPr>
  </w:style>
  <w:style w:type="paragraph" w:styleId="BodyText">
    <w:name w:val="Body Text"/>
    <w:link w:val="BodyTextChar"/>
    <w:uiPriority w:val="1"/>
    <w:unhideWhenUsed/>
    <w:qFormat/>
    <w:rsid w:val="00255411"/>
    <w:pPr>
      <w:spacing w:line="276" w:lineRule="auto"/>
    </w:pPr>
  </w:style>
  <w:style w:type="character" w:customStyle="1" w:styleId="BodyTextChar">
    <w:name w:val="Body Text Char"/>
    <w:basedOn w:val="DefaultParagraphFont"/>
    <w:link w:val="BodyText"/>
    <w:uiPriority w:val="1"/>
    <w:rsid w:val="00255411"/>
  </w:style>
  <w:style w:type="paragraph" w:styleId="FootnoteText">
    <w:name w:val="footnote text"/>
    <w:basedOn w:val="BodyText"/>
    <w:link w:val="FootnoteTextChar"/>
    <w:uiPriority w:val="99"/>
    <w:semiHidden/>
    <w:unhideWhenUsed/>
    <w:qFormat/>
    <w:rsid w:val="002554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5411"/>
    <w:rPr>
      <w:sz w:val="20"/>
      <w:szCs w:val="20"/>
    </w:rPr>
  </w:style>
  <w:style w:type="paragraph" w:styleId="ListParagraph">
    <w:name w:val="List Paragraph"/>
    <w:basedOn w:val="BodyText"/>
    <w:uiPriority w:val="34"/>
    <w:qFormat/>
    <w:rsid w:val="00255411"/>
    <w:pPr>
      <w:numPr>
        <w:numId w:val="14"/>
      </w:numPr>
    </w:pPr>
  </w:style>
  <w:style w:type="paragraph" w:styleId="ListBullet">
    <w:name w:val="List Bullet"/>
    <w:basedOn w:val="ListParagraph"/>
    <w:uiPriority w:val="99"/>
    <w:unhideWhenUsed/>
    <w:qFormat/>
    <w:rsid w:val="00255411"/>
    <w:pPr>
      <w:numPr>
        <w:numId w:val="15"/>
      </w:numPr>
      <w:contextualSpacing/>
    </w:pPr>
  </w:style>
  <w:style w:type="paragraph" w:styleId="ListNumber">
    <w:name w:val="List Number"/>
    <w:basedOn w:val="BodyText"/>
    <w:uiPriority w:val="99"/>
    <w:unhideWhenUsed/>
    <w:qFormat/>
    <w:rsid w:val="00255411"/>
    <w:pPr>
      <w:numPr>
        <w:numId w:val="16"/>
      </w:numPr>
      <w:ind w:left="714" w:hanging="357"/>
      <w:contextualSpacing/>
    </w:pPr>
  </w:style>
  <w:style w:type="character" w:styleId="Strong">
    <w:name w:val="Strong"/>
    <w:basedOn w:val="DefaultParagraphFont"/>
    <w:uiPriority w:val="22"/>
    <w:qFormat/>
    <w:rsid w:val="00255411"/>
    <w:rPr>
      <w:b/>
      <w:bCs/>
      <w:noProof w:val="0"/>
      <w:lang w:val="en-GB"/>
    </w:rPr>
  </w:style>
  <w:style w:type="character" w:styleId="Emphasis">
    <w:name w:val="Emphasis"/>
    <w:basedOn w:val="DefaultParagraphFont"/>
    <w:uiPriority w:val="20"/>
    <w:qFormat/>
    <w:rsid w:val="00255411"/>
    <w:rPr>
      <w:i/>
      <w:iCs/>
      <w:noProof w:val="0"/>
      <w:lang w:val="en-GB"/>
    </w:rPr>
  </w:style>
  <w:style w:type="character" w:styleId="FootnoteReference">
    <w:name w:val="footnote reference"/>
    <w:basedOn w:val="DefaultParagraphFont"/>
    <w:uiPriority w:val="99"/>
    <w:semiHidden/>
    <w:unhideWhenUsed/>
    <w:rsid w:val="00255411"/>
    <w:rPr>
      <w:vertAlign w:val="superscript"/>
    </w:rPr>
  </w:style>
  <w:style w:type="character" w:customStyle="1" w:styleId="Strikethrough">
    <w:name w:val="Strikethrough"/>
    <w:basedOn w:val="DefaultParagraphFont"/>
    <w:uiPriority w:val="23"/>
    <w:qFormat/>
    <w:rsid w:val="00255411"/>
    <w:rPr>
      <w:i w:val="0"/>
      <w:strike/>
      <w:noProof w:val="0"/>
      <w:lang w:val="en-GB"/>
    </w:rPr>
  </w:style>
  <w:style w:type="character" w:customStyle="1" w:styleId="Highlight">
    <w:name w:val="Highlight"/>
    <w:basedOn w:val="DefaultParagraphFont"/>
    <w:uiPriority w:val="23"/>
    <w:qFormat/>
    <w:rsid w:val="00255411"/>
    <w:rPr>
      <w:b w:val="0"/>
      <w:noProof w:val="0"/>
      <w:bdr w:val="none" w:sz="0" w:space="0" w:color="auto"/>
      <w:shd w:val="clear" w:color="auto" w:fill="FFFF00"/>
      <w:lang w:val="en-GB"/>
    </w:rPr>
  </w:style>
  <w:style w:type="paragraph" w:styleId="BodyText3">
    <w:name w:val="Body Text 3"/>
    <w:basedOn w:val="BodyText"/>
    <w:link w:val="BodyText3Char"/>
    <w:uiPriority w:val="24"/>
    <w:unhideWhenUsed/>
    <w:rsid w:val="00255411"/>
    <w:pPr>
      <w:spacing w:after="0" w:line="240" w:lineRule="auto"/>
    </w:pPr>
    <w:rPr>
      <w:sz w:val="16"/>
      <w:szCs w:val="16"/>
    </w:rPr>
  </w:style>
  <w:style w:type="character" w:customStyle="1" w:styleId="BodyText3Char">
    <w:name w:val="Body Text 3 Char"/>
    <w:basedOn w:val="DefaultParagraphFont"/>
    <w:link w:val="BodyText3"/>
    <w:uiPriority w:val="24"/>
    <w:rsid w:val="00255411"/>
    <w:rPr>
      <w:sz w:val="16"/>
      <w:szCs w:val="16"/>
    </w:rPr>
  </w:style>
  <w:style w:type="paragraph" w:styleId="Salutation">
    <w:name w:val="Salutation"/>
    <w:basedOn w:val="BodyText"/>
    <w:next w:val="BodyText"/>
    <w:link w:val="SalutationChar"/>
    <w:uiPriority w:val="99"/>
    <w:unhideWhenUsed/>
    <w:rsid w:val="00255411"/>
    <w:pPr>
      <w:spacing w:before="720" w:after="240"/>
    </w:pPr>
  </w:style>
  <w:style w:type="character" w:customStyle="1" w:styleId="SalutationChar">
    <w:name w:val="Salutation Char"/>
    <w:basedOn w:val="DefaultParagraphFont"/>
    <w:link w:val="Salutation"/>
    <w:uiPriority w:val="99"/>
    <w:rsid w:val="00255411"/>
  </w:style>
  <w:style w:type="table" w:styleId="TableGrid">
    <w:name w:val="Table Grid"/>
    <w:basedOn w:val="TableNormal"/>
    <w:uiPriority w:val="39"/>
    <w:rsid w:val="00404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29E2"/>
    <w:rPr>
      <w:color w:val="auto"/>
      <w:u w:val="single"/>
    </w:rPr>
  </w:style>
  <w:style w:type="character" w:styleId="PlaceholderText">
    <w:name w:val="Placeholder Text"/>
    <w:basedOn w:val="DefaultParagraphFont"/>
    <w:uiPriority w:val="99"/>
    <w:semiHidden/>
    <w:rsid w:val="00255411"/>
    <w:rPr>
      <w:color w:val="808080"/>
    </w:rPr>
  </w:style>
  <w:style w:type="paragraph" w:styleId="NoSpacing">
    <w:name w:val="No Spacing"/>
    <w:basedOn w:val="BodyText"/>
    <w:uiPriority w:val="1"/>
    <w:rsid w:val="009E2423"/>
    <w:pPr>
      <w:spacing w:after="0" w:line="240" w:lineRule="auto"/>
    </w:pPr>
  </w:style>
  <w:style w:type="paragraph" w:styleId="TOC1">
    <w:name w:val="toc 1"/>
    <w:basedOn w:val="Normal"/>
    <w:next w:val="Normal"/>
    <w:autoRedefine/>
    <w:uiPriority w:val="39"/>
    <w:unhideWhenUsed/>
    <w:rsid w:val="00255411"/>
    <w:pPr>
      <w:tabs>
        <w:tab w:val="right" w:leader="dot" w:pos="10194"/>
      </w:tabs>
      <w:spacing w:before="360"/>
    </w:pPr>
    <w:rPr>
      <w:rFonts w:asciiTheme="majorHAnsi" w:hAnsiTheme="majorHAnsi" w:cstheme="majorHAnsi"/>
      <w:b/>
      <w:bCs/>
      <w:noProof/>
      <w:sz w:val="24"/>
      <w:szCs w:val="24"/>
    </w:rPr>
  </w:style>
  <w:style w:type="paragraph" w:styleId="TOC2">
    <w:name w:val="toc 2"/>
    <w:basedOn w:val="TOC1"/>
    <w:next w:val="Normal"/>
    <w:autoRedefine/>
    <w:uiPriority w:val="39"/>
    <w:unhideWhenUsed/>
    <w:rsid w:val="00255411"/>
    <w:pPr>
      <w:spacing w:before="240"/>
      <w:ind w:left="567"/>
    </w:pPr>
    <w:rPr>
      <w:rFonts w:asciiTheme="minorHAnsi" w:hAnsiTheme="minorHAnsi" w:cstheme="minorHAnsi"/>
      <w:b w:val="0"/>
      <w:szCs w:val="20"/>
    </w:rPr>
  </w:style>
  <w:style w:type="paragraph" w:styleId="TOC3">
    <w:name w:val="toc 3"/>
    <w:basedOn w:val="TOC1"/>
    <w:next w:val="Normal"/>
    <w:autoRedefine/>
    <w:uiPriority w:val="39"/>
    <w:unhideWhenUsed/>
    <w:rsid w:val="00255411"/>
    <w:pPr>
      <w:spacing w:before="0"/>
      <w:ind w:left="1134"/>
    </w:pPr>
    <w:rPr>
      <w:rFonts w:asciiTheme="minorHAnsi" w:hAnsiTheme="minorHAnsi" w:cstheme="minorHAnsi"/>
      <w:b w:val="0"/>
      <w:bCs w:val="0"/>
      <w:szCs w:val="20"/>
    </w:rPr>
  </w:style>
  <w:style w:type="paragraph" w:styleId="TOCHeading">
    <w:name w:val="TOC Heading"/>
    <w:basedOn w:val="Heading1"/>
    <w:next w:val="Normal"/>
    <w:uiPriority w:val="39"/>
    <w:unhideWhenUsed/>
    <w:rsid w:val="00255411"/>
    <w:pPr>
      <w:spacing w:before="240" w:after="0" w:line="259" w:lineRule="auto"/>
      <w:outlineLvl w:val="9"/>
    </w:pPr>
    <w:rPr>
      <w:b w:val="0"/>
      <w:bCs w:val="0"/>
      <w:color w:val="976AC5" w:themeColor="accent1" w:themeShade="BF"/>
      <w:sz w:val="32"/>
      <w:lang w:val="en-US" w:eastAsia="en-US"/>
    </w:rPr>
  </w:style>
  <w:style w:type="paragraph" w:styleId="TOC4">
    <w:name w:val="toc 4"/>
    <w:basedOn w:val="TOC1"/>
    <w:next w:val="Normal"/>
    <w:autoRedefine/>
    <w:uiPriority w:val="39"/>
    <w:unhideWhenUsed/>
    <w:rsid w:val="00255411"/>
    <w:pPr>
      <w:ind w:left="567" w:hanging="567"/>
    </w:pPr>
    <w:rPr>
      <w:rFonts w:cstheme="minorHAnsi"/>
      <w:szCs w:val="20"/>
    </w:rPr>
  </w:style>
  <w:style w:type="paragraph" w:styleId="TOC5">
    <w:name w:val="toc 5"/>
    <w:basedOn w:val="TOC2"/>
    <w:next w:val="Normal"/>
    <w:autoRedefine/>
    <w:uiPriority w:val="39"/>
    <w:unhideWhenUsed/>
    <w:rsid w:val="00255411"/>
    <w:pPr>
      <w:ind w:left="1134" w:hanging="567"/>
    </w:pPr>
    <w:rPr>
      <w:szCs w:val="24"/>
    </w:rPr>
  </w:style>
  <w:style w:type="paragraph" w:styleId="TOC6">
    <w:name w:val="toc 6"/>
    <w:basedOn w:val="TOC3"/>
    <w:next w:val="Normal"/>
    <w:autoRedefine/>
    <w:uiPriority w:val="39"/>
    <w:unhideWhenUsed/>
    <w:rsid w:val="00255411"/>
    <w:pPr>
      <w:ind w:left="1843" w:hanging="709"/>
    </w:pPr>
  </w:style>
  <w:style w:type="paragraph" w:styleId="TOC7">
    <w:name w:val="toc 7"/>
    <w:basedOn w:val="Normal"/>
    <w:next w:val="Normal"/>
    <w:autoRedefine/>
    <w:uiPriority w:val="39"/>
    <w:unhideWhenUsed/>
    <w:rsid w:val="00170474"/>
    <w:pPr>
      <w:ind w:left="1100"/>
    </w:pPr>
    <w:rPr>
      <w:rFonts w:cstheme="minorHAnsi"/>
      <w:sz w:val="20"/>
      <w:szCs w:val="20"/>
    </w:rPr>
  </w:style>
  <w:style w:type="paragraph" w:styleId="TOC8">
    <w:name w:val="toc 8"/>
    <w:basedOn w:val="Normal"/>
    <w:next w:val="Normal"/>
    <w:autoRedefine/>
    <w:uiPriority w:val="39"/>
    <w:unhideWhenUsed/>
    <w:rsid w:val="00170474"/>
    <w:pPr>
      <w:ind w:left="1320"/>
    </w:pPr>
    <w:rPr>
      <w:rFonts w:cstheme="minorHAnsi"/>
      <w:sz w:val="20"/>
      <w:szCs w:val="20"/>
    </w:rPr>
  </w:style>
  <w:style w:type="paragraph" w:styleId="TOC9">
    <w:name w:val="toc 9"/>
    <w:basedOn w:val="Normal"/>
    <w:next w:val="Normal"/>
    <w:autoRedefine/>
    <w:uiPriority w:val="39"/>
    <w:unhideWhenUsed/>
    <w:rsid w:val="00170474"/>
    <w:pPr>
      <w:ind w:left="1540"/>
    </w:pPr>
    <w:rPr>
      <w:rFonts w:cstheme="minorHAnsi"/>
      <w:sz w:val="20"/>
      <w:szCs w:val="20"/>
    </w:rPr>
  </w:style>
  <w:style w:type="character" w:styleId="UnresolvedMention">
    <w:name w:val="Unresolved Mention"/>
    <w:basedOn w:val="DefaultParagraphFont"/>
    <w:uiPriority w:val="99"/>
    <w:semiHidden/>
    <w:unhideWhenUsed/>
    <w:rsid w:val="00D24BFD"/>
    <w:rPr>
      <w:color w:val="605E5C"/>
      <w:shd w:val="clear" w:color="auto" w:fill="E1DFDD"/>
    </w:rPr>
  </w:style>
  <w:style w:type="character" w:styleId="LineNumber">
    <w:name w:val="line number"/>
    <w:basedOn w:val="DefaultParagraphFont"/>
    <w:uiPriority w:val="99"/>
    <w:unhideWhenUsed/>
    <w:rsid w:val="00255411"/>
  </w:style>
  <w:style w:type="character" w:styleId="FollowedHyperlink">
    <w:name w:val="FollowedHyperlink"/>
    <w:basedOn w:val="DefaultParagraphFont"/>
    <w:uiPriority w:val="99"/>
    <w:semiHidden/>
    <w:unhideWhenUsed/>
    <w:rsid w:val="00FE3778"/>
    <w:rPr>
      <w:color w:val="653992" w:themeColor="accent1" w:themeShade="80"/>
      <w:u w:val="single"/>
    </w:rPr>
  </w:style>
  <w:style w:type="character" w:styleId="CommentReference">
    <w:name w:val="annotation reference"/>
    <w:basedOn w:val="DefaultParagraphFont"/>
    <w:uiPriority w:val="99"/>
    <w:semiHidden/>
    <w:unhideWhenUsed/>
    <w:rsid w:val="00C438D3"/>
    <w:rPr>
      <w:sz w:val="16"/>
      <w:szCs w:val="16"/>
    </w:rPr>
  </w:style>
  <w:style w:type="paragraph" w:styleId="CommentText">
    <w:name w:val="annotation text"/>
    <w:basedOn w:val="Normal"/>
    <w:link w:val="CommentTextChar"/>
    <w:uiPriority w:val="99"/>
    <w:unhideWhenUsed/>
    <w:rsid w:val="00C438D3"/>
    <w:rPr>
      <w:sz w:val="20"/>
      <w:szCs w:val="20"/>
    </w:rPr>
  </w:style>
  <w:style w:type="character" w:customStyle="1" w:styleId="CommentTextChar">
    <w:name w:val="Comment Text Char"/>
    <w:basedOn w:val="DefaultParagraphFont"/>
    <w:link w:val="CommentText"/>
    <w:uiPriority w:val="99"/>
    <w:rsid w:val="00C438D3"/>
    <w:rPr>
      <w:rFonts w:ascii="Calibri" w:hAnsi="Calibri" w:cs="Calibri"/>
      <w:sz w:val="20"/>
      <w:szCs w:val="20"/>
      <w:lang w:eastAsia="zh-CN"/>
    </w:rPr>
  </w:style>
  <w:style w:type="paragraph" w:styleId="CommentSubject">
    <w:name w:val="annotation subject"/>
    <w:basedOn w:val="CommentText"/>
    <w:next w:val="CommentText"/>
    <w:link w:val="CommentSubjectChar"/>
    <w:uiPriority w:val="99"/>
    <w:semiHidden/>
    <w:unhideWhenUsed/>
    <w:rsid w:val="00C438D3"/>
    <w:rPr>
      <w:b/>
      <w:bCs/>
    </w:rPr>
  </w:style>
  <w:style w:type="character" w:customStyle="1" w:styleId="CommentSubjectChar">
    <w:name w:val="Comment Subject Char"/>
    <w:basedOn w:val="CommentTextChar"/>
    <w:link w:val="CommentSubject"/>
    <w:uiPriority w:val="99"/>
    <w:semiHidden/>
    <w:rsid w:val="00C438D3"/>
    <w:rPr>
      <w:rFonts w:ascii="Calibri" w:hAnsi="Calibri" w:cs="Calibri"/>
      <w:b/>
      <w:bCs/>
      <w:sz w:val="20"/>
      <w:szCs w:val="20"/>
      <w:lang w:eastAsia="zh-CN"/>
    </w:rPr>
  </w:style>
  <w:style w:type="character" w:styleId="Mention">
    <w:name w:val="Mention"/>
    <w:basedOn w:val="DefaultParagraphFont"/>
    <w:uiPriority w:val="99"/>
    <w:unhideWhenUsed/>
    <w:rsid w:val="00C438D3"/>
    <w:rPr>
      <w:color w:val="2B579A"/>
      <w:shd w:val="clear" w:color="auto" w:fill="E1DFDD"/>
    </w:rPr>
  </w:style>
  <w:style w:type="paragraph" w:styleId="Revision">
    <w:name w:val="Revision"/>
    <w:hidden/>
    <w:uiPriority w:val="99"/>
    <w:semiHidden/>
    <w:rsid w:val="00EC2F90"/>
    <w:pPr>
      <w:spacing w:after="0" w:line="240" w:lineRule="auto"/>
    </w:pPr>
    <w:rPr>
      <w:rFonts w:ascii="Calibri" w:hAnsi="Calibri" w:cs="Calibri"/>
      <w:lang w:eastAsia="zh-CN"/>
    </w:rPr>
  </w:style>
  <w:style w:type="character" w:customStyle="1" w:styleId="ui-provider">
    <w:name w:val="ui-provider"/>
    <w:basedOn w:val="DefaultParagraphFont"/>
    <w:rsid w:val="00D22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70704">
      <w:bodyDiv w:val="1"/>
      <w:marLeft w:val="0"/>
      <w:marRight w:val="0"/>
      <w:marTop w:val="0"/>
      <w:marBottom w:val="0"/>
      <w:divBdr>
        <w:top w:val="none" w:sz="0" w:space="0" w:color="auto"/>
        <w:left w:val="none" w:sz="0" w:space="0" w:color="auto"/>
        <w:bottom w:val="none" w:sz="0" w:space="0" w:color="auto"/>
        <w:right w:val="none" w:sz="0" w:space="0" w:color="auto"/>
      </w:divBdr>
    </w:div>
    <w:div w:id="608245355">
      <w:bodyDiv w:val="1"/>
      <w:marLeft w:val="0"/>
      <w:marRight w:val="0"/>
      <w:marTop w:val="0"/>
      <w:marBottom w:val="0"/>
      <w:divBdr>
        <w:top w:val="none" w:sz="0" w:space="0" w:color="auto"/>
        <w:left w:val="none" w:sz="0" w:space="0" w:color="auto"/>
        <w:bottom w:val="none" w:sz="0" w:space="0" w:color="auto"/>
        <w:right w:val="none" w:sz="0" w:space="0" w:color="auto"/>
      </w:divBdr>
    </w:div>
    <w:div w:id="642349934">
      <w:bodyDiv w:val="1"/>
      <w:marLeft w:val="0"/>
      <w:marRight w:val="0"/>
      <w:marTop w:val="0"/>
      <w:marBottom w:val="0"/>
      <w:divBdr>
        <w:top w:val="none" w:sz="0" w:space="0" w:color="auto"/>
        <w:left w:val="none" w:sz="0" w:space="0" w:color="auto"/>
        <w:bottom w:val="none" w:sz="0" w:space="0" w:color="auto"/>
        <w:right w:val="none" w:sz="0" w:space="0" w:color="auto"/>
      </w:divBdr>
    </w:div>
    <w:div w:id="771583188">
      <w:bodyDiv w:val="1"/>
      <w:marLeft w:val="0"/>
      <w:marRight w:val="0"/>
      <w:marTop w:val="0"/>
      <w:marBottom w:val="0"/>
      <w:divBdr>
        <w:top w:val="none" w:sz="0" w:space="0" w:color="auto"/>
        <w:left w:val="none" w:sz="0" w:space="0" w:color="auto"/>
        <w:bottom w:val="none" w:sz="0" w:space="0" w:color="auto"/>
        <w:right w:val="none" w:sz="0" w:space="0" w:color="auto"/>
      </w:divBdr>
    </w:div>
    <w:div w:id="958415403">
      <w:bodyDiv w:val="1"/>
      <w:marLeft w:val="0"/>
      <w:marRight w:val="0"/>
      <w:marTop w:val="0"/>
      <w:marBottom w:val="0"/>
      <w:divBdr>
        <w:top w:val="none" w:sz="0" w:space="0" w:color="auto"/>
        <w:left w:val="none" w:sz="0" w:space="0" w:color="auto"/>
        <w:bottom w:val="none" w:sz="0" w:space="0" w:color="auto"/>
        <w:right w:val="none" w:sz="0" w:space="0" w:color="auto"/>
      </w:divBdr>
    </w:div>
    <w:div w:id="1392457354">
      <w:bodyDiv w:val="1"/>
      <w:marLeft w:val="0"/>
      <w:marRight w:val="0"/>
      <w:marTop w:val="0"/>
      <w:marBottom w:val="0"/>
      <w:divBdr>
        <w:top w:val="none" w:sz="0" w:space="0" w:color="auto"/>
        <w:left w:val="none" w:sz="0" w:space="0" w:color="auto"/>
        <w:bottom w:val="none" w:sz="0" w:space="0" w:color="auto"/>
        <w:right w:val="none" w:sz="0" w:space="0" w:color="auto"/>
      </w:divBdr>
    </w:div>
    <w:div w:id="1419787483">
      <w:bodyDiv w:val="1"/>
      <w:marLeft w:val="0"/>
      <w:marRight w:val="0"/>
      <w:marTop w:val="0"/>
      <w:marBottom w:val="0"/>
      <w:divBdr>
        <w:top w:val="none" w:sz="0" w:space="0" w:color="auto"/>
        <w:left w:val="none" w:sz="0" w:space="0" w:color="auto"/>
        <w:bottom w:val="none" w:sz="0" w:space="0" w:color="auto"/>
        <w:right w:val="none" w:sz="0" w:space="0" w:color="auto"/>
      </w:divBdr>
    </w:div>
    <w:div w:id="1487819687">
      <w:bodyDiv w:val="1"/>
      <w:marLeft w:val="0"/>
      <w:marRight w:val="0"/>
      <w:marTop w:val="0"/>
      <w:marBottom w:val="0"/>
      <w:divBdr>
        <w:top w:val="none" w:sz="0" w:space="0" w:color="auto"/>
        <w:left w:val="none" w:sz="0" w:space="0" w:color="auto"/>
        <w:bottom w:val="none" w:sz="0" w:space="0" w:color="auto"/>
        <w:right w:val="none" w:sz="0" w:space="0" w:color="auto"/>
      </w:divBdr>
    </w:div>
    <w:div w:id="1769037501">
      <w:bodyDiv w:val="1"/>
      <w:marLeft w:val="0"/>
      <w:marRight w:val="0"/>
      <w:marTop w:val="0"/>
      <w:marBottom w:val="0"/>
      <w:divBdr>
        <w:top w:val="none" w:sz="0" w:space="0" w:color="auto"/>
        <w:left w:val="none" w:sz="0" w:space="0" w:color="auto"/>
        <w:bottom w:val="none" w:sz="0" w:space="0" w:color="auto"/>
        <w:right w:val="none" w:sz="0" w:space="0" w:color="auto"/>
      </w:divBdr>
      <w:divsChild>
        <w:div w:id="1921911615">
          <w:marLeft w:val="0"/>
          <w:marRight w:val="0"/>
          <w:marTop w:val="0"/>
          <w:marBottom w:val="0"/>
          <w:divBdr>
            <w:top w:val="none" w:sz="0" w:space="0" w:color="auto"/>
            <w:left w:val="none" w:sz="0" w:space="0" w:color="auto"/>
            <w:bottom w:val="none" w:sz="0" w:space="0" w:color="auto"/>
            <w:right w:val="none" w:sz="0" w:space="0" w:color="auto"/>
          </w:divBdr>
        </w:div>
      </w:divsChild>
    </w:div>
    <w:div w:id="209951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hyperlink" Target="https://www.banktrack.org/download/global_human_rights_benchmark_2022/global_human_rights_benchmark_2022_2.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equitygenerationlawyers.com/human-right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banktrack.org/download/global_human_rights_benchmark_2022/global_human_rights_benchmark_2022_2.pdf" TargetMode="External"/><Relationship Id="rId25" Type="http://schemas.openxmlformats.org/officeDocument/2006/relationships/hyperlink" Target="http://www.clientearth.org" TargetMode="External"/><Relationship Id="rId2" Type="http://schemas.openxmlformats.org/officeDocument/2006/relationships/customXml" Target="../customXml/item2.xml"/><Relationship Id="rId16" Type="http://schemas.openxmlformats.org/officeDocument/2006/relationships/hyperlink" Target="https://sciencebasedtargets.org/resources/files/The-SBTi-Fossil-Fuel-Finance-Position-Paper-Consultation-Draft.pdf" TargetMode="External"/><Relationship Id="rId20" Type="http://schemas.openxmlformats.org/officeDocument/2006/relationships/hyperlink" Target="https://equitygenerationlawyers.com/human-right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rclarke@clientearth.org"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lsta.org/content/sustainability-linked-loan-principles-sllp/" TargetMode="External"/><Relationship Id="rId23" Type="http://schemas.openxmlformats.org/officeDocument/2006/relationships/hyperlink" Target="https://sciencebasedtargets.org/resources/files/The-SBTi-Fossil-Fuel-Finance-Position-Paper-Consultation-Draft.pdf"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equitygenerationlawyers.com/human-rights/"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ciencebasedtargets.org/resources/files/The-SBTi-Fossil-Fuel-Finance-Position-Paper-Consultation-Draft.pdf" TargetMode="External"/><Relationship Id="rId22" Type="http://schemas.openxmlformats.org/officeDocument/2006/relationships/hyperlink" Target="https://spcommreports.ohchr.org/TmSearch/RelCom?code=SAU%203/2023" TargetMode="External"/><Relationship Id="rId27" Type="http://schemas.openxmlformats.org/officeDocument/2006/relationships/footer" Target="footer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6" Type="http://schemas.openxmlformats.org/officeDocument/2006/relationships/hyperlink" Target="https://papers.ssrn.com/sol3/papers.cfm?abstract_id=4114616" TargetMode="External"/><Relationship Id="rId21" Type="http://schemas.openxmlformats.org/officeDocument/2006/relationships/hyperlink" Target="https://2degrees-investing.org/resource/market-review-of-environmental-impact-claims-of-retail-investment-funds-in-europe/" TargetMode="External"/><Relationship Id="rId42" Type="http://schemas.openxmlformats.org/officeDocument/2006/relationships/hyperlink" Target="https://www.ohchr.org/sites/default/files/documents/issues/business/workinggroupbusiness/Information-Note-Climate-Change-and-UNGPs.pdf" TargetMode="External"/><Relationship Id="rId47" Type="http://schemas.openxmlformats.org/officeDocument/2006/relationships/hyperlink" Target="https://139838633.fs1.hubspotusercontent-eu1.net/hubfs/139838633/Past%20resource%20uploads/IIGCC-Net-Zero-Stewardship-Guidance.pdf" TargetMode="External"/><Relationship Id="rId63" Type="http://schemas.openxmlformats.org/officeDocument/2006/relationships/hyperlink" Target="https://www.majorityaction.us/climate-action100-report-2023" TargetMode="External"/><Relationship Id="rId68" Type="http://schemas.openxmlformats.org/officeDocument/2006/relationships/hyperlink" Target="https://www.science.org/doi/10.1126/sciadv.adh2458" TargetMode="External"/><Relationship Id="rId7" Type="http://schemas.openxmlformats.org/officeDocument/2006/relationships/hyperlink" Target="https://www.ohchr.org/sites/default/files/documents/issues/business/workinggroupbusiness/Information-Note-Climate-Change-and-UNGPs.pdf" TargetMode="External"/><Relationship Id="rId2" Type="http://schemas.openxmlformats.org/officeDocument/2006/relationships/hyperlink" Target="https://www.ohchr.org/en/special-procedures/wg-business/reports" TargetMode="External"/><Relationship Id="rId16" Type="http://schemas.openxmlformats.org/officeDocument/2006/relationships/hyperlink" Target="https://adanitoxicbonds.org/2023/03/27/msci-urged-to-drop-adani-bonds-from-indices/" TargetMode="External"/><Relationship Id="rId29" Type="http://schemas.openxmlformats.org/officeDocument/2006/relationships/hyperlink" Target="https://www.clientearth.org/latest/documents/response-to-fca-cp22-20-on-sustainability-disclosure-requirements-sdr-and-investment-labels/" TargetMode="External"/><Relationship Id="rId11" Type="http://schemas.openxmlformats.org/officeDocument/2006/relationships/hyperlink" Target="https://www.ohchr.org/en/special-procedures/wg-business/reports" TargetMode="External"/><Relationship Id="rId24" Type="http://schemas.openxmlformats.org/officeDocument/2006/relationships/hyperlink" Target="https://www.ft.com/content/178449a7-8897-4359-b23a-e85524c3e227" TargetMode="External"/><Relationship Id="rId32" Type="http://schemas.openxmlformats.org/officeDocument/2006/relationships/hyperlink" Target="https://www.clientearth.org/media/kimpe2qy/update-to-green-finance-strategy-clientearth-response-to-hm-government-call-for-evidence.pdf" TargetMode="External"/><Relationship Id="rId37" Type="http://schemas.openxmlformats.org/officeDocument/2006/relationships/hyperlink" Target="https://media.business-humanrights.org/media/documents/files/documents/Thun_Final.pdf" TargetMode="External"/><Relationship Id="rId40" Type="http://schemas.openxmlformats.org/officeDocument/2006/relationships/hyperlink" Target="https://www.ohchr.org/en/special-procedures/wg-business/reports" TargetMode="External"/><Relationship Id="rId45" Type="http://schemas.openxmlformats.org/officeDocument/2006/relationships/hyperlink" Target="https://139838633.fs1.hubspotusercontent-eu1.net/hubfs/139838633/Past%20resource%20uploads/IIGCC-Net-Zero-Stewardship-Guidance.pdf" TargetMode="External"/><Relationship Id="rId53" Type="http://schemas.openxmlformats.org/officeDocument/2006/relationships/hyperlink" Target="https://investorsforhumanrights.org/sites/default/files/attachments/2020-05/Full%20Report-%20Investor%20Toolkit%20on%20Human%20Rights%20May%202020c.pdf" TargetMode="External"/><Relationship Id="rId58" Type="http://schemas.openxmlformats.org/officeDocument/2006/relationships/hyperlink" Target="https://www.parisalignedassetowners.org/media/2021/10/Net_Zero_Investment_Framework_final.pdf" TargetMode="External"/><Relationship Id="rId66" Type="http://schemas.openxmlformats.org/officeDocument/2006/relationships/hyperlink" Target="https://www.reuters.com/business/environment/environmental-activists-pressure-us-regulators-halt-jbs-listing-2023-08-23/" TargetMode="External"/><Relationship Id="rId5" Type="http://schemas.openxmlformats.org/officeDocument/2006/relationships/hyperlink" Target="https://mneguidelines.oecd.org/RBC-for-Institutional-Investors.pdf" TargetMode="External"/><Relationship Id="rId61" Type="http://schemas.openxmlformats.org/officeDocument/2006/relationships/hyperlink" Target="https://shareaction.org/reports/voting-matters-2022/general-findings" TargetMode="External"/><Relationship Id="rId19" Type="http://schemas.openxmlformats.org/officeDocument/2006/relationships/hyperlink" Target="https://www.clientearth.org/latest/press-office/press/agricultural-giant-cargill-faces-legal-complaint-over-deforestation-and-human-rights-failings-in-brazil/" TargetMode="External"/><Relationship Id="rId14" Type="http://schemas.openxmlformats.org/officeDocument/2006/relationships/hyperlink" Target="https://content.ftserussell.com/sites/default/files/ftse_esg_low_carbon_select_index_overview.pdf" TargetMode="External"/><Relationship Id="rId22" Type="http://schemas.openxmlformats.org/officeDocument/2006/relationships/hyperlink" Target="https://www.esma.europa.eu/sites/default/files/2023-06/ESMA30-1668416927-2498_Progress_Report_ESMA_response_to_COM_RfI_on_greenwashing_risks.pdf" TargetMode="External"/><Relationship Id="rId27" Type="http://schemas.openxmlformats.org/officeDocument/2006/relationships/hyperlink" Target="https://www.clientearth.org/media/c0ah51z1/v8_clientearth_hires_250423.pdf" TargetMode="External"/><Relationship Id="rId30" Type="http://schemas.openxmlformats.org/officeDocument/2006/relationships/hyperlink" Target="https://www.sec.gov/sec-enhances-rule-prevent-misleading-or-deceptive-fund-names" TargetMode="External"/><Relationship Id="rId35" Type="http://schemas.openxmlformats.org/officeDocument/2006/relationships/hyperlink" Target="https://mneguidelines.oecd.org/RBC-for-Institutional-Investors.pdf" TargetMode="External"/><Relationship Id="rId43" Type="http://schemas.openxmlformats.org/officeDocument/2006/relationships/hyperlink" Target="https://media.business-humanrights.org/media/documents/files/documents/Thun_Final.pdf" TargetMode="External"/><Relationship Id="rId48" Type="http://schemas.openxmlformats.org/officeDocument/2006/relationships/hyperlink" Target="https://www.unpri.org/sovereign-debt/esg-engagement-for-sovereign-debt-investors/6687.article" TargetMode="External"/><Relationship Id="rId56" Type="http://schemas.openxmlformats.org/officeDocument/2006/relationships/hyperlink" Target="https://mneguidelines.oecd.org/RBC-for-Institutional-Investors.pdf" TargetMode="External"/><Relationship Id="rId64" Type="http://schemas.openxmlformats.org/officeDocument/2006/relationships/hyperlink" Target="https://www.esginvestor.net/uk-asset-owners-voting-alignment-review-attracts-big-managers/" TargetMode="External"/><Relationship Id="rId69" Type="http://schemas.openxmlformats.org/officeDocument/2006/relationships/hyperlink" Target="https://www.oecdwatch.org/complaint/inclusive-development-international-et-al-vs-marsh/" TargetMode="External"/><Relationship Id="rId8" Type="http://schemas.openxmlformats.org/officeDocument/2006/relationships/hyperlink" Target="https://www.ifrs.org/issued-standards/ifrs-sustainability-standards-navigator/ifrs-s2-climate-related-disclosures/" TargetMode="External"/><Relationship Id="rId51" Type="http://schemas.openxmlformats.org/officeDocument/2006/relationships/hyperlink" Target="https://papers.ssrn.com/sol3/papers.cfm?abstract_id=4350209" TargetMode="External"/><Relationship Id="rId3" Type="http://schemas.openxmlformats.org/officeDocument/2006/relationships/hyperlink" Target="https://www.ohchr.org/sites/default/files/documents/issues/business/workinggroupbusiness/Information-Note-Climate-Change-and-UNGPs.pdf" TargetMode="External"/><Relationship Id="rId12" Type="http://schemas.openxmlformats.org/officeDocument/2006/relationships/hyperlink" Target="https://www.ohchr.org/en/special-procedures/wg-business/reports" TargetMode="External"/><Relationship Id="rId17" Type="http://schemas.openxmlformats.org/officeDocument/2006/relationships/hyperlink" Target="https://spcommreports.ohchr.org/TMResultsBase/DownLoadPublicCommunicationFile?gId=28094" TargetMode="External"/><Relationship Id="rId25" Type="http://schemas.openxmlformats.org/officeDocument/2006/relationships/hyperlink" Target="https://www.mightyearth.org/whistleblower-complaint-to-the-securities-and-exchange-commission-against-jbs/" TargetMode="External"/><Relationship Id="rId33" Type="http://schemas.openxmlformats.org/officeDocument/2006/relationships/hyperlink" Target="https://www.clientearth.org/media/cddjgfod/uk-manifesto-2023.pdf" TargetMode="External"/><Relationship Id="rId38" Type="http://schemas.openxmlformats.org/officeDocument/2006/relationships/hyperlink" Target="https://www.ohchr.org/sites/default/files/documents/issues/business/workinggroupbusiness/Statement-Financial-Sector-WG-business-12July2023.pdf" TargetMode="External"/><Relationship Id="rId46" Type="http://schemas.openxmlformats.org/officeDocument/2006/relationships/hyperlink" Target="https://papers.ssrn.com/sol3/papers.cfm?abstract_id=4193465" TargetMode="External"/><Relationship Id="rId59" Type="http://schemas.openxmlformats.org/officeDocument/2006/relationships/hyperlink" Target="https://www.unepfi.org/wordpress/wp-content/uploads/2021/04/16-Elevating-Climate-Diligence-2.pdf" TargetMode="External"/><Relationship Id="rId67" Type="http://schemas.openxmlformats.org/officeDocument/2006/relationships/hyperlink" Target="https://www.theguardian.com/business/2021/aug/26/lib-dems-propose-ban-on-new-listings-of-fossil-fuel-companies-on-lse-london-climate-change" TargetMode="External"/><Relationship Id="rId20" Type="http://schemas.openxmlformats.org/officeDocument/2006/relationships/hyperlink" Target="https://www.esma.europa.eu/sites/default/files/2023-06/ESMA30-1668416927-2498_Progress_Report_ESMA_response_to_COM_RfI_on_greenwashing_risks.pdf" TargetMode="External"/><Relationship Id="rId41" Type="http://schemas.openxmlformats.org/officeDocument/2006/relationships/hyperlink" Target="https://mneguidelines.oecd.org/RBC-for-Institutional-Investors.pdf" TargetMode="External"/><Relationship Id="rId54" Type="http://schemas.openxmlformats.org/officeDocument/2006/relationships/hyperlink" Target="https://investorsforhumanrights.org/sites/default/files/attachments/2020-05/Full%20Report-%20Investor%20Toolkit%20on%20Human%20Rights%20May%202020c.pdf" TargetMode="External"/><Relationship Id="rId62" Type="http://schemas.openxmlformats.org/officeDocument/2006/relationships/hyperlink" Target="https://www.reuters.com/sustainability/investors-biggest-climate-pressure-group-dont-like-pressure-2023-06-12/" TargetMode="External"/><Relationship Id="rId1" Type="http://schemas.openxmlformats.org/officeDocument/2006/relationships/hyperlink" Target="https://www.ohchr.org/sites/default/files/documents/issues/business/workinggroupbusiness/Statement-Financial-Sector-WG-business-12July2023.pdf" TargetMode="External"/><Relationship Id="rId6" Type="http://schemas.openxmlformats.org/officeDocument/2006/relationships/hyperlink" Target="https://www.un.org/sites/un2.un.org/files/high-level_expert_group_n7b.pdf" TargetMode="External"/><Relationship Id="rId15" Type="http://schemas.openxmlformats.org/officeDocument/2006/relationships/hyperlink" Target="https://www.cnbc.com/2023/02/03/sp-to-remove-adani-enterprises-from-sustainability-index.html" TargetMode="External"/><Relationship Id="rId23" Type="http://schemas.openxmlformats.org/officeDocument/2006/relationships/hyperlink" Target="https://www.esma.europa.eu/sites/default/files/2023-06/ESMA30-1668416927-2498_Progress_Report_ESMA_response_to_COM_RfI_on_greenwashing_risks.pdf" TargetMode="External"/><Relationship Id="rId28" Type="http://schemas.openxmlformats.org/officeDocument/2006/relationships/hyperlink" Target="https://www.fca.org.uk/publication/consultation/cp22-20.pdf" TargetMode="External"/><Relationship Id="rId36" Type="http://schemas.openxmlformats.org/officeDocument/2006/relationships/hyperlink" Target="https://www.banktrack.org/download/global_human_rights_benchmark_2022/global_human_rights_benchmark_2022_2.pdf" TargetMode="External"/><Relationship Id="rId49" Type="http://schemas.openxmlformats.org/officeDocument/2006/relationships/hyperlink" Target="https://www.avivainvestors.com/en-gb/views/aiq-investment-thinking/2022/01/bondholder-engagement/" TargetMode="External"/><Relationship Id="rId57" Type="http://schemas.openxmlformats.org/officeDocument/2006/relationships/hyperlink" Target="https://mneguidelines.oecd.org/RBC-for-Institutional-Investors.pdf" TargetMode="External"/><Relationship Id="rId10" Type="http://schemas.openxmlformats.org/officeDocument/2006/relationships/hyperlink" Target="https://climatechampions.unfccc.int/wp-content/uploads/2022/09/R2Z-Pivot-Point-Report.pdf" TargetMode="External"/><Relationship Id="rId31" Type="http://schemas.openxmlformats.org/officeDocument/2006/relationships/hyperlink" Target="https://www.ohchr.org/sites/default/files/documents/issues/business/workinggroupbusiness/Statement-Financial-Sector-WG-business-12July2023.pdf" TargetMode="External"/><Relationship Id="rId44" Type="http://schemas.openxmlformats.org/officeDocument/2006/relationships/hyperlink" Target="https://www.bsp.gov.ph/Regulations/Issuances/2022/1149.pdf" TargetMode="External"/><Relationship Id="rId52" Type="http://schemas.openxmlformats.org/officeDocument/2006/relationships/hyperlink" Target="https://www.lexology.com/library/detail.aspx?g=0a6503d3-d4ff-44fc-ab2b-5166c157f630" TargetMode="External"/><Relationship Id="rId60" Type="http://schemas.openxmlformats.org/officeDocument/2006/relationships/hyperlink" Target="https://mneguidelines.oecd.org/RBC-for-Institutional-Investors.pdf" TargetMode="External"/><Relationship Id="rId65" Type="http://schemas.openxmlformats.org/officeDocument/2006/relationships/hyperlink" Target="https://www.clientearth.org/media/gayhuw25/uk-listing-rules-position-paper-july-2022.pdf" TargetMode="External"/><Relationship Id="rId4" Type="http://schemas.openxmlformats.org/officeDocument/2006/relationships/hyperlink" Target="https://www.oecd-ilibrary.org/finance-and-investment/oecd-guidelines-for-multinational-enterprises-on-responsible-business-conduct_81f92357-en" TargetMode="External"/><Relationship Id="rId9" Type="http://schemas.openxmlformats.org/officeDocument/2006/relationships/hyperlink" Target="https://transitiontaskforce.net/wp-content/uploads/2023/10/TPT_Disclosure-framework-2023.pdf" TargetMode="External"/><Relationship Id="rId13" Type="http://schemas.openxmlformats.org/officeDocument/2006/relationships/hyperlink" Target="https://www.ohchr.org/en/special-procedures/wg-business/reports" TargetMode="External"/><Relationship Id="rId18" Type="http://schemas.openxmlformats.org/officeDocument/2006/relationships/hyperlink" Target="https://asic.gov.au/about-asic/news-centre/find-a-media-release/2023-releases/23-196mr-asic-commences-greenwashing-case-against-vanguard-investments-australia/" TargetMode="External"/><Relationship Id="rId39" Type="http://schemas.openxmlformats.org/officeDocument/2006/relationships/hyperlink" Target="https://www.unpri.org/human-rights/why-and-how-investors-should-act-on-human-rights/6636.article" TargetMode="External"/><Relationship Id="rId34" Type="http://schemas.openxmlformats.org/officeDocument/2006/relationships/hyperlink" Target="https://www.ohchr.org/en/special-procedures/wg-business/reports" TargetMode="External"/><Relationship Id="rId50" Type="http://schemas.openxmlformats.org/officeDocument/2006/relationships/hyperlink" Target="https://139838633.fs1.hubspotusercontent-eu1.net/hubfs/139838633/Past%20resource%20uploads/IIGCC-Net-Zero-Stewardship-Guidance.pdf" TargetMode="External"/><Relationship Id="rId55" Type="http://schemas.openxmlformats.org/officeDocument/2006/relationships/hyperlink" Target="https://www.unpri.org/download?ac=1195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clarke\OneDrive%20-%20ClientEarth\Downloads\2.%20ClientEarth%20-%20English%20-%20Mini%20Briefing%20Templat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CE46C71CEB47DF8FA8EC58E7CFD9BC"/>
        <w:category>
          <w:name w:val="General"/>
          <w:gallery w:val="placeholder"/>
        </w:category>
        <w:types>
          <w:type w:val="bbPlcHdr"/>
        </w:types>
        <w:behaviors>
          <w:behavior w:val="content"/>
        </w:behaviors>
        <w:guid w:val="{F1D7F15F-4B07-481D-B5FF-2CF6CFEF8D79}"/>
      </w:docPartPr>
      <w:docPartBody>
        <w:p w:rsidR="00DE5CA8" w:rsidRDefault="005127FD">
          <w:pPr>
            <w:pStyle w:val="2ECE46C71CEB47DF8FA8EC58E7CFD9BC"/>
          </w:pPr>
          <w:r w:rsidRPr="00F21F05">
            <w:t>[Title]</w:t>
          </w:r>
        </w:p>
      </w:docPartBody>
    </w:docPart>
    <w:docPart>
      <w:docPartPr>
        <w:name w:val="69C93E2A23274C5099868CE2625BC89D"/>
        <w:category>
          <w:name w:val="General"/>
          <w:gallery w:val="placeholder"/>
        </w:category>
        <w:types>
          <w:type w:val="bbPlcHdr"/>
        </w:types>
        <w:behaviors>
          <w:behavior w:val="content"/>
        </w:behaviors>
        <w:guid w:val="{3DC4D54A-2EC7-4094-93EB-A299E6CC5490}"/>
      </w:docPartPr>
      <w:docPartBody>
        <w:p w:rsidR="00DE5CA8" w:rsidRDefault="005127FD">
          <w:pPr>
            <w:pStyle w:val="69C93E2A23274C5099868CE2625BC89D"/>
          </w:pPr>
          <w:r w:rsidRPr="003A19FC">
            <w:rPr>
              <w:rStyle w:val="PlaceholderText"/>
            </w:rPr>
            <w:t>Click or tap here to enter text.</w:t>
          </w:r>
        </w:p>
      </w:docPartBody>
    </w:docPart>
    <w:docPart>
      <w:docPartPr>
        <w:name w:val="FE41347A3A6F414A9E971A26317F43BD"/>
        <w:category>
          <w:name w:val="General"/>
          <w:gallery w:val="placeholder"/>
        </w:category>
        <w:types>
          <w:type w:val="bbPlcHdr"/>
        </w:types>
        <w:behaviors>
          <w:behavior w:val="content"/>
        </w:behaviors>
        <w:guid w:val="{2B9CE3D1-EB29-4536-828C-49397A919B5A}"/>
      </w:docPartPr>
      <w:docPartBody>
        <w:p w:rsidR="00DE5CA8" w:rsidRDefault="005127FD">
          <w:pPr>
            <w:pStyle w:val="FE41347A3A6F414A9E971A26317F43BD"/>
          </w:pPr>
          <w:r w:rsidRPr="00A24EAA">
            <w:rPr>
              <w:rStyle w:val="PlaceholderText"/>
            </w:rPr>
            <w:t>[Publish Date]</w:t>
          </w:r>
        </w:p>
      </w:docPartBody>
    </w:docPart>
    <w:docPart>
      <w:docPartPr>
        <w:name w:val="2A4A3034671C4278861E21019311C641"/>
        <w:category>
          <w:name w:val="General"/>
          <w:gallery w:val="placeholder"/>
        </w:category>
        <w:types>
          <w:type w:val="bbPlcHdr"/>
        </w:types>
        <w:behaviors>
          <w:behavior w:val="content"/>
        </w:behaviors>
        <w:guid w:val="{0FF5AB30-B3E9-4782-9056-58C446964545}"/>
      </w:docPartPr>
      <w:docPartBody>
        <w:p w:rsidR="00DE5CA8" w:rsidRDefault="005127FD">
          <w:pPr>
            <w:pStyle w:val="2A4A3034671C4278861E21019311C641"/>
          </w:pPr>
          <w:r w:rsidRPr="00A24EAA">
            <w:rPr>
              <w:rStyle w:val="PlaceholderText"/>
            </w:rPr>
            <w:t>[Title]</w:t>
          </w:r>
        </w:p>
      </w:docPartBody>
    </w:docPart>
    <w:docPart>
      <w:docPartPr>
        <w:name w:val="82008C7544EB415AA928B42010E21969"/>
        <w:category>
          <w:name w:val="General"/>
          <w:gallery w:val="placeholder"/>
        </w:category>
        <w:types>
          <w:type w:val="bbPlcHdr"/>
        </w:types>
        <w:behaviors>
          <w:behavior w:val="content"/>
        </w:behaviors>
        <w:guid w:val="{5BDCF4D1-864C-4FC2-A394-CDC772AF3267}"/>
      </w:docPartPr>
      <w:docPartBody>
        <w:p w:rsidR="00DE5CA8" w:rsidRDefault="005127FD">
          <w:pPr>
            <w:pStyle w:val="82008C7544EB415AA928B42010E21969"/>
          </w:pPr>
          <w:r w:rsidRPr="00A24EAA">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rial-BoldMT">
    <w:altName w:val="Arial"/>
    <w:panose1 w:val="00000000000000000000"/>
    <w:charset w:val="00"/>
    <w:family w:val="swiss"/>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CA8"/>
    <w:rsid w:val="000E0337"/>
    <w:rsid w:val="003C4776"/>
    <w:rsid w:val="00454BCF"/>
    <w:rsid w:val="005127FD"/>
    <w:rsid w:val="006E537F"/>
    <w:rsid w:val="007D7971"/>
    <w:rsid w:val="00981795"/>
    <w:rsid w:val="00AC0407"/>
    <w:rsid w:val="00BB7AE1"/>
    <w:rsid w:val="00C60E70"/>
    <w:rsid w:val="00D57B48"/>
    <w:rsid w:val="00DE5CA8"/>
    <w:rsid w:val="00FE4F5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CE46C71CEB47DF8FA8EC58E7CFD9BC">
    <w:name w:val="2ECE46C71CEB47DF8FA8EC58E7CFD9BC"/>
  </w:style>
  <w:style w:type="character" w:styleId="PlaceholderText">
    <w:name w:val="Placeholder Text"/>
    <w:basedOn w:val="DefaultParagraphFont"/>
    <w:uiPriority w:val="99"/>
    <w:semiHidden/>
    <w:rPr>
      <w:color w:val="808080"/>
    </w:rPr>
  </w:style>
  <w:style w:type="paragraph" w:styleId="BodyText">
    <w:name w:val="Body Text"/>
    <w:link w:val="BodyTextChar"/>
    <w:uiPriority w:val="1"/>
    <w:unhideWhenUsed/>
    <w:qFormat/>
    <w:pPr>
      <w:spacing w:line="276" w:lineRule="auto"/>
    </w:pPr>
    <w:rPr>
      <w:kern w:val="0"/>
      <w:lang w:eastAsia="en-GB"/>
      <w14:ligatures w14:val="none"/>
    </w:rPr>
  </w:style>
  <w:style w:type="character" w:customStyle="1" w:styleId="BodyTextChar">
    <w:name w:val="Body Text Char"/>
    <w:basedOn w:val="DefaultParagraphFont"/>
    <w:link w:val="BodyText"/>
    <w:uiPriority w:val="1"/>
    <w:rPr>
      <w:kern w:val="0"/>
      <w:lang w:eastAsia="en-GB"/>
      <w14:ligatures w14:val="none"/>
    </w:rPr>
  </w:style>
  <w:style w:type="paragraph" w:customStyle="1" w:styleId="69C93E2A23274C5099868CE2625BC89D">
    <w:name w:val="69C93E2A23274C5099868CE2625BC89D"/>
  </w:style>
  <w:style w:type="paragraph" w:customStyle="1" w:styleId="FE41347A3A6F414A9E971A26317F43BD">
    <w:name w:val="FE41347A3A6F414A9E971A26317F43BD"/>
  </w:style>
  <w:style w:type="paragraph" w:customStyle="1" w:styleId="2A4A3034671C4278861E21019311C641">
    <w:name w:val="2A4A3034671C4278861E21019311C641"/>
  </w:style>
  <w:style w:type="paragraph" w:customStyle="1" w:styleId="82008C7544EB415AA928B42010E21969">
    <w:name w:val="82008C7544EB415AA928B42010E219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lientEarth">
      <a:dk1>
        <a:sysClr val="windowText" lastClr="000000"/>
      </a:dk1>
      <a:lt1>
        <a:sysClr val="window" lastClr="FFFFFF"/>
      </a:lt1>
      <a:dk2>
        <a:srgbClr val="44546A"/>
      </a:dk2>
      <a:lt2>
        <a:srgbClr val="E7E6E6"/>
      </a:lt2>
      <a:accent1>
        <a:srgbClr val="CBB4E2"/>
      </a:accent1>
      <a:accent2>
        <a:srgbClr val="97C1DF"/>
      </a:accent2>
      <a:accent3>
        <a:srgbClr val="FFBB9B"/>
      </a:accent3>
      <a:accent4>
        <a:srgbClr val="BAD29E"/>
      </a:accent4>
      <a:accent5>
        <a:srgbClr val="FAEDBC"/>
      </a:accent5>
      <a:accent6>
        <a:srgbClr val="E6E6E6"/>
      </a:accent6>
      <a:hlink>
        <a:srgbClr val="0563C1"/>
      </a:hlink>
      <a:folHlink>
        <a:srgbClr val="954F72"/>
      </a:folHlink>
    </a:clrScheme>
    <a:fontScheme name="ClientEarth">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2023-10-12T00:00:00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10" ma:contentTypeDescription="Create a new document." ma:contentTypeScope="" ma:versionID="e768454c1c95fe8a9e98764537a50d9c">
  <xsd:schema xmlns:xsd="http://www.w3.org/2001/XMLSchema" xmlns:xs="http://www.w3.org/2001/XMLSchema" xmlns:p="http://schemas.microsoft.com/office/2006/metadata/properties" xmlns:ns1="89040124-3724-453e-9e0f-d53a96d17322" xmlns:ns3="a35e5363-379b-4480-9448-73efe99cab00" targetNamespace="http://schemas.microsoft.com/office/2006/metadata/properties" ma:root="true" ma:fieldsID="aeb17c3e3a8a31bbae2be52e8535f8cc" ns1:_="" ns3:_="">
    <xsd:import namespace="89040124-3724-453e-9e0f-d53a96d17322"/>
    <xsd:import namespace="a35e5363-379b-4480-9448-73efe99cab00"/>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5e5363-379b-4480-9448-73efe99cab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05548E-9840-4144-9659-6A5A2615DC94}">
  <ds:schemaRefs>
    <ds:schemaRef ds:uri="http://schemas.openxmlformats.org/officeDocument/2006/bibliography"/>
  </ds:schemaRefs>
</ds:datastoreItem>
</file>

<file path=customXml/itemProps3.xml><?xml version="1.0" encoding="utf-8"?>
<ds:datastoreItem xmlns:ds="http://schemas.openxmlformats.org/officeDocument/2006/customXml" ds:itemID="{E2A3A1E3-06AC-40CE-B824-9703A0560102}"/>
</file>

<file path=customXml/itemProps4.xml><?xml version="1.0" encoding="utf-8"?>
<ds:datastoreItem xmlns:ds="http://schemas.openxmlformats.org/officeDocument/2006/customXml" ds:itemID="{5A99AD9B-059F-4F67-A32C-95CE9FAB9714}">
  <ds:schemaRefs>
    <ds:schemaRef ds:uri="http://schemas.microsoft.com/sharepoint/v3/contenttype/forms"/>
  </ds:schemaRefs>
</ds:datastoreItem>
</file>

<file path=customXml/itemProps5.xml><?xml version="1.0" encoding="utf-8"?>
<ds:datastoreItem xmlns:ds="http://schemas.openxmlformats.org/officeDocument/2006/customXml" ds:itemID="{06E1DED9-5B63-4EF9-802C-014A09656EBF}">
  <ds:schemaRefs>
    <ds:schemaRef ds:uri="3cc08ed0-fdfb-4c6b-9b73-7ade07d39820"/>
    <ds:schemaRef ds:uri="http://purl.org/dc/elements/1.1/"/>
    <ds:schemaRef ds:uri="http://schemas.microsoft.com/sharepoint/v3"/>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0545925a-5142-4716-a588-d2fa6562d4bd"/>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2. ClientEarth - English - Mini Briefing Template (1)</Template>
  <TotalTime>0</TotalTime>
  <Pages>19</Pages>
  <Words>7916</Words>
  <Characters>44811</Characters>
  <Application>Microsoft Office Word</Application>
  <DocSecurity>0</DocSecurity>
  <Lines>668</Lines>
  <Paragraphs>155</Paragraphs>
  <ScaleCrop>false</ScaleCrop>
  <HeadingPairs>
    <vt:vector size="2" baseType="variant">
      <vt:variant>
        <vt:lpstr>Title</vt:lpstr>
      </vt:variant>
      <vt:variant>
        <vt:i4>1</vt:i4>
      </vt:variant>
    </vt:vector>
  </HeadingPairs>
  <TitlesOfParts>
    <vt:vector size="1" baseType="lpstr">
      <vt:lpstr>Investors, ESG and Human Rights</vt:lpstr>
    </vt:vector>
  </TitlesOfParts>
  <Company>JONO Design</Company>
  <LinksUpToDate>false</LinksUpToDate>
  <CharactersWithSpaces>52572</CharactersWithSpaces>
  <SharedDoc>false</SharedDoc>
  <HLinks>
    <vt:vector size="486" baseType="variant">
      <vt:variant>
        <vt:i4>3670116</vt:i4>
      </vt:variant>
      <vt:variant>
        <vt:i4>33</vt:i4>
      </vt:variant>
      <vt:variant>
        <vt:i4>0</vt:i4>
      </vt:variant>
      <vt:variant>
        <vt:i4>5</vt:i4>
      </vt:variant>
      <vt:variant>
        <vt:lpwstr>http://www.clientearth.org/</vt:lpwstr>
      </vt:variant>
      <vt:variant>
        <vt:lpwstr/>
      </vt:variant>
      <vt:variant>
        <vt:i4>7864407</vt:i4>
      </vt:variant>
      <vt:variant>
        <vt:i4>30</vt:i4>
      </vt:variant>
      <vt:variant>
        <vt:i4>0</vt:i4>
      </vt:variant>
      <vt:variant>
        <vt:i4>5</vt:i4>
      </vt:variant>
      <vt:variant>
        <vt:lpwstr>mailto:rclarke@clientearth.org</vt:lpwstr>
      </vt:variant>
      <vt:variant>
        <vt:lpwstr/>
      </vt:variant>
      <vt:variant>
        <vt:i4>7929956</vt:i4>
      </vt:variant>
      <vt:variant>
        <vt:i4>27</vt:i4>
      </vt:variant>
      <vt:variant>
        <vt:i4>0</vt:i4>
      </vt:variant>
      <vt:variant>
        <vt:i4>5</vt:i4>
      </vt:variant>
      <vt:variant>
        <vt:lpwstr>https://sciencebasedtargets.org/resources/files/The-SBTi-Fossil-Fuel-Finance-Position-Paper-Consultation-Draft.pdf</vt:lpwstr>
      </vt:variant>
      <vt:variant>
        <vt:lpwstr/>
      </vt:variant>
      <vt:variant>
        <vt:i4>1114200</vt:i4>
      </vt:variant>
      <vt:variant>
        <vt:i4>24</vt:i4>
      </vt:variant>
      <vt:variant>
        <vt:i4>0</vt:i4>
      </vt:variant>
      <vt:variant>
        <vt:i4>5</vt:i4>
      </vt:variant>
      <vt:variant>
        <vt:lpwstr>https://spcommreports.ohchr.org/TmSearch/RelCom?code=SAU%203/2023</vt:lpwstr>
      </vt:variant>
      <vt:variant>
        <vt:lpwstr/>
      </vt:variant>
      <vt:variant>
        <vt:i4>4653136</vt:i4>
      </vt:variant>
      <vt:variant>
        <vt:i4>21</vt:i4>
      </vt:variant>
      <vt:variant>
        <vt:i4>0</vt:i4>
      </vt:variant>
      <vt:variant>
        <vt:i4>5</vt:i4>
      </vt:variant>
      <vt:variant>
        <vt:lpwstr>https://equitygenerationlawyers.com/human-rights/</vt:lpwstr>
      </vt:variant>
      <vt:variant>
        <vt:lpwstr>responses</vt:lpwstr>
      </vt:variant>
      <vt:variant>
        <vt:i4>4784206</vt:i4>
      </vt:variant>
      <vt:variant>
        <vt:i4>18</vt:i4>
      </vt:variant>
      <vt:variant>
        <vt:i4>0</vt:i4>
      </vt:variant>
      <vt:variant>
        <vt:i4>5</vt:i4>
      </vt:variant>
      <vt:variant>
        <vt:lpwstr>https://equitygenerationlawyers.com/human-rights/</vt:lpwstr>
      </vt:variant>
      <vt:variant>
        <vt:lpwstr>super</vt:lpwstr>
      </vt:variant>
      <vt:variant>
        <vt:i4>5439553</vt:i4>
      </vt:variant>
      <vt:variant>
        <vt:i4>15</vt:i4>
      </vt:variant>
      <vt:variant>
        <vt:i4>0</vt:i4>
      </vt:variant>
      <vt:variant>
        <vt:i4>5</vt:i4>
      </vt:variant>
      <vt:variant>
        <vt:lpwstr>https://equitygenerationlawyers.com/human-rights/</vt:lpwstr>
      </vt:variant>
      <vt:variant>
        <vt:lpwstr>banks</vt:lpwstr>
      </vt:variant>
      <vt:variant>
        <vt:i4>3342348</vt:i4>
      </vt:variant>
      <vt:variant>
        <vt:i4>12</vt:i4>
      </vt:variant>
      <vt:variant>
        <vt:i4>0</vt:i4>
      </vt:variant>
      <vt:variant>
        <vt:i4>5</vt:i4>
      </vt:variant>
      <vt:variant>
        <vt:lpwstr>https://www.banktrack.org/download/global_human_rights_benchmark_2022/global_human_rights_benchmark_2022_2.pdf</vt:lpwstr>
      </vt:variant>
      <vt:variant>
        <vt:lpwstr/>
      </vt:variant>
      <vt:variant>
        <vt:i4>3342348</vt:i4>
      </vt:variant>
      <vt:variant>
        <vt:i4>9</vt:i4>
      </vt:variant>
      <vt:variant>
        <vt:i4>0</vt:i4>
      </vt:variant>
      <vt:variant>
        <vt:i4>5</vt:i4>
      </vt:variant>
      <vt:variant>
        <vt:lpwstr>https://www.banktrack.org/download/global_human_rights_benchmark_2022/global_human_rights_benchmark_2022_2.pdf</vt:lpwstr>
      </vt:variant>
      <vt:variant>
        <vt:lpwstr/>
      </vt:variant>
      <vt:variant>
        <vt:i4>7929956</vt:i4>
      </vt:variant>
      <vt:variant>
        <vt:i4>6</vt:i4>
      </vt:variant>
      <vt:variant>
        <vt:i4>0</vt:i4>
      </vt:variant>
      <vt:variant>
        <vt:i4>5</vt:i4>
      </vt:variant>
      <vt:variant>
        <vt:lpwstr>https://sciencebasedtargets.org/resources/files/The-SBTi-Fossil-Fuel-Finance-Position-Paper-Consultation-Draft.pdf</vt:lpwstr>
      </vt:variant>
      <vt:variant>
        <vt:lpwstr/>
      </vt:variant>
      <vt:variant>
        <vt:i4>655380</vt:i4>
      </vt:variant>
      <vt:variant>
        <vt:i4>3</vt:i4>
      </vt:variant>
      <vt:variant>
        <vt:i4>0</vt:i4>
      </vt:variant>
      <vt:variant>
        <vt:i4>5</vt:i4>
      </vt:variant>
      <vt:variant>
        <vt:lpwstr>https://www.lsta.org/content/sustainability-linked-loan-principles-sllp/</vt:lpwstr>
      </vt:variant>
      <vt:variant>
        <vt:lpwstr/>
      </vt:variant>
      <vt:variant>
        <vt:i4>7929956</vt:i4>
      </vt:variant>
      <vt:variant>
        <vt:i4>0</vt:i4>
      </vt:variant>
      <vt:variant>
        <vt:i4>0</vt:i4>
      </vt:variant>
      <vt:variant>
        <vt:i4>5</vt:i4>
      </vt:variant>
      <vt:variant>
        <vt:lpwstr>https://sciencebasedtargets.org/resources/files/The-SBTi-Fossil-Fuel-Finance-Position-Paper-Consultation-Draft.pdf</vt:lpwstr>
      </vt:variant>
      <vt:variant>
        <vt:lpwstr/>
      </vt:variant>
      <vt:variant>
        <vt:i4>6422580</vt:i4>
      </vt:variant>
      <vt:variant>
        <vt:i4>204</vt:i4>
      </vt:variant>
      <vt:variant>
        <vt:i4>0</vt:i4>
      </vt:variant>
      <vt:variant>
        <vt:i4>5</vt:i4>
      </vt:variant>
      <vt:variant>
        <vt:lpwstr>https://www.oecdwatch.org/complaint/inclusive-development-international-et-al-vs-marsh/</vt:lpwstr>
      </vt:variant>
      <vt:variant>
        <vt:lpwstr/>
      </vt:variant>
      <vt:variant>
        <vt:i4>7536767</vt:i4>
      </vt:variant>
      <vt:variant>
        <vt:i4>201</vt:i4>
      </vt:variant>
      <vt:variant>
        <vt:i4>0</vt:i4>
      </vt:variant>
      <vt:variant>
        <vt:i4>5</vt:i4>
      </vt:variant>
      <vt:variant>
        <vt:lpwstr>https://www.science.org/doi/10.1126/sciadv.adh2458</vt:lpwstr>
      </vt:variant>
      <vt:variant>
        <vt:lpwstr/>
      </vt:variant>
      <vt:variant>
        <vt:i4>3932283</vt:i4>
      </vt:variant>
      <vt:variant>
        <vt:i4>198</vt:i4>
      </vt:variant>
      <vt:variant>
        <vt:i4>0</vt:i4>
      </vt:variant>
      <vt:variant>
        <vt:i4>5</vt:i4>
      </vt:variant>
      <vt:variant>
        <vt:lpwstr>https://www.theguardian.com/business/2021/aug/26/lib-dems-propose-ban-on-new-listings-of-fossil-fuel-companies-on-lse-london-climate-change</vt:lpwstr>
      </vt:variant>
      <vt:variant>
        <vt:lpwstr/>
      </vt:variant>
      <vt:variant>
        <vt:i4>5046292</vt:i4>
      </vt:variant>
      <vt:variant>
        <vt:i4>195</vt:i4>
      </vt:variant>
      <vt:variant>
        <vt:i4>0</vt:i4>
      </vt:variant>
      <vt:variant>
        <vt:i4>5</vt:i4>
      </vt:variant>
      <vt:variant>
        <vt:lpwstr>https://www.reuters.com/business/environment/environmental-activists-pressure-us-regulators-halt-jbs-listing-2023-08-23/</vt:lpwstr>
      </vt:variant>
      <vt:variant>
        <vt:lpwstr/>
      </vt:variant>
      <vt:variant>
        <vt:i4>4980736</vt:i4>
      </vt:variant>
      <vt:variant>
        <vt:i4>192</vt:i4>
      </vt:variant>
      <vt:variant>
        <vt:i4>0</vt:i4>
      </vt:variant>
      <vt:variant>
        <vt:i4>5</vt:i4>
      </vt:variant>
      <vt:variant>
        <vt:lpwstr>https://www.clientearth.org/media/gayhuw25/uk-listing-rules-position-paper-july-2022.pdf</vt:lpwstr>
      </vt:variant>
      <vt:variant>
        <vt:lpwstr/>
      </vt:variant>
      <vt:variant>
        <vt:i4>8323127</vt:i4>
      </vt:variant>
      <vt:variant>
        <vt:i4>189</vt:i4>
      </vt:variant>
      <vt:variant>
        <vt:i4>0</vt:i4>
      </vt:variant>
      <vt:variant>
        <vt:i4>5</vt:i4>
      </vt:variant>
      <vt:variant>
        <vt:lpwstr>https://www.esginvestor.net/uk-asset-owners-voting-alignment-review-attracts-big-managers/</vt:lpwstr>
      </vt:variant>
      <vt:variant>
        <vt:lpwstr/>
      </vt:variant>
      <vt:variant>
        <vt:i4>3604606</vt:i4>
      </vt:variant>
      <vt:variant>
        <vt:i4>186</vt:i4>
      </vt:variant>
      <vt:variant>
        <vt:i4>0</vt:i4>
      </vt:variant>
      <vt:variant>
        <vt:i4>5</vt:i4>
      </vt:variant>
      <vt:variant>
        <vt:lpwstr>https://www.majorityaction.us/climate-action100-report-2023</vt:lpwstr>
      </vt:variant>
      <vt:variant>
        <vt:lpwstr/>
      </vt:variant>
      <vt:variant>
        <vt:i4>6881402</vt:i4>
      </vt:variant>
      <vt:variant>
        <vt:i4>183</vt:i4>
      </vt:variant>
      <vt:variant>
        <vt:i4>0</vt:i4>
      </vt:variant>
      <vt:variant>
        <vt:i4>5</vt:i4>
      </vt:variant>
      <vt:variant>
        <vt:lpwstr>https://www.reuters.com/sustainability/investors-biggest-climate-pressure-group-dont-like-pressure-2023-06-12/</vt:lpwstr>
      </vt:variant>
      <vt:variant>
        <vt:lpwstr/>
      </vt:variant>
      <vt:variant>
        <vt:i4>5111872</vt:i4>
      </vt:variant>
      <vt:variant>
        <vt:i4>180</vt:i4>
      </vt:variant>
      <vt:variant>
        <vt:i4>0</vt:i4>
      </vt:variant>
      <vt:variant>
        <vt:i4>5</vt:i4>
      </vt:variant>
      <vt:variant>
        <vt:lpwstr>https://shareaction.org/reports/voting-matters-2022/general-findings</vt:lpwstr>
      </vt:variant>
      <vt:variant>
        <vt:lpwstr/>
      </vt:variant>
      <vt:variant>
        <vt:i4>3211300</vt:i4>
      </vt:variant>
      <vt:variant>
        <vt:i4>177</vt:i4>
      </vt:variant>
      <vt:variant>
        <vt:i4>0</vt:i4>
      </vt:variant>
      <vt:variant>
        <vt:i4>5</vt:i4>
      </vt:variant>
      <vt:variant>
        <vt:lpwstr>https://mneguidelines.oecd.org/RBC-for-Institutional-Investors.pdf</vt:lpwstr>
      </vt:variant>
      <vt:variant>
        <vt:lpwstr/>
      </vt:variant>
      <vt:variant>
        <vt:i4>589844</vt:i4>
      </vt:variant>
      <vt:variant>
        <vt:i4>174</vt:i4>
      </vt:variant>
      <vt:variant>
        <vt:i4>0</vt:i4>
      </vt:variant>
      <vt:variant>
        <vt:i4>5</vt:i4>
      </vt:variant>
      <vt:variant>
        <vt:lpwstr>https://www.unepfi.org/wordpress/wp-content/uploads/2021/04/16-Elevating-Climate-Diligence-2.pdf</vt:lpwstr>
      </vt:variant>
      <vt:variant>
        <vt:lpwstr/>
      </vt:variant>
      <vt:variant>
        <vt:i4>7274614</vt:i4>
      </vt:variant>
      <vt:variant>
        <vt:i4>171</vt:i4>
      </vt:variant>
      <vt:variant>
        <vt:i4>0</vt:i4>
      </vt:variant>
      <vt:variant>
        <vt:i4>5</vt:i4>
      </vt:variant>
      <vt:variant>
        <vt:lpwstr>https://www.parisalignedassetowners.org/media/2021/10/Net_Zero_Investment_Framework_final.pdf</vt:lpwstr>
      </vt:variant>
      <vt:variant>
        <vt:lpwstr/>
      </vt:variant>
      <vt:variant>
        <vt:i4>3211300</vt:i4>
      </vt:variant>
      <vt:variant>
        <vt:i4>168</vt:i4>
      </vt:variant>
      <vt:variant>
        <vt:i4>0</vt:i4>
      </vt:variant>
      <vt:variant>
        <vt:i4>5</vt:i4>
      </vt:variant>
      <vt:variant>
        <vt:lpwstr>https://mneguidelines.oecd.org/RBC-for-Institutional-Investors.pdf</vt:lpwstr>
      </vt:variant>
      <vt:variant>
        <vt:lpwstr/>
      </vt:variant>
      <vt:variant>
        <vt:i4>3211300</vt:i4>
      </vt:variant>
      <vt:variant>
        <vt:i4>165</vt:i4>
      </vt:variant>
      <vt:variant>
        <vt:i4>0</vt:i4>
      </vt:variant>
      <vt:variant>
        <vt:i4>5</vt:i4>
      </vt:variant>
      <vt:variant>
        <vt:lpwstr>https://mneguidelines.oecd.org/RBC-for-Institutional-Investors.pdf</vt:lpwstr>
      </vt:variant>
      <vt:variant>
        <vt:lpwstr/>
      </vt:variant>
      <vt:variant>
        <vt:i4>7667822</vt:i4>
      </vt:variant>
      <vt:variant>
        <vt:i4>162</vt:i4>
      </vt:variant>
      <vt:variant>
        <vt:i4>0</vt:i4>
      </vt:variant>
      <vt:variant>
        <vt:i4>5</vt:i4>
      </vt:variant>
      <vt:variant>
        <vt:lpwstr>https://www.unpri.org/download?ac=11953</vt:lpwstr>
      </vt:variant>
      <vt:variant>
        <vt:lpwstr/>
      </vt:variant>
      <vt:variant>
        <vt:i4>7798829</vt:i4>
      </vt:variant>
      <vt:variant>
        <vt:i4>159</vt:i4>
      </vt:variant>
      <vt:variant>
        <vt:i4>0</vt:i4>
      </vt:variant>
      <vt:variant>
        <vt:i4>5</vt:i4>
      </vt:variant>
      <vt:variant>
        <vt:lpwstr>https://investorsforhumanrights.org/sites/default/files/attachments/2020-05/Full Report- Investor Toolkit on Human Rights May 2020c.pdf</vt:lpwstr>
      </vt:variant>
      <vt:variant>
        <vt:lpwstr/>
      </vt:variant>
      <vt:variant>
        <vt:i4>7798829</vt:i4>
      </vt:variant>
      <vt:variant>
        <vt:i4>156</vt:i4>
      </vt:variant>
      <vt:variant>
        <vt:i4>0</vt:i4>
      </vt:variant>
      <vt:variant>
        <vt:i4>5</vt:i4>
      </vt:variant>
      <vt:variant>
        <vt:lpwstr>https://investorsforhumanrights.org/sites/default/files/attachments/2020-05/Full Report- Investor Toolkit on Human Rights May 2020c.pdf</vt:lpwstr>
      </vt:variant>
      <vt:variant>
        <vt:lpwstr/>
      </vt:variant>
      <vt:variant>
        <vt:i4>2424937</vt:i4>
      </vt:variant>
      <vt:variant>
        <vt:i4>153</vt:i4>
      </vt:variant>
      <vt:variant>
        <vt:i4>0</vt:i4>
      </vt:variant>
      <vt:variant>
        <vt:i4>5</vt:i4>
      </vt:variant>
      <vt:variant>
        <vt:lpwstr>https://www.lexology.com/library/detail.aspx?g=0a6503d3-d4ff-44fc-ab2b-5166c157f630</vt:lpwstr>
      </vt:variant>
      <vt:variant>
        <vt:lpwstr/>
      </vt:variant>
      <vt:variant>
        <vt:i4>3407949</vt:i4>
      </vt:variant>
      <vt:variant>
        <vt:i4>150</vt:i4>
      </vt:variant>
      <vt:variant>
        <vt:i4>0</vt:i4>
      </vt:variant>
      <vt:variant>
        <vt:i4>5</vt:i4>
      </vt:variant>
      <vt:variant>
        <vt:lpwstr>https://papers.ssrn.com/sol3/papers.cfm?abstract_id=4350209</vt:lpwstr>
      </vt:variant>
      <vt:variant>
        <vt:lpwstr/>
      </vt:variant>
      <vt:variant>
        <vt:i4>2293794</vt:i4>
      </vt:variant>
      <vt:variant>
        <vt:i4>147</vt:i4>
      </vt:variant>
      <vt:variant>
        <vt:i4>0</vt:i4>
      </vt:variant>
      <vt:variant>
        <vt:i4>5</vt:i4>
      </vt:variant>
      <vt:variant>
        <vt:lpwstr>https://139838633.fs1.hubspotusercontent-eu1.net/hubfs/139838633/Past resource uploads/IIGCC-Net-Zero-Stewardship-Guidance.pdf</vt:lpwstr>
      </vt:variant>
      <vt:variant>
        <vt:lpwstr/>
      </vt:variant>
      <vt:variant>
        <vt:i4>196681</vt:i4>
      </vt:variant>
      <vt:variant>
        <vt:i4>144</vt:i4>
      </vt:variant>
      <vt:variant>
        <vt:i4>0</vt:i4>
      </vt:variant>
      <vt:variant>
        <vt:i4>5</vt:i4>
      </vt:variant>
      <vt:variant>
        <vt:lpwstr>https://www.avivainvestors.com/en-gb/views/aiq-investment-thinking/2022/01/bondholder-engagement/</vt:lpwstr>
      </vt:variant>
      <vt:variant>
        <vt:lpwstr/>
      </vt:variant>
      <vt:variant>
        <vt:i4>720962</vt:i4>
      </vt:variant>
      <vt:variant>
        <vt:i4>141</vt:i4>
      </vt:variant>
      <vt:variant>
        <vt:i4>0</vt:i4>
      </vt:variant>
      <vt:variant>
        <vt:i4>5</vt:i4>
      </vt:variant>
      <vt:variant>
        <vt:lpwstr>https://www.unpri.org/sovereign-debt/esg-engagement-for-sovereign-debt-investors/6687.article</vt:lpwstr>
      </vt:variant>
      <vt:variant>
        <vt:lpwstr/>
      </vt:variant>
      <vt:variant>
        <vt:i4>2293794</vt:i4>
      </vt:variant>
      <vt:variant>
        <vt:i4>138</vt:i4>
      </vt:variant>
      <vt:variant>
        <vt:i4>0</vt:i4>
      </vt:variant>
      <vt:variant>
        <vt:i4>5</vt:i4>
      </vt:variant>
      <vt:variant>
        <vt:lpwstr>https://139838633.fs1.hubspotusercontent-eu1.net/hubfs/139838633/Past resource uploads/IIGCC-Net-Zero-Stewardship-Guidance.pdf</vt:lpwstr>
      </vt:variant>
      <vt:variant>
        <vt:lpwstr/>
      </vt:variant>
      <vt:variant>
        <vt:i4>3342407</vt:i4>
      </vt:variant>
      <vt:variant>
        <vt:i4>135</vt:i4>
      </vt:variant>
      <vt:variant>
        <vt:i4>0</vt:i4>
      </vt:variant>
      <vt:variant>
        <vt:i4>5</vt:i4>
      </vt:variant>
      <vt:variant>
        <vt:lpwstr>https://papers.ssrn.com/sol3/papers.cfm?abstract_id=4193465</vt:lpwstr>
      </vt:variant>
      <vt:variant>
        <vt:lpwstr/>
      </vt:variant>
      <vt:variant>
        <vt:i4>2293794</vt:i4>
      </vt:variant>
      <vt:variant>
        <vt:i4>132</vt:i4>
      </vt:variant>
      <vt:variant>
        <vt:i4>0</vt:i4>
      </vt:variant>
      <vt:variant>
        <vt:i4>5</vt:i4>
      </vt:variant>
      <vt:variant>
        <vt:lpwstr>https://139838633.fs1.hubspotusercontent-eu1.net/hubfs/139838633/Past resource uploads/IIGCC-Net-Zero-Stewardship-Guidance.pdf</vt:lpwstr>
      </vt:variant>
      <vt:variant>
        <vt:lpwstr/>
      </vt:variant>
      <vt:variant>
        <vt:i4>7798826</vt:i4>
      </vt:variant>
      <vt:variant>
        <vt:i4>129</vt:i4>
      </vt:variant>
      <vt:variant>
        <vt:i4>0</vt:i4>
      </vt:variant>
      <vt:variant>
        <vt:i4>5</vt:i4>
      </vt:variant>
      <vt:variant>
        <vt:lpwstr>https://www.bsp.gov.ph/Regulations/Issuances/2022/1149.pdf</vt:lpwstr>
      </vt:variant>
      <vt:variant>
        <vt:lpwstr/>
      </vt:variant>
      <vt:variant>
        <vt:i4>2424861</vt:i4>
      </vt:variant>
      <vt:variant>
        <vt:i4>126</vt:i4>
      </vt:variant>
      <vt:variant>
        <vt:i4>0</vt:i4>
      </vt:variant>
      <vt:variant>
        <vt:i4>5</vt:i4>
      </vt:variant>
      <vt:variant>
        <vt:lpwstr>https://media.business-humanrights.org/media/documents/files/documents/Thun_Final.pdf</vt:lpwstr>
      </vt:variant>
      <vt:variant>
        <vt:lpwstr/>
      </vt:variant>
      <vt:variant>
        <vt:i4>7536699</vt:i4>
      </vt:variant>
      <vt:variant>
        <vt:i4>123</vt:i4>
      </vt:variant>
      <vt:variant>
        <vt:i4>0</vt:i4>
      </vt:variant>
      <vt:variant>
        <vt:i4>5</vt:i4>
      </vt:variant>
      <vt:variant>
        <vt:lpwstr>https://www.ohchr.org/sites/default/files/documents/issues/business/workinggroupbusiness/Information-Note-Climate-Change-and-UNGPs.pdf</vt:lpwstr>
      </vt:variant>
      <vt:variant>
        <vt:lpwstr/>
      </vt:variant>
      <vt:variant>
        <vt:i4>3211300</vt:i4>
      </vt:variant>
      <vt:variant>
        <vt:i4>120</vt:i4>
      </vt:variant>
      <vt:variant>
        <vt:i4>0</vt:i4>
      </vt:variant>
      <vt:variant>
        <vt:i4>5</vt:i4>
      </vt:variant>
      <vt:variant>
        <vt:lpwstr>https://mneguidelines.oecd.org/RBC-for-Institutional-Investors.pdf</vt:lpwstr>
      </vt:variant>
      <vt:variant>
        <vt:lpwstr/>
      </vt:variant>
      <vt:variant>
        <vt:i4>3735671</vt:i4>
      </vt:variant>
      <vt:variant>
        <vt:i4>117</vt:i4>
      </vt:variant>
      <vt:variant>
        <vt:i4>0</vt:i4>
      </vt:variant>
      <vt:variant>
        <vt:i4>5</vt:i4>
      </vt:variant>
      <vt:variant>
        <vt:lpwstr>https://www.ohchr.org/en/special-procedures/wg-business/reports</vt:lpwstr>
      </vt:variant>
      <vt:variant>
        <vt:lpwstr/>
      </vt:variant>
      <vt:variant>
        <vt:i4>4391004</vt:i4>
      </vt:variant>
      <vt:variant>
        <vt:i4>114</vt:i4>
      </vt:variant>
      <vt:variant>
        <vt:i4>0</vt:i4>
      </vt:variant>
      <vt:variant>
        <vt:i4>5</vt:i4>
      </vt:variant>
      <vt:variant>
        <vt:lpwstr>https://www.unpri.org/human-rights/why-and-how-investors-should-act-on-human-rights/6636.article</vt:lpwstr>
      </vt:variant>
      <vt:variant>
        <vt:lpwstr/>
      </vt:variant>
      <vt:variant>
        <vt:i4>2883709</vt:i4>
      </vt:variant>
      <vt:variant>
        <vt:i4>111</vt:i4>
      </vt:variant>
      <vt:variant>
        <vt:i4>0</vt:i4>
      </vt:variant>
      <vt:variant>
        <vt:i4>5</vt:i4>
      </vt:variant>
      <vt:variant>
        <vt:lpwstr>https://www.ohchr.org/sites/default/files/documents/issues/business/workinggroupbusiness/Statement-Financial-Sector-WG-business-12July2023.pdf</vt:lpwstr>
      </vt:variant>
      <vt:variant>
        <vt:lpwstr/>
      </vt:variant>
      <vt:variant>
        <vt:i4>2424861</vt:i4>
      </vt:variant>
      <vt:variant>
        <vt:i4>108</vt:i4>
      </vt:variant>
      <vt:variant>
        <vt:i4>0</vt:i4>
      </vt:variant>
      <vt:variant>
        <vt:i4>5</vt:i4>
      </vt:variant>
      <vt:variant>
        <vt:lpwstr>https://media.business-humanrights.org/media/documents/files/documents/Thun_Final.pdf</vt:lpwstr>
      </vt:variant>
      <vt:variant>
        <vt:lpwstr/>
      </vt:variant>
      <vt:variant>
        <vt:i4>3342348</vt:i4>
      </vt:variant>
      <vt:variant>
        <vt:i4>105</vt:i4>
      </vt:variant>
      <vt:variant>
        <vt:i4>0</vt:i4>
      </vt:variant>
      <vt:variant>
        <vt:i4>5</vt:i4>
      </vt:variant>
      <vt:variant>
        <vt:lpwstr>https://www.banktrack.org/download/global_human_rights_benchmark_2022/global_human_rights_benchmark_2022_2.pdf</vt:lpwstr>
      </vt:variant>
      <vt:variant>
        <vt:lpwstr/>
      </vt:variant>
      <vt:variant>
        <vt:i4>3211300</vt:i4>
      </vt:variant>
      <vt:variant>
        <vt:i4>102</vt:i4>
      </vt:variant>
      <vt:variant>
        <vt:i4>0</vt:i4>
      </vt:variant>
      <vt:variant>
        <vt:i4>5</vt:i4>
      </vt:variant>
      <vt:variant>
        <vt:lpwstr>https://mneguidelines.oecd.org/RBC-for-Institutional-Investors.pdf</vt:lpwstr>
      </vt:variant>
      <vt:variant>
        <vt:lpwstr/>
      </vt:variant>
      <vt:variant>
        <vt:i4>3735671</vt:i4>
      </vt:variant>
      <vt:variant>
        <vt:i4>99</vt:i4>
      </vt:variant>
      <vt:variant>
        <vt:i4>0</vt:i4>
      </vt:variant>
      <vt:variant>
        <vt:i4>5</vt:i4>
      </vt:variant>
      <vt:variant>
        <vt:lpwstr>https://www.ohchr.org/en/special-procedures/wg-business/reports</vt:lpwstr>
      </vt:variant>
      <vt:variant>
        <vt:lpwstr/>
      </vt:variant>
      <vt:variant>
        <vt:i4>327747</vt:i4>
      </vt:variant>
      <vt:variant>
        <vt:i4>96</vt:i4>
      </vt:variant>
      <vt:variant>
        <vt:i4>0</vt:i4>
      </vt:variant>
      <vt:variant>
        <vt:i4>5</vt:i4>
      </vt:variant>
      <vt:variant>
        <vt:lpwstr>https://www.clientearth.org/media/cddjgfod/uk-manifesto-2023.pdf</vt:lpwstr>
      </vt:variant>
      <vt:variant>
        <vt:lpwstr/>
      </vt:variant>
      <vt:variant>
        <vt:i4>3014691</vt:i4>
      </vt:variant>
      <vt:variant>
        <vt:i4>93</vt:i4>
      </vt:variant>
      <vt:variant>
        <vt:i4>0</vt:i4>
      </vt:variant>
      <vt:variant>
        <vt:i4>5</vt:i4>
      </vt:variant>
      <vt:variant>
        <vt:lpwstr>https://www.clientearth.org/media/kimpe2qy/update-to-green-finance-strategy-clientearth-response-to-hm-government-call-for-evidence.pdf</vt:lpwstr>
      </vt:variant>
      <vt:variant>
        <vt:lpwstr/>
      </vt:variant>
      <vt:variant>
        <vt:i4>2883709</vt:i4>
      </vt:variant>
      <vt:variant>
        <vt:i4>90</vt:i4>
      </vt:variant>
      <vt:variant>
        <vt:i4>0</vt:i4>
      </vt:variant>
      <vt:variant>
        <vt:i4>5</vt:i4>
      </vt:variant>
      <vt:variant>
        <vt:lpwstr>https://www.ohchr.org/sites/default/files/documents/issues/business/workinggroupbusiness/Statement-Financial-Sector-WG-business-12July2023.pdf</vt:lpwstr>
      </vt:variant>
      <vt:variant>
        <vt:lpwstr/>
      </vt:variant>
      <vt:variant>
        <vt:i4>393242</vt:i4>
      </vt:variant>
      <vt:variant>
        <vt:i4>87</vt:i4>
      </vt:variant>
      <vt:variant>
        <vt:i4>0</vt:i4>
      </vt:variant>
      <vt:variant>
        <vt:i4>5</vt:i4>
      </vt:variant>
      <vt:variant>
        <vt:lpwstr>https://www.sec.gov/sec-enhances-rule-prevent-misleading-or-deceptive-fund-names</vt:lpwstr>
      </vt:variant>
      <vt:variant>
        <vt:lpwstr/>
      </vt:variant>
      <vt:variant>
        <vt:i4>393233</vt:i4>
      </vt:variant>
      <vt:variant>
        <vt:i4>84</vt:i4>
      </vt:variant>
      <vt:variant>
        <vt:i4>0</vt:i4>
      </vt:variant>
      <vt:variant>
        <vt:i4>5</vt:i4>
      </vt:variant>
      <vt:variant>
        <vt:lpwstr>https://www.clientearth.org/latest/documents/response-to-fca-cp22-20-on-sustainability-disclosure-requirements-sdr-and-investment-labels/</vt:lpwstr>
      </vt:variant>
      <vt:variant>
        <vt:lpwstr/>
      </vt:variant>
      <vt:variant>
        <vt:i4>2949233</vt:i4>
      </vt:variant>
      <vt:variant>
        <vt:i4>81</vt:i4>
      </vt:variant>
      <vt:variant>
        <vt:i4>0</vt:i4>
      </vt:variant>
      <vt:variant>
        <vt:i4>5</vt:i4>
      </vt:variant>
      <vt:variant>
        <vt:lpwstr>https://www.fca.org.uk/publication/consultation/cp22-20.pdf</vt:lpwstr>
      </vt:variant>
      <vt:variant>
        <vt:lpwstr/>
      </vt:variant>
      <vt:variant>
        <vt:i4>4259945</vt:i4>
      </vt:variant>
      <vt:variant>
        <vt:i4>78</vt:i4>
      </vt:variant>
      <vt:variant>
        <vt:i4>0</vt:i4>
      </vt:variant>
      <vt:variant>
        <vt:i4>5</vt:i4>
      </vt:variant>
      <vt:variant>
        <vt:lpwstr>https://www.clientearth.org/media/c0ah51z1/v8_clientearth_hires_250423.pdf</vt:lpwstr>
      </vt:variant>
      <vt:variant>
        <vt:lpwstr/>
      </vt:variant>
      <vt:variant>
        <vt:i4>3342413</vt:i4>
      </vt:variant>
      <vt:variant>
        <vt:i4>75</vt:i4>
      </vt:variant>
      <vt:variant>
        <vt:i4>0</vt:i4>
      </vt:variant>
      <vt:variant>
        <vt:i4>5</vt:i4>
      </vt:variant>
      <vt:variant>
        <vt:lpwstr>https://papers.ssrn.com/sol3/papers.cfm?abstract_id=4114616</vt:lpwstr>
      </vt:variant>
      <vt:variant>
        <vt:lpwstr/>
      </vt:variant>
      <vt:variant>
        <vt:i4>7340089</vt:i4>
      </vt:variant>
      <vt:variant>
        <vt:i4>72</vt:i4>
      </vt:variant>
      <vt:variant>
        <vt:i4>0</vt:i4>
      </vt:variant>
      <vt:variant>
        <vt:i4>5</vt:i4>
      </vt:variant>
      <vt:variant>
        <vt:lpwstr>https://www.mightyearth.org/whistleblower-complaint-to-the-securities-and-exchange-commission-against-jbs/</vt:lpwstr>
      </vt:variant>
      <vt:variant>
        <vt:lpwstr>:~:text=The%20complaint%20cites%20the%20official,97%25%20of%20the%20company%27s%20footprint.</vt:lpwstr>
      </vt:variant>
      <vt:variant>
        <vt:i4>7929981</vt:i4>
      </vt:variant>
      <vt:variant>
        <vt:i4>69</vt:i4>
      </vt:variant>
      <vt:variant>
        <vt:i4>0</vt:i4>
      </vt:variant>
      <vt:variant>
        <vt:i4>5</vt:i4>
      </vt:variant>
      <vt:variant>
        <vt:lpwstr>https://www.ft.com/content/178449a7-8897-4359-b23a-e85524c3e227</vt:lpwstr>
      </vt:variant>
      <vt:variant>
        <vt:lpwstr/>
      </vt:variant>
      <vt:variant>
        <vt:i4>5177374</vt:i4>
      </vt:variant>
      <vt:variant>
        <vt:i4>66</vt:i4>
      </vt:variant>
      <vt:variant>
        <vt:i4>0</vt:i4>
      </vt:variant>
      <vt:variant>
        <vt:i4>5</vt:i4>
      </vt:variant>
      <vt:variant>
        <vt:lpwstr>https://www.esma.europa.eu/sites/default/files/2023-06/ESMA30-1668416927-2498_Progress_Report_ESMA_response_to_COM_RfI_on_greenwashing_risks.pdf</vt:lpwstr>
      </vt:variant>
      <vt:variant>
        <vt:lpwstr/>
      </vt:variant>
      <vt:variant>
        <vt:i4>5177374</vt:i4>
      </vt:variant>
      <vt:variant>
        <vt:i4>63</vt:i4>
      </vt:variant>
      <vt:variant>
        <vt:i4>0</vt:i4>
      </vt:variant>
      <vt:variant>
        <vt:i4>5</vt:i4>
      </vt:variant>
      <vt:variant>
        <vt:lpwstr>https://www.esma.europa.eu/sites/default/files/2023-06/ESMA30-1668416927-2498_Progress_Report_ESMA_response_to_COM_RfI_on_greenwashing_risks.pdf</vt:lpwstr>
      </vt:variant>
      <vt:variant>
        <vt:lpwstr/>
      </vt:variant>
      <vt:variant>
        <vt:i4>983048</vt:i4>
      </vt:variant>
      <vt:variant>
        <vt:i4>60</vt:i4>
      </vt:variant>
      <vt:variant>
        <vt:i4>0</vt:i4>
      </vt:variant>
      <vt:variant>
        <vt:i4>5</vt:i4>
      </vt:variant>
      <vt:variant>
        <vt:lpwstr>https://2degrees-investing.org/resource/market-review-of-environmental-impact-claims-of-retail-investment-funds-in-europe/</vt:lpwstr>
      </vt:variant>
      <vt:variant>
        <vt:lpwstr>:~:text=Our%20headline%20results%20are%20as,a%20substantial%20potential%20legal%20risk.</vt:lpwstr>
      </vt:variant>
      <vt:variant>
        <vt:i4>5177374</vt:i4>
      </vt:variant>
      <vt:variant>
        <vt:i4>57</vt:i4>
      </vt:variant>
      <vt:variant>
        <vt:i4>0</vt:i4>
      </vt:variant>
      <vt:variant>
        <vt:i4>5</vt:i4>
      </vt:variant>
      <vt:variant>
        <vt:lpwstr>https://www.esma.europa.eu/sites/default/files/2023-06/ESMA30-1668416927-2498_Progress_Report_ESMA_response_to_COM_RfI_on_greenwashing_risks.pdf</vt:lpwstr>
      </vt:variant>
      <vt:variant>
        <vt:lpwstr/>
      </vt:variant>
      <vt:variant>
        <vt:i4>3276849</vt:i4>
      </vt:variant>
      <vt:variant>
        <vt:i4>54</vt:i4>
      </vt:variant>
      <vt:variant>
        <vt:i4>0</vt:i4>
      </vt:variant>
      <vt:variant>
        <vt:i4>5</vt:i4>
      </vt:variant>
      <vt:variant>
        <vt:lpwstr>https://www.clientearth.org/latest/press-office/press/agricultural-giant-cargill-faces-legal-complaint-over-deforestation-and-human-rights-failings-in-brazil/</vt:lpwstr>
      </vt:variant>
      <vt:variant>
        <vt:lpwstr/>
      </vt:variant>
      <vt:variant>
        <vt:i4>3276855</vt:i4>
      </vt:variant>
      <vt:variant>
        <vt:i4>51</vt:i4>
      </vt:variant>
      <vt:variant>
        <vt:i4>0</vt:i4>
      </vt:variant>
      <vt:variant>
        <vt:i4>5</vt:i4>
      </vt:variant>
      <vt:variant>
        <vt:lpwstr>https://asic.gov.au/about-asic/news-centre/find-a-media-release/2023-releases/23-196mr-asic-commences-greenwashing-case-against-vanguard-investments-australia/</vt:lpwstr>
      </vt:variant>
      <vt:variant>
        <vt:lpwstr/>
      </vt:variant>
      <vt:variant>
        <vt:i4>7536698</vt:i4>
      </vt:variant>
      <vt:variant>
        <vt:i4>48</vt:i4>
      </vt:variant>
      <vt:variant>
        <vt:i4>0</vt:i4>
      </vt:variant>
      <vt:variant>
        <vt:i4>5</vt:i4>
      </vt:variant>
      <vt:variant>
        <vt:lpwstr>https://spcommreports.ohchr.org/TMResultsBase/DownLoadPublicCommunicationFile?gId=28094</vt:lpwstr>
      </vt:variant>
      <vt:variant>
        <vt:lpwstr/>
      </vt:variant>
      <vt:variant>
        <vt:i4>7602238</vt:i4>
      </vt:variant>
      <vt:variant>
        <vt:i4>45</vt:i4>
      </vt:variant>
      <vt:variant>
        <vt:i4>0</vt:i4>
      </vt:variant>
      <vt:variant>
        <vt:i4>5</vt:i4>
      </vt:variant>
      <vt:variant>
        <vt:lpwstr>https://adanitoxicbonds.org/2023/03/27/msci-urged-to-drop-adani-bonds-from-indices/</vt:lpwstr>
      </vt:variant>
      <vt:variant>
        <vt:lpwstr/>
      </vt:variant>
      <vt:variant>
        <vt:i4>5439518</vt:i4>
      </vt:variant>
      <vt:variant>
        <vt:i4>42</vt:i4>
      </vt:variant>
      <vt:variant>
        <vt:i4>0</vt:i4>
      </vt:variant>
      <vt:variant>
        <vt:i4>5</vt:i4>
      </vt:variant>
      <vt:variant>
        <vt:lpwstr>https://www.cnbc.com/2023/02/03/sp-to-remove-adani-enterprises-from-sustainability-index.html</vt:lpwstr>
      </vt:variant>
      <vt:variant>
        <vt:lpwstr/>
      </vt:variant>
      <vt:variant>
        <vt:i4>6488167</vt:i4>
      </vt:variant>
      <vt:variant>
        <vt:i4>39</vt:i4>
      </vt:variant>
      <vt:variant>
        <vt:i4>0</vt:i4>
      </vt:variant>
      <vt:variant>
        <vt:i4>5</vt:i4>
      </vt:variant>
      <vt:variant>
        <vt:lpwstr>https://content.ftserussell.com/sites/default/files/ftse_esg_low_carbon_select_index_overview.pdf</vt:lpwstr>
      </vt:variant>
      <vt:variant>
        <vt:lpwstr/>
      </vt:variant>
      <vt:variant>
        <vt:i4>3735671</vt:i4>
      </vt:variant>
      <vt:variant>
        <vt:i4>36</vt:i4>
      </vt:variant>
      <vt:variant>
        <vt:i4>0</vt:i4>
      </vt:variant>
      <vt:variant>
        <vt:i4>5</vt:i4>
      </vt:variant>
      <vt:variant>
        <vt:lpwstr>https://www.ohchr.org/en/special-procedures/wg-business/reports</vt:lpwstr>
      </vt:variant>
      <vt:variant>
        <vt:lpwstr/>
      </vt:variant>
      <vt:variant>
        <vt:i4>3735671</vt:i4>
      </vt:variant>
      <vt:variant>
        <vt:i4>33</vt:i4>
      </vt:variant>
      <vt:variant>
        <vt:i4>0</vt:i4>
      </vt:variant>
      <vt:variant>
        <vt:i4>5</vt:i4>
      </vt:variant>
      <vt:variant>
        <vt:lpwstr>https://www.ohchr.org/en/special-procedures/wg-business/reports</vt:lpwstr>
      </vt:variant>
      <vt:variant>
        <vt:lpwstr/>
      </vt:variant>
      <vt:variant>
        <vt:i4>3735671</vt:i4>
      </vt:variant>
      <vt:variant>
        <vt:i4>30</vt:i4>
      </vt:variant>
      <vt:variant>
        <vt:i4>0</vt:i4>
      </vt:variant>
      <vt:variant>
        <vt:i4>5</vt:i4>
      </vt:variant>
      <vt:variant>
        <vt:lpwstr>https://www.ohchr.org/en/special-procedures/wg-business/reports</vt:lpwstr>
      </vt:variant>
      <vt:variant>
        <vt:lpwstr/>
      </vt:variant>
      <vt:variant>
        <vt:i4>4784206</vt:i4>
      </vt:variant>
      <vt:variant>
        <vt:i4>27</vt:i4>
      </vt:variant>
      <vt:variant>
        <vt:i4>0</vt:i4>
      </vt:variant>
      <vt:variant>
        <vt:i4>5</vt:i4>
      </vt:variant>
      <vt:variant>
        <vt:lpwstr>https://climatechampions.unfccc.int/wp-content/uploads/2022/09/R2Z-Pivot-Point-Report.pdf</vt:lpwstr>
      </vt:variant>
      <vt:variant>
        <vt:lpwstr/>
      </vt:variant>
      <vt:variant>
        <vt:i4>786542</vt:i4>
      </vt:variant>
      <vt:variant>
        <vt:i4>24</vt:i4>
      </vt:variant>
      <vt:variant>
        <vt:i4>0</vt:i4>
      </vt:variant>
      <vt:variant>
        <vt:i4>5</vt:i4>
      </vt:variant>
      <vt:variant>
        <vt:lpwstr>https://transitiontaskforce.net/wp-content/uploads/2023/10/TPT_Disclosure-framework-2023.pdf</vt:lpwstr>
      </vt:variant>
      <vt:variant>
        <vt:lpwstr/>
      </vt:variant>
      <vt:variant>
        <vt:i4>6553720</vt:i4>
      </vt:variant>
      <vt:variant>
        <vt:i4>21</vt:i4>
      </vt:variant>
      <vt:variant>
        <vt:i4>0</vt:i4>
      </vt:variant>
      <vt:variant>
        <vt:i4>5</vt:i4>
      </vt:variant>
      <vt:variant>
        <vt:lpwstr>https://www.ifrs.org/issued-standards/ifrs-sustainability-standards-navigator/ifrs-s2-climate-related-disclosures/</vt:lpwstr>
      </vt:variant>
      <vt:variant>
        <vt:lpwstr/>
      </vt:variant>
      <vt:variant>
        <vt:i4>7536699</vt:i4>
      </vt:variant>
      <vt:variant>
        <vt:i4>18</vt:i4>
      </vt:variant>
      <vt:variant>
        <vt:i4>0</vt:i4>
      </vt:variant>
      <vt:variant>
        <vt:i4>5</vt:i4>
      </vt:variant>
      <vt:variant>
        <vt:lpwstr>https://www.ohchr.org/sites/default/files/documents/issues/business/workinggroupbusiness/Information-Note-Climate-Change-and-UNGPs.pdf</vt:lpwstr>
      </vt:variant>
      <vt:variant>
        <vt:lpwstr/>
      </vt:variant>
      <vt:variant>
        <vt:i4>5373994</vt:i4>
      </vt:variant>
      <vt:variant>
        <vt:i4>15</vt:i4>
      </vt:variant>
      <vt:variant>
        <vt:i4>0</vt:i4>
      </vt:variant>
      <vt:variant>
        <vt:i4>5</vt:i4>
      </vt:variant>
      <vt:variant>
        <vt:lpwstr>https://www.un.org/sites/un2.un.org/files/high-level_expert_group_n7b.pdf</vt:lpwstr>
      </vt:variant>
      <vt:variant>
        <vt:lpwstr/>
      </vt:variant>
      <vt:variant>
        <vt:i4>3211300</vt:i4>
      </vt:variant>
      <vt:variant>
        <vt:i4>12</vt:i4>
      </vt:variant>
      <vt:variant>
        <vt:i4>0</vt:i4>
      </vt:variant>
      <vt:variant>
        <vt:i4>5</vt:i4>
      </vt:variant>
      <vt:variant>
        <vt:lpwstr>https://mneguidelines.oecd.org/RBC-for-Institutional-Investors.pdf</vt:lpwstr>
      </vt:variant>
      <vt:variant>
        <vt:lpwstr/>
      </vt:variant>
      <vt:variant>
        <vt:i4>7995481</vt:i4>
      </vt:variant>
      <vt:variant>
        <vt:i4>9</vt:i4>
      </vt:variant>
      <vt:variant>
        <vt:i4>0</vt:i4>
      </vt:variant>
      <vt:variant>
        <vt:i4>5</vt:i4>
      </vt:variant>
      <vt:variant>
        <vt:lpwstr>https://www.oecd-ilibrary.org/finance-and-investment/oecd-guidelines-for-multinational-enterprises-on-responsible-business-conduct_81f92357-en</vt:lpwstr>
      </vt:variant>
      <vt:variant>
        <vt:lpwstr/>
      </vt:variant>
      <vt:variant>
        <vt:i4>7536699</vt:i4>
      </vt:variant>
      <vt:variant>
        <vt:i4>6</vt:i4>
      </vt:variant>
      <vt:variant>
        <vt:i4>0</vt:i4>
      </vt:variant>
      <vt:variant>
        <vt:i4>5</vt:i4>
      </vt:variant>
      <vt:variant>
        <vt:lpwstr>https://www.ohchr.org/sites/default/files/documents/issues/business/workinggroupbusiness/Information-Note-Climate-Change-and-UNGPs.pdf</vt:lpwstr>
      </vt:variant>
      <vt:variant>
        <vt:lpwstr/>
      </vt:variant>
      <vt:variant>
        <vt:i4>3735671</vt:i4>
      </vt:variant>
      <vt:variant>
        <vt:i4>3</vt:i4>
      </vt:variant>
      <vt:variant>
        <vt:i4>0</vt:i4>
      </vt:variant>
      <vt:variant>
        <vt:i4>5</vt:i4>
      </vt:variant>
      <vt:variant>
        <vt:lpwstr>https://www.ohchr.org/en/special-procedures/wg-business/reports</vt:lpwstr>
      </vt:variant>
      <vt:variant>
        <vt:lpwstr/>
      </vt:variant>
      <vt:variant>
        <vt:i4>2883709</vt:i4>
      </vt:variant>
      <vt:variant>
        <vt:i4>0</vt:i4>
      </vt:variant>
      <vt:variant>
        <vt:i4>0</vt:i4>
      </vt:variant>
      <vt:variant>
        <vt:i4>5</vt:i4>
      </vt:variant>
      <vt:variant>
        <vt:lpwstr>https://www.ohchr.org/sites/default/files/documents/issues/business/workinggroupbusiness/Statement-Financial-Sector-WG-business-12July2023.pdf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Investors, ESG and Human Rights</dc:title>
  <dc:subject/>
  <dc:creator>Robert Clarke</dc:creator>
  <cp:keywords/>
  <dc:description>Created for ClientEarth by JONO Design: www.jonodesign.co.uk</dc:description>
  <cp:lastModifiedBy>Robert Clarke</cp:lastModifiedBy>
  <cp:revision>886</cp:revision>
  <cp:lastPrinted>2023-10-06T09:05:00Z</cp:lastPrinted>
  <dcterms:created xsi:type="dcterms:W3CDTF">2023-09-21T04:11:00Z</dcterms:created>
  <dcterms:modified xsi:type="dcterms:W3CDTF">2023-10-12T15:26:00Z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y fmtid="{D5CDD505-2E9C-101B-9397-08002B2CF9AE}" pid="3" name="_dlc_DocIdItemGuid">
    <vt:lpwstr>0fb6a05a-e600-4bac-87f1-6c12dee513c0</vt:lpwstr>
  </property>
  <property fmtid="{D5CDD505-2E9C-101B-9397-08002B2CF9AE}" pid="4" name="MSIP_Label_5c707128-421c-4ca6-9f15-a7d1eee02eb2_Enabled">
    <vt:lpwstr>true</vt:lpwstr>
  </property>
  <property fmtid="{D5CDD505-2E9C-101B-9397-08002B2CF9AE}" pid="5" name="MSIP_Label_5c707128-421c-4ca6-9f15-a7d1eee02eb2_SetDate">
    <vt:lpwstr>2023-10-02T10:27:33Z</vt:lpwstr>
  </property>
  <property fmtid="{D5CDD505-2E9C-101B-9397-08002B2CF9AE}" pid="6" name="MSIP_Label_5c707128-421c-4ca6-9f15-a7d1eee02eb2_Method">
    <vt:lpwstr>Privileged</vt:lpwstr>
  </property>
  <property fmtid="{D5CDD505-2E9C-101B-9397-08002B2CF9AE}" pid="7" name="MSIP_Label_5c707128-421c-4ca6-9f15-a7d1eee02eb2_Name">
    <vt:lpwstr>Public</vt:lpwstr>
  </property>
  <property fmtid="{D5CDD505-2E9C-101B-9397-08002B2CF9AE}" pid="8" name="MSIP_Label_5c707128-421c-4ca6-9f15-a7d1eee02eb2_SiteId">
    <vt:lpwstr>0993d25a-f806-425d-a221-4e112d812dbc</vt:lpwstr>
  </property>
  <property fmtid="{D5CDD505-2E9C-101B-9397-08002B2CF9AE}" pid="9" name="MSIP_Label_5c707128-421c-4ca6-9f15-a7d1eee02eb2_ActionId">
    <vt:lpwstr>8ac72070-509c-49b7-8a2b-be4c0892d344</vt:lpwstr>
  </property>
  <property fmtid="{D5CDD505-2E9C-101B-9397-08002B2CF9AE}" pid="10" name="MSIP_Label_5c707128-421c-4ca6-9f15-a7d1eee02eb2_ContentBits">
    <vt:lpwstr>0</vt:lpwstr>
  </property>
</Properties>
</file>