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Ibmec-Alameda Santos, 2356</w:t>
      </w:r>
    </w:p>
    <w:p w:rsidR="00000000" w:rsidDel="00000000" w:rsidP="00000000" w:rsidRDefault="00000000" w:rsidRPr="00000000" w14:paraId="00000002">
      <w:pPr>
        <w:rPr/>
      </w:pPr>
      <w:r w:rsidDel="00000000" w:rsidR="00000000" w:rsidRPr="00000000">
        <w:rPr>
          <w:rtl w:val="0"/>
        </w:rPr>
        <w:t xml:space="preserve">São Paulo, São Paulo, 01418-901</w:t>
      </w:r>
    </w:p>
    <w:p w:rsidR="00000000" w:rsidDel="00000000" w:rsidP="00000000" w:rsidRDefault="00000000" w:rsidRPr="00000000" w14:paraId="00000003">
      <w:pPr>
        <w:rPr/>
      </w:pPr>
      <w:r w:rsidDel="00000000" w:rsidR="00000000" w:rsidRPr="00000000">
        <w:rPr>
          <w:rtl w:val="0"/>
        </w:rPr>
        <w:t xml:space="preserve">11 october 2023,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ONU </w:t>
      </w:r>
    </w:p>
    <w:p w:rsidR="00000000" w:rsidDel="00000000" w:rsidP="00000000" w:rsidRDefault="00000000" w:rsidRPr="00000000" w14:paraId="00000006">
      <w:pPr>
        <w:rPr/>
      </w:pPr>
      <w:r w:rsidDel="00000000" w:rsidR="00000000" w:rsidRPr="00000000">
        <w:rPr>
          <w:rtl w:val="0"/>
        </w:rPr>
        <w:t xml:space="preserve">405 E 45th St, New York, NY 10017, Estados Unidos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fellow ONU representatives,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hope this letter finds you well. I am writing to inquire about the extent to which Environmental, Social, and Governance (ESG) approaches present constraints or opportunities for investors and businesses overall. This topic is of significant importance to a wide range of stakeholders, including policymakers, investors, and corporate leaders, and I am eager to gain insights into the nuanced dynamics at play.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we navigate an evolving global landscape characterized by mounting environmental challenges, shifting social dynamics, and an increasingly interconnected world, ESG considerations have garnered substantial attention. Companies and investors alike are faced with the dual challenge of addressing sustainability imperatives while maintaining competitive financial performance.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Understanding the balance between constraints and opportunities in the context of ESG is pivotal for informed decision-making. On one hand, ESG considerations can impose constraints on businesses, requiring them to invest in sustainability measures, adapt to changing consumer preferences, and navigate regulatory changes. These constraints may necessitate significant capital allocation and strategic shifts that could affect short-term profitability.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 the other hand, ESG approaches have the potential to unlock various opportunities. Companies that proactively embrace sustainability can gain a competitive edge by appealing to environmentally and socially conscious consumers, attracting responsible investors, and mitigating long-term risks. Furthermore, as global regulations and market expectations evolve, businesses that excel in ESG performance may find themselves better positioned to access capital and thrive in an increasingly sustainability-focused world.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kindly request your expertise and insights on this matter. Your perspective, grounded in your extensive experience and knowledge, would greatly contribute to a more comprehensive understanding of the complexities surrounding ESG approaches.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If you would be willing to share your thoughts or provide any relevant information, it would be greatly appreciated. I understand your time is valuable and would be grateful for any assistance you can provide. Please feel free to contact me at </w:t>
      </w:r>
      <w:hyperlink r:id="rId6">
        <w:r w:rsidDel="00000000" w:rsidR="00000000" w:rsidRPr="00000000">
          <w:rPr>
            <w:color w:val="0563c1"/>
            <w:u w:val="single"/>
            <w:rtl w:val="0"/>
          </w:rPr>
          <w:t xml:space="preserve">students@ibmec.com</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for considering my request. I look forward to your response and the opportunity to engage in a meaningful dialogue on this crucial issue.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Sincerely,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Julia Maluf, Thiago, Victoria Moretti, Airton Soares, Maria Clara Amorim, Nickolas, Lucca, Pietra. </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students@ibmec.com"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65431FE-2027-451A-AA8C-773BA30FB769}"/>
</file>

<file path=customXml/itemProps2.xml><?xml version="1.0" encoding="utf-8"?>
<ds:datastoreItem xmlns:ds="http://schemas.openxmlformats.org/officeDocument/2006/customXml" ds:itemID="{E76467FB-6B72-41C6-BE65-8C1FBE572DF8}"/>
</file>

<file path=customXml/itemProps3.xml><?xml version="1.0" encoding="utf-8"?>
<ds:datastoreItem xmlns:ds="http://schemas.openxmlformats.org/officeDocument/2006/customXml" ds:itemID="{85E0A8EB-22E6-4583-9F42-D80E1412C85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