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C986" w14:textId="77777777" w:rsidR="007C1AE1" w:rsidRPr="00F74CC7" w:rsidRDefault="007C1AE1" w:rsidP="007C1AE1">
      <w:pPr>
        <w:rPr>
          <w:rStyle w:val="normaltextrun"/>
          <w:rFonts w:asciiTheme="minorHAnsi" w:eastAsiaTheme="majorEastAsia" w:hAnsiTheme="minorHAnsi" w:cstheme="minorHAnsi"/>
          <w:b/>
          <w:sz w:val="28"/>
          <w:szCs w:val="28"/>
          <w:lang w:val="en-US"/>
        </w:rPr>
      </w:pPr>
      <w:r w:rsidRPr="00F74CC7">
        <w:rPr>
          <w:rStyle w:val="normaltextrun"/>
          <w:rFonts w:asciiTheme="minorHAnsi" w:eastAsiaTheme="majorEastAsia" w:hAnsiTheme="minorHAnsi" w:cstheme="minorHAnsi"/>
          <w:b/>
          <w:sz w:val="28"/>
          <w:szCs w:val="28"/>
          <w:lang w:val="en-US"/>
        </w:rPr>
        <w:t>PAX’ Submission to the UN Working Group on Business and Human Rights – Investors, ESG and Human Rights</w:t>
      </w:r>
    </w:p>
    <w:p w14:paraId="6B10C895" w14:textId="77777777" w:rsidR="007C1AE1" w:rsidRPr="00F85AFE" w:rsidRDefault="007C1AE1" w:rsidP="007C1AE1">
      <w:pPr>
        <w:rPr>
          <w:rStyle w:val="normaltextrun"/>
          <w:rFonts w:asciiTheme="minorHAnsi" w:eastAsiaTheme="majorEastAsia" w:hAnsiTheme="minorHAnsi" w:cstheme="minorHAnsi"/>
          <w:szCs w:val="20"/>
          <w:shd w:val="clear" w:color="auto" w:fill="FFFFFF"/>
          <w:lang w:val="en-US"/>
        </w:rPr>
      </w:pPr>
    </w:p>
    <w:p w14:paraId="7DEBF117" w14:textId="77777777" w:rsidR="007C1AE1" w:rsidRPr="00F74CC7" w:rsidRDefault="007C1AE1" w:rsidP="007C1AE1">
      <w:pPr>
        <w:rPr>
          <w:rStyle w:val="normaltextrun"/>
          <w:rFonts w:asciiTheme="minorHAnsi" w:eastAsiaTheme="majorEastAsia" w:hAnsiTheme="minorHAnsi" w:cstheme="minorHAnsi"/>
          <w:b/>
          <w:bCs/>
          <w:szCs w:val="20"/>
          <w:u w:val="single"/>
          <w:lang w:val="en-US"/>
        </w:rPr>
      </w:pPr>
      <w:r w:rsidRPr="00F74CC7">
        <w:rPr>
          <w:rStyle w:val="normaltextrun"/>
          <w:rFonts w:asciiTheme="minorHAnsi" w:eastAsiaTheme="majorEastAsia" w:hAnsiTheme="minorHAnsi" w:cstheme="minorHAnsi"/>
          <w:b/>
          <w:bCs/>
          <w:szCs w:val="20"/>
          <w:u w:val="single"/>
          <w:lang w:val="en-US"/>
        </w:rPr>
        <w:t>Introduction</w:t>
      </w:r>
    </w:p>
    <w:p w14:paraId="5F8CEE06" w14:textId="77777777" w:rsidR="007C1AE1" w:rsidRPr="00F85AFE" w:rsidRDefault="007C1AE1" w:rsidP="007C1AE1">
      <w:pPr>
        <w:rPr>
          <w:rStyle w:val="normaltextrun"/>
          <w:rFonts w:asciiTheme="minorHAnsi" w:eastAsiaTheme="majorEastAsia" w:hAnsiTheme="minorHAnsi" w:cstheme="minorHAnsi"/>
          <w:szCs w:val="20"/>
          <w:lang w:val="en-US"/>
        </w:rPr>
      </w:pPr>
    </w:p>
    <w:p w14:paraId="3C9440F5" w14:textId="125CEDD7" w:rsidR="007C1AE1" w:rsidRPr="00F85AFE" w:rsidRDefault="375973F0" w:rsidP="375973F0">
      <w:pPr>
        <w:rPr>
          <w:rStyle w:val="normaltextrun"/>
          <w:rFonts w:asciiTheme="minorHAnsi" w:eastAsiaTheme="majorEastAsia" w:hAnsiTheme="minorHAnsi" w:cstheme="minorBidi"/>
          <w:lang w:val="en-US"/>
        </w:rPr>
      </w:pPr>
      <w:r w:rsidRPr="375973F0">
        <w:rPr>
          <w:rStyle w:val="normaltextrun"/>
          <w:rFonts w:asciiTheme="minorHAnsi" w:eastAsiaTheme="majorEastAsia" w:hAnsiTheme="minorHAnsi" w:cstheme="minorBidi"/>
          <w:lang w:val="en-US"/>
        </w:rPr>
        <w:t xml:space="preserve">PAX is a Dutch peace organization with longstanding thematic interventions related to responsible business conduct in conflict-affected areas, corporate accountability and access to remedy for human rights violations. Our research has amongst others focused on the role of oil and coalmining companies in large-scale human rights violations in Sudan and Colombia respectively, defense companies' involvement in nuclear weapon production or high-risk arms trade, and corporate involvement in illegal settlements in occupied territories. </w:t>
      </w:r>
    </w:p>
    <w:p w14:paraId="1E8CDC9C" w14:textId="77777777" w:rsidR="007C1AE1" w:rsidRPr="00F85AFE" w:rsidRDefault="007C1AE1" w:rsidP="007C1AE1">
      <w:pPr>
        <w:rPr>
          <w:rStyle w:val="normaltextrun"/>
          <w:rFonts w:asciiTheme="minorHAnsi" w:eastAsiaTheme="majorEastAsia" w:hAnsiTheme="minorHAnsi" w:cstheme="minorHAnsi"/>
          <w:szCs w:val="20"/>
          <w:lang w:val="en-US"/>
        </w:rPr>
      </w:pPr>
    </w:p>
    <w:p w14:paraId="39EB3FA7" w14:textId="0BEAFC38" w:rsidR="007C1AE1" w:rsidRPr="007D40C1" w:rsidRDefault="007C1AE1" w:rsidP="375973F0">
      <w:pPr>
        <w:spacing w:line="259" w:lineRule="auto"/>
        <w:rPr>
          <w:rFonts w:asciiTheme="minorHAnsi" w:eastAsiaTheme="majorEastAsia" w:hAnsiTheme="minorHAnsi" w:cstheme="minorBidi"/>
          <w:vertAlign w:val="superscript"/>
          <w:lang w:val="en-US"/>
        </w:rPr>
      </w:pPr>
      <w:r w:rsidRPr="375973F0">
        <w:rPr>
          <w:rStyle w:val="normaltextrun"/>
          <w:rFonts w:asciiTheme="minorHAnsi" w:eastAsiaTheme="majorEastAsia" w:hAnsiTheme="minorHAnsi" w:cstheme="minorBidi"/>
          <w:lang w:val="en-US"/>
        </w:rPr>
        <w:t>Our research into and engagement with the financial sector, as an essential player in the global economic system and an important lever to influence corporate behavior, plays a cross-cutting role in our advocacy.</w:t>
      </w:r>
      <w:r w:rsidRPr="375973F0">
        <w:rPr>
          <w:rStyle w:val="Voetnootmarkering"/>
          <w:rFonts w:asciiTheme="minorHAnsi" w:eastAsiaTheme="majorEastAsia" w:hAnsiTheme="minorHAnsi" w:cstheme="minorBidi"/>
          <w:lang w:val="en-US"/>
        </w:rPr>
        <w:footnoteReference w:id="2"/>
      </w:r>
      <w:r w:rsidRPr="375973F0">
        <w:rPr>
          <w:rStyle w:val="normaltextrun"/>
          <w:rFonts w:asciiTheme="minorHAnsi" w:eastAsiaTheme="majorEastAsia" w:hAnsiTheme="minorHAnsi" w:cstheme="minorBidi"/>
          <w:lang w:val="en-US"/>
        </w:rPr>
        <w:t xml:space="preserve"> </w:t>
      </w:r>
      <w:r w:rsidRPr="375973F0">
        <w:rPr>
          <w:rFonts w:asciiTheme="minorHAnsi" w:hAnsiTheme="minorHAnsi" w:cstheme="minorBidi"/>
          <w:lang w:val="en-US"/>
        </w:rPr>
        <w:t>In this submission to the UN Working Group we address those questions for which we were able to provide relevant input as per our expertise and focus of work (investments in conflict-affected areas and the arms sector), and from our experience of working with the banks, asset owners and managers in the RBC-agreements over the last seven years. The input per question should therefore not be read as a comprehensive or exhaustive answer to the question as a whole, but rather as highlighting specific issues of relevance based on our experience and expertise.</w:t>
      </w:r>
    </w:p>
    <w:p w14:paraId="1569564E" w14:textId="77777777" w:rsidR="007C1AE1" w:rsidRPr="00F85AFE" w:rsidRDefault="007C1AE1" w:rsidP="007C1AE1">
      <w:pPr>
        <w:rPr>
          <w:rStyle w:val="normaltextrun"/>
          <w:rFonts w:asciiTheme="minorHAnsi" w:hAnsiTheme="minorHAnsi" w:cstheme="minorHAnsi"/>
          <w:szCs w:val="20"/>
          <w:lang w:val="en-US"/>
        </w:rPr>
      </w:pPr>
    </w:p>
    <w:p w14:paraId="0520BE4A" w14:textId="77777777" w:rsidR="007C1AE1" w:rsidRPr="00F85AFE" w:rsidRDefault="007C1AE1" w:rsidP="007C1AE1">
      <w:pPr>
        <w:rPr>
          <w:rStyle w:val="normaltextrun"/>
          <w:rFonts w:asciiTheme="minorHAnsi" w:eastAsiaTheme="majorEastAsia" w:hAnsiTheme="minorHAnsi" w:cstheme="minorHAnsi"/>
          <w:b/>
          <w:bCs/>
          <w:szCs w:val="20"/>
          <w:u w:val="single"/>
          <w:lang w:val="en-US"/>
        </w:rPr>
      </w:pPr>
      <w:r w:rsidRPr="00F85AFE">
        <w:rPr>
          <w:rStyle w:val="normaltextrun"/>
          <w:rFonts w:asciiTheme="minorHAnsi" w:eastAsiaTheme="majorEastAsia" w:hAnsiTheme="minorHAnsi" w:cstheme="minorHAnsi"/>
          <w:b/>
          <w:bCs/>
          <w:szCs w:val="20"/>
          <w:u w:val="single"/>
          <w:lang w:val="en-US"/>
        </w:rPr>
        <w:t>General</w:t>
      </w:r>
    </w:p>
    <w:p w14:paraId="5430C917" w14:textId="77777777" w:rsidR="007C1AE1" w:rsidRPr="00F85AFE" w:rsidRDefault="007C1AE1" w:rsidP="007C1AE1">
      <w:pPr>
        <w:rPr>
          <w:rStyle w:val="normaltextrun"/>
          <w:rFonts w:asciiTheme="minorHAnsi" w:eastAsiaTheme="majorEastAsia" w:hAnsiTheme="minorHAnsi" w:cstheme="minorHAnsi"/>
          <w:szCs w:val="20"/>
          <w:lang w:val="en-US"/>
        </w:rPr>
      </w:pPr>
    </w:p>
    <w:p w14:paraId="6E9F57A3" w14:textId="77777777" w:rsidR="007C1AE1" w:rsidRPr="0051454D" w:rsidRDefault="007C1AE1" w:rsidP="007C1AE1">
      <w:pPr>
        <w:rPr>
          <w:rFonts w:asciiTheme="minorHAnsi" w:hAnsiTheme="minorHAnsi" w:cstheme="minorHAnsi"/>
          <w:b/>
          <w:szCs w:val="20"/>
          <w:lang w:val="en-US"/>
        </w:rPr>
      </w:pPr>
      <w:r w:rsidRPr="0051454D">
        <w:rPr>
          <w:rStyle w:val="normaltextrun"/>
          <w:rFonts w:asciiTheme="minorHAnsi" w:eastAsiaTheme="majorEastAsia" w:hAnsiTheme="minorHAnsi" w:cstheme="minorHAnsi"/>
          <w:b/>
          <w:szCs w:val="20"/>
          <w:shd w:val="clear" w:color="auto" w:fill="FFFFFF"/>
          <w:lang w:val="en-US"/>
        </w:rPr>
        <w:t>(1) What do you understand Environmental, Social, and Governance (ESG) in finance to mean? How are human rights standards and frameworks considered by investors, if at all, in ESG?</w:t>
      </w:r>
      <w:r w:rsidRPr="0051454D">
        <w:rPr>
          <w:rStyle w:val="eop"/>
          <w:rFonts w:asciiTheme="minorHAnsi" w:eastAsiaTheme="majorEastAsia" w:hAnsiTheme="minorHAnsi" w:cstheme="minorHAnsi"/>
          <w:b/>
          <w:szCs w:val="20"/>
          <w:shd w:val="clear" w:color="auto" w:fill="FFFFFF"/>
          <w:lang w:val="en-US"/>
        </w:rPr>
        <w:t> </w:t>
      </w:r>
    </w:p>
    <w:p w14:paraId="71F1F1B6" w14:textId="77777777" w:rsidR="007C1AE1" w:rsidRPr="00F85AFE" w:rsidRDefault="007C1AE1" w:rsidP="007C1AE1">
      <w:pPr>
        <w:rPr>
          <w:rFonts w:asciiTheme="minorHAnsi" w:hAnsiTheme="minorHAnsi" w:cstheme="minorHAnsi"/>
          <w:szCs w:val="20"/>
          <w:lang w:val="en-US"/>
        </w:rPr>
      </w:pPr>
    </w:p>
    <w:p w14:paraId="69D2C9BA" w14:textId="70951C24" w:rsidR="007C1AE1" w:rsidRPr="00F85AFE" w:rsidRDefault="007C1AE1" w:rsidP="375973F0">
      <w:pPr>
        <w:rPr>
          <w:rFonts w:asciiTheme="minorHAnsi" w:hAnsiTheme="minorHAnsi" w:cstheme="minorBidi"/>
          <w:lang w:val="en-US"/>
        </w:rPr>
      </w:pPr>
      <w:r w:rsidRPr="375973F0">
        <w:rPr>
          <w:rFonts w:asciiTheme="minorHAnsi" w:hAnsiTheme="minorHAnsi" w:cstheme="minorBidi"/>
          <w:lang w:val="en-US"/>
        </w:rPr>
        <w:t>Financial institutions, like any other company, need to conduct human rights and environmental due diligence in accordance with the UNGPs and the OECD Guidelines. ESG is predominantly used as a label in the rating of and reporting on sustainability levels of companies which can point to, but should not be conflated with, companies doing human rights due diligence. In practice, the frameworks or methodologies on which ESG ratings are based do not capture all human rights risks; companies could have high ESG ratings and still cause or contribute to human rights abuses.</w:t>
      </w:r>
      <w:r w:rsidRPr="375973F0">
        <w:rPr>
          <w:rStyle w:val="Voetnootmarkering"/>
          <w:rFonts w:asciiTheme="minorHAnsi" w:hAnsiTheme="minorHAnsi" w:cstheme="minorBidi"/>
          <w:lang w:val="en-US"/>
        </w:rPr>
        <w:footnoteReference w:id="3"/>
      </w:r>
      <w:r w:rsidRPr="375973F0">
        <w:rPr>
          <w:rFonts w:asciiTheme="minorHAnsi" w:hAnsiTheme="minorHAnsi" w:cstheme="minorBidi"/>
          <w:lang w:val="en-US"/>
        </w:rPr>
        <w:t xml:space="preserve"> Likewise, ESG-labelled funds are often found to be holding investments in companies associated with serious human rights abuses.</w:t>
      </w:r>
      <w:r w:rsidRPr="375973F0">
        <w:rPr>
          <w:rStyle w:val="Voetnootmarkering"/>
          <w:rFonts w:asciiTheme="minorHAnsi" w:hAnsiTheme="minorHAnsi" w:cstheme="minorBidi"/>
          <w:lang w:val="en-US"/>
        </w:rPr>
        <w:footnoteReference w:id="4"/>
      </w:r>
      <w:r w:rsidRPr="375973F0">
        <w:rPr>
          <w:rFonts w:asciiTheme="minorHAnsi" w:hAnsiTheme="minorHAnsi" w:cstheme="minorBidi"/>
          <w:lang w:val="en-US"/>
        </w:rPr>
        <w:t xml:space="preserve"> Especially lacking in these rating methodologies are the specific risks at play in conflict-affected areas, where companies run a high risk of contributing to conflict in addition to severe human rights and IHL violations (see also Q4 below). Still overlooked in some ESG </w:t>
      </w:r>
      <w:r w:rsidRPr="375973F0">
        <w:rPr>
          <w:rFonts w:asciiTheme="minorHAnsi" w:hAnsiTheme="minorHAnsi" w:cstheme="minorBidi"/>
          <w:lang w:val="en-US"/>
        </w:rPr>
        <w:lastRenderedPageBreak/>
        <w:t>investing strategies are also the human rights risks connected to companies involved in the production of controversial weapons</w:t>
      </w:r>
      <w:r w:rsidRPr="375973F0">
        <w:rPr>
          <w:rStyle w:val="Voetnootmarkering"/>
          <w:rFonts w:asciiTheme="minorHAnsi" w:hAnsiTheme="minorHAnsi" w:cstheme="minorBidi"/>
          <w:lang w:val="en-US"/>
        </w:rPr>
        <w:footnoteReference w:id="5"/>
      </w:r>
      <w:r w:rsidRPr="375973F0">
        <w:rPr>
          <w:rFonts w:asciiTheme="minorHAnsi" w:hAnsiTheme="minorHAnsi" w:cstheme="minorBidi"/>
          <w:lang w:val="en-US"/>
        </w:rPr>
        <w:t xml:space="preserve"> or the supply of conventional weapons to high-risk countries.</w:t>
      </w:r>
      <w:r w:rsidRPr="375973F0">
        <w:rPr>
          <w:rStyle w:val="Voetnootmarkering"/>
          <w:rFonts w:asciiTheme="minorHAnsi" w:hAnsiTheme="minorHAnsi" w:cstheme="minorBidi"/>
          <w:lang w:val="en-US"/>
        </w:rPr>
        <w:footnoteReference w:id="6"/>
      </w:r>
      <w:r w:rsidRPr="375973F0">
        <w:rPr>
          <w:rFonts w:asciiTheme="minorHAnsi" w:hAnsiTheme="minorHAnsi" w:cstheme="minorBidi"/>
          <w:lang w:val="en-US"/>
        </w:rPr>
        <w:t xml:space="preserve"> </w:t>
      </w:r>
    </w:p>
    <w:p w14:paraId="5691D317" w14:textId="77777777" w:rsidR="007C1AE1" w:rsidRPr="00F85AFE" w:rsidRDefault="007C1AE1" w:rsidP="007C1AE1">
      <w:pPr>
        <w:rPr>
          <w:rFonts w:asciiTheme="minorHAnsi" w:hAnsiTheme="minorHAnsi" w:cstheme="minorHAnsi"/>
          <w:szCs w:val="20"/>
          <w:lang w:val="en-US"/>
        </w:rPr>
      </w:pPr>
    </w:p>
    <w:p w14:paraId="335BF020" w14:textId="77777777" w:rsidR="007C1AE1" w:rsidRPr="00F85AFE" w:rsidRDefault="007C1AE1" w:rsidP="007C1AE1">
      <w:pPr>
        <w:rPr>
          <w:rFonts w:asciiTheme="minorHAnsi" w:hAnsiTheme="minorHAnsi" w:cstheme="minorHAnsi"/>
          <w:b/>
          <w:szCs w:val="20"/>
          <w:lang w:val="en-US"/>
        </w:rPr>
      </w:pPr>
      <w:r w:rsidRPr="00F85AFE">
        <w:rPr>
          <w:rFonts w:asciiTheme="minorHAnsi" w:hAnsiTheme="minorHAnsi" w:cstheme="minorHAnsi"/>
          <w:b/>
          <w:szCs w:val="20"/>
          <w:lang w:val="en-US"/>
        </w:rPr>
        <w:t xml:space="preserve">(4) What responsibilities and capacity do ESG index and data providers have regarding the assessment of adverse human rights and environmental impacts, and how can ESG indexes and research products be improved to align with the UNGPs approach? </w:t>
      </w:r>
    </w:p>
    <w:p w14:paraId="6917BC23" w14:textId="77777777" w:rsidR="007C1AE1" w:rsidRPr="00F85AFE" w:rsidRDefault="007C1AE1" w:rsidP="007C1AE1">
      <w:pPr>
        <w:rPr>
          <w:rFonts w:asciiTheme="minorHAnsi" w:hAnsiTheme="minorHAnsi" w:cstheme="minorHAnsi"/>
          <w:i/>
          <w:szCs w:val="20"/>
          <w:lang w:val="en-US"/>
        </w:rPr>
      </w:pPr>
    </w:p>
    <w:p w14:paraId="4E99739D" w14:textId="2C1831B6" w:rsidR="007C1AE1" w:rsidRPr="0051454D" w:rsidRDefault="375973F0" w:rsidP="375973F0">
      <w:pPr>
        <w:spacing w:line="259" w:lineRule="auto"/>
        <w:rPr>
          <w:rFonts w:asciiTheme="minorHAnsi" w:hAnsiTheme="minorHAnsi" w:cstheme="minorBidi"/>
          <w:lang w:val="en-US"/>
        </w:rPr>
      </w:pPr>
      <w:r w:rsidRPr="375973F0">
        <w:rPr>
          <w:rFonts w:asciiTheme="minorHAnsi" w:hAnsiTheme="minorHAnsi" w:cstheme="minorBidi"/>
          <w:lang w:val="en-US"/>
        </w:rPr>
        <w:t>First and foremost, investors have an individual responsibility to ensure they conduct adequate human rights due diligence (HRDD) in accordance with the UNGP's and OECD guidelines. They cannot outsource this responsibility to external service or index providers or account for a lacking HRDD by pointing to insufficient data received from ESG data providers. In practice, however, ESG data providers do play a key role in the HRDD processes of many investors worldwide who rely on their data to screen the often thousands of companies that they have in their portfolios. Similarly, as passive investment increases, index providers may exert significant influence on the asset management of investors worldwide. We identify a few specific (non-exhaustive) shortcomings in the role played by both data and index providers encountered in our work.</w:t>
      </w:r>
    </w:p>
    <w:p w14:paraId="6FF53343" w14:textId="77777777" w:rsidR="007C1AE1" w:rsidRPr="0051454D" w:rsidRDefault="007C1AE1" w:rsidP="007C1AE1">
      <w:pPr>
        <w:spacing w:line="259" w:lineRule="auto"/>
        <w:rPr>
          <w:rFonts w:asciiTheme="minorHAnsi" w:hAnsiTheme="minorHAnsi" w:cstheme="minorHAnsi"/>
          <w:i/>
          <w:iCs/>
          <w:szCs w:val="20"/>
          <w:lang w:val="en-US"/>
        </w:rPr>
      </w:pPr>
    </w:p>
    <w:p w14:paraId="55B01B47" w14:textId="6CAAD634" w:rsidR="007C1AE1" w:rsidRPr="00546BEA" w:rsidRDefault="375973F0" w:rsidP="375973F0">
      <w:pPr>
        <w:spacing w:before="240" w:after="240" w:line="259" w:lineRule="auto"/>
        <w:rPr>
          <w:rFonts w:asciiTheme="minorHAnsi" w:eastAsiaTheme="minorEastAsia" w:hAnsiTheme="minorHAnsi" w:cstheme="minorBidi"/>
          <w:szCs w:val="20"/>
          <w:lang w:val="en-US"/>
        </w:rPr>
      </w:pPr>
      <w:r w:rsidRPr="375973F0">
        <w:rPr>
          <w:rFonts w:asciiTheme="minorHAnsi" w:hAnsiTheme="minorHAnsi" w:cstheme="minorBidi"/>
          <w:i/>
          <w:iCs/>
          <w:lang w:val="en-US"/>
        </w:rPr>
        <w:t>On ESG data providers and conflict-affected and high-risk areas</w:t>
      </w:r>
      <w:r w:rsidR="007C1AE1">
        <w:br/>
      </w:r>
      <w:r w:rsidR="007C1AE1" w:rsidRPr="375973F0">
        <w:rPr>
          <w:rFonts w:asciiTheme="minorHAnsi" w:eastAsiaTheme="minorEastAsia" w:hAnsiTheme="minorHAnsi" w:cstheme="minorBidi"/>
          <w:szCs w:val="20"/>
          <w:lang w:val="en-US"/>
        </w:rPr>
        <w:t>A worrying trend that we see in the field of ESG data providers is the politicization of ESG ratings. In 2022, following increased pressure from anti-BDS groups in the US, one of the leading ESG data providers Morningstar-Sustainalytics, decided to -amongst other actions- refrain from using the term “Occupied Palestinian Territories” and from applying the term “occupied territory” to the West Bank, Gaza and East Jerusalem.</w:t>
      </w:r>
      <w:r w:rsidR="007C1AE1" w:rsidRPr="375973F0">
        <w:rPr>
          <w:rStyle w:val="Voetnootmarkering"/>
          <w:rFonts w:asciiTheme="minorHAnsi" w:eastAsiaTheme="minorEastAsia" w:hAnsiTheme="minorHAnsi" w:cstheme="minorBidi"/>
          <w:szCs w:val="20"/>
          <w:lang w:val="en-US"/>
        </w:rPr>
        <w:footnoteReference w:id="7"/>
      </w:r>
      <w:r w:rsidR="007C1AE1" w:rsidRPr="375973F0">
        <w:rPr>
          <w:rFonts w:asciiTheme="minorHAnsi" w:eastAsiaTheme="minorEastAsia" w:hAnsiTheme="minorHAnsi" w:cstheme="minorBidi"/>
          <w:szCs w:val="20"/>
          <w:lang w:val="en-US"/>
        </w:rPr>
        <w:t xml:space="preserve"> They </w:t>
      </w:r>
      <w:r w:rsidR="00AE058D" w:rsidRPr="375973F0">
        <w:rPr>
          <w:rFonts w:asciiTheme="minorHAnsi" w:eastAsiaTheme="minorEastAsia" w:hAnsiTheme="minorHAnsi" w:cstheme="minorBidi"/>
          <w:szCs w:val="20"/>
          <w:lang w:val="en-US"/>
        </w:rPr>
        <w:t>also</w:t>
      </w:r>
      <w:r w:rsidR="007C1AE1" w:rsidRPr="375973F0">
        <w:rPr>
          <w:rFonts w:asciiTheme="minorHAnsi" w:eastAsiaTheme="minorEastAsia" w:hAnsiTheme="minorHAnsi" w:cstheme="minorBidi"/>
          <w:szCs w:val="20"/>
          <w:lang w:val="en-US"/>
        </w:rPr>
        <w:t xml:space="preserve"> </w:t>
      </w:r>
      <w:r w:rsidR="0044193B" w:rsidRPr="375973F0">
        <w:rPr>
          <w:rFonts w:asciiTheme="minorHAnsi" w:eastAsiaTheme="minorEastAsia" w:hAnsiTheme="minorHAnsi" w:cstheme="minorBidi"/>
          <w:szCs w:val="20"/>
          <w:lang w:val="en-US"/>
        </w:rPr>
        <w:t>chose to terminate</w:t>
      </w:r>
      <w:r w:rsidR="007C1AE1" w:rsidRPr="375973F0">
        <w:rPr>
          <w:rFonts w:asciiTheme="minorHAnsi" w:eastAsiaTheme="minorEastAsia" w:hAnsiTheme="minorHAnsi" w:cstheme="minorBidi"/>
          <w:szCs w:val="20"/>
          <w:lang w:val="en-US"/>
        </w:rPr>
        <w:t xml:space="preserve"> the use of well-established sources in their ratings of companies active in Israel/Palestine, including the UN Human Rights Council. This has not only created grave methodological deficiencies vis-à-vis other conflict-affected areas, undermining </w:t>
      </w:r>
      <w:r w:rsidR="004A0364" w:rsidRPr="375973F0">
        <w:rPr>
          <w:rFonts w:asciiTheme="minorHAnsi" w:eastAsiaTheme="minorEastAsia" w:hAnsiTheme="minorHAnsi" w:cstheme="minorBidi"/>
          <w:szCs w:val="20"/>
          <w:lang w:val="en-US"/>
        </w:rPr>
        <w:t>Morningstar’s</w:t>
      </w:r>
      <w:r w:rsidR="007C1AE1" w:rsidRPr="375973F0">
        <w:rPr>
          <w:rFonts w:asciiTheme="minorHAnsi" w:eastAsiaTheme="minorEastAsia" w:hAnsiTheme="minorHAnsi" w:cstheme="minorBidi"/>
          <w:szCs w:val="20"/>
          <w:lang w:val="en-US"/>
        </w:rPr>
        <w:t xml:space="preserve"> own credibility, but has also </w:t>
      </w:r>
      <w:r w:rsidR="002F264F" w:rsidRPr="375973F0">
        <w:rPr>
          <w:rFonts w:asciiTheme="minorHAnsi" w:eastAsiaTheme="minorEastAsia" w:hAnsiTheme="minorHAnsi" w:cstheme="minorBidi"/>
          <w:szCs w:val="20"/>
          <w:lang w:val="en-US"/>
        </w:rPr>
        <w:t>laid bare</w:t>
      </w:r>
      <w:r w:rsidR="007C1AE1" w:rsidRPr="375973F0">
        <w:rPr>
          <w:rFonts w:asciiTheme="minorHAnsi" w:eastAsiaTheme="minorEastAsia" w:hAnsiTheme="minorHAnsi" w:cstheme="minorBidi"/>
          <w:szCs w:val="20"/>
          <w:lang w:val="en-US"/>
        </w:rPr>
        <w:t xml:space="preserve"> </w:t>
      </w:r>
      <w:r w:rsidR="0044193B" w:rsidRPr="375973F0">
        <w:rPr>
          <w:rFonts w:asciiTheme="minorHAnsi" w:eastAsiaTheme="minorEastAsia" w:hAnsiTheme="minorHAnsi" w:cstheme="minorBidi"/>
          <w:szCs w:val="20"/>
          <w:lang w:val="en-US"/>
        </w:rPr>
        <w:t>(</w:t>
      </w:r>
      <w:r w:rsidR="00FB4D9D" w:rsidRPr="375973F0">
        <w:rPr>
          <w:rFonts w:asciiTheme="minorHAnsi" w:eastAsiaTheme="minorEastAsia" w:hAnsiTheme="minorHAnsi" w:cstheme="minorBidi"/>
          <w:szCs w:val="20"/>
          <w:lang w:val="en-US"/>
        </w:rPr>
        <w:t>and</w:t>
      </w:r>
      <w:r w:rsidR="0044193B" w:rsidRPr="375973F0">
        <w:rPr>
          <w:rFonts w:asciiTheme="minorHAnsi" w:eastAsiaTheme="minorEastAsia" w:hAnsiTheme="minorHAnsi" w:cstheme="minorBidi"/>
          <w:szCs w:val="20"/>
          <w:lang w:val="en-US"/>
        </w:rPr>
        <w:t xml:space="preserve"> actually increased) </w:t>
      </w:r>
      <w:r w:rsidR="004A0364" w:rsidRPr="375973F0">
        <w:rPr>
          <w:rFonts w:asciiTheme="minorHAnsi" w:eastAsiaTheme="minorEastAsia" w:hAnsiTheme="minorHAnsi" w:cstheme="minorBidi"/>
          <w:szCs w:val="20"/>
          <w:lang w:val="en-US"/>
        </w:rPr>
        <w:t>ESG</w:t>
      </w:r>
      <w:r w:rsidR="002C471E" w:rsidRPr="375973F0">
        <w:rPr>
          <w:rFonts w:asciiTheme="minorHAnsi" w:eastAsiaTheme="minorEastAsia" w:hAnsiTheme="minorHAnsi" w:cstheme="minorBidi"/>
          <w:szCs w:val="20"/>
          <w:lang w:val="en-US"/>
        </w:rPr>
        <w:t>-</w:t>
      </w:r>
      <w:r w:rsidR="00B32237" w:rsidRPr="375973F0">
        <w:rPr>
          <w:rFonts w:asciiTheme="minorHAnsi" w:eastAsiaTheme="minorEastAsia" w:hAnsiTheme="minorHAnsi" w:cstheme="minorBidi"/>
          <w:szCs w:val="20"/>
          <w:lang w:val="en-US"/>
        </w:rPr>
        <w:t>service providers</w:t>
      </w:r>
      <w:r w:rsidR="0044193B" w:rsidRPr="375973F0">
        <w:rPr>
          <w:rFonts w:asciiTheme="minorHAnsi" w:eastAsiaTheme="minorEastAsia" w:hAnsiTheme="minorHAnsi" w:cstheme="minorBidi"/>
          <w:szCs w:val="20"/>
          <w:lang w:val="en-US"/>
        </w:rPr>
        <w:t>’</w:t>
      </w:r>
      <w:r w:rsidR="00AA3864" w:rsidRPr="375973F0">
        <w:rPr>
          <w:rFonts w:asciiTheme="minorHAnsi" w:eastAsiaTheme="minorEastAsia" w:hAnsiTheme="minorHAnsi" w:cstheme="minorBidi"/>
          <w:szCs w:val="20"/>
          <w:lang w:val="en-US"/>
        </w:rPr>
        <w:t xml:space="preserve"> </w:t>
      </w:r>
      <w:r w:rsidR="00CC07B8" w:rsidRPr="375973F0">
        <w:rPr>
          <w:rFonts w:asciiTheme="minorHAnsi" w:eastAsiaTheme="minorEastAsia" w:hAnsiTheme="minorHAnsi" w:cstheme="minorBidi"/>
          <w:szCs w:val="20"/>
          <w:lang w:val="en-US"/>
        </w:rPr>
        <w:t>vulnerability</w:t>
      </w:r>
      <w:r w:rsidR="00B32237" w:rsidRPr="375973F0">
        <w:rPr>
          <w:rFonts w:asciiTheme="minorHAnsi" w:eastAsiaTheme="minorEastAsia" w:hAnsiTheme="minorHAnsi" w:cstheme="minorBidi"/>
          <w:szCs w:val="20"/>
          <w:lang w:val="en-US"/>
        </w:rPr>
        <w:t xml:space="preserve"> to public/political pressure</w:t>
      </w:r>
      <w:r w:rsidR="003619BF" w:rsidRPr="375973F0">
        <w:rPr>
          <w:rFonts w:asciiTheme="minorHAnsi" w:eastAsiaTheme="minorEastAsia" w:hAnsiTheme="minorHAnsi" w:cstheme="minorBidi"/>
          <w:szCs w:val="20"/>
          <w:lang w:val="en-US"/>
        </w:rPr>
        <w:t>.</w:t>
      </w:r>
      <w:r w:rsidR="0044193B" w:rsidRPr="375973F0">
        <w:rPr>
          <w:rFonts w:asciiTheme="minorHAnsi" w:eastAsiaTheme="minorEastAsia" w:hAnsiTheme="minorHAnsi" w:cstheme="minorBidi"/>
          <w:szCs w:val="20"/>
          <w:lang w:val="en-US"/>
        </w:rPr>
        <w:t xml:space="preserve"> </w:t>
      </w:r>
      <w:r w:rsidR="007C1AE1" w:rsidRPr="375973F0">
        <w:rPr>
          <w:rFonts w:asciiTheme="minorHAnsi" w:eastAsiaTheme="minorEastAsia" w:hAnsiTheme="minorHAnsi" w:cstheme="minorBidi"/>
          <w:szCs w:val="20"/>
          <w:lang w:val="en-US"/>
        </w:rPr>
        <w:t xml:space="preserve">Investors should be aware and alert to these trends as they remain responsible for their own HRDD in accordance with international law and human rights standards. </w:t>
      </w:r>
      <w:r w:rsidR="00943472" w:rsidRPr="375973F0">
        <w:rPr>
          <w:rFonts w:asciiTheme="minorHAnsi" w:eastAsiaTheme="minorEastAsia" w:hAnsiTheme="minorHAnsi" w:cstheme="minorBidi"/>
          <w:szCs w:val="20"/>
          <w:lang w:val="en-US"/>
        </w:rPr>
        <w:t xml:space="preserve">Investors need to </w:t>
      </w:r>
      <w:r w:rsidR="007C1AE1" w:rsidRPr="375973F0">
        <w:rPr>
          <w:rFonts w:asciiTheme="minorHAnsi" w:eastAsiaTheme="minorEastAsia" w:hAnsiTheme="minorHAnsi" w:cstheme="minorBidi"/>
          <w:szCs w:val="20"/>
          <w:lang w:val="en-US"/>
        </w:rPr>
        <w:t>seek information from a broad range of sources (i.e. international organizations, academia, NGOs, independent experts etc.). This is even more important in conflict-affected and high-risk areas, where much more in-depth and detailed information on conflict and human rights risks and impacts is needed as part of a heightened HRDD process.</w:t>
      </w:r>
      <w:r w:rsidR="007C1AE1" w:rsidRPr="375973F0">
        <w:rPr>
          <w:rFonts w:asciiTheme="minorHAnsi" w:hAnsiTheme="minorHAnsi" w:cstheme="minorBidi"/>
          <w:color w:val="000000" w:themeColor="text1"/>
          <w:szCs w:val="20"/>
          <w:lang w:val="en-US"/>
        </w:rPr>
        <w:t xml:space="preserve"> </w:t>
      </w:r>
      <w:r w:rsidR="007C1AE1">
        <w:br/>
      </w:r>
    </w:p>
    <w:p w14:paraId="60136189" w14:textId="77777777" w:rsidR="007C1AE1" w:rsidRPr="00F85AFE" w:rsidRDefault="007C1AE1" w:rsidP="007C1AE1">
      <w:pPr>
        <w:spacing w:line="259" w:lineRule="auto"/>
        <w:rPr>
          <w:rFonts w:asciiTheme="minorHAnsi" w:eastAsiaTheme="minorEastAsia" w:hAnsiTheme="minorHAnsi" w:cstheme="minorHAnsi"/>
          <w:i/>
          <w:iCs/>
          <w:szCs w:val="20"/>
          <w:lang w:val="en-US"/>
        </w:rPr>
      </w:pPr>
      <w:r w:rsidRPr="00F85AFE">
        <w:rPr>
          <w:rFonts w:asciiTheme="minorHAnsi" w:eastAsiaTheme="minorEastAsia" w:hAnsiTheme="minorHAnsi" w:cstheme="minorHAnsi"/>
          <w:i/>
          <w:iCs/>
          <w:szCs w:val="20"/>
          <w:lang w:val="en-US"/>
        </w:rPr>
        <w:t>Tracking other human rights issues in the arms industry</w:t>
      </w:r>
    </w:p>
    <w:p w14:paraId="6291B071" w14:textId="492B71D0" w:rsidR="007C1AE1" w:rsidRPr="00F85AFE" w:rsidRDefault="007C1AE1" w:rsidP="375973F0">
      <w:pPr>
        <w:spacing w:line="259" w:lineRule="auto"/>
        <w:rPr>
          <w:rFonts w:asciiTheme="minorHAnsi" w:eastAsiaTheme="minorEastAsia" w:hAnsiTheme="minorHAnsi" w:cstheme="minorBidi"/>
          <w:lang w:val="en-US"/>
        </w:rPr>
      </w:pPr>
      <w:r w:rsidRPr="375973F0">
        <w:rPr>
          <w:rFonts w:asciiTheme="minorHAnsi" w:eastAsiaTheme="minorEastAsia" w:hAnsiTheme="minorHAnsi" w:cstheme="minorBidi"/>
          <w:lang w:val="en-US"/>
        </w:rPr>
        <w:t xml:space="preserve">In our research we </w:t>
      </w:r>
      <w:r w:rsidR="241DE808" w:rsidRPr="375973F0">
        <w:rPr>
          <w:rFonts w:asciiTheme="minorHAnsi" w:eastAsiaTheme="minorEastAsia" w:hAnsiTheme="minorHAnsi" w:cstheme="minorBidi"/>
          <w:lang w:val="en-US"/>
        </w:rPr>
        <w:t>highlight</w:t>
      </w:r>
      <w:r w:rsidRPr="375973F0">
        <w:rPr>
          <w:rFonts w:asciiTheme="minorHAnsi" w:eastAsiaTheme="minorEastAsia" w:hAnsiTheme="minorHAnsi" w:cstheme="minorBidi"/>
          <w:lang w:val="en-US"/>
        </w:rPr>
        <w:t xml:space="preserve"> arms transfers </w:t>
      </w:r>
      <w:r w:rsidR="58CE1E54" w:rsidRPr="375973F0">
        <w:rPr>
          <w:rFonts w:asciiTheme="minorHAnsi" w:eastAsiaTheme="minorEastAsia" w:hAnsiTheme="minorHAnsi" w:cstheme="minorBidi"/>
          <w:lang w:val="en-US"/>
        </w:rPr>
        <w:t xml:space="preserve">to </w:t>
      </w:r>
      <w:r w:rsidRPr="375973F0">
        <w:rPr>
          <w:rFonts w:asciiTheme="minorHAnsi" w:eastAsiaTheme="minorEastAsia" w:hAnsiTheme="minorHAnsi" w:cstheme="minorBidi"/>
          <w:lang w:val="en-US"/>
        </w:rPr>
        <w:t>countries where the</w:t>
      </w:r>
      <w:r w:rsidR="2BADB730" w:rsidRPr="375973F0">
        <w:rPr>
          <w:rFonts w:asciiTheme="minorHAnsi" w:eastAsiaTheme="minorEastAsia" w:hAnsiTheme="minorHAnsi" w:cstheme="minorBidi"/>
          <w:lang w:val="en-US"/>
        </w:rPr>
        <w:t>re is a high</w:t>
      </w:r>
      <w:r w:rsidRPr="375973F0">
        <w:rPr>
          <w:rFonts w:asciiTheme="minorHAnsi" w:eastAsiaTheme="minorEastAsia" w:hAnsiTheme="minorHAnsi" w:cstheme="minorBidi"/>
          <w:lang w:val="en-US"/>
        </w:rPr>
        <w:t xml:space="preserve"> ri</w:t>
      </w:r>
      <w:r w:rsidR="0620475D" w:rsidRPr="375973F0">
        <w:rPr>
          <w:rFonts w:asciiTheme="minorHAnsi" w:eastAsiaTheme="minorEastAsia" w:hAnsiTheme="minorHAnsi" w:cstheme="minorBidi"/>
          <w:lang w:val="en-US"/>
        </w:rPr>
        <w:t>sk</w:t>
      </w:r>
      <w:r w:rsidRPr="375973F0">
        <w:rPr>
          <w:rFonts w:asciiTheme="minorHAnsi" w:eastAsiaTheme="minorEastAsia" w:hAnsiTheme="minorHAnsi" w:cstheme="minorBidi"/>
          <w:lang w:val="en-US"/>
        </w:rPr>
        <w:t xml:space="preserve"> weapons </w:t>
      </w:r>
      <w:r w:rsidR="0620475D" w:rsidRPr="375973F0">
        <w:rPr>
          <w:rFonts w:asciiTheme="minorHAnsi" w:eastAsiaTheme="minorEastAsia" w:hAnsiTheme="minorHAnsi" w:cstheme="minorBidi"/>
          <w:lang w:val="en-US"/>
        </w:rPr>
        <w:t xml:space="preserve">will be used to </w:t>
      </w:r>
      <w:r w:rsidR="61056372" w:rsidRPr="375973F0">
        <w:rPr>
          <w:rFonts w:asciiTheme="minorHAnsi" w:eastAsiaTheme="minorEastAsia" w:hAnsiTheme="minorHAnsi" w:cstheme="minorBidi"/>
          <w:lang w:val="en-US"/>
        </w:rPr>
        <w:t xml:space="preserve">commit or </w:t>
      </w:r>
      <w:r w:rsidR="0620475D" w:rsidRPr="375973F0">
        <w:rPr>
          <w:rFonts w:asciiTheme="minorHAnsi" w:eastAsiaTheme="minorEastAsia" w:hAnsiTheme="minorHAnsi" w:cstheme="minorBidi"/>
          <w:lang w:val="en-US"/>
        </w:rPr>
        <w:t>facilitate</w:t>
      </w:r>
      <w:r w:rsidRPr="375973F0">
        <w:rPr>
          <w:rFonts w:asciiTheme="minorHAnsi" w:eastAsiaTheme="minorEastAsia" w:hAnsiTheme="minorHAnsi" w:cstheme="minorBidi"/>
          <w:lang w:val="en-US"/>
        </w:rPr>
        <w:t xml:space="preserve"> human rights or IHL</w:t>
      </w:r>
      <w:r w:rsidR="0053849C" w:rsidRPr="375973F0">
        <w:rPr>
          <w:rFonts w:asciiTheme="minorHAnsi" w:eastAsiaTheme="minorEastAsia" w:hAnsiTheme="minorHAnsi" w:cstheme="minorBidi"/>
          <w:lang w:val="en-US"/>
        </w:rPr>
        <w:t xml:space="preserve"> violations</w:t>
      </w:r>
      <w:r w:rsidRPr="375973F0">
        <w:rPr>
          <w:rFonts w:asciiTheme="minorHAnsi" w:eastAsiaTheme="minorEastAsia" w:hAnsiTheme="minorHAnsi" w:cstheme="minorBidi"/>
          <w:lang w:val="en-US"/>
        </w:rPr>
        <w:t>.</w:t>
      </w:r>
      <w:r w:rsidRPr="375973F0">
        <w:rPr>
          <w:rStyle w:val="Voetnootmarkering"/>
          <w:rFonts w:asciiTheme="minorHAnsi" w:eastAsiaTheme="minorEastAsia" w:hAnsiTheme="minorHAnsi" w:cstheme="minorBidi"/>
          <w:lang w:val="en-US"/>
        </w:rPr>
        <w:footnoteReference w:id="8"/>
      </w:r>
      <w:r w:rsidRPr="375973F0">
        <w:rPr>
          <w:rFonts w:asciiTheme="minorHAnsi" w:eastAsiaTheme="minorEastAsia" w:hAnsiTheme="minorHAnsi" w:cstheme="minorBidi"/>
          <w:lang w:val="en-US"/>
        </w:rPr>
        <w:t xml:space="preserve"> In response, investors often indicate it is difficult to source data on this risk. ESG data providers offer data on controversial weapons producers, but not on high-risk arms transfers. Many investors indicate this hampers their ability to screen for human rights issues arising from arms transfers. While NGOs report sufficiently on the issue, ESG providers should also organize data and provide regular updates.</w:t>
      </w:r>
    </w:p>
    <w:p w14:paraId="0A2AB991" w14:textId="77777777" w:rsidR="007C1AE1" w:rsidRPr="00F85AFE" w:rsidRDefault="007C1AE1" w:rsidP="007C1AE1">
      <w:pPr>
        <w:spacing w:line="259" w:lineRule="auto"/>
        <w:rPr>
          <w:rFonts w:asciiTheme="minorHAnsi" w:eastAsiaTheme="minorEastAsia" w:hAnsiTheme="minorHAnsi" w:cstheme="minorHAnsi"/>
          <w:szCs w:val="20"/>
          <w:lang w:val="en-US"/>
        </w:rPr>
      </w:pPr>
    </w:p>
    <w:p w14:paraId="241DB357" w14:textId="77777777" w:rsidR="007C1AE1" w:rsidRPr="00F85AFE" w:rsidRDefault="007C1AE1" w:rsidP="007C1AE1">
      <w:pPr>
        <w:rPr>
          <w:rFonts w:asciiTheme="minorHAnsi" w:eastAsiaTheme="minorEastAsia" w:hAnsiTheme="minorHAnsi" w:cstheme="minorHAnsi"/>
          <w:i/>
          <w:szCs w:val="20"/>
          <w:lang w:val="en-US"/>
        </w:rPr>
      </w:pPr>
      <w:r w:rsidRPr="00F85AFE">
        <w:rPr>
          <w:rFonts w:asciiTheme="minorHAnsi" w:eastAsiaTheme="minorEastAsia" w:hAnsiTheme="minorHAnsi" w:cstheme="minorHAnsi"/>
          <w:i/>
          <w:szCs w:val="20"/>
          <w:lang w:val="en-US"/>
        </w:rPr>
        <w:lastRenderedPageBreak/>
        <w:t>On</w:t>
      </w:r>
      <w:r w:rsidRPr="00F85AFE">
        <w:rPr>
          <w:rFonts w:asciiTheme="minorHAnsi" w:eastAsiaTheme="minorEastAsia" w:hAnsiTheme="minorHAnsi" w:cstheme="minorHAnsi"/>
          <w:i/>
          <w:iCs/>
          <w:szCs w:val="20"/>
          <w:lang w:val="en-US"/>
        </w:rPr>
        <w:t xml:space="preserve"> the need for index providers to exclude controversial weapons from mainstream</w:t>
      </w:r>
      <w:r w:rsidRPr="00F85AFE">
        <w:rPr>
          <w:rFonts w:asciiTheme="minorHAnsi" w:eastAsiaTheme="minorEastAsia" w:hAnsiTheme="minorHAnsi" w:cstheme="minorHAnsi"/>
          <w:i/>
          <w:szCs w:val="20"/>
          <w:lang w:val="en-US"/>
        </w:rPr>
        <w:t xml:space="preserve"> indices</w:t>
      </w:r>
    </w:p>
    <w:p w14:paraId="47C08F29" w14:textId="4BB7A75D" w:rsidR="007C1AE1" w:rsidRPr="00F85AFE" w:rsidRDefault="007C1AE1" w:rsidP="5CD7329E">
      <w:pPr>
        <w:spacing w:line="259" w:lineRule="auto"/>
        <w:rPr>
          <w:rFonts w:asciiTheme="minorHAnsi" w:eastAsiaTheme="minorEastAsia" w:hAnsiTheme="minorHAnsi" w:cstheme="minorBidi"/>
          <w:lang w:val="en-US"/>
        </w:rPr>
      </w:pPr>
      <w:r w:rsidRPr="375973F0">
        <w:rPr>
          <w:rFonts w:asciiTheme="minorHAnsi" w:eastAsiaTheme="minorEastAsia" w:hAnsiTheme="minorHAnsi" w:cstheme="minorBidi"/>
          <w:lang w:val="en-US"/>
        </w:rPr>
        <w:t xml:space="preserve">Many investors state they run into challenges in ensuring that index-based funds (in particular third-party index funds) are fully aligned with their responsible investment strategies. As a result, index-based products frequently fall outside of the scope of </w:t>
      </w:r>
      <w:r w:rsidR="2EE31B31" w:rsidRPr="375973F0">
        <w:rPr>
          <w:rFonts w:asciiTheme="minorHAnsi" w:eastAsiaTheme="minorEastAsia" w:hAnsiTheme="minorHAnsi" w:cstheme="minorBidi"/>
          <w:lang w:val="en-US"/>
        </w:rPr>
        <w:t>their</w:t>
      </w:r>
      <w:r w:rsidRPr="375973F0">
        <w:rPr>
          <w:rFonts w:asciiTheme="minorHAnsi" w:eastAsiaTheme="minorEastAsia" w:hAnsiTheme="minorHAnsi" w:cstheme="minorBidi"/>
          <w:lang w:val="en-US"/>
        </w:rPr>
        <w:t xml:space="preserve"> exclusion policies.</w:t>
      </w:r>
      <w:r w:rsidRPr="375973F0">
        <w:rPr>
          <w:rStyle w:val="Voetnootmarkering"/>
          <w:rFonts w:asciiTheme="minorHAnsi" w:eastAsiaTheme="minorEastAsia" w:hAnsiTheme="minorHAnsi" w:cstheme="minorBidi"/>
          <w:lang w:val="en-US"/>
        </w:rPr>
        <w:footnoteReference w:id="9"/>
      </w:r>
      <w:r w:rsidRPr="375973F0">
        <w:rPr>
          <w:rFonts w:asciiTheme="minorHAnsi" w:eastAsiaTheme="minorEastAsia" w:hAnsiTheme="minorHAnsi" w:cstheme="minorBidi"/>
          <w:lang w:val="en-US"/>
        </w:rPr>
        <w:t xml:space="preserve"> While controversial weapons are banned under international conventions</w:t>
      </w:r>
      <w:r w:rsidRPr="375973F0">
        <w:rPr>
          <w:rStyle w:val="Voetnootmarkering"/>
          <w:rFonts w:asciiTheme="minorHAnsi" w:eastAsiaTheme="minorEastAsia" w:hAnsiTheme="minorHAnsi" w:cstheme="minorBidi"/>
          <w:lang w:val="en-US"/>
        </w:rPr>
        <w:footnoteReference w:id="10"/>
      </w:r>
      <w:r w:rsidRPr="375973F0">
        <w:rPr>
          <w:rFonts w:asciiTheme="minorHAnsi" w:eastAsiaTheme="minorEastAsia" w:hAnsiTheme="minorHAnsi" w:cstheme="minorBidi"/>
          <w:lang w:val="en-US"/>
        </w:rPr>
        <w:t>, mainstream indices continue to include companies linked to their production. As financial institutions are increasingly looking to exclude such companies from their investments, there is a need for initiatives to make controversial weapon free indices more easily available. The existence of alternative ESG indices is not sufficient to meet this growing demand. This was illustrated by an open letter in 2019, in which more than 140 financial institutions called on major index providers to exclude controversial weapons from their mainstream index products.</w:t>
      </w:r>
      <w:r w:rsidRPr="375973F0">
        <w:rPr>
          <w:rStyle w:val="Voetnootmarkering"/>
          <w:rFonts w:asciiTheme="minorHAnsi" w:eastAsiaTheme="minorEastAsia" w:hAnsiTheme="minorHAnsi" w:cstheme="minorBidi"/>
          <w:lang w:val="en-US"/>
        </w:rPr>
        <w:footnoteReference w:id="11"/>
      </w:r>
      <w:r w:rsidRPr="375973F0">
        <w:rPr>
          <w:rStyle w:val="Voetnootmarkering"/>
          <w:rFonts w:asciiTheme="minorHAnsi" w:eastAsiaTheme="minorEastAsia" w:hAnsiTheme="minorHAnsi" w:cstheme="minorBidi"/>
          <w:lang w:val="en-US"/>
        </w:rPr>
        <w:t xml:space="preserve"> </w:t>
      </w:r>
      <w:r w:rsidRPr="375973F0">
        <w:rPr>
          <w:rFonts w:asciiTheme="minorHAnsi" w:eastAsiaTheme="minorEastAsia" w:hAnsiTheme="minorHAnsi" w:cstheme="minorBidi"/>
          <w:lang w:val="en-US"/>
        </w:rPr>
        <w:t>Index providers, however, responded by referring to dedicated ESG products as an option for investors who seek to avoid controversial weapons producers.</w:t>
      </w:r>
      <w:r w:rsidRPr="375973F0">
        <w:rPr>
          <w:rStyle w:val="Voetnootmarkering"/>
          <w:rFonts w:asciiTheme="minorHAnsi" w:eastAsiaTheme="minorEastAsia" w:hAnsiTheme="minorHAnsi" w:cstheme="minorBidi"/>
          <w:lang w:val="en-US"/>
        </w:rPr>
        <w:footnoteReference w:id="12"/>
      </w:r>
      <w:r w:rsidRPr="375973F0">
        <w:rPr>
          <w:rFonts w:asciiTheme="minorHAnsi" w:eastAsiaTheme="minorEastAsia" w:hAnsiTheme="minorHAnsi" w:cstheme="minorBidi"/>
          <w:lang w:val="en-US"/>
        </w:rPr>
        <w:t xml:space="preserve"> The response thereby ignored the </w:t>
      </w:r>
      <w:r w:rsidR="6E42105E" w:rsidRPr="375973F0">
        <w:rPr>
          <w:rFonts w:asciiTheme="minorHAnsi" w:eastAsiaTheme="minorEastAsia" w:hAnsiTheme="minorHAnsi" w:cstheme="minorBidi"/>
          <w:lang w:val="en-US"/>
        </w:rPr>
        <w:t>request</w:t>
      </w:r>
      <w:r w:rsidR="5A6A3E54" w:rsidRPr="375973F0">
        <w:rPr>
          <w:rFonts w:asciiTheme="minorHAnsi" w:eastAsiaTheme="minorEastAsia" w:hAnsiTheme="minorHAnsi" w:cstheme="minorBidi"/>
          <w:lang w:val="en-US"/>
        </w:rPr>
        <w:t xml:space="preserve"> </w:t>
      </w:r>
      <w:r w:rsidR="5A6A3E54" w:rsidRPr="375973F0">
        <w:rPr>
          <w:rFonts w:ascii="Calibri" w:eastAsia="Calibri" w:hAnsi="Calibri" w:cs="Calibri"/>
          <w:lang w:val="en-US"/>
        </w:rPr>
        <w:t>of the co-signatories to exclude controversial weapons as a default position, rather than merely offering separate controversial weapons free indices.</w:t>
      </w:r>
      <w:r w:rsidRPr="375973F0">
        <w:rPr>
          <w:rFonts w:asciiTheme="minorHAnsi" w:eastAsiaTheme="minorEastAsia" w:hAnsiTheme="minorHAnsi" w:cstheme="minorBidi"/>
          <w:lang w:val="en-US"/>
        </w:rPr>
        <w:t xml:space="preserve"> </w:t>
      </w:r>
      <w:r w:rsidR="029DAFDA" w:rsidRPr="375973F0">
        <w:rPr>
          <w:rFonts w:asciiTheme="minorHAnsi" w:eastAsiaTheme="minorEastAsia" w:hAnsiTheme="minorHAnsi" w:cstheme="minorBidi"/>
          <w:lang w:val="en-US"/>
        </w:rPr>
        <w:t>Nevertheless</w:t>
      </w:r>
      <w:r w:rsidR="534E4407" w:rsidRPr="375973F0">
        <w:rPr>
          <w:rFonts w:asciiTheme="minorHAnsi" w:eastAsiaTheme="minorEastAsia" w:hAnsiTheme="minorHAnsi" w:cstheme="minorBidi"/>
          <w:lang w:val="en-US"/>
        </w:rPr>
        <w:t>, d</w:t>
      </w:r>
      <w:r w:rsidRPr="375973F0">
        <w:rPr>
          <w:rFonts w:asciiTheme="minorHAnsi" w:eastAsiaTheme="minorEastAsia" w:hAnsiTheme="minorHAnsi" w:cstheme="minorBidi"/>
          <w:lang w:val="en-US"/>
        </w:rPr>
        <w:t xml:space="preserve">ifficulties in ensuring a full application of their exclusion policies to index-based products cannot be used </w:t>
      </w:r>
      <w:r w:rsidR="1B592399" w:rsidRPr="375973F0">
        <w:rPr>
          <w:rFonts w:asciiTheme="minorHAnsi" w:eastAsiaTheme="minorEastAsia" w:hAnsiTheme="minorHAnsi" w:cstheme="minorBidi"/>
          <w:lang w:val="en-US"/>
        </w:rPr>
        <w:t>by investors</w:t>
      </w:r>
      <w:r w:rsidRPr="375973F0">
        <w:rPr>
          <w:rFonts w:asciiTheme="minorHAnsi" w:eastAsiaTheme="minorEastAsia" w:hAnsiTheme="minorHAnsi" w:cstheme="minorBidi"/>
          <w:lang w:val="en-US"/>
        </w:rPr>
        <w:t xml:space="preserve"> as a justification for continued investment in companies linked to controversial weapons.  </w:t>
      </w:r>
    </w:p>
    <w:p w14:paraId="4140EA3E" w14:textId="77777777" w:rsidR="007C1AE1" w:rsidRPr="00F85AFE" w:rsidRDefault="007C1AE1" w:rsidP="007C1AE1">
      <w:pPr>
        <w:spacing w:line="259" w:lineRule="auto"/>
        <w:rPr>
          <w:rFonts w:asciiTheme="minorHAnsi" w:hAnsiTheme="minorHAnsi" w:cstheme="minorHAnsi"/>
          <w:szCs w:val="20"/>
          <w:lang w:val="en-US"/>
        </w:rPr>
      </w:pPr>
    </w:p>
    <w:p w14:paraId="726717E6" w14:textId="77777777" w:rsidR="007C1AE1" w:rsidRPr="00F85AFE" w:rsidRDefault="007C1AE1" w:rsidP="007C1AE1">
      <w:pPr>
        <w:rPr>
          <w:rFonts w:asciiTheme="minorHAnsi" w:hAnsiTheme="minorHAnsi" w:cstheme="minorHAnsi"/>
          <w:b/>
          <w:bCs/>
          <w:szCs w:val="20"/>
          <w:u w:val="single"/>
          <w:lang w:val="en-US"/>
        </w:rPr>
      </w:pPr>
      <w:r w:rsidRPr="00F85AFE">
        <w:rPr>
          <w:rFonts w:asciiTheme="minorHAnsi" w:hAnsiTheme="minorHAnsi" w:cstheme="minorHAnsi"/>
          <w:b/>
          <w:bCs/>
          <w:szCs w:val="20"/>
          <w:u w:val="single"/>
          <w:lang w:val="en-US"/>
        </w:rPr>
        <w:t>State duty to protect human rights</w:t>
      </w:r>
    </w:p>
    <w:p w14:paraId="780CC86A" w14:textId="77777777" w:rsidR="007C1AE1" w:rsidRPr="00F85AFE" w:rsidRDefault="007C1AE1" w:rsidP="007C1AE1">
      <w:pPr>
        <w:rPr>
          <w:rFonts w:asciiTheme="minorHAnsi" w:hAnsiTheme="minorHAnsi" w:cstheme="minorHAnsi"/>
          <w:szCs w:val="20"/>
          <w:lang w:val="en-US"/>
        </w:rPr>
      </w:pPr>
    </w:p>
    <w:p w14:paraId="1D718013" w14:textId="77777777" w:rsidR="007C1AE1" w:rsidRPr="00F85AFE" w:rsidRDefault="007C1AE1" w:rsidP="007C1AE1">
      <w:pPr>
        <w:rPr>
          <w:rFonts w:asciiTheme="minorHAnsi" w:eastAsiaTheme="majorEastAsia" w:hAnsiTheme="minorHAnsi" w:cstheme="minorHAnsi"/>
          <w:b/>
          <w:szCs w:val="20"/>
          <w:shd w:val="clear" w:color="auto" w:fill="FFFFFF"/>
          <w:lang w:val="en-US"/>
        </w:rPr>
      </w:pPr>
      <w:r w:rsidRPr="00F85AFE">
        <w:rPr>
          <w:rStyle w:val="normaltextrun"/>
          <w:rFonts w:asciiTheme="minorHAnsi" w:eastAsiaTheme="majorEastAsia" w:hAnsiTheme="minorHAnsi" w:cstheme="minorHAnsi"/>
          <w:b/>
          <w:szCs w:val="20"/>
          <w:shd w:val="clear" w:color="auto" w:fill="FFFFFF"/>
          <w:lang w:val="en-US"/>
        </w:rPr>
        <w:t>(1) What State, regional, and international mechanisms and regulations exist to promote or restrict investment/financing using an ESG approach that takes human rights into account and how do they align with the UNGPs? How do these mechanisms and regulations promote or inhibit business respect for human rights consistent with the UNGPs?</w:t>
      </w:r>
      <w:r w:rsidRPr="00F85AFE">
        <w:rPr>
          <w:rStyle w:val="eop"/>
          <w:rFonts w:asciiTheme="minorHAnsi" w:eastAsiaTheme="majorEastAsia" w:hAnsiTheme="minorHAnsi" w:cstheme="minorHAnsi"/>
          <w:b/>
          <w:szCs w:val="20"/>
          <w:shd w:val="clear" w:color="auto" w:fill="FFFFFF"/>
          <w:lang w:val="en-US"/>
        </w:rPr>
        <w:t> </w:t>
      </w:r>
    </w:p>
    <w:p w14:paraId="264B0C3B" w14:textId="77777777" w:rsidR="007C1AE1" w:rsidRPr="00F85AFE" w:rsidRDefault="007C1AE1" w:rsidP="007C1AE1">
      <w:pPr>
        <w:rPr>
          <w:rStyle w:val="eop"/>
          <w:rFonts w:asciiTheme="minorHAnsi" w:eastAsiaTheme="majorEastAsia" w:hAnsiTheme="minorHAnsi" w:cstheme="minorHAnsi"/>
          <w:szCs w:val="20"/>
          <w:lang w:val="en-US"/>
        </w:rPr>
      </w:pPr>
    </w:p>
    <w:p w14:paraId="2820F72C" w14:textId="3DCE1602" w:rsidR="007C1AE1" w:rsidRPr="00F85AFE" w:rsidRDefault="007C1AE1" w:rsidP="007C1AE1">
      <w:pPr>
        <w:rPr>
          <w:rStyle w:val="eop"/>
          <w:rFonts w:asciiTheme="minorHAnsi" w:eastAsiaTheme="majorEastAsia" w:hAnsiTheme="minorHAnsi" w:cstheme="minorBidi"/>
          <w:lang w:val="en-US"/>
        </w:rPr>
      </w:pPr>
      <w:r w:rsidRPr="375973F0">
        <w:rPr>
          <w:rStyle w:val="eop"/>
          <w:rFonts w:asciiTheme="minorHAnsi" w:eastAsiaTheme="majorEastAsia" w:hAnsiTheme="minorHAnsi" w:cstheme="minorBidi"/>
          <w:lang w:val="en-US"/>
        </w:rPr>
        <w:t>One of the key issues frequently highlighted in PAX's thematic interventions is the growing norm among states that the financing of companies involved in controversial weapons is</w:t>
      </w:r>
      <w:r w:rsidR="3B8B5F7A" w:rsidRPr="375973F0">
        <w:rPr>
          <w:rStyle w:val="eop"/>
          <w:rFonts w:asciiTheme="minorHAnsi" w:eastAsiaTheme="majorEastAsia" w:hAnsiTheme="minorHAnsi" w:cstheme="minorBidi"/>
          <w:lang w:val="en-US"/>
        </w:rPr>
        <w:t xml:space="preserve"> </w:t>
      </w:r>
      <w:r w:rsidRPr="375973F0">
        <w:rPr>
          <w:rStyle w:val="eop"/>
          <w:rFonts w:asciiTheme="minorHAnsi" w:eastAsiaTheme="majorEastAsia" w:hAnsiTheme="minorHAnsi" w:cstheme="minorBidi"/>
          <w:lang w:val="en-US"/>
        </w:rPr>
        <w:t>prohibited under international disarmament treaties</w:t>
      </w:r>
      <w:r w:rsidR="560D6493" w:rsidRPr="375973F0">
        <w:rPr>
          <w:rStyle w:val="eop"/>
          <w:rFonts w:asciiTheme="minorHAnsi" w:eastAsiaTheme="majorEastAsia" w:hAnsiTheme="minorHAnsi" w:cstheme="minorBidi"/>
          <w:lang w:val="en-US"/>
        </w:rPr>
        <w:t>, and that states should adopt national legislation</w:t>
      </w:r>
      <w:r w:rsidRPr="375973F0">
        <w:rPr>
          <w:rStyle w:val="Voetnootmarkering"/>
          <w:rFonts w:asciiTheme="minorHAnsi" w:eastAsiaTheme="majorEastAsia" w:hAnsiTheme="minorHAnsi" w:cstheme="minorBidi"/>
          <w:lang w:val="en-US"/>
        </w:rPr>
        <w:footnoteReference w:id="13"/>
      </w:r>
      <w:r w:rsidR="560D6493" w:rsidRPr="375973F0">
        <w:rPr>
          <w:rStyle w:val="eop"/>
          <w:rFonts w:asciiTheme="minorHAnsi" w:eastAsiaTheme="majorEastAsia" w:hAnsiTheme="minorHAnsi" w:cstheme="minorBidi"/>
          <w:lang w:val="en-US"/>
        </w:rPr>
        <w:t xml:space="preserve"> to that end.</w:t>
      </w:r>
      <w:r w:rsidRPr="375973F0">
        <w:rPr>
          <w:rStyle w:val="eop"/>
          <w:rFonts w:asciiTheme="minorHAnsi" w:eastAsiaTheme="majorEastAsia" w:hAnsiTheme="minorHAnsi" w:cstheme="minorBidi"/>
          <w:lang w:val="en-US"/>
        </w:rPr>
        <w:t xml:space="preserve"> While there are currently no known explicit prohibitions of financing under international laws prohibiting controversial weapons, it is common to include a prohibition on assistance with prohibited acts. There is a growing understanding that financing falls within this scope.</w:t>
      </w:r>
      <w:r w:rsidRPr="375973F0">
        <w:rPr>
          <w:rStyle w:val="Voetnootmarkering"/>
          <w:rFonts w:asciiTheme="minorHAnsi" w:eastAsiaTheme="majorEastAsia" w:hAnsiTheme="minorHAnsi" w:cstheme="minorBidi"/>
          <w:lang w:val="en-US"/>
        </w:rPr>
        <w:footnoteReference w:id="14"/>
      </w:r>
      <w:r w:rsidRPr="375973F0">
        <w:rPr>
          <w:rStyle w:val="eop"/>
          <w:rFonts w:asciiTheme="minorHAnsi" w:eastAsiaTheme="majorEastAsia" w:hAnsiTheme="minorHAnsi" w:cstheme="minorBidi"/>
          <w:lang w:val="en-US"/>
        </w:rPr>
        <w:t xml:space="preserve"> This belief is not merely shared among states: a growing number of financial </w:t>
      </w:r>
      <w:r w:rsidRPr="375973F0">
        <w:rPr>
          <w:rStyle w:val="eop"/>
          <w:rFonts w:asciiTheme="minorHAnsi" w:eastAsiaTheme="majorEastAsia" w:hAnsiTheme="minorHAnsi" w:cstheme="minorBidi"/>
          <w:lang w:val="en-US"/>
        </w:rPr>
        <w:lastRenderedPageBreak/>
        <w:t xml:space="preserve">institutions cite disarmament treaties in their exclusion policies as part of the justification for excluding controversial weapons producers.  At the time of writing, 108 investors or investor alliances have signed a statement in which they explicitly support the understanding that financing nuclear weapons producers amounts to prohibited conduct under the </w:t>
      </w:r>
      <w:r w:rsidR="2F23A45E" w:rsidRPr="375973F0">
        <w:rPr>
          <w:rStyle w:val="eop"/>
          <w:rFonts w:asciiTheme="minorHAnsi" w:eastAsiaTheme="majorEastAsia" w:hAnsiTheme="minorHAnsi" w:cstheme="minorBidi"/>
          <w:lang w:val="en-US"/>
        </w:rPr>
        <w:t>T</w:t>
      </w:r>
      <w:r w:rsidR="390E4EA3" w:rsidRPr="375973F0">
        <w:rPr>
          <w:rStyle w:val="eop"/>
          <w:rFonts w:asciiTheme="minorHAnsi" w:eastAsiaTheme="majorEastAsia" w:hAnsiTheme="minorHAnsi" w:cstheme="minorBidi"/>
          <w:lang w:val="en-US"/>
        </w:rPr>
        <w:t>reaty on the Prohibition of Nuclear Weapons (T</w:t>
      </w:r>
      <w:r w:rsidR="2F23A45E" w:rsidRPr="375973F0">
        <w:rPr>
          <w:rStyle w:val="eop"/>
          <w:rFonts w:asciiTheme="minorHAnsi" w:eastAsiaTheme="majorEastAsia" w:hAnsiTheme="minorHAnsi" w:cstheme="minorBidi"/>
          <w:lang w:val="en-US"/>
        </w:rPr>
        <w:t>PNW</w:t>
      </w:r>
      <w:r w:rsidR="53083732" w:rsidRPr="375973F0">
        <w:rPr>
          <w:rStyle w:val="eop"/>
          <w:rFonts w:asciiTheme="minorHAnsi" w:eastAsiaTheme="majorEastAsia" w:hAnsiTheme="minorHAnsi" w:cstheme="minorBidi"/>
          <w:lang w:val="en-US"/>
        </w:rPr>
        <w:t>)</w:t>
      </w:r>
      <w:r w:rsidR="2F23A45E" w:rsidRPr="375973F0">
        <w:rPr>
          <w:rStyle w:val="eop"/>
          <w:rFonts w:asciiTheme="minorHAnsi" w:eastAsiaTheme="majorEastAsia" w:hAnsiTheme="minorHAnsi" w:cstheme="minorBidi"/>
          <w:lang w:val="en-US"/>
        </w:rPr>
        <w:t>.</w:t>
      </w:r>
      <w:r w:rsidRPr="375973F0">
        <w:rPr>
          <w:rStyle w:val="Voetnootmarkering"/>
          <w:rFonts w:asciiTheme="minorHAnsi" w:eastAsiaTheme="majorEastAsia" w:hAnsiTheme="minorHAnsi" w:cstheme="minorBidi"/>
          <w:lang w:val="en-US"/>
        </w:rPr>
        <w:footnoteReference w:id="15"/>
      </w:r>
    </w:p>
    <w:p w14:paraId="51D25F58" w14:textId="12CF57DA" w:rsidR="007C1AE1" w:rsidRDefault="007C1AE1" w:rsidP="007C1AE1">
      <w:pPr>
        <w:rPr>
          <w:rStyle w:val="eop"/>
          <w:rFonts w:asciiTheme="minorHAnsi" w:eastAsiaTheme="majorEastAsia" w:hAnsiTheme="minorHAnsi" w:cstheme="minorBidi"/>
          <w:lang w:val="en-US"/>
        </w:rPr>
      </w:pPr>
    </w:p>
    <w:p w14:paraId="70AAA116" w14:textId="3097B37A" w:rsidR="007C1AE1" w:rsidRPr="00F85AFE" w:rsidRDefault="007C1AE1" w:rsidP="007C1AE1">
      <w:pPr>
        <w:rPr>
          <w:rStyle w:val="eop"/>
          <w:rFonts w:asciiTheme="minorHAnsi" w:eastAsiaTheme="majorEastAsia" w:hAnsiTheme="minorHAnsi" w:cstheme="minorBidi"/>
          <w:lang w:val="en-US"/>
        </w:rPr>
      </w:pPr>
      <w:r w:rsidRPr="375973F0">
        <w:rPr>
          <w:rStyle w:val="eop"/>
          <w:rFonts w:asciiTheme="minorHAnsi" w:eastAsiaTheme="majorEastAsia" w:hAnsiTheme="minorHAnsi" w:cstheme="minorBidi"/>
          <w:lang w:val="en-US"/>
        </w:rPr>
        <w:t>It is also useful in this context to point to the advice by the Platform on Sustainable Finance, an EU advisory, platform established under the Taxonomy regulation of the EU</w:t>
      </w:r>
      <w:r w:rsidR="298E2CF1" w:rsidRPr="375973F0">
        <w:rPr>
          <w:rStyle w:val="eop"/>
          <w:rFonts w:asciiTheme="minorHAnsi" w:eastAsiaTheme="majorEastAsia" w:hAnsiTheme="minorHAnsi" w:cstheme="minorBidi"/>
          <w:lang w:val="en-US"/>
        </w:rPr>
        <w:t xml:space="preserve"> </w:t>
      </w:r>
      <w:r w:rsidRPr="375973F0">
        <w:rPr>
          <w:rStyle w:val="eop"/>
          <w:rFonts w:asciiTheme="minorHAnsi" w:eastAsiaTheme="majorEastAsia" w:hAnsiTheme="minorHAnsi" w:cstheme="minorBidi"/>
          <w:lang w:val="en-US"/>
        </w:rPr>
        <w:t>which</w:t>
      </w:r>
      <w:r w:rsidR="12F1D32D" w:rsidRPr="375973F0">
        <w:rPr>
          <w:rStyle w:val="eop"/>
          <w:rFonts w:asciiTheme="minorHAnsi" w:eastAsiaTheme="majorEastAsia" w:hAnsiTheme="minorHAnsi" w:cstheme="minorBidi"/>
          <w:lang w:val="en-US"/>
        </w:rPr>
        <w:t>,</w:t>
      </w:r>
      <w:r w:rsidRPr="375973F0">
        <w:rPr>
          <w:rStyle w:val="eop"/>
          <w:rFonts w:asciiTheme="minorHAnsi" w:eastAsiaTheme="majorEastAsia" w:hAnsiTheme="minorHAnsi" w:cstheme="minorBidi"/>
          <w:lang w:val="en-US"/>
        </w:rPr>
        <w:t xml:space="preserve"> </w:t>
      </w:r>
      <w:r w:rsidR="0EBA6DEA" w:rsidRPr="375973F0">
        <w:rPr>
          <w:rStyle w:val="eop"/>
          <w:rFonts w:asciiTheme="minorHAnsi" w:eastAsiaTheme="majorEastAsia" w:hAnsiTheme="minorHAnsi" w:cstheme="minorBidi"/>
          <w:lang w:val="en-US"/>
        </w:rPr>
        <w:t>in its 2022 proposed</w:t>
      </w:r>
      <w:r w:rsidRPr="375973F0">
        <w:rPr>
          <w:rStyle w:val="eop"/>
          <w:rFonts w:asciiTheme="minorHAnsi" w:eastAsiaTheme="majorEastAsia" w:hAnsiTheme="minorHAnsi" w:cstheme="minorBidi"/>
          <w:lang w:val="en-US"/>
        </w:rPr>
        <w:t xml:space="preserve"> structure for a ‘social taxonomy'</w:t>
      </w:r>
      <w:r w:rsidR="6D46F1FA" w:rsidRPr="375973F0">
        <w:rPr>
          <w:rStyle w:val="eop"/>
          <w:rFonts w:asciiTheme="minorHAnsi" w:eastAsiaTheme="majorEastAsia" w:hAnsiTheme="minorHAnsi" w:cstheme="minorBidi"/>
          <w:lang w:val="en-US"/>
        </w:rPr>
        <w:t>,</w:t>
      </w:r>
      <w:r w:rsidRPr="375973F0">
        <w:rPr>
          <w:rStyle w:val="eop"/>
          <w:rFonts w:asciiTheme="minorHAnsi" w:eastAsiaTheme="majorEastAsia" w:hAnsiTheme="minorHAnsi" w:cstheme="minorBidi"/>
          <w:lang w:val="en-US"/>
        </w:rPr>
        <w:t xml:space="preserve"> </w:t>
      </w:r>
      <w:r w:rsidR="74B31472" w:rsidRPr="375973F0">
        <w:rPr>
          <w:rStyle w:val="eop"/>
          <w:rFonts w:asciiTheme="minorHAnsi" w:eastAsiaTheme="majorEastAsia" w:hAnsiTheme="minorHAnsi" w:cstheme="minorBidi"/>
          <w:lang w:val="en-US"/>
        </w:rPr>
        <w:t>recommends</w:t>
      </w:r>
      <w:r w:rsidR="2F23A45E" w:rsidRPr="375973F0">
        <w:rPr>
          <w:rStyle w:val="eop"/>
          <w:rFonts w:asciiTheme="minorHAnsi" w:eastAsiaTheme="majorEastAsia" w:hAnsiTheme="minorHAnsi" w:cstheme="minorBidi"/>
          <w:lang w:val="en-US"/>
        </w:rPr>
        <w:t xml:space="preserve"> </w:t>
      </w:r>
      <w:r w:rsidRPr="375973F0">
        <w:rPr>
          <w:rStyle w:val="eop"/>
          <w:rFonts w:asciiTheme="minorHAnsi" w:eastAsiaTheme="majorEastAsia" w:hAnsiTheme="minorHAnsi" w:cstheme="minorBidi"/>
          <w:lang w:val="en-US"/>
        </w:rPr>
        <w:t>including disarmament treaties such as the CCM and the TPNW, meaning that the producers of weapons banned by these treaties should be excluded.</w:t>
      </w:r>
      <w:r w:rsidRPr="375973F0">
        <w:rPr>
          <w:rStyle w:val="Voetnootmarkering"/>
          <w:rFonts w:asciiTheme="minorHAnsi" w:eastAsiaTheme="majorEastAsia" w:hAnsiTheme="minorHAnsi" w:cstheme="minorBidi"/>
          <w:lang w:val="en-US"/>
        </w:rPr>
        <w:footnoteReference w:id="16"/>
      </w:r>
    </w:p>
    <w:p w14:paraId="5CF2C226" w14:textId="77777777" w:rsidR="007C1AE1" w:rsidRPr="00F85AFE" w:rsidRDefault="007C1AE1" w:rsidP="007C1AE1">
      <w:pPr>
        <w:rPr>
          <w:rFonts w:asciiTheme="minorHAnsi" w:hAnsiTheme="minorHAnsi" w:cstheme="minorHAnsi"/>
          <w:szCs w:val="20"/>
          <w:lang w:val="fr-FR"/>
        </w:rPr>
      </w:pPr>
    </w:p>
    <w:p w14:paraId="680F2111" w14:textId="77777777" w:rsidR="007C1AE1" w:rsidRPr="0051454D" w:rsidRDefault="007C1AE1" w:rsidP="007C1AE1">
      <w:pPr>
        <w:rPr>
          <w:rStyle w:val="eop"/>
          <w:rFonts w:asciiTheme="minorHAnsi" w:eastAsiaTheme="majorEastAsia" w:hAnsiTheme="minorHAnsi" w:cstheme="minorHAnsi"/>
          <w:b/>
          <w:szCs w:val="20"/>
          <w:shd w:val="clear" w:color="auto" w:fill="FFFFFF"/>
          <w:lang w:val="en-US"/>
        </w:rPr>
      </w:pPr>
      <w:r w:rsidRPr="0051454D">
        <w:rPr>
          <w:rStyle w:val="normaltextrun"/>
          <w:rFonts w:asciiTheme="minorHAnsi" w:eastAsiaTheme="majorEastAsia" w:hAnsiTheme="minorHAnsi" w:cstheme="minorHAnsi"/>
          <w:b/>
          <w:szCs w:val="20"/>
          <w:shd w:val="clear" w:color="auto" w:fill="FFFFFF"/>
          <w:lang w:val="en-US"/>
        </w:rPr>
        <w:t>(5) How can States better advance human rights-compatible regulation and policies concerning investors and financial institutions generally in a manner that fulfils their international legal obligation to protect human rights?</w:t>
      </w:r>
      <w:r w:rsidRPr="0051454D">
        <w:rPr>
          <w:rStyle w:val="eop"/>
          <w:rFonts w:asciiTheme="minorHAnsi" w:eastAsiaTheme="majorEastAsia" w:hAnsiTheme="minorHAnsi" w:cstheme="minorHAnsi"/>
          <w:b/>
          <w:szCs w:val="20"/>
          <w:shd w:val="clear" w:color="auto" w:fill="FFFFFF"/>
          <w:lang w:val="en-US"/>
        </w:rPr>
        <w:t> </w:t>
      </w:r>
    </w:p>
    <w:p w14:paraId="27746D48" w14:textId="77777777" w:rsidR="007C1AE1" w:rsidRPr="007C1AE1" w:rsidRDefault="007C1AE1" w:rsidP="007C1AE1">
      <w:pPr>
        <w:rPr>
          <w:rStyle w:val="eop"/>
          <w:rFonts w:asciiTheme="minorHAnsi" w:hAnsiTheme="minorHAnsi" w:cstheme="minorHAnsi"/>
          <w:i/>
          <w:iCs/>
          <w:szCs w:val="20"/>
          <w:lang w:val="en-US"/>
        </w:rPr>
      </w:pPr>
    </w:p>
    <w:p w14:paraId="18F13676" w14:textId="431A9D2C" w:rsidR="007C1AE1" w:rsidRPr="007E74AB" w:rsidRDefault="1BDF1A0B" w:rsidP="007C1AE1">
      <w:pPr>
        <w:spacing w:line="259" w:lineRule="auto"/>
        <w:rPr>
          <w:rStyle w:val="eop"/>
          <w:rFonts w:asciiTheme="minorHAnsi" w:eastAsiaTheme="majorEastAsia" w:hAnsiTheme="minorHAnsi" w:cstheme="minorBidi"/>
          <w:lang w:val="en-US"/>
        </w:rPr>
      </w:pPr>
      <w:r w:rsidRPr="5422B285">
        <w:rPr>
          <w:rStyle w:val="eop"/>
          <w:rFonts w:asciiTheme="minorHAnsi" w:eastAsiaTheme="majorEastAsia" w:hAnsiTheme="minorHAnsi" w:cstheme="minorBidi"/>
          <w:lang w:val="en-US"/>
        </w:rPr>
        <w:t xml:space="preserve">States should adopt </w:t>
      </w:r>
      <w:r w:rsidR="007C1AE1" w:rsidRPr="5422B285">
        <w:rPr>
          <w:rStyle w:val="eop"/>
          <w:rFonts w:asciiTheme="minorHAnsi" w:eastAsiaTheme="majorEastAsia" w:hAnsiTheme="minorHAnsi" w:cstheme="minorBidi"/>
          <w:lang w:val="en-US"/>
        </w:rPr>
        <w:t>mandatory</w:t>
      </w:r>
      <w:r w:rsidR="007C1AE1" w:rsidRPr="0A2DB8B5">
        <w:rPr>
          <w:rStyle w:val="eop"/>
          <w:rFonts w:asciiTheme="minorHAnsi" w:eastAsiaTheme="majorEastAsia" w:hAnsiTheme="minorHAnsi" w:cstheme="minorBidi"/>
          <w:lang w:val="en-US"/>
        </w:rPr>
        <w:t xml:space="preserve"> human rights and environmental due diligence legislation that is in line with the UNGPs and the OECD Guidelines and includes effective measures to hold companies to account and provide better access to justice and remedy for victims. It is essential that this legislation fully covers the financial sector; not only in terms of the institutions and financial products and services covered but also in terms of the due diligence expected from the financial sector. This should be fully in line with what the UNGPs and OECD Guidelines expect from these institutions. </w:t>
      </w:r>
    </w:p>
    <w:p w14:paraId="15D2C8E0" w14:textId="33BA88C9" w:rsidR="007C1AE1" w:rsidRPr="00F85AFE" w:rsidRDefault="007C1AE1" w:rsidP="007C1AE1">
      <w:pPr>
        <w:spacing w:line="259" w:lineRule="auto"/>
        <w:rPr>
          <w:rStyle w:val="eop"/>
          <w:rFonts w:asciiTheme="minorHAnsi" w:eastAsiaTheme="majorEastAsia" w:hAnsiTheme="minorHAnsi" w:cstheme="minorBidi"/>
          <w:lang w:val="en-US"/>
        </w:rPr>
      </w:pPr>
    </w:p>
    <w:p w14:paraId="5270F325" w14:textId="7542C8BE" w:rsidR="007C1AE1" w:rsidRPr="0051454D" w:rsidRDefault="375973F0" w:rsidP="375973F0">
      <w:pPr>
        <w:spacing w:line="259" w:lineRule="auto"/>
        <w:rPr>
          <w:rStyle w:val="eop"/>
          <w:rFonts w:asciiTheme="minorHAnsi" w:eastAsiaTheme="majorEastAsia" w:hAnsiTheme="minorHAnsi" w:cstheme="minorBidi"/>
          <w:lang w:val="en-US"/>
        </w:rPr>
      </w:pPr>
      <w:r w:rsidRPr="375973F0">
        <w:rPr>
          <w:rStyle w:val="eop"/>
          <w:rFonts w:asciiTheme="minorHAnsi" w:eastAsiaTheme="majorEastAsia" w:hAnsiTheme="minorHAnsi" w:cstheme="minorBidi"/>
          <w:lang w:val="en-US"/>
        </w:rPr>
        <w:t xml:space="preserve">The responsibility to conduct adequate HRDD also falls on states themselves, when selecting a bank or other financial service provider for services provided to the state. The selection of a state's principal bank should be based in part on whether the bank has a good track record in respecting human rights, including in its value chain. </w:t>
      </w:r>
    </w:p>
    <w:p w14:paraId="522CAE01" w14:textId="77777777" w:rsidR="007C1AE1" w:rsidRPr="0051454D" w:rsidRDefault="007C1AE1" w:rsidP="007C1AE1">
      <w:pPr>
        <w:rPr>
          <w:rStyle w:val="eop"/>
          <w:rFonts w:asciiTheme="minorHAnsi" w:eastAsiaTheme="majorEastAsia" w:hAnsiTheme="minorHAnsi" w:cstheme="minorHAnsi"/>
          <w:b/>
          <w:bCs/>
          <w:szCs w:val="20"/>
          <w:u w:val="single"/>
          <w:shd w:val="clear" w:color="auto" w:fill="FFFFFF"/>
          <w:lang w:val="en-US"/>
        </w:rPr>
      </w:pPr>
    </w:p>
    <w:p w14:paraId="171C34DB" w14:textId="77777777" w:rsidR="007C1AE1" w:rsidRPr="00F85AFE" w:rsidRDefault="007C1AE1" w:rsidP="007C1AE1">
      <w:pPr>
        <w:rPr>
          <w:rFonts w:asciiTheme="minorHAnsi" w:hAnsiTheme="minorHAnsi" w:cstheme="minorHAnsi"/>
          <w:b/>
          <w:bCs/>
          <w:szCs w:val="20"/>
          <w:u w:val="single"/>
          <w:lang w:val="en-US"/>
        </w:rPr>
      </w:pPr>
      <w:r w:rsidRPr="00F85AFE">
        <w:rPr>
          <w:rFonts w:asciiTheme="minorHAnsi" w:hAnsiTheme="minorHAnsi" w:cstheme="minorHAnsi"/>
          <w:b/>
          <w:bCs/>
          <w:szCs w:val="20"/>
          <w:u w:val="single"/>
          <w:lang w:val="en-US"/>
        </w:rPr>
        <w:t>Corporate responsibility to respect human rights</w:t>
      </w:r>
    </w:p>
    <w:p w14:paraId="54BF9C9E" w14:textId="77777777" w:rsidR="007C1AE1" w:rsidRPr="00F85AFE" w:rsidRDefault="007C1AE1" w:rsidP="007C1AE1">
      <w:pPr>
        <w:pStyle w:val="paragraph"/>
        <w:spacing w:before="0" w:beforeAutospacing="0" w:after="0" w:afterAutospacing="0"/>
        <w:textAlignment w:val="baseline"/>
        <w:rPr>
          <w:rFonts w:asciiTheme="minorHAnsi" w:hAnsiTheme="minorHAnsi" w:cstheme="minorHAnsi"/>
          <w:sz w:val="20"/>
          <w:szCs w:val="20"/>
        </w:rPr>
      </w:pPr>
    </w:p>
    <w:p w14:paraId="55E8326A" w14:textId="77777777" w:rsidR="007C1AE1" w:rsidRPr="00F85AFE" w:rsidRDefault="007C1AE1" w:rsidP="007C1AE1">
      <w:pPr>
        <w:pStyle w:val="paragraph"/>
        <w:spacing w:before="0" w:beforeAutospacing="0" w:after="0" w:afterAutospacing="0"/>
        <w:textAlignment w:val="baseline"/>
        <w:rPr>
          <w:rStyle w:val="normaltextrun"/>
          <w:rFonts w:asciiTheme="minorHAnsi" w:eastAsiaTheme="majorEastAsia" w:hAnsiTheme="minorHAnsi" w:cstheme="minorHAnsi"/>
          <w:b/>
          <w:sz w:val="20"/>
          <w:szCs w:val="20"/>
        </w:rPr>
      </w:pPr>
      <w:r w:rsidRPr="00F85AFE">
        <w:rPr>
          <w:rStyle w:val="normaltextrun"/>
          <w:rFonts w:asciiTheme="minorHAnsi" w:eastAsiaTheme="majorEastAsia" w:hAnsiTheme="minorHAnsi" w:cstheme="minorHAnsi"/>
          <w:b/>
          <w:sz w:val="20"/>
          <w:szCs w:val="20"/>
        </w:rPr>
        <w:t>(7) What provisions can be included in contracts or investment agreements to</w:t>
      </w:r>
    </w:p>
    <w:p w14:paraId="47E2DE41" w14:textId="77777777" w:rsidR="007C1AE1" w:rsidRPr="00F85AFE" w:rsidRDefault="007C1AE1" w:rsidP="007C1AE1">
      <w:pPr>
        <w:pStyle w:val="paragraph"/>
        <w:spacing w:before="0" w:beforeAutospacing="0" w:after="0" w:afterAutospacing="0"/>
        <w:textAlignment w:val="baseline"/>
        <w:rPr>
          <w:rFonts w:asciiTheme="minorHAnsi" w:hAnsiTheme="minorHAnsi" w:cstheme="minorHAnsi"/>
          <w:b/>
          <w:sz w:val="20"/>
          <w:szCs w:val="20"/>
        </w:rPr>
      </w:pPr>
      <w:r w:rsidRPr="00F85AFE">
        <w:rPr>
          <w:rStyle w:val="normaltextrun"/>
          <w:rFonts w:asciiTheme="minorHAnsi" w:eastAsiaTheme="majorEastAsia" w:hAnsiTheme="minorHAnsi" w:cstheme="minorHAnsi"/>
          <w:b/>
          <w:sz w:val="20"/>
          <w:szCs w:val="20"/>
        </w:rPr>
        <w:t>encourage respect for human rights? Can technological devices like Blockchain assist in this regard?</w:t>
      </w:r>
      <w:r w:rsidRPr="00F85AFE">
        <w:rPr>
          <w:rStyle w:val="eop"/>
          <w:rFonts w:asciiTheme="minorHAnsi" w:eastAsiaTheme="majorEastAsia" w:hAnsiTheme="minorHAnsi" w:cstheme="minorHAnsi"/>
          <w:b/>
          <w:sz w:val="20"/>
          <w:szCs w:val="20"/>
        </w:rPr>
        <w:t> </w:t>
      </w:r>
    </w:p>
    <w:p w14:paraId="657543F8" w14:textId="77777777" w:rsidR="007C1AE1" w:rsidRPr="00F85AFE" w:rsidRDefault="007C1AE1" w:rsidP="007C1AE1">
      <w:pPr>
        <w:pStyle w:val="paragraph"/>
        <w:spacing w:before="0" w:beforeAutospacing="0" w:after="0" w:afterAutospacing="0"/>
        <w:textAlignment w:val="baseline"/>
        <w:rPr>
          <w:rStyle w:val="normaltextrun"/>
          <w:rFonts w:asciiTheme="minorHAnsi" w:hAnsiTheme="minorHAnsi" w:cstheme="minorHAnsi"/>
          <w:i/>
          <w:iCs/>
          <w:sz w:val="20"/>
          <w:szCs w:val="20"/>
        </w:rPr>
      </w:pPr>
    </w:p>
    <w:p w14:paraId="24BA6D71" w14:textId="14CFDF53" w:rsidR="007C1AE1" w:rsidRPr="00F85AFE" w:rsidRDefault="375973F0" w:rsidP="375973F0">
      <w:pPr>
        <w:pStyle w:val="paragraph"/>
        <w:spacing w:before="0" w:beforeAutospacing="0" w:after="0" w:afterAutospacing="0"/>
        <w:textAlignment w:val="baseline"/>
        <w:rPr>
          <w:rStyle w:val="normaltextrun"/>
          <w:rFonts w:asciiTheme="minorHAnsi" w:hAnsiTheme="minorHAnsi" w:cstheme="minorBidi"/>
          <w:sz w:val="20"/>
          <w:szCs w:val="20"/>
        </w:rPr>
      </w:pPr>
      <w:r w:rsidRPr="375973F0">
        <w:rPr>
          <w:rStyle w:val="normaltextrun"/>
          <w:rFonts w:asciiTheme="minorHAnsi" w:hAnsiTheme="minorHAnsi" w:cstheme="minorBidi"/>
          <w:sz w:val="20"/>
          <w:szCs w:val="20"/>
        </w:rPr>
        <w:t xml:space="preserve">Investors should include clauses in contracts or investor agreements that go beyond compliance with applicable laws and regulations to also cover respect for human rights and IHL, including the obligation to conduct heightened HRDD on operations, subsidiaries and/or business relationships in conflict-affected and high-risk areas. This can increase the leverage the investor has on a client or investee company. </w:t>
      </w:r>
    </w:p>
    <w:p w14:paraId="1F055082" w14:textId="77777777" w:rsidR="007C1AE1" w:rsidRPr="00F85AFE" w:rsidRDefault="007C1AE1" w:rsidP="007C1AE1">
      <w:pPr>
        <w:pStyle w:val="paragraph"/>
        <w:spacing w:before="0" w:beforeAutospacing="0" w:after="0" w:afterAutospacing="0" w:line="259" w:lineRule="auto"/>
        <w:rPr>
          <w:rFonts w:asciiTheme="minorHAnsi" w:hAnsiTheme="minorHAnsi" w:cstheme="minorHAnsi"/>
          <w:sz w:val="20"/>
          <w:szCs w:val="20"/>
        </w:rPr>
      </w:pPr>
    </w:p>
    <w:p w14:paraId="29EE5781" w14:textId="1B105D8C" w:rsidR="007C1AE1" w:rsidRPr="00F85AFE" w:rsidRDefault="007C1AE1" w:rsidP="007C1AE1">
      <w:pPr>
        <w:pStyle w:val="paragraph"/>
        <w:spacing w:before="0" w:beforeAutospacing="0" w:after="0" w:afterAutospacing="0" w:line="259" w:lineRule="auto"/>
        <w:rPr>
          <w:rFonts w:asciiTheme="minorHAnsi" w:hAnsiTheme="minorHAnsi" w:cstheme="minorHAnsi"/>
          <w:sz w:val="20"/>
          <w:szCs w:val="20"/>
        </w:rPr>
      </w:pPr>
      <w:r w:rsidRPr="00F85AFE">
        <w:rPr>
          <w:rFonts w:asciiTheme="minorHAnsi" w:hAnsiTheme="minorHAnsi" w:cstheme="minorHAnsi"/>
          <w:sz w:val="20"/>
          <w:szCs w:val="20"/>
        </w:rPr>
        <w:t xml:space="preserve">Investors should also include safeguards in contracts or investment agreements that allow for their termination when the company at stake, whether through a merger or acquisition or through a mere widening of its scope of activities, becomes involved in activities inherently associated with severe human rights </w:t>
      </w:r>
      <w:r w:rsidR="009925AF">
        <w:rPr>
          <w:rFonts w:asciiTheme="minorHAnsi" w:hAnsiTheme="minorHAnsi" w:cstheme="minorHAnsi"/>
          <w:sz w:val="20"/>
          <w:szCs w:val="20"/>
        </w:rPr>
        <w:t xml:space="preserve">or IHL </w:t>
      </w:r>
      <w:r w:rsidRPr="00F85AFE">
        <w:rPr>
          <w:rFonts w:asciiTheme="minorHAnsi" w:hAnsiTheme="minorHAnsi" w:cstheme="minorHAnsi"/>
          <w:sz w:val="20"/>
          <w:szCs w:val="20"/>
        </w:rPr>
        <w:t>risks.</w:t>
      </w:r>
    </w:p>
    <w:p w14:paraId="379FC642" w14:textId="77777777" w:rsidR="007C1AE1" w:rsidRPr="00F85AFE" w:rsidRDefault="007C1AE1" w:rsidP="007C1AE1">
      <w:pPr>
        <w:pStyle w:val="paragraph"/>
        <w:spacing w:before="0" w:beforeAutospacing="0" w:after="0" w:afterAutospacing="0" w:line="259" w:lineRule="auto"/>
        <w:rPr>
          <w:rFonts w:asciiTheme="minorHAnsi" w:hAnsiTheme="minorHAnsi" w:cstheme="minorHAnsi"/>
          <w:sz w:val="20"/>
          <w:szCs w:val="20"/>
        </w:rPr>
      </w:pPr>
    </w:p>
    <w:p w14:paraId="07859604" w14:textId="13A11509" w:rsidR="007C1AE1" w:rsidRPr="00F85AFE" w:rsidRDefault="007C1AE1" w:rsidP="007C1AE1">
      <w:pPr>
        <w:pStyle w:val="paragraph"/>
        <w:spacing w:before="0" w:beforeAutospacing="0" w:after="0" w:afterAutospacing="0" w:line="259" w:lineRule="auto"/>
        <w:rPr>
          <w:rFonts w:asciiTheme="minorHAnsi" w:hAnsiTheme="minorHAnsi" w:cstheme="minorBidi"/>
          <w:sz w:val="20"/>
          <w:szCs w:val="20"/>
        </w:rPr>
      </w:pPr>
      <w:r w:rsidRPr="552B431B">
        <w:rPr>
          <w:rFonts w:asciiTheme="minorHAnsi" w:hAnsiTheme="minorHAnsi" w:cstheme="minorBidi"/>
          <w:sz w:val="20"/>
          <w:szCs w:val="20"/>
        </w:rPr>
        <w:t xml:space="preserve">A specific tendency we have encountered when encouraging financial institutions to end their financial relations with nuclear weapons producers, is that some financial institutions justify the (corporate) financing of these companies by pointing at the existence of contractual agreements that ensure their financing cannot be directed towards any nuclear weapon related activities. However, even ‘earmarked’ funds tend to free other </w:t>
      </w:r>
      <w:r w:rsidRPr="552B431B">
        <w:rPr>
          <w:rFonts w:asciiTheme="minorHAnsi" w:hAnsiTheme="minorHAnsi" w:cstheme="minorBidi"/>
          <w:sz w:val="20"/>
          <w:szCs w:val="20"/>
        </w:rPr>
        <w:lastRenderedPageBreak/>
        <w:t xml:space="preserve">capital flows that companies can use at their discretion. Funds provided </w:t>
      </w:r>
      <w:r w:rsidR="1F50068B" w:rsidRPr="552B431B">
        <w:rPr>
          <w:rFonts w:asciiTheme="minorHAnsi" w:hAnsiTheme="minorHAnsi" w:cstheme="minorBidi"/>
          <w:sz w:val="20"/>
          <w:szCs w:val="20"/>
        </w:rPr>
        <w:t>could</w:t>
      </w:r>
      <w:r w:rsidRPr="552B431B">
        <w:rPr>
          <w:rFonts w:asciiTheme="minorHAnsi" w:hAnsiTheme="minorHAnsi" w:cstheme="minorBidi"/>
          <w:sz w:val="20"/>
          <w:szCs w:val="20"/>
        </w:rPr>
        <w:t xml:space="preserve"> therefore still indirectly facilitate nuclear weapons production.</w:t>
      </w:r>
    </w:p>
    <w:p w14:paraId="2AD8C83C" w14:textId="77777777" w:rsidR="007C1AE1" w:rsidRPr="00F85AFE" w:rsidRDefault="007C1AE1" w:rsidP="007C1AE1">
      <w:pPr>
        <w:pStyle w:val="paragraph"/>
        <w:spacing w:before="0" w:beforeAutospacing="0" w:after="0" w:afterAutospacing="0"/>
        <w:textAlignment w:val="baseline"/>
        <w:rPr>
          <w:rFonts w:asciiTheme="minorHAnsi" w:hAnsiTheme="minorHAnsi" w:cstheme="minorHAnsi"/>
          <w:sz w:val="20"/>
          <w:szCs w:val="20"/>
          <w:shd w:val="clear" w:color="auto" w:fill="FFFFFF"/>
        </w:rPr>
      </w:pPr>
    </w:p>
    <w:p w14:paraId="598662CA" w14:textId="77777777" w:rsidR="007C1AE1" w:rsidRPr="00F85AFE" w:rsidRDefault="007C1AE1" w:rsidP="007C1AE1">
      <w:pPr>
        <w:pStyle w:val="paragraph"/>
        <w:spacing w:before="0" w:beforeAutospacing="0" w:after="0" w:afterAutospacing="0"/>
        <w:textAlignment w:val="baseline"/>
        <w:rPr>
          <w:rStyle w:val="eop"/>
          <w:rFonts w:asciiTheme="minorHAnsi" w:eastAsiaTheme="majorEastAsia" w:hAnsiTheme="minorHAnsi" w:cstheme="minorHAnsi"/>
          <w:b/>
          <w:sz w:val="20"/>
          <w:szCs w:val="20"/>
        </w:rPr>
      </w:pPr>
      <w:r w:rsidRPr="17DDBF7B">
        <w:rPr>
          <w:rFonts w:asciiTheme="minorHAnsi" w:hAnsiTheme="minorHAnsi" w:cstheme="minorBidi"/>
          <w:sz w:val="20"/>
          <w:szCs w:val="20"/>
          <w:shd w:val="clear" w:color="auto" w:fill="FFFFFF"/>
        </w:rPr>
        <w:t>(</w:t>
      </w:r>
      <w:r w:rsidRPr="17DDBF7B">
        <w:rPr>
          <w:rFonts w:asciiTheme="minorHAnsi" w:hAnsiTheme="minorHAnsi" w:cstheme="minorBidi"/>
          <w:b/>
          <w:sz w:val="20"/>
          <w:szCs w:val="20"/>
          <w:shd w:val="clear" w:color="auto" w:fill="FFFFFF"/>
        </w:rPr>
        <w:t xml:space="preserve">9) </w:t>
      </w:r>
      <w:r w:rsidRPr="17DDBF7B">
        <w:rPr>
          <w:rStyle w:val="normaltextrun"/>
          <w:rFonts w:asciiTheme="minorHAnsi" w:eastAsiaTheme="majorEastAsia" w:hAnsiTheme="minorHAnsi" w:cstheme="minorBidi"/>
          <w:b/>
          <w:sz w:val="20"/>
          <w:szCs w:val="20"/>
        </w:rPr>
        <w:t>How can investors best provide transparency in their disclosures about their practices which are, or are not, in alignment with the UNGPs?</w:t>
      </w:r>
      <w:r w:rsidRPr="17DDBF7B">
        <w:rPr>
          <w:rStyle w:val="eop"/>
          <w:rFonts w:asciiTheme="minorHAnsi" w:eastAsiaTheme="majorEastAsia" w:hAnsiTheme="minorHAnsi" w:cstheme="minorBidi"/>
          <w:b/>
          <w:sz w:val="20"/>
          <w:szCs w:val="20"/>
        </w:rPr>
        <w:t> </w:t>
      </w:r>
    </w:p>
    <w:p w14:paraId="29DD050A" w14:textId="4005E1EE" w:rsidR="007C1AE1" w:rsidRDefault="007C1AE1" w:rsidP="17DDBF7B">
      <w:pPr>
        <w:pStyle w:val="paragraph"/>
        <w:spacing w:before="0" w:beforeAutospacing="0" w:after="0" w:afterAutospacing="0"/>
        <w:rPr>
          <w:rStyle w:val="eop"/>
          <w:rFonts w:asciiTheme="minorHAnsi" w:eastAsiaTheme="majorEastAsia" w:hAnsiTheme="minorHAnsi" w:cstheme="minorBidi"/>
          <w:sz w:val="20"/>
          <w:szCs w:val="20"/>
        </w:rPr>
      </w:pPr>
    </w:p>
    <w:p w14:paraId="6A7932C8" w14:textId="717DD251" w:rsidR="007C1AE1" w:rsidRPr="00F85AFE" w:rsidRDefault="009179BD" w:rsidP="00EB2C48">
      <w:pPr>
        <w:pStyle w:val="paragraph"/>
        <w:spacing w:before="0" w:beforeAutospacing="0" w:after="0" w:afterAutospacing="0"/>
        <w:textAlignment w:val="baseline"/>
        <w:rPr>
          <w:rStyle w:val="eop"/>
          <w:rFonts w:asciiTheme="minorHAnsi" w:eastAsiaTheme="majorEastAsia" w:hAnsiTheme="minorHAnsi" w:cstheme="minorBidi"/>
          <w:sz w:val="20"/>
          <w:szCs w:val="20"/>
        </w:rPr>
      </w:pPr>
      <w:r w:rsidRPr="375973F0">
        <w:rPr>
          <w:rStyle w:val="eop"/>
          <w:rFonts w:asciiTheme="minorHAnsi" w:eastAsiaTheme="majorEastAsia" w:hAnsiTheme="minorHAnsi" w:cstheme="minorBidi"/>
          <w:sz w:val="20"/>
          <w:szCs w:val="20"/>
        </w:rPr>
        <w:t xml:space="preserve">Investors should be </w:t>
      </w:r>
      <w:r w:rsidR="00A26CDB" w:rsidRPr="375973F0">
        <w:rPr>
          <w:rStyle w:val="eop"/>
          <w:rFonts w:asciiTheme="minorHAnsi" w:eastAsiaTheme="majorEastAsia" w:hAnsiTheme="minorHAnsi" w:cstheme="minorBidi"/>
          <w:sz w:val="20"/>
          <w:szCs w:val="20"/>
        </w:rPr>
        <w:t xml:space="preserve">transparent on (1) </w:t>
      </w:r>
      <w:r w:rsidR="006B594C" w:rsidRPr="375973F0">
        <w:rPr>
          <w:rStyle w:val="eop"/>
          <w:rFonts w:asciiTheme="minorHAnsi" w:eastAsiaTheme="majorEastAsia" w:hAnsiTheme="minorHAnsi" w:cstheme="minorBidi"/>
          <w:sz w:val="20"/>
          <w:szCs w:val="20"/>
        </w:rPr>
        <w:t>w</w:t>
      </w:r>
      <w:r w:rsidR="00925FF8" w:rsidRPr="375973F0">
        <w:rPr>
          <w:rStyle w:val="eop"/>
          <w:rFonts w:asciiTheme="minorHAnsi" w:eastAsiaTheme="majorEastAsia" w:hAnsiTheme="minorHAnsi" w:cstheme="minorBidi"/>
          <w:sz w:val="20"/>
          <w:szCs w:val="20"/>
        </w:rPr>
        <w:t>hat companies they invest in</w:t>
      </w:r>
      <w:r w:rsidR="00A66B4D" w:rsidRPr="375973F0">
        <w:rPr>
          <w:rStyle w:val="Voetnootmarkering"/>
          <w:rFonts w:asciiTheme="minorHAnsi" w:eastAsiaTheme="majorEastAsia" w:hAnsiTheme="minorHAnsi" w:cstheme="minorBidi"/>
          <w:sz w:val="20"/>
          <w:szCs w:val="20"/>
        </w:rPr>
        <w:footnoteReference w:id="17"/>
      </w:r>
      <w:r w:rsidR="00A66B4D" w:rsidRPr="375973F0">
        <w:rPr>
          <w:rStyle w:val="eop"/>
          <w:rFonts w:asciiTheme="minorHAnsi" w:eastAsiaTheme="majorEastAsia" w:hAnsiTheme="minorHAnsi" w:cstheme="minorBidi"/>
          <w:sz w:val="20"/>
          <w:szCs w:val="20"/>
        </w:rPr>
        <w:t xml:space="preserve"> (some Dutch pension funds are setting a good example by publishing all their investments on company-level)</w:t>
      </w:r>
      <w:r w:rsidR="00925FF8" w:rsidRPr="375973F0">
        <w:rPr>
          <w:rStyle w:val="eop"/>
          <w:rFonts w:asciiTheme="minorHAnsi" w:eastAsiaTheme="majorEastAsia" w:hAnsiTheme="minorHAnsi" w:cstheme="minorBidi"/>
          <w:sz w:val="20"/>
          <w:szCs w:val="20"/>
        </w:rPr>
        <w:t xml:space="preserve"> and (2) </w:t>
      </w:r>
      <w:r w:rsidR="00934D44" w:rsidRPr="375973F0">
        <w:rPr>
          <w:rStyle w:val="eop"/>
          <w:rFonts w:asciiTheme="minorHAnsi" w:eastAsiaTheme="majorEastAsia" w:hAnsiTheme="minorHAnsi" w:cstheme="minorBidi"/>
          <w:sz w:val="20"/>
          <w:szCs w:val="20"/>
        </w:rPr>
        <w:t xml:space="preserve">the </w:t>
      </w:r>
      <w:r w:rsidR="00057687" w:rsidRPr="375973F0">
        <w:rPr>
          <w:rStyle w:val="eop"/>
          <w:rFonts w:asciiTheme="minorHAnsi" w:eastAsiaTheme="majorEastAsia" w:hAnsiTheme="minorHAnsi" w:cstheme="minorBidi"/>
          <w:sz w:val="20"/>
          <w:szCs w:val="20"/>
        </w:rPr>
        <w:t xml:space="preserve">measures they have taken to </w:t>
      </w:r>
      <w:r w:rsidR="00A738DC" w:rsidRPr="375973F0">
        <w:rPr>
          <w:rStyle w:val="eop"/>
          <w:rFonts w:asciiTheme="minorHAnsi" w:eastAsiaTheme="majorEastAsia" w:hAnsiTheme="minorHAnsi" w:cstheme="minorBidi"/>
          <w:sz w:val="20"/>
          <w:szCs w:val="20"/>
        </w:rPr>
        <w:t xml:space="preserve">prevent, end or mitigate </w:t>
      </w:r>
      <w:r w:rsidR="00A66B4D" w:rsidRPr="375973F0">
        <w:rPr>
          <w:rStyle w:val="eop"/>
          <w:rFonts w:asciiTheme="minorHAnsi" w:eastAsiaTheme="majorEastAsia" w:hAnsiTheme="minorHAnsi" w:cstheme="minorBidi"/>
          <w:sz w:val="20"/>
          <w:szCs w:val="20"/>
        </w:rPr>
        <w:t xml:space="preserve">adverse impacts in their investment portfolio. </w:t>
      </w:r>
      <w:r w:rsidR="007C1AE1" w:rsidRPr="375973F0">
        <w:rPr>
          <w:rStyle w:val="eop"/>
          <w:rFonts w:asciiTheme="minorHAnsi" w:eastAsiaTheme="majorEastAsia" w:hAnsiTheme="minorHAnsi" w:cstheme="minorBidi"/>
          <w:sz w:val="20"/>
          <w:szCs w:val="20"/>
        </w:rPr>
        <w:t xml:space="preserve">We find that many investors </w:t>
      </w:r>
      <w:r w:rsidR="011CBCCE" w:rsidRPr="375973F0">
        <w:rPr>
          <w:rStyle w:val="eop"/>
          <w:rFonts w:asciiTheme="minorHAnsi" w:eastAsiaTheme="majorEastAsia" w:hAnsiTheme="minorHAnsi" w:cstheme="minorBidi"/>
          <w:sz w:val="20"/>
          <w:szCs w:val="20"/>
        </w:rPr>
        <w:t>fail to</w:t>
      </w:r>
      <w:r w:rsidR="007C1AE1" w:rsidRPr="375973F0">
        <w:rPr>
          <w:rStyle w:val="eop"/>
          <w:rFonts w:asciiTheme="minorHAnsi" w:eastAsiaTheme="majorEastAsia" w:hAnsiTheme="minorHAnsi" w:cstheme="minorBidi"/>
          <w:sz w:val="20"/>
          <w:szCs w:val="20"/>
        </w:rPr>
        <w:t xml:space="preserve"> provide any information on such action</w:t>
      </w:r>
      <w:r w:rsidR="00913BEC" w:rsidRPr="375973F0">
        <w:rPr>
          <w:rStyle w:val="eop"/>
          <w:rFonts w:asciiTheme="minorHAnsi" w:eastAsiaTheme="majorEastAsia" w:hAnsiTheme="minorHAnsi" w:cstheme="minorBidi"/>
          <w:sz w:val="20"/>
          <w:szCs w:val="20"/>
        </w:rPr>
        <w:t xml:space="preserve">, or only </w:t>
      </w:r>
      <w:r w:rsidR="00457A49" w:rsidRPr="375973F0">
        <w:rPr>
          <w:rStyle w:val="eop"/>
          <w:rFonts w:asciiTheme="minorHAnsi" w:eastAsiaTheme="majorEastAsia" w:hAnsiTheme="minorHAnsi" w:cstheme="minorBidi"/>
          <w:sz w:val="20"/>
          <w:szCs w:val="20"/>
        </w:rPr>
        <w:t xml:space="preserve">on an </w:t>
      </w:r>
      <w:r w:rsidR="00913BEC" w:rsidRPr="375973F0">
        <w:rPr>
          <w:rStyle w:val="eop"/>
          <w:rFonts w:asciiTheme="minorHAnsi" w:eastAsiaTheme="majorEastAsia" w:hAnsiTheme="minorHAnsi" w:cstheme="minorBidi"/>
          <w:sz w:val="20"/>
          <w:szCs w:val="20"/>
        </w:rPr>
        <w:t xml:space="preserve">anecdotal </w:t>
      </w:r>
      <w:r w:rsidR="00457A49" w:rsidRPr="375973F0">
        <w:rPr>
          <w:rStyle w:val="eop"/>
          <w:rFonts w:asciiTheme="minorHAnsi" w:eastAsiaTheme="majorEastAsia" w:hAnsiTheme="minorHAnsi" w:cstheme="minorBidi"/>
          <w:sz w:val="20"/>
          <w:szCs w:val="20"/>
        </w:rPr>
        <w:t xml:space="preserve">or generalized level. </w:t>
      </w:r>
      <w:r w:rsidR="007C1AE1" w:rsidRPr="375973F0">
        <w:rPr>
          <w:rStyle w:val="eop"/>
          <w:rFonts w:asciiTheme="minorHAnsi" w:eastAsiaTheme="majorEastAsia" w:hAnsiTheme="minorHAnsi" w:cstheme="minorBidi"/>
          <w:sz w:val="20"/>
          <w:szCs w:val="20"/>
        </w:rPr>
        <w:t>As such, it is often impossible for stakeholders to establish whether an investor is taking action towards a specific actor in its value chain</w:t>
      </w:r>
      <w:r w:rsidR="2C8A182E" w:rsidRPr="375973F0">
        <w:rPr>
          <w:rStyle w:val="eop"/>
          <w:rFonts w:asciiTheme="minorHAnsi" w:eastAsiaTheme="majorEastAsia" w:hAnsiTheme="minorHAnsi" w:cstheme="minorBidi"/>
          <w:sz w:val="20"/>
          <w:szCs w:val="20"/>
        </w:rPr>
        <w:t>,</w:t>
      </w:r>
      <w:r w:rsidR="007C1AE1" w:rsidRPr="375973F0">
        <w:rPr>
          <w:rStyle w:val="eop"/>
          <w:rFonts w:asciiTheme="minorHAnsi" w:eastAsiaTheme="majorEastAsia" w:hAnsiTheme="minorHAnsi" w:cstheme="minorBidi"/>
          <w:sz w:val="20"/>
          <w:szCs w:val="20"/>
        </w:rPr>
        <w:t xml:space="preserve"> which goals or timeframe the investor has set, or what specific violation is being discussed. PAX recommends investors to be transparent about their investments (loans, underwriting, bond- and shareholdings) to the largest extent possible</w:t>
      </w:r>
      <w:r w:rsidR="7456F13C" w:rsidRPr="375973F0">
        <w:rPr>
          <w:rStyle w:val="eop"/>
          <w:rFonts w:asciiTheme="minorHAnsi" w:eastAsiaTheme="majorEastAsia" w:hAnsiTheme="minorHAnsi" w:cstheme="minorBidi"/>
          <w:sz w:val="20"/>
          <w:szCs w:val="20"/>
        </w:rPr>
        <w:t xml:space="preserve"> and</w:t>
      </w:r>
      <w:r w:rsidR="007C1AE1" w:rsidRPr="375973F0">
        <w:rPr>
          <w:rStyle w:val="eop"/>
          <w:rFonts w:asciiTheme="minorHAnsi" w:eastAsiaTheme="majorEastAsia" w:hAnsiTheme="minorHAnsi" w:cstheme="minorBidi"/>
          <w:sz w:val="20"/>
          <w:szCs w:val="20"/>
        </w:rPr>
        <w:t xml:space="preserve"> publish information about any action taken to mitigate or remediate human rights violations, through engagement or divestment, by:</w:t>
      </w:r>
    </w:p>
    <w:p w14:paraId="469E13CC" w14:textId="77777777" w:rsidR="007C1AE1" w:rsidRPr="0051454D" w:rsidRDefault="007C1AE1" w:rsidP="007C1AE1">
      <w:pPr>
        <w:pStyle w:val="paragraph"/>
        <w:numPr>
          <w:ilvl w:val="0"/>
          <w:numId w:val="2"/>
        </w:numPr>
        <w:spacing w:before="0" w:beforeAutospacing="0" w:after="0" w:afterAutospacing="0"/>
        <w:rPr>
          <w:rStyle w:val="eop"/>
          <w:rFonts w:asciiTheme="minorHAnsi" w:eastAsiaTheme="majorEastAsia" w:hAnsiTheme="minorHAnsi" w:cstheme="minorHAnsi"/>
          <w:sz w:val="20"/>
          <w:szCs w:val="20"/>
        </w:rPr>
      </w:pPr>
      <w:r w:rsidRPr="00F85AFE">
        <w:rPr>
          <w:rStyle w:val="eop"/>
          <w:rFonts w:asciiTheme="minorHAnsi" w:eastAsiaTheme="majorEastAsia" w:hAnsiTheme="minorHAnsi" w:cstheme="minorHAnsi"/>
          <w:sz w:val="20"/>
          <w:szCs w:val="20"/>
        </w:rPr>
        <w:t>Publishing an exclusion list</w:t>
      </w:r>
    </w:p>
    <w:p w14:paraId="396A5D97" w14:textId="77777777" w:rsidR="007C1AE1" w:rsidRPr="00F85AFE" w:rsidRDefault="007C1AE1" w:rsidP="007C1AE1">
      <w:pPr>
        <w:pStyle w:val="paragraph"/>
        <w:numPr>
          <w:ilvl w:val="0"/>
          <w:numId w:val="2"/>
        </w:numPr>
        <w:spacing w:before="0" w:beforeAutospacing="0" w:after="0" w:afterAutospacing="0"/>
        <w:rPr>
          <w:rStyle w:val="eop"/>
          <w:rFonts w:asciiTheme="minorHAnsi" w:eastAsiaTheme="majorEastAsia" w:hAnsiTheme="minorHAnsi" w:cstheme="minorHAnsi"/>
          <w:szCs w:val="20"/>
        </w:rPr>
      </w:pPr>
      <w:r w:rsidRPr="00F85AFE">
        <w:rPr>
          <w:rStyle w:val="eop"/>
          <w:rFonts w:asciiTheme="minorHAnsi" w:eastAsiaTheme="majorEastAsia" w:hAnsiTheme="minorHAnsi" w:cstheme="minorHAnsi"/>
          <w:sz w:val="20"/>
          <w:szCs w:val="20"/>
        </w:rPr>
        <w:t>Publishing its human rights policy</w:t>
      </w:r>
    </w:p>
    <w:p w14:paraId="40953396" w14:textId="77777777" w:rsidR="007C1AE1" w:rsidRPr="00F85AFE" w:rsidRDefault="007C1AE1" w:rsidP="007C1AE1">
      <w:pPr>
        <w:pStyle w:val="paragraph"/>
        <w:numPr>
          <w:ilvl w:val="0"/>
          <w:numId w:val="2"/>
        </w:numPr>
        <w:spacing w:before="0" w:beforeAutospacing="0" w:after="0" w:afterAutospacing="0"/>
        <w:rPr>
          <w:rStyle w:val="eop"/>
          <w:rFonts w:asciiTheme="minorHAnsi" w:eastAsiaTheme="majorEastAsia" w:hAnsiTheme="minorHAnsi" w:cstheme="minorHAnsi"/>
          <w:szCs w:val="20"/>
        </w:rPr>
      </w:pPr>
      <w:r w:rsidRPr="00F85AFE">
        <w:rPr>
          <w:rStyle w:val="eop"/>
          <w:rFonts w:asciiTheme="minorHAnsi" w:eastAsiaTheme="majorEastAsia" w:hAnsiTheme="minorHAnsi" w:cstheme="minorHAnsi"/>
          <w:sz w:val="20"/>
          <w:szCs w:val="20"/>
        </w:rPr>
        <w:t>Publishing a list of actors in the value chain with which the investor engages, including specific and timebound goals for the engagement, (intermediate) results, and (intermediate) decisions by the investor.</w:t>
      </w:r>
    </w:p>
    <w:p w14:paraId="36E8D124" w14:textId="77777777" w:rsidR="007C1AE1" w:rsidRPr="00F85AFE" w:rsidRDefault="007C1AE1" w:rsidP="007C1AE1">
      <w:pPr>
        <w:pStyle w:val="paragraph"/>
        <w:numPr>
          <w:ilvl w:val="0"/>
          <w:numId w:val="2"/>
        </w:numPr>
        <w:spacing w:before="0" w:beforeAutospacing="0" w:after="0" w:afterAutospacing="0"/>
        <w:rPr>
          <w:rStyle w:val="eop"/>
          <w:rFonts w:asciiTheme="minorHAnsi" w:eastAsiaTheme="majorEastAsia" w:hAnsiTheme="minorHAnsi" w:cstheme="minorHAnsi"/>
          <w:szCs w:val="20"/>
        </w:rPr>
      </w:pPr>
      <w:r w:rsidRPr="00F85AFE">
        <w:rPr>
          <w:rStyle w:val="eop"/>
          <w:rFonts w:asciiTheme="minorHAnsi" w:eastAsiaTheme="majorEastAsia" w:hAnsiTheme="minorHAnsi" w:cstheme="minorHAnsi"/>
          <w:sz w:val="20"/>
          <w:szCs w:val="20"/>
        </w:rPr>
        <w:t>Requiring other actors in the value chain to do the same.</w:t>
      </w:r>
    </w:p>
    <w:p w14:paraId="1CAC2F24" w14:textId="77777777" w:rsidR="007C1AE1" w:rsidRPr="0051454D" w:rsidRDefault="007C1AE1" w:rsidP="007C1AE1">
      <w:pPr>
        <w:pStyle w:val="paragraph"/>
        <w:spacing w:before="0" w:beforeAutospacing="0" w:after="0" w:afterAutospacing="0"/>
        <w:rPr>
          <w:rStyle w:val="eop"/>
          <w:rFonts w:asciiTheme="minorHAnsi" w:eastAsiaTheme="majorEastAsia" w:hAnsiTheme="minorHAnsi" w:cstheme="minorHAnsi"/>
          <w:sz w:val="20"/>
          <w:szCs w:val="20"/>
        </w:rPr>
      </w:pPr>
    </w:p>
    <w:p w14:paraId="1499427C" w14:textId="77777777" w:rsidR="007C1AE1" w:rsidRPr="0051454D" w:rsidRDefault="007C1AE1" w:rsidP="007C1AE1">
      <w:pPr>
        <w:pStyle w:val="paragraph"/>
        <w:spacing w:before="0" w:beforeAutospacing="0" w:after="0" w:afterAutospacing="0"/>
        <w:textAlignment w:val="baseline"/>
        <w:rPr>
          <w:rFonts w:asciiTheme="minorHAnsi" w:hAnsiTheme="minorHAnsi" w:cstheme="minorHAnsi"/>
          <w:b/>
          <w:sz w:val="20"/>
          <w:szCs w:val="20"/>
        </w:rPr>
      </w:pPr>
      <w:r w:rsidRPr="0051454D">
        <w:rPr>
          <w:rStyle w:val="eop"/>
          <w:rFonts w:asciiTheme="minorHAnsi" w:hAnsiTheme="minorHAnsi" w:cstheme="minorHAnsi"/>
          <w:b/>
          <w:sz w:val="20"/>
          <w:szCs w:val="20"/>
        </w:rPr>
        <w:t xml:space="preserve">(12) </w:t>
      </w:r>
      <w:r w:rsidRPr="0051454D">
        <w:rPr>
          <w:rStyle w:val="normaltextrun"/>
          <w:rFonts w:asciiTheme="minorHAnsi" w:eastAsiaTheme="majorEastAsia" w:hAnsiTheme="minorHAnsi" w:cstheme="minorHAnsi"/>
          <w:b/>
          <w:sz w:val="20"/>
          <w:szCs w:val="20"/>
        </w:rPr>
        <w:t xml:space="preserve">How should investors take gender-responsive, disability-responsive, and intersectional-responsive approaches? How should investors take a heightened human rights due diligence approach in conflict-affected areas? </w:t>
      </w:r>
    </w:p>
    <w:p w14:paraId="569850AF" w14:textId="77777777" w:rsidR="007C1AE1" w:rsidRPr="00F85AFE" w:rsidRDefault="007C1AE1" w:rsidP="007C1AE1">
      <w:pPr>
        <w:pStyle w:val="paragraph"/>
        <w:spacing w:before="0" w:beforeAutospacing="0" w:after="0" w:afterAutospacing="0"/>
        <w:textAlignment w:val="baseline"/>
        <w:rPr>
          <w:rFonts w:asciiTheme="minorHAnsi" w:hAnsiTheme="minorHAnsi" w:cstheme="minorHAnsi"/>
          <w:sz w:val="20"/>
          <w:szCs w:val="20"/>
        </w:rPr>
      </w:pPr>
    </w:p>
    <w:p w14:paraId="4D15A045" w14:textId="29CBF315" w:rsidR="000104BD" w:rsidRDefault="00BD6EB0" w:rsidP="375973F0">
      <w:pPr>
        <w:pStyle w:val="paragraph"/>
        <w:spacing w:before="0" w:beforeAutospacing="0" w:after="0" w:afterAutospacing="0" w:line="259" w:lineRule="auto"/>
        <w:rPr>
          <w:rFonts w:asciiTheme="minorHAnsi" w:hAnsiTheme="minorHAnsi" w:cstheme="minorBidi"/>
          <w:sz w:val="20"/>
          <w:szCs w:val="20"/>
        </w:rPr>
      </w:pPr>
      <w:r w:rsidRPr="375973F0">
        <w:rPr>
          <w:rFonts w:asciiTheme="minorHAnsi" w:hAnsiTheme="minorHAnsi" w:cstheme="minorBidi"/>
          <w:sz w:val="20"/>
          <w:szCs w:val="20"/>
        </w:rPr>
        <w:t>Financial institutions</w:t>
      </w:r>
      <w:r w:rsidR="00F66869" w:rsidRPr="375973F0">
        <w:rPr>
          <w:rFonts w:asciiTheme="minorHAnsi" w:hAnsiTheme="minorHAnsi" w:cstheme="minorBidi"/>
          <w:sz w:val="20"/>
          <w:szCs w:val="20"/>
        </w:rPr>
        <w:t>, like</w:t>
      </w:r>
      <w:r w:rsidR="00A049B0" w:rsidRPr="375973F0">
        <w:rPr>
          <w:rFonts w:asciiTheme="minorHAnsi" w:hAnsiTheme="minorHAnsi" w:cstheme="minorBidi"/>
          <w:sz w:val="20"/>
          <w:szCs w:val="20"/>
        </w:rPr>
        <w:t xml:space="preserve"> </w:t>
      </w:r>
      <w:r w:rsidR="00F66869" w:rsidRPr="375973F0">
        <w:rPr>
          <w:rFonts w:asciiTheme="minorHAnsi" w:hAnsiTheme="minorHAnsi" w:cstheme="minorBidi"/>
          <w:sz w:val="20"/>
          <w:szCs w:val="20"/>
        </w:rPr>
        <w:t>other compan</w:t>
      </w:r>
      <w:r w:rsidR="00A049B0" w:rsidRPr="375973F0">
        <w:rPr>
          <w:rFonts w:asciiTheme="minorHAnsi" w:hAnsiTheme="minorHAnsi" w:cstheme="minorBidi"/>
          <w:sz w:val="20"/>
          <w:szCs w:val="20"/>
        </w:rPr>
        <w:t>ies</w:t>
      </w:r>
      <w:r w:rsidR="00F66869" w:rsidRPr="375973F0">
        <w:rPr>
          <w:rFonts w:asciiTheme="minorHAnsi" w:hAnsiTheme="minorHAnsi" w:cstheme="minorBidi"/>
          <w:sz w:val="20"/>
          <w:szCs w:val="20"/>
        </w:rPr>
        <w:t>, should conduct height</w:t>
      </w:r>
      <w:r w:rsidR="00C91476" w:rsidRPr="375973F0">
        <w:rPr>
          <w:rFonts w:asciiTheme="minorHAnsi" w:hAnsiTheme="minorHAnsi" w:cstheme="minorBidi"/>
          <w:sz w:val="20"/>
          <w:szCs w:val="20"/>
        </w:rPr>
        <w:t>ened human rights due diligence</w:t>
      </w:r>
      <w:r w:rsidR="003C24C0" w:rsidRPr="375973F0">
        <w:rPr>
          <w:rFonts w:asciiTheme="minorHAnsi" w:hAnsiTheme="minorHAnsi" w:cstheme="minorBidi"/>
          <w:sz w:val="20"/>
          <w:szCs w:val="20"/>
        </w:rPr>
        <w:t xml:space="preserve"> (</w:t>
      </w:r>
      <w:proofErr w:type="spellStart"/>
      <w:r w:rsidR="003C24C0" w:rsidRPr="375973F0">
        <w:rPr>
          <w:rFonts w:asciiTheme="minorHAnsi" w:hAnsiTheme="minorHAnsi" w:cstheme="minorBidi"/>
          <w:sz w:val="20"/>
          <w:szCs w:val="20"/>
        </w:rPr>
        <w:t>hHRDD</w:t>
      </w:r>
      <w:proofErr w:type="spellEnd"/>
      <w:r w:rsidR="003C24C0" w:rsidRPr="375973F0">
        <w:rPr>
          <w:rFonts w:asciiTheme="minorHAnsi" w:hAnsiTheme="minorHAnsi" w:cstheme="minorBidi"/>
          <w:sz w:val="20"/>
          <w:szCs w:val="20"/>
        </w:rPr>
        <w:t>)</w:t>
      </w:r>
      <w:r w:rsidR="00C91476" w:rsidRPr="375973F0">
        <w:rPr>
          <w:rFonts w:asciiTheme="minorHAnsi" w:hAnsiTheme="minorHAnsi" w:cstheme="minorBidi"/>
          <w:sz w:val="20"/>
          <w:szCs w:val="20"/>
        </w:rPr>
        <w:t xml:space="preserve"> on activities and business relationships in conflict-affected a</w:t>
      </w:r>
      <w:r w:rsidR="005C3529" w:rsidRPr="375973F0">
        <w:rPr>
          <w:rFonts w:asciiTheme="minorHAnsi" w:hAnsiTheme="minorHAnsi" w:cstheme="minorBidi"/>
          <w:sz w:val="20"/>
          <w:szCs w:val="20"/>
        </w:rPr>
        <w:t>reas, as these areas are characterized by heightened risks</w:t>
      </w:r>
      <w:r w:rsidR="007C1AE1" w:rsidRPr="375973F0">
        <w:rPr>
          <w:rFonts w:asciiTheme="minorHAnsi" w:hAnsiTheme="minorHAnsi" w:cstheme="minorBidi"/>
          <w:sz w:val="20"/>
          <w:szCs w:val="20"/>
        </w:rPr>
        <w:t>.</w:t>
      </w:r>
      <w:r w:rsidR="007C1AE1" w:rsidRPr="375973F0">
        <w:rPr>
          <w:rStyle w:val="Voetnootmarkering"/>
          <w:rFonts w:asciiTheme="minorHAnsi" w:hAnsiTheme="minorHAnsi" w:cstheme="minorBidi"/>
          <w:sz w:val="20"/>
          <w:szCs w:val="20"/>
        </w:rPr>
        <w:footnoteReference w:id="18"/>
      </w:r>
      <w:r w:rsidR="00D44ACD" w:rsidRPr="375973F0">
        <w:rPr>
          <w:rFonts w:asciiTheme="minorHAnsi" w:hAnsiTheme="minorHAnsi" w:cstheme="minorBidi"/>
          <w:sz w:val="20"/>
          <w:szCs w:val="20"/>
        </w:rPr>
        <w:t xml:space="preserve"> </w:t>
      </w:r>
      <w:r w:rsidR="000104BD" w:rsidRPr="375973F0">
        <w:rPr>
          <w:rFonts w:asciiTheme="minorHAnsi" w:hAnsiTheme="minorHAnsi" w:cstheme="minorBidi"/>
          <w:sz w:val="20"/>
          <w:szCs w:val="20"/>
        </w:rPr>
        <w:t>For financial institutions, this includes the following steps:</w:t>
      </w:r>
    </w:p>
    <w:p w14:paraId="1C85FD22" w14:textId="1A368627" w:rsidR="004360AA" w:rsidRDefault="000104BD" w:rsidP="375973F0">
      <w:pPr>
        <w:pStyle w:val="paragraph"/>
        <w:numPr>
          <w:ilvl w:val="0"/>
          <w:numId w:val="2"/>
        </w:numPr>
        <w:spacing w:before="0" w:beforeAutospacing="0" w:after="0" w:afterAutospacing="0" w:line="259" w:lineRule="auto"/>
        <w:rPr>
          <w:rFonts w:asciiTheme="minorHAnsi" w:hAnsiTheme="minorHAnsi" w:cstheme="minorBidi"/>
          <w:sz w:val="20"/>
          <w:szCs w:val="20"/>
        </w:rPr>
      </w:pPr>
      <w:r w:rsidRPr="375973F0">
        <w:rPr>
          <w:rFonts w:asciiTheme="minorHAnsi" w:hAnsiTheme="minorHAnsi" w:cstheme="minorBidi"/>
          <w:sz w:val="20"/>
          <w:szCs w:val="20"/>
        </w:rPr>
        <w:t>Integrat</w:t>
      </w:r>
      <w:r w:rsidR="004360AA" w:rsidRPr="375973F0">
        <w:rPr>
          <w:rFonts w:asciiTheme="minorHAnsi" w:hAnsiTheme="minorHAnsi" w:cstheme="minorBidi"/>
          <w:sz w:val="20"/>
          <w:szCs w:val="20"/>
        </w:rPr>
        <w:t>ing</w:t>
      </w:r>
      <w:r w:rsidRPr="375973F0">
        <w:rPr>
          <w:rFonts w:asciiTheme="minorHAnsi" w:hAnsiTheme="minorHAnsi" w:cstheme="minorBidi"/>
          <w:sz w:val="20"/>
          <w:szCs w:val="20"/>
        </w:rPr>
        <w:t xml:space="preserve"> </w:t>
      </w:r>
      <w:proofErr w:type="spellStart"/>
      <w:r w:rsidR="003C24C0" w:rsidRPr="375973F0">
        <w:rPr>
          <w:rFonts w:asciiTheme="minorHAnsi" w:hAnsiTheme="minorHAnsi" w:cstheme="minorBidi"/>
          <w:sz w:val="20"/>
          <w:szCs w:val="20"/>
        </w:rPr>
        <w:t>hHRDD</w:t>
      </w:r>
      <w:proofErr w:type="spellEnd"/>
      <w:r w:rsidR="00D44ACD" w:rsidRPr="375973F0">
        <w:rPr>
          <w:rFonts w:asciiTheme="minorHAnsi" w:hAnsiTheme="minorHAnsi" w:cstheme="minorBidi"/>
          <w:sz w:val="20"/>
          <w:szCs w:val="20"/>
        </w:rPr>
        <w:t xml:space="preserve"> in investment policies </w:t>
      </w:r>
      <w:r w:rsidR="00B55BE1" w:rsidRPr="375973F0">
        <w:rPr>
          <w:rFonts w:asciiTheme="minorHAnsi" w:hAnsiTheme="minorHAnsi" w:cstheme="minorBidi"/>
          <w:sz w:val="20"/>
          <w:szCs w:val="20"/>
        </w:rPr>
        <w:t xml:space="preserve">and </w:t>
      </w:r>
      <w:r w:rsidR="00DA775F" w:rsidRPr="375973F0">
        <w:rPr>
          <w:rFonts w:asciiTheme="minorHAnsi" w:hAnsiTheme="minorHAnsi" w:cstheme="minorBidi"/>
          <w:sz w:val="20"/>
          <w:szCs w:val="20"/>
        </w:rPr>
        <w:t xml:space="preserve">communicate expectations of </w:t>
      </w:r>
      <w:proofErr w:type="spellStart"/>
      <w:r w:rsidR="00DA775F" w:rsidRPr="375973F0">
        <w:rPr>
          <w:rFonts w:asciiTheme="minorHAnsi" w:hAnsiTheme="minorHAnsi" w:cstheme="minorBidi"/>
          <w:sz w:val="20"/>
          <w:szCs w:val="20"/>
        </w:rPr>
        <w:t>h</w:t>
      </w:r>
      <w:r w:rsidR="00A049B0" w:rsidRPr="375973F0">
        <w:rPr>
          <w:rFonts w:asciiTheme="minorHAnsi" w:hAnsiTheme="minorHAnsi" w:cstheme="minorBidi"/>
          <w:sz w:val="20"/>
          <w:szCs w:val="20"/>
        </w:rPr>
        <w:t>H</w:t>
      </w:r>
      <w:r w:rsidR="00DA775F" w:rsidRPr="375973F0">
        <w:rPr>
          <w:rFonts w:asciiTheme="minorHAnsi" w:hAnsiTheme="minorHAnsi" w:cstheme="minorBidi"/>
          <w:sz w:val="20"/>
          <w:szCs w:val="20"/>
        </w:rPr>
        <w:t>RDD</w:t>
      </w:r>
      <w:proofErr w:type="spellEnd"/>
      <w:r w:rsidR="00DA775F" w:rsidRPr="375973F0">
        <w:rPr>
          <w:rFonts w:asciiTheme="minorHAnsi" w:hAnsiTheme="minorHAnsi" w:cstheme="minorBidi"/>
          <w:sz w:val="20"/>
          <w:szCs w:val="20"/>
        </w:rPr>
        <w:t xml:space="preserve"> to its clients and investee companies</w:t>
      </w:r>
      <w:r w:rsidR="003E3189" w:rsidRPr="375973F0">
        <w:rPr>
          <w:rFonts w:asciiTheme="minorHAnsi" w:hAnsiTheme="minorHAnsi" w:cstheme="minorBidi"/>
          <w:sz w:val="20"/>
          <w:szCs w:val="20"/>
        </w:rPr>
        <w:t>, i.e. in contractual clauses</w:t>
      </w:r>
      <w:r w:rsidR="00DA775F" w:rsidRPr="375973F0">
        <w:rPr>
          <w:rFonts w:asciiTheme="minorHAnsi" w:hAnsiTheme="minorHAnsi" w:cstheme="minorBidi"/>
          <w:sz w:val="20"/>
          <w:szCs w:val="20"/>
        </w:rPr>
        <w:t xml:space="preserve">. Also, </w:t>
      </w:r>
      <w:r w:rsidR="0020347B" w:rsidRPr="375973F0">
        <w:rPr>
          <w:rFonts w:asciiTheme="minorHAnsi" w:hAnsiTheme="minorHAnsi" w:cstheme="minorBidi"/>
          <w:sz w:val="20"/>
          <w:szCs w:val="20"/>
        </w:rPr>
        <w:t>ensur</w:t>
      </w:r>
      <w:r w:rsidR="004360AA" w:rsidRPr="375973F0">
        <w:rPr>
          <w:rFonts w:asciiTheme="minorHAnsi" w:hAnsiTheme="minorHAnsi" w:cstheme="minorBidi"/>
          <w:sz w:val="20"/>
          <w:szCs w:val="20"/>
        </w:rPr>
        <w:t>ing</w:t>
      </w:r>
      <w:r w:rsidR="0020347B" w:rsidRPr="375973F0">
        <w:rPr>
          <w:rFonts w:asciiTheme="minorHAnsi" w:hAnsiTheme="minorHAnsi" w:cstheme="minorBidi"/>
          <w:sz w:val="20"/>
          <w:szCs w:val="20"/>
        </w:rPr>
        <w:t xml:space="preserve"> in-house expertise on conflict-risks and dynamics </w:t>
      </w:r>
      <w:r w:rsidR="009E2970" w:rsidRPr="375973F0">
        <w:rPr>
          <w:rFonts w:asciiTheme="minorHAnsi" w:hAnsiTheme="minorHAnsi" w:cstheme="minorBidi"/>
          <w:sz w:val="20"/>
          <w:szCs w:val="20"/>
        </w:rPr>
        <w:t>and IHL, in addition to huma</w:t>
      </w:r>
      <w:r w:rsidR="00E32DC7" w:rsidRPr="375973F0">
        <w:rPr>
          <w:rFonts w:asciiTheme="minorHAnsi" w:hAnsiTheme="minorHAnsi" w:cstheme="minorBidi"/>
          <w:sz w:val="20"/>
          <w:szCs w:val="20"/>
        </w:rPr>
        <w:t>n rights</w:t>
      </w:r>
      <w:r w:rsidR="002C69CC" w:rsidRPr="375973F0">
        <w:rPr>
          <w:rFonts w:asciiTheme="minorHAnsi" w:hAnsiTheme="minorHAnsi" w:cstheme="minorBidi"/>
          <w:sz w:val="20"/>
          <w:szCs w:val="20"/>
        </w:rPr>
        <w:t>.</w:t>
      </w:r>
      <w:r w:rsidR="007C1AE1" w:rsidRPr="375973F0">
        <w:rPr>
          <w:rStyle w:val="Voetnootmarkering"/>
          <w:rFonts w:asciiTheme="minorHAnsi" w:hAnsiTheme="minorHAnsi" w:cstheme="minorBidi"/>
          <w:sz w:val="20"/>
          <w:szCs w:val="20"/>
        </w:rPr>
        <w:footnoteReference w:id="19"/>
      </w:r>
      <w:r w:rsidR="007C1AE1" w:rsidRPr="375973F0">
        <w:rPr>
          <w:rFonts w:asciiTheme="minorHAnsi" w:hAnsiTheme="minorHAnsi" w:cstheme="minorBidi"/>
          <w:sz w:val="20"/>
          <w:szCs w:val="20"/>
        </w:rPr>
        <w:t xml:space="preserve"> </w:t>
      </w:r>
    </w:p>
    <w:p w14:paraId="1DA2F232" w14:textId="2F7B8B1A" w:rsidR="00236F1C" w:rsidRDefault="00F42963" w:rsidP="000104BD">
      <w:pPr>
        <w:pStyle w:val="paragraph"/>
        <w:numPr>
          <w:ilvl w:val="0"/>
          <w:numId w:val="2"/>
        </w:numPr>
        <w:spacing w:before="0" w:beforeAutospacing="0" w:after="0" w:afterAutospacing="0" w:line="259" w:lineRule="auto"/>
        <w:rPr>
          <w:rFonts w:asciiTheme="minorHAnsi" w:hAnsiTheme="minorHAnsi" w:cstheme="minorHAnsi"/>
          <w:sz w:val="20"/>
          <w:szCs w:val="20"/>
        </w:rPr>
      </w:pPr>
      <w:r>
        <w:rPr>
          <w:rFonts w:asciiTheme="minorHAnsi" w:hAnsiTheme="minorHAnsi" w:cstheme="minorHAnsi"/>
          <w:sz w:val="20"/>
          <w:szCs w:val="20"/>
        </w:rPr>
        <w:t>Integrating</w:t>
      </w:r>
      <w:r w:rsidR="007C1AE1" w:rsidRPr="00F85AFE">
        <w:rPr>
          <w:rFonts w:asciiTheme="minorHAnsi" w:hAnsiTheme="minorHAnsi" w:cstheme="minorHAnsi"/>
          <w:sz w:val="20"/>
          <w:szCs w:val="20"/>
        </w:rPr>
        <w:t xml:space="preserve"> </w:t>
      </w:r>
      <w:r>
        <w:rPr>
          <w:rFonts w:asciiTheme="minorHAnsi" w:hAnsiTheme="minorHAnsi" w:cstheme="minorHAnsi"/>
          <w:sz w:val="20"/>
          <w:szCs w:val="20"/>
        </w:rPr>
        <w:t>conflict</w:t>
      </w:r>
      <w:r w:rsidR="00FF29F0">
        <w:rPr>
          <w:rFonts w:asciiTheme="minorHAnsi" w:hAnsiTheme="minorHAnsi" w:cstheme="minorHAnsi"/>
          <w:sz w:val="20"/>
          <w:szCs w:val="20"/>
        </w:rPr>
        <w:t>-sensitivity</w:t>
      </w:r>
      <w:r w:rsidR="007C1AE1" w:rsidRPr="00F85AFE">
        <w:rPr>
          <w:rFonts w:asciiTheme="minorHAnsi" w:hAnsiTheme="minorHAnsi" w:cstheme="minorHAnsi"/>
          <w:sz w:val="20"/>
          <w:szCs w:val="20"/>
        </w:rPr>
        <w:t xml:space="preserve"> in screening and prioritization procedures. </w:t>
      </w:r>
      <w:r w:rsidR="00DC640F">
        <w:rPr>
          <w:rFonts w:asciiTheme="minorHAnsi" w:hAnsiTheme="minorHAnsi" w:cstheme="minorHAnsi"/>
          <w:sz w:val="20"/>
          <w:szCs w:val="20"/>
        </w:rPr>
        <w:t xml:space="preserve">This means </w:t>
      </w:r>
      <w:r w:rsidR="006F6F67">
        <w:rPr>
          <w:rFonts w:asciiTheme="minorHAnsi" w:hAnsiTheme="minorHAnsi" w:cstheme="minorHAnsi"/>
          <w:sz w:val="20"/>
          <w:szCs w:val="20"/>
        </w:rPr>
        <w:t xml:space="preserve">screening </w:t>
      </w:r>
      <w:r w:rsidR="00574D17">
        <w:rPr>
          <w:rFonts w:asciiTheme="minorHAnsi" w:hAnsiTheme="minorHAnsi" w:cstheme="minorHAnsi"/>
          <w:sz w:val="20"/>
          <w:szCs w:val="20"/>
        </w:rPr>
        <w:t xml:space="preserve">specifically for </w:t>
      </w:r>
      <w:r w:rsidR="00B45AAE">
        <w:rPr>
          <w:rFonts w:asciiTheme="minorHAnsi" w:hAnsiTheme="minorHAnsi" w:cstheme="minorHAnsi"/>
          <w:sz w:val="20"/>
          <w:szCs w:val="20"/>
        </w:rPr>
        <w:t xml:space="preserve">clients or investee companies that </w:t>
      </w:r>
      <w:r w:rsidR="00C65774">
        <w:rPr>
          <w:rFonts w:asciiTheme="minorHAnsi" w:hAnsiTheme="minorHAnsi" w:cstheme="minorHAnsi"/>
          <w:sz w:val="20"/>
          <w:szCs w:val="20"/>
        </w:rPr>
        <w:t>have activities and/or business relationships with (</w:t>
      </w:r>
      <w:r w:rsidR="00134D84">
        <w:rPr>
          <w:rFonts w:asciiTheme="minorHAnsi" w:hAnsiTheme="minorHAnsi" w:cstheme="minorHAnsi"/>
          <w:sz w:val="20"/>
          <w:szCs w:val="20"/>
        </w:rPr>
        <w:t xml:space="preserve">potential) </w:t>
      </w:r>
      <w:r w:rsidR="00C65774">
        <w:rPr>
          <w:rFonts w:asciiTheme="minorHAnsi" w:hAnsiTheme="minorHAnsi" w:cstheme="minorHAnsi"/>
          <w:sz w:val="20"/>
          <w:szCs w:val="20"/>
        </w:rPr>
        <w:t>conflict</w:t>
      </w:r>
      <w:r w:rsidR="00134D84">
        <w:rPr>
          <w:rFonts w:asciiTheme="minorHAnsi" w:hAnsiTheme="minorHAnsi" w:cstheme="minorHAnsi"/>
          <w:sz w:val="20"/>
          <w:szCs w:val="20"/>
        </w:rPr>
        <w:t xml:space="preserve"> </w:t>
      </w:r>
      <w:r w:rsidR="00C65774">
        <w:rPr>
          <w:rFonts w:asciiTheme="minorHAnsi" w:hAnsiTheme="minorHAnsi" w:cstheme="minorHAnsi"/>
          <w:sz w:val="20"/>
          <w:szCs w:val="20"/>
        </w:rPr>
        <w:t>areas</w:t>
      </w:r>
      <w:r w:rsidR="002A658D">
        <w:rPr>
          <w:rFonts w:asciiTheme="minorHAnsi" w:hAnsiTheme="minorHAnsi" w:cstheme="minorHAnsi"/>
          <w:sz w:val="20"/>
          <w:szCs w:val="20"/>
        </w:rPr>
        <w:t xml:space="preserve">. </w:t>
      </w:r>
      <w:r w:rsidR="00962B3B">
        <w:rPr>
          <w:rFonts w:asciiTheme="minorHAnsi" w:hAnsiTheme="minorHAnsi" w:cstheme="minorHAnsi"/>
          <w:sz w:val="20"/>
          <w:szCs w:val="20"/>
        </w:rPr>
        <w:t xml:space="preserve">It is important to screen for a </w:t>
      </w:r>
      <w:r w:rsidR="006F6F67">
        <w:rPr>
          <w:rFonts w:asciiTheme="minorHAnsi" w:hAnsiTheme="minorHAnsi" w:cstheme="minorHAnsi"/>
          <w:sz w:val="20"/>
          <w:szCs w:val="20"/>
        </w:rPr>
        <w:t xml:space="preserve">combination of </w:t>
      </w:r>
      <w:r w:rsidR="00CC706C">
        <w:rPr>
          <w:rFonts w:asciiTheme="minorHAnsi" w:hAnsiTheme="minorHAnsi" w:cstheme="minorHAnsi"/>
          <w:sz w:val="20"/>
          <w:szCs w:val="20"/>
        </w:rPr>
        <w:t xml:space="preserve">conflict </w:t>
      </w:r>
      <w:r w:rsidR="006F6F67">
        <w:rPr>
          <w:rFonts w:asciiTheme="minorHAnsi" w:hAnsiTheme="minorHAnsi" w:cstheme="minorHAnsi"/>
          <w:sz w:val="20"/>
          <w:szCs w:val="20"/>
        </w:rPr>
        <w:t>risk indicators</w:t>
      </w:r>
      <w:r w:rsidR="004F2F06">
        <w:rPr>
          <w:rFonts w:asciiTheme="minorHAnsi" w:hAnsiTheme="minorHAnsi" w:cstheme="minorHAnsi"/>
          <w:sz w:val="20"/>
          <w:szCs w:val="20"/>
        </w:rPr>
        <w:t xml:space="preserve"> or ‘red flags’ related to</w:t>
      </w:r>
      <w:r w:rsidR="00962B3B">
        <w:rPr>
          <w:rFonts w:asciiTheme="minorHAnsi" w:hAnsiTheme="minorHAnsi" w:cstheme="minorHAnsi"/>
          <w:sz w:val="20"/>
          <w:szCs w:val="20"/>
        </w:rPr>
        <w:t xml:space="preserve"> </w:t>
      </w:r>
      <w:r w:rsidR="006F6F67">
        <w:rPr>
          <w:rFonts w:asciiTheme="minorHAnsi" w:hAnsiTheme="minorHAnsi" w:cstheme="minorHAnsi"/>
          <w:sz w:val="20"/>
          <w:szCs w:val="20"/>
        </w:rPr>
        <w:t>geograph</w:t>
      </w:r>
      <w:r w:rsidR="00693F24">
        <w:rPr>
          <w:rFonts w:asciiTheme="minorHAnsi" w:hAnsiTheme="minorHAnsi" w:cstheme="minorHAnsi"/>
          <w:sz w:val="20"/>
          <w:szCs w:val="20"/>
        </w:rPr>
        <w:t xml:space="preserve">y, sector, product, </w:t>
      </w:r>
      <w:r w:rsidR="00642B63">
        <w:rPr>
          <w:rFonts w:asciiTheme="minorHAnsi" w:hAnsiTheme="minorHAnsi" w:cstheme="minorHAnsi"/>
          <w:sz w:val="20"/>
          <w:szCs w:val="20"/>
        </w:rPr>
        <w:t>business model</w:t>
      </w:r>
      <w:r w:rsidR="00F44FCA">
        <w:rPr>
          <w:rFonts w:asciiTheme="minorHAnsi" w:hAnsiTheme="minorHAnsi" w:cstheme="minorHAnsi"/>
          <w:sz w:val="20"/>
          <w:szCs w:val="20"/>
        </w:rPr>
        <w:t xml:space="preserve"> and/or</w:t>
      </w:r>
      <w:r w:rsidR="009F51AB">
        <w:rPr>
          <w:rFonts w:asciiTheme="minorHAnsi" w:hAnsiTheme="minorHAnsi" w:cstheme="minorHAnsi"/>
          <w:sz w:val="20"/>
          <w:szCs w:val="20"/>
        </w:rPr>
        <w:t xml:space="preserve"> specific business relationships</w:t>
      </w:r>
      <w:r w:rsidR="00962B3B">
        <w:rPr>
          <w:rFonts w:asciiTheme="minorHAnsi" w:hAnsiTheme="minorHAnsi" w:cstheme="minorHAnsi"/>
          <w:sz w:val="20"/>
          <w:szCs w:val="20"/>
        </w:rPr>
        <w:t>.</w:t>
      </w:r>
      <w:r w:rsidR="009D3B3C">
        <w:rPr>
          <w:rFonts w:asciiTheme="minorHAnsi" w:hAnsiTheme="minorHAnsi" w:cstheme="minorHAnsi"/>
          <w:sz w:val="20"/>
          <w:szCs w:val="20"/>
        </w:rPr>
        <w:t xml:space="preserve"> </w:t>
      </w:r>
      <w:r w:rsidR="00443FC2">
        <w:rPr>
          <w:rFonts w:asciiTheme="minorHAnsi" w:hAnsiTheme="minorHAnsi" w:cstheme="minorHAnsi"/>
          <w:sz w:val="20"/>
          <w:szCs w:val="20"/>
        </w:rPr>
        <w:t>Companies that are</w:t>
      </w:r>
      <w:r w:rsidR="00236F1C">
        <w:rPr>
          <w:rFonts w:asciiTheme="minorHAnsi" w:hAnsiTheme="minorHAnsi" w:cstheme="minorHAnsi"/>
          <w:sz w:val="20"/>
          <w:szCs w:val="20"/>
        </w:rPr>
        <w:t xml:space="preserve"> identified through this screening should be prioritized for further assessment. </w:t>
      </w:r>
      <w:r w:rsidR="00B542AA">
        <w:rPr>
          <w:rFonts w:asciiTheme="minorHAnsi" w:hAnsiTheme="minorHAnsi" w:cstheme="minorHAnsi"/>
          <w:sz w:val="20"/>
          <w:szCs w:val="20"/>
        </w:rPr>
        <w:t xml:space="preserve">Investors should make sure that these companies have proper </w:t>
      </w:r>
      <w:proofErr w:type="spellStart"/>
      <w:r w:rsidR="00B542AA">
        <w:rPr>
          <w:rFonts w:asciiTheme="minorHAnsi" w:hAnsiTheme="minorHAnsi" w:cstheme="minorHAnsi"/>
          <w:sz w:val="20"/>
          <w:szCs w:val="20"/>
        </w:rPr>
        <w:t>hHRDD</w:t>
      </w:r>
      <w:proofErr w:type="spellEnd"/>
      <w:r w:rsidR="00B542AA">
        <w:rPr>
          <w:rFonts w:asciiTheme="minorHAnsi" w:hAnsiTheme="minorHAnsi" w:cstheme="minorHAnsi"/>
          <w:sz w:val="20"/>
          <w:szCs w:val="20"/>
        </w:rPr>
        <w:t xml:space="preserve"> processes in place</w:t>
      </w:r>
      <w:r w:rsidR="002F34D2">
        <w:rPr>
          <w:rFonts w:asciiTheme="minorHAnsi" w:hAnsiTheme="minorHAnsi" w:cstheme="minorHAnsi"/>
          <w:sz w:val="20"/>
          <w:szCs w:val="20"/>
        </w:rPr>
        <w:t>.</w:t>
      </w:r>
    </w:p>
    <w:p w14:paraId="6673E36B" w14:textId="55FFBDB8" w:rsidR="007C1AE1" w:rsidRPr="00822324" w:rsidRDefault="375973F0" w:rsidP="375973F0">
      <w:pPr>
        <w:pStyle w:val="paragraph"/>
        <w:numPr>
          <w:ilvl w:val="0"/>
          <w:numId w:val="2"/>
        </w:numPr>
        <w:spacing w:before="0" w:beforeAutospacing="0" w:after="0" w:afterAutospacing="0" w:line="259" w:lineRule="auto"/>
        <w:textAlignment w:val="baseline"/>
        <w:rPr>
          <w:rFonts w:asciiTheme="minorHAnsi" w:eastAsiaTheme="majorEastAsia" w:hAnsiTheme="minorHAnsi" w:cstheme="minorBidi"/>
          <w:sz w:val="20"/>
          <w:szCs w:val="20"/>
        </w:rPr>
      </w:pPr>
      <w:r w:rsidRPr="375973F0">
        <w:rPr>
          <w:rFonts w:asciiTheme="minorHAnsi" w:hAnsiTheme="minorHAnsi" w:cstheme="minorBidi"/>
          <w:sz w:val="20"/>
          <w:szCs w:val="20"/>
        </w:rPr>
        <w:t xml:space="preserve">If the company is found to run a risk of becoming involved with conflict and/or HR or IHL violations in a (potential) conflict-affected area, the investor needs to engage with the company and review the latter’s own conflict analysis, as well as its assessment of the human rights risks and mitigating </w:t>
      </w:r>
      <w:r w:rsidRPr="375973F0">
        <w:rPr>
          <w:rFonts w:asciiTheme="minorHAnsi" w:hAnsiTheme="minorHAnsi" w:cstheme="minorBidi"/>
          <w:sz w:val="20"/>
          <w:szCs w:val="20"/>
        </w:rPr>
        <w:lastRenderedPageBreak/>
        <w:t xml:space="preserve">measures, including with regards to stakeholder engagement and a potential responsible exit. The investor needs to complement the information provided by the company with its own research, for instance, based on reports from international organizations, NGOs, independent experts, academia, and media. </w:t>
      </w:r>
    </w:p>
    <w:p w14:paraId="50778F30" w14:textId="77777777" w:rsidR="00822324" w:rsidRPr="00822324" w:rsidRDefault="00822324" w:rsidP="00822324">
      <w:pPr>
        <w:pStyle w:val="paragraph"/>
        <w:spacing w:before="0" w:beforeAutospacing="0" w:after="0" w:afterAutospacing="0" w:line="259" w:lineRule="auto"/>
        <w:ind w:left="643"/>
        <w:textAlignment w:val="baseline"/>
        <w:rPr>
          <w:rStyle w:val="normaltextrun"/>
          <w:rFonts w:asciiTheme="minorHAnsi" w:eastAsiaTheme="majorEastAsia" w:hAnsiTheme="minorHAnsi" w:cstheme="minorHAnsi"/>
          <w:sz w:val="20"/>
          <w:szCs w:val="20"/>
        </w:rPr>
      </w:pPr>
    </w:p>
    <w:p w14:paraId="06E86E8B" w14:textId="77777777" w:rsidR="007C1AE1" w:rsidRPr="00F85AFE" w:rsidRDefault="007C1AE1" w:rsidP="007C1AE1">
      <w:pPr>
        <w:rPr>
          <w:rFonts w:asciiTheme="minorHAnsi" w:hAnsiTheme="minorHAnsi" w:cstheme="minorHAnsi"/>
          <w:b/>
          <w:bCs/>
          <w:szCs w:val="20"/>
          <w:u w:val="single"/>
          <w:lang w:val="en-US"/>
        </w:rPr>
      </w:pPr>
      <w:r w:rsidRPr="00F85AFE">
        <w:rPr>
          <w:rFonts w:asciiTheme="minorHAnsi" w:hAnsiTheme="minorHAnsi" w:cstheme="minorHAnsi"/>
          <w:b/>
          <w:bCs/>
          <w:szCs w:val="20"/>
          <w:u w:val="single"/>
          <w:lang w:val="en-US"/>
        </w:rPr>
        <w:t xml:space="preserve">Access to remedy </w:t>
      </w:r>
    </w:p>
    <w:p w14:paraId="1DE588D7" w14:textId="77777777" w:rsidR="007C1AE1" w:rsidRPr="00F85AFE" w:rsidRDefault="007C1AE1" w:rsidP="007C1AE1">
      <w:pPr>
        <w:pStyle w:val="paragraph"/>
        <w:spacing w:before="0" w:beforeAutospacing="0" w:after="0" w:afterAutospacing="0"/>
        <w:textAlignment w:val="baseline"/>
        <w:rPr>
          <w:rStyle w:val="normaltextrun"/>
          <w:rFonts w:asciiTheme="minorHAnsi" w:eastAsiaTheme="majorEastAsia" w:hAnsiTheme="minorHAnsi" w:cstheme="minorHAnsi"/>
          <w:sz w:val="20"/>
          <w:szCs w:val="20"/>
        </w:rPr>
      </w:pPr>
    </w:p>
    <w:p w14:paraId="09BF5861" w14:textId="77777777" w:rsidR="007C1AE1" w:rsidRPr="00F85AFE" w:rsidRDefault="007C1AE1" w:rsidP="007C1AE1">
      <w:pPr>
        <w:pStyle w:val="paragraph"/>
        <w:spacing w:before="0" w:beforeAutospacing="0" w:after="0" w:afterAutospacing="0"/>
        <w:textAlignment w:val="baseline"/>
        <w:rPr>
          <w:rStyle w:val="normaltextrun"/>
          <w:rFonts w:asciiTheme="minorHAnsi" w:eastAsiaTheme="majorEastAsia" w:hAnsiTheme="minorHAnsi" w:cstheme="minorHAnsi"/>
          <w:b/>
          <w:bCs/>
          <w:sz w:val="20"/>
          <w:szCs w:val="20"/>
        </w:rPr>
      </w:pPr>
      <w:r w:rsidRPr="00F85AFE">
        <w:rPr>
          <w:rStyle w:val="normaltextrun"/>
          <w:rFonts w:asciiTheme="minorHAnsi" w:eastAsiaTheme="majorEastAsia" w:hAnsiTheme="minorHAnsi" w:cstheme="minorHAnsi"/>
          <w:b/>
          <w:bCs/>
          <w:sz w:val="20"/>
          <w:szCs w:val="20"/>
        </w:rPr>
        <w:t>State-based judicial and non-judicial mechanisms</w:t>
      </w:r>
    </w:p>
    <w:p w14:paraId="0CAE4487" w14:textId="77777777" w:rsidR="007C1AE1" w:rsidRPr="00F85AFE" w:rsidRDefault="007C1AE1" w:rsidP="007C1AE1">
      <w:pPr>
        <w:pStyle w:val="paragraph"/>
        <w:spacing w:before="0" w:beforeAutospacing="0" w:after="0" w:afterAutospacing="0"/>
        <w:textAlignment w:val="baseline"/>
        <w:rPr>
          <w:rStyle w:val="normaltextrun"/>
          <w:rFonts w:asciiTheme="minorHAnsi" w:eastAsiaTheme="majorEastAsia" w:hAnsiTheme="minorHAnsi" w:cstheme="minorHAnsi"/>
          <w:sz w:val="20"/>
          <w:szCs w:val="20"/>
        </w:rPr>
      </w:pPr>
    </w:p>
    <w:p w14:paraId="1487A6DE" w14:textId="77777777" w:rsidR="007C1AE1" w:rsidRPr="0051454D" w:rsidRDefault="007C1AE1" w:rsidP="007C1AE1">
      <w:pPr>
        <w:pStyle w:val="paragraph"/>
        <w:spacing w:before="0" w:beforeAutospacing="0" w:after="0" w:afterAutospacing="0"/>
        <w:textAlignment w:val="baseline"/>
        <w:rPr>
          <w:rFonts w:asciiTheme="minorHAnsi" w:eastAsiaTheme="majorEastAsia" w:hAnsiTheme="minorHAnsi" w:cstheme="minorHAnsi"/>
          <w:b/>
          <w:sz w:val="20"/>
          <w:szCs w:val="20"/>
        </w:rPr>
      </w:pPr>
      <w:r w:rsidRPr="0051454D">
        <w:rPr>
          <w:rStyle w:val="normaltextrun"/>
          <w:rFonts w:asciiTheme="minorHAnsi" w:eastAsiaTheme="majorEastAsia" w:hAnsiTheme="minorHAnsi" w:cstheme="minorHAnsi"/>
          <w:b/>
          <w:sz w:val="20"/>
          <w:szCs w:val="20"/>
        </w:rPr>
        <w:t>(2) Please provide examples of cases submitted to State-based judicial and/or non-judicial mechanisms regarding investors in the context of business-related human rights and environmental abuses. How effective are these in providing remedies to the victims and how can they be improved?</w:t>
      </w:r>
      <w:r w:rsidRPr="0051454D">
        <w:rPr>
          <w:rStyle w:val="eop"/>
          <w:rFonts w:asciiTheme="minorHAnsi" w:eastAsiaTheme="majorEastAsia" w:hAnsiTheme="minorHAnsi" w:cstheme="minorHAnsi"/>
          <w:b/>
          <w:sz w:val="20"/>
          <w:szCs w:val="20"/>
        </w:rPr>
        <w:t> </w:t>
      </w:r>
    </w:p>
    <w:p w14:paraId="3319527D" w14:textId="77777777" w:rsidR="007C1AE1" w:rsidRPr="00F85AFE" w:rsidRDefault="007C1AE1" w:rsidP="007C1AE1">
      <w:pPr>
        <w:pStyle w:val="paragraph"/>
        <w:spacing w:before="0" w:beforeAutospacing="0" w:after="0" w:afterAutospacing="0"/>
        <w:textAlignment w:val="baseline"/>
        <w:rPr>
          <w:rStyle w:val="eop"/>
          <w:rFonts w:asciiTheme="minorHAnsi" w:eastAsiaTheme="majorEastAsia" w:hAnsiTheme="minorHAnsi" w:cstheme="minorHAnsi"/>
          <w:sz w:val="20"/>
          <w:szCs w:val="20"/>
        </w:rPr>
      </w:pPr>
    </w:p>
    <w:p w14:paraId="0B7753FA" w14:textId="55FA7EF8" w:rsidR="007C1AE1" w:rsidRPr="00F85AFE" w:rsidRDefault="375973F0" w:rsidP="375973F0">
      <w:pPr>
        <w:pStyle w:val="paragraph"/>
        <w:spacing w:before="0" w:beforeAutospacing="0" w:after="0" w:afterAutospacing="0"/>
        <w:textAlignment w:val="baseline"/>
        <w:rPr>
          <w:rStyle w:val="eop"/>
          <w:rFonts w:asciiTheme="minorHAnsi" w:eastAsiaTheme="majorEastAsia" w:hAnsiTheme="minorHAnsi" w:cstheme="minorBidi"/>
          <w:sz w:val="20"/>
          <w:szCs w:val="20"/>
        </w:rPr>
      </w:pPr>
      <w:r w:rsidRPr="375973F0">
        <w:rPr>
          <w:rStyle w:val="eop"/>
          <w:rFonts w:asciiTheme="minorHAnsi" w:eastAsiaTheme="majorEastAsia" w:hAnsiTheme="minorHAnsi" w:cstheme="minorBidi"/>
          <w:sz w:val="20"/>
          <w:szCs w:val="20"/>
        </w:rPr>
        <w:t xml:space="preserve">Together with 7 other civil society organizations based in Europe and South Sudan, PAX filed an </w:t>
      </w:r>
      <w:hyperlink r:id="rId8">
        <w:r w:rsidRPr="375973F0">
          <w:rPr>
            <w:rStyle w:val="Hyperlink"/>
            <w:rFonts w:asciiTheme="minorHAnsi" w:eastAsiaTheme="majorEastAsia" w:hAnsiTheme="minorHAnsi" w:cstheme="minorBidi"/>
            <w:b/>
            <w:bCs/>
            <w:sz w:val="20"/>
            <w:szCs w:val="20"/>
          </w:rPr>
          <w:t>NCP-complaint</w:t>
        </w:r>
      </w:hyperlink>
      <w:r w:rsidRPr="375973F0">
        <w:rPr>
          <w:rStyle w:val="eop"/>
          <w:rFonts w:asciiTheme="minorHAnsi" w:eastAsiaTheme="majorEastAsia" w:hAnsiTheme="minorHAnsi" w:cstheme="minorBidi"/>
          <w:b/>
          <w:bCs/>
          <w:sz w:val="20"/>
          <w:szCs w:val="20"/>
        </w:rPr>
        <w:t xml:space="preserve"> </w:t>
      </w:r>
      <w:r w:rsidRPr="375973F0">
        <w:rPr>
          <w:rStyle w:val="eop"/>
          <w:rFonts w:asciiTheme="minorHAnsi" w:eastAsiaTheme="majorEastAsia" w:hAnsiTheme="minorHAnsi" w:cstheme="minorBidi"/>
          <w:sz w:val="20"/>
          <w:szCs w:val="20"/>
        </w:rPr>
        <w:t xml:space="preserve">with the Norwegian National Contact Point for the OECD Guidelines, against the Norwegian private investment company Aker ASA, main shareholder of the oil company Aker BP. In February 2023 the Norwegian NCP issued its </w:t>
      </w:r>
      <w:hyperlink r:id="rId9">
        <w:r w:rsidRPr="375973F0">
          <w:rPr>
            <w:rStyle w:val="Hyperlink"/>
            <w:rFonts w:asciiTheme="minorHAnsi" w:eastAsiaTheme="majorEastAsia" w:hAnsiTheme="minorHAnsi" w:cstheme="minorBidi"/>
            <w:sz w:val="20"/>
            <w:szCs w:val="20"/>
          </w:rPr>
          <w:t>initial assessment</w:t>
        </w:r>
      </w:hyperlink>
      <w:r w:rsidRPr="375973F0">
        <w:rPr>
          <w:rFonts w:asciiTheme="minorHAnsi" w:eastAsiaTheme="majorEastAsia" w:hAnsiTheme="minorHAnsi" w:cstheme="minorBidi"/>
          <w:sz w:val="20"/>
          <w:szCs w:val="20"/>
        </w:rPr>
        <w:t xml:space="preserve"> of the complaint, accepting its submission. A mediation process was set up, but the parties did not reach a joint agreement. The NCP will now publish its own final assessment of the complaint. In this phase, it is not yet possible to assess the effectiveness of this NCP process in providing access to remedy for the victims.</w:t>
      </w:r>
    </w:p>
    <w:p w14:paraId="7BDD66C2" w14:textId="77777777" w:rsidR="007C1AE1" w:rsidRPr="00F85AFE" w:rsidRDefault="007C1AE1" w:rsidP="007C1AE1">
      <w:pPr>
        <w:pStyle w:val="paragraph"/>
        <w:spacing w:before="0" w:beforeAutospacing="0" w:after="0" w:afterAutospacing="0"/>
        <w:textAlignment w:val="baseline"/>
        <w:rPr>
          <w:rStyle w:val="eop"/>
          <w:rFonts w:asciiTheme="minorHAnsi" w:eastAsiaTheme="majorEastAsia" w:hAnsiTheme="minorHAnsi" w:cstheme="minorHAnsi"/>
          <w:b/>
          <w:bCs/>
          <w:sz w:val="20"/>
          <w:szCs w:val="20"/>
        </w:rPr>
      </w:pPr>
    </w:p>
    <w:p w14:paraId="77BC2D3A" w14:textId="77777777" w:rsidR="007C1AE1" w:rsidRPr="00F85AFE" w:rsidRDefault="007C1AE1" w:rsidP="007C1AE1">
      <w:pPr>
        <w:pStyle w:val="paragraph"/>
        <w:spacing w:before="0" w:beforeAutospacing="0" w:after="0" w:afterAutospacing="0"/>
        <w:textAlignment w:val="baseline"/>
        <w:rPr>
          <w:rStyle w:val="eop"/>
          <w:rFonts w:asciiTheme="minorHAnsi" w:eastAsiaTheme="majorEastAsia" w:hAnsiTheme="minorHAnsi" w:cstheme="minorHAnsi"/>
          <w:b/>
          <w:bCs/>
          <w:sz w:val="20"/>
          <w:szCs w:val="20"/>
        </w:rPr>
      </w:pPr>
      <w:r w:rsidRPr="00F85AFE">
        <w:rPr>
          <w:rStyle w:val="eop"/>
          <w:rFonts w:asciiTheme="minorHAnsi" w:eastAsiaTheme="majorEastAsia" w:hAnsiTheme="minorHAnsi" w:cstheme="minorHAnsi"/>
          <w:b/>
          <w:bCs/>
          <w:sz w:val="20"/>
          <w:szCs w:val="20"/>
        </w:rPr>
        <w:t>Non-State based mechanisms</w:t>
      </w:r>
    </w:p>
    <w:p w14:paraId="091FFF56" w14:textId="77777777" w:rsidR="007C1AE1" w:rsidRPr="00F85AFE" w:rsidRDefault="007C1AE1" w:rsidP="007C1AE1">
      <w:pPr>
        <w:pStyle w:val="paragraph"/>
        <w:spacing w:before="0" w:beforeAutospacing="0" w:after="0" w:afterAutospacing="0"/>
        <w:textAlignment w:val="baseline"/>
        <w:rPr>
          <w:rStyle w:val="eop"/>
          <w:rFonts w:asciiTheme="minorHAnsi" w:eastAsiaTheme="majorEastAsia" w:hAnsiTheme="minorHAnsi" w:cstheme="minorHAnsi"/>
          <w:sz w:val="20"/>
          <w:szCs w:val="20"/>
          <w:u w:val="single"/>
        </w:rPr>
      </w:pPr>
    </w:p>
    <w:p w14:paraId="2B93440F" w14:textId="77777777" w:rsidR="007C1AE1" w:rsidRPr="0051454D" w:rsidRDefault="007C1AE1" w:rsidP="007C1AE1">
      <w:pPr>
        <w:pStyle w:val="paragraph"/>
        <w:spacing w:before="0" w:beforeAutospacing="0" w:after="0" w:afterAutospacing="0"/>
        <w:textAlignment w:val="baseline"/>
        <w:rPr>
          <w:rStyle w:val="eop"/>
          <w:rFonts w:asciiTheme="minorHAnsi" w:hAnsiTheme="minorHAnsi" w:cstheme="minorHAnsi"/>
          <w:b/>
          <w:sz w:val="20"/>
          <w:szCs w:val="20"/>
        </w:rPr>
      </w:pPr>
      <w:r w:rsidRPr="0051454D">
        <w:rPr>
          <w:rStyle w:val="eop"/>
          <w:rFonts w:asciiTheme="minorHAnsi" w:hAnsiTheme="minorHAnsi" w:cstheme="minorHAnsi"/>
          <w:b/>
          <w:sz w:val="20"/>
          <w:szCs w:val="20"/>
        </w:rPr>
        <w:t>(1) What remediation responsibilities should investors have? Should these responsibilities vary depending on the nature of the responsibility e.g. cause, contribute to, or be directly linked to the adverse human rights impact? Should it vary depending on the sector invested or the type of investment activity?</w:t>
      </w:r>
    </w:p>
    <w:p w14:paraId="4BA6C7AB" w14:textId="77777777" w:rsidR="007C1AE1" w:rsidRPr="00F85AFE" w:rsidRDefault="007C1AE1" w:rsidP="007C1AE1">
      <w:pPr>
        <w:pStyle w:val="paragraph"/>
        <w:spacing w:before="0" w:beforeAutospacing="0" w:after="0" w:afterAutospacing="0"/>
        <w:textAlignment w:val="baseline"/>
        <w:rPr>
          <w:rStyle w:val="eop"/>
          <w:rFonts w:asciiTheme="minorHAnsi" w:hAnsiTheme="minorHAnsi" w:cstheme="minorHAnsi"/>
          <w:sz w:val="20"/>
          <w:szCs w:val="20"/>
        </w:rPr>
      </w:pPr>
    </w:p>
    <w:p w14:paraId="4ED98A5D" w14:textId="3725924D" w:rsidR="007C1AE1" w:rsidRPr="00F85AFE" w:rsidRDefault="007C1AE1" w:rsidP="46EC915E">
      <w:pPr>
        <w:rPr>
          <w:rFonts w:asciiTheme="minorHAnsi" w:hAnsiTheme="minorHAnsi" w:cstheme="minorBidi"/>
          <w:lang w:val="en-US"/>
        </w:rPr>
      </w:pPr>
      <w:r w:rsidRPr="375973F0">
        <w:rPr>
          <w:rFonts w:asciiTheme="minorHAnsi" w:hAnsiTheme="minorHAnsi" w:cstheme="minorBidi"/>
          <w:lang w:val="en-US"/>
        </w:rPr>
        <w:t>I</w:t>
      </w:r>
      <w:r w:rsidR="3CA45F45" w:rsidRPr="375973F0">
        <w:rPr>
          <w:rFonts w:asciiTheme="minorHAnsi" w:hAnsiTheme="minorHAnsi" w:cstheme="minorBidi"/>
          <w:lang w:val="en-US"/>
        </w:rPr>
        <w:t>f</w:t>
      </w:r>
      <w:r w:rsidRPr="375973F0">
        <w:rPr>
          <w:rFonts w:asciiTheme="minorHAnsi" w:hAnsiTheme="minorHAnsi" w:cstheme="minorBidi"/>
          <w:lang w:val="en-US"/>
        </w:rPr>
        <w:t xml:space="preserve"> an investor causes or contributes to an adverse impact</w:t>
      </w:r>
      <w:r w:rsidR="255B29DE" w:rsidRPr="375973F0">
        <w:rPr>
          <w:rFonts w:asciiTheme="minorHAnsi" w:hAnsiTheme="minorHAnsi" w:cstheme="minorBidi"/>
          <w:lang w:val="en-US"/>
        </w:rPr>
        <w:t>,</w:t>
      </w:r>
      <w:r w:rsidRPr="375973F0">
        <w:rPr>
          <w:rFonts w:asciiTheme="minorHAnsi" w:hAnsiTheme="minorHAnsi" w:cstheme="minorBidi"/>
          <w:lang w:val="en-US"/>
        </w:rPr>
        <w:t xml:space="preserve"> it should, just like any other enterprise, provide for or contribute to remedy. In case of a ‘direct link’ to an adverse impact caused or contributed to by a client or portfolio company, the investor should use its leverage to influence that company to provide for or contribute to remedy. To determine the remediation responsibility</w:t>
      </w:r>
      <w:r w:rsidR="30E894F0" w:rsidRPr="375973F0">
        <w:rPr>
          <w:rFonts w:asciiTheme="minorHAnsi" w:hAnsiTheme="minorHAnsi" w:cstheme="minorBidi"/>
          <w:lang w:val="en-US"/>
        </w:rPr>
        <w:t>,</w:t>
      </w:r>
      <w:r w:rsidRPr="375973F0">
        <w:rPr>
          <w:rFonts w:asciiTheme="minorHAnsi" w:hAnsiTheme="minorHAnsi" w:cstheme="minorBidi"/>
          <w:lang w:val="en-US"/>
        </w:rPr>
        <w:t xml:space="preserve"> one therefore first has to determine the degree of involvement with the impact. In 2017,</w:t>
      </w:r>
      <w:r w:rsidR="303A9335" w:rsidRPr="375973F0">
        <w:rPr>
          <w:rFonts w:asciiTheme="minorHAnsi" w:hAnsiTheme="minorHAnsi" w:cstheme="minorBidi"/>
          <w:lang w:val="en-US"/>
        </w:rPr>
        <w:t xml:space="preserve"> the OHCHR, the UN Working Group and Prof. </w:t>
      </w:r>
      <w:proofErr w:type="spellStart"/>
      <w:r w:rsidR="303A9335" w:rsidRPr="375973F0">
        <w:rPr>
          <w:rFonts w:asciiTheme="minorHAnsi" w:hAnsiTheme="minorHAnsi" w:cstheme="minorBidi"/>
          <w:lang w:val="en-US"/>
        </w:rPr>
        <w:t>Ruggie</w:t>
      </w:r>
      <w:proofErr w:type="spellEnd"/>
      <w:r w:rsidR="303A9335" w:rsidRPr="375973F0">
        <w:rPr>
          <w:rFonts w:asciiTheme="minorHAnsi" w:hAnsiTheme="minorHAnsi" w:cstheme="minorBidi"/>
          <w:lang w:val="en-US"/>
        </w:rPr>
        <w:t xml:space="preserve"> confirmed that banks can also be found contributing to adverse impacts when their own actions </w:t>
      </w:r>
      <w:r w:rsidR="303A9335" w:rsidRPr="375973F0">
        <w:rPr>
          <w:rFonts w:asciiTheme="minorHAnsi" w:hAnsiTheme="minorHAnsi" w:cstheme="minorBidi"/>
          <w:u w:val="single"/>
          <w:lang w:val="en-US"/>
        </w:rPr>
        <w:t>or inactions</w:t>
      </w:r>
      <w:r w:rsidR="303A9335" w:rsidRPr="375973F0">
        <w:rPr>
          <w:rFonts w:asciiTheme="minorHAnsi" w:hAnsiTheme="minorHAnsi" w:cstheme="minorBidi"/>
          <w:lang w:val="en-US"/>
        </w:rPr>
        <w:t xml:space="preserve"> facilitate or incentivize a client to cause or contribute to an adverse impact.</w:t>
      </w:r>
      <w:r w:rsidRPr="375973F0">
        <w:rPr>
          <w:rStyle w:val="Voetnootmarkering"/>
          <w:rFonts w:asciiTheme="minorHAnsi" w:hAnsiTheme="minorHAnsi" w:cstheme="minorBidi"/>
          <w:lang w:val="en-US"/>
        </w:rPr>
        <w:footnoteReference w:id="20"/>
      </w:r>
    </w:p>
    <w:p w14:paraId="2EF0582D" w14:textId="77777777" w:rsidR="007C1AE1" w:rsidRPr="00F85AFE" w:rsidRDefault="007C1AE1" w:rsidP="007C1AE1">
      <w:pPr>
        <w:rPr>
          <w:rFonts w:asciiTheme="minorHAnsi" w:hAnsiTheme="minorHAnsi" w:cstheme="minorHAnsi"/>
          <w:szCs w:val="20"/>
          <w:lang w:val="en-US"/>
        </w:rPr>
      </w:pPr>
    </w:p>
    <w:p w14:paraId="55738ED6" w14:textId="77777777" w:rsidR="007C1AE1" w:rsidRPr="00F85AFE" w:rsidRDefault="007C1AE1" w:rsidP="007C1AE1">
      <w:pPr>
        <w:rPr>
          <w:rFonts w:asciiTheme="minorHAnsi" w:hAnsiTheme="minorHAnsi" w:cstheme="minorHAnsi"/>
          <w:szCs w:val="20"/>
          <w:lang w:val="en-US"/>
        </w:rPr>
      </w:pPr>
      <w:r w:rsidRPr="00F85AFE">
        <w:rPr>
          <w:rFonts w:asciiTheme="minorHAnsi" w:hAnsiTheme="minorHAnsi" w:cstheme="minorHAnsi"/>
          <w:szCs w:val="20"/>
          <w:lang w:val="en-US"/>
        </w:rPr>
        <w:t xml:space="preserve">These interpretations have been of great importance in clarifying the way banks can be involved with adverse impacts (and what their remediation responsibilities are) and have been guiding discussions with banks ever since, notably in the development of the </w:t>
      </w:r>
      <w:hyperlink r:id="rId10" w:history="1">
        <w:r w:rsidRPr="00F85AFE">
          <w:rPr>
            <w:rStyle w:val="Hyperlink"/>
            <w:rFonts w:asciiTheme="minorHAnsi" w:hAnsiTheme="minorHAnsi" w:cstheme="minorHAnsi"/>
            <w:szCs w:val="20"/>
            <w:lang w:val="en-US"/>
          </w:rPr>
          <w:t>2019 discussion paper issued by the Working Group ‘Enabling Remediation’ within the Dutch Banking sector Agreement</w:t>
        </w:r>
      </w:hyperlink>
      <w:r w:rsidRPr="00F85AFE">
        <w:rPr>
          <w:rFonts w:asciiTheme="minorHAnsi" w:hAnsiTheme="minorHAnsi" w:cstheme="minorHAnsi"/>
          <w:szCs w:val="20"/>
          <w:lang w:val="en-US"/>
        </w:rPr>
        <w:t>, to which PAX was also a party. This paper provides relevant input on how banks can fill in their remediation responsibilities.</w:t>
      </w:r>
    </w:p>
    <w:p w14:paraId="4D3B9570" w14:textId="77777777" w:rsidR="007C1AE1" w:rsidRPr="00F85AFE" w:rsidRDefault="007C1AE1" w:rsidP="007C1AE1">
      <w:pPr>
        <w:rPr>
          <w:rFonts w:asciiTheme="minorHAnsi" w:hAnsiTheme="minorHAnsi" w:cstheme="minorHAnsi"/>
          <w:szCs w:val="20"/>
          <w:lang w:val="en-US"/>
        </w:rPr>
      </w:pPr>
    </w:p>
    <w:p w14:paraId="01E0C089" w14:textId="1FAE64E1" w:rsidR="007C1AE1" w:rsidRPr="00F85AFE" w:rsidRDefault="007C1AE1" w:rsidP="5CD7329E">
      <w:pPr>
        <w:rPr>
          <w:rFonts w:asciiTheme="minorHAnsi" w:hAnsiTheme="minorHAnsi" w:cstheme="minorBidi"/>
          <w:lang w:val="en-US"/>
        </w:rPr>
      </w:pPr>
      <w:r w:rsidRPr="5CD7329E">
        <w:rPr>
          <w:rFonts w:asciiTheme="minorHAnsi" w:hAnsiTheme="minorHAnsi" w:cstheme="minorBidi"/>
          <w:lang w:val="en-US"/>
        </w:rPr>
        <w:t xml:space="preserve">However, the interpretations were issued as responses to requests for clarification on the responsibilities of </w:t>
      </w:r>
      <w:r w:rsidRPr="5CD7329E">
        <w:rPr>
          <w:rFonts w:asciiTheme="minorHAnsi" w:hAnsiTheme="minorHAnsi" w:cstheme="minorBidi"/>
          <w:u w:val="single"/>
          <w:lang w:val="en-US"/>
        </w:rPr>
        <w:t>banks</w:t>
      </w:r>
      <w:r w:rsidRPr="5CD7329E">
        <w:rPr>
          <w:rFonts w:asciiTheme="minorHAnsi" w:hAnsiTheme="minorHAnsi" w:cstheme="minorBidi"/>
          <w:lang w:val="en-US"/>
        </w:rPr>
        <w:t xml:space="preserve"> and directed at bank-client relationships. </w:t>
      </w:r>
      <w:r w:rsidR="654BE7C2" w:rsidRPr="5CD7329E">
        <w:rPr>
          <w:rFonts w:asciiTheme="minorHAnsi" w:hAnsiTheme="minorHAnsi" w:cstheme="minorBidi"/>
          <w:lang w:val="en-US"/>
        </w:rPr>
        <w:t>A</w:t>
      </w:r>
      <w:r w:rsidRPr="5CD7329E">
        <w:rPr>
          <w:rFonts w:asciiTheme="minorHAnsi" w:hAnsiTheme="minorHAnsi" w:cstheme="minorBidi"/>
          <w:lang w:val="en-US"/>
        </w:rPr>
        <w:t xml:space="preserve">n ‘interpretation gap’ exists, at least in practice, when it comes to determining the degree of involvement (and thus the responsibility for remediation) of </w:t>
      </w:r>
      <w:r w:rsidR="008C61D1" w:rsidRPr="5CD7329E">
        <w:rPr>
          <w:rFonts w:asciiTheme="minorHAnsi" w:hAnsiTheme="minorHAnsi" w:cstheme="minorBidi"/>
          <w:u w:val="single"/>
          <w:lang w:val="en-US"/>
        </w:rPr>
        <w:t>shareholders</w:t>
      </w:r>
      <w:r w:rsidRPr="5CD7329E">
        <w:rPr>
          <w:rFonts w:asciiTheme="minorHAnsi" w:hAnsiTheme="minorHAnsi" w:cstheme="minorBidi"/>
          <w:lang w:val="en-US"/>
        </w:rPr>
        <w:t xml:space="preserve"> in relation to investee companies in which they hold (in the vast majority of cases) </w:t>
      </w:r>
      <w:r w:rsidRPr="5CD7329E">
        <w:rPr>
          <w:rFonts w:asciiTheme="minorHAnsi" w:hAnsiTheme="minorHAnsi" w:cstheme="minorBidi"/>
          <w:u w:val="single"/>
          <w:lang w:val="en-US"/>
        </w:rPr>
        <w:t>minority shares</w:t>
      </w:r>
      <w:r w:rsidRPr="5CD7329E">
        <w:rPr>
          <w:rFonts w:asciiTheme="minorHAnsi" w:hAnsiTheme="minorHAnsi" w:cstheme="minorBidi"/>
          <w:lang w:val="en-US"/>
        </w:rPr>
        <w:t>.</w:t>
      </w:r>
    </w:p>
    <w:p w14:paraId="2646E8E4" w14:textId="77777777" w:rsidR="007C1AE1" w:rsidRPr="00F85AFE" w:rsidRDefault="007C1AE1" w:rsidP="007C1AE1">
      <w:pPr>
        <w:rPr>
          <w:rFonts w:asciiTheme="minorHAnsi" w:hAnsiTheme="minorHAnsi" w:cstheme="minorHAnsi"/>
          <w:szCs w:val="20"/>
          <w:lang w:val="en-US"/>
        </w:rPr>
      </w:pPr>
    </w:p>
    <w:p w14:paraId="09613140" w14:textId="7F2F9133" w:rsidR="007C1AE1" w:rsidRPr="00F85AFE" w:rsidRDefault="375973F0" w:rsidP="375973F0">
      <w:pPr>
        <w:rPr>
          <w:rFonts w:asciiTheme="minorHAnsi" w:hAnsiTheme="minorHAnsi" w:cstheme="minorBidi"/>
          <w:lang w:val="en-US"/>
        </w:rPr>
      </w:pPr>
      <w:r w:rsidRPr="375973F0">
        <w:rPr>
          <w:rFonts w:asciiTheme="minorHAnsi" w:hAnsiTheme="minorHAnsi" w:cstheme="minorBidi"/>
          <w:lang w:val="en-US"/>
        </w:rPr>
        <w:t>In 2013, the OHCHR clarified that minority shareholdings constitute a business relationship and that impacts arising from the activities of the entities in which an investor has a minority shareholding can be considered as being directly linked to the investors’ operations, products or services.</w:t>
      </w:r>
      <w:r w:rsidR="007C1AE1" w:rsidRPr="375973F0">
        <w:rPr>
          <w:rStyle w:val="Voetnootmarkering"/>
          <w:rFonts w:asciiTheme="minorHAnsi" w:hAnsiTheme="minorHAnsi" w:cstheme="minorBidi"/>
          <w:lang w:val="en-US"/>
        </w:rPr>
        <w:footnoteReference w:id="21"/>
      </w:r>
      <w:r w:rsidRPr="375973F0">
        <w:rPr>
          <w:rFonts w:asciiTheme="minorHAnsi" w:hAnsiTheme="minorHAnsi" w:cstheme="minorBidi"/>
          <w:lang w:val="en-US"/>
        </w:rPr>
        <w:t xml:space="preserve"> The letter explicitly states however, that it “does not discuss situations where institutional investors themselves contribute to an adverse impact.” </w:t>
      </w:r>
    </w:p>
    <w:p w14:paraId="70AB1420" w14:textId="77777777" w:rsidR="007C1AE1" w:rsidRPr="00F85AFE" w:rsidRDefault="007C1AE1" w:rsidP="007C1AE1">
      <w:pPr>
        <w:rPr>
          <w:rFonts w:asciiTheme="minorHAnsi" w:hAnsiTheme="minorHAnsi" w:cstheme="minorHAnsi"/>
          <w:szCs w:val="20"/>
          <w:lang w:val="en-US"/>
        </w:rPr>
      </w:pPr>
    </w:p>
    <w:p w14:paraId="6E301273" w14:textId="77777777" w:rsidR="007C1AE1" w:rsidRPr="00F85AFE" w:rsidRDefault="007C1AE1" w:rsidP="007C1AE1">
      <w:pPr>
        <w:rPr>
          <w:rFonts w:asciiTheme="minorHAnsi" w:hAnsiTheme="minorHAnsi" w:cstheme="minorHAnsi"/>
          <w:szCs w:val="20"/>
          <w:lang w:val="en-US"/>
        </w:rPr>
      </w:pPr>
      <w:r w:rsidRPr="00F85AFE">
        <w:rPr>
          <w:rFonts w:asciiTheme="minorHAnsi" w:hAnsiTheme="minorHAnsi" w:cstheme="minorHAnsi"/>
          <w:szCs w:val="20"/>
          <w:lang w:val="en-US"/>
        </w:rPr>
        <w:lastRenderedPageBreak/>
        <w:t xml:space="preserve">The OECD Guidance for Institutional Investors writes the following on degrees of involvement to adverse impacts via minority shareholding relationships: </w:t>
      </w:r>
    </w:p>
    <w:p w14:paraId="4540A550" w14:textId="77777777" w:rsidR="007C1AE1" w:rsidRPr="00F85AFE" w:rsidRDefault="007C1AE1" w:rsidP="007C1AE1">
      <w:pPr>
        <w:rPr>
          <w:rFonts w:asciiTheme="minorHAnsi" w:hAnsiTheme="minorHAnsi" w:cstheme="minorHAnsi"/>
          <w:szCs w:val="20"/>
          <w:lang w:val="en-US"/>
        </w:rPr>
      </w:pPr>
    </w:p>
    <w:p w14:paraId="5C12B851" w14:textId="77777777" w:rsidR="007C1AE1" w:rsidRPr="00F85AFE" w:rsidRDefault="007C1AE1" w:rsidP="007C1AE1">
      <w:pPr>
        <w:rPr>
          <w:rFonts w:asciiTheme="minorHAnsi" w:hAnsiTheme="minorHAnsi" w:cstheme="minorHAnsi"/>
          <w:i/>
          <w:iCs/>
          <w:szCs w:val="20"/>
          <w:lang w:val="en-US"/>
        </w:rPr>
      </w:pPr>
      <w:r w:rsidRPr="00F85AFE">
        <w:rPr>
          <w:rFonts w:asciiTheme="minorHAnsi" w:hAnsiTheme="minorHAnsi" w:cstheme="minorHAnsi"/>
          <w:i/>
          <w:iCs/>
          <w:szCs w:val="20"/>
          <w:lang w:val="en-US"/>
        </w:rPr>
        <w:t>(p 35) “</w:t>
      </w:r>
      <w:r w:rsidRPr="00F85AFE">
        <w:rPr>
          <w:rFonts w:asciiTheme="minorHAnsi" w:hAnsiTheme="minorHAnsi" w:cstheme="minorHAnsi"/>
          <w:b/>
          <w:bCs/>
          <w:i/>
          <w:iCs/>
          <w:szCs w:val="20"/>
          <w:lang w:val="en-US"/>
        </w:rPr>
        <w:t>Generally</w:t>
      </w:r>
      <w:r w:rsidRPr="00F85AFE">
        <w:rPr>
          <w:rFonts w:asciiTheme="minorHAnsi" w:hAnsiTheme="minorHAnsi" w:cstheme="minorHAnsi"/>
          <w:i/>
          <w:iCs/>
          <w:szCs w:val="20"/>
          <w:lang w:val="en-US"/>
        </w:rPr>
        <w:t xml:space="preserve">, a minority shareholder relationship, particularly in listed equities, is </w:t>
      </w:r>
      <w:r w:rsidRPr="00F85AFE">
        <w:rPr>
          <w:rFonts w:asciiTheme="minorHAnsi" w:hAnsiTheme="minorHAnsi" w:cstheme="minorHAnsi"/>
          <w:b/>
          <w:bCs/>
          <w:i/>
          <w:iCs/>
          <w:szCs w:val="20"/>
          <w:lang w:val="en-US"/>
        </w:rPr>
        <w:t>unlikely</w:t>
      </w:r>
      <w:r w:rsidRPr="00F85AFE">
        <w:rPr>
          <w:rFonts w:asciiTheme="minorHAnsi" w:hAnsiTheme="minorHAnsi" w:cstheme="minorHAnsi"/>
          <w:i/>
          <w:iCs/>
          <w:szCs w:val="20"/>
          <w:lang w:val="en-US"/>
        </w:rPr>
        <w:t xml:space="preserve"> to lead to a substantial contribution to an adverse impact under the OECD Guidelines. Thus, </w:t>
      </w:r>
      <w:r w:rsidRPr="00F85AFE">
        <w:rPr>
          <w:rFonts w:asciiTheme="minorHAnsi" w:hAnsiTheme="minorHAnsi" w:cstheme="minorHAnsi"/>
          <w:b/>
          <w:bCs/>
          <w:i/>
          <w:iCs/>
          <w:szCs w:val="20"/>
          <w:lang w:val="en-US"/>
        </w:rPr>
        <w:t>in the vast majority of cases</w:t>
      </w:r>
      <w:r w:rsidRPr="00F85AFE">
        <w:rPr>
          <w:rFonts w:asciiTheme="minorHAnsi" w:hAnsiTheme="minorHAnsi" w:cstheme="minorHAnsi"/>
          <w:i/>
          <w:iCs/>
          <w:szCs w:val="20"/>
          <w:lang w:val="en-US"/>
        </w:rPr>
        <w:t xml:space="preserve">, institutional investors holding a minority shareholding will not be in a position to “contribute” to an adverse impact at an investee company. Such a case </w:t>
      </w:r>
      <w:r w:rsidRPr="00F85AFE">
        <w:rPr>
          <w:rFonts w:asciiTheme="minorHAnsi" w:hAnsiTheme="minorHAnsi" w:cstheme="minorHAnsi"/>
          <w:b/>
          <w:bCs/>
          <w:i/>
          <w:iCs/>
          <w:szCs w:val="20"/>
          <w:lang w:val="en-US"/>
        </w:rPr>
        <w:t>might arise</w:t>
      </w:r>
      <w:r w:rsidRPr="00F85AFE">
        <w:rPr>
          <w:rFonts w:asciiTheme="minorHAnsi" w:hAnsiTheme="minorHAnsi" w:cstheme="minorHAnsi"/>
          <w:i/>
          <w:iCs/>
          <w:szCs w:val="20"/>
          <w:lang w:val="en-US"/>
        </w:rPr>
        <w:t>, however, if investors take a larger share in a company and become actively involved in trying to direct or influence management in a manner that results in adverse impacts.” (emphasis added)</w:t>
      </w:r>
    </w:p>
    <w:p w14:paraId="5535D57D" w14:textId="77777777" w:rsidR="007C1AE1" w:rsidRPr="00F85AFE" w:rsidRDefault="007C1AE1" w:rsidP="007C1AE1">
      <w:pPr>
        <w:rPr>
          <w:rFonts w:asciiTheme="minorHAnsi" w:hAnsiTheme="minorHAnsi" w:cstheme="minorHAnsi"/>
          <w:szCs w:val="20"/>
          <w:lang w:val="en-US"/>
        </w:rPr>
      </w:pPr>
    </w:p>
    <w:p w14:paraId="0D4C02FE" w14:textId="77777777" w:rsidR="007C1AE1" w:rsidRPr="00F85AFE" w:rsidRDefault="007C1AE1" w:rsidP="007C1AE1">
      <w:pPr>
        <w:rPr>
          <w:rFonts w:asciiTheme="minorHAnsi" w:hAnsiTheme="minorHAnsi" w:cstheme="minorHAnsi"/>
          <w:i/>
          <w:iCs/>
          <w:szCs w:val="20"/>
          <w:lang w:val="en-US"/>
        </w:rPr>
      </w:pPr>
      <w:r w:rsidRPr="00F85AFE">
        <w:rPr>
          <w:rFonts w:asciiTheme="minorHAnsi" w:hAnsiTheme="minorHAnsi" w:cstheme="minorHAnsi"/>
          <w:i/>
          <w:iCs/>
          <w:szCs w:val="20"/>
          <w:lang w:val="en-US"/>
        </w:rPr>
        <w:t xml:space="preserve">(p 20) “In some instances investors may be contributing to impacts caused by their investee companies and may be responsible for remediation. These situations </w:t>
      </w:r>
      <w:r w:rsidRPr="00F85AFE">
        <w:rPr>
          <w:rFonts w:asciiTheme="minorHAnsi" w:hAnsiTheme="minorHAnsi" w:cstheme="minorHAnsi"/>
          <w:b/>
          <w:bCs/>
          <w:i/>
          <w:iCs/>
          <w:szCs w:val="20"/>
          <w:lang w:val="en-US"/>
        </w:rPr>
        <w:t>could arise</w:t>
      </w:r>
      <w:r w:rsidRPr="00F85AFE">
        <w:rPr>
          <w:rFonts w:asciiTheme="minorHAnsi" w:hAnsiTheme="minorHAnsi" w:cstheme="minorHAnsi"/>
          <w:i/>
          <w:iCs/>
          <w:szCs w:val="20"/>
          <w:lang w:val="en-US"/>
        </w:rPr>
        <w:t xml:space="preserve"> where investors wield significant managerial control over a company, for example, in certain General Partnerships. However, in the context of adverse impacts arising from investee companies, investors will </w:t>
      </w:r>
      <w:r w:rsidRPr="00F85AFE">
        <w:rPr>
          <w:rFonts w:asciiTheme="minorHAnsi" w:hAnsiTheme="minorHAnsi" w:cstheme="minorHAnsi"/>
          <w:b/>
          <w:bCs/>
          <w:i/>
          <w:iCs/>
          <w:szCs w:val="20"/>
          <w:lang w:val="en-US"/>
        </w:rPr>
        <w:t>in most instances</w:t>
      </w:r>
      <w:r w:rsidRPr="00F85AFE">
        <w:rPr>
          <w:rFonts w:asciiTheme="minorHAnsi" w:hAnsiTheme="minorHAnsi" w:cstheme="minorHAnsi"/>
          <w:i/>
          <w:iCs/>
          <w:szCs w:val="20"/>
          <w:lang w:val="en-US"/>
        </w:rPr>
        <w:t xml:space="preserve"> not cause or contribute to, but only be directly linked to the adverse impact. As a result investors would not be expected to provide remedy, but they should seek to encourage the investee company to do so as a component of their responsibility to seek to prevent and mitigate, based on prioritization.” (emphasis added)</w:t>
      </w:r>
    </w:p>
    <w:p w14:paraId="381B70F0" w14:textId="77777777" w:rsidR="007C1AE1" w:rsidRPr="00F85AFE" w:rsidRDefault="007C1AE1" w:rsidP="007C1AE1">
      <w:pPr>
        <w:rPr>
          <w:rFonts w:asciiTheme="minorHAnsi" w:hAnsiTheme="minorHAnsi" w:cstheme="minorHAnsi"/>
          <w:szCs w:val="20"/>
          <w:lang w:val="en-US"/>
        </w:rPr>
      </w:pPr>
    </w:p>
    <w:p w14:paraId="0FC8768A" w14:textId="0383BA7D" w:rsidR="007C1AE1" w:rsidRPr="00F85AFE" w:rsidRDefault="4276152E" w:rsidP="5CD7329E">
      <w:pPr>
        <w:rPr>
          <w:rFonts w:asciiTheme="minorHAnsi" w:hAnsiTheme="minorHAnsi" w:cstheme="minorBidi"/>
          <w:lang w:val="en-US"/>
        </w:rPr>
      </w:pPr>
      <w:r w:rsidRPr="375973F0">
        <w:rPr>
          <w:rFonts w:asciiTheme="minorHAnsi" w:hAnsiTheme="minorHAnsi" w:cstheme="minorBidi"/>
          <w:lang w:val="en-US"/>
        </w:rPr>
        <w:t>Shareholders can thus shift</w:t>
      </w:r>
      <w:r w:rsidR="007C1AE1" w:rsidRPr="375973F0">
        <w:rPr>
          <w:rFonts w:asciiTheme="minorHAnsi" w:hAnsiTheme="minorHAnsi" w:cstheme="minorBidi"/>
          <w:lang w:val="en-US"/>
        </w:rPr>
        <w:t xml:space="preserve"> from being directly linked to contributing when they increase their share in the company and following from that their degree of control over the company. However, these passages do not </w:t>
      </w:r>
      <w:r w:rsidR="57B1C23B" w:rsidRPr="375973F0">
        <w:rPr>
          <w:rFonts w:asciiTheme="minorHAnsi" w:hAnsiTheme="minorHAnsi" w:cstheme="minorBidi"/>
          <w:lang w:val="en-US"/>
        </w:rPr>
        <w:t xml:space="preserve">clarify </w:t>
      </w:r>
      <w:r w:rsidR="007C1AE1" w:rsidRPr="375973F0">
        <w:rPr>
          <w:rFonts w:asciiTheme="minorHAnsi" w:hAnsiTheme="minorHAnsi" w:cstheme="minorBidi"/>
          <w:lang w:val="en-US"/>
        </w:rPr>
        <w:t xml:space="preserve">that there can also be a shift, over time, from being directly linked to contributing by </w:t>
      </w:r>
      <w:r w:rsidR="007C1AE1" w:rsidRPr="375973F0">
        <w:rPr>
          <w:rFonts w:asciiTheme="minorHAnsi" w:hAnsiTheme="minorHAnsi" w:cstheme="minorBidi"/>
          <w:u w:val="single"/>
          <w:lang w:val="en-US"/>
        </w:rPr>
        <w:t>not</w:t>
      </w:r>
      <w:r w:rsidR="007C1AE1" w:rsidRPr="375973F0">
        <w:rPr>
          <w:rFonts w:asciiTheme="minorHAnsi" w:hAnsiTheme="minorHAnsi" w:cstheme="minorBidi"/>
          <w:lang w:val="en-US"/>
        </w:rPr>
        <w:t xml:space="preserve"> taking (sufficient) action. This can happen when a shareholder (even </w:t>
      </w:r>
      <w:r w:rsidR="5A5ACE2B" w:rsidRPr="375973F0">
        <w:rPr>
          <w:rFonts w:asciiTheme="minorHAnsi" w:hAnsiTheme="minorHAnsi" w:cstheme="minorBidi"/>
          <w:lang w:val="en-US"/>
        </w:rPr>
        <w:t>with little</w:t>
      </w:r>
      <w:r w:rsidR="007C1AE1" w:rsidRPr="375973F0">
        <w:rPr>
          <w:rFonts w:asciiTheme="minorHAnsi" w:hAnsiTheme="minorHAnsi" w:cstheme="minorBidi"/>
          <w:lang w:val="en-US"/>
        </w:rPr>
        <w:t xml:space="preserve"> control or leverage over the company) knows or should know </w:t>
      </w:r>
      <w:r w:rsidR="41770022" w:rsidRPr="375973F0">
        <w:rPr>
          <w:rFonts w:asciiTheme="minorHAnsi" w:hAnsiTheme="minorHAnsi" w:cstheme="minorBidi"/>
          <w:lang w:val="en-US"/>
        </w:rPr>
        <w:t>about</w:t>
      </w:r>
      <w:r w:rsidR="007C1AE1" w:rsidRPr="375973F0">
        <w:rPr>
          <w:rFonts w:asciiTheme="minorHAnsi" w:hAnsiTheme="minorHAnsi" w:cstheme="minorBidi"/>
          <w:lang w:val="en-US"/>
        </w:rPr>
        <w:t xml:space="preserve"> human rights risks or impacts associated with a company, but remains invested in </w:t>
      </w:r>
      <w:r w:rsidR="5AA3BAEF" w:rsidRPr="375973F0">
        <w:rPr>
          <w:rFonts w:asciiTheme="minorHAnsi" w:hAnsiTheme="minorHAnsi" w:cstheme="minorBidi"/>
          <w:lang w:val="en-US"/>
        </w:rPr>
        <w:t>it</w:t>
      </w:r>
      <w:r w:rsidR="007C1AE1" w:rsidRPr="375973F0">
        <w:rPr>
          <w:rFonts w:asciiTheme="minorHAnsi" w:hAnsiTheme="minorHAnsi" w:cstheme="minorBidi"/>
          <w:lang w:val="en-US"/>
        </w:rPr>
        <w:t xml:space="preserve"> w</w:t>
      </w:r>
      <w:r w:rsidR="057BE037" w:rsidRPr="375973F0">
        <w:rPr>
          <w:rFonts w:asciiTheme="minorHAnsi" w:hAnsiTheme="minorHAnsi" w:cstheme="minorBidi"/>
          <w:lang w:val="en-US"/>
        </w:rPr>
        <w:t>ithout taking</w:t>
      </w:r>
      <w:r w:rsidR="007C1AE1" w:rsidRPr="375973F0">
        <w:rPr>
          <w:rFonts w:asciiTheme="minorHAnsi" w:hAnsiTheme="minorHAnsi" w:cstheme="minorBidi"/>
          <w:lang w:val="en-US"/>
        </w:rPr>
        <w:t xml:space="preserve"> any action to require, encourage or support the company to prevent, mitigate or remediate impacts. In practice we see that this </w:t>
      </w:r>
      <w:r w:rsidR="5941A162" w:rsidRPr="375973F0">
        <w:rPr>
          <w:rFonts w:asciiTheme="minorHAnsi" w:hAnsiTheme="minorHAnsi" w:cstheme="minorBidi"/>
          <w:lang w:val="en-US"/>
        </w:rPr>
        <w:t xml:space="preserve">creates </w:t>
      </w:r>
      <w:r w:rsidR="007C1AE1" w:rsidRPr="375973F0">
        <w:rPr>
          <w:rFonts w:asciiTheme="minorHAnsi" w:hAnsiTheme="minorHAnsi" w:cstheme="minorBidi"/>
          <w:lang w:val="en-US"/>
        </w:rPr>
        <w:t>a facilitating environment for an investee company to take actions (or inactions) that result in abuses.</w:t>
      </w:r>
      <w:r w:rsidR="00491006" w:rsidRPr="375973F0">
        <w:rPr>
          <w:rStyle w:val="Voetnootmarkering"/>
          <w:rFonts w:asciiTheme="minorHAnsi" w:hAnsiTheme="minorHAnsi" w:cstheme="minorBidi"/>
          <w:lang w:val="en-US"/>
        </w:rPr>
        <w:footnoteReference w:id="22"/>
      </w:r>
      <w:r w:rsidR="007C1AE1" w:rsidRPr="375973F0">
        <w:rPr>
          <w:rFonts w:asciiTheme="minorHAnsi" w:hAnsiTheme="minorHAnsi" w:cstheme="minorBidi"/>
          <w:lang w:val="en-US"/>
        </w:rPr>
        <w:t xml:space="preserve"> </w:t>
      </w:r>
    </w:p>
    <w:p w14:paraId="18784D53" w14:textId="77777777" w:rsidR="007C1AE1" w:rsidRPr="00F85AFE" w:rsidRDefault="007C1AE1" w:rsidP="007C1AE1">
      <w:pPr>
        <w:rPr>
          <w:rFonts w:asciiTheme="minorHAnsi" w:hAnsiTheme="minorHAnsi" w:cstheme="minorHAnsi"/>
          <w:szCs w:val="20"/>
          <w:lang w:val="en-US"/>
        </w:rPr>
      </w:pPr>
    </w:p>
    <w:p w14:paraId="6C873C4E" w14:textId="21428628" w:rsidR="007C1AE1" w:rsidRPr="00F85AFE" w:rsidRDefault="007C1AE1" w:rsidP="5CD7329E">
      <w:pPr>
        <w:rPr>
          <w:rFonts w:asciiTheme="minorHAnsi" w:hAnsiTheme="minorHAnsi" w:cstheme="minorBidi"/>
          <w:lang w:val="en-US"/>
        </w:rPr>
      </w:pPr>
      <w:r w:rsidRPr="5CD7329E">
        <w:rPr>
          <w:rFonts w:asciiTheme="minorHAnsi" w:hAnsiTheme="minorHAnsi" w:cstheme="minorBidi"/>
          <w:lang w:val="en-US"/>
        </w:rPr>
        <w:t xml:space="preserve">From our intensive engagement and collaboration with Dutch pension funds and insurers over the past five years, we have learned that there is a lot of unclarity and misunderstanding about when and how they -in their role of minority shareholders in investee companies - can be contributing to an adverse impact via an investee company, which has given rise to the belief (now even incorporated in legislative proposals for mandatory due diligence in the EU) that they can </w:t>
      </w:r>
      <w:r w:rsidRPr="5CD7329E">
        <w:rPr>
          <w:rFonts w:asciiTheme="minorHAnsi" w:hAnsiTheme="minorHAnsi" w:cstheme="minorBidi"/>
          <w:u w:val="single"/>
          <w:lang w:val="en-US"/>
        </w:rPr>
        <w:t>only ever</w:t>
      </w:r>
      <w:r w:rsidRPr="5CD7329E">
        <w:rPr>
          <w:rFonts w:asciiTheme="minorHAnsi" w:hAnsiTheme="minorHAnsi" w:cstheme="minorBidi"/>
          <w:lang w:val="en-US"/>
        </w:rPr>
        <w:t xml:space="preserve"> be directly linked to an adverse impact. </w:t>
      </w:r>
      <w:r w:rsidR="653D1B79" w:rsidRPr="5CD7329E">
        <w:rPr>
          <w:rFonts w:asciiTheme="minorHAnsi" w:hAnsiTheme="minorHAnsi" w:cstheme="minorBidi"/>
          <w:lang w:val="en-US"/>
        </w:rPr>
        <w:t>C</w:t>
      </w:r>
      <w:r w:rsidRPr="5CD7329E">
        <w:rPr>
          <w:rFonts w:asciiTheme="minorHAnsi" w:hAnsiTheme="minorHAnsi" w:cstheme="minorBidi"/>
          <w:lang w:val="en-US"/>
        </w:rPr>
        <w:t xml:space="preserve">larification by the UN Working Group of the fact that minority shareholders can also ultimately and over time shift from being directly linked to becoming a contributor to an impact as a result of a continuous failure to act in the face of severe abuses caused or contributed to by an investee company, would be extremely helpful in clarifying the remediation responsibilities of investors in their role of minority shareholders. </w:t>
      </w:r>
    </w:p>
    <w:p w14:paraId="1B215AC0" w14:textId="77777777" w:rsidR="007C1AE1" w:rsidRPr="00F85AFE" w:rsidRDefault="007C1AE1" w:rsidP="007C1AE1">
      <w:pPr>
        <w:pStyle w:val="paragraph"/>
        <w:spacing w:before="0" w:beforeAutospacing="0" w:after="0" w:afterAutospacing="0"/>
        <w:textAlignment w:val="baseline"/>
        <w:rPr>
          <w:rStyle w:val="eop"/>
          <w:rFonts w:asciiTheme="minorHAnsi" w:hAnsiTheme="minorHAnsi" w:cstheme="minorHAnsi"/>
          <w:b/>
          <w:sz w:val="20"/>
          <w:szCs w:val="20"/>
        </w:rPr>
      </w:pPr>
    </w:p>
    <w:p w14:paraId="69A32621" w14:textId="77777777" w:rsidR="007C1AE1" w:rsidRPr="00F85AFE" w:rsidRDefault="007C1AE1" w:rsidP="007C1AE1">
      <w:pPr>
        <w:pStyle w:val="paragraph"/>
        <w:rPr>
          <w:rStyle w:val="eop"/>
          <w:rFonts w:asciiTheme="minorHAnsi" w:hAnsiTheme="minorHAnsi" w:cstheme="minorHAnsi"/>
          <w:i/>
          <w:iCs/>
          <w:sz w:val="20"/>
          <w:szCs w:val="20"/>
        </w:rPr>
      </w:pPr>
    </w:p>
    <w:p w14:paraId="32FAAA8A" w14:textId="77777777" w:rsidR="007C1AE1" w:rsidRPr="00F85AFE" w:rsidRDefault="007C1AE1" w:rsidP="007C1AE1">
      <w:pPr>
        <w:pStyle w:val="paragraph"/>
        <w:spacing w:before="0" w:beforeAutospacing="0" w:after="0" w:afterAutospacing="0"/>
        <w:textAlignment w:val="baseline"/>
        <w:rPr>
          <w:rStyle w:val="eop"/>
          <w:rFonts w:asciiTheme="minorHAnsi" w:eastAsiaTheme="majorEastAsia" w:hAnsiTheme="minorHAnsi" w:cstheme="minorBidi"/>
          <w:sz w:val="20"/>
          <w:szCs w:val="20"/>
        </w:rPr>
      </w:pPr>
    </w:p>
    <w:p w14:paraId="556D2ED9" w14:textId="77777777" w:rsidR="007C1AE1" w:rsidRPr="00F85AFE" w:rsidRDefault="007C1AE1" w:rsidP="007C1AE1">
      <w:pPr>
        <w:pStyle w:val="paragraph"/>
        <w:spacing w:before="0" w:beforeAutospacing="0" w:after="0" w:afterAutospacing="0"/>
        <w:textAlignment w:val="baseline"/>
        <w:rPr>
          <w:rFonts w:asciiTheme="minorHAnsi" w:hAnsiTheme="minorHAnsi" w:cstheme="minorBidi"/>
          <w:sz w:val="20"/>
          <w:szCs w:val="20"/>
        </w:rPr>
      </w:pPr>
    </w:p>
    <w:p w14:paraId="58AB15F2" w14:textId="77777777" w:rsidR="007C1AE1" w:rsidRPr="00F85AFE" w:rsidRDefault="007C1AE1" w:rsidP="007C1AE1">
      <w:pPr>
        <w:rPr>
          <w:rFonts w:asciiTheme="minorHAnsi" w:hAnsiTheme="minorHAnsi" w:cstheme="minorBidi"/>
          <w:i/>
          <w:lang w:val="en-US"/>
        </w:rPr>
      </w:pPr>
    </w:p>
    <w:p w14:paraId="796FA4BE" w14:textId="77777777" w:rsidR="007C2813" w:rsidRPr="007C1AE1" w:rsidRDefault="007C2813" w:rsidP="0014243C">
      <w:pPr>
        <w:rPr>
          <w:lang w:val="en-US"/>
        </w:rPr>
      </w:pPr>
    </w:p>
    <w:sectPr w:rsidR="007C2813" w:rsidRPr="007C1AE1" w:rsidSect="0093745B">
      <w:footerReference w:type="default" r:id="rId11"/>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DECA4" w14:textId="77777777" w:rsidR="00E801F0" w:rsidRDefault="00E801F0" w:rsidP="00925962">
      <w:r>
        <w:separator/>
      </w:r>
    </w:p>
  </w:endnote>
  <w:endnote w:type="continuationSeparator" w:id="0">
    <w:p w14:paraId="6F7751D5" w14:textId="77777777" w:rsidR="00E801F0" w:rsidRDefault="00E801F0" w:rsidP="00925962">
      <w:r>
        <w:continuationSeparator/>
      </w:r>
    </w:p>
  </w:endnote>
  <w:endnote w:type="continuationNotice" w:id="1">
    <w:p w14:paraId="30A3F45C" w14:textId="77777777" w:rsidR="00E801F0" w:rsidRDefault="00E80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ranklinGothicURWBoo">
    <w:altName w:val="Arial"/>
    <w:charset w:val="00"/>
    <w:family w:val="modern"/>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A749" w14:textId="61FDAF91" w:rsidR="0093745B" w:rsidRPr="007C1AE1" w:rsidRDefault="0093745B" w:rsidP="0093745B">
    <w:pPr>
      <w:pStyle w:val="Voettekst"/>
      <w:jc w:val="right"/>
      <w:rPr>
        <w:sz w:val="16"/>
        <w:szCs w:val="16"/>
        <w:lang w:val="en-US"/>
      </w:rPr>
    </w:pPr>
    <w:r w:rsidRPr="007C1AE1">
      <w:rPr>
        <w:sz w:val="16"/>
        <w:szCs w:val="16"/>
        <w:lang w:val="en-US"/>
      </w:rPr>
      <w:t xml:space="preserve">Filename: </w:t>
    </w:r>
    <w:r w:rsidR="007C1AE1">
      <w:fldChar w:fldCharType="begin"/>
    </w:r>
    <w:r w:rsidR="007C1AE1" w:rsidRPr="007C1AE1">
      <w:rPr>
        <w:lang w:val="en-US"/>
      </w:rPr>
      <w:instrText xml:space="preserve"> FILENAME   \* MERGEFORMAT </w:instrText>
    </w:r>
    <w:r w:rsidR="007C1AE1">
      <w:fldChar w:fldCharType="separate"/>
    </w:r>
    <w:r w:rsidRPr="007C1AE1">
      <w:rPr>
        <w:noProof/>
        <w:sz w:val="16"/>
        <w:szCs w:val="16"/>
        <w:lang w:val="en-US"/>
      </w:rPr>
      <w:t>Normal</w:t>
    </w:r>
    <w:r w:rsidR="007C1AE1">
      <w:rPr>
        <w:noProof/>
        <w:sz w:val="16"/>
        <w:szCs w:val="16"/>
      </w:rPr>
      <w:fldChar w:fldCharType="end"/>
    </w:r>
    <w:r w:rsidRPr="007C1AE1">
      <w:rPr>
        <w:sz w:val="16"/>
        <w:szCs w:val="16"/>
        <w:lang w:val="en-US"/>
      </w:rPr>
      <w:t xml:space="preserve">, page </w:t>
    </w:r>
    <w:r w:rsidRPr="0093745B">
      <w:rPr>
        <w:sz w:val="16"/>
        <w:szCs w:val="16"/>
      </w:rPr>
      <w:fldChar w:fldCharType="begin"/>
    </w:r>
    <w:r w:rsidRPr="007C1AE1">
      <w:rPr>
        <w:sz w:val="16"/>
        <w:szCs w:val="16"/>
        <w:lang w:val="en-US"/>
      </w:rPr>
      <w:instrText xml:space="preserve"> PAGE   \* MERGEFORMAT </w:instrText>
    </w:r>
    <w:r w:rsidRPr="0093745B">
      <w:rPr>
        <w:sz w:val="16"/>
        <w:szCs w:val="16"/>
      </w:rPr>
      <w:fldChar w:fldCharType="separate"/>
    </w:r>
    <w:r w:rsidR="00490C54" w:rsidRPr="007C1AE1">
      <w:rPr>
        <w:noProof/>
        <w:sz w:val="16"/>
        <w:szCs w:val="16"/>
        <w:lang w:val="en-US"/>
      </w:rPr>
      <w:t>1</w:t>
    </w:r>
    <w:r w:rsidRPr="0093745B">
      <w:rPr>
        <w:sz w:val="16"/>
        <w:szCs w:val="16"/>
      </w:rPr>
      <w:fldChar w:fldCharType="end"/>
    </w:r>
    <w:r w:rsidRPr="007C1AE1">
      <w:rPr>
        <w:sz w:val="16"/>
        <w:szCs w:val="16"/>
        <w:lang w:val="en-US"/>
      </w:rPr>
      <w:t xml:space="preserve"> of </w:t>
    </w:r>
    <w:r w:rsidR="007C1AE1">
      <w:fldChar w:fldCharType="begin"/>
    </w:r>
    <w:r w:rsidR="007C1AE1" w:rsidRPr="007C1AE1">
      <w:rPr>
        <w:lang w:val="en-US"/>
      </w:rPr>
      <w:instrText xml:space="preserve"> NUMPAGES  \* Arabic  \* MERGEFORMAT </w:instrText>
    </w:r>
    <w:r w:rsidR="007C1AE1">
      <w:fldChar w:fldCharType="separate"/>
    </w:r>
    <w:r w:rsidR="00490C54" w:rsidRPr="007C1AE1">
      <w:rPr>
        <w:noProof/>
        <w:sz w:val="16"/>
        <w:szCs w:val="16"/>
        <w:lang w:val="en-US"/>
      </w:rPr>
      <w:t>1</w:t>
    </w:r>
    <w:r w:rsidR="007C1AE1">
      <w:rPr>
        <w:noProof/>
        <w:sz w:val="16"/>
        <w:szCs w:val="16"/>
      </w:rPr>
      <w:fldChar w:fldCharType="end"/>
    </w:r>
    <w:r w:rsidRPr="007C1AE1">
      <w:rPr>
        <w:sz w:val="16"/>
        <w:szCs w:val="16"/>
        <w:lang w:val="en-US"/>
      </w:rPr>
      <w:t xml:space="preserve">, author: </w:t>
    </w:r>
    <w:r w:rsidR="007C1AE1">
      <w:fldChar w:fldCharType="begin"/>
    </w:r>
    <w:r w:rsidR="007C1AE1" w:rsidRPr="007C1AE1">
      <w:rPr>
        <w:lang w:val="en-US"/>
      </w:rPr>
      <w:instrText xml:space="preserve"> AUTHOR   \* MERGEFORMAT </w:instrText>
    </w:r>
    <w:r w:rsidR="007C1AE1">
      <w:fldChar w:fldCharType="separate"/>
    </w:r>
    <w:r w:rsidRPr="007C1AE1">
      <w:rPr>
        <w:noProof/>
        <w:sz w:val="16"/>
        <w:szCs w:val="16"/>
        <w:lang w:val="en-US"/>
      </w:rPr>
      <w:t>Admin_UNOA</w:t>
    </w:r>
    <w:r w:rsidR="007C1AE1">
      <w:rPr>
        <w:noProof/>
        <w:sz w:val="16"/>
        <w:szCs w:val="16"/>
      </w:rPr>
      <w:fldChar w:fldCharType="end"/>
    </w:r>
    <w:r w:rsidRPr="007C1AE1">
      <w:rPr>
        <w:sz w:val="16"/>
        <w:szCs w:val="16"/>
        <w:lang w:val="en-US"/>
      </w:rPr>
      <w:t xml:space="preserve">, saved: </w:t>
    </w:r>
    <w:r w:rsidRPr="0093745B">
      <w:rPr>
        <w:sz w:val="16"/>
        <w:szCs w:val="16"/>
      </w:rPr>
      <w:fldChar w:fldCharType="begin"/>
    </w:r>
    <w:r w:rsidRPr="0093745B">
      <w:rPr>
        <w:sz w:val="16"/>
        <w:szCs w:val="16"/>
      </w:rPr>
      <w:instrText xml:space="preserve"> SAVEDATE  \@ "d/M/yyyy"  \* MERGEFORMAT </w:instrText>
    </w:r>
    <w:r w:rsidR="00331F44">
      <w:rPr>
        <w:sz w:val="16"/>
        <w:szCs w:val="16"/>
      </w:rPr>
      <w:fldChar w:fldCharType="separate"/>
    </w:r>
    <w:r w:rsidR="00331F44">
      <w:rPr>
        <w:noProof/>
        <w:sz w:val="16"/>
        <w:szCs w:val="16"/>
      </w:rPr>
      <w:t>10/10/2023</w:t>
    </w:r>
    <w:r w:rsidRPr="0093745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1CF4" w14:textId="77777777" w:rsidR="00E801F0" w:rsidRDefault="00E801F0" w:rsidP="00925962">
      <w:r>
        <w:separator/>
      </w:r>
    </w:p>
  </w:footnote>
  <w:footnote w:type="continuationSeparator" w:id="0">
    <w:p w14:paraId="55B8FCEB" w14:textId="77777777" w:rsidR="00E801F0" w:rsidRDefault="00E801F0" w:rsidP="00925962">
      <w:r>
        <w:continuationSeparator/>
      </w:r>
    </w:p>
  </w:footnote>
  <w:footnote w:type="continuationNotice" w:id="1">
    <w:p w14:paraId="024C92F1" w14:textId="77777777" w:rsidR="00E801F0" w:rsidRDefault="00E801F0"/>
  </w:footnote>
  <w:footnote w:id="2">
    <w:p w14:paraId="58D4D467" w14:textId="428A59EA" w:rsidR="68EB6460" w:rsidRPr="00E64762" w:rsidRDefault="68EB6460" w:rsidP="375973F0">
      <w:pPr>
        <w:pStyle w:val="Voetnoottekst"/>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4BA73FC6" w:rsidRPr="375973F0">
        <w:rPr>
          <w:rFonts w:ascii="Calibri" w:eastAsia="Calibri" w:hAnsi="Calibri" w:cs="Calibri"/>
          <w:sz w:val="18"/>
          <w:szCs w:val="18"/>
          <w:lang w:val="en-US"/>
        </w:rPr>
        <w:t xml:space="preserve"> PAX was an active member of the Dutch Responsible Business Conduct Agreements between the Dutch Government, banks, insurers and pension funds and civil society (2016-2023).</w:t>
      </w:r>
      <w:r w:rsidR="7EDEEF45" w:rsidRPr="375973F0">
        <w:rPr>
          <w:rFonts w:ascii="Calibri" w:eastAsia="Calibri" w:hAnsi="Calibri" w:cs="Calibri"/>
          <w:sz w:val="18"/>
          <w:szCs w:val="18"/>
          <w:lang w:val="en-US"/>
        </w:rPr>
        <w:t xml:space="preserve"> </w:t>
      </w:r>
      <w:r w:rsidR="46C52382" w:rsidRPr="375973F0">
        <w:rPr>
          <w:rFonts w:ascii="Calibri" w:eastAsia="Calibri" w:hAnsi="Calibri" w:cs="Calibri"/>
          <w:sz w:val="18"/>
          <w:szCs w:val="18"/>
          <w:lang w:val="en-US"/>
        </w:rPr>
        <w:t xml:space="preserve">The RBC-agreements are multi-stakeholder initiatives initiated by the Dutch government, in which business actors (in this case financial institutions) commit to the implementation of the UNGPs and the OECD Guidelines and work together with the government and with civil society and trade unions on identifying and addressing adverse impacts in their investment portfolios. </w:t>
      </w:r>
      <w:r w:rsidR="02F355AD" w:rsidRPr="375973F0">
        <w:rPr>
          <w:rFonts w:ascii="Calibri" w:eastAsia="Calibri" w:hAnsi="Calibri" w:cs="Calibri"/>
          <w:sz w:val="18"/>
          <w:szCs w:val="18"/>
          <w:lang w:val="en-US"/>
        </w:rPr>
        <w:t xml:space="preserve">(See:  </w:t>
      </w:r>
      <w:hyperlink r:id="rId1">
        <w:r w:rsidR="02F355AD" w:rsidRPr="375973F0">
          <w:rPr>
            <w:rStyle w:val="Hyperlink"/>
            <w:rFonts w:ascii="Calibri" w:eastAsia="Calibri" w:hAnsi="Calibri" w:cs="Calibri"/>
            <w:sz w:val="18"/>
            <w:szCs w:val="18"/>
            <w:lang w:val="en-US"/>
          </w:rPr>
          <w:t>Dutch Banking Sector Agreement | IRBC Agreements (imvoconvenanten.nl)</w:t>
        </w:r>
      </w:hyperlink>
      <w:r w:rsidR="02F355AD" w:rsidRPr="375973F0">
        <w:rPr>
          <w:rFonts w:ascii="Calibri" w:eastAsia="Calibri" w:hAnsi="Calibri" w:cs="Calibri"/>
          <w:sz w:val="18"/>
          <w:szCs w:val="18"/>
          <w:lang w:val="en-US"/>
        </w:rPr>
        <w:t xml:space="preserve">; </w:t>
      </w:r>
      <w:hyperlink r:id="rId2">
        <w:r w:rsidR="02F355AD" w:rsidRPr="375973F0">
          <w:rPr>
            <w:rStyle w:val="Hyperlink"/>
            <w:rFonts w:ascii="Calibri" w:eastAsia="Calibri" w:hAnsi="Calibri" w:cs="Calibri"/>
            <w:sz w:val="18"/>
            <w:szCs w:val="18"/>
            <w:lang w:val="en-US"/>
          </w:rPr>
          <w:t>Pension Funds Agreement | IRBC Agreements (imvoconvenanten.nl)</w:t>
        </w:r>
      </w:hyperlink>
      <w:r w:rsidR="02F355AD" w:rsidRPr="375973F0">
        <w:rPr>
          <w:rFonts w:ascii="Calibri" w:eastAsia="Calibri" w:hAnsi="Calibri" w:cs="Calibri"/>
          <w:sz w:val="18"/>
          <w:szCs w:val="18"/>
          <w:lang w:val="en-US"/>
        </w:rPr>
        <w:t xml:space="preserve">; </w:t>
      </w:r>
      <w:hyperlink r:id="rId3">
        <w:r w:rsidR="02F355AD" w:rsidRPr="375973F0">
          <w:rPr>
            <w:rStyle w:val="Hyperlink"/>
            <w:rFonts w:ascii="Calibri" w:eastAsia="Calibri" w:hAnsi="Calibri" w:cs="Calibri"/>
            <w:sz w:val="18"/>
            <w:szCs w:val="18"/>
            <w:lang w:val="en-US"/>
          </w:rPr>
          <w:t>Agreement for international responsible investment in the insurance sector | IRBC Agreements (imvoconvenanten.nl)</w:t>
        </w:r>
      </w:hyperlink>
      <w:r w:rsidR="02F355AD" w:rsidRPr="375973F0">
        <w:rPr>
          <w:rFonts w:ascii="Calibri" w:eastAsia="Calibri" w:hAnsi="Calibri" w:cs="Calibri"/>
          <w:sz w:val="18"/>
          <w:szCs w:val="18"/>
          <w:lang w:val="en-US"/>
        </w:rPr>
        <w:t>.)  Currently we are a member of the Fair Finance International coalition and of the Don't Buy into Occupation coalition, which</w:t>
      </w:r>
      <w:r w:rsidR="4BA73FC6" w:rsidRPr="375973F0">
        <w:rPr>
          <w:rFonts w:ascii="Calibri" w:eastAsia="Calibri" w:hAnsi="Calibri" w:cs="Calibri"/>
          <w:sz w:val="18"/>
          <w:szCs w:val="18"/>
          <w:lang w:val="en-US"/>
        </w:rPr>
        <w:t xml:space="preserve"> investigates investments by European financial institutions in corporate activities linked to illegal settlements in the Occupied Palestinian Territories</w:t>
      </w:r>
      <w:r w:rsidR="1500A69D" w:rsidRPr="375973F0">
        <w:rPr>
          <w:rFonts w:ascii="Calibri" w:eastAsia="Calibri" w:hAnsi="Calibri" w:cs="Calibri"/>
          <w:sz w:val="18"/>
          <w:szCs w:val="18"/>
          <w:lang w:val="en-US"/>
        </w:rPr>
        <w:t xml:space="preserve"> (see</w:t>
      </w:r>
      <w:r w:rsidR="3783D7D7" w:rsidRPr="375973F0">
        <w:rPr>
          <w:rFonts w:ascii="Calibri" w:eastAsia="Calibri" w:hAnsi="Calibri" w:cs="Calibri"/>
          <w:sz w:val="18"/>
          <w:szCs w:val="18"/>
          <w:lang w:val="en-US"/>
        </w:rPr>
        <w:t>:</w:t>
      </w:r>
      <w:r w:rsidR="1500A69D" w:rsidRPr="375973F0">
        <w:rPr>
          <w:rFonts w:ascii="Calibri" w:eastAsia="Calibri" w:hAnsi="Calibri" w:cs="Calibri"/>
          <w:sz w:val="18"/>
          <w:szCs w:val="18"/>
          <w:lang w:val="en-US"/>
        </w:rPr>
        <w:t xml:space="preserve"> </w:t>
      </w:r>
      <w:hyperlink r:id="rId4">
        <w:r w:rsidR="1500A69D" w:rsidRPr="375973F0">
          <w:rPr>
            <w:rStyle w:val="Hyperlink"/>
            <w:rFonts w:ascii="Calibri" w:eastAsia="Calibri" w:hAnsi="Calibri" w:cs="Calibri"/>
            <w:sz w:val="18"/>
            <w:szCs w:val="18"/>
            <w:lang w:val="en-US"/>
          </w:rPr>
          <w:t>Home | Eerlijke Geldwijzer</w:t>
        </w:r>
      </w:hyperlink>
      <w:r w:rsidR="1500A69D" w:rsidRPr="375973F0">
        <w:rPr>
          <w:rFonts w:ascii="Calibri" w:eastAsia="Calibri" w:hAnsi="Calibri" w:cs="Calibri"/>
          <w:sz w:val="18"/>
          <w:szCs w:val="18"/>
          <w:lang w:val="en-US"/>
        </w:rPr>
        <w:t xml:space="preserve">; </w:t>
      </w:r>
      <w:hyperlink r:id="rId5">
        <w:r w:rsidR="1500A69D" w:rsidRPr="375973F0">
          <w:rPr>
            <w:rStyle w:val="Hyperlink"/>
            <w:rFonts w:ascii="Calibri" w:eastAsia="Calibri" w:hAnsi="Calibri" w:cs="Calibri"/>
            <w:sz w:val="18"/>
            <w:szCs w:val="18"/>
            <w:lang w:val="en-US"/>
          </w:rPr>
          <w:t>DBIO - Don't Buy into Occupation Coalition (dontbuyintooccupation.org)).</w:t>
        </w:r>
      </w:hyperlink>
      <w:r w:rsidR="4BA73FC6" w:rsidRPr="375973F0">
        <w:rPr>
          <w:rFonts w:ascii="Calibri" w:eastAsia="Calibri" w:hAnsi="Calibri" w:cs="Calibri"/>
          <w:sz w:val="18"/>
          <w:szCs w:val="18"/>
          <w:lang w:val="en-US"/>
        </w:rPr>
        <w:t xml:space="preserve"> We have also been one of the leading organizations of the Stop Explosive Investments Campaign, which aims to stop investment in cluster munitions producers </w:t>
      </w:r>
      <w:r w:rsidR="0234E269" w:rsidRPr="375973F0">
        <w:rPr>
          <w:rFonts w:ascii="Calibri" w:eastAsia="Calibri" w:hAnsi="Calibri" w:cs="Calibri"/>
          <w:sz w:val="18"/>
          <w:szCs w:val="18"/>
          <w:lang w:val="en-US"/>
        </w:rPr>
        <w:t>(</w:t>
      </w:r>
      <w:r w:rsidR="01619DE1" w:rsidRPr="375973F0">
        <w:rPr>
          <w:rFonts w:ascii="Calibri" w:eastAsia="Calibri" w:hAnsi="Calibri" w:cs="Calibri"/>
          <w:sz w:val="18"/>
          <w:szCs w:val="18"/>
          <w:lang w:val="en-US"/>
        </w:rPr>
        <w:t>see: https://stopexplosiveinvestments.org/).</w:t>
      </w:r>
      <w:r w:rsidR="0234E269" w:rsidRPr="375973F0">
        <w:rPr>
          <w:rFonts w:ascii="Calibri" w:eastAsia="Calibri" w:hAnsi="Calibri" w:cs="Calibri"/>
          <w:sz w:val="18"/>
          <w:szCs w:val="18"/>
          <w:lang w:val="en-US"/>
        </w:rPr>
        <w:t xml:space="preserve"> </w:t>
      </w:r>
      <w:r w:rsidR="4BA73FC6" w:rsidRPr="375973F0">
        <w:rPr>
          <w:rFonts w:ascii="Calibri" w:eastAsia="Calibri" w:hAnsi="Calibri" w:cs="Calibri"/>
          <w:sz w:val="18"/>
          <w:szCs w:val="18"/>
          <w:lang w:val="en-US"/>
        </w:rPr>
        <w:t>Furthermore, together with the International Campaign to Abolish Nuclear Weapons (ICAN), PAX conducts research into investments in nuclear weapon producing companies</w:t>
      </w:r>
      <w:r w:rsidR="4D9E074A" w:rsidRPr="375973F0">
        <w:rPr>
          <w:rFonts w:ascii="Calibri" w:eastAsia="Calibri" w:hAnsi="Calibri" w:cs="Calibri"/>
          <w:sz w:val="18"/>
          <w:szCs w:val="18"/>
          <w:lang w:val="en-US"/>
        </w:rPr>
        <w:t xml:space="preserve"> </w:t>
      </w:r>
      <w:r w:rsidR="1EDD700A" w:rsidRPr="375973F0">
        <w:rPr>
          <w:rFonts w:ascii="Calibri" w:eastAsia="Calibri" w:hAnsi="Calibri" w:cs="Calibri"/>
          <w:sz w:val="18"/>
          <w:szCs w:val="18"/>
          <w:lang w:val="en-US"/>
        </w:rPr>
        <w:t xml:space="preserve">(see: </w:t>
      </w:r>
      <w:hyperlink r:id="rId6">
        <w:r w:rsidR="1EDD700A" w:rsidRPr="375973F0">
          <w:rPr>
            <w:rStyle w:val="Hyperlink"/>
            <w:rFonts w:ascii="Calibri" w:eastAsia="Calibri" w:hAnsi="Calibri" w:cs="Calibri"/>
            <w:sz w:val="18"/>
            <w:szCs w:val="18"/>
            <w:lang w:val="en-US"/>
          </w:rPr>
          <w:t>https://www.dontbankonthebomb.com/</w:t>
        </w:r>
      </w:hyperlink>
      <w:r w:rsidR="1EDD700A" w:rsidRPr="375973F0">
        <w:rPr>
          <w:rFonts w:ascii="Calibri" w:eastAsia="Calibri" w:hAnsi="Calibri" w:cs="Calibri"/>
          <w:sz w:val="18"/>
          <w:szCs w:val="18"/>
          <w:lang w:val="en-US"/>
        </w:rPr>
        <w:t xml:space="preserve">). </w:t>
      </w:r>
    </w:p>
  </w:footnote>
  <w:footnote w:id="3">
    <w:p w14:paraId="1E9ED9A7" w14:textId="77777777" w:rsidR="007C1AE1" w:rsidRPr="00E64762" w:rsidRDefault="007C1AE1" w:rsidP="375973F0">
      <w:pPr>
        <w:pStyle w:val="Voetnoottekst"/>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Pr="375973F0">
        <w:rPr>
          <w:rFonts w:ascii="Calibri" w:eastAsia="Calibri" w:hAnsi="Calibri" w:cs="Calibri"/>
          <w:sz w:val="18"/>
          <w:szCs w:val="18"/>
          <w:lang w:val="en-US"/>
        </w:rPr>
        <w:t xml:space="preserve"> One example is the ESG rating of the Swedish oil company Lundin Energy. Despite overwhelming evidence pointing to contributions by the company to severe human rights violations and war crimes in Sudan (for which its former CEO and Chair of the Board are currently standing trial in Sweden) and the refusal of the company to do human rights due diligence and take up its responsibility to contribute to remedy for the victims, the company is highly rated by several ESG rating agencies.</w:t>
      </w:r>
    </w:p>
  </w:footnote>
  <w:footnote w:id="4">
    <w:p w14:paraId="4F108FAB" w14:textId="77777777" w:rsidR="007C1AE1" w:rsidRPr="00E64762" w:rsidRDefault="007C1AE1" w:rsidP="375973F0">
      <w:pPr>
        <w:pStyle w:val="Voetnoottekst"/>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Pr="375973F0">
        <w:rPr>
          <w:rFonts w:ascii="Calibri" w:eastAsia="Calibri" w:hAnsi="Calibri" w:cs="Calibri"/>
          <w:sz w:val="18"/>
          <w:szCs w:val="18"/>
          <w:lang w:val="en-US"/>
        </w:rPr>
        <w:t xml:space="preserve"> </w:t>
      </w:r>
      <w:hyperlink r:id="rId7" w:history="1">
        <w:r w:rsidRPr="375973F0">
          <w:rPr>
            <w:rStyle w:val="Hyperlink"/>
            <w:rFonts w:ascii="Calibri" w:eastAsia="Calibri" w:hAnsi="Calibri" w:cs="Calibri"/>
            <w:sz w:val="18"/>
            <w:szCs w:val="18"/>
            <w:lang w:val="en-US"/>
          </w:rPr>
          <w:t>How a Laos dam collapse exposes flaws in ESG investments (trust.org)</w:t>
        </w:r>
      </w:hyperlink>
      <w:r w:rsidRPr="375973F0">
        <w:rPr>
          <w:rFonts w:ascii="Calibri" w:eastAsia="Calibri" w:hAnsi="Calibri" w:cs="Calibri"/>
          <w:sz w:val="18"/>
          <w:szCs w:val="18"/>
          <w:lang w:val="en-US"/>
        </w:rPr>
        <w:t xml:space="preserve">; </w:t>
      </w:r>
      <w:hyperlink r:id="rId8" w:history="1">
        <w:r w:rsidRPr="375973F0">
          <w:rPr>
            <w:rStyle w:val="Hyperlink"/>
            <w:rFonts w:ascii="Calibri" w:eastAsia="Calibri" w:hAnsi="Calibri" w:cs="Calibri"/>
            <w:sz w:val="18"/>
            <w:szCs w:val="18"/>
            <w:lang w:val="en-US"/>
          </w:rPr>
          <w:t>Why ESG investing is bad for human rights - &amp; what we can do about it - Business &amp; Human Rights Resource Centre (business-humanrights.org)</w:t>
        </w:r>
      </w:hyperlink>
    </w:p>
  </w:footnote>
  <w:footnote w:id="5">
    <w:p w14:paraId="49646F35" w14:textId="77777777" w:rsidR="007C1AE1" w:rsidRPr="00E64762" w:rsidRDefault="007C1AE1" w:rsidP="375973F0">
      <w:pPr>
        <w:pStyle w:val="Voetnoottekst"/>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Pr="375973F0">
        <w:rPr>
          <w:rFonts w:ascii="Calibri" w:eastAsia="Calibri" w:hAnsi="Calibri" w:cs="Calibri"/>
          <w:sz w:val="18"/>
          <w:szCs w:val="18"/>
          <w:lang w:val="en-US"/>
        </w:rPr>
        <w:t xml:space="preserve"> Any weapon that is indiscriminate, inhumane or disproportionate is generally considered controversial. Weapons falling under this category include cluster munition, chemical, biological and nuclear weapons, anti-personnel mines, depleted uranium and white phosphorus munitions.  , </w:t>
      </w:r>
    </w:p>
  </w:footnote>
  <w:footnote w:id="6">
    <w:p w14:paraId="2D0B2729" w14:textId="77777777" w:rsidR="007C1AE1" w:rsidRPr="00E64762" w:rsidRDefault="007C1AE1" w:rsidP="375973F0">
      <w:pPr>
        <w:pStyle w:val="Voetnoottekst"/>
        <w:spacing w:line="259" w:lineRule="auto"/>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Pr="375973F0">
        <w:rPr>
          <w:rFonts w:ascii="Calibri" w:eastAsia="Calibri" w:hAnsi="Calibri" w:cs="Calibri"/>
          <w:sz w:val="18"/>
          <w:szCs w:val="18"/>
          <w:lang w:val="en-US"/>
        </w:rPr>
        <w:t xml:space="preserve"> Research by PAX shows, for example, that between January 2020 and July 2022, at least 306 financial institutions worldwide financed companies involved in the production of nuclear weapons or their key components, with a total value of USD 746,677 </w:t>
      </w:r>
      <w:proofErr w:type="spellStart"/>
      <w:r w:rsidRPr="375973F0">
        <w:rPr>
          <w:rFonts w:ascii="Calibri" w:eastAsia="Calibri" w:hAnsi="Calibri" w:cs="Calibri"/>
          <w:sz w:val="18"/>
          <w:szCs w:val="18"/>
          <w:lang w:val="en-US"/>
        </w:rPr>
        <w:t>millions</w:t>
      </w:r>
      <w:proofErr w:type="spellEnd"/>
      <w:r w:rsidRPr="375973F0">
        <w:rPr>
          <w:rFonts w:ascii="Calibri" w:eastAsia="Calibri" w:hAnsi="Calibri" w:cs="Calibri"/>
          <w:sz w:val="18"/>
          <w:szCs w:val="18"/>
          <w:lang w:val="en-US"/>
        </w:rPr>
        <w:t xml:space="preserve">. </w:t>
      </w:r>
      <w:r w:rsidRPr="375973F0">
        <w:rPr>
          <w:rFonts w:ascii="Calibri" w:eastAsia="Calibri" w:hAnsi="Calibri" w:cs="Calibri"/>
          <w:i/>
          <w:iCs/>
          <w:sz w:val="18"/>
          <w:szCs w:val="18"/>
          <w:lang w:val="en-US"/>
        </w:rPr>
        <w:t>See</w:t>
      </w:r>
      <w:r w:rsidRPr="375973F0">
        <w:rPr>
          <w:rFonts w:ascii="Calibri" w:eastAsia="Calibri" w:hAnsi="Calibri" w:cs="Calibri"/>
          <w:sz w:val="18"/>
          <w:szCs w:val="18"/>
          <w:lang w:val="en-US"/>
        </w:rPr>
        <w:t xml:space="preserve"> 'Risky Returns: Nuclear weapon producers and their financiers', </w:t>
      </w:r>
      <w:r w:rsidRPr="375973F0">
        <w:rPr>
          <w:rFonts w:ascii="Calibri" w:eastAsia="Calibri" w:hAnsi="Calibri" w:cs="Calibri"/>
          <w:i/>
          <w:iCs/>
          <w:sz w:val="18"/>
          <w:szCs w:val="18"/>
          <w:lang w:val="en-US"/>
        </w:rPr>
        <w:t>PAX &amp; ICAN (2022)</w:t>
      </w:r>
      <w:r w:rsidRPr="375973F0">
        <w:rPr>
          <w:rFonts w:ascii="Calibri" w:eastAsia="Calibri" w:hAnsi="Calibri" w:cs="Calibri"/>
          <w:sz w:val="18"/>
          <w:szCs w:val="18"/>
          <w:lang w:val="en-US"/>
        </w:rPr>
        <w:t xml:space="preserve">, p. 4. Available at: </w:t>
      </w:r>
      <w:hyperlink r:id="rId9" w:history="1">
        <w:proofErr w:type="spellStart"/>
        <w:r w:rsidRPr="375973F0">
          <w:rPr>
            <w:rStyle w:val="Hyperlink"/>
            <w:rFonts w:ascii="Calibri" w:eastAsia="Calibri" w:hAnsi="Calibri" w:cs="Calibri"/>
            <w:sz w:val="18"/>
            <w:szCs w:val="18"/>
            <w:lang w:val="en-US"/>
          </w:rPr>
          <w:t>PAX_Rapport_DBotB_Risky</w:t>
        </w:r>
        <w:proofErr w:type="spellEnd"/>
        <w:r w:rsidRPr="375973F0">
          <w:rPr>
            <w:rStyle w:val="Hyperlink"/>
            <w:rFonts w:ascii="Calibri" w:eastAsia="Calibri" w:hAnsi="Calibri" w:cs="Calibri"/>
            <w:sz w:val="18"/>
            <w:szCs w:val="18"/>
            <w:lang w:val="en-US"/>
          </w:rPr>
          <w:t xml:space="preserve"> Returns.pdf (paxforpeace.nl). </w:t>
        </w:r>
      </w:hyperlink>
      <w:r w:rsidRPr="375973F0">
        <w:rPr>
          <w:rFonts w:ascii="Calibri" w:eastAsia="Calibri" w:hAnsi="Calibri" w:cs="Calibri"/>
          <w:sz w:val="18"/>
          <w:szCs w:val="18"/>
          <w:lang w:val="en-US"/>
        </w:rPr>
        <w:t xml:space="preserve"> Research by PAX has also shown that all of the 15 largest banks in Europe provide financial services to arms producers that supply weapons to states where there is a high risk they will be used for or to facilitate violations of IHL and international human rights. </w:t>
      </w:r>
      <w:r w:rsidRPr="375973F0">
        <w:rPr>
          <w:rFonts w:ascii="Calibri" w:eastAsia="Calibri" w:hAnsi="Calibri" w:cs="Calibri"/>
          <w:i/>
          <w:iCs/>
          <w:sz w:val="18"/>
          <w:szCs w:val="18"/>
          <w:lang w:val="en-US"/>
        </w:rPr>
        <w:t>See</w:t>
      </w:r>
      <w:r w:rsidRPr="375973F0">
        <w:rPr>
          <w:rFonts w:ascii="Calibri" w:eastAsia="Calibri" w:hAnsi="Calibri" w:cs="Calibri"/>
          <w:sz w:val="18"/>
          <w:szCs w:val="18"/>
          <w:lang w:val="en-US"/>
        </w:rPr>
        <w:t xml:space="preserve"> 'High-risk arms trade and the financial sector', </w:t>
      </w:r>
      <w:r w:rsidRPr="375973F0">
        <w:rPr>
          <w:rFonts w:ascii="Calibri" w:eastAsia="Calibri" w:hAnsi="Calibri" w:cs="Calibri"/>
          <w:i/>
          <w:iCs/>
          <w:sz w:val="18"/>
          <w:szCs w:val="18"/>
          <w:lang w:val="en-US"/>
        </w:rPr>
        <w:t>PAX (2022)</w:t>
      </w:r>
      <w:r w:rsidRPr="375973F0">
        <w:rPr>
          <w:rFonts w:ascii="Calibri" w:eastAsia="Calibri" w:hAnsi="Calibri" w:cs="Calibri"/>
          <w:sz w:val="18"/>
          <w:szCs w:val="18"/>
          <w:lang w:val="en-US"/>
        </w:rPr>
        <w:t xml:space="preserve">, p. 7. Available at: </w:t>
      </w:r>
      <w:hyperlink r:id="rId10" w:history="1">
        <w:r w:rsidRPr="375973F0">
          <w:rPr>
            <w:rStyle w:val="Hyperlink"/>
            <w:rFonts w:ascii="Calibri" w:eastAsia="Calibri" w:hAnsi="Calibri" w:cs="Calibri"/>
            <w:sz w:val="18"/>
            <w:szCs w:val="18"/>
            <w:lang w:val="en-US"/>
          </w:rPr>
          <w:t xml:space="preserve">PAX_REPORT_HIGHRISK_ARMS_TRADE.pdf (paxvoorvrede.nl). </w:t>
        </w:r>
      </w:hyperlink>
    </w:p>
  </w:footnote>
  <w:footnote w:id="7">
    <w:p w14:paraId="10895405" w14:textId="77777777" w:rsidR="007C1AE1" w:rsidRPr="00E64762" w:rsidRDefault="007C1AE1" w:rsidP="375973F0">
      <w:pPr>
        <w:pStyle w:val="Voetnoottekst"/>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Pr="375973F0">
        <w:rPr>
          <w:rFonts w:ascii="Calibri" w:eastAsia="Calibri" w:hAnsi="Calibri" w:cs="Calibri"/>
          <w:sz w:val="18"/>
          <w:szCs w:val="18"/>
          <w:lang w:val="en-US"/>
        </w:rPr>
        <w:t xml:space="preserve"> </w:t>
      </w:r>
      <w:hyperlink r:id="rId11" w:history="1">
        <w:r w:rsidRPr="375973F0">
          <w:rPr>
            <w:rStyle w:val="Hyperlink"/>
            <w:rFonts w:ascii="Calibri" w:eastAsia="Calibri" w:hAnsi="Calibri" w:cs="Calibri"/>
            <w:sz w:val="18"/>
            <w:szCs w:val="18"/>
            <w:lang w:val="en-US"/>
          </w:rPr>
          <w:t>How a Giant of Responsible Investing Agreed to an Israel Exception (jewishcurrents.org)</w:t>
        </w:r>
      </w:hyperlink>
    </w:p>
  </w:footnote>
  <w:footnote w:id="8">
    <w:p w14:paraId="707069D1" w14:textId="69A94684" w:rsidR="7B671949" w:rsidRPr="00E64762" w:rsidRDefault="7B671949" w:rsidP="375973F0">
      <w:pPr>
        <w:pStyle w:val="Voetnoottekst"/>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33F4086E" w:rsidRPr="375973F0">
        <w:rPr>
          <w:rFonts w:ascii="Calibri" w:eastAsia="Calibri" w:hAnsi="Calibri" w:cs="Calibri"/>
          <w:sz w:val="18"/>
          <w:szCs w:val="18"/>
          <w:lang w:val="en-US"/>
        </w:rPr>
        <w:t xml:space="preserve"> “High-risk arms trade and the financial sector”, </w:t>
      </w:r>
      <w:r w:rsidR="33F4086E" w:rsidRPr="375973F0">
        <w:rPr>
          <w:rFonts w:ascii="Calibri" w:eastAsia="Calibri" w:hAnsi="Calibri" w:cs="Calibri"/>
          <w:i/>
          <w:iCs/>
          <w:sz w:val="18"/>
          <w:szCs w:val="18"/>
          <w:lang w:val="en-US"/>
        </w:rPr>
        <w:t>PAX (2022)</w:t>
      </w:r>
      <w:r w:rsidR="33F4086E" w:rsidRPr="375973F0">
        <w:rPr>
          <w:rFonts w:ascii="Calibri" w:eastAsia="Calibri" w:hAnsi="Calibri" w:cs="Calibri"/>
          <w:sz w:val="18"/>
          <w:szCs w:val="18"/>
          <w:lang w:val="en-US"/>
        </w:rPr>
        <w:t xml:space="preserve">. Available at: </w:t>
      </w:r>
      <w:hyperlink r:id="rId12">
        <w:r w:rsidR="33F4086E" w:rsidRPr="375973F0">
          <w:rPr>
            <w:rStyle w:val="Hyperlink"/>
            <w:rFonts w:ascii="Calibri" w:eastAsia="Calibri" w:hAnsi="Calibri" w:cs="Calibri"/>
            <w:sz w:val="18"/>
            <w:szCs w:val="18"/>
            <w:lang w:val="en-US"/>
          </w:rPr>
          <w:t>PAX_REPORT_HIGHRISK_ARMS_TRADE.pdf (paxvoorvrede.nl)</w:t>
        </w:r>
      </w:hyperlink>
      <w:r w:rsidR="33F4086E" w:rsidRPr="375973F0">
        <w:rPr>
          <w:rFonts w:ascii="Calibri" w:eastAsia="Calibri" w:hAnsi="Calibri" w:cs="Calibri"/>
          <w:sz w:val="18"/>
          <w:szCs w:val="18"/>
          <w:lang w:val="en-US"/>
        </w:rPr>
        <w:t>.</w:t>
      </w:r>
    </w:p>
  </w:footnote>
  <w:footnote w:id="9">
    <w:p w14:paraId="7F68F0C5" w14:textId="77777777" w:rsidR="007C1AE1" w:rsidRPr="00E64762" w:rsidRDefault="007C1AE1" w:rsidP="375973F0">
      <w:pPr>
        <w:pStyle w:val="Voetnoottekst"/>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Pr="375973F0">
        <w:rPr>
          <w:rFonts w:ascii="Calibri" w:eastAsia="Calibri" w:hAnsi="Calibri" w:cs="Calibri"/>
          <w:sz w:val="18"/>
          <w:szCs w:val="18"/>
          <w:lang w:val="en-US"/>
        </w:rPr>
        <w:t xml:space="preserve"> 'Moving Away from Mass Destruction: 109 exclusions of nuclear weapon producers', </w:t>
      </w:r>
      <w:r w:rsidRPr="375973F0">
        <w:rPr>
          <w:rFonts w:ascii="Calibri" w:eastAsia="Calibri" w:hAnsi="Calibri" w:cs="Calibri"/>
          <w:i/>
          <w:iCs/>
          <w:sz w:val="18"/>
          <w:szCs w:val="18"/>
          <w:lang w:val="en-US"/>
        </w:rPr>
        <w:t>PAX &amp; ICAN (2023)</w:t>
      </w:r>
      <w:r w:rsidRPr="375973F0">
        <w:rPr>
          <w:rFonts w:ascii="Calibri" w:eastAsia="Calibri" w:hAnsi="Calibri" w:cs="Calibri"/>
          <w:sz w:val="18"/>
          <w:szCs w:val="18"/>
          <w:lang w:val="en-US"/>
        </w:rPr>
        <w:t xml:space="preserve">, p. 13. </w:t>
      </w:r>
    </w:p>
  </w:footnote>
  <w:footnote w:id="10">
    <w:p w14:paraId="77E9B52B" w14:textId="77777777" w:rsidR="007C1AE1" w:rsidRPr="00E64762" w:rsidRDefault="007C1AE1" w:rsidP="375973F0">
      <w:pPr>
        <w:pStyle w:val="Voetnoottekst"/>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Pr="375973F0">
        <w:rPr>
          <w:rFonts w:ascii="Calibri" w:eastAsia="Calibri" w:hAnsi="Calibri" w:cs="Calibri"/>
          <w:sz w:val="18"/>
          <w:szCs w:val="18"/>
          <w:lang w:val="en-US"/>
        </w:rPr>
        <w:t xml:space="preserve"> See the Treaty on the Non-proliferation of Nuclear Weapons (1970), the Convention on the Prohibition of Biological Weapons (1972), the Convention on the Prohibition of Chemical Weapons (1993), the Convention on the Prohibition of Anti- Personnel Mines (1997), and the Treaty on the Prohibition of Nuclear Weapons (2017). </w:t>
      </w:r>
    </w:p>
  </w:footnote>
  <w:footnote w:id="11">
    <w:p w14:paraId="5BD81959" w14:textId="77777777" w:rsidR="007C1AE1" w:rsidRPr="00E64762" w:rsidRDefault="007C1AE1" w:rsidP="375973F0">
      <w:pPr>
        <w:pStyle w:val="Voetnoottekst"/>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Pr="375973F0">
        <w:rPr>
          <w:rFonts w:ascii="Calibri" w:eastAsia="Calibri" w:hAnsi="Calibri" w:cs="Calibri"/>
          <w:sz w:val="18"/>
          <w:szCs w:val="18"/>
          <w:lang w:val="en-US"/>
        </w:rPr>
        <w:t xml:space="preserve"> Open Letter to Global Index Providers, </w:t>
      </w:r>
      <w:r w:rsidRPr="375973F0">
        <w:rPr>
          <w:rFonts w:ascii="Calibri" w:eastAsia="Calibri" w:hAnsi="Calibri" w:cs="Calibri"/>
          <w:i/>
          <w:iCs/>
          <w:sz w:val="18"/>
          <w:szCs w:val="18"/>
          <w:lang w:val="en-US"/>
        </w:rPr>
        <w:t>Swiss Sustainable Finance</w:t>
      </w:r>
      <w:r w:rsidRPr="375973F0">
        <w:rPr>
          <w:rFonts w:ascii="Calibri" w:eastAsia="Calibri" w:hAnsi="Calibri" w:cs="Calibri"/>
          <w:sz w:val="18"/>
          <w:szCs w:val="18"/>
          <w:lang w:val="en-US"/>
        </w:rPr>
        <w:t xml:space="preserve">, 31 January 2019. Available at: </w:t>
      </w:r>
      <w:hyperlink r:id="rId13" w:history="1">
        <w:r w:rsidRPr="375973F0">
          <w:rPr>
            <w:rStyle w:val="Hyperlink"/>
            <w:rFonts w:ascii="Calibri" w:eastAsia="Calibri" w:hAnsi="Calibri" w:cs="Calibri"/>
            <w:sz w:val="18"/>
            <w:szCs w:val="18"/>
            <w:lang w:val="en-US"/>
          </w:rPr>
          <w:t xml:space="preserve">Controversial_Weapons_Letter_FINAL_2019_01_31.pdf (sustainablefinance.ch). </w:t>
        </w:r>
      </w:hyperlink>
      <w:r w:rsidRPr="375973F0">
        <w:rPr>
          <w:rFonts w:ascii="Calibri" w:eastAsia="Calibri" w:hAnsi="Calibri" w:cs="Calibri"/>
          <w:sz w:val="18"/>
          <w:szCs w:val="18"/>
          <w:lang w:val="en-US"/>
        </w:rPr>
        <w:t xml:space="preserve"> It should be noted that the letter only considers nuclear weapons controversial "for countries that have not signed the 1970 Treaty on the Non-Proliferation of Nuclear Weapons". PAX (and many signatories to the letter) do not support this position. Nuclear weapons are indiscriminate, cause disproportionate harm and are comprehensively banned under the UN Treaty on the Prohibition of Nuclear Weapons (2017). In addition, all states that signed the Treaty on the Non-Proliferation of Nuclear Weapons are under a legally binding obligation to disarm (see UN Treaty on the Non-Proliferation of Nuclear Weapons (1970), Article 6. </w:t>
      </w:r>
    </w:p>
  </w:footnote>
  <w:footnote w:id="12">
    <w:p w14:paraId="0C514660" w14:textId="77777777" w:rsidR="007C1AE1" w:rsidRPr="00E64762" w:rsidRDefault="007C1AE1" w:rsidP="375973F0">
      <w:pPr>
        <w:pStyle w:val="Voetnoottekst"/>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Pr="375973F0">
        <w:rPr>
          <w:rFonts w:ascii="Calibri" w:eastAsia="Calibri" w:hAnsi="Calibri" w:cs="Calibri"/>
          <w:sz w:val="18"/>
          <w:szCs w:val="18"/>
          <w:lang w:val="en-US"/>
        </w:rPr>
        <w:t xml:space="preserve"> 'Index providers respond to controversial weapons campaign'. </w:t>
      </w:r>
      <w:r w:rsidRPr="375973F0">
        <w:rPr>
          <w:rFonts w:ascii="Calibri" w:eastAsia="Calibri" w:hAnsi="Calibri" w:cs="Calibri"/>
          <w:i/>
          <w:iCs/>
          <w:sz w:val="18"/>
          <w:szCs w:val="18"/>
          <w:lang w:val="en-US"/>
        </w:rPr>
        <w:t>IPE, 14 February 2019</w:t>
      </w:r>
      <w:r w:rsidRPr="375973F0">
        <w:rPr>
          <w:rFonts w:ascii="Calibri" w:eastAsia="Calibri" w:hAnsi="Calibri" w:cs="Calibri"/>
          <w:sz w:val="18"/>
          <w:szCs w:val="18"/>
          <w:lang w:val="en-US"/>
        </w:rPr>
        <w:t xml:space="preserve">. Available at: </w:t>
      </w:r>
      <w:hyperlink r:id="rId14" w:history="1">
        <w:r w:rsidRPr="375973F0">
          <w:rPr>
            <w:rStyle w:val="Hyperlink"/>
            <w:rFonts w:ascii="Calibri" w:eastAsia="Calibri" w:hAnsi="Calibri" w:cs="Calibri"/>
            <w:sz w:val="18"/>
            <w:szCs w:val="18"/>
            <w:lang w:val="en-US"/>
          </w:rPr>
          <w:t xml:space="preserve">Index providers respond to controversial weapons campaign | News | IPE. </w:t>
        </w:r>
      </w:hyperlink>
    </w:p>
  </w:footnote>
  <w:footnote w:id="13">
    <w:p w14:paraId="3A0D5F79" w14:textId="5F743C37" w:rsidR="4F888782" w:rsidRPr="00E64762" w:rsidRDefault="4F888782" w:rsidP="375973F0">
      <w:pPr>
        <w:pStyle w:val="Voetnoottekst"/>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3FD6A927" w:rsidRPr="375973F0">
        <w:rPr>
          <w:rFonts w:ascii="Calibri" w:eastAsia="Calibri" w:hAnsi="Calibri" w:cs="Calibri"/>
          <w:sz w:val="18"/>
          <w:szCs w:val="18"/>
          <w:lang w:val="en-US"/>
        </w:rPr>
        <w:t xml:space="preserve">  At a minimum, such legislation should (</w:t>
      </w:r>
      <w:proofErr w:type="spellStart"/>
      <w:r w:rsidR="3FD6A927" w:rsidRPr="375973F0">
        <w:rPr>
          <w:rFonts w:ascii="Calibri" w:eastAsia="Calibri" w:hAnsi="Calibri" w:cs="Calibri"/>
          <w:sz w:val="18"/>
          <w:szCs w:val="18"/>
          <w:lang w:val="en-US"/>
        </w:rPr>
        <w:t>i</w:t>
      </w:r>
      <w:proofErr w:type="spellEnd"/>
      <w:r w:rsidR="3FD6A927" w:rsidRPr="375973F0">
        <w:rPr>
          <w:rFonts w:ascii="Calibri" w:eastAsia="Calibri" w:hAnsi="Calibri" w:cs="Calibri"/>
          <w:sz w:val="18"/>
          <w:szCs w:val="18"/>
          <w:lang w:val="en-US"/>
        </w:rPr>
        <w:t xml:space="preserve">) prohibit the financing of companies as a whole, rather than merely the activities related to controversial </w:t>
      </w:r>
      <w:r w:rsidR="5900A5DE" w:rsidRPr="375973F0">
        <w:rPr>
          <w:rFonts w:ascii="Calibri" w:eastAsia="Calibri" w:hAnsi="Calibri" w:cs="Calibri"/>
          <w:sz w:val="18"/>
          <w:szCs w:val="18"/>
          <w:lang w:val="en-US"/>
        </w:rPr>
        <w:t>weapons</w:t>
      </w:r>
      <w:r w:rsidR="003B868C" w:rsidRPr="375973F0">
        <w:rPr>
          <w:rFonts w:ascii="Calibri" w:eastAsia="Calibri" w:hAnsi="Calibri" w:cs="Calibri"/>
          <w:sz w:val="18"/>
          <w:szCs w:val="18"/>
          <w:lang w:val="en-US"/>
        </w:rPr>
        <w:t>;</w:t>
      </w:r>
      <w:r w:rsidR="3FD6A927" w:rsidRPr="375973F0">
        <w:rPr>
          <w:rFonts w:ascii="Calibri" w:eastAsia="Calibri" w:hAnsi="Calibri" w:cs="Calibri"/>
          <w:sz w:val="18"/>
          <w:szCs w:val="18"/>
          <w:lang w:val="en-US"/>
        </w:rPr>
        <w:t xml:space="preserve"> (ii) include a definition of controversial weapons producers that is as comprehensive as </w:t>
      </w:r>
      <w:r w:rsidR="7129319B" w:rsidRPr="375973F0">
        <w:rPr>
          <w:rFonts w:ascii="Calibri" w:eastAsia="Calibri" w:hAnsi="Calibri" w:cs="Calibri"/>
          <w:sz w:val="18"/>
          <w:szCs w:val="18"/>
          <w:lang w:val="en-US"/>
        </w:rPr>
        <w:t>possible</w:t>
      </w:r>
      <w:r w:rsidR="47B2F722" w:rsidRPr="375973F0">
        <w:rPr>
          <w:rFonts w:ascii="Calibri" w:eastAsia="Calibri" w:hAnsi="Calibri" w:cs="Calibri"/>
          <w:sz w:val="18"/>
          <w:szCs w:val="18"/>
          <w:lang w:val="en-US"/>
        </w:rPr>
        <w:t>;</w:t>
      </w:r>
      <w:r w:rsidR="3FD6A927" w:rsidRPr="375973F0">
        <w:rPr>
          <w:rFonts w:ascii="Calibri" w:eastAsia="Calibri" w:hAnsi="Calibri" w:cs="Calibri"/>
          <w:sz w:val="18"/>
          <w:szCs w:val="18"/>
          <w:lang w:val="en-US"/>
        </w:rPr>
        <w:t xml:space="preserve"> (iii) extend to controversial weapons producers abroad</w:t>
      </w:r>
      <w:r w:rsidR="11D3236A" w:rsidRPr="375973F0">
        <w:rPr>
          <w:rFonts w:ascii="Calibri" w:eastAsia="Calibri" w:hAnsi="Calibri" w:cs="Calibri"/>
          <w:sz w:val="18"/>
          <w:szCs w:val="18"/>
          <w:lang w:val="en-US"/>
        </w:rPr>
        <w:t>;</w:t>
      </w:r>
      <w:r w:rsidR="3FD6A927" w:rsidRPr="375973F0">
        <w:rPr>
          <w:rFonts w:ascii="Calibri" w:eastAsia="Calibri" w:hAnsi="Calibri" w:cs="Calibri"/>
          <w:sz w:val="18"/>
          <w:szCs w:val="18"/>
          <w:lang w:val="en-US"/>
        </w:rPr>
        <w:t xml:space="preserve"> (iv) be applicable to all types of financial products and services </w:t>
      </w:r>
      <w:r w:rsidR="4672E82D" w:rsidRPr="375973F0">
        <w:rPr>
          <w:rFonts w:ascii="Calibri" w:eastAsia="Calibri" w:hAnsi="Calibri" w:cs="Calibri"/>
          <w:sz w:val="18"/>
          <w:szCs w:val="18"/>
          <w:lang w:val="en-US"/>
        </w:rPr>
        <w:t>offered</w:t>
      </w:r>
      <w:r w:rsidR="3FD6A927" w:rsidRPr="375973F0">
        <w:rPr>
          <w:rFonts w:ascii="Calibri" w:eastAsia="Calibri" w:hAnsi="Calibri" w:cs="Calibri"/>
          <w:sz w:val="18"/>
          <w:szCs w:val="18"/>
          <w:lang w:val="en-US"/>
        </w:rPr>
        <w:t xml:space="preserve">, </w:t>
      </w:r>
      <w:r w:rsidR="5C0CAADF" w:rsidRPr="375973F0">
        <w:rPr>
          <w:rFonts w:ascii="Calibri" w:eastAsia="Calibri" w:hAnsi="Calibri" w:cs="Calibri"/>
          <w:sz w:val="18"/>
          <w:szCs w:val="18"/>
          <w:lang w:val="en-US"/>
        </w:rPr>
        <w:t>including passive and active, internally and externally managed assets, across all entities within the group, including subsidiaries</w:t>
      </w:r>
      <w:r w:rsidR="104EB4FE" w:rsidRPr="375973F0">
        <w:rPr>
          <w:rFonts w:ascii="Calibri" w:eastAsia="Calibri" w:hAnsi="Calibri" w:cs="Calibri"/>
          <w:sz w:val="18"/>
          <w:szCs w:val="18"/>
          <w:lang w:val="en-US"/>
        </w:rPr>
        <w:t>;</w:t>
      </w:r>
      <w:r w:rsidR="2EFC1DCC" w:rsidRPr="375973F0">
        <w:rPr>
          <w:rFonts w:ascii="Calibri" w:eastAsia="Calibri" w:hAnsi="Calibri" w:cs="Calibri"/>
          <w:sz w:val="18"/>
          <w:szCs w:val="18"/>
          <w:lang w:val="en-US"/>
        </w:rPr>
        <w:t xml:space="preserve"> (</w:t>
      </w:r>
      <w:r w:rsidR="3FD6A927" w:rsidRPr="375973F0">
        <w:rPr>
          <w:rFonts w:ascii="Calibri" w:eastAsia="Calibri" w:hAnsi="Calibri" w:cs="Calibri"/>
          <w:sz w:val="18"/>
          <w:szCs w:val="18"/>
          <w:lang w:val="en-US"/>
        </w:rPr>
        <w:t>v) include clear stipulations about how and in which timeframe investors should dispose of ongoing contracts or current existing investments</w:t>
      </w:r>
      <w:r w:rsidR="104EB4FE" w:rsidRPr="375973F0">
        <w:rPr>
          <w:rFonts w:ascii="Calibri" w:eastAsia="Calibri" w:hAnsi="Calibri" w:cs="Calibri"/>
          <w:sz w:val="18"/>
          <w:szCs w:val="18"/>
          <w:lang w:val="en-US"/>
        </w:rPr>
        <w:t>;</w:t>
      </w:r>
      <w:r w:rsidR="3FD6A927" w:rsidRPr="375973F0">
        <w:rPr>
          <w:rFonts w:ascii="Calibri" w:eastAsia="Calibri" w:hAnsi="Calibri" w:cs="Calibri"/>
          <w:sz w:val="18"/>
          <w:szCs w:val="18"/>
          <w:lang w:val="en-US"/>
        </w:rPr>
        <w:t xml:space="preserve"> and (v) establish </w:t>
      </w:r>
      <w:r w:rsidR="1E02A898" w:rsidRPr="375973F0">
        <w:rPr>
          <w:rFonts w:ascii="Calibri" w:eastAsia="Calibri" w:hAnsi="Calibri" w:cs="Calibri"/>
          <w:sz w:val="18"/>
          <w:szCs w:val="18"/>
          <w:lang w:val="en-US"/>
        </w:rPr>
        <w:t>effective mechanisms</w:t>
      </w:r>
      <w:r w:rsidR="3FD6A927" w:rsidRPr="375973F0">
        <w:rPr>
          <w:rFonts w:ascii="Calibri" w:eastAsia="Calibri" w:hAnsi="Calibri" w:cs="Calibri"/>
          <w:sz w:val="18"/>
          <w:szCs w:val="18"/>
          <w:lang w:val="en-US"/>
        </w:rPr>
        <w:t xml:space="preserve"> to ensure implementation is adequately </w:t>
      </w:r>
      <w:r w:rsidR="0EA503C5" w:rsidRPr="375973F0">
        <w:rPr>
          <w:rFonts w:ascii="Calibri" w:eastAsia="Calibri" w:hAnsi="Calibri" w:cs="Calibri"/>
          <w:sz w:val="18"/>
          <w:szCs w:val="18"/>
          <w:lang w:val="en-US"/>
        </w:rPr>
        <w:t>monitored</w:t>
      </w:r>
      <w:r w:rsidR="3FD6A927" w:rsidRPr="375973F0">
        <w:rPr>
          <w:rFonts w:ascii="Calibri" w:eastAsia="Calibri" w:hAnsi="Calibri" w:cs="Calibri"/>
          <w:sz w:val="18"/>
          <w:szCs w:val="18"/>
          <w:lang w:val="en-US"/>
        </w:rPr>
        <w:t>.</w:t>
      </w:r>
      <w:r w:rsidR="5ADB143A" w:rsidRPr="375973F0">
        <w:rPr>
          <w:rFonts w:ascii="Calibri" w:eastAsia="Calibri" w:hAnsi="Calibri" w:cs="Calibri"/>
          <w:sz w:val="18"/>
          <w:szCs w:val="18"/>
          <w:lang w:val="en-US"/>
        </w:rPr>
        <w:t xml:space="preserve"> </w:t>
      </w:r>
      <w:r w:rsidR="722B3A0D" w:rsidRPr="375973F0">
        <w:rPr>
          <w:rFonts w:ascii="Calibri" w:eastAsia="Calibri" w:hAnsi="Calibri" w:cs="Calibri"/>
          <w:sz w:val="18"/>
          <w:szCs w:val="18"/>
          <w:lang w:val="en-US"/>
        </w:rPr>
        <w:t xml:space="preserve">See also </w:t>
      </w:r>
      <w:r w:rsidR="32D476E9" w:rsidRPr="375973F0">
        <w:rPr>
          <w:rFonts w:ascii="Calibri" w:eastAsia="Calibri" w:hAnsi="Calibri" w:cs="Calibri"/>
          <w:sz w:val="18"/>
          <w:szCs w:val="18"/>
          <w:lang w:val="en-US"/>
        </w:rPr>
        <w:t xml:space="preserve">"Banning </w:t>
      </w:r>
      <w:r w:rsidR="6C7C3235" w:rsidRPr="375973F0">
        <w:rPr>
          <w:rFonts w:ascii="Calibri" w:eastAsia="Calibri" w:hAnsi="Calibri" w:cs="Calibri"/>
          <w:sz w:val="18"/>
          <w:szCs w:val="18"/>
          <w:lang w:val="en-US"/>
        </w:rPr>
        <w:t xml:space="preserve">Investments in </w:t>
      </w:r>
      <w:r w:rsidR="28CA1882" w:rsidRPr="375973F0">
        <w:rPr>
          <w:rFonts w:ascii="Calibri" w:eastAsia="Calibri" w:hAnsi="Calibri" w:cs="Calibri"/>
          <w:sz w:val="18"/>
          <w:szCs w:val="18"/>
          <w:lang w:val="en-US"/>
        </w:rPr>
        <w:t xml:space="preserve">Cluster Munition </w:t>
      </w:r>
      <w:r w:rsidR="60A17E07" w:rsidRPr="375973F0">
        <w:rPr>
          <w:rFonts w:ascii="Calibri" w:eastAsia="Calibri" w:hAnsi="Calibri" w:cs="Calibri"/>
          <w:sz w:val="18"/>
          <w:szCs w:val="18"/>
          <w:lang w:val="en-US"/>
        </w:rPr>
        <w:t>Producers</w:t>
      </w:r>
      <w:r w:rsidR="49760389" w:rsidRPr="375973F0">
        <w:rPr>
          <w:rFonts w:ascii="Calibri" w:eastAsia="Calibri" w:hAnsi="Calibri" w:cs="Calibri"/>
          <w:sz w:val="18"/>
          <w:szCs w:val="18"/>
          <w:lang w:val="en-US"/>
        </w:rPr>
        <w:t xml:space="preserve"> </w:t>
      </w:r>
      <w:r w:rsidR="1DEC7593" w:rsidRPr="375973F0">
        <w:rPr>
          <w:rFonts w:ascii="Calibri" w:eastAsia="Calibri" w:hAnsi="Calibri" w:cs="Calibri"/>
          <w:sz w:val="18"/>
          <w:szCs w:val="18"/>
          <w:lang w:val="en-US"/>
        </w:rPr>
        <w:t>– National legislation",</w:t>
      </w:r>
      <w:r w:rsidR="49760389" w:rsidRPr="375973F0">
        <w:rPr>
          <w:rFonts w:ascii="Calibri" w:eastAsia="Calibri" w:hAnsi="Calibri" w:cs="Calibri"/>
          <w:sz w:val="18"/>
          <w:szCs w:val="18"/>
          <w:lang w:val="en-US"/>
        </w:rPr>
        <w:t xml:space="preserve"> </w:t>
      </w:r>
      <w:r w:rsidR="68314D2F" w:rsidRPr="375973F0">
        <w:rPr>
          <w:rFonts w:ascii="Calibri" w:eastAsia="Calibri" w:hAnsi="Calibri" w:cs="Calibri"/>
          <w:i/>
          <w:iCs/>
          <w:sz w:val="18"/>
          <w:szCs w:val="18"/>
          <w:lang w:val="en-US"/>
        </w:rPr>
        <w:t>PAX</w:t>
      </w:r>
      <w:r w:rsidR="2E449AF4" w:rsidRPr="375973F0">
        <w:rPr>
          <w:rFonts w:ascii="Calibri" w:eastAsia="Calibri" w:hAnsi="Calibri" w:cs="Calibri"/>
          <w:i/>
          <w:iCs/>
          <w:sz w:val="18"/>
          <w:szCs w:val="18"/>
          <w:lang w:val="en-US"/>
        </w:rPr>
        <w:t xml:space="preserve"> (</w:t>
      </w:r>
      <w:r w:rsidR="41DD4ABC" w:rsidRPr="375973F0">
        <w:rPr>
          <w:rFonts w:ascii="Calibri" w:eastAsia="Calibri" w:hAnsi="Calibri" w:cs="Calibri"/>
          <w:i/>
          <w:iCs/>
          <w:sz w:val="18"/>
          <w:szCs w:val="18"/>
          <w:lang w:val="en-US"/>
        </w:rPr>
        <w:t>2014)</w:t>
      </w:r>
      <w:r w:rsidR="41DD4ABC" w:rsidRPr="375973F0">
        <w:rPr>
          <w:rFonts w:ascii="Calibri" w:eastAsia="Calibri" w:hAnsi="Calibri" w:cs="Calibri"/>
          <w:sz w:val="18"/>
          <w:szCs w:val="18"/>
          <w:lang w:val="en-US"/>
        </w:rPr>
        <w:t>.</w:t>
      </w:r>
      <w:r w:rsidR="6BE26A46" w:rsidRPr="375973F0">
        <w:rPr>
          <w:rFonts w:ascii="Calibri" w:eastAsia="Calibri" w:hAnsi="Calibri" w:cs="Calibri"/>
          <w:sz w:val="18"/>
          <w:szCs w:val="18"/>
          <w:lang w:val="en-US"/>
        </w:rPr>
        <w:t xml:space="preserve"> </w:t>
      </w:r>
      <w:r w:rsidR="58153518" w:rsidRPr="375973F0">
        <w:rPr>
          <w:rFonts w:ascii="Calibri" w:eastAsia="Calibri" w:hAnsi="Calibri" w:cs="Calibri"/>
          <w:sz w:val="18"/>
          <w:szCs w:val="18"/>
          <w:lang w:val="en-US"/>
        </w:rPr>
        <w:t xml:space="preserve">Available at: </w:t>
      </w:r>
      <w:hyperlink r:id="rId15">
        <w:r w:rsidR="58153518" w:rsidRPr="375973F0">
          <w:rPr>
            <w:rStyle w:val="Hyperlink"/>
            <w:rFonts w:ascii="Calibri" w:eastAsia="Calibri" w:hAnsi="Calibri" w:cs="Calibri"/>
            <w:sz w:val="18"/>
            <w:szCs w:val="18"/>
            <w:lang w:val="en-US"/>
          </w:rPr>
          <w:t>Banning-investments-in-cluster-munitions-national-legislation-2.pdf (stopexplosiveinvestments.org).</w:t>
        </w:r>
      </w:hyperlink>
      <w:r w:rsidR="626B7ADA" w:rsidRPr="375973F0">
        <w:rPr>
          <w:rFonts w:ascii="Calibri" w:eastAsia="Calibri" w:hAnsi="Calibri" w:cs="Calibri"/>
          <w:sz w:val="18"/>
          <w:szCs w:val="18"/>
          <w:lang w:val="en-US"/>
        </w:rPr>
        <w:t xml:space="preserve"> </w:t>
      </w:r>
    </w:p>
  </w:footnote>
  <w:footnote w:id="14">
    <w:p w14:paraId="06CBE1DD" w14:textId="724C70DD" w:rsidR="11F1A2A7" w:rsidRPr="00E64762" w:rsidRDefault="11F1A2A7" w:rsidP="375973F0">
      <w:pPr>
        <w:pStyle w:val="Voetnoottekst"/>
        <w:rPr>
          <w:rFonts w:asciiTheme="minorHAnsi" w:eastAsiaTheme="majorEastAsia" w:hAnsiTheme="minorHAnsi" w:cstheme="minorBidi"/>
          <w:sz w:val="16"/>
          <w:szCs w:val="16"/>
          <w:lang w:val="en-US"/>
        </w:rPr>
      </w:pPr>
      <w:r w:rsidRPr="375973F0">
        <w:rPr>
          <w:rStyle w:val="Voetnootmarkering"/>
          <w:rFonts w:ascii="Calibri" w:eastAsia="Calibri" w:hAnsi="Calibri" w:cs="Calibri"/>
          <w:sz w:val="18"/>
          <w:szCs w:val="18"/>
        </w:rPr>
        <w:footnoteRef/>
      </w:r>
      <w:r w:rsidRPr="375973F0">
        <w:rPr>
          <w:rFonts w:ascii="Calibri" w:eastAsia="Calibri" w:hAnsi="Calibri" w:cs="Calibri"/>
          <w:sz w:val="18"/>
          <w:szCs w:val="18"/>
        </w:rPr>
        <w:t xml:space="preserve"> </w:t>
      </w:r>
      <w:r w:rsidRPr="375973F0">
        <w:rPr>
          <w:rStyle w:val="eop"/>
          <w:rFonts w:ascii="Calibri" w:eastAsia="Calibri" w:hAnsi="Calibri" w:cs="Calibri"/>
          <w:sz w:val="18"/>
          <w:szCs w:val="18"/>
          <w:lang w:val="en-US"/>
        </w:rPr>
        <w:t>In the Oxford Public International Law Commentary on the Chemical Weapons Convention, assistance is understood to include the provision of “through financial resources…. to anyone who is resolved to engage in such prohibited activity” and anyone that could be “not only be a State, irrespective of whether or not it is a Party to the Convention, but also an organization, an enterprise, a person, or a group of persons, regardless of Citizenship.” Another example is the Convention on Cluster Munitions (CCM), of which 37 states parties explicitly acknowledge that the CCM’s prohibition on assistance in the development and production of cluster munitions also prohibits investments in cluster munitions and 11 more states have adopted national legislation to this end</w:t>
      </w:r>
      <w:r w:rsidR="5BBF8E9F" w:rsidRPr="375973F0">
        <w:rPr>
          <w:rStyle w:val="eop"/>
          <w:rFonts w:ascii="Calibri" w:eastAsia="Calibri" w:hAnsi="Calibri" w:cs="Calibri"/>
          <w:sz w:val="18"/>
          <w:szCs w:val="18"/>
          <w:lang w:val="en-US"/>
        </w:rPr>
        <w:t xml:space="preserve"> (see: </w:t>
      </w:r>
      <w:r w:rsidR="5BBF8E9F" w:rsidRPr="375973F0">
        <w:rPr>
          <w:rFonts w:ascii="Calibri" w:eastAsia="Calibri" w:hAnsi="Calibri" w:cs="Calibri"/>
          <w:sz w:val="18"/>
          <w:szCs w:val="18"/>
          <w:lang w:val="en-US"/>
        </w:rPr>
        <w:t>'Banning investments in cluster munitions: States’ best practices', P</w:t>
      </w:r>
      <w:r w:rsidR="5BBF8E9F" w:rsidRPr="375973F0">
        <w:rPr>
          <w:rFonts w:ascii="Calibri" w:eastAsia="Calibri" w:hAnsi="Calibri" w:cs="Calibri"/>
          <w:i/>
          <w:iCs/>
          <w:sz w:val="18"/>
          <w:szCs w:val="18"/>
          <w:lang w:val="en-US"/>
        </w:rPr>
        <w:t>AX (2019).</w:t>
      </w:r>
      <w:r w:rsidR="5BBF8E9F" w:rsidRPr="375973F0">
        <w:rPr>
          <w:rFonts w:ascii="Calibri" w:eastAsia="Calibri" w:hAnsi="Calibri" w:cs="Calibri"/>
          <w:sz w:val="18"/>
          <w:szCs w:val="18"/>
          <w:lang w:val="en-US"/>
        </w:rPr>
        <w:t xml:space="preserve"> Available at:   201910_Factsheet states best </w:t>
      </w:r>
      <w:proofErr w:type="spellStart"/>
      <w:r w:rsidR="5BBF8E9F" w:rsidRPr="375973F0">
        <w:rPr>
          <w:rFonts w:ascii="Calibri" w:eastAsia="Calibri" w:hAnsi="Calibri" w:cs="Calibri"/>
          <w:sz w:val="18"/>
          <w:szCs w:val="18"/>
          <w:lang w:val="en-US"/>
        </w:rPr>
        <w:t>practices.indd</w:t>
      </w:r>
      <w:proofErr w:type="spellEnd"/>
      <w:r w:rsidR="5BBF8E9F" w:rsidRPr="375973F0">
        <w:rPr>
          <w:rFonts w:ascii="Calibri" w:eastAsia="Calibri" w:hAnsi="Calibri" w:cs="Calibri"/>
          <w:sz w:val="18"/>
          <w:szCs w:val="18"/>
          <w:lang w:val="en-US"/>
        </w:rPr>
        <w:t xml:space="preserve"> (stopexplosiveinvestments.org)</w:t>
      </w:r>
      <w:r w:rsidR="5BBF8E9F" w:rsidRPr="375973F0">
        <w:rPr>
          <w:rStyle w:val="eop"/>
          <w:rFonts w:ascii="Calibri" w:eastAsia="Calibri" w:hAnsi="Calibri" w:cs="Calibri"/>
          <w:sz w:val="18"/>
          <w:szCs w:val="18"/>
          <w:lang w:val="en-US"/>
        </w:rPr>
        <w:t>).</w:t>
      </w:r>
      <w:r w:rsidR="73C89810" w:rsidRPr="375973F0">
        <w:rPr>
          <w:rStyle w:val="eop"/>
          <w:rFonts w:ascii="Calibri" w:eastAsia="Calibri" w:hAnsi="Calibri" w:cs="Calibri"/>
          <w:sz w:val="18"/>
          <w:szCs w:val="18"/>
          <w:lang w:val="en-US"/>
        </w:rPr>
        <w:t xml:space="preserve"> </w:t>
      </w:r>
      <w:r w:rsidRPr="375973F0">
        <w:rPr>
          <w:rStyle w:val="eop"/>
          <w:rFonts w:ascii="Calibri" w:eastAsia="Calibri" w:hAnsi="Calibri" w:cs="Calibri"/>
          <w:sz w:val="18"/>
          <w:szCs w:val="18"/>
          <w:lang w:val="en-US"/>
        </w:rPr>
        <w:t>This understanding was furthermore visible at the negotiation of the Treaty on the Prohibition of Nuclear Weapons (TPNW</w:t>
      </w:r>
      <w:r w:rsidR="44C9FA4D" w:rsidRPr="375973F0">
        <w:rPr>
          <w:rStyle w:val="eop"/>
          <w:rFonts w:ascii="Calibri" w:eastAsia="Calibri" w:hAnsi="Calibri" w:cs="Calibri"/>
          <w:sz w:val="18"/>
          <w:szCs w:val="18"/>
          <w:lang w:val="en-US"/>
        </w:rPr>
        <w:t xml:space="preserve">) </w:t>
      </w:r>
      <w:r w:rsidR="0CDDE22F" w:rsidRPr="375973F0">
        <w:rPr>
          <w:rStyle w:val="eop"/>
          <w:rFonts w:ascii="Calibri" w:eastAsia="Calibri" w:hAnsi="Calibri" w:cs="Calibri"/>
          <w:sz w:val="18"/>
          <w:szCs w:val="18"/>
          <w:lang w:val="en-US"/>
        </w:rPr>
        <w:t xml:space="preserve">(See: </w:t>
      </w:r>
      <w:r w:rsidR="0CDDE22F" w:rsidRPr="375973F0">
        <w:rPr>
          <w:rFonts w:ascii="Calibri" w:eastAsia="Calibri" w:hAnsi="Calibri" w:cs="Calibri"/>
          <w:sz w:val="18"/>
          <w:szCs w:val="18"/>
          <w:lang w:val="en-US"/>
        </w:rPr>
        <w:t xml:space="preserve">Interpretative statements: financing prohibited, </w:t>
      </w:r>
      <w:r w:rsidR="0CDDE22F" w:rsidRPr="375973F0">
        <w:rPr>
          <w:rFonts w:ascii="Calibri" w:eastAsia="Calibri" w:hAnsi="Calibri" w:cs="Calibri"/>
          <w:i/>
          <w:iCs/>
          <w:sz w:val="18"/>
          <w:szCs w:val="18"/>
          <w:lang w:val="en-US"/>
        </w:rPr>
        <w:t>Don't Bank on the Bomb (no date)</w:t>
      </w:r>
      <w:r w:rsidR="0CDDE22F" w:rsidRPr="375973F0">
        <w:rPr>
          <w:rFonts w:ascii="Calibri" w:eastAsia="Calibri" w:hAnsi="Calibri" w:cs="Calibri"/>
          <w:sz w:val="18"/>
          <w:szCs w:val="18"/>
          <w:lang w:val="en-US"/>
        </w:rPr>
        <w:t xml:space="preserve">. </w:t>
      </w:r>
      <w:r w:rsidR="52BA19DC" w:rsidRPr="375973F0">
        <w:rPr>
          <w:rFonts w:ascii="Calibri" w:eastAsia="Calibri" w:hAnsi="Calibri" w:cs="Calibri"/>
          <w:sz w:val="18"/>
          <w:szCs w:val="18"/>
          <w:lang w:val="en-US"/>
        </w:rPr>
        <w:t xml:space="preserve">Available at: Interpretive statements: financing prohibited – Don't Bank on the Bomb (dontbankonthebomb.com)). </w:t>
      </w:r>
      <w:r w:rsidR="146277D9" w:rsidRPr="375973F0">
        <w:rPr>
          <w:rFonts w:ascii="Calibri" w:eastAsia="Calibri" w:hAnsi="Calibri" w:cs="Calibri"/>
          <w:sz w:val="18"/>
          <w:szCs w:val="18"/>
          <w:lang w:val="en-US"/>
        </w:rPr>
        <w:t xml:space="preserve"> </w:t>
      </w:r>
      <w:r w:rsidR="560D25AE" w:rsidRPr="375973F0">
        <w:rPr>
          <w:rFonts w:ascii="Calibri" w:eastAsia="Calibri" w:hAnsi="Calibri" w:cs="Calibri"/>
          <w:i/>
          <w:iCs/>
          <w:sz w:val="18"/>
          <w:szCs w:val="18"/>
          <w:lang w:val="en-US"/>
        </w:rPr>
        <w:t>See also</w:t>
      </w:r>
      <w:r w:rsidR="560D25AE" w:rsidRPr="375973F0">
        <w:rPr>
          <w:rFonts w:ascii="Calibri" w:eastAsia="Calibri" w:hAnsi="Calibri" w:cs="Calibri"/>
          <w:sz w:val="18"/>
          <w:szCs w:val="18"/>
          <w:lang w:val="en-US"/>
        </w:rPr>
        <w:t xml:space="preserve"> </w:t>
      </w:r>
      <w:r w:rsidR="38BF7FF7" w:rsidRPr="375973F0">
        <w:rPr>
          <w:rFonts w:ascii="Calibri" w:eastAsia="Calibri" w:hAnsi="Calibri" w:cs="Calibri"/>
          <w:sz w:val="18"/>
          <w:szCs w:val="18"/>
          <w:lang w:val="en-US"/>
        </w:rPr>
        <w:t>"</w:t>
      </w:r>
      <w:r w:rsidR="560D25AE" w:rsidRPr="375973F0">
        <w:rPr>
          <w:rFonts w:ascii="Calibri" w:eastAsia="Calibri" w:hAnsi="Calibri" w:cs="Calibri"/>
          <w:sz w:val="18"/>
          <w:szCs w:val="18"/>
          <w:lang w:val="en-US"/>
        </w:rPr>
        <w:t>Building on the Ban: Increasing impact by decreasing investment</w:t>
      </w:r>
      <w:r w:rsidR="1DABD24B" w:rsidRPr="375973F0">
        <w:rPr>
          <w:rFonts w:ascii="Calibri" w:eastAsia="Calibri" w:hAnsi="Calibri" w:cs="Calibri"/>
          <w:sz w:val="18"/>
          <w:szCs w:val="18"/>
          <w:lang w:val="en-US"/>
        </w:rPr>
        <w:t>.</w:t>
      </w:r>
      <w:r w:rsidR="560D25AE" w:rsidRPr="375973F0">
        <w:rPr>
          <w:rFonts w:ascii="Calibri" w:eastAsia="Calibri" w:hAnsi="Calibri" w:cs="Calibri"/>
          <w:sz w:val="18"/>
          <w:szCs w:val="18"/>
          <w:lang w:val="en-US"/>
        </w:rPr>
        <w:t xml:space="preserve"> Working paper submitted by ICAN on behalf of member organization PAX</w:t>
      </w:r>
      <w:r w:rsidR="3810E6C4" w:rsidRPr="375973F0">
        <w:rPr>
          <w:rFonts w:ascii="Calibri" w:eastAsia="Calibri" w:hAnsi="Calibri" w:cs="Calibri"/>
          <w:sz w:val="18"/>
          <w:szCs w:val="18"/>
          <w:lang w:val="en-US"/>
        </w:rPr>
        <w:t xml:space="preserve">", </w:t>
      </w:r>
      <w:r w:rsidR="28DEDDB2" w:rsidRPr="375973F0">
        <w:rPr>
          <w:rFonts w:ascii="Calibri" w:eastAsia="Calibri" w:hAnsi="Calibri" w:cs="Calibri"/>
          <w:i/>
          <w:iCs/>
          <w:sz w:val="18"/>
          <w:szCs w:val="18"/>
          <w:lang w:val="en-US"/>
        </w:rPr>
        <w:t>First Meeting of States Parties to the Treaty on the Prohibition of Nuclear Weapons</w:t>
      </w:r>
      <w:r w:rsidR="28DEDDB2" w:rsidRPr="375973F0">
        <w:rPr>
          <w:rFonts w:ascii="Calibri" w:eastAsia="Calibri" w:hAnsi="Calibri" w:cs="Calibri"/>
          <w:sz w:val="18"/>
          <w:szCs w:val="18"/>
          <w:lang w:val="en-US"/>
        </w:rPr>
        <w:t xml:space="preserve">, </w:t>
      </w:r>
      <w:r w:rsidR="0E5E9F01" w:rsidRPr="375973F0">
        <w:rPr>
          <w:rFonts w:ascii="Calibri" w:eastAsia="Calibri" w:hAnsi="Calibri" w:cs="Calibri"/>
          <w:sz w:val="18"/>
          <w:szCs w:val="18"/>
          <w:lang w:val="en-US"/>
        </w:rPr>
        <w:t>TPNW/MSP/2022/NGO/19</w:t>
      </w:r>
      <w:r w:rsidR="31B0B508" w:rsidRPr="375973F0">
        <w:rPr>
          <w:rFonts w:ascii="Calibri" w:eastAsia="Calibri" w:hAnsi="Calibri" w:cs="Calibri"/>
          <w:sz w:val="18"/>
          <w:szCs w:val="18"/>
          <w:lang w:val="en-US"/>
        </w:rPr>
        <w:t xml:space="preserve">, </w:t>
      </w:r>
      <w:r w:rsidR="078B49E4" w:rsidRPr="375973F0">
        <w:rPr>
          <w:rFonts w:ascii="Calibri" w:eastAsia="Calibri" w:hAnsi="Calibri" w:cs="Calibri"/>
          <w:sz w:val="18"/>
          <w:szCs w:val="18"/>
          <w:lang w:val="en-US"/>
        </w:rPr>
        <w:t>9</w:t>
      </w:r>
      <w:r w:rsidR="2ADD5FEB" w:rsidRPr="375973F0">
        <w:rPr>
          <w:rFonts w:ascii="Calibri" w:eastAsia="Calibri" w:hAnsi="Calibri" w:cs="Calibri"/>
          <w:sz w:val="18"/>
          <w:szCs w:val="18"/>
          <w:lang w:val="en-US"/>
        </w:rPr>
        <w:t xml:space="preserve"> June 2022</w:t>
      </w:r>
      <w:r w:rsidR="7DED1E71" w:rsidRPr="375973F0">
        <w:rPr>
          <w:rFonts w:ascii="Calibri" w:eastAsia="Calibri" w:hAnsi="Calibri" w:cs="Calibri"/>
          <w:sz w:val="18"/>
          <w:szCs w:val="18"/>
          <w:lang w:val="en-US"/>
        </w:rPr>
        <w:t xml:space="preserve">. </w:t>
      </w:r>
      <w:r w:rsidR="6F6C3F43" w:rsidRPr="375973F0">
        <w:rPr>
          <w:rFonts w:ascii="Calibri" w:eastAsia="Calibri" w:hAnsi="Calibri" w:cs="Calibri"/>
          <w:sz w:val="18"/>
          <w:szCs w:val="18"/>
          <w:lang w:val="en-US"/>
        </w:rPr>
        <w:t xml:space="preserve">Available at: </w:t>
      </w:r>
      <w:hyperlink r:id="rId16">
        <w:r w:rsidR="6F6C3F43" w:rsidRPr="375973F0">
          <w:rPr>
            <w:rStyle w:val="Hyperlink"/>
            <w:rFonts w:ascii="Calibri" w:eastAsia="Calibri" w:hAnsi="Calibri" w:cs="Calibri"/>
            <w:sz w:val="18"/>
            <w:szCs w:val="18"/>
            <w:lang w:val="en-US"/>
          </w:rPr>
          <w:t>TPNW.MSP_.2022.NGO_.19.pdf (unoda.org).</w:t>
        </w:r>
      </w:hyperlink>
      <w:r w:rsidR="79C28505" w:rsidRPr="375973F0">
        <w:rPr>
          <w:rFonts w:ascii="Calibri" w:eastAsia="Calibri" w:hAnsi="Calibri" w:cs="Calibri"/>
          <w:sz w:val="18"/>
          <w:szCs w:val="18"/>
          <w:lang w:val="en-US"/>
        </w:rPr>
        <w:t xml:space="preserve"> </w:t>
      </w:r>
    </w:p>
  </w:footnote>
  <w:footnote w:id="15">
    <w:p w14:paraId="270FF187" w14:textId="2ED7F546" w:rsidR="007C1AE1" w:rsidRPr="00E64762" w:rsidRDefault="007C1AE1" w:rsidP="375973F0">
      <w:pPr>
        <w:pStyle w:val="Voetnoottekst"/>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Pr="375973F0">
        <w:rPr>
          <w:rFonts w:ascii="Calibri" w:eastAsia="Calibri" w:hAnsi="Calibri" w:cs="Calibri"/>
          <w:sz w:val="18"/>
          <w:szCs w:val="18"/>
          <w:lang w:val="en-US"/>
        </w:rPr>
        <w:t xml:space="preserve"> Investor Statement to the First Meeting of States Parties to the Treaty on the Prohibition of Nuclear Weapons, </w:t>
      </w:r>
      <w:r w:rsidRPr="375973F0">
        <w:rPr>
          <w:rFonts w:ascii="Calibri" w:eastAsia="Calibri" w:hAnsi="Calibri" w:cs="Calibri"/>
          <w:i/>
          <w:iCs/>
          <w:sz w:val="18"/>
          <w:szCs w:val="18"/>
          <w:lang w:val="en-US"/>
        </w:rPr>
        <w:t xml:space="preserve">ICAN &amp; </w:t>
      </w:r>
      <w:proofErr w:type="spellStart"/>
      <w:r w:rsidRPr="375973F0">
        <w:rPr>
          <w:rFonts w:ascii="Calibri" w:eastAsia="Calibri" w:hAnsi="Calibri" w:cs="Calibri"/>
          <w:i/>
          <w:iCs/>
          <w:sz w:val="18"/>
          <w:szCs w:val="18"/>
          <w:lang w:val="en-US"/>
        </w:rPr>
        <w:t>Etica</w:t>
      </w:r>
      <w:proofErr w:type="spellEnd"/>
      <w:r w:rsidRPr="375973F0">
        <w:rPr>
          <w:rFonts w:ascii="Calibri" w:eastAsia="Calibri" w:hAnsi="Calibri" w:cs="Calibri"/>
          <w:i/>
          <w:iCs/>
          <w:sz w:val="18"/>
          <w:szCs w:val="18"/>
          <w:lang w:val="en-US"/>
        </w:rPr>
        <w:t xml:space="preserve"> Funds (2022)</w:t>
      </w:r>
      <w:r w:rsidRPr="375973F0">
        <w:rPr>
          <w:rFonts w:ascii="Calibri" w:eastAsia="Calibri" w:hAnsi="Calibri" w:cs="Calibri"/>
          <w:sz w:val="18"/>
          <w:szCs w:val="18"/>
          <w:lang w:val="en-US"/>
        </w:rPr>
        <w:t xml:space="preserve">. Available at: </w:t>
      </w:r>
      <w:hyperlink r:id="rId17" w:history="1">
        <w:r w:rsidRPr="375973F0">
          <w:rPr>
            <w:rStyle w:val="Hyperlink"/>
            <w:rFonts w:ascii="Calibri" w:eastAsia="Calibri" w:hAnsi="Calibri" w:cs="Calibri"/>
            <w:sz w:val="18"/>
            <w:szCs w:val="18"/>
            <w:lang w:val="en-US"/>
          </w:rPr>
          <w:t xml:space="preserve">Investor Statement to the First Meeting of States Parties to the Treaty on the Prohibition of Nuclear Weapons - Divestment (icanw.org). </w:t>
        </w:r>
      </w:hyperlink>
    </w:p>
  </w:footnote>
  <w:footnote w:id="16">
    <w:p w14:paraId="29B17D3E" w14:textId="77777777" w:rsidR="007C1AE1" w:rsidRPr="00E64762" w:rsidRDefault="007C1AE1" w:rsidP="375973F0">
      <w:pPr>
        <w:pStyle w:val="Voetnoottekst"/>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Pr="375973F0">
        <w:rPr>
          <w:rFonts w:ascii="Calibri" w:eastAsia="Calibri" w:hAnsi="Calibri" w:cs="Calibri"/>
          <w:sz w:val="18"/>
          <w:szCs w:val="18"/>
          <w:lang w:val="en-US"/>
        </w:rPr>
        <w:t xml:space="preserve"> Platform on Sustainable Finance (2022) </w:t>
      </w:r>
      <w:r w:rsidRPr="375973F0">
        <w:rPr>
          <w:rFonts w:ascii="Calibri" w:eastAsia="Calibri" w:hAnsi="Calibri" w:cs="Calibri"/>
          <w:i/>
          <w:iCs/>
          <w:sz w:val="18"/>
          <w:szCs w:val="18"/>
          <w:lang w:val="en-US"/>
        </w:rPr>
        <w:t xml:space="preserve">Final Report on Social Taxonomy. </w:t>
      </w:r>
      <w:r w:rsidRPr="375973F0">
        <w:rPr>
          <w:rFonts w:ascii="Calibri" w:eastAsia="Calibri" w:hAnsi="Calibri" w:cs="Calibri"/>
          <w:sz w:val="18"/>
          <w:szCs w:val="18"/>
          <w:lang w:val="en-US"/>
        </w:rPr>
        <w:t xml:space="preserve">Available at: </w:t>
      </w:r>
      <w:hyperlink r:id="rId18" w:history="1">
        <w:r w:rsidRPr="375973F0">
          <w:rPr>
            <w:rStyle w:val="Hyperlink"/>
            <w:rFonts w:ascii="Calibri" w:eastAsia="Calibri" w:hAnsi="Calibri" w:cs="Calibri"/>
            <w:sz w:val="18"/>
            <w:szCs w:val="18"/>
            <w:lang w:val="en-US"/>
          </w:rPr>
          <w:t>Platform on Sustainable Finance’s report on social taxonomy (europa.eu)</w:t>
        </w:r>
      </w:hyperlink>
    </w:p>
  </w:footnote>
  <w:footnote w:id="17">
    <w:p w14:paraId="69287555" w14:textId="1E91E24C" w:rsidR="00A66B4D" w:rsidRPr="00E64762" w:rsidRDefault="00A66B4D" w:rsidP="375973F0">
      <w:pPr>
        <w:pStyle w:val="Voetnoottekst"/>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Pr="375973F0">
        <w:rPr>
          <w:rFonts w:ascii="Calibri" w:eastAsia="Calibri" w:hAnsi="Calibri" w:cs="Calibri"/>
          <w:sz w:val="18"/>
          <w:szCs w:val="18"/>
          <w:lang w:val="en-US"/>
        </w:rPr>
        <w:t xml:space="preserve"> While for banks providing this level of detail may not always be feasible, they could still work towards more transparency. In our research we have found that banks denied to even confirm the existence of financial links we had established via public sources.</w:t>
      </w:r>
    </w:p>
  </w:footnote>
  <w:footnote w:id="18">
    <w:p w14:paraId="5885E38C" w14:textId="6C3E3779" w:rsidR="007C1AE1" w:rsidRPr="00E64762" w:rsidRDefault="007C1AE1" w:rsidP="375973F0">
      <w:pPr>
        <w:pStyle w:val="Voetnoottekst"/>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00DA752C" w:rsidRPr="375973F0">
        <w:rPr>
          <w:rFonts w:ascii="Calibri" w:eastAsia="Calibri" w:hAnsi="Calibri" w:cs="Calibri"/>
          <w:sz w:val="18"/>
          <w:szCs w:val="18"/>
          <w:lang w:val="en-US"/>
        </w:rPr>
        <w:t xml:space="preserve"> </w:t>
      </w:r>
      <w:r w:rsidR="00DA752C" w:rsidRPr="375973F0">
        <w:rPr>
          <w:rStyle w:val="normaltextrun"/>
          <w:rFonts w:ascii="Calibri" w:eastAsia="Calibri" w:hAnsi="Calibri" w:cs="Calibri"/>
          <w:sz w:val="18"/>
          <w:szCs w:val="18"/>
          <w:lang w:val="en-US"/>
        </w:rPr>
        <w:t xml:space="preserve">In April 2021, the parties to the Dutch RBC Agreement for pension funds published a framework on </w:t>
      </w:r>
      <w:hyperlink r:id="rId19" w:history="1">
        <w:r w:rsidR="00DA752C" w:rsidRPr="375973F0">
          <w:rPr>
            <w:rStyle w:val="Hyperlink"/>
            <w:rFonts w:ascii="Calibri" w:eastAsia="Calibri" w:hAnsi="Calibri" w:cs="Calibri"/>
            <w:sz w:val="18"/>
            <w:szCs w:val="18"/>
            <w:lang w:val="en-US"/>
          </w:rPr>
          <w:t>“Investing in conflict and post-conflict areas: risk analysis and mitigation”</w:t>
        </w:r>
      </w:hyperlink>
      <w:r w:rsidR="00DA752C" w:rsidRPr="375973F0">
        <w:rPr>
          <w:rStyle w:val="normaltextrun"/>
          <w:rFonts w:ascii="Calibri" w:eastAsia="Calibri" w:hAnsi="Calibri" w:cs="Calibri"/>
          <w:sz w:val="18"/>
          <w:szCs w:val="18"/>
          <w:lang w:val="en-US"/>
        </w:rPr>
        <w:t xml:space="preserve">, outlining how institutional investors should conduct heightened human rights due diligence in conflict-affected and high-risk areas. PAX was part of the working group authoring this framework. In February 2023, PAX and the European Center for Constitutional and Human Rights published </w:t>
      </w:r>
      <w:hyperlink r:id="rId20" w:history="1">
        <w:r w:rsidR="00DA752C" w:rsidRPr="375973F0">
          <w:rPr>
            <w:rStyle w:val="Hyperlink"/>
            <w:rFonts w:ascii="Calibri" w:eastAsia="Calibri" w:hAnsi="Calibri" w:cs="Calibri"/>
            <w:sz w:val="18"/>
            <w:szCs w:val="18"/>
            <w:lang w:val="en-US"/>
          </w:rPr>
          <w:t>“Funding Conflict. Heightened human rights due diligence in conflict-affected areas, with a case study on Lafarge and its investors”</w:t>
        </w:r>
      </w:hyperlink>
      <w:r w:rsidR="00DA752C" w:rsidRPr="375973F0">
        <w:rPr>
          <w:rStyle w:val="normaltextrun"/>
          <w:rFonts w:ascii="Calibri" w:eastAsia="Calibri" w:hAnsi="Calibri" w:cs="Calibri"/>
          <w:sz w:val="18"/>
          <w:szCs w:val="18"/>
          <w:lang w:val="en-US"/>
        </w:rPr>
        <w:t xml:space="preserve">, detailing the steps that investors in the French cement company Lafarge could and should have taken in the different stages of the conflict in Syria. Recently, the Responsible Investment Association Australasia also published an </w:t>
      </w:r>
      <w:hyperlink r:id="rId21" w:history="1">
        <w:r w:rsidR="00DA752C" w:rsidRPr="375973F0">
          <w:rPr>
            <w:rStyle w:val="Hyperlink"/>
            <w:rFonts w:ascii="Calibri" w:eastAsia="Calibri" w:hAnsi="Calibri" w:cs="Calibri"/>
            <w:sz w:val="18"/>
            <w:szCs w:val="18"/>
            <w:lang w:val="en-US"/>
          </w:rPr>
          <w:t xml:space="preserve">‘Investor Toolkit on Human Rights &amp; Armed conflict”.    </w:t>
        </w:r>
      </w:hyperlink>
    </w:p>
  </w:footnote>
  <w:footnote w:id="19">
    <w:p w14:paraId="2377506C" w14:textId="77777777" w:rsidR="007C1AE1" w:rsidRPr="00E64762" w:rsidRDefault="007C1AE1" w:rsidP="375973F0">
      <w:pPr>
        <w:pStyle w:val="Voetnoottekst"/>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Pr="375973F0">
        <w:rPr>
          <w:rFonts w:ascii="Calibri" w:eastAsia="Calibri" w:hAnsi="Calibri" w:cs="Calibri"/>
          <w:sz w:val="18"/>
          <w:szCs w:val="18"/>
          <w:lang w:val="en-US"/>
        </w:rPr>
        <w:t xml:space="preserve"> Within the private sector it is often assumed that IHL only applies to state actors. However, IHL also has implications for companies (and their investors) where these actors’ activities are ‘closely linked’ to an armed conflict or military occupation. Non-compliance with IHL can lead to legal liability for businesses or their individual employees.</w:t>
      </w:r>
    </w:p>
  </w:footnote>
  <w:footnote w:id="20">
    <w:p w14:paraId="1B865EF4" w14:textId="46C2EC11" w:rsidR="6968D22C" w:rsidRPr="00E64762" w:rsidRDefault="6968D22C" w:rsidP="375973F0">
      <w:pPr>
        <w:pStyle w:val="Voetnoottekst"/>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058771F0" w:rsidRPr="375973F0">
        <w:rPr>
          <w:rFonts w:ascii="Calibri" w:eastAsia="Calibri" w:hAnsi="Calibri" w:cs="Calibri"/>
          <w:sz w:val="18"/>
          <w:szCs w:val="18"/>
        </w:rPr>
        <w:t xml:space="preserve"> I</w:t>
      </w:r>
      <w:proofErr w:type="spellStart"/>
      <w:r w:rsidR="058771F0" w:rsidRPr="375973F0">
        <w:rPr>
          <w:rFonts w:ascii="Calibri" w:eastAsia="Calibri" w:hAnsi="Calibri" w:cs="Calibri"/>
          <w:sz w:val="18"/>
          <w:szCs w:val="18"/>
          <w:lang w:val="en-US"/>
        </w:rPr>
        <w:t>n</w:t>
      </w:r>
      <w:proofErr w:type="spellEnd"/>
      <w:r w:rsidR="058771F0" w:rsidRPr="375973F0">
        <w:rPr>
          <w:rFonts w:ascii="Calibri" w:eastAsia="Calibri" w:hAnsi="Calibri" w:cs="Calibri"/>
          <w:sz w:val="18"/>
          <w:szCs w:val="18"/>
          <w:lang w:val="en-US"/>
        </w:rPr>
        <w:t xml:space="preserve"> response to the publication of a discussion paper by the Thun Group of Banks that contained flawed interpretations of what constitutes “contribution” and “direct linkage” of banks to adverse impacts, the OHCHR, the UN Working Group as well as Prof. </w:t>
      </w:r>
      <w:proofErr w:type="spellStart"/>
      <w:r w:rsidR="058771F0" w:rsidRPr="375973F0">
        <w:rPr>
          <w:rFonts w:ascii="Calibri" w:eastAsia="Calibri" w:hAnsi="Calibri" w:cs="Calibri"/>
          <w:sz w:val="18"/>
          <w:szCs w:val="18"/>
          <w:lang w:val="en-US"/>
        </w:rPr>
        <w:t>Ruggie</w:t>
      </w:r>
      <w:proofErr w:type="spellEnd"/>
      <w:r w:rsidR="058771F0" w:rsidRPr="375973F0">
        <w:rPr>
          <w:rFonts w:ascii="Calibri" w:eastAsia="Calibri" w:hAnsi="Calibri" w:cs="Calibri"/>
          <w:sz w:val="18"/>
          <w:szCs w:val="18"/>
          <w:lang w:val="en-US"/>
        </w:rPr>
        <w:t xml:space="preserve"> </w:t>
      </w:r>
      <w:r w:rsidR="7F89F20B" w:rsidRPr="375973F0">
        <w:rPr>
          <w:rFonts w:ascii="Calibri" w:eastAsia="Calibri" w:hAnsi="Calibri" w:cs="Calibri"/>
          <w:sz w:val="18"/>
          <w:szCs w:val="18"/>
          <w:lang w:val="en-US"/>
        </w:rPr>
        <w:t xml:space="preserve">had </w:t>
      </w:r>
      <w:r w:rsidR="058771F0" w:rsidRPr="375973F0">
        <w:rPr>
          <w:rFonts w:ascii="Calibri" w:eastAsia="Calibri" w:hAnsi="Calibri" w:cs="Calibri"/>
          <w:sz w:val="18"/>
          <w:szCs w:val="18"/>
          <w:lang w:val="en-US"/>
        </w:rPr>
        <w:t>published clarifying notes on this issue</w:t>
      </w:r>
      <w:r w:rsidR="7F89F20B" w:rsidRPr="375973F0">
        <w:rPr>
          <w:rFonts w:ascii="Calibri" w:eastAsia="Calibri" w:hAnsi="Calibri" w:cs="Calibri"/>
          <w:sz w:val="18"/>
          <w:szCs w:val="18"/>
          <w:lang w:val="en-US"/>
        </w:rPr>
        <w:t>.</w:t>
      </w:r>
    </w:p>
  </w:footnote>
  <w:footnote w:id="21">
    <w:p w14:paraId="363EFBF2" w14:textId="1DC3E3BF" w:rsidR="375973F0" w:rsidRDefault="375973F0" w:rsidP="375973F0">
      <w:pPr>
        <w:pStyle w:val="Voetnoottekst"/>
      </w:pPr>
      <w:r w:rsidRPr="375973F0">
        <w:rPr>
          <w:rStyle w:val="Voetnootmarkering"/>
          <w:rFonts w:ascii="Calibri" w:eastAsia="Calibri" w:hAnsi="Calibri" w:cs="Calibri"/>
          <w:sz w:val="18"/>
          <w:szCs w:val="18"/>
        </w:rPr>
        <w:footnoteRef/>
      </w:r>
      <w:r w:rsidRPr="375973F0">
        <w:rPr>
          <w:rFonts w:ascii="Calibri" w:eastAsia="Calibri" w:hAnsi="Calibri" w:cs="Calibri"/>
          <w:sz w:val="18"/>
          <w:szCs w:val="18"/>
        </w:rPr>
        <w:t xml:space="preserve"> </w:t>
      </w:r>
      <w:r w:rsidRPr="375973F0">
        <w:rPr>
          <w:rFonts w:ascii="Calibri" w:eastAsia="Calibri" w:hAnsi="Calibri" w:cs="Calibri"/>
          <w:i/>
          <w:iCs/>
          <w:sz w:val="18"/>
          <w:szCs w:val="18"/>
        </w:rPr>
        <w:t xml:space="preserve">UN Office of </w:t>
      </w:r>
      <w:proofErr w:type="spellStart"/>
      <w:r w:rsidRPr="375973F0">
        <w:rPr>
          <w:rFonts w:ascii="Calibri" w:eastAsia="Calibri" w:hAnsi="Calibri" w:cs="Calibri"/>
          <w:i/>
          <w:iCs/>
          <w:sz w:val="18"/>
          <w:szCs w:val="18"/>
        </w:rPr>
        <w:t>the</w:t>
      </w:r>
      <w:proofErr w:type="spellEnd"/>
      <w:r w:rsidRPr="375973F0">
        <w:rPr>
          <w:rFonts w:ascii="Calibri" w:eastAsia="Calibri" w:hAnsi="Calibri" w:cs="Calibri"/>
          <w:i/>
          <w:iCs/>
          <w:sz w:val="18"/>
          <w:szCs w:val="18"/>
        </w:rPr>
        <w:t xml:space="preserve"> High </w:t>
      </w:r>
      <w:proofErr w:type="spellStart"/>
      <w:r w:rsidRPr="375973F0">
        <w:rPr>
          <w:rFonts w:ascii="Calibri" w:eastAsia="Calibri" w:hAnsi="Calibri" w:cs="Calibri"/>
          <w:i/>
          <w:iCs/>
          <w:sz w:val="18"/>
          <w:szCs w:val="18"/>
        </w:rPr>
        <w:t>Commissioner</w:t>
      </w:r>
      <w:proofErr w:type="spellEnd"/>
      <w:r w:rsidRPr="375973F0">
        <w:rPr>
          <w:rFonts w:ascii="Calibri" w:eastAsia="Calibri" w:hAnsi="Calibri" w:cs="Calibri"/>
          <w:i/>
          <w:iCs/>
          <w:sz w:val="18"/>
          <w:szCs w:val="18"/>
        </w:rPr>
        <w:t xml:space="preserve"> for Human </w:t>
      </w:r>
      <w:proofErr w:type="spellStart"/>
      <w:r w:rsidRPr="375973F0">
        <w:rPr>
          <w:rFonts w:ascii="Calibri" w:eastAsia="Calibri" w:hAnsi="Calibri" w:cs="Calibri"/>
          <w:i/>
          <w:iCs/>
          <w:sz w:val="18"/>
          <w:szCs w:val="18"/>
        </w:rPr>
        <w:t>Rights</w:t>
      </w:r>
      <w:proofErr w:type="spellEnd"/>
      <w:r w:rsidRPr="375973F0">
        <w:rPr>
          <w:rFonts w:ascii="Calibri" w:eastAsia="Calibri" w:hAnsi="Calibri" w:cs="Calibri"/>
          <w:i/>
          <w:iCs/>
          <w:sz w:val="18"/>
          <w:szCs w:val="18"/>
        </w:rPr>
        <w:t>,</w:t>
      </w:r>
      <w:r w:rsidRPr="375973F0">
        <w:rPr>
          <w:rFonts w:ascii="Calibri" w:eastAsia="Calibri" w:hAnsi="Calibri" w:cs="Calibri"/>
          <w:sz w:val="18"/>
          <w:szCs w:val="18"/>
        </w:rPr>
        <w:t xml:space="preserve"> " The </w:t>
      </w:r>
      <w:proofErr w:type="spellStart"/>
      <w:r w:rsidRPr="375973F0">
        <w:rPr>
          <w:rFonts w:ascii="Calibri" w:eastAsia="Calibri" w:hAnsi="Calibri" w:cs="Calibri"/>
          <w:sz w:val="18"/>
          <w:szCs w:val="18"/>
        </w:rPr>
        <w:t>application</w:t>
      </w:r>
      <w:proofErr w:type="spellEnd"/>
      <w:r w:rsidRPr="375973F0">
        <w:rPr>
          <w:rFonts w:ascii="Calibri" w:eastAsia="Calibri" w:hAnsi="Calibri" w:cs="Calibri"/>
          <w:sz w:val="18"/>
          <w:szCs w:val="18"/>
        </w:rPr>
        <w:t xml:space="preserve"> of </w:t>
      </w:r>
      <w:proofErr w:type="spellStart"/>
      <w:r w:rsidRPr="375973F0">
        <w:rPr>
          <w:rFonts w:ascii="Calibri" w:eastAsia="Calibri" w:hAnsi="Calibri" w:cs="Calibri"/>
          <w:sz w:val="18"/>
          <w:szCs w:val="18"/>
        </w:rPr>
        <w:t>the</w:t>
      </w:r>
      <w:proofErr w:type="spellEnd"/>
      <w:r w:rsidRPr="375973F0">
        <w:rPr>
          <w:rFonts w:ascii="Calibri" w:eastAsia="Calibri" w:hAnsi="Calibri" w:cs="Calibri"/>
          <w:sz w:val="18"/>
          <w:szCs w:val="18"/>
        </w:rPr>
        <w:t xml:space="preserve"> </w:t>
      </w:r>
      <w:proofErr w:type="spellStart"/>
      <w:r w:rsidRPr="375973F0">
        <w:rPr>
          <w:rFonts w:ascii="Calibri" w:eastAsia="Calibri" w:hAnsi="Calibri" w:cs="Calibri"/>
          <w:sz w:val="18"/>
          <w:szCs w:val="18"/>
        </w:rPr>
        <w:t>Guiding</w:t>
      </w:r>
      <w:proofErr w:type="spellEnd"/>
      <w:r w:rsidRPr="375973F0">
        <w:rPr>
          <w:rFonts w:ascii="Calibri" w:eastAsia="Calibri" w:hAnsi="Calibri" w:cs="Calibri"/>
          <w:sz w:val="18"/>
          <w:szCs w:val="18"/>
        </w:rPr>
        <w:t xml:space="preserve"> </w:t>
      </w:r>
      <w:proofErr w:type="spellStart"/>
      <w:r w:rsidRPr="375973F0">
        <w:rPr>
          <w:rFonts w:ascii="Calibri" w:eastAsia="Calibri" w:hAnsi="Calibri" w:cs="Calibri"/>
          <w:sz w:val="18"/>
          <w:szCs w:val="18"/>
        </w:rPr>
        <w:t>Principles</w:t>
      </w:r>
      <w:proofErr w:type="spellEnd"/>
      <w:r w:rsidRPr="375973F0">
        <w:rPr>
          <w:rFonts w:ascii="Calibri" w:eastAsia="Calibri" w:hAnsi="Calibri" w:cs="Calibri"/>
          <w:sz w:val="18"/>
          <w:szCs w:val="18"/>
        </w:rPr>
        <w:t xml:space="preserve"> on Business </w:t>
      </w:r>
      <w:proofErr w:type="spellStart"/>
      <w:r w:rsidRPr="375973F0">
        <w:rPr>
          <w:rFonts w:ascii="Calibri" w:eastAsia="Calibri" w:hAnsi="Calibri" w:cs="Calibri"/>
          <w:sz w:val="18"/>
          <w:szCs w:val="18"/>
        </w:rPr>
        <w:t>and</w:t>
      </w:r>
      <w:proofErr w:type="spellEnd"/>
      <w:r w:rsidRPr="375973F0">
        <w:rPr>
          <w:rFonts w:ascii="Calibri" w:eastAsia="Calibri" w:hAnsi="Calibri" w:cs="Calibri"/>
          <w:sz w:val="18"/>
          <w:szCs w:val="18"/>
        </w:rPr>
        <w:t xml:space="preserve"> Human </w:t>
      </w:r>
      <w:proofErr w:type="spellStart"/>
      <w:r w:rsidRPr="375973F0">
        <w:rPr>
          <w:rFonts w:ascii="Calibri" w:eastAsia="Calibri" w:hAnsi="Calibri" w:cs="Calibri"/>
          <w:sz w:val="18"/>
          <w:szCs w:val="18"/>
        </w:rPr>
        <w:t>Rights</w:t>
      </w:r>
      <w:proofErr w:type="spellEnd"/>
      <w:r w:rsidRPr="375973F0">
        <w:rPr>
          <w:rFonts w:ascii="Calibri" w:eastAsia="Calibri" w:hAnsi="Calibri" w:cs="Calibri"/>
          <w:sz w:val="18"/>
          <w:szCs w:val="18"/>
        </w:rPr>
        <w:t xml:space="preserve"> </w:t>
      </w:r>
      <w:proofErr w:type="spellStart"/>
      <w:r w:rsidRPr="375973F0">
        <w:rPr>
          <w:rFonts w:ascii="Calibri" w:eastAsia="Calibri" w:hAnsi="Calibri" w:cs="Calibri"/>
          <w:sz w:val="18"/>
          <w:szCs w:val="18"/>
        </w:rPr>
        <w:t>to</w:t>
      </w:r>
      <w:proofErr w:type="spellEnd"/>
      <w:r w:rsidRPr="375973F0">
        <w:rPr>
          <w:rFonts w:ascii="Calibri" w:eastAsia="Calibri" w:hAnsi="Calibri" w:cs="Calibri"/>
          <w:sz w:val="18"/>
          <w:szCs w:val="18"/>
        </w:rPr>
        <w:t xml:space="preserve"> </w:t>
      </w:r>
      <w:proofErr w:type="spellStart"/>
      <w:r w:rsidRPr="375973F0">
        <w:rPr>
          <w:rFonts w:ascii="Calibri" w:eastAsia="Calibri" w:hAnsi="Calibri" w:cs="Calibri"/>
          <w:sz w:val="18"/>
          <w:szCs w:val="18"/>
        </w:rPr>
        <w:t>minority</w:t>
      </w:r>
      <w:proofErr w:type="spellEnd"/>
      <w:r w:rsidRPr="375973F0">
        <w:rPr>
          <w:rFonts w:ascii="Calibri" w:eastAsia="Calibri" w:hAnsi="Calibri" w:cs="Calibri"/>
          <w:sz w:val="18"/>
          <w:szCs w:val="18"/>
        </w:rPr>
        <w:t xml:space="preserve"> shareholdings of </w:t>
      </w:r>
      <w:proofErr w:type="spellStart"/>
      <w:r w:rsidRPr="375973F0">
        <w:rPr>
          <w:rFonts w:ascii="Calibri" w:eastAsia="Calibri" w:hAnsi="Calibri" w:cs="Calibri"/>
          <w:sz w:val="18"/>
          <w:szCs w:val="18"/>
        </w:rPr>
        <w:t>institutional</w:t>
      </w:r>
      <w:proofErr w:type="spellEnd"/>
      <w:r w:rsidRPr="375973F0">
        <w:rPr>
          <w:rFonts w:ascii="Calibri" w:eastAsia="Calibri" w:hAnsi="Calibri" w:cs="Calibri"/>
          <w:sz w:val="18"/>
          <w:szCs w:val="18"/>
        </w:rPr>
        <w:t xml:space="preserve"> </w:t>
      </w:r>
      <w:proofErr w:type="spellStart"/>
      <w:r w:rsidRPr="375973F0">
        <w:rPr>
          <w:rFonts w:ascii="Calibri" w:eastAsia="Calibri" w:hAnsi="Calibri" w:cs="Calibri"/>
          <w:sz w:val="18"/>
          <w:szCs w:val="18"/>
        </w:rPr>
        <w:t>investors</w:t>
      </w:r>
      <w:proofErr w:type="spellEnd"/>
      <w:r w:rsidRPr="375973F0">
        <w:rPr>
          <w:rFonts w:ascii="Calibri" w:eastAsia="Calibri" w:hAnsi="Calibri" w:cs="Calibri"/>
          <w:sz w:val="18"/>
          <w:szCs w:val="18"/>
        </w:rPr>
        <w:t xml:space="preserve">", 26 April 2013. </w:t>
      </w:r>
      <w:proofErr w:type="spellStart"/>
      <w:r w:rsidRPr="375973F0">
        <w:rPr>
          <w:rFonts w:ascii="Calibri" w:eastAsia="Calibri" w:hAnsi="Calibri" w:cs="Calibri"/>
          <w:sz w:val="18"/>
          <w:szCs w:val="18"/>
        </w:rPr>
        <w:t>Available</w:t>
      </w:r>
      <w:proofErr w:type="spellEnd"/>
      <w:r w:rsidRPr="375973F0">
        <w:rPr>
          <w:rFonts w:ascii="Calibri" w:eastAsia="Calibri" w:hAnsi="Calibri" w:cs="Calibri"/>
          <w:sz w:val="18"/>
          <w:szCs w:val="18"/>
        </w:rPr>
        <w:t xml:space="preserve"> at: </w:t>
      </w:r>
      <w:hyperlink r:id="rId22">
        <w:r w:rsidRPr="375973F0">
          <w:rPr>
            <w:rStyle w:val="Hyperlink"/>
            <w:rFonts w:ascii="Calibri" w:eastAsia="Calibri" w:hAnsi="Calibri" w:cs="Calibri"/>
            <w:sz w:val="18"/>
            <w:szCs w:val="18"/>
          </w:rPr>
          <w:t>LetterSOMO.pdf (ohchr.org).</w:t>
        </w:r>
      </w:hyperlink>
      <w:r w:rsidRPr="375973F0">
        <w:rPr>
          <w:rFonts w:ascii="Calibri" w:eastAsia="Calibri" w:hAnsi="Calibri" w:cs="Calibri"/>
          <w:sz w:val="18"/>
          <w:szCs w:val="18"/>
        </w:rPr>
        <w:t xml:space="preserve"> </w:t>
      </w:r>
    </w:p>
  </w:footnote>
  <w:footnote w:id="22">
    <w:p w14:paraId="2F70C15C" w14:textId="1400997D" w:rsidR="00491006" w:rsidRPr="00E64762" w:rsidRDefault="00491006" w:rsidP="375973F0">
      <w:pPr>
        <w:pStyle w:val="Voetnoottekst"/>
        <w:rPr>
          <w:rFonts w:asciiTheme="minorHAnsi" w:hAnsiTheme="minorHAnsi" w:cstheme="minorBidi"/>
          <w:sz w:val="16"/>
          <w:szCs w:val="16"/>
          <w:lang w:val="en-US"/>
        </w:rPr>
      </w:pPr>
      <w:r w:rsidRPr="375973F0">
        <w:rPr>
          <w:rStyle w:val="Voetnootmarkering"/>
          <w:rFonts w:ascii="Calibri" w:eastAsia="Calibri" w:hAnsi="Calibri" w:cs="Calibri"/>
          <w:sz w:val="18"/>
          <w:szCs w:val="18"/>
        </w:rPr>
        <w:footnoteRef/>
      </w:r>
      <w:r w:rsidRPr="375973F0">
        <w:rPr>
          <w:rFonts w:ascii="Calibri" w:eastAsia="Calibri" w:hAnsi="Calibri" w:cs="Calibri"/>
          <w:sz w:val="18"/>
          <w:szCs w:val="18"/>
          <w:lang w:val="en-US"/>
        </w:rPr>
        <w:t xml:space="preserve"> For example: Since 2015, PAX and the Fair Finance Guide Netherlands have pointed investors (all with a non-controlling share) to violations of human rights and IHL that arms producers are linked to through the sales of weapons to countries involved in these violations. Our latest studies show that while some investors have taken appropriate actions (divestment or engagement), others have not. By not taking action despite clear and public knowledge of the human rights violations, these investors signal to the arms producers in question that they do not consider these violations as requiring action. This lack of response creates a facilitating environment for the arms producers to continue their actions leading to or facilitating human rights and IHL violations. Our study in 2015: </w:t>
      </w:r>
      <w:hyperlink r:id="rId23" w:history="1">
        <w:r w:rsidRPr="375973F0">
          <w:rPr>
            <w:rStyle w:val="Hyperlink"/>
            <w:rFonts w:ascii="Calibri" w:eastAsia="Calibri" w:hAnsi="Calibri" w:cs="Calibri"/>
            <w:sz w:val="18"/>
            <w:szCs w:val="18"/>
            <w:lang w:val="en-US"/>
          </w:rPr>
          <w:t>https://eerlijkegeldwijzer.nl/verzekeringswijzer/nieuws/2015/verzekeraars-investeren-6-8-miljard-euro-in-foute-wapenhandel/</w:t>
        </w:r>
      </w:hyperlink>
      <w:r w:rsidRPr="375973F0">
        <w:rPr>
          <w:rFonts w:ascii="Calibri" w:eastAsia="Calibri" w:hAnsi="Calibri" w:cs="Calibri"/>
          <w:sz w:val="18"/>
          <w:szCs w:val="18"/>
          <w:lang w:val="en-US"/>
        </w:rPr>
        <w:t xml:space="preserve">, And our study in 2023: </w:t>
      </w:r>
      <w:hyperlink r:id="rId24" w:history="1">
        <w:r w:rsidRPr="375973F0">
          <w:rPr>
            <w:rStyle w:val="Hyperlink"/>
            <w:rFonts w:ascii="Calibri" w:eastAsia="Calibri" w:hAnsi="Calibri" w:cs="Calibri"/>
            <w:sz w:val="18"/>
            <w:szCs w:val="18"/>
            <w:lang w:val="en-US"/>
          </w:rPr>
          <w:t>https://paxvoorvrede.nl/publicaties/high-risk-arms-trade-and-the-financial-sector-2/</w:t>
        </w:r>
      </w:hyperlink>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620D0"/>
    <w:multiLevelType w:val="hybridMultilevel"/>
    <w:tmpl w:val="940C1958"/>
    <w:lvl w:ilvl="0" w:tplc="9C6696D8">
      <w:start w:val="1"/>
      <w:numFmt w:val="bullet"/>
      <w:lvlText w:val="-"/>
      <w:lvlJc w:val="left"/>
      <w:pPr>
        <w:ind w:left="643" w:hanging="360"/>
      </w:pPr>
      <w:rPr>
        <w:rFonts w:ascii="Calibri" w:hAnsi="Calibri" w:hint="default"/>
      </w:rPr>
    </w:lvl>
    <w:lvl w:ilvl="1" w:tplc="5358AC9E">
      <w:start w:val="1"/>
      <w:numFmt w:val="bullet"/>
      <w:lvlText w:val="o"/>
      <w:lvlJc w:val="left"/>
      <w:pPr>
        <w:ind w:left="1440" w:hanging="360"/>
      </w:pPr>
      <w:rPr>
        <w:rFonts w:ascii="Courier New" w:hAnsi="Courier New" w:hint="default"/>
      </w:rPr>
    </w:lvl>
    <w:lvl w:ilvl="2" w:tplc="B9B608A0">
      <w:start w:val="1"/>
      <w:numFmt w:val="bullet"/>
      <w:lvlText w:val=""/>
      <w:lvlJc w:val="left"/>
      <w:pPr>
        <w:ind w:left="2160" w:hanging="360"/>
      </w:pPr>
      <w:rPr>
        <w:rFonts w:ascii="Wingdings" w:hAnsi="Wingdings" w:hint="default"/>
      </w:rPr>
    </w:lvl>
    <w:lvl w:ilvl="3" w:tplc="57CC92F0">
      <w:start w:val="1"/>
      <w:numFmt w:val="bullet"/>
      <w:lvlText w:val=""/>
      <w:lvlJc w:val="left"/>
      <w:pPr>
        <w:ind w:left="2880" w:hanging="360"/>
      </w:pPr>
      <w:rPr>
        <w:rFonts w:ascii="Symbol" w:hAnsi="Symbol" w:hint="default"/>
      </w:rPr>
    </w:lvl>
    <w:lvl w:ilvl="4" w:tplc="8CD8CD3A">
      <w:start w:val="1"/>
      <w:numFmt w:val="bullet"/>
      <w:lvlText w:val="o"/>
      <w:lvlJc w:val="left"/>
      <w:pPr>
        <w:ind w:left="3600" w:hanging="360"/>
      </w:pPr>
      <w:rPr>
        <w:rFonts w:ascii="Courier New" w:hAnsi="Courier New" w:hint="default"/>
      </w:rPr>
    </w:lvl>
    <w:lvl w:ilvl="5" w:tplc="A580ABD0">
      <w:start w:val="1"/>
      <w:numFmt w:val="bullet"/>
      <w:lvlText w:val=""/>
      <w:lvlJc w:val="left"/>
      <w:pPr>
        <w:ind w:left="4320" w:hanging="360"/>
      </w:pPr>
      <w:rPr>
        <w:rFonts w:ascii="Wingdings" w:hAnsi="Wingdings" w:hint="default"/>
      </w:rPr>
    </w:lvl>
    <w:lvl w:ilvl="6" w:tplc="B5AC18A6">
      <w:start w:val="1"/>
      <w:numFmt w:val="bullet"/>
      <w:lvlText w:val=""/>
      <w:lvlJc w:val="left"/>
      <w:pPr>
        <w:ind w:left="5040" w:hanging="360"/>
      </w:pPr>
      <w:rPr>
        <w:rFonts w:ascii="Symbol" w:hAnsi="Symbol" w:hint="default"/>
      </w:rPr>
    </w:lvl>
    <w:lvl w:ilvl="7" w:tplc="1638CBEA">
      <w:start w:val="1"/>
      <w:numFmt w:val="bullet"/>
      <w:lvlText w:val="o"/>
      <w:lvlJc w:val="left"/>
      <w:pPr>
        <w:ind w:left="5760" w:hanging="360"/>
      </w:pPr>
      <w:rPr>
        <w:rFonts w:ascii="Courier New" w:hAnsi="Courier New" w:hint="default"/>
      </w:rPr>
    </w:lvl>
    <w:lvl w:ilvl="8" w:tplc="5AF6E9AA">
      <w:start w:val="1"/>
      <w:numFmt w:val="bullet"/>
      <w:lvlText w:val=""/>
      <w:lvlJc w:val="left"/>
      <w:pPr>
        <w:ind w:left="6480" w:hanging="360"/>
      </w:pPr>
      <w:rPr>
        <w:rFonts w:ascii="Wingdings" w:hAnsi="Wingdings" w:hint="default"/>
      </w:rPr>
    </w:lvl>
  </w:abstractNum>
  <w:abstractNum w:abstractNumId="1" w15:restartNumberingAfterBreak="0">
    <w:nsid w:val="48B5712A"/>
    <w:multiLevelType w:val="hybridMultilevel"/>
    <w:tmpl w:val="ACD037DA"/>
    <w:lvl w:ilvl="0" w:tplc="235A99B4">
      <w:start w:val="1"/>
      <w:numFmt w:val="decimal"/>
      <w:lvlText w:val="%1."/>
      <w:lvlJc w:val="left"/>
      <w:pPr>
        <w:ind w:left="720" w:hanging="360"/>
      </w:pPr>
    </w:lvl>
    <w:lvl w:ilvl="1" w:tplc="FCB2F87A">
      <w:start w:val="1"/>
      <w:numFmt w:val="lowerLetter"/>
      <w:lvlText w:val="%2."/>
      <w:lvlJc w:val="left"/>
      <w:pPr>
        <w:ind w:left="1440" w:hanging="360"/>
      </w:pPr>
    </w:lvl>
    <w:lvl w:ilvl="2" w:tplc="0F9AF7EE">
      <w:start w:val="1"/>
      <w:numFmt w:val="lowerRoman"/>
      <w:lvlText w:val="%3."/>
      <w:lvlJc w:val="right"/>
      <w:pPr>
        <w:ind w:left="2160" w:hanging="180"/>
      </w:pPr>
    </w:lvl>
    <w:lvl w:ilvl="3" w:tplc="2B6AE1CE">
      <w:start w:val="1"/>
      <w:numFmt w:val="decimal"/>
      <w:lvlText w:val="%4."/>
      <w:lvlJc w:val="left"/>
      <w:pPr>
        <w:ind w:left="2880" w:hanging="360"/>
      </w:pPr>
    </w:lvl>
    <w:lvl w:ilvl="4" w:tplc="47E2FABA">
      <w:start w:val="1"/>
      <w:numFmt w:val="lowerLetter"/>
      <w:lvlText w:val="%5."/>
      <w:lvlJc w:val="left"/>
      <w:pPr>
        <w:ind w:left="3600" w:hanging="360"/>
      </w:pPr>
    </w:lvl>
    <w:lvl w:ilvl="5" w:tplc="6F4C3040">
      <w:start w:val="1"/>
      <w:numFmt w:val="lowerRoman"/>
      <w:lvlText w:val="%6."/>
      <w:lvlJc w:val="right"/>
      <w:pPr>
        <w:ind w:left="4320" w:hanging="180"/>
      </w:pPr>
    </w:lvl>
    <w:lvl w:ilvl="6" w:tplc="5F2227A2">
      <w:start w:val="1"/>
      <w:numFmt w:val="decimal"/>
      <w:lvlText w:val="%7."/>
      <w:lvlJc w:val="left"/>
      <w:pPr>
        <w:ind w:left="5040" w:hanging="360"/>
      </w:pPr>
    </w:lvl>
    <w:lvl w:ilvl="7" w:tplc="D5A0FB2A">
      <w:start w:val="1"/>
      <w:numFmt w:val="lowerLetter"/>
      <w:lvlText w:val="%8."/>
      <w:lvlJc w:val="left"/>
      <w:pPr>
        <w:ind w:left="5760" w:hanging="360"/>
      </w:pPr>
    </w:lvl>
    <w:lvl w:ilvl="8" w:tplc="44E203B2">
      <w:start w:val="1"/>
      <w:numFmt w:val="lowerRoman"/>
      <w:lvlText w:val="%9."/>
      <w:lvlJc w:val="right"/>
      <w:pPr>
        <w:ind w:left="6480" w:hanging="180"/>
      </w:pPr>
    </w:lvl>
  </w:abstractNum>
  <w:num w:numId="1" w16cid:durableId="104354324">
    <w:abstractNumId w:val="1"/>
  </w:num>
  <w:num w:numId="2" w16cid:durableId="27586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E1"/>
    <w:rsid w:val="00000108"/>
    <w:rsid w:val="0000081F"/>
    <w:rsid w:val="00003FA0"/>
    <w:rsid w:val="00004AAB"/>
    <w:rsid w:val="00007AC3"/>
    <w:rsid w:val="000104BD"/>
    <w:rsid w:val="00017840"/>
    <w:rsid w:val="0002337F"/>
    <w:rsid w:val="0002404B"/>
    <w:rsid w:val="00024C0B"/>
    <w:rsid w:val="000263D7"/>
    <w:rsid w:val="0003110D"/>
    <w:rsid w:val="00031D68"/>
    <w:rsid w:val="00033033"/>
    <w:rsid w:val="00035489"/>
    <w:rsid w:val="0004071C"/>
    <w:rsid w:val="0004163D"/>
    <w:rsid w:val="00045B05"/>
    <w:rsid w:val="000462EE"/>
    <w:rsid w:val="00057687"/>
    <w:rsid w:val="00060BAC"/>
    <w:rsid w:val="0006144B"/>
    <w:rsid w:val="0006356B"/>
    <w:rsid w:val="000728A4"/>
    <w:rsid w:val="00073714"/>
    <w:rsid w:val="0008571D"/>
    <w:rsid w:val="00087610"/>
    <w:rsid w:val="0009284F"/>
    <w:rsid w:val="00092B8A"/>
    <w:rsid w:val="00094020"/>
    <w:rsid w:val="00096223"/>
    <w:rsid w:val="000A30E0"/>
    <w:rsid w:val="000A4784"/>
    <w:rsid w:val="000B028D"/>
    <w:rsid w:val="000B27A7"/>
    <w:rsid w:val="000C28DD"/>
    <w:rsid w:val="000C3A40"/>
    <w:rsid w:val="000C7508"/>
    <w:rsid w:val="000C750F"/>
    <w:rsid w:val="000D08CE"/>
    <w:rsid w:val="000D2940"/>
    <w:rsid w:val="000D3D6A"/>
    <w:rsid w:val="000D7D8C"/>
    <w:rsid w:val="000E06BB"/>
    <w:rsid w:val="000E1693"/>
    <w:rsid w:val="000E6559"/>
    <w:rsid w:val="000F4BA7"/>
    <w:rsid w:val="00103B1D"/>
    <w:rsid w:val="00107CFC"/>
    <w:rsid w:val="00110213"/>
    <w:rsid w:val="00127FAF"/>
    <w:rsid w:val="00134D84"/>
    <w:rsid w:val="0014243C"/>
    <w:rsid w:val="001468AB"/>
    <w:rsid w:val="00150B57"/>
    <w:rsid w:val="00153AC3"/>
    <w:rsid w:val="00161D34"/>
    <w:rsid w:val="0017119B"/>
    <w:rsid w:val="00171D25"/>
    <w:rsid w:val="0017727F"/>
    <w:rsid w:val="001806AA"/>
    <w:rsid w:val="00187EDA"/>
    <w:rsid w:val="001945C3"/>
    <w:rsid w:val="001976AA"/>
    <w:rsid w:val="001A0A72"/>
    <w:rsid w:val="001B2A5C"/>
    <w:rsid w:val="001B3AF3"/>
    <w:rsid w:val="001C0C7A"/>
    <w:rsid w:val="001C27C6"/>
    <w:rsid w:val="001D2BF7"/>
    <w:rsid w:val="001D6760"/>
    <w:rsid w:val="001E0829"/>
    <w:rsid w:val="001E1CA9"/>
    <w:rsid w:val="001E2C92"/>
    <w:rsid w:val="001E67A4"/>
    <w:rsid w:val="001E7B39"/>
    <w:rsid w:val="0020347B"/>
    <w:rsid w:val="00204F65"/>
    <w:rsid w:val="00206B15"/>
    <w:rsid w:val="00211907"/>
    <w:rsid w:val="00211D60"/>
    <w:rsid w:val="00215661"/>
    <w:rsid w:val="00221760"/>
    <w:rsid w:val="00236538"/>
    <w:rsid w:val="00236A46"/>
    <w:rsid w:val="00236F1C"/>
    <w:rsid w:val="00237340"/>
    <w:rsid w:val="0024114D"/>
    <w:rsid w:val="0024557A"/>
    <w:rsid w:val="00250F9C"/>
    <w:rsid w:val="00250F9F"/>
    <w:rsid w:val="00252AAC"/>
    <w:rsid w:val="002531C5"/>
    <w:rsid w:val="002533EA"/>
    <w:rsid w:val="00253CD5"/>
    <w:rsid w:val="00254C96"/>
    <w:rsid w:val="002704F3"/>
    <w:rsid w:val="00274B6B"/>
    <w:rsid w:val="00280D7C"/>
    <w:rsid w:val="002823E5"/>
    <w:rsid w:val="00285006"/>
    <w:rsid w:val="00287066"/>
    <w:rsid w:val="002906E1"/>
    <w:rsid w:val="00296EB3"/>
    <w:rsid w:val="002A444D"/>
    <w:rsid w:val="002A5DA3"/>
    <w:rsid w:val="002A6571"/>
    <w:rsid w:val="002A658D"/>
    <w:rsid w:val="002B1173"/>
    <w:rsid w:val="002B1DB1"/>
    <w:rsid w:val="002B25C3"/>
    <w:rsid w:val="002B60FB"/>
    <w:rsid w:val="002C2727"/>
    <w:rsid w:val="002C471E"/>
    <w:rsid w:val="002C5189"/>
    <w:rsid w:val="002C69CC"/>
    <w:rsid w:val="002D024E"/>
    <w:rsid w:val="002D2021"/>
    <w:rsid w:val="002D7A3D"/>
    <w:rsid w:val="002D7C66"/>
    <w:rsid w:val="002E17E1"/>
    <w:rsid w:val="002F264F"/>
    <w:rsid w:val="002F34D2"/>
    <w:rsid w:val="002F387F"/>
    <w:rsid w:val="00300084"/>
    <w:rsid w:val="0030158F"/>
    <w:rsid w:val="003046DB"/>
    <w:rsid w:val="0030525C"/>
    <w:rsid w:val="00312415"/>
    <w:rsid w:val="003155B2"/>
    <w:rsid w:val="003205FB"/>
    <w:rsid w:val="00322772"/>
    <w:rsid w:val="00330BC0"/>
    <w:rsid w:val="00331F44"/>
    <w:rsid w:val="003439D2"/>
    <w:rsid w:val="00346804"/>
    <w:rsid w:val="00352A7A"/>
    <w:rsid w:val="00353ED1"/>
    <w:rsid w:val="003619BF"/>
    <w:rsid w:val="00361F21"/>
    <w:rsid w:val="003746FD"/>
    <w:rsid w:val="00374EC0"/>
    <w:rsid w:val="00377721"/>
    <w:rsid w:val="00394B9D"/>
    <w:rsid w:val="00397EAE"/>
    <w:rsid w:val="003A4744"/>
    <w:rsid w:val="003B1950"/>
    <w:rsid w:val="003B3A6F"/>
    <w:rsid w:val="003B3E72"/>
    <w:rsid w:val="003B5697"/>
    <w:rsid w:val="003B868C"/>
    <w:rsid w:val="003C21C7"/>
    <w:rsid w:val="003C2240"/>
    <w:rsid w:val="003C24C0"/>
    <w:rsid w:val="003C7920"/>
    <w:rsid w:val="003D39E4"/>
    <w:rsid w:val="003E0DB7"/>
    <w:rsid w:val="003E3189"/>
    <w:rsid w:val="003F3DA0"/>
    <w:rsid w:val="003F4E2A"/>
    <w:rsid w:val="00400501"/>
    <w:rsid w:val="00402131"/>
    <w:rsid w:val="004024A1"/>
    <w:rsid w:val="00404935"/>
    <w:rsid w:val="00414928"/>
    <w:rsid w:val="0041649C"/>
    <w:rsid w:val="00422828"/>
    <w:rsid w:val="00426BCA"/>
    <w:rsid w:val="0042713A"/>
    <w:rsid w:val="00427C6C"/>
    <w:rsid w:val="00427F78"/>
    <w:rsid w:val="004337FA"/>
    <w:rsid w:val="00433AEA"/>
    <w:rsid w:val="0043566D"/>
    <w:rsid w:val="004360AA"/>
    <w:rsid w:val="004369CF"/>
    <w:rsid w:val="0044172F"/>
    <w:rsid w:val="0044193B"/>
    <w:rsid w:val="00443FC2"/>
    <w:rsid w:val="0044665D"/>
    <w:rsid w:val="00446CFA"/>
    <w:rsid w:val="00450A47"/>
    <w:rsid w:val="004548B8"/>
    <w:rsid w:val="00456913"/>
    <w:rsid w:val="00457A49"/>
    <w:rsid w:val="0046509E"/>
    <w:rsid w:val="0048686D"/>
    <w:rsid w:val="004875A0"/>
    <w:rsid w:val="00490002"/>
    <w:rsid w:val="00490C54"/>
    <w:rsid w:val="00491006"/>
    <w:rsid w:val="00492DBA"/>
    <w:rsid w:val="004937DA"/>
    <w:rsid w:val="004938FF"/>
    <w:rsid w:val="00497DF0"/>
    <w:rsid w:val="004A0364"/>
    <w:rsid w:val="004A072B"/>
    <w:rsid w:val="004B2A33"/>
    <w:rsid w:val="004C073F"/>
    <w:rsid w:val="004C2EBB"/>
    <w:rsid w:val="004C466C"/>
    <w:rsid w:val="004C71AC"/>
    <w:rsid w:val="004D1884"/>
    <w:rsid w:val="004D62D7"/>
    <w:rsid w:val="004E3A6F"/>
    <w:rsid w:val="004F249D"/>
    <w:rsid w:val="004F2F06"/>
    <w:rsid w:val="004F46EA"/>
    <w:rsid w:val="004F67C5"/>
    <w:rsid w:val="005050B5"/>
    <w:rsid w:val="00506252"/>
    <w:rsid w:val="00512466"/>
    <w:rsid w:val="005152E3"/>
    <w:rsid w:val="00521116"/>
    <w:rsid w:val="00522C3A"/>
    <w:rsid w:val="00523532"/>
    <w:rsid w:val="00524EA7"/>
    <w:rsid w:val="00525D35"/>
    <w:rsid w:val="0053849C"/>
    <w:rsid w:val="0054190B"/>
    <w:rsid w:val="005427FF"/>
    <w:rsid w:val="00546BEA"/>
    <w:rsid w:val="00557E22"/>
    <w:rsid w:val="00561776"/>
    <w:rsid w:val="005707D9"/>
    <w:rsid w:val="00571715"/>
    <w:rsid w:val="00574228"/>
    <w:rsid w:val="00574D17"/>
    <w:rsid w:val="00584218"/>
    <w:rsid w:val="00585FF2"/>
    <w:rsid w:val="005878FB"/>
    <w:rsid w:val="0059070E"/>
    <w:rsid w:val="00592497"/>
    <w:rsid w:val="00594657"/>
    <w:rsid w:val="00595E5F"/>
    <w:rsid w:val="005A32FE"/>
    <w:rsid w:val="005A676A"/>
    <w:rsid w:val="005A681A"/>
    <w:rsid w:val="005A6DCE"/>
    <w:rsid w:val="005C148C"/>
    <w:rsid w:val="005C203C"/>
    <w:rsid w:val="005C3298"/>
    <w:rsid w:val="005C3529"/>
    <w:rsid w:val="005C3C77"/>
    <w:rsid w:val="005C6D6C"/>
    <w:rsid w:val="005C7406"/>
    <w:rsid w:val="005D3ADB"/>
    <w:rsid w:val="005E4390"/>
    <w:rsid w:val="005E4409"/>
    <w:rsid w:val="005E63B9"/>
    <w:rsid w:val="005E6863"/>
    <w:rsid w:val="005F0AF9"/>
    <w:rsid w:val="005F4250"/>
    <w:rsid w:val="00604B3D"/>
    <w:rsid w:val="006054C6"/>
    <w:rsid w:val="00605A09"/>
    <w:rsid w:val="00611D7C"/>
    <w:rsid w:val="00613BF4"/>
    <w:rsid w:val="0061463A"/>
    <w:rsid w:val="00622B71"/>
    <w:rsid w:val="00623423"/>
    <w:rsid w:val="00631743"/>
    <w:rsid w:val="0063754A"/>
    <w:rsid w:val="00642B63"/>
    <w:rsid w:val="006441EB"/>
    <w:rsid w:val="00644957"/>
    <w:rsid w:val="00647427"/>
    <w:rsid w:val="00647FBE"/>
    <w:rsid w:val="006512EA"/>
    <w:rsid w:val="00651B16"/>
    <w:rsid w:val="006527EF"/>
    <w:rsid w:val="00652AF6"/>
    <w:rsid w:val="00653E90"/>
    <w:rsid w:val="0065771B"/>
    <w:rsid w:val="0066312F"/>
    <w:rsid w:val="00666524"/>
    <w:rsid w:val="00666B5C"/>
    <w:rsid w:val="00672DB1"/>
    <w:rsid w:val="00673122"/>
    <w:rsid w:val="00685008"/>
    <w:rsid w:val="00693F24"/>
    <w:rsid w:val="0069595F"/>
    <w:rsid w:val="006A4DAC"/>
    <w:rsid w:val="006A4FF0"/>
    <w:rsid w:val="006A6954"/>
    <w:rsid w:val="006B159B"/>
    <w:rsid w:val="006B2D2B"/>
    <w:rsid w:val="006B2E6B"/>
    <w:rsid w:val="006B4396"/>
    <w:rsid w:val="006B4E55"/>
    <w:rsid w:val="006B4F44"/>
    <w:rsid w:val="006B4FAC"/>
    <w:rsid w:val="006B594C"/>
    <w:rsid w:val="006B5B96"/>
    <w:rsid w:val="006B7318"/>
    <w:rsid w:val="006C738C"/>
    <w:rsid w:val="006D2BFD"/>
    <w:rsid w:val="006D3BD2"/>
    <w:rsid w:val="006D63CD"/>
    <w:rsid w:val="006E1DB6"/>
    <w:rsid w:val="006E45AB"/>
    <w:rsid w:val="006F06A8"/>
    <w:rsid w:val="006F4285"/>
    <w:rsid w:val="006F430B"/>
    <w:rsid w:val="006F6291"/>
    <w:rsid w:val="006F68D4"/>
    <w:rsid w:val="006F6F67"/>
    <w:rsid w:val="006F71C0"/>
    <w:rsid w:val="007008A0"/>
    <w:rsid w:val="007062A0"/>
    <w:rsid w:val="00706777"/>
    <w:rsid w:val="007137F2"/>
    <w:rsid w:val="007228B2"/>
    <w:rsid w:val="00725A9E"/>
    <w:rsid w:val="007318DA"/>
    <w:rsid w:val="00735B13"/>
    <w:rsid w:val="00736978"/>
    <w:rsid w:val="00740565"/>
    <w:rsid w:val="00747858"/>
    <w:rsid w:val="00750AE4"/>
    <w:rsid w:val="007605DE"/>
    <w:rsid w:val="007624DF"/>
    <w:rsid w:val="007639E7"/>
    <w:rsid w:val="00774990"/>
    <w:rsid w:val="00777699"/>
    <w:rsid w:val="0078056C"/>
    <w:rsid w:val="00780CD8"/>
    <w:rsid w:val="00782A8F"/>
    <w:rsid w:val="0078541D"/>
    <w:rsid w:val="00790B2A"/>
    <w:rsid w:val="007A4A3B"/>
    <w:rsid w:val="007A7A20"/>
    <w:rsid w:val="007B0038"/>
    <w:rsid w:val="007B4B15"/>
    <w:rsid w:val="007C0F4D"/>
    <w:rsid w:val="007C1AE1"/>
    <w:rsid w:val="007C2813"/>
    <w:rsid w:val="007C28D3"/>
    <w:rsid w:val="007D40C1"/>
    <w:rsid w:val="007D61FD"/>
    <w:rsid w:val="007E142B"/>
    <w:rsid w:val="007E1E41"/>
    <w:rsid w:val="007E2263"/>
    <w:rsid w:val="007E74AB"/>
    <w:rsid w:val="007F1E83"/>
    <w:rsid w:val="00801EF4"/>
    <w:rsid w:val="00802228"/>
    <w:rsid w:val="00804A0C"/>
    <w:rsid w:val="00806C64"/>
    <w:rsid w:val="0081381A"/>
    <w:rsid w:val="008149F1"/>
    <w:rsid w:val="00816972"/>
    <w:rsid w:val="00820415"/>
    <w:rsid w:val="00822308"/>
    <w:rsid w:val="00822324"/>
    <w:rsid w:val="00822A9B"/>
    <w:rsid w:val="00830489"/>
    <w:rsid w:val="00832DE1"/>
    <w:rsid w:val="008400BD"/>
    <w:rsid w:val="00851FCA"/>
    <w:rsid w:val="00853BEF"/>
    <w:rsid w:val="00856076"/>
    <w:rsid w:val="00856421"/>
    <w:rsid w:val="0086149F"/>
    <w:rsid w:val="00862180"/>
    <w:rsid w:val="008640F2"/>
    <w:rsid w:val="008767CB"/>
    <w:rsid w:val="0087743B"/>
    <w:rsid w:val="00881A0D"/>
    <w:rsid w:val="00882C3D"/>
    <w:rsid w:val="00884AE4"/>
    <w:rsid w:val="0089196F"/>
    <w:rsid w:val="00894542"/>
    <w:rsid w:val="0089690E"/>
    <w:rsid w:val="008B1AFC"/>
    <w:rsid w:val="008B221C"/>
    <w:rsid w:val="008B2852"/>
    <w:rsid w:val="008B2908"/>
    <w:rsid w:val="008C30E3"/>
    <w:rsid w:val="008C602D"/>
    <w:rsid w:val="008C61D1"/>
    <w:rsid w:val="008C6FD9"/>
    <w:rsid w:val="008D0B15"/>
    <w:rsid w:val="008D2DA1"/>
    <w:rsid w:val="008D633B"/>
    <w:rsid w:val="008E213F"/>
    <w:rsid w:val="008E73D4"/>
    <w:rsid w:val="008E7446"/>
    <w:rsid w:val="008F140E"/>
    <w:rsid w:val="008F1D22"/>
    <w:rsid w:val="008F4221"/>
    <w:rsid w:val="008F4899"/>
    <w:rsid w:val="008F65A4"/>
    <w:rsid w:val="009056F2"/>
    <w:rsid w:val="00913BEC"/>
    <w:rsid w:val="00916F76"/>
    <w:rsid w:val="009179BD"/>
    <w:rsid w:val="00925962"/>
    <w:rsid w:val="00925FF8"/>
    <w:rsid w:val="00934D44"/>
    <w:rsid w:val="0093745B"/>
    <w:rsid w:val="0094129D"/>
    <w:rsid w:val="00943472"/>
    <w:rsid w:val="00950507"/>
    <w:rsid w:val="009623F8"/>
    <w:rsid w:val="00962B3B"/>
    <w:rsid w:val="00967927"/>
    <w:rsid w:val="00970DEA"/>
    <w:rsid w:val="00974483"/>
    <w:rsid w:val="00977CB7"/>
    <w:rsid w:val="00986D85"/>
    <w:rsid w:val="009917AC"/>
    <w:rsid w:val="00992428"/>
    <w:rsid w:val="009925AF"/>
    <w:rsid w:val="009938E0"/>
    <w:rsid w:val="00997FCF"/>
    <w:rsid w:val="009A3355"/>
    <w:rsid w:val="009A5912"/>
    <w:rsid w:val="009A5EF3"/>
    <w:rsid w:val="009A76BE"/>
    <w:rsid w:val="009B0DC8"/>
    <w:rsid w:val="009B504B"/>
    <w:rsid w:val="009B677C"/>
    <w:rsid w:val="009B7272"/>
    <w:rsid w:val="009B7CF9"/>
    <w:rsid w:val="009C32E6"/>
    <w:rsid w:val="009D3B3C"/>
    <w:rsid w:val="009E2970"/>
    <w:rsid w:val="009E57A0"/>
    <w:rsid w:val="009E7BA4"/>
    <w:rsid w:val="009F406E"/>
    <w:rsid w:val="009F51AB"/>
    <w:rsid w:val="009F6902"/>
    <w:rsid w:val="009F6B04"/>
    <w:rsid w:val="00A049B0"/>
    <w:rsid w:val="00A1181F"/>
    <w:rsid w:val="00A11C94"/>
    <w:rsid w:val="00A11C98"/>
    <w:rsid w:val="00A13F5C"/>
    <w:rsid w:val="00A2007D"/>
    <w:rsid w:val="00A22352"/>
    <w:rsid w:val="00A26CDB"/>
    <w:rsid w:val="00A30C18"/>
    <w:rsid w:val="00A31B5D"/>
    <w:rsid w:val="00A33090"/>
    <w:rsid w:val="00A33C29"/>
    <w:rsid w:val="00A435C2"/>
    <w:rsid w:val="00A4455C"/>
    <w:rsid w:val="00A44E48"/>
    <w:rsid w:val="00A4521F"/>
    <w:rsid w:val="00A510C1"/>
    <w:rsid w:val="00A57DC2"/>
    <w:rsid w:val="00A65C17"/>
    <w:rsid w:val="00A66B4D"/>
    <w:rsid w:val="00A676B5"/>
    <w:rsid w:val="00A70BB8"/>
    <w:rsid w:val="00A71C41"/>
    <w:rsid w:val="00A738DC"/>
    <w:rsid w:val="00A80DF7"/>
    <w:rsid w:val="00A8274D"/>
    <w:rsid w:val="00A82AE8"/>
    <w:rsid w:val="00A86B85"/>
    <w:rsid w:val="00A93C15"/>
    <w:rsid w:val="00AA068C"/>
    <w:rsid w:val="00AA3864"/>
    <w:rsid w:val="00AA4BFC"/>
    <w:rsid w:val="00AA75DE"/>
    <w:rsid w:val="00AA7C63"/>
    <w:rsid w:val="00AB5F34"/>
    <w:rsid w:val="00AC4559"/>
    <w:rsid w:val="00AC639C"/>
    <w:rsid w:val="00AD3248"/>
    <w:rsid w:val="00AD510B"/>
    <w:rsid w:val="00AD6D6B"/>
    <w:rsid w:val="00AD7C41"/>
    <w:rsid w:val="00AE058D"/>
    <w:rsid w:val="00AE1057"/>
    <w:rsid w:val="00AE6730"/>
    <w:rsid w:val="00AF20F2"/>
    <w:rsid w:val="00AF289C"/>
    <w:rsid w:val="00B05414"/>
    <w:rsid w:val="00B13AD3"/>
    <w:rsid w:val="00B164EE"/>
    <w:rsid w:val="00B2247D"/>
    <w:rsid w:val="00B274D0"/>
    <w:rsid w:val="00B27697"/>
    <w:rsid w:val="00B32237"/>
    <w:rsid w:val="00B326FB"/>
    <w:rsid w:val="00B32974"/>
    <w:rsid w:val="00B34A16"/>
    <w:rsid w:val="00B359D8"/>
    <w:rsid w:val="00B3722D"/>
    <w:rsid w:val="00B407EB"/>
    <w:rsid w:val="00B41622"/>
    <w:rsid w:val="00B42BD7"/>
    <w:rsid w:val="00B43EA7"/>
    <w:rsid w:val="00B45AAE"/>
    <w:rsid w:val="00B542AA"/>
    <w:rsid w:val="00B55BE1"/>
    <w:rsid w:val="00B56C95"/>
    <w:rsid w:val="00B60A03"/>
    <w:rsid w:val="00B62ABE"/>
    <w:rsid w:val="00B65A23"/>
    <w:rsid w:val="00B759AF"/>
    <w:rsid w:val="00B763C6"/>
    <w:rsid w:val="00B83867"/>
    <w:rsid w:val="00B96B41"/>
    <w:rsid w:val="00BB66FB"/>
    <w:rsid w:val="00BB766D"/>
    <w:rsid w:val="00BB76C9"/>
    <w:rsid w:val="00BC3C33"/>
    <w:rsid w:val="00BD2B92"/>
    <w:rsid w:val="00BD57BA"/>
    <w:rsid w:val="00BD6EB0"/>
    <w:rsid w:val="00BE30AC"/>
    <w:rsid w:val="00BE4CAD"/>
    <w:rsid w:val="00BE6C57"/>
    <w:rsid w:val="00BF7426"/>
    <w:rsid w:val="00BF7F2B"/>
    <w:rsid w:val="00C034EF"/>
    <w:rsid w:val="00C04CE7"/>
    <w:rsid w:val="00C10238"/>
    <w:rsid w:val="00C12A1F"/>
    <w:rsid w:val="00C142DE"/>
    <w:rsid w:val="00C1680B"/>
    <w:rsid w:val="00C216B2"/>
    <w:rsid w:val="00C308DC"/>
    <w:rsid w:val="00C31316"/>
    <w:rsid w:val="00C32A7A"/>
    <w:rsid w:val="00C3396C"/>
    <w:rsid w:val="00C504A4"/>
    <w:rsid w:val="00C54C61"/>
    <w:rsid w:val="00C6093F"/>
    <w:rsid w:val="00C614A1"/>
    <w:rsid w:val="00C6200B"/>
    <w:rsid w:val="00C64296"/>
    <w:rsid w:val="00C647F0"/>
    <w:rsid w:val="00C64AB7"/>
    <w:rsid w:val="00C65774"/>
    <w:rsid w:val="00C70FA8"/>
    <w:rsid w:val="00C71C56"/>
    <w:rsid w:val="00C71D7C"/>
    <w:rsid w:val="00C74D2C"/>
    <w:rsid w:val="00C836BD"/>
    <w:rsid w:val="00C87FB9"/>
    <w:rsid w:val="00C91476"/>
    <w:rsid w:val="00CA05FB"/>
    <w:rsid w:val="00CA113A"/>
    <w:rsid w:val="00CB478D"/>
    <w:rsid w:val="00CC07B8"/>
    <w:rsid w:val="00CC3515"/>
    <w:rsid w:val="00CC53A8"/>
    <w:rsid w:val="00CC706C"/>
    <w:rsid w:val="00CE07F4"/>
    <w:rsid w:val="00CE1DB5"/>
    <w:rsid w:val="00CE2CE7"/>
    <w:rsid w:val="00CE4A6C"/>
    <w:rsid w:val="00CF561E"/>
    <w:rsid w:val="00D0005E"/>
    <w:rsid w:val="00D04BEC"/>
    <w:rsid w:val="00D05A76"/>
    <w:rsid w:val="00D05E83"/>
    <w:rsid w:val="00D07876"/>
    <w:rsid w:val="00D10D58"/>
    <w:rsid w:val="00D142AD"/>
    <w:rsid w:val="00D21477"/>
    <w:rsid w:val="00D23D54"/>
    <w:rsid w:val="00D25D5B"/>
    <w:rsid w:val="00D30BB7"/>
    <w:rsid w:val="00D3431F"/>
    <w:rsid w:val="00D44338"/>
    <w:rsid w:val="00D44ACD"/>
    <w:rsid w:val="00D4761A"/>
    <w:rsid w:val="00D668A2"/>
    <w:rsid w:val="00D71857"/>
    <w:rsid w:val="00D71AB5"/>
    <w:rsid w:val="00D723D7"/>
    <w:rsid w:val="00D84215"/>
    <w:rsid w:val="00D97799"/>
    <w:rsid w:val="00DA37E7"/>
    <w:rsid w:val="00DA752C"/>
    <w:rsid w:val="00DA775F"/>
    <w:rsid w:val="00DA7B94"/>
    <w:rsid w:val="00DB138C"/>
    <w:rsid w:val="00DB1A05"/>
    <w:rsid w:val="00DB6493"/>
    <w:rsid w:val="00DB66CC"/>
    <w:rsid w:val="00DC640F"/>
    <w:rsid w:val="00DD10AD"/>
    <w:rsid w:val="00DD15F6"/>
    <w:rsid w:val="00DD1C59"/>
    <w:rsid w:val="00DD37CB"/>
    <w:rsid w:val="00DD4D2C"/>
    <w:rsid w:val="00DE418D"/>
    <w:rsid w:val="00DF278B"/>
    <w:rsid w:val="00DF6EC8"/>
    <w:rsid w:val="00E00D6A"/>
    <w:rsid w:val="00E036C7"/>
    <w:rsid w:val="00E04E77"/>
    <w:rsid w:val="00E0572A"/>
    <w:rsid w:val="00E1562F"/>
    <w:rsid w:val="00E2087C"/>
    <w:rsid w:val="00E2595D"/>
    <w:rsid w:val="00E32DC7"/>
    <w:rsid w:val="00E34D32"/>
    <w:rsid w:val="00E418A1"/>
    <w:rsid w:val="00E456E7"/>
    <w:rsid w:val="00E5636E"/>
    <w:rsid w:val="00E570B7"/>
    <w:rsid w:val="00E60F50"/>
    <w:rsid w:val="00E62132"/>
    <w:rsid w:val="00E627B6"/>
    <w:rsid w:val="00E64762"/>
    <w:rsid w:val="00E64ED2"/>
    <w:rsid w:val="00E701D4"/>
    <w:rsid w:val="00E72416"/>
    <w:rsid w:val="00E72C2B"/>
    <w:rsid w:val="00E72F61"/>
    <w:rsid w:val="00E731D4"/>
    <w:rsid w:val="00E743F0"/>
    <w:rsid w:val="00E75131"/>
    <w:rsid w:val="00E801F0"/>
    <w:rsid w:val="00E80F08"/>
    <w:rsid w:val="00E847F9"/>
    <w:rsid w:val="00E9586C"/>
    <w:rsid w:val="00E95EEF"/>
    <w:rsid w:val="00E97179"/>
    <w:rsid w:val="00EA2F4C"/>
    <w:rsid w:val="00EA76EE"/>
    <w:rsid w:val="00EB2C48"/>
    <w:rsid w:val="00EB6530"/>
    <w:rsid w:val="00EC2F12"/>
    <w:rsid w:val="00EC655D"/>
    <w:rsid w:val="00EC6A2C"/>
    <w:rsid w:val="00ED1270"/>
    <w:rsid w:val="00ED37E9"/>
    <w:rsid w:val="00ED6D92"/>
    <w:rsid w:val="00EE0BE9"/>
    <w:rsid w:val="00EE4DE2"/>
    <w:rsid w:val="00EE530C"/>
    <w:rsid w:val="00EE6173"/>
    <w:rsid w:val="00EF1F91"/>
    <w:rsid w:val="00EF5BB9"/>
    <w:rsid w:val="00F1326C"/>
    <w:rsid w:val="00F170F0"/>
    <w:rsid w:val="00F237D0"/>
    <w:rsid w:val="00F31EA3"/>
    <w:rsid w:val="00F3757C"/>
    <w:rsid w:val="00F42963"/>
    <w:rsid w:val="00F441E9"/>
    <w:rsid w:val="00F44E1B"/>
    <w:rsid w:val="00F44FCA"/>
    <w:rsid w:val="00F47483"/>
    <w:rsid w:val="00F51E83"/>
    <w:rsid w:val="00F525D4"/>
    <w:rsid w:val="00F546A6"/>
    <w:rsid w:val="00F60224"/>
    <w:rsid w:val="00F66869"/>
    <w:rsid w:val="00F6BE9F"/>
    <w:rsid w:val="00F71A5E"/>
    <w:rsid w:val="00F73272"/>
    <w:rsid w:val="00F769AD"/>
    <w:rsid w:val="00F84D9E"/>
    <w:rsid w:val="00F87E64"/>
    <w:rsid w:val="00F9177D"/>
    <w:rsid w:val="00F925D9"/>
    <w:rsid w:val="00F92B8D"/>
    <w:rsid w:val="00F938AC"/>
    <w:rsid w:val="00F96105"/>
    <w:rsid w:val="00FA36C0"/>
    <w:rsid w:val="00FB2031"/>
    <w:rsid w:val="00FB47E6"/>
    <w:rsid w:val="00FB4D9D"/>
    <w:rsid w:val="00FB73F8"/>
    <w:rsid w:val="00FD0570"/>
    <w:rsid w:val="00FD171B"/>
    <w:rsid w:val="00FD2483"/>
    <w:rsid w:val="00FD6AF5"/>
    <w:rsid w:val="00FE0BE8"/>
    <w:rsid w:val="00FE309A"/>
    <w:rsid w:val="00FE6AEF"/>
    <w:rsid w:val="00FF1ED7"/>
    <w:rsid w:val="00FF29F0"/>
    <w:rsid w:val="011CBCCE"/>
    <w:rsid w:val="01619DE1"/>
    <w:rsid w:val="0234E269"/>
    <w:rsid w:val="029DAFDA"/>
    <w:rsid w:val="029E8BA8"/>
    <w:rsid w:val="02F355AD"/>
    <w:rsid w:val="031C9584"/>
    <w:rsid w:val="03C0A6E3"/>
    <w:rsid w:val="03E61F8C"/>
    <w:rsid w:val="04A987F3"/>
    <w:rsid w:val="057BE037"/>
    <w:rsid w:val="058771F0"/>
    <w:rsid w:val="0620475D"/>
    <w:rsid w:val="06832763"/>
    <w:rsid w:val="06FB1021"/>
    <w:rsid w:val="078B49E4"/>
    <w:rsid w:val="07F5EF61"/>
    <w:rsid w:val="08CB5FF3"/>
    <w:rsid w:val="08E4C01B"/>
    <w:rsid w:val="0958E43E"/>
    <w:rsid w:val="09849FEE"/>
    <w:rsid w:val="09F92B1A"/>
    <w:rsid w:val="0A2DB8B5"/>
    <w:rsid w:val="0A55F57D"/>
    <w:rsid w:val="0B91DC82"/>
    <w:rsid w:val="0C348D1B"/>
    <w:rsid w:val="0CD01F1A"/>
    <w:rsid w:val="0CDD6975"/>
    <w:rsid w:val="0CDDE22F"/>
    <w:rsid w:val="0D9486AB"/>
    <w:rsid w:val="0DA4F834"/>
    <w:rsid w:val="0DBC2758"/>
    <w:rsid w:val="0E217479"/>
    <w:rsid w:val="0E5E9F01"/>
    <w:rsid w:val="0E7F9D93"/>
    <w:rsid w:val="0E9C4CF1"/>
    <w:rsid w:val="0EA503C5"/>
    <w:rsid w:val="0EBA6DEA"/>
    <w:rsid w:val="10085754"/>
    <w:rsid w:val="104EB4FE"/>
    <w:rsid w:val="10BDCFBA"/>
    <w:rsid w:val="10E71B2C"/>
    <w:rsid w:val="10ED6F26"/>
    <w:rsid w:val="11D3236A"/>
    <w:rsid w:val="11F1A2A7"/>
    <w:rsid w:val="12908DEA"/>
    <w:rsid w:val="12E9FA44"/>
    <w:rsid w:val="12F1D32D"/>
    <w:rsid w:val="1354000C"/>
    <w:rsid w:val="13CB8423"/>
    <w:rsid w:val="13E64017"/>
    <w:rsid w:val="146277D9"/>
    <w:rsid w:val="14AC3B3F"/>
    <w:rsid w:val="1500A69D"/>
    <w:rsid w:val="1575F50D"/>
    <w:rsid w:val="16441586"/>
    <w:rsid w:val="16588223"/>
    <w:rsid w:val="1673A761"/>
    <w:rsid w:val="175B87AF"/>
    <w:rsid w:val="17647A1F"/>
    <w:rsid w:val="17DDBF7B"/>
    <w:rsid w:val="18AC66DF"/>
    <w:rsid w:val="193654BD"/>
    <w:rsid w:val="1982AB57"/>
    <w:rsid w:val="1ACB07D6"/>
    <w:rsid w:val="1B056ABD"/>
    <w:rsid w:val="1B592399"/>
    <w:rsid w:val="1BA94D66"/>
    <w:rsid w:val="1BDF1A0B"/>
    <w:rsid w:val="1C40CB21"/>
    <w:rsid w:val="1CC9BCE0"/>
    <w:rsid w:val="1DABD24B"/>
    <w:rsid w:val="1DEC7593"/>
    <w:rsid w:val="1E02A898"/>
    <w:rsid w:val="1EDD700A"/>
    <w:rsid w:val="1F50068B"/>
    <w:rsid w:val="1F603391"/>
    <w:rsid w:val="201BEB68"/>
    <w:rsid w:val="203E6BAE"/>
    <w:rsid w:val="2082FDF6"/>
    <w:rsid w:val="220F8BBE"/>
    <w:rsid w:val="23B6113C"/>
    <w:rsid w:val="241DE808"/>
    <w:rsid w:val="246113EC"/>
    <w:rsid w:val="24A83BB2"/>
    <w:rsid w:val="255B29DE"/>
    <w:rsid w:val="27719DE3"/>
    <w:rsid w:val="27E89223"/>
    <w:rsid w:val="28CA1882"/>
    <w:rsid w:val="28DEDDB2"/>
    <w:rsid w:val="295F4192"/>
    <w:rsid w:val="2981784B"/>
    <w:rsid w:val="298E2CF1"/>
    <w:rsid w:val="29CBF3C1"/>
    <w:rsid w:val="29DA6D0C"/>
    <w:rsid w:val="2A8FF6AB"/>
    <w:rsid w:val="2ADD5FEB"/>
    <w:rsid w:val="2BADB730"/>
    <w:rsid w:val="2C385CD0"/>
    <w:rsid w:val="2C3F12AA"/>
    <w:rsid w:val="2C8A182E"/>
    <w:rsid w:val="2D325C27"/>
    <w:rsid w:val="2DD7534F"/>
    <w:rsid w:val="2E449AF4"/>
    <w:rsid w:val="2EE31B31"/>
    <w:rsid w:val="2EFC1DCC"/>
    <w:rsid w:val="2F23A45E"/>
    <w:rsid w:val="2F4CB77A"/>
    <w:rsid w:val="2F74B0D0"/>
    <w:rsid w:val="2FC3EE64"/>
    <w:rsid w:val="303A9335"/>
    <w:rsid w:val="3074766B"/>
    <w:rsid w:val="30AEB8AA"/>
    <w:rsid w:val="30BC8D6E"/>
    <w:rsid w:val="30E69CB2"/>
    <w:rsid w:val="30E894F0"/>
    <w:rsid w:val="31738A80"/>
    <w:rsid w:val="31B0B508"/>
    <w:rsid w:val="31FE6DC2"/>
    <w:rsid w:val="32D476E9"/>
    <w:rsid w:val="33F4086E"/>
    <w:rsid w:val="347F89E3"/>
    <w:rsid w:val="352C24E3"/>
    <w:rsid w:val="35692E4C"/>
    <w:rsid w:val="35AE8FD7"/>
    <w:rsid w:val="35BB6F96"/>
    <w:rsid w:val="375973F0"/>
    <w:rsid w:val="37617BA3"/>
    <w:rsid w:val="37771ED5"/>
    <w:rsid w:val="3783D7D7"/>
    <w:rsid w:val="37B48DE0"/>
    <w:rsid w:val="37C93468"/>
    <w:rsid w:val="37D4041A"/>
    <w:rsid w:val="3810E6C4"/>
    <w:rsid w:val="38BF7FF7"/>
    <w:rsid w:val="390E4EA3"/>
    <w:rsid w:val="3953327A"/>
    <w:rsid w:val="395851E6"/>
    <w:rsid w:val="3B8B5F7A"/>
    <w:rsid w:val="3CA45F45"/>
    <w:rsid w:val="3D21D306"/>
    <w:rsid w:val="3E676492"/>
    <w:rsid w:val="3FD6A927"/>
    <w:rsid w:val="3FEE0FBF"/>
    <w:rsid w:val="4001DB47"/>
    <w:rsid w:val="40893874"/>
    <w:rsid w:val="40E955F3"/>
    <w:rsid w:val="41770022"/>
    <w:rsid w:val="41A1D98D"/>
    <w:rsid w:val="41DD4ABC"/>
    <w:rsid w:val="41FB60B9"/>
    <w:rsid w:val="4276152E"/>
    <w:rsid w:val="42ACC701"/>
    <w:rsid w:val="436E016F"/>
    <w:rsid w:val="4396C9F2"/>
    <w:rsid w:val="4399C75E"/>
    <w:rsid w:val="44C9FA4D"/>
    <w:rsid w:val="453AB9AF"/>
    <w:rsid w:val="457738AF"/>
    <w:rsid w:val="466B0436"/>
    <w:rsid w:val="4672E82D"/>
    <w:rsid w:val="46C52382"/>
    <w:rsid w:val="46EC915E"/>
    <w:rsid w:val="47556535"/>
    <w:rsid w:val="47755641"/>
    <w:rsid w:val="47B2F722"/>
    <w:rsid w:val="4870FFCA"/>
    <w:rsid w:val="48A2A416"/>
    <w:rsid w:val="48B3F1C4"/>
    <w:rsid w:val="48CEC507"/>
    <w:rsid w:val="48F2416C"/>
    <w:rsid w:val="49141026"/>
    <w:rsid w:val="49760389"/>
    <w:rsid w:val="497EED2E"/>
    <w:rsid w:val="49C804F3"/>
    <w:rsid w:val="4AEF8A1D"/>
    <w:rsid w:val="4B39D479"/>
    <w:rsid w:val="4BA73FC6"/>
    <w:rsid w:val="4C03E503"/>
    <w:rsid w:val="4C2E4989"/>
    <w:rsid w:val="4C32D824"/>
    <w:rsid w:val="4C3427F6"/>
    <w:rsid w:val="4C524D24"/>
    <w:rsid w:val="4D9E074A"/>
    <w:rsid w:val="4E361268"/>
    <w:rsid w:val="4E3E282D"/>
    <w:rsid w:val="4ECEA1D0"/>
    <w:rsid w:val="4ED821F2"/>
    <w:rsid w:val="4F46AE37"/>
    <w:rsid w:val="4F74D9EC"/>
    <w:rsid w:val="4F888782"/>
    <w:rsid w:val="503FD789"/>
    <w:rsid w:val="50B52A9C"/>
    <w:rsid w:val="512D2D52"/>
    <w:rsid w:val="515711E7"/>
    <w:rsid w:val="51F866B4"/>
    <w:rsid w:val="520F0258"/>
    <w:rsid w:val="521F028B"/>
    <w:rsid w:val="528C560F"/>
    <w:rsid w:val="52BA19DC"/>
    <w:rsid w:val="52F9E833"/>
    <w:rsid w:val="53083732"/>
    <w:rsid w:val="5348872E"/>
    <w:rsid w:val="534E4407"/>
    <w:rsid w:val="538CA93C"/>
    <w:rsid w:val="5422B285"/>
    <w:rsid w:val="54927BE7"/>
    <w:rsid w:val="54FE1669"/>
    <w:rsid w:val="550DBEA4"/>
    <w:rsid w:val="552B431B"/>
    <w:rsid w:val="55580D68"/>
    <w:rsid w:val="55860C09"/>
    <w:rsid w:val="55EF6AC5"/>
    <w:rsid w:val="55FFCDC4"/>
    <w:rsid w:val="560D25AE"/>
    <w:rsid w:val="560D6493"/>
    <w:rsid w:val="57B1C23B"/>
    <w:rsid w:val="580C4679"/>
    <w:rsid w:val="58153518"/>
    <w:rsid w:val="584F1CF1"/>
    <w:rsid w:val="58CE1E54"/>
    <w:rsid w:val="5900A5DE"/>
    <w:rsid w:val="59012AF5"/>
    <w:rsid w:val="591DB65F"/>
    <w:rsid w:val="5941A162"/>
    <w:rsid w:val="59B1384A"/>
    <w:rsid w:val="5A5ACE2B"/>
    <w:rsid w:val="5A6A3E54"/>
    <w:rsid w:val="5AA3BAEF"/>
    <w:rsid w:val="5ADB143A"/>
    <w:rsid w:val="5BBF8E9F"/>
    <w:rsid w:val="5C0CAADF"/>
    <w:rsid w:val="5CD7329E"/>
    <w:rsid w:val="5D5FF18C"/>
    <w:rsid w:val="5D8357A3"/>
    <w:rsid w:val="5E22DBD8"/>
    <w:rsid w:val="5E7D2189"/>
    <w:rsid w:val="5E91F2CD"/>
    <w:rsid w:val="5EB5D4D4"/>
    <w:rsid w:val="5F53C4B3"/>
    <w:rsid w:val="5F88AB18"/>
    <w:rsid w:val="5FC5874E"/>
    <w:rsid w:val="60048216"/>
    <w:rsid w:val="606E90DB"/>
    <w:rsid w:val="60A17E07"/>
    <w:rsid w:val="60E41716"/>
    <w:rsid w:val="61056372"/>
    <w:rsid w:val="61950E29"/>
    <w:rsid w:val="61B4C24B"/>
    <w:rsid w:val="6241DBFA"/>
    <w:rsid w:val="626B7ADA"/>
    <w:rsid w:val="62DF2AA1"/>
    <w:rsid w:val="63402123"/>
    <w:rsid w:val="63622ED5"/>
    <w:rsid w:val="63F14FAA"/>
    <w:rsid w:val="64188E44"/>
    <w:rsid w:val="64754E35"/>
    <w:rsid w:val="6497C4DE"/>
    <w:rsid w:val="64C97AAE"/>
    <w:rsid w:val="650074C3"/>
    <w:rsid w:val="65019E96"/>
    <w:rsid w:val="653D1B79"/>
    <w:rsid w:val="654BE7C2"/>
    <w:rsid w:val="655CDD41"/>
    <w:rsid w:val="657457B2"/>
    <w:rsid w:val="659D5BC5"/>
    <w:rsid w:val="662AD876"/>
    <w:rsid w:val="6710DF8E"/>
    <w:rsid w:val="676BAA9A"/>
    <w:rsid w:val="68314D2F"/>
    <w:rsid w:val="683DA00E"/>
    <w:rsid w:val="68EB6460"/>
    <w:rsid w:val="6968D22C"/>
    <w:rsid w:val="699D5792"/>
    <w:rsid w:val="6A382638"/>
    <w:rsid w:val="6B9C817F"/>
    <w:rsid w:val="6BE26A46"/>
    <w:rsid w:val="6C3D466D"/>
    <w:rsid w:val="6C7C3235"/>
    <w:rsid w:val="6CA1AC76"/>
    <w:rsid w:val="6D46F1FA"/>
    <w:rsid w:val="6E41A024"/>
    <w:rsid w:val="6E42105E"/>
    <w:rsid w:val="6F6C3F43"/>
    <w:rsid w:val="6FC99B60"/>
    <w:rsid w:val="7014BE67"/>
    <w:rsid w:val="704F3320"/>
    <w:rsid w:val="7096780F"/>
    <w:rsid w:val="7129319B"/>
    <w:rsid w:val="71E6A8C0"/>
    <w:rsid w:val="722B3A0D"/>
    <w:rsid w:val="727A800A"/>
    <w:rsid w:val="73C89810"/>
    <w:rsid w:val="7413EEE3"/>
    <w:rsid w:val="7430384F"/>
    <w:rsid w:val="744047DE"/>
    <w:rsid w:val="7456F13C"/>
    <w:rsid w:val="74B31472"/>
    <w:rsid w:val="74FD303D"/>
    <w:rsid w:val="755A50D7"/>
    <w:rsid w:val="76EFF3FB"/>
    <w:rsid w:val="770B0BF0"/>
    <w:rsid w:val="77775128"/>
    <w:rsid w:val="77889DB1"/>
    <w:rsid w:val="785FD4AB"/>
    <w:rsid w:val="79C1C625"/>
    <w:rsid w:val="79C28505"/>
    <w:rsid w:val="79CAE346"/>
    <w:rsid w:val="7A0E4B41"/>
    <w:rsid w:val="7AE77061"/>
    <w:rsid w:val="7B5E5C80"/>
    <w:rsid w:val="7B671949"/>
    <w:rsid w:val="7C0E1D89"/>
    <w:rsid w:val="7CCEA690"/>
    <w:rsid w:val="7D15BCBB"/>
    <w:rsid w:val="7D8AE2F2"/>
    <w:rsid w:val="7DED1E71"/>
    <w:rsid w:val="7EAD36FE"/>
    <w:rsid w:val="7EDEEF45"/>
    <w:rsid w:val="7F750572"/>
    <w:rsid w:val="7F89F20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DB766"/>
  <w15:chartTrackingRefBased/>
  <w15:docId w15:val="{C63E9131-4A94-42F0-8BC2-6C3C8390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1AE1"/>
    <w:rPr>
      <w:rFonts w:ascii="Arial" w:hAnsi="Arial"/>
      <w:kern w:val="0"/>
      <w:szCs w:val="24"/>
      <w14:ligatures w14:val="none"/>
    </w:rPr>
  </w:style>
  <w:style w:type="paragraph" w:styleId="Kop1">
    <w:name w:val="heading 1"/>
    <w:basedOn w:val="Standaard"/>
    <w:next w:val="Standaard"/>
    <w:link w:val="Kop1Char"/>
    <w:uiPriority w:val="9"/>
    <w:qFormat/>
    <w:rsid w:val="003B3E72"/>
    <w:pPr>
      <w:keepNext/>
      <w:keepLines/>
      <w:spacing w:before="480"/>
      <w:outlineLvl w:val="0"/>
    </w:pPr>
    <w:rPr>
      <w:rFonts w:eastAsiaTheme="majorEastAsia" w:cstheme="majorBidi"/>
      <w:b/>
      <w:bCs/>
      <w:color w:val="E64F1A"/>
      <w:sz w:val="36"/>
      <w:szCs w:val="28"/>
    </w:rPr>
  </w:style>
  <w:style w:type="paragraph" w:styleId="Kop2">
    <w:name w:val="heading 2"/>
    <w:basedOn w:val="Standaard"/>
    <w:next w:val="Standaard"/>
    <w:link w:val="Kop2Char"/>
    <w:uiPriority w:val="9"/>
    <w:unhideWhenUsed/>
    <w:qFormat/>
    <w:rsid w:val="003B3E72"/>
    <w:pPr>
      <w:keepNext/>
      <w:keepLines/>
      <w:spacing w:before="200"/>
      <w:outlineLvl w:val="1"/>
    </w:pPr>
    <w:rPr>
      <w:rFonts w:eastAsiaTheme="majorEastAsia" w:cstheme="majorBidi"/>
      <w:b/>
      <w:bCs/>
      <w:caps/>
      <w:szCs w:val="26"/>
    </w:rPr>
  </w:style>
  <w:style w:type="paragraph" w:styleId="Kop3">
    <w:name w:val="heading 3"/>
    <w:basedOn w:val="Standaard"/>
    <w:next w:val="Standaard"/>
    <w:link w:val="Kop3Char"/>
    <w:uiPriority w:val="9"/>
    <w:unhideWhenUsed/>
    <w:qFormat/>
    <w:rsid w:val="003B3E72"/>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unhideWhenUsed/>
    <w:rsid w:val="00274B6B"/>
    <w:pPr>
      <w:keepNext/>
      <w:keepLines/>
      <w:spacing w:before="200"/>
      <w:outlineLvl w:val="3"/>
    </w:pPr>
    <w:rPr>
      <w:rFonts w:eastAsiaTheme="majorEastAsia" w:cstheme="majorBidi"/>
      <w:b/>
      <w:bCs/>
      <w:iCs/>
      <w:color w:val="E36C0A" w:themeColor="accent6" w:themeShade="BF"/>
      <w:sz w:val="22"/>
    </w:rPr>
  </w:style>
  <w:style w:type="paragraph" w:styleId="Kop5">
    <w:name w:val="heading 5"/>
    <w:basedOn w:val="Standaard"/>
    <w:next w:val="Standaard"/>
    <w:link w:val="Kop5Char"/>
    <w:uiPriority w:val="9"/>
    <w:unhideWhenUsed/>
    <w:rsid w:val="00EE530C"/>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rsid w:val="00EE530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rsid w:val="00EE530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rsid w:val="00EE530C"/>
    <w:pPr>
      <w:keepNext/>
      <w:keepLines/>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rsid w:val="00EE53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3E72"/>
    <w:rPr>
      <w:rFonts w:ascii="Arial" w:eastAsiaTheme="majorEastAsia" w:hAnsi="Arial" w:cstheme="majorBidi"/>
      <w:b/>
      <w:bCs/>
      <w:color w:val="E64F1A"/>
      <w:sz w:val="36"/>
      <w:szCs w:val="28"/>
    </w:rPr>
  </w:style>
  <w:style w:type="character" w:customStyle="1" w:styleId="Kop2Char">
    <w:name w:val="Kop 2 Char"/>
    <w:basedOn w:val="Standaardalinea-lettertype"/>
    <w:link w:val="Kop2"/>
    <w:uiPriority w:val="9"/>
    <w:rsid w:val="003B3E72"/>
    <w:rPr>
      <w:rFonts w:ascii="Arial" w:eastAsiaTheme="majorEastAsia" w:hAnsi="Arial" w:cstheme="majorBidi"/>
      <w:b/>
      <w:bCs/>
      <w:caps/>
      <w:szCs w:val="26"/>
    </w:rPr>
  </w:style>
  <w:style w:type="character" w:customStyle="1" w:styleId="Kop3Char">
    <w:name w:val="Kop 3 Char"/>
    <w:basedOn w:val="Standaardalinea-lettertype"/>
    <w:link w:val="Kop3"/>
    <w:uiPriority w:val="9"/>
    <w:rsid w:val="003B3E72"/>
    <w:rPr>
      <w:rFonts w:ascii="Arial" w:eastAsiaTheme="majorEastAsia" w:hAnsi="Arial" w:cstheme="majorBidi"/>
      <w:b/>
      <w:bCs/>
      <w:szCs w:val="24"/>
    </w:rPr>
  </w:style>
  <w:style w:type="character" w:customStyle="1" w:styleId="Kop4Char">
    <w:name w:val="Kop 4 Char"/>
    <w:basedOn w:val="Standaardalinea-lettertype"/>
    <w:link w:val="Kop4"/>
    <w:uiPriority w:val="9"/>
    <w:rsid w:val="00274B6B"/>
    <w:rPr>
      <w:rFonts w:ascii="Arial" w:eastAsiaTheme="majorEastAsia" w:hAnsi="Arial" w:cstheme="majorBidi"/>
      <w:b/>
      <w:bCs/>
      <w:iCs/>
      <w:color w:val="E36C0A" w:themeColor="accent6" w:themeShade="BF"/>
      <w:sz w:val="22"/>
      <w:szCs w:val="24"/>
    </w:rPr>
  </w:style>
  <w:style w:type="character" w:customStyle="1" w:styleId="Kop5Char">
    <w:name w:val="Kop 5 Char"/>
    <w:basedOn w:val="Standaardalinea-lettertype"/>
    <w:link w:val="Kop5"/>
    <w:uiPriority w:val="9"/>
    <w:rsid w:val="00EE530C"/>
    <w:rPr>
      <w:rFonts w:asciiTheme="majorHAnsi" w:eastAsiaTheme="majorEastAsia" w:hAnsiTheme="majorHAnsi" w:cstheme="majorBidi"/>
      <w:color w:val="243F60" w:themeColor="accent1" w:themeShade="7F"/>
      <w:sz w:val="22"/>
      <w:szCs w:val="24"/>
    </w:rPr>
  </w:style>
  <w:style w:type="character" w:customStyle="1" w:styleId="Kop6Char">
    <w:name w:val="Kop 6 Char"/>
    <w:basedOn w:val="Standaardalinea-lettertype"/>
    <w:link w:val="Kop6"/>
    <w:uiPriority w:val="9"/>
    <w:rsid w:val="00EE530C"/>
    <w:rPr>
      <w:rFonts w:asciiTheme="majorHAnsi" w:eastAsiaTheme="majorEastAsia" w:hAnsiTheme="majorHAnsi" w:cstheme="majorBidi"/>
      <w:i/>
      <w:iCs/>
      <w:color w:val="243F60" w:themeColor="accent1" w:themeShade="7F"/>
      <w:sz w:val="22"/>
      <w:szCs w:val="24"/>
    </w:rPr>
  </w:style>
  <w:style w:type="character" w:customStyle="1" w:styleId="Kop7Char">
    <w:name w:val="Kop 7 Char"/>
    <w:basedOn w:val="Standaardalinea-lettertype"/>
    <w:link w:val="Kop7"/>
    <w:uiPriority w:val="9"/>
    <w:rsid w:val="00EE530C"/>
    <w:rPr>
      <w:rFonts w:asciiTheme="majorHAnsi" w:eastAsiaTheme="majorEastAsia" w:hAnsiTheme="majorHAnsi" w:cstheme="majorBidi"/>
      <w:i/>
      <w:iCs/>
      <w:color w:val="404040" w:themeColor="text1" w:themeTint="BF"/>
      <w:sz w:val="22"/>
      <w:szCs w:val="24"/>
    </w:rPr>
  </w:style>
  <w:style w:type="character" w:customStyle="1" w:styleId="Kop8Char">
    <w:name w:val="Kop 8 Char"/>
    <w:basedOn w:val="Standaardalinea-lettertype"/>
    <w:link w:val="Kop8"/>
    <w:uiPriority w:val="9"/>
    <w:rsid w:val="00EE530C"/>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rsid w:val="00EE530C"/>
    <w:rPr>
      <w:rFonts w:asciiTheme="majorHAnsi" w:eastAsiaTheme="majorEastAsia" w:hAnsiTheme="majorHAnsi" w:cstheme="majorBidi"/>
      <w:i/>
      <w:iCs/>
      <w:color w:val="404040" w:themeColor="text1" w:themeTint="BF"/>
    </w:rPr>
  </w:style>
  <w:style w:type="character" w:styleId="Subtieleverwijzing">
    <w:name w:val="Subtle Reference"/>
    <w:basedOn w:val="Standaardalinea-lettertype"/>
    <w:uiPriority w:val="31"/>
    <w:rsid w:val="00EE530C"/>
    <w:rPr>
      <w:smallCaps/>
      <w:color w:val="C0504D" w:themeColor="accent2"/>
      <w:u w:val="single"/>
    </w:rPr>
  </w:style>
  <w:style w:type="paragraph" w:styleId="Titel">
    <w:name w:val="Title"/>
    <w:basedOn w:val="Standaard"/>
    <w:next w:val="Standaard"/>
    <w:link w:val="TitelChar"/>
    <w:uiPriority w:val="10"/>
    <w:rsid w:val="00EE5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E530C"/>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rsid w:val="00FD2483"/>
    <w:rPr>
      <w:rFonts w:ascii="FranklinGothicURWBoo" w:hAnsi="FranklinGothicURWBoo"/>
      <w:szCs w:val="24"/>
    </w:rPr>
  </w:style>
  <w:style w:type="paragraph" w:styleId="Koptekst">
    <w:name w:val="header"/>
    <w:basedOn w:val="Standaard"/>
    <w:link w:val="KoptekstChar"/>
    <w:uiPriority w:val="99"/>
    <w:semiHidden/>
    <w:unhideWhenUsed/>
    <w:rsid w:val="00925962"/>
    <w:pPr>
      <w:tabs>
        <w:tab w:val="center" w:pos="4536"/>
        <w:tab w:val="right" w:pos="9072"/>
      </w:tabs>
    </w:pPr>
  </w:style>
  <w:style w:type="character" w:customStyle="1" w:styleId="KoptekstChar">
    <w:name w:val="Koptekst Char"/>
    <w:basedOn w:val="Standaardalinea-lettertype"/>
    <w:link w:val="Koptekst"/>
    <w:uiPriority w:val="99"/>
    <w:semiHidden/>
    <w:rsid w:val="00925962"/>
    <w:rPr>
      <w:rFonts w:ascii="FranklinGothicURWBoo" w:hAnsi="FranklinGothicURWBoo"/>
      <w:szCs w:val="24"/>
    </w:rPr>
  </w:style>
  <w:style w:type="paragraph" w:styleId="Voettekst">
    <w:name w:val="footer"/>
    <w:basedOn w:val="Standaard"/>
    <w:link w:val="VoettekstChar"/>
    <w:uiPriority w:val="99"/>
    <w:semiHidden/>
    <w:unhideWhenUsed/>
    <w:rsid w:val="00925962"/>
    <w:pPr>
      <w:tabs>
        <w:tab w:val="center" w:pos="4536"/>
        <w:tab w:val="right" w:pos="9072"/>
      </w:tabs>
    </w:pPr>
  </w:style>
  <w:style w:type="character" w:customStyle="1" w:styleId="VoettekstChar">
    <w:name w:val="Voettekst Char"/>
    <w:basedOn w:val="Standaardalinea-lettertype"/>
    <w:link w:val="Voettekst"/>
    <w:uiPriority w:val="99"/>
    <w:semiHidden/>
    <w:rsid w:val="00925962"/>
    <w:rPr>
      <w:rFonts w:ascii="FranklinGothicURWBoo" w:hAnsi="FranklinGothicURWBoo"/>
      <w:szCs w:val="24"/>
    </w:rPr>
  </w:style>
  <w:style w:type="paragraph" w:styleId="Ballontekst">
    <w:name w:val="Balloon Text"/>
    <w:basedOn w:val="Standaard"/>
    <w:link w:val="BallontekstChar"/>
    <w:uiPriority w:val="99"/>
    <w:semiHidden/>
    <w:unhideWhenUsed/>
    <w:rsid w:val="00925962"/>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962"/>
    <w:rPr>
      <w:rFonts w:ascii="Tahoma" w:hAnsi="Tahoma" w:cs="Tahoma"/>
      <w:sz w:val="16"/>
      <w:szCs w:val="16"/>
    </w:rPr>
  </w:style>
  <w:style w:type="paragraph" w:customStyle="1" w:styleId="PAxhuisstijl">
    <w:name w:val="PAx huisstijl"/>
    <w:basedOn w:val="Standaard"/>
    <w:next w:val="Standaard"/>
    <w:rsid w:val="00E62132"/>
    <w:rPr>
      <w:color w:val="E64F1A"/>
    </w:rPr>
  </w:style>
  <w:style w:type="paragraph" w:customStyle="1" w:styleId="Inleiding">
    <w:name w:val="Inleiding"/>
    <w:basedOn w:val="Standaard"/>
    <w:qFormat/>
    <w:rsid w:val="00150B57"/>
    <w:rPr>
      <w:i/>
      <w:color w:val="E64F1A"/>
    </w:rPr>
  </w:style>
  <w:style w:type="character" w:customStyle="1" w:styleId="normaltextrun">
    <w:name w:val="normaltextrun"/>
    <w:basedOn w:val="Standaardalinea-lettertype"/>
    <w:rsid w:val="007C1AE1"/>
  </w:style>
  <w:style w:type="character" w:customStyle="1" w:styleId="eop">
    <w:name w:val="eop"/>
    <w:basedOn w:val="Standaardalinea-lettertype"/>
    <w:rsid w:val="007C1AE1"/>
  </w:style>
  <w:style w:type="paragraph" w:styleId="Lijstalinea">
    <w:name w:val="List Paragraph"/>
    <w:basedOn w:val="Standaard"/>
    <w:uiPriority w:val="34"/>
    <w:rsid w:val="007C1AE1"/>
    <w:pPr>
      <w:ind w:left="720"/>
      <w:contextualSpacing/>
    </w:pPr>
  </w:style>
  <w:style w:type="paragraph" w:customStyle="1" w:styleId="paragraph">
    <w:name w:val="paragraph"/>
    <w:basedOn w:val="Standaard"/>
    <w:rsid w:val="007C1AE1"/>
    <w:pPr>
      <w:spacing w:before="100" w:beforeAutospacing="1" w:after="100" w:afterAutospacing="1"/>
    </w:pPr>
    <w:rPr>
      <w:rFonts w:ascii="Times New Roman" w:hAnsi="Times New Roman"/>
      <w:sz w:val="24"/>
      <w:lang w:val="en-US" w:eastAsia="en-US"/>
    </w:rPr>
  </w:style>
  <w:style w:type="paragraph" w:styleId="Voetnoottekst">
    <w:name w:val="footnote text"/>
    <w:basedOn w:val="Standaard"/>
    <w:link w:val="VoetnoottekstChar"/>
    <w:uiPriority w:val="99"/>
    <w:semiHidden/>
    <w:unhideWhenUsed/>
    <w:rsid w:val="007C1AE1"/>
    <w:rPr>
      <w:szCs w:val="20"/>
    </w:rPr>
  </w:style>
  <w:style w:type="character" w:customStyle="1" w:styleId="VoetnoottekstChar">
    <w:name w:val="Voetnoottekst Char"/>
    <w:basedOn w:val="Standaardalinea-lettertype"/>
    <w:link w:val="Voetnoottekst"/>
    <w:uiPriority w:val="99"/>
    <w:semiHidden/>
    <w:rsid w:val="007C1AE1"/>
    <w:rPr>
      <w:rFonts w:ascii="Arial" w:hAnsi="Arial"/>
      <w:kern w:val="0"/>
      <w14:ligatures w14:val="none"/>
    </w:rPr>
  </w:style>
  <w:style w:type="character" w:styleId="Voetnootmarkering">
    <w:name w:val="footnote reference"/>
    <w:basedOn w:val="Standaardalinea-lettertype"/>
    <w:uiPriority w:val="99"/>
    <w:semiHidden/>
    <w:unhideWhenUsed/>
    <w:rsid w:val="007C1AE1"/>
    <w:rPr>
      <w:vertAlign w:val="superscript"/>
    </w:rPr>
  </w:style>
  <w:style w:type="character" w:styleId="Hyperlink">
    <w:name w:val="Hyperlink"/>
    <w:basedOn w:val="Standaardalinea-lettertype"/>
    <w:uiPriority w:val="99"/>
    <w:unhideWhenUsed/>
    <w:rsid w:val="007C1AE1"/>
    <w:rPr>
      <w:color w:val="0000FF"/>
      <w:u w:val="single"/>
    </w:rPr>
  </w:style>
  <w:style w:type="paragraph" w:styleId="Normaalweb">
    <w:name w:val="Normal (Web)"/>
    <w:basedOn w:val="Standaard"/>
    <w:uiPriority w:val="99"/>
    <w:unhideWhenUsed/>
    <w:rsid w:val="007C1AE1"/>
    <w:pPr>
      <w:spacing w:before="100" w:beforeAutospacing="1" w:after="100" w:afterAutospacing="1"/>
    </w:pPr>
    <w:rPr>
      <w:rFonts w:ascii="Times New Roman" w:hAnsi="Times New Roman"/>
      <w:sz w:val="24"/>
    </w:rPr>
  </w:style>
  <w:style w:type="character" w:styleId="Onopgelostemelding">
    <w:name w:val="Unresolved Mention"/>
    <w:basedOn w:val="Standaardalinea-lettertype"/>
    <w:uiPriority w:val="99"/>
    <w:semiHidden/>
    <w:unhideWhenUsed/>
    <w:rsid w:val="00E456E7"/>
    <w:rPr>
      <w:color w:val="605E5C"/>
      <w:shd w:val="clear" w:color="auto" w:fill="E1DFDD"/>
    </w:rPr>
  </w:style>
  <w:style w:type="character" w:styleId="GevolgdeHyperlink">
    <w:name w:val="FollowedHyperlink"/>
    <w:basedOn w:val="Standaardalinea-lettertype"/>
    <w:uiPriority w:val="99"/>
    <w:semiHidden/>
    <w:unhideWhenUsed/>
    <w:rsid w:val="00AE6730"/>
    <w:rPr>
      <w:color w:val="800080" w:themeColor="followedHyperlink"/>
      <w:u w:val="single"/>
    </w:rPr>
  </w:style>
  <w:style w:type="paragraph" w:styleId="Tekstopmerking">
    <w:name w:val="annotation text"/>
    <w:basedOn w:val="Standaard"/>
    <w:link w:val="TekstopmerkingChar"/>
    <w:uiPriority w:val="99"/>
    <w:semiHidden/>
    <w:unhideWhenUsed/>
    <w:rPr>
      <w:szCs w:val="20"/>
    </w:rPr>
  </w:style>
  <w:style w:type="character" w:customStyle="1" w:styleId="TekstopmerkingChar">
    <w:name w:val="Tekst opmerking Char"/>
    <w:basedOn w:val="Standaardalinea-lettertype"/>
    <w:link w:val="Tekstopmerking"/>
    <w:uiPriority w:val="99"/>
    <w:semiHidden/>
    <w:rPr>
      <w:rFonts w:ascii="Arial" w:hAnsi="Arial"/>
      <w:kern w:val="0"/>
      <w14:ligatures w14:val="none"/>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nettsteder.regjeringen.no/wpuploads01/sites/263/2023/02/Aker-ASA-NCP-complain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imvoconvenanten.nl/-/media/imvo/files/banking/paper-enabling-remediation.pdf" TargetMode="External"/><Relationship Id="rId4" Type="http://schemas.openxmlformats.org/officeDocument/2006/relationships/settings" Target="settings.xml"/><Relationship Id="rId9" Type="http://schemas.openxmlformats.org/officeDocument/2006/relationships/hyperlink" Target="https://files.nettsteder.regjeringen.no/wpuploads01/sites/263/2023/02/InitialAssessment_PAXothers_AkerBP_AkerASA_EN_nett.pdf" TargetMode="Externa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8" Type="http://schemas.openxmlformats.org/officeDocument/2006/relationships/hyperlink" Target="https://www.business-humanrights.org/en/blog/why-esg-investing-is-bad-for-human-rights-what-we-can-do-about-it/" TargetMode="External"/><Relationship Id="rId13" Type="http://schemas.openxmlformats.org/officeDocument/2006/relationships/hyperlink" Target="https://www.sustainablefinance.ch/upload/cms/user/Controversial_Weapons_Letter_FINAL_2019_01_31.pdf" TargetMode="External"/><Relationship Id="rId18" Type="http://schemas.openxmlformats.org/officeDocument/2006/relationships/hyperlink" Target="https://finance.ec.europa.eu/system/files/2022-08/220228-sustainable-finance-platform-finance-report-social-taxonomy_en.pdf" TargetMode="External"/><Relationship Id="rId3" Type="http://schemas.openxmlformats.org/officeDocument/2006/relationships/hyperlink" Target="https://www.imvoconvenanten.nl/en/insurance" TargetMode="External"/><Relationship Id="rId21" Type="http://schemas.openxmlformats.org/officeDocument/2006/relationships/hyperlink" Target="https://www.ausbil.com.au/Ausbil/media/Documents/Research%20and%20Insights/Investor-Toolkit-on-Human-Rights-and-Armed-Conflict.pdf" TargetMode="External"/><Relationship Id="rId7" Type="http://schemas.openxmlformats.org/officeDocument/2006/relationships/hyperlink" Target="https://news.trust.org/item/20211216162549-rz27f/" TargetMode="External"/><Relationship Id="rId12" Type="http://schemas.openxmlformats.org/officeDocument/2006/relationships/hyperlink" Target="https://paxvoorvrede.nl/wp-content/uploads/import/2022-07/PAX_REPORT_HIGHRISK_ARMS_TRADE.pdf" TargetMode="External"/><Relationship Id="rId17" Type="http://schemas.openxmlformats.org/officeDocument/2006/relationships/hyperlink" Target="https://divest.icanw.org/open_statement_to_the_first_meeting_of_states_parties_to_the_treaty_on_the_prohibition_of_nuclear_weapons" TargetMode="External"/><Relationship Id="rId2" Type="http://schemas.openxmlformats.org/officeDocument/2006/relationships/hyperlink" Target="https://www.imvoconvenanten.nl/en/pension-funds" TargetMode="External"/><Relationship Id="rId16" Type="http://schemas.openxmlformats.org/officeDocument/2006/relationships/hyperlink" Target="https://documents.unoda.org/wp-content/uploads/2022/06/TPNW.MSP_.2022.NGO_.19.pdf" TargetMode="External"/><Relationship Id="rId20" Type="http://schemas.openxmlformats.org/officeDocument/2006/relationships/hyperlink" Target="https://paxforpeace.nl/publications/funding-conflict/" TargetMode="External"/><Relationship Id="rId1" Type="http://schemas.openxmlformats.org/officeDocument/2006/relationships/hyperlink" Target="https://www.imvoconvenanten.nl/en/banking" TargetMode="External"/><Relationship Id="rId6" Type="http://schemas.openxmlformats.org/officeDocument/2006/relationships/hyperlink" Target="https://www.dontbankonthebomb.com/" TargetMode="External"/><Relationship Id="rId11" Type="http://schemas.openxmlformats.org/officeDocument/2006/relationships/hyperlink" Target="https://jewishcurrents.org/how-a-giant-of-responsible-investing-agreed-to-an-israel-exception" TargetMode="External"/><Relationship Id="rId24" Type="http://schemas.openxmlformats.org/officeDocument/2006/relationships/hyperlink" Target="https://paxvoorvrede.nl/publicaties/high-risk-arms-trade-and-the-financial-sector-2/" TargetMode="External"/><Relationship Id="rId5" Type="http://schemas.openxmlformats.org/officeDocument/2006/relationships/hyperlink" Target="https://dontbuyintooccupation.org/" TargetMode="External"/><Relationship Id="rId15" Type="http://schemas.openxmlformats.org/officeDocument/2006/relationships/hyperlink" Target="https://stopexplosiveinvestments.org/wp-content/uploads/Banning-investments-in-cluster-munitions-national-legislation-2.pdf" TargetMode="External"/><Relationship Id="rId23" Type="http://schemas.openxmlformats.org/officeDocument/2006/relationships/hyperlink" Target="https://eerlijkegeldwijzer.nl/verzekeringswijzer/nieuws/2015/verzekeraars-investeren-6-8-miljard-euro-in-foute-wapenhandel/" TargetMode="External"/><Relationship Id="rId10" Type="http://schemas.openxmlformats.org/officeDocument/2006/relationships/hyperlink" Target="https://paxvoorvrede.nl/wp-content/uploads/import/2022-07/PAX_REPORT_HIGHRISK_ARMS_TRADE.pdf" TargetMode="External"/><Relationship Id="rId19" Type="http://schemas.openxmlformats.org/officeDocument/2006/relationships/hyperlink" Target="https://www.imvoconvenanten.nl/-/media/imvo/files/pensioenfondsen/beleggen-in-post-conflict-gebieden.pdf?la=nl&amp;hash=4269DF493D87DD8232D231B3BEE0FE87" TargetMode="External"/><Relationship Id="rId4" Type="http://schemas.openxmlformats.org/officeDocument/2006/relationships/hyperlink" Target="https://eerlijkegeldwijzer.nl/" TargetMode="External"/><Relationship Id="rId9" Type="http://schemas.openxmlformats.org/officeDocument/2006/relationships/hyperlink" Target="https://paxforpeace.nl/wp-content/uploads/sites/2/import/2022-12/PAX_Rapport_DBotB_Risky%20Returns.pdf" TargetMode="External"/><Relationship Id="rId14" Type="http://schemas.openxmlformats.org/officeDocument/2006/relationships/hyperlink" Target="https://www.ipe.com/index-providers-respond-to-controversial-weapons-campaign-/10029460.article" TargetMode="External"/><Relationship Id="rId22" Type="http://schemas.openxmlformats.org/officeDocument/2006/relationships/hyperlink" Target="https://www.ohchr.org/sites/default/files/Documents/Issues/Business/LetterSOMO.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BDA0E802-ED8C-4A4E-9F4C-296A7C6F1F9A}">
  <ds:schemaRefs>
    <ds:schemaRef ds:uri="http://schemas.openxmlformats.org/officeDocument/2006/bibliography"/>
  </ds:schemaRefs>
</ds:datastoreItem>
</file>

<file path=customXml/itemProps2.xml><?xml version="1.0" encoding="utf-8"?>
<ds:datastoreItem xmlns:ds="http://schemas.openxmlformats.org/officeDocument/2006/customXml" ds:itemID="{CD231D1D-A2EC-4613-9ECB-8476B5E5078E}"/>
</file>

<file path=customXml/itemProps3.xml><?xml version="1.0" encoding="utf-8"?>
<ds:datastoreItem xmlns:ds="http://schemas.openxmlformats.org/officeDocument/2006/customXml" ds:itemID="{569C9F39-14E1-46E4-8A16-833C01A9E00D}"/>
</file>

<file path=customXml/itemProps4.xml><?xml version="1.0" encoding="utf-8"?>
<ds:datastoreItem xmlns:ds="http://schemas.openxmlformats.org/officeDocument/2006/customXml" ds:itemID="{F6BE9EA0-A03E-47BF-AB71-3A287F568475}"/>
</file>

<file path=docProps/app.xml><?xml version="1.0" encoding="utf-8"?>
<Properties xmlns="http://schemas.openxmlformats.org/officeDocument/2006/extended-properties" xmlns:vt="http://schemas.openxmlformats.org/officeDocument/2006/docPropsVTypes">
  <Template>normal</Template>
  <TotalTime>1</TotalTime>
  <Pages>7</Pages>
  <Words>3325</Words>
  <Characters>19206</Characters>
  <Application>Microsoft Office Word</Application>
  <DocSecurity>0</DocSecurity>
  <Lines>160</Lines>
  <Paragraphs>44</Paragraphs>
  <ScaleCrop>false</ScaleCrop>
  <Company/>
  <LinksUpToDate>false</LinksUpToDate>
  <CharactersWithSpaces>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Gerritse</dc:creator>
  <cp:keywords/>
  <dc:description/>
  <cp:lastModifiedBy>Alejandra Muñoz</cp:lastModifiedBy>
  <cp:revision>2</cp:revision>
  <dcterms:created xsi:type="dcterms:W3CDTF">2023-10-10T09:41:00Z</dcterms:created>
  <dcterms:modified xsi:type="dcterms:W3CDTF">2023-10-10T09:41:00Z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0a4c0c-62e6-46e8-a953-1fcee6f69cf8_Enabled">
    <vt:lpwstr>true</vt:lpwstr>
  </property>
  <property fmtid="{D5CDD505-2E9C-101B-9397-08002B2CF9AE}" pid="3" name="MSIP_Label_c60a4c0c-62e6-46e8-a953-1fcee6f69cf8_SetDate">
    <vt:lpwstr>2023-10-04T08:13:34Z</vt:lpwstr>
  </property>
  <property fmtid="{D5CDD505-2E9C-101B-9397-08002B2CF9AE}" pid="4" name="MSIP_Label_c60a4c0c-62e6-46e8-a953-1fcee6f69cf8_Method">
    <vt:lpwstr>Standard</vt:lpwstr>
  </property>
  <property fmtid="{D5CDD505-2E9C-101B-9397-08002B2CF9AE}" pid="5" name="MSIP_Label_c60a4c0c-62e6-46e8-a953-1fcee6f69cf8_Name">
    <vt:lpwstr>Public</vt:lpwstr>
  </property>
  <property fmtid="{D5CDD505-2E9C-101B-9397-08002B2CF9AE}" pid="6" name="MSIP_Label_c60a4c0c-62e6-46e8-a953-1fcee6f69cf8_SiteId">
    <vt:lpwstr>c88f7b4f-9d06-497e-a1d5-63d70adbf27c</vt:lpwstr>
  </property>
  <property fmtid="{D5CDD505-2E9C-101B-9397-08002B2CF9AE}" pid="7" name="MSIP_Label_c60a4c0c-62e6-46e8-a953-1fcee6f69cf8_ActionId">
    <vt:lpwstr>638e15db-d160-468e-b0d7-f5ef168ac2b4</vt:lpwstr>
  </property>
  <property fmtid="{D5CDD505-2E9C-101B-9397-08002B2CF9AE}" pid="8" name="MSIP_Label_c60a4c0c-62e6-46e8-a953-1fcee6f69cf8_ContentBits">
    <vt:lpwstr>0</vt:lpwstr>
  </property>
  <property fmtid="{D5CDD505-2E9C-101B-9397-08002B2CF9AE}" pid="9" name="ContentTypeId">
    <vt:lpwstr>0x0101000BC99D48648DAA49B7B0BE8195B404DB</vt:lpwstr>
  </property>
</Properties>
</file>