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7718" w14:textId="5A3FCA48" w:rsidR="00E54E99" w:rsidRDefault="006343D3" w:rsidP="00777FCB">
      <w:pPr>
        <w:pStyle w:val="Heading1"/>
        <w:rPr>
          <w:noProof/>
        </w:rPr>
      </w:pPr>
      <w:r>
        <w:t xml:space="preserve">Response to the Call </w:t>
      </w:r>
      <w:r w:rsidR="005B4FBA">
        <w:t>for Input on Investors, ESG and Human Rights</w:t>
      </w:r>
    </w:p>
    <w:p w14:paraId="29FC4D72" w14:textId="4F33CD5A" w:rsidR="00777FCB" w:rsidRDefault="00777FCB" w:rsidP="00777FCB"/>
    <w:p w14:paraId="1159E5B7" w14:textId="10E08026" w:rsidR="00777FCB" w:rsidRPr="00777FCB" w:rsidRDefault="00FD3DC7" w:rsidP="00777FCB">
      <w:r>
        <w:t>1</w:t>
      </w:r>
      <w:r w:rsidR="0014091B">
        <w:t>2 October</w:t>
      </w:r>
      <w:r w:rsidR="005B4FBA">
        <w:t xml:space="preserve"> 2023</w:t>
      </w:r>
    </w:p>
    <w:p w14:paraId="43831320" w14:textId="1FC9EE1B" w:rsidR="002B7A1C" w:rsidRPr="00E54E99" w:rsidRDefault="002B7A1C" w:rsidP="002B7A1C">
      <w:pPr>
        <w:rPr>
          <w:rFonts w:cstheme="minorHAnsi"/>
        </w:rPr>
      </w:pPr>
    </w:p>
    <w:p w14:paraId="0FB0A171" w14:textId="326D1CC3" w:rsidR="00C10F6E" w:rsidRDefault="002B7A1C" w:rsidP="765D6032">
      <w:pPr>
        <w:rPr>
          <w:rFonts w:cstheme="minorBidi"/>
        </w:rPr>
      </w:pPr>
      <w:r w:rsidRPr="765D6032">
        <w:rPr>
          <w:rFonts w:cstheme="minorBidi"/>
        </w:rPr>
        <w:t xml:space="preserve">Swedwatch is an independent, non-profit research </w:t>
      </w:r>
      <w:r w:rsidR="00812CC2">
        <w:rPr>
          <w:rFonts w:cstheme="minorBidi"/>
        </w:rPr>
        <w:t xml:space="preserve">and advocacy </w:t>
      </w:r>
      <w:r w:rsidRPr="765D6032">
        <w:rPr>
          <w:rFonts w:cstheme="minorBidi"/>
        </w:rPr>
        <w:t xml:space="preserve">organisation based in Stockholm, </w:t>
      </w:r>
      <w:r w:rsidR="00E951A6" w:rsidRPr="765D6032">
        <w:rPr>
          <w:rFonts w:cstheme="minorBidi"/>
        </w:rPr>
        <w:t xml:space="preserve">Sweden. </w:t>
      </w:r>
      <w:r w:rsidR="00777FCB" w:rsidRPr="765D6032">
        <w:rPr>
          <w:rFonts w:cstheme="minorBidi"/>
        </w:rPr>
        <w:t>It</w:t>
      </w:r>
      <w:r w:rsidRPr="765D6032">
        <w:rPr>
          <w:rFonts w:cstheme="minorBidi"/>
        </w:rPr>
        <w:t xml:space="preserve"> examines </w:t>
      </w:r>
      <w:r w:rsidR="0014091B">
        <w:rPr>
          <w:rFonts w:cstheme="minorBidi"/>
        </w:rPr>
        <w:t>s</w:t>
      </w:r>
      <w:r w:rsidRPr="765D6032">
        <w:rPr>
          <w:rFonts w:cstheme="minorBidi"/>
        </w:rPr>
        <w:t xml:space="preserve">tate </w:t>
      </w:r>
      <w:r w:rsidR="00F62F2B">
        <w:rPr>
          <w:rFonts w:cstheme="minorBidi"/>
        </w:rPr>
        <w:t xml:space="preserve">and business </w:t>
      </w:r>
      <w:r w:rsidRPr="765D6032">
        <w:rPr>
          <w:rFonts w:cstheme="minorBidi"/>
        </w:rPr>
        <w:t xml:space="preserve">actors’ obligations to protect and respect the </w:t>
      </w:r>
      <w:r w:rsidR="005B4FBA">
        <w:rPr>
          <w:rFonts w:cstheme="minorBidi"/>
        </w:rPr>
        <w:t xml:space="preserve">environment and </w:t>
      </w:r>
      <w:r w:rsidRPr="765D6032">
        <w:rPr>
          <w:rFonts w:cstheme="minorBidi"/>
        </w:rPr>
        <w:t>human rights</w:t>
      </w:r>
      <w:r w:rsidR="000A15FF">
        <w:rPr>
          <w:rFonts w:cstheme="minorBidi"/>
        </w:rPr>
        <w:t xml:space="preserve"> in accordance with international </w:t>
      </w:r>
      <w:r w:rsidR="00F62F2B">
        <w:rPr>
          <w:rFonts w:cstheme="minorBidi"/>
        </w:rPr>
        <w:t xml:space="preserve">standards </w:t>
      </w:r>
      <w:r w:rsidR="000A15FF">
        <w:rPr>
          <w:rFonts w:cstheme="minorBidi"/>
        </w:rPr>
        <w:t xml:space="preserve">including the United Nations Guiding Principles (UNGPs). </w:t>
      </w:r>
      <w:r w:rsidR="005B4608">
        <w:rPr>
          <w:rFonts w:cstheme="minorBidi"/>
        </w:rPr>
        <w:t xml:space="preserve">Swedwatch </w:t>
      </w:r>
      <w:r w:rsidR="00A4135B">
        <w:rPr>
          <w:rFonts w:cstheme="minorBidi"/>
        </w:rPr>
        <w:t xml:space="preserve">strongly believes that </w:t>
      </w:r>
      <w:r w:rsidR="00EB670E">
        <w:rPr>
          <w:rFonts w:cstheme="minorBidi"/>
        </w:rPr>
        <w:t xml:space="preserve">as business actors, </w:t>
      </w:r>
      <w:r w:rsidR="001266BE">
        <w:rPr>
          <w:rFonts w:cstheme="minorBidi"/>
        </w:rPr>
        <w:t>investors</w:t>
      </w:r>
      <w:r w:rsidR="0047609C" w:rsidDel="00C34875">
        <w:rPr>
          <w:rFonts w:cstheme="minorBidi"/>
        </w:rPr>
        <w:t xml:space="preserve"> </w:t>
      </w:r>
      <w:r w:rsidR="008F6934">
        <w:rPr>
          <w:rFonts w:cstheme="minorBidi"/>
        </w:rPr>
        <w:t xml:space="preserve">cannot </w:t>
      </w:r>
      <w:r w:rsidR="00A00327">
        <w:rPr>
          <w:rFonts w:cstheme="minorBidi"/>
        </w:rPr>
        <w:t xml:space="preserve">disregard their obligations to </w:t>
      </w:r>
      <w:r w:rsidR="0006321E">
        <w:rPr>
          <w:rFonts w:cstheme="minorBidi"/>
        </w:rPr>
        <w:t xml:space="preserve">respect </w:t>
      </w:r>
      <w:r w:rsidR="0006321E" w:rsidDel="00812CC2">
        <w:rPr>
          <w:rFonts w:cstheme="minorBidi"/>
        </w:rPr>
        <w:t xml:space="preserve">and </w:t>
      </w:r>
      <w:r w:rsidR="00812CC2">
        <w:rPr>
          <w:rFonts w:cstheme="minorBidi"/>
        </w:rPr>
        <w:t>safeguard</w:t>
      </w:r>
      <w:r w:rsidR="0006321E">
        <w:rPr>
          <w:rFonts w:cstheme="minorBidi"/>
        </w:rPr>
        <w:t xml:space="preserve"> </w:t>
      </w:r>
      <w:r w:rsidR="00717968">
        <w:rPr>
          <w:rFonts w:cstheme="minorBidi"/>
        </w:rPr>
        <w:t>sustainable</w:t>
      </w:r>
      <w:r w:rsidR="0006321E">
        <w:rPr>
          <w:rFonts w:cstheme="minorBidi"/>
        </w:rPr>
        <w:t xml:space="preserve"> environment and human rights through its business relations.</w:t>
      </w:r>
      <w:r w:rsidR="5961F0B8" w:rsidRPr="200C1C59">
        <w:rPr>
          <w:rFonts w:cstheme="minorBidi"/>
        </w:rPr>
        <w:t xml:space="preserve"> </w:t>
      </w:r>
      <w:r w:rsidR="0006321E">
        <w:rPr>
          <w:rFonts w:cstheme="minorBidi"/>
        </w:rPr>
        <w:t xml:space="preserve">Swedwatch </w:t>
      </w:r>
      <w:r w:rsidR="005B4608">
        <w:rPr>
          <w:rFonts w:cstheme="minorBidi"/>
        </w:rPr>
        <w:t xml:space="preserve">submission </w:t>
      </w:r>
      <w:r w:rsidR="00601CD0">
        <w:rPr>
          <w:rFonts w:cstheme="minorBidi"/>
        </w:rPr>
        <w:t xml:space="preserve">for the call </w:t>
      </w:r>
      <w:r w:rsidR="005B4608">
        <w:rPr>
          <w:rFonts w:cstheme="minorBidi"/>
        </w:rPr>
        <w:t xml:space="preserve">focuses </w:t>
      </w:r>
      <w:r w:rsidR="00C70C91">
        <w:rPr>
          <w:rFonts w:cstheme="minorBidi"/>
        </w:rPr>
        <w:t xml:space="preserve">on </w:t>
      </w:r>
      <w:r w:rsidR="00331B01">
        <w:rPr>
          <w:rFonts w:cstheme="minorBidi"/>
        </w:rPr>
        <w:t xml:space="preserve">three core </w:t>
      </w:r>
      <w:r w:rsidR="00C70C91">
        <w:rPr>
          <w:rFonts w:cstheme="minorBidi"/>
        </w:rPr>
        <w:t xml:space="preserve">questions, </w:t>
      </w:r>
      <w:r w:rsidR="00331B01">
        <w:rPr>
          <w:rFonts w:cstheme="minorBidi"/>
        </w:rPr>
        <w:t>including</w:t>
      </w:r>
      <w:r w:rsidR="00AF4A9D">
        <w:rPr>
          <w:rFonts w:cstheme="minorBidi"/>
        </w:rPr>
        <w:t xml:space="preserve"> </w:t>
      </w:r>
      <w:r w:rsidR="00FD3010">
        <w:rPr>
          <w:rFonts w:cstheme="minorBidi"/>
        </w:rPr>
        <w:t>responsibilities of</w:t>
      </w:r>
    </w:p>
    <w:p w14:paraId="4265D991" w14:textId="45D0038C" w:rsidR="00192D92" w:rsidRDefault="005F3C63" w:rsidP="765D6032">
      <w:pPr>
        <w:rPr>
          <w:rFonts w:cstheme="minorBidi"/>
        </w:rPr>
      </w:pPr>
      <w:r>
        <w:rPr>
          <w:rFonts w:cstheme="minorBidi"/>
        </w:rPr>
        <w:t>e</w:t>
      </w:r>
      <w:r w:rsidR="00362B4D">
        <w:rPr>
          <w:rFonts w:cstheme="minorBidi"/>
        </w:rPr>
        <w:t xml:space="preserve">nvironmental, social and governance (ESG) </w:t>
      </w:r>
      <w:r w:rsidR="00C56985">
        <w:rPr>
          <w:rFonts w:cstheme="minorBidi"/>
        </w:rPr>
        <w:t>index and data</w:t>
      </w:r>
      <w:r w:rsidR="00C70C91">
        <w:rPr>
          <w:rFonts w:cstheme="minorBidi"/>
        </w:rPr>
        <w:t xml:space="preserve"> providers</w:t>
      </w:r>
      <w:r w:rsidR="002D204F">
        <w:rPr>
          <w:rFonts w:cstheme="minorBidi"/>
        </w:rPr>
        <w:t xml:space="preserve"> </w:t>
      </w:r>
      <w:r w:rsidR="00EE56DC">
        <w:rPr>
          <w:rFonts w:cstheme="minorBidi"/>
        </w:rPr>
        <w:t xml:space="preserve">and </w:t>
      </w:r>
      <w:r w:rsidR="00C70C91">
        <w:rPr>
          <w:rFonts w:cstheme="minorBidi"/>
        </w:rPr>
        <w:t>investors</w:t>
      </w:r>
      <w:r w:rsidR="00D216B8">
        <w:rPr>
          <w:rFonts w:cstheme="minorBidi"/>
        </w:rPr>
        <w:t xml:space="preserve"> a</w:t>
      </w:r>
      <w:r w:rsidR="00EE56DC">
        <w:rPr>
          <w:rFonts w:cstheme="minorBidi"/>
        </w:rPr>
        <w:t xml:space="preserve">s well as the importance of </w:t>
      </w:r>
      <w:r w:rsidR="00486A52">
        <w:rPr>
          <w:rFonts w:cstheme="minorBidi"/>
        </w:rPr>
        <w:t xml:space="preserve">integrating </w:t>
      </w:r>
      <w:r w:rsidR="00EE56DC">
        <w:rPr>
          <w:rFonts w:cstheme="minorBidi"/>
        </w:rPr>
        <w:t>conflict sensitivity</w:t>
      </w:r>
      <w:r w:rsidR="001B1312">
        <w:rPr>
          <w:rFonts w:cstheme="minorBidi"/>
        </w:rPr>
        <w:t xml:space="preserve"> in investment decision making.</w:t>
      </w:r>
    </w:p>
    <w:p w14:paraId="0E095E6B" w14:textId="77777777" w:rsidR="00852188" w:rsidRDefault="00852188">
      <w:pPr>
        <w:rPr>
          <w:rFonts w:cstheme="minorHAnsi"/>
        </w:rPr>
      </w:pPr>
    </w:p>
    <w:p w14:paraId="65DA99AB" w14:textId="33895757" w:rsidR="00472C0A" w:rsidRPr="006F301F" w:rsidRDefault="00472C0A">
      <w:pPr>
        <w:rPr>
          <w:rFonts w:cstheme="minorHAnsi"/>
          <w:b/>
          <w:bCs/>
        </w:rPr>
      </w:pPr>
      <w:r w:rsidRPr="006F301F">
        <w:rPr>
          <w:rFonts w:cstheme="minorHAnsi"/>
          <w:b/>
          <w:bCs/>
        </w:rPr>
        <w:t>General</w:t>
      </w:r>
    </w:p>
    <w:p w14:paraId="563D964B" w14:textId="6F9DA210" w:rsidR="00DE639D" w:rsidRDefault="00472C0A" w:rsidP="00DE639D">
      <w:pPr>
        <w:numPr>
          <w:ilvl w:val="0"/>
          <w:numId w:val="9"/>
        </w:numPr>
        <w:shd w:val="clear" w:color="auto" w:fill="FFFFFF"/>
        <w:spacing w:before="120" w:after="120"/>
        <w:rPr>
          <w:rFonts w:cstheme="minorHAnsi"/>
          <w:b/>
          <w:bCs/>
          <w:color w:val="000000"/>
          <w:szCs w:val="24"/>
          <w:lang w:val="en-AU" w:eastAsia="ja-JP"/>
        </w:rPr>
      </w:pPr>
      <w:r>
        <w:rPr>
          <w:rFonts w:cstheme="minorHAnsi"/>
          <w:b/>
          <w:bCs/>
          <w:color w:val="000000"/>
          <w:szCs w:val="24"/>
          <w:lang w:val="en-AU" w:eastAsia="ja-JP"/>
        </w:rPr>
        <w:t xml:space="preserve">What responsibilities and capacity do ESG index and data providers have regarding the assessment of adverse human rights and </w:t>
      </w:r>
      <w:r w:rsidR="00707445">
        <w:rPr>
          <w:rFonts w:cstheme="minorHAnsi"/>
          <w:b/>
          <w:bCs/>
          <w:color w:val="000000"/>
          <w:szCs w:val="24"/>
          <w:lang w:val="en-AU" w:eastAsia="ja-JP"/>
        </w:rPr>
        <w:t>environmental impacts, and how can ESG</w:t>
      </w:r>
      <w:r w:rsidR="00071EC1">
        <w:rPr>
          <w:rFonts w:cstheme="minorHAnsi"/>
          <w:b/>
          <w:bCs/>
          <w:color w:val="000000"/>
          <w:szCs w:val="24"/>
          <w:lang w:val="en-AU" w:eastAsia="ja-JP"/>
        </w:rPr>
        <w:t xml:space="preserve"> indexes and research products be improved to align with the UNGPs approach?</w:t>
      </w:r>
    </w:p>
    <w:p w14:paraId="2CA4A860" w14:textId="77777777" w:rsidR="00A30542" w:rsidRDefault="00A30542" w:rsidP="00E41F55">
      <w:pPr>
        <w:shd w:val="clear" w:color="auto" w:fill="FFFFFF"/>
        <w:spacing w:before="120" w:after="120"/>
        <w:rPr>
          <w:rFonts w:cstheme="minorBidi"/>
          <w:color w:val="000000"/>
          <w:lang w:val="en-AU" w:eastAsia="ja-JP"/>
        </w:rPr>
      </w:pPr>
    </w:p>
    <w:p w14:paraId="34DAFC4B" w14:textId="3F3694DF" w:rsidR="00464B57" w:rsidRDefault="00700F17" w:rsidP="751C2E37">
      <w:pPr>
        <w:shd w:val="clear" w:color="auto" w:fill="FFFFFF" w:themeFill="background1"/>
        <w:spacing w:before="120" w:after="120"/>
        <w:rPr>
          <w:rFonts w:cstheme="minorBidi"/>
          <w:color w:val="000000"/>
          <w:lang w:val="en-AU" w:eastAsia="ja-JP"/>
        </w:rPr>
      </w:pPr>
      <w:r w:rsidRPr="751C2E37">
        <w:rPr>
          <w:rFonts w:cstheme="minorBidi"/>
          <w:color w:val="000000"/>
          <w:lang w:val="en-AU" w:eastAsia="ja-JP"/>
        </w:rPr>
        <w:t>Growing demand for</w:t>
      </w:r>
      <w:r w:rsidR="004200DA" w:rsidRPr="751C2E37">
        <w:rPr>
          <w:rFonts w:cstheme="minorBidi"/>
          <w:color w:val="000000"/>
          <w:lang w:val="en-AU" w:eastAsia="ja-JP"/>
        </w:rPr>
        <w:t xml:space="preserve"> responsible investment that </w:t>
      </w:r>
      <w:r w:rsidR="0075313B" w:rsidRPr="751C2E37">
        <w:rPr>
          <w:rFonts w:cstheme="minorBidi"/>
          <w:color w:val="000000"/>
          <w:lang w:val="en-AU" w:eastAsia="ja-JP"/>
        </w:rPr>
        <w:t>seek</w:t>
      </w:r>
      <w:r w:rsidR="00D25540" w:rsidRPr="751C2E37">
        <w:rPr>
          <w:rFonts w:cstheme="minorBidi"/>
          <w:color w:val="000000"/>
          <w:lang w:val="en-AU" w:eastAsia="ja-JP"/>
        </w:rPr>
        <w:t>s to mitigate</w:t>
      </w:r>
      <w:r w:rsidR="005E2CB5" w:rsidRPr="751C2E37">
        <w:rPr>
          <w:rFonts w:cstheme="minorBidi"/>
          <w:color w:val="000000"/>
          <w:lang w:val="en-AU" w:eastAsia="ja-JP"/>
        </w:rPr>
        <w:t xml:space="preserve"> environmental and human rights </w:t>
      </w:r>
      <w:r w:rsidR="00D25540" w:rsidRPr="751C2E37">
        <w:rPr>
          <w:rFonts w:cstheme="minorBidi"/>
          <w:color w:val="000000"/>
          <w:lang w:val="en-AU" w:eastAsia="ja-JP"/>
        </w:rPr>
        <w:t xml:space="preserve">risks </w:t>
      </w:r>
      <w:r w:rsidR="00C274B8" w:rsidRPr="751C2E37">
        <w:rPr>
          <w:rFonts w:cstheme="minorBidi"/>
          <w:color w:val="000000" w:themeColor="text1"/>
          <w:lang w:val="en-AU" w:eastAsia="ja-JP"/>
        </w:rPr>
        <w:t xml:space="preserve">and impacts </w:t>
      </w:r>
      <w:r w:rsidR="008042DD" w:rsidRPr="751C2E37">
        <w:rPr>
          <w:rFonts w:cstheme="minorBidi"/>
          <w:color w:val="000000"/>
          <w:lang w:val="en-AU" w:eastAsia="ja-JP"/>
        </w:rPr>
        <w:t>ha</w:t>
      </w:r>
      <w:r w:rsidR="00EF6FCD" w:rsidRPr="751C2E37">
        <w:rPr>
          <w:rFonts w:cstheme="minorBidi"/>
          <w:color w:val="000000" w:themeColor="text1"/>
          <w:lang w:val="en-AU" w:eastAsia="ja-JP"/>
        </w:rPr>
        <w:t>s</w:t>
      </w:r>
      <w:r w:rsidR="006A0CF1" w:rsidRPr="751C2E37">
        <w:rPr>
          <w:rFonts w:cstheme="minorBidi"/>
          <w:color w:val="000000"/>
          <w:lang w:val="en-AU" w:eastAsia="ja-JP"/>
        </w:rPr>
        <w:t xml:space="preserve"> increased the </w:t>
      </w:r>
      <w:r w:rsidR="00E34D39" w:rsidRPr="751C2E37">
        <w:rPr>
          <w:rFonts w:cstheme="minorBidi"/>
          <w:color w:val="000000" w:themeColor="text1"/>
          <w:lang w:val="en-AU" w:eastAsia="ja-JP"/>
        </w:rPr>
        <w:t xml:space="preserve">importance of the </w:t>
      </w:r>
      <w:r w:rsidR="006A0CF1" w:rsidRPr="751C2E37">
        <w:rPr>
          <w:rFonts w:cstheme="minorBidi"/>
          <w:color w:val="000000"/>
          <w:lang w:val="en-AU" w:eastAsia="ja-JP"/>
        </w:rPr>
        <w:t xml:space="preserve">role of </w:t>
      </w:r>
      <w:r w:rsidR="006B2DB1" w:rsidRPr="751C2E37">
        <w:rPr>
          <w:rFonts w:cstheme="minorBidi"/>
          <w:color w:val="000000"/>
          <w:lang w:val="en-AU" w:eastAsia="ja-JP"/>
        </w:rPr>
        <w:t xml:space="preserve">ESG </w:t>
      </w:r>
      <w:r w:rsidR="00DB5F1F" w:rsidRPr="751C2E37">
        <w:rPr>
          <w:rFonts w:cstheme="minorBidi"/>
          <w:color w:val="000000" w:themeColor="text1"/>
          <w:lang w:val="en-AU" w:eastAsia="ja-JP"/>
        </w:rPr>
        <w:t>index</w:t>
      </w:r>
      <w:r w:rsidR="009717DC" w:rsidRPr="751C2E37">
        <w:rPr>
          <w:rFonts w:cstheme="minorBidi"/>
          <w:color w:val="000000" w:themeColor="text1"/>
          <w:lang w:val="en-AU" w:eastAsia="ja-JP"/>
        </w:rPr>
        <w:t xml:space="preserve"> and data providers (hereafter, ESG </w:t>
      </w:r>
      <w:r w:rsidR="00077CF6" w:rsidRPr="751C2E37">
        <w:rPr>
          <w:rFonts w:cstheme="minorBidi"/>
          <w:color w:val="000000"/>
          <w:lang w:val="en-AU" w:eastAsia="ja-JP"/>
        </w:rPr>
        <w:t>service</w:t>
      </w:r>
      <w:r w:rsidR="00737A0A" w:rsidRPr="751C2E37">
        <w:rPr>
          <w:rFonts w:cstheme="minorBidi"/>
          <w:color w:val="000000"/>
          <w:lang w:val="en-AU" w:eastAsia="ja-JP"/>
        </w:rPr>
        <w:t xml:space="preserve"> </w:t>
      </w:r>
      <w:r w:rsidR="006B2DB1" w:rsidRPr="751C2E37">
        <w:rPr>
          <w:rFonts w:cstheme="minorBidi"/>
          <w:color w:val="000000"/>
          <w:lang w:val="en-AU" w:eastAsia="ja-JP"/>
        </w:rPr>
        <w:t>providers</w:t>
      </w:r>
      <w:r w:rsidR="009717DC" w:rsidRPr="751C2E37">
        <w:rPr>
          <w:rFonts w:cstheme="minorBidi"/>
          <w:color w:val="000000" w:themeColor="text1"/>
          <w:lang w:val="en-AU" w:eastAsia="ja-JP"/>
        </w:rPr>
        <w:t>)</w:t>
      </w:r>
      <w:r w:rsidR="000143E5" w:rsidRPr="751C2E37">
        <w:rPr>
          <w:rFonts w:cstheme="minorBidi"/>
          <w:color w:val="000000"/>
          <w:lang w:val="en-AU" w:eastAsia="ja-JP"/>
        </w:rPr>
        <w:t>.</w:t>
      </w:r>
      <w:r w:rsidR="00745EBD" w:rsidRPr="751C2E37">
        <w:rPr>
          <w:rFonts w:cstheme="minorBidi"/>
          <w:color w:val="000000" w:themeColor="text1"/>
          <w:lang w:val="en-AU" w:eastAsia="ja-JP"/>
        </w:rPr>
        <w:t xml:space="preserve"> </w:t>
      </w:r>
      <w:r w:rsidR="00273EE1">
        <w:rPr>
          <w:rFonts w:cstheme="minorBidi"/>
          <w:color w:val="000000" w:themeColor="text1"/>
          <w:lang w:val="en-AU" w:eastAsia="ja-JP"/>
        </w:rPr>
        <w:t>Often, s</w:t>
      </w:r>
      <w:r w:rsidR="00745EBD" w:rsidRPr="751C2E37">
        <w:rPr>
          <w:rFonts w:cstheme="minorBidi"/>
          <w:color w:val="000000" w:themeColor="text1"/>
          <w:lang w:val="en-AU" w:eastAsia="ja-JP"/>
        </w:rPr>
        <w:t>ervice providers</w:t>
      </w:r>
      <w:r w:rsidR="009E6C1C" w:rsidRPr="751C2E37">
        <w:rPr>
          <w:rFonts w:cstheme="minorBidi"/>
          <w:color w:val="000000" w:themeColor="text1"/>
          <w:lang w:val="en-AU" w:eastAsia="ja-JP"/>
        </w:rPr>
        <w:t xml:space="preserve"> generate</w:t>
      </w:r>
      <w:r w:rsidR="007267E4" w:rsidRPr="751C2E37">
        <w:rPr>
          <w:rFonts w:cstheme="minorBidi"/>
          <w:color w:val="000000"/>
          <w:lang w:val="en-AU" w:eastAsia="ja-JP"/>
        </w:rPr>
        <w:t xml:space="preserve"> </w:t>
      </w:r>
      <w:r w:rsidR="005E3C32" w:rsidRPr="751C2E37">
        <w:rPr>
          <w:rFonts w:cstheme="minorBidi"/>
          <w:color w:val="000000"/>
          <w:lang w:val="en-AU" w:eastAsia="ja-JP"/>
        </w:rPr>
        <w:t>ESG ratings</w:t>
      </w:r>
      <w:r w:rsidR="00146159" w:rsidRPr="751C2E37">
        <w:rPr>
          <w:rFonts w:cstheme="minorBidi"/>
          <w:color w:val="000000" w:themeColor="text1"/>
          <w:lang w:val="en-AU" w:eastAsia="ja-JP"/>
        </w:rPr>
        <w:t xml:space="preserve"> of </w:t>
      </w:r>
      <w:r w:rsidR="00660D98" w:rsidRPr="751C2E37">
        <w:rPr>
          <w:rFonts w:cstheme="minorBidi"/>
          <w:color w:val="000000" w:themeColor="text1"/>
          <w:lang w:val="en-AU" w:eastAsia="ja-JP"/>
        </w:rPr>
        <w:t>companies</w:t>
      </w:r>
      <w:r w:rsidR="009E6C1C" w:rsidRPr="751C2E37">
        <w:rPr>
          <w:rFonts w:cstheme="minorBidi"/>
          <w:color w:val="000000" w:themeColor="text1"/>
          <w:lang w:val="en-AU" w:eastAsia="ja-JP"/>
        </w:rPr>
        <w:t>, and this is</w:t>
      </w:r>
      <w:r w:rsidR="005E3C32" w:rsidRPr="751C2E37">
        <w:rPr>
          <w:rFonts w:cstheme="minorBidi"/>
          <w:color w:val="000000"/>
          <w:lang w:val="en-AU" w:eastAsia="ja-JP"/>
        </w:rPr>
        <w:t xml:space="preserve"> increasingly </w:t>
      </w:r>
      <w:r w:rsidR="009E6C1C" w:rsidRPr="751C2E37">
        <w:rPr>
          <w:rFonts w:cstheme="minorBidi"/>
          <w:color w:val="000000" w:themeColor="text1"/>
          <w:lang w:val="en-AU" w:eastAsia="ja-JP"/>
        </w:rPr>
        <w:t>influencing</w:t>
      </w:r>
      <w:r w:rsidR="00B77CC1" w:rsidRPr="751C2E37">
        <w:rPr>
          <w:rFonts w:cstheme="minorBidi"/>
          <w:color w:val="000000" w:themeColor="text1"/>
          <w:lang w:val="en-AU" w:eastAsia="ja-JP"/>
        </w:rPr>
        <w:t xml:space="preserve"> the ways in which investors make decisions</w:t>
      </w:r>
      <w:r w:rsidR="00C2739A" w:rsidRPr="751C2E37">
        <w:rPr>
          <w:rFonts w:cstheme="minorBidi"/>
          <w:color w:val="000000"/>
          <w:lang w:val="en-AU" w:eastAsia="ja-JP"/>
        </w:rPr>
        <w:t xml:space="preserve">. </w:t>
      </w:r>
      <w:r w:rsidR="00745EBD" w:rsidRPr="751C2E37">
        <w:rPr>
          <w:rFonts w:cstheme="minorBidi"/>
          <w:color w:val="000000" w:themeColor="text1"/>
          <w:lang w:val="en-AU" w:eastAsia="ja-JP"/>
        </w:rPr>
        <w:t>W</w:t>
      </w:r>
      <w:r w:rsidR="00E41F55" w:rsidRPr="751C2E37">
        <w:rPr>
          <w:rFonts w:cstheme="minorBidi"/>
          <w:color w:val="000000"/>
          <w:lang w:val="en-AU" w:eastAsia="ja-JP"/>
        </w:rPr>
        <w:t xml:space="preserve">hile </w:t>
      </w:r>
      <w:r w:rsidR="002C4C39" w:rsidRPr="751C2E37">
        <w:rPr>
          <w:rFonts w:cstheme="minorBidi"/>
          <w:color w:val="000000"/>
          <w:lang w:val="en-AU" w:eastAsia="ja-JP"/>
        </w:rPr>
        <w:t xml:space="preserve">financial actors are </w:t>
      </w:r>
      <w:r w:rsidR="00830FFC" w:rsidRPr="751C2E37">
        <w:rPr>
          <w:rFonts w:cstheme="minorBidi"/>
          <w:color w:val="000000"/>
          <w:lang w:val="en-AU" w:eastAsia="ja-JP"/>
        </w:rPr>
        <w:t xml:space="preserve">progressively </w:t>
      </w:r>
      <w:r w:rsidR="002C4C39" w:rsidRPr="751C2E37">
        <w:rPr>
          <w:rFonts w:cstheme="minorBidi"/>
          <w:color w:val="000000"/>
          <w:lang w:val="en-AU" w:eastAsia="ja-JP"/>
        </w:rPr>
        <w:t xml:space="preserve">integrating </w:t>
      </w:r>
      <w:r w:rsidR="00D20995" w:rsidRPr="751C2E37">
        <w:rPr>
          <w:rFonts w:cstheme="minorBidi"/>
          <w:color w:val="000000"/>
          <w:lang w:val="en-AU" w:eastAsia="ja-JP"/>
        </w:rPr>
        <w:t>human rights and environmental</w:t>
      </w:r>
      <w:r w:rsidR="002C4C39" w:rsidRPr="751C2E37">
        <w:rPr>
          <w:rFonts w:cstheme="minorBidi"/>
          <w:color w:val="000000"/>
          <w:lang w:val="en-AU" w:eastAsia="ja-JP"/>
        </w:rPr>
        <w:t xml:space="preserve"> risks </w:t>
      </w:r>
      <w:r w:rsidR="00F94840" w:rsidRPr="751C2E37">
        <w:rPr>
          <w:rFonts w:cstheme="minorBidi"/>
          <w:color w:val="000000"/>
          <w:lang w:val="en-AU" w:eastAsia="ja-JP"/>
        </w:rPr>
        <w:t xml:space="preserve">in their </w:t>
      </w:r>
      <w:r w:rsidR="00EE7EBE" w:rsidRPr="751C2E37">
        <w:rPr>
          <w:rFonts w:cstheme="minorBidi"/>
          <w:color w:val="000000"/>
          <w:lang w:val="en-AU" w:eastAsia="ja-JP"/>
        </w:rPr>
        <w:t xml:space="preserve">financial </w:t>
      </w:r>
      <w:r w:rsidR="00F94840" w:rsidRPr="751C2E37">
        <w:rPr>
          <w:rFonts w:cstheme="minorBidi"/>
          <w:color w:val="000000"/>
          <w:lang w:val="en-AU" w:eastAsia="ja-JP"/>
        </w:rPr>
        <w:t>asset management</w:t>
      </w:r>
      <w:r w:rsidR="008A5E8D" w:rsidRPr="751C2E37">
        <w:rPr>
          <w:rFonts w:cstheme="minorBidi"/>
          <w:color w:val="000000" w:themeColor="text1"/>
          <w:lang w:val="en-AU" w:eastAsia="ja-JP"/>
        </w:rPr>
        <w:t xml:space="preserve"> practices</w:t>
      </w:r>
      <w:r w:rsidR="008825D9" w:rsidRPr="751C2E37">
        <w:rPr>
          <w:rStyle w:val="FootnoteReference"/>
          <w:rFonts w:cstheme="minorBidi"/>
          <w:color w:val="000000"/>
          <w:lang w:val="en-AU" w:eastAsia="ja-JP"/>
        </w:rPr>
        <w:footnoteReference w:id="2"/>
      </w:r>
      <w:r w:rsidR="00E41F55" w:rsidRPr="751C2E37">
        <w:rPr>
          <w:rFonts w:cstheme="minorBidi"/>
          <w:color w:val="000000"/>
          <w:lang w:val="en-AU" w:eastAsia="ja-JP"/>
        </w:rPr>
        <w:t xml:space="preserve">, </w:t>
      </w:r>
      <w:r w:rsidR="003E13F1" w:rsidRPr="751C2E37">
        <w:rPr>
          <w:rFonts w:cstheme="minorBidi"/>
          <w:color w:val="000000" w:themeColor="text1"/>
          <w:lang w:val="en-AU" w:eastAsia="ja-JP"/>
        </w:rPr>
        <w:t>accountability of</w:t>
      </w:r>
      <w:r w:rsidR="002345EA" w:rsidRPr="751C2E37">
        <w:rPr>
          <w:rFonts w:cstheme="minorBidi"/>
          <w:color w:val="000000" w:themeColor="text1"/>
          <w:lang w:val="en-AU" w:eastAsia="ja-JP"/>
        </w:rPr>
        <w:t xml:space="preserve"> </w:t>
      </w:r>
      <w:r w:rsidR="00B458E1" w:rsidRPr="751C2E37">
        <w:rPr>
          <w:rFonts w:cstheme="minorBidi"/>
          <w:color w:val="000000"/>
          <w:lang w:val="en-AU" w:eastAsia="ja-JP"/>
        </w:rPr>
        <w:t xml:space="preserve">ESG service </w:t>
      </w:r>
      <w:r w:rsidR="000A2530" w:rsidRPr="751C2E37">
        <w:rPr>
          <w:rFonts w:cstheme="minorBidi"/>
          <w:color w:val="000000" w:themeColor="text1"/>
          <w:lang w:val="en-AU" w:eastAsia="ja-JP"/>
        </w:rPr>
        <w:t>providers</w:t>
      </w:r>
      <w:r w:rsidR="00B458E1" w:rsidRPr="751C2E37">
        <w:rPr>
          <w:rFonts w:cstheme="minorBidi"/>
          <w:color w:val="000000"/>
          <w:lang w:val="en-AU" w:eastAsia="ja-JP"/>
        </w:rPr>
        <w:t xml:space="preserve"> </w:t>
      </w:r>
      <w:r w:rsidR="000A2530" w:rsidRPr="751C2E37">
        <w:rPr>
          <w:rFonts w:cstheme="minorBidi"/>
          <w:color w:val="000000" w:themeColor="text1"/>
          <w:lang w:val="en-AU" w:eastAsia="ja-JP"/>
        </w:rPr>
        <w:t>r</w:t>
      </w:r>
      <w:r w:rsidR="003E13F1" w:rsidRPr="751C2E37">
        <w:rPr>
          <w:rFonts w:cstheme="minorBidi"/>
          <w:color w:val="000000" w:themeColor="text1"/>
          <w:lang w:val="en-AU" w:eastAsia="ja-JP"/>
        </w:rPr>
        <w:t>emain</w:t>
      </w:r>
      <w:r w:rsidR="00BE03B6">
        <w:rPr>
          <w:rFonts w:cstheme="minorBidi"/>
          <w:color w:val="000000" w:themeColor="text1"/>
          <w:lang w:val="en-AU" w:eastAsia="ja-JP"/>
        </w:rPr>
        <w:t xml:space="preserve">s a </w:t>
      </w:r>
      <w:r w:rsidR="003E13F1" w:rsidRPr="751C2E37">
        <w:rPr>
          <w:rFonts w:cstheme="minorBidi"/>
          <w:color w:val="000000" w:themeColor="text1"/>
          <w:lang w:val="en-AU" w:eastAsia="ja-JP"/>
        </w:rPr>
        <w:t>question</w:t>
      </w:r>
      <w:r w:rsidR="00175D87" w:rsidRPr="751C2E37">
        <w:rPr>
          <w:rFonts w:cstheme="minorBidi"/>
          <w:color w:val="000000"/>
          <w:lang w:val="en-AU" w:eastAsia="ja-JP"/>
        </w:rPr>
        <w:t xml:space="preserve">. </w:t>
      </w:r>
      <w:r w:rsidR="000D73A9" w:rsidRPr="751C2E37">
        <w:rPr>
          <w:rFonts w:cstheme="minorBidi"/>
          <w:color w:val="000000"/>
          <w:lang w:val="en-AU" w:eastAsia="ja-JP"/>
        </w:rPr>
        <w:t>Swed</w:t>
      </w:r>
      <w:r w:rsidR="00E60294" w:rsidRPr="751C2E37">
        <w:rPr>
          <w:rFonts w:cstheme="minorBidi"/>
          <w:color w:val="000000"/>
          <w:lang w:val="en-AU" w:eastAsia="ja-JP"/>
        </w:rPr>
        <w:t>watch</w:t>
      </w:r>
      <w:r w:rsidR="0020160C" w:rsidRPr="751C2E37">
        <w:rPr>
          <w:rFonts w:cstheme="minorBidi"/>
          <w:color w:val="000000"/>
          <w:lang w:val="en-AU" w:eastAsia="ja-JP"/>
        </w:rPr>
        <w:t xml:space="preserve"> regrets that ESG service providers have for too long been </w:t>
      </w:r>
      <w:r w:rsidR="00A06FD5" w:rsidRPr="751C2E37">
        <w:rPr>
          <w:rFonts w:cstheme="minorBidi"/>
          <w:color w:val="000000"/>
          <w:lang w:val="en-AU" w:eastAsia="ja-JP"/>
        </w:rPr>
        <w:t>allowed</w:t>
      </w:r>
      <w:r w:rsidR="0020160C" w:rsidRPr="751C2E37">
        <w:rPr>
          <w:rFonts w:cstheme="minorBidi"/>
          <w:color w:val="000000"/>
          <w:lang w:val="en-AU" w:eastAsia="ja-JP"/>
        </w:rPr>
        <w:t xml:space="preserve"> to operate </w:t>
      </w:r>
      <w:r w:rsidR="00A06FD5" w:rsidRPr="751C2E37">
        <w:rPr>
          <w:rFonts w:cstheme="minorBidi"/>
          <w:color w:val="000000"/>
          <w:lang w:val="en-AU" w:eastAsia="ja-JP"/>
        </w:rPr>
        <w:t>in</w:t>
      </w:r>
      <w:r w:rsidR="0020160C" w:rsidRPr="751C2E37">
        <w:rPr>
          <w:rFonts w:cstheme="minorBidi"/>
          <w:color w:val="000000"/>
          <w:lang w:val="en-AU" w:eastAsia="ja-JP"/>
        </w:rPr>
        <w:t xml:space="preserve"> an unregulated market, and</w:t>
      </w:r>
      <w:r w:rsidR="00E60294" w:rsidRPr="751C2E37">
        <w:rPr>
          <w:rFonts w:cstheme="minorBidi"/>
          <w:color w:val="000000"/>
          <w:lang w:val="en-AU" w:eastAsia="ja-JP"/>
        </w:rPr>
        <w:t xml:space="preserve"> welcomes </w:t>
      </w:r>
      <w:r w:rsidR="006B11E2" w:rsidRPr="004B429F">
        <w:rPr>
          <w:color w:val="000000"/>
        </w:rPr>
        <w:t xml:space="preserve">regulatory initiatives, </w:t>
      </w:r>
      <w:hyperlink r:id="rId11" w:history="1">
        <w:r w:rsidR="006B11E2" w:rsidRPr="751C2E37">
          <w:rPr>
            <w:rStyle w:val="Hyperlink"/>
            <w:rFonts w:cstheme="minorBidi"/>
            <w:lang w:val="en-AU" w:eastAsia="ja-JP"/>
          </w:rPr>
          <w:t>most recently at EU level</w:t>
        </w:r>
      </w:hyperlink>
      <w:r w:rsidR="006B11E2" w:rsidRPr="751C2E37">
        <w:rPr>
          <w:rFonts w:cstheme="minorBidi"/>
          <w:color w:val="000000"/>
          <w:lang w:val="en-AU" w:eastAsia="ja-JP"/>
        </w:rPr>
        <w:t>, ai</w:t>
      </w:r>
      <w:r w:rsidR="009D2B57" w:rsidRPr="751C2E37">
        <w:rPr>
          <w:rFonts w:cstheme="minorBidi"/>
          <w:color w:val="000000"/>
          <w:lang w:val="en-AU" w:eastAsia="ja-JP"/>
        </w:rPr>
        <w:t xml:space="preserve">med at </w:t>
      </w:r>
      <w:r w:rsidR="00853C54" w:rsidRPr="751C2E37">
        <w:rPr>
          <w:rFonts w:cstheme="minorBidi"/>
          <w:color w:val="000000"/>
          <w:lang w:val="en-AU" w:eastAsia="ja-JP"/>
        </w:rPr>
        <w:t>enhancing</w:t>
      </w:r>
      <w:r w:rsidR="009D2B57" w:rsidRPr="751C2E37">
        <w:rPr>
          <w:rFonts w:cstheme="minorBidi"/>
          <w:color w:val="000000"/>
          <w:lang w:val="en-AU" w:eastAsia="ja-JP"/>
        </w:rPr>
        <w:t xml:space="preserve"> transparency and accountability within </w:t>
      </w:r>
      <w:r w:rsidR="00670EE7" w:rsidRPr="751C2E37">
        <w:rPr>
          <w:rFonts w:cstheme="minorBidi"/>
          <w:color w:val="000000"/>
          <w:lang w:val="en-AU" w:eastAsia="ja-JP"/>
        </w:rPr>
        <w:t xml:space="preserve">the </w:t>
      </w:r>
      <w:r w:rsidR="00830FFC" w:rsidRPr="751C2E37">
        <w:rPr>
          <w:rFonts w:cstheme="minorBidi"/>
          <w:color w:val="000000"/>
          <w:lang w:val="en-AU" w:eastAsia="ja-JP"/>
        </w:rPr>
        <w:t>industry</w:t>
      </w:r>
      <w:r w:rsidR="009D2B57" w:rsidRPr="751C2E37">
        <w:rPr>
          <w:rFonts w:cstheme="minorBidi"/>
          <w:color w:val="000000"/>
          <w:lang w:val="en-AU" w:eastAsia="ja-JP"/>
        </w:rPr>
        <w:t>.</w:t>
      </w:r>
      <w:r w:rsidR="00EB086D">
        <w:rPr>
          <w:rStyle w:val="FootnoteReference"/>
          <w:rFonts w:cstheme="minorBidi"/>
          <w:color w:val="000000"/>
          <w:lang w:val="en-AU" w:eastAsia="ja-JP"/>
        </w:rPr>
        <w:footnoteReference w:id="3"/>
      </w:r>
    </w:p>
    <w:p w14:paraId="2F6D237F" w14:textId="77777777" w:rsidR="00342D3B" w:rsidRDefault="002542CD" w:rsidP="009910FF">
      <w:pPr>
        <w:shd w:val="clear" w:color="auto" w:fill="FFFFFF"/>
        <w:spacing w:before="120" w:after="120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>S</w:t>
      </w:r>
      <w:r w:rsidR="00D21C87">
        <w:rPr>
          <w:rFonts w:cstheme="minorHAnsi"/>
          <w:color w:val="000000"/>
          <w:szCs w:val="24"/>
          <w:lang w:val="en-AU" w:eastAsia="ja-JP"/>
        </w:rPr>
        <w:t>everal</w:t>
      </w:r>
      <w:r w:rsidR="003522DE">
        <w:rPr>
          <w:rFonts w:cstheme="minorHAnsi"/>
          <w:color w:val="000000"/>
          <w:szCs w:val="24"/>
          <w:lang w:val="en-AU" w:eastAsia="ja-JP"/>
        </w:rPr>
        <w:t xml:space="preserve"> Swedwatch</w:t>
      </w:r>
      <w:r w:rsidR="00D21C87">
        <w:rPr>
          <w:rFonts w:cstheme="minorHAnsi"/>
          <w:color w:val="000000"/>
          <w:szCs w:val="24"/>
          <w:lang w:val="en-AU" w:eastAsia="ja-JP"/>
        </w:rPr>
        <w:t xml:space="preserve"> </w:t>
      </w:r>
      <w:r w:rsidR="00464B57">
        <w:rPr>
          <w:rFonts w:cstheme="minorHAnsi"/>
          <w:color w:val="000000"/>
          <w:szCs w:val="24"/>
          <w:lang w:val="en-AU" w:eastAsia="ja-JP"/>
        </w:rPr>
        <w:t xml:space="preserve">research </w:t>
      </w:r>
      <w:r w:rsidR="00D21C87">
        <w:rPr>
          <w:rFonts w:cstheme="minorHAnsi"/>
          <w:color w:val="000000"/>
          <w:szCs w:val="24"/>
          <w:lang w:val="en-AU" w:eastAsia="ja-JP"/>
        </w:rPr>
        <w:t xml:space="preserve">projects </w:t>
      </w:r>
      <w:r w:rsidR="00CF64DB">
        <w:rPr>
          <w:rFonts w:cstheme="minorHAnsi"/>
          <w:color w:val="000000"/>
          <w:szCs w:val="24"/>
          <w:lang w:val="en-AU" w:eastAsia="ja-JP"/>
        </w:rPr>
        <w:t xml:space="preserve">(see </w:t>
      </w:r>
      <w:r w:rsidR="005C283B">
        <w:rPr>
          <w:rFonts w:cstheme="minorHAnsi"/>
          <w:color w:val="000000"/>
          <w:szCs w:val="24"/>
          <w:lang w:val="en-AU" w:eastAsia="ja-JP"/>
        </w:rPr>
        <w:t xml:space="preserve">“Key Swedwatch References” at the end of this document) </w:t>
      </w:r>
      <w:r w:rsidR="00464B57">
        <w:rPr>
          <w:rFonts w:cstheme="minorHAnsi"/>
          <w:color w:val="000000"/>
          <w:szCs w:val="24"/>
          <w:lang w:val="en-AU" w:eastAsia="ja-JP"/>
        </w:rPr>
        <w:t>and years of dialogue with investors</w:t>
      </w:r>
      <w:r>
        <w:rPr>
          <w:rFonts w:cstheme="minorHAnsi"/>
          <w:color w:val="000000"/>
          <w:szCs w:val="24"/>
          <w:lang w:val="en-AU" w:eastAsia="ja-JP"/>
        </w:rPr>
        <w:t xml:space="preserve"> inform Swedwatch</w:t>
      </w:r>
      <w:r w:rsidR="007B16B8">
        <w:rPr>
          <w:rFonts w:cstheme="minorHAnsi"/>
          <w:color w:val="000000"/>
          <w:szCs w:val="24"/>
          <w:lang w:val="en-AU" w:eastAsia="ja-JP"/>
        </w:rPr>
        <w:t xml:space="preserve"> perspective on</w:t>
      </w:r>
      <w:r>
        <w:rPr>
          <w:rFonts w:cstheme="minorHAnsi"/>
          <w:color w:val="000000"/>
          <w:szCs w:val="24"/>
          <w:lang w:val="en-AU" w:eastAsia="ja-JP"/>
        </w:rPr>
        <w:t xml:space="preserve"> ESG service providers</w:t>
      </w:r>
      <w:r w:rsidR="00267D53">
        <w:rPr>
          <w:rFonts w:cstheme="minorHAnsi"/>
          <w:color w:val="000000"/>
          <w:szCs w:val="24"/>
          <w:lang w:val="en-AU" w:eastAsia="ja-JP"/>
        </w:rPr>
        <w:t xml:space="preserve">’ capacity to </w:t>
      </w:r>
      <w:r w:rsidR="00D064D6">
        <w:rPr>
          <w:rFonts w:cstheme="minorHAnsi"/>
          <w:color w:val="000000"/>
          <w:szCs w:val="24"/>
          <w:lang w:val="en-AU" w:eastAsia="ja-JP"/>
        </w:rPr>
        <w:t xml:space="preserve">adequality </w:t>
      </w:r>
      <w:r w:rsidR="00505E29">
        <w:rPr>
          <w:rFonts w:cstheme="minorHAnsi"/>
          <w:color w:val="000000"/>
          <w:szCs w:val="24"/>
          <w:lang w:val="en-AU" w:eastAsia="ja-JP"/>
        </w:rPr>
        <w:t>assess</w:t>
      </w:r>
      <w:r w:rsidR="00267D53">
        <w:rPr>
          <w:rFonts w:cstheme="minorHAnsi"/>
          <w:color w:val="000000"/>
          <w:szCs w:val="24"/>
          <w:lang w:val="en-AU" w:eastAsia="ja-JP"/>
        </w:rPr>
        <w:t xml:space="preserve"> </w:t>
      </w:r>
      <w:r w:rsidR="00B51C22" w:rsidRPr="00B51C22">
        <w:rPr>
          <w:rFonts w:cstheme="minorHAnsi"/>
          <w:color w:val="000000"/>
          <w:szCs w:val="24"/>
          <w:lang w:val="en-AU" w:eastAsia="ja-JP"/>
        </w:rPr>
        <w:t xml:space="preserve">adverse human rights and environmental </w:t>
      </w:r>
      <w:r w:rsidR="00182BF4">
        <w:rPr>
          <w:rFonts w:cstheme="minorHAnsi"/>
          <w:color w:val="000000"/>
          <w:szCs w:val="24"/>
          <w:lang w:val="en-AU" w:eastAsia="ja-JP"/>
        </w:rPr>
        <w:t xml:space="preserve">risks and </w:t>
      </w:r>
      <w:r w:rsidR="00B51C22" w:rsidRPr="00B51C22">
        <w:rPr>
          <w:rFonts w:cstheme="minorHAnsi"/>
          <w:color w:val="000000"/>
          <w:szCs w:val="24"/>
          <w:lang w:val="en-AU" w:eastAsia="ja-JP"/>
        </w:rPr>
        <w:t>impacts</w:t>
      </w:r>
      <w:r w:rsidR="00ED6E33">
        <w:rPr>
          <w:rFonts w:cstheme="minorHAnsi"/>
          <w:color w:val="000000"/>
          <w:szCs w:val="24"/>
          <w:lang w:val="en-AU" w:eastAsia="ja-JP"/>
        </w:rPr>
        <w:t>.</w:t>
      </w:r>
      <w:r w:rsidR="00E91080">
        <w:rPr>
          <w:rFonts w:cstheme="minorHAnsi"/>
          <w:color w:val="000000"/>
          <w:szCs w:val="24"/>
          <w:lang w:val="en-AU" w:eastAsia="ja-JP"/>
        </w:rPr>
        <w:t xml:space="preserve"> </w:t>
      </w:r>
    </w:p>
    <w:p w14:paraId="6C024C58" w14:textId="08F7977B" w:rsidR="00464B57" w:rsidRDefault="00ED6E33" w:rsidP="009910FF">
      <w:pPr>
        <w:shd w:val="clear" w:color="auto" w:fill="FFFFFF"/>
        <w:spacing w:before="120" w:after="120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 xml:space="preserve">Key </w:t>
      </w:r>
      <w:r w:rsidR="007013C7">
        <w:rPr>
          <w:rFonts w:cstheme="minorHAnsi"/>
          <w:color w:val="000000"/>
          <w:szCs w:val="24"/>
          <w:lang w:val="en-AU" w:eastAsia="ja-JP"/>
        </w:rPr>
        <w:t xml:space="preserve">concerns </w:t>
      </w:r>
      <w:r w:rsidR="00826D28">
        <w:rPr>
          <w:rFonts w:cstheme="minorHAnsi"/>
          <w:color w:val="000000"/>
          <w:szCs w:val="24"/>
          <w:lang w:val="en-AU" w:eastAsia="ja-JP"/>
        </w:rPr>
        <w:t xml:space="preserve">regarding </w:t>
      </w:r>
      <w:r w:rsidR="00414A9B">
        <w:rPr>
          <w:rFonts w:cstheme="minorHAnsi"/>
          <w:color w:val="000000"/>
          <w:szCs w:val="24"/>
          <w:lang w:val="en-AU" w:eastAsia="ja-JP"/>
        </w:rPr>
        <w:t xml:space="preserve">shortcomings </w:t>
      </w:r>
      <w:r w:rsidR="009853DD">
        <w:rPr>
          <w:rFonts w:cstheme="minorHAnsi"/>
          <w:color w:val="000000"/>
          <w:szCs w:val="24"/>
          <w:lang w:val="en-AU" w:eastAsia="ja-JP"/>
        </w:rPr>
        <w:t xml:space="preserve">of </w:t>
      </w:r>
      <w:r w:rsidR="00414A9B">
        <w:rPr>
          <w:rFonts w:cstheme="minorHAnsi"/>
          <w:color w:val="000000"/>
          <w:szCs w:val="24"/>
          <w:lang w:val="en-AU" w:eastAsia="ja-JP"/>
        </w:rPr>
        <w:t>ESG service providers</w:t>
      </w:r>
      <w:r w:rsidR="009853DD">
        <w:rPr>
          <w:rFonts w:cstheme="minorHAnsi"/>
          <w:color w:val="000000"/>
          <w:szCs w:val="24"/>
          <w:lang w:val="en-AU" w:eastAsia="ja-JP"/>
        </w:rPr>
        <w:t>, in their practices, products and advisory</w:t>
      </w:r>
      <w:r w:rsidR="0033144E">
        <w:rPr>
          <w:rFonts w:cstheme="minorHAnsi"/>
          <w:color w:val="000000"/>
          <w:szCs w:val="24"/>
          <w:lang w:val="en-AU" w:eastAsia="ja-JP"/>
        </w:rPr>
        <w:t xml:space="preserve"> services</w:t>
      </w:r>
      <w:r w:rsidR="009853DD">
        <w:rPr>
          <w:rFonts w:cstheme="minorHAnsi"/>
          <w:color w:val="000000"/>
          <w:szCs w:val="24"/>
          <w:lang w:val="en-AU" w:eastAsia="ja-JP"/>
        </w:rPr>
        <w:t xml:space="preserve"> </w:t>
      </w:r>
      <w:r w:rsidR="00414A9B">
        <w:rPr>
          <w:rFonts w:cstheme="minorHAnsi"/>
          <w:color w:val="000000"/>
          <w:szCs w:val="24"/>
          <w:lang w:val="en-AU" w:eastAsia="ja-JP"/>
        </w:rPr>
        <w:t>include:</w:t>
      </w:r>
    </w:p>
    <w:p w14:paraId="5913AB64" w14:textId="2F6B7584" w:rsidR="00AC543E" w:rsidRDefault="00B51C22" w:rsidP="00FB7604">
      <w:pPr>
        <w:pStyle w:val="ListParagraph"/>
        <w:numPr>
          <w:ilvl w:val="0"/>
          <w:numId w:val="17"/>
        </w:numPr>
        <w:shd w:val="clear" w:color="auto" w:fill="FFFFFF"/>
        <w:spacing w:before="120" w:after="120"/>
        <w:ind w:left="709" w:hanging="567"/>
        <w:rPr>
          <w:rFonts w:cstheme="minorHAnsi"/>
          <w:color w:val="000000"/>
          <w:szCs w:val="24"/>
          <w:lang w:val="en-AU" w:eastAsia="ja-JP"/>
        </w:rPr>
      </w:pPr>
      <w:r w:rsidRPr="00AC543E">
        <w:rPr>
          <w:rFonts w:cstheme="minorHAnsi"/>
          <w:color w:val="000000"/>
          <w:szCs w:val="24"/>
          <w:lang w:val="en-AU" w:eastAsia="ja-JP"/>
        </w:rPr>
        <w:t>Excessive reliance</w:t>
      </w:r>
      <w:r w:rsidR="00414A9B" w:rsidRPr="00AC543E">
        <w:rPr>
          <w:rFonts w:cstheme="minorHAnsi"/>
          <w:color w:val="000000"/>
          <w:szCs w:val="24"/>
          <w:lang w:val="en-AU" w:eastAsia="ja-JP"/>
        </w:rPr>
        <w:t xml:space="preserve"> </w:t>
      </w:r>
      <w:r w:rsidRPr="00AC543E">
        <w:rPr>
          <w:rFonts w:cstheme="minorHAnsi"/>
          <w:color w:val="000000"/>
          <w:szCs w:val="24"/>
          <w:lang w:val="en-AU" w:eastAsia="ja-JP"/>
        </w:rPr>
        <w:t>on corporate disclosure</w:t>
      </w:r>
      <w:r w:rsidR="00493ED9">
        <w:rPr>
          <w:rFonts w:cstheme="minorHAnsi"/>
          <w:color w:val="000000"/>
          <w:szCs w:val="24"/>
          <w:lang w:val="en-AU" w:eastAsia="ja-JP"/>
        </w:rPr>
        <w:t xml:space="preserve"> to</w:t>
      </w:r>
      <w:r w:rsidR="00004F81" w:rsidRPr="00AC543E">
        <w:rPr>
          <w:rFonts w:cstheme="minorHAnsi"/>
          <w:color w:val="000000"/>
          <w:szCs w:val="24"/>
          <w:lang w:val="en-AU" w:eastAsia="ja-JP"/>
        </w:rPr>
        <w:t xml:space="preserve"> assess companies’</w:t>
      </w:r>
      <w:r w:rsidR="00943C83" w:rsidRPr="00AC543E">
        <w:rPr>
          <w:rFonts w:cstheme="minorHAnsi"/>
          <w:color w:val="000000"/>
          <w:szCs w:val="24"/>
          <w:lang w:val="en-AU" w:eastAsia="ja-JP"/>
        </w:rPr>
        <w:t xml:space="preserve"> </w:t>
      </w:r>
      <w:r w:rsidR="00323D61">
        <w:rPr>
          <w:rFonts w:cstheme="minorHAnsi"/>
          <w:color w:val="000000"/>
          <w:szCs w:val="24"/>
          <w:lang w:val="en-AU" w:eastAsia="ja-JP"/>
        </w:rPr>
        <w:t xml:space="preserve">due diligence </w:t>
      </w:r>
      <w:r w:rsidR="00AA0C32">
        <w:rPr>
          <w:rFonts w:cstheme="minorHAnsi"/>
          <w:color w:val="000000"/>
          <w:szCs w:val="24"/>
          <w:lang w:val="en-AU" w:eastAsia="ja-JP"/>
        </w:rPr>
        <w:t>practices</w:t>
      </w:r>
      <w:r w:rsidR="00AA0C32" w:rsidRPr="00AC543E">
        <w:rPr>
          <w:rFonts w:cstheme="minorHAnsi"/>
          <w:color w:val="000000"/>
          <w:szCs w:val="24"/>
          <w:lang w:val="en-AU" w:eastAsia="ja-JP"/>
        </w:rPr>
        <w:t xml:space="preserve"> </w:t>
      </w:r>
      <w:r w:rsidR="00323D61">
        <w:rPr>
          <w:rFonts w:cstheme="minorHAnsi"/>
          <w:color w:val="000000"/>
          <w:szCs w:val="24"/>
          <w:lang w:val="en-AU" w:eastAsia="ja-JP"/>
        </w:rPr>
        <w:t>as well as on</w:t>
      </w:r>
      <w:r w:rsidR="00943C83" w:rsidRPr="00AC543E">
        <w:rPr>
          <w:rFonts w:cstheme="minorHAnsi"/>
          <w:color w:val="000000"/>
          <w:szCs w:val="24"/>
          <w:lang w:val="en-AU" w:eastAsia="ja-JP"/>
        </w:rPr>
        <w:t xml:space="preserve"> specific allegations </w:t>
      </w:r>
      <w:r w:rsidR="00323D61">
        <w:rPr>
          <w:rFonts w:cstheme="minorHAnsi"/>
          <w:color w:val="000000"/>
          <w:szCs w:val="24"/>
          <w:lang w:val="en-AU" w:eastAsia="ja-JP"/>
        </w:rPr>
        <w:t>of</w:t>
      </w:r>
      <w:r w:rsidR="00323D61" w:rsidRPr="00AC543E">
        <w:rPr>
          <w:rFonts w:cstheme="minorHAnsi"/>
          <w:color w:val="000000"/>
          <w:szCs w:val="24"/>
          <w:lang w:val="en-AU" w:eastAsia="ja-JP"/>
        </w:rPr>
        <w:t xml:space="preserve"> </w:t>
      </w:r>
      <w:r w:rsidR="00943C83" w:rsidRPr="00AC543E">
        <w:rPr>
          <w:rFonts w:cstheme="minorHAnsi"/>
          <w:color w:val="000000"/>
          <w:szCs w:val="24"/>
          <w:lang w:val="en-AU" w:eastAsia="ja-JP"/>
        </w:rPr>
        <w:t>adverse impacts</w:t>
      </w:r>
      <w:r w:rsidR="00E2251A" w:rsidRPr="00AC543E">
        <w:rPr>
          <w:rFonts w:cstheme="minorHAnsi"/>
          <w:color w:val="000000"/>
          <w:szCs w:val="24"/>
          <w:lang w:val="en-AU" w:eastAsia="ja-JP"/>
        </w:rPr>
        <w:t xml:space="preserve">. </w:t>
      </w:r>
      <w:r w:rsidR="00E76963">
        <w:rPr>
          <w:rFonts w:cstheme="minorHAnsi"/>
          <w:color w:val="000000"/>
          <w:szCs w:val="24"/>
          <w:lang w:val="en-AU" w:eastAsia="ja-JP"/>
        </w:rPr>
        <w:t>C</w:t>
      </w:r>
      <w:r w:rsidR="006D586D" w:rsidRPr="00AC543E">
        <w:rPr>
          <w:rFonts w:cstheme="minorHAnsi"/>
          <w:color w:val="000000"/>
          <w:szCs w:val="24"/>
          <w:lang w:val="en-AU" w:eastAsia="ja-JP"/>
        </w:rPr>
        <w:t xml:space="preserve">orporate disclosures </w:t>
      </w:r>
      <w:r w:rsidR="00750066">
        <w:rPr>
          <w:rFonts w:cstheme="minorHAnsi"/>
          <w:color w:val="000000"/>
          <w:szCs w:val="24"/>
          <w:lang w:val="en-AU" w:eastAsia="ja-JP"/>
        </w:rPr>
        <w:t xml:space="preserve">often </w:t>
      </w:r>
      <w:r w:rsidR="00AC543E" w:rsidRPr="00AC543E">
        <w:rPr>
          <w:rFonts w:cstheme="minorHAnsi"/>
          <w:color w:val="000000"/>
          <w:szCs w:val="24"/>
          <w:lang w:val="en-AU" w:eastAsia="ja-JP"/>
        </w:rPr>
        <w:t>tend to be</w:t>
      </w:r>
      <w:r w:rsidR="006D586D" w:rsidRPr="00AC543E">
        <w:rPr>
          <w:rFonts w:cstheme="minorHAnsi"/>
          <w:color w:val="000000"/>
          <w:szCs w:val="24"/>
          <w:lang w:val="en-AU" w:eastAsia="ja-JP"/>
        </w:rPr>
        <w:t xml:space="preserve"> biased towards environment</w:t>
      </w:r>
      <w:r w:rsidR="0071340E">
        <w:rPr>
          <w:rFonts w:cstheme="minorHAnsi"/>
          <w:color w:val="000000"/>
          <w:szCs w:val="24"/>
          <w:lang w:val="en-AU" w:eastAsia="ja-JP"/>
        </w:rPr>
        <w:t>al</w:t>
      </w:r>
      <w:r w:rsidR="006D586D" w:rsidRPr="00AC543E">
        <w:rPr>
          <w:rFonts w:cstheme="minorHAnsi"/>
          <w:color w:val="000000"/>
          <w:szCs w:val="24"/>
          <w:lang w:val="en-AU" w:eastAsia="ja-JP"/>
        </w:rPr>
        <w:t xml:space="preserve"> and climate risks</w:t>
      </w:r>
      <w:r w:rsidR="00AC543E" w:rsidRPr="00AC543E">
        <w:rPr>
          <w:rFonts w:cstheme="minorHAnsi"/>
          <w:color w:val="000000"/>
          <w:szCs w:val="24"/>
          <w:lang w:val="en-AU" w:eastAsia="ja-JP"/>
        </w:rPr>
        <w:t xml:space="preserve">, at the expense of </w:t>
      </w:r>
      <w:r w:rsidR="006D586D" w:rsidRPr="00AC543E">
        <w:rPr>
          <w:rFonts w:cstheme="minorHAnsi"/>
          <w:color w:val="000000"/>
          <w:szCs w:val="24"/>
          <w:lang w:val="en-AU" w:eastAsia="ja-JP"/>
        </w:rPr>
        <w:t>meaningful analysis of known and salient human rights risks in business operations</w:t>
      </w:r>
      <w:r w:rsidR="00AC543E" w:rsidRPr="00AC543E">
        <w:rPr>
          <w:rFonts w:cstheme="minorHAnsi"/>
          <w:color w:val="000000"/>
          <w:szCs w:val="24"/>
          <w:lang w:val="en-AU" w:eastAsia="ja-JP"/>
        </w:rPr>
        <w:t>.</w:t>
      </w:r>
      <w:r w:rsidR="00AC543E">
        <w:rPr>
          <w:rFonts w:cstheme="minorHAnsi"/>
          <w:color w:val="000000"/>
          <w:szCs w:val="24"/>
          <w:lang w:val="en-AU" w:eastAsia="ja-JP"/>
        </w:rPr>
        <w:t xml:space="preserve"> </w:t>
      </w:r>
    </w:p>
    <w:p w14:paraId="7733757E" w14:textId="611F5503" w:rsidR="00B51C22" w:rsidRPr="004B429F" w:rsidRDefault="00AC543E" w:rsidP="00FB7604">
      <w:pPr>
        <w:pStyle w:val="ListParagraph"/>
        <w:numPr>
          <w:ilvl w:val="0"/>
          <w:numId w:val="17"/>
        </w:numPr>
        <w:shd w:val="clear" w:color="auto" w:fill="FFFFFF"/>
        <w:spacing w:before="120" w:after="120"/>
        <w:ind w:left="709" w:hanging="567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>E</w:t>
      </w:r>
      <w:r w:rsidR="009B10CA" w:rsidRPr="004B429F">
        <w:rPr>
          <w:rFonts w:cstheme="minorHAnsi"/>
          <w:color w:val="000000"/>
          <w:szCs w:val="24"/>
          <w:lang w:val="en-AU" w:eastAsia="ja-JP"/>
        </w:rPr>
        <w:t xml:space="preserve">xcessive reliance on </w:t>
      </w:r>
      <w:r w:rsidR="00B51C22" w:rsidRPr="004B429F">
        <w:rPr>
          <w:rFonts w:cstheme="minorHAnsi"/>
          <w:color w:val="000000"/>
          <w:szCs w:val="24"/>
          <w:lang w:val="en-AU" w:eastAsia="ja-JP"/>
        </w:rPr>
        <w:t>dialogue with companies when assessing controversies and impacts</w:t>
      </w:r>
      <w:r w:rsidR="00420BC9" w:rsidRPr="004B429F">
        <w:rPr>
          <w:rFonts w:cstheme="minorHAnsi"/>
          <w:color w:val="000000"/>
          <w:szCs w:val="24"/>
          <w:lang w:val="en-AU" w:eastAsia="ja-JP"/>
        </w:rPr>
        <w:t xml:space="preserve">, </w:t>
      </w:r>
      <w:r w:rsidR="00671FFF">
        <w:rPr>
          <w:rFonts w:cstheme="minorHAnsi"/>
          <w:color w:val="000000"/>
          <w:szCs w:val="24"/>
          <w:lang w:val="en-AU" w:eastAsia="ja-JP"/>
        </w:rPr>
        <w:t>especially</w:t>
      </w:r>
      <w:r w:rsidR="00420BC9" w:rsidRPr="004B429F">
        <w:rPr>
          <w:rFonts w:cstheme="minorHAnsi"/>
          <w:color w:val="000000"/>
          <w:szCs w:val="24"/>
          <w:lang w:val="en-AU" w:eastAsia="ja-JP"/>
        </w:rPr>
        <w:t xml:space="preserve"> </w:t>
      </w:r>
      <w:r w:rsidR="00814C7E" w:rsidRPr="004B429F">
        <w:rPr>
          <w:rFonts w:cstheme="minorHAnsi"/>
          <w:color w:val="000000"/>
          <w:szCs w:val="24"/>
          <w:lang w:val="en-AU" w:eastAsia="ja-JP"/>
        </w:rPr>
        <w:t>in relation to mitigation and remediation of adverse impacts</w:t>
      </w:r>
      <w:r w:rsidR="00D003E6">
        <w:rPr>
          <w:rFonts w:cstheme="minorHAnsi"/>
          <w:color w:val="000000"/>
          <w:szCs w:val="24"/>
          <w:lang w:val="en-AU" w:eastAsia="ja-JP"/>
        </w:rPr>
        <w:t xml:space="preserve"> w</w:t>
      </w:r>
      <w:r w:rsidR="00A2110F">
        <w:rPr>
          <w:rFonts w:cstheme="minorHAnsi"/>
          <w:color w:val="000000"/>
          <w:szCs w:val="24"/>
          <w:lang w:val="en-AU" w:eastAsia="ja-JP"/>
        </w:rPr>
        <w:t>ithout meaningful</w:t>
      </w:r>
      <w:r w:rsidR="00E2251A" w:rsidRPr="004B429F">
        <w:rPr>
          <w:rFonts w:cstheme="minorHAnsi"/>
          <w:color w:val="000000"/>
          <w:szCs w:val="24"/>
          <w:lang w:val="en-AU" w:eastAsia="ja-JP"/>
        </w:rPr>
        <w:t xml:space="preserve"> engagement with affected </w:t>
      </w:r>
      <w:r w:rsidR="00A2110F" w:rsidRPr="004B429F">
        <w:rPr>
          <w:rFonts w:cstheme="minorHAnsi"/>
          <w:color w:val="000000"/>
          <w:szCs w:val="24"/>
          <w:lang w:val="en-AU" w:eastAsia="ja-JP"/>
        </w:rPr>
        <w:t>right</w:t>
      </w:r>
      <w:r w:rsidR="003E5506">
        <w:rPr>
          <w:rFonts w:cstheme="minorHAnsi"/>
          <w:color w:val="000000"/>
          <w:szCs w:val="24"/>
          <w:lang w:val="en-AU" w:eastAsia="ja-JP"/>
        </w:rPr>
        <w:t>-</w:t>
      </w:r>
      <w:r w:rsidR="00A2110F" w:rsidRPr="004B429F">
        <w:rPr>
          <w:rFonts w:cstheme="minorHAnsi"/>
          <w:color w:val="000000"/>
          <w:szCs w:val="24"/>
          <w:lang w:val="en-AU" w:eastAsia="ja-JP"/>
        </w:rPr>
        <w:t>holders.</w:t>
      </w:r>
    </w:p>
    <w:p w14:paraId="70829089" w14:textId="09311D7D" w:rsidR="00C20282" w:rsidRDefault="00C20282" w:rsidP="00FB7604">
      <w:pPr>
        <w:pStyle w:val="ListParagraph"/>
        <w:numPr>
          <w:ilvl w:val="0"/>
          <w:numId w:val="17"/>
        </w:numPr>
        <w:shd w:val="clear" w:color="auto" w:fill="FFFFFF"/>
        <w:spacing w:before="120" w:after="120"/>
        <w:ind w:left="709" w:hanging="567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>Excessive reliance on secondary</w:t>
      </w:r>
      <w:r w:rsidR="007E23E1">
        <w:rPr>
          <w:rFonts w:cstheme="minorHAnsi"/>
          <w:color w:val="000000"/>
          <w:szCs w:val="24"/>
          <w:lang w:val="en-AU" w:eastAsia="ja-JP"/>
        </w:rPr>
        <w:t xml:space="preserve"> </w:t>
      </w:r>
      <w:r>
        <w:rPr>
          <w:rFonts w:cstheme="minorHAnsi"/>
          <w:color w:val="000000"/>
          <w:szCs w:val="24"/>
          <w:lang w:val="en-AU" w:eastAsia="ja-JP"/>
        </w:rPr>
        <w:t>information</w:t>
      </w:r>
      <w:r w:rsidR="00474B3D">
        <w:rPr>
          <w:rFonts w:cstheme="minorHAnsi"/>
          <w:color w:val="000000"/>
          <w:szCs w:val="24"/>
          <w:lang w:val="en-AU" w:eastAsia="ja-JP"/>
        </w:rPr>
        <w:t xml:space="preserve"> (</w:t>
      </w:r>
      <w:r w:rsidR="00AB4736">
        <w:rPr>
          <w:rFonts w:cstheme="minorHAnsi"/>
          <w:color w:val="000000"/>
          <w:szCs w:val="24"/>
          <w:lang w:val="en-AU" w:eastAsia="ja-JP"/>
        </w:rPr>
        <w:t>e.g.,</w:t>
      </w:r>
      <w:r w:rsidR="00474B3D">
        <w:rPr>
          <w:rFonts w:cstheme="minorHAnsi"/>
          <w:color w:val="000000"/>
          <w:szCs w:val="24"/>
          <w:lang w:val="en-AU" w:eastAsia="ja-JP"/>
        </w:rPr>
        <w:t xml:space="preserve"> </w:t>
      </w:r>
      <w:r w:rsidR="009C6237">
        <w:rPr>
          <w:rFonts w:cstheme="minorHAnsi"/>
          <w:color w:val="000000"/>
          <w:szCs w:val="24"/>
          <w:lang w:val="en-AU" w:eastAsia="ja-JP"/>
        </w:rPr>
        <w:t>mainstream media articles</w:t>
      </w:r>
      <w:r w:rsidR="000F5551">
        <w:rPr>
          <w:rFonts w:cstheme="minorHAnsi"/>
          <w:color w:val="000000"/>
          <w:szCs w:val="24"/>
          <w:lang w:val="en-AU" w:eastAsia="ja-JP"/>
        </w:rPr>
        <w:t xml:space="preserve">, third-party </w:t>
      </w:r>
      <w:r w:rsidR="000F5551" w:rsidDel="001D4D33">
        <w:rPr>
          <w:rFonts w:cstheme="minorHAnsi"/>
          <w:color w:val="000000"/>
          <w:szCs w:val="24"/>
          <w:lang w:val="en-AU" w:eastAsia="ja-JP"/>
        </w:rPr>
        <w:t>reports</w:t>
      </w:r>
      <w:r w:rsidR="000F5551">
        <w:rPr>
          <w:rFonts w:cstheme="minorHAnsi"/>
          <w:color w:val="000000"/>
          <w:szCs w:val="24"/>
          <w:lang w:val="en-AU" w:eastAsia="ja-JP"/>
        </w:rPr>
        <w:t>, and other published materials</w:t>
      </w:r>
      <w:r w:rsidR="009C6237">
        <w:rPr>
          <w:rFonts w:cstheme="minorHAnsi"/>
          <w:color w:val="000000"/>
          <w:szCs w:val="24"/>
          <w:lang w:val="en-AU" w:eastAsia="ja-JP"/>
        </w:rPr>
        <w:t>)</w:t>
      </w:r>
      <w:r w:rsidR="00A50F87">
        <w:rPr>
          <w:rFonts w:cstheme="minorHAnsi"/>
          <w:color w:val="000000"/>
          <w:szCs w:val="24"/>
          <w:lang w:val="en-AU" w:eastAsia="ja-JP"/>
        </w:rPr>
        <w:t xml:space="preserve"> that </w:t>
      </w:r>
      <w:r w:rsidR="00E05EBD">
        <w:rPr>
          <w:rFonts w:cstheme="minorHAnsi"/>
          <w:color w:val="000000"/>
          <w:szCs w:val="24"/>
          <w:lang w:val="en-AU" w:eastAsia="ja-JP"/>
        </w:rPr>
        <w:t xml:space="preserve">is </w:t>
      </w:r>
      <w:r w:rsidR="0095464B">
        <w:rPr>
          <w:rFonts w:cstheme="minorHAnsi"/>
          <w:color w:val="000000"/>
          <w:szCs w:val="24"/>
          <w:lang w:val="en-AU" w:eastAsia="ja-JP"/>
        </w:rPr>
        <w:t>bias</w:t>
      </w:r>
      <w:r w:rsidR="00A50F87">
        <w:rPr>
          <w:rFonts w:cstheme="minorHAnsi"/>
          <w:color w:val="000000"/>
          <w:szCs w:val="24"/>
          <w:lang w:val="en-AU" w:eastAsia="ja-JP"/>
        </w:rPr>
        <w:t>ed</w:t>
      </w:r>
      <w:r w:rsidR="0095464B">
        <w:rPr>
          <w:rFonts w:cstheme="minorHAnsi"/>
          <w:color w:val="000000"/>
          <w:szCs w:val="24"/>
          <w:lang w:val="en-AU" w:eastAsia="ja-JP"/>
        </w:rPr>
        <w:t xml:space="preserve"> towards English language sources</w:t>
      </w:r>
      <w:r w:rsidR="003E43E4">
        <w:rPr>
          <w:rFonts w:cstheme="minorHAnsi"/>
          <w:color w:val="000000"/>
          <w:szCs w:val="24"/>
          <w:lang w:val="en-AU" w:eastAsia="ja-JP"/>
        </w:rPr>
        <w:t>. There is</w:t>
      </w:r>
      <w:r w:rsidR="003B37D7">
        <w:rPr>
          <w:rFonts w:cstheme="minorHAnsi"/>
          <w:color w:val="000000"/>
          <w:szCs w:val="24"/>
          <w:lang w:val="en-AU" w:eastAsia="ja-JP"/>
        </w:rPr>
        <w:t xml:space="preserve"> also</w:t>
      </w:r>
      <w:r w:rsidR="00FB1358">
        <w:rPr>
          <w:rFonts w:cstheme="minorHAnsi"/>
          <w:color w:val="000000"/>
          <w:szCs w:val="24"/>
          <w:lang w:val="en-AU" w:eastAsia="ja-JP"/>
        </w:rPr>
        <w:t xml:space="preserve"> </w:t>
      </w:r>
      <w:r w:rsidR="004A3228">
        <w:rPr>
          <w:rFonts w:cstheme="minorHAnsi"/>
          <w:color w:val="000000"/>
          <w:szCs w:val="24"/>
          <w:lang w:val="en-AU" w:eastAsia="ja-JP"/>
        </w:rPr>
        <w:t>a</w:t>
      </w:r>
      <w:r w:rsidR="007E23E1">
        <w:rPr>
          <w:rFonts w:cstheme="minorHAnsi"/>
          <w:color w:val="000000"/>
          <w:szCs w:val="24"/>
          <w:lang w:val="en-AU" w:eastAsia="ja-JP"/>
        </w:rPr>
        <w:t xml:space="preserve"> disproportionate focus on processing high volumes of </w:t>
      </w:r>
      <w:r w:rsidR="003E5774">
        <w:rPr>
          <w:rFonts w:cstheme="minorHAnsi"/>
          <w:color w:val="000000"/>
          <w:szCs w:val="24"/>
          <w:lang w:val="en-AU" w:eastAsia="ja-JP"/>
        </w:rPr>
        <w:t xml:space="preserve">secondary </w:t>
      </w:r>
      <w:r w:rsidR="004A3228">
        <w:rPr>
          <w:rFonts w:cstheme="minorHAnsi"/>
          <w:color w:val="000000"/>
          <w:szCs w:val="24"/>
          <w:lang w:val="en-AU" w:eastAsia="ja-JP"/>
        </w:rPr>
        <w:t>information</w:t>
      </w:r>
      <w:r w:rsidR="003A5A72">
        <w:rPr>
          <w:rFonts w:cstheme="minorHAnsi"/>
          <w:color w:val="000000"/>
          <w:szCs w:val="24"/>
          <w:lang w:val="en-AU" w:eastAsia="ja-JP"/>
        </w:rPr>
        <w:t xml:space="preserve"> at the expense of </w:t>
      </w:r>
      <w:r w:rsidR="001553BA">
        <w:rPr>
          <w:rFonts w:cstheme="minorHAnsi"/>
          <w:color w:val="000000"/>
          <w:szCs w:val="24"/>
          <w:lang w:val="en-AU" w:eastAsia="ja-JP"/>
        </w:rPr>
        <w:t xml:space="preserve">collecting and assessing </w:t>
      </w:r>
      <w:r w:rsidR="003E5774">
        <w:rPr>
          <w:rFonts w:cstheme="minorHAnsi"/>
          <w:color w:val="000000"/>
          <w:szCs w:val="24"/>
          <w:lang w:val="en-AU" w:eastAsia="ja-JP"/>
        </w:rPr>
        <w:t xml:space="preserve">primary </w:t>
      </w:r>
      <w:r w:rsidR="00FB16A6">
        <w:rPr>
          <w:rFonts w:cstheme="minorHAnsi"/>
          <w:color w:val="000000"/>
          <w:szCs w:val="24"/>
          <w:lang w:val="en-AU" w:eastAsia="ja-JP"/>
        </w:rPr>
        <w:t xml:space="preserve">information </w:t>
      </w:r>
      <w:r w:rsidR="003E5774">
        <w:rPr>
          <w:rFonts w:cstheme="minorHAnsi"/>
          <w:color w:val="000000"/>
          <w:szCs w:val="24"/>
          <w:lang w:val="en-AU" w:eastAsia="ja-JP"/>
        </w:rPr>
        <w:t xml:space="preserve">through </w:t>
      </w:r>
      <w:r w:rsidR="008D065A">
        <w:rPr>
          <w:rFonts w:cstheme="minorHAnsi"/>
          <w:color w:val="000000"/>
          <w:szCs w:val="24"/>
          <w:lang w:val="en-AU" w:eastAsia="ja-JP"/>
        </w:rPr>
        <w:t xml:space="preserve">engagement with </w:t>
      </w:r>
      <w:r w:rsidR="00F4191E">
        <w:rPr>
          <w:rFonts w:cstheme="minorHAnsi"/>
          <w:color w:val="000000"/>
          <w:szCs w:val="24"/>
          <w:lang w:val="en-AU" w:eastAsia="ja-JP"/>
        </w:rPr>
        <w:t xml:space="preserve">business affected </w:t>
      </w:r>
      <w:r w:rsidR="00FB16A6">
        <w:rPr>
          <w:rFonts w:cstheme="minorHAnsi"/>
          <w:color w:val="000000"/>
          <w:szCs w:val="24"/>
          <w:lang w:val="en-AU" w:eastAsia="ja-JP"/>
        </w:rPr>
        <w:t>right</w:t>
      </w:r>
      <w:r w:rsidR="00F06702">
        <w:rPr>
          <w:rFonts w:cstheme="minorHAnsi"/>
          <w:color w:val="000000"/>
          <w:szCs w:val="24"/>
          <w:lang w:val="en-AU" w:eastAsia="ja-JP"/>
        </w:rPr>
        <w:t>-</w:t>
      </w:r>
      <w:r w:rsidR="00FB16A6">
        <w:rPr>
          <w:rFonts w:cstheme="minorHAnsi"/>
          <w:color w:val="000000"/>
          <w:szCs w:val="24"/>
          <w:lang w:val="en-AU" w:eastAsia="ja-JP"/>
        </w:rPr>
        <w:t>holders</w:t>
      </w:r>
      <w:r w:rsidR="00474B3D">
        <w:rPr>
          <w:rFonts w:cstheme="minorHAnsi"/>
          <w:color w:val="000000"/>
          <w:szCs w:val="24"/>
          <w:lang w:val="en-AU" w:eastAsia="ja-JP"/>
        </w:rPr>
        <w:t xml:space="preserve">, local </w:t>
      </w:r>
      <w:r w:rsidR="003E5774">
        <w:rPr>
          <w:rFonts w:cstheme="minorHAnsi"/>
          <w:color w:val="000000"/>
          <w:szCs w:val="24"/>
          <w:lang w:val="en-AU" w:eastAsia="ja-JP"/>
        </w:rPr>
        <w:t>media,</w:t>
      </w:r>
      <w:r w:rsidR="00FB16A6">
        <w:rPr>
          <w:rFonts w:cstheme="minorHAnsi"/>
          <w:color w:val="000000"/>
          <w:szCs w:val="24"/>
          <w:lang w:val="en-AU" w:eastAsia="ja-JP"/>
        </w:rPr>
        <w:t xml:space="preserve"> </w:t>
      </w:r>
      <w:r w:rsidR="00467DD2">
        <w:rPr>
          <w:rFonts w:cstheme="minorHAnsi"/>
          <w:color w:val="000000"/>
          <w:szCs w:val="24"/>
          <w:lang w:val="en-AU" w:eastAsia="ja-JP"/>
        </w:rPr>
        <w:t>and civil society</w:t>
      </w:r>
      <w:r w:rsidR="003E5774">
        <w:rPr>
          <w:rFonts w:cstheme="minorHAnsi"/>
          <w:color w:val="000000"/>
          <w:szCs w:val="24"/>
          <w:lang w:val="en-AU" w:eastAsia="ja-JP"/>
        </w:rPr>
        <w:t xml:space="preserve"> organisations.</w:t>
      </w:r>
    </w:p>
    <w:p w14:paraId="5CB2A1F7" w14:textId="6EFD0E8F" w:rsidR="00B51C22" w:rsidRDefault="00B51C22" w:rsidP="00FB7604">
      <w:pPr>
        <w:pStyle w:val="ListParagraph"/>
        <w:numPr>
          <w:ilvl w:val="0"/>
          <w:numId w:val="17"/>
        </w:numPr>
        <w:shd w:val="clear" w:color="auto" w:fill="FFFFFF"/>
        <w:spacing w:before="120" w:after="120"/>
        <w:ind w:left="709" w:hanging="567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 xml:space="preserve">Poor understanding of </w:t>
      </w:r>
      <w:r w:rsidR="009C0666">
        <w:rPr>
          <w:rFonts w:cstheme="minorHAnsi"/>
          <w:color w:val="000000"/>
          <w:szCs w:val="24"/>
          <w:lang w:val="en-AU" w:eastAsia="ja-JP"/>
        </w:rPr>
        <w:t>business</w:t>
      </w:r>
      <w:r w:rsidR="00E86CF7">
        <w:rPr>
          <w:rFonts w:cstheme="minorHAnsi"/>
          <w:color w:val="000000"/>
          <w:szCs w:val="24"/>
          <w:lang w:val="en-AU" w:eastAsia="ja-JP"/>
        </w:rPr>
        <w:t xml:space="preserve"> actors’</w:t>
      </w:r>
      <w:r w:rsidR="009C0666">
        <w:rPr>
          <w:rFonts w:cstheme="minorHAnsi"/>
          <w:color w:val="000000"/>
          <w:szCs w:val="24"/>
          <w:lang w:val="en-AU" w:eastAsia="ja-JP"/>
        </w:rPr>
        <w:t xml:space="preserve"> responsibility </w:t>
      </w:r>
      <w:r w:rsidR="002F11D7">
        <w:rPr>
          <w:rFonts w:cstheme="minorHAnsi"/>
          <w:color w:val="000000"/>
          <w:szCs w:val="24"/>
          <w:lang w:val="en-AU" w:eastAsia="ja-JP"/>
        </w:rPr>
        <w:t xml:space="preserve">to respect human rights, especially in relation to the well-established </w:t>
      </w:r>
      <w:r w:rsidR="00847D37">
        <w:rPr>
          <w:rFonts w:cstheme="minorHAnsi"/>
          <w:color w:val="000000"/>
          <w:szCs w:val="24"/>
          <w:lang w:val="en-AU" w:eastAsia="ja-JP"/>
        </w:rPr>
        <w:t>notions of “contributing</w:t>
      </w:r>
      <w:r w:rsidR="007378AB">
        <w:rPr>
          <w:rFonts w:cstheme="minorHAnsi"/>
          <w:color w:val="000000"/>
          <w:szCs w:val="24"/>
          <w:lang w:val="en-AU" w:eastAsia="ja-JP"/>
        </w:rPr>
        <w:t xml:space="preserve"> to</w:t>
      </w:r>
      <w:r w:rsidR="00847D37">
        <w:rPr>
          <w:rFonts w:cstheme="minorHAnsi"/>
          <w:color w:val="000000"/>
          <w:szCs w:val="24"/>
          <w:lang w:val="en-AU" w:eastAsia="ja-JP"/>
        </w:rPr>
        <w:t xml:space="preserve">” and “being linked to” adverse human rights impacts, as </w:t>
      </w:r>
      <w:r w:rsidR="007E4A04">
        <w:rPr>
          <w:rFonts w:cstheme="minorHAnsi"/>
          <w:color w:val="000000"/>
          <w:szCs w:val="24"/>
          <w:lang w:val="en-AU" w:eastAsia="ja-JP"/>
        </w:rPr>
        <w:t>defined in</w:t>
      </w:r>
      <w:r w:rsidR="005B4506">
        <w:rPr>
          <w:rFonts w:cstheme="minorHAnsi"/>
          <w:color w:val="000000"/>
          <w:szCs w:val="24"/>
          <w:lang w:val="en-AU" w:eastAsia="ja-JP"/>
        </w:rPr>
        <w:t xml:space="preserve"> international standards such as the </w:t>
      </w:r>
      <w:r w:rsidR="00DE4DC7">
        <w:rPr>
          <w:rFonts w:cstheme="minorHAnsi"/>
          <w:color w:val="000000"/>
          <w:szCs w:val="24"/>
          <w:lang w:val="en-AU" w:eastAsia="ja-JP"/>
        </w:rPr>
        <w:t>UNGPs</w:t>
      </w:r>
      <w:r w:rsidR="00285601">
        <w:rPr>
          <w:rFonts w:cstheme="minorHAnsi"/>
          <w:color w:val="000000"/>
          <w:szCs w:val="24"/>
          <w:lang w:val="en-AU" w:eastAsia="ja-JP"/>
        </w:rPr>
        <w:t>.</w:t>
      </w:r>
    </w:p>
    <w:p w14:paraId="0977B213" w14:textId="392EFADB" w:rsidR="00426084" w:rsidRDefault="00F0087A" w:rsidP="00FB7604">
      <w:pPr>
        <w:pStyle w:val="ListParagraph"/>
        <w:numPr>
          <w:ilvl w:val="0"/>
          <w:numId w:val="17"/>
        </w:numPr>
        <w:shd w:val="clear" w:color="auto" w:fill="FFFFFF"/>
        <w:spacing w:before="120" w:after="120"/>
        <w:ind w:left="709" w:hanging="567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>N</w:t>
      </w:r>
      <w:r w:rsidR="00A2612A">
        <w:rPr>
          <w:rFonts w:cstheme="minorHAnsi"/>
          <w:color w:val="000000"/>
          <w:szCs w:val="24"/>
          <w:lang w:val="en-AU" w:eastAsia="ja-JP"/>
        </w:rPr>
        <w:t xml:space="preserve">arrow focus on </w:t>
      </w:r>
      <w:r w:rsidR="00A30AF5">
        <w:rPr>
          <w:rFonts w:cstheme="minorHAnsi"/>
          <w:color w:val="000000"/>
          <w:szCs w:val="24"/>
          <w:lang w:val="en-AU" w:eastAsia="ja-JP"/>
        </w:rPr>
        <w:t>companies</w:t>
      </w:r>
      <w:r w:rsidR="008438C3">
        <w:rPr>
          <w:rFonts w:cstheme="minorHAnsi"/>
          <w:color w:val="000000"/>
          <w:szCs w:val="24"/>
          <w:lang w:val="en-AU" w:eastAsia="ja-JP"/>
        </w:rPr>
        <w:t>’</w:t>
      </w:r>
      <w:r w:rsidR="00A30AF5">
        <w:rPr>
          <w:rFonts w:cstheme="minorHAnsi"/>
          <w:color w:val="000000"/>
          <w:szCs w:val="24"/>
          <w:lang w:val="en-AU" w:eastAsia="ja-JP"/>
        </w:rPr>
        <w:t xml:space="preserve"> operations </w:t>
      </w:r>
      <w:r w:rsidR="009D0B26">
        <w:rPr>
          <w:rFonts w:cstheme="minorHAnsi"/>
          <w:color w:val="000000"/>
          <w:szCs w:val="24"/>
          <w:lang w:val="en-AU" w:eastAsia="ja-JP"/>
        </w:rPr>
        <w:t xml:space="preserve">and </w:t>
      </w:r>
      <w:r w:rsidR="001478B2">
        <w:rPr>
          <w:rFonts w:cstheme="minorHAnsi"/>
          <w:color w:val="000000"/>
          <w:szCs w:val="24"/>
          <w:lang w:val="en-AU" w:eastAsia="ja-JP"/>
        </w:rPr>
        <w:t xml:space="preserve">their </w:t>
      </w:r>
      <w:r w:rsidR="009D0B26">
        <w:rPr>
          <w:rFonts w:cstheme="minorHAnsi"/>
          <w:color w:val="000000"/>
          <w:szCs w:val="24"/>
          <w:lang w:val="en-AU" w:eastAsia="ja-JP"/>
        </w:rPr>
        <w:t xml:space="preserve">direct involvement in controversies, </w:t>
      </w:r>
      <w:r w:rsidR="00F21FB2">
        <w:rPr>
          <w:rFonts w:cstheme="minorHAnsi"/>
          <w:color w:val="000000"/>
          <w:szCs w:val="24"/>
          <w:lang w:val="en-AU" w:eastAsia="ja-JP"/>
        </w:rPr>
        <w:t xml:space="preserve">both </w:t>
      </w:r>
      <w:r w:rsidR="000B35C8">
        <w:rPr>
          <w:rFonts w:cstheme="minorHAnsi"/>
          <w:color w:val="000000"/>
          <w:szCs w:val="24"/>
          <w:lang w:val="en-AU" w:eastAsia="ja-JP"/>
        </w:rPr>
        <w:t xml:space="preserve">originating </w:t>
      </w:r>
      <w:r w:rsidR="000B35C8" w:rsidRPr="00FB7604">
        <w:rPr>
          <w:rFonts w:cstheme="minorHAnsi"/>
          <w:color w:val="000000"/>
          <w:szCs w:val="24"/>
          <w:lang w:val="en-AU" w:eastAsia="ja-JP"/>
        </w:rPr>
        <w:t>and</w:t>
      </w:r>
      <w:r w:rsidR="000B35C8">
        <w:rPr>
          <w:rFonts w:cstheme="minorHAnsi"/>
          <w:i/>
          <w:iCs/>
          <w:color w:val="000000"/>
          <w:szCs w:val="24"/>
          <w:lang w:val="en-AU" w:eastAsia="ja-JP"/>
        </w:rPr>
        <w:t xml:space="preserve"> </w:t>
      </w:r>
      <w:r w:rsidR="00426084">
        <w:rPr>
          <w:rFonts w:cstheme="minorHAnsi"/>
          <w:color w:val="000000"/>
          <w:szCs w:val="24"/>
          <w:lang w:val="en-AU" w:eastAsia="ja-JP"/>
        </w:rPr>
        <w:t>resulting</w:t>
      </w:r>
      <w:r w:rsidR="001E7B99">
        <w:rPr>
          <w:rFonts w:cstheme="minorHAnsi"/>
          <w:color w:val="000000"/>
          <w:szCs w:val="24"/>
          <w:lang w:val="en-AU" w:eastAsia="ja-JP"/>
        </w:rPr>
        <w:t xml:space="preserve"> in</w:t>
      </w:r>
      <w:r w:rsidR="00426084">
        <w:rPr>
          <w:rFonts w:cstheme="minorHAnsi"/>
          <w:color w:val="000000"/>
          <w:szCs w:val="24"/>
          <w:lang w:val="en-AU" w:eastAsia="ja-JP"/>
        </w:rPr>
        <w:t>:</w:t>
      </w:r>
    </w:p>
    <w:p w14:paraId="17CDD0B0" w14:textId="25CEDAB8" w:rsidR="00003E63" w:rsidRDefault="00F860FD" w:rsidP="00FB7604">
      <w:pPr>
        <w:pStyle w:val="ListParagraph"/>
        <w:numPr>
          <w:ilvl w:val="2"/>
          <w:numId w:val="20"/>
        </w:numPr>
        <w:shd w:val="clear" w:color="auto" w:fill="FFFFFF"/>
        <w:spacing w:before="120" w:after="120"/>
        <w:ind w:left="1276" w:hanging="283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>P</w:t>
      </w:r>
      <w:r w:rsidR="00426084">
        <w:rPr>
          <w:rFonts w:cstheme="minorHAnsi"/>
          <w:color w:val="000000"/>
          <w:szCs w:val="24"/>
          <w:lang w:val="en-AU" w:eastAsia="ja-JP"/>
        </w:rPr>
        <w:t xml:space="preserve">oor </w:t>
      </w:r>
      <w:r w:rsidR="009D0B26">
        <w:rPr>
          <w:rFonts w:cstheme="minorHAnsi"/>
          <w:color w:val="000000"/>
          <w:szCs w:val="24"/>
          <w:lang w:val="en-AU" w:eastAsia="ja-JP"/>
        </w:rPr>
        <w:t>understanding of</w:t>
      </w:r>
      <w:r>
        <w:rPr>
          <w:rFonts w:cstheme="minorHAnsi"/>
          <w:color w:val="000000"/>
          <w:szCs w:val="24"/>
          <w:lang w:val="en-AU" w:eastAsia="ja-JP"/>
        </w:rPr>
        <w:t xml:space="preserve"> </w:t>
      </w:r>
      <w:r w:rsidR="009D0B26">
        <w:rPr>
          <w:rFonts w:cstheme="minorHAnsi"/>
          <w:color w:val="000000"/>
          <w:szCs w:val="24"/>
          <w:lang w:val="en-AU" w:eastAsia="ja-JP"/>
        </w:rPr>
        <w:t>local context</w:t>
      </w:r>
      <w:r>
        <w:rPr>
          <w:rFonts w:cstheme="minorHAnsi"/>
          <w:color w:val="000000"/>
          <w:szCs w:val="24"/>
          <w:lang w:val="en-AU" w:eastAsia="ja-JP"/>
        </w:rPr>
        <w:t>s</w:t>
      </w:r>
      <w:r w:rsidR="007678D5">
        <w:rPr>
          <w:rFonts w:cstheme="minorHAnsi"/>
          <w:color w:val="000000"/>
          <w:szCs w:val="24"/>
          <w:lang w:val="en-AU" w:eastAsia="ja-JP"/>
        </w:rPr>
        <w:t xml:space="preserve"> </w:t>
      </w:r>
      <w:r w:rsidR="004332E9">
        <w:rPr>
          <w:rFonts w:cstheme="minorHAnsi"/>
          <w:color w:val="000000"/>
          <w:szCs w:val="24"/>
          <w:lang w:val="en-AU" w:eastAsia="ja-JP"/>
        </w:rPr>
        <w:t xml:space="preserve">including </w:t>
      </w:r>
      <w:r w:rsidR="00E15FAE">
        <w:rPr>
          <w:rFonts w:cstheme="minorHAnsi"/>
          <w:color w:val="000000"/>
          <w:szCs w:val="24"/>
          <w:lang w:val="en-AU" w:eastAsia="ja-JP"/>
        </w:rPr>
        <w:t>historical inequalities and injustices</w:t>
      </w:r>
      <w:r w:rsidR="008D39AC">
        <w:rPr>
          <w:rFonts w:cstheme="minorHAnsi"/>
          <w:color w:val="000000"/>
          <w:szCs w:val="24"/>
          <w:lang w:val="en-AU" w:eastAsia="ja-JP"/>
        </w:rPr>
        <w:t xml:space="preserve">; </w:t>
      </w:r>
      <w:r w:rsidR="0019723A">
        <w:rPr>
          <w:rFonts w:cstheme="minorHAnsi"/>
          <w:color w:val="000000"/>
          <w:szCs w:val="24"/>
          <w:lang w:val="en-AU" w:eastAsia="ja-JP"/>
        </w:rPr>
        <w:t>preceding</w:t>
      </w:r>
      <w:r w:rsidR="0059770E">
        <w:rPr>
          <w:rFonts w:cstheme="minorHAnsi"/>
          <w:color w:val="000000"/>
          <w:szCs w:val="24"/>
          <w:lang w:val="en-AU" w:eastAsia="ja-JP"/>
        </w:rPr>
        <w:t xml:space="preserve"> grievances towards </w:t>
      </w:r>
      <w:r w:rsidR="00251761">
        <w:rPr>
          <w:rFonts w:cstheme="minorHAnsi"/>
          <w:color w:val="000000"/>
          <w:szCs w:val="24"/>
          <w:lang w:val="en-AU" w:eastAsia="ja-JP"/>
        </w:rPr>
        <w:t>corporate projects</w:t>
      </w:r>
      <w:r w:rsidR="008D39AC">
        <w:rPr>
          <w:rFonts w:cstheme="minorHAnsi"/>
          <w:color w:val="000000"/>
          <w:szCs w:val="24"/>
          <w:lang w:val="en-AU" w:eastAsia="ja-JP"/>
        </w:rPr>
        <w:t xml:space="preserve">; </w:t>
      </w:r>
      <w:r w:rsidR="00FA49F7">
        <w:rPr>
          <w:rFonts w:cstheme="minorHAnsi"/>
          <w:color w:val="000000"/>
          <w:szCs w:val="24"/>
          <w:lang w:val="en-AU" w:eastAsia="ja-JP"/>
        </w:rPr>
        <w:t>as well as roles of</w:t>
      </w:r>
      <w:r w:rsidR="00444170">
        <w:rPr>
          <w:rFonts w:cstheme="minorHAnsi"/>
          <w:color w:val="000000"/>
          <w:szCs w:val="24"/>
          <w:lang w:val="en-AU" w:eastAsia="ja-JP"/>
        </w:rPr>
        <w:t xml:space="preserve"> state actors in </w:t>
      </w:r>
      <w:r w:rsidR="00907316">
        <w:rPr>
          <w:rFonts w:cstheme="minorHAnsi"/>
          <w:color w:val="000000"/>
          <w:szCs w:val="24"/>
          <w:lang w:val="en-AU" w:eastAsia="ja-JP"/>
        </w:rPr>
        <w:t>areas</w:t>
      </w:r>
      <w:r w:rsidR="004332E9">
        <w:rPr>
          <w:rFonts w:cstheme="minorHAnsi"/>
          <w:color w:val="000000"/>
          <w:szCs w:val="24"/>
          <w:lang w:val="en-AU" w:eastAsia="ja-JP"/>
        </w:rPr>
        <w:t xml:space="preserve"> where companies operate</w:t>
      </w:r>
      <w:r w:rsidR="00DD795F">
        <w:rPr>
          <w:rFonts w:cstheme="minorHAnsi"/>
          <w:color w:val="000000"/>
          <w:szCs w:val="24"/>
          <w:lang w:val="en-AU" w:eastAsia="ja-JP"/>
        </w:rPr>
        <w:t xml:space="preserve">. </w:t>
      </w:r>
      <w:r w:rsidR="003727B4">
        <w:rPr>
          <w:rFonts w:cstheme="minorHAnsi"/>
          <w:color w:val="000000"/>
          <w:szCs w:val="24"/>
          <w:lang w:val="en-AU" w:eastAsia="ja-JP"/>
        </w:rPr>
        <w:t>Without contextual understanding of companies</w:t>
      </w:r>
      <w:r w:rsidR="006213A1">
        <w:rPr>
          <w:rFonts w:cstheme="minorHAnsi"/>
          <w:color w:val="000000"/>
          <w:szCs w:val="24"/>
          <w:lang w:val="en-AU" w:eastAsia="ja-JP"/>
        </w:rPr>
        <w:t>’ operations</w:t>
      </w:r>
      <w:r w:rsidR="008F2029">
        <w:rPr>
          <w:rFonts w:cstheme="minorHAnsi"/>
          <w:color w:val="000000"/>
          <w:szCs w:val="24"/>
          <w:lang w:val="en-AU" w:eastAsia="ja-JP"/>
        </w:rPr>
        <w:t>,</w:t>
      </w:r>
      <w:r w:rsidR="004332E9">
        <w:rPr>
          <w:rFonts w:cstheme="minorHAnsi"/>
          <w:color w:val="000000"/>
          <w:szCs w:val="24"/>
          <w:lang w:val="en-AU" w:eastAsia="ja-JP"/>
        </w:rPr>
        <w:t xml:space="preserve"> violence </w:t>
      </w:r>
      <w:r w:rsidR="00AA0DFB">
        <w:rPr>
          <w:rFonts w:cstheme="minorHAnsi"/>
          <w:color w:val="000000"/>
          <w:szCs w:val="24"/>
          <w:lang w:val="en-AU" w:eastAsia="ja-JP"/>
        </w:rPr>
        <w:t>and/</w:t>
      </w:r>
      <w:r w:rsidR="0043537D">
        <w:rPr>
          <w:rFonts w:cstheme="minorHAnsi"/>
          <w:color w:val="000000"/>
          <w:szCs w:val="24"/>
          <w:lang w:val="en-AU" w:eastAsia="ja-JP"/>
        </w:rPr>
        <w:t xml:space="preserve">or intimidation </w:t>
      </w:r>
      <w:r w:rsidR="004A4B19" w:rsidRPr="004A4B19">
        <w:rPr>
          <w:rFonts w:cstheme="minorHAnsi"/>
          <w:color w:val="000000"/>
          <w:szCs w:val="24"/>
          <w:lang w:val="en-AU" w:eastAsia="ja-JP"/>
        </w:rPr>
        <w:t xml:space="preserve">perpetrated by state actors </w:t>
      </w:r>
      <w:r w:rsidR="004332E9">
        <w:rPr>
          <w:rFonts w:cstheme="minorHAnsi"/>
          <w:color w:val="000000"/>
          <w:szCs w:val="24"/>
          <w:lang w:val="en-AU" w:eastAsia="ja-JP"/>
        </w:rPr>
        <w:t xml:space="preserve">against defenders </w:t>
      </w:r>
      <w:r w:rsidR="00CD0A07">
        <w:rPr>
          <w:rFonts w:cstheme="minorHAnsi"/>
          <w:color w:val="000000"/>
          <w:szCs w:val="24"/>
          <w:lang w:val="en-AU" w:eastAsia="ja-JP"/>
        </w:rPr>
        <w:t xml:space="preserve">opposing </w:t>
      </w:r>
      <w:r w:rsidR="004332E9">
        <w:rPr>
          <w:rFonts w:cstheme="minorHAnsi"/>
          <w:color w:val="000000"/>
          <w:szCs w:val="24"/>
          <w:lang w:val="en-AU" w:eastAsia="ja-JP"/>
        </w:rPr>
        <w:t xml:space="preserve">corporate projects </w:t>
      </w:r>
      <w:r w:rsidR="0030064C">
        <w:rPr>
          <w:rFonts w:cstheme="minorHAnsi"/>
          <w:color w:val="000000"/>
          <w:szCs w:val="24"/>
          <w:lang w:val="en-AU" w:eastAsia="ja-JP"/>
        </w:rPr>
        <w:t xml:space="preserve">could be </w:t>
      </w:r>
      <w:r w:rsidR="00BB5F42">
        <w:rPr>
          <w:rFonts w:cstheme="minorHAnsi"/>
          <w:color w:val="000000"/>
          <w:szCs w:val="24"/>
          <w:lang w:val="en-AU" w:eastAsia="ja-JP"/>
        </w:rPr>
        <w:t xml:space="preserve">sometimes </w:t>
      </w:r>
      <w:r w:rsidR="0030064C">
        <w:rPr>
          <w:rFonts w:cstheme="minorHAnsi"/>
          <w:color w:val="000000"/>
          <w:szCs w:val="24"/>
          <w:lang w:val="en-AU" w:eastAsia="ja-JP"/>
        </w:rPr>
        <w:t xml:space="preserve">assessed as </w:t>
      </w:r>
      <w:r w:rsidR="00CF4D33">
        <w:rPr>
          <w:rFonts w:cstheme="minorHAnsi"/>
          <w:color w:val="000000"/>
          <w:szCs w:val="24"/>
          <w:lang w:val="en-AU" w:eastAsia="ja-JP"/>
        </w:rPr>
        <w:t>extraneous to companies</w:t>
      </w:r>
      <w:r w:rsidR="000A635D">
        <w:rPr>
          <w:rFonts w:cstheme="minorHAnsi"/>
          <w:color w:val="000000"/>
          <w:szCs w:val="24"/>
          <w:lang w:val="en-AU" w:eastAsia="ja-JP"/>
        </w:rPr>
        <w:t>’ responsibilities</w:t>
      </w:r>
      <w:r w:rsidR="009D3F67">
        <w:rPr>
          <w:rFonts w:cstheme="minorHAnsi"/>
          <w:color w:val="000000"/>
          <w:szCs w:val="24"/>
          <w:lang w:val="en-AU" w:eastAsia="ja-JP"/>
        </w:rPr>
        <w:t xml:space="preserve"> and </w:t>
      </w:r>
      <w:r w:rsidR="00CF4D33">
        <w:rPr>
          <w:rFonts w:cstheme="minorHAnsi"/>
          <w:color w:val="000000"/>
          <w:szCs w:val="24"/>
          <w:lang w:val="en-AU" w:eastAsia="ja-JP"/>
        </w:rPr>
        <w:t>obligation</w:t>
      </w:r>
      <w:r w:rsidR="009D3F67">
        <w:rPr>
          <w:rFonts w:cstheme="minorHAnsi"/>
          <w:color w:val="000000"/>
          <w:szCs w:val="24"/>
          <w:lang w:val="en-AU" w:eastAsia="ja-JP"/>
        </w:rPr>
        <w:t>s</w:t>
      </w:r>
      <w:r w:rsidR="00CF4D33">
        <w:rPr>
          <w:rFonts w:cstheme="minorHAnsi"/>
          <w:color w:val="000000"/>
          <w:szCs w:val="24"/>
          <w:lang w:val="en-AU" w:eastAsia="ja-JP"/>
        </w:rPr>
        <w:t>.</w:t>
      </w:r>
      <w:r w:rsidR="00BC08D6">
        <w:rPr>
          <w:rFonts w:cstheme="minorHAnsi"/>
          <w:color w:val="000000"/>
          <w:szCs w:val="24"/>
          <w:lang w:val="en-AU" w:eastAsia="ja-JP"/>
        </w:rPr>
        <w:t xml:space="preserve"> Similarly, </w:t>
      </w:r>
      <w:r w:rsidR="006B40F4">
        <w:rPr>
          <w:rFonts w:cstheme="minorHAnsi"/>
          <w:color w:val="000000"/>
          <w:szCs w:val="24"/>
          <w:lang w:val="en-AU" w:eastAsia="ja-JP"/>
        </w:rPr>
        <w:t xml:space="preserve">anti-union </w:t>
      </w:r>
      <w:r w:rsidR="00B10BE7">
        <w:rPr>
          <w:rFonts w:cstheme="minorHAnsi"/>
          <w:color w:val="000000"/>
          <w:szCs w:val="24"/>
          <w:lang w:val="en-AU" w:eastAsia="ja-JP"/>
        </w:rPr>
        <w:t>measures imposed</w:t>
      </w:r>
      <w:r w:rsidR="00BC08D6">
        <w:rPr>
          <w:rFonts w:cstheme="minorHAnsi"/>
          <w:color w:val="000000"/>
          <w:szCs w:val="24"/>
          <w:lang w:val="en-AU" w:eastAsia="ja-JP"/>
        </w:rPr>
        <w:t xml:space="preserve"> by state actors may deter </w:t>
      </w:r>
      <w:r w:rsidR="007E3278">
        <w:rPr>
          <w:rFonts w:cstheme="minorHAnsi"/>
          <w:color w:val="000000"/>
          <w:szCs w:val="24"/>
          <w:lang w:val="en-AU" w:eastAsia="ja-JP"/>
        </w:rPr>
        <w:t xml:space="preserve">workers </w:t>
      </w:r>
      <w:r w:rsidR="004E4D74">
        <w:rPr>
          <w:rFonts w:cstheme="minorHAnsi"/>
          <w:color w:val="000000"/>
          <w:szCs w:val="24"/>
          <w:lang w:val="en-AU" w:eastAsia="ja-JP"/>
        </w:rPr>
        <w:t>from</w:t>
      </w:r>
      <w:r w:rsidR="007E3278">
        <w:rPr>
          <w:rFonts w:cstheme="minorHAnsi"/>
          <w:color w:val="000000"/>
          <w:szCs w:val="24"/>
          <w:lang w:val="en-AU" w:eastAsia="ja-JP"/>
        </w:rPr>
        <w:t xml:space="preserve"> rais</w:t>
      </w:r>
      <w:r w:rsidR="00EB2D18">
        <w:rPr>
          <w:rFonts w:cstheme="minorHAnsi"/>
          <w:color w:val="000000"/>
          <w:szCs w:val="24"/>
          <w:lang w:val="en-AU" w:eastAsia="ja-JP"/>
        </w:rPr>
        <w:t>ing</w:t>
      </w:r>
      <w:r w:rsidR="007E3278">
        <w:rPr>
          <w:rFonts w:cstheme="minorHAnsi"/>
          <w:color w:val="000000"/>
          <w:szCs w:val="24"/>
          <w:lang w:val="en-AU" w:eastAsia="ja-JP"/>
        </w:rPr>
        <w:t xml:space="preserve"> grievances</w:t>
      </w:r>
      <w:r w:rsidR="00E27568">
        <w:rPr>
          <w:rFonts w:cstheme="minorHAnsi"/>
          <w:color w:val="000000"/>
          <w:szCs w:val="24"/>
          <w:lang w:val="en-AU" w:eastAsia="ja-JP"/>
        </w:rPr>
        <w:t xml:space="preserve"> or reporting ESG-related incidents</w:t>
      </w:r>
      <w:r w:rsidR="00210516">
        <w:rPr>
          <w:rFonts w:cstheme="minorHAnsi"/>
          <w:color w:val="000000"/>
          <w:szCs w:val="24"/>
          <w:lang w:val="en-AU" w:eastAsia="ja-JP"/>
        </w:rPr>
        <w:t xml:space="preserve">, </w:t>
      </w:r>
      <w:r w:rsidR="00E050B6">
        <w:rPr>
          <w:rFonts w:cstheme="minorHAnsi"/>
          <w:color w:val="000000"/>
          <w:szCs w:val="24"/>
          <w:lang w:val="en-AU" w:eastAsia="ja-JP"/>
        </w:rPr>
        <w:t xml:space="preserve">which in turn may </w:t>
      </w:r>
      <w:r w:rsidR="0033649F">
        <w:rPr>
          <w:rFonts w:cstheme="minorHAnsi"/>
          <w:color w:val="000000"/>
          <w:szCs w:val="24"/>
          <w:lang w:val="en-AU" w:eastAsia="ja-JP"/>
        </w:rPr>
        <w:t xml:space="preserve">have a </w:t>
      </w:r>
      <w:r w:rsidR="00B27F97">
        <w:rPr>
          <w:rFonts w:cstheme="minorHAnsi"/>
          <w:color w:val="000000"/>
          <w:szCs w:val="24"/>
          <w:lang w:val="en-AU" w:eastAsia="ja-JP"/>
        </w:rPr>
        <w:t xml:space="preserve">perverse </w:t>
      </w:r>
      <w:r w:rsidR="0033649F">
        <w:rPr>
          <w:rFonts w:cstheme="minorHAnsi"/>
          <w:color w:val="000000"/>
          <w:szCs w:val="24"/>
          <w:lang w:val="en-AU" w:eastAsia="ja-JP"/>
        </w:rPr>
        <w:t>effect on</w:t>
      </w:r>
      <w:r w:rsidR="00E050B6">
        <w:rPr>
          <w:rFonts w:cstheme="minorHAnsi"/>
          <w:color w:val="000000"/>
          <w:szCs w:val="24"/>
          <w:lang w:val="en-AU" w:eastAsia="ja-JP"/>
        </w:rPr>
        <w:t xml:space="preserve"> </w:t>
      </w:r>
      <w:r w:rsidR="0021359F">
        <w:rPr>
          <w:rFonts w:cstheme="minorHAnsi"/>
          <w:color w:val="000000"/>
          <w:szCs w:val="24"/>
          <w:lang w:val="en-AU" w:eastAsia="ja-JP"/>
        </w:rPr>
        <w:t>companies’</w:t>
      </w:r>
      <w:r w:rsidR="00210516">
        <w:rPr>
          <w:rFonts w:cstheme="minorHAnsi"/>
          <w:color w:val="000000"/>
          <w:szCs w:val="24"/>
          <w:lang w:val="en-AU" w:eastAsia="ja-JP"/>
        </w:rPr>
        <w:t xml:space="preserve"> ESG rating</w:t>
      </w:r>
      <w:r w:rsidR="0021359F">
        <w:rPr>
          <w:rFonts w:cstheme="minorHAnsi"/>
          <w:color w:val="000000"/>
          <w:szCs w:val="24"/>
          <w:lang w:val="en-AU" w:eastAsia="ja-JP"/>
        </w:rPr>
        <w:t>s</w:t>
      </w:r>
      <w:r w:rsidR="00210516">
        <w:rPr>
          <w:rFonts w:cstheme="minorHAnsi"/>
          <w:color w:val="000000"/>
          <w:szCs w:val="24"/>
          <w:lang w:val="en-AU" w:eastAsia="ja-JP"/>
        </w:rPr>
        <w:t>.</w:t>
      </w:r>
    </w:p>
    <w:p w14:paraId="0FC2A4D0" w14:textId="2489683E" w:rsidR="00DA29BD" w:rsidRDefault="00384706" w:rsidP="00FB7604">
      <w:pPr>
        <w:pStyle w:val="ListParagraph"/>
        <w:numPr>
          <w:ilvl w:val="2"/>
          <w:numId w:val="20"/>
        </w:numPr>
        <w:shd w:val="clear" w:color="auto" w:fill="FFFFFF"/>
        <w:spacing w:before="120" w:after="120"/>
        <w:ind w:left="1276" w:hanging="283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>L</w:t>
      </w:r>
      <w:r w:rsidR="00515459">
        <w:rPr>
          <w:rFonts w:cstheme="minorHAnsi"/>
          <w:color w:val="000000"/>
          <w:szCs w:val="24"/>
          <w:lang w:val="en-AU" w:eastAsia="ja-JP"/>
        </w:rPr>
        <w:t xml:space="preserve">imited </w:t>
      </w:r>
      <w:r w:rsidR="00EF4FED">
        <w:rPr>
          <w:rFonts w:cstheme="minorHAnsi"/>
          <w:color w:val="000000"/>
          <w:szCs w:val="24"/>
          <w:lang w:val="en-AU" w:eastAsia="ja-JP"/>
        </w:rPr>
        <w:t>value-</w:t>
      </w:r>
      <w:r w:rsidR="000E4E1B">
        <w:rPr>
          <w:rFonts w:cstheme="minorHAnsi"/>
          <w:color w:val="000000"/>
          <w:szCs w:val="24"/>
          <w:lang w:val="en-AU" w:eastAsia="ja-JP"/>
        </w:rPr>
        <w:t>chain mapping</w:t>
      </w:r>
      <w:r w:rsidR="002F6468">
        <w:rPr>
          <w:rFonts w:cstheme="minorHAnsi"/>
          <w:color w:val="000000"/>
          <w:szCs w:val="24"/>
          <w:lang w:val="en-AU" w:eastAsia="ja-JP"/>
        </w:rPr>
        <w:t xml:space="preserve"> to</w:t>
      </w:r>
      <w:r w:rsidR="00444E66">
        <w:rPr>
          <w:rFonts w:cstheme="minorHAnsi"/>
          <w:color w:val="000000"/>
          <w:szCs w:val="24"/>
          <w:lang w:val="en-AU" w:eastAsia="ja-JP"/>
        </w:rPr>
        <w:t xml:space="preserve"> proactively</w:t>
      </w:r>
      <w:r w:rsidR="002F6468">
        <w:rPr>
          <w:rFonts w:cstheme="minorHAnsi"/>
          <w:color w:val="000000"/>
          <w:szCs w:val="24"/>
          <w:lang w:val="en-AU" w:eastAsia="ja-JP"/>
        </w:rPr>
        <w:t xml:space="preserve"> ascertain linkages to </w:t>
      </w:r>
      <w:r w:rsidR="00444E66">
        <w:rPr>
          <w:rFonts w:cstheme="minorHAnsi"/>
          <w:color w:val="000000"/>
          <w:szCs w:val="24"/>
          <w:lang w:val="en-AU" w:eastAsia="ja-JP"/>
        </w:rPr>
        <w:t>reported</w:t>
      </w:r>
      <w:r w:rsidR="002F6468">
        <w:rPr>
          <w:rFonts w:cstheme="minorHAnsi"/>
          <w:color w:val="000000"/>
          <w:szCs w:val="24"/>
          <w:lang w:val="en-AU" w:eastAsia="ja-JP"/>
        </w:rPr>
        <w:t xml:space="preserve"> controversies</w:t>
      </w:r>
      <w:r w:rsidR="00B620F9">
        <w:rPr>
          <w:rFonts w:cstheme="minorHAnsi"/>
          <w:color w:val="000000"/>
          <w:szCs w:val="24"/>
          <w:lang w:val="en-AU" w:eastAsia="ja-JP"/>
        </w:rPr>
        <w:t xml:space="preserve">. </w:t>
      </w:r>
    </w:p>
    <w:p w14:paraId="3D17EB18" w14:textId="158C302C" w:rsidR="00A66B7E" w:rsidRDefault="00AD1F9C" w:rsidP="00FB7604">
      <w:pPr>
        <w:pStyle w:val="ListParagraph"/>
        <w:numPr>
          <w:ilvl w:val="2"/>
          <w:numId w:val="20"/>
        </w:numPr>
        <w:shd w:val="clear" w:color="auto" w:fill="FFFFFF"/>
        <w:spacing w:before="120" w:after="120"/>
        <w:ind w:left="1276" w:hanging="283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>Lack of</w:t>
      </w:r>
      <w:r w:rsidR="00DB2C7F">
        <w:rPr>
          <w:rFonts w:cstheme="minorHAnsi"/>
          <w:color w:val="000000"/>
          <w:szCs w:val="24"/>
          <w:lang w:val="en-AU" w:eastAsia="ja-JP"/>
        </w:rPr>
        <w:t xml:space="preserve"> assessment </w:t>
      </w:r>
      <w:r>
        <w:rPr>
          <w:rFonts w:cstheme="minorHAnsi"/>
          <w:color w:val="000000"/>
          <w:szCs w:val="24"/>
          <w:lang w:val="en-AU" w:eastAsia="ja-JP"/>
        </w:rPr>
        <w:t xml:space="preserve">and/or poor and </w:t>
      </w:r>
      <w:r w:rsidR="00555EC5">
        <w:rPr>
          <w:rFonts w:cstheme="minorHAnsi"/>
          <w:color w:val="000000"/>
          <w:szCs w:val="24"/>
          <w:lang w:val="en-AU" w:eastAsia="ja-JP"/>
        </w:rPr>
        <w:t>perfunctory</w:t>
      </w:r>
      <w:r>
        <w:rPr>
          <w:rFonts w:cstheme="minorHAnsi"/>
          <w:color w:val="000000"/>
          <w:szCs w:val="24"/>
          <w:lang w:val="en-AU" w:eastAsia="ja-JP"/>
        </w:rPr>
        <w:t xml:space="preserve"> assessment of </w:t>
      </w:r>
      <w:r w:rsidR="00DB2C7F">
        <w:rPr>
          <w:rFonts w:cstheme="minorHAnsi"/>
          <w:color w:val="000000"/>
          <w:szCs w:val="24"/>
          <w:lang w:val="en-AU" w:eastAsia="ja-JP"/>
        </w:rPr>
        <w:t xml:space="preserve">business </w:t>
      </w:r>
      <w:r w:rsidR="001B41E8">
        <w:rPr>
          <w:rFonts w:cstheme="minorHAnsi"/>
          <w:color w:val="000000"/>
          <w:szCs w:val="24"/>
          <w:lang w:val="en-AU" w:eastAsia="ja-JP"/>
        </w:rPr>
        <w:t>operations</w:t>
      </w:r>
      <w:r w:rsidR="00D6682A">
        <w:rPr>
          <w:rFonts w:cstheme="minorHAnsi"/>
          <w:color w:val="000000"/>
          <w:szCs w:val="24"/>
          <w:lang w:val="en-AU" w:eastAsia="ja-JP"/>
        </w:rPr>
        <w:t xml:space="preserve"> </w:t>
      </w:r>
      <w:r w:rsidR="00FB7C39">
        <w:rPr>
          <w:rFonts w:cstheme="minorHAnsi"/>
          <w:color w:val="000000"/>
          <w:szCs w:val="24"/>
          <w:lang w:val="en-AU" w:eastAsia="ja-JP"/>
        </w:rPr>
        <w:t>with regards to climate impacts, labour conditions, extraction of natural resources</w:t>
      </w:r>
      <w:r w:rsidR="00D6682A">
        <w:rPr>
          <w:rFonts w:cstheme="minorHAnsi"/>
          <w:color w:val="000000"/>
          <w:szCs w:val="24"/>
          <w:lang w:val="en-AU" w:eastAsia="ja-JP"/>
        </w:rPr>
        <w:t xml:space="preserve"> and how they </w:t>
      </w:r>
      <w:r w:rsidR="00A66B7E">
        <w:rPr>
          <w:rFonts w:cstheme="minorHAnsi"/>
          <w:color w:val="000000"/>
          <w:szCs w:val="24"/>
          <w:lang w:val="en-AU" w:eastAsia="ja-JP"/>
        </w:rPr>
        <w:t xml:space="preserve">contribute to systemic </w:t>
      </w:r>
      <w:r w:rsidR="0044433B">
        <w:rPr>
          <w:rFonts w:cstheme="minorHAnsi"/>
          <w:color w:val="000000"/>
          <w:szCs w:val="24"/>
          <w:lang w:val="en-AU" w:eastAsia="ja-JP"/>
        </w:rPr>
        <w:t xml:space="preserve">issues like inequality, </w:t>
      </w:r>
      <w:r w:rsidR="009062C9">
        <w:rPr>
          <w:rFonts w:cstheme="minorHAnsi"/>
          <w:color w:val="000000"/>
          <w:szCs w:val="24"/>
          <w:lang w:val="en-AU" w:eastAsia="ja-JP"/>
        </w:rPr>
        <w:t xml:space="preserve">poverty, </w:t>
      </w:r>
      <w:r w:rsidR="00B8502B">
        <w:rPr>
          <w:rFonts w:cstheme="minorHAnsi"/>
          <w:color w:val="000000"/>
          <w:szCs w:val="24"/>
          <w:lang w:val="en-AU" w:eastAsia="ja-JP"/>
        </w:rPr>
        <w:t xml:space="preserve">and </w:t>
      </w:r>
      <w:r w:rsidR="00307098">
        <w:rPr>
          <w:rFonts w:cstheme="minorHAnsi"/>
          <w:color w:val="000000"/>
          <w:szCs w:val="24"/>
          <w:lang w:val="en-AU" w:eastAsia="ja-JP"/>
        </w:rPr>
        <w:t>environmental degradation</w:t>
      </w:r>
      <w:r w:rsidR="00B8502B">
        <w:rPr>
          <w:rFonts w:cstheme="minorHAnsi"/>
          <w:color w:val="000000"/>
          <w:szCs w:val="24"/>
          <w:lang w:val="en-AU" w:eastAsia="ja-JP"/>
        </w:rPr>
        <w:t>.</w:t>
      </w:r>
    </w:p>
    <w:p w14:paraId="4A827C7F" w14:textId="2ECBDB47" w:rsidR="00D16E3F" w:rsidRPr="00544FE6" w:rsidRDefault="00D6682A" w:rsidP="00034DE8">
      <w:pPr>
        <w:pStyle w:val="ListParagraph"/>
        <w:numPr>
          <w:ilvl w:val="0"/>
          <w:numId w:val="17"/>
        </w:numPr>
        <w:shd w:val="clear" w:color="auto" w:fill="FFFFFF"/>
        <w:spacing w:before="120" w:after="120"/>
        <w:ind w:left="709" w:hanging="567"/>
        <w:rPr>
          <w:rFonts w:cstheme="minorHAnsi"/>
          <w:color w:val="000000"/>
          <w:szCs w:val="24"/>
          <w:lang w:val="en-AU" w:eastAsia="ja-JP"/>
        </w:rPr>
      </w:pPr>
      <w:r w:rsidRPr="00544FE6">
        <w:rPr>
          <w:rFonts w:cstheme="minorHAnsi"/>
          <w:color w:val="000000"/>
          <w:szCs w:val="24"/>
          <w:lang w:val="en-AU" w:eastAsia="ja-JP"/>
        </w:rPr>
        <w:t>Narrow scope and interpretation of</w:t>
      </w:r>
      <w:r w:rsidR="009A1E3D" w:rsidRPr="00544FE6">
        <w:rPr>
          <w:rFonts w:cstheme="minorHAnsi"/>
          <w:color w:val="000000"/>
          <w:szCs w:val="24"/>
          <w:lang w:val="en-AU" w:eastAsia="ja-JP"/>
        </w:rPr>
        <w:t xml:space="preserve"> indigenous rights, </w:t>
      </w:r>
      <w:r w:rsidR="00544FE6" w:rsidRPr="00544FE6">
        <w:rPr>
          <w:rFonts w:cstheme="minorHAnsi"/>
          <w:color w:val="000000"/>
          <w:szCs w:val="24"/>
          <w:lang w:val="en-AU" w:eastAsia="ja-JP"/>
        </w:rPr>
        <w:t>including</w:t>
      </w:r>
      <w:r w:rsidR="00544FE6" w:rsidRPr="00544FE6">
        <w:rPr>
          <w:rFonts w:cstheme="minorHAnsi"/>
          <w:color w:val="000000"/>
          <w:szCs w:val="24"/>
          <w:lang w:val="en-AU" w:eastAsia="ja-JP"/>
        </w:rPr>
        <w:t xml:space="preserve"> definition of groups that are considered indigenous</w:t>
      </w:r>
      <w:r w:rsidR="00544FE6" w:rsidRPr="00544FE6">
        <w:rPr>
          <w:rFonts w:cstheme="minorHAnsi"/>
          <w:color w:val="000000"/>
          <w:szCs w:val="24"/>
          <w:lang w:val="en-AU" w:eastAsia="ja-JP"/>
        </w:rPr>
        <w:t xml:space="preserve">, </w:t>
      </w:r>
      <w:r w:rsidR="00BE7B73" w:rsidRPr="00544FE6">
        <w:rPr>
          <w:rFonts w:cstheme="minorHAnsi"/>
          <w:color w:val="000000"/>
          <w:szCs w:val="24"/>
          <w:lang w:val="en-AU" w:eastAsia="ja-JP"/>
        </w:rPr>
        <w:t>and how</w:t>
      </w:r>
      <w:r w:rsidR="009A1E3D" w:rsidRPr="00544FE6">
        <w:rPr>
          <w:rFonts w:cstheme="minorHAnsi"/>
          <w:color w:val="000000"/>
          <w:szCs w:val="24"/>
          <w:lang w:val="en-AU" w:eastAsia="ja-JP"/>
        </w:rPr>
        <w:t xml:space="preserve"> </w:t>
      </w:r>
      <w:r w:rsidR="0058792C" w:rsidRPr="00544FE6">
        <w:rPr>
          <w:rFonts w:cstheme="minorHAnsi"/>
          <w:color w:val="000000"/>
          <w:szCs w:val="24"/>
          <w:lang w:val="en-AU" w:eastAsia="ja-JP"/>
        </w:rPr>
        <w:t xml:space="preserve">Free, Prior and Informed </w:t>
      </w:r>
      <w:r w:rsidR="00C7235A" w:rsidRPr="00544FE6">
        <w:rPr>
          <w:rFonts w:cstheme="minorHAnsi"/>
          <w:color w:val="000000"/>
          <w:szCs w:val="24"/>
          <w:lang w:val="en-AU" w:eastAsia="ja-JP"/>
        </w:rPr>
        <w:t>C</w:t>
      </w:r>
      <w:r w:rsidR="0058792C" w:rsidRPr="00544FE6">
        <w:rPr>
          <w:rFonts w:cstheme="minorHAnsi"/>
          <w:color w:val="000000"/>
          <w:szCs w:val="24"/>
          <w:lang w:val="en-AU" w:eastAsia="ja-JP"/>
        </w:rPr>
        <w:t>onsent</w:t>
      </w:r>
      <w:r w:rsidR="00BE7B73" w:rsidRPr="00544FE6">
        <w:rPr>
          <w:rFonts w:cstheme="minorHAnsi"/>
          <w:color w:val="000000"/>
          <w:szCs w:val="24"/>
          <w:lang w:val="en-AU" w:eastAsia="ja-JP"/>
        </w:rPr>
        <w:t xml:space="preserve"> is applied</w:t>
      </w:r>
      <w:r w:rsidR="001E6E95" w:rsidRPr="00544FE6">
        <w:rPr>
          <w:rFonts w:cstheme="minorHAnsi"/>
          <w:color w:val="000000"/>
          <w:szCs w:val="24"/>
          <w:lang w:val="en-AU" w:eastAsia="ja-JP"/>
        </w:rPr>
        <w:t xml:space="preserve"> in practice</w:t>
      </w:r>
      <w:r w:rsidRPr="00544FE6">
        <w:rPr>
          <w:rFonts w:cstheme="minorHAnsi"/>
          <w:color w:val="000000"/>
          <w:szCs w:val="24"/>
          <w:lang w:val="en-AU" w:eastAsia="ja-JP"/>
        </w:rPr>
        <w:t xml:space="preserve">. </w:t>
      </w:r>
    </w:p>
    <w:p w14:paraId="4909A7CA" w14:textId="6AC661FE" w:rsidR="00507C18" w:rsidRPr="00D16E3F" w:rsidRDefault="00507C18" w:rsidP="00FB7604">
      <w:pPr>
        <w:pStyle w:val="ListParagraph"/>
        <w:numPr>
          <w:ilvl w:val="0"/>
          <w:numId w:val="17"/>
        </w:numPr>
        <w:shd w:val="clear" w:color="auto" w:fill="FFFFFF"/>
        <w:spacing w:before="120" w:after="120"/>
        <w:ind w:left="709" w:hanging="567"/>
        <w:rPr>
          <w:rFonts w:cstheme="minorHAnsi"/>
          <w:color w:val="000000"/>
          <w:szCs w:val="24"/>
          <w:lang w:val="en-AU" w:eastAsia="ja-JP"/>
        </w:rPr>
      </w:pPr>
      <w:r w:rsidRPr="428E332E">
        <w:rPr>
          <w:rFonts w:cstheme="minorBidi"/>
          <w:color w:val="000000"/>
          <w:lang w:val="en-AU" w:eastAsia="ja-JP"/>
        </w:rPr>
        <w:lastRenderedPageBreak/>
        <w:t xml:space="preserve">Methodologies developed, utilised, and commercialised by ESG service providers </w:t>
      </w:r>
      <w:r w:rsidR="003832A8" w:rsidRPr="428E332E">
        <w:rPr>
          <w:rFonts w:cstheme="minorBidi"/>
          <w:color w:val="000000" w:themeColor="text1"/>
          <w:lang w:val="en-AU" w:eastAsia="ja-JP"/>
        </w:rPr>
        <w:t>are</w:t>
      </w:r>
      <w:r w:rsidR="00D91FF6" w:rsidRPr="428E332E">
        <w:rPr>
          <w:rFonts w:cstheme="minorBidi"/>
          <w:color w:val="000000" w:themeColor="text1"/>
          <w:lang w:val="en-AU" w:eastAsia="ja-JP"/>
        </w:rPr>
        <w:t xml:space="preserve"> sometimes</w:t>
      </w:r>
      <w:r w:rsidRPr="428E332E">
        <w:rPr>
          <w:rFonts w:cstheme="minorBidi"/>
          <w:color w:val="000000"/>
          <w:lang w:val="en-AU" w:eastAsia="ja-JP"/>
        </w:rPr>
        <w:t xml:space="preserve"> subject to external and commercial pressure at the expense of human rights</w:t>
      </w:r>
      <w:r w:rsidR="006E7373" w:rsidRPr="428E332E">
        <w:rPr>
          <w:rStyle w:val="FootnoteReference"/>
          <w:rFonts w:cstheme="minorBidi"/>
          <w:color w:val="000000"/>
          <w:lang w:val="en-AU" w:eastAsia="ja-JP"/>
        </w:rPr>
        <w:footnoteReference w:id="4"/>
      </w:r>
      <w:r w:rsidRPr="428E332E">
        <w:rPr>
          <w:rFonts w:cstheme="minorBidi"/>
          <w:color w:val="000000"/>
          <w:lang w:val="en-AU" w:eastAsia="ja-JP"/>
        </w:rPr>
        <w:t xml:space="preserve">. </w:t>
      </w:r>
    </w:p>
    <w:p w14:paraId="473B7BD8" w14:textId="5E57F758" w:rsidR="00134EBF" w:rsidRPr="00DE471F" w:rsidRDefault="001E5533" w:rsidP="00FB7604">
      <w:pPr>
        <w:pStyle w:val="ListParagraph"/>
        <w:numPr>
          <w:ilvl w:val="0"/>
          <w:numId w:val="17"/>
        </w:numPr>
        <w:shd w:val="clear" w:color="auto" w:fill="FFFFFF"/>
        <w:spacing w:before="120" w:after="120"/>
        <w:ind w:left="709" w:hanging="567"/>
        <w:rPr>
          <w:rFonts w:cstheme="minorHAnsi"/>
          <w:color w:val="000000"/>
          <w:szCs w:val="24"/>
          <w:lang w:val="en-AU" w:eastAsia="ja-JP"/>
        </w:rPr>
      </w:pPr>
      <w:r w:rsidRPr="00DE471F">
        <w:rPr>
          <w:rFonts w:cstheme="minorBidi"/>
          <w:color w:val="000000" w:themeColor="text1"/>
          <w:lang w:val="en-AU" w:eastAsia="ja-JP"/>
        </w:rPr>
        <w:t>A</w:t>
      </w:r>
      <w:r w:rsidR="00D02FB1" w:rsidRPr="00DE471F">
        <w:rPr>
          <w:rFonts w:cstheme="minorBidi"/>
          <w:color w:val="000000" w:themeColor="text1"/>
          <w:lang w:val="en-AU" w:eastAsia="ja-JP"/>
        </w:rPr>
        <w:t xml:space="preserve">ggregation of </w:t>
      </w:r>
      <w:r w:rsidR="00C73C4B" w:rsidRPr="00DE471F">
        <w:t>environmental, social and governance indicators into ESG rating</w:t>
      </w:r>
      <w:r w:rsidRPr="00DE471F">
        <w:t xml:space="preserve"> fr</w:t>
      </w:r>
      <w:r w:rsidR="005D1216" w:rsidRPr="00DE471F">
        <w:t>equently</w:t>
      </w:r>
      <w:r w:rsidR="005C1789" w:rsidRPr="00DE471F">
        <w:t xml:space="preserve"> </w:t>
      </w:r>
      <w:r w:rsidR="005F4D6C" w:rsidRPr="00DE471F">
        <w:t>m</w:t>
      </w:r>
      <w:r w:rsidR="00C73C4B" w:rsidRPr="00DE471F">
        <w:t xml:space="preserve">asks </w:t>
      </w:r>
      <w:r w:rsidR="005F4D6C" w:rsidRPr="00DE471F">
        <w:t xml:space="preserve">the </w:t>
      </w:r>
      <w:r w:rsidR="00C73C4B" w:rsidRPr="00DE471F">
        <w:t>severity of environmental harm and human rights violations</w:t>
      </w:r>
      <w:r w:rsidR="005F4D6C" w:rsidRPr="00DE471F">
        <w:t xml:space="preserve"> and</w:t>
      </w:r>
      <w:r w:rsidR="00C73C4B" w:rsidRPr="00DE471F">
        <w:t xml:space="preserve"> can mislead institutional investors</w:t>
      </w:r>
      <w:r w:rsidR="005F4D6C" w:rsidRPr="00DE471F">
        <w:t xml:space="preserve">, </w:t>
      </w:r>
      <w:r w:rsidR="00C73C4B" w:rsidRPr="00DE471F">
        <w:t>caus</w:t>
      </w:r>
      <w:r w:rsidR="005F4D6C" w:rsidRPr="00DE471F">
        <w:t>ing</w:t>
      </w:r>
      <w:r w:rsidR="00C73C4B" w:rsidRPr="00DE471F">
        <w:t xml:space="preserve"> unintentional greenwashing.</w:t>
      </w:r>
      <w:r w:rsidR="0030355C" w:rsidRPr="00DE471F">
        <w:t xml:space="preserve"> </w:t>
      </w:r>
    </w:p>
    <w:p w14:paraId="4058BAE2" w14:textId="77777777" w:rsidR="002F1E33" w:rsidRPr="00CF4D33" w:rsidRDefault="002F1E33" w:rsidP="004B429F">
      <w:pPr>
        <w:pStyle w:val="ListParagraph"/>
        <w:shd w:val="clear" w:color="auto" w:fill="FFFFFF" w:themeFill="background1"/>
        <w:spacing w:before="120" w:after="120"/>
        <w:ind w:left="1800"/>
        <w:rPr>
          <w:rFonts w:cstheme="minorBidi"/>
          <w:color w:val="000000"/>
          <w:lang w:val="en-AU" w:eastAsia="ja-JP"/>
        </w:rPr>
      </w:pPr>
    </w:p>
    <w:p w14:paraId="6F7FD285" w14:textId="6FB8CDA6" w:rsidR="00A030A0" w:rsidRDefault="005D1216" w:rsidP="00A030A0">
      <w:pPr>
        <w:spacing w:after="160" w:line="259" w:lineRule="auto"/>
        <w:rPr>
          <w:rFonts w:cstheme="minorBidi"/>
          <w:color w:val="000000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>Given these concerns</w:t>
      </w:r>
      <w:r w:rsidR="00A030A0">
        <w:rPr>
          <w:rFonts w:cstheme="minorHAnsi"/>
          <w:color w:val="000000"/>
          <w:szCs w:val="24"/>
          <w:lang w:val="en-AU" w:eastAsia="ja-JP"/>
        </w:rPr>
        <w:t xml:space="preserve"> </w:t>
      </w:r>
      <w:r w:rsidR="00A030A0">
        <w:rPr>
          <w:rStyle w:val="normaltextrun"/>
          <w:color w:val="000000"/>
          <w:shd w:val="clear" w:color="auto" w:fill="FFFFFF"/>
        </w:rPr>
        <w:t xml:space="preserve">Swedwatch calls on regulators to critically evaluate the role of ESG service providers and their use by investors. </w:t>
      </w:r>
      <w:r w:rsidR="002F1E33">
        <w:rPr>
          <w:rStyle w:val="normaltextrun"/>
          <w:color w:val="000000"/>
          <w:shd w:val="clear" w:color="auto" w:fill="FFFFFF"/>
        </w:rPr>
        <w:t>For investors to</w:t>
      </w:r>
      <w:r w:rsidR="00C87EC6">
        <w:rPr>
          <w:rStyle w:val="normaltextrun"/>
          <w:color w:val="000000"/>
          <w:shd w:val="clear" w:color="auto" w:fill="FFFFFF"/>
        </w:rPr>
        <w:t xml:space="preserve"> fulfil </w:t>
      </w:r>
      <w:r w:rsidR="00C87EC6">
        <w:rPr>
          <w:rFonts w:cstheme="minorHAnsi"/>
          <w:color w:val="000000"/>
          <w:szCs w:val="24"/>
          <w:lang w:val="en-AU" w:eastAsia="ja-JP"/>
        </w:rPr>
        <w:t>their obligations</w:t>
      </w:r>
      <w:r w:rsidR="00C87EC6" w:rsidDel="00D80C3A">
        <w:rPr>
          <w:rFonts w:cstheme="minorHAnsi"/>
          <w:color w:val="000000"/>
          <w:szCs w:val="24"/>
          <w:lang w:val="en-AU" w:eastAsia="ja-JP"/>
        </w:rPr>
        <w:t xml:space="preserve"> </w:t>
      </w:r>
      <w:r w:rsidR="002F1E33">
        <w:rPr>
          <w:rFonts w:cstheme="minorHAnsi"/>
          <w:color w:val="000000"/>
          <w:szCs w:val="24"/>
          <w:lang w:val="en-AU" w:eastAsia="ja-JP"/>
        </w:rPr>
        <w:t>and</w:t>
      </w:r>
      <w:r w:rsidR="00C87EC6">
        <w:rPr>
          <w:rFonts w:cstheme="minorHAnsi"/>
          <w:color w:val="000000"/>
          <w:szCs w:val="24"/>
          <w:lang w:val="en-AU" w:eastAsia="ja-JP"/>
        </w:rPr>
        <w:t xml:space="preserve"> prevent, mitigate and remediate adverse impacts, </w:t>
      </w:r>
      <w:r w:rsidR="00A030A0">
        <w:rPr>
          <w:rStyle w:val="normaltextrun"/>
          <w:color w:val="000000"/>
          <w:shd w:val="clear" w:color="auto" w:fill="FFFFFF"/>
        </w:rPr>
        <w:t xml:space="preserve">regulatory bodies </w:t>
      </w:r>
      <w:r w:rsidR="00657A0B">
        <w:rPr>
          <w:rStyle w:val="normaltextrun"/>
          <w:color w:val="000000"/>
          <w:shd w:val="clear" w:color="auto" w:fill="FFFFFF"/>
        </w:rPr>
        <w:t>must urgently</w:t>
      </w:r>
      <w:r w:rsidR="00341B55">
        <w:rPr>
          <w:rStyle w:val="normaltextrun"/>
          <w:color w:val="000000"/>
          <w:shd w:val="clear" w:color="auto" w:fill="FFFFFF"/>
        </w:rPr>
        <w:t xml:space="preserve"> adopt measures which oblige ESG service providers to</w:t>
      </w:r>
      <w:r w:rsidR="00A030A0" w:rsidRPr="200C1C59">
        <w:rPr>
          <w:rFonts w:cstheme="minorBidi"/>
          <w:color w:val="000000"/>
          <w:lang w:val="en-AU" w:eastAsia="ja-JP"/>
        </w:rPr>
        <w:t xml:space="preserve">: </w:t>
      </w:r>
    </w:p>
    <w:p w14:paraId="694F34AD" w14:textId="4F161EC0" w:rsidR="007B0441" w:rsidRPr="007D2FA8" w:rsidRDefault="007B0441" w:rsidP="00A030A0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Bidi"/>
          <w:color w:val="000000"/>
          <w:lang w:val="en-AU" w:eastAsia="ja-JP"/>
        </w:rPr>
        <w:t>I</w:t>
      </w:r>
      <w:r w:rsidR="00A030A0" w:rsidRPr="004B429F">
        <w:rPr>
          <w:rFonts w:cstheme="minorBidi"/>
          <w:color w:val="000000"/>
          <w:lang w:val="en-AU" w:eastAsia="ja-JP"/>
        </w:rPr>
        <w:t>mprove transparency on data collection</w:t>
      </w:r>
      <w:r w:rsidR="00194F32">
        <w:rPr>
          <w:rFonts w:cstheme="minorBidi"/>
          <w:color w:val="000000"/>
          <w:lang w:val="en-AU" w:eastAsia="ja-JP"/>
        </w:rPr>
        <w:t xml:space="preserve"> and how </w:t>
      </w:r>
      <w:r w:rsidR="00276B98">
        <w:rPr>
          <w:rFonts w:cstheme="minorBidi"/>
          <w:color w:val="000000"/>
          <w:lang w:val="en-AU" w:eastAsia="ja-JP"/>
        </w:rPr>
        <w:t>ratings are derived</w:t>
      </w:r>
      <w:r w:rsidR="005A0A89">
        <w:rPr>
          <w:rFonts w:cstheme="minorBidi"/>
          <w:color w:val="000000"/>
          <w:lang w:val="en-AU" w:eastAsia="ja-JP"/>
        </w:rPr>
        <w:t xml:space="preserve">, </w:t>
      </w:r>
      <w:r w:rsidR="00276B98">
        <w:rPr>
          <w:rFonts w:cstheme="minorBidi"/>
          <w:color w:val="000000"/>
          <w:lang w:val="en-AU" w:eastAsia="ja-JP"/>
        </w:rPr>
        <w:t xml:space="preserve">including </w:t>
      </w:r>
      <w:r w:rsidR="004F334F">
        <w:rPr>
          <w:rFonts w:cstheme="minorBidi"/>
          <w:color w:val="000000"/>
          <w:lang w:val="en-AU" w:eastAsia="ja-JP"/>
        </w:rPr>
        <w:t xml:space="preserve">disclosure of </w:t>
      </w:r>
      <w:r w:rsidR="005A0A89">
        <w:rPr>
          <w:rFonts w:cstheme="minorBidi"/>
          <w:color w:val="000000"/>
          <w:lang w:val="en-AU" w:eastAsia="ja-JP"/>
        </w:rPr>
        <w:t>methodologies</w:t>
      </w:r>
      <w:r w:rsidR="00A030A0" w:rsidRPr="004B429F">
        <w:rPr>
          <w:rFonts w:cstheme="minorBidi"/>
          <w:color w:val="000000"/>
          <w:lang w:val="en-AU" w:eastAsia="ja-JP"/>
        </w:rPr>
        <w:t xml:space="preserve"> and </w:t>
      </w:r>
      <w:r w:rsidR="00B45544" w:rsidRPr="004B429F">
        <w:rPr>
          <w:rFonts w:cstheme="minorBidi"/>
          <w:color w:val="000000"/>
          <w:lang w:val="en-AU" w:eastAsia="ja-JP"/>
        </w:rPr>
        <w:t>limitations</w:t>
      </w:r>
      <w:r w:rsidR="00B45544">
        <w:rPr>
          <w:rFonts w:cstheme="minorBidi"/>
          <w:color w:val="000000"/>
          <w:lang w:val="en-AU" w:eastAsia="ja-JP"/>
        </w:rPr>
        <w:t>.</w:t>
      </w:r>
    </w:p>
    <w:p w14:paraId="5D4BC742" w14:textId="1A1C1B4C" w:rsidR="00A11A34" w:rsidRPr="004B429F" w:rsidRDefault="007D2FA8" w:rsidP="00A11A34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  <w:color w:val="000000"/>
          <w:szCs w:val="24"/>
          <w:lang w:val="en-AU" w:eastAsia="ja-JP"/>
        </w:rPr>
      </w:pPr>
      <w:r w:rsidRPr="00A11A34">
        <w:rPr>
          <w:rFonts w:cstheme="minorHAnsi"/>
          <w:color w:val="000000"/>
          <w:szCs w:val="24"/>
          <w:lang w:val="en-AU" w:eastAsia="ja-JP"/>
        </w:rPr>
        <w:t>Improve the quality of data collected</w:t>
      </w:r>
      <w:r w:rsidR="00A11A34" w:rsidRPr="00A11A34">
        <w:rPr>
          <w:rFonts w:cstheme="minorHAnsi"/>
          <w:color w:val="000000"/>
          <w:szCs w:val="24"/>
          <w:lang w:val="en-AU" w:eastAsia="ja-JP"/>
        </w:rPr>
        <w:t xml:space="preserve"> </w:t>
      </w:r>
      <w:r w:rsidR="004F334F">
        <w:rPr>
          <w:rFonts w:cstheme="minorHAnsi"/>
          <w:color w:val="000000"/>
          <w:szCs w:val="24"/>
          <w:lang w:val="en-AU" w:eastAsia="ja-JP"/>
        </w:rPr>
        <w:t xml:space="preserve">through </w:t>
      </w:r>
      <w:r w:rsidR="00A11A34" w:rsidRPr="00A11A34">
        <w:rPr>
          <w:rFonts w:cstheme="minorHAnsi"/>
          <w:color w:val="000000"/>
          <w:szCs w:val="24"/>
          <w:lang w:val="en-AU" w:eastAsia="ja-JP"/>
        </w:rPr>
        <w:t xml:space="preserve">reducing </w:t>
      </w:r>
      <w:r w:rsidR="00200C11">
        <w:rPr>
          <w:rFonts w:cstheme="minorHAnsi"/>
          <w:color w:val="000000"/>
          <w:szCs w:val="24"/>
          <w:lang w:val="en-AU" w:eastAsia="ja-JP"/>
        </w:rPr>
        <w:t xml:space="preserve">high </w:t>
      </w:r>
      <w:r w:rsidR="00A11A34" w:rsidRPr="00A11A34">
        <w:rPr>
          <w:rFonts w:cstheme="minorHAnsi"/>
          <w:color w:val="000000"/>
          <w:szCs w:val="24"/>
          <w:lang w:val="en-AU" w:eastAsia="ja-JP"/>
        </w:rPr>
        <w:t xml:space="preserve">dependency </w:t>
      </w:r>
      <w:r w:rsidR="00A11A34">
        <w:rPr>
          <w:rFonts w:cstheme="minorHAnsi"/>
          <w:color w:val="000000"/>
          <w:szCs w:val="24"/>
          <w:lang w:val="en-AU" w:eastAsia="ja-JP"/>
        </w:rPr>
        <w:t xml:space="preserve">on </w:t>
      </w:r>
      <w:r w:rsidR="00A11A34" w:rsidRPr="00A11A34">
        <w:rPr>
          <w:rFonts w:cstheme="minorHAnsi"/>
          <w:color w:val="000000"/>
          <w:szCs w:val="24"/>
          <w:lang w:val="en-AU" w:eastAsia="ja-JP"/>
        </w:rPr>
        <w:t>secondary information,</w:t>
      </w:r>
      <w:r w:rsidR="008141D1">
        <w:rPr>
          <w:rFonts w:cstheme="minorHAnsi"/>
          <w:color w:val="000000"/>
          <w:szCs w:val="24"/>
          <w:lang w:val="en-AU" w:eastAsia="ja-JP"/>
        </w:rPr>
        <w:t xml:space="preserve"> as well as</w:t>
      </w:r>
      <w:r w:rsidR="009706CD">
        <w:rPr>
          <w:rFonts w:cstheme="minorHAnsi"/>
          <w:color w:val="000000"/>
          <w:szCs w:val="24"/>
          <w:lang w:val="en-AU" w:eastAsia="ja-JP"/>
        </w:rPr>
        <w:t xml:space="preserve"> improving</w:t>
      </w:r>
      <w:r w:rsidR="0067142E">
        <w:rPr>
          <w:rFonts w:cstheme="minorHAnsi"/>
          <w:color w:val="000000"/>
          <w:szCs w:val="24"/>
          <w:lang w:val="en-AU" w:eastAsia="ja-JP"/>
        </w:rPr>
        <w:t xml:space="preserve"> ways to </w:t>
      </w:r>
      <w:r w:rsidR="009706CD">
        <w:rPr>
          <w:rFonts w:cstheme="minorHAnsi"/>
          <w:color w:val="000000"/>
          <w:szCs w:val="24"/>
          <w:lang w:val="en-AU" w:eastAsia="ja-JP"/>
        </w:rPr>
        <w:t>collect and assess</w:t>
      </w:r>
      <w:r w:rsidR="0067142E">
        <w:rPr>
          <w:rFonts w:cstheme="minorHAnsi"/>
          <w:color w:val="000000"/>
          <w:szCs w:val="24"/>
          <w:lang w:val="en-AU" w:eastAsia="ja-JP"/>
        </w:rPr>
        <w:t xml:space="preserve"> primary</w:t>
      </w:r>
      <w:r w:rsidR="00056212">
        <w:rPr>
          <w:rFonts w:cstheme="minorHAnsi"/>
          <w:color w:val="000000"/>
          <w:szCs w:val="24"/>
          <w:lang w:val="en-AU" w:eastAsia="ja-JP"/>
        </w:rPr>
        <w:t xml:space="preserve"> </w:t>
      </w:r>
      <w:r w:rsidR="00A11A34" w:rsidRPr="00A11A34">
        <w:rPr>
          <w:rFonts w:cstheme="minorHAnsi"/>
          <w:color w:val="000000"/>
          <w:szCs w:val="24"/>
          <w:lang w:val="en-AU" w:eastAsia="ja-JP"/>
        </w:rPr>
        <w:t>information</w:t>
      </w:r>
      <w:r w:rsidR="009706CD">
        <w:rPr>
          <w:rFonts w:cstheme="minorHAnsi"/>
          <w:color w:val="000000"/>
          <w:szCs w:val="24"/>
          <w:lang w:val="en-AU" w:eastAsia="ja-JP"/>
        </w:rPr>
        <w:t>. This requires ESG services providers to seek ways to engage</w:t>
      </w:r>
      <w:r w:rsidR="00A11A34" w:rsidRPr="00A11A34">
        <w:rPr>
          <w:rFonts w:cstheme="minorHAnsi"/>
          <w:color w:val="000000"/>
          <w:szCs w:val="24"/>
          <w:lang w:val="en-AU" w:eastAsia="ja-JP"/>
        </w:rPr>
        <w:t xml:space="preserve"> directly and meaningfully with </w:t>
      </w:r>
      <w:r w:rsidR="003E5506">
        <w:rPr>
          <w:rFonts w:cstheme="minorHAnsi"/>
          <w:color w:val="000000"/>
          <w:szCs w:val="24"/>
          <w:lang w:val="en-AU" w:eastAsia="ja-JP"/>
        </w:rPr>
        <w:t>right-holders</w:t>
      </w:r>
      <w:r w:rsidR="00A11A34" w:rsidRPr="00A11A34">
        <w:rPr>
          <w:rFonts w:cstheme="minorHAnsi"/>
          <w:color w:val="000000"/>
          <w:szCs w:val="24"/>
          <w:lang w:val="en-AU" w:eastAsia="ja-JP"/>
        </w:rPr>
        <w:t xml:space="preserve"> that are directly affected by business operations</w:t>
      </w:r>
      <w:r w:rsidR="00B45544">
        <w:rPr>
          <w:rFonts w:cstheme="minorHAnsi"/>
          <w:color w:val="000000"/>
          <w:szCs w:val="24"/>
          <w:lang w:val="en-AU" w:eastAsia="ja-JP"/>
        </w:rPr>
        <w:t>.</w:t>
      </w:r>
    </w:p>
    <w:p w14:paraId="6A3385BB" w14:textId="23A8E545" w:rsidR="00A030A0" w:rsidRPr="007D2FA8" w:rsidRDefault="007B0441" w:rsidP="00A030A0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Bidi"/>
          <w:color w:val="000000"/>
          <w:lang w:val="en-AU" w:eastAsia="ja-JP"/>
        </w:rPr>
        <w:t>H</w:t>
      </w:r>
      <w:r w:rsidR="00A030A0" w:rsidRPr="004B429F">
        <w:rPr>
          <w:rFonts w:cstheme="minorBidi"/>
          <w:color w:val="000000"/>
          <w:lang w:val="en-AU" w:eastAsia="ja-JP"/>
        </w:rPr>
        <w:t>armonise sets of criteria based on international standards</w:t>
      </w:r>
      <w:r w:rsidR="007D2FA8">
        <w:rPr>
          <w:rFonts w:cstheme="minorBidi"/>
          <w:color w:val="000000"/>
          <w:lang w:val="en-AU" w:eastAsia="ja-JP"/>
        </w:rPr>
        <w:t xml:space="preserve">, </w:t>
      </w:r>
      <w:r w:rsidR="00A030A0" w:rsidRPr="004B429F">
        <w:rPr>
          <w:rFonts w:cstheme="minorBidi"/>
          <w:color w:val="000000"/>
          <w:lang w:val="en-AU" w:eastAsia="ja-JP"/>
        </w:rPr>
        <w:t xml:space="preserve">and disaggregate environmental, social and governance ratings to prevent greenwashing. </w:t>
      </w:r>
    </w:p>
    <w:p w14:paraId="41DE3282" w14:textId="5A69BC09" w:rsidR="007D2FA8" w:rsidRPr="004B429F" w:rsidRDefault="006145F7" w:rsidP="004B429F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>Consistently</w:t>
      </w:r>
      <w:r w:rsidR="005725EB">
        <w:rPr>
          <w:rFonts w:cstheme="minorHAnsi"/>
          <w:color w:val="000000"/>
          <w:szCs w:val="24"/>
          <w:lang w:val="en-AU" w:eastAsia="ja-JP"/>
        </w:rPr>
        <w:t xml:space="preserve"> </w:t>
      </w:r>
      <w:r w:rsidR="005725EB" w:rsidDel="00EB6D7C">
        <w:rPr>
          <w:rFonts w:cstheme="minorHAnsi"/>
          <w:color w:val="000000"/>
          <w:szCs w:val="24"/>
          <w:lang w:val="en-AU" w:eastAsia="ja-JP"/>
        </w:rPr>
        <w:t xml:space="preserve">assess how businesses </w:t>
      </w:r>
      <w:r w:rsidR="005725EB" w:rsidDel="00357AB4">
        <w:rPr>
          <w:rFonts w:cstheme="minorHAnsi"/>
          <w:color w:val="000000"/>
          <w:szCs w:val="24"/>
          <w:lang w:val="en-AU" w:eastAsia="ja-JP"/>
        </w:rPr>
        <w:t xml:space="preserve">are </w:t>
      </w:r>
      <w:r w:rsidR="005725EB">
        <w:rPr>
          <w:rFonts w:cstheme="minorHAnsi"/>
          <w:color w:val="000000"/>
          <w:szCs w:val="24"/>
          <w:lang w:val="en-AU" w:eastAsia="ja-JP"/>
        </w:rPr>
        <w:t xml:space="preserve">effectively engaging with affected communities and individuals to </w:t>
      </w:r>
      <w:r w:rsidR="00E05BC4">
        <w:rPr>
          <w:rFonts w:cstheme="minorHAnsi"/>
          <w:color w:val="000000"/>
          <w:szCs w:val="24"/>
          <w:lang w:val="en-AU" w:eastAsia="ja-JP"/>
        </w:rPr>
        <w:t>prevent</w:t>
      </w:r>
      <w:r w:rsidR="00905CB8">
        <w:rPr>
          <w:rFonts w:cstheme="minorHAnsi"/>
          <w:color w:val="000000"/>
          <w:szCs w:val="24"/>
          <w:lang w:val="en-AU" w:eastAsia="ja-JP"/>
        </w:rPr>
        <w:t xml:space="preserve"> and</w:t>
      </w:r>
      <w:r w:rsidR="00E05BC4">
        <w:rPr>
          <w:rFonts w:cstheme="minorHAnsi"/>
          <w:color w:val="000000"/>
          <w:szCs w:val="24"/>
          <w:lang w:val="en-AU" w:eastAsia="ja-JP"/>
        </w:rPr>
        <w:t xml:space="preserve"> mitigate</w:t>
      </w:r>
      <w:r w:rsidR="005725EB">
        <w:rPr>
          <w:rFonts w:cstheme="minorHAnsi"/>
          <w:color w:val="000000"/>
          <w:szCs w:val="24"/>
          <w:lang w:val="en-AU" w:eastAsia="ja-JP"/>
        </w:rPr>
        <w:t xml:space="preserve"> risks</w:t>
      </w:r>
      <w:r w:rsidR="005A7B02">
        <w:rPr>
          <w:rFonts w:cstheme="minorHAnsi"/>
          <w:color w:val="000000"/>
          <w:szCs w:val="24"/>
          <w:lang w:val="en-AU" w:eastAsia="ja-JP"/>
        </w:rPr>
        <w:t xml:space="preserve">, and </w:t>
      </w:r>
      <w:r w:rsidR="004A5092">
        <w:rPr>
          <w:rFonts w:cstheme="minorHAnsi"/>
          <w:color w:val="000000"/>
          <w:szCs w:val="24"/>
          <w:lang w:val="en-AU" w:eastAsia="ja-JP"/>
        </w:rPr>
        <w:t xml:space="preserve">to </w:t>
      </w:r>
      <w:r w:rsidR="005A7B02">
        <w:rPr>
          <w:rFonts w:cstheme="minorHAnsi"/>
          <w:color w:val="000000"/>
          <w:szCs w:val="24"/>
          <w:lang w:val="en-AU" w:eastAsia="ja-JP"/>
        </w:rPr>
        <w:t xml:space="preserve">remediate </w:t>
      </w:r>
      <w:r w:rsidR="002F4FEB">
        <w:rPr>
          <w:rFonts w:cstheme="minorHAnsi"/>
          <w:color w:val="000000"/>
          <w:szCs w:val="24"/>
          <w:lang w:val="en-AU" w:eastAsia="ja-JP"/>
        </w:rPr>
        <w:t>human rights and environmental impacts</w:t>
      </w:r>
      <w:r w:rsidR="005725EB">
        <w:rPr>
          <w:rFonts w:cstheme="minorHAnsi"/>
          <w:color w:val="000000"/>
          <w:szCs w:val="24"/>
          <w:lang w:val="en-AU" w:eastAsia="ja-JP"/>
        </w:rPr>
        <w:t xml:space="preserve"> in accordance with international standards such as </w:t>
      </w:r>
      <w:r w:rsidR="002F65BF">
        <w:rPr>
          <w:rFonts w:cstheme="minorHAnsi"/>
          <w:color w:val="000000"/>
          <w:szCs w:val="24"/>
          <w:lang w:val="en-AU" w:eastAsia="ja-JP"/>
        </w:rPr>
        <w:t xml:space="preserve">the </w:t>
      </w:r>
      <w:r w:rsidR="005725EB">
        <w:rPr>
          <w:rFonts w:cstheme="minorHAnsi"/>
          <w:color w:val="000000"/>
          <w:szCs w:val="24"/>
          <w:lang w:val="en-AU" w:eastAsia="ja-JP"/>
        </w:rPr>
        <w:t>UNGPs and OECD Guidelines</w:t>
      </w:r>
      <w:r w:rsidR="002F79D4">
        <w:rPr>
          <w:rFonts w:cstheme="minorHAnsi"/>
          <w:color w:val="000000"/>
          <w:szCs w:val="24"/>
          <w:lang w:val="en-AU" w:eastAsia="ja-JP"/>
        </w:rPr>
        <w:t>.</w:t>
      </w:r>
    </w:p>
    <w:p w14:paraId="2F5682C8" w14:textId="559E49F3" w:rsidR="00A030A0" w:rsidRDefault="00A030A0" w:rsidP="009910FF">
      <w:pPr>
        <w:shd w:val="clear" w:color="auto" w:fill="FFFFFF"/>
        <w:spacing w:before="120" w:after="120"/>
        <w:rPr>
          <w:rFonts w:cstheme="minorHAnsi"/>
          <w:color w:val="000000"/>
          <w:szCs w:val="24"/>
          <w:lang w:val="en-AU" w:eastAsia="ja-JP"/>
        </w:rPr>
      </w:pPr>
    </w:p>
    <w:p w14:paraId="13A143AF" w14:textId="751D27D0" w:rsidR="008274DD" w:rsidRPr="006F301F" w:rsidRDefault="00FF7031" w:rsidP="00E43D53">
      <w:pPr>
        <w:shd w:val="clear" w:color="auto" w:fill="FFFFFF"/>
        <w:spacing w:before="120" w:after="120"/>
        <w:rPr>
          <w:rFonts w:cstheme="minorHAnsi"/>
          <w:b/>
          <w:bCs/>
          <w:color w:val="000000"/>
          <w:szCs w:val="24"/>
          <w:lang w:val="en-AU" w:eastAsia="ja-JP"/>
        </w:rPr>
      </w:pPr>
      <w:r w:rsidRPr="006F301F">
        <w:rPr>
          <w:rFonts w:cstheme="minorHAnsi"/>
          <w:b/>
          <w:bCs/>
          <w:color w:val="000000"/>
          <w:szCs w:val="24"/>
          <w:lang w:val="en-AU" w:eastAsia="ja-JP"/>
        </w:rPr>
        <w:t>Corporate responsibility to respect human rights</w:t>
      </w:r>
    </w:p>
    <w:p w14:paraId="1BB6767D" w14:textId="32D8A58C" w:rsidR="00DE639D" w:rsidRPr="00BF6B46" w:rsidRDefault="00071EC1" w:rsidP="00DE639D">
      <w:pPr>
        <w:numPr>
          <w:ilvl w:val="0"/>
          <w:numId w:val="9"/>
        </w:numPr>
        <w:shd w:val="clear" w:color="auto" w:fill="FFFFFF"/>
        <w:spacing w:before="120" w:after="120"/>
        <w:rPr>
          <w:rFonts w:cstheme="minorHAnsi"/>
          <w:b/>
          <w:bCs/>
          <w:color w:val="000000"/>
          <w:szCs w:val="24"/>
          <w:lang w:val="en-AU" w:eastAsia="ja-JP"/>
        </w:rPr>
      </w:pPr>
      <w:r w:rsidRPr="751C2E37">
        <w:rPr>
          <w:rFonts w:cstheme="minorBidi"/>
          <w:b/>
          <w:bCs/>
          <w:color w:val="000000" w:themeColor="text1"/>
          <w:lang w:val="en-AU" w:eastAsia="ja-JP"/>
        </w:rPr>
        <w:t>To what extent do investors assess human rights risks and adverse impacts using a risk to righ</w:t>
      </w:r>
      <w:r w:rsidR="007B4C2A" w:rsidRPr="751C2E37">
        <w:rPr>
          <w:rFonts w:cstheme="minorBidi"/>
          <w:b/>
          <w:bCs/>
          <w:color w:val="000000" w:themeColor="text1"/>
          <w:lang w:val="en-AU" w:eastAsia="ja-JP"/>
        </w:rPr>
        <w:t>t</w:t>
      </w:r>
      <w:r w:rsidRPr="751C2E37">
        <w:rPr>
          <w:rFonts w:cstheme="minorBidi"/>
          <w:b/>
          <w:bCs/>
          <w:color w:val="000000" w:themeColor="text1"/>
          <w:lang w:val="en-AU" w:eastAsia="ja-JP"/>
        </w:rPr>
        <w:t>-holders lens as being separate from ESG materiality considerations or as part of double materiality assessment? Are these integrated into an ESG approach and if so, how?</w:t>
      </w:r>
      <w:r w:rsidR="008C3BFC" w:rsidRPr="751C2E37">
        <w:rPr>
          <w:rFonts w:cstheme="minorBidi"/>
          <w:b/>
          <w:bCs/>
          <w:color w:val="000000" w:themeColor="text1"/>
          <w:lang w:val="en-AU" w:eastAsia="ja-JP"/>
        </w:rPr>
        <w:t xml:space="preserve"> Please provide examples of practices.</w:t>
      </w:r>
    </w:p>
    <w:p w14:paraId="658AF468" w14:textId="77777777" w:rsidR="008274DD" w:rsidRDefault="008274DD" w:rsidP="00175450">
      <w:pPr>
        <w:rPr>
          <w:rFonts w:cstheme="minorHAnsi"/>
          <w:color w:val="000000"/>
          <w:szCs w:val="24"/>
          <w:lang w:val="en-AU" w:eastAsia="ja-JP"/>
        </w:rPr>
      </w:pPr>
    </w:p>
    <w:p w14:paraId="54D58E05" w14:textId="08E7564A" w:rsidR="004762C0" w:rsidRDefault="004762C0" w:rsidP="002C1B8C">
      <w:pPr>
        <w:rPr>
          <w:rFonts w:cstheme="minorHAnsi"/>
          <w:color w:val="000000"/>
          <w:szCs w:val="24"/>
          <w:lang w:val="en-AU" w:eastAsia="ja-JP"/>
        </w:rPr>
      </w:pPr>
      <w:r w:rsidRPr="751C2E37">
        <w:rPr>
          <w:rFonts w:cstheme="minorBidi"/>
          <w:color w:val="000000" w:themeColor="text1"/>
          <w:lang w:val="en-AU" w:eastAsia="ja-JP"/>
        </w:rPr>
        <w:t xml:space="preserve">While the analytic solutions provided by ESG service providers may offer investors a starting point to improve business strategies, corporate </w:t>
      </w:r>
      <w:r w:rsidR="002C1B8C" w:rsidRPr="751C2E37">
        <w:rPr>
          <w:rFonts w:cstheme="minorBidi"/>
          <w:color w:val="000000" w:themeColor="text1"/>
          <w:lang w:val="en-AU" w:eastAsia="ja-JP"/>
        </w:rPr>
        <w:t>disclosures,</w:t>
      </w:r>
      <w:r w:rsidRPr="751C2E37">
        <w:rPr>
          <w:rFonts w:cstheme="minorBidi"/>
          <w:color w:val="000000" w:themeColor="text1"/>
          <w:lang w:val="en-AU" w:eastAsia="ja-JP"/>
        </w:rPr>
        <w:t xml:space="preserve"> and analysis of ESG information should be seen as a first step towards implementing duty of care obligations by investors. </w:t>
      </w:r>
      <w:r>
        <w:rPr>
          <w:rFonts w:cstheme="minorHAnsi"/>
          <w:color w:val="000000"/>
          <w:szCs w:val="24"/>
          <w:lang w:val="en-AU" w:eastAsia="ja-JP"/>
        </w:rPr>
        <w:t>I</w:t>
      </w:r>
      <w:r w:rsidRPr="00EA71A8">
        <w:rPr>
          <w:rFonts w:cstheme="minorHAnsi"/>
          <w:color w:val="000000"/>
          <w:szCs w:val="24"/>
          <w:lang w:val="en-AU" w:eastAsia="ja-JP"/>
        </w:rPr>
        <w:t xml:space="preserve">nvestors are increasingly relying on and demanding ready-made ESG data from </w:t>
      </w:r>
      <w:r>
        <w:rPr>
          <w:rFonts w:cstheme="minorHAnsi"/>
          <w:color w:val="000000"/>
          <w:szCs w:val="24"/>
          <w:lang w:val="en-AU" w:eastAsia="ja-JP"/>
        </w:rPr>
        <w:t>ESG service providers</w:t>
      </w:r>
      <w:r w:rsidRPr="00EA71A8">
        <w:rPr>
          <w:rFonts w:cstheme="minorHAnsi"/>
          <w:color w:val="000000"/>
          <w:szCs w:val="24"/>
          <w:lang w:val="en-AU" w:eastAsia="ja-JP"/>
        </w:rPr>
        <w:t xml:space="preserve"> to inform their investment decisions, including raw and more granular ESG data covering various datapoints. </w:t>
      </w:r>
      <w:r w:rsidR="00577331">
        <w:rPr>
          <w:rFonts w:cstheme="minorHAnsi"/>
          <w:color w:val="000000"/>
          <w:szCs w:val="24"/>
          <w:lang w:val="en-AU" w:eastAsia="ja-JP"/>
        </w:rPr>
        <w:t xml:space="preserve">Investors need to </w:t>
      </w:r>
      <w:r w:rsidR="00C20620">
        <w:rPr>
          <w:rFonts w:cstheme="minorHAnsi"/>
          <w:color w:val="000000"/>
          <w:szCs w:val="24"/>
          <w:lang w:val="en-AU" w:eastAsia="ja-JP"/>
        </w:rPr>
        <w:t>recognise that while</w:t>
      </w:r>
      <w:r>
        <w:rPr>
          <w:rFonts w:cstheme="minorHAnsi"/>
          <w:color w:val="000000"/>
          <w:szCs w:val="24"/>
          <w:lang w:val="en-AU" w:eastAsia="ja-JP"/>
        </w:rPr>
        <w:t xml:space="preserve"> ESG service providers typically align these datapoints with a wide range of international standards, including the UNGPs and OECD Guidelines, </w:t>
      </w:r>
      <w:r w:rsidRPr="00EA71A8">
        <w:rPr>
          <w:rFonts w:cstheme="minorHAnsi"/>
          <w:color w:val="000000"/>
          <w:szCs w:val="24"/>
          <w:lang w:val="en-AU" w:eastAsia="ja-JP"/>
        </w:rPr>
        <w:t xml:space="preserve">concerns remain about potential conflicts of interest which may affect the </w:t>
      </w:r>
      <w:r>
        <w:rPr>
          <w:rFonts w:cstheme="minorHAnsi"/>
          <w:color w:val="000000"/>
          <w:szCs w:val="24"/>
          <w:lang w:val="en-AU" w:eastAsia="ja-JP"/>
        </w:rPr>
        <w:t>reliability</w:t>
      </w:r>
      <w:r w:rsidRPr="00EA71A8">
        <w:rPr>
          <w:rFonts w:cstheme="minorHAnsi"/>
          <w:color w:val="000000"/>
          <w:szCs w:val="24"/>
          <w:lang w:val="en-AU" w:eastAsia="ja-JP"/>
        </w:rPr>
        <w:t xml:space="preserve"> of ESG data</w:t>
      </w:r>
      <w:r>
        <w:rPr>
          <w:rFonts w:cstheme="minorHAnsi"/>
          <w:color w:val="000000"/>
          <w:szCs w:val="24"/>
          <w:lang w:val="en-AU" w:eastAsia="ja-JP"/>
        </w:rPr>
        <w:t xml:space="preserve"> and methodologies involved in ESG ratings. </w:t>
      </w:r>
      <w:r w:rsidRPr="00EA71A8">
        <w:rPr>
          <w:rFonts w:cstheme="minorHAnsi"/>
          <w:color w:val="000000"/>
          <w:szCs w:val="24"/>
          <w:lang w:val="en-AU" w:eastAsia="ja-JP"/>
        </w:rPr>
        <w:t xml:space="preserve"> </w:t>
      </w:r>
    </w:p>
    <w:p w14:paraId="1FB6428A" w14:textId="77777777" w:rsidR="004762C0" w:rsidRDefault="004762C0" w:rsidP="004762C0">
      <w:pPr>
        <w:shd w:val="clear" w:color="auto" w:fill="FFFFFF"/>
        <w:spacing w:before="120" w:after="120"/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 xml:space="preserve">Such conflicts of interest include but are not limited to the following: </w:t>
      </w:r>
    </w:p>
    <w:p w14:paraId="2E23711D" w14:textId="77777777" w:rsidR="004762C0" w:rsidRPr="004066E0" w:rsidRDefault="004762C0" w:rsidP="004762C0">
      <w:pPr>
        <w:numPr>
          <w:ilvl w:val="0"/>
          <w:numId w:val="12"/>
        </w:numPr>
        <w:shd w:val="clear" w:color="auto" w:fill="FFFFFF"/>
        <w:spacing w:before="120" w:after="120"/>
        <w:rPr>
          <w:rFonts w:cstheme="minorHAnsi"/>
          <w:color w:val="000000"/>
          <w:szCs w:val="24"/>
          <w:lang w:val="en-AU" w:eastAsia="ja-JP"/>
        </w:rPr>
      </w:pPr>
      <w:r w:rsidRPr="200C1C59">
        <w:rPr>
          <w:rFonts w:cstheme="minorBidi"/>
          <w:color w:val="000000"/>
          <w:lang w:val="en-AU" w:eastAsia="ja-JP"/>
        </w:rPr>
        <w:t xml:space="preserve">ESG service providers </w:t>
      </w:r>
      <w:r>
        <w:rPr>
          <w:rFonts w:cstheme="minorBidi"/>
          <w:color w:val="000000"/>
          <w:lang w:val="en-AU" w:eastAsia="ja-JP"/>
        </w:rPr>
        <w:t>sometimes are a</w:t>
      </w:r>
      <w:r w:rsidRPr="200C1C59">
        <w:rPr>
          <w:rFonts w:cstheme="minorBidi"/>
          <w:color w:val="000000"/>
          <w:lang w:val="en-AU" w:eastAsia="ja-JP"/>
        </w:rPr>
        <w:t xml:space="preserve"> part of larger proxy advisory firms</w:t>
      </w:r>
      <w:r w:rsidRPr="200C1C59">
        <w:rPr>
          <w:rStyle w:val="FootnoteReference"/>
          <w:rFonts w:cstheme="minorBidi"/>
          <w:color w:val="000000"/>
          <w:lang w:val="en-AU" w:eastAsia="ja-JP"/>
        </w:rPr>
        <w:footnoteReference w:id="5"/>
      </w:r>
      <w:r w:rsidRPr="200C1C59">
        <w:rPr>
          <w:rFonts w:cstheme="minorBidi"/>
          <w:color w:val="000000"/>
          <w:lang w:val="en-AU" w:eastAsia="ja-JP"/>
        </w:rPr>
        <w:t xml:space="preserve"> which recommend clients on how to vote at annual shareholder meetings. Such voting recommendations at times fail to adequately integrate </w:t>
      </w:r>
      <w:r>
        <w:rPr>
          <w:rFonts w:cstheme="minorBidi"/>
          <w:color w:val="000000"/>
          <w:lang w:val="en-AU" w:eastAsia="ja-JP"/>
        </w:rPr>
        <w:t>ESG analysis</w:t>
      </w:r>
      <w:r w:rsidRPr="200C1C59">
        <w:rPr>
          <w:rFonts w:cstheme="minorBidi"/>
          <w:color w:val="000000"/>
          <w:lang w:val="en-AU" w:eastAsia="ja-JP"/>
        </w:rPr>
        <w:t xml:space="preserve"> produced by other parts of the firm or insufficiently reflect pertinent human rights and environmental risks, which has drawn criticism from more progressive asset managers</w:t>
      </w:r>
      <w:r w:rsidRPr="200C1C59">
        <w:rPr>
          <w:rStyle w:val="FootnoteReference"/>
          <w:rFonts w:cstheme="minorBidi"/>
          <w:color w:val="000000"/>
          <w:lang w:val="en-AU" w:eastAsia="ja-JP"/>
        </w:rPr>
        <w:footnoteReference w:id="6"/>
      </w:r>
      <w:r w:rsidRPr="200C1C59">
        <w:rPr>
          <w:rFonts w:cstheme="minorBidi"/>
          <w:color w:val="000000"/>
          <w:lang w:val="en-AU" w:eastAsia="ja-JP"/>
        </w:rPr>
        <w:t xml:space="preserve">. </w:t>
      </w:r>
    </w:p>
    <w:p w14:paraId="20B73C3B" w14:textId="313030FF" w:rsidR="004762C0" w:rsidRDefault="004762C0" w:rsidP="004762C0">
      <w:pPr>
        <w:numPr>
          <w:ilvl w:val="0"/>
          <w:numId w:val="12"/>
        </w:numPr>
        <w:shd w:val="clear" w:color="auto" w:fill="FFFFFF"/>
        <w:spacing w:before="120" w:after="120"/>
        <w:rPr>
          <w:rFonts w:cstheme="minorHAnsi"/>
          <w:color w:val="000000"/>
          <w:szCs w:val="24"/>
          <w:lang w:val="en-AU" w:eastAsia="ja-JP"/>
        </w:rPr>
      </w:pPr>
      <w:r w:rsidRPr="004066E0">
        <w:rPr>
          <w:rFonts w:cstheme="minorHAnsi"/>
          <w:color w:val="000000"/>
          <w:szCs w:val="24"/>
          <w:lang w:val="en-AU" w:eastAsia="ja-JP"/>
        </w:rPr>
        <w:t xml:space="preserve">ESG service providers may offer engagement services to facilitate dialogue between </w:t>
      </w:r>
      <w:r>
        <w:rPr>
          <w:rFonts w:cstheme="minorHAnsi"/>
          <w:color w:val="000000"/>
          <w:szCs w:val="24"/>
          <w:lang w:val="en-AU" w:eastAsia="ja-JP"/>
        </w:rPr>
        <w:t xml:space="preserve">investor </w:t>
      </w:r>
      <w:r w:rsidRPr="004066E0">
        <w:rPr>
          <w:rFonts w:cstheme="minorHAnsi"/>
          <w:color w:val="000000"/>
          <w:szCs w:val="24"/>
          <w:lang w:val="en-AU" w:eastAsia="ja-JP"/>
        </w:rPr>
        <w:t xml:space="preserve">clients and </w:t>
      </w:r>
      <w:r>
        <w:rPr>
          <w:rFonts w:cstheme="minorHAnsi"/>
          <w:color w:val="000000"/>
          <w:szCs w:val="24"/>
          <w:lang w:val="en-AU" w:eastAsia="ja-JP"/>
        </w:rPr>
        <w:t>the companies they rate</w:t>
      </w:r>
      <w:r w:rsidRPr="004066E0">
        <w:rPr>
          <w:rFonts w:cstheme="minorHAnsi"/>
          <w:color w:val="000000"/>
          <w:szCs w:val="24"/>
          <w:lang w:val="en-AU" w:eastAsia="ja-JP"/>
        </w:rPr>
        <w:t>. While</w:t>
      </w:r>
      <w:r>
        <w:rPr>
          <w:rFonts w:cstheme="minorHAnsi"/>
          <w:color w:val="000000"/>
          <w:szCs w:val="24"/>
          <w:lang w:val="en-AU" w:eastAsia="ja-JP"/>
        </w:rPr>
        <w:t xml:space="preserve">, in theory, </w:t>
      </w:r>
      <w:r w:rsidRPr="004066E0">
        <w:rPr>
          <w:rFonts w:cstheme="minorHAnsi"/>
          <w:color w:val="000000"/>
          <w:szCs w:val="24"/>
          <w:lang w:val="en-AU" w:eastAsia="ja-JP"/>
        </w:rPr>
        <w:t xml:space="preserve">these services have the potential to provide investors </w:t>
      </w:r>
      <w:r w:rsidRPr="00374223">
        <w:rPr>
          <w:rFonts w:cstheme="minorHAnsi"/>
          <w:color w:val="000000"/>
          <w:szCs w:val="24"/>
          <w:lang w:val="en-AU" w:eastAsia="ja-JP"/>
        </w:rPr>
        <w:t xml:space="preserve">with </w:t>
      </w:r>
      <w:r w:rsidRPr="004066E0">
        <w:rPr>
          <w:rFonts w:cstheme="minorHAnsi"/>
          <w:color w:val="000000"/>
          <w:szCs w:val="24"/>
          <w:lang w:val="en-AU" w:eastAsia="ja-JP"/>
        </w:rPr>
        <w:t xml:space="preserve">a platform to exercise leverage over their portfolio companies in </w:t>
      </w:r>
      <w:r w:rsidRPr="00374223">
        <w:rPr>
          <w:rFonts w:cstheme="minorHAnsi"/>
          <w:color w:val="000000"/>
          <w:szCs w:val="24"/>
          <w:lang w:val="en-AU" w:eastAsia="ja-JP"/>
        </w:rPr>
        <w:t>accordance</w:t>
      </w:r>
      <w:r w:rsidRPr="004066E0">
        <w:rPr>
          <w:rFonts w:cstheme="minorHAnsi"/>
          <w:color w:val="000000"/>
          <w:szCs w:val="24"/>
          <w:lang w:val="en-AU" w:eastAsia="ja-JP"/>
        </w:rPr>
        <w:t xml:space="preserve"> with UNGPs, it is important to recogni</w:t>
      </w:r>
      <w:r w:rsidR="00835DA6">
        <w:rPr>
          <w:rFonts w:cstheme="minorHAnsi"/>
          <w:color w:val="000000"/>
          <w:szCs w:val="24"/>
          <w:lang w:val="en-AU" w:eastAsia="ja-JP"/>
        </w:rPr>
        <w:t>s</w:t>
      </w:r>
      <w:r w:rsidRPr="004066E0">
        <w:rPr>
          <w:rFonts w:cstheme="minorHAnsi"/>
          <w:color w:val="000000"/>
          <w:szCs w:val="24"/>
          <w:lang w:val="en-AU" w:eastAsia="ja-JP"/>
        </w:rPr>
        <w:t>e that engagement services, just like any other service offered by ESG service providers, are commercial products and marketed as such.</w:t>
      </w:r>
      <w:r w:rsidRPr="00374223">
        <w:rPr>
          <w:rFonts w:cstheme="minorHAnsi"/>
          <w:color w:val="000000"/>
          <w:szCs w:val="24"/>
          <w:lang w:val="en-AU" w:eastAsia="ja-JP"/>
        </w:rPr>
        <w:t xml:space="preserve"> </w:t>
      </w:r>
      <w:r>
        <w:rPr>
          <w:rFonts w:cstheme="minorHAnsi"/>
          <w:color w:val="000000"/>
          <w:szCs w:val="24"/>
          <w:lang w:val="en-AU" w:eastAsia="ja-JP"/>
        </w:rPr>
        <w:t>Even if</w:t>
      </w:r>
      <w:r w:rsidRPr="00374223">
        <w:rPr>
          <w:rFonts w:cstheme="minorHAnsi"/>
          <w:color w:val="000000"/>
          <w:szCs w:val="24"/>
          <w:lang w:val="en-AU" w:eastAsia="ja-JP"/>
        </w:rPr>
        <w:t xml:space="preserve"> ESG service providers typically do not </w:t>
      </w:r>
      <w:r>
        <w:rPr>
          <w:rFonts w:cstheme="minorHAnsi"/>
          <w:color w:val="000000"/>
          <w:szCs w:val="24"/>
          <w:lang w:val="en-AU" w:eastAsia="ja-JP"/>
        </w:rPr>
        <w:t xml:space="preserve">advise clients on which investment decision to make, by promoting for-profit engagement services they </w:t>
      </w:r>
      <w:r w:rsidRPr="00374223">
        <w:rPr>
          <w:rFonts w:cstheme="minorHAnsi"/>
          <w:color w:val="000000"/>
          <w:szCs w:val="24"/>
          <w:lang w:val="en-AU" w:eastAsia="ja-JP"/>
        </w:rPr>
        <w:t xml:space="preserve">might create a bias </w:t>
      </w:r>
      <w:r>
        <w:rPr>
          <w:rFonts w:cstheme="minorHAnsi"/>
          <w:color w:val="000000"/>
          <w:szCs w:val="24"/>
          <w:lang w:val="en-AU" w:eastAsia="ja-JP"/>
        </w:rPr>
        <w:t xml:space="preserve">against responsible exits </w:t>
      </w:r>
      <w:r w:rsidR="00BE6C90">
        <w:rPr>
          <w:rFonts w:cstheme="minorHAnsi"/>
          <w:color w:val="000000"/>
          <w:szCs w:val="24"/>
          <w:lang w:val="en-AU" w:eastAsia="ja-JP"/>
        </w:rPr>
        <w:t>and/</w:t>
      </w:r>
      <w:r>
        <w:rPr>
          <w:rFonts w:cstheme="minorHAnsi"/>
          <w:color w:val="000000"/>
          <w:szCs w:val="24"/>
          <w:lang w:val="en-AU" w:eastAsia="ja-JP"/>
        </w:rPr>
        <w:t>or divestment</w:t>
      </w:r>
      <w:r w:rsidR="00F87867">
        <w:rPr>
          <w:rFonts w:cstheme="minorHAnsi"/>
          <w:color w:val="000000"/>
          <w:szCs w:val="24"/>
          <w:lang w:val="en-AU" w:eastAsia="ja-JP"/>
        </w:rPr>
        <w:t>.</w:t>
      </w:r>
    </w:p>
    <w:p w14:paraId="308E5CFB" w14:textId="7825DB59" w:rsidR="004762C0" w:rsidRDefault="004762C0" w:rsidP="004762C0">
      <w:pPr>
        <w:numPr>
          <w:ilvl w:val="0"/>
          <w:numId w:val="12"/>
        </w:numPr>
        <w:shd w:val="clear" w:color="auto" w:fill="FFFFFF" w:themeFill="background1"/>
        <w:spacing w:before="120" w:after="120"/>
        <w:rPr>
          <w:rFonts w:cstheme="minorBidi"/>
          <w:color w:val="000000"/>
          <w:lang w:val="en-AU" w:eastAsia="ja-JP"/>
        </w:rPr>
      </w:pPr>
      <w:r w:rsidRPr="43CA769D">
        <w:rPr>
          <w:rFonts w:cstheme="minorBidi"/>
          <w:color w:val="000000" w:themeColor="text1"/>
          <w:lang w:val="en-AU" w:eastAsia="ja-JP"/>
        </w:rPr>
        <w:t xml:space="preserve">ESG service providers may provide data and other consulting services to clients </w:t>
      </w:r>
      <w:r w:rsidR="000A4F7E">
        <w:rPr>
          <w:rFonts w:cstheme="minorBidi"/>
          <w:color w:val="000000" w:themeColor="text1"/>
          <w:lang w:val="en-AU" w:eastAsia="ja-JP"/>
        </w:rPr>
        <w:t>that</w:t>
      </w:r>
      <w:r w:rsidRPr="43CA769D">
        <w:rPr>
          <w:rFonts w:cstheme="minorBidi"/>
          <w:color w:val="000000" w:themeColor="text1"/>
          <w:lang w:val="en-AU" w:eastAsia="ja-JP"/>
        </w:rPr>
        <w:t xml:space="preserve"> may be involved in ESG-related controversies. </w:t>
      </w:r>
      <w:r w:rsidR="00B301EB">
        <w:rPr>
          <w:rFonts w:cstheme="minorBidi"/>
          <w:color w:val="000000" w:themeColor="text1"/>
          <w:lang w:val="en-AU" w:eastAsia="ja-JP"/>
        </w:rPr>
        <w:t>For</w:t>
      </w:r>
      <w:r w:rsidRPr="43CA769D">
        <w:rPr>
          <w:rFonts w:cstheme="minorBidi"/>
          <w:color w:val="000000" w:themeColor="text1"/>
          <w:lang w:val="en-AU" w:eastAsia="ja-JP"/>
        </w:rPr>
        <w:t xml:space="preserve"> example, a commercial bank </w:t>
      </w:r>
      <w:r w:rsidR="003B20C1">
        <w:rPr>
          <w:rFonts w:cstheme="minorBidi"/>
          <w:color w:val="000000" w:themeColor="text1"/>
          <w:lang w:val="en-AU" w:eastAsia="ja-JP"/>
        </w:rPr>
        <w:t>may be</w:t>
      </w:r>
      <w:r w:rsidRPr="43CA769D">
        <w:rPr>
          <w:rFonts w:cstheme="minorBidi"/>
          <w:color w:val="000000" w:themeColor="text1"/>
          <w:lang w:val="en-AU" w:eastAsia="ja-JP"/>
        </w:rPr>
        <w:t xml:space="preserve"> both a client and </w:t>
      </w:r>
      <w:r w:rsidR="000A4F7E">
        <w:rPr>
          <w:rFonts w:cstheme="minorBidi"/>
          <w:color w:val="000000" w:themeColor="text1"/>
          <w:lang w:val="en-AU" w:eastAsia="ja-JP"/>
        </w:rPr>
        <w:t xml:space="preserve">is </w:t>
      </w:r>
      <w:r w:rsidRPr="43CA769D">
        <w:rPr>
          <w:rFonts w:cstheme="minorBidi"/>
          <w:color w:val="000000" w:themeColor="text1"/>
          <w:lang w:val="en-AU" w:eastAsia="ja-JP"/>
        </w:rPr>
        <w:t>simultaneously financ</w:t>
      </w:r>
      <w:r w:rsidR="006826A0">
        <w:rPr>
          <w:rFonts w:cstheme="minorBidi"/>
          <w:color w:val="000000" w:themeColor="text1"/>
          <w:lang w:val="en-AU" w:eastAsia="ja-JP"/>
        </w:rPr>
        <w:t>ing</w:t>
      </w:r>
      <w:r w:rsidRPr="43CA769D">
        <w:rPr>
          <w:rFonts w:cstheme="minorBidi"/>
          <w:color w:val="000000" w:themeColor="text1"/>
          <w:lang w:val="en-AU" w:eastAsia="ja-JP"/>
        </w:rPr>
        <w:t xml:space="preserve"> a project which allegedly causes, contributes, or is linked to adverse human rights and environmental impacts</w:t>
      </w:r>
      <w:r w:rsidR="003B20C1">
        <w:rPr>
          <w:rFonts w:cstheme="minorBidi"/>
          <w:color w:val="000000" w:themeColor="text1"/>
          <w:lang w:val="en-AU" w:eastAsia="ja-JP"/>
        </w:rPr>
        <w:t>. Another example might be a case where a</w:t>
      </w:r>
      <w:r w:rsidRPr="43CA769D">
        <w:rPr>
          <w:rFonts w:cstheme="minorBidi"/>
          <w:color w:val="000000" w:themeColor="text1"/>
          <w:lang w:val="en-AU" w:eastAsia="ja-JP"/>
        </w:rPr>
        <w:t xml:space="preserve"> client is allegedly involved in facilitating money laundering, bribery, corruption or tax avoidance and evasion. This heightens the risk that ESG analyses are compromised to protect </w:t>
      </w:r>
      <w:r w:rsidR="003B20C1">
        <w:rPr>
          <w:rFonts w:cstheme="minorBidi"/>
          <w:color w:val="000000" w:themeColor="text1"/>
          <w:lang w:val="en-AU" w:eastAsia="ja-JP"/>
        </w:rPr>
        <w:t>clients</w:t>
      </w:r>
      <w:r w:rsidRPr="43CA769D">
        <w:rPr>
          <w:rFonts w:cstheme="minorBidi"/>
          <w:color w:val="000000" w:themeColor="text1"/>
          <w:lang w:val="en-AU" w:eastAsia="ja-JP"/>
        </w:rPr>
        <w:t xml:space="preserve"> and </w:t>
      </w:r>
      <w:r w:rsidR="003B20C1">
        <w:rPr>
          <w:rFonts w:cstheme="minorBidi"/>
          <w:color w:val="000000" w:themeColor="text1"/>
          <w:lang w:val="en-AU" w:eastAsia="ja-JP"/>
        </w:rPr>
        <w:t xml:space="preserve">their </w:t>
      </w:r>
      <w:r w:rsidRPr="43CA769D">
        <w:rPr>
          <w:rFonts w:cstheme="minorBidi"/>
          <w:color w:val="000000" w:themeColor="text1"/>
          <w:lang w:val="en-AU" w:eastAsia="ja-JP"/>
        </w:rPr>
        <w:t xml:space="preserve">market share. </w:t>
      </w:r>
    </w:p>
    <w:p w14:paraId="6091CFD7" w14:textId="77777777" w:rsidR="004762C0" w:rsidRDefault="004762C0" w:rsidP="004762C0">
      <w:pPr>
        <w:rPr>
          <w:rFonts w:cstheme="minorHAnsi"/>
          <w:color w:val="000000"/>
          <w:szCs w:val="24"/>
          <w:lang w:val="en-AU" w:eastAsia="ja-JP"/>
        </w:rPr>
      </w:pPr>
    </w:p>
    <w:p w14:paraId="684B1CD2" w14:textId="77777777" w:rsidR="00041124" w:rsidRDefault="00393DB1" w:rsidP="00D85642">
      <w:pPr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 xml:space="preserve">It </w:t>
      </w:r>
      <w:r w:rsidR="004762C0">
        <w:rPr>
          <w:rFonts w:cstheme="minorHAnsi"/>
          <w:color w:val="000000"/>
          <w:szCs w:val="24"/>
          <w:lang w:val="en-AU" w:eastAsia="ja-JP"/>
        </w:rPr>
        <w:t>should</w:t>
      </w:r>
      <w:r>
        <w:rPr>
          <w:rFonts w:cstheme="minorHAnsi"/>
          <w:color w:val="000000"/>
          <w:szCs w:val="24"/>
          <w:lang w:val="en-AU" w:eastAsia="ja-JP"/>
        </w:rPr>
        <w:t xml:space="preserve"> </w:t>
      </w:r>
      <w:r w:rsidR="004762C0">
        <w:rPr>
          <w:rFonts w:cstheme="minorHAnsi"/>
          <w:color w:val="000000"/>
          <w:szCs w:val="24"/>
          <w:lang w:val="en-AU" w:eastAsia="ja-JP"/>
        </w:rPr>
        <w:t>be noted that the concept of ESG</w:t>
      </w:r>
      <w:r w:rsidR="002C4AE0">
        <w:rPr>
          <w:rFonts w:cstheme="minorHAnsi"/>
          <w:color w:val="000000"/>
          <w:szCs w:val="24"/>
          <w:lang w:val="en-AU" w:eastAsia="ja-JP"/>
        </w:rPr>
        <w:t xml:space="preserve"> </w:t>
      </w:r>
      <w:r w:rsidR="004762C0">
        <w:rPr>
          <w:rFonts w:cstheme="minorHAnsi"/>
          <w:color w:val="000000"/>
          <w:szCs w:val="24"/>
          <w:lang w:val="en-AU" w:eastAsia="ja-JP"/>
        </w:rPr>
        <w:t xml:space="preserve">has always been </w:t>
      </w:r>
      <w:r w:rsidR="00787945">
        <w:rPr>
          <w:rFonts w:cstheme="minorHAnsi"/>
          <w:color w:val="000000"/>
          <w:szCs w:val="24"/>
          <w:lang w:val="en-AU" w:eastAsia="ja-JP"/>
        </w:rPr>
        <w:t>grounded on</w:t>
      </w:r>
      <w:r w:rsidR="004762C0">
        <w:rPr>
          <w:rFonts w:cstheme="minorHAnsi"/>
          <w:color w:val="000000"/>
          <w:szCs w:val="24"/>
          <w:lang w:val="en-AU" w:eastAsia="ja-JP"/>
        </w:rPr>
        <w:t xml:space="preserve"> market-driven solution</w:t>
      </w:r>
      <w:r w:rsidR="00F94642">
        <w:rPr>
          <w:rFonts w:cstheme="minorHAnsi"/>
          <w:color w:val="000000"/>
          <w:szCs w:val="24"/>
          <w:lang w:val="en-AU" w:eastAsia="ja-JP"/>
        </w:rPr>
        <w:t>s</w:t>
      </w:r>
      <w:r w:rsidR="00DC2A4D">
        <w:rPr>
          <w:rFonts w:cstheme="minorHAnsi"/>
          <w:color w:val="000000"/>
          <w:szCs w:val="24"/>
          <w:lang w:val="en-AU" w:eastAsia="ja-JP"/>
        </w:rPr>
        <w:t xml:space="preserve"> </w:t>
      </w:r>
      <w:r w:rsidR="00787945">
        <w:rPr>
          <w:rFonts w:cstheme="minorHAnsi"/>
          <w:color w:val="000000"/>
          <w:szCs w:val="24"/>
          <w:lang w:val="en-AU" w:eastAsia="ja-JP"/>
        </w:rPr>
        <w:t>to create</w:t>
      </w:r>
      <w:r w:rsidR="004762C0">
        <w:rPr>
          <w:rFonts w:cstheme="minorHAnsi"/>
          <w:color w:val="000000"/>
          <w:szCs w:val="24"/>
          <w:lang w:val="en-AU" w:eastAsia="ja-JP"/>
        </w:rPr>
        <w:t xml:space="preserve"> shareholder value while respecting people and</w:t>
      </w:r>
      <w:r w:rsidR="008D77B5">
        <w:rPr>
          <w:rFonts w:cstheme="minorHAnsi"/>
          <w:color w:val="000000"/>
          <w:szCs w:val="24"/>
          <w:lang w:val="en-AU" w:eastAsia="ja-JP"/>
        </w:rPr>
        <w:t xml:space="preserve"> the</w:t>
      </w:r>
      <w:r w:rsidR="004762C0">
        <w:rPr>
          <w:rFonts w:cstheme="minorHAnsi"/>
          <w:color w:val="000000"/>
          <w:szCs w:val="24"/>
          <w:lang w:val="en-AU" w:eastAsia="ja-JP"/>
        </w:rPr>
        <w:t xml:space="preserve"> planet. </w:t>
      </w:r>
      <w:r w:rsidR="003568DF">
        <w:rPr>
          <w:rFonts w:cstheme="minorHAnsi"/>
          <w:color w:val="000000"/>
          <w:szCs w:val="24"/>
          <w:lang w:val="en-AU" w:eastAsia="ja-JP"/>
        </w:rPr>
        <w:t xml:space="preserve">Although </w:t>
      </w:r>
      <w:r w:rsidR="004762C0">
        <w:rPr>
          <w:rFonts w:cstheme="minorHAnsi"/>
          <w:color w:val="000000"/>
          <w:szCs w:val="24"/>
          <w:lang w:val="en-AU" w:eastAsia="ja-JP"/>
        </w:rPr>
        <w:t xml:space="preserve">integration of ESG considerations by institutional investors </w:t>
      </w:r>
      <w:r w:rsidR="000E2E50">
        <w:rPr>
          <w:rFonts w:cstheme="minorHAnsi"/>
          <w:color w:val="000000"/>
          <w:szCs w:val="24"/>
          <w:lang w:val="en-AU" w:eastAsia="ja-JP"/>
        </w:rPr>
        <w:t>are heightening awareness on</w:t>
      </w:r>
      <w:r w:rsidR="004762C0">
        <w:rPr>
          <w:rFonts w:cstheme="minorHAnsi"/>
          <w:color w:val="000000"/>
          <w:szCs w:val="24"/>
          <w:lang w:val="en-AU" w:eastAsia="ja-JP"/>
        </w:rPr>
        <w:t xml:space="preserve"> corporate sustainability, </w:t>
      </w:r>
      <w:r w:rsidR="00DA0E2C">
        <w:rPr>
          <w:rFonts w:cstheme="minorHAnsi"/>
          <w:color w:val="000000"/>
          <w:szCs w:val="24"/>
          <w:lang w:val="en-AU" w:eastAsia="ja-JP"/>
        </w:rPr>
        <w:t>Swedwatch obser</w:t>
      </w:r>
      <w:r w:rsidR="00DC1846">
        <w:rPr>
          <w:rFonts w:cstheme="minorHAnsi"/>
          <w:color w:val="000000"/>
          <w:szCs w:val="24"/>
          <w:lang w:val="en-AU" w:eastAsia="ja-JP"/>
        </w:rPr>
        <w:t>v</w:t>
      </w:r>
      <w:r w:rsidR="00DA0E2C">
        <w:rPr>
          <w:rFonts w:cstheme="minorHAnsi"/>
          <w:color w:val="000000"/>
          <w:szCs w:val="24"/>
          <w:lang w:val="en-AU" w:eastAsia="ja-JP"/>
        </w:rPr>
        <w:t>es that</w:t>
      </w:r>
      <w:r w:rsidR="007E1191">
        <w:rPr>
          <w:rFonts w:cstheme="minorHAnsi"/>
          <w:color w:val="000000"/>
          <w:szCs w:val="24"/>
          <w:lang w:val="en-AU" w:eastAsia="ja-JP"/>
        </w:rPr>
        <w:t xml:space="preserve"> </w:t>
      </w:r>
      <w:r w:rsidR="00541FD9">
        <w:rPr>
          <w:rFonts w:cstheme="minorHAnsi"/>
          <w:color w:val="000000"/>
          <w:szCs w:val="24"/>
          <w:lang w:val="en-AU" w:eastAsia="ja-JP"/>
        </w:rPr>
        <w:t>i</w:t>
      </w:r>
      <w:r w:rsidR="004814E5">
        <w:rPr>
          <w:rFonts w:cstheme="minorHAnsi"/>
          <w:color w:val="000000"/>
          <w:szCs w:val="24"/>
          <w:lang w:val="en-AU" w:eastAsia="ja-JP"/>
        </w:rPr>
        <w:t>nvestors</w:t>
      </w:r>
      <w:r w:rsidR="00461FB3">
        <w:rPr>
          <w:rFonts w:cstheme="minorHAnsi"/>
          <w:color w:val="000000"/>
          <w:szCs w:val="24"/>
          <w:lang w:val="en-AU" w:eastAsia="ja-JP"/>
        </w:rPr>
        <w:t xml:space="preserve"> </w:t>
      </w:r>
      <w:r w:rsidR="00D40D79">
        <w:rPr>
          <w:rFonts w:cstheme="minorHAnsi"/>
          <w:color w:val="000000"/>
          <w:szCs w:val="24"/>
          <w:lang w:val="en-AU" w:eastAsia="ja-JP"/>
        </w:rPr>
        <w:t xml:space="preserve">still </w:t>
      </w:r>
      <w:r w:rsidR="00BD2EEC">
        <w:rPr>
          <w:rFonts w:cstheme="minorHAnsi"/>
          <w:color w:val="000000"/>
          <w:szCs w:val="24"/>
          <w:lang w:val="en-AU" w:eastAsia="ja-JP"/>
        </w:rPr>
        <w:t xml:space="preserve">fall </w:t>
      </w:r>
      <w:r w:rsidR="007E1191">
        <w:rPr>
          <w:rFonts w:cstheme="minorHAnsi"/>
          <w:color w:val="000000"/>
          <w:szCs w:val="24"/>
          <w:lang w:val="en-AU" w:eastAsia="ja-JP"/>
        </w:rPr>
        <w:t xml:space="preserve">short of </w:t>
      </w:r>
      <w:r w:rsidR="0061713E">
        <w:rPr>
          <w:rFonts w:cstheme="minorHAnsi"/>
          <w:color w:val="000000"/>
          <w:szCs w:val="24"/>
          <w:lang w:val="en-AU" w:eastAsia="ja-JP"/>
        </w:rPr>
        <w:t>adopt</w:t>
      </w:r>
      <w:r w:rsidR="007E1191">
        <w:rPr>
          <w:rFonts w:cstheme="minorHAnsi"/>
          <w:color w:val="000000"/>
          <w:szCs w:val="24"/>
          <w:lang w:val="en-AU" w:eastAsia="ja-JP"/>
        </w:rPr>
        <w:t>ing</w:t>
      </w:r>
      <w:r w:rsidR="0061713E">
        <w:rPr>
          <w:rFonts w:cstheme="minorHAnsi"/>
          <w:color w:val="000000"/>
          <w:szCs w:val="24"/>
          <w:lang w:val="en-AU" w:eastAsia="ja-JP"/>
        </w:rPr>
        <w:t xml:space="preserve"> a right-holder</w:t>
      </w:r>
      <w:r w:rsidR="007E1191">
        <w:rPr>
          <w:rFonts w:cstheme="minorHAnsi"/>
          <w:color w:val="000000"/>
          <w:szCs w:val="24"/>
          <w:lang w:val="en-AU" w:eastAsia="ja-JP"/>
        </w:rPr>
        <w:t>s</w:t>
      </w:r>
      <w:r w:rsidR="0061713E">
        <w:rPr>
          <w:rFonts w:cstheme="minorHAnsi"/>
          <w:color w:val="000000"/>
          <w:szCs w:val="24"/>
          <w:lang w:val="en-AU" w:eastAsia="ja-JP"/>
        </w:rPr>
        <w:t xml:space="preserve"> lens when assessing human rights risks and adverse impacts</w:t>
      </w:r>
      <w:r w:rsidR="008A6CF5">
        <w:rPr>
          <w:rFonts w:cstheme="minorHAnsi"/>
          <w:color w:val="000000"/>
          <w:szCs w:val="24"/>
          <w:lang w:val="en-AU" w:eastAsia="ja-JP"/>
        </w:rPr>
        <w:t>.</w:t>
      </w:r>
      <w:r w:rsidR="00AE2FBF">
        <w:rPr>
          <w:rFonts w:cstheme="minorHAnsi"/>
          <w:color w:val="000000"/>
          <w:szCs w:val="24"/>
          <w:lang w:val="en-AU" w:eastAsia="ja-JP"/>
        </w:rPr>
        <w:t xml:space="preserve"> </w:t>
      </w:r>
    </w:p>
    <w:p w14:paraId="4DE1D146" w14:textId="77777777" w:rsidR="00041124" w:rsidRDefault="00041124" w:rsidP="00D85642">
      <w:pPr>
        <w:rPr>
          <w:rFonts w:cstheme="minorHAnsi"/>
          <w:color w:val="000000"/>
          <w:szCs w:val="24"/>
          <w:lang w:val="en-AU" w:eastAsia="ja-JP"/>
        </w:rPr>
      </w:pPr>
    </w:p>
    <w:p w14:paraId="0770B4D5" w14:textId="2BBC5055" w:rsidR="00E15DDA" w:rsidRDefault="001274F0" w:rsidP="00D85642">
      <w:pPr>
        <w:rPr>
          <w:rFonts w:cstheme="minorHAnsi"/>
          <w:color w:val="000000"/>
          <w:szCs w:val="24"/>
          <w:lang w:val="en-AU" w:eastAsia="ja-JP"/>
        </w:rPr>
      </w:pPr>
      <w:r>
        <w:rPr>
          <w:rFonts w:cstheme="minorHAnsi"/>
          <w:color w:val="000000"/>
          <w:szCs w:val="24"/>
          <w:lang w:val="en-AU" w:eastAsia="ja-JP"/>
        </w:rPr>
        <w:t xml:space="preserve">ESG </w:t>
      </w:r>
      <w:r w:rsidR="00CE0872">
        <w:rPr>
          <w:rFonts w:cstheme="minorHAnsi"/>
          <w:color w:val="000000"/>
          <w:szCs w:val="24"/>
          <w:lang w:val="en-AU" w:eastAsia="ja-JP"/>
        </w:rPr>
        <w:t>ratings</w:t>
      </w:r>
      <w:r w:rsidR="00FD3FFE">
        <w:rPr>
          <w:rFonts w:cstheme="minorHAnsi"/>
          <w:color w:val="000000"/>
          <w:szCs w:val="24"/>
          <w:lang w:val="en-AU" w:eastAsia="ja-JP"/>
        </w:rPr>
        <w:t xml:space="preserve"> typically do not</w:t>
      </w:r>
      <w:r w:rsidR="00641EBB">
        <w:rPr>
          <w:rFonts w:cstheme="minorHAnsi"/>
          <w:color w:val="000000"/>
          <w:szCs w:val="24"/>
          <w:lang w:val="en-AU" w:eastAsia="ja-JP"/>
        </w:rPr>
        <w:t xml:space="preserve"> </w:t>
      </w:r>
      <w:r w:rsidR="0072764C">
        <w:rPr>
          <w:rFonts w:cstheme="minorHAnsi"/>
          <w:color w:val="000000"/>
          <w:szCs w:val="24"/>
          <w:lang w:val="en-AU" w:eastAsia="ja-JP"/>
        </w:rPr>
        <w:t xml:space="preserve">measure </w:t>
      </w:r>
      <w:r w:rsidR="00F52E10">
        <w:rPr>
          <w:rFonts w:cstheme="minorHAnsi"/>
          <w:color w:val="000000"/>
          <w:szCs w:val="24"/>
          <w:lang w:val="en-AU" w:eastAsia="ja-JP"/>
        </w:rPr>
        <w:t>company performance</w:t>
      </w:r>
      <w:r w:rsidR="0072764C">
        <w:rPr>
          <w:rFonts w:cstheme="minorHAnsi"/>
          <w:color w:val="000000"/>
          <w:szCs w:val="24"/>
          <w:lang w:val="en-AU" w:eastAsia="ja-JP"/>
        </w:rPr>
        <w:t xml:space="preserve"> on human rights or environmental </w:t>
      </w:r>
      <w:r w:rsidR="003D0743">
        <w:rPr>
          <w:rFonts w:cstheme="minorHAnsi"/>
          <w:color w:val="000000"/>
          <w:szCs w:val="24"/>
          <w:lang w:val="en-AU" w:eastAsia="ja-JP"/>
        </w:rPr>
        <w:t xml:space="preserve">due diligence </w:t>
      </w:r>
      <w:r w:rsidR="00A533A2">
        <w:rPr>
          <w:rFonts w:cstheme="minorHAnsi"/>
          <w:color w:val="000000"/>
          <w:szCs w:val="24"/>
          <w:lang w:val="en-AU" w:eastAsia="ja-JP"/>
        </w:rPr>
        <w:t xml:space="preserve">or </w:t>
      </w:r>
      <w:r w:rsidR="00D85642">
        <w:rPr>
          <w:rFonts w:cstheme="minorHAnsi"/>
          <w:color w:val="000000"/>
          <w:szCs w:val="24"/>
          <w:lang w:val="en-AU" w:eastAsia="ja-JP"/>
        </w:rPr>
        <w:t xml:space="preserve">consider </w:t>
      </w:r>
      <w:r w:rsidR="003E5506">
        <w:rPr>
          <w:rFonts w:cstheme="minorHAnsi"/>
          <w:color w:val="000000"/>
          <w:szCs w:val="24"/>
          <w:lang w:val="en-AU" w:eastAsia="ja-JP"/>
        </w:rPr>
        <w:t>right-holders</w:t>
      </w:r>
      <w:r w:rsidR="00D85642">
        <w:rPr>
          <w:rFonts w:cstheme="minorHAnsi"/>
          <w:color w:val="000000"/>
          <w:szCs w:val="24"/>
          <w:lang w:val="en-AU" w:eastAsia="ja-JP"/>
        </w:rPr>
        <w:t>’ perspectives and grievances.</w:t>
      </w:r>
      <w:r w:rsidR="00FD3FFE">
        <w:rPr>
          <w:rFonts w:cstheme="minorHAnsi"/>
          <w:color w:val="000000"/>
          <w:szCs w:val="24"/>
          <w:lang w:val="en-AU" w:eastAsia="ja-JP"/>
        </w:rPr>
        <w:t xml:space="preserve"> In the same vein, </w:t>
      </w:r>
      <w:r w:rsidR="00FD3FFE" w:rsidRPr="200C1C59">
        <w:rPr>
          <w:rFonts w:cstheme="minorBidi"/>
          <w:color w:val="000000"/>
          <w:lang w:val="en-AU" w:eastAsia="ja-JP"/>
        </w:rPr>
        <w:t xml:space="preserve">ESG ratings are not </w:t>
      </w:r>
      <w:r w:rsidR="00FD3FFE" w:rsidRPr="200C1C59">
        <w:rPr>
          <w:rFonts w:cstheme="minorBidi"/>
          <w:color w:val="000000"/>
          <w:lang w:val="en-AU" w:eastAsia="ja-JP"/>
        </w:rPr>
        <w:lastRenderedPageBreak/>
        <w:t>meant to inform</w:t>
      </w:r>
      <w:r w:rsidR="00FD3FFE" w:rsidRPr="200C1C59" w:rsidDel="00CC5F98">
        <w:rPr>
          <w:rFonts w:cstheme="minorBidi"/>
          <w:color w:val="000000"/>
          <w:lang w:val="en-AU" w:eastAsia="ja-JP"/>
        </w:rPr>
        <w:t xml:space="preserve"> </w:t>
      </w:r>
      <w:r w:rsidR="00FD3FFE" w:rsidRPr="200C1C59">
        <w:rPr>
          <w:rFonts w:cstheme="minorBidi"/>
          <w:color w:val="000000"/>
          <w:lang w:val="en-AU" w:eastAsia="ja-JP"/>
        </w:rPr>
        <w:t xml:space="preserve">investors on how they are or might be causing, </w:t>
      </w:r>
      <w:r w:rsidR="00126A60" w:rsidRPr="200C1C59" w:rsidDel="00753E9E">
        <w:rPr>
          <w:rFonts w:cstheme="minorBidi"/>
          <w:color w:val="000000"/>
          <w:lang w:val="en-AU" w:eastAsia="ja-JP"/>
        </w:rPr>
        <w:t>contributing</w:t>
      </w:r>
      <w:r w:rsidR="0036005C">
        <w:rPr>
          <w:rFonts w:cstheme="minorBidi"/>
          <w:color w:val="000000"/>
          <w:lang w:val="en-AU" w:eastAsia="ja-JP"/>
        </w:rPr>
        <w:t>,</w:t>
      </w:r>
      <w:r w:rsidR="00126A60">
        <w:rPr>
          <w:rFonts w:cstheme="minorBidi"/>
          <w:color w:val="000000"/>
          <w:lang w:val="en-AU" w:eastAsia="ja-JP"/>
        </w:rPr>
        <w:t xml:space="preserve"> </w:t>
      </w:r>
      <w:r w:rsidR="00FD3FFE" w:rsidRPr="200C1C59" w:rsidDel="00753E9E">
        <w:rPr>
          <w:rFonts w:cstheme="minorBidi"/>
          <w:color w:val="000000"/>
          <w:lang w:val="en-AU" w:eastAsia="ja-JP"/>
        </w:rPr>
        <w:t>or</w:t>
      </w:r>
      <w:r w:rsidR="00FD3FFE" w:rsidRPr="200C1C59">
        <w:rPr>
          <w:rFonts w:cstheme="minorBidi"/>
          <w:color w:val="000000"/>
          <w:lang w:val="en-AU" w:eastAsia="ja-JP"/>
        </w:rPr>
        <w:t xml:space="preserve"> linked to identified adverse impacts through business relations.</w:t>
      </w:r>
      <w:r w:rsidR="00FD3FFE">
        <w:rPr>
          <w:rFonts w:cstheme="minorBidi"/>
          <w:color w:val="000000"/>
          <w:lang w:val="en-AU" w:eastAsia="ja-JP"/>
        </w:rPr>
        <w:t xml:space="preserve"> Rather, </w:t>
      </w:r>
      <w:r w:rsidR="00D85642">
        <w:rPr>
          <w:rFonts w:cstheme="minorHAnsi"/>
          <w:color w:val="000000"/>
          <w:szCs w:val="24"/>
          <w:lang w:val="en-AU" w:eastAsia="ja-JP"/>
        </w:rPr>
        <w:t xml:space="preserve">ESG ratings </w:t>
      </w:r>
      <w:r w:rsidR="00BE3021">
        <w:rPr>
          <w:rFonts w:cstheme="minorHAnsi"/>
          <w:color w:val="000000"/>
          <w:szCs w:val="24"/>
          <w:lang w:val="en-AU" w:eastAsia="ja-JP"/>
        </w:rPr>
        <w:t>predominantly</w:t>
      </w:r>
      <w:r w:rsidR="00D85642">
        <w:rPr>
          <w:rFonts w:cstheme="minorHAnsi"/>
          <w:color w:val="000000"/>
          <w:szCs w:val="24"/>
          <w:lang w:val="en-AU" w:eastAsia="ja-JP"/>
        </w:rPr>
        <w:t xml:space="preserve"> function</w:t>
      </w:r>
      <w:r w:rsidR="00D85642" w:rsidRPr="002216F3">
        <w:rPr>
          <w:rFonts w:cstheme="minorHAnsi"/>
          <w:color w:val="000000"/>
          <w:szCs w:val="24"/>
          <w:lang w:val="en-AU" w:eastAsia="ja-JP"/>
        </w:rPr>
        <w:t xml:space="preserve"> as reputational risk assessment tool</w:t>
      </w:r>
      <w:r w:rsidR="00D85642">
        <w:rPr>
          <w:rFonts w:cstheme="minorHAnsi"/>
          <w:color w:val="000000"/>
          <w:szCs w:val="24"/>
          <w:lang w:val="en-AU" w:eastAsia="ja-JP"/>
        </w:rPr>
        <w:t>s</w:t>
      </w:r>
      <w:r w:rsidR="00D85642" w:rsidRPr="002216F3">
        <w:rPr>
          <w:rFonts w:cstheme="minorHAnsi"/>
          <w:color w:val="000000"/>
          <w:szCs w:val="24"/>
          <w:lang w:val="en-AU" w:eastAsia="ja-JP"/>
        </w:rPr>
        <w:t xml:space="preserve"> based on secondary data</w:t>
      </w:r>
      <w:r w:rsidR="00181B6F">
        <w:rPr>
          <w:rFonts w:cstheme="minorHAnsi"/>
          <w:color w:val="000000"/>
          <w:szCs w:val="24"/>
          <w:lang w:val="en-AU" w:eastAsia="ja-JP"/>
        </w:rPr>
        <w:t xml:space="preserve">. </w:t>
      </w:r>
      <w:r w:rsidR="005E505D">
        <w:rPr>
          <w:rFonts w:cstheme="minorHAnsi"/>
          <w:color w:val="000000"/>
          <w:szCs w:val="24"/>
          <w:lang w:val="en-AU" w:eastAsia="ja-JP"/>
        </w:rPr>
        <w:t>Although</w:t>
      </w:r>
      <w:r w:rsidR="00E15DDA" w:rsidRPr="200C1C59">
        <w:rPr>
          <w:rFonts w:cstheme="minorBidi"/>
          <w:color w:val="000000"/>
          <w:lang w:val="en-AU" w:eastAsia="ja-JP"/>
        </w:rPr>
        <w:t xml:space="preserve"> ESG service providers collect data on business activities </w:t>
      </w:r>
      <w:r w:rsidR="0078121E">
        <w:rPr>
          <w:rFonts w:cstheme="minorBidi"/>
          <w:color w:val="000000"/>
          <w:lang w:val="en-AU" w:eastAsia="ja-JP"/>
        </w:rPr>
        <w:t xml:space="preserve">that </w:t>
      </w:r>
      <w:r w:rsidR="00E15DDA" w:rsidRPr="200C1C59">
        <w:rPr>
          <w:rFonts w:cstheme="minorBidi"/>
          <w:color w:val="000000"/>
          <w:lang w:val="en-AU" w:eastAsia="ja-JP"/>
        </w:rPr>
        <w:t xml:space="preserve">adversely impact </w:t>
      </w:r>
      <w:r w:rsidR="003E5506">
        <w:rPr>
          <w:rFonts w:cstheme="minorBidi"/>
          <w:color w:val="000000"/>
          <w:lang w:val="en-AU" w:eastAsia="ja-JP"/>
        </w:rPr>
        <w:t>right-holders</w:t>
      </w:r>
      <w:r w:rsidR="00E15DDA" w:rsidRPr="200C1C59">
        <w:rPr>
          <w:rFonts w:cstheme="minorBidi"/>
          <w:color w:val="000000"/>
          <w:lang w:val="en-AU" w:eastAsia="ja-JP"/>
        </w:rPr>
        <w:t xml:space="preserve"> and the environment, these data are typically analysed and repackaged into rating scores</w:t>
      </w:r>
      <w:r w:rsidR="00F013EC">
        <w:rPr>
          <w:rFonts w:cstheme="minorBidi"/>
          <w:color w:val="000000"/>
          <w:lang w:val="en-AU" w:eastAsia="ja-JP"/>
        </w:rPr>
        <w:t>. P</w:t>
      </w:r>
      <w:r w:rsidR="00E15DDA" w:rsidRPr="200C1C59">
        <w:rPr>
          <w:rFonts w:cstheme="minorBidi"/>
          <w:color w:val="000000"/>
          <w:lang w:val="en-AU" w:eastAsia="ja-JP"/>
        </w:rPr>
        <w:t>rim</w:t>
      </w:r>
      <w:r w:rsidR="00F013EC">
        <w:rPr>
          <w:rFonts w:cstheme="minorBidi"/>
          <w:color w:val="000000"/>
          <w:lang w:val="en-AU" w:eastAsia="ja-JP"/>
        </w:rPr>
        <w:t>ary</w:t>
      </w:r>
      <w:r w:rsidR="00E15DDA" w:rsidRPr="200C1C59">
        <w:rPr>
          <w:rFonts w:cstheme="minorBidi"/>
          <w:color w:val="000000"/>
          <w:lang w:val="en-AU" w:eastAsia="ja-JP"/>
        </w:rPr>
        <w:t xml:space="preserve"> objective</w:t>
      </w:r>
      <w:r w:rsidR="00F013EC">
        <w:rPr>
          <w:rFonts w:cstheme="minorBidi"/>
          <w:color w:val="000000"/>
          <w:lang w:val="en-AU" w:eastAsia="ja-JP"/>
        </w:rPr>
        <w:t xml:space="preserve"> of such scores </w:t>
      </w:r>
      <w:r w:rsidR="00895FFB">
        <w:rPr>
          <w:rFonts w:cstheme="minorBidi"/>
          <w:color w:val="000000"/>
          <w:lang w:val="en-AU" w:eastAsia="ja-JP"/>
        </w:rPr>
        <w:t>is</w:t>
      </w:r>
      <w:r w:rsidR="00E15DDA" w:rsidRPr="200C1C59">
        <w:rPr>
          <w:rFonts w:cstheme="minorBidi"/>
          <w:color w:val="000000"/>
          <w:lang w:val="en-AU" w:eastAsia="ja-JP"/>
        </w:rPr>
        <w:t xml:space="preserve"> to </w:t>
      </w:r>
      <w:r w:rsidR="00895FFB">
        <w:rPr>
          <w:rFonts w:cstheme="minorBidi"/>
          <w:color w:val="000000"/>
          <w:lang w:val="en-AU" w:eastAsia="ja-JP"/>
        </w:rPr>
        <w:t>service</w:t>
      </w:r>
      <w:r w:rsidR="00895FFB" w:rsidRPr="200C1C59">
        <w:rPr>
          <w:rFonts w:cstheme="minorBidi"/>
          <w:color w:val="000000"/>
          <w:lang w:val="en-AU" w:eastAsia="ja-JP"/>
        </w:rPr>
        <w:t xml:space="preserve"> </w:t>
      </w:r>
      <w:r w:rsidR="00E15DDA" w:rsidRPr="200C1C59">
        <w:rPr>
          <w:rFonts w:cstheme="minorBidi"/>
          <w:color w:val="000000"/>
          <w:lang w:val="en-AU" w:eastAsia="ja-JP"/>
        </w:rPr>
        <w:t>clients to evaluate</w:t>
      </w:r>
      <w:r w:rsidR="004314D0">
        <w:rPr>
          <w:rFonts w:cstheme="minorBidi"/>
          <w:color w:val="000000"/>
          <w:lang w:val="en-AU" w:eastAsia="ja-JP"/>
        </w:rPr>
        <w:t xml:space="preserve"> </w:t>
      </w:r>
      <w:r w:rsidR="00B70432">
        <w:rPr>
          <w:rFonts w:cstheme="minorBidi"/>
          <w:color w:val="000000"/>
          <w:lang w:val="en-AU" w:eastAsia="ja-JP"/>
        </w:rPr>
        <w:t xml:space="preserve">their </w:t>
      </w:r>
      <w:r w:rsidR="004314D0">
        <w:rPr>
          <w:rFonts w:cstheme="minorBidi"/>
          <w:color w:val="000000"/>
          <w:lang w:val="en-AU" w:eastAsia="ja-JP"/>
        </w:rPr>
        <w:t>reputational</w:t>
      </w:r>
      <w:r w:rsidR="00E15DDA" w:rsidRPr="200C1C59">
        <w:rPr>
          <w:rFonts w:cstheme="minorBidi"/>
          <w:color w:val="000000"/>
          <w:lang w:val="en-AU" w:eastAsia="ja-JP"/>
        </w:rPr>
        <w:t xml:space="preserve"> risk exposure and associated</w:t>
      </w:r>
      <w:r w:rsidR="00E15DDA">
        <w:rPr>
          <w:rFonts w:cstheme="minorBidi"/>
          <w:color w:val="000000"/>
          <w:lang w:val="en-AU" w:eastAsia="ja-JP"/>
        </w:rPr>
        <w:t xml:space="preserve"> actual </w:t>
      </w:r>
      <w:r w:rsidR="00CE6C07">
        <w:rPr>
          <w:rFonts w:cstheme="minorBidi"/>
          <w:color w:val="000000"/>
          <w:lang w:val="en-AU" w:eastAsia="ja-JP"/>
        </w:rPr>
        <w:t>and/</w:t>
      </w:r>
      <w:r w:rsidR="00E15DDA">
        <w:rPr>
          <w:rFonts w:cstheme="minorBidi"/>
          <w:color w:val="000000"/>
          <w:lang w:val="en-AU" w:eastAsia="ja-JP"/>
        </w:rPr>
        <w:t>or</w:t>
      </w:r>
      <w:r w:rsidR="00E15DDA" w:rsidRPr="200C1C59">
        <w:rPr>
          <w:rFonts w:cstheme="minorBidi"/>
          <w:color w:val="000000"/>
          <w:lang w:val="en-AU" w:eastAsia="ja-JP"/>
        </w:rPr>
        <w:t xml:space="preserve"> potential financial implications</w:t>
      </w:r>
      <w:r w:rsidR="00E15DDA" w:rsidRPr="200C1C59">
        <w:rPr>
          <w:rStyle w:val="FootnoteReference"/>
          <w:rFonts w:cstheme="minorBidi"/>
          <w:color w:val="000000"/>
          <w:lang w:val="en-AU" w:eastAsia="ja-JP"/>
        </w:rPr>
        <w:footnoteReference w:id="7"/>
      </w:r>
      <w:r w:rsidR="00E15DDA" w:rsidRPr="200C1C59">
        <w:rPr>
          <w:rFonts w:cstheme="minorBidi"/>
          <w:color w:val="000000"/>
          <w:lang w:val="en-AU" w:eastAsia="ja-JP"/>
        </w:rPr>
        <w:t>.</w:t>
      </w:r>
    </w:p>
    <w:p w14:paraId="4C087007" w14:textId="77777777" w:rsidR="00E15DDA" w:rsidRDefault="00E15DDA" w:rsidP="00D85642">
      <w:pPr>
        <w:rPr>
          <w:rFonts w:cstheme="minorHAnsi"/>
          <w:color w:val="000000"/>
          <w:szCs w:val="24"/>
          <w:lang w:val="en-AU" w:eastAsia="ja-JP"/>
        </w:rPr>
      </w:pPr>
    </w:p>
    <w:p w14:paraId="742FBDDB" w14:textId="6BE42DC2" w:rsidR="00D85642" w:rsidRDefault="00122581" w:rsidP="751C2E37">
      <w:pPr>
        <w:rPr>
          <w:rFonts w:cstheme="minorBidi"/>
          <w:color w:val="000000"/>
          <w:lang w:val="en-AU" w:eastAsia="ja-JP"/>
        </w:rPr>
      </w:pPr>
      <w:r w:rsidRPr="751C2E37">
        <w:rPr>
          <w:rFonts w:cstheme="minorBidi"/>
          <w:color w:val="000000" w:themeColor="text1"/>
          <w:lang w:val="en-AU" w:eastAsia="ja-JP"/>
        </w:rPr>
        <w:t xml:space="preserve">In other words, while ESG ratings may give investors </w:t>
      </w:r>
      <w:r w:rsidR="00EF30D5" w:rsidRPr="751C2E37">
        <w:rPr>
          <w:rFonts w:cstheme="minorBidi"/>
          <w:color w:val="000000" w:themeColor="text1"/>
          <w:lang w:val="en-AU" w:eastAsia="ja-JP"/>
        </w:rPr>
        <w:t xml:space="preserve">an indication of how a company manages environmental, </w:t>
      </w:r>
      <w:r w:rsidR="0036005C" w:rsidRPr="751C2E37">
        <w:rPr>
          <w:rFonts w:cstheme="minorBidi"/>
          <w:color w:val="000000" w:themeColor="text1"/>
          <w:lang w:val="en-AU" w:eastAsia="ja-JP"/>
        </w:rPr>
        <w:t>social,</w:t>
      </w:r>
      <w:r w:rsidR="00EF30D5" w:rsidRPr="751C2E37">
        <w:rPr>
          <w:rFonts w:cstheme="minorBidi"/>
          <w:color w:val="000000" w:themeColor="text1"/>
          <w:lang w:val="en-AU" w:eastAsia="ja-JP"/>
        </w:rPr>
        <w:t xml:space="preserve"> and governance-related risks,</w:t>
      </w:r>
      <w:r w:rsidRPr="751C2E37">
        <w:rPr>
          <w:rFonts w:cstheme="minorBidi"/>
          <w:color w:val="000000" w:themeColor="text1"/>
          <w:lang w:val="en-AU" w:eastAsia="ja-JP"/>
        </w:rPr>
        <w:t xml:space="preserve"> </w:t>
      </w:r>
      <w:r w:rsidR="00D85642" w:rsidRPr="751C2E37">
        <w:rPr>
          <w:rFonts w:cstheme="minorBidi"/>
          <w:color w:val="000000" w:themeColor="text1"/>
          <w:lang w:val="en-AU" w:eastAsia="ja-JP"/>
        </w:rPr>
        <w:t>in the absence of on-site visits and meaningful stakeholder engagement</w:t>
      </w:r>
      <w:r w:rsidRPr="751C2E37">
        <w:rPr>
          <w:rFonts w:cstheme="minorBidi"/>
          <w:color w:val="000000" w:themeColor="text1"/>
          <w:lang w:val="en-AU" w:eastAsia="ja-JP"/>
        </w:rPr>
        <w:t xml:space="preserve">, they </w:t>
      </w:r>
      <w:r w:rsidR="00D85642" w:rsidRPr="751C2E37">
        <w:rPr>
          <w:rFonts w:cstheme="minorBidi"/>
          <w:color w:val="000000" w:themeColor="text1"/>
          <w:lang w:val="en-AU" w:eastAsia="ja-JP"/>
        </w:rPr>
        <w:t xml:space="preserve">cannot </w:t>
      </w:r>
      <w:r w:rsidR="00EF30D5" w:rsidRPr="751C2E37">
        <w:rPr>
          <w:rFonts w:cstheme="minorBidi"/>
          <w:color w:val="000000" w:themeColor="text1"/>
          <w:lang w:val="en-AU" w:eastAsia="ja-JP"/>
        </w:rPr>
        <w:t>be seen</w:t>
      </w:r>
      <w:r w:rsidR="00D85642" w:rsidRPr="751C2E37">
        <w:rPr>
          <w:rFonts w:cstheme="minorBidi"/>
          <w:color w:val="000000" w:themeColor="text1"/>
          <w:lang w:val="en-AU" w:eastAsia="ja-JP"/>
        </w:rPr>
        <w:t xml:space="preserve"> as a substitute for environmental and human rights due diligence</w:t>
      </w:r>
      <w:r w:rsidR="00644574" w:rsidRPr="751C2E37">
        <w:rPr>
          <w:rFonts w:cstheme="minorBidi"/>
          <w:color w:val="000000" w:themeColor="text1"/>
          <w:lang w:val="en-AU" w:eastAsia="ja-JP"/>
        </w:rPr>
        <w:t xml:space="preserve"> or a</w:t>
      </w:r>
      <w:r w:rsidR="00856668" w:rsidRPr="751C2E37">
        <w:rPr>
          <w:rFonts w:cstheme="minorBidi"/>
          <w:color w:val="000000" w:themeColor="text1"/>
          <w:lang w:val="en-AU" w:eastAsia="ja-JP"/>
        </w:rPr>
        <w:t>n appropriat</w:t>
      </w:r>
      <w:r w:rsidR="00FF44C8" w:rsidRPr="751C2E37">
        <w:rPr>
          <w:rFonts w:cstheme="minorBidi"/>
          <w:color w:val="000000" w:themeColor="text1"/>
          <w:lang w:val="en-AU" w:eastAsia="ja-JP"/>
        </w:rPr>
        <w:t>e</w:t>
      </w:r>
      <w:r w:rsidR="00AF1C1A" w:rsidRPr="751C2E37">
        <w:rPr>
          <w:rFonts w:cstheme="minorBidi"/>
          <w:color w:val="000000" w:themeColor="text1"/>
          <w:lang w:val="en-AU" w:eastAsia="ja-JP"/>
        </w:rPr>
        <w:t xml:space="preserve"> tool to </w:t>
      </w:r>
      <w:r w:rsidR="00E13F69" w:rsidRPr="751C2E37">
        <w:rPr>
          <w:rFonts w:cstheme="minorBidi"/>
          <w:color w:val="000000" w:themeColor="text1"/>
          <w:lang w:val="en-AU" w:eastAsia="ja-JP"/>
        </w:rPr>
        <w:t>advise to investors on their responsibilities to prevent, mitigate or remediate adverse impacts.</w:t>
      </w:r>
      <w:r w:rsidR="00F87336" w:rsidRPr="751C2E37">
        <w:rPr>
          <w:rFonts w:cstheme="minorBidi"/>
          <w:color w:val="000000" w:themeColor="text1"/>
          <w:lang w:val="en-AU" w:eastAsia="ja-JP"/>
        </w:rPr>
        <w:t xml:space="preserve"> </w:t>
      </w:r>
      <w:r w:rsidR="00182A59">
        <w:rPr>
          <w:rFonts w:cstheme="minorBidi"/>
          <w:color w:val="000000" w:themeColor="text1"/>
          <w:lang w:val="en-AU" w:eastAsia="ja-JP"/>
        </w:rPr>
        <w:t>Most importantly,</w:t>
      </w:r>
      <w:r w:rsidR="00AF1C1A" w:rsidRPr="751C2E37">
        <w:rPr>
          <w:rFonts w:cstheme="minorBidi"/>
          <w:color w:val="000000" w:themeColor="text1"/>
          <w:lang w:val="en-AU" w:eastAsia="ja-JP"/>
        </w:rPr>
        <w:t xml:space="preserve"> </w:t>
      </w:r>
      <w:r w:rsidR="00413757">
        <w:rPr>
          <w:rFonts w:cstheme="minorBidi"/>
          <w:color w:val="000000" w:themeColor="text1"/>
          <w:lang w:val="en-AU" w:eastAsia="ja-JP"/>
        </w:rPr>
        <w:t xml:space="preserve">investors need to recognise </w:t>
      </w:r>
      <w:r w:rsidR="006E0EA5">
        <w:rPr>
          <w:rFonts w:cstheme="minorBidi"/>
          <w:color w:val="000000" w:themeColor="text1"/>
          <w:lang w:val="en-AU" w:eastAsia="ja-JP"/>
        </w:rPr>
        <w:t xml:space="preserve">limitations of ESG ratings, </w:t>
      </w:r>
      <w:r w:rsidR="00C54F45">
        <w:rPr>
          <w:rFonts w:cstheme="minorBidi"/>
          <w:color w:val="000000" w:themeColor="text1"/>
          <w:lang w:val="en-AU" w:eastAsia="ja-JP"/>
        </w:rPr>
        <w:t>and take active measures to avoid</w:t>
      </w:r>
      <w:r w:rsidR="00956657" w:rsidRPr="751C2E37">
        <w:rPr>
          <w:rFonts w:cstheme="minorBidi"/>
          <w:color w:val="000000" w:themeColor="text1"/>
          <w:lang w:val="en-AU" w:eastAsia="ja-JP"/>
        </w:rPr>
        <w:t xml:space="preserve"> </w:t>
      </w:r>
      <w:r w:rsidR="00E94F13" w:rsidRPr="751C2E37">
        <w:rPr>
          <w:rFonts w:cstheme="minorBidi"/>
          <w:color w:val="000000" w:themeColor="text1"/>
          <w:lang w:val="en-AU" w:eastAsia="ja-JP"/>
        </w:rPr>
        <w:t>falsely claiming investment</w:t>
      </w:r>
      <w:r w:rsidR="00C4395C" w:rsidRPr="751C2E37">
        <w:rPr>
          <w:rFonts w:cstheme="minorBidi"/>
          <w:color w:val="000000" w:themeColor="text1"/>
          <w:lang w:val="en-AU" w:eastAsia="ja-JP"/>
        </w:rPr>
        <w:t xml:space="preserve"> decisions</w:t>
      </w:r>
      <w:r w:rsidR="00112D06" w:rsidRPr="751C2E37">
        <w:rPr>
          <w:rFonts w:cstheme="minorBidi"/>
          <w:color w:val="000000" w:themeColor="text1"/>
          <w:lang w:val="en-AU" w:eastAsia="ja-JP"/>
        </w:rPr>
        <w:t xml:space="preserve"> as being environmentally </w:t>
      </w:r>
      <w:r w:rsidR="41A38A10" w:rsidRPr="751C2E37">
        <w:rPr>
          <w:rFonts w:cstheme="minorBidi"/>
          <w:color w:val="000000" w:themeColor="text1"/>
          <w:lang w:val="en-AU" w:eastAsia="ja-JP"/>
        </w:rPr>
        <w:t xml:space="preserve">and socially </w:t>
      </w:r>
      <w:r w:rsidR="00112D06" w:rsidRPr="751C2E37">
        <w:rPr>
          <w:rFonts w:cstheme="minorBidi"/>
          <w:color w:val="000000" w:themeColor="text1"/>
          <w:lang w:val="en-AU" w:eastAsia="ja-JP"/>
        </w:rPr>
        <w:t>sustainable.</w:t>
      </w:r>
    </w:p>
    <w:p w14:paraId="03C502ED" w14:textId="786EA968" w:rsidR="00B56574" w:rsidRDefault="00B56574" w:rsidP="006B7DA5">
      <w:pPr>
        <w:rPr>
          <w:rFonts w:cstheme="minorHAnsi"/>
          <w:color w:val="000000"/>
          <w:szCs w:val="24"/>
          <w:lang w:val="en-AU" w:eastAsia="ja-JP"/>
        </w:rPr>
      </w:pPr>
    </w:p>
    <w:p w14:paraId="1CF2E6EB" w14:textId="02414163" w:rsidR="00C030D8" w:rsidRDefault="00B6183F" w:rsidP="003C09EE">
      <w:pPr>
        <w:rPr>
          <w:lang w:val="en-AU" w:eastAsia="ja-JP"/>
        </w:rPr>
      </w:pPr>
      <w:r>
        <w:rPr>
          <w:lang w:val="en-AU" w:eastAsia="ja-JP"/>
        </w:rPr>
        <w:t xml:space="preserve">Considering recent development in regulatory frameworks, some </w:t>
      </w:r>
      <w:r w:rsidR="006B7DA5">
        <w:rPr>
          <w:lang w:val="en-AU" w:eastAsia="ja-JP"/>
        </w:rPr>
        <w:t xml:space="preserve">ESG service providers </w:t>
      </w:r>
      <w:r w:rsidR="003A5CB2">
        <w:rPr>
          <w:lang w:val="en-AU" w:eastAsia="ja-JP"/>
        </w:rPr>
        <w:t>are looking</w:t>
      </w:r>
      <w:r>
        <w:rPr>
          <w:lang w:val="en-AU" w:eastAsia="ja-JP"/>
        </w:rPr>
        <w:t xml:space="preserve"> </w:t>
      </w:r>
      <w:r w:rsidR="00D4581F">
        <w:rPr>
          <w:lang w:val="en-AU" w:eastAsia="ja-JP"/>
        </w:rPr>
        <w:t xml:space="preserve">beyond financial materiality and </w:t>
      </w:r>
      <w:r w:rsidR="006B7DA5">
        <w:rPr>
          <w:lang w:val="en-AU" w:eastAsia="ja-JP"/>
        </w:rPr>
        <w:t>integrat</w:t>
      </w:r>
      <w:r w:rsidR="003A5CB2">
        <w:rPr>
          <w:lang w:val="en-AU" w:eastAsia="ja-JP"/>
        </w:rPr>
        <w:t>ing</w:t>
      </w:r>
      <w:r w:rsidR="006B7DA5">
        <w:rPr>
          <w:lang w:val="en-AU" w:eastAsia="ja-JP"/>
        </w:rPr>
        <w:t xml:space="preserve"> </w:t>
      </w:r>
      <w:r w:rsidR="00B305DC">
        <w:rPr>
          <w:lang w:val="en-AU" w:eastAsia="ja-JP"/>
        </w:rPr>
        <w:t xml:space="preserve">climate and </w:t>
      </w:r>
      <w:r w:rsidR="008B4B2E">
        <w:rPr>
          <w:lang w:val="en-AU" w:eastAsia="ja-JP"/>
        </w:rPr>
        <w:t xml:space="preserve">environmental impacts of business operations </w:t>
      </w:r>
      <w:r w:rsidR="006B7DA5">
        <w:rPr>
          <w:lang w:val="en-AU" w:eastAsia="ja-JP"/>
        </w:rPr>
        <w:t xml:space="preserve">or double materiality aspects in their </w:t>
      </w:r>
      <w:r w:rsidR="006D70D8">
        <w:rPr>
          <w:lang w:val="en-AU" w:eastAsia="ja-JP"/>
        </w:rPr>
        <w:t>ESG assessments</w:t>
      </w:r>
      <w:r w:rsidR="00F618BD">
        <w:rPr>
          <w:lang w:val="en-AU" w:eastAsia="ja-JP"/>
        </w:rPr>
        <w:t>. However,</w:t>
      </w:r>
      <w:r w:rsidR="006B7DA5">
        <w:rPr>
          <w:lang w:val="en-AU" w:eastAsia="ja-JP"/>
        </w:rPr>
        <w:t xml:space="preserve"> </w:t>
      </w:r>
      <w:r w:rsidR="00C62638">
        <w:rPr>
          <w:lang w:val="en-AU" w:eastAsia="ja-JP"/>
        </w:rPr>
        <w:t>without</w:t>
      </w:r>
      <w:r w:rsidR="005524D6">
        <w:rPr>
          <w:lang w:val="en-AU" w:eastAsia="ja-JP"/>
        </w:rPr>
        <w:t xml:space="preserve"> disclosures</w:t>
      </w:r>
      <w:r w:rsidR="00226AF9">
        <w:rPr>
          <w:lang w:val="en-AU" w:eastAsia="ja-JP"/>
        </w:rPr>
        <w:t xml:space="preserve"> of how double </w:t>
      </w:r>
      <w:r w:rsidR="00250B03">
        <w:rPr>
          <w:lang w:val="en-AU" w:eastAsia="ja-JP"/>
        </w:rPr>
        <w:t xml:space="preserve">materiality </w:t>
      </w:r>
      <w:r w:rsidR="0054783E">
        <w:rPr>
          <w:lang w:val="en-AU" w:eastAsia="ja-JP"/>
        </w:rPr>
        <w:t xml:space="preserve">is </w:t>
      </w:r>
      <w:r w:rsidR="00250B03">
        <w:rPr>
          <w:lang w:val="en-AU" w:eastAsia="ja-JP"/>
        </w:rPr>
        <w:t xml:space="preserve">measured and assessed by ESG service providers, </w:t>
      </w:r>
      <w:r w:rsidR="0065754E">
        <w:rPr>
          <w:lang w:val="en-AU" w:eastAsia="ja-JP"/>
        </w:rPr>
        <w:t xml:space="preserve">risk </w:t>
      </w:r>
      <w:r w:rsidR="00F97632">
        <w:rPr>
          <w:lang w:val="en-AU" w:eastAsia="ja-JP"/>
        </w:rPr>
        <w:t xml:space="preserve">of </w:t>
      </w:r>
      <w:r w:rsidR="0093428F">
        <w:rPr>
          <w:lang w:val="en-AU" w:eastAsia="ja-JP"/>
        </w:rPr>
        <w:t>greenwashing</w:t>
      </w:r>
      <w:r w:rsidR="00715DE9">
        <w:rPr>
          <w:lang w:val="en-AU" w:eastAsia="ja-JP"/>
        </w:rPr>
        <w:t xml:space="preserve"> remains</w:t>
      </w:r>
      <w:r w:rsidR="003C09EE">
        <w:rPr>
          <w:lang w:val="en-AU" w:eastAsia="ja-JP"/>
        </w:rPr>
        <w:t xml:space="preserve">. </w:t>
      </w:r>
      <w:r w:rsidR="0045797F" w:rsidRPr="751C2E37">
        <w:rPr>
          <w:lang w:val="en-AU" w:eastAsia="ja-JP"/>
        </w:rPr>
        <w:t>Swedwatch</w:t>
      </w:r>
      <w:r w:rsidR="008E3308" w:rsidRPr="751C2E37">
        <w:rPr>
          <w:lang w:val="en-AU" w:eastAsia="ja-JP"/>
        </w:rPr>
        <w:t>,</w:t>
      </w:r>
      <w:r w:rsidR="0045797F" w:rsidRPr="751C2E37">
        <w:rPr>
          <w:lang w:val="en-AU" w:eastAsia="ja-JP"/>
        </w:rPr>
        <w:t xml:space="preserve"> </w:t>
      </w:r>
      <w:r w:rsidR="0088377B" w:rsidRPr="751C2E37">
        <w:rPr>
          <w:lang w:val="en-AU" w:eastAsia="ja-JP"/>
        </w:rPr>
        <w:t>therefore</w:t>
      </w:r>
      <w:r w:rsidR="00943FE7">
        <w:rPr>
          <w:lang w:val="en-AU" w:eastAsia="ja-JP"/>
        </w:rPr>
        <w:t>,</w:t>
      </w:r>
      <w:r w:rsidR="0088377B" w:rsidRPr="751C2E37">
        <w:rPr>
          <w:lang w:val="en-AU" w:eastAsia="ja-JP"/>
        </w:rPr>
        <w:t xml:space="preserve"> </w:t>
      </w:r>
      <w:r w:rsidR="0045797F" w:rsidRPr="751C2E37">
        <w:rPr>
          <w:lang w:val="en-AU" w:eastAsia="ja-JP"/>
        </w:rPr>
        <w:t xml:space="preserve">calls for stronger </w:t>
      </w:r>
      <w:r w:rsidR="00943FE7">
        <w:rPr>
          <w:lang w:val="en-AU" w:eastAsia="ja-JP"/>
        </w:rPr>
        <w:t xml:space="preserve">regulatory framework </w:t>
      </w:r>
      <w:r w:rsidR="0045797F" w:rsidRPr="751C2E37">
        <w:rPr>
          <w:lang w:val="en-AU" w:eastAsia="ja-JP"/>
        </w:rPr>
        <w:t xml:space="preserve">obliging ESG service providers to be fully transparent about </w:t>
      </w:r>
      <w:r w:rsidR="00793A21">
        <w:rPr>
          <w:lang w:val="en-AU" w:eastAsia="ja-JP"/>
        </w:rPr>
        <w:t>application</w:t>
      </w:r>
      <w:r w:rsidR="00E33770" w:rsidRPr="751C2E37">
        <w:rPr>
          <w:lang w:val="en-AU" w:eastAsia="ja-JP"/>
        </w:rPr>
        <w:t xml:space="preserve"> and interpretation of various materiality considerations</w:t>
      </w:r>
      <w:r w:rsidR="00C2533C" w:rsidRPr="751C2E37">
        <w:rPr>
          <w:lang w:val="en-AU" w:eastAsia="ja-JP"/>
        </w:rPr>
        <w:t xml:space="preserve">, </w:t>
      </w:r>
      <w:r w:rsidR="007918E6" w:rsidRPr="751C2E37">
        <w:rPr>
          <w:lang w:val="en-AU" w:eastAsia="ja-JP"/>
        </w:rPr>
        <w:t>especially</w:t>
      </w:r>
      <w:r w:rsidR="00C2533C" w:rsidRPr="751C2E37">
        <w:rPr>
          <w:lang w:val="en-AU" w:eastAsia="ja-JP"/>
        </w:rPr>
        <w:t xml:space="preserve"> in those cases where </w:t>
      </w:r>
      <w:r w:rsidR="00AF571F" w:rsidRPr="751C2E37">
        <w:rPr>
          <w:lang w:val="en-AU" w:eastAsia="ja-JP"/>
        </w:rPr>
        <w:t xml:space="preserve">ratings </w:t>
      </w:r>
      <w:r w:rsidR="00F87B60" w:rsidRPr="751C2E37">
        <w:rPr>
          <w:lang w:val="en-AU" w:eastAsia="ja-JP"/>
        </w:rPr>
        <w:t>merely measure companies’ ability to manage ESG risks</w:t>
      </w:r>
      <w:r w:rsidR="00DC12E3" w:rsidRPr="751C2E37">
        <w:rPr>
          <w:lang w:val="en-AU" w:eastAsia="ja-JP"/>
        </w:rPr>
        <w:t xml:space="preserve"> relative to peers in the industry</w:t>
      </w:r>
      <w:r w:rsidR="00080716" w:rsidRPr="751C2E37">
        <w:rPr>
          <w:lang w:val="en-AU" w:eastAsia="ja-JP"/>
        </w:rPr>
        <w:t xml:space="preserve"> </w:t>
      </w:r>
      <w:r w:rsidR="007918E6" w:rsidRPr="751C2E37">
        <w:rPr>
          <w:lang w:val="en-AU" w:eastAsia="ja-JP"/>
        </w:rPr>
        <w:t xml:space="preserve">rather than their degree of compliance with UNGPs and </w:t>
      </w:r>
      <w:r w:rsidR="00A9441A" w:rsidRPr="751C2E37">
        <w:rPr>
          <w:lang w:val="en-AU" w:eastAsia="ja-JP"/>
        </w:rPr>
        <w:t>other international standards.</w:t>
      </w:r>
      <w:r w:rsidR="00E33770" w:rsidRPr="751C2E37">
        <w:rPr>
          <w:lang w:val="en-AU" w:eastAsia="ja-JP"/>
        </w:rPr>
        <w:t xml:space="preserve"> </w:t>
      </w:r>
    </w:p>
    <w:p w14:paraId="0D436A58" w14:textId="0EFE8019" w:rsidR="00C030D8" w:rsidRDefault="00C030D8" w:rsidP="751C2E37">
      <w:pPr>
        <w:rPr>
          <w:lang w:val="en-AU" w:eastAsia="ja-JP"/>
        </w:rPr>
      </w:pPr>
    </w:p>
    <w:p w14:paraId="6380D94E" w14:textId="77777777" w:rsidR="00A50FA5" w:rsidRPr="006F301F" w:rsidRDefault="00A50FA5" w:rsidP="00A50FA5">
      <w:pPr>
        <w:shd w:val="clear" w:color="auto" w:fill="FFFFFF"/>
        <w:spacing w:before="120" w:after="120"/>
        <w:rPr>
          <w:rFonts w:cstheme="minorHAnsi"/>
          <w:b/>
          <w:bCs/>
          <w:color w:val="000000"/>
          <w:szCs w:val="24"/>
          <w:lang w:val="en-AU" w:eastAsia="ja-JP"/>
        </w:rPr>
      </w:pPr>
      <w:r w:rsidRPr="006F301F">
        <w:rPr>
          <w:rFonts w:cstheme="minorHAnsi"/>
          <w:b/>
          <w:bCs/>
          <w:color w:val="000000"/>
          <w:szCs w:val="24"/>
          <w:lang w:val="en-AU" w:eastAsia="ja-JP"/>
        </w:rPr>
        <w:t>Corporate responsibility to respect human rights</w:t>
      </w:r>
    </w:p>
    <w:p w14:paraId="65F2C939" w14:textId="77777777" w:rsidR="00A50FA5" w:rsidRDefault="00A50FA5" w:rsidP="00FB7604">
      <w:pPr>
        <w:ind w:left="709" w:hanging="425"/>
        <w:rPr>
          <w:lang w:val="en-AU" w:eastAsia="ja-JP"/>
        </w:rPr>
      </w:pPr>
    </w:p>
    <w:p w14:paraId="06A3071E" w14:textId="40582859" w:rsidR="00C030D8" w:rsidRPr="00FB7604" w:rsidRDefault="2DB44285" w:rsidP="00FB7604">
      <w:pPr>
        <w:tabs>
          <w:tab w:val="left" w:pos="5760"/>
        </w:tabs>
        <w:ind w:left="709" w:hanging="425"/>
        <w:rPr>
          <w:rFonts w:eastAsia="Roboto" w:cstheme="minorHAnsi"/>
          <w:b/>
          <w:bCs/>
          <w:szCs w:val="24"/>
          <w:lang w:val="en-AU"/>
        </w:rPr>
      </w:pPr>
      <w:r w:rsidRPr="00FB7604">
        <w:rPr>
          <w:rFonts w:eastAsia="Roboto" w:cstheme="minorHAnsi"/>
          <w:b/>
          <w:bCs/>
          <w:szCs w:val="24"/>
          <w:lang w:val="en-AU"/>
        </w:rPr>
        <w:t>12.</w:t>
      </w:r>
      <w:r w:rsidR="0517CC5D" w:rsidRPr="00FB7604">
        <w:rPr>
          <w:rFonts w:eastAsia="Roboto" w:cstheme="minorHAnsi"/>
          <w:b/>
          <w:bCs/>
          <w:szCs w:val="24"/>
          <w:lang w:val="en-AU"/>
        </w:rPr>
        <w:t xml:space="preserve"> How should investors take gender-responsive, disability-responsive, and intersectional-responsive approaches? </w:t>
      </w:r>
      <w:r w:rsidR="28010961" w:rsidRPr="00FB7604">
        <w:rPr>
          <w:rFonts w:eastAsia="Roboto" w:cstheme="minorHAnsi"/>
          <w:b/>
          <w:bCs/>
          <w:szCs w:val="24"/>
          <w:lang w:val="en-AU"/>
        </w:rPr>
        <w:t>H</w:t>
      </w:r>
      <w:r w:rsidRPr="00FB7604">
        <w:rPr>
          <w:rFonts w:eastAsia="Roboto" w:cstheme="minorHAnsi"/>
          <w:b/>
          <w:bCs/>
          <w:szCs w:val="24"/>
          <w:lang w:val="en-AU"/>
        </w:rPr>
        <w:t>ow should investors take a heightened human rights due diligence approach in conflict affected areas?</w:t>
      </w:r>
    </w:p>
    <w:p w14:paraId="41835B33" w14:textId="77777777" w:rsidR="00D216B8" w:rsidRDefault="00D216B8" w:rsidP="751C2E37">
      <w:pPr>
        <w:tabs>
          <w:tab w:val="left" w:pos="5760"/>
        </w:tabs>
        <w:rPr>
          <w:rFonts w:ascii="Calibri" w:hAnsi="Calibri"/>
          <w:szCs w:val="24"/>
          <w:lang w:val="en-AU"/>
        </w:rPr>
      </w:pPr>
    </w:p>
    <w:p w14:paraId="00C55788" w14:textId="36C6872C" w:rsidR="00B56632" w:rsidRDefault="000752E3" w:rsidP="00A50FA5">
      <w:pPr>
        <w:tabs>
          <w:tab w:val="left" w:pos="5760"/>
        </w:tabs>
        <w:rPr>
          <w:rFonts w:ascii="Calibri" w:hAnsi="Calibri"/>
          <w:szCs w:val="24"/>
          <w:lang w:val="en-AU" w:eastAsia="ja-JP"/>
        </w:rPr>
      </w:pPr>
      <w:r>
        <w:rPr>
          <w:rFonts w:ascii="Calibri" w:hAnsi="Calibri"/>
          <w:szCs w:val="24"/>
          <w:lang w:val="en-AU" w:eastAsia="ja-JP"/>
        </w:rPr>
        <w:t>D</w:t>
      </w:r>
      <w:r w:rsidR="00E26965">
        <w:rPr>
          <w:rFonts w:ascii="Calibri" w:hAnsi="Calibri"/>
          <w:szCs w:val="24"/>
          <w:lang w:val="en-AU" w:eastAsia="ja-JP"/>
        </w:rPr>
        <w:t xml:space="preserve">rawing on Swedwatch’s </w:t>
      </w:r>
      <w:r w:rsidR="001417E0">
        <w:rPr>
          <w:rFonts w:ascii="Calibri" w:hAnsi="Calibri"/>
          <w:szCs w:val="24"/>
          <w:lang w:val="en-AU" w:eastAsia="ja-JP"/>
        </w:rPr>
        <w:t>work in high-conflict region</w:t>
      </w:r>
      <w:r>
        <w:rPr>
          <w:rFonts w:ascii="Calibri" w:hAnsi="Calibri"/>
          <w:szCs w:val="24"/>
          <w:lang w:val="en-AU" w:eastAsia="ja-JP"/>
        </w:rPr>
        <w:t>s</w:t>
      </w:r>
      <w:r w:rsidR="001417E0">
        <w:rPr>
          <w:rFonts w:ascii="Calibri" w:hAnsi="Calibri"/>
          <w:szCs w:val="24"/>
          <w:lang w:val="en-AU" w:eastAsia="ja-JP"/>
        </w:rPr>
        <w:t>,</w:t>
      </w:r>
      <w:r w:rsidR="00C94721">
        <w:rPr>
          <w:rFonts w:ascii="Calibri" w:hAnsi="Calibri"/>
          <w:szCs w:val="24"/>
          <w:lang w:val="en-AU" w:eastAsia="ja-JP"/>
        </w:rPr>
        <w:t xml:space="preserve"> </w:t>
      </w:r>
      <w:r w:rsidR="006B54D0">
        <w:rPr>
          <w:rFonts w:ascii="Calibri" w:hAnsi="Calibri"/>
          <w:szCs w:val="24"/>
          <w:lang w:val="en-AU" w:eastAsia="ja-JP"/>
        </w:rPr>
        <w:t>it is critical for investors and companies to recognise that i</w:t>
      </w:r>
      <w:r w:rsidR="33DCC883" w:rsidRPr="00FB7604">
        <w:rPr>
          <w:rFonts w:ascii="Calibri" w:hAnsi="Calibri"/>
          <w:szCs w:val="24"/>
          <w:lang w:val="en-AU" w:eastAsia="ja-JP"/>
        </w:rPr>
        <w:t xml:space="preserve">nvestments in fragile </w:t>
      </w:r>
      <w:r w:rsidR="0DC2CFE2" w:rsidRPr="00FB7604">
        <w:rPr>
          <w:rFonts w:ascii="Calibri" w:hAnsi="Calibri"/>
          <w:szCs w:val="24"/>
          <w:lang w:val="en-AU" w:eastAsia="ja-JP"/>
        </w:rPr>
        <w:t xml:space="preserve">and </w:t>
      </w:r>
      <w:r w:rsidR="33DCC883" w:rsidRPr="00FB7604">
        <w:rPr>
          <w:rFonts w:ascii="Calibri" w:hAnsi="Calibri"/>
          <w:szCs w:val="24"/>
          <w:lang w:val="en-AU" w:eastAsia="ja-JP"/>
        </w:rPr>
        <w:t>conflict-affected areas</w:t>
      </w:r>
      <w:r w:rsidR="3B490EEB" w:rsidRPr="00FB7604">
        <w:rPr>
          <w:rFonts w:ascii="Calibri" w:hAnsi="Calibri"/>
          <w:szCs w:val="24"/>
          <w:lang w:val="en-AU" w:eastAsia="ja-JP"/>
        </w:rPr>
        <w:t xml:space="preserve"> (FCAs)</w:t>
      </w:r>
      <w:r w:rsidR="33DCC883" w:rsidRPr="00FB7604">
        <w:rPr>
          <w:rFonts w:ascii="Calibri" w:hAnsi="Calibri"/>
          <w:szCs w:val="24"/>
          <w:lang w:val="en-AU" w:eastAsia="ja-JP"/>
        </w:rPr>
        <w:t xml:space="preserve"> </w:t>
      </w:r>
      <w:r w:rsidR="0002522D">
        <w:rPr>
          <w:rFonts w:ascii="Calibri" w:hAnsi="Calibri"/>
          <w:szCs w:val="24"/>
          <w:lang w:val="en-AU" w:eastAsia="ja-JP"/>
        </w:rPr>
        <w:t>require</w:t>
      </w:r>
      <w:r w:rsidR="33DCC883" w:rsidRPr="00FB7604">
        <w:rPr>
          <w:rFonts w:ascii="Calibri" w:hAnsi="Calibri"/>
          <w:szCs w:val="24"/>
          <w:lang w:val="en-AU" w:eastAsia="ja-JP"/>
        </w:rPr>
        <w:t xml:space="preserve"> heightened </w:t>
      </w:r>
      <w:r w:rsidR="0002522D">
        <w:rPr>
          <w:rFonts w:ascii="Calibri" w:hAnsi="Calibri"/>
          <w:szCs w:val="24"/>
          <w:lang w:val="en-AU" w:eastAsia="ja-JP"/>
        </w:rPr>
        <w:t>due diligence regardless to political and economic position</w:t>
      </w:r>
      <w:r w:rsidR="001524D5">
        <w:rPr>
          <w:rFonts w:ascii="Calibri" w:hAnsi="Calibri"/>
          <w:szCs w:val="24"/>
          <w:lang w:val="en-AU" w:eastAsia="ja-JP"/>
        </w:rPr>
        <w:t>s</w:t>
      </w:r>
      <w:r w:rsidR="0002522D">
        <w:rPr>
          <w:rFonts w:ascii="Calibri" w:hAnsi="Calibri"/>
          <w:szCs w:val="24"/>
          <w:lang w:val="en-AU" w:eastAsia="ja-JP"/>
        </w:rPr>
        <w:t xml:space="preserve"> of investors and companies involved. </w:t>
      </w:r>
      <w:r w:rsidR="5E1D1AF3" w:rsidRPr="00FB7604">
        <w:rPr>
          <w:rFonts w:ascii="Calibri" w:hAnsi="Calibri"/>
          <w:szCs w:val="24"/>
          <w:lang w:val="en-AU" w:eastAsia="ja-JP"/>
        </w:rPr>
        <w:t xml:space="preserve">Investors should </w:t>
      </w:r>
      <w:r w:rsidR="1EE43D60" w:rsidRPr="00FB7604">
        <w:rPr>
          <w:rFonts w:ascii="Calibri" w:hAnsi="Calibri"/>
          <w:szCs w:val="24"/>
          <w:lang w:val="en-AU" w:eastAsia="ja-JP"/>
        </w:rPr>
        <w:t>continuous</w:t>
      </w:r>
      <w:r w:rsidR="001524D5">
        <w:rPr>
          <w:rFonts w:ascii="Calibri" w:hAnsi="Calibri"/>
          <w:szCs w:val="24"/>
          <w:lang w:val="en-AU" w:eastAsia="ja-JP"/>
        </w:rPr>
        <w:t xml:space="preserve">ly </w:t>
      </w:r>
      <w:r w:rsidR="00805300">
        <w:rPr>
          <w:rFonts w:ascii="Calibri" w:hAnsi="Calibri"/>
          <w:szCs w:val="24"/>
          <w:lang w:val="en-AU" w:eastAsia="ja-JP"/>
        </w:rPr>
        <w:t>implement</w:t>
      </w:r>
      <w:r w:rsidR="1EE43D60" w:rsidRPr="00FB7604">
        <w:rPr>
          <w:rFonts w:ascii="Calibri" w:hAnsi="Calibri"/>
          <w:szCs w:val="24"/>
          <w:lang w:val="en-AU" w:eastAsia="ja-JP"/>
        </w:rPr>
        <w:t xml:space="preserve"> </w:t>
      </w:r>
      <w:r w:rsidR="00805300">
        <w:rPr>
          <w:rFonts w:ascii="Calibri" w:hAnsi="Calibri"/>
          <w:szCs w:val="24"/>
          <w:lang w:val="en-AU" w:eastAsia="ja-JP"/>
        </w:rPr>
        <w:t>human rights due diligence</w:t>
      </w:r>
      <w:r w:rsidR="1EE43D60" w:rsidRPr="00FB7604">
        <w:rPr>
          <w:rFonts w:ascii="Calibri" w:hAnsi="Calibri"/>
          <w:szCs w:val="24"/>
          <w:lang w:val="en-AU" w:eastAsia="ja-JP"/>
        </w:rPr>
        <w:t xml:space="preserve"> </w:t>
      </w:r>
      <w:r w:rsidR="00805300">
        <w:rPr>
          <w:rFonts w:ascii="Calibri" w:hAnsi="Calibri"/>
          <w:szCs w:val="24"/>
          <w:lang w:val="en-AU" w:eastAsia="ja-JP"/>
        </w:rPr>
        <w:t xml:space="preserve">(HRDD) </w:t>
      </w:r>
      <w:r w:rsidR="1EE43D60" w:rsidRPr="00FB7604">
        <w:rPr>
          <w:rFonts w:ascii="Calibri" w:hAnsi="Calibri"/>
          <w:szCs w:val="24"/>
          <w:lang w:val="en-AU" w:eastAsia="ja-JP"/>
        </w:rPr>
        <w:t xml:space="preserve">and </w:t>
      </w:r>
      <w:r w:rsidR="603F582E" w:rsidRPr="00FB7604">
        <w:rPr>
          <w:rFonts w:ascii="Calibri" w:hAnsi="Calibri"/>
          <w:szCs w:val="24"/>
          <w:lang w:val="en-AU" w:eastAsia="ja-JP"/>
        </w:rPr>
        <w:t xml:space="preserve">conflict-sensitivity </w:t>
      </w:r>
      <w:r w:rsidR="3EF4A3CF" w:rsidRPr="00FB7604">
        <w:rPr>
          <w:rFonts w:ascii="Calibri" w:hAnsi="Calibri"/>
          <w:szCs w:val="24"/>
          <w:lang w:val="en-AU" w:eastAsia="ja-JP"/>
        </w:rPr>
        <w:t>assessments</w:t>
      </w:r>
      <w:r w:rsidR="22A46467" w:rsidRPr="00FB7604">
        <w:rPr>
          <w:rFonts w:ascii="Calibri" w:hAnsi="Calibri"/>
          <w:szCs w:val="24"/>
          <w:lang w:val="en-AU" w:eastAsia="ja-JP"/>
        </w:rPr>
        <w:t xml:space="preserve"> </w:t>
      </w:r>
      <w:r w:rsidR="00162DD2">
        <w:rPr>
          <w:rFonts w:ascii="Calibri" w:hAnsi="Calibri"/>
          <w:szCs w:val="24"/>
          <w:lang w:val="en-AU" w:eastAsia="ja-JP"/>
        </w:rPr>
        <w:t>to ensure that investment</w:t>
      </w:r>
      <w:r w:rsidR="008C08B5">
        <w:rPr>
          <w:rFonts w:ascii="Calibri" w:hAnsi="Calibri"/>
          <w:szCs w:val="24"/>
          <w:lang w:val="en-AU" w:eastAsia="ja-JP"/>
        </w:rPr>
        <w:t xml:space="preserve"> </w:t>
      </w:r>
      <w:r w:rsidR="008C08B5">
        <w:rPr>
          <w:rFonts w:ascii="Calibri" w:hAnsi="Calibri"/>
          <w:szCs w:val="24"/>
          <w:lang w:val="en-AU" w:eastAsia="ja-JP"/>
        </w:rPr>
        <w:lastRenderedPageBreak/>
        <w:t>activities</w:t>
      </w:r>
      <w:r w:rsidR="00162DD2">
        <w:rPr>
          <w:rFonts w:ascii="Calibri" w:hAnsi="Calibri"/>
          <w:szCs w:val="24"/>
          <w:lang w:val="en-AU" w:eastAsia="ja-JP"/>
        </w:rPr>
        <w:t xml:space="preserve"> do not </w:t>
      </w:r>
      <w:r w:rsidR="00805300" w:rsidRPr="00FD4DA2">
        <w:rPr>
          <w:rFonts w:ascii="Calibri" w:hAnsi="Calibri"/>
          <w:szCs w:val="24"/>
          <w:lang w:val="en-AU" w:eastAsia="ja-JP"/>
        </w:rPr>
        <w:t>contribute to</w:t>
      </w:r>
      <w:r w:rsidR="00162DD2">
        <w:rPr>
          <w:rFonts w:ascii="Calibri" w:hAnsi="Calibri"/>
          <w:szCs w:val="24"/>
          <w:lang w:val="en-AU" w:eastAsia="ja-JP"/>
        </w:rPr>
        <w:t xml:space="preserve"> or become linked to</w:t>
      </w:r>
      <w:r w:rsidR="00805300" w:rsidRPr="00FD4DA2">
        <w:rPr>
          <w:rFonts w:ascii="Calibri" w:hAnsi="Calibri"/>
          <w:szCs w:val="24"/>
          <w:lang w:val="en-AU" w:eastAsia="ja-JP"/>
        </w:rPr>
        <w:t xml:space="preserve"> human rights violations and </w:t>
      </w:r>
      <w:r w:rsidR="0043777D">
        <w:rPr>
          <w:rFonts w:ascii="Calibri" w:hAnsi="Calibri"/>
          <w:szCs w:val="24"/>
          <w:lang w:val="en-AU" w:eastAsia="ja-JP"/>
        </w:rPr>
        <w:t>further exacerbate</w:t>
      </w:r>
      <w:r w:rsidR="00805300" w:rsidRPr="00FD4DA2">
        <w:rPr>
          <w:rFonts w:ascii="Calibri" w:hAnsi="Calibri"/>
          <w:szCs w:val="24"/>
          <w:lang w:val="en-AU" w:eastAsia="ja-JP"/>
        </w:rPr>
        <w:t xml:space="preserve"> existing </w:t>
      </w:r>
      <w:r w:rsidR="0043777D">
        <w:rPr>
          <w:rFonts w:ascii="Calibri" w:hAnsi="Calibri"/>
          <w:szCs w:val="24"/>
          <w:lang w:val="en-AU" w:eastAsia="ja-JP"/>
        </w:rPr>
        <w:t xml:space="preserve">social </w:t>
      </w:r>
      <w:r w:rsidR="008C08B5">
        <w:rPr>
          <w:rFonts w:ascii="Calibri" w:hAnsi="Calibri"/>
          <w:szCs w:val="24"/>
          <w:lang w:val="en-AU" w:eastAsia="ja-JP"/>
        </w:rPr>
        <w:t>tensions and conflicts.</w:t>
      </w:r>
      <w:r w:rsidR="00C16CD5">
        <w:rPr>
          <w:rStyle w:val="FootnoteReference"/>
          <w:rFonts w:ascii="Calibri" w:hAnsi="Calibri"/>
          <w:szCs w:val="24"/>
          <w:lang w:val="en-AU" w:eastAsia="ja-JP"/>
        </w:rPr>
        <w:footnoteReference w:id="8"/>
      </w:r>
      <w:r w:rsidR="22A46467" w:rsidRPr="00FB7604">
        <w:rPr>
          <w:rFonts w:ascii="Calibri" w:hAnsi="Calibri"/>
          <w:szCs w:val="24"/>
          <w:lang w:val="en-AU" w:eastAsia="ja-JP"/>
        </w:rPr>
        <w:t xml:space="preserve"> </w:t>
      </w:r>
    </w:p>
    <w:p w14:paraId="2E366FE9" w14:textId="77777777" w:rsidR="00B56632" w:rsidRDefault="00B56632" w:rsidP="00A50FA5">
      <w:pPr>
        <w:tabs>
          <w:tab w:val="left" w:pos="5760"/>
        </w:tabs>
        <w:rPr>
          <w:rFonts w:ascii="Calibri" w:hAnsi="Calibri"/>
          <w:szCs w:val="24"/>
          <w:lang w:val="en-AU" w:eastAsia="ja-JP"/>
        </w:rPr>
      </w:pPr>
    </w:p>
    <w:p w14:paraId="612E47DC" w14:textId="6F2D24B8" w:rsidR="00C030D8" w:rsidRPr="00FB7604" w:rsidRDefault="00B56632" w:rsidP="00A50FA5">
      <w:pPr>
        <w:tabs>
          <w:tab w:val="left" w:pos="5760"/>
        </w:tabs>
        <w:rPr>
          <w:rFonts w:ascii="Calibri" w:hAnsi="Calibri"/>
          <w:szCs w:val="24"/>
          <w:lang w:eastAsia="ja-JP"/>
        </w:rPr>
      </w:pPr>
      <w:r>
        <w:rPr>
          <w:rFonts w:ascii="Calibri" w:hAnsi="Calibri"/>
          <w:szCs w:val="24"/>
          <w:lang w:val="en-AU" w:eastAsia="ja-JP"/>
        </w:rPr>
        <w:t xml:space="preserve">As enablers, investors have an important role to pressure companies </w:t>
      </w:r>
      <w:r w:rsidR="22A46467" w:rsidRPr="00FB7604">
        <w:rPr>
          <w:rFonts w:ascii="Calibri" w:hAnsi="Calibri"/>
          <w:szCs w:val="24"/>
          <w:lang w:val="en-AU" w:eastAsia="ja-JP"/>
        </w:rPr>
        <w:t>to comply with heightened HRDD</w:t>
      </w:r>
      <w:r w:rsidR="3DD01D1C" w:rsidRPr="00FB7604">
        <w:rPr>
          <w:rFonts w:ascii="Calibri" w:hAnsi="Calibri"/>
          <w:szCs w:val="24"/>
          <w:lang w:val="en-AU" w:eastAsia="ja-JP"/>
        </w:rPr>
        <w:t xml:space="preserve"> in their operations</w:t>
      </w:r>
      <w:r>
        <w:rPr>
          <w:rFonts w:ascii="Calibri" w:hAnsi="Calibri"/>
          <w:szCs w:val="24"/>
          <w:lang w:val="en-AU" w:eastAsia="ja-JP"/>
        </w:rPr>
        <w:t xml:space="preserve"> and implement</w:t>
      </w:r>
      <w:r w:rsidR="3A3525CD" w:rsidRPr="00FB7604">
        <w:rPr>
          <w:rFonts w:ascii="Calibri" w:hAnsi="Calibri"/>
          <w:szCs w:val="24"/>
          <w:lang w:val="en-AU" w:eastAsia="ja-JP"/>
        </w:rPr>
        <w:t xml:space="preserve"> conflict-sensitivity </w:t>
      </w:r>
      <w:r w:rsidR="0042655E">
        <w:rPr>
          <w:rFonts w:ascii="Calibri" w:hAnsi="Calibri"/>
          <w:szCs w:val="24"/>
          <w:lang w:val="en-AU" w:eastAsia="ja-JP"/>
        </w:rPr>
        <w:t xml:space="preserve">assessments </w:t>
      </w:r>
      <w:r w:rsidR="3A3525CD" w:rsidRPr="00FB7604">
        <w:rPr>
          <w:rFonts w:ascii="Calibri" w:hAnsi="Calibri"/>
          <w:szCs w:val="24"/>
          <w:lang w:val="en-AU" w:eastAsia="ja-JP"/>
        </w:rPr>
        <w:t>throughout</w:t>
      </w:r>
      <w:r w:rsidR="603F582E" w:rsidRPr="00FB7604">
        <w:rPr>
          <w:rFonts w:ascii="Calibri" w:hAnsi="Calibri"/>
          <w:szCs w:val="24"/>
          <w:lang w:val="en-AU" w:eastAsia="ja-JP"/>
        </w:rPr>
        <w:t xml:space="preserve"> different stages of </w:t>
      </w:r>
      <w:r w:rsidR="26D50D4E" w:rsidRPr="00FB7604">
        <w:rPr>
          <w:rFonts w:ascii="Calibri" w:hAnsi="Calibri"/>
          <w:szCs w:val="24"/>
          <w:lang w:val="en-AU" w:eastAsia="ja-JP"/>
        </w:rPr>
        <w:t xml:space="preserve">project cycle. </w:t>
      </w:r>
      <w:r w:rsidR="00D5201E">
        <w:rPr>
          <w:rFonts w:ascii="Calibri" w:hAnsi="Calibri"/>
          <w:szCs w:val="24"/>
          <w:lang w:val="en-AU" w:eastAsia="ja-JP"/>
        </w:rPr>
        <w:t>It is important to remember that l</w:t>
      </w:r>
      <w:r w:rsidR="00D5201E" w:rsidRPr="00D5201E">
        <w:rPr>
          <w:rFonts w:ascii="Calibri" w:hAnsi="Calibri"/>
          <w:szCs w:val="24"/>
          <w:lang w:val="en-AU" w:eastAsia="ja-JP"/>
        </w:rPr>
        <w:t xml:space="preserve">arge scale investments that </w:t>
      </w:r>
      <w:r w:rsidR="006A4461">
        <w:rPr>
          <w:rFonts w:ascii="Calibri" w:hAnsi="Calibri"/>
          <w:szCs w:val="24"/>
          <w:lang w:val="en-AU" w:eastAsia="ja-JP"/>
        </w:rPr>
        <w:t>incur</w:t>
      </w:r>
      <w:r w:rsidR="00D5201E" w:rsidRPr="00D5201E">
        <w:rPr>
          <w:rFonts w:ascii="Calibri" w:hAnsi="Calibri"/>
          <w:szCs w:val="24"/>
          <w:lang w:val="en-AU" w:eastAsia="ja-JP"/>
        </w:rPr>
        <w:t xml:space="preserve"> adverse impacts on communities’ access to land, water, and food sources</w:t>
      </w:r>
      <w:r w:rsidR="006A4461">
        <w:rPr>
          <w:rFonts w:ascii="Calibri" w:hAnsi="Calibri"/>
          <w:szCs w:val="24"/>
          <w:lang w:val="en-AU" w:eastAsia="ja-JP"/>
        </w:rPr>
        <w:t xml:space="preserve"> which</w:t>
      </w:r>
      <w:r w:rsidR="00D5201E" w:rsidRPr="00D5201E">
        <w:rPr>
          <w:rFonts w:ascii="Calibri" w:hAnsi="Calibri"/>
          <w:szCs w:val="24"/>
          <w:lang w:val="en-AU" w:eastAsia="ja-JP"/>
        </w:rPr>
        <w:t xml:space="preserve"> communities depend </w:t>
      </w:r>
      <w:r w:rsidR="00D5201E">
        <w:rPr>
          <w:rFonts w:ascii="Calibri" w:hAnsi="Calibri"/>
          <w:szCs w:val="24"/>
          <w:lang w:val="en-AU" w:eastAsia="ja-JP"/>
        </w:rPr>
        <w:t>up</w:t>
      </w:r>
      <w:r w:rsidR="00D5201E" w:rsidRPr="00D5201E">
        <w:rPr>
          <w:rFonts w:ascii="Calibri" w:hAnsi="Calibri"/>
          <w:szCs w:val="24"/>
          <w:lang w:val="en-AU" w:eastAsia="ja-JP"/>
        </w:rPr>
        <w:t xml:space="preserve">on </w:t>
      </w:r>
      <w:r w:rsidR="006A4461">
        <w:rPr>
          <w:rFonts w:ascii="Calibri" w:hAnsi="Calibri"/>
          <w:szCs w:val="24"/>
          <w:lang w:val="en-AU" w:eastAsia="ja-JP"/>
        </w:rPr>
        <w:t xml:space="preserve">can </w:t>
      </w:r>
      <w:r w:rsidR="009C2F70">
        <w:rPr>
          <w:rFonts w:ascii="Calibri" w:hAnsi="Calibri"/>
          <w:szCs w:val="24"/>
          <w:lang w:val="en-AU" w:eastAsia="ja-JP"/>
        </w:rPr>
        <w:t>particularly</w:t>
      </w:r>
      <w:r w:rsidR="00834CFB">
        <w:rPr>
          <w:rFonts w:ascii="Calibri" w:hAnsi="Calibri"/>
          <w:szCs w:val="24"/>
          <w:lang w:val="en-AU" w:eastAsia="ja-JP"/>
        </w:rPr>
        <w:t xml:space="preserve"> </w:t>
      </w:r>
      <w:r w:rsidR="006A4461">
        <w:rPr>
          <w:rFonts w:ascii="Calibri" w:hAnsi="Calibri"/>
          <w:szCs w:val="24"/>
          <w:lang w:val="en-AU" w:eastAsia="ja-JP"/>
        </w:rPr>
        <w:t>intensify</w:t>
      </w:r>
      <w:r w:rsidR="00E86093">
        <w:rPr>
          <w:rFonts w:ascii="Calibri" w:hAnsi="Calibri"/>
          <w:szCs w:val="24"/>
          <w:lang w:val="en-AU" w:eastAsia="ja-JP"/>
        </w:rPr>
        <w:t xml:space="preserve"> conflicts. </w:t>
      </w:r>
      <w:r w:rsidR="001C0F42">
        <w:rPr>
          <w:rFonts w:ascii="Calibri" w:hAnsi="Calibri"/>
          <w:szCs w:val="24"/>
          <w:lang w:val="en-AU" w:eastAsia="ja-JP"/>
        </w:rPr>
        <w:t>These include</w:t>
      </w:r>
      <w:r w:rsidR="00BB74AC">
        <w:rPr>
          <w:rFonts w:ascii="Calibri" w:hAnsi="Calibri"/>
          <w:szCs w:val="24"/>
          <w:lang w:val="en-AU" w:eastAsia="ja-JP"/>
        </w:rPr>
        <w:t xml:space="preserve"> investments in</w:t>
      </w:r>
      <w:r w:rsidR="00E86093">
        <w:rPr>
          <w:rFonts w:ascii="Calibri" w:hAnsi="Calibri"/>
          <w:szCs w:val="24"/>
          <w:lang w:val="en-AU" w:eastAsia="ja-JP"/>
        </w:rPr>
        <w:t xml:space="preserve"> </w:t>
      </w:r>
      <w:r w:rsidR="00D5201E" w:rsidRPr="00D5201E">
        <w:rPr>
          <w:rFonts w:ascii="Calibri" w:hAnsi="Calibri"/>
          <w:szCs w:val="24"/>
          <w:lang w:val="en-AU" w:eastAsia="ja-JP"/>
        </w:rPr>
        <w:t xml:space="preserve">agriculture, mining, </w:t>
      </w:r>
      <w:r w:rsidR="00E86093">
        <w:rPr>
          <w:rFonts w:ascii="Calibri" w:hAnsi="Calibri"/>
          <w:szCs w:val="24"/>
          <w:lang w:val="en-AU" w:eastAsia="ja-JP"/>
        </w:rPr>
        <w:t>as well as largescale infrastructure development in</w:t>
      </w:r>
      <w:r w:rsidR="00D5201E" w:rsidRPr="00D5201E">
        <w:rPr>
          <w:rFonts w:ascii="Calibri" w:hAnsi="Calibri"/>
          <w:szCs w:val="24"/>
          <w:lang w:val="en-AU" w:eastAsia="ja-JP"/>
        </w:rPr>
        <w:t xml:space="preserve"> </w:t>
      </w:r>
      <w:r w:rsidR="005E7128">
        <w:rPr>
          <w:rFonts w:ascii="Calibri" w:hAnsi="Calibri"/>
          <w:szCs w:val="24"/>
          <w:lang w:val="en-AU" w:eastAsia="ja-JP"/>
        </w:rPr>
        <w:t xml:space="preserve">the </w:t>
      </w:r>
      <w:r w:rsidR="00D5201E" w:rsidRPr="00D5201E">
        <w:rPr>
          <w:rFonts w:ascii="Calibri" w:hAnsi="Calibri"/>
          <w:szCs w:val="24"/>
          <w:lang w:val="en-AU" w:eastAsia="ja-JP"/>
        </w:rPr>
        <w:t>renewable</w:t>
      </w:r>
      <w:r w:rsidR="00E86093">
        <w:rPr>
          <w:rFonts w:ascii="Calibri" w:hAnsi="Calibri"/>
          <w:szCs w:val="24"/>
          <w:lang w:val="en-AU" w:eastAsia="ja-JP"/>
        </w:rPr>
        <w:t xml:space="preserve"> energy sector. </w:t>
      </w:r>
      <w:r w:rsidR="00543CD2">
        <w:rPr>
          <w:rFonts w:ascii="Calibri" w:hAnsi="Calibri"/>
          <w:szCs w:val="24"/>
          <w:lang w:val="en-AU" w:eastAsia="ja-JP"/>
        </w:rPr>
        <w:t>Therefore, i</w:t>
      </w:r>
      <w:r w:rsidR="009561AD">
        <w:rPr>
          <w:rFonts w:ascii="Calibri" w:hAnsi="Calibri"/>
          <w:szCs w:val="24"/>
          <w:lang w:val="en-AU" w:eastAsia="ja-JP"/>
        </w:rPr>
        <w:t>nvestors</w:t>
      </w:r>
      <w:r w:rsidR="0031742C">
        <w:rPr>
          <w:rFonts w:ascii="Calibri" w:hAnsi="Calibri"/>
          <w:szCs w:val="24"/>
          <w:lang w:val="en-AU" w:eastAsia="ja-JP"/>
        </w:rPr>
        <w:t xml:space="preserve"> in these sectors must particularly</w:t>
      </w:r>
      <w:r w:rsidR="009561AD">
        <w:rPr>
          <w:rFonts w:ascii="Calibri" w:hAnsi="Calibri"/>
          <w:szCs w:val="24"/>
          <w:lang w:val="en-AU" w:eastAsia="ja-JP"/>
        </w:rPr>
        <w:t xml:space="preserve"> heighten their awareness o</w:t>
      </w:r>
      <w:r w:rsidR="00DB0536">
        <w:rPr>
          <w:rFonts w:ascii="Calibri" w:hAnsi="Calibri"/>
          <w:szCs w:val="24"/>
          <w:lang w:val="en-AU" w:eastAsia="ja-JP"/>
        </w:rPr>
        <w:t xml:space="preserve">f their responsibilities </w:t>
      </w:r>
      <w:r w:rsidR="00A045C1">
        <w:rPr>
          <w:rFonts w:ascii="Calibri" w:hAnsi="Calibri"/>
          <w:szCs w:val="24"/>
          <w:lang w:val="en-AU" w:eastAsia="ja-JP"/>
        </w:rPr>
        <w:t xml:space="preserve">in accordance with international </w:t>
      </w:r>
      <w:r w:rsidR="000775DE">
        <w:rPr>
          <w:rFonts w:ascii="Calibri" w:hAnsi="Calibri"/>
          <w:szCs w:val="24"/>
          <w:lang w:val="en-AU" w:eastAsia="ja-JP"/>
        </w:rPr>
        <w:t>standards and</w:t>
      </w:r>
      <w:r w:rsidR="0031742C">
        <w:rPr>
          <w:rFonts w:ascii="Calibri" w:hAnsi="Calibri"/>
          <w:szCs w:val="24"/>
          <w:lang w:val="en-AU" w:eastAsia="ja-JP"/>
        </w:rPr>
        <w:t xml:space="preserve"> improve their understanding o</w:t>
      </w:r>
      <w:r w:rsidR="0071506C">
        <w:rPr>
          <w:rFonts w:ascii="Calibri" w:hAnsi="Calibri"/>
          <w:szCs w:val="24"/>
          <w:lang w:val="en-AU" w:eastAsia="ja-JP"/>
        </w:rPr>
        <w:t>f</w:t>
      </w:r>
      <w:r w:rsidR="0031742C">
        <w:rPr>
          <w:rFonts w:ascii="Calibri" w:hAnsi="Calibri"/>
          <w:szCs w:val="24"/>
          <w:lang w:val="en-AU" w:eastAsia="ja-JP"/>
        </w:rPr>
        <w:t xml:space="preserve"> </w:t>
      </w:r>
      <w:r w:rsidR="00AB7F9D">
        <w:rPr>
          <w:rFonts w:ascii="Calibri" w:hAnsi="Calibri"/>
          <w:szCs w:val="24"/>
          <w:lang w:val="en-AU" w:eastAsia="ja-JP"/>
        </w:rPr>
        <w:t xml:space="preserve">national contexts </w:t>
      </w:r>
      <w:r w:rsidR="001C7449">
        <w:rPr>
          <w:rFonts w:ascii="Calibri" w:hAnsi="Calibri"/>
          <w:szCs w:val="24"/>
          <w:lang w:val="en-AU" w:eastAsia="ja-JP"/>
        </w:rPr>
        <w:t>to apply heigh</w:t>
      </w:r>
      <w:r w:rsidR="007870CF">
        <w:rPr>
          <w:rFonts w:ascii="Calibri" w:hAnsi="Calibri"/>
          <w:szCs w:val="24"/>
          <w:lang w:val="en-AU" w:eastAsia="ja-JP"/>
        </w:rPr>
        <w:t>tened due diligence in high-conflict environment</w:t>
      </w:r>
      <w:r w:rsidR="0071506C">
        <w:rPr>
          <w:rFonts w:ascii="Calibri" w:hAnsi="Calibri"/>
          <w:szCs w:val="24"/>
          <w:lang w:val="en-AU" w:eastAsia="ja-JP"/>
        </w:rPr>
        <w:t>s</w:t>
      </w:r>
      <w:r w:rsidR="007870CF">
        <w:rPr>
          <w:rFonts w:ascii="Calibri" w:hAnsi="Calibri"/>
          <w:szCs w:val="24"/>
          <w:lang w:val="en-AU" w:eastAsia="ja-JP"/>
        </w:rPr>
        <w:t>.</w:t>
      </w:r>
    </w:p>
    <w:p w14:paraId="05B087BD" w14:textId="216AB7BE" w:rsidR="1409199D" w:rsidRPr="0052771E" w:rsidRDefault="1409199D" w:rsidP="00FB7604">
      <w:pPr>
        <w:tabs>
          <w:tab w:val="left" w:pos="5760"/>
        </w:tabs>
        <w:rPr>
          <w:rFonts w:ascii="Calibri" w:hAnsi="Calibri"/>
          <w:szCs w:val="24"/>
          <w:lang w:eastAsia="ja-JP"/>
        </w:rPr>
      </w:pPr>
    </w:p>
    <w:p w14:paraId="6E315E86" w14:textId="77777777" w:rsidR="006C297D" w:rsidRDefault="006C297D">
      <w:pPr>
        <w:spacing w:after="160" w:line="259" w:lineRule="auto"/>
        <w:rPr>
          <w:b/>
          <w:bCs/>
          <w:lang w:val="en-AU" w:eastAsia="ja-JP"/>
        </w:rPr>
      </w:pPr>
      <w:r>
        <w:rPr>
          <w:b/>
          <w:bCs/>
          <w:lang w:val="en-AU" w:eastAsia="ja-JP"/>
        </w:rPr>
        <w:br w:type="page"/>
      </w:r>
    </w:p>
    <w:p w14:paraId="79049382" w14:textId="2564C0B4" w:rsidR="000B2B88" w:rsidRPr="00EB41A6" w:rsidRDefault="006C4911" w:rsidP="00B97C7E">
      <w:pPr>
        <w:spacing w:after="160" w:line="259" w:lineRule="auto"/>
        <w:rPr>
          <w:rFonts w:ascii="Calibri Light" w:hAnsi="Calibri Light" w:cs="Calibri Light"/>
          <w:color w:val="2F5496"/>
          <w:sz w:val="32"/>
          <w:szCs w:val="32"/>
          <w:lang w:val="de-DE" w:eastAsia="ja-JP"/>
        </w:rPr>
      </w:pPr>
      <w:r>
        <w:rPr>
          <w:rFonts w:ascii="Calibri Light" w:hAnsi="Calibri Light" w:cs="Calibri Light"/>
          <w:color w:val="2F5496"/>
          <w:sz w:val="32"/>
          <w:szCs w:val="32"/>
          <w:lang w:val="de-DE" w:eastAsia="ja-JP"/>
        </w:rPr>
        <w:lastRenderedPageBreak/>
        <w:t>Key Swedwatch R</w:t>
      </w:r>
      <w:r w:rsidR="0095703D" w:rsidRPr="00EB41A6">
        <w:rPr>
          <w:rFonts w:ascii="Calibri Light" w:hAnsi="Calibri Light" w:cs="Calibri Light"/>
          <w:color w:val="2F5496"/>
          <w:sz w:val="32"/>
          <w:szCs w:val="32"/>
          <w:lang w:val="de-DE" w:eastAsia="ja-JP"/>
        </w:rPr>
        <w:t>eferences</w:t>
      </w:r>
    </w:p>
    <w:p w14:paraId="53103D64" w14:textId="5AE56DE7" w:rsidR="00765756" w:rsidRDefault="00765756" w:rsidP="00335A67">
      <w:pPr>
        <w:spacing w:after="160" w:line="259" w:lineRule="auto"/>
        <w:ind w:left="720" w:hanging="720"/>
        <w:rPr>
          <w:rFonts w:ascii="Calibri Light" w:hAnsi="Calibri Light" w:cs="Calibri Light"/>
          <w:color w:val="2F5496"/>
          <w:sz w:val="32"/>
          <w:szCs w:val="32"/>
          <w:lang w:val="en-AU" w:eastAsia="ja-JP"/>
        </w:rPr>
      </w:pPr>
      <w:r w:rsidRPr="00A314E7">
        <w:rPr>
          <w:lang w:val="en-AU"/>
        </w:rPr>
        <w:t xml:space="preserve">Arounsavath, F. (2015) </w:t>
      </w:r>
      <w:proofErr w:type="spellStart"/>
      <w:r w:rsidRPr="00A314E7">
        <w:rPr>
          <w:i/>
          <w:iCs/>
          <w:lang w:val="en-AU"/>
        </w:rPr>
        <w:t>Blir</w:t>
      </w:r>
      <w:proofErr w:type="spellEnd"/>
      <w:r w:rsidRPr="00A314E7">
        <w:rPr>
          <w:i/>
          <w:iCs/>
          <w:lang w:val="en-AU"/>
        </w:rPr>
        <w:t xml:space="preserve"> </w:t>
      </w:r>
      <w:proofErr w:type="spellStart"/>
      <w:r w:rsidRPr="00A314E7">
        <w:rPr>
          <w:i/>
          <w:iCs/>
          <w:lang w:val="en-AU"/>
        </w:rPr>
        <w:t>Guldet</w:t>
      </w:r>
      <w:proofErr w:type="spellEnd"/>
      <w:r w:rsidRPr="00A314E7">
        <w:rPr>
          <w:i/>
          <w:iCs/>
          <w:lang w:val="en-AU"/>
        </w:rPr>
        <w:t xml:space="preserve"> till Sand? </w:t>
      </w:r>
      <w:r w:rsidRPr="00765756">
        <w:rPr>
          <w:i/>
          <w:iCs/>
          <w:lang w:val="sv-SE"/>
        </w:rPr>
        <w:t>En Rapport om Fondförvaltning utan Klimatmål</w:t>
      </w:r>
      <w:r w:rsidRPr="00765756">
        <w:rPr>
          <w:lang w:val="sv-SE"/>
        </w:rPr>
        <w:t xml:space="preserve">. </w:t>
      </w:r>
      <w:r w:rsidR="00FA5ADE">
        <w:rPr>
          <w:lang w:val="en-AU"/>
        </w:rPr>
        <w:t xml:space="preserve">[From Gold to Sand: </w:t>
      </w:r>
      <w:r w:rsidR="00194F08">
        <w:rPr>
          <w:lang w:val="en-AU"/>
        </w:rPr>
        <w:t xml:space="preserve">A Report of Capital Management without Climate Goal] </w:t>
      </w:r>
      <w:r>
        <w:t>Stockholm: Swedwatch.</w:t>
      </w:r>
      <w:r w:rsidR="00AE0C6D">
        <w:t xml:space="preserve"> Available at: </w:t>
      </w:r>
    </w:p>
    <w:p w14:paraId="53FCA6D2" w14:textId="1E3C544D" w:rsidR="00867E47" w:rsidRDefault="00EA73AF" w:rsidP="00335A67">
      <w:pPr>
        <w:ind w:left="720" w:hanging="720"/>
        <w:textAlignment w:val="baseline"/>
      </w:pPr>
      <w:r>
        <w:t xml:space="preserve">Arounsavath, F. (2017) </w:t>
      </w:r>
      <w:r>
        <w:rPr>
          <w:i/>
          <w:iCs/>
        </w:rPr>
        <w:t>Turning the Tide: The Urgent Need to Shift Capital Flows to Climate Solutions, A Case Study of Ten Fund Management Companies</w:t>
      </w:r>
      <w:r>
        <w:t xml:space="preserve">. Available at: </w:t>
      </w:r>
      <w:hyperlink r:id="rId12" w:history="1">
        <w:r w:rsidRPr="00786981">
          <w:rPr>
            <w:rStyle w:val="Hyperlink"/>
          </w:rPr>
          <w:t>https://swedwatch.org/wp-content/uploads/2017/12/87_Turning-the-tide.pdf</w:t>
        </w:r>
      </w:hyperlink>
      <w:r>
        <w:t xml:space="preserve">. </w:t>
      </w:r>
    </w:p>
    <w:p w14:paraId="3ED82E69" w14:textId="7C4928FB" w:rsidR="004A5898" w:rsidRDefault="004A5898" w:rsidP="00335A67">
      <w:pPr>
        <w:ind w:left="720" w:hanging="720"/>
        <w:textAlignment w:val="baseline"/>
        <w:rPr>
          <w:rStyle w:val="Hyperlink"/>
          <w:rFonts w:ascii="Calibri" w:hAnsi="Calibri"/>
          <w:lang w:val="en-AU" w:eastAsia="ja-JP"/>
        </w:rPr>
      </w:pPr>
      <w:r w:rsidRPr="004A5898">
        <w:rPr>
          <w:lang w:val="en-AU"/>
        </w:rPr>
        <w:t>Johansson, J. (2022). Prerequisite for Peace: The Critical Role of Responsible Business Conduct in Conflict Prevention in Liberia and Sierra Leone.</w:t>
      </w:r>
      <w:r w:rsidR="00BB13E4">
        <w:rPr>
          <w:lang w:val="en-AU"/>
        </w:rPr>
        <w:t xml:space="preserve"> Available at: </w:t>
      </w:r>
      <w:hyperlink r:id="rId13" w:history="1">
        <w:r w:rsidR="00BB13E4" w:rsidRPr="134A9E7C">
          <w:rPr>
            <w:rStyle w:val="Hyperlink"/>
            <w:rFonts w:ascii="Calibri" w:hAnsi="Calibri"/>
            <w:lang w:val="en-AU" w:eastAsia="ja-JP"/>
          </w:rPr>
          <w:t>https://swedwatch.org/publication/companies-impact-womens-rights-and-social-conflict-in-liberia-and-sierra-leone/.</w:t>
        </w:r>
      </w:hyperlink>
    </w:p>
    <w:p w14:paraId="676389A9" w14:textId="77777777" w:rsidR="00A314E7" w:rsidRDefault="00A314E7" w:rsidP="00A314E7">
      <w:pPr>
        <w:spacing w:after="160" w:line="259" w:lineRule="auto"/>
        <w:ind w:left="720" w:hanging="720"/>
      </w:pPr>
      <w:r w:rsidRPr="0052771E">
        <w:rPr>
          <w:lang w:val="sv-SE"/>
        </w:rPr>
        <w:t xml:space="preserve">König, J. and Wåhlin, M. (2011) </w:t>
      </w:r>
      <w:r w:rsidRPr="0052771E">
        <w:rPr>
          <w:i/>
          <w:lang w:val="sv-SE"/>
        </w:rPr>
        <w:t xml:space="preserve">Rena guldgruvan? </w:t>
      </w:r>
      <w:r w:rsidRPr="00AA0DD5">
        <w:rPr>
          <w:i/>
          <w:iCs/>
          <w:lang w:val="sv-SE"/>
        </w:rPr>
        <w:t>AP-fondernas investeringar har en smutsig baksida</w:t>
      </w:r>
      <w:r w:rsidRPr="00AA0DD5">
        <w:rPr>
          <w:lang w:val="sv-SE"/>
        </w:rPr>
        <w:t xml:space="preserve">. </w:t>
      </w:r>
      <w:r>
        <w:t xml:space="preserve">Stockholm. Available at: </w:t>
      </w:r>
      <w:hyperlink r:id="rId14" w:history="1">
        <w:r w:rsidRPr="00786981">
          <w:rPr>
            <w:rStyle w:val="Hyperlink"/>
          </w:rPr>
          <w:t>https://swedwatch.org/wp-content/uploads/2016/12/swedwatch_-_rena_guldgruvan.pdf</w:t>
        </w:r>
      </w:hyperlink>
    </w:p>
    <w:p w14:paraId="27EA6CFA" w14:textId="77777777" w:rsidR="00A314E7" w:rsidRPr="00A314E7" w:rsidRDefault="00A314E7" w:rsidP="00335A67">
      <w:pPr>
        <w:ind w:left="720" w:hanging="720"/>
        <w:textAlignment w:val="baseline"/>
      </w:pPr>
    </w:p>
    <w:sectPr w:rsidR="00A314E7" w:rsidRPr="00A314E7" w:rsidSect="00263075">
      <w:headerReference w:type="default" r:id="rId15"/>
      <w:footerReference w:type="default" r:id="rId16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4787" w14:textId="77777777" w:rsidR="00294FAF" w:rsidRDefault="00294FAF" w:rsidP="002B7A1C">
      <w:r>
        <w:separator/>
      </w:r>
    </w:p>
  </w:endnote>
  <w:endnote w:type="continuationSeparator" w:id="0">
    <w:p w14:paraId="15A6E470" w14:textId="77777777" w:rsidR="00294FAF" w:rsidRDefault="00294FAF" w:rsidP="002B7A1C">
      <w:r>
        <w:continuationSeparator/>
      </w:r>
    </w:p>
  </w:endnote>
  <w:endnote w:type="continuationNotice" w:id="1">
    <w:p w14:paraId="28ECDD27" w14:textId="77777777" w:rsidR="00294FAF" w:rsidRDefault="00294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673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4AF8B" w14:textId="11C5B263" w:rsidR="00567D0B" w:rsidRDefault="00567D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EB84A" w14:textId="77777777" w:rsidR="002B7A1C" w:rsidRDefault="002B7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E84F" w14:textId="77777777" w:rsidR="00294FAF" w:rsidRDefault="00294FAF" w:rsidP="002B7A1C">
      <w:r>
        <w:separator/>
      </w:r>
    </w:p>
  </w:footnote>
  <w:footnote w:type="continuationSeparator" w:id="0">
    <w:p w14:paraId="6C406C1F" w14:textId="77777777" w:rsidR="00294FAF" w:rsidRDefault="00294FAF" w:rsidP="002B7A1C">
      <w:r>
        <w:continuationSeparator/>
      </w:r>
    </w:p>
  </w:footnote>
  <w:footnote w:type="continuationNotice" w:id="1">
    <w:p w14:paraId="317EA22B" w14:textId="77777777" w:rsidR="00294FAF" w:rsidRDefault="00294FAF"/>
  </w:footnote>
  <w:footnote w:id="2">
    <w:p w14:paraId="22A82B17" w14:textId="4585F1C4" w:rsidR="008825D9" w:rsidRPr="008825D9" w:rsidRDefault="008825D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 w:rsidRPr="00FC0E01">
        <w:rPr>
          <w:lang w:val="sv-SE"/>
        </w:rPr>
        <w:t xml:space="preserve"> See </w:t>
      </w:r>
      <w:r w:rsidR="00157197" w:rsidRPr="00FC0E01">
        <w:rPr>
          <w:lang w:val="sv-SE"/>
        </w:rPr>
        <w:t xml:space="preserve">König, J. and Wåhlin, M. (2011) </w:t>
      </w:r>
      <w:r w:rsidR="00157197" w:rsidRPr="00FC0E01">
        <w:rPr>
          <w:i/>
          <w:iCs/>
          <w:lang w:val="sv-SE"/>
        </w:rPr>
        <w:t xml:space="preserve">Rena guldgruvan? </w:t>
      </w:r>
      <w:r w:rsidR="00157197" w:rsidRPr="00157197">
        <w:rPr>
          <w:i/>
          <w:iCs/>
          <w:lang w:val="sv-SE"/>
        </w:rPr>
        <w:t>AP-fondernas investeringar har en smutsig baksida</w:t>
      </w:r>
      <w:r w:rsidR="00157197" w:rsidRPr="00157197">
        <w:rPr>
          <w:lang w:val="sv-SE"/>
        </w:rPr>
        <w:t xml:space="preserve">. </w:t>
      </w:r>
      <w:r w:rsidR="00157197" w:rsidRPr="00817C85">
        <w:rPr>
          <w:lang w:val="sv-SE"/>
        </w:rPr>
        <w:t>Stockholm</w:t>
      </w:r>
      <w:r w:rsidR="00F000D4">
        <w:rPr>
          <w:lang w:val="sv-SE"/>
        </w:rPr>
        <w:t>, Swedwatch</w:t>
      </w:r>
      <w:r w:rsidR="00157197" w:rsidRPr="00817C85">
        <w:rPr>
          <w:lang w:val="sv-SE"/>
        </w:rPr>
        <w:t xml:space="preserve">; </w:t>
      </w:r>
      <w:r w:rsidR="001F2CA6" w:rsidRPr="001F2CA6">
        <w:rPr>
          <w:lang w:val="sv-SE"/>
        </w:rPr>
        <w:t xml:space="preserve">Arounsavath, F. (2015) </w:t>
      </w:r>
      <w:r w:rsidR="001F2CA6" w:rsidRPr="001F2CA6">
        <w:rPr>
          <w:i/>
          <w:iCs/>
          <w:lang w:val="sv-SE"/>
        </w:rPr>
        <w:t>Blir Guldet till Sand? En Rapport om Fondförvaltning utan Klimatmål</w:t>
      </w:r>
      <w:r w:rsidR="001F2CA6" w:rsidRPr="001F2CA6">
        <w:rPr>
          <w:lang w:val="sv-SE"/>
        </w:rPr>
        <w:t xml:space="preserve">. </w:t>
      </w:r>
      <w:r w:rsidR="001F2CA6">
        <w:t>Stockholm</w:t>
      </w:r>
      <w:r w:rsidR="00F000D4">
        <w:t>, Swedwatch</w:t>
      </w:r>
      <w:r w:rsidR="001F2CA6">
        <w:t xml:space="preserve">; </w:t>
      </w:r>
      <w:r w:rsidR="00EE6C2B">
        <w:t xml:space="preserve">and </w:t>
      </w:r>
      <w:r w:rsidR="000B1F6B">
        <w:t xml:space="preserve">Arounsavath, F. (2017) </w:t>
      </w:r>
      <w:r w:rsidR="000B1F6B">
        <w:rPr>
          <w:i/>
          <w:iCs/>
        </w:rPr>
        <w:t>Turning the Tide: The Urgent Need to Shift Capital Flows to Climate Solutions, A Case Study of Ten Fund Management Companies</w:t>
      </w:r>
      <w:r w:rsidR="000B1F6B">
        <w:t xml:space="preserve">. </w:t>
      </w:r>
      <w:r w:rsidR="00074A4B">
        <w:t>Stockholm, Swedwatch</w:t>
      </w:r>
      <w:r w:rsidR="00D507EF">
        <w:t>.</w:t>
      </w:r>
    </w:p>
  </w:footnote>
  <w:footnote w:id="3">
    <w:p w14:paraId="1510CF49" w14:textId="73D11AE3" w:rsidR="00EB086D" w:rsidRPr="004446D6" w:rsidRDefault="00EB086D">
      <w:pPr>
        <w:pStyle w:val="FootnoteText"/>
      </w:pPr>
      <w:r>
        <w:rPr>
          <w:rStyle w:val="FootnoteReference"/>
        </w:rPr>
        <w:footnoteRef/>
      </w:r>
      <w:r w:rsidR="00A977C9">
        <w:t xml:space="preserve"> In June 2023,</w:t>
      </w:r>
      <w:r>
        <w:t xml:space="preserve"> E</w:t>
      </w:r>
      <w:r w:rsidR="00100CCC">
        <w:t xml:space="preserve">uropean Commission has proposed </w:t>
      </w:r>
      <w:r w:rsidR="00A977C9">
        <w:t xml:space="preserve">a package </w:t>
      </w:r>
      <w:r w:rsidR="00B82315">
        <w:t xml:space="preserve">under the EU’s sustainable finance framework </w:t>
      </w:r>
      <w:r w:rsidR="00100CCC">
        <w:t xml:space="preserve">to regulate ESG rating service providers </w:t>
      </w:r>
      <w:r w:rsidR="00E32BA1">
        <w:t xml:space="preserve">under the European </w:t>
      </w:r>
      <w:r w:rsidR="004446D6">
        <w:t xml:space="preserve">Securities and Market Authority. </w:t>
      </w:r>
      <w:r w:rsidR="004446D6" w:rsidRPr="004446D6">
        <w:t>Se</w:t>
      </w:r>
      <w:r w:rsidR="004446D6" w:rsidRPr="00FB7604">
        <w:t>e,</w:t>
      </w:r>
      <w:r w:rsidR="004446D6" w:rsidRPr="004446D6">
        <w:t xml:space="preserve"> </w:t>
      </w:r>
      <w:hyperlink r:id="rId1" w:history="1">
        <w:r w:rsidR="004446D6" w:rsidRPr="004446D6">
          <w:rPr>
            <w:rStyle w:val="Hyperlink"/>
          </w:rPr>
          <w:t>https://ec.europa.eu/commission/presscorner/detail/en/ip_23_3192</w:t>
        </w:r>
      </w:hyperlink>
      <w:r w:rsidRPr="004446D6">
        <w:t xml:space="preserve"> </w:t>
      </w:r>
    </w:p>
  </w:footnote>
  <w:footnote w:id="4">
    <w:p w14:paraId="033B4CA5" w14:textId="5609983A" w:rsidR="006E7373" w:rsidRPr="004B429F" w:rsidRDefault="006E737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6112F">
        <w:rPr>
          <w:rFonts w:cstheme="minorHAnsi"/>
          <w:color w:val="000000"/>
          <w:szCs w:val="24"/>
          <w:lang w:val="en-AU" w:eastAsia="ja-JP"/>
        </w:rPr>
        <w:t>For example,</w:t>
      </w:r>
      <w:r w:rsidR="00D91FF6">
        <w:rPr>
          <w:rFonts w:cstheme="minorHAnsi"/>
          <w:color w:val="000000"/>
          <w:szCs w:val="24"/>
          <w:lang w:val="en-AU" w:eastAsia="ja-JP"/>
        </w:rPr>
        <w:t xml:space="preserve"> in</w:t>
      </w:r>
      <w:r w:rsidR="00D91FF6" w:rsidRPr="00507C18">
        <w:rPr>
          <w:rFonts w:cstheme="minorHAnsi"/>
          <w:color w:val="000000"/>
          <w:szCs w:val="24"/>
          <w:lang w:val="en-AU" w:eastAsia="ja-JP"/>
        </w:rPr>
        <w:t xml:space="preserve"> 2022 Morning Star-owned ESG service provider Sustainalytics</w:t>
      </w:r>
      <w:r w:rsidR="000D056D">
        <w:rPr>
          <w:rFonts w:cstheme="minorHAnsi"/>
          <w:color w:val="000000"/>
          <w:szCs w:val="24"/>
          <w:lang w:val="en-AU" w:eastAsia="ja-JP"/>
        </w:rPr>
        <w:t xml:space="preserve"> </w:t>
      </w:r>
      <w:r w:rsidR="00D91FF6" w:rsidRPr="00507C18">
        <w:rPr>
          <w:rFonts w:cstheme="minorHAnsi"/>
          <w:color w:val="000000"/>
          <w:szCs w:val="24"/>
          <w:lang w:val="en-AU" w:eastAsia="ja-JP"/>
        </w:rPr>
        <w:t xml:space="preserve">removed the UN Human Rights Council as a source to </w:t>
      </w:r>
      <w:r w:rsidR="00D91FF6">
        <w:rPr>
          <w:rFonts w:cstheme="minorHAnsi"/>
          <w:color w:val="000000"/>
          <w:szCs w:val="24"/>
          <w:lang w:val="en-AU" w:eastAsia="ja-JP"/>
        </w:rPr>
        <w:t>c</w:t>
      </w:r>
      <w:r w:rsidR="00D91FF6" w:rsidRPr="00507C18">
        <w:rPr>
          <w:rFonts w:cstheme="minorHAnsi"/>
          <w:color w:val="000000"/>
          <w:szCs w:val="24"/>
          <w:lang w:val="en-AU" w:eastAsia="ja-JP"/>
        </w:rPr>
        <w:t>ollect ESG data and ceased to use the terms “Occupied Palestinian Territory” or “occupied territory” following accusations of anti-Israel bias</w:t>
      </w:r>
      <w:r w:rsidR="000D056D">
        <w:rPr>
          <w:rFonts w:cstheme="minorHAnsi"/>
          <w:color w:val="000000"/>
          <w:szCs w:val="24"/>
          <w:lang w:val="en-AU" w:eastAsia="ja-JP"/>
        </w:rPr>
        <w:t xml:space="preserve">. </w:t>
      </w:r>
      <w:r w:rsidR="00E6289E">
        <w:rPr>
          <w:rFonts w:cstheme="minorHAnsi"/>
          <w:color w:val="000000"/>
          <w:szCs w:val="24"/>
          <w:lang w:val="en-AU" w:eastAsia="ja-JP"/>
        </w:rPr>
        <w:t xml:space="preserve">See </w:t>
      </w:r>
      <w:r w:rsidRPr="006E7373">
        <w:t>https://www.responsible-investor.com/morningstar-ditches-un-human-rights-council-data-to-address-anti-israel-bias-concerns/</w:t>
      </w:r>
    </w:p>
  </w:footnote>
  <w:footnote w:id="5">
    <w:p w14:paraId="7CAEB221" w14:textId="77777777" w:rsidR="004762C0" w:rsidRPr="00AF18D9" w:rsidRDefault="004762C0" w:rsidP="004762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For example, ISS-ESG is </w:t>
      </w:r>
      <w:r w:rsidRPr="00153667">
        <w:rPr>
          <w:rFonts w:cstheme="minorBidi"/>
          <w:lang w:val="en-US"/>
        </w:rPr>
        <w:t>the responsible investment arm of Institutional Shareholder Services Inc</w:t>
      </w:r>
      <w:r>
        <w:rPr>
          <w:lang w:val="en-US"/>
        </w:rPr>
        <w:t>. which offers proxy voting services.</w:t>
      </w:r>
    </w:p>
  </w:footnote>
  <w:footnote w:id="6">
    <w:p w14:paraId="54F4A182" w14:textId="77777777" w:rsidR="004762C0" w:rsidRPr="00D022B0" w:rsidRDefault="004762C0" w:rsidP="004762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2C08">
        <w:t>https://www.reuters.com/sustainability/investors-call-iss-overhaul-its-net-zero-proxy-advice-2023-08-31/</w:t>
      </w:r>
    </w:p>
  </w:footnote>
  <w:footnote w:id="7">
    <w:p w14:paraId="36F5BBD4" w14:textId="77777777" w:rsidR="00E15DDA" w:rsidRPr="00F63256" w:rsidRDefault="00E15DDA" w:rsidP="00E15DD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AC6BD7">
          <w:rPr>
            <w:rStyle w:val="Hyperlink"/>
          </w:rPr>
          <w:t>https://www.finance-watch.org/esg-ratings-must-disaggregate-esg-parameters-to-repair-sustainable-investors-trust/</w:t>
        </w:r>
      </w:hyperlink>
      <w:r>
        <w:t xml:space="preserve"> </w:t>
      </w:r>
    </w:p>
  </w:footnote>
  <w:footnote w:id="8">
    <w:p w14:paraId="3DA8937F" w14:textId="4FD92362" w:rsidR="00C16CD5" w:rsidRDefault="00C16C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0CF0">
        <w:t>See examples o</w:t>
      </w:r>
      <w:r w:rsidR="00964DEC">
        <w:t>f</w:t>
      </w:r>
      <w:r w:rsidRPr="00700CF0">
        <w:t xml:space="preserve"> conflict-sensitivity and heightened HRDD </w:t>
      </w:r>
      <w:r w:rsidR="00700CF0" w:rsidRPr="00700CF0">
        <w:t>for investors in</w:t>
      </w:r>
      <w:r w:rsidR="00964DEC">
        <w:t>volved in</w:t>
      </w:r>
      <w:r w:rsidR="00C16CB1">
        <w:t xml:space="preserve"> the</w:t>
      </w:r>
      <w:r w:rsidR="00700CF0" w:rsidRPr="00700CF0">
        <w:t xml:space="preserve"> energy sector</w:t>
      </w:r>
      <w:r w:rsidR="00B2737B">
        <w:t xml:space="preserve">, from an event co-organised by Swedwatch </w:t>
      </w:r>
      <w:r w:rsidR="00964DEC">
        <w:t xml:space="preserve">on 5 October during </w:t>
      </w:r>
      <w:r w:rsidR="00C16CB1">
        <w:t xml:space="preserve">the </w:t>
      </w:r>
      <w:r w:rsidR="00700CF0" w:rsidRPr="00FB7604">
        <w:rPr>
          <w:rFonts w:ascii="Calibri" w:hAnsi="Calibri"/>
          <w:lang w:val="en-AU" w:eastAsia="ja-JP"/>
        </w:rPr>
        <w:t>Building Bridges 2023 in Geneva</w:t>
      </w:r>
      <w:r w:rsidR="00B2737B">
        <w:rPr>
          <w:rFonts w:ascii="Calibri" w:hAnsi="Calibri"/>
          <w:lang w:val="en-AU" w:eastAsia="ja-JP"/>
        </w:rPr>
        <w:t xml:space="preserve">, </w:t>
      </w:r>
      <w:hyperlink r:id="rId3" w:history="1">
        <w:r w:rsidR="00B708A1" w:rsidRPr="00FB7604">
          <w:rPr>
            <w:rStyle w:val="Hyperlink"/>
            <w:rFonts w:ascii="Calibri" w:hAnsi="Calibri"/>
            <w:lang w:val="en-AU" w:eastAsia="ja-JP"/>
          </w:rPr>
          <w:t>https://www.youtube.com/watch?v=cGUwyCb4jn4&amp;t=5s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F524" w14:textId="6F8E8E7A" w:rsidR="00A077BE" w:rsidRDefault="00A077BE" w:rsidP="0053747C">
    <w:pPr>
      <w:pStyle w:val="Header"/>
      <w:jc w:val="right"/>
    </w:pPr>
    <w:r>
      <w:rPr>
        <w:noProof/>
      </w:rPr>
      <w:drawing>
        <wp:inline distT="0" distB="0" distL="0" distR="0" wp14:anchorId="788FEB24" wp14:editId="47AAE087">
          <wp:extent cx="795246" cy="615950"/>
          <wp:effectExtent l="0" t="0" r="5080" b="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28" cy="622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C2957" w14:textId="77777777" w:rsidR="002B7A1C" w:rsidRDefault="002B7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5CCA"/>
    <w:multiLevelType w:val="hybridMultilevel"/>
    <w:tmpl w:val="9558D7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E25E"/>
    <w:multiLevelType w:val="hybridMultilevel"/>
    <w:tmpl w:val="DF846B9E"/>
    <w:lvl w:ilvl="0" w:tplc="07303504">
      <w:start w:val="1"/>
      <w:numFmt w:val="decimal"/>
      <w:lvlText w:val="%1-"/>
      <w:lvlJc w:val="left"/>
      <w:pPr>
        <w:ind w:left="720" w:hanging="360"/>
      </w:pPr>
    </w:lvl>
    <w:lvl w:ilvl="1" w:tplc="43B040EC">
      <w:start w:val="1"/>
      <w:numFmt w:val="lowerLetter"/>
      <w:lvlText w:val="%2."/>
      <w:lvlJc w:val="left"/>
      <w:pPr>
        <w:ind w:left="1440" w:hanging="360"/>
      </w:pPr>
    </w:lvl>
    <w:lvl w:ilvl="2" w:tplc="EDA47418">
      <w:start w:val="1"/>
      <w:numFmt w:val="lowerRoman"/>
      <w:lvlText w:val="%3."/>
      <w:lvlJc w:val="right"/>
      <w:pPr>
        <w:ind w:left="2160" w:hanging="180"/>
      </w:pPr>
    </w:lvl>
    <w:lvl w:ilvl="3" w:tplc="5C9E9520">
      <w:start w:val="1"/>
      <w:numFmt w:val="decimal"/>
      <w:lvlText w:val="%4."/>
      <w:lvlJc w:val="left"/>
      <w:pPr>
        <w:ind w:left="2880" w:hanging="360"/>
      </w:pPr>
    </w:lvl>
    <w:lvl w:ilvl="4" w:tplc="787EE880">
      <w:start w:val="1"/>
      <w:numFmt w:val="lowerLetter"/>
      <w:lvlText w:val="%5."/>
      <w:lvlJc w:val="left"/>
      <w:pPr>
        <w:ind w:left="3600" w:hanging="360"/>
      </w:pPr>
    </w:lvl>
    <w:lvl w:ilvl="5" w:tplc="284C56BC">
      <w:start w:val="1"/>
      <w:numFmt w:val="lowerRoman"/>
      <w:lvlText w:val="%6."/>
      <w:lvlJc w:val="right"/>
      <w:pPr>
        <w:ind w:left="4320" w:hanging="180"/>
      </w:pPr>
    </w:lvl>
    <w:lvl w:ilvl="6" w:tplc="D8E44CE8">
      <w:start w:val="1"/>
      <w:numFmt w:val="decimal"/>
      <w:lvlText w:val="%7."/>
      <w:lvlJc w:val="left"/>
      <w:pPr>
        <w:ind w:left="5040" w:hanging="360"/>
      </w:pPr>
    </w:lvl>
    <w:lvl w:ilvl="7" w:tplc="B96ACE12">
      <w:start w:val="1"/>
      <w:numFmt w:val="lowerLetter"/>
      <w:lvlText w:val="%8."/>
      <w:lvlJc w:val="left"/>
      <w:pPr>
        <w:ind w:left="5760" w:hanging="360"/>
      </w:pPr>
    </w:lvl>
    <w:lvl w:ilvl="8" w:tplc="13CCD7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6F3"/>
    <w:multiLevelType w:val="hybridMultilevel"/>
    <w:tmpl w:val="340E7CD6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0604E2"/>
    <w:multiLevelType w:val="hybridMultilevel"/>
    <w:tmpl w:val="DF6E1C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180"/>
    <w:multiLevelType w:val="multilevel"/>
    <w:tmpl w:val="EC90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5"/>
      <w:numFmt w:val="bullet"/>
      <w:lvlText w:val="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C35A2"/>
    <w:multiLevelType w:val="multilevel"/>
    <w:tmpl w:val="8BCC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10DD1"/>
    <w:multiLevelType w:val="hybridMultilevel"/>
    <w:tmpl w:val="8348C29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58A7494"/>
    <w:multiLevelType w:val="hybridMultilevel"/>
    <w:tmpl w:val="7C6E14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A5C4E"/>
    <w:multiLevelType w:val="hybridMultilevel"/>
    <w:tmpl w:val="E514DCD4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B70EA9"/>
    <w:multiLevelType w:val="hybridMultilevel"/>
    <w:tmpl w:val="B8426742"/>
    <w:lvl w:ilvl="0" w:tplc="64B872C0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C79A0"/>
    <w:multiLevelType w:val="multilevel"/>
    <w:tmpl w:val="7010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68376D"/>
    <w:multiLevelType w:val="hybridMultilevel"/>
    <w:tmpl w:val="106C59B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7293C45"/>
    <w:multiLevelType w:val="hybridMultilevel"/>
    <w:tmpl w:val="A23C7C5C"/>
    <w:lvl w:ilvl="0" w:tplc="72104F70">
      <w:start w:val="1"/>
      <w:numFmt w:val="decimal"/>
      <w:lvlText w:val="%1."/>
      <w:lvlJc w:val="left"/>
      <w:pPr>
        <w:ind w:left="720" w:hanging="360"/>
      </w:pPr>
    </w:lvl>
    <w:lvl w:ilvl="1" w:tplc="D01E8556">
      <w:start w:val="1"/>
      <w:numFmt w:val="lowerLetter"/>
      <w:lvlText w:val="%2."/>
      <w:lvlJc w:val="left"/>
      <w:pPr>
        <w:ind w:left="1440" w:hanging="360"/>
      </w:pPr>
    </w:lvl>
    <w:lvl w:ilvl="2" w:tplc="A218E536">
      <w:start w:val="1"/>
      <w:numFmt w:val="lowerRoman"/>
      <w:lvlText w:val="%3."/>
      <w:lvlJc w:val="right"/>
      <w:pPr>
        <w:ind w:left="2160" w:hanging="180"/>
      </w:pPr>
    </w:lvl>
    <w:lvl w:ilvl="3" w:tplc="D8FCDC28">
      <w:start w:val="1"/>
      <w:numFmt w:val="decimal"/>
      <w:lvlText w:val="%4."/>
      <w:lvlJc w:val="left"/>
      <w:pPr>
        <w:ind w:left="2880" w:hanging="360"/>
      </w:pPr>
    </w:lvl>
    <w:lvl w:ilvl="4" w:tplc="8F401716">
      <w:start w:val="1"/>
      <w:numFmt w:val="lowerLetter"/>
      <w:lvlText w:val="%5."/>
      <w:lvlJc w:val="left"/>
      <w:pPr>
        <w:ind w:left="3600" w:hanging="360"/>
      </w:pPr>
    </w:lvl>
    <w:lvl w:ilvl="5" w:tplc="F3AA71FE">
      <w:start w:val="1"/>
      <w:numFmt w:val="lowerRoman"/>
      <w:lvlText w:val="%6."/>
      <w:lvlJc w:val="right"/>
      <w:pPr>
        <w:ind w:left="4320" w:hanging="180"/>
      </w:pPr>
    </w:lvl>
    <w:lvl w:ilvl="6" w:tplc="7EE6E490">
      <w:start w:val="1"/>
      <w:numFmt w:val="decimal"/>
      <w:lvlText w:val="%7."/>
      <w:lvlJc w:val="left"/>
      <w:pPr>
        <w:ind w:left="5040" w:hanging="360"/>
      </w:pPr>
    </w:lvl>
    <w:lvl w:ilvl="7" w:tplc="02608536">
      <w:start w:val="1"/>
      <w:numFmt w:val="lowerLetter"/>
      <w:lvlText w:val="%8."/>
      <w:lvlJc w:val="left"/>
      <w:pPr>
        <w:ind w:left="5760" w:hanging="360"/>
      </w:pPr>
    </w:lvl>
    <w:lvl w:ilvl="8" w:tplc="E1B09C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F2E1A"/>
    <w:multiLevelType w:val="hybridMultilevel"/>
    <w:tmpl w:val="28A0E0C6"/>
    <w:lvl w:ilvl="0" w:tplc="BEA8B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4F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E1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F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EB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E9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7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67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82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B0539"/>
    <w:multiLevelType w:val="hybridMultilevel"/>
    <w:tmpl w:val="CDCEFE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44EF9"/>
    <w:multiLevelType w:val="hybridMultilevel"/>
    <w:tmpl w:val="AF10A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1788A"/>
    <w:multiLevelType w:val="hybridMultilevel"/>
    <w:tmpl w:val="EB50F6B8"/>
    <w:lvl w:ilvl="0" w:tplc="DA00E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6729C"/>
    <w:multiLevelType w:val="hybridMultilevel"/>
    <w:tmpl w:val="240431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B13AA"/>
    <w:multiLevelType w:val="hybridMultilevel"/>
    <w:tmpl w:val="2D9AC3F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F2E5A9A"/>
    <w:multiLevelType w:val="hybridMultilevel"/>
    <w:tmpl w:val="FCBEBC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0170785">
    <w:abstractNumId w:val="13"/>
  </w:num>
  <w:num w:numId="2" w16cid:durableId="1492720936">
    <w:abstractNumId w:val="1"/>
  </w:num>
  <w:num w:numId="3" w16cid:durableId="1820030656">
    <w:abstractNumId w:val="12"/>
  </w:num>
  <w:num w:numId="4" w16cid:durableId="864296646">
    <w:abstractNumId w:val="19"/>
  </w:num>
  <w:num w:numId="5" w16cid:durableId="2133475463">
    <w:abstractNumId w:val="6"/>
  </w:num>
  <w:num w:numId="6" w16cid:durableId="416292607">
    <w:abstractNumId w:val="18"/>
  </w:num>
  <w:num w:numId="7" w16cid:durableId="1176118440">
    <w:abstractNumId w:val="11"/>
  </w:num>
  <w:num w:numId="8" w16cid:durableId="204026643">
    <w:abstractNumId w:val="0"/>
  </w:num>
  <w:num w:numId="9" w16cid:durableId="1252086502">
    <w:abstractNumId w:val="4"/>
  </w:num>
  <w:num w:numId="10" w16cid:durableId="955714427">
    <w:abstractNumId w:val="14"/>
  </w:num>
  <w:num w:numId="11" w16cid:durableId="1693846479">
    <w:abstractNumId w:val="7"/>
  </w:num>
  <w:num w:numId="12" w16cid:durableId="1907372227">
    <w:abstractNumId w:val="15"/>
  </w:num>
  <w:num w:numId="13" w16cid:durableId="1902516890">
    <w:abstractNumId w:val="17"/>
  </w:num>
  <w:num w:numId="14" w16cid:durableId="1271665918">
    <w:abstractNumId w:val="10"/>
  </w:num>
  <w:num w:numId="15" w16cid:durableId="70978463">
    <w:abstractNumId w:val="5"/>
  </w:num>
  <w:num w:numId="16" w16cid:durableId="1257441488">
    <w:abstractNumId w:val="16"/>
  </w:num>
  <w:num w:numId="17" w16cid:durableId="631903758">
    <w:abstractNumId w:val="8"/>
  </w:num>
  <w:num w:numId="18" w16cid:durableId="2134397654">
    <w:abstractNumId w:val="3"/>
  </w:num>
  <w:num w:numId="19" w16cid:durableId="857231456">
    <w:abstractNumId w:val="9"/>
  </w:num>
  <w:num w:numId="20" w16cid:durableId="1607499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1C"/>
    <w:rsid w:val="0000058B"/>
    <w:rsid w:val="000027B0"/>
    <w:rsid w:val="00003E63"/>
    <w:rsid w:val="00003F4E"/>
    <w:rsid w:val="00004F81"/>
    <w:rsid w:val="00005913"/>
    <w:rsid w:val="000063BE"/>
    <w:rsid w:val="00010040"/>
    <w:rsid w:val="00010386"/>
    <w:rsid w:val="00010BB7"/>
    <w:rsid w:val="000130E8"/>
    <w:rsid w:val="000143E5"/>
    <w:rsid w:val="00014562"/>
    <w:rsid w:val="00015C16"/>
    <w:rsid w:val="00022273"/>
    <w:rsid w:val="00022CC0"/>
    <w:rsid w:val="00022D9C"/>
    <w:rsid w:val="00023815"/>
    <w:rsid w:val="000250FC"/>
    <w:rsid w:val="0002522D"/>
    <w:rsid w:val="000252D6"/>
    <w:rsid w:val="0002553A"/>
    <w:rsid w:val="00026815"/>
    <w:rsid w:val="000321CA"/>
    <w:rsid w:val="00034156"/>
    <w:rsid w:val="000356BD"/>
    <w:rsid w:val="00035978"/>
    <w:rsid w:val="000379E7"/>
    <w:rsid w:val="00037B5C"/>
    <w:rsid w:val="00037E30"/>
    <w:rsid w:val="000404CA"/>
    <w:rsid w:val="0004095B"/>
    <w:rsid w:val="00041124"/>
    <w:rsid w:val="000412BB"/>
    <w:rsid w:val="00045D4E"/>
    <w:rsid w:val="00046AA9"/>
    <w:rsid w:val="00046E17"/>
    <w:rsid w:val="00051608"/>
    <w:rsid w:val="00051F86"/>
    <w:rsid w:val="00052FF0"/>
    <w:rsid w:val="00053453"/>
    <w:rsid w:val="00056212"/>
    <w:rsid w:val="000562A6"/>
    <w:rsid w:val="00056D3A"/>
    <w:rsid w:val="00062413"/>
    <w:rsid w:val="0006321E"/>
    <w:rsid w:val="0006386C"/>
    <w:rsid w:val="000650FE"/>
    <w:rsid w:val="00065E49"/>
    <w:rsid w:val="000662AB"/>
    <w:rsid w:val="00066B5D"/>
    <w:rsid w:val="000675D3"/>
    <w:rsid w:val="0007174A"/>
    <w:rsid w:val="00071762"/>
    <w:rsid w:val="00071EC1"/>
    <w:rsid w:val="000720D3"/>
    <w:rsid w:val="0007404F"/>
    <w:rsid w:val="00074A4B"/>
    <w:rsid w:val="00075190"/>
    <w:rsid w:val="000752E3"/>
    <w:rsid w:val="00075DA8"/>
    <w:rsid w:val="0007677D"/>
    <w:rsid w:val="000775DE"/>
    <w:rsid w:val="00077CF6"/>
    <w:rsid w:val="000802EA"/>
    <w:rsid w:val="00080716"/>
    <w:rsid w:val="0008100F"/>
    <w:rsid w:val="0008204A"/>
    <w:rsid w:val="00082E24"/>
    <w:rsid w:val="0008350A"/>
    <w:rsid w:val="000840FD"/>
    <w:rsid w:val="000851CA"/>
    <w:rsid w:val="000852AD"/>
    <w:rsid w:val="00085B98"/>
    <w:rsid w:val="00086F19"/>
    <w:rsid w:val="00087C57"/>
    <w:rsid w:val="00087CA4"/>
    <w:rsid w:val="00090C89"/>
    <w:rsid w:val="000911D6"/>
    <w:rsid w:val="00091FCD"/>
    <w:rsid w:val="0009251F"/>
    <w:rsid w:val="00093F16"/>
    <w:rsid w:val="0009532F"/>
    <w:rsid w:val="00095357"/>
    <w:rsid w:val="0009535E"/>
    <w:rsid w:val="0009558C"/>
    <w:rsid w:val="00096191"/>
    <w:rsid w:val="00096A49"/>
    <w:rsid w:val="000A1409"/>
    <w:rsid w:val="000A15FF"/>
    <w:rsid w:val="000A183A"/>
    <w:rsid w:val="000A2530"/>
    <w:rsid w:val="000A254A"/>
    <w:rsid w:val="000A2E1C"/>
    <w:rsid w:val="000A41BB"/>
    <w:rsid w:val="000A4F7E"/>
    <w:rsid w:val="000A4F98"/>
    <w:rsid w:val="000A590D"/>
    <w:rsid w:val="000A635D"/>
    <w:rsid w:val="000A6F3A"/>
    <w:rsid w:val="000B07BE"/>
    <w:rsid w:val="000B15DB"/>
    <w:rsid w:val="000B1CFE"/>
    <w:rsid w:val="000B1F6B"/>
    <w:rsid w:val="000B2063"/>
    <w:rsid w:val="000B2B88"/>
    <w:rsid w:val="000B35C8"/>
    <w:rsid w:val="000B46C7"/>
    <w:rsid w:val="000B493C"/>
    <w:rsid w:val="000C050B"/>
    <w:rsid w:val="000C1DB0"/>
    <w:rsid w:val="000C2EB4"/>
    <w:rsid w:val="000C3453"/>
    <w:rsid w:val="000C3493"/>
    <w:rsid w:val="000C363C"/>
    <w:rsid w:val="000C3C6F"/>
    <w:rsid w:val="000C3F76"/>
    <w:rsid w:val="000C45F9"/>
    <w:rsid w:val="000C5EF1"/>
    <w:rsid w:val="000C6773"/>
    <w:rsid w:val="000C6A93"/>
    <w:rsid w:val="000D056D"/>
    <w:rsid w:val="000D1110"/>
    <w:rsid w:val="000D4122"/>
    <w:rsid w:val="000D659D"/>
    <w:rsid w:val="000D6800"/>
    <w:rsid w:val="000D73A9"/>
    <w:rsid w:val="000E248D"/>
    <w:rsid w:val="000E2B20"/>
    <w:rsid w:val="000E2E50"/>
    <w:rsid w:val="000E4609"/>
    <w:rsid w:val="000E483C"/>
    <w:rsid w:val="000E4E1B"/>
    <w:rsid w:val="000E5A18"/>
    <w:rsid w:val="000E7123"/>
    <w:rsid w:val="000E7CCE"/>
    <w:rsid w:val="000F00B6"/>
    <w:rsid w:val="000F146B"/>
    <w:rsid w:val="000F15CA"/>
    <w:rsid w:val="000F18EB"/>
    <w:rsid w:val="000F208F"/>
    <w:rsid w:val="000F40C3"/>
    <w:rsid w:val="000F5551"/>
    <w:rsid w:val="000F799B"/>
    <w:rsid w:val="00100CCC"/>
    <w:rsid w:val="00100F9F"/>
    <w:rsid w:val="001010FC"/>
    <w:rsid w:val="001019AF"/>
    <w:rsid w:val="00102085"/>
    <w:rsid w:val="00102F76"/>
    <w:rsid w:val="001039C4"/>
    <w:rsid w:val="00103A40"/>
    <w:rsid w:val="00105C7E"/>
    <w:rsid w:val="001065CD"/>
    <w:rsid w:val="0010666E"/>
    <w:rsid w:val="001066C0"/>
    <w:rsid w:val="0010751F"/>
    <w:rsid w:val="00107BC7"/>
    <w:rsid w:val="0011136E"/>
    <w:rsid w:val="0011165B"/>
    <w:rsid w:val="00112D06"/>
    <w:rsid w:val="00113E0D"/>
    <w:rsid w:val="00113EA6"/>
    <w:rsid w:val="00114477"/>
    <w:rsid w:val="0011505F"/>
    <w:rsid w:val="00115CBC"/>
    <w:rsid w:val="00115D93"/>
    <w:rsid w:val="001161CB"/>
    <w:rsid w:val="00116655"/>
    <w:rsid w:val="001167EE"/>
    <w:rsid w:val="001174E7"/>
    <w:rsid w:val="00117BB4"/>
    <w:rsid w:val="00120119"/>
    <w:rsid w:val="0012017E"/>
    <w:rsid w:val="00121723"/>
    <w:rsid w:val="001220C9"/>
    <w:rsid w:val="00122581"/>
    <w:rsid w:val="001228C8"/>
    <w:rsid w:val="00123432"/>
    <w:rsid w:val="001248AB"/>
    <w:rsid w:val="001249B2"/>
    <w:rsid w:val="001266BE"/>
    <w:rsid w:val="00126A60"/>
    <w:rsid w:val="001271C2"/>
    <w:rsid w:val="001274F0"/>
    <w:rsid w:val="00127A75"/>
    <w:rsid w:val="00130F37"/>
    <w:rsid w:val="00131E30"/>
    <w:rsid w:val="00133456"/>
    <w:rsid w:val="0013348F"/>
    <w:rsid w:val="00134349"/>
    <w:rsid w:val="00134EBF"/>
    <w:rsid w:val="00135B6F"/>
    <w:rsid w:val="00135D45"/>
    <w:rsid w:val="00137807"/>
    <w:rsid w:val="00137C75"/>
    <w:rsid w:val="00137DB1"/>
    <w:rsid w:val="0014062D"/>
    <w:rsid w:val="0014091B"/>
    <w:rsid w:val="001417E0"/>
    <w:rsid w:val="00141885"/>
    <w:rsid w:val="00141EB7"/>
    <w:rsid w:val="00141EBB"/>
    <w:rsid w:val="00143FC0"/>
    <w:rsid w:val="00144C43"/>
    <w:rsid w:val="00144D3C"/>
    <w:rsid w:val="00144FAE"/>
    <w:rsid w:val="001459EE"/>
    <w:rsid w:val="00146159"/>
    <w:rsid w:val="001466B9"/>
    <w:rsid w:val="001478B2"/>
    <w:rsid w:val="001509F4"/>
    <w:rsid w:val="001514DB"/>
    <w:rsid w:val="00152057"/>
    <w:rsid w:val="001524D5"/>
    <w:rsid w:val="00153314"/>
    <w:rsid w:val="001553AA"/>
    <w:rsid w:val="001553BA"/>
    <w:rsid w:val="00155759"/>
    <w:rsid w:val="00156369"/>
    <w:rsid w:val="00156C5D"/>
    <w:rsid w:val="00157197"/>
    <w:rsid w:val="0016053A"/>
    <w:rsid w:val="00160D8D"/>
    <w:rsid w:val="00161628"/>
    <w:rsid w:val="0016172C"/>
    <w:rsid w:val="001624A7"/>
    <w:rsid w:val="00162DD2"/>
    <w:rsid w:val="00163110"/>
    <w:rsid w:val="001635A5"/>
    <w:rsid w:val="00163AA8"/>
    <w:rsid w:val="00163DAF"/>
    <w:rsid w:val="00164886"/>
    <w:rsid w:val="00164B93"/>
    <w:rsid w:val="00164BB9"/>
    <w:rsid w:val="001711E2"/>
    <w:rsid w:val="00171932"/>
    <w:rsid w:val="00173522"/>
    <w:rsid w:val="00173E1A"/>
    <w:rsid w:val="00174E38"/>
    <w:rsid w:val="00175450"/>
    <w:rsid w:val="00175933"/>
    <w:rsid w:val="00175D87"/>
    <w:rsid w:val="00181B6F"/>
    <w:rsid w:val="00181E40"/>
    <w:rsid w:val="00182A59"/>
    <w:rsid w:val="00182BF4"/>
    <w:rsid w:val="00183B02"/>
    <w:rsid w:val="001844F0"/>
    <w:rsid w:val="00184BF4"/>
    <w:rsid w:val="00184D74"/>
    <w:rsid w:val="00185AF4"/>
    <w:rsid w:val="0018601F"/>
    <w:rsid w:val="00190C19"/>
    <w:rsid w:val="00191D87"/>
    <w:rsid w:val="00192953"/>
    <w:rsid w:val="00192D92"/>
    <w:rsid w:val="00194359"/>
    <w:rsid w:val="00194F08"/>
    <w:rsid w:val="00194F32"/>
    <w:rsid w:val="001956C7"/>
    <w:rsid w:val="001965A0"/>
    <w:rsid w:val="001966F5"/>
    <w:rsid w:val="00196DE4"/>
    <w:rsid w:val="0019723A"/>
    <w:rsid w:val="001A06EB"/>
    <w:rsid w:val="001A11F2"/>
    <w:rsid w:val="001A2863"/>
    <w:rsid w:val="001A35A1"/>
    <w:rsid w:val="001A40C2"/>
    <w:rsid w:val="001A624D"/>
    <w:rsid w:val="001A6D70"/>
    <w:rsid w:val="001A7AA7"/>
    <w:rsid w:val="001A7BDB"/>
    <w:rsid w:val="001B04A1"/>
    <w:rsid w:val="001B0CFF"/>
    <w:rsid w:val="001B1312"/>
    <w:rsid w:val="001B1318"/>
    <w:rsid w:val="001B2EE1"/>
    <w:rsid w:val="001B377D"/>
    <w:rsid w:val="001B41E8"/>
    <w:rsid w:val="001B450C"/>
    <w:rsid w:val="001B458A"/>
    <w:rsid w:val="001B505A"/>
    <w:rsid w:val="001B58E0"/>
    <w:rsid w:val="001B67D4"/>
    <w:rsid w:val="001B6A1A"/>
    <w:rsid w:val="001B791B"/>
    <w:rsid w:val="001C0F42"/>
    <w:rsid w:val="001C1264"/>
    <w:rsid w:val="001C2E60"/>
    <w:rsid w:val="001C37FD"/>
    <w:rsid w:val="001C67AD"/>
    <w:rsid w:val="001C6B84"/>
    <w:rsid w:val="001C6D20"/>
    <w:rsid w:val="001C7388"/>
    <w:rsid w:val="001C7430"/>
    <w:rsid w:val="001C7449"/>
    <w:rsid w:val="001C7AAE"/>
    <w:rsid w:val="001D0A9A"/>
    <w:rsid w:val="001D1B33"/>
    <w:rsid w:val="001D4D33"/>
    <w:rsid w:val="001D536E"/>
    <w:rsid w:val="001D662C"/>
    <w:rsid w:val="001D6983"/>
    <w:rsid w:val="001D708E"/>
    <w:rsid w:val="001D7832"/>
    <w:rsid w:val="001E0326"/>
    <w:rsid w:val="001E1427"/>
    <w:rsid w:val="001E2DC1"/>
    <w:rsid w:val="001E3CC7"/>
    <w:rsid w:val="001E4480"/>
    <w:rsid w:val="001E5173"/>
    <w:rsid w:val="001E5533"/>
    <w:rsid w:val="001E59A4"/>
    <w:rsid w:val="001E5D36"/>
    <w:rsid w:val="001E6761"/>
    <w:rsid w:val="001E6B58"/>
    <w:rsid w:val="001E6E95"/>
    <w:rsid w:val="001E7B99"/>
    <w:rsid w:val="001F26A4"/>
    <w:rsid w:val="001F2BDE"/>
    <w:rsid w:val="001F2CA6"/>
    <w:rsid w:val="001F3474"/>
    <w:rsid w:val="001F43B6"/>
    <w:rsid w:val="001F724E"/>
    <w:rsid w:val="001F73D3"/>
    <w:rsid w:val="001F7E39"/>
    <w:rsid w:val="002003C7"/>
    <w:rsid w:val="00200BA3"/>
    <w:rsid w:val="00200C11"/>
    <w:rsid w:val="0020160C"/>
    <w:rsid w:val="00202F7A"/>
    <w:rsid w:val="00203F30"/>
    <w:rsid w:val="00204C8C"/>
    <w:rsid w:val="002058B0"/>
    <w:rsid w:val="00205B3B"/>
    <w:rsid w:val="00206A17"/>
    <w:rsid w:val="00207E4D"/>
    <w:rsid w:val="00210516"/>
    <w:rsid w:val="00210EB7"/>
    <w:rsid w:val="00211097"/>
    <w:rsid w:val="00211B27"/>
    <w:rsid w:val="00211D82"/>
    <w:rsid w:val="0021359F"/>
    <w:rsid w:val="0021471F"/>
    <w:rsid w:val="00216752"/>
    <w:rsid w:val="0021721B"/>
    <w:rsid w:val="0021785F"/>
    <w:rsid w:val="00217DC7"/>
    <w:rsid w:val="00220F25"/>
    <w:rsid w:val="002215C7"/>
    <w:rsid w:val="00221834"/>
    <w:rsid w:val="0022187F"/>
    <w:rsid w:val="002228D8"/>
    <w:rsid w:val="00222CB0"/>
    <w:rsid w:val="00223ACF"/>
    <w:rsid w:val="00223F21"/>
    <w:rsid w:val="0022546F"/>
    <w:rsid w:val="002258DB"/>
    <w:rsid w:val="0022635F"/>
    <w:rsid w:val="002264EC"/>
    <w:rsid w:val="00226810"/>
    <w:rsid w:val="002269F4"/>
    <w:rsid w:val="00226AF9"/>
    <w:rsid w:val="00226BAF"/>
    <w:rsid w:val="00227055"/>
    <w:rsid w:val="00227792"/>
    <w:rsid w:val="0023083C"/>
    <w:rsid w:val="00230E4F"/>
    <w:rsid w:val="0023321A"/>
    <w:rsid w:val="002345EA"/>
    <w:rsid w:val="00236111"/>
    <w:rsid w:val="00236D6E"/>
    <w:rsid w:val="00236F96"/>
    <w:rsid w:val="00240C54"/>
    <w:rsid w:val="00241600"/>
    <w:rsid w:val="00242330"/>
    <w:rsid w:val="00242705"/>
    <w:rsid w:val="00243102"/>
    <w:rsid w:val="002435AD"/>
    <w:rsid w:val="0024447A"/>
    <w:rsid w:val="00244FF3"/>
    <w:rsid w:val="002450E6"/>
    <w:rsid w:val="0024745D"/>
    <w:rsid w:val="00247857"/>
    <w:rsid w:val="00247E9F"/>
    <w:rsid w:val="00250524"/>
    <w:rsid w:val="00250B03"/>
    <w:rsid w:val="00250BB5"/>
    <w:rsid w:val="00251761"/>
    <w:rsid w:val="00252B6D"/>
    <w:rsid w:val="00254104"/>
    <w:rsid w:val="002542CD"/>
    <w:rsid w:val="00254C9E"/>
    <w:rsid w:val="002558A5"/>
    <w:rsid w:val="00255F1C"/>
    <w:rsid w:val="002564D6"/>
    <w:rsid w:val="00257706"/>
    <w:rsid w:val="0025775A"/>
    <w:rsid w:val="0026073F"/>
    <w:rsid w:val="002618A8"/>
    <w:rsid w:val="002618DF"/>
    <w:rsid w:val="00261B38"/>
    <w:rsid w:val="00262165"/>
    <w:rsid w:val="0026286B"/>
    <w:rsid w:val="00263075"/>
    <w:rsid w:val="00265C50"/>
    <w:rsid w:val="00265E3E"/>
    <w:rsid w:val="002664F7"/>
    <w:rsid w:val="00266A0B"/>
    <w:rsid w:val="00266F08"/>
    <w:rsid w:val="0026721B"/>
    <w:rsid w:val="00267D53"/>
    <w:rsid w:val="002716A7"/>
    <w:rsid w:val="00271823"/>
    <w:rsid w:val="00273EE1"/>
    <w:rsid w:val="00275125"/>
    <w:rsid w:val="0027615A"/>
    <w:rsid w:val="00276B98"/>
    <w:rsid w:val="00277D06"/>
    <w:rsid w:val="00281003"/>
    <w:rsid w:val="00281C1B"/>
    <w:rsid w:val="00282669"/>
    <w:rsid w:val="002827D7"/>
    <w:rsid w:val="002829B1"/>
    <w:rsid w:val="002832AF"/>
    <w:rsid w:val="00283BF3"/>
    <w:rsid w:val="00284607"/>
    <w:rsid w:val="002852E0"/>
    <w:rsid w:val="00285601"/>
    <w:rsid w:val="00286131"/>
    <w:rsid w:val="00286AB1"/>
    <w:rsid w:val="00287558"/>
    <w:rsid w:val="002919AC"/>
    <w:rsid w:val="00293038"/>
    <w:rsid w:val="002947AE"/>
    <w:rsid w:val="00294FAF"/>
    <w:rsid w:val="002958F9"/>
    <w:rsid w:val="00296D20"/>
    <w:rsid w:val="00296D72"/>
    <w:rsid w:val="002A095A"/>
    <w:rsid w:val="002A239A"/>
    <w:rsid w:val="002A24CA"/>
    <w:rsid w:val="002A267A"/>
    <w:rsid w:val="002A315E"/>
    <w:rsid w:val="002A35E8"/>
    <w:rsid w:val="002A50BE"/>
    <w:rsid w:val="002A52A4"/>
    <w:rsid w:val="002A5518"/>
    <w:rsid w:val="002A61D3"/>
    <w:rsid w:val="002B0BA7"/>
    <w:rsid w:val="002B1196"/>
    <w:rsid w:val="002B1F4C"/>
    <w:rsid w:val="002B30F8"/>
    <w:rsid w:val="002B38E7"/>
    <w:rsid w:val="002B39E6"/>
    <w:rsid w:val="002B3A20"/>
    <w:rsid w:val="002B555B"/>
    <w:rsid w:val="002B7A1C"/>
    <w:rsid w:val="002C0E94"/>
    <w:rsid w:val="002C1B8C"/>
    <w:rsid w:val="002C388C"/>
    <w:rsid w:val="002C478C"/>
    <w:rsid w:val="002C4986"/>
    <w:rsid w:val="002C4AE0"/>
    <w:rsid w:val="002C4C39"/>
    <w:rsid w:val="002C5AA6"/>
    <w:rsid w:val="002C6BD8"/>
    <w:rsid w:val="002D0E18"/>
    <w:rsid w:val="002D1A1D"/>
    <w:rsid w:val="002D1DA7"/>
    <w:rsid w:val="002D1E0E"/>
    <w:rsid w:val="002D1E62"/>
    <w:rsid w:val="002D204F"/>
    <w:rsid w:val="002D218D"/>
    <w:rsid w:val="002D2BBD"/>
    <w:rsid w:val="002D3411"/>
    <w:rsid w:val="002D403C"/>
    <w:rsid w:val="002D4622"/>
    <w:rsid w:val="002D4F0F"/>
    <w:rsid w:val="002D6807"/>
    <w:rsid w:val="002D6CCB"/>
    <w:rsid w:val="002D7462"/>
    <w:rsid w:val="002E02BB"/>
    <w:rsid w:val="002E0935"/>
    <w:rsid w:val="002E1887"/>
    <w:rsid w:val="002E3F8E"/>
    <w:rsid w:val="002E40B7"/>
    <w:rsid w:val="002E5144"/>
    <w:rsid w:val="002E6B01"/>
    <w:rsid w:val="002E7B1A"/>
    <w:rsid w:val="002F0EB7"/>
    <w:rsid w:val="002F10B1"/>
    <w:rsid w:val="002F11D7"/>
    <w:rsid w:val="002F137D"/>
    <w:rsid w:val="002F1473"/>
    <w:rsid w:val="002F1E33"/>
    <w:rsid w:val="002F2FC1"/>
    <w:rsid w:val="002F31D9"/>
    <w:rsid w:val="002F4EA2"/>
    <w:rsid w:val="002F4FEB"/>
    <w:rsid w:val="002F512F"/>
    <w:rsid w:val="002F56A8"/>
    <w:rsid w:val="002F6468"/>
    <w:rsid w:val="002F65BF"/>
    <w:rsid w:val="002F6C44"/>
    <w:rsid w:val="002F6D37"/>
    <w:rsid w:val="002F6D91"/>
    <w:rsid w:val="002F7296"/>
    <w:rsid w:val="002F79D4"/>
    <w:rsid w:val="0030064C"/>
    <w:rsid w:val="00300E36"/>
    <w:rsid w:val="00302572"/>
    <w:rsid w:val="00302D7D"/>
    <w:rsid w:val="0030355C"/>
    <w:rsid w:val="0030549E"/>
    <w:rsid w:val="00307098"/>
    <w:rsid w:val="00311557"/>
    <w:rsid w:val="00313B2D"/>
    <w:rsid w:val="00313B78"/>
    <w:rsid w:val="00313D29"/>
    <w:rsid w:val="00314590"/>
    <w:rsid w:val="003173D9"/>
    <w:rsid w:val="0031742C"/>
    <w:rsid w:val="00321F6D"/>
    <w:rsid w:val="00323D61"/>
    <w:rsid w:val="0032482D"/>
    <w:rsid w:val="00324B6C"/>
    <w:rsid w:val="00327DA8"/>
    <w:rsid w:val="0033144E"/>
    <w:rsid w:val="00331687"/>
    <w:rsid w:val="00331B01"/>
    <w:rsid w:val="00332084"/>
    <w:rsid w:val="00332F66"/>
    <w:rsid w:val="00335A67"/>
    <w:rsid w:val="0033649F"/>
    <w:rsid w:val="00337ADE"/>
    <w:rsid w:val="003406BB"/>
    <w:rsid w:val="00341B55"/>
    <w:rsid w:val="00341DE4"/>
    <w:rsid w:val="00342D3B"/>
    <w:rsid w:val="0034393A"/>
    <w:rsid w:val="0034398A"/>
    <w:rsid w:val="00343C7F"/>
    <w:rsid w:val="00344226"/>
    <w:rsid w:val="003448A3"/>
    <w:rsid w:val="003451B6"/>
    <w:rsid w:val="00345BDA"/>
    <w:rsid w:val="003465F5"/>
    <w:rsid w:val="00347EE9"/>
    <w:rsid w:val="00350B76"/>
    <w:rsid w:val="00350B97"/>
    <w:rsid w:val="003513CA"/>
    <w:rsid w:val="003522DE"/>
    <w:rsid w:val="003542F9"/>
    <w:rsid w:val="003544B2"/>
    <w:rsid w:val="00355A01"/>
    <w:rsid w:val="00356388"/>
    <w:rsid w:val="003568B3"/>
    <w:rsid w:val="003568DF"/>
    <w:rsid w:val="003570CB"/>
    <w:rsid w:val="003572E4"/>
    <w:rsid w:val="00357AB4"/>
    <w:rsid w:val="0036005C"/>
    <w:rsid w:val="003620D6"/>
    <w:rsid w:val="0036236C"/>
    <w:rsid w:val="00362B4D"/>
    <w:rsid w:val="00363A0F"/>
    <w:rsid w:val="0036447C"/>
    <w:rsid w:val="00364A3C"/>
    <w:rsid w:val="0036580C"/>
    <w:rsid w:val="00366B51"/>
    <w:rsid w:val="00367810"/>
    <w:rsid w:val="00370D88"/>
    <w:rsid w:val="003714C8"/>
    <w:rsid w:val="00371B20"/>
    <w:rsid w:val="003727B4"/>
    <w:rsid w:val="00372D28"/>
    <w:rsid w:val="003730AC"/>
    <w:rsid w:val="00373A5D"/>
    <w:rsid w:val="00373A90"/>
    <w:rsid w:val="0037413F"/>
    <w:rsid w:val="00374223"/>
    <w:rsid w:val="00374AB9"/>
    <w:rsid w:val="00375CDD"/>
    <w:rsid w:val="00376494"/>
    <w:rsid w:val="00376F38"/>
    <w:rsid w:val="00380798"/>
    <w:rsid w:val="003807CB"/>
    <w:rsid w:val="00380FF8"/>
    <w:rsid w:val="0038169E"/>
    <w:rsid w:val="00381AD8"/>
    <w:rsid w:val="00381C0C"/>
    <w:rsid w:val="00381C3C"/>
    <w:rsid w:val="003822A6"/>
    <w:rsid w:val="00382431"/>
    <w:rsid w:val="003830B5"/>
    <w:rsid w:val="003832A8"/>
    <w:rsid w:val="0038338B"/>
    <w:rsid w:val="00383DA5"/>
    <w:rsid w:val="00384179"/>
    <w:rsid w:val="003841D7"/>
    <w:rsid w:val="00384706"/>
    <w:rsid w:val="00385805"/>
    <w:rsid w:val="00387463"/>
    <w:rsid w:val="0039027C"/>
    <w:rsid w:val="003903E9"/>
    <w:rsid w:val="00390DDF"/>
    <w:rsid w:val="00390EAF"/>
    <w:rsid w:val="0039163E"/>
    <w:rsid w:val="003934B2"/>
    <w:rsid w:val="00393B39"/>
    <w:rsid w:val="00393DB1"/>
    <w:rsid w:val="0039511D"/>
    <w:rsid w:val="00397CC8"/>
    <w:rsid w:val="003A186A"/>
    <w:rsid w:val="003A3404"/>
    <w:rsid w:val="003A4DE2"/>
    <w:rsid w:val="003A58B9"/>
    <w:rsid w:val="003A5A72"/>
    <w:rsid w:val="003A5CB2"/>
    <w:rsid w:val="003A6887"/>
    <w:rsid w:val="003A7362"/>
    <w:rsid w:val="003A7F79"/>
    <w:rsid w:val="003B1318"/>
    <w:rsid w:val="003B1A63"/>
    <w:rsid w:val="003B20C1"/>
    <w:rsid w:val="003B30AD"/>
    <w:rsid w:val="003B37D7"/>
    <w:rsid w:val="003B5BCB"/>
    <w:rsid w:val="003C08A9"/>
    <w:rsid w:val="003C09EE"/>
    <w:rsid w:val="003C0D19"/>
    <w:rsid w:val="003C1D1A"/>
    <w:rsid w:val="003C2993"/>
    <w:rsid w:val="003C55E8"/>
    <w:rsid w:val="003C7034"/>
    <w:rsid w:val="003D0743"/>
    <w:rsid w:val="003D1CA3"/>
    <w:rsid w:val="003D3596"/>
    <w:rsid w:val="003D44EB"/>
    <w:rsid w:val="003D5675"/>
    <w:rsid w:val="003D5A42"/>
    <w:rsid w:val="003D5A7E"/>
    <w:rsid w:val="003E0683"/>
    <w:rsid w:val="003E07A5"/>
    <w:rsid w:val="003E13F1"/>
    <w:rsid w:val="003E335F"/>
    <w:rsid w:val="003E43E4"/>
    <w:rsid w:val="003E470A"/>
    <w:rsid w:val="003E4BB5"/>
    <w:rsid w:val="003E5506"/>
    <w:rsid w:val="003E5774"/>
    <w:rsid w:val="003E60B5"/>
    <w:rsid w:val="003E6210"/>
    <w:rsid w:val="003E67EC"/>
    <w:rsid w:val="003E6AC5"/>
    <w:rsid w:val="003F005B"/>
    <w:rsid w:val="003F0126"/>
    <w:rsid w:val="003F0474"/>
    <w:rsid w:val="003F10F7"/>
    <w:rsid w:val="003F210E"/>
    <w:rsid w:val="003F554E"/>
    <w:rsid w:val="003F5810"/>
    <w:rsid w:val="003F7344"/>
    <w:rsid w:val="00400571"/>
    <w:rsid w:val="00400F2F"/>
    <w:rsid w:val="00400F72"/>
    <w:rsid w:val="00401AF3"/>
    <w:rsid w:val="00401C77"/>
    <w:rsid w:val="00402B4A"/>
    <w:rsid w:val="00402F42"/>
    <w:rsid w:val="004031B4"/>
    <w:rsid w:val="0040388A"/>
    <w:rsid w:val="004069A2"/>
    <w:rsid w:val="00406D64"/>
    <w:rsid w:val="00410188"/>
    <w:rsid w:val="0041246A"/>
    <w:rsid w:val="00412977"/>
    <w:rsid w:val="00413757"/>
    <w:rsid w:val="00413A0A"/>
    <w:rsid w:val="00414A9B"/>
    <w:rsid w:val="00415B0E"/>
    <w:rsid w:val="00417268"/>
    <w:rsid w:val="00417BCD"/>
    <w:rsid w:val="00417C46"/>
    <w:rsid w:val="004200DA"/>
    <w:rsid w:val="00420BC9"/>
    <w:rsid w:val="0042249C"/>
    <w:rsid w:val="004227B7"/>
    <w:rsid w:val="0042345E"/>
    <w:rsid w:val="00424A0A"/>
    <w:rsid w:val="00424A6B"/>
    <w:rsid w:val="00424F20"/>
    <w:rsid w:val="0042576A"/>
    <w:rsid w:val="00426084"/>
    <w:rsid w:val="0042655E"/>
    <w:rsid w:val="00426832"/>
    <w:rsid w:val="0043079D"/>
    <w:rsid w:val="00430EFD"/>
    <w:rsid w:val="00431433"/>
    <w:rsid w:val="004314D0"/>
    <w:rsid w:val="0043165F"/>
    <w:rsid w:val="004328D3"/>
    <w:rsid w:val="004329E4"/>
    <w:rsid w:val="0043324B"/>
    <w:rsid w:val="004332E9"/>
    <w:rsid w:val="0043424C"/>
    <w:rsid w:val="004344BD"/>
    <w:rsid w:val="00434E47"/>
    <w:rsid w:val="00435233"/>
    <w:rsid w:val="0043537D"/>
    <w:rsid w:val="00435412"/>
    <w:rsid w:val="00436324"/>
    <w:rsid w:val="004369AB"/>
    <w:rsid w:val="00436D44"/>
    <w:rsid w:val="00436EEE"/>
    <w:rsid w:val="0043777D"/>
    <w:rsid w:val="00437CC6"/>
    <w:rsid w:val="00440A9C"/>
    <w:rsid w:val="00443B7D"/>
    <w:rsid w:val="00444170"/>
    <w:rsid w:val="004441A8"/>
    <w:rsid w:val="0044433B"/>
    <w:rsid w:val="004446D6"/>
    <w:rsid w:val="00444E66"/>
    <w:rsid w:val="00444FF6"/>
    <w:rsid w:val="004455EF"/>
    <w:rsid w:val="0044638C"/>
    <w:rsid w:val="00446A00"/>
    <w:rsid w:val="00446B39"/>
    <w:rsid w:val="00446DF4"/>
    <w:rsid w:val="004472F7"/>
    <w:rsid w:val="00452FC0"/>
    <w:rsid w:val="00453968"/>
    <w:rsid w:val="00454F2D"/>
    <w:rsid w:val="00455E28"/>
    <w:rsid w:val="004560A4"/>
    <w:rsid w:val="0045662D"/>
    <w:rsid w:val="004567FA"/>
    <w:rsid w:val="0045797F"/>
    <w:rsid w:val="00457E15"/>
    <w:rsid w:val="00461FB3"/>
    <w:rsid w:val="00463E21"/>
    <w:rsid w:val="004645EA"/>
    <w:rsid w:val="00464B57"/>
    <w:rsid w:val="00464E3E"/>
    <w:rsid w:val="00465986"/>
    <w:rsid w:val="00465BFA"/>
    <w:rsid w:val="00466949"/>
    <w:rsid w:val="00466B06"/>
    <w:rsid w:val="00467DD2"/>
    <w:rsid w:val="004705AB"/>
    <w:rsid w:val="0047071A"/>
    <w:rsid w:val="004713F6"/>
    <w:rsid w:val="00471AB8"/>
    <w:rsid w:val="00471AD9"/>
    <w:rsid w:val="00472355"/>
    <w:rsid w:val="00472C0A"/>
    <w:rsid w:val="004730AC"/>
    <w:rsid w:val="004742FC"/>
    <w:rsid w:val="004743DF"/>
    <w:rsid w:val="00474B3D"/>
    <w:rsid w:val="004754BA"/>
    <w:rsid w:val="0047609C"/>
    <w:rsid w:val="004762C0"/>
    <w:rsid w:val="00476B06"/>
    <w:rsid w:val="00477D82"/>
    <w:rsid w:val="004814E5"/>
    <w:rsid w:val="004816B6"/>
    <w:rsid w:val="00483864"/>
    <w:rsid w:val="004847DC"/>
    <w:rsid w:val="00484FA6"/>
    <w:rsid w:val="004865B9"/>
    <w:rsid w:val="00486A52"/>
    <w:rsid w:val="00486F20"/>
    <w:rsid w:val="00487BDA"/>
    <w:rsid w:val="00490C9D"/>
    <w:rsid w:val="00491711"/>
    <w:rsid w:val="00492312"/>
    <w:rsid w:val="004927A2"/>
    <w:rsid w:val="00493A9D"/>
    <w:rsid w:val="00493ED9"/>
    <w:rsid w:val="00494494"/>
    <w:rsid w:val="00495472"/>
    <w:rsid w:val="0049576E"/>
    <w:rsid w:val="00496B0D"/>
    <w:rsid w:val="00496E3E"/>
    <w:rsid w:val="004974F2"/>
    <w:rsid w:val="004A0768"/>
    <w:rsid w:val="004A12BA"/>
    <w:rsid w:val="004A1F14"/>
    <w:rsid w:val="004A2D8E"/>
    <w:rsid w:val="004A3228"/>
    <w:rsid w:val="004A45B0"/>
    <w:rsid w:val="004A4B19"/>
    <w:rsid w:val="004A5092"/>
    <w:rsid w:val="004A5276"/>
    <w:rsid w:val="004A5898"/>
    <w:rsid w:val="004A5D04"/>
    <w:rsid w:val="004A5FC6"/>
    <w:rsid w:val="004B0C32"/>
    <w:rsid w:val="004B19AB"/>
    <w:rsid w:val="004B429F"/>
    <w:rsid w:val="004B46AB"/>
    <w:rsid w:val="004B5A00"/>
    <w:rsid w:val="004B5AD4"/>
    <w:rsid w:val="004B5F08"/>
    <w:rsid w:val="004B666B"/>
    <w:rsid w:val="004B7F30"/>
    <w:rsid w:val="004C09C9"/>
    <w:rsid w:val="004C12C1"/>
    <w:rsid w:val="004C1BF0"/>
    <w:rsid w:val="004C256E"/>
    <w:rsid w:val="004C2726"/>
    <w:rsid w:val="004C3451"/>
    <w:rsid w:val="004C6C31"/>
    <w:rsid w:val="004D0859"/>
    <w:rsid w:val="004D08FD"/>
    <w:rsid w:val="004D0A33"/>
    <w:rsid w:val="004D131B"/>
    <w:rsid w:val="004D1603"/>
    <w:rsid w:val="004D1AC9"/>
    <w:rsid w:val="004D279C"/>
    <w:rsid w:val="004D31CC"/>
    <w:rsid w:val="004D4125"/>
    <w:rsid w:val="004D6B66"/>
    <w:rsid w:val="004E036A"/>
    <w:rsid w:val="004E0DFD"/>
    <w:rsid w:val="004E1477"/>
    <w:rsid w:val="004E1AA1"/>
    <w:rsid w:val="004E3526"/>
    <w:rsid w:val="004E3F02"/>
    <w:rsid w:val="004E40FB"/>
    <w:rsid w:val="004E4D74"/>
    <w:rsid w:val="004E59FF"/>
    <w:rsid w:val="004E5AC0"/>
    <w:rsid w:val="004E79A3"/>
    <w:rsid w:val="004E7D1E"/>
    <w:rsid w:val="004F0451"/>
    <w:rsid w:val="004F1DA3"/>
    <w:rsid w:val="004F2D39"/>
    <w:rsid w:val="004F334F"/>
    <w:rsid w:val="004F5C72"/>
    <w:rsid w:val="004F659F"/>
    <w:rsid w:val="004F6663"/>
    <w:rsid w:val="004F7185"/>
    <w:rsid w:val="004F7F4F"/>
    <w:rsid w:val="005002B7"/>
    <w:rsid w:val="0050186B"/>
    <w:rsid w:val="00502BAD"/>
    <w:rsid w:val="005039CA"/>
    <w:rsid w:val="00503B25"/>
    <w:rsid w:val="00504466"/>
    <w:rsid w:val="0050528B"/>
    <w:rsid w:val="00505E29"/>
    <w:rsid w:val="00507C18"/>
    <w:rsid w:val="00507F99"/>
    <w:rsid w:val="00510D30"/>
    <w:rsid w:val="0051119E"/>
    <w:rsid w:val="00515235"/>
    <w:rsid w:val="00515459"/>
    <w:rsid w:val="00515616"/>
    <w:rsid w:val="00516462"/>
    <w:rsid w:val="00516912"/>
    <w:rsid w:val="005170C0"/>
    <w:rsid w:val="00520173"/>
    <w:rsid w:val="00521EEC"/>
    <w:rsid w:val="00522A83"/>
    <w:rsid w:val="005230B2"/>
    <w:rsid w:val="0052319D"/>
    <w:rsid w:val="00524152"/>
    <w:rsid w:val="00524493"/>
    <w:rsid w:val="0052471A"/>
    <w:rsid w:val="005249E5"/>
    <w:rsid w:val="00524E30"/>
    <w:rsid w:val="00526896"/>
    <w:rsid w:val="00526D26"/>
    <w:rsid w:val="0052771E"/>
    <w:rsid w:val="00530193"/>
    <w:rsid w:val="0053035F"/>
    <w:rsid w:val="00530514"/>
    <w:rsid w:val="005321FA"/>
    <w:rsid w:val="00533E6D"/>
    <w:rsid w:val="00535495"/>
    <w:rsid w:val="00535E87"/>
    <w:rsid w:val="0053747C"/>
    <w:rsid w:val="00540232"/>
    <w:rsid w:val="005402CA"/>
    <w:rsid w:val="00540E1B"/>
    <w:rsid w:val="00540F7D"/>
    <w:rsid w:val="00541FD9"/>
    <w:rsid w:val="00542E12"/>
    <w:rsid w:val="00543CD2"/>
    <w:rsid w:val="00544BD1"/>
    <w:rsid w:val="00544FE6"/>
    <w:rsid w:val="0054783E"/>
    <w:rsid w:val="00550CD8"/>
    <w:rsid w:val="00550D9D"/>
    <w:rsid w:val="005510E0"/>
    <w:rsid w:val="005517F9"/>
    <w:rsid w:val="00551AF1"/>
    <w:rsid w:val="00551D57"/>
    <w:rsid w:val="005524D6"/>
    <w:rsid w:val="00554B19"/>
    <w:rsid w:val="00555717"/>
    <w:rsid w:val="00555B21"/>
    <w:rsid w:val="00555E0E"/>
    <w:rsid w:val="00555EC5"/>
    <w:rsid w:val="00556173"/>
    <w:rsid w:val="00556C62"/>
    <w:rsid w:val="00557A52"/>
    <w:rsid w:val="00560223"/>
    <w:rsid w:val="005604DA"/>
    <w:rsid w:val="00560A9A"/>
    <w:rsid w:val="00561BCC"/>
    <w:rsid w:val="005623B9"/>
    <w:rsid w:val="00563124"/>
    <w:rsid w:val="0056329A"/>
    <w:rsid w:val="00563BAE"/>
    <w:rsid w:val="005657DD"/>
    <w:rsid w:val="00565F20"/>
    <w:rsid w:val="00566F8D"/>
    <w:rsid w:val="0056793B"/>
    <w:rsid w:val="00567C20"/>
    <w:rsid w:val="00567D0B"/>
    <w:rsid w:val="00571076"/>
    <w:rsid w:val="0057153A"/>
    <w:rsid w:val="005725EB"/>
    <w:rsid w:val="0057397D"/>
    <w:rsid w:val="0057472D"/>
    <w:rsid w:val="005747AA"/>
    <w:rsid w:val="00575440"/>
    <w:rsid w:val="00577331"/>
    <w:rsid w:val="00580BE5"/>
    <w:rsid w:val="0058139F"/>
    <w:rsid w:val="005820EB"/>
    <w:rsid w:val="00583798"/>
    <w:rsid w:val="0058393F"/>
    <w:rsid w:val="0058792C"/>
    <w:rsid w:val="005903FF"/>
    <w:rsid w:val="005913AA"/>
    <w:rsid w:val="00591902"/>
    <w:rsid w:val="00591DE7"/>
    <w:rsid w:val="0059372F"/>
    <w:rsid w:val="00594409"/>
    <w:rsid w:val="005951FF"/>
    <w:rsid w:val="00595EA0"/>
    <w:rsid w:val="00596BCD"/>
    <w:rsid w:val="00596BDA"/>
    <w:rsid w:val="005972FF"/>
    <w:rsid w:val="0059770E"/>
    <w:rsid w:val="00597ABE"/>
    <w:rsid w:val="005A0A89"/>
    <w:rsid w:val="005A16BC"/>
    <w:rsid w:val="005A260A"/>
    <w:rsid w:val="005A2C78"/>
    <w:rsid w:val="005A3A30"/>
    <w:rsid w:val="005A3A53"/>
    <w:rsid w:val="005A3DA2"/>
    <w:rsid w:val="005A4D28"/>
    <w:rsid w:val="005A5259"/>
    <w:rsid w:val="005A596B"/>
    <w:rsid w:val="005A5A89"/>
    <w:rsid w:val="005A5B5D"/>
    <w:rsid w:val="005A5EE7"/>
    <w:rsid w:val="005A6651"/>
    <w:rsid w:val="005A6683"/>
    <w:rsid w:val="005A7B02"/>
    <w:rsid w:val="005B01FB"/>
    <w:rsid w:val="005B0A3E"/>
    <w:rsid w:val="005B0B46"/>
    <w:rsid w:val="005B2A36"/>
    <w:rsid w:val="005B2C5B"/>
    <w:rsid w:val="005B3CCA"/>
    <w:rsid w:val="005B4506"/>
    <w:rsid w:val="005B4608"/>
    <w:rsid w:val="005B4BB7"/>
    <w:rsid w:val="005B4D4A"/>
    <w:rsid w:val="005B4FBA"/>
    <w:rsid w:val="005B5CE0"/>
    <w:rsid w:val="005C1427"/>
    <w:rsid w:val="005C1789"/>
    <w:rsid w:val="005C1DF8"/>
    <w:rsid w:val="005C224A"/>
    <w:rsid w:val="005C283B"/>
    <w:rsid w:val="005C4211"/>
    <w:rsid w:val="005C45BE"/>
    <w:rsid w:val="005C4917"/>
    <w:rsid w:val="005C4CE3"/>
    <w:rsid w:val="005C4E11"/>
    <w:rsid w:val="005C50E3"/>
    <w:rsid w:val="005C6792"/>
    <w:rsid w:val="005D1216"/>
    <w:rsid w:val="005D1F23"/>
    <w:rsid w:val="005D1F54"/>
    <w:rsid w:val="005D6374"/>
    <w:rsid w:val="005D7810"/>
    <w:rsid w:val="005D7A0D"/>
    <w:rsid w:val="005E27B1"/>
    <w:rsid w:val="005E2CB5"/>
    <w:rsid w:val="005E2D15"/>
    <w:rsid w:val="005E2EDF"/>
    <w:rsid w:val="005E370E"/>
    <w:rsid w:val="005E3C32"/>
    <w:rsid w:val="005E505D"/>
    <w:rsid w:val="005E580E"/>
    <w:rsid w:val="005E5C66"/>
    <w:rsid w:val="005E6517"/>
    <w:rsid w:val="005E7128"/>
    <w:rsid w:val="005E7965"/>
    <w:rsid w:val="005F08B7"/>
    <w:rsid w:val="005F0DA6"/>
    <w:rsid w:val="005F0E0A"/>
    <w:rsid w:val="005F11A1"/>
    <w:rsid w:val="005F18DD"/>
    <w:rsid w:val="005F2389"/>
    <w:rsid w:val="005F327F"/>
    <w:rsid w:val="005F397F"/>
    <w:rsid w:val="005F3C63"/>
    <w:rsid w:val="005F4266"/>
    <w:rsid w:val="005F4D6C"/>
    <w:rsid w:val="005F63A3"/>
    <w:rsid w:val="00600D1B"/>
    <w:rsid w:val="006011D4"/>
    <w:rsid w:val="00601CD0"/>
    <w:rsid w:val="00602BE1"/>
    <w:rsid w:val="00602FED"/>
    <w:rsid w:val="00604205"/>
    <w:rsid w:val="00604A85"/>
    <w:rsid w:val="00605060"/>
    <w:rsid w:val="0060548A"/>
    <w:rsid w:val="00606382"/>
    <w:rsid w:val="00607098"/>
    <w:rsid w:val="006073BC"/>
    <w:rsid w:val="00607E26"/>
    <w:rsid w:val="0061127A"/>
    <w:rsid w:val="00612E91"/>
    <w:rsid w:val="00613CCE"/>
    <w:rsid w:val="006145F7"/>
    <w:rsid w:val="00616108"/>
    <w:rsid w:val="0061713E"/>
    <w:rsid w:val="006178CB"/>
    <w:rsid w:val="00617FB6"/>
    <w:rsid w:val="006204B0"/>
    <w:rsid w:val="006213A1"/>
    <w:rsid w:val="00621B64"/>
    <w:rsid w:val="00623250"/>
    <w:rsid w:val="006235F7"/>
    <w:rsid w:val="00623CB7"/>
    <w:rsid w:val="0062737C"/>
    <w:rsid w:val="00627C58"/>
    <w:rsid w:val="00630FE1"/>
    <w:rsid w:val="0063114B"/>
    <w:rsid w:val="0063155E"/>
    <w:rsid w:val="00631C36"/>
    <w:rsid w:val="00632088"/>
    <w:rsid w:val="006323D3"/>
    <w:rsid w:val="0063290C"/>
    <w:rsid w:val="006343D3"/>
    <w:rsid w:val="006343F8"/>
    <w:rsid w:val="00634563"/>
    <w:rsid w:val="006352B0"/>
    <w:rsid w:val="0063594F"/>
    <w:rsid w:val="006359DA"/>
    <w:rsid w:val="006360FD"/>
    <w:rsid w:val="00636C94"/>
    <w:rsid w:val="00637F7A"/>
    <w:rsid w:val="0064136E"/>
    <w:rsid w:val="00641586"/>
    <w:rsid w:val="00641DF7"/>
    <w:rsid w:val="00641EBB"/>
    <w:rsid w:val="00641F6B"/>
    <w:rsid w:val="00641F96"/>
    <w:rsid w:val="00644574"/>
    <w:rsid w:val="00644722"/>
    <w:rsid w:val="00644922"/>
    <w:rsid w:val="006449C1"/>
    <w:rsid w:val="00644A0E"/>
    <w:rsid w:val="00644FB8"/>
    <w:rsid w:val="00646BB9"/>
    <w:rsid w:val="00646DA4"/>
    <w:rsid w:val="00650557"/>
    <w:rsid w:val="0065082A"/>
    <w:rsid w:val="00651469"/>
    <w:rsid w:val="00651632"/>
    <w:rsid w:val="00651973"/>
    <w:rsid w:val="0065197C"/>
    <w:rsid w:val="00653729"/>
    <w:rsid w:val="006540ED"/>
    <w:rsid w:val="006566AB"/>
    <w:rsid w:val="006572C9"/>
    <w:rsid w:val="0065754E"/>
    <w:rsid w:val="00657A0B"/>
    <w:rsid w:val="00660311"/>
    <w:rsid w:val="00660674"/>
    <w:rsid w:val="00660D98"/>
    <w:rsid w:val="00661131"/>
    <w:rsid w:val="006665FD"/>
    <w:rsid w:val="006677C8"/>
    <w:rsid w:val="00670EE7"/>
    <w:rsid w:val="0067142E"/>
    <w:rsid w:val="00671FFF"/>
    <w:rsid w:val="0067219D"/>
    <w:rsid w:val="006760FF"/>
    <w:rsid w:val="0068077B"/>
    <w:rsid w:val="00680AE2"/>
    <w:rsid w:val="006819F6"/>
    <w:rsid w:val="00682619"/>
    <w:rsid w:val="006826A0"/>
    <w:rsid w:val="00685480"/>
    <w:rsid w:val="00686ABC"/>
    <w:rsid w:val="006877AB"/>
    <w:rsid w:val="00690347"/>
    <w:rsid w:val="00690673"/>
    <w:rsid w:val="00692B55"/>
    <w:rsid w:val="00693276"/>
    <w:rsid w:val="006934A7"/>
    <w:rsid w:val="006945EF"/>
    <w:rsid w:val="00695219"/>
    <w:rsid w:val="00697222"/>
    <w:rsid w:val="0069736A"/>
    <w:rsid w:val="006973B0"/>
    <w:rsid w:val="00697BF1"/>
    <w:rsid w:val="00697E69"/>
    <w:rsid w:val="00697EAB"/>
    <w:rsid w:val="006A0CF1"/>
    <w:rsid w:val="006A0F73"/>
    <w:rsid w:val="006A1E29"/>
    <w:rsid w:val="006A25AD"/>
    <w:rsid w:val="006A4461"/>
    <w:rsid w:val="006A4CF0"/>
    <w:rsid w:val="006A5E8D"/>
    <w:rsid w:val="006A7635"/>
    <w:rsid w:val="006A7983"/>
    <w:rsid w:val="006A7A08"/>
    <w:rsid w:val="006A7FFA"/>
    <w:rsid w:val="006B0548"/>
    <w:rsid w:val="006B11E2"/>
    <w:rsid w:val="006B1257"/>
    <w:rsid w:val="006B1414"/>
    <w:rsid w:val="006B2DB1"/>
    <w:rsid w:val="006B3DBD"/>
    <w:rsid w:val="006B3ED0"/>
    <w:rsid w:val="006B40F4"/>
    <w:rsid w:val="006B4738"/>
    <w:rsid w:val="006B4766"/>
    <w:rsid w:val="006B49DC"/>
    <w:rsid w:val="006B54D0"/>
    <w:rsid w:val="006B5731"/>
    <w:rsid w:val="006B62F4"/>
    <w:rsid w:val="006B7BA4"/>
    <w:rsid w:val="006B7DA5"/>
    <w:rsid w:val="006C0269"/>
    <w:rsid w:val="006C16A3"/>
    <w:rsid w:val="006C297D"/>
    <w:rsid w:val="006C2EE4"/>
    <w:rsid w:val="006C42EC"/>
    <w:rsid w:val="006C4911"/>
    <w:rsid w:val="006C531E"/>
    <w:rsid w:val="006C71BB"/>
    <w:rsid w:val="006D04A4"/>
    <w:rsid w:val="006D04B1"/>
    <w:rsid w:val="006D1749"/>
    <w:rsid w:val="006D1B2F"/>
    <w:rsid w:val="006D23D8"/>
    <w:rsid w:val="006D299E"/>
    <w:rsid w:val="006D5612"/>
    <w:rsid w:val="006D569D"/>
    <w:rsid w:val="006D586D"/>
    <w:rsid w:val="006D5B50"/>
    <w:rsid w:val="006D652A"/>
    <w:rsid w:val="006D671F"/>
    <w:rsid w:val="006D70D8"/>
    <w:rsid w:val="006D7144"/>
    <w:rsid w:val="006D7C01"/>
    <w:rsid w:val="006D7D61"/>
    <w:rsid w:val="006E0093"/>
    <w:rsid w:val="006E0E29"/>
    <w:rsid w:val="006E0EA5"/>
    <w:rsid w:val="006E1119"/>
    <w:rsid w:val="006E32A5"/>
    <w:rsid w:val="006E4567"/>
    <w:rsid w:val="006E48D4"/>
    <w:rsid w:val="006E4994"/>
    <w:rsid w:val="006E5699"/>
    <w:rsid w:val="006E69AF"/>
    <w:rsid w:val="006E7373"/>
    <w:rsid w:val="006E7F1B"/>
    <w:rsid w:val="006F0DF7"/>
    <w:rsid w:val="006F15B9"/>
    <w:rsid w:val="006F176A"/>
    <w:rsid w:val="006F1CE1"/>
    <w:rsid w:val="006F1D9C"/>
    <w:rsid w:val="006F2E68"/>
    <w:rsid w:val="006F301F"/>
    <w:rsid w:val="006F3495"/>
    <w:rsid w:val="006F40C1"/>
    <w:rsid w:val="006F6193"/>
    <w:rsid w:val="006F724B"/>
    <w:rsid w:val="006F7B8B"/>
    <w:rsid w:val="006F7DB1"/>
    <w:rsid w:val="006F7EAE"/>
    <w:rsid w:val="00700756"/>
    <w:rsid w:val="00700B27"/>
    <w:rsid w:val="00700CF0"/>
    <w:rsid w:val="00700F17"/>
    <w:rsid w:val="007013C7"/>
    <w:rsid w:val="00701ABE"/>
    <w:rsid w:val="00702620"/>
    <w:rsid w:val="00702D82"/>
    <w:rsid w:val="0070453A"/>
    <w:rsid w:val="007049BA"/>
    <w:rsid w:val="00704FAF"/>
    <w:rsid w:val="00706250"/>
    <w:rsid w:val="00707445"/>
    <w:rsid w:val="00707B40"/>
    <w:rsid w:val="00710F0E"/>
    <w:rsid w:val="007113F6"/>
    <w:rsid w:val="0071201A"/>
    <w:rsid w:val="00712C6E"/>
    <w:rsid w:val="00713012"/>
    <w:rsid w:val="0071340E"/>
    <w:rsid w:val="00713875"/>
    <w:rsid w:val="0071506C"/>
    <w:rsid w:val="00715DE9"/>
    <w:rsid w:val="00716C3B"/>
    <w:rsid w:val="00717968"/>
    <w:rsid w:val="00720E71"/>
    <w:rsid w:val="00721420"/>
    <w:rsid w:val="00721AD8"/>
    <w:rsid w:val="00722680"/>
    <w:rsid w:val="00722BDC"/>
    <w:rsid w:val="00722D64"/>
    <w:rsid w:val="007234AF"/>
    <w:rsid w:val="00723B7B"/>
    <w:rsid w:val="00726072"/>
    <w:rsid w:val="007267E4"/>
    <w:rsid w:val="00727594"/>
    <w:rsid w:val="0072764C"/>
    <w:rsid w:val="007278A8"/>
    <w:rsid w:val="00727CD0"/>
    <w:rsid w:val="00730253"/>
    <w:rsid w:val="007307DC"/>
    <w:rsid w:val="00730A16"/>
    <w:rsid w:val="00731214"/>
    <w:rsid w:val="00731655"/>
    <w:rsid w:val="007323D6"/>
    <w:rsid w:val="00732808"/>
    <w:rsid w:val="0073359D"/>
    <w:rsid w:val="00734319"/>
    <w:rsid w:val="00735031"/>
    <w:rsid w:val="00735F8D"/>
    <w:rsid w:val="007370AD"/>
    <w:rsid w:val="00737482"/>
    <w:rsid w:val="007378AB"/>
    <w:rsid w:val="00737A0A"/>
    <w:rsid w:val="00740041"/>
    <w:rsid w:val="00740D1F"/>
    <w:rsid w:val="00742025"/>
    <w:rsid w:val="0074366C"/>
    <w:rsid w:val="00743A2C"/>
    <w:rsid w:val="00743CFD"/>
    <w:rsid w:val="00745217"/>
    <w:rsid w:val="00745D47"/>
    <w:rsid w:val="00745EBD"/>
    <w:rsid w:val="00750066"/>
    <w:rsid w:val="007502D7"/>
    <w:rsid w:val="00751458"/>
    <w:rsid w:val="007519A8"/>
    <w:rsid w:val="00751BF1"/>
    <w:rsid w:val="00752E89"/>
    <w:rsid w:val="0075313B"/>
    <w:rsid w:val="00753433"/>
    <w:rsid w:val="00753B98"/>
    <w:rsid w:val="00753E9E"/>
    <w:rsid w:val="00754170"/>
    <w:rsid w:val="0075436F"/>
    <w:rsid w:val="00754943"/>
    <w:rsid w:val="00755011"/>
    <w:rsid w:val="0075682F"/>
    <w:rsid w:val="0075715B"/>
    <w:rsid w:val="00757743"/>
    <w:rsid w:val="00757E76"/>
    <w:rsid w:val="0076298D"/>
    <w:rsid w:val="00762D09"/>
    <w:rsid w:val="0076414C"/>
    <w:rsid w:val="00764271"/>
    <w:rsid w:val="00764765"/>
    <w:rsid w:val="00764B7B"/>
    <w:rsid w:val="00765756"/>
    <w:rsid w:val="007667AA"/>
    <w:rsid w:val="00766804"/>
    <w:rsid w:val="007678D5"/>
    <w:rsid w:val="007723F1"/>
    <w:rsid w:val="007724B7"/>
    <w:rsid w:val="00776779"/>
    <w:rsid w:val="00777B0E"/>
    <w:rsid w:val="00777B73"/>
    <w:rsid w:val="00777FCB"/>
    <w:rsid w:val="0078121E"/>
    <w:rsid w:val="00782044"/>
    <w:rsid w:val="007821C2"/>
    <w:rsid w:val="007822A4"/>
    <w:rsid w:val="007830EE"/>
    <w:rsid w:val="00784078"/>
    <w:rsid w:val="007847B2"/>
    <w:rsid w:val="007864AA"/>
    <w:rsid w:val="007866FF"/>
    <w:rsid w:val="007870CF"/>
    <w:rsid w:val="00787945"/>
    <w:rsid w:val="00787F2E"/>
    <w:rsid w:val="00790192"/>
    <w:rsid w:val="00790E64"/>
    <w:rsid w:val="007918E6"/>
    <w:rsid w:val="00793A21"/>
    <w:rsid w:val="00793A61"/>
    <w:rsid w:val="00793AF7"/>
    <w:rsid w:val="007948DE"/>
    <w:rsid w:val="00795EF5"/>
    <w:rsid w:val="007978EB"/>
    <w:rsid w:val="00797F15"/>
    <w:rsid w:val="007A082F"/>
    <w:rsid w:val="007A0F08"/>
    <w:rsid w:val="007A12F1"/>
    <w:rsid w:val="007A2A50"/>
    <w:rsid w:val="007A4077"/>
    <w:rsid w:val="007A46A6"/>
    <w:rsid w:val="007A4DEB"/>
    <w:rsid w:val="007A5F2E"/>
    <w:rsid w:val="007A70CB"/>
    <w:rsid w:val="007A753E"/>
    <w:rsid w:val="007A7832"/>
    <w:rsid w:val="007A7D4A"/>
    <w:rsid w:val="007B0441"/>
    <w:rsid w:val="007B061D"/>
    <w:rsid w:val="007B06FF"/>
    <w:rsid w:val="007B16B8"/>
    <w:rsid w:val="007B2DC6"/>
    <w:rsid w:val="007B4C2A"/>
    <w:rsid w:val="007B57B4"/>
    <w:rsid w:val="007B60ED"/>
    <w:rsid w:val="007B70D1"/>
    <w:rsid w:val="007B732A"/>
    <w:rsid w:val="007B7DED"/>
    <w:rsid w:val="007C036A"/>
    <w:rsid w:val="007C2F0F"/>
    <w:rsid w:val="007C312A"/>
    <w:rsid w:val="007C385E"/>
    <w:rsid w:val="007C3907"/>
    <w:rsid w:val="007C3B0C"/>
    <w:rsid w:val="007C3B18"/>
    <w:rsid w:val="007C4BD9"/>
    <w:rsid w:val="007C5BC5"/>
    <w:rsid w:val="007C7768"/>
    <w:rsid w:val="007D092D"/>
    <w:rsid w:val="007D0A33"/>
    <w:rsid w:val="007D1400"/>
    <w:rsid w:val="007D1A9F"/>
    <w:rsid w:val="007D22DC"/>
    <w:rsid w:val="007D2609"/>
    <w:rsid w:val="007D2EB4"/>
    <w:rsid w:val="007D2FA8"/>
    <w:rsid w:val="007D3D87"/>
    <w:rsid w:val="007D3E37"/>
    <w:rsid w:val="007D426E"/>
    <w:rsid w:val="007D42A3"/>
    <w:rsid w:val="007D4812"/>
    <w:rsid w:val="007D4BEA"/>
    <w:rsid w:val="007D544A"/>
    <w:rsid w:val="007D5D8E"/>
    <w:rsid w:val="007D5F7A"/>
    <w:rsid w:val="007D687C"/>
    <w:rsid w:val="007D6A9C"/>
    <w:rsid w:val="007D6B22"/>
    <w:rsid w:val="007E01D2"/>
    <w:rsid w:val="007E028D"/>
    <w:rsid w:val="007E04D3"/>
    <w:rsid w:val="007E0A2F"/>
    <w:rsid w:val="007E1191"/>
    <w:rsid w:val="007E23E1"/>
    <w:rsid w:val="007E26CA"/>
    <w:rsid w:val="007E2B85"/>
    <w:rsid w:val="007E3278"/>
    <w:rsid w:val="007E3777"/>
    <w:rsid w:val="007E3C32"/>
    <w:rsid w:val="007E3EE1"/>
    <w:rsid w:val="007E4A04"/>
    <w:rsid w:val="007E4DD7"/>
    <w:rsid w:val="007E5C70"/>
    <w:rsid w:val="007E5D79"/>
    <w:rsid w:val="007E7BD5"/>
    <w:rsid w:val="007F127F"/>
    <w:rsid w:val="007F1351"/>
    <w:rsid w:val="007F1577"/>
    <w:rsid w:val="007F2E7C"/>
    <w:rsid w:val="007F2EC8"/>
    <w:rsid w:val="007F410E"/>
    <w:rsid w:val="007F429E"/>
    <w:rsid w:val="007F5800"/>
    <w:rsid w:val="007F5DA9"/>
    <w:rsid w:val="007F6A40"/>
    <w:rsid w:val="007F6F6A"/>
    <w:rsid w:val="007F7451"/>
    <w:rsid w:val="007F7F89"/>
    <w:rsid w:val="00800695"/>
    <w:rsid w:val="00800955"/>
    <w:rsid w:val="00802AB7"/>
    <w:rsid w:val="0080338A"/>
    <w:rsid w:val="008042DD"/>
    <w:rsid w:val="00804A2D"/>
    <w:rsid w:val="00804F92"/>
    <w:rsid w:val="00805300"/>
    <w:rsid w:val="00805A9D"/>
    <w:rsid w:val="00805E85"/>
    <w:rsid w:val="00811B20"/>
    <w:rsid w:val="00812426"/>
    <w:rsid w:val="00812B65"/>
    <w:rsid w:val="00812CC2"/>
    <w:rsid w:val="008141D1"/>
    <w:rsid w:val="00814654"/>
    <w:rsid w:val="00814C7E"/>
    <w:rsid w:val="008150E8"/>
    <w:rsid w:val="0081525C"/>
    <w:rsid w:val="00815F6C"/>
    <w:rsid w:val="00816C09"/>
    <w:rsid w:val="0081771F"/>
    <w:rsid w:val="00817C85"/>
    <w:rsid w:val="0082036B"/>
    <w:rsid w:val="00821241"/>
    <w:rsid w:val="0082474F"/>
    <w:rsid w:val="00824DE0"/>
    <w:rsid w:val="008257DB"/>
    <w:rsid w:val="008263E6"/>
    <w:rsid w:val="00826D28"/>
    <w:rsid w:val="008274DD"/>
    <w:rsid w:val="00830FFC"/>
    <w:rsid w:val="0083286F"/>
    <w:rsid w:val="008332D7"/>
    <w:rsid w:val="00834B21"/>
    <w:rsid w:val="00834CFB"/>
    <w:rsid w:val="00835DA6"/>
    <w:rsid w:val="008361FC"/>
    <w:rsid w:val="008362BF"/>
    <w:rsid w:val="00836E2D"/>
    <w:rsid w:val="008378C4"/>
    <w:rsid w:val="0083791D"/>
    <w:rsid w:val="00837D08"/>
    <w:rsid w:val="00840DF1"/>
    <w:rsid w:val="008438C3"/>
    <w:rsid w:val="00843E5F"/>
    <w:rsid w:val="00844C55"/>
    <w:rsid w:val="008454BA"/>
    <w:rsid w:val="00845818"/>
    <w:rsid w:val="008469FC"/>
    <w:rsid w:val="00847D37"/>
    <w:rsid w:val="0085068A"/>
    <w:rsid w:val="00851724"/>
    <w:rsid w:val="00852188"/>
    <w:rsid w:val="00852529"/>
    <w:rsid w:val="00853571"/>
    <w:rsid w:val="00853C54"/>
    <w:rsid w:val="00853F0A"/>
    <w:rsid w:val="00854A8C"/>
    <w:rsid w:val="00854E34"/>
    <w:rsid w:val="00856668"/>
    <w:rsid w:val="008576DF"/>
    <w:rsid w:val="00860C64"/>
    <w:rsid w:val="0086100B"/>
    <w:rsid w:val="00861BF2"/>
    <w:rsid w:val="008623C1"/>
    <w:rsid w:val="0086263D"/>
    <w:rsid w:val="0086330E"/>
    <w:rsid w:val="00867B0E"/>
    <w:rsid w:val="00867CDA"/>
    <w:rsid w:val="00867E47"/>
    <w:rsid w:val="008700DD"/>
    <w:rsid w:val="008709C4"/>
    <w:rsid w:val="008758A4"/>
    <w:rsid w:val="0087611D"/>
    <w:rsid w:val="00876F9C"/>
    <w:rsid w:val="00877471"/>
    <w:rsid w:val="00877E8E"/>
    <w:rsid w:val="00880F29"/>
    <w:rsid w:val="00881FE2"/>
    <w:rsid w:val="008825D9"/>
    <w:rsid w:val="00882A84"/>
    <w:rsid w:val="00883258"/>
    <w:rsid w:val="0088377B"/>
    <w:rsid w:val="008867C8"/>
    <w:rsid w:val="0088774A"/>
    <w:rsid w:val="00891020"/>
    <w:rsid w:val="00892387"/>
    <w:rsid w:val="00892A9B"/>
    <w:rsid w:val="00892EEE"/>
    <w:rsid w:val="0089317C"/>
    <w:rsid w:val="00893B4E"/>
    <w:rsid w:val="008958E6"/>
    <w:rsid w:val="00895FFB"/>
    <w:rsid w:val="00896979"/>
    <w:rsid w:val="008969CA"/>
    <w:rsid w:val="008972D3"/>
    <w:rsid w:val="00897379"/>
    <w:rsid w:val="0089754B"/>
    <w:rsid w:val="008A03D5"/>
    <w:rsid w:val="008A2BFC"/>
    <w:rsid w:val="008A3440"/>
    <w:rsid w:val="008A3967"/>
    <w:rsid w:val="008A547F"/>
    <w:rsid w:val="008A5888"/>
    <w:rsid w:val="008A5E8D"/>
    <w:rsid w:val="008A621D"/>
    <w:rsid w:val="008A627D"/>
    <w:rsid w:val="008A6C68"/>
    <w:rsid w:val="008A6CF5"/>
    <w:rsid w:val="008B0B33"/>
    <w:rsid w:val="008B1E81"/>
    <w:rsid w:val="008B315D"/>
    <w:rsid w:val="008B4B2E"/>
    <w:rsid w:val="008B59C4"/>
    <w:rsid w:val="008B5FC0"/>
    <w:rsid w:val="008B7F17"/>
    <w:rsid w:val="008C08B5"/>
    <w:rsid w:val="008C1925"/>
    <w:rsid w:val="008C208C"/>
    <w:rsid w:val="008C258C"/>
    <w:rsid w:val="008C3BFC"/>
    <w:rsid w:val="008C5258"/>
    <w:rsid w:val="008C6325"/>
    <w:rsid w:val="008D065A"/>
    <w:rsid w:val="008D2008"/>
    <w:rsid w:val="008D2706"/>
    <w:rsid w:val="008D3572"/>
    <w:rsid w:val="008D39AC"/>
    <w:rsid w:val="008D48A8"/>
    <w:rsid w:val="008D6750"/>
    <w:rsid w:val="008D695F"/>
    <w:rsid w:val="008D77B5"/>
    <w:rsid w:val="008E045A"/>
    <w:rsid w:val="008E2AC0"/>
    <w:rsid w:val="008E3308"/>
    <w:rsid w:val="008E3F93"/>
    <w:rsid w:val="008E4AA5"/>
    <w:rsid w:val="008E4E88"/>
    <w:rsid w:val="008E524F"/>
    <w:rsid w:val="008E63DF"/>
    <w:rsid w:val="008E66E7"/>
    <w:rsid w:val="008E688C"/>
    <w:rsid w:val="008E793E"/>
    <w:rsid w:val="008E7CEE"/>
    <w:rsid w:val="008E7DB5"/>
    <w:rsid w:val="008F2029"/>
    <w:rsid w:val="008F23BA"/>
    <w:rsid w:val="008F281A"/>
    <w:rsid w:val="008F29B2"/>
    <w:rsid w:val="008F2BA4"/>
    <w:rsid w:val="008F43AA"/>
    <w:rsid w:val="008F505E"/>
    <w:rsid w:val="008F552B"/>
    <w:rsid w:val="008F55C4"/>
    <w:rsid w:val="008F6103"/>
    <w:rsid w:val="008F6934"/>
    <w:rsid w:val="008F730E"/>
    <w:rsid w:val="008F73C6"/>
    <w:rsid w:val="008F7AB8"/>
    <w:rsid w:val="008F7AF1"/>
    <w:rsid w:val="008F7E12"/>
    <w:rsid w:val="00901079"/>
    <w:rsid w:val="00901997"/>
    <w:rsid w:val="009047A3"/>
    <w:rsid w:val="0090488F"/>
    <w:rsid w:val="00905CB8"/>
    <w:rsid w:val="009062C9"/>
    <w:rsid w:val="00907316"/>
    <w:rsid w:val="00907B95"/>
    <w:rsid w:val="00907E08"/>
    <w:rsid w:val="009100E2"/>
    <w:rsid w:val="0091101F"/>
    <w:rsid w:val="00911E2E"/>
    <w:rsid w:val="0091244F"/>
    <w:rsid w:val="00912AD6"/>
    <w:rsid w:val="00914183"/>
    <w:rsid w:val="009143C5"/>
    <w:rsid w:val="009146B9"/>
    <w:rsid w:val="00914811"/>
    <w:rsid w:val="009149FD"/>
    <w:rsid w:val="00915C7D"/>
    <w:rsid w:val="00922901"/>
    <w:rsid w:val="00923284"/>
    <w:rsid w:val="00923739"/>
    <w:rsid w:val="0092510F"/>
    <w:rsid w:val="00925B62"/>
    <w:rsid w:val="00926967"/>
    <w:rsid w:val="00926CEB"/>
    <w:rsid w:val="00926ED8"/>
    <w:rsid w:val="00926FDE"/>
    <w:rsid w:val="00927BA6"/>
    <w:rsid w:val="00927EDE"/>
    <w:rsid w:val="00930244"/>
    <w:rsid w:val="00931061"/>
    <w:rsid w:val="009314ED"/>
    <w:rsid w:val="009318A8"/>
    <w:rsid w:val="009318ED"/>
    <w:rsid w:val="00931FFB"/>
    <w:rsid w:val="009327B1"/>
    <w:rsid w:val="0093428F"/>
    <w:rsid w:val="009344A9"/>
    <w:rsid w:val="0093560A"/>
    <w:rsid w:val="00936995"/>
    <w:rsid w:val="00940BD8"/>
    <w:rsid w:val="009412D6"/>
    <w:rsid w:val="00941DB9"/>
    <w:rsid w:val="00942326"/>
    <w:rsid w:val="00943C83"/>
    <w:rsid w:val="00943FE7"/>
    <w:rsid w:val="009443C5"/>
    <w:rsid w:val="00945960"/>
    <w:rsid w:val="00947071"/>
    <w:rsid w:val="009478C6"/>
    <w:rsid w:val="0095196D"/>
    <w:rsid w:val="00951C42"/>
    <w:rsid w:val="0095464B"/>
    <w:rsid w:val="009561AD"/>
    <w:rsid w:val="00956211"/>
    <w:rsid w:val="009564BE"/>
    <w:rsid w:val="00956657"/>
    <w:rsid w:val="00956843"/>
    <w:rsid w:val="0095703D"/>
    <w:rsid w:val="00957A4C"/>
    <w:rsid w:val="009607F9"/>
    <w:rsid w:val="0096112F"/>
    <w:rsid w:val="0096145C"/>
    <w:rsid w:val="00962657"/>
    <w:rsid w:val="0096271A"/>
    <w:rsid w:val="00964B55"/>
    <w:rsid w:val="00964C48"/>
    <w:rsid w:val="00964DEC"/>
    <w:rsid w:val="00966AC0"/>
    <w:rsid w:val="009676B0"/>
    <w:rsid w:val="009706CD"/>
    <w:rsid w:val="00970D58"/>
    <w:rsid w:val="009717DC"/>
    <w:rsid w:val="00971D93"/>
    <w:rsid w:val="00972A0D"/>
    <w:rsid w:val="00974129"/>
    <w:rsid w:val="00976C42"/>
    <w:rsid w:val="00976D31"/>
    <w:rsid w:val="00977423"/>
    <w:rsid w:val="009774F4"/>
    <w:rsid w:val="00977DF0"/>
    <w:rsid w:val="0098092B"/>
    <w:rsid w:val="00981613"/>
    <w:rsid w:val="00981D49"/>
    <w:rsid w:val="00982291"/>
    <w:rsid w:val="00982DD5"/>
    <w:rsid w:val="00985149"/>
    <w:rsid w:val="00985386"/>
    <w:rsid w:val="009853DD"/>
    <w:rsid w:val="009855B9"/>
    <w:rsid w:val="00985EB3"/>
    <w:rsid w:val="00985F1C"/>
    <w:rsid w:val="0098666D"/>
    <w:rsid w:val="0098756A"/>
    <w:rsid w:val="00987C6D"/>
    <w:rsid w:val="00987D7C"/>
    <w:rsid w:val="00990B37"/>
    <w:rsid w:val="009910FF"/>
    <w:rsid w:val="009913EC"/>
    <w:rsid w:val="009925E3"/>
    <w:rsid w:val="00992769"/>
    <w:rsid w:val="009927BC"/>
    <w:rsid w:val="00992EB4"/>
    <w:rsid w:val="00994505"/>
    <w:rsid w:val="00995857"/>
    <w:rsid w:val="009A0B6C"/>
    <w:rsid w:val="009A1E3D"/>
    <w:rsid w:val="009A28A4"/>
    <w:rsid w:val="009A3EB3"/>
    <w:rsid w:val="009A3F83"/>
    <w:rsid w:val="009A44F4"/>
    <w:rsid w:val="009A5E6D"/>
    <w:rsid w:val="009B10CA"/>
    <w:rsid w:val="009B1141"/>
    <w:rsid w:val="009B1445"/>
    <w:rsid w:val="009B2753"/>
    <w:rsid w:val="009B2F30"/>
    <w:rsid w:val="009B31CE"/>
    <w:rsid w:val="009B3308"/>
    <w:rsid w:val="009B33A7"/>
    <w:rsid w:val="009B3BD8"/>
    <w:rsid w:val="009B4A5B"/>
    <w:rsid w:val="009B4CEF"/>
    <w:rsid w:val="009B4FB6"/>
    <w:rsid w:val="009B54FF"/>
    <w:rsid w:val="009B7BB6"/>
    <w:rsid w:val="009C0666"/>
    <w:rsid w:val="009C11EA"/>
    <w:rsid w:val="009C125F"/>
    <w:rsid w:val="009C1B0D"/>
    <w:rsid w:val="009C1E75"/>
    <w:rsid w:val="009C1F64"/>
    <w:rsid w:val="009C2836"/>
    <w:rsid w:val="009C2EC6"/>
    <w:rsid w:val="009C2F70"/>
    <w:rsid w:val="009C323E"/>
    <w:rsid w:val="009C44EF"/>
    <w:rsid w:val="009C5C3B"/>
    <w:rsid w:val="009C6237"/>
    <w:rsid w:val="009C69AA"/>
    <w:rsid w:val="009C7998"/>
    <w:rsid w:val="009D0B26"/>
    <w:rsid w:val="009D122B"/>
    <w:rsid w:val="009D26B8"/>
    <w:rsid w:val="009D2B57"/>
    <w:rsid w:val="009D34EC"/>
    <w:rsid w:val="009D381E"/>
    <w:rsid w:val="009D3992"/>
    <w:rsid w:val="009D3E76"/>
    <w:rsid w:val="009D3F52"/>
    <w:rsid w:val="009D3F67"/>
    <w:rsid w:val="009D462E"/>
    <w:rsid w:val="009D4BC0"/>
    <w:rsid w:val="009E01A0"/>
    <w:rsid w:val="009E0395"/>
    <w:rsid w:val="009E09CF"/>
    <w:rsid w:val="009E2BB8"/>
    <w:rsid w:val="009E4F30"/>
    <w:rsid w:val="009E5918"/>
    <w:rsid w:val="009E6C1C"/>
    <w:rsid w:val="009F03E1"/>
    <w:rsid w:val="009F1124"/>
    <w:rsid w:val="009F14D6"/>
    <w:rsid w:val="009F20AD"/>
    <w:rsid w:val="009F25B8"/>
    <w:rsid w:val="009F3D98"/>
    <w:rsid w:val="009F466F"/>
    <w:rsid w:val="009F4902"/>
    <w:rsid w:val="009F53CA"/>
    <w:rsid w:val="009F5770"/>
    <w:rsid w:val="009F5E96"/>
    <w:rsid w:val="009F73EE"/>
    <w:rsid w:val="009F789D"/>
    <w:rsid w:val="009F7D7A"/>
    <w:rsid w:val="00A00327"/>
    <w:rsid w:val="00A030A0"/>
    <w:rsid w:val="00A0339A"/>
    <w:rsid w:val="00A045C1"/>
    <w:rsid w:val="00A05D99"/>
    <w:rsid w:val="00A05E0C"/>
    <w:rsid w:val="00A06FD5"/>
    <w:rsid w:val="00A07026"/>
    <w:rsid w:val="00A077BE"/>
    <w:rsid w:val="00A1004C"/>
    <w:rsid w:val="00A11A34"/>
    <w:rsid w:val="00A1485F"/>
    <w:rsid w:val="00A14E01"/>
    <w:rsid w:val="00A1501A"/>
    <w:rsid w:val="00A16AD8"/>
    <w:rsid w:val="00A16FD7"/>
    <w:rsid w:val="00A207DE"/>
    <w:rsid w:val="00A2110F"/>
    <w:rsid w:val="00A2232A"/>
    <w:rsid w:val="00A2253E"/>
    <w:rsid w:val="00A24DB9"/>
    <w:rsid w:val="00A2612A"/>
    <w:rsid w:val="00A263E0"/>
    <w:rsid w:val="00A26C1B"/>
    <w:rsid w:val="00A26C53"/>
    <w:rsid w:val="00A30542"/>
    <w:rsid w:val="00A30AF5"/>
    <w:rsid w:val="00A31476"/>
    <w:rsid w:val="00A314E7"/>
    <w:rsid w:val="00A32101"/>
    <w:rsid w:val="00A325B9"/>
    <w:rsid w:val="00A3390C"/>
    <w:rsid w:val="00A368CC"/>
    <w:rsid w:val="00A37EC9"/>
    <w:rsid w:val="00A40366"/>
    <w:rsid w:val="00A405A9"/>
    <w:rsid w:val="00A40B70"/>
    <w:rsid w:val="00A40F49"/>
    <w:rsid w:val="00A4135B"/>
    <w:rsid w:val="00A43476"/>
    <w:rsid w:val="00A44AB0"/>
    <w:rsid w:val="00A4557A"/>
    <w:rsid w:val="00A457FB"/>
    <w:rsid w:val="00A47DF5"/>
    <w:rsid w:val="00A50F87"/>
    <w:rsid w:val="00A50FA5"/>
    <w:rsid w:val="00A52076"/>
    <w:rsid w:val="00A52102"/>
    <w:rsid w:val="00A526EB"/>
    <w:rsid w:val="00A533A2"/>
    <w:rsid w:val="00A53B51"/>
    <w:rsid w:val="00A542AF"/>
    <w:rsid w:val="00A55D85"/>
    <w:rsid w:val="00A57016"/>
    <w:rsid w:val="00A57E23"/>
    <w:rsid w:val="00A628CC"/>
    <w:rsid w:val="00A62F91"/>
    <w:rsid w:val="00A64D75"/>
    <w:rsid w:val="00A65EB3"/>
    <w:rsid w:val="00A66382"/>
    <w:rsid w:val="00A666D6"/>
    <w:rsid w:val="00A66B7E"/>
    <w:rsid w:val="00A66EF7"/>
    <w:rsid w:val="00A6781C"/>
    <w:rsid w:val="00A67E65"/>
    <w:rsid w:val="00A70DB0"/>
    <w:rsid w:val="00A73356"/>
    <w:rsid w:val="00A750C8"/>
    <w:rsid w:val="00A75DAE"/>
    <w:rsid w:val="00A764D3"/>
    <w:rsid w:val="00A76734"/>
    <w:rsid w:val="00A77AA7"/>
    <w:rsid w:val="00A77DB1"/>
    <w:rsid w:val="00A81EB5"/>
    <w:rsid w:val="00A820C8"/>
    <w:rsid w:val="00A82663"/>
    <w:rsid w:val="00A83B90"/>
    <w:rsid w:val="00A853F1"/>
    <w:rsid w:val="00A85955"/>
    <w:rsid w:val="00A86015"/>
    <w:rsid w:val="00A879EF"/>
    <w:rsid w:val="00A9062F"/>
    <w:rsid w:val="00A90BD6"/>
    <w:rsid w:val="00A92924"/>
    <w:rsid w:val="00A92D26"/>
    <w:rsid w:val="00A93832"/>
    <w:rsid w:val="00A938E2"/>
    <w:rsid w:val="00A9441A"/>
    <w:rsid w:val="00A95B62"/>
    <w:rsid w:val="00A977C9"/>
    <w:rsid w:val="00AA0C32"/>
    <w:rsid w:val="00AA0DD5"/>
    <w:rsid w:val="00AA0DFB"/>
    <w:rsid w:val="00AA2270"/>
    <w:rsid w:val="00AA2CB0"/>
    <w:rsid w:val="00AA480D"/>
    <w:rsid w:val="00AA5383"/>
    <w:rsid w:val="00AA6B1A"/>
    <w:rsid w:val="00AB073B"/>
    <w:rsid w:val="00AB1709"/>
    <w:rsid w:val="00AB2148"/>
    <w:rsid w:val="00AB2858"/>
    <w:rsid w:val="00AB4178"/>
    <w:rsid w:val="00AB44A5"/>
    <w:rsid w:val="00AB46C9"/>
    <w:rsid w:val="00AB4736"/>
    <w:rsid w:val="00AB4A51"/>
    <w:rsid w:val="00AB58D1"/>
    <w:rsid w:val="00AB6811"/>
    <w:rsid w:val="00AB6C1A"/>
    <w:rsid w:val="00AB7F9D"/>
    <w:rsid w:val="00AC0642"/>
    <w:rsid w:val="00AC11BF"/>
    <w:rsid w:val="00AC192F"/>
    <w:rsid w:val="00AC1CCA"/>
    <w:rsid w:val="00AC366F"/>
    <w:rsid w:val="00AC3D92"/>
    <w:rsid w:val="00AC543E"/>
    <w:rsid w:val="00AC6044"/>
    <w:rsid w:val="00AC7997"/>
    <w:rsid w:val="00AC7AC9"/>
    <w:rsid w:val="00AC7E81"/>
    <w:rsid w:val="00AD0C0B"/>
    <w:rsid w:val="00AD151C"/>
    <w:rsid w:val="00AD1A9A"/>
    <w:rsid w:val="00AD1F9C"/>
    <w:rsid w:val="00AD3258"/>
    <w:rsid w:val="00AD3DD5"/>
    <w:rsid w:val="00AD4E6C"/>
    <w:rsid w:val="00AD5676"/>
    <w:rsid w:val="00AD66CB"/>
    <w:rsid w:val="00AE007D"/>
    <w:rsid w:val="00AE0C6D"/>
    <w:rsid w:val="00AE0E61"/>
    <w:rsid w:val="00AE1BAE"/>
    <w:rsid w:val="00AE2935"/>
    <w:rsid w:val="00AE2D3A"/>
    <w:rsid w:val="00AE2D7B"/>
    <w:rsid w:val="00AE2FBF"/>
    <w:rsid w:val="00AE30A8"/>
    <w:rsid w:val="00AE5292"/>
    <w:rsid w:val="00AE5479"/>
    <w:rsid w:val="00AF0454"/>
    <w:rsid w:val="00AF0B20"/>
    <w:rsid w:val="00AF18D9"/>
    <w:rsid w:val="00AF1C1A"/>
    <w:rsid w:val="00AF3F23"/>
    <w:rsid w:val="00AF4A9D"/>
    <w:rsid w:val="00AF4D07"/>
    <w:rsid w:val="00AF567F"/>
    <w:rsid w:val="00AF571F"/>
    <w:rsid w:val="00AF656F"/>
    <w:rsid w:val="00AF69E1"/>
    <w:rsid w:val="00B00343"/>
    <w:rsid w:val="00B0071E"/>
    <w:rsid w:val="00B011D5"/>
    <w:rsid w:val="00B01A9A"/>
    <w:rsid w:val="00B02BF5"/>
    <w:rsid w:val="00B04C69"/>
    <w:rsid w:val="00B05ABD"/>
    <w:rsid w:val="00B06DA2"/>
    <w:rsid w:val="00B074AD"/>
    <w:rsid w:val="00B07C7E"/>
    <w:rsid w:val="00B10BE7"/>
    <w:rsid w:val="00B11368"/>
    <w:rsid w:val="00B11BE4"/>
    <w:rsid w:val="00B130BB"/>
    <w:rsid w:val="00B149FC"/>
    <w:rsid w:val="00B1611B"/>
    <w:rsid w:val="00B16BAC"/>
    <w:rsid w:val="00B17393"/>
    <w:rsid w:val="00B17FF7"/>
    <w:rsid w:val="00B20653"/>
    <w:rsid w:val="00B21C82"/>
    <w:rsid w:val="00B2235D"/>
    <w:rsid w:val="00B22AEF"/>
    <w:rsid w:val="00B2356E"/>
    <w:rsid w:val="00B25A60"/>
    <w:rsid w:val="00B25B4C"/>
    <w:rsid w:val="00B26647"/>
    <w:rsid w:val="00B2675C"/>
    <w:rsid w:val="00B26C37"/>
    <w:rsid w:val="00B2737B"/>
    <w:rsid w:val="00B27E82"/>
    <w:rsid w:val="00B27F97"/>
    <w:rsid w:val="00B301EB"/>
    <w:rsid w:val="00B305DC"/>
    <w:rsid w:val="00B31DF1"/>
    <w:rsid w:val="00B337B4"/>
    <w:rsid w:val="00B34039"/>
    <w:rsid w:val="00B34787"/>
    <w:rsid w:val="00B349BA"/>
    <w:rsid w:val="00B35486"/>
    <w:rsid w:val="00B3704D"/>
    <w:rsid w:val="00B3793B"/>
    <w:rsid w:val="00B400E5"/>
    <w:rsid w:val="00B417DA"/>
    <w:rsid w:val="00B43482"/>
    <w:rsid w:val="00B45544"/>
    <w:rsid w:val="00B458E1"/>
    <w:rsid w:val="00B4638E"/>
    <w:rsid w:val="00B47287"/>
    <w:rsid w:val="00B47E23"/>
    <w:rsid w:val="00B51442"/>
    <w:rsid w:val="00B51BEB"/>
    <w:rsid w:val="00B51C22"/>
    <w:rsid w:val="00B523E5"/>
    <w:rsid w:val="00B53102"/>
    <w:rsid w:val="00B535F7"/>
    <w:rsid w:val="00B554A9"/>
    <w:rsid w:val="00B5614D"/>
    <w:rsid w:val="00B5634C"/>
    <w:rsid w:val="00B56574"/>
    <w:rsid w:val="00B56632"/>
    <w:rsid w:val="00B56D89"/>
    <w:rsid w:val="00B570AE"/>
    <w:rsid w:val="00B6142A"/>
    <w:rsid w:val="00B6183F"/>
    <w:rsid w:val="00B620F9"/>
    <w:rsid w:val="00B62C33"/>
    <w:rsid w:val="00B62F07"/>
    <w:rsid w:val="00B65BE6"/>
    <w:rsid w:val="00B66CAF"/>
    <w:rsid w:val="00B67234"/>
    <w:rsid w:val="00B70432"/>
    <w:rsid w:val="00B708A1"/>
    <w:rsid w:val="00B70EF8"/>
    <w:rsid w:val="00B718EE"/>
    <w:rsid w:val="00B72F52"/>
    <w:rsid w:val="00B73A87"/>
    <w:rsid w:val="00B744D2"/>
    <w:rsid w:val="00B7567E"/>
    <w:rsid w:val="00B75B77"/>
    <w:rsid w:val="00B77624"/>
    <w:rsid w:val="00B77CC1"/>
    <w:rsid w:val="00B77D39"/>
    <w:rsid w:val="00B82315"/>
    <w:rsid w:val="00B82FC7"/>
    <w:rsid w:val="00B845A6"/>
    <w:rsid w:val="00B8502B"/>
    <w:rsid w:val="00B85E29"/>
    <w:rsid w:val="00B87424"/>
    <w:rsid w:val="00B8746A"/>
    <w:rsid w:val="00B9064E"/>
    <w:rsid w:val="00B907E2"/>
    <w:rsid w:val="00B91A56"/>
    <w:rsid w:val="00B925E7"/>
    <w:rsid w:val="00B928F1"/>
    <w:rsid w:val="00B92C0D"/>
    <w:rsid w:val="00B9327E"/>
    <w:rsid w:val="00B93552"/>
    <w:rsid w:val="00B9410A"/>
    <w:rsid w:val="00B945CD"/>
    <w:rsid w:val="00B9499D"/>
    <w:rsid w:val="00B97AEA"/>
    <w:rsid w:val="00B97C7E"/>
    <w:rsid w:val="00BA00F0"/>
    <w:rsid w:val="00BA0513"/>
    <w:rsid w:val="00BA053E"/>
    <w:rsid w:val="00BA1D69"/>
    <w:rsid w:val="00BA1DCE"/>
    <w:rsid w:val="00BA213A"/>
    <w:rsid w:val="00BA38C5"/>
    <w:rsid w:val="00BA3988"/>
    <w:rsid w:val="00BA3B63"/>
    <w:rsid w:val="00BA4558"/>
    <w:rsid w:val="00BA4F17"/>
    <w:rsid w:val="00BA6577"/>
    <w:rsid w:val="00BA6828"/>
    <w:rsid w:val="00BA7130"/>
    <w:rsid w:val="00BA7D21"/>
    <w:rsid w:val="00BB04C6"/>
    <w:rsid w:val="00BB13E4"/>
    <w:rsid w:val="00BB4C14"/>
    <w:rsid w:val="00BB4D4E"/>
    <w:rsid w:val="00BB5942"/>
    <w:rsid w:val="00BB5F42"/>
    <w:rsid w:val="00BB73F4"/>
    <w:rsid w:val="00BB74AC"/>
    <w:rsid w:val="00BB7FDF"/>
    <w:rsid w:val="00BC08D6"/>
    <w:rsid w:val="00BC0AEC"/>
    <w:rsid w:val="00BC28A4"/>
    <w:rsid w:val="00BC39CB"/>
    <w:rsid w:val="00BC39EB"/>
    <w:rsid w:val="00BC60D0"/>
    <w:rsid w:val="00BC693A"/>
    <w:rsid w:val="00BC778B"/>
    <w:rsid w:val="00BD0897"/>
    <w:rsid w:val="00BD0E92"/>
    <w:rsid w:val="00BD0F8C"/>
    <w:rsid w:val="00BD1249"/>
    <w:rsid w:val="00BD13D7"/>
    <w:rsid w:val="00BD1C3F"/>
    <w:rsid w:val="00BD219A"/>
    <w:rsid w:val="00BD2EEC"/>
    <w:rsid w:val="00BD2F6E"/>
    <w:rsid w:val="00BD4E2F"/>
    <w:rsid w:val="00BD5445"/>
    <w:rsid w:val="00BD5B29"/>
    <w:rsid w:val="00BD76A9"/>
    <w:rsid w:val="00BE03B6"/>
    <w:rsid w:val="00BE06DD"/>
    <w:rsid w:val="00BE0DE5"/>
    <w:rsid w:val="00BE3021"/>
    <w:rsid w:val="00BE4EE5"/>
    <w:rsid w:val="00BE524E"/>
    <w:rsid w:val="00BE65CA"/>
    <w:rsid w:val="00BE6AC9"/>
    <w:rsid w:val="00BE6C90"/>
    <w:rsid w:val="00BE7588"/>
    <w:rsid w:val="00BE7B73"/>
    <w:rsid w:val="00BF01D6"/>
    <w:rsid w:val="00BF08AB"/>
    <w:rsid w:val="00BF0FE9"/>
    <w:rsid w:val="00BF20D8"/>
    <w:rsid w:val="00BF262F"/>
    <w:rsid w:val="00BF29C9"/>
    <w:rsid w:val="00BF2D08"/>
    <w:rsid w:val="00BF30D4"/>
    <w:rsid w:val="00BF48DC"/>
    <w:rsid w:val="00BF6804"/>
    <w:rsid w:val="00BF6B46"/>
    <w:rsid w:val="00BF7726"/>
    <w:rsid w:val="00C0070C"/>
    <w:rsid w:val="00C00C7A"/>
    <w:rsid w:val="00C00D48"/>
    <w:rsid w:val="00C013CE"/>
    <w:rsid w:val="00C02188"/>
    <w:rsid w:val="00C030D8"/>
    <w:rsid w:val="00C03D38"/>
    <w:rsid w:val="00C03E8D"/>
    <w:rsid w:val="00C0448E"/>
    <w:rsid w:val="00C053CC"/>
    <w:rsid w:val="00C06034"/>
    <w:rsid w:val="00C06F61"/>
    <w:rsid w:val="00C07FD4"/>
    <w:rsid w:val="00C1080C"/>
    <w:rsid w:val="00C10F6B"/>
    <w:rsid w:val="00C10F6E"/>
    <w:rsid w:val="00C1154B"/>
    <w:rsid w:val="00C12EA4"/>
    <w:rsid w:val="00C14086"/>
    <w:rsid w:val="00C16308"/>
    <w:rsid w:val="00C16503"/>
    <w:rsid w:val="00C16535"/>
    <w:rsid w:val="00C16CB1"/>
    <w:rsid w:val="00C16CD5"/>
    <w:rsid w:val="00C17644"/>
    <w:rsid w:val="00C20282"/>
    <w:rsid w:val="00C20620"/>
    <w:rsid w:val="00C20CE0"/>
    <w:rsid w:val="00C2156F"/>
    <w:rsid w:val="00C2377F"/>
    <w:rsid w:val="00C23819"/>
    <w:rsid w:val="00C2533C"/>
    <w:rsid w:val="00C26238"/>
    <w:rsid w:val="00C26C02"/>
    <w:rsid w:val="00C2739A"/>
    <w:rsid w:val="00C274B8"/>
    <w:rsid w:val="00C27CA5"/>
    <w:rsid w:val="00C30D5B"/>
    <w:rsid w:val="00C310BC"/>
    <w:rsid w:val="00C320C0"/>
    <w:rsid w:val="00C3316A"/>
    <w:rsid w:val="00C33E27"/>
    <w:rsid w:val="00C33E78"/>
    <w:rsid w:val="00C3412B"/>
    <w:rsid w:val="00C34875"/>
    <w:rsid w:val="00C35970"/>
    <w:rsid w:val="00C36366"/>
    <w:rsid w:val="00C37180"/>
    <w:rsid w:val="00C371FB"/>
    <w:rsid w:val="00C37948"/>
    <w:rsid w:val="00C40D09"/>
    <w:rsid w:val="00C41DBA"/>
    <w:rsid w:val="00C43104"/>
    <w:rsid w:val="00C4395C"/>
    <w:rsid w:val="00C4441B"/>
    <w:rsid w:val="00C44B08"/>
    <w:rsid w:val="00C45CE9"/>
    <w:rsid w:val="00C46A30"/>
    <w:rsid w:val="00C4711A"/>
    <w:rsid w:val="00C47491"/>
    <w:rsid w:val="00C47BA5"/>
    <w:rsid w:val="00C51A52"/>
    <w:rsid w:val="00C51B19"/>
    <w:rsid w:val="00C52F61"/>
    <w:rsid w:val="00C53DD4"/>
    <w:rsid w:val="00C544AC"/>
    <w:rsid w:val="00C54F45"/>
    <w:rsid w:val="00C551C1"/>
    <w:rsid w:val="00C55687"/>
    <w:rsid w:val="00C56985"/>
    <w:rsid w:val="00C56D6C"/>
    <w:rsid w:val="00C57C4E"/>
    <w:rsid w:val="00C57E5A"/>
    <w:rsid w:val="00C607CE"/>
    <w:rsid w:val="00C60DEB"/>
    <w:rsid w:val="00C62638"/>
    <w:rsid w:val="00C62BE2"/>
    <w:rsid w:val="00C63C02"/>
    <w:rsid w:val="00C642D9"/>
    <w:rsid w:val="00C647F6"/>
    <w:rsid w:val="00C6569E"/>
    <w:rsid w:val="00C65EFA"/>
    <w:rsid w:val="00C668DE"/>
    <w:rsid w:val="00C70C62"/>
    <w:rsid w:val="00C70C91"/>
    <w:rsid w:val="00C710D8"/>
    <w:rsid w:val="00C710EA"/>
    <w:rsid w:val="00C720BD"/>
    <w:rsid w:val="00C7235A"/>
    <w:rsid w:val="00C73376"/>
    <w:rsid w:val="00C73C4B"/>
    <w:rsid w:val="00C75B43"/>
    <w:rsid w:val="00C75D36"/>
    <w:rsid w:val="00C77744"/>
    <w:rsid w:val="00C77E7B"/>
    <w:rsid w:val="00C80479"/>
    <w:rsid w:val="00C804F1"/>
    <w:rsid w:val="00C80BCE"/>
    <w:rsid w:val="00C8179E"/>
    <w:rsid w:val="00C8235F"/>
    <w:rsid w:val="00C82BC0"/>
    <w:rsid w:val="00C83292"/>
    <w:rsid w:val="00C837DA"/>
    <w:rsid w:val="00C83E0E"/>
    <w:rsid w:val="00C84232"/>
    <w:rsid w:val="00C8442B"/>
    <w:rsid w:val="00C84F01"/>
    <w:rsid w:val="00C85A64"/>
    <w:rsid w:val="00C86119"/>
    <w:rsid w:val="00C871D2"/>
    <w:rsid w:val="00C8743F"/>
    <w:rsid w:val="00C87EC6"/>
    <w:rsid w:val="00C90323"/>
    <w:rsid w:val="00C90A9B"/>
    <w:rsid w:val="00C91B65"/>
    <w:rsid w:val="00C9233A"/>
    <w:rsid w:val="00C942BA"/>
    <w:rsid w:val="00C94600"/>
    <w:rsid w:val="00C94721"/>
    <w:rsid w:val="00C9665E"/>
    <w:rsid w:val="00C97CEE"/>
    <w:rsid w:val="00CA0E4C"/>
    <w:rsid w:val="00CA1035"/>
    <w:rsid w:val="00CA14C8"/>
    <w:rsid w:val="00CA1E3B"/>
    <w:rsid w:val="00CA3BEA"/>
    <w:rsid w:val="00CA4335"/>
    <w:rsid w:val="00CA4BB1"/>
    <w:rsid w:val="00CA4D1F"/>
    <w:rsid w:val="00CA4E9B"/>
    <w:rsid w:val="00CA5860"/>
    <w:rsid w:val="00CA714B"/>
    <w:rsid w:val="00CA781F"/>
    <w:rsid w:val="00CA7AB8"/>
    <w:rsid w:val="00CB0CE8"/>
    <w:rsid w:val="00CB0F1C"/>
    <w:rsid w:val="00CB45EE"/>
    <w:rsid w:val="00CB4F71"/>
    <w:rsid w:val="00CB5070"/>
    <w:rsid w:val="00CB601F"/>
    <w:rsid w:val="00CB6958"/>
    <w:rsid w:val="00CB72EE"/>
    <w:rsid w:val="00CB7B95"/>
    <w:rsid w:val="00CB7CA9"/>
    <w:rsid w:val="00CC44D1"/>
    <w:rsid w:val="00CC58A3"/>
    <w:rsid w:val="00CC5F98"/>
    <w:rsid w:val="00CC61C8"/>
    <w:rsid w:val="00CC62B1"/>
    <w:rsid w:val="00CC75CB"/>
    <w:rsid w:val="00CC7A36"/>
    <w:rsid w:val="00CD05C9"/>
    <w:rsid w:val="00CD0A07"/>
    <w:rsid w:val="00CD0BBB"/>
    <w:rsid w:val="00CD23B6"/>
    <w:rsid w:val="00CD2B26"/>
    <w:rsid w:val="00CD318E"/>
    <w:rsid w:val="00CD3CA9"/>
    <w:rsid w:val="00CD43E7"/>
    <w:rsid w:val="00CD520C"/>
    <w:rsid w:val="00CD5AA6"/>
    <w:rsid w:val="00CD61AB"/>
    <w:rsid w:val="00CD7B0E"/>
    <w:rsid w:val="00CE0872"/>
    <w:rsid w:val="00CE10D4"/>
    <w:rsid w:val="00CE1643"/>
    <w:rsid w:val="00CE45D2"/>
    <w:rsid w:val="00CE4F2B"/>
    <w:rsid w:val="00CE6C07"/>
    <w:rsid w:val="00CE7CAB"/>
    <w:rsid w:val="00CE7F0E"/>
    <w:rsid w:val="00CF0FFA"/>
    <w:rsid w:val="00CF2229"/>
    <w:rsid w:val="00CF4D33"/>
    <w:rsid w:val="00CF553B"/>
    <w:rsid w:val="00CF64DB"/>
    <w:rsid w:val="00CF6D4E"/>
    <w:rsid w:val="00CF7213"/>
    <w:rsid w:val="00CF7EBC"/>
    <w:rsid w:val="00D003E6"/>
    <w:rsid w:val="00D008E1"/>
    <w:rsid w:val="00D01C8E"/>
    <w:rsid w:val="00D022B0"/>
    <w:rsid w:val="00D02A59"/>
    <w:rsid w:val="00D02FB1"/>
    <w:rsid w:val="00D036E0"/>
    <w:rsid w:val="00D048F2"/>
    <w:rsid w:val="00D04A77"/>
    <w:rsid w:val="00D064D6"/>
    <w:rsid w:val="00D065B8"/>
    <w:rsid w:val="00D06ADD"/>
    <w:rsid w:val="00D077F9"/>
    <w:rsid w:val="00D107D8"/>
    <w:rsid w:val="00D11BA3"/>
    <w:rsid w:val="00D12F56"/>
    <w:rsid w:val="00D14D17"/>
    <w:rsid w:val="00D15B59"/>
    <w:rsid w:val="00D16400"/>
    <w:rsid w:val="00D16856"/>
    <w:rsid w:val="00D16E3F"/>
    <w:rsid w:val="00D16EE4"/>
    <w:rsid w:val="00D16F00"/>
    <w:rsid w:val="00D17694"/>
    <w:rsid w:val="00D20129"/>
    <w:rsid w:val="00D20393"/>
    <w:rsid w:val="00D20995"/>
    <w:rsid w:val="00D20CC5"/>
    <w:rsid w:val="00D20FFD"/>
    <w:rsid w:val="00D216B8"/>
    <w:rsid w:val="00D21B81"/>
    <w:rsid w:val="00D21C87"/>
    <w:rsid w:val="00D230AC"/>
    <w:rsid w:val="00D23350"/>
    <w:rsid w:val="00D2353B"/>
    <w:rsid w:val="00D235B8"/>
    <w:rsid w:val="00D23EB6"/>
    <w:rsid w:val="00D25540"/>
    <w:rsid w:val="00D31C2B"/>
    <w:rsid w:val="00D33604"/>
    <w:rsid w:val="00D337F8"/>
    <w:rsid w:val="00D341C9"/>
    <w:rsid w:val="00D343BB"/>
    <w:rsid w:val="00D36023"/>
    <w:rsid w:val="00D36370"/>
    <w:rsid w:val="00D3696B"/>
    <w:rsid w:val="00D36E4D"/>
    <w:rsid w:val="00D3787B"/>
    <w:rsid w:val="00D40D79"/>
    <w:rsid w:val="00D4251D"/>
    <w:rsid w:val="00D43E32"/>
    <w:rsid w:val="00D447D6"/>
    <w:rsid w:val="00D44A8B"/>
    <w:rsid w:val="00D4546F"/>
    <w:rsid w:val="00D4581F"/>
    <w:rsid w:val="00D46CD2"/>
    <w:rsid w:val="00D475CD"/>
    <w:rsid w:val="00D507EF"/>
    <w:rsid w:val="00D51C8B"/>
    <w:rsid w:val="00D51D30"/>
    <w:rsid w:val="00D5201E"/>
    <w:rsid w:val="00D5510D"/>
    <w:rsid w:val="00D576E5"/>
    <w:rsid w:val="00D5786A"/>
    <w:rsid w:val="00D621E9"/>
    <w:rsid w:val="00D632EF"/>
    <w:rsid w:val="00D64650"/>
    <w:rsid w:val="00D6682A"/>
    <w:rsid w:val="00D6682C"/>
    <w:rsid w:val="00D66FE6"/>
    <w:rsid w:val="00D70C21"/>
    <w:rsid w:val="00D71ADE"/>
    <w:rsid w:val="00D73F71"/>
    <w:rsid w:val="00D756C2"/>
    <w:rsid w:val="00D75929"/>
    <w:rsid w:val="00D75D49"/>
    <w:rsid w:val="00D75FE4"/>
    <w:rsid w:val="00D7694A"/>
    <w:rsid w:val="00D7710C"/>
    <w:rsid w:val="00D771F2"/>
    <w:rsid w:val="00D775B1"/>
    <w:rsid w:val="00D775FE"/>
    <w:rsid w:val="00D80C3A"/>
    <w:rsid w:val="00D81E08"/>
    <w:rsid w:val="00D8249F"/>
    <w:rsid w:val="00D82D53"/>
    <w:rsid w:val="00D8342A"/>
    <w:rsid w:val="00D83FDD"/>
    <w:rsid w:val="00D8417E"/>
    <w:rsid w:val="00D84E29"/>
    <w:rsid w:val="00D85457"/>
    <w:rsid w:val="00D85642"/>
    <w:rsid w:val="00D86A67"/>
    <w:rsid w:val="00D9193C"/>
    <w:rsid w:val="00D91BAB"/>
    <w:rsid w:val="00D91FF6"/>
    <w:rsid w:val="00D935D0"/>
    <w:rsid w:val="00D93E34"/>
    <w:rsid w:val="00D93E4F"/>
    <w:rsid w:val="00D94432"/>
    <w:rsid w:val="00D94A8D"/>
    <w:rsid w:val="00D951C5"/>
    <w:rsid w:val="00D95584"/>
    <w:rsid w:val="00D958D1"/>
    <w:rsid w:val="00DA0C75"/>
    <w:rsid w:val="00DA0E2C"/>
    <w:rsid w:val="00DA29BD"/>
    <w:rsid w:val="00DA3455"/>
    <w:rsid w:val="00DA3FD1"/>
    <w:rsid w:val="00DA41E5"/>
    <w:rsid w:val="00DA4A21"/>
    <w:rsid w:val="00DA5605"/>
    <w:rsid w:val="00DA59C9"/>
    <w:rsid w:val="00DA5D2C"/>
    <w:rsid w:val="00DA675E"/>
    <w:rsid w:val="00DA683D"/>
    <w:rsid w:val="00DA7DDB"/>
    <w:rsid w:val="00DB008D"/>
    <w:rsid w:val="00DB0536"/>
    <w:rsid w:val="00DB0E4E"/>
    <w:rsid w:val="00DB218D"/>
    <w:rsid w:val="00DB27E8"/>
    <w:rsid w:val="00DB2C7F"/>
    <w:rsid w:val="00DB564F"/>
    <w:rsid w:val="00DB5F1F"/>
    <w:rsid w:val="00DB6257"/>
    <w:rsid w:val="00DB6ED7"/>
    <w:rsid w:val="00DB793C"/>
    <w:rsid w:val="00DB7FB5"/>
    <w:rsid w:val="00DC06CB"/>
    <w:rsid w:val="00DC12E3"/>
    <w:rsid w:val="00DC1846"/>
    <w:rsid w:val="00DC1F3C"/>
    <w:rsid w:val="00DC2418"/>
    <w:rsid w:val="00DC2A4D"/>
    <w:rsid w:val="00DC2D53"/>
    <w:rsid w:val="00DC48FF"/>
    <w:rsid w:val="00DC77CC"/>
    <w:rsid w:val="00DD101D"/>
    <w:rsid w:val="00DD18BE"/>
    <w:rsid w:val="00DD2CCC"/>
    <w:rsid w:val="00DD3784"/>
    <w:rsid w:val="00DD4D7F"/>
    <w:rsid w:val="00DD6A3C"/>
    <w:rsid w:val="00DD6C1C"/>
    <w:rsid w:val="00DD71A8"/>
    <w:rsid w:val="00DD795F"/>
    <w:rsid w:val="00DE01D0"/>
    <w:rsid w:val="00DE19F6"/>
    <w:rsid w:val="00DE26E9"/>
    <w:rsid w:val="00DE2A18"/>
    <w:rsid w:val="00DE471F"/>
    <w:rsid w:val="00DE4DC7"/>
    <w:rsid w:val="00DE4EEE"/>
    <w:rsid w:val="00DE639D"/>
    <w:rsid w:val="00DE73A6"/>
    <w:rsid w:val="00DE74B1"/>
    <w:rsid w:val="00DE7BA9"/>
    <w:rsid w:val="00DF2A58"/>
    <w:rsid w:val="00DF312C"/>
    <w:rsid w:val="00DF32B4"/>
    <w:rsid w:val="00DF3EBA"/>
    <w:rsid w:val="00DF4949"/>
    <w:rsid w:val="00DF648D"/>
    <w:rsid w:val="00DF6673"/>
    <w:rsid w:val="00DF74A8"/>
    <w:rsid w:val="00DF78A1"/>
    <w:rsid w:val="00E00BDA"/>
    <w:rsid w:val="00E01241"/>
    <w:rsid w:val="00E017DF"/>
    <w:rsid w:val="00E024DD"/>
    <w:rsid w:val="00E02A37"/>
    <w:rsid w:val="00E02C5A"/>
    <w:rsid w:val="00E02FCE"/>
    <w:rsid w:val="00E0383A"/>
    <w:rsid w:val="00E0388C"/>
    <w:rsid w:val="00E042ED"/>
    <w:rsid w:val="00E0455A"/>
    <w:rsid w:val="00E04E73"/>
    <w:rsid w:val="00E050B6"/>
    <w:rsid w:val="00E05BC4"/>
    <w:rsid w:val="00E05EBD"/>
    <w:rsid w:val="00E061F0"/>
    <w:rsid w:val="00E070B7"/>
    <w:rsid w:val="00E1010D"/>
    <w:rsid w:val="00E107D2"/>
    <w:rsid w:val="00E1182E"/>
    <w:rsid w:val="00E11C46"/>
    <w:rsid w:val="00E1232C"/>
    <w:rsid w:val="00E13532"/>
    <w:rsid w:val="00E13F69"/>
    <w:rsid w:val="00E14120"/>
    <w:rsid w:val="00E15384"/>
    <w:rsid w:val="00E15DDA"/>
    <w:rsid w:val="00E15FAE"/>
    <w:rsid w:val="00E17168"/>
    <w:rsid w:val="00E17A45"/>
    <w:rsid w:val="00E2251A"/>
    <w:rsid w:val="00E253BF"/>
    <w:rsid w:val="00E259F8"/>
    <w:rsid w:val="00E26965"/>
    <w:rsid w:val="00E26FE4"/>
    <w:rsid w:val="00E27568"/>
    <w:rsid w:val="00E304A3"/>
    <w:rsid w:val="00E306AF"/>
    <w:rsid w:val="00E30CFB"/>
    <w:rsid w:val="00E30F85"/>
    <w:rsid w:val="00E31580"/>
    <w:rsid w:val="00E32BA1"/>
    <w:rsid w:val="00E33770"/>
    <w:rsid w:val="00E3453B"/>
    <w:rsid w:val="00E34D39"/>
    <w:rsid w:val="00E35436"/>
    <w:rsid w:val="00E35E76"/>
    <w:rsid w:val="00E370A7"/>
    <w:rsid w:val="00E409F3"/>
    <w:rsid w:val="00E41F55"/>
    <w:rsid w:val="00E436A0"/>
    <w:rsid w:val="00E43D53"/>
    <w:rsid w:val="00E444D8"/>
    <w:rsid w:val="00E45489"/>
    <w:rsid w:val="00E45600"/>
    <w:rsid w:val="00E46A35"/>
    <w:rsid w:val="00E46AD1"/>
    <w:rsid w:val="00E475D3"/>
    <w:rsid w:val="00E50163"/>
    <w:rsid w:val="00E50923"/>
    <w:rsid w:val="00E50EBE"/>
    <w:rsid w:val="00E52E8B"/>
    <w:rsid w:val="00E53F67"/>
    <w:rsid w:val="00E54A00"/>
    <w:rsid w:val="00E54B18"/>
    <w:rsid w:val="00E54E99"/>
    <w:rsid w:val="00E5516D"/>
    <w:rsid w:val="00E569CE"/>
    <w:rsid w:val="00E57100"/>
    <w:rsid w:val="00E60294"/>
    <w:rsid w:val="00E603B9"/>
    <w:rsid w:val="00E60C6C"/>
    <w:rsid w:val="00E6265B"/>
    <w:rsid w:val="00E6289E"/>
    <w:rsid w:val="00E62FC0"/>
    <w:rsid w:val="00E63095"/>
    <w:rsid w:val="00E63513"/>
    <w:rsid w:val="00E64671"/>
    <w:rsid w:val="00E66393"/>
    <w:rsid w:val="00E705CE"/>
    <w:rsid w:val="00E72651"/>
    <w:rsid w:val="00E72B4C"/>
    <w:rsid w:val="00E72FBE"/>
    <w:rsid w:val="00E737A1"/>
    <w:rsid w:val="00E741CF"/>
    <w:rsid w:val="00E74E16"/>
    <w:rsid w:val="00E75145"/>
    <w:rsid w:val="00E751F0"/>
    <w:rsid w:val="00E756EC"/>
    <w:rsid w:val="00E75B97"/>
    <w:rsid w:val="00E76209"/>
    <w:rsid w:val="00E76963"/>
    <w:rsid w:val="00E76E37"/>
    <w:rsid w:val="00E77301"/>
    <w:rsid w:val="00E77471"/>
    <w:rsid w:val="00E7767C"/>
    <w:rsid w:val="00E80F07"/>
    <w:rsid w:val="00E81186"/>
    <w:rsid w:val="00E855DD"/>
    <w:rsid w:val="00E85636"/>
    <w:rsid w:val="00E85D85"/>
    <w:rsid w:val="00E86093"/>
    <w:rsid w:val="00E86CF7"/>
    <w:rsid w:val="00E90C5D"/>
    <w:rsid w:val="00E91080"/>
    <w:rsid w:val="00E92D01"/>
    <w:rsid w:val="00E9444F"/>
    <w:rsid w:val="00E94F13"/>
    <w:rsid w:val="00E951A6"/>
    <w:rsid w:val="00E96832"/>
    <w:rsid w:val="00EA0F9D"/>
    <w:rsid w:val="00EA20CD"/>
    <w:rsid w:val="00EA2F4F"/>
    <w:rsid w:val="00EA3266"/>
    <w:rsid w:val="00EA36B3"/>
    <w:rsid w:val="00EA4378"/>
    <w:rsid w:val="00EA455F"/>
    <w:rsid w:val="00EA46B8"/>
    <w:rsid w:val="00EA4813"/>
    <w:rsid w:val="00EA6A55"/>
    <w:rsid w:val="00EA73AF"/>
    <w:rsid w:val="00EB086D"/>
    <w:rsid w:val="00EB0EC6"/>
    <w:rsid w:val="00EB19D7"/>
    <w:rsid w:val="00EB2D18"/>
    <w:rsid w:val="00EB2E41"/>
    <w:rsid w:val="00EB41A6"/>
    <w:rsid w:val="00EB6089"/>
    <w:rsid w:val="00EB670E"/>
    <w:rsid w:val="00EB6D7C"/>
    <w:rsid w:val="00EB7426"/>
    <w:rsid w:val="00EB7982"/>
    <w:rsid w:val="00EC0A51"/>
    <w:rsid w:val="00EC13DF"/>
    <w:rsid w:val="00EC17ED"/>
    <w:rsid w:val="00EC17F0"/>
    <w:rsid w:val="00EC2001"/>
    <w:rsid w:val="00EC3C05"/>
    <w:rsid w:val="00EC627F"/>
    <w:rsid w:val="00EC7A8A"/>
    <w:rsid w:val="00ED0DDD"/>
    <w:rsid w:val="00ED2024"/>
    <w:rsid w:val="00ED2FCE"/>
    <w:rsid w:val="00ED2FF4"/>
    <w:rsid w:val="00ED4301"/>
    <w:rsid w:val="00ED439A"/>
    <w:rsid w:val="00ED4AC8"/>
    <w:rsid w:val="00ED4E6F"/>
    <w:rsid w:val="00ED56E1"/>
    <w:rsid w:val="00ED5C99"/>
    <w:rsid w:val="00ED6E33"/>
    <w:rsid w:val="00ED726D"/>
    <w:rsid w:val="00EE00D9"/>
    <w:rsid w:val="00EE0E96"/>
    <w:rsid w:val="00EE1F36"/>
    <w:rsid w:val="00EE2291"/>
    <w:rsid w:val="00EE25F2"/>
    <w:rsid w:val="00EE41C4"/>
    <w:rsid w:val="00EE4F40"/>
    <w:rsid w:val="00EE56DC"/>
    <w:rsid w:val="00EE593F"/>
    <w:rsid w:val="00EE6C2B"/>
    <w:rsid w:val="00EE70C8"/>
    <w:rsid w:val="00EE7EBE"/>
    <w:rsid w:val="00EF0DEE"/>
    <w:rsid w:val="00EF0F0F"/>
    <w:rsid w:val="00EF157A"/>
    <w:rsid w:val="00EF1A3D"/>
    <w:rsid w:val="00EF30D5"/>
    <w:rsid w:val="00EF42F9"/>
    <w:rsid w:val="00EF4FED"/>
    <w:rsid w:val="00EF5409"/>
    <w:rsid w:val="00EF58F5"/>
    <w:rsid w:val="00EF5A4B"/>
    <w:rsid w:val="00EF6D5A"/>
    <w:rsid w:val="00EF6FCD"/>
    <w:rsid w:val="00EF791B"/>
    <w:rsid w:val="00F000D4"/>
    <w:rsid w:val="00F0087A"/>
    <w:rsid w:val="00F013EC"/>
    <w:rsid w:val="00F02C96"/>
    <w:rsid w:val="00F0331C"/>
    <w:rsid w:val="00F03592"/>
    <w:rsid w:val="00F035FC"/>
    <w:rsid w:val="00F04831"/>
    <w:rsid w:val="00F06702"/>
    <w:rsid w:val="00F101A2"/>
    <w:rsid w:val="00F1127B"/>
    <w:rsid w:val="00F12CC9"/>
    <w:rsid w:val="00F12F9F"/>
    <w:rsid w:val="00F13090"/>
    <w:rsid w:val="00F147E2"/>
    <w:rsid w:val="00F15209"/>
    <w:rsid w:val="00F15E39"/>
    <w:rsid w:val="00F1602F"/>
    <w:rsid w:val="00F16927"/>
    <w:rsid w:val="00F17EE4"/>
    <w:rsid w:val="00F203CF"/>
    <w:rsid w:val="00F20F32"/>
    <w:rsid w:val="00F21FB2"/>
    <w:rsid w:val="00F225D1"/>
    <w:rsid w:val="00F22741"/>
    <w:rsid w:val="00F22F28"/>
    <w:rsid w:val="00F239C0"/>
    <w:rsid w:val="00F24C36"/>
    <w:rsid w:val="00F25926"/>
    <w:rsid w:val="00F30582"/>
    <w:rsid w:val="00F30EF0"/>
    <w:rsid w:val="00F314EC"/>
    <w:rsid w:val="00F3208C"/>
    <w:rsid w:val="00F32FF1"/>
    <w:rsid w:val="00F33081"/>
    <w:rsid w:val="00F33164"/>
    <w:rsid w:val="00F35375"/>
    <w:rsid w:val="00F353AC"/>
    <w:rsid w:val="00F355C6"/>
    <w:rsid w:val="00F3657A"/>
    <w:rsid w:val="00F37953"/>
    <w:rsid w:val="00F37A52"/>
    <w:rsid w:val="00F408F8"/>
    <w:rsid w:val="00F40EE6"/>
    <w:rsid w:val="00F4191E"/>
    <w:rsid w:val="00F42065"/>
    <w:rsid w:val="00F4487A"/>
    <w:rsid w:val="00F45865"/>
    <w:rsid w:val="00F50C60"/>
    <w:rsid w:val="00F51608"/>
    <w:rsid w:val="00F523E9"/>
    <w:rsid w:val="00F52E10"/>
    <w:rsid w:val="00F532F4"/>
    <w:rsid w:val="00F54AAE"/>
    <w:rsid w:val="00F557DA"/>
    <w:rsid w:val="00F561DB"/>
    <w:rsid w:val="00F605FA"/>
    <w:rsid w:val="00F6084B"/>
    <w:rsid w:val="00F617FA"/>
    <w:rsid w:val="00F618BD"/>
    <w:rsid w:val="00F62A10"/>
    <w:rsid w:val="00F62F2B"/>
    <w:rsid w:val="00F64103"/>
    <w:rsid w:val="00F6543F"/>
    <w:rsid w:val="00F67C14"/>
    <w:rsid w:val="00F70391"/>
    <w:rsid w:val="00F71EDD"/>
    <w:rsid w:val="00F738EC"/>
    <w:rsid w:val="00F73E97"/>
    <w:rsid w:val="00F75D56"/>
    <w:rsid w:val="00F773F7"/>
    <w:rsid w:val="00F77792"/>
    <w:rsid w:val="00F800F0"/>
    <w:rsid w:val="00F802FE"/>
    <w:rsid w:val="00F8036B"/>
    <w:rsid w:val="00F80399"/>
    <w:rsid w:val="00F8152B"/>
    <w:rsid w:val="00F8201A"/>
    <w:rsid w:val="00F8422F"/>
    <w:rsid w:val="00F84AE0"/>
    <w:rsid w:val="00F84C23"/>
    <w:rsid w:val="00F85713"/>
    <w:rsid w:val="00F860FD"/>
    <w:rsid w:val="00F864F1"/>
    <w:rsid w:val="00F8668E"/>
    <w:rsid w:val="00F868CE"/>
    <w:rsid w:val="00F86E3A"/>
    <w:rsid w:val="00F87336"/>
    <w:rsid w:val="00F87418"/>
    <w:rsid w:val="00F87867"/>
    <w:rsid w:val="00F87B60"/>
    <w:rsid w:val="00F90DEF"/>
    <w:rsid w:val="00F9139E"/>
    <w:rsid w:val="00F927D4"/>
    <w:rsid w:val="00F92AE3"/>
    <w:rsid w:val="00F92D6B"/>
    <w:rsid w:val="00F941AB"/>
    <w:rsid w:val="00F942BC"/>
    <w:rsid w:val="00F94642"/>
    <w:rsid w:val="00F94840"/>
    <w:rsid w:val="00F9542E"/>
    <w:rsid w:val="00F95B44"/>
    <w:rsid w:val="00F9760A"/>
    <w:rsid w:val="00F97632"/>
    <w:rsid w:val="00FA12E4"/>
    <w:rsid w:val="00FA1E67"/>
    <w:rsid w:val="00FA2950"/>
    <w:rsid w:val="00FA2CE1"/>
    <w:rsid w:val="00FA3921"/>
    <w:rsid w:val="00FA393A"/>
    <w:rsid w:val="00FA3AE0"/>
    <w:rsid w:val="00FA46A5"/>
    <w:rsid w:val="00FA49F7"/>
    <w:rsid w:val="00FA58F3"/>
    <w:rsid w:val="00FA5ADE"/>
    <w:rsid w:val="00FA636B"/>
    <w:rsid w:val="00FA64EE"/>
    <w:rsid w:val="00FB0D97"/>
    <w:rsid w:val="00FB0E95"/>
    <w:rsid w:val="00FB1358"/>
    <w:rsid w:val="00FB15DB"/>
    <w:rsid w:val="00FB16A6"/>
    <w:rsid w:val="00FB52D2"/>
    <w:rsid w:val="00FB56D4"/>
    <w:rsid w:val="00FB7604"/>
    <w:rsid w:val="00FB7C39"/>
    <w:rsid w:val="00FC0B13"/>
    <w:rsid w:val="00FC0BD9"/>
    <w:rsid w:val="00FC0E01"/>
    <w:rsid w:val="00FC21B8"/>
    <w:rsid w:val="00FC2D26"/>
    <w:rsid w:val="00FC3EBC"/>
    <w:rsid w:val="00FC3ECA"/>
    <w:rsid w:val="00FC5C05"/>
    <w:rsid w:val="00FC7302"/>
    <w:rsid w:val="00FD1443"/>
    <w:rsid w:val="00FD17F8"/>
    <w:rsid w:val="00FD2CFE"/>
    <w:rsid w:val="00FD3010"/>
    <w:rsid w:val="00FD304E"/>
    <w:rsid w:val="00FD392B"/>
    <w:rsid w:val="00FD3DC7"/>
    <w:rsid w:val="00FD3FFE"/>
    <w:rsid w:val="00FD476F"/>
    <w:rsid w:val="00FD4FB0"/>
    <w:rsid w:val="00FD65FE"/>
    <w:rsid w:val="00FD6A04"/>
    <w:rsid w:val="00FE11C1"/>
    <w:rsid w:val="00FE2024"/>
    <w:rsid w:val="00FE20DC"/>
    <w:rsid w:val="00FE2A52"/>
    <w:rsid w:val="00FE2ED1"/>
    <w:rsid w:val="00FE34DF"/>
    <w:rsid w:val="00FE3B95"/>
    <w:rsid w:val="00FE3E73"/>
    <w:rsid w:val="00FE448D"/>
    <w:rsid w:val="00FE6628"/>
    <w:rsid w:val="00FF1F9A"/>
    <w:rsid w:val="00FF3114"/>
    <w:rsid w:val="00FF3358"/>
    <w:rsid w:val="00FF44C8"/>
    <w:rsid w:val="00FF45CD"/>
    <w:rsid w:val="00FF6E1B"/>
    <w:rsid w:val="00FF7031"/>
    <w:rsid w:val="00FF7510"/>
    <w:rsid w:val="01DD649E"/>
    <w:rsid w:val="01F1836F"/>
    <w:rsid w:val="025ABC79"/>
    <w:rsid w:val="02F2D4E9"/>
    <w:rsid w:val="03978953"/>
    <w:rsid w:val="04D8C738"/>
    <w:rsid w:val="0517CC5D"/>
    <w:rsid w:val="058A919D"/>
    <w:rsid w:val="06027681"/>
    <w:rsid w:val="063A2A0D"/>
    <w:rsid w:val="06775D3E"/>
    <w:rsid w:val="07C6460C"/>
    <w:rsid w:val="07EE741C"/>
    <w:rsid w:val="0808C910"/>
    <w:rsid w:val="08C152DD"/>
    <w:rsid w:val="09084128"/>
    <w:rsid w:val="09C78ACC"/>
    <w:rsid w:val="0A41AA78"/>
    <w:rsid w:val="0B4CF03E"/>
    <w:rsid w:val="0BED8182"/>
    <w:rsid w:val="0C1F9778"/>
    <w:rsid w:val="0C28BD1B"/>
    <w:rsid w:val="0C79A4F7"/>
    <w:rsid w:val="0C99B72F"/>
    <w:rsid w:val="0CA1A4B5"/>
    <w:rsid w:val="0CF9198F"/>
    <w:rsid w:val="0DC2CFE2"/>
    <w:rsid w:val="0E2DBE17"/>
    <w:rsid w:val="0EF96AB4"/>
    <w:rsid w:val="0F72D054"/>
    <w:rsid w:val="0FBD82CC"/>
    <w:rsid w:val="0FD157F1"/>
    <w:rsid w:val="0FF7264C"/>
    <w:rsid w:val="10B9C2B7"/>
    <w:rsid w:val="115A647C"/>
    <w:rsid w:val="117515D8"/>
    <w:rsid w:val="119F1E02"/>
    <w:rsid w:val="129B6200"/>
    <w:rsid w:val="1340CC2E"/>
    <w:rsid w:val="134A9E7C"/>
    <w:rsid w:val="1356CC2D"/>
    <w:rsid w:val="13BD2EAE"/>
    <w:rsid w:val="1409199D"/>
    <w:rsid w:val="149D5F4F"/>
    <w:rsid w:val="15659A38"/>
    <w:rsid w:val="157726B2"/>
    <w:rsid w:val="16728F25"/>
    <w:rsid w:val="17548BB2"/>
    <w:rsid w:val="17F933AD"/>
    <w:rsid w:val="180E5F86"/>
    <w:rsid w:val="18BE422F"/>
    <w:rsid w:val="18E4E2C1"/>
    <w:rsid w:val="198027BD"/>
    <w:rsid w:val="19C1DE96"/>
    <w:rsid w:val="1A668C29"/>
    <w:rsid w:val="1ABB5605"/>
    <w:rsid w:val="1B5A16F8"/>
    <w:rsid w:val="1B8DADD4"/>
    <w:rsid w:val="1C1097D2"/>
    <w:rsid w:val="1CBFDA78"/>
    <w:rsid w:val="1CD5D1FF"/>
    <w:rsid w:val="1CE1D0A9"/>
    <w:rsid w:val="1EE43D60"/>
    <w:rsid w:val="1FD1E02E"/>
    <w:rsid w:val="1FEF6941"/>
    <w:rsid w:val="200C1C59"/>
    <w:rsid w:val="202F577F"/>
    <w:rsid w:val="208F3D41"/>
    <w:rsid w:val="21010D09"/>
    <w:rsid w:val="229250D8"/>
    <w:rsid w:val="22A46467"/>
    <w:rsid w:val="22ED491F"/>
    <w:rsid w:val="23B67AA2"/>
    <w:rsid w:val="23C1A5D8"/>
    <w:rsid w:val="246205B3"/>
    <w:rsid w:val="24BA2A78"/>
    <w:rsid w:val="260B233D"/>
    <w:rsid w:val="2642B19F"/>
    <w:rsid w:val="26D50D4E"/>
    <w:rsid w:val="26F9469A"/>
    <w:rsid w:val="27A3F4BE"/>
    <w:rsid w:val="27FA7B26"/>
    <w:rsid w:val="28010961"/>
    <w:rsid w:val="28DBC8DA"/>
    <w:rsid w:val="29339F03"/>
    <w:rsid w:val="2ACE1766"/>
    <w:rsid w:val="2B4AE93B"/>
    <w:rsid w:val="2C2515E1"/>
    <w:rsid w:val="2C53AFAE"/>
    <w:rsid w:val="2CC59A1C"/>
    <w:rsid w:val="2D2BEF83"/>
    <w:rsid w:val="2D7137AD"/>
    <w:rsid w:val="2DB44285"/>
    <w:rsid w:val="2E2ED8C4"/>
    <w:rsid w:val="2E3960F2"/>
    <w:rsid w:val="2F3FF68A"/>
    <w:rsid w:val="303FC04C"/>
    <w:rsid w:val="3189BF6C"/>
    <w:rsid w:val="31AE036A"/>
    <w:rsid w:val="33DCC883"/>
    <w:rsid w:val="34B783A4"/>
    <w:rsid w:val="3582C253"/>
    <w:rsid w:val="35EBB6C1"/>
    <w:rsid w:val="36378B4E"/>
    <w:rsid w:val="369CB483"/>
    <w:rsid w:val="376CDCA1"/>
    <w:rsid w:val="37B7D08F"/>
    <w:rsid w:val="383B3E92"/>
    <w:rsid w:val="391EBD39"/>
    <w:rsid w:val="392B1EF2"/>
    <w:rsid w:val="398F9570"/>
    <w:rsid w:val="39C53CA4"/>
    <w:rsid w:val="39EEE1E0"/>
    <w:rsid w:val="3A3525CD"/>
    <w:rsid w:val="3A860033"/>
    <w:rsid w:val="3B012095"/>
    <w:rsid w:val="3B21F342"/>
    <w:rsid w:val="3B490EEB"/>
    <w:rsid w:val="3C22DA48"/>
    <w:rsid w:val="3C54CFF8"/>
    <w:rsid w:val="3C959212"/>
    <w:rsid w:val="3CB9320C"/>
    <w:rsid w:val="3CEB5B6A"/>
    <w:rsid w:val="3D561B2A"/>
    <w:rsid w:val="3D63F168"/>
    <w:rsid w:val="3DD01D1C"/>
    <w:rsid w:val="3DE58694"/>
    <w:rsid w:val="3E92DF66"/>
    <w:rsid w:val="3EB90B2A"/>
    <w:rsid w:val="3EC66DD1"/>
    <w:rsid w:val="3EF4A3CF"/>
    <w:rsid w:val="3F01217B"/>
    <w:rsid w:val="3F8F7D78"/>
    <w:rsid w:val="3FF02BFC"/>
    <w:rsid w:val="409BBC31"/>
    <w:rsid w:val="413F3F99"/>
    <w:rsid w:val="41A38A10"/>
    <w:rsid w:val="425068AE"/>
    <w:rsid w:val="425D0A47"/>
    <w:rsid w:val="4278F36F"/>
    <w:rsid w:val="428E332E"/>
    <w:rsid w:val="42C4117C"/>
    <w:rsid w:val="43213341"/>
    <w:rsid w:val="432DF2B8"/>
    <w:rsid w:val="436C06A1"/>
    <w:rsid w:val="43CA769D"/>
    <w:rsid w:val="4430BAA8"/>
    <w:rsid w:val="44BCD239"/>
    <w:rsid w:val="451C5CE3"/>
    <w:rsid w:val="4543EE0E"/>
    <w:rsid w:val="454AD01A"/>
    <w:rsid w:val="4613BFE5"/>
    <w:rsid w:val="46414D3F"/>
    <w:rsid w:val="468161B8"/>
    <w:rsid w:val="46D43D19"/>
    <w:rsid w:val="46D58189"/>
    <w:rsid w:val="46ED400D"/>
    <w:rsid w:val="48C51D35"/>
    <w:rsid w:val="491A2AA3"/>
    <w:rsid w:val="497AA6D4"/>
    <w:rsid w:val="4A045CF5"/>
    <w:rsid w:val="4A4DD280"/>
    <w:rsid w:val="4A70302F"/>
    <w:rsid w:val="4B7DE6B3"/>
    <w:rsid w:val="4B925C94"/>
    <w:rsid w:val="4C3E1703"/>
    <w:rsid w:val="4D513ABD"/>
    <w:rsid w:val="4D7B1CFF"/>
    <w:rsid w:val="4D9A0FCB"/>
    <w:rsid w:val="4F29C976"/>
    <w:rsid w:val="4F88D8E5"/>
    <w:rsid w:val="51C6A99E"/>
    <w:rsid w:val="529D7F90"/>
    <w:rsid w:val="5334C7C2"/>
    <w:rsid w:val="53FDEC0A"/>
    <w:rsid w:val="53FF6298"/>
    <w:rsid w:val="54E6DC90"/>
    <w:rsid w:val="576E23A0"/>
    <w:rsid w:val="57C319C2"/>
    <w:rsid w:val="5808A4AA"/>
    <w:rsid w:val="583C66C6"/>
    <w:rsid w:val="5865752F"/>
    <w:rsid w:val="58D5DFE7"/>
    <w:rsid w:val="5961F0B8"/>
    <w:rsid w:val="5A8CB785"/>
    <w:rsid w:val="5AD40C54"/>
    <w:rsid w:val="5B8DEC11"/>
    <w:rsid w:val="5D86D542"/>
    <w:rsid w:val="5E1D1AF3"/>
    <w:rsid w:val="5E1F0712"/>
    <w:rsid w:val="5FA5ECEB"/>
    <w:rsid w:val="5FC47B39"/>
    <w:rsid w:val="5FE4FCED"/>
    <w:rsid w:val="603F582E"/>
    <w:rsid w:val="61762AAC"/>
    <w:rsid w:val="622CFB31"/>
    <w:rsid w:val="62DD52DB"/>
    <w:rsid w:val="62F622DF"/>
    <w:rsid w:val="63C41EA1"/>
    <w:rsid w:val="6412C300"/>
    <w:rsid w:val="6440A6BD"/>
    <w:rsid w:val="6507D0D5"/>
    <w:rsid w:val="65E0191E"/>
    <w:rsid w:val="660F68ED"/>
    <w:rsid w:val="6618F819"/>
    <w:rsid w:val="664E9BC9"/>
    <w:rsid w:val="66B0BE0B"/>
    <w:rsid w:val="685B3442"/>
    <w:rsid w:val="6999B219"/>
    <w:rsid w:val="6A89E6B6"/>
    <w:rsid w:val="6A8BE990"/>
    <w:rsid w:val="6ADC0F90"/>
    <w:rsid w:val="6BECA165"/>
    <w:rsid w:val="6C1B1750"/>
    <w:rsid w:val="6E21E05F"/>
    <w:rsid w:val="6E676146"/>
    <w:rsid w:val="6EDF3B20"/>
    <w:rsid w:val="6FB2342A"/>
    <w:rsid w:val="6FB6D6C1"/>
    <w:rsid w:val="6FBE38B9"/>
    <w:rsid w:val="7036664C"/>
    <w:rsid w:val="70B90104"/>
    <w:rsid w:val="70D827D4"/>
    <w:rsid w:val="743882BE"/>
    <w:rsid w:val="751C2E37"/>
    <w:rsid w:val="75ADDC59"/>
    <w:rsid w:val="75C203D8"/>
    <w:rsid w:val="765D6032"/>
    <w:rsid w:val="76F5A746"/>
    <w:rsid w:val="78F58064"/>
    <w:rsid w:val="794BF2A2"/>
    <w:rsid w:val="79C22299"/>
    <w:rsid w:val="7A3F1E1D"/>
    <w:rsid w:val="7B34BDEA"/>
    <w:rsid w:val="7B629434"/>
    <w:rsid w:val="7CDC2CB2"/>
    <w:rsid w:val="7CEBF35F"/>
    <w:rsid w:val="7D2D287F"/>
    <w:rsid w:val="7D40860F"/>
    <w:rsid w:val="7D44C92F"/>
    <w:rsid w:val="7E1F63C5"/>
    <w:rsid w:val="7E7886C8"/>
    <w:rsid w:val="7F4B3631"/>
    <w:rsid w:val="7F750EA3"/>
    <w:rsid w:val="7FB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59C6D"/>
  <w15:chartTrackingRefBased/>
  <w15:docId w15:val="{C3845BE6-E937-45C3-8CB0-571E0AAD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6B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A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A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A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B7A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1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B7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1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2B7A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A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1C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7A1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A1C"/>
    <w:pPr>
      <w:spacing w:after="120"/>
    </w:pPr>
    <w:rPr>
      <w:rFonts w:ascii="Calibri" w:eastAsiaTheme="minorEastAsia" w:hAnsi="Calibri" w:cstheme="minorBidi"/>
      <w:sz w:val="22"/>
      <w:szCs w:val="22"/>
      <w:lang w:val="sv-SE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A1C"/>
    <w:rPr>
      <w:rFonts w:ascii="Calibri" w:hAnsi="Calibri"/>
      <w:lang w:val="sv-SE"/>
    </w:rPr>
  </w:style>
  <w:style w:type="character" w:styleId="Hyperlink">
    <w:name w:val="Hyperlink"/>
    <w:basedOn w:val="DefaultParagraphFont"/>
    <w:uiPriority w:val="99"/>
    <w:unhideWhenUsed/>
    <w:rsid w:val="002B7A1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81A"/>
    <w:pPr>
      <w:spacing w:after="0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81A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13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13F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37413F"/>
    <w:rPr>
      <w:vertAlign w:val="superscript"/>
    </w:rPr>
  </w:style>
  <w:style w:type="paragraph" w:customStyle="1" w:styleId="paragraph">
    <w:name w:val="paragraph"/>
    <w:basedOn w:val="Normal"/>
    <w:rsid w:val="00E76209"/>
    <w:pPr>
      <w:spacing w:before="100" w:beforeAutospacing="1" w:after="100" w:afterAutospacing="1"/>
    </w:pPr>
    <w:rPr>
      <w:rFonts w:ascii="Times New Roman" w:hAnsi="Times New Roman"/>
      <w:szCs w:val="24"/>
      <w:lang w:val="en-AU" w:eastAsia="ja-JP"/>
    </w:rPr>
  </w:style>
  <w:style w:type="character" w:customStyle="1" w:styleId="normaltextrun">
    <w:name w:val="normaltextrun"/>
    <w:basedOn w:val="DefaultParagraphFont"/>
    <w:rsid w:val="00E76209"/>
  </w:style>
  <w:style w:type="character" w:customStyle="1" w:styleId="eop">
    <w:name w:val="eop"/>
    <w:basedOn w:val="DefaultParagraphFont"/>
    <w:rsid w:val="00E76209"/>
  </w:style>
  <w:style w:type="paragraph" w:styleId="NormalWeb">
    <w:name w:val="Normal (Web)"/>
    <w:basedOn w:val="Normal"/>
    <w:uiPriority w:val="99"/>
    <w:unhideWhenUsed/>
    <w:rsid w:val="009318A8"/>
    <w:pPr>
      <w:spacing w:before="100" w:beforeAutospacing="1" w:after="100" w:afterAutospacing="1"/>
    </w:pPr>
    <w:rPr>
      <w:rFonts w:ascii="Times New Roman" w:hAnsi="Times New Roman"/>
      <w:szCs w:val="24"/>
      <w:lang w:val="en-AU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C73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5B8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261B38"/>
    <w:rPr>
      <w:vertAlign w:val="superscript"/>
    </w:rPr>
  </w:style>
  <w:style w:type="paragraph" w:styleId="Revision">
    <w:name w:val="Revision"/>
    <w:hidden/>
    <w:uiPriority w:val="99"/>
    <w:semiHidden/>
    <w:rsid w:val="00F8668E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7D2EB4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1136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488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488F"/>
    <w:rPr>
      <w:rFonts w:eastAsia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70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wedwatch.org/publication/companies-impact-womens-rights-and-social-conflict-in-liberia-and-sierra-leon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wedwatch.org/wp-content/uploads/2017/12/87_Turning-the-tid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commission/presscorner/detail/en/ip_23_319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wedwatch.org/wp-content/uploads/2016/12/swedwatch_-_rena_guldgruvan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cGUwyCb4jn4&amp;t=5s" TargetMode="External"/><Relationship Id="rId2" Type="http://schemas.openxmlformats.org/officeDocument/2006/relationships/hyperlink" Target="https://www.finance-watch.org/esg-ratings-must-disaggregate-esg-parameters-to-repair-sustainable-investors-trust/" TargetMode="External"/><Relationship Id="rId1" Type="http://schemas.openxmlformats.org/officeDocument/2006/relationships/hyperlink" Target="https://ec.europa.eu/commission/presscorner/detail/en/ip_23_31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9F9E7F-510C-418D-B05D-A665A897EB86}">
  <we:reference id="wa104382081" version="1.7.0.0" store="en-001" storeType="OMEX"/>
  <we:alternateReferences>
    <we:reference id="WA104382081" version="1.7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5e5363-379b-4480-9448-73efe99cab00">
      <UserInfo>
        <DisplayName>Ami Hedenborg</DisplayName>
        <AccountId>156</AccountId>
        <AccountType/>
      </UserInfo>
    </SharedWithUsers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10" ma:contentTypeDescription="Create a new document." ma:contentTypeScope="" ma:versionID="e768454c1c95fe8a9e98764537a50d9c">
  <xsd:schema xmlns:xsd="http://www.w3.org/2001/XMLSchema" xmlns:xs="http://www.w3.org/2001/XMLSchema" xmlns:p="http://schemas.microsoft.com/office/2006/metadata/properties" xmlns:ns1="89040124-3724-453e-9e0f-d53a96d17322" xmlns:ns3="a35e5363-379b-4480-9448-73efe99cab00" targetNamespace="http://schemas.microsoft.com/office/2006/metadata/properties" ma:root="true" ma:fieldsID="aeb17c3e3a8a31bbae2be52e8535f8cc" ns1:_="" ns3:_="">
    <xsd:import namespace="89040124-3724-453e-9e0f-d53a96d17322"/>
    <xsd:import namespace="a35e5363-379b-4480-9448-73efe99cab00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5363-379b-4480-9448-73efe99ca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E185F-220A-4A32-B91A-23CEBD9FA5E2}">
  <ds:schemaRefs>
    <ds:schemaRef ds:uri="http://schemas.microsoft.com/office/2006/metadata/properties"/>
    <ds:schemaRef ds:uri="http://schemas.microsoft.com/office/infopath/2007/PartnerControls"/>
    <ds:schemaRef ds:uri="b387f93a-ca5e-43ff-912a-d520567cc483"/>
    <ds:schemaRef ds:uri="470afefa-d9e0-45e2-b4ac-9400f981fd78"/>
  </ds:schemaRefs>
</ds:datastoreItem>
</file>

<file path=customXml/itemProps2.xml><?xml version="1.0" encoding="utf-8"?>
<ds:datastoreItem xmlns:ds="http://schemas.openxmlformats.org/officeDocument/2006/customXml" ds:itemID="{FF987AAD-F8CC-4AAA-A9FB-F6DE38185E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B2328-B00A-450A-8F8F-E5FA134F35ED}"/>
</file>

<file path=customXml/itemProps4.xml><?xml version="1.0" encoding="utf-8"?>
<ds:datastoreItem xmlns:ds="http://schemas.openxmlformats.org/officeDocument/2006/customXml" ds:itemID="{DCDAF954-04FB-40C0-B684-B40DDFC95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2244</Words>
  <Characters>12796</Characters>
  <Application>Microsoft Office Word</Application>
  <DocSecurity>0</DocSecurity>
  <Lines>106</Lines>
  <Paragraphs>30</Paragraphs>
  <ScaleCrop>false</ScaleCrop>
  <Company/>
  <LinksUpToDate>false</LinksUpToDate>
  <CharactersWithSpaces>15010</CharactersWithSpaces>
  <SharedDoc>false</SharedDoc>
  <HLinks>
    <vt:vector size="42" baseType="variant">
      <vt:variant>
        <vt:i4>4784141</vt:i4>
      </vt:variant>
      <vt:variant>
        <vt:i4>9</vt:i4>
      </vt:variant>
      <vt:variant>
        <vt:i4>0</vt:i4>
      </vt:variant>
      <vt:variant>
        <vt:i4>5</vt:i4>
      </vt:variant>
      <vt:variant>
        <vt:lpwstr>https://swedwatch.org/publication/companies-impact-womens-rights-and-social-conflict-in-liberia-and-sierra-leone/</vt:lpwstr>
      </vt:variant>
      <vt:variant>
        <vt:lpwstr/>
      </vt:variant>
      <vt:variant>
        <vt:i4>6946828</vt:i4>
      </vt:variant>
      <vt:variant>
        <vt:i4>6</vt:i4>
      </vt:variant>
      <vt:variant>
        <vt:i4>0</vt:i4>
      </vt:variant>
      <vt:variant>
        <vt:i4>5</vt:i4>
      </vt:variant>
      <vt:variant>
        <vt:lpwstr>https://swedwatch.org/wp-content/uploads/2017/12/87_Turning-the-tide.pdf</vt:lpwstr>
      </vt:variant>
      <vt:variant>
        <vt:lpwstr/>
      </vt:variant>
      <vt:variant>
        <vt:i4>7602270</vt:i4>
      </vt:variant>
      <vt:variant>
        <vt:i4>3</vt:i4>
      </vt:variant>
      <vt:variant>
        <vt:i4>0</vt:i4>
      </vt:variant>
      <vt:variant>
        <vt:i4>5</vt:i4>
      </vt:variant>
      <vt:variant>
        <vt:lpwstr>https://swedwatch.org/wp-content/uploads/2016/12/swedwatch_-_rena_guldgruvan.pdf</vt:lpwstr>
      </vt:variant>
      <vt:variant>
        <vt:lpwstr/>
      </vt:variant>
      <vt:variant>
        <vt:i4>8126574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https://ec.europa.eu/commission/presscorner/detail/en/ip_23_3192</vt:lpwstr>
      </vt:variant>
      <vt:variant>
        <vt:lpwstr/>
      </vt:variant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https://www.youtube.com/watch?v=cGUwyCb4jn4&amp;t=5s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>https://www.finance-watch.org/esg-ratings-must-disaggregate-esg-parameters-to-repair-sustainable-investors-trust/</vt:lpwstr>
      </vt:variant>
      <vt:variant>
        <vt:lpwstr/>
      </vt:variant>
      <vt:variant>
        <vt:i4>8126574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https://ec.europa.eu/commission/presscorner/detail/en/ip_23_3192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Yayoi Fujita</dc:creator>
  <cp:keywords/>
  <dc:description/>
  <cp:lastModifiedBy>Yayoi Fujita Lagerqvist</cp:lastModifiedBy>
  <cp:revision>956</cp:revision>
  <dcterms:created xsi:type="dcterms:W3CDTF">2023-09-23T04:28:00Z</dcterms:created>
  <dcterms:modified xsi:type="dcterms:W3CDTF">2023-10-13T16:04:00Z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077949e6-4a6a-3319-b470-e67996e084f4</vt:lpwstr>
  </property>
  <property fmtid="{D5CDD505-2E9C-101B-9397-08002B2CF9AE}" pid="5" name="Mendeley Citation Style_1">
    <vt:lpwstr>http://www.zotero.org/styles/chicago-annotated-bibliography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6th edition</vt:lpwstr>
  </property>
  <property fmtid="{D5CDD505-2E9C-101B-9397-08002B2CF9AE}" pid="10" name="Mendeley Recent Style Id 2_1">
    <vt:lpwstr>http://www.zotero.org/styles/chicago-note-bibliography</vt:lpwstr>
  </property>
  <property fmtid="{D5CDD505-2E9C-101B-9397-08002B2CF9AE}" pid="11" name="Mendeley Recent Style Name 2_1">
    <vt:lpwstr>Chicago Manual of Style 17th edition (note)</vt:lpwstr>
  </property>
  <property fmtid="{D5CDD505-2E9C-101B-9397-08002B2CF9AE}" pid="12" name="Mendeley Recent Style Id 3_1">
    <vt:lpwstr>http://www.zotero.org/styles/chicago-annotated-bibliography</vt:lpwstr>
  </property>
  <property fmtid="{D5CDD505-2E9C-101B-9397-08002B2CF9AE}" pid="13" name="Mendeley Recent Style Name 3_1">
    <vt:lpwstr>Chicago Manual of Style 17th edition (note, annotated bibliography)</vt:lpwstr>
  </property>
  <property fmtid="{D5CDD505-2E9C-101B-9397-08002B2CF9AE}" pid="14" name="Mendeley Recent Style Id 4_1">
    <vt:lpwstr>http://csl.mendeley.com/styles/559981491/chicago-annotated-bibliography-Swedwatch</vt:lpwstr>
  </property>
  <property fmtid="{D5CDD505-2E9C-101B-9397-08002B2CF9AE}" pid="15" name="Mendeley Recent Style Name 4_1">
    <vt:lpwstr>Chicago Manual of Style 17th edition (note, annotated bibliography) Swedwatch - Yayoi Lagerqvist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http://www.zotero.org/styles/harvard-manchester-business-school</vt:lpwstr>
  </property>
  <property fmtid="{D5CDD505-2E9C-101B-9397-08002B2CF9AE}" pid="19" name="Mendeley Recent Style Name 6_1">
    <vt:lpwstr>Manchester Business School - Harvard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MediaServiceImageTags">
    <vt:lpwstr/>
  </property>
</Properties>
</file>