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06D8" w14:textId="73F8D434" w:rsidR="00606ED5" w:rsidRPr="00B403FB" w:rsidRDefault="00B403FB" w:rsidP="00B403FB">
      <w:pPr>
        <w:pStyle w:val="paragraph"/>
        <w:spacing w:before="0" w:beforeAutospacing="0" w:after="0" w:afterAutospacing="0"/>
        <w:jc w:val="center"/>
        <w:textAlignment w:val="baseline"/>
        <w:rPr>
          <w:rFonts w:asciiTheme="minorHAnsi" w:hAnsiTheme="minorHAnsi" w:cstheme="minorHAnsi"/>
          <w:b/>
          <w:bCs/>
        </w:rPr>
      </w:pPr>
      <w:r w:rsidRPr="00B403FB">
        <w:rPr>
          <w:rStyle w:val="normaltextrun"/>
          <w:rFonts w:asciiTheme="minorHAnsi" w:hAnsiTheme="minorHAnsi" w:cstheme="minorHAnsi"/>
          <w:b/>
          <w:bCs/>
          <w:lang w:val="en-ZW"/>
        </w:rPr>
        <w:t xml:space="preserve">Zimbabwe Environmental Law Association (ZELA) </w:t>
      </w:r>
      <w:r w:rsidRPr="00B403FB">
        <w:rPr>
          <w:rStyle w:val="normaltextrun"/>
          <w:rFonts w:asciiTheme="minorHAnsi" w:hAnsiTheme="minorHAnsi" w:cstheme="minorHAnsi"/>
          <w:b/>
          <w:bCs/>
          <w:lang w:val="en-ZW"/>
        </w:rPr>
        <w:t xml:space="preserve">input into the </w:t>
      </w:r>
      <w:r w:rsidR="00606ED5" w:rsidRPr="00B403FB">
        <w:rPr>
          <w:rStyle w:val="normaltextrun"/>
          <w:rFonts w:asciiTheme="minorHAnsi" w:hAnsiTheme="minorHAnsi" w:cstheme="minorHAnsi"/>
          <w:b/>
          <w:bCs/>
        </w:rPr>
        <w:t>UN Working Group on Business and Human Rights</w:t>
      </w:r>
    </w:p>
    <w:p w14:paraId="079A8AE0" w14:textId="77BA32A5" w:rsidR="00606ED5" w:rsidRPr="00B403FB" w:rsidRDefault="00606ED5" w:rsidP="00B403FB">
      <w:pPr>
        <w:pStyle w:val="paragraph"/>
        <w:spacing w:before="0" w:beforeAutospacing="0" w:after="0" w:afterAutospacing="0"/>
        <w:jc w:val="center"/>
        <w:textAlignment w:val="baseline"/>
        <w:rPr>
          <w:rFonts w:asciiTheme="minorHAnsi" w:hAnsiTheme="minorHAnsi" w:cstheme="minorHAnsi"/>
          <w:b/>
          <w:bCs/>
        </w:rPr>
      </w:pPr>
      <w:r w:rsidRPr="00B403FB">
        <w:rPr>
          <w:rStyle w:val="normaltextrun"/>
          <w:rFonts w:asciiTheme="minorHAnsi" w:hAnsiTheme="minorHAnsi" w:cstheme="minorHAnsi"/>
          <w:b/>
          <w:bCs/>
        </w:rPr>
        <w:t>Investors, ESG and Human Rights</w:t>
      </w:r>
    </w:p>
    <w:p w14:paraId="4ECE7756" w14:textId="3D35CDE4" w:rsidR="00606ED5" w:rsidRPr="00B403FB" w:rsidRDefault="00606ED5" w:rsidP="00B403FB">
      <w:pPr>
        <w:pStyle w:val="paragraph"/>
        <w:spacing w:before="0" w:beforeAutospacing="0" w:after="0" w:afterAutospacing="0"/>
        <w:jc w:val="center"/>
        <w:textAlignment w:val="baseline"/>
        <w:rPr>
          <w:rFonts w:asciiTheme="minorHAnsi" w:hAnsiTheme="minorHAnsi" w:cstheme="minorHAnsi"/>
          <w:b/>
          <w:bCs/>
        </w:rPr>
      </w:pPr>
      <w:r w:rsidRPr="00B403FB">
        <w:rPr>
          <w:rStyle w:val="normaltextrun"/>
          <w:rFonts w:asciiTheme="minorHAnsi" w:hAnsiTheme="minorHAnsi" w:cstheme="minorHAnsi"/>
          <w:b/>
          <w:bCs/>
        </w:rPr>
        <w:t>30 September 2023</w:t>
      </w:r>
    </w:p>
    <w:p w14:paraId="61C4EE6A"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r w:rsidRPr="00B403FB">
        <w:rPr>
          <w:rStyle w:val="eop"/>
          <w:rFonts w:asciiTheme="minorHAnsi" w:hAnsiTheme="minorHAnsi" w:cstheme="minorHAnsi"/>
        </w:rPr>
        <w:t> </w:t>
      </w:r>
    </w:p>
    <w:p w14:paraId="5AFB3FFC"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lang w:val="en-US"/>
        </w:rPr>
      </w:pPr>
      <w:r w:rsidRPr="00B403FB">
        <w:rPr>
          <w:rStyle w:val="normaltextrun"/>
          <w:rFonts w:asciiTheme="minorHAnsi" w:hAnsiTheme="minorHAnsi" w:cstheme="minorHAnsi"/>
          <w:lang w:val="en-ZW"/>
        </w:rPr>
        <w:t xml:space="preserve">Zimbabwe Environmental Law Association (ZELA) exist to fight against socio-economic injustices and to promote the rights of marginalised and vulnerable communities in natural resource rich areas in Zimbabwe, and Southern Africa. </w:t>
      </w:r>
      <w:r w:rsidRPr="00B403FB">
        <w:rPr>
          <w:rStyle w:val="normaltextrun"/>
          <w:rFonts w:asciiTheme="minorHAnsi" w:hAnsiTheme="minorHAnsi" w:cstheme="minorHAnsi"/>
        </w:rPr>
        <w:t xml:space="preserve">Evidence from ZELA’s programming indicates that host mining communities suffer from the violation of economic environmental, </w:t>
      </w:r>
      <w:proofErr w:type="gramStart"/>
      <w:r w:rsidRPr="00B403FB">
        <w:rPr>
          <w:rStyle w:val="normaltextrun"/>
          <w:rFonts w:asciiTheme="minorHAnsi" w:hAnsiTheme="minorHAnsi" w:cstheme="minorHAnsi"/>
        </w:rPr>
        <w:t>social</w:t>
      </w:r>
      <w:proofErr w:type="gramEnd"/>
      <w:r w:rsidRPr="00B403FB">
        <w:rPr>
          <w:rStyle w:val="normaltextrun"/>
          <w:rFonts w:asciiTheme="minorHAnsi" w:hAnsiTheme="minorHAnsi" w:cstheme="minorHAnsi"/>
        </w:rPr>
        <w:t xml:space="preserve"> and cultural rights by state and business actors. Issues such as forced relocations, no or inadequate compensation, water and air pollution, environmental degradation and violation of customary burying grounds are common cause. Below </w:t>
      </w:r>
      <w:proofErr w:type="gramStart"/>
      <w:r w:rsidRPr="00B403FB">
        <w:rPr>
          <w:rStyle w:val="normaltextrun"/>
          <w:rFonts w:asciiTheme="minorHAnsi" w:hAnsiTheme="minorHAnsi" w:cstheme="minorHAnsi"/>
        </w:rPr>
        <w:t>is</w:t>
      </w:r>
      <w:proofErr w:type="gramEnd"/>
      <w:r w:rsidRPr="00B403FB">
        <w:rPr>
          <w:rStyle w:val="normaltextrun"/>
          <w:rFonts w:asciiTheme="minorHAnsi" w:hAnsiTheme="minorHAnsi" w:cstheme="minorHAnsi"/>
        </w:rPr>
        <w:t xml:space="preserve"> our responses to the United Nations Working Group on Business and Human Rights input from stakeholders to take stock of implementation of the Guiding Principles on Business and Human Rights (UNGPs), and emerging issues relating to investors and Environmental, Social, and Governance (ESG). </w:t>
      </w:r>
      <w:r w:rsidRPr="00B403FB">
        <w:rPr>
          <w:rStyle w:val="eop"/>
          <w:rFonts w:asciiTheme="minorHAnsi" w:hAnsiTheme="minorHAnsi" w:cstheme="minorHAnsi"/>
          <w:lang w:val="en-US"/>
        </w:rPr>
        <w:t> </w:t>
      </w:r>
    </w:p>
    <w:p w14:paraId="73D27A77"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lang w:val="en-US"/>
        </w:rPr>
      </w:pPr>
      <w:r w:rsidRPr="00B403FB">
        <w:rPr>
          <w:rStyle w:val="eop"/>
          <w:rFonts w:asciiTheme="minorHAnsi" w:hAnsiTheme="minorHAnsi" w:cstheme="minorHAnsi"/>
          <w:lang w:val="en-US"/>
        </w:rPr>
        <w:t> </w:t>
      </w:r>
    </w:p>
    <w:p w14:paraId="29AC9D07" w14:textId="20BBABA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lang w:val="en-US"/>
        </w:rPr>
      </w:pPr>
    </w:p>
    <w:p w14:paraId="5E10D3A8"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b/>
          <w:bCs/>
          <w:i/>
          <w:iCs/>
          <w:lang w:val="en-US"/>
        </w:rPr>
      </w:pPr>
      <w:r w:rsidRPr="00B403FB">
        <w:rPr>
          <w:rStyle w:val="eop"/>
          <w:rFonts w:asciiTheme="minorHAnsi" w:hAnsiTheme="minorHAnsi" w:cstheme="minorHAnsi"/>
          <w:lang w:val="en-US"/>
        </w:rPr>
        <w:t> </w:t>
      </w:r>
    </w:p>
    <w:p w14:paraId="64C4BF15" w14:textId="16DCDED8" w:rsidR="003444BC" w:rsidRPr="00B403FB" w:rsidRDefault="003444BC" w:rsidP="00B403FB">
      <w:pPr>
        <w:pStyle w:val="paragraph"/>
        <w:spacing w:before="0" w:beforeAutospacing="0" w:after="0" w:afterAutospacing="0"/>
        <w:jc w:val="both"/>
        <w:textAlignment w:val="baseline"/>
        <w:rPr>
          <w:rStyle w:val="normaltextrun"/>
          <w:rFonts w:asciiTheme="minorHAnsi" w:hAnsiTheme="minorHAnsi" w:cstheme="minorHAnsi"/>
          <w:b/>
          <w:bCs/>
          <w:i/>
          <w:iCs/>
        </w:rPr>
      </w:pPr>
      <w:r w:rsidRPr="00B403FB">
        <w:rPr>
          <w:rStyle w:val="normaltextrun"/>
          <w:rFonts w:asciiTheme="minorHAnsi" w:hAnsiTheme="minorHAnsi" w:cstheme="minorHAnsi"/>
          <w:b/>
          <w:bCs/>
          <w:color w:val="000000"/>
          <w:shd w:val="clear" w:color="auto" w:fill="FFFFFF"/>
        </w:rPr>
        <w:t>What do you understand Environmental, Social, and Governance (ESG) in finance to mean? How are human rights standards and frameworks considered by investors, if at all, in ESG?</w:t>
      </w:r>
      <w:r w:rsidRPr="00B403FB">
        <w:rPr>
          <w:rStyle w:val="eop"/>
          <w:rFonts w:asciiTheme="minorHAnsi" w:hAnsiTheme="minorHAnsi" w:cstheme="minorHAnsi"/>
          <w:b/>
          <w:bCs/>
          <w:color w:val="000000"/>
          <w:shd w:val="clear" w:color="auto" w:fill="FFFFFF"/>
        </w:rPr>
        <w:t> </w:t>
      </w:r>
    </w:p>
    <w:p w14:paraId="318758C8" w14:textId="77777777" w:rsidR="003444BC" w:rsidRPr="00B403FB" w:rsidRDefault="003444BC" w:rsidP="00B403FB">
      <w:pPr>
        <w:pStyle w:val="paragraph"/>
        <w:spacing w:before="0" w:beforeAutospacing="0" w:after="0" w:afterAutospacing="0"/>
        <w:jc w:val="both"/>
        <w:textAlignment w:val="baseline"/>
        <w:rPr>
          <w:rStyle w:val="normaltextrun"/>
          <w:rFonts w:asciiTheme="minorHAnsi" w:hAnsiTheme="minorHAnsi" w:cstheme="minorHAnsi"/>
          <w:b/>
          <w:bCs/>
          <w:i/>
          <w:iCs/>
        </w:rPr>
      </w:pPr>
    </w:p>
    <w:p w14:paraId="67142406" w14:textId="66471859" w:rsidR="003444BC" w:rsidRPr="00B403FB" w:rsidRDefault="003444BC" w:rsidP="00B403FB">
      <w:pPr>
        <w:pStyle w:val="paragraph"/>
        <w:spacing w:before="0" w:beforeAutospacing="0" w:after="0" w:afterAutospacing="0"/>
        <w:jc w:val="both"/>
        <w:textAlignment w:val="baseline"/>
        <w:rPr>
          <w:rStyle w:val="normaltextrun"/>
          <w:rFonts w:asciiTheme="minorHAnsi" w:hAnsiTheme="minorHAnsi" w:cstheme="minorHAnsi"/>
          <w:b/>
          <w:bCs/>
          <w:i/>
          <w:iCs/>
        </w:rPr>
      </w:pPr>
      <w:r w:rsidRPr="00B403FB">
        <w:rPr>
          <w:rFonts w:asciiTheme="minorHAnsi" w:hAnsiTheme="minorHAnsi" w:cstheme="minorHAnsi"/>
          <w:lang w:val="en-US"/>
        </w:rPr>
        <w:t>Environmental, Social and Governance (ESG) standards are a set of non-financial performance indicators. Investors typically use them to assess a company’s performance from a sustainability and societal impact perspective, to inform investment decisions, and companies typically use them to de-risk a project and measure their risk profile for investors.</w:t>
      </w:r>
      <w:r w:rsidRPr="00B403FB">
        <w:rPr>
          <w:rFonts w:asciiTheme="minorHAnsi" w:hAnsiTheme="minorHAnsi" w:cstheme="minorHAnsi"/>
        </w:rPr>
        <w:t xml:space="preserve"> The International Council of Mining and Metals (ICMM) launched the performance indicators on environmental, social and governance (ESG) criteria looking at aspects including biodiversity, diversity, pollution and waste, human </w:t>
      </w:r>
      <w:proofErr w:type="gramStart"/>
      <w:r w:rsidRPr="00B403FB">
        <w:rPr>
          <w:rFonts w:asciiTheme="minorHAnsi" w:hAnsiTheme="minorHAnsi" w:cstheme="minorHAnsi"/>
        </w:rPr>
        <w:t>rights</w:t>
      </w:r>
      <w:proofErr w:type="gramEnd"/>
      <w:r w:rsidRPr="00B403FB">
        <w:rPr>
          <w:rFonts w:asciiTheme="minorHAnsi" w:hAnsiTheme="minorHAnsi" w:cstheme="minorHAnsi"/>
        </w:rPr>
        <w:t xml:space="preserve"> and mine closure.</w:t>
      </w:r>
      <w:r w:rsidRPr="00B403FB">
        <w:rPr>
          <w:rFonts w:asciiTheme="minorHAnsi" w:hAnsiTheme="minorHAnsi" w:cstheme="minorHAnsi"/>
          <w:vertAlign w:val="superscript"/>
        </w:rPr>
        <w:footnoteReference w:id="1"/>
      </w:r>
      <w:r w:rsidRPr="00B403FB">
        <w:rPr>
          <w:rFonts w:asciiTheme="minorHAnsi" w:hAnsiTheme="minorHAnsi" w:cstheme="minorHAnsi"/>
        </w:rPr>
        <w:t xml:space="preserve"> These principles are hinged on establishing relationships between a mine and the host community which requires mining companies to demonstrate supply chain integrity and transparency. As such, some progressive </w:t>
      </w:r>
      <w:r w:rsidRPr="00B403FB">
        <w:rPr>
          <w:rFonts w:asciiTheme="minorHAnsi" w:hAnsiTheme="minorHAnsi" w:cstheme="minorHAnsi"/>
          <w:lang w:val="en-US"/>
        </w:rPr>
        <w:t xml:space="preserve">mining companies are moving in the direction of developing mining-specific standards on ESG to guide monitoring and disclosures, beyond the current independent reporting requirements under national legal </w:t>
      </w:r>
      <w:proofErr w:type="gramStart"/>
      <w:r w:rsidRPr="00B403FB">
        <w:rPr>
          <w:rFonts w:asciiTheme="minorHAnsi" w:hAnsiTheme="minorHAnsi" w:cstheme="minorHAnsi"/>
          <w:lang w:val="en-US"/>
        </w:rPr>
        <w:t>frameworks</w:t>
      </w:r>
      <w:proofErr w:type="gramEnd"/>
    </w:p>
    <w:p w14:paraId="25A27674" w14:textId="77777777" w:rsidR="003444BC" w:rsidRPr="00B403FB" w:rsidRDefault="003444BC" w:rsidP="00B403FB">
      <w:pPr>
        <w:pStyle w:val="paragraph"/>
        <w:spacing w:before="0" w:beforeAutospacing="0" w:after="0" w:afterAutospacing="0"/>
        <w:jc w:val="both"/>
        <w:textAlignment w:val="baseline"/>
        <w:rPr>
          <w:rStyle w:val="normaltextrun"/>
          <w:rFonts w:asciiTheme="minorHAnsi" w:hAnsiTheme="minorHAnsi" w:cstheme="minorHAnsi"/>
          <w:b/>
          <w:bCs/>
          <w:i/>
          <w:iCs/>
        </w:rPr>
      </w:pPr>
    </w:p>
    <w:p w14:paraId="4694C420" w14:textId="0AB6E601" w:rsidR="00606ED5" w:rsidRPr="00B403FB" w:rsidRDefault="00606ED5" w:rsidP="00B403FB">
      <w:pPr>
        <w:pStyle w:val="paragraph"/>
        <w:spacing w:before="0" w:beforeAutospacing="0" w:after="0" w:afterAutospacing="0"/>
        <w:jc w:val="both"/>
        <w:textAlignment w:val="baseline"/>
        <w:rPr>
          <w:rStyle w:val="eop"/>
          <w:rFonts w:asciiTheme="minorHAnsi" w:hAnsiTheme="minorHAnsi" w:cstheme="minorHAnsi"/>
          <w:b/>
          <w:bCs/>
          <w:i/>
          <w:iCs/>
        </w:rPr>
      </w:pPr>
      <w:r w:rsidRPr="00B403FB">
        <w:rPr>
          <w:rStyle w:val="normaltextrun"/>
          <w:rFonts w:asciiTheme="minorHAnsi" w:hAnsiTheme="minorHAnsi" w:cstheme="minorHAnsi"/>
          <w:b/>
          <w:bCs/>
          <w:i/>
          <w:iCs/>
        </w:rPr>
        <w:t>Which are the main types of investors using ESG approaches, for example, in decision-making or engagements? On what basis are they making decisions on human rights, climate change and other related matters?</w:t>
      </w:r>
      <w:r w:rsidRPr="00B403FB">
        <w:rPr>
          <w:rStyle w:val="eop"/>
          <w:rFonts w:asciiTheme="minorHAnsi" w:hAnsiTheme="minorHAnsi" w:cstheme="minorHAnsi"/>
          <w:b/>
          <w:bCs/>
          <w:i/>
          <w:iCs/>
          <w:color w:val="D13438"/>
        </w:rPr>
        <w:t> </w:t>
      </w:r>
    </w:p>
    <w:p w14:paraId="2838A917" w14:textId="77777777" w:rsidR="00606ED5" w:rsidRPr="00B403FB" w:rsidRDefault="00606ED5" w:rsidP="00B403FB">
      <w:pPr>
        <w:pStyle w:val="paragraph"/>
        <w:spacing w:before="0" w:beforeAutospacing="0" w:after="0" w:afterAutospacing="0"/>
        <w:ind w:left="1080"/>
        <w:jc w:val="both"/>
        <w:textAlignment w:val="baseline"/>
        <w:rPr>
          <w:rFonts w:asciiTheme="minorHAnsi" w:hAnsiTheme="minorHAnsi" w:cstheme="minorHAnsi"/>
        </w:rPr>
      </w:pPr>
    </w:p>
    <w:p w14:paraId="5434CF46"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r w:rsidRPr="00B403FB">
        <w:rPr>
          <w:rStyle w:val="normaltextrun"/>
          <w:rFonts w:asciiTheme="minorHAnsi" w:hAnsiTheme="minorHAnsi" w:cstheme="minorHAnsi"/>
        </w:rPr>
        <w:t>The main type of investors that are using ESG approaches are those that are mandated to disclose sustainability information by virtue of the stock exchanges they are listed on. They utilise the different metrics for reporting ESG issues as guided by their stock exchange listing. Their decisions on human rights, climate change and other related matters are based on their internal policies on these issues and their performance after using such polices as benchmarks.</w:t>
      </w:r>
      <w:r w:rsidRPr="00B403FB">
        <w:rPr>
          <w:rStyle w:val="eop"/>
          <w:rFonts w:asciiTheme="minorHAnsi" w:hAnsiTheme="minorHAnsi" w:cstheme="minorHAnsi"/>
        </w:rPr>
        <w:t> </w:t>
      </w:r>
    </w:p>
    <w:p w14:paraId="78F13139" w14:textId="77777777" w:rsidR="00606ED5" w:rsidRPr="00B403FB" w:rsidRDefault="00606ED5" w:rsidP="00B403FB">
      <w:pPr>
        <w:pStyle w:val="paragraph"/>
        <w:spacing w:before="0" w:beforeAutospacing="0" w:after="0" w:afterAutospacing="0"/>
        <w:jc w:val="both"/>
        <w:textAlignment w:val="baseline"/>
        <w:rPr>
          <w:rStyle w:val="normaltextrun"/>
          <w:rFonts w:asciiTheme="minorHAnsi" w:hAnsiTheme="minorHAnsi" w:cstheme="minorHAnsi"/>
        </w:rPr>
      </w:pPr>
    </w:p>
    <w:p w14:paraId="09008D7F" w14:textId="7739A162"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b/>
          <w:bCs/>
        </w:rPr>
      </w:pPr>
      <w:r w:rsidRPr="00B403FB">
        <w:rPr>
          <w:rStyle w:val="normaltextrun"/>
          <w:rFonts w:asciiTheme="minorHAnsi" w:hAnsiTheme="minorHAnsi" w:cstheme="minorHAnsi"/>
          <w:b/>
          <w:bCs/>
        </w:rPr>
        <w:lastRenderedPageBreak/>
        <w:t>To what extent do ESG approaches present constraints or opportunities for investors and businesses overall?</w:t>
      </w:r>
      <w:r w:rsidRPr="00B403FB">
        <w:rPr>
          <w:rStyle w:val="eop"/>
          <w:rFonts w:asciiTheme="minorHAnsi" w:hAnsiTheme="minorHAnsi" w:cstheme="minorHAnsi"/>
          <w:b/>
          <w:bCs/>
        </w:rPr>
        <w:t> </w:t>
      </w:r>
    </w:p>
    <w:p w14:paraId="3C6251A4" w14:textId="77777777" w:rsidR="00606ED5" w:rsidRPr="00B403FB" w:rsidRDefault="00606ED5" w:rsidP="00B403FB">
      <w:pPr>
        <w:pStyle w:val="paragraph"/>
        <w:spacing w:before="0" w:beforeAutospacing="0" w:after="0" w:afterAutospacing="0"/>
        <w:jc w:val="both"/>
        <w:textAlignment w:val="baseline"/>
        <w:rPr>
          <w:rStyle w:val="tabchar"/>
          <w:rFonts w:asciiTheme="minorHAnsi" w:hAnsiTheme="minorHAnsi" w:cstheme="minorHAnsi"/>
        </w:rPr>
      </w:pPr>
      <w:r w:rsidRPr="00B403FB">
        <w:rPr>
          <w:rStyle w:val="normaltextrun"/>
          <w:rFonts w:asciiTheme="minorHAnsi" w:hAnsiTheme="minorHAnsi" w:cstheme="minorHAnsi"/>
        </w:rPr>
        <w:t xml:space="preserve">ESG approaches present an opportunity for investors to clearly assess the impacts of the business they are investing in before making a commitment in such a business. By critically analysing the sustainability reports that are produced by the investors, they can see what impacts that business has on the various aspects which can help safeguard human rights of the respective communities. ESG approaches provide an opportunity for businesses to benchmark their policy commitments and actual actions on the ground to see how they are doing based on the metrics of measurement. ESG approaches provide an opportunity for </w:t>
      </w:r>
      <w:proofErr w:type="spellStart"/>
      <w:r w:rsidRPr="00B403FB">
        <w:rPr>
          <w:rStyle w:val="normaltextrun"/>
          <w:rFonts w:asciiTheme="minorHAnsi" w:hAnsiTheme="minorHAnsi" w:cstheme="minorHAnsi"/>
        </w:rPr>
        <w:t>self assessment</w:t>
      </w:r>
      <w:proofErr w:type="spellEnd"/>
      <w:r w:rsidRPr="00B403FB">
        <w:rPr>
          <w:rStyle w:val="normaltextrun"/>
          <w:rFonts w:asciiTheme="minorHAnsi" w:hAnsiTheme="minorHAnsi" w:cstheme="minorHAnsi"/>
        </w:rPr>
        <w:t>.</w:t>
      </w:r>
      <w:r w:rsidRPr="00B403FB">
        <w:rPr>
          <w:rStyle w:val="tabchar"/>
          <w:rFonts w:asciiTheme="minorHAnsi" w:hAnsiTheme="minorHAnsi" w:cstheme="minorHAnsi"/>
        </w:rPr>
        <w:tab/>
      </w:r>
    </w:p>
    <w:p w14:paraId="2FE64FAB" w14:textId="5D6531A5"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r w:rsidRPr="00B403FB">
        <w:rPr>
          <w:rStyle w:val="eop"/>
          <w:rFonts w:asciiTheme="minorHAnsi" w:hAnsiTheme="minorHAnsi" w:cstheme="minorHAnsi"/>
          <w:lang w:val="en-US"/>
        </w:rPr>
        <w:t> </w:t>
      </w:r>
    </w:p>
    <w:p w14:paraId="318B20E6" w14:textId="77777777" w:rsidR="00606ED5" w:rsidRPr="00B403FB" w:rsidRDefault="00606ED5" w:rsidP="00B403FB">
      <w:pPr>
        <w:pStyle w:val="paragraph"/>
        <w:spacing w:before="0" w:beforeAutospacing="0" w:after="0" w:afterAutospacing="0"/>
        <w:jc w:val="both"/>
        <w:textAlignment w:val="baseline"/>
        <w:rPr>
          <w:rStyle w:val="eop"/>
          <w:rFonts w:asciiTheme="minorHAnsi" w:hAnsiTheme="minorHAnsi" w:cstheme="minorHAnsi"/>
        </w:rPr>
      </w:pPr>
      <w:r w:rsidRPr="00B403FB">
        <w:rPr>
          <w:rStyle w:val="normaltextrun"/>
          <w:rFonts w:asciiTheme="minorHAnsi" w:hAnsiTheme="minorHAnsi" w:cstheme="minorHAnsi"/>
          <w:b/>
          <w:bCs/>
        </w:rPr>
        <w:t xml:space="preserve">State duty to protect human </w:t>
      </w:r>
      <w:proofErr w:type="gramStart"/>
      <w:r w:rsidRPr="00B403FB">
        <w:rPr>
          <w:rStyle w:val="normaltextrun"/>
          <w:rFonts w:asciiTheme="minorHAnsi" w:hAnsiTheme="minorHAnsi" w:cstheme="minorHAnsi"/>
          <w:b/>
          <w:bCs/>
        </w:rPr>
        <w:t>rights</w:t>
      </w:r>
      <w:proofErr w:type="gramEnd"/>
      <w:r w:rsidRPr="00B403FB">
        <w:rPr>
          <w:rStyle w:val="eop"/>
          <w:rFonts w:asciiTheme="minorHAnsi" w:hAnsiTheme="minorHAnsi" w:cstheme="minorHAnsi"/>
        </w:rPr>
        <w:t> </w:t>
      </w:r>
    </w:p>
    <w:p w14:paraId="00EFFAE3" w14:textId="77777777" w:rsidR="003444BC" w:rsidRPr="00B403FB" w:rsidRDefault="003444BC" w:rsidP="00B403FB">
      <w:pPr>
        <w:pStyle w:val="paragraph"/>
        <w:spacing w:before="0" w:beforeAutospacing="0" w:after="0" w:afterAutospacing="0"/>
        <w:jc w:val="both"/>
        <w:textAlignment w:val="baseline"/>
        <w:rPr>
          <w:rFonts w:asciiTheme="minorHAnsi" w:hAnsiTheme="minorHAnsi" w:cstheme="minorHAnsi"/>
        </w:rPr>
      </w:pPr>
    </w:p>
    <w:p w14:paraId="4179DFDC"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b/>
          <w:bCs/>
          <w:i/>
          <w:iCs/>
        </w:rPr>
      </w:pPr>
      <w:r w:rsidRPr="00B403FB">
        <w:rPr>
          <w:rStyle w:val="normaltextrun"/>
          <w:rFonts w:asciiTheme="minorHAnsi" w:hAnsiTheme="minorHAnsi" w:cstheme="minorHAnsi"/>
          <w:b/>
          <w:bCs/>
          <w:i/>
          <w:iCs/>
        </w:rPr>
        <w:t>What State, regional, and international mechanisms and regulations exist to promote or restrict investment/financing using an ESG approach that takes human rights into account and how do they align with the UNGPs? How do these mechanisms and regulations promote or inhibit business respect for human rights consistent with the UNGPs?</w:t>
      </w:r>
      <w:r w:rsidRPr="00B403FB">
        <w:rPr>
          <w:rStyle w:val="eop"/>
          <w:rFonts w:asciiTheme="minorHAnsi" w:hAnsiTheme="minorHAnsi" w:cstheme="minorHAnsi"/>
          <w:b/>
          <w:bCs/>
          <w:i/>
          <w:iCs/>
        </w:rPr>
        <w:t> </w:t>
      </w:r>
    </w:p>
    <w:p w14:paraId="7B8DDF9F"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lang w:val="en-US"/>
        </w:rPr>
      </w:pPr>
      <w:r w:rsidRPr="00B403FB">
        <w:rPr>
          <w:rStyle w:val="eop"/>
          <w:rFonts w:asciiTheme="minorHAnsi" w:hAnsiTheme="minorHAnsi" w:cstheme="minorHAnsi"/>
          <w:lang w:val="en-US"/>
        </w:rPr>
        <w:t> </w:t>
      </w:r>
    </w:p>
    <w:p w14:paraId="08DDBEEA" w14:textId="63E1DB61" w:rsidR="003444BC" w:rsidRPr="00B403FB" w:rsidRDefault="00606ED5" w:rsidP="00B403FB">
      <w:pPr>
        <w:pStyle w:val="paragraph"/>
        <w:spacing w:before="0" w:beforeAutospacing="0" w:after="0" w:afterAutospacing="0"/>
        <w:jc w:val="both"/>
        <w:textAlignment w:val="baseline"/>
        <w:rPr>
          <w:rFonts w:asciiTheme="minorHAnsi" w:hAnsiTheme="minorHAnsi" w:cstheme="minorHAnsi"/>
          <w:color w:val="454545"/>
        </w:rPr>
      </w:pPr>
      <w:r w:rsidRPr="00B403FB">
        <w:rPr>
          <w:rStyle w:val="normaltextrun"/>
          <w:rFonts w:asciiTheme="minorHAnsi" w:hAnsiTheme="minorHAnsi" w:cstheme="minorHAnsi"/>
        </w:rPr>
        <w:t xml:space="preserve">State mechanisms such as National Action Plans on Business and Human Rights are important tools that can also take an ESG approach to ensure that the financiers </w:t>
      </w:r>
      <w:proofErr w:type="gramStart"/>
      <w:r w:rsidRPr="00B403FB">
        <w:rPr>
          <w:rStyle w:val="normaltextrun"/>
          <w:rFonts w:asciiTheme="minorHAnsi" w:hAnsiTheme="minorHAnsi" w:cstheme="minorHAnsi"/>
        </w:rPr>
        <w:t>take into account</w:t>
      </w:r>
      <w:proofErr w:type="gramEnd"/>
      <w:r w:rsidRPr="00B403FB">
        <w:rPr>
          <w:rStyle w:val="normaltextrun"/>
          <w:rFonts w:asciiTheme="minorHAnsi" w:hAnsiTheme="minorHAnsi" w:cstheme="minorHAnsi"/>
        </w:rPr>
        <w:t xml:space="preserve"> human rights </w:t>
      </w:r>
      <w:r w:rsidRPr="00B403FB">
        <w:rPr>
          <w:rStyle w:val="normaltextrun"/>
          <w:rFonts w:asciiTheme="minorHAnsi" w:hAnsiTheme="minorHAnsi" w:cstheme="minorHAnsi"/>
        </w:rPr>
        <w:t>impacts</w:t>
      </w:r>
      <w:r w:rsidRPr="00B403FB">
        <w:rPr>
          <w:rStyle w:val="normaltextrun"/>
          <w:rFonts w:asciiTheme="minorHAnsi" w:hAnsiTheme="minorHAnsi" w:cstheme="minorHAnsi"/>
        </w:rPr>
        <w:t xml:space="preserve"> of their projects. The NAPs are implemented in line with UNGPs</w:t>
      </w:r>
      <w:r w:rsidRPr="00B403FB">
        <w:rPr>
          <w:rStyle w:val="eop"/>
          <w:rFonts w:asciiTheme="minorHAnsi" w:hAnsiTheme="minorHAnsi" w:cstheme="minorHAnsi"/>
          <w:lang w:val="en-US"/>
        </w:rPr>
        <w:t> </w:t>
      </w:r>
      <w:r w:rsidRPr="00B403FB">
        <w:rPr>
          <w:rStyle w:val="eop"/>
          <w:rFonts w:asciiTheme="minorHAnsi" w:hAnsiTheme="minorHAnsi" w:cstheme="minorHAnsi"/>
          <w:lang w:val="en-US"/>
        </w:rPr>
        <w:t xml:space="preserve">however, there are still many countries especially in the Global South that </w:t>
      </w:r>
      <w:proofErr w:type="gramStart"/>
      <w:r w:rsidRPr="00B403FB">
        <w:rPr>
          <w:rStyle w:val="eop"/>
          <w:rFonts w:asciiTheme="minorHAnsi" w:hAnsiTheme="minorHAnsi" w:cstheme="minorHAnsi"/>
          <w:lang w:val="en-US"/>
        </w:rPr>
        <w:t>have  not</w:t>
      </w:r>
      <w:proofErr w:type="gramEnd"/>
      <w:r w:rsidRPr="00B403FB">
        <w:rPr>
          <w:rStyle w:val="eop"/>
          <w:rFonts w:asciiTheme="minorHAnsi" w:hAnsiTheme="minorHAnsi" w:cstheme="minorHAnsi"/>
          <w:lang w:val="en-US"/>
        </w:rPr>
        <w:t xml:space="preserve"> yet developed NAPs. For instance, in African only three countries (Kenya, Uganda and Nigeria) have NAPs. Many are however, in the process of undertaking consultations, and therefore should also consider ESG approaches that can be integrated into UNGP policies. </w:t>
      </w:r>
      <w:r w:rsidR="003444BC" w:rsidRPr="00B403FB">
        <w:rPr>
          <w:rStyle w:val="eop"/>
          <w:rFonts w:asciiTheme="minorHAnsi" w:hAnsiTheme="minorHAnsi" w:cstheme="minorHAnsi"/>
          <w:lang w:val="en-US"/>
        </w:rPr>
        <w:t xml:space="preserve">In countries like Zimbabwe, the mining industry association </w:t>
      </w:r>
      <w:proofErr w:type="gramStart"/>
      <w:r w:rsidR="003444BC" w:rsidRPr="00B403FB">
        <w:rPr>
          <w:rStyle w:val="eop"/>
          <w:rFonts w:asciiTheme="minorHAnsi" w:hAnsiTheme="minorHAnsi" w:cstheme="minorHAnsi"/>
          <w:lang w:val="en-US"/>
        </w:rPr>
        <w:t xml:space="preserve">( </w:t>
      </w:r>
      <w:r w:rsidR="003444BC" w:rsidRPr="00B403FB">
        <w:rPr>
          <w:rFonts w:asciiTheme="minorHAnsi" w:hAnsiTheme="minorHAnsi" w:cstheme="minorHAnsi"/>
          <w:color w:val="454545"/>
        </w:rPr>
        <w:t>The</w:t>
      </w:r>
      <w:proofErr w:type="gramEnd"/>
      <w:r w:rsidR="003444BC" w:rsidRPr="00B403FB">
        <w:rPr>
          <w:rFonts w:asciiTheme="minorHAnsi" w:hAnsiTheme="minorHAnsi" w:cstheme="minorHAnsi"/>
          <w:color w:val="454545"/>
        </w:rPr>
        <w:t xml:space="preserve"> Chamber of Mines</w:t>
      </w:r>
      <w:r w:rsidR="003444BC" w:rsidRPr="00B403FB">
        <w:rPr>
          <w:rFonts w:asciiTheme="minorHAnsi" w:hAnsiTheme="minorHAnsi" w:cstheme="minorHAnsi"/>
          <w:color w:val="454545"/>
        </w:rPr>
        <w:t xml:space="preserve">) has expressed that the </w:t>
      </w:r>
      <w:r w:rsidR="003444BC" w:rsidRPr="00B403FB">
        <w:rPr>
          <w:rFonts w:asciiTheme="minorHAnsi" w:hAnsiTheme="minorHAnsi" w:cstheme="minorHAnsi"/>
          <w:color w:val="454545"/>
        </w:rPr>
        <w:t xml:space="preserve">issue of ESG reporting is still new to the mining sector in Zimbabwe and the full realisation of its benefits is affected by the lack of a common framework of reporting among other challenges. </w:t>
      </w:r>
      <w:r w:rsidR="003444BC" w:rsidRPr="00B403FB">
        <w:rPr>
          <w:rFonts w:asciiTheme="minorHAnsi" w:hAnsiTheme="minorHAnsi" w:cstheme="minorHAnsi"/>
          <w:color w:val="454545"/>
        </w:rPr>
        <w:t xml:space="preserve"> This points to the need for national legal framework to be robust on ESG reporting. T</w:t>
      </w:r>
      <w:r w:rsidR="003444BC" w:rsidRPr="00B403FB">
        <w:rPr>
          <w:rFonts w:asciiTheme="minorHAnsi" w:hAnsiTheme="minorHAnsi" w:cstheme="minorHAnsi"/>
          <w:color w:val="454545"/>
        </w:rPr>
        <w:t>he</w:t>
      </w:r>
      <w:r w:rsidR="003444BC" w:rsidRPr="00B403FB">
        <w:rPr>
          <w:rFonts w:asciiTheme="minorHAnsi" w:hAnsiTheme="minorHAnsi" w:cstheme="minorHAnsi"/>
          <w:color w:val="454545"/>
        </w:rPr>
        <w:t xml:space="preserve"> </w:t>
      </w:r>
      <w:r w:rsidR="003444BC" w:rsidRPr="00B403FB">
        <w:rPr>
          <w:rFonts w:asciiTheme="minorHAnsi" w:hAnsiTheme="minorHAnsi" w:cstheme="minorHAnsi"/>
          <w:color w:val="454545"/>
        </w:rPr>
        <w:t>Chamber of Mines highlighted that there is a process that is still at early stages to develop framework to share mining royalties between the central and local authorities.</w:t>
      </w:r>
      <w:r w:rsidR="003444BC" w:rsidRPr="00B403FB">
        <w:rPr>
          <w:rFonts w:asciiTheme="minorHAnsi" w:hAnsiTheme="minorHAnsi" w:cstheme="minorHAnsi"/>
          <w:color w:val="454545"/>
        </w:rPr>
        <w:t xml:space="preserve"> See. </w:t>
      </w:r>
      <w:hyperlink r:id="rId7" w:history="1">
        <w:r w:rsidR="003444BC" w:rsidRPr="00B403FB">
          <w:rPr>
            <w:rStyle w:val="Hyperlink"/>
            <w:rFonts w:asciiTheme="minorHAnsi" w:hAnsiTheme="minorHAnsi" w:cstheme="minorHAnsi"/>
          </w:rPr>
          <w:t>https://zela.org/the-role-of-environmental-social-and-governance-esg-reporting-in-promoting-responsible-sourcing-and-investment-in-the-extractive-sector/</w:t>
        </w:r>
      </w:hyperlink>
      <w:r w:rsidR="003444BC" w:rsidRPr="00B403FB">
        <w:rPr>
          <w:rFonts w:asciiTheme="minorHAnsi" w:hAnsiTheme="minorHAnsi" w:cstheme="minorHAnsi"/>
          <w:color w:val="454545"/>
        </w:rPr>
        <w:t xml:space="preserve"> </w:t>
      </w:r>
    </w:p>
    <w:p w14:paraId="6D2008AE" w14:textId="2A717CE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p>
    <w:p w14:paraId="6F7B01EC" w14:textId="77777777" w:rsidR="003444BC" w:rsidRPr="00B403FB" w:rsidRDefault="00606ED5" w:rsidP="00B403FB">
      <w:pPr>
        <w:pStyle w:val="paragraph"/>
        <w:spacing w:before="0" w:beforeAutospacing="0" w:after="0" w:afterAutospacing="0"/>
        <w:jc w:val="both"/>
        <w:textAlignment w:val="baseline"/>
        <w:rPr>
          <w:rStyle w:val="eop"/>
          <w:rFonts w:asciiTheme="minorHAnsi" w:hAnsiTheme="minorHAnsi" w:cstheme="minorHAnsi"/>
          <w:b/>
          <w:bCs/>
        </w:rPr>
      </w:pPr>
      <w:r w:rsidRPr="00B403FB">
        <w:rPr>
          <w:rStyle w:val="normaltextrun"/>
          <w:rFonts w:asciiTheme="minorHAnsi" w:hAnsiTheme="minorHAnsi" w:cstheme="minorHAnsi"/>
          <w:b/>
          <w:bCs/>
        </w:rPr>
        <w:t>To what extent do current regulations ensure adequate information and disclosure for investors adopting an ESG approach to understand human rights impacts of businesses?</w:t>
      </w:r>
      <w:r w:rsidRPr="00B403FB">
        <w:rPr>
          <w:rStyle w:val="eop"/>
          <w:rFonts w:asciiTheme="minorHAnsi" w:hAnsiTheme="minorHAnsi" w:cstheme="minorHAnsi"/>
          <w:b/>
          <w:bCs/>
        </w:rPr>
        <w:t> </w:t>
      </w:r>
    </w:p>
    <w:p w14:paraId="5A44DDB8" w14:textId="77777777" w:rsidR="003444BC" w:rsidRPr="00B403FB" w:rsidRDefault="003444BC" w:rsidP="00B403FB">
      <w:pPr>
        <w:pStyle w:val="paragraph"/>
        <w:spacing w:before="0" w:beforeAutospacing="0" w:after="0" w:afterAutospacing="0"/>
        <w:jc w:val="both"/>
        <w:textAlignment w:val="baseline"/>
        <w:rPr>
          <w:rStyle w:val="eop"/>
          <w:rFonts w:asciiTheme="minorHAnsi" w:hAnsiTheme="minorHAnsi" w:cstheme="minorHAnsi"/>
        </w:rPr>
      </w:pPr>
    </w:p>
    <w:p w14:paraId="526933CF" w14:textId="77777777" w:rsidR="003444BC" w:rsidRPr="00B403FB" w:rsidRDefault="003444BC" w:rsidP="00B403FB">
      <w:pPr>
        <w:pStyle w:val="paragraph"/>
        <w:spacing w:before="0" w:beforeAutospacing="0" w:after="0" w:afterAutospacing="0"/>
        <w:jc w:val="both"/>
        <w:textAlignment w:val="baseline"/>
        <w:rPr>
          <w:rFonts w:asciiTheme="minorHAnsi" w:hAnsiTheme="minorHAnsi" w:cstheme="minorHAnsi"/>
          <w:color w:val="454545"/>
        </w:rPr>
      </w:pPr>
      <w:r w:rsidRPr="00B403FB">
        <w:rPr>
          <w:rStyle w:val="eop"/>
          <w:rFonts w:asciiTheme="minorHAnsi" w:hAnsiTheme="minorHAnsi" w:cstheme="minorHAnsi"/>
        </w:rPr>
        <w:t>A</w:t>
      </w:r>
      <w:r w:rsidRPr="00B403FB">
        <w:rPr>
          <w:rFonts w:asciiTheme="minorHAnsi" w:hAnsiTheme="minorHAnsi" w:cstheme="minorHAnsi"/>
          <w:color w:val="454545"/>
        </w:rPr>
        <w:t>ccessing ESG information from investors especially those that are entering into Joint Venture Agreements with the Government</w:t>
      </w:r>
      <w:r w:rsidRPr="00B403FB">
        <w:rPr>
          <w:rFonts w:asciiTheme="minorHAnsi" w:hAnsiTheme="minorHAnsi" w:cstheme="minorHAnsi"/>
          <w:color w:val="454545"/>
        </w:rPr>
        <w:t xml:space="preserve">s especially in Africa is still difficult. Although there is legislation such as Freedom of Information Act in </w:t>
      </w:r>
      <w:r w:rsidRPr="00B403FB">
        <w:rPr>
          <w:rFonts w:asciiTheme="minorHAnsi" w:hAnsiTheme="minorHAnsi" w:cstheme="minorHAnsi"/>
          <w:color w:val="454545"/>
        </w:rPr>
        <w:t>Zimbabwe</w:t>
      </w:r>
      <w:r w:rsidRPr="00B403FB">
        <w:rPr>
          <w:rFonts w:asciiTheme="minorHAnsi" w:hAnsiTheme="minorHAnsi" w:cstheme="minorHAnsi"/>
          <w:color w:val="454545"/>
        </w:rPr>
        <w:t xml:space="preserve"> which allows citizens to access information held by government, in practice the information is inaccessible</w:t>
      </w:r>
      <w:r w:rsidRPr="00B403FB">
        <w:rPr>
          <w:rFonts w:asciiTheme="minorHAnsi" w:hAnsiTheme="minorHAnsi" w:cstheme="minorHAnsi"/>
          <w:color w:val="454545"/>
        </w:rPr>
        <w:t xml:space="preserve">. </w:t>
      </w:r>
      <w:r w:rsidRPr="00B403FB">
        <w:rPr>
          <w:rFonts w:asciiTheme="minorHAnsi" w:hAnsiTheme="minorHAnsi" w:cstheme="minorHAnsi"/>
          <w:color w:val="454545"/>
        </w:rPr>
        <w:t xml:space="preserve">While the </w:t>
      </w:r>
      <w:r w:rsidRPr="00B403FB">
        <w:rPr>
          <w:rFonts w:asciiTheme="minorHAnsi" w:hAnsiTheme="minorHAnsi" w:cstheme="minorHAnsi"/>
          <w:color w:val="454545"/>
        </w:rPr>
        <w:t>Zimbabwe Development and Investment Agency (ZIDA) Act requires investors that pass-through ZIDA to protect the environment and operate responsibly</w:t>
      </w:r>
      <w:r w:rsidRPr="00B403FB">
        <w:rPr>
          <w:rFonts w:asciiTheme="minorHAnsi" w:hAnsiTheme="minorHAnsi" w:cstheme="minorHAnsi"/>
          <w:color w:val="454545"/>
        </w:rPr>
        <w:t xml:space="preserve">, the Agency has also not </w:t>
      </w:r>
      <w:proofErr w:type="gramStart"/>
      <w:r w:rsidRPr="00B403FB">
        <w:rPr>
          <w:rFonts w:asciiTheme="minorHAnsi" w:hAnsiTheme="minorHAnsi" w:cstheme="minorHAnsi"/>
          <w:color w:val="454545"/>
        </w:rPr>
        <w:t>be</w:t>
      </w:r>
      <w:proofErr w:type="gramEnd"/>
      <w:r w:rsidRPr="00B403FB">
        <w:rPr>
          <w:rFonts w:asciiTheme="minorHAnsi" w:hAnsiTheme="minorHAnsi" w:cstheme="minorHAnsi"/>
          <w:color w:val="454545"/>
        </w:rPr>
        <w:t xml:space="preserve"> accessible and provide information to the public</w:t>
      </w:r>
      <w:r w:rsidRPr="00B403FB">
        <w:rPr>
          <w:rFonts w:asciiTheme="minorHAnsi" w:hAnsiTheme="minorHAnsi" w:cstheme="minorHAnsi"/>
          <w:color w:val="454545"/>
        </w:rPr>
        <w:t>.</w:t>
      </w:r>
      <w:r w:rsidRPr="00B403FB">
        <w:rPr>
          <w:rFonts w:asciiTheme="minorHAnsi" w:hAnsiTheme="minorHAnsi" w:cstheme="minorHAnsi"/>
          <w:color w:val="454545"/>
        </w:rPr>
        <w:t xml:space="preserve"> The is coupled with the </w:t>
      </w:r>
      <w:r w:rsidRPr="00B403FB">
        <w:rPr>
          <w:rFonts w:asciiTheme="minorHAnsi" w:hAnsiTheme="minorHAnsi" w:cstheme="minorHAnsi"/>
          <w:color w:val="454545"/>
        </w:rPr>
        <w:t>lack of regulations on responsible investment at</w:t>
      </w:r>
      <w:r w:rsidRPr="00B403FB">
        <w:rPr>
          <w:rFonts w:asciiTheme="minorHAnsi" w:hAnsiTheme="minorHAnsi" w:cstheme="minorHAnsi"/>
          <w:color w:val="454545"/>
        </w:rPr>
        <w:t xml:space="preserve"> </w:t>
      </w:r>
      <w:r w:rsidRPr="00B403FB">
        <w:rPr>
          <w:rFonts w:asciiTheme="minorHAnsi" w:hAnsiTheme="minorHAnsi" w:cstheme="minorHAnsi"/>
          <w:color w:val="454545"/>
        </w:rPr>
        <w:t>to hold the investors to account.</w:t>
      </w:r>
    </w:p>
    <w:p w14:paraId="6A1336E5" w14:textId="77777777" w:rsidR="003444BC" w:rsidRPr="00B403FB" w:rsidRDefault="003444BC" w:rsidP="00B403FB">
      <w:pPr>
        <w:pStyle w:val="paragraph"/>
        <w:spacing w:before="0" w:beforeAutospacing="0" w:after="0" w:afterAutospacing="0"/>
        <w:jc w:val="both"/>
        <w:textAlignment w:val="baseline"/>
        <w:rPr>
          <w:rFonts w:asciiTheme="minorHAnsi" w:hAnsiTheme="minorHAnsi" w:cstheme="minorHAnsi"/>
          <w:color w:val="454545"/>
        </w:rPr>
      </w:pPr>
    </w:p>
    <w:p w14:paraId="57B67E4E" w14:textId="77777777" w:rsidR="00B2797A" w:rsidRPr="00B2797A" w:rsidRDefault="003444BC" w:rsidP="00B403FB">
      <w:pPr>
        <w:jc w:val="both"/>
        <w:rPr>
          <w:rFonts w:cstheme="minorHAnsi"/>
          <w:kern w:val="0"/>
          <w:sz w:val="24"/>
          <w:szCs w:val="24"/>
          <w:lang w:val="en-ZA"/>
          <w14:ligatures w14:val="none"/>
        </w:rPr>
      </w:pPr>
      <w:r w:rsidRPr="00B403FB">
        <w:rPr>
          <w:rFonts w:cstheme="minorHAnsi"/>
          <w:color w:val="454545"/>
          <w:sz w:val="24"/>
          <w:szCs w:val="24"/>
        </w:rPr>
        <w:lastRenderedPageBreak/>
        <w:t>W</w:t>
      </w:r>
      <w:r w:rsidRPr="00B403FB">
        <w:rPr>
          <w:rFonts w:cstheme="minorHAnsi"/>
          <w:color w:val="454545"/>
          <w:sz w:val="24"/>
          <w:szCs w:val="24"/>
        </w:rPr>
        <w:t>hilst</w:t>
      </w:r>
      <w:r w:rsidRPr="00B403FB">
        <w:rPr>
          <w:rFonts w:cstheme="minorHAnsi"/>
          <w:color w:val="454545"/>
          <w:sz w:val="24"/>
          <w:szCs w:val="24"/>
        </w:rPr>
        <w:t xml:space="preserve"> </w:t>
      </w:r>
      <w:r w:rsidRPr="00B403FB">
        <w:rPr>
          <w:rFonts w:cstheme="minorHAnsi"/>
          <w:color w:val="454545"/>
          <w:sz w:val="24"/>
          <w:szCs w:val="24"/>
        </w:rPr>
        <w:t>the ESG reports that are produced by mining companies are informative in terms of disclosing what the companies are doing to address the social, environmental, and economic related concerns of communities where mining is taking place, monitoring of ESG by communities is very low.</w:t>
      </w:r>
      <w:r w:rsidR="00B2797A" w:rsidRPr="00B403FB">
        <w:rPr>
          <w:rFonts w:cstheme="minorHAnsi"/>
          <w:color w:val="454545"/>
          <w:sz w:val="24"/>
          <w:szCs w:val="24"/>
        </w:rPr>
        <w:t xml:space="preserve"> </w:t>
      </w:r>
      <w:r w:rsidR="00B2797A" w:rsidRPr="00B2797A">
        <w:rPr>
          <w:rFonts w:cstheme="minorHAnsi"/>
          <w:kern w:val="0"/>
          <w:sz w:val="24"/>
          <w:szCs w:val="24"/>
          <w:lang w:val="en-ZA"/>
          <w14:ligatures w14:val="none"/>
        </w:rPr>
        <w:t xml:space="preserve">It is unfortunate that the ZSE listing requirements provide a detailed regulatory framework </w:t>
      </w:r>
      <w:proofErr w:type="gramStart"/>
      <w:r w:rsidR="00B2797A" w:rsidRPr="00B2797A">
        <w:rPr>
          <w:rFonts w:cstheme="minorHAnsi"/>
          <w:kern w:val="0"/>
          <w:sz w:val="24"/>
          <w:szCs w:val="24"/>
          <w:lang w:val="en-ZA"/>
          <w14:ligatures w14:val="none"/>
        </w:rPr>
        <w:t>for  listed</w:t>
      </w:r>
      <w:proofErr w:type="gramEnd"/>
      <w:r w:rsidR="00B2797A" w:rsidRPr="00B2797A">
        <w:rPr>
          <w:rFonts w:cstheme="minorHAnsi"/>
          <w:kern w:val="0"/>
          <w:sz w:val="24"/>
          <w:szCs w:val="24"/>
          <w:lang w:val="en-ZA"/>
          <w14:ligatures w14:val="none"/>
        </w:rPr>
        <w:t xml:space="preserve"> mining companies to promote access to information on corporate environmental and social data based on the performance of their operations instead of the principal mining law. The Mines and Minerals </w:t>
      </w:r>
      <w:proofErr w:type="gramStart"/>
      <w:r w:rsidR="00B2797A" w:rsidRPr="00B2797A">
        <w:rPr>
          <w:rFonts w:cstheme="minorHAnsi"/>
          <w:kern w:val="0"/>
          <w:sz w:val="24"/>
          <w:szCs w:val="24"/>
          <w:lang w:val="en-ZA"/>
          <w14:ligatures w14:val="none"/>
        </w:rPr>
        <w:t>Act  which</w:t>
      </w:r>
      <w:proofErr w:type="gramEnd"/>
      <w:r w:rsidR="00B2797A" w:rsidRPr="00B2797A">
        <w:rPr>
          <w:rFonts w:cstheme="minorHAnsi"/>
          <w:kern w:val="0"/>
          <w:sz w:val="24"/>
          <w:szCs w:val="24"/>
          <w:lang w:val="en-ZA"/>
          <w14:ligatures w14:val="none"/>
        </w:rPr>
        <w:t xml:space="preserve"> is the principal mining law regulating all mining operations in the country despite the worried concerns on the impact of Chinese mining investments and the broader mining sector fails to integrate principles of environmental and social sustainability reporting.  Due to this lack of corporate environmental and social data disclosure laws broadly to the mining sector, it is the reason why some Chinese mining investments have been implicated in violations of rights in the country.</w:t>
      </w:r>
    </w:p>
    <w:p w14:paraId="1848788E"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lang w:val="en-US"/>
        </w:rPr>
      </w:pPr>
      <w:r w:rsidRPr="00B403FB">
        <w:rPr>
          <w:rStyle w:val="eop"/>
          <w:rFonts w:asciiTheme="minorHAnsi" w:hAnsiTheme="minorHAnsi" w:cstheme="minorHAnsi"/>
          <w:lang w:val="en-US"/>
        </w:rPr>
        <w:t> </w:t>
      </w:r>
    </w:p>
    <w:p w14:paraId="4CBA4835" w14:textId="77777777" w:rsidR="00B2797A" w:rsidRPr="00B403FB" w:rsidRDefault="00606ED5" w:rsidP="00B403FB">
      <w:pPr>
        <w:pStyle w:val="paragraph"/>
        <w:spacing w:before="0" w:beforeAutospacing="0" w:after="0" w:afterAutospacing="0"/>
        <w:jc w:val="both"/>
        <w:textAlignment w:val="baseline"/>
        <w:rPr>
          <w:rFonts w:asciiTheme="minorHAnsi" w:hAnsiTheme="minorHAnsi" w:cstheme="minorHAnsi"/>
          <w:b/>
          <w:bCs/>
        </w:rPr>
      </w:pPr>
      <w:r w:rsidRPr="00B403FB">
        <w:rPr>
          <w:rStyle w:val="normaltextrun"/>
          <w:rFonts w:asciiTheme="minorHAnsi" w:hAnsiTheme="minorHAnsi" w:cstheme="minorHAnsi"/>
          <w:b/>
          <w:bCs/>
        </w:rPr>
        <w:t>How can States encourage and regulate accurate communication of ESG practices by businesses and investors to prevent misleading or unsubstantiated claims regarding respect for human rights?</w:t>
      </w:r>
      <w:r w:rsidRPr="00B403FB">
        <w:rPr>
          <w:rStyle w:val="eop"/>
          <w:rFonts w:asciiTheme="minorHAnsi" w:hAnsiTheme="minorHAnsi" w:cstheme="minorHAnsi"/>
          <w:b/>
          <w:bCs/>
        </w:rPr>
        <w:t> </w:t>
      </w:r>
    </w:p>
    <w:p w14:paraId="2BAEEAD5" w14:textId="77777777" w:rsidR="00B2797A" w:rsidRPr="00B403FB" w:rsidRDefault="00B2797A" w:rsidP="00B403FB">
      <w:pPr>
        <w:pStyle w:val="paragraph"/>
        <w:spacing w:before="0" w:beforeAutospacing="0" w:after="0" w:afterAutospacing="0"/>
        <w:jc w:val="both"/>
        <w:textAlignment w:val="baseline"/>
        <w:rPr>
          <w:rFonts w:asciiTheme="minorHAnsi" w:hAnsiTheme="minorHAnsi" w:cstheme="minorHAnsi"/>
          <w:b/>
          <w:bCs/>
        </w:rPr>
      </w:pPr>
    </w:p>
    <w:p w14:paraId="32A7518A" w14:textId="77422392" w:rsidR="00606ED5" w:rsidRPr="00B403FB" w:rsidRDefault="00B2797A" w:rsidP="00B403FB">
      <w:pPr>
        <w:pStyle w:val="paragraph"/>
        <w:spacing w:before="0" w:beforeAutospacing="0" w:after="0" w:afterAutospacing="0"/>
        <w:jc w:val="both"/>
        <w:textAlignment w:val="baseline"/>
        <w:rPr>
          <w:rStyle w:val="eop"/>
          <w:rFonts w:asciiTheme="minorHAnsi" w:hAnsiTheme="minorHAnsi" w:cstheme="minorHAnsi"/>
          <w:lang w:val="en-US"/>
        </w:rPr>
      </w:pPr>
      <w:r w:rsidRPr="00B403FB">
        <w:rPr>
          <w:rFonts w:asciiTheme="minorHAnsi" w:hAnsiTheme="minorHAnsi" w:cstheme="minorHAnsi"/>
        </w:rPr>
        <w:t>National laws on r</w:t>
      </w:r>
      <w:r w:rsidR="00606ED5" w:rsidRPr="00B403FB">
        <w:rPr>
          <w:rStyle w:val="normaltextrun"/>
          <w:rFonts w:asciiTheme="minorHAnsi" w:hAnsiTheme="minorHAnsi" w:cstheme="minorHAnsi"/>
        </w:rPr>
        <w:t>eporting Requirements should create offences for businesses and investors who make false claims</w:t>
      </w:r>
      <w:r w:rsidR="00EC3F65" w:rsidRPr="00B403FB">
        <w:rPr>
          <w:rStyle w:val="eop"/>
          <w:rFonts w:asciiTheme="minorHAnsi" w:hAnsiTheme="minorHAnsi" w:cstheme="minorHAnsi"/>
          <w:lang w:val="en-US"/>
        </w:rPr>
        <w:t xml:space="preserve">. </w:t>
      </w:r>
      <w:r w:rsidR="00606ED5" w:rsidRPr="00B403FB">
        <w:rPr>
          <w:rStyle w:val="eop"/>
          <w:rFonts w:asciiTheme="minorHAnsi" w:hAnsiTheme="minorHAnsi" w:cstheme="minorHAnsi"/>
          <w:lang w:val="en-US"/>
        </w:rPr>
        <w:t> </w:t>
      </w:r>
    </w:p>
    <w:p w14:paraId="57EFDB4F"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lang w:val="en-US"/>
        </w:rPr>
      </w:pPr>
      <w:r w:rsidRPr="00B403FB">
        <w:rPr>
          <w:rStyle w:val="eop"/>
          <w:rFonts w:asciiTheme="minorHAnsi" w:hAnsiTheme="minorHAnsi" w:cstheme="minorHAnsi"/>
          <w:lang w:val="en-US"/>
        </w:rPr>
        <w:t> </w:t>
      </w:r>
    </w:p>
    <w:p w14:paraId="70DFCF14" w14:textId="3CDEAD8D" w:rsidR="00606ED5" w:rsidRPr="00B403FB" w:rsidRDefault="00606ED5" w:rsidP="00B403FB">
      <w:pPr>
        <w:pStyle w:val="paragraph"/>
        <w:spacing w:before="0" w:beforeAutospacing="0" w:after="0" w:afterAutospacing="0"/>
        <w:jc w:val="both"/>
        <w:textAlignment w:val="baseline"/>
        <w:rPr>
          <w:rStyle w:val="eop"/>
          <w:rFonts w:asciiTheme="minorHAnsi" w:hAnsiTheme="minorHAnsi" w:cstheme="minorHAnsi"/>
          <w:b/>
          <w:bCs/>
        </w:rPr>
      </w:pPr>
      <w:r w:rsidRPr="00B403FB">
        <w:rPr>
          <w:rStyle w:val="normaltextrun"/>
          <w:rFonts w:asciiTheme="minorHAnsi" w:hAnsiTheme="minorHAnsi" w:cstheme="minorHAnsi"/>
          <w:b/>
          <w:bCs/>
        </w:rPr>
        <w:t>How can policies, programs, plans and activities in one State concerning regulation of investors in relation to human rights have potential or actual adverse or positive human rights impacts outside of their territory or jurisdiction?</w:t>
      </w:r>
      <w:r w:rsidRPr="00B403FB">
        <w:rPr>
          <w:rStyle w:val="eop"/>
          <w:rFonts w:asciiTheme="minorHAnsi" w:hAnsiTheme="minorHAnsi" w:cstheme="minorHAnsi"/>
          <w:b/>
          <w:bCs/>
        </w:rPr>
        <w:t> </w:t>
      </w:r>
    </w:p>
    <w:p w14:paraId="10BCC586" w14:textId="77777777" w:rsidR="00B2797A" w:rsidRPr="00B403FB" w:rsidRDefault="00B2797A" w:rsidP="00B403FB">
      <w:pPr>
        <w:pStyle w:val="paragraph"/>
        <w:spacing w:before="0" w:beforeAutospacing="0" w:after="0" w:afterAutospacing="0"/>
        <w:jc w:val="both"/>
        <w:textAlignment w:val="baseline"/>
        <w:rPr>
          <w:rStyle w:val="eop"/>
          <w:rFonts w:asciiTheme="minorHAnsi" w:hAnsiTheme="minorHAnsi" w:cstheme="minorHAnsi"/>
        </w:rPr>
      </w:pPr>
    </w:p>
    <w:p w14:paraId="43024778" w14:textId="73416B00" w:rsidR="00EC3F65" w:rsidRPr="00B403FB" w:rsidRDefault="00B2797A" w:rsidP="00B403FB">
      <w:pPr>
        <w:pStyle w:val="paragraph"/>
        <w:spacing w:before="0" w:beforeAutospacing="0" w:after="0" w:afterAutospacing="0"/>
        <w:jc w:val="both"/>
        <w:textAlignment w:val="baseline"/>
        <w:rPr>
          <w:rFonts w:asciiTheme="minorHAnsi" w:hAnsiTheme="minorHAnsi" w:cstheme="minorHAnsi"/>
          <w:lang w:val="en-US"/>
        </w:rPr>
      </w:pPr>
      <w:r w:rsidRPr="00B403FB">
        <w:rPr>
          <w:rStyle w:val="eop"/>
          <w:rFonts w:asciiTheme="minorHAnsi" w:hAnsiTheme="minorHAnsi" w:cstheme="minorHAnsi"/>
        </w:rPr>
        <w:t xml:space="preserve">States that have progressive laws and policies on obligations of investors must ensure that </w:t>
      </w:r>
      <w:r w:rsidR="00EC3F65" w:rsidRPr="00B403FB">
        <w:rPr>
          <w:rStyle w:val="eop"/>
          <w:rFonts w:asciiTheme="minorHAnsi" w:hAnsiTheme="minorHAnsi" w:cstheme="minorHAnsi"/>
        </w:rPr>
        <w:t xml:space="preserve">there are administrative platforms or </w:t>
      </w:r>
      <w:r w:rsidR="00B403FB" w:rsidRPr="00B403FB">
        <w:rPr>
          <w:rStyle w:val="eop"/>
          <w:rFonts w:asciiTheme="minorHAnsi" w:hAnsiTheme="minorHAnsi" w:cstheme="minorHAnsi"/>
        </w:rPr>
        <w:t>non-judicial</w:t>
      </w:r>
      <w:r w:rsidR="00EC3F65" w:rsidRPr="00B403FB">
        <w:rPr>
          <w:rStyle w:val="eop"/>
          <w:rFonts w:asciiTheme="minorHAnsi" w:hAnsiTheme="minorHAnsi" w:cstheme="minorHAnsi"/>
        </w:rPr>
        <w:t xml:space="preserve"> mechanisms through their embassies or consular so that victims </w:t>
      </w:r>
      <w:proofErr w:type="spellStart"/>
      <w:r w:rsidR="00EC3F65" w:rsidRPr="00B403FB">
        <w:rPr>
          <w:rStyle w:val="eop"/>
          <w:rFonts w:asciiTheme="minorHAnsi" w:hAnsiTheme="minorHAnsi" w:cstheme="minorHAnsi"/>
        </w:rPr>
        <w:t>can</w:t>
      </w:r>
      <w:r w:rsidRPr="00B403FB">
        <w:rPr>
          <w:rStyle w:val="eop"/>
          <w:rFonts w:asciiTheme="minorHAnsi" w:hAnsiTheme="minorHAnsi" w:cstheme="minorHAnsi"/>
        </w:rPr>
        <w:t>to</w:t>
      </w:r>
      <w:proofErr w:type="spellEnd"/>
      <w:r w:rsidRPr="00B403FB">
        <w:rPr>
          <w:rStyle w:val="eop"/>
          <w:rFonts w:asciiTheme="minorHAnsi" w:hAnsiTheme="minorHAnsi" w:cstheme="minorHAnsi"/>
        </w:rPr>
        <w:t xml:space="preserve"> hold the companies accountable</w:t>
      </w:r>
      <w:r w:rsidR="00EC3F65" w:rsidRPr="00B403FB">
        <w:rPr>
          <w:rStyle w:val="eop"/>
          <w:rFonts w:asciiTheme="minorHAnsi" w:hAnsiTheme="minorHAnsi" w:cstheme="minorHAnsi"/>
        </w:rPr>
        <w:t xml:space="preserve">. It is difficult to access remedies if there are no easily accessible platforms. The embassies and consular offices should have the powers to monitor violations of their companies investing in other jurisdictions. </w:t>
      </w:r>
    </w:p>
    <w:p w14:paraId="4ECA20FC" w14:textId="77777777" w:rsidR="00EC3F65" w:rsidRPr="00B403FB" w:rsidRDefault="00EC3F65" w:rsidP="00B403FB">
      <w:pPr>
        <w:pStyle w:val="paragraph"/>
        <w:spacing w:before="0" w:beforeAutospacing="0" w:after="0" w:afterAutospacing="0"/>
        <w:jc w:val="both"/>
        <w:textAlignment w:val="baseline"/>
        <w:rPr>
          <w:rStyle w:val="normaltextrun"/>
          <w:rFonts w:asciiTheme="minorHAnsi" w:hAnsiTheme="minorHAnsi" w:cstheme="minorHAnsi"/>
        </w:rPr>
      </w:pPr>
    </w:p>
    <w:p w14:paraId="55182428" w14:textId="497CAB72" w:rsidR="00606ED5" w:rsidRPr="00B403FB" w:rsidRDefault="00606ED5" w:rsidP="00B403FB">
      <w:pPr>
        <w:pStyle w:val="paragraph"/>
        <w:spacing w:before="0" w:beforeAutospacing="0" w:after="0" w:afterAutospacing="0"/>
        <w:jc w:val="both"/>
        <w:textAlignment w:val="baseline"/>
        <w:rPr>
          <w:rStyle w:val="eop"/>
          <w:rFonts w:asciiTheme="minorHAnsi" w:hAnsiTheme="minorHAnsi" w:cstheme="minorHAnsi"/>
          <w:b/>
          <w:bCs/>
        </w:rPr>
      </w:pPr>
      <w:r w:rsidRPr="00B403FB">
        <w:rPr>
          <w:rStyle w:val="normaltextrun"/>
          <w:rFonts w:asciiTheme="minorHAnsi" w:hAnsiTheme="minorHAnsi" w:cstheme="minorHAnsi"/>
          <w:b/>
          <w:bCs/>
        </w:rPr>
        <w:t>How can States better advance human rights-compatible regulation and policies concerning investors and financial institutions generally in a manner that fulfils their international legal obligation to protect human rights?</w:t>
      </w:r>
      <w:r w:rsidRPr="00B403FB">
        <w:rPr>
          <w:rStyle w:val="eop"/>
          <w:rFonts w:asciiTheme="minorHAnsi" w:hAnsiTheme="minorHAnsi" w:cstheme="minorHAnsi"/>
          <w:b/>
          <w:bCs/>
        </w:rPr>
        <w:t> </w:t>
      </w:r>
    </w:p>
    <w:p w14:paraId="7C85CA85" w14:textId="77777777" w:rsidR="00EE03A4" w:rsidRPr="00B403FB" w:rsidRDefault="00EE03A4" w:rsidP="00B403FB">
      <w:pPr>
        <w:pStyle w:val="paragraph"/>
        <w:spacing w:before="0" w:beforeAutospacing="0" w:after="0" w:afterAutospacing="0"/>
        <w:jc w:val="both"/>
        <w:textAlignment w:val="baseline"/>
        <w:rPr>
          <w:rStyle w:val="eop"/>
          <w:rFonts w:asciiTheme="minorHAnsi" w:hAnsiTheme="minorHAnsi" w:cstheme="minorHAnsi"/>
          <w:b/>
          <w:bCs/>
        </w:rPr>
      </w:pPr>
    </w:p>
    <w:p w14:paraId="6A03792E" w14:textId="594B9A67" w:rsidR="00EC3F65" w:rsidRPr="00B403FB" w:rsidRDefault="00EC3F65" w:rsidP="00B403FB">
      <w:pPr>
        <w:pStyle w:val="paragraph"/>
        <w:spacing w:before="0" w:beforeAutospacing="0" w:after="0" w:afterAutospacing="0"/>
        <w:jc w:val="both"/>
        <w:textAlignment w:val="baseline"/>
        <w:rPr>
          <w:rFonts w:asciiTheme="minorHAnsi" w:hAnsiTheme="minorHAnsi" w:cstheme="minorHAnsi"/>
        </w:rPr>
      </w:pPr>
      <w:r w:rsidRPr="00B403FB">
        <w:rPr>
          <w:rStyle w:val="eop"/>
          <w:rFonts w:asciiTheme="minorHAnsi" w:hAnsiTheme="minorHAnsi" w:cstheme="minorHAnsi"/>
        </w:rPr>
        <w:t>The legally binding instrument is the first step that will address the obligations of investors and States must adopt the binding treaty once adopted by the UN. Human rights institutions within states should also benchmark using internationally agreed human rights obligations of the State.</w:t>
      </w:r>
      <w:r w:rsidR="00EE03A4" w:rsidRPr="00B403FB">
        <w:rPr>
          <w:rStyle w:val="eop"/>
          <w:rFonts w:asciiTheme="minorHAnsi" w:hAnsiTheme="minorHAnsi" w:cstheme="minorHAnsi"/>
        </w:rPr>
        <w:t xml:space="preserve"> Furthermore, n</w:t>
      </w:r>
      <w:r w:rsidRPr="00B403FB">
        <w:rPr>
          <w:rStyle w:val="eop"/>
          <w:rFonts w:asciiTheme="minorHAnsi" w:hAnsiTheme="minorHAnsi" w:cstheme="minorHAnsi"/>
        </w:rPr>
        <w:t xml:space="preserve">ational laws should make it an obligation for investors to have internal policies that align with UNGPs, and failure to develop to the policies which must be accessible should result of cancellation of </w:t>
      </w:r>
      <w:proofErr w:type="gramStart"/>
      <w:r w:rsidRPr="00B403FB">
        <w:rPr>
          <w:rStyle w:val="eop"/>
          <w:rFonts w:asciiTheme="minorHAnsi" w:hAnsiTheme="minorHAnsi" w:cstheme="minorHAnsi"/>
        </w:rPr>
        <w:t>licenses</w:t>
      </w:r>
      <w:proofErr w:type="gramEnd"/>
    </w:p>
    <w:p w14:paraId="1A2FEFF8"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lang w:val="en-US"/>
        </w:rPr>
      </w:pPr>
      <w:r w:rsidRPr="00B403FB">
        <w:rPr>
          <w:rStyle w:val="eop"/>
          <w:rFonts w:asciiTheme="minorHAnsi" w:hAnsiTheme="minorHAnsi" w:cstheme="minorHAnsi"/>
          <w:lang w:val="en-US"/>
        </w:rPr>
        <w:t> </w:t>
      </w:r>
    </w:p>
    <w:p w14:paraId="3C15C3FA"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r w:rsidRPr="00B403FB">
        <w:rPr>
          <w:rStyle w:val="normaltextrun"/>
          <w:rFonts w:asciiTheme="minorHAnsi" w:hAnsiTheme="minorHAnsi" w:cstheme="minorHAnsi"/>
          <w:b/>
          <w:bCs/>
        </w:rPr>
        <w:t xml:space="preserve">Corporate responsibility to respect human </w:t>
      </w:r>
      <w:proofErr w:type="gramStart"/>
      <w:r w:rsidRPr="00B403FB">
        <w:rPr>
          <w:rStyle w:val="normaltextrun"/>
          <w:rFonts w:asciiTheme="minorHAnsi" w:hAnsiTheme="minorHAnsi" w:cstheme="minorHAnsi"/>
          <w:b/>
          <w:bCs/>
        </w:rPr>
        <w:t>rights</w:t>
      </w:r>
      <w:proofErr w:type="gramEnd"/>
      <w:r w:rsidRPr="00B403FB">
        <w:rPr>
          <w:rStyle w:val="eop"/>
          <w:rFonts w:asciiTheme="minorHAnsi" w:hAnsiTheme="minorHAnsi" w:cstheme="minorHAnsi"/>
        </w:rPr>
        <w:t> </w:t>
      </w:r>
    </w:p>
    <w:p w14:paraId="2C017A21"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b/>
          <w:bCs/>
          <w:i/>
          <w:iCs/>
        </w:rPr>
      </w:pPr>
      <w:r w:rsidRPr="00B403FB">
        <w:rPr>
          <w:rStyle w:val="normaltextrun"/>
          <w:rFonts w:asciiTheme="minorHAnsi" w:hAnsiTheme="minorHAnsi" w:cstheme="minorHAnsi"/>
          <w:b/>
          <w:bCs/>
          <w:i/>
          <w:iCs/>
        </w:rPr>
        <w:lastRenderedPageBreak/>
        <w:t>To what extent are investors aware of their responsibility to respect human rights? Are some types of investors more likely than others to align their practices with the UNGPs? Does it depend on the type of investor?</w:t>
      </w:r>
      <w:r w:rsidRPr="00B403FB">
        <w:rPr>
          <w:rStyle w:val="eop"/>
          <w:rFonts w:asciiTheme="minorHAnsi" w:hAnsiTheme="minorHAnsi" w:cstheme="minorHAnsi"/>
          <w:b/>
          <w:bCs/>
          <w:i/>
          <w:iCs/>
        </w:rPr>
        <w:t> </w:t>
      </w:r>
    </w:p>
    <w:p w14:paraId="35D0DABB" w14:textId="77777777" w:rsidR="00EE03A4" w:rsidRPr="00B403FB" w:rsidRDefault="00EE03A4" w:rsidP="00B403FB">
      <w:pPr>
        <w:pStyle w:val="paragraph"/>
        <w:spacing w:before="0" w:beforeAutospacing="0" w:after="0" w:afterAutospacing="0"/>
        <w:jc w:val="both"/>
        <w:textAlignment w:val="baseline"/>
        <w:rPr>
          <w:rStyle w:val="normaltextrun"/>
          <w:rFonts w:asciiTheme="minorHAnsi" w:hAnsiTheme="minorHAnsi" w:cstheme="minorHAnsi"/>
        </w:rPr>
      </w:pPr>
    </w:p>
    <w:p w14:paraId="2BE742E0" w14:textId="28640317" w:rsidR="00B2797A" w:rsidRPr="00B2797A" w:rsidRDefault="00606ED5" w:rsidP="00B403FB">
      <w:pPr>
        <w:pStyle w:val="paragraph"/>
        <w:spacing w:before="0" w:beforeAutospacing="0" w:after="0" w:afterAutospacing="0"/>
        <w:jc w:val="both"/>
        <w:textAlignment w:val="baseline"/>
        <w:rPr>
          <w:rFonts w:asciiTheme="minorHAnsi" w:hAnsiTheme="minorHAnsi" w:cstheme="minorHAnsi"/>
          <w:lang w:val="en-ZA"/>
        </w:rPr>
      </w:pPr>
      <w:r w:rsidRPr="00B403FB">
        <w:rPr>
          <w:rStyle w:val="normaltextrun"/>
          <w:rFonts w:asciiTheme="minorHAnsi" w:hAnsiTheme="minorHAnsi" w:cstheme="minorHAnsi"/>
        </w:rPr>
        <w:t xml:space="preserve">Investors are aware of their responsibility to respect Human Rights however this knowledge and responsibility often comes into conflict with the investor’s main goal of making profit hence we often see reports of investors not complying to UNGP practices. </w:t>
      </w:r>
      <w:r w:rsidR="00EE03A4" w:rsidRPr="00B403FB">
        <w:rPr>
          <w:rStyle w:val="normaltextrun"/>
          <w:rFonts w:asciiTheme="minorHAnsi" w:hAnsiTheme="minorHAnsi" w:cstheme="minorHAnsi"/>
        </w:rPr>
        <w:t xml:space="preserve"> For instance, </w:t>
      </w:r>
      <w:proofErr w:type="spellStart"/>
      <w:r w:rsidR="00EE03A4" w:rsidRPr="00B403FB">
        <w:rPr>
          <w:rStyle w:val="normaltextrun"/>
          <w:rFonts w:asciiTheme="minorHAnsi" w:hAnsiTheme="minorHAnsi" w:cstheme="minorHAnsi"/>
        </w:rPr>
        <w:t>i</w:t>
      </w:r>
      <w:proofErr w:type="spellEnd"/>
      <w:r w:rsidR="00B2797A" w:rsidRPr="00B403FB">
        <w:rPr>
          <w:rFonts w:asciiTheme="minorHAnsi" w:hAnsiTheme="minorHAnsi" w:cstheme="minorHAnsi"/>
          <w:lang w:val="en-ZA"/>
        </w:rPr>
        <w:t>n Zimbabwe, there are currently two stock exchanges which are the Zimbabwe Stock Exchange Limited (ZSE)</w:t>
      </w:r>
      <w:r w:rsidR="00B2797A" w:rsidRPr="00B403FB">
        <w:rPr>
          <w:rFonts w:asciiTheme="minorHAnsi" w:hAnsiTheme="minorHAnsi" w:cstheme="minorHAnsi"/>
          <w:vertAlign w:val="superscript"/>
          <w:lang w:val="en-ZA"/>
        </w:rPr>
        <w:footnoteReference w:id="2"/>
      </w:r>
      <w:r w:rsidR="00B2797A" w:rsidRPr="00B403FB">
        <w:rPr>
          <w:rFonts w:asciiTheme="minorHAnsi" w:hAnsiTheme="minorHAnsi" w:cstheme="minorHAnsi"/>
          <w:lang w:val="en-ZA"/>
        </w:rPr>
        <w:t xml:space="preserve"> and the Victoria Falls Stick Exchange.</w:t>
      </w:r>
      <w:r w:rsidR="00B2797A" w:rsidRPr="00B403FB">
        <w:rPr>
          <w:rFonts w:asciiTheme="minorHAnsi" w:hAnsiTheme="minorHAnsi" w:cstheme="minorHAnsi"/>
          <w:vertAlign w:val="superscript"/>
          <w:lang w:val="en-ZA"/>
        </w:rPr>
        <w:footnoteReference w:id="3"/>
      </w:r>
      <w:r w:rsidR="00B2797A" w:rsidRPr="00B403FB">
        <w:rPr>
          <w:rFonts w:asciiTheme="minorHAnsi" w:hAnsiTheme="minorHAnsi" w:cstheme="minorHAnsi"/>
          <w:lang w:val="en-ZA"/>
        </w:rPr>
        <w:t xml:space="preserve"> The core mandate of both the stock exchanges is to facilitate long term capital raising through listing of securities as well as offering secondary market securities trading and issuer regulation services.</w:t>
      </w:r>
      <w:r w:rsidR="00B2797A" w:rsidRPr="00B403FB">
        <w:rPr>
          <w:rFonts w:asciiTheme="minorHAnsi" w:hAnsiTheme="minorHAnsi" w:cstheme="minorHAnsi"/>
          <w:vertAlign w:val="superscript"/>
          <w:lang w:val="en-ZA"/>
        </w:rPr>
        <w:footnoteReference w:id="4"/>
      </w:r>
      <w:r w:rsidR="00B2797A" w:rsidRPr="00B403FB">
        <w:rPr>
          <w:rFonts w:asciiTheme="minorHAnsi" w:hAnsiTheme="minorHAnsi" w:cstheme="minorHAnsi"/>
          <w:lang w:val="en-ZA"/>
        </w:rPr>
        <w:t xml:space="preserve"> </w:t>
      </w:r>
      <w:r w:rsidR="00EE03A4" w:rsidRPr="00B403FB">
        <w:rPr>
          <w:rFonts w:asciiTheme="minorHAnsi" w:hAnsiTheme="minorHAnsi" w:cstheme="minorHAnsi"/>
          <w:lang w:val="en-ZA"/>
        </w:rPr>
        <w:t xml:space="preserve"> </w:t>
      </w:r>
      <w:r w:rsidR="00B2797A" w:rsidRPr="00B403FB">
        <w:rPr>
          <w:rFonts w:asciiTheme="minorHAnsi" w:hAnsiTheme="minorHAnsi" w:cstheme="minorHAnsi"/>
          <w:lang w:val="en-ZA"/>
        </w:rPr>
        <w:t>Currently, the Zimbabwe Stock Exchange has 65 listed entities and only three mining companies are listed namely Bindura Nickel Company (BNC), Rio-Zim, and Hwange Colliery.</w:t>
      </w:r>
      <w:r w:rsidR="00B2797A" w:rsidRPr="00B403FB">
        <w:rPr>
          <w:rFonts w:asciiTheme="minorHAnsi" w:hAnsiTheme="minorHAnsi" w:cstheme="minorHAnsi"/>
          <w:vertAlign w:val="superscript"/>
          <w:lang w:val="en-ZA"/>
        </w:rPr>
        <w:footnoteReference w:id="5"/>
      </w:r>
      <w:r w:rsidR="00B2797A" w:rsidRPr="00B403FB">
        <w:rPr>
          <w:rFonts w:asciiTheme="minorHAnsi" w:hAnsiTheme="minorHAnsi" w:cstheme="minorHAnsi"/>
          <w:lang w:val="en-ZA"/>
        </w:rPr>
        <w:t xml:space="preserve"> As part of the efforts by the Zimbabwe Stock Exchange to foster sustainability reporting by its listed companies, the Securities and Exchange (Zimbabwe Stock Exchange Listings Requirements) Rules, 2019 provides for an entire section on sustainability information and disclosure.</w:t>
      </w:r>
      <w:r w:rsidR="00B2797A" w:rsidRPr="00B403FB">
        <w:rPr>
          <w:rFonts w:asciiTheme="minorHAnsi" w:hAnsiTheme="minorHAnsi" w:cstheme="minorHAnsi"/>
          <w:vertAlign w:val="superscript"/>
          <w:lang w:val="en-ZA"/>
        </w:rPr>
        <w:footnoteReference w:id="6"/>
      </w:r>
      <w:r w:rsidR="00B2797A" w:rsidRPr="00B403FB">
        <w:rPr>
          <w:rFonts w:asciiTheme="minorHAnsi" w:hAnsiTheme="minorHAnsi" w:cstheme="minorHAnsi"/>
          <w:lang w:val="en-ZA"/>
        </w:rPr>
        <w:t xml:space="preserve"> In terms of these listing requirements, it shall be the responsibility of the Board of the listed company to disclose in the chairman’s statement the relevance of sustainability to the organisation.</w:t>
      </w:r>
      <w:r w:rsidR="00B2797A" w:rsidRPr="00B403FB">
        <w:rPr>
          <w:rFonts w:asciiTheme="minorHAnsi" w:hAnsiTheme="minorHAnsi" w:cstheme="minorHAnsi"/>
          <w:vertAlign w:val="superscript"/>
          <w:lang w:val="en-ZA"/>
        </w:rPr>
        <w:footnoteReference w:id="7"/>
      </w:r>
      <w:r w:rsidR="00B2797A" w:rsidRPr="00B403FB">
        <w:rPr>
          <w:rFonts w:asciiTheme="minorHAnsi" w:hAnsiTheme="minorHAnsi" w:cstheme="minorHAnsi"/>
          <w:lang w:val="en-ZA"/>
        </w:rPr>
        <w:t xml:space="preserve"> The Chairman’s report should also include the organisation’s strategy for addressing sustainability issues. Furthermore, to the sustainability reporting, the listed mining company must disclose its sustainability policy, including mitigation of risks, sustainability performance data and other material information which deepens stakeholder’s understanding of corporate performance. </w:t>
      </w:r>
      <w:r w:rsidR="00B2797A" w:rsidRPr="00B2797A">
        <w:rPr>
          <w:rFonts w:asciiTheme="minorHAnsi" w:hAnsiTheme="minorHAnsi" w:cstheme="minorHAnsi"/>
          <w:lang w:val="en-ZA"/>
        </w:rPr>
        <w:t>A listed company should provide a balanced and objective view of its performance by including both positive and negative impacts on the environment and society. Importantly, the reporting should also include how the listed mining company relates to its stakeholders and contribute to sustainable development. Internationally accepted reporting frameworks are encouraged in disclosing the company’s sustainability performance, but guidelines specifically mentioned are on the Global Reporting Initiatives (GRI) Sustainability Reporting Guidelines or Standards.</w:t>
      </w:r>
      <w:r w:rsidR="00B2797A" w:rsidRPr="00B2797A">
        <w:rPr>
          <w:rFonts w:asciiTheme="minorHAnsi" w:hAnsiTheme="minorHAnsi" w:cstheme="minorHAnsi"/>
          <w:vertAlign w:val="superscript"/>
          <w:lang w:val="en-ZA"/>
        </w:rPr>
        <w:footnoteReference w:id="8"/>
      </w:r>
      <w:r w:rsidR="00B2797A" w:rsidRPr="00B2797A">
        <w:rPr>
          <w:rFonts w:asciiTheme="minorHAnsi" w:hAnsiTheme="minorHAnsi" w:cstheme="minorHAnsi"/>
          <w:lang w:val="en-ZA"/>
        </w:rPr>
        <w:t xml:space="preserve"> The GRI Sustainability Reporting Guidelines set out general principles and indicators that listed companies can use to measure and report their economic, environment and social performance. Specific mentioning is made of listed companies that operate in industries that are extremely sensitive to environmental and social issues such as oil and gas, </w:t>
      </w:r>
      <w:proofErr w:type="gramStart"/>
      <w:r w:rsidR="00B2797A" w:rsidRPr="00B2797A">
        <w:rPr>
          <w:rFonts w:asciiTheme="minorHAnsi" w:hAnsiTheme="minorHAnsi" w:cstheme="minorHAnsi"/>
          <w:lang w:val="en-ZA"/>
        </w:rPr>
        <w:t>mining</w:t>
      </w:r>
      <w:proofErr w:type="gramEnd"/>
      <w:r w:rsidR="00B2797A" w:rsidRPr="00B2797A">
        <w:rPr>
          <w:rFonts w:asciiTheme="minorHAnsi" w:hAnsiTheme="minorHAnsi" w:cstheme="minorHAnsi"/>
          <w:lang w:val="en-ZA"/>
        </w:rPr>
        <w:t xml:space="preserve"> and metals sector whose high environmental and social exposure and impacts warrant specialized reporting frameworks for meaningful assessments of organisational risk and performance.</w:t>
      </w:r>
      <w:r w:rsidR="00B2797A" w:rsidRPr="00B2797A">
        <w:rPr>
          <w:rFonts w:asciiTheme="minorHAnsi" w:hAnsiTheme="minorHAnsi" w:cstheme="minorHAnsi"/>
          <w:vertAlign w:val="superscript"/>
          <w:lang w:val="en-ZA"/>
        </w:rPr>
        <w:footnoteReference w:id="9"/>
      </w:r>
      <w:r w:rsidR="00B2797A" w:rsidRPr="00B2797A">
        <w:rPr>
          <w:rFonts w:asciiTheme="minorHAnsi" w:hAnsiTheme="minorHAnsi" w:cstheme="minorHAnsi"/>
          <w:lang w:val="en-ZA"/>
        </w:rPr>
        <w:t xml:space="preserve"> </w:t>
      </w:r>
    </w:p>
    <w:p w14:paraId="61FD5541" w14:textId="77777777" w:rsidR="00B2797A" w:rsidRPr="00B2797A" w:rsidRDefault="00B2797A" w:rsidP="00B403FB">
      <w:pPr>
        <w:jc w:val="both"/>
        <w:rPr>
          <w:rFonts w:cstheme="minorHAnsi"/>
          <w:kern w:val="0"/>
          <w:sz w:val="24"/>
          <w:szCs w:val="24"/>
          <w:lang w:val="en-ZA"/>
          <w14:ligatures w14:val="none"/>
        </w:rPr>
      </w:pPr>
      <w:r w:rsidRPr="00B2797A">
        <w:rPr>
          <w:rFonts w:cstheme="minorHAnsi"/>
          <w:kern w:val="0"/>
          <w:sz w:val="24"/>
          <w:szCs w:val="24"/>
          <w:lang w:val="en-ZA"/>
          <w14:ligatures w14:val="none"/>
        </w:rPr>
        <w:lastRenderedPageBreak/>
        <w:t xml:space="preserve">There are only three listed companies under the ZSE, which are however, not Chinese owned companies. This, therefore, means that the industry specific sustainability </w:t>
      </w:r>
      <w:proofErr w:type="gramStart"/>
      <w:r w:rsidRPr="00B2797A">
        <w:rPr>
          <w:rFonts w:cstheme="minorHAnsi"/>
          <w:kern w:val="0"/>
          <w:sz w:val="24"/>
          <w:szCs w:val="24"/>
          <w:lang w:val="en-ZA"/>
          <w14:ligatures w14:val="none"/>
        </w:rPr>
        <w:t>reporting  information</w:t>
      </w:r>
      <w:proofErr w:type="gramEnd"/>
      <w:r w:rsidRPr="00B2797A">
        <w:rPr>
          <w:rFonts w:cstheme="minorHAnsi"/>
          <w:kern w:val="0"/>
          <w:sz w:val="24"/>
          <w:szCs w:val="24"/>
          <w:lang w:val="en-ZA"/>
          <w14:ligatures w14:val="none"/>
        </w:rPr>
        <w:t xml:space="preserve"> and disclosure provisions triangulated in terms of the regulation on integrating financial and non-financial disclosures( environmental and social) be included are not applicable to them and broadly all operating companies in the countries not listed.  Impressively, the mining industry related sustainability reporting of listed companies should be referenced to a standalone comprehensive sustainability report prepared separately and available to stakeholders. The reporting can also be in a standalone sustainability report giving a comprehensive disclosure of environmental and social issues and the report should be referenced in any reporting of annual financial statements by</w:t>
      </w:r>
      <w:r w:rsidRPr="00B2797A">
        <w:rPr>
          <w:rFonts w:cstheme="minorHAnsi"/>
          <w:kern w:val="0"/>
          <w:sz w:val="24"/>
          <w:szCs w:val="24"/>
          <w:lang w:val="en-ZA"/>
          <w14:ligatures w14:val="none"/>
        </w:rPr>
        <w:tab/>
        <w:t xml:space="preserve">providing a summary of sustainability information linked to the standalone report. </w:t>
      </w:r>
    </w:p>
    <w:p w14:paraId="58C67A67" w14:textId="77777777" w:rsidR="00B2797A" w:rsidRPr="00B403FB" w:rsidRDefault="00B2797A" w:rsidP="00B403FB">
      <w:pPr>
        <w:pStyle w:val="paragraph"/>
        <w:spacing w:before="0" w:beforeAutospacing="0" w:after="0" w:afterAutospacing="0"/>
        <w:jc w:val="both"/>
        <w:textAlignment w:val="baseline"/>
        <w:rPr>
          <w:rStyle w:val="eop"/>
          <w:rFonts w:asciiTheme="minorHAnsi" w:hAnsiTheme="minorHAnsi" w:cstheme="minorHAnsi"/>
          <w:lang w:val="en-ZA"/>
        </w:rPr>
      </w:pPr>
    </w:p>
    <w:p w14:paraId="69A4FE70" w14:textId="77777777" w:rsidR="00B2797A" w:rsidRPr="00B403FB" w:rsidRDefault="00B2797A" w:rsidP="00B403FB">
      <w:pPr>
        <w:pStyle w:val="paragraph"/>
        <w:spacing w:before="0" w:beforeAutospacing="0" w:after="0" w:afterAutospacing="0"/>
        <w:jc w:val="both"/>
        <w:textAlignment w:val="baseline"/>
        <w:rPr>
          <w:rFonts w:asciiTheme="minorHAnsi" w:hAnsiTheme="minorHAnsi" w:cstheme="minorHAnsi"/>
          <w:b/>
          <w:bCs/>
          <w:i/>
          <w:iCs/>
        </w:rPr>
      </w:pPr>
    </w:p>
    <w:p w14:paraId="3EAEF7B8" w14:textId="77777777" w:rsidR="00606ED5" w:rsidRPr="00B403FB" w:rsidRDefault="00606ED5" w:rsidP="00B403FB">
      <w:pPr>
        <w:pStyle w:val="paragraph"/>
        <w:spacing w:before="0" w:beforeAutospacing="0" w:after="0" w:afterAutospacing="0"/>
        <w:jc w:val="both"/>
        <w:textAlignment w:val="baseline"/>
        <w:rPr>
          <w:rStyle w:val="normaltextrun"/>
          <w:rFonts w:asciiTheme="minorHAnsi" w:hAnsiTheme="minorHAnsi" w:cstheme="minorHAnsi"/>
          <w:b/>
          <w:bCs/>
        </w:rPr>
      </w:pPr>
    </w:p>
    <w:p w14:paraId="2B16E2F8" w14:textId="36F3B68C" w:rsidR="00606ED5" w:rsidRPr="00B403FB" w:rsidRDefault="00606ED5" w:rsidP="00B403FB">
      <w:pPr>
        <w:pStyle w:val="paragraph"/>
        <w:spacing w:before="0" w:beforeAutospacing="0" w:after="0" w:afterAutospacing="0"/>
        <w:jc w:val="both"/>
        <w:textAlignment w:val="baseline"/>
        <w:rPr>
          <w:rStyle w:val="eop"/>
          <w:rFonts w:asciiTheme="minorHAnsi" w:hAnsiTheme="minorHAnsi" w:cstheme="minorHAnsi"/>
          <w:b/>
          <w:bCs/>
        </w:rPr>
      </w:pPr>
      <w:r w:rsidRPr="00B403FB">
        <w:rPr>
          <w:rStyle w:val="normaltextrun"/>
          <w:rFonts w:asciiTheme="minorHAnsi" w:hAnsiTheme="minorHAnsi" w:cstheme="minorHAnsi"/>
          <w:b/>
          <w:bCs/>
        </w:rPr>
        <w:t xml:space="preserve">How effective are international instruments, institutions and guidance that promotes HRDD, such as by the UN Global Compact, Equator Principles, Principles of Responsible Investment, Investor Alliance for Human Rights, Business for Social </w:t>
      </w:r>
      <w:proofErr w:type="gramStart"/>
      <w:r w:rsidRPr="00B403FB">
        <w:rPr>
          <w:rStyle w:val="normaltextrun"/>
          <w:rFonts w:asciiTheme="minorHAnsi" w:hAnsiTheme="minorHAnsi" w:cstheme="minorHAnsi"/>
          <w:b/>
          <w:bCs/>
        </w:rPr>
        <w:t>Responsibility</w:t>
      </w:r>
      <w:proofErr w:type="gramEnd"/>
      <w:r w:rsidRPr="00B403FB">
        <w:rPr>
          <w:rStyle w:val="normaltextrun"/>
          <w:rFonts w:asciiTheme="minorHAnsi" w:hAnsiTheme="minorHAnsi" w:cstheme="minorHAnsi"/>
          <w:b/>
          <w:bCs/>
        </w:rPr>
        <w:t xml:space="preserve"> and other entities, effective in increasing awareness of human rights impacts among investors and other businesses? Please provide examples of participation, integration, or adherence of investors in these instruments and bodies.</w:t>
      </w:r>
      <w:r w:rsidRPr="00B403FB">
        <w:rPr>
          <w:rStyle w:val="eop"/>
          <w:rFonts w:asciiTheme="minorHAnsi" w:hAnsiTheme="minorHAnsi" w:cstheme="minorHAnsi"/>
          <w:b/>
          <w:bCs/>
        </w:rPr>
        <w:t> </w:t>
      </w:r>
    </w:p>
    <w:p w14:paraId="780F13A1" w14:textId="77777777" w:rsidR="00EE03A4" w:rsidRPr="00B403FB" w:rsidRDefault="00EE03A4" w:rsidP="00B403FB">
      <w:pPr>
        <w:pStyle w:val="paragraph"/>
        <w:spacing w:before="0" w:beforeAutospacing="0" w:after="0" w:afterAutospacing="0"/>
        <w:jc w:val="both"/>
        <w:textAlignment w:val="baseline"/>
        <w:rPr>
          <w:rStyle w:val="eop"/>
          <w:rFonts w:asciiTheme="minorHAnsi" w:hAnsiTheme="minorHAnsi" w:cstheme="minorHAnsi"/>
          <w:b/>
          <w:bCs/>
        </w:rPr>
      </w:pPr>
    </w:p>
    <w:p w14:paraId="75C89705" w14:textId="372711A9" w:rsidR="00EE03A4" w:rsidRPr="00B403FB" w:rsidRDefault="00EE03A4" w:rsidP="00B403FB">
      <w:pPr>
        <w:pStyle w:val="paragraph"/>
        <w:spacing w:before="0" w:beforeAutospacing="0" w:after="0" w:afterAutospacing="0"/>
        <w:jc w:val="both"/>
        <w:textAlignment w:val="baseline"/>
        <w:rPr>
          <w:rStyle w:val="eop"/>
          <w:rFonts w:asciiTheme="minorHAnsi" w:hAnsiTheme="minorHAnsi" w:cstheme="minorHAnsi"/>
        </w:rPr>
      </w:pPr>
      <w:r w:rsidRPr="00B403FB">
        <w:rPr>
          <w:rStyle w:val="eop"/>
          <w:rFonts w:asciiTheme="minorHAnsi" w:hAnsiTheme="minorHAnsi" w:cstheme="minorHAnsi"/>
        </w:rPr>
        <w:t xml:space="preserve">The instruments are not effective since they are not binding on members states. It therefore crucial to have a strong legally binding instrument. </w:t>
      </w:r>
    </w:p>
    <w:p w14:paraId="7D62F424" w14:textId="77777777" w:rsidR="00EE03A4" w:rsidRPr="00B403FB" w:rsidRDefault="00EE03A4" w:rsidP="00B403FB">
      <w:pPr>
        <w:pStyle w:val="paragraph"/>
        <w:spacing w:before="0" w:beforeAutospacing="0" w:after="0" w:afterAutospacing="0"/>
        <w:jc w:val="both"/>
        <w:textAlignment w:val="baseline"/>
        <w:rPr>
          <w:rFonts w:asciiTheme="minorHAnsi" w:hAnsiTheme="minorHAnsi" w:cstheme="minorHAnsi"/>
          <w:b/>
          <w:bCs/>
        </w:rPr>
      </w:pPr>
    </w:p>
    <w:p w14:paraId="43404E82"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b/>
          <w:bCs/>
        </w:rPr>
      </w:pPr>
      <w:r w:rsidRPr="00B403FB">
        <w:rPr>
          <w:rStyle w:val="normaltextrun"/>
          <w:rFonts w:asciiTheme="minorHAnsi" w:hAnsiTheme="minorHAnsi" w:cstheme="minorHAnsi"/>
          <w:b/>
          <w:bCs/>
        </w:rPr>
        <w:t xml:space="preserve">What does appropriate investor action entail </w:t>
      </w:r>
      <w:proofErr w:type="gramStart"/>
      <w:r w:rsidRPr="00B403FB">
        <w:rPr>
          <w:rStyle w:val="normaltextrun"/>
          <w:rFonts w:asciiTheme="minorHAnsi" w:hAnsiTheme="minorHAnsi" w:cstheme="minorHAnsi"/>
          <w:b/>
          <w:bCs/>
        </w:rPr>
        <w:t>in the event that</w:t>
      </w:r>
      <w:proofErr w:type="gramEnd"/>
      <w:r w:rsidRPr="00B403FB">
        <w:rPr>
          <w:rStyle w:val="normaltextrun"/>
          <w:rFonts w:asciiTheme="minorHAnsi" w:hAnsiTheme="minorHAnsi" w:cstheme="minorHAnsi"/>
          <w:b/>
          <w:bCs/>
        </w:rPr>
        <w:t xml:space="preserve"> a client or portfolio company causes or contributes to a potential or actual adverse human rights impact?</w:t>
      </w:r>
      <w:r w:rsidRPr="00B403FB">
        <w:rPr>
          <w:rStyle w:val="eop"/>
          <w:rFonts w:asciiTheme="minorHAnsi" w:hAnsiTheme="minorHAnsi" w:cstheme="minorHAnsi"/>
          <w:b/>
          <w:bCs/>
          <w:color w:val="D13438"/>
        </w:rPr>
        <w:t> </w:t>
      </w:r>
    </w:p>
    <w:p w14:paraId="7AB3016E" w14:textId="77777777" w:rsidR="00EE03A4" w:rsidRPr="00B403FB" w:rsidRDefault="00EE03A4" w:rsidP="00B403FB">
      <w:pPr>
        <w:pStyle w:val="paragraph"/>
        <w:spacing w:before="0" w:beforeAutospacing="0" w:after="0" w:afterAutospacing="0"/>
        <w:jc w:val="both"/>
        <w:textAlignment w:val="baseline"/>
        <w:rPr>
          <w:rStyle w:val="normaltextrun"/>
          <w:rFonts w:asciiTheme="minorHAnsi" w:hAnsiTheme="minorHAnsi" w:cstheme="minorHAnsi"/>
          <w:color w:val="D13438"/>
          <w:u w:val="single"/>
        </w:rPr>
      </w:pPr>
    </w:p>
    <w:p w14:paraId="1510AA78" w14:textId="6FDFE076"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r w:rsidRPr="00B403FB">
        <w:rPr>
          <w:rStyle w:val="normaltextrun"/>
          <w:rFonts w:asciiTheme="minorHAnsi" w:hAnsiTheme="minorHAnsi" w:cstheme="minorHAnsi"/>
        </w:rPr>
        <w:t>Appropriate investor action entails full investigation into the matter and providing a remedy for the aggrieved party. It also means the investor needs to assess whether there were any loopholes in its policies which led to the adverse human rights impact and subsequently address it at that level.</w:t>
      </w:r>
      <w:r w:rsidRPr="00B403FB">
        <w:rPr>
          <w:rStyle w:val="eop"/>
          <w:rFonts w:asciiTheme="minorHAnsi" w:hAnsiTheme="minorHAnsi" w:cstheme="minorHAnsi"/>
        </w:rPr>
        <w:t> </w:t>
      </w:r>
    </w:p>
    <w:p w14:paraId="3FE5CB28" w14:textId="77777777" w:rsidR="00EE03A4" w:rsidRPr="00B403FB" w:rsidRDefault="00EE03A4" w:rsidP="00B403FB">
      <w:pPr>
        <w:pStyle w:val="paragraph"/>
        <w:spacing w:before="0" w:beforeAutospacing="0" w:after="0" w:afterAutospacing="0"/>
        <w:jc w:val="both"/>
        <w:textAlignment w:val="baseline"/>
        <w:rPr>
          <w:rStyle w:val="normaltextrun"/>
          <w:rFonts w:asciiTheme="minorHAnsi" w:hAnsiTheme="minorHAnsi" w:cstheme="minorHAnsi"/>
        </w:rPr>
      </w:pPr>
    </w:p>
    <w:p w14:paraId="57247ACB" w14:textId="77777777" w:rsidR="00B403FB" w:rsidRPr="00B403FB" w:rsidRDefault="00606ED5" w:rsidP="00B403FB">
      <w:pPr>
        <w:pStyle w:val="paragraph"/>
        <w:spacing w:before="0" w:beforeAutospacing="0" w:after="0" w:afterAutospacing="0"/>
        <w:jc w:val="both"/>
        <w:textAlignment w:val="baseline"/>
        <w:rPr>
          <w:rFonts w:asciiTheme="minorHAnsi" w:hAnsiTheme="minorHAnsi" w:cstheme="minorHAnsi"/>
          <w:b/>
          <w:bCs/>
        </w:rPr>
      </w:pPr>
      <w:r w:rsidRPr="00B403FB">
        <w:rPr>
          <w:rStyle w:val="normaltextrun"/>
          <w:rFonts w:asciiTheme="minorHAnsi" w:hAnsiTheme="minorHAnsi" w:cstheme="minorHAnsi"/>
          <w:b/>
          <w:bCs/>
        </w:rPr>
        <w:t>Are there any roles which stock exchanges could play in ensuring investors, and the businesses in which they invest, respect human rights?</w:t>
      </w:r>
      <w:r w:rsidRPr="00B403FB">
        <w:rPr>
          <w:rStyle w:val="eop"/>
          <w:rFonts w:asciiTheme="minorHAnsi" w:hAnsiTheme="minorHAnsi" w:cstheme="minorHAnsi"/>
          <w:b/>
          <w:bCs/>
          <w:color w:val="D13438"/>
        </w:rPr>
        <w:t> </w:t>
      </w:r>
    </w:p>
    <w:p w14:paraId="48D18481" w14:textId="77777777" w:rsidR="00B403FB" w:rsidRPr="00B403FB" w:rsidRDefault="00B403FB" w:rsidP="00B403FB">
      <w:pPr>
        <w:pStyle w:val="paragraph"/>
        <w:spacing w:before="0" w:beforeAutospacing="0" w:after="0" w:afterAutospacing="0"/>
        <w:jc w:val="both"/>
        <w:textAlignment w:val="baseline"/>
        <w:rPr>
          <w:rFonts w:asciiTheme="minorHAnsi" w:hAnsiTheme="minorHAnsi" w:cstheme="minorHAnsi"/>
        </w:rPr>
      </w:pPr>
    </w:p>
    <w:p w14:paraId="109E3B54" w14:textId="2D87ABAB"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r w:rsidRPr="00B403FB">
        <w:rPr>
          <w:rStyle w:val="normaltextrun"/>
          <w:rFonts w:asciiTheme="minorHAnsi" w:hAnsiTheme="minorHAnsi" w:cstheme="minorHAnsi"/>
        </w:rPr>
        <w:t>Stock exchanges should provide ESG reporting guidance for businesses that list with them so that it is easier for the businesses to report adequately on different metrics. This also helps in providing information that is uniform, easy to assess and compare.</w:t>
      </w:r>
      <w:r w:rsidRPr="00B403FB">
        <w:rPr>
          <w:rStyle w:val="eop"/>
          <w:rFonts w:asciiTheme="minorHAnsi" w:hAnsiTheme="minorHAnsi" w:cstheme="minorHAnsi"/>
        </w:rPr>
        <w:t> </w:t>
      </w:r>
    </w:p>
    <w:p w14:paraId="14C657E0" w14:textId="77777777" w:rsidR="00B403FB" w:rsidRPr="00B403FB" w:rsidRDefault="00B403FB" w:rsidP="00B403FB">
      <w:pPr>
        <w:pStyle w:val="paragraph"/>
        <w:spacing w:before="0" w:beforeAutospacing="0" w:after="0" w:afterAutospacing="0"/>
        <w:jc w:val="both"/>
        <w:textAlignment w:val="baseline"/>
        <w:rPr>
          <w:rStyle w:val="normaltextrun"/>
          <w:rFonts w:asciiTheme="minorHAnsi" w:hAnsiTheme="minorHAnsi" w:cstheme="minorHAnsi"/>
          <w:b/>
          <w:bCs/>
        </w:rPr>
      </w:pPr>
    </w:p>
    <w:p w14:paraId="2156B313" w14:textId="28D52A59"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r w:rsidRPr="00B403FB">
        <w:rPr>
          <w:rStyle w:val="normaltextrun"/>
          <w:rFonts w:asciiTheme="minorHAnsi" w:hAnsiTheme="minorHAnsi" w:cstheme="minorHAnsi"/>
          <w:b/>
          <w:bCs/>
        </w:rPr>
        <w:t>Access to remedy</w:t>
      </w:r>
      <w:r w:rsidRPr="00B403FB">
        <w:rPr>
          <w:rStyle w:val="eop"/>
          <w:rFonts w:asciiTheme="minorHAnsi" w:hAnsiTheme="minorHAnsi" w:cstheme="minorHAnsi"/>
        </w:rPr>
        <w:t> </w:t>
      </w:r>
    </w:p>
    <w:p w14:paraId="1620A42A" w14:textId="77777777" w:rsidR="00606ED5" w:rsidRPr="00B403FB" w:rsidRDefault="00606ED5" w:rsidP="00B403FB">
      <w:pPr>
        <w:pStyle w:val="paragraph"/>
        <w:spacing w:before="0" w:beforeAutospacing="0" w:after="0" w:afterAutospacing="0"/>
        <w:jc w:val="both"/>
        <w:textAlignment w:val="baseline"/>
        <w:rPr>
          <w:rStyle w:val="eop"/>
          <w:rFonts w:asciiTheme="minorHAnsi" w:hAnsiTheme="minorHAnsi" w:cstheme="minorHAnsi"/>
        </w:rPr>
      </w:pPr>
      <w:r w:rsidRPr="00B403FB">
        <w:rPr>
          <w:rStyle w:val="normaltextrun"/>
          <w:rFonts w:asciiTheme="minorHAnsi" w:hAnsiTheme="minorHAnsi" w:cstheme="minorHAnsi"/>
          <w:b/>
          <w:bCs/>
          <w:i/>
          <w:iCs/>
        </w:rPr>
        <w:t>State-based judicial and non-judicial mechanisms</w:t>
      </w:r>
      <w:r w:rsidRPr="00B403FB">
        <w:rPr>
          <w:rStyle w:val="eop"/>
          <w:rFonts w:asciiTheme="minorHAnsi" w:hAnsiTheme="minorHAnsi" w:cstheme="minorHAnsi"/>
        </w:rPr>
        <w:t> </w:t>
      </w:r>
    </w:p>
    <w:p w14:paraId="3847C87F" w14:textId="77777777" w:rsidR="00EE03A4" w:rsidRPr="00B403FB" w:rsidRDefault="00EE03A4" w:rsidP="00B403FB">
      <w:pPr>
        <w:pStyle w:val="paragraph"/>
        <w:spacing w:before="0" w:beforeAutospacing="0" w:after="0" w:afterAutospacing="0"/>
        <w:jc w:val="both"/>
        <w:textAlignment w:val="baseline"/>
        <w:rPr>
          <w:rFonts w:asciiTheme="minorHAnsi" w:hAnsiTheme="minorHAnsi" w:cstheme="minorHAnsi"/>
        </w:rPr>
      </w:pPr>
    </w:p>
    <w:p w14:paraId="7D46A4F0"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b/>
          <w:bCs/>
        </w:rPr>
      </w:pPr>
      <w:r w:rsidRPr="00B403FB">
        <w:rPr>
          <w:rStyle w:val="normaltextrun"/>
          <w:rFonts w:asciiTheme="minorHAnsi" w:hAnsiTheme="minorHAnsi" w:cstheme="minorHAnsi"/>
          <w:b/>
          <w:bCs/>
        </w:rPr>
        <w:t>What steps have States taken to investigate, punish, and redress business-related human rights abuses connected to investors, and how effective are they? What challenges and opportunities for participation by affected stakeholders and/or redress have you observed?</w:t>
      </w:r>
      <w:r w:rsidRPr="00B403FB">
        <w:rPr>
          <w:rStyle w:val="eop"/>
          <w:rFonts w:asciiTheme="minorHAnsi" w:hAnsiTheme="minorHAnsi" w:cstheme="minorHAnsi"/>
          <w:b/>
          <w:bCs/>
        </w:rPr>
        <w:t> </w:t>
      </w:r>
    </w:p>
    <w:p w14:paraId="5484AA7A" w14:textId="77777777" w:rsidR="00EE03A4" w:rsidRPr="00B403FB" w:rsidRDefault="00EE03A4" w:rsidP="00B403FB">
      <w:pPr>
        <w:pStyle w:val="paragraph"/>
        <w:spacing w:before="0" w:beforeAutospacing="0" w:after="0" w:afterAutospacing="0"/>
        <w:jc w:val="both"/>
        <w:textAlignment w:val="baseline"/>
        <w:rPr>
          <w:rStyle w:val="normaltextrun"/>
          <w:rFonts w:asciiTheme="minorHAnsi" w:hAnsiTheme="minorHAnsi" w:cstheme="minorHAnsi"/>
        </w:rPr>
      </w:pPr>
    </w:p>
    <w:p w14:paraId="1A32888C" w14:textId="2BE4AF34"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r w:rsidRPr="00B403FB">
        <w:rPr>
          <w:rStyle w:val="normaltextrun"/>
          <w:rFonts w:asciiTheme="minorHAnsi" w:hAnsiTheme="minorHAnsi" w:cstheme="minorHAnsi"/>
        </w:rPr>
        <w:t>States do have laws and policies put in place to protect the people against human rights abuses by any investor or business operation. However, the implementation of these laws and policies is what is at stake. The channels for accessing remedies are usually costly on the part of the complainant hence we see them being a victim of business-related abuse.</w:t>
      </w:r>
      <w:r w:rsidR="00EE03A4" w:rsidRPr="00B403FB">
        <w:rPr>
          <w:rStyle w:val="normaltextrun"/>
          <w:rFonts w:asciiTheme="minorHAnsi" w:hAnsiTheme="minorHAnsi" w:cstheme="minorHAnsi"/>
        </w:rPr>
        <w:t xml:space="preserve"> Some of the </w:t>
      </w:r>
      <w:r w:rsidR="00EE03A4" w:rsidRPr="00B403FB">
        <w:rPr>
          <w:rFonts w:asciiTheme="minorHAnsi" w:hAnsiTheme="minorHAnsi" w:cstheme="minorHAnsi"/>
          <w:lang w:val="en-US"/>
        </w:rPr>
        <w:t xml:space="preserve">challenges span </w:t>
      </w:r>
      <w:r w:rsidR="00EE03A4" w:rsidRPr="00B403FB">
        <w:rPr>
          <w:rFonts w:asciiTheme="minorHAnsi" w:hAnsiTheme="minorHAnsi" w:cstheme="minorHAnsi"/>
          <w:lang w:val="en-US"/>
        </w:rPr>
        <w:t xml:space="preserve">to access remedies span </w:t>
      </w:r>
      <w:r w:rsidR="00EE03A4" w:rsidRPr="00B403FB">
        <w:rPr>
          <w:rFonts w:asciiTheme="minorHAnsi" w:hAnsiTheme="minorHAnsi" w:cstheme="minorHAnsi"/>
          <w:lang w:val="en-US"/>
        </w:rPr>
        <w:t xml:space="preserve">from the high costs of litigation to evidential hurdles, access to crucial information, establishing jurisdictional links, or evidentiary hurdles and burden of proof for liability. These insurmountable barriers to accessing justice are exacerbated by weak legal and regulatory frameworks within states for the provision of free legal services. In the face of these struggles, the legally binding instrument to regulate the activities of TNCs and other business enterprises provides an opportunity to adopt strong provisions. Without a strong, binding treaty that addresses hurdles to accessing justice, the hope of </w:t>
      </w:r>
      <w:r w:rsidR="00EE03A4" w:rsidRPr="00B403FB">
        <w:rPr>
          <w:rFonts w:asciiTheme="minorHAnsi" w:hAnsiTheme="minorHAnsi" w:cstheme="minorHAnsi"/>
          <w:lang w:val="en-US"/>
        </w:rPr>
        <w:t>realizing</w:t>
      </w:r>
      <w:r w:rsidR="00EE03A4" w:rsidRPr="00B403FB">
        <w:rPr>
          <w:rFonts w:asciiTheme="minorHAnsi" w:hAnsiTheme="minorHAnsi" w:cstheme="minorHAnsi"/>
          <w:lang w:val="en-US"/>
        </w:rPr>
        <w:t xml:space="preserve"> corporate accountability will never be fulfilled</w:t>
      </w:r>
      <w:r w:rsidR="00EE03A4" w:rsidRPr="00B403FB">
        <w:rPr>
          <w:rStyle w:val="normaltextrun"/>
          <w:rFonts w:asciiTheme="minorHAnsi" w:hAnsiTheme="minorHAnsi" w:cstheme="minorHAnsi"/>
        </w:rPr>
        <w:t xml:space="preserve">One of the major challenges for access to remedy is evidentiary burden, expensive legal fees, </w:t>
      </w:r>
      <w:r w:rsidRPr="00B403FB">
        <w:rPr>
          <w:rStyle w:val="normaltextrun"/>
          <w:rFonts w:asciiTheme="minorHAnsi" w:hAnsiTheme="minorHAnsi" w:cstheme="minorHAnsi"/>
        </w:rPr>
        <w:t xml:space="preserve"> </w:t>
      </w:r>
      <w:r w:rsidRPr="00B403FB">
        <w:rPr>
          <w:rStyle w:val="eop"/>
          <w:rFonts w:asciiTheme="minorHAnsi" w:hAnsiTheme="minorHAnsi" w:cstheme="minorHAnsi"/>
        </w:rPr>
        <w:t> </w:t>
      </w:r>
    </w:p>
    <w:p w14:paraId="2559F918" w14:textId="77777777" w:rsidR="00606ED5" w:rsidRPr="00B403FB" w:rsidRDefault="00606ED5" w:rsidP="00B403FB">
      <w:pPr>
        <w:pStyle w:val="paragraph"/>
        <w:spacing w:before="0" w:beforeAutospacing="0" w:after="0" w:afterAutospacing="0"/>
        <w:jc w:val="both"/>
        <w:textAlignment w:val="baseline"/>
        <w:rPr>
          <w:rStyle w:val="normaltextrun"/>
          <w:rFonts w:asciiTheme="minorHAnsi" w:hAnsiTheme="minorHAnsi" w:cstheme="minorHAnsi"/>
          <w:b/>
          <w:bCs/>
          <w:i/>
          <w:iCs/>
        </w:rPr>
      </w:pPr>
    </w:p>
    <w:p w14:paraId="4D97FA6A" w14:textId="59622608" w:rsidR="00606ED5" w:rsidRPr="00B403FB" w:rsidRDefault="00606ED5" w:rsidP="00B403FB">
      <w:pPr>
        <w:pStyle w:val="paragraph"/>
        <w:spacing w:before="0" w:beforeAutospacing="0" w:after="0" w:afterAutospacing="0"/>
        <w:jc w:val="both"/>
        <w:textAlignment w:val="baseline"/>
        <w:rPr>
          <w:rStyle w:val="eop"/>
          <w:rFonts w:asciiTheme="minorHAnsi" w:hAnsiTheme="minorHAnsi" w:cstheme="minorHAnsi"/>
        </w:rPr>
      </w:pPr>
      <w:r w:rsidRPr="00B403FB">
        <w:rPr>
          <w:rStyle w:val="normaltextrun"/>
          <w:rFonts w:asciiTheme="minorHAnsi" w:hAnsiTheme="minorHAnsi" w:cstheme="minorHAnsi"/>
          <w:b/>
          <w:bCs/>
          <w:i/>
          <w:iCs/>
        </w:rPr>
        <w:t xml:space="preserve">Non-State based </w:t>
      </w:r>
      <w:proofErr w:type="gramStart"/>
      <w:r w:rsidRPr="00B403FB">
        <w:rPr>
          <w:rStyle w:val="normaltextrun"/>
          <w:rFonts w:asciiTheme="minorHAnsi" w:hAnsiTheme="minorHAnsi" w:cstheme="minorHAnsi"/>
          <w:b/>
          <w:bCs/>
          <w:i/>
          <w:iCs/>
        </w:rPr>
        <w:t>mechanisms</w:t>
      </w:r>
      <w:proofErr w:type="gramEnd"/>
      <w:r w:rsidRPr="00B403FB">
        <w:rPr>
          <w:rStyle w:val="eop"/>
          <w:rFonts w:asciiTheme="minorHAnsi" w:hAnsiTheme="minorHAnsi" w:cstheme="minorHAnsi"/>
        </w:rPr>
        <w:t> </w:t>
      </w:r>
    </w:p>
    <w:p w14:paraId="1A442A56" w14:textId="77777777" w:rsidR="00EE03A4" w:rsidRPr="00B403FB" w:rsidRDefault="00EE03A4" w:rsidP="00B403FB">
      <w:pPr>
        <w:pStyle w:val="paragraph"/>
        <w:spacing w:before="0" w:beforeAutospacing="0" w:after="0" w:afterAutospacing="0"/>
        <w:jc w:val="both"/>
        <w:textAlignment w:val="baseline"/>
        <w:rPr>
          <w:rFonts w:asciiTheme="minorHAnsi" w:hAnsiTheme="minorHAnsi" w:cstheme="minorHAnsi"/>
        </w:rPr>
      </w:pPr>
    </w:p>
    <w:p w14:paraId="5F99AF85"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b/>
          <w:bCs/>
          <w:i/>
          <w:iCs/>
        </w:rPr>
      </w:pPr>
      <w:r w:rsidRPr="00B403FB">
        <w:rPr>
          <w:rStyle w:val="normaltextrun"/>
          <w:rFonts w:asciiTheme="minorHAnsi" w:hAnsiTheme="minorHAnsi" w:cstheme="minorHAnsi"/>
          <w:b/>
          <w:bCs/>
          <w:i/>
          <w:iCs/>
        </w:rPr>
        <w:t>What measures and mechanisms, including grievance mechanisms, should be provided at the investment-level that enable individuals or communities affected by the business in which the investor has invested (</w:t>
      </w:r>
      <w:proofErr w:type="gramStart"/>
      <w:r w:rsidRPr="00B403FB">
        <w:rPr>
          <w:rStyle w:val="normaltextrun"/>
          <w:rFonts w:asciiTheme="minorHAnsi" w:hAnsiTheme="minorHAnsi" w:cstheme="minorHAnsi"/>
          <w:b/>
          <w:bCs/>
          <w:i/>
          <w:iCs/>
        </w:rPr>
        <w:t>e.g.</w:t>
      </w:r>
      <w:proofErr w:type="gramEnd"/>
      <w:r w:rsidRPr="00B403FB">
        <w:rPr>
          <w:rStyle w:val="normaltextrun"/>
          <w:rFonts w:asciiTheme="minorHAnsi" w:hAnsiTheme="minorHAnsi" w:cstheme="minorHAnsi"/>
          <w:b/>
          <w:bCs/>
          <w:i/>
          <w:iCs/>
        </w:rPr>
        <w:t xml:space="preserve"> the portfolio company) to report adverse human rights impacts to the investor and seek effective remedy for human rights and environmental abuses? How effective are these in providing remedies to the victims? Please provide examples of business or industry association actions in this area.</w:t>
      </w:r>
      <w:r w:rsidRPr="00B403FB">
        <w:rPr>
          <w:rStyle w:val="eop"/>
          <w:rFonts w:asciiTheme="minorHAnsi" w:hAnsiTheme="minorHAnsi" w:cstheme="minorHAnsi"/>
          <w:b/>
          <w:bCs/>
          <w:i/>
          <w:iCs/>
        </w:rPr>
        <w:t> </w:t>
      </w:r>
    </w:p>
    <w:p w14:paraId="3AA56648" w14:textId="77777777" w:rsidR="00EE03A4" w:rsidRPr="00B403FB" w:rsidRDefault="00EE03A4" w:rsidP="00B403FB">
      <w:pPr>
        <w:pStyle w:val="paragraph"/>
        <w:spacing w:before="0" w:beforeAutospacing="0" w:after="0" w:afterAutospacing="0"/>
        <w:jc w:val="both"/>
        <w:textAlignment w:val="baseline"/>
        <w:rPr>
          <w:rStyle w:val="normaltextrun"/>
          <w:rFonts w:asciiTheme="minorHAnsi" w:hAnsiTheme="minorHAnsi" w:cstheme="minorHAnsi"/>
        </w:rPr>
      </w:pPr>
    </w:p>
    <w:p w14:paraId="25EF5982" w14:textId="0BD9B946" w:rsidR="00606ED5" w:rsidRPr="00B403FB" w:rsidRDefault="00606ED5" w:rsidP="00B403FB">
      <w:pPr>
        <w:pStyle w:val="paragraph"/>
        <w:spacing w:before="0" w:beforeAutospacing="0" w:after="0" w:afterAutospacing="0"/>
        <w:jc w:val="both"/>
        <w:textAlignment w:val="baseline"/>
        <w:rPr>
          <w:rStyle w:val="eop"/>
          <w:rFonts w:asciiTheme="minorHAnsi" w:hAnsiTheme="minorHAnsi" w:cstheme="minorHAnsi"/>
        </w:rPr>
      </w:pPr>
      <w:r w:rsidRPr="00B403FB">
        <w:rPr>
          <w:rStyle w:val="normaltextrun"/>
          <w:rFonts w:asciiTheme="minorHAnsi" w:hAnsiTheme="minorHAnsi" w:cstheme="minorHAnsi"/>
        </w:rPr>
        <w:t xml:space="preserve">It should be requirement that for an investor to be allowed to invest in a state, they should have an independent redress mechanisms set in place to enable individuals and communities affected by their operations to report their complaints. For </w:t>
      </w:r>
      <w:proofErr w:type="gramStart"/>
      <w:r w:rsidRPr="00B403FB">
        <w:rPr>
          <w:rStyle w:val="normaltextrun"/>
          <w:rFonts w:asciiTheme="minorHAnsi" w:hAnsiTheme="minorHAnsi" w:cstheme="minorHAnsi"/>
        </w:rPr>
        <w:t>example</w:t>
      </w:r>
      <w:proofErr w:type="gramEnd"/>
      <w:r w:rsidRPr="00B403FB">
        <w:rPr>
          <w:rStyle w:val="normaltextrun"/>
          <w:rFonts w:asciiTheme="minorHAnsi" w:hAnsiTheme="minorHAnsi" w:cstheme="minorHAnsi"/>
        </w:rPr>
        <w:t xml:space="preserve"> the China Chamber of Commerce of Metals, Minerals &amp; Chemicals Importers &amp; Exporters (CCCMC), a major industry association responsible for coordinating and formulating industry corporate social responsibility initiatives, recently launched guidelines and procedure on Mediation and Consultation mechanism for stakeholders in the mining sector that are affected by Chinese investors</w:t>
      </w:r>
      <w:r w:rsidRPr="00B403FB">
        <w:rPr>
          <w:rStyle w:val="eop"/>
          <w:rFonts w:asciiTheme="minorHAnsi" w:hAnsiTheme="minorHAnsi" w:cstheme="minorHAnsi"/>
        </w:rPr>
        <w:t> </w:t>
      </w:r>
    </w:p>
    <w:p w14:paraId="38D805C5" w14:textId="77777777" w:rsidR="00EE03A4" w:rsidRPr="00B403FB" w:rsidRDefault="00EE03A4" w:rsidP="00B403FB">
      <w:pPr>
        <w:pStyle w:val="paragraph"/>
        <w:spacing w:before="0" w:beforeAutospacing="0" w:after="0" w:afterAutospacing="0"/>
        <w:jc w:val="both"/>
        <w:textAlignment w:val="baseline"/>
        <w:rPr>
          <w:rFonts w:asciiTheme="minorHAnsi" w:hAnsiTheme="minorHAnsi" w:cstheme="minorHAnsi"/>
        </w:rPr>
      </w:pPr>
    </w:p>
    <w:p w14:paraId="5C5B2361"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r w:rsidRPr="00B403FB">
        <w:rPr>
          <w:rStyle w:val="eop"/>
          <w:rFonts w:asciiTheme="minorHAnsi" w:hAnsiTheme="minorHAnsi" w:cstheme="minorHAnsi"/>
        </w:rPr>
        <w:t> </w:t>
      </w:r>
    </w:p>
    <w:p w14:paraId="2F691908" w14:textId="77777777" w:rsidR="00606ED5" w:rsidRPr="00B403FB" w:rsidRDefault="00606ED5" w:rsidP="00B403FB">
      <w:pPr>
        <w:pStyle w:val="paragraph"/>
        <w:spacing w:before="0" w:beforeAutospacing="0" w:after="0" w:afterAutospacing="0"/>
        <w:jc w:val="both"/>
        <w:textAlignment w:val="baseline"/>
        <w:rPr>
          <w:rFonts w:asciiTheme="minorHAnsi" w:hAnsiTheme="minorHAnsi" w:cstheme="minorHAnsi"/>
        </w:rPr>
      </w:pPr>
      <w:r w:rsidRPr="00B403FB">
        <w:rPr>
          <w:rStyle w:val="eop"/>
          <w:rFonts w:asciiTheme="minorHAnsi" w:hAnsiTheme="minorHAnsi" w:cstheme="minorHAnsi"/>
        </w:rPr>
        <w:t> </w:t>
      </w:r>
    </w:p>
    <w:p w14:paraId="5622DDB6" w14:textId="77777777" w:rsidR="00606ED5" w:rsidRPr="00B403FB" w:rsidRDefault="00606ED5" w:rsidP="00B403FB">
      <w:pPr>
        <w:jc w:val="both"/>
        <w:rPr>
          <w:rFonts w:cstheme="minorHAnsi"/>
          <w:sz w:val="24"/>
          <w:szCs w:val="24"/>
        </w:rPr>
      </w:pPr>
    </w:p>
    <w:sectPr w:rsidR="00606ED5" w:rsidRPr="00B403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911B" w14:textId="77777777" w:rsidR="0052163C" w:rsidRDefault="0052163C" w:rsidP="003444BC">
      <w:pPr>
        <w:spacing w:after="0" w:line="240" w:lineRule="auto"/>
      </w:pPr>
      <w:r>
        <w:separator/>
      </w:r>
    </w:p>
  </w:endnote>
  <w:endnote w:type="continuationSeparator" w:id="0">
    <w:p w14:paraId="359681D0" w14:textId="77777777" w:rsidR="0052163C" w:rsidRDefault="0052163C" w:rsidP="0034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CDCB" w14:textId="77777777" w:rsidR="0052163C" w:rsidRDefault="0052163C" w:rsidP="003444BC">
      <w:pPr>
        <w:spacing w:after="0" w:line="240" w:lineRule="auto"/>
      </w:pPr>
      <w:r>
        <w:separator/>
      </w:r>
    </w:p>
  </w:footnote>
  <w:footnote w:type="continuationSeparator" w:id="0">
    <w:p w14:paraId="19448A26" w14:textId="77777777" w:rsidR="0052163C" w:rsidRDefault="0052163C" w:rsidP="003444BC">
      <w:pPr>
        <w:spacing w:after="0" w:line="240" w:lineRule="auto"/>
      </w:pPr>
      <w:r>
        <w:continuationSeparator/>
      </w:r>
    </w:p>
  </w:footnote>
  <w:footnote w:id="1">
    <w:p w14:paraId="507E076A" w14:textId="77777777" w:rsidR="003444BC" w:rsidRPr="00E00FC2" w:rsidRDefault="003444BC" w:rsidP="003444BC">
      <w:pPr>
        <w:pStyle w:val="FootnoteText"/>
        <w:jc w:val="both"/>
        <w:rPr>
          <w:rFonts w:ascii="Times New Roman" w:hAnsi="Times New Roman" w:cs="Times New Roman"/>
        </w:rPr>
      </w:pPr>
      <w:r w:rsidRPr="0093544F">
        <w:rPr>
          <w:rStyle w:val="FootnoteReference"/>
          <w:rFonts w:ascii="Arial" w:hAnsi="Arial" w:cs="Arial"/>
        </w:rPr>
        <w:footnoteRef/>
      </w:r>
      <w:r w:rsidRPr="0093544F">
        <w:rPr>
          <w:rFonts w:ascii="Arial" w:hAnsi="Arial" w:cs="Arial"/>
        </w:rPr>
        <w:t xml:space="preserve"> See</w:t>
      </w:r>
      <w:r>
        <w:rPr>
          <w:rFonts w:ascii="Times New Roman" w:hAnsi="Times New Roman" w:cs="Times New Roman"/>
        </w:rPr>
        <w:t xml:space="preserve">: </w:t>
      </w:r>
      <w:hyperlink r:id="rId1" w:tgtFrame="_blank" w:history="1">
        <w:r w:rsidRPr="006950F6">
          <w:rPr>
            <w:rStyle w:val="Hyperlink"/>
            <w:rFonts w:ascii="Arial" w:hAnsi="Arial" w:cs="Arial"/>
          </w:rPr>
          <w:t>International Council on Mining and Metals Mining Principles</w:t>
        </w:r>
      </w:hyperlink>
      <w:r w:rsidRPr="006950F6">
        <w:rPr>
          <w:rStyle w:val="Hyperlink"/>
          <w:rFonts w:ascii="Arial" w:hAnsi="Arial" w:cs="Arial"/>
        </w:rPr>
        <w:t xml:space="preserve"> </w:t>
      </w:r>
    </w:p>
  </w:footnote>
  <w:footnote w:id="2">
    <w:p w14:paraId="2FF58559" w14:textId="77777777" w:rsidR="00B2797A" w:rsidRDefault="00B2797A" w:rsidP="00B2797A">
      <w:pPr>
        <w:pStyle w:val="FootnoteText"/>
        <w:jc w:val="both"/>
      </w:pPr>
      <w:r>
        <w:rPr>
          <w:rStyle w:val="FootnoteReference"/>
        </w:rPr>
        <w:footnoteRef/>
      </w:r>
      <w:r>
        <w:t xml:space="preserve"> </w:t>
      </w:r>
      <w:r w:rsidRPr="00BD7EEA">
        <w:rPr>
          <w:rFonts w:ascii="Arial" w:hAnsi="Arial" w:cs="Arial"/>
        </w:rPr>
        <w:t>A</w:t>
      </w:r>
      <w:r w:rsidRPr="003400D6">
        <w:rPr>
          <w:rFonts w:ascii="Arial" w:hAnsi="Arial" w:cs="Arial"/>
        </w:rPr>
        <w:t xml:space="preserve"> licensed securities exchange in terms of the Securities and Exchange Act (24:25).</w:t>
      </w:r>
    </w:p>
  </w:footnote>
  <w:footnote w:id="3">
    <w:p w14:paraId="7909727B" w14:textId="77777777" w:rsidR="00B2797A" w:rsidRPr="00BD7EEA" w:rsidRDefault="00B2797A" w:rsidP="00B2797A">
      <w:pPr>
        <w:pStyle w:val="FootnoteText"/>
        <w:jc w:val="both"/>
        <w:rPr>
          <w:rFonts w:ascii="Arial" w:hAnsi="Arial" w:cs="Arial"/>
        </w:rPr>
      </w:pPr>
      <w:r>
        <w:rPr>
          <w:rStyle w:val="FootnoteReference"/>
        </w:rPr>
        <w:footnoteRef/>
      </w:r>
      <w:r>
        <w:t xml:space="preserve"> </w:t>
      </w:r>
      <w:r w:rsidRPr="00BD7EEA">
        <w:rPr>
          <w:rFonts w:ascii="Arial" w:hAnsi="Arial" w:cs="Arial"/>
        </w:rPr>
        <w:t>Established in terms of the Exchange Control (Special Provisions for Securities Listed on Victoria Falls Stock Exchange) Regulations, 2020.</w:t>
      </w:r>
    </w:p>
  </w:footnote>
  <w:footnote w:id="4">
    <w:p w14:paraId="7A79E000" w14:textId="77777777" w:rsidR="00B2797A" w:rsidRDefault="00B2797A" w:rsidP="00B2797A">
      <w:pPr>
        <w:pStyle w:val="FootnoteText"/>
        <w:jc w:val="both"/>
      </w:pPr>
      <w:r>
        <w:rPr>
          <w:rStyle w:val="FootnoteReference"/>
        </w:rPr>
        <w:footnoteRef/>
      </w:r>
      <w:r>
        <w:t xml:space="preserve"> </w:t>
      </w:r>
      <w:r w:rsidRPr="0093544F">
        <w:rPr>
          <w:rFonts w:ascii="Arial" w:hAnsi="Arial" w:cs="Arial"/>
        </w:rPr>
        <w:t>See</w:t>
      </w:r>
      <w:r>
        <w:t xml:space="preserve">; </w:t>
      </w:r>
      <w:hyperlink r:id="rId2" w:history="1">
        <w:r w:rsidRPr="00BD7EEA">
          <w:rPr>
            <w:rStyle w:val="Hyperlink"/>
            <w:rFonts w:ascii="Arial" w:hAnsi="Arial" w:cs="Arial"/>
          </w:rPr>
          <w:t>https://www.zse.co.zw/about-us/</w:t>
        </w:r>
      </w:hyperlink>
      <w:r>
        <w:t xml:space="preserve"> </w:t>
      </w:r>
    </w:p>
  </w:footnote>
  <w:footnote w:id="5">
    <w:p w14:paraId="30936200" w14:textId="77777777" w:rsidR="00B2797A" w:rsidRPr="00DB139D" w:rsidRDefault="00B2797A" w:rsidP="00B2797A">
      <w:pPr>
        <w:pStyle w:val="FootnoteText"/>
        <w:rPr>
          <w:rFonts w:ascii="Arial" w:hAnsi="Arial" w:cs="Arial"/>
        </w:rPr>
      </w:pPr>
      <w:r w:rsidRPr="0093544F">
        <w:rPr>
          <w:rStyle w:val="FootnoteReference"/>
          <w:rFonts w:ascii="Arial" w:hAnsi="Arial" w:cs="Arial"/>
        </w:rPr>
        <w:footnoteRef/>
      </w:r>
      <w:r w:rsidRPr="0093544F">
        <w:rPr>
          <w:rFonts w:ascii="Arial" w:hAnsi="Arial" w:cs="Arial"/>
        </w:rPr>
        <w:t xml:space="preserve"> See;</w:t>
      </w:r>
      <w:r>
        <w:t xml:space="preserve"> </w:t>
      </w:r>
      <w:hyperlink r:id="rId3" w:history="1">
        <w:r w:rsidRPr="00E85792">
          <w:rPr>
            <w:rStyle w:val="Hyperlink"/>
            <w:rFonts w:ascii="Arial" w:hAnsi="Arial" w:cs="Arial"/>
          </w:rPr>
          <w:t>https://www.zse.co.zw/companies-2/</w:t>
        </w:r>
      </w:hyperlink>
      <w:r>
        <w:rPr>
          <w:rFonts w:ascii="Arial" w:hAnsi="Arial" w:cs="Arial"/>
        </w:rPr>
        <w:t xml:space="preserve"> </w:t>
      </w:r>
    </w:p>
  </w:footnote>
  <w:footnote w:id="6">
    <w:p w14:paraId="21237989" w14:textId="77777777" w:rsidR="00B2797A" w:rsidRDefault="00B2797A" w:rsidP="00B2797A">
      <w:pPr>
        <w:pStyle w:val="FootnoteText"/>
      </w:pPr>
      <w:r>
        <w:rPr>
          <w:rStyle w:val="FootnoteReference"/>
        </w:rPr>
        <w:footnoteRef/>
      </w:r>
      <w:r>
        <w:t xml:space="preserve"> </w:t>
      </w:r>
      <w:r w:rsidRPr="00DB139D">
        <w:rPr>
          <w:rFonts w:ascii="Arial" w:hAnsi="Arial" w:cs="Arial"/>
        </w:rPr>
        <w:t xml:space="preserve">PART XXI, </w:t>
      </w:r>
      <w:bookmarkStart w:id="0" w:name="_Hlk81646746"/>
      <w:r w:rsidRPr="00DB139D">
        <w:rPr>
          <w:rFonts w:ascii="Arial" w:hAnsi="Arial" w:cs="Arial"/>
        </w:rPr>
        <w:t>Securities and Exchange (Zimbabwe Stock Exchange Listings Requirements) Rules, 2019</w:t>
      </w:r>
      <w:bookmarkEnd w:id="0"/>
    </w:p>
  </w:footnote>
  <w:footnote w:id="7">
    <w:p w14:paraId="68FA46F2" w14:textId="77777777" w:rsidR="00B2797A" w:rsidRDefault="00B2797A" w:rsidP="00B2797A">
      <w:pPr>
        <w:pStyle w:val="FootnoteText"/>
      </w:pPr>
      <w:r>
        <w:rPr>
          <w:rStyle w:val="FootnoteReference"/>
        </w:rPr>
        <w:footnoteRef/>
      </w:r>
      <w:r>
        <w:t xml:space="preserve"> </w:t>
      </w:r>
      <w:r w:rsidRPr="00DB139D">
        <w:rPr>
          <w:rFonts w:ascii="Arial" w:hAnsi="Arial" w:cs="Arial"/>
        </w:rPr>
        <w:t>Section 399, Securities and Exchange (Zimbabwe Stock Exchange Listings Requirements) Rules, 2019</w:t>
      </w:r>
      <w:r>
        <w:t xml:space="preserve"> </w:t>
      </w:r>
    </w:p>
  </w:footnote>
  <w:footnote w:id="8">
    <w:p w14:paraId="6480AB5F" w14:textId="77777777" w:rsidR="00B2797A" w:rsidRPr="00DB139D" w:rsidRDefault="00B2797A" w:rsidP="00B2797A">
      <w:pPr>
        <w:pStyle w:val="FootnoteText"/>
        <w:rPr>
          <w:rFonts w:ascii="Arial" w:hAnsi="Arial" w:cs="Arial"/>
        </w:rPr>
      </w:pPr>
      <w:r>
        <w:rPr>
          <w:rStyle w:val="FootnoteReference"/>
        </w:rPr>
        <w:footnoteRef/>
      </w:r>
      <w:r>
        <w:t xml:space="preserve"> </w:t>
      </w:r>
      <w:r w:rsidRPr="00DB139D">
        <w:rPr>
          <w:rFonts w:ascii="Arial" w:hAnsi="Arial" w:cs="Arial"/>
        </w:rPr>
        <w:t xml:space="preserve">Section 401, Securities and Exchange (Zimbabwe Stock Exchange Listings Requirements) Rules, 2019 </w:t>
      </w:r>
    </w:p>
  </w:footnote>
  <w:footnote w:id="9">
    <w:p w14:paraId="373B4636" w14:textId="77777777" w:rsidR="00B2797A" w:rsidRPr="00DB139D" w:rsidRDefault="00B2797A" w:rsidP="00B2797A">
      <w:pPr>
        <w:pStyle w:val="FootnoteText"/>
        <w:rPr>
          <w:rFonts w:ascii="Arial" w:hAnsi="Arial" w:cs="Arial"/>
        </w:rPr>
      </w:pPr>
      <w:r>
        <w:rPr>
          <w:rStyle w:val="FootnoteReference"/>
        </w:rPr>
        <w:footnoteRef/>
      </w:r>
      <w:r>
        <w:t xml:space="preserve"> </w:t>
      </w:r>
      <w:r w:rsidRPr="00DB139D">
        <w:rPr>
          <w:rFonts w:ascii="Arial" w:hAnsi="Arial" w:cs="Arial"/>
        </w:rPr>
        <w:t>Section 402, Securities and Exchange (Zimbabwe Stock Exchange Listings Requirements) Rules,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EB"/>
    <w:multiLevelType w:val="multilevel"/>
    <w:tmpl w:val="B51805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F0267"/>
    <w:multiLevelType w:val="multilevel"/>
    <w:tmpl w:val="B9F6B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756C1"/>
    <w:multiLevelType w:val="multilevel"/>
    <w:tmpl w:val="F97CB7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64385"/>
    <w:multiLevelType w:val="multilevel"/>
    <w:tmpl w:val="EA125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50627"/>
    <w:multiLevelType w:val="multilevel"/>
    <w:tmpl w:val="529A69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82415"/>
    <w:multiLevelType w:val="hybridMultilevel"/>
    <w:tmpl w:val="242617AA"/>
    <w:lvl w:ilvl="0" w:tplc="5D643C0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94A3D"/>
    <w:multiLevelType w:val="multilevel"/>
    <w:tmpl w:val="AC0839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F6B62"/>
    <w:multiLevelType w:val="multilevel"/>
    <w:tmpl w:val="D4A44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E600DA"/>
    <w:multiLevelType w:val="multilevel"/>
    <w:tmpl w:val="9928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8175F"/>
    <w:multiLevelType w:val="multilevel"/>
    <w:tmpl w:val="9DE01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F0442"/>
    <w:multiLevelType w:val="multilevel"/>
    <w:tmpl w:val="05365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376297"/>
    <w:multiLevelType w:val="multilevel"/>
    <w:tmpl w:val="130E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1174F"/>
    <w:multiLevelType w:val="multilevel"/>
    <w:tmpl w:val="E00A6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D344E"/>
    <w:multiLevelType w:val="multilevel"/>
    <w:tmpl w:val="82B619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1080D"/>
    <w:multiLevelType w:val="multilevel"/>
    <w:tmpl w:val="29982A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43615A"/>
    <w:multiLevelType w:val="multilevel"/>
    <w:tmpl w:val="2A1E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620292"/>
    <w:multiLevelType w:val="multilevel"/>
    <w:tmpl w:val="8B803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C5258"/>
    <w:multiLevelType w:val="multilevel"/>
    <w:tmpl w:val="5D0287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9B7AC4"/>
    <w:multiLevelType w:val="multilevel"/>
    <w:tmpl w:val="F2DE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B33CA8"/>
    <w:multiLevelType w:val="multilevel"/>
    <w:tmpl w:val="8C64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4515BB"/>
    <w:multiLevelType w:val="multilevel"/>
    <w:tmpl w:val="BB927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34015F"/>
    <w:multiLevelType w:val="multilevel"/>
    <w:tmpl w:val="A0D4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F161E4"/>
    <w:multiLevelType w:val="multilevel"/>
    <w:tmpl w:val="43D6D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436AE"/>
    <w:multiLevelType w:val="multilevel"/>
    <w:tmpl w:val="C578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F97B64"/>
    <w:multiLevelType w:val="multilevel"/>
    <w:tmpl w:val="0F0818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A763F9"/>
    <w:multiLevelType w:val="multilevel"/>
    <w:tmpl w:val="4D24BC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0D5498"/>
    <w:multiLevelType w:val="multilevel"/>
    <w:tmpl w:val="0E04F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EC045A"/>
    <w:multiLevelType w:val="multilevel"/>
    <w:tmpl w:val="62A25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AE2BE9"/>
    <w:multiLevelType w:val="multilevel"/>
    <w:tmpl w:val="69B8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5B1294"/>
    <w:multiLevelType w:val="multilevel"/>
    <w:tmpl w:val="D9DEC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733F18"/>
    <w:multiLevelType w:val="multilevel"/>
    <w:tmpl w:val="8D0EF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6854FA"/>
    <w:multiLevelType w:val="multilevel"/>
    <w:tmpl w:val="785CD7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9D3C41"/>
    <w:multiLevelType w:val="multilevel"/>
    <w:tmpl w:val="82F8E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C34D1"/>
    <w:multiLevelType w:val="multilevel"/>
    <w:tmpl w:val="02E21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A1532B"/>
    <w:multiLevelType w:val="multilevel"/>
    <w:tmpl w:val="A96C48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A02C21"/>
    <w:multiLevelType w:val="hybridMultilevel"/>
    <w:tmpl w:val="799CEB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B0C06"/>
    <w:multiLevelType w:val="multilevel"/>
    <w:tmpl w:val="0CE6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D049B6"/>
    <w:multiLevelType w:val="multilevel"/>
    <w:tmpl w:val="F9D633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4542494">
    <w:abstractNumId w:val="11"/>
  </w:num>
  <w:num w:numId="2" w16cid:durableId="1582981854">
    <w:abstractNumId w:val="3"/>
  </w:num>
  <w:num w:numId="3" w16cid:durableId="406928137">
    <w:abstractNumId w:val="20"/>
  </w:num>
  <w:num w:numId="4" w16cid:durableId="2049912893">
    <w:abstractNumId w:val="16"/>
  </w:num>
  <w:num w:numId="5" w16cid:durableId="1572423517">
    <w:abstractNumId w:val="10"/>
  </w:num>
  <w:num w:numId="6" w16cid:durableId="124201168">
    <w:abstractNumId w:val="19"/>
  </w:num>
  <w:num w:numId="7" w16cid:durableId="1536385636">
    <w:abstractNumId w:val="33"/>
  </w:num>
  <w:num w:numId="8" w16cid:durableId="1509641269">
    <w:abstractNumId w:val="28"/>
  </w:num>
  <w:num w:numId="9" w16cid:durableId="1341810850">
    <w:abstractNumId w:val="30"/>
  </w:num>
  <w:num w:numId="10" w16cid:durableId="1858351011">
    <w:abstractNumId w:val="15"/>
  </w:num>
  <w:num w:numId="11" w16cid:durableId="1062144295">
    <w:abstractNumId w:val="25"/>
  </w:num>
  <w:num w:numId="12" w16cid:durableId="1584408598">
    <w:abstractNumId w:val="1"/>
  </w:num>
  <w:num w:numId="13" w16cid:durableId="2094161179">
    <w:abstractNumId w:val="8"/>
  </w:num>
  <w:num w:numId="14" w16cid:durableId="532616759">
    <w:abstractNumId w:val="23"/>
  </w:num>
  <w:num w:numId="15" w16cid:durableId="2117475973">
    <w:abstractNumId w:val="9"/>
  </w:num>
  <w:num w:numId="16" w16cid:durableId="2143039890">
    <w:abstractNumId w:val="27"/>
  </w:num>
  <w:num w:numId="17" w16cid:durableId="1540317701">
    <w:abstractNumId w:val="32"/>
  </w:num>
  <w:num w:numId="18" w16cid:durableId="366102346">
    <w:abstractNumId w:val="0"/>
  </w:num>
  <w:num w:numId="19" w16cid:durableId="922687697">
    <w:abstractNumId w:val="22"/>
  </w:num>
  <w:num w:numId="20" w16cid:durableId="985863668">
    <w:abstractNumId w:val="24"/>
  </w:num>
  <w:num w:numId="21" w16cid:durableId="1495560985">
    <w:abstractNumId w:val="6"/>
  </w:num>
  <w:num w:numId="22" w16cid:durableId="1210609034">
    <w:abstractNumId w:val="4"/>
  </w:num>
  <w:num w:numId="23" w16cid:durableId="267008293">
    <w:abstractNumId w:val="2"/>
  </w:num>
  <w:num w:numId="24" w16cid:durableId="1912763498">
    <w:abstractNumId w:val="34"/>
  </w:num>
  <w:num w:numId="25" w16cid:durableId="1555652345">
    <w:abstractNumId w:val="14"/>
  </w:num>
  <w:num w:numId="26" w16cid:durableId="973406603">
    <w:abstractNumId w:val="37"/>
  </w:num>
  <w:num w:numId="27" w16cid:durableId="1451632165">
    <w:abstractNumId w:val="17"/>
  </w:num>
  <w:num w:numId="28" w16cid:durableId="133645544">
    <w:abstractNumId w:val="13"/>
  </w:num>
  <w:num w:numId="29" w16cid:durableId="681980428">
    <w:abstractNumId w:val="7"/>
  </w:num>
  <w:num w:numId="30" w16cid:durableId="778378851">
    <w:abstractNumId w:val="21"/>
  </w:num>
  <w:num w:numId="31" w16cid:durableId="1819569228">
    <w:abstractNumId w:val="29"/>
  </w:num>
  <w:num w:numId="32" w16cid:durableId="1982349085">
    <w:abstractNumId w:val="26"/>
  </w:num>
  <w:num w:numId="33" w16cid:durableId="1941835730">
    <w:abstractNumId w:val="12"/>
  </w:num>
  <w:num w:numId="34" w16cid:durableId="370688430">
    <w:abstractNumId w:val="18"/>
  </w:num>
  <w:num w:numId="35" w16cid:durableId="53429873">
    <w:abstractNumId w:val="36"/>
  </w:num>
  <w:num w:numId="36" w16cid:durableId="571937176">
    <w:abstractNumId w:val="31"/>
  </w:num>
  <w:num w:numId="37" w16cid:durableId="523984224">
    <w:abstractNumId w:val="35"/>
  </w:num>
  <w:num w:numId="38" w16cid:durableId="878708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D5"/>
    <w:rsid w:val="003444BC"/>
    <w:rsid w:val="0052163C"/>
    <w:rsid w:val="00606ED5"/>
    <w:rsid w:val="00B2797A"/>
    <w:rsid w:val="00B403FB"/>
    <w:rsid w:val="00C9264F"/>
    <w:rsid w:val="00EC3F65"/>
    <w:rsid w:val="00EE0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6676"/>
  <w15:chartTrackingRefBased/>
  <w15:docId w15:val="{E86AEFD3-FDF5-4BB6-87B8-8008FE0A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6E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06ED5"/>
  </w:style>
  <w:style w:type="character" w:customStyle="1" w:styleId="eop">
    <w:name w:val="eop"/>
    <w:basedOn w:val="DefaultParagraphFont"/>
    <w:rsid w:val="00606ED5"/>
  </w:style>
  <w:style w:type="character" w:customStyle="1" w:styleId="tabchar">
    <w:name w:val="tabchar"/>
    <w:basedOn w:val="DefaultParagraphFont"/>
    <w:rsid w:val="00606ED5"/>
  </w:style>
  <w:style w:type="paragraph" w:styleId="NormalWeb">
    <w:name w:val="Normal (Web)"/>
    <w:basedOn w:val="Normal"/>
    <w:uiPriority w:val="99"/>
    <w:semiHidden/>
    <w:unhideWhenUsed/>
    <w:rsid w:val="003444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444BC"/>
    <w:rPr>
      <w:color w:val="0563C1" w:themeColor="hyperlink"/>
      <w:u w:val="single"/>
    </w:rPr>
  </w:style>
  <w:style w:type="character" w:styleId="UnresolvedMention">
    <w:name w:val="Unresolved Mention"/>
    <w:basedOn w:val="DefaultParagraphFont"/>
    <w:uiPriority w:val="99"/>
    <w:semiHidden/>
    <w:unhideWhenUsed/>
    <w:rsid w:val="003444BC"/>
    <w:rPr>
      <w:color w:val="605E5C"/>
      <w:shd w:val="clear" w:color="auto" w:fill="E1DFDD"/>
    </w:rPr>
  </w:style>
  <w:style w:type="paragraph" w:styleId="FootnoteText">
    <w:name w:val="footnote text"/>
    <w:aliases w:val="Geneva 9,Font: Geneva 9,Boston 10,f"/>
    <w:basedOn w:val="Normal"/>
    <w:link w:val="FootnoteTextChar"/>
    <w:uiPriority w:val="99"/>
    <w:unhideWhenUsed/>
    <w:rsid w:val="003444BC"/>
    <w:pPr>
      <w:spacing w:after="0" w:line="240" w:lineRule="auto"/>
    </w:pPr>
    <w:rPr>
      <w:kern w:val="0"/>
      <w:sz w:val="20"/>
      <w:szCs w:val="20"/>
      <w:lang w:val="en-ZA"/>
      <w14:ligatures w14:val="none"/>
    </w:rPr>
  </w:style>
  <w:style w:type="character" w:customStyle="1" w:styleId="FootnoteTextChar">
    <w:name w:val="Footnote Text Char"/>
    <w:aliases w:val="Geneva 9 Char,Font: Geneva 9 Char,Boston 10 Char,f Char"/>
    <w:basedOn w:val="DefaultParagraphFont"/>
    <w:link w:val="FootnoteText"/>
    <w:uiPriority w:val="99"/>
    <w:rsid w:val="003444BC"/>
    <w:rPr>
      <w:kern w:val="0"/>
      <w:sz w:val="20"/>
      <w:szCs w:val="20"/>
      <w:lang w:val="en-ZA"/>
      <w14:ligatures w14:val="none"/>
    </w:rPr>
  </w:style>
  <w:style w:type="character" w:styleId="FootnoteReference">
    <w:name w:val="footnote reference"/>
    <w:aliases w:val="16 Point,Superscript 6 Point,Liste à puces Car,Car Char Car Char Char Car Char Char Car Char Car Char Car Car Car Char Char Car Car Char Char Car,ftref,Car Car7,Heading 3 Char Char Char,Heading 3 Char Char Char Char, Car Car7"/>
    <w:basedOn w:val="DefaultParagraphFont"/>
    <w:uiPriority w:val="99"/>
    <w:unhideWhenUsed/>
    <w:rsid w:val="003444BC"/>
    <w:rPr>
      <w:vertAlign w:val="superscript"/>
    </w:rPr>
  </w:style>
  <w:style w:type="character" w:styleId="CommentReference">
    <w:name w:val="annotation reference"/>
    <w:basedOn w:val="DefaultParagraphFont"/>
    <w:uiPriority w:val="99"/>
    <w:semiHidden/>
    <w:unhideWhenUsed/>
    <w:rsid w:val="00EE03A4"/>
    <w:rPr>
      <w:sz w:val="16"/>
      <w:szCs w:val="16"/>
    </w:rPr>
  </w:style>
  <w:style w:type="paragraph" w:styleId="CommentText">
    <w:name w:val="annotation text"/>
    <w:basedOn w:val="Normal"/>
    <w:link w:val="CommentTextChar"/>
    <w:uiPriority w:val="99"/>
    <w:unhideWhenUsed/>
    <w:rsid w:val="00EE03A4"/>
    <w:pPr>
      <w:spacing w:line="240" w:lineRule="auto"/>
    </w:pPr>
    <w:rPr>
      <w:sz w:val="20"/>
      <w:szCs w:val="20"/>
    </w:rPr>
  </w:style>
  <w:style w:type="character" w:customStyle="1" w:styleId="CommentTextChar">
    <w:name w:val="Comment Text Char"/>
    <w:basedOn w:val="DefaultParagraphFont"/>
    <w:link w:val="CommentText"/>
    <w:uiPriority w:val="99"/>
    <w:rsid w:val="00EE03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9982">
      <w:bodyDiv w:val="1"/>
      <w:marLeft w:val="0"/>
      <w:marRight w:val="0"/>
      <w:marTop w:val="0"/>
      <w:marBottom w:val="0"/>
      <w:divBdr>
        <w:top w:val="none" w:sz="0" w:space="0" w:color="auto"/>
        <w:left w:val="none" w:sz="0" w:space="0" w:color="auto"/>
        <w:bottom w:val="none" w:sz="0" w:space="0" w:color="auto"/>
        <w:right w:val="none" w:sz="0" w:space="0" w:color="auto"/>
      </w:divBdr>
    </w:div>
    <w:div w:id="1241332356">
      <w:bodyDiv w:val="1"/>
      <w:marLeft w:val="0"/>
      <w:marRight w:val="0"/>
      <w:marTop w:val="0"/>
      <w:marBottom w:val="0"/>
      <w:divBdr>
        <w:top w:val="none" w:sz="0" w:space="0" w:color="auto"/>
        <w:left w:val="none" w:sz="0" w:space="0" w:color="auto"/>
        <w:bottom w:val="none" w:sz="0" w:space="0" w:color="auto"/>
        <w:right w:val="none" w:sz="0" w:space="0" w:color="auto"/>
      </w:divBdr>
      <w:divsChild>
        <w:div w:id="1662733130">
          <w:marLeft w:val="0"/>
          <w:marRight w:val="0"/>
          <w:marTop w:val="0"/>
          <w:marBottom w:val="0"/>
          <w:divBdr>
            <w:top w:val="none" w:sz="0" w:space="0" w:color="auto"/>
            <w:left w:val="none" w:sz="0" w:space="0" w:color="auto"/>
            <w:bottom w:val="none" w:sz="0" w:space="0" w:color="auto"/>
            <w:right w:val="none" w:sz="0" w:space="0" w:color="auto"/>
          </w:divBdr>
        </w:div>
        <w:div w:id="2127692680">
          <w:marLeft w:val="0"/>
          <w:marRight w:val="0"/>
          <w:marTop w:val="0"/>
          <w:marBottom w:val="0"/>
          <w:divBdr>
            <w:top w:val="none" w:sz="0" w:space="0" w:color="auto"/>
            <w:left w:val="none" w:sz="0" w:space="0" w:color="auto"/>
            <w:bottom w:val="none" w:sz="0" w:space="0" w:color="auto"/>
            <w:right w:val="none" w:sz="0" w:space="0" w:color="auto"/>
          </w:divBdr>
        </w:div>
        <w:div w:id="118112358">
          <w:marLeft w:val="0"/>
          <w:marRight w:val="0"/>
          <w:marTop w:val="0"/>
          <w:marBottom w:val="0"/>
          <w:divBdr>
            <w:top w:val="none" w:sz="0" w:space="0" w:color="auto"/>
            <w:left w:val="none" w:sz="0" w:space="0" w:color="auto"/>
            <w:bottom w:val="none" w:sz="0" w:space="0" w:color="auto"/>
            <w:right w:val="none" w:sz="0" w:space="0" w:color="auto"/>
          </w:divBdr>
        </w:div>
        <w:div w:id="509223126">
          <w:marLeft w:val="0"/>
          <w:marRight w:val="0"/>
          <w:marTop w:val="0"/>
          <w:marBottom w:val="0"/>
          <w:divBdr>
            <w:top w:val="none" w:sz="0" w:space="0" w:color="auto"/>
            <w:left w:val="none" w:sz="0" w:space="0" w:color="auto"/>
            <w:bottom w:val="none" w:sz="0" w:space="0" w:color="auto"/>
            <w:right w:val="none" w:sz="0" w:space="0" w:color="auto"/>
          </w:divBdr>
        </w:div>
        <w:div w:id="1079332577">
          <w:marLeft w:val="0"/>
          <w:marRight w:val="0"/>
          <w:marTop w:val="0"/>
          <w:marBottom w:val="0"/>
          <w:divBdr>
            <w:top w:val="none" w:sz="0" w:space="0" w:color="auto"/>
            <w:left w:val="none" w:sz="0" w:space="0" w:color="auto"/>
            <w:bottom w:val="none" w:sz="0" w:space="0" w:color="auto"/>
            <w:right w:val="none" w:sz="0" w:space="0" w:color="auto"/>
          </w:divBdr>
        </w:div>
        <w:div w:id="726607305">
          <w:marLeft w:val="0"/>
          <w:marRight w:val="0"/>
          <w:marTop w:val="0"/>
          <w:marBottom w:val="0"/>
          <w:divBdr>
            <w:top w:val="none" w:sz="0" w:space="0" w:color="auto"/>
            <w:left w:val="none" w:sz="0" w:space="0" w:color="auto"/>
            <w:bottom w:val="none" w:sz="0" w:space="0" w:color="auto"/>
            <w:right w:val="none" w:sz="0" w:space="0" w:color="auto"/>
          </w:divBdr>
        </w:div>
        <w:div w:id="181473980">
          <w:marLeft w:val="0"/>
          <w:marRight w:val="0"/>
          <w:marTop w:val="0"/>
          <w:marBottom w:val="0"/>
          <w:divBdr>
            <w:top w:val="none" w:sz="0" w:space="0" w:color="auto"/>
            <w:left w:val="none" w:sz="0" w:space="0" w:color="auto"/>
            <w:bottom w:val="none" w:sz="0" w:space="0" w:color="auto"/>
            <w:right w:val="none" w:sz="0" w:space="0" w:color="auto"/>
          </w:divBdr>
          <w:divsChild>
            <w:div w:id="818770762">
              <w:marLeft w:val="0"/>
              <w:marRight w:val="0"/>
              <w:marTop w:val="0"/>
              <w:marBottom w:val="0"/>
              <w:divBdr>
                <w:top w:val="none" w:sz="0" w:space="0" w:color="auto"/>
                <w:left w:val="none" w:sz="0" w:space="0" w:color="auto"/>
                <w:bottom w:val="none" w:sz="0" w:space="0" w:color="auto"/>
                <w:right w:val="none" w:sz="0" w:space="0" w:color="auto"/>
              </w:divBdr>
            </w:div>
            <w:div w:id="1982999692">
              <w:marLeft w:val="0"/>
              <w:marRight w:val="0"/>
              <w:marTop w:val="0"/>
              <w:marBottom w:val="0"/>
              <w:divBdr>
                <w:top w:val="none" w:sz="0" w:space="0" w:color="auto"/>
                <w:left w:val="none" w:sz="0" w:space="0" w:color="auto"/>
                <w:bottom w:val="none" w:sz="0" w:space="0" w:color="auto"/>
                <w:right w:val="none" w:sz="0" w:space="0" w:color="auto"/>
              </w:divBdr>
            </w:div>
            <w:div w:id="2053070739">
              <w:marLeft w:val="0"/>
              <w:marRight w:val="0"/>
              <w:marTop w:val="0"/>
              <w:marBottom w:val="0"/>
              <w:divBdr>
                <w:top w:val="none" w:sz="0" w:space="0" w:color="auto"/>
                <w:left w:val="none" w:sz="0" w:space="0" w:color="auto"/>
                <w:bottom w:val="none" w:sz="0" w:space="0" w:color="auto"/>
                <w:right w:val="none" w:sz="0" w:space="0" w:color="auto"/>
              </w:divBdr>
            </w:div>
            <w:div w:id="1343045006">
              <w:marLeft w:val="0"/>
              <w:marRight w:val="0"/>
              <w:marTop w:val="0"/>
              <w:marBottom w:val="0"/>
              <w:divBdr>
                <w:top w:val="none" w:sz="0" w:space="0" w:color="auto"/>
                <w:left w:val="none" w:sz="0" w:space="0" w:color="auto"/>
                <w:bottom w:val="none" w:sz="0" w:space="0" w:color="auto"/>
                <w:right w:val="none" w:sz="0" w:space="0" w:color="auto"/>
              </w:divBdr>
            </w:div>
            <w:div w:id="232741250">
              <w:marLeft w:val="0"/>
              <w:marRight w:val="0"/>
              <w:marTop w:val="0"/>
              <w:marBottom w:val="0"/>
              <w:divBdr>
                <w:top w:val="none" w:sz="0" w:space="0" w:color="auto"/>
                <w:left w:val="none" w:sz="0" w:space="0" w:color="auto"/>
                <w:bottom w:val="none" w:sz="0" w:space="0" w:color="auto"/>
                <w:right w:val="none" w:sz="0" w:space="0" w:color="auto"/>
              </w:divBdr>
            </w:div>
            <w:div w:id="1898735051">
              <w:marLeft w:val="0"/>
              <w:marRight w:val="0"/>
              <w:marTop w:val="0"/>
              <w:marBottom w:val="0"/>
              <w:divBdr>
                <w:top w:val="none" w:sz="0" w:space="0" w:color="auto"/>
                <w:left w:val="none" w:sz="0" w:space="0" w:color="auto"/>
                <w:bottom w:val="none" w:sz="0" w:space="0" w:color="auto"/>
                <w:right w:val="none" w:sz="0" w:space="0" w:color="auto"/>
              </w:divBdr>
            </w:div>
            <w:div w:id="1024331330">
              <w:marLeft w:val="0"/>
              <w:marRight w:val="0"/>
              <w:marTop w:val="0"/>
              <w:marBottom w:val="0"/>
              <w:divBdr>
                <w:top w:val="none" w:sz="0" w:space="0" w:color="auto"/>
                <w:left w:val="none" w:sz="0" w:space="0" w:color="auto"/>
                <w:bottom w:val="none" w:sz="0" w:space="0" w:color="auto"/>
                <w:right w:val="none" w:sz="0" w:space="0" w:color="auto"/>
              </w:divBdr>
            </w:div>
            <w:div w:id="1903905922">
              <w:marLeft w:val="0"/>
              <w:marRight w:val="0"/>
              <w:marTop w:val="0"/>
              <w:marBottom w:val="0"/>
              <w:divBdr>
                <w:top w:val="none" w:sz="0" w:space="0" w:color="auto"/>
                <w:left w:val="none" w:sz="0" w:space="0" w:color="auto"/>
                <w:bottom w:val="none" w:sz="0" w:space="0" w:color="auto"/>
                <w:right w:val="none" w:sz="0" w:space="0" w:color="auto"/>
              </w:divBdr>
            </w:div>
            <w:div w:id="1004282879">
              <w:marLeft w:val="0"/>
              <w:marRight w:val="0"/>
              <w:marTop w:val="0"/>
              <w:marBottom w:val="0"/>
              <w:divBdr>
                <w:top w:val="none" w:sz="0" w:space="0" w:color="auto"/>
                <w:left w:val="none" w:sz="0" w:space="0" w:color="auto"/>
                <w:bottom w:val="none" w:sz="0" w:space="0" w:color="auto"/>
                <w:right w:val="none" w:sz="0" w:space="0" w:color="auto"/>
              </w:divBdr>
            </w:div>
          </w:divsChild>
        </w:div>
        <w:div w:id="955522389">
          <w:marLeft w:val="0"/>
          <w:marRight w:val="0"/>
          <w:marTop w:val="0"/>
          <w:marBottom w:val="0"/>
          <w:divBdr>
            <w:top w:val="none" w:sz="0" w:space="0" w:color="auto"/>
            <w:left w:val="none" w:sz="0" w:space="0" w:color="auto"/>
            <w:bottom w:val="none" w:sz="0" w:space="0" w:color="auto"/>
            <w:right w:val="none" w:sz="0" w:space="0" w:color="auto"/>
          </w:divBdr>
          <w:divsChild>
            <w:div w:id="2016372908">
              <w:marLeft w:val="0"/>
              <w:marRight w:val="0"/>
              <w:marTop w:val="0"/>
              <w:marBottom w:val="0"/>
              <w:divBdr>
                <w:top w:val="none" w:sz="0" w:space="0" w:color="auto"/>
                <w:left w:val="none" w:sz="0" w:space="0" w:color="auto"/>
                <w:bottom w:val="none" w:sz="0" w:space="0" w:color="auto"/>
                <w:right w:val="none" w:sz="0" w:space="0" w:color="auto"/>
              </w:divBdr>
            </w:div>
            <w:div w:id="904880680">
              <w:marLeft w:val="0"/>
              <w:marRight w:val="0"/>
              <w:marTop w:val="0"/>
              <w:marBottom w:val="0"/>
              <w:divBdr>
                <w:top w:val="none" w:sz="0" w:space="0" w:color="auto"/>
                <w:left w:val="none" w:sz="0" w:space="0" w:color="auto"/>
                <w:bottom w:val="none" w:sz="0" w:space="0" w:color="auto"/>
                <w:right w:val="none" w:sz="0" w:space="0" w:color="auto"/>
              </w:divBdr>
            </w:div>
            <w:div w:id="1463159590">
              <w:marLeft w:val="0"/>
              <w:marRight w:val="0"/>
              <w:marTop w:val="0"/>
              <w:marBottom w:val="0"/>
              <w:divBdr>
                <w:top w:val="none" w:sz="0" w:space="0" w:color="auto"/>
                <w:left w:val="none" w:sz="0" w:space="0" w:color="auto"/>
                <w:bottom w:val="none" w:sz="0" w:space="0" w:color="auto"/>
                <w:right w:val="none" w:sz="0" w:space="0" w:color="auto"/>
              </w:divBdr>
            </w:div>
            <w:div w:id="693848192">
              <w:marLeft w:val="0"/>
              <w:marRight w:val="0"/>
              <w:marTop w:val="0"/>
              <w:marBottom w:val="0"/>
              <w:divBdr>
                <w:top w:val="none" w:sz="0" w:space="0" w:color="auto"/>
                <w:left w:val="none" w:sz="0" w:space="0" w:color="auto"/>
                <w:bottom w:val="none" w:sz="0" w:space="0" w:color="auto"/>
                <w:right w:val="none" w:sz="0" w:space="0" w:color="auto"/>
              </w:divBdr>
            </w:div>
            <w:div w:id="1773865122">
              <w:marLeft w:val="0"/>
              <w:marRight w:val="0"/>
              <w:marTop w:val="0"/>
              <w:marBottom w:val="0"/>
              <w:divBdr>
                <w:top w:val="none" w:sz="0" w:space="0" w:color="auto"/>
                <w:left w:val="none" w:sz="0" w:space="0" w:color="auto"/>
                <w:bottom w:val="none" w:sz="0" w:space="0" w:color="auto"/>
                <w:right w:val="none" w:sz="0" w:space="0" w:color="auto"/>
              </w:divBdr>
            </w:div>
            <w:div w:id="1435710404">
              <w:marLeft w:val="0"/>
              <w:marRight w:val="0"/>
              <w:marTop w:val="0"/>
              <w:marBottom w:val="0"/>
              <w:divBdr>
                <w:top w:val="none" w:sz="0" w:space="0" w:color="auto"/>
                <w:left w:val="none" w:sz="0" w:space="0" w:color="auto"/>
                <w:bottom w:val="none" w:sz="0" w:space="0" w:color="auto"/>
                <w:right w:val="none" w:sz="0" w:space="0" w:color="auto"/>
              </w:divBdr>
            </w:div>
            <w:div w:id="1944920989">
              <w:marLeft w:val="0"/>
              <w:marRight w:val="0"/>
              <w:marTop w:val="0"/>
              <w:marBottom w:val="0"/>
              <w:divBdr>
                <w:top w:val="none" w:sz="0" w:space="0" w:color="auto"/>
                <w:left w:val="none" w:sz="0" w:space="0" w:color="auto"/>
                <w:bottom w:val="none" w:sz="0" w:space="0" w:color="auto"/>
                <w:right w:val="none" w:sz="0" w:space="0" w:color="auto"/>
              </w:divBdr>
            </w:div>
            <w:div w:id="1538662025">
              <w:marLeft w:val="0"/>
              <w:marRight w:val="0"/>
              <w:marTop w:val="0"/>
              <w:marBottom w:val="0"/>
              <w:divBdr>
                <w:top w:val="none" w:sz="0" w:space="0" w:color="auto"/>
                <w:left w:val="none" w:sz="0" w:space="0" w:color="auto"/>
                <w:bottom w:val="none" w:sz="0" w:space="0" w:color="auto"/>
                <w:right w:val="none" w:sz="0" w:space="0" w:color="auto"/>
              </w:divBdr>
            </w:div>
            <w:div w:id="1914390605">
              <w:marLeft w:val="0"/>
              <w:marRight w:val="0"/>
              <w:marTop w:val="0"/>
              <w:marBottom w:val="0"/>
              <w:divBdr>
                <w:top w:val="none" w:sz="0" w:space="0" w:color="auto"/>
                <w:left w:val="none" w:sz="0" w:space="0" w:color="auto"/>
                <w:bottom w:val="none" w:sz="0" w:space="0" w:color="auto"/>
                <w:right w:val="none" w:sz="0" w:space="0" w:color="auto"/>
              </w:divBdr>
            </w:div>
            <w:div w:id="1473210712">
              <w:marLeft w:val="0"/>
              <w:marRight w:val="0"/>
              <w:marTop w:val="0"/>
              <w:marBottom w:val="0"/>
              <w:divBdr>
                <w:top w:val="none" w:sz="0" w:space="0" w:color="auto"/>
                <w:left w:val="none" w:sz="0" w:space="0" w:color="auto"/>
                <w:bottom w:val="none" w:sz="0" w:space="0" w:color="auto"/>
                <w:right w:val="none" w:sz="0" w:space="0" w:color="auto"/>
              </w:divBdr>
            </w:div>
            <w:div w:id="148178326">
              <w:marLeft w:val="0"/>
              <w:marRight w:val="0"/>
              <w:marTop w:val="0"/>
              <w:marBottom w:val="0"/>
              <w:divBdr>
                <w:top w:val="none" w:sz="0" w:space="0" w:color="auto"/>
                <w:left w:val="none" w:sz="0" w:space="0" w:color="auto"/>
                <w:bottom w:val="none" w:sz="0" w:space="0" w:color="auto"/>
                <w:right w:val="none" w:sz="0" w:space="0" w:color="auto"/>
              </w:divBdr>
            </w:div>
            <w:div w:id="1269311627">
              <w:marLeft w:val="0"/>
              <w:marRight w:val="0"/>
              <w:marTop w:val="0"/>
              <w:marBottom w:val="0"/>
              <w:divBdr>
                <w:top w:val="none" w:sz="0" w:space="0" w:color="auto"/>
                <w:left w:val="none" w:sz="0" w:space="0" w:color="auto"/>
                <w:bottom w:val="none" w:sz="0" w:space="0" w:color="auto"/>
                <w:right w:val="none" w:sz="0" w:space="0" w:color="auto"/>
              </w:divBdr>
            </w:div>
            <w:div w:id="188221251">
              <w:marLeft w:val="0"/>
              <w:marRight w:val="0"/>
              <w:marTop w:val="0"/>
              <w:marBottom w:val="0"/>
              <w:divBdr>
                <w:top w:val="none" w:sz="0" w:space="0" w:color="auto"/>
                <w:left w:val="none" w:sz="0" w:space="0" w:color="auto"/>
                <w:bottom w:val="none" w:sz="0" w:space="0" w:color="auto"/>
                <w:right w:val="none" w:sz="0" w:space="0" w:color="auto"/>
              </w:divBdr>
            </w:div>
            <w:div w:id="364983231">
              <w:marLeft w:val="0"/>
              <w:marRight w:val="0"/>
              <w:marTop w:val="0"/>
              <w:marBottom w:val="0"/>
              <w:divBdr>
                <w:top w:val="none" w:sz="0" w:space="0" w:color="auto"/>
                <w:left w:val="none" w:sz="0" w:space="0" w:color="auto"/>
                <w:bottom w:val="none" w:sz="0" w:space="0" w:color="auto"/>
                <w:right w:val="none" w:sz="0" w:space="0" w:color="auto"/>
              </w:divBdr>
            </w:div>
          </w:divsChild>
        </w:div>
        <w:div w:id="792943216">
          <w:marLeft w:val="0"/>
          <w:marRight w:val="0"/>
          <w:marTop w:val="0"/>
          <w:marBottom w:val="0"/>
          <w:divBdr>
            <w:top w:val="none" w:sz="0" w:space="0" w:color="auto"/>
            <w:left w:val="none" w:sz="0" w:space="0" w:color="auto"/>
            <w:bottom w:val="none" w:sz="0" w:space="0" w:color="auto"/>
            <w:right w:val="none" w:sz="0" w:space="0" w:color="auto"/>
          </w:divBdr>
          <w:divsChild>
            <w:div w:id="748162388">
              <w:marLeft w:val="0"/>
              <w:marRight w:val="0"/>
              <w:marTop w:val="0"/>
              <w:marBottom w:val="0"/>
              <w:divBdr>
                <w:top w:val="none" w:sz="0" w:space="0" w:color="auto"/>
                <w:left w:val="none" w:sz="0" w:space="0" w:color="auto"/>
                <w:bottom w:val="none" w:sz="0" w:space="0" w:color="auto"/>
                <w:right w:val="none" w:sz="0" w:space="0" w:color="auto"/>
              </w:divBdr>
            </w:div>
            <w:div w:id="1369648049">
              <w:marLeft w:val="0"/>
              <w:marRight w:val="0"/>
              <w:marTop w:val="0"/>
              <w:marBottom w:val="0"/>
              <w:divBdr>
                <w:top w:val="none" w:sz="0" w:space="0" w:color="auto"/>
                <w:left w:val="none" w:sz="0" w:space="0" w:color="auto"/>
                <w:bottom w:val="none" w:sz="0" w:space="0" w:color="auto"/>
                <w:right w:val="none" w:sz="0" w:space="0" w:color="auto"/>
              </w:divBdr>
            </w:div>
            <w:div w:id="651181623">
              <w:marLeft w:val="0"/>
              <w:marRight w:val="0"/>
              <w:marTop w:val="0"/>
              <w:marBottom w:val="0"/>
              <w:divBdr>
                <w:top w:val="none" w:sz="0" w:space="0" w:color="auto"/>
                <w:left w:val="none" w:sz="0" w:space="0" w:color="auto"/>
                <w:bottom w:val="none" w:sz="0" w:space="0" w:color="auto"/>
                <w:right w:val="none" w:sz="0" w:space="0" w:color="auto"/>
              </w:divBdr>
            </w:div>
            <w:div w:id="1468627761">
              <w:marLeft w:val="0"/>
              <w:marRight w:val="0"/>
              <w:marTop w:val="0"/>
              <w:marBottom w:val="0"/>
              <w:divBdr>
                <w:top w:val="none" w:sz="0" w:space="0" w:color="auto"/>
                <w:left w:val="none" w:sz="0" w:space="0" w:color="auto"/>
                <w:bottom w:val="none" w:sz="0" w:space="0" w:color="auto"/>
                <w:right w:val="none" w:sz="0" w:space="0" w:color="auto"/>
              </w:divBdr>
            </w:div>
            <w:div w:id="672026168">
              <w:marLeft w:val="0"/>
              <w:marRight w:val="0"/>
              <w:marTop w:val="0"/>
              <w:marBottom w:val="0"/>
              <w:divBdr>
                <w:top w:val="none" w:sz="0" w:space="0" w:color="auto"/>
                <w:left w:val="none" w:sz="0" w:space="0" w:color="auto"/>
                <w:bottom w:val="none" w:sz="0" w:space="0" w:color="auto"/>
                <w:right w:val="none" w:sz="0" w:space="0" w:color="auto"/>
              </w:divBdr>
            </w:div>
            <w:div w:id="1299920385">
              <w:marLeft w:val="0"/>
              <w:marRight w:val="0"/>
              <w:marTop w:val="0"/>
              <w:marBottom w:val="0"/>
              <w:divBdr>
                <w:top w:val="none" w:sz="0" w:space="0" w:color="auto"/>
                <w:left w:val="none" w:sz="0" w:space="0" w:color="auto"/>
                <w:bottom w:val="none" w:sz="0" w:space="0" w:color="auto"/>
                <w:right w:val="none" w:sz="0" w:space="0" w:color="auto"/>
              </w:divBdr>
            </w:div>
            <w:div w:id="1941447015">
              <w:marLeft w:val="0"/>
              <w:marRight w:val="0"/>
              <w:marTop w:val="0"/>
              <w:marBottom w:val="0"/>
              <w:divBdr>
                <w:top w:val="none" w:sz="0" w:space="0" w:color="auto"/>
                <w:left w:val="none" w:sz="0" w:space="0" w:color="auto"/>
                <w:bottom w:val="none" w:sz="0" w:space="0" w:color="auto"/>
                <w:right w:val="none" w:sz="0" w:space="0" w:color="auto"/>
              </w:divBdr>
            </w:div>
            <w:div w:id="310212609">
              <w:marLeft w:val="0"/>
              <w:marRight w:val="0"/>
              <w:marTop w:val="0"/>
              <w:marBottom w:val="0"/>
              <w:divBdr>
                <w:top w:val="none" w:sz="0" w:space="0" w:color="auto"/>
                <w:left w:val="none" w:sz="0" w:space="0" w:color="auto"/>
                <w:bottom w:val="none" w:sz="0" w:space="0" w:color="auto"/>
                <w:right w:val="none" w:sz="0" w:space="0" w:color="auto"/>
              </w:divBdr>
            </w:div>
            <w:div w:id="1597709541">
              <w:marLeft w:val="0"/>
              <w:marRight w:val="0"/>
              <w:marTop w:val="0"/>
              <w:marBottom w:val="0"/>
              <w:divBdr>
                <w:top w:val="none" w:sz="0" w:space="0" w:color="auto"/>
                <w:left w:val="none" w:sz="0" w:space="0" w:color="auto"/>
                <w:bottom w:val="none" w:sz="0" w:space="0" w:color="auto"/>
                <w:right w:val="none" w:sz="0" w:space="0" w:color="auto"/>
              </w:divBdr>
            </w:div>
            <w:div w:id="218635283">
              <w:marLeft w:val="0"/>
              <w:marRight w:val="0"/>
              <w:marTop w:val="0"/>
              <w:marBottom w:val="0"/>
              <w:divBdr>
                <w:top w:val="none" w:sz="0" w:space="0" w:color="auto"/>
                <w:left w:val="none" w:sz="0" w:space="0" w:color="auto"/>
                <w:bottom w:val="none" w:sz="0" w:space="0" w:color="auto"/>
                <w:right w:val="none" w:sz="0" w:space="0" w:color="auto"/>
              </w:divBdr>
            </w:div>
            <w:div w:id="1728647311">
              <w:marLeft w:val="0"/>
              <w:marRight w:val="0"/>
              <w:marTop w:val="0"/>
              <w:marBottom w:val="0"/>
              <w:divBdr>
                <w:top w:val="none" w:sz="0" w:space="0" w:color="auto"/>
                <w:left w:val="none" w:sz="0" w:space="0" w:color="auto"/>
                <w:bottom w:val="none" w:sz="0" w:space="0" w:color="auto"/>
                <w:right w:val="none" w:sz="0" w:space="0" w:color="auto"/>
              </w:divBdr>
            </w:div>
            <w:div w:id="1583566504">
              <w:marLeft w:val="0"/>
              <w:marRight w:val="0"/>
              <w:marTop w:val="0"/>
              <w:marBottom w:val="0"/>
              <w:divBdr>
                <w:top w:val="none" w:sz="0" w:space="0" w:color="auto"/>
                <w:left w:val="none" w:sz="0" w:space="0" w:color="auto"/>
                <w:bottom w:val="none" w:sz="0" w:space="0" w:color="auto"/>
                <w:right w:val="none" w:sz="0" w:space="0" w:color="auto"/>
              </w:divBdr>
            </w:div>
          </w:divsChild>
        </w:div>
        <w:div w:id="611398189">
          <w:marLeft w:val="0"/>
          <w:marRight w:val="0"/>
          <w:marTop w:val="0"/>
          <w:marBottom w:val="0"/>
          <w:divBdr>
            <w:top w:val="none" w:sz="0" w:space="0" w:color="auto"/>
            <w:left w:val="none" w:sz="0" w:space="0" w:color="auto"/>
            <w:bottom w:val="none" w:sz="0" w:space="0" w:color="auto"/>
            <w:right w:val="none" w:sz="0" w:space="0" w:color="auto"/>
          </w:divBdr>
          <w:divsChild>
            <w:div w:id="116995355">
              <w:marLeft w:val="0"/>
              <w:marRight w:val="0"/>
              <w:marTop w:val="0"/>
              <w:marBottom w:val="0"/>
              <w:divBdr>
                <w:top w:val="none" w:sz="0" w:space="0" w:color="auto"/>
                <w:left w:val="none" w:sz="0" w:space="0" w:color="auto"/>
                <w:bottom w:val="none" w:sz="0" w:space="0" w:color="auto"/>
                <w:right w:val="none" w:sz="0" w:space="0" w:color="auto"/>
              </w:divBdr>
            </w:div>
            <w:div w:id="1887445751">
              <w:marLeft w:val="0"/>
              <w:marRight w:val="0"/>
              <w:marTop w:val="0"/>
              <w:marBottom w:val="0"/>
              <w:divBdr>
                <w:top w:val="none" w:sz="0" w:space="0" w:color="auto"/>
                <w:left w:val="none" w:sz="0" w:space="0" w:color="auto"/>
                <w:bottom w:val="none" w:sz="0" w:space="0" w:color="auto"/>
                <w:right w:val="none" w:sz="0" w:space="0" w:color="auto"/>
              </w:divBdr>
            </w:div>
            <w:div w:id="991758380">
              <w:marLeft w:val="0"/>
              <w:marRight w:val="0"/>
              <w:marTop w:val="0"/>
              <w:marBottom w:val="0"/>
              <w:divBdr>
                <w:top w:val="none" w:sz="0" w:space="0" w:color="auto"/>
                <w:left w:val="none" w:sz="0" w:space="0" w:color="auto"/>
                <w:bottom w:val="none" w:sz="0" w:space="0" w:color="auto"/>
                <w:right w:val="none" w:sz="0" w:space="0" w:color="auto"/>
              </w:divBdr>
            </w:div>
            <w:div w:id="1727408156">
              <w:marLeft w:val="0"/>
              <w:marRight w:val="0"/>
              <w:marTop w:val="0"/>
              <w:marBottom w:val="0"/>
              <w:divBdr>
                <w:top w:val="none" w:sz="0" w:space="0" w:color="auto"/>
                <w:left w:val="none" w:sz="0" w:space="0" w:color="auto"/>
                <w:bottom w:val="none" w:sz="0" w:space="0" w:color="auto"/>
                <w:right w:val="none" w:sz="0" w:space="0" w:color="auto"/>
              </w:divBdr>
            </w:div>
            <w:div w:id="58604183">
              <w:marLeft w:val="0"/>
              <w:marRight w:val="0"/>
              <w:marTop w:val="0"/>
              <w:marBottom w:val="0"/>
              <w:divBdr>
                <w:top w:val="none" w:sz="0" w:space="0" w:color="auto"/>
                <w:left w:val="none" w:sz="0" w:space="0" w:color="auto"/>
                <w:bottom w:val="none" w:sz="0" w:space="0" w:color="auto"/>
                <w:right w:val="none" w:sz="0" w:space="0" w:color="auto"/>
              </w:divBdr>
            </w:div>
            <w:div w:id="581335850">
              <w:marLeft w:val="0"/>
              <w:marRight w:val="0"/>
              <w:marTop w:val="0"/>
              <w:marBottom w:val="0"/>
              <w:divBdr>
                <w:top w:val="none" w:sz="0" w:space="0" w:color="auto"/>
                <w:left w:val="none" w:sz="0" w:space="0" w:color="auto"/>
                <w:bottom w:val="none" w:sz="0" w:space="0" w:color="auto"/>
                <w:right w:val="none" w:sz="0" w:space="0" w:color="auto"/>
              </w:divBdr>
            </w:div>
          </w:divsChild>
        </w:div>
        <w:div w:id="1132820468">
          <w:marLeft w:val="0"/>
          <w:marRight w:val="0"/>
          <w:marTop w:val="0"/>
          <w:marBottom w:val="0"/>
          <w:divBdr>
            <w:top w:val="none" w:sz="0" w:space="0" w:color="auto"/>
            <w:left w:val="none" w:sz="0" w:space="0" w:color="auto"/>
            <w:bottom w:val="none" w:sz="0" w:space="0" w:color="auto"/>
            <w:right w:val="none" w:sz="0" w:space="0" w:color="auto"/>
          </w:divBdr>
          <w:divsChild>
            <w:div w:id="1524592998">
              <w:marLeft w:val="0"/>
              <w:marRight w:val="0"/>
              <w:marTop w:val="0"/>
              <w:marBottom w:val="0"/>
              <w:divBdr>
                <w:top w:val="none" w:sz="0" w:space="0" w:color="auto"/>
                <w:left w:val="none" w:sz="0" w:space="0" w:color="auto"/>
                <w:bottom w:val="none" w:sz="0" w:space="0" w:color="auto"/>
                <w:right w:val="none" w:sz="0" w:space="0" w:color="auto"/>
              </w:divBdr>
            </w:div>
            <w:div w:id="938179886">
              <w:marLeft w:val="0"/>
              <w:marRight w:val="0"/>
              <w:marTop w:val="0"/>
              <w:marBottom w:val="0"/>
              <w:divBdr>
                <w:top w:val="none" w:sz="0" w:space="0" w:color="auto"/>
                <w:left w:val="none" w:sz="0" w:space="0" w:color="auto"/>
                <w:bottom w:val="none" w:sz="0" w:space="0" w:color="auto"/>
                <w:right w:val="none" w:sz="0" w:space="0" w:color="auto"/>
              </w:divBdr>
            </w:div>
            <w:div w:id="1383944748">
              <w:marLeft w:val="0"/>
              <w:marRight w:val="0"/>
              <w:marTop w:val="0"/>
              <w:marBottom w:val="0"/>
              <w:divBdr>
                <w:top w:val="none" w:sz="0" w:space="0" w:color="auto"/>
                <w:left w:val="none" w:sz="0" w:space="0" w:color="auto"/>
                <w:bottom w:val="none" w:sz="0" w:space="0" w:color="auto"/>
                <w:right w:val="none" w:sz="0" w:space="0" w:color="auto"/>
              </w:divBdr>
            </w:div>
            <w:div w:id="1227834731">
              <w:marLeft w:val="0"/>
              <w:marRight w:val="0"/>
              <w:marTop w:val="0"/>
              <w:marBottom w:val="0"/>
              <w:divBdr>
                <w:top w:val="none" w:sz="0" w:space="0" w:color="auto"/>
                <w:left w:val="none" w:sz="0" w:space="0" w:color="auto"/>
                <w:bottom w:val="none" w:sz="0" w:space="0" w:color="auto"/>
                <w:right w:val="none" w:sz="0" w:space="0" w:color="auto"/>
              </w:divBdr>
            </w:div>
            <w:div w:id="1953784834">
              <w:marLeft w:val="0"/>
              <w:marRight w:val="0"/>
              <w:marTop w:val="0"/>
              <w:marBottom w:val="0"/>
              <w:divBdr>
                <w:top w:val="none" w:sz="0" w:space="0" w:color="auto"/>
                <w:left w:val="none" w:sz="0" w:space="0" w:color="auto"/>
                <w:bottom w:val="none" w:sz="0" w:space="0" w:color="auto"/>
                <w:right w:val="none" w:sz="0" w:space="0" w:color="auto"/>
              </w:divBdr>
            </w:div>
          </w:divsChild>
        </w:div>
        <w:div w:id="2021856780">
          <w:marLeft w:val="0"/>
          <w:marRight w:val="0"/>
          <w:marTop w:val="0"/>
          <w:marBottom w:val="0"/>
          <w:divBdr>
            <w:top w:val="none" w:sz="0" w:space="0" w:color="auto"/>
            <w:left w:val="none" w:sz="0" w:space="0" w:color="auto"/>
            <w:bottom w:val="none" w:sz="0" w:space="0" w:color="auto"/>
            <w:right w:val="none" w:sz="0" w:space="0" w:color="auto"/>
          </w:divBdr>
          <w:divsChild>
            <w:div w:id="1102996458">
              <w:marLeft w:val="0"/>
              <w:marRight w:val="0"/>
              <w:marTop w:val="0"/>
              <w:marBottom w:val="0"/>
              <w:divBdr>
                <w:top w:val="none" w:sz="0" w:space="0" w:color="auto"/>
                <w:left w:val="none" w:sz="0" w:space="0" w:color="auto"/>
                <w:bottom w:val="none" w:sz="0" w:space="0" w:color="auto"/>
                <w:right w:val="none" w:sz="0" w:space="0" w:color="auto"/>
              </w:divBdr>
            </w:div>
            <w:div w:id="396320225">
              <w:marLeft w:val="0"/>
              <w:marRight w:val="0"/>
              <w:marTop w:val="0"/>
              <w:marBottom w:val="0"/>
              <w:divBdr>
                <w:top w:val="none" w:sz="0" w:space="0" w:color="auto"/>
                <w:left w:val="none" w:sz="0" w:space="0" w:color="auto"/>
                <w:bottom w:val="none" w:sz="0" w:space="0" w:color="auto"/>
                <w:right w:val="none" w:sz="0" w:space="0" w:color="auto"/>
              </w:divBdr>
            </w:div>
            <w:div w:id="1757483751">
              <w:marLeft w:val="0"/>
              <w:marRight w:val="0"/>
              <w:marTop w:val="0"/>
              <w:marBottom w:val="0"/>
              <w:divBdr>
                <w:top w:val="none" w:sz="0" w:space="0" w:color="auto"/>
                <w:left w:val="none" w:sz="0" w:space="0" w:color="auto"/>
                <w:bottom w:val="none" w:sz="0" w:space="0" w:color="auto"/>
                <w:right w:val="none" w:sz="0" w:space="0" w:color="auto"/>
              </w:divBdr>
            </w:div>
            <w:div w:id="784618301">
              <w:marLeft w:val="0"/>
              <w:marRight w:val="0"/>
              <w:marTop w:val="0"/>
              <w:marBottom w:val="0"/>
              <w:divBdr>
                <w:top w:val="none" w:sz="0" w:space="0" w:color="auto"/>
                <w:left w:val="none" w:sz="0" w:space="0" w:color="auto"/>
                <w:bottom w:val="none" w:sz="0" w:space="0" w:color="auto"/>
                <w:right w:val="none" w:sz="0" w:space="0" w:color="auto"/>
              </w:divBdr>
            </w:div>
            <w:div w:id="1641809517">
              <w:marLeft w:val="0"/>
              <w:marRight w:val="0"/>
              <w:marTop w:val="0"/>
              <w:marBottom w:val="0"/>
              <w:divBdr>
                <w:top w:val="none" w:sz="0" w:space="0" w:color="auto"/>
                <w:left w:val="none" w:sz="0" w:space="0" w:color="auto"/>
                <w:bottom w:val="none" w:sz="0" w:space="0" w:color="auto"/>
                <w:right w:val="none" w:sz="0" w:space="0" w:color="auto"/>
              </w:divBdr>
            </w:div>
            <w:div w:id="233862461">
              <w:marLeft w:val="0"/>
              <w:marRight w:val="0"/>
              <w:marTop w:val="0"/>
              <w:marBottom w:val="0"/>
              <w:divBdr>
                <w:top w:val="none" w:sz="0" w:space="0" w:color="auto"/>
                <w:left w:val="none" w:sz="0" w:space="0" w:color="auto"/>
                <w:bottom w:val="none" w:sz="0" w:space="0" w:color="auto"/>
                <w:right w:val="none" w:sz="0" w:space="0" w:color="auto"/>
              </w:divBdr>
            </w:div>
            <w:div w:id="1202018173">
              <w:marLeft w:val="0"/>
              <w:marRight w:val="0"/>
              <w:marTop w:val="0"/>
              <w:marBottom w:val="0"/>
              <w:divBdr>
                <w:top w:val="none" w:sz="0" w:space="0" w:color="auto"/>
                <w:left w:val="none" w:sz="0" w:space="0" w:color="auto"/>
                <w:bottom w:val="none" w:sz="0" w:space="0" w:color="auto"/>
                <w:right w:val="none" w:sz="0" w:space="0" w:color="auto"/>
              </w:divBdr>
            </w:div>
          </w:divsChild>
        </w:div>
        <w:div w:id="846292439">
          <w:marLeft w:val="0"/>
          <w:marRight w:val="0"/>
          <w:marTop w:val="0"/>
          <w:marBottom w:val="0"/>
          <w:divBdr>
            <w:top w:val="none" w:sz="0" w:space="0" w:color="auto"/>
            <w:left w:val="none" w:sz="0" w:space="0" w:color="auto"/>
            <w:bottom w:val="none" w:sz="0" w:space="0" w:color="auto"/>
            <w:right w:val="none" w:sz="0" w:space="0" w:color="auto"/>
          </w:divBdr>
          <w:divsChild>
            <w:div w:id="1559438597">
              <w:marLeft w:val="0"/>
              <w:marRight w:val="0"/>
              <w:marTop w:val="0"/>
              <w:marBottom w:val="0"/>
              <w:divBdr>
                <w:top w:val="none" w:sz="0" w:space="0" w:color="auto"/>
                <w:left w:val="none" w:sz="0" w:space="0" w:color="auto"/>
                <w:bottom w:val="none" w:sz="0" w:space="0" w:color="auto"/>
                <w:right w:val="none" w:sz="0" w:space="0" w:color="auto"/>
              </w:divBdr>
            </w:div>
            <w:div w:id="1405643782">
              <w:marLeft w:val="0"/>
              <w:marRight w:val="0"/>
              <w:marTop w:val="0"/>
              <w:marBottom w:val="0"/>
              <w:divBdr>
                <w:top w:val="none" w:sz="0" w:space="0" w:color="auto"/>
                <w:left w:val="none" w:sz="0" w:space="0" w:color="auto"/>
                <w:bottom w:val="none" w:sz="0" w:space="0" w:color="auto"/>
                <w:right w:val="none" w:sz="0" w:space="0" w:color="auto"/>
              </w:divBdr>
            </w:div>
            <w:div w:id="1766148172">
              <w:marLeft w:val="0"/>
              <w:marRight w:val="0"/>
              <w:marTop w:val="0"/>
              <w:marBottom w:val="0"/>
              <w:divBdr>
                <w:top w:val="none" w:sz="0" w:space="0" w:color="auto"/>
                <w:left w:val="none" w:sz="0" w:space="0" w:color="auto"/>
                <w:bottom w:val="none" w:sz="0" w:space="0" w:color="auto"/>
                <w:right w:val="none" w:sz="0" w:space="0" w:color="auto"/>
              </w:divBdr>
            </w:div>
            <w:div w:id="1732001274">
              <w:marLeft w:val="0"/>
              <w:marRight w:val="0"/>
              <w:marTop w:val="0"/>
              <w:marBottom w:val="0"/>
              <w:divBdr>
                <w:top w:val="none" w:sz="0" w:space="0" w:color="auto"/>
                <w:left w:val="none" w:sz="0" w:space="0" w:color="auto"/>
                <w:bottom w:val="none" w:sz="0" w:space="0" w:color="auto"/>
                <w:right w:val="none" w:sz="0" w:space="0" w:color="auto"/>
              </w:divBdr>
            </w:div>
            <w:div w:id="361633432">
              <w:marLeft w:val="0"/>
              <w:marRight w:val="0"/>
              <w:marTop w:val="0"/>
              <w:marBottom w:val="0"/>
              <w:divBdr>
                <w:top w:val="none" w:sz="0" w:space="0" w:color="auto"/>
                <w:left w:val="none" w:sz="0" w:space="0" w:color="auto"/>
                <w:bottom w:val="none" w:sz="0" w:space="0" w:color="auto"/>
                <w:right w:val="none" w:sz="0" w:space="0" w:color="auto"/>
              </w:divBdr>
            </w:div>
            <w:div w:id="1163741594">
              <w:marLeft w:val="0"/>
              <w:marRight w:val="0"/>
              <w:marTop w:val="0"/>
              <w:marBottom w:val="0"/>
              <w:divBdr>
                <w:top w:val="none" w:sz="0" w:space="0" w:color="auto"/>
                <w:left w:val="none" w:sz="0" w:space="0" w:color="auto"/>
                <w:bottom w:val="none" w:sz="0" w:space="0" w:color="auto"/>
                <w:right w:val="none" w:sz="0" w:space="0" w:color="auto"/>
              </w:divBdr>
            </w:div>
          </w:divsChild>
        </w:div>
        <w:div w:id="2076196278">
          <w:marLeft w:val="0"/>
          <w:marRight w:val="0"/>
          <w:marTop w:val="0"/>
          <w:marBottom w:val="0"/>
          <w:divBdr>
            <w:top w:val="none" w:sz="0" w:space="0" w:color="auto"/>
            <w:left w:val="none" w:sz="0" w:space="0" w:color="auto"/>
            <w:bottom w:val="none" w:sz="0" w:space="0" w:color="auto"/>
            <w:right w:val="none" w:sz="0" w:space="0" w:color="auto"/>
          </w:divBdr>
          <w:divsChild>
            <w:div w:id="90904807">
              <w:marLeft w:val="0"/>
              <w:marRight w:val="0"/>
              <w:marTop w:val="0"/>
              <w:marBottom w:val="0"/>
              <w:divBdr>
                <w:top w:val="none" w:sz="0" w:space="0" w:color="auto"/>
                <w:left w:val="none" w:sz="0" w:space="0" w:color="auto"/>
                <w:bottom w:val="none" w:sz="0" w:space="0" w:color="auto"/>
                <w:right w:val="none" w:sz="0" w:space="0" w:color="auto"/>
              </w:divBdr>
            </w:div>
            <w:div w:id="622922709">
              <w:marLeft w:val="0"/>
              <w:marRight w:val="0"/>
              <w:marTop w:val="0"/>
              <w:marBottom w:val="0"/>
              <w:divBdr>
                <w:top w:val="none" w:sz="0" w:space="0" w:color="auto"/>
                <w:left w:val="none" w:sz="0" w:space="0" w:color="auto"/>
                <w:bottom w:val="none" w:sz="0" w:space="0" w:color="auto"/>
                <w:right w:val="none" w:sz="0" w:space="0" w:color="auto"/>
              </w:divBdr>
            </w:div>
            <w:div w:id="1731152398">
              <w:marLeft w:val="0"/>
              <w:marRight w:val="0"/>
              <w:marTop w:val="0"/>
              <w:marBottom w:val="0"/>
              <w:divBdr>
                <w:top w:val="none" w:sz="0" w:space="0" w:color="auto"/>
                <w:left w:val="none" w:sz="0" w:space="0" w:color="auto"/>
                <w:bottom w:val="none" w:sz="0" w:space="0" w:color="auto"/>
                <w:right w:val="none" w:sz="0" w:space="0" w:color="auto"/>
              </w:divBdr>
            </w:div>
            <w:div w:id="408889045">
              <w:marLeft w:val="0"/>
              <w:marRight w:val="0"/>
              <w:marTop w:val="0"/>
              <w:marBottom w:val="0"/>
              <w:divBdr>
                <w:top w:val="none" w:sz="0" w:space="0" w:color="auto"/>
                <w:left w:val="none" w:sz="0" w:space="0" w:color="auto"/>
                <w:bottom w:val="none" w:sz="0" w:space="0" w:color="auto"/>
                <w:right w:val="none" w:sz="0" w:space="0" w:color="auto"/>
              </w:divBdr>
            </w:div>
            <w:div w:id="1205171438">
              <w:marLeft w:val="0"/>
              <w:marRight w:val="0"/>
              <w:marTop w:val="0"/>
              <w:marBottom w:val="0"/>
              <w:divBdr>
                <w:top w:val="none" w:sz="0" w:space="0" w:color="auto"/>
                <w:left w:val="none" w:sz="0" w:space="0" w:color="auto"/>
                <w:bottom w:val="none" w:sz="0" w:space="0" w:color="auto"/>
                <w:right w:val="none" w:sz="0" w:space="0" w:color="auto"/>
              </w:divBdr>
            </w:div>
          </w:divsChild>
        </w:div>
        <w:div w:id="9840052">
          <w:marLeft w:val="0"/>
          <w:marRight w:val="0"/>
          <w:marTop w:val="0"/>
          <w:marBottom w:val="0"/>
          <w:divBdr>
            <w:top w:val="none" w:sz="0" w:space="0" w:color="auto"/>
            <w:left w:val="none" w:sz="0" w:space="0" w:color="auto"/>
            <w:bottom w:val="none" w:sz="0" w:space="0" w:color="auto"/>
            <w:right w:val="none" w:sz="0" w:space="0" w:color="auto"/>
          </w:divBdr>
        </w:div>
        <w:div w:id="25363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ela.org/the-role-of-environmental-social-and-governance-esg-reporting-in-promoting-responsible-sourcing-and-investment-in-the-extractive-secto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zse.co.zw/companies-2/" TargetMode="External"/><Relationship Id="rId2" Type="http://schemas.openxmlformats.org/officeDocument/2006/relationships/hyperlink" Target="https://www.zse.co.zw/about-us/" TargetMode="External"/><Relationship Id="rId1" Type="http://schemas.openxmlformats.org/officeDocument/2006/relationships/hyperlink" Target="https://www.icmm.com/mining-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115B749-AF43-4C19-A117-11105CFFC5AE}"/>
</file>

<file path=customXml/itemProps2.xml><?xml version="1.0" encoding="utf-8"?>
<ds:datastoreItem xmlns:ds="http://schemas.openxmlformats.org/officeDocument/2006/customXml" ds:itemID="{5AC6D52C-D7D9-4938-AA52-F015411F40B9}"/>
</file>

<file path=customXml/itemProps3.xml><?xml version="1.0" encoding="utf-8"?>
<ds:datastoreItem xmlns:ds="http://schemas.openxmlformats.org/officeDocument/2006/customXml" ds:itemID="{FA5A7FB0-3ACA-4C30-8043-21879F306CF1}"/>
</file>

<file path=docProps/app.xml><?xml version="1.0" encoding="utf-8"?>
<Properties xmlns="http://schemas.openxmlformats.org/officeDocument/2006/extended-properties" xmlns:vt="http://schemas.openxmlformats.org/officeDocument/2006/docPropsVTypes">
  <Template>Normal</Template>
  <TotalTime>66</TotalTime>
  <Pages>6</Pages>
  <Words>2606</Words>
  <Characters>14857</Characters>
  <Application>Microsoft Office Word</Application>
  <DocSecurity>0</DocSecurity>
  <Lines>123</Lines>
  <Paragraphs>34</Paragraphs>
  <ScaleCrop>false</ScaleCrop>
  <Company>HP</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Obert Bore</dc:creator>
  <cp:keywords/>
  <dc:description/>
  <cp:lastModifiedBy>Obert Bore</cp:lastModifiedBy>
  <cp:revision>1</cp:revision>
  <dcterms:created xsi:type="dcterms:W3CDTF">2023-10-04T10:22:00Z</dcterms:created>
  <dcterms:modified xsi:type="dcterms:W3CDTF">2023-10-04T12:50:00Z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