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2EE6" w14:textId="77777777" w:rsidR="000A7C55" w:rsidRDefault="000A7C55" w:rsidP="00E0352E">
      <w:pPr>
        <w:jc w:val="center"/>
        <w:rPr>
          <w:rFonts w:cstheme="minorHAnsi"/>
          <w:b/>
          <w:bCs/>
          <w:u w:val="single"/>
        </w:rPr>
      </w:pPr>
    </w:p>
    <w:p w14:paraId="26754ED0" w14:textId="77777777" w:rsidR="000A7C55" w:rsidRDefault="000A7C55" w:rsidP="00E0352E">
      <w:pPr>
        <w:jc w:val="center"/>
        <w:rPr>
          <w:rFonts w:cstheme="minorHAnsi"/>
          <w:b/>
          <w:bCs/>
          <w:u w:val="single"/>
        </w:rPr>
      </w:pPr>
    </w:p>
    <w:p w14:paraId="509B4AD1" w14:textId="15242392" w:rsidR="001B4C7C" w:rsidRPr="008208AF" w:rsidRDefault="001B4C7C" w:rsidP="00E0352E">
      <w:pPr>
        <w:jc w:val="center"/>
        <w:rPr>
          <w:rFonts w:cstheme="minorHAnsi"/>
          <w:b/>
          <w:bCs/>
          <w:u w:val="single"/>
        </w:rPr>
      </w:pPr>
      <w:r w:rsidRPr="008208AF">
        <w:rPr>
          <w:rFonts w:cstheme="minorHAnsi"/>
          <w:b/>
          <w:bCs/>
          <w:u w:val="single"/>
        </w:rPr>
        <w:t>SUBMISSION FROM THE INTERNATIONAL CENTER FOR CLIMATE CHANGE AND DEVELOPMENT (ICCCAD), CENTER FOR CLIMATE JUSTICE-BANGLADESH (CCJ-B)</w:t>
      </w:r>
      <w:r w:rsidR="00E0352E" w:rsidRPr="008208AF">
        <w:rPr>
          <w:rFonts w:cstheme="minorHAnsi"/>
          <w:b/>
          <w:bCs/>
          <w:u w:val="single"/>
        </w:rPr>
        <w:t>,</w:t>
      </w:r>
      <w:r w:rsidRPr="008208AF">
        <w:rPr>
          <w:rFonts w:cstheme="minorHAnsi"/>
          <w:b/>
          <w:bCs/>
          <w:u w:val="single"/>
        </w:rPr>
        <w:t xml:space="preserve"> AND THE CLIMATE LITIGATION ACCELERATOR (CLX) AT NEW YORK UNIVERSITY SCHOOL OF LAW</w:t>
      </w:r>
    </w:p>
    <w:p w14:paraId="1E47D5CC" w14:textId="44E1BA37" w:rsidR="001B4C7C" w:rsidRPr="00C80B55" w:rsidRDefault="001B4C7C" w:rsidP="00E0352E">
      <w:pPr>
        <w:jc w:val="center"/>
        <w:rPr>
          <w:rFonts w:cstheme="minorHAnsi"/>
        </w:rPr>
      </w:pPr>
    </w:p>
    <w:p w14:paraId="1CF013D7" w14:textId="263CB719" w:rsidR="001B4C7C" w:rsidRPr="00C80B55" w:rsidRDefault="001B4C7C" w:rsidP="0047002C">
      <w:pPr>
        <w:numPr>
          <w:ilvl w:val="0"/>
          <w:numId w:val="1"/>
        </w:numPr>
        <w:spacing w:before="100" w:beforeAutospacing="1" w:after="100" w:afterAutospacing="1" w:line="240" w:lineRule="auto"/>
        <w:jc w:val="both"/>
        <w:rPr>
          <w:rFonts w:eastAsia="Times New Roman" w:cstheme="minorHAnsi"/>
          <w:u w:val="single"/>
          <w:lang w:eastAsia="en-CA"/>
        </w:rPr>
      </w:pPr>
      <w:r w:rsidRPr="00C80B55">
        <w:rPr>
          <w:rFonts w:eastAsia="Times New Roman" w:cstheme="minorHAnsi"/>
          <w:u w:val="single"/>
          <w:lang w:eastAsia="en-CA"/>
        </w:rPr>
        <w:t>What experiences and examples are you aware of that are being faced by particularly individuals and communities in vulnerable situations (as identified above) that have suffered loss and damage due to the adverse impacts of climate change?</w:t>
      </w:r>
    </w:p>
    <w:p w14:paraId="094FEE69" w14:textId="75096837" w:rsidR="0047002C" w:rsidRPr="00C80B55" w:rsidRDefault="007249E3" w:rsidP="0047002C">
      <w:pPr>
        <w:spacing w:before="100" w:beforeAutospacing="1" w:after="100" w:afterAutospacing="1" w:line="240" w:lineRule="auto"/>
        <w:ind w:left="360"/>
        <w:jc w:val="both"/>
        <w:rPr>
          <w:rFonts w:cstheme="minorHAnsi"/>
        </w:rPr>
      </w:pPr>
      <w:r w:rsidRPr="00C80B55">
        <w:rPr>
          <w:rFonts w:eastAsia="Times New Roman" w:cstheme="minorHAnsi"/>
          <w:lang w:eastAsia="en-CA"/>
        </w:rPr>
        <w:t xml:space="preserve">The impacts experienced by individuals and communities differ if it is a sudden onset event like floods and heatwaves as opposed to slow onset events. </w:t>
      </w:r>
      <w:r w:rsidR="008208AF">
        <w:rPr>
          <w:rFonts w:eastAsia="Times New Roman" w:cstheme="minorHAnsi"/>
          <w:lang w:eastAsia="en-CA"/>
        </w:rPr>
        <w:t>The</w:t>
      </w:r>
      <w:r w:rsidRPr="00C80B55">
        <w:rPr>
          <w:rFonts w:eastAsia="Times New Roman" w:cstheme="minorHAnsi"/>
          <w:lang w:eastAsia="en-CA"/>
        </w:rPr>
        <w:t xml:space="preserve"> case of a sudden onset event like the ongoing floods in Bangladesh and North-eastern India has left a devastating trail of loss of life, livelihood, access to education, health, property</w:t>
      </w:r>
      <w:r w:rsidR="008208AF">
        <w:rPr>
          <w:rFonts w:eastAsia="Times New Roman" w:cstheme="minorHAnsi"/>
          <w:lang w:eastAsia="en-CA"/>
        </w:rPr>
        <w:t>,</w:t>
      </w:r>
      <w:r w:rsidRPr="00C80B55">
        <w:rPr>
          <w:rFonts w:eastAsia="Times New Roman" w:cstheme="minorHAnsi"/>
          <w:lang w:eastAsia="en-CA"/>
        </w:rPr>
        <w:t xml:space="preserve"> and displaced poor communities. The losses are non-economic too with the loss of land and associated cultural values. </w:t>
      </w:r>
      <w:r w:rsidR="00843873" w:rsidRPr="00C80B55">
        <w:rPr>
          <w:rFonts w:eastAsia="Times New Roman" w:cstheme="minorHAnsi"/>
          <w:lang w:eastAsia="en-CA"/>
        </w:rPr>
        <w:t xml:space="preserve">An alarming statistic is that </w:t>
      </w:r>
      <w:r w:rsidR="00843873" w:rsidRPr="00C80B55">
        <w:rPr>
          <w:rFonts w:eastAsia="Times New Roman" w:cstheme="minorHAnsi"/>
        </w:rPr>
        <w:t>nearly 700,000 Bangladeshis were displaced each year by natural disasters, according to the Internal Displacement Monitoring Centre. The annual number spikes during years with powerful cyclones.</w:t>
      </w:r>
      <w:r w:rsidR="00843873" w:rsidRPr="00C80B55">
        <w:rPr>
          <w:rFonts w:eastAsia="Times New Roman" w:cstheme="minorHAnsi"/>
          <w:lang w:eastAsia="en-CA"/>
        </w:rPr>
        <w:t xml:space="preserve"> </w:t>
      </w:r>
      <w:r w:rsidRPr="00C80B55">
        <w:rPr>
          <w:rFonts w:eastAsia="Times New Roman" w:cstheme="minorHAnsi"/>
          <w:lang w:eastAsia="en-CA"/>
        </w:rPr>
        <w:t>While the countries cope with managing the</w:t>
      </w:r>
      <w:r w:rsidR="00843873" w:rsidRPr="00C80B55">
        <w:rPr>
          <w:rFonts w:eastAsia="Times New Roman" w:cstheme="minorHAnsi"/>
          <w:lang w:eastAsia="en-CA"/>
        </w:rPr>
        <w:t>se</w:t>
      </w:r>
      <w:r w:rsidRPr="00C80B55">
        <w:rPr>
          <w:rFonts w:eastAsia="Times New Roman" w:cstheme="minorHAnsi"/>
          <w:lang w:eastAsia="en-CA"/>
        </w:rPr>
        <w:t xml:space="preserve"> disaster</w:t>
      </w:r>
      <w:r w:rsidR="00843873" w:rsidRPr="00C80B55">
        <w:rPr>
          <w:rFonts w:eastAsia="Times New Roman" w:cstheme="minorHAnsi"/>
          <w:lang w:eastAsia="en-CA"/>
        </w:rPr>
        <w:t>s which are now more frequent due to climate change</w:t>
      </w:r>
      <w:r w:rsidRPr="00C80B55">
        <w:rPr>
          <w:rFonts w:eastAsia="Times New Roman" w:cstheme="minorHAnsi"/>
          <w:lang w:eastAsia="en-CA"/>
        </w:rPr>
        <w:t>, they struggle to rehabilitate these communities</w:t>
      </w:r>
      <w:r w:rsidR="00843873" w:rsidRPr="00C80B55">
        <w:rPr>
          <w:rFonts w:eastAsia="Times New Roman" w:cstheme="minorHAnsi"/>
          <w:lang w:eastAsia="en-CA"/>
        </w:rPr>
        <w:t xml:space="preserve"> and compensate for the losses incurred which are unjustly borne by the individuals and communities impacted. </w:t>
      </w:r>
      <w:r w:rsidR="00843873" w:rsidRPr="00C80B55">
        <w:rPr>
          <w:rFonts w:cstheme="minorHAnsi"/>
          <w:lang w:val="en-GB"/>
        </w:rPr>
        <w:t xml:space="preserve">A recent study conducted by the International Institute for Environment and Development showed that </w:t>
      </w:r>
      <w:r w:rsidR="0047002C" w:rsidRPr="00C80B55">
        <w:rPr>
          <w:rFonts w:cstheme="minorHAnsi"/>
        </w:rPr>
        <w:t>the</w:t>
      </w:r>
      <w:r w:rsidR="00843873" w:rsidRPr="00C80B55">
        <w:rPr>
          <w:rFonts w:cstheme="minorHAnsi"/>
        </w:rPr>
        <w:t xml:space="preserve"> high share of spending by female-led households - many based in the flood-prone north - is double the average of 15% because women have lower incomes than men.</w:t>
      </w:r>
      <w:r w:rsidR="00843873" w:rsidRPr="00C80B55">
        <w:rPr>
          <w:rFonts w:cstheme="minorHAnsi"/>
        </w:rPr>
        <w:t xml:space="preserve"> </w:t>
      </w:r>
      <w:r w:rsidR="00C80B55">
        <w:rPr>
          <w:rStyle w:val="FootnoteReference"/>
          <w:rFonts w:cstheme="minorHAnsi"/>
        </w:rPr>
        <w:footnoteReference w:id="1"/>
      </w:r>
    </w:p>
    <w:p w14:paraId="1295C8FD" w14:textId="5343B359" w:rsidR="0047002C" w:rsidRPr="00C80B55" w:rsidRDefault="00843873" w:rsidP="0047002C">
      <w:pPr>
        <w:spacing w:before="100" w:beforeAutospacing="1" w:after="100" w:afterAutospacing="1" w:line="240" w:lineRule="auto"/>
        <w:ind w:left="360"/>
        <w:jc w:val="both"/>
        <w:rPr>
          <w:rFonts w:cstheme="minorHAnsi"/>
        </w:rPr>
      </w:pPr>
      <w:r w:rsidRPr="00C80B55">
        <w:rPr>
          <w:rFonts w:cstheme="minorHAnsi"/>
        </w:rPr>
        <w:t>In the case of slow-onset events like sea-level rise in parts of Bangladesh</w:t>
      </w:r>
      <w:r w:rsidR="0047002C" w:rsidRPr="00C80B55">
        <w:rPr>
          <w:rFonts w:cstheme="minorHAnsi"/>
        </w:rPr>
        <w:t>,</w:t>
      </w:r>
      <w:r w:rsidRPr="00C80B55">
        <w:rPr>
          <w:rFonts w:cstheme="minorHAnsi"/>
        </w:rPr>
        <w:t xml:space="preserve"> it has led to </w:t>
      </w:r>
      <w:r w:rsidR="0047002C" w:rsidRPr="00C80B55">
        <w:rPr>
          <w:rFonts w:cstheme="minorHAnsi"/>
        </w:rPr>
        <w:t>increased</w:t>
      </w:r>
      <w:r w:rsidRPr="00C80B55">
        <w:rPr>
          <w:rFonts w:cstheme="minorHAnsi"/>
        </w:rPr>
        <w:t xml:space="preserve"> salinity in the soil causing loss of fertility and forcing small and marginal farmers to move away from their traditional livelihood to shrimp cultivation. Slow-onset events also have devastating consequences on vulnerable ecosystems like the Sundarbans which is a large mangrove </w:t>
      </w:r>
      <w:r w:rsidR="0047002C" w:rsidRPr="00C80B55">
        <w:rPr>
          <w:rFonts w:cstheme="minorHAnsi"/>
        </w:rPr>
        <w:t>forest</w:t>
      </w:r>
      <w:r w:rsidRPr="00C80B55">
        <w:rPr>
          <w:rFonts w:cstheme="minorHAnsi"/>
        </w:rPr>
        <w:t xml:space="preserve"> that stretches between India and Bangladesh. These losses to ecosystems and cultural values are irreversible and frame the experience of </w:t>
      </w:r>
      <w:r w:rsidR="0047002C" w:rsidRPr="00C80B55">
        <w:rPr>
          <w:rFonts w:cstheme="minorHAnsi"/>
        </w:rPr>
        <w:t>many</w:t>
      </w:r>
      <w:r w:rsidRPr="00C80B55">
        <w:rPr>
          <w:rFonts w:cstheme="minorHAnsi"/>
        </w:rPr>
        <w:t xml:space="preserve"> of the examples of loss and damage in South Asia.</w:t>
      </w:r>
      <w:r w:rsidR="00C80B55">
        <w:rPr>
          <w:rStyle w:val="FootnoteReference"/>
          <w:rFonts w:cstheme="minorHAnsi"/>
        </w:rPr>
        <w:footnoteReference w:id="2"/>
      </w:r>
      <w:r w:rsidRPr="00C80B55">
        <w:rPr>
          <w:rFonts w:cstheme="minorHAnsi"/>
        </w:rPr>
        <w:t xml:space="preserve"> </w:t>
      </w:r>
    </w:p>
    <w:p w14:paraId="6DA0F592" w14:textId="77777777" w:rsidR="000A7C55" w:rsidRDefault="0047002C" w:rsidP="00223937">
      <w:pPr>
        <w:spacing w:before="100" w:beforeAutospacing="1" w:after="100" w:afterAutospacing="1" w:line="240" w:lineRule="auto"/>
        <w:ind w:left="360"/>
        <w:jc w:val="both"/>
        <w:rPr>
          <w:rFonts w:eastAsia="Times New Roman" w:cstheme="minorHAnsi"/>
          <w:lang w:eastAsia="en-IN"/>
        </w:rPr>
      </w:pPr>
      <w:r w:rsidRPr="00C80B55">
        <w:rPr>
          <w:rFonts w:cstheme="minorHAnsi"/>
        </w:rPr>
        <w:t>A</w:t>
      </w:r>
      <w:r w:rsidR="00EE59FC" w:rsidRPr="00C80B55">
        <w:rPr>
          <w:rFonts w:cstheme="minorHAnsi"/>
        </w:rPr>
        <w:t xml:space="preserve"> pioneering study by ICCCAD and the International Institute for Environment and Development published in 2021 documents case studies from the frontline of communities experiencing loss and damage it chronicles how the effects of sudden and slow-onset events have cascading impacts on the lives of the vulnerable. A case study from India </w:t>
      </w:r>
      <w:r w:rsidR="00C26644" w:rsidRPr="00C80B55">
        <w:rPr>
          <w:rFonts w:cstheme="minorHAnsi"/>
        </w:rPr>
        <w:t xml:space="preserve">shows how climate change has increased heatwaves have resulted in prolonged droughts which </w:t>
      </w:r>
      <w:r w:rsidRPr="00C80B55">
        <w:rPr>
          <w:rFonts w:cstheme="minorHAnsi"/>
        </w:rPr>
        <w:t>have</w:t>
      </w:r>
      <w:r w:rsidR="00C26644" w:rsidRPr="00C80B55">
        <w:rPr>
          <w:rFonts w:cstheme="minorHAnsi"/>
        </w:rPr>
        <w:t xml:space="preserve"> in turn adversely impacted women as the case study reads that </w:t>
      </w:r>
      <w:r w:rsidR="00C26644" w:rsidRPr="00C80B55">
        <w:rPr>
          <w:rFonts w:eastAsia="Times New Roman" w:cstheme="minorHAnsi"/>
          <w:lang w:eastAsia="en-IN"/>
        </w:rPr>
        <w:t>under</w:t>
      </w:r>
      <w:r w:rsidR="00C26644" w:rsidRPr="00C80B55">
        <w:rPr>
          <w:rFonts w:eastAsia="Times New Roman" w:cstheme="minorHAnsi"/>
          <w:lang w:eastAsia="en-IN"/>
        </w:rPr>
        <w:t xml:space="preserve"> severe </w:t>
      </w:r>
      <w:r w:rsidR="00C26644" w:rsidRPr="00C80B55">
        <w:rPr>
          <w:rFonts w:eastAsia="Times New Roman" w:cstheme="minorHAnsi"/>
          <w:lang w:eastAsia="en-IN"/>
        </w:rPr>
        <w:t>water-stressed</w:t>
      </w:r>
      <w:r w:rsidR="00C26644" w:rsidRPr="00C80B55">
        <w:rPr>
          <w:rFonts w:eastAsia="Times New Roman" w:cstheme="minorHAnsi"/>
          <w:lang w:eastAsia="en-IN"/>
        </w:rPr>
        <w:t xml:space="preserve"> conditions, women have to cover long </w:t>
      </w:r>
    </w:p>
    <w:p w14:paraId="00437EB5" w14:textId="38609E2D" w:rsidR="000A7C55" w:rsidRDefault="00C26644" w:rsidP="00223937">
      <w:pPr>
        <w:spacing w:before="100" w:beforeAutospacing="1" w:after="100" w:afterAutospacing="1" w:line="240" w:lineRule="auto"/>
        <w:ind w:left="360"/>
        <w:jc w:val="both"/>
        <w:rPr>
          <w:rFonts w:eastAsia="Times New Roman" w:cstheme="minorHAnsi"/>
          <w:lang w:eastAsia="en-IN"/>
        </w:rPr>
      </w:pPr>
      <w:r w:rsidRPr="00C80B55">
        <w:rPr>
          <w:rFonts w:eastAsia="Times New Roman" w:cstheme="minorHAnsi"/>
          <w:lang w:eastAsia="en-IN"/>
        </w:rPr>
        <w:lastRenderedPageBreak/>
        <w:t>distances to collect water for livestock</w:t>
      </w:r>
      <w:r w:rsidRPr="00C80B55">
        <w:rPr>
          <w:rFonts w:eastAsia="Times New Roman" w:cstheme="minorHAnsi"/>
          <w:lang w:eastAsia="en-IN"/>
        </w:rPr>
        <w:t xml:space="preserve"> </w:t>
      </w:r>
      <w:r w:rsidR="0047002C" w:rsidRPr="00C80B55">
        <w:rPr>
          <w:rFonts w:eastAsia="Times New Roman" w:cstheme="minorHAnsi"/>
          <w:lang w:eastAsia="en-IN"/>
        </w:rPr>
        <w:t xml:space="preserve">and </w:t>
      </w:r>
      <w:r w:rsidRPr="00C80B55">
        <w:rPr>
          <w:rFonts w:eastAsia="Times New Roman" w:cstheme="minorHAnsi"/>
          <w:lang w:eastAsia="en-IN"/>
        </w:rPr>
        <w:t>domestic purposes, as well as being engaged in other economic activities like farming and livestock</w:t>
      </w:r>
      <w:r w:rsidRPr="00C80B55">
        <w:rPr>
          <w:rFonts w:eastAsia="Times New Roman" w:cstheme="minorHAnsi"/>
          <w:lang w:eastAsia="en-IN"/>
        </w:rPr>
        <w:t xml:space="preserve"> </w:t>
      </w:r>
      <w:r w:rsidRPr="00C80B55">
        <w:rPr>
          <w:rFonts w:eastAsia="Times New Roman" w:cstheme="minorHAnsi"/>
          <w:lang w:eastAsia="en-IN"/>
        </w:rPr>
        <w:t xml:space="preserve">rearing. Fetching water involves getting up early, </w:t>
      </w:r>
    </w:p>
    <w:p w14:paraId="3D8AF76F" w14:textId="7B0FC558" w:rsidR="0047002C" w:rsidRPr="00223937" w:rsidRDefault="00C26644" w:rsidP="00223937">
      <w:pPr>
        <w:spacing w:before="100" w:beforeAutospacing="1" w:after="100" w:afterAutospacing="1" w:line="240" w:lineRule="auto"/>
        <w:ind w:left="360"/>
        <w:jc w:val="both"/>
        <w:rPr>
          <w:rFonts w:eastAsia="Times New Roman" w:cstheme="minorHAnsi"/>
          <w:lang w:eastAsia="en-IN"/>
        </w:rPr>
      </w:pPr>
      <w:r w:rsidRPr="00C80B55">
        <w:rPr>
          <w:rFonts w:eastAsia="Times New Roman" w:cstheme="minorHAnsi"/>
          <w:lang w:eastAsia="en-IN"/>
        </w:rPr>
        <w:t xml:space="preserve">walking long </w:t>
      </w:r>
      <w:r w:rsidR="002B07FA" w:rsidRPr="00C80B55">
        <w:rPr>
          <w:rFonts w:eastAsia="Times New Roman" w:cstheme="minorHAnsi"/>
          <w:lang w:eastAsia="en-IN"/>
        </w:rPr>
        <w:t>distances and</w:t>
      </w:r>
      <w:r w:rsidRPr="00C80B55">
        <w:rPr>
          <w:rFonts w:eastAsia="Times New Roman" w:cstheme="minorHAnsi"/>
          <w:lang w:eastAsia="en-IN"/>
        </w:rPr>
        <w:t xml:space="preserve"> waiting for hours in a queue.</w:t>
      </w:r>
      <w:r w:rsidRPr="00C80B55">
        <w:rPr>
          <w:rFonts w:eastAsia="Times New Roman" w:cstheme="minorHAnsi"/>
          <w:lang w:eastAsia="en-IN"/>
        </w:rPr>
        <w:t xml:space="preserve"> </w:t>
      </w:r>
      <w:r w:rsidRPr="00C80B55">
        <w:rPr>
          <w:rFonts w:eastAsia="Times New Roman" w:cstheme="minorHAnsi"/>
          <w:lang w:eastAsia="en-IN"/>
        </w:rPr>
        <w:t>Often children — mostly girls — help their mothers with this task. When they are not with their mothers,</w:t>
      </w:r>
      <w:r w:rsidRPr="00C80B55">
        <w:rPr>
          <w:rFonts w:eastAsia="Times New Roman" w:cstheme="minorHAnsi"/>
          <w:lang w:eastAsia="en-IN"/>
        </w:rPr>
        <w:t xml:space="preserve"> </w:t>
      </w:r>
      <w:r w:rsidRPr="00C80B55">
        <w:rPr>
          <w:rFonts w:eastAsia="Times New Roman" w:cstheme="minorHAnsi"/>
          <w:lang w:eastAsia="en-IN"/>
        </w:rPr>
        <w:t xml:space="preserve">children stay at home to look after their younger siblings or perform household chores with a view </w:t>
      </w:r>
      <w:r w:rsidRPr="00C80B55">
        <w:rPr>
          <w:rFonts w:eastAsia="Times New Roman" w:cstheme="minorHAnsi"/>
          <w:lang w:eastAsia="en-IN"/>
        </w:rPr>
        <w:t xml:space="preserve">to </w:t>
      </w:r>
      <w:r w:rsidR="0047002C" w:rsidRPr="00C80B55">
        <w:rPr>
          <w:rFonts w:eastAsia="Times New Roman" w:cstheme="minorHAnsi"/>
          <w:lang w:eastAsia="en-IN"/>
        </w:rPr>
        <w:t>supporting</w:t>
      </w:r>
      <w:r w:rsidRPr="00C80B55">
        <w:rPr>
          <w:rFonts w:eastAsia="Times New Roman" w:cstheme="minorHAnsi"/>
          <w:lang w:eastAsia="en-IN"/>
        </w:rPr>
        <w:t xml:space="preserve"> their mothers. It deprives girls of an education, as well as stopping them from playing and enjoying</w:t>
      </w:r>
      <w:r w:rsidRPr="00C80B55">
        <w:rPr>
          <w:rFonts w:eastAsia="Times New Roman" w:cstheme="minorHAnsi"/>
          <w:lang w:eastAsia="en-IN"/>
        </w:rPr>
        <w:t xml:space="preserve"> </w:t>
      </w:r>
      <w:r w:rsidRPr="00C80B55">
        <w:rPr>
          <w:rFonts w:eastAsia="Times New Roman" w:cstheme="minorHAnsi"/>
          <w:lang w:eastAsia="en-IN"/>
        </w:rPr>
        <w:t>their childho</w:t>
      </w:r>
      <w:r w:rsidRPr="00C80B55">
        <w:rPr>
          <w:rFonts w:eastAsia="Times New Roman" w:cstheme="minorHAnsi"/>
          <w:lang w:eastAsia="en-IN"/>
        </w:rPr>
        <w:t>od”</w:t>
      </w:r>
      <w:r w:rsidR="00C80B55">
        <w:rPr>
          <w:rStyle w:val="FootnoteReference"/>
          <w:rFonts w:eastAsia="Times New Roman" w:cstheme="minorHAnsi"/>
          <w:lang w:eastAsia="en-IN"/>
        </w:rPr>
        <w:footnoteReference w:id="3"/>
      </w:r>
    </w:p>
    <w:p w14:paraId="1F6A5EB3" w14:textId="46361A08" w:rsidR="0047002C" w:rsidRPr="00C80B55" w:rsidRDefault="0047002C" w:rsidP="00C026FB">
      <w:pPr>
        <w:pStyle w:val="ListParagraph"/>
        <w:numPr>
          <w:ilvl w:val="0"/>
          <w:numId w:val="1"/>
        </w:numPr>
        <w:spacing w:before="100" w:beforeAutospacing="1" w:after="100" w:afterAutospacing="1" w:line="240" w:lineRule="auto"/>
        <w:jc w:val="both"/>
        <w:rPr>
          <w:rFonts w:eastAsia="Times New Roman" w:cstheme="minorHAnsi"/>
          <w:u w:val="single"/>
          <w:lang w:eastAsia="en-CA"/>
        </w:rPr>
      </w:pPr>
      <w:r w:rsidRPr="00C80B55">
        <w:rPr>
          <w:rFonts w:eastAsia="Times New Roman" w:cstheme="minorHAnsi"/>
          <w:u w:val="single"/>
          <w:lang w:eastAsia="en-CA"/>
        </w:rPr>
        <w:t xml:space="preserve">What legislation, policies, and practices do you think are necessary to provide redress for </w:t>
      </w:r>
      <w:r w:rsidRPr="00C80B55">
        <w:rPr>
          <w:rFonts w:eastAsia="Times New Roman" w:cstheme="minorHAnsi"/>
          <w:u w:val="single"/>
          <w:lang w:eastAsia="en-CA"/>
        </w:rPr>
        <w:t>particularly</w:t>
      </w:r>
      <w:r w:rsidRPr="00C80B55">
        <w:rPr>
          <w:rFonts w:eastAsia="Times New Roman" w:cstheme="minorHAnsi"/>
          <w:u w:val="single"/>
          <w:lang w:eastAsia="en-CA"/>
        </w:rPr>
        <w:t xml:space="preserve"> individuals and communities in vulnerable situations that have suffered and will continue to suffer loss and damage due to the adverse impacts of climate change?</w:t>
      </w:r>
    </w:p>
    <w:p w14:paraId="3565909E" w14:textId="77777777" w:rsidR="00AF026F" w:rsidRPr="00C80B55" w:rsidRDefault="00AC153C" w:rsidP="00AF026F">
      <w:pPr>
        <w:spacing w:before="100" w:beforeAutospacing="1" w:after="100" w:afterAutospacing="1" w:line="240" w:lineRule="auto"/>
        <w:ind w:left="360"/>
        <w:jc w:val="both"/>
        <w:rPr>
          <w:rFonts w:eastAsia="Times New Roman" w:cstheme="minorHAnsi"/>
        </w:rPr>
      </w:pPr>
      <w:r w:rsidRPr="00C80B55">
        <w:rPr>
          <w:rFonts w:eastAsia="Times New Roman" w:cstheme="minorHAnsi"/>
        </w:rPr>
        <w:t>The legislation, policies, and practices should aim at making resources</w:t>
      </w:r>
      <w:r w:rsidRPr="00C80B55">
        <w:rPr>
          <w:rFonts w:eastAsia="Times New Roman" w:cstheme="minorHAnsi"/>
        </w:rPr>
        <w:t xml:space="preserve"> both monitory and technical assistance</w:t>
      </w:r>
      <w:r w:rsidRPr="00C80B55">
        <w:rPr>
          <w:rFonts w:eastAsia="Times New Roman" w:cstheme="minorHAnsi"/>
        </w:rPr>
        <w:t xml:space="preserve"> available to vulnerable communities who are unjustly bearing the burden of loss and damage due to climate change. </w:t>
      </w:r>
      <w:r w:rsidRPr="00C80B55">
        <w:rPr>
          <w:rFonts w:eastAsia="Times New Roman" w:cstheme="minorHAnsi"/>
        </w:rPr>
        <w:t>In this submission</w:t>
      </w:r>
      <w:r w:rsidR="003E3BA1" w:rsidRPr="00C80B55">
        <w:rPr>
          <w:rFonts w:eastAsia="Times New Roman" w:cstheme="minorHAnsi"/>
        </w:rPr>
        <w:t>,</w:t>
      </w:r>
      <w:r w:rsidRPr="00C80B55">
        <w:rPr>
          <w:rFonts w:eastAsia="Times New Roman" w:cstheme="minorHAnsi"/>
        </w:rPr>
        <w:t xml:space="preserve"> we identify </w:t>
      </w:r>
      <w:r w:rsidR="003E3BA1" w:rsidRPr="00C80B55">
        <w:rPr>
          <w:rFonts w:eastAsia="Times New Roman" w:cstheme="minorHAnsi"/>
        </w:rPr>
        <w:t>three</w:t>
      </w:r>
      <w:r w:rsidRPr="00C80B55">
        <w:rPr>
          <w:rFonts w:eastAsia="Times New Roman" w:cstheme="minorHAnsi"/>
        </w:rPr>
        <w:t xml:space="preserve"> key areas for </w:t>
      </w:r>
      <w:r w:rsidR="003E3BA1" w:rsidRPr="00C80B55">
        <w:rPr>
          <w:rFonts w:eastAsia="Times New Roman" w:cstheme="minorHAnsi"/>
        </w:rPr>
        <w:t xml:space="preserve">legislation, policy, and practice at the multiple levels to redress loss and damage. Below is the description of the areas and specific legal approaches that can be used for redressal. </w:t>
      </w:r>
    </w:p>
    <w:p w14:paraId="6B0B1F5F" w14:textId="0602AC88" w:rsidR="003E3BA1" w:rsidRPr="00C80B55" w:rsidRDefault="003E3BA1" w:rsidP="00536C9F">
      <w:pPr>
        <w:pStyle w:val="ListParagraph"/>
        <w:numPr>
          <w:ilvl w:val="0"/>
          <w:numId w:val="3"/>
        </w:numPr>
        <w:spacing w:before="100" w:beforeAutospacing="1" w:after="100" w:afterAutospacing="1" w:line="240" w:lineRule="auto"/>
        <w:jc w:val="both"/>
        <w:rPr>
          <w:rFonts w:eastAsia="Times New Roman" w:cstheme="minorHAnsi"/>
        </w:rPr>
      </w:pPr>
      <w:r w:rsidRPr="00C80B55">
        <w:rPr>
          <w:rFonts w:eastAsia="Times New Roman" w:cstheme="minorHAnsi"/>
          <w:b/>
          <w:bCs/>
          <w:lang w:eastAsia="en-IN"/>
        </w:rPr>
        <w:t>Compensation for Victims and Vulnerable Countries</w:t>
      </w:r>
      <w:r w:rsidRPr="00C80B55">
        <w:rPr>
          <w:rFonts w:eastAsia="Times New Roman" w:cstheme="minorHAnsi"/>
          <w:lang w:eastAsia="en-IN"/>
        </w:rPr>
        <w:t>: The primary area for the need for legal development</w:t>
      </w:r>
      <w:r w:rsidR="00AF026F" w:rsidRPr="00C80B55">
        <w:rPr>
          <w:rFonts w:eastAsia="Times New Roman" w:cstheme="minorHAnsi"/>
          <w:lang w:eastAsia="en-IN"/>
        </w:rPr>
        <w:t xml:space="preserve"> identified by us</w:t>
      </w:r>
      <w:r w:rsidRPr="00C80B55">
        <w:rPr>
          <w:rFonts w:eastAsia="Times New Roman" w:cstheme="minorHAnsi"/>
          <w:lang w:eastAsia="en-IN"/>
        </w:rPr>
        <w:t xml:space="preserve"> is </w:t>
      </w:r>
      <w:r w:rsidR="00AF026F" w:rsidRPr="00C80B55">
        <w:rPr>
          <w:rFonts w:eastAsia="Times New Roman" w:cstheme="minorHAnsi"/>
          <w:lang w:eastAsia="en-IN"/>
        </w:rPr>
        <w:t xml:space="preserve">the need for </w:t>
      </w:r>
      <w:r w:rsidRPr="00C80B55">
        <w:rPr>
          <w:rFonts w:eastAsia="Times New Roman" w:cstheme="minorHAnsi"/>
          <w:lang w:eastAsia="en-IN"/>
        </w:rPr>
        <w:t xml:space="preserve">devising mechanisms for compensation for victims from vulnerable countries. </w:t>
      </w:r>
      <w:r w:rsidR="00AF026F" w:rsidRPr="00C80B55">
        <w:rPr>
          <w:rFonts w:eastAsia="Times New Roman" w:cstheme="minorHAnsi"/>
          <w:lang w:eastAsia="en-IN"/>
        </w:rPr>
        <w:t>This would mean designing laws, policies, and practices that enable the identification, quantum, and distribution of compensation to frontline communities. At the international level, this would entail establishing a globally agreed-upon financial window, facility, and mechanism within the UNFCCC. At the national level,</w:t>
      </w:r>
      <w:r w:rsidR="00AF026F" w:rsidRPr="00C80B55">
        <w:rPr>
          <w:rFonts w:eastAsia="Times New Roman" w:cstheme="minorHAnsi"/>
        </w:rPr>
        <w:t xml:space="preserve"> </w:t>
      </w:r>
      <w:r w:rsidR="00AF026F" w:rsidRPr="00C80B55">
        <w:rPr>
          <w:rFonts w:eastAsia="Times New Roman" w:cstheme="minorHAnsi"/>
        </w:rPr>
        <w:t xml:space="preserve">Legislation on processes for claiming compensation for both economic and non-economic losses, </w:t>
      </w:r>
      <w:r w:rsidR="00536C9F" w:rsidRPr="00C80B55">
        <w:rPr>
          <w:rFonts w:eastAsia="Times New Roman" w:cstheme="minorHAnsi"/>
        </w:rPr>
        <w:t xml:space="preserve">a framework for establishing an institutional architecture for </w:t>
      </w:r>
      <w:r w:rsidR="00AF026F" w:rsidRPr="00C80B55">
        <w:rPr>
          <w:rFonts w:eastAsia="Times New Roman" w:cstheme="minorHAnsi"/>
        </w:rPr>
        <w:t xml:space="preserve">reporting and documenting the nature of losses and damage being experienced, and modalities for the distribution of the compensation. </w:t>
      </w:r>
      <w:r w:rsidR="00536C9F" w:rsidRPr="00C80B55">
        <w:rPr>
          <w:rFonts w:eastAsia="Times New Roman" w:cstheme="minorHAnsi"/>
        </w:rPr>
        <w:t xml:space="preserve">At the local level rules and procedures </w:t>
      </w:r>
      <w:r w:rsidR="001E1D0B" w:rsidRPr="00C80B55">
        <w:rPr>
          <w:rFonts w:eastAsia="Times New Roman" w:cstheme="minorHAnsi"/>
        </w:rPr>
        <w:t xml:space="preserve">that </w:t>
      </w:r>
      <w:r w:rsidR="00536C9F" w:rsidRPr="00C80B55">
        <w:rPr>
          <w:rFonts w:eastAsia="Times New Roman" w:cstheme="minorHAnsi"/>
        </w:rPr>
        <w:t>create</w:t>
      </w:r>
      <w:r w:rsidR="00AF026F" w:rsidRPr="00C80B55">
        <w:rPr>
          <w:rFonts w:eastAsia="Times New Roman" w:cstheme="minorHAnsi"/>
        </w:rPr>
        <w:t xml:space="preserve"> a flexible bureaucratic structure for responding to legal claims of loss and damage with immediacy</w:t>
      </w:r>
      <w:r w:rsidR="00536C9F" w:rsidRPr="00C80B55">
        <w:rPr>
          <w:rFonts w:eastAsia="Times New Roman" w:cstheme="minorHAnsi"/>
        </w:rPr>
        <w:t xml:space="preserve">. </w:t>
      </w:r>
    </w:p>
    <w:p w14:paraId="0501B464" w14:textId="380820AD" w:rsidR="0079609E" w:rsidRPr="00C80B55" w:rsidRDefault="003E3BA1" w:rsidP="0079609E">
      <w:pPr>
        <w:pStyle w:val="ListParagraph"/>
        <w:numPr>
          <w:ilvl w:val="0"/>
          <w:numId w:val="3"/>
        </w:numPr>
        <w:spacing w:before="100" w:beforeAutospacing="1" w:after="100" w:afterAutospacing="1" w:line="240" w:lineRule="auto"/>
        <w:jc w:val="both"/>
        <w:rPr>
          <w:rFonts w:eastAsia="Times New Roman" w:cstheme="minorHAnsi"/>
          <w:lang w:eastAsia="en-IN"/>
        </w:rPr>
      </w:pPr>
      <w:r w:rsidRPr="00C80B55">
        <w:rPr>
          <w:rFonts w:eastAsia="Times New Roman" w:cstheme="minorHAnsi"/>
          <w:b/>
          <w:bCs/>
          <w:lang w:eastAsia="en-IN"/>
        </w:rPr>
        <w:t>Resettlement and Rehabilitation of Displaced Communities</w:t>
      </w:r>
      <w:r w:rsidRPr="00C80B55">
        <w:rPr>
          <w:rFonts w:eastAsia="Times New Roman" w:cstheme="minorHAnsi"/>
          <w:lang w:eastAsia="en-IN"/>
        </w:rPr>
        <w:t xml:space="preserve">: </w:t>
      </w:r>
      <w:r w:rsidR="00536C9F" w:rsidRPr="00C80B55">
        <w:rPr>
          <w:rFonts w:eastAsia="Times New Roman" w:cstheme="minorHAnsi"/>
          <w:lang w:eastAsia="en-IN"/>
        </w:rPr>
        <w:t>A legal gap identified is the lack of legislation, policies</w:t>
      </w:r>
      <w:r w:rsidR="00E0352E" w:rsidRPr="00C80B55">
        <w:rPr>
          <w:rFonts w:eastAsia="Times New Roman" w:cstheme="minorHAnsi"/>
          <w:lang w:eastAsia="en-IN"/>
        </w:rPr>
        <w:t>,</w:t>
      </w:r>
      <w:r w:rsidR="00536C9F" w:rsidRPr="00C80B55">
        <w:rPr>
          <w:rFonts w:eastAsia="Times New Roman" w:cstheme="minorHAnsi"/>
          <w:lang w:eastAsia="en-IN"/>
        </w:rPr>
        <w:t xml:space="preserve"> and practice that specifically address the plight of communities displaced by climate change. International law is yet to recognize the category of a climate refugee and </w:t>
      </w:r>
      <w:r w:rsidR="00E0352E" w:rsidRPr="00C80B55">
        <w:rPr>
          <w:rFonts w:eastAsia="Times New Roman" w:cstheme="minorHAnsi"/>
          <w:lang w:eastAsia="en-IN"/>
        </w:rPr>
        <w:t>instead identifies a “person displaced in the context of disaster and climate change”. The Global Compact on Refugees identifies this category yet there is insufficient legal clarity on guidance to state obligations in relation to climate refugees and those internally displaced by climate change. At the national level</w:t>
      </w:r>
      <w:r w:rsidR="00E0352E" w:rsidRPr="00C80B55">
        <w:rPr>
          <w:rFonts w:eastAsia="Times New Roman" w:cstheme="minorHAnsi"/>
        </w:rPr>
        <w:t xml:space="preserve"> t</w:t>
      </w:r>
      <w:r w:rsidR="00E0352E" w:rsidRPr="00C80B55">
        <w:rPr>
          <w:rFonts w:eastAsia="Times New Roman" w:cstheme="minorHAnsi"/>
        </w:rPr>
        <w:t>o require countries to develop comprehensive legislation, policies, and practices on documenting and addressing displacement and rehabilitation due to climate disasters</w:t>
      </w:r>
      <w:r w:rsidR="001E1D0B" w:rsidRPr="00C80B55">
        <w:rPr>
          <w:rFonts w:eastAsia="Times New Roman" w:cstheme="minorHAnsi"/>
        </w:rPr>
        <w:t xml:space="preserve"> as well as the development of protocols for </w:t>
      </w:r>
      <w:r w:rsidR="002B07FA">
        <w:rPr>
          <w:rFonts w:eastAsia="Times New Roman" w:cstheme="minorHAnsi"/>
        </w:rPr>
        <w:t xml:space="preserve">the </w:t>
      </w:r>
      <w:r w:rsidR="001E1D0B" w:rsidRPr="00C80B55">
        <w:rPr>
          <w:rFonts w:eastAsia="Times New Roman" w:cstheme="minorHAnsi"/>
        </w:rPr>
        <w:t>planned relocation of vulnerable communities.</w:t>
      </w:r>
      <w:r w:rsidR="00E0352E" w:rsidRPr="00C80B55">
        <w:rPr>
          <w:rFonts w:eastAsia="Times New Roman" w:cstheme="minorHAnsi"/>
        </w:rPr>
        <w:t xml:space="preserve"> Examples of this can be better legal practices </w:t>
      </w:r>
      <w:r w:rsidR="002B07FA">
        <w:rPr>
          <w:rFonts w:eastAsia="Times New Roman" w:cstheme="minorHAnsi"/>
        </w:rPr>
        <w:t>for</w:t>
      </w:r>
      <w:r w:rsidR="00E0352E" w:rsidRPr="00C80B55">
        <w:rPr>
          <w:rFonts w:eastAsia="Times New Roman" w:cstheme="minorHAnsi"/>
        </w:rPr>
        <w:t xml:space="preserve"> ensuring housing, livelihood, and social safety nets </w:t>
      </w:r>
      <w:r w:rsidR="002B07FA">
        <w:rPr>
          <w:rFonts w:eastAsia="Times New Roman" w:cstheme="minorHAnsi"/>
        </w:rPr>
        <w:t>for</w:t>
      </w:r>
      <w:r w:rsidR="00E0352E" w:rsidRPr="00C80B55">
        <w:rPr>
          <w:rFonts w:eastAsia="Times New Roman" w:cstheme="minorHAnsi"/>
        </w:rPr>
        <w:t xml:space="preserve"> communities displaced by climate change. </w:t>
      </w:r>
    </w:p>
    <w:p w14:paraId="66434A2F" w14:textId="37A792B8" w:rsidR="0079609E" w:rsidRPr="00223937" w:rsidRDefault="003E3BA1" w:rsidP="0079609E">
      <w:pPr>
        <w:pStyle w:val="ListParagraph"/>
        <w:numPr>
          <w:ilvl w:val="0"/>
          <w:numId w:val="3"/>
        </w:numPr>
        <w:spacing w:before="100" w:beforeAutospacing="1" w:after="100" w:afterAutospacing="1" w:line="240" w:lineRule="auto"/>
        <w:jc w:val="both"/>
        <w:rPr>
          <w:rFonts w:eastAsia="Times New Roman" w:cstheme="minorHAnsi"/>
          <w:lang w:eastAsia="en-IN"/>
        </w:rPr>
      </w:pPr>
      <w:r w:rsidRPr="00C80B55">
        <w:rPr>
          <w:rFonts w:eastAsia="Times New Roman" w:cstheme="minorHAnsi"/>
          <w:b/>
          <w:bCs/>
          <w:lang w:eastAsia="en-IN"/>
        </w:rPr>
        <w:t xml:space="preserve">Reporting, Accountability, and Transparency: </w:t>
      </w:r>
      <w:r w:rsidR="0079609E" w:rsidRPr="00C80B55">
        <w:rPr>
          <w:rFonts w:eastAsia="Times New Roman" w:cstheme="minorHAnsi"/>
          <w:lang w:eastAsia="en-IN"/>
        </w:rPr>
        <w:t xml:space="preserve">Another legal gap identified by us is the lack of reporting on the state experiences of loss and damage as well as accountability in redressing these losses and damages. To correct this we suggest that </w:t>
      </w:r>
      <w:r w:rsidR="0079609E" w:rsidRPr="00C80B55">
        <w:rPr>
          <w:rFonts w:eastAsia="Times New Roman" w:cstheme="minorHAnsi"/>
        </w:rPr>
        <w:t>states</w:t>
      </w:r>
      <w:r w:rsidR="0079609E" w:rsidRPr="00C80B55">
        <w:rPr>
          <w:rFonts w:eastAsia="Times New Roman" w:cstheme="minorHAnsi"/>
        </w:rPr>
        <w:t xml:space="preserve"> document the nature and </w:t>
      </w:r>
      <w:r w:rsidR="0079609E" w:rsidRPr="00C80B55">
        <w:rPr>
          <w:rFonts w:eastAsia="Times New Roman" w:cstheme="minorHAnsi"/>
        </w:rPr>
        <w:lastRenderedPageBreak/>
        <w:t>contours of the violation of a variety of human rights due to loss and damage</w:t>
      </w:r>
      <w:r w:rsidR="0079609E" w:rsidRPr="00C80B55">
        <w:rPr>
          <w:rFonts w:eastAsia="Times New Roman" w:cstheme="minorHAnsi"/>
        </w:rPr>
        <w:t xml:space="preserve"> and the kinds of losses and damages experienced</w:t>
      </w:r>
      <w:r w:rsidR="0079609E" w:rsidRPr="00C80B55">
        <w:rPr>
          <w:rFonts w:eastAsia="Times New Roman" w:cstheme="minorHAnsi"/>
        </w:rPr>
        <w:t>. To incorporate as part of Article 13 of the Paris Agreement on transparency reporting on human rights impacts of loss and damage.</w:t>
      </w:r>
      <w:r w:rsidR="0079609E" w:rsidRPr="00C80B55">
        <w:rPr>
          <w:rFonts w:eastAsia="Times New Roman" w:cstheme="minorHAnsi"/>
        </w:rPr>
        <w:t xml:space="preserve"> </w:t>
      </w:r>
      <w:r w:rsidR="0079609E" w:rsidRPr="00C80B55">
        <w:rPr>
          <w:rFonts w:eastAsia="Times New Roman" w:cstheme="minorHAnsi"/>
        </w:rPr>
        <w:t>At a national level framework legislation can facilitate the reporting of human rights violations because of loss and damage and how the state has worked to redress th</w:t>
      </w:r>
      <w:r w:rsidR="0079609E" w:rsidRPr="00C80B55">
        <w:rPr>
          <w:rFonts w:eastAsia="Times New Roman" w:cstheme="minorHAnsi"/>
        </w:rPr>
        <w:t>e losses and damages identified</w:t>
      </w:r>
      <w:r w:rsidR="0079609E" w:rsidRPr="00C80B55">
        <w:rPr>
          <w:rFonts w:eastAsia="Times New Roman" w:cstheme="minorHAnsi"/>
        </w:rPr>
        <w:t>.</w:t>
      </w:r>
      <w:r w:rsidR="0079609E" w:rsidRPr="00C80B55">
        <w:rPr>
          <w:rFonts w:eastAsia="Times New Roman" w:cstheme="minorHAnsi"/>
        </w:rPr>
        <w:t xml:space="preserve"> </w:t>
      </w:r>
      <w:r w:rsidR="0079609E" w:rsidRPr="00C80B55">
        <w:rPr>
          <w:rFonts w:eastAsia="Times New Roman" w:cstheme="minorHAnsi"/>
        </w:rPr>
        <w:t xml:space="preserve">At the local level </w:t>
      </w:r>
      <w:r w:rsidR="001E1D0B" w:rsidRPr="00C80B55">
        <w:rPr>
          <w:rFonts w:eastAsia="Times New Roman" w:cstheme="minorHAnsi"/>
        </w:rPr>
        <w:t xml:space="preserve">to </w:t>
      </w:r>
      <w:r w:rsidR="0079609E" w:rsidRPr="00C80B55">
        <w:rPr>
          <w:rFonts w:eastAsia="Times New Roman" w:cstheme="minorHAnsi"/>
        </w:rPr>
        <w:t xml:space="preserve">assign </w:t>
      </w:r>
      <w:r w:rsidR="0079609E" w:rsidRPr="00C80B55">
        <w:rPr>
          <w:rFonts w:eastAsia="Times New Roman" w:cstheme="minorHAnsi"/>
        </w:rPr>
        <w:t>a</w:t>
      </w:r>
      <w:r w:rsidR="0079609E" w:rsidRPr="00C80B55">
        <w:rPr>
          <w:rFonts w:eastAsia="Times New Roman" w:cstheme="minorHAnsi"/>
        </w:rPr>
        <w:t xml:space="preserve"> loss and damage focal point with responsibilities to document cases</w:t>
      </w:r>
      <w:r w:rsidR="0079609E" w:rsidRPr="00C80B55">
        <w:rPr>
          <w:rFonts w:eastAsia="Times New Roman" w:cstheme="minorHAnsi"/>
        </w:rPr>
        <w:t xml:space="preserve"> of</w:t>
      </w:r>
      <w:r w:rsidR="0079609E" w:rsidRPr="00C80B55">
        <w:rPr>
          <w:rFonts w:eastAsia="Times New Roman" w:cstheme="minorHAnsi"/>
        </w:rPr>
        <w:t xml:space="preserve"> loss and damage</w:t>
      </w:r>
      <w:r w:rsidR="0079609E" w:rsidRPr="00C80B55">
        <w:rPr>
          <w:rFonts w:eastAsia="Times New Roman" w:cstheme="minorHAnsi"/>
        </w:rPr>
        <w:t xml:space="preserve"> and the situation of the victims</w:t>
      </w:r>
      <w:r w:rsidR="0079609E" w:rsidRPr="00C80B55">
        <w:rPr>
          <w:rFonts w:eastAsia="Times New Roman" w:cstheme="minorHAnsi"/>
        </w:rPr>
        <w:t>.</w:t>
      </w:r>
      <w:r w:rsidR="001E1D0B" w:rsidRPr="00C80B55">
        <w:rPr>
          <w:rFonts w:eastAsia="Times New Roman" w:cstheme="minorHAnsi"/>
        </w:rPr>
        <w:t xml:space="preserve"> </w:t>
      </w:r>
      <w:r w:rsidR="001E1D0B" w:rsidRPr="00C80B55">
        <w:rPr>
          <w:rFonts w:eastAsia="Times New Roman" w:cstheme="minorHAnsi"/>
          <w:lang w:eastAsia="en-IN"/>
        </w:rPr>
        <w:t xml:space="preserve">To </w:t>
      </w:r>
      <w:r w:rsidR="001E1D0B" w:rsidRPr="00C80B55">
        <w:rPr>
          <w:rFonts w:eastAsia="Times New Roman" w:cstheme="minorHAnsi"/>
        </w:rPr>
        <w:t xml:space="preserve">harness the transparency and global stocktake requirements as essential elements of reporting to the compliance committee and use this </w:t>
      </w:r>
      <w:r w:rsidR="0079609E" w:rsidRPr="00C80B55">
        <w:rPr>
          <w:rFonts w:eastAsia="Times New Roman" w:cstheme="minorHAnsi"/>
        </w:rPr>
        <w:t>exercise as a window into understanding accountability for loss and damage.</w:t>
      </w:r>
    </w:p>
    <w:p w14:paraId="16C06132" w14:textId="3E81CB09" w:rsidR="003E3BA1" w:rsidRPr="00C80B55" w:rsidRDefault="003E3BA1" w:rsidP="001E1D0B">
      <w:pPr>
        <w:pStyle w:val="ListParagraph"/>
        <w:spacing w:before="100" w:beforeAutospacing="1" w:after="100" w:afterAutospacing="1" w:line="240" w:lineRule="auto"/>
        <w:jc w:val="both"/>
        <w:rPr>
          <w:rFonts w:eastAsia="Times New Roman" w:cstheme="minorHAnsi"/>
          <w:b/>
          <w:bCs/>
          <w:lang w:eastAsia="en-IN"/>
        </w:rPr>
      </w:pPr>
    </w:p>
    <w:p w14:paraId="4DC612FA" w14:textId="77777777" w:rsidR="00647903" w:rsidRPr="00C80B55" w:rsidRDefault="00C026FB" w:rsidP="00647903">
      <w:pPr>
        <w:numPr>
          <w:ilvl w:val="0"/>
          <w:numId w:val="1"/>
        </w:numPr>
        <w:tabs>
          <w:tab w:val="clear" w:pos="360"/>
          <w:tab w:val="num" w:pos="720"/>
        </w:tabs>
        <w:spacing w:before="100" w:beforeAutospacing="1" w:after="100" w:afterAutospacing="1" w:line="240" w:lineRule="auto"/>
        <w:ind w:left="720"/>
        <w:jc w:val="both"/>
        <w:rPr>
          <w:rFonts w:eastAsia="Times New Roman" w:cstheme="minorHAnsi"/>
          <w:u w:val="single"/>
          <w:lang w:eastAsia="en-CA"/>
        </w:rPr>
      </w:pPr>
      <w:r w:rsidRPr="00C80B55">
        <w:rPr>
          <w:rFonts w:eastAsia="Times New Roman" w:cstheme="minorHAnsi"/>
          <w:u w:val="single"/>
          <w:lang w:eastAsia="en-CA"/>
        </w:rPr>
        <w:t>Please provide examples of policies and practices (including legal remedies) and concepts of how States, business enterprises, civil society, and intergovernmental organizations</w:t>
      </w:r>
      <w:r w:rsidRPr="00C80B55">
        <w:rPr>
          <w:rFonts w:eastAsia="Times New Roman" w:cstheme="minorHAnsi"/>
          <w:u w:val="single"/>
          <w:lang w:eastAsia="en-CA"/>
        </w:rPr>
        <w:t xml:space="preserve"> </w:t>
      </w:r>
      <w:r w:rsidRPr="00C80B55">
        <w:rPr>
          <w:rFonts w:eastAsia="Times New Roman" w:cstheme="minorHAnsi"/>
          <w:u w:val="single"/>
          <w:lang w:eastAsia="en-CA"/>
        </w:rPr>
        <w:t>can provide redress and remedies for individuals</w:t>
      </w:r>
      <w:r w:rsidRPr="00C80B55">
        <w:rPr>
          <w:rFonts w:eastAsia="Times New Roman" w:cstheme="minorHAnsi"/>
          <w:u w:val="single"/>
          <w:lang w:eastAsia="en-CA"/>
        </w:rPr>
        <w:t xml:space="preserve"> </w:t>
      </w:r>
      <w:r w:rsidRPr="00C80B55">
        <w:rPr>
          <w:rFonts w:eastAsia="Times New Roman" w:cstheme="minorHAnsi"/>
          <w:u w:val="single"/>
          <w:lang w:eastAsia="en-CA"/>
        </w:rPr>
        <w:t>and communities in vulnerable situations who have suffered loss and damage to the adverse impacts of climate change.</w:t>
      </w:r>
    </w:p>
    <w:p w14:paraId="1976D775" w14:textId="77777777" w:rsidR="00402A46" w:rsidRPr="00C80B55" w:rsidRDefault="00347419" w:rsidP="00402A46">
      <w:pPr>
        <w:spacing w:before="100" w:beforeAutospacing="1" w:after="100" w:afterAutospacing="1" w:line="240" w:lineRule="auto"/>
        <w:ind w:left="720"/>
        <w:jc w:val="both"/>
        <w:rPr>
          <w:rFonts w:eastAsia="Times New Roman" w:cstheme="minorHAnsi"/>
          <w:lang w:eastAsia="en-CA"/>
        </w:rPr>
      </w:pPr>
      <w:r w:rsidRPr="00C80B55">
        <w:rPr>
          <w:rFonts w:eastAsia="Times New Roman" w:cstheme="minorHAnsi"/>
          <w:lang w:eastAsia="en-CA"/>
        </w:rPr>
        <w:t>The state, business enterprises, civil society, and intergovernmental organizations have specific roles to play, and within it</w:t>
      </w:r>
      <w:r w:rsidR="00647903" w:rsidRPr="00C80B55">
        <w:rPr>
          <w:rFonts w:eastAsia="Times New Roman" w:cstheme="minorHAnsi"/>
          <w:lang w:eastAsia="en-CA"/>
        </w:rPr>
        <w:t>,</w:t>
      </w:r>
      <w:r w:rsidRPr="00C80B55">
        <w:rPr>
          <w:rFonts w:eastAsia="Times New Roman" w:cstheme="minorHAnsi"/>
          <w:lang w:eastAsia="en-CA"/>
        </w:rPr>
        <w:t xml:space="preserve"> they can fulfill specific legal </w:t>
      </w:r>
      <w:r w:rsidR="00647903" w:rsidRPr="00C80B55">
        <w:rPr>
          <w:rFonts w:eastAsia="Times New Roman" w:cstheme="minorHAnsi"/>
          <w:lang w:eastAsia="en-CA"/>
        </w:rPr>
        <w:t>practices</w:t>
      </w:r>
      <w:r w:rsidRPr="00C80B55">
        <w:rPr>
          <w:rFonts w:eastAsia="Times New Roman" w:cstheme="minorHAnsi"/>
          <w:lang w:eastAsia="en-CA"/>
        </w:rPr>
        <w:t xml:space="preserve"> and </w:t>
      </w:r>
      <w:r w:rsidR="00647903" w:rsidRPr="00C80B55">
        <w:rPr>
          <w:rFonts w:eastAsia="Times New Roman" w:cstheme="minorHAnsi"/>
          <w:lang w:eastAsia="en-CA"/>
        </w:rPr>
        <w:t xml:space="preserve">provide </w:t>
      </w:r>
      <w:r w:rsidRPr="00C80B55">
        <w:rPr>
          <w:rFonts w:eastAsia="Times New Roman" w:cstheme="minorHAnsi"/>
          <w:lang w:eastAsia="en-CA"/>
        </w:rPr>
        <w:t xml:space="preserve">remedies. </w:t>
      </w:r>
      <w:r w:rsidR="00647903" w:rsidRPr="00C80B55">
        <w:rPr>
          <w:rFonts w:eastAsia="Times New Roman" w:cstheme="minorHAnsi"/>
          <w:lang w:eastAsia="en-CA"/>
        </w:rPr>
        <w:t>It is important to reassert here that loss and damage as much as it is an issue of access to financial resources is fundamentally an issue of climate and social justice. It is pertinent then to place social justice and resilience at the heart of designing laws and policies through a multi-actor collaboration. In this spirit b</w:t>
      </w:r>
      <w:r w:rsidR="00647903" w:rsidRPr="00C80B55">
        <w:rPr>
          <w:rFonts w:eastAsia="Times New Roman" w:cstheme="minorHAnsi"/>
          <w:lang w:eastAsia="en-CA"/>
        </w:rPr>
        <w:t xml:space="preserve">elow we describe for each actor what these legal approaches and remedies </w:t>
      </w:r>
      <w:r w:rsidR="00647903" w:rsidRPr="00C80B55">
        <w:rPr>
          <w:rFonts w:eastAsia="Times New Roman" w:cstheme="minorHAnsi"/>
          <w:lang w:eastAsia="en-CA"/>
        </w:rPr>
        <w:t>can be</w:t>
      </w:r>
      <w:r w:rsidR="00647903" w:rsidRPr="00C80B55">
        <w:rPr>
          <w:rFonts w:eastAsia="Times New Roman" w:cstheme="minorHAnsi"/>
          <w:lang w:eastAsia="en-CA"/>
        </w:rPr>
        <w:t>.</w:t>
      </w:r>
    </w:p>
    <w:p w14:paraId="0D7CC57F" w14:textId="2B85D96E" w:rsidR="00647903" w:rsidRPr="00C80B55" w:rsidRDefault="00647903" w:rsidP="00184818">
      <w:pPr>
        <w:pStyle w:val="ListParagraph"/>
        <w:numPr>
          <w:ilvl w:val="0"/>
          <w:numId w:val="7"/>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t>State:</w:t>
      </w:r>
      <w:r w:rsidR="00402A46" w:rsidRPr="00C80B55">
        <w:rPr>
          <w:rFonts w:eastAsia="Times New Roman" w:cstheme="minorHAnsi"/>
          <w:lang w:eastAsia="en-CA"/>
        </w:rPr>
        <w:t xml:space="preserve"> </w:t>
      </w:r>
      <w:r w:rsidRPr="00C80B55">
        <w:rPr>
          <w:rFonts w:eastAsia="Times New Roman" w:cstheme="minorHAnsi"/>
          <w:lang w:eastAsia="en-CA"/>
        </w:rPr>
        <w:t xml:space="preserve">The state is an important actor </w:t>
      </w:r>
      <w:r w:rsidR="00402A46" w:rsidRPr="00C80B55">
        <w:rPr>
          <w:rFonts w:eastAsia="Times New Roman" w:cstheme="minorHAnsi"/>
          <w:lang w:eastAsia="en-CA"/>
        </w:rPr>
        <w:t>in the redressal of loss and damage as well as an actor that is yet to be held adequately accountable for addressing loss and damage. To begin with, we suggest that states</w:t>
      </w:r>
      <w:r w:rsidRPr="00C80B55">
        <w:rPr>
          <w:rFonts w:eastAsia="Times New Roman" w:cstheme="minorHAnsi"/>
          <w:lang w:eastAsia="en-CA"/>
        </w:rPr>
        <w:t xml:space="preserve"> must develop a comprehensive policy and practice for reporting on the human rights and economic impact of loss and damage and </w:t>
      </w:r>
      <w:r w:rsidR="00402A46" w:rsidRPr="00C80B55">
        <w:rPr>
          <w:rFonts w:eastAsia="Times New Roman" w:cstheme="minorHAnsi"/>
          <w:lang w:eastAsia="en-CA"/>
        </w:rPr>
        <w:t xml:space="preserve">the </w:t>
      </w:r>
      <w:r w:rsidRPr="00C80B55">
        <w:rPr>
          <w:rFonts w:eastAsia="Times New Roman" w:cstheme="minorHAnsi"/>
          <w:lang w:eastAsia="en-CA"/>
        </w:rPr>
        <w:t xml:space="preserve">methods used to address them. An example of this is the Environmental Impact Assessment but designed </w:t>
      </w:r>
      <w:r w:rsidR="00402A46" w:rsidRPr="00C80B55">
        <w:rPr>
          <w:rFonts w:eastAsia="Times New Roman" w:cstheme="minorHAnsi"/>
          <w:lang w:eastAsia="en-CA"/>
        </w:rPr>
        <w:t>for climate</w:t>
      </w:r>
      <w:r w:rsidRPr="00C80B55">
        <w:rPr>
          <w:rFonts w:eastAsia="Times New Roman" w:cstheme="minorHAnsi"/>
          <w:lang w:eastAsia="en-CA"/>
        </w:rPr>
        <w:t>-</w:t>
      </w:r>
      <w:r w:rsidR="00402A46" w:rsidRPr="00C80B55">
        <w:rPr>
          <w:rFonts w:eastAsia="Times New Roman" w:cstheme="minorHAnsi"/>
          <w:lang w:eastAsia="en-CA"/>
        </w:rPr>
        <w:t>induced</w:t>
      </w:r>
      <w:r w:rsidRPr="00C80B55">
        <w:rPr>
          <w:rFonts w:eastAsia="Times New Roman" w:cstheme="minorHAnsi"/>
          <w:lang w:eastAsia="en-CA"/>
        </w:rPr>
        <w:t xml:space="preserve"> loss and damage. A </w:t>
      </w:r>
      <w:r w:rsidR="00402A46" w:rsidRPr="00C80B55">
        <w:rPr>
          <w:rFonts w:eastAsia="Times New Roman" w:cstheme="minorHAnsi"/>
          <w:lang w:eastAsia="en-CA"/>
        </w:rPr>
        <w:t>pre-emptive</w:t>
      </w:r>
      <w:r w:rsidRPr="00C80B55">
        <w:rPr>
          <w:rFonts w:eastAsia="Times New Roman" w:cstheme="minorHAnsi"/>
          <w:lang w:eastAsia="en-CA"/>
        </w:rPr>
        <w:t xml:space="preserve"> and </w:t>
      </w:r>
      <w:r w:rsidR="00402A46" w:rsidRPr="00C80B55">
        <w:rPr>
          <w:rFonts w:eastAsia="Times New Roman" w:cstheme="minorHAnsi"/>
          <w:lang w:eastAsia="en-CA"/>
        </w:rPr>
        <w:t>post-disaster</w:t>
      </w:r>
      <w:r w:rsidRPr="00C80B55">
        <w:rPr>
          <w:rFonts w:eastAsia="Times New Roman" w:cstheme="minorHAnsi"/>
          <w:lang w:eastAsia="en-CA"/>
        </w:rPr>
        <w:t xml:space="preserve"> impact assessment is required. </w:t>
      </w:r>
      <w:r w:rsidR="00402A46" w:rsidRPr="00C80B55">
        <w:rPr>
          <w:rFonts w:eastAsia="Times New Roman" w:cstheme="minorHAnsi"/>
          <w:lang w:eastAsia="en-CA"/>
        </w:rPr>
        <w:t xml:space="preserve">In terms of </w:t>
      </w:r>
      <w:r w:rsidR="00184818" w:rsidRPr="00C80B55">
        <w:rPr>
          <w:rFonts w:eastAsia="Times New Roman" w:cstheme="minorHAnsi"/>
          <w:lang w:eastAsia="en-CA"/>
        </w:rPr>
        <w:t>remedies. Compensation</w:t>
      </w:r>
      <w:r w:rsidR="00402A46" w:rsidRPr="00C80B55">
        <w:rPr>
          <w:rFonts w:eastAsia="Times New Roman" w:cstheme="minorHAnsi"/>
          <w:lang w:eastAsia="en-CA"/>
        </w:rPr>
        <w:t xml:space="preserve"> to victims of loss and damage and immediate rehabilitation of displaced communities. Establishment of a disaster insurance scheme like the Caribbean Catastrophe Risk Insurance Facility. </w:t>
      </w:r>
    </w:p>
    <w:p w14:paraId="2BC4ADEC" w14:textId="5D094516" w:rsidR="00647903" w:rsidRPr="00C80B55" w:rsidRDefault="00647903" w:rsidP="00647903">
      <w:pPr>
        <w:pStyle w:val="ListParagraph"/>
        <w:numPr>
          <w:ilvl w:val="0"/>
          <w:numId w:val="5"/>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t>Business Enterprise</w:t>
      </w:r>
      <w:r w:rsidRPr="00C80B55">
        <w:rPr>
          <w:rFonts w:eastAsia="Times New Roman" w:cstheme="minorHAnsi"/>
          <w:lang w:eastAsia="en-CA"/>
        </w:rPr>
        <w:t>:</w:t>
      </w:r>
      <w:r w:rsidR="00402A46" w:rsidRPr="00C80B55">
        <w:rPr>
          <w:rFonts w:eastAsia="Times New Roman" w:cstheme="minorHAnsi"/>
          <w:lang w:eastAsia="en-CA"/>
        </w:rPr>
        <w:t xml:space="preserve"> Business enterprises especially fossil fuel majors have escaped accountability for their contributions to climate change. International law remains weak in being able to hold corporations accountable. We suggest that legal approaches like the polluter pays principle </w:t>
      </w:r>
      <w:r w:rsidR="008208AF">
        <w:rPr>
          <w:rFonts w:eastAsia="Times New Roman" w:cstheme="minorHAnsi"/>
          <w:lang w:eastAsia="en-CA"/>
        </w:rPr>
        <w:t xml:space="preserve">to </w:t>
      </w:r>
      <w:r w:rsidR="00402A46" w:rsidRPr="00C80B55">
        <w:rPr>
          <w:rFonts w:eastAsia="Times New Roman" w:cstheme="minorHAnsi"/>
          <w:lang w:eastAsia="en-CA"/>
        </w:rPr>
        <w:t xml:space="preserve">be used in filling this accountability deficit. </w:t>
      </w:r>
      <w:r w:rsidR="00402A46" w:rsidRPr="00C80B55">
        <w:rPr>
          <w:rFonts w:eastAsia="Times New Roman" w:cstheme="minorHAnsi"/>
          <w:lang w:eastAsia="en-CA"/>
        </w:rPr>
        <w:t>businesses need to assess the nature of loss and damage caused by their activities both before beginning operations and after operations have begun. To require regulatory processes that can determine the extent of loss and damage caused by the business and its activities.</w:t>
      </w:r>
    </w:p>
    <w:p w14:paraId="5C4129C0" w14:textId="228A711B" w:rsidR="00184818" w:rsidRPr="00C80B55" w:rsidRDefault="00647903" w:rsidP="00184818">
      <w:pPr>
        <w:pStyle w:val="ListParagraph"/>
        <w:numPr>
          <w:ilvl w:val="0"/>
          <w:numId w:val="5"/>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t>Civil Society:</w:t>
      </w:r>
      <w:r w:rsidR="00184818" w:rsidRPr="00C80B55">
        <w:rPr>
          <w:rFonts w:eastAsia="Times New Roman" w:cstheme="minorHAnsi"/>
          <w:lang w:eastAsia="en-CA"/>
        </w:rPr>
        <w:t xml:space="preserve"> </w:t>
      </w:r>
      <w:r w:rsidR="00184818" w:rsidRPr="00C80B55">
        <w:rPr>
          <w:rFonts w:eastAsia="Times New Roman" w:cstheme="minorHAnsi"/>
          <w:lang w:eastAsia="en-CA"/>
        </w:rPr>
        <w:t>Civil society has been at the forefront in finding novel solutions and pushing the envelope on discussions of loss and damage globally. To require civil society actors to work more closely on devising remedies and redressal for loss and damage</w:t>
      </w:r>
      <w:r w:rsidR="00184818" w:rsidRPr="00C80B55">
        <w:rPr>
          <w:rFonts w:eastAsia="Times New Roman" w:cstheme="minorHAnsi"/>
          <w:lang w:eastAsia="en-CA"/>
        </w:rPr>
        <w:t xml:space="preserve"> and increased avenues to inform international negotiations on loss and damage</w:t>
      </w:r>
      <w:r w:rsidR="00184818" w:rsidRPr="00C80B55">
        <w:rPr>
          <w:rFonts w:eastAsia="Times New Roman" w:cstheme="minorHAnsi"/>
          <w:lang w:eastAsia="en-CA"/>
        </w:rPr>
        <w:t>. The international committee for red cross has provided immediate response and relief to victims of disasters.</w:t>
      </w:r>
      <w:r w:rsidR="00184818" w:rsidRPr="00C80B55">
        <w:rPr>
          <w:rFonts w:eastAsia="Times New Roman" w:cstheme="minorHAnsi"/>
          <w:lang w:eastAsia="en-CA"/>
        </w:rPr>
        <w:t xml:space="preserve"> </w:t>
      </w:r>
      <w:r w:rsidR="00184818" w:rsidRPr="00C80B55">
        <w:rPr>
          <w:rFonts w:eastAsia="Times New Roman" w:cstheme="minorHAnsi"/>
          <w:lang w:eastAsia="en-CA"/>
        </w:rPr>
        <w:t xml:space="preserve">A rapid response network of civil society actors with national focal points </w:t>
      </w:r>
      <w:r w:rsidR="00184818" w:rsidRPr="00C80B55">
        <w:rPr>
          <w:rFonts w:eastAsia="Times New Roman" w:cstheme="minorHAnsi"/>
          <w:lang w:eastAsia="en-CA"/>
        </w:rPr>
        <w:t xml:space="preserve">and other actors identified here </w:t>
      </w:r>
      <w:r w:rsidR="00184818" w:rsidRPr="00C80B55">
        <w:rPr>
          <w:rFonts w:eastAsia="Times New Roman" w:cstheme="minorHAnsi"/>
          <w:lang w:eastAsia="en-CA"/>
        </w:rPr>
        <w:t>to address the needs of victims of loss and damage as part of the Santiago Network of Loss and Damage</w:t>
      </w:r>
    </w:p>
    <w:p w14:paraId="29B19E9B" w14:textId="34CEA73F" w:rsidR="00647903" w:rsidRPr="00C80B55" w:rsidRDefault="00647903" w:rsidP="00184818">
      <w:pPr>
        <w:pStyle w:val="ListParagraph"/>
        <w:numPr>
          <w:ilvl w:val="0"/>
          <w:numId w:val="5"/>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lastRenderedPageBreak/>
        <w:t>Intergovernmental Organizations</w:t>
      </w:r>
      <w:r w:rsidR="00184818" w:rsidRPr="00C80B55">
        <w:rPr>
          <w:rFonts w:eastAsia="Times New Roman" w:cstheme="minorHAnsi"/>
          <w:lang w:eastAsia="en-CA"/>
        </w:rPr>
        <w:t xml:space="preserve">: </w:t>
      </w:r>
      <w:r w:rsidR="00184818" w:rsidRPr="00C80B55">
        <w:rPr>
          <w:rFonts w:eastAsia="Times New Roman" w:cstheme="minorHAnsi"/>
          <w:lang w:eastAsia="en-CA"/>
        </w:rPr>
        <w:t>Intergovernmental organizations play a coordinating role in accessing specific relief under the international treaty and mechanism. Yet there is fragmentation in how this is occurring. There is a need for a comprehensive and integrative strategy for organizations working on migration, disaster relief, environmental problems</w:t>
      </w:r>
      <w:r w:rsidR="00710ACE" w:rsidRPr="00C80B55">
        <w:rPr>
          <w:rFonts w:eastAsia="Times New Roman" w:cstheme="minorHAnsi"/>
          <w:lang w:eastAsia="en-CA"/>
        </w:rPr>
        <w:t>,</w:t>
      </w:r>
      <w:r w:rsidR="00184818" w:rsidRPr="00C80B55">
        <w:rPr>
          <w:rFonts w:eastAsia="Times New Roman" w:cstheme="minorHAnsi"/>
          <w:lang w:eastAsia="en-CA"/>
        </w:rPr>
        <w:t xml:space="preserve"> and climate change to come together to form a strategy and plan to address loss and damage.</w:t>
      </w:r>
      <w:r w:rsidR="00184818" w:rsidRPr="00C80B55">
        <w:rPr>
          <w:rFonts w:eastAsia="Times New Roman" w:cstheme="minorHAnsi"/>
          <w:lang w:eastAsia="en-CA"/>
        </w:rPr>
        <w:t xml:space="preserve"> </w:t>
      </w:r>
      <w:r w:rsidR="00184818" w:rsidRPr="00C80B55">
        <w:rPr>
          <w:rFonts w:eastAsia="Times New Roman" w:cstheme="minorHAnsi"/>
          <w:lang w:eastAsia="en-CA"/>
        </w:rPr>
        <w:t xml:space="preserve">A comprehensive strategy and plan those vulnerable countries can use to access the multiple mechanisms available internationally to address loss and damage. </w:t>
      </w:r>
    </w:p>
    <w:p w14:paraId="504D4A6E" w14:textId="32492FE1" w:rsidR="00184818" w:rsidRPr="00223937" w:rsidRDefault="00647903" w:rsidP="00184818">
      <w:pPr>
        <w:pStyle w:val="ListParagraph"/>
        <w:numPr>
          <w:ilvl w:val="0"/>
          <w:numId w:val="5"/>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t>Local communities and community-based NGOs</w:t>
      </w:r>
      <w:r w:rsidR="00184818" w:rsidRPr="00C80B55">
        <w:rPr>
          <w:rFonts w:eastAsia="Times New Roman" w:cstheme="minorHAnsi"/>
          <w:lang w:eastAsia="en-CA"/>
        </w:rPr>
        <w:t xml:space="preserve">: Another key actor in this multi-actor partnership are local communities and NGOs who are at the front line when experiencing loss and damage. There is a need for laws and policies to be designed in ways that recognize the vital role played by these organizations and incorporate their needs in identifying remedies for loss and damage. </w:t>
      </w:r>
    </w:p>
    <w:p w14:paraId="423DAAB4" w14:textId="71ADCEBE" w:rsidR="00710ACE" w:rsidRPr="00C80B55" w:rsidRDefault="00710ACE" w:rsidP="00710ACE">
      <w:pPr>
        <w:numPr>
          <w:ilvl w:val="0"/>
          <w:numId w:val="1"/>
        </w:numPr>
        <w:tabs>
          <w:tab w:val="clear" w:pos="360"/>
          <w:tab w:val="num" w:pos="720"/>
        </w:tabs>
        <w:spacing w:before="100" w:beforeAutospacing="1" w:after="100" w:afterAutospacing="1" w:line="240" w:lineRule="auto"/>
        <w:ind w:left="720"/>
        <w:rPr>
          <w:rFonts w:eastAsia="Times New Roman" w:cstheme="minorHAnsi"/>
          <w:u w:val="single"/>
          <w:lang w:eastAsia="en-CA"/>
        </w:rPr>
      </w:pPr>
      <w:r w:rsidRPr="00C80B55">
        <w:rPr>
          <w:rFonts w:eastAsia="Times New Roman" w:cstheme="minorHAnsi"/>
          <w:u w:val="single"/>
          <w:lang w:eastAsia="en-CA"/>
        </w:rPr>
        <w:t xml:space="preserve">Please provide examples of ways in which States, the business enterprises, civil society and intergovernmental </w:t>
      </w:r>
      <w:r w:rsidRPr="00C80B55">
        <w:rPr>
          <w:rFonts w:eastAsia="Times New Roman" w:cstheme="minorHAnsi"/>
          <w:u w:val="single"/>
          <w:lang w:eastAsia="en-CA"/>
        </w:rPr>
        <w:t>organizations</w:t>
      </w:r>
      <w:r w:rsidRPr="00C80B55">
        <w:rPr>
          <w:rFonts w:eastAsia="Times New Roman" w:cstheme="minorHAnsi"/>
          <w:u w:val="single"/>
          <w:lang w:eastAsia="en-CA"/>
        </w:rPr>
        <w:t xml:space="preserve"> have provided redress and remedies for individuals and communities in vulnerable situations who have suffered loss and damage due to the adverse effects of climate change.</w:t>
      </w:r>
    </w:p>
    <w:p w14:paraId="33E1402B" w14:textId="48365B56" w:rsidR="00710ACE" w:rsidRPr="00C80B55" w:rsidRDefault="00710ACE" w:rsidP="00710ACE">
      <w:pPr>
        <w:spacing w:before="100" w:beforeAutospacing="1" w:after="100" w:afterAutospacing="1" w:line="240" w:lineRule="auto"/>
        <w:ind w:left="720"/>
        <w:rPr>
          <w:rFonts w:eastAsia="Times New Roman" w:cstheme="minorHAnsi"/>
          <w:lang w:eastAsia="en-CA"/>
        </w:rPr>
      </w:pPr>
      <w:r w:rsidRPr="00C80B55">
        <w:rPr>
          <w:rFonts w:eastAsia="Times New Roman" w:cstheme="minorHAnsi"/>
          <w:lang w:eastAsia="en-CA"/>
        </w:rPr>
        <w:t xml:space="preserve">Vulnerable states and civil society actors have been front runners in devising novel remedies to redress victims of loss and damage. </w:t>
      </w:r>
      <w:r w:rsidR="00E24F7B" w:rsidRPr="00C80B55">
        <w:rPr>
          <w:rFonts w:eastAsia="Times New Roman" w:cstheme="minorHAnsi"/>
          <w:lang w:eastAsia="en-CA"/>
        </w:rPr>
        <w:t xml:space="preserve">Businesses are yet to actively partake in redressing loss and damage. Below are some specific examples of initiatives taken by states and civil society to address the claims. </w:t>
      </w:r>
    </w:p>
    <w:p w14:paraId="15CCC4CE" w14:textId="47AC558D" w:rsidR="00E24F7B" w:rsidRPr="00C80B55" w:rsidRDefault="00E24F7B" w:rsidP="00176B8D">
      <w:pPr>
        <w:pStyle w:val="ListParagraph"/>
        <w:numPr>
          <w:ilvl w:val="0"/>
          <w:numId w:val="8"/>
        </w:numPr>
        <w:jc w:val="both"/>
        <w:rPr>
          <w:rFonts w:cstheme="minorHAnsi"/>
        </w:rPr>
      </w:pPr>
      <w:r w:rsidRPr="00C80B55">
        <w:rPr>
          <w:rFonts w:eastAsia="Times New Roman" w:cstheme="minorHAnsi"/>
          <w:b/>
          <w:bCs/>
          <w:lang w:eastAsia="en-CA"/>
        </w:rPr>
        <w:t>States:</w:t>
      </w:r>
      <w:r w:rsidRPr="00C80B55">
        <w:rPr>
          <w:rFonts w:eastAsia="Times New Roman" w:cstheme="minorHAnsi"/>
          <w:lang w:eastAsia="en-CA"/>
        </w:rPr>
        <w:t xml:space="preserve"> </w:t>
      </w:r>
      <w:r w:rsidRPr="00C80B55">
        <w:rPr>
          <w:rFonts w:cstheme="minorHAnsi"/>
        </w:rPr>
        <w:t>Bangladesh was an early mover amongst Least Developed Countries (LDCs) to create a National Adaptation Programme of Action (NAPA) and a dedicated national policy on climate change. Stemming from the NAPA process, the Ministry of Environment and Forests, along with DFID and other partners, formulated the Bangladesh Climate Change Strategy and Action Plan (BCCSAP) in 2009, which aims at guiding climate change policies, programs, and projects in the country and is in line with the government’s vision to eradicate poverty and achieve economic prosperity for its people. To fund the projects and activities under the BCCSAP, two funds were established by the government in 2010, the Bangladesh Climate Change Trust Fund (BCCTF) from the government’s resources and the Bangladesh Climate Change Resilience Fund (BCCRF) from donor funding and managed by the World Bank.</w:t>
      </w:r>
      <w:r w:rsidR="00176B8D" w:rsidRPr="00C80B55">
        <w:rPr>
          <w:rFonts w:cstheme="minorHAnsi"/>
        </w:rPr>
        <w:t xml:space="preserve"> </w:t>
      </w:r>
      <w:r w:rsidRPr="00C80B55">
        <w:rPr>
          <w:rFonts w:eastAsia="Times New Roman" w:cstheme="minorHAnsi"/>
          <w:lang w:eastAsia="en-CA"/>
        </w:rPr>
        <w:t>The government of Bangladesh has planned to set up a National Mechanism on Loss and Damage and develop a two-year pilot program</w:t>
      </w:r>
      <w:r w:rsidRPr="00C80B55">
        <w:rPr>
          <w:rFonts w:eastAsia="Times New Roman" w:cstheme="minorHAnsi"/>
          <w:lang w:eastAsia="en-CA"/>
        </w:rPr>
        <w:t xml:space="preserve"> </w:t>
      </w:r>
      <w:r w:rsidRPr="00C80B55">
        <w:rPr>
          <w:rFonts w:eastAsia="Times New Roman" w:cstheme="minorHAnsi"/>
          <w:lang w:eastAsia="en-CA"/>
        </w:rPr>
        <w:t xml:space="preserve">tasked to find out how to </w:t>
      </w:r>
      <w:r w:rsidRPr="00C80B55">
        <w:rPr>
          <w:rFonts w:eastAsia="Times New Roman" w:cstheme="minorHAnsi"/>
          <w:lang w:eastAsia="en-CA"/>
        </w:rPr>
        <w:t xml:space="preserve">provide </w:t>
      </w:r>
      <w:r w:rsidRPr="00C80B55">
        <w:rPr>
          <w:rFonts w:eastAsia="Times New Roman" w:cstheme="minorHAnsi"/>
          <w:lang w:eastAsia="en-CA"/>
        </w:rPr>
        <w:t xml:space="preserve">compensation to the victims of climate change. The two-year pilot phase will experiment with different aspects of loss and damage; including both fast </w:t>
      </w:r>
      <w:r w:rsidRPr="00C80B55">
        <w:rPr>
          <w:rFonts w:eastAsia="Times New Roman" w:cstheme="minorHAnsi"/>
          <w:lang w:eastAsia="en-CA"/>
        </w:rPr>
        <w:t>onsets</w:t>
      </w:r>
      <w:r w:rsidRPr="00C80B55">
        <w:rPr>
          <w:rFonts w:eastAsia="Times New Roman" w:cstheme="minorHAnsi"/>
          <w:lang w:eastAsia="en-CA"/>
        </w:rPr>
        <w:t xml:space="preserve"> as well as slow-onset insurance as a potential mechanism, non-economic loss and damage enabled migration, etc. </w:t>
      </w:r>
      <w:r w:rsidRPr="00C80B55">
        <w:rPr>
          <w:rFonts w:eastAsia="Times New Roman" w:cstheme="minorHAnsi"/>
          <w:lang w:eastAsia="en-CA"/>
        </w:rPr>
        <w:t xml:space="preserve"> The Caribbean </w:t>
      </w:r>
      <w:r w:rsidR="00176B8D" w:rsidRPr="00C80B55">
        <w:rPr>
          <w:rFonts w:eastAsia="Times New Roman" w:cstheme="minorHAnsi"/>
          <w:lang w:eastAsia="en-CA"/>
        </w:rPr>
        <w:t xml:space="preserve">Catastrophe Risk Insurance Facility is another example of a state-led initiative on devising a remedy. </w:t>
      </w:r>
      <w:r w:rsidR="008208AF">
        <w:rPr>
          <w:rStyle w:val="FootnoteReference"/>
          <w:rFonts w:cstheme="minorHAnsi"/>
        </w:rPr>
        <w:footnoteReference w:id="4"/>
      </w:r>
    </w:p>
    <w:p w14:paraId="6EB25421" w14:textId="42C2FD4D" w:rsidR="00176B8D" w:rsidRPr="008208AF" w:rsidRDefault="00176B8D" w:rsidP="008208AF">
      <w:pPr>
        <w:pStyle w:val="ListParagraph"/>
        <w:numPr>
          <w:ilvl w:val="0"/>
          <w:numId w:val="8"/>
        </w:numPr>
        <w:jc w:val="both"/>
        <w:rPr>
          <w:rFonts w:cstheme="minorHAnsi"/>
        </w:rPr>
      </w:pPr>
      <w:r w:rsidRPr="00C80B55">
        <w:rPr>
          <w:rFonts w:eastAsia="Times New Roman" w:cstheme="minorHAnsi"/>
          <w:b/>
          <w:bCs/>
          <w:lang w:eastAsia="en-CA"/>
        </w:rPr>
        <w:t>Civil Society</w:t>
      </w:r>
      <w:r w:rsidRPr="00C80B55">
        <w:rPr>
          <w:rFonts w:eastAsia="Times New Roman" w:cstheme="minorHAnsi"/>
          <w:lang w:eastAsia="en-CA"/>
        </w:rPr>
        <w:t xml:space="preserve">: </w:t>
      </w:r>
      <w:r w:rsidRPr="00C80B55">
        <w:rPr>
          <w:rFonts w:cstheme="minorHAnsi"/>
        </w:rPr>
        <w:t xml:space="preserve">Several </w:t>
      </w:r>
      <w:r w:rsidRPr="00C80B55">
        <w:rPr>
          <w:rFonts w:cstheme="minorHAnsi"/>
        </w:rPr>
        <w:t xml:space="preserve">Civil Society Organizations are currently pushing for the agenda of loss and damage, like ActionAid Bangladesh, the International Center for Climate Change and Development, </w:t>
      </w:r>
      <w:r w:rsidRPr="00C80B55">
        <w:rPr>
          <w:rFonts w:cstheme="minorHAnsi"/>
        </w:rPr>
        <w:t xml:space="preserve">Climate Action Network, </w:t>
      </w:r>
      <w:r w:rsidRPr="00C80B55">
        <w:rPr>
          <w:rFonts w:cstheme="minorHAnsi"/>
        </w:rPr>
        <w:t>and so on, both nationally and internationally. ICCCAD’s loss and damage program</w:t>
      </w:r>
      <w:r w:rsidRPr="00C80B55">
        <w:rPr>
          <w:rFonts w:cstheme="minorHAnsi"/>
        </w:rPr>
        <w:t xml:space="preserve"> </w:t>
      </w:r>
      <w:r w:rsidRPr="00C80B55">
        <w:rPr>
          <w:rFonts w:cstheme="minorHAnsi"/>
        </w:rPr>
        <w:t>are</w:t>
      </w:r>
      <w:r w:rsidRPr="00C80B55">
        <w:rPr>
          <w:rFonts w:cstheme="minorHAnsi"/>
        </w:rPr>
        <w:t xml:space="preserve"> hosting the Least Developed Countries</w:t>
      </w:r>
      <w:r w:rsidRPr="00C80B55">
        <w:rPr>
          <w:rFonts w:cstheme="minorHAnsi"/>
        </w:rPr>
        <w:t xml:space="preserve"> </w:t>
      </w:r>
      <w:r w:rsidRPr="00C80B55">
        <w:rPr>
          <w:rFonts w:cstheme="minorHAnsi"/>
        </w:rPr>
        <w:t xml:space="preserve">Universities Consortium on Climate Change (LUCCC) network to carry forward a programmatic approach </w:t>
      </w:r>
      <w:r w:rsidRPr="00C80B55">
        <w:rPr>
          <w:rFonts w:cstheme="minorHAnsi"/>
        </w:rPr>
        <w:lastRenderedPageBreak/>
        <w:t>to develop evidence-based case studies from diverse locations experiencing loss and damage from slow- and rapid-onset climate events, focusing on enhancing research and understanding as well as building capacities of those governments and communities.</w:t>
      </w:r>
    </w:p>
    <w:p w14:paraId="6D4999F5" w14:textId="0AE5DD15" w:rsidR="00176B8D" w:rsidRPr="00C80B55" w:rsidRDefault="00176B8D" w:rsidP="00176B8D">
      <w:pPr>
        <w:numPr>
          <w:ilvl w:val="0"/>
          <w:numId w:val="1"/>
        </w:numPr>
        <w:tabs>
          <w:tab w:val="clear" w:pos="360"/>
        </w:tabs>
        <w:spacing w:before="100" w:beforeAutospacing="1" w:after="100" w:afterAutospacing="1" w:line="240" w:lineRule="auto"/>
        <w:jc w:val="both"/>
        <w:rPr>
          <w:rFonts w:eastAsia="Times New Roman" w:cstheme="minorHAnsi"/>
          <w:u w:val="single"/>
          <w:lang w:eastAsia="en-CA"/>
        </w:rPr>
      </w:pPr>
      <w:r w:rsidRPr="00C80B55">
        <w:rPr>
          <w:rFonts w:eastAsia="Times New Roman" w:cstheme="minorHAnsi"/>
          <w:u w:val="single"/>
          <w:lang w:eastAsia="en-CA"/>
        </w:rPr>
        <w:t>What international, regional, and national policies and legal approaches are necessary to protect current and future generations and achieve intergenerational justice</w:t>
      </w:r>
      <w:r w:rsidRPr="00C80B55">
        <w:rPr>
          <w:rFonts w:eastAsia="Times New Roman" w:cstheme="minorHAnsi"/>
          <w:u w:val="single"/>
          <w:lang w:eastAsia="en-CA"/>
        </w:rPr>
        <w:t>,</w:t>
      </w:r>
      <w:r w:rsidRPr="00C80B55">
        <w:rPr>
          <w:rFonts w:eastAsia="Times New Roman" w:cstheme="minorHAnsi"/>
          <w:u w:val="single"/>
          <w:lang w:eastAsia="en-CA"/>
        </w:rPr>
        <w:t xml:space="preserve"> particularly for individuals and communities, from the adverse impacts of climate change?</w:t>
      </w:r>
    </w:p>
    <w:p w14:paraId="2F5F1E6F" w14:textId="015B16C2" w:rsidR="00B3531B" w:rsidRPr="00C80B55" w:rsidRDefault="00AE5198" w:rsidP="00B3531B">
      <w:pPr>
        <w:spacing w:before="100" w:beforeAutospacing="1" w:after="100" w:afterAutospacing="1" w:line="240" w:lineRule="auto"/>
        <w:ind w:left="360"/>
        <w:jc w:val="both"/>
        <w:rPr>
          <w:rFonts w:eastAsia="Times New Roman" w:cstheme="minorHAnsi"/>
          <w:lang w:eastAsia="en-CA"/>
        </w:rPr>
      </w:pPr>
      <w:r w:rsidRPr="00C80B55">
        <w:rPr>
          <w:rFonts w:eastAsia="Times New Roman" w:cstheme="minorHAnsi"/>
          <w:lang w:eastAsia="en-CA"/>
        </w:rPr>
        <w:t>We have identified four legal approaches that can be used to shape international, regional and national policies for the protection of current and future generations. These approaches are:</w:t>
      </w:r>
    </w:p>
    <w:p w14:paraId="52005B8D" w14:textId="59F81CF1" w:rsidR="006A3649" w:rsidRPr="00C80B55" w:rsidRDefault="00AE5198" w:rsidP="00C80B55">
      <w:pPr>
        <w:pStyle w:val="ListParagraph"/>
        <w:numPr>
          <w:ilvl w:val="0"/>
          <w:numId w:val="10"/>
        </w:numPr>
        <w:spacing w:before="100" w:beforeAutospacing="1" w:after="100" w:afterAutospacing="1" w:line="240" w:lineRule="auto"/>
        <w:jc w:val="both"/>
        <w:rPr>
          <w:rFonts w:eastAsia="Times New Roman" w:cstheme="minorHAnsi"/>
          <w:lang w:eastAsia="en-CA"/>
        </w:rPr>
      </w:pPr>
      <w:r w:rsidRPr="00C80B55">
        <w:rPr>
          <w:rFonts w:eastAsia="Times New Roman" w:cstheme="minorHAnsi"/>
          <w:b/>
          <w:bCs/>
          <w:lang w:eastAsia="en-CA"/>
        </w:rPr>
        <w:t>Human Rights-Based Approach</w:t>
      </w:r>
      <w:r w:rsidRPr="00C80B55">
        <w:rPr>
          <w:rFonts w:eastAsia="Times New Roman" w:cstheme="minorHAnsi"/>
          <w:lang w:eastAsia="en-CA"/>
        </w:rPr>
        <w:t xml:space="preserve">: As stated earlier in the submission a human rights-based approach will provide a framework for guiding state action on intergenerational justice. </w:t>
      </w:r>
      <w:r w:rsidR="00F21CDC" w:rsidRPr="00C80B55">
        <w:rPr>
          <w:rFonts w:cstheme="minorHAnsi"/>
        </w:rPr>
        <w:t>OHCHR defines an HRBA as a ‘conceptual framework for the</w:t>
      </w:r>
      <w:r w:rsidR="006A3649" w:rsidRPr="00C80B55">
        <w:rPr>
          <w:rFonts w:cstheme="minorHAnsi"/>
        </w:rPr>
        <w:t xml:space="preserve"> </w:t>
      </w:r>
      <w:r w:rsidR="00F21CDC" w:rsidRPr="00C80B55">
        <w:rPr>
          <w:rFonts w:cstheme="minorHAnsi"/>
        </w:rPr>
        <w:t xml:space="preserve">process of human development that is normatively based on international human rights standards and operationally directed to promoting and protecting human </w:t>
      </w:r>
      <w:r w:rsidR="006A3649" w:rsidRPr="00C80B55">
        <w:rPr>
          <w:rFonts w:cstheme="minorHAnsi"/>
        </w:rPr>
        <w:t>rights</w:t>
      </w:r>
      <w:r w:rsidR="00F21CDC" w:rsidRPr="00C80B55">
        <w:rPr>
          <w:rFonts w:cstheme="minorHAnsi"/>
        </w:rPr>
        <w:t xml:space="preserve"> (OHCHR, 2006, p. 15).</w:t>
      </w:r>
      <w:r w:rsidR="00F21CDC" w:rsidRPr="00C80B55">
        <w:rPr>
          <w:rFonts w:cstheme="minorHAnsi"/>
        </w:rPr>
        <w:t xml:space="preserve"> The greening of human rights has been foundational in ensuring that the rights of future generations is recognized. More recently </w:t>
      </w:r>
      <w:r w:rsidR="00F21CDC" w:rsidRPr="00C80B55">
        <w:rPr>
          <w:rFonts w:cstheme="minorHAnsi"/>
        </w:rPr>
        <w:t xml:space="preserve">The UN Human Rights Council adopted resolution 48/13 recognizing that a clean, healthy, and sustainable environment is a human right. The recognition and enforcement of this right can provide an effective legal basis for ensuring that the rights of current and future generations is secured. </w:t>
      </w:r>
      <w:r w:rsidR="00C80B55">
        <w:rPr>
          <w:rStyle w:val="FootnoteReference"/>
          <w:rFonts w:eastAsia="Times New Roman" w:cstheme="minorHAnsi"/>
          <w:lang w:eastAsia="en-CA"/>
        </w:rPr>
        <w:footnoteReference w:id="5"/>
      </w:r>
    </w:p>
    <w:p w14:paraId="6717054F" w14:textId="48B6D0B8" w:rsidR="006A3649" w:rsidRPr="00C80B55" w:rsidRDefault="00AE5198" w:rsidP="00C80B55">
      <w:pPr>
        <w:pStyle w:val="ListParagraph"/>
        <w:numPr>
          <w:ilvl w:val="0"/>
          <w:numId w:val="10"/>
        </w:numPr>
        <w:spacing w:before="100" w:beforeAutospacing="1" w:after="100" w:afterAutospacing="1" w:line="240" w:lineRule="auto"/>
        <w:jc w:val="both"/>
        <w:rPr>
          <w:rFonts w:eastAsia="Times New Roman" w:cstheme="minorHAnsi"/>
          <w:lang w:eastAsia="en-CA"/>
        </w:rPr>
      </w:pPr>
      <w:r w:rsidRPr="00E93D9E">
        <w:rPr>
          <w:rFonts w:eastAsia="Times New Roman" w:cstheme="minorHAnsi"/>
          <w:b/>
          <w:bCs/>
          <w:lang w:eastAsia="en-CA"/>
        </w:rPr>
        <w:t>Environmental Rule of Law</w:t>
      </w:r>
      <w:r w:rsidR="00F21CDC" w:rsidRPr="00C80B55">
        <w:rPr>
          <w:rFonts w:eastAsia="Times New Roman" w:cstheme="minorHAnsi"/>
          <w:lang w:eastAsia="en-CA"/>
        </w:rPr>
        <w:t xml:space="preserve">: </w:t>
      </w:r>
      <w:r w:rsidR="00F21CDC" w:rsidRPr="00C80B55">
        <w:rPr>
          <w:rFonts w:eastAsia="Times New Roman" w:cstheme="minorHAnsi"/>
          <w:lang w:eastAsia="en-CA"/>
        </w:rPr>
        <w:t>The report by working group 2 of the IPCC documented how the climate crisis is a combination of multiple crises from biodiversity loss, pollution</w:t>
      </w:r>
      <w:r w:rsidR="006A3649" w:rsidRPr="00C80B55">
        <w:rPr>
          <w:rFonts w:eastAsia="Times New Roman" w:cstheme="minorHAnsi"/>
          <w:lang w:eastAsia="en-CA"/>
        </w:rPr>
        <w:t>,</w:t>
      </w:r>
      <w:r w:rsidR="00F21CDC" w:rsidRPr="00C80B55">
        <w:rPr>
          <w:rFonts w:eastAsia="Times New Roman" w:cstheme="minorHAnsi"/>
          <w:lang w:eastAsia="en-CA"/>
        </w:rPr>
        <w:t xml:space="preserve"> and others. Enforcement and recognition of environmental rule of law will be key in achieving </w:t>
      </w:r>
      <w:r w:rsidR="006A3649" w:rsidRPr="00C80B55">
        <w:rPr>
          <w:rFonts w:eastAsia="Times New Roman" w:cstheme="minorHAnsi"/>
          <w:lang w:eastAsia="en-CA"/>
        </w:rPr>
        <w:t>intergenerational</w:t>
      </w:r>
      <w:r w:rsidR="00F21CDC" w:rsidRPr="00C80B55">
        <w:rPr>
          <w:rFonts w:eastAsia="Times New Roman" w:cstheme="minorHAnsi"/>
          <w:lang w:eastAsia="en-CA"/>
        </w:rPr>
        <w:t xml:space="preserve"> justice by combatting the multiple </w:t>
      </w:r>
      <w:r w:rsidR="0036056E" w:rsidRPr="00C80B55">
        <w:rPr>
          <w:rFonts w:eastAsia="Times New Roman" w:cstheme="minorHAnsi"/>
          <w:lang w:eastAsia="en-CA"/>
        </w:rPr>
        <w:t>crises</w:t>
      </w:r>
      <w:r w:rsidR="00F21CDC" w:rsidRPr="00C80B55">
        <w:rPr>
          <w:rFonts w:eastAsia="Times New Roman" w:cstheme="minorHAnsi"/>
          <w:lang w:eastAsia="en-CA"/>
        </w:rPr>
        <w:t xml:space="preserve"> through the enforcement of existing laws and the creation of new ones. </w:t>
      </w:r>
      <w:r w:rsidR="00F21CDC" w:rsidRPr="00C80B55">
        <w:rPr>
          <w:rFonts w:eastAsia="Times New Roman" w:cstheme="minorHAnsi"/>
          <w:lang w:eastAsia="en-CA"/>
        </w:rPr>
        <w:t>In a recent report by the United Nations Environment Program</w:t>
      </w:r>
      <w:r w:rsidR="006A3649" w:rsidRPr="00C80B55">
        <w:rPr>
          <w:rFonts w:eastAsia="Times New Roman" w:cstheme="minorHAnsi"/>
          <w:lang w:eastAsia="en-CA"/>
        </w:rPr>
        <w:t>,</w:t>
      </w:r>
      <w:r w:rsidR="00F21CDC" w:rsidRPr="00C80B55">
        <w:rPr>
          <w:rFonts w:eastAsia="Times New Roman" w:cstheme="minorHAnsi"/>
          <w:lang w:eastAsia="en-CA"/>
        </w:rPr>
        <w:t xml:space="preserve"> it documented how despite the proliferation of environmental laws the outcomes have not been promising</w:t>
      </w:r>
      <w:r w:rsidR="0036056E" w:rsidRPr="00C80B55">
        <w:rPr>
          <w:rFonts w:eastAsia="Times New Roman" w:cstheme="minorHAnsi"/>
          <w:lang w:eastAsia="en-CA"/>
        </w:rPr>
        <w:t xml:space="preserve">. The report calls for stricter enforcement of environmental laws to be able to protect biodiversity. </w:t>
      </w:r>
      <w:r w:rsidR="00C80B55">
        <w:rPr>
          <w:rStyle w:val="FootnoteReference"/>
          <w:rFonts w:eastAsia="Times New Roman" w:cstheme="minorHAnsi"/>
          <w:lang w:eastAsia="en-CA"/>
        </w:rPr>
        <w:footnoteReference w:id="6"/>
      </w:r>
    </w:p>
    <w:p w14:paraId="5D7D92B8" w14:textId="477D044A" w:rsidR="006A3649" w:rsidRPr="00C80B55" w:rsidRDefault="00AE5198" w:rsidP="00C80B55">
      <w:pPr>
        <w:pStyle w:val="ListParagraph"/>
        <w:numPr>
          <w:ilvl w:val="0"/>
          <w:numId w:val="10"/>
        </w:numPr>
        <w:spacing w:before="100" w:beforeAutospacing="1" w:after="100" w:afterAutospacing="1" w:line="240" w:lineRule="auto"/>
        <w:jc w:val="both"/>
        <w:rPr>
          <w:rFonts w:eastAsia="Times New Roman" w:cstheme="minorHAnsi"/>
          <w:lang w:eastAsia="en-CA"/>
        </w:rPr>
      </w:pPr>
      <w:r w:rsidRPr="00E93D9E">
        <w:rPr>
          <w:rFonts w:eastAsia="Times New Roman" w:cstheme="minorHAnsi"/>
          <w:b/>
          <w:bCs/>
          <w:lang w:eastAsia="en-CA"/>
        </w:rPr>
        <w:t>Protection of Biodiversity</w:t>
      </w:r>
      <w:r w:rsidR="0036056E" w:rsidRPr="00E93D9E">
        <w:rPr>
          <w:rFonts w:eastAsia="Times New Roman" w:cstheme="minorHAnsi"/>
          <w:b/>
          <w:bCs/>
          <w:lang w:eastAsia="en-CA"/>
        </w:rPr>
        <w:t>:</w:t>
      </w:r>
      <w:r w:rsidR="0036056E" w:rsidRPr="00C80B55">
        <w:rPr>
          <w:rFonts w:eastAsia="Times New Roman" w:cstheme="minorHAnsi"/>
          <w:lang w:eastAsia="en-CA"/>
        </w:rPr>
        <w:t xml:space="preserve"> </w:t>
      </w:r>
      <w:r w:rsidR="0036056E" w:rsidRPr="00C80B55">
        <w:rPr>
          <w:rFonts w:eastAsia="Times New Roman" w:cstheme="minorHAnsi"/>
          <w:lang w:eastAsia="en-CA"/>
        </w:rPr>
        <w:t xml:space="preserve">While a human </w:t>
      </w:r>
      <w:r w:rsidR="006A3649" w:rsidRPr="00C80B55">
        <w:rPr>
          <w:rFonts w:eastAsia="Times New Roman" w:cstheme="minorHAnsi"/>
          <w:lang w:eastAsia="en-CA"/>
        </w:rPr>
        <w:t>rights-based</w:t>
      </w:r>
      <w:r w:rsidR="0036056E" w:rsidRPr="00C80B55">
        <w:rPr>
          <w:rFonts w:eastAsia="Times New Roman" w:cstheme="minorHAnsi"/>
          <w:lang w:eastAsia="en-CA"/>
        </w:rPr>
        <w:t xml:space="preserve"> approach is salient in achieving inter-generational justice there is a need to enhance </w:t>
      </w:r>
      <w:r w:rsidR="006A3649" w:rsidRPr="00C80B55">
        <w:rPr>
          <w:rFonts w:eastAsia="Times New Roman" w:cstheme="minorHAnsi"/>
          <w:lang w:eastAsia="en-CA"/>
        </w:rPr>
        <w:t xml:space="preserve">the </w:t>
      </w:r>
      <w:r w:rsidR="0036056E" w:rsidRPr="00C80B55">
        <w:rPr>
          <w:rFonts w:eastAsia="Times New Roman" w:cstheme="minorHAnsi"/>
          <w:lang w:eastAsia="en-CA"/>
        </w:rPr>
        <w:t>protection of the non-human world too which is a shield against the adverse impacts of loss and damage. In light of this</w:t>
      </w:r>
      <w:r w:rsidR="006A3649" w:rsidRPr="00C80B55">
        <w:rPr>
          <w:rFonts w:eastAsia="Times New Roman" w:cstheme="minorHAnsi"/>
          <w:lang w:eastAsia="en-CA"/>
        </w:rPr>
        <w:t>,</w:t>
      </w:r>
      <w:r w:rsidR="0036056E" w:rsidRPr="00C80B55">
        <w:rPr>
          <w:rFonts w:eastAsia="Times New Roman" w:cstheme="minorHAnsi"/>
          <w:lang w:eastAsia="en-CA"/>
        </w:rPr>
        <w:t xml:space="preserve"> there is a need to combine the global biodiversity protection targets with international climate law to render an integrative legal approach that secures the rights of current and future generations. </w:t>
      </w:r>
      <w:r w:rsidR="0036056E" w:rsidRPr="00C80B55">
        <w:rPr>
          <w:rFonts w:eastAsia="Times New Roman" w:cstheme="minorHAnsi"/>
          <w:lang w:eastAsia="en-CA"/>
        </w:rPr>
        <w:t xml:space="preserve">This includes an emphasis on </w:t>
      </w:r>
      <w:r w:rsidR="006A3649" w:rsidRPr="00C80B55">
        <w:rPr>
          <w:rFonts w:eastAsia="Times New Roman" w:cstheme="minorHAnsi"/>
          <w:lang w:eastAsia="en-CA"/>
        </w:rPr>
        <w:t>nature-based</w:t>
      </w:r>
      <w:r w:rsidR="0036056E" w:rsidRPr="00C80B55">
        <w:rPr>
          <w:rFonts w:eastAsia="Times New Roman" w:cstheme="minorHAnsi"/>
          <w:lang w:eastAsia="en-CA"/>
        </w:rPr>
        <w:t xml:space="preserve"> solutions that adequately recognise the role of traditional knowledge and their participation in decision-making on the protection of biodiversity. </w:t>
      </w:r>
      <w:r w:rsidR="00C80B55">
        <w:rPr>
          <w:rStyle w:val="FootnoteReference"/>
          <w:rFonts w:eastAsia="Times New Roman" w:cstheme="minorHAnsi"/>
          <w:lang w:eastAsia="en-CA"/>
        </w:rPr>
        <w:footnoteReference w:id="7"/>
      </w:r>
    </w:p>
    <w:p w14:paraId="73369A1D" w14:textId="44A40B60" w:rsidR="0036056E" w:rsidRPr="00C80B55" w:rsidRDefault="00AE5198" w:rsidP="00C80B55">
      <w:pPr>
        <w:pStyle w:val="ListParagraph"/>
        <w:numPr>
          <w:ilvl w:val="0"/>
          <w:numId w:val="10"/>
        </w:numPr>
        <w:spacing w:before="100" w:beforeAutospacing="1" w:after="100" w:afterAutospacing="1" w:line="240" w:lineRule="auto"/>
        <w:jc w:val="both"/>
        <w:rPr>
          <w:rFonts w:eastAsia="Times New Roman" w:cstheme="minorHAnsi"/>
          <w:lang w:eastAsia="en-CA"/>
        </w:rPr>
      </w:pPr>
      <w:r w:rsidRPr="00E93D9E">
        <w:rPr>
          <w:rFonts w:eastAsia="Times New Roman" w:cstheme="minorHAnsi"/>
          <w:b/>
          <w:bCs/>
          <w:lang w:eastAsia="en-CA"/>
        </w:rPr>
        <w:t>Ensuring Accountabilit</w:t>
      </w:r>
      <w:r w:rsidR="0036056E" w:rsidRPr="00E93D9E">
        <w:rPr>
          <w:rFonts w:eastAsia="Times New Roman" w:cstheme="minorHAnsi"/>
          <w:b/>
          <w:bCs/>
          <w:lang w:eastAsia="en-CA"/>
        </w:rPr>
        <w:t>y through Climate Litigation</w:t>
      </w:r>
      <w:r w:rsidR="0036056E" w:rsidRPr="00C80B55">
        <w:rPr>
          <w:rFonts w:eastAsia="Times New Roman" w:cstheme="minorHAnsi"/>
          <w:lang w:eastAsia="en-CA"/>
        </w:rPr>
        <w:t xml:space="preserve">: </w:t>
      </w:r>
      <w:r w:rsidR="0036056E" w:rsidRPr="00C80B55">
        <w:rPr>
          <w:rFonts w:cstheme="minorHAnsi"/>
        </w:rPr>
        <w:t xml:space="preserve">Climate litigation has been an effective tool in holding governments and corporations accountable for climate inaction and pushing for ambitious climate commitments. The range of legal strategies used in climate </w:t>
      </w:r>
      <w:r w:rsidR="00E93D9E" w:rsidRPr="00C80B55">
        <w:rPr>
          <w:rFonts w:cstheme="minorHAnsi"/>
        </w:rPr>
        <w:t>Many</w:t>
      </w:r>
      <w:r w:rsidR="0036056E" w:rsidRPr="00C80B55">
        <w:rPr>
          <w:rFonts w:cstheme="minorHAnsi"/>
        </w:rPr>
        <w:t xml:space="preserve"> cases of loss and damage have been in the United States by sub-national units against fossil fuel </w:t>
      </w:r>
      <w:r w:rsidR="0036056E" w:rsidRPr="00C80B55">
        <w:rPr>
          <w:rFonts w:cstheme="minorHAnsi"/>
        </w:rPr>
        <w:lastRenderedPageBreak/>
        <w:t xml:space="preserve">majors for the payment of damages. </w:t>
      </w:r>
      <w:r w:rsidR="006A3649" w:rsidRPr="00C80B55">
        <w:rPr>
          <w:rFonts w:cstheme="minorHAnsi"/>
        </w:rPr>
        <w:t>T</w:t>
      </w:r>
      <w:r w:rsidR="0036056E" w:rsidRPr="00C80B55">
        <w:rPr>
          <w:rFonts w:cstheme="minorHAnsi"/>
        </w:rPr>
        <w:t xml:space="preserve">he carbon majors case </w:t>
      </w:r>
      <w:r w:rsidR="006A3649" w:rsidRPr="00C80B55">
        <w:rPr>
          <w:rFonts w:cstheme="minorHAnsi"/>
        </w:rPr>
        <w:t xml:space="preserve">was </w:t>
      </w:r>
      <w:r w:rsidR="0036056E" w:rsidRPr="00C80B55">
        <w:rPr>
          <w:rFonts w:cstheme="minorHAnsi"/>
        </w:rPr>
        <w:t>filed before the Philippines national commission on human rights. The opportunity that climate litigation as a potential strategy offer is three-fold namely:</w:t>
      </w:r>
    </w:p>
    <w:p w14:paraId="10C33A8E" w14:textId="77777777" w:rsidR="0036056E" w:rsidRPr="00C80B55" w:rsidRDefault="0036056E" w:rsidP="00C80B55">
      <w:pPr>
        <w:pStyle w:val="ListParagraph"/>
        <w:numPr>
          <w:ilvl w:val="0"/>
          <w:numId w:val="9"/>
        </w:numPr>
        <w:jc w:val="both"/>
        <w:rPr>
          <w:rFonts w:cstheme="minorHAnsi"/>
        </w:rPr>
      </w:pPr>
      <w:r w:rsidRPr="00C80B55">
        <w:rPr>
          <w:rFonts w:cstheme="minorHAnsi"/>
        </w:rPr>
        <w:t>It creates an avenue for making claims of liability and compensation which have not yet firmly been made in the context of international climate change law.</w:t>
      </w:r>
    </w:p>
    <w:p w14:paraId="2CAA2258" w14:textId="77777777" w:rsidR="0036056E" w:rsidRPr="00C80B55" w:rsidRDefault="0036056E" w:rsidP="00C80B55">
      <w:pPr>
        <w:pStyle w:val="ListParagraph"/>
        <w:numPr>
          <w:ilvl w:val="0"/>
          <w:numId w:val="9"/>
        </w:numPr>
        <w:jc w:val="both"/>
        <w:rPr>
          <w:rFonts w:cstheme="minorHAnsi"/>
        </w:rPr>
      </w:pPr>
      <w:r w:rsidRPr="00C80B55">
        <w:rPr>
          <w:rFonts w:cstheme="minorHAnsi"/>
        </w:rPr>
        <w:t>It offers an alternative pathway to counter the glacial pace and geopolitical gridlock of international climate negotiations; and</w:t>
      </w:r>
    </w:p>
    <w:p w14:paraId="4EA09346" w14:textId="1259BAB5" w:rsidR="006A3649" w:rsidRPr="0037681A" w:rsidRDefault="0036056E" w:rsidP="0037681A">
      <w:pPr>
        <w:pStyle w:val="ListParagraph"/>
        <w:numPr>
          <w:ilvl w:val="0"/>
          <w:numId w:val="9"/>
        </w:numPr>
        <w:jc w:val="both"/>
        <w:rPr>
          <w:rFonts w:cstheme="minorHAnsi"/>
        </w:rPr>
      </w:pPr>
      <w:r w:rsidRPr="00C80B55">
        <w:rPr>
          <w:rFonts w:cstheme="minorHAnsi"/>
        </w:rPr>
        <w:t>It creates more legal possibilities for holding corporations accountable for claims of liability and compensation.</w:t>
      </w:r>
      <w:r w:rsidR="00C80B55">
        <w:rPr>
          <w:rStyle w:val="FootnoteReference"/>
          <w:rFonts w:cstheme="minorHAnsi"/>
        </w:rPr>
        <w:footnoteReference w:id="8"/>
      </w:r>
    </w:p>
    <w:p w14:paraId="1CD639ED" w14:textId="0EAA7F4D" w:rsidR="006A3649" w:rsidRPr="00C80B55" w:rsidRDefault="006A3649" w:rsidP="006A3649">
      <w:pPr>
        <w:pStyle w:val="ListParagraph"/>
        <w:numPr>
          <w:ilvl w:val="0"/>
          <w:numId w:val="1"/>
        </w:numPr>
        <w:spacing w:before="100" w:beforeAutospacing="1" w:after="100" w:afterAutospacing="1" w:line="240" w:lineRule="auto"/>
        <w:rPr>
          <w:rFonts w:eastAsia="Times New Roman" w:cstheme="minorHAnsi"/>
          <w:u w:val="single"/>
          <w:lang w:eastAsia="en-CA"/>
        </w:rPr>
      </w:pPr>
      <w:r w:rsidRPr="00C80B55">
        <w:rPr>
          <w:rFonts w:eastAsia="Times New Roman" w:cstheme="minorHAnsi"/>
          <w:u w:val="single"/>
          <w:lang w:eastAsia="en-CA"/>
        </w:rPr>
        <w:t xml:space="preserve">In 2021 at 26th session of the UN Climate Change Conference (COP26), some Parties and civil society organisations proposed a new financial facility to support loss and damage. </w:t>
      </w:r>
    </w:p>
    <w:p w14:paraId="3DE26ADD" w14:textId="77777777" w:rsidR="00C32752" w:rsidRPr="00C80B55" w:rsidRDefault="00C32752" w:rsidP="00C32752">
      <w:pPr>
        <w:pStyle w:val="ListParagraph"/>
        <w:spacing w:before="100" w:beforeAutospacing="1" w:after="100" w:afterAutospacing="1" w:line="240" w:lineRule="auto"/>
        <w:ind w:left="360"/>
        <w:rPr>
          <w:rFonts w:eastAsia="Times New Roman" w:cstheme="minorHAnsi"/>
          <w:u w:val="single"/>
          <w:lang w:eastAsia="en-CA"/>
        </w:rPr>
      </w:pPr>
    </w:p>
    <w:p w14:paraId="22CFACF9" w14:textId="3FA293C6" w:rsidR="00C32752" w:rsidRPr="00C80B55" w:rsidRDefault="006A3649" w:rsidP="000C501E">
      <w:pPr>
        <w:pStyle w:val="ListParagraph"/>
        <w:numPr>
          <w:ilvl w:val="0"/>
          <w:numId w:val="11"/>
        </w:numPr>
        <w:spacing w:before="100" w:beforeAutospacing="1" w:after="100" w:afterAutospacing="1" w:line="240" w:lineRule="auto"/>
        <w:rPr>
          <w:rFonts w:eastAsia="Times New Roman" w:cstheme="minorHAnsi"/>
          <w:u w:val="single"/>
          <w:lang w:eastAsia="en-CA"/>
        </w:rPr>
      </w:pPr>
      <w:r w:rsidRPr="00C80B55">
        <w:rPr>
          <w:rFonts w:eastAsia="Times New Roman" w:cstheme="minorHAnsi"/>
          <w:u w:val="single"/>
          <w:lang w:eastAsia="en-CA"/>
        </w:rPr>
        <w:t>Please provide ideas and concepts on how a new facility would operate and how the funds needed to underwrite this fund would be established and maintained.</w:t>
      </w:r>
    </w:p>
    <w:p w14:paraId="5B0BE041" w14:textId="71A708D5" w:rsidR="000C501E" w:rsidRPr="00C80B55" w:rsidRDefault="000C501E" w:rsidP="000C501E">
      <w:pPr>
        <w:pStyle w:val="ListParagraph"/>
        <w:spacing w:before="100" w:beforeAutospacing="1" w:after="100" w:afterAutospacing="1" w:line="240" w:lineRule="auto"/>
        <w:ind w:left="1080"/>
        <w:rPr>
          <w:rFonts w:eastAsia="Times New Roman" w:cstheme="minorHAnsi"/>
          <w:u w:val="single"/>
          <w:lang w:eastAsia="en-CA"/>
        </w:rPr>
      </w:pPr>
    </w:p>
    <w:p w14:paraId="39798B8E" w14:textId="3833FB52" w:rsidR="000C501E" w:rsidRPr="00C80B55" w:rsidRDefault="000C501E" w:rsidP="00BE5C66">
      <w:pPr>
        <w:pStyle w:val="ListParagraph"/>
        <w:spacing w:before="100" w:beforeAutospacing="1" w:after="100" w:afterAutospacing="1" w:line="240" w:lineRule="auto"/>
        <w:ind w:left="1080"/>
        <w:jc w:val="both"/>
        <w:rPr>
          <w:rFonts w:eastAsia="Times New Roman" w:cstheme="minorHAnsi"/>
          <w:lang w:eastAsia="en-CA"/>
        </w:rPr>
      </w:pPr>
      <w:r w:rsidRPr="00C80B55">
        <w:rPr>
          <w:rFonts w:eastAsia="Times New Roman" w:cstheme="minorHAnsi"/>
          <w:lang w:eastAsia="en-CA"/>
        </w:rPr>
        <w:t xml:space="preserve">We will address this question in three parts, namely the sources of finance for loss and damage, access to </w:t>
      </w:r>
      <w:r w:rsidR="00BE5C66" w:rsidRPr="00C80B55">
        <w:rPr>
          <w:rFonts w:eastAsia="Times New Roman" w:cstheme="minorHAnsi"/>
          <w:lang w:eastAsia="en-CA"/>
        </w:rPr>
        <w:t>finance,</w:t>
      </w:r>
      <w:r w:rsidRPr="00C80B55">
        <w:rPr>
          <w:rFonts w:eastAsia="Times New Roman" w:cstheme="minorHAnsi"/>
          <w:lang w:eastAsia="en-CA"/>
        </w:rPr>
        <w:t xml:space="preserve"> and governance of such a facility. The need for such a facility emerges because the </w:t>
      </w:r>
      <w:r w:rsidRPr="00C80B55">
        <w:rPr>
          <w:rFonts w:eastAsia="Times New Roman" w:cstheme="minorHAnsi"/>
          <w:lang w:eastAsia="en-CA"/>
        </w:rPr>
        <w:t>five financial entities</w:t>
      </w:r>
      <w:r w:rsidRPr="00C80B55">
        <w:rPr>
          <w:rFonts w:eastAsia="Times New Roman" w:cstheme="minorHAnsi"/>
          <w:lang w:eastAsia="en-CA"/>
        </w:rPr>
        <w:t xml:space="preserve"> i.e the </w:t>
      </w:r>
      <w:r w:rsidRPr="00C80B55">
        <w:rPr>
          <w:rFonts w:eastAsia="Times New Roman" w:cstheme="minorHAnsi"/>
          <w:lang w:eastAsia="en-CA"/>
        </w:rPr>
        <w:t>G</w:t>
      </w:r>
      <w:r w:rsidRPr="00C80B55">
        <w:rPr>
          <w:rFonts w:eastAsia="Times New Roman" w:cstheme="minorHAnsi"/>
          <w:lang w:eastAsia="en-CA"/>
        </w:rPr>
        <w:t xml:space="preserve">lobal </w:t>
      </w:r>
      <w:r w:rsidRPr="00C80B55">
        <w:rPr>
          <w:rFonts w:eastAsia="Times New Roman" w:cstheme="minorHAnsi"/>
          <w:lang w:eastAsia="en-CA"/>
        </w:rPr>
        <w:t>E</w:t>
      </w:r>
      <w:r w:rsidRPr="00C80B55">
        <w:rPr>
          <w:rFonts w:eastAsia="Times New Roman" w:cstheme="minorHAnsi"/>
          <w:lang w:eastAsia="en-CA"/>
        </w:rPr>
        <w:t xml:space="preserve">nvironment </w:t>
      </w:r>
      <w:r w:rsidRPr="00C80B55">
        <w:rPr>
          <w:rFonts w:eastAsia="Times New Roman" w:cstheme="minorHAnsi"/>
          <w:lang w:eastAsia="en-CA"/>
        </w:rPr>
        <w:t>F</w:t>
      </w:r>
      <w:r w:rsidRPr="00C80B55">
        <w:rPr>
          <w:rFonts w:eastAsia="Times New Roman" w:cstheme="minorHAnsi"/>
          <w:lang w:eastAsia="en-CA"/>
        </w:rPr>
        <w:t>acility</w:t>
      </w:r>
      <w:r w:rsidRPr="00C80B55">
        <w:rPr>
          <w:rFonts w:eastAsia="Times New Roman" w:cstheme="minorHAnsi"/>
          <w:lang w:eastAsia="en-CA"/>
        </w:rPr>
        <w:t xml:space="preserve"> administered by </w:t>
      </w:r>
      <w:r w:rsidRPr="00C80B55">
        <w:rPr>
          <w:rFonts w:eastAsia="Times New Roman" w:cstheme="minorHAnsi"/>
          <w:lang w:eastAsia="en-CA"/>
        </w:rPr>
        <w:t xml:space="preserve">World Bank </w:t>
      </w:r>
      <w:r w:rsidR="00BE5C66" w:rsidRPr="00C80B55">
        <w:rPr>
          <w:rFonts w:eastAsia="Times New Roman" w:cstheme="minorHAnsi"/>
          <w:lang w:eastAsia="en-CA"/>
        </w:rPr>
        <w:t>focus</w:t>
      </w:r>
      <w:r w:rsidRPr="00C80B55">
        <w:rPr>
          <w:rFonts w:eastAsia="Times New Roman" w:cstheme="minorHAnsi"/>
          <w:lang w:eastAsia="en-CA"/>
        </w:rPr>
        <w:t xml:space="preserve"> on climate change impact, </w:t>
      </w:r>
      <w:r w:rsidR="00BE5C66" w:rsidRPr="00C80B55">
        <w:rPr>
          <w:rFonts w:eastAsia="Times New Roman" w:cstheme="minorHAnsi"/>
          <w:lang w:eastAsia="en-CA"/>
        </w:rPr>
        <w:t xml:space="preserve">and </w:t>
      </w:r>
      <w:r w:rsidRPr="00C80B55">
        <w:rPr>
          <w:rFonts w:eastAsia="Times New Roman" w:cstheme="minorHAnsi"/>
          <w:lang w:eastAsia="en-CA"/>
        </w:rPr>
        <w:t xml:space="preserve">the </w:t>
      </w:r>
      <w:r w:rsidRPr="00C80B55">
        <w:rPr>
          <w:rFonts w:eastAsia="Times New Roman" w:cstheme="minorHAnsi"/>
          <w:lang w:eastAsia="en-CA"/>
        </w:rPr>
        <w:t>Adaptation fun</w:t>
      </w:r>
      <w:r w:rsidRPr="00C80B55">
        <w:rPr>
          <w:rFonts w:eastAsia="Times New Roman" w:cstheme="minorHAnsi"/>
          <w:lang w:eastAsia="en-CA"/>
        </w:rPr>
        <w:t xml:space="preserve">d exclusively focuses on adaptation finance. The </w:t>
      </w:r>
      <w:r w:rsidRPr="00C80B55">
        <w:rPr>
          <w:rFonts w:eastAsia="Times New Roman" w:cstheme="minorHAnsi"/>
          <w:lang w:eastAsia="en-CA"/>
        </w:rPr>
        <w:t>Special climate change fund</w:t>
      </w:r>
      <w:r w:rsidR="00BE5C66" w:rsidRPr="00C80B55">
        <w:rPr>
          <w:rFonts w:eastAsia="Times New Roman" w:cstheme="minorHAnsi"/>
          <w:lang w:eastAsia="en-CA"/>
        </w:rPr>
        <w:t xml:space="preserve"> is used for special circumstances which even developing countries have access. The Lease Developed Countries Fund which only LDCs can access and the </w:t>
      </w:r>
      <w:r w:rsidRPr="00C80B55">
        <w:rPr>
          <w:rFonts w:eastAsia="Times New Roman" w:cstheme="minorHAnsi"/>
          <w:lang w:eastAsia="en-CA"/>
        </w:rPr>
        <w:t>green climate fund</w:t>
      </w:r>
      <w:r w:rsidR="00BE5C66" w:rsidRPr="00C80B55">
        <w:rPr>
          <w:rFonts w:eastAsia="Times New Roman" w:cstheme="minorHAnsi"/>
          <w:lang w:eastAsia="en-CA"/>
        </w:rPr>
        <w:t xml:space="preserve"> where </w:t>
      </w:r>
      <w:r w:rsidRPr="00C80B55">
        <w:rPr>
          <w:rFonts w:eastAsia="Times New Roman" w:cstheme="minorHAnsi"/>
          <w:lang w:eastAsia="en-CA"/>
        </w:rPr>
        <w:t>50%</w:t>
      </w:r>
      <w:r w:rsidR="00BE5C66" w:rsidRPr="00C80B55">
        <w:rPr>
          <w:rFonts w:eastAsia="Times New Roman" w:cstheme="minorHAnsi"/>
          <w:lang w:eastAsia="en-CA"/>
        </w:rPr>
        <w:t xml:space="preserve"> of the funding is to be used</w:t>
      </w:r>
      <w:r w:rsidRPr="00C80B55">
        <w:rPr>
          <w:rFonts w:eastAsia="Times New Roman" w:cstheme="minorHAnsi"/>
          <w:lang w:eastAsia="en-CA"/>
        </w:rPr>
        <w:t xml:space="preserve"> for adaptation</w:t>
      </w:r>
      <w:r w:rsidR="00BE5C66" w:rsidRPr="00C80B55">
        <w:rPr>
          <w:rFonts w:eastAsia="Times New Roman" w:cstheme="minorHAnsi"/>
          <w:lang w:eastAsia="en-CA"/>
        </w:rPr>
        <w:t xml:space="preserve"> and </w:t>
      </w:r>
      <w:r w:rsidRPr="00C80B55">
        <w:rPr>
          <w:rFonts w:eastAsia="Times New Roman" w:cstheme="minorHAnsi"/>
          <w:lang w:eastAsia="en-CA"/>
        </w:rPr>
        <w:t>50% for mitigation</w:t>
      </w:r>
      <w:r w:rsidR="00BE5C66" w:rsidRPr="00C80B55">
        <w:rPr>
          <w:rFonts w:eastAsia="Times New Roman" w:cstheme="minorHAnsi"/>
          <w:lang w:eastAsia="en-CA"/>
        </w:rPr>
        <w:t xml:space="preserve">. There are </w:t>
      </w:r>
      <w:r w:rsidRPr="00C80B55">
        <w:rPr>
          <w:rFonts w:eastAsia="Times New Roman" w:cstheme="minorHAnsi"/>
          <w:lang w:eastAsia="en-CA"/>
        </w:rPr>
        <w:t>limitation</w:t>
      </w:r>
      <w:r w:rsidR="00BE5C66" w:rsidRPr="00C80B55">
        <w:rPr>
          <w:rFonts w:eastAsia="Times New Roman" w:cstheme="minorHAnsi"/>
          <w:lang w:eastAsia="en-CA"/>
        </w:rPr>
        <w:t>s</w:t>
      </w:r>
      <w:r w:rsidRPr="00C80B55">
        <w:rPr>
          <w:rFonts w:eastAsia="Times New Roman" w:cstheme="minorHAnsi"/>
          <w:lang w:eastAsia="en-CA"/>
        </w:rPr>
        <w:t xml:space="preserve"> </w:t>
      </w:r>
      <w:r w:rsidR="00BE5C66" w:rsidRPr="00C80B55">
        <w:rPr>
          <w:rFonts w:eastAsia="Times New Roman" w:cstheme="minorHAnsi"/>
          <w:lang w:eastAsia="en-CA"/>
        </w:rPr>
        <w:t xml:space="preserve">in the </w:t>
      </w:r>
      <w:r w:rsidRPr="00C80B55">
        <w:rPr>
          <w:rFonts w:eastAsia="Times New Roman" w:cstheme="minorHAnsi"/>
          <w:lang w:eastAsia="en-CA"/>
        </w:rPr>
        <w:t xml:space="preserve">existing financial </w:t>
      </w:r>
      <w:r w:rsidR="00BE5C66" w:rsidRPr="00C80B55">
        <w:rPr>
          <w:rFonts w:eastAsia="Times New Roman" w:cstheme="minorHAnsi"/>
          <w:lang w:eastAsia="en-CA"/>
        </w:rPr>
        <w:t>entities to support the financial claims of loss and damage. It is due to this that a need</w:t>
      </w:r>
      <w:r w:rsidRPr="00C80B55">
        <w:rPr>
          <w:rFonts w:eastAsia="Times New Roman" w:cstheme="minorHAnsi"/>
          <w:lang w:eastAsia="en-CA"/>
        </w:rPr>
        <w:t xml:space="preserve"> for </w:t>
      </w:r>
      <w:r w:rsidR="00BE5C66" w:rsidRPr="00C80B55">
        <w:rPr>
          <w:rFonts w:eastAsia="Times New Roman" w:cstheme="minorHAnsi"/>
          <w:lang w:eastAsia="en-CA"/>
        </w:rPr>
        <w:t xml:space="preserve">a </w:t>
      </w:r>
      <w:r w:rsidRPr="00C80B55">
        <w:rPr>
          <w:rFonts w:eastAsia="Times New Roman" w:cstheme="minorHAnsi"/>
          <w:lang w:eastAsia="en-CA"/>
        </w:rPr>
        <w:t>new financial</w:t>
      </w:r>
      <w:r w:rsidR="00BE5C66" w:rsidRPr="00C80B55">
        <w:rPr>
          <w:rFonts w:eastAsia="Times New Roman" w:cstheme="minorHAnsi"/>
          <w:lang w:eastAsia="en-CA"/>
        </w:rPr>
        <w:t xml:space="preserve"> entity in the form of a facility has been identified.</w:t>
      </w:r>
      <w:r w:rsidRPr="00C80B55">
        <w:rPr>
          <w:rFonts w:eastAsia="Times New Roman" w:cstheme="minorHAnsi"/>
          <w:lang w:eastAsia="en-CA"/>
        </w:rPr>
        <w:t xml:space="preserve"> </w:t>
      </w:r>
      <w:r w:rsidR="00BE5C66" w:rsidRPr="00C80B55">
        <w:rPr>
          <w:rFonts w:eastAsia="Times New Roman" w:cstheme="minorHAnsi"/>
          <w:lang w:eastAsia="en-CA"/>
        </w:rPr>
        <w:t>Given this context we suggest the following:</w:t>
      </w:r>
    </w:p>
    <w:p w14:paraId="4FEC1C12" w14:textId="47E77D33" w:rsidR="005E661B" w:rsidRPr="00C80B55" w:rsidRDefault="00BE5C66" w:rsidP="00C80B55">
      <w:pPr>
        <w:pStyle w:val="ListParagraph"/>
        <w:numPr>
          <w:ilvl w:val="0"/>
          <w:numId w:val="12"/>
        </w:numPr>
        <w:spacing w:before="100" w:beforeAutospacing="1" w:after="100" w:afterAutospacing="1" w:line="240" w:lineRule="auto"/>
        <w:jc w:val="both"/>
        <w:rPr>
          <w:rFonts w:cstheme="minorHAnsi"/>
        </w:rPr>
      </w:pPr>
      <w:r w:rsidRPr="00C80B55">
        <w:rPr>
          <w:rFonts w:eastAsia="Times New Roman" w:cstheme="minorHAnsi"/>
          <w:b/>
          <w:bCs/>
          <w:lang w:eastAsia="en-CA"/>
        </w:rPr>
        <w:t>Source of Finance</w:t>
      </w:r>
      <w:r w:rsidR="005E661B" w:rsidRPr="00C80B55">
        <w:rPr>
          <w:rFonts w:eastAsia="Times New Roman" w:cstheme="minorHAnsi"/>
          <w:lang w:eastAsia="en-CA"/>
        </w:rPr>
        <w:t xml:space="preserve">: </w:t>
      </w:r>
      <w:r w:rsidR="005E661B" w:rsidRPr="00C80B55">
        <w:rPr>
          <w:rFonts w:cstheme="minorHAnsi"/>
        </w:rPr>
        <w:t>Loss and Damage Finance should harness finance from various</w:t>
      </w:r>
      <w:r w:rsidR="005E661B" w:rsidRPr="00C80B55">
        <w:rPr>
          <w:rFonts w:cstheme="minorHAnsi"/>
        </w:rPr>
        <w:t xml:space="preserve"> existing</w:t>
      </w:r>
      <w:r w:rsidR="005E661B" w:rsidRPr="00C80B55">
        <w:rPr>
          <w:rFonts w:cstheme="minorHAnsi"/>
        </w:rPr>
        <w:t xml:space="preserve"> sources </w:t>
      </w:r>
      <w:r w:rsidR="005E661B" w:rsidRPr="00C80B55">
        <w:rPr>
          <w:rFonts w:cstheme="minorHAnsi"/>
        </w:rPr>
        <w:t xml:space="preserve">as a financial window that can </w:t>
      </w:r>
      <w:r w:rsidR="005E661B" w:rsidRPr="00C80B55">
        <w:rPr>
          <w:rFonts w:cstheme="minorHAnsi"/>
        </w:rPr>
        <w:t>act as a global solidarity fund, bringing together a mosaic of</w:t>
      </w:r>
      <w:r w:rsidR="005E661B" w:rsidRPr="00C80B55">
        <w:rPr>
          <w:rFonts w:cstheme="minorHAnsi"/>
        </w:rPr>
        <w:t xml:space="preserve"> existing resources </w:t>
      </w:r>
      <w:r w:rsidR="005E661B" w:rsidRPr="00C80B55">
        <w:rPr>
          <w:rFonts w:cstheme="minorHAnsi"/>
        </w:rPr>
        <w:t xml:space="preserve">to ensure it effectively supports a comprehensive response to cope with climate impacts. </w:t>
      </w:r>
      <w:r w:rsidR="005E661B" w:rsidRPr="00C80B55">
        <w:rPr>
          <w:rFonts w:cstheme="minorHAnsi"/>
        </w:rPr>
        <w:t xml:space="preserve">This has to be accompanied </w:t>
      </w:r>
      <w:r w:rsidR="007937B8" w:rsidRPr="00C80B55">
        <w:rPr>
          <w:rFonts w:cstheme="minorHAnsi"/>
        </w:rPr>
        <w:t>by</w:t>
      </w:r>
      <w:r w:rsidR="005E661B" w:rsidRPr="00C80B55">
        <w:rPr>
          <w:rFonts w:cstheme="minorHAnsi"/>
        </w:rPr>
        <w:t xml:space="preserve"> the establishment of a </w:t>
      </w:r>
      <w:r w:rsidR="007937B8" w:rsidRPr="00C80B55">
        <w:rPr>
          <w:rFonts w:cstheme="minorHAnsi"/>
        </w:rPr>
        <w:t xml:space="preserve">new financial facility that exclusively funds loss and damage. </w:t>
      </w:r>
      <w:r w:rsidR="005E661B" w:rsidRPr="00C80B55">
        <w:rPr>
          <w:rFonts w:cstheme="minorHAnsi"/>
        </w:rPr>
        <w:t xml:space="preserve">The disbursement structure needs more research and </w:t>
      </w:r>
      <w:r w:rsidR="007937B8" w:rsidRPr="00C80B55">
        <w:rPr>
          <w:rFonts w:cstheme="minorHAnsi"/>
        </w:rPr>
        <w:t>consideration</w:t>
      </w:r>
      <w:r w:rsidR="005E661B" w:rsidRPr="00C80B55">
        <w:rPr>
          <w:rFonts w:cstheme="minorHAnsi"/>
        </w:rPr>
        <w:t xml:space="preserve">, based on existing gaps. A recent study (Mechler and Deubeli, 2021) </w:t>
      </w:r>
      <w:r w:rsidR="005E661B" w:rsidRPr="00C80B55">
        <w:rPr>
          <w:rStyle w:val="FootnoteReference"/>
          <w:rFonts w:cstheme="minorHAnsi"/>
        </w:rPr>
        <w:footnoteReference w:id="9"/>
      </w:r>
      <w:r w:rsidR="005E661B" w:rsidRPr="00C80B55">
        <w:rPr>
          <w:rFonts w:cstheme="minorHAnsi"/>
        </w:rPr>
        <w:t>on CRM suggests a risk-based three-tiered Loss and Damage finance framework: finance for transformation, risk finance, and curative finance. In addition, innovative mechanisms should complement the existing structure, some of which includes the levy on Air and Maritime Transport, carbon pricing etc.</w:t>
      </w:r>
      <w:r w:rsidR="005E661B" w:rsidRPr="00C80B55">
        <w:rPr>
          <w:rFonts w:cstheme="minorHAnsi"/>
        </w:rPr>
        <w:t xml:space="preserve"> </w:t>
      </w:r>
    </w:p>
    <w:p w14:paraId="2BCEE3E7" w14:textId="61F1899A" w:rsidR="000A354F" w:rsidRPr="00C80B55" w:rsidRDefault="00BE5C66" w:rsidP="00C80B55">
      <w:pPr>
        <w:pStyle w:val="ListParagraph"/>
        <w:numPr>
          <w:ilvl w:val="0"/>
          <w:numId w:val="12"/>
        </w:numPr>
        <w:spacing w:before="100" w:beforeAutospacing="1" w:after="100" w:afterAutospacing="1" w:line="240" w:lineRule="auto"/>
        <w:jc w:val="both"/>
        <w:rPr>
          <w:rFonts w:cstheme="minorHAnsi"/>
        </w:rPr>
      </w:pPr>
      <w:r w:rsidRPr="00C80B55">
        <w:rPr>
          <w:rFonts w:eastAsia="Times New Roman" w:cstheme="minorHAnsi"/>
          <w:b/>
          <w:bCs/>
          <w:lang w:eastAsia="en-CA"/>
        </w:rPr>
        <w:t>Access to Finance</w:t>
      </w:r>
      <w:r w:rsidR="005E661B" w:rsidRPr="00C80B55">
        <w:rPr>
          <w:rFonts w:eastAsia="Times New Roman" w:cstheme="minorHAnsi"/>
          <w:b/>
          <w:bCs/>
          <w:lang w:eastAsia="en-CA"/>
        </w:rPr>
        <w:t>:</w:t>
      </w:r>
      <w:r w:rsidR="005E661B" w:rsidRPr="00C80B55">
        <w:rPr>
          <w:rFonts w:cstheme="minorHAnsi"/>
        </w:rPr>
        <w:t xml:space="preserve"> </w:t>
      </w:r>
      <w:r w:rsidR="005E661B" w:rsidRPr="00C80B55">
        <w:rPr>
          <w:rFonts w:cstheme="minorHAnsi"/>
        </w:rPr>
        <w:t xml:space="preserve">Requirements that funding (whether from the financing facility directly or via national funds) be distributed to and in the control of communities enduring the greatest impacts of climate change. Hence a detailed mechanism needs to be designed, in consultation with the varying National and local governments, to cater to on the ground </w:t>
      </w:r>
      <w:r w:rsidR="005E661B" w:rsidRPr="00C80B55">
        <w:rPr>
          <w:rFonts w:cstheme="minorHAnsi"/>
        </w:rPr>
        <w:lastRenderedPageBreak/>
        <w:t xml:space="preserve">needs and ease of access of finance for set causes </w:t>
      </w:r>
      <w:r w:rsidR="005E661B" w:rsidRPr="00C80B55">
        <w:rPr>
          <w:rFonts w:cstheme="minorHAnsi"/>
        </w:rPr>
        <w:t>that</w:t>
      </w:r>
      <w:r w:rsidR="005E661B" w:rsidRPr="00C80B55">
        <w:rPr>
          <w:rFonts w:cstheme="minorHAnsi"/>
        </w:rPr>
        <w:t xml:space="preserve"> will enable communities to shift from vulnerability to resilience and then towards prosperity. </w:t>
      </w:r>
      <w:r w:rsidR="000A354F" w:rsidRPr="00C80B55">
        <w:rPr>
          <w:rFonts w:cstheme="minorHAnsi"/>
        </w:rPr>
        <w:t>A</w:t>
      </w:r>
      <w:r w:rsidR="005E661B" w:rsidRPr="00C80B55">
        <w:rPr>
          <w:rFonts w:cstheme="minorHAnsi"/>
        </w:rPr>
        <w:t>ccess to funding has to be made available with immediacy and there is a need for simple procedures to be able to obtain finance.</w:t>
      </w:r>
    </w:p>
    <w:p w14:paraId="3E542801" w14:textId="40E78915" w:rsidR="0037681A" w:rsidRPr="000A7C55" w:rsidRDefault="005E661B" w:rsidP="000A7C55">
      <w:pPr>
        <w:pStyle w:val="ListParagraph"/>
        <w:numPr>
          <w:ilvl w:val="0"/>
          <w:numId w:val="12"/>
        </w:numPr>
        <w:spacing w:before="100" w:beforeAutospacing="1" w:after="100" w:afterAutospacing="1" w:line="240" w:lineRule="auto"/>
        <w:jc w:val="both"/>
        <w:rPr>
          <w:rFonts w:cstheme="minorHAnsi"/>
        </w:rPr>
      </w:pPr>
      <w:r w:rsidRPr="00C80B55">
        <w:rPr>
          <w:rFonts w:cstheme="minorHAnsi"/>
          <w:b/>
          <w:bCs/>
        </w:rPr>
        <w:t>Governance of facility</w:t>
      </w:r>
      <w:r w:rsidRPr="00C80B55">
        <w:rPr>
          <w:rFonts w:cstheme="minorHAnsi"/>
        </w:rPr>
        <w:t xml:space="preserve">: </w:t>
      </w:r>
      <w:r w:rsidR="007937B8" w:rsidRPr="00C80B55">
        <w:rPr>
          <w:rFonts w:cstheme="minorHAnsi"/>
        </w:rPr>
        <w:t xml:space="preserve">The financial facility </w:t>
      </w:r>
      <w:r w:rsidR="007C2EA0" w:rsidRPr="00C80B55">
        <w:rPr>
          <w:rFonts w:cstheme="minorHAnsi"/>
        </w:rPr>
        <w:t xml:space="preserve">should include representation from vulnerable countries and communities to decide on the functioning of the facility. The governance should draw from the Warsaw Mechanism and the Santiago Network to be grounded in </w:t>
      </w:r>
      <w:r w:rsidR="000A354F" w:rsidRPr="00C80B55">
        <w:rPr>
          <w:rFonts w:cstheme="minorHAnsi"/>
        </w:rPr>
        <w:t>evidence-based research to decide on the priorities of funding. It can consist of a steering committee, an advisory board with representatives from vulnerable groups and an implementing arm both internationally and nationally drawing on the SNLD structure being discussed.</w:t>
      </w:r>
    </w:p>
    <w:p w14:paraId="459A0DE0" w14:textId="77777777" w:rsidR="0037681A" w:rsidRPr="00C80B55" w:rsidRDefault="0037681A" w:rsidP="00C80B55">
      <w:pPr>
        <w:pStyle w:val="ListParagraph"/>
        <w:spacing w:before="100" w:beforeAutospacing="1" w:after="100" w:afterAutospacing="1" w:line="240" w:lineRule="auto"/>
        <w:ind w:left="773"/>
        <w:jc w:val="both"/>
        <w:rPr>
          <w:rFonts w:cstheme="minorHAnsi"/>
          <w:b/>
          <w:bCs/>
        </w:rPr>
      </w:pPr>
    </w:p>
    <w:p w14:paraId="40E3A769" w14:textId="3635CB9B" w:rsidR="000A354F" w:rsidRPr="00C80B55" w:rsidRDefault="000A354F" w:rsidP="00C80B55">
      <w:pPr>
        <w:pStyle w:val="ListParagraph"/>
        <w:numPr>
          <w:ilvl w:val="0"/>
          <w:numId w:val="11"/>
        </w:numPr>
        <w:spacing w:before="100" w:beforeAutospacing="1" w:after="100" w:afterAutospacing="1" w:line="240" w:lineRule="auto"/>
        <w:jc w:val="both"/>
        <w:rPr>
          <w:rFonts w:eastAsia="Times New Roman" w:cstheme="minorHAnsi"/>
          <w:u w:val="single"/>
          <w:lang w:eastAsia="en-CA"/>
        </w:rPr>
      </w:pPr>
      <w:r w:rsidRPr="00C80B55">
        <w:rPr>
          <w:rFonts w:eastAsia="Times New Roman" w:cstheme="minorHAnsi"/>
          <w:u w:val="single"/>
          <w:lang w:eastAsia="en-CA"/>
        </w:rPr>
        <w:t>Please provide ideas and concepts on how a new financial facility for loss and damage could provide redress and remedies for individuals and communities in vulnerable situations who have suffered loss and damage due to the adverse impacts of climate change.</w:t>
      </w:r>
    </w:p>
    <w:p w14:paraId="48D0C523" w14:textId="0C27A2AA" w:rsidR="000A354F" w:rsidRPr="00C80B55" w:rsidRDefault="000A354F" w:rsidP="000A354F">
      <w:pPr>
        <w:pStyle w:val="ListParagraph"/>
        <w:spacing w:before="100" w:beforeAutospacing="1" w:after="100" w:afterAutospacing="1" w:line="240" w:lineRule="auto"/>
        <w:ind w:left="1080"/>
        <w:rPr>
          <w:rFonts w:eastAsia="Times New Roman" w:cstheme="minorHAnsi"/>
          <w:u w:val="single"/>
          <w:lang w:eastAsia="en-CA"/>
        </w:rPr>
      </w:pPr>
    </w:p>
    <w:p w14:paraId="7F3D4BB1" w14:textId="42131993" w:rsidR="00AB129E" w:rsidRPr="00C80B55" w:rsidRDefault="00AB129E" w:rsidP="0037681A">
      <w:pPr>
        <w:spacing w:before="100" w:beforeAutospacing="1" w:after="100" w:afterAutospacing="1" w:line="240" w:lineRule="auto"/>
        <w:ind w:left="1080"/>
        <w:jc w:val="both"/>
        <w:rPr>
          <w:rFonts w:eastAsia="Times New Roman" w:cstheme="minorHAnsi"/>
          <w:lang w:eastAsia="en-CA"/>
        </w:rPr>
      </w:pPr>
      <w:r w:rsidRPr="00C80B55">
        <w:rPr>
          <w:rFonts w:eastAsia="Times New Roman" w:cstheme="minorHAnsi"/>
          <w:lang w:eastAsia="en-CA"/>
        </w:rPr>
        <w:t>The Finance Facility will help cover the costs of loss and damage to low- and middle-income countries — for instance, the money needed to rebuild homes and hospitals or provide shelter, food</w:t>
      </w:r>
      <w:r w:rsidRPr="00C80B55">
        <w:rPr>
          <w:rFonts w:eastAsia="Times New Roman" w:cstheme="minorHAnsi"/>
          <w:lang w:eastAsia="en-CA"/>
        </w:rPr>
        <w:t>,</w:t>
      </w:r>
      <w:r w:rsidRPr="00C80B55">
        <w:rPr>
          <w:rFonts w:eastAsia="Times New Roman" w:cstheme="minorHAnsi"/>
          <w:lang w:eastAsia="en-CA"/>
        </w:rPr>
        <w:t xml:space="preserve"> and emergency cash transfers after a cyclone. This does not account for non-economic losses such as the loss of life, cultures</w:t>
      </w:r>
      <w:r w:rsidRPr="00C80B55">
        <w:rPr>
          <w:rFonts w:eastAsia="Times New Roman" w:cstheme="minorHAnsi"/>
          <w:lang w:eastAsia="en-CA"/>
        </w:rPr>
        <w:t>,</w:t>
      </w:r>
      <w:r w:rsidRPr="00C80B55">
        <w:rPr>
          <w:rFonts w:eastAsia="Times New Roman" w:cstheme="minorHAnsi"/>
          <w:lang w:eastAsia="en-CA"/>
        </w:rPr>
        <w:t xml:space="preserve"> ways of living, and biodiversity; however, it will help people readjust to newer ways of life and livelihood in the face of both rapid and slow onset events for sustainable living.</w:t>
      </w:r>
    </w:p>
    <w:p w14:paraId="71326AF4" w14:textId="0D0A3699" w:rsidR="00AB129E" w:rsidRPr="00C80B55" w:rsidRDefault="00AB129E" w:rsidP="00C80B55">
      <w:pPr>
        <w:numPr>
          <w:ilvl w:val="0"/>
          <w:numId w:val="1"/>
        </w:numPr>
        <w:tabs>
          <w:tab w:val="clear" w:pos="360"/>
          <w:tab w:val="num" w:pos="720"/>
        </w:tabs>
        <w:spacing w:before="100" w:beforeAutospacing="1" w:after="100" w:afterAutospacing="1" w:line="240" w:lineRule="auto"/>
        <w:ind w:left="720"/>
        <w:rPr>
          <w:rFonts w:eastAsia="Times New Roman" w:cstheme="minorHAnsi"/>
          <w:u w:val="single"/>
          <w:lang w:eastAsia="en-CA"/>
        </w:rPr>
      </w:pPr>
      <w:r w:rsidRPr="00C80B55">
        <w:rPr>
          <w:rFonts w:eastAsia="Times New Roman" w:cstheme="minorHAnsi"/>
          <w:u w:val="single"/>
          <w:lang w:eastAsia="en-CA"/>
        </w:rPr>
        <w:t>What actions are necessary to enhance actions by States, business enterprises, civil society and intergovernmental organisations to dramatically increase efforts to reduce emissions of greenhouse gases, including through support to developing countries, in particular small island developing States, least developed countries and landlocked developing States, to limit the human rights impacts on particularly individuals and communities in vulnerable situations to the adverse impacts of climate change?</w:t>
      </w:r>
    </w:p>
    <w:p w14:paraId="33E6D44A" w14:textId="396AF339" w:rsidR="00AB129E" w:rsidRPr="00C80B55" w:rsidRDefault="00AB129E" w:rsidP="00AB129E">
      <w:pPr>
        <w:pStyle w:val="ListParagraph"/>
        <w:spacing w:before="100" w:beforeAutospacing="1" w:after="100" w:afterAutospacing="1" w:line="240" w:lineRule="auto"/>
        <w:ind w:left="360"/>
        <w:jc w:val="both"/>
        <w:rPr>
          <w:rFonts w:eastAsia="Times New Roman" w:cstheme="minorHAnsi"/>
          <w:lang w:eastAsia="en-CA"/>
        </w:rPr>
      </w:pPr>
    </w:p>
    <w:p w14:paraId="4D3A39B3" w14:textId="702B6CB6" w:rsidR="00C80B55" w:rsidRPr="00C80B55" w:rsidRDefault="00C80B55" w:rsidP="00C80B55">
      <w:pPr>
        <w:pStyle w:val="ListParagraph"/>
        <w:numPr>
          <w:ilvl w:val="0"/>
          <w:numId w:val="15"/>
        </w:numPr>
        <w:jc w:val="both"/>
        <w:rPr>
          <w:rStyle w:val="hgkelc"/>
          <w:rFonts w:eastAsia="Times New Roman" w:cstheme="minorHAnsi"/>
          <w:lang w:eastAsia="en-CA"/>
        </w:rPr>
      </w:pPr>
      <w:r w:rsidRPr="00C80B55">
        <w:rPr>
          <w:rStyle w:val="hgkelc"/>
          <w:rFonts w:eastAsia="Times New Roman" w:cstheme="minorHAnsi"/>
          <w:lang w:eastAsia="en-CA"/>
        </w:rPr>
        <w:t xml:space="preserve">Incentivising energy transition and doing away with incentive structures that support the continuing dependence on fossil fuels. </w:t>
      </w:r>
    </w:p>
    <w:p w14:paraId="100B3E04" w14:textId="54708A5E" w:rsidR="00AB129E" w:rsidRPr="00C80B55" w:rsidRDefault="00AB129E" w:rsidP="00C80B55">
      <w:pPr>
        <w:pStyle w:val="ListParagraph"/>
        <w:numPr>
          <w:ilvl w:val="0"/>
          <w:numId w:val="15"/>
        </w:numPr>
        <w:jc w:val="both"/>
        <w:rPr>
          <w:rFonts w:eastAsia="Times New Roman" w:cstheme="minorHAnsi"/>
          <w:lang w:eastAsia="en-CA"/>
        </w:rPr>
      </w:pPr>
      <w:r w:rsidRPr="00C80B55">
        <w:rPr>
          <w:rStyle w:val="hgkelc"/>
          <w:rFonts w:cstheme="minorHAnsi"/>
          <w:lang w:val="en"/>
        </w:rPr>
        <w:t>Some</w:t>
      </w:r>
      <w:r w:rsidRPr="00C80B55">
        <w:rPr>
          <w:rFonts w:eastAsia="Times New Roman" w:cstheme="minorHAnsi"/>
          <w:lang w:eastAsia="en-CA"/>
        </w:rPr>
        <w:t xml:space="preserve"> ways in which national governments can confront climate change includes </w:t>
      </w:r>
      <w:r w:rsidR="0037681A">
        <w:rPr>
          <w:rFonts w:eastAsia="Times New Roman" w:cstheme="minorHAnsi"/>
          <w:lang w:eastAsia="en-CA"/>
        </w:rPr>
        <w:t>Protecting</w:t>
      </w:r>
      <w:r w:rsidRPr="00C80B55">
        <w:rPr>
          <w:rFonts w:eastAsia="Times New Roman" w:cstheme="minorHAnsi"/>
          <w:lang w:eastAsia="en-CA"/>
        </w:rPr>
        <w:t xml:space="preserve"> and </w:t>
      </w:r>
      <w:r w:rsidR="0037681A">
        <w:rPr>
          <w:rFonts w:eastAsia="Times New Roman" w:cstheme="minorHAnsi"/>
          <w:lang w:eastAsia="en-CA"/>
        </w:rPr>
        <w:t>restoring</w:t>
      </w:r>
      <w:r w:rsidRPr="00C80B55">
        <w:rPr>
          <w:rFonts w:eastAsia="Times New Roman" w:cstheme="minorHAnsi"/>
          <w:lang w:eastAsia="en-CA"/>
        </w:rPr>
        <w:t xml:space="preserve"> key ecosystems</w:t>
      </w:r>
      <w:r w:rsidR="0037681A">
        <w:rPr>
          <w:rFonts w:eastAsia="Times New Roman" w:cstheme="minorHAnsi"/>
          <w:lang w:eastAsia="en-CA"/>
        </w:rPr>
        <w:t>.</w:t>
      </w:r>
    </w:p>
    <w:p w14:paraId="1A56EC68" w14:textId="54F467B8" w:rsidR="00AB129E" w:rsidRPr="00C80B55" w:rsidRDefault="00C80B55" w:rsidP="00C80B55">
      <w:pPr>
        <w:pStyle w:val="ListParagraph"/>
        <w:numPr>
          <w:ilvl w:val="0"/>
          <w:numId w:val="15"/>
        </w:numPr>
        <w:jc w:val="both"/>
        <w:rPr>
          <w:rStyle w:val="hgkelc"/>
          <w:rFonts w:cstheme="minorHAnsi"/>
          <w:lang w:val="en"/>
        </w:rPr>
      </w:pPr>
      <w:r w:rsidRPr="00C80B55">
        <w:rPr>
          <w:rStyle w:val="hgkelc"/>
          <w:rFonts w:cstheme="minorHAnsi"/>
          <w:lang w:val="en"/>
        </w:rPr>
        <w:t>F</w:t>
      </w:r>
      <w:r w:rsidR="00AB129E" w:rsidRPr="00C80B55">
        <w:rPr>
          <w:rStyle w:val="hgkelc"/>
          <w:rFonts w:cstheme="minorHAnsi"/>
          <w:lang w:val="en"/>
        </w:rPr>
        <w:t>ocusing on curbing deforestation and boosting renewable energy sources. Several nations are experimenting with cap-and-trade plans: Regulators set mandatory limits on industrial emissions, but companies that exceed those "caps" can buy permits to emit from companies that have allowances to spare</w:t>
      </w:r>
      <w:r w:rsidRPr="00C80B55">
        <w:rPr>
          <w:rStyle w:val="hgkelc"/>
          <w:rFonts w:cstheme="minorHAnsi"/>
          <w:lang w:val="en"/>
        </w:rPr>
        <w:t>.</w:t>
      </w:r>
    </w:p>
    <w:p w14:paraId="3F3BE731" w14:textId="684CA8CA" w:rsidR="00C80B55" w:rsidRPr="00C80B55" w:rsidRDefault="00C80B55" w:rsidP="00C80B55">
      <w:pPr>
        <w:pStyle w:val="ListParagraph"/>
        <w:numPr>
          <w:ilvl w:val="0"/>
          <w:numId w:val="15"/>
        </w:numPr>
        <w:jc w:val="both"/>
        <w:rPr>
          <w:rStyle w:val="hgkelc"/>
          <w:rFonts w:cstheme="minorHAnsi"/>
          <w:lang w:val="en"/>
        </w:rPr>
      </w:pPr>
      <w:r w:rsidRPr="00C80B55">
        <w:rPr>
          <w:rStyle w:val="hgkelc"/>
          <w:rFonts w:cstheme="minorHAnsi"/>
          <w:lang w:val="en"/>
        </w:rPr>
        <w:t xml:space="preserve">To hold corporations accountable for their carbon emissions and commitment to reducing carbon emissions from their operations. </w:t>
      </w:r>
    </w:p>
    <w:p w14:paraId="5701B177" w14:textId="2992B6EF" w:rsidR="00AB129E" w:rsidRPr="00C80B55" w:rsidRDefault="00AB129E" w:rsidP="00AB129E">
      <w:pPr>
        <w:pStyle w:val="ListParagraph"/>
        <w:spacing w:before="100" w:beforeAutospacing="1" w:after="100" w:afterAutospacing="1" w:line="240" w:lineRule="auto"/>
        <w:ind w:left="360"/>
        <w:jc w:val="both"/>
        <w:rPr>
          <w:rFonts w:eastAsia="Times New Roman" w:cstheme="minorHAnsi"/>
          <w:lang w:eastAsia="en-CA"/>
        </w:rPr>
      </w:pPr>
    </w:p>
    <w:p w14:paraId="7C80BB53" w14:textId="219FC5DA" w:rsidR="00AB129E" w:rsidRPr="00C80B55" w:rsidRDefault="00AB129E" w:rsidP="00AB129E">
      <w:pPr>
        <w:pStyle w:val="ListParagraph"/>
        <w:numPr>
          <w:ilvl w:val="0"/>
          <w:numId w:val="1"/>
        </w:numPr>
        <w:spacing w:before="100" w:beforeAutospacing="1" w:after="100" w:afterAutospacing="1" w:line="240" w:lineRule="auto"/>
        <w:jc w:val="both"/>
        <w:rPr>
          <w:rFonts w:eastAsia="Times New Roman" w:cstheme="minorHAnsi"/>
          <w:lang w:eastAsia="en-CA"/>
        </w:rPr>
      </w:pPr>
      <w:r w:rsidRPr="00C80B55">
        <w:rPr>
          <w:rFonts w:eastAsia="Times New Roman" w:cstheme="minorHAnsi"/>
          <w:u w:val="single"/>
          <w:lang w:eastAsia="en-CA"/>
        </w:rPr>
        <w:t>What actions are necessary to enhance actions by States, business enterprises, civil society and intergovernmental organisation to increase efforts to ensure that actions to adapt to the impacts of climate change contribute to reducing, and not exacerbating, the vulnerabilities of individuals and communities in vulnerable situations to the adverse impacts of climate change?</w:t>
      </w:r>
    </w:p>
    <w:p w14:paraId="03B17F7F" w14:textId="5ABFA269" w:rsidR="000A354F" w:rsidRPr="00C80B55" w:rsidRDefault="000A354F" w:rsidP="00AB129E">
      <w:pPr>
        <w:pStyle w:val="ListParagraph"/>
        <w:spacing w:before="100" w:beforeAutospacing="1" w:after="100" w:afterAutospacing="1" w:line="240" w:lineRule="auto"/>
        <w:ind w:left="1080"/>
        <w:rPr>
          <w:rFonts w:eastAsia="Times New Roman" w:cstheme="minorHAnsi"/>
          <w:lang w:eastAsia="en-CA"/>
        </w:rPr>
      </w:pPr>
    </w:p>
    <w:p w14:paraId="603A28D8" w14:textId="14CE738A" w:rsidR="00AB129E" w:rsidRPr="00C80B55" w:rsidRDefault="00AB129E" w:rsidP="00C80B55">
      <w:pPr>
        <w:pStyle w:val="ListParagraph"/>
        <w:numPr>
          <w:ilvl w:val="0"/>
          <w:numId w:val="16"/>
        </w:numPr>
        <w:spacing w:before="100" w:beforeAutospacing="1" w:after="100" w:afterAutospacing="1" w:line="240" w:lineRule="auto"/>
        <w:jc w:val="both"/>
        <w:rPr>
          <w:rFonts w:eastAsia="Times New Roman" w:cstheme="minorHAnsi"/>
          <w:lang w:eastAsia="en-CA"/>
        </w:rPr>
      </w:pPr>
      <w:r w:rsidRPr="00C80B55">
        <w:rPr>
          <w:rFonts w:eastAsia="Times New Roman" w:cstheme="minorHAnsi"/>
          <w:lang w:eastAsia="en-CA"/>
        </w:rPr>
        <w:t xml:space="preserve">Adaptation strategies can benefit from a combination of traditional knowledge with innovative approaches to address evolving challenges. Priority should be given to building </w:t>
      </w:r>
      <w:r w:rsidR="0037681A">
        <w:rPr>
          <w:rFonts w:eastAsia="Times New Roman" w:cstheme="minorHAnsi"/>
          <w:lang w:eastAsia="en-CA"/>
        </w:rPr>
        <w:t xml:space="preserve">the </w:t>
      </w:r>
      <w:r w:rsidRPr="00C80B55">
        <w:rPr>
          <w:rFonts w:eastAsia="Times New Roman" w:cstheme="minorHAnsi"/>
          <w:lang w:eastAsia="en-CA"/>
        </w:rPr>
        <w:t>resilience of livelihoods, protecting people and assets from climate hazards such as droughts, floods</w:t>
      </w:r>
      <w:r w:rsidR="0037681A">
        <w:rPr>
          <w:rFonts w:eastAsia="Times New Roman" w:cstheme="minorHAnsi"/>
          <w:lang w:eastAsia="en-CA"/>
        </w:rPr>
        <w:t>,</w:t>
      </w:r>
      <w:r w:rsidRPr="00C80B55">
        <w:rPr>
          <w:rFonts w:eastAsia="Times New Roman" w:cstheme="minorHAnsi"/>
          <w:lang w:eastAsia="en-CA"/>
        </w:rPr>
        <w:t xml:space="preserve"> and cyclones, and engaging and building </w:t>
      </w:r>
      <w:r w:rsidR="0037681A">
        <w:rPr>
          <w:rFonts w:eastAsia="Times New Roman" w:cstheme="minorHAnsi"/>
          <w:lang w:eastAsia="en-CA"/>
        </w:rPr>
        <w:t xml:space="preserve">the </w:t>
      </w:r>
      <w:r w:rsidRPr="00C80B55">
        <w:rPr>
          <w:rFonts w:eastAsia="Times New Roman" w:cstheme="minorHAnsi"/>
          <w:lang w:eastAsia="en-CA"/>
        </w:rPr>
        <w:t xml:space="preserve">capacity of local institutions to support people in adapting. </w:t>
      </w:r>
    </w:p>
    <w:p w14:paraId="323DCB53" w14:textId="77777777" w:rsidR="00AB129E" w:rsidRPr="00C80B55" w:rsidRDefault="00AB129E" w:rsidP="00C80B55">
      <w:pPr>
        <w:pStyle w:val="ListParagraph"/>
        <w:numPr>
          <w:ilvl w:val="0"/>
          <w:numId w:val="16"/>
        </w:numPr>
        <w:spacing w:before="100" w:beforeAutospacing="1" w:after="100" w:afterAutospacing="1" w:line="240" w:lineRule="auto"/>
        <w:jc w:val="both"/>
        <w:rPr>
          <w:rFonts w:eastAsia="Times New Roman" w:cstheme="minorHAnsi"/>
          <w:lang w:eastAsia="en-CA"/>
        </w:rPr>
      </w:pPr>
      <w:r w:rsidRPr="00C80B55">
        <w:rPr>
          <w:rFonts w:eastAsia="Times New Roman" w:cstheme="minorHAnsi"/>
          <w:lang w:eastAsia="en-CA"/>
        </w:rPr>
        <w:t xml:space="preserve">Planning and implementation of adaptation measures must be integrated into existing development plans and processes. Adaptation strategies in agriculture, for example, have to be defined taking into account the differences between the agribusiness sector and family farmers. </w:t>
      </w:r>
    </w:p>
    <w:p w14:paraId="07ADF55D" w14:textId="352F816C" w:rsidR="00AB129E" w:rsidRPr="00C80B55" w:rsidRDefault="00AB129E" w:rsidP="00C80B55">
      <w:pPr>
        <w:pStyle w:val="ListParagraph"/>
        <w:numPr>
          <w:ilvl w:val="0"/>
          <w:numId w:val="16"/>
        </w:numPr>
        <w:spacing w:before="100" w:beforeAutospacing="1" w:after="100" w:afterAutospacing="1" w:line="240" w:lineRule="auto"/>
        <w:jc w:val="both"/>
        <w:rPr>
          <w:rFonts w:eastAsia="Times New Roman" w:cstheme="minorHAnsi"/>
          <w:lang w:eastAsia="en-CA"/>
        </w:rPr>
      </w:pPr>
      <w:r w:rsidRPr="00C80B55">
        <w:rPr>
          <w:rFonts w:eastAsia="Times New Roman" w:cstheme="minorHAnsi"/>
          <w:lang w:eastAsia="en-CA"/>
        </w:rPr>
        <w:t xml:space="preserve">National strategies must outline key social and ecological vulnerabilities, climate projections, and basic adaptation needs. Financial mechanisms should be defined in advance, as a guarantee of implementation. All relevant sectors inside governments must be engaged in </w:t>
      </w:r>
      <w:r w:rsidR="0037681A">
        <w:rPr>
          <w:rFonts w:eastAsia="Times New Roman" w:cstheme="minorHAnsi"/>
          <w:lang w:eastAsia="en-CA"/>
        </w:rPr>
        <w:t>decision-making</w:t>
      </w:r>
      <w:r w:rsidRPr="00C80B55">
        <w:rPr>
          <w:rFonts w:eastAsia="Times New Roman" w:cstheme="minorHAnsi"/>
          <w:lang w:eastAsia="en-CA"/>
        </w:rPr>
        <w:t xml:space="preserve">. </w:t>
      </w:r>
    </w:p>
    <w:p w14:paraId="37AAABD4" w14:textId="6AFDC14E" w:rsidR="00AB129E" w:rsidRPr="00C80B55" w:rsidRDefault="00AB129E" w:rsidP="00C80B55">
      <w:pPr>
        <w:pStyle w:val="ListParagraph"/>
        <w:numPr>
          <w:ilvl w:val="0"/>
          <w:numId w:val="16"/>
        </w:numPr>
        <w:spacing w:before="100" w:beforeAutospacing="1" w:after="100" w:afterAutospacing="1" w:line="240" w:lineRule="auto"/>
        <w:jc w:val="both"/>
        <w:rPr>
          <w:rFonts w:eastAsia="Times New Roman" w:cstheme="minorHAnsi"/>
          <w:lang w:eastAsia="en-CA"/>
        </w:rPr>
      </w:pPr>
      <w:r w:rsidRPr="00C80B55">
        <w:rPr>
          <w:rFonts w:eastAsia="Times New Roman" w:cstheme="minorHAnsi"/>
          <w:lang w:eastAsia="en-CA"/>
        </w:rPr>
        <w:t xml:space="preserve">The most effective way to ensure that adaptation funds help the most vulnerable people is through community-based and </w:t>
      </w:r>
      <w:r w:rsidR="0037681A" w:rsidRPr="00C80B55">
        <w:rPr>
          <w:rFonts w:eastAsia="Times New Roman" w:cstheme="minorHAnsi"/>
          <w:lang w:eastAsia="en-CA"/>
        </w:rPr>
        <w:t>locally led</w:t>
      </w:r>
      <w:r w:rsidRPr="00C80B55">
        <w:rPr>
          <w:rFonts w:eastAsia="Times New Roman" w:cstheme="minorHAnsi"/>
          <w:lang w:eastAsia="en-CA"/>
        </w:rPr>
        <w:t xml:space="preserve"> adaptation. Mechanisms to support community-based adaptation as part of an integrated and comprehensive approach to adaptation should be encouraged, enabling governments to avoid </w:t>
      </w:r>
      <w:r w:rsidR="0037681A">
        <w:rPr>
          <w:rFonts w:eastAsia="Times New Roman" w:cstheme="minorHAnsi"/>
          <w:lang w:eastAsia="en-CA"/>
        </w:rPr>
        <w:t>top-down</w:t>
      </w:r>
      <w:r w:rsidRPr="00C80B55">
        <w:rPr>
          <w:rFonts w:eastAsia="Times New Roman" w:cstheme="minorHAnsi"/>
          <w:lang w:eastAsia="en-CA"/>
        </w:rPr>
        <w:t xml:space="preserve"> design that fails to address the needs and concerns of the most vulnerable people. </w:t>
      </w:r>
    </w:p>
    <w:p w14:paraId="5C5F2C49" w14:textId="77777777" w:rsidR="000A354F" w:rsidRPr="00C80B55" w:rsidRDefault="000A354F" w:rsidP="00AB129E">
      <w:pPr>
        <w:spacing w:before="100" w:beforeAutospacing="1" w:after="100" w:afterAutospacing="1" w:line="240" w:lineRule="auto"/>
        <w:rPr>
          <w:rFonts w:cstheme="minorHAnsi"/>
        </w:rPr>
      </w:pPr>
    </w:p>
    <w:p w14:paraId="3AE29342" w14:textId="0090471F" w:rsidR="00AE5198" w:rsidRPr="00C80B55" w:rsidRDefault="00AE5198" w:rsidP="00B3531B">
      <w:pPr>
        <w:spacing w:before="100" w:beforeAutospacing="1" w:after="100" w:afterAutospacing="1" w:line="240" w:lineRule="auto"/>
        <w:ind w:left="360"/>
        <w:jc w:val="both"/>
        <w:rPr>
          <w:rFonts w:eastAsia="Times New Roman" w:cstheme="minorHAnsi"/>
          <w:lang w:eastAsia="en-CA"/>
        </w:rPr>
      </w:pPr>
    </w:p>
    <w:p w14:paraId="22B1B848" w14:textId="77777777" w:rsidR="001B4C7C" w:rsidRPr="00C80B55" w:rsidRDefault="001B4C7C" w:rsidP="0047002C">
      <w:pPr>
        <w:jc w:val="both"/>
        <w:rPr>
          <w:rFonts w:cstheme="minorHAnsi"/>
        </w:rPr>
      </w:pPr>
    </w:p>
    <w:sectPr w:rsidR="001B4C7C" w:rsidRPr="00C80B5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4831" w14:textId="77777777" w:rsidR="007B42AC" w:rsidRDefault="007B42AC" w:rsidP="005E661B">
      <w:pPr>
        <w:spacing w:after="0" w:line="240" w:lineRule="auto"/>
      </w:pPr>
      <w:r>
        <w:separator/>
      </w:r>
    </w:p>
  </w:endnote>
  <w:endnote w:type="continuationSeparator" w:id="0">
    <w:p w14:paraId="62919937" w14:textId="77777777" w:rsidR="007B42AC" w:rsidRDefault="007B42AC" w:rsidP="005E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715669"/>
      <w:docPartObj>
        <w:docPartGallery w:val="Page Numbers (Bottom of Page)"/>
        <w:docPartUnique/>
      </w:docPartObj>
    </w:sdtPr>
    <w:sdtEndPr>
      <w:rPr>
        <w:noProof/>
      </w:rPr>
    </w:sdtEndPr>
    <w:sdtContent>
      <w:p w14:paraId="4A02C480" w14:textId="0FF8A86A" w:rsidR="008C6EFF" w:rsidRDefault="008C6E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E90BA" w14:textId="77777777" w:rsidR="008C6EFF" w:rsidRDefault="008C6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FA8D" w14:textId="77777777" w:rsidR="007B42AC" w:rsidRDefault="007B42AC" w:rsidP="005E661B">
      <w:pPr>
        <w:spacing w:after="0" w:line="240" w:lineRule="auto"/>
      </w:pPr>
      <w:r>
        <w:separator/>
      </w:r>
    </w:p>
  </w:footnote>
  <w:footnote w:type="continuationSeparator" w:id="0">
    <w:p w14:paraId="40F8521C" w14:textId="77777777" w:rsidR="007B42AC" w:rsidRDefault="007B42AC" w:rsidP="005E661B">
      <w:pPr>
        <w:spacing w:after="0" w:line="240" w:lineRule="auto"/>
      </w:pPr>
      <w:r>
        <w:continuationSeparator/>
      </w:r>
    </w:p>
  </w:footnote>
  <w:footnote w:id="1">
    <w:p w14:paraId="5EE2730E" w14:textId="750BFACC" w:rsidR="00C80B55" w:rsidRPr="00223937" w:rsidRDefault="00C80B55" w:rsidP="008208AF">
      <w:pPr>
        <w:rPr>
          <w:rFonts w:cstheme="minorHAnsi"/>
          <w:sz w:val="18"/>
          <w:szCs w:val="18"/>
        </w:rPr>
      </w:pPr>
      <w:r w:rsidRPr="00223937">
        <w:rPr>
          <w:rStyle w:val="FootnoteReference"/>
          <w:sz w:val="18"/>
          <w:szCs w:val="18"/>
        </w:rPr>
        <w:footnoteRef/>
      </w:r>
      <w:r w:rsidRPr="00223937">
        <w:rPr>
          <w:sz w:val="18"/>
          <w:szCs w:val="18"/>
        </w:rPr>
        <w:t xml:space="preserve"> </w:t>
      </w:r>
      <w:r w:rsidR="008208AF" w:rsidRPr="00223937">
        <w:rPr>
          <w:rStyle w:val="markedcontent"/>
          <w:rFonts w:cstheme="minorHAnsi"/>
          <w:sz w:val="18"/>
          <w:szCs w:val="18"/>
        </w:rPr>
        <w:t>Shaikh Eskander, Paul Steele, Mamunur Rashid, Nuzhat Imam</w:t>
      </w:r>
      <w:r w:rsidR="008208AF" w:rsidRPr="00223937">
        <w:rPr>
          <w:rFonts w:cstheme="minorHAnsi"/>
          <w:sz w:val="18"/>
          <w:szCs w:val="18"/>
        </w:rPr>
        <w:t xml:space="preserve"> </w:t>
      </w:r>
      <w:r w:rsidR="008208AF" w:rsidRPr="00223937">
        <w:rPr>
          <w:rStyle w:val="markedcontent"/>
          <w:rFonts w:cstheme="minorHAnsi"/>
          <w:sz w:val="18"/>
          <w:szCs w:val="18"/>
        </w:rPr>
        <w:t xml:space="preserve">and Sirazoom Munira (2022) </w:t>
      </w:r>
      <w:r w:rsidR="008208AF" w:rsidRPr="00223937">
        <w:rPr>
          <w:rStyle w:val="markedcontent"/>
          <w:rFonts w:cstheme="minorHAnsi"/>
          <w:i/>
          <w:iCs/>
          <w:sz w:val="18"/>
          <w:szCs w:val="18"/>
        </w:rPr>
        <w:t>Still bearing the burden: how poor</w:t>
      </w:r>
      <w:r w:rsidR="008208AF" w:rsidRPr="00223937">
        <w:rPr>
          <w:rFonts w:cstheme="minorHAnsi"/>
          <w:i/>
          <w:iCs/>
          <w:sz w:val="18"/>
          <w:szCs w:val="18"/>
        </w:rPr>
        <w:t xml:space="preserve"> </w:t>
      </w:r>
      <w:r w:rsidR="008208AF" w:rsidRPr="00223937">
        <w:rPr>
          <w:rStyle w:val="markedcontent"/>
          <w:rFonts w:cstheme="minorHAnsi"/>
          <w:i/>
          <w:iCs/>
          <w:sz w:val="18"/>
          <w:szCs w:val="18"/>
        </w:rPr>
        <w:t>rural women in Bangladesh are paying most for climate risks.</w:t>
      </w:r>
      <w:r w:rsidR="008208AF" w:rsidRPr="00223937">
        <w:rPr>
          <w:rFonts w:cstheme="minorHAnsi"/>
          <w:sz w:val="18"/>
          <w:szCs w:val="18"/>
        </w:rPr>
        <w:t xml:space="preserve"> </w:t>
      </w:r>
      <w:r w:rsidR="008208AF" w:rsidRPr="00223937">
        <w:rPr>
          <w:rStyle w:val="markedcontent"/>
          <w:rFonts w:cstheme="minorHAnsi"/>
          <w:sz w:val="18"/>
          <w:szCs w:val="18"/>
        </w:rPr>
        <w:t>IIED Working Paper, IIED, London</w:t>
      </w:r>
    </w:p>
  </w:footnote>
  <w:footnote w:id="2">
    <w:p w14:paraId="14086D9A" w14:textId="77777777" w:rsidR="00223937" w:rsidRPr="00223937" w:rsidRDefault="00C80B55" w:rsidP="00223937">
      <w:pPr>
        <w:rPr>
          <w:rFonts w:cstheme="minorHAnsi"/>
          <w:sz w:val="18"/>
          <w:szCs w:val="18"/>
        </w:rPr>
      </w:pPr>
      <w:r w:rsidRPr="00223937">
        <w:rPr>
          <w:rStyle w:val="FootnoteReference"/>
          <w:sz w:val="18"/>
          <w:szCs w:val="18"/>
        </w:rPr>
        <w:footnoteRef/>
      </w:r>
      <w:r w:rsidRPr="00223937">
        <w:rPr>
          <w:sz w:val="18"/>
          <w:szCs w:val="18"/>
        </w:rPr>
        <w:t xml:space="preserve"> </w:t>
      </w:r>
      <w:r w:rsidR="00223937" w:rsidRPr="00223937">
        <w:rPr>
          <w:sz w:val="18"/>
          <w:szCs w:val="18"/>
        </w:rPr>
        <w:t xml:space="preserve">Rabbani, Golam, et al. “Climate Change and Sea Level Rise: Issues and Challenges for Coastal Communities in the Indian Ocean Region.” </w:t>
      </w:r>
      <w:r w:rsidR="00223937" w:rsidRPr="00223937">
        <w:rPr>
          <w:i/>
          <w:iCs/>
          <w:sz w:val="18"/>
          <w:szCs w:val="18"/>
        </w:rPr>
        <w:t>Coastal Zones and Climate Change</w:t>
      </w:r>
      <w:r w:rsidR="00223937" w:rsidRPr="00223937">
        <w:rPr>
          <w:sz w:val="18"/>
          <w:szCs w:val="18"/>
        </w:rPr>
        <w:t xml:space="preserve">, edited by David Michel and Amit Pandya, Stimson Center, 2010, pp. 17–30. </w:t>
      </w:r>
      <w:r w:rsidR="00223937" w:rsidRPr="00223937">
        <w:rPr>
          <w:i/>
          <w:iCs/>
          <w:sz w:val="18"/>
          <w:szCs w:val="18"/>
        </w:rPr>
        <w:t>JSTOR</w:t>
      </w:r>
      <w:r w:rsidR="00223937" w:rsidRPr="00223937">
        <w:rPr>
          <w:sz w:val="18"/>
          <w:szCs w:val="18"/>
        </w:rPr>
        <w:t>, http://www.jstor.org/stable/resrep10902.8.</w:t>
      </w:r>
    </w:p>
    <w:p w14:paraId="674443E8" w14:textId="2261710F" w:rsidR="00C80B55" w:rsidRPr="00223937" w:rsidRDefault="00C80B55">
      <w:pPr>
        <w:pStyle w:val="FootnoteText"/>
        <w:rPr>
          <w:sz w:val="18"/>
          <w:szCs w:val="18"/>
          <w:lang w:val="en-IN"/>
        </w:rPr>
      </w:pPr>
    </w:p>
  </w:footnote>
  <w:footnote w:id="3">
    <w:p w14:paraId="326DABAC" w14:textId="77777777" w:rsidR="00223937" w:rsidRPr="00E851BF" w:rsidRDefault="00C80B55" w:rsidP="00223937">
      <w:pPr>
        <w:rPr>
          <w:rFonts w:cstheme="minorHAnsi"/>
          <w:sz w:val="10"/>
          <w:szCs w:val="10"/>
        </w:rPr>
      </w:pPr>
      <w:r>
        <w:rPr>
          <w:rStyle w:val="FootnoteReference"/>
        </w:rPr>
        <w:footnoteRef/>
      </w:r>
      <w:r>
        <w:t xml:space="preserve"> </w:t>
      </w:r>
      <w:r w:rsidR="00223937" w:rsidRPr="00E851BF">
        <w:rPr>
          <w:rStyle w:val="markedcontent"/>
          <w:rFonts w:cstheme="minorHAnsi"/>
          <w:sz w:val="18"/>
          <w:szCs w:val="18"/>
        </w:rPr>
        <w:t>Bharadwaj, R and Shakya, C (eds) (2021) Loss and damage case studies from the frontline: a resource to support</w:t>
      </w:r>
      <w:r w:rsidR="00223937" w:rsidRPr="00E851BF">
        <w:rPr>
          <w:rFonts w:cstheme="minorHAnsi"/>
          <w:sz w:val="14"/>
          <w:szCs w:val="14"/>
        </w:rPr>
        <w:br/>
      </w:r>
      <w:r w:rsidR="00223937" w:rsidRPr="00E851BF">
        <w:rPr>
          <w:rStyle w:val="markedcontent"/>
          <w:rFonts w:cstheme="minorHAnsi"/>
          <w:sz w:val="18"/>
          <w:szCs w:val="18"/>
        </w:rPr>
        <w:t>practice and policy. IIED, London.</w:t>
      </w:r>
      <w:r w:rsidR="00223937">
        <w:rPr>
          <w:rStyle w:val="markedcontent"/>
          <w:rFonts w:cstheme="minorHAnsi"/>
          <w:sz w:val="18"/>
          <w:szCs w:val="18"/>
        </w:rPr>
        <w:t>:</w:t>
      </w:r>
      <w:r w:rsidR="00223937" w:rsidRPr="00E851BF">
        <w:rPr>
          <w:rStyle w:val="markedcontent"/>
          <w:rFonts w:cstheme="minorHAnsi"/>
          <w:sz w:val="18"/>
          <w:szCs w:val="18"/>
        </w:rPr>
        <w:t>//pubs.iied.org/20551iied</w:t>
      </w:r>
    </w:p>
    <w:p w14:paraId="63871259" w14:textId="345FC2FF" w:rsidR="00C80B55" w:rsidRPr="00C80B55" w:rsidRDefault="00C80B55">
      <w:pPr>
        <w:pStyle w:val="FootnoteText"/>
        <w:rPr>
          <w:lang w:val="en-IN"/>
        </w:rPr>
      </w:pPr>
    </w:p>
  </w:footnote>
  <w:footnote w:id="4">
    <w:p w14:paraId="395AE607" w14:textId="4B606138" w:rsidR="008208AF" w:rsidRPr="00223937" w:rsidRDefault="008208AF">
      <w:pPr>
        <w:pStyle w:val="FootnoteText"/>
        <w:rPr>
          <w:sz w:val="18"/>
          <w:szCs w:val="18"/>
          <w:lang w:val="en-IN"/>
        </w:rPr>
      </w:pPr>
      <w:r>
        <w:rPr>
          <w:rStyle w:val="FootnoteReference"/>
        </w:rPr>
        <w:footnoteRef/>
      </w:r>
      <w:r>
        <w:t xml:space="preserve"> </w:t>
      </w:r>
      <w:r w:rsidR="00223937" w:rsidRPr="00223937">
        <w:rPr>
          <w:sz w:val="18"/>
          <w:szCs w:val="18"/>
        </w:rPr>
        <w:t xml:space="preserve">Transparency International’s Climate Governance Integrity Programme, et al. “PILOTING THE APPROACH — BANGLADESH.” </w:t>
      </w:r>
      <w:r w:rsidR="00223937" w:rsidRPr="00223937">
        <w:rPr>
          <w:i/>
          <w:iCs/>
          <w:sz w:val="18"/>
          <w:szCs w:val="18"/>
        </w:rPr>
        <w:t>CLIMATE ADAPTATION FINANCE GOVERNANCE STANDARDS: A New Approach Piloted in the Maldives and Bangladesh</w:t>
      </w:r>
      <w:r w:rsidR="00223937" w:rsidRPr="00223937">
        <w:rPr>
          <w:sz w:val="18"/>
          <w:szCs w:val="18"/>
        </w:rPr>
        <w:t>, Transparency International, 2018, pp. 22–30</w:t>
      </w:r>
    </w:p>
  </w:footnote>
  <w:footnote w:id="5">
    <w:p w14:paraId="1E7B30BB" w14:textId="553F5DA1" w:rsidR="00C80B55" w:rsidRPr="00E93D9E" w:rsidRDefault="00C80B55" w:rsidP="00E93D9E">
      <w:pPr>
        <w:rPr>
          <w:sz w:val="18"/>
          <w:szCs w:val="18"/>
        </w:rPr>
      </w:pPr>
      <w:r>
        <w:rPr>
          <w:rStyle w:val="FootnoteReference"/>
        </w:rPr>
        <w:footnoteRef/>
      </w:r>
      <w:r>
        <w:t xml:space="preserve"> </w:t>
      </w:r>
      <w:r w:rsidR="00E93D9E" w:rsidRPr="00E93D9E">
        <w:rPr>
          <w:rStyle w:val="authors"/>
          <w:sz w:val="18"/>
          <w:szCs w:val="18"/>
        </w:rPr>
        <w:t>Patrick Toussaint &amp; Adrian Martínez Blanco</w:t>
      </w:r>
      <w:r w:rsidR="00E93D9E" w:rsidRPr="00E93D9E">
        <w:rPr>
          <w:sz w:val="18"/>
          <w:szCs w:val="18"/>
        </w:rPr>
        <w:t xml:space="preserve"> </w:t>
      </w:r>
      <w:r w:rsidR="00E93D9E" w:rsidRPr="00E93D9E">
        <w:rPr>
          <w:rStyle w:val="date"/>
          <w:sz w:val="18"/>
          <w:szCs w:val="18"/>
        </w:rPr>
        <w:t>(2020)</w:t>
      </w:r>
      <w:r w:rsidR="00E93D9E" w:rsidRPr="00E93D9E">
        <w:rPr>
          <w:sz w:val="18"/>
          <w:szCs w:val="18"/>
        </w:rPr>
        <w:t xml:space="preserve"> </w:t>
      </w:r>
      <w:r w:rsidR="00E93D9E" w:rsidRPr="00E93D9E">
        <w:rPr>
          <w:rStyle w:val="arttitle"/>
          <w:sz w:val="18"/>
          <w:szCs w:val="18"/>
        </w:rPr>
        <w:t>A human rights-based approach to loss and damage under the climate change regime,</w:t>
      </w:r>
      <w:r w:rsidR="00E93D9E" w:rsidRPr="00E93D9E">
        <w:rPr>
          <w:sz w:val="18"/>
          <w:szCs w:val="18"/>
        </w:rPr>
        <w:t xml:space="preserve"> </w:t>
      </w:r>
      <w:r w:rsidR="00E93D9E" w:rsidRPr="00E93D9E">
        <w:rPr>
          <w:rStyle w:val="serialtitle"/>
          <w:sz w:val="18"/>
          <w:szCs w:val="18"/>
        </w:rPr>
        <w:t>Climate Policy,</w:t>
      </w:r>
      <w:r w:rsidR="00E93D9E" w:rsidRPr="00E93D9E">
        <w:rPr>
          <w:sz w:val="18"/>
          <w:szCs w:val="18"/>
        </w:rPr>
        <w:t xml:space="preserve"> </w:t>
      </w:r>
      <w:r w:rsidR="00E93D9E" w:rsidRPr="00E93D9E">
        <w:rPr>
          <w:rStyle w:val="volumeissue"/>
          <w:sz w:val="18"/>
          <w:szCs w:val="18"/>
        </w:rPr>
        <w:t>20:6,</w:t>
      </w:r>
      <w:r w:rsidR="00E93D9E" w:rsidRPr="00E93D9E">
        <w:rPr>
          <w:sz w:val="18"/>
          <w:szCs w:val="18"/>
        </w:rPr>
        <w:t xml:space="preserve"> </w:t>
      </w:r>
      <w:r w:rsidR="00E93D9E" w:rsidRPr="00E93D9E">
        <w:rPr>
          <w:rStyle w:val="pagerange"/>
          <w:sz w:val="18"/>
          <w:szCs w:val="18"/>
        </w:rPr>
        <w:t>743-757,</w:t>
      </w:r>
      <w:r w:rsidR="00E93D9E" w:rsidRPr="00E93D9E">
        <w:rPr>
          <w:sz w:val="18"/>
          <w:szCs w:val="18"/>
        </w:rPr>
        <w:t xml:space="preserve"> </w:t>
      </w:r>
      <w:r w:rsidR="00E93D9E" w:rsidRPr="00E93D9E">
        <w:rPr>
          <w:rStyle w:val="doilink"/>
          <w:sz w:val="18"/>
          <w:szCs w:val="18"/>
        </w:rPr>
        <w:t xml:space="preserve">DOI: </w:t>
      </w:r>
      <w:hyperlink r:id="rId1" w:history="1">
        <w:r w:rsidR="00E93D9E" w:rsidRPr="00E93D9E">
          <w:rPr>
            <w:rStyle w:val="Hyperlink"/>
            <w:color w:val="auto"/>
            <w:sz w:val="18"/>
            <w:szCs w:val="18"/>
            <w:u w:val="none"/>
          </w:rPr>
          <w:t>10.1080/14693062.2019.1630354</w:t>
        </w:r>
      </w:hyperlink>
      <w:r w:rsidR="00E93D9E" w:rsidRPr="00E93D9E">
        <w:rPr>
          <w:sz w:val="18"/>
          <w:szCs w:val="18"/>
        </w:rPr>
        <w:t xml:space="preserve"> </w:t>
      </w:r>
    </w:p>
  </w:footnote>
  <w:footnote w:id="6">
    <w:p w14:paraId="28720EE4" w14:textId="0DCD43E2" w:rsidR="00C80B55" w:rsidRPr="00E93D9E" w:rsidRDefault="00C80B55">
      <w:pPr>
        <w:pStyle w:val="FootnoteText"/>
        <w:rPr>
          <w:sz w:val="18"/>
          <w:szCs w:val="18"/>
          <w:lang w:val="en-IN"/>
        </w:rPr>
      </w:pPr>
      <w:r>
        <w:rPr>
          <w:rStyle w:val="FootnoteReference"/>
        </w:rPr>
        <w:footnoteRef/>
      </w:r>
      <w:r>
        <w:t xml:space="preserve"> </w:t>
      </w:r>
      <w:r w:rsidR="00E93D9E" w:rsidRPr="00E93D9E">
        <w:rPr>
          <w:sz w:val="18"/>
          <w:szCs w:val="18"/>
        </w:rPr>
        <w:t xml:space="preserve">First Global Report on the Environmental Rule of Law by the United Nations Environment Program (2019) </w:t>
      </w:r>
      <w:r w:rsidR="00E93D9E" w:rsidRPr="00E93D9E">
        <w:rPr>
          <w:sz w:val="18"/>
          <w:szCs w:val="18"/>
        </w:rPr>
        <w:t>https://wedocs.unep.org/bitstream/handle/20.500.11822/27279/Environmental_rule_of_law.pdf?sequence=1&amp;isAllowed=y</w:t>
      </w:r>
    </w:p>
  </w:footnote>
  <w:footnote w:id="7">
    <w:p w14:paraId="221A713D" w14:textId="3E5DB3A2" w:rsidR="00C80B55" w:rsidRPr="00E93D9E" w:rsidRDefault="00C80B55">
      <w:pPr>
        <w:pStyle w:val="FootnoteText"/>
        <w:rPr>
          <w:sz w:val="18"/>
          <w:szCs w:val="18"/>
          <w:lang w:val="en-IN"/>
        </w:rPr>
      </w:pPr>
      <w:r>
        <w:rPr>
          <w:rStyle w:val="FootnoteReference"/>
        </w:rPr>
        <w:footnoteRef/>
      </w:r>
      <w:r>
        <w:t xml:space="preserve"> </w:t>
      </w:r>
      <w:r w:rsidR="00E93D9E" w:rsidRPr="00E93D9E">
        <w:rPr>
          <w:sz w:val="18"/>
          <w:szCs w:val="18"/>
        </w:rPr>
        <w:t xml:space="preserve">Farber, Daniel A. “Separated at Birth? Addressing the Twin Crises of Biodiversity and Climate Change.” </w:t>
      </w:r>
      <w:r w:rsidR="00E93D9E" w:rsidRPr="00E93D9E">
        <w:rPr>
          <w:i/>
          <w:iCs/>
          <w:sz w:val="18"/>
          <w:szCs w:val="18"/>
        </w:rPr>
        <w:t>Ecology Law Quarterly</w:t>
      </w:r>
      <w:r w:rsidR="00E93D9E" w:rsidRPr="00E93D9E">
        <w:rPr>
          <w:sz w:val="18"/>
          <w:szCs w:val="18"/>
        </w:rPr>
        <w:t>, vol. 42, no. 4, 2015, pp. 841–88.</w:t>
      </w:r>
    </w:p>
  </w:footnote>
  <w:footnote w:id="8">
    <w:p w14:paraId="34F3775B" w14:textId="175C7E09" w:rsidR="00C80B55" w:rsidRPr="0037681A" w:rsidRDefault="00C80B55" w:rsidP="0037681A">
      <w:pPr>
        <w:rPr>
          <w:sz w:val="18"/>
          <w:szCs w:val="18"/>
        </w:rPr>
      </w:pPr>
      <w:r w:rsidRPr="00E93D9E">
        <w:rPr>
          <w:rStyle w:val="FootnoteReference"/>
          <w:sz w:val="18"/>
          <w:szCs w:val="18"/>
        </w:rPr>
        <w:footnoteRef/>
      </w:r>
      <w:r w:rsidRPr="00E93D9E">
        <w:rPr>
          <w:sz w:val="18"/>
          <w:szCs w:val="18"/>
        </w:rPr>
        <w:t xml:space="preserve"> </w:t>
      </w:r>
      <w:r w:rsidR="0037681A">
        <w:rPr>
          <w:sz w:val="18"/>
          <w:szCs w:val="18"/>
        </w:rPr>
        <w:t xml:space="preserve">Briefing Paper by the Climate Litigation Accelerator, Center for Climate Justice and the International Center for Climate Change and Development. Also see: </w:t>
      </w:r>
      <w:r w:rsidR="0037681A" w:rsidRPr="0037681A">
        <w:rPr>
          <w:sz w:val="18"/>
          <w:szCs w:val="18"/>
        </w:rPr>
        <w:t xml:space="preserve">Rodríguez-Garavito, César, Litigating the Climate Emergency: The Global Rise of Human Rights-Based Litigation for Climate Action (December 5, 2021). Rodríguez-Garavito, C. (ed) 'Litigating the Climate Emergency: How Human Rights, Courts, and Legal Mobilization Can Bolster Climate Action' (Cambridge Univ. Press, Forthcoming), Available at SSRN: </w:t>
      </w:r>
      <w:hyperlink r:id="rId2" w:tgtFrame="_blank" w:history="1">
        <w:r w:rsidR="0037681A" w:rsidRPr="0037681A">
          <w:rPr>
            <w:rStyle w:val="Hyperlink"/>
            <w:color w:val="auto"/>
            <w:sz w:val="18"/>
            <w:szCs w:val="18"/>
            <w:u w:val="none"/>
          </w:rPr>
          <w:t>https://ssrn.com/abstract=3860420</w:t>
        </w:r>
      </w:hyperlink>
      <w:r w:rsidR="0037681A" w:rsidRPr="0037681A">
        <w:rPr>
          <w:sz w:val="18"/>
          <w:szCs w:val="18"/>
        </w:rPr>
        <w:t xml:space="preserve"> or </w:t>
      </w:r>
      <w:hyperlink r:id="rId3" w:tgtFrame="_blank" w:history="1">
        <w:r w:rsidR="0037681A" w:rsidRPr="0037681A">
          <w:rPr>
            <w:rStyle w:val="Hyperlink"/>
            <w:color w:val="auto"/>
            <w:sz w:val="18"/>
            <w:szCs w:val="18"/>
            <w:u w:val="none"/>
          </w:rPr>
          <w:t xml:space="preserve">http://dx.doi.org/10.2139/ssrn.3860420 </w:t>
        </w:r>
      </w:hyperlink>
    </w:p>
  </w:footnote>
  <w:footnote w:id="9">
    <w:p w14:paraId="30CB5860" w14:textId="77777777" w:rsidR="0037681A" w:rsidRPr="009C19AD" w:rsidRDefault="005E661B" w:rsidP="0037681A">
      <w:pPr>
        <w:rPr>
          <w:rFonts w:cstheme="minorHAnsi"/>
          <w:sz w:val="18"/>
          <w:szCs w:val="18"/>
        </w:rPr>
      </w:pPr>
      <w:r w:rsidRPr="0037681A">
        <w:rPr>
          <w:rStyle w:val="FootnoteReference"/>
          <w:sz w:val="16"/>
          <w:szCs w:val="16"/>
        </w:rPr>
        <w:footnoteRef/>
      </w:r>
      <w:r w:rsidRPr="0037681A">
        <w:rPr>
          <w:sz w:val="16"/>
          <w:szCs w:val="16"/>
        </w:rPr>
        <w:t xml:space="preserve"> </w:t>
      </w:r>
      <w:r w:rsidR="0037681A" w:rsidRPr="009C19AD">
        <w:rPr>
          <w:rFonts w:cstheme="minorHAnsi"/>
          <w:sz w:val="18"/>
          <w:szCs w:val="18"/>
        </w:rPr>
        <w:t>Reinhard Mechler, Teresa M Deubelli,Finance for Loss and Damage: a comprehensive risk analytical approach, Current Opinion in Environmental Sustainability,Volume 50,2021,Pages 185-196.</w:t>
      </w:r>
    </w:p>
    <w:p w14:paraId="7EB04C63" w14:textId="040A2A3A" w:rsidR="005E661B" w:rsidRDefault="005E661B" w:rsidP="005E66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5F15" w14:textId="3A13B13B" w:rsidR="0037681A" w:rsidRDefault="000A7C55">
    <w:pPr>
      <w:pStyle w:val="Header"/>
    </w:pPr>
    <w:r>
      <w:rPr>
        <w:noProof/>
      </w:rPr>
      <w:drawing>
        <wp:anchor distT="0" distB="0" distL="114300" distR="114300" simplePos="0" relativeHeight="251659264" behindDoc="0" locked="0" layoutInCell="1" allowOverlap="1" wp14:anchorId="60A96048" wp14:editId="6CC01D4C">
          <wp:simplePos x="0" y="0"/>
          <wp:positionH relativeFrom="margin">
            <wp:posOffset>4657725</wp:posOffset>
          </wp:positionH>
          <wp:positionV relativeFrom="paragraph">
            <wp:posOffset>202565</wp:posOffset>
          </wp:positionV>
          <wp:extent cx="1557020" cy="543560"/>
          <wp:effectExtent l="0" t="0" r="5080" b="8890"/>
          <wp:wrapSquare wrapText="bothSides"/>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7020" cy="54356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rPr>
      <w:drawing>
        <wp:inline distT="0" distB="0" distL="114300" distR="114300" wp14:anchorId="5F1437DF" wp14:editId="5A9E03A0">
          <wp:extent cx="1047750" cy="595313"/>
          <wp:effectExtent l="0" t="0" r="0" b="0"/>
          <wp:docPr id="1028"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28" name="image2.png" descr="Logo, company name&#10;&#10;Description automatically generated"/>
                  <pic:cNvPicPr preferRelativeResize="0"/>
                </pic:nvPicPr>
                <pic:blipFill>
                  <a:blip r:embed="rId2"/>
                  <a:srcRect/>
                  <a:stretch>
                    <a:fillRect/>
                  </a:stretch>
                </pic:blipFill>
                <pic:spPr>
                  <a:xfrm>
                    <a:off x="0" y="0"/>
                    <a:ext cx="1064157" cy="604635"/>
                  </a:xfrm>
                  <a:prstGeom prst="rect">
                    <a:avLst/>
                  </a:prstGeom>
                  <a:ln/>
                </pic:spPr>
              </pic:pic>
            </a:graphicData>
          </a:graphic>
        </wp:inline>
      </w:drawing>
    </w:r>
    <w:r w:rsidR="0037681A">
      <w:t xml:space="preserve">                   </w:t>
    </w:r>
    <w:r>
      <w:t xml:space="preserve">                          </w:t>
    </w:r>
    <w:r>
      <w:rPr>
        <w:noProof/>
      </w:rPr>
      <w:drawing>
        <wp:inline distT="0" distB="0" distL="0" distR="0" wp14:anchorId="7D21D6E1" wp14:editId="20204D6F">
          <wp:extent cx="1086167" cy="806520"/>
          <wp:effectExtent l="0" t="0" r="0" b="0"/>
          <wp:docPr id="2" name="Picture 1" descr="Centre for Climate Justice-Bangladesh (CCJ-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entre for Climate Justice-Bangladesh (CCJ-B) logo"/>
                  <pic:cNvPicPr>
                    <a:picLocks noChangeAspect="1"/>
                  </pic:cNvPicPr>
                </pic:nvPicPr>
                <pic:blipFill>
                  <a:blip r:embed="rId3"/>
                  <a:srcRect/>
                  <a:stretch>
                    <a:fillRect/>
                  </a:stretch>
                </pic:blipFill>
                <pic:spPr bwMode="auto">
                  <a:xfrm>
                    <a:off x="0" y="0"/>
                    <a:ext cx="1109040" cy="82350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4E"/>
    <w:multiLevelType w:val="hybridMultilevel"/>
    <w:tmpl w:val="0194F0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B91809"/>
    <w:multiLevelType w:val="multilevel"/>
    <w:tmpl w:val="FBAEE28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D6535"/>
    <w:multiLevelType w:val="hybridMultilevel"/>
    <w:tmpl w:val="9570565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BB96975"/>
    <w:multiLevelType w:val="hybridMultilevel"/>
    <w:tmpl w:val="0D000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0EE37DC"/>
    <w:multiLevelType w:val="multilevel"/>
    <w:tmpl w:val="6D9EDC58"/>
    <w:lvl w:ilvl="0">
      <w:start w:val="1"/>
      <w:numFmt w:val="decimal"/>
      <w:lvlText w:val="%1."/>
      <w:lvlJc w:val="left"/>
      <w:pPr>
        <w:tabs>
          <w:tab w:val="num" w:pos="360"/>
        </w:tabs>
        <w:ind w:left="360" w:hanging="360"/>
      </w:pPr>
      <w:rPr>
        <w:b/>
        <w:bCs/>
      </w:rPr>
    </w:lvl>
    <w:lvl w:ilvl="1">
      <w:numFmt w:val="lowerLetter"/>
      <w:lvlText w:val="%2."/>
      <w:lvlJc w:val="left"/>
      <w:pPr>
        <w:tabs>
          <w:tab w:val="num" w:pos="1080"/>
        </w:tabs>
        <w:ind w:left="1080" w:hanging="360"/>
      </w:pPr>
    </w:lvl>
    <w:lvl w:ilvl="2">
      <w:start w:val="5"/>
      <w:numFmt w:val="bullet"/>
      <w:lvlText w:val="-"/>
      <w:lvlJc w:val="left"/>
      <w:pPr>
        <w:ind w:left="1800" w:hanging="360"/>
      </w:pPr>
      <w:rPr>
        <w:rFonts w:ascii="Calibri" w:eastAsiaTheme="minorHAnsi" w:hAnsi="Calibri" w:cs="Calibri" w:hint="default"/>
      </w:r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5" w15:restartNumberingAfterBreak="0">
    <w:nsid w:val="1C4363F7"/>
    <w:multiLevelType w:val="hybridMultilevel"/>
    <w:tmpl w:val="746E0E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F221030"/>
    <w:multiLevelType w:val="hybridMultilevel"/>
    <w:tmpl w:val="A386C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4F414B"/>
    <w:multiLevelType w:val="hybridMultilevel"/>
    <w:tmpl w:val="A28A2C34"/>
    <w:lvl w:ilvl="0" w:tplc="462EADBC">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E395ABE"/>
    <w:multiLevelType w:val="hybridMultilevel"/>
    <w:tmpl w:val="C674DE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1BC5F30"/>
    <w:multiLevelType w:val="hybridMultilevel"/>
    <w:tmpl w:val="E2881D30"/>
    <w:lvl w:ilvl="0" w:tplc="844CBC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11208D"/>
    <w:multiLevelType w:val="hybridMultilevel"/>
    <w:tmpl w:val="050A8C9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A5950B6"/>
    <w:multiLevelType w:val="hybridMultilevel"/>
    <w:tmpl w:val="269A6E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EDA0CE0"/>
    <w:multiLevelType w:val="hybridMultilevel"/>
    <w:tmpl w:val="988009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63D52E91"/>
    <w:multiLevelType w:val="hybridMultilevel"/>
    <w:tmpl w:val="53FE8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6C6321"/>
    <w:multiLevelType w:val="multilevel"/>
    <w:tmpl w:val="2266EAC2"/>
    <w:lvl w:ilvl="0">
      <w:start w:val="1"/>
      <w:numFmt w:val="decimal"/>
      <w:lvlText w:val="%1."/>
      <w:lvlJc w:val="left"/>
      <w:pPr>
        <w:tabs>
          <w:tab w:val="num" w:pos="360"/>
        </w:tabs>
        <w:ind w:left="360" w:hanging="360"/>
      </w:pPr>
    </w:lvl>
    <w:lvl w:ilvl="1">
      <w:numFmt w:val="lowerLetter"/>
      <w:lvlText w:val="%2."/>
      <w:lvlJc w:val="left"/>
      <w:pPr>
        <w:tabs>
          <w:tab w:val="num" w:pos="1080"/>
        </w:tabs>
        <w:ind w:left="1080" w:hanging="360"/>
      </w:pPr>
    </w:lvl>
    <w:lvl w:ilvl="2">
      <w:start w:val="5"/>
      <w:numFmt w:val="bullet"/>
      <w:lvlText w:val="-"/>
      <w:lvlJc w:val="left"/>
      <w:pPr>
        <w:ind w:left="1800" w:hanging="360"/>
      </w:pPr>
      <w:rPr>
        <w:rFonts w:ascii="Calibri" w:eastAsiaTheme="minorHAnsi" w:hAnsi="Calibri" w:cs="Calibri" w:hint="default"/>
      </w:r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5" w15:restartNumberingAfterBreak="0">
    <w:nsid w:val="7B26332A"/>
    <w:multiLevelType w:val="hybridMultilevel"/>
    <w:tmpl w:val="C88AF284"/>
    <w:lvl w:ilvl="0" w:tplc="14F670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94010976">
    <w:abstractNumId w:val="4"/>
  </w:num>
  <w:num w:numId="2" w16cid:durableId="966281479">
    <w:abstractNumId w:val="14"/>
  </w:num>
  <w:num w:numId="3" w16cid:durableId="345333570">
    <w:abstractNumId w:val="6"/>
  </w:num>
  <w:num w:numId="4" w16cid:durableId="1843736154">
    <w:abstractNumId w:val="9"/>
  </w:num>
  <w:num w:numId="5" w16cid:durableId="1758672259">
    <w:abstractNumId w:val="5"/>
  </w:num>
  <w:num w:numId="6" w16cid:durableId="85930342">
    <w:abstractNumId w:val="11"/>
  </w:num>
  <w:num w:numId="7" w16cid:durableId="382217235">
    <w:abstractNumId w:val="0"/>
  </w:num>
  <w:num w:numId="8" w16cid:durableId="388774547">
    <w:abstractNumId w:val="3"/>
  </w:num>
  <w:num w:numId="9" w16cid:durableId="1317488698">
    <w:abstractNumId w:val="7"/>
  </w:num>
  <w:num w:numId="10" w16cid:durableId="1629773932">
    <w:abstractNumId w:val="13"/>
  </w:num>
  <w:num w:numId="11" w16cid:durableId="865143918">
    <w:abstractNumId w:val="15"/>
  </w:num>
  <w:num w:numId="12" w16cid:durableId="734814838">
    <w:abstractNumId w:val="2"/>
  </w:num>
  <w:num w:numId="13" w16cid:durableId="1429699014">
    <w:abstractNumId w:val="1"/>
  </w:num>
  <w:num w:numId="14" w16cid:durableId="401755072">
    <w:abstractNumId w:val="8"/>
  </w:num>
  <w:num w:numId="15" w16cid:durableId="1307659769">
    <w:abstractNumId w:val="12"/>
  </w:num>
  <w:num w:numId="16" w16cid:durableId="13941622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7C"/>
    <w:rsid w:val="000A354F"/>
    <w:rsid w:val="000A7C55"/>
    <w:rsid w:val="000C501E"/>
    <w:rsid w:val="00176B8D"/>
    <w:rsid w:val="00184818"/>
    <w:rsid w:val="001B4C7C"/>
    <w:rsid w:val="001E1D0B"/>
    <w:rsid w:val="00223937"/>
    <w:rsid w:val="002B07FA"/>
    <w:rsid w:val="00347419"/>
    <w:rsid w:val="0036056E"/>
    <w:rsid w:val="0037681A"/>
    <w:rsid w:val="003E3BA1"/>
    <w:rsid w:val="00402A46"/>
    <w:rsid w:val="0047002C"/>
    <w:rsid w:val="00536C9F"/>
    <w:rsid w:val="005E661B"/>
    <w:rsid w:val="00647903"/>
    <w:rsid w:val="006A3649"/>
    <w:rsid w:val="00710ACE"/>
    <w:rsid w:val="007249E3"/>
    <w:rsid w:val="007937B8"/>
    <w:rsid w:val="0079609E"/>
    <w:rsid w:val="007B42AC"/>
    <w:rsid w:val="007C2EA0"/>
    <w:rsid w:val="008208AF"/>
    <w:rsid w:val="00843873"/>
    <w:rsid w:val="008C6EFF"/>
    <w:rsid w:val="00AB129E"/>
    <w:rsid w:val="00AC153C"/>
    <w:rsid w:val="00AE5198"/>
    <w:rsid w:val="00AF026F"/>
    <w:rsid w:val="00B3531B"/>
    <w:rsid w:val="00BE5C66"/>
    <w:rsid w:val="00C026FB"/>
    <w:rsid w:val="00C26644"/>
    <w:rsid w:val="00C32752"/>
    <w:rsid w:val="00C80B55"/>
    <w:rsid w:val="00E0352E"/>
    <w:rsid w:val="00E24F7B"/>
    <w:rsid w:val="00E93D9E"/>
    <w:rsid w:val="00EE59FC"/>
    <w:rsid w:val="00F21C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389F"/>
  <w15:chartTrackingRefBased/>
  <w15:docId w15:val="{0EF6519F-4941-4286-93E7-FC408AA5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26644"/>
  </w:style>
  <w:style w:type="paragraph" w:styleId="ListParagraph">
    <w:name w:val="List Paragraph"/>
    <w:basedOn w:val="Normal"/>
    <w:uiPriority w:val="34"/>
    <w:qFormat/>
    <w:rsid w:val="003E3BA1"/>
    <w:pPr>
      <w:ind w:left="720"/>
      <w:contextualSpacing/>
    </w:pPr>
  </w:style>
  <w:style w:type="table" w:styleId="TableGrid">
    <w:name w:val="Table Grid"/>
    <w:basedOn w:val="TableNormal"/>
    <w:uiPriority w:val="59"/>
    <w:rsid w:val="00647903"/>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E661B"/>
    <w:rPr>
      <w:color w:val="0563C1" w:themeColor="hyperlink"/>
      <w:u w:val="single"/>
    </w:rPr>
  </w:style>
  <w:style w:type="paragraph" w:styleId="FootnoteText">
    <w:name w:val="footnote text"/>
    <w:basedOn w:val="Normal"/>
    <w:link w:val="FootnoteTextChar"/>
    <w:uiPriority w:val="99"/>
    <w:semiHidden/>
    <w:unhideWhenUsed/>
    <w:rsid w:val="005E661B"/>
    <w:pPr>
      <w:spacing w:after="0" w:line="240" w:lineRule="auto"/>
    </w:pPr>
    <w:rPr>
      <w:sz w:val="20"/>
      <w:szCs w:val="20"/>
      <w:lang w:val="en-CA"/>
    </w:rPr>
  </w:style>
  <w:style w:type="character" w:customStyle="1" w:styleId="FootnoteTextChar">
    <w:name w:val="Footnote Text Char"/>
    <w:basedOn w:val="DefaultParagraphFont"/>
    <w:link w:val="FootnoteText"/>
    <w:uiPriority w:val="99"/>
    <w:semiHidden/>
    <w:rsid w:val="005E661B"/>
    <w:rPr>
      <w:sz w:val="20"/>
      <w:szCs w:val="20"/>
      <w:lang w:val="en-CA"/>
    </w:rPr>
  </w:style>
  <w:style w:type="character" w:styleId="FootnoteReference">
    <w:name w:val="footnote reference"/>
    <w:basedOn w:val="DefaultParagraphFont"/>
    <w:uiPriority w:val="99"/>
    <w:semiHidden/>
    <w:unhideWhenUsed/>
    <w:rsid w:val="005E661B"/>
    <w:rPr>
      <w:vertAlign w:val="superscript"/>
    </w:rPr>
  </w:style>
  <w:style w:type="character" w:customStyle="1" w:styleId="cf01">
    <w:name w:val="cf01"/>
    <w:basedOn w:val="DefaultParagraphFont"/>
    <w:rsid w:val="000A354F"/>
    <w:rPr>
      <w:rFonts w:ascii="Segoe UI" w:hAnsi="Segoe UI" w:cs="Segoe UI" w:hint="default"/>
      <w:sz w:val="18"/>
      <w:szCs w:val="18"/>
    </w:rPr>
  </w:style>
  <w:style w:type="paragraph" w:styleId="NormalWeb">
    <w:name w:val="Normal (Web)"/>
    <w:basedOn w:val="Normal"/>
    <w:uiPriority w:val="99"/>
    <w:unhideWhenUsed/>
    <w:rsid w:val="00AB129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gkelc">
    <w:name w:val="hgkelc"/>
    <w:basedOn w:val="DefaultParagraphFont"/>
    <w:rsid w:val="00AB129E"/>
  </w:style>
  <w:style w:type="character" w:customStyle="1" w:styleId="authors">
    <w:name w:val="authors"/>
    <w:basedOn w:val="DefaultParagraphFont"/>
    <w:rsid w:val="00E93D9E"/>
  </w:style>
  <w:style w:type="character" w:customStyle="1" w:styleId="date">
    <w:name w:val="date"/>
    <w:basedOn w:val="DefaultParagraphFont"/>
    <w:rsid w:val="00E93D9E"/>
  </w:style>
  <w:style w:type="character" w:customStyle="1" w:styleId="arttitle">
    <w:name w:val="art_title"/>
    <w:basedOn w:val="DefaultParagraphFont"/>
    <w:rsid w:val="00E93D9E"/>
  </w:style>
  <w:style w:type="character" w:customStyle="1" w:styleId="serialtitle">
    <w:name w:val="serial_title"/>
    <w:basedOn w:val="DefaultParagraphFont"/>
    <w:rsid w:val="00E93D9E"/>
  </w:style>
  <w:style w:type="character" w:customStyle="1" w:styleId="volumeissue">
    <w:name w:val="volume_issue"/>
    <w:basedOn w:val="DefaultParagraphFont"/>
    <w:rsid w:val="00E93D9E"/>
  </w:style>
  <w:style w:type="character" w:customStyle="1" w:styleId="pagerange">
    <w:name w:val="page_range"/>
    <w:basedOn w:val="DefaultParagraphFont"/>
    <w:rsid w:val="00E93D9E"/>
  </w:style>
  <w:style w:type="character" w:customStyle="1" w:styleId="doilink">
    <w:name w:val="doi_link"/>
    <w:basedOn w:val="DefaultParagraphFont"/>
    <w:rsid w:val="00E93D9E"/>
  </w:style>
  <w:style w:type="paragraph" w:styleId="Header">
    <w:name w:val="header"/>
    <w:basedOn w:val="Normal"/>
    <w:link w:val="HeaderChar"/>
    <w:uiPriority w:val="99"/>
    <w:unhideWhenUsed/>
    <w:rsid w:val="00376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81A"/>
  </w:style>
  <w:style w:type="paragraph" w:styleId="Footer">
    <w:name w:val="footer"/>
    <w:basedOn w:val="Normal"/>
    <w:link w:val="FooterChar"/>
    <w:uiPriority w:val="99"/>
    <w:unhideWhenUsed/>
    <w:rsid w:val="00376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341">
      <w:bodyDiv w:val="1"/>
      <w:marLeft w:val="0"/>
      <w:marRight w:val="0"/>
      <w:marTop w:val="0"/>
      <w:marBottom w:val="0"/>
      <w:divBdr>
        <w:top w:val="none" w:sz="0" w:space="0" w:color="auto"/>
        <w:left w:val="none" w:sz="0" w:space="0" w:color="auto"/>
        <w:bottom w:val="none" w:sz="0" w:space="0" w:color="auto"/>
        <w:right w:val="none" w:sz="0" w:space="0" w:color="auto"/>
      </w:divBdr>
    </w:div>
    <w:div w:id="146094053">
      <w:bodyDiv w:val="1"/>
      <w:marLeft w:val="0"/>
      <w:marRight w:val="0"/>
      <w:marTop w:val="0"/>
      <w:marBottom w:val="0"/>
      <w:divBdr>
        <w:top w:val="none" w:sz="0" w:space="0" w:color="auto"/>
        <w:left w:val="none" w:sz="0" w:space="0" w:color="auto"/>
        <w:bottom w:val="none" w:sz="0" w:space="0" w:color="auto"/>
        <w:right w:val="none" w:sz="0" w:space="0" w:color="auto"/>
      </w:divBdr>
      <w:divsChild>
        <w:div w:id="833109497">
          <w:marLeft w:val="0"/>
          <w:marRight w:val="0"/>
          <w:marTop w:val="0"/>
          <w:marBottom w:val="0"/>
          <w:divBdr>
            <w:top w:val="none" w:sz="0" w:space="0" w:color="auto"/>
            <w:left w:val="none" w:sz="0" w:space="0" w:color="auto"/>
            <w:bottom w:val="none" w:sz="0" w:space="0" w:color="auto"/>
            <w:right w:val="none" w:sz="0" w:space="0" w:color="auto"/>
          </w:divBdr>
        </w:div>
      </w:divsChild>
    </w:div>
    <w:div w:id="1951542207">
      <w:bodyDiv w:val="1"/>
      <w:marLeft w:val="0"/>
      <w:marRight w:val="0"/>
      <w:marTop w:val="0"/>
      <w:marBottom w:val="0"/>
      <w:divBdr>
        <w:top w:val="none" w:sz="0" w:space="0" w:color="auto"/>
        <w:left w:val="none" w:sz="0" w:space="0" w:color="auto"/>
        <w:bottom w:val="none" w:sz="0" w:space="0" w:color="auto"/>
        <w:right w:val="none" w:sz="0" w:space="0" w:color="auto"/>
      </w:divBdr>
      <w:divsChild>
        <w:div w:id="1818760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2139/ssrn.3860420" TargetMode="External"/><Relationship Id="rId2" Type="http://schemas.openxmlformats.org/officeDocument/2006/relationships/hyperlink" Target="https://ssrn.com/abstract=3860420" TargetMode="External"/><Relationship Id="rId1" Type="http://schemas.openxmlformats.org/officeDocument/2006/relationships/hyperlink" Target="https://doi-org.proxy.library.nyu.edu/10.1080/14693062.2019.163035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EEDA1FE-E1E4-49F2-9D6F-125E3EDE4258}">
  <ds:schemaRefs>
    <ds:schemaRef ds:uri="http://schemas.openxmlformats.org/officeDocument/2006/bibliography"/>
  </ds:schemaRefs>
</ds:datastoreItem>
</file>

<file path=customXml/itemProps2.xml><?xml version="1.0" encoding="utf-8"?>
<ds:datastoreItem xmlns:ds="http://schemas.openxmlformats.org/officeDocument/2006/customXml" ds:itemID="{95AB1F8A-9122-467F-AABC-792EA977E7DA}"/>
</file>

<file path=customXml/itemProps3.xml><?xml version="1.0" encoding="utf-8"?>
<ds:datastoreItem xmlns:ds="http://schemas.openxmlformats.org/officeDocument/2006/customXml" ds:itemID="{F4421D4D-7644-4FE6-83B6-E4D62AC88910}"/>
</file>

<file path=customXml/itemProps4.xml><?xml version="1.0" encoding="utf-8"?>
<ds:datastoreItem xmlns:ds="http://schemas.openxmlformats.org/officeDocument/2006/customXml" ds:itemID="{5884A2E3-2915-4240-94D8-E6765A97E0A4}"/>
</file>

<file path=docProps/app.xml><?xml version="1.0" encoding="utf-8"?>
<Properties xmlns="http://schemas.openxmlformats.org/officeDocument/2006/extended-properties" xmlns:vt="http://schemas.openxmlformats.org/officeDocument/2006/docPropsVTypes">
  <Template>Normal</Template>
  <TotalTime>166</TotalTime>
  <Pages>8</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Arpitha uk</dc:creator>
  <cp:keywords/>
  <dc:description/>
  <cp:lastModifiedBy>Arpitha uk</cp:lastModifiedBy>
  <cp:revision>7</cp:revision>
  <dcterms:created xsi:type="dcterms:W3CDTF">2022-06-23T18:47:00Z</dcterms:created>
  <dcterms:modified xsi:type="dcterms:W3CDTF">2022-06-23T22:09:00Z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