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F61C" w14:textId="463EE803" w:rsidR="00AD6861" w:rsidRPr="002B1DF8" w:rsidRDefault="00546030" w:rsidP="00AD6861">
      <w:pPr>
        <w:rPr>
          <w:rFonts w:ascii="Georgia" w:hAnsi="Georgia"/>
          <w:b/>
          <w:bCs/>
          <w:sz w:val="28"/>
          <w:szCs w:val="28"/>
        </w:rPr>
      </w:pPr>
      <w:r w:rsidRPr="002B1DF8">
        <w:rPr>
          <w:rFonts w:ascii="Georgia" w:hAnsi="Georgia"/>
          <w:b/>
          <w:bCs/>
          <w:sz w:val="28"/>
          <w:szCs w:val="28"/>
        </w:rPr>
        <w:t>Submission in response to the call for input</w:t>
      </w:r>
      <w:r w:rsidR="00781412" w:rsidRPr="002B1DF8">
        <w:rPr>
          <w:rFonts w:ascii="Georgia" w:hAnsi="Georgia"/>
          <w:b/>
          <w:bCs/>
          <w:sz w:val="28"/>
          <w:szCs w:val="28"/>
        </w:rPr>
        <w:t>:</w:t>
      </w:r>
      <w:r w:rsidR="00EC4B27" w:rsidRPr="002B1DF8">
        <w:rPr>
          <w:rFonts w:ascii="Georgia" w:hAnsi="Georgia"/>
          <w:b/>
          <w:bCs/>
          <w:sz w:val="28"/>
          <w:szCs w:val="28"/>
        </w:rPr>
        <w:t xml:space="preserve"> </w:t>
      </w:r>
      <w:r w:rsidR="00BB2B82" w:rsidRPr="002B1DF8">
        <w:rPr>
          <w:rFonts w:ascii="Georgia" w:hAnsi="Georgia"/>
          <w:b/>
          <w:bCs/>
          <w:sz w:val="28"/>
          <w:szCs w:val="28"/>
        </w:rPr>
        <w:t>“Promotion and protection of human rights in the context of mitigation, adaptation, and financial actions to address climate change, with particular emphasis on loss and damage”</w:t>
      </w:r>
    </w:p>
    <w:p w14:paraId="75E478B3" w14:textId="20CC99CB" w:rsidR="00EC7C79" w:rsidRPr="00294FB6" w:rsidRDefault="00E47DF0" w:rsidP="00AD6861">
      <w:pPr>
        <w:rPr>
          <w:rFonts w:ascii="Georgia" w:hAnsi="Georgia"/>
          <w:sz w:val="22"/>
          <w:szCs w:val="22"/>
        </w:rPr>
      </w:pPr>
      <w:r w:rsidRPr="002B1DF8">
        <w:rPr>
          <w:rFonts w:ascii="Georgia" w:hAnsi="Georgia"/>
          <w:b/>
          <w:bCs/>
          <w:sz w:val="28"/>
          <w:szCs w:val="28"/>
        </w:rPr>
        <w:t xml:space="preserve">Submitted by the </w:t>
      </w:r>
      <w:r w:rsidR="00EC7C79" w:rsidRPr="002B1DF8">
        <w:rPr>
          <w:rFonts w:ascii="Georgia" w:hAnsi="Georgia"/>
          <w:b/>
          <w:bCs/>
          <w:sz w:val="28"/>
          <w:szCs w:val="28"/>
        </w:rPr>
        <w:t>International Trade Union Confederation (ITUC)</w:t>
      </w:r>
      <w:r w:rsidR="00EC7C79" w:rsidRPr="002B1DF8">
        <w:rPr>
          <w:rFonts w:ascii="Georgia" w:hAnsi="Georgia"/>
          <w:b/>
          <w:bCs/>
          <w:sz w:val="28"/>
          <w:szCs w:val="28"/>
        </w:rPr>
        <w:br/>
      </w:r>
      <w:r w:rsidR="00EC7C79" w:rsidRPr="00294FB6">
        <w:rPr>
          <w:rFonts w:ascii="Georgia" w:hAnsi="Georgia"/>
          <w:b/>
          <w:bCs/>
          <w:sz w:val="22"/>
          <w:szCs w:val="22"/>
        </w:rPr>
        <w:t>Contact</w:t>
      </w:r>
      <w:r w:rsidR="00A76BF8" w:rsidRPr="00294FB6">
        <w:rPr>
          <w:rFonts w:ascii="Georgia" w:hAnsi="Georgia"/>
          <w:b/>
          <w:bCs/>
          <w:sz w:val="22"/>
          <w:szCs w:val="22"/>
        </w:rPr>
        <w:t xml:space="preserve">: </w:t>
      </w:r>
      <w:r w:rsidR="00A76BF8" w:rsidRPr="00294FB6">
        <w:rPr>
          <w:rFonts w:ascii="Georgia" w:hAnsi="Georgia"/>
          <w:sz w:val="22"/>
          <w:szCs w:val="22"/>
        </w:rPr>
        <w:t>Bert De Wel, Climate policy officer (</w:t>
      </w:r>
      <w:hyperlink r:id="rId11" w:history="1">
        <w:r w:rsidR="00A76BF8" w:rsidRPr="00294FB6">
          <w:rPr>
            <w:rStyle w:val="Hyperlink"/>
            <w:rFonts w:ascii="Georgia" w:hAnsi="Georgia"/>
            <w:sz w:val="22"/>
            <w:szCs w:val="22"/>
          </w:rPr>
          <w:t>Bert.DeWel@ituc-csi.org</w:t>
        </w:r>
      </w:hyperlink>
      <w:r w:rsidR="00A76BF8" w:rsidRPr="00294FB6">
        <w:rPr>
          <w:rFonts w:ascii="Georgia" w:hAnsi="Georgia"/>
          <w:sz w:val="22"/>
          <w:szCs w:val="22"/>
        </w:rPr>
        <w:t xml:space="preserve">) </w:t>
      </w:r>
    </w:p>
    <w:p w14:paraId="05A02117" w14:textId="4943015C" w:rsidR="00693203" w:rsidRPr="002B1DF8" w:rsidRDefault="00BB2B82" w:rsidP="00693203">
      <w:pPr>
        <w:pBdr>
          <w:bottom w:val="single" w:sz="4" w:space="8" w:color="auto"/>
        </w:pBdr>
        <w:jc w:val="right"/>
        <w:rPr>
          <w:rFonts w:ascii="Georgia" w:hAnsi="Georgia"/>
        </w:rPr>
      </w:pPr>
      <w:r w:rsidRPr="002B1DF8">
        <w:rPr>
          <w:rFonts w:ascii="Georgia" w:hAnsi="Georgia"/>
        </w:rPr>
        <w:t xml:space="preserve">23 June </w:t>
      </w:r>
      <w:r w:rsidR="00693203" w:rsidRPr="002B1DF8">
        <w:rPr>
          <w:rFonts w:ascii="Georgia" w:hAnsi="Georgia"/>
        </w:rPr>
        <w:t>202</w:t>
      </w:r>
      <w:r w:rsidRPr="002B1DF8">
        <w:rPr>
          <w:rFonts w:ascii="Georgia" w:hAnsi="Georgia"/>
        </w:rPr>
        <w:t>2</w:t>
      </w:r>
    </w:p>
    <w:tbl>
      <w:tblPr>
        <w:tblStyle w:val="TableGrid"/>
        <w:tblW w:w="0" w:type="auto"/>
        <w:tblLook w:val="04A0" w:firstRow="1" w:lastRow="0" w:firstColumn="1" w:lastColumn="0" w:noHBand="0" w:noVBand="1"/>
      </w:tblPr>
      <w:tblGrid>
        <w:gridCol w:w="8912"/>
      </w:tblGrid>
      <w:tr w:rsidR="00CF7A6F" w:rsidRPr="002B1DF8" w14:paraId="60A3596D" w14:textId="77777777" w:rsidTr="00CF7A6F">
        <w:tc>
          <w:tcPr>
            <w:tcW w:w="8912" w:type="dxa"/>
            <w:tcBorders>
              <w:top w:val="nil"/>
              <w:left w:val="nil"/>
              <w:bottom w:val="nil"/>
              <w:right w:val="nil"/>
            </w:tcBorders>
            <w:shd w:val="clear" w:color="auto" w:fill="F2F2F2" w:themeFill="background1" w:themeFillShade="F2"/>
          </w:tcPr>
          <w:p w14:paraId="14145150" w14:textId="77777777" w:rsidR="00CF7A6F" w:rsidRPr="002B1DF8" w:rsidRDefault="00CF7A6F" w:rsidP="00CF7A6F">
            <w:pPr>
              <w:rPr>
                <w:rFonts w:ascii="Georgia" w:hAnsi="Georgia"/>
                <w:i/>
                <w:iCs/>
              </w:rPr>
            </w:pPr>
          </w:p>
          <w:p w14:paraId="75AA8841" w14:textId="2908907A" w:rsidR="00CF7A6F" w:rsidRPr="002B1DF8" w:rsidRDefault="00CF7A6F" w:rsidP="00CF7A6F">
            <w:pPr>
              <w:jc w:val="both"/>
              <w:rPr>
                <w:rFonts w:ascii="Georgia" w:hAnsi="Georgia"/>
                <w:i/>
                <w:iCs/>
              </w:rPr>
            </w:pPr>
            <w:r w:rsidRPr="002B1DF8">
              <w:rPr>
                <w:rFonts w:ascii="Georgia" w:hAnsi="Georgia"/>
                <w:i/>
                <w:iCs/>
              </w:rPr>
              <w:t>The Special Rapporteur on the promotion and protection of human rights in the context of climate change issued a call for input for his report on actions to address climate change, particularly in the context of loss and damage. The Special Rapporteur indicates that the primary focus on loss and damage stems from the fact that it is very evident that climate change impacts are already being faced by many people around the world and urgent action is needed to address loss and damage, particularly to realize the full enjoyment of human rights. The Special Rapporteur is exploring actions to address the human rights aspects of loss and damage that are experienced by individuals and communities in vulnerable situations, namely: women, children, persons with disabilities, indigenous peoples, local communities, peasants and other people working in rural areas, people living in conditions of water scarcity, drought and desertification, persons belonging to minority groups, homeless persons, persons living in poverty, older persons, migrants, refugees and internally displaced persons, those living in conflict areas and those already in vulnerable situations, and the importance of recognizing their agency in contributing to climate action.</w:t>
            </w:r>
          </w:p>
          <w:p w14:paraId="02FA2FCA" w14:textId="77777777" w:rsidR="00CF7A6F" w:rsidRPr="004C64AC" w:rsidRDefault="00360AAA" w:rsidP="00D61DF7">
            <w:pPr>
              <w:jc w:val="both"/>
              <w:rPr>
                <w:rFonts w:ascii="Georgia" w:hAnsi="Georgia"/>
                <w:i/>
                <w:iCs/>
                <w:sz w:val="20"/>
                <w:szCs w:val="20"/>
              </w:rPr>
            </w:pPr>
            <w:hyperlink r:id="rId12" w:history="1">
              <w:r w:rsidR="00D61DF7" w:rsidRPr="004C64AC">
                <w:rPr>
                  <w:rStyle w:val="Hyperlink"/>
                  <w:rFonts w:ascii="Georgia" w:hAnsi="Georgia"/>
                  <w:i/>
                  <w:iCs/>
                  <w:sz w:val="20"/>
                  <w:szCs w:val="20"/>
                </w:rPr>
                <w:t>https://www.ohchr.org/en/calls-for-input/calls-input/call-input-promotion-and-protection-human-rights-context-mitigation</w:t>
              </w:r>
            </w:hyperlink>
            <w:r w:rsidR="00D61DF7" w:rsidRPr="004C64AC">
              <w:rPr>
                <w:rFonts w:ascii="Georgia" w:hAnsi="Georgia"/>
                <w:i/>
                <w:iCs/>
                <w:sz w:val="20"/>
                <w:szCs w:val="20"/>
              </w:rPr>
              <w:t xml:space="preserve"> </w:t>
            </w:r>
          </w:p>
          <w:p w14:paraId="44392DEB" w14:textId="1B4A0DA5" w:rsidR="00D61DF7" w:rsidRPr="002B1DF8" w:rsidRDefault="00D61DF7" w:rsidP="00D61DF7">
            <w:pPr>
              <w:jc w:val="both"/>
              <w:rPr>
                <w:rFonts w:ascii="Georgia" w:hAnsi="Georgia"/>
              </w:rPr>
            </w:pPr>
          </w:p>
        </w:tc>
      </w:tr>
    </w:tbl>
    <w:p w14:paraId="6B65AF76" w14:textId="77777777" w:rsidR="00597F70" w:rsidRDefault="000477A5" w:rsidP="00202671">
      <w:pPr>
        <w:rPr>
          <w:rFonts w:ascii="Georgia" w:hAnsi="Georgia"/>
          <w:b/>
          <w:bCs/>
        </w:rPr>
      </w:pPr>
      <w:r w:rsidRPr="002B1DF8">
        <w:rPr>
          <w:rFonts w:ascii="Georgia" w:hAnsi="Georgia"/>
          <w:b/>
          <w:bCs/>
        </w:rPr>
        <w:br/>
      </w:r>
    </w:p>
    <w:p w14:paraId="5F7A6E44" w14:textId="77777777" w:rsidR="00360AAA" w:rsidRDefault="00360AAA">
      <w:pPr>
        <w:rPr>
          <w:rFonts w:ascii="Georgia" w:hAnsi="Georgia"/>
          <w:b/>
          <w:bCs/>
          <w:sz w:val="22"/>
          <w:szCs w:val="22"/>
        </w:rPr>
      </w:pPr>
      <w:r>
        <w:rPr>
          <w:rFonts w:ascii="Georgia" w:hAnsi="Georgia"/>
          <w:b/>
          <w:bCs/>
          <w:sz w:val="22"/>
          <w:szCs w:val="22"/>
        </w:rPr>
        <w:br w:type="page"/>
      </w:r>
    </w:p>
    <w:p w14:paraId="38825785" w14:textId="4A05E6F7" w:rsidR="00CF7A6F" w:rsidRPr="00360AAA" w:rsidRDefault="00D61DF7" w:rsidP="00202671">
      <w:pPr>
        <w:rPr>
          <w:rFonts w:ascii="Georgia" w:hAnsi="Georgia"/>
          <w:b/>
          <w:bCs/>
          <w:sz w:val="22"/>
          <w:szCs w:val="22"/>
        </w:rPr>
      </w:pPr>
      <w:r w:rsidRPr="00360AAA">
        <w:rPr>
          <w:rFonts w:ascii="Georgia" w:hAnsi="Georgia"/>
          <w:b/>
          <w:bCs/>
          <w:sz w:val="22"/>
          <w:szCs w:val="22"/>
        </w:rPr>
        <w:lastRenderedPageBreak/>
        <w:t>Introduction</w:t>
      </w:r>
    </w:p>
    <w:p w14:paraId="033F7F45" w14:textId="77777777" w:rsidR="00360AAA" w:rsidRDefault="006377BD" w:rsidP="00304C74">
      <w:pPr>
        <w:rPr>
          <w:rFonts w:ascii="Georgia" w:hAnsi="Georgia"/>
          <w:sz w:val="22"/>
          <w:szCs w:val="22"/>
        </w:rPr>
      </w:pPr>
      <w:r w:rsidRPr="00360AAA">
        <w:rPr>
          <w:rFonts w:ascii="Georgia" w:hAnsi="Georgia"/>
          <w:sz w:val="22"/>
          <w:szCs w:val="22"/>
        </w:rPr>
        <w:t>The global trade union movement</w:t>
      </w:r>
      <w:r w:rsidR="00C81B10" w:rsidRPr="00360AAA">
        <w:rPr>
          <w:rFonts w:ascii="Georgia" w:hAnsi="Georgia"/>
          <w:sz w:val="22"/>
          <w:szCs w:val="22"/>
        </w:rPr>
        <w:t xml:space="preserve"> recognises </w:t>
      </w:r>
      <w:r w:rsidR="00D964BB" w:rsidRPr="00360AAA">
        <w:rPr>
          <w:rFonts w:ascii="Georgia" w:hAnsi="Georgia"/>
          <w:sz w:val="22"/>
          <w:szCs w:val="22"/>
        </w:rPr>
        <w:t xml:space="preserve">the importance of the work of the Special Rapporteur </w:t>
      </w:r>
      <w:r w:rsidR="00C81B10" w:rsidRPr="00360AAA">
        <w:rPr>
          <w:rFonts w:ascii="Georgia" w:hAnsi="Georgia"/>
          <w:sz w:val="22"/>
          <w:szCs w:val="22"/>
        </w:rPr>
        <w:t xml:space="preserve">and </w:t>
      </w:r>
      <w:r w:rsidR="00C841AD" w:rsidRPr="00360AAA">
        <w:rPr>
          <w:rFonts w:ascii="Georgia" w:hAnsi="Georgia"/>
          <w:sz w:val="22"/>
          <w:szCs w:val="22"/>
        </w:rPr>
        <w:t>appreciates</w:t>
      </w:r>
      <w:r w:rsidR="00937267" w:rsidRPr="00360AAA">
        <w:rPr>
          <w:rFonts w:ascii="Georgia" w:hAnsi="Georgia"/>
          <w:sz w:val="22"/>
          <w:szCs w:val="22"/>
        </w:rPr>
        <w:t xml:space="preserve"> t</w:t>
      </w:r>
      <w:r w:rsidR="00336946" w:rsidRPr="00360AAA">
        <w:rPr>
          <w:rFonts w:ascii="Georgia" w:hAnsi="Georgia"/>
          <w:sz w:val="22"/>
          <w:szCs w:val="22"/>
        </w:rPr>
        <w:t xml:space="preserve">hat </w:t>
      </w:r>
      <w:r w:rsidR="00347AAF" w:rsidRPr="00360AAA">
        <w:rPr>
          <w:rFonts w:ascii="Georgia" w:hAnsi="Georgia"/>
          <w:sz w:val="22"/>
          <w:szCs w:val="22"/>
        </w:rPr>
        <w:t>Just Transition</w:t>
      </w:r>
      <w:r w:rsidR="00D37203" w:rsidRPr="00360AAA">
        <w:rPr>
          <w:rFonts w:ascii="Georgia" w:hAnsi="Georgia"/>
          <w:sz w:val="22"/>
          <w:szCs w:val="22"/>
        </w:rPr>
        <w:t xml:space="preserve"> is selected </w:t>
      </w:r>
      <w:r w:rsidR="00DD2A5E" w:rsidRPr="00360AAA">
        <w:rPr>
          <w:rFonts w:ascii="Georgia" w:hAnsi="Georgia"/>
          <w:sz w:val="22"/>
          <w:szCs w:val="22"/>
        </w:rPr>
        <w:t xml:space="preserve">as one of the six thematic priorities </w:t>
      </w:r>
      <w:r w:rsidR="003E71EB" w:rsidRPr="00360AAA">
        <w:rPr>
          <w:rFonts w:ascii="Georgia" w:hAnsi="Georgia"/>
          <w:sz w:val="22"/>
          <w:szCs w:val="22"/>
        </w:rPr>
        <w:t xml:space="preserve">for </w:t>
      </w:r>
      <w:r w:rsidR="00D37203" w:rsidRPr="00360AAA">
        <w:rPr>
          <w:rFonts w:ascii="Georgia" w:hAnsi="Georgia"/>
          <w:sz w:val="22"/>
          <w:szCs w:val="22"/>
        </w:rPr>
        <w:t>the</w:t>
      </w:r>
      <w:r w:rsidR="003E71EB" w:rsidRPr="00360AAA">
        <w:rPr>
          <w:rFonts w:ascii="Georgia" w:hAnsi="Georgia"/>
          <w:sz w:val="22"/>
          <w:szCs w:val="22"/>
        </w:rPr>
        <w:t xml:space="preserve"> mandate. The </w:t>
      </w:r>
      <w:r w:rsidR="00C758B6" w:rsidRPr="00360AAA">
        <w:rPr>
          <w:rFonts w:ascii="Georgia" w:hAnsi="Georgia"/>
          <w:sz w:val="22"/>
          <w:szCs w:val="22"/>
        </w:rPr>
        <w:t xml:space="preserve">ITUC </w:t>
      </w:r>
      <w:r w:rsidR="00BD3D99" w:rsidRPr="00360AAA">
        <w:rPr>
          <w:rFonts w:ascii="Georgia" w:hAnsi="Georgia"/>
          <w:sz w:val="22"/>
          <w:szCs w:val="22"/>
        </w:rPr>
        <w:t xml:space="preserve">and the trade union movement </w:t>
      </w:r>
      <w:r w:rsidR="005C5C0A" w:rsidRPr="00360AAA">
        <w:rPr>
          <w:rFonts w:ascii="Georgia" w:hAnsi="Georgia"/>
          <w:sz w:val="22"/>
          <w:szCs w:val="22"/>
        </w:rPr>
        <w:t xml:space="preserve">is committed to work with </w:t>
      </w:r>
      <w:r w:rsidR="004F1AD5" w:rsidRPr="00360AAA">
        <w:rPr>
          <w:rFonts w:ascii="Georgia" w:hAnsi="Georgia"/>
          <w:sz w:val="22"/>
          <w:szCs w:val="22"/>
        </w:rPr>
        <w:t>the Special Rapporteur</w:t>
      </w:r>
      <w:r w:rsidR="005C5C0A" w:rsidRPr="00360AAA">
        <w:rPr>
          <w:rFonts w:ascii="Georgia" w:hAnsi="Georgia"/>
          <w:sz w:val="22"/>
          <w:szCs w:val="22"/>
        </w:rPr>
        <w:t xml:space="preserve"> on these issues. </w:t>
      </w:r>
    </w:p>
    <w:p w14:paraId="124DBBAC" w14:textId="749495B0" w:rsidR="00304C74" w:rsidRPr="00360AAA" w:rsidRDefault="0075380D" w:rsidP="00304C74">
      <w:pPr>
        <w:rPr>
          <w:rFonts w:ascii="Georgia" w:eastAsia="Times New Roman" w:hAnsi="Georgia" w:cs="Times New Roman"/>
          <w:b/>
          <w:color w:val="222222"/>
          <w:sz w:val="22"/>
          <w:szCs w:val="22"/>
          <w:shd w:val="clear" w:color="auto" w:fill="F5F5F1"/>
        </w:rPr>
      </w:pPr>
      <w:r w:rsidRPr="00360AAA">
        <w:rPr>
          <w:rFonts w:ascii="Georgia" w:eastAsia="Times New Roman" w:hAnsi="Georgia" w:cs="Times New Roman"/>
          <w:b/>
          <w:color w:val="222222"/>
          <w:sz w:val="22"/>
          <w:szCs w:val="22"/>
        </w:rPr>
        <w:t xml:space="preserve">Question 1: </w:t>
      </w:r>
      <w:r w:rsidR="00304C74" w:rsidRPr="00360AAA">
        <w:rPr>
          <w:rFonts w:ascii="Georgia" w:eastAsia="Times New Roman" w:hAnsi="Georgia" w:cs="Times New Roman"/>
          <w:b/>
          <w:color w:val="222222"/>
          <w:sz w:val="22"/>
          <w:szCs w:val="22"/>
        </w:rPr>
        <w:t xml:space="preserve">What experiences </w:t>
      </w:r>
      <w:r w:rsidR="00304C74" w:rsidRPr="00360AAA">
        <w:rPr>
          <w:rFonts w:ascii="Georgia" w:eastAsia="Times New Roman" w:hAnsi="Georgia" w:cs="Times New Roman"/>
          <w:b/>
          <w:color w:val="222222"/>
          <w:sz w:val="22"/>
          <w:szCs w:val="22"/>
          <w:highlight w:val="white"/>
        </w:rPr>
        <w:t>and examples are you aware of that are being faced by particularly individuals and communities in vulnerable situations that have suffered loss and damage due to the adverse impacts of climate change?</w:t>
      </w:r>
    </w:p>
    <w:p w14:paraId="75919307" w14:textId="3ADFE07D" w:rsidR="00304C74" w:rsidRPr="00360AAA" w:rsidRDefault="00304C74" w:rsidP="00304C74">
      <w:pPr>
        <w:rPr>
          <w:rFonts w:ascii="Georgia" w:eastAsia="Times New Roman" w:hAnsi="Georgia" w:cs="Times New Roman"/>
          <w:color w:val="222222"/>
          <w:sz w:val="22"/>
          <w:szCs w:val="22"/>
          <w:highlight w:val="white"/>
        </w:rPr>
      </w:pPr>
      <w:r w:rsidRPr="00360AAA">
        <w:rPr>
          <w:rFonts w:ascii="Georgia" w:eastAsia="Times New Roman" w:hAnsi="Georgia" w:cs="Times New Roman"/>
          <w:color w:val="222222"/>
          <w:sz w:val="22"/>
          <w:szCs w:val="22"/>
          <w:highlight w:val="white"/>
        </w:rPr>
        <w:t xml:space="preserve">The </w:t>
      </w:r>
      <w:r w:rsidR="000477A5" w:rsidRPr="00360AAA">
        <w:rPr>
          <w:rFonts w:ascii="Georgia" w:eastAsia="Times New Roman" w:hAnsi="Georgia" w:cs="Times New Roman"/>
          <w:color w:val="222222"/>
          <w:sz w:val="22"/>
          <w:szCs w:val="22"/>
          <w:highlight w:val="white"/>
        </w:rPr>
        <w:t>ITUC</w:t>
      </w:r>
      <w:r w:rsidRPr="00360AAA">
        <w:rPr>
          <w:rFonts w:ascii="Georgia" w:eastAsia="Times New Roman" w:hAnsi="Georgia" w:cs="Times New Roman"/>
          <w:color w:val="222222"/>
          <w:sz w:val="22"/>
          <w:szCs w:val="22"/>
          <w:highlight w:val="white"/>
        </w:rPr>
        <w:t xml:space="preserve"> urges the Special Rapporteur to consider adding “workers” to the list of individuals and communities in vulnerable situations. As the climate crisis worsens, workers across occupations are losing their livelihoods and being forced into more precarious jobs. Many women, migrants, persons with disabilities, and others included in the current list are also workers–particularly in low-wage sectors–whose rights are systematically denied or eroded in the workplace, compounding vulnerability and making them less resilient to climate change-related shocks. Even workers who enjoy relatively better working conditions, particularly those who </w:t>
      </w:r>
      <w:proofErr w:type="gramStart"/>
      <w:r w:rsidRPr="00360AAA">
        <w:rPr>
          <w:rFonts w:ascii="Georgia" w:eastAsia="Times New Roman" w:hAnsi="Georgia" w:cs="Times New Roman"/>
          <w:color w:val="222222"/>
          <w:sz w:val="22"/>
          <w:szCs w:val="22"/>
          <w:highlight w:val="white"/>
        </w:rPr>
        <w:t>are able to</w:t>
      </w:r>
      <w:proofErr w:type="gramEnd"/>
      <w:r w:rsidRPr="00360AAA">
        <w:rPr>
          <w:rFonts w:ascii="Georgia" w:eastAsia="Times New Roman" w:hAnsi="Georgia" w:cs="Times New Roman"/>
          <w:color w:val="222222"/>
          <w:sz w:val="22"/>
          <w:szCs w:val="22"/>
          <w:highlight w:val="white"/>
        </w:rPr>
        <w:t xml:space="preserve"> exercise their rights to freedom of association and collective bargaining, are at risk of being made vulnerable by climate mitigation and adaptation efforts that fail to protect and uphold worker rights. </w:t>
      </w:r>
    </w:p>
    <w:p w14:paraId="384F9898" w14:textId="77777777" w:rsidR="0075380D" w:rsidRPr="00360AAA" w:rsidRDefault="0075380D" w:rsidP="00BD0513">
      <w:pPr>
        <w:rPr>
          <w:rFonts w:ascii="Georgia" w:hAnsi="Georgia"/>
          <w:b/>
          <w:bCs/>
          <w:sz w:val="22"/>
          <w:szCs w:val="22"/>
          <w:lang w:val="en"/>
        </w:rPr>
      </w:pPr>
    </w:p>
    <w:p w14:paraId="53D91DA4" w14:textId="5901E233" w:rsidR="00BD0513" w:rsidRPr="00360AAA" w:rsidRDefault="00BD0513" w:rsidP="00BD0513">
      <w:pPr>
        <w:rPr>
          <w:rFonts w:ascii="Georgia" w:hAnsi="Georgia"/>
          <w:b/>
          <w:bCs/>
          <w:sz w:val="22"/>
          <w:szCs w:val="22"/>
          <w:lang w:val="en"/>
        </w:rPr>
      </w:pPr>
      <w:r w:rsidRPr="00360AAA">
        <w:rPr>
          <w:rFonts w:ascii="Georgia" w:hAnsi="Georgia"/>
          <w:b/>
          <w:bCs/>
          <w:sz w:val="22"/>
          <w:szCs w:val="22"/>
          <w:lang w:val="en"/>
        </w:rPr>
        <w:t xml:space="preserve">Question 5: What international, </w:t>
      </w:r>
      <w:proofErr w:type="gramStart"/>
      <w:r w:rsidRPr="00360AAA">
        <w:rPr>
          <w:rFonts w:ascii="Georgia" w:hAnsi="Georgia"/>
          <w:b/>
          <w:bCs/>
          <w:sz w:val="22"/>
          <w:szCs w:val="22"/>
          <w:lang w:val="en"/>
        </w:rPr>
        <w:t>regional</w:t>
      </w:r>
      <w:proofErr w:type="gramEnd"/>
      <w:r w:rsidRPr="00360AAA">
        <w:rPr>
          <w:rFonts w:ascii="Georgia" w:hAnsi="Georgia"/>
          <w:b/>
          <w:bCs/>
          <w:sz w:val="22"/>
          <w:szCs w:val="22"/>
          <w:lang w:val="en"/>
        </w:rPr>
        <w:t xml:space="preserve"> and national policies and legal approaches are necessary to protect current and future generations and achieve intergenerational justice particularly for individuals and communities, from the adverse impacts of climate change?</w:t>
      </w:r>
    </w:p>
    <w:p w14:paraId="7266D72E" w14:textId="6E51A951" w:rsidR="00DC30E8" w:rsidRPr="00360AAA" w:rsidRDefault="006432D3" w:rsidP="00DC30E8">
      <w:pPr>
        <w:rPr>
          <w:rFonts w:ascii="Georgia" w:hAnsi="Georgia"/>
          <w:sz w:val="22"/>
          <w:szCs w:val="22"/>
        </w:rPr>
      </w:pPr>
      <w:r w:rsidRPr="00360AAA">
        <w:rPr>
          <w:rFonts w:ascii="Georgia" w:hAnsi="Georgia"/>
          <w:sz w:val="22"/>
          <w:szCs w:val="22"/>
        </w:rPr>
        <w:t xml:space="preserve">The global trade union movement proposes the concept </w:t>
      </w:r>
      <w:r w:rsidR="00B12A14" w:rsidRPr="00360AAA">
        <w:rPr>
          <w:rFonts w:ascii="Georgia" w:hAnsi="Georgia"/>
          <w:sz w:val="22"/>
          <w:szCs w:val="22"/>
        </w:rPr>
        <w:t xml:space="preserve">of Just Transition </w:t>
      </w:r>
      <w:r w:rsidR="00B25546" w:rsidRPr="00360AAA">
        <w:rPr>
          <w:rFonts w:ascii="Georgia" w:hAnsi="Georgia"/>
          <w:sz w:val="22"/>
          <w:szCs w:val="22"/>
        </w:rPr>
        <w:t xml:space="preserve">as a policy instrument to </w:t>
      </w:r>
      <w:r w:rsidR="00B25546" w:rsidRPr="00360AAA">
        <w:rPr>
          <w:rFonts w:ascii="Georgia" w:hAnsi="Georgia"/>
          <w:sz w:val="22"/>
          <w:szCs w:val="22"/>
          <w:lang w:val="en"/>
        </w:rPr>
        <w:t xml:space="preserve">protect workers, their families and communities from the adverse impacts of climate </w:t>
      </w:r>
      <w:r w:rsidR="005153A2" w:rsidRPr="00360AAA">
        <w:rPr>
          <w:rFonts w:ascii="Georgia" w:hAnsi="Georgia"/>
          <w:sz w:val="22"/>
          <w:szCs w:val="22"/>
          <w:lang w:val="en"/>
        </w:rPr>
        <w:t>change.</w:t>
      </w:r>
      <w:r w:rsidR="00B25546" w:rsidRPr="00360AAA">
        <w:rPr>
          <w:rFonts w:ascii="Georgia" w:hAnsi="Georgia"/>
          <w:sz w:val="22"/>
          <w:szCs w:val="22"/>
          <w:lang w:val="en"/>
        </w:rPr>
        <w:t xml:space="preserve"> </w:t>
      </w:r>
      <w:r w:rsidR="00DC30E8" w:rsidRPr="00360AAA">
        <w:rPr>
          <w:rFonts w:ascii="Georgia" w:hAnsi="Georgia"/>
          <w:sz w:val="22"/>
          <w:szCs w:val="22"/>
        </w:rPr>
        <w:t xml:space="preserve">Central to the concept of Just Transition, and more broadly to any union action, is the respect of the Fundamental </w:t>
      </w:r>
      <w:r w:rsidR="009477E2" w:rsidRPr="00360AAA">
        <w:rPr>
          <w:rFonts w:ascii="Georgia" w:hAnsi="Georgia"/>
          <w:sz w:val="22"/>
          <w:szCs w:val="22"/>
        </w:rPr>
        <w:t>Labour</w:t>
      </w:r>
      <w:r w:rsidR="00DC30E8" w:rsidRPr="00360AAA">
        <w:rPr>
          <w:rFonts w:ascii="Georgia" w:hAnsi="Georgia"/>
          <w:sz w:val="22"/>
          <w:szCs w:val="22"/>
        </w:rPr>
        <w:t xml:space="preserve"> Rights, as defined by the ILO. The ILO has identified eight “fundamental” Conventions, covering subjects that </w:t>
      </w:r>
      <w:proofErr w:type="gramStart"/>
      <w:r w:rsidR="00DC30E8" w:rsidRPr="00360AAA">
        <w:rPr>
          <w:rFonts w:ascii="Georgia" w:hAnsi="Georgia"/>
          <w:sz w:val="22"/>
          <w:szCs w:val="22"/>
        </w:rPr>
        <w:t>are considered to be</w:t>
      </w:r>
      <w:proofErr w:type="gramEnd"/>
      <w:r w:rsidR="00DC30E8" w:rsidRPr="00360AAA">
        <w:rPr>
          <w:rFonts w:ascii="Georgia" w:hAnsi="Georgia"/>
          <w:sz w:val="22"/>
          <w:szCs w:val="22"/>
        </w:rPr>
        <w:t xml:space="preserve"> fundamental principles and rights at work: freedom of association and the effective recognition of the right to collective bargaining; the elimination of all forms of forced or compulsory labour; the effective abolition of child labour; and the elimination of discrimination in respect of employment and occupation. These principles are also covered by the ILO Declaration on Fundamental Principles and Rights at Work (1998)</w:t>
      </w:r>
      <w:r w:rsidR="00DC30E8" w:rsidRPr="00360AAA">
        <w:rPr>
          <w:rStyle w:val="FootnoteReference"/>
          <w:rFonts w:ascii="Georgia" w:hAnsi="Georgia"/>
          <w:sz w:val="22"/>
          <w:szCs w:val="22"/>
          <w:u w:val="single"/>
        </w:rPr>
        <w:footnoteReference w:id="1"/>
      </w:r>
      <w:r w:rsidR="00DC30E8" w:rsidRPr="00360AAA">
        <w:rPr>
          <w:rFonts w:ascii="Georgia" w:hAnsi="Georgia"/>
          <w:sz w:val="22"/>
          <w:szCs w:val="22"/>
        </w:rPr>
        <w:t> .</w:t>
      </w:r>
      <w:r w:rsidR="00AB1921" w:rsidRPr="00360AAA">
        <w:rPr>
          <w:rFonts w:ascii="Georgia" w:hAnsi="Georgia"/>
          <w:sz w:val="22"/>
          <w:szCs w:val="22"/>
        </w:rPr>
        <w:t xml:space="preserve"> </w:t>
      </w:r>
      <w:r w:rsidR="00245C75" w:rsidRPr="00360AAA">
        <w:rPr>
          <w:rFonts w:ascii="Georgia" w:hAnsi="Georgia"/>
          <w:sz w:val="22"/>
          <w:szCs w:val="22"/>
        </w:rPr>
        <w:t xml:space="preserve">At the </w:t>
      </w:r>
      <w:r w:rsidR="00EA1F55" w:rsidRPr="00360AAA">
        <w:rPr>
          <w:rFonts w:ascii="Georgia" w:hAnsi="Georgia"/>
          <w:sz w:val="22"/>
          <w:szCs w:val="22"/>
        </w:rPr>
        <w:t xml:space="preserve">last </w:t>
      </w:r>
      <w:r w:rsidR="00AB1921" w:rsidRPr="00360AAA">
        <w:rPr>
          <w:rFonts w:ascii="Georgia" w:hAnsi="Georgia"/>
          <w:sz w:val="22"/>
          <w:szCs w:val="22"/>
        </w:rPr>
        <w:t xml:space="preserve">International Labour Conference (ILC) </w:t>
      </w:r>
      <w:r w:rsidR="00245C75" w:rsidRPr="00360AAA">
        <w:rPr>
          <w:rFonts w:ascii="Georgia" w:hAnsi="Georgia"/>
          <w:sz w:val="22"/>
          <w:szCs w:val="22"/>
        </w:rPr>
        <w:t xml:space="preserve">in June 2022, the ILC </w:t>
      </w:r>
      <w:r w:rsidR="00AB1921" w:rsidRPr="00360AAA">
        <w:rPr>
          <w:rFonts w:ascii="Georgia" w:hAnsi="Georgia"/>
          <w:sz w:val="22"/>
          <w:szCs w:val="22"/>
        </w:rPr>
        <w:t>to</w:t>
      </w:r>
      <w:r w:rsidR="003E3CD0" w:rsidRPr="00360AAA">
        <w:rPr>
          <w:rFonts w:ascii="Georgia" w:hAnsi="Georgia"/>
          <w:sz w:val="22"/>
          <w:szCs w:val="22"/>
        </w:rPr>
        <w:t>ok the decision to</w:t>
      </w:r>
      <w:r w:rsidR="00AB1921" w:rsidRPr="00360AAA">
        <w:rPr>
          <w:rFonts w:ascii="Georgia" w:hAnsi="Georgia"/>
          <w:sz w:val="22"/>
          <w:szCs w:val="22"/>
        </w:rPr>
        <w:t xml:space="preserve"> recognise occupational health and safety</w:t>
      </w:r>
      <w:r w:rsidR="003E3CD0" w:rsidRPr="00360AAA">
        <w:rPr>
          <w:rFonts w:ascii="Georgia" w:hAnsi="Georgia"/>
          <w:sz w:val="22"/>
          <w:szCs w:val="22"/>
        </w:rPr>
        <w:t xml:space="preserve"> (OHS) </w:t>
      </w:r>
      <w:r w:rsidR="00AB1921" w:rsidRPr="00360AAA">
        <w:rPr>
          <w:rFonts w:ascii="Georgia" w:hAnsi="Georgia"/>
          <w:sz w:val="22"/>
          <w:szCs w:val="22"/>
        </w:rPr>
        <w:t>as the fifth fundamental principle and right at work.</w:t>
      </w:r>
      <w:r w:rsidR="009E58A7" w:rsidRPr="00360AAA">
        <w:rPr>
          <w:rStyle w:val="FootnoteReference"/>
          <w:rFonts w:ascii="Georgia" w:hAnsi="Georgia"/>
          <w:sz w:val="22"/>
          <w:szCs w:val="22"/>
        </w:rPr>
        <w:t xml:space="preserve"> </w:t>
      </w:r>
      <w:r w:rsidR="009E58A7" w:rsidRPr="00360AAA">
        <w:rPr>
          <w:rStyle w:val="FootnoteReference"/>
          <w:rFonts w:ascii="Georgia" w:hAnsi="Georgia"/>
          <w:sz w:val="22"/>
          <w:szCs w:val="22"/>
        </w:rPr>
        <w:footnoteReference w:id="2"/>
      </w:r>
      <w:r w:rsidR="003430CB" w:rsidRPr="00360AAA">
        <w:rPr>
          <w:rFonts w:ascii="Georgia" w:hAnsi="Georgia"/>
          <w:sz w:val="22"/>
          <w:szCs w:val="22"/>
        </w:rPr>
        <w:t xml:space="preserve"> </w:t>
      </w:r>
      <w:r w:rsidR="0041220F" w:rsidRPr="00360AAA">
        <w:rPr>
          <w:rFonts w:ascii="Georgia" w:hAnsi="Georgia"/>
          <w:sz w:val="22"/>
          <w:szCs w:val="22"/>
        </w:rPr>
        <w:t>A</w:t>
      </w:r>
      <w:r w:rsidR="00623D51" w:rsidRPr="00360AAA">
        <w:rPr>
          <w:rFonts w:ascii="Georgia" w:hAnsi="Georgia"/>
          <w:sz w:val="22"/>
          <w:szCs w:val="22"/>
        </w:rPr>
        <w:t>ll ILO member countries are obliged to uphold</w:t>
      </w:r>
      <w:r w:rsidR="0041220F" w:rsidRPr="00360AAA">
        <w:rPr>
          <w:rFonts w:ascii="Georgia" w:hAnsi="Georgia"/>
          <w:sz w:val="22"/>
          <w:szCs w:val="22"/>
        </w:rPr>
        <w:t xml:space="preserve"> </w:t>
      </w:r>
      <w:r w:rsidR="00215FBC" w:rsidRPr="00360AAA">
        <w:rPr>
          <w:rFonts w:ascii="Georgia" w:hAnsi="Georgia"/>
          <w:sz w:val="22"/>
          <w:szCs w:val="22"/>
        </w:rPr>
        <w:t xml:space="preserve">these </w:t>
      </w:r>
      <w:r w:rsidR="00215FBC" w:rsidRPr="00360AAA">
        <w:rPr>
          <w:rFonts w:ascii="Georgia" w:hAnsi="Georgia"/>
          <w:sz w:val="22"/>
          <w:szCs w:val="22"/>
        </w:rPr>
        <w:t>fundamental conventions</w:t>
      </w:r>
      <w:r w:rsidR="00215FBC" w:rsidRPr="00360AAA">
        <w:rPr>
          <w:rFonts w:ascii="Georgia" w:hAnsi="Georgia"/>
          <w:sz w:val="22"/>
          <w:szCs w:val="22"/>
        </w:rPr>
        <w:t xml:space="preserve">, irrespective whether they ratified </w:t>
      </w:r>
      <w:r w:rsidR="0011423F" w:rsidRPr="00360AAA">
        <w:rPr>
          <w:rFonts w:ascii="Georgia" w:hAnsi="Georgia"/>
          <w:sz w:val="22"/>
          <w:szCs w:val="22"/>
        </w:rPr>
        <w:t xml:space="preserve">them </w:t>
      </w:r>
      <w:r w:rsidR="00215FBC" w:rsidRPr="00360AAA">
        <w:rPr>
          <w:rFonts w:ascii="Georgia" w:hAnsi="Georgia"/>
          <w:sz w:val="22"/>
          <w:szCs w:val="22"/>
        </w:rPr>
        <w:t xml:space="preserve">or not. </w:t>
      </w:r>
    </w:p>
    <w:p w14:paraId="0E71E4B5" w14:textId="34D16F45" w:rsidR="001D1D0E" w:rsidRPr="00360AAA" w:rsidRDefault="00357B14" w:rsidP="00DC30E8">
      <w:pPr>
        <w:rPr>
          <w:rFonts w:ascii="Georgia" w:hAnsi="Georgia"/>
          <w:sz w:val="22"/>
          <w:szCs w:val="22"/>
        </w:rPr>
      </w:pPr>
      <w:r w:rsidRPr="00360AAA">
        <w:rPr>
          <w:rFonts w:ascii="Georgia" w:hAnsi="Georgia"/>
          <w:sz w:val="22"/>
          <w:szCs w:val="22"/>
        </w:rPr>
        <w:t>To</w:t>
      </w:r>
      <w:r w:rsidR="00DC30E8" w:rsidRPr="00360AAA">
        <w:rPr>
          <w:rFonts w:ascii="Georgia" w:hAnsi="Georgia"/>
          <w:sz w:val="22"/>
          <w:szCs w:val="22"/>
        </w:rPr>
        <w:t xml:space="preserve"> </w:t>
      </w:r>
      <w:r w:rsidR="0094486C" w:rsidRPr="00360AAA">
        <w:rPr>
          <w:rFonts w:ascii="Georgia" w:hAnsi="Georgia"/>
          <w:sz w:val="22"/>
          <w:szCs w:val="22"/>
        </w:rPr>
        <w:t>engage</w:t>
      </w:r>
      <w:r w:rsidR="00DC30E8" w:rsidRPr="00360AAA">
        <w:rPr>
          <w:rFonts w:ascii="Georgia" w:hAnsi="Georgia"/>
          <w:sz w:val="22"/>
          <w:szCs w:val="22"/>
        </w:rPr>
        <w:t xml:space="preserve"> on climate change,</w:t>
      </w:r>
      <w:r w:rsidRPr="00360AAA">
        <w:rPr>
          <w:rFonts w:ascii="Georgia" w:hAnsi="Georgia"/>
          <w:sz w:val="22"/>
          <w:szCs w:val="22"/>
        </w:rPr>
        <w:t xml:space="preserve"> including on loss and damage, </w:t>
      </w:r>
      <w:r w:rsidR="00DC30E8" w:rsidRPr="00360AAA">
        <w:rPr>
          <w:rFonts w:ascii="Georgia" w:hAnsi="Georgia"/>
          <w:sz w:val="22"/>
          <w:szCs w:val="22"/>
        </w:rPr>
        <w:t xml:space="preserve">trade unions need to be authorized, accepted and be able to organize themselves. The ITUC’s </w:t>
      </w:r>
      <w:r w:rsidR="00C53F32" w:rsidRPr="00360AAA">
        <w:rPr>
          <w:rFonts w:ascii="Georgia" w:hAnsi="Georgia"/>
          <w:sz w:val="22"/>
          <w:szCs w:val="22"/>
        </w:rPr>
        <w:t xml:space="preserve">2021 </w:t>
      </w:r>
      <w:r w:rsidR="00DC30E8" w:rsidRPr="00360AAA">
        <w:rPr>
          <w:rFonts w:ascii="Georgia" w:hAnsi="Georgia"/>
          <w:sz w:val="22"/>
          <w:szCs w:val="22"/>
        </w:rPr>
        <w:t xml:space="preserve">Global Rights Index report </w:t>
      </w:r>
      <w:r w:rsidR="0044681C" w:rsidRPr="00360AAA">
        <w:rPr>
          <w:sz w:val="22"/>
          <w:szCs w:val="22"/>
        </w:rPr>
        <w:t>exposes attacks on the right to strike and the right to establish and join a trade union, as well as on the registration of unions; arbitrary arrests and detentions; and the denial of freedom of speech and assembly, which is at an all-time high.</w:t>
      </w:r>
      <w:r w:rsidR="009564AE" w:rsidRPr="00360AAA">
        <w:rPr>
          <w:rStyle w:val="FootnoteReference"/>
          <w:sz w:val="22"/>
          <w:szCs w:val="22"/>
        </w:rPr>
        <w:footnoteReference w:id="3"/>
      </w:r>
      <w:r w:rsidR="0044681C" w:rsidRPr="00360AAA">
        <w:rPr>
          <w:sz w:val="22"/>
          <w:szCs w:val="22"/>
        </w:rPr>
        <w:t xml:space="preserve"> </w:t>
      </w:r>
    </w:p>
    <w:p w14:paraId="3A3BB6DB" w14:textId="02519E29" w:rsidR="007F14F2" w:rsidRPr="00360AAA" w:rsidRDefault="00DC30E8" w:rsidP="00DC30E8">
      <w:pPr>
        <w:rPr>
          <w:rFonts w:ascii="Georgia" w:hAnsi="Georgia"/>
          <w:sz w:val="22"/>
          <w:szCs w:val="22"/>
        </w:rPr>
      </w:pPr>
      <w:r w:rsidRPr="00360AAA">
        <w:rPr>
          <w:rFonts w:ascii="Georgia" w:hAnsi="Georgia"/>
          <w:sz w:val="22"/>
          <w:szCs w:val="22"/>
        </w:rPr>
        <w:lastRenderedPageBreak/>
        <w:t xml:space="preserve">The protection of Fundamental </w:t>
      </w:r>
      <w:r w:rsidR="00CD2B61" w:rsidRPr="00360AAA">
        <w:rPr>
          <w:rFonts w:ascii="Georgia" w:hAnsi="Georgia"/>
          <w:sz w:val="22"/>
          <w:szCs w:val="22"/>
        </w:rPr>
        <w:t>Labour</w:t>
      </w:r>
      <w:r w:rsidRPr="00360AAA">
        <w:rPr>
          <w:rFonts w:ascii="Georgia" w:hAnsi="Georgia"/>
          <w:sz w:val="22"/>
          <w:szCs w:val="22"/>
        </w:rPr>
        <w:t xml:space="preserve"> Rights is an essential part of a Just Transition (especially </w:t>
      </w:r>
      <w:r w:rsidR="009E58A7" w:rsidRPr="00360AAA">
        <w:rPr>
          <w:rFonts w:ascii="Georgia" w:hAnsi="Georgia"/>
          <w:sz w:val="22"/>
          <w:szCs w:val="22"/>
        </w:rPr>
        <w:t>occupational health and safety</w:t>
      </w:r>
      <w:r w:rsidR="003430CB" w:rsidRPr="00360AAA">
        <w:rPr>
          <w:rFonts w:ascii="Georgia" w:hAnsi="Georgia"/>
          <w:sz w:val="22"/>
          <w:szCs w:val="22"/>
        </w:rPr>
        <w:t xml:space="preserve">, </w:t>
      </w:r>
      <w:r w:rsidRPr="00360AAA">
        <w:rPr>
          <w:rFonts w:ascii="Georgia" w:hAnsi="Georgia"/>
          <w:sz w:val="22"/>
          <w:szCs w:val="22"/>
        </w:rPr>
        <w:t>social dialogue and freedom of association). Just Transition measures and policies for workers, their families and communities are crucial to get support in society for the ambitious climate policies we need.</w:t>
      </w:r>
    </w:p>
    <w:p w14:paraId="52E9DBCC" w14:textId="07C38942" w:rsidR="0073667B" w:rsidRPr="00360AAA" w:rsidRDefault="0073667B" w:rsidP="0073667B">
      <w:pPr>
        <w:rPr>
          <w:rFonts w:ascii="Georgia" w:hAnsi="Georgia"/>
          <w:b/>
          <w:bCs/>
          <w:sz w:val="22"/>
          <w:szCs w:val="22"/>
        </w:rPr>
      </w:pPr>
      <w:r w:rsidRPr="00360AAA">
        <w:rPr>
          <w:rFonts w:ascii="Georgia" w:hAnsi="Georgia"/>
          <w:b/>
          <w:bCs/>
          <w:sz w:val="22"/>
          <w:szCs w:val="22"/>
        </w:rPr>
        <w:t>Definition of Just Transition</w:t>
      </w:r>
    </w:p>
    <w:p w14:paraId="1D159CF3" w14:textId="0C3660E1" w:rsidR="003300E4" w:rsidRPr="00360AAA" w:rsidRDefault="00B10F5A" w:rsidP="00B10F5A">
      <w:pPr>
        <w:rPr>
          <w:rFonts w:ascii="Georgia" w:hAnsi="Georgia"/>
          <w:sz w:val="22"/>
          <w:szCs w:val="22"/>
        </w:rPr>
      </w:pPr>
      <w:r w:rsidRPr="00360AAA">
        <w:rPr>
          <w:rFonts w:ascii="Georgia" w:hAnsi="Georgia"/>
          <w:sz w:val="22"/>
          <w:szCs w:val="22"/>
        </w:rPr>
        <w:t>As has been recognised explicitly by the Paris Agreement, workers are central in defining and implementing just transition plans.</w:t>
      </w:r>
      <w:r w:rsidR="00486FDC" w:rsidRPr="00360AAA">
        <w:rPr>
          <w:rStyle w:val="FootnoteReference"/>
          <w:rFonts w:ascii="Georgia" w:hAnsi="Georgia"/>
          <w:sz w:val="22"/>
          <w:szCs w:val="22"/>
        </w:rPr>
        <w:footnoteReference w:id="4"/>
      </w:r>
      <w:r w:rsidRPr="00360AAA">
        <w:rPr>
          <w:rFonts w:ascii="Georgia" w:hAnsi="Georgia"/>
          <w:sz w:val="22"/>
          <w:szCs w:val="22"/>
        </w:rPr>
        <w:t xml:space="preserve"> </w:t>
      </w:r>
      <w:r w:rsidR="004E11E9" w:rsidRPr="00360AAA">
        <w:rPr>
          <w:rFonts w:ascii="Georgia" w:hAnsi="Georgia"/>
          <w:sz w:val="22"/>
          <w:szCs w:val="22"/>
        </w:rPr>
        <w:t>The ITUC uses the following definition of Just Transition:</w:t>
      </w:r>
    </w:p>
    <w:p w14:paraId="3A1A233A" w14:textId="3437E981" w:rsidR="00E948FC" w:rsidRPr="00360AAA" w:rsidRDefault="00E948FC" w:rsidP="00E948FC">
      <w:pPr>
        <w:ind w:left="709"/>
        <w:rPr>
          <w:rFonts w:ascii="Georgia" w:hAnsi="Georgia"/>
          <w:sz w:val="22"/>
          <w:szCs w:val="22"/>
        </w:rPr>
      </w:pPr>
      <w:r w:rsidRPr="00360AAA">
        <w:rPr>
          <w:rFonts w:ascii="Georgia" w:hAnsi="Georgia"/>
          <w:sz w:val="22"/>
          <w:szCs w:val="22"/>
        </w:rPr>
        <w:t xml:space="preserve">A just transition secures the future and livelihoods of workers and their communities in the transition to a low-carbon economy. It is based on social dialogue between workers and their unions, employers and governments. A plan for just transition provides and guarantees better and decent jobs, social protection, more training opportunities and greater job security for all workers affected by global warming and climate change policies. </w:t>
      </w:r>
    </w:p>
    <w:p w14:paraId="5BF96E27" w14:textId="497D5F70" w:rsidR="00B10F5A" w:rsidRPr="00360AAA" w:rsidRDefault="009327B5" w:rsidP="009327B5">
      <w:pPr>
        <w:spacing w:after="120"/>
        <w:contextualSpacing/>
        <w:rPr>
          <w:rFonts w:ascii="Georgia" w:hAnsi="Georgia"/>
          <w:sz w:val="22"/>
          <w:szCs w:val="22"/>
        </w:rPr>
      </w:pPr>
      <w:r w:rsidRPr="00360AAA">
        <w:rPr>
          <w:rFonts w:ascii="Georgia" w:hAnsi="Georgia"/>
          <w:sz w:val="22"/>
          <w:szCs w:val="22"/>
        </w:rPr>
        <w:t>The International Labour Organization (ILO) has provided comprehensive guidelines for the implementation of these just transition policies and measures.</w:t>
      </w:r>
      <w:r w:rsidRPr="00360AAA">
        <w:rPr>
          <w:rFonts w:ascii="Georgia" w:hAnsi="Georgia"/>
          <w:sz w:val="22"/>
          <w:szCs w:val="22"/>
          <w:vertAlign w:val="superscript"/>
        </w:rPr>
        <w:footnoteReference w:id="5"/>
      </w:r>
      <w:r w:rsidRPr="00360AAA">
        <w:rPr>
          <w:rFonts w:ascii="Georgia" w:hAnsi="Georgia"/>
          <w:sz w:val="22"/>
          <w:szCs w:val="22"/>
        </w:rPr>
        <w:t xml:space="preserve"> </w:t>
      </w:r>
      <w:r w:rsidR="00B10F5A" w:rsidRPr="00360AAA">
        <w:rPr>
          <w:rFonts w:ascii="Georgia" w:hAnsi="Georgia"/>
          <w:sz w:val="22"/>
          <w:szCs w:val="22"/>
        </w:rPr>
        <w:t>Social dialogue is the core instrument to deal with the ‘justice’ aspect of the transition. Organised labour negotiates with employers and governments about the elements of climate policy measures. Adequate, informed and ongoing consultation should take place with all relevant stakeholders. To reflect these different aspects, a Just Transition framework should be supported by the following pillars that reflect the different parts of the ILO Just Transition Guidelines:</w:t>
      </w:r>
    </w:p>
    <w:p w14:paraId="2A33B9A7" w14:textId="77777777" w:rsidR="00B10F5A" w:rsidRPr="00360AAA" w:rsidRDefault="00B10F5A" w:rsidP="009327B5">
      <w:pPr>
        <w:numPr>
          <w:ilvl w:val="0"/>
          <w:numId w:val="6"/>
        </w:numPr>
        <w:spacing w:after="120"/>
        <w:contextualSpacing/>
        <w:rPr>
          <w:rFonts w:ascii="Georgia" w:hAnsi="Georgia"/>
          <w:sz w:val="22"/>
          <w:szCs w:val="22"/>
        </w:rPr>
      </w:pPr>
      <w:r w:rsidRPr="00360AAA">
        <w:rPr>
          <w:rFonts w:ascii="Georgia" w:hAnsi="Georgia"/>
          <w:sz w:val="22"/>
          <w:szCs w:val="22"/>
        </w:rPr>
        <w:t xml:space="preserve">early assessment of the social and economic consequences of climate change and responses to it: </w:t>
      </w:r>
    </w:p>
    <w:p w14:paraId="1D660E9E" w14:textId="77777777" w:rsidR="00B10F5A" w:rsidRPr="00360AAA" w:rsidRDefault="00B10F5A" w:rsidP="009327B5">
      <w:pPr>
        <w:numPr>
          <w:ilvl w:val="0"/>
          <w:numId w:val="6"/>
        </w:numPr>
        <w:spacing w:after="120"/>
        <w:contextualSpacing/>
        <w:rPr>
          <w:rFonts w:ascii="Georgia" w:hAnsi="Georgia"/>
          <w:sz w:val="22"/>
          <w:szCs w:val="22"/>
        </w:rPr>
      </w:pPr>
      <w:r w:rsidRPr="00360AAA">
        <w:rPr>
          <w:rFonts w:ascii="Georgia" w:hAnsi="Georgia"/>
          <w:sz w:val="22"/>
          <w:szCs w:val="22"/>
        </w:rPr>
        <w:t xml:space="preserve">promotion of substantial public investment in low-carbon sectors and </w:t>
      </w:r>
      <w:proofErr w:type="gramStart"/>
      <w:r w:rsidRPr="00360AAA">
        <w:rPr>
          <w:rFonts w:ascii="Georgia" w:hAnsi="Georgia"/>
          <w:sz w:val="22"/>
          <w:szCs w:val="22"/>
        </w:rPr>
        <w:t>technologies;</w:t>
      </w:r>
      <w:proofErr w:type="gramEnd"/>
      <w:r w:rsidRPr="00360AAA">
        <w:rPr>
          <w:rFonts w:ascii="Georgia" w:hAnsi="Georgia"/>
          <w:sz w:val="22"/>
          <w:szCs w:val="22"/>
        </w:rPr>
        <w:t xml:space="preserve"> </w:t>
      </w:r>
    </w:p>
    <w:p w14:paraId="6F4B79CB" w14:textId="77777777" w:rsidR="00B10F5A" w:rsidRPr="00360AAA" w:rsidRDefault="00B10F5A" w:rsidP="009327B5">
      <w:pPr>
        <w:numPr>
          <w:ilvl w:val="0"/>
          <w:numId w:val="6"/>
        </w:numPr>
        <w:spacing w:after="120"/>
        <w:contextualSpacing/>
        <w:rPr>
          <w:rFonts w:ascii="Georgia" w:hAnsi="Georgia"/>
          <w:sz w:val="22"/>
          <w:szCs w:val="22"/>
        </w:rPr>
      </w:pPr>
      <w:r w:rsidRPr="00360AAA">
        <w:rPr>
          <w:rFonts w:ascii="Georgia" w:hAnsi="Georgia"/>
          <w:sz w:val="22"/>
          <w:szCs w:val="22"/>
        </w:rPr>
        <w:t xml:space="preserve">implementation of active policies for the restructuring and diversification of the </w:t>
      </w:r>
      <w:proofErr w:type="gramStart"/>
      <w:r w:rsidRPr="00360AAA">
        <w:rPr>
          <w:rFonts w:ascii="Georgia" w:hAnsi="Georgia"/>
          <w:sz w:val="22"/>
          <w:szCs w:val="22"/>
        </w:rPr>
        <w:t>economy;</w:t>
      </w:r>
      <w:proofErr w:type="gramEnd"/>
      <w:r w:rsidRPr="00360AAA">
        <w:rPr>
          <w:rFonts w:ascii="Georgia" w:hAnsi="Georgia"/>
          <w:sz w:val="22"/>
          <w:szCs w:val="22"/>
        </w:rPr>
        <w:t xml:space="preserve"> </w:t>
      </w:r>
    </w:p>
    <w:p w14:paraId="3D8C5C01" w14:textId="77777777" w:rsidR="00B10F5A" w:rsidRPr="00360AAA" w:rsidRDefault="00B10F5A" w:rsidP="009327B5">
      <w:pPr>
        <w:numPr>
          <w:ilvl w:val="0"/>
          <w:numId w:val="6"/>
        </w:numPr>
        <w:spacing w:after="120"/>
        <w:contextualSpacing/>
        <w:rPr>
          <w:rFonts w:ascii="Georgia" w:hAnsi="Georgia"/>
          <w:sz w:val="22"/>
          <w:szCs w:val="22"/>
        </w:rPr>
      </w:pPr>
      <w:r w:rsidRPr="00360AAA">
        <w:rPr>
          <w:rFonts w:ascii="Georgia" w:hAnsi="Georgia"/>
          <w:sz w:val="22"/>
          <w:szCs w:val="22"/>
        </w:rPr>
        <w:t xml:space="preserve">promotion of professional training and retraining for the development of </w:t>
      </w:r>
      <w:proofErr w:type="gramStart"/>
      <w:r w:rsidRPr="00360AAA">
        <w:rPr>
          <w:rFonts w:ascii="Georgia" w:hAnsi="Georgia"/>
          <w:sz w:val="22"/>
          <w:szCs w:val="22"/>
        </w:rPr>
        <w:t>skills;</w:t>
      </w:r>
      <w:proofErr w:type="gramEnd"/>
      <w:r w:rsidRPr="00360AAA">
        <w:rPr>
          <w:rFonts w:ascii="Georgia" w:hAnsi="Georgia"/>
          <w:sz w:val="22"/>
          <w:szCs w:val="22"/>
        </w:rPr>
        <w:t xml:space="preserve"> </w:t>
      </w:r>
    </w:p>
    <w:p w14:paraId="4CB2648F" w14:textId="77777777" w:rsidR="00B10F5A" w:rsidRPr="00360AAA" w:rsidRDefault="00B10F5A" w:rsidP="009327B5">
      <w:pPr>
        <w:numPr>
          <w:ilvl w:val="0"/>
          <w:numId w:val="6"/>
        </w:numPr>
        <w:spacing w:after="120"/>
        <w:contextualSpacing/>
        <w:rPr>
          <w:rFonts w:ascii="Georgia" w:hAnsi="Georgia"/>
          <w:sz w:val="22"/>
          <w:szCs w:val="22"/>
        </w:rPr>
      </w:pPr>
      <w:r w:rsidRPr="00360AAA">
        <w:rPr>
          <w:rFonts w:ascii="Georgia" w:hAnsi="Georgia"/>
          <w:sz w:val="22"/>
          <w:szCs w:val="22"/>
        </w:rPr>
        <w:t>strengthening of social protection systems and public investment in health, education, etc.; and</w:t>
      </w:r>
    </w:p>
    <w:p w14:paraId="72C8A5C0" w14:textId="77777777" w:rsidR="00B10F5A" w:rsidRPr="00360AAA" w:rsidRDefault="00B10F5A" w:rsidP="009327B5">
      <w:pPr>
        <w:numPr>
          <w:ilvl w:val="0"/>
          <w:numId w:val="6"/>
        </w:numPr>
        <w:spacing w:after="120"/>
        <w:contextualSpacing/>
        <w:rPr>
          <w:rFonts w:ascii="Georgia" w:hAnsi="Georgia"/>
          <w:sz w:val="22"/>
          <w:szCs w:val="22"/>
        </w:rPr>
      </w:pPr>
      <w:r w:rsidRPr="00360AAA">
        <w:rPr>
          <w:rFonts w:ascii="Georgia" w:hAnsi="Georgia"/>
          <w:sz w:val="22"/>
          <w:szCs w:val="22"/>
        </w:rPr>
        <w:t>promotion of social dialogue, collective bargaining and social participation.</w:t>
      </w:r>
    </w:p>
    <w:p w14:paraId="395A0B4F" w14:textId="51B02427" w:rsidR="001D3E14" w:rsidRPr="00360AAA" w:rsidRDefault="001D3E14" w:rsidP="001D3E14">
      <w:pPr>
        <w:rPr>
          <w:rFonts w:ascii="Georgia" w:hAnsi="Georgia"/>
          <w:b/>
          <w:sz w:val="22"/>
          <w:szCs w:val="22"/>
          <w:lang w:val="en"/>
        </w:rPr>
      </w:pPr>
      <w:r w:rsidRPr="00360AAA">
        <w:rPr>
          <w:rFonts w:ascii="Georgia" w:hAnsi="Georgia"/>
          <w:b/>
          <w:sz w:val="22"/>
          <w:szCs w:val="22"/>
          <w:lang w:val="en"/>
        </w:rPr>
        <w:t>Question 7: What actions are necessary to enhance actions by States, business enterprises, civil society and intergovernmental organizations to dramatically increase efforts to reduce emissions of greenhouse gases, including through support to developing countries, in particular small island developing States, least developed countries and landlocked developing States, to limit the human rights impacts on particularly individuals and communities in vulnerable situations to the adverse impacts of climate change?</w:t>
      </w:r>
    </w:p>
    <w:p w14:paraId="09F847DC" w14:textId="77777777" w:rsidR="00A0486A" w:rsidRPr="00360AAA" w:rsidRDefault="00A0486A" w:rsidP="00A0486A">
      <w:pPr>
        <w:rPr>
          <w:rFonts w:ascii="Georgia" w:hAnsi="Georgia"/>
          <w:b/>
          <w:sz w:val="22"/>
          <w:szCs w:val="22"/>
          <w:lang w:val="en"/>
        </w:rPr>
      </w:pPr>
      <w:r w:rsidRPr="00360AAA">
        <w:rPr>
          <w:rFonts w:ascii="Georgia" w:hAnsi="Georgia"/>
          <w:b/>
          <w:sz w:val="22"/>
          <w:szCs w:val="22"/>
          <w:lang w:val="en"/>
        </w:rPr>
        <w:t xml:space="preserve">Question 8: What actions are necessary to enhance actions by States, business enterprises, civil </w:t>
      </w:r>
      <w:proofErr w:type="gramStart"/>
      <w:r w:rsidRPr="00360AAA">
        <w:rPr>
          <w:rFonts w:ascii="Georgia" w:hAnsi="Georgia"/>
          <w:b/>
          <w:sz w:val="22"/>
          <w:szCs w:val="22"/>
          <w:lang w:val="en"/>
        </w:rPr>
        <w:t>society</w:t>
      </w:r>
      <w:proofErr w:type="gramEnd"/>
      <w:r w:rsidRPr="00360AAA">
        <w:rPr>
          <w:rFonts w:ascii="Georgia" w:hAnsi="Georgia"/>
          <w:b/>
          <w:sz w:val="22"/>
          <w:szCs w:val="22"/>
          <w:lang w:val="en"/>
        </w:rPr>
        <w:t xml:space="preserve"> and intergovernmental organizations to increase efforts to ensure that actions to adapt to the impacts of climate change </w:t>
      </w:r>
      <w:r w:rsidRPr="00360AAA">
        <w:rPr>
          <w:rFonts w:ascii="Georgia" w:hAnsi="Georgia"/>
          <w:b/>
          <w:sz w:val="22"/>
          <w:szCs w:val="22"/>
          <w:lang w:val="en"/>
        </w:rPr>
        <w:lastRenderedPageBreak/>
        <w:t>contribute to reducing, and not exacerbating, the vulnerabilities of individuals and communities in vulnerable situations to the adverse impacts of climate change?</w:t>
      </w:r>
    </w:p>
    <w:p w14:paraId="067C7DBD" w14:textId="3954CF2F" w:rsidR="00175D2D" w:rsidRPr="00360AAA" w:rsidRDefault="008A1335" w:rsidP="002F0381">
      <w:pPr>
        <w:rPr>
          <w:rFonts w:ascii="Georgia" w:hAnsi="Georgia"/>
          <w:bCs/>
          <w:sz w:val="22"/>
          <w:szCs w:val="22"/>
        </w:rPr>
      </w:pPr>
      <w:r w:rsidRPr="00360AAA">
        <w:rPr>
          <w:rFonts w:ascii="Georgia" w:hAnsi="Georgia"/>
          <w:bCs/>
          <w:sz w:val="22"/>
          <w:szCs w:val="22"/>
        </w:rPr>
        <w:t xml:space="preserve">This answers </w:t>
      </w:r>
      <w:r w:rsidR="006F5884" w:rsidRPr="00360AAA">
        <w:rPr>
          <w:rFonts w:ascii="Georgia" w:hAnsi="Georgia"/>
          <w:bCs/>
          <w:sz w:val="22"/>
          <w:szCs w:val="22"/>
        </w:rPr>
        <w:t xml:space="preserve">both </w:t>
      </w:r>
      <w:r w:rsidRPr="00360AAA">
        <w:rPr>
          <w:rFonts w:ascii="Georgia" w:hAnsi="Georgia"/>
          <w:bCs/>
          <w:sz w:val="22"/>
          <w:szCs w:val="22"/>
        </w:rPr>
        <w:t>questions 7 and 8</w:t>
      </w:r>
      <w:r w:rsidR="00CA3659" w:rsidRPr="00360AAA">
        <w:rPr>
          <w:rFonts w:ascii="Georgia" w:hAnsi="Georgia"/>
          <w:bCs/>
          <w:sz w:val="22"/>
          <w:szCs w:val="22"/>
        </w:rPr>
        <w:t>.</w:t>
      </w:r>
      <w:r w:rsidR="006F5884" w:rsidRPr="00360AAA">
        <w:rPr>
          <w:rFonts w:ascii="Georgia" w:hAnsi="Georgia"/>
          <w:bCs/>
          <w:sz w:val="22"/>
          <w:szCs w:val="22"/>
        </w:rPr>
        <w:t xml:space="preserve"> </w:t>
      </w:r>
      <w:r w:rsidR="00A719F1" w:rsidRPr="00360AAA">
        <w:rPr>
          <w:rFonts w:ascii="Georgia" w:hAnsi="Georgia"/>
          <w:bCs/>
          <w:sz w:val="22"/>
          <w:szCs w:val="22"/>
        </w:rPr>
        <w:t>The trade union movement sees providing universal social protection as an important concept to increase resilience in society and to help protect workers, families and communities against the impact of climate change</w:t>
      </w:r>
      <w:r w:rsidR="003D3EC7" w:rsidRPr="00360AAA">
        <w:rPr>
          <w:rFonts w:ascii="Georgia" w:hAnsi="Georgia"/>
          <w:bCs/>
          <w:sz w:val="22"/>
          <w:szCs w:val="22"/>
        </w:rPr>
        <w:t>. From the perspective of the movement, it should be a central part of a</w:t>
      </w:r>
      <w:r w:rsidR="00EB2C8F" w:rsidRPr="00360AAA">
        <w:rPr>
          <w:rFonts w:ascii="Georgia" w:hAnsi="Georgia"/>
          <w:bCs/>
          <w:sz w:val="22"/>
          <w:szCs w:val="22"/>
        </w:rPr>
        <w:t xml:space="preserve">ll mitigation, adaptation and </w:t>
      </w:r>
      <w:r w:rsidR="003D3EC7" w:rsidRPr="00360AAA">
        <w:rPr>
          <w:rFonts w:ascii="Georgia" w:hAnsi="Georgia"/>
          <w:bCs/>
          <w:sz w:val="22"/>
          <w:szCs w:val="22"/>
        </w:rPr>
        <w:t>loss and damage policies.</w:t>
      </w:r>
      <w:r w:rsidR="00BC4DA1" w:rsidRPr="00360AAA">
        <w:rPr>
          <w:rFonts w:ascii="Georgia" w:hAnsi="Georgia"/>
          <w:bCs/>
          <w:sz w:val="22"/>
          <w:szCs w:val="22"/>
        </w:rPr>
        <w:t xml:space="preserve"> </w:t>
      </w:r>
      <w:r w:rsidR="00365B64" w:rsidRPr="00360AAA">
        <w:rPr>
          <w:rFonts w:ascii="Georgia" w:hAnsi="Georgia"/>
          <w:bCs/>
          <w:sz w:val="22"/>
          <w:szCs w:val="22"/>
        </w:rPr>
        <w:t>Social protection systems are a fundamental component of decent work and an essential part of just transition.</w:t>
      </w:r>
      <w:r w:rsidR="002F0381" w:rsidRPr="00360AAA">
        <w:rPr>
          <w:rStyle w:val="FootnoteReference"/>
          <w:rFonts w:ascii="Georgia" w:hAnsi="Georgia"/>
          <w:bCs/>
          <w:sz w:val="22"/>
          <w:szCs w:val="22"/>
        </w:rPr>
        <w:footnoteReference w:id="6"/>
      </w:r>
      <w:r w:rsidR="00365B64" w:rsidRPr="00360AAA">
        <w:rPr>
          <w:rFonts w:ascii="Georgia" w:hAnsi="Georgia"/>
          <w:bCs/>
          <w:sz w:val="22"/>
          <w:szCs w:val="22"/>
        </w:rPr>
        <w:t xml:space="preserve"> </w:t>
      </w:r>
    </w:p>
    <w:p w14:paraId="4EE9C7EB" w14:textId="22C44501" w:rsidR="00C62174" w:rsidRPr="00360AAA" w:rsidRDefault="00C62174" w:rsidP="00556434">
      <w:pPr>
        <w:rPr>
          <w:rFonts w:ascii="Georgia" w:hAnsi="Georgia"/>
          <w:bCs/>
          <w:sz w:val="22"/>
          <w:szCs w:val="22"/>
        </w:rPr>
      </w:pPr>
      <w:r w:rsidRPr="00360AAA">
        <w:rPr>
          <w:rFonts w:ascii="Georgia" w:hAnsi="Georgia"/>
          <w:bCs/>
          <w:sz w:val="22"/>
          <w:szCs w:val="22"/>
        </w:rPr>
        <w:t xml:space="preserve">The right to social security is recognized in numerous </w:t>
      </w:r>
      <w:r w:rsidR="007E56D8" w:rsidRPr="00360AAA">
        <w:rPr>
          <w:rFonts w:ascii="Georgia" w:hAnsi="Georgia"/>
          <w:bCs/>
          <w:sz w:val="22"/>
          <w:szCs w:val="22"/>
        </w:rPr>
        <w:t xml:space="preserve">international </w:t>
      </w:r>
      <w:r w:rsidRPr="00360AAA">
        <w:rPr>
          <w:rFonts w:ascii="Georgia" w:hAnsi="Georgia"/>
          <w:bCs/>
          <w:sz w:val="22"/>
          <w:szCs w:val="22"/>
        </w:rPr>
        <w:t xml:space="preserve">human rights instruments, including the Universal Declaration of Human Rights and the International Covenant on Economic, Social and Cultural Rights and is crucial for guaranteeing a life </w:t>
      </w:r>
      <w:r w:rsidR="00491F71" w:rsidRPr="00360AAA">
        <w:rPr>
          <w:rFonts w:ascii="Georgia" w:hAnsi="Georgia"/>
          <w:bCs/>
          <w:sz w:val="22"/>
          <w:szCs w:val="22"/>
        </w:rPr>
        <w:t>of</w:t>
      </w:r>
      <w:r w:rsidR="00491F71" w:rsidRPr="00360AAA">
        <w:rPr>
          <w:rFonts w:ascii="Georgia" w:hAnsi="Georgia"/>
          <w:bCs/>
          <w:sz w:val="22"/>
          <w:szCs w:val="22"/>
        </w:rPr>
        <w:t xml:space="preserve"> </w:t>
      </w:r>
      <w:r w:rsidRPr="00360AAA">
        <w:rPr>
          <w:rFonts w:ascii="Georgia" w:hAnsi="Georgia"/>
          <w:bCs/>
          <w:sz w:val="22"/>
          <w:szCs w:val="22"/>
        </w:rPr>
        <w:t xml:space="preserve">dignity. </w:t>
      </w:r>
      <w:r w:rsidR="00E8457E" w:rsidRPr="00360AAA">
        <w:rPr>
          <w:rFonts w:ascii="Georgia" w:hAnsi="Georgia"/>
          <w:bCs/>
          <w:sz w:val="22"/>
          <w:szCs w:val="22"/>
        </w:rPr>
        <w:t xml:space="preserve">Social protection </w:t>
      </w:r>
      <w:r w:rsidR="007240D8" w:rsidRPr="00360AAA">
        <w:rPr>
          <w:rFonts w:ascii="Georgia" w:hAnsi="Georgia"/>
          <w:bCs/>
          <w:sz w:val="22"/>
          <w:szCs w:val="22"/>
        </w:rPr>
        <w:t>is a</w:t>
      </w:r>
      <w:r w:rsidR="009E58A7" w:rsidRPr="00360AAA">
        <w:rPr>
          <w:rFonts w:ascii="Georgia" w:hAnsi="Georgia"/>
          <w:bCs/>
          <w:sz w:val="22"/>
          <w:szCs w:val="22"/>
        </w:rPr>
        <w:t xml:space="preserve"> </w:t>
      </w:r>
      <w:r w:rsidRPr="00360AAA">
        <w:rPr>
          <w:rFonts w:ascii="Georgia" w:hAnsi="Georgia"/>
          <w:bCs/>
          <w:sz w:val="22"/>
          <w:szCs w:val="22"/>
        </w:rPr>
        <w:t>fundamental human right</w:t>
      </w:r>
      <w:r w:rsidR="00E8457E" w:rsidRPr="00360AAA">
        <w:rPr>
          <w:rFonts w:ascii="Georgia" w:hAnsi="Georgia"/>
          <w:bCs/>
          <w:sz w:val="22"/>
          <w:szCs w:val="22"/>
        </w:rPr>
        <w:t xml:space="preserve">. Investing in </w:t>
      </w:r>
      <w:r w:rsidR="009F07B1" w:rsidRPr="00360AAA">
        <w:rPr>
          <w:rFonts w:ascii="Georgia" w:hAnsi="Georgia"/>
          <w:bCs/>
          <w:sz w:val="22"/>
          <w:szCs w:val="22"/>
        </w:rPr>
        <w:t xml:space="preserve">universal social </w:t>
      </w:r>
      <w:r w:rsidR="007240D8" w:rsidRPr="00360AAA">
        <w:rPr>
          <w:rFonts w:ascii="Georgia" w:hAnsi="Georgia"/>
          <w:bCs/>
          <w:sz w:val="22"/>
          <w:szCs w:val="22"/>
        </w:rPr>
        <w:t>protection is</w:t>
      </w:r>
      <w:r w:rsidRPr="00360AAA">
        <w:rPr>
          <w:rFonts w:ascii="Georgia" w:hAnsi="Georgia"/>
          <w:bCs/>
          <w:sz w:val="22"/>
          <w:szCs w:val="22"/>
        </w:rPr>
        <w:t xml:space="preserve"> a potent tool to combat</w:t>
      </w:r>
      <w:r w:rsidR="009A408F" w:rsidRPr="00360AAA">
        <w:rPr>
          <w:rFonts w:ascii="Georgia" w:hAnsi="Georgia"/>
          <w:bCs/>
          <w:sz w:val="22"/>
          <w:szCs w:val="22"/>
        </w:rPr>
        <w:t xml:space="preserve"> climate change</w:t>
      </w:r>
      <w:r w:rsidR="009431B4" w:rsidRPr="00360AAA">
        <w:rPr>
          <w:rFonts w:ascii="Georgia" w:hAnsi="Georgia"/>
          <w:bCs/>
          <w:sz w:val="22"/>
          <w:szCs w:val="22"/>
        </w:rPr>
        <w:t xml:space="preserve"> and</w:t>
      </w:r>
      <w:r w:rsidRPr="00360AAA">
        <w:rPr>
          <w:rFonts w:ascii="Georgia" w:hAnsi="Georgia"/>
          <w:bCs/>
          <w:sz w:val="22"/>
          <w:szCs w:val="22"/>
        </w:rPr>
        <w:t xml:space="preserve"> discrimination and </w:t>
      </w:r>
      <w:r w:rsidR="009A408F" w:rsidRPr="00360AAA">
        <w:rPr>
          <w:rFonts w:ascii="Georgia" w:hAnsi="Georgia"/>
          <w:bCs/>
          <w:sz w:val="22"/>
          <w:szCs w:val="22"/>
        </w:rPr>
        <w:t xml:space="preserve">is </w:t>
      </w:r>
      <w:r w:rsidRPr="00360AAA">
        <w:rPr>
          <w:rFonts w:ascii="Georgia" w:hAnsi="Georgia"/>
          <w:bCs/>
          <w:sz w:val="22"/>
          <w:szCs w:val="22"/>
        </w:rPr>
        <w:t xml:space="preserve">an essential instrument for reducing poverty and promoting </w:t>
      </w:r>
      <w:r w:rsidR="004C58AB" w:rsidRPr="00360AAA">
        <w:rPr>
          <w:rFonts w:ascii="Georgia" w:hAnsi="Georgia"/>
          <w:bCs/>
          <w:sz w:val="22"/>
          <w:szCs w:val="22"/>
        </w:rPr>
        <w:t xml:space="preserve">economic and social development while addressing </w:t>
      </w:r>
      <w:r w:rsidRPr="00360AAA">
        <w:rPr>
          <w:rFonts w:ascii="Georgia" w:hAnsi="Georgia"/>
          <w:bCs/>
          <w:sz w:val="22"/>
          <w:szCs w:val="22"/>
        </w:rPr>
        <w:t>social inclusion. It aims to provide income security and support at every stage of life for everyone, with particular attention to the most marginalized.</w:t>
      </w:r>
      <w:r w:rsidR="00167DB8" w:rsidRPr="00360AAA">
        <w:rPr>
          <w:rStyle w:val="FootnoteReference"/>
          <w:rFonts w:ascii="Georgia" w:hAnsi="Georgia"/>
          <w:bCs/>
          <w:sz w:val="22"/>
          <w:szCs w:val="22"/>
        </w:rPr>
        <w:footnoteReference w:id="7"/>
      </w:r>
    </w:p>
    <w:p w14:paraId="1F98DA74" w14:textId="2E63091B" w:rsidR="00556434" w:rsidRPr="00360AAA" w:rsidRDefault="00556434" w:rsidP="00556434">
      <w:pPr>
        <w:rPr>
          <w:rFonts w:ascii="Georgia" w:hAnsi="Georgia"/>
          <w:bCs/>
          <w:sz w:val="22"/>
          <w:szCs w:val="22"/>
        </w:rPr>
      </w:pPr>
      <w:r w:rsidRPr="00360AAA">
        <w:rPr>
          <w:rFonts w:ascii="Georgia" w:hAnsi="Georgia"/>
          <w:bCs/>
          <w:sz w:val="22"/>
          <w:szCs w:val="22"/>
        </w:rPr>
        <w:t>While social protection systems tend to be underdeveloped globally,</w:t>
      </w:r>
      <w:r w:rsidRPr="00360AAA">
        <w:rPr>
          <w:rFonts w:ascii="Georgia" w:hAnsi="Georgia"/>
          <w:bCs/>
          <w:sz w:val="22"/>
          <w:szCs w:val="22"/>
          <w:vertAlign w:val="superscript"/>
        </w:rPr>
        <w:footnoteReference w:id="8"/>
      </w:r>
      <w:r w:rsidRPr="00360AAA">
        <w:rPr>
          <w:rFonts w:ascii="Georgia" w:hAnsi="Georgia"/>
          <w:bCs/>
          <w:sz w:val="22"/>
          <w:szCs w:val="22"/>
        </w:rPr>
        <w:t xml:space="preserve"> and less than half of the world’s population have access to any form of social protection, comprehensive social protection systems will help workers respond to climate shocks and/or short-term job losses associated with the transition to low-carbon economies. </w:t>
      </w:r>
    </w:p>
    <w:p w14:paraId="3B41DD45" w14:textId="77777777" w:rsidR="00556434" w:rsidRPr="00360AAA" w:rsidRDefault="00556434" w:rsidP="00556434">
      <w:pPr>
        <w:rPr>
          <w:rFonts w:ascii="Georgia" w:hAnsi="Georgia"/>
          <w:bCs/>
          <w:sz w:val="22"/>
          <w:szCs w:val="22"/>
        </w:rPr>
      </w:pPr>
      <w:r w:rsidRPr="00360AAA">
        <w:rPr>
          <w:rFonts w:ascii="Georgia" w:hAnsi="Georgia"/>
          <w:bCs/>
          <w:sz w:val="22"/>
          <w:szCs w:val="22"/>
        </w:rPr>
        <w:t>As an important element in climate policies, all countries should work to introduce and expand the adequacy and coverage of their social protection systems as well as ensure a solid and secure financing base for social protection. Tax-reform policies can be an important opportunity for mobilising increased social protection financing where necessary. Some countries have implemented specific social protection schemes specifically related to climate mitigation efforts; the United Kingdom, for instance, has implemented an efficiency scheme that helps combat fuel poverty by subsidising insulation measures for low-income households to save energy and reduce their electricity bills.</w:t>
      </w:r>
      <w:r w:rsidRPr="00360AAA">
        <w:rPr>
          <w:rFonts w:ascii="Georgia" w:hAnsi="Georgia"/>
          <w:bCs/>
          <w:sz w:val="22"/>
          <w:szCs w:val="22"/>
          <w:vertAlign w:val="superscript"/>
        </w:rPr>
        <w:footnoteReference w:id="9"/>
      </w:r>
      <w:r w:rsidRPr="00360AAA">
        <w:rPr>
          <w:rFonts w:ascii="Georgia" w:hAnsi="Georgia"/>
          <w:bCs/>
          <w:sz w:val="22"/>
          <w:szCs w:val="22"/>
        </w:rPr>
        <w:t xml:space="preserve"> </w:t>
      </w:r>
      <w:r w:rsidRPr="00360AAA">
        <w:rPr>
          <w:rFonts w:ascii="Georgia" w:hAnsi="Georgia"/>
          <w:bCs/>
          <w:sz w:val="22"/>
          <w:szCs w:val="22"/>
          <w:vertAlign w:val="superscript"/>
        </w:rPr>
        <w:t xml:space="preserve"> </w:t>
      </w:r>
      <w:r w:rsidRPr="00360AAA">
        <w:rPr>
          <w:rFonts w:ascii="Georgia" w:hAnsi="Georgia"/>
          <w:bCs/>
          <w:sz w:val="22"/>
          <w:szCs w:val="22"/>
        </w:rPr>
        <w:t xml:space="preserve">Some countries have taken measures to mitigate the disproportionate impact of climate mitigation measures and have addressed the equality impacts of harmful subsidies. </w:t>
      </w:r>
    </w:p>
    <w:p w14:paraId="69E415C2" w14:textId="6BCD6489" w:rsidR="00556434" w:rsidRPr="00360AAA" w:rsidRDefault="00556434" w:rsidP="00556434">
      <w:pPr>
        <w:rPr>
          <w:rFonts w:ascii="Georgia" w:hAnsi="Georgia"/>
          <w:bCs/>
          <w:sz w:val="22"/>
          <w:szCs w:val="22"/>
        </w:rPr>
      </w:pPr>
      <w:r w:rsidRPr="00360AAA">
        <w:rPr>
          <w:rFonts w:ascii="Georgia" w:hAnsi="Georgia"/>
          <w:bCs/>
          <w:sz w:val="22"/>
          <w:szCs w:val="22"/>
        </w:rPr>
        <w:t>Well-developed social protection systems can enable states to be resilient in the case of shocks, whether they be a climate event, a pandemic or an economic crisis. ILO evidence has shown, for example, that in the context of job losses and workplace closures due to COVID-19, those countries that had well-established social protection systems, including unemployment support, sickness benefits and social assistance, were able to respond faster and more effectively in terms of providing income security to workers who lost their jobs and livelihoods in the pandemic as compared to those states that had to resort to developing last-minute crisis-mitigation measures to support workers who lost their livelihoods.</w:t>
      </w:r>
      <w:r w:rsidRPr="00360AAA">
        <w:rPr>
          <w:rFonts w:ascii="Georgia" w:hAnsi="Georgia"/>
          <w:bCs/>
          <w:sz w:val="22"/>
          <w:szCs w:val="22"/>
          <w:vertAlign w:val="superscript"/>
        </w:rPr>
        <w:footnoteReference w:id="10"/>
      </w:r>
      <w:r w:rsidRPr="00360AAA">
        <w:rPr>
          <w:rFonts w:ascii="Georgia" w:hAnsi="Georgia"/>
          <w:bCs/>
          <w:sz w:val="22"/>
          <w:szCs w:val="22"/>
        </w:rPr>
        <w:t xml:space="preserve"> </w:t>
      </w:r>
    </w:p>
    <w:p w14:paraId="68132A03" w14:textId="77777777" w:rsidR="00556434" w:rsidRPr="00360AAA" w:rsidRDefault="00556434" w:rsidP="00556434">
      <w:pPr>
        <w:rPr>
          <w:rFonts w:ascii="Georgia" w:hAnsi="Georgia"/>
          <w:bCs/>
          <w:sz w:val="22"/>
          <w:szCs w:val="22"/>
        </w:rPr>
      </w:pPr>
      <w:r w:rsidRPr="00360AAA">
        <w:rPr>
          <w:rFonts w:ascii="Georgia" w:hAnsi="Georgia"/>
          <w:bCs/>
          <w:sz w:val="22"/>
          <w:szCs w:val="22"/>
        </w:rPr>
        <w:t xml:space="preserve">International labour standards, in particular ILO Convention 102 on Social Security and Recommendation 202 on Social Protection Floors, provide important frameworks for the design of comprehensive social-protection systems. The tripartite conclusions on social </w:t>
      </w:r>
      <w:r w:rsidRPr="00360AAA">
        <w:rPr>
          <w:rFonts w:ascii="Georgia" w:hAnsi="Georgia"/>
          <w:bCs/>
          <w:sz w:val="22"/>
          <w:szCs w:val="22"/>
        </w:rPr>
        <w:lastRenderedPageBreak/>
        <w:t>security from the International Labour Conference in 2021, representing a consensus among governments, employers and workers, reaffirmed the importance of publicly organised, statutory social-protection systems in line with these standards.</w:t>
      </w:r>
    </w:p>
    <w:p w14:paraId="21378EA0" w14:textId="39B6A385" w:rsidR="00556434" w:rsidRPr="00360AAA" w:rsidRDefault="00556434" w:rsidP="00556434">
      <w:pPr>
        <w:rPr>
          <w:rFonts w:ascii="Georgia" w:hAnsi="Georgia"/>
          <w:bCs/>
          <w:sz w:val="22"/>
          <w:szCs w:val="22"/>
        </w:rPr>
      </w:pPr>
      <w:r w:rsidRPr="00360AAA">
        <w:rPr>
          <w:rFonts w:ascii="Georgia" w:hAnsi="Georgia"/>
          <w:bCs/>
          <w:sz w:val="22"/>
          <w:szCs w:val="22"/>
        </w:rPr>
        <w:t>In the context of massive job losses or structural unemployment – whether resulting from climate change</w:t>
      </w:r>
      <w:r w:rsidR="003F1F00" w:rsidRPr="00360AAA">
        <w:rPr>
          <w:rFonts w:ascii="Georgia" w:hAnsi="Georgia"/>
          <w:bCs/>
          <w:sz w:val="22"/>
          <w:szCs w:val="22"/>
        </w:rPr>
        <w:t xml:space="preserve"> loss and damage</w:t>
      </w:r>
      <w:r w:rsidRPr="00360AAA">
        <w:rPr>
          <w:rFonts w:ascii="Georgia" w:hAnsi="Georgia"/>
          <w:bCs/>
          <w:sz w:val="22"/>
          <w:szCs w:val="22"/>
        </w:rPr>
        <w:t xml:space="preserve">, climate mitigation measures, or another type of shock – it is important for governments to consider extending benefit levels and the duration of income support benefits to prevent unduly penalising workers whose prospects of finding a job are especially limited during a crisis. </w:t>
      </w:r>
    </w:p>
    <w:p w14:paraId="06AEE1D8" w14:textId="77777777" w:rsidR="00556434" w:rsidRPr="00360AAA" w:rsidRDefault="00556434" w:rsidP="00556434">
      <w:pPr>
        <w:rPr>
          <w:rFonts w:ascii="Georgia" w:hAnsi="Georgia"/>
          <w:bCs/>
          <w:sz w:val="22"/>
          <w:szCs w:val="22"/>
        </w:rPr>
      </w:pPr>
      <w:r w:rsidRPr="00360AAA">
        <w:rPr>
          <w:rFonts w:ascii="Georgia" w:hAnsi="Georgia"/>
          <w:bCs/>
          <w:sz w:val="22"/>
          <w:szCs w:val="22"/>
        </w:rPr>
        <w:t>Currently more than 53% of the global population – as many as 4.14 billion people – lack access to social protection.</w:t>
      </w:r>
      <w:r w:rsidRPr="00360AAA">
        <w:rPr>
          <w:rFonts w:ascii="Georgia" w:hAnsi="Georgia"/>
          <w:bCs/>
          <w:sz w:val="22"/>
          <w:szCs w:val="22"/>
          <w:vertAlign w:val="superscript"/>
        </w:rPr>
        <w:footnoteReference w:id="11"/>
      </w:r>
      <w:r w:rsidRPr="00360AAA">
        <w:rPr>
          <w:rFonts w:ascii="Georgia" w:hAnsi="Georgia"/>
          <w:bCs/>
          <w:sz w:val="22"/>
          <w:szCs w:val="22"/>
        </w:rPr>
        <w:t xml:space="preserve"> While </w:t>
      </w:r>
      <w:proofErr w:type="gramStart"/>
      <w:r w:rsidRPr="00360AAA">
        <w:rPr>
          <w:rFonts w:ascii="Georgia" w:hAnsi="Georgia"/>
          <w:bCs/>
          <w:sz w:val="22"/>
          <w:szCs w:val="22"/>
        </w:rPr>
        <w:t>it is clear that many</w:t>
      </w:r>
      <w:proofErr w:type="gramEnd"/>
      <w:r w:rsidRPr="00360AAA">
        <w:rPr>
          <w:rFonts w:ascii="Georgia" w:hAnsi="Georgia"/>
          <w:bCs/>
          <w:sz w:val="22"/>
          <w:szCs w:val="22"/>
        </w:rPr>
        <w:t xml:space="preserve"> governments have numerous means at their disposal to raise domestic resources for social protection, major financing constraints exist for low-income countries in particular, making it difficult to invest in social protection in the short term. The cost of developing social protection floors in the world’s poorest countries is estimated to represent around US$78 billion. While this represents only 0.25% of global GDP, it represents 15% of the collective GDP of low-income countries and 45% of their collective tax revenue</w:t>
      </w:r>
      <w:r w:rsidRPr="00360AAA">
        <w:rPr>
          <w:rFonts w:ascii="Georgia" w:hAnsi="Georgia"/>
          <w:bCs/>
          <w:sz w:val="22"/>
          <w:szCs w:val="22"/>
          <w:vertAlign w:val="superscript"/>
        </w:rPr>
        <w:footnoteReference w:id="12"/>
      </w:r>
      <w:r w:rsidRPr="00360AAA">
        <w:rPr>
          <w:rFonts w:ascii="Georgia" w:hAnsi="Georgia"/>
          <w:bCs/>
          <w:sz w:val="22"/>
          <w:szCs w:val="22"/>
        </w:rPr>
        <w:t xml:space="preserve"> – an unsurmountable burden for them to finance without international-level support. </w:t>
      </w:r>
    </w:p>
    <w:p w14:paraId="679B7366" w14:textId="77777777" w:rsidR="00556434" w:rsidRPr="00360AAA" w:rsidRDefault="00556434" w:rsidP="00556434">
      <w:pPr>
        <w:rPr>
          <w:rFonts w:ascii="Georgia" w:hAnsi="Georgia"/>
          <w:bCs/>
          <w:sz w:val="22"/>
          <w:szCs w:val="22"/>
        </w:rPr>
      </w:pPr>
      <w:r w:rsidRPr="00360AAA">
        <w:rPr>
          <w:rFonts w:ascii="Georgia" w:hAnsi="Georgia"/>
          <w:bCs/>
          <w:sz w:val="22"/>
          <w:szCs w:val="22"/>
        </w:rPr>
        <w:t>Developed countries could substantially contribute to low-income countries’ social protection systems by increasing their current official development assistance (ODA) commitments and by ensuring the assistance is targeted towards building resilient social protection systems. At the global level, only around one per cent of ODA currently goes towards social protection, despite the substantial contribution that social protection plays in supporting social and economic development.</w:t>
      </w:r>
      <w:r w:rsidRPr="00360AAA">
        <w:rPr>
          <w:rFonts w:ascii="Georgia" w:hAnsi="Georgia"/>
          <w:bCs/>
          <w:sz w:val="22"/>
          <w:szCs w:val="22"/>
          <w:vertAlign w:val="superscript"/>
        </w:rPr>
        <w:footnoteReference w:id="13"/>
      </w:r>
      <w:r w:rsidRPr="00360AAA">
        <w:rPr>
          <w:rFonts w:ascii="Georgia" w:hAnsi="Georgia"/>
          <w:bCs/>
          <w:sz w:val="22"/>
          <w:szCs w:val="22"/>
        </w:rPr>
        <w:t xml:space="preserve"> </w:t>
      </w:r>
    </w:p>
    <w:p w14:paraId="1097CC1E" w14:textId="77777777" w:rsidR="00556434" w:rsidRPr="00360AAA" w:rsidRDefault="00556434" w:rsidP="00556434">
      <w:pPr>
        <w:rPr>
          <w:rFonts w:ascii="Georgia" w:hAnsi="Georgia"/>
          <w:bCs/>
          <w:sz w:val="22"/>
          <w:szCs w:val="22"/>
        </w:rPr>
      </w:pPr>
      <w:r w:rsidRPr="00360AAA">
        <w:rPr>
          <w:rFonts w:ascii="Georgia" w:hAnsi="Georgia"/>
          <w:bCs/>
          <w:sz w:val="22"/>
          <w:szCs w:val="22"/>
        </w:rPr>
        <w:t xml:space="preserve">These developed countries should, moreover, endorse the proposal for a Global Social Protection Fund, which could serve to mobilise and coordinate resources at the international level to support countries that do not have sufficient fiscal space to set up social protection systems by themselves in the short term. </w:t>
      </w:r>
    </w:p>
    <w:p w14:paraId="4CA272C0" w14:textId="2D3AA1B3" w:rsidR="00556434" w:rsidRPr="00360AAA" w:rsidRDefault="00556434" w:rsidP="00556434">
      <w:pPr>
        <w:rPr>
          <w:rFonts w:ascii="Georgia" w:hAnsi="Georgia"/>
          <w:bCs/>
          <w:sz w:val="22"/>
          <w:szCs w:val="22"/>
        </w:rPr>
      </w:pPr>
      <w:r w:rsidRPr="00360AAA">
        <w:rPr>
          <w:rFonts w:ascii="Georgia" w:hAnsi="Georgia"/>
          <w:bCs/>
          <w:sz w:val="22"/>
          <w:szCs w:val="22"/>
        </w:rPr>
        <w:t>A Global Social Protection Fund could substantially contribute to closing social protection gaps and achieving SDG target 1.3 of realising universal social protection and could underpin efforts to ensure a just transition to a low-carbon economy</w:t>
      </w:r>
      <w:r w:rsidR="00A76D07" w:rsidRPr="00360AAA">
        <w:rPr>
          <w:rFonts w:ascii="Georgia" w:hAnsi="Georgia"/>
          <w:bCs/>
          <w:sz w:val="22"/>
          <w:szCs w:val="22"/>
        </w:rPr>
        <w:t xml:space="preserve"> and provide resilience </w:t>
      </w:r>
      <w:r w:rsidR="000C015B" w:rsidRPr="00360AAA">
        <w:rPr>
          <w:rFonts w:ascii="Georgia" w:hAnsi="Georgia"/>
          <w:bCs/>
          <w:sz w:val="22"/>
          <w:szCs w:val="22"/>
        </w:rPr>
        <w:t>for loss and damage</w:t>
      </w:r>
      <w:r w:rsidRPr="00360AAA">
        <w:rPr>
          <w:rFonts w:ascii="Georgia" w:hAnsi="Georgia"/>
          <w:bCs/>
          <w:sz w:val="22"/>
          <w:szCs w:val="22"/>
        </w:rPr>
        <w:t xml:space="preserve">. It would do this by mobilising and coordinating financing at the international level on social protection. Such coordination would help to better ensure that financing supports the achievement of international commitments, including those regarding international labour standards. The fund could effectively build on existing coordination mechanisms and institutions at the national and global levels, including the UN Social Protection Inter-Agency Cooperation Board (SPIAC-B), in line with the proposals put forward by Olivier de </w:t>
      </w:r>
      <w:proofErr w:type="spellStart"/>
      <w:r w:rsidRPr="00360AAA">
        <w:rPr>
          <w:rFonts w:ascii="Georgia" w:hAnsi="Georgia"/>
          <w:bCs/>
          <w:sz w:val="22"/>
          <w:szCs w:val="22"/>
        </w:rPr>
        <w:t>Schutter</w:t>
      </w:r>
      <w:proofErr w:type="spellEnd"/>
      <w:r w:rsidRPr="00360AAA">
        <w:rPr>
          <w:rFonts w:ascii="Georgia" w:hAnsi="Georgia"/>
          <w:bCs/>
          <w:sz w:val="22"/>
          <w:szCs w:val="22"/>
        </w:rPr>
        <w:t>, UN Special Rapporteur on extreme poverty and human rights.</w:t>
      </w:r>
      <w:r w:rsidRPr="00360AAA">
        <w:rPr>
          <w:rFonts w:ascii="Georgia" w:hAnsi="Georgia"/>
          <w:bCs/>
          <w:sz w:val="22"/>
          <w:szCs w:val="22"/>
          <w:vertAlign w:val="superscript"/>
        </w:rPr>
        <w:footnoteReference w:id="14"/>
      </w:r>
    </w:p>
    <w:p w14:paraId="4FD968C9" w14:textId="77777777" w:rsidR="00556434" w:rsidRPr="00360AAA" w:rsidRDefault="00556434" w:rsidP="00556434">
      <w:pPr>
        <w:rPr>
          <w:rFonts w:ascii="Georgia" w:hAnsi="Georgia"/>
          <w:bCs/>
          <w:sz w:val="22"/>
          <w:szCs w:val="22"/>
        </w:rPr>
      </w:pPr>
      <w:r w:rsidRPr="00360AAA">
        <w:rPr>
          <w:rFonts w:ascii="Georgia" w:hAnsi="Georgia"/>
          <w:bCs/>
          <w:sz w:val="22"/>
          <w:szCs w:val="22"/>
        </w:rPr>
        <w:t xml:space="preserve">A global fund should help to catalyse the set-up and expansion of social protection systems that are established in law and are in line with international labour standards, rather than support small-scale or time-bound social programmes or projects. Any technical advice accompanying the fund should therefore be in line with ILO Recommendation 202 on Social Protection Floors and Convention 102 on Social Security. The ILO should be the key </w:t>
      </w:r>
      <w:r w:rsidRPr="00360AAA">
        <w:rPr>
          <w:rFonts w:ascii="Georgia" w:hAnsi="Georgia"/>
          <w:bCs/>
          <w:sz w:val="22"/>
          <w:szCs w:val="22"/>
        </w:rPr>
        <w:lastRenderedPageBreak/>
        <w:t>UN body involved in providing technical advice to recipient countries to support the development of their social protection systems, given its role in monitoring and supporting the implementation of these standards. Other UN organisations and international financial institutions also have a role to play.</w:t>
      </w:r>
    </w:p>
    <w:p w14:paraId="2DF5879A" w14:textId="6D7F2416" w:rsidR="005177F2" w:rsidRPr="00360AAA" w:rsidRDefault="003B4EF9" w:rsidP="005177F2">
      <w:pPr>
        <w:rPr>
          <w:rFonts w:ascii="Georgia" w:hAnsi="Georgia"/>
          <w:color w:val="000000"/>
          <w:sz w:val="22"/>
          <w:szCs w:val="22"/>
          <w:lang w:val="en-US"/>
        </w:rPr>
      </w:pPr>
      <w:r w:rsidRPr="00360AAA">
        <w:rPr>
          <w:sz w:val="22"/>
          <w:szCs w:val="22"/>
        </w:rPr>
        <w:t xml:space="preserve">Finally, we stress the need for </w:t>
      </w:r>
      <w:r w:rsidR="005177F2" w:rsidRPr="00360AAA">
        <w:rPr>
          <w:sz w:val="22"/>
          <w:szCs w:val="22"/>
        </w:rPr>
        <w:t>transform economies and societies that properly value, fund, and support care work</w:t>
      </w:r>
      <w:r w:rsidR="00467BD5" w:rsidRPr="00360AAA">
        <w:rPr>
          <w:sz w:val="22"/>
          <w:szCs w:val="22"/>
        </w:rPr>
        <w:t xml:space="preserve"> and </w:t>
      </w:r>
      <w:r w:rsidR="00D975FA" w:rsidRPr="00360AAA">
        <w:rPr>
          <w:sz w:val="22"/>
          <w:szCs w:val="22"/>
        </w:rPr>
        <w:t xml:space="preserve">make progress with </w:t>
      </w:r>
      <w:r w:rsidR="00467BD5" w:rsidRPr="00360AAA">
        <w:rPr>
          <w:sz w:val="22"/>
          <w:szCs w:val="22"/>
        </w:rPr>
        <w:t>the formalisation of</w:t>
      </w:r>
      <w:r w:rsidR="00467BD5" w:rsidRPr="00360AAA">
        <w:rPr>
          <w:sz w:val="22"/>
          <w:szCs w:val="22"/>
        </w:rPr>
        <w:t xml:space="preserve"> informal work</w:t>
      </w:r>
      <w:r w:rsidR="005177F2" w:rsidRPr="00360AAA">
        <w:rPr>
          <w:sz w:val="22"/>
          <w:szCs w:val="22"/>
        </w:rPr>
        <w:t xml:space="preserve">. </w:t>
      </w:r>
      <w:r w:rsidR="00BA7AEF" w:rsidRPr="00360AAA">
        <w:rPr>
          <w:rFonts w:ascii="Georgia" w:hAnsi="Georgia"/>
          <w:color w:val="000000"/>
          <w:sz w:val="22"/>
          <w:szCs w:val="22"/>
          <w:lang w:val="en-US"/>
        </w:rPr>
        <w:t>I</w:t>
      </w:r>
      <w:r w:rsidR="00BA7AEF" w:rsidRPr="00360AAA">
        <w:rPr>
          <w:rFonts w:ascii="Georgia" w:hAnsi="Georgia"/>
          <w:color w:val="000000"/>
          <w:sz w:val="22"/>
          <w:szCs w:val="22"/>
          <w:lang w:val="en-US"/>
        </w:rPr>
        <w:t xml:space="preserve">ntersectional vulnerabilities </w:t>
      </w:r>
      <w:r w:rsidR="00095575" w:rsidRPr="00360AAA">
        <w:rPr>
          <w:rFonts w:ascii="Georgia" w:hAnsi="Georgia"/>
          <w:color w:val="000000"/>
          <w:sz w:val="22"/>
          <w:szCs w:val="22"/>
          <w:lang w:val="en-US"/>
        </w:rPr>
        <w:t>need to be recognized</w:t>
      </w:r>
      <w:r w:rsidR="00D975FA" w:rsidRPr="00360AAA">
        <w:rPr>
          <w:rFonts w:ascii="Georgia" w:hAnsi="Georgia"/>
          <w:color w:val="000000"/>
          <w:sz w:val="22"/>
          <w:szCs w:val="22"/>
          <w:lang w:val="en-US"/>
        </w:rPr>
        <w:t>,</w:t>
      </w:r>
      <w:r w:rsidR="00095575" w:rsidRPr="00360AAA">
        <w:rPr>
          <w:rFonts w:ascii="Georgia" w:hAnsi="Georgia"/>
          <w:color w:val="000000"/>
          <w:sz w:val="22"/>
          <w:szCs w:val="22"/>
          <w:lang w:val="en-US"/>
        </w:rPr>
        <w:t xml:space="preserve"> as </w:t>
      </w:r>
      <w:r w:rsidR="00BA7AEF" w:rsidRPr="00360AAA">
        <w:rPr>
          <w:rFonts w:ascii="Georgia" w:hAnsi="Georgia"/>
          <w:color w:val="000000"/>
          <w:sz w:val="22"/>
          <w:szCs w:val="22"/>
          <w:lang w:val="en-US"/>
        </w:rPr>
        <w:t xml:space="preserve">marginalized workers are also often </w:t>
      </w:r>
      <w:r w:rsidR="00DD0F9B" w:rsidRPr="00360AAA">
        <w:rPr>
          <w:rFonts w:ascii="Georgia" w:hAnsi="Georgia"/>
          <w:color w:val="000000"/>
          <w:sz w:val="22"/>
          <w:szCs w:val="22"/>
          <w:lang w:val="en-US"/>
        </w:rPr>
        <w:t xml:space="preserve">discriminated due to poverty, gender, race, </w:t>
      </w:r>
      <w:r w:rsidR="000A19D2" w:rsidRPr="00360AAA">
        <w:rPr>
          <w:rFonts w:ascii="Georgia" w:hAnsi="Georgia"/>
          <w:color w:val="000000"/>
          <w:sz w:val="22"/>
          <w:szCs w:val="22"/>
          <w:lang w:val="en-US"/>
        </w:rPr>
        <w:t>disabilities, etc. Therefore, i</w:t>
      </w:r>
      <w:r w:rsidR="00BA7AEF" w:rsidRPr="00360AAA">
        <w:rPr>
          <w:rFonts w:ascii="Georgia" w:hAnsi="Georgia"/>
          <w:color w:val="000000"/>
          <w:sz w:val="22"/>
          <w:szCs w:val="22"/>
          <w:lang w:val="en-US"/>
        </w:rPr>
        <w:t>nclusive policies</w:t>
      </w:r>
      <w:r w:rsidR="000A19D2" w:rsidRPr="00360AAA">
        <w:rPr>
          <w:rFonts w:ascii="Georgia" w:hAnsi="Georgia"/>
          <w:color w:val="000000"/>
          <w:sz w:val="22"/>
          <w:szCs w:val="22"/>
          <w:lang w:val="en-US"/>
        </w:rPr>
        <w:t xml:space="preserve"> are needed. </w:t>
      </w:r>
    </w:p>
    <w:p w14:paraId="3F5FF5B6" w14:textId="1BFA0B6B" w:rsidR="005177F2" w:rsidRPr="00360AAA" w:rsidRDefault="005177F2" w:rsidP="005177F2">
      <w:pPr>
        <w:rPr>
          <w:rFonts w:ascii="Georgia" w:hAnsi="Georgia"/>
          <w:color w:val="000000"/>
          <w:sz w:val="22"/>
          <w:szCs w:val="22"/>
          <w:lang w:val="en-US"/>
        </w:rPr>
      </w:pPr>
      <w:r w:rsidRPr="00360AAA">
        <w:rPr>
          <w:sz w:val="22"/>
          <w:szCs w:val="22"/>
        </w:rPr>
        <w:t xml:space="preserve">Gender is one of the seven Guiding Principles in the ILO Just Transition Guidelines: “Policies and programmes need to </w:t>
      </w:r>
      <w:proofErr w:type="gramStart"/>
      <w:r w:rsidRPr="00360AAA">
        <w:rPr>
          <w:sz w:val="22"/>
          <w:szCs w:val="22"/>
        </w:rPr>
        <w:t>take into account</w:t>
      </w:r>
      <w:proofErr w:type="gramEnd"/>
      <w:r w:rsidRPr="00360AAA">
        <w:rPr>
          <w:sz w:val="22"/>
          <w:szCs w:val="22"/>
        </w:rPr>
        <w:t xml:space="preserve"> the strong gender dimension of many environmental challenges and opportunities. Specific gender policies should be considered in order to ensure equitable outcomes.”</w:t>
      </w:r>
      <w:r w:rsidR="008C266B" w:rsidRPr="00360AAA">
        <w:rPr>
          <w:rStyle w:val="FootnoteReference"/>
          <w:sz w:val="22"/>
          <w:szCs w:val="22"/>
        </w:rPr>
        <w:footnoteReference w:id="15"/>
      </w:r>
      <w:r w:rsidRPr="00360AAA">
        <w:rPr>
          <w:sz w:val="22"/>
          <w:szCs w:val="22"/>
        </w:rPr>
        <w:t xml:space="preserve"> Subsequent analytical work by the ILO emphasizes the transformative role that “a just transition with inclusive climate action can play … in transforming gender norms and furthering gender equality, including in the world of work, while ensuring women have the opportunity to participate as actors, including at the decision-making and leadership level, in combating climate change and spurring green growth.” At the same the ILO notes that “the impacts of climate change, and actions that exclude women” may have magnifying effects on decent work deficits in sectors with large numbers of female workers, such as agriculture.” Similarly, the Paris Agreement calls for gender responsive adaptation action, including consultation with Indigenous Peoples. The Paris Agreement’s Gender Action Plan (GAP), adopted at COP25, calls for enhanced implementation of gender-responsive climate action at all levels and to preserve local, Indigenous and traditional knowledge and practices in different sectors. It </w:t>
      </w:r>
      <w:proofErr w:type="gramStart"/>
      <w:r w:rsidRPr="00360AAA">
        <w:rPr>
          <w:sz w:val="22"/>
          <w:szCs w:val="22"/>
        </w:rPr>
        <w:t>takes into account</w:t>
      </w:r>
      <w:proofErr w:type="gramEnd"/>
      <w:r w:rsidRPr="00360AAA">
        <w:rPr>
          <w:sz w:val="22"/>
          <w:szCs w:val="22"/>
        </w:rPr>
        <w:t xml:space="preserve"> human rights, Just Transition and the rights of Indigenous Peoples.</w:t>
      </w:r>
    </w:p>
    <w:p w14:paraId="582498F2" w14:textId="49735959" w:rsidR="007F14F2" w:rsidRPr="00360AAA" w:rsidRDefault="007F14F2" w:rsidP="00202671">
      <w:pPr>
        <w:rPr>
          <w:rFonts w:ascii="Georgia" w:hAnsi="Georgia"/>
          <w:sz w:val="22"/>
          <w:szCs w:val="22"/>
        </w:rPr>
      </w:pPr>
    </w:p>
    <w:p w14:paraId="6937846B" w14:textId="11DFFBF4" w:rsidR="00CF34A5" w:rsidRPr="00360AAA" w:rsidRDefault="00CF34A5" w:rsidP="00202671">
      <w:pPr>
        <w:rPr>
          <w:rFonts w:ascii="Georgia" w:hAnsi="Georgia"/>
          <w:sz w:val="22"/>
          <w:szCs w:val="22"/>
        </w:rPr>
      </w:pPr>
    </w:p>
    <w:p w14:paraId="58D17583" w14:textId="77777777" w:rsidR="00CF34A5" w:rsidRPr="002B1DF8" w:rsidRDefault="00CF34A5" w:rsidP="00202671">
      <w:pPr>
        <w:rPr>
          <w:rFonts w:ascii="Georgia" w:hAnsi="Georgia"/>
        </w:rPr>
      </w:pPr>
    </w:p>
    <w:sectPr w:rsidR="00CF34A5" w:rsidRPr="002B1DF8" w:rsidSect="009B4327">
      <w:footerReference w:type="default" r:id="rId13"/>
      <w:headerReference w:type="first" r:id="rId14"/>
      <w:footerReference w:type="first" r:id="rId15"/>
      <w:pgSz w:w="11900" w:h="16840"/>
      <w:pgMar w:top="1418" w:right="1418" w:bottom="1418" w:left="1560" w:header="113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8EC8" w14:textId="77777777" w:rsidR="000775E2" w:rsidRDefault="000775E2">
      <w:pPr>
        <w:spacing w:after="0"/>
      </w:pPr>
      <w:r>
        <w:separator/>
      </w:r>
    </w:p>
  </w:endnote>
  <w:endnote w:type="continuationSeparator" w:id="0">
    <w:p w14:paraId="2FEB9A91" w14:textId="77777777" w:rsidR="000775E2" w:rsidRDefault="000775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20B0503030502060204"/>
    <w:charset w:val="00"/>
    <w:family w:val="swiss"/>
    <w:notTrueType/>
    <w:pitch w:val="variable"/>
    <w:sig w:usb0="20000287" w:usb1="00000001" w:usb2="00000000" w:usb3="00000000" w:csb0="0000019F" w:csb1="00000000"/>
  </w:font>
  <w:font w:name="ProximaNova-Bold">
    <w:altName w:val="Cambria"/>
    <w:panose1 w:val="020B0803030502000204"/>
    <w:charset w:val="4D"/>
    <w:family w:val="auto"/>
    <w:notTrueType/>
    <w:pitch w:val="default"/>
    <w:sig w:usb0="00000003" w:usb1="00000000" w:usb2="00000000" w:usb3="00000000" w:csb0="00000001" w:csb1="00000000"/>
  </w:font>
  <w:font w:name="ProximaNova-Regular">
    <w:altName w:val="Proxima Nov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154077"/>
      <w:docPartObj>
        <w:docPartGallery w:val="Page Numbers (Bottom of Page)"/>
        <w:docPartUnique/>
      </w:docPartObj>
    </w:sdtPr>
    <w:sdtEndPr>
      <w:rPr>
        <w:noProof/>
      </w:rPr>
    </w:sdtEndPr>
    <w:sdtContent>
      <w:p w14:paraId="3972DEA4" w14:textId="5F21219E" w:rsidR="009B4327" w:rsidRDefault="009B43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B146EB" w14:textId="7DA837D5" w:rsidR="008A5179" w:rsidRDefault="008A5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506012"/>
      <w:docPartObj>
        <w:docPartGallery w:val="Page Numbers (Bottom of Page)"/>
        <w:docPartUnique/>
      </w:docPartObj>
    </w:sdtPr>
    <w:sdtEndPr>
      <w:rPr>
        <w:noProof/>
      </w:rPr>
    </w:sdtEndPr>
    <w:sdtContent>
      <w:p w14:paraId="0CC05816" w14:textId="220B9DE7" w:rsidR="004055DF" w:rsidRDefault="004055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3D9CCE" w14:textId="0CC18F8E" w:rsidR="0048574B" w:rsidRDefault="0048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F8BD" w14:textId="77777777" w:rsidR="000775E2" w:rsidRDefault="000775E2">
      <w:pPr>
        <w:spacing w:after="0"/>
      </w:pPr>
      <w:r>
        <w:separator/>
      </w:r>
    </w:p>
  </w:footnote>
  <w:footnote w:type="continuationSeparator" w:id="0">
    <w:p w14:paraId="16675F1C" w14:textId="77777777" w:rsidR="000775E2" w:rsidRDefault="000775E2">
      <w:pPr>
        <w:spacing w:after="0"/>
      </w:pPr>
      <w:r>
        <w:continuationSeparator/>
      </w:r>
    </w:p>
  </w:footnote>
  <w:footnote w:id="1">
    <w:p w14:paraId="6484A93A" w14:textId="77777777" w:rsidR="00DC30E8" w:rsidRPr="00360AAA" w:rsidRDefault="00DC30E8" w:rsidP="00F91A90">
      <w:pPr>
        <w:pStyle w:val="FootnoteText"/>
        <w:spacing w:after="60"/>
        <w:rPr>
          <w:rFonts w:ascii="Georgia" w:hAnsi="Georgia"/>
          <w:lang w:val="nl-BE"/>
        </w:rPr>
      </w:pPr>
      <w:r w:rsidRPr="00360AAA">
        <w:rPr>
          <w:rStyle w:val="FootnoteReference"/>
          <w:rFonts w:ascii="Georgia" w:hAnsi="Georgia"/>
        </w:rPr>
        <w:footnoteRef/>
      </w:r>
      <w:r w:rsidRPr="00360AAA">
        <w:rPr>
          <w:rFonts w:ascii="Georgia" w:hAnsi="Georgia"/>
        </w:rPr>
        <w:t xml:space="preserve"> </w:t>
      </w:r>
      <w:hyperlink r:id="rId1" w:history="1">
        <w:r w:rsidRPr="00360AAA">
          <w:rPr>
            <w:rStyle w:val="Hyperlink"/>
            <w:rFonts w:ascii="Georgia" w:hAnsi="Georgia"/>
          </w:rPr>
          <w:t>https://www.ilo.org/declaration/thedeclaration/textdeclaration/lang--en/index.htm</w:t>
        </w:r>
      </w:hyperlink>
      <w:r w:rsidRPr="00360AAA">
        <w:rPr>
          <w:rFonts w:ascii="Georgia" w:hAnsi="Georgia"/>
        </w:rPr>
        <w:t xml:space="preserve"> and </w:t>
      </w:r>
      <w:hyperlink r:id="rId2" w:history="1">
        <w:r w:rsidRPr="00360AAA">
          <w:rPr>
            <w:rStyle w:val="Hyperlink"/>
            <w:rFonts w:ascii="Georgia" w:hAnsi="Georgia"/>
          </w:rPr>
          <w:t>http://www.ilo.org/global/standards/applying-and-promoting-international-labour-standards/lang--en/index.htm</w:t>
        </w:r>
      </w:hyperlink>
      <w:r w:rsidRPr="00360AAA">
        <w:rPr>
          <w:rFonts w:ascii="Georgia" w:hAnsi="Georgia"/>
        </w:rPr>
        <w:t xml:space="preserve"> </w:t>
      </w:r>
    </w:p>
  </w:footnote>
  <w:footnote w:id="2">
    <w:p w14:paraId="583B1997" w14:textId="77777777" w:rsidR="009E58A7" w:rsidRPr="00360AAA" w:rsidRDefault="009E58A7" w:rsidP="009E58A7">
      <w:pPr>
        <w:pStyle w:val="FootnoteText"/>
        <w:rPr>
          <w:rFonts w:ascii="Georgia" w:hAnsi="Georgia"/>
          <w:lang w:val="nl-BE"/>
        </w:rPr>
      </w:pPr>
      <w:r w:rsidRPr="00360AAA">
        <w:rPr>
          <w:rStyle w:val="FootnoteReference"/>
          <w:rFonts w:ascii="Georgia" w:hAnsi="Georgia"/>
        </w:rPr>
        <w:footnoteRef/>
      </w:r>
      <w:r w:rsidRPr="00360AAA">
        <w:rPr>
          <w:rFonts w:ascii="Georgia" w:hAnsi="Georgia"/>
        </w:rPr>
        <w:t xml:space="preserve"> https://www.ilo.org/global/about-the-ilo/newsroom/news/WCMS_848132/lang--en/index.htm</w:t>
      </w:r>
    </w:p>
  </w:footnote>
  <w:footnote w:id="3">
    <w:p w14:paraId="27421B64" w14:textId="593744C9" w:rsidR="009564AE" w:rsidRPr="00360AAA" w:rsidRDefault="009564AE" w:rsidP="00F91A90">
      <w:pPr>
        <w:pStyle w:val="FootnoteText"/>
        <w:spacing w:after="60"/>
        <w:rPr>
          <w:rFonts w:ascii="Georgia" w:hAnsi="Georgia"/>
          <w:lang w:val="nl-BE"/>
        </w:rPr>
      </w:pPr>
      <w:r w:rsidRPr="00360AAA">
        <w:rPr>
          <w:rStyle w:val="FootnoteReference"/>
          <w:rFonts w:ascii="Georgia" w:hAnsi="Georgia"/>
        </w:rPr>
        <w:footnoteRef/>
      </w:r>
      <w:r w:rsidRPr="00360AAA">
        <w:rPr>
          <w:rFonts w:ascii="Georgia" w:hAnsi="Georgia"/>
        </w:rPr>
        <w:t xml:space="preserve"> </w:t>
      </w:r>
      <w:r w:rsidR="0094486C" w:rsidRPr="00360AAA">
        <w:rPr>
          <w:rFonts w:ascii="Georgia" w:hAnsi="Georgia"/>
        </w:rPr>
        <w:t xml:space="preserve">2021 ITUC Global Rights Index, </w:t>
      </w:r>
      <w:hyperlink r:id="rId3" w:history="1">
        <w:r w:rsidR="0094486C" w:rsidRPr="00360AAA">
          <w:rPr>
            <w:rStyle w:val="Hyperlink"/>
            <w:rFonts w:ascii="Georgia" w:hAnsi="Georgia"/>
          </w:rPr>
          <w:t>https://www.ituc-csi.org/2021-global-rights-index</w:t>
        </w:r>
      </w:hyperlink>
      <w:r w:rsidR="0094486C" w:rsidRPr="00360AAA">
        <w:rPr>
          <w:rFonts w:ascii="Georgia" w:hAnsi="Georgia"/>
        </w:rPr>
        <w:t xml:space="preserve"> </w:t>
      </w:r>
    </w:p>
  </w:footnote>
  <w:footnote w:id="4">
    <w:p w14:paraId="1D2F5136" w14:textId="1B5CE3D8" w:rsidR="00486FDC" w:rsidRPr="00360AAA" w:rsidRDefault="00486FDC" w:rsidP="00F91A90">
      <w:pPr>
        <w:pStyle w:val="FootnoteText"/>
        <w:spacing w:after="60"/>
        <w:rPr>
          <w:rFonts w:ascii="Georgia" w:hAnsi="Georgia"/>
          <w:i/>
          <w:iCs/>
          <w:lang w:val="nl-BE"/>
        </w:rPr>
      </w:pPr>
      <w:r w:rsidRPr="00360AAA">
        <w:rPr>
          <w:rStyle w:val="FootnoteReference"/>
          <w:rFonts w:ascii="Georgia" w:hAnsi="Georgia"/>
        </w:rPr>
        <w:footnoteRef/>
      </w:r>
      <w:r w:rsidRPr="00360AAA">
        <w:rPr>
          <w:rFonts w:ascii="Georgia" w:hAnsi="Georgia"/>
        </w:rPr>
        <w:t xml:space="preserve"> </w:t>
      </w:r>
      <w:r w:rsidR="002E0F3B" w:rsidRPr="00360AAA">
        <w:rPr>
          <w:rFonts w:ascii="Georgia" w:hAnsi="Georgia"/>
        </w:rPr>
        <w:t>UNFCCC</w:t>
      </w:r>
      <w:r w:rsidR="00B3435E" w:rsidRPr="00360AAA">
        <w:rPr>
          <w:rFonts w:ascii="Georgia" w:hAnsi="Georgia"/>
        </w:rPr>
        <w:t xml:space="preserve"> (2015)</w:t>
      </w:r>
      <w:r w:rsidR="002E0F3B" w:rsidRPr="00360AAA">
        <w:rPr>
          <w:rFonts w:ascii="Georgia" w:hAnsi="Georgia"/>
        </w:rPr>
        <w:t xml:space="preserve">, </w:t>
      </w:r>
      <w:r w:rsidRPr="00360AAA">
        <w:rPr>
          <w:rFonts w:ascii="Georgia" w:hAnsi="Georgia"/>
          <w:lang w:val="nl-BE"/>
        </w:rPr>
        <w:t>Paris Agreement</w:t>
      </w:r>
      <w:r w:rsidR="002E0F3B" w:rsidRPr="00360AAA">
        <w:rPr>
          <w:rFonts w:ascii="Georgia" w:hAnsi="Georgia"/>
          <w:lang w:val="nl-BE"/>
        </w:rPr>
        <w:t xml:space="preserve">: </w:t>
      </w:r>
      <w:r w:rsidR="002E0F3B" w:rsidRPr="00360AAA">
        <w:rPr>
          <w:rFonts w:ascii="Georgia" w:hAnsi="Georgia"/>
          <w:i/>
          <w:iCs/>
          <w:lang w:val="nl-BE"/>
        </w:rPr>
        <w:t>“</w:t>
      </w:r>
      <w:proofErr w:type="spellStart"/>
      <w:proofErr w:type="gramStart"/>
      <w:r w:rsidR="002E0F3B" w:rsidRPr="00360AAA">
        <w:rPr>
          <w:rFonts w:ascii="Georgia" w:hAnsi="Georgia"/>
          <w:i/>
          <w:iCs/>
          <w:lang w:val="nl-BE"/>
        </w:rPr>
        <w:t>Taking</w:t>
      </w:r>
      <w:proofErr w:type="spellEnd"/>
      <w:r w:rsidR="002E0F3B" w:rsidRPr="00360AAA">
        <w:rPr>
          <w:rFonts w:ascii="Georgia" w:hAnsi="Georgia"/>
          <w:i/>
          <w:iCs/>
          <w:lang w:val="nl-BE"/>
        </w:rPr>
        <w:t xml:space="preserve"> </w:t>
      </w:r>
      <w:proofErr w:type="spellStart"/>
      <w:r w:rsidR="002E0F3B" w:rsidRPr="00360AAA">
        <w:rPr>
          <w:rFonts w:ascii="Georgia" w:hAnsi="Georgia"/>
          <w:i/>
          <w:iCs/>
          <w:lang w:val="nl-BE"/>
        </w:rPr>
        <w:t>into</w:t>
      </w:r>
      <w:proofErr w:type="spellEnd"/>
      <w:r w:rsidR="002E0F3B" w:rsidRPr="00360AAA">
        <w:rPr>
          <w:rFonts w:ascii="Georgia" w:hAnsi="Georgia"/>
          <w:i/>
          <w:iCs/>
          <w:lang w:val="nl-BE"/>
        </w:rPr>
        <w:t xml:space="preserve"> account</w:t>
      </w:r>
      <w:proofErr w:type="gramEnd"/>
      <w:r w:rsidR="002E0F3B" w:rsidRPr="00360AAA">
        <w:rPr>
          <w:rFonts w:ascii="Georgia" w:hAnsi="Georgia"/>
          <w:i/>
          <w:iCs/>
          <w:lang w:val="nl-BE"/>
        </w:rPr>
        <w:t xml:space="preserve"> the </w:t>
      </w:r>
      <w:proofErr w:type="spellStart"/>
      <w:r w:rsidR="002E0F3B" w:rsidRPr="00360AAA">
        <w:rPr>
          <w:rFonts w:ascii="Georgia" w:hAnsi="Georgia"/>
          <w:i/>
          <w:iCs/>
          <w:lang w:val="nl-BE"/>
        </w:rPr>
        <w:t>imperatives</w:t>
      </w:r>
      <w:proofErr w:type="spellEnd"/>
      <w:r w:rsidR="002E0F3B" w:rsidRPr="00360AAA">
        <w:rPr>
          <w:rFonts w:ascii="Georgia" w:hAnsi="Georgia"/>
          <w:i/>
          <w:iCs/>
          <w:lang w:val="nl-BE"/>
        </w:rPr>
        <w:t xml:space="preserve"> of a </w:t>
      </w:r>
      <w:proofErr w:type="spellStart"/>
      <w:r w:rsidR="002E0F3B" w:rsidRPr="00360AAA">
        <w:rPr>
          <w:rFonts w:ascii="Georgia" w:hAnsi="Georgia"/>
          <w:i/>
          <w:iCs/>
          <w:lang w:val="nl-BE"/>
        </w:rPr>
        <w:t>just</w:t>
      </w:r>
      <w:proofErr w:type="spellEnd"/>
      <w:r w:rsidR="002E0F3B" w:rsidRPr="00360AAA">
        <w:rPr>
          <w:rFonts w:ascii="Georgia" w:hAnsi="Georgia"/>
          <w:i/>
          <w:iCs/>
          <w:lang w:val="nl-BE"/>
        </w:rPr>
        <w:t xml:space="preserve"> </w:t>
      </w:r>
      <w:proofErr w:type="spellStart"/>
      <w:r w:rsidR="002E0F3B" w:rsidRPr="00360AAA">
        <w:rPr>
          <w:rFonts w:ascii="Georgia" w:hAnsi="Georgia"/>
          <w:i/>
          <w:iCs/>
          <w:lang w:val="nl-BE"/>
        </w:rPr>
        <w:t>transition</w:t>
      </w:r>
      <w:proofErr w:type="spellEnd"/>
      <w:r w:rsidR="002E0F3B" w:rsidRPr="00360AAA">
        <w:rPr>
          <w:rFonts w:ascii="Georgia" w:hAnsi="Georgia"/>
          <w:i/>
          <w:iCs/>
          <w:lang w:val="nl-BE"/>
        </w:rPr>
        <w:t xml:space="preserve"> of the </w:t>
      </w:r>
      <w:proofErr w:type="spellStart"/>
      <w:r w:rsidR="002E0F3B" w:rsidRPr="00360AAA">
        <w:rPr>
          <w:rFonts w:ascii="Georgia" w:hAnsi="Georgia"/>
          <w:i/>
          <w:iCs/>
          <w:lang w:val="nl-BE"/>
        </w:rPr>
        <w:t>workforce</w:t>
      </w:r>
      <w:proofErr w:type="spellEnd"/>
      <w:r w:rsidR="002E0F3B" w:rsidRPr="00360AAA">
        <w:rPr>
          <w:rFonts w:ascii="Georgia" w:hAnsi="Georgia"/>
          <w:i/>
          <w:iCs/>
          <w:lang w:val="nl-BE"/>
        </w:rPr>
        <w:t xml:space="preserve"> and the </w:t>
      </w:r>
      <w:proofErr w:type="spellStart"/>
      <w:r w:rsidR="002E0F3B" w:rsidRPr="00360AAA">
        <w:rPr>
          <w:rFonts w:ascii="Georgia" w:hAnsi="Georgia"/>
          <w:i/>
          <w:iCs/>
          <w:lang w:val="nl-BE"/>
        </w:rPr>
        <w:t>creation</w:t>
      </w:r>
      <w:proofErr w:type="spellEnd"/>
      <w:r w:rsidR="002E0F3B" w:rsidRPr="00360AAA">
        <w:rPr>
          <w:rFonts w:ascii="Georgia" w:hAnsi="Georgia"/>
          <w:i/>
          <w:iCs/>
          <w:lang w:val="nl-BE"/>
        </w:rPr>
        <w:t xml:space="preserve"> of decent </w:t>
      </w:r>
      <w:proofErr w:type="spellStart"/>
      <w:r w:rsidR="002E0F3B" w:rsidRPr="00360AAA">
        <w:rPr>
          <w:rFonts w:ascii="Georgia" w:hAnsi="Georgia"/>
          <w:i/>
          <w:iCs/>
          <w:lang w:val="nl-BE"/>
        </w:rPr>
        <w:t>work</w:t>
      </w:r>
      <w:proofErr w:type="spellEnd"/>
      <w:r w:rsidR="002E0F3B" w:rsidRPr="00360AAA">
        <w:rPr>
          <w:rFonts w:ascii="Georgia" w:hAnsi="Georgia"/>
          <w:i/>
          <w:iCs/>
          <w:lang w:val="nl-BE"/>
        </w:rPr>
        <w:t xml:space="preserve"> and </w:t>
      </w:r>
      <w:proofErr w:type="spellStart"/>
      <w:r w:rsidR="002E0F3B" w:rsidRPr="00360AAA">
        <w:rPr>
          <w:rFonts w:ascii="Georgia" w:hAnsi="Georgia"/>
          <w:i/>
          <w:iCs/>
          <w:lang w:val="nl-BE"/>
        </w:rPr>
        <w:t>quality</w:t>
      </w:r>
      <w:proofErr w:type="spellEnd"/>
      <w:r w:rsidR="002E0F3B" w:rsidRPr="00360AAA">
        <w:rPr>
          <w:rFonts w:ascii="Georgia" w:hAnsi="Georgia"/>
          <w:i/>
          <w:iCs/>
          <w:lang w:val="nl-BE"/>
        </w:rPr>
        <w:t xml:space="preserve"> jobs in </w:t>
      </w:r>
      <w:proofErr w:type="spellStart"/>
      <w:r w:rsidR="002E0F3B" w:rsidRPr="00360AAA">
        <w:rPr>
          <w:rFonts w:ascii="Georgia" w:hAnsi="Georgia"/>
          <w:i/>
          <w:iCs/>
          <w:lang w:val="nl-BE"/>
        </w:rPr>
        <w:t>accordance</w:t>
      </w:r>
      <w:proofErr w:type="spellEnd"/>
      <w:r w:rsidR="002E0F3B" w:rsidRPr="00360AAA">
        <w:rPr>
          <w:rFonts w:ascii="Georgia" w:hAnsi="Georgia"/>
          <w:i/>
          <w:iCs/>
          <w:lang w:val="nl-BE"/>
        </w:rPr>
        <w:t xml:space="preserve"> </w:t>
      </w:r>
      <w:proofErr w:type="spellStart"/>
      <w:r w:rsidR="002E0F3B" w:rsidRPr="00360AAA">
        <w:rPr>
          <w:rFonts w:ascii="Georgia" w:hAnsi="Georgia"/>
          <w:i/>
          <w:iCs/>
          <w:lang w:val="nl-BE"/>
        </w:rPr>
        <w:t>with</w:t>
      </w:r>
      <w:proofErr w:type="spellEnd"/>
      <w:r w:rsidR="002E0F3B" w:rsidRPr="00360AAA">
        <w:rPr>
          <w:rFonts w:ascii="Georgia" w:hAnsi="Georgia"/>
          <w:i/>
          <w:iCs/>
          <w:lang w:val="nl-BE"/>
        </w:rPr>
        <w:t xml:space="preserve"> </w:t>
      </w:r>
      <w:proofErr w:type="spellStart"/>
      <w:r w:rsidR="002E0F3B" w:rsidRPr="00360AAA">
        <w:rPr>
          <w:rFonts w:ascii="Georgia" w:hAnsi="Georgia"/>
          <w:i/>
          <w:iCs/>
          <w:lang w:val="nl-BE"/>
        </w:rPr>
        <w:t>nationally</w:t>
      </w:r>
      <w:proofErr w:type="spellEnd"/>
      <w:r w:rsidR="002E0F3B" w:rsidRPr="00360AAA">
        <w:rPr>
          <w:rFonts w:ascii="Georgia" w:hAnsi="Georgia"/>
          <w:i/>
          <w:iCs/>
          <w:lang w:val="nl-BE"/>
        </w:rPr>
        <w:t xml:space="preserve"> </w:t>
      </w:r>
      <w:proofErr w:type="spellStart"/>
      <w:r w:rsidR="002E0F3B" w:rsidRPr="00360AAA">
        <w:rPr>
          <w:rFonts w:ascii="Georgia" w:hAnsi="Georgia"/>
          <w:i/>
          <w:iCs/>
          <w:lang w:val="nl-BE"/>
        </w:rPr>
        <w:t>defined</w:t>
      </w:r>
      <w:proofErr w:type="spellEnd"/>
      <w:r w:rsidR="002E0F3B" w:rsidRPr="00360AAA">
        <w:rPr>
          <w:rFonts w:ascii="Georgia" w:hAnsi="Georgia"/>
          <w:i/>
          <w:iCs/>
          <w:lang w:val="nl-BE"/>
        </w:rPr>
        <w:t xml:space="preserve"> development </w:t>
      </w:r>
      <w:proofErr w:type="spellStart"/>
      <w:r w:rsidR="002E0F3B" w:rsidRPr="00360AAA">
        <w:rPr>
          <w:rFonts w:ascii="Georgia" w:hAnsi="Georgia"/>
          <w:i/>
          <w:iCs/>
          <w:lang w:val="nl-BE"/>
        </w:rPr>
        <w:t>priorities</w:t>
      </w:r>
      <w:proofErr w:type="spellEnd"/>
      <w:r w:rsidR="002E0F3B" w:rsidRPr="00360AAA">
        <w:rPr>
          <w:rFonts w:ascii="Georgia" w:hAnsi="Georgia"/>
          <w:i/>
          <w:iCs/>
          <w:lang w:val="nl-BE"/>
        </w:rPr>
        <w:t>, “</w:t>
      </w:r>
    </w:p>
  </w:footnote>
  <w:footnote w:id="5">
    <w:p w14:paraId="78F25AAC" w14:textId="77777777" w:rsidR="009327B5" w:rsidRPr="00360AAA" w:rsidRDefault="009327B5" w:rsidP="00F91A90">
      <w:pPr>
        <w:pStyle w:val="FootnoteText"/>
        <w:spacing w:after="60"/>
        <w:rPr>
          <w:rFonts w:ascii="Georgia" w:hAnsi="Georgia"/>
        </w:rPr>
      </w:pPr>
      <w:r w:rsidRPr="00360AAA">
        <w:rPr>
          <w:rStyle w:val="FootnoteReference"/>
          <w:rFonts w:ascii="Georgia" w:hAnsi="Georgia"/>
        </w:rPr>
        <w:footnoteRef/>
      </w:r>
      <w:r w:rsidRPr="00360AAA">
        <w:rPr>
          <w:rFonts w:ascii="Georgia" w:hAnsi="Georgia"/>
        </w:rPr>
        <w:t xml:space="preserve"> ILO (2015). “Guidelines for a just transition towards environmentally sustainable economies and societies for all.” </w:t>
      </w:r>
      <w:hyperlink r:id="rId4" w:history="1">
        <w:r w:rsidRPr="00360AAA">
          <w:rPr>
            <w:rStyle w:val="Hyperlink"/>
            <w:rFonts w:ascii="Georgia" w:hAnsi="Georgia"/>
          </w:rPr>
          <w:t>https://www.ilo.org/wcmsp5/groups/public/---ed_emp/---emp_ent/documents/publication/wcms_432859.pdf</w:t>
        </w:r>
      </w:hyperlink>
      <w:r w:rsidRPr="00360AAA">
        <w:rPr>
          <w:rFonts w:ascii="Georgia" w:hAnsi="Georgia"/>
        </w:rPr>
        <w:t xml:space="preserve">  and ILO Bureau for Workers' Activities - ACTRAV (2021) </w:t>
      </w:r>
      <w:r w:rsidRPr="00360AAA">
        <w:rPr>
          <w:rFonts w:ascii="Georgia" w:hAnsi="Georgia"/>
          <w:i/>
          <w:iCs/>
        </w:rPr>
        <w:t>User’s manual to the ILO’s Guidelines for a just transition towards environmentally sustainable economies and societies for all</w:t>
      </w:r>
      <w:r w:rsidRPr="00360AAA">
        <w:rPr>
          <w:rFonts w:ascii="Georgia" w:hAnsi="Georgia"/>
        </w:rPr>
        <w:t xml:space="preserve">. </w:t>
      </w:r>
      <w:hyperlink r:id="rId5" w:history="1">
        <w:r w:rsidRPr="00360AAA">
          <w:rPr>
            <w:rStyle w:val="Hyperlink"/>
            <w:rFonts w:ascii="Georgia" w:hAnsi="Georgia"/>
          </w:rPr>
          <w:t>https://www.ilo.org/actrav/pubs/WCMS_826060/lang--en/index.htm</w:t>
        </w:r>
      </w:hyperlink>
      <w:r w:rsidRPr="00360AAA">
        <w:rPr>
          <w:rFonts w:ascii="Georgia" w:hAnsi="Georgia"/>
        </w:rPr>
        <w:t xml:space="preserve">  </w:t>
      </w:r>
    </w:p>
  </w:footnote>
  <w:footnote w:id="6">
    <w:p w14:paraId="045D21C3" w14:textId="2F6A39C2" w:rsidR="002F0381" w:rsidRPr="00360AAA" w:rsidRDefault="002F0381" w:rsidP="00F91A90">
      <w:pPr>
        <w:pStyle w:val="FootnoteText"/>
        <w:spacing w:after="60"/>
        <w:rPr>
          <w:rFonts w:ascii="Georgia" w:hAnsi="Georgia"/>
          <w:lang w:val="nl-BE"/>
        </w:rPr>
      </w:pPr>
      <w:r w:rsidRPr="00360AAA">
        <w:rPr>
          <w:rStyle w:val="FootnoteReference"/>
          <w:rFonts w:ascii="Georgia" w:hAnsi="Georgia"/>
        </w:rPr>
        <w:footnoteRef/>
      </w:r>
      <w:r w:rsidRPr="00360AAA">
        <w:rPr>
          <w:rFonts w:ascii="Georgia" w:hAnsi="Georgia"/>
        </w:rPr>
        <w:t xml:space="preserve"> </w:t>
      </w:r>
      <w:r w:rsidRPr="00360AAA">
        <w:rPr>
          <w:rFonts w:ascii="Georgia" w:hAnsi="Georgia"/>
          <w:bCs/>
        </w:rPr>
        <w:t xml:space="preserve">ITUC </w:t>
      </w:r>
      <w:r w:rsidR="00F91A90" w:rsidRPr="00360AAA">
        <w:rPr>
          <w:rFonts w:ascii="Georgia" w:hAnsi="Georgia"/>
          <w:bCs/>
        </w:rPr>
        <w:t xml:space="preserve">(2018) </w:t>
      </w:r>
      <w:r w:rsidRPr="00360AAA">
        <w:rPr>
          <w:rFonts w:ascii="Georgia" w:hAnsi="Georgia"/>
          <w:bCs/>
        </w:rPr>
        <w:t xml:space="preserve">Economic and Social Policy Brief: The Role of Social Protection in a Just Transition. </w:t>
      </w:r>
      <w:hyperlink r:id="rId6" w:history="1">
        <w:r w:rsidR="00F91A90" w:rsidRPr="00360AAA">
          <w:rPr>
            <w:rStyle w:val="Hyperlink"/>
            <w:rFonts w:ascii="Georgia" w:hAnsi="Georgia"/>
            <w:bCs/>
          </w:rPr>
          <w:t>https://www.ituc-csi.org/IMG/pdf/role_of_social_protection_in_a_just_transition_en.pdf</w:t>
        </w:r>
      </w:hyperlink>
    </w:p>
  </w:footnote>
  <w:footnote w:id="7">
    <w:p w14:paraId="3964829D" w14:textId="717584DA" w:rsidR="00167DB8" w:rsidRPr="00360AAA" w:rsidRDefault="00167DB8" w:rsidP="00F91A90">
      <w:pPr>
        <w:pStyle w:val="FootnoteText"/>
        <w:spacing w:after="60"/>
        <w:rPr>
          <w:rFonts w:ascii="Georgia" w:hAnsi="Georgia"/>
          <w:lang w:val="nl-BE"/>
        </w:rPr>
      </w:pPr>
      <w:r w:rsidRPr="00360AAA">
        <w:rPr>
          <w:rStyle w:val="FootnoteReference"/>
          <w:rFonts w:ascii="Georgia" w:hAnsi="Georgia"/>
        </w:rPr>
        <w:footnoteRef/>
      </w:r>
      <w:r w:rsidRPr="00360AAA">
        <w:rPr>
          <w:rFonts w:ascii="Georgia" w:hAnsi="Georgia"/>
        </w:rPr>
        <w:t xml:space="preserve"> </w:t>
      </w:r>
      <w:r w:rsidR="004C58AB" w:rsidRPr="00360AAA">
        <w:rPr>
          <w:rFonts w:ascii="Georgia" w:hAnsi="Georgia"/>
        </w:rPr>
        <w:t xml:space="preserve">See also </w:t>
      </w:r>
      <w:r w:rsidRPr="00360AAA">
        <w:rPr>
          <w:rFonts w:ascii="Georgia" w:hAnsi="Georgia"/>
        </w:rPr>
        <w:t>https://www.ohchr.org/en/social-security</w:t>
      </w:r>
    </w:p>
  </w:footnote>
  <w:footnote w:id="8">
    <w:p w14:paraId="6295B6F7" w14:textId="77777777" w:rsidR="00556434" w:rsidRPr="00360AAA" w:rsidRDefault="00556434" w:rsidP="00F91A90">
      <w:pPr>
        <w:pStyle w:val="FootnoteText"/>
        <w:spacing w:after="60"/>
        <w:rPr>
          <w:rFonts w:ascii="Georgia" w:hAnsi="Georgia" w:cstheme="majorHAnsi"/>
        </w:rPr>
      </w:pPr>
      <w:r w:rsidRPr="00360AAA">
        <w:rPr>
          <w:rStyle w:val="FootnoteReference"/>
          <w:rFonts w:ascii="Georgia" w:hAnsi="Georgia" w:cstheme="majorHAnsi"/>
        </w:rPr>
        <w:footnoteRef/>
      </w:r>
      <w:r w:rsidRPr="00360AAA">
        <w:rPr>
          <w:rFonts w:ascii="Georgia" w:hAnsi="Georgia" w:cstheme="majorHAnsi"/>
        </w:rPr>
        <w:t xml:space="preserve"> See ILO World Social Protection Report 2020-2022.</w:t>
      </w:r>
    </w:p>
  </w:footnote>
  <w:footnote w:id="9">
    <w:p w14:paraId="20A0CC0B" w14:textId="77777777" w:rsidR="00556434" w:rsidRPr="00360AAA" w:rsidRDefault="00556434" w:rsidP="00F91A90">
      <w:pPr>
        <w:pStyle w:val="FootnoteText"/>
        <w:spacing w:after="60"/>
        <w:rPr>
          <w:rFonts w:ascii="Georgia" w:hAnsi="Georgia" w:cstheme="majorHAnsi"/>
        </w:rPr>
      </w:pPr>
      <w:r w:rsidRPr="00360AAA">
        <w:rPr>
          <w:rStyle w:val="FootnoteReference"/>
          <w:rFonts w:ascii="Georgia" w:hAnsi="Georgia" w:cstheme="majorHAnsi"/>
        </w:rPr>
        <w:footnoteRef/>
      </w:r>
      <w:r w:rsidRPr="00360AAA">
        <w:rPr>
          <w:rFonts w:ascii="Georgia" w:hAnsi="Georgia" w:cstheme="majorHAnsi"/>
        </w:rPr>
        <w:t xml:space="preserve"> </w:t>
      </w:r>
      <w:hyperlink r:id="rId7" w:history="1">
        <w:r w:rsidRPr="00360AAA">
          <w:rPr>
            <w:rStyle w:val="Hyperlink"/>
            <w:rFonts w:ascii="Georgia" w:hAnsi="Georgia" w:cstheme="majorHAnsi"/>
          </w:rPr>
          <w:t>https://www.gov.uk/government/news/government-delivers-on-manifesto-pledge-with-6-billion-package-to-help-end-fuel-poverty-and-drive-innovation-in-energy-efficiency</w:t>
        </w:r>
      </w:hyperlink>
      <w:r w:rsidRPr="00360AAA">
        <w:rPr>
          <w:rFonts w:ascii="Georgia" w:hAnsi="Georgia" w:cstheme="majorHAnsi"/>
        </w:rPr>
        <w:t xml:space="preserve"> </w:t>
      </w:r>
    </w:p>
  </w:footnote>
  <w:footnote w:id="10">
    <w:p w14:paraId="53C08522" w14:textId="77777777" w:rsidR="00556434" w:rsidRPr="00360AAA" w:rsidRDefault="00556434" w:rsidP="00F91A90">
      <w:pPr>
        <w:pStyle w:val="FootnoteText"/>
        <w:spacing w:after="60"/>
        <w:rPr>
          <w:rFonts w:ascii="Georgia" w:hAnsi="Georgia" w:cstheme="majorHAnsi"/>
        </w:rPr>
      </w:pPr>
      <w:r w:rsidRPr="00360AAA">
        <w:rPr>
          <w:rStyle w:val="FootnoteReference"/>
          <w:rFonts w:ascii="Georgia" w:hAnsi="Georgia" w:cstheme="majorHAnsi"/>
        </w:rPr>
        <w:footnoteRef/>
      </w:r>
      <w:r w:rsidRPr="00360AAA">
        <w:rPr>
          <w:rFonts w:ascii="Georgia" w:hAnsi="Georgia" w:cstheme="majorHAnsi"/>
        </w:rPr>
        <w:t xml:space="preserve"> ILO (2021) World Social Protection Report.</w:t>
      </w:r>
    </w:p>
  </w:footnote>
  <w:footnote w:id="11">
    <w:p w14:paraId="386E9107" w14:textId="77777777" w:rsidR="00556434" w:rsidRPr="00360AAA" w:rsidRDefault="00556434" w:rsidP="00F91A90">
      <w:pPr>
        <w:pStyle w:val="FootnoteText"/>
        <w:spacing w:after="60"/>
        <w:rPr>
          <w:rFonts w:ascii="Georgia" w:hAnsi="Georgia" w:cstheme="majorHAnsi"/>
        </w:rPr>
      </w:pPr>
      <w:r w:rsidRPr="00360AAA">
        <w:rPr>
          <w:rStyle w:val="FootnoteReference"/>
          <w:rFonts w:ascii="Georgia" w:hAnsi="Georgia" w:cstheme="majorHAnsi"/>
        </w:rPr>
        <w:footnoteRef/>
      </w:r>
      <w:r w:rsidRPr="00360AAA">
        <w:rPr>
          <w:rFonts w:ascii="Georgia" w:hAnsi="Georgia" w:cstheme="majorHAnsi"/>
        </w:rPr>
        <w:t xml:space="preserve"> ILO (2021) World Social Protection Report 2020-2022.</w:t>
      </w:r>
    </w:p>
  </w:footnote>
  <w:footnote w:id="12">
    <w:p w14:paraId="04BE8958" w14:textId="77777777" w:rsidR="00556434" w:rsidRPr="00360AAA" w:rsidRDefault="00556434" w:rsidP="00F91A90">
      <w:pPr>
        <w:pStyle w:val="FootnoteText"/>
        <w:spacing w:after="60"/>
        <w:rPr>
          <w:rFonts w:ascii="Georgia" w:hAnsi="Georgia" w:cstheme="majorHAnsi"/>
        </w:rPr>
      </w:pPr>
      <w:r w:rsidRPr="00360AAA">
        <w:rPr>
          <w:rStyle w:val="FootnoteReference"/>
          <w:rFonts w:ascii="Georgia" w:hAnsi="Georgia" w:cstheme="majorHAnsi"/>
        </w:rPr>
        <w:footnoteRef/>
      </w:r>
      <w:r w:rsidRPr="00360AAA">
        <w:rPr>
          <w:rFonts w:ascii="Georgia" w:hAnsi="Georgia" w:cstheme="majorHAnsi"/>
        </w:rPr>
        <w:t xml:space="preserve"> ILO (2020). </w:t>
      </w:r>
      <w:hyperlink r:id="rId8" w:history="1">
        <w:r w:rsidRPr="00360AAA">
          <w:rPr>
            <w:rStyle w:val="Hyperlink"/>
            <w:rFonts w:ascii="Georgia" w:hAnsi="Georgia" w:cstheme="majorHAnsi"/>
            <w:i/>
            <w:iCs/>
          </w:rPr>
          <w:t>Financing Gaps in Social Protection</w:t>
        </w:r>
      </w:hyperlink>
      <w:r w:rsidRPr="00360AAA">
        <w:rPr>
          <w:rStyle w:val="Hyperlink"/>
          <w:rFonts w:ascii="Georgia" w:hAnsi="Georgia" w:cstheme="majorHAnsi"/>
          <w:i/>
          <w:iCs/>
        </w:rPr>
        <w:t>.</w:t>
      </w:r>
    </w:p>
  </w:footnote>
  <w:footnote w:id="13">
    <w:p w14:paraId="1CA7B99B" w14:textId="77777777" w:rsidR="00556434" w:rsidRPr="00360AAA" w:rsidRDefault="00556434" w:rsidP="00F91A90">
      <w:pPr>
        <w:pStyle w:val="FootnoteText"/>
        <w:spacing w:after="60"/>
        <w:rPr>
          <w:rFonts w:ascii="Georgia" w:hAnsi="Georgia" w:cstheme="majorHAnsi"/>
        </w:rPr>
      </w:pPr>
      <w:r w:rsidRPr="00360AAA">
        <w:rPr>
          <w:rStyle w:val="FootnoteReference"/>
          <w:rFonts w:ascii="Georgia" w:hAnsi="Georgia" w:cstheme="majorHAnsi"/>
        </w:rPr>
        <w:footnoteRef/>
      </w:r>
      <w:r w:rsidRPr="00360AAA">
        <w:rPr>
          <w:rFonts w:ascii="Georgia" w:hAnsi="Georgia" w:cstheme="majorHAnsi"/>
        </w:rPr>
        <w:t xml:space="preserve"> ODI (2021). </w:t>
      </w:r>
      <w:r w:rsidRPr="00360AAA">
        <w:rPr>
          <w:rFonts w:ascii="Georgia" w:hAnsi="Georgia" w:cstheme="majorHAnsi"/>
          <w:i/>
          <w:iCs/>
        </w:rPr>
        <w:t>Official development assistance</w:t>
      </w:r>
      <w:r w:rsidRPr="00360AAA">
        <w:rPr>
          <w:rFonts w:ascii="Times New Roman" w:hAnsi="Times New Roman" w:cs="Times New Roman"/>
          <w:i/>
          <w:iCs/>
        </w:rPr>
        <w:t> </w:t>
      </w:r>
      <w:r w:rsidRPr="00360AAA">
        <w:rPr>
          <w:rFonts w:ascii="Georgia" w:hAnsi="Georgia" w:cstheme="majorHAnsi"/>
          <w:i/>
          <w:iCs/>
        </w:rPr>
        <w:t>financing for social protection.</w:t>
      </w:r>
    </w:p>
  </w:footnote>
  <w:footnote w:id="14">
    <w:p w14:paraId="69883178" w14:textId="77777777" w:rsidR="00556434" w:rsidRPr="00360AAA" w:rsidRDefault="00556434" w:rsidP="00F91A90">
      <w:pPr>
        <w:pStyle w:val="FootnoteText"/>
        <w:spacing w:after="60"/>
        <w:rPr>
          <w:rFonts w:ascii="Georgia" w:hAnsi="Georgia" w:cstheme="majorHAnsi"/>
        </w:rPr>
      </w:pPr>
      <w:r w:rsidRPr="00360AAA">
        <w:rPr>
          <w:rStyle w:val="FootnoteReference"/>
          <w:rFonts w:ascii="Georgia" w:hAnsi="Georgia" w:cstheme="majorHAnsi"/>
        </w:rPr>
        <w:footnoteRef/>
      </w:r>
      <w:r w:rsidRPr="00360AAA">
        <w:rPr>
          <w:rFonts w:ascii="Georgia" w:hAnsi="Georgia" w:cstheme="majorHAnsi"/>
        </w:rPr>
        <w:t xml:space="preserve"> For more information, see De </w:t>
      </w:r>
      <w:proofErr w:type="spellStart"/>
      <w:r w:rsidRPr="00360AAA">
        <w:rPr>
          <w:rFonts w:ascii="Georgia" w:hAnsi="Georgia" w:cstheme="majorHAnsi"/>
        </w:rPr>
        <w:t>Schutter’s</w:t>
      </w:r>
      <w:proofErr w:type="spellEnd"/>
      <w:r w:rsidRPr="00360AAA">
        <w:rPr>
          <w:rFonts w:ascii="Georgia" w:hAnsi="Georgia" w:cstheme="majorHAnsi"/>
        </w:rPr>
        <w:t xml:space="preserve"> report on the Global Fund presented to the UN Human Rights Council in 2021: </w:t>
      </w:r>
      <w:hyperlink r:id="rId9" w:history="1">
        <w:r w:rsidRPr="00360AAA">
          <w:rPr>
            <w:rStyle w:val="Hyperlink"/>
            <w:rFonts w:ascii="Georgia" w:hAnsi="Georgia" w:cstheme="majorHAnsi"/>
          </w:rPr>
          <w:t>https://www.ohchr.org/EN/Issues/Poverty/Pages/global-fund-social-protection.aspx</w:t>
        </w:r>
      </w:hyperlink>
      <w:r w:rsidRPr="00360AAA">
        <w:rPr>
          <w:rFonts w:ascii="Georgia" w:hAnsi="Georgia" w:cstheme="majorHAnsi"/>
        </w:rPr>
        <w:t xml:space="preserve"> </w:t>
      </w:r>
    </w:p>
  </w:footnote>
  <w:footnote w:id="15">
    <w:p w14:paraId="6294D86B" w14:textId="19267F86" w:rsidR="008C266B" w:rsidRPr="00360AAA" w:rsidRDefault="008C266B">
      <w:pPr>
        <w:pStyle w:val="FootnoteText"/>
        <w:rPr>
          <w:rFonts w:ascii="Georgia" w:hAnsi="Georgia"/>
          <w:lang w:val="nl-BE"/>
        </w:rPr>
      </w:pPr>
      <w:r w:rsidRPr="00360AAA">
        <w:rPr>
          <w:rStyle w:val="FootnoteReference"/>
          <w:rFonts w:ascii="Georgia" w:hAnsi="Georgia"/>
        </w:rPr>
        <w:footnoteRef/>
      </w:r>
      <w:r w:rsidRPr="00360AAA">
        <w:rPr>
          <w:rFonts w:ascii="Georgia" w:hAnsi="Georgia"/>
        </w:rPr>
        <w:t xml:space="preserve"> </w:t>
      </w:r>
      <w:r w:rsidR="00455B8F" w:rsidRPr="00360AAA">
        <w:rPr>
          <w:rFonts w:ascii="Georgia" w:hAnsi="Georgia"/>
        </w:rPr>
        <w:t>Marieke Koning and Samantha Smith</w:t>
      </w:r>
      <w:r w:rsidR="00455B8F" w:rsidRPr="00360AAA">
        <w:rPr>
          <w:rFonts w:ascii="Georgia" w:hAnsi="Georgia"/>
        </w:rPr>
        <w:t xml:space="preserve"> </w:t>
      </w:r>
      <w:r w:rsidR="009808DE" w:rsidRPr="00360AAA">
        <w:rPr>
          <w:rFonts w:ascii="Georgia" w:hAnsi="Georgia"/>
        </w:rPr>
        <w:t>(2021) '</w:t>
      </w:r>
      <w:r w:rsidR="00455B8F" w:rsidRPr="00360AAA">
        <w:rPr>
          <w:rFonts w:ascii="Georgia" w:hAnsi="Georgia"/>
        </w:rPr>
        <w:t>Just Transition and Gender – A Review</w:t>
      </w:r>
      <w:r w:rsidR="009808DE" w:rsidRPr="00360AAA">
        <w:rPr>
          <w:rFonts w:ascii="Georgia" w:hAnsi="Georgia"/>
        </w:rPr>
        <w:t xml:space="preserve">’. </w:t>
      </w:r>
      <w:r w:rsidR="00455B8F" w:rsidRPr="00360AAA">
        <w:rPr>
          <w:rFonts w:ascii="Georgia" w:hAnsi="Georgia"/>
        </w:rPr>
        <w:t xml:space="preserve"> </w:t>
      </w:r>
      <w:hyperlink r:id="rId10" w:history="1">
        <w:r w:rsidR="001E16C4" w:rsidRPr="00360AAA">
          <w:rPr>
            <w:rStyle w:val="Hyperlink"/>
            <w:rFonts w:ascii="Georgia" w:hAnsi="Georgia"/>
          </w:rPr>
          <w:t>https://www.unwomen.org/sites/default/files/Headquarters/Attachments/Sections/CSW/66/EGM/Expert%20Papers/Samantha%20SMITH_CSW66%20Expert%20Paper.pdf</w:t>
        </w:r>
      </w:hyperlink>
      <w:r w:rsidR="001E16C4" w:rsidRPr="00360AAA">
        <w:rPr>
          <w:rFonts w:ascii="Georgia" w:hAnsi="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9CCD" w14:textId="77777777" w:rsidR="0048574B" w:rsidRDefault="00CA7773">
    <w:pPr>
      <w:pStyle w:val="Header"/>
    </w:pPr>
    <w:r w:rsidRPr="002E4B85">
      <w:rPr>
        <w:noProof/>
        <w:lang w:eastAsia="en-GB"/>
      </w:rPr>
      <w:drawing>
        <wp:anchor distT="0" distB="0" distL="0" distR="0" simplePos="0" relativeHeight="251665408" behindDoc="0" locked="0" layoutInCell="1" allowOverlap="1" wp14:anchorId="653D9CD1" wp14:editId="653D9CD2">
          <wp:simplePos x="0" y="0"/>
          <wp:positionH relativeFrom="column">
            <wp:posOffset>-990600</wp:posOffset>
          </wp:positionH>
          <wp:positionV relativeFrom="paragraph">
            <wp:posOffset>-731520</wp:posOffset>
          </wp:positionV>
          <wp:extent cx="7559040" cy="1543050"/>
          <wp:effectExtent l="0" t="0" r="3810" b="0"/>
          <wp:wrapSquare wrapText="largest"/>
          <wp:docPr id="4" name="Picture 4" descr="serveur_data:Clients:ITUC:• Graphic Guideline:2015:• Déclinaisons:• Letterhead:ITUC-letterheadfoote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ur_data:Clients:ITUC:• Graphic Guideline:2015:• Déclinaisons:• Letterhead:ITUC-letterheadfooter 5.jpg"/>
                  <pic:cNvPicPr>
                    <a:picLocks noChangeAspect="1" noChangeArrowheads="1"/>
                  </pic:cNvPicPr>
                </pic:nvPicPr>
                <pic:blipFill>
                  <a:blip r:embed="rId1"/>
                  <a:srcRect/>
                  <a:stretch>
                    <a:fillRect/>
                  </a:stretch>
                </pic:blipFill>
                <pic:spPr bwMode="auto">
                  <a:xfrm>
                    <a:off x="0" y="0"/>
                    <a:ext cx="7559040" cy="1543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0DE4"/>
    <w:multiLevelType w:val="hybridMultilevel"/>
    <w:tmpl w:val="52A617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2753D7"/>
    <w:multiLevelType w:val="hybridMultilevel"/>
    <w:tmpl w:val="5C4E7B28"/>
    <w:lvl w:ilvl="0" w:tplc="0EB0C3E2">
      <w:start w:val="2"/>
      <w:numFmt w:val="bullet"/>
      <w:lvlText w:val="-"/>
      <w:lvlJc w:val="left"/>
      <w:pPr>
        <w:ind w:left="720" w:hanging="360"/>
      </w:pPr>
      <w:rPr>
        <w:rFonts w:ascii="Calibri" w:eastAsiaTheme="minorHAnsi" w:hAnsi="Calibri" w:cs="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5A32269"/>
    <w:multiLevelType w:val="multilevel"/>
    <w:tmpl w:val="923E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F4AED"/>
    <w:multiLevelType w:val="hybridMultilevel"/>
    <w:tmpl w:val="51988F4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D0E0EDB"/>
    <w:multiLevelType w:val="hybridMultilevel"/>
    <w:tmpl w:val="2E9C6E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1EB668A"/>
    <w:multiLevelType w:val="hybridMultilevel"/>
    <w:tmpl w:val="D5E41F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58896331">
    <w:abstractNumId w:val="1"/>
  </w:num>
  <w:num w:numId="2" w16cid:durableId="2126725418">
    <w:abstractNumId w:val="3"/>
  </w:num>
  <w:num w:numId="3" w16cid:durableId="1265960891">
    <w:abstractNumId w:val="4"/>
  </w:num>
  <w:num w:numId="4" w16cid:durableId="566455784">
    <w:abstractNumId w:val="5"/>
  </w:num>
  <w:num w:numId="5" w16cid:durableId="185294989">
    <w:abstractNumId w:val="2"/>
  </w:num>
  <w:num w:numId="6" w16cid:durableId="117579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D2"/>
    <w:rsid w:val="00013641"/>
    <w:rsid w:val="00017A5C"/>
    <w:rsid w:val="00017CE9"/>
    <w:rsid w:val="00020D6A"/>
    <w:rsid w:val="0002106D"/>
    <w:rsid w:val="000275D4"/>
    <w:rsid w:val="000317BF"/>
    <w:rsid w:val="000477A5"/>
    <w:rsid w:val="000775E2"/>
    <w:rsid w:val="00080842"/>
    <w:rsid w:val="00082D47"/>
    <w:rsid w:val="00095575"/>
    <w:rsid w:val="000A19D2"/>
    <w:rsid w:val="000B508E"/>
    <w:rsid w:val="000C015B"/>
    <w:rsid w:val="000C24B4"/>
    <w:rsid w:val="000C2F71"/>
    <w:rsid w:val="000C6FF7"/>
    <w:rsid w:val="000D2000"/>
    <w:rsid w:val="000D2EBB"/>
    <w:rsid w:val="001004E1"/>
    <w:rsid w:val="00101223"/>
    <w:rsid w:val="00107DEA"/>
    <w:rsid w:val="0011423F"/>
    <w:rsid w:val="00130D48"/>
    <w:rsid w:val="001512E9"/>
    <w:rsid w:val="00160A33"/>
    <w:rsid w:val="00166E84"/>
    <w:rsid w:val="00167DB8"/>
    <w:rsid w:val="00175A5F"/>
    <w:rsid w:val="00175D2D"/>
    <w:rsid w:val="0019251A"/>
    <w:rsid w:val="0019446C"/>
    <w:rsid w:val="001B0CB9"/>
    <w:rsid w:val="001B1A44"/>
    <w:rsid w:val="001B1FA6"/>
    <w:rsid w:val="001D0905"/>
    <w:rsid w:val="001D1D0E"/>
    <w:rsid w:val="001D3E14"/>
    <w:rsid w:val="001E1053"/>
    <w:rsid w:val="001E16C4"/>
    <w:rsid w:val="001F64E0"/>
    <w:rsid w:val="00202671"/>
    <w:rsid w:val="002116B6"/>
    <w:rsid w:val="00215FBC"/>
    <w:rsid w:val="00227090"/>
    <w:rsid w:val="00232B61"/>
    <w:rsid w:val="00245C75"/>
    <w:rsid w:val="00252074"/>
    <w:rsid w:val="002539D4"/>
    <w:rsid w:val="00265D26"/>
    <w:rsid w:val="00267370"/>
    <w:rsid w:val="00294FB6"/>
    <w:rsid w:val="00297545"/>
    <w:rsid w:val="002B1DF8"/>
    <w:rsid w:val="002C3EC4"/>
    <w:rsid w:val="002E0F3B"/>
    <w:rsid w:val="002F0381"/>
    <w:rsid w:val="002F4557"/>
    <w:rsid w:val="002F4D2E"/>
    <w:rsid w:val="00304C74"/>
    <w:rsid w:val="0031496D"/>
    <w:rsid w:val="003300E4"/>
    <w:rsid w:val="0033015A"/>
    <w:rsid w:val="00336946"/>
    <w:rsid w:val="003430CB"/>
    <w:rsid w:val="00347AAF"/>
    <w:rsid w:val="00351CF5"/>
    <w:rsid w:val="00353535"/>
    <w:rsid w:val="003542E1"/>
    <w:rsid w:val="00357044"/>
    <w:rsid w:val="00357B14"/>
    <w:rsid w:val="00360AAA"/>
    <w:rsid w:val="00365B64"/>
    <w:rsid w:val="0037402C"/>
    <w:rsid w:val="00386B32"/>
    <w:rsid w:val="003A6A90"/>
    <w:rsid w:val="003B4EF9"/>
    <w:rsid w:val="003B77F9"/>
    <w:rsid w:val="003C0184"/>
    <w:rsid w:val="003C4664"/>
    <w:rsid w:val="003D3EC7"/>
    <w:rsid w:val="003D6F4A"/>
    <w:rsid w:val="003E3CD0"/>
    <w:rsid w:val="003E71EB"/>
    <w:rsid w:val="003E7727"/>
    <w:rsid w:val="003F1F00"/>
    <w:rsid w:val="004055DF"/>
    <w:rsid w:val="00410913"/>
    <w:rsid w:val="0041220F"/>
    <w:rsid w:val="00413AEF"/>
    <w:rsid w:val="0044681C"/>
    <w:rsid w:val="00455B8F"/>
    <w:rsid w:val="004675B4"/>
    <w:rsid w:val="00467BD5"/>
    <w:rsid w:val="0048217E"/>
    <w:rsid w:val="0048574B"/>
    <w:rsid w:val="00486FDC"/>
    <w:rsid w:val="0049001D"/>
    <w:rsid w:val="00491F71"/>
    <w:rsid w:val="00495176"/>
    <w:rsid w:val="004A5A17"/>
    <w:rsid w:val="004A736F"/>
    <w:rsid w:val="004C03D8"/>
    <w:rsid w:val="004C1250"/>
    <w:rsid w:val="004C58AB"/>
    <w:rsid w:val="004C64AC"/>
    <w:rsid w:val="004D7176"/>
    <w:rsid w:val="004E089D"/>
    <w:rsid w:val="004E11E9"/>
    <w:rsid w:val="004E243D"/>
    <w:rsid w:val="004F1AD5"/>
    <w:rsid w:val="004F1D06"/>
    <w:rsid w:val="00502807"/>
    <w:rsid w:val="00505321"/>
    <w:rsid w:val="00506F0A"/>
    <w:rsid w:val="005153A2"/>
    <w:rsid w:val="005177F2"/>
    <w:rsid w:val="00522B8D"/>
    <w:rsid w:val="005237B6"/>
    <w:rsid w:val="00525EA5"/>
    <w:rsid w:val="00540C31"/>
    <w:rsid w:val="00541798"/>
    <w:rsid w:val="00546030"/>
    <w:rsid w:val="005468AF"/>
    <w:rsid w:val="00556434"/>
    <w:rsid w:val="00575DB2"/>
    <w:rsid w:val="0058057C"/>
    <w:rsid w:val="00584DE7"/>
    <w:rsid w:val="00587B1C"/>
    <w:rsid w:val="0059377E"/>
    <w:rsid w:val="00597F70"/>
    <w:rsid w:val="005A1B89"/>
    <w:rsid w:val="005B4883"/>
    <w:rsid w:val="005C46B2"/>
    <w:rsid w:val="005C5052"/>
    <w:rsid w:val="005C5A8D"/>
    <w:rsid w:val="005C5C0A"/>
    <w:rsid w:val="005C7FF4"/>
    <w:rsid w:val="005E35CB"/>
    <w:rsid w:val="005F1DEE"/>
    <w:rsid w:val="0060494D"/>
    <w:rsid w:val="00623D51"/>
    <w:rsid w:val="00624741"/>
    <w:rsid w:val="00635527"/>
    <w:rsid w:val="006377BD"/>
    <w:rsid w:val="006428E1"/>
    <w:rsid w:val="006432D3"/>
    <w:rsid w:val="00644DB8"/>
    <w:rsid w:val="00650133"/>
    <w:rsid w:val="00651CD2"/>
    <w:rsid w:val="006533AD"/>
    <w:rsid w:val="00654A8F"/>
    <w:rsid w:val="00671D30"/>
    <w:rsid w:val="006801C8"/>
    <w:rsid w:val="00690F73"/>
    <w:rsid w:val="00693203"/>
    <w:rsid w:val="0069489A"/>
    <w:rsid w:val="00697287"/>
    <w:rsid w:val="006975D1"/>
    <w:rsid w:val="006D7AEB"/>
    <w:rsid w:val="006F044E"/>
    <w:rsid w:val="006F1D09"/>
    <w:rsid w:val="006F51A7"/>
    <w:rsid w:val="006F5884"/>
    <w:rsid w:val="00706908"/>
    <w:rsid w:val="0071713C"/>
    <w:rsid w:val="007240D8"/>
    <w:rsid w:val="007250A4"/>
    <w:rsid w:val="007300EB"/>
    <w:rsid w:val="0073667B"/>
    <w:rsid w:val="00744D89"/>
    <w:rsid w:val="0075380D"/>
    <w:rsid w:val="0075559B"/>
    <w:rsid w:val="00756A25"/>
    <w:rsid w:val="00762104"/>
    <w:rsid w:val="0076350E"/>
    <w:rsid w:val="00765D4D"/>
    <w:rsid w:val="007717D5"/>
    <w:rsid w:val="00775D97"/>
    <w:rsid w:val="00777F81"/>
    <w:rsid w:val="00781217"/>
    <w:rsid w:val="00781412"/>
    <w:rsid w:val="007905A5"/>
    <w:rsid w:val="007A3D2E"/>
    <w:rsid w:val="007A5BDC"/>
    <w:rsid w:val="007D122F"/>
    <w:rsid w:val="007D150E"/>
    <w:rsid w:val="007D3EB1"/>
    <w:rsid w:val="007E1EFD"/>
    <w:rsid w:val="007E56D8"/>
    <w:rsid w:val="007F14F2"/>
    <w:rsid w:val="00810803"/>
    <w:rsid w:val="00810B09"/>
    <w:rsid w:val="00813FA9"/>
    <w:rsid w:val="0082198C"/>
    <w:rsid w:val="008340A0"/>
    <w:rsid w:val="0085083C"/>
    <w:rsid w:val="008558E0"/>
    <w:rsid w:val="008566E1"/>
    <w:rsid w:val="008A1335"/>
    <w:rsid w:val="008A4B98"/>
    <w:rsid w:val="008A5179"/>
    <w:rsid w:val="008B5B3A"/>
    <w:rsid w:val="008C266B"/>
    <w:rsid w:val="008C5913"/>
    <w:rsid w:val="008E27CA"/>
    <w:rsid w:val="008F1971"/>
    <w:rsid w:val="0091429A"/>
    <w:rsid w:val="00914982"/>
    <w:rsid w:val="00916A64"/>
    <w:rsid w:val="00917FBD"/>
    <w:rsid w:val="0092102F"/>
    <w:rsid w:val="009327B5"/>
    <w:rsid w:val="00937267"/>
    <w:rsid w:val="009431B4"/>
    <w:rsid w:val="0094486C"/>
    <w:rsid w:val="009477E2"/>
    <w:rsid w:val="009564AE"/>
    <w:rsid w:val="009577DD"/>
    <w:rsid w:val="0096377E"/>
    <w:rsid w:val="00974C55"/>
    <w:rsid w:val="009808DE"/>
    <w:rsid w:val="009824AA"/>
    <w:rsid w:val="00991A57"/>
    <w:rsid w:val="009A0CE7"/>
    <w:rsid w:val="009A408F"/>
    <w:rsid w:val="009B3B37"/>
    <w:rsid w:val="009B4327"/>
    <w:rsid w:val="009C022D"/>
    <w:rsid w:val="009D33CA"/>
    <w:rsid w:val="009D405C"/>
    <w:rsid w:val="009D7C60"/>
    <w:rsid w:val="009E0470"/>
    <w:rsid w:val="009E2CDE"/>
    <w:rsid w:val="009E58A7"/>
    <w:rsid w:val="009E6385"/>
    <w:rsid w:val="009F07B1"/>
    <w:rsid w:val="009F38E3"/>
    <w:rsid w:val="00A0486A"/>
    <w:rsid w:val="00A06704"/>
    <w:rsid w:val="00A12908"/>
    <w:rsid w:val="00A15DE5"/>
    <w:rsid w:val="00A20190"/>
    <w:rsid w:val="00A4034A"/>
    <w:rsid w:val="00A51303"/>
    <w:rsid w:val="00A519F8"/>
    <w:rsid w:val="00A5491D"/>
    <w:rsid w:val="00A54CB7"/>
    <w:rsid w:val="00A719F1"/>
    <w:rsid w:val="00A76BF8"/>
    <w:rsid w:val="00A76D07"/>
    <w:rsid w:val="00A852D5"/>
    <w:rsid w:val="00A86737"/>
    <w:rsid w:val="00AA2F6F"/>
    <w:rsid w:val="00AB1921"/>
    <w:rsid w:val="00AB72D2"/>
    <w:rsid w:val="00AC40A6"/>
    <w:rsid w:val="00AD52E2"/>
    <w:rsid w:val="00AD6861"/>
    <w:rsid w:val="00AF097F"/>
    <w:rsid w:val="00AF2660"/>
    <w:rsid w:val="00B00179"/>
    <w:rsid w:val="00B01472"/>
    <w:rsid w:val="00B0258B"/>
    <w:rsid w:val="00B04841"/>
    <w:rsid w:val="00B10F5A"/>
    <w:rsid w:val="00B12A14"/>
    <w:rsid w:val="00B1357E"/>
    <w:rsid w:val="00B222F4"/>
    <w:rsid w:val="00B25546"/>
    <w:rsid w:val="00B27F5D"/>
    <w:rsid w:val="00B3435E"/>
    <w:rsid w:val="00B44B99"/>
    <w:rsid w:val="00B54BAD"/>
    <w:rsid w:val="00B61B00"/>
    <w:rsid w:val="00B666F1"/>
    <w:rsid w:val="00B754E5"/>
    <w:rsid w:val="00B82F22"/>
    <w:rsid w:val="00B85D5A"/>
    <w:rsid w:val="00B862C8"/>
    <w:rsid w:val="00B867CA"/>
    <w:rsid w:val="00B87C1E"/>
    <w:rsid w:val="00BA30B5"/>
    <w:rsid w:val="00BA7AEF"/>
    <w:rsid w:val="00BB2B82"/>
    <w:rsid w:val="00BC4DA1"/>
    <w:rsid w:val="00BD0513"/>
    <w:rsid w:val="00BD3D99"/>
    <w:rsid w:val="00BD437F"/>
    <w:rsid w:val="00BF05F5"/>
    <w:rsid w:val="00BF1D89"/>
    <w:rsid w:val="00C53F32"/>
    <w:rsid w:val="00C62174"/>
    <w:rsid w:val="00C66F3B"/>
    <w:rsid w:val="00C713E6"/>
    <w:rsid w:val="00C758B6"/>
    <w:rsid w:val="00C81B10"/>
    <w:rsid w:val="00C8276D"/>
    <w:rsid w:val="00C832B7"/>
    <w:rsid w:val="00C841AD"/>
    <w:rsid w:val="00C90443"/>
    <w:rsid w:val="00CA078F"/>
    <w:rsid w:val="00CA32AD"/>
    <w:rsid w:val="00CA3659"/>
    <w:rsid w:val="00CA7773"/>
    <w:rsid w:val="00CB0267"/>
    <w:rsid w:val="00CC41A4"/>
    <w:rsid w:val="00CD10C4"/>
    <w:rsid w:val="00CD2B61"/>
    <w:rsid w:val="00CD61BC"/>
    <w:rsid w:val="00CF34A5"/>
    <w:rsid w:val="00CF392E"/>
    <w:rsid w:val="00CF3995"/>
    <w:rsid w:val="00CF7A6F"/>
    <w:rsid w:val="00CF7B8B"/>
    <w:rsid w:val="00D02CDA"/>
    <w:rsid w:val="00D044C0"/>
    <w:rsid w:val="00D1758A"/>
    <w:rsid w:val="00D30BE3"/>
    <w:rsid w:val="00D37203"/>
    <w:rsid w:val="00D46992"/>
    <w:rsid w:val="00D61DF7"/>
    <w:rsid w:val="00D71EE5"/>
    <w:rsid w:val="00D7596E"/>
    <w:rsid w:val="00D816B7"/>
    <w:rsid w:val="00D853BD"/>
    <w:rsid w:val="00D964BB"/>
    <w:rsid w:val="00D975FA"/>
    <w:rsid w:val="00DA0C18"/>
    <w:rsid w:val="00DC30E8"/>
    <w:rsid w:val="00DD0F9B"/>
    <w:rsid w:val="00DD2A5E"/>
    <w:rsid w:val="00DD691A"/>
    <w:rsid w:val="00DE4DDF"/>
    <w:rsid w:val="00DF0022"/>
    <w:rsid w:val="00DF2C2D"/>
    <w:rsid w:val="00E246BD"/>
    <w:rsid w:val="00E27042"/>
    <w:rsid w:val="00E4653D"/>
    <w:rsid w:val="00E47DF0"/>
    <w:rsid w:val="00E6170B"/>
    <w:rsid w:val="00E77FAE"/>
    <w:rsid w:val="00E8457E"/>
    <w:rsid w:val="00E948FC"/>
    <w:rsid w:val="00EA1F55"/>
    <w:rsid w:val="00EA57F2"/>
    <w:rsid w:val="00EB2C8F"/>
    <w:rsid w:val="00EB30A8"/>
    <w:rsid w:val="00EB33EA"/>
    <w:rsid w:val="00EC4B27"/>
    <w:rsid w:val="00EC7C79"/>
    <w:rsid w:val="00ED68F6"/>
    <w:rsid w:val="00EE57AA"/>
    <w:rsid w:val="00EE5D12"/>
    <w:rsid w:val="00EF58C7"/>
    <w:rsid w:val="00F00C62"/>
    <w:rsid w:val="00F02A77"/>
    <w:rsid w:val="00F03996"/>
    <w:rsid w:val="00F07C71"/>
    <w:rsid w:val="00F421DA"/>
    <w:rsid w:val="00F533FD"/>
    <w:rsid w:val="00F61F23"/>
    <w:rsid w:val="00F6317B"/>
    <w:rsid w:val="00F86EE3"/>
    <w:rsid w:val="00F91A90"/>
    <w:rsid w:val="00F92F3A"/>
    <w:rsid w:val="00F965FA"/>
    <w:rsid w:val="00FC521F"/>
    <w:rsid w:val="00FC7AA1"/>
    <w:rsid w:val="00FC7E29"/>
    <w:rsid w:val="00FD211A"/>
    <w:rsid w:val="00FE0848"/>
    <w:rsid w:val="00FF16A6"/>
    <w:rsid w:val="00FF1CBB"/>
    <w:rsid w:val="00FF4F4A"/>
    <w:rsid w:val="00FF59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9CA1"/>
  <w15:docId w15:val="{BA613B39-FB29-404E-9467-7BE588F4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26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2D2"/>
    <w:pPr>
      <w:tabs>
        <w:tab w:val="center" w:pos="4536"/>
        <w:tab w:val="right" w:pos="9072"/>
      </w:tabs>
      <w:spacing w:after="0"/>
    </w:pPr>
  </w:style>
  <w:style w:type="character" w:customStyle="1" w:styleId="HeaderChar">
    <w:name w:val="Header Char"/>
    <w:basedOn w:val="DefaultParagraphFont"/>
    <w:link w:val="Header"/>
    <w:uiPriority w:val="99"/>
    <w:rsid w:val="00AB72D2"/>
  </w:style>
  <w:style w:type="paragraph" w:styleId="Footer">
    <w:name w:val="footer"/>
    <w:basedOn w:val="Normal"/>
    <w:link w:val="FooterChar"/>
    <w:uiPriority w:val="99"/>
    <w:unhideWhenUsed/>
    <w:rsid w:val="00AB72D2"/>
    <w:pPr>
      <w:tabs>
        <w:tab w:val="center" w:pos="4536"/>
        <w:tab w:val="right" w:pos="9072"/>
      </w:tabs>
      <w:spacing w:after="0"/>
    </w:pPr>
  </w:style>
  <w:style w:type="character" w:customStyle="1" w:styleId="FooterChar">
    <w:name w:val="Footer Char"/>
    <w:basedOn w:val="DefaultParagraphFont"/>
    <w:link w:val="Footer"/>
    <w:uiPriority w:val="99"/>
    <w:rsid w:val="00AB72D2"/>
  </w:style>
  <w:style w:type="table" w:styleId="LightShading-Accent1">
    <w:name w:val="Light Shading Accent 1"/>
    <w:basedOn w:val="TableNormal"/>
    <w:uiPriority w:val="60"/>
    <w:rsid w:val="00AB72D2"/>
    <w:pPr>
      <w:spacing w:after="0"/>
    </w:pPr>
    <w:rPr>
      <w:rFonts w:eastAsiaTheme="minorEastAsia"/>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Normal"/>
    <w:uiPriority w:val="99"/>
    <w:rsid w:val="0082198C"/>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NoSpacing">
    <w:name w:val="No Spacing"/>
    <w:link w:val="NoSpacingChar"/>
    <w:uiPriority w:val="1"/>
    <w:qFormat/>
    <w:rsid w:val="004D7176"/>
    <w:pPr>
      <w:spacing w:after="0" w:line="360" w:lineRule="auto"/>
    </w:pPr>
    <w:rPr>
      <w:rFonts w:eastAsiaTheme="minorEastAsia"/>
      <w:sz w:val="22"/>
      <w:szCs w:val="22"/>
      <w:lang w:eastAsia="fr-FR"/>
    </w:rPr>
  </w:style>
  <w:style w:type="character" w:customStyle="1" w:styleId="NoSpacingChar">
    <w:name w:val="No Spacing Char"/>
    <w:basedOn w:val="DefaultParagraphFont"/>
    <w:link w:val="NoSpacing"/>
    <w:uiPriority w:val="1"/>
    <w:rsid w:val="004D7176"/>
    <w:rPr>
      <w:rFonts w:eastAsiaTheme="minorEastAsia"/>
      <w:sz w:val="22"/>
      <w:szCs w:val="22"/>
      <w:lang w:eastAsia="fr-FR"/>
    </w:rPr>
  </w:style>
  <w:style w:type="character" w:styleId="PageNumber">
    <w:name w:val="page number"/>
    <w:basedOn w:val="DefaultParagraphFont"/>
    <w:rsid w:val="00F92F3A"/>
  </w:style>
  <w:style w:type="paragraph" w:styleId="BalloonText">
    <w:name w:val="Balloon Text"/>
    <w:basedOn w:val="Normal"/>
    <w:link w:val="BalloonTextChar"/>
    <w:rsid w:val="00AA2F6F"/>
    <w:pPr>
      <w:spacing w:after="0"/>
    </w:pPr>
    <w:rPr>
      <w:rFonts w:ascii="Tahoma" w:hAnsi="Tahoma" w:cs="Tahoma"/>
      <w:sz w:val="16"/>
      <w:szCs w:val="16"/>
    </w:rPr>
  </w:style>
  <w:style w:type="character" w:customStyle="1" w:styleId="BalloonTextChar">
    <w:name w:val="Balloon Text Char"/>
    <w:basedOn w:val="DefaultParagraphFont"/>
    <w:link w:val="BalloonText"/>
    <w:rsid w:val="00AA2F6F"/>
    <w:rPr>
      <w:rFonts w:ascii="Tahoma" w:hAnsi="Tahoma" w:cs="Tahoma"/>
      <w:sz w:val="16"/>
      <w:szCs w:val="16"/>
    </w:rPr>
  </w:style>
  <w:style w:type="table" w:styleId="TableGrid">
    <w:name w:val="Table Grid"/>
    <w:basedOn w:val="TableNormal"/>
    <w:rsid w:val="00FC52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
    <w:name w:val="Letter - Address"/>
    <w:basedOn w:val="BasicParagraph"/>
    <w:qFormat/>
    <w:rsid w:val="00CB0267"/>
    <w:pPr>
      <w:tabs>
        <w:tab w:val="left" w:pos="4536"/>
      </w:tabs>
      <w:spacing w:line="220" w:lineRule="atLeast"/>
    </w:pPr>
    <w:rPr>
      <w:rFonts w:ascii="Proxima Nova" w:hAnsi="Proxima Nova" w:cs="ProximaNova-Bold"/>
      <w:b/>
      <w:bCs/>
      <w:sz w:val="18"/>
      <w:szCs w:val="18"/>
    </w:rPr>
  </w:style>
  <w:style w:type="paragraph" w:customStyle="1" w:styleId="ElectedOfficialName">
    <w:name w:val="Elected Official Name"/>
    <w:basedOn w:val="BasicParagraph"/>
    <w:rsid w:val="00CB0267"/>
    <w:pPr>
      <w:tabs>
        <w:tab w:val="left" w:pos="4536"/>
      </w:tabs>
      <w:spacing w:line="220" w:lineRule="atLeast"/>
    </w:pPr>
    <w:rPr>
      <w:rFonts w:ascii="Proxima Nova" w:hAnsi="Proxima Nova" w:cs="ProximaNova-Bold"/>
      <w:b/>
      <w:bCs/>
      <w:color w:val="A50235"/>
      <w:sz w:val="18"/>
      <w:szCs w:val="18"/>
    </w:rPr>
  </w:style>
  <w:style w:type="paragraph" w:customStyle="1" w:styleId="ElectedOfficialTitle">
    <w:name w:val="Elected Official Title"/>
    <w:basedOn w:val="BasicParagraph"/>
    <w:rsid w:val="00CB0267"/>
    <w:pPr>
      <w:tabs>
        <w:tab w:val="left" w:pos="4536"/>
      </w:tabs>
      <w:spacing w:line="220" w:lineRule="atLeast"/>
    </w:pPr>
    <w:rPr>
      <w:rFonts w:ascii="Proxima Nova" w:hAnsi="Proxima Nova" w:cs="ProximaNova-Regular"/>
      <w:sz w:val="16"/>
      <w:szCs w:val="16"/>
    </w:rPr>
  </w:style>
  <w:style w:type="paragraph" w:customStyle="1" w:styleId="Letter-Reference">
    <w:name w:val="Letter - Reference"/>
    <w:basedOn w:val="BasicParagraph"/>
    <w:qFormat/>
    <w:rsid w:val="000275D4"/>
    <w:pPr>
      <w:tabs>
        <w:tab w:val="left" w:pos="4536"/>
      </w:tabs>
      <w:spacing w:before="360" w:after="360" w:line="220" w:lineRule="atLeast"/>
    </w:pPr>
    <w:rPr>
      <w:rFonts w:ascii="Proxima Nova" w:hAnsi="Proxima Nova" w:cs="ProximaNova-Bold"/>
      <w:b/>
      <w:bCs/>
      <w:color w:val="auto"/>
      <w:sz w:val="18"/>
      <w:szCs w:val="20"/>
    </w:rPr>
  </w:style>
  <w:style w:type="paragraph" w:customStyle="1" w:styleId="Letter-Date">
    <w:name w:val="Letter - Date"/>
    <w:basedOn w:val="Letter-Reference"/>
    <w:qFormat/>
    <w:rsid w:val="000275D4"/>
  </w:style>
  <w:style w:type="paragraph" w:customStyle="1" w:styleId="Letter-Subject">
    <w:name w:val="Letter - Subject"/>
    <w:basedOn w:val="BasicParagraph"/>
    <w:qFormat/>
    <w:rsid w:val="003C0184"/>
    <w:pPr>
      <w:spacing w:after="360" w:line="220" w:lineRule="atLeast"/>
    </w:pPr>
    <w:rPr>
      <w:rFonts w:ascii="Proxima Nova" w:hAnsi="Proxima Nova" w:cs="ProximaNova-Bold"/>
      <w:b/>
      <w:bCs/>
      <w:sz w:val="20"/>
      <w:szCs w:val="20"/>
    </w:rPr>
  </w:style>
  <w:style w:type="paragraph" w:customStyle="1" w:styleId="Letter-Salutation">
    <w:name w:val="Letter - Salutation"/>
    <w:basedOn w:val="BasicParagraph"/>
    <w:qFormat/>
    <w:rsid w:val="003C0184"/>
    <w:pPr>
      <w:spacing w:after="240" w:line="220" w:lineRule="atLeast"/>
      <w:jc w:val="both"/>
    </w:pPr>
    <w:rPr>
      <w:rFonts w:ascii="Proxima Nova" w:hAnsi="Proxima Nova" w:cs="ProximaNova-Regular"/>
      <w:sz w:val="20"/>
      <w:szCs w:val="20"/>
    </w:rPr>
  </w:style>
  <w:style w:type="character" w:styleId="PlaceholderText">
    <w:name w:val="Placeholder Text"/>
    <w:basedOn w:val="DefaultParagraphFont"/>
    <w:rsid w:val="003C0184"/>
    <w:rPr>
      <w:color w:val="808080"/>
    </w:rPr>
  </w:style>
  <w:style w:type="paragraph" w:customStyle="1" w:styleId="Letter-Paragraph">
    <w:name w:val="Letter - Paragraph"/>
    <w:basedOn w:val="BasicParagraph"/>
    <w:qFormat/>
    <w:rsid w:val="003C0184"/>
    <w:pPr>
      <w:tabs>
        <w:tab w:val="left" w:pos="4536"/>
      </w:tabs>
      <w:spacing w:after="120" w:line="220" w:lineRule="atLeast"/>
      <w:jc w:val="both"/>
    </w:pPr>
    <w:rPr>
      <w:rFonts w:ascii="Proxima Nova" w:hAnsi="Proxima Nova" w:cs="ProximaNova-Regular"/>
      <w:sz w:val="20"/>
      <w:szCs w:val="20"/>
    </w:rPr>
  </w:style>
  <w:style w:type="paragraph" w:customStyle="1" w:styleId="Letter-Closing">
    <w:name w:val="Letter - Closing"/>
    <w:basedOn w:val="BasicParagraph"/>
    <w:qFormat/>
    <w:rsid w:val="00916A64"/>
    <w:pPr>
      <w:tabs>
        <w:tab w:val="left" w:pos="4536"/>
      </w:tabs>
      <w:spacing w:line="220" w:lineRule="atLeast"/>
      <w:jc w:val="both"/>
    </w:pPr>
    <w:rPr>
      <w:rFonts w:ascii="Proxima Nova" w:hAnsi="Proxima Nova" w:cs="ProximaNova-Bold"/>
      <w:bCs/>
      <w:sz w:val="20"/>
      <w:szCs w:val="20"/>
    </w:rPr>
  </w:style>
  <w:style w:type="paragraph" w:customStyle="1" w:styleId="Letter-Signature">
    <w:name w:val="Letter - Signature"/>
    <w:basedOn w:val="BasicParagraph"/>
    <w:qFormat/>
    <w:rsid w:val="003C0184"/>
    <w:pPr>
      <w:tabs>
        <w:tab w:val="left" w:pos="4536"/>
      </w:tabs>
      <w:spacing w:line="220" w:lineRule="atLeast"/>
      <w:jc w:val="both"/>
    </w:pPr>
    <w:rPr>
      <w:rFonts w:ascii="Proxima Nova" w:hAnsi="Proxima Nova" w:cs="ProximaNova-Bold"/>
      <w:b/>
      <w:bCs/>
      <w:sz w:val="20"/>
      <w:szCs w:val="20"/>
    </w:rPr>
  </w:style>
  <w:style w:type="paragraph" w:styleId="ListParagraph">
    <w:name w:val="List Paragraph"/>
    <w:basedOn w:val="Normal"/>
    <w:link w:val="ListParagraphChar"/>
    <w:autoRedefine/>
    <w:uiPriority w:val="34"/>
    <w:qFormat/>
    <w:rsid w:val="00AC40A6"/>
    <w:pPr>
      <w:spacing w:line="260" w:lineRule="atLeast"/>
      <w:ind w:left="720"/>
      <w:contextualSpacing/>
      <w:jc w:val="both"/>
    </w:pPr>
    <w:rPr>
      <w:rFonts w:ascii="Proxima Nova" w:eastAsiaTheme="minorEastAsia" w:hAnsi="Proxima Nova"/>
      <w:color w:val="C0504D" w:themeColor="accent2"/>
      <w:szCs w:val="20"/>
    </w:rPr>
  </w:style>
  <w:style w:type="character" w:customStyle="1" w:styleId="ListParagraphChar">
    <w:name w:val="List Paragraph Char"/>
    <w:basedOn w:val="DefaultParagraphFont"/>
    <w:link w:val="ListParagraph"/>
    <w:uiPriority w:val="34"/>
    <w:rsid w:val="00AC40A6"/>
    <w:rPr>
      <w:rFonts w:ascii="Proxima Nova" w:eastAsiaTheme="minorEastAsia" w:hAnsi="Proxima Nova"/>
      <w:color w:val="C0504D" w:themeColor="accent2"/>
      <w:szCs w:val="20"/>
      <w:lang w:val="en-GB"/>
    </w:rPr>
  </w:style>
  <w:style w:type="character" w:styleId="Hyperlink">
    <w:name w:val="Hyperlink"/>
    <w:basedOn w:val="DefaultParagraphFont"/>
    <w:uiPriority w:val="99"/>
    <w:unhideWhenUsed/>
    <w:rsid w:val="001D0905"/>
    <w:rPr>
      <w:color w:val="0000FF" w:themeColor="hyperlink"/>
      <w:u w:val="single"/>
    </w:rPr>
  </w:style>
  <w:style w:type="character" w:styleId="UnresolvedMention">
    <w:name w:val="Unresolved Mention"/>
    <w:basedOn w:val="DefaultParagraphFont"/>
    <w:uiPriority w:val="99"/>
    <w:semiHidden/>
    <w:unhideWhenUsed/>
    <w:rsid w:val="001D0905"/>
    <w:rPr>
      <w:color w:val="605E5C"/>
      <w:shd w:val="clear" w:color="auto" w:fill="E1DFDD"/>
    </w:rPr>
  </w:style>
  <w:style w:type="paragraph" w:styleId="FootnoteText">
    <w:name w:val="footnote text"/>
    <w:basedOn w:val="Normal"/>
    <w:link w:val="FootnoteTextChar"/>
    <w:semiHidden/>
    <w:unhideWhenUsed/>
    <w:rsid w:val="00E27042"/>
    <w:pPr>
      <w:spacing w:after="0"/>
    </w:pPr>
    <w:rPr>
      <w:sz w:val="20"/>
      <w:szCs w:val="20"/>
    </w:rPr>
  </w:style>
  <w:style w:type="character" w:customStyle="1" w:styleId="FootnoteTextChar">
    <w:name w:val="Footnote Text Char"/>
    <w:basedOn w:val="DefaultParagraphFont"/>
    <w:link w:val="FootnoteText"/>
    <w:semiHidden/>
    <w:rsid w:val="00E27042"/>
    <w:rPr>
      <w:sz w:val="20"/>
      <w:szCs w:val="20"/>
      <w:lang w:val="en-GB"/>
    </w:rPr>
  </w:style>
  <w:style w:type="character" w:styleId="FootnoteReference">
    <w:name w:val="footnote reference"/>
    <w:basedOn w:val="DefaultParagraphFont"/>
    <w:uiPriority w:val="99"/>
    <w:semiHidden/>
    <w:unhideWhenUsed/>
    <w:rsid w:val="00E27042"/>
    <w:rPr>
      <w:vertAlign w:val="superscript"/>
    </w:rPr>
  </w:style>
  <w:style w:type="character" w:styleId="FollowedHyperlink">
    <w:name w:val="FollowedHyperlink"/>
    <w:basedOn w:val="DefaultParagraphFont"/>
    <w:semiHidden/>
    <w:unhideWhenUsed/>
    <w:rsid w:val="006F044E"/>
    <w:rPr>
      <w:color w:val="800080" w:themeColor="followedHyperlink"/>
      <w:u w:val="single"/>
    </w:rPr>
  </w:style>
  <w:style w:type="paragraph" w:styleId="Revision">
    <w:name w:val="Revision"/>
    <w:hidden/>
    <w:semiHidden/>
    <w:rsid w:val="003430CB"/>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53458">
      <w:bodyDiv w:val="1"/>
      <w:marLeft w:val="0"/>
      <w:marRight w:val="0"/>
      <w:marTop w:val="0"/>
      <w:marBottom w:val="0"/>
      <w:divBdr>
        <w:top w:val="none" w:sz="0" w:space="0" w:color="auto"/>
        <w:left w:val="none" w:sz="0" w:space="0" w:color="auto"/>
        <w:bottom w:val="none" w:sz="0" w:space="0" w:color="auto"/>
        <w:right w:val="none" w:sz="0" w:space="0" w:color="auto"/>
      </w:divBdr>
    </w:div>
    <w:div w:id="251864036">
      <w:bodyDiv w:val="1"/>
      <w:marLeft w:val="0"/>
      <w:marRight w:val="0"/>
      <w:marTop w:val="0"/>
      <w:marBottom w:val="0"/>
      <w:divBdr>
        <w:top w:val="none" w:sz="0" w:space="0" w:color="auto"/>
        <w:left w:val="none" w:sz="0" w:space="0" w:color="auto"/>
        <w:bottom w:val="none" w:sz="0" w:space="0" w:color="auto"/>
        <w:right w:val="none" w:sz="0" w:space="0" w:color="auto"/>
      </w:divBdr>
    </w:div>
    <w:div w:id="422797947">
      <w:bodyDiv w:val="1"/>
      <w:marLeft w:val="0"/>
      <w:marRight w:val="0"/>
      <w:marTop w:val="0"/>
      <w:marBottom w:val="0"/>
      <w:divBdr>
        <w:top w:val="none" w:sz="0" w:space="0" w:color="auto"/>
        <w:left w:val="none" w:sz="0" w:space="0" w:color="auto"/>
        <w:bottom w:val="none" w:sz="0" w:space="0" w:color="auto"/>
        <w:right w:val="none" w:sz="0" w:space="0" w:color="auto"/>
      </w:divBdr>
      <w:divsChild>
        <w:div w:id="2097969558">
          <w:marLeft w:val="0"/>
          <w:marRight w:val="0"/>
          <w:marTop w:val="0"/>
          <w:marBottom w:val="0"/>
          <w:divBdr>
            <w:top w:val="single" w:sz="6" w:space="0" w:color="C6C6C6"/>
            <w:left w:val="single" w:sz="6" w:space="0" w:color="C6C6C6"/>
            <w:bottom w:val="single" w:sz="6" w:space="0" w:color="C6C6C6"/>
            <w:right w:val="single" w:sz="6" w:space="0" w:color="C6C6C6"/>
          </w:divBdr>
          <w:divsChild>
            <w:div w:id="2071028653">
              <w:marLeft w:val="0"/>
              <w:marRight w:val="0"/>
              <w:marTop w:val="0"/>
              <w:marBottom w:val="0"/>
              <w:divBdr>
                <w:top w:val="none" w:sz="0" w:space="0" w:color="auto"/>
                <w:left w:val="none" w:sz="0" w:space="0" w:color="auto"/>
                <w:bottom w:val="none" w:sz="0" w:space="0" w:color="auto"/>
                <w:right w:val="none" w:sz="0" w:space="0" w:color="auto"/>
              </w:divBdr>
              <w:divsChild>
                <w:div w:id="361398020">
                  <w:marLeft w:val="0"/>
                  <w:marRight w:val="0"/>
                  <w:marTop w:val="0"/>
                  <w:marBottom w:val="0"/>
                  <w:divBdr>
                    <w:top w:val="none" w:sz="0" w:space="0" w:color="auto"/>
                    <w:left w:val="none" w:sz="0" w:space="0" w:color="auto"/>
                    <w:bottom w:val="none" w:sz="0" w:space="0" w:color="auto"/>
                    <w:right w:val="none" w:sz="0" w:space="0" w:color="auto"/>
                  </w:divBdr>
                  <w:divsChild>
                    <w:div w:id="295254867">
                      <w:marLeft w:val="0"/>
                      <w:marRight w:val="0"/>
                      <w:marTop w:val="0"/>
                      <w:marBottom w:val="0"/>
                      <w:divBdr>
                        <w:top w:val="single" w:sz="6" w:space="6" w:color="C6C6C6"/>
                        <w:left w:val="single" w:sz="6" w:space="6" w:color="C6C6C6"/>
                        <w:bottom w:val="single" w:sz="6" w:space="6" w:color="C6C6C6"/>
                        <w:right w:val="single" w:sz="6" w:space="6" w:color="C6C6C6"/>
                      </w:divBdr>
                    </w:div>
                    <w:div w:id="1848016021">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977560844">
                  <w:marLeft w:val="0"/>
                  <w:marRight w:val="0"/>
                  <w:marTop w:val="0"/>
                  <w:marBottom w:val="0"/>
                  <w:divBdr>
                    <w:top w:val="none" w:sz="0" w:space="0" w:color="auto"/>
                    <w:left w:val="none" w:sz="0" w:space="0" w:color="auto"/>
                    <w:bottom w:val="none" w:sz="0" w:space="0" w:color="auto"/>
                    <w:right w:val="none" w:sz="0" w:space="0" w:color="auto"/>
                  </w:divBdr>
                  <w:divsChild>
                    <w:div w:id="1892420812">
                      <w:marLeft w:val="0"/>
                      <w:marRight w:val="0"/>
                      <w:marTop w:val="0"/>
                      <w:marBottom w:val="0"/>
                      <w:divBdr>
                        <w:top w:val="single" w:sz="6" w:space="6" w:color="C6C6C6"/>
                        <w:left w:val="single" w:sz="6" w:space="6" w:color="C6C6C6"/>
                        <w:bottom w:val="single" w:sz="6" w:space="6" w:color="C6C6C6"/>
                        <w:right w:val="single" w:sz="6" w:space="6" w:color="C6C6C6"/>
                      </w:divBdr>
                    </w:div>
                    <w:div w:id="9260794">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423263284">
                  <w:marLeft w:val="0"/>
                  <w:marRight w:val="0"/>
                  <w:marTop w:val="0"/>
                  <w:marBottom w:val="0"/>
                  <w:divBdr>
                    <w:top w:val="none" w:sz="0" w:space="0" w:color="auto"/>
                    <w:left w:val="none" w:sz="0" w:space="0" w:color="auto"/>
                    <w:bottom w:val="none" w:sz="0" w:space="0" w:color="auto"/>
                    <w:right w:val="none" w:sz="0" w:space="0" w:color="auto"/>
                  </w:divBdr>
                  <w:divsChild>
                    <w:div w:id="2144694187">
                      <w:marLeft w:val="0"/>
                      <w:marRight w:val="0"/>
                      <w:marTop w:val="0"/>
                      <w:marBottom w:val="0"/>
                      <w:divBdr>
                        <w:top w:val="single" w:sz="6" w:space="6" w:color="C6C6C6"/>
                        <w:left w:val="single" w:sz="6" w:space="6" w:color="C6C6C6"/>
                        <w:bottom w:val="single" w:sz="6" w:space="6" w:color="C6C6C6"/>
                        <w:right w:val="single" w:sz="6" w:space="6" w:color="C6C6C6"/>
                      </w:divBdr>
                    </w:div>
                    <w:div w:id="251471769">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Child>
        </w:div>
      </w:divsChild>
    </w:div>
    <w:div w:id="424503232">
      <w:bodyDiv w:val="1"/>
      <w:marLeft w:val="0"/>
      <w:marRight w:val="0"/>
      <w:marTop w:val="0"/>
      <w:marBottom w:val="0"/>
      <w:divBdr>
        <w:top w:val="none" w:sz="0" w:space="0" w:color="auto"/>
        <w:left w:val="none" w:sz="0" w:space="0" w:color="auto"/>
        <w:bottom w:val="none" w:sz="0" w:space="0" w:color="auto"/>
        <w:right w:val="none" w:sz="0" w:space="0" w:color="auto"/>
      </w:divBdr>
    </w:div>
    <w:div w:id="447702039">
      <w:bodyDiv w:val="1"/>
      <w:marLeft w:val="0"/>
      <w:marRight w:val="0"/>
      <w:marTop w:val="0"/>
      <w:marBottom w:val="0"/>
      <w:divBdr>
        <w:top w:val="none" w:sz="0" w:space="0" w:color="auto"/>
        <w:left w:val="none" w:sz="0" w:space="0" w:color="auto"/>
        <w:bottom w:val="none" w:sz="0" w:space="0" w:color="auto"/>
        <w:right w:val="none" w:sz="0" w:space="0" w:color="auto"/>
      </w:divBdr>
    </w:div>
    <w:div w:id="584606520">
      <w:bodyDiv w:val="1"/>
      <w:marLeft w:val="0"/>
      <w:marRight w:val="0"/>
      <w:marTop w:val="0"/>
      <w:marBottom w:val="0"/>
      <w:divBdr>
        <w:top w:val="none" w:sz="0" w:space="0" w:color="auto"/>
        <w:left w:val="none" w:sz="0" w:space="0" w:color="auto"/>
        <w:bottom w:val="none" w:sz="0" w:space="0" w:color="auto"/>
        <w:right w:val="none" w:sz="0" w:space="0" w:color="auto"/>
      </w:divBdr>
    </w:div>
    <w:div w:id="784931096">
      <w:bodyDiv w:val="1"/>
      <w:marLeft w:val="0"/>
      <w:marRight w:val="0"/>
      <w:marTop w:val="0"/>
      <w:marBottom w:val="0"/>
      <w:divBdr>
        <w:top w:val="none" w:sz="0" w:space="0" w:color="auto"/>
        <w:left w:val="none" w:sz="0" w:space="0" w:color="auto"/>
        <w:bottom w:val="none" w:sz="0" w:space="0" w:color="auto"/>
        <w:right w:val="none" w:sz="0" w:space="0" w:color="auto"/>
      </w:divBdr>
    </w:div>
    <w:div w:id="983317825">
      <w:bodyDiv w:val="1"/>
      <w:marLeft w:val="0"/>
      <w:marRight w:val="0"/>
      <w:marTop w:val="0"/>
      <w:marBottom w:val="0"/>
      <w:divBdr>
        <w:top w:val="none" w:sz="0" w:space="0" w:color="auto"/>
        <w:left w:val="none" w:sz="0" w:space="0" w:color="auto"/>
        <w:bottom w:val="none" w:sz="0" w:space="0" w:color="auto"/>
        <w:right w:val="none" w:sz="0" w:space="0" w:color="auto"/>
      </w:divBdr>
    </w:div>
    <w:div w:id="1013872253">
      <w:bodyDiv w:val="1"/>
      <w:marLeft w:val="0"/>
      <w:marRight w:val="0"/>
      <w:marTop w:val="0"/>
      <w:marBottom w:val="0"/>
      <w:divBdr>
        <w:top w:val="none" w:sz="0" w:space="0" w:color="auto"/>
        <w:left w:val="none" w:sz="0" w:space="0" w:color="auto"/>
        <w:bottom w:val="none" w:sz="0" w:space="0" w:color="auto"/>
        <w:right w:val="none" w:sz="0" w:space="0" w:color="auto"/>
      </w:divBdr>
    </w:div>
    <w:div w:id="1228957856">
      <w:bodyDiv w:val="1"/>
      <w:marLeft w:val="0"/>
      <w:marRight w:val="0"/>
      <w:marTop w:val="0"/>
      <w:marBottom w:val="0"/>
      <w:divBdr>
        <w:top w:val="none" w:sz="0" w:space="0" w:color="auto"/>
        <w:left w:val="none" w:sz="0" w:space="0" w:color="auto"/>
        <w:bottom w:val="none" w:sz="0" w:space="0" w:color="auto"/>
        <w:right w:val="none" w:sz="0" w:space="0" w:color="auto"/>
      </w:divBdr>
      <w:divsChild>
        <w:div w:id="1299992447">
          <w:marLeft w:val="0"/>
          <w:marRight w:val="0"/>
          <w:marTop w:val="0"/>
          <w:marBottom w:val="0"/>
          <w:divBdr>
            <w:top w:val="single" w:sz="6" w:space="0" w:color="C6C6C6"/>
            <w:left w:val="single" w:sz="6" w:space="0" w:color="C6C6C6"/>
            <w:bottom w:val="single" w:sz="6" w:space="0" w:color="C6C6C6"/>
            <w:right w:val="single" w:sz="6" w:space="0" w:color="C6C6C6"/>
          </w:divBdr>
          <w:divsChild>
            <w:div w:id="1915967916">
              <w:marLeft w:val="0"/>
              <w:marRight w:val="0"/>
              <w:marTop w:val="0"/>
              <w:marBottom w:val="0"/>
              <w:divBdr>
                <w:top w:val="none" w:sz="0" w:space="0" w:color="auto"/>
                <w:left w:val="none" w:sz="0" w:space="0" w:color="auto"/>
                <w:bottom w:val="none" w:sz="0" w:space="0" w:color="auto"/>
                <w:right w:val="none" w:sz="0" w:space="0" w:color="auto"/>
              </w:divBdr>
              <w:divsChild>
                <w:div w:id="146673778">
                  <w:marLeft w:val="0"/>
                  <w:marRight w:val="0"/>
                  <w:marTop w:val="0"/>
                  <w:marBottom w:val="0"/>
                  <w:divBdr>
                    <w:top w:val="none" w:sz="0" w:space="0" w:color="auto"/>
                    <w:left w:val="none" w:sz="0" w:space="0" w:color="auto"/>
                    <w:bottom w:val="none" w:sz="0" w:space="0" w:color="auto"/>
                    <w:right w:val="none" w:sz="0" w:space="0" w:color="auto"/>
                  </w:divBdr>
                  <w:divsChild>
                    <w:div w:id="644628502">
                      <w:marLeft w:val="0"/>
                      <w:marRight w:val="0"/>
                      <w:marTop w:val="0"/>
                      <w:marBottom w:val="0"/>
                      <w:divBdr>
                        <w:top w:val="single" w:sz="6" w:space="6" w:color="C6C6C6"/>
                        <w:left w:val="single" w:sz="6" w:space="6" w:color="C6C6C6"/>
                        <w:bottom w:val="single" w:sz="6" w:space="6" w:color="C6C6C6"/>
                        <w:right w:val="single" w:sz="6" w:space="6" w:color="C6C6C6"/>
                      </w:divBdr>
                    </w:div>
                    <w:div w:id="714309087">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490754077">
                  <w:marLeft w:val="0"/>
                  <w:marRight w:val="0"/>
                  <w:marTop w:val="0"/>
                  <w:marBottom w:val="0"/>
                  <w:divBdr>
                    <w:top w:val="none" w:sz="0" w:space="0" w:color="auto"/>
                    <w:left w:val="none" w:sz="0" w:space="0" w:color="auto"/>
                    <w:bottom w:val="none" w:sz="0" w:space="0" w:color="auto"/>
                    <w:right w:val="none" w:sz="0" w:space="0" w:color="auto"/>
                  </w:divBdr>
                  <w:divsChild>
                    <w:div w:id="1674800520">
                      <w:marLeft w:val="0"/>
                      <w:marRight w:val="0"/>
                      <w:marTop w:val="0"/>
                      <w:marBottom w:val="0"/>
                      <w:divBdr>
                        <w:top w:val="single" w:sz="6" w:space="6" w:color="C6C6C6"/>
                        <w:left w:val="single" w:sz="6" w:space="6" w:color="C6C6C6"/>
                        <w:bottom w:val="single" w:sz="6" w:space="6" w:color="C6C6C6"/>
                        <w:right w:val="single" w:sz="6" w:space="6" w:color="C6C6C6"/>
                      </w:divBdr>
                    </w:div>
                    <w:div w:id="520122530">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001927226">
                  <w:marLeft w:val="0"/>
                  <w:marRight w:val="0"/>
                  <w:marTop w:val="0"/>
                  <w:marBottom w:val="0"/>
                  <w:divBdr>
                    <w:top w:val="none" w:sz="0" w:space="0" w:color="auto"/>
                    <w:left w:val="none" w:sz="0" w:space="0" w:color="auto"/>
                    <w:bottom w:val="none" w:sz="0" w:space="0" w:color="auto"/>
                    <w:right w:val="none" w:sz="0" w:space="0" w:color="auto"/>
                  </w:divBdr>
                  <w:divsChild>
                    <w:div w:id="243997024">
                      <w:marLeft w:val="0"/>
                      <w:marRight w:val="0"/>
                      <w:marTop w:val="0"/>
                      <w:marBottom w:val="0"/>
                      <w:divBdr>
                        <w:top w:val="single" w:sz="6" w:space="6" w:color="C6C6C6"/>
                        <w:left w:val="single" w:sz="6" w:space="6" w:color="C6C6C6"/>
                        <w:bottom w:val="single" w:sz="6" w:space="6" w:color="C6C6C6"/>
                        <w:right w:val="single" w:sz="6" w:space="6" w:color="C6C6C6"/>
                      </w:divBdr>
                    </w:div>
                    <w:div w:id="2097438354">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Child>
        </w:div>
      </w:divsChild>
    </w:div>
    <w:div w:id="1411192074">
      <w:bodyDiv w:val="1"/>
      <w:marLeft w:val="0"/>
      <w:marRight w:val="0"/>
      <w:marTop w:val="0"/>
      <w:marBottom w:val="0"/>
      <w:divBdr>
        <w:top w:val="none" w:sz="0" w:space="0" w:color="auto"/>
        <w:left w:val="none" w:sz="0" w:space="0" w:color="auto"/>
        <w:bottom w:val="none" w:sz="0" w:space="0" w:color="auto"/>
        <w:right w:val="none" w:sz="0" w:space="0" w:color="auto"/>
      </w:divBdr>
    </w:div>
    <w:div w:id="1413158664">
      <w:bodyDiv w:val="1"/>
      <w:marLeft w:val="0"/>
      <w:marRight w:val="0"/>
      <w:marTop w:val="0"/>
      <w:marBottom w:val="0"/>
      <w:divBdr>
        <w:top w:val="none" w:sz="0" w:space="0" w:color="auto"/>
        <w:left w:val="none" w:sz="0" w:space="0" w:color="auto"/>
        <w:bottom w:val="none" w:sz="0" w:space="0" w:color="auto"/>
        <w:right w:val="none" w:sz="0" w:space="0" w:color="auto"/>
      </w:divBdr>
    </w:div>
    <w:div w:id="1510946254">
      <w:bodyDiv w:val="1"/>
      <w:marLeft w:val="0"/>
      <w:marRight w:val="0"/>
      <w:marTop w:val="0"/>
      <w:marBottom w:val="0"/>
      <w:divBdr>
        <w:top w:val="none" w:sz="0" w:space="0" w:color="auto"/>
        <w:left w:val="none" w:sz="0" w:space="0" w:color="auto"/>
        <w:bottom w:val="none" w:sz="0" w:space="0" w:color="auto"/>
        <w:right w:val="none" w:sz="0" w:space="0" w:color="auto"/>
      </w:divBdr>
    </w:div>
    <w:div w:id="1517958026">
      <w:bodyDiv w:val="1"/>
      <w:marLeft w:val="0"/>
      <w:marRight w:val="0"/>
      <w:marTop w:val="0"/>
      <w:marBottom w:val="0"/>
      <w:divBdr>
        <w:top w:val="none" w:sz="0" w:space="0" w:color="auto"/>
        <w:left w:val="none" w:sz="0" w:space="0" w:color="auto"/>
        <w:bottom w:val="none" w:sz="0" w:space="0" w:color="auto"/>
        <w:right w:val="none" w:sz="0" w:space="0" w:color="auto"/>
      </w:divBdr>
    </w:div>
    <w:div w:id="1624537183">
      <w:bodyDiv w:val="1"/>
      <w:marLeft w:val="0"/>
      <w:marRight w:val="0"/>
      <w:marTop w:val="0"/>
      <w:marBottom w:val="0"/>
      <w:divBdr>
        <w:top w:val="none" w:sz="0" w:space="0" w:color="auto"/>
        <w:left w:val="none" w:sz="0" w:space="0" w:color="auto"/>
        <w:bottom w:val="none" w:sz="0" w:space="0" w:color="auto"/>
        <w:right w:val="none" w:sz="0" w:space="0" w:color="auto"/>
      </w:divBdr>
    </w:div>
    <w:div w:id="1649477283">
      <w:bodyDiv w:val="1"/>
      <w:marLeft w:val="0"/>
      <w:marRight w:val="0"/>
      <w:marTop w:val="0"/>
      <w:marBottom w:val="0"/>
      <w:divBdr>
        <w:top w:val="none" w:sz="0" w:space="0" w:color="auto"/>
        <w:left w:val="none" w:sz="0" w:space="0" w:color="auto"/>
        <w:bottom w:val="none" w:sz="0" w:space="0" w:color="auto"/>
        <w:right w:val="none" w:sz="0" w:space="0" w:color="auto"/>
      </w:divBdr>
    </w:div>
    <w:div w:id="1677152441">
      <w:bodyDiv w:val="1"/>
      <w:marLeft w:val="0"/>
      <w:marRight w:val="0"/>
      <w:marTop w:val="0"/>
      <w:marBottom w:val="0"/>
      <w:divBdr>
        <w:top w:val="none" w:sz="0" w:space="0" w:color="auto"/>
        <w:left w:val="none" w:sz="0" w:space="0" w:color="auto"/>
        <w:bottom w:val="none" w:sz="0" w:space="0" w:color="auto"/>
        <w:right w:val="none" w:sz="0" w:space="0" w:color="auto"/>
      </w:divBdr>
    </w:div>
    <w:div w:id="1715501960">
      <w:bodyDiv w:val="1"/>
      <w:marLeft w:val="0"/>
      <w:marRight w:val="0"/>
      <w:marTop w:val="0"/>
      <w:marBottom w:val="0"/>
      <w:divBdr>
        <w:top w:val="none" w:sz="0" w:space="0" w:color="auto"/>
        <w:left w:val="none" w:sz="0" w:space="0" w:color="auto"/>
        <w:bottom w:val="none" w:sz="0" w:space="0" w:color="auto"/>
        <w:right w:val="none" w:sz="0" w:space="0" w:color="auto"/>
      </w:divBdr>
    </w:div>
    <w:div w:id="1789854812">
      <w:bodyDiv w:val="1"/>
      <w:marLeft w:val="0"/>
      <w:marRight w:val="0"/>
      <w:marTop w:val="0"/>
      <w:marBottom w:val="0"/>
      <w:divBdr>
        <w:top w:val="none" w:sz="0" w:space="0" w:color="auto"/>
        <w:left w:val="none" w:sz="0" w:space="0" w:color="auto"/>
        <w:bottom w:val="none" w:sz="0" w:space="0" w:color="auto"/>
        <w:right w:val="none" w:sz="0" w:space="0" w:color="auto"/>
      </w:divBdr>
    </w:div>
    <w:div w:id="1832982196">
      <w:bodyDiv w:val="1"/>
      <w:marLeft w:val="0"/>
      <w:marRight w:val="0"/>
      <w:marTop w:val="0"/>
      <w:marBottom w:val="0"/>
      <w:divBdr>
        <w:top w:val="none" w:sz="0" w:space="0" w:color="auto"/>
        <w:left w:val="none" w:sz="0" w:space="0" w:color="auto"/>
        <w:bottom w:val="none" w:sz="0" w:space="0" w:color="auto"/>
        <w:right w:val="none" w:sz="0" w:space="0" w:color="auto"/>
      </w:divBdr>
    </w:div>
    <w:div w:id="1919558882">
      <w:bodyDiv w:val="1"/>
      <w:marLeft w:val="0"/>
      <w:marRight w:val="0"/>
      <w:marTop w:val="0"/>
      <w:marBottom w:val="0"/>
      <w:divBdr>
        <w:top w:val="none" w:sz="0" w:space="0" w:color="auto"/>
        <w:left w:val="none" w:sz="0" w:space="0" w:color="auto"/>
        <w:bottom w:val="none" w:sz="0" w:space="0" w:color="auto"/>
        <w:right w:val="none" w:sz="0" w:space="0" w:color="auto"/>
      </w:divBdr>
    </w:div>
    <w:div w:id="2050180985">
      <w:bodyDiv w:val="1"/>
      <w:marLeft w:val="0"/>
      <w:marRight w:val="0"/>
      <w:marTop w:val="0"/>
      <w:marBottom w:val="0"/>
      <w:divBdr>
        <w:top w:val="none" w:sz="0" w:space="0" w:color="auto"/>
        <w:left w:val="none" w:sz="0" w:space="0" w:color="auto"/>
        <w:bottom w:val="none" w:sz="0" w:space="0" w:color="auto"/>
        <w:right w:val="none" w:sz="0" w:space="0" w:color="auto"/>
      </w:divBdr>
    </w:div>
    <w:div w:id="2139178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calls-for-input/calls-input/call-input-promotion-and-protection-human-rights-context-mitig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t.DeWel@ituc-c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secsoc/information-resources/publications-and-tools/Workingpapers/WCMS_758705/lang--en/index.htm" TargetMode="External"/><Relationship Id="rId3" Type="http://schemas.openxmlformats.org/officeDocument/2006/relationships/hyperlink" Target="https://www.ituc-csi.org/2021-global-rights-index" TargetMode="External"/><Relationship Id="rId7" Type="http://schemas.openxmlformats.org/officeDocument/2006/relationships/hyperlink" Target="https://www.gov.uk/government/news/government-delivers-on-manifesto-pledge-with-6-billion-package-to-help-end-fuel-poverty-and-drive-innovation-in-energy-efficiency" TargetMode="External"/><Relationship Id="rId2" Type="http://schemas.openxmlformats.org/officeDocument/2006/relationships/hyperlink" Target="http://www.ilo.org/global/standards/applying-and-promoting-international-labour-standards/lang--en/index.htm" TargetMode="External"/><Relationship Id="rId1" Type="http://schemas.openxmlformats.org/officeDocument/2006/relationships/hyperlink" Target="https://www.ilo.org/declaration/thedeclaration/textdeclaration/lang--en/index.htm" TargetMode="External"/><Relationship Id="rId6" Type="http://schemas.openxmlformats.org/officeDocument/2006/relationships/hyperlink" Target="https://www.ituc-csi.org/IMG/pdf/role_of_social_protection_in_a_just_transition_en.pdf" TargetMode="External"/><Relationship Id="rId5" Type="http://schemas.openxmlformats.org/officeDocument/2006/relationships/hyperlink" Target="https://www.ilo.org/actrav/pubs/WCMS_826060/lang--en/index.htm" TargetMode="External"/><Relationship Id="rId10" Type="http://schemas.openxmlformats.org/officeDocument/2006/relationships/hyperlink" Target="https://www.unwomen.org/sites/default/files/Headquarters/Attachments/Sections/CSW/66/EGM/Expert%20Papers/Samantha%20SMITH_CSW66%20Expert%20Paper.pdf" TargetMode="External"/><Relationship Id="rId4" Type="http://schemas.openxmlformats.org/officeDocument/2006/relationships/hyperlink" Target="https://www.ilo.org/wcmsp5/groups/public/---ed_emp/---emp_ent/documents/publication/wcms_432859.pdf" TargetMode="External"/><Relationship Id="rId9" Type="http://schemas.openxmlformats.org/officeDocument/2006/relationships/hyperlink" Target="https://www.ohchr.org/EN/Issues/Poverty/Pages/global-fund-social-protec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C043964-BACF-4905-99EB-FF3602F772F3}">
  <ds:schemaRefs>
    <ds:schemaRef ds:uri="http://schemas.openxmlformats.org/officeDocument/2006/bibliography"/>
  </ds:schemaRefs>
</ds:datastoreItem>
</file>

<file path=customXml/itemProps2.xml><?xml version="1.0" encoding="utf-8"?>
<ds:datastoreItem xmlns:ds="http://schemas.openxmlformats.org/officeDocument/2006/customXml" ds:itemID="{CE0CA362-06D8-4C10-BBF5-8650CC758A6A}">
  <ds:schemaRefs>
    <ds:schemaRef ds:uri="http://schemas.microsoft.com/sharepoint/v3/contenttype/forms"/>
  </ds:schemaRefs>
</ds:datastoreItem>
</file>

<file path=customXml/itemProps3.xml><?xml version="1.0" encoding="utf-8"?>
<ds:datastoreItem xmlns:ds="http://schemas.openxmlformats.org/officeDocument/2006/customXml" ds:itemID="{F3C8D771-69D5-4F85-BC5A-941C0513A37D}"/>
</file>

<file path=customXml/itemProps4.xml><?xml version="1.0" encoding="utf-8"?>
<ds:datastoreItem xmlns:ds="http://schemas.openxmlformats.org/officeDocument/2006/customXml" ds:itemID="{2D713227-4577-4640-855E-4B0CA2DEA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2656</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150908 document</vt:lpstr>
    </vt:vector>
  </TitlesOfParts>
  <Company>Satisfaction</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150908 document</dc:title>
  <dc:creator>Gousenbourger, Philippe</dc:creator>
  <cp:lastModifiedBy>De Wel, Bert</cp:lastModifiedBy>
  <cp:revision>3</cp:revision>
  <cp:lastPrinted>2022-06-21T08:20:00Z</cp:lastPrinted>
  <dcterms:created xsi:type="dcterms:W3CDTF">2022-06-23T16:09:00Z</dcterms:created>
  <dcterms:modified xsi:type="dcterms:W3CDTF">2022-06-23T16:11:00Z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Order">
    <vt:r8>2600</vt:r8>
  </property>
</Properties>
</file>