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0F75" w14:textId="722E9F26" w:rsidR="002419F9" w:rsidRDefault="002419F9" w:rsidP="002419F9">
      <w:pPr>
        <w:pBdr>
          <w:bottom w:val="single" w:sz="12" w:space="1" w:color="auto"/>
        </w:pBdr>
        <w:rPr>
          <w:b/>
          <w:bCs/>
          <w:sz w:val="32"/>
          <w:szCs w:val="32"/>
        </w:rPr>
      </w:pPr>
      <w:r>
        <w:rPr>
          <w:noProof/>
          <w:bdr w:val="none" w:sz="0" w:space="0" w:color="auto" w:frame="1"/>
        </w:rPr>
        <w:drawing>
          <wp:inline distT="0" distB="0" distL="0" distR="0" wp14:anchorId="019C643A" wp14:editId="5E2490A3">
            <wp:extent cx="3532954" cy="962025"/>
            <wp:effectExtent l="0" t="0" r="0" b="0"/>
            <wp:docPr id="104454851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48513"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9076" cy="963692"/>
                    </a:xfrm>
                    <a:prstGeom prst="rect">
                      <a:avLst/>
                    </a:prstGeom>
                    <a:noFill/>
                    <a:ln>
                      <a:noFill/>
                    </a:ln>
                  </pic:spPr>
                </pic:pic>
              </a:graphicData>
            </a:graphic>
          </wp:inline>
        </w:drawing>
      </w:r>
    </w:p>
    <w:p w14:paraId="78457780" w14:textId="77777777" w:rsidR="002419F9" w:rsidRDefault="002419F9" w:rsidP="002419F9">
      <w:pPr>
        <w:pBdr>
          <w:bottom w:val="single" w:sz="12" w:space="1" w:color="auto"/>
        </w:pBdr>
        <w:rPr>
          <w:b/>
          <w:bCs/>
          <w:sz w:val="32"/>
          <w:szCs w:val="32"/>
        </w:rPr>
      </w:pPr>
    </w:p>
    <w:p w14:paraId="3AA50C13" w14:textId="77777777" w:rsidR="002419F9" w:rsidRDefault="002419F9" w:rsidP="002419F9">
      <w:pPr>
        <w:pBdr>
          <w:bottom w:val="single" w:sz="12" w:space="1" w:color="auto"/>
        </w:pBdr>
        <w:rPr>
          <w:b/>
          <w:bCs/>
          <w:sz w:val="32"/>
          <w:szCs w:val="32"/>
        </w:rPr>
      </w:pPr>
    </w:p>
    <w:p w14:paraId="1A20AA36" w14:textId="77777777" w:rsidR="002419F9" w:rsidRDefault="002419F9" w:rsidP="002419F9">
      <w:pPr>
        <w:pBdr>
          <w:bottom w:val="single" w:sz="12" w:space="1" w:color="auto"/>
        </w:pBdr>
        <w:rPr>
          <w:b/>
          <w:bCs/>
          <w:sz w:val="32"/>
          <w:szCs w:val="32"/>
        </w:rPr>
      </w:pPr>
    </w:p>
    <w:p w14:paraId="7E3F553D" w14:textId="3DC5AC2E" w:rsidR="001D5389" w:rsidRDefault="002419F9" w:rsidP="002419F9">
      <w:pPr>
        <w:pBdr>
          <w:bottom w:val="single" w:sz="12" w:space="1" w:color="auto"/>
        </w:pBdr>
        <w:jc w:val="center"/>
        <w:rPr>
          <w:b/>
          <w:bCs/>
          <w:sz w:val="32"/>
          <w:szCs w:val="32"/>
        </w:rPr>
      </w:pPr>
      <w:r w:rsidRPr="002419F9">
        <w:rPr>
          <w:b/>
          <w:bCs/>
          <w:sz w:val="32"/>
          <w:szCs w:val="32"/>
        </w:rPr>
        <w:t>INPUT BY EQUAL EDUCATION LAW CENTRE ON HUMAN RIGHTS COUNCIL RESOLUTION 52/8 ON PROMOTING HUMAN RIGHTS AND THE SUSTAINABLE DEVELOPMENT GOALS THROUGH TRANSPARENT, ACCOUNTABLE AND EFFICIENT PUBLIC SERVICE DELIVERY</w:t>
      </w:r>
    </w:p>
    <w:p w14:paraId="319ABEA8" w14:textId="77777777" w:rsidR="002419F9" w:rsidRDefault="002419F9" w:rsidP="002419F9">
      <w:pPr>
        <w:pBdr>
          <w:bottom w:val="single" w:sz="12" w:space="1" w:color="auto"/>
        </w:pBdr>
        <w:rPr>
          <w:b/>
          <w:bCs/>
          <w:sz w:val="32"/>
          <w:szCs w:val="32"/>
        </w:rPr>
      </w:pPr>
    </w:p>
    <w:p w14:paraId="4A48BBBB" w14:textId="77777777" w:rsidR="004225AE" w:rsidRDefault="004225AE" w:rsidP="002419F9">
      <w:pPr>
        <w:pBdr>
          <w:bottom w:val="single" w:sz="12" w:space="1" w:color="auto"/>
        </w:pBdr>
        <w:rPr>
          <w:b/>
          <w:bCs/>
        </w:rPr>
      </w:pPr>
    </w:p>
    <w:p w14:paraId="7F3026DE" w14:textId="4F0D3F78" w:rsidR="000100C0" w:rsidRPr="000100C0" w:rsidRDefault="000100C0" w:rsidP="002419F9">
      <w:pPr>
        <w:pBdr>
          <w:bottom w:val="single" w:sz="12" w:space="1" w:color="auto"/>
        </w:pBdr>
        <w:rPr>
          <w:b/>
          <w:bCs/>
        </w:rPr>
      </w:pPr>
      <w:r w:rsidRPr="000100C0">
        <w:rPr>
          <w:b/>
          <w:bCs/>
        </w:rPr>
        <w:t>For any queries, please contact</w:t>
      </w:r>
      <w:r w:rsidR="00805C0F" w:rsidRPr="000100C0">
        <w:rPr>
          <w:b/>
          <w:bCs/>
        </w:rPr>
        <w:t xml:space="preserve">: </w:t>
      </w:r>
    </w:p>
    <w:p w14:paraId="492035A6" w14:textId="1E19E754" w:rsidR="00805C0F" w:rsidRDefault="00805C0F" w:rsidP="002419F9">
      <w:pPr>
        <w:pBdr>
          <w:bottom w:val="single" w:sz="12" w:space="1" w:color="auto"/>
        </w:pBdr>
      </w:pPr>
      <w:r w:rsidRPr="000100C0">
        <w:t>Katherine Suthe</w:t>
      </w:r>
      <w:r w:rsidR="00B95DF7" w:rsidRPr="000100C0">
        <w:t>rland</w:t>
      </w:r>
      <w:r w:rsidR="000100C0" w:rsidRPr="000100C0">
        <w:t xml:space="preserve"> (</w:t>
      </w:r>
      <w:hyperlink r:id="rId12" w:history="1">
        <w:r w:rsidR="000100C0" w:rsidRPr="0003732B">
          <w:rPr>
            <w:rStyle w:val="Hyperlink"/>
          </w:rPr>
          <w:t>katherine@eelawcentre.org.za</w:t>
        </w:r>
      </w:hyperlink>
      <w:r w:rsidR="000100C0" w:rsidRPr="000100C0">
        <w:t>)</w:t>
      </w:r>
    </w:p>
    <w:p w14:paraId="1D48F76D" w14:textId="77777777" w:rsidR="000100C0" w:rsidRPr="000100C0" w:rsidRDefault="000100C0" w:rsidP="002419F9">
      <w:pPr>
        <w:pBdr>
          <w:bottom w:val="single" w:sz="12" w:space="1" w:color="auto"/>
        </w:pBdr>
      </w:pPr>
    </w:p>
    <w:p w14:paraId="60E488DB" w14:textId="77777777" w:rsidR="007472C6" w:rsidRDefault="007472C6">
      <w:pPr>
        <w:rPr>
          <w:b/>
          <w:bCs/>
        </w:rPr>
      </w:pPr>
    </w:p>
    <w:sdt>
      <w:sdtPr>
        <w:rPr>
          <w:rFonts w:asciiTheme="minorHAnsi" w:eastAsiaTheme="minorHAnsi" w:hAnsiTheme="minorHAnsi" w:cstheme="minorBidi"/>
          <w:color w:val="auto"/>
          <w:kern w:val="2"/>
          <w:sz w:val="22"/>
          <w:szCs w:val="22"/>
          <w:lang w:val="en-ZA"/>
          <w14:ligatures w14:val="standardContextual"/>
        </w:rPr>
        <w:id w:val="4564882"/>
        <w:docPartObj>
          <w:docPartGallery w:val="Table of Contents"/>
          <w:docPartUnique/>
        </w:docPartObj>
      </w:sdtPr>
      <w:sdtEndPr>
        <w:rPr>
          <w:b/>
          <w:bCs/>
          <w:noProof/>
        </w:rPr>
      </w:sdtEndPr>
      <w:sdtContent>
        <w:p w14:paraId="46B30200" w14:textId="2B29DD7D" w:rsidR="007472C6" w:rsidRDefault="007472C6">
          <w:pPr>
            <w:pStyle w:val="TOCHeading"/>
          </w:pPr>
          <w:r>
            <w:t>Contents</w:t>
          </w:r>
        </w:p>
        <w:p w14:paraId="3FC44C9B" w14:textId="7798707C" w:rsidR="0040364E" w:rsidRDefault="007472C6">
          <w:pPr>
            <w:pStyle w:val="TOC1"/>
            <w:tabs>
              <w:tab w:val="left" w:pos="440"/>
              <w:tab w:val="right" w:leader="dot" w:pos="10456"/>
            </w:tabs>
            <w:rPr>
              <w:rFonts w:eastAsiaTheme="minorEastAsia"/>
              <w:noProof/>
              <w:lang w:eastAsia="en-ZA"/>
            </w:rPr>
          </w:pPr>
          <w:r>
            <w:fldChar w:fldCharType="begin"/>
          </w:r>
          <w:r>
            <w:instrText xml:space="preserve"> TOC \o "1-3" \h \z \u </w:instrText>
          </w:r>
          <w:r>
            <w:fldChar w:fldCharType="separate"/>
          </w:r>
          <w:hyperlink w:anchor="_Toc149649500" w:history="1">
            <w:r w:rsidR="0040364E" w:rsidRPr="007C0FDE">
              <w:rPr>
                <w:rStyle w:val="Hyperlink"/>
                <w:noProof/>
              </w:rPr>
              <w:t>1.</w:t>
            </w:r>
            <w:r w:rsidR="0040364E">
              <w:rPr>
                <w:rFonts w:eastAsiaTheme="minorEastAsia"/>
                <w:noProof/>
                <w:lang w:eastAsia="en-ZA"/>
              </w:rPr>
              <w:tab/>
            </w:r>
            <w:r w:rsidR="0040364E" w:rsidRPr="0040364E">
              <w:rPr>
                <w:rStyle w:val="Hyperlink"/>
                <w:b/>
                <w:bCs/>
                <w:noProof/>
              </w:rPr>
              <w:t>What are the main challenges identified in your country/region in relation to public service delivery?</w:t>
            </w:r>
            <w:r w:rsidR="0040364E">
              <w:rPr>
                <w:noProof/>
                <w:webHidden/>
              </w:rPr>
              <w:tab/>
            </w:r>
            <w:r w:rsidR="0040364E">
              <w:rPr>
                <w:noProof/>
                <w:webHidden/>
              </w:rPr>
              <w:fldChar w:fldCharType="begin"/>
            </w:r>
            <w:r w:rsidR="0040364E">
              <w:rPr>
                <w:noProof/>
                <w:webHidden/>
              </w:rPr>
              <w:instrText xml:space="preserve"> PAGEREF _Toc149649500 \h </w:instrText>
            </w:r>
            <w:r w:rsidR="0040364E">
              <w:rPr>
                <w:noProof/>
                <w:webHidden/>
              </w:rPr>
            </w:r>
            <w:r w:rsidR="0040364E">
              <w:rPr>
                <w:noProof/>
                <w:webHidden/>
              </w:rPr>
              <w:fldChar w:fldCharType="separate"/>
            </w:r>
            <w:r w:rsidR="0040364E">
              <w:rPr>
                <w:noProof/>
                <w:webHidden/>
              </w:rPr>
              <w:t>2</w:t>
            </w:r>
            <w:r w:rsidR="0040364E">
              <w:rPr>
                <w:noProof/>
                <w:webHidden/>
              </w:rPr>
              <w:fldChar w:fldCharType="end"/>
            </w:r>
          </w:hyperlink>
        </w:p>
        <w:p w14:paraId="68BBA14F" w14:textId="410F233F" w:rsidR="0040364E" w:rsidRDefault="00487D05">
          <w:pPr>
            <w:pStyle w:val="TOC2"/>
            <w:tabs>
              <w:tab w:val="left" w:pos="880"/>
              <w:tab w:val="right" w:leader="dot" w:pos="10456"/>
            </w:tabs>
            <w:rPr>
              <w:rFonts w:eastAsiaTheme="minorEastAsia"/>
              <w:noProof/>
              <w:lang w:eastAsia="en-ZA"/>
            </w:rPr>
          </w:pPr>
          <w:hyperlink w:anchor="_Toc149649501" w:history="1">
            <w:r w:rsidR="0040364E" w:rsidRPr="007C0FDE">
              <w:rPr>
                <w:rStyle w:val="Hyperlink"/>
                <w:noProof/>
              </w:rPr>
              <w:t>1.1.</w:t>
            </w:r>
            <w:r w:rsidR="0040364E">
              <w:rPr>
                <w:rFonts w:eastAsiaTheme="minorEastAsia"/>
                <w:noProof/>
                <w:lang w:eastAsia="en-ZA"/>
              </w:rPr>
              <w:tab/>
            </w:r>
            <w:r w:rsidR="0040364E" w:rsidRPr="007C0FDE">
              <w:rPr>
                <w:rStyle w:val="Hyperlink"/>
                <w:noProof/>
              </w:rPr>
              <w:t>Privatisation</w:t>
            </w:r>
            <w:r w:rsidR="0040364E">
              <w:rPr>
                <w:noProof/>
                <w:webHidden/>
              </w:rPr>
              <w:tab/>
            </w:r>
            <w:r w:rsidR="0040364E">
              <w:rPr>
                <w:noProof/>
                <w:webHidden/>
              </w:rPr>
              <w:fldChar w:fldCharType="begin"/>
            </w:r>
            <w:r w:rsidR="0040364E">
              <w:rPr>
                <w:noProof/>
                <w:webHidden/>
              </w:rPr>
              <w:instrText xml:space="preserve"> PAGEREF _Toc149649501 \h </w:instrText>
            </w:r>
            <w:r w:rsidR="0040364E">
              <w:rPr>
                <w:noProof/>
                <w:webHidden/>
              </w:rPr>
            </w:r>
            <w:r w:rsidR="0040364E">
              <w:rPr>
                <w:noProof/>
                <w:webHidden/>
              </w:rPr>
              <w:fldChar w:fldCharType="separate"/>
            </w:r>
            <w:r w:rsidR="0040364E">
              <w:rPr>
                <w:noProof/>
                <w:webHidden/>
              </w:rPr>
              <w:t>2</w:t>
            </w:r>
            <w:r w:rsidR="0040364E">
              <w:rPr>
                <w:noProof/>
                <w:webHidden/>
              </w:rPr>
              <w:fldChar w:fldCharType="end"/>
            </w:r>
          </w:hyperlink>
        </w:p>
        <w:p w14:paraId="01284D16" w14:textId="3C2CD124" w:rsidR="0040364E" w:rsidRDefault="00487D05">
          <w:pPr>
            <w:pStyle w:val="TOC2"/>
            <w:tabs>
              <w:tab w:val="left" w:pos="880"/>
              <w:tab w:val="right" w:leader="dot" w:pos="10456"/>
            </w:tabs>
            <w:rPr>
              <w:rFonts w:eastAsiaTheme="minorEastAsia"/>
              <w:noProof/>
              <w:lang w:eastAsia="en-ZA"/>
            </w:rPr>
          </w:pPr>
          <w:hyperlink w:anchor="_Toc149649502" w:history="1">
            <w:r w:rsidR="0040364E" w:rsidRPr="007C0FDE">
              <w:rPr>
                <w:rStyle w:val="Hyperlink"/>
                <w:noProof/>
              </w:rPr>
              <w:t>1.2.</w:t>
            </w:r>
            <w:r w:rsidR="0040364E">
              <w:rPr>
                <w:rFonts w:eastAsiaTheme="minorEastAsia"/>
                <w:noProof/>
                <w:lang w:eastAsia="en-ZA"/>
              </w:rPr>
              <w:tab/>
            </w:r>
            <w:r w:rsidR="0040364E" w:rsidRPr="007C0FDE">
              <w:rPr>
                <w:rStyle w:val="Hyperlink"/>
                <w:noProof/>
              </w:rPr>
              <w:t>Insufficient social spending due to austerity budgeting</w:t>
            </w:r>
            <w:r w:rsidR="0040364E">
              <w:rPr>
                <w:noProof/>
                <w:webHidden/>
              </w:rPr>
              <w:tab/>
            </w:r>
            <w:r w:rsidR="0040364E">
              <w:rPr>
                <w:noProof/>
                <w:webHidden/>
              </w:rPr>
              <w:fldChar w:fldCharType="begin"/>
            </w:r>
            <w:r w:rsidR="0040364E">
              <w:rPr>
                <w:noProof/>
                <w:webHidden/>
              </w:rPr>
              <w:instrText xml:space="preserve"> PAGEREF _Toc149649502 \h </w:instrText>
            </w:r>
            <w:r w:rsidR="0040364E">
              <w:rPr>
                <w:noProof/>
                <w:webHidden/>
              </w:rPr>
            </w:r>
            <w:r w:rsidR="0040364E">
              <w:rPr>
                <w:noProof/>
                <w:webHidden/>
              </w:rPr>
              <w:fldChar w:fldCharType="separate"/>
            </w:r>
            <w:r w:rsidR="0040364E">
              <w:rPr>
                <w:noProof/>
                <w:webHidden/>
              </w:rPr>
              <w:t>2</w:t>
            </w:r>
            <w:r w:rsidR="0040364E">
              <w:rPr>
                <w:noProof/>
                <w:webHidden/>
              </w:rPr>
              <w:fldChar w:fldCharType="end"/>
            </w:r>
          </w:hyperlink>
        </w:p>
        <w:p w14:paraId="0222025D" w14:textId="661BCE6C" w:rsidR="0040364E" w:rsidRDefault="00487D05">
          <w:pPr>
            <w:pStyle w:val="TOC2"/>
            <w:tabs>
              <w:tab w:val="left" w:pos="880"/>
              <w:tab w:val="right" w:leader="dot" w:pos="10456"/>
            </w:tabs>
            <w:rPr>
              <w:rFonts w:eastAsiaTheme="minorEastAsia"/>
              <w:noProof/>
              <w:lang w:eastAsia="en-ZA"/>
            </w:rPr>
          </w:pPr>
          <w:hyperlink w:anchor="_Toc149649503" w:history="1">
            <w:r w:rsidR="0040364E" w:rsidRPr="007C0FDE">
              <w:rPr>
                <w:rStyle w:val="Hyperlink"/>
                <w:noProof/>
              </w:rPr>
              <w:t>1.3.</w:t>
            </w:r>
            <w:r w:rsidR="0040364E">
              <w:rPr>
                <w:rFonts w:eastAsiaTheme="minorEastAsia"/>
                <w:noProof/>
                <w:lang w:eastAsia="en-ZA"/>
              </w:rPr>
              <w:tab/>
            </w:r>
            <w:r w:rsidR="0040364E" w:rsidRPr="007C0FDE">
              <w:rPr>
                <w:rStyle w:val="Hyperlink"/>
                <w:noProof/>
              </w:rPr>
              <w:t>Public Procurement &amp; Corruption</w:t>
            </w:r>
            <w:r w:rsidR="0040364E">
              <w:rPr>
                <w:noProof/>
                <w:webHidden/>
              </w:rPr>
              <w:tab/>
            </w:r>
            <w:r w:rsidR="0040364E">
              <w:rPr>
                <w:noProof/>
                <w:webHidden/>
              </w:rPr>
              <w:fldChar w:fldCharType="begin"/>
            </w:r>
            <w:r w:rsidR="0040364E">
              <w:rPr>
                <w:noProof/>
                <w:webHidden/>
              </w:rPr>
              <w:instrText xml:space="preserve"> PAGEREF _Toc149649503 \h </w:instrText>
            </w:r>
            <w:r w:rsidR="0040364E">
              <w:rPr>
                <w:noProof/>
                <w:webHidden/>
              </w:rPr>
            </w:r>
            <w:r w:rsidR="0040364E">
              <w:rPr>
                <w:noProof/>
                <w:webHidden/>
              </w:rPr>
              <w:fldChar w:fldCharType="separate"/>
            </w:r>
            <w:r w:rsidR="0040364E">
              <w:rPr>
                <w:noProof/>
                <w:webHidden/>
              </w:rPr>
              <w:t>4</w:t>
            </w:r>
            <w:r w:rsidR="0040364E">
              <w:rPr>
                <w:noProof/>
                <w:webHidden/>
              </w:rPr>
              <w:fldChar w:fldCharType="end"/>
            </w:r>
          </w:hyperlink>
        </w:p>
        <w:p w14:paraId="6DC15431" w14:textId="5DE557FD" w:rsidR="0040364E" w:rsidRDefault="00487D05">
          <w:pPr>
            <w:pStyle w:val="TOC1"/>
            <w:tabs>
              <w:tab w:val="left" w:pos="440"/>
              <w:tab w:val="right" w:leader="dot" w:pos="10456"/>
            </w:tabs>
            <w:rPr>
              <w:rFonts w:eastAsiaTheme="minorEastAsia"/>
              <w:noProof/>
              <w:lang w:eastAsia="en-ZA"/>
            </w:rPr>
          </w:pPr>
          <w:hyperlink w:anchor="_Toc149649504" w:history="1">
            <w:r w:rsidR="0040364E" w:rsidRPr="007C0FDE">
              <w:rPr>
                <w:rStyle w:val="Hyperlink"/>
                <w:noProof/>
              </w:rPr>
              <w:t>2.</w:t>
            </w:r>
            <w:r w:rsidR="0040364E">
              <w:rPr>
                <w:rFonts w:eastAsiaTheme="minorEastAsia"/>
                <w:noProof/>
                <w:lang w:eastAsia="en-ZA"/>
              </w:rPr>
              <w:tab/>
            </w:r>
            <w:r w:rsidR="0040364E" w:rsidRPr="0040364E">
              <w:rPr>
                <w:rStyle w:val="Hyperlink"/>
                <w:b/>
                <w:bCs/>
                <w:noProof/>
              </w:rPr>
              <w:t>How is the participation of private actors in public service delivery regulated and monitored in your country/region?</w:t>
            </w:r>
            <w:r w:rsidR="0040364E">
              <w:rPr>
                <w:noProof/>
                <w:webHidden/>
              </w:rPr>
              <w:tab/>
            </w:r>
            <w:r w:rsidR="0040364E">
              <w:rPr>
                <w:noProof/>
                <w:webHidden/>
              </w:rPr>
              <w:fldChar w:fldCharType="begin"/>
            </w:r>
            <w:r w:rsidR="0040364E">
              <w:rPr>
                <w:noProof/>
                <w:webHidden/>
              </w:rPr>
              <w:instrText xml:space="preserve"> PAGEREF _Toc149649504 \h </w:instrText>
            </w:r>
            <w:r w:rsidR="0040364E">
              <w:rPr>
                <w:noProof/>
                <w:webHidden/>
              </w:rPr>
            </w:r>
            <w:r w:rsidR="0040364E">
              <w:rPr>
                <w:noProof/>
                <w:webHidden/>
              </w:rPr>
              <w:fldChar w:fldCharType="separate"/>
            </w:r>
            <w:r w:rsidR="0040364E">
              <w:rPr>
                <w:noProof/>
                <w:webHidden/>
              </w:rPr>
              <w:t>5</w:t>
            </w:r>
            <w:r w:rsidR="0040364E">
              <w:rPr>
                <w:noProof/>
                <w:webHidden/>
              </w:rPr>
              <w:fldChar w:fldCharType="end"/>
            </w:r>
          </w:hyperlink>
        </w:p>
        <w:p w14:paraId="7DA3DA7B" w14:textId="77777777" w:rsidR="00E80DDB" w:rsidRDefault="007472C6" w:rsidP="00A93121">
          <w:pPr>
            <w:rPr>
              <w:b/>
              <w:bCs/>
              <w:noProof/>
            </w:rPr>
          </w:pPr>
          <w:r>
            <w:rPr>
              <w:b/>
              <w:bCs/>
              <w:noProof/>
            </w:rPr>
            <w:fldChar w:fldCharType="end"/>
          </w:r>
        </w:p>
      </w:sdtContent>
    </w:sdt>
    <w:p w14:paraId="19A581F3" w14:textId="77777777" w:rsidR="00282DAA" w:rsidRDefault="00282DAA">
      <w:pPr>
        <w:rPr>
          <w:b/>
          <w:bCs/>
        </w:rPr>
      </w:pPr>
    </w:p>
    <w:p w14:paraId="4D9A8425" w14:textId="77777777" w:rsidR="00957DD6" w:rsidRDefault="00957DD6">
      <w:pPr>
        <w:rPr>
          <w:b/>
          <w:bCs/>
        </w:rPr>
      </w:pPr>
    </w:p>
    <w:p w14:paraId="2A6FE67C" w14:textId="77777777" w:rsidR="00957DD6" w:rsidRDefault="00957DD6">
      <w:pPr>
        <w:rPr>
          <w:b/>
          <w:bCs/>
        </w:rPr>
      </w:pPr>
    </w:p>
    <w:p w14:paraId="251C4A3B" w14:textId="77777777" w:rsidR="00957DD6" w:rsidRDefault="00957DD6">
      <w:pPr>
        <w:rPr>
          <w:b/>
          <w:bCs/>
        </w:rPr>
      </w:pPr>
    </w:p>
    <w:p w14:paraId="6200652D" w14:textId="77777777" w:rsidR="00957DD6" w:rsidRDefault="00957DD6"/>
    <w:p w14:paraId="63DC3254" w14:textId="77777777" w:rsidR="00E80DDB" w:rsidRDefault="00E80DDB"/>
    <w:p w14:paraId="7D5B0B0F" w14:textId="0625B7A7" w:rsidR="00790FCF" w:rsidRPr="00E80DDB" w:rsidRDefault="00790FCF" w:rsidP="004225AE">
      <w:pPr>
        <w:pStyle w:val="Heading1"/>
        <w:numPr>
          <w:ilvl w:val="0"/>
          <w:numId w:val="5"/>
        </w:numPr>
        <w:rPr>
          <w:b/>
          <w:bCs/>
        </w:rPr>
      </w:pPr>
      <w:bookmarkStart w:id="0" w:name="_Toc149649500"/>
      <w:r w:rsidRPr="00E80DDB">
        <w:rPr>
          <w:b/>
          <w:bCs/>
        </w:rPr>
        <w:lastRenderedPageBreak/>
        <w:t>What are the main challenges identified in your country/region in relation to public service delivery?</w:t>
      </w:r>
      <w:bookmarkEnd w:id="0"/>
      <w:r w:rsidRPr="00E80DDB">
        <w:rPr>
          <w:b/>
          <w:bCs/>
        </w:rPr>
        <w:t xml:space="preserve"> </w:t>
      </w:r>
    </w:p>
    <w:p w14:paraId="550DC03E" w14:textId="77777777" w:rsidR="00481079" w:rsidRPr="00481079" w:rsidRDefault="00481079" w:rsidP="00481079"/>
    <w:p w14:paraId="2DE6D5E2" w14:textId="67C07AEF" w:rsidR="00956C53" w:rsidRPr="00956C53" w:rsidRDefault="00A03BA5" w:rsidP="00956C53">
      <w:pPr>
        <w:pStyle w:val="Heading2"/>
        <w:numPr>
          <w:ilvl w:val="1"/>
          <w:numId w:val="5"/>
        </w:numPr>
      </w:pPr>
      <w:bookmarkStart w:id="1" w:name="_Toc149649501"/>
      <w:r w:rsidRPr="00BB679C">
        <w:t>Privatisation</w:t>
      </w:r>
      <w:bookmarkEnd w:id="1"/>
      <w:r w:rsidR="007F6DD1">
        <w:t xml:space="preserve"> of Public Services</w:t>
      </w:r>
      <w:r w:rsidR="00E80DDB">
        <w:br/>
      </w:r>
    </w:p>
    <w:p w14:paraId="68D7CEE6" w14:textId="029BE585" w:rsidR="00D5483E" w:rsidRDefault="00D5483E" w:rsidP="00956C53">
      <w:pPr>
        <w:pStyle w:val="ListParagraph"/>
        <w:numPr>
          <w:ilvl w:val="0"/>
          <w:numId w:val="6"/>
        </w:numPr>
        <w:spacing w:line="360" w:lineRule="auto"/>
        <w:jc w:val="both"/>
      </w:pPr>
      <w:r>
        <w:t>The landscape of private schooling and non-state actor involvement is changing rapidly, both in South Africa and globally.</w:t>
      </w:r>
      <w:r>
        <w:rPr>
          <w:vertAlign w:val="superscript"/>
        </w:rPr>
        <w:footnoteReference w:id="1"/>
      </w:r>
      <w:r>
        <w:t xml:space="preserve"> Whereas independent schooling was once largely only an option for those who could afford to pay high fees, the increase in low-fee and middle-fee private education institutions has rapidly expanded</w:t>
      </w:r>
      <w:r w:rsidR="00C55E60">
        <w:t xml:space="preserve"> in South Africa</w:t>
      </w:r>
      <w:r>
        <w:t>, now catering largely to black learners from working class and middle class communities and families.</w:t>
      </w:r>
      <w:r>
        <w:rPr>
          <w:vertAlign w:val="superscript"/>
        </w:rPr>
        <w:footnoteReference w:id="2"/>
      </w:r>
      <w:r>
        <w:t xml:space="preserve"> Van Der Berg </w:t>
      </w:r>
      <w:r w:rsidRPr="00956C53">
        <w:rPr>
          <w:i/>
        </w:rPr>
        <w:t xml:space="preserve">et al. </w:t>
      </w:r>
      <w:r>
        <w:t>note that between 2000 and 2013, learner enrolment in primary and secondary independent schools doubled from 250 000 to 500 000.</w:t>
      </w:r>
      <w:r>
        <w:rPr>
          <w:vertAlign w:val="superscript"/>
        </w:rPr>
        <w:footnoteReference w:id="3"/>
      </w:r>
      <w:r>
        <w:t xml:space="preserve"> In 2022, independent education institutions catered to 735 000 learners.</w:t>
      </w:r>
      <w:r>
        <w:rPr>
          <w:vertAlign w:val="superscript"/>
        </w:rPr>
        <w:footnoteReference w:id="4"/>
      </w:r>
      <w:r>
        <w:t xml:space="preserve"> In </w:t>
      </w:r>
      <w:r w:rsidR="0044561D">
        <w:t xml:space="preserve">the </w:t>
      </w:r>
      <w:r>
        <w:t>Gauteng</w:t>
      </w:r>
      <w:r w:rsidR="0044561D">
        <w:t xml:space="preserve"> province</w:t>
      </w:r>
      <w:r>
        <w:t>, independent education institutions make up 31% of the total number of schools in the province and cater to 357 000 learners.</w:t>
      </w:r>
      <w:r>
        <w:rPr>
          <w:vertAlign w:val="superscript"/>
        </w:rPr>
        <w:footnoteReference w:id="5"/>
      </w:r>
      <w:r>
        <w:t xml:space="preserve"> While the number of learners enrolled in the private sector does not nearly rival those in the public sector, independent school enrolment has grown significantly and, in line with global trends, all indications are that it will continue to grow.</w:t>
      </w:r>
      <w:r>
        <w:rPr>
          <w:vertAlign w:val="superscript"/>
        </w:rPr>
        <w:footnoteReference w:id="6"/>
      </w:r>
    </w:p>
    <w:p w14:paraId="6654E909" w14:textId="12C7CC40" w:rsidR="00A37F29" w:rsidRDefault="00A37F29" w:rsidP="00481079">
      <w:pPr>
        <w:pStyle w:val="ListParagraph"/>
        <w:numPr>
          <w:ilvl w:val="0"/>
          <w:numId w:val="6"/>
        </w:numPr>
        <w:spacing w:line="360" w:lineRule="auto"/>
        <w:jc w:val="both"/>
      </w:pPr>
      <w:r>
        <w:t xml:space="preserve">Not only has there been a rise in independent school enrolment, but </w:t>
      </w:r>
      <w:r w:rsidR="00D8346A">
        <w:t xml:space="preserve">in the face of </w:t>
      </w:r>
      <w:r w:rsidR="00CD638C">
        <w:t xml:space="preserve">budget cuts to social spending, </w:t>
      </w:r>
      <w:r>
        <w:t>the State is increasingly embracing non-state actor involvement in the provision of public basic education, both in policy and implementation.</w:t>
      </w:r>
      <w:r>
        <w:rPr>
          <w:vertAlign w:val="superscript"/>
        </w:rPr>
        <w:footnoteReference w:id="7"/>
      </w:r>
      <w:r>
        <w:t xml:space="preserve">  This has been shown through the formation of Public-Private Partnerships whereby non-state actors are given significant control over the finances and management of a public school.</w:t>
      </w:r>
    </w:p>
    <w:p w14:paraId="111ED293" w14:textId="77777777" w:rsidR="00440568" w:rsidRDefault="00440568" w:rsidP="00440568">
      <w:pPr>
        <w:pStyle w:val="ListParagraph"/>
        <w:spacing w:line="360" w:lineRule="auto"/>
        <w:jc w:val="both"/>
      </w:pPr>
    </w:p>
    <w:p w14:paraId="6721739B" w14:textId="1C38D6ED" w:rsidR="00CE62E4" w:rsidRPr="00CA6A57" w:rsidRDefault="00CE62E4" w:rsidP="00864C41">
      <w:pPr>
        <w:pStyle w:val="Heading2"/>
        <w:numPr>
          <w:ilvl w:val="1"/>
          <w:numId w:val="5"/>
        </w:numPr>
      </w:pPr>
      <w:bookmarkStart w:id="2" w:name="_Toc149649502"/>
      <w:r w:rsidRPr="00CA6A57">
        <w:t>Insufficient social spending due to austerity budgeting</w:t>
      </w:r>
      <w:bookmarkEnd w:id="2"/>
      <w:r w:rsidRPr="00CA6A57">
        <w:t xml:space="preserve"> </w:t>
      </w:r>
      <w:r w:rsidR="00440568">
        <w:br/>
      </w:r>
    </w:p>
    <w:p w14:paraId="095CDCBA" w14:textId="0E750B84" w:rsidR="00CE62E4" w:rsidRPr="00CA6A57" w:rsidRDefault="00CE62E4" w:rsidP="00864C41">
      <w:pPr>
        <w:pStyle w:val="ListParagraph"/>
        <w:numPr>
          <w:ilvl w:val="0"/>
          <w:numId w:val="6"/>
        </w:numPr>
        <w:spacing w:line="360" w:lineRule="auto"/>
        <w:jc w:val="both"/>
      </w:pPr>
      <w:r w:rsidRPr="00CA6A57">
        <w:t xml:space="preserve">The South African government has implemented budget cuts to reduce public borrowing – budget cuts which are largely targeted toward decreasing social spending. </w:t>
      </w:r>
      <w:r w:rsidR="00522828">
        <w:t>55% of South Africans live below the poverty line, and a</w:t>
      </w:r>
      <w:r w:rsidRPr="00CA6A57">
        <w:t xml:space="preserve"> reduction in social spending disproportionately impacts the most vulnerable, marginalised</w:t>
      </w:r>
      <w:r w:rsidR="000B5FDE">
        <w:t>,</w:t>
      </w:r>
      <w:r w:rsidRPr="00CA6A57">
        <w:t xml:space="preserve"> and poor population groups in South Africa</w:t>
      </w:r>
      <w:r w:rsidR="00A16C45">
        <w:t xml:space="preserve"> -</w:t>
      </w:r>
      <w:r w:rsidRPr="00CA6A57">
        <w:t xml:space="preserve"> those who rely on social grants or free public services.</w:t>
      </w:r>
      <w:r w:rsidR="00522828">
        <w:rPr>
          <w:rStyle w:val="FootnoteReference"/>
        </w:rPr>
        <w:footnoteReference w:id="8"/>
      </w:r>
      <w:r w:rsidRPr="00CA6A57">
        <w:t xml:space="preserve"> The inevitable consequence of this will be a widening of already vast levels of inequality. </w:t>
      </w:r>
    </w:p>
    <w:p w14:paraId="73EAE55E" w14:textId="372D9C3A" w:rsidR="007168DA" w:rsidRDefault="00B61B17" w:rsidP="00864C41">
      <w:pPr>
        <w:pStyle w:val="ListParagraph"/>
        <w:numPr>
          <w:ilvl w:val="0"/>
          <w:numId w:val="6"/>
        </w:numPr>
        <w:spacing w:line="360" w:lineRule="auto"/>
        <w:jc w:val="both"/>
      </w:pPr>
      <w:r>
        <w:t>Basic education and early childhood development have not been immune to these austerity measures.</w:t>
      </w:r>
      <w:r w:rsidR="00A437B8">
        <w:t xml:space="preserve"> </w:t>
      </w:r>
      <w:r w:rsidR="00D70F4C" w:rsidRPr="00CA6A57">
        <w:t>While funding for Early Childhood Development (ECD) sector has shown some signs of improvement</w:t>
      </w:r>
      <w:r w:rsidR="00D70F4C" w:rsidRPr="00864C41">
        <w:rPr>
          <w:rFonts w:ascii="Calibri" w:hAnsi="Calibri" w:cs="Calibri"/>
          <w:color w:val="000000"/>
        </w:rPr>
        <w:t>,</w:t>
      </w:r>
      <w:r w:rsidR="0081763E" w:rsidRPr="00864C41">
        <w:rPr>
          <w:rFonts w:ascii="Calibri" w:hAnsi="Calibri" w:cs="Calibri"/>
          <w:color w:val="000000"/>
        </w:rPr>
        <w:t xml:space="preserve"> it is still vastly </w:t>
      </w:r>
      <w:r w:rsidR="0081763E" w:rsidRPr="00864C41">
        <w:rPr>
          <w:rFonts w:ascii="Calibri" w:hAnsi="Calibri" w:cs="Calibri"/>
          <w:color w:val="000000"/>
        </w:rPr>
        <w:lastRenderedPageBreak/>
        <w:t>inadequate to cater to the</w:t>
      </w:r>
      <w:r w:rsidR="00D70F4C" w:rsidRPr="00864C41">
        <w:rPr>
          <w:rFonts w:ascii="Calibri" w:hAnsi="Calibri" w:cs="Calibri"/>
          <w:color w:val="000000"/>
        </w:rPr>
        <w:t xml:space="preserve"> </w:t>
      </w:r>
      <w:r w:rsidR="00EF46E1">
        <w:rPr>
          <w:rFonts w:ascii="Calibri" w:hAnsi="Calibri" w:cs="Calibri"/>
          <w:color w:val="000000"/>
        </w:rPr>
        <w:t xml:space="preserve">just under 7 </w:t>
      </w:r>
      <w:r w:rsidR="00D70F4C" w:rsidRPr="00864C41">
        <w:rPr>
          <w:rFonts w:ascii="Calibri" w:hAnsi="Calibri" w:cs="Calibri"/>
          <w:color w:val="000000"/>
        </w:rPr>
        <w:t>million children of ECD-going age</w:t>
      </w:r>
      <w:r w:rsidR="0081763E" w:rsidRPr="00864C41">
        <w:rPr>
          <w:rFonts w:ascii="Calibri" w:hAnsi="Calibri" w:cs="Calibri"/>
          <w:color w:val="000000"/>
        </w:rPr>
        <w:t>.</w:t>
      </w:r>
      <w:r w:rsidR="00D70F4C" w:rsidRPr="00864C41">
        <w:rPr>
          <w:rFonts w:ascii="Calibri" w:hAnsi="Calibri" w:cs="Calibri"/>
          <w:color w:val="000000"/>
        </w:rPr>
        <w:t xml:space="preserve">  </w:t>
      </w:r>
      <w:r w:rsidR="00EF46E1">
        <w:rPr>
          <w:rFonts w:ascii="Calibri" w:hAnsi="Calibri" w:cs="Calibri"/>
          <w:color w:val="000000"/>
        </w:rPr>
        <w:t xml:space="preserve">The Department of Basic Education reports that </w:t>
      </w:r>
      <w:r w:rsidR="00D70F4C" w:rsidRPr="00864C41">
        <w:rPr>
          <w:rFonts w:ascii="Calibri" w:hAnsi="Calibri" w:cs="Calibri"/>
          <w:color w:val="000000"/>
        </w:rPr>
        <w:t>4.</w:t>
      </w:r>
      <w:r w:rsidR="00EF46E1">
        <w:rPr>
          <w:rFonts w:ascii="Calibri" w:hAnsi="Calibri" w:cs="Calibri"/>
          <w:color w:val="000000"/>
        </w:rPr>
        <w:t>7</w:t>
      </w:r>
      <w:r w:rsidR="00D70F4C" w:rsidRPr="00864C41">
        <w:rPr>
          <w:rFonts w:ascii="Calibri" w:hAnsi="Calibri" w:cs="Calibri"/>
          <w:color w:val="000000"/>
        </w:rPr>
        <w:t xml:space="preserve"> million </w:t>
      </w:r>
      <w:r w:rsidR="0081763E" w:rsidRPr="00864C41">
        <w:rPr>
          <w:rFonts w:ascii="Calibri" w:hAnsi="Calibri" w:cs="Calibri"/>
          <w:color w:val="000000"/>
        </w:rPr>
        <w:t xml:space="preserve">of these children </w:t>
      </w:r>
      <w:r w:rsidR="00D70F4C" w:rsidRPr="00864C41">
        <w:rPr>
          <w:rFonts w:ascii="Calibri" w:hAnsi="Calibri" w:cs="Calibri"/>
          <w:color w:val="000000"/>
        </w:rPr>
        <w:t>live in poverty</w:t>
      </w:r>
      <w:r w:rsidR="00EF46E1">
        <w:rPr>
          <w:rFonts w:ascii="Calibri" w:hAnsi="Calibri" w:cs="Calibri"/>
          <w:color w:val="000000"/>
        </w:rPr>
        <w:t xml:space="preserve"> are eligible for a subsidy</w:t>
      </w:r>
      <w:r w:rsidR="00D70F4C" w:rsidRPr="00864C41">
        <w:rPr>
          <w:rFonts w:ascii="Calibri" w:hAnsi="Calibri" w:cs="Calibri"/>
          <w:color w:val="000000"/>
        </w:rPr>
        <w:t>. Learners who benefit from State ECD subsidies – only 25% of children who need it - only receive R17 per day. If</w:t>
      </w:r>
      <w:r w:rsidR="00B1431C" w:rsidRPr="00864C41">
        <w:rPr>
          <w:rFonts w:ascii="Calibri" w:hAnsi="Calibri" w:cs="Calibri"/>
          <w:color w:val="000000"/>
        </w:rPr>
        <w:t xml:space="preserve"> the South African</w:t>
      </w:r>
      <w:r w:rsidR="00D70F4C" w:rsidRPr="00864C41">
        <w:rPr>
          <w:rFonts w:ascii="Calibri" w:hAnsi="Calibri" w:cs="Calibri"/>
          <w:color w:val="000000"/>
        </w:rPr>
        <w:t xml:space="preserve"> government </w:t>
      </w:r>
      <w:r w:rsidR="00F818CD" w:rsidRPr="00864C41">
        <w:rPr>
          <w:rFonts w:ascii="Calibri" w:hAnsi="Calibri" w:cs="Calibri"/>
          <w:color w:val="000000"/>
        </w:rPr>
        <w:t>used t</w:t>
      </w:r>
      <w:r w:rsidR="00B1431C" w:rsidRPr="00864C41">
        <w:rPr>
          <w:rFonts w:ascii="Calibri" w:hAnsi="Calibri" w:cs="Calibri"/>
          <w:color w:val="000000"/>
        </w:rPr>
        <w:t>he</w:t>
      </w:r>
      <w:r w:rsidR="00F818CD" w:rsidRPr="00864C41">
        <w:rPr>
          <w:rFonts w:ascii="Calibri" w:hAnsi="Calibri" w:cs="Calibri"/>
          <w:color w:val="000000"/>
        </w:rPr>
        <w:t xml:space="preserve"> ECD Conditional Grant</w:t>
      </w:r>
      <w:r w:rsidR="00D70F4C" w:rsidRPr="00864C41">
        <w:rPr>
          <w:rFonts w:ascii="Calibri" w:hAnsi="Calibri" w:cs="Calibri"/>
          <w:color w:val="000000"/>
        </w:rPr>
        <w:t xml:space="preserve"> to provide ECD services to all 4.</w:t>
      </w:r>
      <w:r w:rsidR="00CA0B71">
        <w:rPr>
          <w:rFonts w:ascii="Calibri" w:hAnsi="Calibri" w:cs="Calibri"/>
          <w:color w:val="000000"/>
        </w:rPr>
        <w:t>7</w:t>
      </w:r>
      <w:r w:rsidR="00D70F4C" w:rsidRPr="00864C41">
        <w:rPr>
          <w:rFonts w:ascii="Calibri" w:hAnsi="Calibri" w:cs="Calibri"/>
          <w:color w:val="000000"/>
        </w:rPr>
        <w:t xml:space="preserve"> million children living in poverty</w:t>
      </w:r>
      <w:r w:rsidR="00544F17" w:rsidRPr="00864C41">
        <w:rPr>
          <w:rFonts w:ascii="Calibri" w:hAnsi="Calibri" w:cs="Calibri"/>
          <w:color w:val="000000"/>
        </w:rPr>
        <w:t xml:space="preserve"> and who would likely qualify for the subsidy</w:t>
      </w:r>
      <w:r w:rsidR="00D70F4C" w:rsidRPr="00864C41">
        <w:rPr>
          <w:rFonts w:ascii="Calibri" w:hAnsi="Calibri" w:cs="Calibri"/>
          <w:color w:val="000000"/>
        </w:rPr>
        <w:t xml:space="preserve">, </w:t>
      </w:r>
      <w:r w:rsidR="00F818CD" w:rsidRPr="00864C41">
        <w:rPr>
          <w:rFonts w:ascii="Calibri" w:hAnsi="Calibri" w:cs="Calibri"/>
          <w:color w:val="000000"/>
        </w:rPr>
        <w:t xml:space="preserve">the </w:t>
      </w:r>
      <w:r w:rsidR="00D70F4C" w:rsidRPr="00864C41">
        <w:rPr>
          <w:rFonts w:ascii="Calibri" w:hAnsi="Calibri" w:cs="Calibri"/>
          <w:color w:val="000000"/>
        </w:rPr>
        <w:t>average per child spending for the next three years would only be R1.</w:t>
      </w:r>
      <w:r w:rsidR="00CA0B71">
        <w:rPr>
          <w:rFonts w:ascii="Calibri" w:hAnsi="Calibri" w:cs="Calibri"/>
          <w:color w:val="000000"/>
        </w:rPr>
        <w:t>47</w:t>
      </w:r>
      <w:r w:rsidR="00D70F4C" w:rsidRPr="00864C41">
        <w:rPr>
          <w:rFonts w:ascii="Calibri" w:hAnsi="Calibri" w:cs="Calibri"/>
          <w:color w:val="000000"/>
        </w:rPr>
        <w:t xml:space="preserve"> per day instead of the required R17.</w:t>
      </w:r>
      <w:r w:rsidR="00D70F4C" w:rsidRPr="00864C41">
        <w:rPr>
          <w:rFonts w:ascii="Calibri" w:hAnsi="Calibri" w:cs="Calibri"/>
          <w:b/>
          <w:bCs/>
          <w:color w:val="000000"/>
        </w:rPr>
        <w:t xml:space="preserve"> </w:t>
      </w:r>
    </w:p>
    <w:p w14:paraId="73E2C6E5" w14:textId="12744EF9" w:rsidR="006F5BF8" w:rsidRPr="007168DA" w:rsidRDefault="00830BC5" w:rsidP="00864C41">
      <w:pPr>
        <w:pStyle w:val="ListParagraph"/>
        <w:numPr>
          <w:ilvl w:val="0"/>
          <w:numId w:val="6"/>
        </w:numPr>
        <w:spacing w:line="360" w:lineRule="auto"/>
        <w:jc w:val="both"/>
      </w:pPr>
      <w:r>
        <w:t>The</w:t>
      </w:r>
      <w:r w:rsidR="006F5BF8" w:rsidRPr="00CA6A57">
        <w:t xml:space="preserve"> per child per day subsidy, which is meant to support access to ECD services for learners from low-income families, has not increased in nominal terms since 2019, at </w:t>
      </w:r>
      <w:r w:rsidR="006F5BF8" w:rsidRPr="00617912">
        <w:t>R17 per child per day for ECD centres and R6 for non-centre based programmes</w:t>
      </w:r>
      <w:r w:rsidR="006F5BF8" w:rsidRPr="00CA6A57">
        <w:t>.</w:t>
      </w:r>
      <w:r w:rsidR="006F5BF8">
        <w:rPr>
          <w:rStyle w:val="FootnoteReference"/>
        </w:rPr>
        <w:footnoteReference w:id="9"/>
      </w:r>
      <w:r w:rsidR="006F5BF8" w:rsidRPr="00CA6A57">
        <w:t xml:space="preserve"> This means that in real terms, taking inflation into account, this already wholly inadequate subsidy has actually </w:t>
      </w:r>
      <w:r w:rsidR="006F5BF8" w:rsidRPr="00864C41">
        <w:rPr>
          <w:i/>
          <w:iCs/>
        </w:rPr>
        <w:t>decreased</w:t>
      </w:r>
      <w:r w:rsidR="006F5BF8" w:rsidRPr="00CA6A57">
        <w:t>.</w:t>
      </w:r>
      <w:r w:rsidR="006F5BF8" w:rsidRPr="00CA6A57">
        <w:rPr>
          <w:rStyle w:val="FootnoteReference"/>
        </w:rPr>
        <w:footnoteReference w:id="10"/>
      </w:r>
      <w:r w:rsidR="006F5BF8" w:rsidRPr="00CA6A57">
        <w:t xml:space="preserve"> Aside from covering the costs of staff, rent and equipment, this subsidy </w:t>
      </w:r>
      <w:r w:rsidR="006F5BF8">
        <w:t>also</w:t>
      </w:r>
      <w:r w:rsidR="006F5BF8" w:rsidRPr="00CA6A57">
        <w:t xml:space="preserve"> cover</w:t>
      </w:r>
      <w:r w:rsidR="006F5BF8">
        <w:t>s</w:t>
      </w:r>
      <w:r w:rsidR="006F5BF8" w:rsidRPr="00CA6A57">
        <w:t xml:space="preserve"> food for learners – only 50% of this subsidy can be allocated to food, which amounts to R8.50 per day. The inadequacy of this subsidy is further highlighted when considering that many learners in Early Learning Programmes (ELPs) attend centres from 7am to 6pm, and that this R8.50 subsidy is expected to cover the cost of food for learners for the entire day. According to the Budget Justice Coalition, “</w:t>
      </w:r>
      <w:r w:rsidR="006F5BF8" w:rsidRPr="00864C41">
        <w:rPr>
          <w:rFonts w:eastAsiaTheme="minorEastAsia"/>
          <w:color w:val="000000"/>
          <w:kern w:val="24"/>
          <w:lang w:val="en-US" w:eastAsia="en-ZA"/>
        </w:rPr>
        <w:t xml:space="preserve">Erosion of its real value at a time when food inflation is as high as 13% will likely translate into reduced nutritional support for children under </w:t>
      </w:r>
      <w:r w:rsidR="00626ED1" w:rsidRPr="00864C41">
        <w:rPr>
          <w:rFonts w:eastAsiaTheme="minorEastAsia"/>
          <w:color w:val="000000"/>
          <w:kern w:val="24"/>
          <w:lang w:val="en-US" w:eastAsia="en-ZA"/>
        </w:rPr>
        <w:t>five</w:t>
      </w:r>
      <w:r w:rsidR="006F5BF8" w:rsidRPr="00864C41">
        <w:rPr>
          <w:rFonts w:eastAsiaTheme="minorEastAsia"/>
          <w:color w:val="000000"/>
          <w:kern w:val="24"/>
          <w:lang w:val="en-US" w:eastAsia="en-ZA"/>
        </w:rPr>
        <w:t xml:space="preserve"> years of age - the group most in need of adequate nutrition to prevent malnutrition and stunting.”</w:t>
      </w:r>
      <w:r w:rsidR="006F5BF8" w:rsidRPr="0F50C4BB">
        <w:rPr>
          <w:rStyle w:val="FootnoteReference"/>
          <w:rFonts w:eastAsiaTheme="minorEastAsia"/>
          <w:color w:val="000000"/>
          <w:kern w:val="24"/>
          <w:lang w:val="en-US" w:eastAsia="en-ZA"/>
        </w:rPr>
        <w:footnoteReference w:id="11"/>
      </w:r>
      <w:r w:rsidR="006F5BF8" w:rsidRPr="00864C41">
        <w:rPr>
          <w:rFonts w:eastAsiaTheme="minorEastAsia"/>
          <w:color w:val="000000"/>
          <w:kern w:val="24"/>
          <w:lang w:val="en-US" w:eastAsia="en-ZA"/>
        </w:rPr>
        <w:t xml:space="preserve"> </w:t>
      </w:r>
    </w:p>
    <w:p w14:paraId="2505B5F0" w14:textId="067BBD13" w:rsidR="00CE62E4" w:rsidRDefault="00626ED1" w:rsidP="00864C41">
      <w:pPr>
        <w:pStyle w:val="ListParagraph"/>
        <w:numPr>
          <w:ilvl w:val="0"/>
          <w:numId w:val="6"/>
        </w:numPr>
        <w:spacing w:line="360" w:lineRule="auto"/>
        <w:jc w:val="both"/>
      </w:pPr>
      <w:r>
        <w:t xml:space="preserve">On the other hand, </w:t>
      </w:r>
      <w:r w:rsidR="008332C8">
        <w:t>basic education remains one of government’s largest spending items.</w:t>
      </w:r>
      <w:r w:rsidR="00F12742">
        <w:t xml:space="preserve"> While this seems promising at first glance, South Africa has a large young population and </w:t>
      </w:r>
      <w:r w:rsidR="00027961">
        <w:t xml:space="preserve">when looking at per learner spending, </w:t>
      </w:r>
      <w:proofErr w:type="gramStart"/>
      <w:r w:rsidR="00027961">
        <w:t xml:space="preserve">it is clear that </w:t>
      </w:r>
      <w:r w:rsidR="00AE2B3D">
        <w:t>South</w:t>
      </w:r>
      <w:proofErr w:type="gramEnd"/>
      <w:r w:rsidR="00AE2B3D">
        <w:t xml:space="preserve"> Africa’s basic education budget is comparably low and that </w:t>
      </w:r>
      <w:r w:rsidR="00027961">
        <w:t xml:space="preserve">the budget is insufficient to realise quality basic education services. </w:t>
      </w:r>
      <w:r w:rsidR="00052F84" w:rsidRPr="00052F84">
        <w:t xml:space="preserve">Since 2016, basic education’s share of national </w:t>
      </w:r>
      <w:r w:rsidR="00052F84" w:rsidRPr="00D659BF">
        <w:t>overall spending</w:t>
      </w:r>
      <w:r w:rsidR="00052F84" w:rsidRPr="00052F84">
        <w:t xml:space="preserve"> has steadily dwindled, with COVID-19 budget cuts in 2020 creating a huge dent.</w:t>
      </w:r>
      <w:r w:rsidR="00820AC9">
        <w:rPr>
          <w:rStyle w:val="FootnoteReference"/>
        </w:rPr>
        <w:footnoteReference w:id="12"/>
      </w:r>
      <w:r w:rsidR="00052F84" w:rsidRPr="00052F84">
        <w:t xml:space="preserve"> Even as the sector has been slowly recovering since 2021, basic education funding has struggled to keep pace with the increasing </w:t>
      </w:r>
      <w:r w:rsidR="00572293">
        <w:t>inflation</w:t>
      </w:r>
      <w:r w:rsidR="00052F84" w:rsidRPr="00052F84">
        <w:t xml:space="preserve"> and growing learner enrolments. </w:t>
      </w:r>
    </w:p>
    <w:p w14:paraId="73D97731" w14:textId="5EEE85E3" w:rsidR="00BD370D" w:rsidRDefault="00BD370D" w:rsidP="0002767F">
      <w:pPr>
        <w:jc w:val="center"/>
      </w:pPr>
      <w:r>
        <w:rPr>
          <w:noProof/>
          <w:bdr w:val="none" w:sz="0" w:space="0" w:color="auto" w:frame="1"/>
        </w:rPr>
        <w:lastRenderedPageBreak/>
        <w:drawing>
          <wp:inline distT="0" distB="0" distL="0" distR="0" wp14:anchorId="72E52ADA" wp14:editId="6D00822E">
            <wp:extent cx="6200140" cy="3009900"/>
            <wp:effectExtent l="0" t="0" r="0" b="0"/>
            <wp:docPr id="2032402567" name="Picture 4"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02567" name="Picture 4" descr="A graph with a line and a dotted li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36657" cy="3027627"/>
                    </a:xfrm>
                    <a:prstGeom prst="rect">
                      <a:avLst/>
                    </a:prstGeom>
                    <a:noFill/>
                    <a:ln>
                      <a:noFill/>
                    </a:ln>
                  </pic:spPr>
                </pic:pic>
              </a:graphicData>
            </a:graphic>
          </wp:inline>
        </w:drawing>
      </w:r>
    </w:p>
    <w:p w14:paraId="5C219852" w14:textId="1DA4E472" w:rsidR="003D375F" w:rsidRPr="007B7434" w:rsidRDefault="002A38E1" w:rsidP="0002767F">
      <w:pPr>
        <w:jc w:val="center"/>
        <w:rPr>
          <w:i/>
          <w:iCs/>
          <w:sz w:val="16"/>
          <w:szCs w:val="16"/>
        </w:rPr>
      </w:pPr>
      <w:r>
        <w:rPr>
          <w:rFonts w:ascii="Calibri" w:hAnsi="Calibri" w:cs="Calibri"/>
          <w:i/>
          <w:iCs/>
          <w:color w:val="000000"/>
          <w:sz w:val="16"/>
          <w:szCs w:val="16"/>
        </w:rPr>
        <w:t xml:space="preserve">Source: </w:t>
      </w:r>
      <w:r w:rsidR="003D375F" w:rsidRPr="007B7434">
        <w:rPr>
          <w:rFonts w:ascii="Calibri" w:hAnsi="Calibri" w:cs="Calibri"/>
          <w:i/>
          <w:iCs/>
          <w:color w:val="000000"/>
          <w:sz w:val="16"/>
          <w:szCs w:val="16"/>
        </w:rPr>
        <w:t>Equal Education and Equal Education Law Centre joint statement: National Treasury’s budget cuts will further deepen the #EducationBlackout threatening the future of the country’s learners</w:t>
      </w:r>
      <w:r w:rsidR="007B7434" w:rsidRPr="007B7434">
        <w:rPr>
          <w:rFonts w:ascii="Calibri" w:hAnsi="Calibri" w:cs="Calibri"/>
          <w:i/>
          <w:iCs/>
          <w:color w:val="000000"/>
          <w:sz w:val="16"/>
          <w:szCs w:val="16"/>
        </w:rPr>
        <w:t>, 1 November 2023</w:t>
      </w:r>
    </w:p>
    <w:p w14:paraId="21BBE2B4" w14:textId="1FE3FA88" w:rsidR="00EF2C4C" w:rsidRPr="00B61B17" w:rsidRDefault="00EF2C4C" w:rsidP="00864C41">
      <w:pPr>
        <w:pStyle w:val="ListParagraph"/>
        <w:numPr>
          <w:ilvl w:val="0"/>
          <w:numId w:val="6"/>
        </w:numPr>
        <w:spacing w:line="360" w:lineRule="auto"/>
        <w:jc w:val="both"/>
      </w:pPr>
      <w:r w:rsidRPr="00864C41">
        <w:rPr>
          <w:rFonts w:ascii="Calibri" w:hAnsi="Calibri" w:cs="Calibri"/>
          <w:color w:val="000000"/>
        </w:rPr>
        <w:t>Even if the entire budget was spent with no irregular, wasteful, and fruitless expenditure, the amount of money given to the sector would still be substantially less than what is needed to address the many challenges.</w:t>
      </w:r>
      <w:r w:rsidR="009021D9" w:rsidRPr="00864C41">
        <w:rPr>
          <w:rFonts w:ascii="Calibri" w:hAnsi="Calibri" w:cs="Calibri"/>
          <w:color w:val="000000"/>
        </w:rPr>
        <w:t xml:space="preserve"> See the table below for the estimated costs to fix key infrastructure challenges and the proportion </w:t>
      </w:r>
      <w:r w:rsidR="00B20E10" w:rsidRPr="00864C41">
        <w:rPr>
          <w:rFonts w:ascii="Calibri" w:hAnsi="Calibri" w:cs="Calibri"/>
          <w:color w:val="000000"/>
        </w:rPr>
        <w:t>of these costs in relation to the yearly budget.</w:t>
      </w:r>
    </w:p>
    <w:tbl>
      <w:tblPr>
        <w:tblW w:w="0" w:type="auto"/>
        <w:tblCellMar>
          <w:top w:w="15" w:type="dxa"/>
          <w:left w:w="15" w:type="dxa"/>
          <w:bottom w:w="15" w:type="dxa"/>
          <w:right w:w="15" w:type="dxa"/>
        </w:tblCellMar>
        <w:tblLook w:val="04A0" w:firstRow="1" w:lastRow="0" w:firstColumn="1" w:lastColumn="0" w:noHBand="0" w:noVBand="1"/>
      </w:tblPr>
      <w:tblGrid>
        <w:gridCol w:w="3534"/>
        <w:gridCol w:w="3260"/>
        <w:gridCol w:w="3652"/>
      </w:tblGrid>
      <w:tr w:rsidR="004205B8" w14:paraId="7AEEE8AD" w14:textId="77777777" w:rsidTr="004205B8">
        <w:tc>
          <w:tcPr>
            <w:tcW w:w="3534"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2A06A17B" w14:textId="77777777" w:rsidR="004205B8" w:rsidRPr="00102B64" w:rsidRDefault="004205B8">
            <w:pPr>
              <w:pStyle w:val="NormalWeb"/>
              <w:spacing w:after="0"/>
              <w:jc w:val="center"/>
              <w:rPr>
                <w:rFonts w:asciiTheme="minorHAnsi" w:hAnsiTheme="minorHAnsi" w:cstheme="minorHAnsi"/>
                <w:sz w:val="18"/>
                <w:szCs w:val="18"/>
              </w:rPr>
            </w:pPr>
            <w:r w:rsidRPr="00102B64">
              <w:rPr>
                <w:rFonts w:asciiTheme="minorHAnsi" w:hAnsiTheme="minorHAnsi" w:cstheme="minorHAnsi"/>
                <w:b/>
                <w:bCs/>
                <w:color w:val="000000"/>
                <w:sz w:val="18"/>
                <w:szCs w:val="18"/>
              </w:rPr>
              <w:t>Issue</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5B6DC36C" w14:textId="58B5ACF6" w:rsidR="004205B8" w:rsidRPr="00102B64" w:rsidRDefault="004205B8">
            <w:pPr>
              <w:pStyle w:val="NormalWeb"/>
              <w:spacing w:after="0"/>
              <w:jc w:val="center"/>
              <w:rPr>
                <w:rFonts w:asciiTheme="minorHAnsi" w:hAnsiTheme="minorHAnsi" w:cstheme="minorHAnsi"/>
                <w:sz w:val="18"/>
                <w:szCs w:val="18"/>
              </w:rPr>
            </w:pPr>
            <w:r w:rsidRPr="00102B64">
              <w:rPr>
                <w:rFonts w:asciiTheme="minorHAnsi" w:hAnsiTheme="minorHAnsi" w:cstheme="minorHAnsi"/>
                <w:b/>
                <w:bCs/>
                <w:color w:val="000000"/>
                <w:sz w:val="18"/>
                <w:szCs w:val="18"/>
              </w:rPr>
              <w:t>Department of Basic Education’s Estimated Cost to Solve the Issue</w:t>
            </w:r>
          </w:p>
        </w:tc>
        <w:tc>
          <w:tcPr>
            <w:tcW w:w="3652"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1ABC018B" w14:textId="0316993B" w:rsidR="004205B8" w:rsidRPr="00102B64" w:rsidRDefault="004205B8">
            <w:pPr>
              <w:pStyle w:val="NormalWeb"/>
              <w:spacing w:after="0"/>
              <w:jc w:val="center"/>
              <w:rPr>
                <w:rFonts w:asciiTheme="minorHAnsi" w:hAnsiTheme="minorHAnsi" w:cstheme="minorHAnsi"/>
                <w:sz w:val="18"/>
                <w:szCs w:val="18"/>
              </w:rPr>
            </w:pPr>
            <w:r w:rsidRPr="00102B64">
              <w:rPr>
                <w:rFonts w:asciiTheme="minorHAnsi" w:hAnsiTheme="minorHAnsi" w:cstheme="minorHAnsi"/>
                <w:b/>
                <w:bCs/>
                <w:color w:val="000000"/>
                <w:sz w:val="18"/>
                <w:szCs w:val="18"/>
              </w:rPr>
              <w:t xml:space="preserve">Percentage of 2023/24 </w:t>
            </w:r>
            <w:r>
              <w:rPr>
                <w:rFonts w:asciiTheme="minorHAnsi" w:hAnsiTheme="minorHAnsi" w:cstheme="minorHAnsi"/>
                <w:b/>
                <w:bCs/>
                <w:color w:val="000000"/>
                <w:sz w:val="18"/>
                <w:szCs w:val="18"/>
              </w:rPr>
              <w:t>T</w:t>
            </w:r>
            <w:r w:rsidRPr="00102B64">
              <w:rPr>
                <w:rFonts w:asciiTheme="minorHAnsi" w:hAnsiTheme="minorHAnsi" w:cstheme="minorHAnsi"/>
                <w:b/>
                <w:bCs/>
                <w:color w:val="000000"/>
                <w:sz w:val="18"/>
                <w:szCs w:val="18"/>
              </w:rPr>
              <w:t xml:space="preserve">otal </w:t>
            </w:r>
            <w:r>
              <w:rPr>
                <w:rFonts w:asciiTheme="minorHAnsi" w:hAnsiTheme="minorHAnsi" w:cstheme="minorHAnsi"/>
                <w:b/>
                <w:bCs/>
                <w:color w:val="000000"/>
                <w:sz w:val="18"/>
                <w:szCs w:val="18"/>
              </w:rPr>
              <w:t xml:space="preserve">Education Infrastructure </w:t>
            </w:r>
            <w:r w:rsidRPr="00102B64">
              <w:rPr>
                <w:rFonts w:asciiTheme="minorHAnsi" w:hAnsiTheme="minorHAnsi" w:cstheme="minorHAnsi"/>
                <w:b/>
                <w:bCs/>
                <w:color w:val="000000"/>
                <w:sz w:val="18"/>
                <w:szCs w:val="18"/>
              </w:rPr>
              <w:t>budget</w:t>
            </w:r>
          </w:p>
          <w:p w14:paraId="3993ECC4" w14:textId="6E32EB2C" w:rsidR="004205B8" w:rsidRPr="00102B64" w:rsidRDefault="004205B8">
            <w:pPr>
              <w:pStyle w:val="NormalWeb"/>
              <w:spacing w:after="0"/>
              <w:jc w:val="center"/>
              <w:rPr>
                <w:rFonts w:asciiTheme="minorHAnsi" w:hAnsiTheme="minorHAnsi" w:cstheme="minorHAnsi"/>
                <w:sz w:val="18"/>
                <w:szCs w:val="18"/>
              </w:rPr>
            </w:pPr>
            <w:r w:rsidRPr="00102B64">
              <w:rPr>
                <w:rFonts w:asciiTheme="minorHAnsi" w:hAnsiTheme="minorHAnsi" w:cstheme="minorHAnsi"/>
                <w:b/>
                <w:bCs/>
                <w:color w:val="000000"/>
                <w:sz w:val="18"/>
                <w:szCs w:val="18"/>
              </w:rPr>
              <w:t>(1</w:t>
            </w:r>
            <w:r w:rsidR="00931EB7">
              <w:rPr>
                <w:rFonts w:asciiTheme="minorHAnsi" w:hAnsiTheme="minorHAnsi" w:cstheme="minorHAnsi"/>
                <w:b/>
                <w:bCs/>
                <w:color w:val="000000"/>
                <w:sz w:val="18"/>
                <w:szCs w:val="18"/>
              </w:rPr>
              <w:t>5.</w:t>
            </w:r>
            <w:r w:rsidR="00224450">
              <w:rPr>
                <w:rFonts w:asciiTheme="minorHAnsi" w:hAnsiTheme="minorHAnsi" w:cstheme="minorHAnsi"/>
                <w:b/>
                <w:bCs/>
                <w:color w:val="000000"/>
                <w:sz w:val="18"/>
                <w:szCs w:val="18"/>
              </w:rPr>
              <w:t>6</w:t>
            </w:r>
            <w:r w:rsidRPr="00102B64">
              <w:rPr>
                <w:rFonts w:asciiTheme="minorHAnsi" w:hAnsiTheme="minorHAnsi" w:cstheme="minorHAnsi"/>
                <w:b/>
                <w:bCs/>
                <w:color w:val="000000"/>
                <w:sz w:val="18"/>
                <w:szCs w:val="18"/>
              </w:rPr>
              <w:t xml:space="preserve"> billion)</w:t>
            </w:r>
          </w:p>
        </w:tc>
      </w:tr>
      <w:tr w:rsidR="004205B8" w14:paraId="5A6614D4" w14:textId="77777777" w:rsidTr="004205B8">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12E02"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Schools made of inappropriate materials (entirely or partially)</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ED1A0"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R16 707 992 169</w:t>
            </w:r>
          </w:p>
        </w:tc>
        <w:tc>
          <w:tcPr>
            <w:tcW w:w="3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D63AE" w14:textId="015D58A8"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1</w:t>
            </w:r>
            <w:r w:rsidR="00224450">
              <w:rPr>
                <w:rFonts w:asciiTheme="minorHAnsi" w:hAnsiTheme="minorHAnsi" w:cstheme="minorHAnsi"/>
                <w:color w:val="000000"/>
                <w:sz w:val="18"/>
                <w:szCs w:val="18"/>
              </w:rPr>
              <w:t>07%</w:t>
            </w:r>
          </w:p>
        </w:tc>
      </w:tr>
      <w:tr w:rsidR="004205B8" w14:paraId="584D73DF" w14:textId="77777777" w:rsidTr="004205B8">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9E45B"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Schools with no toilets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A3AA4"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R235 448 747</w:t>
            </w:r>
          </w:p>
        </w:tc>
        <w:tc>
          <w:tcPr>
            <w:tcW w:w="3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105F0" w14:textId="6E2FC518"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1.</w:t>
            </w:r>
            <w:r w:rsidR="00224450">
              <w:rPr>
                <w:rFonts w:asciiTheme="minorHAnsi" w:hAnsiTheme="minorHAnsi" w:cstheme="minorHAnsi"/>
                <w:color w:val="000000"/>
                <w:sz w:val="18"/>
                <w:szCs w:val="18"/>
              </w:rPr>
              <w:t>5%</w:t>
            </w:r>
          </w:p>
        </w:tc>
      </w:tr>
      <w:tr w:rsidR="004205B8" w14:paraId="51E91B1E" w14:textId="77777777" w:rsidTr="004205B8">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307E2"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Schools with no sustainable water source</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222B9"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R10 176 117 056</w:t>
            </w:r>
          </w:p>
        </w:tc>
        <w:tc>
          <w:tcPr>
            <w:tcW w:w="3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02C1C" w14:textId="4128A59F" w:rsidR="004205B8" w:rsidRPr="00102B64" w:rsidRDefault="00224450">
            <w:pPr>
              <w:pStyle w:val="NormalWeb"/>
              <w:spacing w:after="0"/>
              <w:rPr>
                <w:rFonts w:asciiTheme="minorHAnsi" w:hAnsiTheme="minorHAnsi" w:cstheme="minorHAnsi"/>
                <w:sz w:val="18"/>
                <w:szCs w:val="18"/>
              </w:rPr>
            </w:pPr>
            <w:r>
              <w:rPr>
                <w:rFonts w:asciiTheme="minorHAnsi" w:hAnsiTheme="minorHAnsi" w:cstheme="minorHAnsi"/>
                <w:sz w:val="18"/>
                <w:szCs w:val="18"/>
              </w:rPr>
              <w:t>65%</w:t>
            </w:r>
          </w:p>
        </w:tc>
      </w:tr>
      <w:tr w:rsidR="004205B8" w14:paraId="10AFBB72" w14:textId="77777777" w:rsidTr="004205B8">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22BEE" w14:textId="5E554A0C"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School</w:t>
            </w:r>
            <w:r>
              <w:rPr>
                <w:rFonts w:asciiTheme="minorHAnsi" w:hAnsiTheme="minorHAnsi" w:cstheme="minorHAnsi"/>
                <w:color w:val="000000"/>
                <w:sz w:val="18"/>
                <w:szCs w:val="18"/>
              </w:rPr>
              <w:t>s requiring</w:t>
            </w:r>
            <w:r w:rsidRPr="00102B64">
              <w:rPr>
                <w:rFonts w:asciiTheme="minorHAnsi" w:hAnsiTheme="minorHAnsi" w:cstheme="minorHAnsi"/>
                <w:color w:val="000000"/>
                <w:sz w:val="18"/>
                <w:szCs w:val="18"/>
              </w:rPr>
              <w:t xml:space="preserve"> sanitation upgrades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C4818"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R17 953 386 864</w:t>
            </w:r>
          </w:p>
        </w:tc>
        <w:tc>
          <w:tcPr>
            <w:tcW w:w="3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1F564" w14:textId="7413D39C"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1</w:t>
            </w:r>
            <w:r w:rsidR="00224450">
              <w:rPr>
                <w:rFonts w:asciiTheme="minorHAnsi" w:hAnsiTheme="minorHAnsi" w:cstheme="minorHAnsi"/>
                <w:color w:val="000000"/>
                <w:sz w:val="18"/>
                <w:szCs w:val="18"/>
              </w:rPr>
              <w:t>15</w:t>
            </w:r>
            <w:r w:rsidRPr="00102B64">
              <w:rPr>
                <w:rFonts w:asciiTheme="minorHAnsi" w:hAnsiTheme="minorHAnsi" w:cstheme="minorHAnsi"/>
                <w:color w:val="000000"/>
                <w:sz w:val="18"/>
                <w:szCs w:val="18"/>
              </w:rPr>
              <w:t>%</w:t>
            </w:r>
          </w:p>
        </w:tc>
      </w:tr>
      <w:tr w:rsidR="004205B8" w14:paraId="7897086D" w14:textId="77777777" w:rsidTr="004205B8">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6CE25"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Schools requiring upgrading of water supply</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F3117"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R6 674 438 950</w:t>
            </w:r>
          </w:p>
        </w:tc>
        <w:tc>
          <w:tcPr>
            <w:tcW w:w="3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DFF46" w14:textId="101138BB"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4</w:t>
            </w:r>
            <w:r w:rsidR="00224450">
              <w:rPr>
                <w:rFonts w:asciiTheme="minorHAnsi" w:hAnsiTheme="minorHAnsi" w:cstheme="minorHAnsi"/>
                <w:color w:val="000000"/>
                <w:sz w:val="18"/>
                <w:szCs w:val="18"/>
              </w:rPr>
              <w:t>3</w:t>
            </w:r>
            <w:r w:rsidRPr="00102B64">
              <w:rPr>
                <w:rFonts w:asciiTheme="minorHAnsi" w:hAnsiTheme="minorHAnsi" w:cstheme="minorHAnsi"/>
                <w:color w:val="000000"/>
                <w:sz w:val="18"/>
                <w:szCs w:val="18"/>
              </w:rPr>
              <w:t>%</w:t>
            </w:r>
          </w:p>
        </w:tc>
      </w:tr>
      <w:tr w:rsidR="004205B8" w14:paraId="77A3C824" w14:textId="77777777" w:rsidTr="004205B8">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B424B"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Schools requiring additional classrooms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B2B75"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R44 498 765 853</w:t>
            </w:r>
          </w:p>
        </w:tc>
        <w:tc>
          <w:tcPr>
            <w:tcW w:w="3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DCED0" w14:textId="61EFBAC0" w:rsidR="004205B8" w:rsidRPr="00102B64" w:rsidRDefault="007331EF">
            <w:pPr>
              <w:pStyle w:val="NormalWeb"/>
              <w:spacing w:after="0"/>
              <w:rPr>
                <w:rFonts w:asciiTheme="minorHAnsi" w:hAnsiTheme="minorHAnsi" w:cstheme="minorHAnsi"/>
                <w:sz w:val="18"/>
                <w:szCs w:val="18"/>
              </w:rPr>
            </w:pPr>
            <w:r>
              <w:rPr>
                <w:rFonts w:asciiTheme="minorHAnsi" w:hAnsiTheme="minorHAnsi" w:cstheme="minorHAnsi"/>
                <w:color w:val="000000"/>
                <w:sz w:val="18"/>
                <w:szCs w:val="18"/>
              </w:rPr>
              <w:t>286</w:t>
            </w:r>
            <w:r w:rsidR="004205B8" w:rsidRPr="00102B64">
              <w:rPr>
                <w:rFonts w:asciiTheme="minorHAnsi" w:hAnsiTheme="minorHAnsi" w:cstheme="minorHAnsi"/>
                <w:color w:val="000000"/>
                <w:sz w:val="18"/>
                <w:szCs w:val="18"/>
              </w:rPr>
              <w:t>%</w:t>
            </w:r>
          </w:p>
        </w:tc>
      </w:tr>
      <w:tr w:rsidR="004205B8" w14:paraId="10D2DC9C" w14:textId="77777777" w:rsidTr="004205B8">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21153"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Schools requiring libraries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F8DEB"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color w:val="000000"/>
                <w:sz w:val="18"/>
                <w:szCs w:val="18"/>
              </w:rPr>
              <w:t>R8 646 000 000</w:t>
            </w:r>
          </w:p>
        </w:tc>
        <w:tc>
          <w:tcPr>
            <w:tcW w:w="3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F12D9" w14:textId="640ACF33" w:rsidR="004205B8" w:rsidRPr="00102B64" w:rsidRDefault="007331EF">
            <w:pPr>
              <w:pStyle w:val="NormalWeb"/>
              <w:spacing w:after="0"/>
              <w:rPr>
                <w:rFonts w:asciiTheme="minorHAnsi" w:hAnsiTheme="minorHAnsi" w:cstheme="minorHAnsi"/>
                <w:sz w:val="18"/>
                <w:szCs w:val="18"/>
              </w:rPr>
            </w:pPr>
            <w:r>
              <w:rPr>
                <w:rFonts w:asciiTheme="minorHAnsi" w:hAnsiTheme="minorHAnsi" w:cstheme="minorHAnsi"/>
                <w:color w:val="000000"/>
                <w:sz w:val="18"/>
                <w:szCs w:val="18"/>
              </w:rPr>
              <w:t>56</w:t>
            </w:r>
            <w:r w:rsidR="004205B8" w:rsidRPr="00102B64">
              <w:rPr>
                <w:rFonts w:asciiTheme="minorHAnsi" w:hAnsiTheme="minorHAnsi" w:cstheme="minorHAnsi"/>
                <w:color w:val="000000"/>
                <w:sz w:val="18"/>
                <w:szCs w:val="18"/>
              </w:rPr>
              <w:t>%</w:t>
            </w:r>
          </w:p>
        </w:tc>
      </w:tr>
      <w:tr w:rsidR="004205B8" w14:paraId="1C13984E" w14:textId="77777777" w:rsidTr="004205B8">
        <w:tc>
          <w:tcPr>
            <w:tcW w:w="3534"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046614FB"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b/>
                <w:bCs/>
                <w:color w:val="000000"/>
                <w:sz w:val="18"/>
                <w:szCs w:val="18"/>
              </w:rPr>
              <w:t>Total cost</w:t>
            </w:r>
          </w:p>
        </w:tc>
        <w:tc>
          <w:tcPr>
            <w:tcW w:w="3260"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5B3F9F86" w14:textId="77777777" w:rsidR="004205B8" w:rsidRPr="00102B64" w:rsidRDefault="004205B8">
            <w:pPr>
              <w:pStyle w:val="NormalWeb"/>
              <w:spacing w:after="0"/>
              <w:rPr>
                <w:rFonts w:asciiTheme="minorHAnsi" w:hAnsiTheme="minorHAnsi" w:cstheme="minorHAnsi"/>
                <w:sz w:val="18"/>
                <w:szCs w:val="18"/>
              </w:rPr>
            </w:pPr>
            <w:r w:rsidRPr="00102B64">
              <w:rPr>
                <w:rFonts w:asciiTheme="minorHAnsi" w:hAnsiTheme="minorHAnsi" w:cstheme="minorHAnsi"/>
                <w:b/>
                <w:bCs/>
                <w:color w:val="000000"/>
                <w:sz w:val="18"/>
                <w:szCs w:val="18"/>
              </w:rPr>
              <w:t>R104 892 149 639</w:t>
            </w:r>
          </w:p>
        </w:tc>
        <w:tc>
          <w:tcPr>
            <w:tcW w:w="3652" w:type="dxa"/>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187A04B7" w14:textId="708BFDDA" w:rsidR="004205B8" w:rsidRPr="00102B64" w:rsidRDefault="007331EF">
            <w:pPr>
              <w:pStyle w:val="NormalWeb"/>
              <w:spacing w:after="0"/>
              <w:rPr>
                <w:rFonts w:asciiTheme="minorHAnsi" w:hAnsiTheme="minorHAnsi" w:cstheme="minorHAnsi"/>
                <w:sz w:val="18"/>
                <w:szCs w:val="18"/>
              </w:rPr>
            </w:pPr>
            <w:r>
              <w:rPr>
                <w:rFonts w:asciiTheme="minorHAnsi" w:hAnsiTheme="minorHAnsi" w:cstheme="minorHAnsi"/>
                <w:b/>
                <w:bCs/>
                <w:color w:val="000000"/>
                <w:sz w:val="18"/>
                <w:szCs w:val="18"/>
              </w:rPr>
              <w:t>673</w:t>
            </w:r>
            <w:r w:rsidR="004205B8" w:rsidRPr="00102B64">
              <w:rPr>
                <w:rFonts w:asciiTheme="minorHAnsi" w:hAnsiTheme="minorHAnsi" w:cstheme="minorHAnsi"/>
                <w:b/>
                <w:bCs/>
                <w:color w:val="000000"/>
                <w:sz w:val="18"/>
                <w:szCs w:val="18"/>
              </w:rPr>
              <w:t>%</w:t>
            </w:r>
          </w:p>
        </w:tc>
      </w:tr>
    </w:tbl>
    <w:p w14:paraId="1E550BFD" w14:textId="41871055" w:rsidR="005F583F" w:rsidRDefault="000D3249" w:rsidP="005F583F">
      <w:pPr>
        <w:rPr>
          <w:i/>
          <w:iCs/>
          <w:sz w:val="16"/>
          <w:szCs w:val="16"/>
        </w:rPr>
      </w:pPr>
      <w:r w:rsidRPr="000D3249">
        <w:rPr>
          <w:i/>
          <w:iCs/>
          <w:sz w:val="16"/>
          <w:szCs w:val="16"/>
        </w:rPr>
        <w:t xml:space="preserve">Source: Own calculations based on information requested through the Promotion of Access to Information Act and a presentation to interested stakeholders by the Director General of the Department of Basic Education. </w:t>
      </w:r>
    </w:p>
    <w:p w14:paraId="71CA3442" w14:textId="77777777" w:rsidR="00440568" w:rsidRPr="000D3249" w:rsidRDefault="00440568" w:rsidP="005F583F">
      <w:pPr>
        <w:rPr>
          <w:i/>
          <w:iCs/>
          <w:sz w:val="16"/>
          <w:szCs w:val="16"/>
        </w:rPr>
      </w:pPr>
    </w:p>
    <w:p w14:paraId="1E6AD142" w14:textId="5A98E7E6" w:rsidR="000641C9" w:rsidRDefault="009A10F1" w:rsidP="00783906">
      <w:pPr>
        <w:pStyle w:val="Heading2"/>
        <w:numPr>
          <w:ilvl w:val="1"/>
          <w:numId w:val="5"/>
        </w:numPr>
      </w:pPr>
      <w:bookmarkStart w:id="3" w:name="_Toc149649503"/>
      <w:r>
        <w:t xml:space="preserve">Public </w:t>
      </w:r>
      <w:r w:rsidR="000641C9" w:rsidRPr="00BB679C">
        <w:t>Procurement &amp; Corruption</w:t>
      </w:r>
      <w:bookmarkEnd w:id="3"/>
    </w:p>
    <w:p w14:paraId="5879B3E9" w14:textId="77777777" w:rsidR="00440568" w:rsidRPr="00440568" w:rsidRDefault="00440568" w:rsidP="00440568"/>
    <w:p w14:paraId="02EA8B0D" w14:textId="1B8EC0F3" w:rsidR="000641C9" w:rsidRDefault="000641C9" w:rsidP="00783906">
      <w:pPr>
        <w:pStyle w:val="ListParagraph"/>
        <w:numPr>
          <w:ilvl w:val="0"/>
          <w:numId w:val="6"/>
        </w:numPr>
        <w:spacing w:line="360" w:lineRule="auto"/>
        <w:jc w:val="both"/>
      </w:pPr>
      <w:r>
        <w:t>P</w:t>
      </w:r>
      <w:r w:rsidR="009A10F1">
        <w:t>ublic P</w:t>
      </w:r>
      <w:r>
        <w:t xml:space="preserve">rocurement systems are vital to transparent, accountable, and efficient public service delivery. Procurement systems handle a fifth of South Africa’s GDP and are extremely vulnerable to corruption. A </w:t>
      </w:r>
      <w:r>
        <w:lastRenderedPageBreak/>
        <w:t xml:space="preserve">confusing legal framework, made up of over 100 different legal instruments, slows down service delivery and </w:t>
      </w:r>
      <w:proofErr w:type="gramStart"/>
      <w:r>
        <w:t>opens up</w:t>
      </w:r>
      <w:proofErr w:type="gramEnd"/>
      <w:r>
        <w:t xml:space="preserve"> opportunities for administrators to take advantage of the system for their own benefit. </w:t>
      </w:r>
      <w:r w:rsidR="008B1D64">
        <w:t xml:space="preserve">In the education sector, school infrastructure is often the </w:t>
      </w:r>
      <w:r w:rsidR="006B0855">
        <w:t xml:space="preserve">biggest source of irregular expenditure, particularly procurement processes involving </w:t>
      </w:r>
      <w:r w:rsidR="00985569">
        <w:t xml:space="preserve">implementing agents (IAs). IAs are middlemen in charge of managing and building schools on behalf of education departments. </w:t>
      </w:r>
    </w:p>
    <w:p w14:paraId="3FD13941" w14:textId="3653DA3D" w:rsidR="0025533D" w:rsidRDefault="0025533D" w:rsidP="006F503A">
      <w:pPr>
        <w:pStyle w:val="ListParagraph"/>
        <w:numPr>
          <w:ilvl w:val="0"/>
          <w:numId w:val="6"/>
        </w:numPr>
        <w:spacing w:line="360" w:lineRule="auto"/>
        <w:jc w:val="both"/>
      </w:pPr>
      <w:r w:rsidRPr="0025533D">
        <w:t>Provincial infrastructure delivery progress reports also show costly poor performance by implementing agents, with large portions of money reserved for specific projects being spent without any work being completed. For example, poor planning for a primary school in </w:t>
      </w:r>
      <w:r w:rsidRPr="002644A8">
        <w:t>Gauteng</w:t>
      </w:r>
      <w:r w:rsidRPr="0025533D">
        <w:t> led to a 35% (R27m) overspend.</w:t>
      </w:r>
      <w:r w:rsidR="004104A9">
        <w:rPr>
          <w:rStyle w:val="FootnoteReference"/>
        </w:rPr>
        <w:footnoteReference w:id="13"/>
      </w:r>
      <w:r w:rsidRPr="0025533D">
        <w:t> </w:t>
      </w:r>
    </w:p>
    <w:p w14:paraId="0C522FF9" w14:textId="51655D2F" w:rsidR="000641C9" w:rsidRDefault="009A10F1" w:rsidP="006F503A">
      <w:pPr>
        <w:pStyle w:val="ListParagraph"/>
        <w:numPr>
          <w:ilvl w:val="0"/>
          <w:numId w:val="6"/>
        </w:numPr>
        <w:spacing w:line="360" w:lineRule="auto"/>
        <w:jc w:val="both"/>
      </w:pPr>
      <w:r>
        <w:t xml:space="preserve">Government has undertaken a review of the public procurement legal framework and has published draft legislation </w:t>
      </w:r>
      <w:r w:rsidR="00BF52F5">
        <w:t xml:space="preserve">(“the Procurement Bill”) </w:t>
      </w:r>
      <w:r>
        <w:t>that aims to create a more simple</w:t>
      </w:r>
      <w:r w:rsidR="008B1F13">
        <w:t>, unified</w:t>
      </w:r>
      <w:r w:rsidR="002644A8">
        <w:t>,</w:t>
      </w:r>
      <w:r w:rsidR="008B1F13">
        <w:t xml:space="preserve"> and effective regulatory system. </w:t>
      </w:r>
      <w:r w:rsidR="002D70AE">
        <w:t>The Judicial Commission of Inquiry into Allegatio</w:t>
      </w:r>
      <w:r w:rsidR="00112816">
        <w:t>n</w:t>
      </w:r>
      <w:r w:rsidR="002D70AE">
        <w:t>s of State Capture, Corruption and Fraud in the Public Sector</w:t>
      </w:r>
      <w:r w:rsidR="00112816">
        <w:t xml:space="preserve"> Including Organs of State (“the Zondo Commission”) </w:t>
      </w:r>
      <w:r w:rsidR="00F32B67">
        <w:t>conducted extensive investigations into public procurement systems and the failure to provide essential public services. The Zondo Commission also made multiple recommendations aimed at ensuring better oversight, transparency</w:t>
      </w:r>
      <w:r w:rsidR="00BF52F5">
        <w:t>,</w:t>
      </w:r>
      <w:r w:rsidR="00F32B67">
        <w:t xml:space="preserve"> and accountability. </w:t>
      </w:r>
      <w:r w:rsidR="00BF52F5">
        <w:t xml:space="preserve">Unfortunately, the Procurement Bill has not adopted many of the Zondo Commission recommendations and only properly strengthens transparency </w:t>
      </w:r>
      <w:proofErr w:type="gramStart"/>
      <w:r w:rsidR="00BF52F5">
        <w:t>with regard to</w:t>
      </w:r>
      <w:proofErr w:type="gramEnd"/>
      <w:r w:rsidR="00BF52F5">
        <w:t xml:space="preserve"> high value tenders, even though there is a significant amount of maladministration and corruption in small tenders. </w:t>
      </w:r>
    </w:p>
    <w:p w14:paraId="3D61B129" w14:textId="77777777" w:rsidR="006B6A01" w:rsidRDefault="006B6A01" w:rsidP="006B6A01">
      <w:pPr>
        <w:pStyle w:val="ListParagraph"/>
        <w:spacing w:line="360" w:lineRule="auto"/>
        <w:jc w:val="both"/>
      </w:pPr>
    </w:p>
    <w:p w14:paraId="01088B4A" w14:textId="5D22DA0E" w:rsidR="00790FCF" w:rsidRDefault="00790FCF" w:rsidP="006F503A">
      <w:pPr>
        <w:pStyle w:val="Heading1"/>
        <w:numPr>
          <w:ilvl w:val="0"/>
          <w:numId w:val="5"/>
        </w:numPr>
        <w:rPr>
          <w:b/>
          <w:bCs/>
        </w:rPr>
      </w:pPr>
      <w:bookmarkStart w:id="4" w:name="_Toc149649504"/>
      <w:r w:rsidRPr="006B6A01">
        <w:rPr>
          <w:b/>
          <w:bCs/>
        </w:rPr>
        <w:t>How is the participation of private actors in public service delivery regulated and monitored in your country/region?</w:t>
      </w:r>
      <w:bookmarkEnd w:id="4"/>
    </w:p>
    <w:p w14:paraId="40057367" w14:textId="77777777" w:rsidR="006B6A01" w:rsidRPr="006B6A01" w:rsidRDefault="006B6A01" w:rsidP="006B6A01"/>
    <w:p w14:paraId="60989E1B" w14:textId="4639341B" w:rsidR="006F503A" w:rsidRDefault="00B21864" w:rsidP="0033251A">
      <w:pPr>
        <w:pStyle w:val="ListParagraph"/>
        <w:numPr>
          <w:ilvl w:val="0"/>
          <w:numId w:val="6"/>
        </w:numPr>
        <w:spacing w:line="360" w:lineRule="auto"/>
        <w:jc w:val="both"/>
      </w:pPr>
      <w:r>
        <w:t xml:space="preserve">The increasing role of non-State actors in basic education </w:t>
      </w:r>
      <w:r w:rsidR="000F44C2">
        <w:t xml:space="preserve">combined with a lack of regulation threatens </w:t>
      </w:r>
      <w:r>
        <w:t>transform basic education into a commodity and parents into consumers</w:t>
      </w:r>
      <w:r w:rsidR="000F44C2">
        <w:t>, rather than a basic human</w:t>
      </w:r>
      <w:r w:rsidR="00837484">
        <w:t xml:space="preserve"> right</w:t>
      </w:r>
      <w:r>
        <w:t xml:space="preserve">. </w:t>
      </w:r>
      <w:r w:rsidR="00B8171E">
        <w:t>The Western Cape Education Department (WCED) has developed two new models of PPPs through the Western Cape Education Amendment Act (WCEAA), specifically collaboration schools as provided for in section 12C and Donor funded public schools as provided for in section 12D.</w:t>
      </w:r>
      <w:r w:rsidR="00B8171E">
        <w:rPr>
          <w:vertAlign w:val="superscript"/>
        </w:rPr>
        <w:footnoteReference w:id="14"/>
      </w:r>
      <w:r w:rsidR="00B8171E">
        <w:t xml:space="preserve">  </w:t>
      </w:r>
    </w:p>
    <w:p w14:paraId="0DF9479D" w14:textId="101068FE" w:rsidR="00B8171E" w:rsidRDefault="00B8171E" w:rsidP="006F503A">
      <w:pPr>
        <w:pStyle w:val="ListParagraph"/>
        <w:numPr>
          <w:ilvl w:val="0"/>
          <w:numId w:val="6"/>
        </w:numPr>
        <w:spacing w:line="360" w:lineRule="auto"/>
        <w:jc w:val="both"/>
      </w:pPr>
      <w:r>
        <w:t xml:space="preserve">Modelled on the United Kingdom’s Academies and the United States’ Charter schools, donor-funded and collaboration schools are a form of public-private partnership in which non-state actors, including non-profit and for-profit actors, take up roles in the financing and management of public schools and particularly underperforming public schools. </w:t>
      </w:r>
      <w:r w:rsidR="008B1C0A">
        <w:t>I</w:t>
      </w:r>
      <w:r>
        <w:t xml:space="preserve">n contravention of </w:t>
      </w:r>
      <w:r w:rsidR="008B1C0A">
        <w:t>the South African Schools Act</w:t>
      </w:r>
      <w:r>
        <w:t xml:space="preserve">, which requires </w:t>
      </w:r>
      <w:r w:rsidR="009B7B44">
        <w:t>School Governing Bodies (SGBs)</w:t>
      </w:r>
      <w:r>
        <w:t xml:space="preserve"> to be democratically elected and representative of the school community, unelected private actors (operating partners and donors) are given significant powers in SGBs</w:t>
      </w:r>
      <w:r w:rsidR="009B7B44">
        <w:t xml:space="preserve"> (up to 50% voting rights)</w:t>
      </w:r>
      <w:r>
        <w:t xml:space="preserve">. Thus, non-state actors are given powers to determine parts of the curriculum, hiring and firing of educators, and the management of school affairs. The WCEAA does not explicitly provide safeguards to ensure the </w:t>
      </w:r>
      <w:r>
        <w:lastRenderedPageBreak/>
        <w:t xml:space="preserve">prioritisation of the right to basic education over profit-seeking or private interests. Similar </w:t>
      </w:r>
      <w:proofErr w:type="gramStart"/>
      <w:r>
        <w:t>Public School</w:t>
      </w:r>
      <w:proofErr w:type="gramEnd"/>
      <w:r>
        <w:t xml:space="preserve"> Partnerships (PSPs) are being piloted in the Eastern Cape.</w:t>
      </w:r>
      <w:r>
        <w:rPr>
          <w:vertAlign w:val="superscript"/>
        </w:rPr>
        <w:footnoteReference w:id="15"/>
      </w:r>
      <w:r>
        <w:t xml:space="preserve">  </w:t>
      </w:r>
    </w:p>
    <w:p w14:paraId="2F3D1CF7" w14:textId="616D7BE3" w:rsidR="00B8171E" w:rsidRDefault="00B8171E" w:rsidP="00713ED3">
      <w:pPr>
        <w:pStyle w:val="ListParagraph"/>
        <w:numPr>
          <w:ilvl w:val="0"/>
          <w:numId w:val="6"/>
        </w:numPr>
        <w:spacing w:line="360" w:lineRule="auto"/>
        <w:jc w:val="both"/>
      </w:pPr>
      <w:r>
        <w:t xml:space="preserve">In </w:t>
      </w:r>
      <w:r w:rsidRPr="00713ED3">
        <w:rPr>
          <w:i/>
        </w:rPr>
        <w:t>Equal Education v Provincial Minister for Education Western Cape Province and Others</w:t>
      </w:r>
      <w:r>
        <w:t>,</w:t>
      </w:r>
      <w:r>
        <w:rPr>
          <w:vertAlign w:val="superscript"/>
        </w:rPr>
        <w:footnoteReference w:id="16"/>
      </w:r>
      <w:r>
        <w:t xml:space="preserve">  civil society organisation Equal Education </w:t>
      </w:r>
      <w:r w:rsidR="00F12BA4">
        <w:t xml:space="preserve">represented by Equal Education Law Centre </w:t>
      </w:r>
      <w:r>
        <w:t xml:space="preserve">challenged the WCEAA on the grounds that, </w:t>
      </w:r>
      <w:r w:rsidRPr="00713ED3">
        <w:rPr>
          <w:i/>
          <w:iCs/>
        </w:rPr>
        <w:t>inter alia</w:t>
      </w:r>
      <w:r>
        <w:t>, donor-funded and collaboration schools contravened the principles of democratic school governance and accountability as prescribed in the South African Schools Act.</w:t>
      </w:r>
      <w:r>
        <w:rPr>
          <w:vertAlign w:val="superscript"/>
        </w:rPr>
        <w:footnoteReference w:id="17"/>
      </w:r>
      <w:r>
        <w:t xml:space="preserve">  The High Court held that the provisions were in fact in line with the law and that these schools played an important role in supplementing State financing. This judgment, if unsuccessful in appeal, sets </w:t>
      </w:r>
      <w:r w:rsidR="00BB0AF2">
        <w:t>a concerning</w:t>
      </w:r>
      <w:r>
        <w:t xml:space="preserve"> precedent on the nature and extent of non-state actor roles in public educatio</w:t>
      </w:r>
      <w:r w:rsidR="00BB0AF2">
        <w:t xml:space="preserve">n. </w:t>
      </w:r>
    </w:p>
    <w:p w14:paraId="568CFBC8" w14:textId="33236592" w:rsidR="00B8171E" w:rsidRDefault="00B8171E" w:rsidP="00713ED3">
      <w:pPr>
        <w:pStyle w:val="ListParagraph"/>
        <w:numPr>
          <w:ilvl w:val="0"/>
          <w:numId w:val="6"/>
        </w:numPr>
        <w:spacing w:line="360" w:lineRule="auto"/>
        <w:jc w:val="both"/>
      </w:pPr>
      <w:r>
        <w:t>In addition, the</w:t>
      </w:r>
      <w:r w:rsidR="00D91648">
        <w:t xml:space="preserve"> </w:t>
      </w:r>
      <w:r w:rsidR="00790ADE">
        <w:t>WCED</w:t>
      </w:r>
      <w:r>
        <w:t xml:space="preserve"> recently announced further private sector involvement in basic education provisioning, specifically the introduction of </w:t>
      </w:r>
      <w:r w:rsidRPr="00713ED3">
        <w:rPr>
          <w:i/>
          <w:iCs/>
        </w:rPr>
        <w:t>Edu Invest</w:t>
      </w:r>
      <w:r>
        <w:t xml:space="preserve"> - a public-private partnership initiative with </w:t>
      </w:r>
      <w:proofErr w:type="spellStart"/>
      <w:r w:rsidRPr="00713ED3">
        <w:rPr>
          <w:i/>
          <w:iCs/>
        </w:rPr>
        <w:t>Wesgro</w:t>
      </w:r>
      <w:proofErr w:type="spellEnd"/>
      <w:r>
        <w:t>.</w:t>
      </w:r>
      <w:r>
        <w:rPr>
          <w:rStyle w:val="FootnoteReference"/>
        </w:rPr>
        <w:footnoteReference w:id="18"/>
      </w:r>
      <w:r>
        <w:t xml:space="preserve"> </w:t>
      </w:r>
      <w:r w:rsidR="00790ADE">
        <w:t>The WCED</w:t>
      </w:r>
      <w:r>
        <w:t xml:space="preserve"> says the purpose of Edu Invest is to attract private investment into education, specifically low-cost new private schools. He avers that, “</w:t>
      </w:r>
      <w:r w:rsidRPr="00713ED3">
        <w:rPr>
          <w:i/>
          <w:iCs/>
        </w:rPr>
        <w:t>the availability of new school places in independent schools would help to address overcrowding in public schools</w:t>
      </w:r>
      <w:r>
        <w:t xml:space="preserve">.” </w:t>
      </w:r>
      <w:proofErr w:type="spellStart"/>
      <w:r>
        <w:t>Wrenelle</w:t>
      </w:r>
      <w:proofErr w:type="spellEnd"/>
      <w:r>
        <w:t xml:space="preserve"> Stander, CEO of </w:t>
      </w:r>
      <w:proofErr w:type="spellStart"/>
      <w:r w:rsidRPr="00713ED3">
        <w:rPr>
          <w:i/>
          <w:iCs/>
        </w:rPr>
        <w:t>Wesgro</w:t>
      </w:r>
      <w:proofErr w:type="spellEnd"/>
      <w:r>
        <w:t>, stated, “</w:t>
      </w:r>
      <w:r w:rsidRPr="00713ED3">
        <w:rPr>
          <w:i/>
          <w:iCs/>
        </w:rPr>
        <w:t xml:space="preserve">Edu Invest reflects </w:t>
      </w:r>
      <w:proofErr w:type="spellStart"/>
      <w:r w:rsidRPr="00713ED3">
        <w:rPr>
          <w:i/>
          <w:iCs/>
        </w:rPr>
        <w:t>Wesgro’s</w:t>
      </w:r>
      <w:proofErr w:type="spellEnd"/>
      <w:r w:rsidRPr="00713ED3">
        <w:rPr>
          <w:i/>
          <w:iCs/>
        </w:rPr>
        <w:t xml:space="preserve"> commitment to advancing the business of education.”</w:t>
      </w:r>
    </w:p>
    <w:p w14:paraId="79A40F81" w14:textId="3B36AE7B" w:rsidR="00B8171E" w:rsidRDefault="00B8171E" w:rsidP="00713ED3">
      <w:pPr>
        <w:pStyle w:val="ListParagraph"/>
        <w:numPr>
          <w:ilvl w:val="0"/>
          <w:numId w:val="6"/>
        </w:numPr>
        <w:spacing w:line="360" w:lineRule="auto"/>
        <w:jc w:val="both"/>
      </w:pPr>
      <w:r>
        <w:t xml:space="preserve">There is an urgent need to develop the South African legal framework in line with the Abidjan Principles to regulate role of non-State actors in basic education. Van Der Berg </w:t>
      </w:r>
      <w:r w:rsidRPr="00713ED3">
        <w:rPr>
          <w:i/>
        </w:rPr>
        <w:t xml:space="preserve">et al. </w:t>
      </w:r>
      <w:r>
        <w:t xml:space="preserve">note that, </w:t>
      </w:r>
      <w:proofErr w:type="gramStart"/>
      <w:r>
        <w:t>as a consequence of</w:t>
      </w:r>
      <w:proofErr w:type="gramEnd"/>
      <w:r>
        <w:t xml:space="preserve"> ineffective regulation, there is huge variation in quality of the independent sector.</w:t>
      </w:r>
      <w:r>
        <w:rPr>
          <w:vertAlign w:val="superscript"/>
        </w:rPr>
        <w:footnoteReference w:id="19"/>
      </w:r>
      <w:r>
        <w:t xml:space="preserve"> This is because, </w:t>
      </w:r>
      <w:r w:rsidRPr="00713ED3">
        <w:rPr>
          <w:i/>
        </w:rPr>
        <w:t xml:space="preserve">inter alia, </w:t>
      </w:r>
      <w:r>
        <w:t xml:space="preserve">low-fee schools do not have the capacity and finances to afford to comply with the government's oversight framework or join a peer oversight body. Thus, in trying to regulate for quality oversight mechanisms, the law creates a loophole: the schools that end up receiving state subsidies and oversight are likely the schools that require it the least. </w:t>
      </w:r>
    </w:p>
    <w:p w14:paraId="25F3BEA0" w14:textId="523633ED" w:rsidR="00B8171E" w:rsidRDefault="00B8171E" w:rsidP="00713ED3">
      <w:pPr>
        <w:pStyle w:val="ListParagraph"/>
        <w:numPr>
          <w:ilvl w:val="0"/>
          <w:numId w:val="6"/>
        </w:numPr>
        <w:spacing w:line="360" w:lineRule="auto"/>
        <w:jc w:val="both"/>
      </w:pPr>
      <w:r>
        <w:t>They</w:t>
      </w:r>
      <w:r w:rsidRPr="00713ED3">
        <w:rPr>
          <w:i/>
        </w:rPr>
        <w:t xml:space="preserve"> </w:t>
      </w:r>
      <w:r>
        <w:t>go further to note that “</w:t>
      </w:r>
      <w:r w:rsidRPr="00F4770D">
        <w:rPr>
          <w:i/>
          <w:iCs/>
        </w:rPr>
        <w:t>if such schools are for-profit organisations that serve parents …. [who] have little basis to choose a good school due to their own lack of exposure to quality schooling, then such loopholes may be even more worrying</w:t>
      </w:r>
      <w:r>
        <w:t>.”</w:t>
      </w:r>
      <w:r>
        <w:rPr>
          <w:vertAlign w:val="superscript"/>
        </w:rPr>
        <w:footnoteReference w:id="20"/>
      </w:r>
      <w:r>
        <w:t xml:space="preserve"> They conclude that the for-profit independent education sector urgently requires greater regulation. </w:t>
      </w:r>
    </w:p>
    <w:p w14:paraId="69289F6F" w14:textId="51F00EE0" w:rsidR="00DF695C" w:rsidRDefault="00DF695C" w:rsidP="00E75A58"/>
    <w:p w14:paraId="388087D6" w14:textId="636FAA08" w:rsidR="00952160" w:rsidRDefault="00952160" w:rsidP="00674E4C"/>
    <w:sectPr w:rsidR="00952160" w:rsidSect="001A40E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F86E" w14:textId="77777777" w:rsidR="00153F3C" w:rsidRDefault="00153F3C" w:rsidP="00522828">
      <w:pPr>
        <w:spacing w:after="0" w:line="240" w:lineRule="auto"/>
      </w:pPr>
      <w:r>
        <w:separator/>
      </w:r>
    </w:p>
  </w:endnote>
  <w:endnote w:type="continuationSeparator" w:id="0">
    <w:p w14:paraId="6D638491" w14:textId="77777777" w:rsidR="00153F3C" w:rsidRDefault="00153F3C" w:rsidP="0052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01489"/>
      <w:docPartObj>
        <w:docPartGallery w:val="Page Numbers (Bottom of Page)"/>
        <w:docPartUnique/>
      </w:docPartObj>
    </w:sdtPr>
    <w:sdtEndPr>
      <w:rPr>
        <w:noProof/>
        <w:sz w:val="20"/>
        <w:szCs w:val="20"/>
      </w:rPr>
    </w:sdtEndPr>
    <w:sdtContent>
      <w:p w14:paraId="531BE241" w14:textId="7A1AD5E4" w:rsidR="00C37940" w:rsidRPr="00C37940" w:rsidRDefault="00C37940">
        <w:pPr>
          <w:pStyle w:val="Footer"/>
          <w:jc w:val="right"/>
          <w:rPr>
            <w:sz w:val="20"/>
            <w:szCs w:val="20"/>
          </w:rPr>
        </w:pPr>
        <w:r w:rsidRPr="00C37940">
          <w:rPr>
            <w:sz w:val="20"/>
            <w:szCs w:val="20"/>
          </w:rPr>
          <w:fldChar w:fldCharType="begin"/>
        </w:r>
        <w:r w:rsidRPr="00C37940">
          <w:rPr>
            <w:sz w:val="20"/>
            <w:szCs w:val="20"/>
          </w:rPr>
          <w:instrText xml:space="preserve"> PAGE   \* MERGEFORMAT </w:instrText>
        </w:r>
        <w:r w:rsidRPr="00C37940">
          <w:rPr>
            <w:sz w:val="20"/>
            <w:szCs w:val="20"/>
          </w:rPr>
          <w:fldChar w:fldCharType="separate"/>
        </w:r>
        <w:r w:rsidRPr="00C37940">
          <w:rPr>
            <w:noProof/>
            <w:sz w:val="20"/>
            <w:szCs w:val="20"/>
          </w:rPr>
          <w:t>2</w:t>
        </w:r>
        <w:r w:rsidRPr="00C37940">
          <w:rPr>
            <w:noProof/>
            <w:sz w:val="20"/>
            <w:szCs w:val="20"/>
          </w:rPr>
          <w:fldChar w:fldCharType="end"/>
        </w:r>
      </w:p>
    </w:sdtContent>
  </w:sdt>
  <w:p w14:paraId="602B1783" w14:textId="77777777" w:rsidR="00C37940" w:rsidRDefault="00C3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C863" w14:textId="77777777" w:rsidR="00153F3C" w:rsidRDefault="00153F3C" w:rsidP="00522828">
      <w:pPr>
        <w:spacing w:after="0" w:line="240" w:lineRule="auto"/>
      </w:pPr>
      <w:r>
        <w:separator/>
      </w:r>
    </w:p>
  </w:footnote>
  <w:footnote w:type="continuationSeparator" w:id="0">
    <w:p w14:paraId="581850A0" w14:textId="77777777" w:rsidR="00153F3C" w:rsidRDefault="00153F3C" w:rsidP="00522828">
      <w:pPr>
        <w:spacing w:after="0" w:line="240" w:lineRule="auto"/>
      </w:pPr>
      <w:r>
        <w:continuationSeparator/>
      </w:r>
    </w:p>
  </w:footnote>
  <w:footnote w:id="1">
    <w:p w14:paraId="3A293B8D" w14:textId="77777777" w:rsidR="00D5483E" w:rsidRPr="007F76A4" w:rsidRDefault="00D5483E" w:rsidP="00D5483E">
      <w:pPr>
        <w:spacing w:after="0" w:line="240" w:lineRule="auto"/>
        <w:rPr>
          <w:rFonts w:cstheme="minorHAnsi"/>
          <w:sz w:val="16"/>
          <w:szCs w:val="16"/>
        </w:rPr>
      </w:pPr>
      <w:r w:rsidRPr="007F76A4">
        <w:rPr>
          <w:rStyle w:val="FootnoteReference"/>
          <w:sz w:val="16"/>
          <w:szCs w:val="16"/>
        </w:rPr>
        <w:footnoteRef/>
      </w:r>
      <w:r w:rsidRPr="00487D05">
        <w:rPr>
          <w:sz w:val="16"/>
          <w:szCs w:val="16"/>
          <w:lang w:val="es-419"/>
        </w:rPr>
        <w:t xml:space="preserve"> </w:t>
      </w:r>
      <w:r w:rsidRPr="00487D05">
        <w:rPr>
          <w:rFonts w:cstheme="minorHAnsi"/>
          <w:sz w:val="16"/>
          <w:szCs w:val="16"/>
          <w:lang w:val="es-419"/>
        </w:rPr>
        <w:t xml:space="preserve">Van Der Berg, S., Van Wyk, C. &amp;  Burger. </w:t>
      </w:r>
      <w:r w:rsidRPr="007F76A4">
        <w:rPr>
          <w:rFonts w:cstheme="minorHAnsi"/>
          <w:sz w:val="16"/>
          <w:szCs w:val="16"/>
        </w:rPr>
        <w:t xml:space="preserve">R. </w:t>
      </w:r>
      <w:r w:rsidRPr="007F76A4">
        <w:rPr>
          <w:rFonts w:cstheme="minorHAnsi"/>
          <w:i/>
          <w:sz w:val="16"/>
          <w:szCs w:val="16"/>
        </w:rPr>
        <w:t xml:space="preserve">et al. </w:t>
      </w:r>
      <w:r w:rsidRPr="007F76A4">
        <w:rPr>
          <w:rFonts w:cstheme="minorHAnsi"/>
          <w:sz w:val="16"/>
          <w:szCs w:val="16"/>
        </w:rPr>
        <w:t xml:space="preserve">(2017) ‘The Performance of Low-Fee Independent Schools in South Africa - What Can Available Data Tell?’, </w:t>
      </w:r>
      <w:r w:rsidRPr="007F76A4">
        <w:rPr>
          <w:rFonts w:cstheme="minorHAnsi"/>
          <w:i/>
          <w:sz w:val="16"/>
          <w:szCs w:val="16"/>
        </w:rPr>
        <w:t>RESEP University of Stellenbosch.</w:t>
      </w:r>
    </w:p>
  </w:footnote>
  <w:footnote w:id="2">
    <w:p w14:paraId="5ADE5C93" w14:textId="77777777" w:rsidR="00D5483E" w:rsidRPr="007F76A4" w:rsidRDefault="00D5483E" w:rsidP="00D5483E">
      <w:pPr>
        <w:spacing w:after="0" w:line="240" w:lineRule="auto"/>
        <w:rPr>
          <w:rFonts w:cstheme="minorHAnsi"/>
          <w:sz w:val="16"/>
          <w:szCs w:val="16"/>
        </w:rPr>
      </w:pPr>
      <w:r w:rsidRPr="007F76A4">
        <w:rPr>
          <w:rStyle w:val="FootnoteReference"/>
          <w:rFonts w:cstheme="minorHAnsi"/>
          <w:sz w:val="16"/>
          <w:szCs w:val="16"/>
        </w:rPr>
        <w:footnoteRef/>
      </w:r>
      <w:r w:rsidRPr="007F76A4">
        <w:rPr>
          <w:rFonts w:cstheme="minorHAnsi"/>
          <w:sz w:val="16"/>
          <w:szCs w:val="16"/>
        </w:rPr>
        <w:t xml:space="preserve"> Draper, K. &amp; Hofmeyr, J (2015) ‘Low-fee private schools: international experience and South African realities’, </w:t>
      </w:r>
      <w:r w:rsidRPr="007F76A4">
        <w:rPr>
          <w:rFonts w:cstheme="minorHAnsi"/>
          <w:i/>
          <w:sz w:val="16"/>
          <w:szCs w:val="16"/>
        </w:rPr>
        <w:t>Centre for Development Studies.</w:t>
      </w:r>
    </w:p>
  </w:footnote>
  <w:footnote w:id="3">
    <w:p w14:paraId="1F9250C4" w14:textId="77777777" w:rsidR="00D5483E" w:rsidRPr="007F76A4" w:rsidRDefault="00D5483E" w:rsidP="00D5483E">
      <w:pPr>
        <w:spacing w:after="0" w:line="240" w:lineRule="auto"/>
        <w:rPr>
          <w:rFonts w:cstheme="minorHAnsi"/>
          <w:sz w:val="16"/>
          <w:szCs w:val="16"/>
        </w:rPr>
      </w:pPr>
      <w:r w:rsidRPr="007F76A4">
        <w:rPr>
          <w:rStyle w:val="FootnoteReference"/>
          <w:rFonts w:cstheme="minorHAnsi"/>
          <w:sz w:val="16"/>
          <w:szCs w:val="16"/>
        </w:rPr>
        <w:footnoteRef/>
      </w:r>
      <w:r w:rsidRPr="00487D05">
        <w:rPr>
          <w:rFonts w:cstheme="minorHAnsi"/>
          <w:sz w:val="16"/>
          <w:szCs w:val="16"/>
          <w:lang w:val="es-419"/>
        </w:rPr>
        <w:t xml:space="preserve"> </w:t>
      </w:r>
      <w:r w:rsidRPr="00487D05">
        <w:rPr>
          <w:rFonts w:cstheme="minorHAnsi"/>
          <w:sz w:val="16"/>
          <w:szCs w:val="16"/>
          <w:lang w:val="es-419"/>
        </w:rPr>
        <w:t xml:space="preserve">Van Der Berg, S., Van Wyk, C. &amp;  Burger. </w:t>
      </w:r>
      <w:r w:rsidRPr="007F76A4">
        <w:rPr>
          <w:rFonts w:cstheme="minorHAnsi"/>
          <w:sz w:val="16"/>
          <w:szCs w:val="16"/>
        </w:rPr>
        <w:t xml:space="preserve">R. </w:t>
      </w:r>
      <w:r w:rsidRPr="007F76A4">
        <w:rPr>
          <w:rFonts w:cstheme="minorHAnsi"/>
          <w:i/>
          <w:sz w:val="16"/>
          <w:szCs w:val="16"/>
        </w:rPr>
        <w:t xml:space="preserve">et al. </w:t>
      </w:r>
      <w:r w:rsidRPr="007F76A4">
        <w:rPr>
          <w:rFonts w:cstheme="minorHAnsi"/>
          <w:sz w:val="16"/>
          <w:szCs w:val="16"/>
        </w:rPr>
        <w:t xml:space="preserve">(2017) ‘The Performance of Low-Fee Independent Schools in South Africa - What Can Available Data Tell?’, </w:t>
      </w:r>
      <w:r w:rsidRPr="007F76A4">
        <w:rPr>
          <w:rFonts w:cstheme="minorHAnsi"/>
          <w:i/>
          <w:sz w:val="16"/>
          <w:szCs w:val="16"/>
        </w:rPr>
        <w:t>RESEP University of Stellenbosch.</w:t>
      </w:r>
    </w:p>
  </w:footnote>
  <w:footnote w:id="4">
    <w:p w14:paraId="4B312F1E" w14:textId="77777777" w:rsidR="00D5483E" w:rsidRPr="007F76A4" w:rsidRDefault="00D5483E" w:rsidP="00D5483E">
      <w:pPr>
        <w:spacing w:after="0" w:line="240" w:lineRule="auto"/>
        <w:rPr>
          <w:rFonts w:cstheme="minorHAnsi"/>
          <w:sz w:val="16"/>
          <w:szCs w:val="16"/>
        </w:rPr>
      </w:pPr>
      <w:r w:rsidRPr="007F76A4">
        <w:rPr>
          <w:rStyle w:val="FootnoteReference"/>
          <w:rFonts w:cstheme="minorHAnsi"/>
          <w:sz w:val="16"/>
          <w:szCs w:val="16"/>
        </w:rPr>
        <w:footnoteRef/>
      </w:r>
      <w:r w:rsidRPr="007F76A4">
        <w:rPr>
          <w:rFonts w:cstheme="minorHAnsi"/>
          <w:sz w:val="16"/>
          <w:szCs w:val="16"/>
        </w:rPr>
        <w:t xml:space="preserve"> Department of Basic Education (2022) ‘School Realities Report 2022’. </w:t>
      </w:r>
    </w:p>
  </w:footnote>
  <w:footnote w:id="5">
    <w:p w14:paraId="38E9696A" w14:textId="77777777" w:rsidR="00D5483E" w:rsidRPr="007F76A4" w:rsidRDefault="00D5483E" w:rsidP="00D5483E">
      <w:pPr>
        <w:spacing w:after="0" w:line="240" w:lineRule="auto"/>
        <w:rPr>
          <w:rFonts w:cstheme="minorHAnsi"/>
          <w:sz w:val="16"/>
          <w:szCs w:val="16"/>
        </w:rPr>
      </w:pPr>
      <w:r w:rsidRPr="007F76A4">
        <w:rPr>
          <w:rStyle w:val="FootnoteReference"/>
          <w:rFonts w:cstheme="minorHAnsi"/>
          <w:sz w:val="16"/>
          <w:szCs w:val="16"/>
        </w:rPr>
        <w:footnoteRef/>
      </w:r>
      <w:r w:rsidRPr="007F76A4">
        <w:rPr>
          <w:rFonts w:cstheme="minorHAnsi"/>
          <w:sz w:val="16"/>
          <w:szCs w:val="16"/>
        </w:rPr>
        <w:t xml:space="preserve"> Ibid.</w:t>
      </w:r>
    </w:p>
  </w:footnote>
  <w:footnote w:id="6">
    <w:p w14:paraId="6D7DE757" w14:textId="77777777" w:rsidR="00D5483E" w:rsidRPr="007F76A4" w:rsidRDefault="00D5483E" w:rsidP="00D5483E">
      <w:pPr>
        <w:spacing w:after="0" w:line="240" w:lineRule="auto"/>
        <w:rPr>
          <w:rFonts w:cstheme="minorHAnsi"/>
          <w:sz w:val="16"/>
          <w:szCs w:val="16"/>
        </w:rPr>
      </w:pPr>
      <w:r w:rsidRPr="007F76A4">
        <w:rPr>
          <w:rStyle w:val="FootnoteReference"/>
          <w:rFonts w:cstheme="minorHAnsi"/>
          <w:sz w:val="16"/>
          <w:szCs w:val="16"/>
        </w:rPr>
        <w:footnoteRef/>
      </w:r>
      <w:r w:rsidRPr="007F76A4">
        <w:rPr>
          <w:rFonts w:cstheme="minorHAnsi"/>
          <w:sz w:val="16"/>
          <w:szCs w:val="16"/>
        </w:rPr>
        <w:t xml:space="preserve"> Pedro, F., Leroux, G., &amp; Watanabe, M. (2015) ‘The Privatisation of Education in Developing Countries: Evidence and Policy Implications’. </w:t>
      </w:r>
      <w:r w:rsidRPr="007F76A4">
        <w:rPr>
          <w:rFonts w:cstheme="minorHAnsi"/>
          <w:i/>
          <w:sz w:val="16"/>
          <w:szCs w:val="16"/>
        </w:rPr>
        <w:t xml:space="preserve">UNESCO. </w:t>
      </w:r>
    </w:p>
  </w:footnote>
  <w:footnote w:id="7">
    <w:p w14:paraId="627CF7A7" w14:textId="77777777" w:rsidR="00A37F29" w:rsidRPr="007F76A4" w:rsidRDefault="00A37F29" w:rsidP="00A37F29">
      <w:pPr>
        <w:spacing w:after="0" w:line="240" w:lineRule="auto"/>
        <w:rPr>
          <w:rFonts w:cstheme="minorHAnsi"/>
          <w:sz w:val="16"/>
          <w:szCs w:val="16"/>
        </w:rPr>
      </w:pPr>
      <w:r w:rsidRPr="007F76A4">
        <w:rPr>
          <w:rStyle w:val="FootnoteReference"/>
          <w:rFonts w:cstheme="minorHAnsi"/>
          <w:sz w:val="16"/>
          <w:szCs w:val="16"/>
        </w:rPr>
        <w:footnoteRef/>
      </w:r>
      <w:r w:rsidRPr="007F76A4">
        <w:rPr>
          <w:rFonts w:cstheme="minorHAnsi"/>
          <w:sz w:val="16"/>
          <w:szCs w:val="16"/>
        </w:rPr>
        <w:t xml:space="preserve"> See, </w:t>
      </w:r>
      <w:r w:rsidRPr="007F76A4">
        <w:rPr>
          <w:rFonts w:cstheme="minorHAnsi"/>
          <w:i/>
          <w:sz w:val="16"/>
          <w:szCs w:val="16"/>
        </w:rPr>
        <w:t>inter alia,</w:t>
      </w:r>
      <w:r w:rsidRPr="007F76A4">
        <w:rPr>
          <w:rFonts w:cstheme="minorHAnsi"/>
          <w:sz w:val="16"/>
          <w:szCs w:val="16"/>
        </w:rPr>
        <w:t xml:space="preserve"> Western Cape Education Amendment Act of 2018, Department of Basic Education’s Revised Five-Year Strategic Plan 2015/16-2019/20, the National Education Policy Act, 27 of 1996 and Donaldson, A (2023) ‘South Africa’s Budget Process and the Crisis in Public Finance Management’, </w:t>
      </w:r>
      <w:r w:rsidRPr="007F76A4">
        <w:rPr>
          <w:rFonts w:cstheme="minorHAnsi"/>
          <w:i/>
          <w:sz w:val="16"/>
          <w:szCs w:val="16"/>
        </w:rPr>
        <w:t xml:space="preserve">UNICEF &amp; UNWOMEN Brown Bag Series, Southern Africa </w:t>
      </w:r>
      <w:proofErr w:type="gramStart"/>
      <w:r w:rsidRPr="007F76A4">
        <w:rPr>
          <w:rFonts w:cstheme="minorHAnsi"/>
          <w:i/>
          <w:sz w:val="16"/>
          <w:szCs w:val="16"/>
        </w:rPr>
        <w:t>Labour</w:t>
      </w:r>
      <w:proofErr w:type="gramEnd"/>
      <w:r w:rsidRPr="007F76A4">
        <w:rPr>
          <w:rFonts w:cstheme="minorHAnsi"/>
          <w:i/>
          <w:sz w:val="16"/>
          <w:szCs w:val="16"/>
        </w:rPr>
        <w:t xml:space="preserve"> and Development Research Unit. </w:t>
      </w:r>
    </w:p>
  </w:footnote>
  <w:footnote w:id="8">
    <w:p w14:paraId="2E465490" w14:textId="38BDC2CF" w:rsidR="00522828" w:rsidRPr="00522828" w:rsidRDefault="00522828">
      <w:pPr>
        <w:pStyle w:val="FootnoteText"/>
        <w:rPr>
          <w:lang w:val="en-US"/>
        </w:rPr>
      </w:pPr>
      <w:r w:rsidRPr="007F76A4">
        <w:rPr>
          <w:rStyle w:val="FootnoteReference"/>
          <w:sz w:val="16"/>
          <w:szCs w:val="16"/>
        </w:rPr>
        <w:footnoteRef/>
      </w:r>
      <w:r w:rsidRPr="007F76A4">
        <w:rPr>
          <w:sz w:val="16"/>
          <w:szCs w:val="16"/>
        </w:rPr>
        <w:t xml:space="preserve"> </w:t>
      </w:r>
      <w:r w:rsidR="000E41A5" w:rsidRPr="007F76A4">
        <w:rPr>
          <w:sz w:val="16"/>
          <w:szCs w:val="16"/>
          <w:lang w:val="en-US"/>
        </w:rPr>
        <w:t xml:space="preserve">World Bank (2020) ‘Poverty &amp; Equity Brief: Sub-Saharan Africa – South Africa’. Found at </w:t>
      </w:r>
      <w:hyperlink r:id="rId1" w:history="1">
        <w:r w:rsidR="0000136F" w:rsidRPr="0003732B">
          <w:rPr>
            <w:rStyle w:val="Hyperlink"/>
            <w:sz w:val="16"/>
            <w:szCs w:val="16"/>
            <w:lang w:val="en-US"/>
          </w:rPr>
          <w:t>https://databankfiles.worldbank.org/public/ddpext_download/poverty/33EF03BB-9722-4AE2-ABC7-AA2972D68AFE/Global_POVEQ_ZAF.pdf</w:t>
        </w:r>
      </w:hyperlink>
      <w:r w:rsidR="0000136F">
        <w:rPr>
          <w:sz w:val="16"/>
          <w:szCs w:val="16"/>
          <w:lang w:val="en-US"/>
        </w:rPr>
        <w:t xml:space="preserve">. </w:t>
      </w:r>
    </w:p>
  </w:footnote>
  <w:footnote w:id="9">
    <w:p w14:paraId="224371D3" w14:textId="51657582" w:rsidR="006F5BF8" w:rsidRPr="000142E0" w:rsidRDefault="006F5BF8" w:rsidP="001A40E6">
      <w:pPr>
        <w:pStyle w:val="FootnoteText"/>
        <w:rPr>
          <w:sz w:val="16"/>
          <w:szCs w:val="14"/>
          <w:lang w:val="en-US"/>
        </w:rPr>
      </w:pPr>
      <w:r w:rsidRPr="000142E0">
        <w:rPr>
          <w:rStyle w:val="FootnoteReference"/>
          <w:sz w:val="16"/>
          <w:szCs w:val="14"/>
        </w:rPr>
        <w:footnoteRef/>
      </w:r>
      <w:r w:rsidRPr="000142E0">
        <w:rPr>
          <w:sz w:val="16"/>
          <w:szCs w:val="14"/>
        </w:rPr>
        <w:t xml:space="preserve"> Wills, G., Kotze, J., &amp; Kika-Mistry, J. (2021) ‘A Sector Hanging in the Balance: Early Childhood Development </w:t>
      </w:r>
      <w:proofErr w:type="gramStart"/>
      <w:r w:rsidRPr="000142E0">
        <w:rPr>
          <w:sz w:val="16"/>
          <w:szCs w:val="14"/>
        </w:rPr>
        <w:t>and  Lockdown</w:t>
      </w:r>
      <w:proofErr w:type="gramEnd"/>
      <w:r w:rsidRPr="000142E0">
        <w:rPr>
          <w:sz w:val="16"/>
          <w:szCs w:val="14"/>
        </w:rPr>
        <w:t xml:space="preserve"> in South Africa’. RISE Working Paper 20/055. Found at </w:t>
      </w:r>
      <w:r w:rsidRPr="000142E0">
        <w:rPr>
          <w:sz w:val="16"/>
          <w:szCs w:val="14"/>
          <w:lang w:val="en-US"/>
        </w:rPr>
        <w:t>https://riseprogramme.org/sites/default/files/2020-11/RISE_WP-055_Wills_Kotze_Kika-Mistry.pdf</w:t>
      </w:r>
      <w:r w:rsidR="0000136F">
        <w:rPr>
          <w:sz w:val="16"/>
          <w:szCs w:val="14"/>
          <w:lang w:val="en-US"/>
        </w:rPr>
        <w:t>.</w:t>
      </w:r>
    </w:p>
  </w:footnote>
  <w:footnote w:id="10">
    <w:p w14:paraId="1072625A" w14:textId="77777777" w:rsidR="006F5BF8" w:rsidRPr="000142E0" w:rsidRDefault="006F5BF8" w:rsidP="006F5BF8">
      <w:pPr>
        <w:pStyle w:val="FootnoteText"/>
        <w:jc w:val="both"/>
        <w:rPr>
          <w:sz w:val="16"/>
          <w:szCs w:val="14"/>
          <w:lang w:val="en-US"/>
        </w:rPr>
      </w:pPr>
      <w:r w:rsidRPr="000142E0">
        <w:rPr>
          <w:rStyle w:val="FootnoteReference"/>
          <w:sz w:val="16"/>
          <w:szCs w:val="14"/>
        </w:rPr>
        <w:footnoteRef/>
      </w:r>
      <w:r w:rsidRPr="000142E0">
        <w:rPr>
          <w:sz w:val="16"/>
          <w:szCs w:val="14"/>
        </w:rPr>
        <w:t xml:space="preserve"> For comparison, the average spending per primary school learner per day is R96.</w:t>
      </w:r>
    </w:p>
  </w:footnote>
  <w:footnote w:id="11">
    <w:p w14:paraId="0F33E11A" w14:textId="5110725A" w:rsidR="006F5BF8" w:rsidRPr="00A46C41" w:rsidRDefault="006F5BF8" w:rsidP="006F5BF8">
      <w:pPr>
        <w:pStyle w:val="FootnoteText"/>
        <w:jc w:val="both"/>
        <w:rPr>
          <w:szCs w:val="18"/>
          <w:lang w:val="en-US"/>
        </w:rPr>
      </w:pPr>
      <w:r w:rsidRPr="000142E0">
        <w:rPr>
          <w:rStyle w:val="FootnoteReference"/>
          <w:sz w:val="16"/>
          <w:szCs w:val="14"/>
        </w:rPr>
        <w:footnoteRef/>
      </w:r>
      <w:r w:rsidRPr="000142E0">
        <w:rPr>
          <w:sz w:val="16"/>
          <w:szCs w:val="14"/>
        </w:rPr>
        <w:t xml:space="preserve"> </w:t>
      </w:r>
      <w:r w:rsidRPr="000142E0">
        <w:rPr>
          <w:sz w:val="16"/>
          <w:szCs w:val="14"/>
          <w:lang w:val="en-US"/>
        </w:rPr>
        <w:t xml:space="preserve">Budget Justice Coalition, ‘FOA Submission on the 2023 MTEF’. Found at </w:t>
      </w:r>
      <w:hyperlink r:id="rId2" w:history="1">
        <w:r w:rsidR="0000136F" w:rsidRPr="0003732B">
          <w:rPr>
            <w:rStyle w:val="Hyperlink"/>
            <w:sz w:val="16"/>
            <w:szCs w:val="14"/>
            <w:lang w:val="en-US"/>
          </w:rPr>
          <w:t>https://budgetjusticesa.org/media/bjc-foa-submission-on-the-2023-mtef/</w:t>
        </w:r>
      </w:hyperlink>
      <w:r w:rsidR="0000136F">
        <w:rPr>
          <w:sz w:val="16"/>
          <w:szCs w:val="14"/>
          <w:lang w:val="en-US"/>
        </w:rPr>
        <w:t xml:space="preserve">. </w:t>
      </w:r>
    </w:p>
  </w:footnote>
  <w:footnote w:id="12">
    <w:p w14:paraId="52641A9D" w14:textId="3F874915" w:rsidR="00820AC9" w:rsidRPr="003B12B4" w:rsidRDefault="00820AC9">
      <w:pPr>
        <w:pStyle w:val="FootnoteText"/>
        <w:rPr>
          <w:i/>
          <w:iCs/>
          <w:lang w:val="en-US"/>
        </w:rPr>
      </w:pPr>
      <w:r>
        <w:rPr>
          <w:rStyle w:val="FootnoteReference"/>
        </w:rPr>
        <w:footnoteRef/>
      </w:r>
      <w:r w:rsidR="003B12B4">
        <w:t xml:space="preserve"> </w:t>
      </w:r>
      <w:r w:rsidR="003B12B4" w:rsidRPr="00D659BF">
        <w:rPr>
          <w:sz w:val="16"/>
          <w:szCs w:val="16"/>
        </w:rPr>
        <w:t xml:space="preserve">National Treasury, 2022 </w:t>
      </w:r>
      <w:r w:rsidR="003B12B4" w:rsidRPr="00D659BF">
        <w:rPr>
          <w:i/>
          <w:iCs/>
          <w:sz w:val="16"/>
          <w:szCs w:val="16"/>
        </w:rPr>
        <w:t xml:space="preserve">Budget Review. </w:t>
      </w:r>
      <w:r w:rsidR="003B12B4" w:rsidRPr="00D659BF">
        <w:rPr>
          <w:sz w:val="16"/>
          <w:szCs w:val="16"/>
        </w:rPr>
        <w:t xml:space="preserve">Found at </w:t>
      </w:r>
      <w:proofErr w:type="gramStart"/>
      <w:r w:rsidR="00D659BF" w:rsidRPr="00D659BF">
        <w:rPr>
          <w:sz w:val="16"/>
          <w:szCs w:val="16"/>
        </w:rPr>
        <w:t>https://www.treasury.gov.za/documents/national%20budget/2022/review/FullBR.pdf</w:t>
      </w:r>
      <w:proofErr w:type="gramEnd"/>
      <w:r w:rsidR="003B12B4" w:rsidRPr="00D659BF">
        <w:rPr>
          <w:i/>
          <w:iCs/>
          <w:sz w:val="16"/>
          <w:szCs w:val="16"/>
        </w:rPr>
        <w:t xml:space="preserve"> </w:t>
      </w:r>
    </w:p>
  </w:footnote>
  <w:footnote w:id="13">
    <w:p w14:paraId="601BA90B" w14:textId="09056617" w:rsidR="004104A9" w:rsidRPr="000142E0" w:rsidRDefault="004104A9">
      <w:pPr>
        <w:pStyle w:val="FootnoteText"/>
        <w:rPr>
          <w:sz w:val="16"/>
          <w:szCs w:val="16"/>
          <w:lang w:val="en-US"/>
        </w:rPr>
      </w:pPr>
      <w:r w:rsidRPr="000142E0">
        <w:rPr>
          <w:rStyle w:val="FootnoteReference"/>
          <w:sz w:val="16"/>
          <w:szCs w:val="16"/>
        </w:rPr>
        <w:footnoteRef/>
      </w:r>
      <w:r w:rsidRPr="000142E0">
        <w:rPr>
          <w:sz w:val="16"/>
          <w:szCs w:val="16"/>
        </w:rPr>
        <w:t xml:space="preserve"> </w:t>
      </w:r>
      <w:r w:rsidRPr="000142E0">
        <w:rPr>
          <w:sz w:val="16"/>
          <w:szCs w:val="16"/>
          <w:lang w:val="en-US"/>
        </w:rPr>
        <w:t>Auditor General of South Africa report on Basic Education Spending in 2021</w:t>
      </w:r>
      <w:r w:rsidR="0000136F">
        <w:rPr>
          <w:sz w:val="16"/>
          <w:szCs w:val="16"/>
          <w:lang w:val="en-US"/>
        </w:rPr>
        <w:t xml:space="preserve">. </w:t>
      </w:r>
    </w:p>
  </w:footnote>
  <w:footnote w:id="14">
    <w:p w14:paraId="12E4D638" w14:textId="77777777" w:rsidR="00B8171E" w:rsidRPr="00AD54CA" w:rsidRDefault="00B8171E" w:rsidP="00B8171E">
      <w:pPr>
        <w:spacing w:after="0" w:line="240" w:lineRule="auto"/>
        <w:rPr>
          <w:rFonts w:cstheme="minorHAnsi"/>
          <w:sz w:val="18"/>
          <w:szCs w:val="18"/>
        </w:rPr>
      </w:pPr>
      <w:r w:rsidRPr="000142E0">
        <w:rPr>
          <w:rStyle w:val="FootnoteReference"/>
          <w:rFonts w:cstheme="minorHAnsi"/>
          <w:sz w:val="16"/>
          <w:szCs w:val="16"/>
        </w:rPr>
        <w:footnoteRef/>
      </w:r>
      <w:r w:rsidRPr="000142E0">
        <w:rPr>
          <w:rFonts w:cstheme="minorHAnsi"/>
          <w:sz w:val="16"/>
          <w:szCs w:val="16"/>
        </w:rPr>
        <w:t xml:space="preserve"> Western Cape Education Amendment Act of 2018.</w:t>
      </w:r>
    </w:p>
  </w:footnote>
  <w:footnote w:id="15">
    <w:p w14:paraId="6FFAF0DE" w14:textId="78D676BA" w:rsidR="00B8171E" w:rsidRPr="000142E0" w:rsidRDefault="00B8171E" w:rsidP="00B8171E">
      <w:pPr>
        <w:spacing w:after="0" w:line="240" w:lineRule="auto"/>
        <w:rPr>
          <w:rFonts w:cstheme="minorHAnsi"/>
          <w:sz w:val="16"/>
          <w:szCs w:val="16"/>
        </w:rPr>
      </w:pPr>
      <w:r w:rsidRPr="000142E0">
        <w:rPr>
          <w:rStyle w:val="FootnoteReference"/>
          <w:rFonts w:cstheme="minorHAnsi"/>
          <w:sz w:val="16"/>
          <w:szCs w:val="16"/>
        </w:rPr>
        <w:footnoteRef/>
      </w:r>
      <w:r w:rsidRPr="000142E0">
        <w:rPr>
          <w:rFonts w:cstheme="minorHAnsi"/>
          <w:sz w:val="16"/>
          <w:szCs w:val="16"/>
        </w:rPr>
        <w:t xml:space="preserve">  DG Murray Trust, in collaboration with Axiom, is piloting Public School Partnerships in the Eastern Cape for underperforming schools. More information can be found here: </w:t>
      </w:r>
      <w:hyperlink r:id="rId3" w:history="1">
        <w:r w:rsidR="0077331C" w:rsidRPr="0003732B">
          <w:rPr>
            <w:rStyle w:val="Hyperlink"/>
            <w:rFonts w:cstheme="minorHAnsi"/>
            <w:sz w:val="16"/>
            <w:szCs w:val="16"/>
          </w:rPr>
          <w:t>https://dgmt.co.za/project/public-school-partnerships</w:t>
        </w:r>
      </w:hyperlink>
      <w:r w:rsidR="0077331C">
        <w:rPr>
          <w:rFonts w:cstheme="minorHAnsi"/>
          <w:sz w:val="16"/>
          <w:szCs w:val="16"/>
        </w:rPr>
        <w:t xml:space="preserve"> . </w:t>
      </w:r>
    </w:p>
  </w:footnote>
  <w:footnote w:id="16">
    <w:p w14:paraId="08F75C47" w14:textId="77777777" w:rsidR="00B8171E" w:rsidRPr="000142E0" w:rsidRDefault="00B8171E" w:rsidP="00B8171E">
      <w:pPr>
        <w:spacing w:after="0" w:line="240" w:lineRule="auto"/>
        <w:rPr>
          <w:rFonts w:cstheme="minorHAnsi"/>
          <w:sz w:val="16"/>
          <w:szCs w:val="16"/>
        </w:rPr>
      </w:pPr>
      <w:r w:rsidRPr="000142E0">
        <w:rPr>
          <w:rStyle w:val="FootnoteReference"/>
          <w:rFonts w:cstheme="minorHAnsi"/>
          <w:sz w:val="16"/>
          <w:szCs w:val="16"/>
        </w:rPr>
        <w:footnoteRef/>
      </w:r>
      <w:r w:rsidRPr="000142E0">
        <w:rPr>
          <w:rFonts w:cstheme="minorHAnsi"/>
          <w:sz w:val="16"/>
          <w:szCs w:val="16"/>
        </w:rPr>
        <w:t xml:space="preserve"> Equal Education v Provincial Minister for Education Western Cape Province and Others (12880/2019; 4566/2019) [2023] ZAWCHC 166.</w:t>
      </w:r>
    </w:p>
  </w:footnote>
  <w:footnote w:id="17">
    <w:p w14:paraId="149BCB5D" w14:textId="77777777" w:rsidR="00B8171E" w:rsidRPr="000142E0" w:rsidRDefault="00B8171E" w:rsidP="00B8171E">
      <w:pPr>
        <w:spacing w:after="0" w:line="240" w:lineRule="auto"/>
        <w:rPr>
          <w:rFonts w:cstheme="minorHAnsi"/>
          <w:sz w:val="16"/>
          <w:szCs w:val="16"/>
        </w:rPr>
      </w:pPr>
      <w:r w:rsidRPr="000142E0">
        <w:rPr>
          <w:rStyle w:val="FootnoteReference"/>
          <w:rFonts w:cstheme="minorHAnsi"/>
          <w:sz w:val="16"/>
          <w:szCs w:val="16"/>
        </w:rPr>
        <w:footnoteRef/>
      </w:r>
      <w:r w:rsidRPr="000142E0">
        <w:rPr>
          <w:rFonts w:cstheme="minorHAnsi"/>
          <w:sz w:val="16"/>
          <w:szCs w:val="16"/>
        </w:rPr>
        <w:t xml:space="preserve">  Equal Education’s media statement on the challenge to WCEAA can be found here https://eelawcentre.org.za/joint-media-statement-equal-education-and-equal-education-law-centre-in-court-today-to-challenge-the-introduction-of-collaboration-schools-donor-funded-schools-and-intervention-facilities-by-the-we/.</w:t>
      </w:r>
    </w:p>
  </w:footnote>
  <w:footnote w:id="18">
    <w:p w14:paraId="127A7B3F" w14:textId="4195B3C8" w:rsidR="00B8171E" w:rsidRPr="000142E0" w:rsidRDefault="00B8171E" w:rsidP="00B8171E">
      <w:pPr>
        <w:pStyle w:val="FootnoteText"/>
        <w:rPr>
          <w:b/>
          <w:bCs/>
          <w:sz w:val="16"/>
          <w:szCs w:val="16"/>
        </w:rPr>
      </w:pPr>
      <w:r w:rsidRPr="000142E0">
        <w:rPr>
          <w:rStyle w:val="FootnoteReference"/>
          <w:sz w:val="16"/>
          <w:szCs w:val="16"/>
        </w:rPr>
        <w:footnoteRef/>
      </w:r>
      <w:r w:rsidRPr="000142E0">
        <w:rPr>
          <w:sz w:val="16"/>
          <w:szCs w:val="16"/>
        </w:rPr>
        <w:t xml:space="preserve"> </w:t>
      </w:r>
      <w:r w:rsidRPr="000142E0">
        <w:rPr>
          <w:sz w:val="16"/>
          <w:szCs w:val="16"/>
          <w:lang w:val="en-US"/>
        </w:rPr>
        <w:t xml:space="preserve">David </w:t>
      </w:r>
      <w:proofErr w:type="spellStart"/>
      <w:r w:rsidRPr="000142E0">
        <w:rPr>
          <w:sz w:val="16"/>
          <w:szCs w:val="16"/>
          <w:lang w:val="en-US"/>
        </w:rPr>
        <w:t>Maynier</w:t>
      </w:r>
      <w:proofErr w:type="spellEnd"/>
      <w:r w:rsidRPr="000142E0">
        <w:rPr>
          <w:sz w:val="16"/>
          <w:szCs w:val="16"/>
          <w:lang w:val="en-US"/>
        </w:rPr>
        <w:t xml:space="preserve"> (2023) ‘</w:t>
      </w:r>
      <w:r w:rsidRPr="000142E0">
        <w:rPr>
          <w:sz w:val="16"/>
          <w:szCs w:val="16"/>
        </w:rPr>
        <w:t xml:space="preserve">Western Cape Minister of Education David </w:t>
      </w:r>
      <w:proofErr w:type="spellStart"/>
      <w:r w:rsidRPr="000142E0">
        <w:rPr>
          <w:sz w:val="16"/>
          <w:szCs w:val="16"/>
        </w:rPr>
        <w:t>Maynier</w:t>
      </w:r>
      <w:proofErr w:type="spellEnd"/>
      <w:r w:rsidRPr="000142E0">
        <w:rPr>
          <w:sz w:val="16"/>
          <w:szCs w:val="16"/>
        </w:rPr>
        <w:t xml:space="preserve">, and </w:t>
      </w:r>
      <w:proofErr w:type="spellStart"/>
      <w:r w:rsidRPr="000142E0">
        <w:rPr>
          <w:sz w:val="16"/>
          <w:szCs w:val="16"/>
        </w:rPr>
        <w:t>Wesgro</w:t>
      </w:r>
      <w:proofErr w:type="spellEnd"/>
      <w:r w:rsidRPr="000142E0">
        <w:rPr>
          <w:sz w:val="16"/>
          <w:szCs w:val="16"/>
        </w:rPr>
        <w:t xml:space="preserve"> unveil Edu Invest’. Found at </w:t>
      </w:r>
      <w:hyperlink r:id="rId4" w:history="1">
        <w:r w:rsidR="00817798" w:rsidRPr="0003732B">
          <w:rPr>
            <w:rStyle w:val="Hyperlink"/>
            <w:sz w:val="16"/>
            <w:szCs w:val="16"/>
          </w:rPr>
          <w:t>https://wcedonline.westerncape.gov.za/news/western-cape-minister-education-david-maynier-and-wesgro-unveil-edu-invest</w:t>
        </w:r>
      </w:hyperlink>
      <w:r w:rsidR="00817798">
        <w:rPr>
          <w:sz w:val="16"/>
          <w:szCs w:val="16"/>
        </w:rPr>
        <w:t xml:space="preserve">. </w:t>
      </w:r>
    </w:p>
  </w:footnote>
  <w:footnote w:id="19">
    <w:p w14:paraId="7FD6C9D8" w14:textId="77777777" w:rsidR="00B8171E" w:rsidRPr="000142E0" w:rsidRDefault="00B8171E" w:rsidP="00B8171E">
      <w:pPr>
        <w:spacing w:after="0" w:line="240" w:lineRule="auto"/>
        <w:rPr>
          <w:rFonts w:cstheme="minorHAnsi"/>
          <w:sz w:val="16"/>
          <w:szCs w:val="16"/>
        </w:rPr>
      </w:pPr>
      <w:r w:rsidRPr="000142E0">
        <w:rPr>
          <w:rStyle w:val="FootnoteReference"/>
          <w:rFonts w:cstheme="minorHAnsi"/>
          <w:sz w:val="16"/>
          <w:szCs w:val="16"/>
        </w:rPr>
        <w:footnoteRef/>
      </w:r>
      <w:r w:rsidRPr="00487D05">
        <w:rPr>
          <w:rFonts w:cstheme="minorHAnsi"/>
          <w:sz w:val="16"/>
          <w:szCs w:val="16"/>
          <w:lang w:val="es-419"/>
        </w:rPr>
        <w:t xml:space="preserve"> Van Der Berg, S., Van Wyk, C. </w:t>
      </w:r>
      <w:proofErr w:type="gramStart"/>
      <w:r w:rsidRPr="00487D05">
        <w:rPr>
          <w:rFonts w:cstheme="minorHAnsi"/>
          <w:sz w:val="16"/>
          <w:szCs w:val="16"/>
          <w:lang w:val="es-419"/>
        </w:rPr>
        <w:t>&amp;  Burger</w:t>
      </w:r>
      <w:proofErr w:type="gramEnd"/>
      <w:r w:rsidRPr="00487D05">
        <w:rPr>
          <w:rFonts w:cstheme="minorHAnsi"/>
          <w:sz w:val="16"/>
          <w:szCs w:val="16"/>
          <w:lang w:val="es-419"/>
        </w:rPr>
        <w:t xml:space="preserve">. </w:t>
      </w:r>
      <w:r w:rsidRPr="000142E0">
        <w:rPr>
          <w:rFonts w:cstheme="minorHAnsi"/>
          <w:sz w:val="16"/>
          <w:szCs w:val="16"/>
        </w:rPr>
        <w:t xml:space="preserve">R. </w:t>
      </w:r>
      <w:r w:rsidRPr="000142E0">
        <w:rPr>
          <w:rFonts w:cstheme="minorHAnsi"/>
          <w:i/>
          <w:sz w:val="16"/>
          <w:szCs w:val="16"/>
        </w:rPr>
        <w:t xml:space="preserve">et al. </w:t>
      </w:r>
      <w:r w:rsidRPr="000142E0">
        <w:rPr>
          <w:rFonts w:cstheme="minorHAnsi"/>
          <w:sz w:val="16"/>
          <w:szCs w:val="16"/>
        </w:rPr>
        <w:t xml:space="preserve">(2017) ‘The Performance of Low-Fee Independent Schools in South Africa - What Can Available Data Tell?’, </w:t>
      </w:r>
      <w:r w:rsidRPr="000142E0">
        <w:rPr>
          <w:rFonts w:cstheme="minorHAnsi"/>
          <w:i/>
          <w:sz w:val="16"/>
          <w:szCs w:val="16"/>
        </w:rPr>
        <w:t>RESEP University of Stellenbosch.</w:t>
      </w:r>
    </w:p>
  </w:footnote>
  <w:footnote w:id="20">
    <w:p w14:paraId="6E0A58E1" w14:textId="77777777" w:rsidR="00B8171E" w:rsidRPr="000142E0" w:rsidRDefault="00B8171E" w:rsidP="00B8171E">
      <w:pPr>
        <w:spacing w:after="0" w:line="240" w:lineRule="auto"/>
        <w:rPr>
          <w:rFonts w:cstheme="minorHAnsi"/>
          <w:sz w:val="16"/>
          <w:szCs w:val="16"/>
        </w:rPr>
      </w:pPr>
      <w:r w:rsidRPr="000142E0">
        <w:rPr>
          <w:rStyle w:val="FootnoteReference"/>
          <w:rFonts w:cstheme="minorHAnsi"/>
          <w:sz w:val="16"/>
          <w:szCs w:val="16"/>
        </w:rPr>
        <w:footnoteRef/>
      </w:r>
      <w:r w:rsidRPr="000142E0">
        <w:rPr>
          <w:rFonts w:cstheme="minorHAnsi"/>
          <w:sz w:val="16"/>
          <w:szCs w:val="16"/>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288"/>
    <w:multiLevelType w:val="hybridMultilevel"/>
    <w:tmpl w:val="DD70D6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EAB2E73"/>
    <w:multiLevelType w:val="multilevel"/>
    <w:tmpl w:val="68ECB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37889"/>
    <w:multiLevelType w:val="multilevel"/>
    <w:tmpl w:val="8800FD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832234"/>
    <w:multiLevelType w:val="hybridMultilevel"/>
    <w:tmpl w:val="7A64F05A"/>
    <w:lvl w:ilvl="0" w:tplc="9FC844D8">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5AC1A02"/>
    <w:multiLevelType w:val="hybridMultilevel"/>
    <w:tmpl w:val="0EA2B350"/>
    <w:lvl w:ilvl="0" w:tplc="7E644E2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A915EFE"/>
    <w:multiLevelType w:val="hybridMultilevel"/>
    <w:tmpl w:val="F00CB7B0"/>
    <w:lvl w:ilvl="0" w:tplc="14F4551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29213941">
    <w:abstractNumId w:val="1"/>
  </w:num>
  <w:num w:numId="2" w16cid:durableId="1887445355">
    <w:abstractNumId w:val="4"/>
  </w:num>
  <w:num w:numId="3" w16cid:durableId="368529565">
    <w:abstractNumId w:val="3"/>
  </w:num>
  <w:num w:numId="4" w16cid:durableId="1607539153">
    <w:abstractNumId w:val="5"/>
  </w:num>
  <w:num w:numId="5" w16cid:durableId="2139644405">
    <w:abstractNumId w:val="2"/>
  </w:num>
  <w:num w:numId="6" w16cid:durableId="207469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16"/>
    <w:rsid w:val="0000136F"/>
    <w:rsid w:val="000100C0"/>
    <w:rsid w:val="000142E0"/>
    <w:rsid w:val="000243B8"/>
    <w:rsid w:val="0002767F"/>
    <w:rsid w:val="00027961"/>
    <w:rsid w:val="00052F84"/>
    <w:rsid w:val="000641C9"/>
    <w:rsid w:val="0006679E"/>
    <w:rsid w:val="000B5FDE"/>
    <w:rsid w:val="000D3249"/>
    <w:rsid w:val="000E41A5"/>
    <w:rsid w:val="000E428A"/>
    <w:rsid w:val="000F44C2"/>
    <w:rsid w:val="00102B64"/>
    <w:rsid w:val="001124C2"/>
    <w:rsid w:val="00112816"/>
    <w:rsid w:val="00153F3C"/>
    <w:rsid w:val="001775E8"/>
    <w:rsid w:val="001A40E6"/>
    <w:rsid w:val="001C5507"/>
    <w:rsid w:val="001D5389"/>
    <w:rsid w:val="00224450"/>
    <w:rsid w:val="002274C8"/>
    <w:rsid w:val="002419F9"/>
    <w:rsid w:val="0025533D"/>
    <w:rsid w:val="002644A8"/>
    <w:rsid w:val="00273321"/>
    <w:rsid w:val="00282DAA"/>
    <w:rsid w:val="002A38E1"/>
    <w:rsid w:val="002D3132"/>
    <w:rsid w:val="002D70AE"/>
    <w:rsid w:val="00314C5E"/>
    <w:rsid w:val="0033251A"/>
    <w:rsid w:val="003427BB"/>
    <w:rsid w:val="003454A3"/>
    <w:rsid w:val="003B12B4"/>
    <w:rsid w:val="003D18E9"/>
    <w:rsid w:val="003D375F"/>
    <w:rsid w:val="003D4A29"/>
    <w:rsid w:val="003F7C35"/>
    <w:rsid w:val="0040364E"/>
    <w:rsid w:val="00403807"/>
    <w:rsid w:val="00405EC2"/>
    <w:rsid w:val="004104A9"/>
    <w:rsid w:val="004205B8"/>
    <w:rsid w:val="004225AE"/>
    <w:rsid w:val="00440568"/>
    <w:rsid w:val="0044186B"/>
    <w:rsid w:val="0044561D"/>
    <w:rsid w:val="00481079"/>
    <w:rsid w:val="00487D05"/>
    <w:rsid w:val="004C5133"/>
    <w:rsid w:val="004F1E2A"/>
    <w:rsid w:val="00522828"/>
    <w:rsid w:val="005368A3"/>
    <w:rsid w:val="00542AE3"/>
    <w:rsid w:val="00544F17"/>
    <w:rsid w:val="005653B6"/>
    <w:rsid w:val="00565CD9"/>
    <w:rsid w:val="00572293"/>
    <w:rsid w:val="00585627"/>
    <w:rsid w:val="00586031"/>
    <w:rsid w:val="005A6EC0"/>
    <w:rsid w:val="005C080C"/>
    <w:rsid w:val="005C54BC"/>
    <w:rsid w:val="005F2233"/>
    <w:rsid w:val="005F583F"/>
    <w:rsid w:val="0062167E"/>
    <w:rsid w:val="00626ED1"/>
    <w:rsid w:val="00654F6B"/>
    <w:rsid w:val="00670DC8"/>
    <w:rsid w:val="00674E4C"/>
    <w:rsid w:val="006B0855"/>
    <w:rsid w:val="006B6A01"/>
    <w:rsid w:val="006E11CA"/>
    <w:rsid w:val="006F503A"/>
    <w:rsid w:val="006F5BF8"/>
    <w:rsid w:val="00705421"/>
    <w:rsid w:val="00707519"/>
    <w:rsid w:val="00711A58"/>
    <w:rsid w:val="00713ED3"/>
    <w:rsid w:val="007168DA"/>
    <w:rsid w:val="007331EF"/>
    <w:rsid w:val="007417D1"/>
    <w:rsid w:val="007472C6"/>
    <w:rsid w:val="00755816"/>
    <w:rsid w:val="0077331C"/>
    <w:rsid w:val="00777FC3"/>
    <w:rsid w:val="00783906"/>
    <w:rsid w:val="00790ADE"/>
    <w:rsid w:val="00790FCF"/>
    <w:rsid w:val="007A44B1"/>
    <w:rsid w:val="007A6353"/>
    <w:rsid w:val="007B46CF"/>
    <w:rsid w:val="007B7434"/>
    <w:rsid w:val="007D3EEC"/>
    <w:rsid w:val="007E4182"/>
    <w:rsid w:val="007F6885"/>
    <w:rsid w:val="007F6DD1"/>
    <w:rsid w:val="007F76A4"/>
    <w:rsid w:val="00805C0F"/>
    <w:rsid w:val="0081763E"/>
    <w:rsid w:val="00817798"/>
    <w:rsid w:val="00820AC9"/>
    <w:rsid w:val="00830BC5"/>
    <w:rsid w:val="008332C8"/>
    <w:rsid w:val="00837484"/>
    <w:rsid w:val="008449EC"/>
    <w:rsid w:val="00864C41"/>
    <w:rsid w:val="00886876"/>
    <w:rsid w:val="00891121"/>
    <w:rsid w:val="008B1C0A"/>
    <w:rsid w:val="008B1D64"/>
    <w:rsid w:val="008B1F13"/>
    <w:rsid w:val="008C24CF"/>
    <w:rsid w:val="008F3179"/>
    <w:rsid w:val="008F3BC6"/>
    <w:rsid w:val="009021D9"/>
    <w:rsid w:val="009245A8"/>
    <w:rsid w:val="00931EB7"/>
    <w:rsid w:val="00952160"/>
    <w:rsid w:val="00956C53"/>
    <w:rsid w:val="00957DD6"/>
    <w:rsid w:val="00985569"/>
    <w:rsid w:val="009A10F1"/>
    <w:rsid w:val="009A71A9"/>
    <w:rsid w:val="009B2D60"/>
    <w:rsid w:val="009B7B44"/>
    <w:rsid w:val="009D3612"/>
    <w:rsid w:val="009E4EED"/>
    <w:rsid w:val="009E5AE9"/>
    <w:rsid w:val="00A0237B"/>
    <w:rsid w:val="00A03BA5"/>
    <w:rsid w:val="00A16C45"/>
    <w:rsid w:val="00A24F63"/>
    <w:rsid w:val="00A303B1"/>
    <w:rsid w:val="00A3618D"/>
    <w:rsid w:val="00A37F29"/>
    <w:rsid w:val="00A437B8"/>
    <w:rsid w:val="00A4416E"/>
    <w:rsid w:val="00A52E36"/>
    <w:rsid w:val="00A93121"/>
    <w:rsid w:val="00AB04F4"/>
    <w:rsid w:val="00AE2B3D"/>
    <w:rsid w:val="00AF6867"/>
    <w:rsid w:val="00B1431C"/>
    <w:rsid w:val="00B20E10"/>
    <w:rsid w:val="00B21864"/>
    <w:rsid w:val="00B43263"/>
    <w:rsid w:val="00B61B17"/>
    <w:rsid w:val="00B8171E"/>
    <w:rsid w:val="00B95DF7"/>
    <w:rsid w:val="00BB0AF2"/>
    <w:rsid w:val="00BB679C"/>
    <w:rsid w:val="00BD370D"/>
    <w:rsid w:val="00BF52F5"/>
    <w:rsid w:val="00C17C72"/>
    <w:rsid w:val="00C22661"/>
    <w:rsid w:val="00C35CB6"/>
    <w:rsid w:val="00C37940"/>
    <w:rsid w:val="00C55E60"/>
    <w:rsid w:val="00C87408"/>
    <w:rsid w:val="00CA0B3C"/>
    <w:rsid w:val="00CA0B71"/>
    <w:rsid w:val="00CD638C"/>
    <w:rsid w:val="00CE62E4"/>
    <w:rsid w:val="00CE79EA"/>
    <w:rsid w:val="00D02A41"/>
    <w:rsid w:val="00D02BA4"/>
    <w:rsid w:val="00D35C20"/>
    <w:rsid w:val="00D41C18"/>
    <w:rsid w:val="00D45BA4"/>
    <w:rsid w:val="00D5483E"/>
    <w:rsid w:val="00D659BF"/>
    <w:rsid w:val="00D70F4C"/>
    <w:rsid w:val="00D8346A"/>
    <w:rsid w:val="00D91648"/>
    <w:rsid w:val="00DF695C"/>
    <w:rsid w:val="00E01A24"/>
    <w:rsid w:val="00E4261D"/>
    <w:rsid w:val="00E75A58"/>
    <w:rsid w:val="00E80DDB"/>
    <w:rsid w:val="00E929F7"/>
    <w:rsid w:val="00E95DBD"/>
    <w:rsid w:val="00E966CF"/>
    <w:rsid w:val="00EA17DB"/>
    <w:rsid w:val="00EE64C4"/>
    <w:rsid w:val="00EF2C4C"/>
    <w:rsid w:val="00EF46E1"/>
    <w:rsid w:val="00F12742"/>
    <w:rsid w:val="00F12BA4"/>
    <w:rsid w:val="00F14A62"/>
    <w:rsid w:val="00F15B0C"/>
    <w:rsid w:val="00F32B67"/>
    <w:rsid w:val="00F35D16"/>
    <w:rsid w:val="00F374D7"/>
    <w:rsid w:val="00F4770D"/>
    <w:rsid w:val="00F818CD"/>
    <w:rsid w:val="00FE181A"/>
    <w:rsid w:val="00FF1B0E"/>
    <w:rsid w:val="00FF2D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37C3"/>
  <w15:chartTrackingRefBased/>
  <w15:docId w15:val="{57F73D3E-991C-4C61-A901-F688530B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6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9F7"/>
    <w:rPr>
      <w:color w:val="0563C1" w:themeColor="hyperlink"/>
      <w:u w:val="single"/>
    </w:rPr>
  </w:style>
  <w:style w:type="character" w:styleId="UnresolvedMention">
    <w:name w:val="Unresolved Mention"/>
    <w:basedOn w:val="DefaultParagraphFont"/>
    <w:uiPriority w:val="99"/>
    <w:semiHidden/>
    <w:unhideWhenUsed/>
    <w:rsid w:val="00E929F7"/>
    <w:rPr>
      <w:color w:val="605E5C"/>
      <w:shd w:val="clear" w:color="auto" w:fill="E1DFDD"/>
    </w:rPr>
  </w:style>
  <w:style w:type="paragraph" w:styleId="ListParagraph">
    <w:name w:val="List Paragraph"/>
    <w:basedOn w:val="Normal"/>
    <w:uiPriority w:val="34"/>
    <w:qFormat/>
    <w:rsid w:val="008F3BC6"/>
    <w:pPr>
      <w:ind w:left="720"/>
      <w:contextualSpacing/>
    </w:pPr>
  </w:style>
  <w:style w:type="paragraph" w:styleId="FootnoteText">
    <w:name w:val="footnote text"/>
    <w:aliases w:val="5_G"/>
    <w:basedOn w:val="Normal"/>
    <w:link w:val="FootnoteTextChar"/>
    <w:uiPriority w:val="99"/>
    <w:unhideWhenUsed/>
    <w:qFormat/>
    <w:rsid w:val="00522828"/>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522828"/>
    <w:rPr>
      <w:sz w:val="20"/>
      <w:szCs w:val="20"/>
    </w:rPr>
  </w:style>
  <w:style w:type="character" w:styleId="FootnoteReference">
    <w:name w:val="footnote reference"/>
    <w:aliases w:val="4_G"/>
    <w:basedOn w:val="DefaultParagraphFont"/>
    <w:uiPriority w:val="99"/>
    <w:unhideWhenUsed/>
    <w:qFormat/>
    <w:rsid w:val="00522828"/>
    <w:rPr>
      <w:vertAlign w:val="superscript"/>
    </w:rPr>
  </w:style>
  <w:style w:type="paragraph" w:styleId="NormalWeb">
    <w:name w:val="Normal (Web)"/>
    <w:basedOn w:val="Normal"/>
    <w:uiPriority w:val="99"/>
    <w:semiHidden/>
    <w:unhideWhenUsed/>
    <w:rsid w:val="00052F84"/>
    <w:rPr>
      <w:rFonts w:ascii="Times New Roman" w:hAnsi="Times New Roman" w:cs="Times New Roman"/>
      <w:sz w:val="24"/>
      <w:szCs w:val="24"/>
    </w:rPr>
  </w:style>
  <w:style w:type="paragraph" w:styleId="Header">
    <w:name w:val="header"/>
    <w:basedOn w:val="Normal"/>
    <w:link w:val="HeaderChar"/>
    <w:uiPriority w:val="99"/>
    <w:unhideWhenUsed/>
    <w:rsid w:val="00C37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40"/>
  </w:style>
  <w:style w:type="paragraph" w:styleId="Footer">
    <w:name w:val="footer"/>
    <w:basedOn w:val="Normal"/>
    <w:link w:val="FooterChar"/>
    <w:uiPriority w:val="99"/>
    <w:unhideWhenUsed/>
    <w:rsid w:val="00C37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40"/>
  </w:style>
  <w:style w:type="character" w:styleId="FollowedHyperlink">
    <w:name w:val="FollowedHyperlink"/>
    <w:basedOn w:val="DefaultParagraphFont"/>
    <w:uiPriority w:val="99"/>
    <w:semiHidden/>
    <w:unhideWhenUsed/>
    <w:rsid w:val="00D35C20"/>
    <w:rPr>
      <w:color w:val="954F72" w:themeColor="followedHyperlink"/>
      <w:u w:val="single"/>
    </w:rPr>
  </w:style>
  <w:style w:type="character" w:customStyle="1" w:styleId="Heading1Char">
    <w:name w:val="Heading 1 Char"/>
    <w:basedOn w:val="DefaultParagraphFont"/>
    <w:link w:val="Heading1"/>
    <w:uiPriority w:val="9"/>
    <w:rsid w:val="007A44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679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472C6"/>
    <w:pPr>
      <w:outlineLvl w:val="9"/>
    </w:pPr>
    <w:rPr>
      <w:kern w:val="0"/>
      <w:lang w:val="en-US"/>
      <w14:ligatures w14:val="none"/>
    </w:rPr>
  </w:style>
  <w:style w:type="paragraph" w:styleId="TOC1">
    <w:name w:val="toc 1"/>
    <w:basedOn w:val="Normal"/>
    <w:next w:val="Normal"/>
    <w:autoRedefine/>
    <w:uiPriority w:val="39"/>
    <w:unhideWhenUsed/>
    <w:rsid w:val="007472C6"/>
    <w:pPr>
      <w:spacing w:after="100"/>
    </w:pPr>
  </w:style>
  <w:style w:type="paragraph" w:styleId="TOC2">
    <w:name w:val="toc 2"/>
    <w:basedOn w:val="Normal"/>
    <w:next w:val="Normal"/>
    <w:autoRedefine/>
    <w:uiPriority w:val="39"/>
    <w:unhideWhenUsed/>
    <w:rsid w:val="007472C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355">
      <w:bodyDiv w:val="1"/>
      <w:marLeft w:val="0"/>
      <w:marRight w:val="0"/>
      <w:marTop w:val="0"/>
      <w:marBottom w:val="0"/>
      <w:divBdr>
        <w:top w:val="none" w:sz="0" w:space="0" w:color="auto"/>
        <w:left w:val="none" w:sz="0" w:space="0" w:color="auto"/>
        <w:bottom w:val="none" w:sz="0" w:space="0" w:color="auto"/>
        <w:right w:val="none" w:sz="0" w:space="0" w:color="auto"/>
      </w:divBdr>
    </w:div>
    <w:div w:id="420419923">
      <w:bodyDiv w:val="1"/>
      <w:marLeft w:val="0"/>
      <w:marRight w:val="0"/>
      <w:marTop w:val="0"/>
      <w:marBottom w:val="0"/>
      <w:divBdr>
        <w:top w:val="none" w:sz="0" w:space="0" w:color="auto"/>
        <w:left w:val="none" w:sz="0" w:space="0" w:color="auto"/>
        <w:bottom w:val="none" w:sz="0" w:space="0" w:color="auto"/>
        <w:right w:val="none" w:sz="0" w:space="0" w:color="auto"/>
      </w:divBdr>
    </w:div>
    <w:div w:id="924846404">
      <w:bodyDiv w:val="1"/>
      <w:marLeft w:val="0"/>
      <w:marRight w:val="0"/>
      <w:marTop w:val="0"/>
      <w:marBottom w:val="0"/>
      <w:divBdr>
        <w:top w:val="none" w:sz="0" w:space="0" w:color="auto"/>
        <w:left w:val="none" w:sz="0" w:space="0" w:color="auto"/>
        <w:bottom w:val="none" w:sz="0" w:space="0" w:color="auto"/>
        <w:right w:val="none" w:sz="0" w:space="0" w:color="auto"/>
      </w:divBdr>
    </w:div>
    <w:div w:id="1140658093">
      <w:bodyDiv w:val="1"/>
      <w:marLeft w:val="0"/>
      <w:marRight w:val="0"/>
      <w:marTop w:val="0"/>
      <w:marBottom w:val="0"/>
      <w:divBdr>
        <w:top w:val="none" w:sz="0" w:space="0" w:color="auto"/>
        <w:left w:val="none" w:sz="0" w:space="0" w:color="auto"/>
        <w:bottom w:val="none" w:sz="0" w:space="0" w:color="auto"/>
        <w:right w:val="none" w:sz="0" w:space="0" w:color="auto"/>
      </w:divBdr>
    </w:div>
    <w:div w:id="1285580709">
      <w:bodyDiv w:val="1"/>
      <w:marLeft w:val="0"/>
      <w:marRight w:val="0"/>
      <w:marTop w:val="0"/>
      <w:marBottom w:val="0"/>
      <w:divBdr>
        <w:top w:val="none" w:sz="0" w:space="0" w:color="auto"/>
        <w:left w:val="none" w:sz="0" w:space="0" w:color="auto"/>
        <w:bottom w:val="none" w:sz="0" w:space="0" w:color="auto"/>
        <w:right w:val="none" w:sz="0" w:space="0" w:color="auto"/>
      </w:divBdr>
    </w:div>
    <w:div w:id="1482194705">
      <w:bodyDiv w:val="1"/>
      <w:marLeft w:val="0"/>
      <w:marRight w:val="0"/>
      <w:marTop w:val="0"/>
      <w:marBottom w:val="0"/>
      <w:divBdr>
        <w:top w:val="none" w:sz="0" w:space="0" w:color="auto"/>
        <w:left w:val="none" w:sz="0" w:space="0" w:color="auto"/>
        <w:bottom w:val="none" w:sz="0" w:space="0" w:color="auto"/>
        <w:right w:val="none" w:sz="0" w:space="0" w:color="auto"/>
      </w:divBdr>
    </w:div>
    <w:div w:id="15661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herine@eelawcentre.org.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gmt.co.za/project/public-school-partnerships" TargetMode="External"/><Relationship Id="rId2" Type="http://schemas.openxmlformats.org/officeDocument/2006/relationships/hyperlink" Target="https://budgetjusticesa.org/media/bjc-foa-submission-on-the-2023-mtef/" TargetMode="External"/><Relationship Id="rId1" Type="http://schemas.openxmlformats.org/officeDocument/2006/relationships/hyperlink" Target="https://databankfiles.worldbank.org/public/ddpext_download/poverty/33EF03BB-9722-4AE2-ABC7-AA2972D68AFE/Global_POVEQ_ZAF.pdf" TargetMode="External"/><Relationship Id="rId4" Type="http://schemas.openxmlformats.org/officeDocument/2006/relationships/hyperlink" Target="https://wcedonline.westerncape.gov.za/news/western-cape-minister-education-david-maynier-and-wesgro-unveil-edu-inv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EELC</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8999E-A202-4310-96FB-01C43B4E0D01}">
  <ds:schemaRefs>
    <ds:schemaRef ds:uri="http://schemas.microsoft.com/office/2006/metadata/properties"/>
    <ds:schemaRef ds:uri="http://schemas.microsoft.com/office/infopath/2007/PartnerControls"/>
    <ds:schemaRef ds:uri="48b019db-763b-45f6-8cb7-bfcff794e16b"/>
    <ds:schemaRef ds:uri="0f438509-3064-4c48-909c-ab9a5edcc7f1"/>
  </ds:schemaRefs>
</ds:datastoreItem>
</file>

<file path=customXml/itemProps2.xml><?xml version="1.0" encoding="utf-8"?>
<ds:datastoreItem xmlns:ds="http://schemas.openxmlformats.org/officeDocument/2006/customXml" ds:itemID="{EB84645F-E1B4-48B5-A6F4-2886BA10095E}"/>
</file>

<file path=customXml/itemProps3.xml><?xml version="1.0" encoding="utf-8"?>
<ds:datastoreItem xmlns:ds="http://schemas.openxmlformats.org/officeDocument/2006/customXml" ds:itemID="{FC9FF46C-DED1-4CF4-97B7-04CC20AECF30}">
  <ds:schemaRefs>
    <ds:schemaRef ds:uri="http://schemas.openxmlformats.org/officeDocument/2006/bibliography"/>
  </ds:schemaRefs>
</ds:datastoreItem>
</file>

<file path=customXml/itemProps4.xml><?xml version="1.0" encoding="utf-8"?>
<ds:datastoreItem xmlns:ds="http://schemas.openxmlformats.org/officeDocument/2006/customXml" ds:itemID="{F16BC5D1-0BC9-43F4-BE9C-E040DCC1F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1964</Words>
  <Characters>11200</Characters>
  <Application>Microsoft Office Word</Application>
  <DocSecurity>4</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Jose Veramendi Villa</dc:title>
  <dc:subject/>
  <dc:creator>Katherine  Sutherland</dc:creator>
  <cp:keywords/>
  <dc:description/>
  <cp:lastModifiedBy>OHCHR MJV</cp:lastModifiedBy>
  <cp:revision>2</cp:revision>
  <dcterms:created xsi:type="dcterms:W3CDTF">2024-02-15T13:30:00Z</dcterms:created>
  <dcterms:modified xsi:type="dcterms:W3CDTF">2024-02-15T13:30:00Z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Update Call for Inputs page with Inputs Received </vt:lpwstr>
  </property>
</Properties>
</file>