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27CB" w14:textId="77777777" w:rsidR="00143568" w:rsidRDefault="00143568" w:rsidP="00F20FA8">
      <w:pPr>
        <w:jc w:val="both"/>
        <w:rPr>
          <w:rFonts w:ascii="Times New Roman" w:hAnsi="Times New Roman" w:cs="Times New Roman"/>
        </w:rPr>
      </w:pPr>
    </w:p>
    <w:p w14:paraId="4D8B6AA3" w14:textId="14B04AD9" w:rsidR="002C01A7" w:rsidRDefault="00642A2A" w:rsidP="00F20FA8">
      <w:pPr>
        <w:jc w:val="both"/>
        <w:rPr>
          <w:rFonts w:ascii="Times New Roman" w:hAnsi="Times New Roman" w:cs="Times New Roman"/>
        </w:rPr>
      </w:pPr>
      <w:r w:rsidRPr="00642A2A">
        <w:rPr>
          <w:rFonts w:ascii="Times New Roman" w:hAnsi="Times New Roman" w:cs="Times New Roman"/>
        </w:rPr>
        <w:t>Treatment Action Group</w:t>
      </w:r>
    </w:p>
    <w:p w14:paraId="411EBFD4" w14:textId="1C862EF2" w:rsidR="00143568" w:rsidRDefault="00143568" w:rsidP="00F20FA8">
      <w:pPr>
        <w:jc w:val="both"/>
        <w:rPr>
          <w:rFonts w:ascii="Times New Roman" w:hAnsi="Times New Roman" w:cs="Times New Roman"/>
        </w:rPr>
      </w:pPr>
      <w:r>
        <w:rPr>
          <w:rFonts w:ascii="Times New Roman" w:hAnsi="Times New Roman" w:cs="Times New Roman"/>
        </w:rPr>
        <w:t>90 Broad St, Suite 2503</w:t>
      </w:r>
    </w:p>
    <w:p w14:paraId="418FDB00" w14:textId="77CAAD5F" w:rsidR="00143568" w:rsidRDefault="00143568" w:rsidP="00F20FA8">
      <w:pPr>
        <w:jc w:val="both"/>
        <w:rPr>
          <w:rFonts w:ascii="Times New Roman" w:hAnsi="Times New Roman" w:cs="Times New Roman"/>
        </w:rPr>
      </w:pPr>
      <w:r>
        <w:rPr>
          <w:rFonts w:ascii="Times New Roman" w:hAnsi="Times New Roman" w:cs="Times New Roman"/>
        </w:rPr>
        <w:t>New York, NY 10004</w:t>
      </w:r>
    </w:p>
    <w:p w14:paraId="3569FDF6" w14:textId="767A9A88" w:rsidR="00143568" w:rsidRDefault="00143568" w:rsidP="00F20FA8">
      <w:pPr>
        <w:jc w:val="both"/>
        <w:rPr>
          <w:rFonts w:ascii="Times New Roman" w:hAnsi="Times New Roman" w:cs="Times New Roman"/>
        </w:rPr>
      </w:pPr>
      <w:r>
        <w:rPr>
          <w:rFonts w:ascii="Times New Roman" w:hAnsi="Times New Roman" w:cs="Times New Roman"/>
        </w:rPr>
        <w:t>USA</w:t>
      </w:r>
    </w:p>
    <w:p w14:paraId="588748D2" w14:textId="77777777" w:rsidR="00143568" w:rsidRDefault="00143568" w:rsidP="00F20FA8">
      <w:pPr>
        <w:jc w:val="both"/>
        <w:rPr>
          <w:rFonts w:ascii="Times New Roman" w:hAnsi="Times New Roman" w:cs="Times New Roman"/>
        </w:rPr>
      </w:pPr>
    </w:p>
    <w:p w14:paraId="01F84C93" w14:textId="2D9E5F59" w:rsidR="00143568" w:rsidRDefault="00143568" w:rsidP="00F20FA8">
      <w:pPr>
        <w:jc w:val="both"/>
        <w:rPr>
          <w:rFonts w:ascii="Times New Roman" w:hAnsi="Times New Roman" w:cs="Times New Roman"/>
        </w:rPr>
      </w:pPr>
    </w:p>
    <w:p w14:paraId="7828C434" w14:textId="77777777" w:rsidR="00143568" w:rsidRDefault="00143568" w:rsidP="00F20FA8">
      <w:pPr>
        <w:jc w:val="both"/>
        <w:rPr>
          <w:rFonts w:ascii="Times New Roman" w:hAnsi="Times New Roman" w:cs="Times New Roman"/>
        </w:rPr>
      </w:pPr>
      <w:r w:rsidRPr="00143568">
        <w:rPr>
          <w:rFonts w:ascii="Times New Roman" w:hAnsi="Times New Roman" w:cs="Times New Roman"/>
        </w:rPr>
        <w:t>Office of the United Nations High Commissioner for Human Rights</w:t>
      </w:r>
    </w:p>
    <w:p w14:paraId="135EE913" w14:textId="0F98240F" w:rsidR="00143568" w:rsidRDefault="00143568" w:rsidP="00F20FA8">
      <w:pPr>
        <w:jc w:val="both"/>
        <w:rPr>
          <w:rFonts w:ascii="Times New Roman" w:hAnsi="Times New Roman" w:cs="Times New Roman"/>
        </w:rPr>
      </w:pPr>
      <w:r w:rsidRPr="00143568">
        <w:rPr>
          <w:rFonts w:ascii="Times New Roman" w:hAnsi="Times New Roman" w:cs="Times New Roman"/>
        </w:rPr>
        <w:t>United Nations Office at Geneva</w:t>
      </w:r>
    </w:p>
    <w:p w14:paraId="5AABFD42" w14:textId="0A42B37D" w:rsidR="00143568" w:rsidRDefault="00143568" w:rsidP="00F20FA8">
      <w:pPr>
        <w:jc w:val="both"/>
        <w:rPr>
          <w:rFonts w:ascii="Times New Roman" w:hAnsi="Times New Roman" w:cs="Times New Roman"/>
        </w:rPr>
      </w:pPr>
      <w:r>
        <w:rPr>
          <w:rFonts w:ascii="Times New Roman" w:hAnsi="Times New Roman" w:cs="Times New Roman"/>
        </w:rPr>
        <w:t>c/o</w:t>
      </w:r>
      <w:r w:rsidRPr="00143568">
        <w:rPr>
          <w:rFonts w:ascii="Times New Roman" w:hAnsi="Times New Roman" w:cs="Times New Roman"/>
        </w:rPr>
        <w:t xml:space="preserve"> </w:t>
      </w:r>
      <w:r>
        <w:rPr>
          <w:rFonts w:ascii="Times New Roman" w:hAnsi="Times New Roman" w:cs="Times New Roman"/>
        </w:rPr>
        <w:t xml:space="preserve">Ms. </w:t>
      </w:r>
      <w:r w:rsidRPr="00143568">
        <w:rPr>
          <w:rFonts w:ascii="Times New Roman" w:hAnsi="Times New Roman" w:cs="Times New Roman"/>
        </w:rPr>
        <w:t xml:space="preserve">Alexandra </w:t>
      </w:r>
      <w:proofErr w:type="spellStart"/>
      <w:r w:rsidRPr="00143568">
        <w:rPr>
          <w:rFonts w:ascii="Times New Roman" w:hAnsi="Times New Roman" w:cs="Times New Roman"/>
        </w:rPr>
        <w:t>Xanthaki</w:t>
      </w:r>
      <w:proofErr w:type="spellEnd"/>
      <w:r>
        <w:rPr>
          <w:rFonts w:ascii="Times New Roman" w:hAnsi="Times New Roman" w:cs="Times New Roman"/>
        </w:rPr>
        <w:t>, Special Rapporteur in the fields of cultural rights</w:t>
      </w:r>
    </w:p>
    <w:p w14:paraId="714EDEB8" w14:textId="77777777" w:rsidR="00143568" w:rsidRDefault="00143568" w:rsidP="00F20FA8">
      <w:pPr>
        <w:jc w:val="both"/>
        <w:rPr>
          <w:rFonts w:ascii="Times New Roman" w:hAnsi="Times New Roman" w:cs="Times New Roman"/>
        </w:rPr>
      </w:pPr>
      <w:r w:rsidRPr="00143568">
        <w:rPr>
          <w:rFonts w:ascii="Times New Roman" w:hAnsi="Times New Roman" w:cs="Times New Roman"/>
        </w:rPr>
        <w:t>CH 1211 Geneva 10</w:t>
      </w:r>
    </w:p>
    <w:p w14:paraId="2FBC98CD" w14:textId="4DE78318" w:rsidR="00143568" w:rsidRDefault="00143568" w:rsidP="00F20FA8">
      <w:pPr>
        <w:jc w:val="both"/>
        <w:rPr>
          <w:rFonts w:ascii="Times New Roman" w:hAnsi="Times New Roman" w:cs="Times New Roman"/>
        </w:rPr>
      </w:pPr>
      <w:r>
        <w:rPr>
          <w:rFonts w:ascii="Times New Roman" w:hAnsi="Times New Roman" w:cs="Times New Roman"/>
        </w:rPr>
        <w:t>S</w:t>
      </w:r>
      <w:r w:rsidRPr="00143568">
        <w:rPr>
          <w:rFonts w:ascii="Times New Roman" w:hAnsi="Times New Roman" w:cs="Times New Roman"/>
        </w:rPr>
        <w:t>witzerland</w:t>
      </w:r>
    </w:p>
    <w:p w14:paraId="459CFC38" w14:textId="3284DBA4" w:rsidR="00143568" w:rsidRDefault="00143568" w:rsidP="00F20FA8">
      <w:pPr>
        <w:jc w:val="both"/>
        <w:rPr>
          <w:rFonts w:ascii="Times New Roman" w:hAnsi="Times New Roman" w:cs="Times New Roman"/>
        </w:rPr>
      </w:pPr>
    </w:p>
    <w:p w14:paraId="2DEB009D" w14:textId="3388C3D4" w:rsidR="00143568" w:rsidRDefault="00143568" w:rsidP="00143568">
      <w:pPr>
        <w:jc w:val="right"/>
        <w:rPr>
          <w:rFonts w:ascii="Times New Roman" w:hAnsi="Times New Roman" w:cs="Times New Roman"/>
        </w:rPr>
      </w:pPr>
      <w:r>
        <w:rPr>
          <w:rFonts w:ascii="Times New Roman" w:hAnsi="Times New Roman" w:cs="Times New Roman"/>
        </w:rPr>
        <w:t xml:space="preserve">November </w:t>
      </w:r>
      <w:r w:rsidR="00BE0B4C" w:rsidRPr="00BE0B4C">
        <w:rPr>
          <w:rFonts w:ascii="Times New Roman" w:hAnsi="Times New Roman" w:cs="Times New Roman"/>
        </w:rPr>
        <w:t>23</w:t>
      </w:r>
      <w:r>
        <w:rPr>
          <w:rFonts w:ascii="Times New Roman" w:hAnsi="Times New Roman" w:cs="Times New Roman"/>
        </w:rPr>
        <w:t>, 2022</w:t>
      </w:r>
    </w:p>
    <w:p w14:paraId="4175B484" w14:textId="77777777" w:rsidR="00143568" w:rsidRPr="00642A2A" w:rsidRDefault="00143568" w:rsidP="00F20FA8">
      <w:pPr>
        <w:jc w:val="both"/>
        <w:rPr>
          <w:rFonts w:ascii="Times New Roman" w:hAnsi="Times New Roman" w:cs="Times New Roman"/>
        </w:rPr>
      </w:pPr>
    </w:p>
    <w:p w14:paraId="3FC3FDF7" w14:textId="62A8AF0F" w:rsidR="00642A2A" w:rsidRPr="00143568" w:rsidRDefault="00143568" w:rsidP="00F20FA8">
      <w:pPr>
        <w:jc w:val="both"/>
        <w:rPr>
          <w:rFonts w:ascii="Times New Roman" w:hAnsi="Times New Roman" w:cs="Times New Roman"/>
          <w:b/>
          <w:bCs/>
        </w:rPr>
      </w:pPr>
      <w:r w:rsidRPr="00143568">
        <w:rPr>
          <w:rFonts w:ascii="Times New Roman" w:hAnsi="Times New Roman" w:cs="Times New Roman"/>
          <w:b/>
          <w:bCs/>
        </w:rPr>
        <w:t>Re: Contribution on cultural rights and migration</w:t>
      </w:r>
    </w:p>
    <w:p w14:paraId="667BBE87" w14:textId="2FE9CAE9" w:rsidR="00642A2A" w:rsidRPr="00642A2A" w:rsidRDefault="00642A2A" w:rsidP="00F20FA8">
      <w:pPr>
        <w:jc w:val="both"/>
        <w:rPr>
          <w:rFonts w:ascii="Times New Roman" w:hAnsi="Times New Roman" w:cs="Times New Roman"/>
        </w:rPr>
      </w:pPr>
    </w:p>
    <w:p w14:paraId="357E2B8D" w14:textId="445997F7" w:rsidR="00642A2A" w:rsidRPr="00642A2A" w:rsidRDefault="00642A2A" w:rsidP="00F20FA8">
      <w:pPr>
        <w:jc w:val="both"/>
        <w:rPr>
          <w:rFonts w:ascii="Times New Roman" w:hAnsi="Times New Roman" w:cs="Times New Roman"/>
        </w:rPr>
      </w:pPr>
    </w:p>
    <w:p w14:paraId="3C27AD1B" w14:textId="2E198021" w:rsidR="00642A2A" w:rsidRPr="003970E9" w:rsidRDefault="003970E9" w:rsidP="00F20FA8">
      <w:pPr>
        <w:jc w:val="both"/>
        <w:rPr>
          <w:rFonts w:ascii="Times New Roman" w:hAnsi="Times New Roman" w:cs="Times New Roman"/>
          <w:u w:val="single"/>
        </w:rPr>
      </w:pPr>
      <w:r w:rsidRPr="003970E9">
        <w:rPr>
          <w:rFonts w:ascii="Times New Roman" w:hAnsi="Times New Roman" w:cs="Times New Roman"/>
          <w:u w:val="single"/>
        </w:rPr>
        <w:t>Introduction:</w:t>
      </w:r>
    </w:p>
    <w:p w14:paraId="6BEC0459" w14:textId="77777777" w:rsidR="00642A2A" w:rsidRPr="00642A2A" w:rsidRDefault="00642A2A" w:rsidP="00F20FA8">
      <w:pPr>
        <w:jc w:val="both"/>
        <w:rPr>
          <w:rFonts w:ascii="Times New Roman" w:hAnsi="Times New Roman" w:cs="Times New Roman"/>
        </w:rPr>
      </w:pPr>
    </w:p>
    <w:p w14:paraId="1E555106" w14:textId="2F80D8B3" w:rsidR="00642A2A" w:rsidRDefault="00642A2A" w:rsidP="00F20FA8">
      <w:pPr>
        <w:pStyle w:val="ListParagraph"/>
        <w:numPr>
          <w:ilvl w:val="0"/>
          <w:numId w:val="1"/>
        </w:numPr>
        <w:jc w:val="both"/>
        <w:rPr>
          <w:rFonts w:ascii="Times New Roman" w:hAnsi="Times New Roman" w:cs="Times New Roman"/>
        </w:rPr>
      </w:pPr>
      <w:r w:rsidRPr="00642A2A">
        <w:rPr>
          <w:rFonts w:ascii="Times New Roman" w:hAnsi="Times New Roman" w:cs="Times New Roman"/>
        </w:rPr>
        <w:t>Treatment Action Group (TAG) is an independent, activist, and community-based research and policy think tank committed to racial, gender, and LGBTQ+ equity; social justice; and liberation, fighting to end HIV, tuberculosis (TB), and hepatitis C virus (HCV). We are science-based activists working to expand and accelerate vital research and effective community engagement to the HIV, TB, and HCV pandemics.</w:t>
      </w:r>
    </w:p>
    <w:p w14:paraId="5689E2E3" w14:textId="77777777" w:rsidR="00245EC2" w:rsidRPr="00642A2A" w:rsidRDefault="00245EC2" w:rsidP="00F20FA8">
      <w:pPr>
        <w:pStyle w:val="ListParagraph"/>
        <w:jc w:val="both"/>
        <w:rPr>
          <w:rFonts w:ascii="Times New Roman" w:hAnsi="Times New Roman" w:cs="Times New Roman"/>
        </w:rPr>
      </w:pPr>
    </w:p>
    <w:p w14:paraId="67CFACCD" w14:textId="6DE7D349" w:rsidR="0030563D" w:rsidRPr="00F20FA8" w:rsidRDefault="00873BDB" w:rsidP="00F20FA8">
      <w:pPr>
        <w:pStyle w:val="ListParagraph"/>
        <w:numPr>
          <w:ilvl w:val="0"/>
          <w:numId w:val="1"/>
        </w:numPr>
        <w:tabs>
          <w:tab w:val="left" w:pos="993"/>
        </w:tabs>
        <w:jc w:val="both"/>
        <w:rPr>
          <w:bCs/>
        </w:rPr>
      </w:pPr>
      <w:r w:rsidRPr="00F20FA8">
        <w:rPr>
          <w:rFonts w:ascii="Times New Roman" w:hAnsi="Times New Roman" w:cs="Times New Roman"/>
        </w:rPr>
        <w:t xml:space="preserve">TAG strongly urges </w:t>
      </w:r>
      <w:r w:rsidR="00143568">
        <w:rPr>
          <w:rFonts w:ascii="Times New Roman" w:hAnsi="Times New Roman" w:cs="Times New Roman"/>
        </w:rPr>
        <w:t>the S</w:t>
      </w:r>
      <w:r w:rsidR="004C6B91">
        <w:rPr>
          <w:rFonts w:ascii="Times New Roman" w:hAnsi="Times New Roman" w:cs="Times New Roman"/>
        </w:rPr>
        <w:t xml:space="preserve">pecial </w:t>
      </w:r>
      <w:r w:rsidR="00143568">
        <w:rPr>
          <w:rFonts w:ascii="Times New Roman" w:hAnsi="Times New Roman" w:cs="Times New Roman"/>
        </w:rPr>
        <w:t>R</w:t>
      </w:r>
      <w:r w:rsidR="004C6B91">
        <w:rPr>
          <w:rFonts w:ascii="Times New Roman" w:hAnsi="Times New Roman" w:cs="Times New Roman"/>
        </w:rPr>
        <w:t>apporteur</w:t>
      </w:r>
      <w:r w:rsidRPr="00F20FA8">
        <w:rPr>
          <w:rFonts w:ascii="Times New Roman" w:hAnsi="Times New Roman" w:cs="Times New Roman"/>
        </w:rPr>
        <w:t xml:space="preserve"> to recognize the right of everyone to enjoy the benefits </w:t>
      </w:r>
      <w:r w:rsidR="00DE1CD6" w:rsidRPr="00F20FA8">
        <w:rPr>
          <w:rFonts w:ascii="Times New Roman" w:hAnsi="Times New Roman" w:cs="Times New Roman"/>
        </w:rPr>
        <w:t>of scientific progress and its applications (hereafter: right to science) as</w:t>
      </w:r>
      <w:r w:rsidR="0030563D" w:rsidRPr="00F20FA8">
        <w:rPr>
          <w:rFonts w:ascii="Times New Roman" w:hAnsi="Times New Roman" w:cs="Times New Roman"/>
        </w:rPr>
        <w:t xml:space="preserve"> </w:t>
      </w:r>
      <w:r w:rsidR="00223B76">
        <w:rPr>
          <w:rFonts w:ascii="Times New Roman" w:hAnsi="Times New Roman" w:cs="Times New Roman"/>
        </w:rPr>
        <w:t xml:space="preserve">an </w:t>
      </w:r>
      <w:r w:rsidR="00DE1CD6" w:rsidRPr="00F20FA8">
        <w:rPr>
          <w:rFonts w:ascii="Times New Roman" w:hAnsi="Times New Roman" w:cs="Times New Roman"/>
        </w:rPr>
        <w:t xml:space="preserve">essential </w:t>
      </w:r>
      <w:r w:rsidR="00172F61">
        <w:rPr>
          <w:rFonts w:ascii="Times New Roman" w:hAnsi="Times New Roman" w:cs="Times New Roman"/>
        </w:rPr>
        <w:t xml:space="preserve">part of and contributor to the cultural rights </w:t>
      </w:r>
      <w:r w:rsidR="0030563D" w:rsidRPr="00F20FA8">
        <w:rPr>
          <w:rFonts w:ascii="Times New Roman" w:hAnsi="Times New Roman" w:cs="Times New Roman"/>
        </w:rPr>
        <w:t xml:space="preserve">obligations </w:t>
      </w:r>
      <w:r w:rsidR="00172F61">
        <w:rPr>
          <w:rFonts w:ascii="Times New Roman" w:hAnsi="Times New Roman" w:cs="Times New Roman"/>
        </w:rPr>
        <w:t>that</w:t>
      </w:r>
      <w:r w:rsidR="0030563D" w:rsidRPr="00F20FA8">
        <w:rPr>
          <w:rFonts w:ascii="Times New Roman" w:hAnsi="Times New Roman" w:cs="Times New Roman"/>
        </w:rPr>
        <w:t xml:space="preserve"> states</w:t>
      </w:r>
      <w:r w:rsidR="00172F61">
        <w:rPr>
          <w:rFonts w:ascii="Times New Roman" w:hAnsi="Times New Roman" w:cs="Times New Roman"/>
        </w:rPr>
        <w:t xml:space="preserve"> must to fulfill</w:t>
      </w:r>
      <w:r w:rsidR="00223B76">
        <w:rPr>
          <w:rFonts w:ascii="Times New Roman" w:hAnsi="Times New Roman" w:cs="Times New Roman"/>
        </w:rPr>
        <w:t xml:space="preserve"> for persons in migration</w:t>
      </w:r>
      <w:r w:rsidR="0030563D" w:rsidRPr="00F20FA8">
        <w:rPr>
          <w:rFonts w:ascii="Times New Roman" w:hAnsi="Times New Roman" w:cs="Times New Roman"/>
        </w:rPr>
        <w:t>.</w:t>
      </w:r>
      <w:r w:rsidR="0030563D" w:rsidRPr="00F20FA8">
        <w:rPr>
          <w:bCs/>
        </w:rPr>
        <w:t xml:space="preserve"> </w:t>
      </w:r>
    </w:p>
    <w:p w14:paraId="4EC79C22" w14:textId="77777777" w:rsidR="00245EC2" w:rsidRPr="00245EC2" w:rsidRDefault="00245EC2" w:rsidP="00F20FA8">
      <w:pPr>
        <w:pStyle w:val="ListParagraph"/>
        <w:jc w:val="both"/>
      </w:pPr>
    </w:p>
    <w:p w14:paraId="3DBAA3DE" w14:textId="77777777" w:rsidR="008D1DD0" w:rsidRDefault="00172F61" w:rsidP="008D1DD0">
      <w:pPr>
        <w:pStyle w:val="ListParagraph"/>
        <w:numPr>
          <w:ilvl w:val="0"/>
          <w:numId w:val="1"/>
        </w:numPr>
        <w:jc w:val="both"/>
        <w:rPr>
          <w:rFonts w:ascii="Times New Roman" w:hAnsi="Times New Roman" w:cs="Times New Roman"/>
        </w:rPr>
      </w:pPr>
      <w:r>
        <w:rPr>
          <w:rFonts w:ascii="Times New Roman" w:hAnsi="Times New Roman" w:cs="Times New Roman"/>
        </w:rPr>
        <w:t xml:space="preserve">This contribution </w:t>
      </w:r>
      <w:r w:rsidR="004C6B91">
        <w:rPr>
          <w:rFonts w:ascii="Times New Roman" w:hAnsi="Times New Roman" w:cs="Times New Roman"/>
        </w:rPr>
        <w:t>foremost r</w:t>
      </w:r>
      <w:r>
        <w:rPr>
          <w:rFonts w:ascii="Times New Roman" w:hAnsi="Times New Roman" w:cs="Times New Roman"/>
        </w:rPr>
        <w:t xml:space="preserve">esponds to </w:t>
      </w:r>
      <w:r w:rsidRPr="004C6B91">
        <w:rPr>
          <w:rFonts w:ascii="Times New Roman" w:hAnsi="Times New Roman" w:cs="Times New Roman"/>
          <w:u w:val="single"/>
        </w:rPr>
        <w:t>Question 1</w:t>
      </w:r>
      <w:r>
        <w:rPr>
          <w:rFonts w:ascii="Times New Roman" w:hAnsi="Times New Roman" w:cs="Times New Roman"/>
        </w:rPr>
        <w:t xml:space="preserve"> of the call for</w:t>
      </w:r>
      <w:r w:rsidR="004C6B91">
        <w:rPr>
          <w:rFonts w:ascii="Times New Roman" w:hAnsi="Times New Roman" w:cs="Times New Roman"/>
        </w:rPr>
        <w:t xml:space="preserve"> input for a report on cultural rights and migration: “</w:t>
      </w:r>
      <w:r w:rsidR="004C6B91" w:rsidRPr="004C6B91">
        <w:rPr>
          <w:rFonts w:ascii="Times New Roman" w:hAnsi="Times New Roman" w:cs="Times New Roman"/>
        </w:rPr>
        <w:t>What are the issues relating to cultural rights that you see in your country’s migration processes?</w:t>
      </w:r>
      <w:r w:rsidR="004C6B91">
        <w:rPr>
          <w:rFonts w:ascii="Times New Roman" w:hAnsi="Times New Roman" w:cs="Times New Roman"/>
        </w:rPr>
        <w:t>”</w:t>
      </w:r>
      <w:r w:rsidR="008D1DD0">
        <w:rPr>
          <w:rFonts w:ascii="Times New Roman" w:hAnsi="Times New Roman" w:cs="Times New Roman"/>
        </w:rPr>
        <w:t xml:space="preserve"> and</w:t>
      </w:r>
      <w:r w:rsidR="004C6B91" w:rsidRPr="008D1DD0">
        <w:rPr>
          <w:rFonts w:ascii="Times New Roman" w:hAnsi="Times New Roman" w:cs="Times New Roman"/>
        </w:rPr>
        <w:t xml:space="preserve"> invites the Special Rapporteur to deepen the analysis of cultural rights </w:t>
      </w:r>
      <w:r w:rsidR="008D1DD0" w:rsidRPr="008D1DD0">
        <w:rPr>
          <w:rFonts w:ascii="Times New Roman" w:hAnsi="Times New Roman" w:cs="Times New Roman"/>
        </w:rPr>
        <w:t>in the context or migration</w:t>
      </w:r>
      <w:r w:rsidR="004C6B91" w:rsidRPr="008D1DD0">
        <w:rPr>
          <w:rFonts w:ascii="Times New Roman" w:hAnsi="Times New Roman" w:cs="Times New Roman"/>
        </w:rPr>
        <w:t xml:space="preserve"> by </w:t>
      </w:r>
      <w:r w:rsidR="008D1DD0" w:rsidRPr="008D1DD0">
        <w:rPr>
          <w:rFonts w:ascii="Times New Roman" w:hAnsi="Times New Roman" w:cs="Times New Roman"/>
        </w:rPr>
        <w:t>unpacking</w:t>
      </w:r>
      <w:r w:rsidR="004C6B91" w:rsidRPr="008D1DD0">
        <w:rPr>
          <w:rFonts w:ascii="Times New Roman" w:hAnsi="Times New Roman" w:cs="Times New Roman"/>
        </w:rPr>
        <w:t xml:space="preserve"> the role that science and technology play in migration processes. </w:t>
      </w:r>
    </w:p>
    <w:p w14:paraId="3C2D56B0" w14:textId="77777777" w:rsidR="008D1DD0" w:rsidRPr="008D1DD0" w:rsidRDefault="008D1DD0" w:rsidP="008D1DD0">
      <w:pPr>
        <w:pStyle w:val="ListParagraph"/>
        <w:rPr>
          <w:rFonts w:ascii="Times New Roman" w:hAnsi="Times New Roman" w:cs="Times New Roman"/>
        </w:rPr>
      </w:pPr>
    </w:p>
    <w:p w14:paraId="37A6B88A" w14:textId="4D50DB39" w:rsidR="00B82DA6" w:rsidRDefault="008D1DD0" w:rsidP="00B82DA6">
      <w:pPr>
        <w:pStyle w:val="ListParagraph"/>
        <w:numPr>
          <w:ilvl w:val="0"/>
          <w:numId w:val="1"/>
        </w:numPr>
        <w:jc w:val="both"/>
        <w:rPr>
          <w:rFonts w:ascii="Times New Roman" w:hAnsi="Times New Roman" w:cs="Times New Roman"/>
        </w:rPr>
      </w:pPr>
      <w:r w:rsidRPr="00B82DA6">
        <w:rPr>
          <w:rFonts w:ascii="Times New Roman" w:hAnsi="Times New Roman" w:cs="Times New Roman"/>
        </w:rPr>
        <w:t>TAG’s research has documented how unscientific health screening methods in the context of visa</w:t>
      </w:r>
      <w:r w:rsidR="00943B38" w:rsidRPr="00B82DA6">
        <w:rPr>
          <w:rFonts w:ascii="Times New Roman" w:hAnsi="Times New Roman" w:cs="Times New Roman"/>
        </w:rPr>
        <w:t xml:space="preserve"> procedures</w:t>
      </w:r>
      <w:r w:rsidRPr="00B82DA6">
        <w:rPr>
          <w:rFonts w:ascii="Times New Roman" w:hAnsi="Times New Roman" w:cs="Times New Roman"/>
        </w:rPr>
        <w:t xml:space="preserve"> </w:t>
      </w:r>
      <w:r w:rsidR="00943B38" w:rsidRPr="00B82DA6">
        <w:rPr>
          <w:rFonts w:ascii="Times New Roman" w:hAnsi="Times New Roman" w:cs="Times New Roman"/>
        </w:rPr>
        <w:t>constitute violations of cultural rights (including the right to science), the right to health</w:t>
      </w:r>
      <w:r w:rsidR="00223B76" w:rsidRPr="00B82DA6">
        <w:rPr>
          <w:rFonts w:ascii="Times New Roman" w:hAnsi="Times New Roman" w:cs="Times New Roman"/>
        </w:rPr>
        <w:t>,</w:t>
      </w:r>
      <w:r w:rsidR="00943B38" w:rsidRPr="00B82DA6">
        <w:rPr>
          <w:rFonts w:ascii="Times New Roman" w:hAnsi="Times New Roman" w:cs="Times New Roman"/>
        </w:rPr>
        <w:t xml:space="preserve"> and right to nondiscrimination</w:t>
      </w:r>
      <w:r w:rsidRPr="00B82DA6">
        <w:rPr>
          <w:rFonts w:ascii="Times New Roman" w:hAnsi="Times New Roman" w:cs="Times New Roman"/>
        </w:rPr>
        <w:t xml:space="preserve"> </w:t>
      </w:r>
      <w:r w:rsidR="00943B38" w:rsidRPr="00B82DA6">
        <w:rPr>
          <w:rFonts w:ascii="Times New Roman" w:hAnsi="Times New Roman" w:cs="Times New Roman"/>
        </w:rPr>
        <w:t>by determining who is allowed to migrate.</w:t>
      </w:r>
      <w:r w:rsidR="00B82DA6">
        <w:rPr>
          <w:rStyle w:val="FootnoteReference"/>
          <w:rFonts w:ascii="Times New Roman" w:hAnsi="Times New Roman" w:cs="Times New Roman"/>
        </w:rPr>
        <w:footnoteReference w:id="1"/>
      </w:r>
    </w:p>
    <w:p w14:paraId="31F6FA84" w14:textId="77777777" w:rsidR="00FF4F3A" w:rsidRPr="00FF4F3A" w:rsidRDefault="00FF4F3A" w:rsidP="00FF4F3A">
      <w:pPr>
        <w:jc w:val="both"/>
        <w:rPr>
          <w:rFonts w:ascii="Times New Roman" w:hAnsi="Times New Roman" w:cs="Times New Roman"/>
        </w:rPr>
      </w:pPr>
    </w:p>
    <w:p w14:paraId="518B8AEA" w14:textId="08AA6458" w:rsidR="00103FEB" w:rsidRPr="0020680D" w:rsidRDefault="00943B38" w:rsidP="0020680D">
      <w:pPr>
        <w:pStyle w:val="ListParagraph"/>
        <w:numPr>
          <w:ilvl w:val="0"/>
          <w:numId w:val="1"/>
        </w:numPr>
        <w:jc w:val="both"/>
        <w:rPr>
          <w:rFonts w:ascii="Times New Roman" w:hAnsi="Times New Roman" w:cs="Times New Roman"/>
        </w:rPr>
      </w:pPr>
      <w:r w:rsidRPr="00B82DA6">
        <w:rPr>
          <w:rFonts w:ascii="Times New Roman" w:hAnsi="Times New Roman" w:cs="Times New Roman"/>
        </w:rPr>
        <w:lastRenderedPageBreak/>
        <w:t xml:space="preserve"> </w:t>
      </w:r>
      <w:r w:rsidR="00103FEB" w:rsidRPr="0020680D">
        <w:rPr>
          <w:rFonts w:ascii="Times New Roman" w:hAnsi="Times New Roman" w:cs="Times New Roman"/>
        </w:rPr>
        <w:t>Restrictions on movement and migration, v</w:t>
      </w:r>
      <w:r w:rsidRPr="0020680D">
        <w:rPr>
          <w:rFonts w:ascii="Times New Roman" w:hAnsi="Times New Roman" w:cs="Times New Roman"/>
        </w:rPr>
        <w:t>isa denials</w:t>
      </w:r>
      <w:r w:rsidR="00103FEB" w:rsidRPr="0020680D">
        <w:rPr>
          <w:rFonts w:ascii="Times New Roman" w:hAnsi="Times New Roman" w:cs="Times New Roman"/>
        </w:rPr>
        <w:t xml:space="preserve"> and deportations</w:t>
      </w:r>
      <w:r w:rsidRPr="0020680D">
        <w:rPr>
          <w:rFonts w:ascii="Times New Roman" w:hAnsi="Times New Roman" w:cs="Times New Roman"/>
        </w:rPr>
        <w:t xml:space="preserve"> affect migrants</w:t>
      </w:r>
      <w:r w:rsidR="00223B76" w:rsidRPr="0020680D">
        <w:rPr>
          <w:rFonts w:ascii="Times New Roman" w:hAnsi="Times New Roman" w:cs="Times New Roman"/>
        </w:rPr>
        <w:t>’</w:t>
      </w:r>
      <w:r w:rsidRPr="0020680D">
        <w:rPr>
          <w:rFonts w:ascii="Times New Roman" w:hAnsi="Times New Roman" w:cs="Times New Roman"/>
        </w:rPr>
        <w:t xml:space="preserve"> lived culture by separating families or other cultural groupings</w:t>
      </w:r>
    </w:p>
    <w:p w14:paraId="00E3D07D" w14:textId="77777777" w:rsidR="00B82DA6" w:rsidRPr="00B82DA6" w:rsidRDefault="00B82DA6" w:rsidP="00B82DA6">
      <w:pPr>
        <w:pStyle w:val="ListParagraph"/>
        <w:ind w:left="360"/>
        <w:jc w:val="both"/>
        <w:rPr>
          <w:rFonts w:ascii="Times New Roman" w:hAnsi="Times New Roman" w:cs="Times New Roman"/>
        </w:rPr>
      </w:pPr>
    </w:p>
    <w:p w14:paraId="4496981F" w14:textId="77777777" w:rsidR="00103FEB" w:rsidRDefault="00943B38" w:rsidP="008D1DD0">
      <w:pPr>
        <w:pStyle w:val="ListParagraph"/>
        <w:numPr>
          <w:ilvl w:val="0"/>
          <w:numId w:val="1"/>
        </w:numPr>
        <w:jc w:val="both"/>
        <w:rPr>
          <w:rFonts w:ascii="Times New Roman" w:hAnsi="Times New Roman" w:cs="Times New Roman"/>
        </w:rPr>
      </w:pPr>
      <w:r>
        <w:rPr>
          <w:rFonts w:ascii="Times New Roman" w:hAnsi="Times New Roman" w:cs="Times New Roman"/>
        </w:rPr>
        <w:t>These violations are even more egregious when they are not decided based on the best available science</w:t>
      </w:r>
      <w:r w:rsidR="00C9746A">
        <w:rPr>
          <w:rFonts w:ascii="Times New Roman" w:hAnsi="Times New Roman" w:cs="Times New Roman"/>
        </w:rPr>
        <w:t xml:space="preserve"> and</w:t>
      </w:r>
      <w:r w:rsidR="00223B76">
        <w:rPr>
          <w:rFonts w:ascii="Times New Roman" w:hAnsi="Times New Roman" w:cs="Times New Roman"/>
        </w:rPr>
        <w:t xml:space="preserve"> international health</w:t>
      </w:r>
      <w:r w:rsidR="00C9746A">
        <w:rPr>
          <w:rFonts w:ascii="Times New Roman" w:hAnsi="Times New Roman" w:cs="Times New Roman"/>
        </w:rPr>
        <w:t xml:space="preserve"> standard</w:t>
      </w:r>
      <w:r w:rsidR="00223B76">
        <w:rPr>
          <w:rFonts w:ascii="Times New Roman" w:hAnsi="Times New Roman" w:cs="Times New Roman"/>
        </w:rPr>
        <w:t xml:space="preserve">s for disease screening and diagnosis as set forth by </w:t>
      </w:r>
      <w:r w:rsidR="00C9746A">
        <w:rPr>
          <w:rFonts w:ascii="Times New Roman" w:hAnsi="Times New Roman" w:cs="Times New Roman"/>
        </w:rPr>
        <w:t>W</w:t>
      </w:r>
      <w:r w:rsidR="00223B76">
        <w:rPr>
          <w:rFonts w:ascii="Times New Roman" w:hAnsi="Times New Roman" w:cs="Times New Roman"/>
        </w:rPr>
        <w:t xml:space="preserve">orld </w:t>
      </w:r>
      <w:r w:rsidR="00C9746A">
        <w:rPr>
          <w:rFonts w:ascii="Times New Roman" w:hAnsi="Times New Roman" w:cs="Times New Roman"/>
        </w:rPr>
        <w:t>H</w:t>
      </w:r>
      <w:r w:rsidR="00223B76">
        <w:rPr>
          <w:rFonts w:ascii="Times New Roman" w:hAnsi="Times New Roman" w:cs="Times New Roman"/>
        </w:rPr>
        <w:t xml:space="preserve">ealth </w:t>
      </w:r>
      <w:r w:rsidR="00C9746A">
        <w:rPr>
          <w:rFonts w:ascii="Times New Roman" w:hAnsi="Times New Roman" w:cs="Times New Roman"/>
        </w:rPr>
        <w:t>O</w:t>
      </w:r>
      <w:r w:rsidR="00223B76">
        <w:rPr>
          <w:rFonts w:ascii="Times New Roman" w:hAnsi="Times New Roman" w:cs="Times New Roman"/>
        </w:rPr>
        <w:t>rganization</w:t>
      </w:r>
      <w:r w:rsidR="00C9746A">
        <w:rPr>
          <w:rFonts w:ascii="Times New Roman" w:hAnsi="Times New Roman" w:cs="Times New Roman"/>
        </w:rPr>
        <w:t xml:space="preserve"> recommendations</w:t>
      </w:r>
      <w:r w:rsidR="00223B76">
        <w:rPr>
          <w:rFonts w:ascii="Times New Roman" w:hAnsi="Times New Roman" w:cs="Times New Roman"/>
        </w:rPr>
        <w:t xml:space="preserve">. </w:t>
      </w:r>
    </w:p>
    <w:p w14:paraId="6056B873" w14:textId="77777777" w:rsidR="00103FEB" w:rsidRPr="00103FEB" w:rsidRDefault="00103FEB" w:rsidP="00103FEB">
      <w:pPr>
        <w:pStyle w:val="ListParagraph"/>
        <w:rPr>
          <w:rFonts w:ascii="Times New Roman" w:hAnsi="Times New Roman" w:cs="Times New Roman"/>
        </w:rPr>
      </w:pPr>
    </w:p>
    <w:p w14:paraId="3F86D8A0" w14:textId="69BD5841" w:rsidR="00B82DA6" w:rsidRPr="005C64DD" w:rsidRDefault="00223B76" w:rsidP="005C64DD">
      <w:pPr>
        <w:pStyle w:val="ListParagraph"/>
        <w:numPr>
          <w:ilvl w:val="0"/>
          <w:numId w:val="1"/>
        </w:numPr>
        <w:jc w:val="both"/>
        <w:rPr>
          <w:rFonts w:ascii="Times New Roman" w:hAnsi="Times New Roman" w:cs="Times New Roman"/>
        </w:rPr>
      </w:pPr>
      <w:r>
        <w:rPr>
          <w:rFonts w:ascii="Times New Roman" w:hAnsi="Times New Roman" w:cs="Times New Roman"/>
        </w:rPr>
        <w:t xml:space="preserve">In effect, denial </w:t>
      </w:r>
      <w:r w:rsidR="00DE4FA8">
        <w:rPr>
          <w:rFonts w:ascii="Times New Roman" w:hAnsi="Times New Roman" w:cs="Times New Roman"/>
        </w:rPr>
        <w:t xml:space="preserve">of </w:t>
      </w:r>
      <w:r>
        <w:rPr>
          <w:rFonts w:ascii="Times New Roman" w:hAnsi="Times New Roman" w:cs="Times New Roman"/>
        </w:rPr>
        <w:t>entry</w:t>
      </w:r>
      <w:r w:rsidR="00B8178A">
        <w:rPr>
          <w:rFonts w:ascii="Times New Roman" w:hAnsi="Times New Roman" w:cs="Times New Roman"/>
        </w:rPr>
        <w:t xml:space="preserve"> or deportation</w:t>
      </w:r>
      <w:r>
        <w:rPr>
          <w:rFonts w:ascii="Times New Roman" w:hAnsi="Times New Roman" w:cs="Times New Roman"/>
        </w:rPr>
        <w:t xml:space="preserve"> based on unscientific disease screening </w:t>
      </w:r>
      <w:r w:rsidR="00B8178A">
        <w:rPr>
          <w:rFonts w:ascii="Times New Roman" w:hAnsi="Times New Roman" w:cs="Times New Roman"/>
        </w:rPr>
        <w:t xml:space="preserve">algorithms </w:t>
      </w:r>
      <w:r>
        <w:rPr>
          <w:rFonts w:ascii="Times New Roman" w:hAnsi="Times New Roman" w:cs="Times New Roman"/>
        </w:rPr>
        <w:t>are a direct violation of the cultural right of everyone to enjoy the benefits of scientific progress and its application</w:t>
      </w:r>
      <w:r w:rsidR="00DE4FA8">
        <w:rPr>
          <w:rFonts w:ascii="Times New Roman" w:hAnsi="Times New Roman" w:cs="Times New Roman"/>
        </w:rPr>
        <w:t>s</w:t>
      </w:r>
      <w:r>
        <w:rPr>
          <w:rFonts w:ascii="Times New Roman" w:hAnsi="Times New Roman" w:cs="Times New Roman"/>
        </w:rPr>
        <w:t xml:space="preserve"> </w:t>
      </w:r>
      <w:r w:rsidR="00B82DA6">
        <w:rPr>
          <w:rFonts w:ascii="Times New Roman" w:hAnsi="Times New Roman" w:cs="Times New Roman"/>
        </w:rPr>
        <w:t>and</w:t>
      </w:r>
      <w:r>
        <w:rPr>
          <w:rFonts w:ascii="Times New Roman" w:hAnsi="Times New Roman" w:cs="Times New Roman"/>
        </w:rPr>
        <w:t xml:space="preserve"> an indirect violation of </w:t>
      </w:r>
      <w:r w:rsidR="00DE4FA8">
        <w:rPr>
          <w:rFonts w:ascii="Times New Roman" w:hAnsi="Times New Roman" w:cs="Times New Roman"/>
        </w:rPr>
        <w:t xml:space="preserve">other </w:t>
      </w:r>
      <w:r>
        <w:rPr>
          <w:rFonts w:ascii="Times New Roman" w:hAnsi="Times New Roman" w:cs="Times New Roman"/>
        </w:rPr>
        <w:t>cultural rights in denying</w:t>
      </w:r>
      <w:r w:rsidR="005C64DD">
        <w:rPr>
          <w:rFonts w:ascii="Times New Roman" w:hAnsi="Times New Roman" w:cs="Times New Roman"/>
        </w:rPr>
        <w:t xml:space="preserve"> the necessary economic ability</w:t>
      </w:r>
      <w:r w:rsidR="00C9746A">
        <w:rPr>
          <w:rFonts w:ascii="Times New Roman" w:hAnsi="Times New Roman" w:cs="Times New Roman"/>
        </w:rPr>
        <w:t xml:space="preserve"> </w:t>
      </w:r>
      <w:r w:rsidR="005C64DD">
        <w:rPr>
          <w:rFonts w:ascii="Times New Roman" w:hAnsi="Times New Roman" w:cs="Times New Roman"/>
        </w:rPr>
        <w:t xml:space="preserve">for </w:t>
      </w:r>
      <w:r w:rsidR="00C9746A">
        <w:rPr>
          <w:rFonts w:ascii="Times New Roman" w:hAnsi="Times New Roman" w:cs="Times New Roman"/>
        </w:rPr>
        <w:t>cultural expression based on flawed, unscientific procedures.</w:t>
      </w:r>
      <w:r w:rsidR="005C64DD">
        <w:rPr>
          <w:rFonts w:ascii="Times New Roman" w:hAnsi="Times New Roman" w:cs="Times New Roman"/>
        </w:rPr>
        <w:t xml:space="preserve"> Cultural expression, as understood by UNESCO, includes “</w:t>
      </w:r>
      <w:r w:rsidR="005C64DD" w:rsidRPr="005C64DD">
        <w:rPr>
          <w:rFonts w:ascii="Times New Roman" w:hAnsi="Times New Roman" w:cs="Times New Roman"/>
        </w:rPr>
        <w:t>expressions that result from the creativity of individuals, groups and societies, and that have cultural content.</w:t>
      </w:r>
      <w:r w:rsidR="005C64DD">
        <w:rPr>
          <w:rFonts w:ascii="Times New Roman" w:hAnsi="Times New Roman" w:cs="Times New Roman"/>
        </w:rPr>
        <w:t>”</w:t>
      </w:r>
      <w:r w:rsidR="005C64DD">
        <w:rPr>
          <w:rStyle w:val="FootnoteReference"/>
          <w:rFonts w:ascii="Times New Roman" w:hAnsi="Times New Roman" w:cs="Times New Roman"/>
        </w:rPr>
        <w:footnoteReference w:id="2"/>
      </w:r>
    </w:p>
    <w:p w14:paraId="253E3922" w14:textId="77777777" w:rsidR="00143568" w:rsidRPr="00143568" w:rsidRDefault="00143568" w:rsidP="00143568">
      <w:pPr>
        <w:pStyle w:val="ListParagraph"/>
        <w:rPr>
          <w:rFonts w:ascii="Times New Roman" w:hAnsi="Times New Roman" w:cs="Times New Roman"/>
        </w:rPr>
      </w:pPr>
    </w:p>
    <w:p w14:paraId="64B23F96" w14:textId="77777777" w:rsidR="00143568" w:rsidRPr="00143568" w:rsidRDefault="00143568" w:rsidP="00143568">
      <w:pPr>
        <w:pStyle w:val="ListParagraph"/>
        <w:ind w:left="360"/>
        <w:jc w:val="both"/>
        <w:rPr>
          <w:rFonts w:ascii="Times New Roman" w:hAnsi="Times New Roman" w:cs="Times New Roman"/>
        </w:rPr>
      </w:pPr>
    </w:p>
    <w:p w14:paraId="4E2087AE" w14:textId="32424EAC" w:rsidR="00642A2A" w:rsidRPr="003970E9" w:rsidRDefault="00642A2A" w:rsidP="00F20FA8">
      <w:pPr>
        <w:jc w:val="both"/>
        <w:rPr>
          <w:rFonts w:ascii="Times New Roman" w:hAnsi="Times New Roman" w:cs="Times New Roman"/>
          <w:u w:val="single"/>
        </w:rPr>
      </w:pPr>
      <w:r w:rsidRPr="003970E9">
        <w:rPr>
          <w:rFonts w:ascii="Times New Roman" w:hAnsi="Times New Roman" w:cs="Times New Roman"/>
          <w:u w:val="single"/>
          <w:lang w:val="en-GB"/>
        </w:rPr>
        <w:t>(a)</w:t>
      </w:r>
      <w:r w:rsidR="00873BDB" w:rsidRPr="003970E9">
        <w:rPr>
          <w:rFonts w:ascii="Times New Roman" w:hAnsi="Times New Roman" w:cs="Times New Roman"/>
          <w:u w:val="single"/>
          <w:lang w:val="en-GB"/>
        </w:rPr>
        <w:t xml:space="preserve"> </w:t>
      </w:r>
      <w:r w:rsidR="00172F61">
        <w:rPr>
          <w:rFonts w:ascii="Times New Roman" w:hAnsi="Times New Roman" w:cs="Times New Roman"/>
          <w:u w:val="single"/>
          <w:lang w:val="en-GB"/>
        </w:rPr>
        <w:t>the right to science and its place among cultural rights</w:t>
      </w:r>
      <w:r w:rsidR="00873BDB" w:rsidRPr="003970E9">
        <w:rPr>
          <w:rFonts w:ascii="Times New Roman" w:hAnsi="Times New Roman" w:cs="Times New Roman"/>
          <w:u w:val="single"/>
          <w:lang w:val="en-GB"/>
        </w:rPr>
        <w:t>:</w:t>
      </w:r>
    </w:p>
    <w:p w14:paraId="661E0BC3" w14:textId="77777777" w:rsidR="00EB4DC7" w:rsidRPr="00EB4DC7" w:rsidRDefault="00EB4DC7" w:rsidP="00F20FA8">
      <w:pPr>
        <w:pStyle w:val="ListParagraph"/>
        <w:jc w:val="both"/>
        <w:rPr>
          <w:rFonts w:ascii="Times New Roman" w:hAnsi="Times New Roman" w:cs="Times New Roman"/>
        </w:rPr>
      </w:pPr>
    </w:p>
    <w:p w14:paraId="0B65C921" w14:textId="5F4B15AB" w:rsidR="003B750E" w:rsidRPr="000A7356" w:rsidRDefault="005C64DD" w:rsidP="000A7356">
      <w:pPr>
        <w:pStyle w:val="ListParagraph"/>
        <w:numPr>
          <w:ilvl w:val="0"/>
          <w:numId w:val="1"/>
        </w:numPr>
        <w:jc w:val="both"/>
        <w:rPr>
          <w:rFonts w:ascii="Times New Roman" w:hAnsi="Times New Roman" w:cs="Times New Roman"/>
          <w:color w:val="000000" w:themeColor="text1"/>
        </w:rPr>
      </w:pPr>
      <w:r w:rsidRPr="00145EE3">
        <w:rPr>
          <w:rFonts w:ascii="Times New Roman" w:hAnsi="Times New Roman" w:cs="Times New Roman"/>
          <w:color w:val="000000" w:themeColor="text1"/>
        </w:rPr>
        <w:t>“</w:t>
      </w:r>
      <w:r w:rsidRPr="00145EE3">
        <w:rPr>
          <w:rFonts w:ascii="Times New Roman" w:hAnsi="Times New Roman" w:cs="Times New Roman"/>
          <w:color w:val="000000" w:themeColor="text1"/>
        </w:rPr>
        <w:t>Science and culture are symbiotic</w:t>
      </w:r>
      <w:r w:rsidRPr="00145EE3">
        <w:rPr>
          <w:rFonts w:ascii="Times New Roman" w:hAnsi="Times New Roman" w:cs="Times New Roman"/>
          <w:color w:val="000000" w:themeColor="text1"/>
        </w:rPr>
        <w:t xml:space="preserve">”, writes Farida Shaheed, former Special Rapporteur in the field of cultural rights, tying both science and culture together </w:t>
      </w:r>
      <w:r w:rsidR="00145EE3" w:rsidRPr="00145EE3">
        <w:rPr>
          <w:rFonts w:ascii="Times New Roman" w:hAnsi="Times New Roman" w:cs="Times New Roman"/>
          <w:color w:val="000000" w:themeColor="text1"/>
        </w:rPr>
        <w:t>with the “intentions of the drafters of the Universal Declaration of Human Rights (UDHR)” and including in her analysis of science and culture the idea of them encompassing scientific and cultural knowledge.</w:t>
      </w:r>
      <w:r w:rsidR="00145EE3">
        <w:rPr>
          <w:rStyle w:val="FootnoteReference"/>
          <w:rFonts w:ascii="Times New Roman" w:hAnsi="Times New Roman" w:cs="Times New Roman"/>
          <w:color w:val="000000" w:themeColor="text1"/>
        </w:rPr>
        <w:footnoteReference w:id="3"/>
      </w:r>
      <w:r w:rsidR="000A7356">
        <w:rPr>
          <w:rFonts w:ascii="Times New Roman" w:hAnsi="Times New Roman" w:cs="Times New Roman"/>
          <w:color w:val="000000" w:themeColor="text1"/>
        </w:rPr>
        <w:t xml:space="preserve"> </w:t>
      </w:r>
      <w:proofErr w:type="spellStart"/>
      <w:r w:rsidR="000A7356" w:rsidRPr="000A7356">
        <w:rPr>
          <w:rFonts w:ascii="Times New Roman" w:hAnsi="Times New Roman" w:cs="Times New Roman"/>
          <w:color w:val="000000" w:themeColor="text1"/>
        </w:rPr>
        <w:t>Milène</w:t>
      </w:r>
      <w:proofErr w:type="spellEnd"/>
      <w:r w:rsidR="000A7356" w:rsidRPr="000A7356">
        <w:rPr>
          <w:rFonts w:ascii="Times New Roman" w:hAnsi="Times New Roman" w:cs="Times New Roman"/>
          <w:color w:val="000000" w:themeColor="text1"/>
        </w:rPr>
        <w:t xml:space="preserve"> </w:t>
      </w:r>
      <w:proofErr w:type="spellStart"/>
      <w:r w:rsidR="000A7356" w:rsidRPr="000A7356">
        <w:rPr>
          <w:rFonts w:ascii="Times New Roman" w:hAnsi="Times New Roman" w:cs="Times New Roman"/>
          <w:color w:val="000000" w:themeColor="text1"/>
        </w:rPr>
        <w:t>Bidault</w:t>
      </w:r>
      <w:proofErr w:type="spellEnd"/>
      <w:r w:rsidR="000A7356" w:rsidRPr="000A7356">
        <w:rPr>
          <w:rFonts w:ascii="Times New Roman" w:hAnsi="Times New Roman" w:cs="Times New Roman"/>
          <w:color w:val="000000" w:themeColor="text1"/>
        </w:rPr>
        <w:t xml:space="preserve"> describes the formal and substantive connections between science as a distinct part of cultural rights.</w:t>
      </w:r>
      <w:r w:rsidR="000A7356">
        <w:rPr>
          <w:rStyle w:val="FootnoteReference"/>
          <w:rFonts w:ascii="Times New Roman" w:hAnsi="Times New Roman" w:cs="Times New Roman"/>
          <w:color w:val="000000" w:themeColor="text1"/>
        </w:rPr>
        <w:footnoteReference w:id="4"/>
      </w:r>
      <w:r w:rsidR="000A7356" w:rsidRPr="000A7356">
        <w:rPr>
          <w:rFonts w:ascii="Times New Roman" w:hAnsi="Times New Roman" w:cs="Times New Roman"/>
          <w:color w:val="000000" w:themeColor="text1"/>
        </w:rPr>
        <w:t xml:space="preserve"> </w:t>
      </w:r>
    </w:p>
    <w:p w14:paraId="7449DB7C" w14:textId="77777777" w:rsidR="000A7356" w:rsidRPr="000A7356" w:rsidRDefault="000A7356" w:rsidP="000A7356">
      <w:pPr>
        <w:jc w:val="both"/>
        <w:rPr>
          <w:rFonts w:ascii="Times New Roman" w:hAnsi="Times New Roman" w:cs="Times New Roman"/>
          <w:color w:val="000000" w:themeColor="text1"/>
        </w:rPr>
      </w:pPr>
    </w:p>
    <w:p w14:paraId="40832E39" w14:textId="307B392F" w:rsidR="00B36F10" w:rsidRPr="00BE451F" w:rsidRDefault="000A7356" w:rsidP="00B36F10">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The Committee on Economic, Social and Cultural Rights in </w:t>
      </w:r>
      <w:r w:rsidR="003B750E">
        <w:rPr>
          <w:rFonts w:ascii="Times New Roman" w:hAnsi="Times New Roman" w:cs="Times New Roman"/>
          <w:color w:val="000000" w:themeColor="text1"/>
        </w:rPr>
        <w:t>General Comment 21 states</w:t>
      </w:r>
      <w:r w:rsidR="003B750E" w:rsidRPr="000A7356">
        <w:rPr>
          <w:rFonts w:ascii="Times New Roman" w:hAnsi="Times New Roman" w:cs="Times New Roman"/>
          <w:color w:val="000000" w:themeColor="text1"/>
        </w:rPr>
        <w:t>: “</w:t>
      </w:r>
      <w:r w:rsidR="003B750E" w:rsidRPr="000A7356">
        <w:rPr>
          <w:rFonts w:ascii="Times New Roman" w:hAnsi="Times New Roman" w:cs="Times New Roman"/>
        </w:rPr>
        <w:t>The right of everyone to take part in cultural life is closely related to the other cultural rights contained in article 15: the right to enjoy the benefits of scientific progress and its applications (art. 15, para. 1 (b)) […];</w:t>
      </w:r>
      <w:r w:rsidR="003B750E" w:rsidRPr="000A7356">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5"/>
      </w:r>
      <w:r>
        <w:rPr>
          <w:rFonts w:ascii="Times New Roman" w:hAnsi="Times New Roman" w:cs="Times New Roman"/>
          <w:color w:val="000000" w:themeColor="text1"/>
        </w:rPr>
        <w:t xml:space="preserve"> General Comment 21 further explains in paragraph 13 that culture is an expansive concept that includes access to science and technology, concluding that “[c]</w:t>
      </w:r>
      <w:proofErr w:type="spellStart"/>
      <w:r w:rsidRPr="003B750E">
        <w:rPr>
          <w:rFonts w:ascii="Times New Roman" w:hAnsi="Times New Roman" w:cs="Times New Roman"/>
          <w:color w:val="000000" w:themeColor="text1"/>
        </w:rPr>
        <w:t>ulture</w:t>
      </w:r>
      <w:proofErr w:type="spellEnd"/>
      <w:r w:rsidRPr="003B750E">
        <w:rPr>
          <w:rFonts w:ascii="Times New Roman" w:hAnsi="Times New Roman" w:cs="Times New Roman"/>
          <w:color w:val="000000" w:themeColor="text1"/>
        </w:rPr>
        <w:t xml:space="preserve"> shapes and mirrors the values of well-being and the economic, </w:t>
      </w:r>
      <w:proofErr w:type="gramStart"/>
      <w:r w:rsidRPr="003B750E">
        <w:rPr>
          <w:rFonts w:ascii="Times New Roman" w:hAnsi="Times New Roman" w:cs="Times New Roman"/>
          <w:color w:val="000000" w:themeColor="text1"/>
        </w:rPr>
        <w:t>social</w:t>
      </w:r>
      <w:proofErr w:type="gramEnd"/>
      <w:r w:rsidRPr="003B750E">
        <w:rPr>
          <w:rFonts w:ascii="Times New Roman" w:hAnsi="Times New Roman" w:cs="Times New Roman"/>
          <w:color w:val="000000" w:themeColor="text1"/>
        </w:rPr>
        <w:t xml:space="preserve"> and political life of individuals, groups of individuals and communities</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6"/>
      </w:r>
    </w:p>
    <w:p w14:paraId="1B5C4C9C" w14:textId="77777777" w:rsidR="000A7356" w:rsidRPr="000A7356" w:rsidRDefault="000A7356" w:rsidP="000A7356">
      <w:pPr>
        <w:pStyle w:val="ListParagraph"/>
        <w:ind w:left="360"/>
        <w:jc w:val="both"/>
        <w:rPr>
          <w:rFonts w:ascii="Times New Roman" w:hAnsi="Times New Roman" w:cs="Times New Roman"/>
          <w:color w:val="000000" w:themeColor="text1"/>
        </w:rPr>
      </w:pPr>
    </w:p>
    <w:p w14:paraId="720C4F05" w14:textId="14859616" w:rsidR="00085331" w:rsidRPr="00BE451F" w:rsidRDefault="00BE451F" w:rsidP="00BE451F">
      <w:pPr>
        <w:pStyle w:val="ListParagraph"/>
        <w:numPr>
          <w:ilvl w:val="0"/>
          <w:numId w:val="1"/>
        </w:numPr>
        <w:jc w:val="both"/>
        <w:rPr>
          <w:rFonts w:ascii="Times New Roman" w:hAnsi="Times New Roman" w:cs="Times New Roman"/>
        </w:rPr>
      </w:pPr>
      <w:r w:rsidRPr="00BE451F">
        <w:rPr>
          <w:rFonts w:ascii="Times New Roman" w:hAnsi="Times New Roman" w:cs="Times New Roman"/>
          <w:color w:val="000000" w:themeColor="text1"/>
        </w:rPr>
        <w:t xml:space="preserve">The right to science is not only a contributor, in some cases enabler, of cultural rights. It is </w:t>
      </w:r>
      <w:r w:rsidR="00FF4F3A">
        <w:rPr>
          <w:rFonts w:ascii="Times New Roman" w:hAnsi="Times New Roman" w:cs="Times New Roman"/>
          <w:color w:val="000000" w:themeColor="text1"/>
        </w:rPr>
        <w:t>itself</w:t>
      </w:r>
      <w:r w:rsidRPr="00BE451F">
        <w:rPr>
          <w:rFonts w:ascii="Times New Roman" w:hAnsi="Times New Roman" w:cs="Times New Roman"/>
          <w:color w:val="000000" w:themeColor="text1"/>
        </w:rPr>
        <w:t xml:space="preserve"> a cultural right.</w:t>
      </w:r>
      <w:r>
        <w:rPr>
          <w:rFonts w:ascii="Times New Roman" w:hAnsi="Times New Roman" w:cs="Times New Roman"/>
          <w:color w:val="000000" w:themeColor="text1"/>
        </w:rPr>
        <w:t xml:space="preserve"> </w:t>
      </w:r>
      <w:r w:rsidR="00EB4DC7" w:rsidRPr="00BE451F">
        <w:rPr>
          <w:rFonts w:ascii="Times New Roman" w:hAnsi="Times New Roman" w:cs="Times New Roman"/>
        </w:rPr>
        <w:t xml:space="preserve">The right to science derives from </w:t>
      </w:r>
      <w:r w:rsidR="00C110A4" w:rsidRPr="00BE451F">
        <w:rPr>
          <w:rFonts w:ascii="Times New Roman" w:hAnsi="Times New Roman" w:cs="Times New Roman"/>
        </w:rPr>
        <w:t xml:space="preserve">the International Covenant on Economic, </w:t>
      </w:r>
      <w:r w:rsidR="00C110A4" w:rsidRPr="00BE451F">
        <w:rPr>
          <w:rFonts w:ascii="Times New Roman" w:hAnsi="Times New Roman" w:cs="Times New Roman"/>
        </w:rPr>
        <w:lastRenderedPageBreak/>
        <w:t>Social, and Cultural Rights (</w:t>
      </w:r>
      <w:r w:rsidR="00245EC2" w:rsidRPr="00BE451F">
        <w:rPr>
          <w:rFonts w:ascii="Times New Roman" w:hAnsi="Times New Roman" w:cs="Times New Roman"/>
          <w:color w:val="000000" w:themeColor="text1"/>
        </w:rPr>
        <w:t>ICESCR</w:t>
      </w:r>
      <w:r w:rsidR="00C110A4" w:rsidRPr="00BE451F">
        <w:rPr>
          <w:rFonts w:ascii="Times New Roman" w:hAnsi="Times New Roman" w:cs="Times New Roman"/>
          <w:color w:val="000000" w:themeColor="text1"/>
        </w:rPr>
        <w:t>)</w:t>
      </w:r>
      <w:r w:rsidR="00245EC2" w:rsidRPr="00BE451F">
        <w:rPr>
          <w:rFonts w:ascii="Times New Roman" w:hAnsi="Times New Roman" w:cs="Times New Roman"/>
          <w:color w:val="000000" w:themeColor="text1"/>
        </w:rPr>
        <w:t xml:space="preserve"> Art. 15 (1) (b), (2), (3) and (4)</w:t>
      </w:r>
      <w:r w:rsidR="00C110A4" w:rsidRPr="00BE451F">
        <w:rPr>
          <w:rFonts w:ascii="Times New Roman" w:hAnsi="Times New Roman" w:cs="Times New Roman"/>
          <w:color w:val="000000" w:themeColor="text1"/>
        </w:rPr>
        <w:t>.</w:t>
      </w:r>
      <w:r w:rsidR="00A5265C" w:rsidRPr="00BE451F">
        <w:rPr>
          <w:rFonts w:ascii="Times New Roman" w:hAnsi="Times New Roman" w:cs="Times New Roman"/>
          <w:color w:val="000000" w:themeColor="text1"/>
        </w:rPr>
        <w:t xml:space="preserve"> </w:t>
      </w:r>
      <w:r w:rsidR="00266291" w:rsidRPr="00BE451F">
        <w:rPr>
          <w:rFonts w:ascii="Times New Roman" w:hAnsi="Times New Roman" w:cs="Times New Roman"/>
          <w:color w:val="000000" w:themeColor="text1"/>
        </w:rPr>
        <w:t xml:space="preserve">The right obligates states to ensure </w:t>
      </w:r>
      <w:r w:rsidR="00637E39" w:rsidRPr="00BE451F">
        <w:rPr>
          <w:rFonts w:ascii="Times New Roman" w:hAnsi="Times New Roman" w:cs="Times New Roman"/>
          <w:color w:val="000000" w:themeColor="text1"/>
        </w:rPr>
        <w:t>that everyone has access to the tangible and intangible products derived from scienc</w:t>
      </w:r>
      <w:r w:rsidR="00384AD2" w:rsidRPr="00BE451F">
        <w:rPr>
          <w:rFonts w:ascii="Times New Roman" w:hAnsi="Times New Roman" w:cs="Times New Roman"/>
          <w:color w:val="000000" w:themeColor="text1"/>
        </w:rPr>
        <w:t>e</w:t>
      </w:r>
      <w:r w:rsidR="00637E39" w:rsidRPr="00BE451F">
        <w:rPr>
          <w:rFonts w:ascii="Times New Roman" w:hAnsi="Times New Roman" w:cs="Times New Roman"/>
          <w:color w:val="000000" w:themeColor="text1"/>
        </w:rPr>
        <w:t xml:space="preserve"> </w:t>
      </w:r>
      <w:r w:rsidR="00384AD2" w:rsidRPr="00BE451F">
        <w:rPr>
          <w:rFonts w:ascii="Times New Roman" w:hAnsi="Times New Roman" w:cs="Times New Roman"/>
          <w:color w:val="000000" w:themeColor="text1"/>
        </w:rPr>
        <w:t>without discrimination</w:t>
      </w:r>
      <w:r w:rsidR="00637E39" w:rsidRPr="00BE451F">
        <w:rPr>
          <w:rFonts w:ascii="Times New Roman" w:hAnsi="Times New Roman" w:cs="Times New Roman"/>
          <w:color w:val="000000" w:themeColor="text1"/>
        </w:rPr>
        <w:t xml:space="preserve">. </w:t>
      </w:r>
    </w:p>
    <w:p w14:paraId="1830DCB2" w14:textId="77777777" w:rsidR="00085331" w:rsidRDefault="00085331" w:rsidP="00F20FA8">
      <w:pPr>
        <w:pStyle w:val="ListParagraph"/>
        <w:jc w:val="both"/>
        <w:rPr>
          <w:rFonts w:ascii="Times New Roman" w:hAnsi="Times New Roman" w:cs="Times New Roman"/>
          <w:color w:val="000000" w:themeColor="text1"/>
        </w:rPr>
      </w:pPr>
    </w:p>
    <w:p w14:paraId="2652B4C2" w14:textId="77777777" w:rsidR="00AE69AA" w:rsidRPr="00AE69AA" w:rsidRDefault="00AE69AA" w:rsidP="00AE69AA">
      <w:pPr>
        <w:pStyle w:val="ListParagraph"/>
        <w:numPr>
          <w:ilvl w:val="0"/>
          <w:numId w:val="1"/>
        </w:numPr>
        <w:jc w:val="both"/>
        <w:rPr>
          <w:rFonts w:ascii="Times New Roman" w:hAnsi="Times New Roman" w:cs="Times New Roman"/>
        </w:rPr>
      </w:pPr>
      <w:r w:rsidRPr="00172F61">
        <w:rPr>
          <w:rFonts w:ascii="Times New Roman" w:hAnsi="Times New Roman" w:cs="Times New Roman"/>
          <w:color w:val="000000" w:themeColor="text1"/>
        </w:rPr>
        <w:t>In 2020, coinciding with the start of the COVID-19 pandemic, CESCR published General Comment 25 on science and economic, social, and cultural rights (hereafter: GC25) providing the first authoritative analysis of the right to science.</w:t>
      </w:r>
      <w:r>
        <w:rPr>
          <w:rStyle w:val="FootnoteReference"/>
          <w:rFonts w:ascii="Times New Roman" w:hAnsi="Times New Roman" w:cs="Times New Roman"/>
          <w:color w:val="000000" w:themeColor="text1"/>
        </w:rPr>
        <w:footnoteReference w:id="7"/>
      </w:r>
      <w:r w:rsidRPr="00172F61">
        <w:rPr>
          <w:rFonts w:ascii="Times New Roman" w:hAnsi="Times New Roman" w:cs="Times New Roman"/>
          <w:color w:val="000000" w:themeColor="text1"/>
        </w:rPr>
        <w:t xml:space="preserve"> </w:t>
      </w:r>
    </w:p>
    <w:p w14:paraId="133127BA" w14:textId="77777777" w:rsidR="00085331" w:rsidRPr="00443905" w:rsidRDefault="00085331" w:rsidP="00443905">
      <w:pPr>
        <w:jc w:val="both"/>
        <w:rPr>
          <w:rFonts w:ascii="Times New Roman" w:hAnsi="Times New Roman" w:cs="Times New Roman"/>
          <w:color w:val="000000" w:themeColor="text1"/>
        </w:rPr>
      </w:pPr>
    </w:p>
    <w:p w14:paraId="3F6BD98A" w14:textId="581FAE93" w:rsidR="00443905" w:rsidRPr="00443905" w:rsidRDefault="00443905" w:rsidP="00443905">
      <w:pPr>
        <w:pStyle w:val="ListParagraph"/>
        <w:numPr>
          <w:ilvl w:val="0"/>
          <w:numId w:val="1"/>
        </w:numPr>
        <w:jc w:val="both"/>
        <w:rPr>
          <w:rFonts w:ascii="Times New Roman" w:hAnsi="Times New Roman" w:cs="Times New Roman"/>
        </w:rPr>
      </w:pPr>
      <w:r>
        <w:rPr>
          <w:rFonts w:ascii="Times New Roman" w:hAnsi="Times New Roman" w:cs="Times New Roman"/>
          <w:color w:val="000000" w:themeColor="text1"/>
        </w:rPr>
        <w:t xml:space="preserve">GC25 </w:t>
      </w:r>
      <w:r w:rsidR="00DE4FA8">
        <w:rPr>
          <w:rFonts w:ascii="Times New Roman" w:hAnsi="Times New Roman" w:cs="Times New Roman"/>
          <w:color w:val="000000" w:themeColor="text1"/>
        </w:rPr>
        <w:t xml:space="preserve">elaborates </w:t>
      </w:r>
      <w:r>
        <w:rPr>
          <w:rFonts w:ascii="Times New Roman" w:hAnsi="Times New Roman" w:cs="Times New Roman"/>
          <w:color w:val="000000" w:themeColor="text1"/>
        </w:rPr>
        <w:t>several concepts derived from ICESCR Art. 15</w:t>
      </w:r>
      <w:r w:rsidR="00DE4FA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DE4FA8">
        <w:rPr>
          <w:rFonts w:ascii="Times New Roman" w:hAnsi="Times New Roman" w:cs="Times New Roman"/>
          <w:color w:val="000000" w:themeColor="text1"/>
        </w:rPr>
        <w:t>i</w:t>
      </w:r>
      <w:r>
        <w:rPr>
          <w:rFonts w:ascii="Times New Roman" w:hAnsi="Times New Roman" w:cs="Times New Roman"/>
          <w:color w:val="000000" w:themeColor="text1"/>
        </w:rPr>
        <w:t xml:space="preserve">ncluding </w:t>
      </w:r>
      <w:r w:rsidR="00DE4FA8">
        <w:rPr>
          <w:rFonts w:ascii="Times New Roman" w:hAnsi="Times New Roman" w:cs="Times New Roman"/>
          <w:color w:val="000000" w:themeColor="text1"/>
        </w:rPr>
        <w:t xml:space="preserve">defining </w:t>
      </w:r>
      <w:r>
        <w:rPr>
          <w:rFonts w:ascii="Times New Roman" w:hAnsi="Times New Roman" w:cs="Times New Roman"/>
          <w:color w:val="000000" w:themeColor="text1"/>
        </w:rPr>
        <w:t xml:space="preserve">the term </w:t>
      </w:r>
      <w:r w:rsidRPr="00F73410">
        <w:rPr>
          <w:rFonts w:ascii="Times New Roman" w:hAnsi="Times New Roman" w:cs="Times New Roman"/>
          <w:color w:val="000000" w:themeColor="text1"/>
        </w:rPr>
        <w:t>“</w:t>
      </w:r>
      <w:r>
        <w:rPr>
          <w:rFonts w:ascii="Times New Roman" w:hAnsi="Times New Roman" w:cs="Times New Roman"/>
          <w:color w:val="000000" w:themeColor="text1"/>
        </w:rPr>
        <w:t>b</w:t>
      </w:r>
      <w:r w:rsidRPr="00F73410">
        <w:rPr>
          <w:rFonts w:ascii="Times New Roman" w:hAnsi="Times New Roman" w:cs="Times New Roman"/>
          <w:color w:val="000000" w:themeColor="text1"/>
        </w:rPr>
        <w:t>enefits” of science</w:t>
      </w:r>
      <w:r>
        <w:rPr>
          <w:rFonts w:ascii="Times New Roman" w:hAnsi="Times New Roman" w:cs="Times New Roman"/>
          <w:color w:val="000000" w:themeColor="text1"/>
        </w:rPr>
        <w:t xml:space="preserve"> as the importance of science</w:t>
      </w:r>
      <w:r w:rsidRPr="00F73410">
        <w:rPr>
          <w:rFonts w:ascii="Times New Roman" w:hAnsi="Times New Roman" w:cs="Times New Roman"/>
          <w:color w:val="000000" w:themeColor="text1"/>
        </w:rPr>
        <w:t xml:space="preserve"> “in forming critical and responsible citizens who are able to participate fully in a democratic society.”</w:t>
      </w:r>
      <w:r>
        <w:rPr>
          <w:rFonts w:ascii="Times New Roman" w:hAnsi="Times New Roman" w:cs="Times New Roman"/>
          <w:color w:val="000000" w:themeColor="text1"/>
        </w:rPr>
        <w:t xml:space="preserve"> “Culture”, GC25 states, </w:t>
      </w:r>
      <w:r w:rsidR="00BE451F">
        <w:rPr>
          <w:rFonts w:ascii="Times New Roman" w:hAnsi="Times New Roman" w:cs="Times New Roman"/>
          <w:color w:val="000000" w:themeColor="text1"/>
        </w:rPr>
        <w:t>“</w:t>
      </w:r>
      <w:r>
        <w:rPr>
          <w:rFonts w:ascii="Times New Roman" w:hAnsi="Times New Roman" w:cs="Times New Roman"/>
          <w:color w:val="000000" w:themeColor="text1"/>
        </w:rPr>
        <w:t>i</w:t>
      </w:r>
      <w:r w:rsidR="00DE4FA8">
        <w:rPr>
          <w:rFonts w:ascii="Times New Roman" w:hAnsi="Times New Roman" w:cs="Times New Roman"/>
          <w:color w:val="000000" w:themeColor="text1"/>
        </w:rPr>
        <w:t>s</w:t>
      </w:r>
      <w:r>
        <w:rPr>
          <w:rFonts w:ascii="Times New Roman" w:hAnsi="Times New Roman" w:cs="Times New Roman"/>
          <w:color w:val="000000" w:themeColor="text1"/>
        </w:rPr>
        <w:t xml:space="preserve"> the larger context in which science takes place</w:t>
      </w:r>
      <w:r w:rsidR="00DE4FA8">
        <w:rPr>
          <w:rFonts w:ascii="Times New Roman" w:hAnsi="Times New Roman" w:cs="Times New Roman"/>
          <w:color w:val="000000" w:themeColor="text1"/>
        </w:rPr>
        <w:t>, is applied,</w:t>
      </w:r>
      <w:r>
        <w:rPr>
          <w:rFonts w:ascii="Times New Roman" w:hAnsi="Times New Roman" w:cs="Times New Roman"/>
          <w:color w:val="000000" w:themeColor="text1"/>
        </w:rPr>
        <w:t xml:space="preserve"> and to which it contributes</w:t>
      </w:r>
      <w:r w:rsidR="00BE451F">
        <w:rPr>
          <w:rFonts w:ascii="Times New Roman" w:hAnsi="Times New Roman" w:cs="Times New Roman"/>
          <w:color w:val="000000" w:themeColor="text1"/>
        </w:rPr>
        <w:t>.”</w:t>
      </w:r>
      <w:r w:rsidR="00BE451F">
        <w:rPr>
          <w:rStyle w:val="FootnoteReference"/>
          <w:rFonts w:ascii="Times New Roman" w:hAnsi="Times New Roman" w:cs="Times New Roman"/>
          <w:color w:val="000000" w:themeColor="text1"/>
        </w:rPr>
        <w:footnoteReference w:id="8"/>
      </w:r>
    </w:p>
    <w:p w14:paraId="3FBD2B9E" w14:textId="77777777" w:rsidR="00443905" w:rsidRPr="00F73410" w:rsidRDefault="00443905" w:rsidP="00443905">
      <w:pPr>
        <w:pStyle w:val="ListParagraph"/>
        <w:ind w:left="360"/>
        <w:jc w:val="both"/>
        <w:rPr>
          <w:rFonts w:ascii="Times New Roman" w:hAnsi="Times New Roman" w:cs="Times New Roman"/>
        </w:rPr>
      </w:pPr>
    </w:p>
    <w:p w14:paraId="20E31958" w14:textId="78F309AE" w:rsidR="00EB4DC7" w:rsidRPr="00085331" w:rsidRDefault="00085331" w:rsidP="00F20FA8">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The right to science also a</w:t>
      </w:r>
      <w:r w:rsidRPr="00085331">
        <w:rPr>
          <w:rFonts w:ascii="Times New Roman" w:hAnsi="Times New Roman" w:cs="Times New Roman"/>
          <w:color w:val="000000" w:themeColor="text1"/>
        </w:rPr>
        <w:t>rticulate</w:t>
      </w:r>
      <w:r>
        <w:rPr>
          <w:rFonts w:ascii="Times New Roman" w:hAnsi="Times New Roman" w:cs="Times New Roman"/>
          <w:color w:val="000000" w:themeColor="text1"/>
        </w:rPr>
        <w:t>s</w:t>
      </w:r>
      <w:r w:rsidRPr="00085331">
        <w:rPr>
          <w:rFonts w:ascii="Times New Roman" w:hAnsi="Times New Roman" w:cs="Times New Roman"/>
          <w:color w:val="000000" w:themeColor="text1"/>
        </w:rPr>
        <w:t xml:space="preserve"> state obligations for purposive development of science and technology for public benefit in ways that ensure the </w:t>
      </w:r>
      <w:r w:rsidRPr="00085331">
        <w:rPr>
          <w:rFonts w:ascii="Times New Roman" w:hAnsi="Times New Roman" w:cs="Times New Roman"/>
        </w:rPr>
        <w:t>availability, accessibility, affordability, and quality of scientific goods</w:t>
      </w:r>
      <w:r>
        <w:rPr>
          <w:rFonts w:ascii="Times New Roman" w:hAnsi="Times New Roman" w:cs="Times New Roman"/>
        </w:rPr>
        <w:t xml:space="preserve">, </w:t>
      </w:r>
      <w:r w:rsidRPr="00085331">
        <w:rPr>
          <w:rFonts w:ascii="Times New Roman" w:hAnsi="Times New Roman" w:cs="Times New Roman"/>
        </w:rPr>
        <w:t>e.g., diagnostics, vaccines, treatments.</w:t>
      </w:r>
      <w:r w:rsidR="00DB71E8">
        <w:rPr>
          <w:rFonts w:ascii="Times New Roman" w:hAnsi="Times New Roman" w:cs="Times New Roman"/>
        </w:rPr>
        <w:t xml:space="preserve"> This 3AQ standard is also reflected in the right to health.</w:t>
      </w:r>
      <w:r w:rsidR="009248FC">
        <w:rPr>
          <w:rStyle w:val="FootnoteReference"/>
          <w:rFonts w:ascii="Times New Roman" w:hAnsi="Times New Roman" w:cs="Times New Roman"/>
        </w:rPr>
        <w:footnoteReference w:id="9"/>
      </w:r>
      <w:r w:rsidR="00DB71E8">
        <w:rPr>
          <w:rFonts w:ascii="Times New Roman" w:hAnsi="Times New Roman" w:cs="Times New Roman"/>
        </w:rPr>
        <w:t xml:space="preserve"> </w:t>
      </w:r>
    </w:p>
    <w:p w14:paraId="70472702" w14:textId="77777777" w:rsidR="00637E39" w:rsidRPr="00EB4DC7" w:rsidRDefault="00637E39" w:rsidP="00F20FA8">
      <w:pPr>
        <w:pStyle w:val="ListParagraph"/>
        <w:jc w:val="both"/>
        <w:rPr>
          <w:rFonts w:ascii="Times New Roman" w:hAnsi="Times New Roman" w:cs="Times New Roman"/>
        </w:rPr>
      </w:pPr>
    </w:p>
    <w:p w14:paraId="29CC999B" w14:textId="76DD425C" w:rsidR="000B4A81" w:rsidRDefault="00085331" w:rsidP="00F20FA8">
      <w:pPr>
        <w:pStyle w:val="ListParagraph"/>
        <w:numPr>
          <w:ilvl w:val="0"/>
          <w:numId w:val="1"/>
        </w:numPr>
        <w:jc w:val="both"/>
        <w:rPr>
          <w:rFonts w:ascii="Times New Roman" w:hAnsi="Times New Roman" w:cs="Times New Roman"/>
        </w:rPr>
      </w:pPr>
      <w:r>
        <w:rPr>
          <w:rFonts w:ascii="Times New Roman" w:hAnsi="Times New Roman" w:cs="Times New Roman"/>
        </w:rPr>
        <w:t xml:space="preserve">GC25 reiterates the </w:t>
      </w:r>
      <w:r w:rsidR="00CF08F7">
        <w:rPr>
          <w:rFonts w:ascii="Times New Roman" w:hAnsi="Times New Roman" w:cs="Times New Roman"/>
        </w:rPr>
        <w:t xml:space="preserve">normative framework of availability, accessibility, acceptability, and quality (AAAQ). </w:t>
      </w:r>
      <w:r w:rsidR="007F5E83">
        <w:rPr>
          <w:rFonts w:ascii="Times New Roman" w:hAnsi="Times New Roman" w:cs="Times New Roman"/>
        </w:rPr>
        <w:t>With regards to availability, GC25 notes “</w:t>
      </w:r>
      <w:r w:rsidR="007F5E83" w:rsidRPr="007F5E83">
        <w:rPr>
          <w:rFonts w:ascii="Times New Roman" w:hAnsi="Times New Roman" w:cs="Times New Roman"/>
        </w:rPr>
        <w:t>States parties should direct their own resources and coordinate actions of others to ensure that scientific progress happens and that its applications and benefits are distributed and are available, especially to vulnerable and marginalized groups.</w:t>
      </w:r>
      <w:r w:rsidR="007F5E83">
        <w:rPr>
          <w:rFonts w:ascii="Times New Roman" w:hAnsi="Times New Roman" w:cs="Times New Roman"/>
        </w:rPr>
        <w:t>”</w:t>
      </w:r>
      <w:r w:rsidR="007F5E83">
        <w:rPr>
          <w:rStyle w:val="FootnoteReference"/>
          <w:rFonts w:ascii="Times New Roman" w:hAnsi="Times New Roman" w:cs="Times New Roman"/>
        </w:rPr>
        <w:footnoteReference w:id="10"/>
      </w:r>
      <w:r w:rsidR="007F5E83">
        <w:rPr>
          <w:rFonts w:ascii="Times New Roman" w:hAnsi="Times New Roman" w:cs="Times New Roman"/>
        </w:rPr>
        <w:t xml:space="preserve"> </w:t>
      </w:r>
      <w:r w:rsidR="00CF08F7">
        <w:rPr>
          <w:rFonts w:ascii="Times New Roman" w:hAnsi="Times New Roman" w:cs="Times New Roman"/>
        </w:rPr>
        <w:t>As part of the three dimensions of accessibility</w:t>
      </w:r>
      <w:r w:rsidR="00DE4FA8">
        <w:rPr>
          <w:rFonts w:ascii="Times New Roman" w:hAnsi="Times New Roman" w:cs="Times New Roman"/>
        </w:rPr>
        <w:t>,</w:t>
      </w:r>
      <w:r w:rsidR="00CF08F7">
        <w:rPr>
          <w:rFonts w:ascii="Times New Roman" w:hAnsi="Times New Roman" w:cs="Times New Roman"/>
        </w:rPr>
        <w:t xml:space="preserve"> GC25 stresses as </w:t>
      </w:r>
      <w:r w:rsidR="00C95D0F">
        <w:rPr>
          <w:rFonts w:ascii="Times New Roman" w:hAnsi="Times New Roman" w:cs="Times New Roman"/>
        </w:rPr>
        <w:t xml:space="preserve">a </w:t>
      </w:r>
      <w:r w:rsidR="00CF08F7">
        <w:rPr>
          <w:rFonts w:ascii="Times New Roman" w:hAnsi="Times New Roman" w:cs="Times New Roman"/>
        </w:rPr>
        <w:t>first dimension that “</w:t>
      </w:r>
      <w:r w:rsidR="00CF08F7" w:rsidRPr="00CF08F7">
        <w:rPr>
          <w:rFonts w:ascii="Times New Roman" w:hAnsi="Times New Roman" w:cs="Times New Roman"/>
        </w:rPr>
        <w:t>States parties should ensure that everyone has equal access to the applications of science, particularly when they are instrumental for the enjoyment of other economic, social and cultural rights.</w:t>
      </w:r>
      <w:r w:rsidR="00CF08F7">
        <w:rPr>
          <w:rFonts w:ascii="Times New Roman" w:hAnsi="Times New Roman" w:cs="Times New Roman"/>
        </w:rPr>
        <w:t>”</w:t>
      </w:r>
      <w:r w:rsidR="00CF08F7">
        <w:rPr>
          <w:rStyle w:val="FootnoteReference"/>
          <w:rFonts w:ascii="Times New Roman" w:hAnsi="Times New Roman" w:cs="Times New Roman"/>
        </w:rPr>
        <w:footnoteReference w:id="11"/>
      </w:r>
      <w:r w:rsidR="00CF08F7">
        <w:rPr>
          <w:rFonts w:ascii="Times New Roman" w:hAnsi="Times New Roman" w:cs="Times New Roman"/>
        </w:rPr>
        <w:t xml:space="preserve"> </w:t>
      </w:r>
    </w:p>
    <w:p w14:paraId="600E57C0" w14:textId="77777777" w:rsidR="00443905" w:rsidRPr="00443905" w:rsidRDefault="00443905" w:rsidP="00443905">
      <w:pPr>
        <w:pStyle w:val="ListParagraph"/>
        <w:rPr>
          <w:rFonts w:ascii="Times New Roman" w:hAnsi="Times New Roman" w:cs="Times New Roman"/>
        </w:rPr>
      </w:pPr>
    </w:p>
    <w:p w14:paraId="5A6DFCB2" w14:textId="77777777" w:rsidR="00443905" w:rsidRDefault="00443905" w:rsidP="00443905">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rPr>
        <w:t xml:space="preserve">Importantly for the context of cultural rights, including in the context of migration, the right to science </w:t>
      </w:r>
      <w:r>
        <w:rPr>
          <w:rFonts w:ascii="Times New Roman" w:hAnsi="Times New Roman" w:cs="Times New Roman"/>
          <w:color w:val="000000" w:themeColor="text1"/>
        </w:rPr>
        <w:t>d</w:t>
      </w:r>
      <w:r w:rsidRPr="00085331">
        <w:rPr>
          <w:rFonts w:ascii="Times New Roman" w:hAnsi="Times New Roman" w:cs="Times New Roman"/>
          <w:color w:val="000000" w:themeColor="text1"/>
        </w:rPr>
        <w:t>efine</w:t>
      </w:r>
      <w:r>
        <w:rPr>
          <w:rFonts w:ascii="Times New Roman" w:hAnsi="Times New Roman" w:cs="Times New Roman"/>
          <w:color w:val="000000" w:themeColor="text1"/>
        </w:rPr>
        <w:t>s</w:t>
      </w:r>
      <w:r w:rsidRPr="00085331">
        <w:rPr>
          <w:rFonts w:ascii="Times New Roman" w:hAnsi="Times New Roman" w:cs="Times New Roman"/>
          <w:color w:val="000000" w:themeColor="text1"/>
        </w:rPr>
        <w:t xml:space="preserve"> ‘access’ as </w:t>
      </w:r>
      <w:r>
        <w:rPr>
          <w:rFonts w:ascii="Times New Roman" w:hAnsi="Times New Roman" w:cs="Times New Roman"/>
          <w:color w:val="000000" w:themeColor="text1"/>
        </w:rPr>
        <w:t xml:space="preserve">including: </w:t>
      </w:r>
    </w:p>
    <w:p w14:paraId="48842C34" w14:textId="77777777" w:rsidR="00443905" w:rsidRDefault="00443905" w:rsidP="00443905">
      <w:pPr>
        <w:pStyle w:val="ListParagraph"/>
        <w:numPr>
          <w:ilvl w:val="1"/>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085331">
        <w:rPr>
          <w:rFonts w:ascii="Times New Roman" w:hAnsi="Times New Roman" w:cs="Times New Roman"/>
          <w:color w:val="000000" w:themeColor="text1"/>
        </w:rPr>
        <w:t>intangible scientific benefits</w:t>
      </w:r>
      <w:r>
        <w:rPr>
          <w:rFonts w:ascii="Times New Roman" w:hAnsi="Times New Roman" w:cs="Times New Roman"/>
          <w:color w:val="000000" w:themeColor="text1"/>
        </w:rPr>
        <w:t xml:space="preserve"> of science, i.e.,</w:t>
      </w:r>
      <w:r w:rsidRPr="00085331">
        <w:rPr>
          <w:rFonts w:ascii="Times New Roman" w:hAnsi="Times New Roman" w:cs="Times New Roman"/>
          <w:color w:val="000000" w:themeColor="text1"/>
        </w:rPr>
        <w:t xml:space="preserve"> knowledge</w:t>
      </w:r>
      <w:r>
        <w:rPr>
          <w:rFonts w:ascii="Times New Roman" w:hAnsi="Times New Roman" w:cs="Times New Roman"/>
          <w:color w:val="000000" w:themeColor="text1"/>
        </w:rPr>
        <w:t>,</w:t>
      </w:r>
      <w:r w:rsidRPr="00085331">
        <w:rPr>
          <w:rFonts w:ascii="Times New Roman" w:hAnsi="Times New Roman" w:cs="Times New Roman"/>
          <w:color w:val="000000" w:themeColor="text1"/>
        </w:rPr>
        <w:t xml:space="preserve"> information</w:t>
      </w:r>
      <w:r>
        <w:rPr>
          <w:rFonts w:ascii="Times New Roman" w:hAnsi="Times New Roman" w:cs="Times New Roman"/>
          <w:color w:val="000000" w:themeColor="text1"/>
        </w:rPr>
        <w:t>.</w:t>
      </w:r>
    </w:p>
    <w:p w14:paraId="11A0A42E" w14:textId="77777777" w:rsidR="00443905" w:rsidRDefault="00443905" w:rsidP="00443905">
      <w:pPr>
        <w:pStyle w:val="ListParagraph"/>
        <w:numPr>
          <w:ilvl w:val="1"/>
          <w:numId w:val="1"/>
        </w:numPr>
        <w:jc w:val="both"/>
        <w:rPr>
          <w:rFonts w:ascii="Times New Roman" w:hAnsi="Times New Roman" w:cs="Times New Roman"/>
          <w:color w:val="000000" w:themeColor="text1"/>
        </w:rPr>
      </w:pPr>
      <w:r w:rsidRPr="00085331">
        <w:rPr>
          <w:rFonts w:ascii="Times New Roman" w:hAnsi="Times New Roman" w:cs="Times New Roman"/>
          <w:color w:val="000000" w:themeColor="text1"/>
        </w:rPr>
        <w:t>the material results of scientific progress</w:t>
      </w:r>
      <w:r>
        <w:rPr>
          <w:rFonts w:ascii="Times New Roman" w:hAnsi="Times New Roman" w:cs="Times New Roman"/>
          <w:color w:val="000000" w:themeColor="text1"/>
        </w:rPr>
        <w:t xml:space="preserve">, i.e., </w:t>
      </w:r>
      <w:r w:rsidRPr="00085331">
        <w:rPr>
          <w:rFonts w:ascii="Times New Roman" w:hAnsi="Times New Roman" w:cs="Times New Roman"/>
          <w:color w:val="000000" w:themeColor="text1"/>
        </w:rPr>
        <w:t>medicines, vaccines, diagnostics</w:t>
      </w:r>
      <w:r>
        <w:rPr>
          <w:rFonts w:ascii="Times New Roman" w:hAnsi="Times New Roman" w:cs="Times New Roman"/>
          <w:color w:val="000000" w:themeColor="text1"/>
        </w:rPr>
        <w:t>.</w:t>
      </w:r>
    </w:p>
    <w:p w14:paraId="3FB00DCD" w14:textId="22D28702" w:rsidR="00443905" w:rsidRDefault="00443905" w:rsidP="00443905">
      <w:pPr>
        <w:pStyle w:val="ListParagraph"/>
        <w:numPr>
          <w:ilvl w:val="1"/>
          <w:numId w:val="1"/>
        </w:numPr>
        <w:jc w:val="both"/>
        <w:rPr>
          <w:rFonts w:ascii="Times New Roman" w:hAnsi="Times New Roman" w:cs="Times New Roman"/>
          <w:color w:val="000000" w:themeColor="text1"/>
        </w:rPr>
      </w:pPr>
      <w:r w:rsidRPr="00085331">
        <w:rPr>
          <w:rFonts w:ascii="Times New Roman" w:hAnsi="Times New Roman" w:cs="Times New Roman"/>
          <w:color w:val="000000" w:themeColor="text1"/>
        </w:rPr>
        <w:t>and the means, methods, and materials of scientific discovery.</w:t>
      </w:r>
    </w:p>
    <w:p w14:paraId="01922009" w14:textId="77777777" w:rsidR="00443905" w:rsidRDefault="00443905" w:rsidP="00443905">
      <w:pPr>
        <w:pStyle w:val="ListParagraph"/>
        <w:ind w:left="1080"/>
        <w:jc w:val="both"/>
        <w:rPr>
          <w:rFonts w:ascii="Times New Roman" w:hAnsi="Times New Roman" w:cs="Times New Roman"/>
          <w:color w:val="000000" w:themeColor="text1"/>
        </w:rPr>
      </w:pPr>
    </w:p>
    <w:p w14:paraId="1C4581A3" w14:textId="2BAB003B" w:rsidR="00443905" w:rsidRDefault="00443905" w:rsidP="00443905">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 a country where </w:t>
      </w:r>
      <w:proofErr w:type="gramStart"/>
      <w:r>
        <w:rPr>
          <w:rFonts w:ascii="Times New Roman" w:hAnsi="Times New Roman" w:cs="Times New Roman"/>
          <w:color w:val="000000" w:themeColor="text1"/>
        </w:rPr>
        <w:t>the majority of</w:t>
      </w:r>
      <w:proofErr w:type="gramEnd"/>
      <w:r>
        <w:rPr>
          <w:rFonts w:ascii="Times New Roman" w:hAnsi="Times New Roman" w:cs="Times New Roman"/>
          <w:color w:val="000000" w:themeColor="text1"/>
        </w:rPr>
        <w:t xml:space="preserve"> the workforce are migrants</w:t>
      </w:r>
      <w:r w:rsidR="00FF4F3A">
        <w:rPr>
          <w:rFonts w:ascii="Times New Roman" w:hAnsi="Times New Roman" w:cs="Times New Roman"/>
          <w:color w:val="000000" w:themeColor="text1"/>
        </w:rPr>
        <w:t xml:space="preserve">, </w:t>
      </w:r>
      <w:r>
        <w:rPr>
          <w:rFonts w:ascii="Times New Roman" w:hAnsi="Times New Roman" w:cs="Times New Roman"/>
          <w:color w:val="000000" w:themeColor="text1"/>
        </w:rPr>
        <w:t>their presence in and contributions to daily life forms the cultural life of the destination country. As such, migration policy is cultural policy.</w:t>
      </w:r>
    </w:p>
    <w:p w14:paraId="374203B0" w14:textId="77777777" w:rsidR="00650242" w:rsidRDefault="00650242" w:rsidP="00BE0B4C">
      <w:pPr>
        <w:pStyle w:val="ListParagraph"/>
        <w:ind w:left="360"/>
        <w:jc w:val="both"/>
        <w:rPr>
          <w:rFonts w:ascii="Times New Roman" w:hAnsi="Times New Roman" w:cs="Times New Roman"/>
          <w:color w:val="000000" w:themeColor="text1"/>
        </w:rPr>
      </w:pPr>
    </w:p>
    <w:p w14:paraId="65D775C1" w14:textId="32CF389C" w:rsidR="00103FEB" w:rsidRPr="00103FEB" w:rsidRDefault="00650242" w:rsidP="00103FEB">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T</w:t>
      </w:r>
      <w:r w:rsidRPr="00650242">
        <w:rPr>
          <w:rFonts w:ascii="Times New Roman" w:hAnsi="Times New Roman" w:cs="Times New Roman"/>
          <w:color w:val="000000" w:themeColor="text1"/>
        </w:rPr>
        <w:t xml:space="preserve">he misapplication of science to enforce restrictions on migration </w:t>
      </w:r>
      <w:r w:rsidR="00FF4F3A" w:rsidRPr="00650242">
        <w:rPr>
          <w:rFonts w:ascii="Times New Roman" w:hAnsi="Times New Roman" w:cs="Times New Roman"/>
          <w:color w:val="000000" w:themeColor="text1"/>
        </w:rPr>
        <w:t>based on</w:t>
      </w:r>
      <w:r w:rsidRPr="00650242">
        <w:rPr>
          <w:rFonts w:ascii="Times New Roman" w:hAnsi="Times New Roman" w:cs="Times New Roman"/>
          <w:color w:val="000000" w:themeColor="text1"/>
        </w:rPr>
        <w:t xml:space="preserve"> health therefore constitute infringement of cultural rights.</w:t>
      </w:r>
    </w:p>
    <w:p w14:paraId="0358A8B4" w14:textId="77777777" w:rsidR="00B36F10" w:rsidRDefault="00B36F10" w:rsidP="00B36F10">
      <w:pPr>
        <w:pStyle w:val="ListParagraph"/>
        <w:ind w:left="360"/>
        <w:jc w:val="both"/>
        <w:rPr>
          <w:rFonts w:ascii="Times New Roman" w:hAnsi="Times New Roman" w:cs="Times New Roman"/>
          <w:color w:val="000000" w:themeColor="text1"/>
        </w:rPr>
      </w:pPr>
    </w:p>
    <w:p w14:paraId="71AF05AE" w14:textId="1C4A7734" w:rsidR="00B36F10" w:rsidRPr="00650242" w:rsidRDefault="00B36F10" w:rsidP="00650242">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Indeed, </w:t>
      </w:r>
      <w:r>
        <w:rPr>
          <w:rFonts w:ascii="Times New Roman" w:hAnsi="Times New Roman" w:cs="Times New Roman"/>
        </w:rPr>
        <w:t>General Comment 21 on the right of everyone to take part in cultural life states in paragraph 41: “</w:t>
      </w:r>
      <w:r w:rsidRPr="00B36F10">
        <w:rPr>
          <w:rFonts w:ascii="Times New Roman" w:hAnsi="Times New Roman" w:cs="Times New Roman"/>
        </w:rPr>
        <w:t xml:space="preserve">Cultures have no fixed borders. The phenomena of migration, integration, </w:t>
      </w:r>
      <w:r w:rsidR="0020680D" w:rsidRPr="00B36F10">
        <w:rPr>
          <w:rFonts w:ascii="Times New Roman" w:hAnsi="Times New Roman" w:cs="Times New Roman"/>
        </w:rPr>
        <w:t>assimilation,</w:t>
      </w:r>
      <w:r w:rsidRPr="00B36F10">
        <w:rPr>
          <w:rFonts w:ascii="Times New Roman" w:hAnsi="Times New Roman" w:cs="Times New Roman"/>
        </w:rPr>
        <w:t xml:space="preserve"> and globalization have brought cultures, </w:t>
      </w:r>
      <w:proofErr w:type="gramStart"/>
      <w:r w:rsidRPr="00B36F10">
        <w:rPr>
          <w:rFonts w:ascii="Times New Roman" w:hAnsi="Times New Roman" w:cs="Times New Roman"/>
        </w:rPr>
        <w:t>groups</w:t>
      </w:r>
      <w:proofErr w:type="gramEnd"/>
      <w:r w:rsidRPr="00B36F10">
        <w:rPr>
          <w:rFonts w:ascii="Times New Roman" w:hAnsi="Times New Roman" w:cs="Times New Roman"/>
        </w:rPr>
        <w:t xml:space="preserve"> and individuals into closer contact than ever before, at a time when each of them is striving to keep their own identity.</w:t>
      </w:r>
      <w:r>
        <w:rPr>
          <w:rFonts w:ascii="Times New Roman" w:hAnsi="Times New Roman" w:cs="Times New Roman"/>
        </w:rPr>
        <w:t>”</w:t>
      </w:r>
      <w:r>
        <w:rPr>
          <w:rStyle w:val="FootnoteReference"/>
          <w:rFonts w:ascii="Times New Roman" w:hAnsi="Times New Roman" w:cs="Times New Roman"/>
        </w:rPr>
        <w:footnoteReference w:id="12"/>
      </w:r>
    </w:p>
    <w:p w14:paraId="0D8BFD53" w14:textId="77777777" w:rsidR="00B36F10" w:rsidRDefault="00B36F10" w:rsidP="00B36F10">
      <w:pPr>
        <w:pStyle w:val="ListParagraph"/>
        <w:ind w:left="360"/>
        <w:jc w:val="both"/>
        <w:rPr>
          <w:rFonts w:ascii="Times New Roman" w:hAnsi="Times New Roman" w:cs="Times New Roman"/>
          <w:color w:val="000000" w:themeColor="text1"/>
        </w:rPr>
      </w:pPr>
    </w:p>
    <w:p w14:paraId="1824B923" w14:textId="4553B2E6" w:rsidR="00443905" w:rsidRPr="00443905" w:rsidRDefault="00443905" w:rsidP="00443905">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Rights in migration, health rights, science and cultural rights all are necessary components to a “life with dignity</w:t>
      </w:r>
      <w:r w:rsidR="0020680D">
        <w:rPr>
          <w:rFonts w:ascii="Times New Roman" w:hAnsi="Times New Roman" w:cs="Times New Roman"/>
          <w:color w:val="000000" w:themeColor="text1"/>
        </w:rPr>
        <w:t>.</w:t>
      </w:r>
      <w:r>
        <w:rPr>
          <w:rFonts w:ascii="Times New Roman" w:hAnsi="Times New Roman" w:cs="Times New Roman"/>
          <w:color w:val="000000" w:themeColor="text1"/>
        </w:rPr>
        <w:t>”</w:t>
      </w:r>
      <w:r w:rsidR="0020680D">
        <w:rPr>
          <w:rStyle w:val="FootnoteReference"/>
          <w:rFonts w:ascii="Times New Roman" w:hAnsi="Times New Roman" w:cs="Times New Roman"/>
          <w:color w:val="000000" w:themeColor="text1"/>
        </w:rPr>
        <w:footnoteReference w:id="13"/>
      </w:r>
    </w:p>
    <w:p w14:paraId="1953F203" w14:textId="77777777" w:rsidR="00D76962" w:rsidRPr="00D76962" w:rsidRDefault="00D76962" w:rsidP="00D76962">
      <w:pPr>
        <w:jc w:val="both"/>
        <w:rPr>
          <w:rFonts w:ascii="Times New Roman" w:hAnsi="Times New Roman" w:cs="Times New Roman"/>
        </w:rPr>
      </w:pPr>
    </w:p>
    <w:p w14:paraId="330082C5" w14:textId="7F941FBA" w:rsidR="007F5E83" w:rsidRDefault="00266291" w:rsidP="0037220B">
      <w:pPr>
        <w:pStyle w:val="ListParagraph"/>
        <w:numPr>
          <w:ilvl w:val="0"/>
          <w:numId w:val="1"/>
        </w:numPr>
        <w:jc w:val="both"/>
        <w:rPr>
          <w:rFonts w:ascii="Times New Roman" w:hAnsi="Times New Roman" w:cs="Times New Roman"/>
        </w:rPr>
      </w:pPr>
      <w:r w:rsidRPr="004C6B91">
        <w:rPr>
          <w:rFonts w:ascii="Times New Roman" w:hAnsi="Times New Roman" w:cs="Times New Roman"/>
        </w:rPr>
        <w:t xml:space="preserve">In short, TAG’s analysis indicates that without applying the reinforcing and complementary obligations that the right to science </w:t>
      </w:r>
      <w:r w:rsidR="007600D1" w:rsidRPr="004C6B91">
        <w:rPr>
          <w:rFonts w:ascii="Times New Roman" w:hAnsi="Times New Roman" w:cs="Times New Roman"/>
        </w:rPr>
        <w:t>establishes</w:t>
      </w:r>
      <w:r w:rsidRPr="004C6B91">
        <w:rPr>
          <w:rFonts w:ascii="Times New Roman" w:hAnsi="Times New Roman" w:cs="Times New Roman"/>
        </w:rPr>
        <w:t xml:space="preserve">, states will not be able to </w:t>
      </w:r>
      <w:r w:rsidR="003B750E">
        <w:rPr>
          <w:rFonts w:ascii="Times New Roman" w:hAnsi="Times New Roman" w:cs="Times New Roman"/>
        </w:rPr>
        <w:t xml:space="preserve">fully </w:t>
      </w:r>
      <w:r w:rsidRPr="004C6B91">
        <w:rPr>
          <w:rFonts w:ascii="Times New Roman" w:hAnsi="Times New Roman" w:cs="Times New Roman"/>
        </w:rPr>
        <w:t xml:space="preserve">realize the </w:t>
      </w:r>
      <w:r w:rsidR="003B750E">
        <w:rPr>
          <w:rFonts w:ascii="Times New Roman" w:hAnsi="Times New Roman" w:cs="Times New Roman"/>
        </w:rPr>
        <w:t>cultural rights within their borders for all without discrimination, including migrants.</w:t>
      </w:r>
    </w:p>
    <w:p w14:paraId="05BD8F8E" w14:textId="77777777" w:rsidR="007F5E83" w:rsidRPr="0020680D" w:rsidRDefault="007F5E83" w:rsidP="0020680D">
      <w:pPr>
        <w:jc w:val="both"/>
        <w:rPr>
          <w:rFonts w:ascii="Times New Roman" w:hAnsi="Times New Roman" w:cs="Times New Roman"/>
        </w:rPr>
      </w:pPr>
    </w:p>
    <w:p w14:paraId="1433374B" w14:textId="77777777" w:rsidR="00266291" w:rsidRPr="00EB4DC7" w:rsidRDefault="00266291" w:rsidP="00F20FA8">
      <w:pPr>
        <w:pStyle w:val="ListParagraph"/>
        <w:jc w:val="both"/>
        <w:rPr>
          <w:rFonts w:ascii="Times New Roman" w:hAnsi="Times New Roman" w:cs="Times New Roman"/>
        </w:rPr>
      </w:pPr>
    </w:p>
    <w:p w14:paraId="51020CE1" w14:textId="7B2922E8" w:rsidR="00642A2A" w:rsidRPr="003970E9" w:rsidRDefault="00642A2A" w:rsidP="00F20FA8">
      <w:pPr>
        <w:jc w:val="both"/>
        <w:rPr>
          <w:rFonts w:ascii="Times New Roman" w:hAnsi="Times New Roman" w:cs="Times New Roman"/>
          <w:u w:val="single"/>
          <w:lang w:val="en-GB"/>
        </w:rPr>
      </w:pPr>
      <w:r w:rsidRPr="003970E9">
        <w:rPr>
          <w:rFonts w:ascii="Times New Roman" w:hAnsi="Times New Roman" w:cs="Times New Roman"/>
          <w:u w:val="single"/>
          <w:lang w:val="en-GB"/>
        </w:rPr>
        <w:t>(b)</w:t>
      </w:r>
      <w:r w:rsidR="00873BDB" w:rsidRPr="003970E9">
        <w:rPr>
          <w:rFonts w:ascii="Times New Roman" w:hAnsi="Times New Roman" w:cs="Times New Roman"/>
          <w:u w:val="single"/>
          <w:lang w:val="en-GB"/>
        </w:rPr>
        <w:t xml:space="preserve"> </w:t>
      </w:r>
      <w:r w:rsidR="004C6B91">
        <w:rPr>
          <w:rFonts w:ascii="Times New Roman" w:hAnsi="Times New Roman" w:cs="Times New Roman"/>
          <w:u w:val="single"/>
          <w:lang w:val="en-GB"/>
        </w:rPr>
        <w:t>the right to science, cultural rights, and migration</w:t>
      </w:r>
      <w:r w:rsidR="00873BDB" w:rsidRPr="003970E9">
        <w:rPr>
          <w:rFonts w:ascii="Times New Roman" w:hAnsi="Times New Roman" w:cs="Times New Roman"/>
          <w:u w:val="single"/>
          <w:lang w:val="en-GB"/>
        </w:rPr>
        <w:t>:</w:t>
      </w:r>
    </w:p>
    <w:p w14:paraId="784DBC08" w14:textId="77777777" w:rsidR="006C2E0B" w:rsidRPr="001030C4" w:rsidRDefault="006C2E0B" w:rsidP="00F20FA8">
      <w:pPr>
        <w:jc w:val="both"/>
        <w:rPr>
          <w:rFonts w:ascii="Times New Roman" w:hAnsi="Times New Roman" w:cs="Times New Roman"/>
        </w:rPr>
      </w:pPr>
    </w:p>
    <w:p w14:paraId="40FDEC65" w14:textId="117F2811" w:rsidR="00103FEB" w:rsidRPr="00103FEB" w:rsidRDefault="00103FEB" w:rsidP="003B2569">
      <w:pPr>
        <w:pStyle w:val="ListParagraph"/>
        <w:numPr>
          <w:ilvl w:val="0"/>
          <w:numId w:val="1"/>
        </w:numPr>
        <w:jc w:val="both"/>
        <w:rPr>
          <w:rFonts w:ascii="Times New Roman" w:hAnsi="Times New Roman" w:cs="Times New Roman"/>
          <w:lang w:val="en-GB"/>
        </w:rPr>
      </w:pPr>
      <w:r>
        <w:rPr>
          <w:rFonts w:ascii="Times New Roman" w:hAnsi="Times New Roman" w:cs="Times New Roman"/>
        </w:rPr>
        <w:t>Researchers on migration in the context of health and ethics have concluded that “[w]</w:t>
      </w:r>
      <w:r w:rsidRPr="00103FEB">
        <w:rPr>
          <w:rFonts w:ascii="Times New Roman" w:hAnsi="Times New Roman" w:cs="Times New Roman"/>
        </w:rPr>
        <w:t>hen creating public health policies to address the complex challenges posed by TB and migration, countries should focus these policies on evidence, ethics, and human rights.</w:t>
      </w:r>
      <w:r>
        <w:rPr>
          <w:rFonts w:ascii="Times New Roman" w:hAnsi="Times New Roman" w:cs="Times New Roman"/>
        </w:rPr>
        <w:t>”</w:t>
      </w:r>
      <w:r>
        <w:rPr>
          <w:rStyle w:val="FootnoteReference"/>
          <w:rFonts w:ascii="Times New Roman" w:hAnsi="Times New Roman" w:cs="Times New Roman"/>
        </w:rPr>
        <w:footnoteReference w:id="14"/>
      </w:r>
    </w:p>
    <w:p w14:paraId="000C372A" w14:textId="54E2B7B1" w:rsidR="008D1DD0" w:rsidRPr="0020680D" w:rsidRDefault="008D1DD0" w:rsidP="0020680D">
      <w:pPr>
        <w:jc w:val="both"/>
        <w:rPr>
          <w:rFonts w:ascii="Times New Roman" w:hAnsi="Times New Roman" w:cs="Times New Roman"/>
          <w:lang w:val="en-GB"/>
        </w:rPr>
      </w:pPr>
    </w:p>
    <w:p w14:paraId="0C1BFD4D" w14:textId="69FE2A99" w:rsidR="0020680D" w:rsidRDefault="0020680D" w:rsidP="000B4A81">
      <w:pPr>
        <w:pStyle w:val="ListParagraph"/>
        <w:numPr>
          <w:ilvl w:val="0"/>
          <w:numId w:val="1"/>
        </w:numPr>
        <w:jc w:val="both"/>
        <w:rPr>
          <w:rFonts w:ascii="Times New Roman" w:hAnsi="Times New Roman" w:cs="Times New Roman"/>
        </w:rPr>
      </w:pPr>
      <w:r>
        <w:rPr>
          <w:rFonts w:ascii="Times New Roman" w:hAnsi="Times New Roman" w:cs="Times New Roman"/>
        </w:rPr>
        <w:t xml:space="preserve">In previous research and subsequent submissions and statements </w:t>
      </w:r>
      <w:r w:rsidR="002D2B12">
        <w:rPr>
          <w:rFonts w:ascii="Times New Roman" w:hAnsi="Times New Roman" w:cs="Times New Roman"/>
        </w:rPr>
        <w:t>for</w:t>
      </w:r>
      <w:r>
        <w:rPr>
          <w:rFonts w:ascii="Times New Roman" w:hAnsi="Times New Roman" w:cs="Times New Roman"/>
        </w:rPr>
        <w:t xml:space="preserve"> the UN Universal Periodic Review of the United Arab Emirates</w:t>
      </w:r>
      <w:r w:rsidR="002D2B12">
        <w:rPr>
          <w:rFonts w:ascii="Times New Roman" w:hAnsi="Times New Roman" w:cs="Times New Roman"/>
        </w:rPr>
        <w:t xml:space="preserve"> (UAE)</w:t>
      </w:r>
      <w:r>
        <w:rPr>
          <w:rFonts w:ascii="Times New Roman" w:hAnsi="Times New Roman" w:cs="Times New Roman"/>
        </w:rPr>
        <w:t xml:space="preserve">, TAG has documented extensive evidence of the </w:t>
      </w:r>
      <w:r w:rsidR="002D2B12">
        <w:rPr>
          <w:rFonts w:ascii="Times New Roman" w:hAnsi="Times New Roman" w:cs="Times New Roman"/>
        </w:rPr>
        <w:t>human rights violations enacted through migration and visa policies of the UAE.</w:t>
      </w:r>
      <w:r w:rsidR="002D2B12">
        <w:rPr>
          <w:rStyle w:val="FootnoteReference"/>
          <w:rFonts w:ascii="Times New Roman" w:hAnsi="Times New Roman" w:cs="Times New Roman"/>
        </w:rPr>
        <w:footnoteReference w:id="15"/>
      </w:r>
    </w:p>
    <w:p w14:paraId="7E44F737" w14:textId="77777777" w:rsidR="002D2B12" w:rsidRPr="002D2B12" w:rsidRDefault="002D2B12" w:rsidP="002D2B12">
      <w:pPr>
        <w:pStyle w:val="ListParagraph"/>
        <w:rPr>
          <w:rFonts w:ascii="Times New Roman" w:hAnsi="Times New Roman" w:cs="Times New Roman"/>
        </w:rPr>
      </w:pPr>
    </w:p>
    <w:p w14:paraId="56B52478" w14:textId="2B613CDE" w:rsidR="002D2B12" w:rsidRDefault="002D2B12" w:rsidP="000B4A81">
      <w:pPr>
        <w:pStyle w:val="ListParagraph"/>
        <w:numPr>
          <w:ilvl w:val="0"/>
          <w:numId w:val="1"/>
        </w:numPr>
        <w:jc w:val="both"/>
        <w:rPr>
          <w:rFonts w:ascii="Times New Roman" w:hAnsi="Times New Roman" w:cs="Times New Roman"/>
        </w:rPr>
      </w:pPr>
      <w:r>
        <w:rPr>
          <w:rFonts w:ascii="Times New Roman" w:hAnsi="Times New Roman" w:cs="Times New Roman"/>
        </w:rPr>
        <w:t>These violations included in our research and analysis included:</w:t>
      </w:r>
    </w:p>
    <w:p w14:paraId="6DBC88D1" w14:textId="77777777" w:rsidR="002D2B12" w:rsidRPr="002D2B12" w:rsidRDefault="002D2B12" w:rsidP="002D2B12">
      <w:pPr>
        <w:pStyle w:val="ListParagraph"/>
        <w:rPr>
          <w:rFonts w:ascii="Times New Roman" w:hAnsi="Times New Roman" w:cs="Times New Roman"/>
        </w:rPr>
      </w:pPr>
    </w:p>
    <w:p w14:paraId="4FBE7690" w14:textId="6447BB54" w:rsidR="00B973F7" w:rsidRDefault="002D2B12" w:rsidP="00B973F7">
      <w:pPr>
        <w:pStyle w:val="ListParagraph"/>
        <w:numPr>
          <w:ilvl w:val="1"/>
          <w:numId w:val="1"/>
        </w:numPr>
        <w:jc w:val="both"/>
        <w:rPr>
          <w:rFonts w:ascii="Times New Roman" w:hAnsi="Times New Roman" w:cs="Times New Roman"/>
        </w:rPr>
      </w:pPr>
      <w:r w:rsidRPr="002D2B12">
        <w:rPr>
          <w:rFonts w:ascii="Times New Roman" w:hAnsi="Times New Roman" w:cs="Times New Roman"/>
          <w:u w:val="single"/>
        </w:rPr>
        <w:t xml:space="preserve">Violations of the right to science </w:t>
      </w:r>
      <w:r>
        <w:rPr>
          <w:rFonts w:ascii="Times New Roman" w:hAnsi="Times New Roman" w:cs="Times New Roman"/>
        </w:rPr>
        <w:t>by using a “</w:t>
      </w:r>
      <w:r w:rsidRPr="002D2B12">
        <w:rPr>
          <w:rFonts w:ascii="Times New Roman" w:hAnsi="Times New Roman" w:cs="Times New Roman"/>
        </w:rPr>
        <w:t>TB screening mechanism relies on a diagnostic algorithm that does not account for the limitations of currently available TB diagnostics.</w:t>
      </w:r>
      <w:r>
        <w:rPr>
          <w:rFonts w:ascii="Times New Roman" w:hAnsi="Times New Roman" w:cs="Times New Roman"/>
        </w:rPr>
        <w:t xml:space="preserve">” </w:t>
      </w:r>
      <w:r w:rsidR="00B973F7">
        <w:rPr>
          <w:rFonts w:ascii="Times New Roman" w:hAnsi="Times New Roman" w:cs="Times New Roman"/>
        </w:rPr>
        <w:t xml:space="preserve"> The UAE use of </w:t>
      </w:r>
      <w:r w:rsidR="00B973F7" w:rsidRPr="00B973F7">
        <w:rPr>
          <w:rFonts w:ascii="Times New Roman" w:hAnsi="Times New Roman" w:cs="Times New Roman"/>
        </w:rPr>
        <w:t xml:space="preserve">chest </w:t>
      </w:r>
      <w:r w:rsidR="00B973F7">
        <w:rPr>
          <w:rFonts w:ascii="Times New Roman" w:hAnsi="Times New Roman" w:cs="Times New Roman"/>
        </w:rPr>
        <w:t>x</w:t>
      </w:r>
      <w:r w:rsidR="00B973F7" w:rsidRPr="00B973F7">
        <w:rPr>
          <w:rFonts w:ascii="Times New Roman" w:hAnsi="Times New Roman" w:cs="Times New Roman"/>
        </w:rPr>
        <w:t>-</w:t>
      </w:r>
      <w:r w:rsidR="00B973F7">
        <w:rPr>
          <w:rFonts w:ascii="Times New Roman" w:hAnsi="Times New Roman" w:cs="Times New Roman"/>
        </w:rPr>
        <w:t>r</w:t>
      </w:r>
      <w:r w:rsidR="00B973F7" w:rsidRPr="00B973F7">
        <w:rPr>
          <w:rFonts w:ascii="Times New Roman" w:hAnsi="Times New Roman" w:cs="Times New Roman"/>
        </w:rPr>
        <w:t xml:space="preserve">ay </w:t>
      </w:r>
      <w:r w:rsidR="00B973F7">
        <w:rPr>
          <w:rFonts w:ascii="Times New Roman" w:hAnsi="Times New Roman" w:cs="Times New Roman"/>
        </w:rPr>
        <w:t xml:space="preserve">misconstrues it’s use as a </w:t>
      </w:r>
      <w:r w:rsidR="00B973F7" w:rsidRPr="00B973F7">
        <w:rPr>
          <w:rFonts w:ascii="Times New Roman" w:hAnsi="Times New Roman" w:cs="Times New Roman"/>
        </w:rPr>
        <w:t xml:space="preserve">screening tool, </w:t>
      </w:r>
      <w:r w:rsidR="00B973F7">
        <w:rPr>
          <w:rFonts w:ascii="Times New Roman" w:hAnsi="Times New Roman" w:cs="Times New Roman"/>
        </w:rPr>
        <w:t>because a</w:t>
      </w:r>
      <w:r w:rsidR="00B973F7" w:rsidRPr="00B973F7">
        <w:rPr>
          <w:rFonts w:ascii="Times New Roman" w:hAnsi="Times New Roman" w:cs="Times New Roman"/>
        </w:rPr>
        <w:t xml:space="preserve"> chest x-ray alone cannot confirm </w:t>
      </w:r>
      <w:r w:rsidR="00B973F7">
        <w:rPr>
          <w:rFonts w:ascii="Times New Roman" w:hAnsi="Times New Roman" w:cs="Times New Roman"/>
        </w:rPr>
        <w:t xml:space="preserve">a </w:t>
      </w:r>
      <w:r w:rsidR="00B973F7" w:rsidRPr="00B973F7">
        <w:rPr>
          <w:rFonts w:ascii="Times New Roman" w:hAnsi="Times New Roman" w:cs="Times New Roman"/>
        </w:rPr>
        <w:t>diagnosis of TB. Lung scarring that appears on chest x-ray could be TB, prior TB, or something else altogether. When chest x-ray identifies such lung scarring or abnormalities it should be taken as an invitation to further diagnosis and clinical care. The WHO operational handbook on TB screening states: "A positive or abnormal result on chest x-ray screen indicates referral for diagnostic evaluation."</w:t>
      </w:r>
    </w:p>
    <w:p w14:paraId="3B9F2B2A" w14:textId="77777777" w:rsidR="00B973F7" w:rsidRPr="00B973F7" w:rsidRDefault="00B973F7" w:rsidP="00B973F7">
      <w:pPr>
        <w:pStyle w:val="ListParagraph"/>
        <w:ind w:left="1080"/>
        <w:jc w:val="both"/>
        <w:rPr>
          <w:rFonts w:ascii="Times New Roman" w:hAnsi="Times New Roman" w:cs="Times New Roman"/>
        </w:rPr>
      </w:pPr>
    </w:p>
    <w:p w14:paraId="25AA77E0" w14:textId="2C1D0C4F" w:rsidR="00B973F7" w:rsidRDefault="00B973F7" w:rsidP="002D2B12">
      <w:pPr>
        <w:pStyle w:val="ListParagraph"/>
        <w:numPr>
          <w:ilvl w:val="1"/>
          <w:numId w:val="1"/>
        </w:numPr>
        <w:jc w:val="both"/>
        <w:rPr>
          <w:rFonts w:ascii="Times New Roman" w:hAnsi="Times New Roman" w:cs="Times New Roman"/>
        </w:rPr>
      </w:pPr>
      <w:r w:rsidRPr="00B973F7">
        <w:rPr>
          <w:rFonts w:ascii="Times New Roman" w:hAnsi="Times New Roman" w:cs="Times New Roman"/>
          <w:u w:val="single"/>
        </w:rPr>
        <w:t>Violations of the right to health</w:t>
      </w:r>
      <w:r>
        <w:rPr>
          <w:rFonts w:ascii="Times New Roman" w:hAnsi="Times New Roman" w:cs="Times New Roman"/>
        </w:rPr>
        <w:t xml:space="preserve"> by the UAE practice to deport migrants with lung scarring without referring them to access medical care.</w:t>
      </w:r>
    </w:p>
    <w:p w14:paraId="21F8A8F1" w14:textId="77777777" w:rsidR="00B973F7" w:rsidRPr="00B973F7" w:rsidRDefault="00B973F7" w:rsidP="00B973F7">
      <w:pPr>
        <w:pStyle w:val="ListParagraph"/>
        <w:rPr>
          <w:rFonts w:ascii="Times New Roman" w:hAnsi="Times New Roman" w:cs="Times New Roman"/>
        </w:rPr>
      </w:pPr>
    </w:p>
    <w:p w14:paraId="716DF263" w14:textId="0194B7DC" w:rsidR="00B973F7" w:rsidRDefault="00B973F7" w:rsidP="002D2B12">
      <w:pPr>
        <w:pStyle w:val="ListParagraph"/>
        <w:numPr>
          <w:ilvl w:val="1"/>
          <w:numId w:val="1"/>
        </w:numPr>
        <w:jc w:val="both"/>
        <w:rPr>
          <w:rFonts w:ascii="Times New Roman" w:hAnsi="Times New Roman" w:cs="Times New Roman"/>
        </w:rPr>
      </w:pPr>
      <w:r>
        <w:rPr>
          <w:rFonts w:ascii="Times New Roman" w:hAnsi="Times New Roman" w:cs="Times New Roman"/>
        </w:rPr>
        <w:lastRenderedPageBreak/>
        <w:t xml:space="preserve">Violations of the right to privacy and right to information by disclosing </w:t>
      </w:r>
      <w:proofErr w:type="gramStart"/>
      <w:r>
        <w:rPr>
          <w:rFonts w:ascii="Times New Roman" w:hAnsi="Times New Roman" w:cs="Times New Roman"/>
        </w:rPr>
        <w:t>migrants</w:t>
      </w:r>
      <w:proofErr w:type="gramEnd"/>
      <w:r>
        <w:rPr>
          <w:rFonts w:ascii="Times New Roman" w:hAnsi="Times New Roman" w:cs="Times New Roman"/>
        </w:rPr>
        <w:t xml:space="preserve"> health status to their employers without their consent, and not providing full access to the migrants themselves about their own medical status by e.g. not issuing medical documents.</w:t>
      </w:r>
    </w:p>
    <w:p w14:paraId="3DF29B98" w14:textId="77777777" w:rsidR="000B4A81" w:rsidRPr="00C1501B" w:rsidRDefault="000B4A81" w:rsidP="000B4A81">
      <w:pPr>
        <w:jc w:val="both"/>
        <w:rPr>
          <w:rFonts w:ascii="Times New Roman" w:hAnsi="Times New Roman" w:cs="Times New Roman"/>
        </w:rPr>
      </w:pPr>
    </w:p>
    <w:p w14:paraId="480D7D8E" w14:textId="56761E9B" w:rsidR="00FF4F3A" w:rsidRPr="00FF4F3A" w:rsidRDefault="00FF4F3A" w:rsidP="000E73AA">
      <w:pPr>
        <w:pStyle w:val="ListParagraph"/>
        <w:numPr>
          <w:ilvl w:val="0"/>
          <w:numId w:val="1"/>
        </w:numPr>
        <w:jc w:val="both"/>
        <w:rPr>
          <w:rFonts w:ascii="Times New Roman" w:hAnsi="Times New Roman" w:cs="Times New Roman"/>
        </w:rPr>
      </w:pPr>
      <w:r w:rsidRPr="00FF4F3A">
        <w:rPr>
          <w:rFonts w:ascii="Times New Roman" w:hAnsi="Times New Roman" w:cs="Times New Roman"/>
          <w:color w:val="222222"/>
          <w:shd w:val="clear" w:color="auto" w:fill="FFFFFF"/>
        </w:rPr>
        <w:t>This practice contravenes t</w:t>
      </w:r>
      <w:r w:rsidRPr="00FF4F3A">
        <w:rPr>
          <w:rFonts w:ascii="Times New Roman" w:hAnsi="Times New Roman" w:cs="Times New Roman"/>
          <w:color w:val="222222"/>
          <w:shd w:val="clear" w:color="auto" w:fill="FFFFFF"/>
        </w:rPr>
        <w:t xml:space="preserve">he WHO guidelines on TB screening </w:t>
      </w:r>
      <w:r w:rsidRPr="00FF4F3A">
        <w:rPr>
          <w:rFonts w:ascii="Times New Roman" w:hAnsi="Times New Roman" w:cs="Times New Roman"/>
          <w:color w:val="222222"/>
          <w:shd w:val="clear" w:color="auto" w:fill="FFFFFF"/>
        </w:rPr>
        <w:t xml:space="preserve">which </w:t>
      </w:r>
      <w:r w:rsidRPr="00FF4F3A">
        <w:rPr>
          <w:rFonts w:ascii="Times New Roman" w:hAnsi="Times New Roman" w:cs="Times New Roman"/>
          <w:color w:val="222222"/>
          <w:shd w:val="clear" w:color="auto" w:fill="FFFFFF"/>
        </w:rPr>
        <w:t>state: "Screening population groups at higher risk for TB is ethically sound as long as it is designed and conducted to improve individual and public health and wellbeing; in this way screening contributes to the common good and upholds the ethical principle of accountability.</w:t>
      </w:r>
      <w:r w:rsidRPr="00FF4F3A">
        <w:rPr>
          <w:rFonts w:ascii="Times New Roman" w:hAnsi="Times New Roman" w:cs="Times New Roman"/>
          <w:color w:val="222222"/>
          <w:shd w:val="clear" w:color="auto" w:fill="FFFFFF"/>
        </w:rPr>
        <w:t xml:space="preserve"> […] screening should always be done with the intent to provide care to those who need it, and never to exclude entry or employment or discriminate against individuals.”</w:t>
      </w:r>
    </w:p>
    <w:p w14:paraId="0C81095D" w14:textId="77777777" w:rsidR="00FF4F3A" w:rsidRPr="00FF4F3A" w:rsidRDefault="00FF4F3A" w:rsidP="00FF4F3A">
      <w:pPr>
        <w:pStyle w:val="ListParagraph"/>
        <w:ind w:left="360"/>
        <w:jc w:val="both"/>
        <w:rPr>
          <w:rFonts w:ascii="Times New Roman" w:hAnsi="Times New Roman" w:cs="Times New Roman"/>
        </w:rPr>
      </w:pPr>
    </w:p>
    <w:p w14:paraId="144795E0" w14:textId="527C3DA4" w:rsidR="00FF4F3A" w:rsidRPr="00FF4F3A" w:rsidRDefault="00B973F7" w:rsidP="00FF4F3A">
      <w:pPr>
        <w:pStyle w:val="ListParagraph"/>
        <w:numPr>
          <w:ilvl w:val="0"/>
          <w:numId w:val="1"/>
        </w:numPr>
        <w:jc w:val="both"/>
        <w:rPr>
          <w:rFonts w:ascii="Times New Roman" w:hAnsi="Times New Roman" w:cs="Times New Roman"/>
        </w:rPr>
      </w:pPr>
      <w:r>
        <w:rPr>
          <w:rFonts w:ascii="Times New Roman" w:hAnsi="Times New Roman" w:cs="Times New Roman"/>
        </w:rPr>
        <w:t>It is with grave concern that TAG reports to the SR that these violations are still occurring today. These violations are also not confined to the UAE nor to the context of TB.</w:t>
      </w:r>
    </w:p>
    <w:p w14:paraId="50C94D32" w14:textId="12629884" w:rsidR="00B973F7" w:rsidRPr="00B973F7" w:rsidRDefault="00B973F7" w:rsidP="00B973F7">
      <w:pPr>
        <w:jc w:val="both"/>
        <w:rPr>
          <w:rFonts w:ascii="Times New Roman" w:hAnsi="Times New Roman" w:cs="Times New Roman"/>
        </w:rPr>
      </w:pPr>
      <w:r w:rsidRPr="00B973F7">
        <w:rPr>
          <w:rFonts w:ascii="Times New Roman" w:hAnsi="Times New Roman" w:cs="Times New Roman"/>
        </w:rPr>
        <w:t xml:space="preserve"> </w:t>
      </w:r>
    </w:p>
    <w:p w14:paraId="7EF753A1" w14:textId="22D42C9D" w:rsidR="00D6049B" w:rsidRDefault="00B973F7" w:rsidP="00D6049B">
      <w:pPr>
        <w:pStyle w:val="ListParagraph"/>
        <w:numPr>
          <w:ilvl w:val="0"/>
          <w:numId w:val="1"/>
        </w:numPr>
        <w:jc w:val="both"/>
        <w:rPr>
          <w:rFonts w:ascii="Times New Roman" w:hAnsi="Times New Roman" w:cs="Times New Roman"/>
          <w:lang w:val="en-GB"/>
        </w:rPr>
      </w:pPr>
      <w:r w:rsidRPr="00B973F7">
        <w:rPr>
          <w:rFonts w:ascii="Times New Roman" w:hAnsi="Times New Roman" w:cs="Times New Roman"/>
        </w:rPr>
        <w:t xml:space="preserve">In fact, </w:t>
      </w:r>
      <w:r w:rsidRPr="00B973F7">
        <w:rPr>
          <w:rFonts w:ascii="Times New Roman" w:hAnsi="Times New Roman" w:cs="Times New Roman"/>
          <w:lang w:val="en-GB"/>
        </w:rPr>
        <w:t xml:space="preserve">health </w:t>
      </w:r>
      <w:proofErr w:type="spellStart"/>
      <w:r w:rsidRPr="00B973F7">
        <w:rPr>
          <w:rFonts w:ascii="Times New Roman" w:hAnsi="Times New Roman" w:cs="Times New Roman"/>
          <w:lang w:val="en-GB"/>
        </w:rPr>
        <w:t>centers</w:t>
      </w:r>
      <w:proofErr w:type="spellEnd"/>
      <w:r w:rsidRPr="00B973F7">
        <w:rPr>
          <w:rFonts w:ascii="Times New Roman" w:hAnsi="Times New Roman" w:cs="Times New Roman"/>
          <w:lang w:val="en-GB"/>
        </w:rPr>
        <w:t xml:space="preserve"> tasked with health screening for visas to </w:t>
      </w:r>
      <w:r w:rsidRPr="00B973F7">
        <w:rPr>
          <w:rFonts w:ascii="Times New Roman" w:hAnsi="Times New Roman" w:cs="Times New Roman"/>
          <w:lang w:val="en-GB"/>
        </w:rPr>
        <w:t>states included in the Gulf Cooperation Council (</w:t>
      </w:r>
      <w:r w:rsidRPr="00B973F7">
        <w:rPr>
          <w:rFonts w:ascii="Times New Roman" w:hAnsi="Times New Roman" w:cs="Times New Roman"/>
          <w:lang w:val="en-GB"/>
        </w:rPr>
        <w:t>GCC</w:t>
      </w:r>
      <w:r w:rsidRPr="00B973F7">
        <w:rPr>
          <w:rFonts w:ascii="Times New Roman" w:hAnsi="Times New Roman" w:cs="Times New Roman"/>
          <w:lang w:val="en-GB"/>
        </w:rPr>
        <w:t>)</w:t>
      </w:r>
      <w:r w:rsidRPr="00B973F7">
        <w:rPr>
          <w:rFonts w:ascii="Times New Roman" w:hAnsi="Times New Roman" w:cs="Times New Roman"/>
          <w:lang w:val="en-GB"/>
        </w:rPr>
        <w:t xml:space="preserve"> are</w:t>
      </w:r>
      <w:r w:rsidRPr="00B973F7">
        <w:rPr>
          <w:rFonts w:ascii="Times New Roman" w:hAnsi="Times New Roman" w:cs="Times New Roman"/>
          <w:lang w:val="en-GB"/>
        </w:rPr>
        <w:t xml:space="preserve"> at the time of writing</w:t>
      </w:r>
      <w:r w:rsidRPr="00B973F7">
        <w:rPr>
          <w:rFonts w:ascii="Times New Roman" w:hAnsi="Times New Roman" w:cs="Times New Roman"/>
          <w:lang w:val="en-GB"/>
        </w:rPr>
        <w:t xml:space="preserve"> working in</w:t>
      </w:r>
      <w:r w:rsidRPr="00B973F7">
        <w:rPr>
          <w:rFonts w:ascii="Times New Roman" w:hAnsi="Times New Roman" w:cs="Times New Roman"/>
          <w:lang w:val="en-GB"/>
        </w:rPr>
        <w:t xml:space="preserve"> 21</w:t>
      </w:r>
      <w:r w:rsidRPr="00B973F7">
        <w:rPr>
          <w:rFonts w:ascii="Times New Roman" w:hAnsi="Times New Roman" w:cs="Times New Roman"/>
          <w:lang w:val="en-GB"/>
        </w:rPr>
        <w:t xml:space="preserve"> countries </w:t>
      </w:r>
      <w:r>
        <w:rPr>
          <w:rFonts w:ascii="Times New Roman" w:hAnsi="Times New Roman" w:cs="Times New Roman"/>
          <w:lang w:val="en-GB"/>
        </w:rPr>
        <w:t>per the Gulf Health Council website.</w:t>
      </w:r>
      <w:r>
        <w:rPr>
          <w:rStyle w:val="FootnoteReference"/>
          <w:rFonts w:ascii="Times New Roman" w:hAnsi="Times New Roman" w:cs="Times New Roman"/>
          <w:lang w:val="en-GB"/>
        </w:rPr>
        <w:footnoteReference w:id="16"/>
      </w:r>
    </w:p>
    <w:p w14:paraId="40C04F16" w14:textId="77777777" w:rsidR="00D6049B" w:rsidRPr="00D6049B" w:rsidRDefault="00D6049B" w:rsidP="00D6049B">
      <w:pPr>
        <w:jc w:val="both"/>
        <w:rPr>
          <w:rFonts w:ascii="Times New Roman" w:hAnsi="Times New Roman" w:cs="Times New Roman"/>
          <w:lang w:val="en-GB"/>
        </w:rPr>
      </w:pPr>
    </w:p>
    <w:p w14:paraId="693164DF" w14:textId="4ABD2114" w:rsidR="00D6049B" w:rsidRDefault="00D6049B" w:rsidP="00D6049B">
      <w:pPr>
        <w:pStyle w:val="ListParagraph"/>
        <w:numPr>
          <w:ilvl w:val="0"/>
          <w:numId w:val="1"/>
        </w:numPr>
        <w:jc w:val="both"/>
        <w:rPr>
          <w:rFonts w:ascii="Times New Roman" w:hAnsi="Times New Roman" w:cs="Times New Roman"/>
        </w:rPr>
      </w:pPr>
      <w:r>
        <w:rPr>
          <w:rFonts w:ascii="Times New Roman" w:hAnsi="Times New Roman" w:cs="Times New Roman"/>
        </w:rPr>
        <w:t>The “Regulations of Medical Examination of Expatriates” outline in details items including in the applicant’s medical history that exclude them from receiving work or travel authorization to GCC countries (listed below) as well as the requirements for the medical examination:</w:t>
      </w:r>
    </w:p>
    <w:p w14:paraId="26F79B53" w14:textId="77777777" w:rsidR="00D6049B" w:rsidRPr="00D6049B" w:rsidRDefault="00D6049B" w:rsidP="00D6049B">
      <w:pPr>
        <w:pStyle w:val="ListParagraph"/>
        <w:rPr>
          <w:rFonts w:ascii="FrutigerLTArabic" w:eastAsia="Times New Roman" w:hAnsi="FrutigerLTArabic" w:cs="Times New Roman"/>
          <w:color w:val="193342"/>
        </w:rPr>
      </w:pPr>
    </w:p>
    <w:p w14:paraId="3AA51563" w14:textId="77777777" w:rsidR="00D6049B" w:rsidRPr="00D6049B" w:rsidRDefault="00D6049B" w:rsidP="00D6049B">
      <w:pPr>
        <w:pStyle w:val="ListParagraph"/>
        <w:numPr>
          <w:ilvl w:val="1"/>
          <w:numId w:val="1"/>
        </w:numPr>
        <w:jc w:val="both"/>
        <w:rPr>
          <w:rFonts w:ascii="Times New Roman" w:hAnsi="Times New Roman" w:cs="Times New Roman"/>
        </w:rPr>
      </w:pPr>
      <w:r>
        <w:rPr>
          <w:rFonts w:ascii="Times New Roman" w:eastAsia="Times New Roman" w:hAnsi="Times New Roman" w:cs="Times New Roman"/>
          <w:color w:val="193342"/>
        </w:rPr>
        <w:t>“</w:t>
      </w:r>
      <w:r w:rsidRPr="00D6049B">
        <w:rPr>
          <w:rFonts w:ascii="Times New Roman" w:eastAsia="Times New Roman" w:hAnsi="Times New Roman" w:cs="Times New Roman"/>
          <w:color w:val="193342"/>
        </w:rPr>
        <w:t xml:space="preserve">The expatriate shall not have suffered from any of the following diseases: </w:t>
      </w:r>
    </w:p>
    <w:p w14:paraId="0003D6C2"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Any mental or neurological disease, and shall be free from symptoms and clinical signs indicating the presence of these </w:t>
      </w:r>
      <w:proofErr w:type="gramStart"/>
      <w:r w:rsidRPr="00D6049B">
        <w:rPr>
          <w:rFonts w:ascii="Times New Roman" w:eastAsia="Times New Roman" w:hAnsi="Times New Roman" w:cs="Times New Roman"/>
        </w:rPr>
        <w:t>diseases;</w:t>
      </w:r>
      <w:proofErr w:type="gramEnd"/>
      <w:r w:rsidRPr="00D6049B">
        <w:rPr>
          <w:rFonts w:ascii="Times New Roman" w:eastAsia="Times New Roman" w:hAnsi="Times New Roman" w:cs="Times New Roman"/>
        </w:rPr>
        <w:t xml:space="preserve"> </w:t>
      </w:r>
    </w:p>
    <w:p w14:paraId="4B003A64"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Heart </w:t>
      </w:r>
      <w:proofErr w:type="gramStart"/>
      <w:r w:rsidRPr="00D6049B">
        <w:rPr>
          <w:rFonts w:ascii="Times New Roman" w:eastAsia="Times New Roman" w:hAnsi="Times New Roman" w:cs="Times New Roman"/>
        </w:rPr>
        <w:t>diseases;</w:t>
      </w:r>
      <w:proofErr w:type="gramEnd"/>
      <w:r w:rsidRPr="00D6049B">
        <w:rPr>
          <w:rFonts w:ascii="Times New Roman" w:eastAsia="Times New Roman" w:hAnsi="Times New Roman" w:cs="Times New Roman"/>
        </w:rPr>
        <w:t xml:space="preserve"> </w:t>
      </w:r>
    </w:p>
    <w:p w14:paraId="4F7FC841"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Lung diseases such as bronchial </w:t>
      </w:r>
      <w:proofErr w:type="gramStart"/>
      <w:r w:rsidRPr="00D6049B">
        <w:rPr>
          <w:rFonts w:ascii="Times New Roman" w:eastAsia="Times New Roman" w:hAnsi="Times New Roman" w:cs="Times New Roman"/>
        </w:rPr>
        <w:t>asthma;</w:t>
      </w:r>
      <w:proofErr w:type="gramEnd"/>
      <w:r w:rsidRPr="00D6049B">
        <w:rPr>
          <w:rFonts w:ascii="Times New Roman" w:eastAsia="Times New Roman" w:hAnsi="Times New Roman" w:cs="Times New Roman"/>
        </w:rPr>
        <w:t xml:space="preserve"> </w:t>
      </w:r>
    </w:p>
    <w:p w14:paraId="743D00CA"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Renal disease, Renal failure, or chronic </w:t>
      </w:r>
      <w:proofErr w:type="gramStart"/>
      <w:r w:rsidRPr="00D6049B">
        <w:rPr>
          <w:rFonts w:ascii="Times New Roman" w:eastAsia="Times New Roman" w:hAnsi="Times New Roman" w:cs="Times New Roman"/>
        </w:rPr>
        <w:t>Renal disease</w:t>
      </w:r>
      <w:proofErr w:type="gramEnd"/>
      <w:r w:rsidRPr="00D6049B">
        <w:rPr>
          <w:rFonts w:ascii="Times New Roman" w:eastAsia="Times New Roman" w:hAnsi="Times New Roman" w:cs="Times New Roman"/>
        </w:rPr>
        <w:t xml:space="preserve"> that leads to Renal failure; </w:t>
      </w:r>
    </w:p>
    <w:p w14:paraId="42771BA1"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Liver disease or </w:t>
      </w:r>
      <w:proofErr w:type="gramStart"/>
      <w:r w:rsidRPr="00D6049B">
        <w:rPr>
          <w:rFonts w:ascii="Times New Roman" w:eastAsia="Times New Roman" w:hAnsi="Times New Roman" w:cs="Times New Roman"/>
        </w:rPr>
        <w:t>failure;</w:t>
      </w:r>
      <w:proofErr w:type="gramEnd"/>
      <w:r w:rsidRPr="00D6049B">
        <w:rPr>
          <w:rFonts w:ascii="Times New Roman" w:eastAsia="Times New Roman" w:hAnsi="Times New Roman" w:cs="Times New Roman"/>
        </w:rPr>
        <w:t xml:space="preserve"> </w:t>
      </w:r>
    </w:p>
    <w:p w14:paraId="4EB94AE8"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Any hernia or intra-abdominal swelling or </w:t>
      </w:r>
      <w:proofErr w:type="gramStart"/>
      <w:r w:rsidRPr="00D6049B">
        <w:rPr>
          <w:rFonts w:ascii="Times New Roman" w:eastAsia="Times New Roman" w:hAnsi="Times New Roman" w:cs="Times New Roman"/>
        </w:rPr>
        <w:t>inflammation;</w:t>
      </w:r>
      <w:proofErr w:type="gramEnd"/>
      <w:r w:rsidRPr="00D6049B">
        <w:rPr>
          <w:rFonts w:ascii="Times New Roman" w:eastAsia="Times New Roman" w:hAnsi="Times New Roman" w:cs="Times New Roman"/>
        </w:rPr>
        <w:t xml:space="preserve"> </w:t>
      </w:r>
    </w:p>
    <w:p w14:paraId="4D2AD4B7"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Congenital/pathological limb or vertebral anomalies. </w:t>
      </w:r>
    </w:p>
    <w:p w14:paraId="3D23D2E7"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Chronic or viral skin </w:t>
      </w:r>
      <w:proofErr w:type="gramStart"/>
      <w:r w:rsidRPr="00D6049B">
        <w:rPr>
          <w:rFonts w:ascii="Times New Roman" w:eastAsia="Times New Roman" w:hAnsi="Times New Roman" w:cs="Times New Roman"/>
        </w:rPr>
        <w:t>diseases;</w:t>
      </w:r>
      <w:proofErr w:type="gramEnd"/>
      <w:r w:rsidRPr="00D6049B">
        <w:rPr>
          <w:rFonts w:ascii="Times New Roman" w:eastAsia="Times New Roman" w:hAnsi="Times New Roman" w:cs="Times New Roman"/>
        </w:rPr>
        <w:t xml:space="preserve"> </w:t>
      </w:r>
    </w:p>
    <w:p w14:paraId="3E8B2064"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Rheumatism or </w:t>
      </w:r>
      <w:proofErr w:type="gramStart"/>
      <w:r w:rsidRPr="00D6049B">
        <w:rPr>
          <w:rFonts w:ascii="Times New Roman" w:eastAsia="Times New Roman" w:hAnsi="Times New Roman" w:cs="Times New Roman"/>
        </w:rPr>
        <w:t>Lymphadenoma;</w:t>
      </w:r>
      <w:proofErr w:type="gramEnd"/>
      <w:r w:rsidRPr="00D6049B">
        <w:rPr>
          <w:rFonts w:ascii="Times New Roman" w:eastAsia="Times New Roman" w:hAnsi="Times New Roman" w:cs="Times New Roman"/>
        </w:rPr>
        <w:t xml:space="preserve"> </w:t>
      </w:r>
    </w:p>
    <w:p w14:paraId="390BB01E" w14:textId="77777777"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Blood diseases such as anemia, leukemia, etc.; and/or </w:t>
      </w:r>
    </w:p>
    <w:p w14:paraId="12D33D47" w14:textId="46A76B2A" w:rsidR="00D6049B" w:rsidRPr="00D6049B" w:rsidRDefault="00D6049B" w:rsidP="00D6049B">
      <w:pPr>
        <w:pStyle w:val="ListParagraph"/>
        <w:numPr>
          <w:ilvl w:val="2"/>
          <w:numId w:val="1"/>
        </w:numPr>
        <w:jc w:val="both"/>
        <w:rPr>
          <w:rFonts w:ascii="Times New Roman" w:hAnsi="Times New Roman" w:cs="Times New Roman"/>
        </w:rPr>
      </w:pPr>
      <w:r w:rsidRPr="00D6049B">
        <w:rPr>
          <w:rFonts w:ascii="Times New Roman" w:eastAsia="Times New Roman" w:hAnsi="Times New Roman" w:cs="Times New Roman"/>
        </w:rPr>
        <w:t xml:space="preserve">All allergic diseases, or clinical signs of </w:t>
      </w:r>
      <w:proofErr w:type="gramStart"/>
      <w:r w:rsidRPr="00D6049B">
        <w:rPr>
          <w:rFonts w:ascii="Times New Roman" w:eastAsia="Times New Roman" w:hAnsi="Times New Roman" w:cs="Times New Roman"/>
        </w:rPr>
        <w:t>allergies.</w:t>
      </w:r>
      <w:r w:rsidRPr="00D6049B">
        <w:rPr>
          <w:rFonts w:ascii="Times New Roman" w:eastAsia="Times New Roman" w:hAnsi="Times New Roman" w:cs="Times New Roman"/>
        </w:rPr>
        <w:t>“</w:t>
      </w:r>
      <w:proofErr w:type="gramEnd"/>
    </w:p>
    <w:p w14:paraId="660163C7" w14:textId="77777777" w:rsidR="00B973F7" w:rsidRPr="00D6049B" w:rsidRDefault="00B973F7" w:rsidP="00D6049B">
      <w:pPr>
        <w:rPr>
          <w:rFonts w:ascii="Times New Roman" w:hAnsi="Times New Roman" w:cs="Times New Roman"/>
        </w:rPr>
      </w:pPr>
    </w:p>
    <w:p w14:paraId="0DC16ADD" w14:textId="502D6A17" w:rsidR="00F340A0" w:rsidRDefault="00D6049B" w:rsidP="000B4A81">
      <w:pPr>
        <w:pStyle w:val="ListParagraph"/>
        <w:numPr>
          <w:ilvl w:val="0"/>
          <w:numId w:val="1"/>
        </w:numPr>
        <w:jc w:val="both"/>
        <w:rPr>
          <w:rFonts w:ascii="Times New Roman" w:hAnsi="Times New Roman" w:cs="Times New Roman"/>
        </w:rPr>
      </w:pPr>
      <w:r>
        <w:rPr>
          <w:rFonts w:ascii="Times New Roman" w:hAnsi="Times New Roman" w:cs="Times New Roman"/>
        </w:rPr>
        <w:t xml:space="preserve">The system of fines levied on accredited medical screening centers in an applicant’s home country should they </w:t>
      </w:r>
      <w:r w:rsidR="00F340A0">
        <w:rPr>
          <w:rFonts w:ascii="Times New Roman" w:hAnsi="Times New Roman" w:cs="Times New Roman"/>
        </w:rPr>
        <w:t xml:space="preserve">clear a medical screening that is confirmed to be in violation of the requirements when confirmed upon arrival in the GCC country, </w:t>
      </w:r>
      <w:r>
        <w:rPr>
          <w:rFonts w:ascii="Times New Roman" w:hAnsi="Times New Roman" w:cs="Times New Roman"/>
        </w:rPr>
        <w:t xml:space="preserve">appear to exacerbate the </w:t>
      </w:r>
      <w:r w:rsidR="00F340A0">
        <w:rPr>
          <w:rFonts w:ascii="Times New Roman" w:hAnsi="Times New Roman" w:cs="Times New Roman"/>
        </w:rPr>
        <w:t xml:space="preserve">discrimination experienced by migrants. </w:t>
      </w:r>
    </w:p>
    <w:p w14:paraId="7CF64201" w14:textId="7CE4C92B" w:rsidR="00623E8E" w:rsidRPr="00F340A0" w:rsidRDefault="00623E8E" w:rsidP="00F340A0">
      <w:pPr>
        <w:jc w:val="both"/>
        <w:rPr>
          <w:rFonts w:ascii="Times New Roman" w:hAnsi="Times New Roman" w:cs="Times New Roman"/>
          <w:lang w:val="en-GB"/>
        </w:rPr>
      </w:pPr>
    </w:p>
    <w:p w14:paraId="2636BEAC" w14:textId="5BF4E84A" w:rsidR="00623E8E" w:rsidRDefault="00F340A0" w:rsidP="003B2569">
      <w:pPr>
        <w:pStyle w:val="ListParagraph"/>
        <w:numPr>
          <w:ilvl w:val="0"/>
          <w:numId w:val="1"/>
        </w:numPr>
        <w:jc w:val="both"/>
        <w:rPr>
          <w:rFonts w:ascii="Times New Roman" w:hAnsi="Times New Roman" w:cs="Times New Roman"/>
          <w:lang w:val="en-GB"/>
        </w:rPr>
      </w:pPr>
      <w:r>
        <w:rPr>
          <w:rFonts w:ascii="Times New Roman" w:hAnsi="Times New Roman" w:cs="Times New Roman"/>
          <w:lang w:val="en-GB"/>
        </w:rPr>
        <w:t>On 16 November 2022, TAG documented the cases of two Indian citizens intending to return to their home in Kuwait after a COVID-19 border closures forced them to extend their trip to India, during which their residency visa expired. Both persons were initially withheld their visa</w:t>
      </w:r>
      <w:r w:rsidR="00FF4F3A">
        <w:rPr>
          <w:rFonts w:ascii="Times New Roman" w:hAnsi="Times New Roman" w:cs="Times New Roman"/>
          <w:lang w:val="en-GB"/>
        </w:rPr>
        <w:t xml:space="preserve"> because they did not pass the unscientific medical test, one for suspected hypertension and one for lung scarring.</w:t>
      </w:r>
      <w:r w:rsidR="00FF4F3A">
        <w:rPr>
          <w:rStyle w:val="FootnoteReference"/>
          <w:rFonts w:ascii="Times New Roman" w:hAnsi="Times New Roman" w:cs="Times New Roman"/>
          <w:lang w:val="en-GB"/>
        </w:rPr>
        <w:footnoteReference w:id="17"/>
      </w:r>
    </w:p>
    <w:p w14:paraId="66D575EB" w14:textId="77777777" w:rsidR="008D1DD0" w:rsidRPr="00623E8E" w:rsidRDefault="008D1DD0" w:rsidP="00623E8E">
      <w:pPr>
        <w:rPr>
          <w:rFonts w:ascii="Times New Roman" w:hAnsi="Times New Roman" w:cs="Times New Roman"/>
          <w:lang w:val="en-GB"/>
        </w:rPr>
      </w:pPr>
    </w:p>
    <w:p w14:paraId="7776A2BF" w14:textId="7248F225" w:rsidR="004F359B" w:rsidRPr="00F340A0" w:rsidRDefault="004F359B" w:rsidP="00206D03">
      <w:pPr>
        <w:pStyle w:val="ListParagraph"/>
        <w:numPr>
          <w:ilvl w:val="0"/>
          <w:numId w:val="1"/>
        </w:numPr>
        <w:jc w:val="both"/>
        <w:rPr>
          <w:rFonts w:ascii="Times New Roman" w:hAnsi="Times New Roman" w:cs="Times New Roman"/>
        </w:rPr>
      </w:pPr>
      <w:r w:rsidRPr="00F340A0">
        <w:rPr>
          <w:rFonts w:ascii="Times New Roman" w:hAnsi="Times New Roman" w:cs="Times New Roman"/>
        </w:rPr>
        <w:t>Two core obligations identified in GC25 are of note in this context</w:t>
      </w:r>
      <w:r w:rsidR="00F340A0">
        <w:rPr>
          <w:rFonts w:ascii="Times New Roman" w:hAnsi="Times New Roman" w:cs="Times New Roman"/>
        </w:rPr>
        <w:t>:</w:t>
      </w:r>
    </w:p>
    <w:p w14:paraId="43C53ED8" w14:textId="1DE45B93" w:rsidR="004F359B" w:rsidRDefault="004F359B" w:rsidP="004F359B">
      <w:pPr>
        <w:pStyle w:val="ListParagraph"/>
        <w:numPr>
          <w:ilvl w:val="1"/>
          <w:numId w:val="1"/>
        </w:numPr>
        <w:jc w:val="both"/>
        <w:rPr>
          <w:rFonts w:ascii="Times New Roman" w:hAnsi="Times New Roman" w:cs="Times New Roman"/>
        </w:rPr>
      </w:pPr>
      <w:r>
        <w:rPr>
          <w:rFonts w:ascii="Times New Roman" w:hAnsi="Times New Roman" w:cs="Times New Roman"/>
        </w:rPr>
        <w:t>“</w:t>
      </w:r>
      <w:r w:rsidRPr="004F359B">
        <w:rPr>
          <w:rFonts w:ascii="Times New Roman" w:hAnsi="Times New Roman" w:cs="Times New Roman"/>
        </w:rPr>
        <w:t>Ensure that health professionals are properly trained in using and applying modern technologies and medicines resulting from scientific progress</w:t>
      </w:r>
      <w:r>
        <w:rPr>
          <w:rFonts w:ascii="Times New Roman" w:hAnsi="Times New Roman" w:cs="Times New Roman"/>
        </w:rPr>
        <w:t xml:space="preserve">:” </w:t>
      </w:r>
    </w:p>
    <w:p w14:paraId="7329BFA2" w14:textId="1B9E42C9" w:rsidR="004F359B" w:rsidRDefault="004F359B" w:rsidP="004F359B">
      <w:pPr>
        <w:pStyle w:val="ListParagraph"/>
        <w:numPr>
          <w:ilvl w:val="1"/>
          <w:numId w:val="1"/>
        </w:numPr>
        <w:jc w:val="both"/>
        <w:rPr>
          <w:rFonts w:ascii="Times New Roman" w:hAnsi="Times New Roman" w:cs="Times New Roman"/>
        </w:rPr>
      </w:pPr>
      <w:r>
        <w:rPr>
          <w:rFonts w:ascii="Times New Roman" w:hAnsi="Times New Roman" w:cs="Times New Roman"/>
        </w:rPr>
        <w:t>“</w:t>
      </w:r>
      <w:r w:rsidRPr="004F359B">
        <w:rPr>
          <w:rFonts w:ascii="Times New Roman" w:hAnsi="Times New Roman" w:cs="Times New Roman"/>
        </w:rPr>
        <w:t>Adopt mechanisms to protect people from the harmful consequences of false, misleading and pseudoscience-based practices, especially when other economic, social and cultural rights are at risk</w:t>
      </w:r>
      <w:r>
        <w:rPr>
          <w:rFonts w:ascii="Times New Roman" w:hAnsi="Times New Roman" w:cs="Times New Roman"/>
        </w:rPr>
        <w:t>:”</w:t>
      </w:r>
      <w:r w:rsidR="00F340A0">
        <w:rPr>
          <w:rStyle w:val="FootnoteReference"/>
          <w:rFonts w:ascii="Times New Roman" w:hAnsi="Times New Roman" w:cs="Times New Roman"/>
        </w:rPr>
        <w:footnoteReference w:id="18"/>
      </w:r>
    </w:p>
    <w:p w14:paraId="322CDEEB" w14:textId="77777777" w:rsidR="00623E8E" w:rsidRPr="00F340A0" w:rsidRDefault="00623E8E" w:rsidP="00F340A0">
      <w:pPr>
        <w:jc w:val="both"/>
        <w:rPr>
          <w:rFonts w:ascii="Times New Roman" w:hAnsi="Times New Roman" w:cs="Times New Roman"/>
          <w:lang w:val="en-GB"/>
        </w:rPr>
      </w:pPr>
    </w:p>
    <w:p w14:paraId="6A23F04E" w14:textId="47E0094A" w:rsidR="004F359B" w:rsidRPr="00F340A0" w:rsidRDefault="00F340A0" w:rsidP="00F340A0">
      <w:pPr>
        <w:pStyle w:val="ListParagraph"/>
        <w:numPr>
          <w:ilvl w:val="0"/>
          <w:numId w:val="1"/>
        </w:numPr>
        <w:jc w:val="both"/>
        <w:rPr>
          <w:rFonts w:ascii="Times New Roman" w:hAnsi="Times New Roman" w:cs="Times New Roman"/>
        </w:rPr>
      </w:pPr>
      <w:r>
        <w:rPr>
          <w:rFonts w:ascii="Times New Roman" w:hAnsi="Times New Roman" w:cs="Times New Roman"/>
        </w:rPr>
        <w:t>In this context, TAG asks the SR to take note of the extraterritorial obligations of states under the right to science.</w:t>
      </w:r>
      <w:r>
        <w:rPr>
          <w:rStyle w:val="FootnoteReference"/>
          <w:rFonts w:ascii="Times New Roman" w:hAnsi="Times New Roman" w:cs="Times New Roman"/>
        </w:rPr>
        <w:footnoteReference w:id="19"/>
      </w:r>
      <w:r>
        <w:rPr>
          <w:rFonts w:ascii="Times New Roman" w:hAnsi="Times New Roman" w:cs="Times New Roman"/>
        </w:rPr>
        <w:t xml:space="preserve"> </w:t>
      </w:r>
      <w:r w:rsidR="004F359B" w:rsidRPr="00F340A0">
        <w:rPr>
          <w:rFonts w:ascii="Times New Roman" w:hAnsi="Times New Roman" w:cs="Times New Roman"/>
        </w:rPr>
        <w:t xml:space="preserve">Both the GCC via the </w:t>
      </w:r>
      <w:r>
        <w:rPr>
          <w:rFonts w:ascii="Times New Roman" w:hAnsi="Times New Roman" w:cs="Times New Roman"/>
        </w:rPr>
        <w:t>GHC</w:t>
      </w:r>
      <w:r w:rsidR="004F359B" w:rsidRPr="00F340A0">
        <w:rPr>
          <w:rFonts w:ascii="Times New Roman" w:hAnsi="Times New Roman" w:cs="Times New Roman"/>
        </w:rPr>
        <w:t xml:space="preserve"> Regulations, and the migrants’ states of origin are falling short of these core obligations when they not only allow but in fact require health centers to apply diagnostic methods that are not in line with published WHO standards. </w:t>
      </w:r>
    </w:p>
    <w:p w14:paraId="4777A6B1" w14:textId="77777777" w:rsidR="000A3B6B" w:rsidRDefault="000A3B6B" w:rsidP="000A3B6B">
      <w:pPr>
        <w:pStyle w:val="ListParagraph"/>
        <w:ind w:left="360"/>
        <w:jc w:val="both"/>
        <w:rPr>
          <w:rFonts w:ascii="Times New Roman" w:hAnsi="Times New Roman" w:cs="Times New Roman"/>
        </w:rPr>
      </w:pPr>
    </w:p>
    <w:p w14:paraId="5F66C141" w14:textId="0CA4D0AE" w:rsidR="001D29D8" w:rsidRDefault="000A3B6B" w:rsidP="004F359B">
      <w:pPr>
        <w:pStyle w:val="ListParagraph"/>
        <w:numPr>
          <w:ilvl w:val="0"/>
          <w:numId w:val="1"/>
        </w:numPr>
        <w:jc w:val="both"/>
        <w:rPr>
          <w:rFonts w:ascii="Times New Roman" w:hAnsi="Times New Roman" w:cs="Times New Roman"/>
        </w:rPr>
      </w:pPr>
      <w:r>
        <w:rPr>
          <w:rFonts w:ascii="Times New Roman" w:hAnsi="Times New Roman" w:cs="Times New Roman"/>
        </w:rPr>
        <w:t xml:space="preserve">The argument that </w:t>
      </w:r>
      <w:r w:rsidR="00F340A0">
        <w:rPr>
          <w:rFonts w:ascii="Times New Roman" w:hAnsi="Times New Roman" w:cs="Times New Roman"/>
        </w:rPr>
        <w:t>persons</w:t>
      </w:r>
      <w:r>
        <w:rPr>
          <w:rFonts w:ascii="Times New Roman" w:hAnsi="Times New Roman" w:cs="Times New Roman"/>
        </w:rPr>
        <w:t xml:space="preserve"> with these cited conditions are unfit to work and pose a risk to the citizens on the GCC is not supported by science</w:t>
      </w:r>
      <w:r w:rsidR="00F340A0">
        <w:rPr>
          <w:rFonts w:ascii="Times New Roman" w:hAnsi="Times New Roman" w:cs="Times New Roman"/>
        </w:rPr>
        <w:t xml:space="preserve"> and is in violation of disability rights, which also apply to migrants, and the right to work:</w:t>
      </w:r>
      <w:r w:rsidR="00F73410">
        <w:rPr>
          <w:rFonts w:ascii="Times New Roman" w:hAnsi="Times New Roman" w:cs="Times New Roman"/>
        </w:rPr>
        <w:t xml:space="preserve"> “</w:t>
      </w:r>
      <w:r w:rsidR="00F73410" w:rsidRPr="00F73410">
        <w:rPr>
          <w:rFonts w:ascii="Times New Roman" w:hAnsi="Times New Roman" w:cs="Times New Roman"/>
        </w:rPr>
        <w:t>The right to work is a foundation for the realization of other human rights and for life with dignity.</w:t>
      </w:r>
      <w:r w:rsidR="00F73410">
        <w:rPr>
          <w:rFonts w:ascii="Times New Roman" w:hAnsi="Times New Roman" w:cs="Times New Roman"/>
        </w:rPr>
        <w:t>”</w:t>
      </w:r>
      <w:r w:rsidR="00F73410">
        <w:rPr>
          <w:rStyle w:val="FootnoteReference"/>
          <w:rFonts w:ascii="Times New Roman" w:hAnsi="Times New Roman" w:cs="Times New Roman"/>
        </w:rPr>
        <w:footnoteReference w:id="20"/>
      </w:r>
    </w:p>
    <w:p w14:paraId="0510A203" w14:textId="6DF266BE" w:rsidR="004F359B" w:rsidRPr="00F340A0" w:rsidRDefault="004F359B" w:rsidP="00F340A0">
      <w:pPr>
        <w:jc w:val="both"/>
        <w:rPr>
          <w:rFonts w:ascii="Times New Roman" w:hAnsi="Times New Roman" w:cs="Times New Roman"/>
        </w:rPr>
      </w:pPr>
    </w:p>
    <w:p w14:paraId="33CB2057" w14:textId="7D581727" w:rsidR="000B4A81" w:rsidRPr="00F340A0" w:rsidRDefault="000B4A81" w:rsidP="000B4A81">
      <w:pPr>
        <w:pStyle w:val="ListParagraph"/>
        <w:numPr>
          <w:ilvl w:val="0"/>
          <w:numId w:val="1"/>
        </w:numPr>
        <w:jc w:val="both"/>
        <w:rPr>
          <w:rFonts w:ascii="Times New Roman" w:hAnsi="Times New Roman" w:cs="Times New Roman"/>
          <w:u w:val="single"/>
        </w:rPr>
      </w:pPr>
      <w:r>
        <w:rPr>
          <w:rFonts w:ascii="Times New Roman" w:hAnsi="Times New Roman" w:cs="Times New Roman"/>
        </w:rPr>
        <w:t>Despite the fundamental role that science and health play in the context of migration, either forced or voluntary</w:t>
      </w:r>
      <w:r w:rsidRPr="00C1501B">
        <w:rPr>
          <w:rFonts w:ascii="Times New Roman" w:hAnsi="Times New Roman" w:cs="Times New Roman"/>
        </w:rPr>
        <w:t xml:space="preserve">, the right to science is rarely invoked and remains largely unknown even among UN bodies. </w:t>
      </w:r>
      <w:r w:rsidR="001D29D8" w:rsidRPr="00F340A0">
        <w:rPr>
          <w:rFonts w:ascii="Times New Roman" w:hAnsi="Times New Roman" w:cs="Times New Roman"/>
          <w:u w:val="single"/>
        </w:rPr>
        <w:t xml:space="preserve">Because of the large role that scientific progress and through it the right to science hold for everyone’s ability to freely partake in cultural life, </w:t>
      </w:r>
      <w:r w:rsidR="00F340A0" w:rsidRPr="00F340A0">
        <w:rPr>
          <w:rFonts w:ascii="Times New Roman" w:hAnsi="Times New Roman" w:cs="Times New Roman"/>
          <w:u w:val="single"/>
        </w:rPr>
        <w:t xml:space="preserve">and because of how non-scientific methods are used to circumvent cultural rights of migrants, </w:t>
      </w:r>
      <w:r w:rsidR="001D29D8" w:rsidRPr="00F340A0">
        <w:rPr>
          <w:rFonts w:ascii="Times New Roman" w:hAnsi="Times New Roman" w:cs="Times New Roman"/>
          <w:u w:val="single"/>
        </w:rPr>
        <w:t>i</w:t>
      </w:r>
      <w:r w:rsidRPr="00F340A0">
        <w:rPr>
          <w:rFonts w:ascii="Times New Roman" w:hAnsi="Times New Roman" w:cs="Times New Roman"/>
          <w:u w:val="single"/>
        </w:rPr>
        <w:t>t is imperative that the Special Rapporteur, through your oral and written reports to the upcoming HRC sessions, explicitly acknowledge the human rights dimensions of science in the context of cultural rights and reaffirm the right of everyone to participate in and enjoy the benefits of scientific progress and its applications, including migrants.</w:t>
      </w:r>
    </w:p>
    <w:p w14:paraId="3A9AFC7F" w14:textId="77777777" w:rsidR="008D1DD0" w:rsidRPr="004C6B91" w:rsidRDefault="008D1DD0" w:rsidP="00B36F10">
      <w:pPr>
        <w:pStyle w:val="ListParagraph"/>
        <w:ind w:left="360"/>
        <w:jc w:val="both"/>
        <w:rPr>
          <w:rFonts w:ascii="Times New Roman" w:hAnsi="Times New Roman" w:cs="Times New Roman"/>
          <w:lang w:val="en-GB"/>
        </w:rPr>
      </w:pPr>
    </w:p>
    <w:sectPr w:rsidR="008D1DD0" w:rsidRPr="004C6B9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291C" w14:textId="77777777" w:rsidR="006606C1" w:rsidRDefault="006606C1" w:rsidP="00642A2A">
      <w:r>
        <w:separator/>
      </w:r>
    </w:p>
  </w:endnote>
  <w:endnote w:type="continuationSeparator" w:id="0">
    <w:p w14:paraId="48FFAD8D" w14:textId="77777777" w:rsidR="006606C1" w:rsidRDefault="006606C1" w:rsidP="0064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rutigerLTArabic">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5258357"/>
      <w:docPartObj>
        <w:docPartGallery w:val="Page Numbers (Bottom of Page)"/>
        <w:docPartUnique/>
      </w:docPartObj>
    </w:sdtPr>
    <w:sdtContent>
      <w:p w14:paraId="66826FF0" w14:textId="5884602A" w:rsidR="00642A2A" w:rsidRDefault="00642A2A" w:rsidP="00B477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809F2" w14:textId="77777777" w:rsidR="00642A2A" w:rsidRDefault="00642A2A" w:rsidP="00642A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5821313"/>
      <w:docPartObj>
        <w:docPartGallery w:val="Page Numbers (Bottom of Page)"/>
        <w:docPartUnique/>
      </w:docPartObj>
    </w:sdtPr>
    <w:sdtContent>
      <w:p w14:paraId="12FB0C6C" w14:textId="21A6FD15" w:rsidR="00642A2A" w:rsidRPr="00BE451F" w:rsidRDefault="00642A2A" w:rsidP="00B477AA">
        <w:pPr>
          <w:pStyle w:val="Footer"/>
          <w:framePr w:wrap="none" w:vAnchor="text" w:hAnchor="margin" w:xAlign="right" w:y="1"/>
          <w:rPr>
            <w:rStyle w:val="PageNumber"/>
            <w:rFonts w:ascii="Times New Roman" w:hAnsi="Times New Roman" w:cs="Times New Roman"/>
          </w:rPr>
        </w:pPr>
        <w:r w:rsidRPr="00BE451F">
          <w:rPr>
            <w:rStyle w:val="PageNumber"/>
            <w:rFonts w:ascii="Times New Roman" w:hAnsi="Times New Roman" w:cs="Times New Roman"/>
          </w:rPr>
          <w:fldChar w:fldCharType="begin"/>
        </w:r>
        <w:r w:rsidRPr="00BE451F">
          <w:rPr>
            <w:rStyle w:val="PageNumber"/>
            <w:rFonts w:ascii="Times New Roman" w:hAnsi="Times New Roman" w:cs="Times New Roman"/>
          </w:rPr>
          <w:instrText xml:space="preserve"> PAGE </w:instrText>
        </w:r>
        <w:r w:rsidRPr="00BE451F">
          <w:rPr>
            <w:rStyle w:val="PageNumber"/>
            <w:rFonts w:ascii="Times New Roman" w:hAnsi="Times New Roman" w:cs="Times New Roman"/>
          </w:rPr>
          <w:fldChar w:fldCharType="separate"/>
        </w:r>
        <w:r w:rsidRPr="00BE451F">
          <w:rPr>
            <w:rStyle w:val="PageNumber"/>
            <w:rFonts w:ascii="Times New Roman" w:hAnsi="Times New Roman" w:cs="Times New Roman"/>
            <w:noProof/>
          </w:rPr>
          <w:t>1</w:t>
        </w:r>
        <w:r w:rsidRPr="00BE451F">
          <w:rPr>
            <w:rStyle w:val="PageNumber"/>
            <w:rFonts w:ascii="Times New Roman" w:hAnsi="Times New Roman" w:cs="Times New Roman"/>
          </w:rPr>
          <w:fldChar w:fldCharType="end"/>
        </w:r>
      </w:p>
    </w:sdtContent>
  </w:sdt>
  <w:p w14:paraId="0543BECA" w14:textId="77777777" w:rsidR="00642A2A" w:rsidRDefault="00642A2A" w:rsidP="00642A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FCE0" w14:textId="77777777" w:rsidR="006606C1" w:rsidRDefault="006606C1" w:rsidP="00642A2A">
      <w:r>
        <w:separator/>
      </w:r>
    </w:p>
  </w:footnote>
  <w:footnote w:type="continuationSeparator" w:id="0">
    <w:p w14:paraId="62248844" w14:textId="77777777" w:rsidR="006606C1" w:rsidRDefault="006606C1" w:rsidP="00642A2A">
      <w:r>
        <w:continuationSeparator/>
      </w:r>
    </w:p>
  </w:footnote>
  <w:footnote w:id="1">
    <w:p w14:paraId="7D5165D8" w14:textId="77777777" w:rsidR="00B82DA6" w:rsidRPr="00D6049B" w:rsidRDefault="00B82DA6" w:rsidP="00B82DA6">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Treatment Action Group, “Submission to the United Nations Universal Periodic Review of United Arab Emirates, 29th Session in January/February 2018”. (2017) &lt;https://www.treatmentactiongroup.org/wp-content/uploads/2017/12/upr_submission_for_UAE_6_2017_submitted_by_TAG_COMBINED.pdf&gt;</w:t>
      </w:r>
    </w:p>
  </w:footnote>
  <w:footnote w:id="2">
    <w:p w14:paraId="19EE8B97" w14:textId="65C51CB9" w:rsidR="005C64DD" w:rsidRPr="00D6049B" w:rsidRDefault="005C64DD">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See e.g., &lt;</w:t>
      </w:r>
      <w:r w:rsidRPr="00D6049B">
        <w:rPr>
          <w:rFonts w:ascii="Times New Roman" w:hAnsi="Times New Roman" w:cs="Times New Roman"/>
          <w:sz w:val="16"/>
          <w:szCs w:val="16"/>
        </w:rPr>
        <w:t>https://en.unesco.org/creativity/glossary/c</w:t>
      </w:r>
      <w:r w:rsidRPr="00D6049B">
        <w:rPr>
          <w:rFonts w:ascii="Times New Roman" w:hAnsi="Times New Roman" w:cs="Times New Roman"/>
          <w:sz w:val="16"/>
          <w:szCs w:val="16"/>
        </w:rPr>
        <w:t>&gt;</w:t>
      </w:r>
    </w:p>
  </w:footnote>
  <w:footnote w:id="3">
    <w:p w14:paraId="696ADBBC" w14:textId="5B98BCEA" w:rsidR="00145EE3" w:rsidRPr="00D6049B" w:rsidRDefault="00145EE3">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Shaheed, </w:t>
      </w:r>
      <w:proofErr w:type="gramStart"/>
      <w:r w:rsidRPr="00D6049B">
        <w:rPr>
          <w:rFonts w:ascii="Times New Roman" w:hAnsi="Times New Roman" w:cs="Times New Roman"/>
          <w:sz w:val="16"/>
          <w:szCs w:val="16"/>
        </w:rPr>
        <w:t>Farida</w:t>
      </w:r>
      <w:proofErr w:type="gramEnd"/>
      <w:r w:rsidRPr="00D6049B">
        <w:rPr>
          <w:rFonts w:ascii="Times New Roman" w:hAnsi="Times New Roman" w:cs="Times New Roman"/>
          <w:sz w:val="16"/>
          <w:szCs w:val="16"/>
        </w:rPr>
        <w:t xml:space="preserve"> and Andrew </w:t>
      </w:r>
      <w:proofErr w:type="spellStart"/>
      <w:r w:rsidRPr="00D6049B">
        <w:rPr>
          <w:rFonts w:ascii="Times New Roman" w:hAnsi="Times New Roman" w:cs="Times New Roman"/>
          <w:sz w:val="16"/>
          <w:szCs w:val="16"/>
        </w:rPr>
        <w:t>Mazibrada</w:t>
      </w:r>
      <w:proofErr w:type="spellEnd"/>
      <w:r w:rsidRPr="00D6049B">
        <w:rPr>
          <w:rFonts w:ascii="Times New Roman" w:hAnsi="Times New Roman" w:cs="Times New Roman"/>
          <w:sz w:val="16"/>
          <w:szCs w:val="16"/>
        </w:rPr>
        <w:t xml:space="preserve">. “On the Right to Science as a Cultural Right”. (2021) In: </w:t>
      </w:r>
      <w:proofErr w:type="spellStart"/>
      <w:r w:rsidRPr="00D6049B">
        <w:rPr>
          <w:rFonts w:ascii="Times New Roman" w:hAnsi="Times New Roman" w:cs="Times New Roman"/>
          <w:sz w:val="16"/>
          <w:szCs w:val="16"/>
        </w:rPr>
        <w:t>Porsdam</w:t>
      </w:r>
      <w:proofErr w:type="spellEnd"/>
      <w:r w:rsidRPr="00D6049B">
        <w:rPr>
          <w:rFonts w:ascii="Times New Roman" w:hAnsi="Times New Roman" w:cs="Times New Roman"/>
          <w:sz w:val="16"/>
          <w:szCs w:val="16"/>
        </w:rPr>
        <w:t xml:space="preserve">, </w:t>
      </w:r>
      <w:proofErr w:type="spellStart"/>
      <w:r w:rsidRPr="00D6049B">
        <w:rPr>
          <w:rFonts w:ascii="Times New Roman" w:hAnsi="Times New Roman" w:cs="Times New Roman"/>
          <w:sz w:val="16"/>
          <w:szCs w:val="16"/>
        </w:rPr>
        <w:t>Helle</w:t>
      </w:r>
      <w:proofErr w:type="spellEnd"/>
      <w:r w:rsidRPr="00D6049B">
        <w:rPr>
          <w:rFonts w:ascii="Times New Roman" w:hAnsi="Times New Roman" w:cs="Times New Roman"/>
          <w:sz w:val="16"/>
          <w:szCs w:val="16"/>
        </w:rPr>
        <w:t xml:space="preserve"> and Sebastian </w:t>
      </w:r>
      <w:proofErr w:type="spellStart"/>
      <w:r w:rsidRPr="00D6049B">
        <w:rPr>
          <w:rFonts w:ascii="Times New Roman" w:hAnsi="Times New Roman" w:cs="Times New Roman"/>
          <w:sz w:val="16"/>
          <w:szCs w:val="16"/>
        </w:rPr>
        <w:t>Porsdam</w:t>
      </w:r>
      <w:proofErr w:type="spellEnd"/>
      <w:r w:rsidRPr="00D6049B">
        <w:rPr>
          <w:rFonts w:ascii="Times New Roman" w:hAnsi="Times New Roman" w:cs="Times New Roman"/>
          <w:sz w:val="16"/>
          <w:szCs w:val="16"/>
        </w:rPr>
        <w:t xml:space="preserve"> Mann. The Right to Science: Then and Now. 2021. &lt;</w:t>
      </w:r>
      <w:r w:rsidRPr="00D6049B">
        <w:rPr>
          <w:rFonts w:ascii="Times New Roman" w:hAnsi="Times New Roman" w:cs="Times New Roman"/>
          <w:sz w:val="16"/>
          <w:szCs w:val="16"/>
        </w:rPr>
        <w:t>https://www.cambridge.org/core/books/right-to-science/9FC3AB86632A686C686F0C5FD8EBF766</w:t>
      </w:r>
      <w:r w:rsidRPr="00D6049B">
        <w:rPr>
          <w:rFonts w:ascii="Times New Roman" w:hAnsi="Times New Roman" w:cs="Times New Roman"/>
          <w:sz w:val="16"/>
          <w:szCs w:val="16"/>
        </w:rPr>
        <w:t>&gt;</w:t>
      </w:r>
    </w:p>
  </w:footnote>
  <w:footnote w:id="4">
    <w:p w14:paraId="3249C05D" w14:textId="58E4234B" w:rsidR="000A7356" w:rsidRPr="00D6049B" w:rsidRDefault="000A7356">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w:t>
      </w:r>
      <w:proofErr w:type="spellStart"/>
      <w:r w:rsidRPr="00D6049B">
        <w:rPr>
          <w:rFonts w:ascii="Times New Roman" w:hAnsi="Times New Roman" w:cs="Times New Roman"/>
          <w:sz w:val="16"/>
          <w:szCs w:val="16"/>
        </w:rPr>
        <w:t>Bidault</w:t>
      </w:r>
      <w:proofErr w:type="spellEnd"/>
      <w:r w:rsidRPr="00D6049B">
        <w:rPr>
          <w:rFonts w:ascii="Times New Roman" w:hAnsi="Times New Roman" w:cs="Times New Roman"/>
          <w:sz w:val="16"/>
          <w:szCs w:val="16"/>
        </w:rPr>
        <w:t xml:space="preserve">, </w:t>
      </w:r>
      <w:proofErr w:type="spellStart"/>
      <w:r w:rsidRPr="00D6049B">
        <w:rPr>
          <w:rFonts w:ascii="Times New Roman" w:hAnsi="Times New Roman" w:cs="Times New Roman"/>
          <w:sz w:val="16"/>
          <w:szCs w:val="16"/>
        </w:rPr>
        <w:t>Miléne</w:t>
      </w:r>
      <w:proofErr w:type="spellEnd"/>
      <w:r w:rsidRPr="00D6049B">
        <w:rPr>
          <w:rFonts w:ascii="Times New Roman" w:hAnsi="Times New Roman" w:cs="Times New Roman"/>
          <w:sz w:val="16"/>
          <w:szCs w:val="16"/>
        </w:rPr>
        <w:t>. “</w:t>
      </w:r>
      <w:r w:rsidRPr="00D6049B">
        <w:rPr>
          <w:rFonts w:ascii="Times New Roman" w:hAnsi="Times New Roman" w:cs="Times New Roman"/>
          <w:sz w:val="16"/>
          <w:szCs w:val="16"/>
        </w:rPr>
        <w:t xml:space="preserve">Considering the Right to Enjoy the Benefits of Scientific Progress and Its Applications </w:t>
      </w:r>
      <w:proofErr w:type="gramStart"/>
      <w:r w:rsidRPr="00D6049B">
        <w:rPr>
          <w:rFonts w:ascii="Times New Roman" w:hAnsi="Times New Roman" w:cs="Times New Roman"/>
          <w:sz w:val="16"/>
          <w:szCs w:val="16"/>
        </w:rPr>
        <w:t>As</w:t>
      </w:r>
      <w:proofErr w:type="gramEnd"/>
      <w:r w:rsidRPr="00D6049B">
        <w:rPr>
          <w:rFonts w:ascii="Times New Roman" w:hAnsi="Times New Roman" w:cs="Times New Roman"/>
          <w:sz w:val="16"/>
          <w:szCs w:val="16"/>
        </w:rPr>
        <w:t xml:space="preserve"> a Cultural Right</w:t>
      </w:r>
      <w:r w:rsidRPr="00D6049B">
        <w:rPr>
          <w:rFonts w:ascii="Times New Roman" w:hAnsi="Times New Roman" w:cs="Times New Roman"/>
          <w:sz w:val="16"/>
          <w:szCs w:val="16"/>
        </w:rPr>
        <w:t xml:space="preserve">. A Change in Perspective” (2021) </w:t>
      </w:r>
      <w:r w:rsidRPr="00D6049B">
        <w:rPr>
          <w:rFonts w:ascii="Times New Roman" w:hAnsi="Times New Roman" w:cs="Times New Roman"/>
          <w:sz w:val="16"/>
          <w:szCs w:val="16"/>
        </w:rPr>
        <w:t xml:space="preserve">In: </w:t>
      </w:r>
      <w:proofErr w:type="spellStart"/>
      <w:r w:rsidRPr="00D6049B">
        <w:rPr>
          <w:rFonts w:ascii="Times New Roman" w:hAnsi="Times New Roman" w:cs="Times New Roman"/>
          <w:sz w:val="16"/>
          <w:szCs w:val="16"/>
        </w:rPr>
        <w:t>Porsdam</w:t>
      </w:r>
      <w:proofErr w:type="spellEnd"/>
      <w:r w:rsidRPr="00D6049B">
        <w:rPr>
          <w:rFonts w:ascii="Times New Roman" w:hAnsi="Times New Roman" w:cs="Times New Roman"/>
          <w:sz w:val="16"/>
          <w:szCs w:val="16"/>
        </w:rPr>
        <w:t xml:space="preserve">, </w:t>
      </w:r>
      <w:proofErr w:type="spellStart"/>
      <w:r w:rsidRPr="00D6049B">
        <w:rPr>
          <w:rFonts w:ascii="Times New Roman" w:hAnsi="Times New Roman" w:cs="Times New Roman"/>
          <w:sz w:val="16"/>
          <w:szCs w:val="16"/>
        </w:rPr>
        <w:t>Helle</w:t>
      </w:r>
      <w:proofErr w:type="spellEnd"/>
      <w:r w:rsidRPr="00D6049B">
        <w:rPr>
          <w:rFonts w:ascii="Times New Roman" w:hAnsi="Times New Roman" w:cs="Times New Roman"/>
          <w:sz w:val="16"/>
          <w:szCs w:val="16"/>
        </w:rPr>
        <w:t xml:space="preserve"> and Sebastian </w:t>
      </w:r>
      <w:proofErr w:type="spellStart"/>
      <w:r w:rsidRPr="00D6049B">
        <w:rPr>
          <w:rFonts w:ascii="Times New Roman" w:hAnsi="Times New Roman" w:cs="Times New Roman"/>
          <w:sz w:val="16"/>
          <w:szCs w:val="16"/>
        </w:rPr>
        <w:t>Porsdam</w:t>
      </w:r>
      <w:proofErr w:type="spellEnd"/>
      <w:r w:rsidRPr="00D6049B">
        <w:rPr>
          <w:rFonts w:ascii="Times New Roman" w:hAnsi="Times New Roman" w:cs="Times New Roman"/>
          <w:sz w:val="16"/>
          <w:szCs w:val="16"/>
        </w:rPr>
        <w:t xml:space="preserve"> Mann. The Right to Science: Then and Now. 2021. &lt;https://www.cambridge.org/core/books/right-to-science/9FC3AB86632A686C686F0C5FD8EBF766&gt;</w:t>
      </w:r>
    </w:p>
  </w:footnote>
  <w:footnote w:id="5">
    <w:p w14:paraId="3EC3DC79" w14:textId="77DBADC2" w:rsidR="000A7356" w:rsidRPr="00D6049B" w:rsidRDefault="000A7356">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w:t>
      </w:r>
      <w:r w:rsidRPr="00D6049B">
        <w:rPr>
          <w:rFonts w:ascii="Times New Roman" w:hAnsi="Times New Roman" w:cs="Times New Roman"/>
          <w:sz w:val="16"/>
          <w:szCs w:val="16"/>
        </w:rPr>
        <w:t>E/C.12/GC/21</w:t>
      </w:r>
    </w:p>
  </w:footnote>
  <w:footnote w:id="6">
    <w:p w14:paraId="0AABFDD5" w14:textId="0924B55B" w:rsidR="000A7356" w:rsidRPr="00D6049B" w:rsidRDefault="000A7356" w:rsidP="000A7356">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E/C.12/GC/21</w:t>
      </w:r>
      <w:r w:rsidRPr="00D6049B">
        <w:rPr>
          <w:rFonts w:ascii="Times New Roman" w:hAnsi="Times New Roman" w:cs="Times New Roman"/>
          <w:sz w:val="16"/>
          <w:szCs w:val="16"/>
        </w:rPr>
        <w:t xml:space="preserve"> para. 13: </w:t>
      </w:r>
      <w:r w:rsidRPr="00D6049B">
        <w:rPr>
          <w:rFonts w:ascii="Times New Roman" w:hAnsi="Times New Roman" w:cs="Times New Roman"/>
          <w:sz w:val="16"/>
          <w:szCs w:val="16"/>
        </w:rPr>
        <w:t xml:space="preserve">“The Committee considers that culture, for the purpose of implementing article 15 (1) (a), encompasses, inter alia, ways of life, language, oral and written literature, music and song, non-verbal communication, religion or belief systems, rites and ceremonies, sport and games, methods of production or technology, natural and man-made environments, food, clothing and shelter and the arts, customs and traditions through which individuals, groups of individuals and communities express their humanity and the meaning they give to their existence, and build their world view representing their encounter with the external forces affecting their lives. Culture shapes and mirrors the values of well-being and the economic, </w:t>
      </w:r>
      <w:proofErr w:type="gramStart"/>
      <w:r w:rsidRPr="00D6049B">
        <w:rPr>
          <w:rFonts w:ascii="Times New Roman" w:hAnsi="Times New Roman" w:cs="Times New Roman"/>
          <w:sz w:val="16"/>
          <w:szCs w:val="16"/>
        </w:rPr>
        <w:t>social</w:t>
      </w:r>
      <w:proofErr w:type="gramEnd"/>
      <w:r w:rsidRPr="00D6049B">
        <w:rPr>
          <w:rFonts w:ascii="Times New Roman" w:hAnsi="Times New Roman" w:cs="Times New Roman"/>
          <w:sz w:val="16"/>
          <w:szCs w:val="16"/>
        </w:rPr>
        <w:t xml:space="preserve"> and political life of individuals, groups of individuals and communities.”</w:t>
      </w:r>
    </w:p>
    <w:p w14:paraId="79CF891D" w14:textId="03357EB8" w:rsidR="000A7356" w:rsidRPr="00D6049B" w:rsidRDefault="000A7356">
      <w:pPr>
        <w:pStyle w:val="FootnoteText"/>
        <w:rPr>
          <w:rFonts w:ascii="Times New Roman" w:hAnsi="Times New Roman" w:cs="Times New Roman"/>
          <w:sz w:val="16"/>
          <w:szCs w:val="16"/>
        </w:rPr>
      </w:pPr>
    </w:p>
  </w:footnote>
  <w:footnote w:id="7">
    <w:p w14:paraId="315B58E7" w14:textId="77777777" w:rsidR="00AE69AA" w:rsidRPr="00D6049B" w:rsidRDefault="00AE69AA" w:rsidP="00AE69AA">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E/C.12/GC/25</w:t>
      </w:r>
    </w:p>
  </w:footnote>
  <w:footnote w:id="8">
    <w:p w14:paraId="52793284" w14:textId="22DE5CAA" w:rsidR="00BE451F" w:rsidRPr="00D6049B" w:rsidRDefault="00BE451F">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w:t>
      </w:r>
      <w:r w:rsidRPr="00D6049B">
        <w:rPr>
          <w:rFonts w:ascii="Times New Roman" w:hAnsi="Times New Roman" w:cs="Times New Roman"/>
          <w:sz w:val="16"/>
          <w:szCs w:val="16"/>
        </w:rPr>
        <w:t>E/C.12/GC/25</w:t>
      </w:r>
      <w:r w:rsidRPr="00D6049B">
        <w:rPr>
          <w:rFonts w:ascii="Times New Roman" w:hAnsi="Times New Roman" w:cs="Times New Roman"/>
          <w:sz w:val="16"/>
          <w:szCs w:val="16"/>
        </w:rPr>
        <w:t xml:space="preserve"> para. 10</w:t>
      </w:r>
    </w:p>
  </w:footnote>
  <w:footnote w:id="9">
    <w:p w14:paraId="1EC7605C" w14:textId="4B309DE0" w:rsidR="009248FC" w:rsidRPr="00D6049B" w:rsidRDefault="009248FC">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E/C.12/2000/4</w:t>
      </w:r>
    </w:p>
  </w:footnote>
  <w:footnote w:id="10">
    <w:p w14:paraId="0AA49227" w14:textId="3AAC67B3" w:rsidR="007F5E83" w:rsidRPr="00D6049B" w:rsidRDefault="007F5E83">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E/C.12/GC/25 para. 16</w:t>
      </w:r>
    </w:p>
  </w:footnote>
  <w:footnote w:id="11">
    <w:p w14:paraId="7CE2CB76" w14:textId="541F4A3C" w:rsidR="00CF08F7" w:rsidRPr="00D6049B" w:rsidRDefault="00CF08F7">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E/C.12/GC/25 para. 17</w:t>
      </w:r>
    </w:p>
  </w:footnote>
  <w:footnote w:id="12">
    <w:p w14:paraId="47030E7F" w14:textId="407DB348" w:rsidR="00B36F10" w:rsidRPr="00D6049B" w:rsidRDefault="00B36F10">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E/C.12/GC/21</w:t>
      </w:r>
    </w:p>
  </w:footnote>
  <w:footnote w:id="13">
    <w:p w14:paraId="22E5EB74" w14:textId="77777777" w:rsidR="0020680D" w:rsidRPr="00D6049B" w:rsidRDefault="0020680D" w:rsidP="0020680D">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See e.g., Shaheed, Farida “</w:t>
      </w:r>
      <w:r w:rsidRPr="00D6049B">
        <w:rPr>
          <w:rFonts w:ascii="Times New Roman" w:hAnsi="Times New Roman" w:cs="Times New Roman"/>
          <w:sz w:val="16"/>
          <w:szCs w:val="16"/>
        </w:rPr>
        <w:t>Statement by Ms. Farida Shaheed, Special Rapporteur in the field of cultural rights at the 70th session of the General Assembly</w:t>
      </w:r>
    </w:p>
    <w:p w14:paraId="3703067C" w14:textId="69868C97" w:rsidR="0020680D" w:rsidRPr="00D6049B" w:rsidRDefault="0020680D">
      <w:pPr>
        <w:pStyle w:val="FootnoteText"/>
        <w:rPr>
          <w:rFonts w:ascii="Times New Roman" w:hAnsi="Times New Roman" w:cs="Times New Roman"/>
          <w:sz w:val="16"/>
          <w:szCs w:val="16"/>
        </w:rPr>
      </w:pPr>
      <w:r w:rsidRPr="00D6049B">
        <w:rPr>
          <w:rFonts w:ascii="Times New Roman" w:hAnsi="Times New Roman" w:cs="Times New Roman"/>
          <w:sz w:val="16"/>
          <w:szCs w:val="16"/>
        </w:rPr>
        <w:t>” (2015) &lt;</w:t>
      </w:r>
      <w:r w:rsidRPr="00D6049B">
        <w:rPr>
          <w:rFonts w:ascii="Times New Roman" w:hAnsi="Times New Roman" w:cs="Times New Roman"/>
          <w:sz w:val="16"/>
          <w:szCs w:val="16"/>
        </w:rPr>
        <w:t>https://www.ohchr.org/en/statements/2015/11/statement-ms-farida-shaheed-special-rapporteur-field-cultural-rights-70th</w:t>
      </w:r>
      <w:r w:rsidRPr="00D6049B">
        <w:rPr>
          <w:rFonts w:ascii="Times New Roman" w:hAnsi="Times New Roman" w:cs="Times New Roman"/>
          <w:sz w:val="16"/>
          <w:szCs w:val="16"/>
        </w:rPr>
        <w:t>&gt;</w:t>
      </w:r>
    </w:p>
  </w:footnote>
  <w:footnote w:id="14">
    <w:p w14:paraId="5630C9E6" w14:textId="75D2C711" w:rsidR="00103FEB" w:rsidRPr="00D6049B" w:rsidRDefault="00103FEB">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w:t>
      </w:r>
      <w:r w:rsidR="00B82DA6" w:rsidRPr="00D6049B">
        <w:rPr>
          <w:rFonts w:ascii="Times New Roman" w:hAnsi="Times New Roman" w:cs="Times New Roman"/>
          <w:sz w:val="16"/>
          <w:szCs w:val="16"/>
        </w:rPr>
        <w:t>Wild, V. et al. “</w:t>
      </w:r>
      <w:r w:rsidR="00B82DA6" w:rsidRPr="00D6049B">
        <w:rPr>
          <w:rFonts w:ascii="Times New Roman" w:hAnsi="Times New Roman" w:cs="Times New Roman"/>
          <w:sz w:val="16"/>
          <w:szCs w:val="16"/>
        </w:rPr>
        <w:t>Tuberculosis, human rights and ethics considerations along the route of a highly vulnerable migrant from sub-Saharan Africa to Europe</w:t>
      </w:r>
      <w:r w:rsidR="00B82DA6" w:rsidRPr="00D6049B">
        <w:rPr>
          <w:rFonts w:ascii="Times New Roman" w:hAnsi="Times New Roman" w:cs="Times New Roman"/>
          <w:sz w:val="16"/>
          <w:szCs w:val="16"/>
        </w:rPr>
        <w:t xml:space="preserve">”. (2017) In: </w:t>
      </w:r>
      <w:r w:rsidR="00B82DA6" w:rsidRPr="00D6049B">
        <w:rPr>
          <w:rFonts w:ascii="Times New Roman" w:hAnsi="Times New Roman" w:cs="Times New Roman"/>
          <w:sz w:val="16"/>
          <w:szCs w:val="16"/>
        </w:rPr>
        <w:t>INT J TUBERC LUNG DIS 21(10):1075–1085</w:t>
      </w:r>
      <w:r w:rsidR="00B82DA6" w:rsidRPr="00D6049B">
        <w:rPr>
          <w:rFonts w:ascii="Times New Roman" w:hAnsi="Times New Roman" w:cs="Times New Roman"/>
          <w:sz w:val="16"/>
          <w:szCs w:val="16"/>
        </w:rPr>
        <w:t xml:space="preserve"> &lt;</w:t>
      </w:r>
      <w:r w:rsidR="00B82DA6" w:rsidRPr="00D6049B">
        <w:rPr>
          <w:rFonts w:ascii="Times New Roman" w:hAnsi="Times New Roman" w:cs="Times New Roman"/>
          <w:sz w:val="16"/>
          <w:szCs w:val="16"/>
        </w:rPr>
        <w:t>http://dx.doi.org/10.5588/ijtld.17.0324</w:t>
      </w:r>
      <w:r w:rsidR="00B82DA6" w:rsidRPr="00D6049B">
        <w:rPr>
          <w:rFonts w:ascii="Times New Roman" w:hAnsi="Times New Roman" w:cs="Times New Roman"/>
          <w:sz w:val="16"/>
          <w:szCs w:val="16"/>
        </w:rPr>
        <w:t>&gt;</w:t>
      </w:r>
    </w:p>
  </w:footnote>
  <w:footnote w:id="15">
    <w:p w14:paraId="32D4F065" w14:textId="4AA09D36" w:rsidR="002D2B12" w:rsidRPr="00D6049B" w:rsidRDefault="002D2B12">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Treatment Action Group. “</w:t>
      </w:r>
      <w:r w:rsidRPr="00D6049B">
        <w:rPr>
          <w:rFonts w:ascii="Times New Roman" w:hAnsi="Times New Roman" w:cs="Times New Roman"/>
          <w:sz w:val="16"/>
          <w:szCs w:val="16"/>
        </w:rPr>
        <w:t>Submission to the United Nations Universal Periodic Review of United Arab Emirates, 29th Session in January/February 2018</w:t>
      </w:r>
      <w:r w:rsidRPr="00D6049B">
        <w:rPr>
          <w:rFonts w:ascii="Times New Roman" w:hAnsi="Times New Roman" w:cs="Times New Roman"/>
          <w:sz w:val="16"/>
          <w:szCs w:val="16"/>
        </w:rPr>
        <w:t>“</w:t>
      </w:r>
      <w:r w:rsidR="00FF4F3A">
        <w:rPr>
          <w:rFonts w:ascii="Times New Roman" w:hAnsi="Times New Roman" w:cs="Times New Roman"/>
          <w:sz w:val="16"/>
          <w:szCs w:val="16"/>
        </w:rPr>
        <w:t>.</w:t>
      </w:r>
      <w:r w:rsidRPr="00D6049B">
        <w:rPr>
          <w:rFonts w:ascii="Times New Roman" w:hAnsi="Times New Roman" w:cs="Times New Roman"/>
          <w:sz w:val="16"/>
          <w:szCs w:val="16"/>
        </w:rPr>
        <w:t xml:space="preserve"> &lt;</w:t>
      </w:r>
      <w:r w:rsidRPr="00D6049B">
        <w:rPr>
          <w:rFonts w:ascii="Times New Roman" w:hAnsi="Times New Roman" w:cs="Times New Roman"/>
          <w:sz w:val="16"/>
          <w:szCs w:val="16"/>
        </w:rPr>
        <w:t>https://www.treatmentactiongroup.org/wp-content/uploads/2017/12/upr_submission_for_UAE_6_2017_submitted_by_TAG_COMBINED.pdf</w:t>
      </w:r>
      <w:r w:rsidRPr="00D6049B">
        <w:rPr>
          <w:rFonts w:ascii="Times New Roman" w:hAnsi="Times New Roman" w:cs="Times New Roman"/>
          <w:sz w:val="16"/>
          <w:szCs w:val="16"/>
        </w:rPr>
        <w:t>&gt;</w:t>
      </w:r>
    </w:p>
  </w:footnote>
  <w:footnote w:id="16">
    <w:p w14:paraId="0766280C" w14:textId="54FAC10E" w:rsidR="00B973F7" w:rsidRPr="00D6049B" w:rsidRDefault="00B973F7" w:rsidP="00D6049B">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w:t>
      </w:r>
      <w:r w:rsidR="00D6049B" w:rsidRPr="00D6049B">
        <w:rPr>
          <w:rFonts w:ascii="Times New Roman" w:hAnsi="Times New Roman" w:cs="Times New Roman"/>
          <w:sz w:val="16"/>
          <w:szCs w:val="16"/>
        </w:rPr>
        <w:t xml:space="preserve">See Gulf Health Council FAQ: &lt; </w:t>
      </w:r>
      <w:hyperlink r:id="rId1" w:history="1">
        <w:r w:rsidR="00D6049B" w:rsidRPr="00D6049B">
          <w:rPr>
            <w:rStyle w:val="Hyperlink"/>
            <w:rFonts w:ascii="Times New Roman" w:hAnsi="Times New Roman" w:cs="Times New Roman"/>
            <w:sz w:val="16"/>
            <w:szCs w:val="16"/>
          </w:rPr>
          <w:t>https://v2.gcchmc.org/faq/</w:t>
        </w:r>
      </w:hyperlink>
      <w:r w:rsidR="00D6049B" w:rsidRPr="00D6049B">
        <w:rPr>
          <w:rFonts w:ascii="Times New Roman" w:hAnsi="Times New Roman" w:cs="Times New Roman"/>
          <w:sz w:val="16"/>
          <w:szCs w:val="16"/>
        </w:rPr>
        <w:t xml:space="preserve">&gt; accessed 24. November 2022. Countries with accredited health centers </w:t>
      </w:r>
      <w:proofErr w:type="gramStart"/>
      <w:r w:rsidR="00D6049B" w:rsidRPr="00D6049B">
        <w:rPr>
          <w:rFonts w:ascii="Times New Roman" w:hAnsi="Times New Roman" w:cs="Times New Roman"/>
          <w:sz w:val="16"/>
          <w:szCs w:val="16"/>
        </w:rPr>
        <w:t>are:</w:t>
      </w:r>
      <w:proofErr w:type="gramEnd"/>
      <w:r w:rsidR="00D6049B" w:rsidRPr="00D6049B">
        <w:rPr>
          <w:rFonts w:ascii="Times New Roman" w:hAnsi="Times New Roman" w:cs="Times New Roman"/>
          <w:sz w:val="16"/>
          <w:szCs w:val="16"/>
        </w:rPr>
        <w:t xml:space="preserve"> </w:t>
      </w:r>
      <w:r w:rsidR="00D6049B" w:rsidRPr="00D6049B">
        <w:rPr>
          <w:rFonts w:ascii="Times New Roman" w:hAnsi="Times New Roman" w:cs="Times New Roman"/>
          <w:sz w:val="16"/>
          <w:szCs w:val="16"/>
        </w:rPr>
        <w:t>Bangladesh</w:t>
      </w:r>
      <w:r w:rsidR="00D6049B" w:rsidRPr="00D6049B">
        <w:rPr>
          <w:rFonts w:ascii="Times New Roman" w:hAnsi="Times New Roman" w:cs="Times New Roman"/>
          <w:sz w:val="16"/>
          <w:szCs w:val="16"/>
        </w:rPr>
        <w:t xml:space="preserve">, </w:t>
      </w:r>
      <w:r w:rsidR="00D6049B" w:rsidRPr="00D6049B">
        <w:rPr>
          <w:rFonts w:ascii="Times New Roman" w:hAnsi="Times New Roman" w:cs="Times New Roman"/>
          <w:sz w:val="16"/>
          <w:szCs w:val="16"/>
        </w:rPr>
        <w:t>Egypt</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India</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Ethiopia</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Ghana</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Indonesia</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Jordon</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Kenya</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Lebanon</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Mali</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Morocco</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Nepal</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Niger</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Pakistan</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Philippines</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Sri Lanka</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Sudan</w:t>
      </w:r>
      <w:r w:rsidR="00D6049B" w:rsidRPr="00D6049B">
        <w:rPr>
          <w:rFonts w:ascii="Times New Roman" w:hAnsi="Times New Roman" w:cs="Times New Roman"/>
          <w:sz w:val="16"/>
          <w:szCs w:val="16"/>
        </w:rPr>
        <w:t>,</w:t>
      </w:r>
      <w:r w:rsidR="00D6049B" w:rsidRPr="00D6049B">
        <w:rPr>
          <w:rFonts w:ascii="Times New Roman" w:hAnsi="Times New Roman" w:cs="Times New Roman"/>
          <w:sz w:val="16"/>
          <w:szCs w:val="16"/>
        </w:rPr>
        <w:t xml:space="preserve"> Tanzania</w:t>
      </w:r>
      <w:r w:rsidR="00D6049B" w:rsidRPr="00D6049B">
        <w:rPr>
          <w:rFonts w:ascii="Times New Roman" w:hAnsi="Times New Roman" w:cs="Times New Roman"/>
          <w:sz w:val="16"/>
          <w:szCs w:val="16"/>
        </w:rPr>
        <w:t xml:space="preserve">, </w:t>
      </w:r>
      <w:r w:rsidR="00D6049B" w:rsidRPr="00D6049B">
        <w:rPr>
          <w:rFonts w:ascii="Times New Roman" w:hAnsi="Times New Roman" w:cs="Times New Roman"/>
          <w:sz w:val="16"/>
          <w:szCs w:val="16"/>
        </w:rPr>
        <w:t>Thailand</w:t>
      </w:r>
      <w:r w:rsidR="00D6049B" w:rsidRPr="00D6049B">
        <w:rPr>
          <w:rFonts w:ascii="Times New Roman" w:hAnsi="Times New Roman" w:cs="Times New Roman"/>
          <w:sz w:val="16"/>
          <w:szCs w:val="16"/>
        </w:rPr>
        <w:t xml:space="preserve">, </w:t>
      </w:r>
      <w:r w:rsidR="00D6049B" w:rsidRPr="00D6049B">
        <w:rPr>
          <w:rFonts w:ascii="Times New Roman" w:hAnsi="Times New Roman" w:cs="Times New Roman"/>
          <w:sz w:val="16"/>
          <w:szCs w:val="16"/>
        </w:rPr>
        <w:t>Turkey</w:t>
      </w:r>
      <w:r w:rsidR="00D6049B" w:rsidRPr="00D6049B">
        <w:rPr>
          <w:rFonts w:ascii="Times New Roman" w:hAnsi="Times New Roman" w:cs="Times New Roman"/>
          <w:sz w:val="16"/>
          <w:szCs w:val="16"/>
        </w:rPr>
        <w:t xml:space="preserve">, </w:t>
      </w:r>
      <w:r w:rsidR="00D6049B" w:rsidRPr="00D6049B">
        <w:rPr>
          <w:rFonts w:ascii="Times New Roman" w:hAnsi="Times New Roman" w:cs="Times New Roman"/>
          <w:sz w:val="16"/>
          <w:szCs w:val="16"/>
        </w:rPr>
        <w:t>Uganda</w:t>
      </w:r>
    </w:p>
  </w:footnote>
  <w:footnote w:id="17">
    <w:p w14:paraId="5D8056EB" w14:textId="1E3EF686" w:rsidR="00FF4F3A" w:rsidRPr="00FF4F3A" w:rsidRDefault="00FF4F3A">
      <w:pPr>
        <w:pStyle w:val="FootnoteText"/>
        <w:rPr>
          <w:rFonts w:ascii="Times New Roman" w:hAnsi="Times New Roman" w:cs="Times New Roman"/>
          <w:sz w:val="16"/>
          <w:szCs w:val="16"/>
        </w:rPr>
      </w:pPr>
      <w:r w:rsidRPr="00FF4F3A">
        <w:rPr>
          <w:rStyle w:val="FootnoteReference"/>
          <w:rFonts w:ascii="Times New Roman" w:hAnsi="Times New Roman" w:cs="Times New Roman"/>
          <w:sz w:val="16"/>
          <w:szCs w:val="16"/>
        </w:rPr>
        <w:footnoteRef/>
      </w:r>
      <w:r w:rsidRPr="00FF4F3A">
        <w:rPr>
          <w:rFonts w:ascii="Times New Roman" w:hAnsi="Times New Roman" w:cs="Times New Roman"/>
          <w:sz w:val="16"/>
          <w:szCs w:val="16"/>
        </w:rPr>
        <w:t xml:space="preserve"> TAG interview with </w:t>
      </w:r>
      <w:proofErr w:type="spellStart"/>
      <w:r w:rsidRPr="00FF4F3A">
        <w:rPr>
          <w:rFonts w:ascii="Times New Roman" w:hAnsi="Times New Roman" w:cs="Times New Roman"/>
          <w:sz w:val="16"/>
          <w:szCs w:val="16"/>
        </w:rPr>
        <w:t>Fizza</w:t>
      </w:r>
      <w:proofErr w:type="spellEnd"/>
      <w:r w:rsidRPr="00FF4F3A">
        <w:rPr>
          <w:rFonts w:ascii="Times New Roman" w:hAnsi="Times New Roman" w:cs="Times New Roman"/>
          <w:sz w:val="16"/>
          <w:szCs w:val="16"/>
        </w:rPr>
        <w:t xml:space="preserve"> </w:t>
      </w:r>
      <w:proofErr w:type="spellStart"/>
      <w:r w:rsidRPr="00FF4F3A">
        <w:rPr>
          <w:rFonts w:ascii="Times New Roman" w:hAnsi="Times New Roman" w:cs="Times New Roman"/>
          <w:sz w:val="16"/>
          <w:szCs w:val="16"/>
        </w:rPr>
        <w:t>Hussaini</w:t>
      </w:r>
      <w:proofErr w:type="spellEnd"/>
      <w:r w:rsidRPr="00FF4F3A">
        <w:rPr>
          <w:rFonts w:ascii="Times New Roman" w:hAnsi="Times New Roman" w:cs="Times New Roman"/>
          <w:sz w:val="16"/>
          <w:szCs w:val="16"/>
        </w:rPr>
        <w:t>, daughter of the two visa applicants. Interview on file with author.</w:t>
      </w:r>
    </w:p>
  </w:footnote>
  <w:footnote w:id="18">
    <w:p w14:paraId="13A6059E" w14:textId="77777777" w:rsidR="00F340A0" w:rsidRPr="00D6049B" w:rsidRDefault="00F340A0" w:rsidP="00F340A0">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E/C.12/GC25 para 52</w:t>
      </w:r>
    </w:p>
  </w:footnote>
  <w:footnote w:id="19">
    <w:p w14:paraId="30C190FD" w14:textId="77777777" w:rsidR="00F340A0" w:rsidRPr="00D6049B" w:rsidRDefault="00F340A0" w:rsidP="00F340A0">
      <w:pPr>
        <w:pStyle w:val="FootnoteText"/>
        <w:tabs>
          <w:tab w:val="left" w:pos="6787"/>
        </w:tabs>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E/C.12/GC/</w:t>
      </w:r>
      <w:proofErr w:type="gramStart"/>
      <w:r w:rsidRPr="00D6049B">
        <w:rPr>
          <w:rFonts w:ascii="Times New Roman" w:hAnsi="Times New Roman" w:cs="Times New Roman"/>
          <w:sz w:val="16"/>
          <w:szCs w:val="16"/>
        </w:rPr>
        <w:t>25  para</w:t>
      </w:r>
      <w:proofErr w:type="gramEnd"/>
      <w:r>
        <w:rPr>
          <w:rFonts w:ascii="Times New Roman" w:hAnsi="Times New Roman" w:cs="Times New Roman"/>
          <w:sz w:val="16"/>
          <w:szCs w:val="16"/>
        </w:rPr>
        <w:t>.</w:t>
      </w:r>
      <w:r w:rsidRPr="00D6049B">
        <w:rPr>
          <w:rFonts w:ascii="Times New Roman" w:hAnsi="Times New Roman" w:cs="Times New Roman"/>
          <w:sz w:val="16"/>
          <w:szCs w:val="16"/>
        </w:rPr>
        <w:t xml:space="preserve"> 83</w:t>
      </w:r>
      <w:r w:rsidRPr="00D6049B">
        <w:rPr>
          <w:rFonts w:ascii="Times New Roman" w:hAnsi="Times New Roman" w:cs="Times New Roman"/>
          <w:sz w:val="16"/>
          <w:szCs w:val="16"/>
        </w:rPr>
        <w:tab/>
      </w:r>
    </w:p>
  </w:footnote>
  <w:footnote w:id="20">
    <w:p w14:paraId="01CC05A3" w14:textId="7074B220" w:rsidR="00F73410" w:rsidRPr="00D6049B" w:rsidRDefault="00F73410">
      <w:pPr>
        <w:pStyle w:val="FootnoteText"/>
        <w:rPr>
          <w:rFonts w:ascii="Times New Roman" w:hAnsi="Times New Roman" w:cs="Times New Roman"/>
          <w:sz w:val="16"/>
          <w:szCs w:val="16"/>
        </w:rPr>
      </w:pPr>
      <w:r w:rsidRPr="00D6049B">
        <w:rPr>
          <w:rStyle w:val="FootnoteReference"/>
          <w:rFonts w:ascii="Times New Roman" w:hAnsi="Times New Roman" w:cs="Times New Roman"/>
          <w:sz w:val="16"/>
          <w:szCs w:val="16"/>
        </w:rPr>
        <w:footnoteRef/>
      </w:r>
      <w:r w:rsidRPr="00D6049B">
        <w:rPr>
          <w:rFonts w:ascii="Times New Roman" w:hAnsi="Times New Roman" w:cs="Times New Roman"/>
          <w:sz w:val="16"/>
          <w:szCs w:val="16"/>
        </w:rPr>
        <w:t xml:space="preserve"> https://www.escr-net.org/rights/work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5E2B" w14:textId="2D00B50B" w:rsidR="00143568" w:rsidRDefault="00143568" w:rsidP="00143568">
    <w:pPr>
      <w:pStyle w:val="Header"/>
      <w:jc w:val="center"/>
    </w:pPr>
    <w:r w:rsidRPr="00143568">
      <w:rPr>
        <w:noProof/>
      </w:rPr>
      <w:drawing>
        <wp:inline distT="0" distB="0" distL="0" distR="0" wp14:anchorId="0F2E30CE" wp14:editId="18405B5B">
          <wp:extent cx="1846907" cy="651113"/>
          <wp:effectExtent l="0" t="0" r="0" b="0"/>
          <wp:docPr id="6" name="Picture 5" descr="A picture containing text, sign, clipart&#10;&#10;Description automatically generated">
            <a:extLst xmlns:a="http://schemas.openxmlformats.org/drawingml/2006/main">
              <a:ext uri="{FF2B5EF4-FFF2-40B4-BE49-F238E27FC236}">
                <a16:creationId xmlns:a16="http://schemas.microsoft.com/office/drawing/2014/main" id="{8C4B8B72-2776-694D-95D4-03A662583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sign, clipart&#10;&#10;Description automatically generated">
                    <a:extLst>
                      <a:ext uri="{FF2B5EF4-FFF2-40B4-BE49-F238E27FC236}">
                        <a16:creationId xmlns:a16="http://schemas.microsoft.com/office/drawing/2014/main" id="{8C4B8B72-2776-694D-95D4-03A662583DD1}"/>
                      </a:ext>
                    </a:extLst>
                  </pic:cNvPr>
                  <pic:cNvPicPr>
                    <a:picLocks noChangeAspect="1"/>
                  </pic:cNvPicPr>
                </pic:nvPicPr>
                <pic:blipFill>
                  <a:blip r:embed="rId1"/>
                  <a:stretch>
                    <a:fillRect/>
                  </a:stretch>
                </pic:blipFill>
                <pic:spPr>
                  <a:xfrm>
                    <a:off x="0" y="0"/>
                    <a:ext cx="1913057" cy="674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1EF3"/>
    <w:multiLevelType w:val="hybridMultilevel"/>
    <w:tmpl w:val="F80EE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93779"/>
    <w:multiLevelType w:val="hybridMultilevel"/>
    <w:tmpl w:val="C746451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DF7385"/>
    <w:multiLevelType w:val="hybridMultilevel"/>
    <w:tmpl w:val="4A366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25042"/>
    <w:multiLevelType w:val="multilevel"/>
    <w:tmpl w:val="0409001F"/>
    <w:styleLink w:val="CurrentList1"/>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F33DF9"/>
    <w:multiLevelType w:val="hybridMultilevel"/>
    <w:tmpl w:val="7D76A3BC"/>
    <w:lvl w:ilvl="0" w:tplc="8898D9B8">
      <w:start w:val="1"/>
      <w:numFmt w:val="decimal"/>
      <w:lvlText w:val="%1."/>
      <w:lvlJc w:val="left"/>
      <w:pPr>
        <w:ind w:left="360" w:hanging="360"/>
      </w:pPr>
      <w:rPr>
        <w:rFonts w:hint="default"/>
        <w:b w:val="0"/>
        <w:bCs/>
        <w:i w:val="0"/>
        <w:iCs w:val="0"/>
      </w:rPr>
    </w:lvl>
    <w:lvl w:ilvl="1" w:tplc="04090019">
      <w:start w:val="1"/>
      <w:numFmt w:val="low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777363"/>
    <w:multiLevelType w:val="hybridMultilevel"/>
    <w:tmpl w:val="AD1445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11FD2"/>
    <w:multiLevelType w:val="hybridMultilevel"/>
    <w:tmpl w:val="07D8354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2E2AC5"/>
    <w:multiLevelType w:val="multilevel"/>
    <w:tmpl w:val="FE6ADB6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57DF5789"/>
    <w:multiLevelType w:val="multilevel"/>
    <w:tmpl w:val="0409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B6369E"/>
    <w:multiLevelType w:val="hybridMultilevel"/>
    <w:tmpl w:val="CC3CAC5E"/>
    <w:lvl w:ilvl="0" w:tplc="D1EAA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77E9A"/>
    <w:multiLevelType w:val="hybridMultilevel"/>
    <w:tmpl w:val="5258930C"/>
    <w:lvl w:ilvl="0" w:tplc="A0488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950158">
    <w:abstractNumId w:val="4"/>
  </w:num>
  <w:num w:numId="2" w16cid:durableId="360863375">
    <w:abstractNumId w:val="10"/>
  </w:num>
  <w:num w:numId="3" w16cid:durableId="974607761">
    <w:abstractNumId w:val="1"/>
  </w:num>
  <w:num w:numId="4" w16cid:durableId="1942831864">
    <w:abstractNumId w:val="8"/>
  </w:num>
  <w:num w:numId="5" w16cid:durableId="2047556702">
    <w:abstractNumId w:val="9"/>
  </w:num>
  <w:num w:numId="6" w16cid:durableId="1299530125">
    <w:abstractNumId w:val="5"/>
  </w:num>
  <w:num w:numId="7" w16cid:durableId="1019628123">
    <w:abstractNumId w:val="6"/>
  </w:num>
  <w:num w:numId="8" w16cid:durableId="1960331682">
    <w:abstractNumId w:val="2"/>
  </w:num>
  <w:num w:numId="9" w16cid:durableId="313220185">
    <w:abstractNumId w:val="0"/>
  </w:num>
  <w:num w:numId="10" w16cid:durableId="922837492">
    <w:abstractNumId w:val="3"/>
  </w:num>
  <w:num w:numId="11" w16cid:durableId="1767341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2A"/>
    <w:rsid w:val="00005694"/>
    <w:rsid w:val="000175E5"/>
    <w:rsid w:val="00085331"/>
    <w:rsid w:val="0009596F"/>
    <w:rsid w:val="000A3B6B"/>
    <w:rsid w:val="000A7356"/>
    <w:rsid w:val="000B4A81"/>
    <w:rsid w:val="001030C4"/>
    <w:rsid w:val="00103FEB"/>
    <w:rsid w:val="00143568"/>
    <w:rsid w:val="00145EE3"/>
    <w:rsid w:val="00172F61"/>
    <w:rsid w:val="001D29D8"/>
    <w:rsid w:val="001D6D35"/>
    <w:rsid w:val="0020680D"/>
    <w:rsid w:val="00223B76"/>
    <w:rsid w:val="00245EC2"/>
    <w:rsid w:val="00251587"/>
    <w:rsid w:val="00266291"/>
    <w:rsid w:val="002C01A7"/>
    <w:rsid w:val="002C369C"/>
    <w:rsid w:val="002D2B12"/>
    <w:rsid w:val="00302AA7"/>
    <w:rsid w:val="0030563D"/>
    <w:rsid w:val="00384AD2"/>
    <w:rsid w:val="003970E9"/>
    <w:rsid w:val="003B750E"/>
    <w:rsid w:val="00443905"/>
    <w:rsid w:val="0047158A"/>
    <w:rsid w:val="004C6B91"/>
    <w:rsid w:val="004D4A44"/>
    <w:rsid w:val="004F359B"/>
    <w:rsid w:val="00505FED"/>
    <w:rsid w:val="005C64DD"/>
    <w:rsid w:val="00607659"/>
    <w:rsid w:val="00623E8E"/>
    <w:rsid w:val="00637E39"/>
    <w:rsid w:val="00642A2A"/>
    <w:rsid w:val="00650242"/>
    <w:rsid w:val="006606C1"/>
    <w:rsid w:val="006A32EA"/>
    <w:rsid w:val="006C2E0B"/>
    <w:rsid w:val="007307C3"/>
    <w:rsid w:val="0075137E"/>
    <w:rsid w:val="00753BAA"/>
    <w:rsid w:val="007600D1"/>
    <w:rsid w:val="00795830"/>
    <w:rsid w:val="007A6FF6"/>
    <w:rsid w:val="007C4904"/>
    <w:rsid w:val="007F2FB6"/>
    <w:rsid w:val="007F5E83"/>
    <w:rsid w:val="00873BDB"/>
    <w:rsid w:val="00883304"/>
    <w:rsid w:val="00892114"/>
    <w:rsid w:val="008D1DD0"/>
    <w:rsid w:val="009248FC"/>
    <w:rsid w:val="0093525F"/>
    <w:rsid w:val="00943B38"/>
    <w:rsid w:val="00974CB7"/>
    <w:rsid w:val="009B4AF7"/>
    <w:rsid w:val="009D6066"/>
    <w:rsid w:val="00A329A2"/>
    <w:rsid w:val="00A5265C"/>
    <w:rsid w:val="00AE36D0"/>
    <w:rsid w:val="00AE69AA"/>
    <w:rsid w:val="00AF4B22"/>
    <w:rsid w:val="00B36F10"/>
    <w:rsid w:val="00B8178A"/>
    <w:rsid w:val="00B82DA6"/>
    <w:rsid w:val="00B973F7"/>
    <w:rsid w:val="00BA0210"/>
    <w:rsid w:val="00BA268E"/>
    <w:rsid w:val="00BE0B4C"/>
    <w:rsid w:val="00BE451F"/>
    <w:rsid w:val="00C110A4"/>
    <w:rsid w:val="00C1501B"/>
    <w:rsid w:val="00C33856"/>
    <w:rsid w:val="00C602CB"/>
    <w:rsid w:val="00C95D0F"/>
    <w:rsid w:val="00C9746A"/>
    <w:rsid w:val="00CF08F7"/>
    <w:rsid w:val="00D6049B"/>
    <w:rsid w:val="00D655FC"/>
    <w:rsid w:val="00D76962"/>
    <w:rsid w:val="00DB71E8"/>
    <w:rsid w:val="00DE1CD6"/>
    <w:rsid w:val="00DE4FA8"/>
    <w:rsid w:val="00EB3EC0"/>
    <w:rsid w:val="00EB4DC7"/>
    <w:rsid w:val="00F20FA8"/>
    <w:rsid w:val="00F340A0"/>
    <w:rsid w:val="00F71561"/>
    <w:rsid w:val="00F73410"/>
    <w:rsid w:val="00F97E6D"/>
    <w:rsid w:val="00FC2C8E"/>
    <w:rsid w:val="00FF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A21B52"/>
  <w15:chartTrackingRefBased/>
  <w15:docId w15:val="{C4BC5985-FF70-A942-9732-ED33E2D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73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A2A"/>
    <w:rPr>
      <w:rFonts w:ascii="Times New Roman" w:hAnsi="Times New Roman" w:cs="Times New Roman"/>
    </w:rPr>
  </w:style>
  <w:style w:type="paragraph" w:styleId="Footer">
    <w:name w:val="footer"/>
    <w:basedOn w:val="Normal"/>
    <w:link w:val="FooterChar"/>
    <w:uiPriority w:val="99"/>
    <w:unhideWhenUsed/>
    <w:rsid w:val="00642A2A"/>
    <w:pPr>
      <w:tabs>
        <w:tab w:val="center" w:pos="4680"/>
        <w:tab w:val="right" w:pos="9360"/>
      </w:tabs>
    </w:pPr>
  </w:style>
  <w:style w:type="character" w:customStyle="1" w:styleId="FooterChar">
    <w:name w:val="Footer Char"/>
    <w:basedOn w:val="DefaultParagraphFont"/>
    <w:link w:val="Footer"/>
    <w:uiPriority w:val="99"/>
    <w:rsid w:val="00642A2A"/>
  </w:style>
  <w:style w:type="character" w:styleId="PageNumber">
    <w:name w:val="page number"/>
    <w:basedOn w:val="DefaultParagraphFont"/>
    <w:uiPriority w:val="99"/>
    <w:semiHidden/>
    <w:unhideWhenUsed/>
    <w:rsid w:val="00642A2A"/>
  </w:style>
  <w:style w:type="paragraph" w:styleId="ListParagraph">
    <w:name w:val="List Paragraph"/>
    <w:basedOn w:val="Normal"/>
    <w:uiPriority w:val="34"/>
    <w:qFormat/>
    <w:rsid w:val="00642A2A"/>
    <w:pPr>
      <w:ind w:left="720"/>
      <w:contextualSpacing/>
    </w:pPr>
  </w:style>
  <w:style w:type="paragraph" w:styleId="FootnoteText">
    <w:name w:val="footnote text"/>
    <w:basedOn w:val="Normal"/>
    <w:link w:val="FootnoteTextChar"/>
    <w:uiPriority w:val="99"/>
    <w:semiHidden/>
    <w:unhideWhenUsed/>
    <w:rsid w:val="00C110A4"/>
    <w:rPr>
      <w:sz w:val="20"/>
      <w:szCs w:val="20"/>
    </w:rPr>
  </w:style>
  <w:style w:type="character" w:customStyle="1" w:styleId="FootnoteTextChar">
    <w:name w:val="Footnote Text Char"/>
    <w:basedOn w:val="DefaultParagraphFont"/>
    <w:link w:val="FootnoteText"/>
    <w:uiPriority w:val="99"/>
    <w:semiHidden/>
    <w:rsid w:val="00C110A4"/>
    <w:rPr>
      <w:sz w:val="20"/>
      <w:szCs w:val="20"/>
    </w:rPr>
  </w:style>
  <w:style w:type="character" w:styleId="FootnoteReference">
    <w:name w:val="footnote reference"/>
    <w:basedOn w:val="DefaultParagraphFont"/>
    <w:uiPriority w:val="99"/>
    <w:semiHidden/>
    <w:unhideWhenUsed/>
    <w:rsid w:val="00C110A4"/>
    <w:rPr>
      <w:vertAlign w:val="superscript"/>
    </w:rPr>
  </w:style>
  <w:style w:type="character" w:styleId="Hyperlink">
    <w:name w:val="Hyperlink"/>
    <w:basedOn w:val="DefaultParagraphFont"/>
    <w:uiPriority w:val="99"/>
    <w:unhideWhenUsed/>
    <w:rsid w:val="00883304"/>
    <w:rPr>
      <w:color w:val="0563C1" w:themeColor="hyperlink"/>
      <w:u w:val="single"/>
    </w:rPr>
  </w:style>
  <w:style w:type="character" w:styleId="UnresolvedMention">
    <w:name w:val="Unresolved Mention"/>
    <w:basedOn w:val="DefaultParagraphFont"/>
    <w:uiPriority w:val="99"/>
    <w:semiHidden/>
    <w:unhideWhenUsed/>
    <w:rsid w:val="00883304"/>
    <w:rPr>
      <w:color w:val="605E5C"/>
      <w:shd w:val="clear" w:color="auto" w:fill="E1DFDD"/>
    </w:rPr>
  </w:style>
  <w:style w:type="character" w:styleId="FollowedHyperlink">
    <w:name w:val="FollowedHyperlink"/>
    <w:basedOn w:val="DefaultParagraphFont"/>
    <w:uiPriority w:val="99"/>
    <w:semiHidden/>
    <w:unhideWhenUsed/>
    <w:rsid w:val="00753BAA"/>
    <w:rPr>
      <w:color w:val="954F72" w:themeColor="followedHyperlink"/>
      <w:u w:val="single"/>
    </w:rPr>
  </w:style>
  <w:style w:type="paragraph" w:styleId="Revision">
    <w:name w:val="Revision"/>
    <w:hidden/>
    <w:uiPriority w:val="99"/>
    <w:semiHidden/>
    <w:rsid w:val="0030563D"/>
  </w:style>
  <w:style w:type="character" w:styleId="CommentReference">
    <w:name w:val="annotation reference"/>
    <w:basedOn w:val="DefaultParagraphFont"/>
    <w:uiPriority w:val="99"/>
    <w:semiHidden/>
    <w:unhideWhenUsed/>
    <w:rsid w:val="0030563D"/>
    <w:rPr>
      <w:sz w:val="16"/>
      <w:szCs w:val="16"/>
    </w:rPr>
  </w:style>
  <w:style w:type="paragraph" w:styleId="CommentText">
    <w:name w:val="annotation text"/>
    <w:basedOn w:val="Normal"/>
    <w:link w:val="CommentTextChar"/>
    <w:uiPriority w:val="99"/>
    <w:semiHidden/>
    <w:unhideWhenUsed/>
    <w:rsid w:val="0030563D"/>
    <w:rPr>
      <w:sz w:val="20"/>
      <w:szCs w:val="20"/>
    </w:rPr>
  </w:style>
  <w:style w:type="character" w:customStyle="1" w:styleId="CommentTextChar">
    <w:name w:val="Comment Text Char"/>
    <w:basedOn w:val="DefaultParagraphFont"/>
    <w:link w:val="CommentText"/>
    <w:uiPriority w:val="99"/>
    <w:semiHidden/>
    <w:rsid w:val="0030563D"/>
    <w:rPr>
      <w:sz w:val="20"/>
      <w:szCs w:val="20"/>
    </w:rPr>
  </w:style>
  <w:style w:type="paragraph" w:styleId="CommentSubject">
    <w:name w:val="annotation subject"/>
    <w:basedOn w:val="CommentText"/>
    <w:next w:val="CommentText"/>
    <w:link w:val="CommentSubjectChar"/>
    <w:uiPriority w:val="99"/>
    <w:semiHidden/>
    <w:unhideWhenUsed/>
    <w:rsid w:val="0030563D"/>
    <w:rPr>
      <w:b/>
      <w:bCs/>
    </w:rPr>
  </w:style>
  <w:style w:type="character" w:customStyle="1" w:styleId="CommentSubjectChar">
    <w:name w:val="Comment Subject Char"/>
    <w:basedOn w:val="CommentTextChar"/>
    <w:link w:val="CommentSubject"/>
    <w:uiPriority w:val="99"/>
    <w:semiHidden/>
    <w:rsid w:val="0030563D"/>
    <w:rPr>
      <w:b/>
      <w:bCs/>
      <w:sz w:val="20"/>
      <w:szCs w:val="20"/>
    </w:rPr>
  </w:style>
  <w:style w:type="numbering" w:customStyle="1" w:styleId="CurrentList1">
    <w:name w:val="Current List1"/>
    <w:uiPriority w:val="99"/>
    <w:rsid w:val="009248FC"/>
    <w:pPr>
      <w:numPr>
        <w:numId w:val="10"/>
      </w:numPr>
    </w:pPr>
  </w:style>
  <w:style w:type="paragraph" w:styleId="Header">
    <w:name w:val="header"/>
    <w:basedOn w:val="Normal"/>
    <w:link w:val="HeaderChar"/>
    <w:uiPriority w:val="99"/>
    <w:unhideWhenUsed/>
    <w:rsid w:val="00143568"/>
    <w:pPr>
      <w:tabs>
        <w:tab w:val="center" w:pos="4680"/>
        <w:tab w:val="right" w:pos="9360"/>
      </w:tabs>
    </w:pPr>
  </w:style>
  <w:style w:type="character" w:customStyle="1" w:styleId="HeaderChar">
    <w:name w:val="Header Char"/>
    <w:basedOn w:val="DefaultParagraphFont"/>
    <w:link w:val="Header"/>
    <w:uiPriority w:val="99"/>
    <w:rsid w:val="00143568"/>
  </w:style>
  <w:style w:type="character" w:customStyle="1" w:styleId="Heading1Char">
    <w:name w:val="Heading 1 Char"/>
    <w:basedOn w:val="DefaultParagraphFont"/>
    <w:link w:val="Heading1"/>
    <w:uiPriority w:val="9"/>
    <w:rsid w:val="000A73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34697">
      <w:bodyDiv w:val="1"/>
      <w:marLeft w:val="0"/>
      <w:marRight w:val="0"/>
      <w:marTop w:val="0"/>
      <w:marBottom w:val="0"/>
      <w:divBdr>
        <w:top w:val="none" w:sz="0" w:space="0" w:color="auto"/>
        <w:left w:val="none" w:sz="0" w:space="0" w:color="auto"/>
        <w:bottom w:val="none" w:sz="0" w:space="0" w:color="auto"/>
        <w:right w:val="none" w:sz="0" w:space="0" w:color="auto"/>
      </w:divBdr>
    </w:div>
    <w:div w:id="910234594">
      <w:bodyDiv w:val="1"/>
      <w:marLeft w:val="0"/>
      <w:marRight w:val="0"/>
      <w:marTop w:val="0"/>
      <w:marBottom w:val="0"/>
      <w:divBdr>
        <w:top w:val="none" w:sz="0" w:space="0" w:color="auto"/>
        <w:left w:val="none" w:sz="0" w:space="0" w:color="auto"/>
        <w:bottom w:val="none" w:sz="0" w:space="0" w:color="auto"/>
        <w:right w:val="none" w:sz="0" w:space="0" w:color="auto"/>
      </w:divBdr>
      <w:divsChild>
        <w:div w:id="1359434025">
          <w:marLeft w:val="0"/>
          <w:marRight w:val="0"/>
          <w:marTop w:val="0"/>
          <w:marBottom w:val="0"/>
          <w:divBdr>
            <w:top w:val="none" w:sz="0" w:space="0" w:color="auto"/>
            <w:left w:val="none" w:sz="0" w:space="0" w:color="auto"/>
            <w:bottom w:val="none" w:sz="0" w:space="0" w:color="auto"/>
            <w:right w:val="none" w:sz="0" w:space="0" w:color="auto"/>
          </w:divBdr>
          <w:divsChild>
            <w:div w:id="1534657925">
              <w:marLeft w:val="0"/>
              <w:marRight w:val="0"/>
              <w:marTop w:val="0"/>
              <w:marBottom w:val="0"/>
              <w:divBdr>
                <w:top w:val="none" w:sz="0" w:space="0" w:color="auto"/>
                <w:left w:val="none" w:sz="0" w:space="0" w:color="auto"/>
                <w:bottom w:val="none" w:sz="0" w:space="0" w:color="auto"/>
                <w:right w:val="none" w:sz="0" w:space="0" w:color="auto"/>
              </w:divBdr>
              <w:divsChild>
                <w:div w:id="4444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7589">
      <w:bodyDiv w:val="1"/>
      <w:marLeft w:val="0"/>
      <w:marRight w:val="0"/>
      <w:marTop w:val="0"/>
      <w:marBottom w:val="0"/>
      <w:divBdr>
        <w:top w:val="none" w:sz="0" w:space="0" w:color="auto"/>
        <w:left w:val="none" w:sz="0" w:space="0" w:color="auto"/>
        <w:bottom w:val="none" w:sz="0" w:space="0" w:color="auto"/>
        <w:right w:val="none" w:sz="0" w:space="0" w:color="auto"/>
      </w:divBdr>
    </w:div>
    <w:div w:id="98127708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63">
          <w:marLeft w:val="0"/>
          <w:marRight w:val="0"/>
          <w:marTop w:val="0"/>
          <w:marBottom w:val="0"/>
          <w:divBdr>
            <w:top w:val="none" w:sz="0" w:space="0" w:color="auto"/>
            <w:left w:val="none" w:sz="0" w:space="0" w:color="auto"/>
            <w:bottom w:val="none" w:sz="0" w:space="0" w:color="auto"/>
            <w:right w:val="none" w:sz="0" w:space="0" w:color="auto"/>
          </w:divBdr>
          <w:divsChild>
            <w:div w:id="1112288392">
              <w:marLeft w:val="0"/>
              <w:marRight w:val="0"/>
              <w:marTop w:val="0"/>
              <w:marBottom w:val="0"/>
              <w:divBdr>
                <w:top w:val="none" w:sz="0" w:space="0" w:color="auto"/>
                <w:left w:val="none" w:sz="0" w:space="0" w:color="auto"/>
                <w:bottom w:val="none" w:sz="0" w:space="0" w:color="auto"/>
                <w:right w:val="none" w:sz="0" w:space="0" w:color="auto"/>
              </w:divBdr>
              <w:divsChild>
                <w:div w:id="1885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4077">
      <w:bodyDiv w:val="1"/>
      <w:marLeft w:val="0"/>
      <w:marRight w:val="0"/>
      <w:marTop w:val="0"/>
      <w:marBottom w:val="0"/>
      <w:divBdr>
        <w:top w:val="none" w:sz="0" w:space="0" w:color="auto"/>
        <w:left w:val="none" w:sz="0" w:space="0" w:color="auto"/>
        <w:bottom w:val="none" w:sz="0" w:space="0" w:color="auto"/>
        <w:right w:val="none" w:sz="0" w:space="0" w:color="auto"/>
      </w:divBdr>
    </w:div>
    <w:div w:id="1337608307">
      <w:bodyDiv w:val="1"/>
      <w:marLeft w:val="0"/>
      <w:marRight w:val="0"/>
      <w:marTop w:val="0"/>
      <w:marBottom w:val="0"/>
      <w:divBdr>
        <w:top w:val="none" w:sz="0" w:space="0" w:color="auto"/>
        <w:left w:val="none" w:sz="0" w:space="0" w:color="auto"/>
        <w:bottom w:val="none" w:sz="0" w:space="0" w:color="auto"/>
        <w:right w:val="none" w:sz="0" w:space="0" w:color="auto"/>
      </w:divBdr>
    </w:div>
    <w:div w:id="1530726549">
      <w:bodyDiv w:val="1"/>
      <w:marLeft w:val="0"/>
      <w:marRight w:val="0"/>
      <w:marTop w:val="0"/>
      <w:marBottom w:val="0"/>
      <w:divBdr>
        <w:top w:val="none" w:sz="0" w:space="0" w:color="auto"/>
        <w:left w:val="none" w:sz="0" w:space="0" w:color="auto"/>
        <w:bottom w:val="none" w:sz="0" w:space="0" w:color="auto"/>
        <w:right w:val="none" w:sz="0" w:space="0" w:color="auto"/>
      </w:divBdr>
    </w:div>
    <w:div w:id="18510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2.gcchmc.org/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8BE0-D554-7D41-8A97-6D6B61E1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Gisa Dang</dc:creator>
  <cp:keywords/>
  <dc:description/>
  <cp:lastModifiedBy>Gisa Dang</cp:lastModifiedBy>
  <cp:revision>3</cp:revision>
  <dcterms:created xsi:type="dcterms:W3CDTF">2022-11-24T22:19:00Z</dcterms:created>
  <dcterms:modified xsi:type="dcterms:W3CDTF">2022-11-24T22:19:00Z</dcterms:modified>
</cp:coreProperties>
</file>