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825E" w14:textId="77777777" w:rsidR="005D536A" w:rsidRDefault="005D536A" w:rsidP="004F5940">
      <w:pPr>
        <w:spacing w:after="240" w:line="240" w:lineRule="auto"/>
        <w:jc w:val="both"/>
        <w:rPr>
          <w:rFonts w:ascii="Times New Roman" w:eastAsia="Times" w:hAnsi="Times New Roman" w:cs="Times New Roman"/>
          <w:color w:val="333333"/>
          <w:sz w:val="24"/>
          <w:szCs w:val="24"/>
          <w:lang w:val="en-US"/>
        </w:rPr>
      </w:pPr>
    </w:p>
    <w:p w14:paraId="5CC23E32" w14:textId="19232BDD" w:rsidR="00E93E52" w:rsidRPr="0059491C" w:rsidRDefault="00FD11AA" w:rsidP="004F5940">
      <w:pPr>
        <w:spacing w:after="240" w:line="240" w:lineRule="auto"/>
        <w:jc w:val="both"/>
        <w:rPr>
          <w:rFonts w:ascii="Times New Roman" w:eastAsia="Times" w:hAnsi="Times New Roman" w:cs="Times New Roman"/>
          <w:color w:val="333333"/>
          <w:sz w:val="24"/>
          <w:szCs w:val="24"/>
          <w:lang w:val="en-US"/>
        </w:rPr>
      </w:pPr>
      <w:r w:rsidRPr="0059491C">
        <w:rPr>
          <w:rFonts w:ascii="Times New Roman" w:eastAsia="Times" w:hAnsi="Times New Roman" w:cs="Times New Roman"/>
          <w:color w:val="333333"/>
          <w:sz w:val="24"/>
          <w:szCs w:val="24"/>
          <w:lang w:val="en-US"/>
        </w:rPr>
        <w:t xml:space="preserve">Submission </w:t>
      </w:r>
      <w:r w:rsidRPr="0059491C">
        <w:rPr>
          <w:rFonts w:ascii="Times New Roman" w:eastAsia="Times" w:hAnsi="Times New Roman" w:cs="Times New Roman"/>
          <w:color w:val="333333"/>
          <w:sz w:val="24"/>
          <w:szCs w:val="24"/>
          <w:lang w:val="en-US"/>
        </w:rPr>
        <w:t>to</w:t>
      </w:r>
      <w:r w:rsidRPr="0059491C">
        <w:rPr>
          <w:rFonts w:ascii="Times New Roman" w:eastAsia="Times" w:hAnsi="Times New Roman" w:cs="Times New Roman"/>
          <w:color w:val="333333"/>
          <w:sz w:val="24"/>
          <w:szCs w:val="24"/>
          <w:lang w:val="en-US"/>
        </w:rPr>
        <w:t xml:space="preserve"> the Special Rapporteur in the field of cultural rights</w:t>
      </w:r>
    </w:p>
    <w:p w14:paraId="22D8E3B3" w14:textId="77777777" w:rsidR="00E93E52" w:rsidRPr="0059491C" w:rsidRDefault="00FD11AA" w:rsidP="004F5940">
      <w:pPr>
        <w:spacing w:after="240" w:line="240" w:lineRule="auto"/>
        <w:jc w:val="both"/>
        <w:rPr>
          <w:rFonts w:ascii="Times New Roman" w:eastAsia="Times" w:hAnsi="Times New Roman" w:cs="Times New Roman"/>
          <w:color w:val="333333"/>
          <w:sz w:val="24"/>
          <w:szCs w:val="24"/>
          <w:lang w:val="en-US"/>
        </w:rPr>
      </w:pPr>
      <w:r w:rsidRPr="0059491C">
        <w:rPr>
          <w:rFonts w:ascii="Times New Roman" w:eastAsia="Times" w:hAnsi="Times New Roman" w:cs="Times New Roman"/>
          <w:color w:val="333333"/>
          <w:sz w:val="24"/>
          <w:szCs w:val="24"/>
          <w:lang w:val="en-US"/>
        </w:rPr>
        <w:t>Date: 13 November 2023</w:t>
      </w:r>
    </w:p>
    <w:p w14:paraId="75A41434" w14:textId="77777777" w:rsidR="00E93E52" w:rsidRPr="0059491C" w:rsidRDefault="00FD11AA" w:rsidP="004F5940">
      <w:pPr>
        <w:spacing w:after="240" w:line="240" w:lineRule="auto"/>
        <w:jc w:val="both"/>
        <w:rPr>
          <w:rFonts w:ascii="Times New Roman" w:eastAsia="Times" w:hAnsi="Times New Roman" w:cs="Times New Roman"/>
          <w:b/>
          <w:color w:val="333333"/>
          <w:sz w:val="24"/>
          <w:szCs w:val="24"/>
          <w:lang w:val="en-US"/>
        </w:rPr>
      </w:pPr>
      <w:r w:rsidRPr="0059491C">
        <w:rPr>
          <w:rFonts w:ascii="Times New Roman" w:eastAsia="Times" w:hAnsi="Times New Roman" w:cs="Times New Roman"/>
          <w:b/>
          <w:color w:val="333333"/>
          <w:sz w:val="24"/>
          <w:szCs w:val="24"/>
          <w:lang w:val="en-US"/>
        </w:rPr>
        <w:t>Re: Call for input on the right to access and take part in scientific progress</w:t>
      </w:r>
    </w:p>
    <w:p w14:paraId="32A8085A" w14:textId="77777777" w:rsidR="00E93E52" w:rsidRPr="0059491C" w:rsidRDefault="00E93E52" w:rsidP="004F5940">
      <w:pPr>
        <w:spacing w:after="240" w:line="240" w:lineRule="auto"/>
        <w:jc w:val="both"/>
        <w:rPr>
          <w:rFonts w:ascii="Times New Roman" w:eastAsia="Times" w:hAnsi="Times New Roman" w:cs="Times New Roman"/>
          <w:color w:val="333333"/>
          <w:sz w:val="24"/>
          <w:szCs w:val="24"/>
          <w:highlight w:val="white"/>
          <w:lang w:val="en-US"/>
        </w:rPr>
      </w:pPr>
    </w:p>
    <w:p w14:paraId="2516C46E" w14:textId="58F25199" w:rsidR="00E93E52" w:rsidRPr="0059491C" w:rsidRDefault="00FD11AA" w:rsidP="004F5940">
      <w:pPr>
        <w:spacing w:after="240" w:line="240" w:lineRule="auto"/>
        <w:jc w:val="both"/>
        <w:rPr>
          <w:rFonts w:ascii="Times New Roman" w:eastAsia="Times" w:hAnsi="Times New Roman" w:cs="Times New Roman"/>
          <w:color w:val="333333"/>
          <w:sz w:val="24"/>
          <w:szCs w:val="24"/>
          <w:highlight w:val="white"/>
          <w:u w:val="single"/>
          <w:lang w:val="en-US"/>
        </w:rPr>
      </w:pPr>
      <w:r w:rsidRPr="0059491C">
        <w:rPr>
          <w:rFonts w:ascii="Times New Roman" w:eastAsia="Times" w:hAnsi="Times New Roman" w:cs="Times New Roman"/>
          <w:color w:val="333333"/>
          <w:sz w:val="24"/>
          <w:szCs w:val="24"/>
          <w:highlight w:val="white"/>
          <w:u w:val="single"/>
          <w:lang w:val="en-US"/>
        </w:rPr>
        <w:t>Introduction</w:t>
      </w:r>
    </w:p>
    <w:p w14:paraId="757A7EB5" w14:textId="6AE89608" w:rsidR="00E93E52" w:rsidRPr="0059491C" w:rsidRDefault="00FD11AA" w:rsidP="004F5940">
      <w:pPr>
        <w:numPr>
          <w:ilvl w:val="0"/>
          <w:numId w:val="2"/>
        </w:numPr>
        <w:spacing w:after="240" w:line="240" w:lineRule="auto"/>
        <w:jc w:val="both"/>
        <w:rPr>
          <w:rFonts w:ascii="Times New Roman" w:eastAsia="Times" w:hAnsi="Times New Roman" w:cs="Times New Roman"/>
          <w:sz w:val="24"/>
          <w:szCs w:val="24"/>
          <w:lang w:val="en-US"/>
        </w:rPr>
      </w:pPr>
      <w:r w:rsidRPr="0059491C">
        <w:rPr>
          <w:rFonts w:ascii="Times New Roman" w:eastAsia="Times" w:hAnsi="Times New Roman" w:cs="Times New Roman"/>
          <w:color w:val="333333"/>
          <w:sz w:val="24"/>
          <w:szCs w:val="24"/>
          <w:highlight w:val="white"/>
          <w:lang w:val="en-US"/>
        </w:rPr>
        <w:t>Treatment Action Group (TAG) is an independent, activist, and community-based research and policy think tank committed to racial, gender, and LGBTQ+ equity; social justice; and liberation, fighting to end HIV, tuberculosis</w:t>
      </w:r>
      <w:r w:rsidRPr="0059491C">
        <w:rPr>
          <w:rFonts w:ascii="Times New Roman" w:eastAsia="Times" w:hAnsi="Times New Roman" w:cs="Times New Roman"/>
          <w:color w:val="333333"/>
          <w:sz w:val="24"/>
          <w:szCs w:val="24"/>
          <w:highlight w:val="white"/>
          <w:lang w:val="en-US"/>
        </w:rPr>
        <w:t>, and hepatitis C virus</w:t>
      </w:r>
      <w:r w:rsidRPr="0059491C">
        <w:rPr>
          <w:rFonts w:ascii="Times New Roman" w:eastAsia="Times" w:hAnsi="Times New Roman" w:cs="Times New Roman"/>
          <w:color w:val="333333"/>
          <w:sz w:val="24"/>
          <w:szCs w:val="24"/>
          <w:highlight w:val="white"/>
          <w:lang w:val="en-US"/>
        </w:rPr>
        <w:t xml:space="preserve">. </w:t>
      </w:r>
    </w:p>
    <w:p w14:paraId="775BE248" w14:textId="57F166CF" w:rsidR="00E93E52" w:rsidRPr="0059491C" w:rsidRDefault="00FD11AA" w:rsidP="004F5940">
      <w:pPr>
        <w:numPr>
          <w:ilvl w:val="0"/>
          <w:numId w:val="2"/>
        </w:numPr>
        <w:spacing w:after="240" w:line="240" w:lineRule="auto"/>
        <w:jc w:val="both"/>
        <w:rPr>
          <w:rFonts w:ascii="Times New Roman" w:eastAsia="Times" w:hAnsi="Times New Roman" w:cs="Times New Roman"/>
          <w:sz w:val="24"/>
          <w:szCs w:val="24"/>
          <w:lang w:val="en-US"/>
        </w:rPr>
      </w:pPr>
      <w:r w:rsidRPr="0059491C">
        <w:rPr>
          <w:rFonts w:ascii="Times New Roman" w:eastAsia="Times" w:hAnsi="Times New Roman" w:cs="Times New Roman"/>
          <w:color w:val="333333"/>
          <w:sz w:val="24"/>
          <w:szCs w:val="24"/>
          <w:highlight w:val="white"/>
          <w:lang w:val="en-US"/>
        </w:rPr>
        <w:t xml:space="preserve">TAG envisions the end of the HIV, </w:t>
      </w:r>
      <w:r w:rsidR="005D536A">
        <w:rPr>
          <w:rFonts w:ascii="Times New Roman" w:eastAsia="Times" w:hAnsi="Times New Roman" w:cs="Times New Roman"/>
          <w:color w:val="333333"/>
          <w:sz w:val="24"/>
          <w:szCs w:val="24"/>
          <w:highlight w:val="white"/>
          <w:lang w:val="en-US"/>
        </w:rPr>
        <w:t>tuberculosis</w:t>
      </w:r>
      <w:r w:rsidRPr="0059491C">
        <w:rPr>
          <w:rFonts w:ascii="Times New Roman" w:eastAsia="Times" w:hAnsi="Times New Roman" w:cs="Times New Roman"/>
          <w:color w:val="333333"/>
          <w:sz w:val="24"/>
          <w:szCs w:val="24"/>
          <w:highlight w:val="white"/>
          <w:lang w:val="en-US"/>
        </w:rPr>
        <w:t xml:space="preserve">, and </w:t>
      </w:r>
      <w:r w:rsidR="005D536A">
        <w:rPr>
          <w:rFonts w:ascii="Times New Roman" w:eastAsia="Times" w:hAnsi="Times New Roman" w:cs="Times New Roman"/>
          <w:color w:val="333333"/>
          <w:sz w:val="24"/>
          <w:szCs w:val="24"/>
          <w:highlight w:val="white"/>
          <w:lang w:val="en-US"/>
        </w:rPr>
        <w:t>hepatitis C virus</w:t>
      </w:r>
      <w:r w:rsidRPr="0059491C">
        <w:rPr>
          <w:rFonts w:ascii="Times New Roman" w:eastAsia="Times" w:hAnsi="Times New Roman" w:cs="Times New Roman"/>
          <w:color w:val="333333"/>
          <w:sz w:val="24"/>
          <w:szCs w:val="24"/>
          <w:highlight w:val="white"/>
          <w:lang w:val="en-US"/>
        </w:rPr>
        <w:t xml:space="preserve"> pandemics with the discovery, development, and worldwide dissemination of safe and effective diagnostics, preventives, and cures through public health structures that end systemic harms and promote </w:t>
      </w:r>
      <w:r w:rsidRPr="0059491C">
        <w:rPr>
          <w:rFonts w:ascii="Times New Roman" w:eastAsia="Times" w:hAnsi="Times New Roman" w:cs="Times New Roman"/>
          <w:color w:val="333333"/>
          <w:sz w:val="24"/>
          <w:szCs w:val="24"/>
          <w:highlight w:val="white"/>
          <w:lang w:val="en-US"/>
        </w:rPr>
        <w:t>human rights, and that are developed by the diverse communities most affected by these conditions. This vision will be realized based on data and science</w:t>
      </w:r>
      <w:r w:rsidRPr="0059491C">
        <w:rPr>
          <w:rFonts w:ascii="Times New Roman" w:eastAsia="Times" w:hAnsi="Times New Roman" w:cs="Times New Roman"/>
          <w:color w:val="333333"/>
          <w:sz w:val="24"/>
          <w:szCs w:val="24"/>
          <w:highlight w:val="white"/>
          <w:lang w:val="en-US"/>
        </w:rPr>
        <w:t xml:space="preserve"> and achieved through community engagement</w:t>
      </w:r>
      <w:r w:rsidR="007C3368" w:rsidRPr="0059491C">
        <w:rPr>
          <w:rFonts w:ascii="Times New Roman" w:eastAsia="Times" w:hAnsi="Times New Roman" w:cs="Times New Roman"/>
          <w:color w:val="333333"/>
          <w:sz w:val="24"/>
          <w:szCs w:val="24"/>
          <w:highlight w:val="white"/>
          <w:lang w:val="en-US"/>
        </w:rPr>
        <w:t xml:space="preserve"> </w:t>
      </w:r>
      <w:r w:rsidRPr="0059491C">
        <w:rPr>
          <w:rFonts w:ascii="Times New Roman" w:eastAsia="Times" w:hAnsi="Times New Roman" w:cs="Times New Roman"/>
          <w:color w:val="333333"/>
          <w:sz w:val="24"/>
          <w:szCs w:val="24"/>
          <w:highlight w:val="white"/>
          <w:lang w:val="en-US"/>
        </w:rPr>
        <w:t>and equitable access to the benefits</w:t>
      </w:r>
      <w:r w:rsidRPr="0059491C">
        <w:rPr>
          <w:rFonts w:ascii="Times New Roman" w:eastAsia="Times" w:hAnsi="Times New Roman" w:cs="Times New Roman"/>
          <w:color w:val="333333"/>
          <w:sz w:val="24"/>
          <w:szCs w:val="24"/>
          <w:highlight w:val="white"/>
          <w:lang w:val="en-US"/>
        </w:rPr>
        <w:t xml:space="preserve"> of science.</w:t>
      </w:r>
    </w:p>
    <w:p w14:paraId="6E042530" w14:textId="36FDA390" w:rsidR="00E93E52" w:rsidRPr="0059491C" w:rsidRDefault="00FD11AA" w:rsidP="005D536A">
      <w:pPr>
        <w:numPr>
          <w:ilvl w:val="0"/>
          <w:numId w:val="2"/>
        </w:numPr>
        <w:spacing w:after="240" w:line="240" w:lineRule="auto"/>
        <w:jc w:val="both"/>
        <w:rPr>
          <w:rFonts w:ascii="Times New Roman" w:eastAsia="Times" w:hAnsi="Times New Roman" w:cs="Times New Roman"/>
          <w:sz w:val="24"/>
          <w:szCs w:val="24"/>
          <w:lang w:val="en-US"/>
        </w:rPr>
      </w:pPr>
      <w:r w:rsidRPr="0059491C">
        <w:rPr>
          <w:rFonts w:ascii="Times New Roman" w:eastAsia="Times" w:hAnsi="Times New Roman" w:cs="Times New Roman"/>
          <w:color w:val="333333"/>
          <w:sz w:val="24"/>
          <w:szCs w:val="24"/>
          <w:highlight w:val="white"/>
          <w:lang w:val="en-US"/>
        </w:rPr>
        <w:t>This submission is based on ongoing analyses of the right to enjoy the benefits of scientific progress and its application</w:t>
      </w:r>
      <w:r w:rsidR="000F4800" w:rsidRPr="0059491C">
        <w:rPr>
          <w:rFonts w:ascii="Times New Roman" w:eastAsia="Times" w:hAnsi="Times New Roman" w:cs="Times New Roman"/>
          <w:color w:val="333333"/>
          <w:sz w:val="24"/>
          <w:szCs w:val="24"/>
          <w:highlight w:val="white"/>
          <w:lang w:val="en-US"/>
        </w:rPr>
        <w:t>s</w:t>
      </w:r>
      <w:r w:rsidRPr="0059491C">
        <w:rPr>
          <w:rFonts w:ascii="Times New Roman" w:eastAsia="Times" w:hAnsi="Times New Roman" w:cs="Times New Roman"/>
          <w:color w:val="333333"/>
          <w:sz w:val="24"/>
          <w:szCs w:val="24"/>
          <w:highlight w:val="white"/>
          <w:lang w:val="en-US"/>
        </w:rPr>
        <w:t xml:space="preserve"> (right to science) that TAG has been developing through </w:t>
      </w:r>
      <w:proofErr w:type="gramStart"/>
      <w:r w:rsidRPr="0059491C">
        <w:rPr>
          <w:rFonts w:ascii="Times New Roman" w:eastAsia="Times" w:hAnsi="Times New Roman" w:cs="Times New Roman"/>
          <w:color w:val="333333"/>
          <w:sz w:val="24"/>
          <w:szCs w:val="24"/>
          <w:highlight w:val="white"/>
          <w:lang w:val="en-US"/>
        </w:rPr>
        <w:t>a number of</w:t>
      </w:r>
      <w:proofErr w:type="gramEnd"/>
      <w:r w:rsidRPr="0059491C">
        <w:rPr>
          <w:rFonts w:ascii="Times New Roman" w:eastAsia="Times" w:hAnsi="Times New Roman" w:cs="Times New Roman"/>
          <w:color w:val="333333"/>
          <w:sz w:val="24"/>
          <w:szCs w:val="24"/>
          <w:highlight w:val="white"/>
          <w:lang w:val="en-US"/>
        </w:rPr>
        <w:t xml:space="preserve"> UN submissions, academic writing, and learning mater</w:t>
      </w:r>
      <w:r w:rsidRPr="0059491C">
        <w:rPr>
          <w:rFonts w:ascii="Times New Roman" w:eastAsia="Times" w:hAnsi="Times New Roman" w:cs="Times New Roman"/>
          <w:color w:val="333333"/>
          <w:sz w:val="24"/>
          <w:szCs w:val="24"/>
          <w:highlight w:val="white"/>
          <w:lang w:val="en-US"/>
        </w:rPr>
        <w:t>ials.</w:t>
      </w:r>
      <w:r w:rsidR="008404F9" w:rsidRPr="0059491C">
        <w:rPr>
          <w:rFonts w:ascii="Times New Roman" w:eastAsia="Times" w:hAnsi="Times New Roman" w:cs="Times New Roman"/>
          <w:color w:val="333333"/>
          <w:sz w:val="24"/>
          <w:szCs w:val="24"/>
          <w:highlight w:val="white"/>
          <w:lang w:val="en-US"/>
        </w:rPr>
        <w:t xml:space="preserve"> Our input focuses on question 9 from the call-for-inputs: </w:t>
      </w:r>
      <w:r w:rsidR="000F4800" w:rsidRPr="0059491C">
        <w:rPr>
          <w:rFonts w:ascii="Times New Roman" w:eastAsia="Times" w:hAnsi="Times New Roman" w:cs="Times New Roman"/>
          <w:color w:val="333333"/>
          <w:sz w:val="24"/>
          <w:szCs w:val="24"/>
          <w:lang w:val="en-US"/>
        </w:rPr>
        <w:t>“</w:t>
      </w:r>
      <w:r w:rsidR="008404F9" w:rsidRPr="0059491C">
        <w:rPr>
          <w:rFonts w:ascii="Times New Roman" w:eastAsia="Times" w:hAnsi="Times New Roman" w:cs="Times New Roman"/>
          <w:i/>
          <w:sz w:val="24"/>
          <w:szCs w:val="24"/>
          <w:lang w:val="en-US"/>
        </w:rPr>
        <w:t>How is the right of every person to participate in scientific progress and in decisions concerning its direction understood and implemented? What are the challenges? How are lack of representativeness of marginalized groups and inequalities in participation addressed?</w:t>
      </w:r>
      <w:r w:rsidR="0021313C" w:rsidRPr="0059491C">
        <w:rPr>
          <w:rFonts w:ascii="Times New Roman" w:eastAsia="Times" w:hAnsi="Times New Roman" w:cs="Times New Roman"/>
          <w:color w:val="333333"/>
          <w:sz w:val="24"/>
          <w:szCs w:val="24"/>
          <w:lang w:val="en-US"/>
        </w:rPr>
        <w:t>”</w:t>
      </w:r>
    </w:p>
    <w:p w14:paraId="251C36CC" w14:textId="0ECE5C0B" w:rsidR="008404F9" w:rsidRPr="0059491C" w:rsidRDefault="004152EB" w:rsidP="0021313C">
      <w:pPr>
        <w:spacing w:after="240" w:line="240" w:lineRule="auto"/>
        <w:jc w:val="both"/>
        <w:rPr>
          <w:rFonts w:ascii="Times New Roman" w:eastAsia="Times" w:hAnsi="Times New Roman" w:cs="Times New Roman"/>
          <w:sz w:val="24"/>
          <w:szCs w:val="24"/>
          <w:highlight w:val="white"/>
          <w:u w:val="single"/>
          <w:lang w:val="en-US"/>
        </w:rPr>
      </w:pPr>
      <w:r w:rsidRPr="0059491C">
        <w:rPr>
          <w:rFonts w:ascii="Times New Roman" w:eastAsia="Times" w:hAnsi="Times New Roman" w:cs="Times New Roman"/>
          <w:sz w:val="24"/>
          <w:szCs w:val="24"/>
          <w:highlight w:val="white"/>
          <w:u w:val="single"/>
          <w:lang w:val="en-US"/>
        </w:rPr>
        <w:t>Definitions: u</w:t>
      </w:r>
      <w:r w:rsidR="008404F9" w:rsidRPr="0059491C">
        <w:rPr>
          <w:rFonts w:ascii="Times New Roman" w:eastAsia="Times" w:hAnsi="Times New Roman" w:cs="Times New Roman"/>
          <w:sz w:val="24"/>
          <w:szCs w:val="24"/>
          <w:highlight w:val="white"/>
          <w:u w:val="single"/>
          <w:lang w:val="en-US"/>
        </w:rPr>
        <w:t xml:space="preserve">nderstanding the participation of </w:t>
      </w:r>
      <w:r w:rsidR="008404F9" w:rsidRPr="005D536A">
        <w:rPr>
          <w:rFonts w:ascii="Times New Roman" w:eastAsia="Times" w:hAnsi="Times New Roman" w:cs="Times New Roman"/>
          <w:b/>
          <w:bCs/>
          <w:sz w:val="24"/>
          <w:szCs w:val="24"/>
          <w:highlight w:val="white"/>
          <w:u w:val="single"/>
          <w:lang w:val="en-US"/>
        </w:rPr>
        <w:t>non-scientists</w:t>
      </w:r>
      <w:r w:rsidR="008404F9" w:rsidRPr="0059491C">
        <w:rPr>
          <w:rFonts w:ascii="Times New Roman" w:eastAsia="Times" w:hAnsi="Times New Roman" w:cs="Times New Roman"/>
          <w:sz w:val="24"/>
          <w:szCs w:val="24"/>
          <w:highlight w:val="white"/>
          <w:u w:val="single"/>
          <w:lang w:val="en-US"/>
        </w:rPr>
        <w:t xml:space="preserve"> in scientific progress</w:t>
      </w:r>
    </w:p>
    <w:p w14:paraId="19CE7A3C" w14:textId="605D08C3" w:rsidR="00E93E52" w:rsidRPr="0059491C" w:rsidRDefault="00FD11AA" w:rsidP="004F5940">
      <w:pPr>
        <w:numPr>
          <w:ilvl w:val="0"/>
          <w:numId w:val="2"/>
        </w:numPr>
        <w:spacing w:after="240" w:line="240" w:lineRule="auto"/>
        <w:jc w:val="both"/>
        <w:rPr>
          <w:rFonts w:ascii="Times New Roman" w:eastAsia="Times" w:hAnsi="Times New Roman" w:cs="Times New Roman"/>
          <w:sz w:val="24"/>
          <w:szCs w:val="24"/>
          <w:highlight w:val="white"/>
          <w:lang w:val="en-US"/>
        </w:rPr>
      </w:pPr>
      <w:r w:rsidRPr="0059491C">
        <w:rPr>
          <w:rFonts w:ascii="Times New Roman" w:eastAsia="Times" w:hAnsi="Times New Roman" w:cs="Times New Roman"/>
          <w:sz w:val="24"/>
          <w:szCs w:val="24"/>
          <w:highlight w:val="white"/>
          <w:lang w:val="en-US"/>
        </w:rPr>
        <w:t>Participation is one of the animating values of the right to science and should be broadly understood to include the activities of scientists themselves as well as the meaningful involvement of non-scient</w:t>
      </w:r>
      <w:r w:rsidRPr="0059491C">
        <w:rPr>
          <w:rFonts w:ascii="Times New Roman" w:eastAsia="Times" w:hAnsi="Times New Roman" w:cs="Times New Roman"/>
          <w:sz w:val="24"/>
          <w:szCs w:val="24"/>
          <w:highlight w:val="white"/>
          <w:lang w:val="en-US"/>
        </w:rPr>
        <w:t>ists. G</w:t>
      </w:r>
      <w:r w:rsidR="0021313C" w:rsidRPr="0059491C">
        <w:rPr>
          <w:rFonts w:ascii="Times New Roman" w:eastAsia="Times" w:hAnsi="Times New Roman" w:cs="Times New Roman"/>
          <w:sz w:val="24"/>
          <w:szCs w:val="24"/>
          <w:highlight w:val="white"/>
          <w:lang w:val="en-US"/>
        </w:rPr>
        <w:t xml:space="preserve">eneral </w:t>
      </w:r>
      <w:r w:rsidRPr="0059491C">
        <w:rPr>
          <w:rFonts w:ascii="Times New Roman" w:eastAsia="Times" w:hAnsi="Times New Roman" w:cs="Times New Roman"/>
          <w:sz w:val="24"/>
          <w:szCs w:val="24"/>
          <w:highlight w:val="white"/>
          <w:lang w:val="en-US"/>
        </w:rPr>
        <w:t>C</w:t>
      </w:r>
      <w:r w:rsidR="0021313C" w:rsidRPr="0059491C">
        <w:rPr>
          <w:rFonts w:ascii="Times New Roman" w:eastAsia="Times" w:hAnsi="Times New Roman" w:cs="Times New Roman"/>
          <w:sz w:val="24"/>
          <w:szCs w:val="24"/>
          <w:highlight w:val="white"/>
          <w:lang w:val="en-US"/>
        </w:rPr>
        <w:t>omment</w:t>
      </w:r>
      <w:r w:rsidR="007C3368" w:rsidRPr="0059491C">
        <w:rPr>
          <w:rFonts w:ascii="Times New Roman" w:eastAsia="Times" w:hAnsi="Times New Roman" w:cs="Times New Roman"/>
          <w:sz w:val="24"/>
          <w:szCs w:val="24"/>
          <w:highlight w:val="white"/>
          <w:lang w:val="en-US"/>
        </w:rPr>
        <w:t xml:space="preserve"> </w:t>
      </w:r>
      <w:r w:rsidRPr="0059491C">
        <w:rPr>
          <w:rFonts w:ascii="Times New Roman" w:eastAsia="Times" w:hAnsi="Times New Roman" w:cs="Times New Roman"/>
          <w:sz w:val="24"/>
          <w:szCs w:val="24"/>
          <w:highlight w:val="white"/>
          <w:lang w:val="en-US"/>
        </w:rPr>
        <w:t>25</w:t>
      </w:r>
      <w:r w:rsidR="0021313C" w:rsidRPr="0059491C">
        <w:rPr>
          <w:rFonts w:ascii="Times New Roman" w:eastAsia="Times" w:hAnsi="Times New Roman" w:cs="Times New Roman"/>
          <w:sz w:val="24"/>
          <w:szCs w:val="24"/>
          <w:highlight w:val="white"/>
          <w:lang w:val="en-US"/>
        </w:rPr>
        <w:t xml:space="preserve"> (GC 25) of the Committee on Economic, Social and Cultural Rights </w:t>
      </w:r>
      <w:r w:rsidRPr="0059491C">
        <w:rPr>
          <w:rFonts w:ascii="Times New Roman" w:eastAsia="Times" w:hAnsi="Times New Roman" w:cs="Times New Roman"/>
          <w:sz w:val="24"/>
          <w:szCs w:val="24"/>
          <w:highlight w:val="white"/>
          <w:lang w:val="en-US"/>
        </w:rPr>
        <w:t>endorses this inclusive interpretation of participation, stating: “The right to enjoy the benefits of scientific progress cannot be interpreted as establishing a rigid distinction between the scientist who produces science and the general popula</w:t>
      </w:r>
      <w:r w:rsidRPr="0059491C">
        <w:rPr>
          <w:rFonts w:ascii="Times New Roman" w:eastAsia="Times" w:hAnsi="Times New Roman" w:cs="Times New Roman"/>
          <w:sz w:val="24"/>
          <w:szCs w:val="24"/>
          <w:highlight w:val="white"/>
          <w:lang w:val="en-US"/>
        </w:rPr>
        <w:t>tion, entitled only to enjoy the benefits derived from research conducted by scientists.”</w:t>
      </w:r>
      <w:r w:rsidRPr="0059491C">
        <w:rPr>
          <w:rFonts w:ascii="Times New Roman" w:eastAsia="Times" w:hAnsi="Times New Roman" w:cs="Times New Roman"/>
          <w:sz w:val="24"/>
          <w:szCs w:val="24"/>
          <w:highlight w:val="white"/>
          <w:vertAlign w:val="superscript"/>
          <w:lang w:val="en-US"/>
        </w:rPr>
        <w:footnoteReference w:id="1"/>
      </w:r>
      <w:r w:rsidRPr="0059491C">
        <w:rPr>
          <w:rFonts w:ascii="Times New Roman" w:eastAsia="Times" w:hAnsi="Times New Roman" w:cs="Times New Roman"/>
          <w:sz w:val="24"/>
          <w:szCs w:val="24"/>
          <w:highlight w:val="white"/>
          <w:lang w:val="en-US"/>
        </w:rPr>
        <w:t xml:space="preserve"> </w:t>
      </w:r>
    </w:p>
    <w:p w14:paraId="66094819" w14:textId="3579D8BE" w:rsidR="00E93E52" w:rsidRPr="0059491C" w:rsidRDefault="00FD11AA" w:rsidP="004F5940">
      <w:pPr>
        <w:numPr>
          <w:ilvl w:val="0"/>
          <w:numId w:val="2"/>
        </w:numPr>
        <w:spacing w:after="240" w:line="240" w:lineRule="auto"/>
        <w:jc w:val="both"/>
        <w:rPr>
          <w:rFonts w:ascii="Times New Roman" w:eastAsia="Times" w:hAnsi="Times New Roman" w:cs="Times New Roman"/>
          <w:sz w:val="24"/>
          <w:szCs w:val="24"/>
          <w:highlight w:val="white"/>
          <w:lang w:val="en-US"/>
        </w:rPr>
      </w:pPr>
      <w:r w:rsidRPr="0059491C">
        <w:rPr>
          <w:rFonts w:ascii="Times New Roman" w:eastAsia="Times" w:hAnsi="Times New Roman" w:cs="Times New Roman"/>
          <w:sz w:val="24"/>
          <w:szCs w:val="24"/>
          <w:highlight w:val="white"/>
          <w:lang w:val="en-US"/>
        </w:rPr>
        <w:t xml:space="preserve">GC 25 uses the term “general population” to refer to the category of </w:t>
      </w:r>
      <w:r w:rsidR="007C3368" w:rsidRPr="0059491C">
        <w:rPr>
          <w:rFonts w:ascii="Times New Roman" w:eastAsia="Times" w:hAnsi="Times New Roman" w:cs="Times New Roman"/>
          <w:sz w:val="24"/>
          <w:szCs w:val="24"/>
          <w:highlight w:val="white"/>
          <w:lang w:val="en-US"/>
        </w:rPr>
        <w:t>non-scientists but</w:t>
      </w:r>
      <w:r w:rsidRPr="0059491C">
        <w:rPr>
          <w:rFonts w:ascii="Times New Roman" w:eastAsia="Times" w:hAnsi="Times New Roman" w:cs="Times New Roman"/>
          <w:sz w:val="24"/>
          <w:szCs w:val="24"/>
          <w:highlight w:val="white"/>
          <w:lang w:val="en-US"/>
        </w:rPr>
        <w:t xml:space="preserve"> operationalizing this notion of participation requires rendering this expansive term with greater specificity — moving from “breadth” (everyone) to “depth” (specific c</w:t>
      </w:r>
      <w:r w:rsidRPr="0059491C">
        <w:rPr>
          <w:rFonts w:ascii="Times New Roman" w:eastAsia="Times" w:hAnsi="Times New Roman" w:cs="Times New Roman"/>
          <w:sz w:val="24"/>
          <w:szCs w:val="24"/>
          <w:highlight w:val="white"/>
          <w:lang w:val="en-US"/>
        </w:rPr>
        <w:t>ommunities, constituencies, categories of participants). Recognizing different types of participants</w:t>
      </w:r>
      <w:r w:rsidR="009A10F9" w:rsidRPr="0059491C">
        <w:rPr>
          <w:rFonts w:ascii="Times New Roman" w:eastAsia="Times" w:hAnsi="Times New Roman" w:cs="Times New Roman"/>
          <w:sz w:val="24"/>
          <w:szCs w:val="24"/>
          <w:highlight w:val="white"/>
          <w:lang w:val="en-US"/>
        </w:rPr>
        <w:t xml:space="preserve"> in science</w:t>
      </w:r>
      <w:r w:rsidRPr="0059491C">
        <w:rPr>
          <w:rFonts w:ascii="Times New Roman" w:eastAsia="Times" w:hAnsi="Times New Roman" w:cs="Times New Roman"/>
          <w:sz w:val="24"/>
          <w:szCs w:val="24"/>
          <w:highlight w:val="white"/>
          <w:lang w:val="en-US"/>
        </w:rPr>
        <w:t xml:space="preserve"> will aid states in implementing the right of every person to take part in scientific progress and decisions concerning its direction. Models of participati</w:t>
      </w:r>
      <w:r w:rsidRPr="0059491C">
        <w:rPr>
          <w:rFonts w:ascii="Times New Roman" w:eastAsia="Times" w:hAnsi="Times New Roman" w:cs="Times New Roman"/>
          <w:sz w:val="24"/>
          <w:szCs w:val="24"/>
          <w:highlight w:val="white"/>
          <w:lang w:val="en-US"/>
        </w:rPr>
        <w:t xml:space="preserve">on may look different </w:t>
      </w:r>
      <w:r w:rsidRPr="0059491C">
        <w:rPr>
          <w:rFonts w:ascii="Times New Roman" w:eastAsia="Times" w:hAnsi="Times New Roman" w:cs="Times New Roman"/>
          <w:sz w:val="24"/>
          <w:szCs w:val="24"/>
          <w:highlight w:val="white"/>
          <w:lang w:val="en-US"/>
        </w:rPr>
        <w:lastRenderedPageBreak/>
        <w:t xml:space="preserve">in different scientific fields even if the underlying ethical and moral commitments on which participation in science rests are shared. </w:t>
      </w:r>
    </w:p>
    <w:p w14:paraId="55D6EEA6" w14:textId="77777777" w:rsidR="005D536A" w:rsidRDefault="00FD11AA" w:rsidP="005D536A">
      <w:pPr>
        <w:numPr>
          <w:ilvl w:val="0"/>
          <w:numId w:val="2"/>
        </w:numPr>
        <w:spacing w:after="240" w:line="240" w:lineRule="auto"/>
        <w:jc w:val="both"/>
        <w:rPr>
          <w:rFonts w:ascii="Times New Roman" w:eastAsia="Times" w:hAnsi="Times New Roman" w:cs="Times New Roman"/>
          <w:sz w:val="24"/>
          <w:szCs w:val="24"/>
          <w:highlight w:val="white"/>
          <w:lang w:val="en-US"/>
        </w:rPr>
      </w:pPr>
      <w:r w:rsidRPr="0059491C">
        <w:rPr>
          <w:rFonts w:ascii="Times New Roman" w:eastAsia="Times" w:hAnsi="Times New Roman" w:cs="Times New Roman"/>
          <w:sz w:val="24"/>
          <w:szCs w:val="24"/>
          <w:highlight w:val="white"/>
          <w:lang w:val="en-US"/>
        </w:rPr>
        <w:t xml:space="preserve">In </w:t>
      </w:r>
      <w:r w:rsidR="007C3368" w:rsidRPr="0059491C">
        <w:rPr>
          <w:rFonts w:ascii="Times New Roman" w:eastAsia="Times" w:hAnsi="Times New Roman" w:cs="Times New Roman"/>
          <w:sz w:val="24"/>
          <w:szCs w:val="24"/>
          <w:highlight w:val="white"/>
          <w:lang w:val="en-US"/>
        </w:rPr>
        <w:t>TAG’s</w:t>
      </w:r>
      <w:r w:rsidR="007C3368" w:rsidRPr="0059491C">
        <w:rPr>
          <w:rFonts w:ascii="Times New Roman" w:eastAsia="Times" w:hAnsi="Times New Roman" w:cs="Times New Roman"/>
          <w:sz w:val="24"/>
          <w:szCs w:val="24"/>
          <w:highlight w:val="white"/>
          <w:lang w:val="en-US"/>
        </w:rPr>
        <w:t xml:space="preserve"> </w:t>
      </w:r>
      <w:r w:rsidRPr="0059491C">
        <w:rPr>
          <w:rFonts w:ascii="Times New Roman" w:eastAsia="Times" w:hAnsi="Times New Roman" w:cs="Times New Roman"/>
          <w:sz w:val="24"/>
          <w:szCs w:val="24"/>
          <w:highlight w:val="white"/>
          <w:lang w:val="en-US"/>
        </w:rPr>
        <w:t xml:space="preserve">field – global health research addressing </w:t>
      </w:r>
      <w:r w:rsidR="0021313C" w:rsidRPr="0059491C">
        <w:rPr>
          <w:rFonts w:ascii="Times New Roman" w:eastAsia="Times" w:hAnsi="Times New Roman" w:cs="Times New Roman"/>
          <w:sz w:val="24"/>
          <w:szCs w:val="24"/>
          <w:highlight w:val="white"/>
          <w:lang w:val="en-US"/>
        </w:rPr>
        <w:t>tuberculosis (TB)</w:t>
      </w:r>
      <w:r w:rsidRPr="0059491C">
        <w:rPr>
          <w:rFonts w:ascii="Times New Roman" w:eastAsia="Times" w:hAnsi="Times New Roman" w:cs="Times New Roman"/>
          <w:sz w:val="24"/>
          <w:szCs w:val="24"/>
          <w:highlight w:val="white"/>
          <w:lang w:val="en-US"/>
        </w:rPr>
        <w:t xml:space="preserve">, HIV, and hepatitis C </w:t>
      </w:r>
      <w:r w:rsidR="005D536A">
        <w:rPr>
          <w:rFonts w:ascii="Times New Roman" w:eastAsia="Times" w:hAnsi="Times New Roman" w:cs="Times New Roman"/>
          <w:sz w:val="24"/>
          <w:szCs w:val="24"/>
          <w:highlight w:val="white"/>
          <w:lang w:val="en-US"/>
        </w:rPr>
        <w:t xml:space="preserve">virus </w:t>
      </w:r>
      <w:r w:rsidRPr="0059491C">
        <w:rPr>
          <w:rFonts w:ascii="Times New Roman" w:eastAsia="Times" w:hAnsi="Times New Roman" w:cs="Times New Roman"/>
          <w:sz w:val="24"/>
          <w:szCs w:val="24"/>
          <w:highlight w:val="white"/>
          <w:lang w:val="en-US"/>
        </w:rPr>
        <w:t xml:space="preserve">– the most common term </w:t>
      </w:r>
      <w:r w:rsidRPr="0059491C">
        <w:rPr>
          <w:rFonts w:ascii="Times New Roman" w:eastAsia="Times" w:hAnsi="Times New Roman" w:cs="Times New Roman"/>
          <w:sz w:val="24"/>
          <w:szCs w:val="24"/>
          <w:highlight w:val="white"/>
          <w:lang w:val="en-US"/>
        </w:rPr>
        <w:t xml:space="preserve">used to refer to the participation of non-scientists is “affected communities” e.g., “people affected by TB.” This term includes people with and at risk of TB as well as the broader constellation of relations, caregivers, and community members affected by </w:t>
      </w:r>
      <w:r w:rsidRPr="0059491C">
        <w:rPr>
          <w:rFonts w:ascii="Times New Roman" w:eastAsia="Times" w:hAnsi="Times New Roman" w:cs="Times New Roman"/>
          <w:sz w:val="24"/>
          <w:szCs w:val="24"/>
          <w:highlight w:val="white"/>
          <w:lang w:val="en-US"/>
        </w:rPr>
        <w:t xml:space="preserve">tuberculosis. The rich tradition of community participation in global health research evident today </w:t>
      </w:r>
      <w:proofErr w:type="gramStart"/>
      <w:r w:rsidRPr="0059491C">
        <w:rPr>
          <w:rFonts w:ascii="Times New Roman" w:eastAsia="Times" w:hAnsi="Times New Roman" w:cs="Times New Roman"/>
          <w:sz w:val="24"/>
          <w:szCs w:val="24"/>
          <w:highlight w:val="white"/>
          <w:lang w:val="en-US"/>
        </w:rPr>
        <w:t>dates back to</w:t>
      </w:r>
      <w:proofErr w:type="gramEnd"/>
      <w:r w:rsidRPr="0059491C">
        <w:rPr>
          <w:rFonts w:ascii="Times New Roman" w:eastAsia="Times" w:hAnsi="Times New Roman" w:cs="Times New Roman"/>
          <w:sz w:val="24"/>
          <w:szCs w:val="24"/>
          <w:highlight w:val="white"/>
          <w:lang w:val="en-US"/>
        </w:rPr>
        <w:t xml:space="preserve"> the</w:t>
      </w:r>
      <w:r w:rsidR="007C3368" w:rsidRPr="0059491C">
        <w:rPr>
          <w:rFonts w:ascii="Times New Roman" w:eastAsia="Times" w:hAnsi="Times New Roman" w:cs="Times New Roman"/>
          <w:sz w:val="24"/>
          <w:szCs w:val="24"/>
          <w:highlight w:val="white"/>
          <w:lang w:val="en-US"/>
        </w:rPr>
        <w:t xml:space="preserve"> start of the</w:t>
      </w:r>
      <w:r w:rsidRPr="0059491C">
        <w:rPr>
          <w:rFonts w:ascii="Times New Roman" w:eastAsia="Times" w:hAnsi="Times New Roman" w:cs="Times New Roman"/>
          <w:sz w:val="24"/>
          <w:szCs w:val="24"/>
          <w:highlight w:val="white"/>
          <w:lang w:val="en-US"/>
        </w:rPr>
        <w:t xml:space="preserve"> AIDS movement, when people living with HIV and dying of AIDS fought for equal footing in HIV/AIDS research.</w:t>
      </w:r>
    </w:p>
    <w:p w14:paraId="692B071A" w14:textId="2456EAF8" w:rsidR="00E93E52" w:rsidRPr="0059491C" w:rsidRDefault="00FD11AA" w:rsidP="004F5940">
      <w:pPr>
        <w:numPr>
          <w:ilvl w:val="0"/>
          <w:numId w:val="2"/>
        </w:numPr>
        <w:spacing w:after="240" w:line="240" w:lineRule="auto"/>
        <w:jc w:val="both"/>
        <w:rPr>
          <w:rFonts w:ascii="Times New Roman" w:eastAsia="Times" w:hAnsi="Times New Roman" w:cs="Times New Roman"/>
          <w:sz w:val="24"/>
          <w:szCs w:val="24"/>
          <w:highlight w:val="white"/>
          <w:lang w:val="en-US"/>
        </w:rPr>
      </w:pPr>
      <w:r w:rsidRPr="0059491C">
        <w:rPr>
          <w:rFonts w:ascii="Times New Roman" w:eastAsia="Times" w:hAnsi="Times New Roman" w:cs="Times New Roman"/>
          <w:sz w:val="24"/>
          <w:szCs w:val="24"/>
          <w:highlight w:val="white"/>
          <w:lang w:val="en-US"/>
        </w:rPr>
        <w:t xml:space="preserve">The right of people affected </w:t>
      </w:r>
      <w:r w:rsidRPr="0059491C">
        <w:rPr>
          <w:rFonts w:ascii="Times New Roman" w:eastAsia="Times" w:hAnsi="Times New Roman" w:cs="Times New Roman"/>
          <w:sz w:val="24"/>
          <w:szCs w:val="24"/>
          <w:highlight w:val="white"/>
          <w:lang w:val="en-US"/>
        </w:rPr>
        <w:t>by a disease to participate in all decisions concerning their lives has been a core tenant of global health research since the formulation of the 1983 Denver Principles. Rejecting the passivity of labels such as “victims,” “patients,” or “subjects,” a coal</w:t>
      </w:r>
      <w:r w:rsidRPr="0059491C">
        <w:rPr>
          <w:rFonts w:ascii="Times New Roman" w:eastAsia="Times" w:hAnsi="Times New Roman" w:cs="Times New Roman"/>
          <w:sz w:val="24"/>
          <w:szCs w:val="24"/>
          <w:highlight w:val="white"/>
          <w:lang w:val="en-US"/>
        </w:rPr>
        <w:t>ition calling itself People with AIDS laid out a vision of self-determination, autonomy, and empowerment that reshaped how global health research is organized and conducted. This vision</w:t>
      </w:r>
      <w:r w:rsidR="007C3368" w:rsidRPr="0059491C">
        <w:rPr>
          <w:rFonts w:ascii="Times New Roman" w:eastAsia="Times" w:hAnsi="Times New Roman" w:cs="Times New Roman"/>
          <w:sz w:val="24"/>
          <w:szCs w:val="24"/>
          <w:highlight w:val="white"/>
          <w:lang w:val="en-US"/>
        </w:rPr>
        <w:t xml:space="preserve"> articulated in the Denver Principles</w:t>
      </w:r>
      <w:r w:rsidRPr="0059491C">
        <w:rPr>
          <w:rFonts w:ascii="Times New Roman" w:eastAsia="Times" w:hAnsi="Times New Roman" w:cs="Times New Roman"/>
          <w:sz w:val="24"/>
          <w:szCs w:val="24"/>
          <w:highlight w:val="white"/>
          <w:lang w:val="en-US"/>
        </w:rPr>
        <w:t xml:space="preserve"> included the right of people with AIDS “to be involved at every level </w:t>
      </w:r>
      <w:r w:rsidRPr="0059491C">
        <w:rPr>
          <w:rFonts w:ascii="Times New Roman" w:eastAsia="Times" w:hAnsi="Times New Roman" w:cs="Times New Roman"/>
          <w:sz w:val="24"/>
          <w:szCs w:val="24"/>
          <w:highlight w:val="white"/>
          <w:lang w:val="en-US"/>
        </w:rPr>
        <w:t>of decision-making;” “to be included in all AIDS forums with equal credibility as other participants;” and to receive “full explanations of all medical procedures and risks, to choose or refuse their treatment modalities, to refuse to participate in resear</w:t>
      </w:r>
      <w:r w:rsidRPr="0059491C">
        <w:rPr>
          <w:rFonts w:ascii="Times New Roman" w:eastAsia="Times" w:hAnsi="Times New Roman" w:cs="Times New Roman"/>
          <w:sz w:val="24"/>
          <w:szCs w:val="24"/>
          <w:highlight w:val="white"/>
          <w:lang w:val="en-US"/>
        </w:rPr>
        <w:t>ch without jeopardizing their treatment, and to make informed decisions about their lives.”</w:t>
      </w:r>
      <w:r w:rsidRPr="0059491C">
        <w:rPr>
          <w:rFonts w:ascii="Times New Roman" w:eastAsia="Times" w:hAnsi="Times New Roman" w:cs="Times New Roman"/>
          <w:sz w:val="24"/>
          <w:szCs w:val="24"/>
          <w:highlight w:val="white"/>
          <w:vertAlign w:val="superscript"/>
          <w:lang w:val="en-US"/>
        </w:rPr>
        <w:footnoteReference w:id="2"/>
      </w:r>
      <w:r w:rsidRPr="0059491C">
        <w:rPr>
          <w:rFonts w:ascii="Times New Roman" w:eastAsia="Times" w:hAnsi="Times New Roman" w:cs="Times New Roman"/>
          <w:sz w:val="24"/>
          <w:szCs w:val="24"/>
          <w:highlight w:val="white"/>
          <w:lang w:val="en-US"/>
        </w:rPr>
        <w:t xml:space="preserve">  </w:t>
      </w:r>
    </w:p>
    <w:p w14:paraId="50639397" w14:textId="77777777" w:rsidR="005D536A" w:rsidRDefault="00FD11AA" w:rsidP="005D536A">
      <w:pPr>
        <w:numPr>
          <w:ilvl w:val="0"/>
          <w:numId w:val="2"/>
        </w:numPr>
        <w:spacing w:after="240" w:line="240" w:lineRule="auto"/>
        <w:jc w:val="both"/>
        <w:rPr>
          <w:rFonts w:ascii="Times New Roman" w:eastAsia="Times" w:hAnsi="Times New Roman" w:cs="Times New Roman"/>
          <w:sz w:val="24"/>
          <w:szCs w:val="24"/>
          <w:highlight w:val="white"/>
          <w:lang w:val="en-US"/>
        </w:rPr>
      </w:pPr>
      <w:r w:rsidRPr="0059491C">
        <w:rPr>
          <w:rFonts w:ascii="Times New Roman" w:eastAsia="Times" w:hAnsi="Times New Roman" w:cs="Times New Roman"/>
          <w:sz w:val="24"/>
          <w:szCs w:val="24"/>
          <w:highlight w:val="white"/>
          <w:lang w:val="en-US"/>
        </w:rPr>
        <w:t>Activists groups like ACT UP and TAG brought the Denver Principles to life by agitating for people living with HIV to have an equal voice at each stage of the r</w:t>
      </w:r>
      <w:r w:rsidRPr="0059491C">
        <w:rPr>
          <w:rFonts w:ascii="Times New Roman" w:eastAsia="Times" w:hAnsi="Times New Roman" w:cs="Times New Roman"/>
          <w:sz w:val="24"/>
          <w:szCs w:val="24"/>
          <w:highlight w:val="white"/>
          <w:lang w:val="en-US"/>
        </w:rPr>
        <w:t>esearch process — from setting the overall scientific agenda, to shaping the questions studied in key trials, to overseeing how people living with HIV were treated in research, to informing the translation of research results into policy, to finally ensuri</w:t>
      </w:r>
      <w:r w:rsidRPr="0059491C">
        <w:rPr>
          <w:rFonts w:ascii="Times New Roman" w:eastAsia="Times" w:hAnsi="Times New Roman" w:cs="Times New Roman"/>
          <w:sz w:val="24"/>
          <w:szCs w:val="24"/>
          <w:highlight w:val="white"/>
          <w:lang w:val="en-US"/>
        </w:rPr>
        <w:t xml:space="preserve">ng that people in need could benefit from new diagnostic, therapeutic, and prevention tools. </w:t>
      </w:r>
      <w:r w:rsidR="005D536A" w:rsidRPr="005D536A">
        <w:rPr>
          <w:rFonts w:ascii="Times New Roman" w:eastAsia="Times" w:hAnsi="Times New Roman" w:cs="Times New Roman"/>
          <w:sz w:val="24"/>
          <w:szCs w:val="24"/>
          <w:highlight w:val="white"/>
          <w:lang w:val="en-US"/>
        </w:rPr>
        <w:t xml:space="preserve">In the words of Mark Harrington, ACT UP member and founder of TAG: </w:t>
      </w:r>
    </w:p>
    <w:p w14:paraId="56FBF893" w14:textId="448A4C83" w:rsidR="005D536A" w:rsidRPr="0059491C" w:rsidRDefault="005D536A" w:rsidP="005D536A">
      <w:pPr>
        <w:spacing w:after="240" w:line="240" w:lineRule="auto"/>
        <w:ind w:left="720"/>
        <w:jc w:val="both"/>
        <w:rPr>
          <w:rFonts w:ascii="Times New Roman" w:eastAsia="Times" w:hAnsi="Times New Roman" w:cs="Times New Roman"/>
          <w:sz w:val="24"/>
          <w:szCs w:val="24"/>
          <w:highlight w:val="white"/>
          <w:lang w:val="en-US"/>
        </w:rPr>
      </w:pPr>
      <w:r w:rsidRPr="005D536A">
        <w:rPr>
          <w:rFonts w:ascii="Times New Roman" w:eastAsia="Times" w:hAnsi="Times New Roman" w:cs="Times New Roman"/>
          <w:sz w:val="24"/>
          <w:szCs w:val="24"/>
          <w:highlight w:val="white"/>
          <w:lang w:val="en-US"/>
        </w:rPr>
        <w:t>“</w:t>
      </w:r>
      <w:r w:rsidRPr="005D536A">
        <w:rPr>
          <w:rFonts w:ascii="Times New Roman" w:eastAsia="Times" w:hAnsi="Times New Roman" w:cs="Times New Roman"/>
          <w:i/>
          <w:iCs/>
          <w:sz w:val="24"/>
          <w:szCs w:val="24"/>
          <w:highlight w:val="white"/>
          <w:lang w:val="en-US"/>
        </w:rPr>
        <w:t>AIDS treatment activism in the United States during the 1980s and the 1990s helped to create a new paradigm for responses to epidemics by affected communities [and] [. . .] led to several very important changes in the way that research was done, including expanded access to experimental drugs; the involvement of activists and HIV-infected persons in every protocol committee, research committee, peer review committee, and data safety monitoring board; and the formation of local, national, and drug company community advisory boards</w:t>
      </w:r>
      <w:r w:rsidRPr="005D536A">
        <w:rPr>
          <w:rFonts w:ascii="Times New Roman" w:eastAsia="Times" w:hAnsi="Times New Roman" w:cs="Times New Roman"/>
          <w:sz w:val="24"/>
          <w:szCs w:val="24"/>
          <w:highlight w:val="white"/>
          <w:lang w:val="en-US"/>
        </w:rPr>
        <w:t>.”</w:t>
      </w:r>
      <w:r w:rsidRPr="005D536A">
        <w:rPr>
          <w:rStyle w:val="FootnoteReference"/>
          <w:rFonts w:ascii="Times New Roman" w:eastAsia="Times" w:hAnsi="Times New Roman" w:cs="Times New Roman"/>
          <w:sz w:val="24"/>
          <w:szCs w:val="24"/>
          <w:highlight w:val="white"/>
          <w:lang w:val="en-US"/>
        </w:rPr>
        <w:t xml:space="preserve"> </w:t>
      </w:r>
      <w:r>
        <w:rPr>
          <w:rStyle w:val="FootnoteReference"/>
          <w:rFonts w:ascii="Times New Roman" w:eastAsia="Times" w:hAnsi="Times New Roman" w:cs="Times New Roman"/>
          <w:sz w:val="24"/>
          <w:szCs w:val="24"/>
          <w:highlight w:val="white"/>
          <w:lang w:val="en-US"/>
        </w:rPr>
        <w:footnoteReference w:id="3"/>
      </w:r>
    </w:p>
    <w:p w14:paraId="7428CC39" w14:textId="796850C8" w:rsidR="00E93E52" w:rsidRPr="0059491C" w:rsidRDefault="00FD11AA" w:rsidP="004F5940">
      <w:pPr>
        <w:numPr>
          <w:ilvl w:val="0"/>
          <w:numId w:val="2"/>
        </w:numPr>
        <w:spacing w:after="240" w:line="240" w:lineRule="auto"/>
        <w:jc w:val="both"/>
        <w:rPr>
          <w:rFonts w:ascii="Times New Roman" w:eastAsia="Times" w:hAnsi="Times New Roman" w:cs="Times New Roman"/>
          <w:sz w:val="24"/>
          <w:szCs w:val="24"/>
          <w:highlight w:val="white"/>
          <w:lang w:val="en-US"/>
        </w:rPr>
      </w:pPr>
      <w:r w:rsidRPr="0059491C">
        <w:rPr>
          <w:rFonts w:ascii="Times New Roman" w:eastAsia="Times" w:hAnsi="Times New Roman" w:cs="Times New Roman"/>
          <w:sz w:val="24"/>
          <w:szCs w:val="24"/>
          <w:highlight w:val="white"/>
          <w:lang w:val="en-US"/>
        </w:rPr>
        <w:t xml:space="preserve">Today, this history has evolved into a widely recognized norm that communities affected by a particular disease or condition have a right to </w:t>
      </w:r>
      <w:r w:rsidRPr="0059491C">
        <w:rPr>
          <w:rFonts w:ascii="Times New Roman" w:eastAsia="Times" w:hAnsi="Times New Roman" w:cs="Times New Roman"/>
          <w:sz w:val="24"/>
          <w:szCs w:val="24"/>
          <w:highlight w:val="white"/>
          <w:lang w:val="en-US"/>
        </w:rPr>
        <w:t xml:space="preserve">participate in research as more than just clinical trial participants or passive beneficiaries of medical advancement. This norm is sometimes expressed as the “Great Involvement of People with AIDS” (GIPA) or referred </w:t>
      </w:r>
      <w:r w:rsidRPr="0059491C">
        <w:rPr>
          <w:rFonts w:ascii="Times New Roman" w:eastAsia="Times" w:hAnsi="Times New Roman" w:cs="Times New Roman"/>
          <w:sz w:val="24"/>
          <w:szCs w:val="24"/>
          <w:highlight w:val="white"/>
          <w:lang w:val="en-US"/>
        </w:rPr>
        <w:lastRenderedPageBreak/>
        <w:t>to by its ultimate goal: “Nothing abou</w:t>
      </w:r>
      <w:r w:rsidRPr="0059491C">
        <w:rPr>
          <w:rFonts w:ascii="Times New Roman" w:eastAsia="Times" w:hAnsi="Times New Roman" w:cs="Times New Roman"/>
          <w:sz w:val="24"/>
          <w:szCs w:val="24"/>
          <w:highlight w:val="white"/>
          <w:lang w:val="en-US"/>
        </w:rPr>
        <w:t>t us, without us!”</w:t>
      </w:r>
      <w:r w:rsidRPr="00B23A52">
        <w:rPr>
          <w:rFonts w:ascii="Times New Roman" w:eastAsia="Times" w:hAnsi="Times New Roman" w:cs="Times New Roman"/>
          <w:sz w:val="24"/>
          <w:szCs w:val="24"/>
          <w:highlight w:val="white"/>
          <w:vertAlign w:val="superscript"/>
          <w:lang w:val="en-US"/>
        </w:rPr>
        <w:footnoteReference w:id="4"/>
      </w:r>
      <w:r w:rsidRPr="00B23A52">
        <w:rPr>
          <w:rFonts w:ascii="Times New Roman" w:eastAsia="Times" w:hAnsi="Times New Roman" w:cs="Times New Roman"/>
          <w:sz w:val="24"/>
          <w:szCs w:val="24"/>
          <w:highlight w:val="white"/>
          <w:lang w:val="en-US"/>
        </w:rPr>
        <w:t xml:space="preserve"> Best practices for operationalizing this norm exist in the form of guidelines, such as the Good Participatory Practice (GPP) guidelines for TB and HIV research, which </w:t>
      </w:r>
      <w:r w:rsidRPr="0059491C">
        <w:rPr>
          <w:rFonts w:ascii="Times New Roman" w:eastAsia="Times" w:hAnsi="Times New Roman" w:cs="Times New Roman"/>
          <w:sz w:val="24"/>
          <w:szCs w:val="24"/>
          <w:highlight w:val="white"/>
          <w:lang w:val="en-US"/>
        </w:rPr>
        <w:t>scientists can use to create space for meaningful community particip</w:t>
      </w:r>
      <w:r w:rsidRPr="0059491C">
        <w:rPr>
          <w:rFonts w:ascii="Times New Roman" w:eastAsia="Times" w:hAnsi="Times New Roman" w:cs="Times New Roman"/>
          <w:sz w:val="24"/>
          <w:szCs w:val="24"/>
          <w:highlight w:val="white"/>
          <w:lang w:val="en-US"/>
        </w:rPr>
        <w:t>ation.</w:t>
      </w:r>
      <w:r w:rsidRPr="0059491C">
        <w:rPr>
          <w:rFonts w:ascii="Times New Roman" w:eastAsia="Times" w:hAnsi="Times New Roman" w:cs="Times New Roman"/>
          <w:sz w:val="24"/>
          <w:szCs w:val="24"/>
          <w:highlight w:val="white"/>
          <w:vertAlign w:val="superscript"/>
          <w:lang w:val="en-US"/>
        </w:rPr>
        <w:footnoteReference w:id="5"/>
      </w:r>
      <w:r w:rsidRPr="0059491C">
        <w:rPr>
          <w:rFonts w:ascii="Times New Roman" w:eastAsia="Times" w:hAnsi="Times New Roman" w:cs="Times New Roman"/>
          <w:sz w:val="24"/>
          <w:szCs w:val="24"/>
          <w:highlight w:val="white"/>
          <w:lang w:val="en-US"/>
        </w:rPr>
        <w:t xml:space="preserve"> </w:t>
      </w:r>
      <w:r w:rsidR="004152EB" w:rsidRPr="0059491C">
        <w:rPr>
          <w:rFonts w:ascii="Times New Roman" w:eastAsia="Times" w:hAnsi="Times New Roman" w:cs="Times New Roman"/>
          <w:sz w:val="24"/>
          <w:szCs w:val="24"/>
          <w:highlight w:val="white"/>
          <w:lang w:val="en-US"/>
        </w:rPr>
        <w:t xml:space="preserve">In turn, affected communities have invoked these standards to advocate for a voice in the research process and scientific agenda setting. </w:t>
      </w:r>
    </w:p>
    <w:p w14:paraId="0720AC64" w14:textId="44C682D4" w:rsidR="008404F9" w:rsidRPr="0059491C" w:rsidRDefault="004152EB" w:rsidP="0059491C">
      <w:pPr>
        <w:spacing w:after="240" w:line="240" w:lineRule="auto"/>
        <w:jc w:val="both"/>
        <w:rPr>
          <w:rFonts w:ascii="Times New Roman" w:eastAsia="Times" w:hAnsi="Times New Roman" w:cs="Times New Roman"/>
          <w:sz w:val="24"/>
          <w:szCs w:val="24"/>
          <w:highlight w:val="white"/>
          <w:u w:val="single"/>
          <w:lang w:val="en-US"/>
        </w:rPr>
      </w:pPr>
      <w:r w:rsidRPr="0059491C">
        <w:rPr>
          <w:rFonts w:ascii="Times New Roman" w:eastAsia="Times" w:hAnsi="Times New Roman" w:cs="Times New Roman"/>
          <w:sz w:val="24"/>
          <w:szCs w:val="24"/>
          <w:highlight w:val="white"/>
          <w:u w:val="single"/>
          <w:lang w:val="en-US"/>
        </w:rPr>
        <w:t>Actions: s</w:t>
      </w:r>
      <w:r w:rsidR="008404F9" w:rsidRPr="0059491C">
        <w:rPr>
          <w:rFonts w:ascii="Times New Roman" w:eastAsia="Times" w:hAnsi="Times New Roman" w:cs="Times New Roman"/>
          <w:sz w:val="24"/>
          <w:szCs w:val="24"/>
          <w:highlight w:val="white"/>
          <w:u w:val="single"/>
          <w:lang w:val="en-US"/>
        </w:rPr>
        <w:t>pecific models of non-scientist participation</w:t>
      </w:r>
    </w:p>
    <w:p w14:paraId="29C739F7" w14:textId="0177207E" w:rsidR="00E93E52" w:rsidRPr="0059491C" w:rsidRDefault="00FD11AA" w:rsidP="004F5940">
      <w:pPr>
        <w:numPr>
          <w:ilvl w:val="0"/>
          <w:numId w:val="2"/>
        </w:numPr>
        <w:spacing w:after="240" w:line="240" w:lineRule="auto"/>
        <w:jc w:val="both"/>
        <w:rPr>
          <w:rFonts w:ascii="Times New Roman" w:eastAsia="Times" w:hAnsi="Times New Roman" w:cs="Times New Roman"/>
          <w:sz w:val="24"/>
          <w:szCs w:val="24"/>
          <w:highlight w:val="white"/>
          <w:lang w:val="en-US"/>
        </w:rPr>
      </w:pPr>
      <w:r w:rsidRPr="0059491C">
        <w:rPr>
          <w:rFonts w:ascii="Times New Roman" w:eastAsia="Times" w:hAnsi="Times New Roman" w:cs="Times New Roman"/>
          <w:sz w:val="24"/>
          <w:szCs w:val="24"/>
          <w:highlight w:val="white"/>
          <w:lang w:val="en-US"/>
        </w:rPr>
        <w:t xml:space="preserve">One specific model by which affected communities participate in medical research is through </w:t>
      </w:r>
      <w:r w:rsidRPr="0059491C">
        <w:rPr>
          <w:rFonts w:ascii="Times New Roman" w:eastAsia="Times" w:hAnsi="Times New Roman" w:cs="Times New Roman"/>
          <w:b/>
          <w:bCs/>
          <w:sz w:val="24"/>
          <w:szCs w:val="24"/>
          <w:highlight w:val="white"/>
          <w:lang w:val="en-US"/>
        </w:rPr>
        <w:t>Community Advisory Boards</w:t>
      </w:r>
      <w:r w:rsidRPr="0059491C">
        <w:rPr>
          <w:rFonts w:ascii="Times New Roman" w:eastAsia="Times" w:hAnsi="Times New Roman" w:cs="Times New Roman"/>
          <w:sz w:val="24"/>
          <w:szCs w:val="24"/>
          <w:highlight w:val="white"/>
          <w:lang w:val="en-US"/>
        </w:rPr>
        <w:t xml:space="preserve"> (</w:t>
      </w:r>
      <w:r w:rsidRPr="0059491C">
        <w:rPr>
          <w:rFonts w:ascii="Times New Roman" w:eastAsia="Times" w:hAnsi="Times New Roman" w:cs="Times New Roman"/>
          <w:b/>
          <w:bCs/>
          <w:sz w:val="24"/>
          <w:szCs w:val="24"/>
          <w:highlight w:val="white"/>
          <w:lang w:val="en-US"/>
        </w:rPr>
        <w:t>CABs</w:t>
      </w:r>
      <w:r w:rsidRPr="0059491C">
        <w:rPr>
          <w:rFonts w:ascii="Times New Roman" w:eastAsia="Times" w:hAnsi="Times New Roman" w:cs="Times New Roman"/>
          <w:sz w:val="24"/>
          <w:szCs w:val="24"/>
          <w:highlight w:val="white"/>
          <w:lang w:val="en-US"/>
        </w:rPr>
        <w:t>). Composed of people living with and affected by TB, HIV, or other diseases, CABs act in an advisory capacity to scientist</w:t>
      </w:r>
      <w:r w:rsidRPr="0059491C">
        <w:rPr>
          <w:rFonts w:ascii="Times New Roman" w:eastAsia="Times" w:hAnsi="Times New Roman" w:cs="Times New Roman"/>
          <w:sz w:val="24"/>
          <w:szCs w:val="24"/>
          <w:highlight w:val="white"/>
          <w:lang w:val="en-US"/>
        </w:rPr>
        <w:t xml:space="preserve">s, funders, and pharmaceutical companies conducting clinical trials or public health </w:t>
      </w:r>
      <w:r w:rsidRPr="0059491C">
        <w:rPr>
          <w:rFonts w:ascii="Times New Roman" w:eastAsia="Times" w:hAnsi="Times New Roman" w:cs="Times New Roman"/>
          <w:sz w:val="24"/>
          <w:szCs w:val="24"/>
          <w:highlight w:val="white"/>
          <w:lang w:val="en-US"/>
        </w:rPr>
        <w:t>studies. They raise community perspectives on research design and practices and create a bridge between scientists and the communities in which science unfo</w:t>
      </w:r>
      <w:r w:rsidRPr="0059491C">
        <w:rPr>
          <w:rFonts w:ascii="Times New Roman" w:eastAsia="Times" w:hAnsi="Times New Roman" w:cs="Times New Roman"/>
          <w:sz w:val="24"/>
          <w:szCs w:val="24"/>
          <w:highlight w:val="white"/>
          <w:lang w:val="en-US"/>
        </w:rPr>
        <w:t>lds.</w:t>
      </w:r>
      <w:r w:rsidRPr="0059491C">
        <w:rPr>
          <w:rFonts w:ascii="Times New Roman" w:eastAsia="Times" w:hAnsi="Times New Roman" w:cs="Times New Roman"/>
          <w:sz w:val="24"/>
          <w:szCs w:val="24"/>
          <w:highlight w:val="white"/>
          <w:vertAlign w:val="superscript"/>
          <w:lang w:val="en-US"/>
        </w:rPr>
        <w:footnoteReference w:id="6"/>
      </w:r>
      <w:r w:rsidRPr="0059491C">
        <w:rPr>
          <w:rFonts w:ascii="Times New Roman" w:eastAsia="Times" w:hAnsi="Times New Roman" w:cs="Times New Roman"/>
          <w:sz w:val="24"/>
          <w:szCs w:val="24"/>
          <w:highlight w:val="white"/>
          <w:lang w:val="en-US"/>
        </w:rPr>
        <w:t xml:space="preserve"> </w:t>
      </w:r>
    </w:p>
    <w:p w14:paraId="4C7A9D9E" w14:textId="78FCAF93" w:rsidR="00E93E52" w:rsidRPr="0059491C" w:rsidRDefault="004152EB" w:rsidP="004F5940">
      <w:pPr>
        <w:numPr>
          <w:ilvl w:val="0"/>
          <w:numId w:val="2"/>
        </w:numPr>
        <w:spacing w:after="240" w:line="240" w:lineRule="auto"/>
        <w:jc w:val="both"/>
        <w:rPr>
          <w:rFonts w:ascii="Times New Roman" w:eastAsia="Times" w:hAnsi="Times New Roman" w:cs="Times New Roman"/>
          <w:sz w:val="24"/>
          <w:szCs w:val="24"/>
          <w:highlight w:val="white"/>
          <w:lang w:val="en-US"/>
        </w:rPr>
      </w:pPr>
      <w:r w:rsidRPr="0059491C">
        <w:rPr>
          <w:rFonts w:ascii="Times New Roman" w:eastAsia="Times" w:hAnsi="Times New Roman" w:cs="Times New Roman"/>
          <w:sz w:val="24"/>
          <w:szCs w:val="24"/>
          <w:highlight w:val="white"/>
          <w:lang w:val="en-US"/>
        </w:rPr>
        <w:t>CABs do more than facilitate the exchange of information between scientists and communities; they actively intervene on the research itself</w:t>
      </w:r>
      <w:r w:rsidR="0059491C">
        <w:rPr>
          <w:rFonts w:ascii="Times New Roman" w:eastAsia="Times" w:hAnsi="Times New Roman" w:cs="Times New Roman"/>
          <w:sz w:val="24"/>
          <w:szCs w:val="24"/>
          <w:highlight w:val="white"/>
          <w:lang w:val="en-US"/>
        </w:rPr>
        <w:t xml:space="preserve"> </w:t>
      </w:r>
      <w:r w:rsidRPr="0059491C">
        <w:rPr>
          <w:rFonts w:ascii="Times New Roman" w:eastAsia="Times" w:hAnsi="Times New Roman" w:cs="Times New Roman"/>
          <w:sz w:val="24"/>
          <w:szCs w:val="24"/>
          <w:highlight w:val="white"/>
          <w:lang w:val="en-US"/>
        </w:rPr>
        <w:t xml:space="preserve">– on </w:t>
      </w:r>
      <w:proofErr w:type="gramStart"/>
      <w:r w:rsidRPr="0059491C">
        <w:rPr>
          <w:rFonts w:ascii="Times New Roman" w:eastAsia="Times" w:hAnsi="Times New Roman" w:cs="Times New Roman"/>
          <w:sz w:val="24"/>
          <w:szCs w:val="24"/>
          <w:highlight w:val="white"/>
          <w:lang w:val="en-US"/>
        </w:rPr>
        <w:t>a number of</w:t>
      </w:r>
      <w:proofErr w:type="gramEnd"/>
      <w:r w:rsidRPr="0059491C">
        <w:rPr>
          <w:rFonts w:ascii="Times New Roman" w:eastAsia="Times" w:hAnsi="Times New Roman" w:cs="Times New Roman"/>
          <w:sz w:val="24"/>
          <w:szCs w:val="24"/>
          <w:highlight w:val="white"/>
          <w:lang w:val="en-US"/>
        </w:rPr>
        <w:t xml:space="preserve"> levels. </w:t>
      </w:r>
      <w:r w:rsidR="00FD11AA" w:rsidRPr="0059491C">
        <w:rPr>
          <w:rFonts w:ascii="Times New Roman" w:eastAsia="Times" w:hAnsi="Times New Roman" w:cs="Times New Roman"/>
          <w:sz w:val="24"/>
          <w:szCs w:val="24"/>
          <w:highlight w:val="white"/>
          <w:lang w:val="en-US"/>
        </w:rPr>
        <w:t xml:space="preserve">In the field of TB research, CABs have proposed studies, objected to the exclusion of </w:t>
      </w:r>
      <w:r w:rsidRPr="0059491C">
        <w:rPr>
          <w:rFonts w:ascii="Times New Roman" w:eastAsia="Times" w:hAnsi="Times New Roman" w:cs="Times New Roman"/>
          <w:sz w:val="24"/>
          <w:szCs w:val="24"/>
          <w:highlight w:val="white"/>
          <w:lang w:val="en-US"/>
        </w:rPr>
        <w:t xml:space="preserve">certain </w:t>
      </w:r>
      <w:r w:rsidR="00FD11AA" w:rsidRPr="0059491C">
        <w:rPr>
          <w:rFonts w:ascii="Times New Roman" w:eastAsia="Times" w:hAnsi="Times New Roman" w:cs="Times New Roman"/>
          <w:sz w:val="24"/>
          <w:szCs w:val="24"/>
          <w:highlight w:val="white"/>
          <w:lang w:val="en-US"/>
        </w:rPr>
        <w:t xml:space="preserve">populations from studies, questioned the utility of </w:t>
      </w:r>
      <w:r w:rsidRPr="0059491C">
        <w:rPr>
          <w:rFonts w:ascii="Times New Roman" w:eastAsia="Times" w:hAnsi="Times New Roman" w:cs="Times New Roman"/>
          <w:sz w:val="24"/>
          <w:szCs w:val="24"/>
          <w:highlight w:val="white"/>
          <w:lang w:val="en-US"/>
        </w:rPr>
        <w:t>specific</w:t>
      </w:r>
      <w:r w:rsidRPr="0059491C">
        <w:rPr>
          <w:rFonts w:ascii="Times New Roman" w:eastAsia="Times" w:hAnsi="Times New Roman" w:cs="Times New Roman"/>
          <w:sz w:val="24"/>
          <w:szCs w:val="24"/>
          <w:highlight w:val="white"/>
          <w:lang w:val="en-US"/>
        </w:rPr>
        <w:t xml:space="preserve"> </w:t>
      </w:r>
      <w:r w:rsidR="00FD11AA" w:rsidRPr="0059491C">
        <w:rPr>
          <w:rFonts w:ascii="Times New Roman" w:eastAsia="Times" w:hAnsi="Times New Roman" w:cs="Times New Roman"/>
          <w:sz w:val="24"/>
          <w:szCs w:val="24"/>
          <w:highlight w:val="white"/>
          <w:lang w:val="en-US"/>
        </w:rPr>
        <w:t xml:space="preserve">study procedures, and offered views on whether the overall TB research agenda is moving in </w:t>
      </w:r>
      <w:r w:rsidR="00FD11AA" w:rsidRPr="0059491C">
        <w:rPr>
          <w:rFonts w:ascii="Times New Roman" w:eastAsia="Times" w:hAnsi="Times New Roman" w:cs="Times New Roman"/>
          <w:sz w:val="24"/>
          <w:szCs w:val="24"/>
          <w:highlight w:val="white"/>
          <w:lang w:val="en-US"/>
        </w:rPr>
        <w:t xml:space="preserve">a direction that will meet the needs of people with TB. CABs have also helped to improve the visibility and legibility of research within communities. To quote one CAB coordinator from a TB clinical site in Kenya: </w:t>
      </w:r>
    </w:p>
    <w:p w14:paraId="1714F709" w14:textId="310C4C8A" w:rsidR="00E93E52" w:rsidRPr="0059491C" w:rsidRDefault="00FD11AA" w:rsidP="004F5940">
      <w:pPr>
        <w:spacing w:after="240" w:line="240" w:lineRule="auto"/>
        <w:ind w:left="720"/>
        <w:jc w:val="both"/>
        <w:rPr>
          <w:rFonts w:ascii="Times New Roman" w:eastAsia="Times" w:hAnsi="Times New Roman" w:cs="Times New Roman"/>
          <w:i/>
          <w:sz w:val="24"/>
          <w:szCs w:val="24"/>
          <w:highlight w:val="white"/>
          <w:lang w:val="en-US"/>
        </w:rPr>
      </w:pPr>
      <w:r w:rsidRPr="0059491C">
        <w:rPr>
          <w:rFonts w:ascii="Times New Roman" w:eastAsia="Times" w:hAnsi="Times New Roman" w:cs="Times New Roman"/>
          <w:i/>
          <w:sz w:val="24"/>
          <w:szCs w:val="24"/>
          <w:highlight w:val="white"/>
          <w:lang w:val="en-US"/>
        </w:rPr>
        <w:t>“The role of CABs has been very significa</w:t>
      </w:r>
      <w:r w:rsidRPr="0059491C">
        <w:rPr>
          <w:rFonts w:ascii="Times New Roman" w:eastAsia="Times" w:hAnsi="Times New Roman" w:cs="Times New Roman"/>
          <w:i/>
          <w:sz w:val="24"/>
          <w:szCs w:val="24"/>
          <w:highlight w:val="white"/>
          <w:lang w:val="en-US"/>
        </w:rPr>
        <w:t>nt in gaining community buy-in for research. When I started coordinating CABs in Kenya, there was a lot of resistance to research. Community members thought that they were being used as guinea pigs. As much as researchers tried, the community resisted—unti</w:t>
      </w:r>
      <w:r w:rsidRPr="0059491C">
        <w:rPr>
          <w:rFonts w:ascii="Times New Roman" w:eastAsia="Times" w:hAnsi="Times New Roman" w:cs="Times New Roman"/>
          <w:i/>
          <w:sz w:val="24"/>
          <w:szCs w:val="24"/>
          <w:highlight w:val="white"/>
          <w:lang w:val="en-US"/>
        </w:rPr>
        <w:t>l the CAB was formed.</w:t>
      </w:r>
    </w:p>
    <w:p w14:paraId="697209D2" w14:textId="1D2D36F8" w:rsidR="00E93E52" w:rsidRPr="00843E5F" w:rsidRDefault="00FD11AA" w:rsidP="00843E5F">
      <w:pPr>
        <w:spacing w:after="240" w:line="240" w:lineRule="auto"/>
        <w:ind w:left="720"/>
        <w:jc w:val="both"/>
        <w:rPr>
          <w:rFonts w:ascii="Times New Roman" w:eastAsia="Times" w:hAnsi="Times New Roman" w:cs="Times New Roman"/>
          <w:sz w:val="24"/>
          <w:szCs w:val="24"/>
          <w:highlight w:val="white"/>
          <w:lang w:val="en-US"/>
        </w:rPr>
      </w:pPr>
      <w:r w:rsidRPr="0059491C">
        <w:rPr>
          <w:rFonts w:ascii="Times New Roman" w:eastAsia="Times" w:hAnsi="Times New Roman" w:cs="Times New Roman"/>
          <w:i/>
          <w:sz w:val="24"/>
          <w:szCs w:val="24"/>
          <w:highlight w:val="white"/>
          <w:lang w:val="en-US"/>
        </w:rPr>
        <w:t xml:space="preserve">Through CABs involving different stakeholders, we have been able to gain trust. Communities look at research and they see that this is our own thing; it is something that is going to benefit all of us. Everybody </w:t>
      </w:r>
      <w:proofErr w:type="gramStart"/>
      <w:r w:rsidRPr="0059491C">
        <w:rPr>
          <w:rFonts w:ascii="Times New Roman" w:eastAsia="Times" w:hAnsi="Times New Roman" w:cs="Times New Roman"/>
          <w:i/>
          <w:sz w:val="24"/>
          <w:szCs w:val="24"/>
          <w:highlight w:val="white"/>
          <w:lang w:val="en-US"/>
        </w:rPr>
        <w:t>is able to</w:t>
      </w:r>
      <w:proofErr w:type="gramEnd"/>
      <w:r w:rsidRPr="0059491C">
        <w:rPr>
          <w:rFonts w:ascii="Times New Roman" w:eastAsia="Times" w:hAnsi="Times New Roman" w:cs="Times New Roman"/>
          <w:i/>
          <w:sz w:val="24"/>
          <w:szCs w:val="24"/>
          <w:highlight w:val="white"/>
          <w:lang w:val="en-US"/>
        </w:rPr>
        <w:t xml:space="preserve"> give their </w:t>
      </w:r>
      <w:r w:rsidRPr="0059491C">
        <w:rPr>
          <w:rFonts w:ascii="Times New Roman" w:eastAsia="Times" w:hAnsi="Times New Roman" w:cs="Times New Roman"/>
          <w:i/>
          <w:sz w:val="24"/>
          <w:szCs w:val="24"/>
          <w:highlight w:val="white"/>
          <w:lang w:val="en-US"/>
        </w:rPr>
        <w:t>views, which get absorbed into the research system. By doing this, every stakeholder sees how research is going to benefit us.”</w:t>
      </w:r>
      <w:r w:rsidRPr="00843E5F">
        <w:rPr>
          <w:rFonts w:ascii="Times New Roman" w:eastAsia="Times" w:hAnsi="Times New Roman" w:cs="Times New Roman"/>
          <w:i/>
          <w:sz w:val="24"/>
          <w:szCs w:val="24"/>
          <w:highlight w:val="white"/>
          <w:vertAlign w:val="superscript"/>
          <w:lang w:val="en-US"/>
        </w:rPr>
        <w:footnoteReference w:id="7"/>
      </w:r>
      <w:r w:rsidRPr="00843E5F">
        <w:rPr>
          <w:rFonts w:ascii="Times New Roman" w:eastAsia="Times" w:hAnsi="Times New Roman" w:cs="Times New Roman"/>
          <w:i/>
          <w:sz w:val="24"/>
          <w:szCs w:val="24"/>
          <w:highlight w:val="white"/>
          <w:lang w:val="en-US"/>
        </w:rPr>
        <w:t xml:space="preserve"> </w:t>
      </w:r>
    </w:p>
    <w:p w14:paraId="455C86EC" w14:textId="4C5F72A1" w:rsidR="00E93E52" w:rsidRPr="00843E5F" w:rsidRDefault="00FD11AA" w:rsidP="004F5940">
      <w:pPr>
        <w:numPr>
          <w:ilvl w:val="0"/>
          <w:numId w:val="2"/>
        </w:numPr>
        <w:spacing w:after="240" w:line="240" w:lineRule="auto"/>
        <w:jc w:val="both"/>
        <w:rPr>
          <w:rFonts w:ascii="Times New Roman" w:eastAsia="Times" w:hAnsi="Times New Roman" w:cs="Times New Roman"/>
          <w:sz w:val="24"/>
          <w:szCs w:val="24"/>
          <w:highlight w:val="white"/>
          <w:lang w:val="en-US"/>
        </w:rPr>
      </w:pPr>
      <w:r w:rsidRPr="00843E5F">
        <w:rPr>
          <w:rFonts w:ascii="Times New Roman" w:eastAsia="Times" w:hAnsi="Times New Roman" w:cs="Times New Roman"/>
          <w:sz w:val="24"/>
          <w:szCs w:val="24"/>
          <w:highlight w:val="white"/>
          <w:lang w:val="en-US"/>
        </w:rPr>
        <w:t xml:space="preserve">In 2011, TAG founded the Global TB Community Advisory Board </w:t>
      </w:r>
      <w:r w:rsidR="004152EB" w:rsidRPr="00843E5F">
        <w:rPr>
          <w:rFonts w:ascii="Times New Roman" w:eastAsia="Times" w:hAnsi="Times New Roman" w:cs="Times New Roman"/>
          <w:sz w:val="24"/>
          <w:szCs w:val="24"/>
          <w:highlight w:val="white"/>
          <w:lang w:val="en-US"/>
        </w:rPr>
        <w:t xml:space="preserve">(Global TB CAB) </w:t>
      </w:r>
      <w:r w:rsidRPr="00843E5F">
        <w:rPr>
          <w:rFonts w:ascii="Times New Roman" w:eastAsia="Times" w:hAnsi="Times New Roman" w:cs="Times New Roman"/>
          <w:sz w:val="24"/>
          <w:szCs w:val="24"/>
          <w:highlight w:val="white"/>
          <w:lang w:val="en-US"/>
        </w:rPr>
        <w:t>to act in an advisory capacity to product developers</w:t>
      </w:r>
      <w:r w:rsidR="004152EB" w:rsidRPr="00843E5F">
        <w:rPr>
          <w:rFonts w:ascii="Times New Roman" w:eastAsia="Times" w:hAnsi="Times New Roman" w:cs="Times New Roman"/>
          <w:sz w:val="24"/>
          <w:szCs w:val="24"/>
          <w:highlight w:val="white"/>
          <w:lang w:val="en-US"/>
        </w:rPr>
        <w:t>, research funders,</w:t>
      </w:r>
      <w:r w:rsidRPr="00843E5F">
        <w:rPr>
          <w:rFonts w:ascii="Times New Roman" w:eastAsia="Times" w:hAnsi="Times New Roman" w:cs="Times New Roman"/>
          <w:sz w:val="24"/>
          <w:szCs w:val="24"/>
          <w:highlight w:val="white"/>
          <w:lang w:val="en-US"/>
        </w:rPr>
        <w:t xml:space="preserve"> and institu</w:t>
      </w:r>
      <w:r w:rsidRPr="00843E5F">
        <w:rPr>
          <w:rFonts w:ascii="Times New Roman" w:eastAsia="Times" w:hAnsi="Times New Roman" w:cs="Times New Roman"/>
          <w:sz w:val="24"/>
          <w:szCs w:val="24"/>
          <w:highlight w:val="white"/>
          <w:lang w:val="en-US"/>
        </w:rPr>
        <w:t xml:space="preserve">tions conducting clinical trials of new TB drugs, regimens, diagnostics, and vaccines, and to provide input on study design, early access, regulatory approval, </w:t>
      </w:r>
      <w:r w:rsidRPr="00843E5F">
        <w:rPr>
          <w:rFonts w:ascii="Times New Roman" w:eastAsia="Times" w:hAnsi="Times New Roman" w:cs="Times New Roman"/>
          <w:sz w:val="24"/>
          <w:szCs w:val="24"/>
          <w:highlight w:val="white"/>
          <w:lang w:val="en-US"/>
        </w:rPr>
        <w:t>and implementation strategies. To mark its 10-year anniversary, in 2022 the Glob</w:t>
      </w:r>
      <w:r w:rsidRPr="00843E5F">
        <w:rPr>
          <w:rFonts w:ascii="Times New Roman" w:eastAsia="Times" w:hAnsi="Times New Roman" w:cs="Times New Roman"/>
          <w:sz w:val="24"/>
          <w:szCs w:val="24"/>
          <w:highlight w:val="white"/>
          <w:lang w:val="en-US"/>
        </w:rPr>
        <w:t xml:space="preserve">al TB CAB commissioned an </w:t>
      </w:r>
      <w:r w:rsidRPr="00843E5F">
        <w:rPr>
          <w:rFonts w:ascii="Times New Roman" w:eastAsia="Times" w:hAnsi="Times New Roman" w:cs="Times New Roman"/>
          <w:sz w:val="24"/>
          <w:szCs w:val="24"/>
          <w:highlight w:val="white"/>
          <w:lang w:val="en-US"/>
        </w:rPr>
        <w:lastRenderedPageBreak/>
        <w:t>independent evaluation of its impact, the findings of which demonstrate the power of creating space</w:t>
      </w:r>
      <w:r w:rsidR="00CF7A8C">
        <w:rPr>
          <w:rFonts w:ascii="Times New Roman" w:eastAsia="Times" w:hAnsi="Times New Roman" w:cs="Times New Roman"/>
          <w:sz w:val="24"/>
          <w:szCs w:val="24"/>
          <w:highlight w:val="white"/>
          <w:lang w:val="en-US"/>
        </w:rPr>
        <w:t>s</w:t>
      </w:r>
      <w:r w:rsidRPr="00843E5F">
        <w:rPr>
          <w:rFonts w:ascii="Times New Roman" w:eastAsia="Times" w:hAnsi="Times New Roman" w:cs="Times New Roman"/>
          <w:sz w:val="24"/>
          <w:szCs w:val="24"/>
          <w:highlight w:val="white"/>
          <w:lang w:val="en-US"/>
        </w:rPr>
        <w:t xml:space="preserve"> for non-scientists to participate in </w:t>
      </w:r>
      <w:r w:rsidR="00CF7A8C">
        <w:rPr>
          <w:rFonts w:ascii="Times New Roman" w:eastAsia="Times" w:hAnsi="Times New Roman" w:cs="Times New Roman"/>
          <w:sz w:val="24"/>
          <w:szCs w:val="24"/>
          <w:highlight w:val="white"/>
          <w:lang w:val="en-US"/>
        </w:rPr>
        <w:t>science and decisions concerning its direction</w:t>
      </w:r>
      <w:r w:rsidRPr="00843E5F">
        <w:rPr>
          <w:rFonts w:ascii="Times New Roman" w:eastAsia="Times" w:hAnsi="Times New Roman" w:cs="Times New Roman"/>
          <w:sz w:val="24"/>
          <w:szCs w:val="24"/>
          <w:highlight w:val="white"/>
          <w:lang w:val="en-US"/>
        </w:rPr>
        <w:t xml:space="preserve">. Two examples are worth highlighting: </w:t>
      </w:r>
    </w:p>
    <w:p w14:paraId="5DA2DAE6" w14:textId="77777777" w:rsidR="008D3965" w:rsidRPr="00843E5F" w:rsidRDefault="00FD11AA" w:rsidP="004F5940">
      <w:pPr>
        <w:numPr>
          <w:ilvl w:val="0"/>
          <w:numId w:val="1"/>
        </w:numPr>
        <w:spacing w:after="240" w:line="240" w:lineRule="auto"/>
        <w:jc w:val="both"/>
        <w:rPr>
          <w:rFonts w:ascii="Times New Roman" w:eastAsia="Times" w:hAnsi="Times New Roman" w:cs="Times New Roman"/>
          <w:sz w:val="24"/>
          <w:szCs w:val="24"/>
          <w:highlight w:val="white"/>
          <w:lang w:val="en-US"/>
        </w:rPr>
      </w:pPr>
      <w:r w:rsidRPr="00843E5F">
        <w:rPr>
          <w:rFonts w:ascii="Times New Roman" w:eastAsia="Times" w:hAnsi="Times New Roman" w:cs="Times New Roman"/>
          <w:sz w:val="24"/>
          <w:szCs w:val="24"/>
          <w:highlight w:val="white"/>
          <w:lang w:val="en-US"/>
        </w:rPr>
        <w:t>The evaluation found that t</w:t>
      </w:r>
      <w:r w:rsidRPr="00843E5F">
        <w:rPr>
          <w:rFonts w:ascii="Times New Roman" w:eastAsia="Times" w:hAnsi="Times New Roman" w:cs="Times New Roman"/>
          <w:sz w:val="24"/>
          <w:szCs w:val="24"/>
          <w:highlight w:val="white"/>
          <w:lang w:val="en-US"/>
        </w:rPr>
        <w:t>he Global TB CAB contributed to “a ‘transformative change’ that disrupted power dynamics</w:t>
      </w:r>
      <w:r w:rsidR="002F2041" w:rsidRPr="00843E5F">
        <w:rPr>
          <w:rFonts w:ascii="Times New Roman" w:eastAsia="Times" w:hAnsi="Times New Roman" w:cs="Times New Roman"/>
          <w:sz w:val="24"/>
          <w:szCs w:val="24"/>
          <w:highlight w:val="white"/>
          <w:lang w:val="en-US"/>
        </w:rPr>
        <w:t xml:space="preserve"> </w:t>
      </w:r>
      <w:r w:rsidRPr="00843E5F">
        <w:rPr>
          <w:rFonts w:ascii="Times New Roman" w:eastAsia="Times" w:hAnsi="Times New Roman" w:cs="Times New Roman"/>
          <w:sz w:val="24"/>
          <w:szCs w:val="24"/>
          <w:highlight w:val="white"/>
          <w:lang w:val="en-US"/>
        </w:rPr>
        <w:t>on multiple levels in a way that has reshaped the overall environment of TB R&amp;D. Through the TB CAB’s work, TB survivors and advocates have more power in decisions abo</w:t>
      </w:r>
      <w:r w:rsidRPr="00843E5F">
        <w:rPr>
          <w:rFonts w:ascii="Times New Roman" w:eastAsia="Times" w:hAnsi="Times New Roman" w:cs="Times New Roman"/>
          <w:sz w:val="24"/>
          <w:szCs w:val="24"/>
          <w:highlight w:val="white"/>
          <w:lang w:val="en-US"/>
        </w:rPr>
        <w:t>ut research and policies that guide national TB programs.”</w:t>
      </w:r>
      <w:r w:rsidR="008D3965" w:rsidRPr="00843E5F">
        <w:rPr>
          <w:rFonts w:ascii="Times New Roman" w:eastAsia="Times" w:hAnsi="Times New Roman" w:cs="Times New Roman"/>
          <w:sz w:val="24"/>
          <w:szCs w:val="24"/>
          <w:highlight w:val="white"/>
          <w:vertAlign w:val="superscript"/>
          <w:lang w:val="en-US"/>
        </w:rPr>
        <w:footnoteReference w:id="8"/>
      </w:r>
      <w:r w:rsidRPr="00843E5F">
        <w:rPr>
          <w:rFonts w:ascii="Times New Roman" w:eastAsia="Times" w:hAnsi="Times New Roman" w:cs="Times New Roman"/>
          <w:sz w:val="24"/>
          <w:szCs w:val="24"/>
          <w:highlight w:val="white"/>
          <w:lang w:val="en-US"/>
        </w:rPr>
        <w:t xml:space="preserve"> </w:t>
      </w:r>
    </w:p>
    <w:p w14:paraId="09B0D9AA" w14:textId="164F6D16" w:rsidR="00E93E52" w:rsidRPr="000438EC" w:rsidRDefault="002F2041" w:rsidP="00843E5F">
      <w:pPr>
        <w:numPr>
          <w:ilvl w:val="0"/>
          <w:numId w:val="1"/>
        </w:numPr>
        <w:autoSpaceDE w:val="0"/>
        <w:autoSpaceDN w:val="0"/>
        <w:adjustRightInd w:val="0"/>
        <w:spacing w:after="240" w:line="240" w:lineRule="auto"/>
        <w:jc w:val="both"/>
        <w:rPr>
          <w:rFonts w:ascii="Times New Roman" w:eastAsia="Times" w:hAnsi="Times New Roman" w:cs="Times New Roman"/>
          <w:sz w:val="24"/>
          <w:szCs w:val="24"/>
          <w:highlight w:val="white"/>
          <w:lang w:val="en-US"/>
        </w:rPr>
      </w:pPr>
      <w:r w:rsidRPr="00843E5F">
        <w:rPr>
          <w:rFonts w:ascii="Times New Roman" w:eastAsia="Times" w:hAnsi="Times New Roman" w:cs="Times New Roman"/>
          <w:sz w:val="24"/>
          <w:szCs w:val="24"/>
          <w:highlight w:val="white"/>
          <w:lang w:val="en-US"/>
        </w:rPr>
        <w:t>To give one recent example</w:t>
      </w:r>
      <w:r w:rsidR="00FD11AA" w:rsidRPr="00843E5F">
        <w:rPr>
          <w:rFonts w:ascii="Times New Roman" w:eastAsia="Times" w:hAnsi="Times New Roman" w:cs="Times New Roman"/>
          <w:sz w:val="24"/>
          <w:szCs w:val="24"/>
          <w:highlight w:val="white"/>
          <w:lang w:val="en-US"/>
        </w:rPr>
        <w:t xml:space="preserve">, </w:t>
      </w:r>
      <w:r w:rsidRPr="00843E5F">
        <w:rPr>
          <w:rFonts w:ascii="Times New Roman" w:eastAsia="Times" w:hAnsi="Times New Roman" w:cs="Times New Roman"/>
          <w:sz w:val="24"/>
          <w:szCs w:val="24"/>
          <w:highlight w:val="white"/>
          <w:lang w:val="en-US"/>
        </w:rPr>
        <w:t xml:space="preserve">the </w:t>
      </w:r>
      <w:r w:rsidR="00FD11AA" w:rsidRPr="00843E5F">
        <w:rPr>
          <w:rFonts w:ascii="Times New Roman" w:eastAsia="Times" w:hAnsi="Times New Roman" w:cs="Times New Roman"/>
          <w:sz w:val="24"/>
          <w:szCs w:val="24"/>
          <w:highlight w:val="white"/>
          <w:lang w:val="en-US"/>
        </w:rPr>
        <w:t xml:space="preserve">Global TB CAB </w:t>
      </w:r>
      <w:r w:rsidR="00FD11AA" w:rsidRPr="00843E5F">
        <w:rPr>
          <w:rFonts w:ascii="Times New Roman" w:eastAsia="Times" w:hAnsi="Times New Roman" w:cs="Times New Roman"/>
          <w:sz w:val="24"/>
          <w:szCs w:val="24"/>
          <w:highlight w:val="white"/>
          <w:lang w:val="en-US"/>
        </w:rPr>
        <w:t xml:space="preserve">published </w:t>
      </w:r>
      <w:r w:rsidRPr="00843E5F">
        <w:rPr>
          <w:rFonts w:ascii="Times New Roman" w:eastAsia="Times" w:hAnsi="Times New Roman" w:cs="Times New Roman"/>
          <w:sz w:val="24"/>
          <w:szCs w:val="24"/>
          <w:highlight w:val="white"/>
          <w:lang w:val="en-US"/>
        </w:rPr>
        <w:t>its</w:t>
      </w:r>
      <w:r w:rsidR="00FD11AA" w:rsidRPr="00843E5F">
        <w:rPr>
          <w:rFonts w:ascii="Times New Roman" w:eastAsia="Times" w:hAnsi="Times New Roman" w:cs="Times New Roman"/>
          <w:sz w:val="24"/>
          <w:szCs w:val="24"/>
          <w:highlight w:val="white"/>
          <w:lang w:val="en-US"/>
        </w:rPr>
        <w:t xml:space="preserve"> view that the dominant paradigm </w:t>
      </w:r>
      <w:r w:rsidRPr="00843E5F">
        <w:rPr>
          <w:rFonts w:ascii="Times New Roman" w:eastAsia="Times" w:hAnsi="Times New Roman" w:cs="Times New Roman"/>
          <w:sz w:val="24"/>
          <w:szCs w:val="24"/>
          <w:highlight w:val="white"/>
          <w:lang w:val="en-US"/>
        </w:rPr>
        <w:t>driving</w:t>
      </w:r>
      <w:r w:rsidRPr="00843E5F">
        <w:rPr>
          <w:rFonts w:ascii="Times New Roman" w:eastAsia="Times" w:hAnsi="Times New Roman" w:cs="Times New Roman"/>
          <w:sz w:val="24"/>
          <w:szCs w:val="24"/>
          <w:highlight w:val="white"/>
          <w:lang w:val="en-US"/>
        </w:rPr>
        <w:t xml:space="preserve"> </w:t>
      </w:r>
      <w:r w:rsidR="00FD11AA" w:rsidRPr="00843E5F">
        <w:rPr>
          <w:rFonts w:ascii="Times New Roman" w:eastAsia="Times" w:hAnsi="Times New Roman" w:cs="Times New Roman"/>
          <w:sz w:val="24"/>
          <w:szCs w:val="24"/>
          <w:highlight w:val="white"/>
          <w:lang w:val="en-US"/>
        </w:rPr>
        <w:t>TB treatment research—</w:t>
      </w:r>
      <w:r w:rsidR="00FD11AA" w:rsidRPr="00843E5F">
        <w:rPr>
          <w:rFonts w:ascii="Times New Roman" w:eastAsia="Times" w:hAnsi="Times New Roman" w:cs="Times New Roman"/>
          <w:sz w:val="24"/>
          <w:szCs w:val="24"/>
          <w:highlight w:val="white"/>
          <w:lang w:val="en-US"/>
        </w:rPr>
        <w:t>shorten</w:t>
      </w:r>
      <w:r w:rsidR="00CF7A8C">
        <w:rPr>
          <w:rFonts w:ascii="Times New Roman" w:eastAsia="Times" w:hAnsi="Times New Roman" w:cs="Times New Roman"/>
          <w:sz w:val="24"/>
          <w:szCs w:val="24"/>
          <w:highlight w:val="white"/>
          <w:lang w:val="en-US"/>
        </w:rPr>
        <w:t>ing</w:t>
      </w:r>
      <w:r w:rsidR="00FD11AA" w:rsidRPr="00843E5F">
        <w:rPr>
          <w:rFonts w:ascii="Times New Roman" w:eastAsia="Times" w:hAnsi="Times New Roman" w:cs="Times New Roman"/>
          <w:sz w:val="24"/>
          <w:szCs w:val="24"/>
          <w:highlight w:val="white"/>
          <w:lang w:val="en-US"/>
        </w:rPr>
        <w:t xml:space="preserve"> the long duration of TB treatment—overlooked other priorities of peopl</w:t>
      </w:r>
      <w:r w:rsidR="00FD11AA" w:rsidRPr="00843E5F">
        <w:rPr>
          <w:rFonts w:ascii="Times New Roman" w:eastAsia="Times" w:hAnsi="Times New Roman" w:cs="Times New Roman"/>
          <w:sz w:val="24"/>
          <w:szCs w:val="24"/>
          <w:highlight w:val="white"/>
          <w:lang w:val="en-US"/>
        </w:rPr>
        <w:t xml:space="preserve">e with TB, such as the safety and tolerability of drug regimens. </w:t>
      </w:r>
      <w:r w:rsidR="008D3965" w:rsidRPr="00843E5F">
        <w:rPr>
          <w:rFonts w:ascii="Times New Roman" w:eastAsia="Times" w:hAnsi="Times New Roman" w:cs="Times New Roman"/>
          <w:sz w:val="24"/>
          <w:szCs w:val="24"/>
          <w:highlight w:val="white"/>
          <w:lang w:val="en-US"/>
        </w:rPr>
        <w:t>Through its engagement with TB drug developers, the Global TB CAB noted that “most ongoing and planned TB therapeutic trials are focused on shortening the duration of treatment while giving less consideration to other aspects of TB care that are important to people with TB.</w:t>
      </w:r>
      <w:r w:rsidR="004A30BD" w:rsidRPr="00843E5F">
        <w:rPr>
          <w:rFonts w:ascii="Times New Roman" w:eastAsia="Times" w:hAnsi="Times New Roman" w:cs="Times New Roman"/>
          <w:sz w:val="24"/>
          <w:szCs w:val="24"/>
          <w:highlight w:val="white"/>
          <w:lang w:val="en-US"/>
        </w:rPr>
        <w:t>"</w:t>
      </w:r>
      <w:r w:rsidR="004A30BD" w:rsidRPr="00843E5F">
        <w:rPr>
          <w:rStyle w:val="FootnoteReference"/>
          <w:rFonts w:ascii="Times New Roman" w:eastAsia="Times" w:hAnsi="Times New Roman" w:cs="Times New Roman"/>
          <w:sz w:val="24"/>
          <w:szCs w:val="24"/>
          <w:highlight w:val="white"/>
          <w:lang w:val="en-US"/>
        </w:rPr>
        <w:footnoteReference w:id="9"/>
      </w:r>
      <w:r w:rsidR="004A30BD" w:rsidRPr="00843E5F">
        <w:rPr>
          <w:rFonts w:ascii="Times New Roman" w:eastAsia="Times" w:hAnsi="Times New Roman" w:cs="Times New Roman"/>
          <w:sz w:val="24"/>
          <w:szCs w:val="24"/>
          <w:highlight w:val="white"/>
          <w:lang w:val="en-US"/>
        </w:rPr>
        <w:t xml:space="preserve"> Global TB CAB </w:t>
      </w:r>
      <w:r w:rsidR="00CF7A8C">
        <w:rPr>
          <w:rFonts w:ascii="Times New Roman" w:eastAsia="Times" w:hAnsi="Times New Roman" w:cs="Times New Roman"/>
          <w:sz w:val="24"/>
          <w:szCs w:val="24"/>
          <w:highlight w:val="white"/>
          <w:lang w:val="en-US"/>
        </w:rPr>
        <w:t xml:space="preserve">members </w:t>
      </w:r>
      <w:r w:rsidR="004A30BD" w:rsidRPr="00843E5F">
        <w:rPr>
          <w:rFonts w:ascii="Times New Roman" w:eastAsia="Times" w:hAnsi="Times New Roman" w:cs="Times New Roman"/>
          <w:sz w:val="24"/>
          <w:szCs w:val="24"/>
          <w:highlight w:val="white"/>
          <w:lang w:val="en-US"/>
        </w:rPr>
        <w:t xml:space="preserve">argued that other variables besides duration of TB treatment should be considered when developing new </w:t>
      </w:r>
      <w:r w:rsidR="00CF7A8C">
        <w:rPr>
          <w:rFonts w:ascii="Times New Roman" w:eastAsia="Times" w:hAnsi="Times New Roman" w:cs="Times New Roman"/>
          <w:sz w:val="24"/>
          <w:szCs w:val="24"/>
          <w:highlight w:val="white"/>
          <w:lang w:val="en-US"/>
        </w:rPr>
        <w:t xml:space="preserve">drug </w:t>
      </w:r>
      <w:r w:rsidR="004A30BD" w:rsidRPr="00843E5F">
        <w:rPr>
          <w:rFonts w:ascii="Times New Roman" w:eastAsia="Times" w:hAnsi="Times New Roman" w:cs="Times New Roman"/>
          <w:sz w:val="24"/>
          <w:szCs w:val="24"/>
          <w:highlight w:val="white"/>
          <w:lang w:val="en-US"/>
        </w:rPr>
        <w:t>regimens, including drug toxicity, side effects, time spent in monitoring</w:t>
      </w:r>
      <w:r w:rsidR="00843E5F">
        <w:rPr>
          <w:rFonts w:ascii="Times New Roman" w:eastAsia="Times" w:hAnsi="Times New Roman" w:cs="Times New Roman"/>
          <w:sz w:val="24"/>
          <w:szCs w:val="24"/>
          <w:highlight w:val="white"/>
          <w:lang w:val="en-US"/>
        </w:rPr>
        <w:t>,</w:t>
      </w:r>
      <w:r w:rsidR="004A30BD" w:rsidRPr="00843E5F">
        <w:rPr>
          <w:rFonts w:ascii="Times New Roman" w:eastAsia="Times" w:hAnsi="Times New Roman" w:cs="Times New Roman"/>
          <w:sz w:val="24"/>
          <w:szCs w:val="24"/>
          <w:highlight w:val="white"/>
          <w:lang w:val="en-US"/>
        </w:rPr>
        <w:t xml:space="preserve"> </w:t>
      </w:r>
      <w:r w:rsidR="004A30BD" w:rsidRPr="000438EC">
        <w:rPr>
          <w:rFonts w:ascii="Times New Roman" w:eastAsia="Times" w:hAnsi="Times New Roman" w:cs="Times New Roman"/>
          <w:sz w:val="24"/>
          <w:szCs w:val="24"/>
          <w:highlight w:val="white"/>
          <w:lang w:val="en-US"/>
        </w:rPr>
        <w:t>and overall quality of life while on therapy. Moreover, the</w:t>
      </w:r>
      <w:r w:rsidR="001E653E">
        <w:rPr>
          <w:rFonts w:ascii="Times New Roman" w:eastAsia="Times" w:hAnsi="Times New Roman" w:cs="Times New Roman"/>
          <w:sz w:val="24"/>
          <w:szCs w:val="24"/>
          <w:highlight w:val="white"/>
          <w:lang w:val="en-US"/>
        </w:rPr>
        <w:t xml:space="preserve"> group</w:t>
      </w:r>
      <w:r w:rsidR="004A30BD" w:rsidRPr="000438EC">
        <w:rPr>
          <w:rFonts w:ascii="Times New Roman" w:eastAsia="Times" w:hAnsi="Times New Roman" w:cs="Times New Roman"/>
          <w:sz w:val="24"/>
          <w:szCs w:val="24"/>
          <w:highlight w:val="white"/>
          <w:lang w:val="en-US"/>
        </w:rPr>
        <w:t xml:space="preserve"> noted that where studies have focused on shortening treatment, researchers have narrowly construed duration by focusing only on the amount of time a treatment must be taken while overlooking the time people on treatment need to spend engaging in all aspects of care</w:t>
      </w:r>
      <w:r w:rsidR="00CF7A8C">
        <w:rPr>
          <w:rFonts w:ascii="Times New Roman" w:eastAsia="Times" w:hAnsi="Times New Roman" w:cs="Times New Roman"/>
          <w:sz w:val="24"/>
          <w:szCs w:val="24"/>
          <w:highlight w:val="white"/>
          <w:lang w:val="en-US"/>
        </w:rPr>
        <w:t xml:space="preserve"> and recovery</w:t>
      </w:r>
      <w:r w:rsidR="004A30BD" w:rsidRPr="000438EC">
        <w:rPr>
          <w:rFonts w:ascii="Times New Roman" w:eastAsia="Times" w:hAnsi="Times New Roman" w:cs="Times New Roman"/>
          <w:sz w:val="24"/>
          <w:szCs w:val="24"/>
          <w:highlight w:val="white"/>
          <w:lang w:val="en-US"/>
        </w:rPr>
        <w:t xml:space="preserve">. </w:t>
      </w:r>
    </w:p>
    <w:p w14:paraId="72CF4352" w14:textId="1189FC1F" w:rsidR="008D3965" w:rsidRPr="000438EC" w:rsidRDefault="00FD11AA" w:rsidP="0076449D">
      <w:pPr>
        <w:numPr>
          <w:ilvl w:val="0"/>
          <w:numId w:val="1"/>
        </w:numPr>
        <w:autoSpaceDE w:val="0"/>
        <w:autoSpaceDN w:val="0"/>
        <w:adjustRightInd w:val="0"/>
        <w:spacing w:after="240" w:line="240" w:lineRule="auto"/>
        <w:jc w:val="both"/>
        <w:rPr>
          <w:rFonts w:ascii="Times New Roman" w:hAnsi="Times New Roman" w:cs="Times New Roman"/>
          <w:sz w:val="24"/>
          <w:szCs w:val="24"/>
          <w:lang w:val="en-US"/>
        </w:rPr>
      </w:pPr>
      <w:r w:rsidRPr="000438EC">
        <w:rPr>
          <w:rFonts w:ascii="Times New Roman" w:eastAsia="Times" w:hAnsi="Times New Roman" w:cs="Times New Roman"/>
          <w:sz w:val="24"/>
          <w:szCs w:val="24"/>
          <w:highlight w:val="white"/>
          <w:lang w:val="en-US"/>
        </w:rPr>
        <w:t>I</w:t>
      </w:r>
      <w:r w:rsidRPr="000438EC">
        <w:rPr>
          <w:rFonts w:ascii="Times New Roman" w:eastAsia="Times" w:hAnsi="Times New Roman" w:cs="Times New Roman"/>
          <w:sz w:val="24"/>
          <w:szCs w:val="24"/>
          <w:highlight w:val="white"/>
          <w:lang w:val="en-US"/>
        </w:rPr>
        <w:t>n terms of specific impact on clinical trial design, researchers interviewed as part of the evaluation “felt that the TB CAB played an instrumental role in pushing for the inclusion of vuln</w:t>
      </w:r>
      <w:r w:rsidRPr="000438EC">
        <w:rPr>
          <w:rFonts w:ascii="Times New Roman" w:eastAsia="Times" w:hAnsi="Times New Roman" w:cs="Times New Roman"/>
          <w:sz w:val="24"/>
          <w:szCs w:val="24"/>
          <w:highlight w:val="white"/>
          <w:lang w:val="en-US"/>
        </w:rPr>
        <w:t>erable populations in clinical trials, especially children, which resulted in rapid uptake of recommendations for global pediatric treatment guidelines.”</w:t>
      </w:r>
      <w:r w:rsidR="008D3965" w:rsidRPr="000438EC">
        <w:rPr>
          <w:rFonts w:ascii="Times New Roman" w:eastAsia="Times" w:hAnsi="Times New Roman" w:cs="Times New Roman"/>
          <w:sz w:val="24"/>
          <w:szCs w:val="24"/>
          <w:highlight w:val="white"/>
          <w:vertAlign w:val="superscript"/>
          <w:lang w:val="en-US"/>
        </w:rPr>
        <w:footnoteReference w:id="10"/>
      </w:r>
      <w:r w:rsidRPr="000438EC">
        <w:rPr>
          <w:rFonts w:ascii="Times New Roman" w:eastAsia="Times" w:hAnsi="Times New Roman" w:cs="Times New Roman"/>
          <w:sz w:val="24"/>
          <w:szCs w:val="24"/>
          <w:highlight w:val="white"/>
          <w:lang w:val="en-US"/>
        </w:rPr>
        <w:t xml:space="preserve"> </w:t>
      </w:r>
      <w:r w:rsidR="008D3965" w:rsidRPr="000438EC">
        <w:rPr>
          <w:rFonts w:ascii="Times New Roman" w:eastAsia="Times" w:hAnsi="Times New Roman" w:cs="Times New Roman"/>
          <w:sz w:val="24"/>
          <w:szCs w:val="24"/>
          <w:highlight w:val="white"/>
          <w:lang w:val="en-US"/>
        </w:rPr>
        <w:t xml:space="preserve">The role of non-scientist community members affected by TB in expanding TB research and extending its benefits to include children is an example of the intrinsic relationship between participation and access </w:t>
      </w:r>
      <w:r w:rsidR="008D3965" w:rsidRPr="000438EC">
        <w:rPr>
          <w:rFonts w:ascii="Times New Roman" w:eastAsia="Times" w:hAnsi="Times New Roman" w:cs="Times New Roman"/>
          <w:sz w:val="24"/>
          <w:szCs w:val="24"/>
          <w:lang w:val="en-US"/>
        </w:rPr>
        <w:t xml:space="preserve">(discussed in more detail </w:t>
      </w:r>
      <w:r w:rsidR="000438EC">
        <w:rPr>
          <w:rFonts w:ascii="Times New Roman" w:eastAsia="Times" w:hAnsi="Times New Roman" w:cs="Times New Roman"/>
          <w:sz w:val="24"/>
          <w:szCs w:val="24"/>
          <w:lang w:val="en-US"/>
        </w:rPr>
        <w:t xml:space="preserve">in the section </w:t>
      </w:r>
      <w:r w:rsidR="008D3965" w:rsidRPr="000438EC">
        <w:rPr>
          <w:rFonts w:ascii="Times New Roman" w:eastAsia="Times" w:hAnsi="Times New Roman" w:cs="Times New Roman"/>
          <w:sz w:val="24"/>
          <w:szCs w:val="24"/>
          <w:lang w:val="en-US"/>
        </w:rPr>
        <w:t xml:space="preserve">below). </w:t>
      </w:r>
    </w:p>
    <w:p w14:paraId="35278FAD" w14:textId="32A96B6A" w:rsidR="00E93E52" w:rsidRPr="000438EC" w:rsidRDefault="00FD11AA" w:rsidP="000438EC">
      <w:pPr>
        <w:pStyle w:val="ListParagraph"/>
        <w:numPr>
          <w:ilvl w:val="0"/>
          <w:numId w:val="2"/>
        </w:numPr>
        <w:spacing w:after="240" w:line="240" w:lineRule="auto"/>
        <w:jc w:val="both"/>
        <w:rPr>
          <w:rFonts w:ascii="Times New Roman" w:eastAsia="Times" w:hAnsi="Times New Roman" w:cs="Times New Roman"/>
          <w:sz w:val="24"/>
          <w:szCs w:val="24"/>
          <w:highlight w:val="white"/>
          <w:lang w:val="en-US"/>
        </w:rPr>
      </w:pPr>
      <w:r w:rsidRPr="000438EC">
        <w:rPr>
          <w:rFonts w:ascii="Times New Roman" w:eastAsia="Times" w:hAnsi="Times New Roman" w:cs="Times New Roman"/>
          <w:sz w:val="24"/>
          <w:szCs w:val="24"/>
          <w:highlight w:val="white"/>
          <w:lang w:val="en-US"/>
        </w:rPr>
        <w:t>The participation of members of TB-affected communities carries both inherent and instrumental valu</w:t>
      </w:r>
      <w:r w:rsidRPr="000438EC">
        <w:rPr>
          <w:rFonts w:ascii="Times New Roman" w:eastAsia="Times" w:hAnsi="Times New Roman" w:cs="Times New Roman"/>
          <w:sz w:val="24"/>
          <w:szCs w:val="24"/>
          <w:highlight w:val="white"/>
          <w:lang w:val="en-US"/>
        </w:rPr>
        <w:t>e for the scientific enterprise (see Figure 1). As states fulfill their obligation to ensure the right of every person to take part in scientific progress, it is important that participation not become instrumentalized as merely a means to the end of “bett</w:t>
      </w:r>
      <w:r w:rsidRPr="000438EC">
        <w:rPr>
          <w:rFonts w:ascii="Times New Roman" w:eastAsia="Times" w:hAnsi="Times New Roman" w:cs="Times New Roman"/>
          <w:sz w:val="24"/>
          <w:szCs w:val="24"/>
          <w:highlight w:val="white"/>
          <w:lang w:val="en-US"/>
        </w:rPr>
        <w:t xml:space="preserve">er science,” however defined. Participation must be understood as an indelible part of </w:t>
      </w:r>
      <w:r w:rsidRPr="000438EC">
        <w:rPr>
          <w:rFonts w:ascii="Times New Roman" w:eastAsia="Times" w:hAnsi="Times New Roman" w:cs="Times New Roman"/>
          <w:sz w:val="24"/>
          <w:szCs w:val="24"/>
          <w:highlight w:val="white"/>
          <w:lang w:val="en-US"/>
        </w:rPr>
        <w:lastRenderedPageBreak/>
        <w:t>the right to science as well as a human right in itself — i.e., the right to participate in political and public life (UDHR Art. 21 and ICCPR Art. 25).</w:t>
      </w:r>
      <w:r w:rsidRPr="000438EC">
        <w:rPr>
          <w:rFonts w:ascii="Times New Roman" w:hAnsi="Times New Roman" w:cs="Times New Roman"/>
          <w:sz w:val="24"/>
          <w:szCs w:val="24"/>
          <w:highlight w:val="white"/>
          <w:vertAlign w:val="superscript"/>
          <w:lang w:val="en-US"/>
        </w:rPr>
        <w:footnoteReference w:id="11"/>
      </w:r>
      <w:r w:rsidRPr="000438EC">
        <w:rPr>
          <w:rFonts w:ascii="Times New Roman" w:eastAsia="Times" w:hAnsi="Times New Roman" w:cs="Times New Roman"/>
          <w:sz w:val="24"/>
          <w:szCs w:val="24"/>
          <w:highlight w:val="white"/>
          <w:lang w:val="en-US"/>
        </w:rPr>
        <w:t xml:space="preserve">  </w:t>
      </w:r>
    </w:p>
    <w:p w14:paraId="49BFBF3B" w14:textId="77777777" w:rsidR="00E93E52" w:rsidRPr="00CF7A8C" w:rsidRDefault="00E93E52" w:rsidP="004F5940">
      <w:pPr>
        <w:spacing w:after="240" w:line="240" w:lineRule="auto"/>
        <w:jc w:val="both"/>
        <w:rPr>
          <w:rFonts w:ascii="Times New Roman" w:eastAsia="Times" w:hAnsi="Times New Roman" w:cs="Times New Roman"/>
          <w:sz w:val="24"/>
          <w:szCs w:val="24"/>
          <w:highlight w:val="white"/>
          <w:lang w:val="en-US"/>
        </w:rPr>
      </w:pPr>
    </w:p>
    <w:p w14:paraId="5C181D0A" w14:textId="77777777" w:rsidR="00E93E52" w:rsidRPr="00CF7A8C" w:rsidRDefault="00FD11AA" w:rsidP="004F5940">
      <w:pPr>
        <w:spacing w:after="240" w:line="240" w:lineRule="auto"/>
        <w:jc w:val="both"/>
        <w:rPr>
          <w:rFonts w:ascii="Times New Roman" w:eastAsia="Times" w:hAnsi="Times New Roman" w:cs="Times New Roman"/>
          <w:sz w:val="24"/>
          <w:szCs w:val="24"/>
          <w:highlight w:val="white"/>
          <w:lang w:val="en-US"/>
        </w:rPr>
      </w:pPr>
      <w:r w:rsidRPr="00CF7A8C">
        <w:rPr>
          <w:rFonts w:ascii="Times New Roman" w:eastAsia="Times" w:hAnsi="Times New Roman" w:cs="Times New Roman"/>
          <w:noProof/>
          <w:sz w:val="24"/>
          <w:szCs w:val="24"/>
          <w:highlight w:val="white"/>
          <w:lang w:val="en-US"/>
        </w:rPr>
        <w:drawing>
          <wp:inline distT="114300" distB="114300" distL="114300" distR="114300" wp14:anchorId="26207ADB" wp14:editId="4715E558">
            <wp:extent cx="5731200" cy="4292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4292600"/>
                    </a:xfrm>
                    <a:prstGeom prst="rect">
                      <a:avLst/>
                    </a:prstGeom>
                    <a:ln/>
                  </pic:spPr>
                </pic:pic>
              </a:graphicData>
            </a:graphic>
          </wp:inline>
        </w:drawing>
      </w:r>
    </w:p>
    <w:p w14:paraId="4B7FB527" w14:textId="070AB06C" w:rsidR="00E93E52" w:rsidRPr="000438EC" w:rsidRDefault="00FD11AA" w:rsidP="000438EC">
      <w:pPr>
        <w:spacing w:after="240" w:line="240" w:lineRule="auto"/>
        <w:ind w:left="720"/>
        <w:jc w:val="both"/>
        <w:rPr>
          <w:rFonts w:ascii="Times New Roman" w:eastAsia="Times" w:hAnsi="Times New Roman" w:cs="Times New Roman"/>
          <w:sz w:val="24"/>
          <w:szCs w:val="24"/>
          <w:highlight w:val="white"/>
          <w:lang w:val="en-US"/>
        </w:rPr>
      </w:pPr>
      <w:r w:rsidRPr="00CF7A8C">
        <w:rPr>
          <w:rFonts w:ascii="Times New Roman" w:eastAsia="Times" w:hAnsi="Times New Roman" w:cs="Times New Roman"/>
          <w:sz w:val="24"/>
          <w:szCs w:val="24"/>
          <w:highlight w:val="white"/>
          <w:lang w:val="en-US"/>
        </w:rPr>
        <w:t xml:space="preserve">Figure 1: </w:t>
      </w:r>
      <w:r w:rsidRPr="000438EC">
        <w:rPr>
          <w:rFonts w:ascii="Times New Roman" w:eastAsia="Times" w:hAnsi="Times New Roman" w:cs="Times New Roman"/>
          <w:sz w:val="24"/>
          <w:szCs w:val="24"/>
          <w:highlight w:val="white"/>
          <w:lang w:val="en-US"/>
        </w:rPr>
        <w:t>Inherent and Instrumental Benefits of Community Engagement in</w:t>
      </w:r>
      <w:r w:rsidR="00CF7A8C">
        <w:rPr>
          <w:rFonts w:ascii="Times New Roman" w:eastAsia="Times" w:hAnsi="Times New Roman" w:cs="Times New Roman"/>
          <w:sz w:val="24"/>
          <w:szCs w:val="24"/>
          <w:highlight w:val="white"/>
          <w:lang w:val="en-US"/>
        </w:rPr>
        <w:t xml:space="preserve"> Global</w:t>
      </w:r>
      <w:r w:rsidRPr="000438EC">
        <w:rPr>
          <w:rFonts w:ascii="Times New Roman" w:eastAsia="Times" w:hAnsi="Times New Roman" w:cs="Times New Roman"/>
          <w:sz w:val="24"/>
          <w:szCs w:val="24"/>
          <w:highlight w:val="white"/>
          <w:lang w:val="en-US"/>
        </w:rPr>
        <w:t xml:space="preserve"> Health Research (</w:t>
      </w:r>
      <w:r w:rsidR="00CF7A8C">
        <w:rPr>
          <w:rFonts w:ascii="Times New Roman" w:eastAsia="Times" w:hAnsi="Times New Roman" w:cs="Times New Roman"/>
          <w:sz w:val="24"/>
          <w:szCs w:val="24"/>
          <w:highlight w:val="white"/>
          <w:lang w:val="en-US"/>
        </w:rPr>
        <w:t>c</w:t>
      </w:r>
      <w:r w:rsidRPr="000438EC">
        <w:rPr>
          <w:rFonts w:ascii="Times New Roman" w:eastAsia="Times" w:hAnsi="Times New Roman" w:cs="Times New Roman"/>
          <w:sz w:val="24"/>
          <w:szCs w:val="24"/>
          <w:highlight w:val="white"/>
          <w:lang w:val="en-US"/>
        </w:rPr>
        <w:t>redit: TAG)</w:t>
      </w:r>
    </w:p>
    <w:p w14:paraId="45B0F1F9" w14:textId="462D3F9E" w:rsidR="008404F9" w:rsidRPr="000438EC" w:rsidRDefault="004E0D5A" w:rsidP="004A30BD">
      <w:pPr>
        <w:spacing w:after="240" w:line="240" w:lineRule="auto"/>
        <w:jc w:val="both"/>
        <w:rPr>
          <w:rFonts w:ascii="Times New Roman" w:eastAsia="Times" w:hAnsi="Times New Roman" w:cs="Times New Roman"/>
          <w:sz w:val="24"/>
          <w:szCs w:val="24"/>
          <w:highlight w:val="white"/>
          <w:u w:val="single"/>
          <w:lang w:val="en-US"/>
        </w:rPr>
      </w:pPr>
      <w:r>
        <w:rPr>
          <w:rFonts w:ascii="Times New Roman" w:eastAsia="Times" w:hAnsi="Times New Roman" w:cs="Times New Roman"/>
          <w:sz w:val="24"/>
          <w:szCs w:val="24"/>
          <w:highlight w:val="white"/>
          <w:u w:val="single"/>
          <w:lang w:val="en-US"/>
        </w:rPr>
        <w:t>Intrinsically linked: p</w:t>
      </w:r>
      <w:r w:rsidR="008404F9" w:rsidRPr="000438EC">
        <w:rPr>
          <w:rFonts w:ascii="Times New Roman" w:eastAsia="Times" w:hAnsi="Times New Roman" w:cs="Times New Roman"/>
          <w:sz w:val="24"/>
          <w:szCs w:val="24"/>
          <w:highlight w:val="white"/>
          <w:u w:val="single"/>
          <w:lang w:val="en-US"/>
        </w:rPr>
        <w:t>articipation</w:t>
      </w:r>
      <w:r w:rsidR="00CF7A8C">
        <w:rPr>
          <w:rFonts w:ascii="Times New Roman" w:eastAsia="Times" w:hAnsi="Times New Roman" w:cs="Times New Roman"/>
          <w:sz w:val="24"/>
          <w:szCs w:val="24"/>
          <w:highlight w:val="white"/>
          <w:u w:val="single"/>
          <w:lang w:val="en-US"/>
        </w:rPr>
        <w:t xml:space="preserve">, non-discrimination, and </w:t>
      </w:r>
      <w:r w:rsidR="008404F9" w:rsidRPr="000438EC">
        <w:rPr>
          <w:rFonts w:ascii="Times New Roman" w:eastAsia="Times" w:hAnsi="Times New Roman" w:cs="Times New Roman"/>
          <w:sz w:val="24"/>
          <w:szCs w:val="24"/>
          <w:highlight w:val="white"/>
          <w:u w:val="single"/>
          <w:lang w:val="en-US"/>
        </w:rPr>
        <w:t>access to scientific benefits</w:t>
      </w:r>
    </w:p>
    <w:p w14:paraId="3CACCD45" w14:textId="6F7F1D30" w:rsidR="008404F9" w:rsidRDefault="00FD11AA" w:rsidP="00B23A52">
      <w:pPr>
        <w:pStyle w:val="ListParagraph"/>
        <w:numPr>
          <w:ilvl w:val="0"/>
          <w:numId w:val="2"/>
        </w:numPr>
        <w:spacing w:after="240" w:line="240" w:lineRule="auto"/>
        <w:jc w:val="both"/>
        <w:rPr>
          <w:rFonts w:ascii="Times New Roman" w:eastAsia="Times" w:hAnsi="Times New Roman" w:cs="Times New Roman"/>
          <w:sz w:val="24"/>
          <w:szCs w:val="24"/>
          <w:highlight w:val="white"/>
          <w:lang w:val="en-US"/>
        </w:rPr>
      </w:pPr>
      <w:r w:rsidRPr="00B23A52">
        <w:rPr>
          <w:rFonts w:ascii="Times New Roman" w:eastAsia="Times" w:hAnsi="Times New Roman" w:cs="Times New Roman"/>
          <w:sz w:val="24"/>
          <w:szCs w:val="24"/>
          <w:highlight w:val="white"/>
          <w:lang w:val="en-US"/>
        </w:rPr>
        <w:t>Participation is also a prerequisite for accessing the benefits of scientific progress</w:t>
      </w:r>
      <w:r w:rsidRPr="00B23A52">
        <w:rPr>
          <w:rFonts w:ascii="Times New Roman" w:eastAsia="Times" w:hAnsi="Times New Roman" w:cs="Times New Roman"/>
          <w:sz w:val="24"/>
          <w:szCs w:val="24"/>
          <w:highlight w:val="white"/>
          <w:lang w:val="en-US"/>
        </w:rPr>
        <w:t>. On the most basic level, participation ensures that scientific progress</w:t>
      </w:r>
      <w:r w:rsidR="008404F9" w:rsidRPr="00B23A52">
        <w:rPr>
          <w:rFonts w:ascii="Times New Roman" w:eastAsia="Times" w:hAnsi="Times New Roman" w:cs="Times New Roman"/>
          <w:sz w:val="24"/>
          <w:szCs w:val="24"/>
          <w:highlight w:val="white"/>
          <w:lang w:val="en-US"/>
        </w:rPr>
        <w:t xml:space="preserve"> is applicable </w:t>
      </w:r>
      <w:r w:rsidR="00CF7A8C" w:rsidRPr="00B23A52">
        <w:rPr>
          <w:rFonts w:ascii="Times New Roman" w:eastAsia="Times" w:hAnsi="Times New Roman" w:cs="Times New Roman"/>
          <w:sz w:val="24"/>
          <w:szCs w:val="24"/>
          <w:highlight w:val="white"/>
          <w:lang w:val="en-US"/>
        </w:rPr>
        <w:t>and</w:t>
      </w:r>
      <w:r w:rsidR="008404F9" w:rsidRPr="00B23A52">
        <w:rPr>
          <w:rFonts w:ascii="Times New Roman" w:eastAsia="Times" w:hAnsi="Times New Roman" w:cs="Times New Roman"/>
          <w:sz w:val="24"/>
          <w:szCs w:val="24"/>
          <w:highlight w:val="white"/>
          <w:lang w:val="en-US"/>
        </w:rPr>
        <w:t xml:space="preserve"> relevant to specific groups of people</w:t>
      </w:r>
      <w:r w:rsidR="006D0978" w:rsidRPr="00B23A52">
        <w:rPr>
          <w:rFonts w:ascii="Times New Roman" w:eastAsia="Times" w:hAnsi="Times New Roman" w:cs="Times New Roman"/>
          <w:sz w:val="24"/>
          <w:szCs w:val="24"/>
          <w:highlight w:val="white"/>
          <w:lang w:val="en-US"/>
        </w:rPr>
        <w:t>, particularly marginalized populations</w:t>
      </w:r>
      <w:r w:rsidR="008404F9" w:rsidRPr="00B23A52">
        <w:rPr>
          <w:rFonts w:ascii="Times New Roman" w:eastAsia="Times" w:hAnsi="Times New Roman" w:cs="Times New Roman"/>
          <w:sz w:val="24"/>
          <w:szCs w:val="24"/>
          <w:highlight w:val="white"/>
          <w:lang w:val="en-US"/>
        </w:rPr>
        <w:t>.</w:t>
      </w:r>
      <w:r w:rsidR="00CF7A8C" w:rsidRPr="00B23A52">
        <w:rPr>
          <w:rFonts w:ascii="Times New Roman" w:eastAsia="Times" w:hAnsi="Times New Roman" w:cs="Times New Roman"/>
          <w:sz w:val="24"/>
          <w:szCs w:val="24"/>
          <w:highlight w:val="white"/>
          <w:lang w:val="en-US"/>
        </w:rPr>
        <w:t xml:space="preserve"> To take it a step further: without fostering participation, States cannot live up to the duty of ensuring non-discrimination in access to science and its benefits.</w:t>
      </w:r>
      <w:r w:rsidR="008404F9" w:rsidRPr="00B23A52">
        <w:rPr>
          <w:rFonts w:ascii="Times New Roman" w:eastAsia="Times" w:hAnsi="Times New Roman" w:cs="Times New Roman"/>
          <w:sz w:val="24"/>
          <w:szCs w:val="24"/>
          <w:highlight w:val="white"/>
          <w:lang w:val="en-US"/>
        </w:rPr>
        <w:t xml:space="preserve"> </w:t>
      </w:r>
      <w:r w:rsidR="00CF7A8C" w:rsidRPr="00B23A52">
        <w:rPr>
          <w:rFonts w:ascii="Times New Roman" w:eastAsia="Times" w:hAnsi="Times New Roman" w:cs="Times New Roman"/>
          <w:sz w:val="24"/>
          <w:szCs w:val="24"/>
          <w:highlight w:val="white"/>
          <w:lang w:val="en-US"/>
        </w:rPr>
        <w:t xml:space="preserve">Participation as a precondition of non-discrimination in access becomes clear when considering State obligations </w:t>
      </w:r>
      <w:r w:rsidR="008404F9" w:rsidRPr="00B23A52">
        <w:rPr>
          <w:rFonts w:ascii="Times New Roman" w:eastAsia="Times" w:hAnsi="Times New Roman" w:cs="Times New Roman"/>
          <w:sz w:val="24"/>
          <w:szCs w:val="24"/>
          <w:highlight w:val="white"/>
          <w:lang w:val="en-US"/>
        </w:rPr>
        <w:t>to</w:t>
      </w:r>
      <w:r w:rsidR="006D0978" w:rsidRPr="00B23A52">
        <w:rPr>
          <w:rFonts w:ascii="Times New Roman" w:eastAsia="Times" w:hAnsi="Times New Roman" w:cs="Times New Roman"/>
          <w:sz w:val="24"/>
          <w:szCs w:val="24"/>
          <w:highlight w:val="white"/>
          <w:lang w:val="en-US"/>
        </w:rPr>
        <w:t xml:space="preserve"> deliver on the five elements of the right to science named in GC 25</w:t>
      </w:r>
      <w:r w:rsidR="008404F9" w:rsidRPr="00B23A52">
        <w:rPr>
          <w:rFonts w:ascii="Times New Roman" w:eastAsia="Times" w:hAnsi="Times New Roman" w:cs="Times New Roman"/>
          <w:sz w:val="24"/>
          <w:szCs w:val="24"/>
          <w:highlight w:val="white"/>
          <w:lang w:val="en-US"/>
        </w:rPr>
        <w:t xml:space="preserve">: </w:t>
      </w:r>
      <w:r w:rsidR="006D0978" w:rsidRPr="00B23A52">
        <w:rPr>
          <w:rFonts w:ascii="Times New Roman" w:eastAsia="Times" w:hAnsi="Times New Roman" w:cs="Times New Roman"/>
          <w:sz w:val="24"/>
          <w:szCs w:val="24"/>
          <w:highlight w:val="white"/>
          <w:lang w:val="en-US"/>
        </w:rPr>
        <w:t xml:space="preserve">availability, accessibility, acceptability, </w:t>
      </w:r>
      <w:proofErr w:type="gramStart"/>
      <w:r w:rsidR="006D0978" w:rsidRPr="00B23A52">
        <w:rPr>
          <w:rFonts w:ascii="Times New Roman" w:eastAsia="Times" w:hAnsi="Times New Roman" w:cs="Times New Roman"/>
          <w:sz w:val="24"/>
          <w:szCs w:val="24"/>
          <w:highlight w:val="white"/>
          <w:lang w:val="en-US"/>
        </w:rPr>
        <w:t>quality</w:t>
      </w:r>
      <w:proofErr w:type="gramEnd"/>
      <w:r w:rsidR="006D0978" w:rsidRPr="00B23A52">
        <w:rPr>
          <w:rFonts w:ascii="Times New Roman" w:eastAsia="Times" w:hAnsi="Times New Roman" w:cs="Times New Roman"/>
          <w:sz w:val="24"/>
          <w:szCs w:val="24"/>
          <w:highlight w:val="white"/>
          <w:lang w:val="en-US"/>
        </w:rPr>
        <w:t xml:space="preserve"> and the protection of freedom of scientific research.</w:t>
      </w:r>
      <w:r w:rsidR="006B544C">
        <w:rPr>
          <w:rStyle w:val="FootnoteReference"/>
          <w:rFonts w:ascii="Times New Roman" w:eastAsia="Times" w:hAnsi="Times New Roman" w:cs="Times New Roman"/>
          <w:sz w:val="24"/>
          <w:szCs w:val="24"/>
          <w:highlight w:val="white"/>
          <w:lang w:val="en-US"/>
        </w:rPr>
        <w:footnoteReference w:id="12"/>
      </w:r>
      <w:r w:rsidR="006D0978" w:rsidRPr="00B23A52">
        <w:rPr>
          <w:rFonts w:ascii="Times New Roman" w:eastAsia="Times" w:hAnsi="Times New Roman" w:cs="Times New Roman"/>
          <w:sz w:val="24"/>
          <w:szCs w:val="24"/>
          <w:highlight w:val="white"/>
          <w:lang w:val="en-US"/>
        </w:rPr>
        <w:t xml:space="preserve"> </w:t>
      </w:r>
    </w:p>
    <w:p w14:paraId="7A8FA762" w14:textId="77777777" w:rsidR="00B23A52" w:rsidRPr="00B23A52" w:rsidRDefault="00B23A52" w:rsidP="00B23A52">
      <w:pPr>
        <w:spacing w:after="240" w:line="240" w:lineRule="auto"/>
        <w:jc w:val="both"/>
        <w:rPr>
          <w:rFonts w:ascii="Times New Roman" w:eastAsia="Times" w:hAnsi="Times New Roman" w:cs="Times New Roman"/>
          <w:sz w:val="24"/>
          <w:szCs w:val="24"/>
          <w:highlight w:val="white"/>
          <w:lang w:val="en-US"/>
        </w:rPr>
      </w:pPr>
    </w:p>
    <w:p w14:paraId="6DB1EC13" w14:textId="5CCE01A8" w:rsidR="00CF7A8C" w:rsidRPr="00BC6B19" w:rsidRDefault="00CF7A8C" w:rsidP="00B23A52">
      <w:pPr>
        <w:pStyle w:val="ListParagraph"/>
        <w:numPr>
          <w:ilvl w:val="0"/>
          <w:numId w:val="2"/>
        </w:numPr>
        <w:spacing w:after="240" w:line="240" w:lineRule="auto"/>
        <w:jc w:val="both"/>
        <w:rPr>
          <w:rFonts w:ascii="Times New Roman" w:eastAsia="Times" w:hAnsi="Times New Roman" w:cs="Times New Roman"/>
          <w:sz w:val="24"/>
          <w:szCs w:val="24"/>
          <w:lang w:val="en-US"/>
        </w:rPr>
      </w:pPr>
      <w:r w:rsidRPr="00724B69">
        <w:rPr>
          <w:rFonts w:ascii="Times New Roman" w:eastAsia="Times New Roman" w:hAnsi="Times New Roman" w:cs="Times New Roman"/>
          <w:sz w:val="24"/>
          <w:szCs w:val="24"/>
          <w:lang w:val="en-US"/>
        </w:rPr>
        <w:t xml:space="preserve">The right to science articulates state obligations for the </w:t>
      </w:r>
      <w:r w:rsidRPr="00724B69">
        <w:rPr>
          <w:rFonts w:ascii="Times New Roman" w:eastAsia="Times New Roman" w:hAnsi="Times New Roman" w:cs="Times New Roman"/>
          <w:i/>
          <w:sz w:val="24"/>
          <w:szCs w:val="24"/>
          <w:lang w:val="en-US"/>
        </w:rPr>
        <w:t>purposive development</w:t>
      </w:r>
      <w:r w:rsidRPr="00724B69">
        <w:rPr>
          <w:rFonts w:ascii="Times New Roman" w:eastAsia="Times New Roman" w:hAnsi="Times New Roman" w:cs="Times New Roman"/>
          <w:sz w:val="24"/>
          <w:szCs w:val="24"/>
          <w:lang w:val="en-US"/>
        </w:rPr>
        <w:t xml:space="preserve"> of science and technology in ways that ensure the </w:t>
      </w:r>
      <w:r w:rsidRPr="00BC6B19">
        <w:rPr>
          <w:rFonts w:ascii="Times New Roman" w:eastAsia="Times New Roman" w:hAnsi="Times New Roman" w:cs="Times New Roman"/>
          <w:b/>
          <w:bCs/>
          <w:sz w:val="24"/>
          <w:szCs w:val="24"/>
          <w:lang w:val="en-US"/>
        </w:rPr>
        <w:t>a</w:t>
      </w:r>
      <w:r w:rsidRPr="00724B69">
        <w:rPr>
          <w:rFonts w:ascii="Times New Roman" w:eastAsia="Times New Roman" w:hAnsi="Times New Roman" w:cs="Times New Roman"/>
          <w:sz w:val="24"/>
          <w:szCs w:val="24"/>
          <w:lang w:val="en-US"/>
        </w:rPr>
        <w:t xml:space="preserve">vailability, </w:t>
      </w:r>
      <w:r w:rsidRPr="00BC6B19">
        <w:rPr>
          <w:rFonts w:ascii="Times New Roman" w:eastAsia="Times New Roman" w:hAnsi="Times New Roman" w:cs="Times New Roman"/>
          <w:b/>
          <w:bCs/>
          <w:sz w:val="24"/>
          <w:szCs w:val="24"/>
          <w:lang w:val="en-US"/>
        </w:rPr>
        <w:t>a</w:t>
      </w:r>
      <w:r w:rsidRPr="00724B69">
        <w:rPr>
          <w:rFonts w:ascii="Times New Roman" w:eastAsia="Times New Roman" w:hAnsi="Times New Roman" w:cs="Times New Roman"/>
          <w:sz w:val="24"/>
          <w:szCs w:val="24"/>
          <w:lang w:val="en-US"/>
        </w:rPr>
        <w:t xml:space="preserve">ccessibility, </w:t>
      </w:r>
      <w:r w:rsidRPr="00BC6B19">
        <w:rPr>
          <w:rFonts w:ascii="Times New Roman" w:eastAsia="Times New Roman" w:hAnsi="Times New Roman" w:cs="Times New Roman"/>
          <w:b/>
          <w:bCs/>
          <w:sz w:val="24"/>
          <w:szCs w:val="24"/>
          <w:lang w:val="en-US"/>
        </w:rPr>
        <w:t>a</w:t>
      </w:r>
      <w:r w:rsidRPr="00724B69">
        <w:rPr>
          <w:rFonts w:ascii="Times New Roman" w:eastAsia="Times New Roman" w:hAnsi="Times New Roman" w:cs="Times New Roman"/>
          <w:sz w:val="24"/>
          <w:szCs w:val="24"/>
          <w:lang w:val="en-US"/>
        </w:rPr>
        <w:t xml:space="preserve">ffordability, and </w:t>
      </w:r>
      <w:r w:rsidRPr="00BC6B19">
        <w:rPr>
          <w:rFonts w:ascii="Times New Roman" w:eastAsia="Times New Roman" w:hAnsi="Times New Roman" w:cs="Times New Roman"/>
          <w:b/>
          <w:bCs/>
          <w:sz w:val="24"/>
          <w:szCs w:val="24"/>
          <w:lang w:val="en-US"/>
        </w:rPr>
        <w:t>q</w:t>
      </w:r>
      <w:r w:rsidRPr="00724B69">
        <w:rPr>
          <w:rFonts w:ascii="Times New Roman" w:eastAsia="Times New Roman" w:hAnsi="Times New Roman" w:cs="Times New Roman"/>
          <w:sz w:val="24"/>
          <w:szCs w:val="24"/>
          <w:lang w:val="en-US"/>
        </w:rPr>
        <w:t xml:space="preserve">uality of scientific goods, </w:t>
      </w:r>
      <w:r w:rsidR="00BC6B19">
        <w:rPr>
          <w:rFonts w:ascii="Times New Roman" w:eastAsia="Times New Roman" w:hAnsi="Times New Roman" w:cs="Times New Roman"/>
          <w:sz w:val="24"/>
          <w:szCs w:val="24"/>
          <w:lang w:val="en-US"/>
        </w:rPr>
        <w:t>especially</w:t>
      </w:r>
      <w:r w:rsidRPr="00724B69">
        <w:rPr>
          <w:rFonts w:ascii="Times New Roman" w:eastAsia="Times New Roman" w:hAnsi="Times New Roman" w:cs="Times New Roman"/>
          <w:sz w:val="24"/>
          <w:szCs w:val="24"/>
          <w:lang w:val="en-US"/>
        </w:rPr>
        <w:t xml:space="preserve"> for vulnerable or marginalized groups.</w:t>
      </w:r>
      <w:r>
        <w:rPr>
          <w:rStyle w:val="FootnoteReference"/>
          <w:rFonts w:ascii="Times New Roman" w:eastAsia="Times New Roman" w:hAnsi="Times New Roman" w:cs="Times New Roman"/>
          <w:sz w:val="24"/>
          <w:szCs w:val="24"/>
          <w:lang w:val="en-US"/>
        </w:rPr>
        <w:footnoteReference w:id="13"/>
      </w:r>
      <w:r w:rsidRPr="00724B69">
        <w:rPr>
          <w:rFonts w:ascii="Times New Roman" w:eastAsia="Times New Roman" w:hAnsi="Times New Roman" w:cs="Times New Roman"/>
          <w:sz w:val="24"/>
          <w:szCs w:val="24"/>
          <w:lang w:val="en-US"/>
        </w:rPr>
        <w:t xml:space="preserve"> This so-called </w:t>
      </w:r>
      <w:r w:rsidRPr="00BC6B19">
        <w:rPr>
          <w:rFonts w:ascii="Times New Roman" w:eastAsia="Times New Roman" w:hAnsi="Times New Roman" w:cs="Times New Roman"/>
          <w:b/>
          <w:bCs/>
          <w:sz w:val="24"/>
          <w:szCs w:val="24"/>
          <w:lang w:val="en-US"/>
        </w:rPr>
        <w:t>AAAQ standard</w:t>
      </w:r>
      <w:r w:rsidRPr="00724B69">
        <w:rPr>
          <w:rFonts w:ascii="Times New Roman" w:eastAsia="Times New Roman" w:hAnsi="Times New Roman" w:cs="Times New Roman"/>
          <w:sz w:val="24"/>
          <w:szCs w:val="24"/>
          <w:lang w:val="en-US"/>
        </w:rPr>
        <w:t xml:space="preserve"> is recognized by GC 25 as containing the “essential elements” of the right to science (as well as other economic, social, and cultural rights such as the right to health and the right to education).</w:t>
      </w:r>
      <w:r w:rsidRPr="00F25B9C">
        <w:rPr>
          <w:vertAlign w:val="superscript"/>
          <w:lang w:val="en-US"/>
        </w:rPr>
        <w:footnoteReference w:id="14"/>
      </w:r>
      <w:r w:rsidRPr="00BC6B19">
        <w:rPr>
          <w:rFonts w:ascii="Times New Roman" w:eastAsia="Times New Roman" w:hAnsi="Times New Roman" w:cs="Times New Roman"/>
          <w:sz w:val="24"/>
          <w:szCs w:val="24"/>
          <w:vertAlign w:val="superscript"/>
          <w:lang w:val="en-US"/>
        </w:rPr>
        <w:t>,</w:t>
      </w:r>
      <w:r w:rsidRPr="00F25B9C">
        <w:rPr>
          <w:vertAlign w:val="superscript"/>
          <w:lang w:val="en-US"/>
        </w:rPr>
        <w:footnoteReference w:id="15"/>
      </w:r>
    </w:p>
    <w:p w14:paraId="482C8405" w14:textId="63D191C6" w:rsidR="00CF7A8C" w:rsidRPr="00BC6B19" w:rsidRDefault="00BC6B19" w:rsidP="00B23A52">
      <w:pPr>
        <w:numPr>
          <w:ilvl w:val="0"/>
          <w:numId w:val="2"/>
        </w:numPr>
        <w:spacing w:after="240" w:line="240" w:lineRule="auto"/>
        <w:jc w:val="both"/>
        <w:rPr>
          <w:rFonts w:ascii="Times New Roman" w:eastAsia="Times" w:hAnsi="Times New Roman" w:cs="Times New Roman"/>
          <w:sz w:val="24"/>
          <w:szCs w:val="24"/>
          <w:lang w:val="en-US"/>
        </w:rPr>
      </w:pPr>
      <w:r>
        <w:rPr>
          <w:rFonts w:ascii="Times New Roman" w:eastAsia="Times New Roman" w:hAnsi="Times New Roman" w:cs="Times New Roman"/>
          <w:sz w:val="24"/>
          <w:szCs w:val="24"/>
          <w:lang w:val="en-US"/>
        </w:rPr>
        <w:t xml:space="preserve">Non-discrimination is at the heart of each of the AAAQ elements. </w:t>
      </w:r>
      <w:r w:rsidRPr="00F25B9C">
        <w:rPr>
          <w:rFonts w:ascii="Times New Roman" w:eastAsia="Times New Roman" w:hAnsi="Times New Roman" w:cs="Times New Roman"/>
          <w:sz w:val="24"/>
          <w:szCs w:val="24"/>
          <w:lang w:val="en-US"/>
        </w:rPr>
        <w:t xml:space="preserve">With regards to </w:t>
      </w:r>
      <w:r w:rsidRPr="00F25B9C">
        <w:rPr>
          <w:rFonts w:ascii="Times New Roman" w:eastAsia="Times New Roman" w:hAnsi="Times New Roman" w:cs="Times New Roman"/>
          <w:i/>
          <w:sz w:val="24"/>
          <w:szCs w:val="24"/>
          <w:lang w:val="en-US"/>
        </w:rPr>
        <w:t>availability</w:t>
      </w:r>
      <w:r w:rsidRPr="00F25B9C">
        <w:rPr>
          <w:rFonts w:ascii="Times New Roman" w:eastAsia="Times New Roman" w:hAnsi="Times New Roman" w:cs="Times New Roman"/>
          <w:sz w:val="24"/>
          <w:szCs w:val="24"/>
          <w:lang w:val="en-US"/>
        </w:rPr>
        <w:t>, GC</w:t>
      </w:r>
      <w:r>
        <w:rPr>
          <w:rFonts w:ascii="Times New Roman" w:eastAsia="Times New Roman" w:hAnsi="Times New Roman" w:cs="Times New Roman"/>
          <w:sz w:val="24"/>
          <w:szCs w:val="24"/>
          <w:lang w:val="en-US"/>
        </w:rPr>
        <w:t xml:space="preserve"> </w:t>
      </w:r>
      <w:r w:rsidRPr="00F25B9C">
        <w:rPr>
          <w:rFonts w:ascii="Times New Roman" w:eastAsia="Times New Roman" w:hAnsi="Times New Roman" w:cs="Times New Roman"/>
          <w:sz w:val="24"/>
          <w:szCs w:val="24"/>
          <w:lang w:val="en-US"/>
        </w:rPr>
        <w:t>25 notes “States parties should direct their own resources and coordinate actions of others to ensure that scientific progress happens and that its applications and benefits are distributed and are available, especially to vulnerable and marginalized groups.”</w:t>
      </w:r>
      <w:r w:rsidRPr="00F25B9C">
        <w:rPr>
          <w:rFonts w:ascii="Times New Roman" w:eastAsia="Times New Roman" w:hAnsi="Times New Roman" w:cs="Times New Roman"/>
          <w:sz w:val="24"/>
          <w:szCs w:val="24"/>
          <w:vertAlign w:val="superscript"/>
          <w:lang w:val="en-US"/>
        </w:rPr>
        <w:footnoteReference w:id="16"/>
      </w:r>
      <w:r w:rsidRPr="00F25B9C">
        <w:rPr>
          <w:rFonts w:ascii="Times New Roman" w:eastAsia="Times New Roman" w:hAnsi="Times New Roman" w:cs="Times New Roman"/>
          <w:sz w:val="24"/>
          <w:szCs w:val="24"/>
          <w:lang w:val="en-US"/>
        </w:rPr>
        <w:t xml:space="preserve"> As a part of </w:t>
      </w:r>
      <w:r w:rsidRPr="00F25B9C">
        <w:rPr>
          <w:rFonts w:ascii="Times New Roman" w:eastAsia="Times New Roman" w:hAnsi="Times New Roman" w:cs="Times New Roman"/>
          <w:i/>
          <w:sz w:val="24"/>
          <w:szCs w:val="24"/>
          <w:lang w:val="en-US"/>
        </w:rPr>
        <w:t>accessibility</w:t>
      </w:r>
      <w:r w:rsidRPr="00F25B9C">
        <w:rPr>
          <w:rFonts w:ascii="Times New Roman" w:eastAsia="Times New Roman" w:hAnsi="Times New Roman" w:cs="Times New Roman"/>
          <w:sz w:val="24"/>
          <w:szCs w:val="24"/>
          <w:lang w:val="en-US"/>
        </w:rPr>
        <w:t>, GC</w:t>
      </w:r>
      <w:r>
        <w:rPr>
          <w:rFonts w:ascii="Times New Roman" w:eastAsia="Times New Roman" w:hAnsi="Times New Roman" w:cs="Times New Roman"/>
          <w:sz w:val="24"/>
          <w:szCs w:val="24"/>
          <w:lang w:val="en-US"/>
        </w:rPr>
        <w:t xml:space="preserve"> </w:t>
      </w:r>
      <w:r w:rsidRPr="00F25B9C">
        <w:rPr>
          <w:rFonts w:ascii="Times New Roman" w:eastAsia="Times New Roman" w:hAnsi="Times New Roman" w:cs="Times New Roman"/>
          <w:sz w:val="24"/>
          <w:szCs w:val="24"/>
          <w:lang w:val="en-US"/>
        </w:rPr>
        <w:t>25 stresses that “States parties should ensure that everyone has equal access to the applications of science, particularly when they are instrumental for the enjoyment of other economic, social and cultural rights.”</w:t>
      </w:r>
      <w:r w:rsidRPr="00BC6B19">
        <w:rPr>
          <w:rFonts w:ascii="Times New Roman" w:eastAsia="Times New Roman" w:hAnsi="Times New Roman" w:cs="Times New Roman"/>
          <w:sz w:val="24"/>
          <w:szCs w:val="24"/>
          <w:vertAlign w:val="superscript"/>
          <w:lang w:val="en-US"/>
        </w:rPr>
        <w:footnoteReference w:id="17"/>
      </w:r>
      <w:r>
        <w:rPr>
          <w:rFonts w:ascii="Times New Roman" w:eastAsia="Times New Roman" w:hAnsi="Times New Roman" w:cs="Times New Roman"/>
          <w:sz w:val="24"/>
          <w:szCs w:val="24"/>
          <w:lang w:val="en-US"/>
        </w:rPr>
        <w:t xml:space="preserve"> </w:t>
      </w:r>
      <w:r w:rsidRPr="00BC6B19">
        <w:rPr>
          <w:rFonts w:ascii="Times New Roman" w:eastAsia="Times New Roman" w:hAnsi="Times New Roman" w:cs="Times New Roman"/>
          <w:sz w:val="24"/>
          <w:szCs w:val="24"/>
          <w:lang w:val="en-US"/>
        </w:rPr>
        <w:t>GC 25 continues by saying</w:t>
      </w:r>
      <w:r>
        <w:rPr>
          <w:rFonts w:ascii="Times New Roman" w:eastAsia="Times New Roman" w:hAnsi="Times New Roman" w:cs="Times New Roman"/>
          <w:sz w:val="24"/>
          <w:szCs w:val="24"/>
          <w:lang w:val="en-US"/>
        </w:rPr>
        <w:t>:</w:t>
      </w:r>
      <w:r w:rsidRPr="00BC6B19">
        <w:rPr>
          <w:rFonts w:ascii="Times New Roman" w:eastAsia="Times New Roman" w:hAnsi="Times New Roman" w:cs="Times New Roman"/>
          <w:sz w:val="24"/>
          <w:szCs w:val="24"/>
          <w:lang w:val="en-US"/>
        </w:rPr>
        <w:t xml:space="preserve"> “States parties should remove discriminatory barriers that impede persons from participating in scientific progress, for instance, by facilitating the access of marginalized populations to scientific education.</w:t>
      </w:r>
      <w:r>
        <w:rPr>
          <w:rFonts w:ascii="Times New Roman" w:eastAsia="Times New Roman" w:hAnsi="Times New Roman" w:cs="Times New Roman"/>
          <w:sz w:val="24"/>
          <w:szCs w:val="24"/>
          <w:lang w:val="en-US"/>
        </w:rPr>
        <w:t>” TAG believes that such access must extend</w:t>
      </w:r>
      <w:r w:rsidRPr="00BC6B1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beyond scientific education to encompass participation in scientific activities broadly understood. In our field, this would include participation in clinical trials and other health intervention studies. </w:t>
      </w:r>
    </w:p>
    <w:p w14:paraId="7EE03E7A" w14:textId="38D2E274" w:rsidR="00E93E52" w:rsidRPr="000438EC" w:rsidRDefault="006D0978" w:rsidP="00B23A52">
      <w:pPr>
        <w:numPr>
          <w:ilvl w:val="0"/>
          <w:numId w:val="2"/>
        </w:numPr>
        <w:spacing w:after="240" w:line="240" w:lineRule="auto"/>
        <w:jc w:val="both"/>
        <w:rPr>
          <w:rFonts w:ascii="Times New Roman" w:eastAsia="Times" w:hAnsi="Times New Roman" w:cs="Times New Roman"/>
          <w:sz w:val="24"/>
          <w:szCs w:val="24"/>
          <w:highlight w:val="white"/>
          <w:lang w:val="en-US"/>
        </w:rPr>
      </w:pPr>
      <w:r w:rsidRPr="000438EC">
        <w:rPr>
          <w:rFonts w:ascii="Times New Roman" w:eastAsia="Times" w:hAnsi="Times New Roman" w:cs="Times New Roman"/>
          <w:sz w:val="24"/>
          <w:szCs w:val="24"/>
          <w:highlight w:val="white"/>
          <w:lang w:val="en-US"/>
        </w:rPr>
        <w:t>T</w:t>
      </w:r>
      <w:r w:rsidR="00FD11AA" w:rsidRPr="000438EC">
        <w:rPr>
          <w:rFonts w:ascii="Times New Roman" w:eastAsia="Times" w:hAnsi="Times New Roman" w:cs="Times New Roman"/>
          <w:sz w:val="24"/>
          <w:szCs w:val="24"/>
          <w:highlight w:val="white"/>
          <w:lang w:val="en-US"/>
        </w:rPr>
        <w:t>he systematic exclusion of certain groups from</w:t>
      </w:r>
      <w:r w:rsidR="00FD11AA" w:rsidRPr="000438EC">
        <w:rPr>
          <w:rFonts w:ascii="Times New Roman" w:eastAsia="Times" w:hAnsi="Times New Roman" w:cs="Times New Roman"/>
          <w:sz w:val="24"/>
          <w:szCs w:val="24"/>
          <w:highlight w:val="white"/>
          <w:lang w:val="en-US"/>
        </w:rPr>
        <w:t xml:space="preserve"> research</w:t>
      </w:r>
      <w:r w:rsidR="00BC6B19">
        <w:rPr>
          <w:rFonts w:ascii="Times New Roman" w:eastAsia="Times" w:hAnsi="Times New Roman" w:cs="Times New Roman"/>
          <w:sz w:val="24"/>
          <w:szCs w:val="24"/>
          <w:highlight w:val="white"/>
          <w:lang w:val="en-US"/>
        </w:rPr>
        <w:t xml:space="preserve"> studies</w:t>
      </w:r>
      <w:r w:rsidR="00FD11AA" w:rsidRPr="000438EC">
        <w:rPr>
          <w:rFonts w:ascii="Times New Roman" w:eastAsia="Times" w:hAnsi="Times New Roman" w:cs="Times New Roman"/>
          <w:sz w:val="24"/>
          <w:szCs w:val="24"/>
          <w:highlight w:val="white"/>
          <w:lang w:val="en-US"/>
        </w:rPr>
        <w:t xml:space="preserve"> reinforces disparities in which some populations shoulder a greater burden of disease than others. In the context of TB, this manifests in the tendency of clinical trials to favor enrollment of “typical” TB patients with easier-to-treat forms of </w:t>
      </w:r>
      <w:r w:rsidR="00FD11AA" w:rsidRPr="000438EC">
        <w:rPr>
          <w:rFonts w:ascii="Times New Roman" w:eastAsia="Times" w:hAnsi="Times New Roman" w:cs="Times New Roman"/>
          <w:sz w:val="24"/>
          <w:szCs w:val="24"/>
          <w:highlight w:val="white"/>
          <w:lang w:val="en-US"/>
        </w:rPr>
        <w:t>disease. As a result, people with complicating comorbidities (e.g., HIV, diabetes) or severe disease manifestations (e.g., TB meningitis) are left out of trials</w:t>
      </w:r>
      <w:r w:rsidR="000F4800" w:rsidRPr="000438EC">
        <w:rPr>
          <w:rFonts w:ascii="Times New Roman" w:eastAsia="Times" w:hAnsi="Times New Roman" w:cs="Times New Roman"/>
          <w:sz w:val="24"/>
          <w:szCs w:val="24"/>
          <w:highlight w:val="white"/>
          <w:lang w:val="en-US"/>
        </w:rPr>
        <w:t>; they are not allowed to participate in research</w:t>
      </w:r>
      <w:r w:rsidR="00763F1B" w:rsidRPr="000438EC">
        <w:rPr>
          <w:rFonts w:ascii="Times New Roman" w:eastAsia="Times" w:hAnsi="Times New Roman" w:cs="Times New Roman"/>
          <w:sz w:val="24"/>
          <w:szCs w:val="24"/>
          <w:highlight w:val="white"/>
          <w:lang w:val="en-US"/>
        </w:rPr>
        <w:t>,</w:t>
      </w:r>
      <w:r w:rsidR="000F4800" w:rsidRPr="000438EC">
        <w:rPr>
          <w:rFonts w:ascii="Times New Roman" w:eastAsia="Times" w:hAnsi="Times New Roman" w:cs="Times New Roman"/>
          <w:sz w:val="24"/>
          <w:szCs w:val="24"/>
          <w:highlight w:val="white"/>
          <w:lang w:val="en-US"/>
        </w:rPr>
        <w:t xml:space="preserve"> even if they would choose to do so</w:t>
      </w:r>
      <w:r w:rsidR="004A30BD" w:rsidRPr="000438EC">
        <w:rPr>
          <w:rFonts w:ascii="Times New Roman" w:eastAsia="Times" w:hAnsi="Times New Roman" w:cs="Times New Roman"/>
          <w:sz w:val="24"/>
          <w:szCs w:val="24"/>
          <w:highlight w:val="white"/>
          <w:lang w:val="en-US"/>
        </w:rPr>
        <w:t xml:space="preserve"> after providing informed consent</w:t>
      </w:r>
      <w:r w:rsidR="00763F1B" w:rsidRPr="000438EC">
        <w:rPr>
          <w:rFonts w:ascii="Times New Roman" w:eastAsia="Times" w:hAnsi="Times New Roman" w:cs="Times New Roman"/>
          <w:sz w:val="24"/>
          <w:szCs w:val="24"/>
          <w:highlight w:val="white"/>
          <w:lang w:val="en-US"/>
        </w:rPr>
        <w:t xml:space="preserve">, because they have been labelled as ‘ineligible’ per the </w:t>
      </w:r>
      <w:r w:rsidR="0021313C" w:rsidRPr="000438EC">
        <w:rPr>
          <w:rFonts w:ascii="Times New Roman" w:eastAsia="Times" w:hAnsi="Times New Roman" w:cs="Times New Roman"/>
          <w:sz w:val="24"/>
          <w:szCs w:val="24"/>
          <w:highlight w:val="white"/>
          <w:lang w:val="en-US"/>
        </w:rPr>
        <w:t>protocols</w:t>
      </w:r>
      <w:r w:rsidR="00BC6B19">
        <w:rPr>
          <w:rFonts w:ascii="Times New Roman" w:eastAsia="Times" w:hAnsi="Times New Roman" w:cs="Times New Roman"/>
          <w:sz w:val="24"/>
          <w:szCs w:val="24"/>
          <w:highlight w:val="white"/>
          <w:lang w:val="en-US"/>
        </w:rPr>
        <w:t xml:space="preserve"> governing clinical trials</w:t>
      </w:r>
      <w:r w:rsidR="0021313C" w:rsidRPr="000438EC">
        <w:rPr>
          <w:rFonts w:ascii="Times New Roman" w:eastAsia="Times" w:hAnsi="Times New Roman" w:cs="Times New Roman"/>
          <w:sz w:val="24"/>
          <w:szCs w:val="24"/>
          <w:highlight w:val="white"/>
          <w:lang w:val="en-US"/>
        </w:rPr>
        <w:t>.</w:t>
      </w:r>
      <w:r w:rsidR="00FD11AA" w:rsidRPr="000438EC">
        <w:rPr>
          <w:rFonts w:ascii="Times New Roman" w:eastAsia="Times" w:hAnsi="Times New Roman" w:cs="Times New Roman"/>
          <w:sz w:val="24"/>
          <w:szCs w:val="24"/>
          <w:highlight w:val="white"/>
          <w:lang w:val="en-US"/>
        </w:rPr>
        <w:t xml:space="preserve"> Other groups deemed vulnerable to scientific harm as a class —  e.g., children, adolescents, a</w:t>
      </w:r>
      <w:r w:rsidR="00FD11AA" w:rsidRPr="000438EC">
        <w:rPr>
          <w:rFonts w:ascii="Times New Roman" w:eastAsia="Times" w:hAnsi="Times New Roman" w:cs="Times New Roman"/>
          <w:sz w:val="24"/>
          <w:szCs w:val="24"/>
          <w:highlight w:val="white"/>
          <w:lang w:val="en-US"/>
        </w:rPr>
        <w:t xml:space="preserve">nd pregnant women — are excluded out of a misplaced desire to protect these populations from harm. </w:t>
      </w:r>
    </w:p>
    <w:p w14:paraId="7BC9BB43" w14:textId="7987C96C" w:rsidR="00E93E52" w:rsidRPr="000438EC" w:rsidRDefault="00FD11AA" w:rsidP="00B23A52">
      <w:pPr>
        <w:numPr>
          <w:ilvl w:val="0"/>
          <w:numId w:val="2"/>
        </w:numPr>
        <w:spacing w:after="240" w:line="240" w:lineRule="auto"/>
        <w:jc w:val="both"/>
        <w:rPr>
          <w:rFonts w:ascii="Times New Roman" w:eastAsia="Times" w:hAnsi="Times New Roman" w:cs="Times New Roman"/>
          <w:sz w:val="24"/>
          <w:szCs w:val="24"/>
          <w:highlight w:val="white"/>
          <w:lang w:val="en-US"/>
        </w:rPr>
      </w:pPr>
      <w:proofErr w:type="gramStart"/>
      <w:r w:rsidRPr="000438EC">
        <w:rPr>
          <w:rFonts w:ascii="Times New Roman" w:eastAsia="Times" w:hAnsi="Times New Roman" w:cs="Times New Roman"/>
          <w:sz w:val="24"/>
          <w:szCs w:val="24"/>
          <w:highlight w:val="white"/>
          <w:lang w:val="en-US"/>
        </w:rPr>
        <w:t>In reality, research</w:t>
      </w:r>
      <w:proofErr w:type="gramEnd"/>
      <w:r w:rsidRPr="000438EC">
        <w:rPr>
          <w:rFonts w:ascii="Times New Roman" w:eastAsia="Times" w:hAnsi="Times New Roman" w:cs="Times New Roman"/>
          <w:sz w:val="24"/>
          <w:szCs w:val="24"/>
          <w:highlight w:val="white"/>
          <w:lang w:val="en-US"/>
        </w:rPr>
        <w:t xml:space="preserve"> protection interpreted as exclusion amplifies TB-related harms. Evidence-based guidelines cannot be made in the absence of evidence tha</w:t>
      </w:r>
      <w:r w:rsidRPr="000438EC">
        <w:rPr>
          <w:rFonts w:ascii="Times New Roman" w:eastAsia="Times" w:hAnsi="Times New Roman" w:cs="Times New Roman"/>
          <w:sz w:val="24"/>
          <w:szCs w:val="24"/>
          <w:highlight w:val="white"/>
          <w:lang w:val="en-US"/>
        </w:rPr>
        <w:t>t an intervention works in a particular population. Some of the populations most vulnerable to TB are either not represented in normative guidance produced by the World Health Organization</w:t>
      </w:r>
      <w:r w:rsidRPr="000438EC">
        <w:rPr>
          <w:rFonts w:ascii="Times New Roman" w:eastAsia="Times" w:hAnsi="Times New Roman" w:cs="Times New Roman"/>
          <w:sz w:val="24"/>
          <w:szCs w:val="24"/>
          <w:highlight w:val="white"/>
          <w:lang w:val="en-US"/>
        </w:rPr>
        <w:t xml:space="preserve"> or must wait years for well-established interventions to be recomm</w:t>
      </w:r>
      <w:r w:rsidRPr="000438EC">
        <w:rPr>
          <w:rFonts w:ascii="Times New Roman" w:eastAsia="Times" w:hAnsi="Times New Roman" w:cs="Times New Roman"/>
          <w:sz w:val="24"/>
          <w:szCs w:val="24"/>
          <w:highlight w:val="white"/>
          <w:lang w:val="en-US"/>
        </w:rPr>
        <w:t xml:space="preserve">ended for their use. </w:t>
      </w:r>
    </w:p>
    <w:p w14:paraId="0521FD98" w14:textId="43D4C676" w:rsidR="00E93E52" w:rsidRPr="003E1C13" w:rsidRDefault="00FD11AA" w:rsidP="00B23A52">
      <w:pPr>
        <w:numPr>
          <w:ilvl w:val="1"/>
          <w:numId w:val="2"/>
        </w:numPr>
        <w:spacing w:after="240" w:line="240" w:lineRule="auto"/>
        <w:jc w:val="both"/>
        <w:rPr>
          <w:rFonts w:ascii="Times New Roman" w:eastAsia="Times" w:hAnsi="Times New Roman" w:cs="Times New Roman"/>
          <w:sz w:val="24"/>
          <w:szCs w:val="24"/>
          <w:highlight w:val="white"/>
          <w:lang w:val="en-US"/>
        </w:rPr>
      </w:pPr>
      <w:r w:rsidRPr="000438EC">
        <w:rPr>
          <w:rFonts w:ascii="Times New Roman" w:eastAsia="Times" w:hAnsi="Times New Roman" w:cs="Times New Roman"/>
          <w:sz w:val="24"/>
          <w:szCs w:val="24"/>
          <w:highlight w:val="white"/>
          <w:lang w:val="en-US"/>
        </w:rPr>
        <w:lastRenderedPageBreak/>
        <w:t xml:space="preserve">To </w:t>
      </w:r>
      <w:r w:rsidR="008D3965" w:rsidRPr="000438EC">
        <w:rPr>
          <w:rFonts w:ascii="Times New Roman" w:eastAsia="Times" w:hAnsi="Times New Roman" w:cs="Times New Roman"/>
          <w:sz w:val="24"/>
          <w:szCs w:val="24"/>
          <w:highlight w:val="white"/>
          <w:lang w:val="en-US"/>
        </w:rPr>
        <w:t>take</w:t>
      </w:r>
      <w:r w:rsidR="008D3965" w:rsidRPr="000438EC">
        <w:rPr>
          <w:rFonts w:ascii="Times New Roman" w:eastAsia="Times" w:hAnsi="Times New Roman" w:cs="Times New Roman"/>
          <w:sz w:val="24"/>
          <w:szCs w:val="24"/>
          <w:highlight w:val="white"/>
          <w:lang w:val="en-US"/>
        </w:rPr>
        <w:t xml:space="preserve"> </w:t>
      </w:r>
      <w:r w:rsidRPr="000438EC">
        <w:rPr>
          <w:rFonts w:ascii="Times New Roman" w:eastAsia="Times" w:hAnsi="Times New Roman" w:cs="Times New Roman"/>
          <w:sz w:val="24"/>
          <w:szCs w:val="24"/>
          <w:highlight w:val="white"/>
          <w:lang w:val="en-US"/>
        </w:rPr>
        <w:t xml:space="preserve">just one </w:t>
      </w:r>
      <w:r w:rsidR="008D3965" w:rsidRPr="000438EC">
        <w:rPr>
          <w:rFonts w:ascii="Times New Roman" w:eastAsia="Times" w:hAnsi="Times New Roman" w:cs="Times New Roman"/>
          <w:sz w:val="24"/>
          <w:szCs w:val="24"/>
          <w:highlight w:val="white"/>
          <w:lang w:val="en-US"/>
        </w:rPr>
        <w:t xml:space="preserve">illustrative </w:t>
      </w:r>
      <w:r w:rsidRPr="000438EC">
        <w:rPr>
          <w:rFonts w:ascii="Times New Roman" w:eastAsia="Times" w:hAnsi="Times New Roman" w:cs="Times New Roman"/>
          <w:sz w:val="24"/>
          <w:szCs w:val="24"/>
          <w:highlight w:val="white"/>
          <w:lang w:val="en-US"/>
        </w:rPr>
        <w:t xml:space="preserve">example: </w:t>
      </w:r>
      <w:r w:rsidR="003E1C13">
        <w:rPr>
          <w:rFonts w:ascii="Times New Roman" w:eastAsia="Times" w:hAnsi="Times New Roman" w:cs="Times New Roman"/>
          <w:sz w:val="24"/>
          <w:szCs w:val="24"/>
          <w:highlight w:val="white"/>
          <w:lang w:val="en-US"/>
        </w:rPr>
        <w:t>more than</w:t>
      </w:r>
      <w:r w:rsidRPr="000438EC">
        <w:rPr>
          <w:rFonts w:ascii="Times New Roman" w:eastAsia="Times" w:hAnsi="Times New Roman" w:cs="Times New Roman"/>
          <w:sz w:val="24"/>
          <w:szCs w:val="24"/>
          <w:highlight w:val="white"/>
          <w:lang w:val="en-US"/>
        </w:rPr>
        <w:t xml:space="preserve"> 60 years elapsed between when the most common TB preventive treatment regimen (isoniazid preventive therapy) was first introduced and when it was first studied </w:t>
      </w:r>
      <w:r w:rsidR="003E1C13">
        <w:rPr>
          <w:rFonts w:ascii="Times New Roman" w:eastAsia="Times" w:hAnsi="Times New Roman" w:cs="Times New Roman"/>
          <w:sz w:val="24"/>
          <w:szCs w:val="24"/>
          <w:highlight w:val="white"/>
          <w:lang w:val="en-US"/>
        </w:rPr>
        <w:t xml:space="preserve">systematically </w:t>
      </w:r>
      <w:r w:rsidRPr="000438EC">
        <w:rPr>
          <w:rFonts w:ascii="Times New Roman" w:eastAsia="Times" w:hAnsi="Times New Roman" w:cs="Times New Roman"/>
          <w:sz w:val="24"/>
          <w:szCs w:val="24"/>
          <w:highlight w:val="white"/>
          <w:lang w:val="en-US"/>
        </w:rPr>
        <w:t>in pregnant women, who face a higher risk o</w:t>
      </w:r>
      <w:r w:rsidRPr="000438EC">
        <w:rPr>
          <w:rFonts w:ascii="Times New Roman" w:eastAsia="Times" w:hAnsi="Times New Roman" w:cs="Times New Roman"/>
          <w:sz w:val="24"/>
          <w:szCs w:val="24"/>
          <w:highlight w:val="white"/>
          <w:lang w:val="en-US"/>
        </w:rPr>
        <w:t>f TB infection and disease than the general population.</w:t>
      </w:r>
      <w:r w:rsidR="001E2BD1" w:rsidRPr="00B23A52">
        <w:rPr>
          <w:rStyle w:val="FootnoteReference"/>
          <w:rFonts w:ascii="Times New Roman" w:eastAsia="Times" w:hAnsi="Times New Roman" w:cs="Times New Roman"/>
          <w:sz w:val="24"/>
          <w:szCs w:val="24"/>
          <w:highlight w:val="white"/>
          <w:lang w:val="en-US"/>
        </w:rPr>
        <w:footnoteReference w:id="18"/>
      </w:r>
      <w:r w:rsidRPr="00B23A52">
        <w:rPr>
          <w:rFonts w:ascii="Times New Roman" w:eastAsia="Times" w:hAnsi="Times New Roman" w:cs="Times New Roman"/>
          <w:sz w:val="24"/>
          <w:szCs w:val="24"/>
          <w:highlight w:val="white"/>
          <w:lang w:val="en-US"/>
        </w:rPr>
        <w:t xml:space="preserve"> When the first clinical trial of isoniazid preventive therapy was </w:t>
      </w:r>
      <w:r w:rsidR="003E1C13">
        <w:rPr>
          <w:rFonts w:ascii="Times New Roman" w:eastAsia="Times" w:hAnsi="Times New Roman" w:cs="Times New Roman"/>
          <w:sz w:val="24"/>
          <w:szCs w:val="24"/>
          <w:highlight w:val="white"/>
          <w:lang w:val="en-US"/>
        </w:rPr>
        <w:t xml:space="preserve">finally </w:t>
      </w:r>
      <w:r w:rsidRPr="00B23A52">
        <w:rPr>
          <w:rFonts w:ascii="Times New Roman" w:eastAsia="Times" w:hAnsi="Times New Roman" w:cs="Times New Roman"/>
          <w:sz w:val="24"/>
          <w:szCs w:val="24"/>
          <w:highlight w:val="white"/>
          <w:lang w:val="en-US"/>
        </w:rPr>
        <w:t>completed</w:t>
      </w:r>
      <w:r w:rsidR="003E1C13">
        <w:rPr>
          <w:rFonts w:ascii="Times New Roman" w:eastAsia="Times" w:hAnsi="Times New Roman" w:cs="Times New Roman"/>
          <w:sz w:val="24"/>
          <w:szCs w:val="24"/>
          <w:highlight w:val="white"/>
          <w:lang w:val="en-US"/>
        </w:rPr>
        <w:t xml:space="preserve"> in 2019</w:t>
      </w:r>
      <w:r w:rsidRPr="003E1C13">
        <w:rPr>
          <w:rFonts w:ascii="Times New Roman" w:eastAsia="Times" w:hAnsi="Times New Roman" w:cs="Times New Roman"/>
          <w:sz w:val="24"/>
          <w:szCs w:val="24"/>
          <w:highlight w:val="white"/>
          <w:lang w:val="en-US"/>
        </w:rPr>
        <w:t xml:space="preserve">, researchers found a higher risk of adverse pregnancy outcomes among women who received the treatment during pregnancy, and </w:t>
      </w:r>
      <w:r w:rsidRPr="003E1C13">
        <w:rPr>
          <w:rFonts w:ascii="Times New Roman" w:eastAsia="Times" w:hAnsi="Times New Roman" w:cs="Times New Roman"/>
          <w:sz w:val="24"/>
          <w:szCs w:val="24"/>
          <w:highlight w:val="white"/>
          <w:lang w:val="en-US"/>
        </w:rPr>
        <w:t>a higher risk of liver toxicity among women who received it postpartum – both findings that upended prevailing expert opinion.</w:t>
      </w:r>
      <w:r w:rsidR="001E2BD1" w:rsidRPr="00B23A52">
        <w:rPr>
          <w:rStyle w:val="FootnoteReference"/>
          <w:rFonts w:ascii="Times New Roman" w:eastAsia="Times" w:hAnsi="Times New Roman" w:cs="Times New Roman"/>
          <w:sz w:val="24"/>
          <w:szCs w:val="24"/>
          <w:highlight w:val="white"/>
          <w:lang w:val="en-US"/>
        </w:rPr>
        <w:footnoteReference w:id="19"/>
      </w:r>
      <w:r w:rsidRPr="003E1C13">
        <w:rPr>
          <w:rFonts w:ascii="Times New Roman" w:eastAsia="Times" w:hAnsi="Times New Roman" w:cs="Times New Roman"/>
          <w:sz w:val="24"/>
          <w:szCs w:val="24"/>
          <w:highlight w:val="white"/>
          <w:lang w:val="en-US"/>
        </w:rPr>
        <w:t xml:space="preserve"> </w:t>
      </w:r>
    </w:p>
    <w:p w14:paraId="7B596D09" w14:textId="3EE693D4" w:rsidR="004A30BD" w:rsidRPr="003E1C13" w:rsidRDefault="004A30BD" w:rsidP="00B23A52">
      <w:pPr>
        <w:numPr>
          <w:ilvl w:val="1"/>
          <w:numId w:val="2"/>
        </w:numPr>
        <w:spacing w:after="240" w:line="240" w:lineRule="auto"/>
        <w:jc w:val="both"/>
        <w:rPr>
          <w:rFonts w:ascii="Times New Roman" w:eastAsia="Times" w:hAnsi="Times New Roman" w:cs="Times New Roman"/>
          <w:sz w:val="24"/>
          <w:szCs w:val="24"/>
          <w:highlight w:val="white"/>
          <w:lang w:val="en-US"/>
        </w:rPr>
      </w:pPr>
      <w:r w:rsidRPr="003E1C13">
        <w:rPr>
          <w:rFonts w:ascii="Times New Roman" w:eastAsia="Times" w:hAnsi="Times New Roman" w:cs="Times New Roman"/>
          <w:sz w:val="24"/>
          <w:szCs w:val="24"/>
          <w:highlight w:val="white"/>
          <w:lang w:val="en-US"/>
        </w:rPr>
        <w:t xml:space="preserve">These risks could have been recognized earlier if pregnant people had not been excluded from </w:t>
      </w:r>
      <w:r w:rsidR="00F25B9C" w:rsidRPr="003E1C13">
        <w:rPr>
          <w:rFonts w:ascii="Times New Roman" w:eastAsia="Times" w:hAnsi="Times New Roman" w:cs="Times New Roman"/>
          <w:sz w:val="24"/>
          <w:szCs w:val="24"/>
          <w:highlight w:val="white"/>
          <w:lang w:val="en-US"/>
        </w:rPr>
        <w:t>studies of TB preventive treatment. Identifying the unsuitability of the prevailing TB preventive treatment for pregnant women could have motivated research</w:t>
      </w:r>
      <w:r w:rsidR="00BC6B19">
        <w:rPr>
          <w:rFonts w:ascii="Times New Roman" w:eastAsia="Times" w:hAnsi="Times New Roman" w:cs="Times New Roman"/>
          <w:sz w:val="24"/>
          <w:szCs w:val="24"/>
          <w:highlight w:val="white"/>
          <w:lang w:val="en-US"/>
        </w:rPr>
        <w:t>ers</w:t>
      </w:r>
      <w:r w:rsidR="00F25B9C" w:rsidRPr="003E1C13">
        <w:rPr>
          <w:rFonts w:ascii="Times New Roman" w:eastAsia="Times" w:hAnsi="Times New Roman" w:cs="Times New Roman"/>
          <w:sz w:val="24"/>
          <w:szCs w:val="24"/>
          <w:highlight w:val="white"/>
          <w:lang w:val="en-US"/>
        </w:rPr>
        <w:t xml:space="preserve"> to develop better, safe</w:t>
      </w:r>
      <w:r w:rsidR="003E1C13">
        <w:rPr>
          <w:rFonts w:ascii="Times New Roman" w:eastAsia="Times" w:hAnsi="Times New Roman" w:cs="Times New Roman"/>
          <w:sz w:val="24"/>
          <w:szCs w:val="24"/>
          <w:highlight w:val="white"/>
          <w:lang w:val="en-US"/>
        </w:rPr>
        <w:t>r</w:t>
      </w:r>
      <w:r w:rsidR="00F25B9C" w:rsidRPr="003E1C13">
        <w:rPr>
          <w:rFonts w:ascii="Times New Roman" w:eastAsia="Times" w:hAnsi="Times New Roman" w:cs="Times New Roman"/>
          <w:sz w:val="24"/>
          <w:szCs w:val="24"/>
          <w:highlight w:val="white"/>
          <w:lang w:val="en-US"/>
        </w:rPr>
        <w:t xml:space="preserve"> therapies – not only for pregnant people but also for others at risk of TB. This specific case of TB prevention and pregnancy is indicative of how the </w:t>
      </w:r>
      <w:r w:rsidR="00BC6B19">
        <w:rPr>
          <w:rFonts w:ascii="Times New Roman" w:eastAsia="Times" w:hAnsi="Times New Roman" w:cs="Times New Roman"/>
          <w:sz w:val="24"/>
          <w:szCs w:val="24"/>
          <w:highlight w:val="white"/>
          <w:lang w:val="en-US"/>
        </w:rPr>
        <w:t>absence</w:t>
      </w:r>
      <w:r w:rsidR="00F25B9C" w:rsidRPr="003E1C13">
        <w:rPr>
          <w:rFonts w:ascii="Times New Roman" w:eastAsia="Times" w:hAnsi="Times New Roman" w:cs="Times New Roman"/>
          <w:sz w:val="24"/>
          <w:szCs w:val="24"/>
          <w:highlight w:val="white"/>
          <w:lang w:val="en-US"/>
        </w:rPr>
        <w:t xml:space="preserve"> of participation </w:t>
      </w:r>
      <w:r w:rsidR="00BC6B19">
        <w:rPr>
          <w:rFonts w:ascii="Times New Roman" w:eastAsia="Times" w:hAnsi="Times New Roman" w:cs="Times New Roman"/>
          <w:sz w:val="24"/>
          <w:szCs w:val="24"/>
          <w:highlight w:val="white"/>
          <w:lang w:val="en-US"/>
        </w:rPr>
        <w:t>by</w:t>
      </w:r>
      <w:r w:rsidR="00F25B9C" w:rsidRPr="003E1C13">
        <w:rPr>
          <w:rFonts w:ascii="Times New Roman" w:eastAsia="Times" w:hAnsi="Times New Roman" w:cs="Times New Roman"/>
          <w:sz w:val="24"/>
          <w:szCs w:val="24"/>
          <w:highlight w:val="white"/>
          <w:lang w:val="en-US"/>
        </w:rPr>
        <w:t xml:space="preserve"> a specific vulnerable group pre-empted access to scientific benefits </w:t>
      </w:r>
      <w:r w:rsidR="00BC6B19">
        <w:rPr>
          <w:rFonts w:ascii="Times New Roman" w:eastAsia="Times" w:hAnsi="Times New Roman" w:cs="Times New Roman"/>
          <w:sz w:val="24"/>
          <w:szCs w:val="24"/>
          <w:highlight w:val="white"/>
          <w:lang w:val="en-US"/>
        </w:rPr>
        <w:t xml:space="preserve">for members of that group </w:t>
      </w:r>
      <w:r w:rsidR="00F25B9C" w:rsidRPr="003E1C13">
        <w:rPr>
          <w:rFonts w:ascii="Times New Roman" w:eastAsia="Times" w:hAnsi="Times New Roman" w:cs="Times New Roman"/>
          <w:sz w:val="24"/>
          <w:szCs w:val="24"/>
          <w:highlight w:val="white"/>
          <w:lang w:val="en-US"/>
        </w:rPr>
        <w:t xml:space="preserve">and held back scientific progress overall. </w:t>
      </w:r>
    </w:p>
    <w:p w14:paraId="040A5443" w14:textId="34F98495" w:rsidR="00E93E52" w:rsidRPr="003E1C13" w:rsidRDefault="00FD11AA" w:rsidP="00B23A52">
      <w:pPr>
        <w:numPr>
          <w:ilvl w:val="1"/>
          <w:numId w:val="2"/>
        </w:numPr>
        <w:spacing w:after="240" w:line="240" w:lineRule="auto"/>
        <w:jc w:val="both"/>
        <w:rPr>
          <w:rFonts w:ascii="Times New Roman" w:eastAsia="Times" w:hAnsi="Times New Roman" w:cs="Times New Roman"/>
          <w:sz w:val="24"/>
          <w:szCs w:val="24"/>
          <w:highlight w:val="white"/>
          <w:lang w:val="en-US"/>
        </w:rPr>
      </w:pPr>
      <w:r w:rsidRPr="003E1C13">
        <w:rPr>
          <w:rFonts w:ascii="Times New Roman" w:eastAsia="Times" w:hAnsi="Times New Roman" w:cs="Times New Roman"/>
          <w:sz w:val="24"/>
          <w:szCs w:val="24"/>
          <w:highlight w:val="white"/>
          <w:lang w:val="en-US"/>
        </w:rPr>
        <w:t xml:space="preserve">Two TB </w:t>
      </w:r>
      <w:r w:rsidR="00B41B8C" w:rsidRPr="003E1C13">
        <w:rPr>
          <w:rFonts w:ascii="Times New Roman" w:eastAsia="Times" w:hAnsi="Times New Roman" w:cs="Times New Roman"/>
          <w:sz w:val="24"/>
          <w:szCs w:val="24"/>
          <w:highlight w:val="white"/>
          <w:lang w:val="en-US"/>
        </w:rPr>
        <w:t>c</w:t>
      </w:r>
      <w:r w:rsidRPr="003E1C13">
        <w:rPr>
          <w:rFonts w:ascii="Times New Roman" w:eastAsia="Times" w:hAnsi="Times New Roman" w:cs="Times New Roman"/>
          <w:sz w:val="24"/>
          <w:szCs w:val="24"/>
          <w:highlight w:val="white"/>
          <w:lang w:val="en-US"/>
        </w:rPr>
        <w:t xml:space="preserve">ommunity </w:t>
      </w:r>
      <w:r w:rsidR="00B41B8C" w:rsidRPr="003E1C13">
        <w:rPr>
          <w:rFonts w:ascii="Times New Roman" w:eastAsia="Times" w:hAnsi="Times New Roman" w:cs="Times New Roman"/>
          <w:sz w:val="24"/>
          <w:szCs w:val="24"/>
          <w:highlight w:val="white"/>
          <w:lang w:val="en-US"/>
        </w:rPr>
        <w:t>a</w:t>
      </w:r>
      <w:r w:rsidRPr="003E1C13">
        <w:rPr>
          <w:rFonts w:ascii="Times New Roman" w:eastAsia="Times" w:hAnsi="Times New Roman" w:cs="Times New Roman"/>
          <w:sz w:val="24"/>
          <w:szCs w:val="24"/>
          <w:highlight w:val="white"/>
          <w:lang w:val="en-US"/>
        </w:rPr>
        <w:t xml:space="preserve">dvisory </w:t>
      </w:r>
      <w:r w:rsidR="00B41B8C" w:rsidRPr="003E1C13">
        <w:rPr>
          <w:rFonts w:ascii="Times New Roman" w:eastAsia="Times" w:hAnsi="Times New Roman" w:cs="Times New Roman"/>
          <w:sz w:val="24"/>
          <w:szCs w:val="24"/>
          <w:highlight w:val="white"/>
          <w:lang w:val="en-US"/>
        </w:rPr>
        <w:t>b</w:t>
      </w:r>
      <w:r w:rsidRPr="003E1C13">
        <w:rPr>
          <w:rFonts w:ascii="Times New Roman" w:eastAsia="Times" w:hAnsi="Times New Roman" w:cs="Times New Roman"/>
          <w:sz w:val="24"/>
          <w:szCs w:val="24"/>
          <w:highlight w:val="white"/>
          <w:lang w:val="en-US"/>
        </w:rPr>
        <w:t>oards that advocated for mainstreaming the inclusion of pregnant women in TB clinical trials summariz</w:t>
      </w:r>
      <w:r w:rsidRPr="003E1C13">
        <w:rPr>
          <w:rFonts w:ascii="Times New Roman" w:eastAsia="Times" w:hAnsi="Times New Roman" w:cs="Times New Roman"/>
          <w:sz w:val="24"/>
          <w:szCs w:val="24"/>
          <w:highlight w:val="white"/>
          <w:lang w:val="en-US"/>
        </w:rPr>
        <w:t>ed the human rights implications</w:t>
      </w:r>
      <w:r w:rsidR="00D577DD">
        <w:rPr>
          <w:rFonts w:ascii="Times New Roman" w:eastAsia="Times" w:hAnsi="Times New Roman" w:cs="Times New Roman"/>
          <w:sz w:val="24"/>
          <w:szCs w:val="24"/>
          <w:highlight w:val="white"/>
          <w:lang w:val="en-US"/>
        </w:rPr>
        <w:t xml:space="preserve"> of unequal participation</w:t>
      </w:r>
      <w:r w:rsidRPr="003E1C13">
        <w:rPr>
          <w:rFonts w:ascii="Times New Roman" w:eastAsia="Times" w:hAnsi="Times New Roman" w:cs="Times New Roman"/>
          <w:sz w:val="24"/>
          <w:szCs w:val="24"/>
          <w:highlight w:val="white"/>
          <w:lang w:val="en-US"/>
        </w:rPr>
        <w:t xml:space="preserve"> this way: “In the absence of research, each pregnant woman treated for TB becomes an individual experiment. Approaching each pregnant woman with TB as an experiment with a sample size of one precludes conducting the systema</w:t>
      </w:r>
      <w:r w:rsidRPr="003E1C13">
        <w:rPr>
          <w:rFonts w:ascii="Times New Roman" w:eastAsia="Times" w:hAnsi="Times New Roman" w:cs="Times New Roman"/>
          <w:sz w:val="24"/>
          <w:szCs w:val="24"/>
          <w:highlight w:val="white"/>
          <w:lang w:val="en-US"/>
        </w:rPr>
        <w:t>tic research needed to produce the generalizable knowledge necessary to improve clinical care for all pregnant women with TB</w:t>
      </w:r>
      <w:r w:rsidR="004F5940" w:rsidRPr="003E1C13">
        <w:rPr>
          <w:rFonts w:ascii="Times New Roman" w:eastAsia="Times" w:hAnsi="Times New Roman" w:cs="Times New Roman"/>
          <w:sz w:val="24"/>
          <w:szCs w:val="24"/>
          <w:highlight w:val="white"/>
          <w:lang w:val="en-US"/>
        </w:rPr>
        <w:t>.</w:t>
      </w:r>
      <w:r w:rsidR="001E2BD1" w:rsidRPr="003E1C13">
        <w:rPr>
          <w:rFonts w:ascii="Times New Roman" w:eastAsia="Times" w:hAnsi="Times New Roman" w:cs="Times New Roman"/>
          <w:sz w:val="24"/>
          <w:szCs w:val="24"/>
          <w:highlight w:val="white"/>
          <w:lang w:val="en-US"/>
        </w:rPr>
        <w:t>”</w:t>
      </w:r>
      <w:r w:rsidR="001E2BD1" w:rsidRPr="003E1C13">
        <w:rPr>
          <w:rStyle w:val="FootnoteReference"/>
          <w:rFonts w:ascii="Times New Roman" w:eastAsia="Times" w:hAnsi="Times New Roman" w:cs="Times New Roman"/>
          <w:sz w:val="24"/>
          <w:szCs w:val="24"/>
          <w:highlight w:val="white"/>
          <w:lang w:val="en-US"/>
        </w:rPr>
        <w:footnoteReference w:id="20"/>
      </w:r>
    </w:p>
    <w:p w14:paraId="251AEDFD" w14:textId="1F7594D0" w:rsidR="004E0D5A" w:rsidRPr="00D577DD" w:rsidRDefault="00FD11AA" w:rsidP="00B23A52">
      <w:pPr>
        <w:pStyle w:val="ListParagraph"/>
        <w:numPr>
          <w:ilvl w:val="0"/>
          <w:numId w:val="2"/>
        </w:numPr>
        <w:spacing w:line="240" w:lineRule="auto"/>
        <w:rPr>
          <w:highlight w:val="white"/>
          <w:lang w:val="en-US"/>
        </w:rPr>
      </w:pPr>
      <w:r w:rsidRPr="003E1C13">
        <w:rPr>
          <w:rFonts w:ascii="Times New Roman" w:eastAsia="Times" w:hAnsi="Times New Roman" w:cs="Times New Roman"/>
          <w:sz w:val="24"/>
          <w:szCs w:val="24"/>
          <w:highlight w:val="white"/>
          <w:lang w:val="en-US"/>
        </w:rPr>
        <w:t xml:space="preserve">Increasingly, regulators, scientists, ethicists, and health advocates speak of protecting populations </w:t>
      </w:r>
      <w:r w:rsidRPr="003E1C13">
        <w:rPr>
          <w:rFonts w:ascii="Times New Roman" w:eastAsia="Times" w:hAnsi="Times New Roman" w:cs="Times New Roman"/>
          <w:i/>
          <w:sz w:val="24"/>
          <w:szCs w:val="24"/>
          <w:highlight w:val="white"/>
          <w:lang w:val="en-US"/>
        </w:rPr>
        <w:t xml:space="preserve">through </w:t>
      </w:r>
      <w:r w:rsidRPr="003E1C13">
        <w:rPr>
          <w:rFonts w:ascii="Times New Roman" w:eastAsia="Times" w:hAnsi="Times New Roman" w:cs="Times New Roman"/>
          <w:sz w:val="24"/>
          <w:szCs w:val="24"/>
          <w:highlight w:val="white"/>
          <w:lang w:val="en-US"/>
        </w:rPr>
        <w:t>research rather than</w:t>
      </w:r>
      <w:r w:rsidRPr="003E1C13">
        <w:rPr>
          <w:rFonts w:ascii="Times New Roman" w:eastAsia="Times" w:hAnsi="Times New Roman" w:cs="Times New Roman"/>
          <w:sz w:val="24"/>
          <w:szCs w:val="24"/>
          <w:highlight w:val="white"/>
          <w:lang w:val="en-US"/>
        </w:rPr>
        <w:t xml:space="preserve"> protecting populations </w:t>
      </w:r>
      <w:r w:rsidRPr="003E1C13">
        <w:rPr>
          <w:rFonts w:ascii="Times New Roman" w:eastAsia="Times" w:hAnsi="Times New Roman" w:cs="Times New Roman"/>
          <w:i/>
          <w:sz w:val="24"/>
          <w:szCs w:val="24"/>
          <w:highlight w:val="white"/>
          <w:lang w:val="en-US"/>
        </w:rPr>
        <w:t xml:space="preserve">from </w:t>
      </w:r>
      <w:r w:rsidRPr="003E1C13">
        <w:rPr>
          <w:rFonts w:ascii="Times New Roman" w:eastAsia="Times" w:hAnsi="Times New Roman" w:cs="Times New Roman"/>
          <w:sz w:val="24"/>
          <w:szCs w:val="24"/>
          <w:highlight w:val="white"/>
          <w:lang w:val="en-US"/>
        </w:rPr>
        <w:t>research. This requires moving from a mindset of “exclude unless” to “include unless.”</w:t>
      </w:r>
      <w:r w:rsidRPr="003E1C13">
        <w:rPr>
          <w:rFonts w:ascii="Times New Roman" w:hAnsi="Times New Roman" w:cs="Times New Roman"/>
          <w:highlight w:val="white"/>
          <w:vertAlign w:val="superscript"/>
          <w:lang w:val="en-US"/>
        </w:rPr>
        <w:footnoteReference w:id="21"/>
      </w:r>
      <w:r w:rsidRPr="003E1C13">
        <w:rPr>
          <w:rFonts w:ascii="Times New Roman" w:eastAsia="Times" w:hAnsi="Times New Roman" w:cs="Times New Roman"/>
          <w:sz w:val="24"/>
          <w:szCs w:val="24"/>
          <w:highlight w:val="white"/>
          <w:lang w:val="en-US"/>
        </w:rPr>
        <w:t xml:space="preserve"> In other words, starting from an assumption that clinical trials and other studies should be broadly</w:t>
      </w:r>
      <w:r w:rsidRPr="003E1C13">
        <w:rPr>
          <w:rFonts w:ascii="Times New Roman" w:eastAsia="Times" w:hAnsi="Times New Roman" w:cs="Times New Roman"/>
          <w:sz w:val="24"/>
          <w:szCs w:val="24"/>
          <w:highlight w:val="white"/>
          <w:lang w:val="en-US"/>
        </w:rPr>
        <w:t xml:space="preserve"> representative of the groups affected</w:t>
      </w:r>
      <w:r w:rsidRPr="003E1C13">
        <w:rPr>
          <w:rFonts w:ascii="Times New Roman" w:eastAsia="Times" w:hAnsi="Times New Roman" w:cs="Times New Roman"/>
          <w:sz w:val="24"/>
          <w:szCs w:val="24"/>
          <w:highlight w:val="white"/>
          <w:lang w:val="en-US"/>
        </w:rPr>
        <w:t xml:space="preserve"> by a disease</w:t>
      </w:r>
      <w:r w:rsidR="00D577DD">
        <w:rPr>
          <w:rFonts w:ascii="Times New Roman" w:eastAsia="Times" w:hAnsi="Times New Roman" w:cs="Times New Roman"/>
          <w:sz w:val="24"/>
          <w:szCs w:val="24"/>
          <w:highlight w:val="white"/>
          <w:lang w:val="en-US"/>
        </w:rPr>
        <w:t xml:space="preserve"> — and make special effort to include marginalized populations that bear the greatest burden of disease —</w:t>
      </w:r>
      <w:r w:rsidRPr="003E1C13">
        <w:rPr>
          <w:rFonts w:ascii="Times New Roman" w:eastAsia="Times" w:hAnsi="Times New Roman" w:cs="Times New Roman"/>
          <w:sz w:val="24"/>
          <w:szCs w:val="24"/>
          <w:highlight w:val="white"/>
          <w:lang w:val="en-US"/>
        </w:rPr>
        <w:t xml:space="preserve"> unless there is a particular scientific justification for excluding a certain population in order to protect them from either a known harm or a situation in which risks outweigh benefits. </w:t>
      </w:r>
    </w:p>
    <w:p w14:paraId="7CDAADAD" w14:textId="50A2683A" w:rsidR="00D577DD" w:rsidRDefault="00D577DD" w:rsidP="00D577DD">
      <w:pPr>
        <w:spacing w:line="240" w:lineRule="auto"/>
        <w:rPr>
          <w:highlight w:val="white"/>
          <w:lang w:val="en-US"/>
        </w:rPr>
      </w:pPr>
    </w:p>
    <w:p w14:paraId="018547E6" w14:textId="1A951E2A" w:rsidR="00D577DD" w:rsidRPr="00D577DD" w:rsidRDefault="00D577DD" w:rsidP="00D577DD">
      <w:pPr>
        <w:spacing w:line="240" w:lineRule="auto"/>
        <w:rPr>
          <w:highlight w:val="white"/>
          <w:u w:val="single"/>
          <w:lang w:val="en-US"/>
        </w:rPr>
      </w:pPr>
      <w:r w:rsidRPr="00D577DD">
        <w:rPr>
          <w:highlight w:val="white"/>
          <w:u w:val="single"/>
          <w:lang w:val="en-US"/>
        </w:rPr>
        <w:t>Participation beyond ‘citizen science’</w:t>
      </w:r>
    </w:p>
    <w:p w14:paraId="5F63072A" w14:textId="77777777" w:rsidR="003E1C13" w:rsidRPr="00B23A52" w:rsidRDefault="003E1C13" w:rsidP="003E1C13">
      <w:pPr>
        <w:pStyle w:val="ListParagraph"/>
        <w:ind w:left="360"/>
        <w:rPr>
          <w:highlight w:val="white"/>
          <w:lang w:val="en-US"/>
        </w:rPr>
      </w:pPr>
    </w:p>
    <w:p w14:paraId="44BF0301" w14:textId="5BDC62B4" w:rsidR="00E93E52" w:rsidRDefault="00D577DD" w:rsidP="00B23A52">
      <w:pPr>
        <w:pStyle w:val="ListParagraph"/>
        <w:numPr>
          <w:ilvl w:val="0"/>
          <w:numId w:val="2"/>
        </w:numPr>
        <w:spacing w:line="240" w:lineRule="auto"/>
        <w:rPr>
          <w:i/>
          <w:lang w:val="en-US"/>
        </w:rPr>
      </w:pPr>
      <w:r>
        <w:rPr>
          <w:rFonts w:ascii="Times New Roman" w:eastAsia="Times New Roman" w:hAnsi="Times New Roman" w:cs="Times New Roman"/>
          <w:sz w:val="24"/>
          <w:szCs w:val="24"/>
          <w:lang w:val="en-US"/>
        </w:rPr>
        <w:t>Recognizing</w:t>
      </w:r>
      <w:r w:rsidR="00DD095F" w:rsidRPr="00D577DD">
        <w:rPr>
          <w:rFonts w:ascii="Times New Roman" w:eastAsia="Times New Roman" w:hAnsi="Times New Roman" w:cs="Times New Roman"/>
          <w:sz w:val="24"/>
          <w:szCs w:val="24"/>
          <w:lang w:val="en-US"/>
        </w:rPr>
        <w:t xml:space="preserve"> participation as a vehicle toward ensuring non-discrimination in the right of every person to take part in scientific progress clarifies understanding and use of the term </w:t>
      </w:r>
      <w:r w:rsidR="00DD095F" w:rsidRPr="00D577DD">
        <w:rPr>
          <w:rFonts w:ascii="Times New Roman" w:eastAsia="Times New Roman" w:hAnsi="Times New Roman" w:cs="Times New Roman"/>
          <w:sz w:val="24"/>
          <w:szCs w:val="24"/>
          <w:lang w:val="en-US"/>
        </w:rPr>
        <w:lastRenderedPageBreak/>
        <w:t xml:space="preserve">‘citizen science.’ </w:t>
      </w:r>
      <w:r w:rsidR="00B255CC" w:rsidRPr="00D577DD">
        <w:rPr>
          <w:rFonts w:ascii="Times New Roman" w:eastAsia="Times New Roman" w:hAnsi="Times New Roman" w:cs="Times New Roman"/>
          <w:sz w:val="24"/>
          <w:szCs w:val="24"/>
          <w:lang w:val="en-US"/>
        </w:rPr>
        <w:t>This is relevant to question 10 of the consultation:</w:t>
      </w:r>
      <w:r w:rsidR="00B255CC" w:rsidRPr="00D577DD">
        <w:rPr>
          <w:rFonts w:ascii="Times New Roman" w:eastAsia="Times" w:hAnsi="Times New Roman" w:cs="Times New Roman"/>
          <w:sz w:val="24"/>
          <w:szCs w:val="24"/>
          <w:lang w:val="en-US"/>
        </w:rPr>
        <w:t xml:space="preserve"> “</w:t>
      </w:r>
      <w:r w:rsidR="00FD11AA" w:rsidRPr="00D577DD">
        <w:rPr>
          <w:i/>
          <w:lang w:val="en-US"/>
        </w:rPr>
        <w:t xml:space="preserve">How is ‘citizen science’ (ordinary </w:t>
      </w:r>
      <w:r w:rsidR="00FD11AA" w:rsidRPr="00D577DD">
        <w:rPr>
          <w:i/>
          <w:lang w:val="en-US"/>
        </w:rPr>
        <w:t>people doing science) understood in your country? Is it considered important, and what measures have been put in place to support it, particularly in terms of access to information and data, and participation in decision-making?</w:t>
      </w:r>
      <w:r w:rsidR="00B255CC" w:rsidRPr="00B255CC">
        <w:rPr>
          <w:iCs/>
          <w:lang w:val="en-US"/>
        </w:rPr>
        <w:t>”</w:t>
      </w:r>
    </w:p>
    <w:p w14:paraId="05DDBBB3" w14:textId="77777777" w:rsidR="00B255CC" w:rsidRPr="00B23A52" w:rsidRDefault="00B255CC" w:rsidP="00D577DD">
      <w:pPr>
        <w:pStyle w:val="ListParagraph"/>
        <w:ind w:left="360"/>
        <w:rPr>
          <w:i/>
          <w:lang w:val="en-US"/>
        </w:rPr>
      </w:pPr>
    </w:p>
    <w:p w14:paraId="6EE32210" w14:textId="23072178" w:rsidR="00E93E52" w:rsidRPr="00D577DD" w:rsidRDefault="00FD11AA" w:rsidP="00B23A52">
      <w:pPr>
        <w:pStyle w:val="ListParagraph"/>
        <w:numPr>
          <w:ilvl w:val="0"/>
          <w:numId w:val="2"/>
        </w:numPr>
        <w:spacing w:after="240" w:line="240" w:lineRule="auto"/>
        <w:jc w:val="both"/>
        <w:rPr>
          <w:rFonts w:ascii="Times New Roman" w:eastAsia="Times" w:hAnsi="Times New Roman" w:cs="Times New Roman"/>
          <w:sz w:val="24"/>
          <w:szCs w:val="24"/>
          <w:lang w:val="en-US"/>
        </w:rPr>
      </w:pPr>
      <w:r w:rsidRPr="00D577DD">
        <w:rPr>
          <w:rFonts w:ascii="Times New Roman" w:eastAsia="Times" w:hAnsi="Times New Roman" w:cs="Times New Roman"/>
          <w:sz w:val="24"/>
          <w:szCs w:val="24"/>
          <w:lang w:val="en-US"/>
        </w:rPr>
        <w:t xml:space="preserve">In line with our analyses of </w:t>
      </w:r>
      <w:r w:rsidR="004E0D5A" w:rsidRPr="00B255CC">
        <w:rPr>
          <w:rFonts w:ascii="Times New Roman" w:eastAsia="Times" w:hAnsi="Times New Roman" w:cs="Times New Roman"/>
          <w:sz w:val="24"/>
          <w:szCs w:val="24"/>
          <w:lang w:val="en-US"/>
        </w:rPr>
        <w:t xml:space="preserve">participation under </w:t>
      </w:r>
      <w:r w:rsidRPr="00D577DD">
        <w:rPr>
          <w:rFonts w:ascii="Times New Roman" w:eastAsia="Times" w:hAnsi="Times New Roman" w:cs="Times New Roman"/>
          <w:sz w:val="24"/>
          <w:szCs w:val="24"/>
          <w:lang w:val="en-US"/>
        </w:rPr>
        <w:t>the right to science, TAG has discontinued the use of ‘citizen science’ in favor of community science, public science, or similar derivatives depending on context.</w:t>
      </w:r>
      <w:r w:rsidR="004E0D5A" w:rsidRPr="00B255CC">
        <w:rPr>
          <w:rFonts w:ascii="Times New Roman" w:eastAsia="Times" w:hAnsi="Times New Roman" w:cs="Times New Roman"/>
          <w:sz w:val="24"/>
          <w:szCs w:val="24"/>
          <w:lang w:val="en-US"/>
        </w:rPr>
        <w:t xml:space="preserve"> While the original meaning of citizen science has been described as distinguishing the ‘amateur’ or </w:t>
      </w:r>
      <w:proofErr w:type="gramStart"/>
      <w:r w:rsidR="004E0D5A" w:rsidRPr="00B255CC">
        <w:rPr>
          <w:rFonts w:ascii="Times New Roman" w:eastAsia="Times" w:hAnsi="Times New Roman" w:cs="Times New Roman"/>
          <w:sz w:val="24"/>
          <w:szCs w:val="24"/>
          <w:lang w:val="en-US"/>
        </w:rPr>
        <w:t>general public</w:t>
      </w:r>
      <w:proofErr w:type="gramEnd"/>
      <w:r w:rsidR="004E0D5A" w:rsidRPr="00B255CC">
        <w:rPr>
          <w:rFonts w:ascii="Times New Roman" w:eastAsia="Times" w:hAnsi="Times New Roman" w:cs="Times New Roman"/>
          <w:sz w:val="24"/>
          <w:szCs w:val="24"/>
          <w:lang w:val="en-US"/>
        </w:rPr>
        <w:t xml:space="preserve"> conducting science from the professionally educated scientist, the term remains exclusionary. At first impression, t</w:t>
      </w:r>
      <w:r w:rsidR="002F2041" w:rsidRPr="00D577DD">
        <w:rPr>
          <w:rFonts w:ascii="Times New Roman" w:eastAsia="Times" w:hAnsi="Times New Roman" w:cs="Times New Roman"/>
          <w:sz w:val="24"/>
          <w:szCs w:val="24"/>
          <w:lang w:val="en-US"/>
        </w:rPr>
        <w:t xml:space="preserve">he </w:t>
      </w:r>
      <w:r w:rsidRPr="00D577DD">
        <w:rPr>
          <w:rFonts w:ascii="Times New Roman" w:eastAsia="Times" w:hAnsi="Times New Roman" w:cs="Times New Roman"/>
          <w:sz w:val="24"/>
          <w:szCs w:val="24"/>
          <w:lang w:val="en-US"/>
        </w:rPr>
        <w:t>term ‘citizen science’ suggests exclusion of non-citizens</w:t>
      </w:r>
      <w:r w:rsidR="00D577DD">
        <w:rPr>
          <w:rFonts w:ascii="Times New Roman" w:eastAsia="Times" w:hAnsi="Times New Roman" w:cs="Times New Roman"/>
          <w:sz w:val="24"/>
          <w:szCs w:val="24"/>
          <w:lang w:val="en-US"/>
        </w:rPr>
        <w:t xml:space="preserve"> from science</w:t>
      </w:r>
      <w:r w:rsidRPr="00D577DD">
        <w:rPr>
          <w:rFonts w:ascii="Times New Roman" w:eastAsia="Times" w:hAnsi="Times New Roman" w:cs="Times New Roman"/>
          <w:sz w:val="24"/>
          <w:szCs w:val="24"/>
          <w:lang w:val="en-US"/>
        </w:rPr>
        <w:t>. Thus</w:t>
      </w:r>
      <w:r w:rsidR="009C7A96">
        <w:rPr>
          <w:rFonts w:ascii="Times New Roman" w:eastAsia="Times" w:hAnsi="Times New Roman" w:cs="Times New Roman"/>
          <w:sz w:val="24"/>
          <w:szCs w:val="24"/>
          <w:lang w:val="en-US"/>
        </w:rPr>
        <w:t>,</w:t>
      </w:r>
      <w:r w:rsidRPr="00D577DD">
        <w:rPr>
          <w:rFonts w:ascii="Times New Roman" w:eastAsia="Times" w:hAnsi="Times New Roman" w:cs="Times New Roman"/>
          <w:sz w:val="24"/>
          <w:szCs w:val="24"/>
          <w:lang w:val="en-US"/>
        </w:rPr>
        <w:t xml:space="preserve"> the term</w:t>
      </w:r>
      <w:r w:rsidR="002F2041" w:rsidRPr="00D577DD">
        <w:rPr>
          <w:rFonts w:ascii="Times New Roman" w:eastAsia="Times" w:hAnsi="Times New Roman" w:cs="Times New Roman"/>
          <w:sz w:val="24"/>
          <w:szCs w:val="24"/>
          <w:lang w:val="en-US"/>
        </w:rPr>
        <w:t xml:space="preserve"> </w:t>
      </w:r>
      <w:r w:rsidR="004E0D5A" w:rsidRPr="00B255CC">
        <w:rPr>
          <w:rFonts w:ascii="Times New Roman" w:eastAsia="Times" w:hAnsi="Times New Roman" w:cs="Times New Roman"/>
          <w:sz w:val="24"/>
          <w:szCs w:val="24"/>
          <w:lang w:val="en-US"/>
        </w:rPr>
        <w:t>is a poor</w:t>
      </w:r>
      <w:r w:rsidRPr="00D577DD">
        <w:rPr>
          <w:rFonts w:ascii="Times New Roman" w:eastAsia="Times" w:hAnsi="Times New Roman" w:cs="Times New Roman"/>
          <w:sz w:val="24"/>
          <w:szCs w:val="24"/>
          <w:lang w:val="en-US"/>
        </w:rPr>
        <w:t xml:space="preserve"> fit</w:t>
      </w:r>
      <w:r w:rsidRPr="00D577DD">
        <w:rPr>
          <w:rFonts w:ascii="Times New Roman" w:eastAsia="Times" w:hAnsi="Times New Roman" w:cs="Times New Roman"/>
          <w:sz w:val="24"/>
          <w:szCs w:val="24"/>
          <w:lang w:val="en-US"/>
        </w:rPr>
        <w:t xml:space="preserve"> </w:t>
      </w:r>
      <w:r w:rsidR="004E0D5A" w:rsidRPr="00B255CC">
        <w:rPr>
          <w:rFonts w:ascii="Times New Roman" w:eastAsia="Times" w:hAnsi="Times New Roman" w:cs="Times New Roman"/>
          <w:sz w:val="24"/>
          <w:szCs w:val="24"/>
          <w:lang w:val="en-US"/>
        </w:rPr>
        <w:t>with t</w:t>
      </w:r>
      <w:r w:rsidR="002F2041" w:rsidRPr="00D577DD">
        <w:rPr>
          <w:rFonts w:ascii="Times New Roman" w:eastAsia="Times" w:hAnsi="Times New Roman" w:cs="Times New Roman"/>
          <w:sz w:val="24"/>
          <w:szCs w:val="24"/>
          <w:lang w:val="en-US"/>
        </w:rPr>
        <w:t>he</w:t>
      </w:r>
      <w:r w:rsidR="002F2041" w:rsidRPr="00D577DD">
        <w:rPr>
          <w:rFonts w:ascii="Times New Roman" w:eastAsia="Times" w:hAnsi="Times New Roman" w:cs="Times New Roman"/>
          <w:sz w:val="24"/>
          <w:szCs w:val="24"/>
          <w:lang w:val="en-US"/>
        </w:rPr>
        <w:t xml:space="preserve"> </w:t>
      </w:r>
      <w:r w:rsidRPr="00D577DD">
        <w:rPr>
          <w:rFonts w:ascii="Times New Roman" w:eastAsia="Times" w:hAnsi="Times New Roman" w:cs="Times New Roman"/>
          <w:sz w:val="24"/>
          <w:szCs w:val="24"/>
          <w:lang w:val="en-US"/>
        </w:rPr>
        <w:t>globalized</w:t>
      </w:r>
      <w:r w:rsidR="002F2041" w:rsidRPr="00D577DD">
        <w:rPr>
          <w:rFonts w:ascii="Times New Roman" w:eastAsia="Times" w:hAnsi="Times New Roman" w:cs="Times New Roman"/>
          <w:sz w:val="24"/>
          <w:szCs w:val="24"/>
          <w:lang w:val="en-US"/>
        </w:rPr>
        <w:t xml:space="preserve"> nature of the scien</w:t>
      </w:r>
      <w:r w:rsidR="004E0D5A" w:rsidRPr="00B255CC">
        <w:rPr>
          <w:rFonts w:ascii="Times New Roman" w:eastAsia="Times" w:hAnsi="Times New Roman" w:cs="Times New Roman"/>
          <w:sz w:val="24"/>
          <w:szCs w:val="24"/>
          <w:lang w:val="en-US"/>
        </w:rPr>
        <w:t>tific</w:t>
      </w:r>
      <w:r w:rsidR="002F2041" w:rsidRPr="00D577DD">
        <w:rPr>
          <w:rFonts w:ascii="Times New Roman" w:eastAsia="Times" w:hAnsi="Times New Roman" w:cs="Times New Roman"/>
          <w:sz w:val="24"/>
          <w:szCs w:val="24"/>
          <w:lang w:val="en-US"/>
        </w:rPr>
        <w:t xml:space="preserve"> enterprise today</w:t>
      </w:r>
      <w:r w:rsidR="004E0D5A" w:rsidRPr="00B255CC">
        <w:rPr>
          <w:rFonts w:ascii="Times New Roman" w:eastAsia="Times" w:hAnsi="Times New Roman" w:cs="Times New Roman"/>
          <w:sz w:val="24"/>
          <w:szCs w:val="24"/>
          <w:lang w:val="en-US"/>
        </w:rPr>
        <w:t>; science has been as affected by the rise in</w:t>
      </w:r>
      <w:r w:rsidRPr="00D577DD">
        <w:rPr>
          <w:rFonts w:ascii="Times New Roman" w:eastAsia="Times" w:hAnsi="Times New Roman" w:cs="Times New Roman"/>
          <w:sz w:val="24"/>
          <w:szCs w:val="24"/>
          <w:lang w:val="en-US"/>
        </w:rPr>
        <w:t xml:space="preserve"> global </w:t>
      </w:r>
      <w:r w:rsidRPr="00D577DD">
        <w:rPr>
          <w:rFonts w:ascii="Times New Roman" w:eastAsia="Times" w:hAnsi="Times New Roman" w:cs="Times New Roman"/>
          <w:sz w:val="24"/>
          <w:szCs w:val="24"/>
          <w:lang w:val="en-US"/>
        </w:rPr>
        <w:t>migration</w:t>
      </w:r>
      <w:r w:rsidR="004E0D5A" w:rsidRPr="00B255CC">
        <w:rPr>
          <w:rFonts w:ascii="Times New Roman" w:eastAsia="Times" w:hAnsi="Times New Roman" w:cs="Times New Roman"/>
          <w:sz w:val="24"/>
          <w:szCs w:val="24"/>
          <w:lang w:val="en-US"/>
        </w:rPr>
        <w:t xml:space="preserve"> — whether driven by labor shifts, the climate crisis, or wars and other </w:t>
      </w:r>
      <w:r w:rsidRPr="00D577DD">
        <w:rPr>
          <w:rFonts w:ascii="Times New Roman" w:eastAsia="Times" w:hAnsi="Times New Roman" w:cs="Times New Roman"/>
          <w:sz w:val="24"/>
          <w:szCs w:val="24"/>
          <w:lang w:val="en-US"/>
        </w:rPr>
        <w:t>disaster</w:t>
      </w:r>
      <w:r w:rsidR="004E0D5A" w:rsidRPr="00B255CC">
        <w:rPr>
          <w:rFonts w:ascii="Times New Roman" w:eastAsia="Times" w:hAnsi="Times New Roman" w:cs="Times New Roman"/>
          <w:sz w:val="24"/>
          <w:szCs w:val="24"/>
          <w:lang w:val="en-US"/>
        </w:rPr>
        <w:t>s — as any other economic, social, or cultural field</w:t>
      </w:r>
      <w:r w:rsidRPr="00D577DD">
        <w:rPr>
          <w:rFonts w:ascii="Times New Roman" w:eastAsia="Times" w:hAnsi="Times New Roman" w:cs="Times New Roman"/>
          <w:sz w:val="24"/>
          <w:szCs w:val="24"/>
          <w:lang w:val="en-US"/>
        </w:rPr>
        <w:t xml:space="preserve">. </w:t>
      </w:r>
    </w:p>
    <w:p w14:paraId="1A9EC4D0" w14:textId="226A8B7B" w:rsidR="00E93E52" w:rsidRPr="00D577DD" w:rsidRDefault="00FD11AA" w:rsidP="00B23A52">
      <w:pPr>
        <w:numPr>
          <w:ilvl w:val="0"/>
          <w:numId w:val="2"/>
        </w:numPr>
        <w:spacing w:after="240" w:line="240" w:lineRule="auto"/>
        <w:jc w:val="both"/>
        <w:rPr>
          <w:rFonts w:ascii="Times New Roman" w:eastAsia="Times" w:hAnsi="Times New Roman" w:cs="Times New Roman"/>
          <w:sz w:val="24"/>
          <w:szCs w:val="24"/>
          <w:lang w:val="en-US"/>
        </w:rPr>
      </w:pPr>
      <w:r w:rsidRPr="00D577DD">
        <w:rPr>
          <w:rFonts w:ascii="Times New Roman" w:eastAsia="Times" w:hAnsi="Times New Roman" w:cs="Times New Roman"/>
          <w:sz w:val="24"/>
          <w:szCs w:val="24"/>
          <w:lang w:val="en-US"/>
        </w:rPr>
        <w:t>O</w:t>
      </w:r>
      <w:r w:rsidRPr="00D577DD">
        <w:rPr>
          <w:rFonts w:ascii="Times New Roman" w:eastAsia="Times" w:hAnsi="Times New Roman" w:cs="Times New Roman"/>
          <w:sz w:val="24"/>
          <w:szCs w:val="24"/>
          <w:lang w:val="en-US"/>
        </w:rPr>
        <w:t xml:space="preserve">ur </w:t>
      </w:r>
      <w:r w:rsidRPr="00D577DD">
        <w:rPr>
          <w:rFonts w:ascii="Times New Roman" w:eastAsia="Times" w:hAnsi="Times New Roman" w:cs="Times New Roman"/>
          <w:sz w:val="24"/>
          <w:szCs w:val="24"/>
          <w:lang w:val="en-US"/>
        </w:rPr>
        <w:t xml:space="preserve">experience of promoting participation in global health research </w:t>
      </w:r>
      <w:r w:rsidR="002F2041" w:rsidRPr="00D577DD">
        <w:rPr>
          <w:rFonts w:ascii="Times New Roman" w:eastAsia="Times" w:hAnsi="Times New Roman" w:cs="Times New Roman"/>
          <w:sz w:val="24"/>
          <w:szCs w:val="24"/>
          <w:lang w:val="en-US"/>
        </w:rPr>
        <w:t>ha</w:t>
      </w:r>
      <w:r w:rsidRPr="00D577DD">
        <w:rPr>
          <w:rFonts w:ascii="Times New Roman" w:eastAsia="Times" w:hAnsi="Times New Roman" w:cs="Times New Roman"/>
          <w:sz w:val="24"/>
          <w:szCs w:val="24"/>
          <w:lang w:val="en-US"/>
        </w:rPr>
        <w:t>s</w:t>
      </w:r>
      <w:r w:rsidR="002F2041" w:rsidRPr="00D577DD">
        <w:rPr>
          <w:rFonts w:ascii="Times New Roman" w:eastAsia="Times" w:hAnsi="Times New Roman" w:cs="Times New Roman"/>
          <w:sz w:val="24"/>
          <w:szCs w:val="24"/>
          <w:lang w:val="en-US"/>
        </w:rPr>
        <w:t xml:space="preserve"> shown</w:t>
      </w:r>
      <w:r w:rsidRPr="00D577DD">
        <w:rPr>
          <w:rFonts w:ascii="Times New Roman" w:eastAsia="Times" w:hAnsi="Times New Roman" w:cs="Times New Roman"/>
          <w:sz w:val="24"/>
          <w:szCs w:val="24"/>
          <w:lang w:val="en-US"/>
        </w:rPr>
        <w:t xml:space="preserve"> that participation in sc</w:t>
      </w:r>
      <w:r w:rsidRPr="00D577DD">
        <w:rPr>
          <w:rFonts w:ascii="Times New Roman" w:eastAsia="Times" w:hAnsi="Times New Roman" w:cs="Times New Roman"/>
          <w:sz w:val="24"/>
          <w:szCs w:val="24"/>
          <w:lang w:val="en-US"/>
        </w:rPr>
        <w:t xml:space="preserve">ience is a precondition for the ability of all people to access the benefits of science without discrimination. Community science, </w:t>
      </w:r>
      <w:r w:rsidR="00D577DD">
        <w:rPr>
          <w:rFonts w:ascii="Times New Roman" w:eastAsia="Times" w:hAnsi="Times New Roman" w:cs="Times New Roman"/>
          <w:sz w:val="24"/>
          <w:szCs w:val="24"/>
          <w:lang w:val="en-US"/>
        </w:rPr>
        <w:t>whether</w:t>
      </w:r>
      <w:r w:rsidRPr="00D577DD">
        <w:rPr>
          <w:rFonts w:ascii="Times New Roman" w:eastAsia="Times" w:hAnsi="Times New Roman" w:cs="Times New Roman"/>
          <w:sz w:val="24"/>
          <w:szCs w:val="24"/>
          <w:lang w:val="en-US"/>
        </w:rPr>
        <w:t xml:space="preserve"> conducted in informal groupings or by formalized organizations (i.e., NGO, CSO, grassroots networks), ha</w:t>
      </w:r>
      <w:r w:rsidR="00D577DD">
        <w:rPr>
          <w:rFonts w:ascii="Times New Roman" w:eastAsia="Times" w:hAnsi="Times New Roman" w:cs="Times New Roman"/>
          <w:sz w:val="24"/>
          <w:szCs w:val="24"/>
          <w:lang w:val="en-US"/>
        </w:rPr>
        <w:t>s</w:t>
      </w:r>
      <w:r w:rsidRPr="00D577DD">
        <w:rPr>
          <w:rFonts w:ascii="Times New Roman" w:eastAsia="Times" w:hAnsi="Times New Roman" w:cs="Times New Roman"/>
          <w:sz w:val="24"/>
          <w:szCs w:val="24"/>
          <w:lang w:val="en-US"/>
        </w:rPr>
        <w:t xml:space="preserve"> been found to</w:t>
      </w:r>
      <w:r w:rsidRPr="00D577DD">
        <w:rPr>
          <w:rFonts w:ascii="Times New Roman" w:eastAsia="Times" w:hAnsi="Times New Roman" w:cs="Times New Roman"/>
          <w:sz w:val="24"/>
          <w:szCs w:val="24"/>
          <w:lang w:val="en-US"/>
        </w:rPr>
        <w:t xml:space="preserve"> introduce transparency, </w:t>
      </w:r>
      <w:r w:rsidR="00D577DD">
        <w:rPr>
          <w:rFonts w:ascii="Times New Roman" w:eastAsia="Times" w:hAnsi="Times New Roman" w:cs="Times New Roman"/>
          <w:sz w:val="24"/>
          <w:szCs w:val="24"/>
          <w:lang w:val="en-US"/>
        </w:rPr>
        <w:t>encourage</w:t>
      </w:r>
      <w:r w:rsidRPr="00D577DD">
        <w:rPr>
          <w:rFonts w:ascii="Times New Roman" w:eastAsia="Times" w:hAnsi="Times New Roman" w:cs="Times New Roman"/>
          <w:sz w:val="24"/>
          <w:szCs w:val="24"/>
          <w:lang w:val="en-US"/>
        </w:rPr>
        <w:t xml:space="preserve"> needs-driven research, </w:t>
      </w:r>
      <w:r w:rsidR="004E0D5A">
        <w:rPr>
          <w:rFonts w:ascii="Times New Roman" w:eastAsia="Times" w:hAnsi="Times New Roman" w:cs="Times New Roman"/>
          <w:sz w:val="24"/>
          <w:szCs w:val="24"/>
          <w:lang w:val="en-US"/>
        </w:rPr>
        <w:t xml:space="preserve">and </w:t>
      </w:r>
      <w:r w:rsidRPr="00D577DD">
        <w:rPr>
          <w:rFonts w:ascii="Times New Roman" w:eastAsia="Times" w:hAnsi="Times New Roman" w:cs="Times New Roman"/>
          <w:sz w:val="24"/>
          <w:szCs w:val="24"/>
          <w:lang w:val="en-US"/>
        </w:rPr>
        <w:t>promote inclusiveness</w:t>
      </w:r>
      <w:r w:rsidRPr="00D577DD">
        <w:rPr>
          <w:rFonts w:ascii="Times New Roman" w:eastAsia="Times" w:hAnsi="Times New Roman" w:cs="Times New Roman"/>
          <w:sz w:val="24"/>
          <w:szCs w:val="24"/>
          <w:lang w:val="en-US"/>
        </w:rPr>
        <w:t xml:space="preserve"> and reciprocity.</w:t>
      </w:r>
    </w:p>
    <w:p w14:paraId="6B3724F7" w14:textId="2F44A4C5" w:rsidR="00E93E52" w:rsidRPr="00D577DD" w:rsidRDefault="00FD11AA" w:rsidP="00B23A52">
      <w:pPr>
        <w:numPr>
          <w:ilvl w:val="0"/>
          <w:numId w:val="2"/>
        </w:numPr>
        <w:spacing w:after="240" w:line="240" w:lineRule="auto"/>
        <w:jc w:val="both"/>
        <w:rPr>
          <w:rFonts w:ascii="Times New Roman" w:eastAsia="Times" w:hAnsi="Times New Roman" w:cs="Times New Roman"/>
          <w:sz w:val="24"/>
          <w:szCs w:val="24"/>
          <w:lang w:val="en-US"/>
        </w:rPr>
      </w:pPr>
      <w:r w:rsidRPr="00D577DD">
        <w:rPr>
          <w:rFonts w:ascii="Times New Roman" w:eastAsia="Times" w:hAnsi="Times New Roman" w:cs="Times New Roman"/>
          <w:sz w:val="24"/>
          <w:szCs w:val="24"/>
          <w:lang w:val="en-US"/>
        </w:rPr>
        <w:t>In fact, community</w:t>
      </w:r>
      <w:r w:rsidR="00D577DD">
        <w:rPr>
          <w:rFonts w:ascii="Times New Roman" w:eastAsia="Times" w:hAnsi="Times New Roman" w:cs="Times New Roman"/>
          <w:sz w:val="24"/>
          <w:szCs w:val="24"/>
          <w:lang w:val="en-US"/>
        </w:rPr>
        <w:t>-driven and community-based</w:t>
      </w:r>
      <w:r w:rsidRPr="00D577DD">
        <w:rPr>
          <w:rFonts w:ascii="Times New Roman" w:eastAsia="Times" w:hAnsi="Times New Roman" w:cs="Times New Roman"/>
          <w:sz w:val="24"/>
          <w:szCs w:val="24"/>
          <w:lang w:val="en-US"/>
        </w:rPr>
        <w:t xml:space="preserve"> research can be a powerful</w:t>
      </w:r>
      <w:r w:rsidR="004E0D5A">
        <w:rPr>
          <w:rFonts w:ascii="Times New Roman" w:eastAsia="Times" w:hAnsi="Times New Roman" w:cs="Times New Roman"/>
          <w:sz w:val="24"/>
          <w:szCs w:val="24"/>
          <w:lang w:val="en-US"/>
        </w:rPr>
        <w:t xml:space="preserve"> accountability</w:t>
      </w:r>
      <w:r w:rsidRPr="00D577DD">
        <w:rPr>
          <w:rFonts w:ascii="Times New Roman" w:eastAsia="Times" w:hAnsi="Times New Roman" w:cs="Times New Roman"/>
          <w:sz w:val="24"/>
          <w:szCs w:val="24"/>
          <w:lang w:val="en-US"/>
        </w:rPr>
        <w:t xml:space="preserve"> tool in </w:t>
      </w:r>
      <w:r w:rsidR="004E0D5A">
        <w:rPr>
          <w:rFonts w:ascii="Times New Roman" w:eastAsia="Times" w:hAnsi="Times New Roman" w:cs="Times New Roman"/>
          <w:sz w:val="24"/>
          <w:szCs w:val="24"/>
          <w:lang w:val="en-US"/>
        </w:rPr>
        <w:t>the sense of</w:t>
      </w:r>
      <w:r w:rsidR="005D5BCB">
        <w:rPr>
          <w:rFonts w:ascii="Times New Roman" w:eastAsia="Times" w:hAnsi="Times New Roman" w:cs="Times New Roman"/>
          <w:sz w:val="24"/>
          <w:szCs w:val="24"/>
          <w:lang w:val="en-US"/>
        </w:rPr>
        <w:t xml:space="preserve"> communities</w:t>
      </w:r>
      <w:r w:rsidR="004E0D5A">
        <w:rPr>
          <w:rFonts w:ascii="Times New Roman" w:eastAsia="Times" w:hAnsi="Times New Roman" w:cs="Times New Roman"/>
          <w:sz w:val="24"/>
          <w:szCs w:val="24"/>
          <w:lang w:val="en-US"/>
        </w:rPr>
        <w:t xml:space="preserve"> playing </w:t>
      </w:r>
      <w:r w:rsidRPr="00D577DD">
        <w:rPr>
          <w:rFonts w:ascii="Times New Roman" w:eastAsia="Times" w:hAnsi="Times New Roman" w:cs="Times New Roman"/>
          <w:sz w:val="24"/>
          <w:szCs w:val="24"/>
          <w:lang w:val="en-US"/>
        </w:rPr>
        <w:t xml:space="preserve">a watchdog function </w:t>
      </w:r>
      <w:r w:rsidRPr="00D577DD">
        <w:rPr>
          <w:rFonts w:ascii="Times New Roman" w:eastAsia="Times" w:hAnsi="Times New Roman" w:cs="Times New Roman"/>
          <w:sz w:val="24"/>
          <w:szCs w:val="24"/>
          <w:lang w:val="en-US"/>
        </w:rPr>
        <w:t xml:space="preserve">over state inaction or non-transparency. This has been </w:t>
      </w:r>
      <w:r w:rsidR="00D577DD">
        <w:rPr>
          <w:rFonts w:ascii="Times New Roman" w:eastAsia="Times" w:hAnsi="Times New Roman" w:cs="Times New Roman"/>
          <w:sz w:val="24"/>
          <w:szCs w:val="24"/>
          <w:lang w:val="en-US"/>
        </w:rPr>
        <w:t>shown</w:t>
      </w:r>
      <w:r w:rsidRPr="00D577DD">
        <w:rPr>
          <w:rFonts w:ascii="Times New Roman" w:eastAsia="Times" w:hAnsi="Times New Roman" w:cs="Times New Roman"/>
          <w:sz w:val="24"/>
          <w:szCs w:val="24"/>
          <w:lang w:val="en-US"/>
        </w:rPr>
        <w:t xml:space="preserve"> repeatedly </w:t>
      </w:r>
      <w:r w:rsidRPr="00D577DD">
        <w:rPr>
          <w:rFonts w:ascii="Times New Roman" w:eastAsia="Times" w:hAnsi="Times New Roman" w:cs="Times New Roman"/>
          <w:sz w:val="24"/>
          <w:szCs w:val="24"/>
          <w:lang w:val="en-US"/>
        </w:rPr>
        <w:t>in the context to the right to a healthy environment, both in democratic and autocratic state</w:t>
      </w:r>
      <w:r w:rsidRPr="00D577DD">
        <w:rPr>
          <w:rFonts w:ascii="Times New Roman" w:eastAsia="Times" w:hAnsi="Times New Roman" w:cs="Times New Roman"/>
          <w:sz w:val="24"/>
          <w:szCs w:val="24"/>
          <w:lang w:val="en-US"/>
        </w:rPr>
        <w:t xml:space="preserve">s. A prominent example from the USA is the </w:t>
      </w:r>
      <w:r w:rsidRPr="00D577DD">
        <w:rPr>
          <w:rFonts w:ascii="Times New Roman" w:eastAsia="Times" w:hAnsi="Times New Roman" w:cs="Times New Roman"/>
          <w:sz w:val="24"/>
          <w:szCs w:val="24"/>
          <w:lang w:val="en-US"/>
        </w:rPr>
        <w:t>water crisis in the city of Flint, Michigan, where residents had to negotiate repeated government dismis</w:t>
      </w:r>
      <w:r w:rsidRPr="00D577DD">
        <w:rPr>
          <w:rFonts w:ascii="Times New Roman" w:eastAsia="Times" w:hAnsi="Times New Roman" w:cs="Times New Roman"/>
          <w:sz w:val="24"/>
          <w:szCs w:val="24"/>
          <w:lang w:val="en-US"/>
        </w:rPr>
        <w:t xml:space="preserve">sals to receive acknowledgement and initial aid for </w:t>
      </w:r>
      <w:r w:rsidRPr="00D577DD">
        <w:rPr>
          <w:rFonts w:ascii="Times New Roman" w:eastAsia="Times" w:hAnsi="Times New Roman" w:cs="Times New Roman"/>
          <w:sz w:val="24"/>
          <w:szCs w:val="24"/>
          <w:lang w:val="en-US"/>
        </w:rPr>
        <w:t>high lead levels in the local water supply</w:t>
      </w:r>
      <w:r w:rsidRPr="00D577DD">
        <w:rPr>
          <w:rFonts w:ascii="Times New Roman" w:eastAsia="Times" w:hAnsi="Times New Roman" w:cs="Times New Roman"/>
          <w:sz w:val="24"/>
          <w:szCs w:val="24"/>
          <w:lang w:val="en-US"/>
        </w:rPr>
        <w:t>.</w:t>
      </w:r>
      <w:r w:rsidRPr="00D577DD">
        <w:rPr>
          <w:rFonts w:ascii="Times New Roman" w:eastAsia="Times" w:hAnsi="Times New Roman" w:cs="Times New Roman"/>
          <w:sz w:val="24"/>
          <w:szCs w:val="24"/>
          <w:vertAlign w:val="superscript"/>
          <w:lang w:val="en-US"/>
        </w:rPr>
        <w:footnoteReference w:id="22"/>
      </w:r>
      <w:r w:rsidR="005D5BCB">
        <w:rPr>
          <w:rFonts w:ascii="Times New Roman" w:eastAsia="Times" w:hAnsi="Times New Roman" w:cs="Times New Roman"/>
          <w:sz w:val="24"/>
          <w:szCs w:val="24"/>
          <w:lang w:val="en-US"/>
        </w:rPr>
        <w:t xml:space="preserve"> </w:t>
      </w:r>
      <w:r w:rsidRPr="00D577DD">
        <w:rPr>
          <w:rFonts w:ascii="Times New Roman" w:eastAsia="Times" w:hAnsi="Times New Roman" w:cs="Times New Roman"/>
          <w:sz w:val="24"/>
          <w:szCs w:val="24"/>
          <w:lang w:val="en-US"/>
        </w:rPr>
        <w:t xml:space="preserve">In prior employment, the authors have witnessed how essential Chinese civil society has been to prevent further harm </w:t>
      </w:r>
      <w:r w:rsidR="005D5BCB" w:rsidRPr="005D5BCB">
        <w:rPr>
          <w:rFonts w:ascii="Times New Roman" w:eastAsia="Times" w:hAnsi="Times New Roman" w:cs="Times New Roman"/>
          <w:sz w:val="24"/>
          <w:szCs w:val="24"/>
          <w:lang w:val="en-US"/>
        </w:rPr>
        <w:t>regarding</w:t>
      </w:r>
      <w:r w:rsidRPr="00D577DD">
        <w:rPr>
          <w:rFonts w:ascii="Times New Roman" w:eastAsia="Times" w:hAnsi="Times New Roman" w:cs="Times New Roman"/>
          <w:sz w:val="24"/>
          <w:szCs w:val="24"/>
          <w:lang w:val="en-US"/>
        </w:rPr>
        <w:t xml:space="preserve"> water and soil safet</w:t>
      </w:r>
      <w:r w:rsidRPr="00D577DD">
        <w:rPr>
          <w:rFonts w:ascii="Times New Roman" w:eastAsia="Times" w:hAnsi="Times New Roman" w:cs="Times New Roman"/>
          <w:sz w:val="24"/>
          <w:szCs w:val="24"/>
          <w:lang w:val="en-US"/>
        </w:rPr>
        <w:t xml:space="preserve">y </w:t>
      </w:r>
      <w:r w:rsidR="005D5BCB" w:rsidRPr="005D5BCB">
        <w:rPr>
          <w:rFonts w:ascii="Times New Roman" w:eastAsia="Times" w:hAnsi="Times New Roman" w:cs="Times New Roman"/>
          <w:sz w:val="24"/>
          <w:szCs w:val="24"/>
          <w:lang w:val="en-US"/>
        </w:rPr>
        <w:t>following</w:t>
      </w:r>
      <w:r w:rsidRPr="00D577DD">
        <w:rPr>
          <w:rFonts w:ascii="Times New Roman" w:eastAsia="Times" w:hAnsi="Times New Roman" w:cs="Times New Roman"/>
          <w:sz w:val="24"/>
          <w:szCs w:val="24"/>
          <w:lang w:val="en-US"/>
        </w:rPr>
        <w:t xml:space="preserve"> unregulated industrialization in the countryside, </w:t>
      </w:r>
      <w:r w:rsidRPr="00D577DD">
        <w:rPr>
          <w:rFonts w:ascii="Times New Roman" w:eastAsia="Times" w:hAnsi="Times New Roman" w:cs="Times New Roman"/>
          <w:sz w:val="24"/>
          <w:szCs w:val="24"/>
          <w:lang w:val="en-US"/>
        </w:rPr>
        <w:t>SARS and COVID-19, tainted milk powder for infants, and community-initiated testing of domestic HIV medications in WHO-accredited labs outside of China.</w:t>
      </w:r>
    </w:p>
    <w:p w14:paraId="21B1763A" w14:textId="1427BC11" w:rsidR="0021313C" w:rsidRPr="00B23A52" w:rsidRDefault="00D577DD" w:rsidP="00B23A52">
      <w:pPr>
        <w:pStyle w:val="ListParagraph"/>
        <w:numPr>
          <w:ilvl w:val="0"/>
          <w:numId w:val="2"/>
        </w:numPr>
        <w:spacing w:line="240" w:lineRule="auto"/>
        <w:rPr>
          <w:lang w:val="en-US"/>
        </w:rPr>
      </w:pPr>
      <w:r w:rsidRPr="00B23A52">
        <w:rPr>
          <w:rFonts w:ascii="Times New Roman" w:eastAsia="Times" w:hAnsi="Times New Roman" w:cs="Times New Roman"/>
          <w:iCs/>
          <w:sz w:val="24"/>
          <w:szCs w:val="24"/>
          <w:lang w:val="en-US"/>
        </w:rPr>
        <w:t>In summary, TAG encourages the Special Rapporteur to take the opportunity of her upcoming report to the Human Rights Council to explore the human rights obligations of States to respect, protect, and fulfill the right of non-scientists to participate in science and decisions concerning its direction. The field of global health research — in particular</w:t>
      </w:r>
      <w:r w:rsidR="00B23A52">
        <w:rPr>
          <w:rFonts w:ascii="Times New Roman" w:eastAsia="Times" w:hAnsi="Times New Roman" w:cs="Times New Roman"/>
          <w:iCs/>
          <w:sz w:val="24"/>
          <w:szCs w:val="24"/>
          <w:lang w:val="en-US"/>
        </w:rPr>
        <w:t>, the</w:t>
      </w:r>
      <w:r w:rsidRPr="00B23A52">
        <w:rPr>
          <w:rFonts w:ascii="Times New Roman" w:eastAsia="Times" w:hAnsi="Times New Roman" w:cs="Times New Roman"/>
          <w:iCs/>
          <w:sz w:val="24"/>
          <w:szCs w:val="24"/>
          <w:lang w:val="en-US"/>
        </w:rPr>
        <w:t xml:space="preserve"> histor</w:t>
      </w:r>
      <w:r w:rsidR="00053B97">
        <w:rPr>
          <w:rFonts w:ascii="Times New Roman" w:eastAsia="Times" w:hAnsi="Times New Roman" w:cs="Times New Roman"/>
          <w:iCs/>
          <w:sz w:val="24"/>
          <w:szCs w:val="24"/>
          <w:lang w:val="en-US"/>
        </w:rPr>
        <w:t>ies</w:t>
      </w:r>
      <w:r w:rsidRPr="00B23A52">
        <w:rPr>
          <w:rFonts w:ascii="Times New Roman" w:eastAsia="Times" w:hAnsi="Times New Roman" w:cs="Times New Roman"/>
          <w:iCs/>
          <w:sz w:val="24"/>
          <w:szCs w:val="24"/>
          <w:lang w:val="en-US"/>
        </w:rPr>
        <w:t xml:space="preserve"> of research on HIV and </w:t>
      </w:r>
      <w:proofErr w:type="gramStart"/>
      <w:r w:rsidRPr="00B23A52">
        <w:rPr>
          <w:rFonts w:ascii="Times New Roman" w:eastAsia="Times" w:hAnsi="Times New Roman" w:cs="Times New Roman"/>
          <w:iCs/>
          <w:sz w:val="24"/>
          <w:szCs w:val="24"/>
          <w:lang w:val="en-US"/>
        </w:rPr>
        <w:t>TB  —</w:t>
      </w:r>
      <w:proofErr w:type="gramEnd"/>
      <w:r w:rsidRPr="00B23A52">
        <w:rPr>
          <w:rFonts w:ascii="Times New Roman" w:eastAsia="Times" w:hAnsi="Times New Roman" w:cs="Times New Roman"/>
          <w:iCs/>
          <w:sz w:val="24"/>
          <w:szCs w:val="24"/>
          <w:lang w:val="en-US"/>
        </w:rPr>
        <w:t xml:space="preserve"> contains many useful models of “affected communities” participating in all aspects of scientific activity through e.g., community advisory boards and other structures designed to give communities an equal voice and active role in </w:t>
      </w:r>
      <w:r w:rsidR="00C36C4A">
        <w:rPr>
          <w:rFonts w:ascii="Times New Roman" w:eastAsia="Times" w:hAnsi="Times New Roman" w:cs="Times New Roman"/>
          <w:iCs/>
          <w:sz w:val="24"/>
          <w:szCs w:val="24"/>
          <w:lang w:val="en-US"/>
        </w:rPr>
        <w:t>all aspects of scientific activity</w:t>
      </w:r>
      <w:r w:rsidRPr="00B23A52">
        <w:rPr>
          <w:rFonts w:ascii="Times New Roman" w:eastAsia="Times" w:hAnsi="Times New Roman" w:cs="Times New Roman"/>
          <w:iCs/>
          <w:sz w:val="24"/>
          <w:szCs w:val="24"/>
          <w:lang w:val="en-US"/>
        </w:rPr>
        <w:t>.</w:t>
      </w:r>
      <w:r w:rsidR="00C36C4A">
        <w:rPr>
          <w:rFonts w:ascii="Times New Roman" w:eastAsia="Times" w:hAnsi="Times New Roman" w:cs="Times New Roman"/>
          <w:iCs/>
          <w:sz w:val="24"/>
          <w:szCs w:val="24"/>
          <w:lang w:val="en-US"/>
        </w:rPr>
        <w:t xml:space="preserve"> Furthermore,</w:t>
      </w:r>
      <w:r w:rsidRPr="00B23A52">
        <w:rPr>
          <w:rFonts w:ascii="Times New Roman" w:eastAsia="Times" w:hAnsi="Times New Roman" w:cs="Times New Roman"/>
          <w:iCs/>
          <w:sz w:val="24"/>
          <w:szCs w:val="24"/>
          <w:lang w:val="en-US"/>
        </w:rPr>
        <w:t xml:space="preserve"> </w:t>
      </w:r>
      <w:r w:rsidR="00C36C4A">
        <w:rPr>
          <w:rFonts w:ascii="Times New Roman" w:eastAsia="Times" w:hAnsi="Times New Roman" w:cs="Times New Roman"/>
          <w:iCs/>
          <w:sz w:val="24"/>
          <w:szCs w:val="24"/>
          <w:lang w:val="en-US"/>
        </w:rPr>
        <w:t>t</w:t>
      </w:r>
      <w:r w:rsidR="00B23A52">
        <w:rPr>
          <w:rFonts w:ascii="Times New Roman" w:eastAsia="Times" w:hAnsi="Times New Roman" w:cs="Times New Roman"/>
          <w:iCs/>
          <w:sz w:val="24"/>
          <w:szCs w:val="24"/>
          <w:lang w:val="en-US"/>
        </w:rPr>
        <w:t>he experience of g</w:t>
      </w:r>
      <w:r w:rsidRPr="00B23A52">
        <w:rPr>
          <w:rFonts w:ascii="Times New Roman" w:eastAsia="Times" w:hAnsi="Times New Roman" w:cs="Times New Roman"/>
          <w:iCs/>
          <w:sz w:val="24"/>
          <w:szCs w:val="24"/>
          <w:lang w:val="en-US"/>
        </w:rPr>
        <w:t>lobal health</w:t>
      </w:r>
      <w:r w:rsidR="00B23A52">
        <w:rPr>
          <w:rFonts w:ascii="Times New Roman" w:eastAsia="Times" w:hAnsi="Times New Roman" w:cs="Times New Roman"/>
          <w:iCs/>
          <w:sz w:val="24"/>
          <w:szCs w:val="24"/>
          <w:lang w:val="en-US"/>
        </w:rPr>
        <w:t xml:space="preserve"> research</w:t>
      </w:r>
      <w:r w:rsidRPr="00B23A52">
        <w:rPr>
          <w:rFonts w:ascii="Times New Roman" w:eastAsia="Times" w:hAnsi="Times New Roman" w:cs="Times New Roman"/>
          <w:iCs/>
          <w:sz w:val="24"/>
          <w:szCs w:val="24"/>
          <w:lang w:val="en-US"/>
        </w:rPr>
        <w:t xml:space="preserve"> shows that participation cannot be separate</w:t>
      </w:r>
      <w:r w:rsidR="00B23A52">
        <w:rPr>
          <w:rFonts w:ascii="Times New Roman" w:eastAsia="Times" w:hAnsi="Times New Roman" w:cs="Times New Roman"/>
          <w:iCs/>
          <w:sz w:val="24"/>
          <w:szCs w:val="24"/>
          <w:lang w:val="en-US"/>
        </w:rPr>
        <w:t>d</w:t>
      </w:r>
      <w:r w:rsidRPr="00B23A52">
        <w:rPr>
          <w:rFonts w:ascii="Times New Roman" w:eastAsia="Times" w:hAnsi="Times New Roman" w:cs="Times New Roman"/>
          <w:iCs/>
          <w:sz w:val="24"/>
          <w:szCs w:val="24"/>
          <w:lang w:val="en-US"/>
        </w:rPr>
        <w:t xml:space="preserve"> from State obligations to </w:t>
      </w:r>
      <w:r w:rsidR="00B23A52" w:rsidRPr="00B23A52">
        <w:rPr>
          <w:rFonts w:ascii="Times New Roman" w:eastAsia="Times" w:hAnsi="Times New Roman" w:cs="Times New Roman"/>
          <w:iCs/>
          <w:sz w:val="24"/>
          <w:szCs w:val="24"/>
          <w:lang w:val="en-US"/>
        </w:rPr>
        <w:t xml:space="preserve">ensure non-discrimination in access to the scientific process and the enjoyment of scientific benefits. </w:t>
      </w:r>
    </w:p>
    <w:sectPr w:rsidR="0021313C" w:rsidRPr="00B23A52">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E2C6" w14:textId="77777777" w:rsidR="00FD11AA" w:rsidRDefault="00FD11AA">
      <w:pPr>
        <w:spacing w:line="240" w:lineRule="auto"/>
      </w:pPr>
      <w:r>
        <w:separator/>
      </w:r>
    </w:p>
  </w:endnote>
  <w:endnote w:type="continuationSeparator" w:id="0">
    <w:p w14:paraId="1DD22E1B" w14:textId="77777777" w:rsidR="00FD11AA" w:rsidRDefault="00FD1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tling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DC2" w14:textId="77777777" w:rsidR="00E93E52" w:rsidRDefault="00FD11AA">
    <w:pPr>
      <w:jc w:val="right"/>
    </w:pPr>
    <w:r>
      <w:fldChar w:fldCharType="begin"/>
    </w:r>
    <w:r>
      <w:instrText>PAGE</w:instrText>
    </w:r>
    <w:r>
      <w:fldChar w:fldCharType="separate"/>
    </w:r>
    <w:r w:rsidR="004F594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2B09" w14:textId="77777777" w:rsidR="00FD11AA" w:rsidRDefault="00FD11AA">
      <w:pPr>
        <w:spacing w:line="240" w:lineRule="auto"/>
      </w:pPr>
      <w:r>
        <w:separator/>
      </w:r>
    </w:p>
  </w:footnote>
  <w:footnote w:type="continuationSeparator" w:id="0">
    <w:p w14:paraId="14A3C72E" w14:textId="77777777" w:rsidR="00FD11AA" w:rsidRDefault="00FD11AA">
      <w:pPr>
        <w:spacing w:line="240" w:lineRule="auto"/>
      </w:pPr>
      <w:r>
        <w:continuationSeparator/>
      </w:r>
    </w:p>
  </w:footnote>
  <w:footnote w:id="1">
    <w:p w14:paraId="195A5DC9" w14:textId="77777777" w:rsidR="00E93E52" w:rsidRDefault="00FD11AA">
      <w:pPr>
        <w:spacing w:line="240" w:lineRule="auto"/>
        <w:rPr>
          <w:rFonts w:ascii="Times" w:eastAsia="Times" w:hAnsi="Times" w:cs="Times"/>
          <w:sz w:val="16"/>
          <w:szCs w:val="16"/>
        </w:rPr>
      </w:pPr>
      <w:r>
        <w:rPr>
          <w:vertAlign w:val="superscript"/>
        </w:rPr>
        <w:footnoteRef/>
      </w:r>
      <w:r>
        <w:rPr>
          <w:rFonts w:ascii="Times" w:eastAsia="Times" w:hAnsi="Times" w:cs="Times"/>
          <w:sz w:val="16"/>
          <w:szCs w:val="16"/>
        </w:rPr>
        <w:t xml:space="preserve"> </w:t>
      </w:r>
      <w:r w:rsidRPr="00B23A52">
        <w:rPr>
          <w:rFonts w:ascii="Times New Roman" w:hAnsi="Times New Roman" w:cs="Times New Roman"/>
          <w:sz w:val="20"/>
          <w:szCs w:val="20"/>
          <w:lang w:val="en-US"/>
        </w:rPr>
        <w:t xml:space="preserve">E/C.12/GC/25 </w:t>
      </w:r>
      <w:r w:rsidRPr="00B23A52">
        <w:rPr>
          <w:rFonts w:ascii="Times New Roman" w:hAnsi="Times New Roman" w:cs="Times New Roman"/>
          <w:sz w:val="20"/>
          <w:szCs w:val="20"/>
          <w:lang w:val="en-US"/>
        </w:rPr>
        <w:t>para. 9</w:t>
      </w:r>
    </w:p>
  </w:footnote>
  <w:footnote w:id="2">
    <w:p w14:paraId="3ACCAA7B" w14:textId="77777777" w:rsidR="00E93E52" w:rsidRDefault="00FD11AA">
      <w:pPr>
        <w:spacing w:line="240" w:lineRule="auto"/>
        <w:rPr>
          <w:rFonts w:ascii="Times" w:eastAsia="Times" w:hAnsi="Times" w:cs="Times"/>
          <w:sz w:val="16"/>
          <w:szCs w:val="16"/>
        </w:rPr>
      </w:pPr>
      <w:r>
        <w:rPr>
          <w:vertAlign w:val="superscript"/>
        </w:rPr>
        <w:footnoteRef/>
      </w:r>
      <w:r>
        <w:rPr>
          <w:rFonts w:ascii="Times" w:eastAsia="Times" w:hAnsi="Times" w:cs="Times"/>
          <w:sz w:val="16"/>
          <w:szCs w:val="16"/>
        </w:rPr>
        <w:t xml:space="preserve"> </w:t>
      </w:r>
      <w:r w:rsidRPr="00B23A52">
        <w:rPr>
          <w:rFonts w:ascii="Times New Roman" w:hAnsi="Times New Roman" w:cs="Times New Roman"/>
          <w:sz w:val="20"/>
          <w:szCs w:val="20"/>
          <w:lang w:val="en-US"/>
        </w:rPr>
        <w:t>Advisory Committee of the People with AIDS. The Denver Principles. 1983.</w:t>
      </w:r>
      <w:r>
        <w:rPr>
          <w:rFonts w:ascii="Times" w:eastAsia="Times" w:hAnsi="Times" w:cs="Times"/>
          <w:sz w:val="16"/>
          <w:szCs w:val="16"/>
        </w:rPr>
        <w:t xml:space="preserve"> </w:t>
      </w:r>
      <w:r w:rsidRPr="00B23A52">
        <w:rPr>
          <w:rFonts w:ascii="Times New Roman" w:hAnsi="Times New Roman" w:cs="Times New Roman"/>
          <w:sz w:val="20"/>
          <w:szCs w:val="20"/>
          <w:lang w:val="en-US"/>
        </w:rPr>
        <w:t>https://data.unaids.org/pub/externaldocument/2007/gipa1983denverprinciples_en.pdf</w:t>
      </w:r>
    </w:p>
  </w:footnote>
  <w:footnote w:id="3">
    <w:p w14:paraId="721C8099" w14:textId="77777777" w:rsidR="005D536A" w:rsidRPr="0059491C" w:rsidRDefault="005D536A" w:rsidP="005D536A">
      <w:pPr>
        <w:pStyle w:val="FootnoteText"/>
        <w:rPr>
          <w:lang w:val="en-US"/>
        </w:rPr>
      </w:pPr>
      <w:r>
        <w:rPr>
          <w:rStyle w:val="FootnoteReference"/>
        </w:rPr>
        <w:footnoteRef/>
      </w:r>
      <w:r>
        <w:t xml:space="preserve"> </w:t>
      </w:r>
      <w:r w:rsidRPr="0059491C">
        <w:rPr>
          <w:rFonts w:ascii="Times New Roman" w:hAnsi="Times New Roman" w:cs="Times New Roman"/>
          <w:lang w:val="en-US"/>
        </w:rPr>
        <w:t>Harrington M. From HIV to tuberculosis and back again: a tale of activism in 2 pandemics. Clin Infect Dis. 2010;15(50</w:t>
      </w:r>
      <w:proofErr w:type="gramStart"/>
      <w:r w:rsidRPr="0059491C">
        <w:rPr>
          <w:rFonts w:ascii="Times New Roman" w:hAnsi="Times New Roman" w:cs="Times New Roman"/>
          <w:lang w:val="en-US"/>
        </w:rPr>
        <w:t>):S</w:t>
      </w:r>
      <w:proofErr w:type="gramEnd"/>
      <w:r w:rsidRPr="0059491C">
        <w:rPr>
          <w:rFonts w:ascii="Times New Roman" w:hAnsi="Times New Roman" w:cs="Times New Roman"/>
          <w:lang w:val="en-US"/>
        </w:rPr>
        <w:t xml:space="preserve">260–6. </w:t>
      </w:r>
      <w:proofErr w:type="spellStart"/>
      <w:r w:rsidRPr="0059491C">
        <w:rPr>
          <w:rFonts w:ascii="Times New Roman" w:hAnsi="Times New Roman" w:cs="Times New Roman"/>
          <w:lang w:val="en-US"/>
        </w:rPr>
        <w:t>doi</w:t>
      </w:r>
      <w:proofErr w:type="spellEnd"/>
      <w:r w:rsidRPr="0059491C">
        <w:rPr>
          <w:rFonts w:ascii="Times New Roman" w:hAnsi="Times New Roman" w:cs="Times New Roman"/>
          <w:lang w:val="en-US"/>
        </w:rPr>
        <w:t xml:space="preserve">: 10.1086/651500. </w:t>
      </w:r>
    </w:p>
  </w:footnote>
  <w:footnote w:id="4">
    <w:p w14:paraId="58B50EF1" w14:textId="77777777" w:rsidR="00E93E52" w:rsidRDefault="00FD11AA">
      <w:pPr>
        <w:spacing w:line="240" w:lineRule="auto"/>
        <w:rPr>
          <w:rFonts w:ascii="Times" w:eastAsia="Times" w:hAnsi="Times" w:cs="Times"/>
          <w:sz w:val="16"/>
          <w:szCs w:val="16"/>
        </w:rPr>
      </w:pPr>
      <w:r>
        <w:rPr>
          <w:vertAlign w:val="superscript"/>
        </w:rPr>
        <w:footnoteRef/>
      </w:r>
      <w:r>
        <w:rPr>
          <w:rFonts w:ascii="Times" w:eastAsia="Times" w:hAnsi="Times" w:cs="Times"/>
          <w:sz w:val="16"/>
          <w:szCs w:val="16"/>
        </w:rPr>
        <w:t xml:space="preserve"> </w:t>
      </w:r>
      <w:r w:rsidRPr="00B23A52">
        <w:rPr>
          <w:rFonts w:ascii="Times New Roman" w:hAnsi="Times New Roman" w:cs="Times New Roman"/>
          <w:sz w:val="20"/>
          <w:szCs w:val="20"/>
          <w:lang w:val="en-US"/>
        </w:rPr>
        <w:t>UNAIDS. The Greater Inv</w:t>
      </w:r>
      <w:r w:rsidRPr="00B23A52">
        <w:rPr>
          <w:rFonts w:ascii="Times New Roman" w:hAnsi="Times New Roman" w:cs="Times New Roman"/>
          <w:sz w:val="20"/>
          <w:szCs w:val="20"/>
          <w:lang w:val="en-US"/>
        </w:rPr>
        <w:t>olvement of People Living with HIV (GIPA): Policy Brief. Geneva: UNAIDS; 2007. https://data.unaids.org/pub/briefingnote/2007/jc1299_policy_brief_gipa.pdf</w:t>
      </w:r>
      <w:r>
        <w:rPr>
          <w:rFonts w:ascii="Times" w:eastAsia="Times" w:hAnsi="Times" w:cs="Times"/>
          <w:sz w:val="16"/>
          <w:szCs w:val="16"/>
        </w:rPr>
        <w:t xml:space="preserve"> </w:t>
      </w:r>
    </w:p>
  </w:footnote>
  <w:footnote w:id="5">
    <w:p w14:paraId="350B20B9" w14:textId="77777777" w:rsidR="00E93E52" w:rsidRDefault="00FD11AA">
      <w:pPr>
        <w:spacing w:line="240" w:lineRule="auto"/>
        <w:rPr>
          <w:rFonts w:ascii="Times" w:eastAsia="Times" w:hAnsi="Times" w:cs="Times"/>
          <w:sz w:val="16"/>
          <w:szCs w:val="16"/>
        </w:rPr>
      </w:pPr>
      <w:r>
        <w:rPr>
          <w:vertAlign w:val="superscript"/>
        </w:rPr>
        <w:footnoteRef/>
      </w:r>
      <w:r>
        <w:rPr>
          <w:rFonts w:ascii="Times" w:eastAsia="Times" w:hAnsi="Times" w:cs="Times"/>
          <w:sz w:val="16"/>
          <w:szCs w:val="16"/>
        </w:rPr>
        <w:t xml:space="preserve"> </w:t>
      </w:r>
      <w:r w:rsidRPr="00B23A52">
        <w:rPr>
          <w:rFonts w:ascii="Times New Roman" w:hAnsi="Times New Roman" w:cs="Times New Roman"/>
          <w:sz w:val="20"/>
          <w:szCs w:val="20"/>
          <w:lang w:val="en-US"/>
        </w:rPr>
        <w:t>See, for example, the suite of Good Participatory Practice guidelines for different fields of globa</w:t>
      </w:r>
      <w:r w:rsidRPr="00B23A52">
        <w:rPr>
          <w:rFonts w:ascii="Times New Roman" w:hAnsi="Times New Roman" w:cs="Times New Roman"/>
          <w:sz w:val="20"/>
          <w:szCs w:val="20"/>
          <w:lang w:val="en-US"/>
        </w:rPr>
        <w:t>l health research: https://avac.org/project/good-participatory-practice/</w:t>
      </w:r>
    </w:p>
  </w:footnote>
  <w:footnote w:id="6">
    <w:p w14:paraId="06F325A3" w14:textId="77777777" w:rsidR="00E93E52" w:rsidRDefault="00FD11AA">
      <w:pPr>
        <w:spacing w:line="240" w:lineRule="auto"/>
        <w:rPr>
          <w:rFonts w:ascii="Times" w:eastAsia="Times" w:hAnsi="Times" w:cs="Times"/>
          <w:sz w:val="16"/>
          <w:szCs w:val="16"/>
        </w:rPr>
      </w:pPr>
      <w:r>
        <w:rPr>
          <w:vertAlign w:val="superscript"/>
        </w:rPr>
        <w:footnoteRef/>
      </w:r>
      <w:r>
        <w:rPr>
          <w:rFonts w:ascii="Times" w:eastAsia="Times" w:hAnsi="Times" w:cs="Times"/>
          <w:sz w:val="16"/>
          <w:szCs w:val="16"/>
        </w:rPr>
        <w:t xml:space="preserve"> </w:t>
      </w:r>
      <w:r w:rsidRPr="00B23A52">
        <w:rPr>
          <w:rFonts w:ascii="Times New Roman" w:hAnsi="Times New Roman" w:cs="Times New Roman"/>
          <w:sz w:val="20"/>
          <w:szCs w:val="20"/>
          <w:lang w:val="en-US"/>
        </w:rPr>
        <w:t xml:space="preserve">Boulanger R, Seidel S, </w:t>
      </w:r>
      <w:proofErr w:type="spellStart"/>
      <w:r w:rsidRPr="00B23A52">
        <w:rPr>
          <w:rFonts w:ascii="Times New Roman" w:hAnsi="Times New Roman" w:cs="Times New Roman"/>
          <w:sz w:val="20"/>
          <w:szCs w:val="20"/>
          <w:lang w:val="en-US"/>
        </w:rPr>
        <w:t>Lessem</w:t>
      </w:r>
      <w:proofErr w:type="spellEnd"/>
      <w:r w:rsidRPr="00B23A52">
        <w:rPr>
          <w:rFonts w:ascii="Times New Roman" w:hAnsi="Times New Roman" w:cs="Times New Roman"/>
          <w:sz w:val="20"/>
          <w:szCs w:val="20"/>
          <w:lang w:val="en-US"/>
        </w:rPr>
        <w:t xml:space="preserve"> E, et al. Engaging communities in tuberculosis research. Lancet Infect Dis. 2013;13(6):540–5. </w:t>
      </w:r>
      <w:proofErr w:type="spellStart"/>
      <w:r w:rsidRPr="00B23A52">
        <w:rPr>
          <w:rFonts w:ascii="Times New Roman" w:hAnsi="Times New Roman" w:cs="Times New Roman"/>
          <w:sz w:val="20"/>
          <w:szCs w:val="20"/>
          <w:lang w:val="en-US"/>
        </w:rPr>
        <w:t>doi</w:t>
      </w:r>
      <w:proofErr w:type="spellEnd"/>
      <w:r w:rsidRPr="00B23A52">
        <w:rPr>
          <w:rFonts w:ascii="Times New Roman" w:hAnsi="Times New Roman" w:cs="Times New Roman"/>
          <w:sz w:val="20"/>
          <w:szCs w:val="20"/>
          <w:lang w:val="en-US"/>
        </w:rPr>
        <w:t>: 10/1016/S1473-3099(13)70042-2.</w:t>
      </w:r>
      <w:r>
        <w:rPr>
          <w:rFonts w:ascii="Times" w:eastAsia="Times" w:hAnsi="Times" w:cs="Times"/>
          <w:sz w:val="16"/>
          <w:szCs w:val="16"/>
        </w:rPr>
        <w:t xml:space="preserve"> </w:t>
      </w:r>
    </w:p>
  </w:footnote>
  <w:footnote w:id="7">
    <w:p w14:paraId="38F79C2E" w14:textId="77777777" w:rsidR="00E93E52" w:rsidRDefault="00FD11AA">
      <w:pPr>
        <w:spacing w:line="240" w:lineRule="auto"/>
        <w:rPr>
          <w:rFonts w:ascii="Times" w:eastAsia="Times" w:hAnsi="Times" w:cs="Times"/>
          <w:sz w:val="16"/>
          <w:szCs w:val="16"/>
        </w:rPr>
      </w:pPr>
      <w:r>
        <w:rPr>
          <w:vertAlign w:val="superscript"/>
        </w:rPr>
        <w:footnoteRef/>
      </w:r>
      <w:r>
        <w:rPr>
          <w:rFonts w:ascii="Times" w:eastAsia="Times" w:hAnsi="Times" w:cs="Times"/>
          <w:sz w:val="16"/>
          <w:szCs w:val="16"/>
        </w:rPr>
        <w:t xml:space="preserve"> </w:t>
      </w:r>
      <w:r w:rsidRPr="00B23A52">
        <w:rPr>
          <w:rFonts w:ascii="Times New Roman" w:hAnsi="Times New Roman" w:cs="Times New Roman"/>
          <w:sz w:val="20"/>
          <w:szCs w:val="20"/>
          <w:lang w:val="en-US"/>
        </w:rPr>
        <w:t xml:space="preserve">Sara </w:t>
      </w:r>
      <w:proofErr w:type="spellStart"/>
      <w:r w:rsidRPr="00B23A52">
        <w:rPr>
          <w:rFonts w:ascii="Times New Roman" w:hAnsi="Times New Roman" w:cs="Times New Roman"/>
          <w:sz w:val="20"/>
          <w:szCs w:val="20"/>
          <w:lang w:val="en-US"/>
        </w:rPr>
        <w:t>Mulera</w:t>
      </w:r>
      <w:proofErr w:type="spellEnd"/>
      <w:r w:rsidRPr="00B23A52">
        <w:rPr>
          <w:rFonts w:ascii="Times New Roman" w:hAnsi="Times New Roman" w:cs="Times New Roman"/>
          <w:sz w:val="20"/>
          <w:szCs w:val="20"/>
          <w:lang w:val="en-US"/>
        </w:rPr>
        <w:t xml:space="preserve"> quoted</w:t>
      </w:r>
      <w:r w:rsidRPr="00B23A52">
        <w:rPr>
          <w:rFonts w:ascii="Times New Roman" w:hAnsi="Times New Roman" w:cs="Times New Roman"/>
          <w:sz w:val="20"/>
          <w:szCs w:val="20"/>
          <w:lang w:val="en-US"/>
        </w:rPr>
        <w:t xml:space="preserve"> in Sound Off: Three Activists Reflect on Community Victories and Priorities in TB Research. In: </w:t>
      </w:r>
      <w:proofErr w:type="spellStart"/>
      <w:r w:rsidRPr="00B23A52">
        <w:rPr>
          <w:rFonts w:ascii="Times New Roman" w:hAnsi="Times New Roman" w:cs="Times New Roman"/>
          <w:sz w:val="20"/>
          <w:szCs w:val="20"/>
          <w:lang w:val="en-US"/>
        </w:rPr>
        <w:t>TAGline</w:t>
      </w:r>
      <w:proofErr w:type="spellEnd"/>
      <w:r w:rsidRPr="00B23A52">
        <w:rPr>
          <w:rFonts w:ascii="Times New Roman" w:hAnsi="Times New Roman" w:cs="Times New Roman"/>
          <w:sz w:val="20"/>
          <w:szCs w:val="20"/>
          <w:lang w:val="en-US"/>
        </w:rPr>
        <w:t>. 26(1):2019. New York: Treatment Action Group. https://www.treatmentactiongroup.org/resources/tagline/tagline-may-2019/</w:t>
      </w:r>
    </w:p>
  </w:footnote>
  <w:footnote w:id="8">
    <w:p w14:paraId="1700ECB0" w14:textId="77777777" w:rsidR="008D3965" w:rsidRDefault="008D3965" w:rsidP="008D3965">
      <w:pPr>
        <w:spacing w:line="240" w:lineRule="auto"/>
        <w:rPr>
          <w:rFonts w:ascii="Times" w:eastAsia="Times" w:hAnsi="Times" w:cs="Times"/>
          <w:sz w:val="16"/>
          <w:szCs w:val="16"/>
        </w:rPr>
      </w:pPr>
      <w:r>
        <w:rPr>
          <w:vertAlign w:val="superscript"/>
        </w:rPr>
        <w:footnoteRef/>
      </w:r>
      <w:r>
        <w:rPr>
          <w:sz w:val="20"/>
          <w:szCs w:val="20"/>
        </w:rPr>
        <w:t xml:space="preserve"> </w:t>
      </w:r>
      <w:r w:rsidRPr="000438EC">
        <w:rPr>
          <w:rFonts w:ascii="Times New Roman" w:hAnsi="Times New Roman" w:cs="Times New Roman"/>
          <w:sz w:val="20"/>
          <w:szCs w:val="20"/>
          <w:lang w:val="en-US"/>
        </w:rPr>
        <w:t>Andrea Deluca. Global TB CAB 10-Year Anniversary Evaluation Report, 2011–2021. New York: Treatment Action Group; 2022. https://www.treatmentactiongroup.org/publication/tb-cab-10-year-anniversary-evaluation-report-2011-2021-and-podcast/</w:t>
      </w:r>
    </w:p>
  </w:footnote>
  <w:footnote w:id="9">
    <w:p w14:paraId="20849C6F" w14:textId="7EC591C5" w:rsidR="004A30BD" w:rsidRPr="000438EC" w:rsidRDefault="004A30BD">
      <w:pPr>
        <w:pStyle w:val="FootnoteText"/>
        <w:rPr>
          <w:rFonts w:ascii="Times New Roman" w:hAnsi="Times New Roman" w:cs="Times New Roman"/>
          <w:lang w:val="en-US"/>
        </w:rPr>
      </w:pPr>
      <w:r>
        <w:rPr>
          <w:rStyle w:val="FootnoteReference"/>
        </w:rPr>
        <w:footnoteRef/>
      </w:r>
      <w:r>
        <w:t xml:space="preserve"> </w:t>
      </w:r>
      <w:proofErr w:type="spellStart"/>
      <w:r w:rsidRPr="000438EC">
        <w:rPr>
          <w:rFonts w:ascii="Times New Roman" w:hAnsi="Times New Roman" w:cs="Times New Roman"/>
          <w:lang w:val="en-US"/>
        </w:rPr>
        <w:t>Rucsineanu</w:t>
      </w:r>
      <w:proofErr w:type="spellEnd"/>
      <w:r w:rsidRPr="000438EC">
        <w:rPr>
          <w:rFonts w:ascii="Times New Roman" w:hAnsi="Times New Roman" w:cs="Times New Roman"/>
          <w:lang w:val="en-US"/>
        </w:rPr>
        <w:t xml:space="preserve"> O, </w:t>
      </w:r>
      <w:proofErr w:type="spellStart"/>
      <w:r w:rsidRPr="000438EC">
        <w:rPr>
          <w:rFonts w:ascii="Times New Roman" w:hAnsi="Times New Roman" w:cs="Times New Roman"/>
          <w:lang w:val="en-US"/>
        </w:rPr>
        <w:t>Agbassi</w:t>
      </w:r>
      <w:proofErr w:type="spellEnd"/>
      <w:r w:rsidRPr="000438EC">
        <w:rPr>
          <w:rFonts w:ascii="Times New Roman" w:hAnsi="Times New Roman" w:cs="Times New Roman"/>
          <w:lang w:val="en-US"/>
        </w:rPr>
        <w:t xml:space="preserve"> P, Herrera R, et al. Shorter TB treatment regimens should be safe as well. Public Health Action. 2023;13(3):104–106. </w:t>
      </w:r>
      <w:proofErr w:type="spellStart"/>
      <w:r w:rsidRPr="000438EC">
        <w:rPr>
          <w:rFonts w:ascii="Times New Roman" w:hAnsi="Times New Roman" w:cs="Times New Roman"/>
          <w:lang w:val="en-US"/>
        </w:rPr>
        <w:t>doi</w:t>
      </w:r>
      <w:proofErr w:type="spellEnd"/>
      <w:r w:rsidRPr="000438EC">
        <w:rPr>
          <w:rFonts w:ascii="Times New Roman" w:hAnsi="Times New Roman" w:cs="Times New Roman"/>
          <w:lang w:val="en-US"/>
        </w:rPr>
        <w:t xml:space="preserve">: 10.5588/pha.23.0026.  </w:t>
      </w:r>
    </w:p>
  </w:footnote>
  <w:footnote w:id="10">
    <w:p w14:paraId="55F3BA7F" w14:textId="77777777" w:rsidR="008D3965" w:rsidRDefault="008D3965" w:rsidP="008D3965">
      <w:pPr>
        <w:spacing w:line="240" w:lineRule="auto"/>
        <w:rPr>
          <w:rFonts w:ascii="Times" w:eastAsia="Times" w:hAnsi="Times" w:cs="Times"/>
          <w:sz w:val="16"/>
          <w:szCs w:val="16"/>
        </w:rPr>
      </w:pPr>
      <w:r>
        <w:rPr>
          <w:vertAlign w:val="superscript"/>
        </w:rPr>
        <w:footnoteRef/>
      </w:r>
      <w:r>
        <w:rPr>
          <w:sz w:val="20"/>
          <w:szCs w:val="20"/>
        </w:rPr>
        <w:t xml:space="preserve"> </w:t>
      </w:r>
      <w:r w:rsidRPr="000438EC">
        <w:rPr>
          <w:rFonts w:ascii="Times New Roman" w:hAnsi="Times New Roman" w:cs="Times New Roman"/>
          <w:sz w:val="20"/>
          <w:szCs w:val="20"/>
          <w:lang w:val="en-US"/>
        </w:rPr>
        <w:t>Andrea Deluca. Global TB CAB 10-Year Anniversary Evaluation Report, 2011–2021. New York: Treatment Action Group; 2022. https://www.treatmentactiongroup.org/publication/tb-cab-10-year-anniversary-evaluation-report-2011-2021-and-podcast/</w:t>
      </w:r>
    </w:p>
  </w:footnote>
  <w:footnote w:id="11">
    <w:p w14:paraId="4D56868A" w14:textId="77777777" w:rsidR="00E93E52" w:rsidRDefault="00FD11AA">
      <w:pPr>
        <w:spacing w:line="240" w:lineRule="auto"/>
        <w:rPr>
          <w:rFonts w:ascii="Times" w:eastAsia="Times" w:hAnsi="Times" w:cs="Times"/>
          <w:sz w:val="16"/>
          <w:szCs w:val="16"/>
        </w:rPr>
      </w:pPr>
      <w:r>
        <w:rPr>
          <w:vertAlign w:val="superscript"/>
        </w:rPr>
        <w:footnoteRef/>
      </w:r>
      <w:r>
        <w:rPr>
          <w:rFonts w:ascii="Times" w:eastAsia="Times" w:hAnsi="Times" w:cs="Times"/>
          <w:sz w:val="16"/>
          <w:szCs w:val="16"/>
        </w:rPr>
        <w:t xml:space="preserve"> </w:t>
      </w:r>
      <w:r w:rsidRPr="000438EC">
        <w:rPr>
          <w:rFonts w:ascii="Times New Roman" w:hAnsi="Times New Roman" w:cs="Times New Roman"/>
          <w:sz w:val="20"/>
          <w:szCs w:val="20"/>
          <w:lang w:val="en-US"/>
        </w:rPr>
        <w:t>See, for example, OHCHR and Equal Participation</w:t>
      </w:r>
      <w:r w:rsidRPr="000438EC">
        <w:rPr>
          <w:rFonts w:ascii="Times New Roman" w:hAnsi="Times New Roman" w:cs="Times New Roman"/>
          <w:sz w:val="20"/>
          <w:szCs w:val="20"/>
          <w:lang w:val="en-US"/>
        </w:rPr>
        <w:t xml:space="preserve"> in Political and Public Affairs. https://www.ohchr.org/en/equal-participation </w:t>
      </w:r>
    </w:p>
  </w:footnote>
  <w:footnote w:id="12">
    <w:p w14:paraId="5DF84AC3" w14:textId="57885112" w:rsidR="006B544C" w:rsidRPr="00B23A52" w:rsidRDefault="006B544C">
      <w:pPr>
        <w:pStyle w:val="FootnoteText"/>
        <w:rPr>
          <w:lang w:val="en-US"/>
        </w:rPr>
      </w:pPr>
      <w:r>
        <w:rPr>
          <w:rStyle w:val="FootnoteReference"/>
        </w:rPr>
        <w:footnoteRef/>
      </w:r>
      <w:r>
        <w:t xml:space="preserve"> </w:t>
      </w:r>
      <w:r w:rsidRPr="00B23A52">
        <w:rPr>
          <w:rFonts w:ascii="Times New Roman" w:hAnsi="Times New Roman" w:cs="Times New Roman"/>
          <w:lang w:val="en-US"/>
        </w:rPr>
        <w:t>E/C.12/GC/25. Para.16-20.</w:t>
      </w:r>
      <w:r>
        <w:rPr>
          <w:rFonts w:ascii="Times New Roman" w:eastAsia="Times New Roman" w:hAnsi="Times New Roman" w:cs="Times New Roman"/>
          <w:sz w:val="16"/>
          <w:szCs w:val="16"/>
        </w:rPr>
        <w:t xml:space="preserve">  </w:t>
      </w:r>
    </w:p>
  </w:footnote>
  <w:footnote w:id="13">
    <w:p w14:paraId="6463DF90" w14:textId="71BE985D" w:rsidR="00CF7A8C" w:rsidRPr="00CF7A8C" w:rsidRDefault="00CF7A8C">
      <w:pPr>
        <w:pStyle w:val="FootnoteText"/>
        <w:rPr>
          <w:lang w:val="en-US"/>
        </w:rPr>
      </w:pPr>
      <w:r>
        <w:rPr>
          <w:rStyle w:val="FootnoteReference"/>
        </w:rPr>
        <w:footnoteRef/>
      </w:r>
      <w:r>
        <w:t xml:space="preserve"> </w:t>
      </w:r>
      <w:r w:rsidRPr="00BC6B19">
        <w:rPr>
          <w:rFonts w:ascii="Times New Roman" w:hAnsi="Times New Roman" w:cs="Times New Roman"/>
          <w:lang w:val="en-US"/>
        </w:rPr>
        <w:t xml:space="preserve">Frick M, Dang G. The right to science: a practical tool for advancing global health equity and promoting the human rights of people with tuberculosis. In: The Right to Science: Then and Now. Eds. </w:t>
      </w:r>
      <w:proofErr w:type="spellStart"/>
      <w:r w:rsidRPr="00BC6B19">
        <w:rPr>
          <w:rFonts w:ascii="Times New Roman" w:hAnsi="Times New Roman" w:cs="Times New Roman"/>
          <w:lang w:val="en-US"/>
        </w:rPr>
        <w:t>Porsdam</w:t>
      </w:r>
      <w:proofErr w:type="spellEnd"/>
      <w:r w:rsidRPr="00BC6B19">
        <w:rPr>
          <w:rFonts w:ascii="Times New Roman" w:hAnsi="Times New Roman" w:cs="Times New Roman"/>
          <w:lang w:val="en-US"/>
        </w:rPr>
        <w:t xml:space="preserve"> H, </w:t>
      </w:r>
      <w:proofErr w:type="spellStart"/>
      <w:r w:rsidRPr="00BC6B19">
        <w:rPr>
          <w:rFonts w:ascii="Times New Roman" w:hAnsi="Times New Roman" w:cs="Times New Roman"/>
          <w:lang w:val="en-US"/>
        </w:rPr>
        <w:t>Porsdam</w:t>
      </w:r>
      <w:proofErr w:type="spellEnd"/>
      <w:r w:rsidRPr="00BC6B19">
        <w:rPr>
          <w:rFonts w:ascii="Times New Roman" w:hAnsi="Times New Roman" w:cs="Times New Roman"/>
          <w:lang w:val="en-US"/>
        </w:rPr>
        <w:t xml:space="preserve">-Mann S. Cambridge: Cambridge University Press; 2021. </w:t>
      </w:r>
      <w:r w:rsidR="00BC6B19" w:rsidRPr="00BC6B19">
        <w:rPr>
          <w:rFonts w:ascii="Times New Roman" w:hAnsi="Times New Roman" w:cs="Times New Roman"/>
          <w:lang w:val="en-US"/>
        </w:rPr>
        <w:t>https://www.cambridge.org/core/books/right-to-science/right-to-science/649044E6E801B08BDE8B014002E5ACA5</w:t>
      </w:r>
    </w:p>
  </w:footnote>
  <w:footnote w:id="14">
    <w:p w14:paraId="5DBA982D" w14:textId="77777777" w:rsidR="00CF7A8C" w:rsidRDefault="00CF7A8C" w:rsidP="00CF7A8C">
      <w:pPr>
        <w:spacing w:line="240" w:lineRule="auto"/>
        <w:rPr>
          <w:sz w:val="20"/>
          <w:szCs w:val="20"/>
        </w:rPr>
      </w:pPr>
      <w:r>
        <w:rPr>
          <w:vertAlign w:val="superscript"/>
        </w:rPr>
        <w:footnoteRef/>
      </w:r>
      <w:r>
        <w:rPr>
          <w:sz w:val="20"/>
          <w:szCs w:val="20"/>
        </w:rPr>
        <w:t xml:space="preserve"> </w:t>
      </w:r>
      <w:r w:rsidRPr="00B23A52">
        <w:rPr>
          <w:rFonts w:ascii="Times New Roman" w:hAnsi="Times New Roman" w:cs="Times New Roman"/>
          <w:sz w:val="20"/>
          <w:szCs w:val="20"/>
          <w:lang w:val="en-US"/>
        </w:rPr>
        <w:t>E/C.12/GC/25. Para. 16–20.</w:t>
      </w:r>
      <w:r>
        <w:rPr>
          <w:rFonts w:ascii="Times New Roman" w:eastAsia="Times New Roman" w:hAnsi="Times New Roman" w:cs="Times New Roman"/>
          <w:sz w:val="16"/>
          <w:szCs w:val="16"/>
        </w:rPr>
        <w:t xml:space="preserve"> </w:t>
      </w:r>
    </w:p>
  </w:footnote>
  <w:footnote w:id="15">
    <w:p w14:paraId="5A6CF041" w14:textId="77777777" w:rsidR="00CF7A8C" w:rsidRDefault="00CF7A8C" w:rsidP="00CF7A8C">
      <w:pPr>
        <w:spacing w:line="240" w:lineRule="auto"/>
        <w:rPr>
          <w:sz w:val="20"/>
          <w:szCs w:val="20"/>
        </w:rPr>
      </w:pPr>
      <w:r>
        <w:rPr>
          <w:vertAlign w:val="superscript"/>
        </w:rPr>
        <w:footnoteRef/>
      </w:r>
      <w:r>
        <w:rPr>
          <w:sz w:val="20"/>
          <w:szCs w:val="20"/>
        </w:rPr>
        <w:t xml:space="preserve"> </w:t>
      </w:r>
      <w:r w:rsidRPr="00B23A52">
        <w:rPr>
          <w:rFonts w:ascii="Times New Roman" w:hAnsi="Times New Roman" w:cs="Times New Roman"/>
          <w:sz w:val="20"/>
          <w:szCs w:val="20"/>
          <w:lang w:val="en-US"/>
        </w:rPr>
        <w:t>E/C.12/2000/4.</w:t>
      </w:r>
    </w:p>
  </w:footnote>
  <w:footnote w:id="16">
    <w:p w14:paraId="5A868163" w14:textId="77777777" w:rsidR="00BC6B19" w:rsidRDefault="00BC6B19" w:rsidP="00BC6B19">
      <w:pPr>
        <w:spacing w:line="240" w:lineRule="auto"/>
        <w:rPr>
          <w:sz w:val="20"/>
          <w:szCs w:val="20"/>
        </w:rPr>
      </w:pPr>
      <w:r>
        <w:rPr>
          <w:vertAlign w:val="superscript"/>
        </w:rPr>
        <w:footnoteRef/>
      </w:r>
      <w:r>
        <w:rPr>
          <w:sz w:val="20"/>
          <w:szCs w:val="20"/>
        </w:rPr>
        <w:t xml:space="preserve"> </w:t>
      </w:r>
      <w:r w:rsidRPr="00B23A52">
        <w:rPr>
          <w:rFonts w:ascii="Times New Roman" w:hAnsi="Times New Roman" w:cs="Times New Roman"/>
          <w:sz w:val="20"/>
          <w:szCs w:val="20"/>
          <w:lang w:val="en-US"/>
        </w:rPr>
        <w:t>E/C.12/GC/25 para. 16.</w:t>
      </w:r>
    </w:p>
  </w:footnote>
  <w:footnote w:id="17">
    <w:p w14:paraId="751E895B" w14:textId="33FC1A5A" w:rsidR="00BC6B19" w:rsidRDefault="00BC6B19" w:rsidP="00BC6B19">
      <w:pPr>
        <w:spacing w:line="240" w:lineRule="auto"/>
        <w:rPr>
          <w:sz w:val="20"/>
          <w:szCs w:val="20"/>
        </w:rPr>
      </w:pPr>
      <w:r>
        <w:rPr>
          <w:vertAlign w:val="superscript"/>
        </w:rPr>
        <w:footnoteRef/>
      </w:r>
      <w:r>
        <w:rPr>
          <w:sz w:val="20"/>
          <w:szCs w:val="20"/>
        </w:rPr>
        <w:t xml:space="preserve"> </w:t>
      </w:r>
      <w:r w:rsidRPr="00B23A52">
        <w:rPr>
          <w:rFonts w:ascii="Times New Roman" w:hAnsi="Times New Roman" w:cs="Times New Roman"/>
          <w:sz w:val="20"/>
          <w:szCs w:val="20"/>
          <w:lang w:val="en-US"/>
        </w:rPr>
        <w:t>E/C.12/GC/25 para. 17</w:t>
      </w:r>
      <w:r>
        <w:rPr>
          <w:rFonts w:ascii="Times New Roman" w:hAnsi="Times New Roman" w:cs="Times New Roman"/>
          <w:sz w:val="20"/>
          <w:szCs w:val="20"/>
          <w:lang w:val="en-US"/>
        </w:rPr>
        <w:t>.</w:t>
      </w:r>
    </w:p>
  </w:footnote>
  <w:footnote w:id="18">
    <w:p w14:paraId="345A4427" w14:textId="006B261E" w:rsidR="001E2BD1" w:rsidRPr="00B23A52" w:rsidRDefault="001E2BD1">
      <w:pPr>
        <w:pStyle w:val="FootnoteText"/>
        <w:rPr>
          <w:lang w:val="en-US"/>
        </w:rPr>
      </w:pPr>
      <w:r>
        <w:rPr>
          <w:rStyle w:val="FootnoteReference"/>
        </w:rPr>
        <w:footnoteRef/>
      </w:r>
      <w:r>
        <w:t xml:space="preserve"> </w:t>
      </w:r>
      <w:r w:rsidRPr="00B23A52">
        <w:rPr>
          <w:rFonts w:ascii="Times New Roman" w:hAnsi="Times New Roman" w:cs="Times New Roman"/>
          <w:lang w:val="en-US"/>
        </w:rPr>
        <w:t xml:space="preserve">Gupta A, </w:t>
      </w:r>
      <w:proofErr w:type="spellStart"/>
      <w:r w:rsidRPr="00B23A52">
        <w:rPr>
          <w:rFonts w:ascii="Times New Roman" w:hAnsi="Times New Roman" w:cs="Times New Roman"/>
          <w:lang w:val="en-US"/>
        </w:rPr>
        <w:t>Mathad</w:t>
      </w:r>
      <w:proofErr w:type="spellEnd"/>
      <w:r w:rsidRPr="00B23A52">
        <w:rPr>
          <w:rFonts w:ascii="Times New Roman" w:hAnsi="Times New Roman" w:cs="Times New Roman"/>
          <w:lang w:val="en-US"/>
        </w:rPr>
        <w:t xml:space="preserve"> J, Abdel-Rahman S, et al. Toward earlier inclusion of pregnant and postpartum women in tuberculosis drug trials: consensus statements from an international expert panel. Clin Infect Dis. 2016;62(6):761–769. </w:t>
      </w:r>
      <w:proofErr w:type="spellStart"/>
      <w:r w:rsidRPr="00B23A52">
        <w:rPr>
          <w:rFonts w:ascii="Times New Roman" w:hAnsi="Times New Roman" w:cs="Times New Roman"/>
          <w:lang w:val="en-US"/>
        </w:rPr>
        <w:t>doi</w:t>
      </w:r>
      <w:proofErr w:type="spellEnd"/>
      <w:r w:rsidRPr="00B23A52">
        <w:rPr>
          <w:rFonts w:ascii="Times New Roman" w:hAnsi="Times New Roman" w:cs="Times New Roman"/>
          <w:lang w:val="en-US"/>
        </w:rPr>
        <w:t>: 10.1093/</w:t>
      </w:r>
      <w:proofErr w:type="spellStart"/>
      <w:r w:rsidRPr="00B23A52">
        <w:rPr>
          <w:rFonts w:ascii="Times New Roman" w:hAnsi="Times New Roman" w:cs="Times New Roman"/>
          <w:lang w:val="en-US"/>
        </w:rPr>
        <w:t>cid</w:t>
      </w:r>
      <w:proofErr w:type="spellEnd"/>
      <w:r w:rsidRPr="00B23A52">
        <w:rPr>
          <w:rFonts w:ascii="Times New Roman" w:hAnsi="Times New Roman" w:cs="Times New Roman"/>
          <w:lang w:val="en-US"/>
        </w:rPr>
        <w:t>/civ991.</w:t>
      </w:r>
      <w:r>
        <w:rPr>
          <w:lang w:val="en-US"/>
        </w:rPr>
        <w:t xml:space="preserve">  </w:t>
      </w:r>
    </w:p>
  </w:footnote>
  <w:footnote w:id="19">
    <w:p w14:paraId="7EA934E2" w14:textId="7861B29F" w:rsidR="001E2BD1" w:rsidRPr="00B23A52" w:rsidRDefault="001E2BD1" w:rsidP="00B23A52">
      <w:pPr>
        <w:rPr>
          <w:rFonts w:ascii="Times New Roman" w:eastAsia="Times New Roman" w:hAnsi="Times New Roman" w:cs="Times New Roman"/>
          <w:sz w:val="24"/>
          <w:szCs w:val="24"/>
          <w:lang w:val="en-US" w:eastAsia="en-US"/>
        </w:rPr>
      </w:pPr>
      <w:r>
        <w:rPr>
          <w:rStyle w:val="FootnoteReference"/>
        </w:rPr>
        <w:footnoteRef/>
      </w:r>
      <w:r>
        <w:t xml:space="preserve"> </w:t>
      </w:r>
      <w:r w:rsidRPr="00B23A52">
        <w:rPr>
          <w:rFonts w:ascii="Times New Roman" w:hAnsi="Times New Roman" w:cs="Times New Roman"/>
          <w:sz w:val="20"/>
          <w:szCs w:val="20"/>
          <w:lang w:val="en-US"/>
        </w:rPr>
        <w:t xml:space="preserve">Gupta A, </w:t>
      </w:r>
      <w:proofErr w:type="spellStart"/>
      <w:r w:rsidRPr="00B23A52">
        <w:rPr>
          <w:rFonts w:ascii="Times New Roman" w:hAnsi="Times New Roman" w:cs="Times New Roman"/>
          <w:sz w:val="20"/>
          <w:szCs w:val="20"/>
          <w:lang w:val="en-US"/>
        </w:rPr>
        <w:t>Montepiedra</w:t>
      </w:r>
      <w:proofErr w:type="spellEnd"/>
      <w:r w:rsidRPr="00B23A52">
        <w:rPr>
          <w:rFonts w:ascii="Times New Roman" w:hAnsi="Times New Roman" w:cs="Times New Roman"/>
          <w:sz w:val="20"/>
          <w:szCs w:val="20"/>
          <w:lang w:val="en-US"/>
        </w:rPr>
        <w:t xml:space="preserve"> G, Aaron L, et al. </w:t>
      </w:r>
      <w:proofErr w:type="spellStart"/>
      <w:r w:rsidRPr="00B23A52">
        <w:rPr>
          <w:rFonts w:ascii="Times New Roman" w:hAnsi="Times New Roman" w:cs="Times New Roman"/>
          <w:sz w:val="20"/>
          <w:szCs w:val="20"/>
          <w:lang w:val="en-US"/>
        </w:rPr>
        <w:t>Isoniaziad</w:t>
      </w:r>
      <w:proofErr w:type="spellEnd"/>
      <w:r w:rsidRPr="00B23A52">
        <w:rPr>
          <w:rFonts w:ascii="Times New Roman" w:hAnsi="Times New Roman" w:cs="Times New Roman"/>
          <w:sz w:val="20"/>
          <w:szCs w:val="20"/>
          <w:lang w:val="en-US"/>
        </w:rPr>
        <w:t xml:space="preserve"> preventive therapy in HIV-infected pregnant and postpartum women. New </w:t>
      </w:r>
      <w:proofErr w:type="spellStart"/>
      <w:r w:rsidRPr="00B23A52">
        <w:rPr>
          <w:rFonts w:ascii="Times New Roman" w:hAnsi="Times New Roman" w:cs="Times New Roman"/>
          <w:sz w:val="20"/>
          <w:szCs w:val="20"/>
          <w:lang w:val="en-US"/>
        </w:rPr>
        <w:t>Eng</w:t>
      </w:r>
      <w:proofErr w:type="spellEnd"/>
      <w:r w:rsidRPr="00B23A52">
        <w:rPr>
          <w:rFonts w:ascii="Times New Roman" w:hAnsi="Times New Roman" w:cs="Times New Roman"/>
          <w:sz w:val="20"/>
          <w:szCs w:val="20"/>
          <w:lang w:val="en-US"/>
        </w:rPr>
        <w:t xml:space="preserve"> J Med. 2019;381(14):1333-1346. </w:t>
      </w:r>
      <w:proofErr w:type="spellStart"/>
      <w:r w:rsidRPr="00B23A52">
        <w:rPr>
          <w:rFonts w:ascii="Times New Roman" w:hAnsi="Times New Roman" w:cs="Times New Roman"/>
          <w:sz w:val="20"/>
          <w:szCs w:val="20"/>
          <w:lang w:val="en-US"/>
        </w:rPr>
        <w:t>doi</w:t>
      </w:r>
      <w:proofErr w:type="spellEnd"/>
      <w:r w:rsidRPr="00B23A52">
        <w:rPr>
          <w:rFonts w:ascii="Times New Roman" w:hAnsi="Times New Roman" w:cs="Times New Roman"/>
          <w:sz w:val="20"/>
          <w:szCs w:val="20"/>
          <w:lang w:val="en-US"/>
        </w:rPr>
        <w:t>: 10.1056/NEJMoa1813060.</w:t>
      </w:r>
      <w:r w:rsidRPr="001E2BD1">
        <w:rPr>
          <w:rFonts w:ascii="Times New Roman" w:eastAsia="Times New Roman" w:hAnsi="Times New Roman" w:cs="Times New Roman"/>
          <w:sz w:val="24"/>
          <w:szCs w:val="24"/>
          <w:lang w:val="en-US" w:eastAsia="en-US"/>
        </w:rPr>
        <w:t xml:space="preserve"> </w:t>
      </w:r>
    </w:p>
  </w:footnote>
  <w:footnote w:id="20">
    <w:p w14:paraId="703ACDD5" w14:textId="2F31D5FE" w:rsidR="001E2BD1" w:rsidRPr="00B23A52" w:rsidRDefault="001E2BD1">
      <w:pPr>
        <w:pStyle w:val="FootnoteText"/>
        <w:rPr>
          <w:rFonts w:ascii="Times New Roman" w:hAnsi="Times New Roman" w:cs="Times New Roman"/>
          <w:lang w:val="en-US"/>
        </w:rPr>
      </w:pPr>
      <w:r>
        <w:rPr>
          <w:rStyle w:val="FootnoteReference"/>
        </w:rPr>
        <w:footnoteRef/>
      </w:r>
      <w:r>
        <w:t xml:space="preserve"> </w:t>
      </w:r>
      <w:r w:rsidRPr="00B23A52">
        <w:rPr>
          <w:rFonts w:ascii="Times New Roman" w:hAnsi="Times New Roman" w:cs="Times New Roman"/>
          <w:lang w:val="en-US"/>
        </w:rPr>
        <w:t xml:space="preserve">McKenna L, Frick M, Lee C, et al. A community perspective on the inclusion of pregnant women in tuberculosis drug trials. Clin Infect Dis. 2017;65(8):1383–1387. </w:t>
      </w:r>
      <w:proofErr w:type="spellStart"/>
      <w:r w:rsidRPr="00B23A52">
        <w:rPr>
          <w:rFonts w:ascii="Times New Roman" w:hAnsi="Times New Roman" w:cs="Times New Roman"/>
          <w:lang w:val="en-US"/>
        </w:rPr>
        <w:t>doi</w:t>
      </w:r>
      <w:proofErr w:type="spellEnd"/>
      <w:r w:rsidRPr="00B23A52">
        <w:rPr>
          <w:rFonts w:ascii="Times New Roman" w:hAnsi="Times New Roman" w:cs="Times New Roman"/>
          <w:lang w:val="en-US"/>
        </w:rPr>
        <w:t>: 10/1093/</w:t>
      </w:r>
      <w:proofErr w:type="spellStart"/>
      <w:r w:rsidRPr="00B23A52">
        <w:rPr>
          <w:rFonts w:ascii="Times New Roman" w:hAnsi="Times New Roman" w:cs="Times New Roman"/>
          <w:lang w:val="en-US"/>
        </w:rPr>
        <w:t>cid</w:t>
      </w:r>
      <w:proofErr w:type="spellEnd"/>
      <w:r w:rsidRPr="00B23A52">
        <w:rPr>
          <w:rFonts w:ascii="Times New Roman" w:hAnsi="Times New Roman" w:cs="Times New Roman"/>
          <w:lang w:val="en-US"/>
        </w:rPr>
        <w:t xml:space="preserve">/cix533.  </w:t>
      </w:r>
    </w:p>
  </w:footnote>
  <w:footnote w:id="21">
    <w:p w14:paraId="0B743873" w14:textId="77777777" w:rsidR="00E93E52" w:rsidRDefault="00FD11AA">
      <w:pPr>
        <w:spacing w:line="240" w:lineRule="auto"/>
        <w:rPr>
          <w:rFonts w:ascii="Times" w:eastAsia="Times" w:hAnsi="Times" w:cs="Times"/>
          <w:sz w:val="16"/>
          <w:szCs w:val="16"/>
        </w:rPr>
      </w:pPr>
      <w:r>
        <w:rPr>
          <w:vertAlign w:val="superscript"/>
        </w:rPr>
        <w:footnoteRef/>
      </w:r>
      <w:r>
        <w:rPr>
          <w:rFonts w:ascii="Times" w:eastAsia="Times" w:hAnsi="Times" w:cs="Times"/>
          <w:sz w:val="16"/>
          <w:szCs w:val="16"/>
        </w:rPr>
        <w:t xml:space="preserve"> </w:t>
      </w:r>
      <w:r w:rsidRPr="00B23A52">
        <w:rPr>
          <w:rFonts w:ascii="Times New Roman" w:hAnsi="Times New Roman" w:cs="Times New Roman"/>
          <w:sz w:val="20"/>
          <w:szCs w:val="20"/>
          <w:lang w:val="en-US"/>
        </w:rPr>
        <w:t xml:space="preserve">Lyerly A, Little M, Faden R. The second wave: toward responsible inclusion of pregnant women in research. Int J Fem Approaches </w:t>
      </w:r>
      <w:proofErr w:type="spellStart"/>
      <w:r w:rsidRPr="00B23A52">
        <w:rPr>
          <w:rFonts w:ascii="Times New Roman" w:hAnsi="Times New Roman" w:cs="Times New Roman"/>
          <w:sz w:val="20"/>
          <w:szCs w:val="20"/>
          <w:lang w:val="en-US"/>
        </w:rPr>
        <w:t>Bioeth</w:t>
      </w:r>
      <w:proofErr w:type="spellEnd"/>
      <w:r w:rsidRPr="00B23A52">
        <w:rPr>
          <w:rFonts w:ascii="Times New Roman" w:hAnsi="Times New Roman" w:cs="Times New Roman"/>
          <w:sz w:val="20"/>
          <w:szCs w:val="20"/>
          <w:lang w:val="en-US"/>
        </w:rPr>
        <w:t xml:space="preserve">. 2008;1(2):5–22. </w:t>
      </w:r>
      <w:proofErr w:type="spellStart"/>
      <w:r w:rsidRPr="00B23A52">
        <w:rPr>
          <w:rFonts w:ascii="Times New Roman" w:hAnsi="Times New Roman" w:cs="Times New Roman"/>
          <w:sz w:val="20"/>
          <w:szCs w:val="20"/>
          <w:lang w:val="en-US"/>
        </w:rPr>
        <w:t>doi</w:t>
      </w:r>
      <w:proofErr w:type="spellEnd"/>
      <w:r w:rsidRPr="00B23A52">
        <w:rPr>
          <w:rFonts w:ascii="Times New Roman" w:hAnsi="Times New Roman" w:cs="Times New Roman"/>
          <w:sz w:val="20"/>
          <w:szCs w:val="20"/>
          <w:lang w:val="en-US"/>
        </w:rPr>
        <w:t>: 10.1353/</w:t>
      </w:r>
      <w:proofErr w:type="spellStart"/>
      <w:r w:rsidRPr="00B23A52">
        <w:rPr>
          <w:rFonts w:ascii="Times New Roman" w:hAnsi="Times New Roman" w:cs="Times New Roman"/>
          <w:sz w:val="20"/>
          <w:szCs w:val="20"/>
          <w:lang w:val="en-US"/>
        </w:rPr>
        <w:t>ijf</w:t>
      </w:r>
      <w:proofErr w:type="spellEnd"/>
      <w:r w:rsidRPr="00B23A52">
        <w:rPr>
          <w:rFonts w:ascii="Times New Roman" w:hAnsi="Times New Roman" w:cs="Times New Roman"/>
          <w:sz w:val="20"/>
          <w:szCs w:val="20"/>
          <w:lang w:val="en-US"/>
        </w:rPr>
        <w:t>/0.0047</w:t>
      </w:r>
    </w:p>
  </w:footnote>
  <w:footnote w:id="22">
    <w:p w14:paraId="04A63EDD" w14:textId="77777777" w:rsidR="00E93E52" w:rsidRDefault="00FD11AA">
      <w:pPr>
        <w:spacing w:line="240" w:lineRule="auto"/>
        <w:rPr>
          <w:sz w:val="20"/>
          <w:szCs w:val="20"/>
        </w:rPr>
      </w:pPr>
      <w:r>
        <w:rPr>
          <w:vertAlign w:val="superscript"/>
        </w:rPr>
        <w:footnoteRef/>
      </w:r>
      <w:r>
        <w:rPr>
          <w:sz w:val="20"/>
          <w:szCs w:val="20"/>
        </w:rPr>
        <w:t xml:space="preserve"> </w:t>
      </w:r>
      <w:r w:rsidRPr="00B23A52">
        <w:rPr>
          <w:rFonts w:ascii="Times New Roman" w:hAnsi="Times New Roman" w:cs="Times New Roman"/>
          <w:sz w:val="20"/>
          <w:szCs w:val="20"/>
          <w:lang w:val="en-US"/>
        </w:rPr>
        <w:t xml:space="preserve">See </w:t>
      </w:r>
      <w:proofErr w:type="gramStart"/>
      <w:r w:rsidRPr="00B23A52">
        <w:rPr>
          <w:rFonts w:ascii="Times New Roman" w:hAnsi="Times New Roman" w:cs="Times New Roman"/>
          <w:sz w:val="20"/>
          <w:szCs w:val="20"/>
          <w:lang w:val="en-US"/>
        </w:rPr>
        <w:t>e.g.</w:t>
      </w:r>
      <w:proofErr w:type="gramEnd"/>
      <w:r w:rsidRPr="00B23A52">
        <w:rPr>
          <w:rFonts w:ascii="Times New Roman" w:hAnsi="Times New Roman" w:cs="Times New Roman"/>
          <w:sz w:val="20"/>
          <w:szCs w:val="20"/>
          <w:lang w:val="en-US"/>
        </w:rPr>
        <w:t xml:space="preserve"> National Resources Defence Council (2018). Flint Water Crisis: Everything you need to know. &lt;</w:t>
      </w:r>
      <w:hyperlink r:id="rId1">
        <w:r w:rsidRPr="00B23A52">
          <w:rPr>
            <w:rFonts w:ascii="Times New Roman" w:hAnsi="Times New Roman" w:cs="Times New Roman"/>
            <w:sz w:val="20"/>
            <w:szCs w:val="20"/>
            <w:lang w:val="en-US"/>
          </w:rPr>
          <w:t>https://www.nrdc.org/stories/flint-water-crisis-everything-</w:t>
        </w:r>
        <w:r w:rsidRPr="00B23A52">
          <w:rPr>
            <w:rFonts w:ascii="Times New Roman" w:hAnsi="Times New Roman" w:cs="Times New Roman"/>
            <w:sz w:val="20"/>
            <w:szCs w:val="20"/>
            <w:lang w:val="en-US"/>
          </w:rPr>
          <w:t>you-need-know</w:t>
        </w:r>
      </w:hyperlink>
      <w:r w:rsidRPr="00B23A52">
        <w:rPr>
          <w:rFonts w:ascii="Times New Roman" w:hAnsi="Times New Roman" w:cs="Times New Roman"/>
          <w:sz w:val="20"/>
          <w:szCs w:val="20"/>
          <w:lang w:val="en-US"/>
        </w:rPr>
        <w:t>&gt; (accessed 10 November 2023</w:t>
      </w:r>
      <w:r w:rsidRPr="00B23A52">
        <w:rPr>
          <w:rFonts w:ascii="Times New Roman" w:hAnsi="Times New Roman" w:cs="Times New Roman"/>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9F8C" w14:textId="0D640ECB" w:rsidR="00E93E52" w:rsidRDefault="00FD11AA">
    <w:pPr>
      <w:jc w:val="center"/>
    </w:pPr>
    <w:r>
      <w:rPr>
        <w:noProof/>
      </w:rPr>
      <w:drawing>
        <wp:inline distT="114300" distB="114300" distL="114300" distR="114300" wp14:anchorId="6AFFCB5E" wp14:editId="7229C550">
          <wp:extent cx="1730212" cy="6155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0212" cy="615556"/>
                  </a:xfrm>
                  <a:prstGeom prst="rect">
                    <a:avLst/>
                  </a:prstGeom>
                  <a:ln/>
                </pic:spPr>
              </pic:pic>
            </a:graphicData>
          </a:graphic>
        </wp:inline>
      </w:drawing>
    </w:r>
  </w:p>
  <w:p w14:paraId="529829D5" w14:textId="77777777" w:rsidR="0021313C" w:rsidRDefault="0021313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00EE"/>
    <w:multiLevelType w:val="multilevel"/>
    <w:tmpl w:val="8A044B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C8842CA"/>
    <w:multiLevelType w:val="multilevel"/>
    <w:tmpl w:val="103C2A1C"/>
    <w:lvl w:ilvl="0">
      <w:start w:val="33"/>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4B9D7BE8"/>
    <w:multiLevelType w:val="hybridMultilevel"/>
    <w:tmpl w:val="4C2A3D3A"/>
    <w:lvl w:ilvl="0" w:tplc="38208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252C6"/>
    <w:multiLevelType w:val="multilevel"/>
    <w:tmpl w:val="7FE28E26"/>
    <w:lvl w:ilvl="0">
      <w:start w:val="1"/>
      <w:numFmt w:val="lowerLetter"/>
      <w:lvlText w:val="%1."/>
      <w:lvlJc w:val="left"/>
      <w:pPr>
        <w:ind w:left="1440" w:hanging="360"/>
      </w:pPr>
      <w:rPr>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DB2306F"/>
    <w:multiLevelType w:val="hybridMultilevel"/>
    <w:tmpl w:val="A600EFA2"/>
    <w:lvl w:ilvl="0" w:tplc="E17E56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D3948"/>
    <w:multiLevelType w:val="multilevel"/>
    <w:tmpl w:val="2FE6D4B0"/>
    <w:lvl w:ilvl="0">
      <w:start w:val="1"/>
      <w:numFmt w:val="decimal"/>
      <w:lvlText w:val="%1."/>
      <w:lvlJc w:val="left"/>
      <w:pPr>
        <w:ind w:left="360" w:hanging="360"/>
      </w:pPr>
      <w:rPr>
        <w:i w:val="0"/>
        <w:i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621959258">
    <w:abstractNumId w:val="3"/>
  </w:num>
  <w:num w:numId="2" w16cid:durableId="1968969739">
    <w:abstractNumId w:val="5"/>
  </w:num>
  <w:num w:numId="3" w16cid:durableId="1089086930">
    <w:abstractNumId w:val="1"/>
  </w:num>
  <w:num w:numId="4" w16cid:durableId="1260330086">
    <w:abstractNumId w:val="0"/>
  </w:num>
  <w:num w:numId="5" w16cid:durableId="937257247">
    <w:abstractNumId w:val="2"/>
  </w:num>
  <w:num w:numId="6" w16cid:durableId="645866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52"/>
    <w:rsid w:val="000438EC"/>
    <w:rsid w:val="00053B97"/>
    <w:rsid w:val="000F4800"/>
    <w:rsid w:val="001E2BD1"/>
    <w:rsid w:val="001E653E"/>
    <w:rsid w:val="0021313C"/>
    <w:rsid w:val="002B473E"/>
    <w:rsid w:val="002F2041"/>
    <w:rsid w:val="003E1C13"/>
    <w:rsid w:val="004152EB"/>
    <w:rsid w:val="004A30BD"/>
    <w:rsid w:val="004E0D5A"/>
    <w:rsid w:val="004F5940"/>
    <w:rsid w:val="005010A4"/>
    <w:rsid w:val="0059491C"/>
    <w:rsid w:val="005D536A"/>
    <w:rsid w:val="005D5BCB"/>
    <w:rsid w:val="006B544C"/>
    <w:rsid w:val="006D0978"/>
    <w:rsid w:val="00724B69"/>
    <w:rsid w:val="00763F1B"/>
    <w:rsid w:val="007C3368"/>
    <w:rsid w:val="008404F9"/>
    <w:rsid w:val="00843E5F"/>
    <w:rsid w:val="008D3965"/>
    <w:rsid w:val="009A10F9"/>
    <w:rsid w:val="009C7A96"/>
    <w:rsid w:val="00AD4C51"/>
    <w:rsid w:val="00B23A52"/>
    <w:rsid w:val="00B255CC"/>
    <w:rsid w:val="00B41B8C"/>
    <w:rsid w:val="00BC6B19"/>
    <w:rsid w:val="00BF5C20"/>
    <w:rsid w:val="00C36C4A"/>
    <w:rsid w:val="00C929E6"/>
    <w:rsid w:val="00CF7A8C"/>
    <w:rsid w:val="00D577DD"/>
    <w:rsid w:val="00DD095F"/>
    <w:rsid w:val="00E93E52"/>
    <w:rsid w:val="00F25B9C"/>
    <w:rsid w:val="00FD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47513D"/>
  <w15:docId w15:val="{6FA5D466-7E06-BF46-BC54-95D1F2A5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3368"/>
    <w:pPr>
      <w:spacing w:line="240" w:lineRule="auto"/>
    </w:pPr>
  </w:style>
  <w:style w:type="paragraph" w:styleId="ListParagraph">
    <w:name w:val="List Paragraph"/>
    <w:basedOn w:val="Normal"/>
    <w:uiPriority w:val="34"/>
    <w:qFormat/>
    <w:rsid w:val="002F2041"/>
    <w:pPr>
      <w:ind w:left="720"/>
      <w:contextualSpacing/>
    </w:pPr>
  </w:style>
  <w:style w:type="paragraph" w:styleId="FootnoteText">
    <w:name w:val="footnote text"/>
    <w:basedOn w:val="Normal"/>
    <w:link w:val="FootnoteTextChar"/>
    <w:uiPriority w:val="99"/>
    <w:semiHidden/>
    <w:unhideWhenUsed/>
    <w:rsid w:val="001E2BD1"/>
    <w:pPr>
      <w:spacing w:line="240" w:lineRule="auto"/>
    </w:pPr>
    <w:rPr>
      <w:sz w:val="20"/>
      <w:szCs w:val="20"/>
    </w:rPr>
  </w:style>
  <w:style w:type="character" w:customStyle="1" w:styleId="FootnoteTextChar">
    <w:name w:val="Footnote Text Char"/>
    <w:basedOn w:val="DefaultParagraphFont"/>
    <w:link w:val="FootnoteText"/>
    <w:uiPriority w:val="99"/>
    <w:semiHidden/>
    <w:rsid w:val="001E2BD1"/>
    <w:rPr>
      <w:sz w:val="20"/>
      <w:szCs w:val="20"/>
    </w:rPr>
  </w:style>
  <w:style w:type="character" w:styleId="FootnoteReference">
    <w:name w:val="footnote reference"/>
    <w:basedOn w:val="DefaultParagraphFont"/>
    <w:uiPriority w:val="99"/>
    <w:semiHidden/>
    <w:unhideWhenUsed/>
    <w:rsid w:val="001E2BD1"/>
    <w:rPr>
      <w:vertAlign w:val="superscript"/>
    </w:rPr>
  </w:style>
  <w:style w:type="character" w:customStyle="1" w:styleId="citation-doi">
    <w:name w:val="citation-doi"/>
    <w:basedOn w:val="DefaultParagraphFont"/>
    <w:rsid w:val="001E2BD1"/>
  </w:style>
  <w:style w:type="paragraph" w:styleId="Header">
    <w:name w:val="header"/>
    <w:basedOn w:val="Normal"/>
    <w:link w:val="HeaderChar"/>
    <w:uiPriority w:val="99"/>
    <w:unhideWhenUsed/>
    <w:rsid w:val="0021313C"/>
    <w:pPr>
      <w:tabs>
        <w:tab w:val="center" w:pos="4680"/>
        <w:tab w:val="right" w:pos="9360"/>
      </w:tabs>
      <w:spacing w:line="240" w:lineRule="auto"/>
    </w:pPr>
  </w:style>
  <w:style w:type="character" w:customStyle="1" w:styleId="HeaderChar">
    <w:name w:val="Header Char"/>
    <w:basedOn w:val="DefaultParagraphFont"/>
    <w:link w:val="Header"/>
    <w:uiPriority w:val="99"/>
    <w:rsid w:val="0021313C"/>
  </w:style>
  <w:style w:type="paragraph" w:styleId="Footer">
    <w:name w:val="footer"/>
    <w:basedOn w:val="Normal"/>
    <w:link w:val="FooterChar"/>
    <w:uiPriority w:val="99"/>
    <w:unhideWhenUsed/>
    <w:rsid w:val="0021313C"/>
    <w:pPr>
      <w:tabs>
        <w:tab w:val="center" w:pos="4680"/>
        <w:tab w:val="right" w:pos="9360"/>
      </w:tabs>
      <w:spacing w:line="240" w:lineRule="auto"/>
    </w:pPr>
  </w:style>
  <w:style w:type="character" w:customStyle="1" w:styleId="FooterChar">
    <w:name w:val="Footer Char"/>
    <w:basedOn w:val="DefaultParagraphFont"/>
    <w:link w:val="Footer"/>
    <w:uiPriority w:val="99"/>
    <w:rsid w:val="0021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72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rdc.org/stories/flint-water-crisis-everything-you-need-kn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Treatment Action Group</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3EEB7C6-B38C-4D59-B3FA-4E24CC1357B7}"/>
</file>

<file path=customXml/itemProps2.xml><?xml version="1.0" encoding="utf-8"?>
<ds:datastoreItem xmlns:ds="http://schemas.openxmlformats.org/officeDocument/2006/customXml" ds:itemID="{24E98742-CF92-4441-9068-335389BC2644}"/>
</file>

<file path=customXml/itemProps3.xml><?xml version="1.0" encoding="utf-8"?>
<ds:datastoreItem xmlns:ds="http://schemas.openxmlformats.org/officeDocument/2006/customXml" ds:itemID="{F720F355-F45C-42BA-A07D-3F21942F8BB8}"/>
</file>

<file path=docProps/app.xml><?xml version="1.0" encoding="utf-8"?>
<Properties xmlns="http://schemas.openxmlformats.org/officeDocument/2006/extended-properties" xmlns:vt="http://schemas.openxmlformats.org/officeDocument/2006/docPropsVTypes">
  <Template>Normal.dotm</Template>
  <TotalTime>7</TotalTime>
  <Pages>8</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Tag 3</cp:lastModifiedBy>
  <cp:revision>5</cp:revision>
  <dcterms:created xsi:type="dcterms:W3CDTF">2023-11-13T13:28:00Z</dcterms:created>
  <dcterms:modified xsi:type="dcterms:W3CDTF">2023-11-13T13:35:00Z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