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1AE1D" w14:textId="77777777" w:rsidR="00703FB0" w:rsidRPr="001C0EFD" w:rsidRDefault="007C0186" w:rsidP="001C0EFD">
      <w:pPr>
        <w:spacing w:after="0" w:line="240" w:lineRule="auto"/>
        <w:jc w:val="right"/>
        <w:rPr>
          <w:rFonts w:ascii="Times New Roman" w:hAnsi="Times New Roman" w:cs="Times New Roman"/>
          <w:sz w:val="24"/>
          <w:szCs w:val="24"/>
        </w:rPr>
      </w:pPr>
      <w:bookmarkStart w:id="0" w:name="_GoBack"/>
      <w:bookmarkEnd w:id="0"/>
      <w:r w:rsidRPr="001C0EFD">
        <w:rPr>
          <w:rFonts w:ascii="Times New Roman" w:hAnsi="Times New Roman" w:cs="Times New Roman"/>
          <w:noProof/>
          <w:color w:val="000000"/>
          <w:sz w:val="24"/>
          <w:szCs w:val="24"/>
          <w:lang w:eastAsia="en-GB"/>
        </w:rPr>
        <w:drawing>
          <wp:inline distT="0" distB="0" distL="0" distR="0" wp14:anchorId="4671AE36" wp14:editId="4671AE37">
            <wp:extent cx="1161288" cy="967740"/>
            <wp:effectExtent l="0" t="0" r="1270" b="3810"/>
            <wp:docPr id="1" name="Picture 1" descr="BIIC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ICL_Logo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5780" cy="971483"/>
                    </a:xfrm>
                    <a:prstGeom prst="rect">
                      <a:avLst/>
                    </a:prstGeom>
                    <a:noFill/>
                    <a:ln>
                      <a:noFill/>
                    </a:ln>
                  </pic:spPr>
                </pic:pic>
              </a:graphicData>
            </a:graphic>
          </wp:inline>
        </w:drawing>
      </w:r>
    </w:p>
    <w:p w14:paraId="4671AE1E" w14:textId="77777777" w:rsidR="00547E4E" w:rsidRPr="001C0EFD" w:rsidRDefault="00547E4E" w:rsidP="001C0EFD">
      <w:pPr>
        <w:spacing w:after="0" w:line="240" w:lineRule="auto"/>
        <w:jc w:val="both"/>
        <w:rPr>
          <w:rFonts w:ascii="Times New Roman" w:hAnsi="Times New Roman" w:cs="Times New Roman"/>
          <w:sz w:val="24"/>
          <w:szCs w:val="24"/>
        </w:rPr>
      </w:pPr>
    </w:p>
    <w:p w14:paraId="4671AE1F" w14:textId="77777777" w:rsidR="001C0EFD" w:rsidRDefault="001C0EFD" w:rsidP="001C0EFD">
      <w:pPr>
        <w:spacing w:after="0" w:line="240" w:lineRule="auto"/>
        <w:jc w:val="center"/>
        <w:rPr>
          <w:rStyle w:val="CommentReference"/>
          <w:rFonts w:ascii="Times New Roman" w:hAnsi="Times New Roman" w:cs="Times New Roman"/>
          <w:b/>
          <w:caps/>
          <w:sz w:val="24"/>
          <w:szCs w:val="24"/>
        </w:rPr>
      </w:pPr>
    </w:p>
    <w:p w14:paraId="4671AE20" w14:textId="77777777" w:rsidR="00547E4E" w:rsidRPr="001C0EFD" w:rsidRDefault="007C0186" w:rsidP="001C0EFD">
      <w:pPr>
        <w:spacing w:after="0" w:line="240" w:lineRule="auto"/>
        <w:jc w:val="center"/>
        <w:rPr>
          <w:rStyle w:val="CommentReference"/>
          <w:rFonts w:ascii="Times New Roman" w:hAnsi="Times New Roman" w:cs="Times New Roman"/>
          <w:b/>
          <w:caps/>
          <w:sz w:val="24"/>
          <w:szCs w:val="24"/>
        </w:rPr>
      </w:pPr>
      <w:r w:rsidRPr="001C0EFD">
        <w:rPr>
          <w:rStyle w:val="CommentReference"/>
          <w:rFonts w:ascii="Times New Roman" w:hAnsi="Times New Roman" w:cs="Times New Roman"/>
          <w:b/>
          <w:caps/>
          <w:sz w:val="24"/>
          <w:szCs w:val="24"/>
        </w:rPr>
        <w:t>submission on cultural rights and sustainable Development</w:t>
      </w:r>
    </w:p>
    <w:p w14:paraId="4671AE21" w14:textId="77777777" w:rsidR="007C0186" w:rsidRPr="001C0EFD" w:rsidRDefault="007C0186" w:rsidP="001C0EFD">
      <w:pPr>
        <w:spacing w:after="0" w:line="240" w:lineRule="auto"/>
        <w:jc w:val="both"/>
        <w:rPr>
          <w:rFonts w:ascii="Times New Roman" w:hAnsi="Times New Roman" w:cs="Times New Roman"/>
          <w:b/>
          <w:caps/>
          <w:sz w:val="24"/>
          <w:szCs w:val="24"/>
        </w:rPr>
      </w:pPr>
    </w:p>
    <w:p w14:paraId="4671AE22" w14:textId="77777777" w:rsidR="001C0EFD" w:rsidRDefault="001C0EFD" w:rsidP="001C0EFD">
      <w:pPr>
        <w:spacing w:after="0" w:line="240" w:lineRule="auto"/>
        <w:jc w:val="both"/>
        <w:rPr>
          <w:rFonts w:ascii="Times New Roman" w:hAnsi="Times New Roman" w:cs="Times New Roman"/>
          <w:sz w:val="24"/>
          <w:szCs w:val="24"/>
        </w:rPr>
      </w:pPr>
    </w:p>
    <w:p w14:paraId="4671AE23" w14:textId="77777777" w:rsidR="007C0186" w:rsidRPr="001C0EFD" w:rsidRDefault="007C0186" w:rsidP="001C0EFD">
      <w:pPr>
        <w:spacing w:after="0" w:line="240" w:lineRule="auto"/>
        <w:jc w:val="both"/>
        <w:rPr>
          <w:rFonts w:ascii="Times New Roman" w:hAnsi="Times New Roman" w:cs="Times New Roman"/>
          <w:sz w:val="24"/>
          <w:szCs w:val="24"/>
        </w:rPr>
      </w:pPr>
      <w:r w:rsidRPr="001C0EFD">
        <w:rPr>
          <w:rFonts w:ascii="Times New Roman" w:hAnsi="Times New Roman" w:cs="Times New Roman"/>
          <w:sz w:val="24"/>
          <w:szCs w:val="24"/>
        </w:rPr>
        <w:t>In October 2021, Berenika Drazewska and Kristin Hausler</w:t>
      </w:r>
      <w:r w:rsidR="006442CA" w:rsidRPr="001C0EFD">
        <w:rPr>
          <w:rFonts w:ascii="Times New Roman" w:hAnsi="Times New Roman" w:cs="Times New Roman"/>
          <w:sz w:val="24"/>
          <w:szCs w:val="24"/>
        </w:rPr>
        <w:t xml:space="preserve"> </w:t>
      </w:r>
      <w:r w:rsidRPr="001C0EFD">
        <w:rPr>
          <w:rFonts w:ascii="Times New Roman" w:hAnsi="Times New Roman" w:cs="Times New Roman"/>
          <w:sz w:val="24"/>
          <w:szCs w:val="24"/>
        </w:rPr>
        <w:t>published a Working Paper online on ‘The Role of Multilateral Development Banks in the Protection of Intangible Cultural Heritage’,</w:t>
      </w:r>
      <w:r w:rsidR="00AD003D" w:rsidRPr="001C0EFD">
        <w:rPr>
          <w:rStyle w:val="FootnoteReference"/>
          <w:rFonts w:ascii="Times New Roman" w:hAnsi="Times New Roman"/>
          <w:sz w:val="24"/>
          <w:szCs w:val="24"/>
        </w:rPr>
        <w:footnoteReference w:id="1"/>
      </w:r>
      <w:r w:rsidRPr="001C0EFD">
        <w:rPr>
          <w:rFonts w:ascii="Times New Roman" w:hAnsi="Times New Roman" w:cs="Times New Roman"/>
          <w:sz w:val="24"/>
          <w:szCs w:val="24"/>
        </w:rPr>
        <w:t xml:space="preserve"> which </w:t>
      </w:r>
      <w:r w:rsidR="00AD003D" w:rsidRPr="001C0EFD">
        <w:rPr>
          <w:rFonts w:ascii="Times New Roman" w:hAnsi="Times New Roman" w:cs="Times New Roman"/>
          <w:sz w:val="24"/>
          <w:szCs w:val="24"/>
        </w:rPr>
        <w:t xml:space="preserve">was published online by the British Institute of International and Comparative Law and </w:t>
      </w:r>
      <w:r w:rsidRPr="001C0EFD">
        <w:rPr>
          <w:rFonts w:ascii="Times New Roman" w:hAnsi="Times New Roman" w:cs="Times New Roman"/>
          <w:sz w:val="24"/>
          <w:szCs w:val="24"/>
        </w:rPr>
        <w:t xml:space="preserve">is available at: </w:t>
      </w:r>
      <w:hyperlink r:id="rId11" w:history="1">
        <w:r w:rsidR="0045311D" w:rsidRPr="001C0EFD">
          <w:rPr>
            <w:rStyle w:val="Hyperlink"/>
            <w:rFonts w:ascii="Times New Roman" w:hAnsi="Times New Roman" w:cs="Times New Roman"/>
            <w:sz w:val="24"/>
            <w:szCs w:val="24"/>
          </w:rPr>
          <w:t>https://www.biicl.org/publications/the-role-of-multilateral-development-banks-in-the-protection-of-intangible-cultural-heritage</w:t>
        </w:r>
      </w:hyperlink>
    </w:p>
    <w:p w14:paraId="4671AE24" w14:textId="77777777" w:rsidR="001C0EFD" w:rsidRDefault="001C0EFD" w:rsidP="001C0EFD">
      <w:pPr>
        <w:spacing w:after="0" w:line="240" w:lineRule="auto"/>
        <w:jc w:val="both"/>
        <w:rPr>
          <w:rFonts w:ascii="Times New Roman" w:hAnsi="Times New Roman" w:cs="Times New Roman"/>
          <w:sz w:val="24"/>
          <w:szCs w:val="24"/>
        </w:rPr>
      </w:pPr>
    </w:p>
    <w:p w14:paraId="4671AE25" w14:textId="77777777" w:rsidR="00180690" w:rsidRPr="001C0EFD" w:rsidRDefault="0045311D" w:rsidP="001C0EFD">
      <w:pPr>
        <w:spacing w:after="0" w:line="240" w:lineRule="auto"/>
        <w:jc w:val="both"/>
        <w:rPr>
          <w:rFonts w:ascii="Times New Roman" w:hAnsi="Times New Roman" w:cs="Times New Roman"/>
          <w:sz w:val="24"/>
          <w:szCs w:val="24"/>
          <w:lang w:val="en-US"/>
        </w:rPr>
      </w:pPr>
      <w:r w:rsidRPr="001C0EFD">
        <w:rPr>
          <w:rFonts w:ascii="Times New Roman" w:hAnsi="Times New Roman" w:cs="Times New Roman"/>
          <w:sz w:val="24"/>
          <w:szCs w:val="24"/>
        </w:rPr>
        <w:t>This submission stems from the research undertaken for this Working Paper</w:t>
      </w:r>
      <w:r w:rsidR="001C0EFD">
        <w:rPr>
          <w:rFonts w:ascii="Times New Roman" w:hAnsi="Times New Roman" w:cs="Times New Roman"/>
          <w:sz w:val="24"/>
          <w:szCs w:val="24"/>
        </w:rPr>
        <w:t>, which was</w:t>
      </w:r>
      <w:r w:rsidR="006442CA" w:rsidRPr="001C0EFD">
        <w:rPr>
          <w:rFonts w:ascii="Times New Roman" w:hAnsi="Times New Roman" w:cs="Times New Roman"/>
          <w:sz w:val="24"/>
          <w:szCs w:val="24"/>
        </w:rPr>
        <w:t xml:space="preserve"> not country specific but con</w:t>
      </w:r>
      <w:r w:rsidR="001C0EFD">
        <w:rPr>
          <w:rFonts w:ascii="Times New Roman" w:hAnsi="Times New Roman" w:cs="Times New Roman"/>
          <w:sz w:val="24"/>
          <w:szCs w:val="24"/>
        </w:rPr>
        <w:t>sidered</w:t>
      </w:r>
      <w:r w:rsidR="006442CA" w:rsidRPr="001C0EFD">
        <w:rPr>
          <w:rFonts w:ascii="Times New Roman" w:hAnsi="Times New Roman" w:cs="Times New Roman"/>
          <w:sz w:val="24"/>
          <w:szCs w:val="24"/>
        </w:rPr>
        <w:t xml:space="preserve"> the role of</w:t>
      </w:r>
      <w:r w:rsidR="003721A3" w:rsidRPr="001C0EFD">
        <w:rPr>
          <w:rFonts w:ascii="Times New Roman" w:hAnsi="Times New Roman" w:cs="Times New Roman"/>
          <w:sz w:val="24"/>
          <w:szCs w:val="24"/>
        </w:rPr>
        <w:t xml:space="preserve"> seven</w:t>
      </w:r>
      <w:r w:rsidR="006442CA" w:rsidRPr="001C0EFD">
        <w:rPr>
          <w:rFonts w:ascii="Times New Roman" w:hAnsi="Times New Roman" w:cs="Times New Roman"/>
          <w:sz w:val="24"/>
          <w:szCs w:val="24"/>
        </w:rPr>
        <w:t xml:space="preserve"> </w:t>
      </w:r>
      <w:r w:rsidR="006442CA" w:rsidRPr="001C0EFD">
        <w:rPr>
          <w:rFonts w:ascii="Times New Roman" w:hAnsi="Times New Roman" w:cs="Times New Roman"/>
          <w:b/>
          <w:sz w:val="24"/>
          <w:szCs w:val="24"/>
        </w:rPr>
        <w:t xml:space="preserve">Multilateral Development </w:t>
      </w:r>
      <w:r w:rsidR="00AD003D" w:rsidRPr="001C0EFD">
        <w:rPr>
          <w:rFonts w:ascii="Times New Roman" w:hAnsi="Times New Roman" w:cs="Times New Roman"/>
          <w:b/>
          <w:sz w:val="24"/>
          <w:szCs w:val="24"/>
        </w:rPr>
        <w:t>Banks (MDBs)</w:t>
      </w:r>
      <w:r w:rsidR="00AD003D" w:rsidRPr="001C0EFD">
        <w:rPr>
          <w:rFonts w:ascii="Times New Roman" w:hAnsi="Times New Roman" w:cs="Times New Roman"/>
          <w:sz w:val="24"/>
          <w:szCs w:val="24"/>
        </w:rPr>
        <w:t xml:space="preserve"> and the impact of the development projects they support </w:t>
      </w:r>
      <w:r w:rsidR="003721A3" w:rsidRPr="001C0EFD">
        <w:rPr>
          <w:rFonts w:ascii="Times New Roman" w:hAnsi="Times New Roman" w:cs="Times New Roman"/>
          <w:sz w:val="24"/>
          <w:szCs w:val="24"/>
        </w:rPr>
        <w:t xml:space="preserve">around the globe </w:t>
      </w:r>
      <w:r w:rsidR="00AD003D" w:rsidRPr="001C0EFD">
        <w:rPr>
          <w:rFonts w:ascii="Times New Roman" w:hAnsi="Times New Roman" w:cs="Times New Roman"/>
          <w:sz w:val="24"/>
          <w:szCs w:val="24"/>
        </w:rPr>
        <w:t xml:space="preserve">on </w:t>
      </w:r>
      <w:r w:rsidR="00AD003D" w:rsidRPr="001C0EFD">
        <w:rPr>
          <w:rFonts w:ascii="Times New Roman" w:hAnsi="Times New Roman" w:cs="Times New Roman"/>
          <w:sz w:val="24"/>
          <w:szCs w:val="24"/>
          <w:lang w:val="en-US"/>
        </w:rPr>
        <w:t>intangible cultural heritage (ICH)</w:t>
      </w:r>
      <w:r w:rsidR="00180690" w:rsidRPr="001C0EFD">
        <w:rPr>
          <w:rFonts w:ascii="Times New Roman" w:hAnsi="Times New Roman" w:cs="Times New Roman"/>
          <w:sz w:val="24"/>
          <w:szCs w:val="24"/>
          <w:lang w:val="en-US"/>
        </w:rPr>
        <w:t xml:space="preserve"> in particular</w:t>
      </w:r>
      <w:r w:rsidR="00AD003D" w:rsidRPr="001C0EFD">
        <w:rPr>
          <w:rFonts w:ascii="Times New Roman" w:hAnsi="Times New Roman" w:cs="Times New Roman"/>
          <w:sz w:val="24"/>
          <w:szCs w:val="24"/>
          <w:lang w:val="en-US"/>
        </w:rPr>
        <w:t>.</w:t>
      </w:r>
      <w:r w:rsidR="003721A3" w:rsidRPr="001C0EFD">
        <w:rPr>
          <w:rFonts w:ascii="Times New Roman" w:hAnsi="Times New Roman" w:cs="Times New Roman"/>
          <w:sz w:val="24"/>
          <w:szCs w:val="24"/>
          <w:lang w:val="en-US"/>
        </w:rPr>
        <w:t xml:space="preserve"> In brackets, references are made to the relevant paragraph numbers of the Working Paper.</w:t>
      </w:r>
    </w:p>
    <w:p w14:paraId="4671AE26" w14:textId="77777777" w:rsidR="003721A3" w:rsidRDefault="003721A3" w:rsidP="001C0EFD">
      <w:pPr>
        <w:spacing w:after="0" w:line="240" w:lineRule="auto"/>
        <w:jc w:val="both"/>
        <w:rPr>
          <w:rFonts w:ascii="Times New Roman" w:hAnsi="Times New Roman" w:cs="Times New Roman"/>
          <w:b/>
          <w:caps/>
          <w:sz w:val="24"/>
          <w:szCs w:val="24"/>
        </w:rPr>
      </w:pPr>
    </w:p>
    <w:p w14:paraId="4671AE27" w14:textId="77777777" w:rsidR="001C0EFD" w:rsidRDefault="001C0EFD" w:rsidP="001C0EFD">
      <w:pPr>
        <w:spacing w:after="0" w:line="240" w:lineRule="auto"/>
        <w:jc w:val="both"/>
        <w:rPr>
          <w:rFonts w:ascii="Times New Roman" w:hAnsi="Times New Roman" w:cs="Times New Roman"/>
          <w:b/>
          <w:caps/>
          <w:sz w:val="24"/>
          <w:szCs w:val="24"/>
        </w:rPr>
      </w:pPr>
    </w:p>
    <w:p w14:paraId="4671AE28" w14:textId="77777777" w:rsidR="001C0EFD" w:rsidRPr="001C0EFD" w:rsidRDefault="001C0EFD" w:rsidP="001C0EFD">
      <w:pPr>
        <w:spacing w:after="0" w:line="240" w:lineRule="auto"/>
        <w:jc w:val="both"/>
        <w:rPr>
          <w:rFonts w:ascii="Times New Roman" w:hAnsi="Times New Roman" w:cs="Times New Roman"/>
          <w:b/>
          <w:caps/>
          <w:sz w:val="24"/>
          <w:szCs w:val="24"/>
        </w:rPr>
      </w:pPr>
    </w:p>
    <w:p w14:paraId="4671AE29" w14:textId="77777777" w:rsidR="00180690" w:rsidRPr="001C0EFD" w:rsidRDefault="00180690" w:rsidP="001C0EFD">
      <w:pPr>
        <w:pStyle w:val="Default"/>
        <w:jc w:val="both"/>
        <w:rPr>
          <w:rFonts w:ascii="Times New Roman" w:hAnsi="Times New Roman" w:cs="Times New Roman"/>
        </w:rPr>
      </w:pPr>
      <w:r w:rsidRPr="001C0EFD">
        <w:rPr>
          <w:rFonts w:ascii="Times New Roman" w:hAnsi="Times New Roman" w:cs="Times New Roman"/>
        </w:rPr>
        <w:t xml:space="preserve">The UN Sustainable Development Goals (SDGs) – part of the 2030 Agenda for Sustainable Development - expressly flesh out a vision of sustainable development which supports the protection of cultural heritage. </w:t>
      </w:r>
      <w:r w:rsidRPr="001C0EFD">
        <w:rPr>
          <w:rFonts w:ascii="Times New Roman" w:hAnsi="Times New Roman" w:cs="Times New Roman"/>
          <w:b/>
        </w:rPr>
        <w:t>MDBs have repeatedly endorsed the 2030 Agenda and clearly voiced their commitment to helping realize the SDGs</w:t>
      </w:r>
      <w:r w:rsidRPr="001C0EFD">
        <w:rPr>
          <w:rFonts w:ascii="Times New Roman" w:hAnsi="Times New Roman" w:cs="Times New Roman"/>
        </w:rPr>
        <w:t xml:space="preserve">. Given their role in supporting development, in particular through their financing of large infrastructure construction projects, MDBs are key stakeholders </w:t>
      </w:r>
      <w:r w:rsidRPr="001C0EFD">
        <w:rPr>
          <w:rFonts w:ascii="Times New Roman" w:hAnsi="Times New Roman" w:cs="Times New Roman"/>
          <w:lang w:val="en-US"/>
        </w:rPr>
        <w:t>defining, driving and monitoring the (sustainable) development process</w:t>
      </w:r>
      <w:r w:rsidRPr="001C0EFD">
        <w:rPr>
          <w:rFonts w:ascii="Times New Roman" w:hAnsi="Times New Roman" w:cs="Times New Roman"/>
        </w:rPr>
        <w:t xml:space="preserve">. As such, they must ensure that they also support the protection of cultural heritage, including ICH. </w:t>
      </w:r>
      <w:r w:rsidR="00AE7BBB" w:rsidRPr="001C0EFD">
        <w:rPr>
          <w:rFonts w:ascii="Times New Roman" w:hAnsi="Times New Roman" w:cs="Times New Roman"/>
        </w:rPr>
        <w:t xml:space="preserve">[paras 3-4] </w:t>
      </w:r>
      <w:r w:rsidR="003721A3" w:rsidRPr="001C0EFD">
        <w:rPr>
          <w:rFonts w:ascii="Times New Roman" w:hAnsi="Times New Roman" w:cs="Times New Roman"/>
        </w:rPr>
        <w:t xml:space="preserve">The preamble of the ICH Convention and the Operational Directives identify processes of globalization and social transformation as an important source of threats to the safeguarding of ICH. </w:t>
      </w:r>
      <w:r w:rsidR="00AE7BBB" w:rsidRPr="001C0EFD">
        <w:rPr>
          <w:rFonts w:ascii="Times New Roman" w:hAnsi="Times New Roman" w:cs="Times New Roman"/>
        </w:rPr>
        <w:t>[see para</w:t>
      </w:r>
      <w:r w:rsidR="003721A3" w:rsidRPr="001C0EFD">
        <w:rPr>
          <w:rFonts w:ascii="Times New Roman" w:hAnsi="Times New Roman" w:cs="Times New Roman"/>
        </w:rPr>
        <w:t>12</w:t>
      </w:r>
      <w:r w:rsidR="00AE7BBB" w:rsidRPr="001C0EFD">
        <w:rPr>
          <w:rFonts w:ascii="Times New Roman" w:hAnsi="Times New Roman" w:cs="Times New Roman"/>
        </w:rPr>
        <w:t xml:space="preserve"> for examples</w:t>
      </w:r>
      <w:r w:rsidR="003721A3" w:rsidRPr="001C0EFD">
        <w:rPr>
          <w:rFonts w:ascii="Times New Roman" w:hAnsi="Times New Roman" w:cs="Times New Roman"/>
        </w:rPr>
        <w:t>]</w:t>
      </w:r>
    </w:p>
    <w:p w14:paraId="4671AE2A" w14:textId="77777777" w:rsidR="00180690" w:rsidRPr="001C0EFD" w:rsidRDefault="00180690" w:rsidP="001C0EFD">
      <w:pPr>
        <w:pStyle w:val="Default"/>
        <w:jc w:val="both"/>
        <w:rPr>
          <w:rFonts w:ascii="Times New Roman" w:hAnsi="Times New Roman" w:cs="Times New Roman"/>
        </w:rPr>
      </w:pPr>
    </w:p>
    <w:p w14:paraId="4671AE2B" w14:textId="77777777" w:rsidR="001C0EFD" w:rsidRPr="001C0EFD" w:rsidRDefault="00180690" w:rsidP="001C0EFD">
      <w:pPr>
        <w:spacing w:after="0" w:line="240" w:lineRule="auto"/>
        <w:contextualSpacing/>
        <w:jc w:val="both"/>
        <w:rPr>
          <w:rFonts w:ascii="Times New Roman" w:hAnsi="Times New Roman" w:cs="Times New Roman"/>
          <w:sz w:val="24"/>
          <w:szCs w:val="24"/>
          <w:lang w:val="en-US"/>
        </w:rPr>
      </w:pPr>
      <w:r w:rsidRPr="001C0EFD">
        <w:rPr>
          <w:rFonts w:ascii="Times New Roman" w:hAnsi="Times New Roman" w:cs="Times New Roman"/>
          <w:sz w:val="24"/>
          <w:szCs w:val="24"/>
        </w:rPr>
        <w:lastRenderedPageBreak/>
        <w:t xml:space="preserve">However, </w:t>
      </w:r>
      <w:r w:rsidR="003721A3" w:rsidRPr="001C0EFD">
        <w:rPr>
          <w:rFonts w:ascii="Times New Roman" w:hAnsi="Times New Roman" w:cs="Times New Roman"/>
          <w:sz w:val="24"/>
          <w:szCs w:val="24"/>
        </w:rPr>
        <w:t xml:space="preserve">a number of </w:t>
      </w:r>
      <w:r w:rsidR="003721A3" w:rsidRPr="001C0EFD">
        <w:rPr>
          <w:rFonts w:ascii="Times New Roman" w:hAnsi="Times New Roman" w:cs="Times New Roman"/>
          <w:b/>
          <w:sz w:val="24"/>
          <w:szCs w:val="24"/>
        </w:rPr>
        <w:t>cases</w:t>
      </w:r>
      <w:r w:rsidR="003721A3" w:rsidRPr="001C0EFD">
        <w:rPr>
          <w:rFonts w:ascii="Times New Roman" w:hAnsi="Times New Roman" w:cs="Times New Roman"/>
          <w:sz w:val="24"/>
          <w:szCs w:val="24"/>
        </w:rPr>
        <w:t xml:space="preserve"> highlight that the treatment of the impacts of the projects on ICH is often unsatisfactory, with failures to carry out adequate consultations resulting in adverse consequences for the affected communities, and/or for the projects themselves, including complaints to the MDBs’ accountability mechanisms. </w:t>
      </w:r>
      <w:r w:rsidR="00C71092" w:rsidRPr="001C0EFD">
        <w:rPr>
          <w:rFonts w:ascii="Times New Roman" w:hAnsi="Times New Roman" w:cs="Times New Roman"/>
          <w:sz w:val="24"/>
          <w:szCs w:val="24"/>
        </w:rPr>
        <w:t>These include</w:t>
      </w:r>
      <w:r w:rsidR="00265E1D" w:rsidRPr="001C0EFD">
        <w:rPr>
          <w:rFonts w:ascii="Times New Roman" w:hAnsi="Times New Roman" w:cs="Times New Roman"/>
          <w:sz w:val="24"/>
          <w:szCs w:val="24"/>
        </w:rPr>
        <w:t xml:space="preserve"> the </w:t>
      </w:r>
      <w:r w:rsidR="00265E1D" w:rsidRPr="001C0EFD">
        <w:rPr>
          <w:rFonts w:ascii="Times New Roman" w:hAnsi="Times New Roman" w:cs="Times New Roman"/>
          <w:iCs/>
          <w:sz w:val="24"/>
          <w:szCs w:val="24"/>
        </w:rPr>
        <w:t xml:space="preserve">Rural Water Supply and Sanitation Project for Low Income States </w:t>
      </w:r>
      <w:r w:rsidR="00265E1D" w:rsidRPr="001C0EFD">
        <w:rPr>
          <w:rFonts w:ascii="Times New Roman" w:hAnsi="Times New Roman" w:cs="Times New Roman"/>
          <w:sz w:val="24"/>
          <w:szCs w:val="24"/>
        </w:rPr>
        <w:t>project in India, t</w:t>
      </w:r>
      <w:r w:rsidR="00265E1D" w:rsidRPr="001C0EFD">
        <w:rPr>
          <w:rFonts w:ascii="Times New Roman" w:hAnsi="Times New Roman" w:cs="Times New Roman"/>
          <w:color w:val="000000"/>
          <w:sz w:val="24"/>
          <w:szCs w:val="24"/>
        </w:rPr>
        <w:t xml:space="preserve">he Alto </w:t>
      </w:r>
      <w:proofErr w:type="spellStart"/>
      <w:r w:rsidR="00265E1D" w:rsidRPr="001C0EFD">
        <w:rPr>
          <w:rFonts w:ascii="Times New Roman" w:hAnsi="Times New Roman" w:cs="Times New Roman"/>
          <w:color w:val="000000"/>
          <w:sz w:val="24"/>
          <w:szCs w:val="24"/>
        </w:rPr>
        <w:t>Maipo</w:t>
      </w:r>
      <w:proofErr w:type="spellEnd"/>
      <w:r w:rsidR="00265E1D" w:rsidRPr="001C0EFD">
        <w:rPr>
          <w:rFonts w:ascii="Times New Roman" w:hAnsi="Times New Roman" w:cs="Times New Roman"/>
          <w:color w:val="000000"/>
          <w:sz w:val="24"/>
          <w:szCs w:val="24"/>
        </w:rPr>
        <w:t xml:space="preserve"> Hydroelectric Project in Chile, </w:t>
      </w:r>
      <w:r w:rsidR="00265E1D" w:rsidRPr="001C0EFD">
        <w:rPr>
          <w:rFonts w:ascii="Times New Roman" w:hAnsi="Times New Roman" w:cs="Times New Roman"/>
          <w:sz w:val="24"/>
          <w:szCs w:val="24"/>
        </w:rPr>
        <w:t xml:space="preserve">the </w:t>
      </w:r>
      <w:proofErr w:type="spellStart"/>
      <w:r w:rsidR="00265E1D" w:rsidRPr="001C0EFD">
        <w:rPr>
          <w:rFonts w:ascii="Times New Roman" w:hAnsi="Times New Roman" w:cs="Times New Roman"/>
          <w:sz w:val="24"/>
          <w:szCs w:val="24"/>
        </w:rPr>
        <w:t>Nenskra</w:t>
      </w:r>
      <w:proofErr w:type="spellEnd"/>
      <w:r w:rsidR="00265E1D" w:rsidRPr="001C0EFD">
        <w:rPr>
          <w:rFonts w:ascii="Times New Roman" w:hAnsi="Times New Roman" w:cs="Times New Roman"/>
          <w:sz w:val="24"/>
          <w:szCs w:val="24"/>
        </w:rPr>
        <w:t xml:space="preserve"> dam construction project in Georgia, and the </w:t>
      </w:r>
      <w:proofErr w:type="spellStart"/>
      <w:r w:rsidR="00265E1D" w:rsidRPr="001C0EFD">
        <w:rPr>
          <w:rFonts w:ascii="Times New Roman" w:hAnsi="Times New Roman" w:cs="Times New Roman"/>
          <w:iCs/>
          <w:sz w:val="24"/>
          <w:szCs w:val="24"/>
        </w:rPr>
        <w:t>Bujagali</w:t>
      </w:r>
      <w:proofErr w:type="spellEnd"/>
      <w:r w:rsidR="00265E1D" w:rsidRPr="001C0EFD">
        <w:rPr>
          <w:rFonts w:ascii="Times New Roman" w:hAnsi="Times New Roman" w:cs="Times New Roman"/>
          <w:iCs/>
          <w:sz w:val="24"/>
          <w:szCs w:val="24"/>
        </w:rPr>
        <w:t xml:space="preserve"> Hydropower Project </w:t>
      </w:r>
      <w:r w:rsidR="00265E1D" w:rsidRPr="001C0EFD">
        <w:rPr>
          <w:rFonts w:ascii="Times New Roman" w:hAnsi="Times New Roman" w:cs="Times New Roman"/>
          <w:sz w:val="24"/>
          <w:szCs w:val="24"/>
        </w:rPr>
        <w:t>(BHP) in Uganda</w:t>
      </w:r>
      <w:r w:rsidR="00547E4E" w:rsidRPr="001C0EFD">
        <w:rPr>
          <w:rFonts w:ascii="Times New Roman" w:hAnsi="Times New Roman" w:cs="Times New Roman"/>
          <w:sz w:val="24"/>
          <w:szCs w:val="24"/>
        </w:rPr>
        <w:t xml:space="preserve">. </w:t>
      </w:r>
      <w:r w:rsidR="001C0EFD">
        <w:rPr>
          <w:rFonts w:ascii="Times New Roman" w:hAnsi="Times New Roman" w:cs="Times New Roman"/>
          <w:sz w:val="24"/>
          <w:szCs w:val="24"/>
          <w:lang w:val="en-US"/>
        </w:rPr>
        <w:t>These cases</w:t>
      </w:r>
      <w:r w:rsidR="00547E4E" w:rsidRPr="001C0EFD">
        <w:rPr>
          <w:rFonts w:ascii="Times New Roman" w:hAnsi="Times New Roman" w:cs="Times New Roman"/>
          <w:sz w:val="24"/>
          <w:szCs w:val="24"/>
          <w:lang w:val="en-US"/>
        </w:rPr>
        <w:t xml:space="preserve"> </w:t>
      </w:r>
      <w:r w:rsidR="001C0EFD">
        <w:rPr>
          <w:rFonts w:ascii="Times New Roman" w:hAnsi="Times New Roman" w:cs="Times New Roman"/>
          <w:sz w:val="24"/>
          <w:szCs w:val="24"/>
          <w:lang w:val="en-US"/>
        </w:rPr>
        <w:t>all raise</w:t>
      </w:r>
      <w:r w:rsidR="00547E4E" w:rsidRPr="001C0EFD">
        <w:rPr>
          <w:rFonts w:ascii="Times New Roman" w:hAnsi="Times New Roman" w:cs="Times New Roman"/>
          <w:sz w:val="24"/>
          <w:szCs w:val="24"/>
          <w:lang w:val="en-US"/>
        </w:rPr>
        <w:t xml:space="preserve"> </w:t>
      </w:r>
      <w:r w:rsidR="001C0EFD">
        <w:rPr>
          <w:rFonts w:ascii="Times New Roman" w:hAnsi="Times New Roman" w:cs="Times New Roman"/>
          <w:sz w:val="24"/>
          <w:szCs w:val="24"/>
          <w:lang w:val="en-US"/>
        </w:rPr>
        <w:t>issues associated with</w:t>
      </w:r>
      <w:r w:rsidR="00547E4E" w:rsidRPr="001C0EFD">
        <w:rPr>
          <w:rFonts w:ascii="Times New Roman" w:hAnsi="Times New Roman" w:cs="Times New Roman"/>
          <w:sz w:val="24"/>
          <w:szCs w:val="24"/>
          <w:lang w:val="en-US"/>
        </w:rPr>
        <w:t xml:space="preserve"> lacking, incomplete or culturally inappropriate consultations in the context of MDB-financed or co-financed projects for the construction of infrastructure</w:t>
      </w:r>
      <w:r w:rsidR="004348DD">
        <w:rPr>
          <w:rFonts w:ascii="Times New Roman" w:hAnsi="Times New Roman" w:cs="Times New Roman"/>
          <w:sz w:val="24"/>
          <w:szCs w:val="24"/>
          <w:lang w:val="en-US"/>
        </w:rPr>
        <w:t xml:space="preserve"> which negatively impacted on the safeguarding of ICH</w:t>
      </w:r>
      <w:r w:rsidR="00547E4E" w:rsidRPr="001C0EFD">
        <w:rPr>
          <w:rFonts w:ascii="Times New Roman" w:hAnsi="Times New Roman" w:cs="Times New Roman"/>
          <w:sz w:val="24"/>
          <w:szCs w:val="24"/>
          <w:lang w:val="en-US"/>
        </w:rPr>
        <w:t xml:space="preserve">. </w:t>
      </w:r>
      <w:r w:rsidR="003721A3" w:rsidRPr="001C0EFD">
        <w:rPr>
          <w:rFonts w:ascii="Times New Roman" w:hAnsi="Times New Roman" w:cs="Times New Roman"/>
          <w:sz w:val="24"/>
          <w:szCs w:val="24"/>
        </w:rPr>
        <w:t>[paras 5-6 and</w:t>
      </w:r>
      <w:r w:rsidR="00265E1D" w:rsidRPr="001C0EFD">
        <w:rPr>
          <w:rFonts w:ascii="Times New Roman" w:hAnsi="Times New Roman" w:cs="Times New Roman"/>
          <w:sz w:val="24"/>
          <w:szCs w:val="24"/>
        </w:rPr>
        <w:t xml:space="preserve"> Part III</w:t>
      </w:r>
      <w:r w:rsidR="003721A3" w:rsidRPr="001C0EFD">
        <w:rPr>
          <w:rFonts w:ascii="Times New Roman" w:hAnsi="Times New Roman" w:cs="Times New Roman"/>
          <w:sz w:val="24"/>
          <w:szCs w:val="24"/>
        </w:rPr>
        <w:t xml:space="preserve">] </w:t>
      </w:r>
    </w:p>
    <w:p w14:paraId="4671AE2C" w14:textId="77777777" w:rsidR="001C0EFD" w:rsidRPr="001C0EFD" w:rsidRDefault="001C0EFD" w:rsidP="001C0EFD">
      <w:pPr>
        <w:spacing w:after="0" w:line="240" w:lineRule="auto"/>
        <w:contextualSpacing/>
        <w:jc w:val="both"/>
        <w:rPr>
          <w:rFonts w:ascii="Times New Roman" w:hAnsi="Times New Roman" w:cs="Times New Roman"/>
          <w:sz w:val="24"/>
          <w:szCs w:val="24"/>
          <w:lang w:val="en-US"/>
        </w:rPr>
      </w:pPr>
    </w:p>
    <w:p w14:paraId="4671AE2D" w14:textId="77777777" w:rsidR="008173A7" w:rsidRDefault="003721A3" w:rsidP="001C0EFD">
      <w:pPr>
        <w:spacing w:after="0" w:line="240" w:lineRule="auto"/>
        <w:contextualSpacing/>
        <w:jc w:val="both"/>
        <w:rPr>
          <w:rFonts w:ascii="Times New Roman" w:hAnsi="Times New Roman" w:cs="Times New Roman"/>
          <w:sz w:val="24"/>
          <w:szCs w:val="24"/>
          <w:lang w:val="en-US"/>
        </w:rPr>
      </w:pPr>
      <w:r w:rsidRPr="001C0EFD">
        <w:rPr>
          <w:rFonts w:ascii="Times New Roman" w:hAnsi="Times New Roman" w:cs="Times New Roman"/>
          <w:sz w:val="24"/>
          <w:szCs w:val="24"/>
        </w:rPr>
        <w:t xml:space="preserve">The Working Paper advocates for the development sector to adopt a holistic and human rights-based approach to the protection of cultural heritage, which takes into account the need to ensure adequate safeguarding not only of tangible forms of cultural heritage but also of </w:t>
      </w:r>
      <w:r w:rsidRPr="001C0EFD">
        <w:rPr>
          <w:rFonts w:ascii="Times New Roman" w:hAnsi="Times New Roman" w:cs="Times New Roman"/>
          <w:b/>
          <w:sz w:val="24"/>
          <w:szCs w:val="24"/>
        </w:rPr>
        <w:t>ICH</w:t>
      </w:r>
      <w:r w:rsidRPr="001C0EFD">
        <w:rPr>
          <w:rFonts w:ascii="Times New Roman" w:hAnsi="Times New Roman" w:cs="Times New Roman"/>
          <w:sz w:val="24"/>
          <w:szCs w:val="24"/>
        </w:rPr>
        <w:t xml:space="preserve">, throughout the life of infrastructure construction projects financed by MDBs. </w:t>
      </w:r>
      <w:r w:rsidR="007A3042" w:rsidRPr="001C0EFD">
        <w:rPr>
          <w:rFonts w:ascii="Times New Roman" w:hAnsi="Times New Roman" w:cs="Times New Roman"/>
          <w:sz w:val="24"/>
          <w:szCs w:val="24"/>
        </w:rPr>
        <w:t xml:space="preserve">All of the MDBs analysed in the Working Paper </w:t>
      </w:r>
      <w:r w:rsidR="007A3042" w:rsidRPr="001C0EFD">
        <w:rPr>
          <w:rFonts w:ascii="Times New Roman" w:hAnsi="Times New Roman" w:cs="Times New Roman"/>
          <w:sz w:val="24"/>
          <w:szCs w:val="24"/>
          <w:lang w:val="en-US"/>
        </w:rPr>
        <w:t>have adopted policies (safeguards) to prevent, mitigate and manage the adverse social and environmental impacts of the socioeconomic projects they fund. However,</w:t>
      </w:r>
      <w:r w:rsidR="00265E1D" w:rsidRPr="001C0EFD">
        <w:rPr>
          <w:rFonts w:ascii="Times New Roman" w:hAnsi="Times New Roman" w:cs="Times New Roman"/>
          <w:sz w:val="24"/>
          <w:szCs w:val="24"/>
        </w:rPr>
        <w:t xml:space="preserve"> not all MDBs have adopted policies that cover ICH</w:t>
      </w:r>
      <w:r w:rsidR="007A3042" w:rsidRPr="001C0EFD">
        <w:rPr>
          <w:rFonts w:ascii="Times New Roman" w:hAnsi="Times New Roman" w:cs="Times New Roman"/>
          <w:sz w:val="24"/>
          <w:szCs w:val="24"/>
        </w:rPr>
        <w:t xml:space="preserve"> as </w:t>
      </w:r>
      <w:r w:rsidR="00265E1D" w:rsidRPr="001C0EFD">
        <w:rPr>
          <w:rFonts w:ascii="Times New Roman" w:hAnsi="Times New Roman" w:cs="Times New Roman"/>
          <w:sz w:val="24"/>
          <w:szCs w:val="24"/>
        </w:rPr>
        <w:t xml:space="preserve">some </w:t>
      </w:r>
      <w:r w:rsidR="007A3042" w:rsidRPr="001C0EFD">
        <w:rPr>
          <w:rFonts w:ascii="Times New Roman" w:hAnsi="Times New Roman" w:cs="Times New Roman"/>
          <w:sz w:val="24"/>
          <w:szCs w:val="24"/>
        </w:rPr>
        <w:t xml:space="preserve">remain </w:t>
      </w:r>
      <w:r w:rsidR="00265E1D" w:rsidRPr="001C0EFD">
        <w:rPr>
          <w:rFonts w:ascii="Times New Roman" w:hAnsi="Times New Roman" w:cs="Times New Roman"/>
          <w:sz w:val="24"/>
          <w:szCs w:val="24"/>
        </w:rPr>
        <w:t xml:space="preserve">strictly limited to </w:t>
      </w:r>
      <w:r w:rsidR="007A3042" w:rsidRPr="001C0EFD">
        <w:rPr>
          <w:rFonts w:ascii="Times New Roman" w:hAnsi="Times New Roman" w:cs="Times New Roman"/>
          <w:sz w:val="24"/>
          <w:szCs w:val="24"/>
        </w:rPr>
        <w:t xml:space="preserve">tangible cultural heritage, as highlighted by </w:t>
      </w:r>
      <w:r w:rsidR="007A3042" w:rsidRPr="001C0EFD">
        <w:rPr>
          <w:rFonts w:ascii="Times New Roman" w:hAnsi="Times New Roman" w:cs="Times New Roman"/>
          <w:sz w:val="24"/>
          <w:szCs w:val="24"/>
          <w:lang w:val="en-US"/>
        </w:rPr>
        <w:t>the “focus on ‘physical cultural resources’ and ‘cultural resources’ in some of the MDBs policies. This is inconsistent with international standards and with the commitments to respect, protect and fulfil cultural rights, including the human right to access and enjoy ICH, assumed by the Member States of these MDBs through ratifying (or signing) the ICESCR or the UNESCO Intangible Cultural Heritage Convention.</w:t>
      </w:r>
      <w:r w:rsidR="00265E1D" w:rsidRPr="001C0EFD">
        <w:rPr>
          <w:rFonts w:ascii="Times New Roman" w:hAnsi="Times New Roman" w:cs="Times New Roman"/>
          <w:sz w:val="24"/>
          <w:szCs w:val="24"/>
        </w:rPr>
        <w:t xml:space="preserve"> </w:t>
      </w:r>
      <w:r w:rsidR="008173A7" w:rsidRPr="001C0EFD">
        <w:rPr>
          <w:rFonts w:ascii="Times New Roman" w:hAnsi="Times New Roman" w:cs="Times New Roman"/>
          <w:sz w:val="24"/>
          <w:szCs w:val="24"/>
        </w:rPr>
        <w:t xml:space="preserve">Furthermore, </w:t>
      </w:r>
      <w:r w:rsidR="008173A7" w:rsidRPr="001C0EFD">
        <w:rPr>
          <w:rFonts w:ascii="Times New Roman" w:hAnsi="Times New Roman" w:cs="Times New Roman"/>
          <w:sz w:val="24"/>
          <w:szCs w:val="24"/>
          <w:lang w:val="en-US"/>
        </w:rPr>
        <w:t xml:space="preserve">the way cultural heritage is defined and whether it covers ICH, as well as the scope of application of the MDBs policies, are also likely to impinge on the identification (and therefore protection) of ICH. </w:t>
      </w:r>
      <w:r w:rsidR="007A3042" w:rsidRPr="001C0EFD">
        <w:rPr>
          <w:rFonts w:ascii="Times New Roman" w:hAnsi="Times New Roman" w:cs="Times New Roman"/>
          <w:sz w:val="24"/>
          <w:szCs w:val="24"/>
          <w:lang w:val="en-US"/>
        </w:rPr>
        <w:t>[paras 26-27]</w:t>
      </w:r>
    </w:p>
    <w:p w14:paraId="4671AE2E" w14:textId="77777777" w:rsidR="001C0EFD" w:rsidRPr="001C0EFD" w:rsidRDefault="001C0EFD" w:rsidP="001C0EFD">
      <w:pPr>
        <w:spacing w:after="0" w:line="240" w:lineRule="auto"/>
        <w:contextualSpacing/>
        <w:jc w:val="both"/>
        <w:rPr>
          <w:rFonts w:ascii="Times New Roman" w:hAnsi="Times New Roman" w:cs="Times New Roman"/>
          <w:sz w:val="24"/>
          <w:szCs w:val="24"/>
          <w:lang w:val="en-US"/>
        </w:rPr>
      </w:pPr>
    </w:p>
    <w:p w14:paraId="4671AE2F" w14:textId="77777777" w:rsidR="001C0EFD" w:rsidRDefault="007A3042" w:rsidP="001C0EFD">
      <w:pPr>
        <w:spacing w:after="0" w:line="240" w:lineRule="auto"/>
        <w:jc w:val="both"/>
        <w:rPr>
          <w:rFonts w:ascii="Times New Roman" w:hAnsi="Times New Roman" w:cs="Times New Roman"/>
          <w:sz w:val="24"/>
          <w:szCs w:val="24"/>
        </w:rPr>
      </w:pPr>
      <w:r w:rsidRPr="001C0EFD">
        <w:rPr>
          <w:rFonts w:ascii="Times New Roman" w:hAnsi="Times New Roman" w:cs="Times New Roman"/>
          <w:sz w:val="24"/>
          <w:szCs w:val="24"/>
        </w:rPr>
        <w:t>In addition, t</w:t>
      </w:r>
      <w:r w:rsidR="00265E1D" w:rsidRPr="001C0EFD">
        <w:rPr>
          <w:rFonts w:ascii="Times New Roman" w:hAnsi="Times New Roman" w:cs="Times New Roman"/>
          <w:sz w:val="24"/>
          <w:szCs w:val="24"/>
        </w:rPr>
        <w:t xml:space="preserve">he MDBs that have </w:t>
      </w:r>
      <w:r w:rsidRPr="001C0EFD">
        <w:rPr>
          <w:rFonts w:ascii="Times New Roman" w:hAnsi="Times New Roman" w:cs="Times New Roman"/>
          <w:sz w:val="24"/>
          <w:szCs w:val="24"/>
        </w:rPr>
        <w:t xml:space="preserve">already </w:t>
      </w:r>
      <w:r w:rsidR="00265E1D" w:rsidRPr="001C0EFD">
        <w:rPr>
          <w:rFonts w:ascii="Times New Roman" w:hAnsi="Times New Roman" w:cs="Times New Roman"/>
          <w:sz w:val="24"/>
          <w:szCs w:val="24"/>
        </w:rPr>
        <w:t xml:space="preserve">addressed ICH in their policies have yet to ensure the adequate </w:t>
      </w:r>
      <w:r w:rsidR="00265E1D" w:rsidRPr="001C0EFD">
        <w:rPr>
          <w:rFonts w:ascii="Times New Roman" w:hAnsi="Times New Roman" w:cs="Times New Roman"/>
          <w:b/>
          <w:sz w:val="24"/>
          <w:szCs w:val="24"/>
        </w:rPr>
        <w:t>implementation</w:t>
      </w:r>
      <w:r w:rsidR="00265E1D" w:rsidRPr="001C0EFD">
        <w:rPr>
          <w:rFonts w:ascii="Times New Roman" w:hAnsi="Times New Roman" w:cs="Times New Roman"/>
          <w:sz w:val="24"/>
          <w:szCs w:val="24"/>
        </w:rPr>
        <w:t xml:space="preserve"> of their standards pertaining to such heritage in practice. So far, where ICH is concerned, the focus of existing policies is mostly on definitions – no specific guidelines listing the particular risks facing such heritage in the context of infrastructure construction projects, or how it may be shielded from them, are available. [paras 68-69]</w:t>
      </w:r>
    </w:p>
    <w:p w14:paraId="4671AE30" w14:textId="77777777" w:rsidR="001C0EFD" w:rsidRDefault="001C0EFD" w:rsidP="001C0EFD">
      <w:pPr>
        <w:spacing w:after="0" w:line="240" w:lineRule="auto"/>
        <w:jc w:val="both"/>
        <w:rPr>
          <w:rFonts w:ascii="Times New Roman" w:hAnsi="Times New Roman" w:cs="Times New Roman"/>
          <w:sz w:val="24"/>
          <w:szCs w:val="24"/>
        </w:rPr>
      </w:pPr>
    </w:p>
    <w:p w14:paraId="4671AE31" w14:textId="77777777" w:rsidR="001C0EFD" w:rsidRDefault="00AD003D" w:rsidP="001C0EFD">
      <w:pPr>
        <w:spacing w:after="0" w:line="240" w:lineRule="auto"/>
        <w:jc w:val="both"/>
        <w:rPr>
          <w:rFonts w:ascii="Times New Roman" w:hAnsi="Times New Roman" w:cs="Times New Roman"/>
          <w:sz w:val="24"/>
          <w:szCs w:val="24"/>
        </w:rPr>
      </w:pPr>
      <w:r w:rsidRPr="001C0EFD">
        <w:rPr>
          <w:rFonts w:ascii="Times New Roman" w:hAnsi="Times New Roman" w:cs="Times New Roman"/>
          <w:sz w:val="24"/>
          <w:szCs w:val="24"/>
          <w:lang w:val="en-US"/>
        </w:rPr>
        <w:t xml:space="preserve">With regard to </w:t>
      </w:r>
      <w:r w:rsidRPr="001C0EFD">
        <w:rPr>
          <w:rFonts w:ascii="Times New Roman" w:hAnsi="Times New Roman" w:cs="Times New Roman"/>
          <w:b/>
          <w:sz w:val="24"/>
          <w:szCs w:val="24"/>
          <w:lang w:val="en-US"/>
        </w:rPr>
        <w:t>participatory processes</w:t>
      </w:r>
      <w:r w:rsidRPr="001C0EFD">
        <w:rPr>
          <w:rFonts w:ascii="Times New Roman" w:hAnsi="Times New Roman" w:cs="Times New Roman"/>
          <w:sz w:val="24"/>
          <w:szCs w:val="24"/>
          <w:lang w:val="en-US"/>
        </w:rPr>
        <w:t xml:space="preserve">, </w:t>
      </w:r>
      <w:r w:rsidR="00547E4E" w:rsidRPr="001C0EFD">
        <w:rPr>
          <w:rFonts w:ascii="Times New Roman" w:hAnsi="Times New Roman" w:cs="Times New Roman"/>
          <w:sz w:val="24"/>
          <w:szCs w:val="24"/>
          <w:lang w:val="en-US"/>
        </w:rPr>
        <w:t xml:space="preserve">several </w:t>
      </w:r>
      <w:r w:rsidRPr="001C0EFD">
        <w:rPr>
          <w:rFonts w:ascii="Times New Roman" w:hAnsi="Times New Roman" w:cs="Times New Roman"/>
          <w:sz w:val="24"/>
          <w:szCs w:val="24"/>
          <w:lang w:val="en-US"/>
        </w:rPr>
        <w:t xml:space="preserve">MDBs </w:t>
      </w:r>
      <w:r w:rsidR="00265E1D" w:rsidRPr="001C0EFD">
        <w:rPr>
          <w:rFonts w:ascii="Times New Roman" w:hAnsi="Times New Roman" w:cs="Times New Roman"/>
          <w:sz w:val="24"/>
          <w:szCs w:val="24"/>
          <w:lang w:val="en-US"/>
        </w:rPr>
        <w:t xml:space="preserve">also appear to fall short of international standards as some call for the </w:t>
      </w:r>
      <w:proofErr w:type="spellStart"/>
      <w:r w:rsidR="00265E1D" w:rsidRPr="001C0EFD">
        <w:rPr>
          <w:rFonts w:ascii="Times New Roman" w:hAnsi="Times New Roman" w:cs="Times New Roman"/>
          <w:sz w:val="24"/>
          <w:szCs w:val="24"/>
          <w:lang w:val="en-US"/>
        </w:rPr>
        <w:t>obtention</w:t>
      </w:r>
      <w:proofErr w:type="spellEnd"/>
      <w:r w:rsidR="00265E1D" w:rsidRPr="001C0EFD">
        <w:rPr>
          <w:rFonts w:ascii="Times New Roman" w:hAnsi="Times New Roman" w:cs="Times New Roman"/>
          <w:sz w:val="24"/>
          <w:szCs w:val="24"/>
          <w:lang w:val="en-US"/>
        </w:rPr>
        <w:t xml:space="preserve"> of simple ‘consent’</w:t>
      </w:r>
      <w:r w:rsidR="00A7778E" w:rsidRPr="001C0EFD">
        <w:rPr>
          <w:rFonts w:ascii="Times New Roman" w:hAnsi="Times New Roman" w:cs="Times New Roman"/>
          <w:sz w:val="24"/>
          <w:szCs w:val="24"/>
          <w:lang w:val="en-US"/>
        </w:rPr>
        <w:t xml:space="preserve"> or ‘broad support’</w:t>
      </w:r>
      <w:r w:rsidR="00265E1D" w:rsidRPr="001C0EFD">
        <w:rPr>
          <w:rFonts w:ascii="Times New Roman" w:hAnsi="Times New Roman" w:cs="Times New Roman"/>
          <w:sz w:val="24"/>
          <w:szCs w:val="24"/>
          <w:lang w:val="en-US"/>
        </w:rPr>
        <w:t xml:space="preserve"> while others have replaced </w:t>
      </w:r>
      <w:r w:rsidR="008173A7" w:rsidRPr="001C0EFD">
        <w:rPr>
          <w:rFonts w:ascii="Times New Roman" w:hAnsi="Times New Roman" w:cs="Times New Roman"/>
          <w:sz w:val="24"/>
          <w:szCs w:val="24"/>
          <w:lang w:val="en-US"/>
        </w:rPr>
        <w:t>‘</w:t>
      </w:r>
      <w:r w:rsidR="00265E1D" w:rsidRPr="001C0EFD">
        <w:rPr>
          <w:rFonts w:ascii="Times New Roman" w:hAnsi="Times New Roman" w:cs="Times New Roman"/>
          <w:sz w:val="24"/>
          <w:szCs w:val="24"/>
          <w:lang w:val="en-US"/>
        </w:rPr>
        <w:t>Free, Prior and Informed Consent</w:t>
      </w:r>
      <w:r w:rsidR="008173A7" w:rsidRPr="001C0EFD">
        <w:rPr>
          <w:rFonts w:ascii="Times New Roman" w:hAnsi="Times New Roman" w:cs="Times New Roman"/>
          <w:sz w:val="24"/>
          <w:szCs w:val="24"/>
          <w:lang w:val="en-US"/>
        </w:rPr>
        <w:t>’</w:t>
      </w:r>
      <w:r w:rsidR="00265E1D" w:rsidRPr="001C0EFD">
        <w:rPr>
          <w:rFonts w:ascii="Times New Roman" w:hAnsi="Times New Roman" w:cs="Times New Roman"/>
          <w:sz w:val="24"/>
          <w:szCs w:val="24"/>
          <w:lang w:val="en-US"/>
        </w:rPr>
        <w:t xml:space="preserve"> </w:t>
      </w:r>
      <w:r w:rsidR="008173A7" w:rsidRPr="001C0EFD">
        <w:rPr>
          <w:rFonts w:ascii="Times New Roman" w:hAnsi="Times New Roman" w:cs="Times New Roman"/>
          <w:sz w:val="24"/>
          <w:szCs w:val="24"/>
          <w:lang w:val="en-US"/>
        </w:rPr>
        <w:t xml:space="preserve">(FPIC) </w:t>
      </w:r>
      <w:r w:rsidR="00265E1D" w:rsidRPr="001C0EFD">
        <w:rPr>
          <w:rFonts w:ascii="Times New Roman" w:hAnsi="Times New Roman" w:cs="Times New Roman"/>
          <w:sz w:val="24"/>
          <w:szCs w:val="24"/>
          <w:lang w:val="en-US"/>
        </w:rPr>
        <w:t xml:space="preserve">with </w:t>
      </w:r>
      <w:r w:rsidR="008173A7" w:rsidRPr="001C0EFD">
        <w:rPr>
          <w:rFonts w:ascii="Times New Roman" w:hAnsi="Times New Roman" w:cs="Times New Roman"/>
          <w:sz w:val="24"/>
          <w:szCs w:val="24"/>
        </w:rPr>
        <w:t>‘Free, Prior and Informed C</w:t>
      </w:r>
      <w:r w:rsidR="00265E1D" w:rsidRPr="00265E1D">
        <w:rPr>
          <w:rFonts w:ascii="Times New Roman" w:hAnsi="Times New Roman" w:cs="Times New Roman"/>
          <w:color w:val="000000"/>
          <w:sz w:val="24"/>
          <w:szCs w:val="24"/>
        </w:rPr>
        <w:t>onsultation’</w:t>
      </w:r>
      <w:r w:rsidR="008173A7" w:rsidRPr="001C0EFD">
        <w:rPr>
          <w:rFonts w:ascii="Times New Roman" w:hAnsi="Times New Roman" w:cs="Times New Roman"/>
          <w:sz w:val="24"/>
          <w:szCs w:val="24"/>
        </w:rPr>
        <w:t xml:space="preserve"> (</w:t>
      </w:r>
      <w:proofErr w:type="spellStart"/>
      <w:r w:rsidR="008173A7" w:rsidRPr="001C0EFD">
        <w:rPr>
          <w:rFonts w:ascii="Times New Roman" w:hAnsi="Times New Roman" w:cs="Times New Roman"/>
          <w:sz w:val="24"/>
          <w:szCs w:val="24"/>
        </w:rPr>
        <w:t>FPICon</w:t>
      </w:r>
      <w:proofErr w:type="spellEnd"/>
      <w:r w:rsidR="008173A7" w:rsidRPr="001C0EFD">
        <w:rPr>
          <w:rFonts w:ascii="Times New Roman" w:hAnsi="Times New Roman" w:cs="Times New Roman"/>
          <w:sz w:val="24"/>
          <w:szCs w:val="24"/>
        </w:rPr>
        <w:t>)</w:t>
      </w:r>
      <w:r w:rsidR="00265E1D" w:rsidRPr="00265E1D">
        <w:rPr>
          <w:rFonts w:ascii="Times New Roman" w:hAnsi="Times New Roman" w:cs="Times New Roman"/>
          <w:color w:val="000000"/>
          <w:sz w:val="24"/>
          <w:szCs w:val="24"/>
        </w:rPr>
        <w:t>.</w:t>
      </w:r>
      <w:r w:rsidR="00A7778E" w:rsidRPr="001C0EFD">
        <w:rPr>
          <w:rStyle w:val="FootnoteReference"/>
          <w:rFonts w:ascii="Times New Roman" w:hAnsi="Times New Roman"/>
          <w:sz w:val="24"/>
          <w:szCs w:val="24"/>
          <w:lang w:val="en-US"/>
        </w:rPr>
        <w:t xml:space="preserve"> </w:t>
      </w:r>
      <w:r w:rsidR="00A7778E" w:rsidRPr="001C0EFD">
        <w:rPr>
          <w:rStyle w:val="FootnoteReference"/>
          <w:rFonts w:ascii="Times New Roman" w:hAnsi="Times New Roman"/>
          <w:sz w:val="24"/>
          <w:szCs w:val="24"/>
          <w:lang w:val="en-US"/>
        </w:rPr>
        <w:footnoteReference w:id="2"/>
      </w:r>
      <w:r w:rsidR="00265E1D" w:rsidRPr="00265E1D">
        <w:rPr>
          <w:rFonts w:ascii="Times New Roman" w:hAnsi="Times New Roman" w:cs="Times New Roman"/>
          <w:color w:val="000000"/>
          <w:sz w:val="24"/>
          <w:szCs w:val="24"/>
        </w:rPr>
        <w:t xml:space="preserve"> </w:t>
      </w:r>
      <w:r w:rsidR="008173A7" w:rsidRPr="001C0EFD">
        <w:rPr>
          <w:rFonts w:ascii="Times New Roman" w:hAnsi="Times New Roman" w:cs="Times New Roman"/>
          <w:sz w:val="24"/>
          <w:szCs w:val="24"/>
          <w:lang w:val="en-US"/>
        </w:rPr>
        <w:t>Additionally, most policies tend to place more weight on FPIC (or similar processes) to be held with Indigenous peoples, devoting less attention to other stakeholders such as local communities which for various reasons may not hold Indigenous status, but still ought to be included in the relevant processes given the potential threats to their cultural heritage.</w:t>
      </w:r>
      <w:r w:rsidR="008173A7" w:rsidRPr="001C0EFD">
        <w:rPr>
          <w:rStyle w:val="FootnoteReference"/>
          <w:rFonts w:ascii="Times New Roman" w:hAnsi="Times New Roman"/>
          <w:sz w:val="24"/>
          <w:szCs w:val="24"/>
          <w:lang w:val="en-US"/>
        </w:rPr>
        <w:footnoteReference w:id="3"/>
      </w:r>
      <w:r w:rsidR="008173A7" w:rsidRPr="001C0EFD">
        <w:rPr>
          <w:rFonts w:ascii="Times New Roman" w:hAnsi="Times New Roman" w:cs="Times New Roman"/>
          <w:sz w:val="24"/>
          <w:szCs w:val="24"/>
          <w:lang w:val="en-US"/>
        </w:rPr>
        <w:t xml:space="preserve"> </w:t>
      </w:r>
      <w:r w:rsidR="001C0EFD" w:rsidRPr="001C0EFD">
        <w:rPr>
          <w:rFonts w:ascii="Times New Roman" w:hAnsi="Times New Roman" w:cs="Times New Roman"/>
          <w:sz w:val="24"/>
          <w:szCs w:val="24"/>
          <w:lang w:val="en-US"/>
        </w:rPr>
        <w:t xml:space="preserve">There are also only few MDBs requiring that impact assessments cover the extent to which a project may affect the cultural life of Indigenous or local communities, even though this is a matter of international human rights. </w:t>
      </w:r>
      <w:r w:rsidR="008173A7" w:rsidRPr="001C0EFD">
        <w:rPr>
          <w:rFonts w:ascii="Times New Roman" w:hAnsi="Times New Roman" w:cs="Times New Roman"/>
          <w:sz w:val="24"/>
          <w:szCs w:val="24"/>
          <w:lang w:val="en-US"/>
        </w:rPr>
        <w:t xml:space="preserve">Finally, while most of the policies clearly link cultural </w:t>
      </w:r>
      <w:r w:rsidR="008173A7" w:rsidRPr="001C0EFD">
        <w:rPr>
          <w:rFonts w:ascii="Times New Roman" w:hAnsi="Times New Roman" w:cs="Times New Roman"/>
          <w:sz w:val="24"/>
          <w:szCs w:val="24"/>
          <w:lang w:val="en-US"/>
        </w:rPr>
        <w:lastRenderedPageBreak/>
        <w:t xml:space="preserve">heritage impacts with the need to consult affected communities, not all refer to the need for </w:t>
      </w:r>
      <w:r w:rsidR="001C0EFD" w:rsidRPr="001C0EFD">
        <w:rPr>
          <w:rFonts w:ascii="Times New Roman" w:hAnsi="Times New Roman" w:cs="Times New Roman"/>
          <w:sz w:val="24"/>
          <w:szCs w:val="24"/>
          <w:lang w:val="en-US"/>
        </w:rPr>
        <w:t>the consultation processes</w:t>
      </w:r>
      <w:r w:rsidR="008173A7" w:rsidRPr="001C0EFD">
        <w:rPr>
          <w:rFonts w:ascii="Times New Roman" w:hAnsi="Times New Roman" w:cs="Times New Roman"/>
          <w:sz w:val="24"/>
          <w:szCs w:val="24"/>
          <w:lang w:val="en-US"/>
        </w:rPr>
        <w:t xml:space="preserve"> </w:t>
      </w:r>
      <w:r w:rsidR="008173A7" w:rsidRPr="001C0EFD">
        <w:rPr>
          <w:rFonts w:ascii="Times New Roman" w:hAnsi="Times New Roman" w:cs="Times New Roman"/>
          <w:i/>
          <w:sz w:val="24"/>
          <w:szCs w:val="24"/>
          <w:lang w:val="en-US"/>
        </w:rPr>
        <w:t xml:space="preserve">themselves </w:t>
      </w:r>
      <w:r w:rsidR="008173A7" w:rsidRPr="001C0EFD">
        <w:rPr>
          <w:rFonts w:ascii="Times New Roman" w:hAnsi="Times New Roman" w:cs="Times New Roman"/>
          <w:sz w:val="24"/>
          <w:szCs w:val="24"/>
          <w:lang w:val="en-US"/>
        </w:rPr>
        <w:t xml:space="preserve">to </w:t>
      </w:r>
      <w:r w:rsidR="001C0EFD" w:rsidRPr="001C0EFD">
        <w:rPr>
          <w:rFonts w:ascii="Times New Roman" w:hAnsi="Times New Roman" w:cs="Times New Roman"/>
          <w:sz w:val="24"/>
          <w:szCs w:val="24"/>
          <w:lang w:val="en-US"/>
        </w:rPr>
        <w:t>be culturally appropriate (i.e.</w:t>
      </w:r>
      <w:r w:rsidR="008173A7" w:rsidRPr="001C0EFD">
        <w:rPr>
          <w:rFonts w:ascii="Times New Roman" w:hAnsi="Times New Roman" w:cs="Times New Roman"/>
          <w:sz w:val="24"/>
          <w:szCs w:val="24"/>
          <w:lang w:val="en-US"/>
        </w:rPr>
        <w:t xml:space="preserve"> to integrate ICH in</w:t>
      </w:r>
      <w:r w:rsidR="001C0EFD" w:rsidRPr="001C0EFD">
        <w:rPr>
          <w:rFonts w:ascii="Times New Roman" w:hAnsi="Times New Roman" w:cs="Times New Roman"/>
          <w:sz w:val="24"/>
          <w:szCs w:val="24"/>
          <w:lang w:val="en-US"/>
        </w:rPr>
        <w:t xml:space="preserve">to the consultation processes). </w:t>
      </w:r>
      <w:r w:rsidR="00265E1D" w:rsidRPr="001C0EFD">
        <w:rPr>
          <w:rFonts w:ascii="Times New Roman" w:hAnsi="Times New Roman" w:cs="Times New Roman"/>
          <w:sz w:val="24"/>
          <w:szCs w:val="24"/>
        </w:rPr>
        <w:t>[para</w:t>
      </w:r>
      <w:r w:rsidR="008173A7" w:rsidRPr="001C0EFD">
        <w:rPr>
          <w:rFonts w:ascii="Times New Roman" w:hAnsi="Times New Roman" w:cs="Times New Roman"/>
          <w:sz w:val="24"/>
          <w:szCs w:val="24"/>
        </w:rPr>
        <w:t>s 54,</w:t>
      </w:r>
      <w:r w:rsidR="00265E1D" w:rsidRPr="001C0EFD">
        <w:rPr>
          <w:rFonts w:ascii="Times New Roman" w:hAnsi="Times New Roman" w:cs="Times New Roman"/>
          <w:sz w:val="24"/>
          <w:szCs w:val="24"/>
        </w:rPr>
        <w:t xml:space="preserve"> 70 and Part II</w:t>
      </w:r>
      <w:r w:rsidR="001F2EF5" w:rsidRPr="001C0EFD">
        <w:rPr>
          <w:rFonts w:ascii="Times New Roman" w:hAnsi="Times New Roman" w:cs="Times New Roman"/>
          <w:sz w:val="24"/>
          <w:szCs w:val="24"/>
        </w:rPr>
        <w:t>.B</w:t>
      </w:r>
      <w:r w:rsidR="00265E1D" w:rsidRPr="001C0EFD">
        <w:rPr>
          <w:rFonts w:ascii="Times New Roman" w:hAnsi="Times New Roman" w:cs="Times New Roman"/>
          <w:sz w:val="24"/>
          <w:szCs w:val="24"/>
        </w:rPr>
        <w:t>]</w:t>
      </w:r>
    </w:p>
    <w:p w14:paraId="4671AE32" w14:textId="77777777" w:rsidR="001C0EFD" w:rsidRPr="001C0EFD" w:rsidRDefault="001C0EFD" w:rsidP="001C0EFD">
      <w:pPr>
        <w:spacing w:after="0" w:line="240" w:lineRule="auto"/>
        <w:jc w:val="both"/>
        <w:rPr>
          <w:rFonts w:ascii="Times New Roman" w:hAnsi="Times New Roman" w:cs="Times New Roman"/>
          <w:sz w:val="24"/>
          <w:szCs w:val="24"/>
        </w:rPr>
      </w:pPr>
    </w:p>
    <w:p w14:paraId="4671AE33" w14:textId="77777777" w:rsidR="00547E4E" w:rsidRDefault="00547E4E" w:rsidP="001C0EFD">
      <w:pPr>
        <w:spacing w:after="0" w:line="240" w:lineRule="auto"/>
        <w:jc w:val="both"/>
        <w:rPr>
          <w:rFonts w:ascii="Times New Roman" w:hAnsi="Times New Roman" w:cs="Times New Roman"/>
          <w:i/>
          <w:sz w:val="24"/>
          <w:szCs w:val="24"/>
          <w:lang w:val="en-US"/>
        </w:rPr>
      </w:pPr>
      <w:r w:rsidRPr="001C0EFD">
        <w:rPr>
          <w:rFonts w:ascii="Times New Roman" w:hAnsi="Times New Roman" w:cs="Times New Roman"/>
          <w:i/>
          <w:sz w:val="24"/>
          <w:szCs w:val="24"/>
          <w:lang w:val="en-US"/>
        </w:rPr>
        <w:t xml:space="preserve">Submission prepared by Kristin </w:t>
      </w:r>
      <w:proofErr w:type="spellStart"/>
      <w:r w:rsidRPr="001C0EFD">
        <w:rPr>
          <w:rFonts w:ascii="Times New Roman" w:hAnsi="Times New Roman" w:cs="Times New Roman"/>
          <w:i/>
          <w:sz w:val="24"/>
          <w:szCs w:val="24"/>
          <w:lang w:val="en-US"/>
        </w:rPr>
        <w:t>Hausler</w:t>
      </w:r>
      <w:proofErr w:type="spellEnd"/>
      <w:r w:rsidRPr="001C0EFD">
        <w:rPr>
          <w:rFonts w:ascii="Times New Roman" w:hAnsi="Times New Roman" w:cs="Times New Roman"/>
          <w:i/>
          <w:sz w:val="24"/>
          <w:szCs w:val="24"/>
          <w:lang w:val="en-US"/>
        </w:rPr>
        <w:t xml:space="preserve"> and Berenika Drazewska</w:t>
      </w:r>
    </w:p>
    <w:p w14:paraId="4671AE34" w14:textId="77777777" w:rsidR="001C0EFD" w:rsidRPr="001C0EFD" w:rsidRDefault="001C0EFD" w:rsidP="001C0EFD">
      <w:pPr>
        <w:spacing w:after="0" w:line="240" w:lineRule="auto"/>
        <w:jc w:val="both"/>
        <w:rPr>
          <w:rFonts w:ascii="Times New Roman" w:hAnsi="Times New Roman" w:cs="Times New Roman"/>
          <w:i/>
          <w:sz w:val="24"/>
          <w:szCs w:val="24"/>
          <w:lang w:val="en-US"/>
        </w:rPr>
      </w:pPr>
    </w:p>
    <w:p w14:paraId="4671AE35" w14:textId="77777777" w:rsidR="007C0186" w:rsidRPr="001C0EFD" w:rsidRDefault="00547E4E" w:rsidP="001C0EFD">
      <w:pPr>
        <w:spacing w:after="0" w:line="240" w:lineRule="auto"/>
        <w:jc w:val="both"/>
        <w:rPr>
          <w:rFonts w:ascii="Times New Roman" w:hAnsi="Times New Roman" w:cs="Times New Roman"/>
          <w:i/>
          <w:sz w:val="24"/>
          <w:szCs w:val="24"/>
          <w:lang w:val="en-US"/>
        </w:rPr>
      </w:pPr>
      <w:r w:rsidRPr="001C0EFD">
        <w:rPr>
          <w:rFonts w:ascii="Times New Roman" w:hAnsi="Times New Roman" w:cs="Times New Roman"/>
          <w:i/>
          <w:sz w:val="24"/>
          <w:szCs w:val="24"/>
          <w:lang w:val="en-US"/>
        </w:rPr>
        <w:t>British Institute of International and Comparative Law, 21 April 2022.</w:t>
      </w:r>
    </w:p>
    <w:sectPr w:rsidR="007C0186" w:rsidRPr="001C0E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1AE3A" w14:textId="77777777" w:rsidR="00DC3340" w:rsidRDefault="00DC3340" w:rsidP="007C0186">
      <w:pPr>
        <w:spacing w:after="0" w:line="240" w:lineRule="auto"/>
      </w:pPr>
      <w:r>
        <w:separator/>
      </w:r>
    </w:p>
  </w:endnote>
  <w:endnote w:type="continuationSeparator" w:id="0">
    <w:p w14:paraId="4671AE3B" w14:textId="77777777" w:rsidR="00DC3340" w:rsidRDefault="00DC3340" w:rsidP="007C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 Bk BT">
    <w:altName w:val="Futura"/>
    <w:charset w:val="00"/>
    <w:family w:val="swiss"/>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1AE38" w14:textId="77777777" w:rsidR="00DC3340" w:rsidRDefault="00DC3340" w:rsidP="007C0186">
      <w:pPr>
        <w:spacing w:after="0" w:line="240" w:lineRule="auto"/>
      </w:pPr>
      <w:r>
        <w:separator/>
      </w:r>
    </w:p>
  </w:footnote>
  <w:footnote w:type="continuationSeparator" w:id="0">
    <w:p w14:paraId="4671AE39" w14:textId="77777777" w:rsidR="00DC3340" w:rsidRDefault="00DC3340" w:rsidP="007C0186">
      <w:pPr>
        <w:spacing w:after="0" w:line="240" w:lineRule="auto"/>
      </w:pPr>
      <w:r>
        <w:continuationSeparator/>
      </w:r>
    </w:p>
  </w:footnote>
  <w:footnote w:id="1">
    <w:p w14:paraId="4671AE3C" w14:textId="77777777" w:rsidR="00AD003D" w:rsidRPr="008173A7" w:rsidRDefault="00AD003D">
      <w:pPr>
        <w:pStyle w:val="FootnoteText"/>
      </w:pPr>
      <w:r w:rsidRPr="008173A7">
        <w:rPr>
          <w:rStyle w:val="FootnoteReference"/>
        </w:rPr>
        <w:footnoteRef/>
      </w:r>
      <w:r w:rsidRPr="008173A7">
        <w:t xml:space="preserve"> This Working Paper has now been turned into a book chapter which is due to be published in late 2022.</w:t>
      </w:r>
    </w:p>
  </w:footnote>
  <w:footnote w:id="2">
    <w:p w14:paraId="4671AE3D" w14:textId="77777777" w:rsidR="00A7778E" w:rsidRPr="008173A7" w:rsidRDefault="00A7778E" w:rsidP="00A7778E">
      <w:pPr>
        <w:pStyle w:val="FootnoteText"/>
        <w:rPr>
          <w:lang w:val="en-US"/>
        </w:rPr>
      </w:pPr>
      <w:r w:rsidRPr="008173A7">
        <w:rPr>
          <w:rStyle w:val="FootnoteReference"/>
        </w:rPr>
        <w:footnoteRef/>
      </w:r>
      <w:r w:rsidRPr="008173A7">
        <w:t xml:space="preserve"> </w:t>
      </w:r>
      <w:r w:rsidRPr="008173A7">
        <w:rPr>
          <w:lang w:val="en-US"/>
        </w:rPr>
        <w:t>Note that while the Working Paper discusses the 2019 version of the AIIB policy (‘The Environmental and Social Framework’), the revised version of the policy (2021) also uses the term ‘</w:t>
      </w:r>
      <w:proofErr w:type="spellStart"/>
      <w:r w:rsidRPr="008173A7">
        <w:rPr>
          <w:lang w:val="en-US"/>
        </w:rPr>
        <w:t>FPICon</w:t>
      </w:r>
      <w:proofErr w:type="spellEnd"/>
      <w:r w:rsidRPr="008173A7">
        <w:rPr>
          <w:lang w:val="en-US"/>
        </w:rPr>
        <w:t xml:space="preserve">’ instead of FPIC where Indigenous Peoples are concerned. </w:t>
      </w:r>
    </w:p>
  </w:footnote>
  <w:footnote w:id="3">
    <w:p w14:paraId="4671AE3E" w14:textId="77777777" w:rsidR="008173A7" w:rsidRPr="008173A7" w:rsidRDefault="008173A7">
      <w:pPr>
        <w:pStyle w:val="FootnoteText"/>
      </w:pPr>
      <w:r w:rsidRPr="008173A7">
        <w:rPr>
          <w:rStyle w:val="FootnoteReference"/>
        </w:rPr>
        <w:footnoteRef/>
      </w:r>
      <w:r w:rsidRPr="008173A7">
        <w:t xml:space="preserve"> Note that some MDBs’ (</w:t>
      </w:r>
      <w:r w:rsidRPr="008173A7">
        <w:rPr>
          <w:lang w:val="en-US"/>
        </w:rPr>
        <w:t>the EIB and the EBRD) policies extend the requirement of consent for the project’s use of the cultural resources and traditional knowledge beyond Indigenous peoples and onto ‘local communities embodying traditional lifestyles’ – a reflection of an increasing tendency in international law to treat them as equally entitled to FPIC, at least as a matter of good practice</w:t>
      </w:r>
      <w:r w:rsidRPr="008173A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6C3A8A"/>
    <w:multiLevelType w:val="hybridMultilevel"/>
    <w:tmpl w:val="67DA896A"/>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86"/>
    <w:rsid w:val="00064E4A"/>
    <w:rsid w:val="00180690"/>
    <w:rsid w:val="001A63AD"/>
    <w:rsid w:val="001C0EFD"/>
    <w:rsid w:val="001F2EF5"/>
    <w:rsid w:val="00265E1D"/>
    <w:rsid w:val="003721A3"/>
    <w:rsid w:val="00434833"/>
    <w:rsid w:val="004348DD"/>
    <w:rsid w:val="0045311D"/>
    <w:rsid w:val="00547E4E"/>
    <w:rsid w:val="006442CA"/>
    <w:rsid w:val="00703FB0"/>
    <w:rsid w:val="007A3042"/>
    <w:rsid w:val="007C0186"/>
    <w:rsid w:val="008173A7"/>
    <w:rsid w:val="00A7778E"/>
    <w:rsid w:val="00AD003D"/>
    <w:rsid w:val="00AE7BBB"/>
    <w:rsid w:val="00BD1F56"/>
    <w:rsid w:val="00C71092"/>
    <w:rsid w:val="00DC3340"/>
    <w:rsid w:val="00FA7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AE1D"/>
  <w15:chartTrackingRefBased/>
  <w15:docId w15:val="{9A5BB70A-F377-420B-9D3D-575B3F66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Ref,de nota al pie,註腳內容,Footnote Reference1,Ref1,de nota al pie1,de nota al pie + (Asian) MS Mincho,11 pt,Footnote text,header 3,4_G,註?腳內—e,Appel note de bas de page,Appel note de bas de page Carattere,fr,Footnote Refernece"/>
    <w:uiPriority w:val="99"/>
    <w:rsid w:val="007C0186"/>
    <w:rPr>
      <w:rFonts w:cs="Times New Roman"/>
      <w:vertAlign w:val="superscript"/>
    </w:rPr>
  </w:style>
  <w:style w:type="character" w:styleId="Hyperlink">
    <w:name w:val="Hyperlink"/>
    <w:rsid w:val="007C0186"/>
    <w:rPr>
      <w:color w:val="0000FF"/>
      <w:u w:val="single"/>
    </w:rPr>
  </w:style>
  <w:style w:type="character" w:styleId="CommentReference">
    <w:name w:val="annotation reference"/>
    <w:rsid w:val="007C0186"/>
    <w:rPr>
      <w:sz w:val="16"/>
      <w:szCs w:val="16"/>
    </w:rPr>
  </w:style>
  <w:style w:type="paragraph" w:styleId="ListParagraph">
    <w:name w:val="List Paragraph"/>
    <w:basedOn w:val="Normal"/>
    <w:uiPriority w:val="34"/>
    <w:qFormat/>
    <w:rsid w:val="007C0186"/>
    <w:pPr>
      <w:spacing w:after="0" w:line="240" w:lineRule="auto"/>
      <w:ind w:left="720"/>
    </w:pPr>
    <w:rPr>
      <w:rFonts w:ascii="Times New Roman" w:eastAsia="Times New Roman" w:hAnsi="Times New Roman" w:cs="Times New Roman"/>
      <w:sz w:val="20"/>
      <w:szCs w:val="20"/>
    </w:rPr>
  </w:style>
  <w:style w:type="paragraph" w:styleId="FootnoteText">
    <w:name w:val="footnote text"/>
    <w:aliases w:val="Footnote Text Char Char Char Char,FA,FA Fußnotentext,Footnote Text Char Char,Footnote Text Char Char Char Char Char Char,Footnote Text Char Char Char,Footnote Text Char Char Char Char Char,Footnote Text Char2 Char,F,ft"/>
    <w:basedOn w:val="Normal"/>
    <w:link w:val="FootnoteTextChar"/>
    <w:uiPriority w:val="99"/>
    <w:unhideWhenUsed/>
    <w:qFormat/>
    <w:rsid w:val="007C01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1,FA Char,FA Fußnotentext Char,Footnote Text Char Char Char1,Footnote Text Char Char Char Char Char Char Char,Footnote Text Char Char Char Char1,Footnote Text Char Char Char Char Char Char1,F Char"/>
    <w:basedOn w:val="DefaultParagraphFont"/>
    <w:link w:val="FootnoteText"/>
    <w:uiPriority w:val="99"/>
    <w:rsid w:val="007C0186"/>
    <w:rPr>
      <w:rFonts w:ascii="Times New Roman" w:eastAsia="Times New Roman" w:hAnsi="Times New Roman" w:cs="Times New Roman"/>
      <w:sz w:val="20"/>
      <w:szCs w:val="20"/>
    </w:rPr>
  </w:style>
  <w:style w:type="paragraph" w:customStyle="1" w:styleId="Default">
    <w:name w:val="Default"/>
    <w:rsid w:val="00180690"/>
    <w:pPr>
      <w:autoSpaceDE w:val="0"/>
      <w:autoSpaceDN w:val="0"/>
      <w:adjustRightInd w:val="0"/>
      <w:spacing w:after="0" w:line="240" w:lineRule="auto"/>
    </w:pPr>
    <w:rPr>
      <w:rFonts w:ascii="Futura Bk BT" w:hAnsi="Futura Bk BT" w:cs="Futura Bk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icl.org/publications/the-role-of-multilateral-development-banks-in-the-protection-of-intangible-cultural-heritag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38916401D374BB1A65F0C34E2B238" ma:contentTypeVersion="2" ma:contentTypeDescription="Create a new document." ma:contentTypeScope="" ma:versionID="5a70e075bece778e5f2b32aa56fcc1ef">
  <xsd:schema xmlns:xsd="http://www.w3.org/2001/XMLSchema" xmlns:xs="http://www.w3.org/2001/XMLSchema" xmlns:p="http://schemas.microsoft.com/office/2006/metadata/properties" xmlns:ns2="152356db-1849-4eab-81f2-31613b4e6bf0" targetNamespace="http://schemas.microsoft.com/office/2006/metadata/properties" ma:root="true" ma:fieldsID="9399576f5f13050588af3da50bd7bef6"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75641-B014-4AD9-988E-8A3165D70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0BFEC-10DB-4EB5-874D-16232AC11FB9}">
  <ds:schemaRefs>
    <ds:schemaRef ds:uri="http://schemas.microsoft.com/sharepoint/v3/contenttype/forms"/>
  </ds:schemaRefs>
</ds:datastoreItem>
</file>

<file path=customXml/itemProps3.xml><?xml version="1.0" encoding="utf-8"?>
<ds:datastoreItem xmlns:ds="http://schemas.openxmlformats.org/officeDocument/2006/customXml" ds:itemID="{5FC83A4A-DC97-4718-B206-14E6196A0519}">
  <ds:schemaRefs>
    <ds:schemaRef ds:uri="http://purl.org/dc/terms/"/>
    <ds:schemaRef ds:uri="http://schemas.openxmlformats.org/package/2006/metadata/core-properties"/>
    <ds:schemaRef ds:uri="http://purl.org/dc/elements/1.1/"/>
    <ds:schemaRef ds:uri="http://schemas.microsoft.com/office/2006/documentManagement/types"/>
    <ds:schemaRef ds:uri="152356db-1849-4eab-81f2-31613b4e6bf0"/>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Mylene Bidault Abdulle</cp:lastModifiedBy>
  <cp:revision>2</cp:revision>
  <dcterms:created xsi:type="dcterms:W3CDTF">2022-08-17T15:16:00Z</dcterms:created>
  <dcterms:modified xsi:type="dcterms:W3CDTF">2022-08-17T15:16:00Z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0x0101004CF38916401D374BB1A65F0C34E2B238</vt:lpwstr>
  </property>
</Properties>
</file>