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123D" w14:textId="1856E858" w:rsidR="00245FE2" w:rsidRPr="00ED5557" w:rsidRDefault="00245FE2" w:rsidP="00245FE2">
      <w:pPr>
        <w:jc w:val="center"/>
        <w:rPr>
          <w:rFonts w:ascii="Calisto MT" w:hAnsi="Calisto MT"/>
          <w:b/>
          <w:bCs/>
          <w:sz w:val="24"/>
          <w:szCs w:val="24"/>
        </w:rPr>
      </w:pPr>
      <w:bookmarkStart w:id="0" w:name="_GoBack"/>
      <w:bookmarkEnd w:id="0"/>
      <w:r w:rsidRPr="00ED5557">
        <w:rPr>
          <w:rFonts w:ascii="Calisto MT" w:eastAsia="Calibri" w:hAnsi="Calisto MT" w:cs="Times New Roman"/>
          <w:noProof/>
          <w:sz w:val="24"/>
          <w:szCs w:val="24"/>
          <w:lang w:eastAsia="en-GB"/>
        </w:rPr>
        <w:drawing>
          <wp:inline distT="0" distB="0" distL="0" distR="0" wp14:anchorId="591C3BA1" wp14:editId="2B286A27">
            <wp:extent cx="1457325" cy="1352550"/>
            <wp:effectExtent l="0" t="0" r="9525" b="0"/>
            <wp:docPr id="1" name="Picture 1" descr="F:\JUDE BOY BACKUP\Partitioned Drive\E-Portal\KNCHR Publications\Logo\KNCHR Logo.jpg"/>
            <wp:cNvGraphicFramePr/>
            <a:graphic xmlns:a="http://schemas.openxmlformats.org/drawingml/2006/main">
              <a:graphicData uri="http://schemas.openxmlformats.org/drawingml/2006/picture">
                <pic:pic xmlns:pic="http://schemas.openxmlformats.org/drawingml/2006/picture">
                  <pic:nvPicPr>
                    <pic:cNvPr id="1" name="Picture 1" descr="F:\JUDE BOY BACKUP\Partitioned Drive\E-Portal\KNCHR Publications\Logo\KNCHR Logo.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352550"/>
                    </a:xfrm>
                    <a:prstGeom prst="rect">
                      <a:avLst/>
                    </a:prstGeom>
                    <a:noFill/>
                    <a:ln>
                      <a:noFill/>
                    </a:ln>
                  </pic:spPr>
                </pic:pic>
              </a:graphicData>
            </a:graphic>
          </wp:inline>
        </w:drawing>
      </w:r>
    </w:p>
    <w:p w14:paraId="14860BD4" w14:textId="77777777" w:rsidR="00245FE2" w:rsidRPr="00ED5557" w:rsidRDefault="00245FE2" w:rsidP="00653F5B">
      <w:pPr>
        <w:jc w:val="both"/>
        <w:rPr>
          <w:rFonts w:ascii="Calisto MT" w:hAnsi="Calisto MT"/>
          <w:b/>
          <w:bCs/>
          <w:sz w:val="24"/>
          <w:szCs w:val="24"/>
        </w:rPr>
      </w:pPr>
    </w:p>
    <w:p w14:paraId="30A6AACC" w14:textId="77777777" w:rsidR="00245FE2" w:rsidRPr="00ED5557" w:rsidRDefault="00245FE2" w:rsidP="00245FE2">
      <w:pPr>
        <w:jc w:val="center"/>
        <w:rPr>
          <w:rFonts w:ascii="Calisto MT" w:eastAsia="Calibri" w:hAnsi="Calisto MT" w:cs="Times New Roman"/>
          <w:b/>
          <w:sz w:val="24"/>
          <w:szCs w:val="24"/>
        </w:rPr>
      </w:pPr>
      <w:r w:rsidRPr="00ED5557">
        <w:rPr>
          <w:rFonts w:ascii="Calisto MT" w:eastAsia="Calibri" w:hAnsi="Calisto MT" w:cs="Times New Roman"/>
          <w:b/>
          <w:sz w:val="24"/>
          <w:szCs w:val="24"/>
        </w:rPr>
        <w:t>KENYA NATIONAL COMMISSION ON HUMAN RIGHTS</w:t>
      </w:r>
    </w:p>
    <w:p w14:paraId="04F32257" w14:textId="1FCE3DB2" w:rsidR="00245FE2" w:rsidRPr="00ED5557" w:rsidRDefault="00245FE2" w:rsidP="00245FE2">
      <w:pPr>
        <w:rPr>
          <w:rFonts w:ascii="Calisto MT" w:eastAsia="Calibri" w:hAnsi="Calisto MT" w:cs="Times New Roman"/>
          <w:b/>
          <w:sz w:val="24"/>
          <w:szCs w:val="24"/>
        </w:rPr>
      </w:pPr>
    </w:p>
    <w:p w14:paraId="462191FB" w14:textId="6E57469C" w:rsidR="00245FE2" w:rsidRPr="00ED5557" w:rsidRDefault="00245FE2" w:rsidP="00245FE2">
      <w:pPr>
        <w:rPr>
          <w:rFonts w:ascii="Calisto MT" w:eastAsia="Calibri" w:hAnsi="Calisto MT" w:cs="Times New Roman"/>
          <w:b/>
          <w:sz w:val="24"/>
          <w:szCs w:val="24"/>
        </w:rPr>
      </w:pPr>
    </w:p>
    <w:p w14:paraId="253CC177" w14:textId="2BCCB4BF" w:rsidR="00245FE2" w:rsidRPr="00ED5557" w:rsidRDefault="00245FE2" w:rsidP="00245FE2">
      <w:pPr>
        <w:rPr>
          <w:rFonts w:ascii="Calisto MT" w:eastAsia="Calibri" w:hAnsi="Calisto MT" w:cs="Times New Roman"/>
          <w:b/>
          <w:sz w:val="24"/>
          <w:szCs w:val="24"/>
        </w:rPr>
      </w:pPr>
    </w:p>
    <w:p w14:paraId="673EBBF5" w14:textId="0F533759" w:rsidR="00245FE2" w:rsidRPr="00ED5557" w:rsidRDefault="00245FE2" w:rsidP="00245FE2">
      <w:pPr>
        <w:rPr>
          <w:rFonts w:ascii="Calisto MT" w:eastAsia="Calibri" w:hAnsi="Calisto MT" w:cs="Times New Roman"/>
          <w:b/>
          <w:sz w:val="24"/>
          <w:szCs w:val="24"/>
        </w:rPr>
      </w:pPr>
    </w:p>
    <w:p w14:paraId="067F1B11" w14:textId="2D0AA734" w:rsidR="00245FE2" w:rsidRPr="00ED5557" w:rsidRDefault="00245FE2" w:rsidP="00245FE2">
      <w:pPr>
        <w:rPr>
          <w:rFonts w:ascii="Calisto MT" w:eastAsia="Calibri" w:hAnsi="Calisto MT" w:cs="Times New Roman"/>
          <w:b/>
          <w:sz w:val="24"/>
          <w:szCs w:val="24"/>
        </w:rPr>
      </w:pPr>
    </w:p>
    <w:p w14:paraId="0CBD4339" w14:textId="77777777" w:rsidR="00245FE2" w:rsidRPr="00ED5557" w:rsidRDefault="00245FE2" w:rsidP="00245FE2">
      <w:pPr>
        <w:rPr>
          <w:rFonts w:ascii="Calisto MT" w:eastAsia="Calibri" w:hAnsi="Calisto MT" w:cs="Times New Roman"/>
          <w:b/>
          <w:sz w:val="24"/>
          <w:szCs w:val="24"/>
        </w:rPr>
      </w:pPr>
    </w:p>
    <w:p w14:paraId="4A6B3E20" w14:textId="15F0A022" w:rsidR="00245FE2" w:rsidRPr="00ED5557" w:rsidRDefault="00245FE2" w:rsidP="00245FE2">
      <w:pPr>
        <w:spacing w:after="0" w:line="240" w:lineRule="auto"/>
        <w:jc w:val="center"/>
        <w:rPr>
          <w:rFonts w:ascii="Calisto MT" w:eastAsia="Calibri" w:hAnsi="Calisto MT" w:cs="Times New Roman"/>
          <w:b/>
          <w:sz w:val="24"/>
          <w:szCs w:val="24"/>
        </w:rPr>
      </w:pPr>
      <w:r w:rsidRPr="00ED5557">
        <w:rPr>
          <w:rFonts w:ascii="Calisto MT" w:eastAsia="Calibri" w:hAnsi="Calisto MT" w:cs="Times New Roman"/>
          <w:b/>
          <w:sz w:val="24"/>
          <w:szCs w:val="24"/>
        </w:rPr>
        <w:t>SUBMISSIONS TO:</w:t>
      </w:r>
    </w:p>
    <w:p w14:paraId="7ACB6A48" w14:textId="77777777" w:rsidR="00245FE2" w:rsidRPr="00ED5557" w:rsidRDefault="00245FE2" w:rsidP="00245FE2">
      <w:pPr>
        <w:spacing w:after="0" w:line="240" w:lineRule="auto"/>
        <w:jc w:val="center"/>
        <w:rPr>
          <w:rFonts w:ascii="Calisto MT" w:eastAsia="Calibri" w:hAnsi="Calisto MT" w:cs="Times New Roman"/>
          <w:sz w:val="24"/>
          <w:szCs w:val="24"/>
        </w:rPr>
      </w:pPr>
    </w:p>
    <w:p w14:paraId="7D084440" w14:textId="0A6856E9" w:rsidR="00245FE2" w:rsidRPr="00ED5557" w:rsidRDefault="00245FE2" w:rsidP="00245FE2">
      <w:pPr>
        <w:spacing w:after="0" w:line="240" w:lineRule="auto"/>
        <w:jc w:val="center"/>
        <w:rPr>
          <w:rFonts w:ascii="Calisto MT" w:eastAsia="Calibri" w:hAnsi="Calisto MT" w:cs="Times New Roman"/>
          <w:b/>
          <w:color w:val="000000"/>
          <w:sz w:val="24"/>
          <w:szCs w:val="24"/>
        </w:rPr>
      </w:pPr>
      <w:r w:rsidRPr="00ED5557">
        <w:rPr>
          <w:rFonts w:ascii="Calisto MT" w:eastAsia="Calibri" w:hAnsi="Calisto MT" w:cs="Times New Roman"/>
          <w:b/>
          <w:color w:val="000000"/>
          <w:sz w:val="24"/>
          <w:szCs w:val="24"/>
        </w:rPr>
        <w:t>THE SPECIAL RAPPORTEUR IN THE FIELD OF CULTURAL RIGHTS</w:t>
      </w:r>
    </w:p>
    <w:p w14:paraId="5FDAE4F6" w14:textId="77777777" w:rsidR="00245FE2" w:rsidRPr="00ED5557" w:rsidRDefault="00245FE2" w:rsidP="00245FE2">
      <w:pPr>
        <w:spacing w:after="0" w:line="240" w:lineRule="auto"/>
        <w:jc w:val="center"/>
        <w:rPr>
          <w:rFonts w:ascii="Calisto MT" w:eastAsia="Calibri" w:hAnsi="Calisto MT" w:cs="Times New Roman"/>
          <w:b/>
          <w:sz w:val="24"/>
          <w:szCs w:val="24"/>
        </w:rPr>
      </w:pPr>
    </w:p>
    <w:p w14:paraId="412F3D84" w14:textId="525FE847" w:rsidR="00245FE2" w:rsidRPr="00E9311D" w:rsidRDefault="00245FE2" w:rsidP="00245FE2">
      <w:pPr>
        <w:autoSpaceDE w:val="0"/>
        <w:autoSpaceDN w:val="0"/>
        <w:adjustRightInd w:val="0"/>
        <w:spacing w:after="0"/>
        <w:jc w:val="center"/>
        <w:rPr>
          <w:rFonts w:ascii="Calisto MT" w:eastAsia="Calibri" w:hAnsi="Calisto MT" w:cs="Times New Roman"/>
          <w:b/>
          <w:color w:val="000000"/>
          <w:sz w:val="24"/>
          <w:szCs w:val="24"/>
        </w:rPr>
      </w:pPr>
      <w:r w:rsidRPr="00ED5557">
        <w:rPr>
          <w:rFonts w:ascii="Calisto MT" w:eastAsia="Calibri" w:hAnsi="Calisto MT" w:cs="Times New Roman"/>
          <w:b/>
          <w:color w:val="000000"/>
          <w:sz w:val="24"/>
          <w:szCs w:val="24"/>
        </w:rPr>
        <w:t>OFFICE OF THE HIGH COMMISSIONER FOR HUMAN RIGHTS     (</w:t>
      </w:r>
      <w:hyperlink r:id="rId12" w:history="1">
        <w:r w:rsidR="00E9311D" w:rsidRPr="00E9311D">
          <w:rPr>
            <w:rStyle w:val="Hyperlink"/>
            <w:rFonts w:ascii="Calisto MT" w:hAnsi="Calisto MT"/>
            <w:sz w:val="24"/>
            <w:szCs w:val="24"/>
          </w:rPr>
          <w:t>ohchr-srculturalrights@un.org</w:t>
        </w:r>
      </w:hyperlink>
      <w:r w:rsidRPr="00E9311D">
        <w:rPr>
          <w:rFonts w:ascii="Calisto MT" w:eastAsia="Calibri" w:hAnsi="Calisto MT" w:cs="Times New Roman"/>
          <w:b/>
          <w:color w:val="000000"/>
          <w:sz w:val="24"/>
          <w:szCs w:val="24"/>
          <w:shd w:val="clear" w:color="auto" w:fill="FFFFFF"/>
        </w:rPr>
        <w:t>)</w:t>
      </w:r>
    </w:p>
    <w:p w14:paraId="4C57CAF1" w14:textId="77777777" w:rsidR="00245FE2" w:rsidRPr="00ED5557" w:rsidRDefault="00245FE2" w:rsidP="00245FE2">
      <w:pPr>
        <w:autoSpaceDE w:val="0"/>
        <w:autoSpaceDN w:val="0"/>
        <w:adjustRightInd w:val="0"/>
        <w:spacing w:after="0"/>
        <w:ind w:left="5040"/>
        <w:jc w:val="center"/>
        <w:rPr>
          <w:rFonts w:ascii="Calisto MT" w:eastAsia="Calibri" w:hAnsi="Calisto MT" w:cs="Times New Roman"/>
          <w:b/>
          <w:color w:val="000000"/>
          <w:sz w:val="24"/>
          <w:szCs w:val="24"/>
        </w:rPr>
      </w:pPr>
    </w:p>
    <w:p w14:paraId="0EC1C206" w14:textId="77777777" w:rsidR="00245FE2" w:rsidRPr="00ED5557" w:rsidRDefault="00245FE2" w:rsidP="00245FE2">
      <w:pPr>
        <w:autoSpaceDE w:val="0"/>
        <w:autoSpaceDN w:val="0"/>
        <w:adjustRightInd w:val="0"/>
        <w:spacing w:after="0"/>
        <w:ind w:left="5760" w:firstLine="720"/>
        <w:rPr>
          <w:rFonts w:ascii="Calisto MT" w:eastAsia="Calibri" w:hAnsi="Calisto MT" w:cs="Times New Roman"/>
          <w:b/>
          <w:color w:val="000000"/>
          <w:sz w:val="24"/>
          <w:szCs w:val="24"/>
        </w:rPr>
      </w:pPr>
    </w:p>
    <w:p w14:paraId="172FB4C1" w14:textId="77777777" w:rsidR="00245FE2" w:rsidRPr="00ED5557" w:rsidRDefault="00245FE2" w:rsidP="00245FE2">
      <w:pPr>
        <w:autoSpaceDE w:val="0"/>
        <w:autoSpaceDN w:val="0"/>
        <w:adjustRightInd w:val="0"/>
        <w:spacing w:after="0"/>
        <w:ind w:left="5760" w:firstLine="720"/>
        <w:rPr>
          <w:rFonts w:ascii="Calisto MT" w:eastAsia="Calibri" w:hAnsi="Calisto MT" w:cs="Times New Roman"/>
          <w:b/>
          <w:color w:val="000000"/>
          <w:sz w:val="24"/>
          <w:szCs w:val="24"/>
        </w:rPr>
      </w:pPr>
    </w:p>
    <w:p w14:paraId="586253EE" w14:textId="77777777" w:rsidR="00245FE2" w:rsidRPr="00ED5557" w:rsidRDefault="00245FE2" w:rsidP="00245FE2">
      <w:pPr>
        <w:autoSpaceDE w:val="0"/>
        <w:autoSpaceDN w:val="0"/>
        <w:adjustRightInd w:val="0"/>
        <w:spacing w:after="0"/>
        <w:ind w:left="5760" w:firstLine="720"/>
        <w:jc w:val="right"/>
        <w:rPr>
          <w:rFonts w:ascii="Calisto MT" w:eastAsia="Calibri" w:hAnsi="Calisto MT" w:cs="Times New Roman"/>
          <w:b/>
          <w:color w:val="000000"/>
          <w:sz w:val="24"/>
          <w:szCs w:val="24"/>
        </w:rPr>
      </w:pPr>
    </w:p>
    <w:p w14:paraId="5786906B" w14:textId="77777777" w:rsidR="00245FE2" w:rsidRPr="00ED5557" w:rsidRDefault="00245FE2" w:rsidP="00245FE2">
      <w:pPr>
        <w:autoSpaceDE w:val="0"/>
        <w:autoSpaceDN w:val="0"/>
        <w:adjustRightInd w:val="0"/>
        <w:spacing w:after="0"/>
        <w:ind w:left="5760" w:firstLine="720"/>
        <w:jc w:val="right"/>
        <w:rPr>
          <w:rFonts w:ascii="Calisto MT" w:eastAsia="Calibri" w:hAnsi="Calisto MT" w:cs="Times New Roman"/>
          <w:b/>
          <w:color w:val="000000"/>
          <w:sz w:val="24"/>
          <w:szCs w:val="24"/>
        </w:rPr>
      </w:pPr>
    </w:p>
    <w:p w14:paraId="77D7D967" w14:textId="6D9608DC" w:rsidR="00245FE2" w:rsidRPr="00ED5557" w:rsidRDefault="00245FE2" w:rsidP="00245FE2">
      <w:pPr>
        <w:autoSpaceDE w:val="0"/>
        <w:autoSpaceDN w:val="0"/>
        <w:adjustRightInd w:val="0"/>
        <w:spacing w:after="0"/>
        <w:ind w:left="5760" w:firstLine="720"/>
        <w:jc w:val="right"/>
        <w:rPr>
          <w:rFonts w:ascii="Calisto MT" w:eastAsia="Calibri" w:hAnsi="Calisto MT" w:cs="Times New Roman"/>
          <w:b/>
          <w:color w:val="000000"/>
          <w:sz w:val="24"/>
          <w:szCs w:val="24"/>
        </w:rPr>
      </w:pPr>
      <w:r w:rsidRPr="00ED5557">
        <w:rPr>
          <w:rFonts w:ascii="Calisto MT" w:eastAsia="Calibri" w:hAnsi="Calisto MT" w:cs="Times New Roman"/>
          <w:b/>
          <w:color w:val="000000"/>
          <w:sz w:val="24"/>
          <w:szCs w:val="24"/>
        </w:rPr>
        <w:t>27</w:t>
      </w:r>
      <w:r w:rsidRPr="00ED5557">
        <w:rPr>
          <w:rFonts w:ascii="Calisto MT" w:eastAsia="Calibri" w:hAnsi="Calisto MT" w:cs="Times New Roman"/>
          <w:b/>
          <w:color w:val="000000"/>
          <w:sz w:val="24"/>
          <w:szCs w:val="24"/>
          <w:vertAlign w:val="superscript"/>
        </w:rPr>
        <w:t>th</w:t>
      </w:r>
      <w:r w:rsidRPr="00ED5557">
        <w:rPr>
          <w:rFonts w:ascii="Calisto MT" w:eastAsia="Calibri" w:hAnsi="Calisto MT" w:cs="Times New Roman"/>
          <w:b/>
          <w:color w:val="000000"/>
          <w:sz w:val="24"/>
          <w:szCs w:val="24"/>
        </w:rPr>
        <w:t xml:space="preserve"> April 2021</w:t>
      </w:r>
    </w:p>
    <w:p w14:paraId="2EBC4585" w14:textId="77777777"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07C3D7F6" w14:textId="77777777"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7F40A745" w14:textId="77777777"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6E5DF707" w14:textId="77777777"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25DAB637" w14:textId="3C4B0F0C"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528D1A65" w14:textId="77777777" w:rsidR="00245FE2" w:rsidRPr="00ED5557" w:rsidRDefault="00245FE2" w:rsidP="00245FE2">
      <w:pPr>
        <w:autoSpaceDE w:val="0"/>
        <w:autoSpaceDN w:val="0"/>
        <w:adjustRightInd w:val="0"/>
        <w:spacing w:after="0"/>
        <w:rPr>
          <w:rFonts w:ascii="Calisto MT" w:eastAsia="Calibri" w:hAnsi="Calisto MT" w:cs="Times New Roman"/>
          <w:color w:val="000000"/>
          <w:sz w:val="24"/>
          <w:szCs w:val="24"/>
        </w:rPr>
      </w:pPr>
    </w:p>
    <w:p w14:paraId="0A3A7A4C"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Kenya National Commission on Human Rights</w:t>
      </w:r>
    </w:p>
    <w:p w14:paraId="007274C7"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1st Floor, CVS Plaza, Lenana Road </w:t>
      </w:r>
    </w:p>
    <w:p w14:paraId="41F6AE7D"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P.O. Box 74359-00200 </w:t>
      </w:r>
    </w:p>
    <w:p w14:paraId="2F90D418"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NAIROBI, KENYA </w:t>
      </w:r>
    </w:p>
    <w:p w14:paraId="62256420"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Tel: 254-20-2717908 /2717256/2712664 </w:t>
      </w:r>
    </w:p>
    <w:p w14:paraId="4F7EFD6F"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Fax: 254-20-2716160 </w:t>
      </w:r>
    </w:p>
    <w:p w14:paraId="55CD750C" w14:textId="77777777" w:rsidR="00245FE2" w:rsidRPr="00ED5557" w:rsidRDefault="00245FE2" w:rsidP="00245FE2">
      <w:pPr>
        <w:autoSpaceDE w:val="0"/>
        <w:autoSpaceDN w:val="0"/>
        <w:adjustRightInd w:val="0"/>
        <w:spacing w:after="0" w:line="240" w:lineRule="auto"/>
        <w:rPr>
          <w:rFonts w:ascii="Calisto MT" w:eastAsia="Calibri" w:hAnsi="Calisto MT" w:cs="Times New Roman"/>
          <w:color w:val="000000"/>
          <w:sz w:val="24"/>
          <w:szCs w:val="24"/>
        </w:rPr>
      </w:pPr>
      <w:r w:rsidRPr="00ED5557">
        <w:rPr>
          <w:rFonts w:ascii="Calisto MT" w:eastAsia="Calibri" w:hAnsi="Calisto MT" w:cs="Times New Roman"/>
          <w:color w:val="000000"/>
          <w:sz w:val="24"/>
          <w:szCs w:val="24"/>
        </w:rPr>
        <w:t xml:space="preserve">Website: www.knchr.org </w:t>
      </w:r>
    </w:p>
    <w:p w14:paraId="18CEC419" w14:textId="1A37B608" w:rsidR="00245FE2" w:rsidRDefault="00245FE2" w:rsidP="00245FE2">
      <w:pPr>
        <w:spacing w:after="0" w:line="240" w:lineRule="auto"/>
        <w:rPr>
          <w:rFonts w:ascii="Calisto MT" w:eastAsia="Calibri" w:hAnsi="Calisto MT" w:cs="Times New Roman"/>
          <w:color w:val="0563C1"/>
          <w:sz w:val="24"/>
          <w:szCs w:val="24"/>
          <w:u w:val="single"/>
        </w:rPr>
      </w:pPr>
      <w:r w:rsidRPr="00ED5557">
        <w:rPr>
          <w:rFonts w:ascii="Calisto MT" w:eastAsia="Calibri" w:hAnsi="Calisto MT" w:cs="Times New Roman"/>
          <w:sz w:val="24"/>
          <w:szCs w:val="24"/>
        </w:rPr>
        <w:t xml:space="preserve">Email: </w:t>
      </w:r>
      <w:hyperlink r:id="rId13" w:history="1">
        <w:r w:rsidRPr="00ED5557">
          <w:rPr>
            <w:rFonts w:ascii="Calisto MT" w:eastAsia="Calibri" w:hAnsi="Calisto MT" w:cs="Times New Roman"/>
            <w:color w:val="0563C1"/>
            <w:sz w:val="24"/>
            <w:szCs w:val="24"/>
            <w:u w:val="single"/>
          </w:rPr>
          <w:t>haki@knchr.org</w:t>
        </w:r>
      </w:hyperlink>
    </w:p>
    <w:p w14:paraId="664F17C0" w14:textId="5A6CDA8F" w:rsidR="00ED5557" w:rsidRDefault="00ED5557" w:rsidP="00245FE2">
      <w:pPr>
        <w:spacing w:after="0" w:line="240" w:lineRule="auto"/>
        <w:rPr>
          <w:rFonts w:ascii="Calisto MT" w:eastAsia="Calibri" w:hAnsi="Calisto MT" w:cs="Times New Roman"/>
          <w:color w:val="0563C1"/>
          <w:sz w:val="24"/>
          <w:szCs w:val="24"/>
          <w:u w:val="single"/>
        </w:rPr>
      </w:pPr>
    </w:p>
    <w:p w14:paraId="360397E4" w14:textId="12334BB7" w:rsidR="00245FE2" w:rsidRPr="00ED5557" w:rsidRDefault="00245FE2" w:rsidP="00812275">
      <w:pPr>
        <w:pStyle w:val="ListParagraph"/>
        <w:numPr>
          <w:ilvl w:val="0"/>
          <w:numId w:val="6"/>
        </w:numPr>
        <w:spacing w:after="0" w:line="240" w:lineRule="auto"/>
        <w:rPr>
          <w:rFonts w:ascii="Calisto MT" w:hAnsi="Calisto MT"/>
          <w:b/>
          <w:sz w:val="24"/>
          <w:szCs w:val="24"/>
        </w:rPr>
      </w:pPr>
      <w:r w:rsidRPr="00ED5557">
        <w:rPr>
          <w:rFonts w:ascii="Calisto MT" w:hAnsi="Calisto MT"/>
          <w:b/>
          <w:sz w:val="24"/>
          <w:szCs w:val="24"/>
        </w:rPr>
        <w:t>INTRODUCTION</w:t>
      </w:r>
    </w:p>
    <w:p w14:paraId="42E6DE52" w14:textId="77777777" w:rsidR="00245FE2" w:rsidRPr="00ED5557" w:rsidRDefault="00245FE2" w:rsidP="00245FE2">
      <w:pPr>
        <w:jc w:val="both"/>
        <w:rPr>
          <w:rFonts w:ascii="Calisto MT" w:hAnsi="Calisto MT"/>
          <w:sz w:val="24"/>
          <w:szCs w:val="24"/>
        </w:rPr>
      </w:pPr>
      <w:r w:rsidRPr="00ED5557">
        <w:rPr>
          <w:rFonts w:ascii="Calisto MT" w:hAnsi="Calisto MT"/>
          <w:sz w:val="24"/>
          <w:szCs w:val="24"/>
        </w:rPr>
        <w:t>The Kenya National Commission on Human Rights is an Independent National Human Rights Institution established under article 59 of the Constitution of Kenya and operationalized by the Kenya National Commission on Human Rights Act, 2011 (revised 2012). The Commission has a broad mandate to promote the respect and a culture of human rights in the Republic of Kenya. The Commission’s mandate is implemented through various strategies including research, advocacy and lobbying, education and training, complaints and investigations, litigation, monitoring, partnership building and networking among others. The Commission’s functions are guided by the 1993 United Nations approved principles on the establishment and functioning of national institution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2DEBB71F" w14:textId="77777777" w:rsidR="00245FE2" w:rsidRPr="00ED5557" w:rsidRDefault="00245FE2" w:rsidP="00245FE2">
      <w:pPr>
        <w:jc w:val="both"/>
        <w:rPr>
          <w:rFonts w:ascii="Calisto MT" w:hAnsi="Calisto MT"/>
          <w:sz w:val="24"/>
          <w:szCs w:val="24"/>
        </w:rPr>
      </w:pPr>
      <w:r w:rsidRPr="00ED5557">
        <w:rPr>
          <w:rFonts w:ascii="Calisto MT" w:hAnsi="Calisto MT"/>
          <w:sz w:val="24"/>
          <w:szCs w:val="24"/>
        </w:rPr>
        <w:lastRenderedPageBreak/>
        <w:t xml:space="preserve">The Commission makes this submission pursuant to its human rights mandate and as the designated principal organ in ensuring state compliance with regional and international human rights obligations. </w:t>
      </w:r>
    </w:p>
    <w:p w14:paraId="2FB37014" w14:textId="083B7A4E" w:rsidR="00F35A02" w:rsidRPr="00ED5557" w:rsidRDefault="005C5D83" w:rsidP="00812275">
      <w:pPr>
        <w:pStyle w:val="ListParagraph"/>
        <w:numPr>
          <w:ilvl w:val="0"/>
          <w:numId w:val="6"/>
        </w:numPr>
        <w:jc w:val="both"/>
        <w:rPr>
          <w:rFonts w:ascii="Calisto MT" w:hAnsi="Calisto MT"/>
          <w:b/>
          <w:sz w:val="24"/>
          <w:szCs w:val="24"/>
        </w:rPr>
      </w:pPr>
      <w:r w:rsidRPr="00ED5557">
        <w:rPr>
          <w:rFonts w:ascii="Calisto MT" w:hAnsi="Calisto MT"/>
          <w:b/>
          <w:sz w:val="24"/>
          <w:szCs w:val="24"/>
        </w:rPr>
        <w:t>The Cultures of Development</w:t>
      </w:r>
    </w:p>
    <w:p w14:paraId="2A1B1F3D" w14:textId="77777777" w:rsidR="005C5D83" w:rsidRPr="00ED5557" w:rsidRDefault="005C5D83" w:rsidP="00653F5B">
      <w:pPr>
        <w:pStyle w:val="ListParagraph"/>
        <w:ind w:left="360"/>
        <w:jc w:val="both"/>
        <w:rPr>
          <w:rFonts w:ascii="Calisto MT" w:hAnsi="Calisto MT"/>
          <w:sz w:val="24"/>
          <w:szCs w:val="24"/>
        </w:rPr>
      </w:pPr>
    </w:p>
    <w:p w14:paraId="700D7D4A" w14:textId="44FF71D3" w:rsidR="005C5D83" w:rsidRPr="00ED5557" w:rsidRDefault="005C5D83" w:rsidP="00653F5B">
      <w:pPr>
        <w:pStyle w:val="ListParagraph"/>
        <w:numPr>
          <w:ilvl w:val="0"/>
          <w:numId w:val="4"/>
        </w:numPr>
        <w:jc w:val="both"/>
        <w:rPr>
          <w:rFonts w:ascii="Calisto MT" w:hAnsi="Calisto MT"/>
          <w:sz w:val="24"/>
          <w:szCs w:val="24"/>
        </w:rPr>
      </w:pPr>
      <w:r w:rsidRPr="00ED5557">
        <w:rPr>
          <w:rFonts w:ascii="Calisto MT" w:hAnsi="Calisto MT"/>
          <w:sz w:val="24"/>
          <w:szCs w:val="24"/>
        </w:rPr>
        <w:t xml:space="preserve">While development has been defined using economic terms, </w:t>
      </w:r>
      <w:r w:rsidR="00653F5B" w:rsidRPr="00ED5557">
        <w:rPr>
          <w:rFonts w:ascii="Calisto MT" w:hAnsi="Calisto MT"/>
          <w:sz w:val="24"/>
          <w:szCs w:val="24"/>
        </w:rPr>
        <w:t>indicators</w:t>
      </w:r>
      <w:r w:rsidRPr="00ED5557">
        <w:rPr>
          <w:rFonts w:ascii="Calisto MT" w:hAnsi="Calisto MT"/>
          <w:sz w:val="24"/>
          <w:szCs w:val="24"/>
        </w:rPr>
        <w:t xml:space="preserve"> and parameters</w:t>
      </w:r>
      <w:r w:rsidR="00653F5B" w:rsidRPr="00ED5557">
        <w:rPr>
          <w:rFonts w:ascii="Calisto MT" w:hAnsi="Calisto MT"/>
          <w:sz w:val="24"/>
          <w:szCs w:val="24"/>
        </w:rPr>
        <w:t>,</w:t>
      </w:r>
      <w:r w:rsidRPr="00ED5557">
        <w:rPr>
          <w:rFonts w:ascii="Calisto MT" w:hAnsi="Calisto MT"/>
          <w:sz w:val="24"/>
          <w:szCs w:val="24"/>
        </w:rPr>
        <w:t xml:space="preserve"> from a human rights perspective, </w:t>
      </w:r>
      <w:r w:rsidR="00653F5B" w:rsidRPr="00ED5557">
        <w:rPr>
          <w:rFonts w:ascii="Calisto MT" w:hAnsi="Calisto MT"/>
          <w:sz w:val="24"/>
          <w:szCs w:val="24"/>
        </w:rPr>
        <w:t>“</w:t>
      </w:r>
      <w:r w:rsidR="00653F5B" w:rsidRPr="00ED5557">
        <w:rPr>
          <w:rFonts w:ascii="Calisto MT" w:hAnsi="Calisto MT"/>
          <w:b/>
          <w:bCs/>
          <w:sz w:val="24"/>
          <w:szCs w:val="24"/>
        </w:rPr>
        <w:t>development is a human right that belongs to everyone, individually and collectively. Everyone is “entitled to participate in, contribute to, and enjoy economic, social, cultural and political development, in which all human rights and fundamental freedoms can be fully realized,”</w:t>
      </w:r>
      <w:r w:rsidRPr="00ED5557">
        <w:rPr>
          <w:rFonts w:ascii="Calisto MT" w:hAnsi="Calisto MT"/>
          <w:sz w:val="24"/>
          <w:szCs w:val="24"/>
        </w:rPr>
        <w:t xml:space="preserve"> </w:t>
      </w:r>
      <w:r w:rsidR="00653F5B" w:rsidRPr="00ED5557">
        <w:rPr>
          <w:rFonts w:ascii="Calisto MT" w:hAnsi="Calisto MT"/>
          <w:sz w:val="24"/>
          <w:szCs w:val="24"/>
        </w:rPr>
        <w:t xml:space="preserve">the UN declaration on the right to development. </w:t>
      </w:r>
    </w:p>
    <w:p w14:paraId="16BE8A71" w14:textId="77777777" w:rsidR="00420895" w:rsidRPr="00ED5557" w:rsidRDefault="00420895" w:rsidP="00420895">
      <w:pPr>
        <w:pStyle w:val="ListParagraph"/>
        <w:ind w:left="1080"/>
        <w:jc w:val="both"/>
        <w:rPr>
          <w:rFonts w:ascii="Calisto MT" w:hAnsi="Calisto MT"/>
          <w:sz w:val="24"/>
          <w:szCs w:val="24"/>
        </w:rPr>
      </w:pPr>
    </w:p>
    <w:p w14:paraId="382E9ECD" w14:textId="77777777" w:rsidR="00420895" w:rsidRPr="00ED5557" w:rsidRDefault="008F7307" w:rsidP="008F7307">
      <w:pPr>
        <w:pStyle w:val="ListParagraph"/>
        <w:ind w:left="1080"/>
        <w:jc w:val="both"/>
        <w:rPr>
          <w:rFonts w:ascii="Calisto MT" w:hAnsi="Calisto MT"/>
          <w:sz w:val="24"/>
          <w:szCs w:val="24"/>
        </w:rPr>
      </w:pPr>
      <w:r w:rsidRPr="00ED5557">
        <w:rPr>
          <w:rFonts w:ascii="Calisto MT" w:hAnsi="Calisto MT"/>
          <w:sz w:val="24"/>
          <w:szCs w:val="24"/>
        </w:rPr>
        <w:t xml:space="preserve">Development has key elements that make it compliant to human rights; it must be people </w:t>
      </w:r>
      <w:r w:rsidR="005B10C4" w:rsidRPr="00ED5557">
        <w:rPr>
          <w:rFonts w:ascii="Calisto MT" w:hAnsi="Calisto MT"/>
          <w:sz w:val="24"/>
          <w:szCs w:val="24"/>
        </w:rPr>
        <w:t>centred</w:t>
      </w:r>
      <w:r w:rsidRPr="00ED5557">
        <w:rPr>
          <w:rFonts w:ascii="Calisto MT" w:hAnsi="Calisto MT"/>
          <w:sz w:val="24"/>
          <w:szCs w:val="24"/>
        </w:rPr>
        <w:t xml:space="preserve">, be based on </w:t>
      </w:r>
      <w:r w:rsidR="00420895" w:rsidRPr="00ED5557">
        <w:rPr>
          <w:rFonts w:ascii="Calisto MT" w:hAnsi="Calisto MT"/>
          <w:sz w:val="24"/>
          <w:szCs w:val="24"/>
        </w:rPr>
        <w:t>the Human Rights - Based Approach</w:t>
      </w:r>
      <w:r w:rsidRPr="00ED5557">
        <w:rPr>
          <w:rFonts w:ascii="Calisto MT" w:hAnsi="Calisto MT"/>
          <w:sz w:val="24"/>
          <w:szCs w:val="24"/>
        </w:rPr>
        <w:t>, invoke participation, equity, non -discrimination and self-determination. In the absence of these elements and support by the human rights instruments as codified in international law, then development loses the human rights touch.</w:t>
      </w:r>
    </w:p>
    <w:p w14:paraId="2E556061" w14:textId="77775617" w:rsidR="008F7307" w:rsidRPr="00ED5557" w:rsidRDefault="008F7307" w:rsidP="00420895">
      <w:pPr>
        <w:jc w:val="both"/>
        <w:rPr>
          <w:rFonts w:ascii="Calisto MT" w:hAnsi="Calisto MT"/>
          <w:sz w:val="24"/>
          <w:szCs w:val="24"/>
        </w:rPr>
      </w:pPr>
      <w:r w:rsidRPr="00ED5557">
        <w:rPr>
          <w:rFonts w:ascii="Calisto MT" w:hAnsi="Calisto MT"/>
          <w:sz w:val="24"/>
          <w:szCs w:val="24"/>
        </w:rPr>
        <w:t xml:space="preserve"> </w:t>
      </w:r>
    </w:p>
    <w:p w14:paraId="31C4B4F4" w14:textId="3288A0F8" w:rsidR="008F7307" w:rsidRPr="00ED5557" w:rsidRDefault="008F7307" w:rsidP="008F7307">
      <w:pPr>
        <w:pStyle w:val="ListParagraph"/>
        <w:numPr>
          <w:ilvl w:val="0"/>
          <w:numId w:val="4"/>
        </w:numPr>
        <w:jc w:val="both"/>
        <w:rPr>
          <w:rFonts w:ascii="Calisto MT" w:hAnsi="Calisto MT"/>
          <w:sz w:val="24"/>
          <w:szCs w:val="24"/>
        </w:rPr>
      </w:pPr>
      <w:r w:rsidRPr="00ED5557">
        <w:rPr>
          <w:rFonts w:ascii="Calisto MT" w:hAnsi="Calisto MT"/>
          <w:sz w:val="24"/>
          <w:szCs w:val="24"/>
        </w:rPr>
        <w:t>Kenya</w:t>
      </w:r>
      <w:r w:rsidR="00FE1A50" w:rsidRPr="00ED5557">
        <w:rPr>
          <w:rFonts w:ascii="Calisto MT" w:hAnsi="Calisto MT"/>
          <w:sz w:val="24"/>
          <w:szCs w:val="24"/>
        </w:rPr>
        <w:t>’s</w:t>
      </w:r>
      <w:r w:rsidRPr="00ED5557">
        <w:rPr>
          <w:rFonts w:ascii="Calisto MT" w:hAnsi="Calisto MT"/>
          <w:sz w:val="24"/>
          <w:szCs w:val="24"/>
        </w:rPr>
        <w:t xml:space="preserve"> development </w:t>
      </w:r>
      <w:r w:rsidR="00420895" w:rsidRPr="00ED5557">
        <w:rPr>
          <w:rFonts w:ascii="Calisto MT" w:hAnsi="Calisto MT"/>
          <w:sz w:val="24"/>
          <w:szCs w:val="24"/>
        </w:rPr>
        <w:t xml:space="preserve">is </w:t>
      </w:r>
      <w:r w:rsidRPr="00ED5557">
        <w:rPr>
          <w:rFonts w:ascii="Calisto MT" w:hAnsi="Calisto MT"/>
          <w:sz w:val="24"/>
          <w:szCs w:val="24"/>
        </w:rPr>
        <w:t>model</w:t>
      </w:r>
      <w:r w:rsidR="005B10C4" w:rsidRPr="00ED5557">
        <w:rPr>
          <w:rFonts w:ascii="Calisto MT" w:hAnsi="Calisto MT"/>
          <w:sz w:val="24"/>
          <w:szCs w:val="24"/>
        </w:rPr>
        <w:t>l</w:t>
      </w:r>
      <w:r w:rsidR="00FE1A50" w:rsidRPr="00ED5557">
        <w:rPr>
          <w:rFonts w:ascii="Calisto MT" w:hAnsi="Calisto MT"/>
          <w:sz w:val="24"/>
          <w:szCs w:val="24"/>
        </w:rPr>
        <w:t>ed around three key pillars: Eco</w:t>
      </w:r>
      <w:r w:rsidR="00420895" w:rsidRPr="00ED5557">
        <w:rPr>
          <w:rFonts w:ascii="Calisto MT" w:hAnsi="Calisto MT"/>
          <w:sz w:val="24"/>
          <w:szCs w:val="24"/>
        </w:rPr>
        <w:t>nomic, Social and political. This</w:t>
      </w:r>
      <w:r w:rsidR="00FE1A50" w:rsidRPr="00ED5557">
        <w:rPr>
          <w:rFonts w:ascii="Calisto MT" w:hAnsi="Calisto MT"/>
          <w:sz w:val="24"/>
          <w:szCs w:val="24"/>
        </w:rPr>
        <w:t xml:space="preserve"> is espoused through</w:t>
      </w:r>
      <w:r w:rsidR="00420895" w:rsidRPr="00ED5557">
        <w:rPr>
          <w:rFonts w:ascii="Calisto MT" w:hAnsi="Calisto MT"/>
          <w:sz w:val="24"/>
          <w:szCs w:val="24"/>
        </w:rPr>
        <w:t xml:space="preserve"> the development</w:t>
      </w:r>
      <w:r w:rsidR="00FE1A50" w:rsidRPr="00ED5557">
        <w:rPr>
          <w:rFonts w:ascii="Calisto MT" w:hAnsi="Calisto MT"/>
          <w:sz w:val="24"/>
          <w:szCs w:val="24"/>
        </w:rPr>
        <w:t xml:space="preserve"> blue print christened Vision 2030</w:t>
      </w:r>
      <w:r w:rsidR="00420895" w:rsidRPr="00ED5557">
        <w:rPr>
          <w:rFonts w:ascii="Calisto MT" w:hAnsi="Calisto MT"/>
          <w:sz w:val="24"/>
          <w:szCs w:val="24"/>
        </w:rPr>
        <w:t>.</w:t>
      </w:r>
      <w:r w:rsidR="00420895" w:rsidRPr="00ED5557">
        <w:rPr>
          <w:rStyle w:val="FootnoteReference"/>
          <w:rFonts w:ascii="Calisto MT" w:hAnsi="Calisto MT"/>
          <w:sz w:val="24"/>
          <w:szCs w:val="24"/>
        </w:rPr>
        <w:footnoteReference w:id="1"/>
      </w:r>
      <w:r w:rsidR="00FE1A50" w:rsidRPr="00ED5557">
        <w:rPr>
          <w:rFonts w:ascii="Calisto MT" w:hAnsi="Calisto MT"/>
          <w:sz w:val="24"/>
          <w:szCs w:val="24"/>
        </w:rPr>
        <w:t xml:space="preserve"> While the vision was formulated before Agenda 2030 (SDGs), it has key </w:t>
      </w:r>
      <w:r w:rsidR="00877B34" w:rsidRPr="00ED5557">
        <w:rPr>
          <w:rFonts w:ascii="Calisto MT" w:hAnsi="Calisto MT"/>
          <w:sz w:val="24"/>
          <w:szCs w:val="24"/>
        </w:rPr>
        <w:t>ingredients</w:t>
      </w:r>
      <w:r w:rsidR="00FE1A50" w:rsidRPr="00ED5557">
        <w:rPr>
          <w:rFonts w:ascii="Calisto MT" w:hAnsi="Calisto MT"/>
          <w:sz w:val="24"/>
          <w:szCs w:val="24"/>
        </w:rPr>
        <w:t xml:space="preserve"> that can be compared to the 2030 agenda. Again</w:t>
      </w:r>
      <w:r w:rsidR="00877B34" w:rsidRPr="00ED5557">
        <w:rPr>
          <w:rFonts w:ascii="Calisto MT" w:hAnsi="Calisto MT"/>
          <w:sz w:val="24"/>
          <w:szCs w:val="24"/>
        </w:rPr>
        <w:t>,</w:t>
      </w:r>
      <w:r w:rsidR="00FE1A50" w:rsidRPr="00ED5557">
        <w:rPr>
          <w:rFonts w:ascii="Calisto MT" w:hAnsi="Calisto MT"/>
          <w:sz w:val="24"/>
          <w:szCs w:val="24"/>
        </w:rPr>
        <w:t xml:space="preserve"> it was develop</w:t>
      </w:r>
      <w:r w:rsidR="00877B34" w:rsidRPr="00ED5557">
        <w:rPr>
          <w:rFonts w:ascii="Calisto MT" w:hAnsi="Calisto MT"/>
          <w:sz w:val="24"/>
          <w:szCs w:val="24"/>
        </w:rPr>
        <w:t>e</w:t>
      </w:r>
      <w:r w:rsidR="00FE1A50" w:rsidRPr="00ED5557">
        <w:rPr>
          <w:rFonts w:ascii="Calisto MT" w:hAnsi="Calisto MT"/>
          <w:sz w:val="24"/>
          <w:szCs w:val="24"/>
        </w:rPr>
        <w:t xml:space="preserve">d </w:t>
      </w:r>
      <w:r w:rsidR="00877B34" w:rsidRPr="00ED5557">
        <w:rPr>
          <w:rFonts w:ascii="Calisto MT" w:hAnsi="Calisto MT"/>
          <w:sz w:val="24"/>
          <w:szCs w:val="24"/>
        </w:rPr>
        <w:t xml:space="preserve">as the world was </w:t>
      </w:r>
      <w:r w:rsidR="00FE1A50" w:rsidRPr="00ED5557">
        <w:rPr>
          <w:rFonts w:ascii="Calisto MT" w:hAnsi="Calisto MT"/>
          <w:sz w:val="24"/>
          <w:szCs w:val="24"/>
        </w:rPr>
        <w:t>in the process of implementation of the MDGS and h</w:t>
      </w:r>
      <w:r w:rsidR="00877B34" w:rsidRPr="00ED5557">
        <w:rPr>
          <w:rFonts w:ascii="Calisto MT" w:hAnsi="Calisto MT"/>
          <w:sz w:val="24"/>
          <w:szCs w:val="24"/>
        </w:rPr>
        <w:t>en</w:t>
      </w:r>
      <w:r w:rsidR="00FE1A50" w:rsidRPr="00ED5557">
        <w:rPr>
          <w:rFonts w:ascii="Calisto MT" w:hAnsi="Calisto MT"/>
          <w:sz w:val="24"/>
          <w:szCs w:val="24"/>
        </w:rPr>
        <w:t>ce had intentiona</w:t>
      </w:r>
      <w:r w:rsidR="00877B34" w:rsidRPr="00ED5557">
        <w:rPr>
          <w:rFonts w:ascii="Calisto MT" w:hAnsi="Calisto MT"/>
          <w:sz w:val="24"/>
          <w:szCs w:val="24"/>
        </w:rPr>
        <w:t>l</w:t>
      </w:r>
      <w:r w:rsidR="00FE1A50" w:rsidRPr="00ED5557">
        <w:rPr>
          <w:rFonts w:ascii="Calisto MT" w:hAnsi="Calisto MT"/>
          <w:sz w:val="24"/>
          <w:szCs w:val="24"/>
        </w:rPr>
        <w:t xml:space="preserve">/aspirations of ensuring the achievement of the MDGs, Indeed the MDGs are </w:t>
      </w:r>
      <w:r w:rsidR="00877B34" w:rsidRPr="00ED5557">
        <w:rPr>
          <w:rFonts w:ascii="Calisto MT" w:hAnsi="Calisto MT"/>
          <w:sz w:val="24"/>
          <w:szCs w:val="24"/>
        </w:rPr>
        <w:t>quoted in the Vision forme</w:t>
      </w:r>
      <w:r w:rsidR="00420895" w:rsidRPr="00ED5557">
        <w:rPr>
          <w:rFonts w:ascii="Calisto MT" w:hAnsi="Calisto MT"/>
          <w:sz w:val="24"/>
          <w:szCs w:val="24"/>
        </w:rPr>
        <w:t>d the motivation of Vison 2030.</w:t>
      </w:r>
    </w:p>
    <w:p w14:paraId="0974A1F6" w14:textId="77777777" w:rsidR="00420895" w:rsidRPr="00ED5557" w:rsidRDefault="00420895" w:rsidP="00420895">
      <w:pPr>
        <w:pStyle w:val="ListParagraph"/>
        <w:ind w:left="1080"/>
        <w:jc w:val="both"/>
        <w:rPr>
          <w:rFonts w:ascii="Calisto MT" w:hAnsi="Calisto MT"/>
          <w:sz w:val="24"/>
          <w:szCs w:val="24"/>
        </w:rPr>
      </w:pPr>
    </w:p>
    <w:p w14:paraId="5F7B671E" w14:textId="6C3C84CB" w:rsidR="00877B34" w:rsidRPr="00ED5557" w:rsidRDefault="00877B34" w:rsidP="00420895">
      <w:pPr>
        <w:pStyle w:val="ListParagraph"/>
        <w:numPr>
          <w:ilvl w:val="0"/>
          <w:numId w:val="4"/>
        </w:numPr>
        <w:jc w:val="both"/>
        <w:rPr>
          <w:rFonts w:ascii="Calisto MT" w:hAnsi="Calisto MT"/>
          <w:sz w:val="24"/>
          <w:szCs w:val="24"/>
        </w:rPr>
      </w:pPr>
      <w:r w:rsidRPr="00ED5557">
        <w:rPr>
          <w:rFonts w:ascii="Calisto MT" w:hAnsi="Calisto MT"/>
          <w:sz w:val="24"/>
          <w:szCs w:val="24"/>
        </w:rPr>
        <w:t xml:space="preserve">While the development model does not have equivalent targets and </w:t>
      </w:r>
      <w:r w:rsidR="005B10C4" w:rsidRPr="00ED5557">
        <w:rPr>
          <w:rFonts w:ascii="Calisto MT" w:hAnsi="Calisto MT"/>
          <w:sz w:val="24"/>
          <w:szCs w:val="24"/>
        </w:rPr>
        <w:t>indicators</w:t>
      </w:r>
      <w:r w:rsidRPr="00ED5557">
        <w:rPr>
          <w:rFonts w:ascii="Calisto MT" w:hAnsi="Calisto MT"/>
          <w:sz w:val="24"/>
          <w:szCs w:val="24"/>
        </w:rPr>
        <w:t xml:space="preserve"> as contained in the SDGs, Vision 2030 has key elements of sustainability, among them the </w:t>
      </w:r>
      <w:r w:rsidR="005B10C4" w:rsidRPr="00ED5557">
        <w:rPr>
          <w:rFonts w:ascii="Calisto MT" w:hAnsi="Calisto MT"/>
          <w:sz w:val="24"/>
          <w:szCs w:val="24"/>
        </w:rPr>
        <w:t>recognition</w:t>
      </w:r>
      <w:r w:rsidRPr="00ED5557">
        <w:rPr>
          <w:rFonts w:ascii="Calisto MT" w:hAnsi="Calisto MT"/>
          <w:sz w:val="24"/>
          <w:szCs w:val="24"/>
        </w:rPr>
        <w:t xml:space="preserve"> of the centrality of human </w:t>
      </w:r>
      <w:r w:rsidR="005B10C4" w:rsidRPr="00ED5557">
        <w:rPr>
          <w:rFonts w:ascii="Calisto MT" w:hAnsi="Calisto MT"/>
          <w:sz w:val="24"/>
          <w:szCs w:val="24"/>
        </w:rPr>
        <w:t>rights</w:t>
      </w:r>
      <w:r w:rsidRPr="00ED5557">
        <w:rPr>
          <w:rFonts w:ascii="Calisto MT" w:hAnsi="Calisto MT"/>
          <w:sz w:val="24"/>
          <w:szCs w:val="24"/>
        </w:rPr>
        <w:t xml:space="preserve"> as a key aim of development. The Vision is also cognisant of the importance of </w:t>
      </w:r>
      <w:r w:rsidR="005B10C4" w:rsidRPr="00ED5557">
        <w:rPr>
          <w:rFonts w:ascii="Calisto MT" w:hAnsi="Calisto MT"/>
          <w:sz w:val="24"/>
          <w:szCs w:val="24"/>
        </w:rPr>
        <w:t>environmental</w:t>
      </w:r>
      <w:r w:rsidRPr="00ED5557">
        <w:rPr>
          <w:rFonts w:ascii="Calisto MT" w:hAnsi="Calisto MT"/>
          <w:sz w:val="24"/>
          <w:szCs w:val="24"/>
        </w:rPr>
        <w:t xml:space="preserve"> su</w:t>
      </w:r>
      <w:r w:rsidR="005B10C4" w:rsidRPr="00ED5557">
        <w:rPr>
          <w:rFonts w:ascii="Calisto MT" w:hAnsi="Calisto MT"/>
          <w:sz w:val="24"/>
          <w:szCs w:val="24"/>
        </w:rPr>
        <w:t>s</w:t>
      </w:r>
      <w:r w:rsidRPr="00ED5557">
        <w:rPr>
          <w:rFonts w:ascii="Calisto MT" w:hAnsi="Calisto MT"/>
          <w:sz w:val="24"/>
          <w:szCs w:val="24"/>
        </w:rPr>
        <w:t>tainability, strong in</w:t>
      </w:r>
      <w:r w:rsidR="005B10C4" w:rsidRPr="00ED5557">
        <w:rPr>
          <w:rFonts w:ascii="Calisto MT" w:hAnsi="Calisto MT"/>
          <w:sz w:val="24"/>
          <w:szCs w:val="24"/>
        </w:rPr>
        <w:t>s</w:t>
      </w:r>
      <w:r w:rsidRPr="00ED5557">
        <w:rPr>
          <w:rFonts w:ascii="Calisto MT" w:hAnsi="Calisto MT"/>
          <w:sz w:val="24"/>
          <w:szCs w:val="24"/>
        </w:rPr>
        <w:t xml:space="preserve">titutions to carry out the development and also the fact that participation, gender equality and </w:t>
      </w:r>
      <w:r w:rsidR="005B10C4" w:rsidRPr="00ED5557">
        <w:rPr>
          <w:rFonts w:ascii="Calisto MT" w:hAnsi="Calisto MT"/>
          <w:sz w:val="24"/>
          <w:szCs w:val="24"/>
        </w:rPr>
        <w:t xml:space="preserve">political stability are key in achieving the Vision. </w:t>
      </w:r>
    </w:p>
    <w:p w14:paraId="1E98BA42" w14:textId="77777777" w:rsidR="006B4FAA" w:rsidRPr="00ED5557" w:rsidRDefault="006B4FAA" w:rsidP="006B4FAA">
      <w:pPr>
        <w:pStyle w:val="ListParagraph"/>
        <w:rPr>
          <w:rFonts w:ascii="Calisto MT" w:hAnsi="Calisto MT"/>
          <w:sz w:val="24"/>
          <w:szCs w:val="24"/>
        </w:rPr>
      </w:pPr>
    </w:p>
    <w:p w14:paraId="68BF4A38" w14:textId="77777777" w:rsidR="006B4FAA" w:rsidRPr="00ED5557" w:rsidRDefault="006B4FAA" w:rsidP="006B4FAA">
      <w:pPr>
        <w:pStyle w:val="ListParagraph"/>
        <w:ind w:left="1080"/>
        <w:jc w:val="both"/>
        <w:rPr>
          <w:rFonts w:ascii="Calisto MT" w:hAnsi="Calisto MT"/>
          <w:sz w:val="24"/>
          <w:szCs w:val="24"/>
        </w:rPr>
      </w:pPr>
    </w:p>
    <w:p w14:paraId="77D8E553" w14:textId="7BDDB2FB" w:rsidR="005B10C4" w:rsidRPr="00ED5557" w:rsidRDefault="005B10C4" w:rsidP="005B10C4">
      <w:pPr>
        <w:pStyle w:val="ListParagraph"/>
        <w:numPr>
          <w:ilvl w:val="0"/>
          <w:numId w:val="4"/>
        </w:numPr>
        <w:jc w:val="both"/>
        <w:rPr>
          <w:rFonts w:ascii="Calisto MT" w:hAnsi="Calisto MT"/>
          <w:sz w:val="24"/>
          <w:szCs w:val="24"/>
        </w:rPr>
      </w:pPr>
      <w:r w:rsidRPr="00ED5557">
        <w:rPr>
          <w:rFonts w:ascii="Calisto MT" w:hAnsi="Calisto MT"/>
          <w:sz w:val="24"/>
          <w:szCs w:val="24"/>
        </w:rPr>
        <w:lastRenderedPageBreak/>
        <w:t>While the government is the driver of the development process and also its monitoring, other actors take active roles in monitoring and reporting on development. This inclu</w:t>
      </w:r>
      <w:r w:rsidR="00063C36" w:rsidRPr="00ED5557">
        <w:rPr>
          <w:rFonts w:ascii="Calisto MT" w:hAnsi="Calisto MT"/>
          <w:sz w:val="24"/>
          <w:szCs w:val="24"/>
        </w:rPr>
        <w:t>des</w:t>
      </w:r>
      <w:r w:rsidRPr="00ED5557">
        <w:rPr>
          <w:rFonts w:ascii="Calisto MT" w:hAnsi="Calisto MT"/>
          <w:sz w:val="24"/>
          <w:szCs w:val="24"/>
        </w:rPr>
        <w:t xml:space="preserve"> CSOs, Kenya National Commission on Human Rights</w:t>
      </w:r>
      <w:r w:rsidR="00063C36" w:rsidRPr="00ED5557">
        <w:rPr>
          <w:rFonts w:ascii="Calisto MT" w:hAnsi="Calisto MT"/>
          <w:sz w:val="24"/>
          <w:szCs w:val="24"/>
        </w:rPr>
        <w:t xml:space="preserve">, development partners, UN agencies and multilateral development agencies such as the World Bank. The Vision 2030 for example has </w:t>
      </w:r>
      <w:r w:rsidR="008143A4" w:rsidRPr="00ED5557">
        <w:rPr>
          <w:rFonts w:ascii="Calisto MT" w:hAnsi="Calisto MT"/>
          <w:sz w:val="24"/>
          <w:szCs w:val="24"/>
        </w:rPr>
        <w:t>5-year</w:t>
      </w:r>
      <w:r w:rsidR="00063C36" w:rsidRPr="00ED5557">
        <w:rPr>
          <w:rFonts w:ascii="Calisto MT" w:hAnsi="Calisto MT"/>
          <w:sz w:val="24"/>
          <w:szCs w:val="24"/>
        </w:rPr>
        <w:t xml:space="preserve"> Medium Term Plans </w:t>
      </w:r>
      <w:r w:rsidR="006B4FAA" w:rsidRPr="00ED5557">
        <w:rPr>
          <w:rFonts w:ascii="Calisto MT" w:hAnsi="Calisto MT"/>
          <w:sz w:val="24"/>
          <w:szCs w:val="24"/>
        </w:rPr>
        <w:t xml:space="preserve">(MTPs) </w:t>
      </w:r>
      <w:r w:rsidR="00063C36" w:rsidRPr="00ED5557">
        <w:rPr>
          <w:rFonts w:ascii="Calisto MT" w:hAnsi="Calisto MT"/>
          <w:sz w:val="24"/>
          <w:szCs w:val="24"/>
        </w:rPr>
        <w:t>which inform the priorities for the term but also measure the deficiencies of the preceding term</w:t>
      </w:r>
      <w:r w:rsidR="006B4FAA" w:rsidRPr="00ED5557">
        <w:rPr>
          <w:rFonts w:ascii="Calisto MT" w:hAnsi="Calisto MT"/>
          <w:sz w:val="24"/>
          <w:szCs w:val="24"/>
        </w:rPr>
        <w:t xml:space="preserve"> and are used for determine the priority areas for the next medium term plan. </w:t>
      </w:r>
      <w:r w:rsidR="00063C36" w:rsidRPr="00ED5557">
        <w:rPr>
          <w:rFonts w:ascii="Calisto MT" w:hAnsi="Calisto MT"/>
          <w:sz w:val="24"/>
          <w:szCs w:val="24"/>
        </w:rPr>
        <w:t xml:space="preserve">It is also noteworthy that other actors develop shadow reports and or identify human rights gaps during implementation </w:t>
      </w:r>
      <w:r w:rsidR="008143A4" w:rsidRPr="00ED5557">
        <w:rPr>
          <w:rFonts w:ascii="Calisto MT" w:hAnsi="Calisto MT"/>
          <w:sz w:val="24"/>
          <w:szCs w:val="24"/>
        </w:rPr>
        <w:t>and</w:t>
      </w:r>
      <w:r w:rsidR="00063C36" w:rsidRPr="00ED5557">
        <w:rPr>
          <w:rFonts w:ascii="Calisto MT" w:hAnsi="Calisto MT"/>
          <w:sz w:val="24"/>
          <w:szCs w:val="24"/>
        </w:rPr>
        <w:t xml:space="preserve"> development of the MTPs. The Development of the MTP is a very consultative process and includes several actors (state and non</w:t>
      </w:r>
      <w:r w:rsidR="008143A4" w:rsidRPr="00ED5557">
        <w:rPr>
          <w:rFonts w:ascii="Calisto MT" w:hAnsi="Calisto MT"/>
          <w:sz w:val="24"/>
          <w:szCs w:val="24"/>
        </w:rPr>
        <w:t xml:space="preserve"> -</w:t>
      </w:r>
      <w:r w:rsidR="00063C36" w:rsidRPr="00ED5557">
        <w:rPr>
          <w:rFonts w:ascii="Calisto MT" w:hAnsi="Calisto MT"/>
          <w:sz w:val="24"/>
          <w:szCs w:val="24"/>
        </w:rPr>
        <w:t xml:space="preserve"> State) in the development and monitorin</w:t>
      </w:r>
      <w:r w:rsidR="008143A4" w:rsidRPr="00ED5557">
        <w:rPr>
          <w:rFonts w:ascii="Calisto MT" w:hAnsi="Calisto MT"/>
          <w:sz w:val="24"/>
          <w:szCs w:val="24"/>
        </w:rPr>
        <w:t>g</w:t>
      </w:r>
      <w:r w:rsidR="00063C36" w:rsidRPr="00ED5557">
        <w:rPr>
          <w:rFonts w:ascii="Calisto MT" w:hAnsi="Calisto MT"/>
          <w:sz w:val="24"/>
          <w:szCs w:val="24"/>
        </w:rPr>
        <w:t xml:space="preserve"> and reporting of the realisation of the Vision.</w:t>
      </w:r>
      <w:r w:rsidR="006B4FAA" w:rsidRPr="00ED5557">
        <w:rPr>
          <w:rFonts w:ascii="Calisto MT" w:hAnsi="Calisto MT"/>
          <w:sz w:val="24"/>
          <w:szCs w:val="24"/>
        </w:rPr>
        <w:t xml:space="preserve"> </w:t>
      </w:r>
    </w:p>
    <w:p w14:paraId="03284418" w14:textId="77777777" w:rsidR="006B4FAA" w:rsidRPr="00ED5557" w:rsidRDefault="006B4FAA" w:rsidP="006B4FAA">
      <w:pPr>
        <w:pStyle w:val="ListParagraph"/>
        <w:ind w:left="1080"/>
        <w:jc w:val="both"/>
        <w:rPr>
          <w:rFonts w:ascii="Calisto MT" w:hAnsi="Calisto MT"/>
          <w:sz w:val="24"/>
          <w:szCs w:val="24"/>
        </w:rPr>
      </w:pPr>
    </w:p>
    <w:p w14:paraId="68CA83EC" w14:textId="5DD6D55B" w:rsidR="00063C36" w:rsidRPr="00ED5557" w:rsidRDefault="00063C36" w:rsidP="005B10C4">
      <w:pPr>
        <w:pStyle w:val="ListParagraph"/>
        <w:numPr>
          <w:ilvl w:val="0"/>
          <w:numId w:val="4"/>
        </w:numPr>
        <w:jc w:val="both"/>
        <w:rPr>
          <w:rFonts w:ascii="Calisto MT" w:hAnsi="Calisto MT"/>
          <w:sz w:val="24"/>
          <w:szCs w:val="24"/>
        </w:rPr>
      </w:pPr>
      <w:r w:rsidRPr="00ED5557">
        <w:rPr>
          <w:rFonts w:ascii="Calisto MT" w:hAnsi="Calisto MT"/>
          <w:sz w:val="24"/>
          <w:szCs w:val="24"/>
        </w:rPr>
        <w:t>The government of Kenya has fully integrated the SDGs into the Vision 2030</w:t>
      </w:r>
      <w:r w:rsidR="008143A4" w:rsidRPr="00ED5557">
        <w:rPr>
          <w:rFonts w:ascii="Calisto MT" w:hAnsi="Calisto MT"/>
          <w:sz w:val="24"/>
          <w:szCs w:val="24"/>
        </w:rPr>
        <w:t xml:space="preserve">, which has ensured that the progress made through Vision 2030 enhances the realisation of the SDGs. In the last 5 years, Kenya </w:t>
      </w:r>
      <w:r w:rsidR="006B4FAA" w:rsidRPr="00ED5557">
        <w:rPr>
          <w:rFonts w:ascii="Calisto MT" w:hAnsi="Calisto MT"/>
          <w:sz w:val="24"/>
          <w:szCs w:val="24"/>
        </w:rPr>
        <w:t>h</w:t>
      </w:r>
      <w:r w:rsidR="008143A4" w:rsidRPr="00ED5557">
        <w:rPr>
          <w:rFonts w:ascii="Calisto MT" w:hAnsi="Calisto MT"/>
          <w:sz w:val="24"/>
          <w:szCs w:val="24"/>
        </w:rPr>
        <w:t xml:space="preserve">as submitted 2 Voluntary National Reports </w:t>
      </w:r>
      <w:r w:rsidR="000F68DC" w:rsidRPr="00ED5557">
        <w:rPr>
          <w:rFonts w:ascii="Calisto MT" w:hAnsi="Calisto MT"/>
          <w:sz w:val="24"/>
          <w:szCs w:val="24"/>
        </w:rPr>
        <w:t>(</w:t>
      </w:r>
      <w:r w:rsidR="008143A4" w:rsidRPr="00ED5557">
        <w:rPr>
          <w:rFonts w:ascii="Calisto MT" w:hAnsi="Calisto MT"/>
          <w:sz w:val="24"/>
          <w:szCs w:val="24"/>
        </w:rPr>
        <w:t xml:space="preserve">VNR) which give the status of implementation of the SDGs. This reporting invites all interested stakeholders to input into the report. KNCHR take spart in this process and identifies areas where human </w:t>
      </w:r>
      <w:r w:rsidR="000F68DC" w:rsidRPr="00ED5557">
        <w:rPr>
          <w:rFonts w:ascii="Calisto MT" w:hAnsi="Calisto MT"/>
          <w:sz w:val="24"/>
          <w:szCs w:val="24"/>
        </w:rPr>
        <w:t>rights</w:t>
      </w:r>
      <w:r w:rsidR="008143A4" w:rsidRPr="00ED5557">
        <w:rPr>
          <w:rFonts w:ascii="Calisto MT" w:hAnsi="Calisto MT"/>
          <w:sz w:val="24"/>
          <w:szCs w:val="24"/>
        </w:rPr>
        <w:t xml:space="preserve"> have been left out or where they have been infringed while implementing the</w:t>
      </w:r>
      <w:r w:rsidR="006B4FAA" w:rsidRPr="00ED5557">
        <w:rPr>
          <w:rFonts w:ascii="Calisto MT" w:hAnsi="Calisto MT"/>
          <w:sz w:val="24"/>
          <w:szCs w:val="24"/>
        </w:rPr>
        <w:t xml:space="preserve"> agenda. Additionally, the Universal Peer Review (UPR) </w:t>
      </w:r>
      <w:r w:rsidR="008143A4" w:rsidRPr="00ED5557">
        <w:rPr>
          <w:rFonts w:ascii="Calisto MT" w:hAnsi="Calisto MT"/>
          <w:sz w:val="24"/>
          <w:szCs w:val="24"/>
        </w:rPr>
        <w:t>process gives further av</w:t>
      </w:r>
      <w:r w:rsidR="000F68DC" w:rsidRPr="00ED5557">
        <w:rPr>
          <w:rFonts w:ascii="Calisto MT" w:hAnsi="Calisto MT"/>
          <w:sz w:val="24"/>
          <w:szCs w:val="24"/>
        </w:rPr>
        <w:t>e</w:t>
      </w:r>
      <w:r w:rsidR="008143A4" w:rsidRPr="00ED5557">
        <w:rPr>
          <w:rFonts w:ascii="Calisto MT" w:hAnsi="Calisto MT"/>
          <w:sz w:val="24"/>
          <w:szCs w:val="24"/>
        </w:rPr>
        <w:t>nues</w:t>
      </w:r>
      <w:r w:rsidR="000F68DC" w:rsidRPr="00ED5557">
        <w:rPr>
          <w:rFonts w:ascii="Calisto MT" w:hAnsi="Calisto MT"/>
          <w:sz w:val="24"/>
          <w:szCs w:val="24"/>
        </w:rPr>
        <w:t xml:space="preserve"> </w:t>
      </w:r>
      <w:r w:rsidR="008143A4" w:rsidRPr="00ED5557">
        <w:rPr>
          <w:rFonts w:ascii="Calisto MT" w:hAnsi="Calisto MT"/>
          <w:sz w:val="24"/>
          <w:szCs w:val="24"/>
        </w:rPr>
        <w:t xml:space="preserve">to identify and seek </w:t>
      </w:r>
      <w:r w:rsidR="000F68DC" w:rsidRPr="00ED5557">
        <w:rPr>
          <w:rFonts w:ascii="Calisto MT" w:hAnsi="Calisto MT"/>
          <w:sz w:val="24"/>
          <w:szCs w:val="24"/>
        </w:rPr>
        <w:t xml:space="preserve">redress for human rights oversights in the development model of Kenya. </w:t>
      </w:r>
    </w:p>
    <w:p w14:paraId="0347A170" w14:textId="77777777" w:rsidR="006B4FAA" w:rsidRPr="00ED5557" w:rsidRDefault="006B4FAA" w:rsidP="006B4FAA">
      <w:pPr>
        <w:pStyle w:val="ListParagraph"/>
        <w:rPr>
          <w:rFonts w:ascii="Calisto MT" w:hAnsi="Calisto MT"/>
          <w:sz w:val="24"/>
          <w:szCs w:val="24"/>
        </w:rPr>
      </w:pPr>
    </w:p>
    <w:p w14:paraId="01ED1771" w14:textId="319708BE" w:rsidR="005207ED" w:rsidRPr="00ED5557" w:rsidRDefault="000F68DC" w:rsidP="005B10C4">
      <w:pPr>
        <w:pStyle w:val="ListParagraph"/>
        <w:numPr>
          <w:ilvl w:val="0"/>
          <w:numId w:val="4"/>
        </w:numPr>
        <w:jc w:val="both"/>
        <w:rPr>
          <w:rFonts w:ascii="Calisto MT" w:hAnsi="Calisto MT"/>
          <w:sz w:val="24"/>
          <w:szCs w:val="24"/>
        </w:rPr>
      </w:pPr>
      <w:r w:rsidRPr="00ED5557">
        <w:rPr>
          <w:rFonts w:ascii="Calisto MT" w:hAnsi="Calisto MT"/>
          <w:sz w:val="24"/>
          <w:szCs w:val="24"/>
        </w:rPr>
        <w:t xml:space="preserve">The development process has however not been without key human rights </w:t>
      </w:r>
      <w:r w:rsidR="006B4FAA" w:rsidRPr="00ED5557">
        <w:rPr>
          <w:rFonts w:ascii="Calisto MT" w:hAnsi="Calisto MT"/>
          <w:sz w:val="24"/>
          <w:szCs w:val="24"/>
        </w:rPr>
        <w:t xml:space="preserve">challenges, </w:t>
      </w:r>
      <w:r w:rsidRPr="00ED5557">
        <w:rPr>
          <w:rFonts w:ascii="Calisto MT" w:hAnsi="Calisto MT"/>
          <w:sz w:val="24"/>
          <w:szCs w:val="24"/>
        </w:rPr>
        <w:t xml:space="preserve">oversights or negative impacts. In many cases, the development projects have had massive displacement of people without adequate compensation or consultation </w:t>
      </w:r>
      <w:r w:rsidR="006B4FAA" w:rsidRPr="00ED5557">
        <w:rPr>
          <w:rFonts w:ascii="Calisto MT" w:hAnsi="Calisto MT"/>
          <w:sz w:val="24"/>
          <w:szCs w:val="24"/>
        </w:rPr>
        <w:t>with regard</w:t>
      </w:r>
      <w:r w:rsidRPr="00ED5557">
        <w:rPr>
          <w:rFonts w:ascii="Calisto MT" w:hAnsi="Calisto MT"/>
          <w:sz w:val="24"/>
          <w:szCs w:val="24"/>
        </w:rPr>
        <w:t xml:space="preserve"> to their lands. This has </w:t>
      </w:r>
      <w:r w:rsidR="006B4FAA" w:rsidRPr="00ED5557">
        <w:rPr>
          <w:rFonts w:ascii="Calisto MT" w:hAnsi="Calisto MT"/>
          <w:sz w:val="24"/>
          <w:szCs w:val="24"/>
        </w:rPr>
        <w:t xml:space="preserve">in </w:t>
      </w:r>
      <w:r w:rsidRPr="00ED5557">
        <w:rPr>
          <w:rFonts w:ascii="Calisto MT" w:hAnsi="Calisto MT"/>
          <w:sz w:val="24"/>
          <w:szCs w:val="24"/>
        </w:rPr>
        <w:t>many instances also had great impacts of cultural rights of communities and individuals. For example</w:t>
      </w:r>
      <w:r w:rsidR="00AA27F1" w:rsidRPr="00ED5557">
        <w:rPr>
          <w:rFonts w:ascii="Calisto MT" w:hAnsi="Calisto MT"/>
          <w:sz w:val="24"/>
          <w:szCs w:val="24"/>
        </w:rPr>
        <w:t xml:space="preserve">, projects have been insensitive to the grave sites of people, moved people without resettling them in a manner that would enable them continue practising their cultural rights, religious ceremonies and also to access ancestral shrines or even medicinal flora. </w:t>
      </w:r>
    </w:p>
    <w:p w14:paraId="1277BAF7" w14:textId="77777777" w:rsidR="00812275" w:rsidRPr="00ED5557" w:rsidRDefault="00812275" w:rsidP="00812275">
      <w:pPr>
        <w:pStyle w:val="ListParagraph"/>
        <w:rPr>
          <w:rFonts w:ascii="Calisto MT" w:hAnsi="Calisto MT"/>
          <w:sz w:val="24"/>
          <w:szCs w:val="24"/>
        </w:rPr>
      </w:pPr>
    </w:p>
    <w:p w14:paraId="0A371FF8" w14:textId="77777777" w:rsidR="00812275" w:rsidRPr="00ED5557" w:rsidRDefault="00812275" w:rsidP="00812275">
      <w:pPr>
        <w:pStyle w:val="ListParagraph"/>
        <w:ind w:left="1080"/>
        <w:jc w:val="both"/>
        <w:rPr>
          <w:rFonts w:ascii="Calisto MT" w:hAnsi="Calisto MT"/>
          <w:sz w:val="24"/>
          <w:szCs w:val="24"/>
        </w:rPr>
      </w:pPr>
    </w:p>
    <w:p w14:paraId="3F6C1949" w14:textId="77777777" w:rsidR="005207ED" w:rsidRPr="00ED5557" w:rsidRDefault="005207ED" w:rsidP="005207ED">
      <w:pPr>
        <w:pStyle w:val="ListParagraph"/>
        <w:rPr>
          <w:rFonts w:ascii="Calisto MT" w:hAnsi="Calisto MT"/>
          <w:sz w:val="24"/>
          <w:szCs w:val="24"/>
        </w:rPr>
      </w:pPr>
    </w:p>
    <w:p w14:paraId="3E1C3EC7" w14:textId="4E0A7310" w:rsidR="000F68DC" w:rsidRPr="00ED5557" w:rsidRDefault="00AA27F1" w:rsidP="005B10C4">
      <w:pPr>
        <w:pStyle w:val="ListParagraph"/>
        <w:numPr>
          <w:ilvl w:val="0"/>
          <w:numId w:val="4"/>
        </w:numPr>
        <w:jc w:val="both"/>
        <w:rPr>
          <w:rFonts w:ascii="Calisto MT" w:hAnsi="Calisto MT"/>
          <w:sz w:val="24"/>
          <w:szCs w:val="24"/>
        </w:rPr>
      </w:pPr>
      <w:r w:rsidRPr="00ED5557">
        <w:rPr>
          <w:rFonts w:ascii="Calisto MT" w:hAnsi="Calisto MT"/>
          <w:sz w:val="24"/>
          <w:szCs w:val="24"/>
        </w:rPr>
        <w:t xml:space="preserve">Environmental impacts have also been adverse in some localities. </w:t>
      </w:r>
      <w:r w:rsidR="006B4FAA" w:rsidRPr="00ED5557">
        <w:rPr>
          <w:rFonts w:ascii="Calisto MT" w:hAnsi="Calisto MT"/>
          <w:sz w:val="24"/>
          <w:szCs w:val="24"/>
        </w:rPr>
        <w:t>For instance, pursuit of conservation efforts by the Government of Kenya in Mau forest saw the eviction of members of the Ogiek community who later successfully challenged the action by the state before the African Court on Human and Peoples Rights. Among other findings, the African Court was satisfied that the eviction (by the State) of the Ogiek violated among others the rights of the Ogiek to Culture and Development.</w:t>
      </w:r>
      <w:r w:rsidR="005207ED" w:rsidRPr="00ED5557">
        <w:rPr>
          <w:rStyle w:val="FootnoteReference"/>
          <w:rFonts w:ascii="Calisto MT" w:hAnsi="Calisto MT"/>
          <w:sz w:val="24"/>
          <w:szCs w:val="24"/>
        </w:rPr>
        <w:footnoteReference w:id="2"/>
      </w:r>
      <w:r w:rsidR="006B4FAA" w:rsidRPr="00ED5557">
        <w:rPr>
          <w:rFonts w:ascii="Calisto MT" w:hAnsi="Calisto MT"/>
          <w:sz w:val="24"/>
          <w:szCs w:val="24"/>
        </w:rPr>
        <w:t xml:space="preserve"> </w:t>
      </w:r>
    </w:p>
    <w:p w14:paraId="709D39FD" w14:textId="77777777" w:rsidR="006B4FAA" w:rsidRPr="00ED5557" w:rsidRDefault="006B4FAA" w:rsidP="006B4FAA">
      <w:pPr>
        <w:pStyle w:val="ListParagraph"/>
        <w:ind w:left="1080"/>
        <w:jc w:val="both"/>
        <w:rPr>
          <w:rFonts w:ascii="Calisto MT" w:hAnsi="Calisto MT"/>
          <w:sz w:val="24"/>
          <w:szCs w:val="24"/>
        </w:rPr>
      </w:pPr>
    </w:p>
    <w:p w14:paraId="2C20CE6B" w14:textId="0D91D942" w:rsidR="005C5D83" w:rsidRPr="00ED5557" w:rsidRDefault="00AA27F1" w:rsidP="00DC5149">
      <w:pPr>
        <w:pStyle w:val="ListParagraph"/>
        <w:numPr>
          <w:ilvl w:val="0"/>
          <w:numId w:val="4"/>
        </w:numPr>
        <w:jc w:val="both"/>
        <w:rPr>
          <w:rFonts w:ascii="Calisto MT" w:hAnsi="Calisto MT"/>
          <w:sz w:val="24"/>
          <w:szCs w:val="24"/>
        </w:rPr>
      </w:pPr>
      <w:r w:rsidRPr="00ED5557">
        <w:rPr>
          <w:rFonts w:ascii="Calisto MT" w:hAnsi="Calisto MT"/>
          <w:sz w:val="24"/>
          <w:szCs w:val="24"/>
        </w:rPr>
        <w:lastRenderedPageBreak/>
        <w:t>Multilateral</w:t>
      </w:r>
      <w:r w:rsidR="00C76040" w:rsidRPr="00ED5557">
        <w:rPr>
          <w:rFonts w:ascii="Calisto MT" w:hAnsi="Calisto MT"/>
          <w:sz w:val="24"/>
          <w:szCs w:val="24"/>
        </w:rPr>
        <w:t xml:space="preserve"> </w:t>
      </w:r>
      <w:r w:rsidRPr="00ED5557">
        <w:rPr>
          <w:rFonts w:ascii="Calisto MT" w:hAnsi="Calisto MT"/>
          <w:sz w:val="24"/>
          <w:szCs w:val="24"/>
        </w:rPr>
        <w:t xml:space="preserve">actors have also been cited for financing projects that have had negative human rights outcomes. </w:t>
      </w:r>
      <w:r w:rsidR="00C76040" w:rsidRPr="00ED5557">
        <w:rPr>
          <w:rFonts w:ascii="Calisto MT" w:hAnsi="Calisto MT"/>
          <w:sz w:val="24"/>
          <w:szCs w:val="24"/>
        </w:rPr>
        <w:t>Indeed,</w:t>
      </w:r>
      <w:r w:rsidRPr="00ED5557">
        <w:rPr>
          <w:rFonts w:ascii="Calisto MT" w:hAnsi="Calisto MT"/>
          <w:sz w:val="24"/>
          <w:szCs w:val="24"/>
        </w:rPr>
        <w:t xml:space="preserve"> some</w:t>
      </w:r>
      <w:r w:rsidR="005207ED" w:rsidRPr="00ED5557">
        <w:rPr>
          <w:rFonts w:ascii="Calisto MT" w:hAnsi="Calisto MT"/>
          <w:sz w:val="24"/>
          <w:szCs w:val="24"/>
        </w:rPr>
        <w:t xml:space="preserve"> development</w:t>
      </w:r>
      <w:r w:rsidRPr="00ED5557">
        <w:rPr>
          <w:rFonts w:ascii="Calisto MT" w:hAnsi="Calisto MT"/>
          <w:sz w:val="24"/>
          <w:szCs w:val="24"/>
        </w:rPr>
        <w:t xml:space="preserve"> projects have been stalled as a result of community rejection or reporting the negative </w:t>
      </w:r>
      <w:r w:rsidR="00C76040" w:rsidRPr="00ED5557">
        <w:rPr>
          <w:rFonts w:ascii="Calisto MT" w:hAnsi="Calisto MT"/>
          <w:sz w:val="24"/>
          <w:szCs w:val="24"/>
        </w:rPr>
        <w:t>impacts</w:t>
      </w:r>
      <w:r w:rsidRPr="00ED5557">
        <w:rPr>
          <w:rFonts w:ascii="Calisto MT" w:hAnsi="Calisto MT"/>
          <w:sz w:val="24"/>
          <w:szCs w:val="24"/>
        </w:rPr>
        <w:t xml:space="preserve"> to the said agencies hence leading to stoppages or delays in implementation.</w:t>
      </w:r>
      <w:r w:rsidR="00245FE2" w:rsidRPr="00ED5557">
        <w:rPr>
          <w:rStyle w:val="FootnoteReference"/>
          <w:rFonts w:ascii="Calisto MT" w:hAnsi="Calisto MT"/>
          <w:sz w:val="24"/>
          <w:szCs w:val="24"/>
        </w:rPr>
        <w:footnoteReference w:id="3"/>
      </w:r>
    </w:p>
    <w:sectPr w:rsidR="005C5D83" w:rsidRPr="00ED555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C6E1" w14:textId="77777777" w:rsidR="00B3562F" w:rsidRDefault="00B3562F" w:rsidP="000F68DC">
      <w:pPr>
        <w:spacing w:after="0" w:line="240" w:lineRule="auto"/>
      </w:pPr>
      <w:r>
        <w:separator/>
      </w:r>
    </w:p>
  </w:endnote>
  <w:endnote w:type="continuationSeparator" w:id="0">
    <w:p w14:paraId="2359BDEA" w14:textId="77777777" w:rsidR="00B3562F" w:rsidRDefault="00B3562F" w:rsidP="000F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425975"/>
      <w:docPartObj>
        <w:docPartGallery w:val="Page Numbers (Bottom of Page)"/>
        <w:docPartUnique/>
      </w:docPartObj>
    </w:sdtPr>
    <w:sdtEndPr>
      <w:rPr>
        <w:noProof/>
      </w:rPr>
    </w:sdtEndPr>
    <w:sdtContent>
      <w:p w14:paraId="31836627" w14:textId="129C0655" w:rsidR="000F68DC" w:rsidRDefault="000F68DC">
        <w:pPr>
          <w:pStyle w:val="Footer"/>
          <w:jc w:val="center"/>
        </w:pPr>
        <w:r>
          <w:fldChar w:fldCharType="begin"/>
        </w:r>
        <w:r>
          <w:instrText xml:space="preserve"> PAGE   \* MERGEFORMAT </w:instrText>
        </w:r>
        <w:r>
          <w:fldChar w:fldCharType="separate"/>
        </w:r>
        <w:r w:rsidR="00CE0CAB">
          <w:rPr>
            <w:noProof/>
          </w:rPr>
          <w:t>1</w:t>
        </w:r>
        <w:r>
          <w:rPr>
            <w:noProof/>
          </w:rPr>
          <w:fldChar w:fldCharType="end"/>
        </w:r>
      </w:p>
    </w:sdtContent>
  </w:sdt>
  <w:p w14:paraId="4A81099E" w14:textId="77777777" w:rsidR="000F68DC" w:rsidRDefault="000F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FBB2" w14:textId="77777777" w:rsidR="00B3562F" w:rsidRDefault="00B3562F" w:rsidP="000F68DC">
      <w:pPr>
        <w:spacing w:after="0" w:line="240" w:lineRule="auto"/>
      </w:pPr>
      <w:r>
        <w:separator/>
      </w:r>
    </w:p>
  </w:footnote>
  <w:footnote w:type="continuationSeparator" w:id="0">
    <w:p w14:paraId="4F75543A" w14:textId="77777777" w:rsidR="00B3562F" w:rsidRDefault="00B3562F" w:rsidP="000F68DC">
      <w:pPr>
        <w:spacing w:after="0" w:line="240" w:lineRule="auto"/>
      </w:pPr>
      <w:r>
        <w:continuationSeparator/>
      </w:r>
    </w:p>
  </w:footnote>
  <w:footnote w:id="1">
    <w:p w14:paraId="1297227B" w14:textId="1A96D59C" w:rsidR="00420895" w:rsidRPr="00420895" w:rsidRDefault="00420895">
      <w:pPr>
        <w:pStyle w:val="FootnoteText"/>
        <w:rPr>
          <w:lang w:val="en-US"/>
        </w:rPr>
      </w:pPr>
      <w:r>
        <w:rPr>
          <w:rStyle w:val="FootnoteReference"/>
        </w:rPr>
        <w:footnoteRef/>
      </w:r>
      <w:r>
        <w:t xml:space="preserve"> </w:t>
      </w:r>
      <w:r>
        <w:rPr>
          <w:rFonts w:ascii="Calisto MT" w:hAnsi="Calisto MT"/>
          <w:sz w:val="24"/>
          <w:szCs w:val="24"/>
        </w:rPr>
        <w:t xml:space="preserve">a </w:t>
      </w:r>
      <w:r>
        <w:t xml:space="preserve">long-term development blueprint for the country and is motivated by a collective aspiration for a better society by the year 2030”  - </w:t>
      </w:r>
      <w:r w:rsidR="006B4FAA">
        <w:t xml:space="preserve"> </w:t>
      </w:r>
      <w:r>
        <w:t xml:space="preserve">see </w:t>
      </w:r>
      <w:hyperlink r:id="rId1" w:history="1">
        <w:r w:rsidRPr="00126EA8">
          <w:rPr>
            <w:rStyle w:val="Hyperlink"/>
          </w:rPr>
          <w:t>https://vision2030.go.ke/about-vision-2030/</w:t>
        </w:r>
      </w:hyperlink>
      <w:r>
        <w:t xml:space="preserve"> for more details</w:t>
      </w:r>
    </w:p>
  </w:footnote>
  <w:footnote w:id="2">
    <w:p w14:paraId="25A13392" w14:textId="12C608B5" w:rsidR="005207ED" w:rsidRPr="005207ED" w:rsidRDefault="005207ED" w:rsidP="005207ED">
      <w:pPr>
        <w:pStyle w:val="FootnoteText"/>
        <w:rPr>
          <w:lang w:val="en-US"/>
        </w:rPr>
      </w:pPr>
      <w:r>
        <w:rPr>
          <w:rStyle w:val="FootnoteReference"/>
        </w:rPr>
        <w:footnoteRef/>
      </w:r>
      <w:r>
        <w:t xml:space="preserve"> Application 006/2012- African Commission on Human and Peoples Rights v Kenya especially Paragraphs 207-211</w:t>
      </w:r>
    </w:p>
  </w:footnote>
  <w:footnote w:id="3">
    <w:p w14:paraId="2C92BE30" w14:textId="03E82526" w:rsidR="00245FE2" w:rsidRPr="00245FE2" w:rsidRDefault="00245FE2">
      <w:pPr>
        <w:pStyle w:val="FootnoteText"/>
        <w:rPr>
          <w:lang w:val="en-US"/>
        </w:rPr>
      </w:pPr>
      <w:r>
        <w:rPr>
          <w:rStyle w:val="FootnoteReference"/>
        </w:rPr>
        <w:footnoteRef/>
      </w:r>
      <w:r>
        <w:t xml:space="preserve"> </w:t>
      </w:r>
      <w:hyperlink r:id="rId2" w:history="1">
        <w:r w:rsidRPr="00126EA8">
          <w:rPr>
            <w:rStyle w:val="Hyperlink"/>
          </w:rPr>
          <w:t>https://redd-monitor.org/2020/10/01/eu-scraps-us35-million-conservation-and-climate-change-programme-in-kenya-over-forced-evictions/</w:t>
        </w:r>
      </w:hyperlink>
      <w:r>
        <w:t xml:space="preserve"> see also: </w:t>
      </w:r>
      <w:hyperlink r:id="rId3" w:history="1">
        <w:r w:rsidRPr="00126EA8">
          <w:rPr>
            <w:rStyle w:val="Hyperlink"/>
          </w:rPr>
          <w:t>https://redd-monitor.org/2018/01/17/eu-suspends-funding-to-conservation-and-climate-project-in-kenya-one-day-after-a-kenya-forest-service-guard-shot-and-killed-an-indigenous-sengwer-man/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C81"/>
    <w:multiLevelType w:val="hybridMultilevel"/>
    <w:tmpl w:val="D06E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910"/>
    <w:multiLevelType w:val="hybridMultilevel"/>
    <w:tmpl w:val="543CF506"/>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A56439A"/>
    <w:multiLevelType w:val="hybridMultilevel"/>
    <w:tmpl w:val="8C4A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038EB"/>
    <w:multiLevelType w:val="hybridMultilevel"/>
    <w:tmpl w:val="543CF506"/>
    <w:lvl w:ilvl="0" w:tplc="08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866D6"/>
    <w:multiLevelType w:val="hybridMultilevel"/>
    <w:tmpl w:val="9D2AD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EB0EA9"/>
    <w:multiLevelType w:val="hybridMultilevel"/>
    <w:tmpl w:val="95A67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83"/>
    <w:rsid w:val="00063C36"/>
    <w:rsid w:val="000F68DC"/>
    <w:rsid w:val="00245FE2"/>
    <w:rsid w:val="00420895"/>
    <w:rsid w:val="005207ED"/>
    <w:rsid w:val="00543A50"/>
    <w:rsid w:val="0059552C"/>
    <w:rsid w:val="005B10C4"/>
    <w:rsid w:val="005C5D83"/>
    <w:rsid w:val="00653F5B"/>
    <w:rsid w:val="00667212"/>
    <w:rsid w:val="006B4FAA"/>
    <w:rsid w:val="00812275"/>
    <w:rsid w:val="008143A4"/>
    <w:rsid w:val="00877B34"/>
    <w:rsid w:val="00891E72"/>
    <w:rsid w:val="008F7307"/>
    <w:rsid w:val="00AA27F1"/>
    <w:rsid w:val="00B3562F"/>
    <w:rsid w:val="00BE5391"/>
    <w:rsid w:val="00C76040"/>
    <w:rsid w:val="00CE0CAB"/>
    <w:rsid w:val="00E9311D"/>
    <w:rsid w:val="00ED5557"/>
    <w:rsid w:val="00F35A02"/>
    <w:rsid w:val="00F94BB2"/>
    <w:rsid w:val="00FE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4C62"/>
  <w15:chartTrackingRefBased/>
  <w15:docId w15:val="{FF04C919-BAFF-417D-9D39-5FBE7322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D83"/>
    <w:pPr>
      <w:ind w:left="720"/>
      <w:contextualSpacing/>
    </w:pPr>
  </w:style>
  <w:style w:type="paragraph" w:styleId="Header">
    <w:name w:val="header"/>
    <w:basedOn w:val="Normal"/>
    <w:link w:val="HeaderChar"/>
    <w:uiPriority w:val="99"/>
    <w:unhideWhenUsed/>
    <w:rsid w:val="000F6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DC"/>
  </w:style>
  <w:style w:type="paragraph" w:styleId="Footer">
    <w:name w:val="footer"/>
    <w:basedOn w:val="Normal"/>
    <w:link w:val="FooterChar"/>
    <w:uiPriority w:val="99"/>
    <w:unhideWhenUsed/>
    <w:rsid w:val="000F6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DC"/>
  </w:style>
  <w:style w:type="paragraph" w:styleId="FootnoteText">
    <w:name w:val="footnote text"/>
    <w:basedOn w:val="Normal"/>
    <w:link w:val="FootnoteTextChar"/>
    <w:uiPriority w:val="99"/>
    <w:semiHidden/>
    <w:unhideWhenUsed/>
    <w:rsid w:val="004208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895"/>
    <w:rPr>
      <w:sz w:val="20"/>
      <w:szCs w:val="20"/>
    </w:rPr>
  </w:style>
  <w:style w:type="character" w:styleId="FootnoteReference">
    <w:name w:val="footnote reference"/>
    <w:basedOn w:val="DefaultParagraphFont"/>
    <w:uiPriority w:val="99"/>
    <w:semiHidden/>
    <w:unhideWhenUsed/>
    <w:rsid w:val="00420895"/>
    <w:rPr>
      <w:vertAlign w:val="superscript"/>
    </w:rPr>
  </w:style>
  <w:style w:type="paragraph" w:styleId="EndnoteText">
    <w:name w:val="endnote text"/>
    <w:basedOn w:val="Normal"/>
    <w:link w:val="EndnoteTextChar"/>
    <w:uiPriority w:val="99"/>
    <w:semiHidden/>
    <w:unhideWhenUsed/>
    <w:rsid w:val="004208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0895"/>
    <w:rPr>
      <w:sz w:val="20"/>
      <w:szCs w:val="20"/>
    </w:rPr>
  </w:style>
  <w:style w:type="character" w:styleId="EndnoteReference">
    <w:name w:val="endnote reference"/>
    <w:basedOn w:val="DefaultParagraphFont"/>
    <w:uiPriority w:val="99"/>
    <w:semiHidden/>
    <w:unhideWhenUsed/>
    <w:rsid w:val="00420895"/>
    <w:rPr>
      <w:vertAlign w:val="superscript"/>
    </w:rPr>
  </w:style>
  <w:style w:type="character" w:styleId="Hyperlink">
    <w:name w:val="Hyperlink"/>
    <w:basedOn w:val="DefaultParagraphFont"/>
    <w:uiPriority w:val="99"/>
    <w:unhideWhenUsed/>
    <w:rsid w:val="00420895"/>
    <w:rPr>
      <w:color w:val="0563C1" w:themeColor="hyperlink"/>
      <w:u w:val="single"/>
    </w:rPr>
  </w:style>
  <w:style w:type="character" w:styleId="Strong">
    <w:name w:val="Strong"/>
    <w:basedOn w:val="DefaultParagraphFont"/>
    <w:uiPriority w:val="22"/>
    <w:qFormat/>
    <w:rsid w:val="00520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ki@knch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srculturalrights@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dd-monitor.org/2018/01/17/eu-suspends-funding-to-conservation-and-climate-project-in-kenya-one-day-after-a-kenya-forest-service-guard-shot-and-killed-an-indigenous-sengwer-man/" TargetMode="External"/><Relationship Id="rId2" Type="http://schemas.openxmlformats.org/officeDocument/2006/relationships/hyperlink" Target="https://redd-monitor.org/2020/10/01/eu-scraps-us35-million-conservation-and-climate-change-programme-in-kenya-over-forced-evictions/" TargetMode="External"/><Relationship Id="rId1" Type="http://schemas.openxmlformats.org/officeDocument/2006/relationships/hyperlink" Target="https://vision2030.go.ke/about-vision-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DB75-3EEC-4145-A9A0-B0833D787A03}">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2356db-1849-4eab-81f2-31613b4e6bf0"/>
    <ds:schemaRef ds:uri="http://purl.org/dc/dcmitype/"/>
  </ds:schemaRefs>
</ds:datastoreItem>
</file>

<file path=customXml/itemProps2.xml><?xml version="1.0" encoding="utf-8"?>
<ds:datastoreItem xmlns:ds="http://schemas.openxmlformats.org/officeDocument/2006/customXml" ds:itemID="{8D587200-22A7-4C3B-BD1F-BEB3FAE2B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8EF0B-6AFB-41AE-8F56-B268662D6E59}">
  <ds:schemaRefs>
    <ds:schemaRef ds:uri="http://schemas.microsoft.com/sharepoint/v3/contenttype/forms"/>
  </ds:schemaRefs>
</ds:datastoreItem>
</file>

<file path=customXml/itemProps4.xml><?xml version="1.0" encoding="utf-8"?>
<ds:datastoreItem xmlns:ds="http://schemas.openxmlformats.org/officeDocument/2006/customXml" ds:itemID="{C4C0731C-190D-453F-89E9-52BE3472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Mwenda</dc:creator>
  <cp:keywords/>
  <dc:description/>
  <cp:lastModifiedBy>Mylene Bidault Abdulle</cp:lastModifiedBy>
  <cp:revision>2</cp:revision>
  <dcterms:created xsi:type="dcterms:W3CDTF">2022-08-17T15:01:00Z</dcterms:created>
  <dcterms:modified xsi:type="dcterms:W3CDTF">2022-08-17T15:01:00Z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