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Text1"/>
        <w:spacing w:line="240" w:lineRule="auto"/>
        <w:jc w:val="both"/>
        <w:rPr>
          <w:rFonts w:ascii="Calibri" w:hAnsi="Calibri"/>
        </w:rPr>
      </w:pPr>
    </w:p>
    <w:p>
      <w:pPr>
        <w:pStyle w:val="Body Text1"/>
        <w:spacing w:line="240" w:lineRule="auto"/>
        <w:jc w:val="both"/>
        <w:rPr>
          <w:rFonts w:ascii="Calibri" w:hAnsi="Calibri"/>
        </w:rPr>
      </w:pPr>
    </w:p>
    <w:p>
      <w:pPr>
        <w:pStyle w:val="Body Text1"/>
        <w:spacing w:line="240" w:lineRule="auto"/>
        <w:jc w:val="both"/>
        <w:rPr>
          <w:rFonts w:ascii="Calibri" w:hAnsi="Calibri"/>
        </w:rPr>
      </w:pPr>
    </w:p>
    <w:p>
      <w:pPr>
        <w:pStyle w:val="Body Text1"/>
        <w:spacing w:line="240" w:lineRule="auto"/>
        <w:jc w:val="both"/>
        <w:rPr>
          <w:rFonts w:ascii="Calibri" w:hAnsi="Calibri"/>
        </w:rPr>
      </w:pPr>
    </w:p>
    <w:p>
      <w:pPr>
        <w:pStyle w:val="Body Text1"/>
        <w:spacing w:line="240" w:lineRule="auto"/>
        <w:jc w:val="center"/>
        <w:rPr>
          <w:rFonts w:ascii="Calibri" w:cs="Calibri" w:hAnsi="Calibri" w:eastAsia="Calibri"/>
          <w:u w:val="single"/>
        </w:rPr>
      </w:pPr>
      <w:r>
        <w:rPr>
          <w:rFonts w:ascii="Calibri" w:hAnsi="Calibri"/>
          <w:u w:val="single"/>
          <w:rtl w:val="0"/>
          <w:lang w:val="en-US"/>
        </w:rPr>
        <w:t>Report to the UN Secretary-General on the question of a moratorium on the use of the death penalty, pursuant to UN General Assembly Resolution 75/183</w:t>
      </w:r>
    </w:p>
    <w:p>
      <w:pPr>
        <w:pStyle w:val="Body Text1"/>
        <w:spacing w:line="240" w:lineRule="auto"/>
        <w:jc w:val="both"/>
        <w:rPr>
          <w:rFonts w:ascii="Calibri" w:cs="Calibri" w:hAnsi="Calibri" w:eastAsia="Calibri"/>
          <w:u w:val="single"/>
        </w:rPr>
      </w:pPr>
    </w:p>
    <w:p>
      <w:pPr>
        <w:pStyle w:val="Body Text1"/>
        <w:spacing w:line="240" w:lineRule="auto"/>
        <w:jc w:val="both"/>
        <w:rPr>
          <w:rFonts w:ascii="Calibri" w:cs="Calibri" w:hAnsi="Calibri" w:eastAsia="Calibri"/>
          <w:u w:val="single"/>
        </w:rPr>
      </w:pPr>
    </w:p>
    <w:p>
      <w:pPr>
        <w:pStyle w:val="Body Text1"/>
        <w:spacing w:line="240" w:lineRule="auto"/>
        <w:jc w:val="both"/>
        <w:rPr>
          <w:rFonts w:ascii="Calibri" w:cs="Calibri" w:hAnsi="Calibri" w:eastAsia="Calibri"/>
          <w:u w:val="single"/>
        </w:rPr>
      </w:pPr>
    </w:p>
    <w:p>
      <w:pPr>
        <w:pStyle w:val="Body Text1"/>
        <w:spacing w:line="240" w:lineRule="auto"/>
        <w:jc w:val="both"/>
        <w:rPr>
          <w:rFonts w:ascii="Calibri" w:cs="Calibri" w:hAnsi="Calibri" w:eastAsia="Calibri"/>
        </w:rPr>
      </w:pPr>
    </w:p>
    <w:p>
      <w:pPr>
        <w:pStyle w:val="Body Text1"/>
        <w:spacing w:line="240" w:lineRule="auto"/>
        <w:jc w:val="both"/>
        <w:rPr>
          <w:rFonts w:ascii="Calibri" w:cs="Calibri" w:hAnsi="Calibri" w:eastAsia="Calibri"/>
        </w:rPr>
      </w:pPr>
    </w:p>
    <w:p>
      <w:pPr>
        <w:pStyle w:val="Body Text1"/>
        <w:spacing w:line="240" w:lineRule="auto"/>
        <w:jc w:val="center"/>
        <w:rPr>
          <w:rFonts w:ascii="Calibri" w:cs="Calibri" w:hAnsi="Calibri" w:eastAsia="Calibri"/>
        </w:rPr>
      </w:pPr>
      <w:r>
        <w:rPr>
          <w:rFonts w:ascii="Calibri" w:hAnsi="Calibri"/>
          <w:rtl w:val="0"/>
          <w:lang w:val="en-US"/>
        </w:rPr>
        <w:t>22 April 2022</w:t>
      </w:r>
    </w:p>
    <w:p>
      <w:pPr>
        <w:pStyle w:val="Body Text1"/>
        <w:spacing w:line="240" w:lineRule="auto"/>
        <w:jc w:val="both"/>
        <w:rPr>
          <w:rFonts w:ascii="Calibri" w:cs="Calibri" w:hAnsi="Calibri" w:eastAsia="Calibri"/>
        </w:rPr>
      </w:pPr>
    </w:p>
    <w:p>
      <w:pPr>
        <w:pStyle w:val="Body Text1"/>
        <w:spacing w:line="240" w:lineRule="auto"/>
        <w:jc w:val="both"/>
        <w:rPr>
          <w:rFonts w:ascii="Calibri" w:cs="Calibri" w:hAnsi="Calibri" w:eastAsia="Calibri"/>
        </w:rPr>
      </w:pPr>
    </w:p>
    <w:p>
      <w:pPr>
        <w:pStyle w:val="Body Text1"/>
        <w:spacing w:line="240" w:lineRule="auto"/>
        <w:jc w:val="both"/>
        <w:rPr>
          <w:rFonts w:ascii="Calibri" w:cs="Calibri" w:hAnsi="Calibri" w:eastAsia="Calibri"/>
        </w:rPr>
      </w:pPr>
    </w:p>
    <w:p>
      <w:pPr>
        <w:pStyle w:val="Body Text1"/>
        <w:spacing w:line="240" w:lineRule="auto"/>
        <w:jc w:val="both"/>
        <w:rPr>
          <w:rFonts w:ascii="Calibri" w:cs="Calibri" w:hAnsi="Calibri" w:eastAsia="Calibri"/>
        </w:rPr>
      </w:pPr>
    </w:p>
    <w:p>
      <w:pPr>
        <w:pStyle w:val="Body Text1"/>
        <w:spacing w:line="240" w:lineRule="auto"/>
        <w:jc w:val="both"/>
        <w:rPr>
          <w:rFonts w:ascii="Calibri" w:cs="Calibri" w:hAnsi="Calibri" w:eastAsia="Calibri"/>
        </w:rPr>
      </w:pPr>
    </w:p>
    <w:p>
      <w:pPr>
        <w:pStyle w:val="Body Text1"/>
        <w:spacing w:line="240" w:lineRule="auto"/>
        <w:jc w:val="both"/>
        <w:rPr>
          <w:rFonts w:ascii="Calibri" w:cs="Calibri" w:hAnsi="Calibri" w:eastAsia="Calibri"/>
        </w:rPr>
      </w:pPr>
      <w:r>
        <w:rPr>
          <w:rFonts w:ascii="Calibri" w:hAnsi="Calibri"/>
          <w:rtl w:val="0"/>
          <w:lang w:val="en-US"/>
        </w:rPr>
        <w:t xml:space="preserve">Reporting organisation: </w:t>
      </w:r>
    </w:p>
    <w:p>
      <w:pPr>
        <w:pStyle w:val="Body Text1"/>
        <w:spacing w:line="240" w:lineRule="auto"/>
        <w:jc w:val="both"/>
        <w:rPr>
          <w:rFonts w:ascii="Calibri" w:cs="Calibri" w:hAnsi="Calibri" w:eastAsia="Calibri"/>
        </w:rPr>
      </w:pPr>
    </w:p>
    <w:p>
      <w:pPr>
        <w:pStyle w:val="Body Text1"/>
        <w:spacing w:line="240" w:lineRule="auto"/>
        <w:jc w:val="both"/>
        <w:rPr>
          <w:rFonts w:ascii="Calibri" w:cs="Calibri" w:hAnsi="Calibri" w:eastAsia="Calibri"/>
        </w:rPr>
      </w:pPr>
      <w:r>
        <w:rPr>
          <w:rFonts w:ascii="Calibri" w:cs="Calibri" w:hAnsi="Calibri" w:eastAsia="Calibri"/>
        </w:rPr>
        <w:drawing xmlns:a="http://schemas.openxmlformats.org/drawingml/2006/main">
          <wp:inline distT="0" distB="0" distL="0" distR="0">
            <wp:extent cx="2914650" cy="704850"/>
            <wp:effectExtent l="0" t="0" r="0" b="0"/>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4">
                      <a:extLst/>
                    </a:blip>
                    <a:stretch>
                      <a:fillRect/>
                    </a:stretch>
                  </pic:blipFill>
                  <pic:spPr>
                    <a:xfrm>
                      <a:off x="0" y="0"/>
                      <a:ext cx="2914650" cy="704850"/>
                    </a:xfrm>
                    <a:prstGeom prst="rect">
                      <a:avLst/>
                    </a:prstGeom>
                    <a:ln w="12700" cap="flat">
                      <a:noFill/>
                      <a:miter lim="400000"/>
                    </a:ln>
                    <a:effectLst/>
                  </pic:spPr>
                </pic:pic>
              </a:graphicData>
            </a:graphic>
          </wp:inline>
        </w:drawing>
      </w:r>
    </w:p>
    <w:p>
      <w:pPr>
        <w:pStyle w:val="Body Text1"/>
        <w:spacing w:line="240" w:lineRule="auto"/>
        <w:jc w:val="both"/>
        <w:rPr>
          <w:rFonts w:ascii="Calibri" w:cs="Calibri" w:hAnsi="Calibri" w:eastAsia="Calibri"/>
        </w:rPr>
      </w:pPr>
    </w:p>
    <w:p>
      <w:pPr>
        <w:pStyle w:val="Body Text1"/>
        <w:spacing w:line="240" w:lineRule="auto"/>
        <w:jc w:val="both"/>
        <w:rPr>
          <w:rFonts w:ascii="Calibri" w:cs="Calibri" w:hAnsi="Calibri" w:eastAsia="Calibri"/>
        </w:rPr>
      </w:pPr>
      <w:r>
        <w:rPr>
          <w:rFonts w:ascii="Calibri" w:hAnsi="Calibri"/>
          <w:rtl w:val="0"/>
          <w:lang w:val="en-US"/>
        </w:rPr>
        <w:t>Harm Reduction International (HRI) is a le</w:t>
      </w:r>
      <w:r>
        <w:rPr>
          <w:rFonts w:ascii="Calibri" w:hAnsi="Calibri"/>
          <w:shd w:val="clear" w:color="auto" w:fill="ffffff"/>
          <w:rtl w:val="0"/>
          <w:lang w:val="en-US"/>
        </w:rPr>
        <w:t>ading NGO dedicated to reducing the negative health, social and legal impacts of drug use and drug policy. HRI promotes the rights of people who use drugs and their communities through research and advocacy to help achieve a world where drug policies and laws contribute to healthier, safer societies.</w:t>
      </w:r>
    </w:p>
    <w:p>
      <w:pPr>
        <w:pStyle w:val="Body Text1"/>
        <w:spacing w:line="240" w:lineRule="auto"/>
        <w:jc w:val="both"/>
        <w:sectPr>
          <w:headerReference w:type="default" r:id="rId5"/>
          <w:headerReference w:type="first" r:id="rId6"/>
          <w:footerReference w:type="default" r:id="rId7"/>
          <w:footerReference w:type="first" r:id="rId8"/>
          <w:pgSz w:w="11900" w:h="16840" w:orient="portrait"/>
          <w:pgMar w:top="1440" w:right="1440" w:bottom="1440" w:left="1440" w:header="708" w:footer="708"/>
          <w:pgNumType w:start="0"/>
          <w:titlePg w:val="1"/>
          <w:bidi w:val="0"/>
        </w:sectPr>
      </w:pPr>
      <w:r>
        <w:rPr>
          <w:rFonts w:ascii="Calibri" w:hAnsi="Calibri"/>
          <w:rtl w:val="0"/>
          <w:lang w:val="en-US"/>
        </w:rPr>
        <w:t xml:space="preserve">Since 2007, HRI has been at the forefront of advocating for the abolition of the death penalty for drug-related offences worldwide, including via the </w:t>
      </w:r>
      <w:r>
        <w:rPr>
          <w:rStyle w:val="Hyperlink.0"/>
        </w:rPr>
        <w:fldChar w:fldCharType="begin" w:fldLock="0"/>
      </w:r>
      <w:r>
        <w:rPr>
          <w:rStyle w:val="Hyperlink.0"/>
        </w:rPr>
        <w:instrText xml:space="preserve"> HYPERLINK "https://www.hri.global/the-death-penalty-for-drug-offences"</w:instrText>
      </w:r>
      <w:r>
        <w:rPr>
          <w:rStyle w:val="Hyperlink.0"/>
        </w:rPr>
        <w:fldChar w:fldCharType="separate" w:fldLock="0"/>
      </w:r>
      <w:r>
        <w:rPr>
          <w:rStyle w:val="Hyperlink.0"/>
          <w:rtl w:val="0"/>
          <w:lang w:val="en-US"/>
        </w:rPr>
        <w:t>Death Penalty for Drug Offences: Global Overview</w:t>
      </w:r>
      <w:r>
        <w:rPr/>
        <w:fldChar w:fldCharType="end" w:fldLock="0"/>
      </w:r>
      <w:r>
        <w:rPr>
          <w:rStyle w:val="None"/>
          <w:rFonts w:ascii="Calibri" w:hAnsi="Calibri"/>
          <w:rtl w:val="0"/>
          <w:lang w:val="en-US"/>
        </w:rPr>
        <w:t xml:space="preserve"> series.</w:t>
      </w:r>
    </w:p>
    <w:p>
      <w:pPr>
        <w:pStyle w:val="Comment Text1"/>
        <w:rPr>
          <w:rStyle w:val="None"/>
          <w:rFonts w:ascii="Calibri" w:cs="Calibri" w:hAnsi="Calibri" w:eastAsia="Calibri"/>
          <w:sz w:val="22"/>
          <w:szCs w:val="22"/>
        </w:rPr>
      </w:pPr>
      <w:r>
        <w:rPr>
          <w:rStyle w:val="None"/>
          <w:rFonts w:ascii="Calibri" w:hAnsi="Calibri"/>
          <w:sz w:val="22"/>
          <w:szCs w:val="22"/>
          <w:rtl w:val="0"/>
          <w:lang w:val="en-US"/>
        </w:rPr>
        <w:t>Introduction</w:t>
      </w:r>
    </w:p>
    <w:p>
      <w:pPr>
        <w:pStyle w:val="Body A"/>
        <w:jc w:val="both"/>
        <w:rPr>
          <w:rStyle w:val="None"/>
          <w:rFonts w:ascii="Calibri" w:cs="Calibri" w:hAnsi="Calibri" w:eastAsia="Calibri"/>
          <w:sz w:val="22"/>
          <w:szCs w:val="22"/>
          <w:lang w:val="en-US"/>
        </w:rPr>
      </w:pPr>
      <w:r>
        <w:rPr>
          <w:rStyle w:val="None"/>
          <w:rFonts w:ascii="Calibri" w:hAnsi="Calibri"/>
          <w:sz w:val="22"/>
          <w:szCs w:val="22"/>
          <w:rtl w:val="0"/>
          <w:lang w:val="en-US"/>
        </w:rPr>
        <w:t>Harm Reduction International (HRI) welcomes the opportunity to comment on crucial issues and developments concerning the use of the death penalty; and urges the Secretary-General to continue prioritising this issue. We further reaffirm the call for a moratorium on the death penalty as a step towards its definitive abolition worldwide.</w:t>
      </w:r>
    </w:p>
    <w:p>
      <w:pPr>
        <w:pStyle w:val="Body A"/>
        <w:jc w:val="both"/>
        <w:rPr>
          <w:rStyle w:val="None"/>
          <w:rFonts w:ascii="Calibri" w:cs="Calibri" w:hAnsi="Calibri" w:eastAsia="Calibri"/>
          <w:sz w:val="22"/>
          <w:szCs w:val="22"/>
        </w:rPr>
      </w:pPr>
    </w:p>
    <w:p>
      <w:pPr>
        <w:pStyle w:val="Body A"/>
        <w:shd w:val="clear" w:color="auto" w:fill="ffffff"/>
        <w:spacing w:after="120"/>
        <w:jc w:val="both"/>
        <w:rPr>
          <w:rStyle w:val="None"/>
          <w:rFonts w:ascii="Calibri" w:cs="Calibri" w:hAnsi="Calibri" w:eastAsia="Calibri"/>
          <w:i w:val="1"/>
          <w:iCs w:val="1"/>
          <w:sz w:val="22"/>
          <w:szCs w:val="22"/>
        </w:rPr>
      </w:pPr>
      <w:r>
        <w:rPr>
          <w:rStyle w:val="None"/>
          <w:rFonts w:ascii="Calibri" w:hAnsi="Calibri"/>
          <w:sz w:val="22"/>
          <w:szCs w:val="22"/>
          <w:rtl w:val="0"/>
          <w:lang w:val="en-US"/>
        </w:rPr>
        <w:t xml:space="preserve">This submission will provide information on developments since 1 July 2020, with a focus on drug offences. Because of a widespread lack of transparency on the phenomenon, all figures are minimum confirmed figures, likely to represent only a fraction of actual death sentences, executions, and death row populations. Unless specified, all information is from </w:t>
      </w:r>
      <w:r>
        <w:rPr>
          <w:rStyle w:val="None"/>
          <w:rFonts w:ascii="Calibri" w:hAnsi="Calibri"/>
          <w:i w:val="1"/>
          <w:iCs w:val="1"/>
          <w:sz w:val="22"/>
          <w:szCs w:val="22"/>
          <w:rtl w:val="0"/>
          <w:lang w:val="en-US"/>
        </w:rPr>
        <w:t>The Death Penalty for Drug Offences: Global Overview 2021.</w:t>
      </w:r>
      <w:r>
        <w:rPr>
          <w:rStyle w:val="None"/>
          <w:rFonts w:ascii="Calibri" w:cs="Calibri" w:hAnsi="Calibri" w:eastAsia="Calibri"/>
          <w:sz w:val="22"/>
          <w:szCs w:val="22"/>
          <w:vertAlign w:val="superscript"/>
          <w:lang w:val="en-US"/>
        </w:rPr>
        <w:footnoteReference w:id="1"/>
      </w:r>
    </w:p>
    <w:p>
      <w:pPr>
        <w:pStyle w:val="Body A"/>
        <w:jc w:val="both"/>
        <w:rPr>
          <w:rStyle w:val="None"/>
          <w:rFonts w:ascii="Calibri" w:cs="Calibri" w:hAnsi="Calibri" w:eastAsia="Calibri"/>
          <w:sz w:val="22"/>
          <w:szCs w:val="22"/>
          <w:u w:val="single"/>
        </w:rPr>
      </w:pPr>
    </w:p>
    <w:p>
      <w:pPr>
        <w:pStyle w:val="Body Text1"/>
        <w:numPr>
          <w:ilvl w:val="0"/>
          <w:numId w:val="2"/>
        </w:numPr>
        <w:bidi w:val="0"/>
        <w:spacing w:after="0" w:line="240" w:lineRule="auto"/>
        <w:ind w:right="0"/>
        <w:jc w:val="both"/>
        <w:rPr>
          <w:rFonts w:ascii="Calibri" w:hAnsi="Calibri"/>
          <w:b w:val="1"/>
          <w:bCs w:val="1"/>
          <w:rtl w:val="0"/>
          <w:lang w:val="en-US"/>
        </w:rPr>
      </w:pPr>
      <w:r>
        <w:rPr>
          <w:rStyle w:val="None"/>
          <w:rFonts w:ascii="Calibri" w:hAnsi="Calibri"/>
          <w:b w:val="1"/>
          <w:bCs w:val="1"/>
          <w:shd w:val="clear" w:color="auto" w:fill="ffffff"/>
          <w:rtl w:val="0"/>
          <w:lang w:val="en-US"/>
        </w:rPr>
        <w:t>Global trends</w:t>
      </w:r>
    </w:p>
    <w:p>
      <w:pPr>
        <w:pStyle w:val="Body Text1"/>
        <w:spacing w:after="0" w:line="240" w:lineRule="auto"/>
        <w:jc w:val="both"/>
        <w:rPr>
          <w:rStyle w:val="None"/>
          <w:rFonts w:ascii="Calibri" w:cs="Calibri" w:hAnsi="Calibri" w:eastAsia="Calibri"/>
          <w:b w:val="1"/>
          <w:bCs w:val="1"/>
          <w:shd w:val="clear" w:color="auto" w:fill="ffffff"/>
        </w:rPr>
      </w:pPr>
    </w:p>
    <w:p>
      <w:pPr>
        <w:pStyle w:val="Body Text1"/>
        <w:spacing w:after="0" w:line="240" w:lineRule="auto"/>
        <w:jc w:val="both"/>
        <w:rPr>
          <w:rStyle w:val="None"/>
          <w:rFonts w:ascii="Calibri" w:cs="Calibri" w:hAnsi="Calibri" w:eastAsia="Calibri"/>
        </w:rPr>
      </w:pPr>
      <w:r>
        <w:rPr>
          <w:rStyle w:val="None"/>
          <w:rFonts w:ascii="Calibri" w:hAnsi="Calibri"/>
          <w:rtl w:val="0"/>
          <w:lang w:val="en-US"/>
        </w:rPr>
        <w:t>As of March 2022, 35 countries and territories prescribe the death penalty as a punishment for drug offences in their legislation, in violation of international human rights and drug control law.</w:t>
      </w:r>
      <w:r>
        <w:rPr>
          <w:rStyle w:val="None"/>
          <w:rFonts w:ascii="Calibri" w:cs="Calibri" w:hAnsi="Calibri" w:eastAsia="Calibri"/>
          <w:vertAlign w:val="superscript"/>
        </w:rPr>
        <w:footnoteReference w:id="2"/>
      </w:r>
      <w:r>
        <w:rPr>
          <w:rStyle w:val="None"/>
          <w:rFonts w:ascii="Calibri" w:hAnsi="Calibri"/>
          <w:rtl w:val="0"/>
          <w:lang w:val="en-US"/>
        </w:rPr>
        <w:t xml:space="preserve"> In 12 countries, death is the mandatory punishment for at least certain drug offences.</w:t>
      </w:r>
      <w:r>
        <w:rPr>
          <w:rStyle w:val="None"/>
          <w:rFonts w:ascii="Calibri" w:cs="Calibri" w:hAnsi="Calibri" w:eastAsia="Calibri"/>
          <w:vertAlign w:val="superscript"/>
        </w:rPr>
        <w:footnoteReference w:id="3"/>
      </w:r>
    </w:p>
    <w:p>
      <w:pPr>
        <w:pStyle w:val="Body Text1"/>
        <w:spacing w:after="0" w:line="240" w:lineRule="auto"/>
        <w:jc w:val="both"/>
        <w:rPr>
          <w:rStyle w:val="None"/>
          <w:rFonts w:ascii="Calibri" w:cs="Calibri" w:hAnsi="Calibri" w:eastAsia="Calibri"/>
          <w:b w:val="1"/>
          <w:bCs w:val="1"/>
          <w:shd w:val="clear" w:color="auto" w:fill="ffffff"/>
        </w:rPr>
      </w:pPr>
    </w:p>
    <w:p>
      <w:pPr>
        <w:pStyle w:val="Body A"/>
        <w:spacing w:after="120"/>
        <w:jc w:val="both"/>
        <w:rPr>
          <w:rStyle w:val="None"/>
          <w:rFonts w:ascii="Calibri" w:cs="Calibri" w:hAnsi="Calibri" w:eastAsia="Calibri"/>
        </w:rPr>
      </w:pPr>
      <w:r>
        <w:rPr>
          <w:rStyle w:val="None"/>
          <w:rFonts w:ascii="Calibri" w:hAnsi="Calibri"/>
          <w:sz w:val="22"/>
          <w:szCs w:val="22"/>
          <w:shd w:val="clear" w:color="auto" w:fill="ffffff"/>
          <w:rtl w:val="0"/>
          <w:lang w:val="en-US"/>
        </w:rPr>
        <w:t>After a drastic drop in known drug-related executions in 2020 (30 executions confirmed, of which 25 in Iran</w:t>
      </w:r>
      <w:r>
        <w:rPr>
          <w:rStyle w:val="None"/>
          <w:rFonts w:ascii="Calibri" w:cs="Calibri" w:hAnsi="Calibri" w:eastAsia="Calibri"/>
          <w:sz w:val="22"/>
          <w:szCs w:val="22"/>
          <w:shd w:val="clear" w:color="auto" w:fill="ffffff"/>
          <w:vertAlign w:val="superscript"/>
          <w:lang w:val="en-US"/>
        </w:rPr>
        <w:footnoteReference w:id="4"/>
      </w:r>
      <w:r>
        <w:rPr>
          <w:rStyle w:val="None"/>
          <w:rFonts w:ascii="Calibri" w:hAnsi="Calibri"/>
          <w:sz w:val="22"/>
          <w:szCs w:val="22"/>
          <w:shd w:val="clear" w:color="auto" w:fill="ffffff"/>
          <w:rtl w:val="0"/>
          <w:lang w:val="en-US"/>
        </w:rPr>
        <w:t>), a 336% increase was recorded in 2021. HRI</w:t>
      </w:r>
      <w:r>
        <w:rPr>
          <w:rStyle w:val="None"/>
          <w:rFonts w:ascii="Calibri" w:hAnsi="Calibri" w:hint="default"/>
          <w:sz w:val="22"/>
          <w:szCs w:val="22"/>
          <w:shd w:val="clear" w:color="auto" w:fill="ffffff"/>
          <w:rtl w:val="0"/>
          <w:lang w:val="en-US"/>
        </w:rPr>
        <w:t>’</w:t>
      </w:r>
      <w:r>
        <w:rPr>
          <w:rStyle w:val="None"/>
          <w:rFonts w:ascii="Calibri" w:hAnsi="Calibri"/>
          <w:sz w:val="22"/>
          <w:szCs w:val="22"/>
          <w:shd w:val="clear" w:color="auto" w:fill="ffffff"/>
          <w:rtl w:val="0"/>
          <w:lang w:val="en-US"/>
        </w:rPr>
        <w:t>s 2021 Global Overview reported a minimum of 131 drug-related executions; all carried out in Iran. Executions were also likely carried out in China, and likely in Vietnam and North Korea, but no approximate figures are available</w:t>
      </w:r>
      <w:r>
        <w:rPr>
          <w:rStyle w:val="None"/>
          <w:rFonts w:ascii="Calibri" w:hAnsi="Calibri"/>
          <w:sz w:val="22"/>
          <w:szCs w:val="22"/>
          <w:shd w:val="clear" w:color="auto" w:fill="ffffff"/>
          <w:rtl w:val="0"/>
          <w:lang w:val="en-US"/>
        </w:rPr>
        <w:t>.</w:t>
      </w:r>
    </w:p>
    <w:p>
      <w:pPr>
        <w:pStyle w:val="Body A"/>
        <w:jc w:val="both"/>
        <w:rPr>
          <w:rStyle w:val="None"/>
          <w:rFonts w:ascii="Calibri" w:cs="Calibri" w:hAnsi="Calibri" w:eastAsia="Calibri"/>
          <w:sz w:val="22"/>
          <w:szCs w:val="22"/>
          <w:lang w:val="en-US"/>
        </w:rPr>
      </w:pPr>
      <w:r>
        <w:rPr>
          <w:rStyle w:val="None"/>
          <w:rFonts w:ascii="Calibri" w:hAnsi="Calibri"/>
          <w:sz w:val="22"/>
          <w:szCs w:val="22"/>
          <w:rtl w:val="0"/>
          <w:lang w:val="en-US"/>
        </w:rPr>
        <w:t>A minimum of 237 death sentences for drug crimes were reported in at least 16 countries (an almost 30% increase from 2019 and an 11% increase from 2020), of which around a tenth were against foreign nationals. Notably, the number of low application countries (those which do not actively execute) in which drug-related death sentences were reported rose from three in 2020 to nine in 2021.</w:t>
      </w:r>
    </w:p>
    <w:p>
      <w:pPr>
        <w:pStyle w:val="Body A"/>
        <w:jc w:val="both"/>
        <w:rPr>
          <w:rStyle w:val="None"/>
          <w:rFonts w:ascii="Calibri" w:cs="Calibri" w:hAnsi="Calibri" w:eastAsia="Calibri"/>
          <w:sz w:val="22"/>
          <w:szCs w:val="22"/>
        </w:rPr>
      </w:pPr>
    </w:p>
    <w:p>
      <w:pPr>
        <w:pStyle w:val="Body A"/>
        <w:jc w:val="both"/>
        <w:rPr>
          <w:rStyle w:val="None"/>
          <w:rFonts w:ascii="Calibri" w:cs="Calibri" w:hAnsi="Calibri" w:eastAsia="Calibri"/>
          <w:sz w:val="22"/>
          <w:szCs w:val="22"/>
          <w:lang w:val="en-US"/>
        </w:rPr>
      </w:pPr>
      <w:r>
        <w:rPr>
          <w:rStyle w:val="None"/>
          <w:rFonts w:ascii="Calibri" w:hAnsi="Calibri"/>
          <w:sz w:val="22"/>
          <w:szCs w:val="22"/>
          <w:rtl w:val="0"/>
          <w:lang w:val="en-US"/>
        </w:rPr>
        <w:t xml:space="preserve">At least 3000 people are believed to be on death row for drug offences in at least 19 countries </w:t>
      </w:r>
      <w:r>
        <w:rPr>
          <w:rStyle w:val="None"/>
          <w:rFonts w:ascii="Calibri" w:hAnsi="Calibri" w:hint="default"/>
          <w:sz w:val="22"/>
          <w:szCs w:val="22"/>
          <w:rtl w:val="0"/>
          <w:lang w:val="en-US"/>
        </w:rPr>
        <w:t xml:space="preserve">– </w:t>
      </w:r>
      <w:r>
        <w:rPr>
          <w:rStyle w:val="None"/>
          <w:rFonts w:ascii="Calibri" w:hAnsi="Calibri"/>
          <w:sz w:val="22"/>
          <w:szCs w:val="22"/>
          <w:rtl w:val="0"/>
          <w:lang w:val="en-US"/>
        </w:rPr>
        <w:t>likely many more. In 2021, this figure increased in Malaysia (+2%) and Indonesia (+30%), while a drop was observed in Thailand (-27%).</w:t>
      </w:r>
    </w:p>
    <w:p>
      <w:pPr>
        <w:pStyle w:val="Body A"/>
        <w:jc w:val="both"/>
        <w:rPr>
          <w:rStyle w:val="None"/>
          <w:rFonts w:ascii="Calibri" w:cs="Calibri" w:hAnsi="Calibri" w:eastAsia="Calibri"/>
          <w:sz w:val="22"/>
          <w:szCs w:val="22"/>
        </w:rPr>
      </w:pPr>
    </w:p>
    <w:p>
      <w:pPr>
        <w:pStyle w:val="Body A"/>
        <w:jc w:val="both"/>
      </w:pPr>
      <w:r>
        <w:rPr>
          <w:rStyle w:val="None"/>
          <w:rFonts w:ascii="Calibri" w:hAnsi="Calibri"/>
          <w:sz w:val="22"/>
          <w:szCs w:val="22"/>
          <w:rtl w:val="0"/>
          <w:lang w:val="en-US"/>
        </w:rPr>
        <w:t>One alarming finding from 2021 is the high number of foreign nationals executed, sentenced to death and/or on death row for drug crimes. While not a new trend, it is of increasing concern. Individuals from ethnic minority backgrounds, women, and members of vulnerable groups continue to remain disproportionately affected by the imposition of the death penalty for drug off</w:t>
      </w:r>
      <w:r>
        <w:rPr>
          <w:rStyle w:val="None"/>
          <w:rFonts w:ascii="Calibri" w:hAnsi="Calibri"/>
          <w:sz w:val="22"/>
          <w:szCs w:val="22"/>
          <w:rtl w:val="0"/>
          <w:lang w:val="fr-FR"/>
        </w:rPr>
        <w:t>ences</w:t>
      </w:r>
      <w:r>
        <w:rPr>
          <w:rStyle w:val="None"/>
          <w:rFonts w:ascii="Calibri" w:hAnsi="Calibri"/>
          <w:sz w:val="22"/>
          <w:szCs w:val="22"/>
          <w:rtl w:val="0"/>
          <w:lang w:val="en-US"/>
        </w:rPr>
        <w:t xml:space="preserve"> around the world</w:t>
      </w:r>
      <w:r>
        <w:rPr>
          <w:rStyle w:val="None"/>
          <w:rFonts w:ascii="Calibri" w:hAnsi="Calibri"/>
          <w:sz w:val="22"/>
          <w:szCs w:val="22"/>
          <w:rtl w:val="0"/>
          <w:lang w:val="en-US"/>
        </w:rPr>
        <w:t xml:space="preserve">. </w:t>
      </w:r>
    </w:p>
    <w:p>
      <w:pPr>
        <w:pStyle w:val="Body A"/>
        <w:jc w:val="both"/>
        <w:rPr>
          <w:rStyle w:val="None"/>
          <w:rFonts w:ascii="Calibri" w:cs="Calibri" w:hAnsi="Calibri" w:eastAsia="Calibri"/>
          <w:sz w:val="22"/>
          <w:szCs w:val="22"/>
        </w:rPr>
      </w:pPr>
    </w:p>
    <w:p>
      <w:pPr>
        <w:pStyle w:val="Body A"/>
        <w:jc w:val="both"/>
        <w:rPr>
          <w:rStyle w:val="None"/>
          <w:rFonts w:ascii="Calibri" w:cs="Calibri" w:hAnsi="Calibri" w:eastAsia="Calibri"/>
          <w:sz w:val="22"/>
          <w:szCs w:val="22"/>
        </w:rPr>
      </w:pPr>
      <w:r>
        <w:rPr>
          <w:rStyle w:val="None"/>
          <w:rFonts w:ascii="Calibri" w:hAnsi="Calibri"/>
          <w:sz w:val="22"/>
          <w:szCs w:val="22"/>
          <w:rtl w:val="0"/>
          <w:lang w:val="en-US"/>
        </w:rPr>
        <w:t>T</w:t>
      </w:r>
      <w:r>
        <w:rPr>
          <w:rStyle w:val="None"/>
          <w:rFonts w:ascii="Calibri" w:hAnsi="Calibri"/>
          <w:sz w:val="22"/>
          <w:szCs w:val="22"/>
          <w:u w:color="212121"/>
          <w:shd w:val="clear" w:color="auto" w:fill="ffffff"/>
          <w:rtl w:val="0"/>
          <w:lang w:val="en-US"/>
        </w:rPr>
        <w:t>he shocking lack of information on the death penalty for drugs is another important trend confirmed in 2021. While t</w:t>
      </w:r>
      <w:r>
        <w:rPr>
          <w:rStyle w:val="None"/>
          <w:rFonts w:ascii="Calibri" w:hAnsi="Calibri"/>
          <w:sz w:val="22"/>
          <w:szCs w:val="22"/>
          <w:rtl w:val="0"/>
          <w:lang w:val="en-US"/>
        </w:rPr>
        <w:t>he group of countries actively resorting to capital punishment as a central tool of drug control is shrinking, it is also more and more characterised by opacity and secrecy, if not outright censorship. Transparency and monitoring will thus be key challenges for anyone working towards abolition. This was reiterated by the latest Human Rights Council Resolution on the question of the death penalty, adopted in October 2021, which emphasised retentionist countries</w:t>
      </w:r>
      <w:r>
        <w:rPr>
          <w:rStyle w:val="None"/>
          <w:rFonts w:ascii="Calibri" w:hAnsi="Calibri" w:hint="default"/>
          <w:sz w:val="22"/>
          <w:szCs w:val="22"/>
          <w:rtl w:val="0"/>
          <w:lang w:val="en-US"/>
        </w:rPr>
        <w:t xml:space="preserve">’ </w:t>
      </w:r>
      <w:r>
        <w:rPr>
          <w:rStyle w:val="None"/>
          <w:rFonts w:ascii="Calibri" w:hAnsi="Calibri"/>
          <w:sz w:val="22"/>
          <w:szCs w:val="22"/>
          <w:rtl w:val="0"/>
          <w:lang w:val="en-US"/>
        </w:rPr>
        <w:t>obligations around transparency and information sharing.</w:t>
      </w:r>
      <w:r>
        <w:rPr>
          <w:rStyle w:val="None"/>
          <w:rFonts w:ascii="Calibri" w:cs="Calibri" w:hAnsi="Calibri" w:eastAsia="Calibri"/>
          <w:sz w:val="22"/>
          <w:szCs w:val="22"/>
          <w:vertAlign w:val="superscript"/>
          <w:lang w:val="en-US"/>
        </w:rPr>
        <w:footnoteReference w:id="5"/>
      </w:r>
    </w:p>
    <w:p>
      <w:pPr>
        <w:pStyle w:val="Body A"/>
        <w:jc w:val="both"/>
        <w:rPr>
          <w:rStyle w:val="None"/>
          <w:rFonts w:ascii="Calibri" w:cs="Calibri" w:hAnsi="Calibri" w:eastAsia="Calibri"/>
          <w:sz w:val="22"/>
          <w:szCs w:val="22"/>
        </w:rPr>
      </w:pPr>
    </w:p>
    <w:p>
      <w:pPr>
        <w:pStyle w:val="Body A"/>
        <w:jc w:val="both"/>
        <w:rPr>
          <w:rStyle w:val="None"/>
          <w:rFonts w:ascii="Calibri" w:cs="Calibri" w:hAnsi="Calibri" w:eastAsia="Calibri"/>
          <w:sz w:val="22"/>
          <w:szCs w:val="22"/>
        </w:rPr>
      </w:pPr>
      <w:r>
        <w:rPr>
          <w:rStyle w:val="None"/>
          <w:rFonts w:ascii="Calibri" w:hAnsi="Calibri"/>
          <w:sz w:val="22"/>
          <w:szCs w:val="22"/>
          <w:rtl w:val="0"/>
          <w:lang w:val="en-US"/>
        </w:rPr>
        <w:t xml:space="preserve">With the total abolition of the death penalty announced in Kazakhstan and Sierra Leone in 2021, the world moved closer to leaving the death penalty behind. However, countries where death can be imposed as a punishment for drug offences appear to be </w:t>
      </w:r>
      <w:r>
        <w:rPr>
          <w:rStyle w:val="None"/>
          <w:sz w:val="22"/>
          <w:szCs w:val="22"/>
          <w:rtl w:val="1"/>
          <w:lang w:val="ar-SA" w:bidi="ar-SA"/>
        </w:rPr>
        <w:t>‘</w:t>
      </w:r>
      <w:r>
        <w:rPr>
          <w:rStyle w:val="None"/>
          <w:rFonts w:ascii="Calibri" w:hAnsi="Calibri"/>
          <w:sz w:val="22"/>
          <w:szCs w:val="22"/>
          <w:rtl w:val="0"/>
          <w:lang w:val="en-US"/>
        </w:rPr>
        <w:t>strongholds</w:t>
      </w:r>
      <w:r>
        <w:rPr>
          <w:rStyle w:val="None"/>
          <w:sz w:val="22"/>
          <w:szCs w:val="22"/>
          <w:rtl w:val="1"/>
          <w:lang w:val="ar-SA" w:bidi="ar-SA"/>
        </w:rPr>
        <w:t>’</w:t>
      </w:r>
      <w:r>
        <w:rPr>
          <w:rStyle w:val="None"/>
          <w:rFonts w:ascii="Calibri" w:hAnsi="Calibri"/>
          <w:sz w:val="22"/>
          <w:szCs w:val="22"/>
          <w:rtl w:val="0"/>
          <w:lang w:val="en-US"/>
        </w:rPr>
        <w:t>, resisting this trend. This is apparent when looking at which states recently removed the death penalty from their legislation: between 2007 and 2021, several countries abolished the death penalty, but none of them were countries that retain capital punishment for drug off</w:t>
      </w:r>
      <w:r>
        <w:rPr>
          <w:rStyle w:val="None"/>
          <w:rFonts w:ascii="Calibri" w:hAnsi="Calibri"/>
          <w:sz w:val="22"/>
          <w:szCs w:val="22"/>
          <w:rtl w:val="0"/>
          <w:lang w:val="pt-PT"/>
        </w:rPr>
        <w:t>ences.</w:t>
      </w:r>
    </w:p>
    <w:p>
      <w:pPr>
        <w:pStyle w:val="Body A"/>
        <w:jc w:val="both"/>
        <w:rPr>
          <w:rStyle w:val="None"/>
          <w:rFonts w:ascii="Calibri" w:cs="Calibri" w:hAnsi="Calibri" w:eastAsia="Calibri"/>
          <w:sz w:val="22"/>
          <w:szCs w:val="22"/>
        </w:rPr>
      </w:pPr>
    </w:p>
    <w:p>
      <w:pPr>
        <w:pStyle w:val="List Paragraph"/>
        <w:numPr>
          <w:ilvl w:val="0"/>
          <w:numId w:val="2"/>
        </w:numPr>
        <w:bidi w:val="0"/>
        <w:ind w:right="0"/>
        <w:jc w:val="both"/>
        <w:rPr>
          <w:rFonts w:ascii="Calibri" w:hAnsi="Calibri"/>
          <w:b w:val="1"/>
          <w:bCs w:val="1"/>
          <w:sz w:val="22"/>
          <w:szCs w:val="22"/>
          <w:rtl w:val="0"/>
          <w:lang w:val="en-US"/>
        </w:rPr>
      </w:pPr>
      <w:r>
        <w:rPr>
          <w:rStyle w:val="None"/>
          <w:rFonts w:ascii="Calibri" w:hAnsi="Calibri"/>
          <w:b w:val="1"/>
          <w:bCs w:val="1"/>
          <w:sz w:val="22"/>
          <w:szCs w:val="22"/>
          <w:rtl w:val="0"/>
          <w:lang w:val="en-US"/>
        </w:rPr>
        <w:t>Key national developments since July 2020</w:t>
      </w:r>
    </w:p>
    <w:p>
      <w:pPr>
        <w:pStyle w:val="Body A"/>
        <w:jc w:val="both"/>
        <w:rPr>
          <w:rStyle w:val="None"/>
          <w:rFonts w:ascii="Calibri" w:cs="Calibri" w:hAnsi="Calibri" w:eastAsia="Calibri"/>
          <w:sz w:val="22"/>
          <w:szCs w:val="22"/>
        </w:rPr>
      </w:pPr>
    </w:p>
    <w:p>
      <w:pPr>
        <w:pStyle w:val="Body A"/>
        <w:jc w:val="both"/>
        <w:rPr>
          <w:rStyle w:val="None"/>
          <w:rFonts w:ascii="Calibri" w:cs="Calibri" w:hAnsi="Calibri" w:eastAsia="Calibri"/>
          <w:sz w:val="22"/>
          <w:szCs w:val="22"/>
        </w:rPr>
      </w:pPr>
      <w:r>
        <w:rPr>
          <w:rStyle w:val="None"/>
          <w:rFonts w:ascii="Calibri" w:hAnsi="Calibri"/>
          <w:sz w:val="22"/>
          <w:szCs w:val="22"/>
          <w:rtl w:val="0"/>
          <w:lang w:val="fr-FR"/>
        </w:rPr>
        <w:t xml:space="preserve">Figures </w:t>
      </w:r>
      <w:r>
        <w:rPr>
          <w:rStyle w:val="None"/>
          <w:rFonts w:ascii="Calibri" w:hAnsi="Calibri"/>
          <w:sz w:val="22"/>
          <w:szCs w:val="22"/>
          <w:rtl w:val="0"/>
          <w:lang w:val="en-US"/>
        </w:rPr>
        <w:t xml:space="preserve">collected by the Abdorrahman Boroumand Centre for Human Rights in </w:t>
      </w:r>
      <w:r>
        <w:rPr>
          <w:rStyle w:val="None"/>
          <w:rFonts w:ascii="Calibri" w:hAnsi="Calibri"/>
          <w:b w:val="1"/>
          <w:bCs w:val="1"/>
          <w:sz w:val="22"/>
          <w:szCs w:val="22"/>
          <w:rtl w:val="0"/>
          <w:lang w:val="nl-NL"/>
        </w:rPr>
        <w:t>Iran</w:t>
      </w:r>
      <w:r>
        <w:rPr>
          <w:rStyle w:val="None"/>
          <w:rFonts w:ascii="Calibri" w:hAnsi="Calibri"/>
          <w:sz w:val="22"/>
          <w:szCs w:val="22"/>
          <w:rtl w:val="0"/>
          <w:lang w:val="en-US"/>
        </w:rPr>
        <w:t xml:space="preserve"> show a significant increase in confirmed drug-related executions in the country; from 25 in 2020 to 131 in 2021 (a 424% rise), against a 28% increase in total executions in the country. Drug-related executions in Iran represented a higher percentage of total executions than in 2020: from 10% to 42%. While the root causes of such a sharp surge are yet to be conclusively identified, this trend confirms experts</w:t>
      </w:r>
      <w:r>
        <w:rPr>
          <w:rStyle w:val="None"/>
          <w:rFonts w:ascii="Calibri" w:hAnsi="Calibri" w:hint="default"/>
          <w:sz w:val="22"/>
          <w:szCs w:val="22"/>
          <w:rtl w:val="0"/>
          <w:lang w:val="en-US"/>
        </w:rPr>
        <w:t xml:space="preserve">’ </w:t>
      </w:r>
      <w:r>
        <w:rPr>
          <w:rStyle w:val="None"/>
          <w:rFonts w:ascii="Calibri" w:hAnsi="Calibri"/>
          <w:sz w:val="22"/>
          <w:szCs w:val="22"/>
          <w:rtl w:val="0"/>
          <w:lang w:val="en-US"/>
        </w:rPr>
        <w:t>fears that the impact of the 2017 Amendments to the Law for Combating Illicit Drugs</w:t>
      </w:r>
      <w:r>
        <w:rPr>
          <w:rStyle w:val="None"/>
          <w:rFonts w:ascii="Calibri" w:cs="Calibri" w:hAnsi="Calibri" w:eastAsia="Calibri"/>
          <w:sz w:val="22"/>
          <w:szCs w:val="22"/>
          <w:vertAlign w:val="superscript"/>
          <w:lang w:val="en-US"/>
        </w:rPr>
        <w:footnoteReference w:id="6"/>
      </w:r>
      <w:r>
        <w:rPr>
          <w:rStyle w:val="None"/>
          <w:rFonts w:ascii="Calibri" w:hAnsi="Calibri"/>
          <w:sz w:val="22"/>
          <w:szCs w:val="22"/>
          <w:rtl w:val="0"/>
          <w:lang w:val="en-US"/>
        </w:rPr>
        <w:t xml:space="preserve"> may be temporary, and linked, at least to some degree, to political circumst</w:t>
      </w:r>
      <w:r>
        <w:rPr>
          <w:rStyle w:val="None"/>
          <w:rFonts w:ascii="Calibri" w:hAnsi="Calibri"/>
          <w:sz w:val="22"/>
          <w:szCs w:val="22"/>
          <w:rtl w:val="0"/>
          <w:lang w:val="pt-PT"/>
        </w:rPr>
        <w:t>ances.</w:t>
      </w:r>
    </w:p>
    <w:p>
      <w:pPr>
        <w:pStyle w:val="Body A"/>
        <w:jc w:val="both"/>
        <w:rPr>
          <w:rStyle w:val="None"/>
          <w:rFonts w:ascii="Calibri" w:cs="Calibri" w:hAnsi="Calibri" w:eastAsia="Calibri"/>
          <w:sz w:val="22"/>
          <w:szCs w:val="22"/>
        </w:rPr>
      </w:pPr>
    </w:p>
    <w:p>
      <w:pPr>
        <w:pStyle w:val="Body A"/>
        <w:jc w:val="both"/>
        <w:rPr>
          <w:rStyle w:val="None"/>
          <w:rFonts w:ascii="Calibri" w:cs="Calibri" w:hAnsi="Calibri" w:eastAsia="Calibri"/>
          <w:outline w:val="0"/>
          <w:color w:val="941100"/>
          <w:sz w:val="22"/>
          <w:szCs w:val="22"/>
          <w:u w:color="941100"/>
          <w14:textFill>
            <w14:solidFill>
              <w14:srgbClr w14:val="941100"/>
            </w14:solidFill>
          </w14:textFill>
        </w:rPr>
      </w:pPr>
      <w:r>
        <w:rPr>
          <w:rStyle w:val="None"/>
          <w:rFonts w:ascii="Calibri" w:hAnsi="Calibri"/>
          <w:sz w:val="22"/>
          <w:szCs w:val="22"/>
          <w:rtl w:val="0"/>
          <w:lang w:val="en-US"/>
        </w:rPr>
        <w:t xml:space="preserve">While there were no executions for drugs in </w:t>
      </w:r>
      <w:r>
        <w:rPr>
          <w:rStyle w:val="None"/>
          <w:rFonts w:ascii="Calibri" w:hAnsi="Calibri"/>
          <w:b w:val="1"/>
          <w:bCs w:val="1"/>
          <w:sz w:val="22"/>
          <w:szCs w:val="22"/>
          <w:rtl w:val="0"/>
          <w:lang w:val="en-US"/>
        </w:rPr>
        <w:t>Malaysia</w:t>
      </w:r>
      <w:r>
        <w:rPr>
          <w:rStyle w:val="None"/>
          <w:rFonts w:ascii="Calibri" w:hAnsi="Calibri"/>
          <w:sz w:val="22"/>
          <w:szCs w:val="22"/>
          <w:rtl w:val="0"/>
          <w:lang w:val="en-US"/>
        </w:rPr>
        <w:t xml:space="preserve">, the number of individuals on death row for drug offences rose from 912 in 2020, to 927 as of September 2021 (out of 1366 death row prisoners). Notably, at least 10 death sentences (of which six were against foreign nationals) were reversed, resulting in seven acquittals and three commutations. On 29 December 2021, the government indicated that </w:t>
      </w:r>
      <w:r>
        <w:rPr>
          <w:rStyle w:val="None"/>
          <w:sz w:val="22"/>
          <w:szCs w:val="22"/>
          <w:rtl w:val="1"/>
          <w:lang w:val="ar-SA" w:bidi="ar-SA"/>
        </w:rPr>
        <w:t>“</w:t>
      </w:r>
      <w:r>
        <w:rPr>
          <w:rStyle w:val="None"/>
          <w:rFonts w:ascii="Calibri" w:hAnsi="Calibri"/>
          <w:sz w:val="22"/>
          <w:szCs w:val="22"/>
          <w:rtl w:val="0"/>
          <w:lang w:val="en-US"/>
        </w:rPr>
        <w:t>the Bill to amend laws on the death penalty, as well as other relevant laws, is expected to be tabled in Parliament by the third quarter of 2022.</w:t>
      </w:r>
      <w:r>
        <w:rPr>
          <w:rStyle w:val="None"/>
          <w:rFonts w:ascii="Calibri" w:hAnsi="Calibri" w:hint="default"/>
          <w:sz w:val="22"/>
          <w:szCs w:val="22"/>
          <w:rtl w:val="0"/>
          <w:lang w:val="en-US"/>
        </w:rPr>
        <w:t>”</w:t>
      </w:r>
      <w:r>
        <w:rPr>
          <w:rStyle w:val="None"/>
          <w:rFonts w:ascii="Calibri" w:cs="Calibri" w:hAnsi="Calibri" w:eastAsia="Calibri"/>
          <w:sz w:val="22"/>
          <w:szCs w:val="22"/>
          <w:vertAlign w:val="superscript"/>
          <w:lang w:val="en-US"/>
        </w:rPr>
        <w:footnoteReference w:id="7"/>
      </w:r>
    </w:p>
    <w:p>
      <w:pPr>
        <w:pStyle w:val="Body A"/>
        <w:jc w:val="both"/>
        <w:rPr>
          <w:rStyle w:val="None"/>
          <w:rFonts w:ascii="Calibri" w:cs="Calibri" w:hAnsi="Calibri" w:eastAsia="Calibri"/>
          <w:outline w:val="0"/>
          <w:color w:val="941100"/>
          <w:sz w:val="22"/>
          <w:szCs w:val="22"/>
          <w:u w:color="941100"/>
          <w14:textFill>
            <w14:solidFill>
              <w14:srgbClr w14:val="941100"/>
            </w14:solidFill>
          </w14:textFill>
        </w:rPr>
      </w:pPr>
    </w:p>
    <w:p>
      <w:pPr>
        <w:pStyle w:val="Body A"/>
        <w:jc w:val="both"/>
        <w:rPr>
          <w:rStyle w:val="None"/>
          <w:rFonts w:ascii="Calibri" w:cs="Calibri" w:hAnsi="Calibri" w:eastAsia="Calibri"/>
          <w:sz w:val="22"/>
          <w:szCs w:val="22"/>
        </w:rPr>
      </w:pPr>
      <w:r>
        <w:rPr>
          <w:rStyle w:val="None"/>
          <w:rFonts w:ascii="Calibri" w:hAnsi="Calibri"/>
          <w:sz w:val="22"/>
          <w:szCs w:val="22"/>
          <w:rtl w:val="0"/>
          <w:lang w:val="en-US"/>
        </w:rPr>
        <w:t>In</w:t>
      </w:r>
      <w:r>
        <w:rPr>
          <w:rStyle w:val="None"/>
          <w:rFonts w:ascii="Calibri" w:hAnsi="Calibri"/>
          <w:sz w:val="22"/>
          <w:szCs w:val="22"/>
          <w:rtl w:val="0"/>
          <w:lang w:val="en-US"/>
        </w:rPr>
        <w:t xml:space="preserve"> </w:t>
      </w:r>
      <w:r>
        <w:rPr>
          <w:rStyle w:val="None"/>
          <w:rFonts w:ascii="Calibri" w:hAnsi="Calibri"/>
          <w:b w:val="1"/>
          <w:bCs w:val="1"/>
          <w:sz w:val="22"/>
          <w:szCs w:val="22"/>
          <w:rtl w:val="0"/>
          <w:lang w:val="en-US"/>
        </w:rPr>
        <w:t>Paki</w:t>
      </w:r>
      <w:r>
        <w:rPr>
          <w:rStyle w:val="None"/>
          <w:rFonts w:ascii="Calibri" w:hAnsi="Calibri"/>
          <w:b w:val="1"/>
          <w:bCs w:val="1"/>
          <w:sz w:val="22"/>
          <w:szCs w:val="22"/>
          <w:rtl w:val="0"/>
          <w:lang w:val="en-US"/>
        </w:rPr>
        <w:t>st</w:t>
      </w:r>
      <w:r>
        <w:rPr>
          <w:rStyle w:val="None"/>
          <w:rFonts w:ascii="Calibri" w:hAnsi="Calibri"/>
          <w:b w:val="1"/>
          <w:bCs w:val="1"/>
          <w:sz w:val="22"/>
          <w:szCs w:val="22"/>
          <w:rtl w:val="0"/>
          <w:lang w:val="en-US"/>
        </w:rPr>
        <w:t>an</w:t>
      </w:r>
      <w:r>
        <w:rPr>
          <w:rStyle w:val="None"/>
          <w:rFonts w:ascii="Calibri" w:hAnsi="Calibri"/>
          <w:sz w:val="22"/>
          <w:szCs w:val="22"/>
          <w:rtl w:val="0"/>
          <w:lang w:val="en-US"/>
        </w:rPr>
        <w:t>, Parliament was supposed to consider a proposal by the Law Ministry that would remove death as a punishment for drug possession and tracking above certain quantities, replacing it with life imprisonment. If adopted, Pakistan would become the first country in over 15 years to remove the death penalty for drug offences from its books. Such a decision could also benefit the dozens of Pakistani nationals currently on death row, or facing capital punishment, abroad, potentially facilitating repatriations</w:t>
      </w:r>
      <w:r>
        <w:rPr>
          <w:rStyle w:val="None"/>
          <w:rFonts w:ascii="Calibri" w:hAnsi="Calibri"/>
          <w:sz w:val="22"/>
          <w:szCs w:val="22"/>
          <w:rtl w:val="0"/>
          <w:lang w:val="en-US"/>
        </w:rPr>
        <w:t xml:space="preserve">. </w:t>
      </w:r>
      <w:r>
        <w:rPr>
          <w:rStyle w:val="None"/>
          <w:rFonts w:ascii="Calibri" w:hAnsi="Calibri"/>
          <w:sz w:val="22"/>
          <w:szCs w:val="22"/>
          <w:rtl w:val="0"/>
          <w:lang w:val="en-US"/>
        </w:rPr>
        <w:t>Recent development</w:t>
      </w:r>
      <w:r>
        <w:rPr>
          <w:rStyle w:val="None"/>
          <w:rFonts w:ascii="Calibri" w:hAnsi="Calibri"/>
          <w:sz w:val="22"/>
          <w:szCs w:val="22"/>
          <w:rtl w:val="0"/>
          <w:lang w:val="en-US"/>
        </w:rPr>
        <w:t>s</w:t>
      </w:r>
      <w:r>
        <w:rPr>
          <w:rStyle w:val="None"/>
          <w:rFonts w:ascii="Calibri" w:hAnsi="Calibri"/>
          <w:sz w:val="22"/>
          <w:szCs w:val="22"/>
          <w:rtl w:val="0"/>
          <w:lang w:val="en-US"/>
        </w:rPr>
        <w:t xml:space="preserve"> in the country</w:t>
      </w:r>
      <w:r>
        <w:rPr>
          <w:rStyle w:val="None"/>
          <w:rFonts w:ascii="Calibri" w:hAnsi="Calibri"/>
          <w:sz w:val="22"/>
          <w:szCs w:val="22"/>
          <w:rtl w:val="0"/>
          <w:lang w:val="en-US"/>
        </w:rPr>
        <w:t>, however,</w:t>
      </w:r>
      <w:r>
        <w:rPr>
          <w:rStyle w:val="None"/>
          <w:rFonts w:ascii="Calibri" w:hAnsi="Calibri"/>
          <w:sz w:val="22"/>
          <w:szCs w:val="22"/>
          <w:rtl w:val="0"/>
          <w:lang w:val="en-US"/>
        </w:rPr>
        <w:t xml:space="preserve"> </w:t>
      </w:r>
      <w:r>
        <w:rPr>
          <w:rStyle w:val="None"/>
          <w:rFonts w:ascii="Calibri" w:hAnsi="Calibri"/>
          <w:sz w:val="22"/>
          <w:szCs w:val="22"/>
          <w:rtl w:val="0"/>
          <w:lang w:val="en-US"/>
        </w:rPr>
        <w:t>dampen</w:t>
      </w:r>
      <w:r>
        <w:rPr>
          <w:rStyle w:val="None"/>
          <w:rFonts w:ascii="Calibri" w:hAnsi="Calibri"/>
          <w:sz w:val="22"/>
          <w:szCs w:val="22"/>
          <w:rtl w:val="0"/>
          <w:lang w:val="en-US"/>
        </w:rPr>
        <w:t xml:space="preserve"> hope that this process will still continue.</w:t>
      </w:r>
    </w:p>
    <w:p>
      <w:pPr>
        <w:pStyle w:val="Body A"/>
        <w:jc w:val="both"/>
        <w:rPr>
          <w:rStyle w:val="None"/>
          <w:rFonts w:ascii="Calibri" w:cs="Calibri" w:hAnsi="Calibri" w:eastAsia="Calibri"/>
          <w:sz w:val="22"/>
          <w:szCs w:val="22"/>
        </w:rPr>
      </w:pPr>
    </w:p>
    <w:p>
      <w:pPr>
        <w:pStyle w:val="Body A"/>
        <w:jc w:val="both"/>
        <w:rPr>
          <w:rStyle w:val="None"/>
          <w:rFonts w:ascii="Calibri" w:cs="Calibri" w:hAnsi="Calibri" w:eastAsia="Calibri"/>
          <w:sz w:val="22"/>
          <w:szCs w:val="22"/>
        </w:rPr>
      </w:pPr>
      <w:r>
        <w:rPr>
          <w:rStyle w:val="None"/>
          <w:rFonts w:ascii="Calibri" w:hAnsi="Calibri"/>
          <w:sz w:val="22"/>
          <w:szCs w:val="22"/>
          <w:rtl w:val="0"/>
          <w:lang w:val="en-US"/>
        </w:rPr>
        <w:t xml:space="preserve">In the </w:t>
      </w:r>
      <w:r>
        <w:rPr>
          <w:rStyle w:val="None"/>
          <w:rFonts w:ascii="Calibri" w:hAnsi="Calibri"/>
          <w:b w:val="1"/>
          <w:bCs w:val="1"/>
          <w:sz w:val="22"/>
          <w:szCs w:val="22"/>
          <w:rtl w:val="0"/>
          <w:lang w:val="en-US"/>
        </w:rPr>
        <w:t>Philippines</w:t>
      </w:r>
      <w:r>
        <w:rPr>
          <w:rStyle w:val="None"/>
          <w:rFonts w:ascii="Calibri" w:hAnsi="Calibri"/>
          <w:sz w:val="22"/>
          <w:szCs w:val="22"/>
          <w:rtl w:val="0"/>
          <w:lang w:val="en-US"/>
        </w:rPr>
        <w:t>, a</w:t>
      </w:r>
      <w:r>
        <w:rPr>
          <w:rStyle w:val="None"/>
          <w:rFonts w:ascii="Calibri" w:hAnsi="Calibri"/>
          <w:sz w:val="22"/>
          <w:szCs w:val="22"/>
          <w:rtl w:val="0"/>
          <w:lang w:val="en-US"/>
        </w:rPr>
        <w:t>ttempts are ongoing to reintroduce capital punishment, as part of the government</w:t>
      </w:r>
      <w:r>
        <w:rPr>
          <w:rStyle w:val="None"/>
          <w:sz w:val="22"/>
          <w:szCs w:val="22"/>
          <w:rtl w:val="1"/>
          <w:lang w:val="ar-SA" w:bidi="ar-SA"/>
        </w:rPr>
        <w:t>’</w:t>
      </w:r>
      <w:r>
        <w:rPr>
          <w:rStyle w:val="None"/>
          <w:rFonts w:ascii="Calibri" w:hAnsi="Calibri"/>
          <w:sz w:val="22"/>
          <w:szCs w:val="22"/>
          <w:rtl w:val="0"/>
          <w:lang w:val="en-US"/>
        </w:rPr>
        <w:t xml:space="preserve">s infamous </w:t>
      </w:r>
      <w:r>
        <w:rPr>
          <w:rStyle w:val="None"/>
          <w:sz w:val="22"/>
          <w:szCs w:val="22"/>
          <w:rtl w:val="1"/>
          <w:lang w:val="ar-SA" w:bidi="ar-SA"/>
        </w:rPr>
        <w:t>‘</w:t>
      </w:r>
      <w:r>
        <w:rPr>
          <w:rStyle w:val="None"/>
          <w:rFonts w:ascii="Calibri" w:hAnsi="Calibri"/>
          <w:sz w:val="22"/>
          <w:szCs w:val="22"/>
          <w:rtl w:val="0"/>
          <w:lang w:val="en-US"/>
        </w:rPr>
        <w:t>war on drugs</w:t>
      </w:r>
      <w:r>
        <w:rPr>
          <w:rStyle w:val="None"/>
          <w:sz w:val="22"/>
          <w:szCs w:val="22"/>
          <w:rtl w:val="1"/>
          <w:lang w:val="ar-SA" w:bidi="ar-SA"/>
        </w:rPr>
        <w:t>’</w:t>
      </w:r>
      <w:r>
        <w:rPr>
          <w:rStyle w:val="None"/>
          <w:rFonts w:ascii="Calibri" w:hAnsi="Calibri"/>
          <w:sz w:val="22"/>
          <w:szCs w:val="22"/>
          <w:rtl w:val="0"/>
          <w:lang w:val="en-US"/>
        </w:rPr>
        <w:t>. In March 2021, the House of Representatives adopted House Bill 7814, which envisages the reinstatement of the death penalty for certain drug crimes, in violation of the country</w:t>
      </w:r>
      <w:r>
        <w:rPr>
          <w:rStyle w:val="None"/>
          <w:sz w:val="22"/>
          <w:szCs w:val="22"/>
          <w:rtl w:val="1"/>
          <w:lang w:val="ar-SA" w:bidi="ar-SA"/>
        </w:rPr>
        <w:t>’</w:t>
      </w:r>
      <w:r>
        <w:rPr>
          <w:rStyle w:val="None"/>
          <w:rFonts w:ascii="Calibri" w:hAnsi="Calibri"/>
          <w:sz w:val="22"/>
          <w:szCs w:val="22"/>
          <w:rtl w:val="0"/>
          <w:lang w:val="en-US"/>
        </w:rPr>
        <w:t>s obligations under the second Optional Protocol of the ICCPR.</w:t>
      </w:r>
      <w:r>
        <w:rPr>
          <w:rStyle w:val="None"/>
          <w:rFonts w:ascii="Calibri" w:cs="Calibri" w:hAnsi="Calibri" w:eastAsia="Calibri"/>
          <w:sz w:val="22"/>
          <w:szCs w:val="22"/>
          <w:vertAlign w:val="superscript"/>
          <w:lang w:val="en-US"/>
        </w:rPr>
        <w:footnoteReference w:id="8"/>
      </w:r>
      <w:r>
        <w:rPr>
          <w:rStyle w:val="None"/>
          <w:rFonts w:ascii="Calibri" w:hAnsi="Calibri"/>
          <w:sz w:val="22"/>
          <w:szCs w:val="22"/>
          <w:rtl w:val="0"/>
          <w:lang w:val="en-US"/>
        </w:rPr>
        <w:t xml:space="preserve"> The Bill is currently scheduled for discussion at the Senate, however, it may be postponed ahead of the Presidential elections in May 2022. What happens next is unclear. While the withdrawal of Senate Bill no. 27 from consideration</w:t>
      </w:r>
      <w:r>
        <w:rPr>
          <w:rStyle w:val="None"/>
          <w:rFonts w:ascii="Calibri" w:cs="Calibri" w:hAnsi="Calibri" w:eastAsia="Calibri"/>
          <w:sz w:val="22"/>
          <w:szCs w:val="22"/>
          <w:vertAlign w:val="superscript"/>
          <w:lang w:val="en-US"/>
        </w:rPr>
        <w:footnoteReference w:id="9"/>
      </w:r>
      <w:r>
        <w:rPr>
          <w:rStyle w:val="None"/>
          <w:rFonts w:ascii="Calibri" w:hAnsi="Calibri"/>
          <w:sz w:val="22"/>
          <w:szCs w:val="22"/>
          <w:rtl w:val="0"/>
          <w:lang w:val="en-US"/>
        </w:rPr>
        <w:t xml:space="preserve"> may signal that support for this move is dwindling in Parliament, Ferdinand Marcos Jr., one of the favourites in the upcoming presidential election, has in the past expressed his support for the death penalty for drug tracking.</w:t>
      </w:r>
      <w:r>
        <w:rPr>
          <w:rStyle w:val="None"/>
          <w:rFonts w:ascii="Calibri" w:cs="Calibri" w:hAnsi="Calibri" w:eastAsia="Calibri"/>
          <w:sz w:val="22"/>
          <w:szCs w:val="22"/>
          <w:vertAlign w:val="superscript"/>
          <w:lang w:val="en-US"/>
        </w:rPr>
        <w:footnoteReference w:id="10"/>
      </w:r>
      <w:r>
        <w:rPr>
          <w:rStyle w:val="None"/>
          <w:rFonts w:ascii="Calibri" w:hAnsi="Calibri"/>
          <w:sz w:val="22"/>
          <w:szCs w:val="22"/>
          <w:rtl w:val="0"/>
          <w:lang w:val="en-US"/>
        </w:rPr>
        <w:t xml:space="preserve"> It is worth noting that reintroducing the death penalty may have dire consequences not only for Filipinos in the country, but also for migrant workers: a 2021 report by the NGOs Migrant Care and Reprieve concluded that there are 62 Philippines nationals facing the death penalty worldwide - 49 of which are in Malaysia alone - and 37% of this total are being tried for drug off</w:t>
      </w:r>
      <w:r>
        <w:rPr>
          <w:rStyle w:val="None"/>
          <w:rFonts w:ascii="Calibri" w:hAnsi="Calibri"/>
          <w:sz w:val="22"/>
          <w:szCs w:val="22"/>
          <w:rtl w:val="0"/>
          <w:lang w:val="pt-PT"/>
        </w:rPr>
        <w:t>ences.</w:t>
      </w:r>
      <w:r>
        <w:rPr>
          <w:rStyle w:val="None"/>
          <w:rFonts w:ascii="Calibri" w:cs="Calibri" w:hAnsi="Calibri" w:eastAsia="Calibri"/>
          <w:sz w:val="22"/>
          <w:szCs w:val="22"/>
          <w:vertAlign w:val="superscript"/>
          <w:lang w:val="en-US"/>
        </w:rPr>
        <w:footnoteReference w:id="11"/>
      </w:r>
    </w:p>
    <w:p>
      <w:pPr>
        <w:pStyle w:val="Body A"/>
        <w:jc w:val="both"/>
        <w:rPr>
          <w:rStyle w:val="None"/>
          <w:rFonts w:ascii="Calibri" w:cs="Calibri" w:hAnsi="Calibri" w:eastAsia="Calibri"/>
          <w:sz w:val="22"/>
          <w:szCs w:val="22"/>
        </w:rPr>
      </w:pPr>
    </w:p>
    <w:p>
      <w:pPr>
        <w:pStyle w:val="Body A"/>
        <w:jc w:val="both"/>
        <w:rPr>
          <w:rStyle w:val="None"/>
          <w:rFonts w:ascii="Calibri" w:cs="Calibri" w:hAnsi="Calibri" w:eastAsia="Calibri"/>
          <w:sz w:val="22"/>
          <w:szCs w:val="22"/>
        </w:rPr>
      </w:pPr>
      <w:r>
        <w:rPr>
          <w:rStyle w:val="None"/>
          <w:rFonts w:ascii="Calibri" w:hAnsi="Calibri"/>
          <w:sz w:val="22"/>
          <w:szCs w:val="22"/>
          <w:rtl w:val="0"/>
          <w:lang w:val="en-US"/>
        </w:rPr>
        <w:t xml:space="preserve">No drug-related executions were carried out in </w:t>
      </w:r>
      <w:r>
        <w:rPr>
          <w:rStyle w:val="None"/>
          <w:rFonts w:ascii="Calibri" w:hAnsi="Calibri"/>
          <w:b w:val="1"/>
          <w:bCs w:val="1"/>
          <w:sz w:val="22"/>
          <w:szCs w:val="22"/>
          <w:rtl w:val="0"/>
          <w:lang w:val="it-IT"/>
        </w:rPr>
        <w:t xml:space="preserve">Saudi Arabia </w:t>
      </w:r>
      <w:r>
        <w:rPr>
          <w:rStyle w:val="None"/>
          <w:rFonts w:ascii="Calibri" w:hAnsi="Calibri"/>
          <w:sz w:val="22"/>
          <w:szCs w:val="22"/>
          <w:rtl w:val="0"/>
          <w:lang w:val="en-US"/>
        </w:rPr>
        <w:t>in 2021, for the first year in over a decade. This development, due to an ongoing moratorium on drug-related executions in the Kingdom, is significant, especially considering that in 2019, 84 drug-related executions were reported, with more likely to have taken place. However, as the moratorium has not yet been formalised or finalised via law reform, executions may restart at any time. According to civil society organisations such as the European Saudi Organisation for Human Rights,</w:t>
      </w:r>
      <w:r>
        <w:rPr>
          <w:rStyle w:val="None"/>
          <w:rFonts w:ascii="Calibri" w:cs="Calibri" w:hAnsi="Calibri" w:eastAsia="Calibri"/>
          <w:sz w:val="22"/>
          <w:szCs w:val="22"/>
          <w:vertAlign w:val="superscript"/>
          <w:lang w:val="en-US"/>
        </w:rPr>
        <w:footnoteReference w:id="12"/>
      </w:r>
      <w:r>
        <w:rPr>
          <w:rStyle w:val="None"/>
          <w:rFonts w:ascii="Calibri" w:hAnsi="Calibri"/>
          <w:sz w:val="22"/>
          <w:szCs w:val="22"/>
          <w:rtl w:val="0"/>
          <w:lang w:val="en-US"/>
        </w:rPr>
        <w:t xml:space="preserve"> death sentences continue to be imposed and people on death row for drug crimes have not undergone retrials or seen their sentences commuted. Absent more substantial reforms, these individuals are still at imminent risk of execution.</w:t>
      </w:r>
    </w:p>
    <w:p>
      <w:pPr>
        <w:pStyle w:val="Body A"/>
        <w:jc w:val="both"/>
        <w:rPr>
          <w:rStyle w:val="None"/>
          <w:rFonts w:ascii="Calibri" w:cs="Calibri" w:hAnsi="Calibri" w:eastAsia="Calibri"/>
          <w:sz w:val="22"/>
          <w:szCs w:val="22"/>
        </w:rPr>
      </w:pPr>
    </w:p>
    <w:p>
      <w:pPr>
        <w:pStyle w:val="Body A"/>
        <w:jc w:val="both"/>
        <w:rPr>
          <w:rStyle w:val="None"/>
          <w:rFonts w:ascii="Calibri" w:cs="Calibri" w:hAnsi="Calibri" w:eastAsia="Calibri"/>
          <w:sz w:val="22"/>
          <w:szCs w:val="22"/>
        </w:rPr>
      </w:pPr>
      <w:r>
        <w:rPr>
          <w:rStyle w:val="None"/>
          <w:rFonts w:ascii="Calibri" w:hAnsi="Calibri"/>
          <w:sz w:val="22"/>
          <w:szCs w:val="22"/>
          <w:rtl w:val="0"/>
          <w:lang w:val="en-US"/>
        </w:rPr>
        <w:t xml:space="preserve">There were also no executions in </w:t>
      </w:r>
      <w:r>
        <w:rPr>
          <w:rStyle w:val="None"/>
          <w:rFonts w:ascii="Calibri" w:hAnsi="Calibri"/>
          <w:b w:val="1"/>
          <w:bCs w:val="1"/>
          <w:sz w:val="22"/>
          <w:szCs w:val="22"/>
          <w:rtl w:val="0"/>
          <w:lang w:val="en-US"/>
        </w:rPr>
        <w:t>Singapore</w:t>
      </w:r>
      <w:r>
        <w:rPr>
          <w:rStyle w:val="None"/>
          <w:rFonts w:ascii="Calibri" w:hAnsi="Calibri"/>
          <w:sz w:val="22"/>
          <w:szCs w:val="22"/>
          <w:rtl w:val="0"/>
          <w:lang w:val="en-US"/>
        </w:rPr>
        <w:t xml:space="preserve"> for the second year in a row. Though the COVID-19 pandemic certainly played a role, the fact that one of the most committed retentionist countries refrained from carrying out executions is significant. Four notices of executions against individuals on death row for drug trafficking, however, were issued between November 2021 and February 2022. As of 10 March 2022, the executions have been halted pending judicial review.</w:t>
      </w:r>
      <w:r>
        <w:rPr>
          <w:rStyle w:val="None"/>
          <w:rFonts w:ascii="Calibri" w:cs="Calibri" w:hAnsi="Calibri" w:eastAsia="Calibri"/>
          <w:sz w:val="22"/>
          <w:szCs w:val="22"/>
          <w:vertAlign w:val="superscript"/>
          <w:lang w:val="en-US"/>
        </w:rPr>
        <w:footnoteReference w:id="13"/>
      </w:r>
      <w:r>
        <w:rPr>
          <w:rStyle w:val="None"/>
          <w:rFonts w:ascii="Calibri" w:hAnsi="Calibri"/>
          <w:sz w:val="22"/>
          <w:szCs w:val="22"/>
          <w:rtl w:val="0"/>
          <w:lang w:val="en-US"/>
        </w:rPr>
        <w:t xml:space="preserve"> On 31 March 2022, the family of Nagaenthran K Dharmalingam, one of the four individuals who had received such notice, was notified that the recently submitted request for clemency was rejected, meaning a new notice of execution may be issued at any time. </w:t>
      </w:r>
    </w:p>
    <w:p>
      <w:pPr>
        <w:pStyle w:val="Body A"/>
        <w:jc w:val="both"/>
        <w:rPr>
          <w:rStyle w:val="None"/>
          <w:rFonts w:ascii="Calibri" w:cs="Calibri" w:hAnsi="Calibri" w:eastAsia="Calibri"/>
          <w:sz w:val="22"/>
          <w:szCs w:val="22"/>
        </w:rPr>
      </w:pPr>
    </w:p>
    <w:p>
      <w:pPr>
        <w:pStyle w:val="Body A"/>
        <w:jc w:val="both"/>
        <w:rPr>
          <w:rStyle w:val="None"/>
          <w:rFonts w:ascii="Calibri" w:cs="Calibri" w:hAnsi="Calibri" w:eastAsia="Calibri"/>
          <w:sz w:val="22"/>
          <w:szCs w:val="22"/>
        </w:rPr>
      </w:pPr>
      <w:r>
        <w:rPr>
          <w:rStyle w:val="None"/>
          <w:rFonts w:ascii="Calibri" w:hAnsi="Calibri"/>
          <w:sz w:val="22"/>
          <w:szCs w:val="22"/>
          <w:rtl w:val="0"/>
          <w:lang w:val="en-US"/>
        </w:rPr>
        <w:t xml:space="preserve">In January 2021, the government of </w:t>
      </w:r>
      <w:r>
        <w:rPr>
          <w:rStyle w:val="None"/>
          <w:rFonts w:ascii="Calibri" w:hAnsi="Calibri"/>
          <w:b w:val="1"/>
          <w:bCs w:val="1"/>
          <w:sz w:val="22"/>
          <w:szCs w:val="22"/>
          <w:rtl w:val="0"/>
          <w:lang w:val="en-US"/>
        </w:rPr>
        <w:t>Sri Lanka</w:t>
      </w:r>
      <w:r>
        <w:rPr>
          <w:rStyle w:val="None"/>
          <w:rFonts w:ascii="Calibri" w:hAnsi="Calibri"/>
          <w:sz w:val="22"/>
          <w:szCs w:val="22"/>
          <w:rtl w:val="0"/>
          <w:lang w:val="en-US"/>
        </w:rPr>
        <w:t xml:space="preserve"> announced that the death sentences of all individuals convicted after 1998 would be commuted by presidential pardon, except those imposed for </w:t>
      </w:r>
      <w:r>
        <w:rPr>
          <w:rStyle w:val="None"/>
          <w:sz w:val="22"/>
          <w:szCs w:val="22"/>
          <w:rtl w:val="1"/>
          <w:lang w:val="ar-SA" w:bidi="ar-SA"/>
        </w:rPr>
        <w:t>‘</w:t>
      </w:r>
      <w:r>
        <w:rPr>
          <w:rStyle w:val="None"/>
          <w:rFonts w:ascii="Calibri" w:hAnsi="Calibri"/>
          <w:sz w:val="22"/>
          <w:szCs w:val="22"/>
          <w:rtl w:val="0"/>
          <w:lang w:val="en-US"/>
        </w:rPr>
        <w:t>large-scale drug trafficking</w:t>
      </w:r>
      <w:r>
        <w:rPr>
          <w:rStyle w:val="None"/>
          <w:rFonts w:ascii="Calibri" w:hAnsi="Calibri" w:hint="default"/>
          <w:sz w:val="22"/>
          <w:szCs w:val="22"/>
          <w:rtl w:val="0"/>
          <w:lang w:val="en-US"/>
        </w:rPr>
        <w:t xml:space="preserve">’ </w:t>
      </w:r>
      <w:r>
        <w:rPr>
          <w:rStyle w:val="None"/>
          <w:rFonts w:ascii="Calibri" w:hAnsi="Calibri"/>
          <w:sz w:val="22"/>
          <w:szCs w:val="22"/>
          <w:rtl w:val="0"/>
          <w:lang w:val="en-US"/>
        </w:rPr>
        <w:t>(a category which is not clearly defined under Sri Lankan law).</w:t>
      </w:r>
      <w:r>
        <w:rPr>
          <w:rStyle w:val="None"/>
          <w:rFonts w:ascii="Calibri" w:hAnsi="Calibri"/>
          <w:sz w:val="22"/>
          <w:szCs w:val="22"/>
          <w:rtl w:val="0"/>
          <w:lang w:val="en-US"/>
        </w:rPr>
        <w:t xml:space="preserve"> </w:t>
      </w:r>
      <w:r>
        <w:rPr>
          <w:rStyle w:val="None"/>
          <w:rFonts w:ascii="Calibri" w:hAnsi="Calibri"/>
          <w:sz w:val="22"/>
          <w:szCs w:val="22"/>
          <w:rtl w:val="0"/>
          <w:lang w:val="en-US"/>
        </w:rPr>
        <w:t>Limited information is available on whether and how this discriminatory policy was implemented, and it does not appear that any collect</w:t>
      </w:r>
      <w:r>
        <w:rPr>
          <w:rStyle w:val="None"/>
          <w:rFonts w:ascii="Calibri" w:hAnsi="Calibri"/>
          <w:sz w:val="22"/>
          <w:szCs w:val="22"/>
          <w:rtl w:val="0"/>
          <w:lang w:val="fr-FR"/>
        </w:rPr>
        <w:t xml:space="preserve">ive pardon </w:t>
      </w:r>
      <w:r>
        <w:rPr>
          <w:rStyle w:val="None"/>
          <w:rFonts w:ascii="Calibri" w:hAnsi="Calibri"/>
          <w:sz w:val="22"/>
          <w:szCs w:val="22"/>
          <w:rtl w:val="0"/>
          <w:lang w:val="en-US"/>
        </w:rPr>
        <w:t>has yet been issued.</w:t>
      </w:r>
    </w:p>
    <w:p>
      <w:pPr>
        <w:pStyle w:val="Body A"/>
        <w:jc w:val="both"/>
        <w:rPr>
          <w:rStyle w:val="None"/>
          <w:rFonts w:ascii="Calibri" w:cs="Calibri" w:hAnsi="Calibri" w:eastAsia="Calibri"/>
          <w:sz w:val="22"/>
          <w:szCs w:val="22"/>
        </w:rPr>
      </w:pPr>
    </w:p>
    <w:p>
      <w:pPr>
        <w:pStyle w:val="Body A"/>
        <w:jc w:val="both"/>
        <w:rPr>
          <w:rStyle w:val="None"/>
          <w:rFonts w:ascii="Calibri" w:cs="Calibri" w:hAnsi="Calibri" w:eastAsia="Calibri"/>
          <w:sz w:val="22"/>
          <w:szCs w:val="22"/>
        </w:rPr>
      </w:pPr>
      <w:r>
        <w:rPr>
          <w:rStyle w:val="None"/>
          <w:rFonts w:ascii="Calibri" w:hAnsi="Calibri"/>
          <w:sz w:val="22"/>
          <w:szCs w:val="22"/>
          <w:rtl w:val="0"/>
          <w:lang w:val="en-US"/>
        </w:rPr>
        <w:t xml:space="preserve">In </w:t>
      </w:r>
      <w:r>
        <w:rPr>
          <w:rStyle w:val="None"/>
          <w:rFonts w:ascii="Calibri" w:hAnsi="Calibri"/>
          <w:b w:val="1"/>
          <w:bCs w:val="1"/>
          <w:sz w:val="22"/>
          <w:szCs w:val="22"/>
          <w:rtl w:val="0"/>
          <w:lang w:val="en-US"/>
        </w:rPr>
        <w:t>Vietnam</w:t>
      </w:r>
      <w:r>
        <w:rPr>
          <w:rStyle w:val="None"/>
          <w:rFonts w:ascii="Calibri" w:hAnsi="Calibri"/>
          <w:sz w:val="22"/>
          <w:szCs w:val="22"/>
          <w:rtl w:val="0"/>
          <w:lang w:val="en-US"/>
        </w:rPr>
        <w:t>, 87 drug-related death sentences were reported by media and courts in 2021, likely a fraction of those imposed. According to a government report, a sharp increase in death sentences - roughly 30% - is leading to overcrowding.</w:t>
      </w:r>
      <w:r>
        <w:rPr>
          <w:rStyle w:val="None"/>
          <w:rFonts w:ascii="Calibri" w:cs="Calibri" w:hAnsi="Calibri" w:eastAsia="Calibri"/>
          <w:sz w:val="22"/>
          <w:szCs w:val="22"/>
          <w:vertAlign w:val="superscript"/>
          <w:lang w:val="en-US"/>
        </w:rPr>
        <w:footnoteReference w:id="14"/>
      </w:r>
    </w:p>
    <w:p>
      <w:pPr>
        <w:pStyle w:val="Body A"/>
        <w:jc w:val="both"/>
        <w:rPr>
          <w:rStyle w:val="None"/>
          <w:rFonts w:ascii="Calibri" w:cs="Calibri" w:hAnsi="Calibri" w:eastAsia="Calibri"/>
          <w:sz w:val="22"/>
          <w:szCs w:val="22"/>
        </w:rPr>
      </w:pPr>
    </w:p>
    <w:p>
      <w:pPr>
        <w:pStyle w:val="List Paragraph"/>
        <w:numPr>
          <w:ilvl w:val="0"/>
          <w:numId w:val="2"/>
        </w:numPr>
        <w:bidi w:val="0"/>
        <w:ind w:right="0"/>
        <w:jc w:val="both"/>
        <w:rPr>
          <w:rFonts w:ascii="Calibri" w:hAnsi="Calibri"/>
          <w:b w:val="1"/>
          <w:bCs w:val="1"/>
          <w:sz w:val="22"/>
          <w:szCs w:val="22"/>
          <w:rtl w:val="0"/>
          <w:lang w:val="en-US"/>
        </w:rPr>
      </w:pPr>
      <w:r>
        <w:rPr>
          <w:rStyle w:val="None"/>
          <w:rFonts w:ascii="Calibri" w:hAnsi="Calibri"/>
          <w:b w:val="1"/>
          <w:bCs w:val="1"/>
          <w:sz w:val="22"/>
          <w:szCs w:val="22"/>
          <w:rtl w:val="0"/>
          <w:lang w:val="en-US"/>
        </w:rPr>
        <w:t>Final remarks</w:t>
      </w:r>
    </w:p>
    <w:p>
      <w:pPr>
        <w:pStyle w:val="Body A"/>
        <w:jc w:val="both"/>
        <w:rPr>
          <w:rStyle w:val="None"/>
          <w:rFonts w:ascii="Calibri" w:cs="Calibri" w:hAnsi="Calibri" w:eastAsia="Calibri"/>
          <w:sz w:val="22"/>
          <w:szCs w:val="22"/>
        </w:rPr>
      </w:pPr>
    </w:p>
    <w:p>
      <w:pPr>
        <w:pStyle w:val="Body A"/>
        <w:jc w:val="both"/>
        <w:rPr>
          <w:rStyle w:val="None"/>
          <w:rFonts w:ascii="Calibri" w:cs="Calibri" w:hAnsi="Calibri" w:eastAsia="Calibri"/>
          <w:sz w:val="22"/>
          <w:szCs w:val="22"/>
        </w:rPr>
      </w:pPr>
      <w:r>
        <w:rPr>
          <w:rStyle w:val="None"/>
          <w:rFonts w:ascii="Calibri" w:hAnsi="Calibri"/>
          <w:sz w:val="22"/>
          <w:szCs w:val="22"/>
          <w:rtl w:val="0"/>
          <w:lang w:val="en-US"/>
        </w:rPr>
        <w:t>While the world moves closer to fully abolishing the death penalty, countries that retain the penalty for drug offences remain resistant. They are also some of the most opaque when it comes to data on their use of the death penalty.</w:t>
      </w:r>
      <w:r>
        <w:rPr>
          <w:rStyle w:val="None"/>
          <w:rFonts w:ascii="Calibri" w:hAnsi="Calibri"/>
          <w:sz w:val="22"/>
          <w:szCs w:val="22"/>
          <w:rtl w:val="0"/>
          <w:lang w:val="en-US"/>
        </w:rPr>
        <w:t xml:space="preserve"> </w:t>
      </w:r>
      <w:r>
        <w:rPr>
          <w:rStyle w:val="None"/>
          <w:rFonts w:ascii="Calibri" w:hAnsi="Calibri"/>
          <w:sz w:val="22"/>
          <w:szCs w:val="22"/>
          <w:rtl w:val="0"/>
          <w:lang w:val="en-US"/>
        </w:rPr>
        <w:t xml:space="preserve">The trends and developments identified in 2021 confirm that any progress is fragile and often temporary if not sustained by long-term, comprehensive reforms. They also illustrate that executions are just the </w:t>
      </w:r>
      <w:r>
        <w:rPr>
          <w:rStyle w:val="None"/>
          <w:sz w:val="22"/>
          <w:szCs w:val="22"/>
          <w:rtl w:val="1"/>
          <w:lang w:val="ar-SA" w:bidi="ar-SA"/>
        </w:rPr>
        <w:t>‘</w:t>
      </w:r>
      <w:r>
        <w:rPr>
          <w:rStyle w:val="None"/>
          <w:rFonts w:ascii="Calibri" w:hAnsi="Calibri"/>
          <w:sz w:val="22"/>
          <w:szCs w:val="22"/>
          <w:rtl w:val="0"/>
          <w:lang w:val="en-US"/>
        </w:rPr>
        <w:t>tip of the iceberg</w:t>
      </w:r>
      <w:r>
        <w:rPr>
          <w:rStyle w:val="None"/>
          <w:sz w:val="22"/>
          <w:szCs w:val="22"/>
          <w:rtl w:val="1"/>
          <w:lang w:val="ar-SA" w:bidi="ar-SA"/>
        </w:rPr>
        <w:t xml:space="preserve">’ </w:t>
      </w:r>
      <w:r>
        <w:rPr>
          <w:rStyle w:val="None"/>
          <w:rFonts w:ascii="Calibri" w:hAnsi="Calibri"/>
          <w:sz w:val="22"/>
          <w:szCs w:val="22"/>
          <w:rtl w:val="0"/>
          <w:lang w:val="en-US"/>
        </w:rPr>
        <w:t>- the most visible element of a broader punitive system which should be reformed in its entirety. Finally, they are a stark reminder of the inherently political nature of capital punishment, and that abolition of the death penalty should be approached not as the end goal, but rather as an essential milestone in the broader reform of drug policy and the criminal legal system.</w:t>
      </w:r>
    </w:p>
    <w:p>
      <w:pPr>
        <w:pStyle w:val="Body A"/>
        <w:jc w:val="both"/>
        <w:rPr>
          <w:rStyle w:val="None"/>
          <w:rFonts w:ascii="Calibri" w:cs="Calibri" w:hAnsi="Calibri" w:eastAsia="Calibri"/>
          <w:sz w:val="22"/>
          <w:szCs w:val="22"/>
        </w:rPr>
      </w:pPr>
    </w:p>
    <w:p>
      <w:pPr>
        <w:pStyle w:val="Body A"/>
        <w:jc w:val="both"/>
      </w:pPr>
      <w:r>
        <w:rPr>
          <w:rStyle w:val="None"/>
          <w:rFonts w:ascii="Calibri" w:cs="Calibri" w:hAnsi="Calibri" w:eastAsia="Calibri"/>
          <w:sz w:val="22"/>
          <w:szCs w:val="22"/>
        </w:rPr>
      </w:r>
    </w:p>
    <w:sectPr>
      <w:headerReference w:type="default" r:id="rId9"/>
      <w:headerReference w:type="first" r:id="rId10"/>
      <w:footerReference w:type="default" r:id="rId11"/>
      <w:footerReference w:type="first" r:id="rId12"/>
      <w:pgSz w:w="11900" w:h="16840" w:orient="portrait"/>
      <w:pgMar w:top="1440" w:right="1440" w:bottom="1440" w:left="1440" w:header="708" w:footer="708"/>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Open San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000"/>
        <w:tab w:val="clear" w:pos="9026"/>
      </w:tabs>
      <w:jc w:val="center"/>
    </w:pPr>
    <w:r>
      <w:rPr>
        <w:rFonts w:ascii="Calibri" w:hAnsi="Calibri"/>
        <w:sz w:val="20"/>
        <w:szCs w:val="20"/>
      </w:rPr>
      <w:fldChar w:fldCharType="begin" w:fldLock="0"/>
    </w:r>
    <w:r>
      <w:rPr>
        <w:rFonts w:ascii="Calibri" w:hAnsi="Calibri"/>
        <w:sz w:val="20"/>
        <w:szCs w:val="20"/>
      </w:rPr>
      <w:instrText xml:space="preserve"> PAGE </w:instrText>
    </w:r>
    <w:r>
      <w:rPr>
        <w:rFonts w:ascii="Calibri" w:hAnsi="Calibri"/>
        <w:sz w:val="20"/>
        <w:szCs w:val="20"/>
      </w:rPr>
      <w:fldChar w:fldCharType="separate" w:fldLock="0"/>
    </w:r>
    <w:r>
      <w:rPr>
        <w:rFonts w:ascii="Calibri" w:hAnsi="Calibri"/>
        <w:sz w:val="20"/>
        <w:szCs w:val="20"/>
      </w:rPr>
    </w:r>
    <w:r>
      <w:rPr>
        <w:rFonts w:ascii="Calibri" w:hAnsi="Calibri"/>
        <w:sz w:val="20"/>
        <w:szCs w:val="20"/>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4.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text"/>
      </w:pPr>
      <w:r>
        <w:rPr>
          <w:rStyle w:val="None"/>
          <w:rFonts w:ascii="Calibri" w:cs="Calibri" w:hAnsi="Calibri" w:eastAsia="Calibri"/>
          <w:sz w:val="22"/>
          <w:szCs w:val="22"/>
          <w:vertAlign w:val="superscript"/>
        </w:rPr>
        <w:footnoteRef/>
      </w:r>
      <w:r>
        <w:rPr>
          <w:rStyle w:val="None"/>
          <w:rFonts w:ascii="Calibri" w:hAnsi="Calibri" w:hint="default"/>
          <w:sz w:val="16"/>
          <w:szCs w:val="16"/>
          <w:rtl w:val="0"/>
          <w:lang w:val="en-US"/>
        </w:rPr>
        <w:t xml:space="preserve"> ‘</w:t>
      </w:r>
      <w:r>
        <w:rPr>
          <w:rStyle w:val="None"/>
          <w:rFonts w:ascii="Calibri" w:hAnsi="Calibri"/>
          <w:sz w:val="16"/>
          <w:szCs w:val="16"/>
          <w:rtl w:val="0"/>
          <w:lang w:val="en-US"/>
        </w:rPr>
        <w:t>The Death Penalty for Drug Offences: Global Overview 2021</w:t>
      </w:r>
      <w:r>
        <w:rPr>
          <w:rStyle w:val="None"/>
          <w:rFonts w:ascii="Calibri" w:hAnsi="Calibri" w:hint="default"/>
          <w:sz w:val="16"/>
          <w:szCs w:val="16"/>
          <w:rtl w:val="0"/>
          <w:lang w:val="en-US"/>
        </w:rPr>
        <w:t xml:space="preserve">’ </w:t>
      </w:r>
      <w:r>
        <w:rPr>
          <w:rStyle w:val="None"/>
          <w:rFonts w:ascii="Calibri" w:hAnsi="Calibri"/>
          <w:sz w:val="16"/>
          <w:szCs w:val="16"/>
          <w:rtl w:val="0"/>
          <w:lang w:val="en-US"/>
        </w:rPr>
        <w:t xml:space="preserve">(London: Harm Reduction International, 2022), </w:t>
      </w:r>
      <w:r>
        <w:rPr>
          <w:rStyle w:val="Hyperlink.1"/>
        </w:rPr>
        <w:fldChar w:fldCharType="begin" w:fldLock="0"/>
      </w:r>
      <w:r>
        <w:rPr>
          <w:rStyle w:val="Hyperlink.1"/>
        </w:rPr>
        <w:instrText xml:space="preserve"> HYPERLINK "https://www.hri.global/death-penalty-2021"</w:instrText>
      </w:r>
      <w:r>
        <w:rPr>
          <w:rStyle w:val="Hyperlink.1"/>
        </w:rPr>
        <w:fldChar w:fldCharType="separate" w:fldLock="0"/>
      </w:r>
      <w:r>
        <w:rPr>
          <w:rStyle w:val="Hyperlink.1"/>
          <w:rFonts w:cs="Arial Unicode MS" w:eastAsia="Arial Unicode MS"/>
          <w:rtl w:val="0"/>
        </w:rPr>
        <w:t>https://www.hri.global/death-penalty-2021</w:t>
      </w:r>
      <w:r>
        <w:rPr/>
        <w:fldChar w:fldCharType="end" w:fldLock="0"/>
      </w:r>
      <w:r>
        <w:rPr>
          <w:rStyle w:val="None"/>
          <w:rFonts w:ascii="Calibri" w:hAnsi="Calibri"/>
          <w:sz w:val="16"/>
          <w:szCs w:val="16"/>
          <w:rtl w:val="0"/>
          <w:lang w:val="en-US"/>
        </w:rPr>
        <w:t xml:space="preserve">. </w:t>
      </w:r>
    </w:p>
  </w:footnote>
  <w:footnote w:id="2">
    <w:p>
      <w:pPr>
        <w:pStyle w:val="footnote text"/>
      </w:pPr>
      <w:r>
        <w:rPr>
          <w:rStyle w:val="None"/>
          <w:rFonts w:ascii="Calibri" w:cs="Calibri" w:hAnsi="Calibri" w:eastAsia="Calibri"/>
          <w:vertAlign w:val="superscript"/>
        </w:rPr>
        <w:footnoteRef/>
      </w:r>
      <w:r>
        <w:rPr>
          <w:rStyle w:val="None"/>
          <w:rFonts w:ascii="Calibri" w:hAnsi="Calibri"/>
          <w:sz w:val="16"/>
          <w:szCs w:val="16"/>
          <w:rtl w:val="0"/>
          <w:lang w:val="en-US"/>
        </w:rPr>
        <w:t xml:space="preserve"> Bahrain, Bangladesh, Brunei Darussalam, China, Cuba, Egypt, India, Indonesia, Iran, Iraq, Jordan, Kuwait, Lao PDR, Libya, Mauritania, Malaysia, Myanmar, North Korea, Oman, Pakistan, Palestine, Qatar, Saudi Arabia, Singapore, South Korea, South Sudan, Sri Lanka, Sudan, Syria, Taiwan, Thailand, United Arab Emirates, United States of America, Vietnam, Yemen</w:t>
      </w:r>
    </w:p>
  </w:footnote>
  <w:footnote w:id="3">
    <w:p>
      <w:pPr>
        <w:pStyle w:val="footnote text"/>
      </w:pPr>
      <w:r>
        <w:rPr>
          <w:rStyle w:val="None"/>
          <w:rFonts w:ascii="Calibri" w:cs="Calibri" w:hAnsi="Calibri" w:eastAsia="Calibri"/>
          <w:vertAlign w:val="superscript"/>
        </w:rPr>
        <w:footnoteRef/>
      </w:r>
      <w:r>
        <w:rPr>
          <w:rStyle w:val="None"/>
          <w:rFonts w:ascii="Calibri" w:hAnsi="Calibri"/>
          <w:sz w:val="16"/>
          <w:szCs w:val="16"/>
          <w:rtl w:val="0"/>
          <w:lang w:val="en-US"/>
        </w:rPr>
        <w:t xml:space="preserve"> Brunei Darussalam,</w:t>
      </w:r>
      <w:r>
        <w:rPr>
          <w:rStyle w:val="None"/>
          <w:rFonts w:ascii="Calibri" w:hAnsi="Calibri"/>
          <w:i w:val="1"/>
          <w:iCs w:val="1"/>
          <w:sz w:val="16"/>
          <w:szCs w:val="16"/>
          <w:rtl w:val="0"/>
          <w:lang w:val="en-US"/>
        </w:rPr>
        <w:t xml:space="preserve"> </w:t>
      </w:r>
      <w:r>
        <w:rPr>
          <w:rStyle w:val="None"/>
          <w:rFonts w:ascii="Calibri" w:hAnsi="Calibri"/>
          <w:sz w:val="16"/>
          <w:szCs w:val="16"/>
          <w:rtl w:val="0"/>
          <w:lang w:val="en-US"/>
        </w:rPr>
        <w:t xml:space="preserve">Iran, Jordan, Kuwait, Lao PDR, Malaysia, Myanmar, Oman, Singapore, Sudan, United Arab Emirates, Yemen. </w:t>
      </w:r>
    </w:p>
  </w:footnote>
  <w:footnote w:id="4">
    <w:p>
      <w:pPr>
        <w:pStyle w:val="footnote text"/>
      </w:pPr>
      <w:r>
        <w:rPr>
          <w:rStyle w:val="None"/>
          <w:rFonts w:ascii="Calibri" w:cs="Calibri" w:hAnsi="Calibri" w:eastAsia="Calibri"/>
          <w:sz w:val="22"/>
          <w:szCs w:val="22"/>
          <w:shd w:val="clear" w:color="auto" w:fill="ffffff"/>
          <w:vertAlign w:val="superscript"/>
        </w:rPr>
        <w:footnoteRef/>
      </w:r>
      <w:r>
        <w:rPr>
          <w:rStyle w:val="None"/>
          <w:rFonts w:ascii="Calibri" w:hAnsi="Calibri"/>
          <w:sz w:val="16"/>
          <w:szCs w:val="16"/>
          <w:rtl w:val="0"/>
          <w:lang w:val="en-US"/>
        </w:rPr>
        <w:t xml:space="preserve"> For more details on drug-related death sentences and executions in 2020, see </w:t>
      </w:r>
      <w:r>
        <w:rPr>
          <w:rStyle w:val="None"/>
          <w:rFonts w:ascii="Calibri" w:hAnsi="Calibri" w:hint="default"/>
          <w:sz w:val="16"/>
          <w:szCs w:val="16"/>
          <w:rtl w:val="0"/>
          <w:lang w:val="en-US"/>
        </w:rPr>
        <w:t>‘</w:t>
      </w:r>
      <w:r>
        <w:rPr>
          <w:rStyle w:val="None"/>
          <w:rFonts w:ascii="Calibri" w:hAnsi="Calibri"/>
          <w:sz w:val="16"/>
          <w:szCs w:val="16"/>
          <w:rtl w:val="0"/>
          <w:lang w:val="en-US"/>
        </w:rPr>
        <w:t>The Death Penalty for Drug Offences: Global Overview 2020</w:t>
      </w:r>
      <w:r>
        <w:rPr>
          <w:rStyle w:val="None"/>
          <w:rFonts w:ascii="Calibri" w:hAnsi="Calibri" w:hint="default"/>
          <w:sz w:val="16"/>
          <w:szCs w:val="16"/>
          <w:rtl w:val="0"/>
          <w:lang w:val="en-US"/>
        </w:rPr>
        <w:t xml:space="preserve">’ </w:t>
      </w:r>
      <w:r>
        <w:rPr>
          <w:rStyle w:val="None"/>
          <w:rFonts w:ascii="Calibri" w:hAnsi="Calibri"/>
          <w:sz w:val="16"/>
          <w:szCs w:val="16"/>
          <w:rtl w:val="0"/>
          <w:lang w:val="en-US"/>
        </w:rPr>
        <w:t xml:space="preserve">(London: Harm Reduction International, 2021),  </w:t>
      </w:r>
      <w:r>
        <w:rPr>
          <w:rStyle w:val="Hyperlink.1"/>
        </w:rPr>
        <w:fldChar w:fldCharType="begin" w:fldLock="0"/>
      </w:r>
      <w:r>
        <w:rPr>
          <w:rStyle w:val="Hyperlink.1"/>
        </w:rPr>
        <w:instrText xml:space="preserve"> HYPERLINK "https://www.hri.global/files/2021/04/07/HRI_Death_Penalty_Report_2020_FINAL.pdf"</w:instrText>
      </w:r>
      <w:r>
        <w:rPr>
          <w:rStyle w:val="Hyperlink.1"/>
        </w:rPr>
        <w:fldChar w:fldCharType="separate" w:fldLock="0"/>
      </w:r>
      <w:r>
        <w:rPr>
          <w:rStyle w:val="Hyperlink.1"/>
          <w:rFonts w:cs="Arial Unicode MS" w:eastAsia="Arial Unicode MS"/>
          <w:rtl w:val="0"/>
        </w:rPr>
        <w:t>https://www.hri.global/files/2021/04/07/HRI_Death_Penalty_Report_2020_FINAL.pdf</w:t>
      </w:r>
      <w:r>
        <w:rPr/>
        <w:fldChar w:fldCharType="end" w:fldLock="0"/>
      </w:r>
      <w:r>
        <w:rPr>
          <w:rStyle w:val="None"/>
          <w:rFonts w:ascii="Calibri" w:hAnsi="Calibri"/>
          <w:sz w:val="16"/>
          <w:szCs w:val="16"/>
          <w:rtl w:val="0"/>
          <w:lang w:val="en-US"/>
        </w:rPr>
        <w:t xml:space="preserve">. </w:t>
      </w:r>
    </w:p>
  </w:footnote>
  <w:footnote w:id="5">
    <w:p>
      <w:pPr>
        <w:pStyle w:val="footnote text"/>
      </w:pPr>
      <w:r>
        <w:rPr>
          <w:rStyle w:val="None"/>
          <w:rFonts w:ascii="Calibri" w:cs="Calibri" w:hAnsi="Calibri" w:eastAsia="Calibri"/>
          <w:sz w:val="22"/>
          <w:szCs w:val="22"/>
          <w:vertAlign w:val="superscript"/>
        </w:rPr>
        <w:footnoteRef/>
      </w:r>
      <w:r>
        <w:rPr>
          <w:rStyle w:val="None"/>
          <w:rFonts w:ascii="Calibri" w:hAnsi="Calibri"/>
          <w:sz w:val="16"/>
          <w:szCs w:val="16"/>
          <w:rtl w:val="0"/>
          <w:lang w:val="en-US"/>
        </w:rPr>
        <w:t xml:space="preserve"> Human Rights Council, </w:t>
      </w:r>
      <w:r>
        <w:rPr>
          <w:rStyle w:val="None"/>
          <w:rFonts w:ascii="Calibri" w:hAnsi="Calibri" w:hint="default"/>
          <w:sz w:val="16"/>
          <w:szCs w:val="16"/>
          <w:rtl w:val="0"/>
          <w:lang w:val="en-US"/>
        </w:rPr>
        <w:t>‘</w:t>
      </w:r>
      <w:r>
        <w:rPr>
          <w:rStyle w:val="None"/>
          <w:rFonts w:ascii="Calibri" w:hAnsi="Calibri"/>
          <w:sz w:val="16"/>
          <w:szCs w:val="16"/>
          <w:rtl w:val="0"/>
          <w:lang w:val="en-US"/>
        </w:rPr>
        <w:t>Resolution adopted by the Human Rights Council on 8 October 2021: Question of the death penalty</w:t>
      </w:r>
      <w:r>
        <w:rPr>
          <w:rStyle w:val="None"/>
          <w:rFonts w:ascii="Calibri" w:hAnsi="Calibri" w:hint="default"/>
          <w:sz w:val="16"/>
          <w:szCs w:val="16"/>
          <w:rtl w:val="0"/>
          <w:lang w:val="en-US"/>
        </w:rPr>
        <w:t>’</w:t>
      </w:r>
      <w:r>
        <w:rPr>
          <w:rStyle w:val="None"/>
          <w:rFonts w:ascii="Calibri" w:hAnsi="Calibri"/>
          <w:sz w:val="16"/>
          <w:szCs w:val="16"/>
          <w:rtl w:val="0"/>
          <w:lang w:val="en-US"/>
        </w:rPr>
        <w:t xml:space="preserve">, UN Doc. HRC/RES/48/9 (15 October 2021), </w:t>
      </w:r>
      <w:r>
        <w:rPr>
          <w:rStyle w:val="Hyperlink.1"/>
        </w:rPr>
        <w:fldChar w:fldCharType="begin" w:fldLock="0"/>
      </w:r>
      <w:r>
        <w:rPr>
          <w:rStyle w:val="Hyperlink.1"/>
        </w:rPr>
        <w:instrText xml:space="preserve"> HYPERLINK "https://undocs.org/a/hrc/res/48/9"</w:instrText>
      </w:r>
      <w:r>
        <w:rPr>
          <w:rStyle w:val="Hyperlink.1"/>
        </w:rPr>
        <w:fldChar w:fldCharType="separate" w:fldLock="0"/>
      </w:r>
      <w:r>
        <w:rPr>
          <w:rStyle w:val="Hyperlink.1"/>
          <w:rFonts w:cs="Arial Unicode MS" w:eastAsia="Arial Unicode MS"/>
          <w:rtl w:val="0"/>
        </w:rPr>
        <w:t>https://undocs.org/a/hrc/res/48/9</w:t>
      </w:r>
      <w:r>
        <w:rPr/>
        <w:fldChar w:fldCharType="end" w:fldLock="0"/>
      </w:r>
      <w:r>
        <w:rPr>
          <w:rStyle w:val="None"/>
          <w:rFonts w:ascii="Calibri" w:hAnsi="Calibri"/>
          <w:outline w:val="0"/>
          <w:color w:val="827249"/>
          <w:sz w:val="16"/>
          <w:szCs w:val="16"/>
          <w:u w:color="827249"/>
          <w:rtl w:val="0"/>
          <w:lang w:val="en-US"/>
          <w14:textFill>
            <w14:solidFill>
              <w14:srgbClr w14:val="827249"/>
            </w14:solidFill>
          </w14:textFill>
        </w:rPr>
        <w:t>.</w:t>
      </w:r>
      <w:r>
        <w:rPr>
          <w:rStyle w:val="None"/>
          <w:rFonts w:ascii="Calibri" w:hAnsi="Calibri"/>
          <w:sz w:val="16"/>
          <w:szCs w:val="16"/>
          <w:rtl w:val="0"/>
          <w:lang w:val="en-US"/>
        </w:rPr>
        <w:t xml:space="preserve"> </w:t>
      </w:r>
    </w:p>
  </w:footnote>
  <w:footnote w:id="6">
    <w:p>
      <w:pPr>
        <w:pStyle w:val="footnote text"/>
      </w:pPr>
      <w:r>
        <w:rPr>
          <w:rStyle w:val="None"/>
          <w:rFonts w:ascii="Calibri" w:cs="Calibri" w:hAnsi="Calibri" w:eastAsia="Calibri"/>
          <w:sz w:val="22"/>
          <w:szCs w:val="22"/>
          <w:vertAlign w:val="superscript"/>
        </w:rPr>
        <w:footnoteRef/>
      </w:r>
      <w:r>
        <w:rPr>
          <w:rStyle w:val="None"/>
          <w:rFonts w:ascii="Calibri" w:hAnsi="Calibri"/>
          <w:sz w:val="16"/>
          <w:szCs w:val="16"/>
          <w:rtl w:val="0"/>
          <w:lang w:val="en-US"/>
        </w:rPr>
        <w:t xml:space="preserve"> For more details on the reform, see: </w:t>
      </w:r>
      <w:r>
        <w:rPr>
          <w:rStyle w:val="None"/>
          <w:rFonts w:ascii="Calibri" w:hAnsi="Calibri" w:hint="default"/>
          <w:sz w:val="16"/>
          <w:szCs w:val="16"/>
          <w:rtl w:val="0"/>
          <w:lang w:val="en-US"/>
        </w:rPr>
        <w:t>‘</w:t>
      </w:r>
      <w:r>
        <w:rPr>
          <w:rStyle w:val="None"/>
          <w:rFonts w:ascii="Calibri" w:hAnsi="Calibri"/>
          <w:sz w:val="16"/>
          <w:szCs w:val="16"/>
          <w:rtl w:val="0"/>
          <w:lang w:val="en-US"/>
        </w:rPr>
        <w:t>The Death Penalty for Drug Offences: Global Overview 2018</w:t>
      </w:r>
      <w:r>
        <w:rPr>
          <w:rStyle w:val="None"/>
          <w:rFonts w:ascii="Calibri" w:hAnsi="Calibri" w:hint="default"/>
          <w:sz w:val="16"/>
          <w:szCs w:val="16"/>
          <w:rtl w:val="0"/>
          <w:lang w:val="en-US"/>
        </w:rPr>
        <w:t xml:space="preserve">’ </w:t>
      </w:r>
      <w:r>
        <w:rPr>
          <w:rStyle w:val="None"/>
          <w:rFonts w:ascii="Calibri" w:hAnsi="Calibri"/>
          <w:sz w:val="16"/>
          <w:szCs w:val="16"/>
          <w:rtl w:val="0"/>
          <w:lang w:val="en-US"/>
        </w:rPr>
        <w:t xml:space="preserve">(London: Harm Reduction International, 2019), </w:t>
      </w:r>
      <w:r>
        <w:rPr>
          <w:rStyle w:val="Hyperlink.1"/>
        </w:rPr>
        <w:fldChar w:fldCharType="begin" w:fldLock="0"/>
      </w:r>
      <w:r>
        <w:rPr>
          <w:rStyle w:val="Hyperlink.1"/>
        </w:rPr>
        <w:instrText xml:space="preserve"> HYPERLINK "https://www.hri.global/files/2019/02/22/HRI_DeathPenaltyReport_2019.pdf"</w:instrText>
      </w:r>
      <w:r>
        <w:rPr>
          <w:rStyle w:val="Hyperlink.1"/>
        </w:rPr>
        <w:fldChar w:fldCharType="separate" w:fldLock="0"/>
      </w:r>
      <w:r>
        <w:rPr>
          <w:rStyle w:val="Hyperlink.1"/>
          <w:rFonts w:cs="Arial Unicode MS" w:eastAsia="Arial Unicode MS"/>
          <w:rtl w:val="0"/>
        </w:rPr>
        <w:t>https://www.hri.global/files/2019/02/22/HRI_DeathPenaltyReport_2019.pdf</w:t>
      </w:r>
      <w:r>
        <w:rPr/>
        <w:fldChar w:fldCharType="end" w:fldLock="0"/>
      </w:r>
      <w:r>
        <w:rPr>
          <w:rStyle w:val="None"/>
          <w:rFonts w:ascii="Calibri" w:hAnsi="Calibri"/>
          <w:sz w:val="16"/>
          <w:szCs w:val="16"/>
          <w:rtl w:val="0"/>
          <w:lang w:val="en-US"/>
        </w:rPr>
        <w:t>, p. 10 -11.</w:t>
      </w:r>
    </w:p>
  </w:footnote>
  <w:footnote w:id="7">
    <w:p>
      <w:pPr>
        <w:pStyle w:val="footnote text"/>
      </w:pPr>
      <w:r>
        <w:rPr>
          <w:rStyle w:val="None"/>
          <w:rFonts w:ascii="Calibri" w:cs="Calibri" w:hAnsi="Calibri" w:eastAsia="Calibri"/>
          <w:sz w:val="22"/>
          <w:szCs w:val="22"/>
          <w:vertAlign w:val="superscript"/>
        </w:rPr>
        <w:footnoteRef/>
      </w:r>
      <w:r>
        <w:rPr>
          <w:rStyle w:val="None"/>
          <w:rFonts w:ascii="Calibri" w:hAnsi="Calibri"/>
          <w:sz w:val="16"/>
          <w:szCs w:val="16"/>
          <w:rtl w:val="0"/>
          <w:lang w:val="en-US"/>
        </w:rPr>
        <w:t xml:space="preserve"> Minister in the Prime Minister</w:t>
      </w:r>
      <w:r>
        <w:rPr>
          <w:rStyle w:val="None"/>
          <w:rFonts w:ascii="Calibri" w:hAnsi="Calibri" w:hint="default"/>
          <w:sz w:val="16"/>
          <w:szCs w:val="16"/>
          <w:rtl w:val="0"/>
          <w:lang w:val="en-US"/>
        </w:rPr>
        <w:t>’</w:t>
      </w:r>
      <w:r>
        <w:rPr>
          <w:rStyle w:val="None"/>
          <w:rFonts w:ascii="Calibri" w:hAnsi="Calibri"/>
          <w:sz w:val="16"/>
          <w:szCs w:val="16"/>
          <w:rtl w:val="0"/>
          <w:lang w:val="en-US"/>
        </w:rPr>
        <w:t xml:space="preserve">s Department (Parliament and Law) (29 December 2021), </w:t>
      </w:r>
      <w:r>
        <w:rPr>
          <w:rStyle w:val="None"/>
          <w:rFonts w:ascii="Calibri" w:hAnsi="Calibri" w:hint="default"/>
          <w:sz w:val="16"/>
          <w:szCs w:val="16"/>
          <w:rtl w:val="0"/>
          <w:lang w:val="en-US"/>
        </w:rPr>
        <w:t>‘</w:t>
      </w:r>
      <w:r>
        <w:rPr>
          <w:rStyle w:val="None"/>
          <w:rFonts w:ascii="Calibri" w:hAnsi="Calibri"/>
          <w:sz w:val="16"/>
          <w:szCs w:val="16"/>
          <w:rtl w:val="0"/>
          <w:lang w:val="en-US"/>
        </w:rPr>
        <w:t>Press statement: Government to decide on death penalty after briefing by Special Committee</w:t>
      </w:r>
      <w:r>
        <w:rPr>
          <w:rStyle w:val="None"/>
          <w:rFonts w:ascii="Calibri" w:hAnsi="Calibri" w:hint="default"/>
          <w:sz w:val="16"/>
          <w:szCs w:val="16"/>
          <w:rtl w:val="0"/>
          <w:lang w:val="en-US"/>
        </w:rPr>
        <w:t>’</w:t>
      </w:r>
      <w:r>
        <w:rPr>
          <w:rStyle w:val="None"/>
          <w:rFonts w:ascii="Calibri" w:hAnsi="Calibri"/>
          <w:sz w:val="16"/>
          <w:szCs w:val="16"/>
          <w:rtl w:val="0"/>
          <w:lang w:val="en-US"/>
        </w:rPr>
        <w:t xml:space="preserve">. </w:t>
      </w:r>
    </w:p>
  </w:footnote>
  <w:footnote w:id="8">
    <w:p>
      <w:pPr>
        <w:pStyle w:val="footnote text"/>
      </w:pPr>
      <w:r>
        <w:rPr>
          <w:rStyle w:val="None"/>
          <w:rFonts w:ascii="Calibri" w:cs="Calibri" w:hAnsi="Calibri" w:eastAsia="Calibri"/>
          <w:sz w:val="22"/>
          <w:szCs w:val="22"/>
          <w:vertAlign w:val="superscript"/>
        </w:rPr>
        <w:footnoteRef/>
      </w:r>
      <w:r>
        <w:rPr>
          <w:rStyle w:val="None"/>
          <w:rFonts w:ascii="Calibri" w:hAnsi="Calibri"/>
          <w:sz w:val="16"/>
          <w:szCs w:val="16"/>
          <w:rtl w:val="0"/>
          <w:lang w:val="en-US"/>
        </w:rPr>
        <w:t xml:space="preserve"> Republic of the Philippines Commission on Human Rights (3 March 2021), </w:t>
      </w:r>
      <w:r>
        <w:rPr>
          <w:rStyle w:val="None"/>
          <w:rFonts w:ascii="Calibri" w:hAnsi="Calibri" w:hint="default"/>
          <w:sz w:val="16"/>
          <w:szCs w:val="16"/>
          <w:rtl w:val="0"/>
          <w:lang w:val="en-US"/>
        </w:rPr>
        <w:t>‘</w:t>
      </w:r>
      <w:r>
        <w:rPr>
          <w:rStyle w:val="None"/>
          <w:rFonts w:ascii="Calibri" w:hAnsi="Calibri"/>
          <w:sz w:val="16"/>
          <w:szCs w:val="16"/>
          <w:rtl w:val="0"/>
          <w:lang w:val="en-US"/>
        </w:rPr>
        <w:t xml:space="preserve">Statement of Commissioner Karen Gomez-Dumpit on the Passage of House Bill No. 7814, providing the </w:t>
      </w:r>
      <w:r>
        <w:rPr>
          <w:rStyle w:val="None"/>
          <w:rFonts w:ascii="Calibri" w:hAnsi="Calibri" w:hint="default"/>
          <w:sz w:val="16"/>
          <w:szCs w:val="16"/>
          <w:rtl w:val="0"/>
          <w:lang w:val="en-US"/>
        </w:rPr>
        <w:t>“</w:t>
      </w:r>
      <w:r>
        <w:rPr>
          <w:rStyle w:val="None"/>
          <w:rFonts w:ascii="Calibri" w:hAnsi="Calibri"/>
          <w:sz w:val="16"/>
          <w:szCs w:val="16"/>
          <w:rtl w:val="0"/>
          <w:lang w:val="en-US"/>
        </w:rPr>
        <w:t>Presumption of Guilt</w:t>
      </w:r>
      <w:r>
        <w:rPr>
          <w:rStyle w:val="None"/>
          <w:rFonts w:ascii="Calibri" w:hAnsi="Calibri" w:hint="default"/>
          <w:sz w:val="16"/>
          <w:szCs w:val="16"/>
          <w:rtl w:val="0"/>
          <w:lang w:val="en-US"/>
        </w:rPr>
        <w:t xml:space="preserve">” </w:t>
      </w:r>
      <w:r>
        <w:rPr>
          <w:rStyle w:val="None"/>
          <w:rFonts w:ascii="Calibri" w:hAnsi="Calibri"/>
          <w:sz w:val="16"/>
          <w:szCs w:val="16"/>
          <w:rtl w:val="0"/>
          <w:lang w:val="en-US"/>
        </w:rPr>
        <w:t>and Reintroduction of the Death Penalty as amendments to the Comprehensive Dangerous Drugs Act of 2022</w:t>
      </w:r>
      <w:r>
        <w:rPr>
          <w:rStyle w:val="None"/>
          <w:rFonts w:ascii="Calibri" w:hAnsi="Calibri" w:hint="default"/>
          <w:sz w:val="16"/>
          <w:szCs w:val="16"/>
          <w:rtl w:val="0"/>
          <w:lang w:val="en-US"/>
        </w:rPr>
        <w:t>’</w:t>
      </w:r>
      <w:r>
        <w:rPr>
          <w:rStyle w:val="None"/>
          <w:rFonts w:ascii="Calibri" w:hAnsi="Calibri"/>
          <w:sz w:val="16"/>
          <w:szCs w:val="16"/>
          <w:rtl w:val="0"/>
          <w:lang w:val="en-US"/>
        </w:rPr>
        <w:t xml:space="preserve">, </w:t>
      </w:r>
      <w:r>
        <w:rPr>
          <w:rStyle w:val="Hyperlink.1"/>
        </w:rPr>
        <w:fldChar w:fldCharType="begin" w:fldLock="0"/>
      </w:r>
      <w:r>
        <w:rPr>
          <w:rStyle w:val="Hyperlink.1"/>
        </w:rPr>
        <w:instrText xml:space="preserve"> HYPERLINK "https://bit.ly/3J8d1RZ"</w:instrText>
      </w:r>
      <w:r>
        <w:rPr>
          <w:rStyle w:val="Hyperlink.1"/>
        </w:rPr>
        <w:fldChar w:fldCharType="separate" w:fldLock="0"/>
      </w:r>
      <w:r>
        <w:rPr>
          <w:rStyle w:val="Hyperlink.1"/>
          <w:rFonts w:cs="Arial Unicode MS" w:eastAsia="Arial Unicode MS"/>
          <w:rtl w:val="0"/>
        </w:rPr>
        <w:t>https://bit.ly/3J8d1RZ</w:t>
      </w:r>
      <w:r>
        <w:rPr/>
        <w:fldChar w:fldCharType="end" w:fldLock="0"/>
      </w:r>
      <w:r>
        <w:rPr>
          <w:rStyle w:val="None"/>
          <w:rFonts w:ascii="Calibri" w:hAnsi="Calibri"/>
          <w:outline w:val="0"/>
          <w:color w:val="363432"/>
          <w:sz w:val="16"/>
          <w:szCs w:val="16"/>
          <w:u w:color="363432"/>
          <w:rtl w:val="0"/>
          <w:lang w:val="en-US"/>
          <w14:textFill>
            <w14:solidFill>
              <w14:srgbClr w14:val="363432"/>
            </w14:solidFill>
          </w14:textFill>
        </w:rPr>
        <w:t xml:space="preserve">. </w:t>
      </w:r>
    </w:p>
  </w:footnote>
  <w:footnote w:id="9">
    <w:p>
      <w:pPr>
        <w:pStyle w:val="footnote text"/>
      </w:pPr>
      <w:r>
        <w:rPr>
          <w:rStyle w:val="None"/>
          <w:rFonts w:ascii="Calibri" w:cs="Calibri" w:hAnsi="Calibri" w:eastAsia="Calibri"/>
          <w:sz w:val="22"/>
          <w:szCs w:val="22"/>
          <w:vertAlign w:val="superscript"/>
        </w:rPr>
        <w:footnoteRef/>
      </w:r>
      <w:r>
        <w:rPr>
          <w:rStyle w:val="None"/>
          <w:rFonts w:ascii="Calibri" w:hAnsi="Calibri"/>
          <w:sz w:val="16"/>
          <w:szCs w:val="16"/>
          <w:rtl w:val="0"/>
          <w:lang w:val="en-US"/>
        </w:rPr>
        <w:t xml:space="preserve"> Melvin Gascon (10 November 2021), </w:t>
      </w:r>
      <w:r>
        <w:rPr>
          <w:rStyle w:val="None"/>
          <w:rFonts w:ascii="Calibri" w:hAnsi="Calibri" w:hint="default"/>
          <w:sz w:val="16"/>
          <w:szCs w:val="16"/>
          <w:rtl w:val="0"/>
          <w:lang w:val="en-US"/>
        </w:rPr>
        <w:t>‘</w:t>
      </w:r>
      <w:r>
        <w:rPr>
          <w:rStyle w:val="None"/>
          <w:rFonts w:ascii="Calibri" w:hAnsi="Calibri"/>
          <w:sz w:val="16"/>
          <w:szCs w:val="16"/>
          <w:rtl w:val="0"/>
          <w:lang w:val="en-US"/>
        </w:rPr>
        <w:t>Lacson withdraws bill reimposing death penalty</w:t>
      </w:r>
      <w:r>
        <w:rPr>
          <w:rStyle w:val="None"/>
          <w:rFonts w:ascii="Calibri" w:hAnsi="Calibri" w:hint="default"/>
          <w:sz w:val="16"/>
          <w:szCs w:val="16"/>
          <w:rtl w:val="0"/>
          <w:lang w:val="en-US"/>
        </w:rPr>
        <w:t xml:space="preserve">’ </w:t>
      </w:r>
      <w:r>
        <w:rPr>
          <w:rStyle w:val="None"/>
          <w:rFonts w:ascii="Calibri" w:hAnsi="Calibri"/>
          <w:i w:val="1"/>
          <w:iCs w:val="1"/>
          <w:sz w:val="16"/>
          <w:szCs w:val="16"/>
          <w:rtl w:val="0"/>
          <w:lang w:val="en-US"/>
        </w:rPr>
        <w:t>Inquirer.net</w:t>
      </w:r>
      <w:r>
        <w:rPr>
          <w:rStyle w:val="None"/>
          <w:rFonts w:ascii="Calibri" w:hAnsi="Calibri"/>
          <w:sz w:val="16"/>
          <w:szCs w:val="16"/>
          <w:rtl w:val="0"/>
          <w:lang w:val="en-US"/>
        </w:rPr>
        <w:t xml:space="preserve">, </w:t>
      </w:r>
      <w:r>
        <w:rPr>
          <w:rStyle w:val="Hyperlink.1"/>
        </w:rPr>
        <w:fldChar w:fldCharType="begin" w:fldLock="0"/>
      </w:r>
      <w:r>
        <w:rPr>
          <w:rStyle w:val="Hyperlink.1"/>
        </w:rPr>
        <w:instrText xml:space="preserve"> HYPERLINK "https://newsinfo.inquirer.net/1512757/lacson-withdraws-bill-reimposing-death-penalty"</w:instrText>
      </w:r>
      <w:r>
        <w:rPr>
          <w:rStyle w:val="Hyperlink.1"/>
        </w:rPr>
        <w:fldChar w:fldCharType="separate" w:fldLock="0"/>
      </w:r>
      <w:r>
        <w:rPr>
          <w:rStyle w:val="Hyperlink.1"/>
          <w:rFonts w:cs="Arial Unicode MS" w:eastAsia="Arial Unicode MS"/>
          <w:rtl w:val="0"/>
        </w:rPr>
        <w:t>https://newsinfo.inquirer.net/1512757/lacson-withdraws-bill-reimposing-death-penalty</w:t>
      </w:r>
      <w:r>
        <w:rPr/>
        <w:fldChar w:fldCharType="end" w:fldLock="0"/>
      </w:r>
      <w:r>
        <w:rPr>
          <w:rStyle w:val="None"/>
          <w:rFonts w:ascii="Calibri" w:hAnsi="Calibri"/>
          <w:outline w:val="0"/>
          <w:color w:val="827249"/>
          <w:sz w:val="16"/>
          <w:szCs w:val="16"/>
          <w:u w:color="827249"/>
          <w:rtl w:val="0"/>
          <w:lang w:val="en-US"/>
          <w14:textFill>
            <w14:solidFill>
              <w14:srgbClr w14:val="827249"/>
            </w14:solidFill>
          </w14:textFill>
        </w:rPr>
        <w:t xml:space="preserve">. </w:t>
      </w:r>
      <w:r>
        <w:rPr>
          <w:rStyle w:val="None"/>
          <w:rFonts w:cs="Arial Unicode MS" w:eastAsia="Arial Unicode MS"/>
          <w:outline w:val="0"/>
          <w:color w:val="827249"/>
          <w:u w:color="827249"/>
          <w:rtl w:val="0"/>
          <w:lang w:val="en-US"/>
          <w14:textFill>
            <w14:solidFill>
              <w14:srgbClr w14:val="827249"/>
            </w14:solidFill>
          </w14:textFill>
        </w:rPr>
        <w:t xml:space="preserve"> </w:t>
      </w:r>
    </w:p>
  </w:footnote>
  <w:footnote w:id="10">
    <w:p>
      <w:pPr>
        <w:pStyle w:val="footnote text"/>
      </w:pPr>
      <w:r>
        <w:rPr>
          <w:rStyle w:val="None"/>
          <w:rFonts w:ascii="Calibri" w:cs="Calibri" w:hAnsi="Calibri" w:eastAsia="Calibri"/>
          <w:sz w:val="22"/>
          <w:szCs w:val="22"/>
          <w:vertAlign w:val="superscript"/>
        </w:rPr>
        <w:footnoteRef/>
      </w:r>
      <w:r>
        <w:rPr>
          <w:rStyle w:val="None"/>
          <w:rFonts w:ascii="Calibri" w:hAnsi="Calibri"/>
          <w:sz w:val="16"/>
          <w:szCs w:val="16"/>
          <w:rtl w:val="0"/>
          <w:lang w:val="en-US"/>
        </w:rPr>
        <w:t xml:space="preserve"> Jovic Yee (17 February 2016), </w:t>
      </w:r>
      <w:r>
        <w:rPr>
          <w:rStyle w:val="None"/>
          <w:rFonts w:ascii="Calibri" w:hAnsi="Calibri" w:hint="default"/>
          <w:sz w:val="16"/>
          <w:szCs w:val="16"/>
          <w:rtl w:val="0"/>
          <w:lang w:val="en-US"/>
        </w:rPr>
        <w:t>‘</w:t>
      </w:r>
      <w:r>
        <w:rPr>
          <w:rStyle w:val="None"/>
          <w:rFonts w:ascii="Calibri" w:hAnsi="Calibri"/>
          <w:sz w:val="16"/>
          <w:szCs w:val="16"/>
          <w:rtl w:val="0"/>
          <w:lang w:val="en-US"/>
        </w:rPr>
        <w:t>Bongbong Marcos backs death penalty for drug trafficking</w:t>
      </w:r>
      <w:r>
        <w:rPr>
          <w:rStyle w:val="None"/>
          <w:rFonts w:ascii="Calibri" w:hAnsi="Calibri" w:hint="default"/>
          <w:sz w:val="16"/>
          <w:szCs w:val="16"/>
          <w:rtl w:val="0"/>
          <w:lang w:val="en-US"/>
        </w:rPr>
        <w:t xml:space="preserve">’ </w:t>
      </w:r>
      <w:r>
        <w:rPr>
          <w:rStyle w:val="None"/>
          <w:rFonts w:ascii="Calibri" w:hAnsi="Calibri"/>
          <w:i w:val="1"/>
          <w:iCs w:val="1"/>
          <w:sz w:val="16"/>
          <w:szCs w:val="16"/>
          <w:rtl w:val="0"/>
          <w:lang w:val="en-US"/>
        </w:rPr>
        <w:t>Inquirer.net</w:t>
      </w:r>
      <w:r>
        <w:rPr>
          <w:rStyle w:val="None"/>
          <w:rFonts w:ascii="Calibri" w:hAnsi="Calibri"/>
          <w:sz w:val="16"/>
          <w:szCs w:val="16"/>
          <w:rtl w:val="0"/>
          <w:lang w:val="en-US"/>
        </w:rPr>
        <w:t xml:space="preserve">, </w:t>
      </w:r>
      <w:r>
        <w:rPr>
          <w:rStyle w:val="Hyperlink.1"/>
        </w:rPr>
        <w:fldChar w:fldCharType="begin" w:fldLock="0"/>
      </w:r>
      <w:r>
        <w:rPr>
          <w:rStyle w:val="Hyperlink.1"/>
        </w:rPr>
        <w:instrText xml:space="preserve"> HYPERLINK "https://newsinfo.inquirer.net/765499/bongbong-marcos-backs-death-penalty-for-drug-trafficking"</w:instrText>
      </w:r>
      <w:r>
        <w:rPr>
          <w:rStyle w:val="Hyperlink.1"/>
        </w:rPr>
        <w:fldChar w:fldCharType="separate" w:fldLock="0"/>
      </w:r>
      <w:r>
        <w:rPr>
          <w:rStyle w:val="Hyperlink.1"/>
          <w:rFonts w:cs="Arial Unicode MS" w:eastAsia="Arial Unicode MS"/>
          <w:rtl w:val="0"/>
        </w:rPr>
        <w:t>https://newsinfo.inquirer.net/765499/bongbong-marcos-backs-death-penalty-for-drug-trafficking</w:t>
      </w:r>
      <w:r>
        <w:rPr/>
        <w:fldChar w:fldCharType="end" w:fldLock="0"/>
      </w:r>
      <w:r>
        <w:rPr>
          <w:rStyle w:val="None"/>
          <w:rFonts w:ascii="Calibri" w:hAnsi="Calibri"/>
          <w:outline w:val="0"/>
          <w:color w:val="827249"/>
          <w:sz w:val="16"/>
          <w:szCs w:val="16"/>
          <w:u w:color="827249"/>
          <w:rtl w:val="0"/>
          <w:lang w:val="en-US"/>
          <w14:textFill>
            <w14:solidFill>
              <w14:srgbClr w14:val="827249"/>
            </w14:solidFill>
          </w14:textFill>
        </w:rPr>
        <w:t xml:space="preserve">. </w:t>
      </w:r>
    </w:p>
  </w:footnote>
  <w:footnote w:id="11">
    <w:p>
      <w:pPr>
        <w:pStyle w:val="footnote text"/>
      </w:pPr>
      <w:r>
        <w:rPr>
          <w:rStyle w:val="None"/>
          <w:rFonts w:ascii="Calibri" w:cs="Calibri" w:hAnsi="Calibri" w:eastAsia="Calibri"/>
          <w:sz w:val="22"/>
          <w:szCs w:val="22"/>
          <w:vertAlign w:val="superscript"/>
        </w:rPr>
        <w:footnoteRef/>
      </w:r>
      <w:r>
        <w:rPr>
          <w:rStyle w:val="None"/>
          <w:rFonts w:ascii="Calibri" w:hAnsi="Calibri"/>
          <w:sz w:val="16"/>
          <w:szCs w:val="16"/>
          <w:rtl w:val="0"/>
          <w:lang w:val="en-US"/>
        </w:rPr>
        <w:t xml:space="preserve"> Migrant Care and Reprieve (2021), </w:t>
      </w:r>
      <w:r>
        <w:rPr>
          <w:rStyle w:val="None"/>
          <w:rFonts w:ascii="Calibri" w:hAnsi="Calibri" w:hint="default"/>
          <w:sz w:val="16"/>
          <w:szCs w:val="16"/>
          <w:rtl w:val="0"/>
          <w:lang w:val="en-US"/>
        </w:rPr>
        <w:t>‘</w:t>
      </w:r>
      <w:r>
        <w:rPr>
          <w:rStyle w:val="None"/>
          <w:rFonts w:ascii="Calibri" w:hAnsi="Calibri"/>
          <w:sz w:val="16"/>
          <w:szCs w:val="16"/>
          <w:rtl w:val="0"/>
          <w:lang w:val="en-US"/>
        </w:rPr>
        <w:t>Worked to Death: A study on migrant workers and capital punishment</w:t>
      </w:r>
      <w:r>
        <w:rPr>
          <w:rStyle w:val="None"/>
          <w:rFonts w:ascii="Calibri" w:hAnsi="Calibri" w:hint="default"/>
          <w:sz w:val="16"/>
          <w:szCs w:val="16"/>
          <w:rtl w:val="0"/>
          <w:lang w:val="en-US"/>
        </w:rPr>
        <w:t xml:space="preserve">’ </w:t>
      </w:r>
      <w:r>
        <w:rPr>
          <w:rStyle w:val="None"/>
          <w:rFonts w:ascii="Calibri" w:hAnsi="Calibri"/>
          <w:sz w:val="16"/>
          <w:szCs w:val="16"/>
          <w:rtl w:val="0"/>
          <w:lang w:val="en-US"/>
        </w:rPr>
        <w:t xml:space="preserve">(Kuala Lumpur: Migrant Care and London: Reprieve), </w:t>
      </w:r>
      <w:r>
        <w:rPr>
          <w:rStyle w:val="Hyperlink.1"/>
        </w:rPr>
        <w:fldChar w:fldCharType="begin" w:fldLock="0"/>
      </w:r>
      <w:r>
        <w:rPr>
          <w:rStyle w:val="Hyperlink.1"/>
        </w:rPr>
        <w:instrText xml:space="preserve"> HYPERLINK "https://reprieve.org/wp-content/uploads/sites/2/2021/11/ResearchReport_WorkedToDeath.pdf"</w:instrText>
      </w:r>
      <w:r>
        <w:rPr>
          <w:rStyle w:val="Hyperlink.1"/>
        </w:rPr>
        <w:fldChar w:fldCharType="separate" w:fldLock="0"/>
      </w:r>
      <w:r>
        <w:rPr>
          <w:rStyle w:val="Hyperlink.1"/>
          <w:rFonts w:cs="Arial Unicode MS" w:eastAsia="Arial Unicode MS"/>
          <w:rtl w:val="0"/>
        </w:rPr>
        <w:t>https://reprieve.org/wp-content/uploads/sites/2/2021/11/ResearchReport_WorkedToDeath.pdf</w:t>
      </w:r>
      <w:r>
        <w:rPr/>
        <w:fldChar w:fldCharType="end" w:fldLock="0"/>
      </w:r>
      <w:r>
        <w:rPr>
          <w:rStyle w:val="None"/>
          <w:rFonts w:ascii="Calibri" w:hAnsi="Calibri"/>
          <w:outline w:val="0"/>
          <w:color w:val="827249"/>
          <w:sz w:val="16"/>
          <w:szCs w:val="16"/>
          <w:u w:color="827249"/>
          <w:rtl w:val="0"/>
          <w:lang w:val="en-US"/>
          <w14:textFill>
            <w14:solidFill>
              <w14:srgbClr w14:val="827249"/>
            </w14:solidFill>
          </w14:textFill>
        </w:rPr>
        <w:t xml:space="preserve">.  </w:t>
      </w:r>
    </w:p>
  </w:footnote>
  <w:footnote w:id="12">
    <w:p>
      <w:pPr>
        <w:pStyle w:val="footnote text"/>
      </w:pPr>
      <w:r>
        <w:rPr>
          <w:rStyle w:val="None"/>
          <w:rFonts w:ascii="Calibri" w:cs="Calibri" w:hAnsi="Calibri" w:eastAsia="Calibri"/>
          <w:sz w:val="22"/>
          <w:szCs w:val="22"/>
          <w:vertAlign w:val="superscript"/>
        </w:rPr>
        <w:footnoteRef/>
      </w:r>
      <w:r>
        <w:rPr>
          <w:rStyle w:val="None"/>
          <w:rFonts w:ascii="Calibri" w:hAnsi="Calibri"/>
          <w:sz w:val="16"/>
          <w:szCs w:val="16"/>
          <w:rtl w:val="0"/>
          <w:lang w:val="en-US"/>
        </w:rPr>
        <w:t xml:space="preserve"> ESOHR (2022), </w:t>
      </w:r>
      <w:r>
        <w:rPr>
          <w:rStyle w:val="None"/>
          <w:rFonts w:ascii="Calibri" w:hAnsi="Calibri" w:hint="default"/>
          <w:sz w:val="16"/>
          <w:szCs w:val="16"/>
          <w:rtl w:val="0"/>
          <w:lang w:val="en-US"/>
        </w:rPr>
        <w:t>‘</w:t>
      </w:r>
      <w:r>
        <w:rPr>
          <w:rStyle w:val="None"/>
          <w:rFonts w:ascii="Calibri" w:hAnsi="Calibri"/>
          <w:sz w:val="16"/>
          <w:szCs w:val="16"/>
          <w:rtl w:val="0"/>
          <w:lang w:val="en-US"/>
        </w:rPr>
        <w:t>Saudi Executions in 2021: Fluctuating Political Stability</w:t>
      </w:r>
      <w:r>
        <w:rPr>
          <w:rStyle w:val="None"/>
          <w:rFonts w:ascii="Calibri" w:hAnsi="Calibri" w:hint="default"/>
          <w:sz w:val="16"/>
          <w:szCs w:val="16"/>
          <w:rtl w:val="0"/>
          <w:lang w:val="en-US"/>
        </w:rPr>
        <w:t xml:space="preserve">’ </w:t>
      </w:r>
      <w:r>
        <w:rPr>
          <w:rStyle w:val="None"/>
          <w:rFonts w:ascii="Calibri" w:hAnsi="Calibri"/>
          <w:sz w:val="16"/>
          <w:szCs w:val="16"/>
          <w:rtl w:val="0"/>
          <w:lang w:val="en-US"/>
        </w:rPr>
        <w:t xml:space="preserve">(ESOHR), </w:t>
      </w:r>
      <w:r>
        <w:rPr>
          <w:rStyle w:val="Hyperlink.1"/>
        </w:rPr>
        <w:fldChar w:fldCharType="begin" w:fldLock="0"/>
      </w:r>
      <w:r>
        <w:rPr>
          <w:rStyle w:val="Hyperlink.1"/>
        </w:rPr>
        <w:instrText xml:space="preserve"> HYPERLINK "https://www.esohr.org/wp-content/uploads/2022/01/Saudi-executions-in-2021.pdf"</w:instrText>
      </w:r>
      <w:r>
        <w:rPr>
          <w:rStyle w:val="Hyperlink.1"/>
        </w:rPr>
        <w:fldChar w:fldCharType="separate" w:fldLock="0"/>
      </w:r>
      <w:r>
        <w:rPr>
          <w:rStyle w:val="Hyperlink.1"/>
          <w:rFonts w:cs="Arial Unicode MS" w:eastAsia="Arial Unicode MS"/>
          <w:rtl w:val="0"/>
        </w:rPr>
        <w:t>https://www.esohr.org/wp-content/uploads/2022/01/Saudi-executions-in-2021.pdf</w:t>
      </w:r>
      <w:r>
        <w:rPr/>
        <w:fldChar w:fldCharType="end" w:fldLock="0"/>
      </w:r>
      <w:r>
        <w:rPr>
          <w:rStyle w:val="None"/>
          <w:rFonts w:ascii="Calibri" w:hAnsi="Calibri"/>
          <w:outline w:val="0"/>
          <w:color w:val="827249"/>
          <w:sz w:val="16"/>
          <w:szCs w:val="16"/>
          <w:u w:color="827249"/>
          <w:rtl w:val="0"/>
          <w:lang w:val="en-US"/>
          <w14:textFill>
            <w14:solidFill>
              <w14:srgbClr w14:val="827249"/>
            </w14:solidFill>
          </w14:textFill>
        </w:rPr>
        <w:t xml:space="preserve">. </w:t>
      </w:r>
    </w:p>
  </w:footnote>
  <w:footnote w:id="13">
    <w:p>
      <w:pPr>
        <w:pStyle w:val="Heading"/>
        <w:shd w:val="clear" w:color="auto" w:fill="ffffff"/>
        <w:spacing w:before="0"/>
        <w:rPr>
          <w:rStyle w:val="None"/>
          <w:outline w:val="0"/>
          <w:color w:val="212529"/>
          <w:sz w:val="16"/>
          <w:szCs w:val="16"/>
          <w:u w:color="212529"/>
          <w14:textFill>
            <w14:solidFill>
              <w14:srgbClr w14:val="212529"/>
            </w14:solidFill>
          </w14:textFill>
        </w:rPr>
      </w:pPr>
      <w:r>
        <w:rPr>
          <w:rStyle w:val="None"/>
          <w:sz w:val="22"/>
          <w:szCs w:val="22"/>
          <w:vertAlign w:val="superscript"/>
        </w:rPr>
        <w:footnoteRef/>
      </w:r>
      <w:r>
        <w:rPr>
          <w:rStyle w:val="None"/>
          <w:outline w:val="0"/>
          <w:color w:val="000000"/>
          <w:sz w:val="16"/>
          <w:szCs w:val="16"/>
          <w:u w:color="000000"/>
          <w:rtl w:val="0"/>
          <w:lang w:val="en-US"/>
          <w14:textFill>
            <w14:solidFill>
              <w14:srgbClr w14:val="000000"/>
            </w14:solidFill>
          </w14:textFill>
        </w:rPr>
        <w:t xml:space="preserve"> For more information, see: </w:t>
      </w:r>
      <w:r>
        <w:rPr>
          <w:rStyle w:val="None"/>
          <w:outline w:val="0"/>
          <w:color w:val="000000"/>
          <w:sz w:val="16"/>
          <w:szCs w:val="16"/>
          <w:u w:color="000000"/>
          <w:rtl w:val="0"/>
          <w:lang w:val="en-US"/>
          <w14:textFill>
            <w14:solidFill>
              <w14:srgbClr w14:val="000000"/>
            </w14:solidFill>
          </w14:textFill>
        </w:rPr>
        <w:t>‘</w:t>
      </w:r>
      <w:r>
        <w:rPr>
          <w:rStyle w:val="None"/>
          <w:outline w:val="0"/>
          <w:color w:val="000000"/>
          <w:sz w:val="16"/>
          <w:szCs w:val="16"/>
          <w:u w:color="000000"/>
          <w:rtl w:val="0"/>
          <w:lang w:val="en-US"/>
          <w14:textFill>
            <w14:solidFill>
              <w14:srgbClr w14:val="000000"/>
            </w14:solidFill>
          </w14:textFill>
        </w:rPr>
        <w:t>Recap of Nagen</w:t>
      </w:r>
      <w:r>
        <w:rPr>
          <w:rStyle w:val="None"/>
          <w:outline w:val="0"/>
          <w:color w:val="000000"/>
          <w:sz w:val="16"/>
          <w:szCs w:val="16"/>
          <w:u w:color="000000"/>
          <w:rtl w:val="0"/>
          <w:lang w:val="en-US"/>
          <w14:textFill>
            <w14:solidFill>
              <w14:srgbClr w14:val="000000"/>
            </w14:solidFill>
          </w14:textFill>
        </w:rPr>
        <w:t>’</w:t>
      </w:r>
      <w:r>
        <w:rPr>
          <w:rStyle w:val="None"/>
          <w:outline w:val="0"/>
          <w:color w:val="000000"/>
          <w:sz w:val="16"/>
          <w:szCs w:val="16"/>
          <w:u w:color="000000"/>
          <w:rtl w:val="0"/>
          <w:lang w:val="en-US"/>
          <w14:textFill>
            <w14:solidFill>
              <w14:srgbClr w14:val="000000"/>
            </w14:solidFill>
          </w14:textFill>
        </w:rPr>
        <w:t>s Court of Appeal Hearing</w:t>
      </w:r>
      <w:r>
        <w:rPr>
          <w:rStyle w:val="None"/>
          <w:outline w:val="0"/>
          <w:color w:val="000000"/>
          <w:sz w:val="16"/>
          <w:szCs w:val="16"/>
          <w:u w:color="000000"/>
          <w:rtl w:val="0"/>
          <w:lang w:val="en-US"/>
          <w14:textFill>
            <w14:solidFill>
              <w14:srgbClr w14:val="000000"/>
            </w14:solidFill>
          </w14:textFill>
        </w:rPr>
        <w:t xml:space="preserve">’ </w:t>
      </w:r>
      <w:r>
        <w:rPr>
          <w:rStyle w:val="None"/>
          <w:i w:val="1"/>
          <w:iCs w:val="1"/>
          <w:outline w:val="0"/>
          <w:color w:val="000000"/>
          <w:sz w:val="16"/>
          <w:szCs w:val="16"/>
          <w:u w:color="000000"/>
          <w:rtl w:val="0"/>
          <w:lang w:val="fr-FR"/>
          <w14:textFill>
            <w14:solidFill>
              <w14:srgbClr w14:val="000000"/>
            </w14:solidFill>
          </w14:textFill>
        </w:rPr>
        <w:t xml:space="preserve">Transformative Justice Collective </w:t>
      </w:r>
      <w:r>
        <w:rPr>
          <w:rStyle w:val="None"/>
          <w:outline w:val="0"/>
          <w:color w:val="000000"/>
          <w:sz w:val="16"/>
          <w:szCs w:val="16"/>
          <w:u w:color="000000"/>
          <w:rtl w:val="0"/>
          <w:lang w:val="en-US"/>
          <w14:textFill>
            <w14:solidFill>
              <w14:srgbClr w14:val="000000"/>
            </w14:solidFill>
          </w14:textFill>
        </w:rPr>
        <w:t xml:space="preserve">(2 March 2022), </w:t>
      </w:r>
      <w:r>
        <w:rPr>
          <w:rStyle w:val="Hyperlink.2"/>
          <w:outline w:val="0"/>
          <w:color w:val="0000ff"/>
          <w:sz w:val="16"/>
          <w:szCs w:val="16"/>
          <w:u w:val="single" w:color="0000ff"/>
          <w:lang w:val="en-US"/>
          <w14:textFill>
            <w14:solidFill>
              <w14:srgbClr w14:val="0000FF"/>
            </w14:solidFill>
          </w14:textFill>
        </w:rPr>
        <w:fldChar w:fldCharType="begin" w:fldLock="0"/>
      </w:r>
      <w:r>
        <w:rPr>
          <w:rStyle w:val="Hyperlink.2"/>
          <w:outline w:val="0"/>
          <w:color w:val="0000ff"/>
          <w:sz w:val="16"/>
          <w:szCs w:val="16"/>
          <w:u w:val="single" w:color="0000ff"/>
          <w:lang w:val="en-US"/>
          <w14:textFill>
            <w14:solidFill>
              <w14:srgbClr w14:val="0000FF"/>
            </w14:solidFill>
          </w14:textFill>
        </w:rPr>
        <w:instrText xml:space="preserve"> HYPERLINK "https://transformativejusticecollective.org/2022/03/02/recap-of-nagens-court-of-appeal-hearing/"</w:instrText>
      </w:r>
      <w:r>
        <w:rPr>
          <w:rStyle w:val="Hyperlink.2"/>
          <w:outline w:val="0"/>
          <w:color w:val="0000ff"/>
          <w:sz w:val="16"/>
          <w:szCs w:val="16"/>
          <w:u w:val="single" w:color="0000ff"/>
          <w:lang w:val="en-US"/>
          <w14:textFill>
            <w14:solidFill>
              <w14:srgbClr w14:val="0000FF"/>
            </w14:solidFill>
          </w14:textFill>
        </w:rPr>
        <w:fldChar w:fldCharType="separate" w:fldLock="0"/>
      </w:r>
      <w:r>
        <w:rPr>
          <w:rStyle w:val="Hyperlink.2"/>
          <w:outline w:val="0"/>
          <w:color w:val="0000ff"/>
          <w:sz w:val="16"/>
          <w:szCs w:val="16"/>
          <w:u w:val="single" w:color="0000ff"/>
          <w:rtl w:val="0"/>
          <w:lang w:val="en-US"/>
          <w14:textFill>
            <w14:solidFill>
              <w14:srgbClr w14:val="0000FF"/>
            </w14:solidFill>
          </w14:textFill>
        </w:rPr>
        <w:t>https://transformativejusticecollective.org/2022/03/02/recap-of-nagens-court-of-appeal-hearing/</w:t>
      </w:r>
      <w:r>
        <w:rPr/>
        <w:fldChar w:fldCharType="end" w:fldLock="0"/>
      </w:r>
      <w:r>
        <w:rPr>
          <w:rStyle w:val="None"/>
          <w:sz w:val="16"/>
          <w:szCs w:val="16"/>
          <w:rtl w:val="0"/>
          <w:lang w:val="en-US"/>
        </w:rPr>
        <w:t xml:space="preserve">; </w:t>
      </w:r>
      <w:r>
        <w:rPr>
          <w:rStyle w:val="None"/>
          <w:sz w:val="16"/>
          <w:szCs w:val="16"/>
          <w:rtl w:val="0"/>
          <w:lang w:val="en-US"/>
        </w:rPr>
        <w:t>‘</w:t>
      </w:r>
      <w:r>
        <w:rPr>
          <w:rStyle w:val="None"/>
          <w:outline w:val="0"/>
          <w:color w:val="212529"/>
          <w:sz w:val="16"/>
          <w:szCs w:val="16"/>
          <w:u w:color="212529"/>
          <w:rtl w:val="0"/>
          <w:lang w:val="en-US"/>
          <w14:textFill>
            <w14:solidFill>
              <w14:srgbClr w14:val="212529"/>
            </w14:solidFill>
          </w14:textFill>
        </w:rPr>
        <w:t>No law or treaty bars execution of people with IQ under 70: Court of Appeal</w:t>
      </w:r>
      <w:r>
        <w:rPr>
          <w:rStyle w:val="None"/>
          <w:outline w:val="0"/>
          <w:color w:val="212529"/>
          <w:sz w:val="16"/>
          <w:szCs w:val="16"/>
          <w:u w:color="212529"/>
          <w:rtl w:val="0"/>
          <w:lang w:val="en-US"/>
          <w14:textFill>
            <w14:solidFill>
              <w14:srgbClr w14:val="212529"/>
            </w14:solidFill>
          </w14:textFill>
        </w:rPr>
        <w:t xml:space="preserve">’ </w:t>
      </w:r>
      <w:r>
        <w:rPr>
          <w:rStyle w:val="None"/>
          <w:i w:val="1"/>
          <w:iCs w:val="1"/>
          <w:outline w:val="0"/>
          <w:color w:val="212529"/>
          <w:sz w:val="16"/>
          <w:szCs w:val="16"/>
          <w:u w:color="212529"/>
          <w:rtl w:val="0"/>
          <w:lang w:val="en-US"/>
          <w14:textFill>
            <w14:solidFill>
              <w14:srgbClr w14:val="212529"/>
            </w14:solidFill>
          </w14:textFill>
        </w:rPr>
        <w:t xml:space="preserve">The Straits Times </w:t>
      </w:r>
      <w:r>
        <w:rPr>
          <w:rStyle w:val="None"/>
          <w:outline w:val="0"/>
          <w:color w:val="212529"/>
          <w:sz w:val="16"/>
          <w:szCs w:val="16"/>
          <w:u w:color="212529"/>
          <w:rtl w:val="0"/>
          <w:lang w:val="en-US"/>
          <w14:textFill>
            <w14:solidFill>
              <w14:srgbClr w14:val="212529"/>
            </w14:solidFill>
          </w14:textFill>
        </w:rPr>
        <w:t>(9 March 2022),</w:t>
      </w:r>
    </w:p>
    <w:p>
      <w:pPr>
        <w:pStyle w:val="footnote text"/>
      </w:pPr>
      <w:r>
        <w:rPr>
          <w:rStyle w:val="Hyperlink.1"/>
        </w:rPr>
        <w:fldChar w:fldCharType="begin" w:fldLock="0"/>
      </w:r>
      <w:r>
        <w:rPr>
          <w:rStyle w:val="Hyperlink.1"/>
        </w:rPr>
        <w:instrText xml:space="preserve"> HYPERLINK "https://www.straitstimes.com/singapore/courts-crime/no-law-or-treaty-bars-execution-of-people-with-iq-under-70-court-of-appeal"</w:instrText>
      </w:r>
      <w:r>
        <w:rPr>
          <w:rStyle w:val="Hyperlink.1"/>
        </w:rPr>
        <w:fldChar w:fldCharType="separate" w:fldLock="0"/>
      </w:r>
      <w:r>
        <w:rPr>
          <w:rStyle w:val="Hyperlink.1"/>
          <w:rFonts w:cs="Arial Unicode MS" w:eastAsia="Arial Unicode MS"/>
          <w:rtl w:val="0"/>
        </w:rPr>
        <w:t>https://www.straitstimes.com/singapore/courts-crime/no-law-or-treaty-bars-execution-of-people-with-iq-under-70-court-of-appeal</w:t>
      </w:r>
      <w:r>
        <w:rPr/>
        <w:fldChar w:fldCharType="end" w:fldLock="0"/>
      </w:r>
      <w:r>
        <w:rPr>
          <w:rStyle w:val="None"/>
          <w:rFonts w:ascii="Calibri" w:hAnsi="Calibri"/>
          <w:sz w:val="16"/>
          <w:szCs w:val="16"/>
          <w:rtl w:val="0"/>
          <w:lang w:val="en-US"/>
        </w:rPr>
        <w:t xml:space="preserve">. </w:t>
      </w:r>
    </w:p>
  </w:footnote>
  <w:footnote w:id="14">
    <w:p>
      <w:pPr>
        <w:pStyle w:val="footnote text"/>
      </w:pPr>
      <w:r>
        <w:rPr>
          <w:rStyle w:val="None"/>
          <w:rFonts w:ascii="Calibri" w:cs="Calibri" w:hAnsi="Calibri" w:eastAsia="Calibri"/>
          <w:sz w:val="22"/>
          <w:szCs w:val="22"/>
          <w:vertAlign w:val="superscript"/>
        </w:rPr>
        <w:footnoteRef/>
      </w:r>
      <w:r>
        <w:rPr>
          <w:rStyle w:val="None"/>
          <w:rFonts w:ascii="Calibri" w:hAnsi="Calibri"/>
          <w:sz w:val="16"/>
          <w:szCs w:val="16"/>
          <w:rtl w:val="0"/>
          <w:lang w:val="en-US"/>
        </w:rPr>
        <w:t xml:space="preserve"> Vietnam Net (10 September 2021), </w:t>
      </w:r>
      <w:r>
        <w:rPr>
          <w:rStyle w:val="None"/>
          <w:rFonts w:ascii="Calibri" w:hAnsi="Calibri" w:hint="default"/>
          <w:sz w:val="16"/>
          <w:szCs w:val="16"/>
          <w:rtl w:val="0"/>
          <w:lang w:val="en-US"/>
        </w:rPr>
        <w:t>‘</w:t>
      </w:r>
      <w:r>
        <w:rPr>
          <w:rStyle w:val="None"/>
          <w:rFonts w:ascii="Calibri" w:hAnsi="Calibri"/>
          <w:sz w:val="16"/>
          <w:szCs w:val="16"/>
          <w:rtl w:val="0"/>
          <w:lang w:val="en-US"/>
        </w:rPr>
        <w:t>The Ministry of Public Security put into use 11 death penalty execution houses</w:t>
      </w:r>
      <w:r>
        <w:rPr>
          <w:rStyle w:val="None"/>
          <w:rFonts w:ascii="Calibri" w:hAnsi="Calibri" w:hint="default"/>
          <w:sz w:val="16"/>
          <w:szCs w:val="16"/>
          <w:rtl w:val="0"/>
          <w:lang w:val="en-US"/>
        </w:rPr>
        <w:t xml:space="preserve">’ </w:t>
      </w:r>
      <w:r>
        <w:rPr>
          <w:rStyle w:val="None"/>
          <w:rFonts w:ascii="Calibri" w:hAnsi="Calibri"/>
          <w:sz w:val="16"/>
          <w:szCs w:val="16"/>
          <w:rtl w:val="0"/>
          <w:lang w:val="en-US"/>
        </w:rPr>
        <w:t xml:space="preserve">[translated] </w:t>
      </w:r>
      <w:r>
        <w:rPr>
          <w:rStyle w:val="None"/>
          <w:rFonts w:ascii="Calibri" w:hAnsi="Calibri"/>
          <w:i w:val="1"/>
          <w:iCs w:val="1"/>
          <w:sz w:val="16"/>
          <w:szCs w:val="16"/>
          <w:rtl w:val="0"/>
          <w:lang w:val="en-US"/>
        </w:rPr>
        <w:t>Vietnam Net</w:t>
      </w:r>
      <w:r>
        <w:rPr>
          <w:rStyle w:val="None"/>
          <w:rFonts w:ascii="Calibri" w:hAnsi="Calibri"/>
          <w:sz w:val="16"/>
          <w:szCs w:val="16"/>
          <w:rtl w:val="0"/>
          <w:lang w:val="en-US"/>
        </w:rPr>
        <w:t xml:space="preserve">, </w:t>
      </w:r>
      <w:r>
        <w:rPr>
          <w:rStyle w:val="Hyperlink.1"/>
        </w:rPr>
        <w:fldChar w:fldCharType="begin" w:fldLock="0"/>
      </w:r>
      <w:r>
        <w:rPr>
          <w:rStyle w:val="Hyperlink.1"/>
        </w:rPr>
        <w:instrText xml:space="preserve"> HYPERLINK "https://vietnamnet.vn/vn/thoi-su/bo-cong-an-dua-vao-su-dung-11-nha-thi-hanh-an-tu-hinh-tiem-thuoc-doc-773540.html"</w:instrText>
      </w:r>
      <w:r>
        <w:rPr>
          <w:rStyle w:val="Hyperlink.1"/>
        </w:rPr>
        <w:fldChar w:fldCharType="separate" w:fldLock="0"/>
      </w:r>
      <w:r>
        <w:rPr>
          <w:rStyle w:val="Hyperlink.1"/>
          <w:rFonts w:cs="Arial Unicode MS" w:eastAsia="Arial Unicode MS"/>
          <w:rtl w:val="0"/>
        </w:rPr>
        <w:t>https://vietnamnet.vn/vn/thoi-su/bo-cong-an-dua-vao-su-dung-11-nha-thi-hanh-an-tu-hinh-tiem-thuoc-doc-773540.html</w:t>
      </w:r>
      <w:r>
        <w:rPr/>
        <w:fldChar w:fldCharType="end" w:fldLock="0"/>
      </w:r>
      <w:r>
        <w:rPr>
          <w:rStyle w:val="None"/>
          <w:rFonts w:ascii="Calibri" w:hAnsi="Calibri"/>
          <w:outline w:val="0"/>
          <w:color w:val="827249"/>
          <w:sz w:val="16"/>
          <w:szCs w:val="16"/>
          <w:u w:color="827249"/>
          <w:rtl w:val="0"/>
          <w:lang w:val="en-US"/>
          <w14:textFill>
            <w14:solidFill>
              <w14:srgbClr w14:val="827249"/>
            </w14:solidFill>
          </w14:textFill>
        </w:rPr>
        <w:t xml:space="preserve">. </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drawing xmlns:a="http://schemas.openxmlformats.org/drawingml/2006/main">
        <wp:anchor distT="152400" distB="152400" distL="152400" distR="152400" simplePos="0" relativeHeight="251658240" behindDoc="1" locked="0" layoutInCell="1" allowOverlap="1">
          <wp:simplePos x="0" y="0"/>
          <wp:positionH relativeFrom="page">
            <wp:posOffset>2749550</wp:posOffset>
          </wp:positionH>
          <wp:positionV relativeFrom="page">
            <wp:posOffset>220979</wp:posOffset>
          </wp:positionV>
          <wp:extent cx="2057400" cy="497541"/>
          <wp:effectExtent l="0" t="0" r="0" b="0"/>
          <wp:wrapNone/>
          <wp:docPr id="1073741825" name="officeArt object" descr="Picture 5"/>
          <wp:cNvGraphicFramePr/>
          <a:graphic xmlns:a="http://schemas.openxmlformats.org/drawingml/2006/main">
            <a:graphicData uri="http://schemas.openxmlformats.org/drawingml/2006/picture">
              <pic:pic xmlns:pic="http://schemas.openxmlformats.org/drawingml/2006/picture">
                <pic:nvPicPr>
                  <pic:cNvPr id="1073741825" name="Picture 5" descr="Picture 5"/>
                  <pic:cNvPicPr>
                    <a:picLocks noChangeAspect="1"/>
                  </pic:cNvPicPr>
                </pic:nvPicPr>
                <pic:blipFill>
                  <a:blip r:embed="rId1">
                    <a:extLst/>
                  </a:blip>
                  <a:stretch>
                    <a:fillRect/>
                  </a:stretch>
                </pic:blipFill>
                <pic:spPr>
                  <a:xfrm>
                    <a:off x="0" y="0"/>
                    <a:ext cx="2057400" cy="497541"/>
                  </a:xfrm>
                  <a:prstGeom prst="rect">
                    <a:avLst/>
                  </a:prstGeom>
                  <a:ln w="12700" cap="flat">
                    <a:noFill/>
                    <a:miter lim="400000"/>
                  </a:ln>
                  <a:effectLst/>
                </pic:spPr>
              </pic:pic>
            </a:graphicData>
          </a:graphic>
        </wp:anchor>
      </w:drawing>
    </w: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A"/>
      <w:tabs>
        <w:tab w:val="right" w:pos="9000"/>
        <w:tab w:val="clear" w:pos="9020"/>
      </w:tabs>
    </w:pPr>
    <w:r>
      <w:rPr>
        <w:rStyle w:val="font-italic"/>
        <w:rtl w:val="0"/>
        <w:lang w:val="en-US"/>
      </w:rPr>
      <w:t xml:space="preserve">                                             </w:t>
    </w:r>
    <w:r>
      <w:rPr>
        <w:rStyle w:val="None"/>
        <w:lang w:val="en-US"/>
      </w:rPr>
      <w:drawing xmlns:a="http://schemas.openxmlformats.org/drawingml/2006/main">
        <wp:inline distT="0" distB="0" distL="0" distR="0">
          <wp:extent cx="1834864" cy="443726"/>
          <wp:effectExtent l="0" t="0" r="0" b="0"/>
          <wp:docPr id="1073741827" name="officeArt object" descr="Picture 1"/>
          <wp:cNvGraphicFramePr/>
          <a:graphic xmlns:a="http://schemas.openxmlformats.org/drawingml/2006/main">
            <a:graphicData uri="http://schemas.openxmlformats.org/drawingml/2006/picture">
              <pic:pic xmlns:pic="http://schemas.openxmlformats.org/drawingml/2006/picture">
                <pic:nvPicPr>
                  <pic:cNvPr id="1073741827" name="Picture 1" descr="Picture 1"/>
                  <pic:cNvPicPr>
                    <a:picLocks noChangeAspect="1"/>
                  </pic:cNvPicPr>
                </pic:nvPicPr>
                <pic:blipFill>
                  <a:blip r:embed="rId1">
                    <a:extLst/>
                  </a:blip>
                  <a:stretch>
                    <a:fillRect/>
                  </a:stretch>
                </pic:blipFill>
                <pic:spPr>
                  <a:xfrm>
                    <a:off x="0" y="0"/>
                    <a:ext cx="1834864" cy="443726"/>
                  </a:xfrm>
                  <a:prstGeom prst="rect">
                    <a:avLst/>
                  </a:prstGeom>
                  <a:ln w="12700" cap="flat">
                    <a:noFill/>
                    <a:miter lim="400000"/>
                  </a:ln>
                  <a:effectLst/>
                </pic:spPr>
              </pic:pic>
            </a:graphicData>
          </a:graphic>
        </wp:inline>
      </w:drawing>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A"/>
      <w:tabs>
        <w:tab w:val="right" w:pos="9000"/>
        <w:tab w:val="clear" w:pos="9020"/>
      </w:tabs>
    </w:pPr>
    <w:r>
      <w:drawing xmlns:a="http://schemas.openxmlformats.org/drawingml/2006/main">
        <wp:anchor distT="152400" distB="152400" distL="152400" distR="152400" simplePos="0" relativeHeight="251658240" behindDoc="1" locked="0" layoutInCell="1" allowOverlap="1">
          <wp:simplePos x="0" y="0"/>
          <wp:positionH relativeFrom="page">
            <wp:posOffset>2749550</wp:posOffset>
          </wp:positionH>
          <wp:positionV relativeFrom="page">
            <wp:posOffset>220979</wp:posOffset>
          </wp:positionV>
          <wp:extent cx="2057400" cy="497541"/>
          <wp:effectExtent l="0" t="0" r="0" b="0"/>
          <wp:wrapNone/>
          <wp:docPr id="1073741828" name="officeArt object" descr="Picture 5"/>
          <wp:cNvGraphicFramePr/>
          <a:graphic xmlns:a="http://schemas.openxmlformats.org/drawingml/2006/main">
            <a:graphicData uri="http://schemas.openxmlformats.org/drawingml/2006/picture">
              <pic:pic xmlns:pic="http://schemas.openxmlformats.org/drawingml/2006/picture">
                <pic:nvPicPr>
                  <pic:cNvPr id="1073741828" name="Picture 5" descr="Picture 5"/>
                  <pic:cNvPicPr>
                    <a:picLocks noChangeAspect="1"/>
                  </pic:cNvPicPr>
                </pic:nvPicPr>
                <pic:blipFill>
                  <a:blip r:embed="rId1">
                    <a:extLst/>
                  </a:blip>
                  <a:stretch>
                    <a:fillRect/>
                  </a:stretch>
                </pic:blipFill>
                <pic:spPr>
                  <a:xfrm>
                    <a:off x="0" y="0"/>
                    <a:ext cx="2057400" cy="497541"/>
                  </a:xfrm>
                  <a:prstGeom prst="rect">
                    <a:avLst/>
                  </a:prstGeom>
                  <a:ln w="12700" cap="flat">
                    <a:noFill/>
                    <a:miter lim="400000"/>
                  </a:ln>
                  <a:effectLst/>
                </pic:spPr>
              </pic:pic>
            </a:graphicData>
          </a:graphic>
        </wp:anchor>
      </w:drawing>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lowerLetter"/>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er">
    <w:name w:val="header"/>
    <w:next w:val="header"/>
    <w:pPr>
      <w:keepNext w:val="0"/>
      <w:keepLines w:val="0"/>
      <w:pageBreakBefore w:val="0"/>
      <w:widowControl w:val="1"/>
      <w:shd w:val="clear" w:color="auto" w:fill="auto"/>
      <w:tabs>
        <w:tab w:val="center" w:pos="4513"/>
        <w:tab w:val="right" w:pos="9000"/>
      </w:tabs>
      <w:suppressAutoHyphens w:val="0"/>
      <w:bidi w:val="0"/>
      <w:spacing w:before="0" w:after="0" w:line="240" w:lineRule="auto"/>
      <w:ind w:left="0" w:right="0" w:firstLine="0"/>
      <w:jc w:val="center"/>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Text1">
    <w:name w:val="Body Text1"/>
    <w:next w:val="Body Text1"/>
    <w:pPr>
      <w:keepNext w:val="0"/>
      <w:keepLines w:val="0"/>
      <w:pageBreakBefore w:val="0"/>
      <w:widowControl w:val="1"/>
      <w:shd w:val="clear" w:color="auto" w:fill="auto"/>
      <w:suppressAutoHyphens w:val="0"/>
      <w:bidi w:val="0"/>
      <w:spacing w:before="0" w:after="120" w:line="25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None">
    <w:name w:val="None"/>
  </w:style>
  <w:style w:type="character" w:styleId="Hyperlink.0">
    <w:name w:val="Hyperlink.0"/>
    <w:basedOn w:val="None"/>
    <w:next w:val="Hyperlink.0"/>
    <w:rPr>
      <w:rFonts w:ascii="Calibri" w:cs="Calibri" w:hAnsi="Calibri" w:eastAsia="Calibri"/>
      <w:outline w:val="0"/>
      <w:color w:val="000000"/>
      <w:u w:val="single" w:color="000000"/>
      <w14:textFill>
        <w14:solidFill>
          <w14:srgbClr w14:val="000000"/>
        </w14:solidFill>
      </w14:textFill>
    </w:rPr>
  </w:style>
  <w:style w:type="paragraph" w:styleId="Header &amp; Footer A">
    <w:name w:val="Header &amp; Footer A"/>
    <w:next w:val="Header &amp; Footer 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font-italic">
    <w:name w:val="font-italic"/>
    <w:rPr>
      <w:lang w:val="en-US"/>
    </w:rPr>
  </w:style>
  <w:style w:type="paragraph" w:styleId="Comment Text1">
    <w:name w:val="Comment Text1"/>
    <w:next w:val="Comment Text1"/>
    <w:pPr>
      <w:keepNext w:val="0"/>
      <w:keepLines w:val="0"/>
      <w:pageBreakBefore w:val="0"/>
      <w:widowControl w:val="1"/>
      <w:shd w:val="clear" w:color="auto" w:fill="auto"/>
      <w:suppressAutoHyphens w:val="0"/>
      <w:bidi w:val="0"/>
      <w:spacing w:before="0" w:after="120" w:line="240" w:lineRule="auto"/>
      <w:ind w:left="0" w:right="0" w:firstLine="0"/>
      <w:jc w:val="both"/>
      <w:outlineLvl w:val="9"/>
    </w:pPr>
    <w:rPr>
      <w:rFonts w:ascii="Open Sans" w:cs="Open Sans" w:hAnsi="Open Sans" w:eastAsia="Open San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character" w:styleId="Hyperlink.1">
    <w:name w:val="Hyperlink.1"/>
    <w:basedOn w:val="None"/>
    <w:next w:val="Hyperlink.1"/>
    <w:rPr>
      <w:rFonts w:ascii="Calibri" w:cs="Calibri" w:hAnsi="Calibri" w:eastAsia="Calibri"/>
      <w:outline w:val="0"/>
      <w:color w:val="0000ff"/>
      <w:sz w:val="16"/>
      <w:szCs w:val="16"/>
      <w:u w:val="single" w:color="0000ff"/>
      <w14:textFill>
        <w14:solidFill>
          <w14:srgbClr w14:val="0000FF"/>
        </w14:solidFill>
      </w14:textFill>
    </w:rPr>
  </w:style>
  <w:style w:type="numbering" w:styleId="Imported Style 1">
    <w:name w:val="Imported Style 1"/>
    <w:pPr>
      <w:numPr>
        <w:numId w:val="1"/>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ing">
    <w:name w:val="Heading"/>
    <w:next w:val="Body A"/>
    <w:pPr>
      <w:keepNext w:val="1"/>
      <w:keepLines w:val="1"/>
      <w:pageBreakBefore w:val="0"/>
      <w:widowControl w:val="1"/>
      <w:shd w:val="clear" w:color="auto" w:fill="auto"/>
      <w:suppressAutoHyphens w:val="0"/>
      <w:bidi w:val="0"/>
      <w:spacing w:before="240" w:after="0" w:line="240" w:lineRule="auto"/>
      <w:ind w:left="0" w:right="0" w:firstLine="0"/>
      <w:jc w:val="left"/>
      <w:outlineLvl w:val="0"/>
    </w:pPr>
    <w:rPr>
      <w:rFonts w:ascii="Calibri" w:cs="Calibri" w:hAnsi="Calibri" w:eastAsia="Calibri"/>
      <w:b w:val="0"/>
      <w:bCs w:val="0"/>
      <w:i w:val="0"/>
      <w:iCs w:val="0"/>
      <w:caps w:val="0"/>
      <w:smallCaps w:val="0"/>
      <w:strike w:val="0"/>
      <w:dstrike w:val="0"/>
      <w:outline w:val="0"/>
      <w:color w:val="2e74b5"/>
      <w:spacing w:val="0"/>
      <w:kern w:val="0"/>
      <w:position w:val="0"/>
      <w:sz w:val="32"/>
      <w:szCs w:val="32"/>
      <w:u w:val="none" w:color="2e74b5"/>
      <w:shd w:val="nil" w:color="auto" w:fill="auto"/>
      <w:vertAlign w:val="baseline"/>
      <w:lang w:val="en-US"/>
      <w14:textOutline w14:w="12700" w14:cap="flat">
        <w14:noFill/>
        <w14:miter w14:lim="400000"/>
      </w14:textOutline>
      <w14:textFill>
        <w14:solidFill>
          <w14:srgbClr w14:val="2E74B5"/>
        </w14:solidFill>
      </w14:textFill>
    </w:rPr>
  </w:style>
  <w:style w:type="character" w:styleId="Hyperlink.2">
    <w:name w:val="Hyperlink.2"/>
    <w:basedOn w:val="None"/>
    <w:next w:val="Hyperlink.2"/>
    <w:rPr>
      <w:outline w:val="0"/>
      <w:color w:val="0000ff"/>
      <w:sz w:val="16"/>
      <w:szCs w:val="16"/>
      <w:u w:val="single" w:color="0000ff"/>
      <w:lang w:val="en-US"/>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footnotes" Target="footnotes.xml"/><Relationship Id="rId14" Type="http://schemas.openxmlformats.org/officeDocument/2006/relationships/numbering" Target="numbering.xml"/><Relationship Id="rId15" Type="http://schemas.openxmlformats.org/officeDocument/2006/relationships/theme" Target="theme/theme1.xml"/></Relationships>

</file>

<file path=word/_rels/header2.xml.rels><?xml version="1.0" encoding="UTF-8"?>
<Relationships xmlns="http://schemas.openxmlformats.org/package/2006/relationships"><Relationship Id="rId1" Type="http://schemas.openxmlformats.org/officeDocument/2006/relationships/image" Target="media/image2.png"/></Relationships>

</file>

<file path=word/_rels/header3.xml.rels><?xml version="1.0" encoding="UTF-8"?>
<Relationships xmlns="http://schemas.openxmlformats.org/package/2006/relationships"><Relationship Id="rId1" Type="http://schemas.openxmlformats.org/officeDocument/2006/relationships/image" Target="media/image1.png"/></Relationships>

</file>

<file path=word/_rels/header4.xml.rels><?xml version="1.0" encoding="UTF-8"?>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