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F8821" w14:textId="58A7A77F" w:rsidR="00047A9E" w:rsidRDefault="00047A9E" w:rsidP="00047A9E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 w:cstheme="minorHAnsi"/>
          <w:i/>
          <w:sz w:val="28"/>
          <w:szCs w:val="28"/>
        </w:rPr>
      </w:pPr>
    </w:p>
    <w:p w14:paraId="1EE64058" w14:textId="77777777" w:rsidR="00047A9E" w:rsidRDefault="00047A9E" w:rsidP="00047A9E">
      <w:pPr>
        <w:spacing w:line="240" w:lineRule="auto"/>
        <w:jc w:val="both"/>
        <w:rPr>
          <w:rFonts w:eastAsia="Times New Roman" w:cstheme="minorHAnsi"/>
          <w:b/>
          <w:bCs/>
          <w:sz w:val="28"/>
          <w:szCs w:val="28"/>
        </w:rPr>
      </w:pPr>
    </w:p>
    <w:p w14:paraId="023F283E" w14:textId="52AD1C26" w:rsidR="00047A9E" w:rsidRDefault="00047A9E" w:rsidP="00047A9E">
      <w:pPr>
        <w:spacing w:line="240" w:lineRule="auto"/>
        <w:jc w:val="both"/>
        <w:rPr>
          <w:rFonts w:eastAsia="Times New Roman" w:cstheme="minorHAnsi"/>
          <w:b/>
          <w:bCs/>
          <w:sz w:val="28"/>
          <w:szCs w:val="28"/>
        </w:rPr>
      </w:pPr>
      <w:r>
        <w:rPr>
          <w:rFonts w:cstheme="minorHAnsi"/>
          <w:noProof/>
        </w:rPr>
        <w:drawing>
          <wp:inline distT="0" distB="0" distL="0" distR="0" wp14:anchorId="42487078" wp14:editId="006573B4">
            <wp:extent cx="714375" cy="590550"/>
            <wp:effectExtent l="0" t="0" r="9525" b="0"/>
            <wp:docPr id="1" name="Picture 1" descr="_u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_un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795CF" w14:textId="77777777" w:rsidR="00047A9E" w:rsidRDefault="00047A9E" w:rsidP="00047A9E">
      <w:pPr>
        <w:spacing w:line="240" w:lineRule="auto"/>
        <w:jc w:val="both"/>
        <w:rPr>
          <w:rFonts w:eastAsia="Times New Roman" w:cstheme="minorHAnsi"/>
          <w:b/>
          <w:bCs/>
          <w:sz w:val="28"/>
          <w:szCs w:val="28"/>
        </w:rPr>
      </w:pPr>
    </w:p>
    <w:p w14:paraId="743B0462" w14:textId="77777777" w:rsidR="00047A9E" w:rsidRDefault="00047A9E" w:rsidP="00047A9E">
      <w:pPr>
        <w:spacing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United Nations Human Rights Council</w:t>
      </w:r>
    </w:p>
    <w:p w14:paraId="172420CF" w14:textId="77777777" w:rsidR="00047A9E" w:rsidRDefault="00047A9E" w:rsidP="00047A9E">
      <w:pPr>
        <w:spacing w:line="240" w:lineRule="auto"/>
        <w:jc w:val="both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br w:type="textWrapping" w:clear="all"/>
      </w:r>
    </w:p>
    <w:p w14:paraId="600B6CC1" w14:textId="0A2590B5" w:rsidR="00047A9E" w:rsidRDefault="00047A9E" w:rsidP="00047A9E">
      <w:pPr>
        <w:spacing w:line="240" w:lineRule="auto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THE TWENTY-FIFTH SESSION OF THE INTERGOVERNMENTAL WORKING GROUP ON THE RIGHT TO DEVELOPMENT</w:t>
      </w:r>
    </w:p>
    <w:p w14:paraId="315813DD" w14:textId="77777777" w:rsidR="00047A9E" w:rsidRDefault="00047A9E" w:rsidP="00047A9E">
      <w:pPr>
        <w:spacing w:line="240" w:lineRule="auto"/>
        <w:jc w:val="both"/>
        <w:rPr>
          <w:rFonts w:cstheme="minorHAnsi"/>
          <w:sz w:val="36"/>
          <w:szCs w:val="36"/>
        </w:rPr>
      </w:pPr>
    </w:p>
    <w:p w14:paraId="1AFEC068" w14:textId="77777777" w:rsidR="00047A9E" w:rsidRDefault="00047A9E" w:rsidP="00047A9E">
      <w:pPr>
        <w:spacing w:line="240" w:lineRule="auto"/>
        <w:jc w:val="both"/>
        <w:rPr>
          <w:rFonts w:cstheme="minorHAnsi"/>
          <w:sz w:val="36"/>
          <w:szCs w:val="36"/>
        </w:rPr>
      </w:pPr>
    </w:p>
    <w:p w14:paraId="3A281552" w14:textId="77777777" w:rsidR="00047A9E" w:rsidRDefault="00047A9E" w:rsidP="00047A9E">
      <w:pPr>
        <w:spacing w:line="240" w:lineRule="auto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OPENING STATEMENT</w:t>
      </w:r>
    </w:p>
    <w:p w14:paraId="2EC6C5D4" w14:textId="77777777" w:rsidR="00047A9E" w:rsidRDefault="00047A9E" w:rsidP="00047A9E">
      <w:pPr>
        <w:spacing w:line="240" w:lineRule="auto"/>
        <w:jc w:val="center"/>
        <w:rPr>
          <w:rFonts w:cstheme="minorHAnsi"/>
          <w:sz w:val="36"/>
          <w:szCs w:val="36"/>
        </w:rPr>
      </w:pPr>
    </w:p>
    <w:p w14:paraId="1AA02418" w14:textId="77777777" w:rsidR="00047A9E" w:rsidRDefault="00047A9E" w:rsidP="00047A9E">
      <w:pPr>
        <w:spacing w:line="240" w:lineRule="auto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BY</w:t>
      </w:r>
    </w:p>
    <w:p w14:paraId="0C956A8A" w14:textId="77777777" w:rsidR="00047A9E" w:rsidRDefault="00047A9E" w:rsidP="00047A9E">
      <w:pPr>
        <w:spacing w:line="240" w:lineRule="auto"/>
        <w:jc w:val="center"/>
        <w:rPr>
          <w:rFonts w:cstheme="minorHAnsi"/>
          <w:sz w:val="36"/>
          <w:szCs w:val="36"/>
        </w:rPr>
      </w:pPr>
    </w:p>
    <w:p w14:paraId="5B24DDFD" w14:textId="77777777" w:rsidR="00047A9E" w:rsidRDefault="00047A9E" w:rsidP="00047A9E">
      <w:pPr>
        <w:spacing w:line="240" w:lineRule="auto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AMBASSADOR ZAMIR AKRAM</w:t>
      </w:r>
    </w:p>
    <w:p w14:paraId="3065130B" w14:textId="77777777" w:rsidR="00047A9E" w:rsidRDefault="00047A9E" w:rsidP="00047A9E">
      <w:pPr>
        <w:spacing w:line="240" w:lineRule="auto"/>
        <w:jc w:val="center"/>
        <w:rPr>
          <w:rFonts w:cstheme="minorHAnsi"/>
          <w:sz w:val="36"/>
          <w:szCs w:val="36"/>
        </w:rPr>
      </w:pPr>
    </w:p>
    <w:p w14:paraId="3098688F" w14:textId="77777777" w:rsidR="00047A9E" w:rsidRDefault="00047A9E" w:rsidP="00047A9E">
      <w:pPr>
        <w:spacing w:line="240" w:lineRule="auto"/>
        <w:jc w:val="center"/>
        <w:rPr>
          <w:rFonts w:cstheme="minorHAnsi"/>
          <w:sz w:val="36"/>
          <w:szCs w:val="36"/>
        </w:rPr>
      </w:pPr>
    </w:p>
    <w:p w14:paraId="61F00E70" w14:textId="77777777" w:rsidR="00047A9E" w:rsidRDefault="00047A9E" w:rsidP="00047A9E">
      <w:pPr>
        <w:spacing w:line="240" w:lineRule="auto"/>
        <w:jc w:val="center"/>
        <w:rPr>
          <w:rFonts w:cstheme="minorHAnsi"/>
          <w:sz w:val="36"/>
          <w:szCs w:val="36"/>
        </w:rPr>
      </w:pPr>
    </w:p>
    <w:p w14:paraId="5166CC62" w14:textId="77777777" w:rsidR="00047A9E" w:rsidRDefault="00047A9E" w:rsidP="00047A9E">
      <w:pPr>
        <w:spacing w:line="240" w:lineRule="auto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Chair-Rapporteur of the Intergovernmental Working Group on the Right to Development</w:t>
      </w:r>
    </w:p>
    <w:p w14:paraId="6FBBA271" w14:textId="77777777" w:rsidR="00047A9E" w:rsidRDefault="00047A9E" w:rsidP="00047A9E">
      <w:pPr>
        <w:spacing w:line="240" w:lineRule="auto"/>
        <w:jc w:val="center"/>
        <w:rPr>
          <w:rFonts w:cstheme="minorHAnsi"/>
          <w:sz w:val="36"/>
          <w:szCs w:val="36"/>
        </w:rPr>
      </w:pPr>
    </w:p>
    <w:p w14:paraId="0C53B6E6" w14:textId="76A58ECA" w:rsidR="00047A9E" w:rsidRDefault="00047A9E" w:rsidP="00047A9E">
      <w:pPr>
        <w:spacing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13 May 2024</w:t>
      </w:r>
    </w:p>
    <w:p w14:paraId="029C5420" w14:textId="77777777" w:rsidR="00047A9E" w:rsidRDefault="00047A9E" w:rsidP="00047A9E">
      <w:pPr>
        <w:spacing w:line="240" w:lineRule="auto"/>
        <w:jc w:val="center"/>
        <w:rPr>
          <w:rFonts w:cstheme="minorHAnsi"/>
          <w:sz w:val="28"/>
          <w:szCs w:val="28"/>
        </w:rPr>
      </w:pPr>
    </w:p>
    <w:p w14:paraId="3F7365D1" w14:textId="77777777" w:rsidR="00047A9E" w:rsidRDefault="00047A9E" w:rsidP="00047A9E"/>
    <w:p w14:paraId="67589626" w14:textId="77777777" w:rsidR="00047A9E" w:rsidRDefault="00047A9E" w:rsidP="00047A9E"/>
    <w:p w14:paraId="72091545" w14:textId="57B39BC8" w:rsidR="00047A9E" w:rsidRDefault="001707AC" w:rsidP="00047A9E">
      <w:r>
        <w:t>L</w:t>
      </w:r>
      <w:r>
        <w:rPr>
          <w:rFonts w:hint="eastAsia"/>
          <w:lang w:eastAsia="zh-CN"/>
        </w:rPr>
        <w:t>adie</w:t>
      </w:r>
      <w:r>
        <w:t>s and gentlemen</w:t>
      </w:r>
      <w:r w:rsidR="00047A9E">
        <w:t xml:space="preserve">, </w:t>
      </w:r>
    </w:p>
    <w:p w14:paraId="6181DD98" w14:textId="77777777" w:rsidR="00047A9E" w:rsidRDefault="00047A9E" w:rsidP="00047A9E">
      <w:r>
        <w:t xml:space="preserve">Distinguished delegates, </w:t>
      </w:r>
    </w:p>
    <w:p w14:paraId="6AF78E4A" w14:textId="652A3083" w:rsidR="005A3547" w:rsidRDefault="00047A9E" w:rsidP="001707AC">
      <w:r>
        <w:t>I am deeply honoured to</w:t>
      </w:r>
      <w:r w:rsidR="005A3547">
        <w:t xml:space="preserve"> be re-elected as Chair of this Working Group</w:t>
      </w:r>
      <w:r w:rsidR="001707AC">
        <w:t>,</w:t>
      </w:r>
      <w:r w:rsidR="005A3547">
        <w:t xml:space="preserve"> and</w:t>
      </w:r>
      <w:r w:rsidR="001707AC">
        <w:t xml:space="preserve"> I</w:t>
      </w:r>
      <w:r w:rsidR="005A3547">
        <w:t xml:space="preserve"> want to thank all delegations for the confidence reposed in me. </w:t>
      </w:r>
      <w:proofErr w:type="gramStart"/>
      <w:r w:rsidR="001707AC">
        <w:t>In particular, I</w:t>
      </w:r>
      <w:proofErr w:type="gramEnd"/>
      <w:r w:rsidR="001707AC">
        <w:t xml:space="preserve"> would like to thank the representative of Uganda for the kind words that he has addressed me.</w:t>
      </w:r>
    </w:p>
    <w:p w14:paraId="41BB7009" w14:textId="3A81143B" w:rsidR="00E923C4" w:rsidRDefault="005A3547" w:rsidP="004246AB">
      <w:r>
        <w:t>As we convene this</w:t>
      </w:r>
      <w:r w:rsidR="00047A9E">
        <w:t xml:space="preserve"> 25</w:t>
      </w:r>
      <w:r w:rsidR="00047A9E" w:rsidRPr="00047A9E">
        <w:rPr>
          <w:vertAlign w:val="superscript"/>
        </w:rPr>
        <w:t>th</w:t>
      </w:r>
      <w:r w:rsidR="00047A9E">
        <w:t xml:space="preserve"> session of the </w:t>
      </w:r>
      <w:r w:rsidR="002332B5">
        <w:t xml:space="preserve">Intergovernmental </w:t>
      </w:r>
      <w:r w:rsidR="00047A9E">
        <w:t>Working Gr</w:t>
      </w:r>
      <w:r>
        <w:t>oup on the Right to Development today, I want to begin by extending</w:t>
      </w:r>
      <w:r w:rsidR="00EA47A3">
        <w:t xml:space="preserve"> my appreciation</w:t>
      </w:r>
      <w:r w:rsidR="001707AC">
        <w:t xml:space="preserve"> also</w:t>
      </w:r>
      <w:r w:rsidR="00EA47A3">
        <w:t xml:space="preserve"> to </w:t>
      </w:r>
      <w:r w:rsidR="001707AC">
        <w:t xml:space="preserve">the </w:t>
      </w:r>
      <w:r w:rsidR="00EA47A3">
        <w:t xml:space="preserve">High Commissioner </w:t>
      </w:r>
      <w:r w:rsidR="001707AC">
        <w:t xml:space="preserve">Mr. </w:t>
      </w:r>
      <w:r w:rsidR="00EA47A3">
        <w:t>Volk</w:t>
      </w:r>
      <w:r>
        <w:t xml:space="preserve">er </w:t>
      </w:r>
      <w:proofErr w:type="spellStart"/>
      <w:r>
        <w:t>Türk</w:t>
      </w:r>
      <w:proofErr w:type="spellEnd"/>
      <w:r>
        <w:t xml:space="preserve"> for his opening remarks and for his consistent support </w:t>
      </w:r>
      <w:r w:rsidR="00D54D2D">
        <w:t>to this Group.</w:t>
      </w:r>
    </w:p>
    <w:p w14:paraId="5B873F09" w14:textId="59B5F972" w:rsidR="003B41B2" w:rsidRDefault="00D54D2D" w:rsidP="00047A9E">
      <w:r>
        <w:t>It is worth recalling that this</w:t>
      </w:r>
      <w:r w:rsidR="003B41B2">
        <w:t xml:space="preserve"> Working Group was established in 1998, as a follow-up mechanism to </w:t>
      </w:r>
      <w:r w:rsidR="00CF2FFD">
        <w:t xml:space="preserve">the Declaration on the Right to </w:t>
      </w:r>
      <w:r w:rsidR="00461D5F">
        <w:t>D</w:t>
      </w:r>
      <w:r w:rsidR="00CF2FFD">
        <w:t xml:space="preserve">evelopment with the overall mandate to </w:t>
      </w:r>
      <w:r w:rsidR="002F1080" w:rsidRPr="002F1080">
        <w:t>monitor and review progress made in the promotion and implementation of the right to development</w:t>
      </w:r>
      <w:r w:rsidR="002F1080">
        <w:t xml:space="preserve">. </w:t>
      </w:r>
    </w:p>
    <w:p w14:paraId="42BE3F00" w14:textId="773B46C4" w:rsidR="003B41B2" w:rsidRDefault="00BB00ED" w:rsidP="00047A9E">
      <w:r>
        <w:t xml:space="preserve">Since 1998, the Working Group </w:t>
      </w:r>
      <w:r w:rsidR="00D54D2D">
        <w:t>has implemented several</w:t>
      </w:r>
      <w:r w:rsidR="00E06214">
        <w:t xml:space="preserve"> processes</w:t>
      </w:r>
      <w:r w:rsidR="00D064F3">
        <w:t xml:space="preserve">, in distinct yet partially overlapping time periods, </w:t>
      </w:r>
      <w:r w:rsidR="00C74C61">
        <w:t xml:space="preserve">and </w:t>
      </w:r>
      <w:r w:rsidR="00A16CF0">
        <w:t xml:space="preserve">focused on </w:t>
      </w:r>
      <w:r w:rsidR="00475A23">
        <w:t xml:space="preserve">various aspects of its mandate. </w:t>
      </w:r>
    </w:p>
    <w:p w14:paraId="2DF651F1" w14:textId="2E91440D" w:rsidR="00475A23" w:rsidRDefault="008B06F7" w:rsidP="00047A9E">
      <w:r>
        <w:t>From 2000</w:t>
      </w:r>
      <w:r w:rsidR="00A45CCE">
        <w:t xml:space="preserve"> to</w:t>
      </w:r>
      <w:r w:rsidR="00E06F15">
        <w:t xml:space="preserve"> </w:t>
      </w:r>
      <w:r>
        <w:t>2004, the Working Group</w:t>
      </w:r>
      <w:r w:rsidR="00D66172">
        <w:t xml:space="preserve">’s efforts were </w:t>
      </w:r>
      <w:r w:rsidR="006D7765">
        <w:t xml:space="preserve">largely determined by its interaction with the then independent expert on the right to development and the </w:t>
      </w:r>
      <w:r w:rsidR="00FC259D">
        <w:t xml:space="preserve">thematic </w:t>
      </w:r>
      <w:r w:rsidR="006D7765">
        <w:t>studies</w:t>
      </w:r>
      <w:r w:rsidR="001707AC">
        <w:t xml:space="preserve"> that</w:t>
      </w:r>
      <w:r w:rsidR="006D7765">
        <w:t xml:space="preserve"> he produced. </w:t>
      </w:r>
    </w:p>
    <w:p w14:paraId="3C198B43" w14:textId="399DF1B7" w:rsidR="006D7765" w:rsidRDefault="006D7765" w:rsidP="00047A9E">
      <w:r>
        <w:t>From 200</w:t>
      </w:r>
      <w:r w:rsidR="00AA01DD">
        <w:t>5</w:t>
      </w:r>
      <w:r w:rsidR="00A45CCE">
        <w:t xml:space="preserve"> to</w:t>
      </w:r>
      <w:r w:rsidR="00E06F15">
        <w:t xml:space="preserve"> </w:t>
      </w:r>
      <w:r w:rsidR="00AA01DD">
        <w:t xml:space="preserve">2010, a similar interaction with the high-level task force on the right to development determined its work. </w:t>
      </w:r>
    </w:p>
    <w:p w14:paraId="4F17A008" w14:textId="032E5FDC" w:rsidR="00AA01DD" w:rsidRDefault="005461EA" w:rsidP="00047A9E">
      <w:r>
        <w:t>From 2011</w:t>
      </w:r>
      <w:r w:rsidR="00A45CCE">
        <w:t xml:space="preserve"> to</w:t>
      </w:r>
      <w:r w:rsidR="00E06F15">
        <w:t xml:space="preserve"> </w:t>
      </w:r>
      <w:r>
        <w:t>201</w:t>
      </w:r>
      <w:r w:rsidR="0074339B">
        <w:t>8, the Working</w:t>
      </w:r>
      <w:r w:rsidR="000F0298">
        <w:t xml:space="preserve"> G</w:t>
      </w:r>
      <w:r w:rsidR="000F0298">
        <w:rPr>
          <w:rFonts w:ascii="DengXian" w:eastAsia="DengXian" w:hAnsi="DengXian" w:hint="eastAsia"/>
          <w:lang w:eastAsia="zh-CN"/>
        </w:rPr>
        <w:t>r</w:t>
      </w:r>
      <w:r w:rsidR="000F0298">
        <w:rPr>
          <w:rFonts w:eastAsiaTheme="minorHAnsi"/>
        </w:rPr>
        <w:t>oup</w:t>
      </w:r>
      <w:r w:rsidR="0074339B">
        <w:t xml:space="preserve"> considered </w:t>
      </w:r>
      <w:r w:rsidR="00A45CCE">
        <w:t xml:space="preserve">the </w:t>
      </w:r>
      <w:r w:rsidR="0074339B">
        <w:t xml:space="preserve">draft criteria and operational sub-criteria for the realization of the right to development. </w:t>
      </w:r>
    </w:p>
    <w:p w14:paraId="375B1EE7" w14:textId="05194040" w:rsidR="0074339B" w:rsidRDefault="00B846DF" w:rsidP="00047A9E">
      <w:r>
        <w:t>In 2016, the Working Group also had before it a set of standards for the implementat</w:t>
      </w:r>
      <w:r w:rsidR="00D54D2D">
        <w:t>ion of the right to development which were prepared by me.</w:t>
      </w:r>
    </w:p>
    <w:p w14:paraId="428BB7DC" w14:textId="498B388C" w:rsidR="00D54D2D" w:rsidRDefault="00D54D2D" w:rsidP="00047A9E">
      <w:r>
        <w:t>Unfortunately, however, the Group was unable to make substantive progress towards implementation of its mandate</w:t>
      </w:r>
      <w:r w:rsidR="001707AC">
        <w:t xml:space="preserve"> throughout this period</w:t>
      </w:r>
      <w:r>
        <w:t>.</w:t>
      </w:r>
    </w:p>
    <w:p w14:paraId="164B3480" w14:textId="206C2A57" w:rsidR="00F963E8" w:rsidRDefault="00F963E8" w:rsidP="00047A9E">
      <w:r>
        <w:t xml:space="preserve">It was largely due to this stalemate that the Human Rights Council mandated me as the Chair to prepare a draft legally binding instrument on the right to development in 2018. Assisted by a team of highly capable legal experts, I presented a draft text of a legally binding instrument to the working group in 2019 which was negotiated among member states in subsequent sessions of </w:t>
      </w:r>
      <w:r w:rsidR="001707AC">
        <w:t xml:space="preserve">this </w:t>
      </w:r>
      <w:r>
        <w:t>group.</w:t>
      </w:r>
    </w:p>
    <w:p w14:paraId="306E7638" w14:textId="77777777" w:rsidR="00E5162D" w:rsidRDefault="00034B1B" w:rsidP="00047A9E">
      <w:r>
        <w:t>In September</w:t>
      </w:r>
      <w:r w:rsidR="00D00689">
        <w:t xml:space="preserve"> 2023, a</w:t>
      </w:r>
      <w:r w:rsidR="00A45CCE">
        <w:t>s requested by the Human Rights Council, I submitted the draft</w:t>
      </w:r>
      <w:r w:rsidR="00D00689">
        <w:t xml:space="preserve"> final text, designated as a</w:t>
      </w:r>
      <w:r w:rsidR="00A45CCE">
        <w:t xml:space="preserve"> covenant on the right to development</w:t>
      </w:r>
      <w:r w:rsidR="00D00689">
        <w:t>,</w:t>
      </w:r>
      <w:r w:rsidR="00A45CCE">
        <w:t xml:space="preserve"> t</w:t>
      </w:r>
      <w:r w:rsidR="00D00689">
        <w:t>o the Council</w:t>
      </w:r>
      <w:r w:rsidR="00A45CCE">
        <w:t>. Thereafter, the Council transmitted the text</w:t>
      </w:r>
      <w:r w:rsidR="006A6AE8">
        <w:t xml:space="preserve"> to the General Assembly</w:t>
      </w:r>
      <w:r w:rsidR="00A45CCE">
        <w:t xml:space="preserve"> for further consideration, </w:t>
      </w:r>
      <w:proofErr w:type="gramStart"/>
      <w:r w:rsidR="00A45CCE">
        <w:t>negotiation</w:t>
      </w:r>
      <w:proofErr w:type="gramEnd"/>
      <w:r w:rsidR="00A45CCE">
        <w:t xml:space="preserve"> and adoption as early as possible</w:t>
      </w:r>
      <w:r w:rsidR="006A6AE8">
        <w:t>.</w:t>
      </w:r>
    </w:p>
    <w:p w14:paraId="62FD76A2" w14:textId="4B2CE103" w:rsidR="006A6AE8" w:rsidRDefault="00D00689" w:rsidP="00047A9E">
      <w:r>
        <w:t>Moving forward, a</w:t>
      </w:r>
      <w:r w:rsidR="00C03E95">
        <w:t>t this session, the Working Group will consider</w:t>
      </w:r>
      <w:r w:rsidR="00D93250">
        <w:t xml:space="preserve"> the </w:t>
      </w:r>
      <w:r w:rsidR="00732844" w:rsidRPr="00732844">
        <w:t>interrelationship between the right to development and the International Covenant on Civil and Political Rights</w:t>
      </w:r>
      <w:r w:rsidR="00B10078">
        <w:t xml:space="preserve"> </w:t>
      </w:r>
      <w:r w:rsidR="00B10078" w:rsidRPr="00B10078">
        <w:t>and the International Covenant on Economic, Social and Cultural Rights</w:t>
      </w:r>
      <w:r w:rsidR="00DC331B" w:rsidRPr="00DC331B">
        <w:t xml:space="preserve"> </w:t>
      </w:r>
      <w:r w:rsidR="00DC331B">
        <w:t>and t</w:t>
      </w:r>
      <w:r w:rsidR="00DC331B" w:rsidRPr="00DC331B">
        <w:t>he contribution of the right to development towards combating discrimination including racial discrimination</w:t>
      </w:r>
      <w:r w:rsidR="00DC331B">
        <w:t>.</w:t>
      </w:r>
    </w:p>
    <w:p w14:paraId="3AAB3F53" w14:textId="6DACD7E4" w:rsidR="00032CD4" w:rsidRDefault="00032CD4" w:rsidP="00047A9E">
      <w:r w:rsidRPr="00032CD4">
        <w:t>In the broader context of our discussions, it is important to reflect on the overarching theme of development. Development is not merely about economic growth or material prosperity; it is about enhancing the well-being and dignity of all individuals and communities</w:t>
      </w:r>
      <w:r w:rsidR="00A45CCE">
        <w:t xml:space="preserve"> not only in the Global South </w:t>
      </w:r>
      <w:r w:rsidR="00A45CCE">
        <w:lastRenderedPageBreak/>
        <w:t>but also in the Global North</w:t>
      </w:r>
      <w:r w:rsidRPr="00032CD4">
        <w:t xml:space="preserve">. It encompasses the pursuit of social justice, the protection of human rights, and the promotion of sustainable </w:t>
      </w:r>
      <w:r w:rsidR="00D00689">
        <w:t>practices that ensure a prosperous</w:t>
      </w:r>
      <w:r w:rsidRPr="00032CD4">
        <w:t xml:space="preserve"> planet for future generations. As we navigate through the complexities of our agenda, let us remain guided by the principles of inclusivity, equity, and solidarity.</w:t>
      </w:r>
    </w:p>
    <w:p w14:paraId="2C7DA8AB" w14:textId="51ECA5C5" w:rsidR="00047A9E" w:rsidRDefault="00047A9E" w:rsidP="00047A9E">
      <w:r>
        <w:t>Reflecting on the past years, it is evident that</w:t>
      </w:r>
      <w:r w:rsidR="00D00689">
        <w:t>, despite the lack of substantive progress,</w:t>
      </w:r>
      <w:r>
        <w:t xml:space="preserve"> our collective efforts h</w:t>
      </w:r>
      <w:r w:rsidR="00D00689">
        <w:t xml:space="preserve">ave </w:t>
      </w:r>
      <w:r w:rsidR="00034B1B">
        <w:t>succeeded</w:t>
      </w:r>
      <w:r>
        <w:t xml:space="preserve"> in promoting awareness and understanding of the </w:t>
      </w:r>
      <w:r w:rsidR="00DE6A54">
        <w:t>right to development</w:t>
      </w:r>
      <w:r>
        <w:t>. From fostering dialogue and cooperation to advocating for policy reforms and initiatives, the Working Group has remained at the forefront of shaping the</w:t>
      </w:r>
      <w:r w:rsidR="00034B1B">
        <w:t xml:space="preserve"> international</w:t>
      </w:r>
      <w:r>
        <w:t xml:space="preserve"> discourse on development within the</w:t>
      </w:r>
      <w:r w:rsidR="00D00689">
        <w:t xml:space="preserve"> broader human rights framework, which we recognise</w:t>
      </w:r>
      <w:r w:rsidR="00034B1B">
        <w:t xml:space="preserve"> as being inter-related and inter</w:t>
      </w:r>
      <w:r w:rsidR="00D00689">
        <w:t>-dependent.</w:t>
      </w:r>
      <w:r>
        <w:t xml:space="preserve"> </w:t>
      </w:r>
    </w:p>
    <w:p w14:paraId="7C0BE047" w14:textId="73514C5D" w:rsidR="00047A9E" w:rsidRDefault="00047A9E" w:rsidP="00047A9E">
      <w:r>
        <w:t>Looking ahead to the agenda before us, we are presented with a unique opportunity to build upon the foundations laid in</w:t>
      </w:r>
      <w:r w:rsidR="00C81E07">
        <w:t xml:space="preserve"> the</w:t>
      </w:r>
      <w:r>
        <w:t xml:space="preserve"> previous years and chart a course for future action. Our discussions will undoubtedly be enriched by the invaluable insights and experiences shared by our esteemed colleagues as well es expert</w:t>
      </w:r>
      <w:r w:rsidR="00A45CCE">
        <w:t>s</w:t>
      </w:r>
      <w:r>
        <w:t xml:space="preserve"> in the field of development</w:t>
      </w:r>
      <w:r w:rsidR="00245441">
        <w:t xml:space="preserve"> that are</w:t>
      </w:r>
      <w:r>
        <w:t xml:space="preserve"> gathered here today. </w:t>
      </w:r>
    </w:p>
    <w:p w14:paraId="5E270B5F" w14:textId="39FEE396" w:rsidR="00047A9E" w:rsidRDefault="006C3B40" w:rsidP="005D2BFA">
      <w:r>
        <w:t xml:space="preserve">As we embark on this deliberative process, I encourage each member of the Working Group to </w:t>
      </w:r>
      <w:r w:rsidR="00D0231A">
        <w:t>constructively</w:t>
      </w:r>
      <w:r>
        <w:t xml:space="preserve"> contribute their insights, expertise, and perspectives</w:t>
      </w:r>
      <w:r w:rsidR="00047A9E">
        <w:t xml:space="preserve">, with a view to identifying practical solutions and recommendations that can contribute to the advancement of the </w:t>
      </w:r>
      <w:r w:rsidR="005D2BFA">
        <w:t>r</w:t>
      </w:r>
      <w:r w:rsidR="00047A9E">
        <w:t xml:space="preserve">ight to </w:t>
      </w:r>
      <w:r w:rsidR="005D2BFA">
        <w:t>d</w:t>
      </w:r>
      <w:r w:rsidR="00047A9E">
        <w:t>evelopment. Together, let us reaffirm our shared commitment to leaving no one behind and ensuring that the benefits of development are equitably enjoyed by all.</w:t>
      </w:r>
    </w:p>
    <w:p w14:paraId="1DC62686" w14:textId="70A1078C" w:rsidR="00047A9E" w:rsidRDefault="00C81E07" w:rsidP="00047A9E">
      <w:r>
        <w:t xml:space="preserve">I thank </w:t>
      </w:r>
      <w:r w:rsidR="00047A9E">
        <w:t>you.</w:t>
      </w:r>
    </w:p>
    <w:p w14:paraId="4D42328A" w14:textId="77777777" w:rsidR="00047A9E" w:rsidRDefault="00047A9E" w:rsidP="00047A9E"/>
    <w:p w14:paraId="59E8E566" w14:textId="77777777" w:rsidR="009E68F3" w:rsidRDefault="009E68F3"/>
    <w:sectPr w:rsidR="009E68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A9E"/>
    <w:rsid w:val="00016E16"/>
    <w:rsid w:val="00032CD4"/>
    <w:rsid w:val="00034B1B"/>
    <w:rsid w:val="00047A9E"/>
    <w:rsid w:val="00072A89"/>
    <w:rsid w:val="00087FDE"/>
    <w:rsid w:val="000F0298"/>
    <w:rsid w:val="00102D83"/>
    <w:rsid w:val="00155E7B"/>
    <w:rsid w:val="001707AC"/>
    <w:rsid w:val="001F3AFE"/>
    <w:rsid w:val="002116EB"/>
    <w:rsid w:val="002332B5"/>
    <w:rsid w:val="00245441"/>
    <w:rsid w:val="00260EB9"/>
    <w:rsid w:val="00284E9F"/>
    <w:rsid w:val="002F1080"/>
    <w:rsid w:val="00351F95"/>
    <w:rsid w:val="003A3316"/>
    <w:rsid w:val="003B41B2"/>
    <w:rsid w:val="003C646C"/>
    <w:rsid w:val="00402E99"/>
    <w:rsid w:val="004246AB"/>
    <w:rsid w:val="004417BA"/>
    <w:rsid w:val="00461D5F"/>
    <w:rsid w:val="00475A23"/>
    <w:rsid w:val="004776C9"/>
    <w:rsid w:val="004A41F2"/>
    <w:rsid w:val="004B1CAC"/>
    <w:rsid w:val="004C6DBD"/>
    <w:rsid w:val="0052410F"/>
    <w:rsid w:val="0053002D"/>
    <w:rsid w:val="005461EA"/>
    <w:rsid w:val="005A3547"/>
    <w:rsid w:val="005D2940"/>
    <w:rsid w:val="005D2BFA"/>
    <w:rsid w:val="00624801"/>
    <w:rsid w:val="006741AD"/>
    <w:rsid w:val="006A6AE8"/>
    <w:rsid w:val="006C3B40"/>
    <w:rsid w:val="006D7765"/>
    <w:rsid w:val="00732844"/>
    <w:rsid w:val="0074339B"/>
    <w:rsid w:val="0080143F"/>
    <w:rsid w:val="00863C68"/>
    <w:rsid w:val="008B06F7"/>
    <w:rsid w:val="00934A18"/>
    <w:rsid w:val="00946520"/>
    <w:rsid w:val="009666B3"/>
    <w:rsid w:val="009E68F3"/>
    <w:rsid w:val="00A13172"/>
    <w:rsid w:val="00A16CF0"/>
    <w:rsid w:val="00A30F0F"/>
    <w:rsid w:val="00A325C3"/>
    <w:rsid w:val="00A45CCE"/>
    <w:rsid w:val="00A635A9"/>
    <w:rsid w:val="00A65D6C"/>
    <w:rsid w:val="00A67EB1"/>
    <w:rsid w:val="00AA01DD"/>
    <w:rsid w:val="00AD3DC6"/>
    <w:rsid w:val="00AE0444"/>
    <w:rsid w:val="00B04111"/>
    <w:rsid w:val="00B07565"/>
    <w:rsid w:val="00B10078"/>
    <w:rsid w:val="00B3363D"/>
    <w:rsid w:val="00B508C5"/>
    <w:rsid w:val="00B846DF"/>
    <w:rsid w:val="00BB00ED"/>
    <w:rsid w:val="00BB68C9"/>
    <w:rsid w:val="00C03E36"/>
    <w:rsid w:val="00C03E95"/>
    <w:rsid w:val="00C04015"/>
    <w:rsid w:val="00C37B3F"/>
    <w:rsid w:val="00C6211B"/>
    <w:rsid w:val="00C66C38"/>
    <w:rsid w:val="00C74C61"/>
    <w:rsid w:val="00C81E07"/>
    <w:rsid w:val="00CF2FFD"/>
    <w:rsid w:val="00D00689"/>
    <w:rsid w:val="00D0231A"/>
    <w:rsid w:val="00D064F3"/>
    <w:rsid w:val="00D128A8"/>
    <w:rsid w:val="00D37960"/>
    <w:rsid w:val="00D54D2D"/>
    <w:rsid w:val="00D66172"/>
    <w:rsid w:val="00D702E5"/>
    <w:rsid w:val="00D93250"/>
    <w:rsid w:val="00DA67AA"/>
    <w:rsid w:val="00DC331B"/>
    <w:rsid w:val="00DE6A54"/>
    <w:rsid w:val="00E06214"/>
    <w:rsid w:val="00E06F15"/>
    <w:rsid w:val="00E23565"/>
    <w:rsid w:val="00E5162D"/>
    <w:rsid w:val="00E704BA"/>
    <w:rsid w:val="00E735D7"/>
    <w:rsid w:val="00E923C4"/>
    <w:rsid w:val="00EA47A3"/>
    <w:rsid w:val="00EA5A32"/>
    <w:rsid w:val="00F001FD"/>
    <w:rsid w:val="00F0261A"/>
    <w:rsid w:val="00F63DE3"/>
    <w:rsid w:val="00F963E8"/>
    <w:rsid w:val="00FC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A228D"/>
  <w15:chartTrackingRefBased/>
  <w15:docId w15:val="{57AF9C24-CADA-4B74-A7D2-C9B4F11A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65D6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45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5C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5C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C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5" ma:contentTypeDescription="Create a new document." ma:contentTypeScope="" ma:versionID="061ad61dabd5685189f2d212339a110a">
  <xsd:schema xmlns:xsd="http://www.w3.org/2001/XMLSchema" xmlns:xs="http://www.w3.org/2001/XMLSchema" xmlns:p="http://schemas.microsoft.com/office/2006/metadata/properties" xmlns:ns2="fa1020ff-48ad-4b90-98f4-7161a6f3b630" xmlns:ns3="985ec44e-1bab-4c0b-9df0-6ba128686fc9" xmlns:ns4="9c2e4527-2efa-4ade-b3d6-b2418af14986" targetNamespace="http://schemas.microsoft.com/office/2006/metadata/properties" ma:root="true" ma:fieldsID="03a91c7f8fe58670b6fb849ebb8f49c9" ns2:_="" ns3:_="" ns4:_="">
    <xsd:import namespace="fa1020ff-48ad-4b90-98f4-7161a6f3b630"/>
    <xsd:import namespace="985ec44e-1bab-4c0b-9df0-6ba128686fc9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BDC5D-78A1-4A8B-8D66-BD5E1083E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03045A-9201-49CC-9815-F3ECC4863D61}">
  <ds:schemaRefs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e79759b9-e750-4b43-95b5-023098f0be3d"/>
    <ds:schemaRef ds:uri="http://www.w3.org/XML/1998/namespace"/>
    <ds:schemaRef ds:uri="d95a2909-7c36-4e62-8881-92074e63d919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A37BF8D-F4AE-4145-9440-FBB47C19D368}"/>
</file>

<file path=customXml/itemProps4.xml><?xml version="1.0" encoding="utf-8"?>
<ds:datastoreItem xmlns:ds="http://schemas.openxmlformats.org/officeDocument/2006/customXml" ds:itemID="{73BE9141-EB21-473D-A21B-A0AB49A84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Zhicheng Sheng</dc:title>
  <dc:subject/>
  <dc:creator>Lina Tolle</dc:creator>
  <cp:keywords/>
  <dc:description/>
  <cp:lastModifiedBy>Zhicheng Sheng</cp:lastModifiedBy>
  <cp:revision>9</cp:revision>
  <dcterms:created xsi:type="dcterms:W3CDTF">2024-05-13T07:26:00Z</dcterms:created>
  <dcterms:modified xsi:type="dcterms:W3CDTF">2024-05-13T14:11:00Z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  <property fmtid="{D5CDD505-2E9C-101B-9397-08002B2CF9AE}" pid="3" name="MediaServiceImageTags">
    <vt:lpwstr/>
  </property>
  <property fmtid="{D5CDD505-2E9C-101B-9397-08002B2CF9AE}" pid="4" name="_ExtendedDescription">
    <vt:lpwstr>IGWGRTD 25th session webpage update</vt:lpwstr>
  </property>
</Properties>
</file>