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05F5" w:rsidRPr="00B550C5" w:rsidRDefault="00F350F5">
      <w:pPr>
        <w:spacing w:before="120" w:after="120" w:line="240" w:lineRule="auto"/>
        <w:ind w:left="567"/>
        <w:jc w:val="center"/>
        <w:rPr>
          <w:rFonts w:ascii="Segoe UI" w:eastAsia="Quattrocento Sans" w:hAnsi="Segoe UI" w:cs="Segoe UI"/>
          <w:b/>
        </w:rPr>
      </w:pPr>
      <w:r>
        <w:rPr>
          <w:rFonts w:ascii="Segoe UI" w:eastAsia="Quattrocento Sans" w:hAnsi="Segoe UI" w:cs="Segoe UI"/>
          <w:b/>
        </w:rPr>
        <w:t xml:space="preserve">Respuesta de Chile </w:t>
      </w:r>
      <w:r w:rsidR="00904340" w:rsidRPr="00B550C5">
        <w:rPr>
          <w:rFonts w:ascii="Segoe UI" w:eastAsia="Quattrocento Sans" w:hAnsi="Segoe UI" w:cs="Segoe UI"/>
          <w:b/>
        </w:rPr>
        <w:t>al Cuestionario del Relator Especial de las Naciones Unidas</w:t>
      </w:r>
      <w:r w:rsidR="00B550C5" w:rsidRPr="00B550C5">
        <w:rPr>
          <w:rFonts w:ascii="Segoe UI" w:eastAsia="Quattrocento Sans" w:hAnsi="Segoe UI" w:cs="Segoe UI"/>
          <w:b/>
        </w:rPr>
        <w:t xml:space="preserve"> sobre el derecho al desarrollo</w:t>
      </w:r>
      <w:r w:rsidR="00904340" w:rsidRPr="00B550C5">
        <w:rPr>
          <w:rFonts w:ascii="Segoe UI" w:eastAsia="Quattrocento Sans" w:hAnsi="Segoe UI" w:cs="Segoe UI"/>
          <w:b/>
          <w:vertAlign w:val="superscript"/>
        </w:rPr>
        <w:footnoteReference w:id="1"/>
      </w:r>
    </w:p>
    <w:p w:rsidR="000805F5" w:rsidRPr="00B550C5" w:rsidRDefault="000805F5">
      <w:pPr>
        <w:spacing w:before="120" w:after="120" w:line="240" w:lineRule="auto"/>
        <w:ind w:left="567"/>
        <w:rPr>
          <w:rFonts w:ascii="Segoe UI" w:eastAsia="Quattrocento Sans" w:hAnsi="Segoe UI" w:cs="Segoe UI"/>
          <w:b/>
        </w:rPr>
      </w:pPr>
    </w:p>
    <w:p w:rsidR="000805F5" w:rsidRDefault="00B550C5">
      <w:pPr>
        <w:spacing w:before="120" w:after="120" w:line="240" w:lineRule="auto"/>
        <w:jc w:val="both"/>
        <w:rPr>
          <w:rFonts w:ascii="Segoe UI" w:eastAsia="Quattrocento Sans" w:hAnsi="Segoe UI" w:cs="Segoe UI"/>
        </w:rPr>
      </w:pPr>
      <w:r>
        <w:rPr>
          <w:rFonts w:ascii="Segoe UI" w:eastAsia="Quattrocento Sans" w:hAnsi="Segoe UI" w:cs="Segoe UI"/>
        </w:rPr>
        <w:t xml:space="preserve">En caso que el Relator Especial desee profundizar sobre los aspectos tratado en esta respuesta, </w:t>
      </w:r>
      <w:r w:rsidR="00904340" w:rsidRPr="00B550C5">
        <w:rPr>
          <w:rFonts w:ascii="Segoe UI" w:eastAsia="Quattrocento Sans" w:hAnsi="Segoe UI" w:cs="Segoe UI"/>
        </w:rPr>
        <w:t xml:space="preserve">se acompaña un </w:t>
      </w:r>
      <w:r w:rsidR="00904340" w:rsidRPr="00B550C5">
        <w:rPr>
          <w:rFonts w:ascii="Segoe UI" w:eastAsia="Quattrocento Sans" w:hAnsi="Segoe UI" w:cs="Segoe UI"/>
          <w:b/>
        </w:rPr>
        <w:t>Anexo</w:t>
      </w:r>
      <w:r w:rsidR="00904340" w:rsidRPr="00B550C5">
        <w:rPr>
          <w:rFonts w:ascii="Segoe UI" w:eastAsia="Quattrocento Sans" w:hAnsi="Segoe UI" w:cs="Segoe UI"/>
        </w:rPr>
        <w:t xml:space="preserve"> donde se otorga mayor detalle de la información proporcionada.</w:t>
      </w:r>
    </w:p>
    <w:p w:rsidR="00B550C5" w:rsidRPr="00B550C5" w:rsidRDefault="00B550C5">
      <w:pPr>
        <w:spacing w:before="120" w:after="120" w:line="240" w:lineRule="auto"/>
        <w:jc w:val="both"/>
        <w:rPr>
          <w:rFonts w:ascii="Segoe UI" w:eastAsia="Quattrocento Sans" w:hAnsi="Segoe UI" w:cs="Segoe UI"/>
        </w:rPr>
      </w:pPr>
    </w:p>
    <w:p w:rsidR="000805F5" w:rsidRPr="00456B6C" w:rsidRDefault="00904340">
      <w:pPr>
        <w:spacing w:before="120" w:after="120" w:line="240" w:lineRule="auto"/>
        <w:jc w:val="both"/>
        <w:rPr>
          <w:rFonts w:ascii="Segoe UI" w:eastAsia="Quattrocento Sans" w:hAnsi="Segoe UI" w:cs="Segoe UI"/>
          <w:b/>
          <w:u w:val="single"/>
        </w:rPr>
      </w:pPr>
      <w:r w:rsidRPr="00456B6C">
        <w:rPr>
          <w:rFonts w:ascii="Segoe UI" w:eastAsia="Quattrocento Sans" w:hAnsi="Segoe UI" w:cs="Segoe UI"/>
          <w:b/>
          <w:u w:val="single"/>
        </w:rPr>
        <w:t>A. Justicia climática: Pérdidas y daños</w:t>
      </w:r>
    </w:p>
    <w:p w:rsidR="000805F5" w:rsidRPr="00B550C5" w:rsidRDefault="00B550C5">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b/>
        </w:rPr>
        <w:t>Pregunta N°</w:t>
      </w:r>
      <w:r w:rsidR="00904340" w:rsidRPr="00B550C5">
        <w:rPr>
          <w:rFonts w:ascii="Segoe UI" w:eastAsia="Quattrocento Sans" w:hAnsi="Segoe UI" w:cs="Segoe UI"/>
          <w:b/>
        </w:rPr>
        <w:t xml:space="preserve">1. </w:t>
      </w:r>
      <w:r w:rsidR="00904340" w:rsidRPr="00B550C5">
        <w:rPr>
          <w:rFonts w:ascii="Segoe UI" w:eastAsia="Quattrocento Sans" w:hAnsi="Segoe UI" w:cs="Segoe UI"/>
        </w:rPr>
        <w:t>El derecho al desarrollo se ve comprometido por las pérdidas y daños generados por el cambio climático, el cual ha aumentado significativamente en la última década. Eventos hidrometeorológicos extremos como inundaciones o mega incendios, han traído consecuencias importantes para el desarrollo, impactando tanto individuos como grupos, e incluso al Estado.</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En términos económicos, las pérdidas materiales derivadas de eventos extremos, como inundaciones, sequías y mega-incendios, pueden representar una carga significativa para la economía de un país. Estos eventos pueden resultar en costos considerables para el Estado</w:t>
      </w:r>
      <w:r w:rsidR="00B550C5">
        <w:rPr>
          <w:rFonts w:ascii="Segoe UI" w:eastAsia="Quattrocento Sans" w:hAnsi="Segoe UI" w:cs="Segoe UI"/>
        </w:rPr>
        <w:t>. E</w:t>
      </w:r>
      <w:r w:rsidRPr="00B550C5">
        <w:rPr>
          <w:rFonts w:ascii="Segoe UI" w:eastAsia="Quattrocento Sans" w:hAnsi="Segoe UI" w:cs="Segoe UI"/>
        </w:rPr>
        <w:t xml:space="preserve">n Chile por ejemplo, durante el año 2017, los mega-incendios devastaron un área superior a las 500.000 hectáreas, destruyendo matorrales, plantaciones y bosque nativo, entre otras formaciones vegetales. Los costos incurridos por el Estado durante esa temporada ascendieron a USD 362.2 millones, asociados al combate de incendios, la reconstrucción de viviendas y el apoyo a sectores productivos, entre otros, Esta pérdida de recursos financieros puede limitar la capacidad del Estado para invertir en el desarrollo de infraestructura crucial, programas de mitigación y adaptación al cambio climático, así como en servicios básicos como educación y salud. </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 xml:space="preserve">Por otro lado, la destrucción de viviendas y la pérdida de medios de subsistencia también tienen consecuencias graves y duraderas para las comunidades afectadas. Las viviendas destruidas pueden dejar a las personas sin refugio y expuestas, aumentando su vulnerabilidad a enfermedades, lesiones y otros riesgos para la salud. </w:t>
      </w:r>
      <w:r w:rsidR="00B550C5">
        <w:rPr>
          <w:rFonts w:ascii="Segoe UI" w:eastAsia="Quattrocento Sans" w:hAnsi="Segoe UI" w:cs="Segoe UI"/>
        </w:rPr>
        <w:t>Asimismo, l</w:t>
      </w:r>
      <w:r w:rsidRPr="00B550C5">
        <w:rPr>
          <w:rFonts w:ascii="Segoe UI" w:eastAsia="Quattrocento Sans" w:hAnsi="Segoe UI" w:cs="Segoe UI"/>
        </w:rPr>
        <w:t xml:space="preserve">a pérdida de medios de subsistencia, como cultivos agrícolas arrasados por inundaciones o ganado perdido en incendios forestales, puede sumir a las personas y comunidades en la pobreza y la inseguridad alimentaria, dificultando su capacidad para satisfacer sus necesidades básicas y participar plenamente en el desarrollo económico y social. </w:t>
      </w:r>
      <w:r w:rsidR="00B550C5">
        <w:rPr>
          <w:rFonts w:ascii="Segoe UI" w:eastAsia="Quattrocento Sans" w:hAnsi="Segoe UI" w:cs="Segoe UI"/>
        </w:rPr>
        <w:t>Igualmente</w:t>
      </w:r>
      <w:r w:rsidRPr="00B550C5">
        <w:rPr>
          <w:rFonts w:ascii="Segoe UI" w:eastAsia="Quattrocento Sans" w:hAnsi="Segoe UI" w:cs="Segoe UI"/>
        </w:rPr>
        <w:t xml:space="preserve">, la destrucción de infraestructuras básicas como escuelas, hospitales y carreteras, puede obstaculizar el acceso a servicios esenciales y frenar el progreso hacia metas de desarrollo sostenible. </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Se recomienda ver</w:t>
      </w:r>
      <w:r w:rsidR="00B550C5">
        <w:rPr>
          <w:rFonts w:ascii="Segoe UI" w:eastAsia="Quattrocento Sans" w:hAnsi="Segoe UI" w:cs="Segoe UI"/>
        </w:rPr>
        <w:t xml:space="preserve"> el</w:t>
      </w:r>
      <w:r w:rsidRPr="00B550C5">
        <w:rPr>
          <w:rFonts w:ascii="Segoe UI" w:eastAsia="Quattrocento Sans" w:hAnsi="Segoe UI" w:cs="Segoe UI"/>
        </w:rPr>
        <w:t xml:space="preserve"> </w:t>
      </w:r>
      <w:r w:rsidRPr="00B550C5">
        <w:rPr>
          <w:rFonts w:ascii="Segoe UI" w:eastAsia="Quattrocento Sans" w:hAnsi="Segoe UI" w:cs="Segoe UI"/>
          <w:b/>
        </w:rPr>
        <w:t>Anexo</w:t>
      </w:r>
      <w:r w:rsidR="00F350F5">
        <w:rPr>
          <w:rFonts w:ascii="Segoe UI" w:eastAsia="Quattrocento Sans" w:hAnsi="Segoe UI" w:cs="Segoe UI"/>
        </w:rPr>
        <w:t xml:space="preserve"> para más detalles sobre la Ley Marco de Cambio Climático</w:t>
      </w:r>
      <w:r w:rsidR="00E37E24">
        <w:rPr>
          <w:rFonts w:ascii="Segoe UI" w:eastAsia="Quattrocento Sans" w:hAnsi="Segoe UI" w:cs="Segoe UI"/>
        </w:rPr>
        <w:t xml:space="preserve">, la Ley </w:t>
      </w:r>
      <w:r w:rsidR="00E37E24" w:rsidRPr="00E37E24">
        <w:rPr>
          <w:rFonts w:ascii="Segoe UI" w:eastAsia="Quattrocento Sans" w:hAnsi="Segoe UI" w:cs="Segoe UI"/>
        </w:rPr>
        <w:t>que establece el Sistema Nacional de Prevención y Respuesta ante Desastres</w:t>
      </w:r>
      <w:r w:rsidR="00E37E24">
        <w:rPr>
          <w:rFonts w:ascii="Segoe UI" w:eastAsia="Quattrocento Sans" w:hAnsi="Segoe UI" w:cs="Segoe UI"/>
        </w:rPr>
        <w:t xml:space="preserve">, la Contribución Determinada a Nivel Nacional, </w:t>
      </w:r>
      <w:r w:rsidR="00F473A0">
        <w:rPr>
          <w:rFonts w:ascii="Segoe UI" w:eastAsia="Quattrocento Sans" w:hAnsi="Segoe UI" w:cs="Segoe UI"/>
        </w:rPr>
        <w:t xml:space="preserve">la Estrategia Climática de Largo Plazo, el Plan de Adaptación al Cambio Climático, </w:t>
      </w:r>
      <w:r w:rsidR="00E37E24">
        <w:rPr>
          <w:rFonts w:ascii="Segoe UI" w:eastAsia="Quattrocento Sans" w:hAnsi="Segoe UI" w:cs="Segoe UI"/>
        </w:rPr>
        <w:t xml:space="preserve">y otros mecanismos mediante los cuales Chile </w:t>
      </w:r>
      <w:r w:rsidR="00F350F5">
        <w:rPr>
          <w:rFonts w:ascii="Segoe UI" w:eastAsia="Quattrocento Sans" w:hAnsi="Segoe UI" w:cs="Segoe UI"/>
        </w:rPr>
        <w:t xml:space="preserve">busca abordar los efectos </w:t>
      </w:r>
      <w:r w:rsidR="00E37E24">
        <w:rPr>
          <w:rFonts w:ascii="Segoe UI" w:eastAsia="Quattrocento Sans" w:hAnsi="Segoe UI" w:cs="Segoe UI"/>
        </w:rPr>
        <w:lastRenderedPageBreak/>
        <w:t xml:space="preserve">adversos </w:t>
      </w:r>
      <w:r w:rsidR="00F350F5">
        <w:rPr>
          <w:rFonts w:ascii="Segoe UI" w:eastAsia="Quattrocento Sans" w:hAnsi="Segoe UI" w:cs="Segoe UI"/>
        </w:rPr>
        <w:t>del cambio climático</w:t>
      </w:r>
      <w:r w:rsidR="00F473A0">
        <w:rPr>
          <w:rFonts w:ascii="Segoe UI" w:eastAsia="Quattrocento Sans" w:hAnsi="Segoe UI" w:cs="Segoe UI"/>
        </w:rPr>
        <w:t>, incluyendo referencia a los enfoques diferenciados respecto de ciertos grupos en situación de vulnerabilidad.</w:t>
      </w:r>
    </w:p>
    <w:p w:rsidR="00B550C5" w:rsidRDefault="00B550C5">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b/>
        </w:rPr>
        <w:t>Pregunta N°</w:t>
      </w:r>
      <w:r w:rsidR="00904340" w:rsidRPr="00B550C5">
        <w:rPr>
          <w:rFonts w:ascii="Segoe UI" w:eastAsia="Quattrocento Sans" w:hAnsi="Segoe UI" w:cs="Segoe UI"/>
          <w:b/>
        </w:rPr>
        <w:t xml:space="preserve">2. </w:t>
      </w:r>
      <w:r w:rsidR="00904340" w:rsidRPr="00B550C5">
        <w:rPr>
          <w:rFonts w:ascii="Segoe UI" w:eastAsia="Quattrocento Sans" w:hAnsi="Segoe UI" w:cs="Segoe UI"/>
        </w:rPr>
        <w:t xml:space="preserve">En el caso específico de Chile, el país ha adoptado diversas iniciativas y compromisos internacionales para abordar las pérdidas y daños relacionados con el cambio climático. En este sentido, la temática de las pérdidas y los daños se trabaja bajo la Convención Marco de las Naciones Unidas sobre el Cambio Climático (CMNUCC), a través del Mecanismo de Varsovia para Pérdidas y Daños (“WIM”, por sus siglas en inglés) y su Comité Ejecutivo (“Excom”). </w:t>
      </w:r>
    </w:p>
    <w:p w:rsidR="000805F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Bajo este marco, en el artículo 8 del Acuerdo de París, se reconoce la importancia de evitar, reducir al mínimo y afrontar las pérdidas y los daños relacionados con los efectos adversos del cambio climático, incluidos los fenómenos meteorológicos extremos y los fenómenos de inicio lento, y la contribución del desarrollo sostenible en la reducción del riesgo de pérdidas y daños. Se destaca que las partes del acuerdo deben reforzar la comprensión, las medidas y el apoyo, de manera cooperativa y facilitativa, a través del WIM.</w:t>
      </w:r>
    </w:p>
    <w:p w:rsidR="00456B6C" w:rsidRPr="00B550C5" w:rsidRDefault="00456B6C">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Se recomienda ver</w:t>
      </w:r>
      <w:r>
        <w:rPr>
          <w:rFonts w:ascii="Segoe UI" w:eastAsia="Quattrocento Sans" w:hAnsi="Segoe UI" w:cs="Segoe UI"/>
        </w:rPr>
        <w:t xml:space="preserve"> el</w:t>
      </w:r>
      <w:r w:rsidRPr="00B550C5">
        <w:rPr>
          <w:rFonts w:ascii="Segoe UI" w:eastAsia="Quattrocento Sans" w:hAnsi="Segoe UI" w:cs="Segoe UI"/>
        </w:rPr>
        <w:t xml:space="preserve"> </w:t>
      </w:r>
      <w:r w:rsidRPr="00B550C5">
        <w:rPr>
          <w:rFonts w:ascii="Segoe UI" w:eastAsia="Quattrocento Sans" w:hAnsi="Segoe UI" w:cs="Segoe UI"/>
          <w:b/>
        </w:rPr>
        <w:t>Anexo</w:t>
      </w:r>
      <w:r>
        <w:rPr>
          <w:rFonts w:ascii="Segoe UI" w:eastAsia="Quattrocento Sans" w:hAnsi="Segoe UI" w:cs="Segoe UI"/>
        </w:rPr>
        <w:t xml:space="preserve"> para más detalles sobre la temática de pérdidas y daños.</w:t>
      </w:r>
    </w:p>
    <w:p w:rsidR="000805F5" w:rsidRPr="00456B6C" w:rsidRDefault="00904340">
      <w:pPr>
        <w:pBdr>
          <w:top w:val="nil"/>
          <w:left w:val="nil"/>
          <w:bottom w:val="nil"/>
          <w:right w:val="nil"/>
          <w:between w:val="nil"/>
        </w:pBdr>
        <w:spacing w:before="120" w:after="120" w:line="240" w:lineRule="auto"/>
        <w:jc w:val="both"/>
        <w:rPr>
          <w:rFonts w:ascii="Segoe UI" w:eastAsia="Quattrocento Sans" w:hAnsi="Segoe UI" w:cs="Segoe UI"/>
          <w:u w:val="single"/>
        </w:rPr>
      </w:pPr>
      <w:r w:rsidRPr="00456B6C">
        <w:rPr>
          <w:rFonts w:ascii="Segoe UI" w:eastAsia="Quattrocento Sans" w:hAnsi="Segoe UI" w:cs="Segoe UI"/>
          <w:b/>
          <w:u w:val="single"/>
        </w:rPr>
        <w:t xml:space="preserve">B. El derecho al desarrollo de los niños y de las generaciones futuras </w:t>
      </w:r>
    </w:p>
    <w:p w:rsidR="000805F5" w:rsidRPr="00B550C5" w:rsidRDefault="00B550C5">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b/>
        </w:rPr>
        <w:t>Pregunta N°</w:t>
      </w:r>
      <w:r w:rsidR="00904340" w:rsidRPr="00B550C5">
        <w:rPr>
          <w:rFonts w:ascii="Segoe UI" w:eastAsia="Quattrocento Sans" w:hAnsi="Segoe UI" w:cs="Segoe UI"/>
          <w:b/>
        </w:rPr>
        <w:t xml:space="preserve">3. </w:t>
      </w:r>
      <w:r w:rsidR="00904340" w:rsidRPr="00B550C5">
        <w:rPr>
          <w:rFonts w:ascii="Segoe UI" w:eastAsia="Quattrocento Sans" w:hAnsi="Segoe UI" w:cs="Segoe UI"/>
        </w:rPr>
        <w:t>La Ley Marco de Cambio Climático</w:t>
      </w:r>
      <w:r w:rsidR="00904340" w:rsidRPr="00B550C5">
        <w:rPr>
          <w:rFonts w:ascii="Segoe UI" w:eastAsia="Quattrocento Sans" w:hAnsi="Segoe UI" w:cs="Segoe UI"/>
          <w:vertAlign w:val="superscript"/>
        </w:rPr>
        <w:footnoteReference w:id="2"/>
      </w:r>
      <w:r>
        <w:rPr>
          <w:rFonts w:ascii="Segoe UI" w:eastAsia="Quattrocento Sans" w:hAnsi="Segoe UI" w:cs="Segoe UI"/>
        </w:rPr>
        <w:t xml:space="preserve"> chilena i</w:t>
      </w:r>
      <w:r w:rsidR="00904340" w:rsidRPr="00B550C5">
        <w:rPr>
          <w:rFonts w:ascii="Segoe UI" w:eastAsia="Quattrocento Sans" w:hAnsi="Segoe UI" w:cs="Segoe UI"/>
        </w:rPr>
        <w:t>ncluye entre sus principios el de participación ciudadana</w:t>
      </w:r>
      <w:r>
        <w:rPr>
          <w:rFonts w:ascii="Segoe UI" w:eastAsia="Quattrocento Sans" w:hAnsi="Segoe UI" w:cs="Segoe UI"/>
        </w:rPr>
        <w:t>,</w:t>
      </w:r>
      <w:r w:rsidR="00904340" w:rsidRPr="00B550C5">
        <w:rPr>
          <w:rFonts w:ascii="Segoe UI" w:eastAsia="Quattrocento Sans" w:hAnsi="Segoe UI" w:cs="Segoe UI"/>
        </w:rPr>
        <w:t xml:space="preserve"> entendido como deber del Estado de contar con los mecanismos que permitan asegurar la participación de toda persona o agrupación de personas en la gestión del cambio climático, tanto a nivel nacional, como regional y local. En este contexto, la participación de niñas, niños y adolescentes es clave para asegurar una perspectiva de justicia intergeneracional en el contexto del cambio climático.</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 xml:space="preserve">Por otra parte, </w:t>
      </w:r>
      <w:r w:rsidR="00B550C5">
        <w:rPr>
          <w:rFonts w:ascii="Segoe UI" w:eastAsia="Quattrocento Sans" w:hAnsi="Segoe UI" w:cs="Segoe UI"/>
        </w:rPr>
        <w:t xml:space="preserve">la Ley </w:t>
      </w:r>
      <w:r w:rsidRPr="00B550C5">
        <w:rPr>
          <w:rFonts w:ascii="Segoe UI" w:eastAsia="Quattrocento Sans" w:hAnsi="Segoe UI" w:cs="Segoe UI"/>
        </w:rPr>
        <w:t>integra</w:t>
      </w:r>
      <w:r w:rsidR="00B550C5">
        <w:rPr>
          <w:rFonts w:ascii="Segoe UI" w:eastAsia="Quattrocento Sans" w:hAnsi="Segoe UI" w:cs="Segoe UI"/>
        </w:rPr>
        <w:t>,</w:t>
      </w:r>
      <w:r w:rsidRPr="00B550C5">
        <w:rPr>
          <w:rFonts w:ascii="Segoe UI" w:eastAsia="Quattrocento Sans" w:hAnsi="Segoe UI" w:cs="Segoe UI"/>
        </w:rPr>
        <w:t xml:space="preserve"> de manera innovadora</w:t>
      </w:r>
      <w:r w:rsidR="00B550C5">
        <w:rPr>
          <w:rFonts w:ascii="Segoe UI" w:eastAsia="Quattrocento Sans" w:hAnsi="Segoe UI" w:cs="Segoe UI"/>
        </w:rPr>
        <w:t>,</w:t>
      </w:r>
      <w:r w:rsidRPr="00B550C5">
        <w:rPr>
          <w:rFonts w:ascii="Segoe UI" w:eastAsia="Quattrocento Sans" w:hAnsi="Segoe UI" w:cs="Segoe UI"/>
        </w:rPr>
        <w:t xml:space="preserve"> a dos representantes de organizaciones de jóvenes que tengan por objeto la protección del medio ambiente y de manera paritaria, en el Consejo Nacional para la Sustentabilidad y el Cambio Climático</w:t>
      </w:r>
      <w:r w:rsidR="00B550C5">
        <w:rPr>
          <w:rFonts w:ascii="Segoe UI" w:eastAsia="Quattrocento Sans" w:hAnsi="Segoe UI" w:cs="Segoe UI"/>
        </w:rPr>
        <w:t xml:space="preserve">. Ello constituye </w:t>
      </w:r>
      <w:r w:rsidRPr="00B550C5">
        <w:rPr>
          <w:rFonts w:ascii="Segoe UI" w:eastAsia="Quattrocento Sans" w:hAnsi="Segoe UI" w:cs="Segoe UI"/>
        </w:rPr>
        <w:t>una instancia multisectorial para emitir opinión sobre los instrumentos de gestión de cambio climático que establece dicha ley, su grado de avance y sobre los efectos que genera su implementación.</w:t>
      </w:r>
    </w:p>
    <w:p w:rsidR="000805F5" w:rsidRPr="00B550C5" w:rsidRDefault="00B550C5">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rPr>
        <w:t>Asimismo, e</w:t>
      </w:r>
      <w:r w:rsidR="00904340" w:rsidRPr="00B550C5">
        <w:rPr>
          <w:rFonts w:ascii="Segoe UI" w:eastAsia="Quattrocento Sans" w:hAnsi="Segoe UI" w:cs="Segoe UI"/>
        </w:rPr>
        <w:t>n su artículo 34 sobre Participación Ciudadana en la gestión del Cambio Climático, indica que toda persona o agrupación de personas tendrá derecho a participar, de manera informada, en la elaboración, revisión y actualización de los instrumentos de gestión del cambio climático, mediante los mecanismos previstos en la ley. Todos los órganos mencionados en la Ley, deberán facilitar siempre las instancias de participación ciudadana, de manera abierta e inclusiva, teniendo especial consideración con los sectores y comunidades vulnerables, aplicando un enfoque multicultural y de género, lo cual incluye a los niños y generaciones futuras.</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 xml:space="preserve">Se recomienda ver </w:t>
      </w:r>
      <w:r w:rsidR="00B550C5">
        <w:rPr>
          <w:rFonts w:ascii="Segoe UI" w:eastAsia="Quattrocento Sans" w:hAnsi="Segoe UI" w:cs="Segoe UI"/>
        </w:rPr>
        <w:t xml:space="preserve">el </w:t>
      </w:r>
      <w:r w:rsidRPr="00B550C5">
        <w:rPr>
          <w:rFonts w:ascii="Segoe UI" w:eastAsia="Quattrocento Sans" w:hAnsi="Segoe UI" w:cs="Segoe UI"/>
          <w:b/>
        </w:rPr>
        <w:t xml:space="preserve">Anexo </w:t>
      </w:r>
      <w:r w:rsidRPr="00B550C5">
        <w:rPr>
          <w:rFonts w:ascii="Segoe UI" w:eastAsia="Quattrocento Sans" w:hAnsi="Segoe UI" w:cs="Segoe UI"/>
        </w:rPr>
        <w:t>para más detalles sobre la participación significativa de los niños y las generaciones futuras en las decisiones relacionadas con el desarrollo a todos los niveles.</w:t>
      </w:r>
    </w:p>
    <w:p w:rsidR="00B550C5" w:rsidRDefault="00B550C5">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b/>
        </w:rPr>
        <w:lastRenderedPageBreak/>
        <w:t>Pregunta N°</w:t>
      </w:r>
      <w:r w:rsidR="00904340" w:rsidRPr="00B550C5">
        <w:rPr>
          <w:rFonts w:ascii="Segoe UI" w:eastAsia="Quattrocento Sans" w:hAnsi="Segoe UI" w:cs="Segoe UI"/>
          <w:b/>
        </w:rPr>
        <w:t>5.</w:t>
      </w:r>
      <w:r>
        <w:rPr>
          <w:rFonts w:ascii="Segoe UI" w:eastAsia="Quattrocento Sans" w:hAnsi="Segoe UI" w:cs="Segoe UI"/>
          <w:b/>
        </w:rPr>
        <w:t xml:space="preserve"> </w:t>
      </w:r>
      <w:r w:rsidRPr="00B550C5">
        <w:rPr>
          <w:rFonts w:ascii="Segoe UI" w:eastAsia="Quattrocento Sans" w:hAnsi="Segoe UI" w:cs="Segoe UI"/>
        </w:rPr>
        <w:t>En relación con esta pregunta, puede destacarse</w:t>
      </w:r>
      <w:r>
        <w:rPr>
          <w:rFonts w:ascii="Segoe UI" w:eastAsia="Quattrocento Sans" w:hAnsi="Segoe UI" w:cs="Segoe UI"/>
          <w:b/>
        </w:rPr>
        <w:t xml:space="preserve"> </w:t>
      </w:r>
      <w:r w:rsidR="00904340" w:rsidRPr="00B550C5">
        <w:rPr>
          <w:rFonts w:ascii="Segoe UI" w:eastAsia="Quattrocento Sans" w:hAnsi="Segoe UI" w:cs="Segoe UI"/>
        </w:rPr>
        <w:t>el Acuerdo Regional sobre el Acceso a la Información, la Participación Pública y el Acceso a la Justicia en Asuntos Ambientales en América Latina y el Caribe, conocido como el Acuerdo de Escazú</w:t>
      </w:r>
      <w:r>
        <w:rPr>
          <w:rFonts w:ascii="Segoe UI" w:eastAsia="Quattrocento Sans" w:hAnsi="Segoe UI" w:cs="Segoe UI"/>
        </w:rPr>
        <w:t>.</w:t>
      </w:r>
      <w:r w:rsidR="00904340" w:rsidRPr="00B550C5">
        <w:rPr>
          <w:rFonts w:ascii="Segoe UI" w:eastAsia="Quattrocento Sans" w:hAnsi="Segoe UI" w:cs="Segoe UI"/>
          <w:vertAlign w:val="superscript"/>
        </w:rPr>
        <w:footnoteReference w:id="3"/>
      </w:r>
      <w:r>
        <w:rPr>
          <w:rFonts w:ascii="Segoe UI" w:eastAsia="Quattrocento Sans" w:hAnsi="Segoe UI" w:cs="Segoe UI"/>
        </w:rPr>
        <w:t xml:space="preserve"> El mismo f</w:t>
      </w:r>
      <w:r w:rsidR="00904340" w:rsidRPr="00B550C5">
        <w:rPr>
          <w:rFonts w:ascii="Segoe UI" w:eastAsia="Quattrocento Sans" w:hAnsi="Segoe UI" w:cs="Segoe UI"/>
        </w:rPr>
        <w:t>ue ingresado el 2</w:t>
      </w:r>
      <w:r>
        <w:rPr>
          <w:rFonts w:ascii="Segoe UI" w:eastAsia="Quattrocento Sans" w:hAnsi="Segoe UI" w:cs="Segoe UI"/>
        </w:rPr>
        <w:t>1 de marzo de 2022 por el Poder E</w:t>
      </w:r>
      <w:r w:rsidR="00904340" w:rsidRPr="00B550C5">
        <w:rPr>
          <w:rFonts w:ascii="Segoe UI" w:eastAsia="Quattrocento Sans" w:hAnsi="Segoe UI" w:cs="Segoe UI"/>
        </w:rPr>
        <w:t>jecutivo con suma urgencia, demostrando la prioridad de esta materia para el Presidente Gabriel Boric.</w:t>
      </w:r>
      <w:r>
        <w:rPr>
          <w:rFonts w:ascii="Segoe UI" w:eastAsia="Quattrocento Sans" w:hAnsi="Segoe UI" w:cs="Segoe UI"/>
        </w:rPr>
        <w:t xml:space="preserve"> El mismo fue finalmente aprobado por el Congreso Nacional y ratificado en junio de 2022.</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El Acuerdo de Escazú tiene por objetivo garantizar la implementación plena y efectiva en América Latina y el Caribe de los derechos de acceso a la información ambiental, a la participación pública en los procesos de toma de decisiones ambientales y a la justicia en asuntos ambientales; y crear y fortalecer las capacidades y la cooperación necesarias para su implementación. Lo anterior, con el fin de contribuir a la protección del derecho de cada persona y las generaciones futuras, a vivir en un medio ambiente sano y al desarrollo sostenible.</w:t>
      </w:r>
    </w:p>
    <w:p w:rsidR="000805F5" w:rsidRPr="00B550C5" w:rsidRDefault="00EE3667">
      <w:pPr>
        <w:pBdr>
          <w:top w:val="nil"/>
          <w:left w:val="nil"/>
          <w:bottom w:val="nil"/>
          <w:right w:val="nil"/>
          <w:between w:val="nil"/>
        </w:pBdr>
        <w:spacing w:before="120" w:after="120" w:line="240" w:lineRule="auto"/>
        <w:jc w:val="both"/>
        <w:rPr>
          <w:rFonts w:ascii="Segoe UI" w:eastAsia="Quattrocento Sans" w:hAnsi="Segoe UI" w:cs="Segoe UI"/>
        </w:rPr>
      </w:pPr>
      <w:r>
        <w:rPr>
          <w:rFonts w:ascii="Segoe UI" w:eastAsia="Quattrocento Sans" w:hAnsi="Segoe UI" w:cs="Segoe UI"/>
        </w:rPr>
        <w:t>En lo específico de esta pregunta, cabe destacar que el Acuerdo de Escazú</w:t>
      </w:r>
      <w:r w:rsidR="00904340" w:rsidRPr="00B550C5">
        <w:rPr>
          <w:rFonts w:ascii="Segoe UI" w:eastAsia="Quattrocento Sans" w:hAnsi="Segoe UI" w:cs="Segoe UI"/>
        </w:rPr>
        <w:t xml:space="preserve"> es un instrumento pionero al establecer disposiciones específicas en favor de las personas, grupos y organizaciones defensoras en asuntos ambientales. Específicamente, en su artículo 9 establece que cada Estado Parte deberá garantizar un entorno seguro y propicio en el que las personas, grupos y organizaciones que promueven y defienden los derechos humanos en asuntos ambientales puedan actuar sin amenazas, restricciones e inseguridad, esto incluye a las niñas y niños defensores de derechos humanos. Así, establece una obligación de carácter general, estructural y sistémica, en virtud de la cual los Estados no solo tienen el deber de respetar y proteger los derechos humanos de todas las personas que están bajo su jurisdicción sino también de hacerlos efectivos, proporcionando todas las condiciones necesarias y garantías jurídicas que se necesiten para que los derechos y libertades fundamentales se puedan ejercer en la práctica.</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En materia de acceso a la justicia y la protección de personas defensoras de derechos humanos, Chile está elaborando un “Protocolo de Protección para Personas Defensoras de Derechos Humanos, el Medioambiente, Comunicadores y Operadores del sistema de justicia”, labor que está siendo liderada por el Ministerio de Justicia a través de la Subsecretaría de Derechos Humanos, con las coordinaciones necesarias. Sin embargo, por tratarse de una problemática que requiere atención inmediata, los delegados presidenciales, el Ministerio del Medio Ambiente y el Ministerio de Justicia en conjunto con sus Secretarías Regionales Ministeriales han puesto en marcha un “Circuito de Coordinación para Personas Defensoras Ambientales” que se inicia cuando un funcionario/a público toma conocimiento de una situación de amenaza y/o vulneración de derechos a personas defensoras ambientales ante lo cual tiene el deber de denunciar.</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 xml:space="preserve">Asimismo, Chile co-facilita junto con Ecuador y San Cristóbal y Nieves el grupo de trabajo para personas defensoras de derechos humanos en asuntos ambientales cuyo mandato es </w:t>
      </w:r>
      <w:r w:rsidRPr="00B550C5">
        <w:rPr>
          <w:rFonts w:ascii="Segoe UI" w:eastAsia="Quattrocento Sans" w:hAnsi="Segoe UI" w:cs="Segoe UI"/>
        </w:rPr>
        <w:lastRenderedPageBreak/>
        <w:t>presentar un plan de acción regional a ser aprobado en la siguiente COP ordinaria a realizarse en abril del 2024.</w:t>
      </w:r>
    </w:p>
    <w:p w:rsidR="000805F5" w:rsidRPr="00B550C5" w:rsidRDefault="00904340">
      <w:pPr>
        <w:pBdr>
          <w:top w:val="nil"/>
          <w:left w:val="nil"/>
          <w:bottom w:val="nil"/>
          <w:right w:val="nil"/>
          <w:between w:val="nil"/>
        </w:pBdr>
        <w:spacing w:before="120" w:after="120" w:line="240" w:lineRule="auto"/>
        <w:jc w:val="both"/>
        <w:rPr>
          <w:rFonts w:ascii="Segoe UI" w:eastAsia="Quattrocento Sans" w:hAnsi="Segoe UI" w:cs="Segoe UI"/>
        </w:rPr>
      </w:pPr>
      <w:r w:rsidRPr="00B550C5">
        <w:rPr>
          <w:rFonts w:ascii="Segoe UI" w:eastAsia="Quattrocento Sans" w:hAnsi="Segoe UI" w:cs="Segoe UI"/>
        </w:rPr>
        <w:t xml:space="preserve">Se recomienda ver </w:t>
      </w:r>
      <w:r w:rsidRPr="00B550C5">
        <w:rPr>
          <w:rFonts w:ascii="Segoe UI" w:eastAsia="Quattrocento Sans" w:hAnsi="Segoe UI" w:cs="Segoe UI"/>
          <w:b/>
        </w:rPr>
        <w:t xml:space="preserve">Anexo </w:t>
      </w:r>
      <w:r w:rsidRPr="00B550C5">
        <w:rPr>
          <w:rFonts w:ascii="Segoe UI" w:eastAsia="Quattrocento Sans" w:hAnsi="Segoe UI" w:cs="Segoe UI"/>
        </w:rPr>
        <w:t xml:space="preserve">para más detalles sobre las medidas para </w:t>
      </w:r>
      <w:r w:rsidR="00456B6C">
        <w:rPr>
          <w:rFonts w:ascii="Segoe UI" w:eastAsia="Quattrocento Sans" w:hAnsi="Segoe UI" w:cs="Segoe UI"/>
        </w:rPr>
        <w:t>la implementación del Acuerdo de Escazú.</w:t>
      </w:r>
    </w:p>
    <w:sectPr w:rsidR="000805F5" w:rsidRPr="00B550C5">
      <w:headerReference w:type="default" r:id="rId7"/>
      <w:footerReference w:type="default" r:id="rId8"/>
      <w:pgSz w:w="11906" w:h="16838"/>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2759" w:rsidRDefault="009D2759">
      <w:pPr>
        <w:spacing w:after="0" w:line="240" w:lineRule="auto"/>
      </w:pPr>
      <w:r>
        <w:separator/>
      </w:r>
    </w:p>
  </w:endnote>
  <w:endnote w:type="continuationSeparator" w:id="0">
    <w:p w:rsidR="009D2759" w:rsidRDefault="009D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5F5" w:rsidRDefault="00904340">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56B6C">
      <w:rPr>
        <w:noProof/>
        <w:color w:val="000000"/>
      </w:rPr>
      <w:t>4</w:t>
    </w:r>
    <w:r>
      <w:rPr>
        <w:color w:val="000000"/>
      </w:rPr>
      <w:fldChar w:fldCharType="end"/>
    </w:r>
  </w:p>
  <w:p w:rsidR="000805F5" w:rsidRDefault="000805F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2759" w:rsidRDefault="009D2759">
      <w:pPr>
        <w:spacing w:after="0" w:line="240" w:lineRule="auto"/>
      </w:pPr>
      <w:r>
        <w:separator/>
      </w:r>
    </w:p>
  </w:footnote>
  <w:footnote w:type="continuationSeparator" w:id="0">
    <w:p w:rsidR="009D2759" w:rsidRDefault="009D2759">
      <w:pPr>
        <w:spacing w:after="0" w:line="240" w:lineRule="auto"/>
      </w:pPr>
      <w:r>
        <w:continuationSeparator/>
      </w:r>
    </w:p>
  </w:footnote>
  <w:footnote w:id="1">
    <w:p w:rsidR="000805F5" w:rsidRPr="00B550C5" w:rsidRDefault="00904340" w:rsidP="00B550C5">
      <w:pPr>
        <w:pBdr>
          <w:top w:val="nil"/>
          <w:left w:val="nil"/>
          <w:bottom w:val="nil"/>
          <w:right w:val="nil"/>
          <w:between w:val="nil"/>
        </w:pBdr>
        <w:spacing w:after="0" w:line="240" w:lineRule="auto"/>
        <w:jc w:val="both"/>
        <w:rPr>
          <w:rFonts w:ascii="Segoe UI" w:eastAsia="Quattrocento Sans" w:hAnsi="Segoe UI" w:cs="Segoe UI"/>
          <w:color w:val="000000"/>
          <w:sz w:val="18"/>
          <w:szCs w:val="18"/>
        </w:rPr>
      </w:pPr>
      <w:r w:rsidRPr="00B550C5">
        <w:rPr>
          <w:rFonts w:ascii="Segoe UI" w:hAnsi="Segoe UI" w:cs="Segoe UI"/>
          <w:sz w:val="18"/>
          <w:szCs w:val="18"/>
          <w:vertAlign w:val="superscript"/>
        </w:rPr>
        <w:footnoteRef/>
      </w:r>
      <w:r w:rsidRPr="00B550C5">
        <w:rPr>
          <w:rFonts w:ascii="Segoe UI" w:eastAsia="Quattrocento Sans" w:hAnsi="Segoe UI" w:cs="Segoe UI"/>
          <w:color w:val="000000"/>
          <w:sz w:val="18"/>
          <w:szCs w:val="18"/>
        </w:rPr>
        <w:t xml:space="preserve"> El presente documento ha sido elaborado a partir de los insumos proporcionados por el </w:t>
      </w:r>
      <w:r w:rsidRPr="00B550C5">
        <w:rPr>
          <w:rFonts w:ascii="Segoe UI" w:eastAsia="Quattrocento Sans" w:hAnsi="Segoe UI" w:cs="Segoe UI"/>
          <w:sz w:val="18"/>
          <w:szCs w:val="18"/>
        </w:rPr>
        <w:t>Ministerio del Medio Ambiente</w:t>
      </w:r>
      <w:r w:rsidRPr="00B550C5">
        <w:rPr>
          <w:rFonts w:ascii="Segoe UI" w:eastAsia="Quattrocento Sans" w:hAnsi="Segoe UI" w:cs="Segoe UI"/>
          <w:color w:val="000000"/>
          <w:sz w:val="18"/>
          <w:szCs w:val="18"/>
        </w:rPr>
        <w:t>.</w:t>
      </w:r>
    </w:p>
  </w:footnote>
  <w:footnote w:id="2">
    <w:p w:rsidR="000805F5" w:rsidRPr="00B550C5" w:rsidRDefault="00904340" w:rsidP="00B550C5">
      <w:pPr>
        <w:spacing w:after="0" w:line="240" w:lineRule="auto"/>
        <w:jc w:val="both"/>
        <w:rPr>
          <w:rFonts w:ascii="Segoe UI" w:hAnsi="Segoe UI" w:cs="Segoe UI"/>
          <w:sz w:val="18"/>
          <w:szCs w:val="18"/>
        </w:rPr>
      </w:pPr>
      <w:r w:rsidRPr="00B550C5">
        <w:rPr>
          <w:rFonts w:ascii="Segoe UI" w:hAnsi="Segoe UI" w:cs="Segoe UI"/>
          <w:sz w:val="18"/>
          <w:szCs w:val="18"/>
          <w:vertAlign w:val="superscript"/>
        </w:rPr>
        <w:footnoteRef/>
      </w:r>
      <w:r w:rsidRPr="00B550C5">
        <w:rPr>
          <w:rFonts w:ascii="Segoe UI" w:hAnsi="Segoe UI" w:cs="Segoe UI"/>
          <w:sz w:val="18"/>
          <w:szCs w:val="18"/>
        </w:rPr>
        <w:t xml:space="preserve"> Má</w:t>
      </w:r>
      <w:r w:rsidR="00EE3667">
        <w:rPr>
          <w:rFonts w:ascii="Segoe UI" w:hAnsi="Segoe UI" w:cs="Segoe UI"/>
          <w:sz w:val="18"/>
          <w:szCs w:val="18"/>
        </w:rPr>
        <w:t>s</w:t>
      </w:r>
      <w:r w:rsidR="00E37E24">
        <w:rPr>
          <w:rFonts w:ascii="Segoe UI" w:hAnsi="Segoe UI" w:cs="Segoe UI"/>
          <w:sz w:val="18"/>
          <w:szCs w:val="18"/>
        </w:rPr>
        <w:t xml:space="preserve"> información sobre la Ley en</w:t>
      </w:r>
      <w:r w:rsidRPr="00B550C5">
        <w:rPr>
          <w:rFonts w:ascii="Segoe UI" w:hAnsi="Segoe UI" w:cs="Segoe UI"/>
          <w:sz w:val="18"/>
          <w:szCs w:val="18"/>
        </w:rPr>
        <w:t>:</w:t>
      </w:r>
      <w:r w:rsidR="00E37E24">
        <w:rPr>
          <w:rFonts w:ascii="Segoe UI" w:hAnsi="Segoe UI" w:cs="Segoe UI"/>
          <w:sz w:val="18"/>
          <w:szCs w:val="18"/>
        </w:rPr>
        <w:t xml:space="preserve"> </w:t>
      </w:r>
      <w:hyperlink r:id="rId1">
        <w:r w:rsidRPr="00B550C5">
          <w:rPr>
            <w:rFonts w:ascii="Segoe UI" w:hAnsi="Segoe UI" w:cs="Segoe UI"/>
            <w:color w:val="1155CC"/>
            <w:sz w:val="18"/>
            <w:szCs w:val="18"/>
            <w:u w:val="single"/>
          </w:rPr>
          <w:t>https://www.bcn.cl/leychile/navegar?idNorma=1177286</w:t>
        </w:r>
      </w:hyperlink>
      <w:r w:rsidRPr="00B550C5">
        <w:rPr>
          <w:rFonts w:ascii="Segoe UI" w:hAnsi="Segoe UI" w:cs="Segoe UI"/>
          <w:sz w:val="18"/>
          <w:szCs w:val="18"/>
        </w:rPr>
        <w:t xml:space="preserve"> </w:t>
      </w:r>
    </w:p>
  </w:footnote>
  <w:footnote w:id="3">
    <w:p w:rsidR="000805F5" w:rsidRPr="00B550C5" w:rsidRDefault="00904340" w:rsidP="00B550C5">
      <w:pPr>
        <w:spacing w:after="0" w:line="240" w:lineRule="auto"/>
        <w:jc w:val="both"/>
        <w:rPr>
          <w:rFonts w:ascii="Segoe UI" w:hAnsi="Segoe UI" w:cs="Segoe UI"/>
          <w:sz w:val="18"/>
          <w:szCs w:val="18"/>
        </w:rPr>
      </w:pPr>
      <w:r w:rsidRPr="00B550C5">
        <w:rPr>
          <w:rFonts w:ascii="Segoe UI" w:hAnsi="Segoe UI" w:cs="Segoe UI"/>
          <w:sz w:val="18"/>
          <w:szCs w:val="18"/>
          <w:vertAlign w:val="superscript"/>
        </w:rPr>
        <w:footnoteRef/>
      </w:r>
      <w:r w:rsidRPr="00B550C5">
        <w:rPr>
          <w:rFonts w:ascii="Segoe UI" w:hAnsi="Segoe UI" w:cs="Segoe UI"/>
          <w:sz w:val="18"/>
          <w:szCs w:val="18"/>
        </w:rPr>
        <w:t xml:space="preserve"> Más información sobre el Acuerdo de Escazú en: </w:t>
      </w:r>
      <w:hyperlink r:id="rId2">
        <w:r w:rsidRPr="00B550C5">
          <w:rPr>
            <w:rFonts w:ascii="Segoe UI" w:hAnsi="Segoe UI" w:cs="Segoe UI"/>
            <w:color w:val="1155CC"/>
            <w:sz w:val="18"/>
            <w:szCs w:val="18"/>
            <w:u w:val="single"/>
          </w:rPr>
          <w:t>https://repositorio.cepal.org/server/api/core/bitstreams/a6049491-a9ee-4c53-ae7c-a8a17ca9504e/content</w:t>
        </w:r>
      </w:hyperlink>
      <w:r w:rsidRPr="00B550C5">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05F5" w:rsidRPr="00B550C5" w:rsidRDefault="00904340">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b/>
        <w:color w:val="000000"/>
      </w:rPr>
    </w:pPr>
    <w:r>
      <w:rPr>
        <w:rFonts w:ascii="Quattrocento Sans" w:eastAsia="Quattrocento Sans" w:hAnsi="Quattrocento Sans" w:cs="Quattrocento Sans"/>
        <w:b/>
        <w:color w:val="000000"/>
      </w:rPr>
      <w:tab/>
    </w:r>
    <w:r w:rsidRPr="00B550C5">
      <w:rPr>
        <w:rFonts w:ascii="Segoe UI" w:eastAsia="Quattrocento Sans" w:hAnsi="Segoe UI" w:cs="Segoe UI"/>
        <w:b/>
        <w:color w:val="000000"/>
      </w:rPr>
      <w:tab/>
    </w:r>
    <w:r w:rsidRPr="00B550C5">
      <w:rPr>
        <w:rFonts w:ascii="Segoe UI" w:hAnsi="Segoe UI" w:cs="Segoe UI"/>
        <w:noProof/>
        <w:lang w:val="es-CL"/>
      </w:rPr>
      <w:drawing>
        <wp:anchor distT="0" distB="0" distL="0" distR="0" simplePos="0" relativeHeight="251658240" behindDoc="1" locked="0" layoutInCell="1" hidden="0" allowOverlap="1">
          <wp:simplePos x="0" y="0"/>
          <wp:positionH relativeFrom="column">
            <wp:posOffset>-3809</wp:posOffset>
          </wp:positionH>
          <wp:positionV relativeFrom="paragraph">
            <wp:posOffset>-1904</wp:posOffset>
          </wp:positionV>
          <wp:extent cx="1152525" cy="10426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rsidR="000805F5" w:rsidRPr="00B550C5" w:rsidRDefault="00904340">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B550C5">
      <w:rPr>
        <w:rFonts w:ascii="Segoe UI" w:eastAsia="Quattrocento Sans" w:hAnsi="Segoe UI" w:cs="Segoe UI"/>
        <w:color w:val="000000"/>
      </w:rPr>
      <w:t>Ministerio de Relaciones Exteriores</w:t>
    </w:r>
  </w:p>
  <w:p w:rsidR="000805F5" w:rsidRPr="00B550C5" w:rsidRDefault="00904340">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sidRPr="00B550C5">
      <w:rPr>
        <w:rFonts w:ascii="Segoe UI" w:eastAsia="Quattrocento Sans" w:hAnsi="Segoe UI" w:cs="Segoe UI"/>
        <w:color w:val="000000"/>
      </w:rPr>
      <w:t>División de Derechos Humanos</w:t>
    </w:r>
  </w:p>
  <w:p w:rsidR="000805F5" w:rsidRPr="00B550C5" w:rsidRDefault="000E52A5">
    <w:pPr>
      <w:pBdr>
        <w:top w:val="nil"/>
        <w:left w:val="nil"/>
        <w:bottom w:val="nil"/>
        <w:right w:val="nil"/>
        <w:between w:val="nil"/>
      </w:pBdr>
      <w:tabs>
        <w:tab w:val="center" w:pos="4252"/>
        <w:tab w:val="right" w:pos="8504"/>
      </w:tabs>
      <w:spacing w:after="0" w:line="240" w:lineRule="auto"/>
      <w:jc w:val="right"/>
      <w:rPr>
        <w:rFonts w:ascii="Segoe UI" w:eastAsia="Quattrocento Sans" w:hAnsi="Segoe UI" w:cs="Segoe UI"/>
        <w:color w:val="000000"/>
      </w:rPr>
    </w:pPr>
    <w:r>
      <w:rPr>
        <w:rFonts w:ascii="Segoe UI" w:eastAsia="Quattrocento Sans" w:hAnsi="Segoe UI" w:cs="Segoe UI"/>
      </w:rPr>
      <w:t>20</w:t>
    </w:r>
    <w:r w:rsidR="00904340" w:rsidRPr="00B550C5">
      <w:rPr>
        <w:rFonts w:ascii="Segoe UI" w:eastAsia="Quattrocento Sans" w:hAnsi="Segoe UI" w:cs="Segoe UI"/>
      </w:rPr>
      <w:t xml:space="preserve"> de abril de 2024</w:t>
    </w:r>
  </w:p>
  <w:p w:rsidR="000805F5" w:rsidRDefault="000805F5">
    <w:pPr>
      <w:pBdr>
        <w:top w:val="nil"/>
        <w:left w:val="nil"/>
        <w:bottom w:val="nil"/>
        <w:right w:val="nil"/>
        <w:between w:val="nil"/>
      </w:pBdr>
      <w:tabs>
        <w:tab w:val="center" w:pos="4252"/>
        <w:tab w:val="right" w:pos="8504"/>
      </w:tabs>
      <w:spacing w:after="0" w:line="240" w:lineRule="auto"/>
      <w:rPr>
        <w:color w:val="000000"/>
      </w:rPr>
    </w:pPr>
  </w:p>
  <w:p w:rsidR="000805F5" w:rsidRDefault="000805F5">
    <w:pPr>
      <w:pBdr>
        <w:top w:val="nil"/>
        <w:left w:val="nil"/>
        <w:bottom w:val="nil"/>
        <w:right w:val="nil"/>
        <w:between w:val="nil"/>
      </w:pBdr>
      <w:tabs>
        <w:tab w:val="center" w:pos="4252"/>
        <w:tab w:val="right" w:pos="8504"/>
      </w:tabs>
      <w:spacing w:after="0" w:line="240" w:lineRule="auto"/>
      <w:rPr>
        <w:color w:val="000000"/>
      </w:rPr>
    </w:pPr>
  </w:p>
  <w:p w:rsidR="000805F5" w:rsidRDefault="000805F5">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F5"/>
    <w:rsid w:val="000805F5"/>
    <w:rsid w:val="000E52A5"/>
    <w:rsid w:val="00131F06"/>
    <w:rsid w:val="00456B6C"/>
    <w:rsid w:val="00904340"/>
    <w:rsid w:val="009D2759"/>
    <w:rsid w:val="00B550C5"/>
    <w:rsid w:val="00E37E24"/>
    <w:rsid w:val="00EE3667"/>
    <w:rsid w:val="00F350F5"/>
    <w:rsid w:val="00F473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A0CE9"/>
  <w15:docId w15:val="{0D4DBC9F-73C7-437E-8407-A9C11A43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0A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214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B214DC"/>
  </w:style>
  <w:style w:type="paragraph" w:styleId="Footer">
    <w:name w:val="footer"/>
    <w:basedOn w:val="Normal"/>
    <w:link w:val="FooterChar"/>
    <w:uiPriority w:val="99"/>
    <w:unhideWhenUsed/>
    <w:rsid w:val="00B214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214DC"/>
  </w:style>
  <w:style w:type="paragraph" w:styleId="ListParagraph">
    <w:name w:val="List Paragraph"/>
    <w:basedOn w:val="Normal"/>
    <w:uiPriority w:val="34"/>
    <w:qFormat/>
    <w:rsid w:val="00564537"/>
    <w:pPr>
      <w:ind w:left="720"/>
      <w:contextualSpacing/>
    </w:pPr>
  </w:style>
  <w:style w:type="paragraph" w:styleId="FootnoteText">
    <w:name w:val="footnote text"/>
    <w:basedOn w:val="Normal"/>
    <w:link w:val="FootnoteTextChar"/>
    <w:uiPriority w:val="99"/>
    <w:unhideWhenUsed/>
    <w:rsid w:val="00254BF2"/>
    <w:pPr>
      <w:spacing w:after="0" w:line="240" w:lineRule="auto"/>
    </w:pPr>
    <w:rPr>
      <w:sz w:val="20"/>
      <w:szCs w:val="20"/>
    </w:rPr>
  </w:style>
  <w:style w:type="character" w:customStyle="1" w:styleId="FootnoteTextChar">
    <w:name w:val="Footnote Text Char"/>
    <w:basedOn w:val="DefaultParagraphFont"/>
    <w:link w:val="FootnoteText"/>
    <w:uiPriority w:val="99"/>
    <w:rsid w:val="00254BF2"/>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qFormat/>
    <w:rsid w:val="00254BF2"/>
    <w:rPr>
      <w:vertAlign w:val="superscript"/>
    </w:rPr>
  </w:style>
  <w:style w:type="character" w:styleId="Hyperlink">
    <w:name w:val="Hyperlink"/>
    <w:basedOn w:val="DefaultParagraphFont"/>
    <w:uiPriority w:val="99"/>
    <w:unhideWhenUsed/>
    <w:rsid w:val="002B0AC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cepal.org/server/api/core/bitstreams/a6049491-a9ee-4c53-ae7c-a8a17ca9504e/content" TargetMode="External"/><Relationship Id="rId1" Type="http://schemas.openxmlformats.org/officeDocument/2006/relationships/hyperlink" Target="https://www.bcn.cl/leychile/navegar?idNorma=1177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MIrOgi28Ci+agVfbFbPse9Uww==">CgMxLjA4AHIhMVdvNWl2c05MdFFScTVqc0ltdVdzVS1tRTRkaEViaWJV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Chile</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AA58C7-ECF1-4DF9-89D1-D9007B553367}"/>
</file>

<file path=customXml/itemProps3.xml><?xml version="1.0" encoding="utf-8"?>
<ds:datastoreItem xmlns:ds="http://schemas.openxmlformats.org/officeDocument/2006/customXml" ds:itemID="{A6536028-597C-4FE2-8406-45509F0A13EB}"/>
</file>

<file path=customXml/itemProps4.xml><?xml version="1.0" encoding="utf-8"?>
<ds:datastoreItem xmlns:ds="http://schemas.openxmlformats.org/officeDocument/2006/customXml" ds:itemID="{994AD83A-C81D-4C2E-AEBD-0F884B6BD8B8}"/>
</file>

<file path=docProps/app.xml><?xml version="1.0" encoding="utf-8"?>
<Properties xmlns="http://schemas.openxmlformats.org/officeDocument/2006/extended-properties" xmlns:vt="http://schemas.openxmlformats.org/officeDocument/2006/docPropsVTypes">
  <Template>Normal</Template>
  <TotalTime>29</TotalTime>
  <Pages>4</Pages>
  <Words>1425</Words>
  <Characters>7955</Characters>
  <Application>Microsoft Office Word</Application>
  <DocSecurity>0</DocSecurity>
  <Lines>116</Lines>
  <Paragraphs>24</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 Ríos Echeverría</dc:creator>
  <cp:lastModifiedBy>Catalina Fernández</cp:lastModifiedBy>
  <cp:revision>6</cp:revision>
  <dcterms:created xsi:type="dcterms:W3CDTF">2023-08-11T16:28:00Z</dcterms:created>
  <dcterms:modified xsi:type="dcterms:W3CDTF">2024-04-20T14:59:00Z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74407a6012d591873b0980834961c35500af48aafb60b33f395f402b00cbaafa</vt:lpwstr>
  </property>
  <property fmtid="{D5CDD505-2E9C-101B-9397-08002B2CF9AE}" pid="3" name="ContentTypeId">
    <vt:lpwstr>0x0101009D953D6983EF5F4EB0B6A5354F975E96</vt:lpwstr>
  </property>
</Properties>
</file>