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35BCD" w14:textId="77777777" w:rsidR="0021268C" w:rsidRPr="005727AC" w:rsidRDefault="00D670DF" w:rsidP="00F1549B">
      <w:pPr>
        <w:pStyle w:val="Default"/>
        <w:jc w:val="center"/>
        <w:rPr>
          <w:rStyle w:val="Strong"/>
          <w:rFonts w:asciiTheme="minorHAnsi" w:hAnsiTheme="minorHAnsi" w:cstheme="minorHAnsi"/>
          <w:sz w:val="22"/>
          <w:szCs w:val="22"/>
        </w:rPr>
      </w:pPr>
      <w:r w:rsidRPr="005727AC">
        <w:rPr>
          <w:rStyle w:val="Strong"/>
          <w:rFonts w:asciiTheme="minorHAnsi" w:hAnsiTheme="minorHAnsi" w:cstheme="minorHAnsi"/>
          <w:sz w:val="22"/>
          <w:szCs w:val="22"/>
        </w:rPr>
        <w:t>RESPUESTA DE ESPAÑA A</w:t>
      </w:r>
      <w:r w:rsidR="002861F0" w:rsidRPr="005727AC">
        <w:rPr>
          <w:rStyle w:val="Strong"/>
          <w:rFonts w:asciiTheme="minorHAnsi" w:hAnsiTheme="minorHAnsi" w:cstheme="minorHAnsi"/>
          <w:sz w:val="22"/>
          <w:szCs w:val="22"/>
        </w:rPr>
        <w:t xml:space="preserve"> LA SOLICITUD DE INFORMACIÓN DE</w:t>
      </w:r>
      <w:r w:rsidR="00AE699C" w:rsidRPr="005727AC">
        <w:rPr>
          <w:rStyle w:val="Strong"/>
          <w:rFonts w:asciiTheme="minorHAnsi" w:hAnsiTheme="minorHAnsi" w:cstheme="minorHAnsi"/>
          <w:sz w:val="22"/>
          <w:szCs w:val="22"/>
        </w:rPr>
        <w:t xml:space="preserve">L </w:t>
      </w:r>
      <w:r w:rsidR="005727AC" w:rsidRPr="005727AC">
        <w:rPr>
          <w:rStyle w:val="Strong"/>
          <w:rFonts w:asciiTheme="minorHAnsi" w:hAnsiTheme="minorHAnsi" w:cstheme="minorHAnsi"/>
          <w:sz w:val="22"/>
        </w:rPr>
        <w:t>RELATOR ESPECIAL DE NACIONES UNIDAS SOBRE EL DERECHO AL DESARROLLO</w:t>
      </w:r>
    </w:p>
    <w:p w14:paraId="2B457DCC" w14:textId="77777777" w:rsidR="009060FE" w:rsidRPr="00775BED" w:rsidRDefault="009060FE" w:rsidP="006F2DAF">
      <w:pPr>
        <w:spacing w:after="0" w:line="240" w:lineRule="auto"/>
        <w:rPr>
          <w:rFonts w:asciiTheme="minorHAnsi" w:hAnsiTheme="minorHAnsi" w:cstheme="minorHAnsi"/>
          <w:b/>
          <w:bCs/>
        </w:rPr>
      </w:pPr>
    </w:p>
    <w:p w14:paraId="23F7C909" w14:textId="77777777" w:rsidR="00AE699C" w:rsidRPr="00775BED" w:rsidRDefault="00640ABE" w:rsidP="00F1549B">
      <w:pPr>
        <w:pStyle w:val="Default"/>
        <w:ind w:firstLine="360"/>
        <w:jc w:val="both"/>
        <w:rPr>
          <w:rFonts w:asciiTheme="minorHAnsi" w:eastAsiaTheme="minorHAnsi" w:hAnsiTheme="minorHAnsi" w:cstheme="minorHAnsi"/>
          <w:iCs/>
          <w:color w:val="auto"/>
          <w:sz w:val="22"/>
          <w:szCs w:val="22"/>
          <w:lang w:eastAsia="en-US"/>
        </w:rPr>
      </w:pPr>
      <w:r w:rsidRPr="00775BED">
        <w:rPr>
          <w:rFonts w:asciiTheme="minorHAnsi" w:eastAsiaTheme="minorHAnsi" w:hAnsiTheme="minorHAnsi" w:cstheme="minorHAnsi"/>
          <w:iCs/>
          <w:color w:val="auto"/>
          <w:sz w:val="22"/>
          <w:szCs w:val="22"/>
          <w:lang w:eastAsia="en-US"/>
        </w:rPr>
        <w:t xml:space="preserve">Atendiendo </w:t>
      </w:r>
      <w:r w:rsidR="00690533" w:rsidRPr="00775BED">
        <w:rPr>
          <w:rFonts w:asciiTheme="minorHAnsi" w:eastAsiaTheme="minorHAnsi" w:hAnsiTheme="minorHAnsi" w:cstheme="minorHAnsi"/>
          <w:iCs/>
          <w:color w:val="auto"/>
          <w:sz w:val="22"/>
          <w:szCs w:val="22"/>
          <w:lang w:eastAsia="en-US"/>
        </w:rPr>
        <w:t>a la solicitud de información</w:t>
      </w:r>
      <w:r w:rsidRPr="00775BED">
        <w:rPr>
          <w:rFonts w:asciiTheme="minorHAnsi" w:eastAsiaTheme="minorHAnsi" w:hAnsiTheme="minorHAnsi" w:cstheme="minorHAnsi"/>
          <w:iCs/>
          <w:color w:val="auto"/>
          <w:sz w:val="22"/>
          <w:szCs w:val="22"/>
          <w:lang w:eastAsia="en-US"/>
        </w:rPr>
        <w:t xml:space="preserve"> enviada </w:t>
      </w:r>
      <w:r w:rsidR="009335C0" w:rsidRPr="00775BED">
        <w:rPr>
          <w:rFonts w:asciiTheme="minorHAnsi" w:eastAsiaTheme="minorHAnsi" w:hAnsiTheme="minorHAnsi" w:cstheme="minorHAnsi"/>
          <w:iCs/>
          <w:color w:val="auto"/>
          <w:sz w:val="22"/>
          <w:szCs w:val="22"/>
          <w:lang w:eastAsia="en-US"/>
        </w:rPr>
        <w:t>por</w:t>
      </w:r>
      <w:r w:rsidR="00816E86" w:rsidRPr="00775BED">
        <w:rPr>
          <w:rFonts w:asciiTheme="minorHAnsi" w:eastAsiaTheme="minorHAnsi" w:hAnsiTheme="minorHAnsi" w:cstheme="minorHAnsi"/>
          <w:iCs/>
          <w:color w:val="auto"/>
          <w:sz w:val="22"/>
          <w:szCs w:val="22"/>
          <w:lang w:eastAsia="en-US"/>
        </w:rPr>
        <w:t xml:space="preserve"> la Oficina </w:t>
      </w:r>
      <w:r w:rsidR="009335C0" w:rsidRPr="00775BED">
        <w:rPr>
          <w:rFonts w:asciiTheme="minorHAnsi" w:eastAsiaTheme="minorHAnsi" w:hAnsiTheme="minorHAnsi" w:cstheme="minorHAnsi"/>
          <w:iCs/>
          <w:color w:val="auto"/>
          <w:sz w:val="22"/>
          <w:szCs w:val="22"/>
          <w:lang w:eastAsia="en-US"/>
        </w:rPr>
        <w:t>del Alto Comisionado de las Naciones Unidas</w:t>
      </w:r>
      <w:r w:rsidR="00816E86" w:rsidRPr="00775BED">
        <w:rPr>
          <w:rFonts w:asciiTheme="minorHAnsi" w:eastAsiaTheme="minorHAnsi" w:hAnsiTheme="minorHAnsi" w:cstheme="minorHAnsi"/>
          <w:iCs/>
          <w:color w:val="auto"/>
          <w:sz w:val="22"/>
          <w:szCs w:val="22"/>
          <w:lang w:eastAsia="en-US"/>
        </w:rPr>
        <w:t xml:space="preserve"> para los Derechos</w:t>
      </w:r>
      <w:r w:rsidR="002861F0" w:rsidRPr="00775BED">
        <w:rPr>
          <w:rFonts w:asciiTheme="minorHAnsi" w:eastAsiaTheme="minorHAnsi" w:hAnsiTheme="minorHAnsi" w:cstheme="minorHAnsi"/>
          <w:iCs/>
          <w:color w:val="auto"/>
          <w:sz w:val="22"/>
          <w:szCs w:val="22"/>
          <w:lang w:eastAsia="en-US"/>
        </w:rPr>
        <w:t xml:space="preserve"> </w:t>
      </w:r>
      <w:r w:rsidR="00C81F63" w:rsidRPr="00775BED">
        <w:rPr>
          <w:rFonts w:asciiTheme="minorHAnsi" w:eastAsiaTheme="minorHAnsi" w:hAnsiTheme="minorHAnsi" w:cstheme="minorHAnsi"/>
          <w:iCs/>
          <w:color w:val="auto"/>
          <w:sz w:val="22"/>
          <w:szCs w:val="22"/>
          <w:lang w:eastAsia="en-US"/>
        </w:rPr>
        <w:t>Humanos</w:t>
      </w:r>
      <w:r w:rsidR="007015F1" w:rsidRPr="00775BED">
        <w:rPr>
          <w:rFonts w:asciiTheme="minorHAnsi" w:eastAsiaTheme="minorHAnsi" w:hAnsiTheme="minorHAnsi" w:cstheme="minorHAnsi"/>
          <w:iCs/>
          <w:color w:val="auto"/>
          <w:sz w:val="22"/>
          <w:szCs w:val="22"/>
          <w:lang w:eastAsia="en-US"/>
        </w:rPr>
        <w:t xml:space="preserve"> de</w:t>
      </w:r>
      <w:r w:rsidR="00AE699C" w:rsidRPr="00775BED">
        <w:rPr>
          <w:rFonts w:asciiTheme="minorHAnsi" w:eastAsiaTheme="minorHAnsi" w:hAnsiTheme="minorHAnsi" w:cstheme="minorHAnsi"/>
          <w:iCs/>
          <w:color w:val="auto"/>
          <w:sz w:val="22"/>
          <w:szCs w:val="22"/>
          <w:lang w:eastAsia="en-US"/>
        </w:rPr>
        <w:t>l</w:t>
      </w:r>
      <w:r w:rsidR="00AE699C" w:rsidRPr="00775BED">
        <w:rPr>
          <w:rFonts w:asciiTheme="minorHAnsi" w:hAnsiTheme="minorHAnsi" w:cstheme="minorHAnsi"/>
          <w:iCs/>
          <w:sz w:val="22"/>
          <w:szCs w:val="22"/>
        </w:rPr>
        <w:t xml:space="preserve"> </w:t>
      </w:r>
      <w:r w:rsidR="005727AC" w:rsidRPr="00775BED">
        <w:rPr>
          <w:rFonts w:asciiTheme="minorHAnsi" w:hAnsiTheme="minorHAnsi" w:cstheme="minorHAnsi"/>
          <w:szCs w:val="22"/>
        </w:rPr>
        <w:t>Relator Especial de Naciones Unidas sobre el derecho al desarrollo</w:t>
      </w:r>
      <w:r w:rsidR="007015F1" w:rsidRPr="00775BED">
        <w:rPr>
          <w:rFonts w:asciiTheme="minorHAnsi" w:eastAsiaTheme="minorHAnsi" w:hAnsiTheme="minorHAnsi" w:cstheme="minorHAnsi"/>
          <w:iCs/>
          <w:color w:val="auto"/>
          <w:sz w:val="22"/>
          <w:szCs w:val="22"/>
          <w:lang w:eastAsia="en-US"/>
        </w:rPr>
        <w:t xml:space="preserve"> </w:t>
      </w:r>
      <w:r w:rsidR="00C81F63" w:rsidRPr="00775BED">
        <w:rPr>
          <w:rFonts w:asciiTheme="minorHAnsi" w:eastAsiaTheme="minorHAnsi" w:hAnsiTheme="minorHAnsi" w:cstheme="minorHAnsi"/>
          <w:iCs/>
          <w:color w:val="auto"/>
          <w:sz w:val="22"/>
          <w:szCs w:val="22"/>
          <w:lang w:eastAsia="en-US"/>
        </w:rPr>
        <w:t>para la elaboración de un informe</w:t>
      </w:r>
      <w:r w:rsidR="007015F1" w:rsidRPr="00775BED">
        <w:rPr>
          <w:rFonts w:asciiTheme="minorHAnsi" w:eastAsiaTheme="minorHAnsi" w:hAnsiTheme="minorHAnsi" w:cstheme="minorHAnsi"/>
          <w:iCs/>
          <w:color w:val="auto"/>
          <w:sz w:val="22"/>
          <w:szCs w:val="22"/>
          <w:lang w:eastAsia="en-US"/>
        </w:rPr>
        <w:t xml:space="preserve"> temático</w:t>
      </w:r>
      <w:r w:rsidR="008B4E5C">
        <w:rPr>
          <w:rFonts w:asciiTheme="minorHAnsi" w:eastAsiaTheme="minorHAnsi" w:hAnsiTheme="minorHAnsi" w:cstheme="minorHAnsi"/>
          <w:iCs/>
          <w:color w:val="auto"/>
          <w:sz w:val="22"/>
          <w:szCs w:val="22"/>
          <w:lang w:eastAsia="en-US"/>
        </w:rPr>
        <w:t>,</w:t>
      </w:r>
      <w:r w:rsidR="007015F1" w:rsidRPr="00775BED">
        <w:rPr>
          <w:rFonts w:asciiTheme="minorHAnsi" w:eastAsiaTheme="minorHAnsi" w:hAnsiTheme="minorHAnsi" w:cstheme="minorHAnsi"/>
          <w:iCs/>
          <w:color w:val="auto"/>
          <w:sz w:val="22"/>
          <w:szCs w:val="22"/>
          <w:lang w:eastAsia="en-US"/>
        </w:rPr>
        <w:t xml:space="preserve"> </w:t>
      </w:r>
      <w:r w:rsidR="005727AC" w:rsidRPr="00775BED">
        <w:rPr>
          <w:rFonts w:asciiTheme="minorHAnsi" w:hAnsiTheme="minorHAnsi" w:cstheme="minorHAnsi"/>
          <w:szCs w:val="22"/>
        </w:rPr>
        <w:t>que presentará en 2024 al Consejo de Derechos Humanos y a la Asamblea General de Naciones Unidas</w:t>
      </w:r>
      <w:r w:rsidR="007015F1" w:rsidRPr="00775BED">
        <w:rPr>
          <w:rFonts w:asciiTheme="minorHAnsi" w:eastAsiaTheme="minorHAnsi" w:hAnsiTheme="minorHAnsi" w:cstheme="minorHAnsi"/>
          <w:iCs/>
          <w:color w:val="auto"/>
          <w:sz w:val="22"/>
          <w:szCs w:val="22"/>
          <w:lang w:eastAsia="en-US"/>
        </w:rPr>
        <w:t xml:space="preserve">, </w:t>
      </w:r>
      <w:r w:rsidR="005727AC" w:rsidRPr="00775BED">
        <w:rPr>
          <w:rFonts w:asciiTheme="minorHAnsi" w:hAnsiTheme="minorHAnsi" w:cstheme="minorHAnsi"/>
          <w:szCs w:val="22"/>
        </w:rPr>
        <w:t>sobre el derecho al desarrollo centrado en los siguientes temas: (a) Justicia climática: Pérdidas y daños y (b) El derecho al desarrollo de los niños y las generaciones futuras</w:t>
      </w:r>
      <w:r w:rsidR="005727AC">
        <w:rPr>
          <w:rFonts w:asciiTheme="minorHAnsi" w:eastAsiaTheme="minorHAnsi" w:hAnsiTheme="minorHAnsi" w:cstheme="minorHAnsi"/>
          <w:iCs/>
          <w:color w:val="auto"/>
          <w:sz w:val="22"/>
          <w:szCs w:val="22"/>
          <w:lang w:eastAsia="en-US"/>
        </w:rPr>
        <w:t xml:space="preserve">, </w:t>
      </w:r>
      <w:r w:rsidR="00E908FC" w:rsidRPr="00775BED">
        <w:rPr>
          <w:rFonts w:asciiTheme="minorHAnsi" w:eastAsiaTheme="minorHAnsi" w:hAnsiTheme="minorHAnsi" w:cstheme="minorHAnsi"/>
          <w:iCs/>
          <w:color w:val="auto"/>
          <w:sz w:val="22"/>
          <w:szCs w:val="22"/>
          <w:lang w:eastAsia="en-US"/>
        </w:rPr>
        <w:t>España traslada las siguientes aportaciones:</w:t>
      </w:r>
    </w:p>
    <w:p w14:paraId="73E83482" w14:textId="77777777" w:rsidR="00775BED" w:rsidRPr="009353AE" w:rsidRDefault="00775BED" w:rsidP="00AE699C">
      <w:pPr>
        <w:pStyle w:val="Default"/>
        <w:jc w:val="both"/>
        <w:rPr>
          <w:rFonts w:asciiTheme="minorHAnsi" w:eastAsiaTheme="minorHAnsi" w:hAnsiTheme="minorHAnsi" w:cstheme="minorHAnsi"/>
          <w:iCs/>
          <w:color w:val="auto"/>
          <w:sz w:val="22"/>
          <w:szCs w:val="22"/>
          <w:lang w:eastAsia="en-US"/>
        </w:rPr>
      </w:pPr>
    </w:p>
    <w:p w14:paraId="2E33620E" w14:textId="77777777" w:rsidR="004C3DA6" w:rsidRPr="004C3DA6" w:rsidRDefault="004C3DA6" w:rsidP="004C3DA6">
      <w:pPr>
        <w:pStyle w:val="Default"/>
        <w:jc w:val="both"/>
        <w:rPr>
          <w:rFonts w:asciiTheme="minorHAnsi" w:eastAsiaTheme="minorHAnsi" w:hAnsiTheme="minorHAnsi" w:cstheme="minorHAnsi"/>
          <w:b/>
          <w:iCs/>
          <w:color w:val="auto"/>
          <w:sz w:val="22"/>
          <w:szCs w:val="22"/>
          <w:lang w:eastAsia="en-US"/>
        </w:rPr>
      </w:pPr>
      <w:r w:rsidRPr="004C3DA6">
        <w:rPr>
          <w:rFonts w:asciiTheme="minorHAnsi" w:eastAsiaTheme="minorHAnsi" w:hAnsiTheme="minorHAnsi" w:cstheme="minorHAnsi"/>
          <w:b/>
          <w:iCs/>
          <w:color w:val="auto"/>
          <w:sz w:val="22"/>
          <w:szCs w:val="22"/>
          <w:lang w:eastAsia="en-US"/>
        </w:rPr>
        <w:t>A. Justicia climática: Pérdidas y daños</w:t>
      </w:r>
      <w:r>
        <w:rPr>
          <w:rFonts w:asciiTheme="minorHAnsi" w:eastAsiaTheme="minorHAnsi" w:hAnsiTheme="minorHAnsi" w:cstheme="minorHAnsi"/>
          <w:b/>
          <w:iCs/>
          <w:color w:val="auto"/>
          <w:sz w:val="22"/>
          <w:szCs w:val="22"/>
          <w:lang w:eastAsia="en-US"/>
        </w:rPr>
        <w:t>.</w:t>
      </w:r>
    </w:p>
    <w:p w14:paraId="04456C43" w14:textId="77777777" w:rsidR="004C3DA6" w:rsidRDefault="004C3DA6" w:rsidP="004C3DA6">
      <w:pPr>
        <w:pStyle w:val="Default"/>
        <w:jc w:val="both"/>
        <w:rPr>
          <w:rFonts w:asciiTheme="minorHAnsi" w:eastAsiaTheme="minorHAnsi" w:hAnsiTheme="minorHAnsi" w:cstheme="minorHAnsi"/>
          <w:b/>
          <w:iCs/>
          <w:color w:val="auto"/>
          <w:sz w:val="22"/>
          <w:szCs w:val="22"/>
          <w:lang w:eastAsia="en-US"/>
        </w:rPr>
      </w:pPr>
    </w:p>
    <w:p w14:paraId="7656EA27" w14:textId="77777777" w:rsidR="004C3DA6" w:rsidRDefault="004C3DA6" w:rsidP="004C3DA6">
      <w:pPr>
        <w:pStyle w:val="Default"/>
        <w:numPr>
          <w:ilvl w:val="0"/>
          <w:numId w:val="6"/>
        </w:numPr>
        <w:jc w:val="both"/>
        <w:rPr>
          <w:rFonts w:asciiTheme="minorHAnsi" w:eastAsiaTheme="minorHAnsi" w:hAnsiTheme="minorHAnsi" w:cstheme="minorHAnsi"/>
          <w:b/>
          <w:iCs/>
          <w:color w:val="auto"/>
          <w:sz w:val="22"/>
          <w:szCs w:val="22"/>
          <w:lang w:eastAsia="en-US"/>
        </w:rPr>
      </w:pPr>
      <w:r w:rsidRPr="004C3DA6">
        <w:rPr>
          <w:rFonts w:asciiTheme="minorHAnsi" w:eastAsiaTheme="minorHAnsi" w:hAnsiTheme="minorHAnsi" w:cstheme="minorHAnsi"/>
          <w:b/>
          <w:iCs/>
          <w:color w:val="auto"/>
          <w:sz w:val="22"/>
          <w:szCs w:val="22"/>
          <w:lang w:eastAsia="en-US"/>
        </w:rPr>
        <w:t>¿Cómo se ve afectada la realización del derecho al desarrollo por las pérdidas y daños, tanto económicos como no económicos, derivados del cambio climático? ¿De qué manera el impacto es experimentado de manera diferente y/o desproporcionada por diferentes individuos (por ejemplo, niños y mujeres), grupo</w:t>
      </w:r>
      <w:r>
        <w:rPr>
          <w:rFonts w:asciiTheme="minorHAnsi" w:eastAsiaTheme="minorHAnsi" w:hAnsiTheme="minorHAnsi" w:cstheme="minorHAnsi"/>
          <w:b/>
          <w:iCs/>
          <w:color w:val="auto"/>
          <w:sz w:val="22"/>
          <w:szCs w:val="22"/>
          <w:lang w:eastAsia="en-US"/>
        </w:rPr>
        <w:t xml:space="preserve">s </w:t>
      </w:r>
      <w:r w:rsidR="00AF58E9">
        <w:rPr>
          <w:rFonts w:asciiTheme="minorHAnsi" w:eastAsiaTheme="minorHAnsi" w:hAnsiTheme="minorHAnsi" w:cstheme="minorHAnsi"/>
          <w:b/>
          <w:iCs/>
          <w:color w:val="auto"/>
          <w:sz w:val="22"/>
          <w:szCs w:val="22"/>
          <w:lang w:eastAsia="en-US"/>
        </w:rPr>
        <w:t>(por ejemplo, pueblos i</w:t>
      </w:r>
      <w:r w:rsidRPr="004C3DA6">
        <w:rPr>
          <w:rFonts w:asciiTheme="minorHAnsi" w:eastAsiaTheme="minorHAnsi" w:hAnsiTheme="minorHAnsi" w:cstheme="minorHAnsi"/>
          <w:b/>
          <w:iCs/>
          <w:color w:val="auto"/>
          <w:sz w:val="22"/>
          <w:szCs w:val="22"/>
          <w:lang w:eastAsia="en-US"/>
        </w:rPr>
        <w:t>ndí</w:t>
      </w:r>
      <w:r w:rsidR="00AF58E9">
        <w:rPr>
          <w:rFonts w:asciiTheme="minorHAnsi" w:eastAsiaTheme="minorHAnsi" w:hAnsiTheme="minorHAnsi" w:cstheme="minorHAnsi"/>
          <w:b/>
          <w:iCs/>
          <w:color w:val="auto"/>
          <w:sz w:val="22"/>
          <w:szCs w:val="22"/>
          <w:lang w:eastAsia="en-US"/>
        </w:rPr>
        <w:t>genas) y Estados (por ejemplo, p</w:t>
      </w:r>
      <w:r w:rsidRPr="004C3DA6">
        <w:rPr>
          <w:rFonts w:asciiTheme="minorHAnsi" w:eastAsiaTheme="minorHAnsi" w:hAnsiTheme="minorHAnsi" w:cstheme="minorHAnsi"/>
          <w:b/>
          <w:iCs/>
          <w:color w:val="auto"/>
          <w:sz w:val="22"/>
          <w:szCs w:val="22"/>
          <w:lang w:eastAsia="en-US"/>
        </w:rPr>
        <w:t xml:space="preserve">equeños Estados Insulares en Desarrollo)? </w:t>
      </w:r>
    </w:p>
    <w:p w14:paraId="7F61D3A0" w14:textId="77777777" w:rsidR="00F857D7" w:rsidRDefault="00F857D7" w:rsidP="00EC17A8">
      <w:pPr>
        <w:pStyle w:val="Default"/>
        <w:jc w:val="both"/>
        <w:rPr>
          <w:rFonts w:asciiTheme="minorHAnsi" w:eastAsiaTheme="minorHAnsi" w:hAnsiTheme="minorHAnsi" w:cstheme="minorHAnsi"/>
          <w:iCs/>
          <w:color w:val="auto"/>
          <w:sz w:val="22"/>
          <w:szCs w:val="22"/>
          <w:lang w:eastAsia="en-US"/>
        </w:rPr>
      </w:pPr>
    </w:p>
    <w:p w14:paraId="67008BE5" w14:textId="77777777" w:rsidR="00F857D7" w:rsidRDefault="00F857D7" w:rsidP="00F857D7">
      <w:pPr>
        <w:pStyle w:val="Default"/>
        <w:ind w:firstLine="360"/>
        <w:jc w:val="both"/>
        <w:rPr>
          <w:rFonts w:asciiTheme="minorHAnsi" w:eastAsiaTheme="minorHAnsi" w:hAnsiTheme="minorHAnsi" w:cstheme="minorHAnsi"/>
          <w:iCs/>
          <w:color w:val="auto"/>
          <w:sz w:val="22"/>
          <w:szCs w:val="22"/>
          <w:lang w:eastAsia="en-US"/>
        </w:rPr>
      </w:pPr>
      <w:r w:rsidRPr="00F857D7">
        <w:rPr>
          <w:rFonts w:asciiTheme="minorHAnsi" w:eastAsiaTheme="minorHAnsi" w:hAnsiTheme="minorHAnsi" w:cstheme="minorHAnsi"/>
          <w:iCs/>
          <w:color w:val="auto"/>
          <w:sz w:val="22"/>
          <w:szCs w:val="22"/>
          <w:lang w:eastAsia="en-US"/>
        </w:rPr>
        <w:t>Los impactos, pérdidas y daños derivados del cambio climático son especialmente severos en determinados niveles. A nivel individual, por ejemplo, aquellas personas de especial vulnerabilidad, como niños</w:t>
      </w:r>
      <w:r w:rsidR="00F64D27">
        <w:rPr>
          <w:rFonts w:asciiTheme="minorHAnsi" w:eastAsiaTheme="minorHAnsi" w:hAnsiTheme="minorHAnsi" w:cstheme="minorHAnsi"/>
          <w:iCs/>
          <w:color w:val="auto"/>
          <w:sz w:val="22"/>
          <w:szCs w:val="22"/>
          <w:lang w:eastAsia="en-US"/>
        </w:rPr>
        <w:t xml:space="preserve"> y niñas, mujeres o personas de edad</w:t>
      </w:r>
      <w:r w:rsidRPr="00F857D7">
        <w:rPr>
          <w:rFonts w:asciiTheme="minorHAnsi" w:eastAsiaTheme="minorHAnsi" w:hAnsiTheme="minorHAnsi" w:cstheme="minorHAnsi"/>
          <w:iCs/>
          <w:color w:val="auto"/>
          <w:sz w:val="22"/>
          <w:szCs w:val="22"/>
          <w:lang w:eastAsia="en-US"/>
        </w:rPr>
        <w:t>, pueden verse afectados con especial intensidad por las pérdidas y los daños. Un ejemplo claro son las</w:t>
      </w:r>
      <w:r w:rsidR="00F64D27">
        <w:rPr>
          <w:rFonts w:asciiTheme="minorHAnsi" w:eastAsiaTheme="minorHAnsi" w:hAnsiTheme="minorHAnsi" w:cstheme="minorHAnsi"/>
          <w:iCs/>
          <w:color w:val="auto"/>
          <w:sz w:val="22"/>
          <w:szCs w:val="22"/>
          <w:lang w:eastAsia="en-US"/>
        </w:rPr>
        <w:t>,</w:t>
      </w:r>
      <w:r w:rsidRPr="00F857D7">
        <w:rPr>
          <w:rFonts w:asciiTheme="minorHAnsi" w:eastAsiaTheme="minorHAnsi" w:hAnsiTheme="minorHAnsi" w:cstheme="minorHAnsi"/>
          <w:iCs/>
          <w:color w:val="auto"/>
          <w:sz w:val="22"/>
          <w:szCs w:val="22"/>
          <w:lang w:eastAsia="en-US"/>
        </w:rPr>
        <w:t xml:space="preserve"> cada vez</w:t>
      </w:r>
      <w:r w:rsidR="00F64D27">
        <w:rPr>
          <w:rFonts w:asciiTheme="minorHAnsi" w:eastAsiaTheme="minorHAnsi" w:hAnsiTheme="minorHAnsi" w:cstheme="minorHAnsi"/>
          <w:iCs/>
          <w:color w:val="auto"/>
          <w:sz w:val="22"/>
          <w:szCs w:val="22"/>
          <w:lang w:eastAsia="en-US"/>
        </w:rPr>
        <w:t>,</w:t>
      </w:r>
      <w:r w:rsidRPr="00F857D7">
        <w:rPr>
          <w:rFonts w:asciiTheme="minorHAnsi" w:eastAsiaTheme="minorHAnsi" w:hAnsiTheme="minorHAnsi" w:cstheme="minorHAnsi"/>
          <w:iCs/>
          <w:color w:val="auto"/>
          <w:sz w:val="22"/>
          <w:szCs w:val="22"/>
          <w:lang w:eastAsia="en-US"/>
        </w:rPr>
        <w:t xml:space="preserve"> más frecuentes y severas olas de calor, que generan un </w:t>
      </w:r>
      <w:r w:rsidR="008B4E5C">
        <w:rPr>
          <w:rFonts w:asciiTheme="minorHAnsi" w:eastAsiaTheme="minorHAnsi" w:hAnsiTheme="minorHAnsi" w:cstheme="minorHAnsi"/>
          <w:iCs/>
          <w:color w:val="auto"/>
          <w:sz w:val="22"/>
          <w:szCs w:val="22"/>
          <w:lang w:eastAsia="en-US"/>
        </w:rPr>
        <w:t xml:space="preserve">alto </w:t>
      </w:r>
      <w:r w:rsidRPr="00F857D7">
        <w:rPr>
          <w:rFonts w:asciiTheme="minorHAnsi" w:eastAsiaTheme="minorHAnsi" w:hAnsiTheme="minorHAnsi" w:cstheme="minorHAnsi"/>
          <w:iCs/>
          <w:color w:val="auto"/>
          <w:sz w:val="22"/>
          <w:szCs w:val="22"/>
          <w:lang w:eastAsia="en-US"/>
        </w:rPr>
        <w:t>riesgo para la vida de colectivos d</w:t>
      </w:r>
      <w:r>
        <w:rPr>
          <w:rFonts w:asciiTheme="minorHAnsi" w:eastAsiaTheme="minorHAnsi" w:hAnsiTheme="minorHAnsi" w:cstheme="minorHAnsi"/>
          <w:iCs/>
          <w:color w:val="auto"/>
          <w:sz w:val="22"/>
          <w:szCs w:val="22"/>
          <w:lang w:eastAsia="en-US"/>
        </w:rPr>
        <w:t>e personas con problemas cardio</w:t>
      </w:r>
      <w:r w:rsidRPr="00F857D7">
        <w:rPr>
          <w:rFonts w:asciiTheme="minorHAnsi" w:eastAsiaTheme="minorHAnsi" w:hAnsiTheme="minorHAnsi" w:cstheme="minorHAnsi"/>
          <w:iCs/>
          <w:color w:val="auto"/>
          <w:sz w:val="22"/>
          <w:szCs w:val="22"/>
          <w:lang w:eastAsia="en-US"/>
        </w:rPr>
        <w:t>rrespiratorios.</w:t>
      </w:r>
    </w:p>
    <w:p w14:paraId="1B03CA41" w14:textId="77777777" w:rsidR="00F857D7" w:rsidRDefault="00F857D7" w:rsidP="00F857D7">
      <w:pPr>
        <w:pStyle w:val="Default"/>
        <w:ind w:firstLine="360"/>
        <w:jc w:val="both"/>
        <w:rPr>
          <w:rFonts w:asciiTheme="minorHAnsi" w:eastAsiaTheme="minorHAnsi" w:hAnsiTheme="minorHAnsi" w:cstheme="minorHAnsi"/>
          <w:iCs/>
          <w:color w:val="auto"/>
          <w:sz w:val="22"/>
          <w:szCs w:val="22"/>
          <w:lang w:eastAsia="en-US"/>
        </w:rPr>
      </w:pPr>
    </w:p>
    <w:p w14:paraId="7B72CEF7" w14:textId="77777777" w:rsidR="00F857D7" w:rsidRPr="00F857D7" w:rsidRDefault="008B4E5C" w:rsidP="00F857D7">
      <w:pPr>
        <w:pStyle w:val="Default"/>
        <w:ind w:firstLine="360"/>
        <w:jc w:val="both"/>
        <w:rPr>
          <w:rFonts w:asciiTheme="minorHAnsi" w:eastAsiaTheme="minorHAnsi" w:hAnsiTheme="minorHAnsi" w:cstheme="minorHAnsi"/>
          <w:iCs/>
          <w:color w:val="auto"/>
          <w:sz w:val="22"/>
          <w:szCs w:val="22"/>
          <w:lang w:eastAsia="en-US"/>
        </w:rPr>
      </w:pPr>
      <w:r>
        <w:rPr>
          <w:rFonts w:asciiTheme="minorHAnsi" w:eastAsiaTheme="minorHAnsi" w:hAnsiTheme="minorHAnsi" w:cstheme="minorHAnsi"/>
          <w:iCs/>
          <w:color w:val="auto"/>
          <w:sz w:val="22"/>
          <w:szCs w:val="22"/>
          <w:lang w:eastAsia="en-US"/>
        </w:rPr>
        <w:t>De igual modo les ocurre a</w:t>
      </w:r>
      <w:r w:rsidR="00F857D7" w:rsidRPr="00F857D7">
        <w:rPr>
          <w:rFonts w:asciiTheme="minorHAnsi" w:eastAsiaTheme="minorHAnsi" w:hAnsiTheme="minorHAnsi" w:cstheme="minorHAnsi"/>
          <w:iCs/>
          <w:color w:val="auto"/>
          <w:sz w:val="22"/>
          <w:szCs w:val="22"/>
          <w:lang w:eastAsia="en-US"/>
        </w:rPr>
        <w:t xml:space="preserve"> los pueblos indígenas</w:t>
      </w:r>
      <w:r>
        <w:rPr>
          <w:rFonts w:asciiTheme="minorHAnsi" w:eastAsiaTheme="minorHAnsi" w:hAnsiTheme="minorHAnsi" w:cstheme="minorHAnsi"/>
          <w:iCs/>
          <w:color w:val="auto"/>
          <w:sz w:val="22"/>
          <w:szCs w:val="22"/>
          <w:lang w:eastAsia="en-US"/>
        </w:rPr>
        <w:t>, que</w:t>
      </w:r>
      <w:r w:rsidR="00F857D7" w:rsidRPr="00F857D7">
        <w:rPr>
          <w:rFonts w:asciiTheme="minorHAnsi" w:eastAsiaTheme="minorHAnsi" w:hAnsiTheme="minorHAnsi" w:cstheme="minorHAnsi"/>
          <w:iCs/>
          <w:color w:val="auto"/>
          <w:sz w:val="22"/>
          <w:szCs w:val="22"/>
          <w:lang w:eastAsia="en-US"/>
        </w:rPr>
        <w:t xml:space="preserve"> viven en una conexión y una dependencia especialmente alta de su entorno natural. Aquellas pérdidas y daños de aparición lenta, como la subida del nivel del mar, el aumento de las temperaturas, la acidificación de los océanos, el retroceso de los glaciares, la salinización, la degradación de tierras y bosques, la pérdida de bio</w:t>
      </w:r>
      <w:r w:rsidR="00215AA0">
        <w:rPr>
          <w:rFonts w:asciiTheme="minorHAnsi" w:eastAsiaTheme="minorHAnsi" w:hAnsiTheme="minorHAnsi" w:cstheme="minorHAnsi"/>
          <w:iCs/>
          <w:color w:val="auto"/>
          <w:sz w:val="22"/>
          <w:szCs w:val="22"/>
          <w:lang w:eastAsia="en-US"/>
        </w:rPr>
        <w:t>diversidad y la desertificación</w:t>
      </w:r>
      <w:r w:rsidR="00F857D7" w:rsidRPr="00F857D7">
        <w:rPr>
          <w:rFonts w:asciiTheme="minorHAnsi" w:eastAsiaTheme="minorHAnsi" w:hAnsiTheme="minorHAnsi" w:cstheme="minorHAnsi"/>
          <w:iCs/>
          <w:color w:val="auto"/>
          <w:sz w:val="22"/>
          <w:szCs w:val="22"/>
          <w:lang w:eastAsia="en-US"/>
        </w:rPr>
        <w:t xml:space="preserve"> suponen una amenaza directa a los ecosistemas de los que dependen y</w:t>
      </w:r>
      <w:r>
        <w:rPr>
          <w:rFonts w:asciiTheme="minorHAnsi" w:eastAsiaTheme="minorHAnsi" w:hAnsiTheme="minorHAnsi" w:cstheme="minorHAnsi"/>
          <w:iCs/>
          <w:color w:val="auto"/>
          <w:sz w:val="22"/>
          <w:szCs w:val="22"/>
          <w:lang w:eastAsia="en-US"/>
        </w:rPr>
        <w:t>,</w:t>
      </w:r>
      <w:r w:rsidR="00F857D7" w:rsidRPr="00F857D7">
        <w:rPr>
          <w:rFonts w:asciiTheme="minorHAnsi" w:eastAsiaTheme="minorHAnsi" w:hAnsiTheme="minorHAnsi" w:cstheme="minorHAnsi"/>
          <w:iCs/>
          <w:color w:val="auto"/>
          <w:sz w:val="22"/>
          <w:szCs w:val="22"/>
          <w:lang w:eastAsia="en-US"/>
        </w:rPr>
        <w:t xml:space="preserve"> por tanto</w:t>
      </w:r>
      <w:r>
        <w:rPr>
          <w:rFonts w:asciiTheme="minorHAnsi" w:eastAsiaTheme="minorHAnsi" w:hAnsiTheme="minorHAnsi" w:cstheme="minorHAnsi"/>
          <w:iCs/>
          <w:color w:val="auto"/>
          <w:sz w:val="22"/>
          <w:szCs w:val="22"/>
          <w:lang w:eastAsia="en-US"/>
        </w:rPr>
        <w:t>,</w:t>
      </w:r>
      <w:r w:rsidR="00F857D7" w:rsidRPr="00F857D7">
        <w:rPr>
          <w:rFonts w:asciiTheme="minorHAnsi" w:eastAsiaTheme="minorHAnsi" w:hAnsiTheme="minorHAnsi" w:cstheme="minorHAnsi"/>
          <w:iCs/>
          <w:color w:val="auto"/>
          <w:sz w:val="22"/>
          <w:szCs w:val="22"/>
          <w:lang w:eastAsia="en-US"/>
        </w:rPr>
        <w:t xml:space="preserve"> inciden especialmente sobre estos colectivos.</w:t>
      </w:r>
    </w:p>
    <w:p w14:paraId="7E7AD223" w14:textId="77777777" w:rsidR="00F857D7" w:rsidRPr="00F857D7" w:rsidRDefault="00F857D7" w:rsidP="00F857D7">
      <w:pPr>
        <w:pStyle w:val="Default"/>
        <w:ind w:firstLine="360"/>
        <w:jc w:val="both"/>
        <w:rPr>
          <w:rFonts w:asciiTheme="minorHAnsi" w:eastAsiaTheme="minorHAnsi" w:hAnsiTheme="minorHAnsi" w:cstheme="minorHAnsi"/>
          <w:iCs/>
          <w:color w:val="auto"/>
          <w:sz w:val="22"/>
          <w:szCs w:val="22"/>
          <w:lang w:eastAsia="en-US"/>
        </w:rPr>
      </w:pPr>
    </w:p>
    <w:p w14:paraId="48DC8505" w14:textId="77777777" w:rsidR="00F857D7" w:rsidRPr="00F857D7" w:rsidRDefault="008B4E5C" w:rsidP="00F857D7">
      <w:pPr>
        <w:pStyle w:val="Default"/>
        <w:ind w:firstLine="360"/>
        <w:jc w:val="both"/>
        <w:rPr>
          <w:rFonts w:asciiTheme="minorHAnsi" w:eastAsiaTheme="minorHAnsi" w:hAnsiTheme="minorHAnsi" w:cstheme="minorHAnsi"/>
          <w:iCs/>
          <w:color w:val="auto"/>
          <w:sz w:val="22"/>
          <w:szCs w:val="22"/>
          <w:lang w:eastAsia="en-US"/>
        </w:rPr>
      </w:pPr>
      <w:r>
        <w:rPr>
          <w:rFonts w:asciiTheme="minorHAnsi" w:eastAsiaTheme="minorHAnsi" w:hAnsiTheme="minorHAnsi" w:cstheme="minorHAnsi"/>
          <w:iCs/>
          <w:color w:val="auto"/>
          <w:sz w:val="22"/>
          <w:szCs w:val="22"/>
          <w:lang w:eastAsia="en-US"/>
        </w:rPr>
        <w:t>Asimismo</w:t>
      </w:r>
      <w:r w:rsidR="00215AA0">
        <w:rPr>
          <w:rFonts w:asciiTheme="minorHAnsi" w:eastAsiaTheme="minorHAnsi" w:hAnsiTheme="minorHAnsi" w:cstheme="minorHAnsi"/>
          <w:iCs/>
          <w:color w:val="auto"/>
          <w:sz w:val="22"/>
          <w:szCs w:val="22"/>
          <w:lang w:eastAsia="en-US"/>
        </w:rPr>
        <w:t>, otras</w:t>
      </w:r>
      <w:r w:rsidR="00F857D7" w:rsidRPr="00F857D7">
        <w:rPr>
          <w:rFonts w:asciiTheme="minorHAnsi" w:eastAsiaTheme="minorHAnsi" w:hAnsiTheme="minorHAnsi" w:cstheme="minorHAnsi"/>
          <w:iCs/>
          <w:color w:val="auto"/>
          <w:sz w:val="22"/>
          <w:szCs w:val="22"/>
          <w:lang w:eastAsia="en-US"/>
        </w:rPr>
        <w:t xml:space="preserve"> comunidades son especialmente vulnerables </w:t>
      </w:r>
      <w:r w:rsidR="00F64D27">
        <w:rPr>
          <w:rFonts w:asciiTheme="minorHAnsi" w:eastAsiaTheme="minorHAnsi" w:hAnsiTheme="minorHAnsi" w:cstheme="minorHAnsi"/>
          <w:iCs/>
          <w:color w:val="auto"/>
          <w:sz w:val="22"/>
          <w:szCs w:val="22"/>
          <w:lang w:eastAsia="en-US"/>
        </w:rPr>
        <w:t xml:space="preserve">a las pérdidas y daños tanto </w:t>
      </w:r>
      <w:r w:rsidR="00F857D7" w:rsidRPr="00F857D7">
        <w:rPr>
          <w:rFonts w:asciiTheme="minorHAnsi" w:eastAsiaTheme="minorHAnsi" w:hAnsiTheme="minorHAnsi" w:cstheme="minorHAnsi"/>
          <w:iCs/>
          <w:color w:val="auto"/>
          <w:sz w:val="22"/>
          <w:szCs w:val="22"/>
          <w:lang w:eastAsia="en-US"/>
        </w:rPr>
        <w:t xml:space="preserve">debido a un </w:t>
      </w:r>
      <w:r w:rsidR="00F64D27">
        <w:rPr>
          <w:rFonts w:asciiTheme="minorHAnsi" w:eastAsiaTheme="minorHAnsi" w:hAnsiTheme="minorHAnsi" w:cstheme="minorHAnsi"/>
          <w:iCs/>
          <w:color w:val="auto"/>
          <w:sz w:val="22"/>
          <w:szCs w:val="22"/>
          <w:lang w:eastAsia="en-US"/>
        </w:rPr>
        <w:t>d</w:t>
      </w:r>
      <w:r w:rsidR="00215AA0">
        <w:rPr>
          <w:rFonts w:asciiTheme="minorHAnsi" w:eastAsiaTheme="minorHAnsi" w:hAnsiTheme="minorHAnsi" w:cstheme="minorHAnsi"/>
          <w:iCs/>
          <w:color w:val="auto"/>
          <w:sz w:val="22"/>
          <w:szCs w:val="22"/>
          <w:lang w:eastAsia="en-US"/>
        </w:rPr>
        <w:t>eficiente desarrollo económico, por</w:t>
      </w:r>
      <w:r w:rsidR="00F64D27">
        <w:rPr>
          <w:rFonts w:asciiTheme="minorHAnsi" w:eastAsiaTheme="minorHAnsi" w:hAnsiTheme="minorHAnsi" w:cstheme="minorHAnsi"/>
          <w:iCs/>
          <w:color w:val="auto"/>
          <w:sz w:val="22"/>
          <w:szCs w:val="22"/>
          <w:lang w:eastAsia="en-US"/>
        </w:rPr>
        <w:t xml:space="preserve"> carecer </w:t>
      </w:r>
      <w:r w:rsidR="00F857D7" w:rsidRPr="00F857D7">
        <w:rPr>
          <w:rFonts w:asciiTheme="minorHAnsi" w:eastAsiaTheme="minorHAnsi" w:hAnsiTheme="minorHAnsi" w:cstheme="minorHAnsi"/>
          <w:iCs/>
          <w:color w:val="auto"/>
          <w:sz w:val="22"/>
          <w:szCs w:val="22"/>
          <w:lang w:eastAsia="en-US"/>
        </w:rPr>
        <w:t>de infraestructuras y de marcos de gobernanza adecuados para prevenir y p</w:t>
      </w:r>
      <w:r w:rsidR="00F64D27">
        <w:rPr>
          <w:rFonts w:asciiTheme="minorHAnsi" w:eastAsiaTheme="minorHAnsi" w:hAnsiTheme="minorHAnsi" w:cstheme="minorHAnsi"/>
          <w:iCs/>
          <w:color w:val="auto"/>
          <w:sz w:val="22"/>
          <w:szCs w:val="22"/>
          <w:lang w:eastAsia="en-US"/>
        </w:rPr>
        <w:t xml:space="preserve">aliar las pérdidas y los daños, como </w:t>
      </w:r>
      <w:r w:rsidR="00215AA0">
        <w:rPr>
          <w:rFonts w:asciiTheme="minorHAnsi" w:eastAsiaTheme="minorHAnsi" w:hAnsiTheme="minorHAnsi" w:cstheme="minorHAnsi"/>
          <w:iCs/>
          <w:color w:val="auto"/>
          <w:sz w:val="22"/>
          <w:szCs w:val="22"/>
          <w:lang w:eastAsia="en-US"/>
        </w:rPr>
        <w:t>debido a sus</w:t>
      </w:r>
      <w:r w:rsidR="00F857D7" w:rsidRPr="00F857D7">
        <w:rPr>
          <w:rFonts w:asciiTheme="minorHAnsi" w:eastAsiaTheme="minorHAnsi" w:hAnsiTheme="minorHAnsi" w:cstheme="minorHAnsi"/>
          <w:iCs/>
          <w:color w:val="auto"/>
          <w:sz w:val="22"/>
          <w:szCs w:val="22"/>
          <w:lang w:eastAsia="en-US"/>
        </w:rPr>
        <w:t xml:space="preserve"> peculiaridades geográficas o climáticas. Por ejemplo, los Estados insulares con una altitud media muy baja son especialmente sensibles a la subida del nivel del mar, que puede sumergir un porcentaje importante de su territorio. En otros casos, la climatología tiene una marcada influencia en l</w:t>
      </w:r>
      <w:r w:rsidR="00F64D27">
        <w:rPr>
          <w:rFonts w:asciiTheme="minorHAnsi" w:eastAsiaTheme="minorHAnsi" w:hAnsiTheme="minorHAnsi" w:cstheme="minorHAnsi"/>
          <w:iCs/>
          <w:color w:val="auto"/>
          <w:sz w:val="22"/>
          <w:szCs w:val="22"/>
          <w:lang w:eastAsia="en-US"/>
        </w:rPr>
        <w:t>a capacidad de subsistencia de E</w:t>
      </w:r>
      <w:r w:rsidR="00F857D7" w:rsidRPr="00F857D7">
        <w:rPr>
          <w:rFonts w:asciiTheme="minorHAnsi" w:eastAsiaTheme="minorHAnsi" w:hAnsiTheme="minorHAnsi" w:cstheme="minorHAnsi"/>
          <w:iCs/>
          <w:color w:val="auto"/>
          <w:sz w:val="22"/>
          <w:szCs w:val="22"/>
          <w:lang w:eastAsia="en-US"/>
        </w:rPr>
        <w:t>stados enteros y en su capacidad para soportar pérdidas y daños frente a fenómenos extre</w:t>
      </w:r>
      <w:r w:rsidR="00F64D27">
        <w:rPr>
          <w:rFonts w:asciiTheme="minorHAnsi" w:eastAsiaTheme="minorHAnsi" w:hAnsiTheme="minorHAnsi" w:cstheme="minorHAnsi"/>
          <w:iCs/>
          <w:color w:val="auto"/>
          <w:sz w:val="22"/>
          <w:szCs w:val="22"/>
          <w:lang w:eastAsia="en-US"/>
        </w:rPr>
        <w:t>mos como inundaciones y sequías</w:t>
      </w:r>
      <w:r w:rsidR="00F857D7" w:rsidRPr="00F857D7">
        <w:rPr>
          <w:rFonts w:asciiTheme="minorHAnsi" w:eastAsiaTheme="minorHAnsi" w:hAnsiTheme="minorHAnsi" w:cstheme="minorHAnsi"/>
          <w:iCs/>
          <w:color w:val="auto"/>
          <w:sz w:val="22"/>
          <w:szCs w:val="22"/>
          <w:lang w:eastAsia="en-US"/>
        </w:rPr>
        <w:t>.</w:t>
      </w:r>
    </w:p>
    <w:p w14:paraId="4EE7F7D8" w14:textId="77777777" w:rsidR="004C3DA6" w:rsidRPr="00F857D7" w:rsidRDefault="004C3DA6" w:rsidP="00F857D7">
      <w:pPr>
        <w:pStyle w:val="Default"/>
        <w:jc w:val="both"/>
        <w:rPr>
          <w:rFonts w:asciiTheme="minorHAnsi" w:eastAsiaTheme="minorHAnsi" w:hAnsiTheme="minorHAnsi" w:cstheme="minorHAnsi"/>
          <w:iCs/>
          <w:color w:val="auto"/>
          <w:sz w:val="22"/>
          <w:szCs w:val="22"/>
          <w:lang w:eastAsia="en-US"/>
        </w:rPr>
      </w:pPr>
    </w:p>
    <w:p w14:paraId="341BE9F1" w14:textId="77777777" w:rsidR="004C3DA6" w:rsidRDefault="004C3DA6" w:rsidP="00E85614">
      <w:pPr>
        <w:pStyle w:val="Default"/>
        <w:numPr>
          <w:ilvl w:val="0"/>
          <w:numId w:val="6"/>
        </w:numPr>
        <w:jc w:val="both"/>
        <w:rPr>
          <w:rFonts w:asciiTheme="minorHAnsi" w:eastAsiaTheme="minorHAnsi" w:hAnsiTheme="minorHAnsi" w:cstheme="minorHAnsi"/>
          <w:b/>
          <w:iCs/>
          <w:color w:val="auto"/>
          <w:sz w:val="22"/>
          <w:szCs w:val="22"/>
          <w:lang w:eastAsia="en-US"/>
        </w:rPr>
      </w:pPr>
      <w:r>
        <w:rPr>
          <w:rFonts w:asciiTheme="minorHAnsi" w:eastAsiaTheme="minorHAnsi" w:hAnsiTheme="minorHAnsi" w:cstheme="minorHAnsi"/>
          <w:b/>
          <w:iCs/>
          <w:color w:val="auto"/>
          <w:sz w:val="22"/>
          <w:szCs w:val="22"/>
          <w:lang w:eastAsia="en-US"/>
        </w:rPr>
        <w:t>¿</w:t>
      </w:r>
      <w:r w:rsidRPr="004C3DA6">
        <w:rPr>
          <w:rFonts w:asciiTheme="minorHAnsi" w:eastAsiaTheme="minorHAnsi" w:hAnsiTheme="minorHAnsi" w:cstheme="minorHAnsi"/>
          <w:b/>
          <w:iCs/>
          <w:color w:val="auto"/>
          <w:sz w:val="22"/>
          <w:szCs w:val="22"/>
          <w:lang w:eastAsia="en-US"/>
        </w:rPr>
        <w:t xml:space="preserve">Cuáles son las obligaciones de los Estados y otros actores, como las instituciones financieras de desarrollo y las empresas, para prevenir, mitigar y remediar los impactos de las pérdidas y daños relacionados con el cambio climático sobre los derechos humanos, incluido el derecho al desarrollo? </w:t>
      </w:r>
    </w:p>
    <w:p w14:paraId="2DEA9F8A" w14:textId="77777777" w:rsidR="00581853" w:rsidRPr="00581853" w:rsidRDefault="00581853" w:rsidP="00581853">
      <w:pPr>
        <w:pStyle w:val="Default"/>
        <w:ind w:left="360"/>
        <w:jc w:val="both"/>
        <w:rPr>
          <w:rFonts w:asciiTheme="minorHAnsi" w:eastAsiaTheme="minorHAnsi" w:hAnsiTheme="minorHAnsi" w:cstheme="minorHAnsi"/>
          <w:b/>
          <w:iCs/>
          <w:color w:val="auto"/>
          <w:sz w:val="22"/>
          <w:szCs w:val="22"/>
          <w:lang w:eastAsia="en-US"/>
        </w:rPr>
      </w:pPr>
    </w:p>
    <w:p w14:paraId="1CF73492" w14:textId="77777777" w:rsidR="00E85614" w:rsidRDefault="00E85614" w:rsidP="00581853">
      <w:pPr>
        <w:pStyle w:val="Default"/>
        <w:ind w:firstLine="360"/>
        <w:jc w:val="both"/>
        <w:rPr>
          <w:rFonts w:asciiTheme="minorHAnsi" w:eastAsiaTheme="minorHAnsi" w:hAnsiTheme="minorHAnsi" w:cstheme="minorHAnsi"/>
          <w:iCs/>
          <w:color w:val="auto"/>
          <w:sz w:val="22"/>
          <w:szCs w:val="22"/>
          <w:lang w:eastAsia="en-US"/>
        </w:rPr>
      </w:pPr>
      <w:r w:rsidRPr="00E85614">
        <w:rPr>
          <w:rFonts w:asciiTheme="minorHAnsi" w:eastAsiaTheme="minorHAnsi" w:hAnsiTheme="minorHAnsi" w:cstheme="minorHAnsi"/>
          <w:iCs/>
          <w:color w:val="auto"/>
          <w:sz w:val="22"/>
          <w:szCs w:val="22"/>
          <w:lang w:eastAsia="en-US"/>
        </w:rPr>
        <w:t>Las obligaciones de los Estados implican la creación de un marco regulatorio adecuado para prevenir, mitigar y remediar los impactos que ocasionan pérdidas y daños. En el caso de España, la transposición de Directi</w:t>
      </w:r>
      <w:r w:rsidR="00215AA0">
        <w:rPr>
          <w:rFonts w:asciiTheme="minorHAnsi" w:eastAsiaTheme="minorHAnsi" w:hAnsiTheme="minorHAnsi" w:cstheme="minorHAnsi"/>
          <w:iCs/>
          <w:color w:val="auto"/>
          <w:sz w:val="22"/>
          <w:szCs w:val="22"/>
          <w:lang w:eastAsia="en-US"/>
        </w:rPr>
        <w:t>vas europeas al ámbito nacional y</w:t>
      </w:r>
      <w:r w:rsidRPr="00E85614">
        <w:rPr>
          <w:rFonts w:asciiTheme="minorHAnsi" w:eastAsiaTheme="minorHAnsi" w:hAnsiTheme="minorHAnsi" w:cstheme="minorHAnsi"/>
          <w:iCs/>
          <w:color w:val="auto"/>
          <w:sz w:val="22"/>
          <w:szCs w:val="22"/>
          <w:lang w:eastAsia="en-US"/>
        </w:rPr>
        <w:t xml:space="preserve"> la aplicación directa de </w:t>
      </w:r>
      <w:r w:rsidR="00215AA0">
        <w:rPr>
          <w:rFonts w:asciiTheme="minorHAnsi" w:eastAsiaTheme="minorHAnsi" w:hAnsiTheme="minorHAnsi" w:cstheme="minorHAnsi"/>
          <w:iCs/>
          <w:color w:val="auto"/>
          <w:sz w:val="22"/>
          <w:szCs w:val="22"/>
          <w:lang w:eastAsia="en-US"/>
        </w:rPr>
        <w:t>Reglamentos europeos está siendo muy</w:t>
      </w:r>
      <w:r w:rsidRPr="00E85614">
        <w:rPr>
          <w:rFonts w:asciiTheme="minorHAnsi" w:eastAsiaTheme="minorHAnsi" w:hAnsiTheme="minorHAnsi" w:cstheme="minorHAnsi"/>
          <w:iCs/>
          <w:color w:val="auto"/>
          <w:sz w:val="22"/>
          <w:szCs w:val="22"/>
          <w:lang w:eastAsia="en-US"/>
        </w:rPr>
        <w:t xml:space="preserve"> ambiciosa en todas las materias relacionadas con la sostenibilidad.</w:t>
      </w:r>
      <w:r w:rsidR="00506F41">
        <w:rPr>
          <w:rFonts w:asciiTheme="minorHAnsi" w:eastAsiaTheme="minorHAnsi" w:hAnsiTheme="minorHAnsi" w:cstheme="minorHAnsi"/>
          <w:iCs/>
          <w:color w:val="auto"/>
          <w:sz w:val="22"/>
          <w:szCs w:val="22"/>
          <w:lang w:eastAsia="en-US"/>
        </w:rPr>
        <w:t xml:space="preserve"> </w:t>
      </w:r>
    </w:p>
    <w:p w14:paraId="52A88ACC" w14:textId="77777777" w:rsidR="00581853" w:rsidRPr="00581853" w:rsidRDefault="00581853" w:rsidP="00581853">
      <w:pPr>
        <w:pStyle w:val="Default"/>
        <w:ind w:firstLine="360"/>
        <w:jc w:val="both"/>
        <w:rPr>
          <w:rFonts w:asciiTheme="minorHAnsi" w:eastAsiaTheme="minorHAnsi" w:hAnsiTheme="minorHAnsi" w:cstheme="minorHAnsi"/>
          <w:iCs/>
          <w:color w:val="auto"/>
          <w:sz w:val="22"/>
          <w:szCs w:val="22"/>
          <w:lang w:eastAsia="en-US"/>
        </w:rPr>
      </w:pPr>
    </w:p>
    <w:p w14:paraId="26E19212" w14:textId="77777777" w:rsidR="00506F41" w:rsidRDefault="00E85614" w:rsidP="00506F41">
      <w:pPr>
        <w:pStyle w:val="Default"/>
        <w:ind w:firstLine="360"/>
        <w:jc w:val="both"/>
        <w:rPr>
          <w:rFonts w:asciiTheme="minorHAnsi" w:eastAsiaTheme="minorHAnsi" w:hAnsiTheme="minorHAnsi" w:cstheme="minorHAnsi"/>
          <w:iCs/>
          <w:color w:val="auto"/>
          <w:sz w:val="22"/>
          <w:szCs w:val="22"/>
          <w:lang w:eastAsia="en-US"/>
        </w:rPr>
      </w:pPr>
      <w:r w:rsidRPr="00581853">
        <w:rPr>
          <w:rFonts w:asciiTheme="minorHAnsi" w:eastAsiaTheme="minorHAnsi" w:hAnsiTheme="minorHAnsi" w:cstheme="minorHAnsi"/>
          <w:iCs/>
          <w:color w:val="auto"/>
          <w:sz w:val="22"/>
          <w:szCs w:val="22"/>
          <w:lang w:eastAsia="en-US"/>
        </w:rPr>
        <w:t>La contribución de las empresas a la consecución de los Objetivos de Desarrollo Sostenible en todos sus aspectos conlleva contar con modelos de negocio responsables, cuestiones que, en clave medioambiental, social y de buen gobierno</w:t>
      </w:r>
      <w:r w:rsidR="003733FE">
        <w:rPr>
          <w:rFonts w:asciiTheme="minorHAnsi" w:eastAsiaTheme="minorHAnsi" w:hAnsiTheme="minorHAnsi" w:cstheme="minorHAnsi"/>
          <w:iCs/>
          <w:color w:val="auto"/>
          <w:sz w:val="22"/>
          <w:szCs w:val="22"/>
          <w:lang w:eastAsia="en-US"/>
        </w:rPr>
        <w:t>,</w:t>
      </w:r>
      <w:r w:rsidRPr="00581853">
        <w:rPr>
          <w:rFonts w:asciiTheme="minorHAnsi" w:eastAsiaTheme="minorHAnsi" w:hAnsiTheme="minorHAnsi" w:cstheme="minorHAnsi"/>
          <w:iCs/>
          <w:color w:val="auto"/>
          <w:sz w:val="22"/>
          <w:szCs w:val="22"/>
          <w:lang w:eastAsia="en-US"/>
        </w:rPr>
        <w:t xml:space="preserve"> también han sido incluidas por el grupo como factores relevantes en su política de sostenibilidad.</w:t>
      </w:r>
    </w:p>
    <w:p w14:paraId="36AD8DD6" w14:textId="77777777" w:rsidR="00506F41" w:rsidRDefault="00506F41" w:rsidP="00506F41">
      <w:pPr>
        <w:pStyle w:val="Default"/>
        <w:ind w:firstLine="360"/>
        <w:jc w:val="both"/>
        <w:rPr>
          <w:rFonts w:asciiTheme="minorHAnsi" w:eastAsiaTheme="minorHAnsi" w:hAnsiTheme="minorHAnsi" w:cstheme="minorHAnsi"/>
          <w:iCs/>
          <w:color w:val="auto"/>
          <w:sz w:val="22"/>
          <w:szCs w:val="22"/>
          <w:lang w:eastAsia="en-US"/>
        </w:rPr>
      </w:pPr>
    </w:p>
    <w:p w14:paraId="3B2727A7" w14:textId="77777777" w:rsidR="00506F41" w:rsidRPr="00506F41" w:rsidRDefault="00506F41" w:rsidP="00EC17A8">
      <w:pPr>
        <w:pStyle w:val="Default"/>
        <w:ind w:firstLine="360"/>
        <w:jc w:val="both"/>
        <w:rPr>
          <w:rFonts w:asciiTheme="minorHAnsi" w:eastAsiaTheme="minorHAnsi" w:hAnsiTheme="minorHAnsi" w:cstheme="minorHAnsi"/>
          <w:iCs/>
          <w:color w:val="auto"/>
          <w:sz w:val="22"/>
          <w:szCs w:val="22"/>
          <w:lang w:eastAsia="en-US"/>
        </w:rPr>
      </w:pPr>
      <w:r>
        <w:rPr>
          <w:rFonts w:asciiTheme="minorHAnsi" w:eastAsiaTheme="minorHAnsi" w:hAnsiTheme="minorHAnsi" w:cstheme="minorHAnsi"/>
          <w:iCs/>
          <w:color w:val="auto"/>
          <w:sz w:val="22"/>
          <w:szCs w:val="22"/>
          <w:lang w:eastAsia="en-US"/>
        </w:rPr>
        <w:t>España</w:t>
      </w:r>
      <w:r w:rsidRPr="00506F41">
        <w:rPr>
          <w:rFonts w:asciiTheme="minorHAnsi" w:eastAsiaTheme="minorHAnsi" w:hAnsiTheme="minorHAnsi" w:cstheme="minorHAnsi"/>
          <w:iCs/>
          <w:color w:val="auto"/>
          <w:sz w:val="22"/>
          <w:szCs w:val="22"/>
          <w:lang w:eastAsia="en-US"/>
        </w:rPr>
        <w:t xml:space="preserve"> se ha comprometido, como Parte signataria de la Convención Marco de Naciones Unidas sobre el Cambio Climático (CMNUCC) y del Acuerdo de París, a lograr los objetivos establecidos en ellos. Así, la CMNUCC establece como objetivo la estabilización de las concentraciones de gases de efecto invernadero en la atmósfera a un nivel que impida interferencias antropógenas peligrosas en el sistema climático. El Acuerdo de París establece, entre otros objetivos, el de mantener el aumento de la temperatura media mundial muy por debajo de 2 °C con respect</w:t>
      </w:r>
      <w:r w:rsidR="00215AA0">
        <w:rPr>
          <w:rFonts w:asciiTheme="minorHAnsi" w:eastAsiaTheme="minorHAnsi" w:hAnsiTheme="minorHAnsi" w:cstheme="minorHAnsi"/>
          <w:iCs/>
          <w:color w:val="auto"/>
          <w:sz w:val="22"/>
          <w:szCs w:val="22"/>
          <w:lang w:eastAsia="en-US"/>
        </w:rPr>
        <w:t>o a los niveles preindustriales</w:t>
      </w:r>
      <w:r w:rsidRPr="00506F41">
        <w:rPr>
          <w:rFonts w:asciiTheme="minorHAnsi" w:eastAsiaTheme="minorHAnsi" w:hAnsiTheme="minorHAnsi" w:cstheme="minorHAnsi"/>
          <w:iCs/>
          <w:color w:val="auto"/>
          <w:sz w:val="22"/>
          <w:szCs w:val="22"/>
          <w:lang w:eastAsia="en-US"/>
        </w:rPr>
        <w:t xml:space="preserve"> y proseguir los esfuerzos para limitar ese aumento de la te</w:t>
      </w:r>
      <w:r w:rsidR="00215AA0">
        <w:rPr>
          <w:rFonts w:asciiTheme="minorHAnsi" w:eastAsiaTheme="minorHAnsi" w:hAnsiTheme="minorHAnsi" w:cstheme="minorHAnsi"/>
          <w:iCs/>
          <w:color w:val="auto"/>
          <w:sz w:val="22"/>
          <w:szCs w:val="22"/>
          <w:lang w:eastAsia="en-US"/>
        </w:rPr>
        <w:t xml:space="preserve">mperatura a 1,5 °C en cuanto </w:t>
      </w:r>
      <w:r w:rsidRPr="00506F41">
        <w:rPr>
          <w:rFonts w:asciiTheme="minorHAnsi" w:eastAsiaTheme="minorHAnsi" w:hAnsiTheme="minorHAnsi" w:cstheme="minorHAnsi"/>
          <w:iCs/>
          <w:color w:val="auto"/>
          <w:sz w:val="22"/>
          <w:szCs w:val="22"/>
          <w:lang w:eastAsia="en-US"/>
        </w:rPr>
        <w:t xml:space="preserve">a los niveles preindustriales. </w:t>
      </w:r>
    </w:p>
    <w:p w14:paraId="6829147F" w14:textId="77777777" w:rsidR="00506F41" w:rsidRPr="00506F41" w:rsidRDefault="00506F41" w:rsidP="00506F41">
      <w:pPr>
        <w:pStyle w:val="Default"/>
        <w:ind w:firstLine="360"/>
        <w:jc w:val="both"/>
        <w:rPr>
          <w:rFonts w:asciiTheme="minorHAnsi" w:eastAsiaTheme="minorHAnsi" w:hAnsiTheme="minorHAnsi" w:cstheme="minorHAnsi"/>
          <w:iCs/>
          <w:color w:val="auto"/>
          <w:sz w:val="22"/>
          <w:szCs w:val="22"/>
          <w:lang w:eastAsia="en-US"/>
        </w:rPr>
      </w:pPr>
    </w:p>
    <w:p w14:paraId="0B043C62" w14:textId="77777777" w:rsidR="00E85614" w:rsidRDefault="00506F41" w:rsidP="003733FE">
      <w:pPr>
        <w:pStyle w:val="Default"/>
        <w:ind w:firstLine="360"/>
        <w:jc w:val="both"/>
        <w:rPr>
          <w:rFonts w:asciiTheme="minorHAnsi" w:eastAsiaTheme="minorHAnsi" w:hAnsiTheme="minorHAnsi" w:cstheme="minorHAnsi"/>
          <w:iCs/>
          <w:color w:val="auto"/>
          <w:sz w:val="22"/>
          <w:szCs w:val="22"/>
          <w:lang w:eastAsia="en-US"/>
        </w:rPr>
      </w:pPr>
      <w:r w:rsidRPr="00506F41">
        <w:rPr>
          <w:rFonts w:asciiTheme="minorHAnsi" w:eastAsiaTheme="minorHAnsi" w:hAnsiTheme="minorHAnsi" w:cstheme="minorHAnsi"/>
          <w:iCs/>
          <w:color w:val="auto"/>
          <w:sz w:val="22"/>
          <w:szCs w:val="22"/>
          <w:lang w:eastAsia="en-US"/>
        </w:rPr>
        <w:t>Por ello, los países deben adoptar políticas de mitigación y adaptación al cambio climático, y en caso de los países desarrollados está el compromiso de proporcionar medios para que los países en desarrollo puedan adoptar políticas de mitigación y adaptación.</w:t>
      </w:r>
      <w:r w:rsidR="00EC17A8">
        <w:rPr>
          <w:rFonts w:asciiTheme="minorHAnsi" w:eastAsiaTheme="minorHAnsi" w:hAnsiTheme="minorHAnsi" w:cstheme="minorHAnsi"/>
          <w:iCs/>
          <w:color w:val="auto"/>
          <w:sz w:val="22"/>
          <w:szCs w:val="22"/>
          <w:lang w:eastAsia="en-US"/>
        </w:rPr>
        <w:t xml:space="preserve"> </w:t>
      </w:r>
      <w:r w:rsidRPr="00506F41">
        <w:rPr>
          <w:rFonts w:asciiTheme="minorHAnsi" w:eastAsiaTheme="minorHAnsi" w:hAnsiTheme="minorHAnsi" w:cstheme="minorHAnsi"/>
          <w:iCs/>
          <w:color w:val="auto"/>
          <w:sz w:val="22"/>
          <w:szCs w:val="22"/>
          <w:lang w:eastAsia="en-US"/>
        </w:rPr>
        <w:t xml:space="preserve">En el marco del </w:t>
      </w:r>
      <w:r w:rsidR="00636C63">
        <w:rPr>
          <w:rFonts w:asciiTheme="minorHAnsi" w:eastAsiaTheme="minorHAnsi" w:hAnsiTheme="minorHAnsi" w:cstheme="minorHAnsi"/>
          <w:iCs/>
          <w:color w:val="auto"/>
          <w:sz w:val="22"/>
          <w:szCs w:val="22"/>
          <w:lang w:eastAsia="en-US"/>
        </w:rPr>
        <w:t>régimen climático internacional</w:t>
      </w:r>
      <w:r w:rsidRPr="00506F41">
        <w:rPr>
          <w:rFonts w:asciiTheme="minorHAnsi" w:eastAsiaTheme="minorHAnsi" w:hAnsiTheme="minorHAnsi" w:cstheme="minorHAnsi"/>
          <w:iCs/>
          <w:color w:val="auto"/>
          <w:sz w:val="22"/>
          <w:szCs w:val="22"/>
          <w:lang w:eastAsia="en-US"/>
        </w:rPr>
        <w:t xml:space="preserve"> existen varias decisiones adoptadas por la Conferencia de las Partes</w:t>
      </w:r>
      <w:r w:rsidR="00636C63">
        <w:rPr>
          <w:rFonts w:asciiTheme="minorHAnsi" w:eastAsiaTheme="minorHAnsi" w:hAnsiTheme="minorHAnsi" w:cstheme="minorHAnsi"/>
          <w:iCs/>
          <w:color w:val="auto"/>
          <w:sz w:val="22"/>
          <w:szCs w:val="22"/>
          <w:lang w:eastAsia="en-US"/>
        </w:rPr>
        <w:t>,</w:t>
      </w:r>
      <w:r w:rsidRPr="00506F41">
        <w:rPr>
          <w:rFonts w:asciiTheme="minorHAnsi" w:eastAsiaTheme="minorHAnsi" w:hAnsiTheme="minorHAnsi" w:cstheme="minorHAnsi"/>
          <w:iCs/>
          <w:color w:val="auto"/>
          <w:sz w:val="22"/>
          <w:szCs w:val="22"/>
          <w:lang w:eastAsia="en-US"/>
        </w:rPr>
        <w:t xml:space="preserve"> en calidad de reunión de las Partes en la CMNUCC y del Acuerdo de París, instando a una progresiva reforma del sis</w:t>
      </w:r>
      <w:r w:rsidR="00636C63">
        <w:rPr>
          <w:rFonts w:asciiTheme="minorHAnsi" w:eastAsiaTheme="minorHAnsi" w:hAnsiTheme="minorHAnsi" w:cstheme="minorHAnsi"/>
          <w:iCs/>
          <w:color w:val="auto"/>
          <w:sz w:val="22"/>
          <w:szCs w:val="22"/>
          <w:lang w:eastAsia="en-US"/>
        </w:rPr>
        <w:t>tema financiero internacional. Concretamente, e</w:t>
      </w:r>
      <w:r w:rsidRPr="00506F41">
        <w:rPr>
          <w:rFonts w:asciiTheme="minorHAnsi" w:eastAsiaTheme="minorHAnsi" w:hAnsiTheme="minorHAnsi" w:cstheme="minorHAnsi"/>
          <w:iCs/>
          <w:color w:val="auto"/>
          <w:sz w:val="22"/>
          <w:szCs w:val="22"/>
          <w:lang w:eastAsia="en-US"/>
        </w:rPr>
        <w:t>n el marco del artículo</w:t>
      </w:r>
      <w:r w:rsidR="00636C63">
        <w:rPr>
          <w:rFonts w:asciiTheme="minorHAnsi" w:eastAsiaTheme="minorHAnsi" w:hAnsiTheme="minorHAnsi" w:cstheme="minorHAnsi"/>
          <w:iCs/>
          <w:color w:val="auto"/>
          <w:sz w:val="22"/>
          <w:szCs w:val="22"/>
          <w:lang w:eastAsia="en-US"/>
        </w:rPr>
        <w:t xml:space="preserve"> 2.1.c del Acuerdo de París se establece como objetivo </w:t>
      </w:r>
      <w:r w:rsidRPr="00506F41">
        <w:rPr>
          <w:rFonts w:asciiTheme="minorHAnsi" w:eastAsiaTheme="minorHAnsi" w:hAnsiTheme="minorHAnsi" w:cstheme="minorHAnsi"/>
          <w:iCs/>
          <w:color w:val="auto"/>
          <w:sz w:val="22"/>
          <w:szCs w:val="22"/>
          <w:lang w:eastAsia="en-US"/>
        </w:rPr>
        <w:t>situar los flujos financieros en un nivel compatible con una trayectoria que conduzca a un desarrollo resiliente al clima y con bajas emisiones de gases de efecto invernadero.</w:t>
      </w:r>
      <w:r w:rsidR="00EC17A8">
        <w:rPr>
          <w:rFonts w:asciiTheme="minorHAnsi" w:eastAsiaTheme="minorHAnsi" w:hAnsiTheme="minorHAnsi" w:cstheme="minorHAnsi"/>
          <w:iCs/>
          <w:color w:val="auto"/>
          <w:sz w:val="22"/>
          <w:szCs w:val="22"/>
          <w:lang w:eastAsia="en-US"/>
        </w:rPr>
        <w:t xml:space="preserve"> </w:t>
      </w:r>
      <w:r w:rsidRPr="00506F41">
        <w:rPr>
          <w:rFonts w:asciiTheme="minorHAnsi" w:eastAsiaTheme="minorHAnsi" w:hAnsiTheme="minorHAnsi" w:cstheme="minorHAnsi"/>
          <w:iCs/>
          <w:color w:val="auto"/>
          <w:sz w:val="22"/>
          <w:szCs w:val="22"/>
          <w:lang w:eastAsia="en-US"/>
        </w:rPr>
        <w:t>Entre otras, se pueden citar la Decisión 1/CP.27, párrafos 40 y 41; Decisión 2/CP.27, párrafo 12; Decisión 1/CMA.4, párrafos 61 y 62; Decisión 2/CMA.4, párrafo 12.</w:t>
      </w:r>
    </w:p>
    <w:p w14:paraId="3C8D32D3" w14:textId="77777777" w:rsidR="003733FE" w:rsidRPr="003733FE" w:rsidRDefault="003733FE" w:rsidP="003733FE">
      <w:pPr>
        <w:pStyle w:val="Default"/>
        <w:ind w:firstLine="360"/>
        <w:jc w:val="both"/>
        <w:rPr>
          <w:rFonts w:asciiTheme="minorHAnsi" w:eastAsiaTheme="minorHAnsi" w:hAnsiTheme="minorHAnsi" w:cstheme="minorHAnsi"/>
          <w:iCs/>
          <w:color w:val="auto"/>
          <w:sz w:val="22"/>
          <w:szCs w:val="22"/>
          <w:lang w:eastAsia="en-US"/>
        </w:rPr>
      </w:pPr>
    </w:p>
    <w:p w14:paraId="0FE39D79" w14:textId="77777777" w:rsidR="004C3DA6" w:rsidRDefault="004C3DA6" w:rsidP="004C3DA6">
      <w:pPr>
        <w:pStyle w:val="Default"/>
        <w:numPr>
          <w:ilvl w:val="0"/>
          <w:numId w:val="6"/>
        </w:numPr>
        <w:jc w:val="both"/>
        <w:rPr>
          <w:rFonts w:asciiTheme="minorHAnsi" w:eastAsiaTheme="minorHAnsi" w:hAnsiTheme="minorHAnsi" w:cstheme="minorHAnsi"/>
          <w:b/>
          <w:iCs/>
          <w:color w:val="auto"/>
          <w:sz w:val="22"/>
          <w:szCs w:val="22"/>
          <w:lang w:eastAsia="en-US"/>
        </w:rPr>
      </w:pPr>
      <w:r w:rsidRPr="004C3DA6">
        <w:rPr>
          <w:rFonts w:asciiTheme="minorHAnsi" w:eastAsiaTheme="minorHAnsi" w:hAnsiTheme="minorHAnsi" w:cstheme="minorHAnsi"/>
          <w:b/>
          <w:iCs/>
          <w:color w:val="auto"/>
          <w:sz w:val="22"/>
          <w:szCs w:val="22"/>
          <w:lang w:eastAsia="en-US"/>
        </w:rPr>
        <w:t xml:space="preserve">Cuál es la base jurídica y/o moral para que los Estados y otros actores, incluidas las empresas, contribuyan al Fondo para pérdidas y daños relacionados con el cambio climático? </w:t>
      </w:r>
    </w:p>
    <w:p w14:paraId="2A1CF61D" w14:textId="77777777" w:rsidR="00C415A4" w:rsidRDefault="00C415A4" w:rsidP="00C415A4">
      <w:pPr>
        <w:pStyle w:val="Default"/>
        <w:ind w:left="360"/>
        <w:jc w:val="both"/>
        <w:rPr>
          <w:rFonts w:asciiTheme="minorHAnsi" w:eastAsiaTheme="minorHAnsi" w:hAnsiTheme="minorHAnsi" w:cstheme="minorHAnsi"/>
          <w:b/>
          <w:iCs/>
          <w:color w:val="auto"/>
          <w:sz w:val="22"/>
          <w:szCs w:val="22"/>
          <w:lang w:eastAsia="en-US"/>
        </w:rPr>
      </w:pPr>
    </w:p>
    <w:p w14:paraId="341A7121" w14:textId="77777777" w:rsidR="00ED4063" w:rsidRDefault="00ED4063" w:rsidP="00ED4063">
      <w:pPr>
        <w:pStyle w:val="Default"/>
        <w:ind w:firstLine="360"/>
        <w:jc w:val="both"/>
        <w:rPr>
          <w:rFonts w:asciiTheme="minorHAnsi" w:eastAsiaTheme="minorHAnsi" w:hAnsiTheme="minorHAnsi" w:cstheme="minorHAnsi"/>
          <w:iCs/>
          <w:color w:val="auto"/>
          <w:sz w:val="22"/>
          <w:szCs w:val="22"/>
          <w:lang w:eastAsia="en-US"/>
        </w:rPr>
      </w:pPr>
      <w:r w:rsidRPr="00ED4063">
        <w:rPr>
          <w:rFonts w:asciiTheme="minorHAnsi" w:eastAsiaTheme="minorHAnsi" w:hAnsiTheme="minorHAnsi" w:cstheme="minorHAnsi"/>
          <w:iCs/>
          <w:color w:val="auto"/>
          <w:sz w:val="22"/>
          <w:szCs w:val="22"/>
          <w:lang w:eastAsia="en-US"/>
        </w:rPr>
        <w:t>El Acuerdo de París regula las pérdidas y daños en su artículo 8. Su primer apartado establece que “las Partes reconocen la importancia de evitar, reducir al mínimo y afrontar las pérdidas y los daños relacionados con los efectos adversos del cambio climático, incluidos los fenómenos meteorológicos extremos y los fenómenos de evolución lenta, y la contribución del desarrollo sostenible a la reducción del riesgo de pérdidas y daños.”</w:t>
      </w:r>
    </w:p>
    <w:p w14:paraId="7572DA79" w14:textId="77777777" w:rsidR="00ED4063" w:rsidRPr="00ED4063" w:rsidRDefault="00ED4063" w:rsidP="00ED4063">
      <w:pPr>
        <w:pStyle w:val="Default"/>
        <w:ind w:firstLine="360"/>
        <w:jc w:val="both"/>
        <w:rPr>
          <w:rFonts w:asciiTheme="minorHAnsi" w:eastAsiaTheme="minorHAnsi" w:hAnsiTheme="minorHAnsi" w:cstheme="minorHAnsi"/>
          <w:iCs/>
          <w:color w:val="auto"/>
          <w:sz w:val="22"/>
          <w:szCs w:val="22"/>
          <w:lang w:eastAsia="en-US"/>
        </w:rPr>
      </w:pPr>
    </w:p>
    <w:p w14:paraId="52344BD7" w14:textId="77777777" w:rsidR="00ED4063" w:rsidRPr="00ED4063" w:rsidRDefault="00ED4063" w:rsidP="00EC17A8">
      <w:pPr>
        <w:pStyle w:val="Default"/>
        <w:ind w:firstLine="360"/>
        <w:jc w:val="both"/>
        <w:rPr>
          <w:rFonts w:asciiTheme="minorHAnsi" w:eastAsiaTheme="minorHAnsi" w:hAnsiTheme="minorHAnsi" w:cstheme="minorHAnsi"/>
          <w:iCs/>
          <w:color w:val="auto"/>
          <w:sz w:val="22"/>
          <w:szCs w:val="22"/>
          <w:lang w:eastAsia="en-US"/>
        </w:rPr>
      </w:pPr>
      <w:r w:rsidRPr="00ED4063">
        <w:rPr>
          <w:rFonts w:asciiTheme="minorHAnsi" w:eastAsiaTheme="minorHAnsi" w:hAnsiTheme="minorHAnsi" w:cstheme="minorHAnsi"/>
          <w:iCs/>
          <w:color w:val="auto"/>
          <w:sz w:val="22"/>
          <w:szCs w:val="22"/>
          <w:lang w:eastAsia="en-US"/>
        </w:rPr>
        <w:t>En la COP 27</w:t>
      </w:r>
      <w:r>
        <w:rPr>
          <w:rStyle w:val="FootnoteReference"/>
          <w:rFonts w:asciiTheme="minorHAnsi" w:eastAsiaTheme="minorHAnsi" w:hAnsiTheme="minorHAnsi" w:cstheme="minorHAnsi"/>
          <w:iCs/>
          <w:color w:val="auto"/>
          <w:sz w:val="22"/>
          <w:szCs w:val="22"/>
          <w:lang w:eastAsia="en-US"/>
        </w:rPr>
        <w:footnoteReference w:id="1"/>
      </w:r>
      <w:r w:rsidRPr="00ED4063">
        <w:rPr>
          <w:rFonts w:asciiTheme="minorHAnsi" w:eastAsiaTheme="minorHAnsi" w:hAnsiTheme="minorHAnsi" w:cstheme="minorHAnsi"/>
          <w:iCs/>
          <w:color w:val="auto"/>
          <w:sz w:val="22"/>
          <w:szCs w:val="22"/>
          <w:lang w:eastAsia="en-US"/>
        </w:rPr>
        <w:t xml:space="preserve"> de Sharm el Sheijk se adoptaron la Decisión 2/COP.27 y la Decisión 2/CMA.4, en las que se acordó el establecimiento de un fondo para responder a las pérdidas y daños.</w:t>
      </w:r>
      <w:r w:rsidR="00EC17A8">
        <w:rPr>
          <w:rFonts w:asciiTheme="minorHAnsi" w:eastAsiaTheme="minorHAnsi" w:hAnsiTheme="minorHAnsi" w:cstheme="minorHAnsi"/>
          <w:iCs/>
          <w:color w:val="auto"/>
          <w:sz w:val="22"/>
          <w:szCs w:val="22"/>
          <w:lang w:eastAsia="en-US"/>
        </w:rPr>
        <w:t xml:space="preserve"> Este</w:t>
      </w:r>
      <w:r w:rsidRPr="00ED4063">
        <w:rPr>
          <w:rFonts w:asciiTheme="minorHAnsi" w:eastAsiaTheme="minorHAnsi" w:hAnsiTheme="minorHAnsi" w:cstheme="minorHAnsi"/>
          <w:iCs/>
          <w:color w:val="auto"/>
          <w:sz w:val="22"/>
          <w:szCs w:val="22"/>
          <w:lang w:eastAsia="en-US"/>
        </w:rPr>
        <w:t xml:space="preserve"> Fondo puede recibir contribuciones de diferentes fuentes de financiación, incluyendo subvenciones y créditos concesionales de fuentes públicas, privadas e innovadoras, con periodos de reposición cada 4 años. Se urge a las Partes que son países desarrollados a continuar dando su apoyo y se alienta a que otras Partes signatarias también lo hagan. Si bien no se "obliga" a los países desarrollados a aportar, las aportaciones de los países en desarrollo quedan enmarcadas en la voluntariedad (los países desarrollados están invitados a continuar liderando las aportaciones financieras).</w:t>
      </w:r>
    </w:p>
    <w:p w14:paraId="2EA721E5" w14:textId="77777777" w:rsidR="00ED4063" w:rsidRDefault="00ED4063" w:rsidP="00ED4063">
      <w:pPr>
        <w:pStyle w:val="Default"/>
        <w:ind w:firstLine="360"/>
        <w:jc w:val="both"/>
        <w:rPr>
          <w:rFonts w:asciiTheme="minorHAnsi" w:eastAsiaTheme="minorHAnsi" w:hAnsiTheme="minorHAnsi" w:cstheme="minorHAnsi"/>
          <w:iCs/>
          <w:color w:val="auto"/>
          <w:sz w:val="22"/>
          <w:szCs w:val="22"/>
          <w:lang w:eastAsia="en-US"/>
        </w:rPr>
      </w:pPr>
    </w:p>
    <w:p w14:paraId="5CCC2136" w14:textId="77777777" w:rsidR="00ED4063" w:rsidRPr="00ED4063" w:rsidRDefault="00636C63" w:rsidP="00ED4063">
      <w:pPr>
        <w:pStyle w:val="Default"/>
        <w:ind w:firstLine="360"/>
        <w:jc w:val="both"/>
        <w:rPr>
          <w:rFonts w:asciiTheme="minorHAnsi" w:eastAsiaTheme="minorHAnsi" w:hAnsiTheme="minorHAnsi" w:cstheme="minorHAnsi"/>
          <w:iCs/>
          <w:color w:val="auto"/>
          <w:sz w:val="22"/>
          <w:szCs w:val="22"/>
          <w:lang w:eastAsia="en-US"/>
        </w:rPr>
      </w:pPr>
      <w:r>
        <w:rPr>
          <w:rFonts w:asciiTheme="minorHAnsi" w:eastAsiaTheme="minorHAnsi" w:hAnsiTheme="minorHAnsi" w:cstheme="minorHAnsi"/>
          <w:iCs/>
          <w:color w:val="auto"/>
          <w:sz w:val="22"/>
          <w:szCs w:val="22"/>
          <w:lang w:eastAsia="en-US"/>
        </w:rPr>
        <w:lastRenderedPageBreak/>
        <w:t>Por otro lado</w:t>
      </w:r>
      <w:r w:rsidR="00ED4063" w:rsidRPr="00ED4063">
        <w:rPr>
          <w:rFonts w:asciiTheme="minorHAnsi" w:eastAsiaTheme="minorHAnsi" w:hAnsiTheme="minorHAnsi" w:cstheme="minorHAnsi"/>
          <w:iCs/>
          <w:color w:val="auto"/>
          <w:sz w:val="22"/>
          <w:szCs w:val="22"/>
          <w:lang w:eastAsia="en-US"/>
        </w:rPr>
        <w:t xml:space="preserve">, todos los países, incluyendo los países en desarrollo, pueden fomentar la movilización de flujos financieros provenientes de actores privados para así responder a las pérdidas y los daños derivados del cambio climático. </w:t>
      </w:r>
    </w:p>
    <w:p w14:paraId="1E22F859" w14:textId="77777777" w:rsidR="00FD21AB" w:rsidRDefault="00FD21AB" w:rsidP="00EC17A8">
      <w:pPr>
        <w:pStyle w:val="Default"/>
        <w:jc w:val="both"/>
        <w:rPr>
          <w:rFonts w:asciiTheme="minorHAnsi" w:eastAsiaTheme="minorHAnsi" w:hAnsiTheme="minorHAnsi" w:cstheme="minorHAnsi"/>
          <w:iCs/>
          <w:color w:val="auto"/>
          <w:sz w:val="22"/>
          <w:szCs w:val="22"/>
          <w:lang w:eastAsia="en-US"/>
        </w:rPr>
      </w:pPr>
    </w:p>
    <w:p w14:paraId="3E9E3F1B" w14:textId="77777777" w:rsidR="00C42ACA" w:rsidRDefault="004C3DA6" w:rsidP="00EC17A8">
      <w:pPr>
        <w:pStyle w:val="Default"/>
        <w:numPr>
          <w:ilvl w:val="0"/>
          <w:numId w:val="6"/>
        </w:numPr>
        <w:jc w:val="both"/>
        <w:rPr>
          <w:rFonts w:asciiTheme="minorHAnsi" w:eastAsiaTheme="minorHAnsi" w:hAnsiTheme="minorHAnsi" w:cstheme="minorHAnsi"/>
          <w:b/>
          <w:iCs/>
          <w:color w:val="auto"/>
          <w:sz w:val="22"/>
          <w:szCs w:val="22"/>
          <w:lang w:eastAsia="en-US"/>
        </w:rPr>
      </w:pPr>
      <w:r w:rsidRPr="004C3DA6">
        <w:rPr>
          <w:rFonts w:asciiTheme="minorHAnsi" w:eastAsiaTheme="minorHAnsi" w:hAnsiTheme="minorHAnsi" w:cstheme="minorHAnsi"/>
          <w:b/>
          <w:iCs/>
          <w:color w:val="auto"/>
          <w:sz w:val="22"/>
          <w:szCs w:val="22"/>
          <w:lang w:eastAsia="en-US"/>
        </w:rPr>
        <w:t>Además de hacer una contribución financiera al Fondo, ¿qué componentes no financieros pueden ser relevantes desde una perspectiva de justicia climática (por ejemplo, transferencia de tecnologías verdes, creación de capacidad y vías de reubicación para los</w:t>
      </w:r>
      <w:r>
        <w:rPr>
          <w:rFonts w:asciiTheme="minorHAnsi" w:eastAsiaTheme="minorHAnsi" w:hAnsiTheme="minorHAnsi" w:cstheme="minorHAnsi"/>
          <w:b/>
          <w:iCs/>
          <w:color w:val="auto"/>
          <w:sz w:val="22"/>
          <w:szCs w:val="22"/>
          <w:lang w:eastAsia="en-US"/>
        </w:rPr>
        <w:t xml:space="preserve"> </w:t>
      </w:r>
      <w:r w:rsidRPr="004C3DA6">
        <w:rPr>
          <w:rFonts w:asciiTheme="minorHAnsi" w:eastAsiaTheme="minorHAnsi" w:hAnsiTheme="minorHAnsi" w:cstheme="minorHAnsi"/>
          <w:b/>
          <w:iCs/>
          <w:color w:val="auto"/>
          <w:sz w:val="22"/>
          <w:szCs w:val="22"/>
          <w:lang w:eastAsia="en-US"/>
        </w:rPr>
        <w:t xml:space="preserve">migrantes inducidos por el clima)? </w:t>
      </w:r>
    </w:p>
    <w:p w14:paraId="57E7C14E" w14:textId="77777777" w:rsidR="00EC17A8" w:rsidRPr="00EC17A8" w:rsidRDefault="00EC17A8" w:rsidP="00EC17A8">
      <w:pPr>
        <w:pStyle w:val="Default"/>
        <w:ind w:left="360"/>
        <w:jc w:val="both"/>
        <w:rPr>
          <w:rFonts w:asciiTheme="minorHAnsi" w:eastAsiaTheme="minorHAnsi" w:hAnsiTheme="minorHAnsi" w:cstheme="minorHAnsi"/>
          <w:b/>
          <w:iCs/>
          <w:color w:val="auto"/>
          <w:sz w:val="22"/>
          <w:szCs w:val="22"/>
          <w:lang w:eastAsia="en-US"/>
        </w:rPr>
      </w:pPr>
    </w:p>
    <w:p w14:paraId="70EFA6A6" w14:textId="77777777" w:rsidR="00C42ACA" w:rsidRPr="00C42ACA" w:rsidRDefault="00C42ACA" w:rsidP="00C42ACA">
      <w:pPr>
        <w:pStyle w:val="Default"/>
        <w:ind w:firstLine="360"/>
        <w:jc w:val="both"/>
        <w:rPr>
          <w:rFonts w:asciiTheme="minorHAnsi" w:eastAsiaTheme="minorHAnsi" w:hAnsiTheme="minorHAnsi" w:cstheme="minorHAnsi"/>
          <w:iCs/>
          <w:color w:val="auto"/>
          <w:sz w:val="22"/>
          <w:szCs w:val="22"/>
          <w:lang w:eastAsia="en-US"/>
        </w:rPr>
      </w:pPr>
      <w:r w:rsidRPr="00C42ACA">
        <w:rPr>
          <w:rFonts w:asciiTheme="minorHAnsi" w:eastAsiaTheme="minorHAnsi" w:hAnsiTheme="minorHAnsi" w:cstheme="minorHAnsi"/>
          <w:iCs/>
          <w:color w:val="auto"/>
          <w:sz w:val="22"/>
          <w:szCs w:val="22"/>
          <w:lang w:eastAsia="en-US"/>
        </w:rPr>
        <w:t>El artículo 8 del Acuerdo de París prevé una serie de áreas en las que se debería actuar de manera cooperativa y facultativa para mejorar la comprensión, las medidas y el apoyo en relación con las pérdidas y los daños. Entre las áreas contempladas se incluyen los sistemas de alerta temprana, la preparación para situaciones de emergencia, los fenómenos de evolución lenta, aquellos que puedan producir pérdidas y daños permanentes o irreversibles, la evaluación y gestión integral del riesgo, los servicios de riesgos, las pérdidas no económicas y la resiliencia de las comunidades, los medios de vida y los ecosistemas.</w:t>
      </w:r>
    </w:p>
    <w:p w14:paraId="34D91BED" w14:textId="77777777" w:rsidR="00633FB4" w:rsidRDefault="00633FB4" w:rsidP="00C42ACA">
      <w:pPr>
        <w:pStyle w:val="Default"/>
        <w:ind w:firstLine="360"/>
        <w:jc w:val="both"/>
        <w:rPr>
          <w:rFonts w:asciiTheme="minorHAnsi" w:eastAsiaTheme="minorHAnsi" w:hAnsiTheme="minorHAnsi" w:cstheme="minorHAnsi"/>
          <w:iCs/>
          <w:color w:val="auto"/>
          <w:sz w:val="22"/>
          <w:szCs w:val="22"/>
          <w:lang w:eastAsia="en-US"/>
        </w:rPr>
      </w:pPr>
    </w:p>
    <w:p w14:paraId="0811230D" w14:textId="77777777" w:rsidR="00C42ACA" w:rsidRDefault="00C42ACA" w:rsidP="00C42ACA">
      <w:pPr>
        <w:pStyle w:val="Default"/>
        <w:ind w:firstLine="360"/>
        <w:jc w:val="both"/>
        <w:rPr>
          <w:rFonts w:asciiTheme="minorHAnsi" w:eastAsiaTheme="minorHAnsi" w:hAnsiTheme="minorHAnsi" w:cstheme="minorHAnsi"/>
          <w:iCs/>
          <w:color w:val="auto"/>
          <w:sz w:val="22"/>
          <w:szCs w:val="22"/>
          <w:lang w:eastAsia="en-US"/>
        </w:rPr>
      </w:pPr>
      <w:r w:rsidRPr="00C42ACA">
        <w:rPr>
          <w:rFonts w:asciiTheme="minorHAnsi" w:eastAsiaTheme="minorHAnsi" w:hAnsiTheme="minorHAnsi" w:cstheme="minorHAnsi"/>
          <w:iCs/>
          <w:color w:val="auto"/>
          <w:sz w:val="22"/>
          <w:szCs w:val="22"/>
          <w:lang w:eastAsia="en-US"/>
        </w:rPr>
        <w:t>Además</w:t>
      </w:r>
      <w:r w:rsidR="00636C63">
        <w:rPr>
          <w:rFonts w:asciiTheme="minorHAnsi" w:eastAsiaTheme="minorHAnsi" w:hAnsiTheme="minorHAnsi" w:cstheme="minorHAnsi"/>
          <w:iCs/>
          <w:color w:val="auto"/>
          <w:sz w:val="22"/>
          <w:szCs w:val="22"/>
          <w:lang w:eastAsia="en-US"/>
        </w:rPr>
        <w:t>, la Decisión 2/CP.19 constituye</w:t>
      </w:r>
      <w:r w:rsidR="00E21ED5">
        <w:rPr>
          <w:rFonts w:asciiTheme="minorHAnsi" w:eastAsiaTheme="minorHAnsi" w:hAnsiTheme="minorHAnsi" w:cstheme="minorHAnsi"/>
          <w:iCs/>
          <w:color w:val="auto"/>
          <w:sz w:val="22"/>
          <w:szCs w:val="22"/>
          <w:lang w:eastAsia="en-US"/>
        </w:rPr>
        <w:t xml:space="preserve"> el Mecanismo</w:t>
      </w:r>
      <w:r w:rsidRPr="00C42ACA">
        <w:rPr>
          <w:rFonts w:asciiTheme="minorHAnsi" w:eastAsiaTheme="minorHAnsi" w:hAnsiTheme="minorHAnsi" w:cstheme="minorHAnsi"/>
          <w:iCs/>
          <w:color w:val="auto"/>
          <w:sz w:val="22"/>
          <w:szCs w:val="22"/>
          <w:lang w:eastAsia="en-US"/>
        </w:rPr>
        <w:t xml:space="preserve"> Internacional de Varsovia (contemplado también en el a</w:t>
      </w:r>
      <w:r w:rsidR="00E21ED5">
        <w:rPr>
          <w:rFonts w:asciiTheme="minorHAnsi" w:eastAsiaTheme="minorHAnsi" w:hAnsiTheme="minorHAnsi" w:cstheme="minorHAnsi"/>
          <w:iCs/>
          <w:color w:val="auto"/>
          <w:sz w:val="22"/>
          <w:szCs w:val="22"/>
          <w:lang w:eastAsia="en-US"/>
        </w:rPr>
        <w:t>rtículo 8 del Acuerdo de París)</w:t>
      </w:r>
      <w:r w:rsidRPr="00C42ACA">
        <w:rPr>
          <w:rFonts w:asciiTheme="minorHAnsi" w:eastAsiaTheme="minorHAnsi" w:hAnsiTheme="minorHAnsi" w:cstheme="minorHAnsi"/>
          <w:iCs/>
          <w:color w:val="auto"/>
          <w:sz w:val="22"/>
          <w:szCs w:val="22"/>
          <w:lang w:eastAsia="en-US"/>
        </w:rPr>
        <w:t xml:space="preserve"> para promover la aplicación de enfoques para hacer frente a las pérdidas y los daños relacionados con los efectos adversos de</w:t>
      </w:r>
      <w:r w:rsidR="00E21ED5">
        <w:rPr>
          <w:rFonts w:asciiTheme="minorHAnsi" w:eastAsiaTheme="minorHAnsi" w:hAnsiTheme="minorHAnsi" w:cstheme="minorHAnsi"/>
          <w:iCs/>
          <w:color w:val="auto"/>
          <w:sz w:val="22"/>
          <w:szCs w:val="22"/>
          <w:lang w:eastAsia="en-US"/>
        </w:rPr>
        <w:t>l cambio climático, que desempeña</w:t>
      </w:r>
      <w:r w:rsidRPr="00C42ACA">
        <w:rPr>
          <w:rFonts w:asciiTheme="minorHAnsi" w:eastAsiaTheme="minorHAnsi" w:hAnsiTheme="minorHAnsi" w:cstheme="minorHAnsi"/>
          <w:iCs/>
          <w:color w:val="auto"/>
          <w:sz w:val="22"/>
          <w:szCs w:val="22"/>
          <w:lang w:eastAsia="en-US"/>
        </w:rPr>
        <w:t>, entre otras, las siguientes funciones:</w:t>
      </w:r>
    </w:p>
    <w:p w14:paraId="147A55EF" w14:textId="77777777" w:rsidR="00C42ACA" w:rsidRPr="00C42ACA" w:rsidRDefault="00C42ACA" w:rsidP="00C42ACA">
      <w:pPr>
        <w:pStyle w:val="Default"/>
        <w:ind w:firstLine="360"/>
        <w:jc w:val="both"/>
        <w:rPr>
          <w:rFonts w:asciiTheme="minorHAnsi" w:eastAsiaTheme="minorHAnsi" w:hAnsiTheme="minorHAnsi" w:cstheme="minorHAnsi"/>
          <w:iCs/>
          <w:color w:val="auto"/>
          <w:sz w:val="22"/>
          <w:szCs w:val="22"/>
          <w:lang w:eastAsia="en-US"/>
        </w:rPr>
      </w:pPr>
    </w:p>
    <w:p w14:paraId="343F6BBF" w14:textId="77777777" w:rsidR="00C42ACA" w:rsidRDefault="00C42ACA" w:rsidP="00C42ACA">
      <w:pPr>
        <w:pStyle w:val="Default"/>
        <w:numPr>
          <w:ilvl w:val="0"/>
          <w:numId w:val="9"/>
        </w:numPr>
        <w:jc w:val="both"/>
        <w:rPr>
          <w:rFonts w:asciiTheme="minorHAnsi" w:eastAsiaTheme="minorHAnsi" w:hAnsiTheme="minorHAnsi" w:cstheme="minorHAnsi"/>
          <w:iCs/>
          <w:color w:val="auto"/>
          <w:sz w:val="22"/>
          <w:szCs w:val="22"/>
          <w:lang w:eastAsia="en-US"/>
        </w:rPr>
      </w:pPr>
      <w:r w:rsidRPr="00C42ACA">
        <w:rPr>
          <w:rFonts w:asciiTheme="minorHAnsi" w:eastAsiaTheme="minorHAnsi" w:hAnsiTheme="minorHAnsi" w:cstheme="minorHAnsi"/>
          <w:iCs/>
          <w:color w:val="auto"/>
          <w:sz w:val="22"/>
          <w:szCs w:val="22"/>
          <w:lang w:eastAsia="en-US"/>
        </w:rPr>
        <w:t>Mejorar el conocimiento y la comprensión de los enfoques integrales de gestión del riesgo para hacer frente a las pérdidas y los daños relacionados con los efectos adversos del cambio climático. En concreto:</w:t>
      </w:r>
    </w:p>
    <w:p w14:paraId="00154187" w14:textId="77777777" w:rsidR="00EC17A8" w:rsidRPr="00C42ACA" w:rsidRDefault="00EC17A8" w:rsidP="00EC17A8">
      <w:pPr>
        <w:pStyle w:val="Default"/>
        <w:ind w:left="360"/>
        <w:jc w:val="both"/>
        <w:rPr>
          <w:rFonts w:asciiTheme="minorHAnsi" w:eastAsiaTheme="minorHAnsi" w:hAnsiTheme="minorHAnsi" w:cstheme="minorHAnsi"/>
          <w:iCs/>
          <w:color w:val="auto"/>
          <w:sz w:val="22"/>
          <w:szCs w:val="22"/>
          <w:lang w:eastAsia="en-US"/>
        </w:rPr>
      </w:pPr>
    </w:p>
    <w:p w14:paraId="4A7F81ED" w14:textId="77777777" w:rsidR="00C42ACA" w:rsidRPr="00C42ACA" w:rsidRDefault="00C42ACA" w:rsidP="00EC17A8">
      <w:pPr>
        <w:pStyle w:val="Default"/>
        <w:numPr>
          <w:ilvl w:val="1"/>
          <w:numId w:val="9"/>
        </w:numPr>
        <w:jc w:val="both"/>
        <w:rPr>
          <w:rFonts w:asciiTheme="minorHAnsi" w:eastAsiaTheme="minorHAnsi" w:hAnsiTheme="minorHAnsi" w:cstheme="minorHAnsi"/>
          <w:iCs/>
          <w:color w:val="auto"/>
          <w:sz w:val="22"/>
          <w:szCs w:val="22"/>
          <w:lang w:eastAsia="en-US"/>
        </w:rPr>
      </w:pPr>
      <w:r w:rsidRPr="00C42ACA">
        <w:rPr>
          <w:rFonts w:asciiTheme="minorHAnsi" w:eastAsiaTheme="minorHAnsi" w:hAnsiTheme="minorHAnsi" w:cstheme="minorHAnsi"/>
          <w:iCs/>
          <w:color w:val="auto"/>
          <w:sz w:val="22"/>
          <w:szCs w:val="22"/>
          <w:lang w:eastAsia="en-US"/>
        </w:rPr>
        <w:t>Fortalecer el diálogo, la coordinación, la coherencia y las sinergias entre actores, con vistas a promover la cooperación y la colaboración en los trabajos y las actividades realizados a ese respecto en todos los niveles.</w:t>
      </w:r>
    </w:p>
    <w:p w14:paraId="18A84F8C" w14:textId="77777777" w:rsidR="00C415A4" w:rsidRDefault="00C42ACA" w:rsidP="00C415A4">
      <w:pPr>
        <w:pStyle w:val="Default"/>
        <w:numPr>
          <w:ilvl w:val="1"/>
          <w:numId w:val="9"/>
        </w:numPr>
        <w:jc w:val="both"/>
        <w:rPr>
          <w:rFonts w:asciiTheme="minorHAnsi" w:eastAsiaTheme="minorHAnsi" w:hAnsiTheme="minorHAnsi" w:cstheme="minorHAnsi"/>
          <w:iCs/>
          <w:color w:val="auto"/>
          <w:sz w:val="22"/>
          <w:szCs w:val="22"/>
          <w:lang w:eastAsia="en-US"/>
        </w:rPr>
      </w:pPr>
      <w:r w:rsidRPr="00C42ACA">
        <w:rPr>
          <w:rFonts w:asciiTheme="minorHAnsi" w:eastAsiaTheme="minorHAnsi" w:hAnsiTheme="minorHAnsi" w:cstheme="minorHAnsi"/>
          <w:iCs/>
          <w:color w:val="auto"/>
          <w:sz w:val="22"/>
          <w:szCs w:val="22"/>
          <w:lang w:eastAsia="en-US"/>
        </w:rPr>
        <w:t>Intensificar las medidas y el apoyo en materia de financiación, tecnología y fomento de capacidades, para hacer frente a las pérdidas y los daños.</w:t>
      </w:r>
    </w:p>
    <w:p w14:paraId="0C0064EF" w14:textId="77777777" w:rsidR="00EC17A8" w:rsidRPr="00EC17A8" w:rsidRDefault="00EC17A8" w:rsidP="00EC17A8">
      <w:pPr>
        <w:pStyle w:val="Default"/>
        <w:ind w:left="1080"/>
        <w:jc w:val="both"/>
        <w:rPr>
          <w:rFonts w:asciiTheme="minorHAnsi" w:eastAsiaTheme="minorHAnsi" w:hAnsiTheme="minorHAnsi" w:cstheme="minorHAnsi"/>
          <w:iCs/>
          <w:color w:val="auto"/>
          <w:sz w:val="22"/>
          <w:szCs w:val="22"/>
          <w:lang w:eastAsia="en-US"/>
        </w:rPr>
      </w:pPr>
    </w:p>
    <w:p w14:paraId="062CEBB6" w14:textId="77777777" w:rsidR="004C3DA6" w:rsidRDefault="004C3DA6" w:rsidP="00633FB4">
      <w:pPr>
        <w:pStyle w:val="Default"/>
        <w:numPr>
          <w:ilvl w:val="0"/>
          <w:numId w:val="6"/>
        </w:numPr>
        <w:jc w:val="both"/>
        <w:rPr>
          <w:rFonts w:asciiTheme="minorHAnsi" w:eastAsiaTheme="minorHAnsi" w:hAnsiTheme="minorHAnsi" w:cstheme="minorHAnsi"/>
          <w:b/>
          <w:iCs/>
          <w:color w:val="auto"/>
          <w:sz w:val="22"/>
          <w:szCs w:val="22"/>
          <w:lang w:eastAsia="en-US"/>
        </w:rPr>
      </w:pPr>
      <w:r w:rsidRPr="004C3DA6">
        <w:rPr>
          <w:rFonts w:asciiTheme="minorHAnsi" w:eastAsiaTheme="minorHAnsi" w:hAnsiTheme="minorHAnsi" w:cstheme="minorHAnsi"/>
          <w:b/>
          <w:iCs/>
          <w:color w:val="auto"/>
          <w:sz w:val="22"/>
          <w:szCs w:val="22"/>
          <w:lang w:eastAsia="en-US"/>
        </w:rPr>
        <w:t xml:space="preserve">¿Cómo debería ser un enfoque basado en los derechos humanos para hacer operativo y administrar el Fondo (por ejemplo, la integración de consideraciones como la accesibilidad, la no discriminación, la representación justa en la toma de decisiones, la sensibilidad de género y la adaptación a las comunidades marginadas y a los países especialmente vulnerables a los efectos adversos del cambio climático)? </w:t>
      </w:r>
    </w:p>
    <w:p w14:paraId="045B5227" w14:textId="77777777" w:rsidR="00EC17A8" w:rsidRPr="00EC17A8" w:rsidRDefault="00EC17A8" w:rsidP="00EC17A8">
      <w:pPr>
        <w:pStyle w:val="Default"/>
        <w:ind w:left="360"/>
        <w:jc w:val="both"/>
        <w:rPr>
          <w:rFonts w:asciiTheme="minorHAnsi" w:eastAsiaTheme="minorHAnsi" w:hAnsiTheme="minorHAnsi" w:cstheme="minorHAnsi"/>
          <w:b/>
          <w:iCs/>
          <w:color w:val="auto"/>
          <w:sz w:val="22"/>
          <w:szCs w:val="22"/>
          <w:lang w:eastAsia="en-US"/>
        </w:rPr>
      </w:pPr>
    </w:p>
    <w:p w14:paraId="3E6B5C03" w14:textId="77777777" w:rsidR="00FC6DA7" w:rsidRDefault="00633FB4" w:rsidP="00FC6DA7">
      <w:pPr>
        <w:pStyle w:val="Default"/>
        <w:ind w:firstLine="360"/>
        <w:jc w:val="both"/>
        <w:rPr>
          <w:rFonts w:asciiTheme="minorHAnsi" w:eastAsiaTheme="minorHAnsi" w:hAnsiTheme="minorHAnsi" w:cstheme="minorHAnsi"/>
          <w:iCs/>
          <w:color w:val="auto"/>
          <w:sz w:val="22"/>
          <w:szCs w:val="22"/>
          <w:lang w:eastAsia="en-US"/>
        </w:rPr>
      </w:pPr>
      <w:r w:rsidRPr="00FC6DA7">
        <w:rPr>
          <w:rFonts w:asciiTheme="minorHAnsi" w:eastAsiaTheme="minorHAnsi" w:hAnsiTheme="minorHAnsi" w:cstheme="minorHAnsi"/>
          <w:iCs/>
          <w:color w:val="auto"/>
          <w:sz w:val="22"/>
          <w:szCs w:val="22"/>
          <w:lang w:eastAsia="en-US"/>
        </w:rPr>
        <w:t xml:space="preserve">El Consejo del Fondo está dotado de personalidad jurídica propia y compuesto por 26 miembros: 12 de países desarrollados y 14 de países en desarrollo. Estos últimos repartidos por distintos grupos regionales (3 de Asia-Pacífico, 3 de África, 3 de América Latina y Caribe, 2 de los SIDS, 2 de los LDC y un representante de un país en desarrollo no incluido en los grupos anteriores). Esta representatividad geográfica permite garantizar la accesibilidad y una representación justa en la toma de decisiones, especialmente de aquellos países más vulnerables a los efectos del cambio climático. </w:t>
      </w:r>
    </w:p>
    <w:p w14:paraId="37B5C19F" w14:textId="77777777" w:rsidR="00EC17A8" w:rsidRDefault="00EC17A8" w:rsidP="00FC6DA7">
      <w:pPr>
        <w:pStyle w:val="Default"/>
        <w:ind w:firstLine="360"/>
        <w:jc w:val="both"/>
        <w:rPr>
          <w:rFonts w:asciiTheme="minorHAnsi" w:eastAsiaTheme="minorHAnsi" w:hAnsiTheme="minorHAnsi" w:cstheme="minorHAnsi"/>
          <w:iCs/>
          <w:color w:val="auto"/>
          <w:sz w:val="22"/>
          <w:szCs w:val="22"/>
          <w:lang w:eastAsia="en-US"/>
        </w:rPr>
      </w:pPr>
    </w:p>
    <w:p w14:paraId="52D1C521" w14:textId="77777777" w:rsidR="00633FB4" w:rsidRPr="00FC6DA7" w:rsidRDefault="00633FB4" w:rsidP="00FC6DA7">
      <w:pPr>
        <w:pStyle w:val="Default"/>
        <w:ind w:firstLine="360"/>
        <w:jc w:val="both"/>
        <w:rPr>
          <w:rFonts w:asciiTheme="minorHAnsi" w:eastAsiaTheme="minorHAnsi" w:hAnsiTheme="minorHAnsi" w:cstheme="minorHAnsi"/>
          <w:iCs/>
          <w:color w:val="auto"/>
          <w:sz w:val="22"/>
          <w:szCs w:val="22"/>
          <w:lang w:eastAsia="en-US"/>
        </w:rPr>
      </w:pPr>
      <w:r w:rsidRPr="00FC6DA7">
        <w:rPr>
          <w:rFonts w:asciiTheme="minorHAnsi" w:eastAsiaTheme="minorHAnsi" w:hAnsiTheme="minorHAnsi" w:cstheme="minorHAnsi"/>
          <w:iCs/>
          <w:color w:val="auto"/>
          <w:sz w:val="22"/>
          <w:szCs w:val="22"/>
          <w:lang w:eastAsia="en-US"/>
        </w:rPr>
        <w:t>Está previsto que el Consejo desarrolle un sistema de asignación de recursos, tomando en consideración las prioridades y necesidades de los países en desarrollo particularmente vulnerables, así como las necesidades de las comunidades climáticamente vulnerables.</w:t>
      </w:r>
    </w:p>
    <w:p w14:paraId="5484710F" w14:textId="77777777" w:rsidR="00FC6DA7" w:rsidRDefault="00FC6DA7" w:rsidP="00FC6DA7">
      <w:pPr>
        <w:pStyle w:val="Default"/>
        <w:ind w:firstLine="360"/>
        <w:jc w:val="both"/>
        <w:rPr>
          <w:rFonts w:asciiTheme="minorHAnsi" w:eastAsiaTheme="minorHAnsi" w:hAnsiTheme="minorHAnsi" w:cstheme="minorHAnsi"/>
          <w:iCs/>
          <w:color w:val="auto"/>
          <w:sz w:val="22"/>
          <w:szCs w:val="22"/>
          <w:lang w:eastAsia="en-US"/>
        </w:rPr>
      </w:pPr>
    </w:p>
    <w:p w14:paraId="77F21FC4" w14:textId="77777777" w:rsidR="00EC17A8" w:rsidRDefault="00FC6DA7" w:rsidP="00EC17A8">
      <w:pPr>
        <w:pStyle w:val="Default"/>
        <w:ind w:firstLine="360"/>
        <w:jc w:val="both"/>
        <w:rPr>
          <w:rFonts w:asciiTheme="minorHAnsi" w:eastAsiaTheme="minorHAnsi" w:hAnsiTheme="minorHAnsi" w:cstheme="minorHAnsi"/>
          <w:iCs/>
          <w:color w:val="auto"/>
          <w:sz w:val="22"/>
          <w:szCs w:val="22"/>
          <w:lang w:eastAsia="en-US"/>
        </w:rPr>
      </w:pPr>
      <w:r w:rsidRPr="00FC6DA7">
        <w:rPr>
          <w:rFonts w:asciiTheme="minorHAnsi" w:eastAsiaTheme="minorHAnsi" w:hAnsiTheme="minorHAnsi" w:cstheme="minorHAnsi"/>
          <w:iCs/>
          <w:color w:val="auto"/>
          <w:sz w:val="22"/>
          <w:szCs w:val="22"/>
          <w:lang w:eastAsia="en-US"/>
        </w:rPr>
        <w:lastRenderedPageBreak/>
        <w:t>La aplicación del Fondo es una oportunidad para promover los valores compartidos por la comunidad de Naciones Unidas, entre los citados en la propia consulta: Accesibilidad, no discriminación, representación justa en la toma de decisiones, sensibilidad de género, etc.</w:t>
      </w:r>
    </w:p>
    <w:p w14:paraId="1EB9A1CF" w14:textId="77777777" w:rsidR="00EC17A8" w:rsidRDefault="00EC17A8" w:rsidP="00EC17A8">
      <w:pPr>
        <w:pStyle w:val="Default"/>
        <w:ind w:firstLine="360"/>
        <w:jc w:val="both"/>
        <w:rPr>
          <w:rFonts w:asciiTheme="minorHAnsi" w:eastAsiaTheme="minorHAnsi" w:hAnsiTheme="minorHAnsi" w:cstheme="minorHAnsi"/>
          <w:iCs/>
          <w:color w:val="auto"/>
          <w:sz w:val="22"/>
          <w:szCs w:val="22"/>
          <w:lang w:eastAsia="en-US"/>
        </w:rPr>
      </w:pPr>
    </w:p>
    <w:p w14:paraId="52814290" w14:textId="77777777" w:rsidR="00633FB4" w:rsidRDefault="00FC6DA7" w:rsidP="00EC17A8">
      <w:pPr>
        <w:pStyle w:val="Default"/>
        <w:ind w:firstLine="360"/>
        <w:jc w:val="both"/>
        <w:rPr>
          <w:rFonts w:asciiTheme="minorHAnsi" w:eastAsiaTheme="minorHAnsi" w:hAnsiTheme="minorHAnsi" w:cstheme="minorHAnsi"/>
          <w:iCs/>
          <w:color w:val="auto"/>
          <w:sz w:val="22"/>
          <w:szCs w:val="22"/>
          <w:lang w:eastAsia="en-US"/>
        </w:rPr>
      </w:pPr>
      <w:r w:rsidRPr="00FC6DA7">
        <w:rPr>
          <w:rFonts w:asciiTheme="minorHAnsi" w:eastAsiaTheme="minorHAnsi" w:hAnsiTheme="minorHAnsi" w:cstheme="minorHAnsi"/>
          <w:iCs/>
          <w:color w:val="auto"/>
          <w:sz w:val="22"/>
          <w:szCs w:val="22"/>
          <w:lang w:eastAsia="en-US"/>
        </w:rPr>
        <w:t>Uno de los temas más sensibles es establecer criterios de valoración que permitan dimensionar económicamente los daños y pérdidas y establecer fórmulas de reparto como tareas básicas de la administración y gestión del Fondo, incluyendo el apoyo a la viabilidad futura de los proyectos y de las generaciones venideras.</w:t>
      </w:r>
    </w:p>
    <w:p w14:paraId="43E36947" w14:textId="77777777" w:rsidR="00FC6DA7" w:rsidRPr="00FC6DA7" w:rsidRDefault="00FC6DA7" w:rsidP="00FC6DA7">
      <w:pPr>
        <w:pStyle w:val="Default"/>
        <w:jc w:val="both"/>
        <w:rPr>
          <w:rFonts w:asciiTheme="minorHAnsi" w:eastAsiaTheme="minorHAnsi" w:hAnsiTheme="minorHAnsi" w:cstheme="minorHAnsi"/>
          <w:iCs/>
          <w:color w:val="auto"/>
          <w:sz w:val="22"/>
          <w:szCs w:val="22"/>
          <w:lang w:eastAsia="en-US"/>
        </w:rPr>
      </w:pPr>
    </w:p>
    <w:p w14:paraId="064A8FE7" w14:textId="77777777" w:rsidR="004C3DA6" w:rsidRDefault="004C3DA6" w:rsidP="004C3DA6">
      <w:pPr>
        <w:pStyle w:val="Default"/>
        <w:numPr>
          <w:ilvl w:val="0"/>
          <w:numId w:val="6"/>
        </w:numPr>
        <w:jc w:val="both"/>
        <w:rPr>
          <w:rFonts w:asciiTheme="minorHAnsi" w:eastAsiaTheme="minorHAnsi" w:hAnsiTheme="minorHAnsi" w:cstheme="minorHAnsi"/>
          <w:b/>
          <w:iCs/>
          <w:color w:val="auto"/>
          <w:sz w:val="22"/>
          <w:szCs w:val="22"/>
          <w:lang w:eastAsia="en-US"/>
        </w:rPr>
      </w:pPr>
      <w:r w:rsidRPr="004C3DA6">
        <w:rPr>
          <w:rFonts w:asciiTheme="minorHAnsi" w:eastAsiaTheme="minorHAnsi" w:hAnsiTheme="minorHAnsi" w:cstheme="minorHAnsi"/>
          <w:b/>
          <w:iCs/>
          <w:color w:val="auto"/>
          <w:sz w:val="22"/>
          <w:szCs w:val="22"/>
          <w:lang w:eastAsia="en-US"/>
        </w:rPr>
        <w:t>¿Cómo garantizar que el Fondo y/o la financiación de la lucha contra el cambio climático (incluidas la mitigación y la adaptación) no supongan una trampa de la deuda para los países en desarrollo?</w:t>
      </w:r>
    </w:p>
    <w:p w14:paraId="757F52DA" w14:textId="77777777" w:rsidR="00353CCF" w:rsidRDefault="00353CCF" w:rsidP="00353CCF">
      <w:pPr>
        <w:pStyle w:val="Default"/>
        <w:ind w:firstLine="360"/>
        <w:jc w:val="both"/>
        <w:rPr>
          <w:rFonts w:asciiTheme="minorHAnsi" w:eastAsiaTheme="minorHAnsi" w:hAnsiTheme="minorHAnsi" w:cstheme="minorHAnsi"/>
          <w:iCs/>
          <w:color w:val="auto"/>
          <w:sz w:val="22"/>
          <w:szCs w:val="22"/>
          <w:lang w:eastAsia="en-US"/>
        </w:rPr>
      </w:pPr>
    </w:p>
    <w:p w14:paraId="309A6F68" w14:textId="77777777" w:rsidR="00EC17A8" w:rsidRDefault="00353CCF" w:rsidP="00353CCF">
      <w:pPr>
        <w:pStyle w:val="Default"/>
        <w:ind w:firstLine="360"/>
        <w:jc w:val="both"/>
        <w:rPr>
          <w:rFonts w:asciiTheme="minorHAnsi" w:eastAsiaTheme="minorHAnsi" w:hAnsiTheme="minorHAnsi" w:cstheme="minorHAnsi"/>
          <w:iCs/>
          <w:color w:val="auto"/>
          <w:sz w:val="22"/>
          <w:szCs w:val="22"/>
          <w:lang w:eastAsia="en-US"/>
        </w:rPr>
      </w:pPr>
      <w:r w:rsidRPr="00EC17A8">
        <w:rPr>
          <w:rFonts w:asciiTheme="minorHAnsi" w:eastAsiaTheme="minorHAnsi" w:hAnsiTheme="minorHAnsi" w:cstheme="minorHAnsi"/>
          <w:iCs/>
          <w:color w:val="auto"/>
          <w:sz w:val="22"/>
          <w:szCs w:val="22"/>
          <w:lang w:eastAsia="en-US"/>
        </w:rPr>
        <w:t>P</w:t>
      </w:r>
      <w:r w:rsidR="00EC17A8" w:rsidRPr="00EC17A8">
        <w:rPr>
          <w:rFonts w:asciiTheme="minorHAnsi" w:eastAsiaTheme="minorHAnsi" w:hAnsiTheme="minorHAnsi" w:cstheme="minorHAnsi"/>
          <w:iCs/>
          <w:color w:val="auto"/>
          <w:sz w:val="22"/>
          <w:szCs w:val="22"/>
          <w:lang w:eastAsia="en-US"/>
        </w:rPr>
        <w:t xml:space="preserve">ara garantizar que la financiación de la lucha contra el cambio climático </w:t>
      </w:r>
      <w:r w:rsidR="00EC17A8">
        <w:rPr>
          <w:rFonts w:asciiTheme="minorHAnsi" w:eastAsiaTheme="minorHAnsi" w:hAnsiTheme="minorHAnsi" w:cstheme="minorHAnsi"/>
          <w:iCs/>
          <w:color w:val="auto"/>
          <w:sz w:val="22"/>
          <w:szCs w:val="22"/>
          <w:lang w:eastAsia="en-US"/>
        </w:rPr>
        <w:t>no suponga</w:t>
      </w:r>
      <w:r w:rsidR="00EC17A8" w:rsidRPr="00EC17A8">
        <w:rPr>
          <w:rFonts w:asciiTheme="minorHAnsi" w:eastAsiaTheme="minorHAnsi" w:hAnsiTheme="minorHAnsi" w:cstheme="minorHAnsi"/>
          <w:iCs/>
          <w:color w:val="auto"/>
          <w:sz w:val="22"/>
          <w:szCs w:val="22"/>
          <w:lang w:eastAsia="en-US"/>
        </w:rPr>
        <w:t xml:space="preserve"> una trampa de la deuda para los países en desarrollo se debe poner </w:t>
      </w:r>
      <w:r w:rsidRPr="00EC17A8">
        <w:rPr>
          <w:rFonts w:asciiTheme="minorHAnsi" w:eastAsiaTheme="minorHAnsi" w:hAnsiTheme="minorHAnsi" w:cstheme="minorHAnsi"/>
          <w:iCs/>
          <w:color w:val="auto"/>
          <w:sz w:val="22"/>
          <w:szCs w:val="22"/>
          <w:lang w:eastAsia="en-US"/>
        </w:rPr>
        <w:t>en valor el retorno no financiero de las aportaciones realizadas.</w:t>
      </w:r>
      <w:r w:rsidRPr="00353CCF">
        <w:rPr>
          <w:rFonts w:asciiTheme="minorHAnsi" w:eastAsiaTheme="minorHAnsi" w:hAnsiTheme="minorHAnsi" w:cstheme="minorHAnsi"/>
          <w:iCs/>
          <w:color w:val="auto"/>
          <w:sz w:val="22"/>
          <w:szCs w:val="22"/>
          <w:lang w:eastAsia="en-US"/>
        </w:rPr>
        <w:t xml:space="preserve"> </w:t>
      </w:r>
    </w:p>
    <w:p w14:paraId="2FB0A626" w14:textId="77777777" w:rsidR="00EC17A8" w:rsidRDefault="00EC17A8" w:rsidP="00353CCF">
      <w:pPr>
        <w:pStyle w:val="Default"/>
        <w:ind w:firstLine="360"/>
        <w:jc w:val="both"/>
        <w:rPr>
          <w:rFonts w:asciiTheme="minorHAnsi" w:eastAsiaTheme="minorHAnsi" w:hAnsiTheme="minorHAnsi" w:cstheme="minorHAnsi"/>
          <w:iCs/>
          <w:color w:val="auto"/>
          <w:sz w:val="22"/>
          <w:szCs w:val="22"/>
          <w:lang w:eastAsia="en-US"/>
        </w:rPr>
      </w:pPr>
    </w:p>
    <w:p w14:paraId="26E2D094" w14:textId="77777777" w:rsidR="00353CCF" w:rsidRPr="00353CCF" w:rsidRDefault="00636C63" w:rsidP="00353CCF">
      <w:pPr>
        <w:pStyle w:val="Default"/>
        <w:ind w:firstLine="360"/>
        <w:jc w:val="both"/>
        <w:rPr>
          <w:rFonts w:asciiTheme="minorHAnsi" w:eastAsiaTheme="minorHAnsi" w:hAnsiTheme="minorHAnsi" w:cstheme="minorHAnsi"/>
          <w:iCs/>
          <w:color w:val="auto"/>
          <w:sz w:val="22"/>
          <w:szCs w:val="22"/>
          <w:lang w:eastAsia="en-US"/>
        </w:rPr>
      </w:pPr>
      <w:r>
        <w:rPr>
          <w:rFonts w:asciiTheme="minorHAnsi" w:eastAsiaTheme="minorHAnsi" w:hAnsiTheme="minorHAnsi" w:cstheme="minorHAnsi"/>
          <w:iCs/>
          <w:color w:val="auto"/>
          <w:sz w:val="22"/>
          <w:szCs w:val="22"/>
          <w:lang w:eastAsia="en-US"/>
        </w:rPr>
        <w:t>En este sentido, e</w:t>
      </w:r>
      <w:r w:rsidR="00353CCF" w:rsidRPr="00353CCF">
        <w:rPr>
          <w:rFonts w:asciiTheme="minorHAnsi" w:eastAsiaTheme="minorHAnsi" w:hAnsiTheme="minorHAnsi" w:cstheme="minorHAnsi"/>
          <w:iCs/>
          <w:color w:val="auto"/>
          <w:sz w:val="22"/>
          <w:szCs w:val="22"/>
          <w:lang w:eastAsia="en-US"/>
        </w:rPr>
        <w:t xml:space="preserve">l artículo 2.1.c del Acuerdo de París establece la obligación de situar los flujos financieros en un nivel compatible con una trayectoria que conduzca a un desarrollo resiliente al clima y con bajas emisiones de gases de efecto invernadero. </w:t>
      </w:r>
    </w:p>
    <w:p w14:paraId="66689042" w14:textId="77777777" w:rsidR="00353CCF" w:rsidRDefault="00353CCF" w:rsidP="00353CCF">
      <w:pPr>
        <w:pStyle w:val="Default"/>
        <w:ind w:firstLine="360"/>
        <w:jc w:val="both"/>
        <w:rPr>
          <w:rFonts w:asciiTheme="minorHAnsi" w:eastAsiaTheme="minorHAnsi" w:hAnsiTheme="minorHAnsi" w:cstheme="minorHAnsi"/>
          <w:iCs/>
          <w:color w:val="auto"/>
          <w:sz w:val="22"/>
          <w:szCs w:val="22"/>
          <w:lang w:eastAsia="en-US"/>
        </w:rPr>
      </w:pPr>
    </w:p>
    <w:p w14:paraId="547333A7" w14:textId="77777777" w:rsidR="00353CCF" w:rsidRDefault="00353CCF" w:rsidP="00353CCF">
      <w:pPr>
        <w:pStyle w:val="Default"/>
        <w:ind w:firstLine="360"/>
        <w:jc w:val="both"/>
        <w:rPr>
          <w:rFonts w:asciiTheme="minorHAnsi" w:eastAsiaTheme="minorHAnsi" w:hAnsiTheme="minorHAnsi" w:cstheme="minorHAnsi"/>
          <w:iCs/>
          <w:color w:val="auto"/>
          <w:sz w:val="22"/>
          <w:szCs w:val="22"/>
          <w:lang w:eastAsia="en-US"/>
        </w:rPr>
      </w:pPr>
      <w:r w:rsidRPr="00353CCF">
        <w:rPr>
          <w:rFonts w:asciiTheme="minorHAnsi" w:eastAsiaTheme="minorHAnsi" w:hAnsiTheme="minorHAnsi" w:cstheme="minorHAnsi"/>
          <w:iCs/>
          <w:color w:val="auto"/>
          <w:sz w:val="22"/>
          <w:szCs w:val="22"/>
          <w:lang w:eastAsia="en-US"/>
        </w:rPr>
        <w:t xml:space="preserve">En la COP 27 se decidió iniciar el Diálogo de Sharm el-Sheikh sobre el artículo 2.1.c. El Diálogo es un buen espacio para debatir cómo pueden los países, incluyendo aquellos en desarrollo, movilizar suficientes flujos financieros. Así, se requieren medidas como taxonomías, ETS, </w:t>
      </w:r>
      <w:r w:rsidRPr="0039625A">
        <w:rPr>
          <w:rFonts w:asciiTheme="minorHAnsi" w:eastAsiaTheme="minorHAnsi" w:hAnsiTheme="minorHAnsi" w:cstheme="minorHAnsi"/>
          <w:i/>
          <w:iCs/>
          <w:color w:val="auto"/>
          <w:sz w:val="22"/>
          <w:szCs w:val="22"/>
          <w:lang w:eastAsia="en-US"/>
        </w:rPr>
        <w:t>carbon pricing</w:t>
      </w:r>
      <w:r w:rsidRPr="00353CCF">
        <w:rPr>
          <w:rFonts w:asciiTheme="minorHAnsi" w:eastAsiaTheme="minorHAnsi" w:hAnsiTheme="minorHAnsi" w:cstheme="minorHAnsi"/>
          <w:iCs/>
          <w:color w:val="auto"/>
          <w:sz w:val="22"/>
          <w:szCs w:val="22"/>
          <w:lang w:eastAsia="en-US"/>
        </w:rPr>
        <w:t>, impuestos, tasas, bonos verdes, cláusulas de suspensión o refinanciación de la deuda, etc.</w:t>
      </w:r>
      <w:r>
        <w:rPr>
          <w:rFonts w:asciiTheme="minorHAnsi" w:eastAsiaTheme="minorHAnsi" w:hAnsiTheme="minorHAnsi" w:cstheme="minorHAnsi"/>
          <w:iCs/>
          <w:color w:val="auto"/>
          <w:sz w:val="22"/>
          <w:szCs w:val="22"/>
          <w:lang w:eastAsia="en-US"/>
        </w:rPr>
        <w:t xml:space="preserve"> </w:t>
      </w:r>
      <w:r w:rsidRPr="00353CCF">
        <w:rPr>
          <w:rFonts w:asciiTheme="minorHAnsi" w:eastAsiaTheme="minorHAnsi" w:hAnsiTheme="minorHAnsi" w:cstheme="minorHAnsi"/>
          <w:iCs/>
          <w:color w:val="auto"/>
          <w:sz w:val="22"/>
          <w:szCs w:val="22"/>
          <w:lang w:eastAsia="en-US"/>
        </w:rPr>
        <w:t xml:space="preserve">En la COP 28 se ha decidido continuar hasta 2025 con el Diálogo de Sharm el-Sheikh sobre el artículo 2.1.c. </w:t>
      </w:r>
    </w:p>
    <w:p w14:paraId="62917B49" w14:textId="77777777" w:rsidR="00353CCF" w:rsidRPr="00353CCF" w:rsidRDefault="00353CCF" w:rsidP="00353CCF">
      <w:pPr>
        <w:pStyle w:val="Default"/>
        <w:ind w:firstLine="360"/>
        <w:jc w:val="both"/>
        <w:rPr>
          <w:rFonts w:asciiTheme="minorHAnsi" w:eastAsiaTheme="minorHAnsi" w:hAnsiTheme="minorHAnsi" w:cstheme="minorHAnsi"/>
          <w:iCs/>
          <w:color w:val="auto"/>
          <w:sz w:val="22"/>
          <w:szCs w:val="22"/>
          <w:lang w:eastAsia="en-US"/>
        </w:rPr>
      </w:pPr>
    </w:p>
    <w:p w14:paraId="023395C3" w14:textId="77777777" w:rsidR="00353CCF" w:rsidRPr="00353CCF" w:rsidRDefault="00353CCF" w:rsidP="00353CCF">
      <w:pPr>
        <w:pStyle w:val="Default"/>
        <w:ind w:firstLine="360"/>
        <w:jc w:val="both"/>
        <w:rPr>
          <w:rFonts w:asciiTheme="minorHAnsi" w:eastAsiaTheme="minorHAnsi" w:hAnsiTheme="minorHAnsi" w:cstheme="minorHAnsi"/>
          <w:iCs/>
          <w:color w:val="auto"/>
          <w:sz w:val="22"/>
          <w:szCs w:val="22"/>
          <w:lang w:eastAsia="en-US"/>
        </w:rPr>
      </w:pPr>
      <w:r w:rsidRPr="00353CCF">
        <w:rPr>
          <w:rFonts w:asciiTheme="minorHAnsi" w:hAnsiTheme="minorHAnsi" w:cstheme="minorHAnsi"/>
          <w:iCs/>
          <w:sz w:val="22"/>
          <w:szCs w:val="22"/>
        </w:rPr>
        <w:t xml:space="preserve">Un ejemplo de enfoque innovador son los </w:t>
      </w:r>
      <w:hyperlink r:id="rId11" w:history="1">
        <w:r w:rsidRPr="00353CCF">
          <w:rPr>
            <w:rStyle w:val="Hyperlink"/>
            <w:rFonts w:asciiTheme="minorHAnsi" w:hAnsiTheme="minorHAnsi" w:cstheme="minorHAnsi"/>
            <w:iCs/>
            <w:sz w:val="22"/>
            <w:szCs w:val="22"/>
          </w:rPr>
          <w:t>canjes de deuda por acción climática</w:t>
        </w:r>
      </w:hyperlink>
      <w:r w:rsidRPr="00353CCF">
        <w:rPr>
          <w:rFonts w:asciiTheme="minorHAnsi" w:hAnsiTheme="minorHAnsi" w:cstheme="minorHAnsi"/>
          <w:iCs/>
          <w:sz w:val="22"/>
          <w:szCs w:val="22"/>
        </w:rPr>
        <w:t xml:space="preserve"> y por naturaleza, en los que se otorga un alivio de la deuda a cambio de que el gobierno se comprometa, por ejemplo, a descarbonizar la economía, invertir en infraestructura resiliente al clima o proteger la biodiversidad de los bosques o los arrecifes.</w:t>
      </w:r>
    </w:p>
    <w:p w14:paraId="1004FF15" w14:textId="77777777" w:rsidR="004C3DA6" w:rsidRPr="004C3DA6" w:rsidRDefault="004C3DA6" w:rsidP="004C3DA6">
      <w:pPr>
        <w:pStyle w:val="Default"/>
        <w:jc w:val="both"/>
        <w:rPr>
          <w:rFonts w:asciiTheme="minorHAnsi" w:eastAsiaTheme="minorHAnsi" w:hAnsiTheme="minorHAnsi" w:cstheme="minorHAnsi"/>
          <w:b/>
          <w:iCs/>
          <w:color w:val="auto"/>
          <w:sz w:val="22"/>
          <w:szCs w:val="22"/>
          <w:lang w:eastAsia="en-US"/>
        </w:rPr>
      </w:pPr>
    </w:p>
    <w:p w14:paraId="2ABA86AC" w14:textId="77777777" w:rsidR="004C3DA6" w:rsidRDefault="004C3DA6" w:rsidP="004C3DA6">
      <w:pPr>
        <w:pStyle w:val="Default"/>
        <w:jc w:val="both"/>
        <w:rPr>
          <w:rFonts w:asciiTheme="minorHAnsi" w:eastAsiaTheme="minorHAnsi" w:hAnsiTheme="minorHAnsi" w:cstheme="minorHAnsi"/>
          <w:b/>
          <w:iCs/>
          <w:color w:val="auto"/>
          <w:sz w:val="22"/>
          <w:szCs w:val="22"/>
          <w:lang w:eastAsia="en-US"/>
        </w:rPr>
      </w:pPr>
      <w:r w:rsidRPr="004C3DA6">
        <w:rPr>
          <w:rFonts w:asciiTheme="minorHAnsi" w:eastAsiaTheme="minorHAnsi" w:hAnsiTheme="minorHAnsi" w:cstheme="minorHAnsi"/>
          <w:b/>
          <w:iCs/>
          <w:color w:val="auto"/>
          <w:sz w:val="22"/>
          <w:szCs w:val="22"/>
          <w:lang w:eastAsia="en-US"/>
        </w:rPr>
        <w:t>B. El derecho al desarrollo de los niños y de las generaciones futuras</w:t>
      </w:r>
      <w:r>
        <w:rPr>
          <w:rFonts w:asciiTheme="minorHAnsi" w:eastAsiaTheme="minorHAnsi" w:hAnsiTheme="minorHAnsi" w:cstheme="minorHAnsi"/>
          <w:b/>
          <w:iCs/>
          <w:color w:val="auto"/>
          <w:sz w:val="22"/>
          <w:szCs w:val="22"/>
          <w:lang w:eastAsia="en-US"/>
        </w:rPr>
        <w:t>.</w:t>
      </w:r>
    </w:p>
    <w:p w14:paraId="50CD4E3F" w14:textId="77777777" w:rsidR="004C3DA6" w:rsidRPr="004C3DA6" w:rsidRDefault="004C3DA6" w:rsidP="004C3DA6">
      <w:pPr>
        <w:pStyle w:val="Default"/>
        <w:jc w:val="both"/>
        <w:rPr>
          <w:rFonts w:asciiTheme="minorHAnsi" w:eastAsiaTheme="minorHAnsi" w:hAnsiTheme="minorHAnsi" w:cstheme="minorHAnsi"/>
          <w:b/>
          <w:iCs/>
          <w:color w:val="auto"/>
          <w:sz w:val="22"/>
          <w:szCs w:val="22"/>
          <w:lang w:eastAsia="en-US"/>
        </w:rPr>
      </w:pPr>
    </w:p>
    <w:p w14:paraId="6F3FB7F3" w14:textId="77777777" w:rsidR="004C3DA6" w:rsidRDefault="004C3DA6" w:rsidP="004C3DA6">
      <w:pPr>
        <w:pStyle w:val="Default"/>
        <w:numPr>
          <w:ilvl w:val="0"/>
          <w:numId w:val="7"/>
        </w:numPr>
        <w:jc w:val="both"/>
        <w:rPr>
          <w:rFonts w:asciiTheme="minorHAnsi" w:eastAsiaTheme="minorHAnsi" w:hAnsiTheme="minorHAnsi" w:cstheme="minorHAnsi"/>
          <w:b/>
          <w:iCs/>
          <w:color w:val="auto"/>
          <w:sz w:val="22"/>
          <w:szCs w:val="22"/>
          <w:lang w:eastAsia="en-US"/>
        </w:rPr>
      </w:pPr>
      <w:r w:rsidRPr="004C3DA6">
        <w:rPr>
          <w:rFonts w:asciiTheme="minorHAnsi" w:eastAsiaTheme="minorHAnsi" w:hAnsiTheme="minorHAnsi" w:cstheme="minorHAnsi"/>
          <w:b/>
          <w:iCs/>
          <w:color w:val="auto"/>
          <w:sz w:val="22"/>
          <w:szCs w:val="22"/>
          <w:lang w:eastAsia="en-US"/>
        </w:rPr>
        <w:t>¿Qué significa el derecho al desarrollo para los niños de acue</w:t>
      </w:r>
      <w:r>
        <w:rPr>
          <w:rFonts w:asciiTheme="minorHAnsi" w:eastAsiaTheme="minorHAnsi" w:hAnsiTheme="minorHAnsi" w:cstheme="minorHAnsi"/>
          <w:b/>
          <w:iCs/>
          <w:color w:val="auto"/>
          <w:sz w:val="22"/>
          <w:szCs w:val="22"/>
          <w:lang w:eastAsia="en-US"/>
        </w:rPr>
        <w:t xml:space="preserve">rdo con los marcos políticos e </w:t>
      </w:r>
      <w:r w:rsidRPr="004C3DA6">
        <w:rPr>
          <w:rFonts w:asciiTheme="minorHAnsi" w:eastAsiaTheme="minorHAnsi" w:hAnsiTheme="minorHAnsi" w:cstheme="minorHAnsi"/>
          <w:b/>
          <w:iCs/>
          <w:color w:val="auto"/>
          <w:sz w:val="22"/>
          <w:szCs w:val="22"/>
          <w:lang w:eastAsia="en-US"/>
        </w:rPr>
        <w:t xml:space="preserve">instrumentos normativos pertinentes? ¿Qué ocurre con </w:t>
      </w:r>
      <w:r>
        <w:rPr>
          <w:rFonts w:asciiTheme="minorHAnsi" w:eastAsiaTheme="minorHAnsi" w:hAnsiTheme="minorHAnsi" w:cstheme="minorHAnsi"/>
          <w:b/>
          <w:iCs/>
          <w:color w:val="auto"/>
          <w:sz w:val="22"/>
          <w:szCs w:val="22"/>
          <w:lang w:eastAsia="en-US"/>
        </w:rPr>
        <w:t xml:space="preserve">el derecho al desarrollo de las </w:t>
      </w:r>
      <w:r w:rsidRPr="004C3DA6">
        <w:rPr>
          <w:rFonts w:asciiTheme="minorHAnsi" w:eastAsiaTheme="minorHAnsi" w:hAnsiTheme="minorHAnsi" w:cstheme="minorHAnsi"/>
          <w:b/>
          <w:iCs/>
          <w:color w:val="auto"/>
          <w:sz w:val="22"/>
          <w:szCs w:val="22"/>
          <w:lang w:eastAsia="en-US"/>
        </w:rPr>
        <w:t xml:space="preserve">generaciones futuras? </w:t>
      </w:r>
    </w:p>
    <w:p w14:paraId="7A80E926" w14:textId="77777777" w:rsidR="0031534F" w:rsidRDefault="0031534F" w:rsidP="0031534F">
      <w:pPr>
        <w:pStyle w:val="Default"/>
        <w:ind w:left="360"/>
        <w:jc w:val="both"/>
        <w:rPr>
          <w:rFonts w:asciiTheme="minorHAnsi" w:eastAsiaTheme="minorHAnsi" w:hAnsiTheme="minorHAnsi" w:cstheme="minorHAnsi"/>
          <w:b/>
          <w:iCs/>
          <w:color w:val="auto"/>
          <w:sz w:val="22"/>
          <w:szCs w:val="22"/>
          <w:lang w:eastAsia="en-US"/>
        </w:rPr>
      </w:pPr>
    </w:p>
    <w:p w14:paraId="3E7D4B05" w14:textId="77777777" w:rsidR="00672594" w:rsidRDefault="00AE632B" w:rsidP="00672594">
      <w:pPr>
        <w:pStyle w:val="Default"/>
        <w:ind w:firstLine="360"/>
        <w:jc w:val="both"/>
        <w:rPr>
          <w:rFonts w:asciiTheme="minorHAnsi" w:eastAsiaTheme="minorHAnsi" w:hAnsiTheme="minorHAnsi" w:cstheme="minorHAnsi"/>
          <w:iCs/>
          <w:color w:val="auto"/>
          <w:sz w:val="22"/>
          <w:szCs w:val="22"/>
          <w:lang w:eastAsia="en-US"/>
        </w:rPr>
      </w:pPr>
      <w:bookmarkStart w:id="0" w:name="_Hlk159231395"/>
      <w:r w:rsidRPr="00EC17A8">
        <w:rPr>
          <w:rFonts w:asciiTheme="minorHAnsi" w:eastAsiaTheme="minorHAnsi" w:hAnsiTheme="minorHAnsi" w:cstheme="minorHAnsi"/>
          <w:iCs/>
          <w:color w:val="auto"/>
          <w:sz w:val="22"/>
          <w:szCs w:val="22"/>
          <w:lang w:eastAsia="en-US"/>
        </w:rPr>
        <w:t>En el marco político español, el derecho al desarrollo de los niños y niñas es materia de diversos marcos legislativos y de cooperación institucional que va</w:t>
      </w:r>
      <w:r w:rsidR="0006270C">
        <w:rPr>
          <w:rFonts w:asciiTheme="minorHAnsi" w:eastAsiaTheme="minorHAnsi" w:hAnsiTheme="minorHAnsi" w:cstheme="minorHAnsi"/>
          <w:iCs/>
          <w:color w:val="auto"/>
          <w:sz w:val="22"/>
          <w:szCs w:val="22"/>
          <w:lang w:eastAsia="en-US"/>
        </w:rPr>
        <w:t>n</w:t>
      </w:r>
      <w:r w:rsidRPr="00EC17A8">
        <w:rPr>
          <w:rFonts w:asciiTheme="minorHAnsi" w:eastAsiaTheme="minorHAnsi" w:hAnsiTheme="minorHAnsi" w:cstheme="minorHAnsi"/>
          <w:iCs/>
          <w:color w:val="auto"/>
          <w:sz w:val="22"/>
          <w:szCs w:val="22"/>
          <w:lang w:eastAsia="en-US"/>
        </w:rPr>
        <w:t xml:space="preserve"> desde la propia n</w:t>
      </w:r>
      <w:r w:rsidR="0006270C">
        <w:rPr>
          <w:rFonts w:asciiTheme="minorHAnsi" w:eastAsiaTheme="minorHAnsi" w:hAnsiTheme="minorHAnsi" w:cstheme="minorHAnsi"/>
          <w:iCs/>
          <w:color w:val="auto"/>
          <w:sz w:val="22"/>
          <w:szCs w:val="22"/>
          <w:lang w:eastAsia="en-US"/>
        </w:rPr>
        <w:t>ormativa educativa y curricular</w:t>
      </w:r>
      <w:r w:rsidRPr="00EC17A8">
        <w:rPr>
          <w:rFonts w:asciiTheme="minorHAnsi" w:eastAsiaTheme="minorHAnsi" w:hAnsiTheme="minorHAnsi" w:cstheme="minorHAnsi"/>
          <w:iCs/>
          <w:color w:val="auto"/>
          <w:sz w:val="22"/>
          <w:szCs w:val="22"/>
          <w:lang w:eastAsia="en-US"/>
        </w:rPr>
        <w:t xml:space="preserve"> hasta distintos planes estatales e internacionales.</w:t>
      </w:r>
    </w:p>
    <w:p w14:paraId="67B3CE2A" w14:textId="77777777" w:rsidR="00672594" w:rsidRDefault="00672594" w:rsidP="00672594">
      <w:pPr>
        <w:pStyle w:val="Default"/>
        <w:ind w:firstLine="360"/>
        <w:jc w:val="both"/>
        <w:rPr>
          <w:rFonts w:asciiTheme="minorHAnsi" w:eastAsiaTheme="minorHAnsi" w:hAnsiTheme="minorHAnsi" w:cstheme="minorHAnsi"/>
          <w:iCs/>
          <w:color w:val="auto"/>
          <w:sz w:val="22"/>
          <w:szCs w:val="22"/>
          <w:lang w:eastAsia="en-US"/>
        </w:rPr>
      </w:pPr>
    </w:p>
    <w:p w14:paraId="77F908CE" w14:textId="77777777" w:rsidR="00672594" w:rsidRDefault="00AE632B" w:rsidP="00672594">
      <w:pPr>
        <w:pStyle w:val="Default"/>
        <w:ind w:firstLine="360"/>
        <w:jc w:val="both"/>
        <w:rPr>
          <w:rFonts w:asciiTheme="minorHAnsi" w:hAnsiTheme="minorHAnsi" w:cstheme="minorHAnsi"/>
          <w:sz w:val="22"/>
          <w:szCs w:val="22"/>
        </w:rPr>
      </w:pPr>
      <w:r w:rsidRPr="00672594">
        <w:rPr>
          <w:rFonts w:asciiTheme="minorHAnsi" w:hAnsiTheme="minorHAnsi" w:cstheme="minorHAnsi"/>
          <w:sz w:val="22"/>
          <w:szCs w:val="22"/>
        </w:rPr>
        <w:t xml:space="preserve">En materia de educación, la Ley Orgánica 2/2006, de 3 de mayo, de Educación (LOE), modificada por la Ley Orgánica 3/2020, de 29 de diciembre (LOMLOE) incluye el enfoque de derechos de la infancia entre los principios rectores del sistema, según lo establecido en la Convención sobre los Derechos del Niño de Naciones Unidas (1989), reconociendo el interés superior del menor, sus derechos a la educación y la obligación que tiene el Estado de asegurar el cumplimento efectivo de sus derechos. </w:t>
      </w:r>
    </w:p>
    <w:p w14:paraId="27D3C817" w14:textId="77777777" w:rsidR="00672594" w:rsidRDefault="00672594" w:rsidP="00672594">
      <w:pPr>
        <w:pStyle w:val="Default"/>
        <w:ind w:firstLine="360"/>
        <w:jc w:val="both"/>
        <w:rPr>
          <w:rFonts w:asciiTheme="minorHAnsi" w:hAnsiTheme="minorHAnsi" w:cstheme="minorHAnsi"/>
          <w:sz w:val="22"/>
          <w:szCs w:val="22"/>
        </w:rPr>
      </w:pPr>
    </w:p>
    <w:p w14:paraId="02AFDA93" w14:textId="77777777" w:rsidR="00672594" w:rsidRDefault="00AE632B" w:rsidP="00636C63">
      <w:pPr>
        <w:pStyle w:val="Default"/>
        <w:ind w:firstLine="360"/>
        <w:jc w:val="both"/>
        <w:rPr>
          <w:rFonts w:asciiTheme="minorHAnsi" w:hAnsiTheme="minorHAnsi" w:cstheme="minorHAnsi"/>
          <w:sz w:val="22"/>
          <w:szCs w:val="22"/>
        </w:rPr>
      </w:pPr>
      <w:r w:rsidRPr="00672594">
        <w:rPr>
          <w:rFonts w:asciiTheme="minorHAnsi" w:hAnsiTheme="minorHAnsi" w:cstheme="minorHAnsi"/>
          <w:sz w:val="22"/>
          <w:szCs w:val="22"/>
        </w:rPr>
        <w:lastRenderedPageBreak/>
        <w:t xml:space="preserve">Asimismo, la LOMLOE y </w:t>
      </w:r>
      <w:hyperlink r:id="rId12" w:history="1">
        <w:r w:rsidRPr="00672594">
          <w:rPr>
            <w:rStyle w:val="Hyperlink"/>
            <w:rFonts w:asciiTheme="minorHAnsi" w:hAnsiTheme="minorHAnsi" w:cstheme="minorHAnsi"/>
            <w:sz w:val="22"/>
            <w:szCs w:val="22"/>
          </w:rPr>
          <w:t>los reales decretos de enseñanzas mínimas</w:t>
        </w:r>
      </w:hyperlink>
      <w:r w:rsidRPr="00672594">
        <w:rPr>
          <w:rFonts w:asciiTheme="minorHAnsi" w:hAnsiTheme="minorHAnsi" w:cstheme="minorHAnsi"/>
          <w:sz w:val="22"/>
          <w:szCs w:val="22"/>
        </w:rPr>
        <w:t xml:space="preserve"> (los currículos de las distintas etapas) respetan lo establecido en la Declaración sobre el Derecho al Desarrollo </w:t>
      </w:r>
      <w:r w:rsidR="00636C63">
        <w:rPr>
          <w:rFonts w:asciiTheme="minorHAnsi" w:hAnsiTheme="minorHAnsi" w:cstheme="minorHAnsi"/>
          <w:sz w:val="22"/>
          <w:szCs w:val="22"/>
        </w:rPr>
        <w:t>(NNUU 1986)</w:t>
      </w:r>
      <w:r w:rsidRPr="00672594">
        <w:rPr>
          <w:rFonts w:asciiTheme="minorHAnsi" w:hAnsiTheme="minorHAnsi" w:cstheme="minorHAnsi"/>
          <w:sz w:val="22"/>
          <w:szCs w:val="22"/>
        </w:rPr>
        <w:t xml:space="preserve">. </w:t>
      </w:r>
    </w:p>
    <w:bookmarkEnd w:id="0"/>
    <w:p w14:paraId="2F60E011" w14:textId="77777777" w:rsidR="0031534F" w:rsidRPr="009F0807" w:rsidRDefault="0031534F" w:rsidP="00672594">
      <w:pPr>
        <w:pStyle w:val="Default"/>
        <w:jc w:val="both"/>
        <w:rPr>
          <w:rFonts w:asciiTheme="minorHAnsi" w:eastAsiaTheme="minorHAnsi" w:hAnsiTheme="minorHAnsi" w:cstheme="minorHAnsi"/>
          <w:b/>
          <w:iCs/>
          <w:color w:val="auto"/>
          <w:sz w:val="22"/>
          <w:szCs w:val="22"/>
          <w:lang w:eastAsia="en-US"/>
        </w:rPr>
      </w:pPr>
    </w:p>
    <w:p w14:paraId="3280BB87" w14:textId="77777777" w:rsidR="00204C4D" w:rsidRPr="009F0807" w:rsidRDefault="004C3DA6" w:rsidP="004C3DA6">
      <w:pPr>
        <w:pStyle w:val="Default"/>
        <w:numPr>
          <w:ilvl w:val="0"/>
          <w:numId w:val="7"/>
        </w:numPr>
        <w:jc w:val="both"/>
        <w:rPr>
          <w:rFonts w:asciiTheme="minorHAnsi" w:eastAsiaTheme="minorHAnsi" w:hAnsiTheme="minorHAnsi" w:cstheme="minorHAnsi"/>
          <w:b/>
          <w:iCs/>
          <w:color w:val="auto"/>
          <w:sz w:val="22"/>
          <w:szCs w:val="22"/>
          <w:lang w:eastAsia="en-US"/>
        </w:rPr>
      </w:pPr>
      <w:r w:rsidRPr="009F0807">
        <w:rPr>
          <w:rFonts w:asciiTheme="minorHAnsi" w:eastAsiaTheme="minorHAnsi" w:hAnsiTheme="minorHAnsi" w:cstheme="minorHAnsi"/>
          <w:b/>
          <w:iCs/>
          <w:color w:val="auto"/>
          <w:sz w:val="22"/>
          <w:szCs w:val="22"/>
          <w:lang w:eastAsia="en-US"/>
        </w:rPr>
        <w:t xml:space="preserve">¿Cómo afectan a los derechos humanos de los niños y de las generaciones futuras las decisiones relacionadas con el desarrollo (por ejemplo, las relativas al desarrollo económico o a las nuevas tecnologías) tomadas por la generación adulta actual? Proporcione ejemplos de su país o área de trabajo. </w:t>
      </w:r>
    </w:p>
    <w:p w14:paraId="0FA7023D" w14:textId="77777777" w:rsidR="00204C4D" w:rsidRPr="009F0807" w:rsidRDefault="00204C4D" w:rsidP="00204C4D">
      <w:pPr>
        <w:pStyle w:val="Default"/>
        <w:ind w:left="360"/>
        <w:jc w:val="both"/>
        <w:rPr>
          <w:rFonts w:asciiTheme="minorHAnsi" w:eastAsiaTheme="minorHAnsi" w:hAnsiTheme="minorHAnsi" w:cstheme="minorHAnsi"/>
          <w:b/>
          <w:iCs/>
          <w:color w:val="auto"/>
          <w:sz w:val="22"/>
          <w:szCs w:val="22"/>
          <w:lang w:eastAsia="en-US"/>
        </w:rPr>
      </w:pPr>
    </w:p>
    <w:p w14:paraId="150D899F" w14:textId="77777777" w:rsidR="00CD716E" w:rsidRDefault="00AE632B" w:rsidP="00CD716E">
      <w:pPr>
        <w:spacing w:before="120" w:after="120"/>
        <w:ind w:firstLine="340"/>
        <w:rPr>
          <w:rFonts w:asciiTheme="minorHAnsi" w:hAnsiTheme="minorHAnsi" w:cstheme="minorHAnsi"/>
          <w:sz w:val="22"/>
          <w:szCs w:val="22"/>
        </w:rPr>
      </w:pPr>
      <w:r w:rsidRPr="00672594">
        <w:rPr>
          <w:rFonts w:asciiTheme="minorHAnsi" w:hAnsiTheme="minorHAnsi" w:cstheme="minorHAnsi"/>
          <w:sz w:val="22"/>
          <w:szCs w:val="22"/>
        </w:rPr>
        <w:t>la LOMLOE planteó una reforma de la educación orientada al desarrollo de las competencias clave recomendadas por la Comisión Europea para el aprendizaje permanente</w:t>
      </w:r>
      <w:r w:rsidRPr="009F0807">
        <w:rPr>
          <w:rStyle w:val="FootnoteReference"/>
          <w:rFonts w:asciiTheme="minorHAnsi" w:hAnsiTheme="minorHAnsi" w:cstheme="minorHAnsi"/>
          <w:sz w:val="22"/>
          <w:szCs w:val="22"/>
        </w:rPr>
        <w:footnoteReference w:id="2"/>
      </w:r>
      <w:r w:rsidRPr="00672594">
        <w:rPr>
          <w:rFonts w:asciiTheme="minorHAnsi" w:hAnsiTheme="minorHAnsi" w:cstheme="minorHAnsi"/>
          <w:sz w:val="22"/>
          <w:szCs w:val="22"/>
        </w:rPr>
        <w:t>. Así, los nuevos currículos aprobados en 2022 están orientados a facilitar el desarrollo educativo de los alumnos y alumnas, garantizando su formación integral, contribuyendo al pleno desarrollo de su personalidad y preparándolos para el ejercicio pleno de los derechos humanos, de una ciudadanía activa y democrática en la sociedad actual. La implantación de estos currículos está finalizando durante el curso 2023-2024.</w:t>
      </w:r>
    </w:p>
    <w:p w14:paraId="222FFA8E" w14:textId="77777777" w:rsidR="00AE632B" w:rsidRPr="00CD716E" w:rsidRDefault="00AE632B" w:rsidP="00CD716E">
      <w:pPr>
        <w:spacing w:before="120" w:after="120"/>
        <w:ind w:firstLine="340"/>
        <w:rPr>
          <w:rFonts w:asciiTheme="minorHAnsi" w:hAnsiTheme="minorHAnsi" w:cstheme="minorHAnsi"/>
          <w:sz w:val="22"/>
          <w:szCs w:val="22"/>
        </w:rPr>
      </w:pPr>
      <w:r w:rsidRPr="00CD716E">
        <w:rPr>
          <w:rFonts w:asciiTheme="minorHAnsi" w:hAnsiTheme="minorHAnsi" w:cstheme="minorHAnsi"/>
          <w:sz w:val="22"/>
          <w:szCs w:val="22"/>
        </w:rPr>
        <w:t>Por otro lado, el desarrollo de la revolución tecnológica actual hace que sea fundamental centrar la atención también en la mejora de la competencia digital de todo el alumnado, como consumidores y creadores de estas tecnologías digitales. Los currículos actuales incluyen la competencia digital para el desarrollo de un uso seguro, saludable, sostenible, crítico y responsable de las tecnologías digitales, para el aprendizaje y para la participación en la sociedad. Asimismo, es necesario el desarrollo de la competencia digital de los docentes, así como la competencia digital de los centros educativos.</w:t>
      </w:r>
    </w:p>
    <w:p w14:paraId="25ABE617" w14:textId="77777777" w:rsidR="00AE632B" w:rsidRPr="00CD716E" w:rsidRDefault="00AE632B" w:rsidP="00AE632B">
      <w:pPr>
        <w:pStyle w:val="ListParagraph"/>
        <w:spacing w:before="120" w:after="120"/>
        <w:ind w:left="340"/>
        <w:rPr>
          <w:rFonts w:asciiTheme="minorHAnsi" w:hAnsiTheme="minorHAnsi" w:cstheme="minorHAnsi"/>
          <w:sz w:val="22"/>
          <w:szCs w:val="22"/>
        </w:rPr>
      </w:pPr>
      <w:r w:rsidRPr="00CD716E">
        <w:rPr>
          <w:rFonts w:asciiTheme="minorHAnsi" w:hAnsiTheme="minorHAnsi" w:cstheme="minorHAnsi"/>
          <w:sz w:val="22"/>
          <w:szCs w:val="22"/>
        </w:rPr>
        <w:t>Ejemplos:</w:t>
      </w:r>
    </w:p>
    <w:p w14:paraId="4EA6C54A" w14:textId="77777777" w:rsidR="00CD716E" w:rsidRPr="00CD716E" w:rsidRDefault="00CD716E" w:rsidP="00CD716E">
      <w:pPr>
        <w:pStyle w:val="Default"/>
        <w:numPr>
          <w:ilvl w:val="0"/>
          <w:numId w:val="9"/>
        </w:numPr>
        <w:jc w:val="both"/>
        <w:rPr>
          <w:rFonts w:asciiTheme="minorHAnsi" w:hAnsiTheme="minorHAnsi" w:cstheme="minorHAnsi"/>
          <w:sz w:val="22"/>
          <w:szCs w:val="22"/>
        </w:rPr>
      </w:pPr>
      <w:r>
        <w:rPr>
          <w:rFonts w:asciiTheme="minorHAnsi" w:hAnsiTheme="minorHAnsi" w:cstheme="minorHAnsi"/>
          <w:sz w:val="22"/>
          <w:szCs w:val="22"/>
        </w:rPr>
        <w:t xml:space="preserve">El </w:t>
      </w:r>
      <w:hyperlink r:id="rId13" w:history="1">
        <w:r w:rsidR="00AE632B" w:rsidRPr="00636C63">
          <w:rPr>
            <w:rStyle w:val="Hyperlink"/>
            <w:rFonts w:asciiTheme="minorHAnsi" w:hAnsiTheme="minorHAnsi" w:cstheme="minorHAnsi"/>
            <w:sz w:val="22"/>
            <w:szCs w:val="22"/>
          </w:rPr>
          <w:t>Programa de Cooperación Territorial (PCT) para la Mejora de la Competencia Digital Educativa</w:t>
        </w:r>
      </w:hyperlink>
      <w:r w:rsidR="00AE632B" w:rsidRPr="00CD716E">
        <w:rPr>
          <w:rFonts w:asciiTheme="minorHAnsi" w:hAnsiTheme="minorHAnsi" w:cstheme="minorHAnsi"/>
          <w:sz w:val="22"/>
          <w:szCs w:val="22"/>
        </w:rPr>
        <w:t>.</w:t>
      </w:r>
    </w:p>
    <w:p w14:paraId="6EEB85EA" w14:textId="77777777" w:rsidR="00CD716E" w:rsidRPr="00636C63" w:rsidRDefault="00CD716E" w:rsidP="00636C63">
      <w:pPr>
        <w:pStyle w:val="Default"/>
        <w:numPr>
          <w:ilvl w:val="0"/>
          <w:numId w:val="9"/>
        </w:numPr>
        <w:spacing w:before="120" w:after="120"/>
        <w:jc w:val="both"/>
        <w:rPr>
          <w:rFonts w:asciiTheme="minorHAnsi" w:hAnsiTheme="minorHAnsi" w:cstheme="minorHAnsi"/>
          <w:color w:val="538135" w:themeColor="accent6" w:themeShade="BF"/>
          <w:sz w:val="22"/>
          <w:szCs w:val="22"/>
        </w:rPr>
      </w:pPr>
      <w:r w:rsidRPr="00CD716E">
        <w:rPr>
          <w:rFonts w:asciiTheme="minorHAnsi" w:hAnsiTheme="minorHAnsi" w:cstheme="minorHAnsi"/>
          <w:sz w:val="22"/>
          <w:szCs w:val="22"/>
        </w:rPr>
        <w:t xml:space="preserve">El </w:t>
      </w:r>
      <w:hyperlink r:id="rId14" w:history="1">
        <w:r w:rsidR="00AE632B" w:rsidRPr="00636C63">
          <w:rPr>
            <w:rStyle w:val="Hyperlink"/>
            <w:rFonts w:asciiTheme="minorHAnsi" w:hAnsiTheme="minorHAnsi" w:cstheme="minorHAnsi"/>
            <w:sz w:val="22"/>
            <w:szCs w:val="22"/>
          </w:rPr>
          <w:t>Programa para la Digitali</w:t>
        </w:r>
        <w:r w:rsidR="00636C63" w:rsidRPr="00636C63">
          <w:rPr>
            <w:rStyle w:val="Hyperlink"/>
            <w:rFonts w:asciiTheme="minorHAnsi" w:hAnsiTheme="minorHAnsi" w:cstheme="minorHAnsi"/>
            <w:sz w:val="22"/>
            <w:szCs w:val="22"/>
          </w:rPr>
          <w:t>zación del Ecosistema Educativo</w:t>
        </w:r>
      </w:hyperlink>
      <w:r w:rsidR="00636C63">
        <w:rPr>
          <w:rFonts w:asciiTheme="minorHAnsi" w:hAnsiTheme="minorHAnsi" w:cstheme="minorHAnsi"/>
          <w:sz w:val="22"/>
          <w:szCs w:val="22"/>
        </w:rPr>
        <w:t>.</w:t>
      </w:r>
    </w:p>
    <w:p w14:paraId="5C7D60A3" w14:textId="77777777" w:rsidR="00AE632B" w:rsidRPr="00CD716E" w:rsidRDefault="00CD716E" w:rsidP="00A615FD">
      <w:pPr>
        <w:pStyle w:val="Default"/>
        <w:numPr>
          <w:ilvl w:val="0"/>
          <w:numId w:val="9"/>
        </w:numPr>
        <w:spacing w:before="120" w:after="120"/>
        <w:jc w:val="both"/>
        <w:rPr>
          <w:rFonts w:asciiTheme="minorHAnsi" w:hAnsiTheme="minorHAnsi" w:cstheme="minorHAnsi"/>
          <w:color w:val="538135" w:themeColor="accent6" w:themeShade="BF"/>
          <w:sz w:val="22"/>
          <w:szCs w:val="22"/>
        </w:rPr>
      </w:pPr>
      <w:r>
        <w:rPr>
          <w:rFonts w:asciiTheme="minorHAnsi" w:hAnsiTheme="minorHAnsi" w:cstheme="minorHAnsi"/>
          <w:sz w:val="22"/>
          <w:szCs w:val="22"/>
        </w:rPr>
        <w:t xml:space="preserve">El </w:t>
      </w:r>
      <w:hyperlink r:id="rId15" w:history="1">
        <w:r w:rsidR="00AE632B" w:rsidRPr="00636C63">
          <w:rPr>
            <w:rStyle w:val="Hyperlink"/>
            <w:rFonts w:asciiTheme="minorHAnsi" w:hAnsiTheme="minorHAnsi" w:cstheme="minorHAnsi"/>
            <w:sz w:val="22"/>
            <w:szCs w:val="22"/>
          </w:rPr>
          <w:t>Programa para la Orientación, Avance y Enriquecimiento Educativo (PROA+).</w:t>
        </w:r>
      </w:hyperlink>
    </w:p>
    <w:p w14:paraId="50F12627" w14:textId="77777777" w:rsidR="00AE632B" w:rsidRPr="009F0807" w:rsidRDefault="00AE632B" w:rsidP="00204C4D">
      <w:pPr>
        <w:pStyle w:val="Default"/>
        <w:ind w:left="360"/>
        <w:jc w:val="both"/>
        <w:rPr>
          <w:rFonts w:asciiTheme="minorHAnsi" w:eastAsiaTheme="minorHAnsi" w:hAnsiTheme="minorHAnsi" w:cstheme="minorHAnsi"/>
          <w:b/>
          <w:iCs/>
          <w:color w:val="auto"/>
          <w:sz w:val="22"/>
          <w:szCs w:val="22"/>
          <w:lang w:eastAsia="en-US"/>
        </w:rPr>
      </w:pPr>
    </w:p>
    <w:p w14:paraId="4E51974F" w14:textId="77777777" w:rsidR="00204C4D" w:rsidRPr="009F0807" w:rsidRDefault="004C3DA6" w:rsidP="004C3DA6">
      <w:pPr>
        <w:pStyle w:val="Default"/>
        <w:numPr>
          <w:ilvl w:val="0"/>
          <w:numId w:val="7"/>
        </w:numPr>
        <w:jc w:val="both"/>
        <w:rPr>
          <w:rFonts w:asciiTheme="minorHAnsi" w:eastAsiaTheme="minorHAnsi" w:hAnsiTheme="minorHAnsi" w:cstheme="minorHAnsi"/>
          <w:b/>
          <w:iCs/>
          <w:color w:val="auto"/>
          <w:sz w:val="22"/>
          <w:szCs w:val="22"/>
          <w:lang w:eastAsia="en-US"/>
        </w:rPr>
      </w:pPr>
      <w:r w:rsidRPr="009F0807">
        <w:rPr>
          <w:rFonts w:asciiTheme="minorHAnsi" w:eastAsiaTheme="minorHAnsi" w:hAnsiTheme="minorHAnsi" w:cstheme="minorHAnsi"/>
          <w:b/>
          <w:iCs/>
          <w:color w:val="auto"/>
          <w:sz w:val="22"/>
          <w:szCs w:val="22"/>
          <w:lang w:eastAsia="en-US"/>
        </w:rPr>
        <w:t>¿Cómo garantizar una participación significativa de los niños y las generaciones futuras en las decisiones relacionadas con el desarrollo a todos los niveles (por ejemplo, en la formulación de políticas o la evaluación de impacto)? ¿Existen buenas prácticas o modelos?</w:t>
      </w:r>
    </w:p>
    <w:p w14:paraId="2B26962E" w14:textId="77777777" w:rsidR="00AE632B" w:rsidRPr="009F0807" w:rsidRDefault="00AE632B" w:rsidP="00531BF8">
      <w:pPr>
        <w:spacing w:before="120" w:after="120"/>
        <w:ind w:firstLine="360"/>
        <w:rPr>
          <w:rFonts w:asciiTheme="minorHAnsi" w:hAnsiTheme="minorHAnsi" w:cstheme="minorHAnsi"/>
          <w:sz w:val="22"/>
          <w:szCs w:val="22"/>
        </w:rPr>
      </w:pPr>
      <w:r w:rsidRPr="009F0807">
        <w:rPr>
          <w:rFonts w:asciiTheme="minorHAnsi" w:hAnsiTheme="minorHAnsi" w:cstheme="minorHAnsi"/>
          <w:sz w:val="22"/>
          <w:szCs w:val="22"/>
        </w:rPr>
        <w:t>Se garantiza la participación a través de la legislación.</w:t>
      </w:r>
      <w:r w:rsidR="00636C63">
        <w:rPr>
          <w:rFonts w:asciiTheme="minorHAnsi" w:hAnsiTheme="minorHAnsi" w:cstheme="minorHAnsi"/>
          <w:sz w:val="22"/>
          <w:szCs w:val="22"/>
        </w:rPr>
        <w:t xml:space="preserve"> </w:t>
      </w:r>
      <w:r w:rsidRPr="009F0807">
        <w:rPr>
          <w:rFonts w:asciiTheme="minorHAnsi" w:hAnsiTheme="minorHAnsi" w:cstheme="minorHAnsi"/>
          <w:sz w:val="22"/>
          <w:szCs w:val="22"/>
        </w:rPr>
        <w:t xml:space="preserve">La participación de las niñas, niños y jóvenes en el ámbito educativo está regulada principalmente por dos leyes y sus desarrollos posteriores: </w:t>
      </w:r>
    </w:p>
    <w:p w14:paraId="025C2C72" w14:textId="77777777" w:rsidR="00531BF8" w:rsidRPr="0039625A" w:rsidRDefault="00AE632B" w:rsidP="00531BF8">
      <w:pPr>
        <w:pStyle w:val="Default"/>
        <w:numPr>
          <w:ilvl w:val="0"/>
          <w:numId w:val="9"/>
        </w:numPr>
        <w:jc w:val="both"/>
        <w:rPr>
          <w:rFonts w:asciiTheme="minorHAnsi" w:hAnsiTheme="minorHAnsi" w:cstheme="minorHAnsi"/>
          <w:sz w:val="22"/>
          <w:szCs w:val="22"/>
        </w:rPr>
      </w:pPr>
      <w:r w:rsidRPr="0039625A">
        <w:rPr>
          <w:rFonts w:asciiTheme="minorHAnsi" w:hAnsiTheme="minorHAnsi" w:cstheme="minorHAnsi"/>
          <w:sz w:val="22"/>
          <w:szCs w:val="22"/>
        </w:rPr>
        <w:t>La Ley Orgánica 8/1985, de 3 de julio, reguladora del Derecho a la Educación (LODE). Esta tiene</w:t>
      </w:r>
      <w:r w:rsidR="00636C63" w:rsidRPr="0039625A">
        <w:rPr>
          <w:rFonts w:asciiTheme="minorHAnsi" w:hAnsiTheme="minorHAnsi" w:cstheme="minorHAnsi"/>
          <w:sz w:val="22"/>
          <w:szCs w:val="22"/>
        </w:rPr>
        <w:t>,</w:t>
      </w:r>
      <w:r w:rsidRPr="0039625A">
        <w:rPr>
          <w:rFonts w:asciiTheme="minorHAnsi" w:hAnsiTheme="minorHAnsi" w:cstheme="minorHAnsi"/>
          <w:sz w:val="22"/>
          <w:szCs w:val="22"/>
        </w:rPr>
        <w:t xml:space="preserve"> entre otros fines, el de «la preparación para participar activamente</w:t>
      </w:r>
      <w:r w:rsidR="00531BF8" w:rsidRPr="0039625A">
        <w:rPr>
          <w:rFonts w:asciiTheme="minorHAnsi" w:hAnsiTheme="minorHAnsi" w:cstheme="minorHAnsi"/>
          <w:sz w:val="22"/>
          <w:szCs w:val="22"/>
        </w:rPr>
        <w:t xml:space="preserve"> en la vida social y cultural».</w:t>
      </w:r>
    </w:p>
    <w:p w14:paraId="2521BAB4" w14:textId="77777777" w:rsidR="00AE632B" w:rsidRPr="00531BF8" w:rsidRDefault="00AE632B" w:rsidP="00531BF8">
      <w:pPr>
        <w:pStyle w:val="Default"/>
        <w:numPr>
          <w:ilvl w:val="0"/>
          <w:numId w:val="9"/>
        </w:numPr>
        <w:jc w:val="both"/>
        <w:rPr>
          <w:rFonts w:asciiTheme="minorHAnsi" w:hAnsiTheme="minorHAnsi" w:cstheme="minorHAnsi"/>
          <w:sz w:val="22"/>
          <w:szCs w:val="22"/>
        </w:rPr>
      </w:pPr>
      <w:r w:rsidRPr="0039625A">
        <w:rPr>
          <w:rFonts w:asciiTheme="minorHAnsi" w:hAnsiTheme="minorHAnsi" w:cstheme="minorHAnsi"/>
          <w:sz w:val="22"/>
          <w:szCs w:val="22"/>
        </w:rPr>
        <w:t>La Ley Orgánica 2/2006, de 3 de mayo, de Educación</w:t>
      </w:r>
      <w:r w:rsidR="00636C63" w:rsidRPr="0039625A">
        <w:rPr>
          <w:rFonts w:asciiTheme="minorHAnsi" w:hAnsiTheme="minorHAnsi" w:cstheme="minorHAnsi"/>
          <w:sz w:val="22"/>
          <w:szCs w:val="22"/>
        </w:rPr>
        <w:t xml:space="preserve"> (LOE), que </w:t>
      </w:r>
      <w:r w:rsidRPr="0039625A">
        <w:rPr>
          <w:rFonts w:asciiTheme="minorHAnsi" w:hAnsiTheme="minorHAnsi" w:cstheme="minorHAnsi"/>
          <w:sz w:val="22"/>
          <w:szCs w:val="22"/>
        </w:rPr>
        <w:t>establece que uno de los fines del sistema educativo es «la preparación para el ejercicio de la ciudadanía, para la inserción en la sociedad que le rodea y para la participación activa en la vida económica</w:t>
      </w:r>
      <w:r w:rsidRPr="00531BF8">
        <w:rPr>
          <w:rFonts w:asciiTheme="minorHAnsi" w:hAnsiTheme="minorHAnsi" w:cstheme="minorHAnsi"/>
          <w:sz w:val="22"/>
          <w:szCs w:val="22"/>
        </w:rPr>
        <w:t xml:space="preserve">, </w:t>
      </w:r>
      <w:r w:rsidRPr="00531BF8">
        <w:rPr>
          <w:rFonts w:asciiTheme="minorHAnsi" w:hAnsiTheme="minorHAnsi" w:cstheme="minorHAnsi"/>
          <w:sz w:val="22"/>
          <w:szCs w:val="22"/>
        </w:rPr>
        <w:lastRenderedPageBreak/>
        <w:t xml:space="preserve">social y cultural, con actitud crítica y responsable y con capacidad de adaptación a las situaciones cambiantes de la sociedad del conocimiento». </w:t>
      </w:r>
    </w:p>
    <w:p w14:paraId="1A044218" w14:textId="77777777" w:rsidR="00AE632B" w:rsidRPr="00531BF8" w:rsidRDefault="00531BF8" w:rsidP="00531BF8">
      <w:pPr>
        <w:spacing w:before="120" w:after="120" w:line="240" w:lineRule="auto"/>
        <w:ind w:firstLine="360"/>
        <w:rPr>
          <w:rFonts w:asciiTheme="minorHAnsi" w:hAnsiTheme="minorHAnsi" w:cstheme="minorHAnsi"/>
          <w:sz w:val="22"/>
          <w:szCs w:val="22"/>
        </w:rPr>
      </w:pPr>
      <w:r>
        <w:rPr>
          <w:rFonts w:asciiTheme="minorHAnsi" w:hAnsiTheme="minorHAnsi" w:cstheme="minorHAnsi"/>
          <w:sz w:val="22"/>
          <w:szCs w:val="22"/>
        </w:rPr>
        <w:t>E</w:t>
      </w:r>
      <w:r w:rsidR="00AE632B" w:rsidRPr="00531BF8">
        <w:rPr>
          <w:rFonts w:asciiTheme="minorHAnsi" w:hAnsiTheme="minorHAnsi" w:cstheme="minorHAnsi"/>
          <w:sz w:val="22"/>
          <w:szCs w:val="22"/>
        </w:rPr>
        <w:t xml:space="preserve">n la programación general de la enseñanza </w:t>
      </w:r>
      <w:r>
        <w:rPr>
          <w:rFonts w:asciiTheme="minorHAnsi" w:hAnsiTheme="minorHAnsi" w:cstheme="minorHAnsi"/>
          <w:sz w:val="22"/>
          <w:szCs w:val="22"/>
        </w:rPr>
        <w:t>la p</w:t>
      </w:r>
      <w:r w:rsidRPr="00531BF8">
        <w:rPr>
          <w:rFonts w:asciiTheme="minorHAnsi" w:hAnsiTheme="minorHAnsi" w:cstheme="minorHAnsi"/>
          <w:sz w:val="22"/>
          <w:szCs w:val="22"/>
        </w:rPr>
        <w:t xml:space="preserve">articipación del alumnado </w:t>
      </w:r>
      <w:r>
        <w:rPr>
          <w:rFonts w:asciiTheme="minorHAnsi" w:hAnsiTheme="minorHAnsi" w:cstheme="minorHAnsi"/>
          <w:sz w:val="22"/>
          <w:szCs w:val="22"/>
        </w:rPr>
        <w:t xml:space="preserve">se desarrolla </w:t>
      </w:r>
      <w:r w:rsidR="00AE632B" w:rsidRPr="00531BF8">
        <w:rPr>
          <w:rFonts w:asciiTheme="minorHAnsi" w:hAnsiTheme="minorHAnsi" w:cstheme="minorHAnsi"/>
          <w:sz w:val="22"/>
          <w:szCs w:val="22"/>
        </w:rPr>
        <w:t xml:space="preserve">a través de órganos colegiados: </w:t>
      </w:r>
    </w:p>
    <w:p w14:paraId="30684DC3" w14:textId="77777777" w:rsidR="00AE632B" w:rsidRPr="009F0807" w:rsidRDefault="00AE632B" w:rsidP="00AE632B">
      <w:pPr>
        <w:pStyle w:val="ListParagraph"/>
        <w:numPr>
          <w:ilvl w:val="1"/>
          <w:numId w:val="15"/>
        </w:numPr>
        <w:spacing w:before="120" w:after="120" w:line="240" w:lineRule="auto"/>
        <w:ind w:left="1040"/>
        <w:contextualSpacing w:val="0"/>
        <w:rPr>
          <w:rFonts w:asciiTheme="minorHAnsi" w:hAnsiTheme="minorHAnsi" w:cstheme="minorHAnsi"/>
          <w:sz w:val="22"/>
          <w:szCs w:val="22"/>
        </w:rPr>
      </w:pPr>
      <w:r w:rsidRPr="009F0807">
        <w:rPr>
          <w:rFonts w:asciiTheme="minorHAnsi" w:hAnsiTheme="minorHAnsi" w:cstheme="minorHAnsi"/>
          <w:sz w:val="22"/>
          <w:szCs w:val="22"/>
        </w:rPr>
        <w:t>Consejo Escolar del Estado</w:t>
      </w:r>
      <w:r w:rsidRPr="009F0807">
        <w:rPr>
          <w:rStyle w:val="FootnoteReference"/>
          <w:rFonts w:asciiTheme="minorHAnsi" w:hAnsiTheme="minorHAnsi" w:cstheme="minorHAnsi"/>
          <w:sz w:val="22"/>
          <w:szCs w:val="22"/>
        </w:rPr>
        <w:footnoteReference w:id="3"/>
      </w:r>
      <w:r w:rsidR="00531BF8">
        <w:rPr>
          <w:rFonts w:asciiTheme="minorHAnsi" w:hAnsiTheme="minorHAnsi" w:cstheme="minorHAnsi"/>
          <w:sz w:val="22"/>
          <w:szCs w:val="22"/>
        </w:rPr>
        <w:t>.</w:t>
      </w:r>
      <w:r w:rsidRPr="009F0807">
        <w:rPr>
          <w:rFonts w:asciiTheme="minorHAnsi" w:hAnsiTheme="minorHAnsi" w:cstheme="minorHAnsi"/>
          <w:sz w:val="22"/>
          <w:szCs w:val="22"/>
        </w:rPr>
        <w:t xml:space="preserve"> </w:t>
      </w:r>
    </w:p>
    <w:p w14:paraId="2E9C5B17" w14:textId="77777777" w:rsidR="00AE632B" w:rsidRPr="009F0807" w:rsidRDefault="00AE632B" w:rsidP="00AE632B">
      <w:pPr>
        <w:pStyle w:val="ListParagraph"/>
        <w:numPr>
          <w:ilvl w:val="1"/>
          <w:numId w:val="15"/>
        </w:numPr>
        <w:spacing w:before="120" w:after="120" w:line="240" w:lineRule="auto"/>
        <w:ind w:left="1040"/>
        <w:contextualSpacing w:val="0"/>
        <w:rPr>
          <w:rFonts w:asciiTheme="minorHAnsi" w:hAnsiTheme="minorHAnsi" w:cstheme="minorHAnsi"/>
          <w:sz w:val="22"/>
          <w:szCs w:val="22"/>
        </w:rPr>
      </w:pPr>
      <w:r w:rsidRPr="009F0807">
        <w:rPr>
          <w:rFonts w:asciiTheme="minorHAnsi" w:hAnsiTheme="minorHAnsi" w:cstheme="minorHAnsi"/>
          <w:sz w:val="22"/>
          <w:szCs w:val="22"/>
        </w:rPr>
        <w:t>Consejos Escolares Autonómicos</w:t>
      </w:r>
      <w:r w:rsidRPr="009F0807">
        <w:rPr>
          <w:rStyle w:val="FootnoteReference"/>
          <w:rFonts w:asciiTheme="minorHAnsi" w:hAnsiTheme="minorHAnsi" w:cstheme="minorHAnsi"/>
          <w:sz w:val="22"/>
          <w:szCs w:val="22"/>
        </w:rPr>
        <w:footnoteReference w:id="4"/>
      </w:r>
      <w:r w:rsidRPr="009F0807">
        <w:rPr>
          <w:rFonts w:asciiTheme="minorHAnsi" w:hAnsiTheme="minorHAnsi" w:cstheme="minorHAnsi"/>
          <w:sz w:val="22"/>
          <w:szCs w:val="22"/>
        </w:rPr>
        <w:t>.</w:t>
      </w:r>
    </w:p>
    <w:p w14:paraId="4668B3C9" w14:textId="77777777" w:rsidR="00AE632B" w:rsidRPr="009F0807" w:rsidRDefault="00AE632B" w:rsidP="00531BF8">
      <w:pPr>
        <w:spacing w:before="120" w:after="120" w:line="240" w:lineRule="auto"/>
        <w:ind w:firstLine="340"/>
        <w:rPr>
          <w:rFonts w:asciiTheme="minorHAnsi" w:hAnsiTheme="minorHAnsi" w:cstheme="minorHAnsi"/>
          <w:sz w:val="22"/>
          <w:szCs w:val="22"/>
        </w:rPr>
      </w:pPr>
      <w:r w:rsidRPr="00531BF8">
        <w:rPr>
          <w:rFonts w:asciiTheme="minorHAnsi" w:hAnsiTheme="minorHAnsi" w:cstheme="minorHAnsi"/>
          <w:sz w:val="22"/>
          <w:szCs w:val="22"/>
        </w:rPr>
        <w:t>Entre las buenas prácticas de participación del alumnado</w:t>
      </w:r>
      <w:r w:rsidRPr="009F0807">
        <w:rPr>
          <w:rFonts w:asciiTheme="minorHAnsi" w:hAnsiTheme="minorHAnsi" w:cstheme="minorHAnsi"/>
          <w:sz w:val="22"/>
          <w:szCs w:val="22"/>
        </w:rPr>
        <w:t xml:space="preserve"> cabe destacar</w:t>
      </w:r>
      <w:r w:rsidR="00531BF8">
        <w:rPr>
          <w:rFonts w:asciiTheme="minorHAnsi" w:hAnsiTheme="minorHAnsi" w:cstheme="minorHAnsi"/>
          <w:sz w:val="22"/>
          <w:szCs w:val="22"/>
        </w:rPr>
        <w:t>:</w:t>
      </w:r>
      <w:r w:rsidRPr="009F0807">
        <w:rPr>
          <w:rFonts w:asciiTheme="minorHAnsi" w:hAnsiTheme="minorHAnsi" w:cstheme="minorHAnsi"/>
          <w:sz w:val="22"/>
          <w:szCs w:val="22"/>
        </w:rPr>
        <w:t xml:space="preserve"> </w:t>
      </w:r>
    </w:p>
    <w:p w14:paraId="39C60ED8" w14:textId="77777777" w:rsidR="00531BF8" w:rsidRDefault="00AE632B" w:rsidP="00531BF8">
      <w:pPr>
        <w:pStyle w:val="Default"/>
        <w:numPr>
          <w:ilvl w:val="0"/>
          <w:numId w:val="9"/>
        </w:numPr>
        <w:jc w:val="both"/>
        <w:rPr>
          <w:rFonts w:asciiTheme="minorHAnsi" w:hAnsiTheme="minorHAnsi" w:cstheme="minorHAnsi"/>
          <w:sz w:val="22"/>
          <w:szCs w:val="22"/>
        </w:rPr>
      </w:pPr>
      <w:r w:rsidRPr="009F0807">
        <w:rPr>
          <w:rFonts w:asciiTheme="minorHAnsi" w:hAnsiTheme="minorHAnsi" w:cstheme="minorHAnsi"/>
          <w:sz w:val="22"/>
          <w:szCs w:val="22"/>
        </w:rPr>
        <w:t xml:space="preserve">La </w:t>
      </w:r>
      <w:hyperlink r:id="rId16" w:history="1">
        <w:r w:rsidRPr="009F0807">
          <w:rPr>
            <w:rStyle w:val="Hyperlink"/>
            <w:rFonts w:asciiTheme="minorHAnsi" w:hAnsiTheme="minorHAnsi" w:cstheme="minorHAnsi"/>
            <w:sz w:val="22"/>
            <w:szCs w:val="22"/>
          </w:rPr>
          <w:t>Conferencia Estatal de Jóvenes «Cuidemos el Planeta» (CONFINT)</w:t>
        </w:r>
      </w:hyperlink>
      <w:r w:rsidRPr="009F0807">
        <w:rPr>
          <w:rFonts w:asciiTheme="minorHAnsi" w:hAnsiTheme="minorHAnsi" w:cstheme="minorHAnsi"/>
          <w:sz w:val="22"/>
          <w:szCs w:val="22"/>
        </w:rPr>
        <w:t>, pro</w:t>
      </w:r>
      <w:r w:rsidR="00531BF8">
        <w:rPr>
          <w:rFonts w:asciiTheme="minorHAnsi" w:hAnsiTheme="minorHAnsi" w:cstheme="minorHAnsi"/>
          <w:sz w:val="22"/>
          <w:szCs w:val="22"/>
        </w:rPr>
        <w:t xml:space="preserve">movida y coordinada por el Ministerio de </w:t>
      </w:r>
      <w:r w:rsidR="0039625A">
        <w:rPr>
          <w:rFonts w:asciiTheme="minorHAnsi" w:hAnsiTheme="minorHAnsi" w:cstheme="minorHAnsi"/>
          <w:sz w:val="22"/>
          <w:szCs w:val="22"/>
        </w:rPr>
        <w:t>Educación</w:t>
      </w:r>
      <w:r w:rsidR="00531BF8">
        <w:rPr>
          <w:rFonts w:asciiTheme="minorHAnsi" w:hAnsiTheme="minorHAnsi" w:cstheme="minorHAnsi"/>
          <w:sz w:val="22"/>
          <w:szCs w:val="22"/>
        </w:rPr>
        <w:t xml:space="preserve">, Formación Profesional y </w:t>
      </w:r>
      <w:r w:rsidR="0039625A">
        <w:rPr>
          <w:rFonts w:asciiTheme="minorHAnsi" w:hAnsiTheme="minorHAnsi" w:cstheme="minorHAnsi"/>
          <w:sz w:val="22"/>
          <w:szCs w:val="22"/>
        </w:rPr>
        <w:t>Deportes (MEFPD)</w:t>
      </w:r>
      <w:r w:rsidRPr="009F0807">
        <w:rPr>
          <w:rFonts w:asciiTheme="minorHAnsi" w:hAnsiTheme="minorHAnsi" w:cstheme="minorHAnsi"/>
          <w:sz w:val="22"/>
          <w:szCs w:val="22"/>
        </w:rPr>
        <w:t xml:space="preserve"> en colaboración con la Red Estatal de Escuelas hacia la Sostenibilidad en Red (ESenRED). </w:t>
      </w:r>
    </w:p>
    <w:p w14:paraId="7E3452BA" w14:textId="77777777" w:rsidR="00204C4D" w:rsidRDefault="00531BF8" w:rsidP="00531BF8">
      <w:pPr>
        <w:pStyle w:val="Default"/>
        <w:numPr>
          <w:ilvl w:val="0"/>
          <w:numId w:val="9"/>
        </w:numPr>
        <w:jc w:val="both"/>
        <w:rPr>
          <w:rFonts w:asciiTheme="minorHAnsi" w:hAnsiTheme="minorHAnsi" w:cstheme="minorHAnsi"/>
          <w:sz w:val="22"/>
          <w:szCs w:val="22"/>
        </w:rPr>
      </w:pPr>
      <w:r>
        <w:rPr>
          <w:rFonts w:asciiTheme="minorHAnsi" w:hAnsiTheme="minorHAnsi" w:cstheme="minorHAnsi"/>
          <w:sz w:val="22"/>
          <w:szCs w:val="22"/>
        </w:rPr>
        <w:t>L</w:t>
      </w:r>
      <w:r w:rsidR="00AE632B" w:rsidRPr="00531BF8">
        <w:rPr>
          <w:rFonts w:asciiTheme="minorHAnsi" w:hAnsiTheme="minorHAnsi" w:cstheme="minorHAnsi"/>
          <w:sz w:val="22"/>
          <w:szCs w:val="22"/>
        </w:rPr>
        <w:t>a participación del alumnado en el desarrollo de planes i</w:t>
      </w:r>
      <w:r w:rsidR="00161BDE">
        <w:rPr>
          <w:rFonts w:asciiTheme="minorHAnsi" w:hAnsiTheme="minorHAnsi" w:cstheme="minorHAnsi"/>
          <w:sz w:val="22"/>
          <w:szCs w:val="22"/>
        </w:rPr>
        <w:t xml:space="preserve">ntegrales de actuación que </w:t>
      </w:r>
      <w:r w:rsidR="003C2CE6">
        <w:rPr>
          <w:rFonts w:asciiTheme="minorHAnsi" w:hAnsiTheme="minorHAnsi" w:cstheme="minorHAnsi"/>
          <w:sz w:val="22"/>
          <w:szCs w:val="22"/>
        </w:rPr>
        <w:t>aúnan</w:t>
      </w:r>
      <w:r w:rsidR="00AE632B" w:rsidRPr="00531BF8">
        <w:rPr>
          <w:rFonts w:asciiTheme="minorHAnsi" w:hAnsiTheme="minorHAnsi" w:cstheme="minorHAnsi"/>
          <w:sz w:val="22"/>
          <w:szCs w:val="22"/>
        </w:rPr>
        <w:t xml:space="preserve"> las actividades de aula, la gestión democrática del centro y la colaboración</w:t>
      </w:r>
      <w:r>
        <w:rPr>
          <w:rFonts w:asciiTheme="minorHAnsi" w:hAnsiTheme="minorHAnsi" w:cstheme="minorHAnsi"/>
          <w:sz w:val="22"/>
          <w:szCs w:val="22"/>
        </w:rPr>
        <w:t xml:space="preserve"> con las entidades del entorno dentro</w:t>
      </w:r>
      <w:r w:rsidR="00161BDE">
        <w:rPr>
          <w:rFonts w:asciiTheme="minorHAnsi" w:hAnsiTheme="minorHAnsi" w:cstheme="minorHAnsi"/>
          <w:sz w:val="22"/>
          <w:szCs w:val="22"/>
        </w:rPr>
        <w:t>,</w:t>
      </w:r>
      <w:r>
        <w:rPr>
          <w:rFonts w:asciiTheme="minorHAnsi" w:hAnsiTheme="minorHAnsi" w:cstheme="minorHAnsi"/>
          <w:sz w:val="22"/>
          <w:szCs w:val="22"/>
        </w:rPr>
        <w:t xml:space="preserve"> </w:t>
      </w:r>
      <w:r w:rsidR="00161BDE">
        <w:rPr>
          <w:rFonts w:asciiTheme="minorHAnsi" w:hAnsiTheme="minorHAnsi" w:cstheme="minorHAnsi"/>
          <w:sz w:val="22"/>
          <w:szCs w:val="22"/>
        </w:rPr>
        <w:t xml:space="preserve">del mencionado </w:t>
      </w:r>
      <w:r w:rsidRPr="009F0807">
        <w:rPr>
          <w:rFonts w:asciiTheme="minorHAnsi" w:hAnsiTheme="minorHAnsi" w:cstheme="minorHAnsi"/>
          <w:sz w:val="22"/>
          <w:szCs w:val="22"/>
        </w:rPr>
        <w:t xml:space="preserve">Programa </w:t>
      </w:r>
      <w:hyperlink r:id="rId17" w:history="1">
        <w:r w:rsidRPr="00531BF8">
          <w:rPr>
            <w:rStyle w:val="Hyperlink"/>
            <w:rFonts w:asciiTheme="minorHAnsi" w:hAnsiTheme="minorHAnsi" w:cstheme="minorHAnsi"/>
            <w:sz w:val="22"/>
            <w:szCs w:val="22"/>
          </w:rPr>
          <w:t>PROA+ es</w:t>
        </w:r>
      </w:hyperlink>
      <w:r>
        <w:rPr>
          <w:rFonts w:asciiTheme="minorHAnsi" w:hAnsiTheme="minorHAnsi" w:cstheme="minorHAnsi"/>
          <w:sz w:val="22"/>
          <w:szCs w:val="22"/>
        </w:rPr>
        <w:t xml:space="preserve">. </w:t>
      </w:r>
    </w:p>
    <w:p w14:paraId="385696BE" w14:textId="77777777" w:rsidR="00531BF8" w:rsidRPr="00531BF8" w:rsidRDefault="00531BF8" w:rsidP="00531BF8">
      <w:pPr>
        <w:pStyle w:val="Default"/>
        <w:ind w:left="360"/>
        <w:jc w:val="both"/>
        <w:rPr>
          <w:rFonts w:asciiTheme="minorHAnsi" w:hAnsiTheme="minorHAnsi" w:cstheme="minorHAnsi"/>
          <w:sz w:val="22"/>
          <w:szCs w:val="22"/>
        </w:rPr>
      </w:pPr>
    </w:p>
    <w:p w14:paraId="6CE1C386" w14:textId="77777777" w:rsidR="00204C4D" w:rsidRPr="009F0807" w:rsidRDefault="004C3DA6" w:rsidP="004C3DA6">
      <w:pPr>
        <w:pStyle w:val="Default"/>
        <w:numPr>
          <w:ilvl w:val="0"/>
          <w:numId w:val="7"/>
        </w:numPr>
        <w:jc w:val="both"/>
        <w:rPr>
          <w:rFonts w:asciiTheme="minorHAnsi" w:eastAsiaTheme="minorHAnsi" w:hAnsiTheme="minorHAnsi" w:cstheme="minorHAnsi"/>
          <w:b/>
          <w:iCs/>
          <w:color w:val="auto"/>
          <w:sz w:val="22"/>
          <w:szCs w:val="22"/>
          <w:lang w:eastAsia="en-US"/>
        </w:rPr>
      </w:pPr>
      <w:r w:rsidRPr="009F0807">
        <w:rPr>
          <w:rFonts w:asciiTheme="minorHAnsi" w:eastAsiaTheme="minorHAnsi" w:hAnsiTheme="minorHAnsi" w:cstheme="minorHAnsi"/>
          <w:b/>
          <w:iCs/>
          <w:color w:val="auto"/>
          <w:sz w:val="22"/>
          <w:szCs w:val="22"/>
          <w:lang w:eastAsia="en-US"/>
        </w:rPr>
        <w:t>¿Cómo integrar un enfoque interseccional en la participación de los niños para garantizar que se tienen en cuenta los impactos diferenciados sobre los niños debidos a diversas discriminaciones, exclusiones o vulnerabilidades? Por favor, comparta cualquier buena práctica.</w:t>
      </w:r>
    </w:p>
    <w:p w14:paraId="2C16D6FB" w14:textId="77777777" w:rsidR="004F113F" w:rsidRDefault="00AE632B" w:rsidP="004F113F">
      <w:pPr>
        <w:pStyle w:val="ListParagraph"/>
        <w:spacing w:before="120" w:after="120"/>
        <w:ind w:left="0" w:firstLine="340"/>
        <w:rPr>
          <w:rFonts w:asciiTheme="minorHAnsi" w:hAnsiTheme="minorHAnsi" w:cstheme="minorHAnsi"/>
          <w:sz w:val="22"/>
          <w:szCs w:val="22"/>
        </w:rPr>
      </w:pPr>
      <w:r w:rsidRPr="009F0807">
        <w:rPr>
          <w:rFonts w:asciiTheme="minorHAnsi" w:hAnsiTheme="minorHAnsi" w:cstheme="minorHAnsi"/>
          <w:sz w:val="22"/>
          <w:szCs w:val="22"/>
        </w:rPr>
        <w:t>La LOMLOE refuerza la diversidad, la equidad y la capacidad inclusiva del sistema, adoptando un modelo inclusivo y moderno sin itinerarios segregadores para que este derecho llegue a aquellas personas en situ</w:t>
      </w:r>
      <w:r w:rsidR="00DA49F8">
        <w:rPr>
          <w:rFonts w:asciiTheme="minorHAnsi" w:hAnsiTheme="minorHAnsi" w:cstheme="minorHAnsi"/>
          <w:sz w:val="22"/>
          <w:szCs w:val="22"/>
        </w:rPr>
        <w:t>ación de mayor vulnerabilidad. C</w:t>
      </w:r>
      <w:r w:rsidR="004F113F">
        <w:rPr>
          <w:rFonts w:asciiTheme="minorHAnsi" w:hAnsiTheme="minorHAnsi" w:cstheme="minorHAnsi"/>
          <w:sz w:val="22"/>
          <w:szCs w:val="22"/>
        </w:rPr>
        <w:t xml:space="preserve">on este fin </w:t>
      </w:r>
      <w:r w:rsidR="00DA49F8">
        <w:rPr>
          <w:rFonts w:asciiTheme="minorHAnsi" w:hAnsiTheme="minorHAnsi" w:cstheme="minorHAnsi"/>
          <w:sz w:val="22"/>
          <w:szCs w:val="22"/>
        </w:rPr>
        <w:t>s</w:t>
      </w:r>
      <w:r w:rsidRPr="00DA49F8">
        <w:rPr>
          <w:rFonts w:asciiTheme="minorHAnsi" w:hAnsiTheme="minorHAnsi" w:cstheme="minorHAnsi"/>
          <w:sz w:val="22"/>
          <w:szCs w:val="22"/>
        </w:rPr>
        <w:t>e pone énfasis sobre la atención personalizada, la participación y la convivencia en el centro, los mecanismos de refuerzo y flexibilización o metodologías colaborativas y de refuerzo de autoestima, entre otros.</w:t>
      </w:r>
    </w:p>
    <w:p w14:paraId="034212DC" w14:textId="77777777" w:rsidR="007E7AD4" w:rsidRDefault="007E7AD4" w:rsidP="004F113F">
      <w:pPr>
        <w:pStyle w:val="ListParagraph"/>
        <w:spacing w:before="120" w:after="120"/>
        <w:ind w:left="0" w:firstLine="340"/>
        <w:rPr>
          <w:rFonts w:asciiTheme="minorHAnsi" w:hAnsiTheme="minorHAnsi" w:cstheme="minorHAnsi"/>
          <w:sz w:val="22"/>
          <w:szCs w:val="22"/>
        </w:rPr>
      </w:pPr>
    </w:p>
    <w:p w14:paraId="18DA33D4" w14:textId="77777777" w:rsidR="0039625A" w:rsidRDefault="004F113F" w:rsidP="0039625A">
      <w:pPr>
        <w:pStyle w:val="ListParagraph"/>
        <w:spacing w:before="120" w:after="120"/>
        <w:ind w:left="0" w:firstLine="340"/>
        <w:rPr>
          <w:rFonts w:asciiTheme="minorHAnsi" w:hAnsiTheme="minorHAnsi" w:cstheme="minorHAnsi"/>
          <w:sz w:val="22"/>
          <w:szCs w:val="22"/>
        </w:rPr>
      </w:pPr>
      <w:r>
        <w:rPr>
          <w:rFonts w:asciiTheme="minorHAnsi" w:hAnsiTheme="minorHAnsi" w:cstheme="minorHAnsi"/>
          <w:sz w:val="22"/>
          <w:szCs w:val="22"/>
        </w:rPr>
        <w:t>Las administraciones educativas de las diferentes C</w:t>
      </w:r>
      <w:r w:rsidR="007E7AD4">
        <w:rPr>
          <w:rFonts w:asciiTheme="minorHAnsi" w:hAnsiTheme="minorHAnsi" w:cstheme="minorHAnsi"/>
          <w:sz w:val="22"/>
          <w:szCs w:val="22"/>
        </w:rPr>
        <w:t>omun</w:t>
      </w:r>
      <w:r w:rsidR="003B29F8">
        <w:rPr>
          <w:rFonts w:asciiTheme="minorHAnsi" w:hAnsiTheme="minorHAnsi" w:cstheme="minorHAnsi"/>
          <w:sz w:val="22"/>
          <w:szCs w:val="22"/>
        </w:rPr>
        <w:t>ida</w:t>
      </w:r>
      <w:r>
        <w:rPr>
          <w:rFonts w:asciiTheme="minorHAnsi" w:hAnsiTheme="minorHAnsi" w:cstheme="minorHAnsi"/>
          <w:sz w:val="22"/>
          <w:szCs w:val="22"/>
        </w:rPr>
        <w:t>des Autónoma</w:t>
      </w:r>
      <w:r w:rsidR="003B29F8">
        <w:rPr>
          <w:rFonts w:asciiTheme="minorHAnsi" w:hAnsiTheme="minorHAnsi" w:cstheme="minorHAnsi"/>
          <w:sz w:val="22"/>
          <w:szCs w:val="22"/>
        </w:rPr>
        <w:t>s</w:t>
      </w:r>
      <w:r>
        <w:rPr>
          <w:rFonts w:asciiTheme="minorHAnsi" w:hAnsiTheme="minorHAnsi" w:cstheme="minorHAnsi"/>
          <w:sz w:val="22"/>
          <w:szCs w:val="22"/>
        </w:rPr>
        <w:t xml:space="preserve"> competentes en la materia</w:t>
      </w:r>
      <w:r w:rsidR="00301105">
        <w:rPr>
          <w:rFonts w:asciiTheme="minorHAnsi" w:hAnsiTheme="minorHAnsi" w:cstheme="minorHAnsi"/>
          <w:sz w:val="22"/>
          <w:szCs w:val="22"/>
        </w:rPr>
        <w:t xml:space="preserve"> disponen</w:t>
      </w:r>
      <w:r w:rsidR="00AE632B" w:rsidRPr="004F113F">
        <w:rPr>
          <w:rFonts w:asciiTheme="minorHAnsi" w:hAnsiTheme="minorHAnsi" w:cstheme="minorHAnsi"/>
          <w:sz w:val="22"/>
          <w:szCs w:val="22"/>
        </w:rPr>
        <w:t xml:space="preserve"> las medidas necesarias para evitar la segregación del alumnado por razones socioeconómicas o de otra naturaleza y garantizar una adecuada y equilibrada escolarización del alumnado con necesidad específica de apoyo educativo.  </w:t>
      </w:r>
    </w:p>
    <w:p w14:paraId="0602FE73" w14:textId="77777777" w:rsidR="0039625A" w:rsidRDefault="0039625A" w:rsidP="0039625A">
      <w:pPr>
        <w:pStyle w:val="ListParagraph"/>
        <w:spacing w:before="120" w:after="120"/>
        <w:ind w:left="0" w:firstLine="340"/>
        <w:rPr>
          <w:rFonts w:asciiTheme="minorHAnsi" w:hAnsiTheme="minorHAnsi" w:cstheme="minorHAnsi"/>
          <w:sz w:val="22"/>
          <w:szCs w:val="22"/>
        </w:rPr>
      </w:pPr>
    </w:p>
    <w:p w14:paraId="3BE82F42" w14:textId="77777777" w:rsidR="00AE632B" w:rsidRDefault="00AE632B" w:rsidP="0039625A">
      <w:pPr>
        <w:pStyle w:val="ListParagraph"/>
        <w:spacing w:before="120" w:after="120"/>
        <w:ind w:left="0" w:firstLine="340"/>
        <w:rPr>
          <w:rFonts w:asciiTheme="minorHAnsi" w:hAnsiTheme="minorHAnsi" w:cstheme="minorHAnsi"/>
          <w:sz w:val="22"/>
          <w:szCs w:val="22"/>
        </w:rPr>
      </w:pPr>
      <w:r w:rsidRPr="0039625A">
        <w:rPr>
          <w:rFonts w:asciiTheme="minorHAnsi" w:hAnsiTheme="minorHAnsi" w:cstheme="minorHAnsi"/>
          <w:sz w:val="22"/>
          <w:szCs w:val="22"/>
        </w:rPr>
        <w:t>La normativa otorga un papel importante a la autonomía de los centros adaptándose a su realidad sociocultural. Entre otros aspectos, esto se concreta en la elaboración de un Proyecto Educativo de Centro</w:t>
      </w:r>
      <w:r w:rsidR="0006270C">
        <w:rPr>
          <w:rFonts w:asciiTheme="minorHAnsi" w:hAnsiTheme="minorHAnsi" w:cstheme="minorHAnsi"/>
          <w:sz w:val="22"/>
          <w:szCs w:val="22"/>
        </w:rPr>
        <w:t xml:space="preserve"> (PEC)</w:t>
      </w:r>
      <w:r w:rsidRPr="0039625A">
        <w:rPr>
          <w:rFonts w:asciiTheme="minorHAnsi" w:hAnsiTheme="minorHAnsi" w:cstheme="minorHAnsi"/>
          <w:sz w:val="22"/>
          <w:szCs w:val="22"/>
        </w:rPr>
        <w:t xml:space="preserve">, adaptado a las características del alumnado y del entorno, así como la concreción de los currículos. Este Proyecto debe recoger también el tratamiento de la educación en valores y no discriminación, así como la elaboración de un Plan de convivencia. </w:t>
      </w:r>
    </w:p>
    <w:p w14:paraId="5569DAA1" w14:textId="77777777" w:rsidR="0039625A" w:rsidRDefault="0039625A" w:rsidP="0039625A">
      <w:pPr>
        <w:pStyle w:val="ListParagraph"/>
        <w:spacing w:before="120" w:after="120"/>
        <w:ind w:left="340"/>
        <w:rPr>
          <w:rFonts w:asciiTheme="minorHAnsi" w:hAnsiTheme="minorHAnsi" w:cstheme="minorHAnsi"/>
          <w:sz w:val="22"/>
          <w:szCs w:val="22"/>
        </w:rPr>
      </w:pPr>
    </w:p>
    <w:p w14:paraId="58F542A8" w14:textId="77777777" w:rsidR="0039625A" w:rsidRPr="00CD716E" w:rsidRDefault="0039625A" w:rsidP="0039625A">
      <w:pPr>
        <w:pStyle w:val="ListParagraph"/>
        <w:spacing w:before="120" w:after="120"/>
        <w:ind w:left="340"/>
        <w:rPr>
          <w:rFonts w:asciiTheme="minorHAnsi" w:hAnsiTheme="minorHAnsi" w:cstheme="minorHAnsi"/>
          <w:sz w:val="22"/>
          <w:szCs w:val="22"/>
        </w:rPr>
      </w:pPr>
      <w:r w:rsidRPr="00CD716E">
        <w:rPr>
          <w:rFonts w:asciiTheme="minorHAnsi" w:hAnsiTheme="minorHAnsi" w:cstheme="minorHAnsi"/>
          <w:sz w:val="22"/>
          <w:szCs w:val="22"/>
        </w:rPr>
        <w:t>Ejemplos:</w:t>
      </w:r>
    </w:p>
    <w:p w14:paraId="540AFDA6" w14:textId="77777777" w:rsidR="00284C13" w:rsidRDefault="00F207A0" w:rsidP="00284C13">
      <w:pPr>
        <w:pStyle w:val="Default"/>
        <w:numPr>
          <w:ilvl w:val="0"/>
          <w:numId w:val="9"/>
        </w:numPr>
        <w:jc w:val="both"/>
        <w:rPr>
          <w:rFonts w:asciiTheme="minorHAnsi" w:hAnsiTheme="minorHAnsi" w:cstheme="minorHAnsi"/>
          <w:sz w:val="22"/>
          <w:szCs w:val="22"/>
        </w:rPr>
      </w:pPr>
      <w:hyperlink r:id="rId18" w:history="1">
        <w:r w:rsidR="00AE632B" w:rsidRPr="009F0807">
          <w:rPr>
            <w:rStyle w:val="Hyperlink"/>
            <w:rFonts w:asciiTheme="minorHAnsi" w:hAnsiTheme="minorHAnsi" w:cstheme="minorHAnsi"/>
            <w:sz w:val="22"/>
            <w:szCs w:val="22"/>
          </w:rPr>
          <w:t>Concurso Nacional de Buenas Prácticas en centros docentes</w:t>
        </w:r>
      </w:hyperlink>
      <w:r w:rsidR="00AE632B" w:rsidRPr="009F0807">
        <w:rPr>
          <w:rFonts w:asciiTheme="minorHAnsi" w:hAnsiTheme="minorHAnsi" w:cstheme="minorHAnsi"/>
          <w:color w:val="C45911" w:themeColor="accent2" w:themeShade="BF"/>
          <w:sz w:val="22"/>
          <w:szCs w:val="22"/>
        </w:rPr>
        <w:t xml:space="preserve">. </w:t>
      </w:r>
      <w:r w:rsidR="00AE632B" w:rsidRPr="009F0807">
        <w:rPr>
          <w:rFonts w:asciiTheme="minorHAnsi" w:hAnsiTheme="minorHAnsi" w:cstheme="minorHAnsi"/>
          <w:sz w:val="22"/>
          <w:szCs w:val="22"/>
        </w:rPr>
        <w:t xml:space="preserve">Promovido por el MEFPD, </w:t>
      </w:r>
      <w:r w:rsidR="00284C13">
        <w:rPr>
          <w:rFonts w:asciiTheme="minorHAnsi" w:hAnsiTheme="minorHAnsi" w:cstheme="minorHAnsi"/>
          <w:sz w:val="22"/>
          <w:szCs w:val="22"/>
        </w:rPr>
        <w:t>con el fin de resaltar el</w:t>
      </w:r>
      <w:r w:rsidR="00AE632B" w:rsidRPr="009F0807">
        <w:rPr>
          <w:rFonts w:asciiTheme="minorHAnsi" w:hAnsiTheme="minorHAnsi" w:cstheme="minorHAnsi"/>
          <w:sz w:val="22"/>
          <w:szCs w:val="22"/>
        </w:rPr>
        <w:t xml:space="preserve"> reconocimiento a aquellos centros docentes españoles que impartan enseñanzas no universitarias del sistema educativo, y que desarrollen proyectos que contribuyan a la mejora de la calidad educativa. Entre las categorías del concurso se encuentran el fomento de la Convivencia Escolar y la Educación inclusiva. </w:t>
      </w:r>
    </w:p>
    <w:p w14:paraId="44B1A23F" w14:textId="77777777" w:rsidR="00284C13" w:rsidRDefault="00284C13" w:rsidP="00284C13">
      <w:pPr>
        <w:pStyle w:val="Default"/>
        <w:ind w:left="360"/>
        <w:jc w:val="both"/>
        <w:rPr>
          <w:rFonts w:asciiTheme="minorHAnsi" w:hAnsiTheme="minorHAnsi" w:cstheme="minorHAnsi"/>
          <w:sz w:val="22"/>
          <w:szCs w:val="22"/>
        </w:rPr>
      </w:pPr>
    </w:p>
    <w:p w14:paraId="6DAA15AA" w14:textId="77777777" w:rsidR="00AE632B" w:rsidRPr="00284C13" w:rsidRDefault="00AE632B" w:rsidP="00284C13">
      <w:pPr>
        <w:pStyle w:val="Default"/>
        <w:numPr>
          <w:ilvl w:val="0"/>
          <w:numId w:val="9"/>
        </w:numPr>
        <w:jc w:val="both"/>
        <w:rPr>
          <w:rFonts w:asciiTheme="minorHAnsi" w:hAnsiTheme="minorHAnsi" w:cstheme="minorHAnsi"/>
          <w:sz w:val="22"/>
          <w:szCs w:val="22"/>
        </w:rPr>
      </w:pPr>
      <w:r w:rsidRPr="00284C13">
        <w:rPr>
          <w:rFonts w:asciiTheme="minorHAnsi" w:hAnsiTheme="minorHAnsi" w:cstheme="minorHAnsi"/>
          <w:sz w:val="22"/>
          <w:szCs w:val="22"/>
        </w:rPr>
        <w:t xml:space="preserve">El </w:t>
      </w:r>
      <w:hyperlink r:id="rId19" w:history="1">
        <w:r w:rsidRPr="00284C13">
          <w:rPr>
            <w:rStyle w:val="Hyperlink"/>
            <w:rFonts w:asciiTheme="minorHAnsi" w:hAnsiTheme="minorHAnsi" w:cstheme="minorHAnsi"/>
            <w:sz w:val="22"/>
            <w:szCs w:val="22"/>
          </w:rPr>
          <w:t>programa MUS-E</w:t>
        </w:r>
      </w:hyperlink>
      <w:r w:rsidRPr="00284C13">
        <w:rPr>
          <w:rFonts w:asciiTheme="minorHAnsi" w:hAnsiTheme="minorHAnsi" w:cstheme="minorHAnsi"/>
          <w:color w:val="C45911" w:themeColor="accent2" w:themeShade="BF"/>
          <w:sz w:val="22"/>
          <w:szCs w:val="22"/>
        </w:rPr>
        <w:t xml:space="preserve"> </w:t>
      </w:r>
      <w:r w:rsidRPr="00284C13">
        <w:rPr>
          <w:rFonts w:asciiTheme="minorHAnsi" w:hAnsiTheme="minorHAnsi" w:cstheme="minorHAnsi"/>
          <w:sz w:val="22"/>
          <w:szCs w:val="22"/>
        </w:rPr>
        <w:t>para la inclusión educativa desde un enfoque global en centros vulnerables y con a</w:t>
      </w:r>
      <w:r w:rsidR="00284C13">
        <w:rPr>
          <w:rFonts w:asciiTheme="minorHAnsi" w:hAnsiTheme="minorHAnsi" w:cstheme="minorHAnsi"/>
          <w:sz w:val="22"/>
          <w:szCs w:val="22"/>
        </w:rPr>
        <w:t>mplia diversidad cultural. Pro</w:t>
      </w:r>
      <w:r w:rsidRPr="00284C13">
        <w:rPr>
          <w:rFonts w:asciiTheme="minorHAnsi" w:hAnsiTheme="minorHAnsi" w:cstheme="minorHAnsi"/>
          <w:sz w:val="22"/>
          <w:szCs w:val="22"/>
        </w:rPr>
        <w:t xml:space="preserve">movido por el MEFPD y las Administraciones educativas y llevado a cabo por la Fundación Yeyudhi Menuhim. </w:t>
      </w:r>
    </w:p>
    <w:p w14:paraId="310DFF3D" w14:textId="77777777" w:rsidR="00204C4D" w:rsidRPr="009F0807" w:rsidRDefault="00204C4D" w:rsidP="00AE632B">
      <w:pPr>
        <w:rPr>
          <w:rFonts w:asciiTheme="minorHAnsi" w:hAnsiTheme="minorHAnsi" w:cstheme="minorHAnsi"/>
          <w:b/>
          <w:iCs/>
          <w:sz w:val="22"/>
          <w:szCs w:val="22"/>
        </w:rPr>
      </w:pPr>
    </w:p>
    <w:p w14:paraId="010590F8" w14:textId="77777777" w:rsidR="00204C4D" w:rsidRPr="009F0807" w:rsidRDefault="004C3DA6" w:rsidP="004C3DA6">
      <w:pPr>
        <w:pStyle w:val="Default"/>
        <w:numPr>
          <w:ilvl w:val="0"/>
          <w:numId w:val="7"/>
        </w:numPr>
        <w:jc w:val="both"/>
        <w:rPr>
          <w:rFonts w:asciiTheme="minorHAnsi" w:eastAsiaTheme="minorHAnsi" w:hAnsiTheme="minorHAnsi" w:cstheme="minorHAnsi"/>
          <w:b/>
          <w:iCs/>
          <w:color w:val="auto"/>
          <w:sz w:val="22"/>
          <w:szCs w:val="22"/>
          <w:lang w:eastAsia="en-US"/>
        </w:rPr>
      </w:pPr>
      <w:r w:rsidRPr="009F0807">
        <w:rPr>
          <w:rFonts w:asciiTheme="minorHAnsi" w:eastAsiaTheme="minorHAnsi" w:hAnsiTheme="minorHAnsi" w:cstheme="minorHAnsi"/>
          <w:b/>
          <w:iCs/>
          <w:color w:val="auto"/>
          <w:sz w:val="22"/>
          <w:szCs w:val="22"/>
          <w:lang w:eastAsia="en-US"/>
        </w:rPr>
        <w:t>¿Qué medidas deberían adoptarse para proteger y empodera</w:t>
      </w:r>
      <w:r w:rsidR="00204C4D" w:rsidRPr="009F0807">
        <w:rPr>
          <w:rFonts w:asciiTheme="minorHAnsi" w:eastAsiaTheme="minorHAnsi" w:hAnsiTheme="minorHAnsi" w:cstheme="minorHAnsi"/>
          <w:b/>
          <w:iCs/>
          <w:color w:val="auto"/>
          <w:sz w:val="22"/>
          <w:szCs w:val="22"/>
          <w:lang w:eastAsia="en-US"/>
        </w:rPr>
        <w:t xml:space="preserve">r a los niños defensores de los </w:t>
      </w:r>
      <w:r w:rsidRPr="009F0807">
        <w:rPr>
          <w:rFonts w:asciiTheme="minorHAnsi" w:eastAsiaTheme="minorHAnsi" w:hAnsiTheme="minorHAnsi" w:cstheme="minorHAnsi"/>
          <w:b/>
          <w:iCs/>
          <w:color w:val="auto"/>
          <w:sz w:val="22"/>
          <w:szCs w:val="22"/>
          <w:lang w:eastAsia="en-US"/>
        </w:rPr>
        <w:t xml:space="preserve">derechos humanos? </w:t>
      </w:r>
    </w:p>
    <w:p w14:paraId="4D972A59" w14:textId="77777777" w:rsidR="00284C13" w:rsidRPr="00284C13" w:rsidRDefault="00AE632B" w:rsidP="00284C13">
      <w:pPr>
        <w:pStyle w:val="ListParagraph"/>
        <w:spacing w:before="120" w:after="120"/>
        <w:ind w:left="360"/>
        <w:rPr>
          <w:rFonts w:asciiTheme="minorHAnsi" w:hAnsiTheme="minorHAnsi" w:cstheme="minorHAnsi"/>
          <w:sz w:val="22"/>
          <w:szCs w:val="22"/>
        </w:rPr>
      </w:pPr>
      <w:r w:rsidRPr="009F0807">
        <w:rPr>
          <w:rFonts w:asciiTheme="minorHAnsi" w:hAnsiTheme="minorHAnsi" w:cstheme="minorHAnsi"/>
          <w:sz w:val="22"/>
          <w:szCs w:val="22"/>
        </w:rPr>
        <w:t>Desde el ámbito educativo se consideran necesarias las siguientes medidas:</w:t>
      </w:r>
    </w:p>
    <w:p w14:paraId="3B407146" w14:textId="77777777" w:rsidR="0010159F" w:rsidRDefault="00024C8A" w:rsidP="0010159F">
      <w:pPr>
        <w:pStyle w:val="Default"/>
        <w:numPr>
          <w:ilvl w:val="0"/>
          <w:numId w:val="9"/>
        </w:numPr>
        <w:jc w:val="both"/>
        <w:rPr>
          <w:rFonts w:asciiTheme="minorHAnsi" w:hAnsiTheme="minorHAnsi" w:cstheme="minorHAnsi"/>
          <w:sz w:val="22"/>
          <w:szCs w:val="22"/>
        </w:rPr>
      </w:pPr>
      <w:r>
        <w:rPr>
          <w:rFonts w:asciiTheme="minorHAnsi" w:hAnsiTheme="minorHAnsi" w:cstheme="minorHAnsi"/>
          <w:sz w:val="22"/>
          <w:szCs w:val="22"/>
        </w:rPr>
        <w:t xml:space="preserve">Un </w:t>
      </w:r>
      <w:r w:rsidR="00AE632B" w:rsidRPr="009F0807">
        <w:rPr>
          <w:rFonts w:asciiTheme="minorHAnsi" w:hAnsiTheme="minorHAnsi" w:cstheme="minorHAnsi"/>
          <w:sz w:val="22"/>
          <w:szCs w:val="22"/>
        </w:rPr>
        <w:t xml:space="preserve">marco normativo que permita y asegure la educación sobre derechos humanos y garantice la protección de estos derechos en el ámbito </w:t>
      </w:r>
      <w:r>
        <w:rPr>
          <w:rFonts w:asciiTheme="minorHAnsi" w:hAnsiTheme="minorHAnsi" w:cstheme="minorHAnsi"/>
          <w:sz w:val="22"/>
          <w:szCs w:val="22"/>
        </w:rPr>
        <w:t>escolar.</w:t>
      </w:r>
    </w:p>
    <w:p w14:paraId="324660AC" w14:textId="77777777" w:rsidR="0010159F" w:rsidRDefault="0010159F" w:rsidP="0010159F">
      <w:pPr>
        <w:pStyle w:val="Default"/>
        <w:ind w:left="360"/>
        <w:jc w:val="both"/>
        <w:rPr>
          <w:rFonts w:asciiTheme="minorHAnsi" w:hAnsiTheme="minorHAnsi" w:cstheme="minorHAnsi"/>
          <w:sz w:val="22"/>
          <w:szCs w:val="22"/>
        </w:rPr>
      </w:pPr>
    </w:p>
    <w:p w14:paraId="50F782F2" w14:textId="77777777" w:rsidR="00024C8A" w:rsidRPr="0010159F" w:rsidRDefault="00AE632B" w:rsidP="0010159F">
      <w:pPr>
        <w:pStyle w:val="Default"/>
        <w:numPr>
          <w:ilvl w:val="0"/>
          <w:numId w:val="9"/>
        </w:numPr>
        <w:jc w:val="both"/>
        <w:rPr>
          <w:rFonts w:asciiTheme="minorHAnsi" w:hAnsiTheme="minorHAnsi" w:cstheme="minorHAnsi"/>
          <w:sz w:val="22"/>
          <w:szCs w:val="22"/>
        </w:rPr>
      </w:pPr>
      <w:r w:rsidRPr="0010159F">
        <w:rPr>
          <w:rFonts w:asciiTheme="minorHAnsi" w:hAnsiTheme="minorHAnsi" w:cstheme="minorHAnsi"/>
          <w:sz w:val="22"/>
          <w:szCs w:val="22"/>
        </w:rPr>
        <w:t>Un currículo basado en el desarrollo de competencias clave que incluya el desarro</w:t>
      </w:r>
      <w:r w:rsidR="00024C8A" w:rsidRPr="0010159F">
        <w:rPr>
          <w:rFonts w:asciiTheme="minorHAnsi" w:hAnsiTheme="minorHAnsi" w:cstheme="minorHAnsi"/>
          <w:sz w:val="22"/>
          <w:szCs w:val="22"/>
        </w:rPr>
        <w:t>llo de la competencia ciudadana.</w:t>
      </w:r>
    </w:p>
    <w:p w14:paraId="42675D4C" w14:textId="77777777" w:rsidR="00024C8A" w:rsidRPr="00024C8A" w:rsidRDefault="00024C8A" w:rsidP="00024C8A">
      <w:pPr>
        <w:pStyle w:val="Default"/>
        <w:jc w:val="both"/>
        <w:rPr>
          <w:rFonts w:asciiTheme="minorHAnsi" w:hAnsiTheme="minorHAnsi" w:cstheme="minorHAnsi"/>
          <w:sz w:val="22"/>
          <w:szCs w:val="22"/>
        </w:rPr>
      </w:pPr>
    </w:p>
    <w:p w14:paraId="12730F38" w14:textId="77777777" w:rsidR="0070364D" w:rsidRDefault="00024C8A" w:rsidP="0070364D">
      <w:pPr>
        <w:pStyle w:val="Default"/>
        <w:numPr>
          <w:ilvl w:val="0"/>
          <w:numId w:val="9"/>
        </w:numPr>
        <w:jc w:val="both"/>
        <w:rPr>
          <w:rFonts w:asciiTheme="minorHAnsi" w:hAnsiTheme="minorHAnsi" w:cstheme="minorHAnsi"/>
          <w:sz w:val="22"/>
          <w:szCs w:val="22"/>
        </w:rPr>
      </w:pPr>
      <w:r w:rsidRPr="0070364D">
        <w:rPr>
          <w:rFonts w:asciiTheme="minorHAnsi" w:hAnsiTheme="minorHAnsi" w:cstheme="minorHAnsi"/>
          <w:sz w:val="22"/>
          <w:szCs w:val="22"/>
        </w:rPr>
        <w:t>P</w:t>
      </w:r>
      <w:r w:rsidR="00AE632B" w:rsidRPr="0070364D">
        <w:rPr>
          <w:rFonts w:asciiTheme="minorHAnsi" w:hAnsiTheme="minorHAnsi" w:cstheme="minorHAnsi"/>
          <w:sz w:val="22"/>
          <w:szCs w:val="22"/>
        </w:rPr>
        <w:t xml:space="preserve">lanes de convivencia </w:t>
      </w:r>
      <w:r w:rsidR="0070364D" w:rsidRPr="0070364D">
        <w:rPr>
          <w:rFonts w:asciiTheme="minorHAnsi" w:hAnsiTheme="minorHAnsi" w:cstheme="minorHAnsi"/>
          <w:sz w:val="22"/>
          <w:szCs w:val="22"/>
        </w:rPr>
        <w:t xml:space="preserve">y </w:t>
      </w:r>
      <w:r w:rsidR="00AE632B" w:rsidRPr="0070364D">
        <w:rPr>
          <w:rFonts w:asciiTheme="minorHAnsi" w:hAnsiTheme="minorHAnsi" w:cstheme="minorHAnsi"/>
          <w:sz w:val="22"/>
          <w:szCs w:val="22"/>
        </w:rPr>
        <w:t xml:space="preserve">protocolos de actuación </w:t>
      </w:r>
      <w:r w:rsidR="0070364D" w:rsidRPr="0070364D">
        <w:rPr>
          <w:rFonts w:asciiTheme="minorHAnsi" w:hAnsiTheme="minorHAnsi" w:cstheme="minorHAnsi"/>
          <w:sz w:val="22"/>
          <w:szCs w:val="22"/>
        </w:rPr>
        <w:t xml:space="preserve">en los centros </w:t>
      </w:r>
      <w:r w:rsidR="00AE632B" w:rsidRPr="0070364D">
        <w:rPr>
          <w:rFonts w:asciiTheme="minorHAnsi" w:hAnsiTheme="minorHAnsi" w:cstheme="minorHAnsi"/>
          <w:sz w:val="22"/>
          <w:szCs w:val="22"/>
        </w:rPr>
        <w:t>para la mejora de la convivencia y coordinadores de bienestar y protección</w:t>
      </w:r>
      <w:r w:rsidRPr="0070364D">
        <w:rPr>
          <w:rFonts w:asciiTheme="minorHAnsi" w:hAnsiTheme="minorHAnsi" w:cstheme="minorHAnsi"/>
          <w:sz w:val="22"/>
          <w:szCs w:val="22"/>
        </w:rPr>
        <w:t>.</w:t>
      </w:r>
    </w:p>
    <w:p w14:paraId="631B8C51" w14:textId="77777777" w:rsidR="0070364D" w:rsidRPr="0070364D" w:rsidRDefault="0070364D" w:rsidP="0070364D">
      <w:pPr>
        <w:pStyle w:val="Default"/>
        <w:jc w:val="both"/>
        <w:rPr>
          <w:rFonts w:asciiTheme="minorHAnsi" w:hAnsiTheme="minorHAnsi" w:cstheme="minorHAnsi"/>
          <w:sz w:val="22"/>
          <w:szCs w:val="22"/>
        </w:rPr>
      </w:pPr>
    </w:p>
    <w:p w14:paraId="32E2E960" w14:textId="77777777" w:rsidR="003C2CE6" w:rsidRDefault="00AE632B" w:rsidP="003C2CE6">
      <w:pPr>
        <w:pStyle w:val="Default"/>
        <w:numPr>
          <w:ilvl w:val="0"/>
          <w:numId w:val="9"/>
        </w:numPr>
        <w:jc w:val="both"/>
        <w:rPr>
          <w:rFonts w:asciiTheme="minorHAnsi" w:hAnsiTheme="minorHAnsi" w:cstheme="minorHAnsi"/>
          <w:sz w:val="22"/>
          <w:szCs w:val="22"/>
        </w:rPr>
      </w:pPr>
      <w:r w:rsidRPr="0070364D">
        <w:rPr>
          <w:rFonts w:asciiTheme="minorHAnsi" w:hAnsiTheme="minorHAnsi" w:cstheme="minorHAnsi"/>
          <w:sz w:val="22"/>
          <w:szCs w:val="22"/>
        </w:rPr>
        <w:t xml:space="preserve">Implementación de metodologías activas centradas en el alumno, que faciliten el desarrollo de su autonomía como persona y como ciudadano. </w:t>
      </w:r>
    </w:p>
    <w:p w14:paraId="461FDB92" w14:textId="77777777" w:rsidR="003C2CE6" w:rsidRPr="003C2CE6" w:rsidRDefault="003C2CE6" w:rsidP="003C2CE6">
      <w:pPr>
        <w:pStyle w:val="Default"/>
        <w:jc w:val="both"/>
        <w:rPr>
          <w:rFonts w:asciiTheme="minorHAnsi" w:hAnsiTheme="minorHAnsi" w:cstheme="minorHAnsi"/>
          <w:sz w:val="22"/>
          <w:szCs w:val="22"/>
        </w:rPr>
      </w:pPr>
    </w:p>
    <w:p w14:paraId="4F3745C2" w14:textId="77777777" w:rsidR="00AE632B" w:rsidRDefault="00AE632B" w:rsidP="003C2CE6">
      <w:pPr>
        <w:pStyle w:val="Default"/>
        <w:numPr>
          <w:ilvl w:val="0"/>
          <w:numId w:val="9"/>
        </w:numPr>
        <w:jc w:val="both"/>
        <w:rPr>
          <w:rFonts w:asciiTheme="minorHAnsi" w:hAnsiTheme="minorHAnsi" w:cstheme="minorHAnsi"/>
          <w:sz w:val="22"/>
          <w:szCs w:val="22"/>
        </w:rPr>
      </w:pPr>
      <w:r w:rsidRPr="003C2CE6">
        <w:rPr>
          <w:rFonts w:asciiTheme="minorHAnsi" w:hAnsiTheme="minorHAnsi" w:cstheme="minorHAnsi"/>
          <w:sz w:val="22"/>
          <w:szCs w:val="22"/>
        </w:rPr>
        <w:t>Oferta de formación inicial y continua del profesorado para fomentar el desarrollo del pensamiento crítico y la educación para una ciudadanía activa, comprometida y responsable</w:t>
      </w:r>
      <w:r w:rsidR="003C2CE6">
        <w:rPr>
          <w:rFonts w:asciiTheme="minorHAnsi" w:hAnsiTheme="minorHAnsi" w:cstheme="minorHAnsi"/>
          <w:sz w:val="22"/>
          <w:szCs w:val="22"/>
        </w:rPr>
        <w:t>.</w:t>
      </w:r>
    </w:p>
    <w:p w14:paraId="167BF587" w14:textId="77777777" w:rsidR="003C2CE6" w:rsidRPr="003C2CE6" w:rsidRDefault="003C2CE6" w:rsidP="003C2CE6">
      <w:pPr>
        <w:pStyle w:val="Default"/>
        <w:jc w:val="both"/>
        <w:rPr>
          <w:rFonts w:asciiTheme="minorHAnsi" w:hAnsiTheme="minorHAnsi" w:cstheme="minorHAnsi"/>
          <w:sz w:val="22"/>
          <w:szCs w:val="22"/>
        </w:rPr>
      </w:pPr>
    </w:p>
    <w:p w14:paraId="2C86EB8D" w14:textId="77777777" w:rsidR="001C5F10" w:rsidRPr="009F0807" w:rsidRDefault="004C3DA6" w:rsidP="004C3DA6">
      <w:pPr>
        <w:pStyle w:val="Default"/>
        <w:numPr>
          <w:ilvl w:val="0"/>
          <w:numId w:val="7"/>
        </w:numPr>
        <w:jc w:val="both"/>
        <w:rPr>
          <w:rFonts w:asciiTheme="minorHAnsi" w:eastAsiaTheme="minorHAnsi" w:hAnsiTheme="minorHAnsi" w:cstheme="minorHAnsi"/>
          <w:b/>
          <w:iCs/>
          <w:color w:val="auto"/>
          <w:sz w:val="22"/>
          <w:szCs w:val="22"/>
          <w:lang w:eastAsia="en-US"/>
        </w:rPr>
      </w:pPr>
      <w:r w:rsidRPr="009F0807">
        <w:rPr>
          <w:rFonts w:asciiTheme="minorHAnsi" w:eastAsiaTheme="minorHAnsi" w:hAnsiTheme="minorHAnsi" w:cstheme="minorHAnsi"/>
          <w:b/>
          <w:iCs/>
          <w:color w:val="auto"/>
          <w:sz w:val="22"/>
          <w:szCs w:val="22"/>
          <w:lang w:eastAsia="en-US"/>
        </w:rPr>
        <w:t>¿Cómo crear mecanismos de reparación judiciales y no judiciales adaptados a los niños para hacer frente a las violaciones de sus derechos en el contexto de las políticas, proyectos o programas de desarrollo?</w:t>
      </w:r>
    </w:p>
    <w:p w14:paraId="4F0739D8" w14:textId="77777777" w:rsidR="00AE699C" w:rsidRPr="009F0807" w:rsidRDefault="00AE699C" w:rsidP="00AE699C">
      <w:pPr>
        <w:pStyle w:val="Default"/>
        <w:ind w:left="360"/>
        <w:jc w:val="both"/>
        <w:rPr>
          <w:rFonts w:asciiTheme="minorHAnsi" w:hAnsiTheme="minorHAnsi" w:cstheme="minorHAnsi"/>
          <w:sz w:val="22"/>
          <w:szCs w:val="22"/>
          <w:lang w:val="es-ES_tradnl" w:eastAsia="en-GB"/>
        </w:rPr>
      </w:pPr>
    </w:p>
    <w:p w14:paraId="6342E118" w14:textId="77777777" w:rsidR="00D058E2" w:rsidRDefault="00D058E2" w:rsidP="00D058E2">
      <w:pPr>
        <w:spacing w:before="120" w:after="120"/>
        <w:ind w:firstLine="360"/>
        <w:rPr>
          <w:rFonts w:asciiTheme="minorHAnsi" w:hAnsiTheme="minorHAnsi" w:cstheme="minorHAnsi"/>
          <w:sz w:val="22"/>
          <w:szCs w:val="22"/>
        </w:rPr>
      </w:pPr>
      <w:r>
        <w:rPr>
          <w:rFonts w:asciiTheme="minorHAnsi" w:hAnsiTheme="minorHAnsi" w:cstheme="minorHAnsi"/>
          <w:sz w:val="22"/>
          <w:szCs w:val="22"/>
          <w:lang w:val="es-ES_tradnl"/>
        </w:rPr>
        <w:t>En España, la</w:t>
      </w:r>
      <w:r w:rsidR="00024C8A" w:rsidRPr="00D058E2">
        <w:rPr>
          <w:rFonts w:asciiTheme="minorHAnsi" w:hAnsiTheme="minorHAnsi" w:cstheme="minorHAnsi"/>
          <w:sz w:val="22"/>
          <w:szCs w:val="22"/>
        </w:rPr>
        <w:t xml:space="preserve"> LOE establece la elaboración de un plan de convivencia en los cen</w:t>
      </w:r>
      <w:r w:rsidR="003C2CE6" w:rsidRPr="00D058E2">
        <w:rPr>
          <w:rFonts w:asciiTheme="minorHAnsi" w:hAnsiTheme="minorHAnsi" w:cstheme="minorHAnsi"/>
          <w:sz w:val="22"/>
          <w:szCs w:val="22"/>
        </w:rPr>
        <w:t>tros. En dicho plan se recogen</w:t>
      </w:r>
      <w:r w:rsidR="00024C8A" w:rsidRPr="00D058E2">
        <w:rPr>
          <w:rFonts w:asciiTheme="minorHAnsi" w:hAnsiTheme="minorHAnsi" w:cstheme="minorHAnsi"/>
          <w:sz w:val="22"/>
          <w:szCs w:val="22"/>
        </w:rPr>
        <w:t xml:space="preserve"> las actividades programadas para fomentar un buen clima de convivencia dentro del centro escolar, los derechos y deberes de los alumnos y alumnas y las medidas correctoras aplicables en caso de su incumplimiento, la realización de actuaciones para la resolución pacífica de conflictos. Además, todos los centros deben designar un coordinador o coordinadora de bienestar y protección.</w:t>
      </w:r>
    </w:p>
    <w:p w14:paraId="17C23674" w14:textId="77777777" w:rsidR="00D058E2" w:rsidRDefault="0006270C" w:rsidP="00D058E2">
      <w:pPr>
        <w:spacing w:before="120" w:after="120"/>
        <w:ind w:firstLine="360"/>
        <w:rPr>
          <w:rFonts w:asciiTheme="minorHAnsi" w:hAnsiTheme="minorHAnsi" w:cstheme="minorHAnsi"/>
          <w:sz w:val="22"/>
          <w:szCs w:val="22"/>
        </w:rPr>
      </w:pPr>
      <w:r>
        <w:rPr>
          <w:rFonts w:asciiTheme="minorHAnsi" w:hAnsiTheme="minorHAnsi" w:cstheme="minorHAnsi"/>
          <w:sz w:val="22"/>
          <w:szCs w:val="22"/>
        </w:rPr>
        <w:t>Asimismo, las a</w:t>
      </w:r>
      <w:r w:rsidR="00024C8A" w:rsidRPr="00D058E2">
        <w:rPr>
          <w:rFonts w:asciiTheme="minorHAnsi" w:hAnsiTheme="minorHAnsi" w:cstheme="minorHAnsi"/>
          <w:sz w:val="22"/>
          <w:szCs w:val="22"/>
        </w:rPr>
        <w:t xml:space="preserve">dministraciones educativas </w:t>
      </w:r>
      <w:r w:rsidR="00D058E2">
        <w:rPr>
          <w:rFonts w:asciiTheme="minorHAnsi" w:hAnsiTheme="minorHAnsi" w:cstheme="minorHAnsi"/>
          <w:sz w:val="22"/>
          <w:szCs w:val="22"/>
        </w:rPr>
        <w:t>de las distintas Comunidades Autónoma</w:t>
      </w:r>
      <w:r>
        <w:rPr>
          <w:rFonts w:asciiTheme="minorHAnsi" w:hAnsiTheme="minorHAnsi" w:cstheme="minorHAnsi"/>
          <w:sz w:val="22"/>
          <w:szCs w:val="22"/>
        </w:rPr>
        <w:t>s</w:t>
      </w:r>
      <w:r w:rsidR="00D058E2">
        <w:rPr>
          <w:rFonts w:asciiTheme="minorHAnsi" w:hAnsiTheme="minorHAnsi" w:cstheme="minorHAnsi"/>
          <w:sz w:val="22"/>
          <w:szCs w:val="22"/>
        </w:rPr>
        <w:t xml:space="preserve"> competentes </w:t>
      </w:r>
      <w:r w:rsidR="00024C8A" w:rsidRPr="00D058E2">
        <w:rPr>
          <w:rFonts w:asciiTheme="minorHAnsi" w:hAnsiTheme="minorHAnsi" w:cstheme="minorHAnsi"/>
          <w:sz w:val="22"/>
          <w:szCs w:val="22"/>
        </w:rPr>
        <w:t xml:space="preserve">regulan los protocolos de actuación frente a indicios de acoso escolar, ciberacoso, acoso sexual, violencia de género y cualquier otra manifestación de violencia que deben aplicar los centros. </w:t>
      </w:r>
    </w:p>
    <w:p w14:paraId="10AFC6BA" w14:textId="77777777" w:rsidR="00D058E2" w:rsidRDefault="00024C8A" w:rsidP="00D058E2">
      <w:pPr>
        <w:spacing w:before="120" w:after="120"/>
        <w:ind w:firstLine="360"/>
        <w:rPr>
          <w:rFonts w:asciiTheme="minorHAnsi" w:hAnsiTheme="minorHAnsi" w:cstheme="minorHAnsi"/>
          <w:sz w:val="22"/>
          <w:szCs w:val="22"/>
        </w:rPr>
      </w:pPr>
      <w:r w:rsidRPr="00D058E2">
        <w:rPr>
          <w:rFonts w:asciiTheme="minorHAnsi" w:hAnsiTheme="minorHAnsi" w:cstheme="minorHAnsi"/>
          <w:sz w:val="22"/>
          <w:szCs w:val="22"/>
        </w:rPr>
        <w:t>Del mismo modo,</w:t>
      </w:r>
      <w:r w:rsidR="00D058E2">
        <w:rPr>
          <w:rFonts w:asciiTheme="minorHAnsi" w:hAnsiTheme="minorHAnsi" w:cstheme="minorHAnsi"/>
          <w:sz w:val="22"/>
          <w:szCs w:val="22"/>
        </w:rPr>
        <w:t xml:space="preserve"> la inspección educativa garantiza </w:t>
      </w:r>
      <w:r w:rsidRPr="00D058E2">
        <w:rPr>
          <w:rFonts w:asciiTheme="minorHAnsi" w:hAnsiTheme="minorHAnsi" w:cstheme="minorHAnsi"/>
          <w:sz w:val="22"/>
          <w:szCs w:val="22"/>
        </w:rPr>
        <w:t>el ejercicio efectivo de los d</w:t>
      </w:r>
      <w:r w:rsidR="00D058E2">
        <w:rPr>
          <w:rFonts w:asciiTheme="minorHAnsi" w:hAnsiTheme="minorHAnsi" w:cstheme="minorHAnsi"/>
          <w:sz w:val="22"/>
          <w:szCs w:val="22"/>
        </w:rPr>
        <w:t>erechos del alumnado y orienta</w:t>
      </w:r>
      <w:r w:rsidRPr="00D058E2">
        <w:rPr>
          <w:rFonts w:asciiTheme="minorHAnsi" w:hAnsiTheme="minorHAnsi" w:cstheme="minorHAnsi"/>
          <w:sz w:val="22"/>
          <w:szCs w:val="22"/>
        </w:rPr>
        <w:t xml:space="preserve"> a los equipos directivos en la adopción y seguimiento de medidas que </w:t>
      </w:r>
      <w:r w:rsidRPr="00D058E2">
        <w:rPr>
          <w:rFonts w:asciiTheme="minorHAnsi" w:hAnsiTheme="minorHAnsi" w:cstheme="minorHAnsi"/>
          <w:sz w:val="22"/>
          <w:szCs w:val="22"/>
        </w:rPr>
        <w:lastRenderedPageBreak/>
        <w:t>favorezcan la convivencia, la participación de la comunidad educativa y la resolución de conflictos.</w:t>
      </w:r>
    </w:p>
    <w:p w14:paraId="42678518" w14:textId="77777777" w:rsidR="003C2CE6" w:rsidRPr="00D058E2" w:rsidRDefault="00D058E2" w:rsidP="00D058E2">
      <w:pPr>
        <w:spacing w:before="120" w:after="120"/>
        <w:ind w:firstLine="360"/>
        <w:rPr>
          <w:rFonts w:asciiTheme="minorHAnsi" w:hAnsiTheme="minorHAnsi" w:cstheme="minorHAnsi"/>
          <w:sz w:val="22"/>
          <w:szCs w:val="22"/>
        </w:rPr>
      </w:pPr>
      <w:r>
        <w:rPr>
          <w:rFonts w:asciiTheme="minorHAnsi" w:hAnsiTheme="minorHAnsi" w:cstheme="minorHAnsi"/>
          <w:sz w:val="22"/>
          <w:szCs w:val="22"/>
        </w:rPr>
        <w:t>En paralelo a estos mecanismos, l</w:t>
      </w:r>
      <w:r w:rsidR="003C2CE6" w:rsidRPr="00D058E2">
        <w:rPr>
          <w:rFonts w:asciiTheme="minorHAnsi" w:hAnsiTheme="minorHAnsi" w:cstheme="minorHAnsi"/>
          <w:sz w:val="22"/>
          <w:szCs w:val="22"/>
        </w:rPr>
        <w:t>a legislación educativa española garantiza la participación del alumnado en los centros educativos estableciendo lo siguiente:</w:t>
      </w:r>
    </w:p>
    <w:p w14:paraId="1869B40D" w14:textId="77777777" w:rsidR="003C2CE6" w:rsidRPr="00D058E2" w:rsidRDefault="003C2CE6" w:rsidP="003C2CE6">
      <w:pPr>
        <w:pStyle w:val="Default"/>
        <w:numPr>
          <w:ilvl w:val="0"/>
          <w:numId w:val="9"/>
        </w:numPr>
        <w:jc w:val="both"/>
        <w:rPr>
          <w:rFonts w:asciiTheme="minorHAnsi" w:hAnsiTheme="minorHAnsi" w:cstheme="minorHAnsi"/>
          <w:sz w:val="22"/>
          <w:szCs w:val="22"/>
        </w:rPr>
      </w:pPr>
      <w:r w:rsidRPr="00D058E2">
        <w:rPr>
          <w:rFonts w:asciiTheme="minorHAnsi" w:hAnsiTheme="minorHAnsi" w:cstheme="minorHAnsi"/>
          <w:sz w:val="22"/>
          <w:szCs w:val="22"/>
        </w:rPr>
        <w:t xml:space="preserve">Derecho de reunión de los estudiantes. </w:t>
      </w:r>
    </w:p>
    <w:p w14:paraId="2A2D1165" w14:textId="77777777" w:rsidR="003C2CE6" w:rsidRPr="00D058E2" w:rsidRDefault="003C2CE6" w:rsidP="003C2CE6">
      <w:pPr>
        <w:pStyle w:val="Default"/>
        <w:numPr>
          <w:ilvl w:val="0"/>
          <w:numId w:val="9"/>
        </w:numPr>
        <w:jc w:val="both"/>
        <w:rPr>
          <w:rFonts w:asciiTheme="minorHAnsi" w:hAnsiTheme="minorHAnsi" w:cstheme="minorHAnsi"/>
          <w:sz w:val="22"/>
          <w:szCs w:val="22"/>
        </w:rPr>
      </w:pPr>
      <w:r w:rsidRPr="00D058E2">
        <w:rPr>
          <w:rFonts w:asciiTheme="minorHAnsi" w:hAnsiTheme="minorHAnsi" w:cstheme="minorHAnsi"/>
          <w:sz w:val="22"/>
          <w:szCs w:val="22"/>
        </w:rPr>
        <w:t>Derecho al asociacionismo y dotació</w:t>
      </w:r>
      <w:r w:rsidR="0006270C">
        <w:rPr>
          <w:rFonts w:asciiTheme="minorHAnsi" w:hAnsiTheme="minorHAnsi" w:cstheme="minorHAnsi"/>
          <w:sz w:val="22"/>
          <w:szCs w:val="22"/>
        </w:rPr>
        <w:t>n de recursos por parte de las a</w:t>
      </w:r>
      <w:r w:rsidRPr="00D058E2">
        <w:rPr>
          <w:rFonts w:asciiTheme="minorHAnsi" w:hAnsiTheme="minorHAnsi" w:cstheme="minorHAnsi"/>
          <w:sz w:val="22"/>
          <w:szCs w:val="22"/>
        </w:rPr>
        <w:t>dministraciones educativas para el fomento de la participación del alumnado.</w:t>
      </w:r>
    </w:p>
    <w:p w14:paraId="1E010BC9" w14:textId="77777777" w:rsidR="003C2CE6" w:rsidRPr="00D058E2" w:rsidRDefault="003C2CE6" w:rsidP="003C2CE6">
      <w:pPr>
        <w:pStyle w:val="Default"/>
        <w:numPr>
          <w:ilvl w:val="0"/>
          <w:numId w:val="9"/>
        </w:numPr>
        <w:jc w:val="both"/>
        <w:rPr>
          <w:rFonts w:asciiTheme="minorHAnsi" w:hAnsiTheme="minorHAnsi" w:cstheme="minorHAnsi"/>
          <w:sz w:val="22"/>
          <w:szCs w:val="22"/>
        </w:rPr>
      </w:pPr>
      <w:r w:rsidRPr="00D058E2">
        <w:rPr>
          <w:rFonts w:asciiTheme="minorHAnsi" w:hAnsiTheme="minorHAnsi" w:cstheme="minorHAnsi"/>
          <w:sz w:val="22"/>
          <w:szCs w:val="22"/>
        </w:rPr>
        <w:t xml:space="preserve">Participación activa del alumnado en las cuestiones relevantes de la organización, el gobierno, el funcionamiento y la evaluación de los centros. </w:t>
      </w:r>
    </w:p>
    <w:p w14:paraId="292DEB6C" w14:textId="77777777" w:rsidR="003C2CE6" w:rsidRPr="00D058E2" w:rsidRDefault="003C2CE6" w:rsidP="003C2CE6">
      <w:pPr>
        <w:spacing w:before="120" w:after="120" w:line="240" w:lineRule="auto"/>
        <w:ind w:firstLine="360"/>
        <w:rPr>
          <w:rFonts w:asciiTheme="minorHAnsi" w:hAnsiTheme="minorHAnsi" w:cstheme="minorHAnsi"/>
          <w:sz w:val="22"/>
          <w:szCs w:val="22"/>
        </w:rPr>
      </w:pPr>
      <w:r w:rsidRPr="00D058E2">
        <w:rPr>
          <w:rFonts w:asciiTheme="minorHAnsi" w:hAnsiTheme="minorHAnsi" w:cstheme="minorHAnsi"/>
          <w:sz w:val="22"/>
          <w:szCs w:val="22"/>
        </w:rPr>
        <w:t>La participación está entendida como parte del proceso de formación del alumnado y se lleva a cabo en los centros educativos a través de sus delegados de grupo y curso y sus representantes en el Consejo Escolar del centro</w:t>
      </w:r>
      <w:r w:rsidRPr="00D058E2">
        <w:rPr>
          <w:rStyle w:val="FootnoteReference"/>
          <w:rFonts w:asciiTheme="minorHAnsi" w:hAnsiTheme="minorHAnsi" w:cstheme="minorHAnsi"/>
          <w:sz w:val="22"/>
          <w:szCs w:val="22"/>
        </w:rPr>
        <w:footnoteReference w:id="5"/>
      </w:r>
      <w:r w:rsidRPr="00D058E2">
        <w:rPr>
          <w:rFonts w:asciiTheme="minorHAnsi" w:hAnsiTheme="minorHAnsi" w:cstheme="minorHAnsi"/>
          <w:sz w:val="22"/>
          <w:szCs w:val="22"/>
        </w:rPr>
        <w:t>.</w:t>
      </w:r>
    </w:p>
    <w:p w14:paraId="5264EAC2" w14:textId="77777777" w:rsidR="00AE632B" w:rsidRPr="00D058E2" w:rsidRDefault="00AE632B" w:rsidP="00AE699C">
      <w:pPr>
        <w:pStyle w:val="Default"/>
        <w:ind w:left="360"/>
        <w:jc w:val="both"/>
        <w:rPr>
          <w:rFonts w:asciiTheme="minorHAnsi" w:hAnsiTheme="minorHAnsi" w:cstheme="minorHAnsi"/>
          <w:sz w:val="22"/>
          <w:szCs w:val="22"/>
          <w:lang w:eastAsia="en-GB"/>
        </w:rPr>
      </w:pPr>
    </w:p>
    <w:sectPr w:rsidR="00AE632B" w:rsidRPr="00D058E2" w:rsidSect="001C5F10">
      <w:footerReference w:type="default" r:id="rId2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6B2AB" w14:textId="77777777" w:rsidR="005B7E84" w:rsidRDefault="005B7E84" w:rsidP="00025A86">
      <w:pPr>
        <w:spacing w:after="0" w:line="240" w:lineRule="auto"/>
      </w:pPr>
      <w:r>
        <w:separator/>
      </w:r>
    </w:p>
  </w:endnote>
  <w:endnote w:type="continuationSeparator" w:id="0">
    <w:p w14:paraId="7E112634" w14:textId="77777777" w:rsidR="005B7E84" w:rsidRDefault="005B7E84" w:rsidP="00025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1235944"/>
      <w:docPartObj>
        <w:docPartGallery w:val="Page Numbers (Bottom of Page)"/>
        <w:docPartUnique/>
      </w:docPartObj>
    </w:sdtPr>
    <w:sdtEndPr/>
    <w:sdtContent>
      <w:p w14:paraId="6CB45432" w14:textId="77777777" w:rsidR="00D31FDB" w:rsidRDefault="002F27D2">
        <w:pPr>
          <w:pStyle w:val="Footer"/>
          <w:jc w:val="center"/>
        </w:pPr>
        <w:r>
          <w:fldChar w:fldCharType="begin"/>
        </w:r>
        <w:r>
          <w:instrText>PAGE   \* MERGEFORMAT</w:instrText>
        </w:r>
        <w:r>
          <w:fldChar w:fldCharType="separate"/>
        </w:r>
        <w:r w:rsidR="000D1171">
          <w:rPr>
            <w:noProof/>
          </w:rPr>
          <w:t>6</w:t>
        </w:r>
        <w:r>
          <w:rPr>
            <w:noProof/>
          </w:rPr>
          <w:fldChar w:fldCharType="end"/>
        </w:r>
      </w:p>
    </w:sdtContent>
  </w:sdt>
  <w:p w14:paraId="5D0EED89" w14:textId="77777777" w:rsidR="00D31FDB" w:rsidRDefault="00D31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B85DA" w14:textId="77777777" w:rsidR="005B7E84" w:rsidRDefault="005B7E84" w:rsidP="00025A86">
      <w:pPr>
        <w:spacing w:after="0" w:line="240" w:lineRule="auto"/>
      </w:pPr>
      <w:r>
        <w:separator/>
      </w:r>
    </w:p>
  </w:footnote>
  <w:footnote w:type="continuationSeparator" w:id="0">
    <w:p w14:paraId="550AB0F2" w14:textId="77777777" w:rsidR="005B7E84" w:rsidRDefault="005B7E84" w:rsidP="00025A86">
      <w:pPr>
        <w:spacing w:after="0" w:line="240" w:lineRule="auto"/>
      </w:pPr>
      <w:r>
        <w:continuationSeparator/>
      </w:r>
    </w:p>
  </w:footnote>
  <w:footnote w:id="1">
    <w:p w14:paraId="163308F6" w14:textId="77777777" w:rsidR="00ED4063" w:rsidRDefault="00ED4063">
      <w:pPr>
        <w:pStyle w:val="FootnoteText"/>
      </w:pPr>
      <w:r>
        <w:rPr>
          <w:rStyle w:val="FootnoteReference"/>
        </w:rPr>
        <w:footnoteRef/>
      </w:r>
      <w:r w:rsidR="00C212A9">
        <w:t xml:space="preserve"> </w:t>
      </w:r>
      <w:r w:rsidRPr="00C212A9">
        <w:rPr>
          <w:rFonts w:asciiTheme="minorHAnsi" w:hAnsiTheme="minorHAnsi" w:cstheme="minorHAnsi"/>
        </w:rPr>
        <w:t>La 27 Conferencia de las Naciones Unidas sobre el Cambio Climático de 2022, más comúnmente conocida como COP 27 (Conferencia de las Partes de la CMNUCC</w:t>
      </w:r>
      <w:r w:rsidRPr="00ED4063">
        <w:rPr>
          <w:rFonts w:asciiTheme="minorHAnsi" w:hAnsiTheme="minorHAnsi" w:cstheme="minorHAnsi"/>
        </w:rPr>
        <w:t>).</w:t>
      </w:r>
    </w:p>
  </w:footnote>
  <w:footnote w:id="2">
    <w:p w14:paraId="3EEB7F10" w14:textId="77777777" w:rsidR="00AE632B" w:rsidRPr="00672594" w:rsidRDefault="00AE632B" w:rsidP="00AE632B">
      <w:pPr>
        <w:pStyle w:val="FootnoteText"/>
        <w:rPr>
          <w:rFonts w:asciiTheme="minorHAnsi" w:hAnsiTheme="minorHAnsi" w:cstheme="minorHAnsi"/>
        </w:rPr>
      </w:pPr>
      <w:r w:rsidRPr="00672594">
        <w:rPr>
          <w:rStyle w:val="FootnoteReference"/>
          <w:rFonts w:asciiTheme="minorHAnsi" w:hAnsiTheme="minorHAnsi" w:cstheme="minorHAnsi"/>
        </w:rPr>
        <w:footnoteRef/>
      </w:r>
      <w:r w:rsidRPr="00672594">
        <w:rPr>
          <w:rFonts w:asciiTheme="minorHAnsi" w:hAnsiTheme="minorHAnsi" w:cstheme="minorHAnsi"/>
        </w:rPr>
        <w:t xml:space="preserve"> </w:t>
      </w:r>
      <w:hyperlink r:id="rId1" w:history="1">
        <w:r w:rsidRPr="00672594">
          <w:rPr>
            <w:rStyle w:val="Hyperlink"/>
            <w:rFonts w:asciiTheme="minorHAnsi" w:hAnsiTheme="minorHAnsi" w:cstheme="minorHAnsi"/>
            <w:bCs/>
            <w:shd w:val="clear" w:color="auto" w:fill="FFFFFF"/>
          </w:rPr>
          <w:t>Recomendación del Consejo, de 22 de mayo de 2018, relativa a las competencias clave para el aprendizaje permanente</w:t>
        </w:r>
      </w:hyperlink>
    </w:p>
  </w:footnote>
  <w:footnote w:id="3">
    <w:p w14:paraId="6B765D67" w14:textId="77777777" w:rsidR="00AE632B" w:rsidRPr="003737EC" w:rsidRDefault="00AE632B" w:rsidP="003737EC">
      <w:pPr>
        <w:spacing w:after="0" w:line="240" w:lineRule="auto"/>
        <w:rPr>
          <w:rFonts w:asciiTheme="minorHAnsi" w:hAnsiTheme="minorHAnsi" w:cstheme="minorHAnsi"/>
          <w:sz w:val="20"/>
          <w:szCs w:val="20"/>
        </w:rPr>
      </w:pPr>
      <w:r w:rsidRPr="003737EC">
        <w:rPr>
          <w:rStyle w:val="FootnoteReference"/>
          <w:rFonts w:asciiTheme="minorHAnsi" w:hAnsiTheme="minorHAnsi" w:cstheme="minorHAnsi"/>
          <w:sz w:val="20"/>
          <w:szCs w:val="20"/>
        </w:rPr>
        <w:footnoteRef/>
      </w:r>
      <w:r w:rsidRPr="003737EC">
        <w:rPr>
          <w:rFonts w:asciiTheme="minorHAnsi" w:hAnsiTheme="minorHAnsi" w:cstheme="minorHAnsi"/>
          <w:sz w:val="20"/>
          <w:szCs w:val="20"/>
        </w:rPr>
        <w:t xml:space="preserve"> La Ley Orgánica 8/1985, de 3 de julio, reguladora del Derecho a la Educación, por la que se crea el Consejo Escolar del Estado, determina que</w:t>
      </w:r>
      <w:r w:rsidRPr="003737EC">
        <w:rPr>
          <w:rFonts w:asciiTheme="minorHAnsi" w:hAnsiTheme="minorHAnsi" w:cstheme="minorHAnsi"/>
          <w:i/>
          <w:sz w:val="20"/>
          <w:szCs w:val="20"/>
        </w:rPr>
        <w:t xml:space="preserve"> </w:t>
      </w:r>
      <w:r w:rsidRPr="003737EC">
        <w:rPr>
          <w:rFonts w:asciiTheme="minorHAnsi" w:hAnsiTheme="minorHAnsi" w:cstheme="minorHAnsi"/>
          <w:sz w:val="20"/>
          <w:szCs w:val="20"/>
        </w:rPr>
        <w:t xml:space="preserve">este “es el órgano de ámbito nacional para la participación de los sectores afectados en la programación general de la enseñanza y de asesoramiento respecto de los proyectos de ley o reglamentos que hayan de ser propuestos o dictados por el Gobierno” (artículo 30). El artículo 31 enumera los sectores representados por sus miembros y el artículo 32 las cuestiones sobre las que debe ser consultado preceptivamente, además de cualquiera otra que el Ministerio competente decida someterle a consulta. Este último artículo también establece que por propia iniciativa este órgano puede formular propuestas </w:t>
      </w:r>
      <w:r w:rsidR="0039625A" w:rsidRPr="0039625A">
        <w:rPr>
          <w:rFonts w:asciiTheme="minorHAnsi" w:hAnsiTheme="minorHAnsi" w:cstheme="minorHAnsi"/>
          <w:sz w:val="20"/>
          <w:szCs w:val="20"/>
        </w:rPr>
        <w:t>MEFPD</w:t>
      </w:r>
      <w:r w:rsidR="0039625A" w:rsidRPr="003737EC">
        <w:rPr>
          <w:rFonts w:asciiTheme="minorHAnsi" w:hAnsiTheme="minorHAnsi" w:cstheme="minorHAnsi"/>
          <w:sz w:val="20"/>
          <w:szCs w:val="20"/>
        </w:rPr>
        <w:t xml:space="preserve"> </w:t>
      </w:r>
      <w:r w:rsidRPr="003737EC">
        <w:rPr>
          <w:rFonts w:asciiTheme="minorHAnsi" w:hAnsiTheme="minorHAnsi" w:cstheme="minorHAnsi"/>
          <w:sz w:val="20"/>
          <w:szCs w:val="20"/>
        </w:rPr>
        <w:t>sobre esas cuestiones y cualquier otra concerniente a la calidad de la enseñanza.</w:t>
      </w:r>
    </w:p>
  </w:footnote>
  <w:footnote w:id="4">
    <w:p w14:paraId="36EA3B65" w14:textId="77777777" w:rsidR="00AE632B" w:rsidRPr="00B341CE" w:rsidRDefault="00AE632B" w:rsidP="003737EC">
      <w:pPr>
        <w:spacing w:after="0" w:line="240" w:lineRule="auto"/>
        <w:rPr>
          <w:sz w:val="18"/>
          <w:szCs w:val="18"/>
        </w:rPr>
      </w:pPr>
      <w:r w:rsidRPr="003737EC">
        <w:rPr>
          <w:rStyle w:val="FootnoteReference"/>
          <w:rFonts w:asciiTheme="minorHAnsi" w:hAnsiTheme="minorHAnsi" w:cstheme="minorHAnsi"/>
          <w:sz w:val="20"/>
          <w:szCs w:val="20"/>
        </w:rPr>
        <w:footnoteRef/>
      </w:r>
      <w:r w:rsidR="004F113F">
        <w:rPr>
          <w:rFonts w:asciiTheme="minorHAnsi" w:hAnsiTheme="minorHAnsi" w:cstheme="minorHAnsi"/>
          <w:sz w:val="20"/>
          <w:szCs w:val="20"/>
        </w:rPr>
        <w:t xml:space="preserve"> </w:t>
      </w:r>
      <w:r w:rsidRPr="003737EC">
        <w:rPr>
          <w:rFonts w:asciiTheme="minorHAnsi" w:hAnsiTheme="minorHAnsi" w:cstheme="minorHAnsi"/>
          <w:sz w:val="20"/>
          <w:szCs w:val="20"/>
        </w:rPr>
        <w:t>Los Consejos Escolares Autonómicos son los órganos de participación y consulta de los diversos sectores sociales implicados en la educación en los respectivos territorios autonómicos. En general, son consultados respecto a la programación de las enseñanzas; emiten dictámenes sobre legislación y normativa educativa, así como informes y propuestas a sus respectivas Administraciones educativas autonómicas.</w:t>
      </w:r>
      <w:r w:rsidRPr="00B341CE">
        <w:rPr>
          <w:sz w:val="18"/>
          <w:szCs w:val="18"/>
        </w:rPr>
        <w:t xml:space="preserve"> </w:t>
      </w:r>
    </w:p>
  </w:footnote>
  <w:footnote w:id="5">
    <w:p w14:paraId="52F558A6" w14:textId="77777777" w:rsidR="003C2CE6" w:rsidRPr="003737EC" w:rsidRDefault="003C2CE6" w:rsidP="003C2CE6">
      <w:pPr>
        <w:pStyle w:val="FootnoteText"/>
        <w:rPr>
          <w:rFonts w:asciiTheme="minorHAnsi" w:hAnsiTheme="minorHAnsi" w:cstheme="minorHAnsi"/>
        </w:rPr>
      </w:pPr>
      <w:r w:rsidRPr="003737EC">
        <w:rPr>
          <w:rStyle w:val="FootnoteReference"/>
          <w:rFonts w:asciiTheme="minorHAnsi" w:hAnsiTheme="minorHAnsi" w:cstheme="minorHAnsi"/>
        </w:rPr>
        <w:footnoteRef/>
      </w:r>
      <w:r w:rsidRPr="003737EC">
        <w:rPr>
          <w:rFonts w:asciiTheme="minorHAnsi" w:hAnsiTheme="minorHAnsi" w:cstheme="minorHAnsi"/>
        </w:rPr>
        <w:t xml:space="preserve"> Este es el órgano a través del que se garantiza la intervención de la comunidad educativa en el control y gestión de los centros sostenidos con fondos públicos</w:t>
      </w:r>
      <w:r>
        <w:rPr>
          <w:rFonts w:asciiTheme="minorHAnsi" w:hAnsiTheme="minorHAnsi" w:cstheme="minorHAns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5362"/>
    <w:multiLevelType w:val="hybridMultilevel"/>
    <w:tmpl w:val="4E1CD772"/>
    <w:lvl w:ilvl="0" w:tplc="0C0A0001">
      <w:start w:val="1"/>
      <w:numFmt w:val="bullet"/>
      <w:lvlText w:val=""/>
      <w:lvlJc w:val="left"/>
      <w:pPr>
        <w:ind w:left="1060" w:hanging="360"/>
      </w:pPr>
      <w:rPr>
        <w:rFonts w:ascii="Symbol" w:hAnsi="Symbo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1" w15:restartNumberingAfterBreak="0">
    <w:nsid w:val="0E6913C2"/>
    <w:multiLevelType w:val="hybridMultilevel"/>
    <w:tmpl w:val="4BB48FAE"/>
    <w:lvl w:ilvl="0" w:tplc="25AEFAE0">
      <w:start w:val="1993"/>
      <w:numFmt w:val="bullet"/>
      <w:lvlText w:val="-"/>
      <w:lvlJc w:val="left"/>
      <w:pPr>
        <w:ind w:left="360" w:hanging="360"/>
      </w:pPr>
      <w:rPr>
        <w:rFonts w:ascii="Calibri" w:eastAsia="Calibri"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EEC3997"/>
    <w:multiLevelType w:val="hybridMultilevel"/>
    <w:tmpl w:val="0B8404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5F67C9"/>
    <w:multiLevelType w:val="hybridMultilevel"/>
    <w:tmpl w:val="8F10C2D6"/>
    <w:lvl w:ilvl="0" w:tplc="235853D2">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E74344"/>
    <w:multiLevelType w:val="hybridMultilevel"/>
    <w:tmpl w:val="DCE247D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F692B95"/>
    <w:multiLevelType w:val="hybridMultilevel"/>
    <w:tmpl w:val="5442F0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AB3B6D"/>
    <w:multiLevelType w:val="hybridMultilevel"/>
    <w:tmpl w:val="27CAC4F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2FAF1C1C"/>
    <w:multiLevelType w:val="hybridMultilevel"/>
    <w:tmpl w:val="09F690E8"/>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388D2CDE"/>
    <w:multiLevelType w:val="hybridMultilevel"/>
    <w:tmpl w:val="0130D4C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38C51EEE"/>
    <w:multiLevelType w:val="hybridMultilevel"/>
    <w:tmpl w:val="795883A0"/>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4470E3F"/>
    <w:multiLevelType w:val="hybridMultilevel"/>
    <w:tmpl w:val="9E246B02"/>
    <w:lvl w:ilvl="0" w:tplc="235853D2">
      <w:numFmt w:val="bullet"/>
      <w:lvlText w:val="-"/>
      <w:lvlJc w:val="left"/>
      <w:pPr>
        <w:ind w:left="360" w:hanging="360"/>
      </w:pPr>
      <w:rPr>
        <w:rFonts w:ascii="Calibri" w:eastAsia="Times New Roman" w:hAnsi="Calibri" w:cs="Calibri"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457E29C3"/>
    <w:multiLevelType w:val="hybridMultilevel"/>
    <w:tmpl w:val="BE987B7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A7D700A"/>
    <w:multiLevelType w:val="hybridMultilevel"/>
    <w:tmpl w:val="EB3AD3B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15:restartNumberingAfterBreak="0">
    <w:nsid w:val="52A26541"/>
    <w:multiLevelType w:val="hybridMultilevel"/>
    <w:tmpl w:val="9DFEB74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A0D71D8"/>
    <w:multiLevelType w:val="hybridMultilevel"/>
    <w:tmpl w:val="6FEC13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36567F6"/>
    <w:multiLevelType w:val="hybridMultilevel"/>
    <w:tmpl w:val="27EA7F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5500686"/>
    <w:multiLevelType w:val="hybridMultilevel"/>
    <w:tmpl w:val="F38007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D103D74"/>
    <w:multiLevelType w:val="hybridMultilevel"/>
    <w:tmpl w:val="A6942812"/>
    <w:lvl w:ilvl="0" w:tplc="0C0A0001">
      <w:start w:val="1"/>
      <w:numFmt w:val="bullet"/>
      <w:lvlText w:val=""/>
      <w:lvlJc w:val="left"/>
      <w:pPr>
        <w:ind w:left="1060" w:hanging="360"/>
      </w:pPr>
      <w:rPr>
        <w:rFonts w:ascii="Symbol" w:hAnsi="Symbo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18" w15:restartNumberingAfterBreak="0">
    <w:nsid w:val="6E4811A7"/>
    <w:multiLevelType w:val="hybridMultilevel"/>
    <w:tmpl w:val="D32CD69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74663B92"/>
    <w:multiLevelType w:val="hybridMultilevel"/>
    <w:tmpl w:val="04B4B97A"/>
    <w:lvl w:ilvl="0" w:tplc="C9EAAD6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89D6BD2"/>
    <w:multiLevelType w:val="hybridMultilevel"/>
    <w:tmpl w:val="52501BD6"/>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DF315EA"/>
    <w:multiLevelType w:val="hybridMultilevel"/>
    <w:tmpl w:val="C54446EA"/>
    <w:lvl w:ilvl="0" w:tplc="0C0A0001">
      <w:start w:val="1"/>
      <w:numFmt w:val="bullet"/>
      <w:lvlText w:val=""/>
      <w:lvlJc w:val="left"/>
      <w:pPr>
        <w:ind w:left="1060" w:hanging="360"/>
      </w:pPr>
      <w:rPr>
        <w:rFonts w:ascii="Symbol" w:hAnsi="Symbo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2" w15:restartNumberingAfterBreak="0">
    <w:nsid w:val="7E111AC5"/>
    <w:multiLevelType w:val="hybridMultilevel"/>
    <w:tmpl w:val="2F66A33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F705219"/>
    <w:multiLevelType w:val="hybridMultilevel"/>
    <w:tmpl w:val="AB2E721C"/>
    <w:lvl w:ilvl="0" w:tplc="5BDEE9B6">
      <w:start w:val="1"/>
      <w:numFmt w:val="decimal"/>
      <w:lvlText w:val="%1."/>
      <w:lvlJc w:val="left"/>
      <w:pPr>
        <w:ind w:left="1020" w:hanging="10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805045280">
    <w:abstractNumId w:val="18"/>
  </w:num>
  <w:num w:numId="2" w16cid:durableId="839586012">
    <w:abstractNumId w:val="1"/>
  </w:num>
  <w:num w:numId="3" w16cid:durableId="247925238">
    <w:abstractNumId w:val="7"/>
  </w:num>
  <w:num w:numId="4" w16cid:durableId="893271640">
    <w:abstractNumId w:val="3"/>
  </w:num>
  <w:num w:numId="5" w16cid:durableId="1756172182">
    <w:abstractNumId w:val="14"/>
  </w:num>
  <w:num w:numId="6" w16cid:durableId="1628393234">
    <w:abstractNumId w:val="6"/>
  </w:num>
  <w:num w:numId="7" w16cid:durableId="83843502">
    <w:abstractNumId w:val="8"/>
  </w:num>
  <w:num w:numId="8" w16cid:durableId="653292305">
    <w:abstractNumId w:val="12"/>
  </w:num>
  <w:num w:numId="9" w16cid:durableId="1081415683">
    <w:abstractNumId w:val="10"/>
  </w:num>
  <w:num w:numId="10" w16cid:durableId="2044133838">
    <w:abstractNumId w:val="23"/>
  </w:num>
  <w:num w:numId="11" w16cid:durableId="1579175056">
    <w:abstractNumId w:val="21"/>
  </w:num>
  <w:num w:numId="12" w16cid:durableId="332684655">
    <w:abstractNumId w:val="16"/>
  </w:num>
  <w:num w:numId="13" w16cid:durableId="1006639261">
    <w:abstractNumId w:val="22"/>
  </w:num>
  <w:num w:numId="14" w16cid:durableId="509225767">
    <w:abstractNumId w:val="11"/>
  </w:num>
  <w:num w:numId="15" w16cid:durableId="1262058620">
    <w:abstractNumId w:val="13"/>
  </w:num>
  <w:num w:numId="16" w16cid:durableId="794368729">
    <w:abstractNumId w:val="17"/>
  </w:num>
  <w:num w:numId="17" w16cid:durableId="1506433067">
    <w:abstractNumId w:val="0"/>
  </w:num>
  <w:num w:numId="18" w16cid:durableId="476531689">
    <w:abstractNumId w:val="4"/>
  </w:num>
  <w:num w:numId="19" w16cid:durableId="1340084903">
    <w:abstractNumId w:val="5"/>
  </w:num>
  <w:num w:numId="20" w16cid:durableId="1501655415">
    <w:abstractNumId w:val="20"/>
  </w:num>
  <w:num w:numId="21" w16cid:durableId="1541822923">
    <w:abstractNumId w:val="9"/>
  </w:num>
  <w:num w:numId="22" w16cid:durableId="1669939220">
    <w:abstractNumId w:val="19"/>
  </w:num>
  <w:num w:numId="23" w16cid:durableId="41098669">
    <w:abstractNumId w:val="2"/>
  </w:num>
  <w:num w:numId="24" w16cid:durableId="461192675">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ABE"/>
    <w:rsid w:val="00001E15"/>
    <w:rsid w:val="0000594C"/>
    <w:rsid w:val="00016FDF"/>
    <w:rsid w:val="00024C8A"/>
    <w:rsid w:val="00025A86"/>
    <w:rsid w:val="00032AE3"/>
    <w:rsid w:val="00033F03"/>
    <w:rsid w:val="00034CA2"/>
    <w:rsid w:val="00042D78"/>
    <w:rsid w:val="0006270C"/>
    <w:rsid w:val="000654A6"/>
    <w:rsid w:val="00065D73"/>
    <w:rsid w:val="000776E6"/>
    <w:rsid w:val="00087A28"/>
    <w:rsid w:val="000918AE"/>
    <w:rsid w:val="000965CB"/>
    <w:rsid w:val="000A0739"/>
    <w:rsid w:val="000A261C"/>
    <w:rsid w:val="000A7DF9"/>
    <w:rsid w:val="000B084E"/>
    <w:rsid w:val="000C0481"/>
    <w:rsid w:val="000C56AB"/>
    <w:rsid w:val="000D1171"/>
    <w:rsid w:val="000D516A"/>
    <w:rsid w:val="000E2EC1"/>
    <w:rsid w:val="000F0391"/>
    <w:rsid w:val="000F0B47"/>
    <w:rsid w:val="000F1B86"/>
    <w:rsid w:val="000F7E0F"/>
    <w:rsid w:val="0010159F"/>
    <w:rsid w:val="00103C1E"/>
    <w:rsid w:val="00112B02"/>
    <w:rsid w:val="001175CA"/>
    <w:rsid w:val="00121609"/>
    <w:rsid w:val="00121BCF"/>
    <w:rsid w:val="00125BBE"/>
    <w:rsid w:val="0014579C"/>
    <w:rsid w:val="001463EF"/>
    <w:rsid w:val="00150874"/>
    <w:rsid w:val="00152844"/>
    <w:rsid w:val="00157030"/>
    <w:rsid w:val="00161BDE"/>
    <w:rsid w:val="00167668"/>
    <w:rsid w:val="00174B84"/>
    <w:rsid w:val="00182703"/>
    <w:rsid w:val="0018659A"/>
    <w:rsid w:val="001A1109"/>
    <w:rsid w:val="001A67F5"/>
    <w:rsid w:val="001A6F7D"/>
    <w:rsid w:val="001B0E0D"/>
    <w:rsid w:val="001B275C"/>
    <w:rsid w:val="001B2FD4"/>
    <w:rsid w:val="001B3AB6"/>
    <w:rsid w:val="001C05D6"/>
    <w:rsid w:val="001C55EF"/>
    <w:rsid w:val="001C5F10"/>
    <w:rsid w:val="001D0C88"/>
    <w:rsid w:val="001F52CB"/>
    <w:rsid w:val="00204C4D"/>
    <w:rsid w:val="0021268C"/>
    <w:rsid w:val="00215AA0"/>
    <w:rsid w:val="002167A6"/>
    <w:rsid w:val="002167BE"/>
    <w:rsid w:val="00216BBB"/>
    <w:rsid w:val="002172C9"/>
    <w:rsid w:val="00220ADB"/>
    <w:rsid w:val="00222BD6"/>
    <w:rsid w:val="00226EB9"/>
    <w:rsid w:val="00232AAB"/>
    <w:rsid w:val="00233AA4"/>
    <w:rsid w:val="00235CCA"/>
    <w:rsid w:val="00241D51"/>
    <w:rsid w:val="002422B5"/>
    <w:rsid w:val="00251C75"/>
    <w:rsid w:val="002557A2"/>
    <w:rsid w:val="002660EA"/>
    <w:rsid w:val="00267CD4"/>
    <w:rsid w:val="00280814"/>
    <w:rsid w:val="00284C13"/>
    <w:rsid w:val="002861F0"/>
    <w:rsid w:val="002A03C6"/>
    <w:rsid w:val="002A45D1"/>
    <w:rsid w:val="002B0DF1"/>
    <w:rsid w:val="002B3078"/>
    <w:rsid w:val="002B41CD"/>
    <w:rsid w:val="002B5F1B"/>
    <w:rsid w:val="002C28EC"/>
    <w:rsid w:val="002C4EE9"/>
    <w:rsid w:val="002D3BB0"/>
    <w:rsid w:val="002F1B7D"/>
    <w:rsid w:val="002F27D2"/>
    <w:rsid w:val="002F5F2D"/>
    <w:rsid w:val="00301105"/>
    <w:rsid w:val="0031364F"/>
    <w:rsid w:val="0031534F"/>
    <w:rsid w:val="0032698A"/>
    <w:rsid w:val="00352073"/>
    <w:rsid w:val="0035216D"/>
    <w:rsid w:val="00353CCF"/>
    <w:rsid w:val="0035432A"/>
    <w:rsid w:val="003603BB"/>
    <w:rsid w:val="003733FE"/>
    <w:rsid w:val="003737EC"/>
    <w:rsid w:val="003740EA"/>
    <w:rsid w:val="00382550"/>
    <w:rsid w:val="00387406"/>
    <w:rsid w:val="00387736"/>
    <w:rsid w:val="00392E1D"/>
    <w:rsid w:val="0039625A"/>
    <w:rsid w:val="0039784D"/>
    <w:rsid w:val="003A08F4"/>
    <w:rsid w:val="003A52F5"/>
    <w:rsid w:val="003A70FB"/>
    <w:rsid w:val="003B29F8"/>
    <w:rsid w:val="003C1567"/>
    <w:rsid w:val="003C1DFB"/>
    <w:rsid w:val="003C2CE6"/>
    <w:rsid w:val="003D19FA"/>
    <w:rsid w:val="003D1C91"/>
    <w:rsid w:val="003D6177"/>
    <w:rsid w:val="003E46DF"/>
    <w:rsid w:val="003E692B"/>
    <w:rsid w:val="003F2261"/>
    <w:rsid w:val="004108D9"/>
    <w:rsid w:val="00414455"/>
    <w:rsid w:val="00414FCE"/>
    <w:rsid w:val="00417328"/>
    <w:rsid w:val="0044583D"/>
    <w:rsid w:val="00445CD5"/>
    <w:rsid w:val="00451817"/>
    <w:rsid w:val="00461828"/>
    <w:rsid w:val="00461A94"/>
    <w:rsid w:val="00464948"/>
    <w:rsid w:val="00480141"/>
    <w:rsid w:val="0048042D"/>
    <w:rsid w:val="0048542C"/>
    <w:rsid w:val="00490798"/>
    <w:rsid w:val="004A6050"/>
    <w:rsid w:val="004B52D2"/>
    <w:rsid w:val="004C0674"/>
    <w:rsid w:val="004C3DA6"/>
    <w:rsid w:val="004C55E3"/>
    <w:rsid w:val="004D2760"/>
    <w:rsid w:val="004D3D2C"/>
    <w:rsid w:val="004E0DC4"/>
    <w:rsid w:val="004F113F"/>
    <w:rsid w:val="00500266"/>
    <w:rsid w:val="00504797"/>
    <w:rsid w:val="00504AA0"/>
    <w:rsid w:val="00506F41"/>
    <w:rsid w:val="00522165"/>
    <w:rsid w:val="005226AB"/>
    <w:rsid w:val="005230B4"/>
    <w:rsid w:val="005252E2"/>
    <w:rsid w:val="00526BE2"/>
    <w:rsid w:val="00531BF8"/>
    <w:rsid w:val="00541721"/>
    <w:rsid w:val="00547877"/>
    <w:rsid w:val="00550A1F"/>
    <w:rsid w:val="00564E98"/>
    <w:rsid w:val="005727AC"/>
    <w:rsid w:val="00574A37"/>
    <w:rsid w:val="00576164"/>
    <w:rsid w:val="00577DD6"/>
    <w:rsid w:val="00581853"/>
    <w:rsid w:val="0058391B"/>
    <w:rsid w:val="00584911"/>
    <w:rsid w:val="00595FD3"/>
    <w:rsid w:val="00597BC8"/>
    <w:rsid w:val="005A16E1"/>
    <w:rsid w:val="005A3D06"/>
    <w:rsid w:val="005B40E8"/>
    <w:rsid w:val="005B77BE"/>
    <w:rsid w:val="005B7C55"/>
    <w:rsid w:val="005B7E84"/>
    <w:rsid w:val="005D5655"/>
    <w:rsid w:val="005E7FF0"/>
    <w:rsid w:val="005F56B1"/>
    <w:rsid w:val="005F752F"/>
    <w:rsid w:val="00602C02"/>
    <w:rsid w:val="00603126"/>
    <w:rsid w:val="0061142D"/>
    <w:rsid w:val="00612310"/>
    <w:rsid w:val="00614706"/>
    <w:rsid w:val="00614DF6"/>
    <w:rsid w:val="006211AB"/>
    <w:rsid w:val="0062149F"/>
    <w:rsid w:val="00627251"/>
    <w:rsid w:val="00631E06"/>
    <w:rsid w:val="00633FB4"/>
    <w:rsid w:val="00636C63"/>
    <w:rsid w:val="00637C32"/>
    <w:rsid w:val="00640ABE"/>
    <w:rsid w:val="00640D61"/>
    <w:rsid w:val="00644926"/>
    <w:rsid w:val="00660DEA"/>
    <w:rsid w:val="006635A9"/>
    <w:rsid w:val="00663F62"/>
    <w:rsid w:val="00665AC2"/>
    <w:rsid w:val="00672594"/>
    <w:rsid w:val="0067375A"/>
    <w:rsid w:val="006822A3"/>
    <w:rsid w:val="00690533"/>
    <w:rsid w:val="006929F9"/>
    <w:rsid w:val="006A2870"/>
    <w:rsid w:val="006A487C"/>
    <w:rsid w:val="006B3876"/>
    <w:rsid w:val="006B4C7D"/>
    <w:rsid w:val="006B732C"/>
    <w:rsid w:val="006C2B4D"/>
    <w:rsid w:val="006C4946"/>
    <w:rsid w:val="006D77DA"/>
    <w:rsid w:val="006E2519"/>
    <w:rsid w:val="006E4743"/>
    <w:rsid w:val="006E7063"/>
    <w:rsid w:val="006F2DAF"/>
    <w:rsid w:val="007015F1"/>
    <w:rsid w:val="0070364D"/>
    <w:rsid w:val="00710109"/>
    <w:rsid w:val="00715F65"/>
    <w:rsid w:val="00721375"/>
    <w:rsid w:val="00721CEE"/>
    <w:rsid w:val="00723D39"/>
    <w:rsid w:val="007274CA"/>
    <w:rsid w:val="00733775"/>
    <w:rsid w:val="00741B70"/>
    <w:rsid w:val="00743F50"/>
    <w:rsid w:val="007461E0"/>
    <w:rsid w:val="00755C0A"/>
    <w:rsid w:val="007565EB"/>
    <w:rsid w:val="00756A9A"/>
    <w:rsid w:val="00762D5E"/>
    <w:rsid w:val="00763D03"/>
    <w:rsid w:val="00763FD4"/>
    <w:rsid w:val="0077421A"/>
    <w:rsid w:val="00775BED"/>
    <w:rsid w:val="00791FBD"/>
    <w:rsid w:val="00792528"/>
    <w:rsid w:val="00795166"/>
    <w:rsid w:val="007A4E81"/>
    <w:rsid w:val="007A75DA"/>
    <w:rsid w:val="007B5D7B"/>
    <w:rsid w:val="007C6A3B"/>
    <w:rsid w:val="007D2B8F"/>
    <w:rsid w:val="007E7AD4"/>
    <w:rsid w:val="007F3F10"/>
    <w:rsid w:val="008002F9"/>
    <w:rsid w:val="00804A41"/>
    <w:rsid w:val="00805212"/>
    <w:rsid w:val="00807199"/>
    <w:rsid w:val="008075A6"/>
    <w:rsid w:val="008139AA"/>
    <w:rsid w:val="00816E86"/>
    <w:rsid w:val="008310F5"/>
    <w:rsid w:val="008375D6"/>
    <w:rsid w:val="00842002"/>
    <w:rsid w:val="00851699"/>
    <w:rsid w:val="00860553"/>
    <w:rsid w:val="0086670E"/>
    <w:rsid w:val="0087558F"/>
    <w:rsid w:val="008907A3"/>
    <w:rsid w:val="00891D63"/>
    <w:rsid w:val="0089419C"/>
    <w:rsid w:val="00897341"/>
    <w:rsid w:val="008A5EAF"/>
    <w:rsid w:val="008A771C"/>
    <w:rsid w:val="008A79F5"/>
    <w:rsid w:val="008B3F51"/>
    <w:rsid w:val="008B4E5C"/>
    <w:rsid w:val="008B7517"/>
    <w:rsid w:val="008C4DF5"/>
    <w:rsid w:val="008D19CB"/>
    <w:rsid w:val="008D70DB"/>
    <w:rsid w:val="008E08E3"/>
    <w:rsid w:val="008E0A10"/>
    <w:rsid w:val="008E1E76"/>
    <w:rsid w:val="008F2919"/>
    <w:rsid w:val="008F7320"/>
    <w:rsid w:val="009060FE"/>
    <w:rsid w:val="00916B00"/>
    <w:rsid w:val="00925E42"/>
    <w:rsid w:val="009335C0"/>
    <w:rsid w:val="009353AE"/>
    <w:rsid w:val="009375D0"/>
    <w:rsid w:val="009379D4"/>
    <w:rsid w:val="00945E67"/>
    <w:rsid w:val="00950742"/>
    <w:rsid w:val="00957959"/>
    <w:rsid w:val="00961D05"/>
    <w:rsid w:val="00966E7A"/>
    <w:rsid w:val="00976FDB"/>
    <w:rsid w:val="009771B1"/>
    <w:rsid w:val="00982DE5"/>
    <w:rsid w:val="00987CA1"/>
    <w:rsid w:val="009929B5"/>
    <w:rsid w:val="009A1A34"/>
    <w:rsid w:val="009A4A63"/>
    <w:rsid w:val="009B4E5A"/>
    <w:rsid w:val="009D45C9"/>
    <w:rsid w:val="009D5102"/>
    <w:rsid w:val="009D6BC7"/>
    <w:rsid w:val="009E13E2"/>
    <w:rsid w:val="009F0807"/>
    <w:rsid w:val="009F0FEB"/>
    <w:rsid w:val="009F1057"/>
    <w:rsid w:val="009F693B"/>
    <w:rsid w:val="009F75DC"/>
    <w:rsid w:val="009F7632"/>
    <w:rsid w:val="00A0545E"/>
    <w:rsid w:val="00A140BA"/>
    <w:rsid w:val="00A26413"/>
    <w:rsid w:val="00A416D0"/>
    <w:rsid w:val="00A50FE4"/>
    <w:rsid w:val="00A55D14"/>
    <w:rsid w:val="00A60C3B"/>
    <w:rsid w:val="00A624D0"/>
    <w:rsid w:val="00A674C2"/>
    <w:rsid w:val="00A70B5F"/>
    <w:rsid w:val="00A71E5F"/>
    <w:rsid w:val="00A71E67"/>
    <w:rsid w:val="00A779F7"/>
    <w:rsid w:val="00A8299C"/>
    <w:rsid w:val="00A9373C"/>
    <w:rsid w:val="00AA7A58"/>
    <w:rsid w:val="00AC70A5"/>
    <w:rsid w:val="00AD6F2B"/>
    <w:rsid w:val="00AE0ABB"/>
    <w:rsid w:val="00AE1191"/>
    <w:rsid w:val="00AE3E8B"/>
    <w:rsid w:val="00AE632B"/>
    <w:rsid w:val="00AE699C"/>
    <w:rsid w:val="00AF52EE"/>
    <w:rsid w:val="00AF5769"/>
    <w:rsid w:val="00AF58E9"/>
    <w:rsid w:val="00AF6233"/>
    <w:rsid w:val="00AF655C"/>
    <w:rsid w:val="00AF74D0"/>
    <w:rsid w:val="00B14A8E"/>
    <w:rsid w:val="00B22383"/>
    <w:rsid w:val="00B2336A"/>
    <w:rsid w:val="00B2420E"/>
    <w:rsid w:val="00B315A1"/>
    <w:rsid w:val="00B374EE"/>
    <w:rsid w:val="00B52772"/>
    <w:rsid w:val="00B62E5F"/>
    <w:rsid w:val="00B70BCE"/>
    <w:rsid w:val="00B77604"/>
    <w:rsid w:val="00B77B87"/>
    <w:rsid w:val="00B86E1F"/>
    <w:rsid w:val="00B8788E"/>
    <w:rsid w:val="00B94953"/>
    <w:rsid w:val="00B949C8"/>
    <w:rsid w:val="00BC43B8"/>
    <w:rsid w:val="00BC5AE9"/>
    <w:rsid w:val="00BD4D2B"/>
    <w:rsid w:val="00BD527B"/>
    <w:rsid w:val="00BD66AC"/>
    <w:rsid w:val="00BE3C80"/>
    <w:rsid w:val="00BF15F0"/>
    <w:rsid w:val="00C00107"/>
    <w:rsid w:val="00C017E5"/>
    <w:rsid w:val="00C03E07"/>
    <w:rsid w:val="00C12E15"/>
    <w:rsid w:val="00C134E8"/>
    <w:rsid w:val="00C1493C"/>
    <w:rsid w:val="00C212A9"/>
    <w:rsid w:val="00C22E6C"/>
    <w:rsid w:val="00C23888"/>
    <w:rsid w:val="00C24C41"/>
    <w:rsid w:val="00C30FEA"/>
    <w:rsid w:val="00C415A4"/>
    <w:rsid w:val="00C42ACA"/>
    <w:rsid w:val="00C43B28"/>
    <w:rsid w:val="00C5174D"/>
    <w:rsid w:val="00C76780"/>
    <w:rsid w:val="00C81F63"/>
    <w:rsid w:val="00C91FE6"/>
    <w:rsid w:val="00C926F9"/>
    <w:rsid w:val="00CA275B"/>
    <w:rsid w:val="00CA4DC8"/>
    <w:rsid w:val="00CA6FD3"/>
    <w:rsid w:val="00CB0BA5"/>
    <w:rsid w:val="00CB3831"/>
    <w:rsid w:val="00CB3E78"/>
    <w:rsid w:val="00CC0392"/>
    <w:rsid w:val="00CC0572"/>
    <w:rsid w:val="00CD1B2E"/>
    <w:rsid w:val="00CD5B90"/>
    <w:rsid w:val="00CD716E"/>
    <w:rsid w:val="00CE2F7E"/>
    <w:rsid w:val="00CE64EC"/>
    <w:rsid w:val="00CF549D"/>
    <w:rsid w:val="00CF557A"/>
    <w:rsid w:val="00D014EC"/>
    <w:rsid w:val="00D051BB"/>
    <w:rsid w:val="00D058E2"/>
    <w:rsid w:val="00D1289E"/>
    <w:rsid w:val="00D1535A"/>
    <w:rsid w:val="00D23939"/>
    <w:rsid w:val="00D310D0"/>
    <w:rsid w:val="00D31FDB"/>
    <w:rsid w:val="00D36255"/>
    <w:rsid w:val="00D413E4"/>
    <w:rsid w:val="00D4158C"/>
    <w:rsid w:val="00D442F3"/>
    <w:rsid w:val="00D507A6"/>
    <w:rsid w:val="00D50B20"/>
    <w:rsid w:val="00D5773D"/>
    <w:rsid w:val="00D670DF"/>
    <w:rsid w:val="00D72924"/>
    <w:rsid w:val="00D77809"/>
    <w:rsid w:val="00D83204"/>
    <w:rsid w:val="00DA49F8"/>
    <w:rsid w:val="00DA7D03"/>
    <w:rsid w:val="00DB07B8"/>
    <w:rsid w:val="00DB1950"/>
    <w:rsid w:val="00DE0B79"/>
    <w:rsid w:val="00DE25BD"/>
    <w:rsid w:val="00DE689D"/>
    <w:rsid w:val="00DF265A"/>
    <w:rsid w:val="00DF3F9C"/>
    <w:rsid w:val="00DF5A14"/>
    <w:rsid w:val="00E001CE"/>
    <w:rsid w:val="00E01A33"/>
    <w:rsid w:val="00E02493"/>
    <w:rsid w:val="00E0471D"/>
    <w:rsid w:val="00E21ED5"/>
    <w:rsid w:val="00E2334A"/>
    <w:rsid w:val="00E2517F"/>
    <w:rsid w:val="00E31399"/>
    <w:rsid w:val="00E34A24"/>
    <w:rsid w:val="00E35A72"/>
    <w:rsid w:val="00E4228F"/>
    <w:rsid w:val="00E43F9B"/>
    <w:rsid w:val="00E63E64"/>
    <w:rsid w:val="00E734B2"/>
    <w:rsid w:val="00E832A8"/>
    <w:rsid w:val="00E8522B"/>
    <w:rsid w:val="00E85614"/>
    <w:rsid w:val="00E908FC"/>
    <w:rsid w:val="00E90A45"/>
    <w:rsid w:val="00E91FF1"/>
    <w:rsid w:val="00E97DA1"/>
    <w:rsid w:val="00EA7D00"/>
    <w:rsid w:val="00EB4A5A"/>
    <w:rsid w:val="00EB60BB"/>
    <w:rsid w:val="00EC17A8"/>
    <w:rsid w:val="00ED1CEA"/>
    <w:rsid w:val="00ED2D08"/>
    <w:rsid w:val="00ED4063"/>
    <w:rsid w:val="00EE1A2F"/>
    <w:rsid w:val="00EE4107"/>
    <w:rsid w:val="00EE7645"/>
    <w:rsid w:val="00F00057"/>
    <w:rsid w:val="00F12CBD"/>
    <w:rsid w:val="00F152CE"/>
    <w:rsid w:val="00F1549B"/>
    <w:rsid w:val="00F207A0"/>
    <w:rsid w:val="00F23799"/>
    <w:rsid w:val="00F25322"/>
    <w:rsid w:val="00F253F6"/>
    <w:rsid w:val="00F259CF"/>
    <w:rsid w:val="00F31060"/>
    <w:rsid w:val="00F35C99"/>
    <w:rsid w:val="00F42D24"/>
    <w:rsid w:val="00F50594"/>
    <w:rsid w:val="00F64D27"/>
    <w:rsid w:val="00F7303E"/>
    <w:rsid w:val="00F74F47"/>
    <w:rsid w:val="00F75028"/>
    <w:rsid w:val="00F752E3"/>
    <w:rsid w:val="00F76132"/>
    <w:rsid w:val="00F76F61"/>
    <w:rsid w:val="00F8115A"/>
    <w:rsid w:val="00F8116E"/>
    <w:rsid w:val="00F857D7"/>
    <w:rsid w:val="00FA432F"/>
    <w:rsid w:val="00FC6DA7"/>
    <w:rsid w:val="00FD21AB"/>
    <w:rsid w:val="00FD2581"/>
    <w:rsid w:val="00FD320F"/>
    <w:rsid w:val="00FD3AFA"/>
    <w:rsid w:val="00FD670B"/>
    <w:rsid w:val="00FE2DB5"/>
    <w:rsid w:val="00FF13A9"/>
    <w:rsid w:val="00FF483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7775F2"/>
  <w15:docId w15:val="{195C692A-4C3F-4298-903B-315F72E7C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70E"/>
    <w:pPr>
      <w:jc w:val="both"/>
    </w:pPr>
    <w:rPr>
      <w:rFonts w:ascii="Cambria" w:hAnsi="Cambria"/>
      <w:kern w:val="2"/>
      <w:sz w:val="24"/>
      <w:szCs w:val="28"/>
    </w:rPr>
  </w:style>
  <w:style w:type="paragraph" w:styleId="Heading2">
    <w:name w:val="heading 2"/>
    <w:basedOn w:val="Normal"/>
    <w:next w:val="Normal"/>
    <w:link w:val="Heading2Char"/>
    <w:uiPriority w:val="9"/>
    <w:unhideWhenUsed/>
    <w:qFormat/>
    <w:rsid w:val="001D0C88"/>
    <w:pPr>
      <w:keepNext/>
      <w:spacing w:before="240" w:after="60" w:line="240" w:lineRule="auto"/>
      <w:outlineLvl w:val="1"/>
    </w:pPr>
    <w:rPr>
      <w:rFonts w:ascii="Calibri Light" w:eastAsia="Times New Roman" w:hAnsi="Calibri Light" w:cs="Times New Roman"/>
      <w:b/>
      <w:bCs/>
      <w:i/>
      <w:iCs/>
      <w:sz w:val="28"/>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640ABE"/>
    <w:rPr>
      <w:rFonts w:ascii="Arial" w:hAnsi="Arial" w:cs="Arial" w:hint="default"/>
      <w:b/>
      <w:bCs/>
    </w:rPr>
  </w:style>
  <w:style w:type="paragraph" w:customStyle="1" w:styleId="Default">
    <w:name w:val="Default"/>
    <w:qFormat/>
    <w:rsid w:val="00F8116E"/>
    <w:pPr>
      <w:autoSpaceDE w:val="0"/>
      <w:autoSpaceDN w:val="0"/>
      <w:adjustRightInd w:val="0"/>
      <w:spacing w:after="0" w:line="240" w:lineRule="auto"/>
    </w:pPr>
    <w:rPr>
      <w:rFonts w:ascii="Calibri" w:eastAsia="PMingLiU" w:hAnsi="Calibri" w:cs="Calibri"/>
      <w:color w:val="000000"/>
      <w:sz w:val="24"/>
      <w:szCs w:val="24"/>
      <w:lang w:eastAsia="es-ES"/>
    </w:rPr>
  </w:style>
  <w:style w:type="character" w:styleId="Emphasis">
    <w:name w:val="Emphasis"/>
    <w:uiPriority w:val="20"/>
    <w:qFormat/>
    <w:rsid w:val="00816E86"/>
    <w:rPr>
      <w:i/>
      <w:iCs/>
    </w:rPr>
  </w:style>
  <w:style w:type="paragraph" w:customStyle="1" w:styleId="ql-align-justify">
    <w:name w:val="ql-align-justify"/>
    <w:basedOn w:val="Normal"/>
    <w:uiPriority w:val="99"/>
    <w:semiHidden/>
    <w:rsid w:val="00816E86"/>
    <w:pPr>
      <w:spacing w:before="100" w:beforeAutospacing="1" w:after="100" w:afterAutospacing="1" w:line="240" w:lineRule="auto"/>
    </w:pPr>
    <w:rPr>
      <w:rFonts w:ascii="Calibri" w:eastAsia="Calibri" w:hAnsi="Calibri" w:cs="Calibri"/>
      <w:lang w:eastAsia="es-ES"/>
    </w:rPr>
  </w:style>
  <w:style w:type="paragraph" w:customStyle="1" w:styleId="ql-indent-8">
    <w:name w:val="ql-indent-8"/>
    <w:basedOn w:val="Normal"/>
    <w:uiPriority w:val="99"/>
    <w:semiHidden/>
    <w:rsid w:val="00816E86"/>
    <w:pPr>
      <w:spacing w:before="100" w:beforeAutospacing="1" w:after="100" w:afterAutospacing="1" w:line="240" w:lineRule="auto"/>
    </w:pPr>
    <w:rPr>
      <w:rFonts w:ascii="Calibri" w:eastAsia="Calibri" w:hAnsi="Calibri" w:cs="Calibri"/>
      <w:lang w:eastAsia="es-ES"/>
    </w:rPr>
  </w:style>
  <w:style w:type="paragraph" w:styleId="Header">
    <w:name w:val="header"/>
    <w:basedOn w:val="Normal"/>
    <w:link w:val="HeaderChar"/>
    <w:uiPriority w:val="99"/>
    <w:unhideWhenUsed/>
    <w:rsid w:val="00025A86"/>
    <w:pPr>
      <w:tabs>
        <w:tab w:val="center" w:pos="4252"/>
        <w:tab w:val="right" w:pos="8504"/>
      </w:tabs>
      <w:spacing w:after="0" w:line="240" w:lineRule="auto"/>
    </w:pPr>
  </w:style>
  <w:style w:type="character" w:customStyle="1" w:styleId="HeaderChar">
    <w:name w:val="Header Char"/>
    <w:basedOn w:val="DefaultParagraphFont"/>
    <w:link w:val="Header"/>
    <w:uiPriority w:val="99"/>
    <w:rsid w:val="00025A86"/>
  </w:style>
  <w:style w:type="paragraph" w:styleId="Footer">
    <w:name w:val="footer"/>
    <w:basedOn w:val="Normal"/>
    <w:link w:val="FooterChar"/>
    <w:uiPriority w:val="99"/>
    <w:unhideWhenUsed/>
    <w:rsid w:val="00025A86"/>
    <w:pPr>
      <w:tabs>
        <w:tab w:val="center" w:pos="4252"/>
        <w:tab w:val="right" w:pos="8504"/>
      </w:tabs>
      <w:spacing w:after="0" w:line="240" w:lineRule="auto"/>
    </w:pPr>
  </w:style>
  <w:style w:type="character" w:customStyle="1" w:styleId="FooterChar">
    <w:name w:val="Footer Char"/>
    <w:basedOn w:val="DefaultParagraphFont"/>
    <w:link w:val="Footer"/>
    <w:uiPriority w:val="99"/>
    <w:rsid w:val="00025A86"/>
  </w:style>
  <w:style w:type="paragraph" w:styleId="ListParagraph">
    <w:name w:val="List Paragraph"/>
    <w:aliases w:val="Título de lista,List Paragraph (numbered (a)),References,WB List Paragraph,Dot pt,F5 List Paragraph,List Paragraph1,No Spacing1,List Paragraph Char Char Char,Indicator Text,Colorful List - Accent 11,Numbered Para 1,Bullet 1,Bullet,EC"/>
    <w:basedOn w:val="Normal"/>
    <w:link w:val="ListParagraphChar"/>
    <w:uiPriority w:val="34"/>
    <w:qFormat/>
    <w:rsid w:val="00D051BB"/>
    <w:pPr>
      <w:ind w:left="720"/>
      <w:contextualSpacing/>
    </w:pPr>
  </w:style>
  <w:style w:type="paragraph" w:styleId="BalloonText">
    <w:name w:val="Balloon Text"/>
    <w:basedOn w:val="Normal"/>
    <w:link w:val="BalloonTextChar"/>
    <w:uiPriority w:val="99"/>
    <w:semiHidden/>
    <w:unhideWhenUsed/>
    <w:rsid w:val="00F730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03E"/>
    <w:rPr>
      <w:rFonts w:ascii="Segoe UI" w:hAnsi="Segoe UI" w:cs="Segoe UI"/>
      <w:sz w:val="18"/>
      <w:szCs w:val="18"/>
    </w:rPr>
  </w:style>
  <w:style w:type="character" w:styleId="Hyperlink">
    <w:name w:val="Hyperlink"/>
    <w:basedOn w:val="DefaultParagraphFont"/>
    <w:uiPriority w:val="99"/>
    <w:unhideWhenUsed/>
    <w:rsid w:val="00C30FEA"/>
    <w:rPr>
      <w:color w:val="0563C1" w:themeColor="hyperlink"/>
      <w:u w:val="single"/>
    </w:rPr>
  </w:style>
  <w:style w:type="character" w:customStyle="1" w:styleId="contentpasted0">
    <w:name w:val="contentpasted0"/>
    <w:basedOn w:val="DefaultParagraphFont"/>
    <w:rsid w:val="00C30FEA"/>
  </w:style>
  <w:style w:type="character" w:customStyle="1" w:styleId="contentpasted2">
    <w:name w:val="contentpasted2"/>
    <w:basedOn w:val="DefaultParagraphFont"/>
    <w:rsid w:val="00C30FEA"/>
  </w:style>
  <w:style w:type="character" w:customStyle="1" w:styleId="contentpasted4">
    <w:name w:val="contentpasted4"/>
    <w:basedOn w:val="DefaultParagraphFont"/>
    <w:rsid w:val="00C30FEA"/>
  </w:style>
  <w:style w:type="character" w:customStyle="1" w:styleId="Heading2Char">
    <w:name w:val="Heading 2 Char"/>
    <w:basedOn w:val="DefaultParagraphFont"/>
    <w:link w:val="Heading2"/>
    <w:uiPriority w:val="9"/>
    <w:rsid w:val="001D0C88"/>
    <w:rPr>
      <w:rFonts w:ascii="Calibri Light" w:eastAsia="Times New Roman" w:hAnsi="Calibri Light" w:cs="Times New Roman"/>
      <w:b/>
      <w:bCs/>
      <w:i/>
      <w:iCs/>
      <w:sz w:val="28"/>
      <w:szCs w:val="28"/>
      <w:lang w:eastAsia="es-ES"/>
    </w:rPr>
  </w:style>
  <w:style w:type="paragraph" w:customStyle="1" w:styleId="Textonotapie1">
    <w:name w:val="Texto nota pie1"/>
    <w:basedOn w:val="Normal"/>
    <w:next w:val="FootnoteText"/>
    <w:link w:val="TextonotapieCar"/>
    <w:uiPriority w:val="99"/>
    <w:semiHidden/>
    <w:unhideWhenUsed/>
    <w:rsid w:val="00CC0392"/>
    <w:pPr>
      <w:spacing w:after="0" w:line="240" w:lineRule="auto"/>
    </w:pPr>
    <w:rPr>
      <w:sz w:val="20"/>
      <w:szCs w:val="20"/>
    </w:rPr>
  </w:style>
  <w:style w:type="character" w:customStyle="1" w:styleId="TextonotapieCar">
    <w:name w:val="Texto nota pie Car"/>
    <w:basedOn w:val="DefaultParagraphFont"/>
    <w:link w:val="Textonotapie1"/>
    <w:uiPriority w:val="99"/>
    <w:rsid w:val="00CC0392"/>
    <w:rPr>
      <w:sz w:val="20"/>
      <w:szCs w:val="20"/>
    </w:rPr>
  </w:style>
  <w:style w:type="character" w:styleId="FootnoteReference">
    <w:name w:val="footnote reference"/>
    <w:basedOn w:val="DefaultParagraphFont"/>
    <w:uiPriority w:val="99"/>
    <w:unhideWhenUsed/>
    <w:rsid w:val="00CC0392"/>
    <w:rPr>
      <w:vertAlign w:val="superscript"/>
    </w:rPr>
  </w:style>
  <w:style w:type="paragraph" w:styleId="FootnoteText">
    <w:name w:val="footnote text"/>
    <w:basedOn w:val="Normal"/>
    <w:link w:val="FootnoteTextChar"/>
    <w:uiPriority w:val="99"/>
    <w:unhideWhenUsed/>
    <w:rsid w:val="00CC03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0392"/>
    <w:rPr>
      <w:sz w:val="20"/>
      <w:szCs w:val="20"/>
    </w:rPr>
  </w:style>
  <w:style w:type="character" w:styleId="CommentReference">
    <w:name w:val="annotation reference"/>
    <w:basedOn w:val="DefaultParagraphFont"/>
    <w:uiPriority w:val="99"/>
    <w:semiHidden/>
    <w:unhideWhenUsed/>
    <w:rsid w:val="00B374EE"/>
    <w:rPr>
      <w:sz w:val="16"/>
      <w:szCs w:val="16"/>
    </w:rPr>
  </w:style>
  <w:style w:type="paragraph" w:styleId="CommentText">
    <w:name w:val="annotation text"/>
    <w:basedOn w:val="Normal"/>
    <w:link w:val="CommentTextChar"/>
    <w:uiPriority w:val="99"/>
    <w:unhideWhenUsed/>
    <w:rsid w:val="00B374EE"/>
    <w:pPr>
      <w:spacing w:line="240" w:lineRule="auto"/>
    </w:pPr>
    <w:rPr>
      <w:sz w:val="20"/>
      <w:szCs w:val="20"/>
    </w:rPr>
  </w:style>
  <w:style w:type="character" w:customStyle="1" w:styleId="CommentTextChar">
    <w:name w:val="Comment Text Char"/>
    <w:basedOn w:val="DefaultParagraphFont"/>
    <w:link w:val="CommentText"/>
    <w:uiPriority w:val="99"/>
    <w:rsid w:val="00B374EE"/>
    <w:rPr>
      <w:sz w:val="20"/>
      <w:szCs w:val="20"/>
    </w:rPr>
  </w:style>
  <w:style w:type="paragraph" w:styleId="CommentSubject">
    <w:name w:val="annotation subject"/>
    <w:basedOn w:val="CommentText"/>
    <w:next w:val="CommentText"/>
    <w:link w:val="CommentSubjectChar"/>
    <w:uiPriority w:val="99"/>
    <w:semiHidden/>
    <w:unhideWhenUsed/>
    <w:rsid w:val="00B374EE"/>
    <w:rPr>
      <w:b/>
      <w:bCs/>
    </w:rPr>
  </w:style>
  <w:style w:type="character" w:customStyle="1" w:styleId="CommentSubjectChar">
    <w:name w:val="Comment Subject Char"/>
    <w:basedOn w:val="CommentTextChar"/>
    <w:link w:val="CommentSubject"/>
    <w:uiPriority w:val="99"/>
    <w:semiHidden/>
    <w:rsid w:val="00B374EE"/>
    <w:rPr>
      <w:b/>
      <w:bCs/>
      <w:sz w:val="20"/>
      <w:szCs w:val="20"/>
    </w:rPr>
  </w:style>
  <w:style w:type="character" w:customStyle="1" w:styleId="UnresolvedMention1">
    <w:name w:val="Unresolved Mention1"/>
    <w:basedOn w:val="DefaultParagraphFont"/>
    <w:uiPriority w:val="99"/>
    <w:semiHidden/>
    <w:unhideWhenUsed/>
    <w:rsid w:val="002C28EC"/>
    <w:rPr>
      <w:color w:val="605E5C"/>
      <w:shd w:val="clear" w:color="auto" w:fill="E1DFDD"/>
    </w:rPr>
  </w:style>
  <w:style w:type="paragraph" w:styleId="Revision">
    <w:name w:val="Revision"/>
    <w:hidden/>
    <w:uiPriority w:val="99"/>
    <w:semiHidden/>
    <w:rsid w:val="00280814"/>
    <w:pPr>
      <w:spacing w:after="0" w:line="240" w:lineRule="auto"/>
    </w:pPr>
  </w:style>
  <w:style w:type="character" w:customStyle="1" w:styleId="ListParagraphChar">
    <w:name w:val="List Paragraph Char"/>
    <w:aliases w:val="Título de lista Char,List Paragraph (numbered (a)) Char,References Char,WB List Paragraph Char,Dot pt Char,F5 List Paragraph Char,List Paragraph1 Char,No Spacing1 Char,List Paragraph Char Char Char Char,Indicator Text Char,EC Char"/>
    <w:link w:val="ListParagraph"/>
    <w:uiPriority w:val="34"/>
    <w:qFormat/>
    <w:locked/>
    <w:rsid w:val="00E43F9B"/>
  </w:style>
  <w:style w:type="paragraph" w:styleId="NormalWeb">
    <w:name w:val="Normal (Web)"/>
    <w:basedOn w:val="Normal"/>
    <w:uiPriority w:val="99"/>
    <w:unhideWhenUsed/>
    <w:rsid w:val="006C2B4D"/>
    <w:pPr>
      <w:spacing w:before="100" w:beforeAutospacing="1" w:after="100" w:afterAutospacing="1" w:line="240" w:lineRule="auto"/>
    </w:pPr>
    <w:rPr>
      <w:rFonts w:ascii="Times New Roman" w:eastAsia="Times New Roman" w:hAnsi="Times New Roman" w:cs="Times New Roman"/>
      <w:szCs w:val="24"/>
      <w:lang w:eastAsia="es-ES"/>
    </w:rPr>
  </w:style>
  <w:style w:type="character" w:styleId="FollowedHyperlink">
    <w:name w:val="FollowedHyperlink"/>
    <w:basedOn w:val="DefaultParagraphFont"/>
    <w:uiPriority w:val="99"/>
    <w:semiHidden/>
    <w:unhideWhenUsed/>
    <w:rsid w:val="00564E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958300">
      <w:bodyDiv w:val="1"/>
      <w:marLeft w:val="0"/>
      <w:marRight w:val="0"/>
      <w:marTop w:val="0"/>
      <w:marBottom w:val="0"/>
      <w:divBdr>
        <w:top w:val="none" w:sz="0" w:space="0" w:color="auto"/>
        <w:left w:val="none" w:sz="0" w:space="0" w:color="auto"/>
        <w:bottom w:val="none" w:sz="0" w:space="0" w:color="auto"/>
        <w:right w:val="none" w:sz="0" w:space="0" w:color="auto"/>
      </w:divBdr>
    </w:div>
    <w:div w:id="282806331">
      <w:bodyDiv w:val="1"/>
      <w:marLeft w:val="0"/>
      <w:marRight w:val="0"/>
      <w:marTop w:val="0"/>
      <w:marBottom w:val="0"/>
      <w:divBdr>
        <w:top w:val="none" w:sz="0" w:space="0" w:color="auto"/>
        <w:left w:val="none" w:sz="0" w:space="0" w:color="auto"/>
        <w:bottom w:val="none" w:sz="0" w:space="0" w:color="auto"/>
        <w:right w:val="none" w:sz="0" w:space="0" w:color="auto"/>
      </w:divBdr>
    </w:div>
    <w:div w:id="194858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cionyfp.gob.es/destacados/cooperacion/2022.html" TargetMode="External"/><Relationship Id="rId18" Type="http://schemas.openxmlformats.org/officeDocument/2006/relationships/hyperlink" Target="https://www.educacionyfp.gob.es/servicios-al-ciudadano/catalogo/general/20/202460/ficha/202460-2023.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ducagob.educacionyfp.gob.es/curriculo/curriculo-lomloe/menu-curriculos-basicos.html" TargetMode="External"/><Relationship Id="rId17" Type="http://schemas.openxmlformats.org/officeDocument/2006/relationships/hyperlink" Target="https://www.educacionyfp.gob.es/mc/sgctie/cooperacion-territorial/programas-cooperacion/proa/proa-21-23.html" TargetMode="External"/><Relationship Id="rId2" Type="http://schemas.openxmlformats.org/officeDocument/2006/relationships/customXml" Target="../customXml/item2.xml"/><Relationship Id="rId16" Type="http://schemas.openxmlformats.org/officeDocument/2006/relationships/hyperlink" Target="https://www.educacionyfp.gob.es/mc/sgctie/comunicacion/blog/2021/octubre2021/confint.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mf.org/es/Blogs/Articles/2022/12/14/swapping-debt-for-climate-or-nature-pledges-can-help-fund-resilience" TargetMode="External"/><Relationship Id="rId5" Type="http://schemas.openxmlformats.org/officeDocument/2006/relationships/numbering" Target="numbering.xml"/><Relationship Id="rId15" Type="http://schemas.openxmlformats.org/officeDocument/2006/relationships/hyperlink" Target="https://www.educacionyfp.gob.es/mc/sgctie/cooperacion-territorial/programas-cooperacion/proa/proa-21-23.html" TargetMode="External"/><Relationship Id="rId10" Type="http://schemas.openxmlformats.org/officeDocument/2006/relationships/endnotes" Target="endnotes.xml"/><Relationship Id="rId19" Type="http://schemas.openxmlformats.org/officeDocument/2006/relationships/hyperlink" Target="https://fundacionyehudimenuhin.org/programas/mu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ef.es/iniciativas/mrr/"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S/TXT/?uri=CELEX:32018H0604(01)&amp;from=E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Spain</Contributor>
  </documentManagement>
</p:properties>
</file>

<file path=customXml/itemProps1.xml><?xml version="1.0" encoding="utf-8"?>
<ds:datastoreItem xmlns:ds="http://schemas.openxmlformats.org/officeDocument/2006/customXml" ds:itemID="{4C1C1BAF-7C9C-4F5F-B3C2-A81FDD404278}">
  <ds:schemaRefs>
    <ds:schemaRef ds:uri="http://schemas.microsoft.com/sharepoint/v3/contenttype/forms"/>
  </ds:schemaRefs>
</ds:datastoreItem>
</file>

<file path=customXml/itemProps2.xml><?xml version="1.0" encoding="utf-8"?>
<ds:datastoreItem xmlns:ds="http://schemas.openxmlformats.org/officeDocument/2006/customXml" ds:itemID="{952E5383-3812-429A-A3B6-B299B5756A9F}"/>
</file>

<file path=customXml/itemProps3.xml><?xml version="1.0" encoding="utf-8"?>
<ds:datastoreItem xmlns:ds="http://schemas.openxmlformats.org/officeDocument/2006/customXml" ds:itemID="{243C1A9E-0EAA-4890-81CA-803CC0EAEE41}">
  <ds:schemaRefs>
    <ds:schemaRef ds:uri="http://schemas.openxmlformats.org/officeDocument/2006/bibliography"/>
  </ds:schemaRefs>
</ds:datastoreItem>
</file>

<file path=customXml/itemProps4.xml><?xml version="1.0" encoding="utf-8"?>
<ds:datastoreItem xmlns:ds="http://schemas.openxmlformats.org/officeDocument/2006/customXml" ds:itemID="{3BC3A591-9AB8-4E1B-B83C-4EEB74F1ED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3461</Words>
  <Characters>19733</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MAEC</Company>
  <LinksUpToDate>false</LinksUpToDate>
  <CharactersWithSpaces>23148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 Alonso, Sonia</dc:creator>
  <cp:lastModifiedBy>Antoanela Pavlova</cp:lastModifiedBy>
  <cp:revision>2</cp:revision>
  <cp:lastPrinted>2024-03-04T11:56:00Z</cp:lastPrinted>
  <dcterms:created xsi:type="dcterms:W3CDTF">2024-03-13T13:27:00Z</dcterms:created>
  <dcterms:modified xsi:type="dcterms:W3CDTF">2024-03-13T13:27:00Z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