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6E9F" w14:textId="77777777" w:rsidR="00F46228" w:rsidRDefault="00011900" w:rsidP="00011900">
      <w:pPr>
        <w:jc w:val="center"/>
        <w:rPr>
          <w:rFonts w:ascii="Times New Roman" w:hAnsi="Times New Roman" w:cs="Times New Roman"/>
          <w:b/>
          <w:bCs/>
          <w:sz w:val="24"/>
          <w:szCs w:val="24"/>
          <w:u w:val="single"/>
        </w:rPr>
      </w:pPr>
      <w:r w:rsidRPr="00011900">
        <w:rPr>
          <w:rFonts w:ascii="Times New Roman" w:hAnsi="Times New Roman" w:cs="Times New Roman"/>
          <w:b/>
          <w:bCs/>
          <w:sz w:val="24"/>
          <w:szCs w:val="24"/>
          <w:u w:val="single"/>
        </w:rPr>
        <w:t>COVID RECOVERY PLANS AND STRATEGIES</w:t>
      </w:r>
      <w:r w:rsidR="00F46228">
        <w:rPr>
          <w:rFonts w:ascii="Times New Roman" w:hAnsi="Times New Roman" w:cs="Times New Roman"/>
          <w:b/>
          <w:bCs/>
          <w:sz w:val="24"/>
          <w:szCs w:val="24"/>
          <w:u w:val="single"/>
        </w:rPr>
        <w:t xml:space="preserve"> </w:t>
      </w:r>
    </w:p>
    <w:p w14:paraId="61CFB715" w14:textId="47E06983" w:rsidR="00745EAC" w:rsidRDefault="00F46228" w:rsidP="00011900">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(From a Right to Development Perspective)</w:t>
      </w:r>
    </w:p>
    <w:p w14:paraId="3BF48785" w14:textId="4838AEC2" w:rsidR="00011900" w:rsidRPr="00011900" w:rsidRDefault="00011900" w:rsidP="00011900">
      <w:pPr>
        <w:rPr>
          <w:rFonts w:ascii="Times New Roman" w:hAnsi="Times New Roman" w:cs="Times New Roman"/>
          <w:sz w:val="24"/>
          <w:szCs w:val="24"/>
          <w:shd w:val="clear" w:color="auto" w:fill="FFFFFF"/>
        </w:rPr>
      </w:pPr>
      <w:r w:rsidRPr="00011900">
        <w:rPr>
          <w:rFonts w:ascii="Times New Roman" w:hAnsi="Times New Roman" w:cs="Times New Roman"/>
          <w:sz w:val="24"/>
          <w:szCs w:val="24"/>
          <w:shd w:val="clear" w:color="auto" w:fill="FFFFFF"/>
        </w:rPr>
        <w:t>The right to development is an inalienable human right by virtue of which every human person and all</w:t>
      </w:r>
      <w:r w:rsidR="00F46228">
        <w:rPr>
          <w:rFonts w:ascii="Times New Roman" w:hAnsi="Times New Roman" w:cs="Times New Roman"/>
          <w:sz w:val="24"/>
          <w:szCs w:val="24"/>
          <w:shd w:val="clear" w:color="auto" w:fill="FFFFFF"/>
        </w:rPr>
        <w:t xml:space="preserve"> </w:t>
      </w:r>
      <w:r w:rsidRPr="00011900">
        <w:rPr>
          <w:rFonts w:ascii="Times New Roman" w:hAnsi="Times New Roman" w:cs="Times New Roman"/>
          <w:sz w:val="24"/>
          <w:szCs w:val="24"/>
          <w:shd w:val="clear" w:color="auto" w:fill="FFFFFF"/>
        </w:rPr>
        <w:t>peoples are entitled to participate in, contribute to, and enjoy economic, social, cultural and political</w:t>
      </w:r>
      <w:r w:rsidR="00F46228">
        <w:rPr>
          <w:rFonts w:ascii="Times New Roman" w:hAnsi="Times New Roman" w:cs="Times New Roman"/>
          <w:sz w:val="24"/>
          <w:szCs w:val="24"/>
          <w:shd w:val="clear" w:color="auto" w:fill="FFFFFF"/>
        </w:rPr>
        <w:t xml:space="preserve"> </w:t>
      </w:r>
      <w:r w:rsidRPr="00011900">
        <w:rPr>
          <w:rFonts w:ascii="Times New Roman" w:hAnsi="Times New Roman" w:cs="Times New Roman"/>
          <w:sz w:val="24"/>
          <w:szCs w:val="24"/>
          <w:shd w:val="clear" w:color="auto" w:fill="FFFFFF"/>
        </w:rPr>
        <w:t>development, in which all human rights and fundamental freedoms can be fully realized.</w:t>
      </w:r>
    </w:p>
    <w:p w14:paraId="349914C7" w14:textId="77777777" w:rsidR="00D31062" w:rsidRPr="00D31062" w:rsidRDefault="00D31062" w:rsidP="00011900">
      <w:pPr>
        <w:rPr>
          <w:rFonts w:ascii="Times New Roman" w:hAnsi="Times New Roman" w:cs="Times New Roman"/>
          <w:b/>
          <w:bCs/>
          <w:sz w:val="24"/>
          <w:szCs w:val="24"/>
          <w:u w:val="single"/>
        </w:rPr>
      </w:pPr>
      <w:r w:rsidRPr="00D31062">
        <w:rPr>
          <w:rFonts w:ascii="Times New Roman" w:hAnsi="Times New Roman" w:cs="Times New Roman"/>
          <w:b/>
          <w:bCs/>
          <w:sz w:val="24"/>
          <w:szCs w:val="24"/>
          <w:u w:val="single"/>
        </w:rPr>
        <w:t xml:space="preserve">County Covid-19 Social Economic Re-engineering recovery Strategy 2020/21-2022-23 </w:t>
      </w:r>
    </w:p>
    <w:p w14:paraId="5A5EF90D" w14:textId="6C6688C0" w:rsidR="00011900" w:rsidRDefault="00011900" w:rsidP="00011900">
      <w:pPr>
        <w:rPr>
          <w:rFonts w:ascii="Times New Roman" w:hAnsi="Times New Roman" w:cs="Times New Roman"/>
          <w:sz w:val="24"/>
          <w:szCs w:val="24"/>
        </w:rPr>
      </w:pPr>
      <w:r>
        <w:rPr>
          <w:rFonts w:ascii="Times New Roman" w:hAnsi="Times New Roman" w:cs="Times New Roman"/>
          <w:sz w:val="24"/>
          <w:szCs w:val="24"/>
        </w:rPr>
        <w:t xml:space="preserve">The County </w:t>
      </w:r>
      <w:r w:rsidR="00C80BA3">
        <w:rPr>
          <w:rFonts w:ascii="Times New Roman" w:hAnsi="Times New Roman" w:cs="Times New Roman"/>
          <w:sz w:val="24"/>
          <w:szCs w:val="24"/>
        </w:rPr>
        <w:t>Covid-19 Social Economic Re-engineering recovery Strategy 2020/21-2022-23 highlights some of the steps that the County Governments are taking to ensure faster recovery and growth of various sectors and ultimately mitigate the effects of Covid-19 on the Economy.</w:t>
      </w:r>
    </w:p>
    <w:p w14:paraId="57D3CBB0" w14:textId="41952610" w:rsidR="0088050E" w:rsidRPr="0088050E" w:rsidRDefault="0088050E" w:rsidP="00011900">
      <w:pPr>
        <w:rPr>
          <w:rFonts w:ascii="Times New Roman" w:hAnsi="Times New Roman" w:cs="Times New Roman"/>
          <w:sz w:val="24"/>
          <w:szCs w:val="24"/>
        </w:rPr>
      </w:pPr>
      <w:r w:rsidRPr="0088050E">
        <w:rPr>
          <w:rFonts w:ascii="Times New Roman" w:hAnsi="Times New Roman" w:cs="Times New Roman"/>
          <w:sz w:val="24"/>
          <w:szCs w:val="24"/>
        </w:rPr>
        <w:t>Some of the pillars for County Recover</w:t>
      </w:r>
      <w:r w:rsidR="00F46228">
        <w:rPr>
          <w:rFonts w:ascii="Times New Roman" w:hAnsi="Times New Roman" w:cs="Times New Roman"/>
          <w:sz w:val="24"/>
          <w:szCs w:val="24"/>
        </w:rPr>
        <w:t>y</w:t>
      </w:r>
      <w:r w:rsidRPr="0088050E">
        <w:rPr>
          <w:rFonts w:ascii="Times New Roman" w:hAnsi="Times New Roman" w:cs="Times New Roman"/>
          <w:sz w:val="24"/>
          <w:szCs w:val="24"/>
        </w:rPr>
        <w:t xml:space="preserve"> and Re-engineering strategies that cover different sectors at an individual and community level include:</w:t>
      </w:r>
    </w:p>
    <w:p w14:paraId="043DE450" w14:textId="74738D22" w:rsidR="0088050E" w:rsidRPr="0088050E" w:rsidRDefault="0088050E" w:rsidP="00011900">
      <w:pPr>
        <w:rPr>
          <w:rFonts w:ascii="Times New Roman" w:hAnsi="Times New Roman" w:cs="Times New Roman"/>
          <w:b/>
          <w:bCs/>
          <w:sz w:val="24"/>
          <w:szCs w:val="24"/>
        </w:rPr>
      </w:pPr>
      <w:r w:rsidRPr="0088050E">
        <w:rPr>
          <w:rFonts w:ascii="Times New Roman" w:hAnsi="Times New Roman" w:cs="Times New Roman"/>
          <w:b/>
          <w:bCs/>
          <w:sz w:val="24"/>
          <w:szCs w:val="24"/>
        </w:rPr>
        <w:t xml:space="preserve">Boosting Private Sector </w:t>
      </w:r>
      <w:r w:rsidR="00F46228" w:rsidRPr="0088050E">
        <w:rPr>
          <w:rFonts w:ascii="Times New Roman" w:hAnsi="Times New Roman" w:cs="Times New Roman"/>
          <w:b/>
          <w:bCs/>
          <w:sz w:val="24"/>
          <w:szCs w:val="24"/>
        </w:rPr>
        <w:t>Activity</w:t>
      </w:r>
      <w:r w:rsidRPr="0088050E">
        <w:rPr>
          <w:rFonts w:ascii="Times New Roman" w:hAnsi="Times New Roman" w:cs="Times New Roman"/>
          <w:b/>
          <w:bCs/>
          <w:sz w:val="24"/>
          <w:szCs w:val="24"/>
        </w:rPr>
        <w:t>.</w:t>
      </w:r>
    </w:p>
    <w:p w14:paraId="0AADD0BC" w14:textId="15FBE0D0" w:rsidR="0088050E" w:rsidRPr="0088050E" w:rsidRDefault="0088050E" w:rsidP="00011900">
      <w:pPr>
        <w:rPr>
          <w:rFonts w:ascii="Times New Roman" w:hAnsi="Times New Roman" w:cs="Times New Roman"/>
          <w:sz w:val="24"/>
          <w:szCs w:val="24"/>
        </w:rPr>
      </w:pPr>
      <w:r w:rsidRPr="0088050E">
        <w:rPr>
          <w:rFonts w:ascii="Times New Roman" w:hAnsi="Times New Roman" w:cs="Times New Roman"/>
          <w:sz w:val="24"/>
          <w:szCs w:val="24"/>
        </w:rPr>
        <w:t>The private sector is dominated by micro</w:t>
      </w:r>
      <w:r w:rsidR="00B81B96">
        <w:rPr>
          <w:rFonts w:ascii="Times New Roman" w:hAnsi="Times New Roman" w:cs="Times New Roman"/>
          <w:sz w:val="24"/>
          <w:szCs w:val="24"/>
        </w:rPr>
        <w:t>-</w:t>
      </w:r>
      <w:r w:rsidRPr="0088050E">
        <w:rPr>
          <w:rFonts w:ascii="Times New Roman" w:hAnsi="Times New Roman" w:cs="Times New Roman"/>
          <w:sz w:val="24"/>
          <w:szCs w:val="24"/>
        </w:rPr>
        <w:t xml:space="preserve">enterprises (89.2%) and small farm holders (99.0%) majority of whom were adversely affected by the pandemic. To improve the business environment, there is need to: </w:t>
      </w:r>
    </w:p>
    <w:p w14:paraId="6019846C" w14:textId="0A45B584" w:rsidR="0088050E" w:rsidRPr="00D31062" w:rsidRDefault="0088050E" w:rsidP="00D31062">
      <w:pPr>
        <w:pStyle w:val="ListParagraph"/>
        <w:numPr>
          <w:ilvl w:val="0"/>
          <w:numId w:val="1"/>
        </w:numPr>
        <w:rPr>
          <w:rFonts w:ascii="Times New Roman" w:hAnsi="Times New Roman" w:cs="Times New Roman"/>
          <w:sz w:val="24"/>
          <w:szCs w:val="24"/>
        </w:rPr>
      </w:pPr>
      <w:r w:rsidRPr="00D31062">
        <w:rPr>
          <w:rFonts w:ascii="Times New Roman" w:hAnsi="Times New Roman" w:cs="Times New Roman"/>
          <w:sz w:val="24"/>
          <w:szCs w:val="24"/>
        </w:rPr>
        <w:t>Enhance access to affordable credit: For the M</w:t>
      </w:r>
      <w:r w:rsidR="00F46228">
        <w:rPr>
          <w:rFonts w:ascii="Times New Roman" w:hAnsi="Times New Roman" w:cs="Times New Roman"/>
          <w:sz w:val="24"/>
          <w:szCs w:val="24"/>
        </w:rPr>
        <w:t xml:space="preserve">icro and </w:t>
      </w:r>
      <w:r w:rsidRPr="00D31062">
        <w:rPr>
          <w:rFonts w:ascii="Times New Roman" w:hAnsi="Times New Roman" w:cs="Times New Roman"/>
          <w:sz w:val="24"/>
          <w:szCs w:val="24"/>
        </w:rPr>
        <w:t>S</w:t>
      </w:r>
      <w:r w:rsidR="00F46228">
        <w:rPr>
          <w:rFonts w:ascii="Times New Roman" w:hAnsi="Times New Roman" w:cs="Times New Roman"/>
          <w:sz w:val="24"/>
          <w:szCs w:val="24"/>
        </w:rPr>
        <w:t xml:space="preserve">mall </w:t>
      </w:r>
      <w:r w:rsidRPr="00D31062">
        <w:rPr>
          <w:rFonts w:ascii="Times New Roman" w:hAnsi="Times New Roman" w:cs="Times New Roman"/>
          <w:sz w:val="24"/>
          <w:szCs w:val="24"/>
        </w:rPr>
        <w:t>E</w:t>
      </w:r>
      <w:r w:rsidR="00F46228">
        <w:rPr>
          <w:rFonts w:ascii="Times New Roman" w:hAnsi="Times New Roman" w:cs="Times New Roman"/>
          <w:sz w:val="24"/>
          <w:szCs w:val="24"/>
        </w:rPr>
        <w:t>nterprises (MSE’s)</w:t>
      </w:r>
      <w:r w:rsidRPr="00D31062">
        <w:rPr>
          <w:rFonts w:ascii="Times New Roman" w:hAnsi="Times New Roman" w:cs="Times New Roman"/>
          <w:sz w:val="24"/>
          <w:szCs w:val="24"/>
        </w:rPr>
        <w:t>, initiate and strengthen self-sustaining funds dedicated and easily accessible to MSEs; promote tailor made financial literacy programmes; and establish frameworks for micro-leasing; utilize the SMEs credit guarantee scheme</w:t>
      </w:r>
      <w:r w:rsidR="00B81B96">
        <w:rPr>
          <w:rFonts w:ascii="Times New Roman" w:hAnsi="Times New Roman" w:cs="Times New Roman"/>
          <w:sz w:val="24"/>
          <w:szCs w:val="24"/>
        </w:rPr>
        <w:t>.</w:t>
      </w:r>
    </w:p>
    <w:p w14:paraId="019D1CCD" w14:textId="3479C9B1" w:rsidR="0088050E" w:rsidRPr="00D31062" w:rsidRDefault="0088050E" w:rsidP="00D31062">
      <w:pPr>
        <w:pStyle w:val="ListParagraph"/>
        <w:numPr>
          <w:ilvl w:val="0"/>
          <w:numId w:val="1"/>
        </w:numPr>
        <w:rPr>
          <w:rFonts w:ascii="Times New Roman" w:hAnsi="Times New Roman" w:cs="Times New Roman"/>
          <w:sz w:val="24"/>
          <w:szCs w:val="24"/>
        </w:rPr>
      </w:pPr>
      <w:r w:rsidRPr="00D31062">
        <w:rPr>
          <w:rFonts w:ascii="Times New Roman" w:hAnsi="Times New Roman" w:cs="Times New Roman"/>
          <w:sz w:val="24"/>
          <w:szCs w:val="24"/>
        </w:rPr>
        <w:t>Provide for worksite</w:t>
      </w:r>
      <w:r w:rsidR="00F46228">
        <w:rPr>
          <w:rFonts w:ascii="Times New Roman" w:hAnsi="Times New Roman" w:cs="Times New Roman"/>
          <w:sz w:val="24"/>
          <w:szCs w:val="24"/>
        </w:rPr>
        <w:t>s</w:t>
      </w:r>
      <w:r w:rsidRPr="00D31062">
        <w:rPr>
          <w:rFonts w:ascii="Times New Roman" w:hAnsi="Times New Roman" w:cs="Times New Roman"/>
          <w:sz w:val="24"/>
          <w:szCs w:val="24"/>
        </w:rPr>
        <w:t>: Develop adequate, cluster-informed and well-equipped worksites with workshops, common user facilities, incubation centres and showrooms for artisans, and provide machines and safety gear.</w:t>
      </w:r>
    </w:p>
    <w:p w14:paraId="6CFDE96E" w14:textId="7AAE1464" w:rsidR="0088050E" w:rsidRPr="00D31062" w:rsidRDefault="0088050E" w:rsidP="00D31062">
      <w:pPr>
        <w:pStyle w:val="ListParagraph"/>
        <w:numPr>
          <w:ilvl w:val="0"/>
          <w:numId w:val="1"/>
        </w:numPr>
        <w:rPr>
          <w:rFonts w:ascii="Times New Roman" w:hAnsi="Times New Roman" w:cs="Times New Roman"/>
          <w:sz w:val="24"/>
          <w:szCs w:val="24"/>
        </w:rPr>
      </w:pPr>
      <w:r w:rsidRPr="00D31062">
        <w:rPr>
          <w:rFonts w:ascii="Times New Roman" w:hAnsi="Times New Roman" w:cs="Times New Roman"/>
          <w:sz w:val="24"/>
          <w:szCs w:val="24"/>
        </w:rPr>
        <w:t>Improve infrastructure and security: Provide for connectivity to roads, electricity, water and drainage and enhance security to reduce crime in continuing to improve Kenya’s global Ease of Doing Business ranking.</w:t>
      </w:r>
    </w:p>
    <w:p w14:paraId="119D66D5" w14:textId="59AE88FC" w:rsidR="00D31062" w:rsidRPr="00D31062" w:rsidRDefault="00D31062" w:rsidP="00011900">
      <w:pPr>
        <w:rPr>
          <w:rFonts w:ascii="Times New Roman" w:hAnsi="Times New Roman" w:cs="Times New Roman"/>
          <w:b/>
          <w:bCs/>
          <w:sz w:val="24"/>
          <w:szCs w:val="24"/>
        </w:rPr>
      </w:pPr>
      <w:r w:rsidRPr="00D31062">
        <w:rPr>
          <w:rFonts w:ascii="Times New Roman" w:hAnsi="Times New Roman" w:cs="Times New Roman"/>
          <w:b/>
          <w:bCs/>
          <w:sz w:val="24"/>
          <w:szCs w:val="24"/>
        </w:rPr>
        <w:t>Strengthening ICT Capacity</w:t>
      </w:r>
    </w:p>
    <w:p w14:paraId="17CA13C6" w14:textId="79A3A4F2" w:rsidR="00D31062" w:rsidRPr="00D31062" w:rsidRDefault="00D31062" w:rsidP="00011900">
      <w:pPr>
        <w:rPr>
          <w:rFonts w:ascii="Times New Roman" w:hAnsi="Times New Roman" w:cs="Times New Roman"/>
          <w:sz w:val="24"/>
          <w:szCs w:val="24"/>
        </w:rPr>
      </w:pPr>
      <w:r w:rsidRPr="00D31062">
        <w:rPr>
          <w:rFonts w:ascii="Times New Roman" w:hAnsi="Times New Roman" w:cs="Times New Roman"/>
          <w:sz w:val="24"/>
          <w:szCs w:val="24"/>
        </w:rPr>
        <w:t>Enhancing Information and Communication Technology (ICT) capacity in the public sector and households will enable business continuity and build resilience to future disas</w:t>
      </w:r>
      <w:r w:rsidR="00B81B96">
        <w:rPr>
          <w:rFonts w:ascii="Times New Roman" w:hAnsi="Times New Roman" w:cs="Times New Roman"/>
          <w:sz w:val="24"/>
          <w:szCs w:val="24"/>
        </w:rPr>
        <w:t>ters and pandemics. The</w:t>
      </w:r>
      <w:r w:rsidRPr="00D31062">
        <w:rPr>
          <w:rFonts w:ascii="Times New Roman" w:hAnsi="Times New Roman" w:cs="Times New Roman"/>
          <w:sz w:val="24"/>
          <w:szCs w:val="24"/>
        </w:rPr>
        <w:t>s</w:t>
      </w:r>
      <w:r w:rsidR="00B81B96">
        <w:rPr>
          <w:rFonts w:ascii="Times New Roman" w:hAnsi="Times New Roman" w:cs="Times New Roman"/>
          <w:sz w:val="24"/>
          <w:szCs w:val="24"/>
        </w:rPr>
        <w:t>e include</w:t>
      </w:r>
      <w:r w:rsidRPr="00D31062">
        <w:rPr>
          <w:rFonts w:ascii="Times New Roman" w:hAnsi="Times New Roman" w:cs="Times New Roman"/>
          <w:sz w:val="24"/>
          <w:szCs w:val="24"/>
        </w:rPr>
        <w:t>:</w:t>
      </w:r>
    </w:p>
    <w:p w14:paraId="71F0FB0F" w14:textId="25E43CA3" w:rsidR="00D31062" w:rsidRPr="00D31062" w:rsidRDefault="00D31062" w:rsidP="00D31062">
      <w:pPr>
        <w:pStyle w:val="ListParagraph"/>
        <w:numPr>
          <w:ilvl w:val="0"/>
          <w:numId w:val="2"/>
        </w:numPr>
        <w:rPr>
          <w:rFonts w:ascii="Times New Roman" w:hAnsi="Times New Roman" w:cs="Times New Roman"/>
          <w:sz w:val="24"/>
          <w:szCs w:val="24"/>
        </w:rPr>
      </w:pPr>
      <w:r w:rsidRPr="00D31062">
        <w:rPr>
          <w:rFonts w:ascii="Times New Roman" w:hAnsi="Times New Roman" w:cs="Times New Roman"/>
          <w:sz w:val="24"/>
          <w:szCs w:val="24"/>
        </w:rPr>
        <w:t>Complete the County Connectivity Project to the Government Common Core Network (GCCN)</w:t>
      </w:r>
      <w:r>
        <w:rPr>
          <w:rFonts w:ascii="Times New Roman" w:hAnsi="Times New Roman" w:cs="Times New Roman"/>
          <w:sz w:val="24"/>
          <w:szCs w:val="24"/>
        </w:rPr>
        <w:t>.</w:t>
      </w:r>
    </w:p>
    <w:p w14:paraId="55772678" w14:textId="012CF416" w:rsidR="00D31062" w:rsidRPr="00D31062" w:rsidRDefault="00D31062" w:rsidP="00D31062">
      <w:pPr>
        <w:pStyle w:val="ListParagraph"/>
        <w:numPr>
          <w:ilvl w:val="0"/>
          <w:numId w:val="2"/>
        </w:numPr>
        <w:rPr>
          <w:rFonts w:ascii="Times New Roman" w:hAnsi="Times New Roman" w:cs="Times New Roman"/>
          <w:sz w:val="24"/>
          <w:szCs w:val="24"/>
        </w:rPr>
      </w:pPr>
      <w:r w:rsidRPr="00D31062">
        <w:rPr>
          <w:rFonts w:ascii="Times New Roman" w:hAnsi="Times New Roman" w:cs="Times New Roman"/>
          <w:sz w:val="24"/>
          <w:szCs w:val="24"/>
        </w:rPr>
        <w:t xml:space="preserve">Enhance connectivity of businesses to ICT by extending the National Optic Fibre Backbone Infrastructure (NOFBI) in trade centres, public buildings and public spaces to boost e-commerce. </w:t>
      </w:r>
    </w:p>
    <w:p w14:paraId="75670109" w14:textId="27806B5C" w:rsidR="00D31062" w:rsidRPr="00D31062" w:rsidRDefault="00D31062" w:rsidP="00D31062">
      <w:pPr>
        <w:pStyle w:val="ListParagraph"/>
        <w:numPr>
          <w:ilvl w:val="0"/>
          <w:numId w:val="2"/>
        </w:numPr>
        <w:rPr>
          <w:rFonts w:ascii="Times New Roman" w:hAnsi="Times New Roman" w:cs="Times New Roman"/>
          <w:sz w:val="24"/>
          <w:szCs w:val="24"/>
        </w:rPr>
      </w:pPr>
      <w:r w:rsidRPr="00D31062">
        <w:rPr>
          <w:rFonts w:ascii="Times New Roman" w:hAnsi="Times New Roman" w:cs="Times New Roman"/>
          <w:sz w:val="24"/>
          <w:szCs w:val="24"/>
        </w:rPr>
        <w:t>Enhance household access to reliable, stable and affordable internet connectivity through Public-Private Partnerships (PPPs) between County Governments and ICT service providers such as the Goo</w:t>
      </w:r>
      <w:r w:rsidR="00B81B96">
        <w:rPr>
          <w:rFonts w:ascii="Times New Roman" w:hAnsi="Times New Roman" w:cs="Times New Roman"/>
          <w:sz w:val="24"/>
          <w:szCs w:val="24"/>
        </w:rPr>
        <w:t>g</w:t>
      </w:r>
      <w:r w:rsidRPr="00D31062">
        <w:rPr>
          <w:rFonts w:ascii="Times New Roman" w:hAnsi="Times New Roman" w:cs="Times New Roman"/>
          <w:sz w:val="24"/>
          <w:szCs w:val="24"/>
        </w:rPr>
        <w:t xml:space="preserve">le Loon and Telkom Kenya partnership. </w:t>
      </w:r>
    </w:p>
    <w:p w14:paraId="7AE8B9C6" w14:textId="3FF6F096" w:rsidR="00D31062" w:rsidRPr="00D31062" w:rsidRDefault="00D31062" w:rsidP="00D31062">
      <w:pPr>
        <w:pStyle w:val="ListParagraph"/>
        <w:numPr>
          <w:ilvl w:val="0"/>
          <w:numId w:val="2"/>
        </w:numPr>
        <w:rPr>
          <w:rFonts w:ascii="Times New Roman" w:hAnsi="Times New Roman" w:cs="Times New Roman"/>
          <w:b/>
          <w:bCs/>
          <w:sz w:val="24"/>
          <w:szCs w:val="24"/>
          <w:u w:val="single"/>
        </w:rPr>
      </w:pPr>
      <w:r w:rsidRPr="00D31062">
        <w:rPr>
          <w:rFonts w:ascii="Times New Roman" w:hAnsi="Times New Roman" w:cs="Times New Roman"/>
          <w:sz w:val="24"/>
          <w:szCs w:val="24"/>
        </w:rPr>
        <w:lastRenderedPageBreak/>
        <w:t>Promote household access to and use of ICT by providing devices such as smartphones that are 4G enabled and affordable.</w:t>
      </w:r>
    </w:p>
    <w:p w14:paraId="7F788D3E" w14:textId="7483E65B" w:rsidR="00D31062" w:rsidRPr="00D31062" w:rsidRDefault="00D31062" w:rsidP="00D31062">
      <w:pPr>
        <w:rPr>
          <w:rFonts w:ascii="Times New Roman" w:hAnsi="Times New Roman" w:cs="Times New Roman"/>
          <w:b/>
          <w:bCs/>
          <w:sz w:val="24"/>
          <w:szCs w:val="24"/>
        </w:rPr>
      </w:pPr>
      <w:r w:rsidRPr="00D31062">
        <w:rPr>
          <w:rFonts w:ascii="Times New Roman" w:hAnsi="Times New Roman" w:cs="Times New Roman"/>
          <w:b/>
          <w:bCs/>
          <w:sz w:val="24"/>
          <w:szCs w:val="24"/>
        </w:rPr>
        <w:t>Human Capital Development</w:t>
      </w:r>
    </w:p>
    <w:p w14:paraId="1D60F6B0" w14:textId="77777777" w:rsidR="00D31062" w:rsidRPr="00D31062" w:rsidRDefault="00D31062" w:rsidP="00D31062">
      <w:pPr>
        <w:rPr>
          <w:rFonts w:ascii="Times New Roman" w:hAnsi="Times New Roman" w:cs="Times New Roman"/>
          <w:sz w:val="24"/>
          <w:szCs w:val="24"/>
        </w:rPr>
      </w:pPr>
      <w:r w:rsidRPr="00D31062">
        <w:rPr>
          <w:rFonts w:ascii="Times New Roman" w:hAnsi="Times New Roman" w:cs="Times New Roman"/>
          <w:sz w:val="24"/>
          <w:szCs w:val="24"/>
        </w:rPr>
        <w:t xml:space="preserve">Investing in human resource development enhances productivity which supports long term growth and development at county level. With the COVID-19, workers across various sectors reported reduced working hours and only a few who managed to provide new and expanded goods and services during the period managed to enhance their income. As such, human resource development will entail addressing health and education risks exposed by COVID-19. The interventions include: </w:t>
      </w:r>
    </w:p>
    <w:p w14:paraId="7760EFD9" w14:textId="5CDE4873" w:rsidR="00D31062" w:rsidRPr="00D31062" w:rsidRDefault="00D31062" w:rsidP="00D31062">
      <w:pPr>
        <w:pStyle w:val="ListParagraph"/>
        <w:numPr>
          <w:ilvl w:val="0"/>
          <w:numId w:val="4"/>
        </w:numPr>
        <w:rPr>
          <w:rFonts w:ascii="Times New Roman" w:hAnsi="Times New Roman" w:cs="Times New Roman"/>
          <w:sz w:val="24"/>
          <w:szCs w:val="24"/>
        </w:rPr>
      </w:pPr>
      <w:r w:rsidRPr="00D31062">
        <w:rPr>
          <w:rFonts w:ascii="Times New Roman" w:hAnsi="Times New Roman" w:cs="Times New Roman"/>
          <w:sz w:val="24"/>
          <w:szCs w:val="24"/>
        </w:rPr>
        <w:t xml:space="preserve">Extending the scope of Universal Health Coverage to collectively finance health services for all, including uninsured workers and their families; and investing in community and public health. </w:t>
      </w:r>
    </w:p>
    <w:p w14:paraId="1C8D73CE" w14:textId="24BAFD77" w:rsidR="00D31062" w:rsidRPr="00D31062" w:rsidRDefault="00D31062" w:rsidP="00D31062">
      <w:pPr>
        <w:pStyle w:val="ListParagraph"/>
        <w:numPr>
          <w:ilvl w:val="0"/>
          <w:numId w:val="4"/>
        </w:numPr>
        <w:rPr>
          <w:rFonts w:ascii="Times New Roman" w:hAnsi="Times New Roman" w:cs="Times New Roman"/>
          <w:b/>
          <w:bCs/>
          <w:sz w:val="24"/>
          <w:szCs w:val="24"/>
          <w:u w:val="single"/>
        </w:rPr>
      </w:pPr>
      <w:r w:rsidRPr="00D31062">
        <w:rPr>
          <w:rFonts w:ascii="Times New Roman" w:hAnsi="Times New Roman" w:cs="Times New Roman"/>
          <w:sz w:val="24"/>
          <w:szCs w:val="24"/>
        </w:rPr>
        <w:t>Investing in technical education, training and skills development to create more employment opportunities.</w:t>
      </w:r>
    </w:p>
    <w:p w14:paraId="18AE96CE" w14:textId="600DD0E2" w:rsidR="00D31062" w:rsidRPr="00D31062" w:rsidRDefault="00D31062" w:rsidP="00D31062">
      <w:pPr>
        <w:pStyle w:val="ListParagraph"/>
        <w:numPr>
          <w:ilvl w:val="0"/>
          <w:numId w:val="4"/>
        </w:numPr>
        <w:rPr>
          <w:rFonts w:ascii="Times New Roman" w:hAnsi="Times New Roman" w:cs="Times New Roman"/>
          <w:b/>
          <w:bCs/>
          <w:sz w:val="24"/>
          <w:szCs w:val="24"/>
          <w:u w:val="single"/>
        </w:rPr>
      </w:pPr>
      <w:r w:rsidRPr="00D31062">
        <w:rPr>
          <w:rFonts w:ascii="Times New Roman" w:hAnsi="Times New Roman" w:cs="Times New Roman"/>
          <w:sz w:val="24"/>
          <w:szCs w:val="24"/>
        </w:rPr>
        <w:t>Establishing a pool fund to finance a seasonal public works or employment guarantee scheme.</w:t>
      </w:r>
    </w:p>
    <w:p w14:paraId="03291C6F" w14:textId="6FBEE6D7" w:rsidR="00D31062" w:rsidRPr="00D31062" w:rsidRDefault="00D31062" w:rsidP="00D31062">
      <w:pPr>
        <w:pStyle w:val="ListParagraph"/>
        <w:numPr>
          <w:ilvl w:val="0"/>
          <w:numId w:val="4"/>
        </w:numPr>
        <w:rPr>
          <w:rFonts w:ascii="Times New Roman" w:hAnsi="Times New Roman" w:cs="Times New Roman"/>
          <w:b/>
          <w:bCs/>
          <w:sz w:val="24"/>
          <w:szCs w:val="24"/>
          <w:u w:val="single"/>
        </w:rPr>
      </w:pPr>
      <w:r w:rsidRPr="00D31062">
        <w:rPr>
          <w:rFonts w:ascii="Times New Roman" w:hAnsi="Times New Roman" w:cs="Times New Roman"/>
          <w:sz w:val="24"/>
          <w:szCs w:val="24"/>
        </w:rPr>
        <w:t>Promoting safety at workplaces with enforcement of guidelines to reduce the exposure of all workers including informal workers to the virus.</w:t>
      </w:r>
    </w:p>
    <w:p w14:paraId="09AAAA10" w14:textId="2E397475" w:rsidR="00D31062" w:rsidRPr="002D7013" w:rsidRDefault="00D31062" w:rsidP="00D31062">
      <w:pPr>
        <w:rPr>
          <w:rFonts w:ascii="Times New Roman" w:hAnsi="Times New Roman" w:cs="Times New Roman"/>
          <w:b/>
          <w:bCs/>
          <w:sz w:val="24"/>
          <w:szCs w:val="24"/>
        </w:rPr>
      </w:pPr>
      <w:r w:rsidRPr="002D7013">
        <w:rPr>
          <w:rFonts w:ascii="Times New Roman" w:hAnsi="Times New Roman" w:cs="Times New Roman"/>
          <w:b/>
          <w:bCs/>
          <w:sz w:val="24"/>
          <w:szCs w:val="24"/>
        </w:rPr>
        <w:t>Policy, Legislative, and Institutional Reforms</w:t>
      </w:r>
    </w:p>
    <w:p w14:paraId="6D356C31" w14:textId="372645A3" w:rsidR="00D31062" w:rsidRPr="00D31062" w:rsidRDefault="00D31062" w:rsidP="00D31062">
      <w:pPr>
        <w:rPr>
          <w:rFonts w:ascii="Times New Roman" w:hAnsi="Times New Roman" w:cs="Times New Roman"/>
          <w:sz w:val="24"/>
          <w:szCs w:val="24"/>
        </w:rPr>
      </w:pPr>
      <w:r w:rsidRPr="00D31062">
        <w:rPr>
          <w:rFonts w:ascii="Times New Roman" w:hAnsi="Times New Roman" w:cs="Times New Roman"/>
          <w:sz w:val="24"/>
          <w:szCs w:val="24"/>
        </w:rPr>
        <w:t>The Constitution gives the National Government the role of policy development, and thus County Governments rely on policy and legislative frameworks passed at the national level for activities in various sectors. Counties also develop their policy frameworks and it is important to improve inter-governmental relations to facilitate the integration and coordination of policies at national and county levels. With the pandemic, some of the recovery strategies recommended include:</w:t>
      </w:r>
    </w:p>
    <w:p w14:paraId="49EDE737" w14:textId="77777777" w:rsidR="00D31062" w:rsidRPr="00D31062" w:rsidRDefault="00D31062" w:rsidP="00D31062">
      <w:pPr>
        <w:pStyle w:val="ListParagraph"/>
        <w:numPr>
          <w:ilvl w:val="0"/>
          <w:numId w:val="5"/>
        </w:numPr>
        <w:rPr>
          <w:rFonts w:ascii="Times New Roman" w:hAnsi="Times New Roman" w:cs="Times New Roman"/>
          <w:sz w:val="24"/>
          <w:szCs w:val="24"/>
        </w:rPr>
      </w:pPr>
      <w:r w:rsidRPr="00D31062">
        <w:rPr>
          <w:rFonts w:ascii="Times New Roman" w:hAnsi="Times New Roman" w:cs="Times New Roman"/>
          <w:sz w:val="24"/>
          <w:szCs w:val="24"/>
        </w:rPr>
        <w:t xml:space="preserve">Review the Public Health Act, Cap 242, to consider modern public health trends, developments, challenges and emerging opportunities. </w:t>
      </w:r>
    </w:p>
    <w:p w14:paraId="4A00BDCF" w14:textId="11932B2E" w:rsidR="00D31062" w:rsidRPr="00D31062" w:rsidRDefault="00D31062" w:rsidP="00D31062">
      <w:pPr>
        <w:pStyle w:val="ListParagraph"/>
        <w:numPr>
          <w:ilvl w:val="0"/>
          <w:numId w:val="5"/>
        </w:numPr>
        <w:rPr>
          <w:rFonts w:ascii="Times New Roman" w:hAnsi="Times New Roman" w:cs="Times New Roman"/>
          <w:sz w:val="24"/>
          <w:szCs w:val="24"/>
        </w:rPr>
      </w:pPr>
      <w:r w:rsidRPr="00D31062">
        <w:rPr>
          <w:rFonts w:ascii="Times New Roman" w:hAnsi="Times New Roman" w:cs="Times New Roman"/>
          <w:sz w:val="24"/>
          <w:szCs w:val="24"/>
        </w:rPr>
        <w:t xml:space="preserve">Harmonization and rationalization of the various laws on agriculture to streamline operations between the National and County Governments. </w:t>
      </w:r>
    </w:p>
    <w:p w14:paraId="293536C7" w14:textId="45AF9D6E" w:rsidR="00D31062" w:rsidRPr="00D31062" w:rsidRDefault="00D31062" w:rsidP="00D31062">
      <w:pPr>
        <w:pStyle w:val="ListParagraph"/>
        <w:numPr>
          <w:ilvl w:val="0"/>
          <w:numId w:val="5"/>
        </w:numPr>
        <w:rPr>
          <w:rFonts w:ascii="Times New Roman" w:hAnsi="Times New Roman" w:cs="Times New Roman"/>
          <w:sz w:val="24"/>
          <w:szCs w:val="24"/>
        </w:rPr>
      </w:pPr>
      <w:r w:rsidRPr="00D31062">
        <w:rPr>
          <w:rFonts w:ascii="Times New Roman" w:hAnsi="Times New Roman" w:cs="Times New Roman"/>
          <w:sz w:val="24"/>
          <w:szCs w:val="24"/>
        </w:rPr>
        <w:t xml:space="preserve">Enact appropriate legal and regulatory frameworks to regulate and control the protection of data and status of individuals who are confirmed, suspected or recovered cases of COVID-19 and other future pandemics or public health outbreaks that may occur in future. </w:t>
      </w:r>
    </w:p>
    <w:p w14:paraId="38C359EF" w14:textId="111A53F3" w:rsidR="00D31062" w:rsidRPr="00D31062" w:rsidRDefault="00D31062" w:rsidP="00D31062">
      <w:pPr>
        <w:pStyle w:val="ListParagraph"/>
        <w:numPr>
          <w:ilvl w:val="0"/>
          <w:numId w:val="5"/>
        </w:numPr>
        <w:rPr>
          <w:rFonts w:ascii="Times New Roman" w:hAnsi="Times New Roman" w:cs="Times New Roman"/>
          <w:sz w:val="24"/>
          <w:szCs w:val="24"/>
        </w:rPr>
      </w:pPr>
      <w:r w:rsidRPr="00D31062">
        <w:rPr>
          <w:rFonts w:ascii="Times New Roman" w:hAnsi="Times New Roman" w:cs="Times New Roman"/>
          <w:sz w:val="24"/>
          <w:szCs w:val="24"/>
        </w:rPr>
        <w:t xml:space="preserve">Develop regulations for protection and regulation of information shared, recorded or documented through online platforms including video conferencing platforms and mobile applications. </w:t>
      </w:r>
    </w:p>
    <w:p w14:paraId="524A4F23" w14:textId="2107821F" w:rsidR="00D31062" w:rsidRDefault="00D31062" w:rsidP="00D31062">
      <w:pPr>
        <w:pStyle w:val="ListParagraph"/>
        <w:numPr>
          <w:ilvl w:val="0"/>
          <w:numId w:val="5"/>
        </w:numPr>
        <w:rPr>
          <w:rFonts w:ascii="Times New Roman" w:hAnsi="Times New Roman" w:cs="Times New Roman"/>
          <w:sz w:val="24"/>
          <w:szCs w:val="24"/>
        </w:rPr>
      </w:pPr>
      <w:r w:rsidRPr="00D31062">
        <w:rPr>
          <w:rFonts w:ascii="Times New Roman" w:hAnsi="Times New Roman" w:cs="Times New Roman"/>
          <w:sz w:val="24"/>
          <w:szCs w:val="24"/>
        </w:rPr>
        <w:t>Review the Employment Act 2007 to protect patients, or suspected patients, of COVID-19 from discrimination, harassment, unlawful disclosure of their status, stigmatization, reprisals or termination of employment due to fear of COVID-19, infectious disease or on grounds of their health status.</w:t>
      </w:r>
    </w:p>
    <w:p w14:paraId="14676E03" w14:textId="652C27A8" w:rsidR="002D7013" w:rsidRDefault="002D7013" w:rsidP="002D7013">
      <w:pPr>
        <w:rPr>
          <w:rFonts w:ascii="Times New Roman" w:hAnsi="Times New Roman" w:cs="Times New Roman"/>
          <w:sz w:val="24"/>
          <w:szCs w:val="24"/>
        </w:rPr>
      </w:pPr>
      <w:r w:rsidRPr="002D7013">
        <w:rPr>
          <w:rFonts w:ascii="Times New Roman" w:hAnsi="Times New Roman" w:cs="Times New Roman"/>
          <w:sz w:val="24"/>
          <w:szCs w:val="24"/>
        </w:rPr>
        <w:t xml:space="preserve">These among other measures highlighted will ensure recovery for small businesses which will improve the welfare of the community at large as well as at an individual level. </w:t>
      </w:r>
    </w:p>
    <w:p w14:paraId="69FA55C2" w14:textId="668C105C" w:rsidR="00F46228" w:rsidRPr="002D7013" w:rsidRDefault="00F46228" w:rsidP="002D7013">
      <w:pPr>
        <w:rPr>
          <w:rFonts w:ascii="Times New Roman" w:hAnsi="Times New Roman" w:cs="Times New Roman"/>
          <w:sz w:val="24"/>
          <w:szCs w:val="24"/>
        </w:rPr>
      </w:pPr>
      <w:r>
        <w:rPr>
          <w:rFonts w:ascii="Times New Roman" w:hAnsi="Times New Roman" w:cs="Times New Roman"/>
          <w:sz w:val="24"/>
          <w:szCs w:val="24"/>
        </w:rPr>
        <w:lastRenderedPageBreak/>
        <w:t>The report also highlights the strategies to be taken at each sector including: Agriculture, Water and Sanitation, Urban Development and Housing, Transport, Tourism, Health, Education, Social Protection and Gender and Youth.</w:t>
      </w:r>
    </w:p>
    <w:p w14:paraId="3817A2B3" w14:textId="77777777" w:rsidR="002D7013" w:rsidRPr="002D7013" w:rsidRDefault="002D7013" w:rsidP="002D7013">
      <w:pPr>
        <w:rPr>
          <w:rFonts w:ascii="Times New Roman" w:hAnsi="Times New Roman" w:cs="Times New Roman"/>
          <w:sz w:val="24"/>
          <w:szCs w:val="24"/>
        </w:rPr>
      </w:pPr>
    </w:p>
    <w:sectPr w:rsidR="002D7013" w:rsidRPr="002D70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822A" w14:textId="77777777" w:rsidR="0035401F" w:rsidRDefault="0035401F" w:rsidP="0035401F">
      <w:pPr>
        <w:spacing w:after="0" w:line="240" w:lineRule="auto"/>
      </w:pPr>
      <w:r>
        <w:separator/>
      </w:r>
    </w:p>
  </w:endnote>
  <w:endnote w:type="continuationSeparator" w:id="0">
    <w:p w14:paraId="6E38667F" w14:textId="77777777" w:rsidR="0035401F" w:rsidRDefault="0035401F" w:rsidP="0035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537467"/>
      <w:docPartObj>
        <w:docPartGallery w:val="Page Numbers (Bottom of Page)"/>
        <w:docPartUnique/>
      </w:docPartObj>
    </w:sdtPr>
    <w:sdtEndPr>
      <w:rPr>
        <w:noProof/>
      </w:rPr>
    </w:sdtEndPr>
    <w:sdtContent>
      <w:p w14:paraId="2E38DBEC" w14:textId="77777777" w:rsidR="0035401F" w:rsidRDefault="0035401F">
        <w:pPr>
          <w:pStyle w:val="Footer"/>
          <w:jc w:val="right"/>
        </w:pPr>
      </w:p>
      <w:p w14:paraId="64EC0D51" w14:textId="423CB6AD" w:rsidR="0035401F" w:rsidRDefault="003540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3DE00" w14:textId="77777777" w:rsidR="0035401F" w:rsidRDefault="0035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4CC1" w14:textId="77777777" w:rsidR="0035401F" w:rsidRDefault="0035401F" w:rsidP="0035401F">
      <w:pPr>
        <w:spacing w:after="0" w:line="240" w:lineRule="auto"/>
      </w:pPr>
      <w:r>
        <w:separator/>
      </w:r>
    </w:p>
  </w:footnote>
  <w:footnote w:type="continuationSeparator" w:id="0">
    <w:p w14:paraId="61A45A74" w14:textId="77777777" w:rsidR="0035401F" w:rsidRDefault="0035401F" w:rsidP="0035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34A0"/>
    <w:multiLevelType w:val="hybridMultilevel"/>
    <w:tmpl w:val="5A12D3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5D66DD"/>
    <w:multiLevelType w:val="hybridMultilevel"/>
    <w:tmpl w:val="D3A4D1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BEB65DA"/>
    <w:multiLevelType w:val="hybridMultilevel"/>
    <w:tmpl w:val="47B43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68D29E9"/>
    <w:multiLevelType w:val="hybridMultilevel"/>
    <w:tmpl w:val="126043C6"/>
    <w:lvl w:ilvl="0" w:tplc="E5022A8E">
      <w:start w:val="1"/>
      <w:numFmt w:val="lowerRoman"/>
      <w:lvlText w:val="(%1)"/>
      <w:lvlJc w:val="left"/>
      <w:pPr>
        <w:ind w:left="1004" w:hanging="72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707E5598"/>
    <w:multiLevelType w:val="hybridMultilevel"/>
    <w:tmpl w:val="C41ABA2A"/>
    <w:lvl w:ilvl="0" w:tplc="20000001">
      <w:start w:val="1"/>
      <w:numFmt w:val="bullet"/>
      <w:lvlText w:val=""/>
      <w:lvlJc w:val="left"/>
      <w:pPr>
        <w:ind w:left="1004" w:hanging="72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00"/>
    <w:rsid w:val="00011900"/>
    <w:rsid w:val="002D7013"/>
    <w:rsid w:val="0035401F"/>
    <w:rsid w:val="00745EAC"/>
    <w:rsid w:val="008777AB"/>
    <w:rsid w:val="0088050E"/>
    <w:rsid w:val="00B81B96"/>
    <w:rsid w:val="00BC03FF"/>
    <w:rsid w:val="00C80BA3"/>
    <w:rsid w:val="00D31062"/>
    <w:rsid w:val="00F4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61B6"/>
  <w15:chartTrackingRefBased/>
  <w15:docId w15:val="{9130A3C9-948F-41B8-BC53-8BD929D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2"/>
    <w:pPr>
      <w:ind w:left="720"/>
      <w:contextualSpacing/>
    </w:pPr>
  </w:style>
  <w:style w:type="paragraph" w:styleId="Header">
    <w:name w:val="header"/>
    <w:basedOn w:val="Normal"/>
    <w:link w:val="HeaderChar"/>
    <w:uiPriority w:val="99"/>
    <w:unhideWhenUsed/>
    <w:rsid w:val="00354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1F"/>
  </w:style>
  <w:style w:type="paragraph" w:styleId="Footer">
    <w:name w:val="footer"/>
    <w:basedOn w:val="Normal"/>
    <w:link w:val="FooterChar"/>
    <w:uiPriority w:val="99"/>
    <w:unhideWhenUsed/>
    <w:rsid w:val="00354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Wamu</dc:creator>
  <cp:keywords/>
  <dc:description/>
  <cp:lastModifiedBy>Antoanela</cp:lastModifiedBy>
  <cp:revision>2</cp:revision>
  <cp:lastPrinted>2022-03-24T12:37:00Z</cp:lastPrinted>
  <dcterms:created xsi:type="dcterms:W3CDTF">2022-03-29T13:09:00Z</dcterms:created>
  <dcterms:modified xsi:type="dcterms:W3CDTF">2022-03-29T13:09:00Z</dcterms:modified>
</cp:coreProperties>
</file>