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57BC0" w:rsidRPr="00DB58B5" w14:paraId="3EFC2872" w14:textId="77777777" w:rsidTr="00F92B6F">
        <w:trPr>
          <w:trHeight w:hRule="exact" w:val="851"/>
        </w:trPr>
        <w:tc>
          <w:tcPr>
            <w:tcW w:w="1276" w:type="dxa"/>
            <w:tcBorders>
              <w:bottom w:val="single" w:sz="4" w:space="0" w:color="auto"/>
            </w:tcBorders>
          </w:tcPr>
          <w:p w14:paraId="17035949" w14:textId="77777777" w:rsidR="00057BC0" w:rsidRPr="00DB58B5" w:rsidRDefault="00057BC0" w:rsidP="00186254"/>
        </w:tc>
        <w:tc>
          <w:tcPr>
            <w:tcW w:w="2268" w:type="dxa"/>
            <w:tcBorders>
              <w:bottom w:val="single" w:sz="4" w:space="0" w:color="auto"/>
            </w:tcBorders>
            <w:vAlign w:val="bottom"/>
          </w:tcPr>
          <w:p w14:paraId="7685116B" w14:textId="16A3D17A" w:rsidR="00057BC0" w:rsidRPr="00DB58B5" w:rsidRDefault="00057BC0" w:rsidP="00186254">
            <w:pPr>
              <w:spacing w:after="80" w:line="300" w:lineRule="exact"/>
              <w:rPr>
                <w:sz w:val="28"/>
              </w:rPr>
            </w:pPr>
          </w:p>
        </w:tc>
        <w:tc>
          <w:tcPr>
            <w:tcW w:w="6095" w:type="dxa"/>
            <w:gridSpan w:val="2"/>
            <w:tcBorders>
              <w:bottom w:val="single" w:sz="4" w:space="0" w:color="auto"/>
            </w:tcBorders>
            <w:vAlign w:val="bottom"/>
          </w:tcPr>
          <w:p w14:paraId="69FA3625" w14:textId="77777777" w:rsidR="00057BC0" w:rsidRPr="00DB58B5" w:rsidRDefault="00331026" w:rsidP="00331026">
            <w:pPr>
              <w:jc w:val="right"/>
            </w:pPr>
            <w:r w:rsidRPr="00331026">
              <w:rPr>
                <w:sz w:val="40"/>
              </w:rPr>
              <w:t>A</w:t>
            </w:r>
            <w:r>
              <w:t>/HRC/56/16/Add.1</w:t>
            </w:r>
          </w:p>
        </w:tc>
      </w:tr>
      <w:tr w:rsidR="00057BC0" w:rsidRPr="00DB58B5" w14:paraId="52451E10" w14:textId="77777777" w:rsidTr="00F92B6F">
        <w:trPr>
          <w:trHeight w:hRule="exact" w:val="2835"/>
        </w:trPr>
        <w:tc>
          <w:tcPr>
            <w:tcW w:w="1276" w:type="dxa"/>
            <w:tcBorders>
              <w:top w:val="single" w:sz="4" w:space="0" w:color="auto"/>
              <w:bottom w:val="single" w:sz="12" w:space="0" w:color="auto"/>
            </w:tcBorders>
          </w:tcPr>
          <w:p w14:paraId="6AA872AE" w14:textId="7B957590" w:rsidR="00057BC0" w:rsidRPr="00DB58B5" w:rsidRDefault="00057BC0" w:rsidP="00186254">
            <w:pPr>
              <w:spacing w:before="120"/>
              <w:jc w:val="center"/>
            </w:pPr>
          </w:p>
        </w:tc>
        <w:tc>
          <w:tcPr>
            <w:tcW w:w="5528" w:type="dxa"/>
            <w:gridSpan w:val="2"/>
            <w:tcBorders>
              <w:top w:val="single" w:sz="4" w:space="0" w:color="auto"/>
              <w:bottom w:val="single" w:sz="12" w:space="0" w:color="auto"/>
            </w:tcBorders>
          </w:tcPr>
          <w:p w14:paraId="5B44722C" w14:textId="76F2FFE1" w:rsidR="00057BC0" w:rsidRPr="00740562" w:rsidRDefault="00F92B6F" w:rsidP="00186254">
            <w:pPr>
              <w:spacing w:before="120" w:line="420" w:lineRule="exact"/>
              <w:rPr>
                <w:b/>
                <w:sz w:val="40"/>
                <w:szCs w:val="40"/>
              </w:rPr>
            </w:pPr>
            <w:r>
              <w:rPr>
                <w:b/>
                <w:sz w:val="40"/>
                <w:szCs w:val="40"/>
              </w:rPr>
              <w:t>Advance version</w:t>
            </w:r>
          </w:p>
        </w:tc>
        <w:tc>
          <w:tcPr>
            <w:tcW w:w="2835" w:type="dxa"/>
            <w:tcBorders>
              <w:top w:val="single" w:sz="4" w:space="0" w:color="auto"/>
              <w:bottom w:val="single" w:sz="12" w:space="0" w:color="auto"/>
            </w:tcBorders>
          </w:tcPr>
          <w:p w14:paraId="6BDCF094" w14:textId="77777777" w:rsidR="00057BC0" w:rsidRDefault="00331026" w:rsidP="00331026">
            <w:pPr>
              <w:spacing w:before="240" w:line="240" w:lineRule="exact"/>
            </w:pPr>
            <w:proofErr w:type="spellStart"/>
            <w:r>
              <w:t>Distr</w:t>
            </w:r>
            <w:proofErr w:type="spellEnd"/>
            <w:r>
              <w:t xml:space="preserve">. </w:t>
            </w:r>
            <w:proofErr w:type="gramStart"/>
            <w:r>
              <w:t>générale</w:t>
            </w:r>
            <w:proofErr w:type="gramEnd"/>
          </w:p>
          <w:p w14:paraId="16063B81" w14:textId="7B3B6467" w:rsidR="00331026" w:rsidRDefault="006B5D17" w:rsidP="00331026">
            <w:pPr>
              <w:spacing w:line="240" w:lineRule="exact"/>
            </w:pPr>
            <w:r>
              <w:t>1 juin</w:t>
            </w:r>
            <w:r w:rsidR="00331026">
              <w:t xml:space="preserve"> 2024</w:t>
            </w:r>
          </w:p>
          <w:p w14:paraId="08258056" w14:textId="77777777" w:rsidR="00331026" w:rsidRDefault="00331026" w:rsidP="00331026">
            <w:pPr>
              <w:spacing w:line="240" w:lineRule="exact"/>
            </w:pPr>
          </w:p>
          <w:p w14:paraId="21B906C3" w14:textId="77777777" w:rsidR="00331026" w:rsidRPr="00DB58B5" w:rsidRDefault="00331026" w:rsidP="00331026">
            <w:pPr>
              <w:spacing w:line="240" w:lineRule="exact"/>
            </w:pPr>
            <w:r>
              <w:t>Original : français</w:t>
            </w:r>
          </w:p>
        </w:tc>
      </w:tr>
    </w:tbl>
    <w:p w14:paraId="13BB7AC6" w14:textId="77777777" w:rsidR="00331026" w:rsidRPr="00F714B1" w:rsidRDefault="00331026" w:rsidP="00331026">
      <w:pPr>
        <w:kinsoku w:val="0"/>
        <w:overflowPunct w:val="0"/>
        <w:autoSpaceDE w:val="0"/>
        <w:autoSpaceDN w:val="0"/>
        <w:adjustRightInd w:val="0"/>
        <w:snapToGrid w:val="0"/>
        <w:spacing w:before="120"/>
        <w:rPr>
          <w:b/>
          <w:sz w:val="24"/>
          <w:szCs w:val="24"/>
          <w:lang w:val="fr-FR"/>
        </w:rPr>
      </w:pPr>
      <w:r w:rsidRPr="00F714B1">
        <w:rPr>
          <w:b/>
          <w:sz w:val="24"/>
          <w:szCs w:val="24"/>
          <w:lang w:val="fr-FR"/>
        </w:rPr>
        <w:t>Conseil des droits de l’homme</w:t>
      </w:r>
    </w:p>
    <w:p w14:paraId="1A61ABDD" w14:textId="77777777" w:rsidR="00331026" w:rsidRDefault="00331026" w:rsidP="00331026">
      <w:pPr>
        <w:kinsoku w:val="0"/>
        <w:overflowPunct w:val="0"/>
        <w:autoSpaceDE w:val="0"/>
        <w:autoSpaceDN w:val="0"/>
        <w:adjustRightInd w:val="0"/>
        <w:snapToGrid w:val="0"/>
        <w:rPr>
          <w:b/>
          <w:lang w:val="fr-FR"/>
        </w:rPr>
      </w:pPr>
      <w:r>
        <w:rPr>
          <w:b/>
          <w:szCs w:val="24"/>
          <w:lang w:val="fr-FR"/>
        </w:rPr>
        <w:t>Cinquante-sixième</w:t>
      </w:r>
      <w:r w:rsidRPr="00F714B1">
        <w:rPr>
          <w:b/>
          <w:szCs w:val="24"/>
          <w:lang w:val="fr-FR"/>
        </w:rPr>
        <w:t xml:space="preserve"> </w:t>
      </w:r>
      <w:r w:rsidRPr="00F714B1">
        <w:rPr>
          <w:b/>
          <w:lang w:val="fr-FR"/>
        </w:rPr>
        <w:t>session</w:t>
      </w:r>
    </w:p>
    <w:p w14:paraId="300AFE06" w14:textId="614EF49E" w:rsidR="00331026" w:rsidRPr="005F1C7A" w:rsidRDefault="00331026" w:rsidP="00331026">
      <w:pPr>
        <w:kinsoku w:val="0"/>
        <w:overflowPunct w:val="0"/>
        <w:autoSpaceDE w:val="0"/>
        <w:autoSpaceDN w:val="0"/>
        <w:adjustRightInd w:val="0"/>
        <w:snapToGrid w:val="0"/>
        <w:rPr>
          <w:lang w:val="fr-FR"/>
        </w:rPr>
      </w:pPr>
      <w:r>
        <w:rPr>
          <w:lang w:val="fr-FR"/>
        </w:rPr>
        <w:t>18 juin</w:t>
      </w:r>
      <w:r w:rsidR="006B5D17">
        <w:rPr>
          <w:lang w:val="fr-FR"/>
        </w:rPr>
        <w:t>-</w:t>
      </w:r>
      <w:r>
        <w:rPr>
          <w:lang w:val="fr-FR"/>
        </w:rPr>
        <w:t>12 juillet 2024</w:t>
      </w:r>
    </w:p>
    <w:p w14:paraId="30C0039F" w14:textId="77777777" w:rsidR="00331026" w:rsidRPr="00F714B1" w:rsidRDefault="00331026" w:rsidP="00331026">
      <w:pPr>
        <w:kinsoku w:val="0"/>
        <w:overflowPunct w:val="0"/>
        <w:autoSpaceDE w:val="0"/>
        <w:autoSpaceDN w:val="0"/>
        <w:adjustRightInd w:val="0"/>
        <w:snapToGrid w:val="0"/>
        <w:rPr>
          <w:lang w:val="fr-FR"/>
        </w:rPr>
      </w:pPr>
      <w:r w:rsidRPr="00F714B1">
        <w:rPr>
          <w:lang w:val="fr-FR"/>
        </w:rPr>
        <w:t>Point 6 de l’ordre du jour</w:t>
      </w:r>
    </w:p>
    <w:p w14:paraId="5157C3A0" w14:textId="77777777" w:rsidR="00331026" w:rsidRPr="00F714B1" w:rsidRDefault="00331026" w:rsidP="00331026">
      <w:pPr>
        <w:kinsoku w:val="0"/>
        <w:overflowPunct w:val="0"/>
        <w:autoSpaceDE w:val="0"/>
        <w:autoSpaceDN w:val="0"/>
        <w:adjustRightInd w:val="0"/>
        <w:snapToGrid w:val="0"/>
        <w:rPr>
          <w:lang w:val="fr-FR"/>
        </w:rPr>
      </w:pPr>
      <w:r w:rsidRPr="00F714B1">
        <w:rPr>
          <w:b/>
          <w:lang w:val="fr-FR"/>
        </w:rPr>
        <w:t>Examen périodique universel</w:t>
      </w:r>
    </w:p>
    <w:p w14:paraId="2EF8BB4D" w14:textId="77777777" w:rsidR="00331026" w:rsidRPr="00F714B1" w:rsidRDefault="00331026" w:rsidP="00331026">
      <w:pPr>
        <w:keepNext/>
        <w:keepLines/>
        <w:tabs>
          <w:tab w:val="right" w:pos="851"/>
        </w:tabs>
        <w:spacing w:before="360" w:after="240" w:line="300" w:lineRule="exact"/>
        <w:ind w:left="1134" w:right="1134" w:hanging="1134"/>
        <w:rPr>
          <w:b/>
          <w:sz w:val="28"/>
          <w:lang w:val="fr-FR"/>
        </w:rPr>
      </w:pPr>
      <w:r w:rsidRPr="00F714B1">
        <w:rPr>
          <w:b/>
          <w:sz w:val="34"/>
          <w:lang w:val="fr-FR"/>
        </w:rPr>
        <w:tab/>
      </w:r>
      <w:r w:rsidRPr="00F714B1">
        <w:rPr>
          <w:b/>
          <w:sz w:val="34"/>
          <w:lang w:val="fr-FR"/>
        </w:rPr>
        <w:tab/>
      </w:r>
      <w:r w:rsidRPr="00F714B1">
        <w:rPr>
          <w:b/>
          <w:sz w:val="28"/>
          <w:lang w:val="fr-FR"/>
        </w:rPr>
        <w:t xml:space="preserve">Rapport du Groupe de travail </w:t>
      </w:r>
      <w:r w:rsidRPr="00F714B1">
        <w:rPr>
          <w:b/>
          <w:sz w:val="28"/>
          <w:lang w:val="fr-FR"/>
        </w:rPr>
        <w:br/>
        <w:t>sur l’Examen périodique universel</w:t>
      </w:r>
      <w:r w:rsidRPr="00D202D0">
        <w:rPr>
          <w:lang w:val="fr-FR"/>
        </w:rPr>
        <w:footnoteReference w:customMarkFollows="1" w:id="2"/>
        <w:t>*</w:t>
      </w:r>
    </w:p>
    <w:p w14:paraId="17363B36" w14:textId="4AE7A478" w:rsidR="00331026" w:rsidRPr="00F714B1" w:rsidRDefault="00331026" w:rsidP="00331026">
      <w:pPr>
        <w:keepNext/>
        <w:keepLines/>
        <w:tabs>
          <w:tab w:val="right" w:pos="851"/>
        </w:tabs>
        <w:spacing w:before="360" w:after="240" w:line="270" w:lineRule="exact"/>
        <w:ind w:left="1134" w:right="1134" w:hanging="1134"/>
        <w:rPr>
          <w:b/>
          <w:sz w:val="24"/>
          <w:lang w:val="fr-FR"/>
        </w:rPr>
      </w:pPr>
      <w:r>
        <w:rPr>
          <w:b/>
          <w:sz w:val="24"/>
          <w:lang w:val="fr-FR"/>
        </w:rPr>
        <w:tab/>
      </w:r>
      <w:r>
        <w:rPr>
          <w:b/>
          <w:sz w:val="24"/>
          <w:lang w:val="fr-FR"/>
        </w:rPr>
        <w:tab/>
        <w:t>Congo</w:t>
      </w:r>
    </w:p>
    <w:p w14:paraId="168A4FFA" w14:textId="77777777" w:rsidR="00331026" w:rsidRPr="00F714B1" w:rsidRDefault="00331026" w:rsidP="00331026">
      <w:pPr>
        <w:keepNext/>
        <w:keepLines/>
        <w:tabs>
          <w:tab w:val="right" w:pos="851"/>
        </w:tabs>
        <w:spacing w:before="240" w:after="120" w:line="240" w:lineRule="exact"/>
        <w:ind w:left="1134" w:right="1134" w:hanging="1134"/>
        <w:rPr>
          <w:b/>
          <w:lang w:val="fr-FR"/>
        </w:rPr>
      </w:pPr>
      <w:r w:rsidRPr="00F714B1">
        <w:rPr>
          <w:b/>
          <w:lang w:val="fr-FR"/>
        </w:rPr>
        <w:tab/>
      </w:r>
      <w:r w:rsidRPr="00F714B1">
        <w:rPr>
          <w:b/>
          <w:lang w:val="fr-FR"/>
        </w:rPr>
        <w:tab/>
        <w:t>Additif</w:t>
      </w:r>
    </w:p>
    <w:p w14:paraId="532AD6A0" w14:textId="77777777" w:rsidR="00331026" w:rsidRPr="00F714B1" w:rsidRDefault="00331026" w:rsidP="00331026">
      <w:pPr>
        <w:keepNext/>
        <w:keepLines/>
        <w:tabs>
          <w:tab w:val="right" w:pos="851"/>
        </w:tabs>
        <w:spacing w:before="360" w:after="240" w:line="270" w:lineRule="exact"/>
        <w:ind w:left="1134" w:right="1134" w:hanging="1134"/>
        <w:rPr>
          <w:b/>
          <w:sz w:val="24"/>
          <w:lang w:val="fr-FR"/>
        </w:rPr>
      </w:pPr>
      <w:r w:rsidRPr="00F714B1">
        <w:rPr>
          <w:b/>
          <w:sz w:val="24"/>
          <w:lang w:val="fr-FR"/>
        </w:rPr>
        <w:tab/>
      </w:r>
      <w:r w:rsidRPr="00F714B1">
        <w:rPr>
          <w:b/>
          <w:sz w:val="24"/>
          <w:lang w:val="fr-FR"/>
        </w:rPr>
        <w:tab/>
        <w:t>Observations sur les conclusions et/ou recommandations,</w:t>
      </w:r>
      <w:r w:rsidRPr="00F714B1">
        <w:rPr>
          <w:b/>
          <w:sz w:val="24"/>
          <w:lang w:val="fr-FR"/>
        </w:rPr>
        <w:br/>
        <w:t>engagements et réponses de l’État examiné</w:t>
      </w:r>
    </w:p>
    <w:p w14:paraId="6BD6B7B2" w14:textId="77299EBA" w:rsidR="00331026" w:rsidRPr="00331026" w:rsidRDefault="00331026" w:rsidP="00331026">
      <w:pPr>
        <w:pStyle w:val="SingleTxtG"/>
        <w:rPr>
          <w:lang w:val="fr-FR"/>
        </w:rPr>
      </w:pPr>
      <w:r w:rsidRPr="00F714B1">
        <w:br w:type="page"/>
      </w:r>
      <w:r>
        <w:lastRenderedPageBreak/>
        <w:t>1.</w:t>
      </w:r>
      <w:r>
        <w:tab/>
      </w:r>
      <w:r w:rsidRPr="00331026">
        <w:rPr>
          <w:lang w:val="fr-FR"/>
        </w:rPr>
        <w:t>La République du Congo se réjouit de son passage au quatrième cycle de l’Examen Périodique Universel, le 30 janvier 2024 et reste convaincue que ce mécanisme est essentiel dans l’amélioration de la situation des droits de l’homme dans le monde.</w:t>
      </w:r>
    </w:p>
    <w:p w14:paraId="15E46091" w14:textId="61DBCBFA" w:rsidR="00331026" w:rsidRPr="00331026" w:rsidRDefault="00331026" w:rsidP="00331026">
      <w:pPr>
        <w:pStyle w:val="SingleTxtG"/>
        <w:rPr>
          <w:lang w:val="fr-FR"/>
        </w:rPr>
      </w:pPr>
      <w:r>
        <w:rPr>
          <w:lang w:val="fr-FR"/>
        </w:rPr>
        <w:t>2.</w:t>
      </w:r>
      <w:r>
        <w:rPr>
          <w:lang w:val="fr-FR"/>
        </w:rPr>
        <w:tab/>
      </w:r>
      <w:r w:rsidRPr="00331026">
        <w:rPr>
          <w:lang w:val="fr-FR"/>
        </w:rPr>
        <w:t>Le Congo réitère son engagement et sa disponibilité à collaborer, de manière franche et constructive, avec la communauté internationale pour l’effectivité du respect universel des droits de l’homme.</w:t>
      </w:r>
    </w:p>
    <w:p w14:paraId="018A7824" w14:textId="0C47696B" w:rsidR="00331026" w:rsidRPr="00331026" w:rsidRDefault="00331026" w:rsidP="00331026">
      <w:pPr>
        <w:pStyle w:val="SingleTxtG"/>
        <w:rPr>
          <w:lang w:val="fr-FR"/>
        </w:rPr>
      </w:pPr>
      <w:r>
        <w:rPr>
          <w:lang w:val="fr-FR"/>
        </w:rPr>
        <w:t>3.</w:t>
      </w:r>
      <w:r>
        <w:rPr>
          <w:lang w:val="fr-FR"/>
        </w:rPr>
        <w:tab/>
      </w:r>
      <w:r w:rsidRPr="00331026">
        <w:rPr>
          <w:lang w:val="fr-FR"/>
        </w:rPr>
        <w:t>Le Gouvernement du Congo remercie l’ensemble des délégations des Etats pour leurs questions et recommandations qui témoignent de leur volonté de contribuer à l’amélioration de la situation des droits de l’homme au Congo.</w:t>
      </w:r>
    </w:p>
    <w:p w14:paraId="18A6487C" w14:textId="6442A4F3" w:rsidR="00331026" w:rsidRPr="00331026" w:rsidRDefault="00331026" w:rsidP="00331026">
      <w:pPr>
        <w:pStyle w:val="SingleTxtG"/>
        <w:rPr>
          <w:lang w:val="fr-FR"/>
        </w:rPr>
      </w:pPr>
      <w:r>
        <w:rPr>
          <w:lang w:val="fr-FR"/>
        </w:rPr>
        <w:t>4.</w:t>
      </w:r>
      <w:r>
        <w:rPr>
          <w:lang w:val="fr-FR"/>
        </w:rPr>
        <w:tab/>
      </w:r>
      <w:r w:rsidRPr="00331026">
        <w:rPr>
          <w:lang w:val="fr-FR"/>
        </w:rPr>
        <w:t xml:space="preserve">Au total deux </w:t>
      </w:r>
      <w:proofErr w:type="gramStart"/>
      <w:r w:rsidRPr="00331026">
        <w:rPr>
          <w:lang w:val="fr-FR"/>
        </w:rPr>
        <w:t>cents</w:t>
      </w:r>
      <w:proofErr w:type="gramEnd"/>
      <w:r w:rsidRPr="00331026">
        <w:rPr>
          <w:lang w:val="fr-FR"/>
        </w:rPr>
        <w:t xml:space="preserve"> quarante-quatre (244) recommandations ont été adressées à la République du Congo.</w:t>
      </w:r>
    </w:p>
    <w:p w14:paraId="73964BCD" w14:textId="51C30FF2" w:rsidR="00331026" w:rsidRPr="00331026" w:rsidRDefault="00331026" w:rsidP="00331026">
      <w:pPr>
        <w:pStyle w:val="SingleTxtG"/>
        <w:rPr>
          <w:lang w:val="fr-FR"/>
        </w:rPr>
      </w:pPr>
      <w:r>
        <w:rPr>
          <w:lang w:val="fr-FR"/>
        </w:rPr>
        <w:t>5.</w:t>
      </w:r>
      <w:r>
        <w:rPr>
          <w:lang w:val="fr-FR"/>
        </w:rPr>
        <w:tab/>
      </w:r>
      <w:r w:rsidRPr="00331026">
        <w:rPr>
          <w:lang w:val="fr-FR"/>
        </w:rPr>
        <w:t>Après les avoir examinées attentivement, avec une participation active des différents départements ministériels, le Congo en accepte deux cent trente-deux (232) des recommandations formulées et prend note de douze (12).</w:t>
      </w:r>
    </w:p>
    <w:p w14:paraId="20B03114" w14:textId="53580C22" w:rsidR="00331026" w:rsidRPr="00331026" w:rsidRDefault="00331026" w:rsidP="00331026">
      <w:pPr>
        <w:pStyle w:val="SingleTxtG"/>
        <w:rPr>
          <w:lang w:val="fr-FR"/>
        </w:rPr>
      </w:pPr>
      <w:r>
        <w:rPr>
          <w:lang w:val="fr-FR"/>
        </w:rPr>
        <w:t>6.</w:t>
      </w:r>
      <w:r>
        <w:rPr>
          <w:lang w:val="fr-FR"/>
        </w:rPr>
        <w:tab/>
      </w:r>
      <w:r w:rsidRPr="00331026">
        <w:rPr>
          <w:lang w:val="fr-FR"/>
        </w:rPr>
        <w:t>Le présent additif explique la position du Congo notamment, sur les 12 recommandations notées.</w:t>
      </w:r>
    </w:p>
    <w:p w14:paraId="165E5910" w14:textId="4835FEF9" w:rsidR="00331026" w:rsidRPr="00331026" w:rsidRDefault="00331026" w:rsidP="00331026">
      <w:pPr>
        <w:pStyle w:val="SingleTxtG"/>
        <w:rPr>
          <w:lang w:val="fr-FR"/>
        </w:rPr>
      </w:pPr>
      <w:r>
        <w:rPr>
          <w:lang w:val="fr-FR"/>
        </w:rPr>
        <w:t>7.</w:t>
      </w:r>
      <w:r>
        <w:rPr>
          <w:lang w:val="fr-FR"/>
        </w:rPr>
        <w:tab/>
      </w:r>
      <w:r w:rsidRPr="00331026">
        <w:rPr>
          <w:lang w:val="fr-FR"/>
        </w:rPr>
        <w:t>Les recommandations acceptées sont les suivantes :</w:t>
      </w:r>
    </w:p>
    <w:p w14:paraId="4D9CACD6" w14:textId="6173FD50" w:rsidR="00331026" w:rsidRPr="00331026" w:rsidRDefault="00FE1E84" w:rsidP="00331026">
      <w:pPr>
        <w:pStyle w:val="SingleTxtG"/>
        <w:rPr>
          <w:b/>
          <w:bCs/>
          <w:lang w:val="fr-FR"/>
        </w:rPr>
      </w:pPr>
      <w:r>
        <w:rPr>
          <w:lang w:val="fr-FR"/>
        </w:rPr>
        <w:tab/>
      </w:r>
      <w:r w:rsidR="00331026">
        <w:rPr>
          <w:lang w:val="fr-FR"/>
        </w:rPr>
        <w:tab/>
      </w:r>
      <w:r w:rsidR="00331026" w:rsidRPr="00331026">
        <w:rPr>
          <w:b/>
          <w:bCs/>
          <w:lang w:val="fr-FR"/>
        </w:rPr>
        <w:t>128.1 ; 128.2 ; 128.3 ; 128.4 ; 128.5 ; 128.6 ; 128.7 ; 128.8 ; 128.9 ; 128.10 ; 128.11 ; 128.12 ; 128.13 ; 128.14 ; 128.15 ; 128.16 ; 128.17 ; 128.18 ; 128.19 ; 128.20 ; 128.21 ; 128.22 ; 128.23 ; 128.24 ; 128.25 ; 128.26 ; 128.27 ; 128.28 ; 128.29 ; 128.30 ;128.31 ; 128.32 ; 128.33 ; 128.34 ; 128.35 ; 128.36 ; 128.37 ; 128.38 ; 128.39 ; 128.40 ; 128.41 ; 128.42 ; 128.43 ; 128.44 ; 128.45 ; 128.46 ; 128.47 ; 128.48 ; 128.49 ; 128.50 ; 128.51 ; 128.52 ; 128.53 ; 128.54 ; 128.55 ; 128.56 ; 128.57 ; 128.58 ; 128.59 ; 128.60 ; 128.61 ; 128.62 ; 128.63 ; 128.64 ; 128.65 ; 128.66 ; 128.67 ; 128.68 ; 128.69 ; 128.70 ; 128.71 ; 128.72 ; 128.73 ; 128.74 ; 128.75 ; 128.76 ; 128.77 ; 128.78 ; 128.79 ; 128.80 ; 128.81 ; 128.82 ; 128.83 ; 128.84 ; 128.85 ; 128.86 ; 128.87 ; 128.88 ; 128.89 ; 128.90 ; 128.93 ; 128.94 ; 128.96 ; 128.97 ; 128.98 ; 128.99 ; 128.100 ; 128.101 ; 128.102 ; 128.103 ; 128.104 ; 128.105 ; 128.106 ; 128.107 ; 128.108 ; 128.109 ; 128.110 ; 128.111 ; 128.112 ; 128.113 ; 128.114 ; 128.115 ; 128.116 ; 128.117 ; 128.118 ; 128.119 ; 128.120 ; 128.121 ; 128.122 ; 128.123 ; 128.124 ; 128.125 ; 128.126 ; 128.127; 128.128 ; 128.129 ; 128.130; 128.131 ; 128.132 ; 128.133 ; 128.134 ; 128.135 ; 128.136 ; 128.137 ; 128.138 ; 128.139 ; 128.140 ; 128.141 ; 128.142 ; 128.143 ; 128.144 ; 128.145 ; 128.146 ; 128.147 ; 128.148 ; 128.149 ; 128.150 ; 128.151 ; 128.152 ; 128.153 ; 128.154 ; 128.155 ; 128.156 ; 128.157 ; 128.158 ; 128.159 ; 128.160 ; 128.161 ; 128.162; 128.163 ; 128.164 ; 128.165 ; 128.166 ; 128.167 ; 128.168 ; 128.169 ; 128.170 ; 128.171 ; 128.172 ; 128.173 ; 128.174 ; 128.175 ; 128.176 ; 128.177 ; 128.178 ; 128.179 ; 128.180 ; 128.181 ; 128.182 ; 128.183 ; 128.184 ; 128.185 ; 128.186 ; 128.187 ; 128.188 ; 128.189 ; 128.190 ; 128.191 ; 128.192 ; 128.193; 128.194 ; 128.195 ; 128.196 ; 128.197 ; 128.198 ; 128.199 ; 128.200 ; 128.201 ; 128.202 ; 128.203 ; 128.204 ; 128.205 ; 128.206 ; 128.207 ; 128.211 ; 128.212 ; 128.213 ; 128.214 ; 128.215 ; 128.216 ; 128.217 ; 128.218 ; 128.219 ; 128.220 ; 128.221 ; 128.222 ; 128.223 ; 128.224 ; 128.225 ; 128.226 ; 128.227 ; 128.228 ; 128.229 ; 128.230 ; 128.231 ; 128.232 ; 128.233 ; 128.234 ; 128.235 ; 128.236 ; 128.243 ; 128.244.</w:t>
      </w:r>
    </w:p>
    <w:p w14:paraId="15E51ED4" w14:textId="50BD81D2" w:rsidR="00331026" w:rsidRPr="00331026" w:rsidRDefault="00331026" w:rsidP="00331026">
      <w:pPr>
        <w:pStyle w:val="SingleTxtG"/>
        <w:rPr>
          <w:lang w:val="fr-FR"/>
        </w:rPr>
      </w:pPr>
      <w:r>
        <w:rPr>
          <w:lang w:val="fr-FR"/>
        </w:rPr>
        <w:t>8.</w:t>
      </w:r>
      <w:r>
        <w:rPr>
          <w:lang w:val="fr-FR"/>
        </w:rPr>
        <w:tab/>
      </w:r>
      <w:r w:rsidRPr="00331026">
        <w:rPr>
          <w:lang w:val="fr-FR"/>
        </w:rPr>
        <w:t xml:space="preserve">S’agissant de la recommandation </w:t>
      </w:r>
      <w:r w:rsidRPr="00331026">
        <w:rPr>
          <w:b/>
          <w:lang w:val="fr-FR"/>
        </w:rPr>
        <w:t>128.243</w:t>
      </w:r>
      <w:r w:rsidRPr="00331026">
        <w:rPr>
          <w:lang w:val="fr-FR"/>
        </w:rPr>
        <w:t>, la République du Congo a déjà adopté une loi spécifique sur les demandeurs d’asile. Il s’agit de la loi n° 41-2021 du 29 septembre 2021 fixant le droit d’asile et le statut des réfugiés en République du Congo.</w:t>
      </w:r>
    </w:p>
    <w:p w14:paraId="4E7535B2" w14:textId="67CEAC91" w:rsidR="00331026" w:rsidRPr="00331026" w:rsidRDefault="00331026" w:rsidP="00331026">
      <w:pPr>
        <w:pStyle w:val="SingleTxtG"/>
        <w:rPr>
          <w:lang w:val="fr-FR"/>
        </w:rPr>
      </w:pPr>
      <w:r>
        <w:rPr>
          <w:lang w:val="fr-FR"/>
        </w:rPr>
        <w:t>9.</w:t>
      </w:r>
      <w:r>
        <w:rPr>
          <w:lang w:val="fr-FR"/>
        </w:rPr>
        <w:tab/>
      </w:r>
      <w:r w:rsidRPr="00331026">
        <w:rPr>
          <w:lang w:val="fr-FR"/>
        </w:rPr>
        <w:t>Au sujet des recommandations notées, la position de la République du Congo est la suivante :</w:t>
      </w:r>
    </w:p>
    <w:p w14:paraId="02CC99F2" w14:textId="022A588C" w:rsidR="00331026" w:rsidRPr="00331026" w:rsidRDefault="00331026" w:rsidP="00331026">
      <w:pPr>
        <w:pStyle w:val="SingleTxtG"/>
        <w:rPr>
          <w:b/>
          <w:lang w:val="fr-FR"/>
        </w:rPr>
      </w:pPr>
      <w:r>
        <w:rPr>
          <w:b/>
          <w:lang w:val="fr-FR"/>
        </w:rPr>
        <w:tab/>
      </w:r>
      <w:r w:rsidR="0075061B">
        <w:rPr>
          <w:b/>
          <w:lang w:val="fr-FR"/>
        </w:rPr>
        <w:tab/>
      </w:r>
      <w:r w:rsidRPr="00331026">
        <w:rPr>
          <w:b/>
          <w:lang w:val="fr-FR"/>
        </w:rPr>
        <w:t xml:space="preserve">Recommandations 128.91 ; 128.92 : </w:t>
      </w:r>
      <w:r w:rsidRPr="00331026">
        <w:rPr>
          <w:lang w:val="fr-FR"/>
        </w:rPr>
        <w:t>Les membres des organisations non gouvernementales et organisations de la société civile de défense des droits de l’homme en République du Congo, exercent leurs activités de promotion et de protection des droits humains normalement et en toute liberté, sans pression, ni intimidation. A ce titre, ils ne sont pas confrontés aux représailles, ou harcèlement, de la part des autorités gouvernementales. Cependant, ils peuvent faire l’objet de poursuite judiciaire toutefois qu’ils commettent des infractions de droit commun.</w:t>
      </w:r>
    </w:p>
    <w:p w14:paraId="7E3A8B43" w14:textId="3F758141" w:rsidR="00331026" w:rsidRPr="00331026" w:rsidRDefault="0075061B" w:rsidP="00331026">
      <w:pPr>
        <w:pStyle w:val="SingleTxtG"/>
        <w:rPr>
          <w:i/>
          <w:lang w:val="fr-FR"/>
        </w:rPr>
      </w:pPr>
      <w:r>
        <w:rPr>
          <w:b/>
          <w:lang w:val="fr-FR"/>
        </w:rPr>
        <w:lastRenderedPageBreak/>
        <w:tab/>
      </w:r>
      <w:r w:rsidR="00331026">
        <w:rPr>
          <w:b/>
          <w:lang w:val="fr-FR"/>
        </w:rPr>
        <w:tab/>
      </w:r>
      <w:r w:rsidR="00331026" w:rsidRPr="00331026">
        <w:rPr>
          <w:b/>
          <w:lang w:val="fr-FR"/>
        </w:rPr>
        <w:t xml:space="preserve">Recommandation 128.95 : </w:t>
      </w:r>
      <w:r w:rsidR="00331026" w:rsidRPr="00331026">
        <w:rPr>
          <w:lang w:val="fr-FR"/>
        </w:rPr>
        <w:t>La liberté de presse en République du Congo est consacrée par la Constitution du 25 octobre 2015. L’article 25 de la Constitution dépénalise le délit de presse en ces termes :</w:t>
      </w:r>
      <w:r w:rsidR="00962827">
        <w:rPr>
          <w:lang w:val="fr-FR"/>
        </w:rPr>
        <w:t xml:space="preserve"> </w:t>
      </w:r>
      <w:r w:rsidR="00331026" w:rsidRPr="00331026">
        <w:rPr>
          <w:i/>
          <w:lang w:val="fr-FR"/>
        </w:rPr>
        <w:t>« </w:t>
      </w:r>
      <w:r w:rsidR="00331026" w:rsidRPr="00331026">
        <w:rPr>
          <w:lang w:val="fr-FR"/>
        </w:rPr>
        <w:t>Tout citoyen a le droit d’exprimer et de diffuser librement son opinion par la parole, l’écrit, l’image ou par tout autre moyen de communication. La liberté de l’information et de la communication est garantie. Elle s’exerce dans le respect de la loi.</w:t>
      </w:r>
    </w:p>
    <w:p w14:paraId="26FD9771" w14:textId="77777777" w:rsidR="00331026" w:rsidRPr="00331026" w:rsidRDefault="00331026" w:rsidP="00331026">
      <w:pPr>
        <w:pStyle w:val="SingleTxtG"/>
        <w:rPr>
          <w:lang w:val="fr-FR"/>
        </w:rPr>
      </w:pPr>
      <w:r w:rsidRPr="00331026">
        <w:rPr>
          <w:lang w:val="fr-FR"/>
        </w:rPr>
        <w:t>La censure est prohibée.</w:t>
      </w:r>
    </w:p>
    <w:p w14:paraId="69A78C36" w14:textId="77777777" w:rsidR="00331026" w:rsidRPr="00331026" w:rsidRDefault="00331026" w:rsidP="00331026">
      <w:pPr>
        <w:pStyle w:val="SingleTxtG"/>
        <w:rPr>
          <w:lang w:val="fr-FR"/>
        </w:rPr>
      </w:pPr>
      <w:r w:rsidRPr="00331026">
        <w:rPr>
          <w:lang w:val="fr-FR"/>
        </w:rPr>
        <w:t>L’accès aux sources d’information est libre et protégé dans les conditions déterminées par la loi ».</w:t>
      </w:r>
    </w:p>
    <w:p w14:paraId="5BBADC5E" w14:textId="20FCC3A4" w:rsidR="00331026" w:rsidRPr="00331026" w:rsidRDefault="00331026" w:rsidP="00331026">
      <w:pPr>
        <w:pStyle w:val="SingleTxtG"/>
        <w:rPr>
          <w:lang w:val="fr-FR"/>
        </w:rPr>
      </w:pPr>
      <w:r w:rsidRPr="00331026">
        <w:rPr>
          <w:lang w:val="fr-FR"/>
        </w:rPr>
        <w:t>L’environnement médiatique en République du Congo est assaini. L’exercice des professionnels de l’information de la communication est reconnu. La République du Congo dispose, depuis 2018, d’un code d’éthique et de déontologie des journalistes. Le préambule de ce code indique que :</w:t>
      </w:r>
      <w:r w:rsidR="00962827">
        <w:rPr>
          <w:lang w:val="fr-FR"/>
        </w:rPr>
        <w:t xml:space="preserve"> </w:t>
      </w:r>
      <w:r w:rsidRPr="00331026">
        <w:rPr>
          <w:lang w:val="fr-FR"/>
        </w:rPr>
        <w:t>« le droit à l’information, ainsi que la liberté d’expression et de critique, constituent des droits fondamentaux garantis par la Constitution du 25 octobre 2015</w:t>
      </w:r>
      <w:r w:rsidR="00033EAA" w:rsidRPr="00033EAA">
        <w:rPr>
          <w:b/>
          <w:bCs/>
          <w:lang w:val="fr-FR"/>
        </w:rPr>
        <w:t> </w:t>
      </w:r>
      <w:r w:rsidRPr="00331026">
        <w:rPr>
          <w:lang w:val="fr-FR"/>
        </w:rPr>
        <w:t>».</w:t>
      </w:r>
    </w:p>
    <w:p w14:paraId="2AA4D971" w14:textId="77777777" w:rsidR="00331026" w:rsidRPr="00331026" w:rsidRDefault="00331026" w:rsidP="00331026">
      <w:pPr>
        <w:pStyle w:val="SingleTxtG"/>
        <w:rPr>
          <w:lang w:val="fr-FR"/>
        </w:rPr>
      </w:pPr>
      <w:r w:rsidRPr="00331026">
        <w:rPr>
          <w:lang w:val="fr-FR"/>
        </w:rPr>
        <w:t>A ce jour, aucun crime n’a été commis contre les journalistes en République du Congo.</w:t>
      </w:r>
    </w:p>
    <w:p w14:paraId="11368EFB" w14:textId="63A6226B" w:rsidR="00331026" w:rsidRPr="00331026" w:rsidRDefault="0075061B" w:rsidP="00331026">
      <w:pPr>
        <w:pStyle w:val="SingleTxtG"/>
        <w:rPr>
          <w:lang w:val="fr-FR"/>
        </w:rPr>
      </w:pPr>
      <w:r>
        <w:rPr>
          <w:b/>
          <w:lang w:val="fr-FR"/>
        </w:rPr>
        <w:tab/>
      </w:r>
      <w:r w:rsidR="00331026">
        <w:rPr>
          <w:b/>
          <w:lang w:val="fr-FR"/>
        </w:rPr>
        <w:tab/>
      </w:r>
      <w:r w:rsidR="00331026" w:rsidRPr="00331026">
        <w:rPr>
          <w:b/>
          <w:lang w:val="fr-FR"/>
        </w:rPr>
        <w:t>Recommandations 128.208 ; 128.209 ; 128.210 </w:t>
      </w:r>
      <w:r w:rsidR="00331026" w:rsidRPr="00331026">
        <w:rPr>
          <w:lang w:val="fr-FR"/>
        </w:rPr>
        <w:t>: Aucune étude en République du Congo ne prouve la pratique des mutilations génitales à l’égard des femmes. Aucune règlementation ne consacre les mariages précoces. Les maires, en République du Congo, ne consacrent pas les mariages des filles mineures.</w:t>
      </w:r>
    </w:p>
    <w:p w14:paraId="409F20A2" w14:textId="15D508CF" w:rsidR="00331026" w:rsidRDefault="0075061B" w:rsidP="00331026">
      <w:pPr>
        <w:pStyle w:val="SingleTxtG"/>
      </w:pPr>
      <w:r>
        <w:rPr>
          <w:b/>
          <w:lang w:val="fr-FR"/>
        </w:rPr>
        <w:tab/>
      </w:r>
      <w:r w:rsidR="00331026">
        <w:rPr>
          <w:b/>
          <w:lang w:val="fr-FR"/>
        </w:rPr>
        <w:tab/>
      </w:r>
      <w:r w:rsidR="00331026" w:rsidRPr="6D23336F">
        <w:rPr>
          <w:b/>
          <w:bCs/>
          <w:lang w:val="fr-FR"/>
        </w:rPr>
        <w:t>Recommandations 128.237</w:t>
      </w:r>
      <w:r w:rsidR="00033EAA">
        <w:rPr>
          <w:b/>
          <w:bCs/>
          <w:lang w:val="fr-FR"/>
        </w:rPr>
        <w:t> ;</w:t>
      </w:r>
      <w:r w:rsidR="00331026" w:rsidRPr="6D23336F">
        <w:rPr>
          <w:b/>
          <w:bCs/>
          <w:lang w:val="fr-FR"/>
        </w:rPr>
        <w:t xml:space="preserve"> 128.238</w:t>
      </w:r>
      <w:r w:rsidR="00033EAA">
        <w:rPr>
          <w:b/>
          <w:bCs/>
          <w:lang w:val="fr-FR"/>
        </w:rPr>
        <w:t> ;</w:t>
      </w:r>
      <w:r w:rsidR="00331026" w:rsidRPr="6D23336F">
        <w:rPr>
          <w:b/>
          <w:bCs/>
          <w:lang w:val="fr-FR"/>
        </w:rPr>
        <w:t xml:space="preserve"> 128.</w:t>
      </w:r>
      <w:r w:rsidR="5EDFFD08" w:rsidRPr="6D23336F">
        <w:rPr>
          <w:b/>
          <w:bCs/>
          <w:lang w:val="fr-FR"/>
        </w:rPr>
        <w:t>2</w:t>
      </w:r>
      <w:r w:rsidR="00331026" w:rsidRPr="6D23336F">
        <w:rPr>
          <w:b/>
          <w:bCs/>
          <w:lang w:val="fr-FR"/>
        </w:rPr>
        <w:t>39</w:t>
      </w:r>
      <w:r w:rsidR="00033EAA">
        <w:rPr>
          <w:b/>
          <w:bCs/>
          <w:lang w:val="fr-FR"/>
        </w:rPr>
        <w:t> ;</w:t>
      </w:r>
      <w:r w:rsidR="00331026" w:rsidRPr="6D23336F">
        <w:rPr>
          <w:b/>
          <w:bCs/>
          <w:lang w:val="fr-FR"/>
        </w:rPr>
        <w:t xml:space="preserve"> 128.240 ; 128.241</w:t>
      </w:r>
      <w:bookmarkStart w:id="0" w:name="_Hlk168061797"/>
      <w:r w:rsidR="00331026" w:rsidRPr="6D23336F">
        <w:rPr>
          <w:b/>
          <w:bCs/>
          <w:lang w:val="fr-FR"/>
        </w:rPr>
        <w:t> </w:t>
      </w:r>
      <w:bookmarkEnd w:id="0"/>
      <w:r w:rsidR="00331026" w:rsidRPr="6D23336F">
        <w:rPr>
          <w:b/>
          <w:bCs/>
          <w:lang w:val="fr-FR"/>
        </w:rPr>
        <w:t xml:space="preserve">; 128.242 : </w:t>
      </w:r>
      <w:r w:rsidR="00331026" w:rsidRPr="00331026">
        <w:rPr>
          <w:lang w:val="fr-FR"/>
        </w:rPr>
        <w:t>La Constitution du 25 janvier 2015, reconnait l’égalité de tous les citoyens devant la loi. Il n’y a aucune disposition législative ou réglementaire discriminant les personnes en raison de leur orientation sexuelle. Les personnes se réclamant des communautés LGBT n’ont pas de droits spécifiques. Elles sont considérées au même titre que tous les autres citoyens congolais. A ce titre, ils participent régulièrement à l’ensemble des activités d’éducation sexuelle, à l’élaboration du plan national stratégique pour la lutte contre le VIH /sida et les autres maladies sexuellement transmissible (2018-2022), des textes d’application de la loi portant protection des personnes vivant avec le VIH/sida et du plan d’action pour l’amélioration de la protection des femmes vivant avec le VIH/sida 2017-2021.</w:t>
      </w:r>
    </w:p>
    <w:p w14:paraId="33B3B201" w14:textId="2D0B2E29" w:rsidR="0008167F" w:rsidRPr="00331026" w:rsidRDefault="00331026" w:rsidP="00331026">
      <w:pPr>
        <w:spacing w:before="240"/>
        <w:ind w:left="1134" w:right="1134"/>
        <w:jc w:val="center"/>
        <w:rPr>
          <w:u w:val="single"/>
        </w:rPr>
      </w:pPr>
      <w:r>
        <w:rPr>
          <w:u w:val="single"/>
        </w:rPr>
        <w:tab/>
      </w:r>
      <w:r>
        <w:rPr>
          <w:u w:val="single"/>
        </w:rPr>
        <w:tab/>
      </w:r>
      <w:r>
        <w:rPr>
          <w:u w:val="single"/>
        </w:rPr>
        <w:tab/>
      </w:r>
      <w:r w:rsidR="006B5D17">
        <w:rPr>
          <w:u w:val="single"/>
        </w:rPr>
        <w:tab/>
      </w:r>
    </w:p>
    <w:sectPr w:rsidR="0008167F" w:rsidRPr="00331026" w:rsidSect="0033102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C755" w14:textId="77777777" w:rsidR="00BF4A40" w:rsidRDefault="00BF4A40"/>
  </w:endnote>
  <w:endnote w:type="continuationSeparator" w:id="0">
    <w:p w14:paraId="1D5BA0D5" w14:textId="77777777" w:rsidR="00BF4A40" w:rsidRDefault="00BF4A40"/>
  </w:endnote>
  <w:endnote w:type="continuationNotice" w:id="1">
    <w:p w14:paraId="2CD07EC2" w14:textId="77777777" w:rsidR="00BF4A40" w:rsidRDefault="00BF4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3382C" w14:textId="77777777" w:rsidR="00331026" w:rsidRPr="00331026" w:rsidRDefault="00331026" w:rsidP="00331026">
    <w:pPr>
      <w:pStyle w:val="Footer"/>
      <w:tabs>
        <w:tab w:val="right" w:pos="9638"/>
      </w:tabs>
      <w:rPr>
        <w:sz w:val="18"/>
      </w:rPr>
    </w:pPr>
    <w:r w:rsidRPr="00331026">
      <w:rPr>
        <w:b/>
        <w:sz w:val="18"/>
      </w:rPr>
      <w:fldChar w:fldCharType="begin"/>
    </w:r>
    <w:r w:rsidRPr="00331026">
      <w:rPr>
        <w:b/>
        <w:sz w:val="18"/>
      </w:rPr>
      <w:instrText xml:space="preserve"> PAGE  \* MERGEFORMAT </w:instrText>
    </w:r>
    <w:r w:rsidRPr="00331026">
      <w:rPr>
        <w:b/>
        <w:sz w:val="18"/>
      </w:rPr>
      <w:fldChar w:fldCharType="separate"/>
    </w:r>
    <w:r w:rsidRPr="00331026">
      <w:rPr>
        <w:b/>
        <w:noProof/>
        <w:sz w:val="18"/>
      </w:rPr>
      <w:t>2</w:t>
    </w:r>
    <w:r w:rsidRPr="0033102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0C749" w14:textId="77777777" w:rsidR="00331026" w:rsidRPr="00331026" w:rsidRDefault="00331026" w:rsidP="00331026">
    <w:pPr>
      <w:pStyle w:val="Footer"/>
      <w:tabs>
        <w:tab w:val="right" w:pos="9638"/>
      </w:tabs>
      <w:rPr>
        <w:b/>
        <w:sz w:val="18"/>
      </w:rPr>
    </w:pPr>
    <w:r>
      <w:tab/>
    </w:r>
    <w:r w:rsidRPr="00331026">
      <w:rPr>
        <w:b/>
        <w:sz w:val="18"/>
      </w:rPr>
      <w:fldChar w:fldCharType="begin"/>
    </w:r>
    <w:r w:rsidRPr="00331026">
      <w:rPr>
        <w:b/>
        <w:sz w:val="18"/>
      </w:rPr>
      <w:instrText xml:space="preserve"> PAGE  \* MERGEFORMAT </w:instrText>
    </w:r>
    <w:r w:rsidRPr="00331026">
      <w:rPr>
        <w:b/>
        <w:sz w:val="18"/>
      </w:rPr>
      <w:fldChar w:fldCharType="separate"/>
    </w:r>
    <w:r w:rsidRPr="00331026">
      <w:rPr>
        <w:b/>
        <w:noProof/>
        <w:sz w:val="18"/>
      </w:rPr>
      <w:t>3</w:t>
    </w:r>
    <w:r w:rsidRPr="0033102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3119" w14:textId="77777777" w:rsidR="00F92B6F" w:rsidRDefault="00F92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CE8F" w14:textId="77777777" w:rsidR="00BF4A40" w:rsidRPr="00D27D5E" w:rsidRDefault="00BF4A40" w:rsidP="00D27D5E">
      <w:pPr>
        <w:tabs>
          <w:tab w:val="right" w:pos="2155"/>
        </w:tabs>
        <w:spacing w:after="80"/>
        <w:ind w:left="680"/>
        <w:rPr>
          <w:u w:val="single"/>
        </w:rPr>
      </w:pPr>
      <w:r>
        <w:rPr>
          <w:u w:val="single"/>
        </w:rPr>
        <w:tab/>
      </w:r>
    </w:p>
  </w:footnote>
  <w:footnote w:type="continuationSeparator" w:id="0">
    <w:p w14:paraId="018ABC0D" w14:textId="77777777" w:rsidR="00BF4A40" w:rsidRPr="00D72E7E" w:rsidRDefault="00BF4A40" w:rsidP="00D72E7E">
      <w:pPr>
        <w:tabs>
          <w:tab w:val="right" w:pos="2155"/>
        </w:tabs>
        <w:spacing w:after="80"/>
        <w:ind w:left="680"/>
        <w:rPr>
          <w:u w:val="single"/>
        </w:rPr>
      </w:pPr>
      <w:r w:rsidRPr="00D72E7E">
        <w:rPr>
          <w:u w:val="single"/>
        </w:rPr>
        <w:tab/>
      </w:r>
    </w:p>
  </w:footnote>
  <w:footnote w:type="continuationNotice" w:id="1">
    <w:p w14:paraId="00CD56D6" w14:textId="77777777" w:rsidR="00BF4A40" w:rsidRDefault="00BF4A40"/>
  </w:footnote>
  <w:footnote w:id="2">
    <w:p w14:paraId="09169948" w14:textId="77777777" w:rsidR="00331026" w:rsidRPr="005A0E69" w:rsidRDefault="00331026" w:rsidP="00331026">
      <w:pPr>
        <w:pStyle w:val="FootnoteText"/>
        <w:rPr>
          <w:lang w:val="fr-FR"/>
        </w:rPr>
      </w:pPr>
      <w:r>
        <w:tab/>
      </w:r>
      <w:r w:rsidRPr="00D202D0">
        <w:rPr>
          <w:rStyle w:val="FootnoteReference"/>
          <w:sz w:val="20"/>
          <w:vertAlign w:val="baseline"/>
          <w:lang w:val="fr-FR"/>
        </w:rPr>
        <w:t>*</w:t>
      </w:r>
      <w:r w:rsidRPr="00D202D0">
        <w:rPr>
          <w:sz w:val="20"/>
          <w:lang w:val="fr-FR"/>
        </w:rPr>
        <w:tab/>
      </w:r>
      <w:r w:rsidRPr="00150F0D">
        <w:rPr>
          <w:lang w:val="fr-FR"/>
        </w:rPr>
        <w:t>Le présent document n</w:t>
      </w:r>
      <w:r>
        <w:rPr>
          <w:lang w:val="fr-FR"/>
        </w:rPr>
        <w:t>’</w:t>
      </w:r>
      <w:r w:rsidRPr="00150F0D">
        <w:rPr>
          <w:lang w:val="fr-FR"/>
        </w:rPr>
        <w:t>a pas été revu par les services d</w:t>
      </w:r>
      <w:r>
        <w:rPr>
          <w:lang w:val="fr-FR"/>
        </w:rPr>
        <w:t>’</w:t>
      </w:r>
      <w:r w:rsidRPr="00150F0D">
        <w:rPr>
          <w:lang w:val="fr-FR"/>
        </w:rPr>
        <w:t>édition avant d</w:t>
      </w:r>
      <w:r>
        <w:rPr>
          <w:lang w:val="fr-FR"/>
        </w:rPr>
        <w:t>’</w:t>
      </w:r>
      <w:r w:rsidRPr="00150F0D">
        <w:rPr>
          <w:lang w:val="fr-FR"/>
        </w:rPr>
        <w:t>être envoyé aux services de</w:t>
      </w:r>
      <w:r>
        <w:rPr>
          <w:lang w:val="fr-FR"/>
        </w:rPr>
        <w:t xml:space="preserve"> </w:t>
      </w:r>
      <w:r w:rsidRPr="00150F0D">
        <w:rPr>
          <w:lang w:val="fr-FR"/>
        </w:rPr>
        <w:t>traduction de l</w:t>
      </w:r>
      <w:r>
        <w:rPr>
          <w:lang w:val="fr-FR"/>
        </w:rPr>
        <w:t>’</w:t>
      </w:r>
      <w:r w:rsidRPr="00150F0D">
        <w:rPr>
          <w:lang w:val="fr-FR"/>
        </w:rPr>
        <w:t>Organisation des Nations</w:t>
      </w:r>
      <w:r>
        <w:rPr>
          <w:lang w:val="fr-FR"/>
        </w:rPr>
        <w:t xml:space="preserve"> </w:t>
      </w:r>
      <w:r w:rsidRPr="00150F0D">
        <w:rPr>
          <w:lang w:val="fr-FR"/>
        </w:rPr>
        <w:t>Unies.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87DB" w14:textId="5C6D7955" w:rsidR="00331026" w:rsidRPr="00331026" w:rsidRDefault="00F92B6F">
    <w:pPr>
      <w:pStyle w:val="Header"/>
    </w:pPr>
    <w:r>
      <w:rPr>
        <w:noProof/>
      </w:rPr>
      <w:pict w14:anchorId="6AC32B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73672" o:spid="_x0000_s1026" type="#_x0000_t136" style="position:absolute;margin-left:0;margin-top:0;width:485.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version"/>
        </v:shape>
      </w:pict>
    </w:r>
    <w:r w:rsidR="008C0844">
      <w:fldChar w:fldCharType="begin"/>
    </w:r>
    <w:r w:rsidR="008C0844">
      <w:instrText>TITLE  \* MERGEFORMAT</w:instrText>
    </w:r>
    <w:r w:rsidR="008C0844">
      <w:fldChar w:fldCharType="separate"/>
    </w:r>
    <w:r w:rsidR="00331026">
      <w:t>A/HRC/56/16/Add.1</w:t>
    </w:r>
    <w:r w:rsidR="008C0844">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4D878" w14:textId="770523C2" w:rsidR="00331026" w:rsidRPr="00331026" w:rsidRDefault="00F92B6F" w:rsidP="00331026">
    <w:pPr>
      <w:pStyle w:val="Header"/>
      <w:jc w:val="right"/>
    </w:pPr>
    <w:r>
      <w:rPr>
        <w:noProof/>
      </w:rPr>
      <w:pict w14:anchorId="3CA73E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73673" o:spid="_x0000_s1027" type="#_x0000_t136" style="position:absolute;left:0;text-align:left;margin-left:0;margin-top:0;width:485.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version"/>
        </v:shape>
      </w:pict>
    </w:r>
    <w:r w:rsidR="008C0844">
      <w:fldChar w:fldCharType="begin"/>
    </w:r>
    <w:r w:rsidR="008C0844">
      <w:instrText>TITLE  \* MERGEFORMAT</w:instrText>
    </w:r>
    <w:r w:rsidR="008C0844">
      <w:fldChar w:fldCharType="separate"/>
    </w:r>
    <w:r w:rsidR="00331026">
      <w:t>A/HRC/56/16/Add.1</w:t>
    </w:r>
    <w:r w:rsidR="008C084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53A7" w14:textId="699225DC" w:rsidR="00F92B6F" w:rsidRDefault="00F92B6F">
    <w:pPr>
      <w:pStyle w:val="Header"/>
    </w:pPr>
    <w:r>
      <w:rPr>
        <w:noProof/>
      </w:rPr>
      <w:pict w14:anchorId="5598FF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73671" o:spid="_x0000_s1025" type="#_x0000_t136" style="position:absolute;margin-left:0;margin-top:0;width:485.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E8CA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3699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64D4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486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4C88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9016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81E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2CF9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7894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1CCE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15:restartNumberingAfterBreak="0">
    <w:nsid w:val="2B3F49C6"/>
    <w:multiLevelType w:val="singleLevel"/>
    <w:tmpl w:val="720CB540"/>
    <w:lvl w:ilvl="0">
      <w:start w:val="1"/>
      <w:numFmt w:val="lowerRoman"/>
      <w:lvlText w:val="(%1)"/>
      <w:lvlJc w:val="right"/>
      <w:pPr>
        <w:tabs>
          <w:tab w:val="num" w:pos="2160"/>
        </w:tabs>
        <w:ind w:left="2160" w:hanging="516"/>
      </w:pPr>
    </w:lvl>
  </w:abstractNum>
  <w:abstractNum w:abstractNumId="13" w15:restartNumberingAfterBreak="0">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16cid:durableId="1656035149">
    <w:abstractNumId w:val="19"/>
  </w:num>
  <w:num w:numId="2" w16cid:durableId="1881820099">
    <w:abstractNumId w:val="12"/>
  </w:num>
  <w:num w:numId="3" w16cid:durableId="2133556241">
    <w:abstractNumId w:val="1"/>
  </w:num>
  <w:num w:numId="4" w16cid:durableId="1930460005">
    <w:abstractNumId w:val="0"/>
  </w:num>
  <w:num w:numId="5" w16cid:durableId="54476477">
    <w:abstractNumId w:val="2"/>
  </w:num>
  <w:num w:numId="6" w16cid:durableId="512691359">
    <w:abstractNumId w:val="3"/>
  </w:num>
  <w:num w:numId="7" w16cid:durableId="578683712">
    <w:abstractNumId w:val="8"/>
  </w:num>
  <w:num w:numId="8" w16cid:durableId="2091464822">
    <w:abstractNumId w:val="9"/>
  </w:num>
  <w:num w:numId="9" w16cid:durableId="847064952">
    <w:abstractNumId w:val="7"/>
  </w:num>
  <w:num w:numId="10" w16cid:durableId="989476777">
    <w:abstractNumId w:val="6"/>
  </w:num>
  <w:num w:numId="11" w16cid:durableId="1968655527">
    <w:abstractNumId w:val="5"/>
  </w:num>
  <w:num w:numId="12" w16cid:durableId="1300066925">
    <w:abstractNumId w:val="4"/>
  </w:num>
  <w:num w:numId="13" w16cid:durableId="747994528">
    <w:abstractNumId w:val="13"/>
  </w:num>
  <w:num w:numId="14" w16cid:durableId="1780946978">
    <w:abstractNumId w:val="18"/>
  </w:num>
  <w:num w:numId="15" w16cid:durableId="401222048">
    <w:abstractNumId w:val="17"/>
  </w:num>
  <w:num w:numId="16" w16cid:durableId="1754470941">
    <w:abstractNumId w:val="16"/>
  </w:num>
  <w:num w:numId="17" w16cid:durableId="1141339586">
    <w:abstractNumId w:val="14"/>
  </w:num>
  <w:num w:numId="18" w16cid:durableId="1985040623">
    <w:abstractNumId w:val="16"/>
  </w:num>
  <w:num w:numId="19" w16cid:durableId="823468841">
    <w:abstractNumId w:val="14"/>
  </w:num>
  <w:num w:numId="20" w16cid:durableId="2141342689">
    <w:abstractNumId w:val="16"/>
  </w:num>
  <w:num w:numId="21" w16cid:durableId="1117139690">
    <w:abstractNumId w:val="14"/>
  </w:num>
  <w:num w:numId="22" w16cid:durableId="1474566146">
    <w:abstractNumId w:val="10"/>
  </w:num>
  <w:num w:numId="23" w16cid:durableId="1971743986">
    <w:abstractNumId w:val="15"/>
  </w:num>
  <w:num w:numId="24" w16cid:durableId="3200893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26"/>
    <w:rsid w:val="00016AC5"/>
    <w:rsid w:val="00020C56"/>
    <w:rsid w:val="00025771"/>
    <w:rsid w:val="0003055E"/>
    <w:rsid w:val="00033EAA"/>
    <w:rsid w:val="00057BC0"/>
    <w:rsid w:val="0008047D"/>
    <w:rsid w:val="0008167F"/>
    <w:rsid w:val="000E03D2"/>
    <w:rsid w:val="000F41F2"/>
    <w:rsid w:val="0011219D"/>
    <w:rsid w:val="00133B7A"/>
    <w:rsid w:val="001370FA"/>
    <w:rsid w:val="00153B2E"/>
    <w:rsid w:val="00160540"/>
    <w:rsid w:val="00170BBF"/>
    <w:rsid w:val="00172B99"/>
    <w:rsid w:val="00186254"/>
    <w:rsid w:val="00192EEB"/>
    <w:rsid w:val="001A20FB"/>
    <w:rsid w:val="001C6647"/>
    <w:rsid w:val="001E3FEB"/>
    <w:rsid w:val="001E4A02"/>
    <w:rsid w:val="00234A7A"/>
    <w:rsid w:val="002659F1"/>
    <w:rsid w:val="00287E79"/>
    <w:rsid w:val="002928F9"/>
    <w:rsid w:val="002A5D07"/>
    <w:rsid w:val="003016B7"/>
    <w:rsid w:val="00331026"/>
    <w:rsid w:val="003515AA"/>
    <w:rsid w:val="00374106"/>
    <w:rsid w:val="0037787B"/>
    <w:rsid w:val="003800E1"/>
    <w:rsid w:val="003976D5"/>
    <w:rsid w:val="003D193B"/>
    <w:rsid w:val="003D5D72"/>
    <w:rsid w:val="003D6C68"/>
    <w:rsid w:val="003E6ACD"/>
    <w:rsid w:val="004159D0"/>
    <w:rsid w:val="00453816"/>
    <w:rsid w:val="00481744"/>
    <w:rsid w:val="00482630"/>
    <w:rsid w:val="004B2F4D"/>
    <w:rsid w:val="004E0ED4"/>
    <w:rsid w:val="004E3143"/>
    <w:rsid w:val="00506892"/>
    <w:rsid w:val="00515E4C"/>
    <w:rsid w:val="00571F41"/>
    <w:rsid w:val="00594033"/>
    <w:rsid w:val="005B73A7"/>
    <w:rsid w:val="005E5D1F"/>
    <w:rsid w:val="005F3C2D"/>
    <w:rsid w:val="00612D48"/>
    <w:rsid w:val="00616B45"/>
    <w:rsid w:val="006402CD"/>
    <w:rsid w:val="006439EC"/>
    <w:rsid w:val="0066166E"/>
    <w:rsid w:val="006717FE"/>
    <w:rsid w:val="006739B9"/>
    <w:rsid w:val="006A4BB1"/>
    <w:rsid w:val="006B4590"/>
    <w:rsid w:val="006B5D17"/>
    <w:rsid w:val="006C340C"/>
    <w:rsid w:val="0070347C"/>
    <w:rsid w:val="007245EE"/>
    <w:rsid w:val="0075061B"/>
    <w:rsid w:val="00757464"/>
    <w:rsid w:val="00757B26"/>
    <w:rsid w:val="007602DF"/>
    <w:rsid w:val="00794671"/>
    <w:rsid w:val="007B4AD1"/>
    <w:rsid w:val="007D30F7"/>
    <w:rsid w:val="0081197C"/>
    <w:rsid w:val="00844750"/>
    <w:rsid w:val="0088312E"/>
    <w:rsid w:val="008921DD"/>
    <w:rsid w:val="0089595B"/>
    <w:rsid w:val="008B4356"/>
    <w:rsid w:val="008E7FAE"/>
    <w:rsid w:val="00911BF7"/>
    <w:rsid w:val="00962827"/>
    <w:rsid w:val="0096714A"/>
    <w:rsid w:val="00977EC8"/>
    <w:rsid w:val="009D3A8C"/>
    <w:rsid w:val="009E7956"/>
    <w:rsid w:val="00A2492E"/>
    <w:rsid w:val="00A41FCA"/>
    <w:rsid w:val="00A63BBD"/>
    <w:rsid w:val="00A8374C"/>
    <w:rsid w:val="00A954DF"/>
    <w:rsid w:val="00AC47AD"/>
    <w:rsid w:val="00AC7977"/>
    <w:rsid w:val="00AE352C"/>
    <w:rsid w:val="00AE5C9A"/>
    <w:rsid w:val="00B32AA5"/>
    <w:rsid w:val="00B32E2D"/>
    <w:rsid w:val="00B61990"/>
    <w:rsid w:val="00B9642C"/>
    <w:rsid w:val="00BE28D3"/>
    <w:rsid w:val="00BF0556"/>
    <w:rsid w:val="00BF3C83"/>
    <w:rsid w:val="00BF4A40"/>
    <w:rsid w:val="00C06927"/>
    <w:rsid w:val="00C261F8"/>
    <w:rsid w:val="00C366D7"/>
    <w:rsid w:val="00C717E0"/>
    <w:rsid w:val="00CD1A71"/>
    <w:rsid w:val="00CD1FBB"/>
    <w:rsid w:val="00CE2A9C"/>
    <w:rsid w:val="00CE5AFE"/>
    <w:rsid w:val="00D016B5"/>
    <w:rsid w:val="00D034F1"/>
    <w:rsid w:val="00D27D5E"/>
    <w:rsid w:val="00D42E42"/>
    <w:rsid w:val="00D72E7E"/>
    <w:rsid w:val="00DE2AF1"/>
    <w:rsid w:val="00DE6D90"/>
    <w:rsid w:val="00DF002F"/>
    <w:rsid w:val="00E0244D"/>
    <w:rsid w:val="00E53A1D"/>
    <w:rsid w:val="00E81E94"/>
    <w:rsid w:val="00E82607"/>
    <w:rsid w:val="00F22103"/>
    <w:rsid w:val="00F42631"/>
    <w:rsid w:val="00F72951"/>
    <w:rsid w:val="00F92B6F"/>
    <w:rsid w:val="00FA5A79"/>
    <w:rsid w:val="00FB0BFE"/>
    <w:rsid w:val="00FB4C51"/>
    <w:rsid w:val="00FE1E84"/>
    <w:rsid w:val="00FF07B1"/>
    <w:rsid w:val="00FF1DBD"/>
    <w:rsid w:val="5EDFFD08"/>
    <w:rsid w:val="6D23336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E01FAE9"/>
  <w15:docId w15:val="{AC43207A-6792-499E-BB47-AC41395A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Title" w:semiHidden="1" w:qFormat="1"/>
    <w:lsdException w:name="Closing" w:semiHidden="1"/>
    <w:lsdException w:name="Signature" w:semiHidden="1"/>
    <w:lsdException w:name="Body Text" w:semiHidden="1"/>
    <w:lsdException w:name="Body Text Indent"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671"/>
    <w:pPr>
      <w:suppressAutoHyphens/>
      <w:spacing w:line="240" w:lineRule="atLeast"/>
    </w:pPr>
    <w:rPr>
      <w:lang w:val="fr-CH" w:eastAsia="en-US"/>
    </w:rPr>
  </w:style>
  <w:style w:type="paragraph" w:styleId="Heading1">
    <w:name w:val="heading 1"/>
    <w:aliases w:val="Table_G"/>
    <w:basedOn w:val="SingleTxtG"/>
    <w:next w:val="SingleTxtG"/>
    <w:qFormat/>
    <w:rsid w:val="0008167F"/>
    <w:pPr>
      <w:spacing w:after="0" w:line="240" w:lineRule="auto"/>
      <w:ind w:right="0"/>
      <w:jc w:val="left"/>
      <w:outlineLvl w:val="0"/>
    </w:pPr>
  </w:style>
  <w:style w:type="paragraph" w:styleId="Heading2">
    <w:name w:val="heading 2"/>
    <w:basedOn w:val="Normal"/>
    <w:next w:val="Normal"/>
    <w:semiHidden/>
    <w:qFormat/>
    <w:rsid w:val="0008167F"/>
    <w:pPr>
      <w:spacing w:line="240" w:lineRule="auto"/>
      <w:outlineLvl w:val="1"/>
    </w:pPr>
    <w:rPr>
      <w:lang w:val="en-GB"/>
    </w:rPr>
  </w:style>
  <w:style w:type="paragraph" w:styleId="Heading3">
    <w:name w:val="heading 3"/>
    <w:basedOn w:val="Normal"/>
    <w:next w:val="Normal"/>
    <w:semiHidden/>
    <w:qFormat/>
    <w:rsid w:val="0008167F"/>
    <w:pPr>
      <w:spacing w:line="240" w:lineRule="auto"/>
      <w:outlineLvl w:val="2"/>
    </w:pPr>
    <w:rPr>
      <w:lang w:val="en-GB"/>
    </w:rPr>
  </w:style>
  <w:style w:type="paragraph" w:styleId="Heading4">
    <w:name w:val="heading 4"/>
    <w:basedOn w:val="Normal"/>
    <w:next w:val="Normal"/>
    <w:semiHidden/>
    <w:qFormat/>
    <w:rsid w:val="0008167F"/>
    <w:pPr>
      <w:spacing w:line="240" w:lineRule="auto"/>
      <w:outlineLvl w:val="3"/>
    </w:pPr>
    <w:rPr>
      <w:lang w:val="en-GB"/>
    </w:rPr>
  </w:style>
  <w:style w:type="paragraph" w:styleId="Heading5">
    <w:name w:val="heading 5"/>
    <w:basedOn w:val="Normal"/>
    <w:next w:val="Normal"/>
    <w:semiHidden/>
    <w:qFormat/>
    <w:rsid w:val="0008167F"/>
    <w:pPr>
      <w:spacing w:line="240" w:lineRule="auto"/>
      <w:outlineLvl w:val="4"/>
    </w:pPr>
    <w:rPr>
      <w:lang w:val="en-GB"/>
    </w:rPr>
  </w:style>
  <w:style w:type="paragraph" w:styleId="Heading6">
    <w:name w:val="heading 6"/>
    <w:basedOn w:val="Normal"/>
    <w:next w:val="Normal"/>
    <w:semiHidden/>
    <w:qFormat/>
    <w:rsid w:val="0008167F"/>
    <w:pPr>
      <w:spacing w:line="240" w:lineRule="auto"/>
      <w:outlineLvl w:val="5"/>
    </w:pPr>
    <w:rPr>
      <w:lang w:val="en-GB"/>
    </w:rPr>
  </w:style>
  <w:style w:type="paragraph" w:styleId="Heading7">
    <w:name w:val="heading 7"/>
    <w:basedOn w:val="Normal"/>
    <w:next w:val="Normal"/>
    <w:semiHidden/>
    <w:qFormat/>
    <w:rsid w:val="0008167F"/>
    <w:pPr>
      <w:spacing w:line="240" w:lineRule="auto"/>
      <w:outlineLvl w:val="6"/>
    </w:pPr>
    <w:rPr>
      <w:lang w:val="en-GB"/>
    </w:rPr>
  </w:style>
  <w:style w:type="paragraph" w:styleId="Heading8">
    <w:name w:val="heading 8"/>
    <w:basedOn w:val="Normal"/>
    <w:next w:val="Normal"/>
    <w:semiHidden/>
    <w:qFormat/>
    <w:rsid w:val="0008167F"/>
    <w:pPr>
      <w:spacing w:line="240" w:lineRule="auto"/>
      <w:outlineLvl w:val="7"/>
    </w:pPr>
    <w:rPr>
      <w:lang w:val="en-GB"/>
    </w:rPr>
  </w:style>
  <w:style w:type="paragraph" w:styleId="Heading9">
    <w:name w:val="heading 9"/>
    <w:basedOn w:val="Normal"/>
    <w:next w:val="Normal"/>
    <w:semiHidden/>
    <w:qFormat/>
    <w:rsid w:val="0008167F"/>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qFormat/>
    <w:rsid w:val="00794671"/>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794671"/>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08167F"/>
    <w:pPr>
      <w:keepNext/>
      <w:keepLines/>
      <w:tabs>
        <w:tab w:val="right" w:pos="851"/>
      </w:tabs>
      <w:spacing w:before="360" w:after="240" w:line="270" w:lineRule="exact"/>
      <w:ind w:left="1134" w:right="1134" w:hanging="1134"/>
    </w:pPr>
    <w:rPr>
      <w:b/>
      <w:sz w:val="24"/>
      <w:lang w:val="en-GB"/>
    </w:rPr>
  </w:style>
  <w:style w:type="paragraph" w:customStyle="1" w:styleId="H23G">
    <w:name w:val="_ H_2/3_G"/>
    <w:basedOn w:val="Normal"/>
    <w:next w:val="Normal"/>
    <w:qFormat/>
    <w:rsid w:val="00794671"/>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794671"/>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794671"/>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794671"/>
    <w:pPr>
      <w:spacing w:after="120"/>
      <w:ind w:left="1134" w:right="1134"/>
      <w:jc w:val="both"/>
    </w:pPr>
  </w:style>
  <w:style w:type="paragraph" w:customStyle="1" w:styleId="SLG">
    <w:name w:val="__S_L_G"/>
    <w:basedOn w:val="Normal"/>
    <w:next w:val="Normal"/>
    <w:rsid w:val="00794671"/>
    <w:pPr>
      <w:keepNext/>
      <w:keepLines/>
      <w:spacing w:before="240" w:after="240" w:line="580" w:lineRule="exact"/>
      <w:ind w:left="1134" w:right="1134"/>
    </w:pPr>
    <w:rPr>
      <w:b/>
      <w:sz w:val="56"/>
    </w:rPr>
  </w:style>
  <w:style w:type="paragraph" w:customStyle="1" w:styleId="SMG">
    <w:name w:val="__S_M_G"/>
    <w:basedOn w:val="Normal"/>
    <w:next w:val="Normal"/>
    <w:rsid w:val="00794671"/>
    <w:pPr>
      <w:keepNext/>
      <w:keepLines/>
      <w:spacing w:before="240" w:after="240" w:line="420" w:lineRule="exact"/>
      <w:ind w:left="1134" w:right="1134"/>
    </w:pPr>
    <w:rPr>
      <w:b/>
      <w:sz w:val="40"/>
    </w:rPr>
  </w:style>
  <w:style w:type="paragraph" w:customStyle="1" w:styleId="SSG">
    <w:name w:val="__S_S_G"/>
    <w:basedOn w:val="Normal"/>
    <w:next w:val="Normal"/>
    <w:rsid w:val="00794671"/>
    <w:pPr>
      <w:keepNext/>
      <w:keepLines/>
      <w:spacing w:before="240" w:after="240" w:line="300" w:lineRule="exact"/>
      <w:ind w:left="1134" w:right="1134"/>
    </w:pPr>
    <w:rPr>
      <w:b/>
      <w:sz w:val="28"/>
    </w:rPr>
  </w:style>
  <w:style w:type="paragraph" w:customStyle="1" w:styleId="XLargeG">
    <w:name w:val="__XLarge_G"/>
    <w:basedOn w:val="Normal"/>
    <w:next w:val="Normal"/>
    <w:rsid w:val="00794671"/>
    <w:pPr>
      <w:keepNext/>
      <w:keepLines/>
      <w:spacing w:before="240" w:after="240" w:line="420" w:lineRule="exact"/>
      <w:ind w:left="1134" w:right="1134"/>
    </w:pPr>
    <w:rPr>
      <w:b/>
      <w:sz w:val="40"/>
    </w:rPr>
  </w:style>
  <w:style w:type="paragraph" w:customStyle="1" w:styleId="Bullet1G">
    <w:name w:val="_Bullet 1_G"/>
    <w:basedOn w:val="Normal"/>
    <w:qFormat/>
    <w:rsid w:val="00794671"/>
    <w:pPr>
      <w:numPr>
        <w:numId w:val="22"/>
      </w:numPr>
      <w:spacing w:after="120"/>
      <w:ind w:right="1134"/>
      <w:jc w:val="both"/>
    </w:pPr>
  </w:style>
  <w:style w:type="paragraph" w:customStyle="1" w:styleId="Bullet2G">
    <w:name w:val="_Bullet 2_G"/>
    <w:basedOn w:val="Normal"/>
    <w:qFormat/>
    <w:rsid w:val="00794671"/>
    <w:pPr>
      <w:numPr>
        <w:numId w:val="23"/>
      </w:numPr>
      <w:spacing w:after="120"/>
      <w:ind w:right="1134"/>
      <w:jc w:val="both"/>
    </w:pPr>
  </w:style>
  <w:style w:type="character" w:styleId="FootnoteReference">
    <w:name w:val="footnote reference"/>
    <w:aliases w:val="4_G,callout,Footnotes refss"/>
    <w:basedOn w:val="DefaultParagraphFont"/>
    <w:qFormat/>
    <w:rsid w:val="0008167F"/>
    <w:rPr>
      <w:rFonts w:ascii="Times New Roman" w:hAnsi="Times New Roman"/>
      <w:sz w:val="18"/>
      <w:vertAlign w:val="superscript"/>
    </w:rPr>
  </w:style>
  <w:style w:type="character" w:styleId="EndnoteReference">
    <w:name w:val="endnote reference"/>
    <w:aliases w:val="1_G"/>
    <w:basedOn w:val="FootnoteReference"/>
    <w:qFormat/>
    <w:rsid w:val="00794671"/>
    <w:rPr>
      <w:rFonts w:ascii="Times New Roman" w:hAnsi="Times New Roman"/>
      <w:sz w:val="18"/>
      <w:vertAlign w:val="superscript"/>
      <w:lang w:val="fr-CH"/>
    </w:rPr>
  </w:style>
  <w:style w:type="paragraph" w:styleId="Header">
    <w:name w:val="header"/>
    <w:aliases w:val="6_G"/>
    <w:basedOn w:val="Normal"/>
    <w:rsid w:val="0008167F"/>
    <w:pPr>
      <w:pBdr>
        <w:bottom w:val="single" w:sz="4" w:space="4" w:color="auto"/>
      </w:pBdr>
      <w:spacing w:line="240" w:lineRule="auto"/>
    </w:pPr>
    <w:rPr>
      <w:b/>
      <w:sz w:val="18"/>
      <w:lang w:val="en-GB"/>
    </w:rPr>
  </w:style>
  <w:style w:type="paragraph" w:styleId="FootnoteText">
    <w:name w:val="footnote text"/>
    <w:aliases w:val="5_G,Footnote Text Char1 Char1,Footnote Text Char Char Char1,Char Char Char Char1,Footnote Text Char1 Char Char,Footnote Text Char Char Char Char,Char Char Char Char Char1,Char Char, Char Char Char Char1, Char Char"/>
    <w:basedOn w:val="Normal"/>
    <w:link w:val="FootnoteTextChar"/>
    <w:qFormat/>
    <w:rsid w:val="0008167F"/>
    <w:pPr>
      <w:tabs>
        <w:tab w:val="right" w:pos="1021"/>
      </w:tabs>
      <w:spacing w:line="220" w:lineRule="exact"/>
      <w:ind w:left="1134" w:right="1134" w:hanging="1134"/>
    </w:pPr>
    <w:rPr>
      <w:sz w:val="18"/>
      <w:lang w:val="en-GB"/>
    </w:rPr>
  </w:style>
  <w:style w:type="paragraph" w:styleId="EndnoteText">
    <w:name w:val="endnote text"/>
    <w:aliases w:val="2_G"/>
    <w:basedOn w:val="FootnoteText"/>
    <w:qFormat/>
    <w:rsid w:val="0008167F"/>
  </w:style>
  <w:style w:type="character" w:styleId="PageNumber">
    <w:name w:val="page number"/>
    <w:aliases w:val="7_G"/>
    <w:basedOn w:val="DefaultParagraphFont"/>
    <w:qFormat/>
    <w:rsid w:val="0008167F"/>
    <w:rPr>
      <w:rFonts w:ascii="Times New Roman" w:hAnsi="Times New Roman"/>
      <w:b/>
      <w:sz w:val="18"/>
    </w:rPr>
  </w:style>
  <w:style w:type="paragraph" w:styleId="Footer">
    <w:name w:val="footer"/>
    <w:aliases w:val="3_G"/>
    <w:basedOn w:val="Normal"/>
    <w:qFormat/>
    <w:rsid w:val="0008167F"/>
    <w:pPr>
      <w:spacing w:line="240" w:lineRule="auto"/>
    </w:pPr>
    <w:rPr>
      <w:sz w:val="16"/>
      <w:lang w:val="en-GB"/>
    </w:rPr>
  </w:style>
  <w:style w:type="character" w:styleId="Hyperlink">
    <w:name w:val="Hyperlink"/>
    <w:basedOn w:val="DefaultParagraphFont"/>
    <w:semiHidden/>
    <w:rsid w:val="0008167F"/>
    <w:rPr>
      <w:color w:val="auto"/>
      <w:u w:val="none"/>
    </w:rPr>
  </w:style>
  <w:style w:type="character" w:styleId="FollowedHyperlink">
    <w:name w:val="FollowedHyperlink"/>
    <w:basedOn w:val="DefaultParagraphFont"/>
    <w:semiHidden/>
    <w:rsid w:val="0008167F"/>
    <w:rPr>
      <w:color w:val="auto"/>
      <w:u w:val="none"/>
    </w:rPr>
  </w:style>
  <w:style w:type="table" w:styleId="TableGrid">
    <w:name w:val="Table Grid"/>
    <w:basedOn w:val="TableNormal"/>
    <w:semiHidden/>
    <w:rsid w:val="0008167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alloonText">
    <w:name w:val="Balloon Text"/>
    <w:basedOn w:val="Normal"/>
    <w:link w:val="BalloonTextChar"/>
    <w:semiHidden/>
    <w:rsid w:val="006717FE"/>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717FE"/>
    <w:rPr>
      <w:rFonts w:ascii="Tahoma" w:hAnsi="Tahoma" w:cs="Tahoma"/>
      <w:sz w:val="16"/>
      <w:szCs w:val="16"/>
      <w:lang w:val="fr-CH" w:eastAsia="en-US"/>
    </w:rPr>
  </w:style>
  <w:style w:type="paragraph" w:customStyle="1" w:styleId="ParNoG">
    <w:name w:val="_ParNo_G"/>
    <w:basedOn w:val="SingleTxtG"/>
    <w:qFormat/>
    <w:rsid w:val="007245EE"/>
    <w:pPr>
      <w:numPr>
        <w:numId w:val="24"/>
      </w:numPr>
      <w:kinsoku w:val="0"/>
      <w:overflowPunct w:val="0"/>
      <w:autoSpaceDE w:val="0"/>
      <w:autoSpaceDN w:val="0"/>
      <w:adjustRightInd w:val="0"/>
      <w:snapToGrid w:val="0"/>
    </w:pPr>
  </w:style>
  <w:style w:type="character" w:customStyle="1" w:styleId="FootnoteTextChar">
    <w:name w:val="Footnote Text Char"/>
    <w:aliases w:val="5_G Char,Footnote Text Char1 Char1 Char,Footnote Text Char Char Char1 Char,Char Char Char Char1 Char,Footnote Text Char1 Char Char Char,Footnote Text Char Char Char Char Char,Char Char Char Char Char1 Char,Char Char Char"/>
    <w:basedOn w:val="DefaultParagraphFont"/>
    <w:link w:val="FootnoteText"/>
    <w:rsid w:val="00331026"/>
    <w:rPr>
      <w:sz w:val="18"/>
      <w:lang w:val="en-GB" w:eastAsia="en-US"/>
    </w:rPr>
  </w:style>
  <w:style w:type="paragraph" w:styleId="Revision">
    <w:name w:val="Revision"/>
    <w:hidden/>
    <w:uiPriority w:val="99"/>
    <w:semiHidden/>
    <w:rsid w:val="00C366D7"/>
    <w:rPr>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F.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8700F-248F-498B-90B2-844AEC2AEC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5F053A-DC16-43F2-B91C-FF59304103B2}">
  <ds:schemaRefs>
    <ds:schemaRef ds:uri="http://schemas.microsoft.com/sharepoint/v3/contenttype/forms"/>
  </ds:schemaRefs>
</ds:datastoreItem>
</file>

<file path=customXml/itemProps3.xml><?xml version="1.0" encoding="utf-8"?>
<ds:datastoreItem xmlns:ds="http://schemas.openxmlformats.org/officeDocument/2006/customXml" ds:itemID="{00EFDE11-98F7-4D0E-B6E4-92BD29956970}"/>
</file>

<file path=docProps/app.xml><?xml version="1.0" encoding="utf-8"?>
<Properties xmlns="http://schemas.openxmlformats.org/officeDocument/2006/extended-properties" xmlns:vt="http://schemas.openxmlformats.org/officeDocument/2006/docPropsVTypes">
  <Template>A_F.dotm</Template>
  <TotalTime>0</TotalTime>
  <Pages>3</Pages>
  <Words>1074</Words>
  <Characters>5908</Characters>
  <Application>Microsoft Office Word</Application>
  <DocSecurity>0</DocSecurity>
  <Lines>49</Lines>
  <Paragraphs>13</Paragraphs>
  <ScaleCrop>false</ScaleCrop>
  <Company>CSD</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creator>IHARA Sumiko</dc:creator>
  <cp:lastModifiedBy>Veronique Lanz</cp:lastModifiedBy>
  <cp:revision>2</cp:revision>
  <cp:lastPrinted>2008-02-01T10:36:00Z</cp:lastPrinted>
  <dcterms:created xsi:type="dcterms:W3CDTF">2024-06-10T13:16:00Z</dcterms:created>
  <dcterms:modified xsi:type="dcterms:W3CDTF">2024-06-10T13:16:00Z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- 56th session of the HRC (45th session of the UPR WG) - Addendum (Advance Version)</vt:lpwstr>
  </property>
</Properties>
</file>