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B1F7" w14:textId="0B2F0E7A" w:rsidR="006F0F27" w:rsidRDefault="006F0F27" w:rsidP="006F0F27">
      <w:pPr>
        <w:jc w:val="center"/>
        <w:rPr>
          <w:rFonts w:ascii="Times New Roman" w:hAnsi="Times New Roman" w:cs="Times New Roman"/>
          <w:b/>
          <w:bCs/>
          <w:sz w:val="24"/>
          <w:szCs w:val="24"/>
          <w:lang w:val="en-GB"/>
        </w:rPr>
      </w:pPr>
      <w:r w:rsidRPr="006F0F27">
        <w:rPr>
          <w:rFonts w:ascii="Times New Roman" w:hAnsi="Times New Roman" w:cs="Times New Roman"/>
          <w:b/>
          <w:bCs/>
          <w:sz w:val="24"/>
          <w:szCs w:val="24"/>
          <w:lang w:val="en-GB"/>
        </w:rPr>
        <w:t>Responses by the Republic of Lithuania to the study of the Office of the United Nations High Commissioner for Human Rights on the solutions to promote digital education for young people and to ensure their protection from online threats</w:t>
      </w:r>
    </w:p>
    <w:p w14:paraId="0785C2D3" w14:textId="77777777" w:rsidR="006F0F27" w:rsidRPr="006F0F27" w:rsidRDefault="006F0F27" w:rsidP="006F0F27">
      <w:pPr>
        <w:jc w:val="center"/>
        <w:rPr>
          <w:rFonts w:ascii="Times New Roman" w:hAnsi="Times New Roman" w:cs="Times New Roman"/>
          <w:b/>
          <w:bCs/>
          <w:sz w:val="24"/>
          <w:szCs w:val="24"/>
          <w:lang w:val="en-GB"/>
        </w:rPr>
      </w:pPr>
    </w:p>
    <w:p w14:paraId="1C9FCCC9" w14:textId="2CD96192" w:rsidR="00E76E7F" w:rsidRPr="006F0F27" w:rsidRDefault="00E76E7F" w:rsidP="006F0F27">
      <w:pPr>
        <w:jc w:val="both"/>
        <w:rPr>
          <w:rFonts w:ascii="Times New Roman" w:hAnsi="Times New Roman" w:cs="Times New Roman"/>
          <w:b/>
          <w:bCs/>
          <w:sz w:val="24"/>
          <w:szCs w:val="24"/>
          <w:lang w:val="en-GB"/>
        </w:rPr>
      </w:pPr>
      <w:r w:rsidRPr="006F0F27">
        <w:rPr>
          <w:rFonts w:ascii="Times New Roman" w:hAnsi="Times New Roman" w:cs="Times New Roman"/>
          <w:b/>
          <w:bCs/>
          <w:sz w:val="24"/>
          <w:szCs w:val="24"/>
          <w:lang w:val="en-GB"/>
        </w:rPr>
        <w:t xml:space="preserve">1) What are the main challenges that young people in </w:t>
      </w:r>
      <w:r w:rsidR="006F0F27" w:rsidRPr="006F0F27">
        <w:rPr>
          <w:rFonts w:ascii="Times New Roman" w:hAnsi="Times New Roman" w:cs="Times New Roman"/>
          <w:b/>
          <w:bCs/>
          <w:sz w:val="24"/>
          <w:szCs w:val="24"/>
          <w:lang w:val="en-GB"/>
        </w:rPr>
        <w:t>Lithuania</w:t>
      </w:r>
      <w:r w:rsidRPr="006F0F27">
        <w:rPr>
          <w:rFonts w:ascii="Times New Roman" w:hAnsi="Times New Roman" w:cs="Times New Roman"/>
          <w:b/>
          <w:bCs/>
          <w:sz w:val="24"/>
          <w:szCs w:val="24"/>
          <w:lang w:val="en-GB"/>
        </w:rPr>
        <w:t xml:space="preserve"> face in accessing digital education? Please consider the specific situation of marginalized young people and those in vulnerable situations in your response. </w:t>
      </w:r>
    </w:p>
    <w:p w14:paraId="269A9233" w14:textId="3003E35C" w:rsidR="00344D52" w:rsidRPr="006F0F27" w:rsidRDefault="007E4F69" w:rsidP="006F0F27">
      <w:pPr>
        <w:pStyle w:val="xxmsonormal"/>
        <w:jc w:val="both"/>
        <w:rPr>
          <w:rFonts w:ascii="Times New Roman" w:hAnsi="Times New Roman" w:cs="Times New Roman"/>
          <w:sz w:val="24"/>
          <w:szCs w:val="24"/>
        </w:rPr>
      </w:pPr>
      <w:r w:rsidRPr="006F0F27">
        <w:rPr>
          <w:rFonts w:ascii="Times New Roman" w:hAnsi="Times New Roman" w:cs="Times New Roman"/>
          <w:sz w:val="24"/>
          <w:szCs w:val="24"/>
        </w:rPr>
        <w:t xml:space="preserve">The </w:t>
      </w:r>
      <w:r w:rsidR="001C6F58" w:rsidRPr="006F0F27">
        <w:rPr>
          <w:rFonts w:ascii="Times New Roman" w:hAnsi="Times New Roman" w:cs="Times New Roman"/>
          <w:sz w:val="24"/>
          <w:szCs w:val="24"/>
        </w:rPr>
        <w:t xml:space="preserve">main challenges </w:t>
      </w:r>
      <w:r w:rsidR="008E59C0" w:rsidRPr="006F0F27">
        <w:rPr>
          <w:rFonts w:ascii="Times New Roman" w:hAnsi="Times New Roman" w:cs="Times New Roman"/>
          <w:sz w:val="24"/>
          <w:szCs w:val="24"/>
        </w:rPr>
        <w:t>that young people in your country face in accessing digital education</w:t>
      </w:r>
      <w:r w:rsidR="001C6F58" w:rsidRPr="006F0F27">
        <w:rPr>
          <w:rFonts w:ascii="Times New Roman" w:hAnsi="Times New Roman" w:cs="Times New Roman"/>
          <w:sz w:val="24"/>
          <w:szCs w:val="24"/>
        </w:rPr>
        <w:t xml:space="preserve"> in Lithuanian are:</w:t>
      </w:r>
    </w:p>
    <w:p w14:paraId="7E10FBF2" w14:textId="1CB5464E" w:rsidR="006F0F27" w:rsidRDefault="0020378E" w:rsidP="006F0F27">
      <w:pPr>
        <w:pStyle w:val="xxmsonormal"/>
        <w:numPr>
          <w:ilvl w:val="0"/>
          <w:numId w:val="13"/>
        </w:numPr>
        <w:jc w:val="both"/>
        <w:rPr>
          <w:rFonts w:ascii="Times New Roman" w:hAnsi="Times New Roman" w:cs="Times New Roman"/>
          <w:sz w:val="24"/>
          <w:szCs w:val="24"/>
        </w:rPr>
      </w:pPr>
      <w:r>
        <w:rPr>
          <w:rFonts w:ascii="Times New Roman" w:hAnsi="Times New Roman" w:cs="Times New Roman"/>
          <w:sz w:val="24"/>
          <w:szCs w:val="24"/>
        </w:rPr>
        <w:t>i</w:t>
      </w:r>
      <w:r w:rsidR="009266E7" w:rsidRPr="006F0F27">
        <w:rPr>
          <w:rFonts w:ascii="Times New Roman" w:hAnsi="Times New Roman" w:cs="Times New Roman"/>
          <w:sz w:val="24"/>
          <w:szCs w:val="24"/>
        </w:rPr>
        <w:t>nclusive education</w:t>
      </w:r>
      <w:r w:rsidR="006F0F27">
        <w:rPr>
          <w:rFonts w:ascii="Times New Roman" w:hAnsi="Times New Roman" w:cs="Times New Roman"/>
          <w:sz w:val="24"/>
          <w:szCs w:val="24"/>
        </w:rPr>
        <w:t>;</w:t>
      </w:r>
    </w:p>
    <w:p w14:paraId="13773211" w14:textId="508E51DF" w:rsidR="004B361E" w:rsidRPr="006F0F27" w:rsidRDefault="0020378E" w:rsidP="006F0F27">
      <w:pPr>
        <w:pStyle w:val="xxmsonormal"/>
        <w:numPr>
          <w:ilvl w:val="0"/>
          <w:numId w:val="13"/>
        </w:numPr>
        <w:jc w:val="both"/>
        <w:rPr>
          <w:rFonts w:ascii="Times New Roman" w:hAnsi="Times New Roman" w:cs="Times New Roman"/>
          <w:sz w:val="24"/>
          <w:szCs w:val="24"/>
        </w:rPr>
      </w:pPr>
      <w:r>
        <w:rPr>
          <w:rFonts w:ascii="Times New Roman" w:hAnsi="Times New Roman" w:cs="Times New Roman"/>
          <w:sz w:val="24"/>
          <w:szCs w:val="24"/>
        </w:rPr>
        <w:t>a</w:t>
      </w:r>
      <w:r w:rsidR="00F20421" w:rsidRPr="006F0F27">
        <w:rPr>
          <w:rFonts w:ascii="Times New Roman" w:hAnsi="Times New Roman" w:cs="Times New Roman"/>
          <w:sz w:val="24"/>
          <w:szCs w:val="24"/>
        </w:rPr>
        <w:t>dequate ICT tools in schools and teachers with the needed</w:t>
      </w:r>
      <w:r w:rsidR="005A2C07" w:rsidRPr="006F0F27">
        <w:rPr>
          <w:rFonts w:ascii="Times New Roman" w:hAnsi="Times New Roman" w:cs="Times New Roman"/>
          <w:sz w:val="24"/>
          <w:szCs w:val="24"/>
        </w:rPr>
        <w:t xml:space="preserve"> digital</w:t>
      </w:r>
      <w:r w:rsidR="00F20421" w:rsidRPr="006F0F27">
        <w:rPr>
          <w:rFonts w:ascii="Times New Roman" w:hAnsi="Times New Roman" w:cs="Times New Roman"/>
          <w:sz w:val="24"/>
          <w:szCs w:val="24"/>
        </w:rPr>
        <w:t xml:space="preserve"> </w:t>
      </w:r>
      <w:r w:rsidR="00CE3E0C" w:rsidRPr="006F0F27">
        <w:rPr>
          <w:rFonts w:ascii="Times New Roman" w:hAnsi="Times New Roman" w:cs="Times New Roman"/>
          <w:sz w:val="24"/>
          <w:szCs w:val="24"/>
        </w:rPr>
        <w:t xml:space="preserve">competence and </w:t>
      </w:r>
      <w:r w:rsidR="00F20421" w:rsidRPr="006F0F27">
        <w:rPr>
          <w:rFonts w:ascii="Times New Roman" w:hAnsi="Times New Roman" w:cs="Times New Roman"/>
          <w:sz w:val="24"/>
          <w:szCs w:val="24"/>
        </w:rPr>
        <w:t>skills to use them effectively in classrooms</w:t>
      </w:r>
      <w:r w:rsidR="006F0F27" w:rsidRPr="006F0F27">
        <w:rPr>
          <w:rFonts w:ascii="Times New Roman" w:hAnsi="Times New Roman" w:cs="Times New Roman"/>
          <w:sz w:val="24"/>
          <w:szCs w:val="24"/>
        </w:rPr>
        <w:t>.</w:t>
      </w:r>
    </w:p>
    <w:p w14:paraId="068215EF" w14:textId="77777777" w:rsidR="006F0F27" w:rsidRPr="006F0F27" w:rsidRDefault="006F0F27" w:rsidP="006F0F27">
      <w:pPr>
        <w:pStyle w:val="xxmsonormal"/>
        <w:jc w:val="both"/>
        <w:rPr>
          <w:rFonts w:ascii="Times New Roman" w:hAnsi="Times New Roman" w:cs="Times New Roman"/>
          <w:sz w:val="24"/>
          <w:szCs w:val="24"/>
        </w:rPr>
      </w:pPr>
    </w:p>
    <w:p w14:paraId="20BA231B" w14:textId="77777777" w:rsidR="00E76E7F" w:rsidRPr="006F0F27" w:rsidRDefault="00E76E7F" w:rsidP="006F0F27">
      <w:pPr>
        <w:jc w:val="both"/>
        <w:rPr>
          <w:rFonts w:ascii="Times New Roman" w:hAnsi="Times New Roman" w:cs="Times New Roman"/>
          <w:b/>
          <w:bCs/>
          <w:sz w:val="24"/>
          <w:szCs w:val="24"/>
          <w:lang w:val="en-GB"/>
        </w:rPr>
      </w:pPr>
      <w:r w:rsidRPr="006F0F27">
        <w:rPr>
          <w:rFonts w:ascii="Times New Roman" w:hAnsi="Times New Roman" w:cs="Times New Roman"/>
          <w:b/>
          <w:bCs/>
          <w:sz w:val="24"/>
          <w:szCs w:val="24"/>
          <w:lang w:val="en-GB"/>
        </w:rPr>
        <w:t xml:space="preserve">2) What steps is the Government taking to ensure that digital education is accessible and promoted among young people? Please provide examples of specific laws and regulations, measures, policies, and programmes directed at ensuring young people’s universal access to digital education. </w:t>
      </w:r>
    </w:p>
    <w:p w14:paraId="0B323A44" w14:textId="061C3BE5" w:rsidR="008A7056" w:rsidRPr="006F0F27" w:rsidRDefault="008A7056" w:rsidP="006F0F27">
      <w:pPr>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 xml:space="preserve">There are several </w:t>
      </w:r>
      <w:r w:rsidR="008C1352" w:rsidRPr="006F0F27">
        <w:rPr>
          <w:rFonts w:ascii="Times New Roman" w:hAnsi="Times New Roman" w:cs="Times New Roman"/>
          <w:sz w:val="24"/>
          <w:szCs w:val="24"/>
          <w:lang w:val="en-GB"/>
        </w:rPr>
        <w:t xml:space="preserve">measures taken to ensure that young people can </w:t>
      </w:r>
      <w:r w:rsidR="00EE6874" w:rsidRPr="006F0F27">
        <w:rPr>
          <w:rFonts w:ascii="Times New Roman" w:hAnsi="Times New Roman" w:cs="Times New Roman"/>
          <w:sz w:val="24"/>
          <w:szCs w:val="24"/>
          <w:lang w:val="en-GB"/>
        </w:rPr>
        <w:t>equal access to digital education:</w:t>
      </w:r>
    </w:p>
    <w:p w14:paraId="4AF45707" w14:textId="77777777" w:rsidR="006F0F27" w:rsidRDefault="00A17EFC" w:rsidP="006F0F27">
      <w:pPr>
        <w:pStyle w:val="ListParagraph"/>
        <w:numPr>
          <w:ilvl w:val="0"/>
          <w:numId w:val="12"/>
        </w:num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 xml:space="preserve">Universal </w:t>
      </w:r>
      <w:r w:rsidR="000F6EBD" w:rsidRPr="006F0F27">
        <w:rPr>
          <w:rFonts w:ascii="Times New Roman" w:hAnsi="Times New Roman" w:cs="Times New Roman"/>
          <w:sz w:val="24"/>
          <w:szCs w:val="24"/>
          <w:lang w:val="en-GB"/>
        </w:rPr>
        <w:t>D</w:t>
      </w:r>
      <w:r w:rsidRPr="006F0F27">
        <w:rPr>
          <w:rFonts w:ascii="Times New Roman" w:hAnsi="Times New Roman" w:cs="Times New Roman"/>
          <w:sz w:val="24"/>
          <w:szCs w:val="24"/>
          <w:lang w:val="en-GB"/>
        </w:rPr>
        <w:t xml:space="preserve">esign for </w:t>
      </w:r>
      <w:r w:rsidR="000F6EBD" w:rsidRPr="006F0F27">
        <w:rPr>
          <w:rFonts w:ascii="Times New Roman" w:hAnsi="Times New Roman" w:cs="Times New Roman"/>
          <w:sz w:val="24"/>
          <w:szCs w:val="24"/>
          <w:lang w:val="en-GB"/>
        </w:rPr>
        <w:t>L</w:t>
      </w:r>
      <w:r w:rsidR="005A1DF8" w:rsidRPr="006F0F27">
        <w:rPr>
          <w:rFonts w:ascii="Times New Roman" w:hAnsi="Times New Roman" w:cs="Times New Roman"/>
          <w:sz w:val="24"/>
          <w:szCs w:val="24"/>
          <w:lang w:val="en-GB"/>
        </w:rPr>
        <w:t xml:space="preserve">earning </w:t>
      </w:r>
      <w:r w:rsidR="000F6EBD" w:rsidRPr="006F0F27">
        <w:rPr>
          <w:rFonts w:ascii="Times New Roman" w:hAnsi="Times New Roman" w:cs="Times New Roman"/>
          <w:sz w:val="24"/>
          <w:szCs w:val="24"/>
          <w:lang w:val="en-GB"/>
        </w:rPr>
        <w:t>approach</w:t>
      </w:r>
      <w:r w:rsidR="005A1DF8" w:rsidRPr="006F0F27">
        <w:rPr>
          <w:rFonts w:ascii="Times New Roman" w:hAnsi="Times New Roman" w:cs="Times New Roman"/>
          <w:sz w:val="24"/>
          <w:szCs w:val="24"/>
          <w:lang w:val="en-GB"/>
        </w:rPr>
        <w:t xml:space="preserve"> </w:t>
      </w:r>
      <w:r w:rsidR="00C2147B" w:rsidRPr="006F0F27">
        <w:rPr>
          <w:rFonts w:ascii="Times New Roman" w:hAnsi="Times New Roman" w:cs="Times New Roman"/>
          <w:sz w:val="24"/>
          <w:szCs w:val="24"/>
          <w:lang w:val="en-GB"/>
        </w:rPr>
        <w:t>is</w:t>
      </w:r>
      <w:r w:rsidR="005A1DF8" w:rsidRPr="006F0F27">
        <w:rPr>
          <w:rFonts w:ascii="Times New Roman" w:hAnsi="Times New Roman" w:cs="Times New Roman"/>
          <w:sz w:val="24"/>
          <w:szCs w:val="24"/>
          <w:lang w:val="en-GB"/>
        </w:rPr>
        <w:t xml:space="preserve"> considered</w:t>
      </w:r>
      <w:r w:rsidR="00C2147B" w:rsidRPr="006F0F27">
        <w:rPr>
          <w:rFonts w:ascii="Times New Roman" w:hAnsi="Times New Roman" w:cs="Times New Roman"/>
          <w:sz w:val="24"/>
          <w:szCs w:val="24"/>
          <w:lang w:val="en-GB"/>
        </w:rPr>
        <w:t xml:space="preserve"> as the core</w:t>
      </w:r>
      <w:r w:rsidR="005A1DF8" w:rsidRPr="006F0F27">
        <w:rPr>
          <w:rFonts w:ascii="Times New Roman" w:hAnsi="Times New Roman" w:cs="Times New Roman"/>
          <w:sz w:val="24"/>
          <w:szCs w:val="24"/>
          <w:lang w:val="en-GB"/>
        </w:rPr>
        <w:t xml:space="preserve"> </w:t>
      </w:r>
      <w:r w:rsidR="00333A39" w:rsidRPr="006F0F27">
        <w:rPr>
          <w:rFonts w:ascii="Times New Roman" w:hAnsi="Times New Roman" w:cs="Times New Roman"/>
          <w:sz w:val="24"/>
          <w:szCs w:val="24"/>
          <w:lang w:val="en-GB"/>
        </w:rPr>
        <w:t>for</w:t>
      </w:r>
      <w:r w:rsidRPr="006F0F27">
        <w:rPr>
          <w:rFonts w:ascii="Times New Roman" w:hAnsi="Times New Roman" w:cs="Times New Roman"/>
          <w:sz w:val="24"/>
          <w:szCs w:val="24"/>
          <w:lang w:val="en-GB"/>
        </w:rPr>
        <w:t xml:space="preserve"> the transition from special (segregated) to inclusive education. This is particularly relevant in Lithuania, in the context of the amendments to the Law on Education, which will come into force on 1 September 2024, and which will oblige all schools to accept children with disabilities and related individual educational needs (Seimas of the Republic of Lithuania, 2020). The International Disability Alliance (International Disability Alliance, 2021) notes that accessibility and personalisation are essential for an inclusive education process. Universal design for learning is a good approach for this, as it creates the preconditions for an inherently flexible teaching/learning process. This not only creates the conditions for a more open and motivating learning process for all and sundry, but also for the effective provision of individual needs. More and more school communities and municipalities are engaging in the use of Universal Design for Learning approaches.</w:t>
      </w:r>
    </w:p>
    <w:p w14:paraId="297B9A74"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4728A071" w14:textId="77777777" w:rsidR="006F0F27" w:rsidRDefault="00A17EFC" w:rsidP="006F0F27">
      <w:pPr>
        <w:pStyle w:val="ListParagraph"/>
        <w:tabs>
          <w:tab w:val="left" w:pos="709"/>
        </w:tabs>
        <w:ind w:left="360"/>
        <w:jc w:val="both"/>
        <w:rPr>
          <w:rFonts w:ascii="Times New Roman" w:eastAsia="Times New Roman" w:hAnsi="Times New Roman" w:cs="Times New Roman"/>
          <w:sz w:val="24"/>
          <w:szCs w:val="24"/>
          <w:lang w:val="en-GB"/>
        </w:rPr>
      </w:pPr>
      <w:r w:rsidRPr="006F0F27">
        <w:rPr>
          <w:rFonts w:ascii="Times New Roman" w:eastAsia="Times New Roman" w:hAnsi="Times New Roman" w:cs="Times New Roman"/>
          <w:sz w:val="24"/>
          <w:szCs w:val="24"/>
          <w:lang w:val="en-GB"/>
        </w:rPr>
        <w:t>All learners</w:t>
      </w:r>
      <w:r w:rsidR="009E13BB" w:rsidRPr="006F0F27">
        <w:rPr>
          <w:rFonts w:ascii="Times New Roman" w:eastAsia="Times New Roman" w:hAnsi="Times New Roman" w:cs="Times New Roman"/>
          <w:sz w:val="24"/>
          <w:szCs w:val="24"/>
          <w:lang w:val="en-GB"/>
        </w:rPr>
        <w:t xml:space="preserve"> in Lithuani</w:t>
      </w:r>
      <w:r w:rsidR="006E1462" w:rsidRPr="006F0F27">
        <w:rPr>
          <w:rFonts w:ascii="Times New Roman" w:eastAsia="Times New Roman" w:hAnsi="Times New Roman" w:cs="Times New Roman"/>
          <w:sz w:val="24"/>
          <w:szCs w:val="24"/>
          <w:lang w:val="en-GB"/>
        </w:rPr>
        <w:t>a</w:t>
      </w:r>
      <w:r w:rsidRPr="006F0F27">
        <w:rPr>
          <w:rFonts w:ascii="Times New Roman" w:eastAsia="Times New Roman" w:hAnsi="Times New Roman" w:cs="Times New Roman"/>
          <w:sz w:val="24"/>
          <w:szCs w:val="24"/>
          <w:lang w:val="en-GB"/>
        </w:rPr>
        <w:t xml:space="preserve"> have equal access to the education, including students from SEC and students with learning difficulties – all public and private schools are obligate to follow the national curriculum and ensure its quality. As the net enrolment Rate of Primary school age children in Lithuania is over 99.6%, and in lower education -over 97%, there is not specific measures to support disadvantaged learners to develop environmental resilience. All students are enrolled into schools and have access to the same education.</w:t>
      </w:r>
    </w:p>
    <w:p w14:paraId="7D99910E" w14:textId="77777777" w:rsidR="006F0F27" w:rsidRDefault="006F0F27" w:rsidP="006F0F27">
      <w:pPr>
        <w:pStyle w:val="ListParagraph"/>
        <w:tabs>
          <w:tab w:val="left" w:pos="709"/>
        </w:tabs>
        <w:ind w:left="360"/>
        <w:jc w:val="both"/>
        <w:rPr>
          <w:rFonts w:ascii="Times New Roman" w:eastAsia="Times New Roman" w:hAnsi="Times New Roman" w:cs="Times New Roman"/>
          <w:sz w:val="24"/>
          <w:szCs w:val="24"/>
          <w:lang w:val="en-GB"/>
        </w:rPr>
      </w:pPr>
    </w:p>
    <w:p w14:paraId="569C5E88" w14:textId="77777777" w:rsidR="006F0F27" w:rsidRDefault="008F1333" w:rsidP="006F0F27">
      <w:pPr>
        <w:pStyle w:val="ListParagraph"/>
        <w:numPr>
          <w:ilvl w:val="0"/>
          <w:numId w:val="12"/>
        </w:num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Bringing</w:t>
      </w:r>
      <w:r w:rsidR="002306F5" w:rsidRPr="006F0F27">
        <w:rPr>
          <w:rFonts w:ascii="Times New Roman" w:hAnsi="Times New Roman" w:cs="Times New Roman"/>
          <w:sz w:val="24"/>
          <w:szCs w:val="24"/>
          <w:lang w:val="en-GB"/>
        </w:rPr>
        <w:t xml:space="preserve"> researchers</w:t>
      </w:r>
      <w:r w:rsidR="003906F0" w:rsidRPr="006F0F27">
        <w:rPr>
          <w:rFonts w:ascii="Times New Roman" w:hAnsi="Times New Roman" w:cs="Times New Roman"/>
          <w:sz w:val="24"/>
          <w:szCs w:val="24"/>
          <w:lang w:val="en-GB"/>
        </w:rPr>
        <w:t xml:space="preserve"> </w:t>
      </w:r>
      <w:r w:rsidR="00AA167D" w:rsidRPr="006F0F27">
        <w:rPr>
          <w:rFonts w:ascii="Times New Roman" w:hAnsi="Times New Roman" w:cs="Times New Roman"/>
          <w:sz w:val="24"/>
          <w:szCs w:val="24"/>
          <w:lang w:val="en-GB"/>
        </w:rPr>
        <w:t>closer to schools to work and co-create together with teachers the means and tools necessary to support disadvantaged children</w:t>
      </w:r>
      <w:r w:rsidR="0099231E" w:rsidRPr="006F0F27">
        <w:rPr>
          <w:rFonts w:ascii="Times New Roman" w:hAnsi="Times New Roman" w:cs="Times New Roman"/>
          <w:sz w:val="24"/>
          <w:szCs w:val="24"/>
          <w:lang w:val="en-GB"/>
        </w:rPr>
        <w:t xml:space="preserve"> aiming at improvement of the school practices in reducing inequality</w:t>
      </w:r>
      <w:r w:rsidR="006F0F27">
        <w:rPr>
          <w:rFonts w:ascii="Times New Roman" w:hAnsi="Times New Roman" w:cs="Times New Roman"/>
          <w:sz w:val="24"/>
          <w:szCs w:val="24"/>
          <w:lang w:val="en-GB"/>
        </w:rPr>
        <w:t>.</w:t>
      </w:r>
    </w:p>
    <w:p w14:paraId="7C245C61"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7ED3B873" w14:textId="77777777" w:rsidR="006F0F27" w:rsidRDefault="00AA167D" w:rsidP="006F0F27">
      <w:pPr>
        <w:pStyle w:val="ListParagraph"/>
        <w:tabs>
          <w:tab w:val="left" w:pos="709"/>
        </w:tabs>
        <w:ind w:left="360"/>
        <w:jc w:val="both"/>
        <w:rPr>
          <w:rFonts w:ascii="Times New Roman" w:eastAsia="Times New Roman" w:hAnsi="Times New Roman" w:cs="Times New Roman"/>
          <w:sz w:val="24"/>
          <w:szCs w:val="24"/>
          <w:lang w:val="en-GB"/>
        </w:rPr>
      </w:pPr>
      <w:r w:rsidRPr="006F0F27">
        <w:rPr>
          <w:rFonts w:ascii="Times New Roman" w:hAnsi="Times New Roman" w:cs="Times New Roman"/>
          <w:sz w:val="24"/>
          <w:szCs w:val="24"/>
          <w:lang w:val="en-GB"/>
        </w:rPr>
        <w:t xml:space="preserve">To address this challenge a national research programme in the field of education science has been established and launched in 2023, to be implemented by the Research Council of Lithuania.  The research programme includes internships, development of doctoral and post-doctoral </w:t>
      </w:r>
      <w:r w:rsidRPr="006F0F27">
        <w:rPr>
          <w:rFonts w:ascii="Times New Roman" w:hAnsi="Times New Roman" w:cs="Times New Roman"/>
          <w:sz w:val="24"/>
          <w:szCs w:val="24"/>
          <w:lang w:val="en-GB"/>
        </w:rPr>
        <w:lastRenderedPageBreak/>
        <w:t>positions, applied research in 7 priority themes. One of the priority themes for research is the development of an inclusive education system to ensure the best educational opportunities for all (special needs, foreigners, returnees, etc.). The</w:t>
      </w:r>
      <w:r w:rsidRPr="006F0F27">
        <w:rPr>
          <w:rFonts w:ascii="Times New Roman" w:eastAsia="Times New Roman" w:hAnsi="Times New Roman" w:cs="Times New Roman"/>
          <w:sz w:val="24"/>
          <w:szCs w:val="24"/>
          <w:lang w:val="en-GB"/>
        </w:rPr>
        <w:t xml:space="preserve"> special conditions of the projects include the preparation of secondary analyses and public policy briefs, as well as the development of recommendations to public authorities based on the research findings. The results of the research will need to be implemented in the target groups and the projects need to be linked to study programmes in the field of education.</w:t>
      </w:r>
    </w:p>
    <w:p w14:paraId="1F2B3D1A" w14:textId="77777777" w:rsidR="006F0F27" w:rsidRDefault="006F0F27" w:rsidP="006F0F27">
      <w:pPr>
        <w:pStyle w:val="ListParagraph"/>
        <w:tabs>
          <w:tab w:val="left" w:pos="709"/>
        </w:tabs>
        <w:ind w:left="360"/>
        <w:jc w:val="both"/>
        <w:rPr>
          <w:rFonts w:ascii="Times New Roman" w:eastAsia="Times New Roman" w:hAnsi="Times New Roman" w:cs="Times New Roman"/>
          <w:sz w:val="24"/>
          <w:szCs w:val="24"/>
          <w:lang w:val="en-GB"/>
        </w:rPr>
      </w:pPr>
    </w:p>
    <w:p w14:paraId="47900951" w14:textId="77777777" w:rsidR="006F0F27" w:rsidRDefault="009A7046" w:rsidP="006F0F27">
      <w:pPr>
        <w:pStyle w:val="ListParagraph"/>
        <w:numPr>
          <w:ilvl w:val="0"/>
          <w:numId w:val="12"/>
        </w:num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Improvement of pedagogical staff digital competencies in national programmes and master's degrees studies</w:t>
      </w:r>
    </w:p>
    <w:p w14:paraId="64CB8F83"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5E7A2628" w14:textId="77777777" w:rsidR="006F0F27" w:rsidRDefault="009A7046" w:rsidP="006F0F27">
      <w:pPr>
        <w:pStyle w:val="ListParagraph"/>
        <w:tabs>
          <w:tab w:val="left" w:pos="709"/>
        </w:tabs>
        <w:ind w:left="360"/>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 xml:space="preserve">The improvement of pedagogical staff competencies in national qualification improvement programmes and master's programmes is financed by the measures of the Recovery and Resilience Facility (RFF) Enhancement Plan. The duration of national programmes is up to 270 academic hours, equivalent to 10 study credits. The competences acquired on completion of national programmes </w:t>
      </w:r>
      <w:r w:rsidR="007C54DC" w:rsidRPr="006F0F27">
        <w:rPr>
          <w:rFonts w:ascii="Times New Roman" w:hAnsi="Times New Roman" w:cs="Times New Roman"/>
          <w:sz w:val="24"/>
          <w:szCs w:val="24"/>
          <w:lang w:val="en-GB"/>
        </w:rPr>
        <w:t>are</w:t>
      </w:r>
      <w:r w:rsidRPr="006F0F27">
        <w:rPr>
          <w:rFonts w:ascii="Times New Roman" w:hAnsi="Times New Roman" w:cs="Times New Roman"/>
          <w:sz w:val="24"/>
          <w:szCs w:val="24"/>
          <w:lang w:val="en-GB"/>
        </w:rPr>
        <w:t xml:space="preserve"> credited within the curricula. National programmes are implemented only in priority areas of skills development. The following priority areas have been approved for 2023-2025: digital competences; competences required for the implementation of the principle of inclusiveness; civic competences; educational practice and didactic competences and leadership skills for education and learning. </w:t>
      </w:r>
      <w:r w:rsidR="00A425C9" w:rsidRPr="006F0F27">
        <w:rPr>
          <w:rFonts w:ascii="Times New Roman" w:hAnsi="Times New Roman" w:cs="Times New Roman"/>
          <w:sz w:val="24"/>
          <w:szCs w:val="24"/>
          <w:lang w:val="en-GB"/>
        </w:rPr>
        <w:t>B</w:t>
      </w:r>
      <w:r w:rsidRPr="006F0F27">
        <w:rPr>
          <w:rFonts w:ascii="Times New Roman" w:hAnsi="Times New Roman" w:cs="Times New Roman"/>
          <w:sz w:val="24"/>
          <w:szCs w:val="24"/>
          <w:lang w:val="en-GB"/>
        </w:rPr>
        <w:t>y the II quarter of 2026, 7,120 pedagogical staff (23.75%</w:t>
      </w:r>
      <w:r w:rsidR="00A425C9" w:rsidRPr="006F0F27">
        <w:rPr>
          <w:rFonts w:ascii="Times New Roman" w:hAnsi="Times New Roman" w:cs="Times New Roman"/>
          <w:sz w:val="24"/>
          <w:szCs w:val="24"/>
          <w:lang w:val="en-GB"/>
        </w:rPr>
        <w:t xml:space="preserve"> from total </w:t>
      </w:r>
      <w:r w:rsidR="00E32D8F" w:rsidRPr="006F0F27">
        <w:rPr>
          <w:rFonts w:ascii="Times New Roman" w:hAnsi="Times New Roman" w:cs="Times New Roman"/>
          <w:sz w:val="24"/>
          <w:szCs w:val="24"/>
          <w:lang w:val="en-GB"/>
        </w:rPr>
        <w:t xml:space="preserve">pedagogical staff </w:t>
      </w:r>
      <w:r w:rsidRPr="006F0F27">
        <w:rPr>
          <w:rFonts w:ascii="Times New Roman" w:hAnsi="Times New Roman" w:cs="Times New Roman"/>
          <w:sz w:val="24"/>
          <w:szCs w:val="24"/>
          <w:lang w:val="en-GB"/>
        </w:rPr>
        <w:t>) will have completed training.</w:t>
      </w:r>
    </w:p>
    <w:p w14:paraId="75CADBB8"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6C25122E" w14:textId="77777777" w:rsidR="006F0F27" w:rsidRDefault="009A7046" w:rsidP="006F0F27">
      <w:pPr>
        <w:pStyle w:val="ListParagraph"/>
        <w:tabs>
          <w:tab w:val="left" w:pos="709"/>
        </w:tabs>
        <w:ind w:left="360"/>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 xml:space="preserve">In September 2023, master's degree programmes were launched to enable pedagogical staff (school principals, their deputies in charge of education and organisation of educational departments, teachers and student support specialists) to strengthen their competences. The master’s programmes are implemented by higher education institutions that have been assessed as meeting the criteria for expert evaluation. </w:t>
      </w:r>
    </w:p>
    <w:p w14:paraId="519038F3"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5438DB21" w14:textId="77777777" w:rsidR="006F0F27" w:rsidRDefault="009A7046" w:rsidP="006F0F27">
      <w:pPr>
        <w:pStyle w:val="ListParagraph"/>
        <w:numPr>
          <w:ilvl w:val="0"/>
          <w:numId w:val="12"/>
        </w:num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 xml:space="preserve">Targeted scholarships and support for future teachers </w:t>
      </w:r>
    </w:p>
    <w:p w14:paraId="179080BB"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5032485D" w14:textId="243B71FB" w:rsidR="001B65BB" w:rsidRPr="006F0F27" w:rsidRDefault="009A7046" w:rsidP="006F0F27">
      <w:pPr>
        <w:pStyle w:val="ListParagraph"/>
        <w:tabs>
          <w:tab w:val="left" w:pos="709"/>
        </w:tabs>
        <w:ind w:left="360"/>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 xml:space="preserve">Applicants for state-funded bachelor's degree courses in shortage areas and related pedagogical studies have the opportunity to receive a monthly scholarship. </w:t>
      </w:r>
      <w:r w:rsidR="002718E3" w:rsidRPr="006F0F27">
        <w:rPr>
          <w:rFonts w:ascii="Times New Roman" w:hAnsi="Times New Roman" w:cs="Times New Roman"/>
          <w:sz w:val="24"/>
          <w:szCs w:val="24"/>
          <w:lang w:val="en-GB"/>
        </w:rPr>
        <w:t xml:space="preserve"> </w:t>
      </w:r>
      <w:r w:rsidRPr="006F0F27">
        <w:rPr>
          <w:rFonts w:ascii="Times New Roman" w:hAnsi="Times New Roman" w:cs="Times New Roman"/>
          <w:sz w:val="24"/>
          <w:szCs w:val="24"/>
          <w:lang w:val="en-GB"/>
        </w:rPr>
        <w:t>From the 2022-2023 academic year, students in the final year of Bachelor's degree courses in pedagogy without specialisation and related pedagogical studies, as well as professional pedagogical studies, who have signed a pre-employment contract with a municipality or school, will have the opportunity to receive a monthly grant.  By signing the contract, they commit themselves to work in a school for at least 3 years within a period of 5 years and at least 0.7 FTE.</w:t>
      </w:r>
    </w:p>
    <w:p w14:paraId="546D25FC"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05A375F6" w14:textId="77777777" w:rsidR="006F0F27" w:rsidRDefault="00866CA3" w:rsidP="006F0F27">
      <w:pPr>
        <w:pStyle w:val="ListParagraph"/>
        <w:numPr>
          <w:ilvl w:val="0"/>
          <w:numId w:val="12"/>
        </w:num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D</w:t>
      </w:r>
      <w:r w:rsidR="001B65BB" w:rsidRPr="006F0F27">
        <w:rPr>
          <w:rFonts w:ascii="Times New Roman" w:hAnsi="Times New Roman" w:cs="Times New Roman"/>
          <w:sz w:val="24"/>
          <w:szCs w:val="24"/>
          <w:lang w:val="en-GB"/>
        </w:rPr>
        <w:t xml:space="preserve">igital education transformation project EdTech </w:t>
      </w:r>
    </w:p>
    <w:p w14:paraId="3D2C7E4E"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06F09F9D" w14:textId="77777777" w:rsidR="006F0F27" w:rsidRDefault="00866CA3" w:rsidP="006F0F27">
      <w:pPr>
        <w:pStyle w:val="ListParagraph"/>
        <w:tabs>
          <w:tab w:val="left" w:pos="709"/>
        </w:tabs>
        <w:ind w:left="360"/>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 xml:space="preserve">The project was </w:t>
      </w:r>
      <w:r w:rsidR="001B65BB" w:rsidRPr="006F0F27">
        <w:rPr>
          <w:rFonts w:ascii="Times New Roman" w:hAnsi="Times New Roman" w:cs="Times New Roman"/>
          <w:sz w:val="24"/>
          <w:szCs w:val="24"/>
          <w:lang w:val="en-GB"/>
        </w:rPr>
        <w:t xml:space="preserve">launched </w:t>
      </w:r>
      <w:r w:rsidRPr="006F0F27">
        <w:rPr>
          <w:rFonts w:ascii="Times New Roman" w:hAnsi="Times New Roman" w:cs="Times New Roman"/>
          <w:sz w:val="24"/>
          <w:szCs w:val="24"/>
          <w:lang w:val="en-GB"/>
        </w:rPr>
        <w:t xml:space="preserve">In 2022 </w:t>
      </w:r>
      <w:r w:rsidR="001B65BB" w:rsidRPr="006F0F27">
        <w:rPr>
          <w:rFonts w:ascii="Times New Roman" w:hAnsi="Times New Roman" w:cs="Times New Roman"/>
          <w:sz w:val="24"/>
          <w:szCs w:val="24"/>
          <w:lang w:val="en-GB"/>
        </w:rPr>
        <w:t>with support from the Recovery and Resilience Facility (RFF). The project focuses on the creation of digital teaching tools, the improvement of digital skills and the digitisation of higher education modules.</w:t>
      </w:r>
    </w:p>
    <w:p w14:paraId="13FE3C31"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55AA9F28" w14:textId="77777777" w:rsidR="006F0F27" w:rsidRDefault="001B65BB" w:rsidP="006F0F27">
      <w:pPr>
        <w:pStyle w:val="ListParagraph"/>
        <w:tabs>
          <w:tab w:val="left" w:pos="709"/>
        </w:tabs>
        <w:ind w:left="360"/>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 xml:space="preserve">A key aspect of the project is to strengthen the digital literacy of educational staff by providing opportunities for educators to obtain a Master's degree in Computer Science or to acquire </w:t>
      </w:r>
      <w:r w:rsidRPr="006F0F27">
        <w:rPr>
          <w:rFonts w:ascii="Times New Roman" w:hAnsi="Times New Roman" w:cs="Times New Roman"/>
          <w:sz w:val="24"/>
          <w:szCs w:val="24"/>
          <w:lang w:val="en-GB"/>
        </w:rPr>
        <w:lastRenderedPageBreak/>
        <w:t>additional (computer science) skills. The project also aims to improve the digital skills of teachers and university lecturers.</w:t>
      </w:r>
    </w:p>
    <w:p w14:paraId="1ADE6059"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08DA5714" w14:textId="6022EB14" w:rsidR="002718E3" w:rsidRPr="006F0F27" w:rsidRDefault="001B65BB" w:rsidP="006F0F27">
      <w:pPr>
        <w:pStyle w:val="ListParagraph"/>
        <w:tabs>
          <w:tab w:val="left" w:pos="709"/>
        </w:tabs>
        <w:ind w:left="360"/>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EdTech's digital education transformation project is aiming at:</w:t>
      </w:r>
      <w:r w:rsidR="00EB150E" w:rsidRPr="006F0F27">
        <w:rPr>
          <w:rFonts w:ascii="Times New Roman" w:hAnsi="Times New Roman" w:cs="Times New Roman"/>
          <w:sz w:val="24"/>
          <w:szCs w:val="24"/>
          <w:lang w:val="en-GB"/>
        </w:rPr>
        <w:t xml:space="preserve"> p</w:t>
      </w:r>
      <w:r w:rsidRPr="006F0F27">
        <w:rPr>
          <w:rFonts w:ascii="Times New Roman" w:hAnsi="Times New Roman" w:cs="Times New Roman"/>
          <w:sz w:val="24"/>
          <w:szCs w:val="24"/>
          <w:lang w:val="en-GB"/>
        </w:rPr>
        <w:t>romoti</w:t>
      </w:r>
      <w:r w:rsidR="007A3055" w:rsidRPr="006F0F27">
        <w:rPr>
          <w:rFonts w:ascii="Times New Roman" w:hAnsi="Times New Roman" w:cs="Times New Roman"/>
          <w:sz w:val="24"/>
          <w:szCs w:val="24"/>
          <w:lang w:val="en-GB"/>
        </w:rPr>
        <w:t>ng</w:t>
      </w:r>
      <w:r w:rsidRPr="006F0F27">
        <w:rPr>
          <w:rFonts w:ascii="Times New Roman" w:hAnsi="Times New Roman" w:cs="Times New Roman"/>
          <w:sz w:val="24"/>
          <w:szCs w:val="24"/>
          <w:lang w:val="en-GB"/>
        </w:rPr>
        <w:t xml:space="preserve"> and implement</w:t>
      </w:r>
      <w:r w:rsidR="007A3055" w:rsidRPr="006F0F27">
        <w:rPr>
          <w:rFonts w:ascii="Times New Roman" w:hAnsi="Times New Roman" w:cs="Times New Roman"/>
          <w:sz w:val="24"/>
          <w:szCs w:val="24"/>
          <w:lang w:val="en-GB"/>
        </w:rPr>
        <w:t>ing</w:t>
      </w:r>
      <w:r w:rsidRPr="006F0F27">
        <w:rPr>
          <w:rFonts w:ascii="Times New Roman" w:hAnsi="Times New Roman" w:cs="Times New Roman"/>
          <w:sz w:val="24"/>
          <w:szCs w:val="24"/>
          <w:lang w:val="en-GB"/>
        </w:rPr>
        <w:t xml:space="preserve"> of the latest educational technologies in the education sector</w:t>
      </w:r>
      <w:r w:rsidR="007A3055" w:rsidRPr="006F0F27">
        <w:rPr>
          <w:rFonts w:ascii="Times New Roman" w:hAnsi="Times New Roman" w:cs="Times New Roman"/>
          <w:sz w:val="24"/>
          <w:szCs w:val="24"/>
          <w:lang w:val="en-GB"/>
        </w:rPr>
        <w:t>; i</w:t>
      </w:r>
      <w:r w:rsidRPr="006F0F27">
        <w:rPr>
          <w:rFonts w:ascii="Times New Roman" w:hAnsi="Times New Roman" w:cs="Times New Roman"/>
          <w:sz w:val="24"/>
          <w:szCs w:val="24"/>
          <w:lang w:val="en-GB"/>
        </w:rPr>
        <w:t>ncreasing the digital competencies of teachers and lecturers (2700 educators will enhance digital competence)</w:t>
      </w:r>
      <w:r w:rsidR="007A3055" w:rsidRPr="006F0F27">
        <w:rPr>
          <w:rFonts w:ascii="Times New Roman" w:hAnsi="Times New Roman" w:cs="Times New Roman"/>
          <w:sz w:val="24"/>
          <w:szCs w:val="24"/>
          <w:lang w:val="en-GB"/>
        </w:rPr>
        <w:t>; d</w:t>
      </w:r>
      <w:r w:rsidRPr="006F0F27">
        <w:rPr>
          <w:rFonts w:ascii="Times New Roman" w:hAnsi="Times New Roman" w:cs="Times New Roman"/>
          <w:sz w:val="24"/>
          <w:szCs w:val="24"/>
          <w:lang w:val="en-GB"/>
        </w:rPr>
        <w:t>evelopment of digital content and solutions for teaching (40% of curriculum content will be supported with digital learning resources.)</w:t>
      </w:r>
    </w:p>
    <w:p w14:paraId="2E977FE6" w14:textId="338E35EB" w:rsidR="00E76E7F" w:rsidRPr="006F0F27" w:rsidRDefault="002718E3" w:rsidP="006F0F27">
      <w:pPr>
        <w:jc w:val="both"/>
        <w:rPr>
          <w:rFonts w:ascii="Times New Roman" w:hAnsi="Times New Roman" w:cs="Times New Roman"/>
          <w:b/>
          <w:bCs/>
          <w:sz w:val="24"/>
          <w:szCs w:val="24"/>
          <w:lang w:val="en-GB"/>
        </w:rPr>
      </w:pPr>
      <w:r w:rsidRPr="006F0F27">
        <w:rPr>
          <w:rFonts w:ascii="Times New Roman" w:hAnsi="Times New Roman" w:cs="Times New Roman"/>
          <w:b/>
          <w:bCs/>
          <w:sz w:val="24"/>
          <w:szCs w:val="24"/>
          <w:lang w:val="en-GB"/>
        </w:rPr>
        <w:t xml:space="preserve">3) </w:t>
      </w:r>
      <w:r w:rsidR="00E76E7F" w:rsidRPr="006F0F27">
        <w:rPr>
          <w:rFonts w:ascii="Times New Roman" w:hAnsi="Times New Roman" w:cs="Times New Roman"/>
          <w:b/>
          <w:bCs/>
          <w:sz w:val="24"/>
          <w:szCs w:val="24"/>
          <w:lang w:val="en-GB"/>
        </w:rPr>
        <w:t xml:space="preserve">What steps is the Government taking to ensure that young people can realize their human rights online in a safe, empowering, and inclusive way? </w:t>
      </w:r>
    </w:p>
    <w:p w14:paraId="634F73BB" w14:textId="77777777" w:rsidR="005763DE" w:rsidRPr="006F0F27" w:rsidRDefault="009C6A7D" w:rsidP="006F0F27">
      <w:pPr>
        <w:spacing w:after="0" w:line="254" w:lineRule="auto"/>
        <w:jc w:val="both"/>
        <w:rPr>
          <w:rFonts w:ascii="Times New Roman" w:eastAsia="Times New Roman" w:hAnsi="Times New Roman" w:cs="Times New Roman"/>
          <w:color w:val="000000" w:themeColor="text1"/>
          <w:sz w:val="24"/>
          <w:szCs w:val="24"/>
          <w:lang w:val="en-GB" w:eastAsia="lt-LT"/>
        </w:rPr>
      </w:pPr>
      <w:r w:rsidRPr="006F0F27">
        <w:rPr>
          <w:rFonts w:ascii="Times New Roman" w:eastAsia="Times New Roman" w:hAnsi="Times New Roman" w:cs="Times New Roman"/>
          <w:color w:val="000000" w:themeColor="text1"/>
          <w:sz w:val="24"/>
          <w:szCs w:val="24"/>
          <w:lang w:val="en-GB" w:eastAsia="lt-LT"/>
        </w:rPr>
        <w:t xml:space="preserve">For the quality assurance provisions for digital education in schools there are prepared in 2022 September Guidelines for schools: </w:t>
      </w:r>
      <w:hyperlink r:id="rId8" w:history="1">
        <w:r w:rsidRPr="006F0F27">
          <w:rPr>
            <w:rStyle w:val="Hyperlink"/>
            <w:rFonts w:ascii="Times New Roman" w:eastAsia="Times New Roman" w:hAnsi="Times New Roman" w:cs="Times New Roman"/>
            <w:sz w:val="24"/>
            <w:szCs w:val="24"/>
            <w:lang w:val="en-GB" w:eastAsia="lt-LT"/>
          </w:rPr>
          <w:t>https://data.kurklt.lt/wp-content/uploads/2022/09/Skaitmeninio-svietimo-gaires-_-galutinis-2.pdf</w:t>
        </w:r>
      </w:hyperlink>
      <w:r w:rsidRPr="006F0F27">
        <w:rPr>
          <w:rFonts w:ascii="Times New Roman" w:eastAsia="Times New Roman" w:hAnsi="Times New Roman" w:cs="Times New Roman"/>
          <w:color w:val="000000" w:themeColor="text1"/>
          <w:sz w:val="24"/>
          <w:szCs w:val="24"/>
          <w:lang w:val="en-GB" w:eastAsia="lt-LT"/>
        </w:rPr>
        <w:t xml:space="preserve"> </w:t>
      </w:r>
    </w:p>
    <w:p w14:paraId="0CE0977A" w14:textId="77777777" w:rsidR="00D82D13" w:rsidRPr="006F0F27" w:rsidRDefault="00D82D13" w:rsidP="006F0F27">
      <w:pPr>
        <w:spacing w:after="0" w:line="254" w:lineRule="auto"/>
        <w:jc w:val="both"/>
        <w:rPr>
          <w:rFonts w:ascii="Times New Roman" w:hAnsi="Times New Roman" w:cs="Times New Roman"/>
          <w:caps/>
          <w:color w:val="000000"/>
          <w:sz w:val="24"/>
          <w:szCs w:val="24"/>
          <w:lang w:val="en-GB"/>
        </w:rPr>
      </w:pPr>
      <w:r w:rsidRPr="006F0F27">
        <w:rPr>
          <w:rFonts w:ascii="Times New Roman" w:hAnsi="Times New Roman" w:cs="Times New Roman"/>
          <w:caps/>
          <w:color w:val="000000"/>
          <w:sz w:val="24"/>
          <w:szCs w:val="24"/>
          <w:lang w:val="en-GB"/>
        </w:rPr>
        <w:t>ON THE ADOPTION OF A PROCEDURE FOR THE CONTROL OF SENSITIVE INFORMATION FOR PUBLIC USE ON COMPUTER NETWORKS AND THE DISSEMINATION OF RESTRICTED PUBLIC INFORMATION</w:t>
      </w:r>
    </w:p>
    <w:p w14:paraId="75213F69" w14:textId="2A1FC589" w:rsidR="00E76E7F" w:rsidRDefault="00476534" w:rsidP="006F0F27">
      <w:pPr>
        <w:spacing w:after="0" w:line="254" w:lineRule="auto"/>
        <w:jc w:val="both"/>
        <w:rPr>
          <w:rFonts w:ascii="Times New Roman" w:eastAsia="Times New Roman" w:hAnsi="Times New Roman" w:cs="Times New Roman"/>
          <w:color w:val="000000" w:themeColor="text1"/>
          <w:sz w:val="24"/>
          <w:szCs w:val="24"/>
          <w:lang w:val="en-GB" w:eastAsia="lt-LT"/>
        </w:rPr>
      </w:pPr>
      <w:hyperlink r:id="rId9" w:history="1">
        <w:r w:rsidR="005763DE" w:rsidRPr="006F0F27">
          <w:rPr>
            <w:rStyle w:val="Hyperlink"/>
            <w:rFonts w:ascii="Times New Roman" w:eastAsia="Times New Roman" w:hAnsi="Times New Roman" w:cs="Times New Roman"/>
            <w:sz w:val="24"/>
            <w:szCs w:val="24"/>
            <w:lang w:val="en-GB" w:eastAsia="lt-LT"/>
          </w:rPr>
          <w:t>https://www.e-tar.lt/portal/lt/legalAct/TAR.B4A3ED74063A/asr</w:t>
        </w:r>
      </w:hyperlink>
    </w:p>
    <w:p w14:paraId="698C44B1" w14:textId="77777777" w:rsidR="00461746" w:rsidRDefault="00461746" w:rsidP="006F0F27">
      <w:pPr>
        <w:spacing w:after="0" w:line="254" w:lineRule="auto"/>
        <w:jc w:val="both"/>
        <w:rPr>
          <w:rFonts w:ascii="Times New Roman" w:eastAsia="Times New Roman" w:hAnsi="Times New Roman" w:cs="Times New Roman"/>
          <w:color w:val="000000" w:themeColor="text1"/>
          <w:sz w:val="24"/>
          <w:szCs w:val="24"/>
          <w:lang w:val="en-GB" w:eastAsia="lt-LT"/>
        </w:rPr>
      </w:pPr>
    </w:p>
    <w:p w14:paraId="3BAF6B6B" w14:textId="2E4854D0" w:rsidR="00461746" w:rsidRPr="00461746" w:rsidRDefault="00461746" w:rsidP="00461746">
      <w:pPr>
        <w:spacing w:after="0" w:line="254" w:lineRule="auto"/>
        <w:jc w:val="both"/>
        <w:rPr>
          <w:rFonts w:ascii="Times New Roman" w:eastAsia="Times New Roman" w:hAnsi="Times New Roman" w:cs="Times New Roman"/>
          <w:color w:val="000000" w:themeColor="text1"/>
          <w:sz w:val="24"/>
          <w:szCs w:val="24"/>
          <w:lang w:val="en-GB" w:eastAsia="lt-LT"/>
        </w:rPr>
      </w:pPr>
      <w:r>
        <w:rPr>
          <w:rFonts w:ascii="Times New Roman" w:eastAsia="Times New Roman" w:hAnsi="Times New Roman" w:cs="Times New Roman"/>
          <w:color w:val="000000" w:themeColor="text1"/>
          <w:sz w:val="24"/>
          <w:szCs w:val="24"/>
          <w:lang w:val="en-GB" w:eastAsia="lt-LT"/>
        </w:rPr>
        <w:t>Whereas to protect human rights, d</w:t>
      </w:r>
      <w:r w:rsidRPr="00461746">
        <w:rPr>
          <w:rFonts w:ascii="Times New Roman" w:eastAsia="Times New Roman" w:hAnsi="Times New Roman" w:cs="Times New Roman"/>
          <w:color w:val="000000" w:themeColor="text1"/>
          <w:sz w:val="24"/>
          <w:szCs w:val="24"/>
          <w:lang w:val="en-GB" w:eastAsia="lt-LT"/>
        </w:rPr>
        <w:t>igital technologies in courts play an important role in Lithuania’s legal system by improving the accessibility to the justice system. It contributes to legal empowerment and ensures the possibility of promptly defending violated rights and freedoms while incurring less litigation costs.</w:t>
      </w:r>
      <w:r>
        <w:rPr>
          <w:rFonts w:ascii="Times New Roman" w:eastAsia="Times New Roman" w:hAnsi="Times New Roman" w:cs="Times New Roman"/>
          <w:color w:val="000000" w:themeColor="text1"/>
          <w:sz w:val="24"/>
          <w:szCs w:val="24"/>
          <w:lang w:val="en-GB" w:eastAsia="lt-LT"/>
        </w:rPr>
        <w:t xml:space="preserve"> </w:t>
      </w:r>
      <w:r w:rsidRPr="00461746">
        <w:rPr>
          <w:rFonts w:ascii="Times New Roman" w:eastAsia="Times New Roman" w:hAnsi="Times New Roman" w:cs="Times New Roman"/>
          <w:color w:val="000000" w:themeColor="text1"/>
          <w:sz w:val="24"/>
          <w:szCs w:val="24"/>
          <w:lang w:val="en-GB" w:eastAsia="lt-LT"/>
        </w:rPr>
        <w:t>In Lithuania, there is an option to submit procedural documents and follow the progress of the case on the E-Service portal of Lithuanian Courts. By using this portal, a party of the proceedings can get acquainted with the trial and material, deliver the court procedural documents, and confirm the court fee payments. Access to the portal allows to:</w:t>
      </w:r>
    </w:p>
    <w:p w14:paraId="31E3191B" w14:textId="77777777" w:rsidR="0020378E" w:rsidRDefault="00461746" w:rsidP="00461746">
      <w:pPr>
        <w:pStyle w:val="ListParagraph"/>
        <w:numPr>
          <w:ilvl w:val="0"/>
          <w:numId w:val="15"/>
        </w:numPr>
        <w:spacing w:after="0" w:line="254" w:lineRule="auto"/>
        <w:jc w:val="both"/>
        <w:rPr>
          <w:rFonts w:ascii="Times New Roman" w:eastAsia="Times New Roman" w:hAnsi="Times New Roman" w:cs="Times New Roman"/>
          <w:color w:val="000000" w:themeColor="text1"/>
          <w:sz w:val="24"/>
          <w:szCs w:val="24"/>
          <w:lang w:val="en-GB" w:eastAsia="lt-LT"/>
        </w:rPr>
      </w:pPr>
      <w:r w:rsidRPr="0020378E">
        <w:rPr>
          <w:rFonts w:ascii="Times New Roman" w:eastAsia="Times New Roman" w:hAnsi="Times New Roman" w:cs="Times New Roman"/>
          <w:color w:val="000000" w:themeColor="text1"/>
          <w:sz w:val="24"/>
          <w:szCs w:val="24"/>
          <w:lang w:val="en-GB" w:eastAsia="lt-LT"/>
        </w:rPr>
        <w:t>listen to the audio records of the court hearings;</w:t>
      </w:r>
    </w:p>
    <w:p w14:paraId="53DE70D1" w14:textId="77777777" w:rsidR="0020378E" w:rsidRDefault="00461746" w:rsidP="00461746">
      <w:pPr>
        <w:pStyle w:val="ListParagraph"/>
        <w:numPr>
          <w:ilvl w:val="0"/>
          <w:numId w:val="15"/>
        </w:numPr>
        <w:spacing w:after="0" w:line="254" w:lineRule="auto"/>
        <w:jc w:val="both"/>
        <w:rPr>
          <w:rFonts w:ascii="Times New Roman" w:eastAsia="Times New Roman" w:hAnsi="Times New Roman" w:cs="Times New Roman"/>
          <w:color w:val="000000" w:themeColor="text1"/>
          <w:sz w:val="24"/>
          <w:szCs w:val="24"/>
          <w:lang w:val="en-GB" w:eastAsia="lt-LT"/>
        </w:rPr>
      </w:pPr>
      <w:r w:rsidRPr="0020378E">
        <w:rPr>
          <w:rFonts w:ascii="Times New Roman" w:eastAsia="Times New Roman" w:hAnsi="Times New Roman" w:cs="Times New Roman"/>
          <w:color w:val="000000" w:themeColor="text1"/>
          <w:sz w:val="24"/>
          <w:szCs w:val="24"/>
          <w:lang w:val="en-GB" w:eastAsia="lt-LT"/>
        </w:rPr>
        <w:t>familiarize with the court processes;</w:t>
      </w:r>
    </w:p>
    <w:p w14:paraId="40A343F3" w14:textId="77777777" w:rsidR="0020378E" w:rsidRDefault="00461746" w:rsidP="00461746">
      <w:pPr>
        <w:pStyle w:val="ListParagraph"/>
        <w:numPr>
          <w:ilvl w:val="0"/>
          <w:numId w:val="15"/>
        </w:numPr>
        <w:spacing w:after="0" w:line="254" w:lineRule="auto"/>
        <w:jc w:val="both"/>
        <w:rPr>
          <w:rFonts w:ascii="Times New Roman" w:eastAsia="Times New Roman" w:hAnsi="Times New Roman" w:cs="Times New Roman"/>
          <w:color w:val="000000" w:themeColor="text1"/>
          <w:sz w:val="24"/>
          <w:szCs w:val="24"/>
          <w:lang w:val="en-GB" w:eastAsia="lt-LT"/>
        </w:rPr>
      </w:pPr>
      <w:r w:rsidRPr="0020378E">
        <w:rPr>
          <w:rFonts w:ascii="Times New Roman" w:eastAsia="Times New Roman" w:hAnsi="Times New Roman" w:cs="Times New Roman"/>
          <w:color w:val="000000" w:themeColor="text1"/>
          <w:sz w:val="24"/>
          <w:szCs w:val="24"/>
          <w:lang w:val="en-GB" w:eastAsia="lt-LT"/>
        </w:rPr>
        <w:t>form and deliver the procedural documents to the court;</w:t>
      </w:r>
    </w:p>
    <w:p w14:paraId="408577E4" w14:textId="77777777" w:rsidR="0020378E" w:rsidRDefault="00461746" w:rsidP="0020378E">
      <w:pPr>
        <w:pStyle w:val="ListParagraph"/>
        <w:numPr>
          <w:ilvl w:val="0"/>
          <w:numId w:val="15"/>
        </w:numPr>
        <w:spacing w:after="0" w:line="254" w:lineRule="auto"/>
        <w:jc w:val="both"/>
        <w:rPr>
          <w:rFonts w:ascii="Times New Roman" w:eastAsia="Times New Roman" w:hAnsi="Times New Roman" w:cs="Times New Roman"/>
          <w:color w:val="000000" w:themeColor="text1"/>
          <w:sz w:val="24"/>
          <w:szCs w:val="24"/>
          <w:lang w:val="en-GB" w:eastAsia="lt-LT"/>
        </w:rPr>
      </w:pPr>
      <w:r w:rsidRPr="0020378E">
        <w:rPr>
          <w:rFonts w:ascii="Times New Roman" w:eastAsia="Times New Roman" w:hAnsi="Times New Roman" w:cs="Times New Roman"/>
          <w:color w:val="000000" w:themeColor="text1"/>
          <w:sz w:val="24"/>
          <w:szCs w:val="24"/>
          <w:lang w:val="en-GB" w:eastAsia="lt-LT"/>
        </w:rPr>
        <w:t>fill in the documents according to the prepared forms;</w:t>
      </w:r>
    </w:p>
    <w:p w14:paraId="7586CD20" w14:textId="77777777" w:rsidR="0020378E" w:rsidRDefault="00461746" w:rsidP="00461746">
      <w:pPr>
        <w:pStyle w:val="ListParagraph"/>
        <w:numPr>
          <w:ilvl w:val="0"/>
          <w:numId w:val="15"/>
        </w:numPr>
        <w:spacing w:after="0" w:line="254" w:lineRule="auto"/>
        <w:jc w:val="both"/>
        <w:rPr>
          <w:rFonts w:ascii="Times New Roman" w:eastAsia="Times New Roman" w:hAnsi="Times New Roman" w:cs="Times New Roman"/>
          <w:color w:val="000000" w:themeColor="text1"/>
          <w:sz w:val="24"/>
          <w:szCs w:val="24"/>
          <w:lang w:val="en-GB" w:eastAsia="lt-LT"/>
        </w:rPr>
      </w:pPr>
      <w:r w:rsidRPr="0020378E">
        <w:rPr>
          <w:rFonts w:ascii="Times New Roman" w:eastAsia="Times New Roman" w:hAnsi="Times New Roman" w:cs="Times New Roman"/>
          <w:color w:val="000000" w:themeColor="text1"/>
          <w:sz w:val="24"/>
          <w:szCs w:val="24"/>
          <w:lang w:val="en-GB" w:eastAsia="lt-LT"/>
        </w:rPr>
        <w:t>receive notices about: the admission of the documents, the discovered errors, and the hearings of the case;</w:t>
      </w:r>
    </w:p>
    <w:p w14:paraId="322E5D17" w14:textId="09FE22B9" w:rsidR="00461746" w:rsidRPr="0020378E" w:rsidRDefault="00461746" w:rsidP="00461746">
      <w:pPr>
        <w:pStyle w:val="ListParagraph"/>
        <w:numPr>
          <w:ilvl w:val="0"/>
          <w:numId w:val="15"/>
        </w:numPr>
        <w:spacing w:after="0" w:line="254" w:lineRule="auto"/>
        <w:jc w:val="both"/>
        <w:rPr>
          <w:rFonts w:ascii="Times New Roman" w:eastAsia="Times New Roman" w:hAnsi="Times New Roman" w:cs="Times New Roman"/>
          <w:color w:val="000000" w:themeColor="text1"/>
          <w:sz w:val="24"/>
          <w:szCs w:val="24"/>
          <w:lang w:val="en-GB" w:eastAsia="lt-LT"/>
        </w:rPr>
      </w:pPr>
      <w:r w:rsidRPr="0020378E">
        <w:rPr>
          <w:rFonts w:ascii="Times New Roman" w:eastAsia="Times New Roman" w:hAnsi="Times New Roman" w:cs="Times New Roman"/>
          <w:color w:val="000000" w:themeColor="text1"/>
          <w:sz w:val="24"/>
          <w:szCs w:val="24"/>
          <w:lang w:val="en-GB" w:eastAsia="lt-LT"/>
        </w:rPr>
        <w:t>pay for the services of the court and etc.</w:t>
      </w:r>
    </w:p>
    <w:p w14:paraId="6A0AF895" w14:textId="77777777" w:rsidR="00461746" w:rsidRPr="00461746" w:rsidRDefault="00461746" w:rsidP="00461746">
      <w:pPr>
        <w:spacing w:after="0" w:line="254" w:lineRule="auto"/>
        <w:jc w:val="both"/>
        <w:rPr>
          <w:rFonts w:ascii="Times New Roman" w:eastAsia="Times New Roman" w:hAnsi="Times New Roman" w:cs="Times New Roman"/>
          <w:color w:val="000000" w:themeColor="text1"/>
          <w:sz w:val="24"/>
          <w:szCs w:val="24"/>
          <w:lang w:val="en-GB" w:eastAsia="lt-LT"/>
        </w:rPr>
      </w:pPr>
    </w:p>
    <w:p w14:paraId="37B5FA72" w14:textId="77777777" w:rsidR="00461746" w:rsidRDefault="00461746" w:rsidP="00461746">
      <w:pPr>
        <w:spacing w:after="0" w:line="254" w:lineRule="auto"/>
        <w:jc w:val="both"/>
        <w:rPr>
          <w:rFonts w:ascii="Times New Roman" w:eastAsia="Times New Roman" w:hAnsi="Times New Roman" w:cs="Times New Roman"/>
          <w:color w:val="000000" w:themeColor="text1"/>
          <w:sz w:val="24"/>
          <w:szCs w:val="24"/>
          <w:lang w:val="en-GB" w:eastAsia="lt-LT"/>
        </w:rPr>
      </w:pPr>
      <w:r w:rsidRPr="00461746">
        <w:rPr>
          <w:rFonts w:ascii="Times New Roman" w:eastAsia="Times New Roman" w:hAnsi="Times New Roman" w:cs="Times New Roman"/>
          <w:color w:val="000000" w:themeColor="text1"/>
          <w:sz w:val="24"/>
          <w:szCs w:val="24"/>
          <w:lang w:val="en-GB" w:eastAsia="lt-LT"/>
        </w:rPr>
        <w:t>Thus, the E-Service portal of Lithuanian Courts improves access to justice as all documents can be submitted to the court promptly. There is no need to bring documents to the court physically, which is especially important when a case is of large volume or in situations when the party does not have the opportunity to come to the court physically. In addition, Lithuania’s procedural rules stipulate that when documents are submitted to the court only by means of electronic communication and when a person expresses that he/she wants to receive procedural documents only by means of electronic communication, 75 percent of the amount of the stamp duty payable for the relevant procedural document is paid.</w:t>
      </w:r>
    </w:p>
    <w:p w14:paraId="155E959F" w14:textId="77777777" w:rsidR="00461746" w:rsidRPr="00461746" w:rsidRDefault="00461746" w:rsidP="00461746">
      <w:pPr>
        <w:spacing w:after="0" w:line="254" w:lineRule="auto"/>
        <w:jc w:val="both"/>
        <w:rPr>
          <w:rFonts w:ascii="Times New Roman" w:eastAsia="Times New Roman" w:hAnsi="Times New Roman" w:cs="Times New Roman"/>
          <w:color w:val="000000" w:themeColor="text1"/>
          <w:sz w:val="24"/>
          <w:szCs w:val="24"/>
          <w:lang w:val="en-GB" w:eastAsia="lt-LT"/>
        </w:rPr>
      </w:pPr>
    </w:p>
    <w:p w14:paraId="5B55BF01" w14:textId="77777777" w:rsidR="00461746" w:rsidRPr="00461746" w:rsidRDefault="00461746" w:rsidP="00461746">
      <w:pPr>
        <w:spacing w:after="0" w:line="254" w:lineRule="auto"/>
        <w:jc w:val="both"/>
        <w:rPr>
          <w:rFonts w:ascii="Times New Roman" w:eastAsia="Times New Roman" w:hAnsi="Times New Roman" w:cs="Times New Roman"/>
          <w:color w:val="000000" w:themeColor="text1"/>
          <w:sz w:val="24"/>
          <w:szCs w:val="24"/>
          <w:lang w:val="en-GB" w:eastAsia="lt-LT"/>
        </w:rPr>
      </w:pPr>
      <w:r w:rsidRPr="00461746">
        <w:rPr>
          <w:rFonts w:ascii="Times New Roman" w:eastAsia="Times New Roman" w:hAnsi="Times New Roman" w:cs="Times New Roman"/>
          <w:color w:val="000000" w:themeColor="text1"/>
          <w:sz w:val="24"/>
          <w:szCs w:val="24"/>
          <w:lang w:val="en-GB" w:eastAsia="lt-LT"/>
        </w:rPr>
        <w:t xml:space="preserve">There is also a possibility to organize remote court hearings in Lithuania which allows a party to attend the court hearing from any corner of the world. Statistical data shows that the use of video and teleconferences for organizing distant court hearings in Lithuania is growing. </w:t>
      </w:r>
    </w:p>
    <w:p w14:paraId="1D7B2916" w14:textId="77777777" w:rsidR="0020378E" w:rsidRDefault="00461746" w:rsidP="0020378E">
      <w:pPr>
        <w:spacing w:after="0" w:line="254" w:lineRule="auto"/>
        <w:jc w:val="both"/>
        <w:rPr>
          <w:rFonts w:ascii="Times New Roman" w:eastAsia="Times New Roman" w:hAnsi="Times New Roman" w:cs="Times New Roman"/>
          <w:color w:val="000000" w:themeColor="text1"/>
          <w:sz w:val="24"/>
          <w:szCs w:val="24"/>
          <w:lang w:val="en-GB" w:eastAsia="lt-LT"/>
        </w:rPr>
      </w:pPr>
      <w:r w:rsidRPr="00461746">
        <w:rPr>
          <w:rFonts w:ascii="Times New Roman" w:eastAsia="Times New Roman" w:hAnsi="Times New Roman" w:cs="Times New Roman"/>
          <w:color w:val="000000" w:themeColor="text1"/>
          <w:sz w:val="24"/>
          <w:szCs w:val="24"/>
          <w:lang w:val="en-GB" w:eastAsia="lt-LT"/>
        </w:rPr>
        <w:t xml:space="preserve">In order to ensure better quality representation before of children in justice system, amendments to the Law on the State-Guaranteed Legal Aid were adopted in 2023 and came into force on 1 January 2024. The aim of these amendments are: </w:t>
      </w:r>
    </w:p>
    <w:p w14:paraId="7F6CEAC7" w14:textId="77777777" w:rsidR="0020378E" w:rsidRDefault="00461746" w:rsidP="0020378E">
      <w:pPr>
        <w:pStyle w:val="ListParagraph"/>
        <w:numPr>
          <w:ilvl w:val="0"/>
          <w:numId w:val="16"/>
        </w:numPr>
        <w:spacing w:after="0" w:line="254" w:lineRule="auto"/>
        <w:jc w:val="both"/>
        <w:rPr>
          <w:rFonts w:ascii="Times New Roman" w:eastAsia="Times New Roman" w:hAnsi="Times New Roman" w:cs="Times New Roman"/>
          <w:color w:val="000000" w:themeColor="text1"/>
          <w:sz w:val="24"/>
          <w:szCs w:val="24"/>
          <w:lang w:val="en-GB" w:eastAsia="lt-LT"/>
        </w:rPr>
      </w:pPr>
      <w:r w:rsidRPr="0020378E">
        <w:rPr>
          <w:rFonts w:ascii="Times New Roman" w:eastAsia="Times New Roman" w:hAnsi="Times New Roman" w:cs="Times New Roman"/>
          <w:color w:val="000000" w:themeColor="text1"/>
          <w:sz w:val="24"/>
          <w:szCs w:val="24"/>
          <w:lang w:val="en-GB" w:eastAsia="lt-LT"/>
        </w:rPr>
        <w:t>to promote the specialization of lawyers by offering special comprehensive training for lawyers providing state-guaranteed legal aid in sensitive cases (e.g., related to minors). The training will start first quarter of 2024;</w:t>
      </w:r>
    </w:p>
    <w:p w14:paraId="52178C2B" w14:textId="77777777" w:rsidR="0020378E" w:rsidRDefault="00461746" w:rsidP="00461746">
      <w:pPr>
        <w:pStyle w:val="ListParagraph"/>
        <w:numPr>
          <w:ilvl w:val="0"/>
          <w:numId w:val="16"/>
        </w:numPr>
        <w:spacing w:after="0" w:line="254" w:lineRule="auto"/>
        <w:jc w:val="both"/>
        <w:rPr>
          <w:rFonts w:ascii="Times New Roman" w:eastAsia="Times New Roman" w:hAnsi="Times New Roman" w:cs="Times New Roman"/>
          <w:color w:val="000000" w:themeColor="text1"/>
          <w:sz w:val="24"/>
          <w:szCs w:val="24"/>
          <w:lang w:val="en-GB" w:eastAsia="lt-LT"/>
        </w:rPr>
      </w:pPr>
      <w:r w:rsidRPr="0020378E">
        <w:rPr>
          <w:rFonts w:ascii="Times New Roman" w:eastAsia="Times New Roman" w:hAnsi="Times New Roman" w:cs="Times New Roman"/>
          <w:color w:val="000000" w:themeColor="text1"/>
          <w:sz w:val="24"/>
          <w:szCs w:val="24"/>
          <w:lang w:val="en-GB" w:eastAsia="lt-LT"/>
        </w:rPr>
        <w:t>to provide a more active role for the Lithuanian Bar Association, which will prepare practical recommendations for lawyers regarding the effective provision of legal aid in specific cases;</w:t>
      </w:r>
    </w:p>
    <w:p w14:paraId="7CDB1961" w14:textId="21479478" w:rsidR="00461746" w:rsidRPr="0020378E" w:rsidRDefault="00461746" w:rsidP="00461746">
      <w:pPr>
        <w:pStyle w:val="ListParagraph"/>
        <w:numPr>
          <w:ilvl w:val="0"/>
          <w:numId w:val="16"/>
        </w:numPr>
        <w:spacing w:after="0" w:line="254" w:lineRule="auto"/>
        <w:jc w:val="both"/>
        <w:rPr>
          <w:rFonts w:ascii="Times New Roman" w:eastAsia="Times New Roman" w:hAnsi="Times New Roman" w:cs="Times New Roman"/>
          <w:color w:val="000000" w:themeColor="text1"/>
          <w:sz w:val="24"/>
          <w:szCs w:val="24"/>
          <w:lang w:val="en-GB" w:eastAsia="lt-LT"/>
        </w:rPr>
      </w:pPr>
      <w:r w:rsidRPr="0020378E">
        <w:rPr>
          <w:rFonts w:ascii="Times New Roman" w:eastAsia="Times New Roman" w:hAnsi="Times New Roman" w:cs="Times New Roman"/>
          <w:color w:val="000000" w:themeColor="text1"/>
          <w:sz w:val="24"/>
          <w:szCs w:val="24"/>
          <w:lang w:val="en-GB" w:eastAsia="lt-LT"/>
        </w:rPr>
        <w:t>to improve the supervision of provided services.</w:t>
      </w:r>
    </w:p>
    <w:p w14:paraId="13DE6BE5" w14:textId="77777777" w:rsidR="006F0F27" w:rsidRPr="006F0F27" w:rsidRDefault="006F0F27" w:rsidP="006F0F27">
      <w:pPr>
        <w:spacing w:after="0" w:line="254" w:lineRule="auto"/>
        <w:jc w:val="both"/>
        <w:rPr>
          <w:rFonts w:ascii="Times New Roman" w:eastAsia="Times New Roman" w:hAnsi="Times New Roman" w:cs="Times New Roman"/>
          <w:color w:val="000000" w:themeColor="text1"/>
          <w:sz w:val="24"/>
          <w:szCs w:val="24"/>
          <w:lang w:val="en-GB" w:eastAsia="lt-LT"/>
        </w:rPr>
      </w:pPr>
    </w:p>
    <w:p w14:paraId="794AD799" w14:textId="1648779B" w:rsidR="00156A33" w:rsidRDefault="00E76E7F" w:rsidP="006F0F27">
      <w:pPr>
        <w:jc w:val="both"/>
        <w:rPr>
          <w:rFonts w:ascii="Times New Roman" w:hAnsi="Times New Roman" w:cs="Times New Roman"/>
          <w:b/>
          <w:bCs/>
          <w:sz w:val="24"/>
          <w:szCs w:val="24"/>
          <w:lang w:val="en-GB"/>
        </w:rPr>
      </w:pPr>
      <w:r w:rsidRPr="006F0F27">
        <w:rPr>
          <w:rFonts w:ascii="Times New Roman" w:hAnsi="Times New Roman" w:cs="Times New Roman"/>
          <w:b/>
          <w:bCs/>
          <w:sz w:val="24"/>
          <w:szCs w:val="24"/>
          <w:lang w:val="en-GB"/>
        </w:rPr>
        <w:t xml:space="preserve"> 5) What steps is the Government taking to ensure that young people are protected from online threats? Please provide examples of specific laws and regulations, measures, policies, and programmes.</w:t>
      </w:r>
    </w:p>
    <w:p w14:paraId="37D6B7DE" w14:textId="2F686B57" w:rsidR="00461746" w:rsidRDefault="00461746" w:rsidP="00461746">
      <w:pPr>
        <w:tabs>
          <w:tab w:val="left" w:pos="709"/>
        </w:tabs>
        <w:jc w:val="both"/>
        <w:rPr>
          <w:rFonts w:ascii="Times New Roman" w:hAnsi="Times New Roman" w:cs="Times New Roman"/>
          <w:sz w:val="24"/>
          <w:szCs w:val="24"/>
          <w:lang w:val="en-GB"/>
        </w:rPr>
      </w:pPr>
      <w:r w:rsidRPr="00461746">
        <w:rPr>
          <w:rFonts w:ascii="Times New Roman" w:hAnsi="Times New Roman" w:cs="Times New Roman"/>
          <w:sz w:val="24"/>
          <w:szCs w:val="24"/>
          <w:lang w:val="en-GB"/>
        </w:rPr>
        <w:t>The most relevant legal act regulating the protection of minors in this area is the Law on the Protection of Minors against Negative Effects of Public Information, which sets out the general criteria for public information negatively affecting minors. Article 4 of this law defines the concept of information that negatively affects minors: public information that may be harmful to the mental or physical health, physical, mental, spiritual, or moral development of minors. In addition, Article 7(4) of this law establishes the imperative for internet service providers to ensure the installation and operation of filtering measures for harmful internet content. However, ensuring a safe online space is complicated by the lack of a legal definition of „online threats to minors“.</w:t>
      </w:r>
    </w:p>
    <w:p w14:paraId="0B70DA04" w14:textId="4CA74F17" w:rsidR="00461746" w:rsidRPr="00461746" w:rsidRDefault="00461746" w:rsidP="00461746">
      <w:pPr>
        <w:tabs>
          <w:tab w:val="left" w:pos="709"/>
        </w:tabs>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for the programmes, </w:t>
      </w:r>
      <w:r w:rsidRPr="00461746">
        <w:rPr>
          <w:rFonts w:ascii="Times New Roman" w:hAnsi="Times New Roman" w:cs="Times New Roman"/>
          <w:sz w:val="24"/>
          <w:szCs w:val="24"/>
          <w:lang w:val="en-GB"/>
        </w:rPr>
        <w:t xml:space="preserve">In the 2023 calendar of general prevention activities that must be implemented by officers of the Lithuanian police community, approved by the </w:t>
      </w:r>
      <w:r w:rsidR="0020378E">
        <w:rPr>
          <w:rFonts w:ascii="Times New Roman" w:hAnsi="Times New Roman" w:cs="Times New Roman"/>
          <w:sz w:val="24"/>
          <w:szCs w:val="24"/>
          <w:lang w:val="en-GB"/>
        </w:rPr>
        <w:t xml:space="preserve">17 February </w:t>
      </w:r>
      <w:r w:rsidR="0020378E" w:rsidRPr="00461746">
        <w:rPr>
          <w:rFonts w:ascii="Times New Roman" w:hAnsi="Times New Roman" w:cs="Times New Roman"/>
          <w:sz w:val="24"/>
          <w:szCs w:val="24"/>
          <w:lang w:val="en-GB"/>
        </w:rPr>
        <w:t>2023</w:t>
      </w:r>
      <w:r w:rsidR="0020378E">
        <w:rPr>
          <w:rFonts w:ascii="Times New Roman" w:hAnsi="Times New Roman" w:cs="Times New Roman"/>
          <w:sz w:val="24"/>
          <w:szCs w:val="24"/>
          <w:lang w:val="en-GB"/>
        </w:rPr>
        <w:t xml:space="preserve"> </w:t>
      </w:r>
      <w:r w:rsidRPr="00461746">
        <w:rPr>
          <w:rFonts w:ascii="Times New Roman" w:hAnsi="Times New Roman" w:cs="Times New Roman"/>
          <w:sz w:val="24"/>
          <w:szCs w:val="24"/>
          <w:lang w:val="en-GB"/>
        </w:rPr>
        <w:t>order</w:t>
      </w:r>
      <w:r>
        <w:rPr>
          <w:rFonts w:ascii="Times New Roman" w:hAnsi="Times New Roman" w:cs="Times New Roman"/>
          <w:sz w:val="24"/>
          <w:szCs w:val="24"/>
          <w:lang w:val="en-GB"/>
        </w:rPr>
        <w:t xml:space="preserve"> </w:t>
      </w:r>
      <w:r w:rsidRPr="00461746">
        <w:rPr>
          <w:rFonts w:ascii="Times New Roman" w:hAnsi="Times New Roman" w:cs="Times New Roman"/>
          <w:sz w:val="24"/>
          <w:szCs w:val="24"/>
          <w:lang w:val="en-GB"/>
        </w:rPr>
        <w:t>No. 5-V-152 of</w:t>
      </w:r>
      <w:r>
        <w:rPr>
          <w:rFonts w:ascii="Times New Roman" w:hAnsi="Times New Roman" w:cs="Times New Roman"/>
          <w:sz w:val="24"/>
          <w:szCs w:val="24"/>
          <w:lang w:val="en-GB"/>
        </w:rPr>
        <w:t xml:space="preserve"> </w:t>
      </w:r>
      <w:r w:rsidRPr="00461746">
        <w:rPr>
          <w:rFonts w:ascii="Times New Roman" w:hAnsi="Times New Roman" w:cs="Times New Roman"/>
          <w:sz w:val="24"/>
          <w:szCs w:val="24"/>
          <w:lang w:val="en-GB"/>
        </w:rPr>
        <w:t>the Lithuanian Commissioner General of Police, community officials are scheduled to organize lectures for minors titled "Internet culture. Prevention of bullying in the electronic space". 889 such lectures were given in 2023.</w:t>
      </w:r>
      <w:r w:rsidR="0020378E">
        <w:rPr>
          <w:rFonts w:ascii="Times New Roman" w:hAnsi="Times New Roman" w:cs="Times New Roman"/>
          <w:sz w:val="24"/>
          <w:szCs w:val="24"/>
          <w:lang w:val="en-GB"/>
        </w:rPr>
        <w:t xml:space="preserve"> </w:t>
      </w:r>
      <w:r w:rsidRPr="00461746">
        <w:rPr>
          <w:rFonts w:ascii="Times New Roman" w:hAnsi="Times New Roman" w:cs="Times New Roman"/>
          <w:sz w:val="24"/>
          <w:szCs w:val="24"/>
          <w:lang w:val="en-GB"/>
        </w:rPr>
        <w:t>The mentioned calendar also includes another measure - a lecture for minors entitled "Prevention of Hate Crimes", which talks about what hate crimes are, what the responsibility is, and also emphasizes that hate crimes committed online have the same consequences as in real life. 152 such lectures were given in 2023.</w:t>
      </w:r>
    </w:p>
    <w:p w14:paraId="0ECC905E" w14:textId="7868CFEB" w:rsidR="00E3714A" w:rsidRPr="006F0F27" w:rsidRDefault="008F320F" w:rsidP="006F0F27">
      <w:p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For the past 10 years Lithuania has implemented EK Safer Internet programme that was started in Lithuania in 2005. Since July 2012 Safer Internet consortium in Lithuania increased its activities and there are four officially involved partners: National Agency for Education</w:t>
      </w:r>
      <w:r w:rsidR="00E0431E" w:rsidRPr="006F0F27">
        <w:rPr>
          <w:rFonts w:ascii="Times New Roman" w:hAnsi="Times New Roman" w:cs="Times New Roman"/>
          <w:sz w:val="24"/>
          <w:szCs w:val="24"/>
          <w:lang w:val="en-GB"/>
        </w:rPr>
        <w:t>,</w:t>
      </w:r>
      <w:r w:rsidRPr="006F0F27">
        <w:rPr>
          <w:rFonts w:ascii="Times New Roman" w:hAnsi="Times New Roman" w:cs="Times New Roman"/>
          <w:sz w:val="24"/>
          <w:szCs w:val="24"/>
          <w:lang w:val="en-GB"/>
        </w:rPr>
        <w:t xml:space="preserve"> Communications Regulatory Authority of the Republic of Lithuania (RRT); “Vaikų linija” (Childline); association</w:t>
      </w:r>
      <w:r w:rsidR="00E3714A" w:rsidRPr="006F0F27">
        <w:rPr>
          <w:rFonts w:ascii="Times New Roman" w:hAnsi="Times New Roman" w:cs="Times New Roman"/>
          <w:sz w:val="24"/>
          <w:szCs w:val="24"/>
          <w:lang w:val="en-GB"/>
        </w:rPr>
        <w:t xml:space="preserve"> </w:t>
      </w:r>
      <w:r w:rsidRPr="006F0F27">
        <w:rPr>
          <w:rFonts w:ascii="Times New Roman" w:hAnsi="Times New Roman" w:cs="Times New Roman"/>
          <w:sz w:val="24"/>
          <w:szCs w:val="24"/>
          <w:lang w:val="en-GB"/>
        </w:rPr>
        <w:t>“Langas į ateitį” (LIA).</w:t>
      </w:r>
      <w:r w:rsidR="001F2079" w:rsidRPr="006F0F27">
        <w:rPr>
          <w:rFonts w:ascii="Times New Roman" w:hAnsi="Times New Roman" w:cs="Times New Roman"/>
          <w:sz w:val="24"/>
          <w:szCs w:val="24"/>
          <w:lang w:val="en-GB"/>
        </w:rPr>
        <w:t xml:space="preserve"> </w:t>
      </w:r>
    </w:p>
    <w:p w14:paraId="377FDB3D" w14:textId="77777777" w:rsidR="006F0F27" w:rsidRDefault="008F320F" w:rsidP="006F0F27">
      <w:p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The overall objective is to deploy services that help make the Internet a trusted environment for children through actions that empower and protect them online.</w:t>
      </w:r>
      <w:r w:rsidR="00302AE4" w:rsidRPr="006F0F27">
        <w:rPr>
          <w:rFonts w:ascii="Times New Roman" w:hAnsi="Times New Roman" w:cs="Times New Roman"/>
          <w:sz w:val="24"/>
          <w:szCs w:val="24"/>
          <w:lang w:val="en-GB"/>
        </w:rPr>
        <w:t xml:space="preserve"> </w:t>
      </w:r>
      <w:r w:rsidRPr="006F0F27">
        <w:rPr>
          <w:rFonts w:ascii="Times New Roman" w:hAnsi="Times New Roman" w:cs="Times New Roman"/>
          <w:sz w:val="24"/>
          <w:szCs w:val="24"/>
          <w:lang w:val="en-GB"/>
        </w:rPr>
        <w:t>The specific objective is to set up and expand national platform to run a range of Safer Internet services providing:</w:t>
      </w:r>
      <w:r w:rsidR="00302AE4" w:rsidRPr="006F0F27">
        <w:rPr>
          <w:rFonts w:ascii="Times New Roman" w:hAnsi="Times New Roman" w:cs="Times New Roman"/>
          <w:sz w:val="24"/>
          <w:szCs w:val="24"/>
          <w:lang w:val="en-GB"/>
        </w:rPr>
        <w:t xml:space="preserve"> </w:t>
      </w:r>
    </w:p>
    <w:p w14:paraId="667FB89C" w14:textId="77777777" w:rsidR="006F0F27" w:rsidRDefault="008F320F" w:rsidP="006F0F27">
      <w:pPr>
        <w:pStyle w:val="ListParagraph"/>
        <w:numPr>
          <w:ilvl w:val="0"/>
          <w:numId w:val="14"/>
        </w:num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An awareness Centre for informing children, their parents and teachers about better and safer use of the Internet, building on enhanced digital resource centres (repositories), from which specific awareness toolkits and services will be adapted and deployed, in cooperation with third parties (schools, industry). Agency is responsible for implementing an awareness raising events, create relevant tools, develop national SIC platform, using current www.draugiskasinternetas.lt website, which is the main awareness raising instrument intended for Lithuanian society and educational community Agency. Together with consortium partners Agency organize Safer Internet Day events, traditional annual conferences and seminars for target groups, maintain a Youth Panel where children and young people can express their views and exchange knowledge and experiences. Agency prepares Certification program based on the best European practice for Safer Internet Ambassadors in Lithuania. LIA implements safer internet training and awareness raising activities, such as development and promotion of awareness raising materials (app “Are you safe on the Internet?” of the European eSafety label program), training activities (online trainings to 1000 educators and school librarians, series of webinars for parents broadcasted to public libraries).</w:t>
      </w:r>
    </w:p>
    <w:p w14:paraId="0290207A" w14:textId="77777777" w:rsidR="0020378E" w:rsidRDefault="0020378E" w:rsidP="0020378E">
      <w:pPr>
        <w:pStyle w:val="ListParagraph"/>
        <w:tabs>
          <w:tab w:val="left" w:pos="709"/>
        </w:tabs>
        <w:ind w:left="360"/>
        <w:jc w:val="both"/>
        <w:rPr>
          <w:rFonts w:ascii="Times New Roman" w:hAnsi="Times New Roman" w:cs="Times New Roman"/>
          <w:sz w:val="24"/>
          <w:szCs w:val="24"/>
          <w:lang w:val="en-GB"/>
        </w:rPr>
      </w:pPr>
    </w:p>
    <w:p w14:paraId="6BAAD9E6" w14:textId="77777777" w:rsidR="006F0F27" w:rsidRDefault="008F320F" w:rsidP="006F0F27">
      <w:pPr>
        <w:pStyle w:val="ListParagraph"/>
        <w:numPr>
          <w:ilvl w:val="0"/>
          <w:numId w:val="14"/>
        </w:num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 xml:space="preserve">Online helpline services for reporting and dealing with harmful contact (grooming), conduct (cyberbullying) and content. Child line as helpline is providing psychological and emotional support for youth and children. It is going to raise public awareness about provided help on websites, social networks, and interviews in media. </w:t>
      </w:r>
    </w:p>
    <w:p w14:paraId="56ECEC9F"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41F008A2" w14:textId="77777777" w:rsidR="006F0F27" w:rsidRDefault="008F320F" w:rsidP="006F0F27">
      <w:pPr>
        <w:pStyle w:val="ListParagraph"/>
        <w:numPr>
          <w:ilvl w:val="0"/>
          <w:numId w:val="14"/>
        </w:num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 xml:space="preserve">Various promotional materials, including video about the helpline, will be produced and disseminated in Lithuanian schools and on websites (www.draugiskasinternetas.lt, </w:t>
      </w:r>
      <w:hyperlink r:id="rId10" w:history="1">
        <w:r w:rsidR="00CE51D1" w:rsidRPr="006F0F27">
          <w:rPr>
            <w:rStyle w:val="Hyperlink"/>
            <w:rFonts w:ascii="Times New Roman" w:hAnsi="Times New Roman" w:cs="Times New Roman"/>
            <w:sz w:val="24"/>
            <w:szCs w:val="24"/>
            <w:lang w:val="en-GB"/>
          </w:rPr>
          <w:t>www.vaikulinija.lt</w:t>
        </w:r>
      </w:hyperlink>
      <w:r w:rsidRPr="006F0F27">
        <w:rPr>
          <w:rFonts w:ascii="Times New Roman" w:hAnsi="Times New Roman" w:cs="Times New Roman"/>
          <w:sz w:val="24"/>
          <w:szCs w:val="24"/>
          <w:lang w:val="en-GB"/>
        </w:rPr>
        <w:t>).</w:t>
      </w:r>
    </w:p>
    <w:p w14:paraId="29D5CE8E"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30EF47A7" w14:textId="77777777" w:rsidR="006F0F27" w:rsidRDefault="008F320F" w:rsidP="006F0F27">
      <w:pPr>
        <w:pStyle w:val="ListParagraph"/>
        <w:numPr>
          <w:ilvl w:val="0"/>
          <w:numId w:val="14"/>
        </w:num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 xml:space="preserve">Child Line is the service providing free and anonymous help to the children and teenagers by phone and on-line. Children and </w:t>
      </w:r>
      <w:r w:rsidR="002A10A0" w:rsidRPr="006F0F27">
        <w:rPr>
          <w:rFonts w:ascii="Times New Roman" w:hAnsi="Times New Roman" w:cs="Times New Roman"/>
          <w:sz w:val="24"/>
          <w:szCs w:val="24"/>
          <w:lang w:val="en-GB"/>
        </w:rPr>
        <w:t>teenagers may</w:t>
      </w:r>
      <w:r w:rsidRPr="006F0F27">
        <w:rPr>
          <w:rFonts w:ascii="Times New Roman" w:hAnsi="Times New Roman" w:cs="Times New Roman"/>
          <w:sz w:val="24"/>
          <w:szCs w:val="24"/>
          <w:lang w:val="en-GB"/>
        </w:rPr>
        <w:t xml:space="preserve"> contact the service in case of various issues they have encountered, such as disagreement with friends, parents or teachers; conflicts; difficulties in learning; being abused or bullied; the feeling of being lonely or unloved, or any other difficulties or troubles calling for advice. In July 2011 the Child Line launched consultation services for children and teenagers on the safety of electronic environment.</w:t>
      </w:r>
    </w:p>
    <w:p w14:paraId="6983979B" w14:textId="77777777" w:rsidR="006F0F27" w:rsidRDefault="006F0F27" w:rsidP="006F0F27">
      <w:pPr>
        <w:pStyle w:val="ListParagraph"/>
        <w:tabs>
          <w:tab w:val="left" w:pos="709"/>
        </w:tabs>
        <w:ind w:left="360"/>
        <w:jc w:val="both"/>
        <w:rPr>
          <w:rFonts w:ascii="Times New Roman" w:hAnsi="Times New Roman" w:cs="Times New Roman"/>
          <w:sz w:val="24"/>
          <w:szCs w:val="24"/>
          <w:lang w:val="en-GB"/>
        </w:rPr>
      </w:pPr>
    </w:p>
    <w:p w14:paraId="529A9398" w14:textId="177CFC7F" w:rsidR="008F320F" w:rsidRPr="006F0F27" w:rsidRDefault="008F320F" w:rsidP="006F0F27">
      <w:pPr>
        <w:pStyle w:val="ListParagraph"/>
        <w:numPr>
          <w:ilvl w:val="0"/>
          <w:numId w:val="14"/>
        </w:numPr>
        <w:tabs>
          <w:tab w:val="left" w:pos="709"/>
        </w:tabs>
        <w:jc w:val="both"/>
        <w:rPr>
          <w:rFonts w:ascii="Times New Roman" w:hAnsi="Times New Roman" w:cs="Times New Roman"/>
          <w:sz w:val="24"/>
          <w:szCs w:val="24"/>
          <w:lang w:val="en-GB"/>
        </w:rPr>
      </w:pPr>
      <w:r w:rsidRPr="006F0F27">
        <w:rPr>
          <w:rFonts w:ascii="Times New Roman" w:hAnsi="Times New Roman" w:cs="Times New Roman"/>
          <w:sz w:val="24"/>
          <w:szCs w:val="24"/>
          <w:lang w:val="en-GB"/>
        </w:rPr>
        <w:t>A hotline for receiving and managing reports and data on online illegal child sexual abuse. RRT is the consortium partner in charge of operations of the hotline. Whilst prolonging activities started in recent projects the hotline is improving following activities: clear description of NTD procedure, closer cooperation with the ISPs with regard to the NTD procedure, monitoring period of time during which CSA images are taken down, etc. As a member of INHOPE the hotline of RRT actively participate in the activities of INHOPE.</w:t>
      </w:r>
    </w:p>
    <w:p w14:paraId="16963F4F" w14:textId="6E3A919A" w:rsidR="00E20835" w:rsidRPr="0020378E" w:rsidRDefault="008F320F" w:rsidP="0020378E">
      <w:pPr>
        <w:tabs>
          <w:tab w:val="left" w:pos="709"/>
        </w:tabs>
        <w:jc w:val="both"/>
        <w:rPr>
          <w:rFonts w:ascii="Times New Roman" w:hAnsi="Times New Roman" w:cs="Times New Roman"/>
          <w:color w:val="7A7A7A"/>
          <w:sz w:val="24"/>
          <w:szCs w:val="24"/>
          <w:lang w:val="en-GB"/>
        </w:rPr>
      </w:pPr>
      <w:r w:rsidRPr="006F0F27">
        <w:rPr>
          <w:rFonts w:ascii="Times New Roman" w:hAnsi="Times New Roman" w:cs="Times New Roman"/>
          <w:sz w:val="24"/>
          <w:szCs w:val="24"/>
          <w:lang w:val="en-GB"/>
        </w:rPr>
        <w:t>Nationally, the SIC have a mature and well-established, multi-stakeholder network, involving the public sector, private sector and civil society, therefore with the capacity to deploy services that help make the Internet a trusted environment for children (and citizens at large) through actions that empower and protect them online. The work of the SIC Lithuania is aligned with the Children rights protection national policies contributing to the fulfilment of children protection from negative impact of public information: Information Society Development 2014-2020 Programme “Digital Agenda of the Republic of Lithuania”</w:t>
      </w:r>
      <w:r w:rsidRPr="006F0F27">
        <w:rPr>
          <w:rFonts w:ascii="Times New Roman" w:hAnsi="Times New Roman" w:cs="Times New Roman"/>
          <w:color w:val="7A7A7A"/>
          <w:sz w:val="24"/>
          <w:szCs w:val="24"/>
          <w:lang w:val="en-GB"/>
        </w:rPr>
        <w:t xml:space="preserve"> </w:t>
      </w:r>
      <w:hyperlink r:id="rId11" w:history="1">
        <w:r w:rsidR="00330DBD" w:rsidRPr="006F0F27">
          <w:rPr>
            <w:rStyle w:val="Hyperlink"/>
            <w:rFonts w:ascii="Times New Roman" w:hAnsi="Times New Roman" w:cs="Times New Roman"/>
            <w:sz w:val="24"/>
            <w:szCs w:val="24"/>
            <w:lang w:val="en-GB"/>
          </w:rPr>
          <w:t>https://e-seimas.lrs.lt/portal/legalAct/lt/TAD/a66c0760b04011e3bf53dc70cf7669d9/asr</w:t>
        </w:r>
      </w:hyperlink>
      <w:r w:rsidRPr="006F0F27">
        <w:rPr>
          <w:rFonts w:ascii="Times New Roman" w:hAnsi="Times New Roman" w:cs="Times New Roman"/>
          <w:color w:val="7A7A7A"/>
          <w:sz w:val="24"/>
          <w:szCs w:val="24"/>
          <w:lang w:val="en-GB"/>
        </w:rPr>
        <w:t xml:space="preserve">, </w:t>
      </w:r>
      <w:r w:rsidR="00ED4A97" w:rsidRPr="006F0F27">
        <w:rPr>
          <w:rFonts w:ascii="Times New Roman" w:hAnsi="Times New Roman" w:cs="Times New Roman"/>
          <w:color w:val="7A7A7A"/>
          <w:sz w:val="24"/>
          <w:szCs w:val="24"/>
          <w:lang w:val="en-GB"/>
        </w:rPr>
        <w:br/>
      </w:r>
      <w:r w:rsidRPr="006F0F27">
        <w:rPr>
          <w:rFonts w:ascii="Times New Roman" w:hAnsi="Times New Roman" w:cs="Times New Roman"/>
          <w:sz w:val="24"/>
          <w:szCs w:val="24"/>
          <w:lang w:val="en-GB"/>
        </w:rPr>
        <w:t>National Digital Coalition for the Promotion of Digital Skills for Jobs in Lithuania (</w:t>
      </w:r>
      <w:hyperlink r:id="rId12" w:history="1">
        <w:r w:rsidR="00B47A8B" w:rsidRPr="006F0F27">
          <w:rPr>
            <w:rFonts w:ascii="Times New Roman" w:hAnsi="Times New Roman" w:cs="Times New Roman"/>
            <w:sz w:val="24"/>
            <w:szCs w:val="24"/>
            <w:lang w:val="en-GB"/>
          </w:rPr>
          <w:t>http://www.skaitmeninekoalicija.lt/en/about.html</w:t>
        </w:r>
      </w:hyperlink>
      <w:r w:rsidRPr="006F0F27">
        <w:rPr>
          <w:rFonts w:ascii="Times New Roman" w:hAnsi="Times New Roman" w:cs="Times New Roman"/>
          <w:sz w:val="24"/>
          <w:szCs w:val="24"/>
          <w:lang w:val="en-GB"/>
        </w:rPr>
        <w:t xml:space="preserve">). The work of Child Line is related to the National Programme for the Prevention of Violence against Children and Assistance for Children for 2011–2015 </w:t>
      </w:r>
      <w:hyperlink r:id="rId13" w:history="1">
        <w:r w:rsidR="00ED4A97" w:rsidRPr="006F0F27">
          <w:rPr>
            <w:rStyle w:val="Hyperlink"/>
            <w:rFonts w:ascii="Times New Roman" w:hAnsi="Times New Roman" w:cs="Times New Roman"/>
            <w:sz w:val="24"/>
            <w:szCs w:val="24"/>
            <w:lang w:val="en-GB"/>
          </w:rPr>
          <w:t>https://e-seimas.lrs.lt/portal/legalAct/lt/TAD/0cbb5ce0907011e48028e9b85331c55d?positionInSearchResults=0&amp;searchModelUUID=284e4c90-a46a-4da6-8f9e-b8f7a0b5a296</w:t>
        </w:r>
      </w:hyperlink>
      <w:r w:rsidR="006F0F27">
        <w:rPr>
          <w:rFonts w:ascii="Times New Roman" w:hAnsi="Times New Roman" w:cs="Times New Roman"/>
          <w:color w:val="7A7A7A"/>
          <w:sz w:val="24"/>
          <w:szCs w:val="24"/>
          <w:lang w:val="en-GB"/>
        </w:rPr>
        <w:t>.</w:t>
      </w:r>
    </w:p>
    <w:sectPr w:rsidR="00E20835" w:rsidRPr="0020378E" w:rsidSect="00645B1E">
      <w:footerReference w:type="default" r:id="rId14"/>
      <w:pgSz w:w="11906" w:h="16838"/>
      <w:pgMar w:top="1440" w:right="849"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5AB2" w14:textId="77777777" w:rsidR="00645B1E" w:rsidRDefault="00645B1E" w:rsidP="0020378E">
      <w:pPr>
        <w:spacing w:after="0" w:line="240" w:lineRule="auto"/>
      </w:pPr>
      <w:r>
        <w:separator/>
      </w:r>
    </w:p>
  </w:endnote>
  <w:endnote w:type="continuationSeparator" w:id="0">
    <w:p w14:paraId="3AABEF6C" w14:textId="77777777" w:rsidR="00645B1E" w:rsidRDefault="00645B1E" w:rsidP="0020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45577406"/>
      <w:docPartObj>
        <w:docPartGallery w:val="Page Numbers (Bottom of Page)"/>
        <w:docPartUnique/>
      </w:docPartObj>
    </w:sdtPr>
    <w:sdtEndPr/>
    <w:sdtContent>
      <w:p w14:paraId="25585F0A" w14:textId="103203E6" w:rsidR="0020378E" w:rsidRPr="0020378E" w:rsidRDefault="0020378E">
        <w:pPr>
          <w:pStyle w:val="Footer"/>
          <w:jc w:val="center"/>
          <w:rPr>
            <w:rFonts w:ascii="Times New Roman" w:hAnsi="Times New Roman" w:cs="Times New Roman"/>
            <w:sz w:val="24"/>
            <w:szCs w:val="24"/>
          </w:rPr>
        </w:pPr>
        <w:r w:rsidRPr="0020378E">
          <w:rPr>
            <w:rFonts w:ascii="Times New Roman" w:hAnsi="Times New Roman" w:cs="Times New Roman"/>
            <w:sz w:val="24"/>
            <w:szCs w:val="24"/>
          </w:rPr>
          <w:fldChar w:fldCharType="begin"/>
        </w:r>
        <w:r w:rsidRPr="0020378E">
          <w:rPr>
            <w:rFonts w:ascii="Times New Roman" w:hAnsi="Times New Roman" w:cs="Times New Roman"/>
            <w:sz w:val="24"/>
            <w:szCs w:val="24"/>
          </w:rPr>
          <w:instrText>PAGE   \* MERGEFORMAT</w:instrText>
        </w:r>
        <w:r w:rsidRPr="0020378E">
          <w:rPr>
            <w:rFonts w:ascii="Times New Roman" w:hAnsi="Times New Roman" w:cs="Times New Roman"/>
            <w:sz w:val="24"/>
            <w:szCs w:val="24"/>
          </w:rPr>
          <w:fldChar w:fldCharType="separate"/>
        </w:r>
        <w:r w:rsidRPr="0020378E">
          <w:rPr>
            <w:rFonts w:ascii="Times New Roman" w:hAnsi="Times New Roman" w:cs="Times New Roman"/>
            <w:sz w:val="24"/>
            <w:szCs w:val="24"/>
          </w:rPr>
          <w:t>2</w:t>
        </w:r>
        <w:r w:rsidRPr="0020378E">
          <w:rPr>
            <w:rFonts w:ascii="Times New Roman" w:hAnsi="Times New Roman" w:cs="Times New Roman"/>
            <w:sz w:val="24"/>
            <w:szCs w:val="24"/>
          </w:rPr>
          <w:fldChar w:fldCharType="end"/>
        </w:r>
      </w:p>
    </w:sdtContent>
  </w:sdt>
  <w:p w14:paraId="3143FD90" w14:textId="4C10389B" w:rsidR="0020378E" w:rsidRDefault="0020378E" w:rsidP="0020378E">
    <w:pPr>
      <w:pStyle w:val="Footer"/>
      <w:tabs>
        <w:tab w:val="clear" w:pos="4819"/>
        <w:tab w:val="clear" w:pos="9638"/>
        <w:tab w:val="left" w:pos="41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3AB3" w14:textId="77777777" w:rsidR="00645B1E" w:rsidRDefault="00645B1E" w:rsidP="0020378E">
      <w:pPr>
        <w:spacing w:after="0" w:line="240" w:lineRule="auto"/>
      </w:pPr>
      <w:r>
        <w:separator/>
      </w:r>
    </w:p>
  </w:footnote>
  <w:footnote w:type="continuationSeparator" w:id="0">
    <w:p w14:paraId="203FA644" w14:textId="77777777" w:rsidR="00645B1E" w:rsidRDefault="00645B1E" w:rsidP="00203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81A"/>
    <w:multiLevelType w:val="hybridMultilevel"/>
    <w:tmpl w:val="3C10B6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8D1D2F"/>
    <w:multiLevelType w:val="hybridMultilevel"/>
    <w:tmpl w:val="A3162020"/>
    <w:lvl w:ilvl="0" w:tplc="FFFFFFF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BB6FF6"/>
    <w:multiLevelType w:val="hybridMultilevel"/>
    <w:tmpl w:val="DBAE5206"/>
    <w:lvl w:ilvl="0" w:tplc="AD80A7B2">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5F33500"/>
    <w:multiLevelType w:val="hybridMultilevel"/>
    <w:tmpl w:val="0DDAE4B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C4252E0"/>
    <w:multiLevelType w:val="hybridMultilevel"/>
    <w:tmpl w:val="50460682"/>
    <w:lvl w:ilvl="0" w:tplc="4FBC5C1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9F94E77"/>
    <w:multiLevelType w:val="hybridMultilevel"/>
    <w:tmpl w:val="CB68D4B8"/>
    <w:lvl w:ilvl="0" w:tplc="4FBC5C1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4510910"/>
    <w:multiLevelType w:val="hybridMultilevel"/>
    <w:tmpl w:val="0D3884D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478B63AC"/>
    <w:multiLevelType w:val="multilevel"/>
    <w:tmpl w:val="C75E1104"/>
    <w:lvl w:ilvl="0">
      <w:start w:val="2"/>
      <w:numFmt w:val="decimal"/>
      <w:pStyle w:val="Heading1"/>
      <w:suff w:val="space"/>
      <w:lvlText w:val="%1"/>
      <w:lvlJc w:val="left"/>
      <w:pPr>
        <w:ind w:left="1247" w:hanging="1134"/>
      </w:pPr>
      <w:rPr>
        <w:rFonts w:asciiTheme="majorHAnsi" w:hAnsiTheme="majorHAnsi" w:hint="default"/>
        <w:w w:val="100"/>
        <w:sz w:val="130"/>
        <w:u w:val="thick"/>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426" w:firstLine="0"/>
      </w:pPr>
      <w:rPr>
        <w:rFonts w:hint="default"/>
      </w:rPr>
    </w:lvl>
    <w:lvl w:ilvl="3">
      <w:start w:val="1"/>
      <w:numFmt w:val="none"/>
      <w:pStyle w:val="Heading4"/>
      <w:suff w:val="nothing"/>
      <w:lvlText w:val=""/>
      <w:lvlJc w:val="left"/>
      <w:pPr>
        <w:ind w:left="340" w:firstLine="0"/>
      </w:pPr>
      <w:rPr>
        <w:rFonts w:hint="default"/>
      </w:rPr>
    </w:lvl>
    <w:lvl w:ilvl="4">
      <w:start w:val="1"/>
      <w:numFmt w:val="decimal"/>
      <w:lvlRestart w:val="1"/>
      <w:pStyle w:val="Para"/>
      <w:lvlText w:val="%1.%5."/>
      <w:lvlJc w:val="left"/>
      <w:pPr>
        <w:tabs>
          <w:tab w:val="num" w:pos="720"/>
        </w:tabs>
        <w:ind w:left="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8" w15:restartNumberingAfterBreak="0">
    <w:nsid w:val="54191508"/>
    <w:multiLevelType w:val="hybridMultilevel"/>
    <w:tmpl w:val="DC8ECDDE"/>
    <w:lvl w:ilvl="0" w:tplc="4FBC5C14">
      <w:start w:val="3"/>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51B7713"/>
    <w:multiLevelType w:val="hybridMultilevel"/>
    <w:tmpl w:val="AE4A01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63E2B3A"/>
    <w:multiLevelType w:val="hybridMultilevel"/>
    <w:tmpl w:val="1408BDB2"/>
    <w:lvl w:ilvl="0" w:tplc="FFFFFFF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854274A"/>
    <w:multiLevelType w:val="hybridMultilevel"/>
    <w:tmpl w:val="8E9A3318"/>
    <w:lvl w:ilvl="0" w:tplc="36D2765E">
      <w:start w:val="3"/>
      <w:numFmt w:val="decimal"/>
      <w:lvlText w:val="%1)"/>
      <w:lvlJc w:val="left"/>
      <w:pPr>
        <w:ind w:left="720" w:hanging="360"/>
      </w:pPr>
      <w:rPr>
        <w:rFonts w:ascii="Times New Roman" w:hAnsi="Times New Roman" w:cs="Times New Roman" w:hint="default"/>
        <w:b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9CA3D49"/>
    <w:multiLevelType w:val="hybridMultilevel"/>
    <w:tmpl w:val="B84CED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2865BB8"/>
    <w:multiLevelType w:val="multilevel"/>
    <w:tmpl w:val="F57E9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1C1148"/>
    <w:multiLevelType w:val="hybridMultilevel"/>
    <w:tmpl w:val="0D3884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52821217">
    <w:abstractNumId w:val="7"/>
  </w:num>
  <w:num w:numId="2" w16cid:durableId="109906335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799310">
    <w:abstractNumId w:val="2"/>
  </w:num>
  <w:num w:numId="4" w16cid:durableId="1494181944">
    <w:abstractNumId w:val="13"/>
  </w:num>
  <w:num w:numId="5" w16cid:durableId="113183805">
    <w:abstractNumId w:val="5"/>
  </w:num>
  <w:num w:numId="6" w16cid:durableId="1287929996">
    <w:abstractNumId w:val="0"/>
  </w:num>
  <w:num w:numId="7" w16cid:durableId="1039278157">
    <w:abstractNumId w:val="8"/>
  </w:num>
  <w:num w:numId="8" w16cid:durableId="1772433573">
    <w:abstractNumId w:val="9"/>
  </w:num>
  <w:num w:numId="9" w16cid:durableId="1070956306">
    <w:abstractNumId w:val="11"/>
  </w:num>
  <w:num w:numId="10" w16cid:durableId="1547454125">
    <w:abstractNumId w:val="4"/>
  </w:num>
  <w:num w:numId="11" w16cid:durableId="1558398055">
    <w:abstractNumId w:val="12"/>
  </w:num>
  <w:num w:numId="12" w16cid:durableId="661078728">
    <w:abstractNumId w:val="6"/>
  </w:num>
  <w:num w:numId="13" w16cid:durableId="243227691">
    <w:abstractNumId w:val="3"/>
  </w:num>
  <w:num w:numId="14" w16cid:durableId="405764174">
    <w:abstractNumId w:val="14"/>
  </w:num>
  <w:num w:numId="15" w16cid:durableId="1728651241">
    <w:abstractNumId w:val="10"/>
  </w:num>
  <w:num w:numId="16" w16cid:durableId="90973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7F"/>
    <w:rsid w:val="000577BF"/>
    <w:rsid w:val="000650CA"/>
    <w:rsid w:val="000B7E6A"/>
    <w:rsid w:val="000C2ED0"/>
    <w:rsid w:val="000F6EBD"/>
    <w:rsid w:val="001353FF"/>
    <w:rsid w:val="00156A33"/>
    <w:rsid w:val="00161064"/>
    <w:rsid w:val="00162990"/>
    <w:rsid w:val="001778BC"/>
    <w:rsid w:val="001806A4"/>
    <w:rsid w:val="001A4BDB"/>
    <w:rsid w:val="001A4F70"/>
    <w:rsid w:val="001A62BC"/>
    <w:rsid w:val="001B0333"/>
    <w:rsid w:val="001B1D2E"/>
    <w:rsid w:val="001B65BB"/>
    <w:rsid w:val="001C4F98"/>
    <w:rsid w:val="001C6F58"/>
    <w:rsid w:val="001D4979"/>
    <w:rsid w:val="001E044F"/>
    <w:rsid w:val="001F2079"/>
    <w:rsid w:val="0020378E"/>
    <w:rsid w:val="002133D2"/>
    <w:rsid w:val="002306F5"/>
    <w:rsid w:val="00251270"/>
    <w:rsid w:val="0026426A"/>
    <w:rsid w:val="002718E3"/>
    <w:rsid w:val="002A10A0"/>
    <w:rsid w:val="002B5525"/>
    <w:rsid w:val="002C5C6C"/>
    <w:rsid w:val="002D5008"/>
    <w:rsid w:val="002D6D5F"/>
    <w:rsid w:val="00302AE4"/>
    <w:rsid w:val="00315015"/>
    <w:rsid w:val="00330DBD"/>
    <w:rsid w:val="00333A39"/>
    <w:rsid w:val="00335E5B"/>
    <w:rsid w:val="00344D52"/>
    <w:rsid w:val="003906F0"/>
    <w:rsid w:val="0039248F"/>
    <w:rsid w:val="00394318"/>
    <w:rsid w:val="00461746"/>
    <w:rsid w:val="00475BB7"/>
    <w:rsid w:val="00476534"/>
    <w:rsid w:val="004B361E"/>
    <w:rsid w:val="004D357E"/>
    <w:rsid w:val="00527C36"/>
    <w:rsid w:val="0055595D"/>
    <w:rsid w:val="00557D04"/>
    <w:rsid w:val="005633C5"/>
    <w:rsid w:val="005763DE"/>
    <w:rsid w:val="0058148C"/>
    <w:rsid w:val="005A1DF8"/>
    <w:rsid w:val="005A2C07"/>
    <w:rsid w:val="005A309B"/>
    <w:rsid w:val="005B1567"/>
    <w:rsid w:val="005B7AF7"/>
    <w:rsid w:val="00640009"/>
    <w:rsid w:val="00645B1E"/>
    <w:rsid w:val="00651A9B"/>
    <w:rsid w:val="00652BA3"/>
    <w:rsid w:val="00667B7A"/>
    <w:rsid w:val="00694DD2"/>
    <w:rsid w:val="006E1462"/>
    <w:rsid w:val="006F0F27"/>
    <w:rsid w:val="006F10A2"/>
    <w:rsid w:val="00703F51"/>
    <w:rsid w:val="00730061"/>
    <w:rsid w:val="00757391"/>
    <w:rsid w:val="0076042E"/>
    <w:rsid w:val="007A3055"/>
    <w:rsid w:val="007C54DC"/>
    <w:rsid w:val="007D16D0"/>
    <w:rsid w:val="007D6786"/>
    <w:rsid w:val="007E4F69"/>
    <w:rsid w:val="0080698C"/>
    <w:rsid w:val="00807DB4"/>
    <w:rsid w:val="008571B7"/>
    <w:rsid w:val="00866CA3"/>
    <w:rsid w:val="0089791C"/>
    <w:rsid w:val="008A068D"/>
    <w:rsid w:val="008A7056"/>
    <w:rsid w:val="008C1352"/>
    <w:rsid w:val="008C6676"/>
    <w:rsid w:val="008E59C0"/>
    <w:rsid w:val="008F1333"/>
    <w:rsid w:val="008F320F"/>
    <w:rsid w:val="008F321E"/>
    <w:rsid w:val="009170C9"/>
    <w:rsid w:val="009266E7"/>
    <w:rsid w:val="00935368"/>
    <w:rsid w:val="0096736D"/>
    <w:rsid w:val="0099231E"/>
    <w:rsid w:val="00996A79"/>
    <w:rsid w:val="009A7046"/>
    <w:rsid w:val="009C3548"/>
    <w:rsid w:val="009C6A7D"/>
    <w:rsid w:val="009D164A"/>
    <w:rsid w:val="009E13BB"/>
    <w:rsid w:val="00A17EFC"/>
    <w:rsid w:val="00A425C9"/>
    <w:rsid w:val="00A701FB"/>
    <w:rsid w:val="00A74D63"/>
    <w:rsid w:val="00AA167D"/>
    <w:rsid w:val="00B052E9"/>
    <w:rsid w:val="00B419FF"/>
    <w:rsid w:val="00B47A8B"/>
    <w:rsid w:val="00B64B1B"/>
    <w:rsid w:val="00B802A9"/>
    <w:rsid w:val="00BB23DF"/>
    <w:rsid w:val="00BF5CB0"/>
    <w:rsid w:val="00C2147B"/>
    <w:rsid w:val="00C50C7B"/>
    <w:rsid w:val="00C702FA"/>
    <w:rsid w:val="00CE3E0C"/>
    <w:rsid w:val="00CE51D1"/>
    <w:rsid w:val="00D07AA0"/>
    <w:rsid w:val="00D337C5"/>
    <w:rsid w:val="00D44C4A"/>
    <w:rsid w:val="00D82D13"/>
    <w:rsid w:val="00DB4FEC"/>
    <w:rsid w:val="00E034A2"/>
    <w:rsid w:val="00E0431E"/>
    <w:rsid w:val="00E171F3"/>
    <w:rsid w:val="00E20835"/>
    <w:rsid w:val="00E20B7C"/>
    <w:rsid w:val="00E32D8F"/>
    <w:rsid w:val="00E3714A"/>
    <w:rsid w:val="00E60091"/>
    <w:rsid w:val="00E76E7F"/>
    <w:rsid w:val="00E91A31"/>
    <w:rsid w:val="00E91E88"/>
    <w:rsid w:val="00EA34DB"/>
    <w:rsid w:val="00EB150E"/>
    <w:rsid w:val="00EB42D0"/>
    <w:rsid w:val="00ED4A97"/>
    <w:rsid w:val="00EE6874"/>
    <w:rsid w:val="00EF653B"/>
    <w:rsid w:val="00F20421"/>
    <w:rsid w:val="00F72CE7"/>
    <w:rsid w:val="00F932B5"/>
    <w:rsid w:val="00FA4291"/>
    <w:rsid w:val="00FE2271"/>
    <w:rsid w:val="00FF49D5"/>
    <w:rsid w:val="00FF5E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B546"/>
  <w15:chartTrackingRefBased/>
  <w15:docId w15:val="{59AE1E56-F1E4-4BE8-A82B-DB2E17BF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 w:unhideWhenUsed="1" w:qFormat="1"/>
    <w:lsdException w:name="heading 7" w:semiHidden="1" w:uiPriority="19" w:unhideWhenUsed="1" w:qFormat="1"/>
    <w:lsdException w:name="heading 8" w:semiHidden="1" w:uiPriority="9" w:unhideWhenUsed="1" w:qFormat="1"/>
    <w:lsdException w:name="heading 9" w:semiHidden="1" w:uiPriority="2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4"/>
    <w:qFormat/>
    <w:rsid w:val="00E91E88"/>
    <w:pPr>
      <w:keepNext/>
      <w:keepLines/>
      <w:pageBreakBefore/>
      <w:framePr w:w="9072" w:wrap="notBeside" w:vAnchor="text" w:hAnchor="page" w:xAlign="center" w:y="1"/>
      <w:numPr>
        <w:numId w:val="1"/>
      </w:numPr>
      <w:pBdr>
        <w:top w:val="single" w:sz="48" w:space="30" w:color="ED7D31" w:themeColor="accent2"/>
        <w:left w:val="single" w:sz="48" w:space="5" w:color="ED7D31" w:themeColor="accent2"/>
        <w:bottom w:val="single" w:sz="48" w:space="5" w:color="ED7D31" w:themeColor="accent2"/>
        <w:right w:val="single" w:sz="24" w:space="5" w:color="ED7D31" w:themeColor="accent2"/>
      </w:pBdr>
      <w:shd w:val="clear" w:color="auto" w:fill="ED7D31" w:themeFill="accent2"/>
      <w:spacing w:after="600" w:line="720" w:lineRule="exact"/>
      <w:outlineLvl w:val="0"/>
    </w:pPr>
    <w:rPr>
      <w:rFonts w:asciiTheme="majorHAnsi" w:eastAsiaTheme="majorEastAsia" w:hAnsiTheme="majorHAnsi" w:cstheme="majorBidi"/>
      <w:b/>
      <w:color w:val="5B9BD5" w:themeColor="accent5"/>
      <w:kern w:val="0"/>
      <w:sz w:val="56"/>
      <w:szCs w:val="32"/>
      <w:lang w:val="en-GB"/>
      <w14:ligatures w14:val="none"/>
    </w:rPr>
  </w:style>
  <w:style w:type="paragraph" w:styleId="Heading2">
    <w:name w:val="heading 2"/>
    <w:next w:val="Normal"/>
    <w:link w:val="Heading2Char"/>
    <w:uiPriority w:val="7"/>
    <w:qFormat/>
    <w:rsid w:val="00E91E88"/>
    <w:pPr>
      <w:keepNext/>
      <w:numPr>
        <w:ilvl w:val="1"/>
        <w:numId w:val="1"/>
      </w:numPr>
      <w:spacing w:before="440" w:after="240" w:line="320" w:lineRule="exact"/>
      <w:outlineLvl w:val="1"/>
    </w:pPr>
    <w:rPr>
      <w:rFonts w:eastAsiaTheme="majorEastAsia" w:cstheme="majorBidi"/>
      <w:b/>
      <w:color w:val="4472C4" w:themeColor="accent1"/>
      <w:kern w:val="0"/>
      <w:sz w:val="24"/>
      <w:szCs w:val="26"/>
      <w:lang w:val="en-GB"/>
      <w14:ligatures w14:val="none"/>
    </w:rPr>
  </w:style>
  <w:style w:type="paragraph" w:styleId="Heading3">
    <w:name w:val="heading 3"/>
    <w:next w:val="Normal"/>
    <w:link w:val="Heading3Char"/>
    <w:uiPriority w:val="9"/>
    <w:qFormat/>
    <w:rsid w:val="00E91E88"/>
    <w:pPr>
      <w:keepNext/>
      <w:keepLines/>
      <w:numPr>
        <w:ilvl w:val="2"/>
        <w:numId w:val="1"/>
      </w:numPr>
      <w:spacing w:before="280" w:after="180" w:line="280" w:lineRule="exact"/>
      <w:outlineLvl w:val="2"/>
    </w:pPr>
    <w:rPr>
      <w:rFonts w:eastAsiaTheme="majorEastAsia" w:cstheme="majorBidi"/>
      <w:b/>
      <w:i/>
      <w:color w:val="000000" w:themeColor="text1"/>
      <w:kern w:val="0"/>
      <w:szCs w:val="24"/>
      <w:lang w:val="en-GB"/>
      <w14:ligatures w14:val="none"/>
    </w:rPr>
  </w:style>
  <w:style w:type="paragraph" w:styleId="Heading4">
    <w:name w:val="heading 4"/>
    <w:next w:val="Normal"/>
    <w:link w:val="Heading4Char"/>
    <w:uiPriority w:val="9"/>
    <w:qFormat/>
    <w:rsid w:val="00E91E88"/>
    <w:pPr>
      <w:keepNext/>
      <w:keepLines/>
      <w:numPr>
        <w:ilvl w:val="3"/>
        <w:numId w:val="1"/>
      </w:numPr>
      <w:spacing w:before="240" w:after="180" w:line="280" w:lineRule="exact"/>
      <w:outlineLvl w:val="3"/>
    </w:pPr>
    <w:rPr>
      <w:rFonts w:eastAsiaTheme="majorEastAsia" w:cstheme="majorBidi"/>
      <w:i/>
      <w:iCs/>
      <w:color w:val="44546A" w:themeColor="text2"/>
      <w:kern w:val="0"/>
      <w:lang w:val="en-GB"/>
      <w14:ligatures w14:val="none"/>
    </w:rPr>
  </w:style>
  <w:style w:type="paragraph" w:styleId="Heading6">
    <w:name w:val="heading 6"/>
    <w:aliases w:val="Part"/>
    <w:next w:val="Heading1"/>
    <w:link w:val="Heading6Char"/>
    <w:uiPriority w:val="3"/>
    <w:qFormat/>
    <w:rsid w:val="00E91E88"/>
    <w:pPr>
      <w:keepNext/>
      <w:pageBreakBefore/>
      <w:framePr w:w="7938" w:h="13325" w:hRule="exact" w:wrap="notBeside" w:vAnchor="page" w:hAnchor="page" w:xAlign="center" w:yAlign="center"/>
      <w:numPr>
        <w:ilvl w:val="5"/>
        <w:numId w:val="1"/>
      </w:numPr>
      <w:pBdr>
        <w:top w:val="single" w:sz="48" w:space="30" w:color="ED7D31" w:themeColor="accent2"/>
        <w:left w:val="single" w:sz="48" w:space="30" w:color="ED7D31" w:themeColor="accent2"/>
        <w:bottom w:val="single" w:sz="48" w:space="30" w:color="ED7D31" w:themeColor="accent2"/>
        <w:right w:val="single" w:sz="48" w:space="30" w:color="ED7D31" w:themeColor="accent2"/>
      </w:pBdr>
      <w:shd w:val="clear" w:color="auto" w:fill="ED7D31" w:themeFill="accent2"/>
      <w:spacing w:after="720" w:line="276" w:lineRule="auto"/>
      <w:outlineLvl w:val="5"/>
    </w:pPr>
    <w:rPr>
      <w:rFonts w:asciiTheme="majorHAnsi" w:eastAsiaTheme="majorEastAsia" w:hAnsiTheme="majorHAnsi" w:cstheme="majorBidi"/>
      <w:b/>
      <w:color w:val="5B9BD5" w:themeColor="accent5"/>
      <w:kern w:val="0"/>
      <w:sz w:val="72"/>
      <w:lang w:val="en-GB"/>
      <w14:ligatures w14:val="none"/>
    </w:rPr>
  </w:style>
  <w:style w:type="paragraph" w:styleId="Heading7">
    <w:name w:val="heading 7"/>
    <w:aliases w:val="Doc AnnX"/>
    <w:basedOn w:val="Heading9"/>
    <w:next w:val="Normal"/>
    <w:link w:val="Heading7Char"/>
    <w:uiPriority w:val="19"/>
    <w:qFormat/>
    <w:rsid w:val="00E91E88"/>
    <w:pPr>
      <w:numPr>
        <w:ilvl w:val="6"/>
      </w:numPr>
      <w:spacing w:after="1500" w:line="600" w:lineRule="exact"/>
      <w:outlineLvl w:val="6"/>
    </w:pPr>
  </w:style>
  <w:style w:type="paragraph" w:styleId="Heading8">
    <w:name w:val="heading 8"/>
    <w:aliases w:val="Part AnnX"/>
    <w:next w:val="Normal"/>
    <w:link w:val="Heading8Char"/>
    <w:uiPriority w:val="9"/>
    <w:rsid w:val="00E91E88"/>
    <w:pPr>
      <w:keepNext/>
      <w:pageBreakBefore/>
      <w:numPr>
        <w:ilvl w:val="7"/>
        <w:numId w:val="1"/>
      </w:numPr>
      <w:spacing w:before="1200" w:after="720" w:line="276" w:lineRule="auto"/>
      <w:jc w:val="center"/>
      <w:outlineLvl w:val="7"/>
    </w:pPr>
    <w:rPr>
      <w:rFonts w:asciiTheme="majorHAnsi" w:eastAsiaTheme="majorEastAsia" w:hAnsiTheme="majorHAnsi" w:cstheme="majorBidi"/>
      <w:b/>
      <w:color w:val="4472C4" w:themeColor="accent1"/>
      <w:kern w:val="0"/>
      <w:sz w:val="28"/>
      <w:szCs w:val="21"/>
      <w:lang w:val="en-GB"/>
      <w14:ligatures w14:val="none"/>
    </w:rPr>
  </w:style>
  <w:style w:type="paragraph" w:styleId="Heading9">
    <w:name w:val="heading 9"/>
    <w:aliases w:val="Chap AnnX"/>
    <w:next w:val="Normal"/>
    <w:link w:val="Heading9Char"/>
    <w:uiPriority w:val="20"/>
    <w:qFormat/>
    <w:rsid w:val="00E91E88"/>
    <w:pPr>
      <w:keepNext/>
      <w:pageBreakBefore/>
      <w:numPr>
        <w:ilvl w:val="8"/>
        <w:numId w:val="1"/>
      </w:numPr>
      <w:spacing w:after="960" w:line="520" w:lineRule="exact"/>
      <w:outlineLvl w:val="8"/>
    </w:pPr>
    <w:rPr>
      <w:rFonts w:asciiTheme="majorHAnsi" w:eastAsiaTheme="majorEastAsia" w:hAnsiTheme="majorHAnsi" w:cstheme="majorBidi"/>
      <w:b/>
      <w:iCs/>
      <w:color w:val="4472C4" w:themeColor="accent1"/>
      <w:kern w:val="0"/>
      <w:sz w:val="48"/>
      <w:szCs w:val="21"/>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E91E88"/>
    <w:rPr>
      <w:rFonts w:asciiTheme="majorHAnsi" w:eastAsiaTheme="majorEastAsia" w:hAnsiTheme="majorHAnsi" w:cstheme="majorBidi"/>
      <w:b/>
      <w:color w:val="5B9BD5" w:themeColor="accent5"/>
      <w:kern w:val="0"/>
      <w:sz w:val="56"/>
      <w:szCs w:val="32"/>
      <w:shd w:val="clear" w:color="auto" w:fill="ED7D31" w:themeFill="accent2"/>
      <w:lang w:val="en-GB"/>
      <w14:ligatures w14:val="none"/>
    </w:rPr>
  </w:style>
  <w:style w:type="character" w:customStyle="1" w:styleId="Heading2Char">
    <w:name w:val="Heading 2 Char"/>
    <w:basedOn w:val="DefaultParagraphFont"/>
    <w:link w:val="Heading2"/>
    <w:uiPriority w:val="7"/>
    <w:rsid w:val="00E91E88"/>
    <w:rPr>
      <w:rFonts w:eastAsiaTheme="majorEastAsia" w:cstheme="majorBidi"/>
      <w:b/>
      <w:color w:val="4472C4" w:themeColor="accent1"/>
      <w:kern w:val="0"/>
      <w:sz w:val="24"/>
      <w:szCs w:val="26"/>
      <w:lang w:val="en-GB"/>
      <w14:ligatures w14:val="none"/>
    </w:rPr>
  </w:style>
  <w:style w:type="character" w:customStyle="1" w:styleId="Heading3Char">
    <w:name w:val="Heading 3 Char"/>
    <w:basedOn w:val="DefaultParagraphFont"/>
    <w:link w:val="Heading3"/>
    <w:uiPriority w:val="9"/>
    <w:rsid w:val="00E91E88"/>
    <w:rPr>
      <w:rFonts w:eastAsiaTheme="majorEastAsia" w:cstheme="majorBidi"/>
      <w:b/>
      <w:i/>
      <w:color w:val="000000" w:themeColor="text1"/>
      <w:kern w:val="0"/>
      <w:szCs w:val="24"/>
      <w:lang w:val="en-GB"/>
      <w14:ligatures w14:val="none"/>
    </w:rPr>
  </w:style>
  <w:style w:type="character" w:customStyle="1" w:styleId="Heading4Char">
    <w:name w:val="Heading 4 Char"/>
    <w:basedOn w:val="DefaultParagraphFont"/>
    <w:link w:val="Heading4"/>
    <w:uiPriority w:val="9"/>
    <w:rsid w:val="00E91E88"/>
    <w:rPr>
      <w:rFonts w:eastAsiaTheme="majorEastAsia" w:cstheme="majorBidi"/>
      <w:i/>
      <w:iCs/>
      <w:color w:val="44546A" w:themeColor="text2"/>
      <w:kern w:val="0"/>
      <w:lang w:val="en-GB"/>
      <w14:ligatures w14:val="none"/>
    </w:rPr>
  </w:style>
  <w:style w:type="character" w:customStyle="1" w:styleId="Heading6Char">
    <w:name w:val="Heading 6 Char"/>
    <w:aliases w:val="Part Char"/>
    <w:basedOn w:val="DefaultParagraphFont"/>
    <w:link w:val="Heading6"/>
    <w:uiPriority w:val="3"/>
    <w:rsid w:val="00E91E88"/>
    <w:rPr>
      <w:rFonts w:asciiTheme="majorHAnsi" w:eastAsiaTheme="majorEastAsia" w:hAnsiTheme="majorHAnsi" w:cstheme="majorBidi"/>
      <w:b/>
      <w:color w:val="5B9BD5" w:themeColor="accent5"/>
      <w:kern w:val="0"/>
      <w:sz w:val="72"/>
      <w:shd w:val="clear" w:color="auto" w:fill="ED7D31" w:themeFill="accent2"/>
      <w:lang w:val="en-GB"/>
      <w14:ligatures w14:val="none"/>
    </w:rPr>
  </w:style>
  <w:style w:type="character" w:customStyle="1" w:styleId="Heading7Char">
    <w:name w:val="Heading 7 Char"/>
    <w:aliases w:val="Doc AnnX Char"/>
    <w:basedOn w:val="DefaultParagraphFont"/>
    <w:link w:val="Heading7"/>
    <w:uiPriority w:val="19"/>
    <w:rsid w:val="00E91E88"/>
    <w:rPr>
      <w:rFonts w:asciiTheme="majorHAnsi" w:eastAsiaTheme="majorEastAsia" w:hAnsiTheme="majorHAnsi" w:cstheme="majorBidi"/>
      <w:b/>
      <w:iCs/>
      <w:color w:val="4472C4" w:themeColor="accent1"/>
      <w:kern w:val="0"/>
      <w:sz w:val="48"/>
      <w:szCs w:val="21"/>
      <w:lang w:val="en-GB"/>
      <w14:ligatures w14:val="none"/>
    </w:rPr>
  </w:style>
  <w:style w:type="character" w:customStyle="1" w:styleId="Heading8Char">
    <w:name w:val="Heading 8 Char"/>
    <w:aliases w:val="Part AnnX Char"/>
    <w:basedOn w:val="DefaultParagraphFont"/>
    <w:link w:val="Heading8"/>
    <w:uiPriority w:val="9"/>
    <w:rsid w:val="00E91E88"/>
    <w:rPr>
      <w:rFonts w:asciiTheme="majorHAnsi" w:eastAsiaTheme="majorEastAsia" w:hAnsiTheme="majorHAnsi" w:cstheme="majorBidi"/>
      <w:b/>
      <w:color w:val="4472C4" w:themeColor="accent1"/>
      <w:kern w:val="0"/>
      <w:sz w:val="28"/>
      <w:szCs w:val="21"/>
      <w:lang w:val="en-GB"/>
      <w14:ligatures w14:val="none"/>
    </w:rPr>
  </w:style>
  <w:style w:type="character" w:customStyle="1" w:styleId="Heading9Char">
    <w:name w:val="Heading 9 Char"/>
    <w:aliases w:val="Chap AnnX Char"/>
    <w:basedOn w:val="DefaultParagraphFont"/>
    <w:link w:val="Heading9"/>
    <w:uiPriority w:val="20"/>
    <w:rsid w:val="00E91E88"/>
    <w:rPr>
      <w:rFonts w:asciiTheme="majorHAnsi" w:eastAsiaTheme="majorEastAsia" w:hAnsiTheme="majorHAnsi" w:cstheme="majorBidi"/>
      <w:b/>
      <w:iCs/>
      <w:color w:val="4472C4" w:themeColor="accent1"/>
      <w:kern w:val="0"/>
      <w:sz w:val="48"/>
      <w:szCs w:val="21"/>
      <w:lang w:val="en-GB"/>
      <w14:ligatures w14:val="none"/>
    </w:rPr>
  </w:style>
  <w:style w:type="paragraph" w:customStyle="1" w:styleId="CaptionSubtitle">
    <w:name w:val="Caption Subtitle"/>
    <w:next w:val="Normal"/>
    <w:qFormat/>
    <w:rsid w:val="00E91E88"/>
    <w:pPr>
      <w:keepNext/>
      <w:spacing w:after="180" w:line="260" w:lineRule="exact"/>
    </w:pPr>
    <w:rPr>
      <w:rFonts w:asciiTheme="majorHAnsi" w:hAnsiTheme="majorHAnsi"/>
      <w:color w:val="000000" w:themeColor="text1"/>
      <w:kern w:val="0"/>
      <w:lang w:val="en-GB"/>
      <w14:ligatures w14:val="none"/>
    </w:rPr>
  </w:style>
  <w:style w:type="paragraph" w:styleId="Caption">
    <w:name w:val="caption"/>
    <w:next w:val="CaptionSubtitle"/>
    <w:uiPriority w:val="35"/>
    <w:unhideWhenUsed/>
    <w:qFormat/>
    <w:rsid w:val="00E91E88"/>
    <w:pPr>
      <w:keepNext/>
      <w:spacing w:before="360" w:after="180" w:line="280" w:lineRule="exact"/>
    </w:pPr>
    <w:rPr>
      <w:rFonts w:asciiTheme="majorHAnsi" w:hAnsiTheme="majorHAnsi"/>
      <w:b/>
      <w:iCs/>
      <w:color w:val="4472C4" w:themeColor="accent1"/>
      <w:kern w:val="0"/>
      <w:sz w:val="24"/>
      <w:szCs w:val="18"/>
      <w:lang w:val="en-GB"/>
      <w14:ligatures w14:val="none"/>
    </w:rPr>
  </w:style>
  <w:style w:type="paragraph" w:customStyle="1" w:styleId="Sourcenotes">
    <w:name w:val="Source &amp; notes"/>
    <w:uiPriority w:val="16"/>
    <w:qFormat/>
    <w:rsid w:val="00E91E88"/>
    <w:pPr>
      <w:keepLines/>
      <w:spacing w:before="120" w:after="360" w:line="220" w:lineRule="exact"/>
      <w:contextualSpacing/>
      <w:jc w:val="both"/>
    </w:pPr>
    <w:rPr>
      <w:rFonts w:asciiTheme="majorHAnsi" w:hAnsiTheme="majorHAnsi"/>
      <w:color w:val="000000" w:themeColor="text1"/>
      <w:kern w:val="0"/>
      <w:sz w:val="18"/>
      <w:lang w:val="en-GB"/>
      <w14:ligatures w14:val="none"/>
    </w:rPr>
  </w:style>
  <w:style w:type="paragraph" w:customStyle="1" w:styleId="Figure">
    <w:name w:val="Figure"/>
    <w:basedOn w:val="Normal"/>
    <w:rsid w:val="00E91E88"/>
    <w:pPr>
      <w:widowControl w:val="0"/>
      <w:spacing w:after="0" w:line="240" w:lineRule="auto"/>
      <w:jc w:val="center"/>
    </w:pPr>
    <w:rPr>
      <w:kern w:val="0"/>
      <w:lang w:val="en-GB"/>
      <w14:ligatures w14:val="none"/>
    </w:rPr>
  </w:style>
  <w:style w:type="paragraph" w:customStyle="1" w:styleId="Para">
    <w:name w:val="Para #.#"/>
    <w:basedOn w:val="Normal"/>
    <w:uiPriority w:val="4"/>
    <w:rsid w:val="00E91E88"/>
    <w:pPr>
      <w:numPr>
        <w:ilvl w:val="4"/>
        <w:numId w:val="1"/>
      </w:numPr>
      <w:tabs>
        <w:tab w:val="left" w:pos="1361"/>
      </w:tabs>
      <w:spacing w:before="120" w:after="120" w:line="260" w:lineRule="atLeast"/>
      <w:jc w:val="both"/>
    </w:pPr>
    <w:rPr>
      <w:kern w:val="0"/>
      <w:sz w:val="20"/>
      <w:lang w:val="en-GB"/>
      <w14:ligatures w14:val="none"/>
    </w:rPr>
  </w:style>
  <w:style w:type="character" w:styleId="Hyperlink">
    <w:name w:val="Hyperlink"/>
    <w:basedOn w:val="DefaultParagraphFont"/>
    <w:uiPriority w:val="99"/>
    <w:unhideWhenUsed/>
    <w:rsid w:val="00E91E88"/>
    <w:rPr>
      <w:color w:val="0563C1" w:themeColor="hyperlink"/>
      <w:u w:val="single"/>
    </w:rPr>
  </w:style>
  <w:style w:type="character" w:styleId="CommentReference">
    <w:name w:val="annotation reference"/>
    <w:basedOn w:val="DefaultParagraphFont"/>
    <w:uiPriority w:val="99"/>
    <w:semiHidden/>
    <w:unhideWhenUsed/>
    <w:rsid w:val="00E91E88"/>
    <w:rPr>
      <w:sz w:val="16"/>
      <w:szCs w:val="16"/>
    </w:rPr>
  </w:style>
  <w:style w:type="paragraph" w:styleId="CommentText">
    <w:name w:val="annotation text"/>
    <w:basedOn w:val="Normal"/>
    <w:link w:val="CommentTextChar"/>
    <w:uiPriority w:val="99"/>
    <w:unhideWhenUsed/>
    <w:rsid w:val="00E91E88"/>
    <w:pPr>
      <w:widowControl w:val="0"/>
      <w:spacing w:after="0" w:line="240" w:lineRule="auto"/>
      <w:jc w:val="both"/>
    </w:pPr>
    <w:rPr>
      <w:kern w:val="0"/>
      <w:sz w:val="20"/>
      <w:szCs w:val="20"/>
      <w:lang w:val="en-GB"/>
      <w14:ligatures w14:val="none"/>
    </w:rPr>
  </w:style>
  <w:style w:type="character" w:customStyle="1" w:styleId="CommentTextChar">
    <w:name w:val="Comment Text Char"/>
    <w:basedOn w:val="DefaultParagraphFont"/>
    <w:link w:val="CommentText"/>
    <w:uiPriority w:val="99"/>
    <w:rsid w:val="00E91E88"/>
    <w:rPr>
      <w:kern w:val="0"/>
      <w:sz w:val="20"/>
      <w:szCs w:val="20"/>
      <w:lang w:val="en-GB"/>
      <w14:ligatures w14:val="none"/>
    </w:rPr>
  </w:style>
  <w:style w:type="paragraph" w:styleId="ListParagraph">
    <w:name w:val="List Paragraph"/>
    <w:basedOn w:val="Normal"/>
    <w:uiPriority w:val="34"/>
    <w:qFormat/>
    <w:rsid w:val="005A309B"/>
    <w:pPr>
      <w:ind w:left="720"/>
      <w:contextualSpacing/>
    </w:pPr>
    <w:rPr>
      <w:kern w:val="0"/>
      <w14:ligatures w14:val="none"/>
    </w:rPr>
  </w:style>
  <w:style w:type="paragraph" w:customStyle="1" w:styleId="xxmsonormal">
    <w:name w:val="x_xmsonormal"/>
    <w:basedOn w:val="Normal"/>
    <w:rsid w:val="004B361E"/>
    <w:pPr>
      <w:spacing w:after="0" w:line="240" w:lineRule="auto"/>
    </w:pPr>
    <w:rPr>
      <w:rFonts w:ascii="Calibri" w:hAnsi="Calibri" w:cs="Calibri"/>
      <w:kern w:val="0"/>
      <w:lang w:val="en-GB"/>
      <w14:ligatures w14:val="none"/>
    </w:rPr>
  </w:style>
  <w:style w:type="paragraph" w:customStyle="1" w:styleId="xxmsolistparagraph">
    <w:name w:val="x_xmsolistparagraph"/>
    <w:basedOn w:val="Normal"/>
    <w:rsid w:val="004B361E"/>
    <w:pPr>
      <w:spacing w:after="0" w:line="240" w:lineRule="auto"/>
      <w:ind w:left="720"/>
    </w:pPr>
    <w:rPr>
      <w:rFonts w:ascii="Calibri" w:hAnsi="Calibri" w:cs="Calibri"/>
      <w:kern w:val="0"/>
      <w:lang w:val="en-GB"/>
      <w14:ligatures w14:val="none"/>
    </w:rPr>
  </w:style>
  <w:style w:type="character" w:styleId="FollowedHyperlink">
    <w:name w:val="FollowedHyperlink"/>
    <w:basedOn w:val="DefaultParagraphFont"/>
    <w:uiPriority w:val="99"/>
    <w:semiHidden/>
    <w:unhideWhenUsed/>
    <w:rsid w:val="00EB42D0"/>
    <w:rPr>
      <w:color w:val="954F72" w:themeColor="followedHyperlink"/>
      <w:u w:val="single"/>
    </w:rPr>
  </w:style>
  <w:style w:type="paragraph" w:styleId="NormalWeb">
    <w:name w:val="Normal (Web)"/>
    <w:basedOn w:val="Normal"/>
    <w:uiPriority w:val="99"/>
    <w:semiHidden/>
    <w:unhideWhenUsed/>
    <w:rsid w:val="008F320F"/>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UnresolvedMention">
    <w:name w:val="Unresolved Mention"/>
    <w:basedOn w:val="DefaultParagraphFont"/>
    <w:uiPriority w:val="99"/>
    <w:semiHidden/>
    <w:unhideWhenUsed/>
    <w:rsid w:val="00B47A8B"/>
    <w:rPr>
      <w:color w:val="605E5C"/>
      <w:shd w:val="clear" w:color="auto" w:fill="E1DFDD"/>
    </w:rPr>
  </w:style>
  <w:style w:type="paragraph" w:styleId="Header">
    <w:name w:val="header"/>
    <w:basedOn w:val="Normal"/>
    <w:link w:val="HeaderChar"/>
    <w:uiPriority w:val="99"/>
    <w:unhideWhenUsed/>
    <w:rsid w:val="00BB23DF"/>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HeaderChar">
    <w:name w:val="Header Char"/>
    <w:basedOn w:val="DefaultParagraphFont"/>
    <w:link w:val="Header"/>
    <w:uiPriority w:val="99"/>
    <w:rsid w:val="00BB23DF"/>
    <w:rPr>
      <w:rFonts w:ascii="Times New Roman" w:eastAsia="Times New Roman" w:hAnsi="Times New Roman" w:cs="Times New Roman"/>
      <w:kern w:val="0"/>
      <w:sz w:val="24"/>
      <w:szCs w:val="24"/>
      <w:lang w:eastAsia="lt-LT"/>
      <w14:ligatures w14:val="none"/>
    </w:rPr>
  </w:style>
  <w:style w:type="paragraph" w:styleId="Footer">
    <w:name w:val="footer"/>
    <w:basedOn w:val="Normal"/>
    <w:link w:val="FooterChar"/>
    <w:uiPriority w:val="99"/>
    <w:unhideWhenUsed/>
    <w:rsid w:val="0020378E"/>
    <w:pPr>
      <w:tabs>
        <w:tab w:val="center" w:pos="4819"/>
        <w:tab w:val="right" w:pos="9638"/>
      </w:tabs>
      <w:spacing w:after="0" w:line="240" w:lineRule="auto"/>
    </w:pPr>
  </w:style>
  <w:style w:type="character" w:customStyle="1" w:styleId="FooterChar">
    <w:name w:val="Footer Char"/>
    <w:basedOn w:val="DefaultParagraphFont"/>
    <w:link w:val="Footer"/>
    <w:uiPriority w:val="99"/>
    <w:rsid w:val="0020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31464">
      <w:bodyDiv w:val="1"/>
      <w:marLeft w:val="0"/>
      <w:marRight w:val="0"/>
      <w:marTop w:val="0"/>
      <w:marBottom w:val="0"/>
      <w:divBdr>
        <w:top w:val="none" w:sz="0" w:space="0" w:color="auto"/>
        <w:left w:val="none" w:sz="0" w:space="0" w:color="auto"/>
        <w:bottom w:val="none" w:sz="0" w:space="0" w:color="auto"/>
        <w:right w:val="none" w:sz="0" w:space="0" w:color="auto"/>
      </w:divBdr>
    </w:div>
    <w:div w:id="126407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kurklt.lt/wp-content/uploads/2022/09/Skaitmeninio-svietimo-gaires-_-galutinis-2.pdf" TargetMode="External"/><Relationship Id="rId13" Type="http://schemas.openxmlformats.org/officeDocument/2006/relationships/hyperlink" Target="https://e-seimas.lrs.lt/portal/legalAct/lt/TAD/0cbb5ce0907011e48028e9b85331c55d?positionInSearchResults=0&amp;searchModelUUID=284e4c90-a46a-4da6-8f9e-b8f7a0b5a296"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aitmeninekoalicija.lt/en/about.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imas.lrs.lt/portal/legalAct/lt/TAD/a66c0760b04011e3bf53dc70cf7669d9/as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ikulinija.lt"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tar.lt/portal/lt/legalAct/TAR.B4A3ED74063A/asr"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oecd-en.xsl" StyleName="OECD English" Version="20220221">
  <b:Source>
    <b:Tag>OEC26</b:Tag>
    <b:SourceType>Book</b:SourceType>
    <b:Guid>{7D8531B5-5997-4E05-9F9F-C00E2A029C41}</b:Guid>
    <b:Author>
      <b:Author>
        <b:Corporate>OECD</b:Corporate>
      </b:Author>
    </b:Author>
    <b:Title>Programme for International Student Assessment (PISA) - Results from PISA 2018: Lithuania</b:Title>
    <b:Year>2019</b:Year>
    <b:URL>https://www.oecd.org/pisa/publications/PISA2018_CN_LTU.pdf</b:URL>
    <b:RefOrder>71</b:RefOrder>
  </b:Source>
  <b:Source>
    <b:Tag>OEC33</b:Tag>
    <b:SourceType>Book</b:SourceType>
    <b:Guid>{A338E74F-3EE1-47E0-BB8A-C3017FEFCC05}</b:Guid>
    <b:Author>
      <b:Author>
        <b:Corporate>OECD</b:Corporate>
      </b:Author>
    </b:Author>
    <b:Title>OECD Economic Surveys: Lithuania 2020</b:Title>
    <b:Publisher>OECD Publishing, Paris</b:Publisher>
    <b:DOI>https://doi.org/10.1787/62663b1d-en</b:DOI>
    <b:Year>2020</b:Year>
    <b:RefOrder>39</b:RefOrder>
  </b:Source>
  <b:Source>
    <b:Tag>OEC2025</b:Tag>
    <b:SourceType>JournalArticle</b:SourceType>
    <b:Guid>{99DBD863-07A9-4CF3-ADF6-1E59988A2D71}</b:Guid>
    <b:Author>
      <b:Author>
        <b:Corporate>OECD</b:Corporate>
      </b:Author>
    </b:Author>
    <b:Title>The Impact of COVID-19 on Student Equity and Inclusion: Supporting Vulnerable Students During School Closures and School Re-openings</b:Title>
    <b:Year>2020</b:Year>
    <b:DOI> https://doi.org/10.1787/d593b5c8-en </b:DOI>
    <b:JournalName>OECD Policy Responses to Coronavirus (COVID-19)</b:JournalName>
    <b:Comments>,OECD Publishing, Paris</b:Comments>
    <b:RefOrder>72</b:RefOrder>
  </b:Source>
  <b:Source>
    <b:Tag>OEC34</b:Tag>
    <b:SourceType>Book</b:SourceType>
    <b:Guid>{C82778C6-D41E-4AB3-B4A6-8BD12B66A0D9}</b:Guid>
    <b:Author>
      <b:Author>
        <b:Corporate>OECD</b:Corporate>
      </b:Author>
    </b:Author>
    <b:Title>OECD Skills Strategy Lithuania: Assessment and Recommendations</b:Title>
    <b:DOI>https://doi.org/10.1787/14deb088-en</b:DOI>
    <b:Year>2021</b:Year>
    <b:Publisher>OECD Skills Studies, OECD Publishing,Paris</b:Publisher>
    <b:RefOrder>58</b:RefOrder>
  </b:Source>
  <b:Source>
    <b:Tag>Eur2010</b:Tag>
    <b:SourceType>Book</b:SourceType>
    <b:Guid>{8D1C305F-13AC-4115-A8AE-BA67DB4A7D0F}</b:Guid>
    <b:Author>
      <b:Author>
        <b:Corporate>European Commission</b:Corporate>
      </b:Author>
    </b:Author>
    <b:Title>Eduction and Training Monitor 2020: Lithuania</b:Title>
    <b:Year>2020</b:Year>
    <b:URL>https://op.europa.eu/webpub/eac/education-and-training-monitor-2020/countries/lithuania.html</b:URL>
    <b:RefOrder>73</b:RefOrder>
  </b:Source>
  <b:Source>
    <b:Tag>Sei20</b:Tag>
    <b:SourceType>Book</b:SourceType>
    <b:Guid>{BE6F002C-E584-47EC-94BC-50812B451683}</b:Guid>
    <b:Author>
      <b:Author>
        <b:Corporate>Seimas</b:Corporate>
      </b:Author>
    </b:Author>
    <b:Title>Resolution No XIV-72 on the Programme of the Eighteenth Government of the Republic of Lithuania </b:Title>
    <b:Year>2020</b:Year>
    <b:RefOrder>74</b:RefOrder>
  </b:Source>
  <b:Source>
    <b:Tag>OEC2113</b:Tag>
    <b:SourceType>Book</b:SourceType>
    <b:Guid>{E8DB1A21-C705-4CA2-A3FF-4BFB5A2E76B4}</b:Guid>
    <b:Author>
      <b:Author>
        <b:Corporate>OECD</b:Corporate>
      </b:Author>
    </b:Author>
    <b:Title>OECD Economic Surveys: Portugal 2021</b:Title>
    <b:Year>2021</b:Year>
    <b:Publisher>OECD Publishing, Paris</b:Publisher>
    <b:DOI>https://doi.org/10.1787/13b842d6-en</b:DOI>
    <b:RefOrder>47</b:RefOrder>
  </b:Source>
  <b:Source>
    <b:Tag>OEC2115</b:Tag>
    <b:SourceType>Book</b:SourceType>
    <b:Guid>{E62EC537-3FB2-4827-AEDA-92D58B9BD03A}</b:Guid>
    <b:Author>
      <b:Author>
        <b:Corporate>OECD</b:Corporate>
      </b:Author>
    </b:Author>
    <b:Title>OECD Economic Surveys: Netherlands 2021</b:Title>
    <b:Year>2021</b:Year>
    <b:Publisher>OECD Publishing, Paris</b:Publisher>
    <b:DOI>https://doi.org/10.1787/dd476bd3-en</b:DOI>
    <b:RefOrder>75</b:RefOrder>
  </b:Source>
  <b:Source>
    <b:Tag>Van20</b:Tag>
    <b:SourceType>JournalArticle</b:SourceType>
    <b:Guid>{0C244F95-74EC-4204-8DDB-A04B5FF5F41F}</b:Guid>
    <b:Author>
      <b:Author>
        <b:NameList>
          <b:Person>
            <b:Last>Vandeweyer</b:Last>
            <b:First>M.</b:First>
          </b:Person>
          <b:Person>
            <b:Last>Verhagen</b:Last>
            <b:First>A.</b:First>
          </b:Person>
        </b:NameList>
      </b:Author>
    </b:Author>
    <b:Title>The Changing Labour Market for Graduates from Medium Level Vocational Education and Training</b:Title>
    <b:Year>2020</b:Year>
    <b:DOI>https://doi.org/10.1787/503bcecb-en</b:DOI>
    <b:JournalName> OECD Social, Employment and Migration Working Papers</b:JournalName>
    <b:Comments>No. 244</b:Comments>
    <b:RefOrder>76</b:RefOrder>
  </b:Source>
  <b:Source>
    <b:Tag>Eur211</b:Tag>
    <b:SourceType>Book</b:SourceType>
    <b:Guid>{7D50BB27-8458-4040-877F-B82F20EBE7F0}</b:Guid>
    <b:Author>
      <b:Author>
        <b:Corporate>European Commission</b:Corporate>
      </b:Author>
    </b:Author>
    <b:Title>Analysis of the Recovery and Resilience Plan of Lithuania, Commission Staff Working Paper, SWD (2021) 187 </b:Title>
    <b:Year>2021</b:Year>
    <b:RefOrder>7</b:RefOrder>
  </b:Source>
  <b:Source>
    <b:Tag>OEC1926</b:Tag>
    <b:SourceType>Book</b:SourceType>
    <b:Guid>{220A3AAA-6958-43B1-91AC-4992A84D953C}</b:Guid>
    <b:Author>
      <b:Author>
        <b:Corporate>OECD</b:Corporate>
      </b:Author>
    </b:Author>
    <b:Title>TALIS 2018 Results (Volume I): Teachers and School Leaders as Lifelong Learners</b:Title>
    <b:Year>2019</b:Year>
    <b:Publisher>TALIS, OECD Publishing, Paris</b:Publisher>
    <b:DOI>https://doi.org/10.1787/1d0bc92a-en</b:DOI>
    <b:RefOrder>77</b:RefOrder>
  </b:Source>
  <b:Source>
    <b:Tag>OEC2026</b:Tag>
    <b:SourceType>Book</b:SourceType>
    <b:Guid>{4924F14B-1787-4D43-B313-90201FF8F8CD}</b:Guid>
    <b:Author>
      <b:Author>
        <b:Corporate>OECD</b:Corporate>
      </b:Author>
    </b:Author>
    <b:Title>OECD Employment Outlook 2020: Worker Security and the COVID-19 Crisis</b:Title>
    <b:Year>2020</b:Year>
    <b:DOI> https://doi.org/10.1787/1686c758-en </b:DOI>
    <b:Publisher>OECD Publishing, Paris </b:Publisher>
    <b:RefOrder>78</b:RefOrder>
  </b:Source>
  <b:Source>
    <b:Tag>Cat19</b:Tag>
    <b:SourceType>JournalArticle</b:SourceType>
    <b:Guid>{CEF1C3EB-3067-48D4-ADA3-8AACA9995F8C}</b:Guid>
    <b:Author>
      <b:Author>
        <b:NameList>
          <b:Person>
            <b:Last>Caturianas</b:Last>
            <b:First>D.</b:First>
          </b:Person>
          <b:Person>
            <b:Last>Budraitis</b:Last>
            <b:First>M.</b:First>
          </b:Person>
        </b:NameList>
      </b:Author>
    </b:Author>
    <b:Title>Assessment of the Ongoing Higher Education Reforms in Lithuania</b:Title>
    <b:Year>2019</b:Year>
    <b:Comments>NESET Ad hoc question, No. 3/2019 </b:Comments>
    <b:RefOrder>79</b:RefOrder>
  </b:Source>
  <b:Source>
    <b:Tag>Lit</b:Tag>
    <b:SourceType>BookSection</b:SourceType>
    <b:Guid>{66BD7C94-4197-4305-B63E-B1F663A04C30}</b:Guid>
    <b:Author>
      <b:Author>
        <b:Corporate>Lithuanian Innovation Center</b:Corporate>
      </b:Author>
    </b:Author>
    <b:Title>Lithuanian Industry Digitation Roadmap 2020-2030</b:Title>
    <b:Year>2020</b:Year>
    <b:RefOrder>2</b:RefOrder>
  </b:Source>
  <b:Source>
    <b:Tag>OEC2116</b:Tag>
    <b:SourceType>Book</b:SourceType>
    <b:Guid>{F44BDAC8-2549-43B9-9BFC-5E0A9A912B5E}</b:Guid>
    <b:Author>
      <b:Author>
        <b:Corporate>OECD</b:Corporate>
      </b:Author>
    </b:Author>
    <b:Title>Supporting Entrepreneurship and Innovation in Higher Education in Lithuania</b:Title>
    <b:Year>2021</b:Year>
    <b:Publisher>OECD/European Union</b:Publisher>
    <b:DOI>https://www.oecd.org/cfe/smes/HEInnovate-Lithuania_2021r.pdf</b:DOI>
    <b:RefOrder>80</b:RefOrder>
  </b:Source>
  <b:Source>
    <b:Tag>OEC2027</b:Tag>
    <b:SourceType>Book</b:SourceType>
    <b:Guid>{58571B29-670B-4891-B719-B753E1D9EFE6}</b:Guid>
    <b:Author>
      <b:Author>
        <b:Corporate>OECD</b:Corporate>
      </b:Author>
    </b:Author>
    <b:Title>Education at a Glance 2020: OECD Indicators</b:Title>
    <b:Year>2020</b:Year>
    <b:Publisher>OECD Publishing, Paris</b:Publisher>
    <b:DOI>https://doi.org/10.1787/69096873-en</b:DOI>
    <b:RefOrder>81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Lithuania</Contributor>
  </documentManagement>
</p:properties>
</file>

<file path=customXml/itemProps1.xml><?xml version="1.0" encoding="utf-8"?>
<ds:datastoreItem xmlns:ds="http://schemas.openxmlformats.org/officeDocument/2006/customXml" ds:itemID="{EA69D94B-C3DF-48F4-AAA0-624218F12FFE}">
  <ds:schemaRefs>
    <ds:schemaRef ds:uri="http://schemas.openxmlformats.org/officeDocument/2006/bibliography"/>
  </ds:schemaRefs>
</ds:datastoreItem>
</file>

<file path=customXml/itemProps2.xml><?xml version="1.0" encoding="utf-8"?>
<ds:datastoreItem xmlns:ds="http://schemas.openxmlformats.org/officeDocument/2006/customXml" ds:itemID="{21B6D125-502A-4C12-9BF4-45783D9FC31E}"/>
</file>

<file path=customXml/itemProps3.xml><?xml version="1.0" encoding="utf-8"?>
<ds:datastoreItem xmlns:ds="http://schemas.openxmlformats.org/officeDocument/2006/customXml" ds:itemID="{6880AA85-655A-407E-8C80-7B2C1BFFB98E}"/>
</file>

<file path=customXml/itemProps4.xml><?xml version="1.0" encoding="utf-8"?>
<ds:datastoreItem xmlns:ds="http://schemas.openxmlformats.org/officeDocument/2006/customXml" ds:itemID="{9DFE7818-1CFB-4C13-989D-19CF71FF1B91}"/>
</file>

<file path=docProps/app.xml><?xml version="1.0" encoding="utf-8"?>
<Properties xmlns="http://schemas.openxmlformats.org/officeDocument/2006/extended-properties" xmlns:vt="http://schemas.openxmlformats.org/officeDocument/2006/docPropsVTypes">
  <Template>Normal.dotm</Template>
  <TotalTime>0</TotalTime>
  <Pages>3</Pages>
  <Words>2584</Words>
  <Characters>14731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Ferrari Vilma | ŠMSM</dc:creator>
  <cp:lastModifiedBy>Helen Griffiths</cp:lastModifiedBy>
  <cp:revision>2</cp:revision>
  <dcterms:created xsi:type="dcterms:W3CDTF">2024-02-09T09:02:00Z</dcterms:created>
  <dcterms:modified xsi:type="dcterms:W3CDTF">2024-02-09T09:02:00Z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