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DE7E" w14:textId="77777777" w:rsidR="003B4110" w:rsidRDefault="003B4110" w:rsidP="00B83A3E">
      <w:pPr>
        <w:spacing w:line="360" w:lineRule="auto"/>
      </w:pPr>
    </w:p>
    <w:p w14:paraId="479536A6" w14:textId="71786604" w:rsidR="00E64492" w:rsidRDefault="00E64492" w:rsidP="00B83A3E">
      <w:pPr>
        <w:spacing w:line="360" w:lineRule="auto"/>
        <w:jc w:val="center"/>
        <w:rPr>
          <w:b/>
          <w:bCs/>
          <w:sz w:val="32"/>
          <w:szCs w:val="32"/>
        </w:rPr>
      </w:pPr>
      <w:r w:rsidRPr="00E64492">
        <w:rPr>
          <w:b/>
          <w:bCs/>
          <w:sz w:val="32"/>
          <w:szCs w:val="32"/>
        </w:rPr>
        <w:t>Launch Event</w:t>
      </w:r>
    </w:p>
    <w:p w14:paraId="6B3564EC" w14:textId="77777777" w:rsidR="00E64492" w:rsidRDefault="00E64492" w:rsidP="00B83A3E">
      <w:pPr>
        <w:spacing w:line="360" w:lineRule="auto"/>
        <w:jc w:val="center"/>
        <w:rPr>
          <w:b/>
          <w:bCs/>
          <w:sz w:val="32"/>
          <w:szCs w:val="32"/>
        </w:rPr>
      </w:pPr>
    </w:p>
    <w:p w14:paraId="5239B4B4" w14:textId="77777777" w:rsidR="00E64492" w:rsidRDefault="00E64492" w:rsidP="00B83A3E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 October, 2023</w:t>
      </w:r>
    </w:p>
    <w:p w14:paraId="58A44BBC" w14:textId="0AD63A88" w:rsidR="00E64492" w:rsidRPr="00E64492" w:rsidRDefault="00E64492" w:rsidP="00B83A3E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Geneva.</w:t>
      </w:r>
    </w:p>
    <w:p w14:paraId="3831B792" w14:textId="77777777" w:rsidR="00E64492" w:rsidRPr="00E64492" w:rsidRDefault="00E64492" w:rsidP="00B83A3E">
      <w:pPr>
        <w:spacing w:line="360" w:lineRule="auto"/>
        <w:jc w:val="center"/>
        <w:rPr>
          <w:b/>
          <w:bCs/>
          <w:sz w:val="32"/>
          <w:szCs w:val="32"/>
        </w:rPr>
      </w:pPr>
    </w:p>
    <w:p w14:paraId="72379AA3" w14:textId="24D663CE" w:rsidR="00E64492" w:rsidRPr="00E64492" w:rsidRDefault="00E64492" w:rsidP="00B83A3E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E64492">
        <w:rPr>
          <w:b/>
          <w:bCs/>
          <w:i/>
          <w:iCs/>
          <w:sz w:val="32"/>
          <w:szCs w:val="32"/>
        </w:rPr>
        <w:t>‘Mental Health, Human Rights and Legislation: Guidance and Practice.’</w:t>
      </w:r>
    </w:p>
    <w:p w14:paraId="2B1C791E" w14:textId="77777777" w:rsidR="00E64492" w:rsidRDefault="00E64492" w:rsidP="00B83A3E">
      <w:pPr>
        <w:spacing w:line="360" w:lineRule="auto"/>
        <w:jc w:val="center"/>
        <w:rPr>
          <w:b/>
          <w:bCs/>
          <w:sz w:val="32"/>
          <w:szCs w:val="32"/>
        </w:rPr>
      </w:pPr>
    </w:p>
    <w:p w14:paraId="27CBEDA1" w14:textId="04CCA225" w:rsidR="00E64492" w:rsidRPr="00E64492" w:rsidRDefault="00E64492" w:rsidP="00B83A3E">
      <w:pPr>
        <w:spacing w:line="360" w:lineRule="auto"/>
        <w:jc w:val="center"/>
      </w:pPr>
      <w:r w:rsidRPr="00E64492">
        <w:t>Remarks of Gerard Quinn, UN Special Rapporteur on the rights of persons with disabilities.</w:t>
      </w:r>
    </w:p>
    <w:p w14:paraId="1FC1A681" w14:textId="6AF6D667" w:rsidR="00E64492" w:rsidRDefault="0042483A" w:rsidP="00B83A3E">
      <w:pPr>
        <w:spacing w:line="360" w:lineRule="auto"/>
        <w:jc w:val="center"/>
      </w:pPr>
      <w:hyperlink r:id="rId6" w:history="1">
        <w:r w:rsidR="00E64492" w:rsidRPr="00EC4630">
          <w:rPr>
            <w:rStyle w:val="Hyperlink"/>
          </w:rPr>
          <w:t>https://www.ohchr.org/en/special-procedures/sr-disability</w:t>
        </w:r>
      </w:hyperlink>
    </w:p>
    <w:p w14:paraId="633C85F9" w14:textId="77777777" w:rsidR="00E64492" w:rsidRDefault="00E64492" w:rsidP="00B83A3E">
      <w:pPr>
        <w:pBdr>
          <w:bottom w:val="single" w:sz="6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</w:p>
    <w:p w14:paraId="315C0B04" w14:textId="77777777" w:rsidR="006312A2" w:rsidRPr="00E64492" w:rsidRDefault="006312A2" w:rsidP="00B83A3E">
      <w:pPr>
        <w:spacing w:line="360" w:lineRule="auto"/>
        <w:jc w:val="center"/>
        <w:rPr>
          <w:b/>
          <w:bCs/>
          <w:sz w:val="28"/>
          <w:szCs w:val="28"/>
        </w:rPr>
      </w:pPr>
    </w:p>
    <w:p w14:paraId="1A2FF570" w14:textId="77777777" w:rsidR="00DE206B" w:rsidRDefault="003B4110" w:rsidP="00B83A3E">
      <w:pPr>
        <w:spacing w:line="360" w:lineRule="auto"/>
      </w:pPr>
      <w:r>
        <w:t>Th</w:t>
      </w:r>
      <w:r w:rsidR="00F8067A">
        <w:t xml:space="preserve">e launch of this Guidance </w:t>
      </w:r>
      <w:r>
        <w:t xml:space="preserve">is a significant moment in the evolution of </w:t>
      </w:r>
      <w:r w:rsidR="00E64492">
        <w:t>mental health law, policy and practice</w:t>
      </w:r>
      <w:r w:rsidR="006312A2">
        <w:t xml:space="preserve"> around the world</w:t>
      </w:r>
      <w:r w:rsidR="00E64492">
        <w:t xml:space="preserve">.  </w:t>
      </w:r>
    </w:p>
    <w:p w14:paraId="1A09AB4B" w14:textId="77777777" w:rsidR="00DE206B" w:rsidRDefault="00DE206B" w:rsidP="00B83A3E">
      <w:pPr>
        <w:spacing w:line="360" w:lineRule="auto"/>
      </w:pPr>
    </w:p>
    <w:p w14:paraId="644129F1" w14:textId="656890A1" w:rsidR="003B4110" w:rsidRPr="00E61196" w:rsidRDefault="00E64492" w:rsidP="00AA7D6E">
      <w:pPr>
        <w:spacing w:line="360" w:lineRule="auto"/>
        <w:rPr>
          <w:color w:val="000000" w:themeColor="text1"/>
        </w:rPr>
      </w:pPr>
      <w:r>
        <w:t xml:space="preserve">It marks a step change in </w:t>
      </w:r>
      <w:r w:rsidR="00AB5DC3">
        <w:t>our</w:t>
      </w:r>
      <w:r w:rsidR="00F8067A">
        <w:t xml:space="preserve"> </w:t>
      </w:r>
      <w:r w:rsidR="003B4110">
        <w:t>global policy imagination on mental health</w:t>
      </w:r>
      <w:r w:rsidR="003B4110" w:rsidRPr="00E61196">
        <w:rPr>
          <w:color w:val="000000" w:themeColor="text1"/>
        </w:rPr>
        <w:t xml:space="preserve">.  </w:t>
      </w:r>
      <w:r w:rsidR="00EE1DC3" w:rsidRPr="00E61196">
        <w:rPr>
          <w:color w:val="000000" w:themeColor="text1"/>
        </w:rPr>
        <w:t>It is one of the defining issues of our times</w:t>
      </w:r>
      <w:r w:rsidR="003E3C96" w:rsidRPr="00E61196">
        <w:rPr>
          <w:color w:val="000000" w:themeColor="text1"/>
        </w:rPr>
        <w:t xml:space="preserve">.  </w:t>
      </w:r>
      <w:r w:rsidR="0031127E" w:rsidRPr="00E61196">
        <w:rPr>
          <w:color w:val="000000" w:themeColor="text1"/>
        </w:rPr>
        <w:t xml:space="preserve">It is at the confluence of so many intersecting domains.  </w:t>
      </w:r>
      <w:r w:rsidR="003E3C96" w:rsidRPr="00E61196">
        <w:rPr>
          <w:color w:val="000000" w:themeColor="text1"/>
        </w:rPr>
        <w:t>Especially today, as conflict rages and has a deeply traumatising and inter-generation</w:t>
      </w:r>
      <w:r w:rsidR="009E51D1" w:rsidRPr="00E61196">
        <w:rPr>
          <w:color w:val="000000" w:themeColor="text1"/>
        </w:rPr>
        <w:t>al</w:t>
      </w:r>
      <w:r w:rsidR="003E3C96" w:rsidRPr="00E61196">
        <w:rPr>
          <w:color w:val="000000" w:themeColor="text1"/>
        </w:rPr>
        <w:t xml:space="preserve"> effect.</w:t>
      </w:r>
    </w:p>
    <w:p w14:paraId="1652444E" w14:textId="77777777" w:rsidR="003B4110" w:rsidRDefault="003B4110" w:rsidP="00B83A3E">
      <w:pPr>
        <w:spacing w:line="360" w:lineRule="auto"/>
      </w:pPr>
    </w:p>
    <w:p w14:paraId="7C878DFD" w14:textId="77777777" w:rsidR="003E3C96" w:rsidRDefault="003E3C96">
      <w:pPr>
        <w:spacing w:line="360" w:lineRule="auto"/>
        <w:rPr>
          <w:b/>
          <w:bCs/>
        </w:rPr>
      </w:pPr>
      <w:r>
        <w:rPr>
          <w:b/>
          <w:bCs/>
        </w:rPr>
        <w:t>Why a step change?</w:t>
      </w:r>
    </w:p>
    <w:p w14:paraId="25D9E9B4" w14:textId="77777777" w:rsidR="003E3C96" w:rsidRDefault="003E3C96">
      <w:pPr>
        <w:spacing w:line="360" w:lineRule="auto"/>
        <w:rPr>
          <w:b/>
          <w:bCs/>
        </w:rPr>
      </w:pPr>
    </w:p>
    <w:p w14:paraId="60ED2C07" w14:textId="31A10FC3" w:rsidR="003B4110" w:rsidRDefault="003B4110" w:rsidP="00B83A3E">
      <w:pPr>
        <w:spacing w:line="360" w:lineRule="auto"/>
      </w:pPr>
      <w:r w:rsidRPr="00DE206B">
        <w:rPr>
          <w:b/>
          <w:bCs/>
        </w:rPr>
        <w:t xml:space="preserve">First of all, </w:t>
      </w:r>
      <w:r w:rsidR="003E3C96">
        <w:rPr>
          <w:b/>
          <w:bCs/>
        </w:rPr>
        <w:t xml:space="preserve">the Guidance </w:t>
      </w:r>
      <w:r w:rsidRPr="00DE206B">
        <w:rPr>
          <w:b/>
          <w:bCs/>
        </w:rPr>
        <w:t xml:space="preserve">marks a profound moment when human rights becomes more than just tools to control </w:t>
      </w:r>
      <w:r w:rsidR="00E64492" w:rsidRPr="00DE206B">
        <w:rPr>
          <w:b/>
          <w:bCs/>
        </w:rPr>
        <w:t xml:space="preserve">the </w:t>
      </w:r>
      <w:r w:rsidRPr="00DE206B">
        <w:rPr>
          <w:b/>
          <w:bCs/>
        </w:rPr>
        <w:t>coercive power</w:t>
      </w:r>
      <w:r w:rsidR="00E64492" w:rsidRPr="00DE206B">
        <w:rPr>
          <w:b/>
          <w:bCs/>
        </w:rPr>
        <w:t xml:space="preserve"> of the State</w:t>
      </w:r>
      <w:r>
        <w:t xml:space="preserve">.   </w:t>
      </w:r>
    </w:p>
    <w:p w14:paraId="099A7D46" w14:textId="77777777" w:rsidR="003B4110" w:rsidRDefault="003B4110" w:rsidP="00B83A3E">
      <w:pPr>
        <w:spacing w:line="360" w:lineRule="auto"/>
      </w:pPr>
    </w:p>
    <w:p w14:paraId="422EE1D6" w14:textId="77777777" w:rsidR="00712E42" w:rsidRDefault="003B4110">
      <w:pPr>
        <w:spacing w:line="360" w:lineRule="auto"/>
      </w:pPr>
      <w:r>
        <w:t xml:space="preserve">The first phase of human rights as applied to mental health is </w:t>
      </w:r>
      <w:r w:rsidR="00712E42">
        <w:t xml:space="preserve">now </w:t>
      </w:r>
      <w:r>
        <w:t xml:space="preserve">over.  This involved </w:t>
      </w:r>
      <w:r w:rsidR="006312A2">
        <w:t>accepting i</w:t>
      </w:r>
      <w:r>
        <w:t>ntrusions on liberty and forced treatment</w:t>
      </w:r>
      <w:r w:rsidR="006312A2">
        <w:t xml:space="preserve"> and developing limiting principles to </w:t>
      </w:r>
      <w:r w:rsidR="006312A2">
        <w:lastRenderedPageBreak/>
        <w:t>minimise their use</w:t>
      </w:r>
      <w:r>
        <w:t xml:space="preserve">.  </w:t>
      </w:r>
      <w:r w:rsidR="00E64492">
        <w:t xml:space="preserve">Important though that is, it does not exhaust the full potential of human rights in the field.  </w:t>
      </w:r>
    </w:p>
    <w:p w14:paraId="4D5DD313" w14:textId="77777777" w:rsidR="00712E42" w:rsidRDefault="00712E42">
      <w:pPr>
        <w:spacing w:line="360" w:lineRule="auto"/>
      </w:pPr>
    </w:p>
    <w:p w14:paraId="1B181723" w14:textId="309132FD" w:rsidR="00D522C8" w:rsidRDefault="003B4110" w:rsidP="00B83A3E">
      <w:pPr>
        <w:spacing w:line="360" w:lineRule="auto"/>
      </w:pPr>
      <w:r>
        <w:t xml:space="preserve">The new agenda – which is well set out in this Guidance – is about how to breath life into rights and especially for those with mental health issues.  </w:t>
      </w:r>
    </w:p>
    <w:p w14:paraId="525EA2FD" w14:textId="77777777" w:rsidR="00D522C8" w:rsidRDefault="00D522C8" w:rsidP="00B83A3E">
      <w:pPr>
        <w:spacing w:line="360" w:lineRule="auto"/>
      </w:pPr>
    </w:p>
    <w:p w14:paraId="0F2F47A1" w14:textId="759A8FDE" w:rsidR="003B4110" w:rsidRDefault="00F8067A" w:rsidP="00B83A3E">
      <w:pPr>
        <w:spacing w:line="360" w:lineRule="auto"/>
      </w:pPr>
      <w:r>
        <w:t>To me, t</w:t>
      </w:r>
      <w:r w:rsidR="003B4110">
        <w:t xml:space="preserve">his is human rights at its </w:t>
      </w:r>
      <w:r w:rsidR="00E64492">
        <w:t xml:space="preserve">very </w:t>
      </w:r>
      <w:r w:rsidR="003B4110">
        <w:t xml:space="preserve">best – informing and guiding the constructive use of power </w:t>
      </w:r>
      <w:r w:rsidR="00E64492">
        <w:t xml:space="preserve">and largesse </w:t>
      </w:r>
      <w:r w:rsidR="003B4110">
        <w:t>to serve the dignity and autonomy of all persons</w:t>
      </w:r>
      <w:r w:rsidR="00AB5DC3">
        <w:t xml:space="preserve"> with disabilities</w:t>
      </w:r>
      <w:r w:rsidR="003B4110">
        <w:t>.</w:t>
      </w:r>
      <w:r w:rsidR="00E64492">
        <w:t xml:space="preserve">  Arguably, this </w:t>
      </w:r>
      <w:r w:rsidR="006312A2">
        <w:t xml:space="preserve">was the original design of the Universal Declaration of Human Rights.  </w:t>
      </w:r>
    </w:p>
    <w:p w14:paraId="0B702CDA" w14:textId="77777777" w:rsidR="003B4110" w:rsidRDefault="003B4110" w:rsidP="00B83A3E">
      <w:pPr>
        <w:spacing w:line="360" w:lineRule="auto"/>
      </w:pPr>
    </w:p>
    <w:p w14:paraId="62AFE207" w14:textId="77777777" w:rsidR="00712E42" w:rsidRDefault="003B4110">
      <w:pPr>
        <w:spacing w:line="360" w:lineRule="auto"/>
      </w:pPr>
      <w:r w:rsidRPr="00DE206B">
        <w:rPr>
          <w:b/>
          <w:bCs/>
        </w:rPr>
        <w:t xml:space="preserve">Secondly, it gives States </w:t>
      </w:r>
      <w:r w:rsidR="00AB5DC3" w:rsidRPr="00DE206B">
        <w:rPr>
          <w:b/>
          <w:bCs/>
        </w:rPr>
        <w:t xml:space="preserve">and others </w:t>
      </w:r>
      <w:r w:rsidRPr="00DE206B">
        <w:rPr>
          <w:b/>
          <w:bCs/>
        </w:rPr>
        <w:t xml:space="preserve">confidence that the parameters of the new approach </w:t>
      </w:r>
      <w:r w:rsidR="006312A2" w:rsidRPr="00DE206B">
        <w:rPr>
          <w:b/>
          <w:bCs/>
        </w:rPr>
        <w:t xml:space="preserve">to legislation and practice </w:t>
      </w:r>
      <w:r w:rsidRPr="00DE206B">
        <w:rPr>
          <w:b/>
          <w:bCs/>
        </w:rPr>
        <w:t>are well known, tested and indeed successful.</w:t>
      </w:r>
      <w:r>
        <w:t xml:space="preserve">  </w:t>
      </w:r>
      <w:r w:rsidR="00E071D0">
        <w:t xml:space="preserve">A marriage of vision with practicality.  </w:t>
      </w:r>
    </w:p>
    <w:p w14:paraId="1E15D5EC" w14:textId="77777777" w:rsidR="00712E42" w:rsidRDefault="00712E42">
      <w:pPr>
        <w:spacing w:line="360" w:lineRule="auto"/>
      </w:pPr>
    </w:p>
    <w:p w14:paraId="0D56694E" w14:textId="77777777" w:rsidR="00C00042" w:rsidRDefault="003B4110">
      <w:pPr>
        <w:spacing w:line="360" w:lineRule="auto"/>
      </w:pPr>
      <w:r>
        <w:t xml:space="preserve">I can attest from my ‘country visits’ </w:t>
      </w:r>
      <w:r w:rsidR="00D522C8">
        <w:t xml:space="preserve">as Special Rapporteur </w:t>
      </w:r>
      <w:r>
        <w:t xml:space="preserve">that there is </w:t>
      </w:r>
      <w:r w:rsidR="006312A2">
        <w:t xml:space="preserve">a </w:t>
      </w:r>
      <w:r>
        <w:t xml:space="preserve">hunger out there for practical guidance that goes beyond generalities.  Most are acutely aware of the need for change.  </w:t>
      </w:r>
    </w:p>
    <w:p w14:paraId="238679E3" w14:textId="77777777" w:rsidR="00C00042" w:rsidRDefault="00C00042">
      <w:pPr>
        <w:spacing w:line="360" w:lineRule="auto"/>
      </w:pPr>
    </w:p>
    <w:p w14:paraId="5761DDE2" w14:textId="0AE67CD7" w:rsidR="00D522C8" w:rsidRPr="00B83A3E" w:rsidRDefault="003B4110" w:rsidP="00B83A3E">
      <w:pPr>
        <w:spacing w:line="360" w:lineRule="auto"/>
        <w:rPr>
          <w:strike/>
        </w:rPr>
      </w:pPr>
      <w:r>
        <w:t xml:space="preserve">This guidance gives those who are motivated to seek a new path, the practical tools to think through their law reform </w:t>
      </w:r>
      <w:r w:rsidR="00AB5DC3">
        <w:t xml:space="preserve">and policy </w:t>
      </w:r>
      <w:r>
        <w:t xml:space="preserve">agenda.  </w:t>
      </w:r>
    </w:p>
    <w:p w14:paraId="2CF92531" w14:textId="77777777" w:rsidR="00D522C8" w:rsidRDefault="00D522C8" w:rsidP="00B83A3E">
      <w:pPr>
        <w:spacing w:line="360" w:lineRule="auto"/>
      </w:pPr>
    </w:p>
    <w:p w14:paraId="6F88659A" w14:textId="47500525" w:rsidR="00F8067A" w:rsidRDefault="00F8067A" w:rsidP="00B83A3E">
      <w:pPr>
        <w:spacing w:line="360" w:lineRule="auto"/>
      </w:pPr>
      <w:r>
        <w:t xml:space="preserve">To me, this is the WHO and the UN </w:t>
      </w:r>
      <w:r w:rsidR="00F96B6C">
        <w:t xml:space="preserve">OHCHR </w:t>
      </w:r>
      <w:r>
        <w:t xml:space="preserve">at </w:t>
      </w:r>
      <w:r w:rsidR="00F96B6C">
        <w:t xml:space="preserve">their </w:t>
      </w:r>
      <w:r>
        <w:t xml:space="preserve"> best – crystallising the need for change and equipping policy-makers and others with the practical tools to enable it to happen.</w:t>
      </w:r>
    </w:p>
    <w:p w14:paraId="01FAA5BC" w14:textId="77777777" w:rsidR="00F8067A" w:rsidRDefault="00F8067A" w:rsidP="00B83A3E">
      <w:pPr>
        <w:spacing w:line="360" w:lineRule="auto"/>
      </w:pPr>
    </w:p>
    <w:p w14:paraId="3E6B839D" w14:textId="14D2FC8B" w:rsidR="00DE206B" w:rsidRDefault="00F8067A" w:rsidP="00B83A3E">
      <w:pPr>
        <w:spacing w:line="360" w:lineRule="auto"/>
      </w:pPr>
      <w:r w:rsidRPr="00DE206B">
        <w:rPr>
          <w:b/>
          <w:bCs/>
        </w:rPr>
        <w:t>Thirdly, the Guidance does not shy away from hard o</w:t>
      </w:r>
      <w:r w:rsidR="00D522C8" w:rsidRPr="00DE206B">
        <w:rPr>
          <w:b/>
          <w:bCs/>
        </w:rPr>
        <w:t>r</w:t>
      </w:r>
      <w:r w:rsidRPr="00DE206B">
        <w:rPr>
          <w:b/>
          <w:bCs/>
        </w:rPr>
        <w:t xml:space="preserve"> difficult policy choices.  Its honesty shines through.</w:t>
      </w:r>
      <w:r>
        <w:t xml:space="preserve">  </w:t>
      </w:r>
      <w:r w:rsidR="00F96B6C">
        <w:t>But, b</w:t>
      </w:r>
      <w:r>
        <w:t xml:space="preserve">y providing a different framing for the issues, the Guidance provides the </w:t>
      </w:r>
      <w:r w:rsidR="00D522C8">
        <w:t xml:space="preserve">basic </w:t>
      </w:r>
      <w:r>
        <w:t xml:space="preserve">tools to think though some of these policy dilemmas. </w:t>
      </w:r>
      <w:r w:rsidR="00AB5DC3">
        <w:t xml:space="preserve"> </w:t>
      </w:r>
      <w:r>
        <w:t>Solving them will be an ongoing process.  For example, what to do about the insanity defence</w:t>
      </w:r>
      <w:r w:rsidR="00DE206B">
        <w:t xml:space="preserve"> and the whole field of criminal responsibility</w:t>
      </w:r>
      <w:r>
        <w:t xml:space="preserve">?  </w:t>
      </w:r>
      <w:r w:rsidR="00DE206B">
        <w:t xml:space="preserve"> </w:t>
      </w:r>
    </w:p>
    <w:p w14:paraId="7E2A8E02" w14:textId="77777777" w:rsidR="00DE206B" w:rsidRDefault="00DE206B" w:rsidP="00B83A3E">
      <w:pPr>
        <w:spacing w:line="360" w:lineRule="auto"/>
      </w:pPr>
    </w:p>
    <w:p w14:paraId="7C2220D3" w14:textId="77777777" w:rsidR="00D522C8" w:rsidRDefault="00D522C8" w:rsidP="00B83A3E">
      <w:pPr>
        <w:spacing w:line="360" w:lineRule="auto"/>
      </w:pPr>
    </w:p>
    <w:p w14:paraId="3F3F4193" w14:textId="77777777" w:rsidR="00F96B6C" w:rsidRDefault="00AB5DC3">
      <w:pPr>
        <w:spacing w:line="360" w:lineRule="auto"/>
      </w:pPr>
      <w:r w:rsidRPr="00DE206B">
        <w:rPr>
          <w:b/>
          <w:bCs/>
        </w:rPr>
        <w:lastRenderedPageBreak/>
        <w:t xml:space="preserve">Finally, </w:t>
      </w:r>
      <w:r w:rsidR="00F8067A" w:rsidRPr="00DE206B">
        <w:rPr>
          <w:b/>
          <w:bCs/>
        </w:rPr>
        <w:t xml:space="preserve">no process </w:t>
      </w:r>
      <w:r w:rsidRPr="00DE206B">
        <w:rPr>
          <w:b/>
          <w:bCs/>
        </w:rPr>
        <w:t xml:space="preserve">of change </w:t>
      </w:r>
      <w:r w:rsidR="00F8067A" w:rsidRPr="00DE206B">
        <w:rPr>
          <w:b/>
          <w:bCs/>
        </w:rPr>
        <w:t xml:space="preserve">is complete </w:t>
      </w:r>
      <w:r w:rsidRPr="00DE206B">
        <w:rPr>
          <w:b/>
          <w:bCs/>
        </w:rPr>
        <w:t xml:space="preserve">or even legitimate </w:t>
      </w:r>
      <w:r w:rsidR="00F8067A" w:rsidRPr="00DE206B">
        <w:rPr>
          <w:b/>
          <w:bCs/>
        </w:rPr>
        <w:t>without the active involvement of persons with disabilities from the very outset.</w:t>
      </w:r>
      <w:r>
        <w:t xml:space="preserve">  </w:t>
      </w:r>
    </w:p>
    <w:p w14:paraId="6FF74127" w14:textId="77777777" w:rsidR="00F96B6C" w:rsidRDefault="00F96B6C">
      <w:pPr>
        <w:spacing w:line="360" w:lineRule="auto"/>
      </w:pPr>
    </w:p>
    <w:p w14:paraId="2376DD20" w14:textId="77777777" w:rsidR="00712E42" w:rsidRDefault="00AB5DC3">
      <w:pPr>
        <w:spacing w:line="360" w:lineRule="auto"/>
      </w:pPr>
      <w:r>
        <w:t xml:space="preserve">I have always said that the process innovations - and not just the substantive innovations of the </w:t>
      </w:r>
      <w:r w:rsidR="006312A2">
        <w:t xml:space="preserve">UN </w:t>
      </w:r>
      <w:r>
        <w:t xml:space="preserve">CRPD - are the most important thing to keep change alive.   This points to a radically different future compared with the past.  The future is one of co-production.  </w:t>
      </w:r>
    </w:p>
    <w:p w14:paraId="220B8C43" w14:textId="77777777" w:rsidR="00712E42" w:rsidRDefault="00712E42">
      <w:pPr>
        <w:spacing w:line="360" w:lineRule="auto"/>
      </w:pPr>
    </w:p>
    <w:p w14:paraId="2C6601FA" w14:textId="77777777" w:rsidR="00712E42" w:rsidRDefault="00AB5DC3">
      <w:pPr>
        <w:spacing w:line="360" w:lineRule="auto"/>
      </w:pPr>
      <w:r>
        <w:t xml:space="preserve">In a way, this is </w:t>
      </w:r>
      <w:r w:rsidR="006312A2">
        <w:t xml:space="preserve">a </w:t>
      </w:r>
      <w:r>
        <w:t xml:space="preserve">model for other domains and will transform how </w:t>
      </w:r>
      <w:r w:rsidR="006312A2">
        <w:t xml:space="preserve">broader </w:t>
      </w:r>
      <w:r>
        <w:t xml:space="preserve">health policy is imagined, framed and articulated.  Given the imbalances of power in the past </w:t>
      </w:r>
      <w:r w:rsidR="00DE206B">
        <w:t xml:space="preserve">especially in the mental health field </w:t>
      </w:r>
      <w:r>
        <w:t>this can only be a good thing.</w:t>
      </w:r>
      <w:r w:rsidR="00180989">
        <w:t xml:space="preserve">  </w:t>
      </w:r>
    </w:p>
    <w:p w14:paraId="135AD41A" w14:textId="77777777" w:rsidR="00712E42" w:rsidRDefault="00712E42">
      <w:pPr>
        <w:spacing w:line="360" w:lineRule="auto"/>
      </w:pPr>
    </w:p>
    <w:p w14:paraId="3D024164" w14:textId="22A0722E" w:rsidR="00F8067A" w:rsidRDefault="00EF361A" w:rsidP="00B83A3E">
      <w:pPr>
        <w:spacing w:line="360" w:lineRule="auto"/>
      </w:pPr>
      <w:r>
        <w:t>We have yet to focus on 'm</w:t>
      </w:r>
      <w:r w:rsidR="00180989">
        <w:t>oral repair</w:t>
      </w:r>
      <w:r>
        <w:t>’</w:t>
      </w:r>
      <w:r w:rsidR="00180989">
        <w:t xml:space="preserve"> for past wrongs</w:t>
      </w:r>
      <w:r w:rsidR="00380142">
        <w:t xml:space="preserve"> in the mental health field</w:t>
      </w:r>
      <w:r w:rsidR="00180989">
        <w:t>.</w:t>
      </w:r>
      <w:r>
        <w:t xml:space="preserve">  But that will </w:t>
      </w:r>
      <w:r w:rsidR="00B83A3E">
        <w:t xml:space="preserve">surely </w:t>
      </w:r>
      <w:r>
        <w:t>come</w:t>
      </w:r>
      <w:r w:rsidR="001111F2">
        <w:t xml:space="preserve"> in time</w:t>
      </w:r>
      <w:r>
        <w:t>.</w:t>
      </w:r>
    </w:p>
    <w:p w14:paraId="6A6CC832" w14:textId="77777777" w:rsidR="00DE206B" w:rsidRDefault="00DE206B" w:rsidP="00B83A3E">
      <w:pPr>
        <w:spacing w:line="360" w:lineRule="auto"/>
      </w:pPr>
    </w:p>
    <w:p w14:paraId="20EC8572" w14:textId="2BB782E3" w:rsidR="0011514B" w:rsidRDefault="00DE206B" w:rsidP="00B83A3E">
      <w:pPr>
        <w:spacing w:line="360" w:lineRule="auto"/>
      </w:pPr>
      <w:r>
        <w:t xml:space="preserve">I encourage all States, professional groups and civil society to use this guidance to steer reform.  Change means learning.  We can all learn from each other.  </w:t>
      </w:r>
    </w:p>
    <w:p w14:paraId="146DA7CE" w14:textId="77777777" w:rsidR="0011514B" w:rsidRDefault="0011514B" w:rsidP="00B83A3E">
      <w:pPr>
        <w:spacing w:line="360" w:lineRule="auto"/>
      </w:pPr>
    </w:p>
    <w:p w14:paraId="12DEBAFF" w14:textId="2CC81F83" w:rsidR="00DE206B" w:rsidRDefault="00DE206B" w:rsidP="00B83A3E">
      <w:pPr>
        <w:spacing w:line="360" w:lineRule="auto"/>
      </w:pPr>
      <w:r>
        <w:t>In this</w:t>
      </w:r>
      <w:r w:rsidR="0011514B">
        <w:t xml:space="preserve"> respect</w:t>
      </w:r>
      <w:r>
        <w:t xml:space="preserve">, the guidance is </w:t>
      </w:r>
      <w:r w:rsidRPr="00B83A3E">
        <w:rPr>
          <w:b/>
          <w:bCs/>
        </w:rPr>
        <w:t>not an end-point</w:t>
      </w:r>
      <w:r>
        <w:t xml:space="preserve"> but a departure point – a new departure point for the world.  And I welcome it as such.</w:t>
      </w:r>
    </w:p>
    <w:p w14:paraId="125CB4C8" w14:textId="77777777" w:rsidR="00DE206B" w:rsidRDefault="00DE206B" w:rsidP="00B83A3E">
      <w:pPr>
        <w:spacing w:line="360" w:lineRule="auto"/>
      </w:pPr>
    </w:p>
    <w:p w14:paraId="76ED1857" w14:textId="77777777" w:rsidR="00DE206B" w:rsidRDefault="00DE206B" w:rsidP="00B83A3E">
      <w:pPr>
        <w:spacing w:line="360" w:lineRule="auto"/>
      </w:pPr>
    </w:p>
    <w:p w14:paraId="107A31DD" w14:textId="77777777" w:rsidR="00F8067A" w:rsidRDefault="00F8067A" w:rsidP="00B83A3E">
      <w:pPr>
        <w:spacing w:line="360" w:lineRule="auto"/>
      </w:pPr>
    </w:p>
    <w:p w14:paraId="7BDE7CEC" w14:textId="788CF710" w:rsidR="00F8067A" w:rsidRDefault="00F8067A" w:rsidP="00B83A3E">
      <w:pPr>
        <w:spacing w:line="360" w:lineRule="auto"/>
      </w:pPr>
      <w:r>
        <w:t>…./</w:t>
      </w:r>
      <w:r w:rsidR="0011514B">
        <w:t>Ends</w:t>
      </w:r>
    </w:p>
    <w:p w14:paraId="70F0BE6F" w14:textId="77777777" w:rsidR="00F8067A" w:rsidRDefault="00F8067A" w:rsidP="00B83A3E">
      <w:pPr>
        <w:spacing w:line="360" w:lineRule="auto"/>
      </w:pPr>
    </w:p>
    <w:p w14:paraId="5829B2E0" w14:textId="5EAEBF60" w:rsidR="003B4110" w:rsidRDefault="00F8067A" w:rsidP="00B83A3E">
      <w:pPr>
        <w:spacing w:line="360" w:lineRule="auto"/>
      </w:pPr>
      <w:r>
        <w:t xml:space="preserve"> </w:t>
      </w:r>
    </w:p>
    <w:p w14:paraId="199C4857" w14:textId="77777777" w:rsidR="003B4110" w:rsidRDefault="003B4110" w:rsidP="00B83A3E">
      <w:pPr>
        <w:spacing w:line="360" w:lineRule="auto"/>
      </w:pPr>
    </w:p>
    <w:p w14:paraId="7A2BEA1C" w14:textId="77777777" w:rsidR="003B4110" w:rsidRDefault="003B4110" w:rsidP="00B83A3E">
      <w:pPr>
        <w:spacing w:line="360" w:lineRule="auto"/>
      </w:pPr>
    </w:p>
    <w:p w14:paraId="7DBD2EAC" w14:textId="77777777" w:rsidR="003B4110" w:rsidRDefault="003B4110" w:rsidP="00B83A3E">
      <w:pPr>
        <w:spacing w:line="360" w:lineRule="auto"/>
      </w:pPr>
    </w:p>
    <w:p w14:paraId="6DBED919" w14:textId="77777777" w:rsidR="003B4110" w:rsidRDefault="003B4110" w:rsidP="00B83A3E">
      <w:pPr>
        <w:spacing w:line="360" w:lineRule="auto"/>
      </w:pPr>
    </w:p>
    <w:sectPr w:rsidR="003B4110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B793D" w14:textId="77777777" w:rsidR="001D230D" w:rsidRDefault="001D230D" w:rsidP="00DE206B">
      <w:r>
        <w:separator/>
      </w:r>
    </w:p>
  </w:endnote>
  <w:endnote w:type="continuationSeparator" w:id="0">
    <w:p w14:paraId="2B91400C" w14:textId="77777777" w:rsidR="001D230D" w:rsidRDefault="001D230D" w:rsidP="00DE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88212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486202" w14:textId="2147A239" w:rsidR="00DE206B" w:rsidRDefault="00DE206B" w:rsidP="00EC463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641A0E" w14:textId="77777777" w:rsidR="00DE206B" w:rsidRDefault="00DE206B" w:rsidP="00DE20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226551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F3D148" w14:textId="22E2E107" w:rsidR="00DE206B" w:rsidRDefault="00DE206B" w:rsidP="00EC463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A8D4AE" w14:textId="77777777" w:rsidR="00DE206B" w:rsidRDefault="00DE206B" w:rsidP="00DE20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3A2B5" w14:textId="77777777" w:rsidR="001D230D" w:rsidRDefault="001D230D" w:rsidP="00DE206B">
      <w:r>
        <w:separator/>
      </w:r>
    </w:p>
  </w:footnote>
  <w:footnote w:type="continuationSeparator" w:id="0">
    <w:p w14:paraId="2C899B38" w14:textId="77777777" w:rsidR="001D230D" w:rsidRDefault="001D230D" w:rsidP="00DE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10"/>
    <w:rsid w:val="001111F2"/>
    <w:rsid w:val="0011514B"/>
    <w:rsid w:val="001350FE"/>
    <w:rsid w:val="001365C2"/>
    <w:rsid w:val="00180989"/>
    <w:rsid w:val="001D230D"/>
    <w:rsid w:val="00222800"/>
    <w:rsid w:val="00253DF5"/>
    <w:rsid w:val="0031127E"/>
    <w:rsid w:val="00380142"/>
    <w:rsid w:val="003B4110"/>
    <w:rsid w:val="003E3C96"/>
    <w:rsid w:val="0042483A"/>
    <w:rsid w:val="004320FC"/>
    <w:rsid w:val="00466CA1"/>
    <w:rsid w:val="00503A74"/>
    <w:rsid w:val="006312A2"/>
    <w:rsid w:val="006913B1"/>
    <w:rsid w:val="006C26FA"/>
    <w:rsid w:val="00712E42"/>
    <w:rsid w:val="007324F9"/>
    <w:rsid w:val="00867BA3"/>
    <w:rsid w:val="009237FD"/>
    <w:rsid w:val="0092600E"/>
    <w:rsid w:val="00930190"/>
    <w:rsid w:val="009E51D1"/>
    <w:rsid w:val="00AA7D6E"/>
    <w:rsid w:val="00AB5DC3"/>
    <w:rsid w:val="00B45E25"/>
    <w:rsid w:val="00B83A3E"/>
    <w:rsid w:val="00B852A2"/>
    <w:rsid w:val="00C00042"/>
    <w:rsid w:val="00D522C8"/>
    <w:rsid w:val="00DE206B"/>
    <w:rsid w:val="00E071D0"/>
    <w:rsid w:val="00E61196"/>
    <w:rsid w:val="00E64492"/>
    <w:rsid w:val="00EE1DC3"/>
    <w:rsid w:val="00EF361A"/>
    <w:rsid w:val="00F05932"/>
    <w:rsid w:val="00F8067A"/>
    <w:rsid w:val="00F9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7E7571"/>
  <w15:chartTrackingRefBased/>
  <w15:docId w15:val="{8B52094A-A156-C441-9F11-822A8FE6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4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49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E2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06B"/>
  </w:style>
  <w:style w:type="character" w:styleId="PageNumber">
    <w:name w:val="page number"/>
    <w:basedOn w:val="DefaultParagraphFont"/>
    <w:uiPriority w:val="99"/>
    <w:semiHidden/>
    <w:unhideWhenUsed/>
    <w:rsid w:val="00DE206B"/>
  </w:style>
  <w:style w:type="character" w:styleId="CommentReference">
    <w:name w:val="annotation reference"/>
    <w:basedOn w:val="DefaultParagraphFont"/>
    <w:uiPriority w:val="99"/>
    <w:semiHidden/>
    <w:unhideWhenUsed/>
    <w:rsid w:val="00867B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B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B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1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hchr.org/en/special-procedures/sr-disabilit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3068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Quinn, Gerard</dc:creator>
  <cp:keywords/>
  <dc:description/>
  <cp:lastModifiedBy>Jimena Posleman</cp:lastModifiedBy>
  <cp:revision>3</cp:revision>
  <cp:lastPrinted>2023-10-09T09:35:00Z</cp:lastPrinted>
  <dcterms:created xsi:type="dcterms:W3CDTF">2023-10-10T13:59:00Z</dcterms:created>
  <dcterms:modified xsi:type="dcterms:W3CDTF">2023-10-10T15:09:00Z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541c58720da1d01b026d21f7abc8e9e0d105332725d22de31edd9faa26826ae4</vt:lpwstr>
  </property>
</Properties>
</file>