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986C2" w14:textId="1375FECE" w:rsidR="00F7505B" w:rsidRDefault="003A7F1F" w:rsidP="003A7F1F">
      <w:pPr>
        <w:spacing w:after="0" w:line="240" w:lineRule="auto"/>
        <w:rPr>
          <w:b/>
        </w:rPr>
      </w:pPr>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DC1"/>
        <w:ind w:left="0"/>
        <w:jc w:val="center"/>
        <w:rPr>
          <w:b/>
        </w:rPr>
      </w:pPr>
    </w:p>
    <w:p w14:paraId="1851DC5B" w14:textId="77777777" w:rsidR="00A1411B" w:rsidRDefault="00A1411B" w:rsidP="00F7505B">
      <w:pPr>
        <w:pStyle w:val="TDC1"/>
        <w:ind w:left="0"/>
        <w:jc w:val="center"/>
        <w:rPr>
          <w:b/>
        </w:rPr>
      </w:pPr>
    </w:p>
    <w:p w14:paraId="58B02773" w14:textId="1DB69096" w:rsidR="00A1411B" w:rsidRDefault="00C81433" w:rsidP="00F7505B">
      <w:pPr>
        <w:pStyle w:val="TDC1"/>
        <w:ind w:left="0"/>
        <w:jc w:val="center"/>
        <w:rPr>
          <w:b/>
        </w:rPr>
      </w:pPr>
      <w:r>
        <w:rPr>
          <w:b/>
        </w:rPr>
        <w:tab/>
      </w:r>
    </w:p>
    <w:p w14:paraId="6F71D91E" w14:textId="77777777" w:rsidR="00A1411B" w:rsidRDefault="00A1411B" w:rsidP="00F7505B">
      <w:pPr>
        <w:pStyle w:val="TDC1"/>
        <w:ind w:left="0"/>
        <w:jc w:val="center"/>
        <w:rPr>
          <w:b/>
        </w:rPr>
      </w:pPr>
    </w:p>
    <w:p w14:paraId="65CF339D" w14:textId="7A3C1EAD" w:rsidR="00F7505B" w:rsidRDefault="00C81433" w:rsidP="00F7505B">
      <w:pPr>
        <w:pStyle w:val="TDC1"/>
        <w:ind w:left="0"/>
        <w:jc w:val="center"/>
        <w:rPr>
          <w:b/>
        </w:rPr>
      </w:pPr>
      <w:r>
        <w:rPr>
          <w:b/>
        </w:rPr>
        <w:tab/>
      </w:r>
      <w:r>
        <w:rPr>
          <w:b/>
        </w:rPr>
        <w:tab/>
      </w:r>
      <w:r>
        <w:rPr>
          <w:b/>
        </w:rPr>
        <w:tab/>
      </w:r>
    </w:p>
    <w:p w14:paraId="24692833" w14:textId="1EB2AAFC" w:rsidR="00F7505B" w:rsidRPr="00F7505B" w:rsidRDefault="00C658E5" w:rsidP="00F7505B">
      <w:pPr>
        <w:pStyle w:val="TDC1"/>
        <w:ind w:left="0"/>
        <w:jc w:val="center"/>
        <w:rPr>
          <w:b/>
          <w:i/>
          <w:sz w:val="24"/>
          <w:szCs w:val="24"/>
        </w:rPr>
      </w:pPr>
      <w:r>
        <w:rPr>
          <w:b/>
          <w:i/>
          <w:sz w:val="24"/>
          <w:szCs w:val="24"/>
        </w:rPr>
        <w:t>CONSTRIBUCIÓN</w:t>
      </w:r>
      <w:r w:rsidR="00F7505B" w:rsidRPr="00F7505B">
        <w:rPr>
          <w:b/>
          <w:i/>
          <w:sz w:val="24"/>
          <w:szCs w:val="24"/>
        </w:rPr>
        <w:t xml:space="preserve"> DEL </w:t>
      </w:r>
      <w:r w:rsidR="0049158C">
        <w:rPr>
          <w:b/>
          <w:i/>
          <w:sz w:val="24"/>
          <w:szCs w:val="24"/>
        </w:rPr>
        <w:t>GOBIERNO</w:t>
      </w:r>
      <w:r w:rsidR="00F7505B" w:rsidRPr="00F7505B">
        <w:rPr>
          <w:b/>
          <w:i/>
          <w:sz w:val="24"/>
          <w:szCs w:val="24"/>
        </w:rPr>
        <w:t xml:space="preserve"> DE CHILE</w:t>
      </w:r>
    </w:p>
    <w:p w14:paraId="7137E565" w14:textId="7DFE262B" w:rsidR="00F7505B" w:rsidRPr="00F7505B" w:rsidRDefault="00A80A40" w:rsidP="00F7505B">
      <w:pPr>
        <w:spacing w:before="200"/>
        <w:jc w:val="center"/>
        <w:rPr>
          <w:rFonts w:ascii="Book Antiqua" w:hAnsi="Book Antiqua" w:cs="Times New Roman"/>
          <w:sz w:val="20"/>
          <w:szCs w:val="20"/>
        </w:rPr>
      </w:pPr>
      <w:r>
        <w:rPr>
          <w:rFonts w:ascii="Book Antiqua" w:hAnsi="Book Antiqua" w:cs="Times New Roman"/>
          <w:sz w:val="20"/>
          <w:szCs w:val="20"/>
        </w:rPr>
        <w:t>A LA SOLICITUD DE INFORMACIÓN REFERENTE A</w:t>
      </w:r>
    </w:p>
    <w:p w14:paraId="7F3E89E8" w14:textId="34890A23" w:rsidR="00A80A40" w:rsidRPr="00A80A40" w:rsidRDefault="00585617" w:rsidP="00A80A40">
      <w:pPr>
        <w:pStyle w:val="TDC1"/>
        <w:spacing w:after="240"/>
        <w:ind w:left="0"/>
        <w:jc w:val="center"/>
        <w:rPr>
          <w:b/>
          <w:i/>
          <w:sz w:val="24"/>
          <w:szCs w:val="24"/>
        </w:rPr>
      </w:pPr>
      <w:r>
        <w:rPr>
          <w:b/>
          <w:i/>
          <w:sz w:val="24"/>
          <w:szCs w:val="24"/>
        </w:rPr>
        <w:t>LA PROTECCIÓN DE LAS PERSONAS CON DISCAPACIDAD EN EL CONTEXTO DE LOS CONFLICTO ARMADOS</w:t>
      </w:r>
    </w:p>
    <w:p w14:paraId="5C7BFCDD" w14:textId="1C1751E7" w:rsidR="00F7505B" w:rsidRPr="00F7505B" w:rsidRDefault="00EE63A4" w:rsidP="00F7505B">
      <w:pPr>
        <w:jc w:val="center"/>
        <w:rPr>
          <w:rFonts w:ascii="Book Antiqua" w:hAnsi="Book Antiqua" w:cs="Times New Roman"/>
          <w:sz w:val="20"/>
          <w:szCs w:val="20"/>
        </w:rPr>
      </w:pPr>
      <w:r>
        <w:rPr>
          <w:rFonts w:ascii="Book Antiqua" w:hAnsi="Book Antiqua" w:cs="Times New Roman"/>
          <w:sz w:val="20"/>
          <w:szCs w:val="20"/>
        </w:rPr>
        <w:t>POR PARTE DE</w:t>
      </w:r>
      <w:r w:rsidR="00F7505B">
        <w:rPr>
          <w:rFonts w:ascii="Book Antiqua" w:hAnsi="Book Antiqua" w:cs="Times New Roman"/>
          <w:sz w:val="20"/>
          <w:szCs w:val="20"/>
        </w:rPr>
        <w:t>L</w:t>
      </w:r>
    </w:p>
    <w:p w14:paraId="1BA0839A" w14:textId="6441703D" w:rsidR="00F7505B" w:rsidRPr="00F7505B" w:rsidRDefault="00585617" w:rsidP="00F7505B">
      <w:pPr>
        <w:jc w:val="center"/>
        <w:rPr>
          <w:rFonts w:ascii="Book Antiqua" w:hAnsi="Book Antiqua" w:cs="Times New Roman"/>
          <w:b/>
          <w:bCs/>
          <w:i/>
          <w:iCs/>
          <w:sz w:val="24"/>
          <w:szCs w:val="24"/>
        </w:rPr>
      </w:pPr>
      <w:r>
        <w:rPr>
          <w:rFonts w:ascii="Book Antiqua" w:hAnsi="Book Antiqua" w:cs="Times New Roman"/>
          <w:b/>
          <w:i/>
          <w:sz w:val="24"/>
          <w:szCs w:val="24"/>
        </w:rPr>
        <w:t>RELATOR ESPECIAL SOBRE LOS DERECHOS DE LAS PERSONAS CON DISCAPACIDAD</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4C6E21F3" w:rsidR="00A1411B" w:rsidRDefault="00A1411B" w:rsidP="00F7505B">
      <w:pPr>
        <w:rPr>
          <w:rFonts w:cs="Times New Roman"/>
          <w:sz w:val="24"/>
          <w:szCs w:val="24"/>
        </w:rPr>
      </w:pPr>
    </w:p>
    <w:p w14:paraId="38194F21" w14:textId="77777777" w:rsidR="009256AF" w:rsidRDefault="009256AF"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62366978" w14:textId="144779EB" w:rsidR="00C93164" w:rsidRPr="00B653AC" w:rsidRDefault="00C93164" w:rsidP="00F7505B">
      <w:pPr>
        <w:rPr>
          <w:rFonts w:cs="Times New Roman"/>
          <w:sz w:val="24"/>
          <w:szCs w:val="24"/>
        </w:rPr>
      </w:pPr>
    </w:p>
    <w:p w14:paraId="31C553D0" w14:textId="489B6717" w:rsidR="00A04F84" w:rsidRDefault="00A04F84" w:rsidP="009256AF">
      <w:pPr>
        <w:rPr>
          <w:rFonts w:cs="Times New Roman"/>
          <w:sz w:val="24"/>
          <w:szCs w:val="24"/>
        </w:rPr>
      </w:pPr>
    </w:p>
    <w:p w14:paraId="74EA4F8A" w14:textId="77777777" w:rsidR="00A04F84" w:rsidRPr="00B653AC" w:rsidRDefault="00A04F84" w:rsidP="009256AF">
      <w:pPr>
        <w:rPr>
          <w:rFonts w:cs="Times New Roman"/>
          <w:sz w:val="24"/>
          <w:szCs w:val="24"/>
        </w:rPr>
      </w:pPr>
    </w:p>
    <w:p w14:paraId="33C77EC7" w14:textId="62B7A6F4" w:rsidR="00F7505B" w:rsidRPr="00A04F84" w:rsidRDefault="00385091" w:rsidP="00F7505B">
      <w:pPr>
        <w:jc w:val="center"/>
        <w:rPr>
          <w:rFonts w:ascii="Book Antiqua" w:hAnsi="Book Antiqua" w:cs="Times New Roman"/>
          <w:bCs/>
          <w:sz w:val="24"/>
          <w:szCs w:val="24"/>
        </w:rPr>
      </w:pPr>
      <w:r w:rsidRPr="00A04F84">
        <w:rPr>
          <w:rFonts w:ascii="Book Antiqua" w:hAnsi="Book Antiqua" w:cs="Times New Roman"/>
          <w:bCs/>
          <w:sz w:val="24"/>
          <w:szCs w:val="24"/>
        </w:rPr>
        <w:t>RESPUESTAS</w:t>
      </w:r>
      <w:r w:rsidR="00F7505B" w:rsidRPr="00A04F84">
        <w:rPr>
          <w:rFonts w:ascii="Book Antiqua" w:hAnsi="Book Antiqua" w:cs="Times New Roman"/>
          <w:bCs/>
          <w:sz w:val="24"/>
          <w:szCs w:val="24"/>
        </w:rPr>
        <w:t xml:space="preserve"> ELABORAD</w:t>
      </w:r>
      <w:r w:rsidRPr="00A04F84">
        <w:rPr>
          <w:rFonts w:ascii="Book Antiqua" w:hAnsi="Book Antiqua" w:cs="Times New Roman"/>
          <w:bCs/>
          <w:sz w:val="24"/>
          <w:szCs w:val="24"/>
        </w:rPr>
        <w:t>AS</w:t>
      </w:r>
      <w:r w:rsidR="00F7505B" w:rsidRPr="00A04F84">
        <w:rPr>
          <w:rFonts w:ascii="Book Antiqua" w:hAnsi="Book Antiqua" w:cs="Times New Roman"/>
          <w:bCs/>
          <w:sz w:val="24"/>
          <w:szCs w:val="24"/>
        </w:rPr>
        <w:t xml:space="preserve"> POR: </w:t>
      </w:r>
    </w:p>
    <w:p w14:paraId="4C623412" w14:textId="77777777" w:rsidR="00585617" w:rsidRDefault="00585617" w:rsidP="009256AF">
      <w:pPr>
        <w:jc w:val="center"/>
        <w:rPr>
          <w:rFonts w:ascii="Book Antiqua" w:hAnsi="Book Antiqua" w:cs="Times New Roman"/>
          <w:bCs/>
          <w:sz w:val="24"/>
          <w:szCs w:val="24"/>
        </w:rPr>
      </w:pPr>
      <w:r w:rsidRPr="00585617">
        <w:rPr>
          <w:rFonts w:ascii="Book Antiqua" w:hAnsi="Book Antiqua" w:cs="Times New Roman"/>
          <w:bCs/>
          <w:sz w:val="24"/>
          <w:szCs w:val="24"/>
        </w:rPr>
        <w:t xml:space="preserve">Departamento de Cooperación Internacional </w:t>
      </w:r>
    </w:p>
    <w:p w14:paraId="336B70B1" w14:textId="485D49EF" w:rsidR="0049158C" w:rsidRPr="0049158C" w:rsidRDefault="00585617" w:rsidP="009256AF">
      <w:pPr>
        <w:jc w:val="center"/>
        <w:rPr>
          <w:rFonts w:ascii="Book Antiqua" w:hAnsi="Book Antiqua" w:cs="Times New Roman"/>
          <w:bCs/>
          <w:sz w:val="24"/>
          <w:szCs w:val="24"/>
        </w:rPr>
      </w:pPr>
      <w:r>
        <w:rPr>
          <w:rFonts w:ascii="Book Antiqua" w:eastAsia="Times New Roman" w:hAnsi="Book Antiqua" w:cs="Arial"/>
          <w:sz w:val="24"/>
          <w:szCs w:val="24"/>
          <w:lang w:eastAsia="es-ES_tradnl"/>
        </w:rPr>
        <w:t>Subsecretaría de Defensa</w:t>
      </w:r>
    </w:p>
    <w:p w14:paraId="6899EFA1" w14:textId="2214D774" w:rsidR="009256AF" w:rsidRPr="00F7505B" w:rsidRDefault="0049158C" w:rsidP="009256AF">
      <w:pPr>
        <w:jc w:val="center"/>
        <w:rPr>
          <w:rFonts w:ascii="Book Antiqua" w:hAnsi="Book Antiqua" w:cs="Times New Roman"/>
          <w:bCs/>
          <w:sz w:val="24"/>
          <w:szCs w:val="24"/>
        </w:rPr>
      </w:pPr>
      <w:r>
        <w:rPr>
          <w:rFonts w:ascii="Book Antiqua" w:hAnsi="Book Antiqua" w:cs="Times New Roman"/>
          <w:bCs/>
          <w:sz w:val="24"/>
          <w:szCs w:val="24"/>
        </w:rPr>
        <w:t>GOBIERNO</w:t>
      </w:r>
      <w:r w:rsidR="009256AF" w:rsidRPr="00F7505B">
        <w:rPr>
          <w:rFonts w:ascii="Book Antiqua" w:hAnsi="Book Antiqua" w:cs="Times New Roman"/>
          <w:bCs/>
          <w:sz w:val="24"/>
          <w:szCs w:val="24"/>
        </w:rPr>
        <w:t xml:space="preserve"> DE CHILE</w:t>
      </w:r>
    </w:p>
    <w:p w14:paraId="04A504F8" w14:textId="2488415A"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w:t>
      </w:r>
      <w:r w:rsidR="00C658E5">
        <w:rPr>
          <w:rFonts w:ascii="Book Antiqua" w:hAnsi="Book Antiqua" w:cs="Times New Roman"/>
          <w:b/>
        </w:rPr>
        <w:t>la contribución</w:t>
      </w:r>
      <w:r w:rsidRPr="00EE63A4">
        <w:rPr>
          <w:rFonts w:ascii="Book Antiqua" w:hAnsi="Book Antiqua" w:cs="Times New Roman"/>
          <w:b/>
        </w:rPr>
        <w:t xml:space="preserve"> del </w:t>
      </w:r>
      <w:r w:rsidR="0049158C">
        <w:rPr>
          <w:rFonts w:ascii="Book Antiqua" w:hAnsi="Book Antiqua" w:cs="Times New Roman"/>
          <w:b/>
        </w:rPr>
        <w:t>Gobierno</w:t>
      </w:r>
      <w:r w:rsidR="008B6471">
        <w:rPr>
          <w:rFonts w:ascii="Book Antiqua" w:hAnsi="Book Antiqua" w:cs="Times New Roman"/>
          <w:b/>
        </w:rPr>
        <w:t xml:space="preserve"> de Chile al C</w:t>
      </w:r>
      <w:bookmarkStart w:id="0" w:name="_GoBack"/>
      <w:bookmarkEnd w:id="0"/>
      <w:r w:rsidR="00585617">
        <w:rPr>
          <w:rFonts w:ascii="Book Antiqua" w:hAnsi="Book Antiqua" w:cs="Times New Roman"/>
          <w:b/>
        </w:rPr>
        <w:t>uestionario</w:t>
      </w:r>
      <w:r w:rsidR="008B6471">
        <w:rPr>
          <w:rFonts w:ascii="Book Antiqua" w:hAnsi="Book Antiqua" w:cs="Times New Roman"/>
          <w:b/>
        </w:rPr>
        <w:t xml:space="preserve"> B:</w:t>
      </w:r>
      <w:r w:rsidR="00585617">
        <w:rPr>
          <w:rFonts w:ascii="Book Antiqua" w:hAnsi="Book Antiqua" w:cs="Times New Roman"/>
          <w:b/>
        </w:rPr>
        <w:t xml:space="preserve"> dirigido a las autoridades militares por el</w:t>
      </w:r>
      <w:r w:rsidR="009256AF">
        <w:rPr>
          <w:rFonts w:ascii="Book Antiqua" w:hAnsi="Book Antiqua" w:cs="Times New Roman"/>
          <w:b/>
        </w:rPr>
        <w:t xml:space="preserve"> </w:t>
      </w:r>
      <w:r w:rsidR="00C93164">
        <w:rPr>
          <w:rFonts w:ascii="Book Antiqua" w:hAnsi="Book Antiqua" w:cs="Times New Roman"/>
          <w:b/>
        </w:rPr>
        <w:t xml:space="preserve">Relator Especial </w:t>
      </w:r>
      <w:r w:rsidR="00572E83">
        <w:rPr>
          <w:rFonts w:ascii="Book Antiqua" w:hAnsi="Book Antiqua" w:cs="Times New Roman"/>
          <w:b/>
        </w:rPr>
        <w:t xml:space="preserve">sobre </w:t>
      </w:r>
      <w:r w:rsidR="00585617">
        <w:rPr>
          <w:rFonts w:ascii="Book Antiqua" w:hAnsi="Book Antiqua" w:cs="Times New Roman"/>
          <w:b/>
        </w:rPr>
        <w:t>los derechos de las personas con discapacidad</w:t>
      </w:r>
      <w:r w:rsidR="00C93164">
        <w:rPr>
          <w:rFonts w:ascii="Book Antiqua" w:hAnsi="Book Antiqua" w:cs="Times New Roman"/>
          <w:b/>
        </w:rPr>
        <w:t xml:space="preserve">, Sr. </w:t>
      </w:r>
      <w:r w:rsidR="00585617">
        <w:rPr>
          <w:rFonts w:ascii="Book Antiqua" w:hAnsi="Book Antiqua" w:cs="Times New Roman"/>
          <w:b/>
        </w:rPr>
        <w:t>Gerard Quinn</w:t>
      </w:r>
      <w:r w:rsidR="00385091">
        <w:rPr>
          <w:rFonts w:ascii="Book Antiqua" w:hAnsi="Book Antiqua" w:cs="Times New Roman"/>
          <w:b/>
        </w:rPr>
        <w:t>,</w:t>
      </w:r>
      <w:r w:rsidR="00A1411B" w:rsidRPr="00EE63A4">
        <w:rPr>
          <w:rFonts w:ascii="Book Antiqua" w:hAnsi="Book Antiqua" w:cs="Times New Roman"/>
          <w:b/>
        </w:rPr>
        <w:t xml:space="preserve"> </w:t>
      </w:r>
      <w:r w:rsidR="00585617">
        <w:rPr>
          <w:rFonts w:ascii="Book Antiqua" w:hAnsi="Book Antiqua" w:cs="Times New Roman"/>
          <w:b/>
        </w:rPr>
        <w:t>referente a</w:t>
      </w:r>
      <w:r w:rsidR="0049158C">
        <w:rPr>
          <w:rFonts w:ascii="Book Antiqua" w:hAnsi="Book Antiqua" w:cs="Times New Roman"/>
          <w:b/>
        </w:rPr>
        <w:t xml:space="preserve"> </w:t>
      </w:r>
      <w:r w:rsidR="00585617">
        <w:rPr>
          <w:rFonts w:ascii="Book Antiqua" w:hAnsi="Book Antiqua" w:cs="Times New Roman"/>
          <w:b/>
        </w:rPr>
        <w:t xml:space="preserve">la protección de las personas con discapacidad en el contexto de los conflictos armados. </w:t>
      </w:r>
    </w:p>
    <w:p w14:paraId="56225BC6" w14:textId="22BF7346" w:rsidR="00F7505B" w:rsidRPr="00EE63A4" w:rsidRDefault="00111A1E" w:rsidP="00F7505B">
      <w:pPr>
        <w:ind w:right="49"/>
        <w:jc w:val="both"/>
        <w:rPr>
          <w:rFonts w:ascii="Book Antiqua" w:hAnsi="Book Antiqua" w:cs="Times New Roman"/>
          <w:b/>
        </w:rPr>
      </w:pPr>
      <w:r>
        <w:rPr>
          <w:rFonts w:ascii="Book Antiqua" w:hAnsi="Book Antiqua" w:cs="Times New Roman"/>
          <w:b/>
        </w:rPr>
        <w:t>Esta respuesta, elaborada</w:t>
      </w:r>
      <w:r w:rsidR="00F7505B" w:rsidRPr="00EE63A4">
        <w:rPr>
          <w:rFonts w:ascii="Book Antiqua" w:hAnsi="Book Antiqua" w:cs="Times New Roman"/>
          <w:b/>
        </w:rPr>
        <w:t xml:space="preserve"> por </w:t>
      </w:r>
      <w:r w:rsidR="00585617">
        <w:rPr>
          <w:rFonts w:ascii="Book Antiqua" w:hAnsi="Book Antiqua" w:cs="Times New Roman"/>
          <w:b/>
        </w:rPr>
        <w:t xml:space="preserve">el </w:t>
      </w:r>
      <w:r w:rsidR="00585617" w:rsidRPr="00585617">
        <w:rPr>
          <w:rFonts w:ascii="Book Antiqua" w:hAnsi="Book Antiqua" w:cs="Times New Roman"/>
          <w:b/>
        </w:rPr>
        <w:t xml:space="preserve">Departamento de Cooperación Internacional </w:t>
      </w:r>
      <w:r w:rsidR="00572E83">
        <w:rPr>
          <w:rFonts w:ascii="Book Antiqua" w:hAnsi="Book Antiqua" w:cs="Times New Roman"/>
          <w:b/>
        </w:rPr>
        <w:t>de</w:t>
      </w:r>
      <w:r w:rsidR="00585617">
        <w:rPr>
          <w:rFonts w:ascii="Book Antiqua" w:hAnsi="Book Antiqua" w:cs="Times New Roman"/>
          <w:b/>
        </w:rPr>
        <w:t xml:space="preserve"> la Subsecretaría de Defensa de Chile</w:t>
      </w:r>
      <w:r w:rsidR="00F7505B" w:rsidRPr="00EE63A4">
        <w:rPr>
          <w:rFonts w:ascii="Book Antiqua" w:hAnsi="Book Antiqua" w:cs="Times New Roman"/>
          <w:b/>
        </w:rPr>
        <w:t xml:space="preserve">, busca </w:t>
      </w:r>
      <w:r w:rsidR="00A1411B" w:rsidRPr="00EE63A4">
        <w:rPr>
          <w:rFonts w:ascii="Book Antiqua" w:hAnsi="Book Antiqua" w:cs="Times New Roman"/>
          <w:b/>
        </w:rPr>
        <w:t>aportar información par</w:t>
      </w:r>
      <w:r w:rsidR="003D4CED">
        <w:rPr>
          <w:rFonts w:ascii="Book Antiqua" w:hAnsi="Book Antiqua" w:cs="Times New Roman"/>
          <w:b/>
        </w:rPr>
        <w:t>a el</w:t>
      </w:r>
      <w:r w:rsidR="00037D55">
        <w:rPr>
          <w:rFonts w:ascii="Book Antiqua" w:hAnsi="Book Antiqua" w:cs="Times New Roman"/>
          <w:b/>
        </w:rPr>
        <w:t xml:space="preserve"> </w:t>
      </w:r>
      <w:r w:rsidR="00BA6F5E">
        <w:rPr>
          <w:rFonts w:ascii="Book Antiqua" w:hAnsi="Book Antiqua" w:cs="Times New Roman"/>
          <w:b/>
        </w:rPr>
        <w:t>informe de</w:t>
      </w:r>
      <w:r w:rsidR="00C93164">
        <w:rPr>
          <w:rFonts w:ascii="Book Antiqua" w:hAnsi="Book Antiqua" w:cs="Times New Roman"/>
          <w:b/>
        </w:rPr>
        <w:t>l Relator Especial</w:t>
      </w:r>
      <w:r w:rsidR="00572E83">
        <w:rPr>
          <w:rFonts w:ascii="Book Antiqua" w:hAnsi="Book Antiqua" w:cs="Times New Roman"/>
          <w:b/>
        </w:rPr>
        <w:t>, a ser presentado en la 76º Asamblea General, en octubre 2021</w:t>
      </w:r>
      <w:r w:rsidR="00F7505B" w:rsidRPr="00EE63A4">
        <w:rPr>
          <w:rFonts w:ascii="Book Antiqua" w:hAnsi="Book Antiqua" w:cs="Times New Roman"/>
          <w:b/>
        </w:rPr>
        <w:t xml:space="preserve">. El </w:t>
      </w:r>
      <w:r w:rsidR="009256AF">
        <w:rPr>
          <w:rFonts w:ascii="Book Antiqua" w:hAnsi="Book Antiqua" w:cs="Times New Roman"/>
          <w:b/>
        </w:rPr>
        <w:t>Estado</w:t>
      </w:r>
      <w:r w:rsidR="00F7505B" w:rsidRPr="00EE63A4">
        <w:rPr>
          <w:rFonts w:ascii="Book Antiqua" w:hAnsi="Book Antiqua" w:cs="Times New Roman"/>
          <w:b/>
        </w:rPr>
        <w:t xml:space="preserve"> de Chile confía que </w:t>
      </w:r>
      <w:r w:rsidR="00A1411B" w:rsidRPr="00EE63A4">
        <w:rPr>
          <w:rFonts w:ascii="Book Antiqua" w:hAnsi="Book Antiqua" w:cs="Times New Roman"/>
          <w:b/>
        </w:rPr>
        <w:t>este documento</w:t>
      </w:r>
      <w:r w:rsidR="0049158C">
        <w:rPr>
          <w:rFonts w:ascii="Book Antiqua" w:hAnsi="Book Antiqua" w:cs="Times New Roman"/>
          <w:b/>
        </w:rPr>
        <w:t xml:space="preserve"> permita dar a conocer </w:t>
      </w:r>
      <w:r>
        <w:rPr>
          <w:rFonts w:ascii="Book Antiqua" w:hAnsi="Book Antiqua" w:cs="Times New Roman"/>
          <w:b/>
        </w:rPr>
        <w:t xml:space="preserve">las </w:t>
      </w:r>
      <w:r w:rsidR="0049158C">
        <w:rPr>
          <w:rFonts w:ascii="Book Antiqua" w:hAnsi="Book Antiqua" w:cs="Times New Roman"/>
          <w:b/>
        </w:rPr>
        <w:t xml:space="preserve">prácticas </w:t>
      </w:r>
      <w:r w:rsidR="00F7505B" w:rsidRPr="00EE63A4">
        <w:rPr>
          <w:rFonts w:ascii="Book Antiqua" w:hAnsi="Book Antiqua" w:cs="Times New Roman"/>
          <w:b/>
        </w:rPr>
        <w:t xml:space="preserve">desarrolladas en Chile en referencia a esta temática. Del mismo modo, espera sea de utilidad para promover y fortalecer el intercambio internacional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17EFB9AE" w14:textId="4859B763" w:rsidR="006B6737" w:rsidRDefault="006B6737" w:rsidP="002D3B18">
      <w:pPr>
        <w:spacing w:after="0" w:line="240" w:lineRule="auto"/>
        <w:rPr>
          <w:sz w:val="20"/>
        </w:rPr>
      </w:pPr>
    </w:p>
    <w:p w14:paraId="34DD390B" w14:textId="7D86666A" w:rsidR="00732CBF" w:rsidRDefault="00732CBF" w:rsidP="002D3B18">
      <w:pPr>
        <w:spacing w:after="0" w:line="240" w:lineRule="auto"/>
        <w:rPr>
          <w:sz w:val="20"/>
        </w:rPr>
      </w:pPr>
    </w:p>
    <w:p w14:paraId="2813F715" w14:textId="0B5B8168" w:rsidR="00732CBF" w:rsidRDefault="00732CBF" w:rsidP="002D3B18">
      <w:pPr>
        <w:spacing w:after="0" w:line="240" w:lineRule="auto"/>
        <w:rPr>
          <w:sz w:val="20"/>
        </w:rPr>
      </w:pPr>
    </w:p>
    <w:p w14:paraId="2FB95665" w14:textId="5E25C433" w:rsidR="0077035F" w:rsidRDefault="0077035F" w:rsidP="002D3B18">
      <w:pPr>
        <w:spacing w:after="0" w:line="240" w:lineRule="auto"/>
        <w:rPr>
          <w:sz w:val="20"/>
        </w:rPr>
        <w:sectPr w:rsidR="0077035F" w:rsidSect="002D3B18">
          <w:headerReference w:type="default" r:id="rId8"/>
          <w:footerReference w:type="default" r:id="rId9"/>
          <w:pgSz w:w="12250" w:h="15850"/>
          <w:pgMar w:top="2552" w:right="900" w:bottom="1040" w:left="920" w:header="320" w:footer="856" w:gutter="0"/>
          <w:pgNumType w:start="1"/>
          <w:cols w:space="720"/>
        </w:sectPr>
      </w:pPr>
    </w:p>
    <w:p w14:paraId="5C993ABB" w14:textId="77777777" w:rsidR="00585617" w:rsidRPr="00C44552" w:rsidRDefault="00585617" w:rsidP="00787650">
      <w:pPr>
        <w:spacing w:before="120" w:after="120"/>
        <w:jc w:val="both"/>
        <w:rPr>
          <w:rFonts w:ascii="Verdana" w:hAnsi="Verdana"/>
          <w:sz w:val="20"/>
          <w:szCs w:val="20"/>
        </w:rPr>
      </w:pPr>
    </w:p>
    <w:p w14:paraId="249CF1CD" w14:textId="6650FB85" w:rsidR="00585617" w:rsidRPr="00585617" w:rsidRDefault="00585617" w:rsidP="00262FB7">
      <w:pPr>
        <w:pStyle w:val="Prrafodelista"/>
        <w:numPr>
          <w:ilvl w:val="0"/>
          <w:numId w:val="10"/>
        </w:numPr>
        <w:spacing w:before="120" w:after="120"/>
        <w:ind w:hanging="578"/>
        <w:jc w:val="both"/>
        <w:rPr>
          <w:rFonts w:ascii="Book Antiqua" w:hAnsi="Book Antiqua"/>
          <w:b/>
          <w:sz w:val="24"/>
          <w:szCs w:val="24"/>
        </w:rPr>
      </w:pPr>
      <w:r w:rsidRPr="00585617">
        <w:rPr>
          <w:rFonts w:ascii="Book Antiqua" w:hAnsi="Book Antiqua"/>
          <w:b/>
          <w:sz w:val="24"/>
          <w:szCs w:val="24"/>
        </w:rPr>
        <w:t>¿Cómo se han reflejado las cuestiones de "protección", en lo que respecta a los civiles con discapacidad, en la doctrina militar, la planificación operativa y / o el entrenamiento militar?</w:t>
      </w:r>
    </w:p>
    <w:p w14:paraId="33F501F1" w14:textId="38FD0685" w:rsidR="00585617" w:rsidRPr="00585617" w:rsidRDefault="00585617" w:rsidP="00787650">
      <w:pPr>
        <w:spacing w:before="120" w:after="120"/>
        <w:jc w:val="both"/>
        <w:rPr>
          <w:rFonts w:ascii="Book Antiqua" w:hAnsi="Book Antiqua"/>
          <w:sz w:val="24"/>
          <w:szCs w:val="24"/>
        </w:rPr>
      </w:pPr>
      <w:r w:rsidRPr="00585617">
        <w:rPr>
          <w:rFonts w:ascii="Book Antiqua" w:hAnsi="Book Antiqua"/>
          <w:sz w:val="24"/>
          <w:szCs w:val="24"/>
        </w:rPr>
        <w:t>Las Fuerzas Armadas</w:t>
      </w:r>
      <w:r>
        <w:rPr>
          <w:rFonts w:ascii="Book Antiqua" w:hAnsi="Book Antiqua"/>
          <w:sz w:val="24"/>
          <w:szCs w:val="24"/>
        </w:rPr>
        <w:t xml:space="preserve"> (FF.AA.)</w:t>
      </w:r>
      <w:r w:rsidRPr="00585617">
        <w:rPr>
          <w:rFonts w:ascii="Book Antiqua" w:hAnsi="Book Antiqua"/>
          <w:sz w:val="24"/>
          <w:szCs w:val="24"/>
        </w:rPr>
        <w:t>, están obligadas a cumplir toda la legislación y normativa nacional.</w:t>
      </w:r>
    </w:p>
    <w:p w14:paraId="5958446E" w14:textId="2418CF2D" w:rsidR="00585617" w:rsidRPr="00585617" w:rsidRDefault="00585617" w:rsidP="00787650">
      <w:pPr>
        <w:spacing w:before="120" w:after="120"/>
        <w:jc w:val="both"/>
        <w:rPr>
          <w:rFonts w:ascii="Book Antiqua" w:hAnsi="Book Antiqua"/>
          <w:sz w:val="24"/>
          <w:szCs w:val="24"/>
        </w:rPr>
      </w:pPr>
      <w:r w:rsidRPr="00585617">
        <w:rPr>
          <w:rFonts w:ascii="Book Antiqua" w:hAnsi="Book Antiqua"/>
          <w:sz w:val="24"/>
          <w:szCs w:val="24"/>
        </w:rPr>
        <w:t>Chile,</w:t>
      </w:r>
      <w:r>
        <w:rPr>
          <w:rFonts w:ascii="Book Antiqua" w:hAnsi="Book Antiqua"/>
          <w:sz w:val="24"/>
          <w:szCs w:val="24"/>
        </w:rPr>
        <w:t xml:space="preserve"> </w:t>
      </w:r>
      <w:r w:rsidRPr="00585617">
        <w:rPr>
          <w:rFonts w:ascii="Book Antiqua" w:hAnsi="Book Antiqua"/>
          <w:sz w:val="24"/>
          <w:szCs w:val="24"/>
        </w:rPr>
        <w:t>y de</w:t>
      </w:r>
      <w:r>
        <w:rPr>
          <w:rFonts w:ascii="Book Antiqua" w:hAnsi="Book Antiqua"/>
          <w:sz w:val="24"/>
          <w:szCs w:val="24"/>
        </w:rPr>
        <w:t xml:space="preserve"> forma subsidiaria, las FF.AA.,</w:t>
      </w:r>
      <w:r w:rsidRPr="00585617">
        <w:rPr>
          <w:rFonts w:ascii="Book Antiqua" w:hAnsi="Book Antiqua"/>
          <w:sz w:val="24"/>
          <w:szCs w:val="24"/>
        </w:rPr>
        <w:t xml:space="preserve"> ha desarrollado </w:t>
      </w:r>
      <w:r>
        <w:rPr>
          <w:rFonts w:ascii="Book Antiqua" w:hAnsi="Book Antiqua"/>
          <w:sz w:val="24"/>
          <w:szCs w:val="24"/>
        </w:rPr>
        <w:t xml:space="preserve">e incorporado en su legislación, </w:t>
      </w:r>
      <w:r w:rsidRPr="00585617">
        <w:rPr>
          <w:rFonts w:ascii="Book Antiqua" w:hAnsi="Book Antiqua"/>
          <w:sz w:val="24"/>
          <w:szCs w:val="24"/>
        </w:rPr>
        <w:t>disposiciones sobre la protección, igualdad de oportunidades e inclusión social de las personas con discapacidad.</w:t>
      </w:r>
    </w:p>
    <w:p w14:paraId="2A460D8C" w14:textId="2F5F650D" w:rsidR="00585617" w:rsidRPr="00585617" w:rsidRDefault="00585617" w:rsidP="00787650">
      <w:pPr>
        <w:spacing w:before="120" w:after="120"/>
        <w:jc w:val="both"/>
        <w:rPr>
          <w:rFonts w:ascii="Book Antiqua" w:hAnsi="Book Antiqua"/>
          <w:sz w:val="24"/>
          <w:szCs w:val="24"/>
        </w:rPr>
      </w:pPr>
      <w:r w:rsidRPr="00585617">
        <w:rPr>
          <w:rFonts w:ascii="Book Antiqua" w:hAnsi="Book Antiqua"/>
          <w:sz w:val="24"/>
          <w:szCs w:val="24"/>
        </w:rPr>
        <w:t xml:space="preserve">En esta línea, se destaca la eliminación de minas antipersonal, por el daño que éstas generan y los peligros que representan. </w:t>
      </w:r>
      <w:r>
        <w:rPr>
          <w:rFonts w:ascii="Book Antiqua" w:hAnsi="Book Antiqua"/>
          <w:sz w:val="24"/>
          <w:szCs w:val="24"/>
        </w:rPr>
        <w:t xml:space="preserve">Para esto, </w:t>
      </w:r>
      <w:r w:rsidRPr="00585617">
        <w:rPr>
          <w:rFonts w:ascii="Book Antiqua" w:hAnsi="Book Antiqua"/>
          <w:sz w:val="24"/>
          <w:szCs w:val="24"/>
        </w:rPr>
        <w:t>se ha legislado y reglamentado sobre la prohibición de artefactos explosivos y minas antipersonal y la reparación de víctimas de accidentes con explosivos.</w:t>
      </w:r>
    </w:p>
    <w:p w14:paraId="5C8288AD" w14:textId="16FEE8EC" w:rsidR="00585617" w:rsidRPr="00585617" w:rsidRDefault="00585617" w:rsidP="00787650">
      <w:pPr>
        <w:spacing w:before="120" w:after="120"/>
        <w:jc w:val="both"/>
        <w:rPr>
          <w:rFonts w:ascii="Book Antiqua" w:hAnsi="Book Antiqua"/>
          <w:sz w:val="24"/>
          <w:szCs w:val="24"/>
        </w:rPr>
      </w:pPr>
      <w:r w:rsidRPr="00585617">
        <w:rPr>
          <w:rFonts w:ascii="Book Antiqua" w:hAnsi="Book Antiqua"/>
          <w:sz w:val="24"/>
          <w:szCs w:val="24"/>
        </w:rPr>
        <w:t>Chile, ha sido pionero en establecer normativas que relacionan a las víctimas con convenciones sobre desarme,</w:t>
      </w:r>
      <w:r w:rsidR="00787650">
        <w:rPr>
          <w:rFonts w:ascii="Book Antiqua" w:hAnsi="Book Antiqua"/>
          <w:sz w:val="24"/>
          <w:szCs w:val="24"/>
        </w:rPr>
        <w:t xml:space="preserve"> e incluso</w:t>
      </w:r>
      <w:r w:rsidRPr="00585617">
        <w:rPr>
          <w:rFonts w:ascii="Book Antiqua" w:hAnsi="Book Antiqua"/>
          <w:sz w:val="24"/>
          <w:szCs w:val="24"/>
        </w:rPr>
        <w:t xml:space="preserve"> ha liderado esfuerzos internacionales </w:t>
      </w:r>
      <w:r w:rsidR="00787650">
        <w:rPr>
          <w:rFonts w:ascii="Book Antiqua" w:hAnsi="Book Antiqua"/>
          <w:sz w:val="24"/>
          <w:szCs w:val="24"/>
        </w:rPr>
        <w:t>de</w:t>
      </w:r>
      <w:r w:rsidRPr="00585617">
        <w:rPr>
          <w:rFonts w:ascii="Book Antiqua" w:hAnsi="Book Antiqua"/>
          <w:sz w:val="24"/>
          <w:szCs w:val="24"/>
        </w:rPr>
        <w:t xml:space="preserve"> instrucción y transferencia de conocimientos y experienc</w:t>
      </w:r>
      <w:r w:rsidR="00787650">
        <w:rPr>
          <w:rFonts w:ascii="Book Antiqua" w:hAnsi="Book Antiqua"/>
          <w:sz w:val="24"/>
          <w:szCs w:val="24"/>
        </w:rPr>
        <w:t>ias en este tipo de operaciones, en los cuales ha</w:t>
      </w:r>
      <w:r w:rsidR="00787650" w:rsidRPr="00585617">
        <w:rPr>
          <w:rFonts w:ascii="Book Antiqua" w:hAnsi="Book Antiqua"/>
          <w:sz w:val="24"/>
          <w:szCs w:val="24"/>
        </w:rPr>
        <w:t xml:space="preserve"> cooperado con otros países</w:t>
      </w:r>
      <w:r w:rsidR="00787650">
        <w:rPr>
          <w:rFonts w:ascii="Book Antiqua" w:hAnsi="Book Antiqua"/>
          <w:sz w:val="24"/>
          <w:szCs w:val="24"/>
        </w:rPr>
        <w:t>.</w:t>
      </w:r>
    </w:p>
    <w:p w14:paraId="16C2465E" w14:textId="77777777" w:rsidR="00585617" w:rsidRPr="00585617" w:rsidRDefault="00585617" w:rsidP="00787650">
      <w:pPr>
        <w:spacing w:before="120" w:after="120"/>
        <w:jc w:val="both"/>
        <w:rPr>
          <w:rFonts w:ascii="Book Antiqua" w:hAnsi="Book Antiqua"/>
          <w:sz w:val="24"/>
          <w:szCs w:val="24"/>
        </w:rPr>
      </w:pPr>
      <w:r w:rsidRPr="00585617">
        <w:rPr>
          <w:rFonts w:ascii="Book Antiqua" w:hAnsi="Book Antiqua"/>
          <w:sz w:val="24"/>
          <w:szCs w:val="24"/>
        </w:rPr>
        <w:t>El año 2020, Chile concluyó las labores de desminado humanitario, despejando todos los campos con minas antipersonal del territorio nacional, dando cumplimiento a la Convención de Ottawa. Paralelamente, se han desarrollado programas de asistencia a víctimas y educación y prevención sobre el riesgo de minas.</w:t>
      </w:r>
    </w:p>
    <w:p w14:paraId="36123EBE" w14:textId="77777777" w:rsidR="00585617" w:rsidRPr="00585617" w:rsidRDefault="00585617" w:rsidP="00787650">
      <w:pPr>
        <w:spacing w:before="120" w:after="120"/>
        <w:jc w:val="both"/>
        <w:rPr>
          <w:rFonts w:ascii="Book Antiqua" w:hAnsi="Book Antiqua"/>
          <w:sz w:val="24"/>
          <w:szCs w:val="24"/>
        </w:rPr>
      </w:pPr>
      <w:r w:rsidRPr="00585617">
        <w:rPr>
          <w:rFonts w:ascii="Book Antiqua" w:hAnsi="Book Antiqua"/>
          <w:sz w:val="24"/>
          <w:szCs w:val="24"/>
        </w:rPr>
        <w:t>El Centro Conjunto para Operaciones de Paz de Chile (CECOPAC) realiza la capacitación y entrenamiento del personal que será desplegado en operaciones de paz, cuenta con cursos dirigidos al personal militar, policial y civil, tanto nacionales como extranjeros, en el que se imparten materias sobre Derecho Internacional Humanitario y Protección de Civiles que de manera tácita y transversal incorporan protección de personas discapacitadas.</w:t>
      </w:r>
    </w:p>
    <w:p w14:paraId="74FDDA82" w14:textId="77777777" w:rsidR="00585617" w:rsidRPr="00585617" w:rsidRDefault="00585617" w:rsidP="00787650">
      <w:pPr>
        <w:spacing w:before="120" w:after="120"/>
        <w:jc w:val="both"/>
        <w:rPr>
          <w:rFonts w:ascii="Book Antiqua" w:hAnsi="Book Antiqua"/>
          <w:sz w:val="24"/>
          <w:szCs w:val="24"/>
        </w:rPr>
      </w:pPr>
      <w:r w:rsidRPr="00585617">
        <w:rPr>
          <w:rFonts w:ascii="Book Antiqua" w:hAnsi="Book Antiqua"/>
          <w:sz w:val="24"/>
          <w:szCs w:val="24"/>
        </w:rPr>
        <w:t xml:space="preserve">Las capacitaciones en torno a la protección de las personas con discapacidad en el contexto de los conflictos armados, la prevención de conflictos, la acción humanitaria y las operaciones de consolidación de la paz, se encuentran incorporadas de forma implícita y se trabajan de manera transversal en las materias </w:t>
      </w:r>
      <w:r w:rsidRPr="00585617">
        <w:rPr>
          <w:rFonts w:ascii="Book Antiqua" w:hAnsi="Book Antiqua"/>
          <w:sz w:val="24"/>
          <w:szCs w:val="24"/>
        </w:rPr>
        <w:lastRenderedPageBreak/>
        <w:t xml:space="preserve">sobre Derecho Internacional Humanitario (DIH), que se imparten en cada curso; como por ejemplo: cursos de predespliegue, de Operaciones de Ayuda Humanitaria, Protección de Civiles, Seguridad y Protección e Introducción a las Operaciones de Paz y Gestión de Crisis. </w:t>
      </w:r>
    </w:p>
    <w:p w14:paraId="49B4A51D" w14:textId="17E028F8" w:rsidR="00585617" w:rsidRPr="00787650" w:rsidRDefault="00585617" w:rsidP="00787650">
      <w:pPr>
        <w:spacing w:before="120" w:after="120"/>
        <w:jc w:val="both"/>
        <w:rPr>
          <w:rFonts w:ascii="Book Antiqua" w:hAnsi="Book Antiqua"/>
          <w:sz w:val="24"/>
          <w:szCs w:val="24"/>
        </w:rPr>
      </w:pPr>
      <w:r w:rsidRPr="00787650">
        <w:rPr>
          <w:rFonts w:ascii="Book Antiqua" w:hAnsi="Book Antiqua"/>
          <w:sz w:val="24"/>
          <w:szCs w:val="24"/>
        </w:rPr>
        <w:t>No obstante, producto del Informe temát</w:t>
      </w:r>
      <w:r w:rsidR="00787650">
        <w:rPr>
          <w:rFonts w:ascii="Book Antiqua" w:hAnsi="Book Antiqua"/>
          <w:sz w:val="24"/>
          <w:szCs w:val="24"/>
        </w:rPr>
        <w:t>ico del Relator Especial sobre l</w:t>
      </w:r>
      <w:r w:rsidRPr="00787650">
        <w:rPr>
          <w:rFonts w:ascii="Book Antiqua" w:hAnsi="Book Antiqua"/>
          <w:sz w:val="24"/>
          <w:szCs w:val="24"/>
        </w:rPr>
        <w:t>os derechos de las personas con discapacidad sobre conflictos armados y discapacidad emitido en la 76° sesión de la asamblea general – 2021, el Centro pretende profundizar en la protección de civiles y particularmente en la protección de personas discapacitadas en contexto de conflictos armados.</w:t>
      </w:r>
    </w:p>
    <w:p w14:paraId="322F14FD" w14:textId="7ACED7B6" w:rsidR="00585617" w:rsidRPr="00787650" w:rsidRDefault="00585617" w:rsidP="00262FB7">
      <w:pPr>
        <w:pStyle w:val="Prrafodelista"/>
        <w:numPr>
          <w:ilvl w:val="0"/>
          <w:numId w:val="10"/>
        </w:numPr>
        <w:spacing w:before="120" w:after="120"/>
        <w:ind w:left="426"/>
        <w:jc w:val="both"/>
        <w:rPr>
          <w:rFonts w:ascii="Book Antiqua" w:hAnsi="Book Antiqua"/>
          <w:b/>
          <w:sz w:val="24"/>
          <w:szCs w:val="24"/>
        </w:rPr>
      </w:pPr>
      <w:r w:rsidRPr="00787650">
        <w:rPr>
          <w:rFonts w:ascii="Book Antiqua" w:hAnsi="Book Antiqua"/>
          <w:b/>
          <w:sz w:val="24"/>
          <w:szCs w:val="24"/>
        </w:rPr>
        <w:t>Sírvase identificar las medidas adoptadas para garantizar la inclusión de las personas con discapacidad en el marco para "proteger a los civiles" de la violencia y el abuso en el contexto de un conflicto armado.</w:t>
      </w:r>
    </w:p>
    <w:p w14:paraId="53450460" w14:textId="77777777" w:rsidR="00585617" w:rsidRPr="00787650" w:rsidRDefault="00585617" w:rsidP="00262FB7">
      <w:pPr>
        <w:pStyle w:val="Prrafodelista"/>
        <w:numPr>
          <w:ilvl w:val="0"/>
          <w:numId w:val="8"/>
        </w:numPr>
        <w:spacing w:before="120" w:after="120"/>
        <w:ind w:left="709"/>
        <w:contextualSpacing w:val="0"/>
        <w:jc w:val="both"/>
        <w:rPr>
          <w:rFonts w:ascii="Book Antiqua" w:hAnsi="Book Antiqua"/>
          <w:b/>
          <w:sz w:val="24"/>
          <w:szCs w:val="24"/>
        </w:rPr>
      </w:pPr>
      <w:r w:rsidRPr="00787650">
        <w:rPr>
          <w:rFonts w:ascii="Book Antiqua" w:hAnsi="Book Antiqua"/>
          <w:b/>
          <w:sz w:val="24"/>
          <w:szCs w:val="24"/>
        </w:rPr>
        <w:t>¿Se refieren o reconocen en los manuales o políticas militares a las obligaciones del Estado de garantizar la protección específica de las personas con discapacidad en los conflictos armados?</w:t>
      </w:r>
    </w:p>
    <w:p w14:paraId="19C5C83F" w14:textId="6BED49D7" w:rsidR="00585617" w:rsidRPr="00262FB7" w:rsidRDefault="00585617" w:rsidP="00262FB7">
      <w:pPr>
        <w:spacing w:before="120" w:after="120"/>
        <w:ind w:left="993"/>
        <w:jc w:val="both"/>
        <w:rPr>
          <w:rFonts w:ascii="Book Antiqua" w:hAnsi="Book Antiqua"/>
          <w:sz w:val="24"/>
          <w:szCs w:val="24"/>
        </w:rPr>
      </w:pPr>
      <w:r w:rsidRPr="00262FB7">
        <w:rPr>
          <w:rFonts w:ascii="Book Antiqua" w:hAnsi="Book Antiqua"/>
          <w:sz w:val="24"/>
          <w:szCs w:val="24"/>
        </w:rPr>
        <w:t xml:space="preserve">En el ámbito de las obligaciones militares fundadas en políticas de Estado, la normativa que rige el quehacer militar y </w:t>
      </w:r>
      <w:r w:rsidR="00262FB7" w:rsidRPr="00262FB7">
        <w:rPr>
          <w:rFonts w:ascii="Book Antiqua" w:hAnsi="Book Antiqua"/>
          <w:sz w:val="24"/>
          <w:szCs w:val="24"/>
        </w:rPr>
        <w:t>considerado</w:t>
      </w:r>
      <w:r w:rsidRPr="00262FB7">
        <w:rPr>
          <w:rFonts w:ascii="Book Antiqua" w:hAnsi="Book Antiqua"/>
          <w:sz w:val="24"/>
          <w:szCs w:val="24"/>
        </w:rPr>
        <w:t xml:space="preserve"> en su planificación y empleo, está mandatada en las leyes y decretos de la República, respecto a las obligaciones de garantizar la protección específica de las personas con discapacidad algunos de los principales son los siguientes:</w:t>
      </w:r>
    </w:p>
    <w:p w14:paraId="539FC58B"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Ley Nº 21.331</w:t>
      </w:r>
      <w:r w:rsidRPr="00262FB7">
        <w:rPr>
          <w:rFonts w:ascii="Book Antiqua" w:hAnsi="Book Antiqua"/>
          <w:sz w:val="24"/>
          <w:szCs w:val="24"/>
        </w:rPr>
        <w:t>, de 2021 sobre “el reconocimiento y protección de los derechos de las personas en la atención de salud mental”.</w:t>
      </w:r>
    </w:p>
    <w:p w14:paraId="336A493A"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0" w:history="1">
        <w:r w:rsidRPr="00262FB7">
          <w:rPr>
            <w:rStyle w:val="Hipervnculo"/>
            <w:rFonts w:ascii="Book Antiqua" w:hAnsi="Book Antiqua"/>
            <w:color w:val="auto"/>
            <w:sz w:val="24"/>
            <w:szCs w:val="24"/>
          </w:rPr>
          <w:t>http://bcn.cl/2p863</w:t>
        </w:r>
      </w:hyperlink>
      <w:r w:rsidRPr="00262FB7">
        <w:rPr>
          <w:rFonts w:ascii="Book Antiqua" w:hAnsi="Book Antiqua"/>
          <w:sz w:val="24"/>
          <w:szCs w:val="24"/>
        </w:rPr>
        <w:t xml:space="preserve">   </w:t>
      </w:r>
    </w:p>
    <w:p w14:paraId="0F8806D9"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Ley Nº 21.303</w:t>
      </w:r>
      <w:r w:rsidRPr="00262FB7">
        <w:rPr>
          <w:rFonts w:ascii="Book Antiqua" w:hAnsi="Book Antiqua"/>
          <w:sz w:val="24"/>
          <w:szCs w:val="24"/>
        </w:rPr>
        <w:t>, de 2021 que “modifica la Ley N° 20.422, que establece normas sobre igualdad de oportunidades e inclusión social de personas con discapacidad, para promover el uso de la lengua de señas”.</w:t>
      </w:r>
    </w:p>
    <w:p w14:paraId="707B5EF6"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1" w:history="1">
        <w:r w:rsidRPr="00262FB7">
          <w:rPr>
            <w:rStyle w:val="Hipervnculo"/>
            <w:rFonts w:ascii="Book Antiqua" w:hAnsi="Book Antiqua"/>
            <w:color w:val="auto"/>
            <w:sz w:val="24"/>
            <w:szCs w:val="24"/>
          </w:rPr>
          <w:t>http://bcn.cl/2nbtt</w:t>
        </w:r>
      </w:hyperlink>
      <w:r w:rsidRPr="00262FB7">
        <w:rPr>
          <w:rFonts w:ascii="Book Antiqua" w:hAnsi="Book Antiqua"/>
          <w:sz w:val="24"/>
          <w:szCs w:val="24"/>
        </w:rPr>
        <w:t xml:space="preserve">  </w:t>
      </w:r>
    </w:p>
    <w:p w14:paraId="47F7030B" w14:textId="0CE75BE0"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 xml:space="preserve">Ley Nº 21 298, </w:t>
      </w:r>
      <w:r w:rsidRPr="00262FB7">
        <w:rPr>
          <w:rFonts w:ascii="Book Antiqua" w:hAnsi="Book Antiqua"/>
          <w:sz w:val="24"/>
          <w:szCs w:val="24"/>
        </w:rPr>
        <w:t xml:space="preserve">de 2020 que “modifica la carta fundamental para reservar escaños a representantes de los pueblos indígenas en la convención constitucional y para resguardar y promover la participación de las personas con discapacidad en la elección de </w:t>
      </w:r>
      <w:r w:rsidRPr="00262FB7">
        <w:rPr>
          <w:rFonts w:ascii="Book Antiqua" w:hAnsi="Book Antiqua"/>
          <w:sz w:val="24"/>
          <w:szCs w:val="24"/>
        </w:rPr>
        <w:lastRenderedPageBreak/>
        <w:t xml:space="preserve">convencionales </w:t>
      </w:r>
      <w:r w:rsidR="00262FB7">
        <w:rPr>
          <w:rFonts w:ascii="Book Antiqua" w:hAnsi="Book Antiqua"/>
          <w:sz w:val="24"/>
          <w:szCs w:val="24"/>
        </w:rPr>
        <w:t>constituyentes”. Ministerio de D</w:t>
      </w:r>
      <w:r w:rsidRPr="00262FB7">
        <w:rPr>
          <w:rFonts w:ascii="Book Antiqua" w:hAnsi="Book Antiqua"/>
          <w:sz w:val="24"/>
          <w:szCs w:val="24"/>
        </w:rPr>
        <w:t xml:space="preserve">esarrollo </w:t>
      </w:r>
      <w:r w:rsidR="00262FB7">
        <w:rPr>
          <w:rFonts w:ascii="Book Antiqua" w:hAnsi="Book Antiqua"/>
          <w:sz w:val="24"/>
          <w:szCs w:val="24"/>
        </w:rPr>
        <w:t>S</w:t>
      </w:r>
      <w:r w:rsidRPr="00262FB7">
        <w:rPr>
          <w:rFonts w:ascii="Book Antiqua" w:hAnsi="Book Antiqua"/>
          <w:sz w:val="24"/>
          <w:szCs w:val="24"/>
        </w:rPr>
        <w:t xml:space="preserve">ocial y </w:t>
      </w:r>
      <w:r w:rsidR="00262FB7">
        <w:rPr>
          <w:rFonts w:ascii="Book Antiqua" w:hAnsi="Book Antiqua"/>
          <w:sz w:val="24"/>
          <w:szCs w:val="24"/>
        </w:rPr>
        <w:t>F</w:t>
      </w:r>
      <w:r w:rsidRPr="00262FB7">
        <w:rPr>
          <w:rFonts w:ascii="Book Antiqua" w:hAnsi="Book Antiqua"/>
          <w:sz w:val="24"/>
          <w:szCs w:val="24"/>
        </w:rPr>
        <w:t>amilia”.</w:t>
      </w:r>
    </w:p>
    <w:p w14:paraId="6A3CAA9D"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2" w:history="1">
        <w:r w:rsidRPr="00262FB7">
          <w:rPr>
            <w:rStyle w:val="Hipervnculo"/>
            <w:rFonts w:ascii="Book Antiqua" w:hAnsi="Book Antiqua"/>
            <w:color w:val="auto"/>
            <w:sz w:val="24"/>
            <w:szCs w:val="24"/>
          </w:rPr>
          <w:t>http://bcn.cl/2mwem</w:t>
        </w:r>
      </w:hyperlink>
      <w:r w:rsidRPr="00262FB7">
        <w:rPr>
          <w:rFonts w:ascii="Book Antiqua" w:hAnsi="Book Antiqua"/>
          <w:sz w:val="24"/>
          <w:szCs w:val="24"/>
        </w:rPr>
        <w:t xml:space="preserve"> </w:t>
      </w:r>
    </w:p>
    <w:p w14:paraId="346A3F46"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 xml:space="preserve">Ley Nº 21.275, </w:t>
      </w:r>
      <w:r w:rsidRPr="00262FB7">
        <w:rPr>
          <w:rFonts w:ascii="Book Antiqua" w:hAnsi="Book Antiqua"/>
          <w:sz w:val="24"/>
          <w:szCs w:val="24"/>
        </w:rPr>
        <w:t>de 2020 que</w:t>
      </w:r>
      <w:r w:rsidRPr="00262FB7">
        <w:rPr>
          <w:rFonts w:ascii="Book Antiqua" w:hAnsi="Book Antiqua"/>
          <w:b/>
          <w:sz w:val="24"/>
          <w:szCs w:val="24"/>
        </w:rPr>
        <w:t xml:space="preserve"> </w:t>
      </w:r>
      <w:r w:rsidRPr="00262FB7">
        <w:rPr>
          <w:rFonts w:ascii="Book Antiqua" w:hAnsi="Book Antiqua"/>
          <w:sz w:val="24"/>
          <w:szCs w:val="24"/>
        </w:rPr>
        <w:t>“Modifica el Código del Trabajo, para exigir de las empresas pertinentes la adopción de medidas que faciliten la inclusión laboral de los trabajadores con discapacidad”.</w:t>
      </w:r>
    </w:p>
    <w:p w14:paraId="6B0A2C08"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3" w:history="1">
        <w:r w:rsidRPr="00262FB7">
          <w:rPr>
            <w:rStyle w:val="Hipervnculo"/>
            <w:rFonts w:ascii="Book Antiqua" w:hAnsi="Book Antiqua"/>
            <w:color w:val="auto"/>
            <w:sz w:val="24"/>
            <w:szCs w:val="24"/>
          </w:rPr>
          <w:t>http://bcn.cl/2ognl</w:t>
        </w:r>
      </w:hyperlink>
      <w:r w:rsidRPr="00262FB7">
        <w:rPr>
          <w:rFonts w:ascii="Book Antiqua" w:hAnsi="Book Antiqua"/>
          <w:sz w:val="24"/>
          <w:szCs w:val="24"/>
        </w:rPr>
        <w:t xml:space="preserve"> </w:t>
      </w:r>
    </w:p>
    <w:p w14:paraId="00481350" w14:textId="77777777" w:rsidR="00585617" w:rsidRPr="00262FB7" w:rsidRDefault="00585617" w:rsidP="00262FB7">
      <w:pPr>
        <w:pStyle w:val="Prrafodelista"/>
        <w:numPr>
          <w:ilvl w:val="0"/>
          <w:numId w:val="9"/>
        </w:numPr>
        <w:spacing w:before="120" w:after="120"/>
        <w:ind w:left="1349"/>
        <w:jc w:val="both"/>
        <w:rPr>
          <w:rFonts w:ascii="Book Antiqua" w:hAnsi="Book Antiqua"/>
          <w:sz w:val="24"/>
          <w:szCs w:val="24"/>
        </w:rPr>
      </w:pPr>
      <w:r w:rsidRPr="00262FB7">
        <w:rPr>
          <w:rFonts w:ascii="Book Antiqua" w:hAnsi="Book Antiqua"/>
          <w:b/>
          <w:sz w:val="24"/>
          <w:szCs w:val="24"/>
        </w:rPr>
        <w:t>Ley Nº 21.201</w:t>
      </w:r>
      <w:r w:rsidRPr="00262FB7">
        <w:rPr>
          <w:rFonts w:ascii="Book Antiqua" w:hAnsi="Book Antiqua"/>
          <w:sz w:val="24"/>
          <w:szCs w:val="24"/>
        </w:rPr>
        <w:t>, de 2020 que “modifica la Ley Nº 18.290, de tránsito, en lo tocante a la infracción consistente en estacionar en un espacio destinado a vehículos para personas con discapacidad, sin derecho a ello”.</w:t>
      </w:r>
    </w:p>
    <w:p w14:paraId="6819A6D2"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4" w:history="1">
        <w:r w:rsidRPr="00262FB7">
          <w:rPr>
            <w:rStyle w:val="Hipervnculo"/>
            <w:rFonts w:ascii="Book Antiqua" w:hAnsi="Book Antiqua"/>
            <w:color w:val="auto"/>
            <w:sz w:val="24"/>
            <w:szCs w:val="24"/>
          </w:rPr>
          <w:t>http://bcn.cl/2geax</w:t>
        </w:r>
      </w:hyperlink>
      <w:r w:rsidRPr="00262FB7">
        <w:rPr>
          <w:rFonts w:ascii="Book Antiqua" w:hAnsi="Book Antiqua"/>
          <w:sz w:val="24"/>
          <w:szCs w:val="24"/>
        </w:rPr>
        <w:t xml:space="preserve"> </w:t>
      </w:r>
    </w:p>
    <w:p w14:paraId="3B21C06D" w14:textId="77777777" w:rsidR="00585617" w:rsidRPr="00262FB7" w:rsidRDefault="00585617" w:rsidP="00262FB7">
      <w:pPr>
        <w:pStyle w:val="Prrafodelista"/>
        <w:numPr>
          <w:ilvl w:val="0"/>
          <w:numId w:val="9"/>
        </w:numPr>
        <w:spacing w:before="120" w:after="120"/>
        <w:ind w:left="1349"/>
        <w:jc w:val="both"/>
        <w:rPr>
          <w:rFonts w:ascii="Book Antiqua" w:hAnsi="Book Antiqua"/>
          <w:sz w:val="24"/>
          <w:szCs w:val="24"/>
        </w:rPr>
      </w:pPr>
      <w:r w:rsidRPr="00262FB7">
        <w:rPr>
          <w:rFonts w:ascii="Book Antiqua" w:hAnsi="Book Antiqua"/>
          <w:b/>
          <w:sz w:val="24"/>
          <w:szCs w:val="24"/>
        </w:rPr>
        <w:t>Ley Nº 21.168</w:t>
      </w:r>
      <w:r w:rsidRPr="00262FB7">
        <w:rPr>
          <w:rFonts w:ascii="Book Antiqua" w:hAnsi="Book Antiqua"/>
          <w:sz w:val="24"/>
          <w:szCs w:val="24"/>
        </w:rPr>
        <w:t>, de 2019 que “modifica la Ley Nº 20.584, a fin de crear el derecho a la atención preferente”.</w:t>
      </w:r>
    </w:p>
    <w:p w14:paraId="18DFDA4F"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5" w:history="1">
        <w:r w:rsidRPr="00262FB7">
          <w:rPr>
            <w:rStyle w:val="Hipervnculo"/>
            <w:rFonts w:ascii="Book Antiqua" w:hAnsi="Book Antiqua"/>
            <w:color w:val="auto"/>
            <w:sz w:val="24"/>
            <w:szCs w:val="24"/>
          </w:rPr>
          <w:t>http://bcn.cl/2mpd0</w:t>
        </w:r>
      </w:hyperlink>
      <w:r w:rsidRPr="00262FB7">
        <w:rPr>
          <w:rFonts w:ascii="Book Antiqua" w:hAnsi="Book Antiqua"/>
          <w:sz w:val="24"/>
          <w:szCs w:val="24"/>
        </w:rPr>
        <w:t xml:space="preserve"> </w:t>
      </w:r>
    </w:p>
    <w:p w14:paraId="5EC6D1D4" w14:textId="77777777" w:rsidR="00585617" w:rsidRPr="00262FB7" w:rsidRDefault="00585617" w:rsidP="00262FB7">
      <w:pPr>
        <w:pStyle w:val="Prrafodelista"/>
        <w:numPr>
          <w:ilvl w:val="0"/>
          <w:numId w:val="9"/>
        </w:numPr>
        <w:spacing w:before="120" w:after="120"/>
        <w:ind w:left="1349"/>
        <w:jc w:val="both"/>
        <w:rPr>
          <w:rFonts w:ascii="Book Antiqua" w:hAnsi="Book Antiqua"/>
          <w:sz w:val="24"/>
          <w:szCs w:val="24"/>
        </w:rPr>
      </w:pPr>
      <w:r w:rsidRPr="00262FB7">
        <w:rPr>
          <w:rFonts w:ascii="Book Antiqua" w:hAnsi="Book Antiqua"/>
          <w:b/>
          <w:sz w:val="24"/>
          <w:szCs w:val="24"/>
        </w:rPr>
        <w:t xml:space="preserve">Ley Nº 21.089, </w:t>
      </w:r>
      <w:r w:rsidRPr="00262FB7">
        <w:rPr>
          <w:rFonts w:ascii="Book Antiqua" w:hAnsi="Book Antiqua"/>
          <w:sz w:val="24"/>
          <w:szCs w:val="24"/>
        </w:rPr>
        <w:t>de 2018 que “modifica la Ley Nº 20.422, en el sentido de establecer la obligatoriedad de juegos infantiles no mecánicos en espacios públicos y privados, para niños y niñas en situación de discapacidad”.</w:t>
      </w:r>
    </w:p>
    <w:p w14:paraId="0C6C96A6"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6" w:history="1">
        <w:r w:rsidRPr="00262FB7">
          <w:rPr>
            <w:rStyle w:val="Hipervnculo"/>
            <w:rFonts w:ascii="Book Antiqua" w:hAnsi="Book Antiqua"/>
            <w:color w:val="auto"/>
            <w:sz w:val="24"/>
            <w:szCs w:val="24"/>
          </w:rPr>
          <w:t>http://bcn.cl/2q12s</w:t>
        </w:r>
      </w:hyperlink>
      <w:r w:rsidRPr="00262FB7">
        <w:rPr>
          <w:rFonts w:ascii="Book Antiqua" w:hAnsi="Book Antiqua"/>
          <w:sz w:val="24"/>
          <w:szCs w:val="24"/>
        </w:rPr>
        <w:t xml:space="preserve">  </w:t>
      </w:r>
    </w:p>
    <w:p w14:paraId="3CDC0F9C"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Ley N° 21.021</w:t>
      </w:r>
      <w:r w:rsidRPr="00262FB7">
        <w:rPr>
          <w:rFonts w:ascii="Book Antiqua" w:hAnsi="Book Antiqua"/>
          <w:sz w:val="24"/>
          <w:szCs w:val="24"/>
        </w:rPr>
        <w:t>, de 2017 que “proporciona reparación y asistencia en rehabilitación a las víctimas de explosión de minas u otros artefactos explosivos militares abandonados o sin estallar”.</w:t>
      </w:r>
    </w:p>
    <w:p w14:paraId="614F9B14"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p>
    <w:p w14:paraId="45FD2C13"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Nº 21.015</w:t>
      </w:r>
      <w:r w:rsidRPr="00262FB7">
        <w:rPr>
          <w:rFonts w:ascii="Book Antiqua" w:hAnsi="Book Antiqua"/>
          <w:sz w:val="24"/>
          <w:szCs w:val="24"/>
        </w:rPr>
        <w:t>, de 2017 que “Incentiva la inclusión de personas con discapacidad al mundo laboral”.</w:t>
      </w:r>
    </w:p>
    <w:p w14:paraId="1C90BEA1"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7" w:history="1">
        <w:r w:rsidRPr="00262FB7">
          <w:rPr>
            <w:rStyle w:val="Hipervnculo"/>
            <w:rFonts w:ascii="Book Antiqua" w:hAnsi="Book Antiqua"/>
            <w:color w:val="auto"/>
            <w:sz w:val="24"/>
            <w:szCs w:val="24"/>
          </w:rPr>
          <w:t>http://bcn.cl/2ff7s</w:t>
        </w:r>
      </w:hyperlink>
      <w:r w:rsidRPr="00262FB7">
        <w:rPr>
          <w:rFonts w:ascii="Book Antiqua" w:hAnsi="Book Antiqua"/>
          <w:sz w:val="24"/>
          <w:szCs w:val="24"/>
        </w:rPr>
        <w:t xml:space="preserve"> </w:t>
      </w:r>
    </w:p>
    <w:p w14:paraId="77EDE546"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 20.978</w:t>
      </w:r>
      <w:r w:rsidRPr="00262FB7">
        <w:rPr>
          <w:rFonts w:ascii="Book Antiqua" w:hAnsi="Book Antiqua"/>
          <w:sz w:val="24"/>
          <w:szCs w:val="24"/>
        </w:rPr>
        <w:t>, de 2016 que “reconoce el deporte adaptado y paralímpico”.</w:t>
      </w:r>
    </w:p>
    <w:p w14:paraId="7C81B6DF"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lastRenderedPageBreak/>
        <w:t xml:space="preserve">Disponible en: </w:t>
      </w:r>
      <w:hyperlink r:id="rId18" w:history="1">
        <w:r w:rsidRPr="00262FB7">
          <w:rPr>
            <w:rStyle w:val="Hipervnculo"/>
            <w:rFonts w:ascii="Book Antiqua" w:hAnsi="Book Antiqua"/>
            <w:color w:val="auto"/>
            <w:sz w:val="24"/>
            <w:szCs w:val="24"/>
          </w:rPr>
          <w:t>http://bcn.cl/2q0rh</w:t>
        </w:r>
      </w:hyperlink>
      <w:r w:rsidRPr="00262FB7">
        <w:rPr>
          <w:rFonts w:ascii="Book Antiqua" w:hAnsi="Book Antiqua"/>
          <w:sz w:val="24"/>
          <w:szCs w:val="24"/>
        </w:rPr>
        <w:t xml:space="preserve"> </w:t>
      </w:r>
    </w:p>
    <w:p w14:paraId="17518060"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Nº 20.927</w:t>
      </w:r>
      <w:r w:rsidRPr="00262FB7">
        <w:rPr>
          <w:rFonts w:ascii="Book Antiqua" w:hAnsi="Book Antiqua"/>
          <w:sz w:val="24"/>
          <w:szCs w:val="24"/>
        </w:rPr>
        <w:t>, de 2016 que establece normas para el acceso de la población con discapacidad auditiva a información proporcionada a través de concesionarias de radiodifusión televisiva de libre recepción y permisionarias de servicios limitados de televisión.</w:t>
      </w:r>
    </w:p>
    <w:p w14:paraId="2CB6A3FD"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19" w:history="1">
        <w:r w:rsidRPr="00262FB7">
          <w:rPr>
            <w:rStyle w:val="Hipervnculo"/>
            <w:rFonts w:ascii="Book Antiqua" w:hAnsi="Book Antiqua"/>
            <w:color w:val="auto"/>
            <w:sz w:val="24"/>
            <w:szCs w:val="24"/>
          </w:rPr>
          <w:t>http://bcn.cl/2q0s1</w:t>
        </w:r>
      </w:hyperlink>
      <w:r w:rsidRPr="00262FB7">
        <w:rPr>
          <w:rFonts w:ascii="Book Antiqua" w:hAnsi="Book Antiqua"/>
          <w:sz w:val="24"/>
          <w:szCs w:val="24"/>
        </w:rPr>
        <w:t xml:space="preserve"> </w:t>
      </w:r>
    </w:p>
    <w:p w14:paraId="75BDF4D4"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Ley N° 20.609</w:t>
      </w:r>
      <w:r w:rsidRPr="00262FB7">
        <w:rPr>
          <w:rFonts w:ascii="Book Antiqua" w:hAnsi="Book Antiqua"/>
          <w:sz w:val="24"/>
          <w:szCs w:val="24"/>
        </w:rPr>
        <w:t>, de 2012 que “Establece medidas contra la discriminación”.</w:t>
      </w:r>
    </w:p>
    <w:p w14:paraId="136653A4"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0" w:history="1">
        <w:r w:rsidRPr="00262FB7">
          <w:rPr>
            <w:rStyle w:val="Hipervnculo"/>
            <w:rFonts w:ascii="Book Antiqua" w:hAnsi="Book Antiqua"/>
            <w:color w:val="auto"/>
            <w:sz w:val="24"/>
            <w:szCs w:val="24"/>
          </w:rPr>
          <w:t>http://bcn.cl/2g7mr</w:t>
        </w:r>
      </w:hyperlink>
      <w:r w:rsidRPr="00262FB7">
        <w:rPr>
          <w:rFonts w:ascii="Book Antiqua" w:hAnsi="Book Antiqua"/>
          <w:sz w:val="24"/>
          <w:szCs w:val="24"/>
        </w:rPr>
        <w:t xml:space="preserve">  </w:t>
      </w:r>
    </w:p>
    <w:p w14:paraId="57A38056"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Esta ley tiene por objetivo fundamental, instaurar un mecanismo judicial que permita restablecer eficazmente el imperio del derecho toda vez que se cometa un acto de discriminación arbitraria.</w:t>
      </w:r>
    </w:p>
    <w:p w14:paraId="367F4134"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 20.602</w:t>
      </w:r>
      <w:r w:rsidRPr="00262FB7">
        <w:rPr>
          <w:rFonts w:ascii="Book Antiqua" w:hAnsi="Book Antiqua"/>
          <w:sz w:val="24"/>
          <w:szCs w:val="24"/>
        </w:rPr>
        <w:t xml:space="preserve">, de 2012 que “deroga el inciso sexto del artículo primero transitorio de la Ley Nº 20.422”. </w:t>
      </w:r>
    </w:p>
    <w:p w14:paraId="4AF53930"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1" w:history="1">
        <w:r w:rsidRPr="00262FB7">
          <w:rPr>
            <w:rStyle w:val="Hipervnculo"/>
            <w:rFonts w:ascii="Book Antiqua" w:hAnsi="Book Antiqua"/>
            <w:color w:val="auto"/>
            <w:sz w:val="24"/>
            <w:szCs w:val="24"/>
          </w:rPr>
          <w:t>http://bcn.cl/2lcsc</w:t>
        </w:r>
      </w:hyperlink>
      <w:r w:rsidRPr="00262FB7">
        <w:rPr>
          <w:rFonts w:ascii="Book Antiqua" w:hAnsi="Book Antiqua"/>
          <w:sz w:val="24"/>
          <w:szCs w:val="24"/>
        </w:rPr>
        <w:t xml:space="preserve"> </w:t>
      </w:r>
    </w:p>
    <w:p w14:paraId="3C9FC359"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Nº 20.535</w:t>
      </w:r>
      <w:r w:rsidRPr="00262FB7">
        <w:rPr>
          <w:rFonts w:ascii="Book Antiqua" w:hAnsi="Book Antiqua"/>
          <w:sz w:val="24"/>
          <w:szCs w:val="24"/>
        </w:rPr>
        <w:t>, de 2011 que “concede permiso a los padres de hijos con discapacidad, para ausentarse del trabajo”</w:t>
      </w:r>
    </w:p>
    <w:p w14:paraId="58161029"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2" w:history="1">
        <w:r w:rsidRPr="00262FB7">
          <w:rPr>
            <w:rStyle w:val="Hipervnculo"/>
            <w:rFonts w:ascii="Book Antiqua" w:hAnsi="Book Antiqua"/>
            <w:color w:val="auto"/>
            <w:sz w:val="24"/>
            <w:szCs w:val="24"/>
          </w:rPr>
          <w:t>http://bcn.cl/2q0sd</w:t>
        </w:r>
      </w:hyperlink>
      <w:r w:rsidRPr="00262FB7">
        <w:rPr>
          <w:rFonts w:ascii="Book Antiqua" w:hAnsi="Book Antiqua"/>
          <w:sz w:val="24"/>
          <w:szCs w:val="24"/>
        </w:rPr>
        <w:t xml:space="preserve"> </w:t>
      </w:r>
    </w:p>
    <w:p w14:paraId="6176E523"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w:t>
      </w:r>
      <w:r w:rsidRPr="00262FB7">
        <w:rPr>
          <w:rFonts w:ascii="Book Antiqua" w:hAnsi="Book Antiqua"/>
          <w:sz w:val="24"/>
          <w:szCs w:val="24"/>
        </w:rPr>
        <w:t xml:space="preserve"> </w:t>
      </w:r>
      <w:r w:rsidRPr="00262FB7">
        <w:rPr>
          <w:rFonts w:ascii="Book Antiqua" w:hAnsi="Book Antiqua"/>
          <w:b/>
          <w:sz w:val="24"/>
          <w:szCs w:val="24"/>
        </w:rPr>
        <w:t>Nº 20.530</w:t>
      </w:r>
      <w:r w:rsidRPr="00262FB7">
        <w:rPr>
          <w:rFonts w:ascii="Book Antiqua" w:hAnsi="Book Antiqua"/>
          <w:sz w:val="24"/>
          <w:szCs w:val="24"/>
        </w:rPr>
        <w:t>, de 2011 que crea el ministerio de desarrollo social y familia y modifica cuerpos legales que indica.</w:t>
      </w:r>
    </w:p>
    <w:p w14:paraId="29414D4D"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Comité interministerial de desarrollo social y familia reemplazará al comité de ministros creado en la ley N° 20.422 que establece normas sobre igualdad de oportunidades e inclusión social de personas con discapacidad</w:t>
      </w:r>
    </w:p>
    <w:p w14:paraId="493F57CB"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3" w:history="1">
        <w:r w:rsidRPr="00262FB7">
          <w:rPr>
            <w:rStyle w:val="Hipervnculo"/>
            <w:rFonts w:ascii="Book Antiqua" w:hAnsi="Book Antiqua"/>
            <w:color w:val="auto"/>
            <w:sz w:val="24"/>
            <w:szCs w:val="24"/>
          </w:rPr>
          <w:t>http://bcn.cl/2q0s4</w:t>
        </w:r>
      </w:hyperlink>
      <w:r w:rsidRPr="00262FB7">
        <w:rPr>
          <w:rFonts w:ascii="Book Antiqua" w:hAnsi="Book Antiqua"/>
          <w:sz w:val="24"/>
          <w:szCs w:val="24"/>
        </w:rPr>
        <w:t xml:space="preserve"> </w:t>
      </w:r>
    </w:p>
    <w:p w14:paraId="1E17D1E7"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w:t>
      </w:r>
      <w:r w:rsidRPr="00262FB7">
        <w:rPr>
          <w:rFonts w:ascii="Book Antiqua" w:hAnsi="Book Antiqua"/>
          <w:sz w:val="24"/>
          <w:szCs w:val="24"/>
        </w:rPr>
        <w:t xml:space="preserve"> </w:t>
      </w:r>
      <w:r w:rsidRPr="00262FB7">
        <w:rPr>
          <w:rFonts w:ascii="Book Antiqua" w:hAnsi="Book Antiqua"/>
          <w:b/>
          <w:sz w:val="24"/>
          <w:szCs w:val="24"/>
        </w:rPr>
        <w:t>Nº 20.533</w:t>
      </w:r>
      <w:r w:rsidRPr="00262FB7">
        <w:rPr>
          <w:rFonts w:ascii="Book Antiqua" w:hAnsi="Book Antiqua"/>
          <w:sz w:val="24"/>
          <w:szCs w:val="24"/>
        </w:rPr>
        <w:t>, de 2011 que “concede permiso a los padres de hijos con discapacidad, para ausentarse del trabajo”.</w:t>
      </w:r>
    </w:p>
    <w:p w14:paraId="12DC4584"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4" w:history="1">
        <w:r w:rsidRPr="00262FB7">
          <w:rPr>
            <w:rStyle w:val="Hipervnculo"/>
            <w:rFonts w:ascii="Book Antiqua" w:hAnsi="Book Antiqua"/>
            <w:color w:val="auto"/>
            <w:sz w:val="24"/>
            <w:szCs w:val="24"/>
          </w:rPr>
          <w:t>http://bcn.cl/2kd9m</w:t>
        </w:r>
      </w:hyperlink>
      <w:r w:rsidRPr="00262FB7">
        <w:rPr>
          <w:rFonts w:ascii="Book Antiqua" w:hAnsi="Book Antiqua"/>
          <w:sz w:val="24"/>
          <w:szCs w:val="24"/>
        </w:rPr>
        <w:t xml:space="preserve">  </w:t>
      </w:r>
    </w:p>
    <w:p w14:paraId="27638E14"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lastRenderedPageBreak/>
        <w:t xml:space="preserve">Ley Nº 20.459, </w:t>
      </w:r>
      <w:r w:rsidRPr="00262FB7">
        <w:rPr>
          <w:rFonts w:ascii="Book Antiqua" w:hAnsi="Book Antiqua"/>
          <w:sz w:val="24"/>
          <w:szCs w:val="24"/>
        </w:rPr>
        <w:t>de 2010 que “facilita el acceso a las pensiones básicas solidarias de invalidez y de vejez”.</w:t>
      </w:r>
    </w:p>
    <w:p w14:paraId="314E66CA"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5" w:history="1">
        <w:r w:rsidRPr="00262FB7">
          <w:rPr>
            <w:rStyle w:val="Hipervnculo"/>
            <w:rFonts w:ascii="Book Antiqua" w:hAnsi="Book Antiqua"/>
            <w:color w:val="auto"/>
            <w:sz w:val="24"/>
            <w:szCs w:val="24"/>
          </w:rPr>
          <w:t>http://bcn.cl/2q0sg</w:t>
        </w:r>
      </w:hyperlink>
      <w:r w:rsidRPr="00262FB7">
        <w:rPr>
          <w:rFonts w:ascii="Book Antiqua" w:hAnsi="Book Antiqua"/>
          <w:sz w:val="24"/>
          <w:szCs w:val="24"/>
        </w:rPr>
        <w:t xml:space="preserve"> </w:t>
      </w:r>
    </w:p>
    <w:p w14:paraId="27CA1ED6"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Nº 20.422,</w:t>
      </w:r>
      <w:r w:rsidRPr="00262FB7">
        <w:rPr>
          <w:rFonts w:ascii="Book Antiqua" w:hAnsi="Book Antiqua"/>
          <w:sz w:val="24"/>
          <w:szCs w:val="24"/>
        </w:rPr>
        <w:t xml:space="preserve"> de 2010 que “establece normas sobre igualdad de oportunidades e inclusión social de personas con discapacidad”.</w:t>
      </w:r>
    </w:p>
    <w:p w14:paraId="7CACB89E"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La ley se basa en los principios de vida independiente, accesibilidad universal, diseño universal, intersectorialidad, participación y diálogo social. Además, estableció organismo para abordar los desafíos que genera la plena inclusión social de las personas con discapacidad: Servicio Nacional de la Discapacidad, Comité de Ministros (actual Comité de Desarrollo Social y Familia) y Consejo Consultivo de la Discapacidad.</w:t>
      </w:r>
    </w:p>
    <w:p w14:paraId="09337EC9" w14:textId="77777777" w:rsidR="0058561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Este texto legal, que, junto a la Convención sobre los Derechos de las Personas con Discapacidad de las Naciones Unidas, constituyen un sólido marco legislativo en nuestro país.</w:t>
      </w:r>
    </w:p>
    <w:p w14:paraId="5DC80583" w14:textId="51870285" w:rsidR="00262FB7" w:rsidRPr="00262FB7" w:rsidRDefault="00262FB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6" w:history="1">
        <w:r w:rsidRPr="00262FB7">
          <w:rPr>
            <w:rStyle w:val="Hipervnculo"/>
            <w:rFonts w:ascii="Book Antiqua" w:hAnsi="Book Antiqua"/>
            <w:color w:val="auto"/>
            <w:sz w:val="24"/>
            <w:szCs w:val="24"/>
          </w:rPr>
          <w:t>http://bcn.cl/2i9us</w:t>
        </w:r>
      </w:hyperlink>
      <w:r w:rsidRPr="00262FB7">
        <w:rPr>
          <w:rFonts w:ascii="Book Antiqua" w:hAnsi="Book Antiqua"/>
          <w:sz w:val="24"/>
          <w:szCs w:val="24"/>
        </w:rPr>
        <w:t xml:space="preserve">  </w:t>
      </w:r>
    </w:p>
    <w:p w14:paraId="1793A263"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Nº 20.255</w:t>
      </w:r>
      <w:r w:rsidRPr="00262FB7">
        <w:rPr>
          <w:rFonts w:ascii="Book Antiqua" w:hAnsi="Book Antiqua"/>
          <w:sz w:val="24"/>
          <w:szCs w:val="24"/>
        </w:rPr>
        <w:t>, de 2008 que “establece reforma previsional”.</w:t>
      </w:r>
    </w:p>
    <w:p w14:paraId="6E5CA527" w14:textId="77777777" w:rsidR="0058561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Dispone subsidio para personas con discapacidad mental </w:t>
      </w:r>
    </w:p>
    <w:p w14:paraId="019BE4E8" w14:textId="7B67DEB1" w:rsidR="00262FB7" w:rsidRPr="00262FB7" w:rsidRDefault="00262FB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7" w:history="1">
        <w:r w:rsidRPr="00262FB7">
          <w:rPr>
            <w:rStyle w:val="Hipervnculo"/>
            <w:rFonts w:ascii="Book Antiqua" w:hAnsi="Book Antiqua"/>
            <w:color w:val="auto"/>
            <w:sz w:val="24"/>
            <w:szCs w:val="24"/>
          </w:rPr>
          <w:t>http://bcn.cl/2q0sp</w:t>
        </w:r>
      </w:hyperlink>
      <w:r w:rsidRPr="00262FB7">
        <w:rPr>
          <w:rFonts w:ascii="Book Antiqua" w:hAnsi="Book Antiqua"/>
          <w:sz w:val="24"/>
          <w:szCs w:val="24"/>
        </w:rPr>
        <w:t xml:space="preserve"> </w:t>
      </w:r>
    </w:p>
    <w:p w14:paraId="7338C8D8"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Ley Nº 20.201</w:t>
      </w:r>
      <w:r w:rsidRPr="00262FB7">
        <w:rPr>
          <w:rFonts w:ascii="Book Antiqua" w:hAnsi="Book Antiqua"/>
          <w:sz w:val="24"/>
          <w:szCs w:val="24"/>
        </w:rPr>
        <w:t>, de 2007 que modifica el DFL Nº 2, de 1998, de educación, sobre subvenciones a establecimientos educacionales y otros cuerpos legales”.</w:t>
      </w:r>
    </w:p>
    <w:p w14:paraId="647DF416"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r w:rsidRPr="00262FB7">
        <w:rPr>
          <w:rStyle w:val="Hipervnculo"/>
          <w:rFonts w:ascii="Book Antiqua" w:hAnsi="Book Antiqua"/>
          <w:color w:val="auto"/>
          <w:sz w:val="24"/>
          <w:szCs w:val="24"/>
        </w:rPr>
        <w:t>http://bcn.cl/2korf</w:t>
      </w:r>
    </w:p>
    <w:p w14:paraId="4F09E64E"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 xml:space="preserve">Ley Nº 20.183, </w:t>
      </w:r>
      <w:r w:rsidRPr="00262FB7">
        <w:rPr>
          <w:rFonts w:ascii="Book Antiqua" w:hAnsi="Book Antiqua"/>
          <w:sz w:val="24"/>
          <w:szCs w:val="24"/>
        </w:rPr>
        <w:t>de 2007 que</w:t>
      </w:r>
      <w:r w:rsidRPr="00262FB7">
        <w:rPr>
          <w:rFonts w:ascii="Book Antiqua" w:hAnsi="Book Antiqua"/>
          <w:b/>
          <w:sz w:val="24"/>
          <w:szCs w:val="24"/>
        </w:rPr>
        <w:t xml:space="preserve"> “</w:t>
      </w:r>
      <w:r w:rsidRPr="00262FB7">
        <w:rPr>
          <w:rFonts w:ascii="Book Antiqua" w:hAnsi="Book Antiqua"/>
          <w:sz w:val="24"/>
          <w:szCs w:val="24"/>
        </w:rPr>
        <w:t>modifica la Ley Nº 18.700, orgánica constitucional sobre votaciones populares y escrutinios, con el objeto de reconocer el derecho a la asistencia en el acto de votar para las personas con discapacidad”.</w:t>
      </w:r>
    </w:p>
    <w:p w14:paraId="49D510E8"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28" w:history="1">
        <w:r w:rsidRPr="00262FB7">
          <w:rPr>
            <w:rStyle w:val="Hipervnculo"/>
            <w:rFonts w:ascii="Book Antiqua" w:hAnsi="Book Antiqua"/>
            <w:color w:val="auto"/>
            <w:sz w:val="24"/>
            <w:szCs w:val="24"/>
          </w:rPr>
          <w:t>http://bcn.cl/2k93v</w:t>
        </w:r>
      </w:hyperlink>
      <w:r w:rsidRPr="00262FB7">
        <w:rPr>
          <w:rFonts w:ascii="Book Antiqua" w:hAnsi="Book Antiqua"/>
          <w:sz w:val="24"/>
          <w:szCs w:val="24"/>
        </w:rPr>
        <w:t xml:space="preserve"> </w:t>
      </w:r>
    </w:p>
    <w:p w14:paraId="0DF67491" w14:textId="77777777" w:rsidR="00585617" w:rsidRPr="00262FB7" w:rsidRDefault="00585617" w:rsidP="00262FB7">
      <w:pPr>
        <w:pStyle w:val="Prrafodelista"/>
        <w:numPr>
          <w:ilvl w:val="0"/>
          <w:numId w:val="9"/>
        </w:numPr>
        <w:spacing w:before="120" w:after="120"/>
        <w:ind w:left="1349"/>
        <w:jc w:val="both"/>
        <w:rPr>
          <w:rFonts w:ascii="Book Antiqua" w:hAnsi="Book Antiqua"/>
          <w:sz w:val="24"/>
          <w:szCs w:val="24"/>
        </w:rPr>
      </w:pPr>
      <w:r w:rsidRPr="00262FB7">
        <w:rPr>
          <w:rFonts w:ascii="Book Antiqua" w:hAnsi="Book Antiqua"/>
          <w:b/>
          <w:sz w:val="24"/>
          <w:szCs w:val="24"/>
        </w:rPr>
        <w:t>Ley 20.957,</w:t>
      </w:r>
      <w:r w:rsidRPr="00262FB7">
        <w:rPr>
          <w:rFonts w:ascii="Book Antiqua" w:hAnsi="Book Antiqua"/>
          <w:sz w:val="24"/>
          <w:szCs w:val="24"/>
        </w:rPr>
        <w:t xml:space="preserve"> de 2016 que “permite que personas en situación de discapacidad puedan ser nombradas en cargos de juez o notario”.</w:t>
      </w:r>
    </w:p>
    <w:p w14:paraId="42E2A1D0"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lastRenderedPageBreak/>
        <w:t xml:space="preserve">Disponible en: </w:t>
      </w:r>
      <w:hyperlink r:id="rId29" w:history="1">
        <w:r w:rsidRPr="00262FB7">
          <w:rPr>
            <w:rStyle w:val="Hipervnculo"/>
            <w:rFonts w:ascii="Book Antiqua" w:hAnsi="Book Antiqua"/>
            <w:color w:val="auto"/>
            <w:sz w:val="24"/>
            <w:szCs w:val="24"/>
          </w:rPr>
          <w:t>http://bcn.cl/2o7zd</w:t>
        </w:r>
      </w:hyperlink>
      <w:r w:rsidRPr="00262FB7">
        <w:rPr>
          <w:rFonts w:ascii="Book Antiqua" w:hAnsi="Book Antiqua"/>
          <w:sz w:val="24"/>
          <w:szCs w:val="24"/>
        </w:rPr>
        <w:t xml:space="preserve"> </w:t>
      </w:r>
    </w:p>
    <w:p w14:paraId="0B6678D0" w14:textId="77777777" w:rsidR="00585617" w:rsidRPr="00262FB7" w:rsidRDefault="00585617" w:rsidP="00262FB7">
      <w:pPr>
        <w:pStyle w:val="Prrafodelista"/>
        <w:numPr>
          <w:ilvl w:val="0"/>
          <w:numId w:val="9"/>
        </w:numPr>
        <w:spacing w:before="120" w:after="120"/>
        <w:ind w:left="1349"/>
        <w:jc w:val="both"/>
        <w:rPr>
          <w:rFonts w:ascii="Book Antiqua" w:hAnsi="Book Antiqua"/>
          <w:sz w:val="24"/>
          <w:szCs w:val="24"/>
        </w:rPr>
      </w:pPr>
      <w:r w:rsidRPr="00262FB7">
        <w:rPr>
          <w:rFonts w:ascii="Book Antiqua" w:hAnsi="Book Antiqua"/>
          <w:b/>
          <w:sz w:val="24"/>
          <w:szCs w:val="24"/>
        </w:rPr>
        <w:t>Ley Nº 19.954,</w:t>
      </w:r>
      <w:r w:rsidRPr="00262FB7">
        <w:rPr>
          <w:rFonts w:ascii="Book Antiqua" w:hAnsi="Book Antiqua"/>
          <w:sz w:val="24"/>
          <w:szCs w:val="24"/>
        </w:rPr>
        <w:t xml:space="preserve"> de 2004 que “modifica la Ley Nº 18.600, en lo relativo al procedimiento de interdicción de los discapacitados mentales”.</w:t>
      </w:r>
    </w:p>
    <w:p w14:paraId="75358BA4"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0" w:history="1">
        <w:r w:rsidRPr="00262FB7">
          <w:rPr>
            <w:rStyle w:val="Hipervnculo"/>
            <w:rFonts w:ascii="Book Antiqua" w:hAnsi="Book Antiqua"/>
            <w:color w:val="auto"/>
            <w:sz w:val="24"/>
            <w:szCs w:val="24"/>
          </w:rPr>
          <w:t>http://bcn.cl/2f97d</w:t>
        </w:r>
      </w:hyperlink>
      <w:r w:rsidRPr="00262FB7">
        <w:rPr>
          <w:rFonts w:ascii="Book Antiqua" w:hAnsi="Book Antiqua"/>
          <w:sz w:val="24"/>
          <w:szCs w:val="24"/>
        </w:rPr>
        <w:t xml:space="preserve"> </w:t>
      </w:r>
    </w:p>
    <w:p w14:paraId="223B08BE"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 xml:space="preserve">Ley Nº 19.735, </w:t>
      </w:r>
      <w:r w:rsidRPr="00262FB7">
        <w:rPr>
          <w:rFonts w:ascii="Book Antiqua" w:hAnsi="Book Antiqua"/>
          <w:sz w:val="24"/>
          <w:szCs w:val="24"/>
        </w:rPr>
        <w:t>de 2001 que</w:t>
      </w:r>
      <w:r w:rsidRPr="00262FB7">
        <w:rPr>
          <w:rFonts w:ascii="Book Antiqua" w:hAnsi="Book Antiqua"/>
          <w:b/>
          <w:sz w:val="24"/>
          <w:szCs w:val="24"/>
        </w:rPr>
        <w:t xml:space="preserve"> </w:t>
      </w:r>
      <w:r w:rsidRPr="00262FB7">
        <w:rPr>
          <w:rFonts w:ascii="Book Antiqua" w:hAnsi="Book Antiqua"/>
          <w:sz w:val="24"/>
          <w:szCs w:val="24"/>
        </w:rPr>
        <w:t>modifica la Ley Nº 18.600, estableciendo nuevas normas sobre los discapacitados mentales ministerio de planificación y cooperación.</w:t>
      </w:r>
    </w:p>
    <w:p w14:paraId="4DCB25BB"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1" w:history="1">
        <w:r w:rsidRPr="00262FB7">
          <w:rPr>
            <w:rStyle w:val="Hipervnculo"/>
            <w:rFonts w:ascii="Book Antiqua" w:hAnsi="Book Antiqua"/>
            <w:color w:val="auto"/>
            <w:sz w:val="24"/>
            <w:szCs w:val="24"/>
          </w:rPr>
          <w:t>http://bcn.cl/2pjbh</w:t>
        </w:r>
      </w:hyperlink>
      <w:r w:rsidRPr="00262FB7">
        <w:rPr>
          <w:rFonts w:ascii="Book Antiqua" w:hAnsi="Book Antiqua"/>
          <w:sz w:val="24"/>
          <w:szCs w:val="24"/>
        </w:rPr>
        <w:t xml:space="preserve"> </w:t>
      </w:r>
    </w:p>
    <w:p w14:paraId="0573666E"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 xml:space="preserve">Ley Nº 19.284, </w:t>
      </w:r>
      <w:r w:rsidRPr="00262FB7">
        <w:rPr>
          <w:rFonts w:ascii="Book Antiqua" w:hAnsi="Book Antiqua"/>
          <w:sz w:val="24"/>
          <w:szCs w:val="24"/>
        </w:rPr>
        <w:t>de 2001 que “establece normas para la plena integración social de personas con discapacidad”.</w:t>
      </w:r>
    </w:p>
    <w:p w14:paraId="372D483A"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2" w:history="1">
        <w:r w:rsidRPr="00262FB7">
          <w:rPr>
            <w:rStyle w:val="Hipervnculo"/>
            <w:rFonts w:ascii="Book Antiqua" w:hAnsi="Book Antiqua"/>
            <w:color w:val="auto"/>
            <w:sz w:val="24"/>
            <w:szCs w:val="24"/>
          </w:rPr>
          <w:t>http://bcn.cl/2f97s</w:t>
        </w:r>
      </w:hyperlink>
      <w:r w:rsidRPr="00262FB7">
        <w:rPr>
          <w:rFonts w:ascii="Book Antiqua" w:hAnsi="Book Antiqua"/>
          <w:sz w:val="24"/>
          <w:szCs w:val="24"/>
        </w:rPr>
        <w:t xml:space="preserve">  </w:t>
      </w:r>
    </w:p>
    <w:p w14:paraId="5F38B0BC" w14:textId="77777777" w:rsidR="00585617" w:rsidRPr="00262FB7" w:rsidRDefault="00585617" w:rsidP="00262FB7">
      <w:pPr>
        <w:pStyle w:val="Prrafodelista"/>
        <w:numPr>
          <w:ilvl w:val="0"/>
          <w:numId w:val="9"/>
        </w:numPr>
        <w:spacing w:before="120" w:after="120"/>
        <w:ind w:left="1349"/>
        <w:jc w:val="both"/>
        <w:rPr>
          <w:rFonts w:ascii="Book Antiqua" w:hAnsi="Book Antiqua"/>
          <w:sz w:val="24"/>
          <w:szCs w:val="24"/>
        </w:rPr>
      </w:pPr>
      <w:r w:rsidRPr="00262FB7">
        <w:rPr>
          <w:rFonts w:ascii="Book Antiqua" w:hAnsi="Book Antiqua"/>
          <w:b/>
          <w:sz w:val="24"/>
          <w:szCs w:val="24"/>
        </w:rPr>
        <w:t>Decreto 64,</w:t>
      </w:r>
      <w:r w:rsidRPr="00262FB7">
        <w:rPr>
          <w:rFonts w:ascii="Book Antiqua" w:hAnsi="Book Antiqua"/>
          <w:sz w:val="24"/>
          <w:szCs w:val="24"/>
        </w:rPr>
        <w:t xml:space="preserve"> publicado en el Diario Oficial el 01 de febrero de 2018, que “aprueba Reglamento del Capítulo II "de la inclusión laboral de personas con discapacidad", del Título III del Libro I del Código del Trabajo, incorporado por la Ley Nº 21.015, que incentiva la inclusión de personas con discapacidad al mundo laboral”.</w:t>
      </w:r>
    </w:p>
    <w:p w14:paraId="1CE10A12"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3" w:history="1">
        <w:r w:rsidRPr="00262FB7">
          <w:rPr>
            <w:rStyle w:val="Hipervnculo"/>
            <w:rFonts w:ascii="Book Antiqua" w:hAnsi="Book Antiqua"/>
            <w:color w:val="auto"/>
            <w:sz w:val="24"/>
            <w:szCs w:val="24"/>
          </w:rPr>
          <w:t>http://bcn.cl/2ho2o</w:t>
        </w:r>
      </w:hyperlink>
      <w:r w:rsidRPr="00262FB7">
        <w:rPr>
          <w:rFonts w:ascii="Book Antiqua" w:hAnsi="Book Antiqua"/>
          <w:sz w:val="24"/>
          <w:szCs w:val="24"/>
        </w:rPr>
        <w:t xml:space="preserve"> </w:t>
      </w:r>
    </w:p>
    <w:p w14:paraId="004C0BFD"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Decreto N° 201,</w:t>
      </w:r>
      <w:r w:rsidRPr="00262FB7">
        <w:rPr>
          <w:rFonts w:ascii="Book Antiqua" w:hAnsi="Book Antiqua"/>
          <w:sz w:val="24"/>
          <w:szCs w:val="24"/>
        </w:rPr>
        <w:t xml:space="preserve"> de 28 de agosto del 2008, que “Promulga la convención de las Naciones Unidas sobre los derechos de las personas con discapacidad y su protocolo facultativo”.</w:t>
      </w:r>
    </w:p>
    <w:p w14:paraId="0074AC46"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4" w:history="1">
        <w:r w:rsidRPr="00262FB7">
          <w:rPr>
            <w:rStyle w:val="Hipervnculo"/>
            <w:rFonts w:ascii="Book Antiqua" w:hAnsi="Book Antiqua"/>
            <w:color w:val="auto"/>
            <w:sz w:val="24"/>
            <w:szCs w:val="24"/>
          </w:rPr>
          <w:t>http://bcn.cl/2ho2o</w:t>
        </w:r>
      </w:hyperlink>
      <w:r w:rsidRPr="00262FB7">
        <w:rPr>
          <w:rFonts w:ascii="Book Antiqua" w:hAnsi="Book Antiqua"/>
          <w:sz w:val="24"/>
          <w:szCs w:val="24"/>
        </w:rPr>
        <w:t xml:space="preserve"> </w:t>
      </w:r>
    </w:p>
    <w:p w14:paraId="1701B839"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 xml:space="preserve">Decreto N° 257, </w:t>
      </w:r>
      <w:r w:rsidRPr="00262FB7">
        <w:rPr>
          <w:rFonts w:ascii="Book Antiqua" w:hAnsi="Book Antiqua"/>
          <w:sz w:val="24"/>
          <w:szCs w:val="24"/>
        </w:rPr>
        <w:t>publicado en el Diario Oficial el 04 de enero de 2006, que “instituye día nacional de la discapacidad”.</w:t>
      </w:r>
    </w:p>
    <w:p w14:paraId="38052CCD"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5" w:history="1">
        <w:r w:rsidRPr="00262FB7">
          <w:rPr>
            <w:rStyle w:val="Hipervnculo"/>
            <w:rFonts w:ascii="Book Antiqua" w:hAnsi="Book Antiqua"/>
            <w:color w:val="auto"/>
            <w:sz w:val="24"/>
            <w:szCs w:val="24"/>
          </w:rPr>
          <w:t>http://bcn.cl/2ng4c</w:t>
        </w:r>
      </w:hyperlink>
      <w:r w:rsidRPr="00262FB7">
        <w:rPr>
          <w:rFonts w:ascii="Book Antiqua" w:hAnsi="Book Antiqua"/>
          <w:sz w:val="24"/>
          <w:szCs w:val="24"/>
        </w:rPr>
        <w:t xml:space="preserve"> </w:t>
      </w:r>
    </w:p>
    <w:p w14:paraId="39947536"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Decreto</w:t>
      </w:r>
      <w:r w:rsidRPr="00262FB7">
        <w:rPr>
          <w:rFonts w:ascii="Book Antiqua" w:hAnsi="Book Antiqua"/>
          <w:sz w:val="24"/>
          <w:szCs w:val="24"/>
        </w:rPr>
        <w:t xml:space="preserve"> </w:t>
      </w:r>
      <w:r w:rsidRPr="00262FB7">
        <w:rPr>
          <w:rFonts w:ascii="Book Antiqua" w:hAnsi="Book Antiqua"/>
          <w:b/>
          <w:sz w:val="24"/>
          <w:szCs w:val="24"/>
        </w:rPr>
        <w:t>N° 99</w:t>
      </w:r>
      <w:r w:rsidRPr="00262FB7">
        <w:rPr>
          <w:rFonts w:ascii="Book Antiqua" w:hAnsi="Book Antiqua"/>
          <w:sz w:val="24"/>
          <w:szCs w:val="24"/>
        </w:rPr>
        <w:t>, publicado en el Diario Oficial el 20 de junio de 2002, que “promulga la Convención Interamericana para la Eliminación de todas las Formas de Discriminación Contra las Personas con Discapacidad”.</w:t>
      </w:r>
    </w:p>
    <w:p w14:paraId="0F617010"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6" w:history="1">
        <w:r w:rsidRPr="00262FB7">
          <w:rPr>
            <w:rStyle w:val="Hipervnculo"/>
            <w:rFonts w:ascii="Book Antiqua" w:hAnsi="Book Antiqua"/>
            <w:color w:val="auto"/>
            <w:sz w:val="24"/>
            <w:szCs w:val="24"/>
          </w:rPr>
          <w:t>http://bcn.cl/2q0pq</w:t>
        </w:r>
      </w:hyperlink>
      <w:r w:rsidRPr="00262FB7">
        <w:rPr>
          <w:rFonts w:ascii="Book Antiqua" w:hAnsi="Book Antiqua"/>
          <w:sz w:val="24"/>
          <w:szCs w:val="24"/>
        </w:rPr>
        <w:t xml:space="preserve"> </w:t>
      </w:r>
    </w:p>
    <w:p w14:paraId="2814C851"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lastRenderedPageBreak/>
        <w:t xml:space="preserve">Decreto N° 854, </w:t>
      </w:r>
      <w:r w:rsidRPr="00262FB7">
        <w:rPr>
          <w:rFonts w:ascii="Book Antiqua" w:hAnsi="Book Antiqua"/>
          <w:sz w:val="24"/>
          <w:szCs w:val="24"/>
        </w:rPr>
        <w:t>publicado en el Diario Oficial el 28 de agosto de 1997, que “promulga acuerdo con Programa de las Naciones Unidas para el Desarrollo sobre proyecto del Gobierno de Chile, denominado "Difusión de las normas uniformes sobre igualdad de oportunidades para las personas con discapacidad en los principales sectores de opinión de Chile"</w:t>
      </w:r>
    </w:p>
    <w:p w14:paraId="40558F3C"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7" w:history="1">
        <w:r w:rsidRPr="00262FB7">
          <w:rPr>
            <w:rStyle w:val="Hipervnculo"/>
            <w:rFonts w:ascii="Book Antiqua" w:hAnsi="Book Antiqua"/>
            <w:color w:val="auto"/>
            <w:sz w:val="24"/>
            <w:szCs w:val="24"/>
          </w:rPr>
          <w:t>http://bcn.cl/2ng4c</w:t>
        </w:r>
      </w:hyperlink>
      <w:r w:rsidRPr="00262FB7">
        <w:rPr>
          <w:rFonts w:ascii="Book Antiqua" w:hAnsi="Book Antiqua"/>
          <w:sz w:val="24"/>
          <w:szCs w:val="24"/>
        </w:rPr>
        <w:t xml:space="preserve"> </w:t>
      </w:r>
    </w:p>
    <w:p w14:paraId="2D64D966" w14:textId="77777777" w:rsidR="00585617" w:rsidRPr="00262FB7" w:rsidRDefault="00585617" w:rsidP="00262FB7">
      <w:pPr>
        <w:pStyle w:val="Prrafodelista"/>
        <w:numPr>
          <w:ilvl w:val="0"/>
          <w:numId w:val="9"/>
        </w:numPr>
        <w:spacing w:before="120" w:after="120"/>
        <w:ind w:left="1349" w:hanging="357"/>
        <w:contextualSpacing w:val="0"/>
        <w:jc w:val="both"/>
        <w:rPr>
          <w:rFonts w:ascii="Book Antiqua" w:hAnsi="Book Antiqua"/>
          <w:sz w:val="24"/>
          <w:szCs w:val="24"/>
        </w:rPr>
      </w:pPr>
      <w:r w:rsidRPr="00262FB7">
        <w:rPr>
          <w:rFonts w:ascii="Book Antiqua" w:hAnsi="Book Antiqua"/>
          <w:b/>
          <w:sz w:val="24"/>
          <w:szCs w:val="24"/>
        </w:rPr>
        <w:t xml:space="preserve">Decreto N° 300, </w:t>
      </w:r>
      <w:r w:rsidRPr="00262FB7">
        <w:rPr>
          <w:rFonts w:ascii="Book Antiqua" w:hAnsi="Book Antiqua"/>
          <w:sz w:val="24"/>
          <w:szCs w:val="24"/>
        </w:rPr>
        <w:t>publicado en el Diario Oficial el 28 de agosto de 1997, que “autoriza la organización y funcionamiento de cursos talleres básicos para mayores de 26 años con discapacidad”.</w:t>
      </w:r>
    </w:p>
    <w:p w14:paraId="10F4E76A"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8" w:history="1">
        <w:r w:rsidRPr="00262FB7">
          <w:rPr>
            <w:rStyle w:val="Hipervnculo"/>
            <w:rFonts w:ascii="Book Antiqua" w:hAnsi="Book Antiqua"/>
            <w:color w:val="auto"/>
            <w:sz w:val="24"/>
            <w:szCs w:val="24"/>
          </w:rPr>
          <w:t>http://bcn.cl/2oxie</w:t>
        </w:r>
      </w:hyperlink>
      <w:r w:rsidRPr="00262FB7">
        <w:rPr>
          <w:rFonts w:ascii="Book Antiqua" w:hAnsi="Book Antiqua"/>
          <w:sz w:val="24"/>
          <w:szCs w:val="24"/>
        </w:rPr>
        <w:t xml:space="preserve"> </w:t>
      </w:r>
    </w:p>
    <w:p w14:paraId="1E5E7A51"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 xml:space="preserve">Decreto N° 155, </w:t>
      </w:r>
      <w:r w:rsidRPr="00262FB7">
        <w:rPr>
          <w:rFonts w:ascii="Book Antiqua" w:hAnsi="Book Antiqua"/>
          <w:sz w:val="24"/>
          <w:szCs w:val="24"/>
        </w:rPr>
        <w:t>publicado en el Diario Oficial el 14 de febrero de 2017, que “promulga el tratado de Marrakech para facilitar el acceso a las obras publicadas a las personas ciegas, con discapacidad visual o con otras dificultades para acceder al texto impreso”.</w:t>
      </w:r>
    </w:p>
    <w:p w14:paraId="298740BB"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39" w:history="1">
        <w:r w:rsidRPr="00262FB7">
          <w:rPr>
            <w:rStyle w:val="Hipervnculo"/>
            <w:rFonts w:ascii="Book Antiqua" w:hAnsi="Book Antiqua"/>
            <w:color w:val="auto"/>
            <w:sz w:val="24"/>
            <w:szCs w:val="24"/>
          </w:rPr>
          <w:t>http://bcn.cl/2odkq</w:t>
        </w:r>
      </w:hyperlink>
      <w:r w:rsidRPr="00262FB7">
        <w:rPr>
          <w:rFonts w:ascii="Book Antiqua" w:hAnsi="Book Antiqua"/>
          <w:sz w:val="24"/>
          <w:szCs w:val="24"/>
        </w:rPr>
        <w:t xml:space="preserve"> </w:t>
      </w:r>
    </w:p>
    <w:p w14:paraId="44CB0E77"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 xml:space="preserve">Decreto N° 28, </w:t>
      </w:r>
      <w:r w:rsidRPr="00262FB7">
        <w:rPr>
          <w:rFonts w:ascii="Book Antiqua" w:hAnsi="Book Antiqua"/>
          <w:sz w:val="24"/>
          <w:szCs w:val="24"/>
        </w:rPr>
        <w:t>publicado en el Diario Oficial el 9 de septiembre de 2016, que “aprueba Reglamento para la ejecución de la asignación "Programa pago cuidadores de personas con discapacidad", establecida en la partida 21, capítulo 01, programa 01, subtítulo 24, ítem 03, asignación 352, glosa Nº 14, de la Ley Nº 20.882 de presupuestos del sector público, correspondiente al año 2016”.</w:t>
      </w:r>
    </w:p>
    <w:p w14:paraId="3CF6BE7A"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40" w:history="1">
        <w:r w:rsidRPr="00262FB7">
          <w:rPr>
            <w:rStyle w:val="Hipervnculo"/>
            <w:rFonts w:ascii="Book Antiqua" w:hAnsi="Book Antiqua"/>
            <w:color w:val="auto"/>
            <w:sz w:val="24"/>
            <w:szCs w:val="24"/>
          </w:rPr>
          <w:t>http://bcn.cl/2k1kz</w:t>
        </w:r>
      </w:hyperlink>
      <w:r w:rsidRPr="00262FB7">
        <w:rPr>
          <w:rFonts w:ascii="Book Antiqua" w:hAnsi="Book Antiqua"/>
          <w:sz w:val="24"/>
          <w:szCs w:val="24"/>
        </w:rPr>
        <w:t xml:space="preserve">  </w:t>
      </w:r>
    </w:p>
    <w:p w14:paraId="60F62097"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 xml:space="preserve">Decreto N° 369, </w:t>
      </w:r>
      <w:r w:rsidRPr="00262FB7">
        <w:rPr>
          <w:rFonts w:ascii="Book Antiqua" w:hAnsi="Book Antiqua"/>
          <w:sz w:val="24"/>
          <w:szCs w:val="24"/>
        </w:rPr>
        <w:t>publicado en el Diario Oficial el 21 de julio de 2017, que “aprueba Reglamento para el transporte aéreo de personas con discapacidad, con movilidad reducida, orgánicamente descompensadas, agónicas o inconscientes”.</w:t>
      </w:r>
    </w:p>
    <w:p w14:paraId="5D4D2BA0"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41" w:history="1">
        <w:r w:rsidRPr="00262FB7">
          <w:rPr>
            <w:rStyle w:val="Hipervnculo"/>
            <w:rFonts w:ascii="Book Antiqua" w:hAnsi="Book Antiqua"/>
            <w:color w:val="auto"/>
            <w:sz w:val="24"/>
            <w:szCs w:val="24"/>
          </w:rPr>
          <w:t>http://bcn.cl/2q18r</w:t>
        </w:r>
      </w:hyperlink>
      <w:r w:rsidRPr="00262FB7">
        <w:rPr>
          <w:rFonts w:ascii="Book Antiqua" w:hAnsi="Book Antiqua"/>
          <w:sz w:val="24"/>
          <w:szCs w:val="24"/>
        </w:rPr>
        <w:t xml:space="preserve">   </w:t>
      </w:r>
    </w:p>
    <w:p w14:paraId="748F931B" w14:textId="77777777" w:rsidR="00585617" w:rsidRPr="00262FB7" w:rsidRDefault="00585617" w:rsidP="00262FB7">
      <w:pPr>
        <w:pStyle w:val="Prrafodelista"/>
        <w:numPr>
          <w:ilvl w:val="0"/>
          <w:numId w:val="9"/>
        </w:numPr>
        <w:spacing w:before="120" w:after="120"/>
        <w:contextualSpacing w:val="0"/>
        <w:jc w:val="both"/>
        <w:rPr>
          <w:rFonts w:ascii="Book Antiqua" w:hAnsi="Book Antiqua"/>
          <w:sz w:val="24"/>
          <w:szCs w:val="24"/>
        </w:rPr>
      </w:pPr>
      <w:r w:rsidRPr="00262FB7">
        <w:rPr>
          <w:rFonts w:ascii="Book Antiqua" w:hAnsi="Book Antiqua"/>
          <w:b/>
          <w:sz w:val="24"/>
          <w:szCs w:val="24"/>
        </w:rPr>
        <w:t xml:space="preserve">Decreto N° 141, </w:t>
      </w:r>
      <w:r w:rsidRPr="00262FB7">
        <w:rPr>
          <w:rFonts w:ascii="Book Antiqua" w:hAnsi="Book Antiqua"/>
          <w:sz w:val="24"/>
          <w:szCs w:val="24"/>
        </w:rPr>
        <w:t xml:space="preserve">publicado en el Diario Oficial el 12 de mayo de 2011, que “aprueba Reglamento que establece normas para el </w:t>
      </w:r>
      <w:r w:rsidRPr="00262FB7">
        <w:rPr>
          <w:rFonts w:ascii="Book Antiqua" w:hAnsi="Book Antiqua"/>
          <w:sz w:val="24"/>
          <w:szCs w:val="24"/>
        </w:rPr>
        <w:lastRenderedPageBreak/>
        <w:t>funcionamiento del consejo consultivo de la discapacidad del servicio nacional de la discapacidad”.</w:t>
      </w:r>
    </w:p>
    <w:p w14:paraId="430B67EC" w14:textId="77777777" w:rsidR="00585617" w:rsidRPr="00262FB7" w:rsidRDefault="00585617" w:rsidP="00262FB7">
      <w:pPr>
        <w:spacing w:before="120" w:after="120"/>
        <w:ind w:left="1349"/>
        <w:jc w:val="both"/>
        <w:rPr>
          <w:rFonts w:ascii="Book Antiqua" w:hAnsi="Book Antiqua"/>
          <w:sz w:val="24"/>
          <w:szCs w:val="24"/>
        </w:rPr>
      </w:pPr>
      <w:r w:rsidRPr="00262FB7">
        <w:rPr>
          <w:rFonts w:ascii="Book Antiqua" w:hAnsi="Book Antiqua"/>
          <w:sz w:val="24"/>
          <w:szCs w:val="24"/>
        </w:rPr>
        <w:t xml:space="preserve">Disponible en: </w:t>
      </w:r>
      <w:hyperlink r:id="rId42" w:history="1">
        <w:r w:rsidRPr="00262FB7">
          <w:rPr>
            <w:rStyle w:val="Hipervnculo"/>
            <w:rFonts w:ascii="Book Antiqua" w:hAnsi="Book Antiqua"/>
            <w:color w:val="auto"/>
            <w:sz w:val="24"/>
            <w:szCs w:val="24"/>
          </w:rPr>
          <w:t>http://bcn.cl/2n7w0</w:t>
        </w:r>
      </w:hyperlink>
      <w:r w:rsidRPr="00262FB7">
        <w:rPr>
          <w:rFonts w:ascii="Book Antiqua" w:hAnsi="Book Antiqua"/>
          <w:sz w:val="24"/>
          <w:szCs w:val="24"/>
        </w:rPr>
        <w:t xml:space="preserve">   </w:t>
      </w:r>
    </w:p>
    <w:p w14:paraId="279E9EFB" w14:textId="77777777" w:rsidR="00585617" w:rsidRPr="00262FB7" w:rsidRDefault="00585617" w:rsidP="00262FB7">
      <w:pPr>
        <w:pStyle w:val="Prrafodelista"/>
        <w:numPr>
          <w:ilvl w:val="0"/>
          <w:numId w:val="8"/>
        </w:numPr>
        <w:spacing w:before="120" w:after="120"/>
        <w:contextualSpacing w:val="0"/>
        <w:jc w:val="both"/>
        <w:rPr>
          <w:rFonts w:ascii="Book Antiqua" w:hAnsi="Book Antiqua"/>
          <w:b/>
          <w:sz w:val="24"/>
          <w:szCs w:val="24"/>
        </w:rPr>
      </w:pPr>
      <w:r w:rsidRPr="00262FB7">
        <w:rPr>
          <w:rFonts w:ascii="Book Antiqua" w:hAnsi="Book Antiqua"/>
          <w:b/>
          <w:sz w:val="24"/>
          <w:szCs w:val="24"/>
        </w:rPr>
        <w:t>¿Las Reglas de Enfrentamiento (ROE) y los Procedimientos Operativos Estándar (SOP) para las fuerzas militares y de seguridad consideran a las personas con discapacidad?</w:t>
      </w:r>
    </w:p>
    <w:p w14:paraId="0B45B949" w14:textId="77777777" w:rsidR="00585617" w:rsidRPr="00262FB7" w:rsidRDefault="00585617" w:rsidP="00262FB7">
      <w:pPr>
        <w:spacing w:before="120" w:after="120"/>
        <w:ind w:left="993"/>
        <w:jc w:val="both"/>
        <w:rPr>
          <w:rFonts w:ascii="Book Antiqua" w:hAnsi="Book Antiqua"/>
          <w:sz w:val="24"/>
          <w:szCs w:val="24"/>
        </w:rPr>
      </w:pPr>
      <w:r w:rsidRPr="00262FB7">
        <w:rPr>
          <w:rFonts w:ascii="Book Antiqua" w:hAnsi="Book Antiqua"/>
          <w:sz w:val="24"/>
          <w:szCs w:val="24"/>
        </w:rPr>
        <w:t>Las Reglas de Enfrentamiento (ROE) y los procedimientos operativos estándar (POS) para la fuerza militar, son promulgadas, de acuerdo al tipo de conflicto, la amenaza y las restricciones políticas y globales que ameriten al caso.</w:t>
      </w:r>
    </w:p>
    <w:p w14:paraId="0CE1DE8B" w14:textId="77777777" w:rsidR="00585617" w:rsidRPr="00262FB7" w:rsidRDefault="00585617" w:rsidP="00262FB7">
      <w:pPr>
        <w:spacing w:before="120" w:after="120"/>
        <w:ind w:left="993"/>
        <w:jc w:val="both"/>
        <w:rPr>
          <w:rFonts w:ascii="Book Antiqua" w:hAnsi="Book Antiqua"/>
          <w:sz w:val="24"/>
          <w:szCs w:val="24"/>
        </w:rPr>
      </w:pPr>
      <w:r w:rsidRPr="00262FB7">
        <w:rPr>
          <w:rFonts w:ascii="Book Antiqua" w:hAnsi="Book Antiqua"/>
          <w:sz w:val="24"/>
          <w:szCs w:val="24"/>
        </w:rPr>
        <w:t xml:space="preserve">En el empleo de los medios militares, en materia de Operaciones de Paz, se consideran las emanadas por Naciones Unidas </w:t>
      </w:r>
    </w:p>
    <w:p w14:paraId="502336BD" w14:textId="77777777" w:rsidR="00585617" w:rsidRPr="00262FB7" w:rsidRDefault="00585617" w:rsidP="00262FB7">
      <w:pPr>
        <w:spacing w:before="120" w:after="120"/>
        <w:ind w:left="993"/>
        <w:jc w:val="both"/>
        <w:rPr>
          <w:rFonts w:ascii="Book Antiqua" w:hAnsi="Book Antiqua"/>
          <w:sz w:val="24"/>
          <w:szCs w:val="24"/>
        </w:rPr>
      </w:pPr>
      <w:r w:rsidRPr="00262FB7">
        <w:rPr>
          <w:rFonts w:ascii="Book Antiqua" w:hAnsi="Book Antiqua"/>
          <w:sz w:val="24"/>
          <w:szCs w:val="24"/>
        </w:rPr>
        <w:t>Para el caso de las personas con discapacidad, las reglas y políticas se circunscriben a la normativa nacional descritas en el punto anterior y los derechos de las personas en el Derecho Internacional Humanitario y de los Conflictos Armados.</w:t>
      </w:r>
    </w:p>
    <w:p w14:paraId="71F7CBFF" w14:textId="77777777" w:rsidR="00585617" w:rsidRPr="00262FB7" w:rsidRDefault="00585617" w:rsidP="00262FB7">
      <w:pPr>
        <w:pStyle w:val="Prrafodelista"/>
        <w:numPr>
          <w:ilvl w:val="0"/>
          <w:numId w:val="8"/>
        </w:numPr>
        <w:spacing w:before="120" w:after="120"/>
        <w:contextualSpacing w:val="0"/>
        <w:jc w:val="both"/>
        <w:rPr>
          <w:rFonts w:ascii="Book Antiqua" w:hAnsi="Book Antiqua"/>
          <w:b/>
          <w:sz w:val="24"/>
          <w:szCs w:val="24"/>
        </w:rPr>
      </w:pPr>
      <w:r w:rsidRPr="00262FB7">
        <w:rPr>
          <w:rFonts w:ascii="Book Antiqua" w:hAnsi="Book Antiqua"/>
          <w:b/>
          <w:sz w:val="24"/>
          <w:szCs w:val="24"/>
        </w:rPr>
        <w:t>¿Qué proceso de revisión existe para determinar si las ROE y los SOP abordan los derechos humanos y específicamente los derechos de las personas con discapacidad?</w:t>
      </w:r>
    </w:p>
    <w:p w14:paraId="4A59DF96" w14:textId="77777777" w:rsidR="00585617" w:rsidRPr="00262FB7" w:rsidRDefault="00585617" w:rsidP="00262FB7">
      <w:pPr>
        <w:spacing w:before="120" w:after="120"/>
        <w:ind w:left="993"/>
        <w:jc w:val="both"/>
        <w:rPr>
          <w:rFonts w:ascii="Book Antiqua" w:hAnsi="Book Antiqua"/>
          <w:sz w:val="24"/>
          <w:szCs w:val="24"/>
        </w:rPr>
      </w:pPr>
      <w:r w:rsidRPr="00262FB7">
        <w:rPr>
          <w:rFonts w:ascii="Book Antiqua" w:hAnsi="Book Antiqua"/>
          <w:sz w:val="24"/>
          <w:szCs w:val="24"/>
        </w:rPr>
        <w:t>Las ROE y los POS abordan y consideran la normativa nacional y el Derecho Internacional Humanitario y son evaluados y actualizados por organismos jurídicos durante los procesos de actualización de la doctrina y del entrenamiento de la Fuerza.</w:t>
      </w:r>
    </w:p>
    <w:p w14:paraId="74E35156" w14:textId="77777777" w:rsidR="00585617" w:rsidRPr="00262FB7" w:rsidRDefault="00585617" w:rsidP="00262FB7">
      <w:pPr>
        <w:pStyle w:val="Prrafodelista"/>
        <w:numPr>
          <w:ilvl w:val="0"/>
          <w:numId w:val="8"/>
        </w:numPr>
        <w:spacing w:before="120" w:after="120"/>
        <w:contextualSpacing w:val="0"/>
        <w:jc w:val="both"/>
        <w:rPr>
          <w:rFonts w:ascii="Book Antiqua" w:hAnsi="Book Antiqua"/>
          <w:b/>
          <w:sz w:val="24"/>
          <w:szCs w:val="24"/>
        </w:rPr>
      </w:pPr>
      <w:r w:rsidRPr="00262FB7">
        <w:rPr>
          <w:rFonts w:ascii="Book Antiqua" w:hAnsi="Book Antiqua"/>
          <w:b/>
          <w:sz w:val="24"/>
          <w:szCs w:val="24"/>
        </w:rPr>
        <w:t>¿Los cursos y capacitaciones sobre derecho internacional humanitario (DIH) para fuerzas militares y de seguridad incluyen un módulo sobre discapacidad o abordan la protección de civiles con discapacidad en el contexto de un conflicto armado?</w:t>
      </w:r>
    </w:p>
    <w:p w14:paraId="4FB433E5" w14:textId="58483264" w:rsidR="00585617" w:rsidRPr="00262FB7" w:rsidRDefault="00585617" w:rsidP="00262FB7">
      <w:pPr>
        <w:spacing w:before="120" w:after="120"/>
        <w:ind w:left="993"/>
        <w:jc w:val="both"/>
        <w:rPr>
          <w:rFonts w:ascii="Book Antiqua" w:hAnsi="Book Antiqua"/>
          <w:sz w:val="24"/>
          <w:szCs w:val="24"/>
        </w:rPr>
      </w:pPr>
      <w:r w:rsidRPr="00262FB7">
        <w:rPr>
          <w:rFonts w:ascii="Book Antiqua" w:hAnsi="Book Antiqua"/>
          <w:sz w:val="24"/>
          <w:szCs w:val="24"/>
        </w:rPr>
        <w:t xml:space="preserve">El Centro Conjunto para Operaciones de Paz de Chile (CECOPAC), es el organismo que tiene la tarea de capacitación y entrenamiento del personal que será desplegado en operaciones de paz. El Centro cuenta con cursos generales que están dirigidos al personal militar, policial y civil, tanto nacionales como extranjeros, en el que se imparten materias sobre Derecho </w:t>
      </w:r>
      <w:r w:rsidRPr="00262FB7">
        <w:rPr>
          <w:rFonts w:ascii="Book Antiqua" w:hAnsi="Book Antiqua"/>
          <w:sz w:val="24"/>
          <w:szCs w:val="24"/>
        </w:rPr>
        <w:lastRenderedPageBreak/>
        <w:t>Internacional Humanitario y Protecc</w:t>
      </w:r>
      <w:r w:rsidR="00262FB7">
        <w:rPr>
          <w:rFonts w:ascii="Book Antiqua" w:hAnsi="Book Antiqua"/>
          <w:sz w:val="24"/>
          <w:szCs w:val="24"/>
        </w:rPr>
        <w:t xml:space="preserve">ión de Civiles, </w:t>
      </w:r>
      <w:r w:rsidRPr="00262FB7">
        <w:rPr>
          <w:rFonts w:ascii="Book Antiqua" w:hAnsi="Book Antiqua"/>
          <w:sz w:val="24"/>
          <w:szCs w:val="24"/>
        </w:rPr>
        <w:t>que de manera tácita y transversal incorporan protección de mujeres, niños y niñas, y personas discapacitadas. No obstante, se pretende profundizar cada vez más en estas temáticas, así como en la Seguridad y Protección del personal de Naciones Unidas.</w:t>
      </w:r>
    </w:p>
    <w:p w14:paraId="4F37C882" w14:textId="77777777" w:rsidR="00585617" w:rsidRPr="00262FB7" w:rsidRDefault="00585617" w:rsidP="00262FB7">
      <w:pPr>
        <w:pStyle w:val="Prrafodelista"/>
        <w:numPr>
          <w:ilvl w:val="0"/>
          <w:numId w:val="10"/>
        </w:numPr>
        <w:spacing w:before="120" w:after="120"/>
        <w:ind w:left="641" w:hanging="357"/>
        <w:contextualSpacing w:val="0"/>
        <w:jc w:val="both"/>
        <w:rPr>
          <w:rFonts w:ascii="Book Antiqua" w:hAnsi="Book Antiqua"/>
          <w:b/>
          <w:sz w:val="24"/>
          <w:szCs w:val="24"/>
        </w:rPr>
      </w:pPr>
      <w:r w:rsidRPr="00262FB7">
        <w:rPr>
          <w:rFonts w:ascii="Book Antiqua" w:hAnsi="Book Antiqua"/>
          <w:b/>
          <w:sz w:val="24"/>
          <w:szCs w:val="24"/>
        </w:rPr>
        <w:t>¿El Ejército colabora con las organizaciones de la sociedad civil que representan a las personas con discapacidad (incluidas las organizaciones de veteranos con discapacidad), por ejemplo, en debates sobre la "protección" de las personas con discapacidad durante o después de un conflicto armado?</w:t>
      </w:r>
    </w:p>
    <w:p w14:paraId="421052E2" w14:textId="64C21A9D" w:rsidR="00392461" w:rsidRPr="00262FB7" w:rsidRDefault="00585617" w:rsidP="00262FB7">
      <w:pPr>
        <w:rPr>
          <w:rFonts w:ascii="Book Antiqua" w:hAnsi="Book Antiqua" w:cs="Arial"/>
          <w:sz w:val="24"/>
          <w:szCs w:val="24"/>
        </w:rPr>
      </w:pPr>
      <w:r w:rsidRPr="00262FB7">
        <w:rPr>
          <w:rFonts w:ascii="Book Antiqua" w:hAnsi="Book Antiqua"/>
          <w:sz w:val="24"/>
          <w:szCs w:val="24"/>
        </w:rPr>
        <w:t>El último conflicto armado en que participó Chile fue en el siglo XIX, por lo que no hay veteranos con discapacidad vivos producto de un conflicto ar</w:t>
      </w:r>
      <w:r w:rsidR="00262FB7" w:rsidRPr="00262FB7">
        <w:rPr>
          <w:rFonts w:ascii="Book Antiqua" w:hAnsi="Book Antiqua"/>
          <w:sz w:val="24"/>
          <w:szCs w:val="24"/>
        </w:rPr>
        <w:t xml:space="preserve">mado. </w:t>
      </w:r>
    </w:p>
    <w:sectPr w:rsidR="00392461" w:rsidRPr="00262FB7">
      <w:headerReference w:type="defaul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58317" w14:textId="77777777" w:rsidR="00A81564" w:rsidRDefault="00A81564" w:rsidP="00EE63B6">
      <w:pPr>
        <w:spacing w:after="0" w:line="240" w:lineRule="auto"/>
      </w:pPr>
      <w:r>
        <w:separator/>
      </w:r>
    </w:p>
  </w:endnote>
  <w:endnote w:type="continuationSeparator" w:id="0">
    <w:p w14:paraId="0F7591E8" w14:textId="77777777" w:rsidR="00A81564" w:rsidRDefault="00A81564"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izQuadrata BT">
    <w:altName w:val="Tahoma"/>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489772"/>
      <w:docPartObj>
        <w:docPartGallery w:val="Page Numbers (Bottom of Page)"/>
        <w:docPartUnique/>
      </w:docPartObj>
    </w:sdtPr>
    <w:sdtEndPr>
      <w:rPr>
        <w:rFonts w:ascii="Times New Roman" w:hAnsi="Times New Roman" w:cs="Times New Roman"/>
      </w:rPr>
    </w:sdtEndPr>
    <w:sdtContent>
      <w:p w14:paraId="1BFF0A65" w14:textId="33BAB627" w:rsidR="004651EB" w:rsidRPr="00F7505B" w:rsidRDefault="004651EB">
        <w:pPr>
          <w:pStyle w:val="Piedepgina"/>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8B6471" w:rsidRPr="008B6471">
          <w:rPr>
            <w:rFonts w:ascii="Times New Roman" w:hAnsi="Times New Roman" w:cs="Times New Roman"/>
            <w:noProof/>
            <w:lang w:val="es-ES"/>
          </w:rPr>
          <w:t>11</w:t>
        </w:r>
        <w:r w:rsidRPr="00F7505B">
          <w:rPr>
            <w:rFonts w:ascii="Times New Roman" w:hAnsi="Times New Roman" w:cs="Times New Roman"/>
          </w:rPr>
          <w:fldChar w:fldCharType="end"/>
        </w:r>
      </w:p>
    </w:sdtContent>
  </w:sdt>
  <w:p w14:paraId="223E7A58" w14:textId="77777777" w:rsidR="004651EB" w:rsidRDefault="004651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194C9" w14:textId="77777777" w:rsidR="00A81564" w:rsidRDefault="00A81564" w:rsidP="00EE63B6">
      <w:pPr>
        <w:spacing w:after="0" w:line="240" w:lineRule="auto"/>
      </w:pPr>
      <w:r>
        <w:separator/>
      </w:r>
    </w:p>
  </w:footnote>
  <w:footnote w:type="continuationSeparator" w:id="0">
    <w:p w14:paraId="6D32C6D9" w14:textId="77777777" w:rsidR="00A81564" w:rsidRDefault="00A81564" w:rsidP="00EE6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4617" w14:textId="20A3C8F9" w:rsidR="00F7505B" w:rsidRDefault="00F7505B" w:rsidP="006058B1">
    <w:pPr>
      <w:pStyle w:val="Encabezado"/>
      <w:ind w:left="-567"/>
    </w:pPr>
    <w:r w:rsidRPr="00A304DF">
      <w:rPr>
        <w:rFonts w:ascii="FrizQuadrata BT" w:hAnsi="FrizQuadrata BT"/>
        <w:noProof/>
        <w:sz w:val="16"/>
        <w:lang w:val="en-US"/>
      </w:rPr>
      <w:drawing>
        <wp:anchor distT="0" distB="0" distL="114300" distR="114300" simplePos="0" relativeHeight="251656192" behindDoc="0" locked="0" layoutInCell="1" allowOverlap="1" wp14:anchorId="4661B3A6" wp14:editId="68561907">
          <wp:simplePos x="0" y="0"/>
          <wp:positionH relativeFrom="margin">
            <wp:posOffset>-8890</wp:posOffset>
          </wp:positionH>
          <wp:positionV relativeFrom="paragraph">
            <wp:posOffset>93980</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23448" w14:textId="02DD8D67" w:rsidR="00F74BE7" w:rsidRDefault="00572E83">
    <w:pPr>
      <w:pStyle w:val="Encabezado"/>
    </w:pPr>
    <w:r w:rsidRPr="00A304DF">
      <w:rPr>
        <w:rFonts w:ascii="FrizQuadrata BT" w:hAnsi="FrizQuadrata BT"/>
        <w:noProof/>
        <w:sz w:val="16"/>
        <w:lang w:val="en-US"/>
      </w:rPr>
      <w:drawing>
        <wp:anchor distT="0" distB="0" distL="114300" distR="114300" simplePos="0" relativeHeight="251659264" behindDoc="0" locked="0" layoutInCell="1" allowOverlap="1" wp14:anchorId="08865215" wp14:editId="055907D0">
          <wp:simplePos x="0" y="0"/>
          <wp:positionH relativeFrom="margin">
            <wp:posOffset>-447675</wp:posOffset>
          </wp:positionH>
          <wp:positionV relativeFrom="paragraph">
            <wp:posOffset>-143510</wp:posOffset>
          </wp:positionV>
          <wp:extent cx="1041149" cy="995881"/>
          <wp:effectExtent l="0" t="0" r="6985" b="0"/>
          <wp:wrapTopAndBottom/>
          <wp:docPr id="2"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F424F"/>
    <w:multiLevelType w:val="hybridMultilevel"/>
    <w:tmpl w:val="0E22B02E"/>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
    <w:nsid w:val="14ED043F"/>
    <w:multiLevelType w:val="hybridMultilevel"/>
    <w:tmpl w:val="E10AB900"/>
    <w:lvl w:ilvl="0" w:tplc="0C0A0013">
      <w:start w:val="1"/>
      <w:numFmt w:val="upperRoman"/>
      <w:lvlText w:val="%1."/>
      <w:lvlJc w:val="righ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2509E0"/>
    <w:multiLevelType w:val="hybridMultilevel"/>
    <w:tmpl w:val="04DEF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4B12C9"/>
    <w:multiLevelType w:val="hybridMultilevel"/>
    <w:tmpl w:val="159EB6CA"/>
    <w:lvl w:ilvl="0" w:tplc="0C0A0003">
      <w:start w:val="1"/>
      <w:numFmt w:val="bullet"/>
      <w:lvlText w:val="o"/>
      <w:lvlJc w:val="left"/>
      <w:pPr>
        <w:ind w:left="780" w:hanging="360"/>
      </w:pPr>
      <w:rPr>
        <w:rFonts w:ascii="Courier New" w:hAnsi="Courier New" w:cs="Courier New"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3DAB77CC"/>
    <w:multiLevelType w:val="hybridMultilevel"/>
    <w:tmpl w:val="5324E070"/>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464502F2"/>
    <w:multiLevelType w:val="hybridMultilevel"/>
    <w:tmpl w:val="37CE5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BCD3A18"/>
    <w:multiLevelType w:val="hybridMultilevel"/>
    <w:tmpl w:val="E9D2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8F11F3"/>
    <w:multiLevelType w:val="hybridMultilevel"/>
    <w:tmpl w:val="DB529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6BD7B6B"/>
    <w:multiLevelType w:val="hybridMultilevel"/>
    <w:tmpl w:val="0526B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FC610BA"/>
    <w:multiLevelType w:val="hybridMultilevel"/>
    <w:tmpl w:val="11ECD938"/>
    <w:lvl w:ilvl="0" w:tplc="0C0A0019">
      <w:start w:val="1"/>
      <w:numFmt w:val="lowerLetter"/>
      <w:lvlText w:val="%1."/>
      <w:lvlJc w:val="left"/>
      <w:pPr>
        <w:ind w:left="1001" w:hanging="360"/>
      </w:pPr>
    </w:lvl>
    <w:lvl w:ilvl="1" w:tplc="CDE42916">
      <w:start w:val="1"/>
      <w:numFmt w:val="upperRoman"/>
      <w:lvlText w:val="%2."/>
      <w:lvlJc w:val="left"/>
      <w:pPr>
        <w:ind w:left="2081" w:hanging="720"/>
      </w:pPr>
      <w:rPr>
        <w:rFonts w:hint="default"/>
      </w:rPr>
    </w:lvl>
    <w:lvl w:ilvl="2" w:tplc="0C0A001B" w:tentative="1">
      <w:start w:val="1"/>
      <w:numFmt w:val="lowerRoman"/>
      <w:lvlText w:val="%3."/>
      <w:lvlJc w:val="right"/>
      <w:pPr>
        <w:ind w:left="2441" w:hanging="180"/>
      </w:pPr>
    </w:lvl>
    <w:lvl w:ilvl="3" w:tplc="0C0A000F" w:tentative="1">
      <w:start w:val="1"/>
      <w:numFmt w:val="decimal"/>
      <w:lvlText w:val="%4."/>
      <w:lvlJc w:val="left"/>
      <w:pPr>
        <w:ind w:left="3161" w:hanging="360"/>
      </w:pPr>
    </w:lvl>
    <w:lvl w:ilvl="4" w:tplc="0C0A0019" w:tentative="1">
      <w:start w:val="1"/>
      <w:numFmt w:val="lowerLetter"/>
      <w:lvlText w:val="%5."/>
      <w:lvlJc w:val="left"/>
      <w:pPr>
        <w:ind w:left="3881" w:hanging="360"/>
      </w:pPr>
    </w:lvl>
    <w:lvl w:ilvl="5" w:tplc="0C0A001B" w:tentative="1">
      <w:start w:val="1"/>
      <w:numFmt w:val="lowerRoman"/>
      <w:lvlText w:val="%6."/>
      <w:lvlJc w:val="right"/>
      <w:pPr>
        <w:ind w:left="4601" w:hanging="180"/>
      </w:pPr>
    </w:lvl>
    <w:lvl w:ilvl="6" w:tplc="0C0A000F" w:tentative="1">
      <w:start w:val="1"/>
      <w:numFmt w:val="decimal"/>
      <w:lvlText w:val="%7."/>
      <w:lvlJc w:val="left"/>
      <w:pPr>
        <w:ind w:left="5321" w:hanging="360"/>
      </w:pPr>
    </w:lvl>
    <w:lvl w:ilvl="7" w:tplc="0C0A0019" w:tentative="1">
      <w:start w:val="1"/>
      <w:numFmt w:val="lowerLetter"/>
      <w:lvlText w:val="%8."/>
      <w:lvlJc w:val="left"/>
      <w:pPr>
        <w:ind w:left="6041" w:hanging="360"/>
      </w:pPr>
    </w:lvl>
    <w:lvl w:ilvl="8" w:tplc="0C0A001B" w:tentative="1">
      <w:start w:val="1"/>
      <w:numFmt w:val="lowerRoman"/>
      <w:lvlText w:val="%9."/>
      <w:lvlJc w:val="right"/>
      <w:pPr>
        <w:ind w:left="6761" w:hanging="180"/>
      </w:pPr>
    </w:lvl>
  </w:abstractNum>
  <w:num w:numId="1">
    <w:abstractNumId w:val="7"/>
  </w:num>
  <w:num w:numId="2">
    <w:abstractNumId w:val="1"/>
  </w:num>
  <w:num w:numId="3">
    <w:abstractNumId w:val="3"/>
  </w:num>
  <w:num w:numId="4">
    <w:abstractNumId w:val="8"/>
  </w:num>
  <w:num w:numId="5">
    <w:abstractNumId w:val="2"/>
  </w:num>
  <w:num w:numId="6">
    <w:abstractNumId w:val="5"/>
  </w:num>
  <w:num w:numId="7">
    <w:abstractNumId w:val="4"/>
  </w:num>
  <w:num w:numId="8">
    <w:abstractNumId w:val="9"/>
  </w:num>
  <w:num w:numId="9">
    <w:abstractNumId w:val="0"/>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37AAE"/>
    <w:rsid w:val="00037D55"/>
    <w:rsid w:val="00042C1B"/>
    <w:rsid w:val="00043E40"/>
    <w:rsid w:val="000448D1"/>
    <w:rsid w:val="00064B5B"/>
    <w:rsid w:val="000653B1"/>
    <w:rsid w:val="00082B1B"/>
    <w:rsid w:val="00091C71"/>
    <w:rsid w:val="000A0924"/>
    <w:rsid w:val="00102B7D"/>
    <w:rsid w:val="00111A1E"/>
    <w:rsid w:val="0011247C"/>
    <w:rsid w:val="00113FB0"/>
    <w:rsid w:val="00122652"/>
    <w:rsid w:val="00123283"/>
    <w:rsid w:val="00126C58"/>
    <w:rsid w:val="001602B5"/>
    <w:rsid w:val="00182726"/>
    <w:rsid w:val="0018652D"/>
    <w:rsid w:val="00196EBB"/>
    <w:rsid w:val="001C2DF0"/>
    <w:rsid w:val="001D6B23"/>
    <w:rsid w:val="001F0DF7"/>
    <w:rsid w:val="00213FAE"/>
    <w:rsid w:val="00222CE1"/>
    <w:rsid w:val="002257D2"/>
    <w:rsid w:val="00231FF6"/>
    <w:rsid w:val="00233AE9"/>
    <w:rsid w:val="00245042"/>
    <w:rsid w:val="00246F8C"/>
    <w:rsid w:val="002472F7"/>
    <w:rsid w:val="0025772B"/>
    <w:rsid w:val="0026165E"/>
    <w:rsid w:val="00262FB7"/>
    <w:rsid w:val="002731D4"/>
    <w:rsid w:val="00285C85"/>
    <w:rsid w:val="00287570"/>
    <w:rsid w:val="00290DDF"/>
    <w:rsid w:val="002929CA"/>
    <w:rsid w:val="00293D50"/>
    <w:rsid w:val="002D385E"/>
    <w:rsid w:val="002D3B18"/>
    <w:rsid w:val="002D3FAC"/>
    <w:rsid w:val="002E28D8"/>
    <w:rsid w:val="00303F2F"/>
    <w:rsid w:val="003269C7"/>
    <w:rsid w:val="00335C39"/>
    <w:rsid w:val="00342143"/>
    <w:rsid w:val="003746F5"/>
    <w:rsid w:val="00385091"/>
    <w:rsid w:val="00392461"/>
    <w:rsid w:val="003954C5"/>
    <w:rsid w:val="003A2493"/>
    <w:rsid w:val="003A7F1F"/>
    <w:rsid w:val="003D4CED"/>
    <w:rsid w:val="003F0D1E"/>
    <w:rsid w:val="004075AE"/>
    <w:rsid w:val="00410283"/>
    <w:rsid w:val="0041599D"/>
    <w:rsid w:val="004273C1"/>
    <w:rsid w:val="004651EB"/>
    <w:rsid w:val="0046638C"/>
    <w:rsid w:val="00467258"/>
    <w:rsid w:val="00473067"/>
    <w:rsid w:val="0049158C"/>
    <w:rsid w:val="004A3CCF"/>
    <w:rsid w:val="004C0D09"/>
    <w:rsid w:val="004E0905"/>
    <w:rsid w:val="004E7888"/>
    <w:rsid w:val="004F76AD"/>
    <w:rsid w:val="00514AC4"/>
    <w:rsid w:val="00543045"/>
    <w:rsid w:val="00553C2A"/>
    <w:rsid w:val="005720D0"/>
    <w:rsid w:val="00572E83"/>
    <w:rsid w:val="00585617"/>
    <w:rsid w:val="00594C27"/>
    <w:rsid w:val="005B2D35"/>
    <w:rsid w:val="005E1AE5"/>
    <w:rsid w:val="006058B1"/>
    <w:rsid w:val="006145D7"/>
    <w:rsid w:val="0064008E"/>
    <w:rsid w:val="0067799E"/>
    <w:rsid w:val="006B6737"/>
    <w:rsid w:val="006C2224"/>
    <w:rsid w:val="006D5FD0"/>
    <w:rsid w:val="006E5A73"/>
    <w:rsid w:val="00731D6B"/>
    <w:rsid w:val="00732CBF"/>
    <w:rsid w:val="007461B0"/>
    <w:rsid w:val="0077035F"/>
    <w:rsid w:val="00787650"/>
    <w:rsid w:val="00790FD6"/>
    <w:rsid w:val="00791979"/>
    <w:rsid w:val="007A113F"/>
    <w:rsid w:val="007A69F7"/>
    <w:rsid w:val="007D4A76"/>
    <w:rsid w:val="007E1349"/>
    <w:rsid w:val="007F362A"/>
    <w:rsid w:val="00823B95"/>
    <w:rsid w:val="0083440B"/>
    <w:rsid w:val="008471AA"/>
    <w:rsid w:val="00860FAC"/>
    <w:rsid w:val="00867A76"/>
    <w:rsid w:val="00874F63"/>
    <w:rsid w:val="008937CD"/>
    <w:rsid w:val="008B6471"/>
    <w:rsid w:val="008C741A"/>
    <w:rsid w:val="008D0893"/>
    <w:rsid w:val="008D0AA2"/>
    <w:rsid w:val="008D4E96"/>
    <w:rsid w:val="008F36F4"/>
    <w:rsid w:val="0091269C"/>
    <w:rsid w:val="009256AF"/>
    <w:rsid w:val="00934584"/>
    <w:rsid w:val="0095777C"/>
    <w:rsid w:val="00970563"/>
    <w:rsid w:val="00991F75"/>
    <w:rsid w:val="00992469"/>
    <w:rsid w:val="009A00F8"/>
    <w:rsid w:val="009A5D92"/>
    <w:rsid w:val="009B56AF"/>
    <w:rsid w:val="009F1533"/>
    <w:rsid w:val="00A04F84"/>
    <w:rsid w:val="00A1411B"/>
    <w:rsid w:val="00A22405"/>
    <w:rsid w:val="00A4530A"/>
    <w:rsid w:val="00A51E06"/>
    <w:rsid w:val="00A75A79"/>
    <w:rsid w:val="00A7760C"/>
    <w:rsid w:val="00A80A40"/>
    <w:rsid w:val="00A81564"/>
    <w:rsid w:val="00A92360"/>
    <w:rsid w:val="00AA5B7C"/>
    <w:rsid w:val="00AC2B7E"/>
    <w:rsid w:val="00AD6A2A"/>
    <w:rsid w:val="00AF0197"/>
    <w:rsid w:val="00B07C2B"/>
    <w:rsid w:val="00B22414"/>
    <w:rsid w:val="00B2665C"/>
    <w:rsid w:val="00B66882"/>
    <w:rsid w:val="00B771A2"/>
    <w:rsid w:val="00B8069C"/>
    <w:rsid w:val="00B96D11"/>
    <w:rsid w:val="00BA51BB"/>
    <w:rsid w:val="00BA5800"/>
    <w:rsid w:val="00BA6F5E"/>
    <w:rsid w:val="00BB04CF"/>
    <w:rsid w:val="00BC2BBA"/>
    <w:rsid w:val="00BD7B5B"/>
    <w:rsid w:val="00BF1FBD"/>
    <w:rsid w:val="00C0760D"/>
    <w:rsid w:val="00C20493"/>
    <w:rsid w:val="00C32DE1"/>
    <w:rsid w:val="00C658E5"/>
    <w:rsid w:val="00C67798"/>
    <w:rsid w:val="00C81433"/>
    <w:rsid w:val="00C93164"/>
    <w:rsid w:val="00C9328C"/>
    <w:rsid w:val="00C94BC7"/>
    <w:rsid w:val="00CA127C"/>
    <w:rsid w:val="00CB6B5D"/>
    <w:rsid w:val="00CC5815"/>
    <w:rsid w:val="00CD0309"/>
    <w:rsid w:val="00CD1B14"/>
    <w:rsid w:val="00CD48C9"/>
    <w:rsid w:val="00CE7D9F"/>
    <w:rsid w:val="00D0432C"/>
    <w:rsid w:val="00D0792D"/>
    <w:rsid w:val="00D3252D"/>
    <w:rsid w:val="00D43B78"/>
    <w:rsid w:val="00D45D98"/>
    <w:rsid w:val="00D66DDA"/>
    <w:rsid w:val="00D71ED5"/>
    <w:rsid w:val="00D73D80"/>
    <w:rsid w:val="00D87D55"/>
    <w:rsid w:val="00D903FA"/>
    <w:rsid w:val="00DA52F0"/>
    <w:rsid w:val="00DC032B"/>
    <w:rsid w:val="00DD7643"/>
    <w:rsid w:val="00DF10C8"/>
    <w:rsid w:val="00E00000"/>
    <w:rsid w:val="00E06C66"/>
    <w:rsid w:val="00E11C02"/>
    <w:rsid w:val="00E121C3"/>
    <w:rsid w:val="00E1319F"/>
    <w:rsid w:val="00E13975"/>
    <w:rsid w:val="00E15E33"/>
    <w:rsid w:val="00E472B9"/>
    <w:rsid w:val="00E74DE0"/>
    <w:rsid w:val="00EA6B2B"/>
    <w:rsid w:val="00EA7A52"/>
    <w:rsid w:val="00EC1666"/>
    <w:rsid w:val="00ED1B0F"/>
    <w:rsid w:val="00ED31AC"/>
    <w:rsid w:val="00ED70FB"/>
    <w:rsid w:val="00EE1DAC"/>
    <w:rsid w:val="00EE63A4"/>
    <w:rsid w:val="00EE63B6"/>
    <w:rsid w:val="00EE7AFC"/>
    <w:rsid w:val="00F1259B"/>
    <w:rsid w:val="00F30ECD"/>
    <w:rsid w:val="00F400A8"/>
    <w:rsid w:val="00F42BF0"/>
    <w:rsid w:val="00F44FBC"/>
    <w:rsid w:val="00F46202"/>
    <w:rsid w:val="00F5645C"/>
    <w:rsid w:val="00F64138"/>
    <w:rsid w:val="00F7505B"/>
    <w:rsid w:val="00F81B03"/>
    <w:rsid w:val="00F87103"/>
    <w:rsid w:val="00F90E2D"/>
    <w:rsid w:val="00FB4770"/>
    <w:rsid w:val="00FC1FC4"/>
    <w:rsid w:val="00FE2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E4B3"/>
  <w15:docId w15:val="{3DA254DF-96CC-4AF1-8AB0-9DF34A16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Ttulo1">
    <w:name w:val="heading 1"/>
    <w:basedOn w:val="Normal"/>
    <w:next w:val="Normal"/>
    <w:link w:val="Ttulo1Car"/>
    <w:uiPriority w:val="9"/>
    <w:qFormat/>
    <w:rsid w:val="00770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 Number,Bullet 1,Use Case List Paragraph,lp1,List Paragraph1,lp11,Steps,List Paragraph11,Bullet List,FooterText,Párrafo de titulo 3"/>
    <w:basedOn w:val="Normal"/>
    <w:link w:val="PrrafodelistaCar"/>
    <w:uiPriority w:val="34"/>
    <w:qFormat/>
    <w:rsid w:val="00EE63B6"/>
    <w:pPr>
      <w:ind w:left="720"/>
      <w:contextualSpacing/>
    </w:pPr>
  </w:style>
  <w:style w:type="character" w:styleId="Hipervnculo">
    <w:name w:val="Hyperlink"/>
    <w:basedOn w:val="Fuentedeprrafopredeter"/>
    <w:uiPriority w:val="99"/>
    <w:unhideWhenUsed/>
    <w:rsid w:val="00EE63B6"/>
    <w:rPr>
      <w:color w:val="0000FF" w:themeColor="hyperlink"/>
      <w:u w:val="single"/>
    </w:rPr>
  </w:style>
  <w:style w:type="paragraph" w:styleId="Textonotapie">
    <w:name w:val="footnote text"/>
    <w:aliases w:val="Car1,Texto nota pie Car Car,Car1 Car1, Car1,Texto nota pie Car1, Car1 Car1,Car, Car,HAB16"/>
    <w:basedOn w:val="Normal"/>
    <w:link w:val="TextonotapieCar"/>
    <w:uiPriority w:val="99"/>
    <w:unhideWhenUsed/>
    <w:qFormat/>
    <w:rsid w:val="00EE63B6"/>
    <w:pPr>
      <w:spacing w:after="0" w:line="240" w:lineRule="auto"/>
    </w:pPr>
    <w:rPr>
      <w:sz w:val="20"/>
      <w:szCs w:val="20"/>
      <w:lang w:val="en-MY"/>
    </w:rPr>
  </w:style>
  <w:style w:type="character" w:customStyle="1" w:styleId="TextonotapieCar">
    <w:name w:val="Texto nota pie Car"/>
    <w:aliases w:val="Car1 Car,Texto nota pie Car Car Car,Car1 Car1 Car, Car1 Car,Texto nota pie Car1 Car, Car1 Car1 Car,Car Car, Car Car,HAB16 Car"/>
    <w:basedOn w:val="Fuentedeprrafopredeter"/>
    <w:link w:val="Textonotapie"/>
    <w:uiPriority w:val="99"/>
    <w:rsid w:val="00EE63B6"/>
    <w:rPr>
      <w:sz w:val="20"/>
      <w:szCs w:val="20"/>
      <w:lang w:val="en-MY"/>
    </w:rPr>
  </w:style>
  <w:style w:type="character" w:customStyle="1" w:styleId="PrrafodelistaCar">
    <w:name w:val="Párrafo de lista Car"/>
    <w:aliases w:val="Titulo 3 Car,Bullet Number Car,Bullet 1 Car,Use Case List Paragraph Car,lp1 Car,List Paragraph1 Car,lp11 Car,Steps Car,List Paragraph11 Car,Bullet List Car,FooterText Car,Párrafo de titulo 3 Car"/>
    <w:link w:val="Prrafodelista"/>
    <w:uiPriority w:val="34"/>
    <w:qFormat/>
    <w:locked/>
    <w:rsid w:val="00EE63B6"/>
  </w:style>
  <w:style w:type="character" w:styleId="Refdenotaalpie">
    <w:name w:val="footnote reference"/>
    <w:aliases w:val="Footnotes refss,Ref. de nota al pie.,Texto de nota al pie,Appel note de bas de page,referencia nota al pie,BVI fnr,Footnote number,f,Footnote symbol,Footnote,4_G,16 Point,Superscript 6 Point,Texto nota al pie,Footnote Reference Char3"/>
    <w:basedOn w:val="Fuentedeprrafopredeter"/>
    <w:uiPriority w:val="99"/>
    <w:unhideWhenUsed/>
    <w:qFormat/>
    <w:rsid w:val="00EE63B6"/>
    <w:rPr>
      <w:vertAlign w:val="superscript"/>
    </w:rPr>
  </w:style>
  <w:style w:type="character" w:styleId="Refdecomentario">
    <w:name w:val="annotation reference"/>
    <w:basedOn w:val="Fuentedeprrafopredeter"/>
    <w:uiPriority w:val="99"/>
    <w:semiHidden/>
    <w:unhideWhenUsed/>
    <w:rsid w:val="00EE63B6"/>
    <w:rPr>
      <w:sz w:val="16"/>
      <w:szCs w:val="16"/>
    </w:rPr>
  </w:style>
  <w:style w:type="paragraph" w:styleId="Textocomentario">
    <w:name w:val="annotation text"/>
    <w:basedOn w:val="Normal"/>
    <w:link w:val="TextocomentarioCar"/>
    <w:uiPriority w:val="99"/>
    <w:semiHidden/>
    <w:unhideWhenUsed/>
    <w:rsid w:val="00EE63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63B6"/>
    <w:rPr>
      <w:sz w:val="20"/>
      <w:szCs w:val="20"/>
    </w:rPr>
  </w:style>
  <w:style w:type="paragraph" w:styleId="Textodeglobo">
    <w:name w:val="Balloon Text"/>
    <w:basedOn w:val="Normal"/>
    <w:link w:val="TextodegloboCar"/>
    <w:uiPriority w:val="99"/>
    <w:semiHidden/>
    <w:unhideWhenUsed/>
    <w:rsid w:val="00EE6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63B6"/>
    <w:rPr>
      <w:rFonts w:ascii="Tahoma" w:hAnsi="Tahoma" w:cs="Tahoma"/>
      <w:sz w:val="16"/>
      <w:szCs w:val="16"/>
    </w:rPr>
  </w:style>
  <w:style w:type="paragraph" w:styleId="Encabezado">
    <w:name w:val="header"/>
    <w:basedOn w:val="Normal"/>
    <w:link w:val="EncabezadoCar"/>
    <w:uiPriority w:val="99"/>
    <w:unhideWhenUsed/>
    <w:rsid w:val="00465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51EB"/>
  </w:style>
  <w:style w:type="paragraph" w:styleId="Piedepgina">
    <w:name w:val="footer"/>
    <w:basedOn w:val="Normal"/>
    <w:link w:val="PiedepginaCar"/>
    <w:uiPriority w:val="99"/>
    <w:unhideWhenUsed/>
    <w:rsid w:val="004651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51EB"/>
  </w:style>
  <w:style w:type="paragraph" w:styleId="TD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Textoindependiente">
    <w:name w:val="Body Text"/>
    <w:basedOn w:val="Normal"/>
    <w:link w:val="TextoindependienteC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TextoindependienteCar">
    <w:name w:val="Texto independiente Car"/>
    <w:basedOn w:val="Fuentedeprrafopredeter"/>
    <w:link w:val="Textoindependiente"/>
    <w:uiPriority w:val="1"/>
    <w:rsid w:val="00F7505B"/>
    <w:rPr>
      <w:rFonts w:ascii="Book Antiqua" w:eastAsia="Book Antiqua" w:hAnsi="Book Antiqua" w:cs="Book Antiqua"/>
      <w:lang w:val="es-ES"/>
    </w:rPr>
  </w:style>
  <w:style w:type="character" w:customStyle="1" w:styleId="Ttulo2Car">
    <w:name w:val="Título 2 Car"/>
    <w:basedOn w:val="Fuentedeprrafopredeter"/>
    <w:link w:val="Ttulo2"/>
    <w:uiPriority w:val="9"/>
    <w:rsid w:val="00F7505B"/>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 w:type="character" w:customStyle="1" w:styleId="Ttulo1Car">
    <w:name w:val="Título 1 Car"/>
    <w:basedOn w:val="Fuentedeprrafopredeter"/>
    <w:link w:val="Ttulo1"/>
    <w:uiPriority w:val="9"/>
    <w:rsid w:val="0077035F"/>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77035F"/>
    <w:pPr>
      <w:spacing w:after="0" w:line="240" w:lineRule="auto"/>
    </w:pPr>
    <w:rPr>
      <w:rFonts w:ascii="Calibri" w:hAnsi="Calibri" w:cs="Times New Roman"/>
      <w:lang w:eastAsia="es-CL"/>
    </w:rPr>
  </w:style>
  <w:style w:type="table" w:styleId="Tablaconcuadrcula">
    <w:name w:val="Table Grid"/>
    <w:basedOn w:val="Tablanormal"/>
    <w:uiPriority w:val="59"/>
    <w:rsid w:val="00122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2929CA"/>
    <w:rPr>
      <w:color w:val="808080"/>
    </w:rPr>
  </w:style>
  <w:style w:type="paragraph" w:styleId="Sinespaciado">
    <w:name w:val="No Spacing"/>
    <w:uiPriority w:val="1"/>
    <w:qFormat/>
    <w:rsid w:val="002929CA"/>
    <w:pPr>
      <w:spacing w:after="0" w:line="240" w:lineRule="auto"/>
    </w:pPr>
    <w:rPr>
      <w:rFonts w:eastAsiaTheme="minorEastAsia"/>
      <w:sz w:val="24"/>
      <w:szCs w:val="24"/>
      <w:lang w:val="en-US" w:eastAsia="zh-CN"/>
    </w:rPr>
  </w:style>
  <w:style w:type="paragraph" w:styleId="Textosinformato">
    <w:name w:val="Plain Text"/>
    <w:basedOn w:val="Normal"/>
    <w:link w:val="TextosinformatoCar"/>
    <w:uiPriority w:val="99"/>
    <w:unhideWhenUsed/>
    <w:rsid w:val="002929CA"/>
    <w:pPr>
      <w:spacing w:after="0" w:line="240" w:lineRule="auto"/>
    </w:pPr>
    <w:rPr>
      <w:rFonts w:ascii="Calibri" w:hAnsi="Calibri" w:cs="Times New Roman"/>
    </w:rPr>
  </w:style>
  <w:style w:type="character" w:customStyle="1" w:styleId="TextosinformatoCar">
    <w:name w:val="Texto sin formato Car"/>
    <w:basedOn w:val="Fuentedeprrafopredeter"/>
    <w:link w:val="Textosinformato"/>
    <w:uiPriority w:val="99"/>
    <w:rsid w:val="002929CA"/>
    <w:rPr>
      <w:rFonts w:ascii="Calibri" w:hAnsi="Calibri" w:cs="Times New Roman"/>
    </w:rPr>
  </w:style>
  <w:style w:type="paragraph" w:customStyle="1" w:styleId="Default">
    <w:name w:val="Default"/>
    <w:rsid w:val="002929CA"/>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NormalWeb">
    <w:name w:val="Normal (Web)"/>
    <w:basedOn w:val="Normal"/>
    <w:uiPriority w:val="99"/>
    <w:unhideWhenUsed/>
    <w:rsid w:val="002929CA"/>
    <w:pPr>
      <w:spacing w:after="0" w:line="240" w:lineRule="auto"/>
    </w:pPr>
    <w:rPr>
      <w:rFonts w:ascii="Times New Roman" w:eastAsiaTheme="minorEastAsia" w:hAnsi="Times New Roman" w:cs="Times New Roman"/>
      <w:sz w:val="24"/>
      <w:szCs w:val="24"/>
      <w:lang w:eastAsia="zh-CN"/>
    </w:rPr>
  </w:style>
  <w:style w:type="paragraph" w:customStyle="1" w:styleId="Cuerpodetexto">
    <w:name w:val="Cuerpo de texto"/>
    <w:basedOn w:val="Normal"/>
    <w:uiPriority w:val="99"/>
    <w:rsid w:val="002929CA"/>
    <w:pPr>
      <w:autoSpaceDE w:val="0"/>
      <w:autoSpaceDN w:val="0"/>
      <w:spacing w:after="120" w:line="240" w:lineRule="auto"/>
    </w:pPr>
    <w:rPr>
      <w:rFonts w:ascii="Times New Roman" w:hAnsi="Times New Roman" w:cs="Times New Roman"/>
      <w:sz w:val="24"/>
      <w:szCs w:val="24"/>
      <w:lang w:eastAsia="zh-CN"/>
    </w:rPr>
  </w:style>
  <w:style w:type="table" w:styleId="Tabladecuadrcula1clara-nfasis1">
    <w:name w:val="Grid Table 1 Light Accent 1"/>
    <w:basedOn w:val="Tablanormal"/>
    <w:uiPriority w:val="46"/>
    <w:rsid w:val="00213FAE"/>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213FAE"/>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cuadrcula2-nfasis1">
    <w:name w:val="Grid Table 2 Accent 1"/>
    <w:basedOn w:val="Tablanormal"/>
    <w:uiPriority w:val="47"/>
    <w:rsid w:val="00213FAE"/>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4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cn.cl/2ognl" TargetMode="External"/><Relationship Id="rId18" Type="http://schemas.openxmlformats.org/officeDocument/2006/relationships/hyperlink" Target="http://bcn.cl/2q0rh" TargetMode="External"/><Relationship Id="rId26" Type="http://schemas.openxmlformats.org/officeDocument/2006/relationships/hyperlink" Target="http://bcn.cl/2i9us" TargetMode="External"/><Relationship Id="rId39" Type="http://schemas.openxmlformats.org/officeDocument/2006/relationships/hyperlink" Target="http://bcn.cl/2odkq" TargetMode="External"/><Relationship Id="rId21" Type="http://schemas.openxmlformats.org/officeDocument/2006/relationships/hyperlink" Target="http://bcn.cl/2lcsc" TargetMode="External"/><Relationship Id="rId34" Type="http://schemas.openxmlformats.org/officeDocument/2006/relationships/hyperlink" Target="http://bcn.cl/2ho2o" TargetMode="External"/><Relationship Id="rId42" Type="http://schemas.openxmlformats.org/officeDocument/2006/relationships/hyperlink" Target="http://bcn.cl/2n7w0"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cn.cl/2q12s" TargetMode="External"/><Relationship Id="rId29" Type="http://schemas.openxmlformats.org/officeDocument/2006/relationships/hyperlink" Target="http://bcn.cl/2o7z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cn.cl/2nbtt" TargetMode="External"/><Relationship Id="rId24" Type="http://schemas.openxmlformats.org/officeDocument/2006/relationships/hyperlink" Target="http://bcn.cl/2kd9m" TargetMode="External"/><Relationship Id="rId32" Type="http://schemas.openxmlformats.org/officeDocument/2006/relationships/hyperlink" Target="http://bcn.cl/2f97s" TargetMode="External"/><Relationship Id="rId37" Type="http://schemas.openxmlformats.org/officeDocument/2006/relationships/hyperlink" Target="http://bcn.cl/2ng4c" TargetMode="External"/><Relationship Id="rId40" Type="http://schemas.openxmlformats.org/officeDocument/2006/relationships/hyperlink" Target="http://bcn.cl/2k1k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cn.cl/2mpd0" TargetMode="External"/><Relationship Id="rId23" Type="http://schemas.openxmlformats.org/officeDocument/2006/relationships/hyperlink" Target="http://bcn.cl/2q0s4" TargetMode="External"/><Relationship Id="rId28" Type="http://schemas.openxmlformats.org/officeDocument/2006/relationships/hyperlink" Target="http://bcn.cl/2k93v" TargetMode="External"/><Relationship Id="rId36" Type="http://schemas.openxmlformats.org/officeDocument/2006/relationships/hyperlink" Target="http://bcn.cl/2q0pq" TargetMode="External"/><Relationship Id="rId10" Type="http://schemas.openxmlformats.org/officeDocument/2006/relationships/hyperlink" Target="http://bcn.cl/2p863" TargetMode="External"/><Relationship Id="rId19" Type="http://schemas.openxmlformats.org/officeDocument/2006/relationships/hyperlink" Target="http://bcn.cl/2q0s1" TargetMode="External"/><Relationship Id="rId31" Type="http://schemas.openxmlformats.org/officeDocument/2006/relationships/hyperlink" Target="http://bcn.cl/2pjb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cn.cl/2geax" TargetMode="External"/><Relationship Id="rId22" Type="http://schemas.openxmlformats.org/officeDocument/2006/relationships/hyperlink" Target="http://bcn.cl/2q0sd" TargetMode="External"/><Relationship Id="rId27" Type="http://schemas.openxmlformats.org/officeDocument/2006/relationships/hyperlink" Target="http://bcn.cl/2q0sp" TargetMode="External"/><Relationship Id="rId30" Type="http://schemas.openxmlformats.org/officeDocument/2006/relationships/hyperlink" Target="http://bcn.cl/2f97d" TargetMode="External"/><Relationship Id="rId35" Type="http://schemas.openxmlformats.org/officeDocument/2006/relationships/hyperlink" Target="http://bcn.cl/2ng4c" TargetMode="External"/><Relationship Id="rId43" Type="http://schemas.openxmlformats.org/officeDocument/2006/relationships/header" Target="header2.xml"/><Relationship Id="rId48"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bcn.cl/2mwem" TargetMode="External"/><Relationship Id="rId17" Type="http://schemas.openxmlformats.org/officeDocument/2006/relationships/hyperlink" Target="http://bcn.cl/2ff7s" TargetMode="External"/><Relationship Id="rId25" Type="http://schemas.openxmlformats.org/officeDocument/2006/relationships/hyperlink" Target="http://bcn.cl/2q0sg" TargetMode="External"/><Relationship Id="rId33" Type="http://schemas.openxmlformats.org/officeDocument/2006/relationships/hyperlink" Target="http://bcn.cl/2ho2o" TargetMode="External"/><Relationship Id="rId38" Type="http://schemas.openxmlformats.org/officeDocument/2006/relationships/hyperlink" Target="http://bcn.cl/2oxie" TargetMode="External"/><Relationship Id="rId46" Type="http://schemas.openxmlformats.org/officeDocument/2006/relationships/customXml" Target="../customXml/item2.xml"/><Relationship Id="rId20" Type="http://schemas.openxmlformats.org/officeDocument/2006/relationships/hyperlink" Target="http://bcn.cl/2g7mr" TargetMode="External"/><Relationship Id="rId41" Type="http://schemas.openxmlformats.org/officeDocument/2006/relationships/hyperlink" Target="http://bcn.cl/2q18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CHILE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B01B323-D401-41CF-9C01-9BD48FFF31BF}">
  <ds:schemaRefs>
    <ds:schemaRef ds:uri="http://schemas.openxmlformats.org/officeDocument/2006/bibliography"/>
  </ds:schemaRefs>
</ds:datastoreItem>
</file>

<file path=customXml/itemProps2.xml><?xml version="1.0" encoding="utf-8"?>
<ds:datastoreItem xmlns:ds="http://schemas.openxmlformats.org/officeDocument/2006/customXml" ds:itemID="{EB8B92F2-151C-47C1-9274-5ECD5B92794E}"/>
</file>

<file path=customXml/itemProps3.xml><?xml version="1.0" encoding="utf-8"?>
<ds:datastoreItem xmlns:ds="http://schemas.openxmlformats.org/officeDocument/2006/customXml" ds:itemID="{71E573BC-8F10-440A-A439-4BE5D6D4E879}"/>
</file>

<file path=customXml/itemProps4.xml><?xml version="1.0" encoding="utf-8"?>
<ds:datastoreItem xmlns:ds="http://schemas.openxmlformats.org/officeDocument/2006/customXml" ds:itemID="{DA1981AB-DDEA-45E0-AB6B-1559A76F965F}"/>
</file>

<file path=docProps/app.xml><?xml version="1.0" encoding="utf-8"?>
<Properties xmlns="http://schemas.openxmlformats.org/officeDocument/2006/extended-properties" xmlns:vt="http://schemas.openxmlformats.org/officeDocument/2006/docPropsVTypes">
  <Template>Normal</Template>
  <TotalTime>185</TotalTime>
  <Pages>11</Pages>
  <Words>2554</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Astraín Rubio</dc:creator>
  <cp:lastModifiedBy>Macarena Valdes</cp:lastModifiedBy>
  <cp:revision>15</cp:revision>
  <dcterms:created xsi:type="dcterms:W3CDTF">2021-05-26T20:01:00Z</dcterms:created>
  <dcterms:modified xsi:type="dcterms:W3CDTF">2021-06-18T20:55:00Z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